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9EE576" w14:textId="404D7791" w:rsidR="00973299" w:rsidRPr="00F57B1F" w:rsidRDefault="00F4537C" w:rsidP="00F57B1F">
      <w:pPr>
        <w:pStyle w:val="ConsPlusNormal"/>
        <w:ind w:left="5529"/>
        <w:jc w:val="center"/>
        <w:rPr>
          <w:sz w:val="28"/>
        </w:rPr>
      </w:pPr>
      <w:bookmarkStart w:id="0" w:name="Par34"/>
      <w:bookmarkEnd w:id="0"/>
      <w:r w:rsidRPr="00F57B1F">
        <w:rPr>
          <w:sz w:val="28"/>
        </w:rPr>
        <w:t>УТВЕРЖДЕНЫ</w:t>
      </w:r>
    </w:p>
    <w:p w14:paraId="2D1A9623" w14:textId="77777777" w:rsidR="00F4537C" w:rsidRPr="00F57B1F" w:rsidRDefault="00F4537C" w:rsidP="00F4537C">
      <w:pPr>
        <w:pStyle w:val="ConsPlusNormal"/>
        <w:ind w:left="5529"/>
        <w:jc w:val="center"/>
        <w:rPr>
          <w:sz w:val="28"/>
        </w:rPr>
      </w:pPr>
      <w:r w:rsidRPr="00F57B1F">
        <w:rPr>
          <w:sz w:val="28"/>
        </w:rPr>
        <w:t xml:space="preserve">приказом Министерства цифрового развития, связи и массовых коммуникаций </w:t>
      </w:r>
    </w:p>
    <w:p w14:paraId="76F0BA88" w14:textId="0E88B1D3" w:rsidR="00F4537C" w:rsidRPr="00F57B1F" w:rsidRDefault="00F4537C" w:rsidP="00F57B1F">
      <w:pPr>
        <w:pStyle w:val="ConsPlusNormal"/>
        <w:ind w:left="5529"/>
        <w:jc w:val="center"/>
        <w:rPr>
          <w:sz w:val="28"/>
        </w:rPr>
      </w:pPr>
      <w:r w:rsidRPr="00F57B1F">
        <w:rPr>
          <w:sz w:val="28"/>
        </w:rPr>
        <w:t xml:space="preserve">Российской Федерации </w:t>
      </w:r>
    </w:p>
    <w:p w14:paraId="4370FD23" w14:textId="1EB18F71" w:rsidR="00F4537C" w:rsidRDefault="008864F3" w:rsidP="00F57B1F">
      <w:pPr>
        <w:pStyle w:val="ConsPlusNormal"/>
        <w:ind w:left="5529"/>
        <w:jc w:val="center"/>
        <w:rPr>
          <w:b/>
          <w:bCs/>
          <w:sz w:val="28"/>
        </w:rPr>
      </w:pPr>
      <w:r>
        <w:rPr>
          <w:sz w:val="28"/>
        </w:rPr>
        <w:t>от 18 января 2023 г.</w:t>
      </w:r>
      <w:r w:rsidR="00F4537C" w:rsidRPr="00F57B1F">
        <w:rPr>
          <w:sz w:val="28"/>
        </w:rPr>
        <w:t xml:space="preserve"> №</w:t>
      </w:r>
      <w:r>
        <w:rPr>
          <w:sz w:val="28"/>
        </w:rPr>
        <w:t> 21</w:t>
      </w:r>
    </w:p>
    <w:p w14:paraId="4FCFD9A3" w14:textId="77777777" w:rsidR="00973299" w:rsidRDefault="00973299" w:rsidP="00973299">
      <w:pPr>
        <w:pStyle w:val="ConsPlusNormal"/>
        <w:jc w:val="center"/>
        <w:rPr>
          <w:b/>
          <w:bCs/>
          <w:sz w:val="28"/>
        </w:rPr>
      </w:pPr>
    </w:p>
    <w:p w14:paraId="079233D8" w14:textId="77777777" w:rsidR="00973299" w:rsidRDefault="00973299" w:rsidP="00973299">
      <w:pPr>
        <w:pStyle w:val="ConsPlusNormal"/>
        <w:jc w:val="center"/>
        <w:rPr>
          <w:b/>
          <w:bCs/>
          <w:sz w:val="28"/>
        </w:rPr>
      </w:pPr>
    </w:p>
    <w:p w14:paraId="19704EA0" w14:textId="77777777" w:rsidR="00973299" w:rsidRDefault="00973299" w:rsidP="00973299">
      <w:pPr>
        <w:pStyle w:val="ConsPlusNormal"/>
        <w:jc w:val="center"/>
        <w:rPr>
          <w:b/>
          <w:bCs/>
          <w:sz w:val="28"/>
        </w:rPr>
      </w:pPr>
      <w:bookmarkStart w:id="1" w:name="_GoBack"/>
      <w:bookmarkEnd w:id="1"/>
    </w:p>
    <w:p w14:paraId="7D07C6B3" w14:textId="77777777" w:rsidR="00973299" w:rsidRDefault="00973299" w:rsidP="00973299">
      <w:pPr>
        <w:pStyle w:val="ConsPlusNormal"/>
        <w:jc w:val="center"/>
        <w:rPr>
          <w:b/>
          <w:bCs/>
          <w:sz w:val="28"/>
        </w:rPr>
      </w:pPr>
    </w:p>
    <w:p w14:paraId="06442DDF" w14:textId="77777777" w:rsidR="00973299" w:rsidRDefault="00973299" w:rsidP="00973299">
      <w:pPr>
        <w:pStyle w:val="ConsPlusNormal"/>
        <w:jc w:val="center"/>
        <w:rPr>
          <w:b/>
          <w:bCs/>
          <w:sz w:val="28"/>
        </w:rPr>
      </w:pPr>
    </w:p>
    <w:p w14:paraId="26EF69C4" w14:textId="77777777" w:rsidR="00973299" w:rsidRDefault="00973299" w:rsidP="00973299">
      <w:pPr>
        <w:pStyle w:val="ConsPlusNormal"/>
        <w:jc w:val="center"/>
        <w:rPr>
          <w:b/>
          <w:bCs/>
          <w:sz w:val="28"/>
        </w:rPr>
      </w:pPr>
    </w:p>
    <w:p w14:paraId="63D031E8" w14:textId="77777777" w:rsidR="00973299" w:rsidRDefault="00973299" w:rsidP="00973299">
      <w:pPr>
        <w:pStyle w:val="ConsPlusNormal"/>
        <w:jc w:val="center"/>
        <w:rPr>
          <w:b/>
          <w:bCs/>
          <w:sz w:val="28"/>
        </w:rPr>
      </w:pPr>
    </w:p>
    <w:p w14:paraId="2FA8E819" w14:textId="77777777" w:rsidR="00973299" w:rsidRDefault="00973299" w:rsidP="00973299">
      <w:pPr>
        <w:pStyle w:val="ConsPlusNormal"/>
        <w:jc w:val="center"/>
        <w:rPr>
          <w:b/>
          <w:bCs/>
          <w:sz w:val="28"/>
        </w:rPr>
      </w:pPr>
    </w:p>
    <w:p w14:paraId="1AC510E7" w14:textId="77777777" w:rsidR="00973299" w:rsidRDefault="00973299" w:rsidP="00973299">
      <w:pPr>
        <w:pStyle w:val="ConsPlusNormal"/>
        <w:jc w:val="center"/>
        <w:rPr>
          <w:b/>
          <w:bCs/>
          <w:sz w:val="28"/>
        </w:rPr>
      </w:pPr>
    </w:p>
    <w:p w14:paraId="7787BB90" w14:textId="77777777" w:rsidR="00973299" w:rsidRDefault="00973299" w:rsidP="00973299">
      <w:pPr>
        <w:pStyle w:val="ConsPlusNormal"/>
        <w:jc w:val="center"/>
        <w:rPr>
          <w:b/>
          <w:bCs/>
          <w:sz w:val="28"/>
        </w:rPr>
      </w:pPr>
    </w:p>
    <w:p w14:paraId="21FFB84C" w14:textId="17AE8911" w:rsidR="00DA312F" w:rsidRDefault="00973299" w:rsidP="00973299">
      <w:pPr>
        <w:pStyle w:val="ConsPlusNormal"/>
        <w:jc w:val="center"/>
        <w:rPr>
          <w:b/>
          <w:bCs/>
          <w:sz w:val="28"/>
        </w:rPr>
      </w:pPr>
      <w:r w:rsidRPr="00B0658A">
        <w:rPr>
          <w:b/>
          <w:bCs/>
          <w:sz w:val="28"/>
        </w:rPr>
        <w:t>МЕТОДИЧЕСКИЕ РЕКОМЕНДАЦИИ</w:t>
      </w:r>
    </w:p>
    <w:p w14:paraId="6DBA07E0" w14:textId="77777777" w:rsidR="00973299" w:rsidRPr="00B0658A" w:rsidRDefault="00973299" w:rsidP="00973299">
      <w:pPr>
        <w:pStyle w:val="ConsPlusNormal"/>
        <w:jc w:val="center"/>
        <w:rPr>
          <w:b/>
          <w:bCs/>
          <w:sz w:val="28"/>
        </w:rPr>
      </w:pPr>
    </w:p>
    <w:p w14:paraId="6A4DFD65" w14:textId="77777777" w:rsidR="00DA312F" w:rsidRPr="00B0658A" w:rsidRDefault="00DA312F" w:rsidP="00973299">
      <w:pPr>
        <w:pStyle w:val="ConsPlusNormal"/>
        <w:spacing w:line="276" w:lineRule="auto"/>
        <w:jc w:val="center"/>
        <w:rPr>
          <w:b/>
          <w:bCs/>
          <w:sz w:val="28"/>
        </w:rPr>
      </w:pPr>
      <w:r w:rsidRPr="00B0658A">
        <w:rPr>
          <w:b/>
          <w:bCs/>
          <w:sz w:val="28"/>
        </w:rPr>
        <w:t>по переходу на использование российского программного обеспечения, в том числе на значимых объектах критической информационной инфраструктуры Российской Федерации</w:t>
      </w:r>
    </w:p>
    <w:p w14:paraId="4CFEF7F6" w14:textId="77777777" w:rsidR="00784B5B" w:rsidRPr="00B0658A" w:rsidRDefault="00784B5B" w:rsidP="00064E36">
      <w:pPr>
        <w:pStyle w:val="ConsPlusNormal"/>
        <w:jc w:val="right"/>
        <w:rPr>
          <w:sz w:val="28"/>
        </w:rPr>
      </w:pPr>
    </w:p>
    <w:sdt>
      <w:sdtPr>
        <w:rPr>
          <w:rFonts w:ascii="Times New Roman" w:eastAsia="Times New Roman" w:hAnsi="Times New Roman" w:cs="Times New Roman"/>
          <w:color w:val="auto"/>
          <w:sz w:val="22"/>
          <w:szCs w:val="22"/>
        </w:rPr>
        <w:id w:val="-873007438"/>
        <w:docPartObj>
          <w:docPartGallery w:val="Table of Contents"/>
          <w:docPartUnique/>
        </w:docPartObj>
      </w:sdtPr>
      <w:sdtEndPr>
        <w:rPr>
          <w:b/>
          <w:bCs/>
          <w:sz w:val="28"/>
          <w:szCs w:val="28"/>
        </w:rPr>
      </w:sdtEndPr>
      <w:sdtContent>
        <w:p w14:paraId="478CA0D4" w14:textId="77777777" w:rsidR="00973299" w:rsidRDefault="00973299" w:rsidP="00F57B1F">
          <w:pPr>
            <w:pStyle w:val="afffe"/>
            <w:spacing w:before="0" w:line="240" w:lineRule="auto"/>
            <w:rPr>
              <w:rFonts w:ascii="Times New Roman" w:eastAsia="Times New Roman" w:hAnsi="Times New Roman" w:cs="Times New Roman"/>
              <w:color w:val="auto"/>
              <w:sz w:val="22"/>
              <w:szCs w:val="22"/>
            </w:rPr>
          </w:pPr>
        </w:p>
        <w:p w14:paraId="782A3732" w14:textId="77777777" w:rsidR="00973299" w:rsidRDefault="00973299" w:rsidP="00F57B1F">
          <w:pPr>
            <w:spacing w:after="0" w:line="240" w:lineRule="auto"/>
            <w:rPr>
              <w:rFonts w:ascii="Times New Roman" w:hAnsi="Times New Roman"/>
            </w:rPr>
          </w:pPr>
          <w:r>
            <w:rPr>
              <w:rFonts w:ascii="Times New Roman" w:hAnsi="Times New Roman"/>
            </w:rPr>
            <w:br w:type="page"/>
          </w:r>
        </w:p>
        <w:p w14:paraId="6C7B8443" w14:textId="377F6E4F" w:rsidR="00784B5B" w:rsidRDefault="00784B5B" w:rsidP="00F57B1F">
          <w:pPr>
            <w:pStyle w:val="afffe"/>
            <w:spacing w:before="0" w:line="240" w:lineRule="auto"/>
            <w:jc w:val="center"/>
            <w:rPr>
              <w:rFonts w:ascii="Times New Roman" w:hAnsi="Times New Roman" w:cs="Times New Roman"/>
              <w:b/>
              <w:color w:val="auto"/>
            </w:rPr>
          </w:pPr>
          <w:r w:rsidRPr="00B0658A">
            <w:rPr>
              <w:rFonts w:ascii="Times New Roman" w:hAnsi="Times New Roman" w:cs="Times New Roman"/>
              <w:b/>
              <w:color w:val="auto"/>
            </w:rPr>
            <w:lastRenderedPageBreak/>
            <w:t>Оглавление</w:t>
          </w:r>
        </w:p>
        <w:p w14:paraId="2EB7A172" w14:textId="77777777" w:rsidR="00F57B1F" w:rsidRPr="00F57B1F" w:rsidRDefault="00F57B1F" w:rsidP="00F57B1F"/>
        <w:p w14:paraId="598DEDC2" w14:textId="05182664" w:rsidR="00887027" w:rsidRPr="00973299" w:rsidRDefault="00122639" w:rsidP="00F57B1F">
          <w:pPr>
            <w:pStyle w:val="1f2"/>
            <w:tabs>
              <w:tab w:val="right" w:leader="dot" w:pos="10197"/>
            </w:tabs>
            <w:spacing w:after="0" w:line="240" w:lineRule="auto"/>
            <w:jc w:val="both"/>
            <w:rPr>
              <w:rFonts w:asciiTheme="minorHAnsi" w:eastAsiaTheme="minorEastAsia" w:hAnsiTheme="minorHAnsi" w:cstheme="minorBidi"/>
              <w:noProof/>
              <w:szCs w:val="24"/>
            </w:rPr>
          </w:pPr>
          <w:r w:rsidRPr="00B0658A">
            <w:rPr>
              <w:sz w:val="28"/>
              <w:szCs w:val="28"/>
            </w:rPr>
            <w:fldChar w:fldCharType="begin"/>
          </w:r>
          <w:r w:rsidRPr="00B0658A">
            <w:rPr>
              <w:sz w:val="28"/>
              <w:szCs w:val="28"/>
            </w:rPr>
            <w:instrText xml:space="preserve"> TOC \o "1-3" \h \z \u </w:instrText>
          </w:r>
          <w:r w:rsidRPr="00B0658A">
            <w:rPr>
              <w:sz w:val="28"/>
              <w:szCs w:val="28"/>
            </w:rPr>
            <w:fldChar w:fldCharType="separate"/>
          </w:r>
          <w:hyperlink w:anchor="_Toc116632259" w:history="1">
            <w:r w:rsidR="00887027" w:rsidRPr="00973299">
              <w:rPr>
                <w:rStyle w:val="afffd"/>
                <w:noProof/>
                <w:szCs w:val="24"/>
              </w:rPr>
              <w:t>1.</w:t>
            </w:r>
            <w:r w:rsidR="00887027" w:rsidRPr="00973299">
              <w:rPr>
                <w:rStyle w:val="afffd"/>
                <w:noProof/>
                <w:szCs w:val="24"/>
                <w:lang w:val="en-US"/>
              </w:rPr>
              <w:t> </w:t>
            </w:r>
            <w:r w:rsidR="00887027" w:rsidRPr="00973299">
              <w:rPr>
                <w:rStyle w:val="afffd"/>
                <w:noProof/>
                <w:szCs w:val="24"/>
              </w:rPr>
              <w:t>Термины и определения</w:t>
            </w:r>
            <w:r w:rsidR="00887027" w:rsidRPr="00973299">
              <w:rPr>
                <w:noProof/>
                <w:webHidden/>
                <w:szCs w:val="24"/>
              </w:rPr>
              <w:tab/>
            </w:r>
            <w:r w:rsidR="00887027" w:rsidRPr="00973299">
              <w:rPr>
                <w:noProof/>
                <w:webHidden/>
                <w:szCs w:val="24"/>
              </w:rPr>
              <w:fldChar w:fldCharType="begin"/>
            </w:r>
            <w:r w:rsidR="00887027" w:rsidRPr="00973299">
              <w:rPr>
                <w:noProof/>
                <w:webHidden/>
                <w:szCs w:val="24"/>
              </w:rPr>
              <w:instrText xml:space="preserve"> PAGEREF _Toc116632259 \h </w:instrText>
            </w:r>
            <w:r w:rsidR="00887027" w:rsidRPr="00973299">
              <w:rPr>
                <w:noProof/>
                <w:webHidden/>
                <w:szCs w:val="24"/>
              </w:rPr>
            </w:r>
            <w:r w:rsidR="00887027" w:rsidRPr="00973299">
              <w:rPr>
                <w:noProof/>
                <w:webHidden/>
                <w:szCs w:val="24"/>
              </w:rPr>
              <w:fldChar w:fldCharType="separate"/>
            </w:r>
            <w:r w:rsidR="00F57B1F">
              <w:rPr>
                <w:noProof/>
                <w:webHidden/>
                <w:szCs w:val="24"/>
              </w:rPr>
              <w:t>5</w:t>
            </w:r>
            <w:r w:rsidR="00887027" w:rsidRPr="00973299">
              <w:rPr>
                <w:noProof/>
                <w:webHidden/>
                <w:szCs w:val="24"/>
              </w:rPr>
              <w:fldChar w:fldCharType="end"/>
            </w:r>
          </w:hyperlink>
        </w:p>
        <w:p w14:paraId="34E70936" w14:textId="5835C6BC" w:rsidR="00887027" w:rsidRPr="00973299" w:rsidRDefault="00381069" w:rsidP="00F57B1F">
          <w:pPr>
            <w:pStyle w:val="1f2"/>
            <w:tabs>
              <w:tab w:val="right" w:leader="dot" w:pos="10197"/>
            </w:tabs>
            <w:spacing w:after="0" w:line="240" w:lineRule="auto"/>
            <w:jc w:val="both"/>
            <w:rPr>
              <w:rFonts w:asciiTheme="minorHAnsi" w:eastAsiaTheme="minorEastAsia" w:hAnsiTheme="minorHAnsi" w:cstheme="minorBidi"/>
              <w:noProof/>
              <w:szCs w:val="24"/>
            </w:rPr>
          </w:pPr>
          <w:hyperlink w:anchor="_Toc116632260" w:history="1">
            <w:r w:rsidR="00887027" w:rsidRPr="00973299">
              <w:rPr>
                <w:rStyle w:val="afffd"/>
                <w:noProof/>
                <w:szCs w:val="24"/>
              </w:rPr>
              <w:t>2.</w:t>
            </w:r>
            <w:r w:rsidR="00887027" w:rsidRPr="00973299">
              <w:rPr>
                <w:rStyle w:val="afffd"/>
                <w:noProof/>
                <w:szCs w:val="24"/>
                <w:lang w:val="en-US"/>
              </w:rPr>
              <w:t> </w:t>
            </w:r>
            <w:r w:rsidR="00887027" w:rsidRPr="00973299">
              <w:rPr>
                <w:rStyle w:val="afffd"/>
                <w:noProof/>
                <w:szCs w:val="24"/>
              </w:rPr>
              <w:t>Общие положения</w:t>
            </w:r>
            <w:r w:rsidR="00887027" w:rsidRPr="00973299">
              <w:rPr>
                <w:noProof/>
                <w:webHidden/>
                <w:szCs w:val="24"/>
              </w:rPr>
              <w:tab/>
            </w:r>
            <w:r w:rsidR="00887027" w:rsidRPr="00973299">
              <w:rPr>
                <w:noProof/>
                <w:webHidden/>
                <w:szCs w:val="24"/>
              </w:rPr>
              <w:fldChar w:fldCharType="begin"/>
            </w:r>
            <w:r w:rsidR="00887027" w:rsidRPr="00973299">
              <w:rPr>
                <w:noProof/>
                <w:webHidden/>
                <w:szCs w:val="24"/>
              </w:rPr>
              <w:instrText xml:space="preserve"> PAGEREF _Toc116632260 \h </w:instrText>
            </w:r>
            <w:r w:rsidR="00887027" w:rsidRPr="00973299">
              <w:rPr>
                <w:noProof/>
                <w:webHidden/>
                <w:szCs w:val="24"/>
              </w:rPr>
            </w:r>
            <w:r w:rsidR="00887027" w:rsidRPr="00973299">
              <w:rPr>
                <w:noProof/>
                <w:webHidden/>
                <w:szCs w:val="24"/>
              </w:rPr>
              <w:fldChar w:fldCharType="separate"/>
            </w:r>
            <w:r w:rsidR="00F57B1F">
              <w:rPr>
                <w:noProof/>
                <w:webHidden/>
                <w:szCs w:val="24"/>
              </w:rPr>
              <w:t>11</w:t>
            </w:r>
            <w:r w:rsidR="00887027" w:rsidRPr="00973299">
              <w:rPr>
                <w:noProof/>
                <w:webHidden/>
                <w:szCs w:val="24"/>
              </w:rPr>
              <w:fldChar w:fldCharType="end"/>
            </w:r>
          </w:hyperlink>
        </w:p>
        <w:p w14:paraId="1E593F60" w14:textId="036957F2" w:rsidR="00887027" w:rsidRPr="00973299" w:rsidRDefault="00381069" w:rsidP="00F57B1F">
          <w:pPr>
            <w:pStyle w:val="1f2"/>
            <w:tabs>
              <w:tab w:val="right" w:leader="dot" w:pos="10197"/>
            </w:tabs>
            <w:spacing w:after="0" w:line="240" w:lineRule="auto"/>
            <w:jc w:val="both"/>
            <w:rPr>
              <w:rFonts w:asciiTheme="minorHAnsi" w:eastAsiaTheme="minorEastAsia" w:hAnsiTheme="minorHAnsi" w:cstheme="minorBidi"/>
              <w:noProof/>
              <w:szCs w:val="24"/>
            </w:rPr>
          </w:pPr>
          <w:hyperlink w:anchor="_Toc116632261" w:history="1">
            <w:r w:rsidR="00887027" w:rsidRPr="00973299">
              <w:rPr>
                <w:rStyle w:val="afffd"/>
                <w:noProof/>
                <w:szCs w:val="24"/>
              </w:rPr>
              <w:t>3.</w:t>
            </w:r>
            <w:r w:rsidR="00887027" w:rsidRPr="00973299">
              <w:rPr>
                <w:rStyle w:val="afffd"/>
                <w:noProof/>
                <w:szCs w:val="24"/>
                <w:lang w:val="en-US"/>
              </w:rPr>
              <w:t> </w:t>
            </w:r>
            <w:r w:rsidR="00887027" w:rsidRPr="00973299">
              <w:rPr>
                <w:rStyle w:val="afffd"/>
                <w:noProof/>
                <w:szCs w:val="24"/>
              </w:rPr>
              <w:t>Планирование перехода органов государственной власти и организаций на использование российского ПО, в том числе на значимых объектах критической информационной инфраструктуры Российской Федерации, а также планирование органами государственной власти и государственными внебюджетными фондами перевода государственных и ведомственных информационных систем на использование российского ПО</w:t>
            </w:r>
            <w:r w:rsidR="00887027" w:rsidRPr="00973299">
              <w:rPr>
                <w:noProof/>
                <w:webHidden/>
                <w:szCs w:val="24"/>
              </w:rPr>
              <w:tab/>
            </w:r>
            <w:r w:rsidR="00887027" w:rsidRPr="00973299">
              <w:rPr>
                <w:noProof/>
                <w:webHidden/>
                <w:szCs w:val="24"/>
              </w:rPr>
              <w:fldChar w:fldCharType="begin"/>
            </w:r>
            <w:r w:rsidR="00887027" w:rsidRPr="00973299">
              <w:rPr>
                <w:noProof/>
                <w:webHidden/>
                <w:szCs w:val="24"/>
              </w:rPr>
              <w:instrText xml:space="preserve"> PAGEREF _Toc116632261 \h </w:instrText>
            </w:r>
            <w:r w:rsidR="00887027" w:rsidRPr="00973299">
              <w:rPr>
                <w:noProof/>
                <w:webHidden/>
                <w:szCs w:val="24"/>
              </w:rPr>
            </w:r>
            <w:r w:rsidR="00887027" w:rsidRPr="00973299">
              <w:rPr>
                <w:noProof/>
                <w:webHidden/>
                <w:szCs w:val="24"/>
              </w:rPr>
              <w:fldChar w:fldCharType="separate"/>
            </w:r>
            <w:r w:rsidR="00F57B1F">
              <w:rPr>
                <w:noProof/>
                <w:webHidden/>
                <w:szCs w:val="24"/>
              </w:rPr>
              <w:t>21</w:t>
            </w:r>
            <w:r w:rsidR="00887027" w:rsidRPr="00973299">
              <w:rPr>
                <w:noProof/>
                <w:webHidden/>
                <w:szCs w:val="24"/>
              </w:rPr>
              <w:fldChar w:fldCharType="end"/>
            </w:r>
          </w:hyperlink>
        </w:p>
        <w:p w14:paraId="60E108C9" w14:textId="7136FB3D" w:rsidR="00887027" w:rsidRPr="00973299" w:rsidRDefault="00381069" w:rsidP="00F57B1F">
          <w:pPr>
            <w:pStyle w:val="1f2"/>
            <w:tabs>
              <w:tab w:val="right" w:leader="dot" w:pos="10197"/>
            </w:tabs>
            <w:spacing w:after="0" w:line="240" w:lineRule="auto"/>
            <w:jc w:val="both"/>
            <w:rPr>
              <w:rFonts w:asciiTheme="minorHAnsi" w:eastAsiaTheme="minorEastAsia" w:hAnsiTheme="minorHAnsi" w:cstheme="minorBidi"/>
              <w:noProof/>
              <w:szCs w:val="24"/>
            </w:rPr>
          </w:pPr>
          <w:hyperlink w:anchor="_Toc116632262" w:history="1">
            <w:r w:rsidR="00887027" w:rsidRPr="00973299">
              <w:rPr>
                <w:rStyle w:val="afffd"/>
                <w:noProof/>
                <w:szCs w:val="24"/>
              </w:rPr>
              <w:t>3.1. Переход органов государственной власти и государственных внебюджетных фондов на использование российского ПО, в том числе переход на использование российского ПО на принадлежащих им значимых объектах КИИ, а также обеспечение перевода государственных и ведомственных информационных систем на использование российского ПО</w:t>
            </w:r>
            <w:r w:rsidR="00887027" w:rsidRPr="00973299">
              <w:rPr>
                <w:noProof/>
                <w:webHidden/>
                <w:szCs w:val="24"/>
              </w:rPr>
              <w:tab/>
            </w:r>
            <w:r w:rsidR="00887027" w:rsidRPr="00973299">
              <w:rPr>
                <w:noProof/>
                <w:webHidden/>
                <w:szCs w:val="24"/>
              </w:rPr>
              <w:fldChar w:fldCharType="begin"/>
            </w:r>
            <w:r w:rsidR="00887027" w:rsidRPr="00973299">
              <w:rPr>
                <w:noProof/>
                <w:webHidden/>
                <w:szCs w:val="24"/>
              </w:rPr>
              <w:instrText xml:space="preserve"> PAGEREF _Toc116632262 \h </w:instrText>
            </w:r>
            <w:r w:rsidR="00887027" w:rsidRPr="00973299">
              <w:rPr>
                <w:noProof/>
                <w:webHidden/>
                <w:szCs w:val="24"/>
              </w:rPr>
            </w:r>
            <w:r w:rsidR="00887027" w:rsidRPr="00973299">
              <w:rPr>
                <w:noProof/>
                <w:webHidden/>
                <w:szCs w:val="24"/>
              </w:rPr>
              <w:fldChar w:fldCharType="separate"/>
            </w:r>
            <w:r w:rsidR="00F57B1F">
              <w:rPr>
                <w:noProof/>
                <w:webHidden/>
                <w:szCs w:val="24"/>
              </w:rPr>
              <w:t>21</w:t>
            </w:r>
            <w:r w:rsidR="00887027" w:rsidRPr="00973299">
              <w:rPr>
                <w:noProof/>
                <w:webHidden/>
                <w:szCs w:val="24"/>
              </w:rPr>
              <w:fldChar w:fldCharType="end"/>
            </w:r>
          </w:hyperlink>
        </w:p>
        <w:p w14:paraId="341AE8BA" w14:textId="1AA50DCC" w:rsidR="00887027" w:rsidRPr="00973299" w:rsidRDefault="00381069" w:rsidP="00F57B1F">
          <w:pPr>
            <w:pStyle w:val="1f2"/>
            <w:tabs>
              <w:tab w:val="right" w:leader="dot" w:pos="10197"/>
            </w:tabs>
            <w:spacing w:after="0" w:line="240" w:lineRule="auto"/>
            <w:jc w:val="both"/>
            <w:rPr>
              <w:rFonts w:asciiTheme="minorHAnsi" w:eastAsiaTheme="minorEastAsia" w:hAnsiTheme="minorHAnsi" w:cstheme="minorBidi"/>
              <w:noProof/>
              <w:szCs w:val="24"/>
            </w:rPr>
          </w:pPr>
          <w:hyperlink w:anchor="_Toc116632263" w:history="1">
            <w:r w:rsidR="00887027" w:rsidRPr="00973299">
              <w:rPr>
                <w:rStyle w:val="afffd"/>
                <w:noProof/>
                <w:szCs w:val="24"/>
              </w:rPr>
              <w:t>3.2. Переход на использование российского ПО организаций, подведомственных органам государственной власти и государственным внебюджетным фондам</w:t>
            </w:r>
            <w:r w:rsidR="00887027" w:rsidRPr="00973299">
              <w:rPr>
                <w:noProof/>
                <w:webHidden/>
                <w:szCs w:val="24"/>
              </w:rPr>
              <w:tab/>
            </w:r>
            <w:r w:rsidR="00887027" w:rsidRPr="00973299">
              <w:rPr>
                <w:noProof/>
                <w:webHidden/>
                <w:szCs w:val="24"/>
              </w:rPr>
              <w:fldChar w:fldCharType="begin"/>
            </w:r>
            <w:r w:rsidR="00887027" w:rsidRPr="00973299">
              <w:rPr>
                <w:noProof/>
                <w:webHidden/>
                <w:szCs w:val="24"/>
              </w:rPr>
              <w:instrText xml:space="preserve"> PAGEREF _Toc116632263 \h </w:instrText>
            </w:r>
            <w:r w:rsidR="00887027" w:rsidRPr="00973299">
              <w:rPr>
                <w:noProof/>
                <w:webHidden/>
                <w:szCs w:val="24"/>
              </w:rPr>
            </w:r>
            <w:r w:rsidR="00887027" w:rsidRPr="00973299">
              <w:rPr>
                <w:noProof/>
                <w:webHidden/>
                <w:szCs w:val="24"/>
              </w:rPr>
              <w:fldChar w:fldCharType="separate"/>
            </w:r>
            <w:r w:rsidR="00F57B1F">
              <w:rPr>
                <w:noProof/>
                <w:webHidden/>
                <w:szCs w:val="24"/>
              </w:rPr>
              <w:t>34</w:t>
            </w:r>
            <w:r w:rsidR="00887027" w:rsidRPr="00973299">
              <w:rPr>
                <w:noProof/>
                <w:webHidden/>
                <w:szCs w:val="24"/>
              </w:rPr>
              <w:fldChar w:fldCharType="end"/>
            </w:r>
          </w:hyperlink>
        </w:p>
        <w:p w14:paraId="075EFC05" w14:textId="5F79BA46" w:rsidR="00887027" w:rsidRPr="00973299" w:rsidRDefault="00381069" w:rsidP="00F57B1F">
          <w:pPr>
            <w:pStyle w:val="1f2"/>
            <w:tabs>
              <w:tab w:val="right" w:leader="dot" w:pos="10197"/>
            </w:tabs>
            <w:spacing w:after="0" w:line="240" w:lineRule="auto"/>
            <w:jc w:val="both"/>
            <w:rPr>
              <w:rFonts w:asciiTheme="minorHAnsi" w:eastAsiaTheme="minorEastAsia" w:hAnsiTheme="minorHAnsi" w:cstheme="minorBidi"/>
              <w:noProof/>
              <w:szCs w:val="24"/>
            </w:rPr>
          </w:pPr>
          <w:hyperlink w:anchor="_Toc116632264" w:history="1">
            <w:r w:rsidR="00887027" w:rsidRPr="00973299">
              <w:rPr>
                <w:rStyle w:val="afffd"/>
                <w:noProof/>
                <w:szCs w:val="24"/>
              </w:rPr>
              <w:t>3.3. Переход на использование российского ПО государственных корпораций и компаний с государственным участием, в том числе организаций, в уставных капиталах которых суммарная доля прямого и (или) косвенного участия государственных корпораций и компаний с государственным участием превышает 50 процентов, сведения о которых включены в специальный перечень 91-р или в отношении которых приняты решения о разработке стратегии (программы) цифровой трансформации</w:t>
            </w:r>
            <w:r w:rsidR="00887027" w:rsidRPr="00973299">
              <w:rPr>
                <w:noProof/>
                <w:webHidden/>
                <w:szCs w:val="24"/>
              </w:rPr>
              <w:tab/>
            </w:r>
            <w:r w:rsidR="00887027" w:rsidRPr="00973299">
              <w:rPr>
                <w:noProof/>
                <w:webHidden/>
                <w:szCs w:val="24"/>
              </w:rPr>
              <w:fldChar w:fldCharType="begin"/>
            </w:r>
            <w:r w:rsidR="00887027" w:rsidRPr="00973299">
              <w:rPr>
                <w:noProof/>
                <w:webHidden/>
                <w:szCs w:val="24"/>
              </w:rPr>
              <w:instrText xml:space="preserve"> PAGEREF _Toc116632264 \h </w:instrText>
            </w:r>
            <w:r w:rsidR="00887027" w:rsidRPr="00973299">
              <w:rPr>
                <w:noProof/>
                <w:webHidden/>
                <w:szCs w:val="24"/>
              </w:rPr>
            </w:r>
            <w:r w:rsidR="00887027" w:rsidRPr="00973299">
              <w:rPr>
                <w:noProof/>
                <w:webHidden/>
                <w:szCs w:val="24"/>
              </w:rPr>
              <w:fldChar w:fldCharType="separate"/>
            </w:r>
            <w:r w:rsidR="00F57B1F">
              <w:rPr>
                <w:noProof/>
                <w:webHidden/>
                <w:szCs w:val="24"/>
              </w:rPr>
              <w:t>44</w:t>
            </w:r>
            <w:r w:rsidR="00887027" w:rsidRPr="00973299">
              <w:rPr>
                <w:noProof/>
                <w:webHidden/>
                <w:szCs w:val="24"/>
              </w:rPr>
              <w:fldChar w:fldCharType="end"/>
            </w:r>
          </w:hyperlink>
        </w:p>
        <w:p w14:paraId="61F6F420" w14:textId="73224220" w:rsidR="00887027" w:rsidRPr="00973299" w:rsidRDefault="00381069" w:rsidP="00F57B1F">
          <w:pPr>
            <w:pStyle w:val="1f2"/>
            <w:tabs>
              <w:tab w:val="right" w:leader="dot" w:pos="10197"/>
            </w:tabs>
            <w:spacing w:after="0" w:line="240" w:lineRule="auto"/>
            <w:jc w:val="both"/>
            <w:rPr>
              <w:rFonts w:asciiTheme="minorHAnsi" w:eastAsiaTheme="minorEastAsia" w:hAnsiTheme="minorHAnsi" w:cstheme="minorBidi"/>
              <w:noProof/>
              <w:szCs w:val="24"/>
            </w:rPr>
          </w:pPr>
          <w:hyperlink w:anchor="_Toc116632265" w:history="1">
            <w:r w:rsidR="00887027" w:rsidRPr="00973299">
              <w:rPr>
                <w:rStyle w:val="afffd"/>
                <w:noProof/>
                <w:szCs w:val="24"/>
              </w:rPr>
              <w:t>3.4. Переход на использование российского ПО иных организаций, осуществляющих закупки товаров, работ, услуг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Федеральным законом «О закупках товаров, работ, услуг отдельными видами юридических лиц» (за исключением организаций с муниципальным участием)</w:t>
            </w:r>
            <w:r w:rsidR="00887027" w:rsidRPr="00973299">
              <w:rPr>
                <w:noProof/>
                <w:webHidden/>
                <w:szCs w:val="24"/>
              </w:rPr>
              <w:tab/>
            </w:r>
            <w:r w:rsidR="00887027" w:rsidRPr="00973299">
              <w:rPr>
                <w:noProof/>
                <w:webHidden/>
                <w:szCs w:val="24"/>
              </w:rPr>
              <w:fldChar w:fldCharType="begin"/>
            </w:r>
            <w:r w:rsidR="00887027" w:rsidRPr="00973299">
              <w:rPr>
                <w:noProof/>
                <w:webHidden/>
                <w:szCs w:val="24"/>
              </w:rPr>
              <w:instrText xml:space="preserve"> PAGEREF _Toc116632265 \h </w:instrText>
            </w:r>
            <w:r w:rsidR="00887027" w:rsidRPr="00973299">
              <w:rPr>
                <w:noProof/>
                <w:webHidden/>
                <w:szCs w:val="24"/>
              </w:rPr>
            </w:r>
            <w:r w:rsidR="00887027" w:rsidRPr="00973299">
              <w:rPr>
                <w:noProof/>
                <w:webHidden/>
                <w:szCs w:val="24"/>
              </w:rPr>
              <w:fldChar w:fldCharType="separate"/>
            </w:r>
            <w:r w:rsidR="00F57B1F">
              <w:rPr>
                <w:noProof/>
                <w:webHidden/>
                <w:szCs w:val="24"/>
              </w:rPr>
              <w:t>56</w:t>
            </w:r>
            <w:r w:rsidR="00887027" w:rsidRPr="00973299">
              <w:rPr>
                <w:noProof/>
                <w:webHidden/>
                <w:szCs w:val="24"/>
              </w:rPr>
              <w:fldChar w:fldCharType="end"/>
            </w:r>
          </w:hyperlink>
        </w:p>
        <w:p w14:paraId="5A006530" w14:textId="01F4388C" w:rsidR="00887027" w:rsidRPr="00973299" w:rsidRDefault="00381069" w:rsidP="00F57B1F">
          <w:pPr>
            <w:pStyle w:val="1f2"/>
            <w:tabs>
              <w:tab w:val="right" w:leader="dot" w:pos="10197"/>
            </w:tabs>
            <w:spacing w:after="0" w:line="240" w:lineRule="auto"/>
            <w:jc w:val="both"/>
            <w:rPr>
              <w:rFonts w:asciiTheme="minorHAnsi" w:eastAsiaTheme="minorEastAsia" w:hAnsiTheme="minorHAnsi" w:cstheme="minorBidi"/>
              <w:noProof/>
              <w:szCs w:val="24"/>
            </w:rPr>
          </w:pPr>
          <w:hyperlink w:anchor="_Toc116632266" w:history="1">
            <w:r w:rsidR="00887027" w:rsidRPr="00973299">
              <w:rPr>
                <w:rStyle w:val="afffd"/>
                <w:noProof/>
                <w:szCs w:val="24"/>
              </w:rPr>
              <w:t>3.5. Переход иных организаций на российское ПО, являющихся субъектами критической информационной инфраструктуры Российской Федерации и которым принадлежат значимые объекты критической информационной инфраструктуры Российской Федерации</w:t>
            </w:r>
            <w:r w:rsidR="00887027" w:rsidRPr="00973299">
              <w:rPr>
                <w:noProof/>
                <w:webHidden/>
                <w:szCs w:val="24"/>
              </w:rPr>
              <w:tab/>
            </w:r>
            <w:r w:rsidR="00887027" w:rsidRPr="00973299">
              <w:rPr>
                <w:noProof/>
                <w:webHidden/>
                <w:szCs w:val="24"/>
              </w:rPr>
              <w:fldChar w:fldCharType="begin"/>
            </w:r>
            <w:r w:rsidR="00887027" w:rsidRPr="00973299">
              <w:rPr>
                <w:noProof/>
                <w:webHidden/>
                <w:szCs w:val="24"/>
              </w:rPr>
              <w:instrText xml:space="preserve"> PAGEREF _Toc116632266 \h </w:instrText>
            </w:r>
            <w:r w:rsidR="00887027" w:rsidRPr="00973299">
              <w:rPr>
                <w:noProof/>
                <w:webHidden/>
                <w:szCs w:val="24"/>
              </w:rPr>
            </w:r>
            <w:r w:rsidR="00887027" w:rsidRPr="00973299">
              <w:rPr>
                <w:noProof/>
                <w:webHidden/>
                <w:szCs w:val="24"/>
              </w:rPr>
              <w:fldChar w:fldCharType="separate"/>
            </w:r>
            <w:r w:rsidR="00F57B1F">
              <w:rPr>
                <w:noProof/>
                <w:webHidden/>
                <w:szCs w:val="24"/>
              </w:rPr>
              <w:t>66</w:t>
            </w:r>
            <w:r w:rsidR="00887027" w:rsidRPr="00973299">
              <w:rPr>
                <w:noProof/>
                <w:webHidden/>
                <w:szCs w:val="24"/>
              </w:rPr>
              <w:fldChar w:fldCharType="end"/>
            </w:r>
          </w:hyperlink>
        </w:p>
        <w:p w14:paraId="5C36BC0D" w14:textId="0D2D0419" w:rsidR="00887027" w:rsidRPr="00973299" w:rsidRDefault="00381069" w:rsidP="00F57B1F">
          <w:pPr>
            <w:pStyle w:val="1f2"/>
            <w:tabs>
              <w:tab w:val="right" w:leader="dot" w:pos="10197"/>
            </w:tabs>
            <w:spacing w:after="0" w:line="240" w:lineRule="auto"/>
            <w:jc w:val="both"/>
            <w:rPr>
              <w:rFonts w:asciiTheme="minorHAnsi" w:eastAsiaTheme="minorEastAsia" w:hAnsiTheme="minorHAnsi" w:cstheme="minorBidi"/>
              <w:noProof/>
              <w:szCs w:val="24"/>
            </w:rPr>
          </w:pPr>
          <w:hyperlink w:anchor="_Toc116632267" w:history="1">
            <w:r w:rsidR="00887027" w:rsidRPr="00973299">
              <w:rPr>
                <w:rStyle w:val="afffd"/>
                <w:noProof/>
                <w:szCs w:val="24"/>
              </w:rPr>
              <w:t>4. Заключительные положения</w:t>
            </w:r>
            <w:r w:rsidR="00887027" w:rsidRPr="00973299">
              <w:rPr>
                <w:noProof/>
                <w:webHidden/>
                <w:szCs w:val="24"/>
              </w:rPr>
              <w:tab/>
            </w:r>
            <w:r w:rsidR="00887027" w:rsidRPr="00973299">
              <w:rPr>
                <w:noProof/>
                <w:webHidden/>
                <w:szCs w:val="24"/>
              </w:rPr>
              <w:fldChar w:fldCharType="begin"/>
            </w:r>
            <w:r w:rsidR="00887027" w:rsidRPr="00973299">
              <w:rPr>
                <w:noProof/>
                <w:webHidden/>
                <w:szCs w:val="24"/>
              </w:rPr>
              <w:instrText xml:space="preserve"> PAGEREF _Toc116632267 \h </w:instrText>
            </w:r>
            <w:r w:rsidR="00887027" w:rsidRPr="00973299">
              <w:rPr>
                <w:noProof/>
                <w:webHidden/>
                <w:szCs w:val="24"/>
              </w:rPr>
            </w:r>
            <w:r w:rsidR="00887027" w:rsidRPr="00973299">
              <w:rPr>
                <w:noProof/>
                <w:webHidden/>
                <w:szCs w:val="24"/>
              </w:rPr>
              <w:fldChar w:fldCharType="separate"/>
            </w:r>
            <w:r w:rsidR="00F57B1F">
              <w:rPr>
                <w:noProof/>
                <w:webHidden/>
                <w:szCs w:val="24"/>
              </w:rPr>
              <w:t>73</w:t>
            </w:r>
            <w:r w:rsidR="00887027" w:rsidRPr="00973299">
              <w:rPr>
                <w:noProof/>
                <w:webHidden/>
                <w:szCs w:val="24"/>
              </w:rPr>
              <w:fldChar w:fldCharType="end"/>
            </w:r>
          </w:hyperlink>
        </w:p>
        <w:p w14:paraId="3AD921DA" w14:textId="4ECFBFC6" w:rsidR="00887027" w:rsidRPr="00973299" w:rsidRDefault="00381069" w:rsidP="00F57B1F">
          <w:pPr>
            <w:pStyle w:val="1f2"/>
            <w:tabs>
              <w:tab w:val="right" w:leader="dot" w:pos="10197"/>
            </w:tabs>
            <w:spacing w:after="0" w:line="240" w:lineRule="auto"/>
            <w:jc w:val="both"/>
            <w:rPr>
              <w:rFonts w:asciiTheme="minorHAnsi" w:eastAsiaTheme="minorEastAsia" w:hAnsiTheme="minorHAnsi" w:cstheme="minorBidi"/>
              <w:noProof/>
              <w:szCs w:val="24"/>
            </w:rPr>
          </w:pPr>
          <w:hyperlink w:anchor="_Toc116632268" w:history="1">
            <w:r w:rsidR="00887027" w:rsidRPr="00973299">
              <w:rPr>
                <w:rStyle w:val="afffd"/>
                <w:noProof/>
                <w:szCs w:val="24"/>
              </w:rPr>
              <w:t>Приложение № 1. Рекомендованная форма плана перехода органа государственной власти или государственного внебюджетного фонда на использование российского ПО</w:t>
            </w:r>
            <w:r w:rsidR="00887027" w:rsidRPr="00973299">
              <w:rPr>
                <w:noProof/>
                <w:webHidden/>
                <w:szCs w:val="24"/>
              </w:rPr>
              <w:tab/>
            </w:r>
            <w:r w:rsidR="00887027" w:rsidRPr="00973299">
              <w:rPr>
                <w:noProof/>
                <w:webHidden/>
                <w:szCs w:val="24"/>
              </w:rPr>
              <w:fldChar w:fldCharType="begin"/>
            </w:r>
            <w:r w:rsidR="00887027" w:rsidRPr="00973299">
              <w:rPr>
                <w:noProof/>
                <w:webHidden/>
                <w:szCs w:val="24"/>
              </w:rPr>
              <w:instrText xml:space="preserve"> PAGEREF _Toc116632268 \h </w:instrText>
            </w:r>
            <w:r w:rsidR="00887027" w:rsidRPr="00973299">
              <w:rPr>
                <w:noProof/>
                <w:webHidden/>
                <w:szCs w:val="24"/>
              </w:rPr>
            </w:r>
            <w:r w:rsidR="00887027" w:rsidRPr="00973299">
              <w:rPr>
                <w:noProof/>
                <w:webHidden/>
                <w:szCs w:val="24"/>
              </w:rPr>
              <w:fldChar w:fldCharType="separate"/>
            </w:r>
            <w:r w:rsidR="00F57B1F">
              <w:rPr>
                <w:noProof/>
                <w:webHidden/>
                <w:szCs w:val="24"/>
              </w:rPr>
              <w:t>75</w:t>
            </w:r>
            <w:r w:rsidR="00887027" w:rsidRPr="00973299">
              <w:rPr>
                <w:noProof/>
                <w:webHidden/>
                <w:szCs w:val="24"/>
              </w:rPr>
              <w:fldChar w:fldCharType="end"/>
            </w:r>
          </w:hyperlink>
        </w:p>
        <w:p w14:paraId="36F48DF3" w14:textId="27ADD584" w:rsidR="00887027" w:rsidRPr="00973299" w:rsidRDefault="00381069" w:rsidP="00F57B1F">
          <w:pPr>
            <w:pStyle w:val="1f2"/>
            <w:tabs>
              <w:tab w:val="right" w:leader="dot" w:pos="10197"/>
            </w:tabs>
            <w:spacing w:after="0" w:line="240" w:lineRule="auto"/>
            <w:jc w:val="both"/>
            <w:rPr>
              <w:rFonts w:asciiTheme="minorHAnsi" w:eastAsiaTheme="minorEastAsia" w:hAnsiTheme="minorHAnsi" w:cstheme="minorBidi"/>
              <w:noProof/>
              <w:szCs w:val="24"/>
            </w:rPr>
          </w:pPr>
          <w:hyperlink w:anchor="_Toc116632269" w:history="1">
            <w:r w:rsidR="00887027" w:rsidRPr="00973299">
              <w:rPr>
                <w:rStyle w:val="afffd"/>
                <w:noProof/>
                <w:szCs w:val="24"/>
              </w:rPr>
              <w:t>Приложение № 2. Рекомендованные показатели эффективности и соответствующие им значения индикаторов эффективности перехода органов государственной власти и государственных внебюджетных фондов на использование российского ПО</w:t>
            </w:r>
            <w:r w:rsidR="00887027" w:rsidRPr="00973299">
              <w:rPr>
                <w:noProof/>
                <w:webHidden/>
                <w:szCs w:val="24"/>
              </w:rPr>
              <w:tab/>
            </w:r>
            <w:r w:rsidR="00887027" w:rsidRPr="00973299">
              <w:rPr>
                <w:noProof/>
                <w:webHidden/>
                <w:szCs w:val="24"/>
              </w:rPr>
              <w:fldChar w:fldCharType="begin"/>
            </w:r>
            <w:r w:rsidR="00887027" w:rsidRPr="00973299">
              <w:rPr>
                <w:noProof/>
                <w:webHidden/>
                <w:szCs w:val="24"/>
              </w:rPr>
              <w:instrText xml:space="preserve"> PAGEREF _Toc116632269 \h </w:instrText>
            </w:r>
            <w:r w:rsidR="00887027" w:rsidRPr="00973299">
              <w:rPr>
                <w:noProof/>
                <w:webHidden/>
                <w:szCs w:val="24"/>
              </w:rPr>
            </w:r>
            <w:r w:rsidR="00887027" w:rsidRPr="00973299">
              <w:rPr>
                <w:noProof/>
                <w:webHidden/>
                <w:szCs w:val="24"/>
              </w:rPr>
              <w:fldChar w:fldCharType="separate"/>
            </w:r>
            <w:r w:rsidR="00F57B1F">
              <w:rPr>
                <w:noProof/>
                <w:webHidden/>
                <w:szCs w:val="24"/>
              </w:rPr>
              <w:t>110</w:t>
            </w:r>
            <w:r w:rsidR="00887027" w:rsidRPr="00973299">
              <w:rPr>
                <w:noProof/>
                <w:webHidden/>
                <w:szCs w:val="24"/>
              </w:rPr>
              <w:fldChar w:fldCharType="end"/>
            </w:r>
          </w:hyperlink>
        </w:p>
        <w:p w14:paraId="5EF67061" w14:textId="3694B10E" w:rsidR="00887027" w:rsidRPr="00973299" w:rsidRDefault="00381069" w:rsidP="00F57B1F">
          <w:pPr>
            <w:pStyle w:val="1f2"/>
            <w:tabs>
              <w:tab w:val="right" w:leader="dot" w:pos="10197"/>
            </w:tabs>
            <w:spacing w:after="0" w:line="240" w:lineRule="auto"/>
            <w:jc w:val="both"/>
            <w:rPr>
              <w:rFonts w:asciiTheme="minorHAnsi" w:eastAsiaTheme="minorEastAsia" w:hAnsiTheme="minorHAnsi" w:cstheme="minorBidi"/>
              <w:noProof/>
              <w:szCs w:val="24"/>
            </w:rPr>
          </w:pPr>
          <w:hyperlink w:anchor="_Toc116632270" w:history="1">
            <w:r w:rsidR="00887027" w:rsidRPr="00973299">
              <w:rPr>
                <w:rStyle w:val="afffd"/>
                <w:noProof/>
                <w:szCs w:val="24"/>
              </w:rPr>
              <w:t>Приложение № 3. Рекомендованные показатели эффективности в отношении закупок ПО и связанных с ним работ и услуг, проводимых органами государственной власти и государственными внебюджетными фондами</w:t>
            </w:r>
            <w:r w:rsidR="00887027" w:rsidRPr="00973299">
              <w:rPr>
                <w:noProof/>
                <w:webHidden/>
                <w:szCs w:val="24"/>
              </w:rPr>
              <w:tab/>
            </w:r>
            <w:r w:rsidR="00887027" w:rsidRPr="00973299">
              <w:rPr>
                <w:noProof/>
                <w:webHidden/>
                <w:szCs w:val="24"/>
              </w:rPr>
              <w:fldChar w:fldCharType="begin"/>
            </w:r>
            <w:r w:rsidR="00887027" w:rsidRPr="00973299">
              <w:rPr>
                <w:noProof/>
                <w:webHidden/>
                <w:szCs w:val="24"/>
              </w:rPr>
              <w:instrText xml:space="preserve"> PAGEREF _Toc116632270 \h </w:instrText>
            </w:r>
            <w:r w:rsidR="00887027" w:rsidRPr="00973299">
              <w:rPr>
                <w:noProof/>
                <w:webHidden/>
                <w:szCs w:val="24"/>
              </w:rPr>
            </w:r>
            <w:r w:rsidR="00887027" w:rsidRPr="00973299">
              <w:rPr>
                <w:noProof/>
                <w:webHidden/>
                <w:szCs w:val="24"/>
              </w:rPr>
              <w:fldChar w:fldCharType="separate"/>
            </w:r>
            <w:r w:rsidR="00F57B1F">
              <w:rPr>
                <w:noProof/>
                <w:webHidden/>
                <w:szCs w:val="24"/>
              </w:rPr>
              <w:t>124</w:t>
            </w:r>
            <w:r w:rsidR="00887027" w:rsidRPr="00973299">
              <w:rPr>
                <w:noProof/>
                <w:webHidden/>
                <w:szCs w:val="24"/>
              </w:rPr>
              <w:fldChar w:fldCharType="end"/>
            </w:r>
          </w:hyperlink>
        </w:p>
        <w:p w14:paraId="2F420F8F" w14:textId="3D3AC4E6" w:rsidR="00887027" w:rsidRPr="00973299" w:rsidRDefault="00381069" w:rsidP="00F57B1F">
          <w:pPr>
            <w:pStyle w:val="1f2"/>
            <w:tabs>
              <w:tab w:val="right" w:leader="dot" w:pos="10197"/>
            </w:tabs>
            <w:spacing w:after="0" w:line="240" w:lineRule="auto"/>
            <w:jc w:val="both"/>
            <w:rPr>
              <w:rFonts w:asciiTheme="minorHAnsi" w:eastAsiaTheme="minorEastAsia" w:hAnsiTheme="minorHAnsi" w:cstheme="minorBidi"/>
              <w:noProof/>
              <w:szCs w:val="24"/>
            </w:rPr>
          </w:pPr>
          <w:hyperlink w:anchor="_Toc116632271" w:history="1">
            <w:r w:rsidR="00887027" w:rsidRPr="00973299">
              <w:rPr>
                <w:rStyle w:val="afffd"/>
                <w:noProof/>
                <w:szCs w:val="24"/>
              </w:rPr>
              <w:t>Приложение № 4. Рекомендованные отчетные формы для представления сведений о ходе реализации Плана перехода на использование российского ПО и достижении показателей эффективности перехода на использование российского ПО органами государственной власти и государственными внебюджетными фондами</w:t>
            </w:r>
            <w:r w:rsidR="00887027" w:rsidRPr="00973299">
              <w:rPr>
                <w:noProof/>
                <w:webHidden/>
                <w:szCs w:val="24"/>
              </w:rPr>
              <w:tab/>
            </w:r>
            <w:r w:rsidR="00887027" w:rsidRPr="00973299">
              <w:rPr>
                <w:noProof/>
                <w:webHidden/>
                <w:szCs w:val="24"/>
              </w:rPr>
              <w:fldChar w:fldCharType="begin"/>
            </w:r>
            <w:r w:rsidR="00887027" w:rsidRPr="00973299">
              <w:rPr>
                <w:noProof/>
                <w:webHidden/>
                <w:szCs w:val="24"/>
              </w:rPr>
              <w:instrText xml:space="preserve"> PAGEREF _Toc116632271 \h </w:instrText>
            </w:r>
            <w:r w:rsidR="00887027" w:rsidRPr="00973299">
              <w:rPr>
                <w:noProof/>
                <w:webHidden/>
                <w:szCs w:val="24"/>
              </w:rPr>
            </w:r>
            <w:r w:rsidR="00887027" w:rsidRPr="00973299">
              <w:rPr>
                <w:noProof/>
                <w:webHidden/>
                <w:szCs w:val="24"/>
              </w:rPr>
              <w:fldChar w:fldCharType="separate"/>
            </w:r>
            <w:r w:rsidR="00F57B1F">
              <w:rPr>
                <w:noProof/>
                <w:webHidden/>
                <w:szCs w:val="24"/>
              </w:rPr>
              <w:t>125</w:t>
            </w:r>
            <w:r w:rsidR="00887027" w:rsidRPr="00973299">
              <w:rPr>
                <w:noProof/>
                <w:webHidden/>
                <w:szCs w:val="24"/>
              </w:rPr>
              <w:fldChar w:fldCharType="end"/>
            </w:r>
          </w:hyperlink>
        </w:p>
        <w:p w14:paraId="145B9E05" w14:textId="34D98414" w:rsidR="00887027" w:rsidRPr="00973299" w:rsidRDefault="00381069" w:rsidP="00F57B1F">
          <w:pPr>
            <w:pStyle w:val="1f2"/>
            <w:tabs>
              <w:tab w:val="right" w:leader="dot" w:pos="10197"/>
            </w:tabs>
            <w:spacing w:after="0" w:line="240" w:lineRule="auto"/>
            <w:jc w:val="both"/>
            <w:rPr>
              <w:rFonts w:asciiTheme="minorHAnsi" w:eastAsiaTheme="minorEastAsia" w:hAnsiTheme="minorHAnsi" w:cstheme="minorBidi"/>
              <w:noProof/>
              <w:szCs w:val="24"/>
            </w:rPr>
          </w:pPr>
          <w:hyperlink w:anchor="_Toc116632272" w:history="1">
            <w:r w:rsidR="00887027" w:rsidRPr="00973299">
              <w:rPr>
                <w:rStyle w:val="afffd"/>
                <w:noProof/>
                <w:szCs w:val="24"/>
              </w:rPr>
              <w:t>Приложение № 5. Рекомендованная форма плана перехода подведомственных органам государственной власти и государственным внебюджетным фондам организаций на использование российского ПО</w:t>
            </w:r>
            <w:r w:rsidR="00887027" w:rsidRPr="00973299">
              <w:rPr>
                <w:noProof/>
                <w:webHidden/>
                <w:szCs w:val="24"/>
              </w:rPr>
              <w:tab/>
            </w:r>
            <w:r w:rsidR="00887027" w:rsidRPr="00973299">
              <w:rPr>
                <w:noProof/>
                <w:webHidden/>
                <w:szCs w:val="24"/>
              </w:rPr>
              <w:fldChar w:fldCharType="begin"/>
            </w:r>
            <w:r w:rsidR="00887027" w:rsidRPr="00973299">
              <w:rPr>
                <w:noProof/>
                <w:webHidden/>
                <w:szCs w:val="24"/>
              </w:rPr>
              <w:instrText xml:space="preserve"> PAGEREF _Toc116632272 \h </w:instrText>
            </w:r>
            <w:r w:rsidR="00887027" w:rsidRPr="00973299">
              <w:rPr>
                <w:noProof/>
                <w:webHidden/>
                <w:szCs w:val="24"/>
              </w:rPr>
            </w:r>
            <w:r w:rsidR="00887027" w:rsidRPr="00973299">
              <w:rPr>
                <w:noProof/>
                <w:webHidden/>
                <w:szCs w:val="24"/>
              </w:rPr>
              <w:fldChar w:fldCharType="separate"/>
            </w:r>
            <w:r w:rsidR="00F57B1F">
              <w:rPr>
                <w:noProof/>
                <w:webHidden/>
                <w:szCs w:val="24"/>
              </w:rPr>
              <w:t>168</w:t>
            </w:r>
            <w:r w:rsidR="00887027" w:rsidRPr="00973299">
              <w:rPr>
                <w:noProof/>
                <w:webHidden/>
                <w:szCs w:val="24"/>
              </w:rPr>
              <w:fldChar w:fldCharType="end"/>
            </w:r>
          </w:hyperlink>
        </w:p>
        <w:p w14:paraId="19C9DAB8" w14:textId="08018291" w:rsidR="00887027" w:rsidRPr="00973299" w:rsidRDefault="00381069" w:rsidP="00F57B1F">
          <w:pPr>
            <w:pStyle w:val="1f2"/>
            <w:tabs>
              <w:tab w:val="right" w:leader="dot" w:pos="10197"/>
            </w:tabs>
            <w:spacing w:after="0" w:line="240" w:lineRule="auto"/>
            <w:jc w:val="both"/>
            <w:rPr>
              <w:rFonts w:asciiTheme="minorHAnsi" w:eastAsiaTheme="minorEastAsia" w:hAnsiTheme="minorHAnsi" w:cstheme="minorBidi"/>
              <w:noProof/>
              <w:szCs w:val="24"/>
            </w:rPr>
          </w:pPr>
          <w:hyperlink w:anchor="_Toc116632273" w:history="1">
            <w:r w:rsidR="00887027" w:rsidRPr="00973299">
              <w:rPr>
                <w:rStyle w:val="afffd"/>
                <w:noProof/>
                <w:szCs w:val="24"/>
              </w:rPr>
              <w:t>Приложение № 6. Рекомендованные показатели эффективности и соответствующие им значения индикаторов эффективности перехода подведомственных организаций на использование российского ПО</w:t>
            </w:r>
            <w:r w:rsidR="00887027" w:rsidRPr="00973299">
              <w:rPr>
                <w:noProof/>
                <w:webHidden/>
                <w:szCs w:val="24"/>
              </w:rPr>
              <w:tab/>
            </w:r>
            <w:r w:rsidR="00887027" w:rsidRPr="00973299">
              <w:rPr>
                <w:noProof/>
                <w:webHidden/>
                <w:szCs w:val="24"/>
              </w:rPr>
              <w:fldChar w:fldCharType="begin"/>
            </w:r>
            <w:r w:rsidR="00887027" w:rsidRPr="00973299">
              <w:rPr>
                <w:noProof/>
                <w:webHidden/>
                <w:szCs w:val="24"/>
              </w:rPr>
              <w:instrText xml:space="preserve"> PAGEREF _Toc116632273 \h </w:instrText>
            </w:r>
            <w:r w:rsidR="00887027" w:rsidRPr="00973299">
              <w:rPr>
                <w:noProof/>
                <w:webHidden/>
                <w:szCs w:val="24"/>
              </w:rPr>
            </w:r>
            <w:r w:rsidR="00887027" w:rsidRPr="00973299">
              <w:rPr>
                <w:noProof/>
                <w:webHidden/>
                <w:szCs w:val="24"/>
              </w:rPr>
              <w:fldChar w:fldCharType="separate"/>
            </w:r>
            <w:r w:rsidR="00F57B1F">
              <w:rPr>
                <w:noProof/>
                <w:webHidden/>
                <w:szCs w:val="24"/>
              </w:rPr>
              <w:t>188</w:t>
            </w:r>
            <w:r w:rsidR="00887027" w:rsidRPr="00973299">
              <w:rPr>
                <w:noProof/>
                <w:webHidden/>
                <w:szCs w:val="24"/>
              </w:rPr>
              <w:fldChar w:fldCharType="end"/>
            </w:r>
          </w:hyperlink>
        </w:p>
        <w:p w14:paraId="6FD88175" w14:textId="0D1067DD" w:rsidR="00887027" w:rsidRPr="00973299" w:rsidRDefault="00381069" w:rsidP="00F57B1F">
          <w:pPr>
            <w:pStyle w:val="1f2"/>
            <w:tabs>
              <w:tab w:val="right" w:leader="dot" w:pos="10197"/>
            </w:tabs>
            <w:spacing w:after="0" w:line="240" w:lineRule="auto"/>
            <w:jc w:val="both"/>
            <w:rPr>
              <w:rFonts w:asciiTheme="minorHAnsi" w:eastAsiaTheme="minorEastAsia" w:hAnsiTheme="minorHAnsi" w:cstheme="minorBidi"/>
              <w:noProof/>
              <w:szCs w:val="24"/>
            </w:rPr>
          </w:pPr>
          <w:hyperlink w:anchor="_Toc116632274" w:history="1">
            <w:r w:rsidR="00887027" w:rsidRPr="00973299">
              <w:rPr>
                <w:rStyle w:val="afffd"/>
                <w:noProof/>
                <w:szCs w:val="24"/>
              </w:rPr>
              <w:t>Приложение № 7. Рекомендованные показатели эффективности в отношении закупок ПО и связанных с ним работ и услуг, проводимых подведомственными организациями</w:t>
            </w:r>
            <w:r w:rsidR="00887027" w:rsidRPr="00973299">
              <w:rPr>
                <w:noProof/>
                <w:webHidden/>
                <w:szCs w:val="24"/>
              </w:rPr>
              <w:tab/>
            </w:r>
            <w:r w:rsidR="00887027" w:rsidRPr="00973299">
              <w:rPr>
                <w:noProof/>
                <w:webHidden/>
                <w:szCs w:val="24"/>
              </w:rPr>
              <w:fldChar w:fldCharType="begin"/>
            </w:r>
            <w:r w:rsidR="00887027" w:rsidRPr="00973299">
              <w:rPr>
                <w:noProof/>
                <w:webHidden/>
                <w:szCs w:val="24"/>
              </w:rPr>
              <w:instrText xml:space="preserve"> PAGEREF _Toc116632274 \h </w:instrText>
            </w:r>
            <w:r w:rsidR="00887027" w:rsidRPr="00973299">
              <w:rPr>
                <w:noProof/>
                <w:webHidden/>
                <w:szCs w:val="24"/>
              </w:rPr>
            </w:r>
            <w:r w:rsidR="00887027" w:rsidRPr="00973299">
              <w:rPr>
                <w:noProof/>
                <w:webHidden/>
                <w:szCs w:val="24"/>
              </w:rPr>
              <w:fldChar w:fldCharType="separate"/>
            </w:r>
            <w:r w:rsidR="00F57B1F">
              <w:rPr>
                <w:noProof/>
                <w:webHidden/>
                <w:szCs w:val="24"/>
              </w:rPr>
              <w:t>200</w:t>
            </w:r>
            <w:r w:rsidR="00887027" w:rsidRPr="00973299">
              <w:rPr>
                <w:noProof/>
                <w:webHidden/>
                <w:szCs w:val="24"/>
              </w:rPr>
              <w:fldChar w:fldCharType="end"/>
            </w:r>
          </w:hyperlink>
        </w:p>
        <w:p w14:paraId="5FEB63AE" w14:textId="68020CB4" w:rsidR="00887027" w:rsidRPr="00973299" w:rsidRDefault="00381069" w:rsidP="00F57B1F">
          <w:pPr>
            <w:pStyle w:val="1f2"/>
            <w:tabs>
              <w:tab w:val="right" w:leader="dot" w:pos="10197"/>
            </w:tabs>
            <w:spacing w:after="0" w:line="240" w:lineRule="auto"/>
            <w:jc w:val="both"/>
            <w:rPr>
              <w:rFonts w:asciiTheme="minorHAnsi" w:eastAsiaTheme="minorEastAsia" w:hAnsiTheme="minorHAnsi" w:cstheme="minorBidi"/>
              <w:noProof/>
              <w:szCs w:val="24"/>
            </w:rPr>
          </w:pPr>
          <w:hyperlink w:anchor="_Toc116632275" w:history="1">
            <w:r w:rsidR="00887027" w:rsidRPr="00973299">
              <w:rPr>
                <w:rStyle w:val="afffd"/>
                <w:noProof/>
                <w:szCs w:val="24"/>
              </w:rPr>
              <w:t>Приложение № 8. Рекомендованные отчетные формы для представления сведений о ходе реализации Плана перехода на использование российского ПО и достижении показателей эффективности перехода на использование российского ПО подведомственными организациями</w:t>
            </w:r>
            <w:r w:rsidR="00887027" w:rsidRPr="00973299">
              <w:rPr>
                <w:noProof/>
                <w:webHidden/>
                <w:szCs w:val="24"/>
              </w:rPr>
              <w:tab/>
            </w:r>
            <w:r w:rsidR="00887027" w:rsidRPr="00973299">
              <w:rPr>
                <w:noProof/>
                <w:webHidden/>
                <w:szCs w:val="24"/>
              </w:rPr>
              <w:fldChar w:fldCharType="begin"/>
            </w:r>
            <w:r w:rsidR="00887027" w:rsidRPr="00973299">
              <w:rPr>
                <w:noProof/>
                <w:webHidden/>
                <w:szCs w:val="24"/>
              </w:rPr>
              <w:instrText xml:space="preserve"> PAGEREF _Toc116632275 \h </w:instrText>
            </w:r>
            <w:r w:rsidR="00887027" w:rsidRPr="00973299">
              <w:rPr>
                <w:noProof/>
                <w:webHidden/>
                <w:szCs w:val="24"/>
              </w:rPr>
            </w:r>
            <w:r w:rsidR="00887027" w:rsidRPr="00973299">
              <w:rPr>
                <w:noProof/>
                <w:webHidden/>
                <w:szCs w:val="24"/>
              </w:rPr>
              <w:fldChar w:fldCharType="separate"/>
            </w:r>
            <w:r w:rsidR="00F57B1F">
              <w:rPr>
                <w:noProof/>
                <w:webHidden/>
                <w:szCs w:val="24"/>
              </w:rPr>
              <w:t>201</w:t>
            </w:r>
            <w:r w:rsidR="00887027" w:rsidRPr="00973299">
              <w:rPr>
                <w:noProof/>
                <w:webHidden/>
                <w:szCs w:val="24"/>
              </w:rPr>
              <w:fldChar w:fldCharType="end"/>
            </w:r>
          </w:hyperlink>
        </w:p>
        <w:p w14:paraId="645C05EA" w14:textId="2A0C3AFA" w:rsidR="00887027" w:rsidRPr="00973299" w:rsidRDefault="00381069" w:rsidP="00F57B1F">
          <w:pPr>
            <w:pStyle w:val="1f2"/>
            <w:tabs>
              <w:tab w:val="right" w:leader="dot" w:pos="10197"/>
            </w:tabs>
            <w:spacing w:after="0" w:line="240" w:lineRule="auto"/>
            <w:jc w:val="both"/>
            <w:rPr>
              <w:rFonts w:asciiTheme="minorHAnsi" w:eastAsiaTheme="minorEastAsia" w:hAnsiTheme="minorHAnsi" w:cstheme="minorBidi"/>
              <w:noProof/>
              <w:szCs w:val="24"/>
            </w:rPr>
          </w:pPr>
          <w:hyperlink w:anchor="_Toc116632276" w:history="1">
            <w:r w:rsidR="00887027" w:rsidRPr="00973299">
              <w:rPr>
                <w:rStyle w:val="afffd"/>
                <w:noProof/>
                <w:szCs w:val="24"/>
              </w:rPr>
              <w:t>Приложение № 9. Рекомендованная форма детализированного плана перехода государственных корпораций и компаний с государственным участием, сведения о которых включены в специальный перечень №</w:t>
            </w:r>
            <w:r w:rsidR="00566386">
              <w:rPr>
                <w:rStyle w:val="afffd"/>
                <w:noProof/>
                <w:szCs w:val="24"/>
              </w:rPr>
              <w:t xml:space="preserve"> </w:t>
            </w:r>
            <w:r w:rsidR="00887027" w:rsidRPr="00973299">
              <w:rPr>
                <w:rStyle w:val="afffd"/>
                <w:noProof/>
                <w:szCs w:val="24"/>
              </w:rPr>
              <w:t>91-р, а также организаций, включенных в расширенный перечень организаций, в отношении которых принято решение о необходимости указанными организации разработки стратегий (программ) цифровой трансформации, их дочерних и зависимых обществ на использование российского ПО на принадлежащих им значимых объектах КИИ</w:t>
            </w:r>
            <w:r w:rsidR="00887027" w:rsidRPr="00973299">
              <w:rPr>
                <w:noProof/>
                <w:webHidden/>
                <w:szCs w:val="24"/>
              </w:rPr>
              <w:tab/>
            </w:r>
            <w:r w:rsidR="00887027" w:rsidRPr="00973299">
              <w:rPr>
                <w:noProof/>
                <w:webHidden/>
                <w:szCs w:val="24"/>
              </w:rPr>
              <w:fldChar w:fldCharType="begin"/>
            </w:r>
            <w:r w:rsidR="00887027" w:rsidRPr="00973299">
              <w:rPr>
                <w:noProof/>
                <w:webHidden/>
                <w:szCs w:val="24"/>
              </w:rPr>
              <w:instrText xml:space="preserve"> PAGEREF _Toc116632276 \h </w:instrText>
            </w:r>
            <w:r w:rsidR="00887027" w:rsidRPr="00973299">
              <w:rPr>
                <w:noProof/>
                <w:webHidden/>
                <w:szCs w:val="24"/>
              </w:rPr>
            </w:r>
            <w:r w:rsidR="00887027" w:rsidRPr="00973299">
              <w:rPr>
                <w:noProof/>
                <w:webHidden/>
                <w:szCs w:val="24"/>
              </w:rPr>
              <w:fldChar w:fldCharType="separate"/>
            </w:r>
            <w:r w:rsidR="00F57B1F">
              <w:rPr>
                <w:noProof/>
                <w:webHidden/>
                <w:szCs w:val="24"/>
              </w:rPr>
              <w:t>239</w:t>
            </w:r>
            <w:r w:rsidR="00887027" w:rsidRPr="00973299">
              <w:rPr>
                <w:noProof/>
                <w:webHidden/>
                <w:szCs w:val="24"/>
              </w:rPr>
              <w:fldChar w:fldCharType="end"/>
            </w:r>
          </w:hyperlink>
        </w:p>
        <w:p w14:paraId="395BDDF1" w14:textId="1A7D81A3" w:rsidR="00887027" w:rsidRPr="00973299" w:rsidRDefault="00381069" w:rsidP="00F57B1F">
          <w:pPr>
            <w:pStyle w:val="1f2"/>
            <w:tabs>
              <w:tab w:val="right" w:leader="dot" w:pos="10197"/>
            </w:tabs>
            <w:spacing w:after="0" w:line="240" w:lineRule="auto"/>
            <w:jc w:val="both"/>
            <w:rPr>
              <w:rFonts w:asciiTheme="minorHAnsi" w:eastAsiaTheme="minorEastAsia" w:hAnsiTheme="minorHAnsi" w:cstheme="minorBidi"/>
              <w:noProof/>
              <w:szCs w:val="24"/>
            </w:rPr>
          </w:pPr>
          <w:hyperlink w:anchor="_Toc116632277" w:history="1">
            <w:r w:rsidR="00887027" w:rsidRPr="00973299">
              <w:rPr>
                <w:rStyle w:val="afffd"/>
                <w:noProof/>
                <w:szCs w:val="24"/>
              </w:rPr>
              <w:t>Приложение № 10. Рекомендованные показатели эффективности и соответствующие им значения индикаторов эффективности перехода государственных корпораций и компаний с государственным участием, включенных в расширенный перечень организаций, в отношении которых принято решение о необходимости указанными организации разработки стратегий (программ) цифровой трансформации, их дочерних и зависимых обществ на использование российского ПО</w:t>
            </w:r>
            <w:r w:rsidR="00887027" w:rsidRPr="00973299">
              <w:rPr>
                <w:noProof/>
                <w:webHidden/>
                <w:szCs w:val="24"/>
              </w:rPr>
              <w:tab/>
            </w:r>
            <w:r w:rsidR="00887027" w:rsidRPr="00973299">
              <w:rPr>
                <w:noProof/>
                <w:webHidden/>
                <w:szCs w:val="24"/>
              </w:rPr>
              <w:fldChar w:fldCharType="begin"/>
            </w:r>
            <w:r w:rsidR="00887027" w:rsidRPr="00973299">
              <w:rPr>
                <w:noProof/>
                <w:webHidden/>
                <w:szCs w:val="24"/>
              </w:rPr>
              <w:instrText xml:space="preserve"> PAGEREF _Toc116632277 \h </w:instrText>
            </w:r>
            <w:r w:rsidR="00887027" w:rsidRPr="00973299">
              <w:rPr>
                <w:noProof/>
                <w:webHidden/>
                <w:szCs w:val="24"/>
              </w:rPr>
            </w:r>
            <w:r w:rsidR="00887027" w:rsidRPr="00973299">
              <w:rPr>
                <w:noProof/>
                <w:webHidden/>
                <w:szCs w:val="24"/>
              </w:rPr>
              <w:fldChar w:fldCharType="separate"/>
            </w:r>
            <w:r w:rsidR="00F57B1F">
              <w:rPr>
                <w:noProof/>
                <w:webHidden/>
                <w:szCs w:val="24"/>
              </w:rPr>
              <w:t>243</w:t>
            </w:r>
            <w:r w:rsidR="00887027" w:rsidRPr="00973299">
              <w:rPr>
                <w:noProof/>
                <w:webHidden/>
                <w:szCs w:val="24"/>
              </w:rPr>
              <w:fldChar w:fldCharType="end"/>
            </w:r>
          </w:hyperlink>
        </w:p>
        <w:p w14:paraId="145E2AAA" w14:textId="3A134234" w:rsidR="00887027" w:rsidRPr="00973299" w:rsidRDefault="00381069" w:rsidP="00F57B1F">
          <w:pPr>
            <w:pStyle w:val="1f2"/>
            <w:tabs>
              <w:tab w:val="right" w:leader="dot" w:pos="10197"/>
            </w:tabs>
            <w:spacing w:after="0" w:line="240" w:lineRule="auto"/>
            <w:jc w:val="both"/>
            <w:rPr>
              <w:rFonts w:asciiTheme="minorHAnsi" w:eastAsiaTheme="minorEastAsia" w:hAnsiTheme="minorHAnsi" w:cstheme="minorBidi"/>
              <w:noProof/>
              <w:szCs w:val="24"/>
            </w:rPr>
          </w:pPr>
          <w:hyperlink w:anchor="_Toc116632278" w:history="1">
            <w:r w:rsidR="00887027" w:rsidRPr="00973299">
              <w:rPr>
                <w:rStyle w:val="afffd"/>
                <w:noProof/>
                <w:szCs w:val="24"/>
              </w:rPr>
              <w:t>Приложение № 12 Рекомендованные отчетные формы для представления сведений о ходе реализации плана перехода государственных корпораций и компаний с государственным участием, сведения о которых включены в специальный перечень №</w:t>
            </w:r>
            <w:r w:rsidR="00566386">
              <w:rPr>
                <w:rStyle w:val="afffd"/>
                <w:noProof/>
                <w:szCs w:val="24"/>
              </w:rPr>
              <w:t xml:space="preserve"> </w:t>
            </w:r>
            <w:r w:rsidR="00887027" w:rsidRPr="00973299">
              <w:rPr>
                <w:rStyle w:val="afffd"/>
                <w:noProof/>
                <w:szCs w:val="24"/>
              </w:rPr>
              <w:t>91-р, а также организаций, включенных в расширенный перечень организаций, в отношении которых принято решение о необходимости указанными организации разработки стратегий (программ) цифровой трансформации, их дочерних и зависимых обществ на использование российского ПО на принадлежащих им значимых объектах КИИ</w:t>
            </w:r>
            <w:r w:rsidR="00887027" w:rsidRPr="00973299">
              <w:rPr>
                <w:noProof/>
                <w:webHidden/>
                <w:szCs w:val="24"/>
              </w:rPr>
              <w:tab/>
            </w:r>
            <w:r w:rsidR="00887027" w:rsidRPr="00973299">
              <w:rPr>
                <w:noProof/>
                <w:webHidden/>
                <w:szCs w:val="24"/>
              </w:rPr>
              <w:fldChar w:fldCharType="begin"/>
            </w:r>
            <w:r w:rsidR="00887027" w:rsidRPr="00973299">
              <w:rPr>
                <w:noProof/>
                <w:webHidden/>
                <w:szCs w:val="24"/>
              </w:rPr>
              <w:instrText xml:space="preserve"> PAGEREF _Toc116632278 \h </w:instrText>
            </w:r>
            <w:r w:rsidR="00887027" w:rsidRPr="00973299">
              <w:rPr>
                <w:noProof/>
                <w:webHidden/>
                <w:szCs w:val="24"/>
              </w:rPr>
            </w:r>
            <w:r w:rsidR="00887027" w:rsidRPr="00973299">
              <w:rPr>
                <w:noProof/>
                <w:webHidden/>
                <w:szCs w:val="24"/>
              </w:rPr>
              <w:fldChar w:fldCharType="separate"/>
            </w:r>
            <w:r w:rsidR="00F57B1F">
              <w:rPr>
                <w:noProof/>
                <w:webHidden/>
                <w:szCs w:val="24"/>
              </w:rPr>
              <w:t>255</w:t>
            </w:r>
            <w:r w:rsidR="00887027" w:rsidRPr="00973299">
              <w:rPr>
                <w:noProof/>
                <w:webHidden/>
                <w:szCs w:val="24"/>
              </w:rPr>
              <w:fldChar w:fldCharType="end"/>
            </w:r>
          </w:hyperlink>
        </w:p>
        <w:p w14:paraId="7B977380" w14:textId="3256015E" w:rsidR="00887027" w:rsidRPr="00973299" w:rsidRDefault="00381069" w:rsidP="00F57B1F">
          <w:pPr>
            <w:pStyle w:val="1f2"/>
            <w:tabs>
              <w:tab w:val="right" w:leader="dot" w:pos="10197"/>
            </w:tabs>
            <w:spacing w:after="0" w:line="240" w:lineRule="auto"/>
            <w:jc w:val="both"/>
            <w:rPr>
              <w:rFonts w:asciiTheme="minorHAnsi" w:eastAsiaTheme="minorEastAsia" w:hAnsiTheme="minorHAnsi" w:cstheme="minorBidi"/>
              <w:noProof/>
              <w:szCs w:val="24"/>
            </w:rPr>
          </w:pPr>
          <w:hyperlink w:anchor="_Toc116632279" w:history="1">
            <w:r w:rsidR="00887027" w:rsidRPr="00973299">
              <w:rPr>
                <w:rStyle w:val="afffd"/>
                <w:noProof/>
                <w:szCs w:val="24"/>
              </w:rPr>
              <w:t>Приложение № 13. Рекомендованная форма плана перехода организаций, осуществляющих закупки товаров, работ, услуг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Федеральным законом «О закупках товаров, работ, услуг отдельными видами юридических лиц» (за исключением организаций с муниципальным участием), не являющихся организациями, подведомственными органам государственной власти и государственным внебюджетным фондам, не включенных в специальный перечень №</w:t>
            </w:r>
            <w:r w:rsidR="00566386">
              <w:rPr>
                <w:rStyle w:val="afffd"/>
                <w:noProof/>
                <w:szCs w:val="24"/>
              </w:rPr>
              <w:t xml:space="preserve"> </w:t>
            </w:r>
            <w:r w:rsidR="00887027" w:rsidRPr="00973299">
              <w:rPr>
                <w:rStyle w:val="afffd"/>
                <w:noProof/>
                <w:szCs w:val="24"/>
              </w:rPr>
              <w:t>91-р и в отношении которых не приняты решения о разработке стратегии (программы) цифровой трансформации, на использование российского ПО</w:t>
            </w:r>
            <w:r w:rsidR="00887027" w:rsidRPr="00973299">
              <w:rPr>
                <w:noProof/>
                <w:webHidden/>
                <w:szCs w:val="24"/>
              </w:rPr>
              <w:tab/>
            </w:r>
            <w:r w:rsidR="00887027" w:rsidRPr="00973299">
              <w:rPr>
                <w:noProof/>
                <w:webHidden/>
                <w:szCs w:val="24"/>
              </w:rPr>
              <w:fldChar w:fldCharType="begin"/>
            </w:r>
            <w:r w:rsidR="00887027" w:rsidRPr="00973299">
              <w:rPr>
                <w:noProof/>
                <w:webHidden/>
                <w:szCs w:val="24"/>
              </w:rPr>
              <w:instrText xml:space="preserve"> PAGEREF _Toc116632279 \h </w:instrText>
            </w:r>
            <w:r w:rsidR="00887027" w:rsidRPr="00973299">
              <w:rPr>
                <w:noProof/>
                <w:webHidden/>
                <w:szCs w:val="24"/>
              </w:rPr>
            </w:r>
            <w:r w:rsidR="00887027" w:rsidRPr="00973299">
              <w:rPr>
                <w:noProof/>
                <w:webHidden/>
                <w:szCs w:val="24"/>
              </w:rPr>
              <w:fldChar w:fldCharType="separate"/>
            </w:r>
            <w:r w:rsidR="00F57B1F">
              <w:rPr>
                <w:noProof/>
                <w:webHidden/>
                <w:szCs w:val="24"/>
              </w:rPr>
              <w:t>263</w:t>
            </w:r>
            <w:r w:rsidR="00887027" w:rsidRPr="00973299">
              <w:rPr>
                <w:noProof/>
                <w:webHidden/>
                <w:szCs w:val="24"/>
              </w:rPr>
              <w:fldChar w:fldCharType="end"/>
            </w:r>
          </w:hyperlink>
        </w:p>
        <w:p w14:paraId="7C36FB18" w14:textId="65AF4AD5" w:rsidR="00887027" w:rsidRPr="00973299" w:rsidRDefault="00381069" w:rsidP="00F57B1F">
          <w:pPr>
            <w:pStyle w:val="1f2"/>
            <w:tabs>
              <w:tab w:val="right" w:leader="dot" w:pos="10197"/>
            </w:tabs>
            <w:spacing w:after="0" w:line="240" w:lineRule="auto"/>
            <w:jc w:val="both"/>
            <w:rPr>
              <w:rFonts w:asciiTheme="minorHAnsi" w:eastAsiaTheme="minorEastAsia" w:hAnsiTheme="minorHAnsi" w:cstheme="minorBidi"/>
              <w:noProof/>
              <w:szCs w:val="24"/>
            </w:rPr>
          </w:pPr>
          <w:hyperlink w:anchor="_Toc116632280" w:history="1">
            <w:r w:rsidR="00887027" w:rsidRPr="00973299">
              <w:rPr>
                <w:rStyle w:val="afffd"/>
                <w:noProof/>
                <w:szCs w:val="24"/>
              </w:rPr>
              <w:t>Приложение № 14. Рекомендованные показатели эффективности и соответствующие им значения индикаторов эффективности перехода организаций, осуществляющих закупки товаров, работ, услуг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Федеральным законом «О закупках товаров, работ, услуг отдельными видами юридических лиц» (за исключением организаций с муниципальным участием), не являющихся организациями, подведомственными органам государственной власти и государственным внебюджетным фондам, не включенных в специальный перечень №</w:t>
            </w:r>
            <w:r w:rsidR="00566386">
              <w:rPr>
                <w:rStyle w:val="afffd"/>
                <w:noProof/>
                <w:szCs w:val="24"/>
              </w:rPr>
              <w:t xml:space="preserve"> </w:t>
            </w:r>
            <w:r w:rsidR="00887027" w:rsidRPr="00973299">
              <w:rPr>
                <w:rStyle w:val="afffd"/>
                <w:noProof/>
                <w:szCs w:val="24"/>
              </w:rPr>
              <w:t>91-р и в отношении которых не приняты решения о разработке стратегии (программы) цифровой трансформации</w:t>
            </w:r>
            <w:r w:rsidR="00887027" w:rsidRPr="00973299">
              <w:rPr>
                <w:noProof/>
                <w:webHidden/>
                <w:szCs w:val="24"/>
              </w:rPr>
              <w:tab/>
            </w:r>
            <w:r w:rsidR="00887027" w:rsidRPr="00973299">
              <w:rPr>
                <w:noProof/>
                <w:webHidden/>
                <w:szCs w:val="24"/>
              </w:rPr>
              <w:fldChar w:fldCharType="begin"/>
            </w:r>
            <w:r w:rsidR="00887027" w:rsidRPr="00973299">
              <w:rPr>
                <w:noProof/>
                <w:webHidden/>
                <w:szCs w:val="24"/>
              </w:rPr>
              <w:instrText xml:space="preserve"> PAGEREF _Toc116632280 \h </w:instrText>
            </w:r>
            <w:r w:rsidR="00887027" w:rsidRPr="00973299">
              <w:rPr>
                <w:noProof/>
                <w:webHidden/>
                <w:szCs w:val="24"/>
              </w:rPr>
            </w:r>
            <w:r w:rsidR="00887027" w:rsidRPr="00973299">
              <w:rPr>
                <w:noProof/>
                <w:webHidden/>
                <w:szCs w:val="24"/>
              </w:rPr>
              <w:fldChar w:fldCharType="separate"/>
            </w:r>
            <w:r w:rsidR="00F57B1F">
              <w:rPr>
                <w:noProof/>
                <w:webHidden/>
                <w:szCs w:val="24"/>
              </w:rPr>
              <w:t>283</w:t>
            </w:r>
            <w:r w:rsidR="00887027" w:rsidRPr="00973299">
              <w:rPr>
                <w:noProof/>
                <w:webHidden/>
                <w:szCs w:val="24"/>
              </w:rPr>
              <w:fldChar w:fldCharType="end"/>
            </w:r>
          </w:hyperlink>
        </w:p>
        <w:p w14:paraId="644BC2D3" w14:textId="1D7B9E5D" w:rsidR="00887027" w:rsidRPr="00973299" w:rsidRDefault="00381069" w:rsidP="00F57B1F">
          <w:pPr>
            <w:pStyle w:val="1f2"/>
            <w:tabs>
              <w:tab w:val="right" w:leader="dot" w:pos="10197"/>
            </w:tabs>
            <w:spacing w:after="0" w:line="240" w:lineRule="auto"/>
            <w:jc w:val="both"/>
            <w:rPr>
              <w:rFonts w:asciiTheme="minorHAnsi" w:eastAsiaTheme="minorEastAsia" w:hAnsiTheme="minorHAnsi" w:cstheme="minorBidi"/>
              <w:noProof/>
              <w:szCs w:val="24"/>
            </w:rPr>
          </w:pPr>
          <w:hyperlink w:anchor="_Toc116632281" w:history="1">
            <w:r w:rsidR="00887027" w:rsidRPr="00973299">
              <w:rPr>
                <w:rStyle w:val="afffd"/>
                <w:noProof/>
                <w:szCs w:val="24"/>
              </w:rPr>
              <w:t>Приложение № 15. Рекомендованные показатели эффективности в отношении закупок ПО и связанных с ним работ и услуг, проводимых организациями, осуществляющими закупки товаров, работ, услуг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Федеральным законом «О закупках товаров, работ, услуг отдельными видами юридических лиц» (за исключением организаций с муниципальным участием), не являющихся организациями, подведомственными органам государственной власти и государственным внебюджетным фондам, не включенных в специальный перечень №</w:t>
            </w:r>
            <w:r w:rsidR="00566386">
              <w:rPr>
                <w:rStyle w:val="afffd"/>
                <w:noProof/>
                <w:szCs w:val="24"/>
              </w:rPr>
              <w:t xml:space="preserve"> </w:t>
            </w:r>
            <w:r w:rsidR="00887027" w:rsidRPr="00973299">
              <w:rPr>
                <w:rStyle w:val="afffd"/>
                <w:noProof/>
                <w:szCs w:val="24"/>
              </w:rPr>
              <w:t>91-р и в отношении которых не приняты решения о разработке стратегии (программы) цифровой трансформации</w:t>
            </w:r>
            <w:r w:rsidR="00887027" w:rsidRPr="00973299">
              <w:rPr>
                <w:noProof/>
                <w:webHidden/>
                <w:szCs w:val="24"/>
              </w:rPr>
              <w:tab/>
            </w:r>
            <w:r w:rsidR="00887027" w:rsidRPr="00973299">
              <w:rPr>
                <w:noProof/>
                <w:webHidden/>
                <w:szCs w:val="24"/>
              </w:rPr>
              <w:fldChar w:fldCharType="begin"/>
            </w:r>
            <w:r w:rsidR="00887027" w:rsidRPr="00973299">
              <w:rPr>
                <w:noProof/>
                <w:webHidden/>
                <w:szCs w:val="24"/>
              </w:rPr>
              <w:instrText xml:space="preserve"> PAGEREF _Toc116632281 \h </w:instrText>
            </w:r>
            <w:r w:rsidR="00887027" w:rsidRPr="00973299">
              <w:rPr>
                <w:noProof/>
                <w:webHidden/>
                <w:szCs w:val="24"/>
              </w:rPr>
            </w:r>
            <w:r w:rsidR="00887027" w:rsidRPr="00973299">
              <w:rPr>
                <w:noProof/>
                <w:webHidden/>
                <w:szCs w:val="24"/>
              </w:rPr>
              <w:fldChar w:fldCharType="separate"/>
            </w:r>
            <w:r w:rsidR="00F57B1F">
              <w:rPr>
                <w:noProof/>
                <w:webHidden/>
                <w:szCs w:val="24"/>
              </w:rPr>
              <w:t>295</w:t>
            </w:r>
            <w:r w:rsidR="00887027" w:rsidRPr="00973299">
              <w:rPr>
                <w:noProof/>
                <w:webHidden/>
                <w:szCs w:val="24"/>
              </w:rPr>
              <w:fldChar w:fldCharType="end"/>
            </w:r>
          </w:hyperlink>
        </w:p>
        <w:p w14:paraId="497E0346" w14:textId="28E35507" w:rsidR="00887027" w:rsidRPr="00973299" w:rsidRDefault="00381069" w:rsidP="00F57B1F">
          <w:pPr>
            <w:pStyle w:val="1f2"/>
            <w:tabs>
              <w:tab w:val="right" w:leader="dot" w:pos="10197"/>
            </w:tabs>
            <w:spacing w:after="0" w:line="240" w:lineRule="auto"/>
            <w:jc w:val="both"/>
            <w:rPr>
              <w:rFonts w:asciiTheme="minorHAnsi" w:eastAsiaTheme="minorEastAsia" w:hAnsiTheme="minorHAnsi" w:cstheme="minorBidi"/>
              <w:noProof/>
              <w:szCs w:val="24"/>
            </w:rPr>
          </w:pPr>
          <w:hyperlink w:anchor="_Toc116632282" w:history="1">
            <w:r w:rsidR="00887027" w:rsidRPr="00973299">
              <w:rPr>
                <w:rStyle w:val="afffd"/>
                <w:noProof/>
                <w:szCs w:val="24"/>
              </w:rPr>
              <w:t xml:space="preserve">Приложение № 16. Рекомендованные отчетные формы для представления сведений о ходе реализации плана перехода на использование российского ПО и достижении показателей эффективности перехода на использование российского ПО организаций, осуществляющих закупки </w:t>
            </w:r>
            <w:r w:rsidR="00887027" w:rsidRPr="00973299">
              <w:rPr>
                <w:rStyle w:val="afffd"/>
                <w:noProof/>
                <w:szCs w:val="24"/>
              </w:rPr>
              <w:lastRenderedPageBreak/>
              <w:t>товаров, работ, услуг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Федеральным законом «О закупках товаров, работ, услуг отдельными видами юридических лиц» (за исключением организаций с муниципальным участием), не являющихся организациями, подведомственными органам государственной власти и государственным внебюджетным фондам, не включенных в специальный перечень №</w:t>
            </w:r>
            <w:r w:rsidR="00566386">
              <w:rPr>
                <w:rStyle w:val="afffd"/>
                <w:noProof/>
                <w:szCs w:val="24"/>
              </w:rPr>
              <w:t xml:space="preserve"> </w:t>
            </w:r>
            <w:r w:rsidR="00887027" w:rsidRPr="00973299">
              <w:rPr>
                <w:rStyle w:val="afffd"/>
                <w:noProof/>
                <w:szCs w:val="24"/>
              </w:rPr>
              <w:t>91-р и в отношении которых не приняты решения о разработке стратегии (программы) цифровой трансформации</w:t>
            </w:r>
            <w:r w:rsidR="00887027" w:rsidRPr="00973299">
              <w:rPr>
                <w:noProof/>
                <w:webHidden/>
                <w:szCs w:val="24"/>
              </w:rPr>
              <w:tab/>
            </w:r>
            <w:r w:rsidR="00887027" w:rsidRPr="00973299">
              <w:rPr>
                <w:noProof/>
                <w:webHidden/>
                <w:szCs w:val="24"/>
              </w:rPr>
              <w:fldChar w:fldCharType="begin"/>
            </w:r>
            <w:r w:rsidR="00887027" w:rsidRPr="00973299">
              <w:rPr>
                <w:noProof/>
                <w:webHidden/>
                <w:szCs w:val="24"/>
              </w:rPr>
              <w:instrText xml:space="preserve"> PAGEREF _Toc116632282 \h </w:instrText>
            </w:r>
            <w:r w:rsidR="00887027" w:rsidRPr="00973299">
              <w:rPr>
                <w:noProof/>
                <w:webHidden/>
                <w:szCs w:val="24"/>
              </w:rPr>
            </w:r>
            <w:r w:rsidR="00887027" w:rsidRPr="00973299">
              <w:rPr>
                <w:noProof/>
                <w:webHidden/>
                <w:szCs w:val="24"/>
              </w:rPr>
              <w:fldChar w:fldCharType="separate"/>
            </w:r>
            <w:r w:rsidR="00F57B1F">
              <w:rPr>
                <w:noProof/>
                <w:webHidden/>
                <w:szCs w:val="24"/>
              </w:rPr>
              <w:t>296</w:t>
            </w:r>
            <w:r w:rsidR="00887027" w:rsidRPr="00973299">
              <w:rPr>
                <w:noProof/>
                <w:webHidden/>
                <w:szCs w:val="24"/>
              </w:rPr>
              <w:fldChar w:fldCharType="end"/>
            </w:r>
          </w:hyperlink>
        </w:p>
        <w:p w14:paraId="0250807B" w14:textId="0AB36F6B" w:rsidR="00887027" w:rsidRPr="00973299" w:rsidRDefault="00381069" w:rsidP="00F57B1F">
          <w:pPr>
            <w:pStyle w:val="1f2"/>
            <w:tabs>
              <w:tab w:val="right" w:leader="dot" w:pos="10197"/>
            </w:tabs>
            <w:spacing w:after="0" w:line="240" w:lineRule="auto"/>
            <w:jc w:val="both"/>
            <w:rPr>
              <w:rFonts w:asciiTheme="minorHAnsi" w:eastAsiaTheme="minorEastAsia" w:hAnsiTheme="minorHAnsi" w:cstheme="minorBidi"/>
              <w:noProof/>
              <w:szCs w:val="24"/>
            </w:rPr>
          </w:pPr>
          <w:hyperlink w:anchor="_Toc116632283" w:history="1">
            <w:r w:rsidR="00887027" w:rsidRPr="00973299">
              <w:rPr>
                <w:rStyle w:val="afffd"/>
                <w:noProof/>
                <w:szCs w:val="24"/>
              </w:rPr>
              <w:t>Приложение № 17. Рекомендованная форма детализированного плана перехода организаций, являющихся в соответствии с законодательством Российской Федерации субъектами КИИ и которым принадлежат значимые объекты КИИ, не являющихся при этом организациями, подведомственными органам государственной власти и государственным внебюджетным фондам, организациями, включенными в специальный перечень №</w:t>
            </w:r>
            <w:r w:rsidR="00566386">
              <w:rPr>
                <w:rStyle w:val="afffd"/>
                <w:noProof/>
                <w:szCs w:val="24"/>
              </w:rPr>
              <w:t xml:space="preserve"> </w:t>
            </w:r>
            <w:r w:rsidR="00887027" w:rsidRPr="00973299">
              <w:rPr>
                <w:rStyle w:val="afffd"/>
                <w:noProof/>
                <w:szCs w:val="24"/>
              </w:rPr>
              <w:t>91-р и в отношении которых приняты решения о разработке стратегии (программы) цифровой трансформации (протокол заочного голосования членов президиума Правительственной комиссии по цифровому развитию, использованию информационных технологий для улучшения качества жизни и условий ведения предпринимательской деятельности от 31 августа 2022 г. №</w:t>
            </w:r>
            <w:r w:rsidR="00566386">
              <w:rPr>
                <w:rStyle w:val="afffd"/>
                <w:noProof/>
                <w:szCs w:val="24"/>
              </w:rPr>
              <w:t xml:space="preserve"> </w:t>
            </w:r>
            <w:r w:rsidR="00887027" w:rsidRPr="00973299">
              <w:rPr>
                <w:rStyle w:val="afffd"/>
                <w:noProof/>
                <w:szCs w:val="24"/>
              </w:rPr>
              <w:t>34),  а также заказчиками 44-ФЗ и (или) заказчиками 223-ФЗ, на принадлежащих им значимых объектах КИИ (иные организации)</w:t>
            </w:r>
            <w:r w:rsidR="00887027" w:rsidRPr="00973299">
              <w:rPr>
                <w:noProof/>
                <w:webHidden/>
                <w:szCs w:val="24"/>
              </w:rPr>
              <w:tab/>
            </w:r>
            <w:r w:rsidR="00887027" w:rsidRPr="00973299">
              <w:rPr>
                <w:noProof/>
                <w:webHidden/>
                <w:szCs w:val="24"/>
              </w:rPr>
              <w:fldChar w:fldCharType="begin"/>
            </w:r>
            <w:r w:rsidR="00887027" w:rsidRPr="00973299">
              <w:rPr>
                <w:noProof/>
                <w:webHidden/>
                <w:szCs w:val="24"/>
              </w:rPr>
              <w:instrText xml:space="preserve"> PAGEREF _Toc116632283 \h </w:instrText>
            </w:r>
            <w:r w:rsidR="00887027" w:rsidRPr="00973299">
              <w:rPr>
                <w:noProof/>
                <w:webHidden/>
                <w:szCs w:val="24"/>
              </w:rPr>
            </w:r>
            <w:r w:rsidR="00887027" w:rsidRPr="00973299">
              <w:rPr>
                <w:noProof/>
                <w:webHidden/>
                <w:szCs w:val="24"/>
              </w:rPr>
              <w:fldChar w:fldCharType="separate"/>
            </w:r>
            <w:r w:rsidR="00F57B1F">
              <w:rPr>
                <w:noProof/>
                <w:webHidden/>
                <w:szCs w:val="24"/>
              </w:rPr>
              <w:t>334</w:t>
            </w:r>
            <w:r w:rsidR="00887027" w:rsidRPr="00973299">
              <w:rPr>
                <w:noProof/>
                <w:webHidden/>
                <w:szCs w:val="24"/>
              </w:rPr>
              <w:fldChar w:fldCharType="end"/>
            </w:r>
          </w:hyperlink>
        </w:p>
        <w:p w14:paraId="655D9F4F" w14:textId="1E4740C3" w:rsidR="00887027" w:rsidRPr="00973299" w:rsidRDefault="00381069" w:rsidP="00F57B1F">
          <w:pPr>
            <w:pStyle w:val="1f2"/>
            <w:tabs>
              <w:tab w:val="right" w:leader="dot" w:pos="10197"/>
            </w:tabs>
            <w:spacing w:after="0" w:line="240" w:lineRule="auto"/>
            <w:jc w:val="both"/>
            <w:rPr>
              <w:rFonts w:asciiTheme="minorHAnsi" w:eastAsiaTheme="minorEastAsia" w:hAnsiTheme="minorHAnsi" w:cstheme="minorBidi"/>
              <w:noProof/>
              <w:szCs w:val="24"/>
            </w:rPr>
          </w:pPr>
          <w:hyperlink w:anchor="_Toc116632284" w:history="1">
            <w:r w:rsidR="00887027" w:rsidRPr="00973299">
              <w:rPr>
                <w:rStyle w:val="afffd"/>
                <w:noProof/>
                <w:szCs w:val="24"/>
              </w:rPr>
              <w:t>Приложение № 18 Рекомендованные отчетные формы для представления сведений о ходе реализации плана перехода организаций, являющихся в соответствии с законодательством Российской Федерации субъектами КИИ и которым принадлежат значимые объекты КИИ, не являющихся при этом организациями, подведомственными органам государственной власти и государственным внебюджетным фондам, организациями, включенными в специальный перечень №</w:t>
            </w:r>
            <w:r w:rsidR="00566386">
              <w:rPr>
                <w:rStyle w:val="afffd"/>
                <w:noProof/>
                <w:szCs w:val="24"/>
              </w:rPr>
              <w:t xml:space="preserve"> </w:t>
            </w:r>
            <w:r w:rsidR="00887027" w:rsidRPr="00973299">
              <w:rPr>
                <w:rStyle w:val="afffd"/>
                <w:noProof/>
                <w:szCs w:val="24"/>
              </w:rPr>
              <w:t>91-р и в отношении которых приняты решения о разработке стратегии (программы) цифровой трансформации (протокол заочного голосования членов президиума Правительственной комиссии по цифровому развитию, использованию информационных технологий для улучшения качества жизни и условий ведения предпринимательской деятельности от 31 августа 2022 г. №</w:t>
            </w:r>
            <w:r w:rsidR="00566386">
              <w:rPr>
                <w:rStyle w:val="afffd"/>
                <w:noProof/>
                <w:szCs w:val="24"/>
              </w:rPr>
              <w:t xml:space="preserve"> </w:t>
            </w:r>
            <w:r w:rsidR="00887027" w:rsidRPr="00973299">
              <w:rPr>
                <w:rStyle w:val="afffd"/>
                <w:noProof/>
                <w:szCs w:val="24"/>
              </w:rPr>
              <w:t>34),  а также заказчиками 44-ФЗ и (или) заказчиками 223-ФЗ (иные организации)</w:t>
            </w:r>
            <w:r w:rsidR="00887027" w:rsidRPr="00973299">
              <w:rPr>
                <w:noProof/>
                <w:webHidden/>
                <w:szCs w:val="24"/>
              </w:rPr>
              <w:tab/>
            </w:r>
            <w:r w:rsidR="00887027" w:rsidRPr="00973299">
              <w:rPr>
                <w:noProof/>
                <w:webHidden/>
                <w:szCs w:val="24"/>
              </w:rPr>
              <w:fldChar w:fldCharType="begin"/>
            </w:r>
            <w:r w:rsidR="00887027" w:rsidRPr="00973299">
              <w:rPr>
                <w:noProof/>
                <w:webHidden/>
                <w:szCs w:val="24"/>
              </w:rPr>
              <w:instrText xml:space="preserve"> PAGEREF _Toc116632284 \h </w:instrText>
            </w:r>
            <w:r w:rsidR="00887027" w:rsidRPr="00973299">
              <w:rPr>
                <w:noProof/>
                <w:webHidden/>
                <w:szCs w:val="24"/>
              </w:rPr>
            </w:r>
            <w:r w:rsidR="00887027" w:rsidRPr="00973299">
              <w:rPr>
                <w:noProof/>
                <w:webHidden/>
                <w:szCs w:val="24"/>
              </w:rPr>
              <w:fldChar w:fldCharType="separate"/>
            </w:r>
            <w:r w:rsidR="00F57B1F">
              <w:rPr>
                <w:noProof/>
                <w:webHidden/>
                <w:szCs w:val="24"/>
              </w:rPr>
              <w:t>339</w:t>
            </w:r>
            <w:r w:rsidR="00887027" w:rsidRPr="00973299">
              <w:rPr>
                <w:noProof/>
                <w:webHidden/>
                <w:szCs w:val="24"/>
              </w:rPr>
              <w:fldChar w:fldCharType="end"/>
            </w:r>
          </w:hyperlink>
        </w:p>
        <w:p w14:paraId="53B5957B" w14:textId="77777777" w:rsidR="00784B5B" w:rsidRPr="00B0658A" w:rsidRDefault="00122639" w:rsidP="00F57B1F">
          <w:pPr>
            <w:spacing w:after="0" w:line="240" w:lineRule="auto"/>
            <w:rPr>
              <w:rFonts w:ascii="Times New Roman" w:hAnsi="Times New Roman"/>
              <w:sz w:val="28"/>
              <w:szCs w:val="28"/>
            </w:rPr>
          </w:pPr>
          <w:r w:rsidRPr="00B0658A">
            <w:rPr>
              <w:rFonts w:ascii="Times New Roman" w:hAnsi="Times New Roman"/>
              <w:sz w:val="28"/>
              <w:szCs w:val="28"/>
            </w:rPr>
            <w:fldChar w:fldCharType="end"/>
          </w:r>
        </w:p>
      </w:sdtContent>
    </w:sdt>
    <w:p w14:paraId="78348338" w14:textId="77777777" w:rsidR="00784B5B" w:rsidRPr="00B0658A" w:rsidRDefault="00784B5B" w:rsidP="00064E36">
      <w:pPr>
        <w:pStyle w:val="ConsPlusNormal"/>
        <w:jc w:val="right"/>
        <w:rPr>
          <w:sz w:val="28"/>
        </w:rPr>
      </w:pPr>
    </w:p>
    <w:p w14:paraId="119AFEFF" w14:textId="77777777" w:rsidR="00784B5B" w:rsidRPr="00B0658A" w:rsidRDefault="00784B5B">
      <w:pPr>
        <w:spacing w:after="0" w:line="240" w:lineRule="auto"/>
        <w:rPr>
          <w:rFonts w:ascii="Times New Roman" w:hAnsi="Times New Roman"/>
          <w:b/>
          <w:bCs/>
          <w:sz w:val="28"/>
          <w:szCs w:val="24"/>
        </w:rPr>
      </w:pPr>
      <w:r w:rsidRPr="00B0658A">
        <w:rPr>
          <w:rFonts w:ascii="Times New Roman" w:hAnsi="Times New Roman"/>
          <w:b/>
          <w:bCs/>
          <w:sz w:val="28"/>
        </w:rPr>
        <w:br w:type="page"/>
      </w:r>
    </w:p>
    <w:p w14:paraId="023535A9" w14:textId="77777777" w:rsidR="00064E36" w:rsidRPr="00B0658A" w:rsidRDefault="001D3F6C" w:rsidP="00064E36">
      <w:pPr>
        <w:pStyle w:val="11"/>
        <w:spacing w:before="120" w:after="0" w:line="240" w:lineRule="auto"/>
        <w:rPr>
          <w:rFonts w:cs="Times New Roman"/>
          <w:b w:val="0"/>
          <w:szCs w:val="28"/>
        </w:rPr>
      </w:pPr>
      <w:bookmarkStart w:id="2" w:name="_Toc116632259"/>
      <w:r w:rsidRPr="00B0658A">
        <w:rPr>
          <w:rFonts w:cs="Times New Roman"/>
          <w:szCs w:val="28"/>
        </w:rPr>
        <w:lastRenderedPageBreak/>
        <w:t>1</w:t>
      </w:r>
      <w:r w:rsidR="00064E36" w:rsidRPr="00B0658A">
        <w:rPr>
          <w:rFonts w:cs="Times New Roman"/>
          <w:szCs w:val="28"/>
        </w:rPr>
        <w:t>.</w:t>
      </w:r>
      <w:r w:rsidR="00064E36" w:rsidRPr="00B0658A">
        <w:rPr>
          <w:rFonts w:cs="Times New Roman"/>
          <w:szCs w:val="28"/>
          <w:lang w:val="en-US"/>
        </w:rPr>
        <w:t> </w:t>
      </w:r>
      <w:r w:rsidR="00064E36" w:rsidRPr="00B0658A">
        <w:rPr>
          <w:rFonts w:cs="Times New Roman"/>
          <w:szCs w:val="28"/>
        </w:rPr>
        <w:t>Термины и определения</w:t>
      </w:r>
      <w:bookmarkEnd w:id="2"/>
    </w:p>
    <w:p w14:paraId="4E5850A3" w14:textId="77777777" w:rsidR="00064E36" w:rsidRPr="00B0658A" w:rsidRDefault="00064E36" w:rsidP="00064E36">
      <w:pPr>
        <w:spacing w:before="120" w:after="0" w:line="240" w:lineRule="auto"/>
        <w:ind w:firstLine="709"/>
        <w:jc w:val="both"/>
        <w:rPr>
          <w:rFonts w:ascii="Times New Roman" w:hAnsi="Times New Roman"/>
          <w:sz w:val="28"/>
          <w:szCs w:val="28"/>
        </w:rPr>
      </w:pPr>
      <w:r w:rsidRPr="00B0658A">
        <w:rPr>
          <w:rFonts w:ascii="Times New Roman" w:hAnsi="Times New Roman"/>
          <w:sz w:val="28"/>
          <w:szCs w:val="28"/>
        </w:rPr>
        <w:t>В настоящих методических рекомендациях используются следующие термины и определения:</w:t>
      </w:r>
    </w:p>
    <w:tbl>
      <w:tblPr>
        <w:tblStyle w:val="24"/>
        <w:tblW w:w="5000" w:type="pct"/>
        <w:tblInd w:w="0"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600" w:firstRow="0" w:lastRow="0" w:firstColumn="0" w:lastColumn="0" w:noHBand="1" w:noVBand="1"/>
      </w:tblPr>
      <w:tblGrid>
        <w:gridCol w:w="3035"/>
        <w:gridCol w:w="7162"/>
      </w:tblGrid>
      <w:tr w:rsidR="00F52FED" w:rsidRPr="00B0658A" w14:paraId="0C2CFAFB" w14:textId="77777777" w:rsidTr="00793884">
        <w:trPr>
          <w:trHeight w:val="219"/>
        </w:trPr>
        <w:tc>
          <w:tcPr>
            <w:tcW w:w="1488" w:type="pct"/>
            <w:tcBorders>
              <w:top w:val="single" w:sz="4" w:space="0" w:color="auto"/>
              <w:left w:val="single" w:sz="4" w:space="0" w:color="auto"/>
              <w:bottom w:val="single" w:sz="4" w:space="0" w:color="auto"/>
              <w:right w:val="single" w:sz="4" w:space="0" w:color="auto"/>
            </w:tcBorders>
            <w:shd w:val="clear" w:color="auto" w:fill="E7E6E6" w:themeFill="background2"/>
            <w:tcMar>
              <w:top w:w="100" w:type="dxa"/>
              <w:left w:w="100" w:type="dxa"/>
              <w:bottom w:w="100" w:type="dxa"/>
              <w:right w:w="100" w:type="dxa"/>
            </w:tcMar>
          </w:tcPr>
          <w:p w14:paraId="2D1A588E" w14:textId="77777777" w:rsidR="00064E36" w:rsidRPr="00B0658A" w:rsidRDefault="00064E36" w:rsidP="00992E4C">
            <w:pPr>
              <w:spacing w:before="120" w:after="0" w:line="240" w:lineRule="auto"/>
              <w:jc w:val="center"/>
              <w:rPr>
                <w:rFonts w:ascii="Times New Roman" w:hAnsi="Times New Roman"/>
                <w:b/>
                <w:sz w:val="28"/>
                <w:szCs w:val="28"/>
              </w:rPr>
            </w:pPr>
            <w:r w:rsidRPr="00B0658A">
              <w:rPr>
                <w:rFonts w:ascii="Times New Roman" w:hAnsi="Times New Roman"/>
                <w:b/>
                <w:sz w:val="28"/>
                <w:szCs w:val="28"/>
              </w:rPr>
              <w:t>Термин</w:t>
            </w:r>
          </w:p>
        </w:tc>
        <w:tc>
          <w:tcPr>
            <w:tcW w:w="3512" w:type="pct"/>
            <w:tcBorders>
              <w:top w:val="single" w:sz="4" w:space="0" w:color="auto"/>
              <w:left w:val="single" w:sz="4" w:space="0" w:color="auto"/>
              <w:bottom w:val="single" w:sz="4" w:space="0" w:color="auto"/>
              <w:right w:val="single" w:sz="4" w:space="0" w:color="auto"/>
            </w:tcBorders>
            <w:shd w:val="clear" w:color="auto" w:fill="E7E6E6" w:themeFill="background2"/>
            <w:tcMar>
              <w:top w:w="100" w:type="dxa"/>
              <w:left w:w="100" w:type="dxa"/>
              <w:bottom w:w="100" w:type="dxa"/>
              <w:right w:w="100" w:type="dxa"/>
            </w:tcMar>
          </w:tcPr>
          <w:p w14:paraId="66C41A2C" w14:textId="77777777" w:rsidR="00064E36" w:rsidRPr="00B0658A" w:rsidRDefault="00064E36" w:rsidP="00992E4C">
            <w:pPr>
              <w:spacing w:before="120" w:after="0" w:line="240" w:lineRule="auto"/>
              <w:jc w:val="center"/>
              <w:rPr>
                <w:rFonts w:ascii="Times New Roman" w:hAnsi="Times New Roman"/>
                <w:b/>
                <w:sz w:val="28"/>
                <w:szCs w:val="28"/>
              </w:rPr>
            </w:pPr>
            <w:r w:rsidRPr="00B0658A">
              <w:rPr>
                <w:rFonts w:ascii="Times New Roman" w:hAnsi="Times New Roman"/>
                <w:b/>
                <w:sz w:val="28"/>
                <w:szCs w:val="28"/>
              </w:rPr>
              <w:t>Определение</w:t>
            </w:r>
          </w:p>
        </w:tc>
      </w:tr>
      <w:tr w:rsidR="00F52FED" w:rsidRPr="00B0658A" w14:paraId="4B105560" w14:textId="77777777" w:rsidTr="00793884">
        <w:trPr>
          <w:trHeight w:val="219"/>
        </w:trPr>
        <w:tc>
          <w:tcPr>
            <w:tcW w:w="1488" w:type="pct"/>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4A51F5D" w14:textId="77777777" w:rsidR="00793884" w:rsidRPr="00B0658A" w:rsidRDefault="00E42859" w:rsidP="00793884">
            <w:pPr>
              <w:spacing w:before="120" w:after="0" w:line="240" w:lineRule="auto"/>
              <w:jc w:val="both"/>
              <w:rPr>
                <w:rFonts w:ascii="Times New Roman" w:hAnsi="Times New Roman"/>
                <w:sz w:val="28"/>
                <w:szCs w:val="28"/>
              </w:rPr>
            </w:pPr>
            <w:r w:rsidRPr="00B0658A">
              <w:rPr>
                <w:rFonts w:ascii="Times New Roman" w:hAnsi="Times New Roman"/>
                <w:sz w:val="28"/>
                <w:szCs w:val="28"/>
              </w:rPr>
              <w:t>Информационная система</w:t>
            </w:r>
          </w:p>
        </w:tc>
        <w:tc>
          <w:tcPr>
            <w:tcW w:w="3512" w:type="pct"/>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DB104C2" w14:textId="77777777" w:rsidR="00793884" w:rsidRPr="00B0658A" w:rsidRDefault="009B6903" w:rsidP="00793884">
            <w:pPr>
              <w:spacing w:before="120" w:after="0" w:line="240" w:lineRule="auto"/>
              <w:jc w:val="both"/>
              <w:rPr>
                <w:rFonts w:ascii="Times New Roman" w:hAnsi="Times New Roman"/>
                <w:sz w:val="28"/>
                <w:szCs w:val="28"/>
              </w:rPr>
            </w:pPr>
            <w:r w:rsidRPr="00B0658A">
              <w:rPr>
                <w:rFonts w:ascii="Times New Roman" w:hAnsi="Times New Roman"/>
                <w:sz w:val="28"/>
                <w:szCs w:val="28"/>
              </w:rPr>
              <w:t>Совокупность содержащейся в базах данных информации и обеспечивающих ее обработку информационных технологий и технических средств</w:t>
            </w:r>
          </w:p>
        </w:tc>
      </w:tr>
      <w:tr w:rsidR="00F52FED" w:rsidRPr="00B0658A" w14:paraId="65FBA794" w14:textId="77777777" w:rsidTr="00793884">
        <w:trPr>
          <w:trHeight w:val="219"/>
        </w:trPr>
        <w:tc>
          <w:tcPr>
            <w:tcW w:w="1488" w:type="pct"/>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CA827FB" w14:textId="77777777" w:rsidR="00793884" w:rsidRPr="00B0658A" w:rsidRDefault="00E42859" w:rsidP="00793884">
            <w:pPr>
              <w:spacing w:before="120" w:after="0" w:line="240" w:lineRule="auto"/>
              <w:jc w:val="both"/>
              <w:rPr>
                <w:rFonts w:ascii="Times New Roman" w:hAnsi="Times New Roman"/>
                <w:sz w:val="28"/>
                <w:szCs w:val="28"/>
              </w:rPr>
            </w:pPr>
            <w:r w:rsidRPr="00B0658A">
              <w:rPr>
                <w:rFonts w:ascii="Times New Roman" w:hAnsi="Times New Roman"/>
                <w:sz w:val="28"/>
                <w:szCs w:val="28"/>
              </w:rPr>
              <w:t>Государственн</w:t>
            </w:r>
            <w:r w:rsidR="009B6903" w:rsidRPr="00B0658A">
              <w:rPr>
                <w:rFonts w:ascii="Times New Roman" w:hAnsi="Times New Roman"/>
                <w:sz w:val="28"/>
                <w:szCs w:val="28"/>
              </w:rPr>
              <w:t>ые</w:t>
            </w:r>
            <w:r w:rsidRPr="00B0658A">
              <w:rPr>
                <w:rFonts w:ascii="Times New Roman" w:hAnsi="Times New Roman"/>
                <w:sz w:val="28"/>
                <w:szCs w:val="28"/>
              </w:rPr>
              <w:t xml:space="preserve"> информационн</w:t>
            </w:r>
            <w:r w:rsidR="009B6903" w:rsidRPr="00B0658A">
              <w:rPr>
                <w:rFonts w:ascii="Times New Roman" w:hAnsi="Times New Roman"/>
                <w:sz w:val="28"/>
                <w:szCs w:val="28"/>
              </w:rPr>
              <w:t>ые</w:t>
            </w:r>
            <w:r w:rsidRPr="00B0658A">
              <w:rPr>
                <w:rFonts w:ascii="Times New Roman" w:hAnsi="Times New Roman"/>
                <w:sz w:val="28"/>
                <w:szCs w:val="28"/>
              </w:rPr>
              <w:t xml:space="preserve"> систем</w:t>
            </w:r>
            <w:r w:rsidR="009B6903" w:rsidRPr="00B0658A">
              <w:rPr>
                <w:rFonts w:ascii="Times New Roman" w:hAnsi="Times New Roman"/>
                <w:sz w:val="28"/>
                <w:szCs w:val="28"/>
              </w:rPr>
              <w:t>ы</w:t>
            </w:r>
          </w:p>
        </w:tc>
        <w:tc>
          <w:tcPr>
            <w:tcW w:w="3512" w:type="pct"/>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A12956F" w14:textId="77777777" w:rsidR="00793884" w:rsidRPr="00B0658A" w:rsidRDefault="009B6903" w:rsidP="00793884">
            <w:pPr>
              <w:spacing w:before="120" w:after="0" w:line="240" w:lineRule="auto"/>
              <w:jc w:val="both"/>
              <w:rPr>
                <w:rFonts w:ascii="Times New Roman" w:hAnsi="Times New Roman"/>
                <w:sz w:val="28"/>
                <w:szCs w:val="28"/>
              </w:rPr>
            </w:pPr>
            <w:r w:rsidRPr="00B0658A">
              <w:rPr>
                <w:rFonts w:ascii="Times New Roman" w:hAnsi="Times New Roman"/>
                <w:sz w:val="28"/>
                <w:szCs w:val="28"/>
              </w:rPr>
              <w:t>Федеральные информационные системы и региональные информационные системы, созданные на основании соответственно федеральных законов, законов субъектов Российской Федерации, на основании правовых актов государственных органов</w:t>
            </w:r>
          </w:p>
        </w:tc>
      </w:tr>
      <w:tr w:rsidR="00F52FED" w:rsidRPr="00B0658A" w14:paraId="32EDA99C" w14:textId="77777777" w:rsidTr="00793884">
        <w:trPr>
          <w:trHeight w:val="219"/>
        </w:trPr>
        <w:tc>
          <w:tcPr>
            <w:tcW w:w="1488" w:type="pct"/>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258B3F5" w14:textId="77777777" w:rsidR="00793884" w:rsidRPr="00B0658A" w:rsidRDefault="003747A8" w:rsidP="00793884">
            <w:pPr>
              <w:spacing w:before="120" w:after="0" w:line="240" w:lineRule="auto"/>
              <w:jc w:val="both"/>
              <w:rPr>
                <w:rFonts w:ascii="Times New Roman" w:hAnsi="Times New Roman"/>
                <w:sz w:val="28"/>
                <w:szCs w:val="28"/>
              </w:rPr>
            </w:pPr>
            <w:r w:rsidRPr="00B0658A">
              <w:rPr>
                <w:rFonts w:ascii="Times New Roman" w:hAnsi="Times New Roman"/>
                <w:sz w:val="28"/>
                <w:szCs w:val="28"/>
              </w:rPr>
              <w:t>Ведомственные  информационные системы</w:t>
            </w:r>
          </w:p>
        </w:tc>
        <w:tc>
          <w:tcPr>
            <w:tcW w:w="3512" w:type="pct"/>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FFC73A8" w14:textId="77777777" w:rsidR="00793884" w:rsidRPr="00B0658A" w:rsidRDefault="003747A8" w:rsidP="00793884">
            <w:pPr>
              <w:spacing w:before="120" w:after="0" w:line="240" w:lineRule="auto"/>
              <w:jc w:val="both"/>
              <w:rPr>
                <w:rFonts w:ascii="Times New Roman" w:hAnsi="Times New Roman"/>
                <w:sz w:val="28"/>
                <w:szCs w:val="28"/>
              </w:rPr>
            </w:pPr>
            <w:r w:rsidRPr="00B0658A">
              <w:rPr>
                <w:rFonts w:ascii="Times New Roman" w:hAnsi="Times New Roman"/>
                <w:sz w:val="28"/>
                <w:szCs w:val="28"/>
              </w:rPr>
              <w:t>Информационные системы, созданные и используемые органами государственной власти и государственными внебюджетными фондами Российской Федерации, но не отнесенные к государственным информационным системам</w:t>
            </w:r>
          </w:p>
        </w:tc>
      </w:tr>
      <w:tr w:rsidR="00F52FED" w:rsidRPr="00B0658A" w14:paraId="429ED340" w14:textId="77777777" w:rsidTr="00992E4C">
        <w:trPr>
          <w:trHeight w:val="755"/>
        </w:trPr>
        <w:tc>
          <w:tcPr>
            <w:tcW w:w="1488" w:type="pct"/>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2908B47" w14:textId="77777777" w:rsidR="00064E36" w:rsidRPr="00B0658A" w:rsidRDefault="00064E36" w:rsidP="00992E4C">
            <w:pPr>
              <w:spacing w:before="120" w:after="0" w:line="240" w:lineRule="auto"/>
              <w:jc w:val="both"/>
              <w:rPr>
                <w:rFonts w:ascii="Times New Roman" w:hAnsi="Times New Roman"/>
                <w:sz w:val="28"/>
                <w:szCs w:val="28"/>
              </w:rPr>
            </w:pPr>
            <w:r w:rsidRPr="00B0658A">
              <w:rPr>
                <w:rFonts w:ascii="Times New Roman" w:hAnsi="Times New Roman"/>
                <w:sz w:val="28"/>
                <w:szCs w:val="28"/>
              </w:rPr>
              <w:t>Автоматизированная система управления</w:t>
            </w:r>
          </w:p>
        </w:tc>
        <w:tc>
          <w:tcPr>
            <w:tcW w:w="3512" w:type="pct"/>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E3C192E" w14:textId="77777777" w:rsidR="00064E36" w:rsidRPr="00B0658A" w:rsidRDefault="00064E36" w:rsidP="00992E4C">
            <w:pPr>
              <w:spacing w:before="120" w:after="0" w:line="240" w:lineRule="auto"/>
              <w:jc w:val="both"/>
              <w:rPr>
                <w:rFonts w:ascii="Times New Roman" w:hAnsi="Times New Roman"/>
                <w:sz w:val="28"/>
                <w:szCs w:val="28"/>
              </w:rPr>
            </w:pPr>
            <w:r w:rsidRPr="00B0658A">
              <w:rPr>
                <w:rFonts w:ascii="Times New Roman" w:hAnsi="Times New Roman"/>
                <w:sz w:val="28"/>
                <w:szCs w:val="28"/>
              </w:rPr>
              <w:t>Комплекс программных и программно-аппаратных средств, предназначенных для контроля за технологическим и (или) производственным оборудованием (исполнительными устройствами) и производимыми ими процессами, а также для управления такими оборудованием и процессами</w:t>
            </w:r>
          </w:p>
        </w:tc>
      </w:tr>
      <w:tr w:rsidR="00F52FED" w:rsidRPr="00B0658A" w14:paraId="2493448C" w14:textId="77777777" w:rsidTr="00992E4C">
        <w:trPr>
          <w:trHeight w:val="755"/>
        </w:trPr>
        <w:tc>
          <w:tcPr>
            <w:tcW w:w="1488" w:type="pct"/>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21B1A69" w14:textId="77777777" w:rsidR="00064E36" w:rsidRPr="00B0658A" w:rsidRDefault="00064E36" w:rsidP="00992E4C">
            <w:pPr>
              <w:spacing w:before="120" w:after="0" w:line="240" w:lineRule="auto"/>
              <w:jc w:val="both"/>
              <w:rPr>
                <w:rFonts w:ascii="Times New Roman" w:hAnsi="Times New Roman"/>
                <w:sz w:val="28"/>
                <w:szCs w:val="28"/>
              </w:rPr>
            </w:pPr>
            <w:r w:rsidRPr="00B0658A">
              <w:rPr>
                <w:rFonts w:ascii="Times New Roman" w:hAnsi="Times New Roman"/>
                <w:sz w:val="28"/>
                <w:szCs w:val="28"/>
              </w:rPr>
              <w:t>Значимый объект критической информационной инфраструктуры</w:t>
            </w:r>
          </w:p>
        </w:tc>
        <w:tc>
          <w:tcPr>
            <w:tcW w:w="3512" w:type="pct"/>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4D11805" w14:textId="77777777" w:rsidR="00064E36" w:rsidRPr="00B0658A" w:rsidRDefault="00064E36" w:rsidP="00992E4C">
            <w:pPr>
              <w:spacing w:before="120" w:after="0" w:line="240" w:lineRule="auto"/>
              <w:jc w:val="both"/>
              <w:rPr>
                <w:rFonts w:ascii="Times New Roman" w:hAnsi="Times New Roman"/>
                <w:sz w:val="28"/>
                <w:szCs w:val="28"/>
              </w:rPr>
            </w:pPr>
            <w:r w:rsidRPr="00B0658A">
              <w:rPr>
                <w:rFonts w:ascii="Times New Roman" w:hAnsi="Times New Roman"/>
                <w:sz w:val="28"/>
                <w:szCs w:val="28"/>
              </w:rPr>
              <w:t>Объект критической информационной инфраструктуры, которому присвоена одна из категорий значимости и который включен в реестр значимых объектов критической информационной инфраструктуры</w:t>
            </w:r>
          </w:p>
        </w:tc>
      </w:tr>
      <w:tr w:rsidR="00F52FED" w:rsidRPr="00B0658A" w14:paraId="11264067" w14:textId="77777777" w:rsidTr="00992E4C">
        <w:trPr>
          <w:trHeight w:val="755"/>
        </w:trPr>
        <w:tc>
          <w:tcPr>
            <w:tcW w:w="1488" w:type="pct"/>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0B96256" w14:textId="77777777" w:rsidR="00064E36" w:rsidRPr="00B0658A" w:rsidRDefault="00064E36" w:rsidP="00992E4C">
            <w:pPr>
              <w:spacing w:before="120" w:after="0" w:line="240" w:lineRule="auto"/>
              <w:jc w:val="both"/>
              <w:rPr>
                <w:rFonts w:ascii="Times New Roman" w:hAnsi="Times New Roman"/>
                <w:sz w:val="28"/>
                <w:szCs w:val="28"/>
              </w:rPr>
            </w:pPr>
            <w:r w:rsidRPr="00B0658A">
              <w:rPr>
                <w:rFonts w:ascii="Times New Roman" w:hAnsi="Times New Roman"/>
                <w:sz w:val="28"/>
                <w:szCs w:val="28"/>
              </w:rPr>
              <w:t>Информационно-телекоммуникационная сеть</w:t>
            </w:r>
          </w:p>
        </w:tc>
        <w:tc>
          <w:tcPr>
            <w:tcW w:w="3512" w:type="pct"/>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2FE4EEB" w14:textId="77777777" w:rsidR="00064E36" w:rsidRPr="00B0658A" w:rsidRDefault="00064E36" w:rsidP="00992E4C">
            <w:pPr>
              <w:spacing w:before="120" w:after="0" w:line="240" w:lineRule="auto"/>
              <w:jc w:val="both"/>
              <w:rPr>
                <w:rFonts w:ascii="Times New Roman" w:hAnsi="Times New Roman"/>
                <w:sz w:val="28"/>
                <w:szCs w:val="28"/>
              </w:rPr>
            </w:pPr>
            <w:r w:rsidRPr="00B0658A">
              <w:rPr>
                <w:rFonts w:ascii="Times New Roman" w:hAnsi="Times New Roman"/>
                <w:sz w:val="28"/>
                <w:szCs w:val="28"/>
              </w:rPr>
              <w:t>Технологическая система, предназначенная для передачи по линиям связи информации, доступ к которой осуществляется с использованием средств вычислительной техники</w:t>
            </w:r>
          </w:p>
        </w:tc>
      </w:tr>
      <w:tr w:rsidR="00F52FED" w:rsidRPr="00B0658A" w14:paraId="19A726A0" w14:textId="77777777" w:rsidTr="00992E4C">
        <w:trPr>
          <w:trHeight w:val="755"/>
        </w:trPr>
        <w:tc>
          <w:tcPr>
            <w:tcW w:w="1488" w:type="pct"/>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3815749" w14:textId="77777777" w:rsidR="00064E36" w:rsidRPr="00B0658A" w:rsidRDefault="00064E36" w:rsidP="00992E4C">
            <w:pPr>
              <w:spacing w:before="120" w:after="0" w:line="240" w:lineRule="auto"/>
              <w:jc w:val="both"/>
              <w:rPr>
                <w:rFonts w:ascii="Times New Roman" w:hAnsi="Times New Roman"/>
                <w:sz w:val="28"/>
                <w:szCs w:val="28"/>
              </w:rPr>
            </w:pPr>
            <w:r w:rsidRPr="00B0658A">
              <w:rPr>
                <w:rFonts w:ascii="Times New Roman" w:hAnsi="Times New Roman"/>
                <w:sz w:val="28"/>
                <w:szCs w:val="28"/>
              </w:rPr>
              <w:t>Объект критической информационной инфраструктуры</w:t>
            </w:r>
          </w:p>
        </w:tc>
        <w:tc>
          <w:tcPr>
            <w:tcW w:w="3512" w:type="pct"/>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3FE30E9" w14:textId="77777777" w:rsidR="00064E36" w:rsidRPr="00B0658A" w:rsidRDefault="00064E36" w:rsidP="00992E4C">
            <w:pPr>
              <w:spacing w:before="120" w:after="0" w:line="240" w:lineRule="auto"/>
              <w:jc w:val="both"/>
              <w:rPr>
                <w:rFonts w:ascii="Times New Roman" w:hAnsi="Times New Roman"/>
                <w:sz w:val="28"/>
                <w:szCs w:val="28"/>
              </w:rPr>
            </w:pPr>
            <w:r w:rsidRPr="00B0658A">
              <w:rPr>
                <w:rFonts w:ascii="Times New Roman" w:hAnsi="Times New Roman"/>
                <w:sz w:val="28"/>
                <w:szCs w:val="28"/>
              </w:rPr>
              <w:t>Информационная система, информационно-телекоммуникационная сеть, автоматизированная система управления субъекта критической информационной инфраструктуры</w:t>
            </w:r>
          </w:p>
        </w:tc>
      </w:tr>
      <w:tr w:rsidR="00F52FED" w:rsidRPr="00B0658A" w14:paraId="27802C83" w14:textId="77777777" w:rsidTr="00992E4C">
        <w:trPr>
          <w:trHeight w:val="755"/>
        </w:trPr>
        <w:tc>
          <w:tcPr>
            <w:tcW w:w="1488" w:type="pct"/>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C8182A5" w14:textId="77777777" w:rsidR="00064E36" w:rsidRPr="00B0658A" w:rsidRDefault="00064E36" w:rsidP="00992E4C">
            <w:pPr>
              <w:spacing w:before="120" w:after="0" w:line="240" w:lineRule="auto"/>
              <w:jc w:val="both"/>
              <w:rPr>
                <w:rFonts w:ascii="Times New Roman" w:hAnsi="Times New Roman"/>
                <w:sz w:val="28"/>
                <w:szCs w:val="28"/>
              </w:rPr>
            </w:pPr>
            <w:r w:rsidRPr="00B0658A">
              <w:rPr>
                <w:rFonts w:ascii="Times New Roman" w:hAnsi="Times New Roman"/>
                <w:sz w:val="28"/>
                <w:szCs w:val="28"/>
              </w:rPr>
              <w:lastRenderedPageBreak/>
              <w:t xml:space="preserve">Российское программное обеспечение </w:t>
            </w:r>
          </w:p>
        </w:tc>
        <w:tc>
          <w:tcPr>
            <w:tcW w:w="3512" w:type="pct"/>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F7DC876" w14:textId="77777777" w:rsidR="00064E36" w:rsidRPr="00B0658A" w:rsidRDefault="00064E36" w:rsidP="00992E4C">
            <w:pPr>
              <w:spacing w:before="120" w:after="0" w:line="240" w:lineRule="auto"/>
              <w:jc w:val="both"/>
              <w:rPr>
                <w:rFonts w:ascii="Times New Roman" w:hAnsi="Times New Roman"/>
                <w:sz w:val="28"/>
                <w:szCs w:val="28"/>
              </w:rPr>
            </w:pPr>
            <w:r w:rsidRPr="00B0658A">
              <w:rPr>
                <w:rFonts w:ascii="Times New Roman" w:hAnsi="Times New Roman"/>
                <w:sz w:val="28"/>
                <w:szCs w:val="28"/>
              </w:rPr>
              <w:t>Программное обеспечение, в том числе в составе программно-аппаратного комплекса, сведения о котором включены в единый реестр российского ПО</w:t>
            </w:r>
          </w:p>
        </w:tc>
      </w:tr>
      <w:tr w:rsidR="00F52FED" w:rsidRPr="00B0658A" w14:paraId="2A390BDB" w14:textId="77777777" w:rsidTr="00992E4C">
        <w:trPr>
          <w:trHeight w:val="755"/>
        </w:trPr>
        <w:tc>
          <w:tcPr>
            <w:tcW w:w="1488" w:type="pct"/>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B3868AA" w14:textId="77777777" w:rsidR="00064E36" w:rsidRPr="00B0658A" w:rsidRDefault="00064E36" w:rsidP="00992E4C">
            <w:pPr>
              <w:spacing w:before="120" w:after="0" w:line="240" w:lineRule="auto"/>
              <w:jc w:val="both"/>
              <w:rPr>
                <w:rFonts w:ascii="Times New Roman" w:hAnsi="Times New Roman"/>
                <w:sz w:val="28"/>
                <w:szCs w:val="28"/>
              </w:rPr>
            </w:pPr>
            <w:r w:rsidRPr="00B0658A">
              <w:rPr>
                <w:rFonts w:ascii="Times New Roman" w:hAnsi="Times New Roman"/>
                <w:sz w:val="28"/>
                <w:szCs w:val="28"/>
              </w:rPr>
              <w:t>Евразийское программное обеспечение</w:t>
            </w:r>
          </w:p>
        </w:tc>
        <w:tc>
          <w:tcPr>
            <w:tcW w:w="3512" w:type="pct"/>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E14421C" w14:textId="77777777" w:rsidR="00064E36" w:rsidRPr="00B0658A" w:rsidRDefault="00064E36" w:rsidP="00992E4C">
            <w:pPr>
              <w:spacing w:before="120" w:after="0" w:line="240" w:lineRule="auto"/>
              <w:jc w:val="both"/>
              <w:rPr>
                <w:rFonts w:ascii="Times New Roman" w:hAnsi="Times New Roman"/>
                <w:sz w:val="28"/>
                <w:szCs w:val="28"/>
              </w:rPr>
            </w:pPr>
            <w:r w:rsidRPr="00B0658A">
              <w:rPr>
                <w:rFonts w:ascii="Times New Roman" w:hAnsi="Times New Roman"/>
                <w:sz w:val="28"/>
                <w:szCs w:val="28"/>
              </w:rPr>
              <w:t xml:space="preserve">Программное обеспечение, в том числе в составе программно-аппаратного комплекса, сведения о котором включены в </w:t>
            </w:r>
            <w:r w:rsidRPr="00B0658A">
              <w:rPr>
                <w:rFonts w:ascii="Times New Roman" w:hAnsi="Times New Roman"/>
                <w:sz w:val="28"/>
                <w:szCs w:val="24"/>
              </w:rPr>
              <w:t>единый реестр евразийского ПО</w:t>
            </w:r>
          </w:p>
        </w:tc>
      </w:tr>
      <w:tr w:rsidR="00F52FED" w:rsidRPr="00B0658A" w14:paraId="4FB62179" w14:textId="77777777" w:rsidTr="00992E4C">
        <w:trPr>
          <w:trHeight w:val="755"/>
        </w:trPr>
        <w:tc>
          <w:tcPr>
            <w:tcW w:w="1488" w:type="pct"/>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988A8AC" w14:textId="77777777" w:rsidR="00064E36" w:rsidRPr="00B0658A" w:rsidRDefault="00064E36" w:rsidP="00992E4C">
            <w:pPr>
              <w:spacing w:before="120" w:after="0" w:line="240" w:lineRule="auto"/>
              <w:jc w:val="both"/>
              <w:rPr>
                <w:rFonts w:ascii="Times New Roman" w:hAnsi="Times New Roman"/>
                <w:sz w:val="28"/>
                <w:szCs w:val="28"/>
              </w:rPr>
            </w:pPr>
            <w:r w:rsidRPr="00B0658A">
              <w:rPr>
                <w:rFonts w:ascii="Times New Roman" w:hAnsi="Times New Roman"/>
                <w:sz w:val="28"/>
                <w:szCs w:val="28"/>
              </w:rPr>
              <w:t>Иностранное программное обеспечение</w:t>
            </w:r>
          </w:p>
        </w:tc>
        <w:tc>
          <w:tcPr>
            <w:tcW w:w="3512" w:type="pct"/>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ABBBFB4" w14:textId="77777777" w:rsidR="00064E36" w:rsidRPr="00B0658A" w:rsidRDefault="00064E36" w:rsidP="00992E4C">
            <w:pPr>
              <w:spacing w:before="120" w:after="0" w:line="240" w:lineRule="auto"/>
              <w:jc w:val="both"/>
              <w:rPr>
                <w:rFonts w:ascii="Times New Roman" w:hAnsi="Times New Roman"/>
                <w:sz w:val="28"/>
                <w:szCs w:val="28"/>
              </w:rPr>
            </w:pPr>
            <w:r w:rsidRPr="00B0658A">
              <w:rPr>
                <w:rFonts w:ascii="Times New Roman" w:hAnsi="Times New Roman"/>
                <w:sz w:val="28"/>
                <w:szCs w:val="28"/>
              </w:rPr>
              <w:t>Программное обеспечение, в том числе в составе программно-аппаратного комплекса, сведения о котором не включены в единый реестр российского ПО</w:t>
            </w:r>
            <w:r w:rsidR="00216A64" w:rsidRPr="00B0658A">
              <w:rPr>
                <w:rFonts w:ascii="Times New Roman" w:hAnsi="Times New Roman"/>
                <w:sz w:val="28"/>
                <w:szCs w:val="28"/>
              </w:rPr>
              <w:t xml:space="preserve">, за исключением случаев, определенных в законодательстве Российской Федерации. </w:t>
            </w:r>
            <w:r w:rsidRPr="00B0658A">
              <w:rPr>
                <w:rFonts w:ascii="Times New Roman" w:hAnsi="Times New Roman"/>
                <w:sz w:val="28"/>
                <w:szCs w:val="28"/>
              </w:rPr>
              <w:t xml:space="preserve">В случае, если ПО является свободно распространяемым, но сведения о таком программном обеспечении </w:t>
            </w:r>
            <w:r w:rsidR="00A71B58" w:rsidRPr="00B0658A">
              <w:rPr>
                <w:rFonts w:ascii="Times New Roman" w:hAnsi="Times New Roman"/>
                <w:sz w:val="28"/>
                <w:szCs w:val="28"/>
              </w:rPr>
              <w:t>не</w:t>
            </w:r>
            <w:r w:rsidRPr="00B0658A">
              <w:rPr>
                <w:rFonts w:ascii="Times New Roman" w:hAnsi="Times New Roman"/>
                <w:sz w:val="28"/>
                <w:szCs w:val="28"/>
              </w:rPr>
              <w:t xml:space="preserve"> включены в единый реестр российского ПО, то такое ПО относится к иностранному ПО</w:t>
            </w:r>
          </w:p>
        </w:tc>
      </w:tr>
      <w:tr w:rsidR="00F52FED" w:rsidRPr="00B0658A" w14:paraId="24289A97" w14:textId="77777777" w:rsidTr="00992E4C">
        <w:trPr>
          <w:trHeight w:val="755"/>
        </w:trPr>
        <w:tc>
          <w:tcPr>
            <w:tcW w:w="1488" w:type="pct"/>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92F0AEE" w14:textId="77777777" w:rsidR="00064E36" w:rsidRPr="00B0658A" w:rsidRDefault="00064E36" w:rsidP="00992E4C">
            <w:pPr>
              <w:spacing w:before="120" w:after="0" w:line="240" w:lineRule="auto"/>
              <w:jc w:val="both"/>
              <w:rPr>
                <w:rFonts w:ascii="Times New Roman" w:hAnsi="Times New Roman"/>
                <w:sz w:val="28"/>
                <w:szCs w:val="28"/>
              </w:rPr>
            </w:pPr>
            <w:r w:rsidRPr="00B0658A">
              <w:rPr>
                <w:rFonts w:ascii="Times New Roman" w:hAnsi="Times New Roman"/>
                <w:sz w:val="28"/>
                <w:szCs w:val="28"/>
              </w:rPr>
              <w:t>Субъект критической информационной инфраструктуры</w:t>
            </w:r>
          </w:p>
        </w:tc>
        <w:tc>
          <w:tcPr>
            <w:tcW w:w="3512" w:type="pct"/>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CC31C7C" w14:textId="77777777" w:rsidR="00064E36" w:rsidRPr="00B0658A" w:rsidRDefault="00064E36" w:rsidP="00992E4C">
            <w:pPr>
              <w:spacing w:before="120" w:after="0" w:line="240" w:lineRule="auto"/>
              <w:jc w:val="both"/>
              <w:rPr>
                <w:rFonts w:ascii="Times New Roman" w:hAnsi="Times New Roman"/>
                <w:sz w:val="28"/>
                <w:szCs w:val="28"/>
              </w:rPr>
            </w:pPr>
            <w:r w:rsidRPr="00B0658A">
              <w:rPr>
                <w:rFonts w:ascii="Times New Roman" w:hAnsi="Times New Roman"/>
                <w:sz w:val="28"/>
                <w:szCs w:val="28"/>
              </w:rPr>
              <w:t>Государственные органы, государственные учреждения, российские юридические лица и (или) индивидуальные предприниматели, которым на праве собственности, аренды или на ином законном основании принадлежат информационные системы, информационно-телекоммуникационные сети, автоматизированные системы управления, функционирующие в сфере здравоохранения, науки, транспорта, связи, энергетики, банковской сфере и иных сферах финансового рынка, топливно-энергетического комплекса, в области атомной энергии, оборонной, ракетно-космической, горнодобывающей, металлургической и химической промышленности, российские юридические лица и (или) индивидуальные предприниматели, которые обеспечивают взаимодействие указанных систем или сетей.</w:t>
            </w:r>
          </w:p>
        </w:tc>
      </w:tr>
      <w:tr w:rsidR="00F52FED" w:rsidRPr="00B0658A" w14:paraId="03E1593A" w14:textId="77777777" w:rsidTr="00992E4C">
        <w:trPr>
          <w:trHeight w:val="755"/>
        </w:trPr>
        <w:tc>
          <w:tcPr>
            <w:tcW w:w="1488" w:type="pct"/>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4BF48A7" w14:textId="77777777" w:rsidR="00064E36" w:rsidRPr="00B0658A" w:rsidRDefault="00064E36" w:rsidP="00992E4C">
            <w:pPr>
              <w:spacing w:before="120" w:after="0" w:line="240" w:lineRule="auto"/>
              <w:jc w:val="both"/>
              <w:rPr>
                <w:rFonts w:ascii="Times New Roman" w:hAnsi="Times New Roman"/>
                <w:sz w:val="28"/>
                <w:szCs w:val="28"/>
              </w:rPr>
            </w:pPr>
            <w:r w:rsidRPr="00B0658A">
              <w:rPr>
                <w:rFonts w:ascii="Times New Roman" w:hAnsi="Times New Roman"/>
                <w:sz w:val="28"/>
                <w:szCs w:val="28"/>
              </w:rPr>
              <w:t>Заказчики</w:t>
            </w:r>
            <w:r w:rsidR="0045046F" w:rsidRPr="00B0658A">
              <w:rPr>
                <w:rFonts w:ascii="Times New Roman" w:hAnsi="Times New Roman"/>
                <w:sz w:val="28"/>
                <w:szCs w:val="28"/>
              </w:rPr>
              <w:t xml:space="preserve"> 223-ФЗ</w:t>
            </w:r>
          </w:p>
        </w:tc>
        <w:tc>
          <w:tcPr>
            <w:tcW w:w="3512" w:type="pct"/>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953188A" w14:textId="77777777" w:rsidR="00064E36" w:rsidRPr="00B0658A" w:rsidRDefault="00064E36" w:rsidP="00992E4C">
            <w:pPr>
              <w:spacing w:before="120" w:after="0" w:line="240" w:lineRule="auto"/>
              <w:jc w:val="both"/>
              <w:rPr>
                <w:rFonts w:ascii="Times New Roman" w:hAnsi="Times New Roman"/>
                <w:sz w:val="28"/>
                <w:szCs w:val="28"/>
              </w:rPr>
            </w:pPr>
            <w:r w:rsidRPr="00B0658A">
              <w:rPr>
                <w:rFonts w:ascii="Times New Roman" w:hAnsi="Times New Roman"/>
                <w:sz w:val="28"/>
                <w:szCs w:val="28"/>
              </w:rPr>
              <w:t>Организации, осуществляющие закупки товаров, работ, услуг в соответствии с Федеральным законом «О закупках товаров, работ, услуг отдельными видами юридических лиц» (за исключением организаций с муниципальным участием)</w:t>
            </w:r>
          </w:p>
        </w:tc>
      </w:tr>
      <w:tr w:rsidR="00F52FED" w:rsidRPr="00B0658A" w14:paraId="213E97F3" w14:textId="77777777" w:rsidTr="00992E4C">
        <w:trPr>
          <w:trHeight w:val="755"/>
        </w:trPr>
        <w:tc>
          <w:tcPr>
            <w:tcW w:w="1488" w:type="pct"/>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728B98B" w14:textId="77777777" w:rsidR="0045046F" w:rsidRPr="00B0658A" w:rsidRDefault="0045046F" w:rsidP="00992E4C">
            <w:pPr>
              <w:spacing w:before="120" w:after="0" w:line="240" w:lineRule="auto"/>
              <w:jc w:val="both"/>
              <w:rPr>
                <w:rFonts w:ascii="Times New Roman" w:hAnsi="Times New Roman"/>
                <w:sz w:val="28"/>
                <w:szCs w:val="28"/>
              </w:rPr>
            </w:pPr>
            <w:r w:rsidRPr="00B0658A">
              <w:rPr>
                <w:rFonts w:ascii="Times New Roman" w:hAnsi="Times New Roman"/>
                <w:sz w:val="28"/>
                <w:szCs w:val="28"/>
              </w:rPr>
              <w:t>Заказчики 44-ФЗ</w:t>
            </w:r>
          </w:p>
        </w:tc>
        <w:tc>
          <w:tcPr>
            <w:tcW w:w="3512" w:type="pct"/>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0630187" w14:textId="77777777" w:rsidR="0045046F" w:rsidRPr="00B0658A" w:rsidRDefault="0045046F" w:rsidP="00793884">
            <w:pPr>
              <w:spacing w:before="120" w:after="0" w:line="240" w:lineRule="auto"/>
              <w:jc w:val="both"/>
              <w:rPr>
                <w:rFonts w:ascii="Times New Roman" w:hAnsi="Times New Roman"/>
                <w:sz w:val="28"/>
                <w:szCs w:val="28"/>
              </w:rPr>
            </w:pPr>
            <w:r w:rsidRPr="00B0658A">
              <w:rPr>
                <w:rFonts w:ascii="Times New Roman" w:hAnsi="Times New Roman"/>
                <w:sz w:val="28"/>
                <w:szCs w:val="28"/>
              </w:rPr>
              <w:t xml:space="preserve">Органы государственной власти, государственные внебюджетные фонды Российской Федерации и иные </w:t>
            </w:r>
            <w:r w:rsidRPr="00B0658A">
              <w:rPr>
                <w:rFonts w:ascii="Times New Roman" w:hAnsi="Times New Roman"/>
                <w:sz w:val="28"/>
                <w:szCs w:val="28"/>
              </w:rPr>
              <w:lastRenderedPageBreak/>
              <w:t>организации, осуществляющие закупки товаров, работ, услуг в соответствии с Федеральным законом «</w:t>
            </w:r>
            <w:r w:rsidR="00793884" w:rsidRPr="00B0658A">
              <w:rPr>
                <w:rFonts w:ascii="Times New Roman" w:hAnsi="Times New Roman"/>
                <w:sz w:val="28"/>
                <w:szCs w:val="28"/>
              </w:rPr>
              <w:t>О контрактной системе в сфере закупок товаров, работ, услуг для обеспечения государственных и муниципальных нужд</w:t>
            </w:r>
            <w:r w:rsidRPr="00B0658A">
              <w:rPr>
                <w:rFonts w:ascii="Times New Roman" w:hAnsi="Times New Roman"/>
                <w:sz w:val="28"/>
                <w:szCs w:val="28"/>
              </w:rPr>
              <w:t>»</w:t>
            </w:r>
          </w:p>
        </w:tc>
      </w:tr>
      <w:tr w:rsidR="00F52FED" w:rsidRPr="00B0658A" w14:paraId="34599610" w14:textId="77777777" w:rsidTr="00992E4C">
        <w:trPr>
          <w:trHeight w:val="755"/>
        </w:trPr>
        <w:tc>
          <w:tcPr>
            <w:tcW w:w="1488" w:type="pct"/>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957FB26" w14:textId="77777777" w:rsidR="00DA7E8A" w:rsidRPr="00B0658A" w:rsidRDefault="00DA7E8A" w:rsidP="00DA7E8A">
            <w:pPr>
              <w:spacing w:before="120" w:after="0" w:line="240" w:lineRule="auto"/>
              <w:jc w:val="both"/>
              <w:rPr>
                <w:rFonts w:ascii="Times New Roman" w:hAnsi="Times New Roman"/>
                <w:sz w:val="28"/>
                <w:szCs w:val="28"/>
              </w:rPr>
            </w:pPr>
            <w:r w:rsidRPr="00B0658A">
              <w:rPr>
                <w:rFonts w:ascii="Times New Roman" w:hAnsi="Times New Roman"/>
                <w:sz w:val="28"/>
                <w:szCs w:val="24"/>
              </w:rPr>
              <w:lastRenderedPageBreak/>
              <w:t xml:space="preserve">Постановление Правительства Российской Федерации от 22 августа 2022 г. </w:t>
            </w:r>
            <w:r w:rsidR="00B40E71" w:rsidRPr="00B0658A">
              <w:rPr>
                <w:rFonts w:ascii="Times New Roman" w:hAnsi="Times New Roman"/>
                <w:sz w:val="28"/>
                <w:szCs w:val="24"/>
              </w:rPr>
              <w:br/>
            </w:r>
            <w:r w:rsidR="00592B14" w:rsidRPr="00B0658A">
              <w:rPr>
                <w:rFonts w:ascii="Times New Roman" w:hAnsi="Times New Roman"/>
                <w:sz w:val="28"/>
                <w:szCs w:val="24"/>
              </w:rPr>
              <w:t>№ </w:t>
            </w:r>
            <w:r w:rsidRPr="00B0658A">
              <w:rPr>
                <w:rFonts w:ascii="Times New Roman" w:hAnsi="Times New Roman"/>
                <w:sz w:val="28"/>
                <w:szCs w:val="24"/>
              </w:rPr>
              <w:t xml:space="preserve"> 1478</w:t>
            </w:r>
          </w:p>
        </w:tc>
        <w:tc>
          <w:tcPr>
            <w:tcW w:w="3512" w:type="pct"/>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F4AD1A6" w14:textId="77777777" w:rsidR="00DA7E8A" w:rsidRPr="00B0658A" w:rsidRDefault="00DA7E8A" w:rsidP="00DA7E8A">
            <w:pPr>
              <w:spacing w:before="120" w:after="0" w:line="240" w:lineRule="auto"/>
              <w:jc w:val="both"/>
              <w:rPr>
                <w:rFonts w:ascii="Times New Roman" w:hAnsi="Times New Roman"/>
                <w:sz w:val="28"/>
                <w:szCs w:val="28"/>
              </w:rPr>
            </w:pPr>
            <w:r w:rsidRPr="00B0658A">
              <w:rPr>
                <w:rFonts w:ascii="Times New Roman" w:hAnsi="Times New Roman"/>
                <w:sz w:val="28"/>
                <w:szCs w:val="24"/>
              </w:rPr>
              <w:t xml:space="preserve">Постановление Правительства Российской Федерации от 22 августа 2022 г. </w:t>
            </w:r>
            <w:r w:rsidR="00592B14" w:rsidRPr="00B0658A">
              <w:rPr>
                <w:rFonts w:ascii="Times New Roman" w:hAnsi="Times New Roman"/>
                <w:sz w:val="28"/>
                <w:szCs w:val="24"/>
              </w:rPr>
              <w:t>№ </w:t>
            </w:r>
            <w:r w:rsidRPr="00B0658A">
              <w:rPr>
                <w:rFonts w:ascii="Times New Roman" w:hAnsi="Times New Roman"/>
                <w:sz w:val="28"/>
                <w:szCs w:val="24"/>
              </w:rPr>
              <w:t xml:space="preserve"> 1478 «Об утверждении требований к программному обеспечению, в том числе в составе программно-аппаратных комплексов, используемому органами государственной власти, заказчиками, осуществляющими закупки в соответствии с Федеральным законом «О закупках товаров, работ, услуг отдельными видами юридических лиц» (за исключением организаций с муниципальным участием), на принадлежащих им значимых объектах критической информационной инфраструктуры Российской Федерации, Правил согласования закупок иностранного программного обеспечения, в том числе в составе программно-аппаратных комплексов, в целях его использования заказчиками, осуществляющими закупки в соответствии с Федеральным законом «О закупках товаров, работ, услуг отдельными видами юридических лиц» (за исключением организаций с муниципальным участием), на принадлежащих им значимых объектах критической информационной инфраструктуры Российской Федерации, а также закупок услуг, необходимых для использования этого программного обеспечения на таких объектах, и Правил перехода на преимущественное использование российского программного обеспечения, в том числе в составе программно-аппаратных комплексов, заказчиками, осуществляющими закупки в соответствии с Федеральным законом «О закупках товаров, работ, услуг отдельными видами юридических лиц» (за исключением организаций с муниципальным участием), на принадлежащих им значимых объектах критической информационной инфраструктуры Российской Федерации»</w:t>
            </w:r>
          </w:p>
        </w:tc>
      </w:tr>
      <w:tr w:rsidR="00F52FED" w:rsidRPr="00B0658A" w14:paraId="7609F92A" w14:textId="77777777" w:rsidTr="00992E4C">
        <w:trPr>
          <w:trHeight w:val="755"/>
        </w:trPr>
        <w:tc>
          <w:tcPr>
            <w:tcW w:w="1488" w:type="pct"/>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BDEA599" w14:textId="77777777" w:rsidR="00DA7E8A" w:rsidRPr="00B0658A" w:rsidRDefault="00DA7E8A" w:rsidP="00DA7E8A">
            <w:pPr>
              <w:spacing w:before="120" w:after="0" w:line="240" w:lineRule="auto"/>
              <w:jc w:val="both"/>
              <w:rPr>
                <w:rFonts w:ascii="Times New Roman" w:hAnsi="Times New Roman"/>
                <w:sz w:val="28"/>
                <w:szCs w:val="28"/>
              </w:rPr>
            </w:pPr>
            <w:r w:rsidRPr="00B0658A">
              <w:rPr>
                <w:rFonts w:ascii="Times New Roman" w:hAnsi="Times New Roman"/>
                <w:sz w:val="28"/>
                <w:szCs w:val="28"/>
              </w:rPr>
              <w:t>Уполномоченный федеральный орган исполнительной власти</w:t>
            </w:r>
          </w:p>
        </w:tc>
        <w:tc>
          <w:tcPr>
            <w:tcW w:w="3512" w:type="pct"/>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783CADA" w14:textId="77777777" w:rsidR="00DA7E8A" w:rsidRPr="00B0658A" w:rsidRDefault="00DA7E8A" w:rsidP="00DA7E8A">
            <w:pPr>
              <w:spacing w:before="120" w:after="0" w:line="240" w:lineRule="auto"/>
              <w:jc w:val="both"/>
              <w:rPr>
                <w:rFonts w:ascii="Times New Roman" w:hAnsi="Times New Roman"/>
                <w:sz w:val="28"/>
                <w:szCs w:val="28"/>
              </w:rPr>
            </w:pPr>
            <w:r w:rsidRPr="00B0658A">
              <w:rPr>
                <w:rFonts w:ascii="Times New Roman" w:hAnsi="Times New Roman"/>
                <w:sz w:val="28"/>
                <w:szCs w:val="28"/>
              </w:rPr>
              <w:t xml:space="preserve">Федеральный орган исполнительной власти, определенный в пункте 2 постановления Правительства Российской Федерации от 22 августа 2022 г. </w:t>
            </w:r>
            <w:r w:rsidR="00592B14" w:rsidRPr="00B0658A">
              <w:rPr>
                <w:rFonts w:ascii="Times New Roman" w:hAnsi="Times New Roman"/>
                <w:sz w:val="28"/>
                <w:szCs w:val="28"/>
              </w:rPr>
              <w:t>№ </w:t>
            </w:r>
            <w:r w:rsidRPr="00B0658A">
              <w:rPr>
                <w:rFonts w:ascii="Times New Roman" w:hAnsi="Times New Roman"/>
                <w:sz w:val="28"/>
                <w:szCs w:val="28"/>
              </w:rPr>
              <w:t xml:space="preserve"> 1478 «Об утверждении требований к программному обеспечению, в </w:t>
            </w:r>
            <w:r w:rsidRPr="00B0658A">
              <w:rPr>
                <w:rFonts w:ascii="Times New Roman" w:hAnsi="Times New Roman"/>
                <w:sz w:val="28"/>
                <w:szCs w:val="28"/>
              </w:rPr>
              <w:lastRenderedPageBreak/>
              <w:t>том числе в составе программно-аппаратных комплексов, используемому органами государственной власти, заказчиками, осуществляющими закупки в соответствии с Федеральным законом «О закупках товаров, работ, услуг отдельными видами юридических лиц» (за исключением организаций с муниципальным участием), на принадлежащих им значимых объектах критической информационной инфраструктуры Российской Федерации, Правил согласования закупок иностранного программного обеспечения, в том числе в составе программно-аппаратных комплексов, в целях его использования заказчиками, осуществляющими закупки в соответствии с Федеральным законом «О закупках товаров, работ, услуг отдельными видами юридических лиц» (за исключением организаций с муниципальным участием), на принадлежащих им значимых объектах критической информационной инфраструктуры Российской Федерации, а также закупок услуг, необходимых для использования этого программного обеспечения на таких объектах, и Правил перехода на преимущественное использование российского программного обеспечения, в том числе в составе программно-аппаратных комплексов, заказчиками, осуществляющими закупки в соответствии с Федеральным законом «О закупках товаров, работ, услуг отдельными видами юридических лиц» (за исключением организаций с муниципальным участием), на принадлежащих им значимых объектах критической информационной инфраструктуры Российской Федерации»</w:t>
            </w:r>
          </w:p>
        </w:tc>
      </w:tr>
      <w:tr w:rsidR="00F52FED" w:rsidRPr="00B0658A" w14:paraId="576C97EB" w14:textId="77777777" w:rsidTr="00992E4C">
        <w:trPr>
          <w:trHeight w:val="755"/>
        </w:trPr>
        <w:tc>
          <w:tcPr>
            <w:tcW w:w="1488" w:type="pct"/>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7A8B6A4" w14:textId="77777777" w:rsidR="00DA7E8A" w:rsidRPr="00B0658A" w:rsidRDefault="00DA7E8A" w:rsidP="00DA7E8A">
            <w:pPr>
              <w:spacing w:before="120" w:after="0" w:line="240" w:lineRule="auto"/>
              <w:jc w:val="both"/>
              <w:rPr>
                <w:rFonts w:ascii="Times New Roman" w:hAnsi="Times New Roman"/>
                <w:sz w:val="28"/>
                <w:szCs w:val="24"/>
              </w:rPr>
            </w:pPr>
            <w:r w:rsidRPr="00B0658A">
              <w:rPr>
                <w:rFonts w:ascii="Times New Roman" w:hAnsi="Times New Roman"/>
                <w:sz w:val="28"/>
                <w:szCs w:val="24"/>
              </w:rPr>
              <w:lastRenderedPageBreak/>
              <w:t>Отраслевые центры компетенций</w:t>
            </w:r>
          </w:p>
        </w:tc>
        <w:tc>
          <w:tcPr>
            <w:tcW w:w="3512" w:type="pct"/>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E73B17C" w14:textId="77777777" w:rsidR="00DA7E8A" w:rsidRPr="00B0658A" w:rsidRDefault="00DA7E8A" w:rsidP="00DA7E8A">
            <w:pPr>
              <w:spacing w:before="120" w:after="0" w:line="240" w:lineRule="auto"/>
              <w:jc w:val="both"/>
              <w:rPr>
                <w:rFonts w:ascii="Times New Roman" w:hAnsi="Times New Roman"/>
                <w:sz w:val="28"/>
                <w:szCs w:val="28"/>
              </w:rPr>
            </w:pPr>
            <w:r w:rsidRPr="00B0658A">
              <w:rPr>
                <w:rFonts w:ascii="Times New Roman" w:hAnsi="Times New Roman"/>
                <w:sz w:val="28"/>
                <w:szCs w:val="24"/>
              </w:rPr>
              <w:t xml:space="preserve">Отраслевые центры компетенций по импортозамещению ПО, созданные уполномоченными федеральными органами исполнительной власти во исполнение </w:t>
            </w:r>
            <w:r w:rsidR="00D57C0F" w:rsidRPr="00B0658A">
              <w:rPr>
                <w:rFonts w:ascii="Times New Roman" w:hAnsi="Times New Roman"/>
                <w:sz w:val="28"/>
                <w:szCs w:val="24"/>
              </w:rPr>
              <w:t xml:space="preserve">отдельных </w:t>
            </w:r>
            <w:r w:rsidRPr="00B0658A">
              <w:rPr>
                <w:rFonts w:ascii="Times New Roman" w:hAnsi="Times New Roman"/>
                <w:sz w:val="28"/>
                <w:szCs w:val="24"/>
              </w:rPr>
              <w:t xml:space="preserve">поручений Правительства Российской Федерации </w:t>
            </w:r>
          </w:p>
        </w:tc>
      </w:tr>
      <w:tr w:rsidR="00F52FED" w:rsidRPr="00B0658A" w14:paraId="4F18DDC8" w14:textId="77777777" w:rsidTr="00992E4C">
        <w:trPr>
          <w:trHeight w:val="755"/>
        </w:trPr>
        <w:tc>
          <w:tcPr>
            <w:tcW w:w="1488" w:type="pct"/>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C0D0336" w14:textId="77777777" w:rsidR="00DD23BB" w:rsidRPr="00B0658A" w:rsidRDefault="00A13153" w:rsidP="00DA7E8A">
            <w:pPr>
              <w:spacing w:before="120" w:after="0" w:line="240" w:lineRule="auto"/>
              <w:jc w:val="both"/>
              <w:rPr>
                <w:rFonts w:ascii="Times New Roman" w:hAnsi="Times New Roman"/>
                <w:sz w:val="28"/>
                <w:szCs w:val="24"/>
              </w:rPr>
            </w:pPr>
            <w:r w:rsidRPr="00B0658A">
              <w:rPr>
                <w:rFonts w:ascii="Times New Roman" w:hAnsi="Times New Roman"/>
                <w:sz w:val="28"/>
                <w:szCs w:val="24"/>
              </w:rPr>
              <w:t>Отраслевы</w:t>
            </w:r>
            <w:r w:rsidR="007B6F4B" w:rsidRPr="00B0658A">
              <w:rPr>
                <w:rFonts w:ascii="Times New Roman" w:hAnsi="Times New Roman"/>
                <w:sz w:val="28"/>
                <w:szCs w:val="24"/>
              </w:rPr>
              <w:t>е</w:t>
            </w:r>
            <w:r w:rsidRPr="00B0658A">
              <w:rPr>
                <w:rFonts w:ascii="Times New Roman" w:hAnsi="Times New Roman"/>
                <w:sz w:val="28"/>
                <w:szCs w:val="24"/>
              </w:rPr>
              <w:t xml:space="preserve"> комитет по развитию общесистемного и прикладного ПО</w:t>
            </w:r>
          </w:p>
        </w:tc>
        <w:tc>
          <w:tcPr>
            <w:tcW w:w="3512" w:type="pct"/>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A411D97" w14:textId="77777777" w:rsidR="00DD23BB" w:rsidRPr="00B0658A" w:rsidRDefault="00855B60" w:rsidP="00DA7E8A">
            <w:pPr>
              <w:spacing w:before="120" w:after="0" w:line="240" w:lineRule="auto"/>
              <w:jc w:val="both"/>
              <w:rPr>
                <w:rFonts w:ascii="Times New Roman" w:hAnsi="Times New Roman"/>
                <w:sz w:val="28"/>
                <w:szCs w:val="24"/>
              </w:rPr>
            </w:pPr>
            <w:r w:rsidRPr="00B0658A">
              <w:rPr>
                <w:rFonts w:ascii="Times New Roman" w:hAnsi="Times New Roman"/>
                <w:sz w:val="28"/>
                <w:szCs w:val="28"/>
              </w:rPr>
              <w:t>Отраслев</w:t>
            </w:r>
            <w:r w:rsidR="00685845" w:rsidRPr="00B0658A">
              <w:rPr>
                <w:rFonts w:ascii="Times New Roman" w:hAnsi="Times New Roman"/>
                <w:sz w:val="28"/>
                <w:szCs w:val="28"/>
              </w:rPr>
              <w:t>ой</w:t>
            </w:r>
            <w:r w:rsidRPr="00B0658A">
              <w:rPr>
                <w:rFonts w:ascii="Times New Roman" w:hAnsi="Times New Roman"/>
                <w:sz w:val="28"/>
                <w:szCs w:val="28"/>
              </w:rPr>
              <w:t xml:space="preserve"> комитет по </w:t>
            </w:r>
            <w:r w:rsidR="00685845" w:rsidRPr="00B0658A">
              <w:rPr>
                <w:rFonts w:ascii="Times New Roman" w:hAnsi="Times New Roman"/>
                <w:sz w:val="28"/>
                <w:szCs w:val="24"/>
              </w:rPr>
              <w:t>развитию общесистемного и прикладного ПО, созданный Министерством цифрового развития, связи и массовых коммуникаций Российской Федерации</w:t>
            </w:r>
          </w:p>
        </w:tc>
      </w:tr>
      <w:tr w:rsidR="00F52FED" w:rsidRPr="00B0658A" w14:paraId="4B6CD77A" w14:textId="77777777" w:rsidTr="00992E4C">
        <w:trPr>
          <w:trHeight w:val="755"/>
        </w:trPr>
        <w:tc>
          <w:tcPr>
            <w:tcW w:w="1488" w:type="pct"/>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80116C7" w14:textId="77777777" w:rsidR="00DD23BB" w:rsidRPr="00B0658A" w:rsidRDefault="00855B60" w:rsidP="00DA7E8A">
            <w:pPr>
              <w:spacing w:before="120" w:after="0" w:line="240" w:lineRule="auto"/>
              <w:jc w:val="both"/>
              <w:rPr>
                <w:rFonts w:ascii="Times New Roman" w:hAnsi="Times New Roman"/>
                <w:sz w:val="28"/>
                <w:szCs w:val="24"/>
              </w:rPr>
            </w:pPr>
            <w:r w:rsidRPr="00B0658A">
              <w:rPr>
                <w:rFonts w:ascii="Times New Roman" w:hAnsi="Times New Roman"/>
                <w:sz w:val="28"/>
                <w:szCs w:val="28"/>
              </w:rPr>
              <w:lastRenderedPageBreak/>
              <w:t>Индустриальные центры компетенций</w:t>
            </w:r>
          </w:p>
        </w:tc>
        <w:tc>
          <w:tcPr>
            <w:tcW w:w="3512" w:type="pct"/>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CD390F5" w14:textId="77777777" w:rsidR="00DD23BB" w:rsidRPr="00B0658A" w:rsidRDefault="00A13153" w:rsidP="00DA7E8A">
            <w:pPr>
              <w:spacing w:before="120" w:after="0" w:line="240" w:lineRule="auto"/>
              <w:jc w:val="both"/>
              <w:rPr>
                <w:rFonts w:ascii="Times New Roman" w:hAnsi="Times New Roman"/>
                <w:sz w:val="28"/>
                <w:szCs w:val="24"/>
              </w:rPr>
            </w:pPr>
            <w:r w:rsidRPr="00B0658A">
              <w:rPr>
                <w:rFonts w:ascii="Times New Roman" w:hAnsi="Times New Roman"/>
                <w:sz w:val="28"/>
                <w:szCs w:val="28"/>
              </w:rPr>
              <w:t>Индустриальные центры компетенций по замещению зарубежных отраслевых цифровых продуктов и решений, включая программно-аппаратные комплексы</w:t>
            </w:r>
          </w:p>
        </w:tc>
      </w:tr>
      <w:tr w:rsidR="00F52FED" w:rsidRPr="00B0658A" w14:paraId="34BB3679" w14:textId="77777777" w:rsidTr="00992E4C">
        <w:trPr>
          <w:trHeight w:val="755"/>
        </w:trPr>
        <w:tc>
          <w:tcPr>
            <w:tcW w:w="1488" w:type="pct"/>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993404F" w14:textId="77777777" w:rsidR="00135024" w:rsidRPr="00B0658A" w:rsidRDefault="00135024" w:rsidP="00DA7E8A">
            <w:pPr>
              <w:spacing w:before="120" w:after="0" w:line="240" w:lineRule="auto"/>
              <w:jc w:val="both"/>
              <w:rPr>
                <w:rFonts w:ascii="Times New Roman" w:hAnsi="Times New Roman"/>
                <w:sz w:val="28"/>
                <w:szCs w:val="28"/>
              </w:rPr>
            </w:pPr>
            <w:r w:rsidRPr="00B0658A">
              <w:rPr>
                <w:rFonts w:ascii="Times New Roman" w:hAnsi="Times New Roman"/>
                <w:sz w:val="28"/>
                <w:szCs w:val="24"/>
              </w:rPr>
              <w:t>Центры компетенций по развитию российского общесистемного и прикладного программного обеспечения</w:t>
            </w:r>
          </w:p>
        </w:tc>
        <w:tc>
          <w:tcPr>
            <w:tcW w:w="3512" w:type="pct"/>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116DA23" w14:textId="77777777" w:rsidR="00135024" w:rsidRPr="00B0658A" w:rsidRDefault="00135024" w:rsidP="00DA7E8A">
            <w:pPr>
              <w:spacing w:before="120" w:after="0" w:line="240" w:lineRule="auto"/>
              <w:jc w:val="both"/>
              <w:rPr>
                <w:rFonts w:ascii="Times New Roman" w:hAnsi="Times New Roman"/>
                <w:sz w:val="28"/>
                <w:szCs w:val="28"/>
              </w:rPr>
            </w:pPr>
            <w:r w:rsidRPr="00B0658A">
              <w:rPr>
                <w:rFonts w:ascii="Times New Roman" w:hAnsi="Times New Roman"/>
                <w:sz w:val="28"/>
                <w:szCs w:val="28"/>
              </w:rPr>
              <w:t>Центры компетенций по развитию российского общесистемного и прикладного программного обеспечения, необходимого для замещения используемых в настоящее время зарубежных аналогов</w:t>
            </w:r>
          </w:p>
        </w:tc>
      </w:tr>
      <w:tr w:rsidR="00F52FED" w:rsidRPr="00B0658A" w14:paraId="573AAA08" w14:textId="77777777" w:rsidTr="00992E4C">
        <w:trPr>
          <w:trHeight w:val="755"/>
        </w:trPr>
        <w:tc>
          <w:tcPr>
            <w:tcW w:w="1488" w:type="pct"/>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D259DEC" w14:textId="77777777" w:rsidR="00F66420" w:rsidRPr="00B0658A" w:rsidRDefault="00F66420" w:rsidP="00DA7E8A">
            <w:pPr>
              <w:spacing w:before="120" w:after="0" w:line="240" w:lineRule="auto"/>
              <w:jc w:val="both"/>
              <w:rPr>
                <w:rFonts w:ascii="Times New Roman" w:hAnsi="Times New Roman"/>
                <w:sz w:val="28"/>
                <w:szCs w:val="24"/>
              </w:rPr>
            </w:pPr>
            <w:r w:rsidRPr="00B0658A">
              <w:rPr>
                <w:rFonts w:ascii="Times New Roman" w:hAnsi="Times New Roman"/>
                <w:sz w:val="28"/>
                <w:szCs w:val="24"/>
              </w:rPr>
              <w:t>Методические рекомендации по цифровой трансформации</w:t>
            </w:r>
          </w:p>
        </w:tc>
        <w:tc>
          <w:tcPr>
            <w:tcW w:w="3512" w:type="pct"/>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72811AA" w14:textId="77777777" w:rsidR="00F66420" w:rsidRPr="00B0658A" w:rsidRDefault="00D01EDB" w:rsidP="00DA7E8A">
            <w:pPr>
              <w:spacing w:before="120" w:after="0" w:line="240" w:lineRule="auto"/>
              <w:jc w:val="both"/>
              <w:rPr>
                <w:rFonts w:ascii="Times New Roman" w:hAnsi="Times New Roman"/>
                <w:sz w:val="28"/>
                <w:szCs w:val="24"/>
              </w:rPr>
            </w:pPr>
            <w:r w:rsidRPr="00B0658A">
              <w:rPr>
                <w:rFonts w:ascii="Times New Roman" w:hAnsi="Times New Roman"/>
                <w:sz w:val="28"/>
                <w:szCs w:val="24"/>
              </w:rPr>
              <w:t>Методические рекомендации по цифровой трансформации государственных корпораций и компаний с государственным участием, утвержденными Протоколом заочного голосования членов президиума Правительственной комиссии по цифровому развитию, использованию информационных технологий для улучшения качества жизни и условий ведения предпринимательской деятельности</w:t>
            </w:r>
            <w:r w:rsidRPr="00B0658A">
              <w:rPr>
                <w:rFonts w:ascii="Times New Roman" w:hAnsi="Times New Roman"/>
                <w:sz w:val="28"/>
              </w:rPr>
              <w:t xml:space="preserve"> </w:t>
            </w:r>
          </w:p>
        </w:tc>
      </w:tr>
      <w:tr w:rsidR="00D36B00" w:rsidRPr="00B0658A" w14:paraId="08BD86B9" w14:textId="77777777" w:rsidTr="00992E4C">
        <w:trPr>
          <w:trHeight w:val="755"/>
        </w:trPr>
        <w:tc>
          <w:tcPr>
            <w:tcW w:w="1488" w:type="pct"/>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099D7BE" w14:textId="77777777" w:rsidR="00D36B00" w:rsidRPr="00B0658A" w:rsidRDefault="00D36B00" w:rsidP="00DA7E8A">
            <w:pPr>
              <w:spacing w:before="120" w:after="0" w:line="240" w:lineRule="auto"/>
              <w:jc w:val="both"/>
              <w:rPr>
                <w:rFonts w:ascii="Times New Roman" w:hAnsi="Times New Roman"/>
                <w:sz w:val="28"/>
                <w:szCs w:val="24"/>
              </w:rPr>
            </w:pPr>
            <w:r w:rsidRPr="00B0658A">
              <w:rPr>
                <w:rFonts w:ascii="Times New Roman" w:hAnsi="Times New Roman"/>
                <w:sz w:val="28"/>
                <w:szCs w:val="24"/>
              </w:rPr>
              <w:t>Отраслев</w:t>
            </w:r>
            <w:r w:rsidR="000031A6" w:rsidRPr="00B0658A">
              <w:rPr>
                <w:rFonts w:ascii="Times New Roman" w:hAnsi="Times New Roman"/>
                <w:sz w:val="28"/>
                <w:szCs w:val="24"/>
              </w:rPr>
              <w:t>ой</w:t>
            </w:r>
            <w:r w:rsidRPr="00B0658A">
              <w:rPr>
                <w:rFonts w:ascii="Times New Roman" w:hAnsi="Times New Roman"/>
                <w:sz w:val="28"/>
                <w:szCs w:val="24"/>
              </w:rPr>
              <w:t xml:space="preserve"> план</w:t>
            </w:r>
            <w:r w:rsidR="003F620A" w:rsidRPr="00B0658A">
              <w:rPr>
                <w:rFonts w:ascii="Times New Roman" w:hAnsi="Times New Roman"/>
                <w:sz w:val="28"/>
                <w:szCs w:val="24"/>
              </w:rPr>
              <w:t xml:space="preserve"> мероприятий</w:t>
            </w:r>
          </w:p>
        </w:tc>
        <w:tc>
          <w:tcPr>
            <w:tcW w:w="3512" w:type="pct"/>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8F6378B" w14:textId="77777777" w:rsidR="00D36B00" w:rsidRPr="00B0658A" w:rsidRDefault="00DD4ABC" w:rsidP="00DA7E8A">
            <w:pPr>
              <w:spacing w:before="120" w:after="0" w:line="240" w:lineRule="auto"/>
              <w:jc w:val="both"/>
              <w:rPr>
                <w:rFonts w:ascii="Times New Roman" w:hAnsi="Times New Roman"/>
                <w:sz w:val="28"/>
                <w:szCs w:val="24"/>
              </w:rPr>
            </w:pPr>
            <w:r w:rsidRPr="00B0658A">
              <w:rPr>
                <w:rFonts w:ascii="Times New Roman" w:hAnsi="Times New Roman"/>
                <w:sz w:val="28"/>
                <w:szCs w:val="24"/>
              </w:rPr>
              <w:t>Отраслев</w:t>
            </w:r>
            <w:r w:rsidR="000031A6" w:rsidRPr="00B0658A">
              <w:rPr>
                <w:rFonts w:ascii="Times New Roman" w:hAnsi="Times New Roman"/>
                <w:sz w:val="28"/>
                <w:szCs w:val="24"/>
              </w:rPr>
              <w:t>ой</w:t>
            </w:r>
            <w:r w:rsidRPr="00B0658A">
              <w:rPr>
                <w:rFonts w:ascii="Times New Roman" w:hAnsi="Times New Roman"/>
                <w:sz w:val="28"/>
                <w:szCs w:val="24"/>
              </w:rPr>
              <w:t xml:space="preserve"> план мероприятий по обеспечению готовности заказчиков к преимущественному использованию российского программного обеспечения, в том числе в составе программно-аппаратных комплексов, утверждаемый </w:t>
            </w:r>
            <w:r w:rsidRPr="00B0658A">
              <w:rPr>
                <w:rFonts w:ascii="Times New Roman" w:hAnsi="Times New Roman"/>
                <w:sz w:val="28"/>
                <w:szCs w:val="28"/>
              </w:rPr>
              <w:t>Уполномоченным федеральным орган исполнительной власти</w:t>
            </w:r>
            <w:r w:rsidR="000031A6" w:rsidRPr="00B0658A">
              <w:rPr>
                <w:rFonts w:ascii="Times New Roman" w:hAnsi="Times New Roman"/>
                <w:sz w:val="28"/>
                <w:szCs w:val="28"/>
              </w:rPr>
              <w:t>,</w:t>
            </w:r>
            <w:r w:rsidR="00205D5B" w:rsidRPr="00B0658A">
              <w:rPr>
                <w:rFonts w:ascii="Times New Roman" w:hAnsi="Times New Roman"/>
                <w:sz w:val="28"/>
                <w:szCs w:val="28"/>
              </w:rPr>
              <w:t xml:space="preserve"> во исполнение пункта 2 Правил перехода на преимущественное использование российского программного обеспечения, в том числе в составе программно-аппаратных комплексов, заказчиками, осуществляющими закупки в соответствии с Федеральным законом «О закупках товаров, работ, услуг отдельными видами юридических лиц» (за исключением организаций с муниципальным участием), на принадлежащих им значимых объектах критической информационной инфраструктуры Российской Федерации, утвержденны</w:t>
            </w:r>
            <w:r w:rsidR="000031A6" w:rsidRPr="00B0658A">
              <w:rPr>
                <w:rFonts w:ascii="Times New Roman" w:hAnsi="Times New Roman"/>
                <w:sz w:val="28"/>
                <w:szCs w:val="28"/>
              </w:rPr>
              <w:t>х</w:t>
            </w:r>
            <w:r w:rsidR="00205D5B" w:rsidRPr="00B0658A">
              <w:rPr>
                <w:rFonts w:ascii="Times New Roman" w:hAnsi="Times New Roman"/>
                <w:sz w:val="28"/>
                <w:szCs w:val="28"/>
              </w:rPr>
              <w:t xml:space="preserve"> </w:t>
            </w:r>
            <w:r w:rsidR="00205D5B" w:rsidRPr="00B0658A">
              <w:rPr>
                <w:rFonts w:ascii="Times New Roman" w:hAnsi="Times New Roman"/>
                <w:sz w:val="28"/>
                <w:szCs w:val="24"/>
              </w:rPr>
              <w:t xml:space="preserve">Постановлением Правительства Российской Федерации от 22 августа </w:t>
            </w:r>
            <w:r w:rsidR="00B40E71" w:rsidRPr="00B0658A">
              <w:rPr>
                <w:rFonts w:ascii="Times New Roman" w:hAnsi="Times New Roman"/>
                <w:sz w:val="28"/>
                <w:szCs w:val="24"/>
              </w:rPr>
              <w:br/>
            </w:r>
            <w:r w:rsidR="00205D5B" w:rsidRPr="00B0658A">
              <w:rPr>
                <w:rFonts w:ascii="Times New Roman" w:hAnsi="Times New Roman"/>
                <w:sz w:val="28"/>
                <w:szCs w:val="24"/>
              </w:rPr>
              <w:t xml:space="preserve">2022 г. </w:t>
            </w:r>
            <w:r w:rsidR="00592B14" w:rsidRPr="00B0658A">
              <w:rPr>
                <w:rFonts w:ascii="Times New Roman" w:hAnsi="Times New Roman"/>
                <w:sz w:val="28"/>
                <w:szCs w:val="24"/>
              </w:rPr>
              <w:t>№ </w:t>
            </w:r>
            <w:r w:rsidR="00205D5B" w:rsidRPr="00B0658A">
              <w:rPr>
                <w:rFonts w:ascii="Times New Roman" w:hAnsi="Times New Roman"/>
                <w:sz w:val="28"/>
                <w:szCs w:val="24"/>
              </w:rPr>
              <w:t xml:space="preserve"> 1478</w:t>
            </w:r>
          </w:p>
        </w:tc>
      </w:tr>
    </w:tbl>
    <w:p w14:paraId="69E62129" w14:textId="77777777" w:rsidR="00064E36" w:rsidRPr="00B0658A" w:rsidRDefault="00064E36" w:rsidP="00064E36">
      <w:pPr>
        <w:spacing w:before="120" w:after="0" w:line="240" w:lineRule="auto"/>
        <w:rPr>
          <w:rFonts w:ascii="Times New Roman" w:hAnsi="Times New Roman"/>
          <w:sz w:val="28"/>
          <w:szCs w:val="28"/>
        </w:rPr>
      </w:pPr>
    </w:p>
    <w:p w14:paraId="3C93220F" w14:textId="77777777" w:rsidR="00685845" w:rsidRPr="00B0658A" w:rsidRDefault="00685845" w:rsidP="00064E36">
      <w:pPr>
        <w:spacing w:before="120" w:after="0" w:line="240" w:lineRule="auto"/>
        <w:rPr>
          <w:rFonts w:ascii="Times New Roman" w:hAnsi="Times New Roman"/>
          <w:sz w:val="28"/>
          <w:szCs w:val="28"/>
        </w:rPr>
      </w:pPr>
    </w:p>
    <w:p w14:paraId="738E7ADA" w14:textId="77777777" w:rsidR="00064E36" w:rsidRPr="00B0658A" w:rsidRDefault="00064E36" w:rsidP="00064E36">
      <w:pPr>
        <w:spacing w:before="120" w:after="0" w:line="240" w:lineRule="auto"/>
        <w:rPr>
          <w:rFonts w:ascii="Times New Roman" w:hAnsi="Times New Roman"/>
          <w:sz w:val="28"/>
          <w:szCs w:val="28"/>
        </w:rPr>
      </w:pPr>
      <w:r w:rsidRPr="00B0658A">
        <w:rPr>
          <w:rFonts w:ascii="Times New Roman" w:hAnsi="Times New Roman"/>
          <w:sz w:val="28"/>
          <w:szCs w:val="28"/>
        </w:rPr>
        <w:lastRenderedPageBreak/>
        <w:t>Для целей настоящих методических рекомендаций используются следующие сокращения:</w:t>
      </w:r>
    </w:p>
    <w:tbl>
      <w:tblPr>
        <w:tblStyle w:val="2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574"/>
        <w:gridCol w:w="7623"/>
      </w:tblGrid>
      <w:tr w:rsidR="00F52FED" w:rsidRPr="00B0658A" w14:paraId="2D23D066" w14:textId="77777777" w:rsidTr="00992E4C">
        <w:trPr>
          <w:trHeight w:val="183"/>
        </w:trPr>
        <w:tc>
          <w:tcPr>
            <w:tcW w:w="1262" w:type="pct"/>
            <w:shd w:val="clear" w:color="auto" w:fill="E7E6E6" w:themeFill="background2"/>
            <w:tcMar>
              <w:top w:w="100" w:type="dxa"/>
              <w:left w:w="100" w:type="dxa"/>
              <w:bottom w:w="100" w:type="dxa"/>
              <w:right w:w="100" w:type="dxa"/>
            </w:tcMar>
            <w:vAlign w:val="center"/>
          </w:tcPr>
          <w:p w14:paraId="3C0C027E" w14:textId="77777777" w:rsidR="00064E36" w:rsidRPr="00B0658A" w:rsidRDefault="00064E36" w:rsidP="00992E4C">
            <w:pPr>
              <w:spacing w:before="120" w:after="0" w:line="240" w:lineRule="auto"/>
              <w:jc w:val="center"/>
              <w:rPr>
                <w:rFonts w:ascii="Times New Roman" w:hAnsi="Times New Roman"/>
                <w:b/>
                <w:sz w:val="28"/>
                <w:szCs w:val="28"/>
              </w:rPr>
            </w:pPr>
            <w:r w:rsidRPr="00B0658A">
              <w:rPr>
                <w:rFonts w:ascii="Times New Roman" w:hAnsi="Times New Roman"/>
                <w:b/>
                <w:sz w:val="28"/>
                <w:szCs w:val="28"/>
              </w:rPr>
              <w:t>Сокращение</w:t>
            </w:r>
          </w:p>
        </w:tc>
        <w:tc>
          <w:tcPr>
            <w:tcW w:w="3738" w:type="pct"/>
            <w:shd w:val="clear" w:color="auto" w:fill="E7E6E6" w:themeFill="background2"/>
            <w:tcMar>
              <w:top w:w="100" w:type="dxa"/>
              <w:left w:w="100" w:type="dxa"/>
              <w:bottom w:w="100" w:type="dxa"/>
              <w:right w:w="100" w:type="dxa"/>
            </w:tcMar>
            <w:vAlign w:val="center"/>
          </w:tcPr>
          <w:p w14:paraId="33C87B02" w14:textId="77777777" w:rsidR="00064E36" w:rsidRPr="00B0658A" w:rsidRDefault="00064E36" w:rsidP="00992E4C">
            <w:pPr>
              <w:spacing w:before="120" w:after="0" w:line="240" w:lineRule="auto"/>
              <w:jc w:val="center"/>
              <w:rPr>
                <w:rFonts w:ascii="Times New Roman" w:hAnsi="Times New Roman"/>
                <w:b/>
                <w:sz w:val="28"/>
                <w:szCs w:val="28"/>
              </w:rPr>
            </w:pPr>
            <w:r w:rsidRPr="00B0658A">
              <w:rPr>
                <w:rStyle w:val="FontStyle39"/>
                <w:b/>
                <w:bCs/>
                <w:sz w:val="28"/>
                <w:szCs w:val="28"/>
              </w:rPr>
              <w:t>Расшифровка</w:t>
            </w:r>
          </w:p>
        </w:tc>
      </w:tr>
      <w:tr w:rsidR="00F52FED" w:rsidRPr="00B0658A" w14:paraId="25AB1171" w14:textId="77777777" w:rsidTr="00992E4C">
        <w:trPr>
          <w:trHeight w:val="870"/>
        </w:trPr>
        <w:tc>
          <w:tcPr>
            <w:tcW w:w="1262" w:type="pct"/>
            <w:shd w:val="clear" w:color="auto" w:fill="auto"/>
            <w:tcMar>
              <w:top w:w="100" w:type="dxa"/>
              <w:left w:w="100" w:type="dxa"/>
              <w:bottom w:w="100" w:type="dxa"/>
              <w:right w:w="100" w:type="dxa"/>
            </w:tcMar>
            <w:vAlign w:val="center"/>
          </w:tcPr>
          <w:p w14:paraId="51FE9645" w14:textId="77777777" w:rsidR="00064E36" w:rsidRPr="00B0658A" w:rsidRDefault="00064E36" w:rsidP="00992E4C">
            <w:pPr>
              <w:pStyle w:val="Default"/>
              <w:spacing w:before="120"/>
              <w:rPr>
                <w:color w:val="auto"/>
                <w:sz w:val="28"/>
                <w:szCs w:val="28"/>
              </w:rPr>
            </w:pPr>
            <w:r w:rsidRPr="00B0658A">
              <w:rPr>
                <w:color w:val="auto"/>
                <w:sz w:val="28"/>
                <w:szCs w:val="28"/>
              </w:rPr>
              <w:t xml:space="preserve">КИИ </w:t>
            </w:r>
          </w:p>
        </w:tc>
        <w:tc>
          <w:tcPr>
            <w:tcW w:w="3738" w:type="pct"/>
            <w:shd w:val="clear" w:color="auto" w:fill="auto"/>
            <w:tcMar>
              <w:top w:w="100" w:type="dxa"/>
              <w:left w:w="100" w:type="dxa"/>
              <w:bottom w:w="100" w:type="dxa"/>
              <w:right w:w="100" w:type="dxa"/>
            </w:tcMar>
            <w:vAlign w:val="center"/>
          </w:tcPr>
          <w:p w14:paraId="2ED7BE44" w14:textId="77777777" w:rsidR="00064E36" w:rsidRPr="00B0658A" w:rsidRDefault="00064E36" w:rsidP="00992E4C">
            <w:pPr>
              <w:pStyle w:val="Default"/>
              <w:spacing w:before="120"/>
              <w:rPr>
                <w:color w:val="auto"/>
                <w:sz w:val="28"/>
                <w:szCs w:val="28"/>
              </w:rPr>
            </w:pPr>
            <w:r w:rsidRPr="00B0658A">
              <w:rPr>
                <w:color w:val="auto"/>
                <w:sz w:val="28"/>
                <w:szCs w:val="28"/>
              </w:rPr>
              <w:t>Критическая информационная инфраструктура</w:t>
            </w:r>
          </w:p>
        </w:tc>
      </w:tr>
      <w:tr w:rsidR="00F52FED" w:rsidRPr="00B0658A" w14:paraId="0595E8C1" w14:textId="77777777" w:rsidTr="00992E4C">
        <w:trPr>
          <w:trHeight w:val="870"/>
        </w:trPr>
        <w:tc>
          <w:tcPr>
            <w:tcW w:w="1262" w:type="pct"/>
            <w:shd w:val="clear" w:color="auto" w:fill="auto"/>
            <w:tcMar>
              <w:top w:w="100" w:type="dxa"/>
              <w:left w:w="100" w:type="dxa"/>
              <w:bottom w:w="100" w:type="dxa"/>
              <w:right w:w="100" w:type="dxa"/>
            </w:tcMar>
            <w:vAlign w:val="center"/>
          </w:tcPr>
          <w:p w14:paraId="2EC8F49E" w14:textId="77777777" w:rsidR="000803DD" w:rsidRPr="00B0658A" w:rsidRDefault="000803DD" w:rsidP="00992E4C">
            <w:pPr>
              <w:pStyle w:val="Default"/>
              <w:spacing w:before="120"/>
              <w:rPr>
                <w:color w:val="auto"/>
                <w:sz w:val="28"/>
                <w:szCs w:val="28"/>
              </w:rPr>
            </w:pPr>
            <w:r w:rsidRPr="00B0658A">
              <w:rPr>
                <w:color w:val="auto"/>
                <w:sz w:val="28"/>
                <w:szCs w:val="28"/>
              </w:rPr>
              <w:t>ИКТ</w:t>
            </w:r>
          </w:p>
        </w:tc>
        <w:tc>
          <w:tcPr>
            <w:tcW w:w="3738" w:type="pct"/>
            <w:shd w:val="clear" w:color="auto" w:fill="auto"/>
            <w:tcMar>
              <w:top w:w="100" w:type="dxa"/>
              <w:left w:w="100" w:type="dxa"/>
              <w:bottom w:w="100" w:type="dxa"/>
              <w:right w:w="100" w:type="dxa"/>
            </w:tcMar>
            <w:vAlign w:val="center"/>
          </w:tcPr>
          <w:p w14:paraId="6E5D1FB2" w14:textId="77777777" w:rsidR="000803DD" w:rsidRPr="00B0658A" w:rsidRDefault="000803DD" w:rsidP="00992E4C">
            <w:pPr>
              <w:pStyle w:val="Default"/>
              <w:spacing w:before="120"/>
              <w:rPr>
                <w:color w:val="auto"/>
                <w:sz w:val="28"/>
                <w:szCs w:val="28"/>
              </w:rPr>
            </w:pPr>
            <w:r w:rsidRPr="00B0658A">
              <w:rPr>
                <w:color w:val="auto"/>
                <w:sz w:val="28"/>
                <w:szCs w:val="28"/>
              </w:rPr>
              <w:t>Информационно-коммуникационные технологии</w:t>
            </w:r>
          </w:p>
        </w:tc>
      </w:tr>
      <w:tr w:rsidR="00F52FED" w:rsidRPr="00B0658A" w14:paraId="782897AC" w14:textId="77777777" w:rsidTr="00992E4C">
        <w:trPr>
          <w:trHeight w:val="870"/>
        </w:trPr>
        <w:tc>
          <w:tcPr>
            <w:tcW w:w="1262" w:type="pct"/>
            <w:shd w:val="clear" w:color="auto" w:fill="auto"/>
            <w:tcMar>
              <w:top w:w="100" w:type="dxa"/>
              <w:left w:w="100" w:type="dxa"/>
              <w:bottom w:w="100" w:type="dxa"/>
              <w:right w:w="100" w:type="dxa"/>
            </w:tcMar>
            <w:vAlign w:val="center"/>
          </w:tcPr>
          <w:p w14:paraId="630ED59B" w14:textId="77777777" w:rsidR="000803DD" w:rsidRPr="00B0658A" w:rsidRDefault="000803DD" w:rsidP="00992E4C">
            <w:pPr>
              <w:pStyle w:val="Default"/>
              <w:spacing w:before="120"/>
              <w:rPr>
                <w:color w:val="auto"/>
                <w:sz w:val="28"/>
                <w:szCs w:val="28"/>
              </w:rPr>
            </w:pPr>
            <w:r w:rsidRPr="00B0658A">
              <w:rPr>
                <w:color w:val="auto"/>
                <w:sz w:val="28"/>
                <w:szCs w:val="28"/>
              </w:rPr>
              <w:t>ИТ</w:t>
            </w:r>
          </w:p>
        </w:tc>
        <w:tc>
          <w:tcPr>
            <w:tcW w:w="3738" w:type="pct"/>
            <w:shd w:val="clear" w:color="auto" w:fill="auto"/>
            <w:tcMar>
              <w:top w:w="100" w:type="dxa"/>
              <w:left w:w="100" w:type="dxa"/>
              <w:bottom w:w="100" w:type="dxa"/>
              <w:right w:w="100" w:type="dxa"/>
            </w:tcMar>
            <w:vAlign w:val="center"/>
          </w:tcPr>
          <w:p w14:paraId="4B257C91" w14:textId="77777777" w:rsidR="000803DD" w:rsidRPr="00B0658A" w:rsidRDefault="000803DD" w:rsidP="00992E4C">
            <w:pPr>
              <w:pStyle w:val="Default"/>
              <w:spacing w:before="120"/>
              <w:rPr>
                <w:color w:val="auto"/>
                <w:sz w:val="28"/>
                <w:szCs w:val="28"/>
              </w:rPr>
            </w:pPr>
            <w:r w:rsidRPr="00B0658A">
              <w:rPr>
                <w:color w:val="auto"/>
                <w:sz w:val="28"/>
                <w:szCs w:val="28"/>
              </w:rPr>
              <w:t>Информационные технологии</w:t>
            </w:r>
          </w:p>
        </w:tc>
      </w:tr>
      <w:tr w:rsidR="00F52FED" w:rsidRPr="00B0658A" w14:paraId="63FE8640" w14:textId="77777777" w:rsidTr="00992E4C">
        <w:trPr>
          <w:trHeight w:val="675"/>
        </w:trPr>
        <w:tc>
          <w:tcPr>
            <w:tcW w:w="1262" w:type="pct"/>
            <w:shd w:val="clear" w:color="auto" w:fill="auto"/>
            <w:tcMar>
              <w:top w:w="100" w:type="dxa"/>
              <w:left w:w="100" w:type="dxa"/>
              <w:bottom w:w="100" w:type="dxa"/>
              <w:right w:w="100" w:type="dxa"/>
            </w:tcMar>
            <w:vAlign w:val="center"/>
          </w:tcPr>
          <w:p w14:paraId="484F88E3" w14:textId="77777777" w:rsidR="00064E36" w:rsidRPr="00B0658A" w:rsidRDefault="00064E36" w:rsidP="00992E4C">
            <w:pPr>
              <w:spacing w:before="120" w:after="0" w:line="240" w:lineRule="auto"/>
              <w:rPr>
                <w:rFonts w:ascii="Times New Roman" w:hAnsi="Times New Roman"/>
                <w:sz w:val="28"/>
                <w:szCs w:val="28"/>
              </w:rPr>
            </w:pPr>
            <w:r w:rsidRPr="00B0658A">
              <w:rPr>
                <w:rFonts w:ascii="Times New Roman" w:hAnsi="Times New Roman"/>
                <w:sz w:val="28"/>
                <w:szCs w:val="28"/>
              </w:rPr>
              <w:t>ПО</w:t>
            </w:r>
          </w:p>
        </w:tc>
        <w:tc>
          <w:tcPr>
            <w:tcW w:w="3738" w:type="pct"/>
            <w:shd w:val="clear" w:color="auto" w:fill="auto"/>
            <w:tcMar>
              <w:top w:w="100" w:type="dxa"/>
              <w:left w:w="100" w:type="dxa"/>
              <w:bottom w:w="100" w:type="dxa"/>
              <w:right w:w="100" w:type="dxa"/>
            </w:tcMar>
            <w:vAlign w:val="center"/>
          </w:tcPr>
          <w:p w14:paraId="2E43396B" w14:textId="77777777" w:rsidR="00064E36" w:rsidRPr="00B0658A" w:rsidRDefault="00064E36" w:rsidP="00992E4C">
            <w:pPr>
              <w:spacing w:before="120" w:after="0" w:line="240" w:lineRule="auto"/>
              <w:rPr>
                <w:rFonts w:ascii="Times New Roman" w:hAnsi="Times New Roman"/>
                <w:sz w:val="28"/>
                <w:szCs w:val="28"/>
              </w:rPr>
            </w:pPr>
            <w:r w:rsidRPr="00B0658A">
              <w:rPr>
                <w:rFonts w:ascii="Times New Roman" w:hAnsi="Times New Roman"/>
                <w:sz w:val="28"/>
                <w:szCs w:val="28"/>
              </w:rPr>
              <w:t>Программное обеспечение, в том числе входящее в состав программно-аппаратного комплекса</w:t>
            </w:r>
          </w:p>
        </w:tc>
      </w:tr>
      <w:tr w:rsidR="00F52FED" w:rsidRPr="00B0658A" w14:paraId="433962E9" w14:textId="77777777" w:rsidTr="00992E4C">
        <w:trPr>
          <w:trHeight w:val="675"/>
        </w:trPr>
        <w:tc>
          <w:tcPr>
            <w:tcW w:w="1262" w:type="pct"/>
            <w:shd w:val="clear" w:color="auto" w:fill="auto"/>
            <w:tcMar>
              <w:top w:w="100" w:type="dxa"/>
              <w:left w:w="100" w:type="dxa"/>
              <w:bottom w:w="100" w:type="dxa"/>
              <w:right w:w="100" w:type="dxa"/>
            </w:tcMar>
            <w:vAlign w:val="center"/>
          </w:tcPr>
          <w:p w14:paraId="367130EC" w14:textId="77777777" w:rsidR="00793884" w:rsidRPr="00B0658A" w:rsidRDefault="00793884" w:rsidP="00992E4C">
            <w:pPr>
              <w:spacing w:before="120" w:after="0" w:line="240" w:lineRule="auto"/>
              <w:rPr>
                <w:rFonts w:ascii="Times New Roman" w:hAnsi="Times New Roman"/>
                <w:sz w:val="28"/>
                <w:szCs w:val="28"/>
              </w:rPr>
            </w:pPr>
            <w:r w:rsidRPr="00B0658A">
              <w:rPr>
                <w:rFonts w:ascii="Times New Roman" w:hAnsi="Times New Roman"/>
                <w:sz w:val="28"/>
                <w:szCs w:val="28"/>
              </w:rPr>
              <w:t>ГИС</w:t>
            </w:r>
          </w:p>
        </w:tc>
        <w:tc>
          <w:tcPr>
            <w:tcW w:w="3738" w:type="pct"/>
            <w:shd w:val="clear" w:color="auto" w:fill="auto"/>
            <w:tcMar>
              <w:top w:w="100" w:type="dxa"/>
              <w:left w:w="100" w:type="dxa"/>
              <w:bottom w:w="100" w:type="dxa"/>
              <w:right w:w="100" w:type="dxa"/>
            </w:tcMar>
            <w:vAlign w:val="center"/>
          </w:tcPr>
          <w:p w14:paraId="2F6EA840" w14:textId="77777777" w:rsidR="00793884" w:rsidRPr="00B0658A" w:rsidRDefault="00793884" w:rsidP="00992E4C">
            <w:pPr>
              <w:spacing w:before="120" w:after="0" w:line="240" w:lineRule="auto"/>
              <w:rPr>
                <w:rFonts w:ascii="Times New Roman" w:hAnsi="Times New Roman"/>
                <w:sz w:val="28"/>
                <w:szCs w:val="24"/>
              </w:rPr>
            </w:pPr>
            <w:r w:rsidRPr="00B0658A">
              <w:rPr>
                <w:rFonts w:ascii="Times New Roman" w:hAnsi="Times New Roman"/>
                <w:sz w:val="28"/>
                <w:szCs w:val="24"/>
              </w:rPr>
              <w:t>Государственная информационная система</w:t>
            </w:r>
          </w:p>
        </w:tc>
      </w:tr>
      <w:tr w:rsidR="00F52FED" w:rsidRPr="00B0658A" w14:paraId="1E9ED508" w14:textId="77777777" w:rsidTr="00992E4C">
        <w:trPr>
          <w:trHeight w:val="675"/>
        </w:trPr>
        <w:tc>
          <w:tcPr>
            <w:tcW w:w="1262" w:type="pct"/>
            <w:shd w:val="clear" w:color="auto" w:fill="auto"/>
            <w:tcMar>
              <w:top w:w="100" w:type="dxa"/>
              <w:left w:w="100" w:type="dxa"/>
              <w:bottom w:w="100" w:type="dxa"/>
              <w:right w:w="100" w:type="dxa"/>
            </w:tcMar>
            <w:vAlign w:val="center"/>
          </w:tcPr>
          <w:p w14:paraId="0B945F50" w14:textId="77777777" w:rsidR="001C7930" w:rsidRPr="00B0658A" w:rsidRDefault="001C7930" w:rsidP="00992E4C">
            <w:pPr>
              <w:spacing w:before="120" w:after="0" w:line="240" w:lineRule="auto"/>
              <w:rPr>
                <w:rFonts w:ascii="Times New Roman" w:hAnsi="Times New Roman"/>
                <w:sz w:val="28"/>
                <w:szCs w:val="28"/>
              </w:rPr>
            </w:pPr>
            <w:r w:rsidRPr="00B0658A">
              <w:rPr>
                <w:rFonts w:ascii="Times New Roman" w:hAnsi="Times New Roman"/>
                <w:sz w:val="28"/>
                <w:szCs w:val="28"/>
              </w:rPr>
              <w:t>Минцифры России</w:t>
            </w:r>
          </w:p>
        </w:tc>
        <w:tc>
          <w:tcPr>
            <w:tcW w:w="3738" w:type="pct"/>
            <w:shd w:val="clear" w:color="auto" w:fill="auto"/>
            <w:tcMar>
              <w:top w:w="100" w:type="dxa"/>
              <w:left w:w="100" w:type="dxa"/>
              <w:bottom w:w="100" w:type="dxa"/>
              <w:right w:w="100" w:type="dxa"/>
            </w:tcMar>
            <w:vAlign w:val="center"/>
          </w:tcPr>
          <w:p w14:paraId="56192B4C" w14:textId="77777777" w:rsidR="001C7930" w:rsidRPr="00B0658A" w:rsidRDefault="001C7930" w:rsidP="00992E4C">
            <w:pPr>
              <w:spacing w:before="120" w:after="0" w:line="240" w:lineRule="auto"/>
              <w:rPr>
                <w:rFonts w:ascii="Times New Roman" w:hAnsi="Times New Roman"/>
                <w:sz w:val="28"/>
                <w:szCs w:val="24"/>
              </w:rPr>
            </w:pPr>
            <w:r w:rsidRPr="00B0658A">
              <w:rPr>
                <w:rFonts w:ascii="Times New Roman" w:hAnsi="Times New Roman"/>
                <w:sz w:val="28"/>
                <w:szCs w:val="24"/>
              </w:rPr>
              <w:t>Министерство цифрового развития, связи и массовых коммуникаций Российской Федерации</w:t>
            </w:r>
          </w:p>
        </w:tc>
      </w:tr>
      <w:tr w:rsidR="00F52FED" w:rsidRPr="00B0658A" w14:paraId="5BC75DC5" w14:textId="0E6D589E" w:rsidTr="00992E4C">
        <w:trPr>
          <w:trHeight w:val="675"/>
        </w:trPr>
        <w:tc>
          <w:tcPr>
            <w:tcW w:w="1262" w:type="pct"/>
            <w:shd w:val="clear" w:color="auto" w:fill="auto"/>
            <w:tcMar>
              <w:top w:w="100" w:type="dxa"/>
              <w:left w:w="100" w:type="dxa"/>
              <w:bottom w:w="100" w:type="dxa"/>
              <w:right w:w="100" w:type="dxa"/>
            </w:tcMar>
            <w:vAlign w:val="center"/>
          </w:tcPr>
          <w:p w14:paraId="4E5F6640" w14:textId="657351B0" w:rsidR="001C7930" w:rsidRPr="00B0658A" w:rsidRDefault="001C7930" w:rsidP="00992E4C">
            <w:pPr>
              <w:spacing w:before="120" w:after="0" w:line="240" w:lineRule="auto"/>
              <w:rPr>
                <w:rFonts w:ascii="Times New Roman" w:hAnsi="Times New Roman"/>
                <w:sz w:val="28"/>
                <w:szCs w:val="28"/>
              </w:rPr>
            </w:pPr>
            <w:r w:rsidRPr="00B0658A">
              <w:rPr>
                <w:rFonts w:ascii="Times New Roman" w:hAnsi="Times New Roman"/>
                <w:sz w:val="28"/>
                <w:szCs w:val="28"/>
              </w:rPr>
              <w:t>ФСБ России</w:t>
            </w:r>
          </w:p>
        </w:tc>
        <w:tc>
          <w:tcPr>
            <w:tcW w:w="3738" w:type="pct"/>
            <w:shd w:val="clear" w:color="auto" w:fill="auto"/>
            <w:tcMar>
              <w:top w:w="100" w:type="dxa"/>
              <w:left w:w="100" w:type="dxa"/>
              <w:bottom w:w="100" w:type="dxa"/>
              <w:right w:w="100" w:type="dxa"/>
            </w:tcMar>
            <w:vAlign w:val="center"/>
          </w:tcPr>
          <w:p w14:paraId="3CE296FE" w14:textId="06A1F62A" w:rsidR="001C7930" w:rsidRPr="00B0658A" w:rsidRDefault="001C7930" w:rsidP="00992E4C">
            <w:pPr>
              <w:spacing w:before="120" w:after="0" w:line="240" w:lineRule="auto"/>
              <w:rPr>
                <w:rFonts w:ascii="Times New Roman" w:hAnsi="Times New Roman"/>
                <w:sz w:val="28"/>
                <w:szCs w:val="24"/>
              </w:rPr>
            </w:pPr>
            <w:r w:rsidRPr="00B0658A">
              <w:rPr>
                <w:rFonts w:ascii="Times New Roman" w:hAnsi="Times New Roman"/>
                <w:sz w:val="28"/>
                <w:szCs w:val="24"/>
              </w:rPr>
              <w:t>Федеральная служба безопасности Российской Федерации</w:t>
            </w:r>
          </w:p>
        </w:tc>
      </w:tr>
      <w:tr w:rsidR="001C7930" w:rsidRPr="00B0658A" w14:paraId="4F2CB02F" w14:textId="77777777" w:rsidTr="00992E4C">
        <w:trPr>
          <w:trHeight w:val="675"/>
        </w:trPr>
        <w:tc>
          <w:tcPr>
            <w:tcW w:w="1262" w:type="pct"/>
            <w:shd w:val="clear" w:color="auto" w:fill="auto"/>
            <w:tcMar>
              <w:top w:w="100" w:type="dxa"/>
              <w:left w:w="100" w:type="dxa"/>
              <w:bottom w:w="100" w:type="dxa"/>
              <w:right w:w="100" w:type="dxa"/>
            </w:tcMar>
            <w:vAlign w:val="center"/>
          </w:tcPr>
          <w:p w14:paraId="0A65440F" w14:textId="77777777" w:rsidR="001C7930" w:rsidRPr="00B0658A" w:rsidRDefault="001C7930" w:rsidP="00992E4C">
            <w:pPr>
              <w:spacing w:before="120" w:after="0" w:line="240" w:lineRule="auto"/>
              <w:rPr>
                <w:rFonts w:ascii="Times New Roman" w:hAnsi="Times New Roman"/>
                <w:sz w:val="28"/>
                <w:szCs w:val="28"/>
              </w:rPr>
            </w:pPr>
            <w:r w:rsidRPr="00B0658A">
              <w:rPr>
                <w:rFonts w:ascii="Times New Roman" w:hAnsi="Times New Roman"/>
                <w:sz w:val="28"/>
                <w:szCs w:val="28"/>
              </w:rPr>
              <w:t>ФСТЭК России</w:t>
            </w:r>
          </w:p>
        </w:tc>
        <w:tc>
          <w:tcPr>
            <w:tcW w:w="3738" w:type="pct"/>
            <w:shd w:val="clear" w:color="auto" w:fill="auto"/>
            <w:tcMar>
              <w:top w:w="100" w:type="dxa"/>
              <w:left w:w="100" w:type="dxa"/>
              <w:bottom w:w="100" w:type="dxa"/>
              <w:right w:w="100" w:type="dxa"/>
            </w:tcMar>
            <w:vAlign w:val="center"/>
          </w:tcPr>
          <w:p w14:paraId="69F09FBB" w14:textId="77777777" w:rsidR="001C7930" w:rsidRPr="00B0658A" w:rsidRDefault="001C7930" w:rsidP="00992E4C">
            <w:pPr>
              <w:spacing w:before="120" w:after="0" w:line="240" w:lineRule="auto"/>
              <w:rPr>
                <w:rFonts w:ascii="Times New Roman" w:hAnsi="Times New Roman"/>
                <w:sz w:val="28"/>
                <w:szCs w:val="24"/>
              </w:rPr>
            </w:pPr>
            <w:r w:rsidRPr="00B0658A">
              <w:rPr>
                <w:rFonts w:ascii="Times New Roman" w:hAnsi="Times New Roman"/>
                <w:sz w:val="28"/>
                <w:szCs w:val="24"/>
              </w:rPr>
              <w:t>Федеральная служба по техническому и экспортному контролю</w:t>
            </w:r>
          </w:p>
        </w:tc>
      </w:tr>
    </w:tbl>
    <w:p w14:paraId="006FE075" w14:textId="77777777" w:rsidR="00064E36" w:rsidRPr="00B0658A" w:rsidRDefault="00064E36" w:rsidP="00064E36">
      <w:pPr>
        <w:spacing w:before="120" w:after="0" w:line="240" w:lineRule="auto"/>
        <w:rPr>
          <w:rFonts w:ascii="Times New Roman" w:hAnsi="Times New Roman"/>
          <w:sz w:val="24"/>
          <w:szCs w:val="24"/>
        </w:rPr>
      </w:pPr>
    </w:p>
    <w:p w14:paraId="066933DB" w14:textId="77777777" w:rsidR="00973299" w:rsidRDefault="00973299">
      <w:pPr>
        <w:spacing w:after="0" w:line="240" w:lineRule="auto"/>
        <w:rPr>
          <w:rFonts w:ascii="Times New Roman" w:hAnsi="Times New Roman"/>
          <w:b/>
          <w:sz w:val="28"/>
          <w:szCs w:val="28"/>
        </w:rPr>
      </w:pPr>
      <w:bookmarkStart w:id="3" w:name="_Toc116632260"/>
      <w:r>
        <w:rPr>
          <w:szCs w:val="28"/>
        </w:rPr>
        <w:br w:type="page"/>
      </w:r>
    </w:p>
    <w:p w14:paraId="5F0292C3" w14:textId="6F4FFF40" w:rsidR="00CA6D2D" w:rsidRDefault="006F5730" w:rsidP="00CA6D2D">
      <w:pPr>
        <w:pStyle w:val="11"/>
        <w:spacing w:before="120" w:after="0" w:line="240" w:lineRule="auto"/>
        <w:rPr>
          <w:rFonts w:cs="Times New Roman"/>
          <w:szCs w:val="28"/>
        </w:rPr>
      </w:pPr>
      <w:r w:rsidRPr="00B0658A">
        <w:rPr>
          <w:rFonts w:cs="Times New Roman"/>
          <w:szCs w:val="28"/>
        </w:rPr>
        <w:lastRenderedPageBreak/>
        <w:t>2</w:t>
      </w:r>
      <w:r w:rsidR="00CA6D2D" w:rsidRPr="00B0658A">
        <w:rPr>
          <w:rFonts w:cs="Times New Roman"/>
          <w:szCs w:val="28"/>
        </w:rPr>
        <w:t>.</w:t>
      </w:r>
      <w:r w:rsidR="00CA6D2D" w:rsidRPr="00B0658A">
        <w:rPr>
          <w:rFonts w:cs="Times New Roman"/>
          <w:szCs w:val="28"/>
          <w:lang w:val="en-US"/>
        </w:rPr>
        <w:t> </w:t>
      </w:r>
      <w:r w:rsidR="00CA6D2D" w:rsidRPr="00B0658A">
        <w:rPr>
          <w:rFonts w:cs="Times New Roman"/>
          <w:szCs w:val="28"/>
        </w:rPr>
        <w:t>Общие положения</w:t>
      </w:r>
      <w:bookmarkEnd w:id="3"/>
    </w:p>
    <w:p w14:paraId="6B00379A" w14:textId="77777777" w:rsidR="00A665B6" w:rsidRPr="00A665B6" w:rsidRDefault="00A665B6" w:rsidP="00A665B6"/>
    <w:p w14:paraId="00C52DC5" w14:textId="77FC89CE" w:rsidR="00CA6D2D" w:rsidRPr="00B0658A" w:rsidRDefault="003747A8" w:rsidP="00F57B1F">
      <w:pPr>
        <w:pStyle w:val="ConsPlusNormal"/>
        <w:ind w:firstLine="709"/>
        <w:jc w:val="both"/>
        <w:rPr>
          <w:b/>
          <w:bCs/>
          <w:sz w:val="28"/>
        </w:rPr>
      </w:pPr>
      <w:r w:rsidRPr="00B0658A">
        <w:rPr>
          <w:sz w:val="28"/>
        </w:rPr>
        <w:t>1. </w:t>
      </w:r>
      <w:r w:rsidR="00CA6D2D" w:rsidRPr="00B0658A">
        <w:rPr>
          <w:sz w:val="28"/>
        </w:rPr>
        <w:t xml:space="preserve">Настоящие методические рекомендации по переходу на использование российского </w:t>
      </w:r>
      <w:r w:rsidR="003A1D18" w:rsidRPr="00B0658A">
        <w:rPr>
          <w:sz w:val="28"/>
        </w:rPr>
        <w:t>ПО</w:t>
      </w:r>
      <w:r w:rsidR="00CA6D2D" w:rsidRPr="00B0658A">
        <w:rPr>
          <w:sz w:val="28"/>
        </w:rPr>
        <w:t xml:space="preserve">, в том числе на значимых объектах критической информационной инфраструктуры Российской Федерации (далее – методические рекомендации), разработаны во исполнение пункта 4 </w:t>
      </w:r>
      <w:r w:rsidR="003A1D18" w:rsidRPr="00B0658A">
        <w:rPr>
          <w:sz w:val="28"/>
        </w:rPr>
        <w:t>п</w:t>
      </w:r>
      <w:r w:rsidR="00CA6D2D" w:rsidRPr="00B0658A">
        <w:rPr>
          <w:sz w:val="28"/>
        </w:rPr>
        <w:t xml:space="preserve">остановления Правительства Российской Федерации </w:t>
      </w:r>
      <w:r w:rsidR="00CA6D2D" w:rsidRPr="00B0658A">
        <w:rPr>
          <w:bCs/>
          <w:sz w:val="28"/>
        </w:rPr>
        <w:t>от 22 августа 2022 г</w:t>
      </w:r>
      <w:r w:rsidR="00566386">
        <w:rPr>
          <w:bCs/>
          <w:sz w:val="28"/>
        </w:rPr>
        <w:t>.</w:t>
      </w:r>
      <w:r w:rsidR="00CA6D2D" w:rsidRPr="00B0658A">
        <w:rPr>
          <w:bCs/>
          <w:sz w:val="28"/>
        </w:rPr>
        <w:t xml:space="preserve"> </w:t>
      </w:r>
      <w:r w:rsidR="00592B14" w:rsidRPr="00B0658A">
        <w:rPr>
          <w:bCs/>
          <w:sz w:val="28"/>
        </w:rPr>
        <w:t>№ </w:t>
      </w:r>
      <w:r w:rsidR="00CA6D2D" w:rsidRPr="00B0658A">
        <w:rPr>
          <w:bCs/>
          <w:sz w:val="28"/>
        </w:rPr>
        <w:t>1478.</w:t>
      </w:r>
    </w:p>
    <w:p w14:paraId="27797EDD" w14:textId="77777777" w:rsidR="00CA6D2D" w:rsidRPr="00B0658A" w:rsidRDefault="003747A8" w:rsidP="00F57B1F">
      <w:pPr>
        <w:pStyle w:val="ConsPlusNormal"/>
        <w:ind w:firstLine="709"/>
        <w:jc w:val="both"/>
        <w:rPr>
          <w:sz w:val="28"/>
        </w:rPr>
      </w:pPr>
      <w:r w:rsidRPr="00B0658A">
        <w:rPr>
          <w:sz w:val="28"/>
        </w:rPr>
        <w:t>2. </w:t>
      </w:r>
      <w:r w:rsidR="00CA6D2D" w:rsidRPr="00B0658A">
        <w:rPr>
          <w:sz w:val="28"/>
        </w:rPr>
        <w:t xml:space="preserve">Методические рекомендации направлены на оказание методической помощи по переходу </w:t>
      </w:r>
      <w:r w:rsidR="00983179" w:rsidRPr="00B0658A">
        <w:rPr>
          <w:sz w:val="28"/>
        </w:rPr>
        <w:t xml:space="preserve">на использование российского </w:t>
      </w:r>
      <w:r w:rsidR="00A950C8" w:rsidRPr="00B0658A">
        <w:rPr>
          <w:sz w:val="28"/>
        </w:rPr>
        <w:t>ПО</w:t>
      </w:r>
      <w:r w:rsidR="00983179" w:rsidRPr="00B0658A">
        <w:rPr>
          <w:sz w:val="28"/>
        </w:rPr>
        <w:t xml:space="preserve">, в том числе </w:t>
      </w:r>
      <w:r w:rsidR="00A9556C" w:rsidRPr="00B0658A">
        <w:rPr>
          <w:sz w:val="28"/>
        </w:rPr>
        <w:t>н</w:t>
      </w:r>
      <w:r w:rsidR="00983179" w:rsidRPr="00B0658A">
        <w:rPr>
          <w:sz w:val="28"/>
        </w:rPr>
        <w:t xml:space="preserve">а значимых объектах критической информационной инфраструктуры Российской Федерации, </w:t>
      </w:r>
      <w:r w:rsidR="00CA6D2D" w:rsidRPr="00B0658A">
        <w:rPr>
          <w:sz w:val="28"/>
        </w:rPr>
        <w:t xml:space="preserve">органов государственной власти, </w:t>
      </w:r>
      <w:r w:rsidRPr="00B0658A">
        <w:rPr>
          <w:sz w:val="28"/>
        </w:rPr>
        <w:t>государственных внебюджетных фондов</w:t>
      </w:r>
      <w:r w:rsidR="00A9556C" w:rsidRPr="00B0658A">
        <w:rPr>
          <w:sz w:val="28"/>
        </w:rPr>
        <w:t>,</w:t>
      </w:r>
      <w:r w:rsidRPr="00B0658A">
        <w:rPr>
          <w:sz w:val="28"/>
        </w:rPr>
        <w:t xml:space="preserve"> </w:t>
      </w:r>
      <w:r w:rsidR="00CA6D2D" w:rsidRPr="00B0658A">
        <w:rPr>
          <w:sz w:val="28"/>
        </w:rPr>
        <w:t>организаций, подведомственных органам государственной власти</w:t>
      </w:r>
      <w:r w:rsidRPr="00B0658A">
        <w:rPr>
          <w:sz w:val="28"/>
        </w:rPr>
        <w:t xml:space="preserve"> и государственным внебюджетным фондам</w:t>
      </w:r>
      <w:r w:rsidR="00CA6D2D" w:rsidRPr="00B0658A">
        <w:rPr>
          <w:sz w:val="28"/>
        </w:rPr>
        <w:t xml:space="preserve">, </w:t>
      </w:r>
      <w:r w:rsidR="00AB0C2F" w:rsidRPr="00B0658A">
        <w:rPr>
          <w:sz w:val="28"/>
        </w:rPr>
        <w:t>государственны</w:t>
      </w:r>
      <w:r w:rsidR="00A950C8" w:rsidRPr="00B0658A">
        <w:rPr>
          <w:sz w:val="28"/>
        </w:rPr>
        <w:t>х</w:t>
      </w:r>
      <w:r w:rsidR="00AB0C2F" w:rsidRPr="00B0658A">
        <w:rPr>
          <w:sz w:val="28"/>
        </w:rPr>
        <w:t xml:space="preserve"> корпораци</w:t>
      </w:r>
      <w:r w:rsidR="00A950C8" w:rsidRPr="00B0658A">
        <w:rPr>
          <w:sz w:val="28"/>
        </w:rPr>
        <w:t>й</w:t>
      </w:r>
      <w:r w:rsidR="00AB0C2F" w:rsidRPr="00B0658A">
        <w:rPr>
          <w:sz w:val="28"/>
        </w:rPr>
        <w:t xml:space="preserve"> и компани</w:t>
      </w:r>
      <w:r w:rsidR="00A950C8" w:rsidRPr="00B0658A">
        <w:rPr>
          <w:sz w:val="28"/>
        </w:rPr>
        <w:t>й</w:t>
      </w:r>
      <w:r w:rsidR="00AB0C2F" w:rsidRPr="00B0658A">
        <w:rPr>
          <w:sz w:val="28"/>
        </w:rPr>
        <w:t xml:space="preserve"> с государственным участием</w:t>
      </w:r>
      <w:r w:rsidR="008D0B34" w:rsidRPr="00B0658A">
        <w:rPr>
          <w:sz w:val="28"/>
        </w:rPr>
        <w:t xml:space="preserve">, иных организаций, осуществляющих </w:t>
      </w:r>
      <w:r w:rsidR="00983179" w:rsidRPr="00B0658A">
        <w:rPr>
          <w:sz w:val="28"/>
        </w:rPr>
        <w:t xml:space="preserve">закупки товаров, работ, услуг в соответствии с Федеральным законом </w:t>
      </w:r>
      <w:r w:rsidR="00983179" w:rsidRPr="00B0658A">
        <w:rPr>
          <w:sz w:val="28"/>
          <w:szCs w:val="28"/>
        </w:rPr>
        <w:t xml:space="preserve">«О контрактной системе в сфере закупок товаров, работ, услуг для обеспечения государственных и муниципальных нужд» и Федеральным законом «О закупках товаров, работ, услуг отдельными видами юридических лиц» (за исключением организаций с муниципальным участием), а </w:t>
      </w:r>
      <w:r w:rsidR="00B64613" w:rsidRPr="00B0658A">
        <w:rPr>
          <w:sz w:val="28"/>
          <w:szCs w:val="28"/>
        </w:rPr>
        <w:t xml:space="preserve">также </w:t>
      </w:r>
      <w:r w:rsidR="00A950C8" w:rsidRPr="00B0658A">
        <w:rPr>
          <w:sz w:val="28"/>
          <w:szCs w:val="28"/>
        </w:rPr>
        <w:t>других</w:t>
      </w:r>
      <w:r w:rsidR="00983179" w:rsidRPr="00B0658A">
        <w:rPr>
          <w:sz w:val="28"/>
          <w:szCs w:val="28"/>
        </w:rPr>
        <w:t xml:space="preserve"> организаций, </w:t>
      </w:r>
      <w:r w:rsidR="00A950C8" w:rsidRPr="00B0658A">
        <w:rPr>
          <w:sz w:val="28"/>
          <w:szCs w:val="28"/>
        </w:rPr>
        <w:t xml:space="preserve">являющихся субъектами критической информационной инфраструктуры Российской Федерации и </w:t>
      </w:r>
      <w:r w:rsidR="00983179" w:rsidRPr="00B0658A">
        <w:rPr>
          <w:sz w:val="28"/>
          <w:szCs w:val="28"/>
        </w:rPr>
        <w:t>которым принадлежат значимые объекты критической информационной инфраструктуры Российской Федерации (далее – органы государственной власти и организации).</w:t>
      </w:r>
    </w:p>
    <w:p w14:paraId="7B04A2C6" w14:textId="77777777" w:rsidR="00CA6D2D" w:rsidRPr="00B0658A" w:rsidRDefault="00B9290E" w:rsidP="00F57B1F">
      <w:pPr>
        <w:pStyle w:val="ConsPlusNormal"/>
        <w:ind w:firstLine="709"/>
        <w:jc w:val="both"/>
        <w:rPr>
          <w:sz w:val="28"/>
        </w:rPr>
      </w:pPr>
      <w:r w:rsidRPr="00B0658A">
        <w:rPr>
          <w:sz w:val="28"/>
        </w:rPr>
        <w:t>3. </w:t>
      </w:r>
      <w:r w:rsidR="00CA6D2D" w:rsidRPr="00B0658A">
        <w:rPr>
          <w:sz w:val="28"/>
        </w:rPr>
        <w:t>Методические рекомендации содержат рекомендации по структуре, содержанию</w:t>
      </w:r>
      <w:r w:rsidRPr="00B0658A">
        <w:rPr>
          <w:sz w:val="28"/>
        </w:rPr>
        <w:t xml:space="preserve"> планов перехода на использование российского </w:t>
      </w:r>
      <w:r w:rsidR="00FF459D" w:rsidRPr="00B0658A">
        <w:rPr>
          <w:sz w:val="28"/>
        </w:rPr>
        <w:t>ПО</w:t>
      </w:r>
      <w:r w:rsidR="00CA6D2D" w:rsidRPr="00B0658A">
        <w:rPr>
          <w:sz w:val="28"/>
        </w:rPr>
        <w:t xml:space="preserve">, </w:t>
      </w:r>
      <w:r w:rsidR="00FF459D" w:rsidRPr="00B0658A">
        <w:rPr>
          <w:sz w:val="28"/>
        </w:rPr>
        <w:t>срокам перехода на использование российского ПО</w:t>
      </w:r>
      <w:r w:rsidR="00CA6D2D" w:rsidRPr="00B0658A">
        <w:rPr>
          <w:sz w:val="28"/>
        </w:rPr>
        <w:t>,</w:t>
      </w:r>
      <w:r w:rsidRPr="00B0658A">
        <w:rPr>
          <w:sz w:val="28"/>
        </w:rPr>
        <w:t xml:space="preserve"> рекомендации по </w:t>
      </w:r>
      <w:r w:rsidR="00FF459D" w:rsidRPr="00B0658A">
        <w:rPr>
          <w:sz w:val="28"/>
        </w:rPr>
        <w:t>перечню</w:t>
      </w:r>
      <w:r w:rsidRPr="00B0658A">
        <w:rPr>
          <w:sz w:val="28"/>
        </w:rPr>
        <w:t xml:space="preserve"> организационно-технических мероприятий, которые целесообразно реализовать для перехода на использование российского ПО, </w:t>
      </w:r>
      <w:r w:rsidR="00CA6D2D" w:rsidRPr="00B0658A">
        <w:rPr>
          <w:sz w:val="28"/>
        </w:rPr>
        <w:t xml:space="preserve">а также </w:t>
      </w:r>
      <w:r w:rsidRPr="00B0658A">
        <w:rPr>
          <w:sz w:val="28"/>
        </w:rPr>
        <w:t xml:space="preserve">рекомендации по </w:t>
      </w:r>
      <w:r w:rsidR="00CA6D2D" w:rsidRPr="00B0658A">
        <w:rPr>
          <w:sz w:val="28"/>
        </w:rPr>
        <w:t xml:space="preserve">порядку </w:t>
      </w:r>
      <w:r w:rsidR="00FF459D" w:rsidRPr="00B0658A">
        <w:rPr>
          <w:sz w:val="28"/>
        </w:rPr>
        <w:t>разработки, согласования, утверждения и осуществления внутреннего и внешнего мониторинга и контроля реализации планов перехода на использование российского ПО, в том числе перехода на использование российского ПО на значимых объектах КИИ</w:t>
      </w:r>
      <w:r w:rsidR="00CA6D2D" w:rsidRPr="00B0658A">
        <w:rPr>
          <w:sz w:val="28"/>
        </w:rPr>
        <w:t xml:space="preserve"> </w:t>
      </w:r>
      <w:r w:rsidR="00FF459D" w:rsidRPr="00B0658A">
        <w:rPr>
          <w:sz w:val="28"/>
        </w:rPr>
        <w:t xml:space="preserve">и перевода государственных и ведомственных информационных систем на использование российского ПО </w:t>
      </w:r>
      <w:r w:rsidR="00CA6D2D" w:rsidRPr="00B0658A">
        <w:rPr>
          <w:sz w:val="28"/>
        </w:rPr>
        <w:t>(далее – Планы перехода).</w:t>
      </w:r>
    </w:p>
    <w:p w14:paraId="7BE57E00" w14:textId="77777777" w:rsidR="00CA6D2D" w:rsidRPr="00B0658A" w:rsidRDefault="00593AB4" w:rsidP="00F57B1F">
      <w:pPr>
        <w:pStyle w:val="ConsPlusNormal"/>
        <w:ind w:firstLine="709"/>
        <w:jc w:val="both"/>
        <w:rPr>
          <w:sz w:val="28"/>
        </w:rPr>
      </w:pPr>
      <w:r w:rsidRPr="00B0658A">
        <w:rPr>
          <w:sz w:val="28"/>
        </w:rPr>
        <w:t>4.</w:t>
      </w:r>
      <w:r w:rsidRPr="00B0658A">
        <w:rPr>
          <w:sz w:val="28"/>
          <w:lang w:val="en-US"/>
        </w:rPr>
        <w:t> </w:t>
      </w:r>
      <w:r w:rsidR="00CA6D2D" w:rsidRPr="00B0658A">
        <w:rPr>
          <w:sz w:val="28"/>
        </w:rPr>
        <w:t>Подготовк</w:t>
      </w:r>
      <w:r w:rsidRPr="00B0658A">
        <w:rPr>
          <w:sz w:val="28"/>
        </w:rPr>
        <w:t>а</w:t>
      </w:r>
      <w:r w:rsidR="00CA6D2D" w:rsidRPr="00B0658A">
        <w:rPr>
          <w:sz w:val="28"/>
        </w:rPr>
        <w:t xml:space="preserve"> и утверждение Планов перехода, содержащих сведения, </w:t>
      </w:r>
      <w:r w:rsidRPr="00B0658A">
        <w:rPr>
          <w:sz w:val="28"/>
        </w:rPr>
        <w:t xml:space="preserve">составляющие </w:t>
      </w:r>
      <w:r w:rsidR="00CA6D2D" w:rsidRPr="00B0658A">
        <w:rPr>
          <w:sz w:val="28"/>
        </w:rPr>
        <w:t>государственн</w:t>
      </w:r>
      <w:r w:rsidRPr="00B0658A">
        <w:rPr>
          <w:sz w:val="28"/>
        </w:rPr>
        <w:t>ую</w:t>
      </w:r>
      <w:r w:rsidR="00CA6D2D" w:rsidRPr="00B0658A">
        <w:rPr>
          <w:sz w:val="28"/>
        </w:rPr>
        <w:t xml:space="preserve"> тайн</w:t>
      </w:r>
      <w:r w:rsidRPr="00B0658A">
        <w:rPr>
          <w:sz w:val="28"/>
        </w:rPr>
        <w:t>у,</w:t>
      </w:r>
      <w:r w:rsidR="00CA6D2D" w:rsidRPr="00B0658A">
        <w:rPr>
          <w:sz w:val="28"/>
        </w:rPr>
        <w:t xml:space="preserve"> </w:t>
      </w:r>
      <w:r w:rsidRPr="00B0658A">
        <w:rPr>
          <w:sz w:val="28"/>
        </w:rPr>
        <w:t>осуществляется в соответствии</w:t>
      </w:r>
      <w:r w:rsidR="00CA6D2D" w:rsidRPr="00B0658A">
        <w:rPr>
          <w:sz w:val="28"/>
        </w:rPr>
        <w:t xml:space="preserve"> </w:t>
      </w:r>
      <w:r w:rsidR="00393EDF" w:rsidRPr="00B0658A">
        <w:rPr>
          <w:sz w:val="28"/>
        </w:rPr>
        <w:t xml:space="preserve">с </w:t>
      </w:r>
      <w:r w:rsidR="00CA6D2D" w:rsidRPr="00B0658A">
        <w:rPr>
          <w:sz w:val="28"/>
        </w:rPr>
        <w:t>законодательств</w:t>
      </w:r>
      <w:r w:rsidR="00393EDF" w:rsidRPr="00B0658A">
        <w:rPr>
          <w:sz w:val="28"/>
        </w:rPr>
        <w:t>ом</w:t>
      </w:r>
      <w:r w:rsidR="00CA6D2D" w:rsidRPr="00B0658A">
        <w:rPr>
          <w:sz w:val="28"/>
        </w:rPr>
        <w:t xml:space="preserve"> Российской Федерации о защите государственной тайны.</w:t>
      </w:r>
    </w:p>
    <w:p w14:paraId="2E1FB62B" w14:textId="77777777" w:rsidR="002A497D" w:rsidRPr="00B0658A" w:rsidRDefault="00593AB4" w:rsidP="00F57B1F">
      <w:pPr>
        <w:pStyle w:val="ConsPlusNormal"/>
        <w:ind w:firstLine="709"/>
        <w:jc w:val="both"/>
        <w:rPr>
          <w:sz w:val="28"/>
        </w:rPr>
      </w:pPr>
      <w:bookmarkStart w:id="4" w:name="_Hlk116480339"/>
      <w:r w:rsidRPr="00B0658A">
        <w:rPr>
          <w:sz w:val="28"/>
        </w:rPr>
        <w:t>5. Разработка, согласование с федеральными органами исполнительной власти и утверждение планов перехода на использование российского ПО</w:t>
      </w:r>
      <w:r w:rsidR="00AB654B" w:rsidRPr="00B0658A">
        <w:rPr>
          <w:sz w:val="28"/>
        </w:rPr>
        <w:t xml:space="preserve"> (за исключением планов перехода на использование российского ПО</w:t>
      </w:r>
      <w:r w:rsidR="0056742F" w:rsidRPr="00B0658A">
        <w:rPr>
          <w:sz w:val="28"/>
        </w:rPr>
        <w:t>, в том числе в составе программно-аппаратных комплексов,</w:t>
      </w:r>
      <w:r w:rsidR="00AB654B" w:rsidRPr="00B0658A">
        <w:rPr>
          <w:sz w:val="28"/>
        </w:rPr>
        <w:t xml:space="preserve"> на значимых объектах КИИ</w:t>
      </w:r>
      <w:r w:rsidR="00613373" w:rsidRPr="00B0658A">
        <w:rPr>
          <w:sz w:val="28"/>
        </w:rPr>
        <w:t xml:space="preserve"> (далее – план перехода на использование российского ПО на значимых объектах КИИ</w:t>
      </w:r>
      <w:r w:rsidR="00AB654B" w:rsidRPr="00B0658A">
        <w:rPr>
          <w:sz w:val="28"/>
        </w:rPr>
        <w:t>)</w:t>
      </w:r>
      <w:r w:rsidRPr="00B0658A">
        <w:rPr>
          <w:sz w:val="28"/>
        </w:rPr>
        <w:t xml:space="preserve">, </w:t>
      </w:r>
      <w:r w:rsidR="00DE32C4" w:rsidRPr="00B0658A">
        <w:rPr>
          <w:sz w:val="28"/>
        </w:rPr>
        <w:t xml:space="preserve">включая установление показателей эффективности перехода на использование российского ПО, </w:t>
      </w:r>
      <w:r w:rsidRPr="00B0658A">
        <w:rPr>
          <w:sz w:val="28"/>
        </w:rPr>
        <w:t xml:space="preserve">формируемых государственными корпорациями и компаниями с государственным участием, сведения о которых включены в специальный перечень, утвержденный распоряжением Правительства Российской Федерации от 23 января </w:t>
      </w:r>
      <w:r w:rsidRPr="00B0658A">
        <w:rPr>
          <w:sz w:val="28"/>
        </w:rPr>
        <w:lastRenderedPageBreak/>
        <w:t xml:space="preserve">2003 г. </w:t>
      </w:r>
      <w:r w:rsidR="00592B14" w:rsidRPr="00B0658A">
        <w:rPr>
          <w:sz w:val="28"/>
        </w:rPr>
        <w:t>№ </w:t>
      </w:r>
      <w:r w:rsidR="00321665" w:rsidRPr="00B0658A">
        <w:rPr>
          <w:sz w:val="28"/>
        </w:rPr>
        <w:t> </w:t>
      </w:r>
      <w:r w:rsidRPr="00B0658A">
        <w:rPr>
          <w:sz w:val="28"/>
        </w:rPr>
        <w:t>91-р</w:t>
      </w:r>
      <w:r w:rsidR="00375789" w:rsidRPr="00B0658A">
        <w:rPr>
          <w:sz w:val="28"/>
        </w:rPr>
        <w:t xml:space="preserve"> (далее – специальный перечень </w:t>
      </w:r>
      <w:r w:rsidR="00592B14" w:rsidRPr="00B0658A">
        <w:rPr>
          <w:sz w:val="28"/>
        </w:rPr>
        <w:t>№ </w:t>
      </w:r>
      <w:r w:rsidR="00321665" w:rsidRPr="00B0658A">
        <w:rPr>
          <w:sz w:val="28"/>
        </w:rPr>
        <w:t> </w:t>
      </w:r>
      <w:r w:rsidR="00375789" w:rsidRPr="00B0658A">
        <w:rPr>
          <w:sz w:val="28"/>
        </w:rPr>
        <w:t>91-р)</w:t>
      </w:r>
      <w:r w:rsidRPr="00B0658A">
        <w:rPr>
          <w:sz w:val="28"/>
        </w:rPr>
        <w:t xml:space="preserve">, и их дочерними и зависимыми обществами, </w:t>
      </w:r>
      <w:r w:rsidR="00DE32C4" w:rsidRPr="00B0658A">
        <w:rPr>
          <w:sz w:val="28"/>
        </w:rPr>
        <w:t xml:space="preserve">осуществляется в рамках стратегий (программ) цифровой трансформации в соответствии с </w:t>
      </w:r>
      <w:r w:rsidR="0056742F" w:rsidRPr="00B0658A">
        <w:rPr>
          <w:sz w:val="28"/>
        </w:rPr>
        <w:t>методическими рекомендации по цифровой трансформации государственных корпораций и компаний с государственным участием, утвержденными Правительственной комиссией по цифровому развитию, использованию информационных технологий для улучшения качества жизни и условий ведения предпринимательской деятельности (далее – Методические рекомендации по цифровой трансформации)</w:t>
      </w:r>
      <w:r w:rsidR="00DE32C4" w:rsidRPr="00B0658A">
        <w:rPr>
          <w:sz w:val="28"/>
        </w:rPr>
        <w:t>.</w:t>
      </w:r>
      <w:r w:rsidR="008C34FB" w:rsidRPr="00B0658A">
        <w:rPr>
          <w:sz w:val="28"/>
        </w:rPr>
        <w:t xml:space="preserve"> </w:t>
      </w:r>
    </w:p>
    <w:p w14:paraId="119C6651" w14:textId="77777777" w:rsidR="002A497D" w:rsidRPr="00B0658A" w:rsidRDefault="003E40B4" w:rsidP="00F57B1F">
      <w:pPr>
        <w:pStyle w:val="ConsPlusNormal"/>
        <w:ind w:firstLine="709"/>
        <w:jc w:val="both"/>
        <w:rPr>
          <w:sz w:val="28"/>
        </w:rPr>
      </w:pPr>
      <w:r w:rsidRPr="00B0658A">
        <w:rPr>
          <w:sz w:val="28"/>
        </w:rPr>
        <w:t xml:space="preserve">Предоставление организациями, включенными в специальный перечень </w:t>
      </w:r>
      <w:r w:rsidR="00C25574" w:rsidRPr="00B0658A">
        <w:rPr>
          <w:sz w:val="28"/>
        </w:rPr>
        <w:br/>
      </w:r>
      <w:r w:rsidR="00592B14" w:rsidRPr="00B0658A">
        <w:rPr>
          <w:sz w:val="28"/>
        </w:rPr>
        <w:t>№ </w:t>
      </w:r>
      <w:r w:rsidR="00C25574" w:rsidRPr="00B0658A">
        <w:rPr>
          <w:sz w:val="28"/>
        </w:rPr>
        <w:t> </w:t>
      </w:r>
      <w:r w:rsidRPr="00B0658A">
        <w:rPr>
          <w:sz w:val="28"/>
        </w:rPr>
        <w:t xml:space="preserve">91-р, отчетности о ходе реализации планов перехода на использование российского ПО и достижении показателей эффективности (за исключением </w:t>
      </w:r>
      <w:r w:rsidR="0056742F" w:rsidRPr="00B0658A">
        <w:rPr>
          <w:sz w:val="28"/>
        </w:rPr>
        <w:t>планов перехода на использование российского ПО</w:t>
      </w:r>
      <w:r w:rsidR="00613373" w:rsidRPr="00B0658A">
        <w:rPr>
          <w:sz w:val="28"/>
        </w:rPr>
        <w:t xml:space="preserve"> </w:t>
      </w:r>
      <w:r w:rsidRPr="00B0658A">
        <w:rPr>
          <w:sz w:val="28"/>
        </w:rPr>
        <w:t>на значимых объектах КИИ) осуществляется в соответствии с Методическими рекомендациями по цифровой трансформации.</w:t>
      </w:r>
    </w:p>
    <w:p w14:paraId="380DEAF9" w14:textId="77777777" w:rsidR="00617DB9" w:rsidRPr="00B0658A" w:rsidRDefault="00617DB9" w:rsidP="00F57B1F">
      <w:pPr>
        <w:pStyle w:val="ConsPlusNormal"/>
        <w:ind w:firstLine="709"/>
        <w:jc w:val="both"/>
        <w:rPr>
          <w:sz w:val="28"/>
        </w:rPr>
      </w:pPr>
      <w:r w:rsidRPr="00B0658A">
        <w:rPr>
          <w:sz w:val="28"/>
        </w:rPr>
        <w:t xml:space="preserve">При формировании (актуализации) планов перехода государственных корпораций и компаний с государственным участием, включенных в специальный перечень </w:t>
      </w:r>
      <w:r w:rsidR="00592B14" w:rsidRPr="00B0658A">
        <w:rPr>
          <w:sz w:val="28"/>
        </w:rPr>
        <w:t>№ </w:t>
      </w:r>
      <w:r w:rsidRPr="00B0658A">
        <w:rPr>
          <w:sz w:val="28"/>
        </w:rPr>
        <w:t>91-р</w:t>
      </w:r>
      <w:r w:rsidR="0056742F" w:rsidRPr="00B0658A">
        <w:rPr>
          <w:sz w:val="28"/>
        </w:rPr>
        <w:t>,</w:t>
      </w:r>
      <w:r w:rsidRPr="00B0658A">
        <w:rPr>
          <w:sz w:val="28"/>
        </w:rPr>
        <w:t xml:space="preserve"> при установлении показателей эффективности перехода и </w:t>
      </w:r>
      <w:r w:rsidR="00387935" w:rsidRPr="00B0658A">
        <w:rPr>
          <w:sz w:val="28"/>
        </w:rPr>
        <w:t>соответствующих им значений индикаторов эффективности</w:t>
      </w:r>
      <w:r w:rsidRPr="00B0658A">
        <w:rPr>
          <w:sz w:val="28"/>
        </w:rPr>
        <w:t>, а также при дальнейшем представлении соответствующей отчетности о достижении показателей эффективности по фактическому переходу на использование российского ПО</w:t>
      </w:r>
      <w:r w:rsidR="001F05BF" w:rsidRPr="00B0658A">
        <w:rPr>
          <w:sz w:val="28"/>
        </w:rPr>
        <w:t>,</w:t>
      </w:r>
      <w:r w:rsidRPr="00B0658A">
        <w:rPr>
          <w:sz w:val="28"/>
        </w:rPr>
        <w:t xml:space="preserve"> </w:t>
      </w:r>
      <w:r w:rsidR="00EF6A0E" w:rsidRPr="00B0658A">
        <w:rPr>
          <w:sz w:val="28"/>
        </w:rPr>
        <w:t xml:space="preserve">рекомендуется применять </w:t>
      </w:r>
      <w:r w:rsidR="00362F1E" w:rsidRPr="00B0658A">
        <w:rPr>
          <w:sz w:val="28"/>
        </w:rPr>
        <w:t xml:space="preserve">подходы по установлению </w:t>
      </w:r>
      <w:r w:rsidRPr="00B0658A">
        <w:rPr>
          <w:sz w:val="28"/>
        </w:rPr>
        <w:t>единиц измерени</w:t>
      </w:r>
      <w:r w:rsidR="002A548B" w:rsidRPr="00B0658A">
        <w:rPr>
          <w:sz w:val="28"/>
        </w:rPr>
        <w:t>я</w:t>
      </w:r>
      <w:r w:rsidRPr="00B0658A">
        <w:rPr>
          <w:sz w:val="28"/>
        </w:rPr>
        <w:t xml:space="preserve"> </w:t>
      </w:r>
      <w:r w:rsidR="00EF6A0E" w:rsidRPr="00B0658A">
        <w:rPr>
          <w:sz w:val="28"/>
        </w:rPr>
        <w:t xml:space="preserve">использования ПО </w:t>
      </w:r>
      <w:r w:rsidRPr="00B0658A">
        <w:rPr>
          <w:sz w:val="28"/>
        </w:rPr>
        <w:t>в соответствии с настоящими методическими рекомендациями.</w:t>
      </w:r>
    </w:p>
    <w:p w14:paraId="08FC191E" w14:textId="77777777" w:rsidR="00DE32C4" w:rsidRPr="00B0658A" w:rsidRDefault="008C34FB" w:rsidP="00F57B1F">
      <w:pPr>
        <w:pStyle w:val="ConsPlusNormal"/>
        <w:ind w:firstLine="709"/>
        <w:jc w:val="both"/>
        <w:rPr>
          <w:sz w:val="28"/>
        </w:rPr>
      </w:pPr>
      <w:r w:rsidRPr="00B0658A">
        <w:rPr>
          <w:sz w:val="28"/>
        </w:rPr>
        <w:t>Формирование</w:t>
      </w:r>
      <w:r w:rsidR="00AB17F8" w:rsidRPr="00B0658A">
        <w:rPr>
          <w:sz w:val="28"/>
        </w:rPr>
        <w:t>, согласование, утверждение</w:t>
      </w:r>
      <w:r w:rsidRPr="00B0658A">
        <w:rPr>
          <w:sz w:val="28"/>
        </w:rPr>
        <w:t xml:space="preserve"> планов перехода государственных корпораций и компаний с государственным участием</w:t>
      </w:r>
      <w:r w:rsidR="003E40B4" w:rsidRPr="00B0658A">
        <w:rPr>
          <w:sz w:val="28"/>
        </w:rPr>
        <w:t xml:space="preserve">, включенных в специальный перечень </w:t>
      </w:r>
      <w:r w:rsidR="00592B14" w:rsidRPr="00B0658A">
        <w:rPr>
          <w:sz w:val="28"/>
        </w:rPr>
        <w:t>№ </w:t>
      </w:r>
      <w:r w:rsidR="00C25574" w:rsidRPr="00B0658A">
        <w:rPr>
          <w:sz w:val="28"/>
        </w:rPr>
        <w:t> </w:t>
      </w:r>
      <w:r w:rsidR="003E40B4" w:rsidRPr="00B0658A">
        <w:rPr>
          <w:sz w:val="28"/>
        </w:rPr>
        <w:t>91-р,</w:t>
      </w:r>
      <w:r w:rsidRPr="00B0658A">
        <w:rPr>
          <w:sz w:val="28"/>
        </w:rPr>
        <w:t xml:space="preserve"> и их дочерних и зависимых обществ на использование российского ПО</w:t>
      </w:r>
      <w:r w:rsidR="0056742F" w:rsidRPr="00B0658A">
        <w:rPr>
          <w:sz w:val="28"/>
        </w:rPr>
        <w:t>, в том числе в составе программно-аппаратных комплексов,</w:t>
      </w:r>
      <w:r w:rsidRPr="00B0658A">
        <w:rPr>
          <w:sz w:val="28"/>
        </w:rPr>
        <w:t xml:space="preserve"> на значимых объектах КИИ</w:t>
      </w:r>
      <w:r w:rsidR="00AB17F8" w:rsidRPr="00B0658A">
        <w:rPr>
          <w:sz w:val="28"/>
        </w:rPr>
        <w:t>, а также представление отчетности о реализации указанных планов</w:t>
      </w:r>
      <w:r w:rsidRPr="00B0658A">
        <w:rPr>
          <w:sz w:val="28"/>
        </w:rPr>
        <w:t xml:space="preserve"> осуществляется в соответствии с настоящими методическими рекомендациями.</w:t>
      </w:r>
    </w:p>
    <w:p w14:paraId="4A5C5263" w14:textId="77777777" w:rsidR="00EA2477" w:rsidRPr="00B0658A" w:rsidRDefault="00DE32C4" w:rsidP="00F57B1F">
      <w:pPr>
        <w:pStyle w:val="ConsPlusNormal"/>
        <w:ind w:firstLine="709"/>
        <w:jc w:val="both"/>
        <w:rPr>
          <w:sz w:val="28"/>
        </w:rPr>
      </w:pPr>
      <w:r w:rsidRPr="00B0658A">
        <w:rPr>
          <w:sz w:val="28"/>
        </w:rPr>
        <w:t>Разработка, согласование с федеральными органами исполнительной власти и утверждение планов перехода на использование российского ПО (за исключением планов перехода на использование российского ПО на значимых объектах КИИ), формируемых</w:t>
      </w:r>
      <w:r w:rsidR="00EF6A0E" w:rsidRPr="00B0658A">
        <w:rPr>
          <w:sz w:val="28"/>
        </w:rPr>
        <w:t xml:space="preserve"> государственными корпорациями и</w:t>
      </w:r>
      <w:r w:rsidRPr="00B0658A">
        <w:rPr>
          <w:sz w:val="28"/>
        </w:rPr>
        <w:t xml:space="preserve"> </w:t>
      </w:r>
      <w:r w:rsidR="00EF6A0E" w:rsidRPr="00B0658A">
        <w:rPr>
          <w:sz w:val="28"/>
        </w:rPr>
        <w:t>компаниями с государственным участием</w:t>
      </w:r>
      <w:r w:rsidR="008C34FB" w:rsidRPr="00B0658A">
        <w:rPr>
          <w:sz w:val="28"/>
        </w:rPr>
        <w:t xml:space="preserve">, в отношении которых приняты решения о разработке стратегии (программы) цифровой трансформации (протокол заочного голосования членов президиума Правительственной комиссии по цифровому развитию, использованию информационных технологий для улучшения качества жизни и условий ведения предпринимательской деятельности от 31 августа 2022 г. </w:t>
      </w:r>
      <w:r w:rsidR="00592B14" w:rsidRPr="00B0658A">
        <w:rPr>
          <w:sz w:val="28"/>
        </w:rPr>
        <w:t>№ </w:t>
      </w:r>
      <w:r w:rsidR="00007663" w:rsidRPr="00B0658A">
        <w:rPr>
          <w:sz w:val="28"/>
        </w:rPr>
        <w:t> </w:t>
      </w:r>
      <w:r w:rsidR="008C34FB" w:rsidRPr="00B0658A">
        <w:rPr>
          <w:sz w:val="28"/>
        </w:rPr>
        <w:t>34), и их дочерними и зависимыми обществами, осуществляется в рамках стратегий (программ) цифровой трансформации</w:t>
      </w:r>
      <w:r w:rsidR="000D27AA" w:rsidRPr="00B0658A">
        <w:rPr>
          <w:sz w:val="28"/>
        </w:rPr>
        <w:t>, разрабатываемых</w:t>
      </w:r>
      <w:r w:rsidR="008C34FB" w:rsidRPr="00B0658A">
        <w:rPr>
          <w:sz w:val="28"/>
        </w:rPr>
        <w:t xml:space="preserve"> в соответствии с Методическими рекомендациями по цифровой трансформации, а также в соответствии с настоящими методическими</w:t>
      </w:r>
      <w:r w:rsidR="0021413E" w:rsidRPr="00B0658A">
        <w:rPr>
          <w:sz w:val="28"/>
        </w:rPr>
        <w:t xml:space="preserve"> рекомендациями</w:t>
      </w:r>
      <w:r w:rsidR="008C34FB" w:rsidRPr="00B0658A">
        <w:rPr>
          <w:sz w:val="28"/>
        </w:rPr>
        <w:t>.</w:t>
      </w:r>
    </w:p>
    <w:p w14:paraId="52D18C89" w14:textId="77777777" w:rsidR="008C34FB" w:rsidRPr="00B0658A" w:rsidRDefault="00EA2477" w:rsidP="00F57B1F">
      <w:pPr>
        <w:pStyle w:val="ConsPlusNormal"/>
        <w:ind w:firstLine="709"/>
        <w:jc w:val="both"/>
        <w:rPr>
          <w:sz w:val="28"/>
        </w:rPr>
      </w:pPr>
      <w:r w:rsidRPr="00B0658A">
        <w:rPr>
          <w:sz w:val="28"/>
        </w:rPr>
        <w:t xml:space="preserve">Предоставление отчетности о реализации планов перехода на использование российского ПО, в том числе отчетности о достижении показателей эффективности (за исключением планов перехода на использование российского ПО на значимых объектах КИИ), государственными корпорациями и компаниями с государственным </w:t>
      </w:r>
      <w:r w:rsidRPr="00B0658A">
        <w:rPr>
          <w:sz w:val="28"/>
        </w:rPr>
        <w:lastRenderedPageBreak/>
        <w:t>участием, в отношении которых приняты решения о разработке стратегии (программы) цифровой трансформации (протокол заочного голосования членов президиума Правительственной комиссии по цифровому развитию, использованию информационных технологий для улучшения качества жизни и условий ведения предпринимательской деятельности от 31 августа 2022 г. №  34), и их дочерними и зависимыми обществами, осуществляется в соответствии с Методическими рекомендациями по цифровой трансформации.</w:t>
      </w:r>
    </w:p>
    <w:p w14:paraId="4C09452D" w14:textId="77777777" w:rsidR="00DE32C4" w:rsidRPr="00B0658A" w:rsidRDefault="000D27AA" w:rsidP="00F57B1F">
      <w:pPr>
        <w:pStyle w:val="ConsPlusNormal"/>
        <w:ind w:firstLine="709"/>
        <w:jc w:val="both"/>
        <w:rPr>
          <w:sz w:val="28"/>
        </w:rPr>
      </w:pPr>
      <w:r w:rsidRPr="00B0658A">
        <w:rPr>
          <w:sz w:val="28"/>
        </w:rPr>
        <w:t xml:space="preserve">Формирование планов перехода государственных корпораций и компаний с государственным участием, в отношении которых приняты решения о разработке стратегии (программы) цифровой трансформации (протокол заочного голосования членов президиума Правительственной комиссии по цифровому развитию, использованию информационных технологий для улучшения качества жизни и условий ведения предпринимательской деятельности от 31 августа 2022 г. </w:t>
      </w:r>
      <w:r w:rsidR="00592B14" w:rsidRPr="00B0658A">
        <w:rPr>
          <w:sz w:val="28"/>
        </w:rPr>
        <w:t>№ </w:t>
      </w:r>
      <w:r w:rsidR="0021413E" w:rsidRPr="00B0658A">
        <w:rPr>
          <w:sz w:val="28"/>
        </w:rPr>
        <w:t> </w:t>
      </w:r>
      <w:r w:rsidRPr="00B0658A">
        <w:rPr>
          <w:sz w:val="28"/>
        </w:rPr>
        <w:t xml:space="preserve">34), и их дочерних и зависимых обществ на использование российского ПО на значимых объектах КИИ, </w:t>
      </w:r>
      <w:r w:rsidR="001A4F2A" w:rsidRPr="00B0658A">
        <w:rPr>
          <w:sz w:val="28"/>
        </w:rPr>
        <w:t xml:space="preserve">представление отчетности о реализации планов перехода на использование российского ПО на значимых объектах КИИ, </w:t>
      </w:r>
      <w:r w:rsidRPr="00B0658A">
        <w:rPr>
          <w:sz w:val="28"/>
        </w:rPr>
        <w:t xml:space="preserve">установление указанными корпорациями и компаниями показателей эффективности перехода на использование российского ПО и </w:t>
      </w:r>
      <w:r w:rsidR="00387935" w:rsidRPr="00B0658A">
        <w:rPr>
          <w:sz w:val="28"/>
        </w:rPr>
        <w:t xml:space="preserve">соответствующих им значений индикаторов эффективности </w:t>
      </w:r>
      <w:r w:rsidRPr="00B0658A">
        <w:rPr>
          <w:sz w:val="28"/>
        </w:rPr>
        <w:t>в отношении каждого класса (типа) ПО осуществляется в соответствии с настоящими методическими рекомендациями.</w:t>
      </w:r>
    </w:p>
    <w:bookmarkEnd w:id="4"/>
    <w:p w14:paraId="1AAFAE49" w14:textId="77777777" w:rsidR="00AB654B" w:rsidRPr="00B0658A" w:rsidRDefault="00AB654B" w:rsidP="00F57B1F">
      <w:pPr>
        <w:pStyle w:val="ConsPlusNormal"/>
        <w:ind w:firstLine="709"/>
        <w:jc w:val="both"/>
        <w:rPr>
          <w:sz w:val="28"/>
        </w:rPr>
      </w:pPr>
      <w:r w:rsidRPr="00B0658A">
        <w:rPr>
          <w:sz w:val="28"/>
        </w:rPr>
        <w:t xml:space="preserve">6. Разработка, согласование и утверждение Планов перехода органов государственной власти и организаций на использование российского ПО на значимых объектах КИИ, а также разработка, согласование и утверждение Планов органов государственной власти и государственных внебюджетных фондов, направленных на обеспечение перевода государственных и ведомственных информационных систем на использование российского ПО, осуществляется в соответствии с настоящими </w:t>
      </w:r>
      <w:r w:rsidR="004C4E37" w:rsidRPr="00B0658A">
        <w:rPr>
          <w:sz w:val="28"/>
        </w:rPr>
        <w:t>м</w:t>
      </w:r>
      <w:r w:rsidRPr="00B0658A">
        <w:rPr>
          <w:sz w:val="28"/>
        </w:rPr>
        <w:t>етодическими рекомендациями с учетом требований законодательства Российской Федерации в сфере обеспечения безопасности критической информационной инфраструктуры Российской Федерации, законодательства в сфере создания, развития и обеспечения функционирования государственных информационных систем.</w:t>
      </w:r>
    </w:p>
    <w:p w14:paraId="60BDDF50" w14:textId="77777777" w:rsidR="000602BC" w:rsidRPr="00B0658A" w:rsidRDefault="000602BC" w:rsidP="00F57B1F">
      <w:pPr>
        <w:pStyle w:val="ConsPlusNormal"/>
        <w:ind w:firstLine="709"/>
        <w:jc w:val="both"/>
        <w:rPr>
          <w:sz w:val="28"/>
        </w:rPr>
      </w:pPr>
      <w:r w:rsidRPr="00B0658A">
        <w:rPr>
          <w:sz w:val="28"/>
        </w:rPr>
        <w:t>7.</w:t>
      </w:r>
      <w:r w:rsidRPr="00B0658A">
        <w:rPr>
          <w:sz w:val="28"/>
          <w:lang w:val="en-US"/>
        </w:rPr>
        <w:t> </w:t>
      </w:r>
      <w:r w:rsidRPr="00B0658A">
        <w:rPr>
          <w:sz w:val="28"/>
        </w:rPr>
        <w:t>План</w:t>
      </w:r>
      <w:r w:rsidR="00282CC3" w:rsidRPr="00B0658A">
        <w:rPr>
          <w:sz w:val="28"/>
        </w:rPr>
        <w:t>ы</w:t>
      </w:r>
      <w:r w:rsidRPr="00B0658A">
        <w:rPr>
          <w:sz w:val="28"/>
        </w:rPr>
        <w:t xml:space="preserve"> перехода на </w:t>
      </w:r>
      <w:r w:rsidR="0085147A" w:rsidRPr="00B0658A">
        <w:rPr>
          <w:sz w:val="28"/>
        </w:rPr>
        <w:t xml:space="preserve">преимущественное </w:t>
      </w:r>
      <w:r w:rsidRPr="00B0658A">
        <w:rPr>
          <w:sz w:val="28"/>
        </w:rPr>
        <w:t xml:space="preserve">использование российского ПО на значимых объектах КИИ </w:t>
      </w:r>
      <w:r w:rsidR="00BC6E5D" w:rsidRPr="00B0658A">
        <w:rPr>
          <w:sz w:val="28"/>
        </w:rPr>
        <w:t xml:space="preserve">рекомендуется </w:t>
      </w:r>
      <w:r w:rsidRPr="00B0658A">
        <w:rPr>
          <w:sz w:val="28"/>
        </w:rPr>
        <w:t>формир</w:t>
      </w:r>
      <w:r w:rsidR="00BC6E5D" w:rsidRPr="00B0658A">
        <w:rPr>
          <w:sz w:val="28"/>
        </w:rPr>
        <w:t>овать</w:t>
      </w:r>
      <w:r w:rsidRPr="00B0658A">
        <w:rPr>
          <w:sz w:val="28"/>
        </w:rPr>
        <w:t xml:space="preserve"> на период до 2024 года включительно исходя из требований, </w:t>
      </w:r>
      <w:r w:rsidR="004C4E37" w:rsidRPr="00B0658A">
        <w:rPr>
          <w:sz w:val="28"/>
        </w:rPr>
        <w:t xml:space="preserve">в том числе </w:t>
      </w:r>
      <w:r w:rsidRPr="00B0658A">
        <w:rPr>
          <w:sz w:val="28"/>
        </w:rPr>
        <w:t xml:space="preserve">установленных в указе Президента Российской Федерации от 30 марта 2022 года </w:t>
      </w:r>
      <w:r w:rsidR="00592B14" w:rsidRPr="00B0658A">
        <w:rPr>
          <w:sz w:val="28"/>
        </w:rPr>
        <w:t>№ </w:t>
      </w:r>
      <w:r w:rsidR="0021413E" w:rsidRPr="00B0658A">
        <w:rPr>
          <w:sz w:val="28"/>
        </w:rPr>
        <w:t> </w:t>
      </w:r>
      <w:r w:rsidRPr="00B0658A">
        <w:rPr>
          <w:sz w:val="28"/>
        </w:rPr>
        <w:t>166 «О мерах по обеспечению технологической независимости и безопасности критической информационной инфраструктуры Российской Федерации».</w:t>
      </w:r>
    </w:p>
    <w:p w14:paraId="6F2CF420" w14:textId="44D5DD35" w:rsidR="000602BC" w:rsidRPr="00B0658A" w:rsidRDefault="000602BC" w:rsidP="00F57B1F">
      <w:pPr>
        <w:pStyle w:val="ConsPlusNormal"/>
        <w:ind w:firstLine="709"/>
        <w:jc w:val="both"/>
        <w:rPr>
          <w:sz w:val="28"/>
        </w:rPr>
      </w:pPr>
      <w:r w:rsidRPr="00B0658A">
        <w:rPr>
          <w:sz w:val="28"/>
        </w:rPr>
        <w:t>8. План</w:t>
      </w:r>
      <w:r w:rsidR="00282CC3" w:rsidRPr="00B0658A">
        <w:rPr>
          <w:sz w:val="28"/>
        </w:rPr>
        <w:t>ы</w:t>
      </w:r>
      <w:r w:rsidRPr="00B0658A">
        <w:rPr>
          <w:sz w:val="28"/>
        </w:rPr>
        <w:t xml:space="preserve"> перехода органов государственной власти </w:t>
      </w:r>
      <w:r w:rsidR="00500CFF" w:rsidRPr="00B0658A">
        <w:rPr>
          <w:sz w:val="28"/>
        </w:rPr>
        <w:t>и государственных внебюджетных фондов</w:t>
      </w:r>
      <w:r w:rsidR="00BC6E5D" w:rsidRPr="00B0658A">
        <w:rPr>
          <w:sz w:val="28"/>
        </w:rPr>
        <w:t xml:space="preserve"> рекомендуется</w:t>
      </w:r>
      <w:r w:rsidR="00500CFF" w:rsidRPr="00B0658A">
        <w:rPr>
          <w:sz w:val="28"/>
        </w:rPr>
        <w:t xml:space="preserve"> формир</w:t>
      </w:r>
      <w:r w:rsidR="00BC6E5D" w:rsidRPr="00B0658A">
        <w:rPr>
          <w:sz w:val="28"/>
        </w:rPr>
        <w:t>овать</w:t>
      </w:r>
      <w:r w:rsidR="00500CFF" w:rsidRPr="00B0658A">
        <w:rPr>
          <w:sz w:val="28"/>
        </w:rPr>
        <w:t xml:space="preserve"> на период до 2030 года включительно, планы иных организаций, указанных в настоящих методических организациях, </w:t>
      </w:r>
      <w:r w:rsidRPr="00B0658A">
        <w:rPr>
          <w:sz w:val="28"/>
        </w:rPr>
        <w:t xml:space="preserve">на использование российского ПО </w:t>
      </w:r>
      <w:r w:rsidR="00BC6E5D" w:rsidRPr="00B0658A">
        <w:rPr>
          <w:sz w:val="28"/>
        </w:rPr>
        <w:t xml:space="preserve">рекомендуется </w:t>
      </w:r>
      <w:r w:rsidRPr="00B0658A">
        <w:rPr>
          <w:sz w:val="28"/>
        </w:rPr>
        <w:t>формир</w:t>
      </w:r>
      <w:r w:rsidR="00BC6E5D" w:rsidRPr="00B0658A">
        <w:rPr>
          <w:sz w:val="28"/>
        </w:rPr>
        <w:t>овать</w:t>
      </w:r>
      <w:r w:rsidRPr="00B0658A">
        <w:rPr>
          <w:sz w:val="28"/>
        </w:rPr>
        <w:t xml:space="preserve"> на период до 2027 года включительно</w:t>
      </w:r>
      <w:r w:rsidR="001D3F6C" w:rsidRPr="00B0658A">
        <w:rPr>
          <w:sz w:val="28"/>
        </w:rPr>
        <w:t xml:space="preserve"> с учетом требований, установленных </w:t>
      </w:r>
      <w:r w:rsidR="00AD4F7C" w:rsidRPr="00B0658A">
        <w:rPr>
          <w:sz w:val="28"/>
        </w:rPr>
        <w:t>в указе Президента Российской Федерации от 30 марта 2022 г</w:t>
      </w:r>
      <w:r w:rsidR="00566386">
        <w:rPr>
          <w:sz w:val="28"/>
        </w:rPr>
        <w:t>.</w:t>
      </w:r>
      <w:r w:rsidR="00AD4F7C" w:rsidRPr="00B0658A">
        <w:rPr>
          <w:sz w:val="28"/>
        </w:rPr>
        <w:t xml:space="preserve"> </w:t>
      </w:r>
      <w:r w:rsidR="00592B14" w:rsidRPr="00B0658A">
        <w:rPr>
          <w:sz w:val="28"/>
        </w:rPr>
        <w:t>№ </w:t>
      </w:r>
      <w:r w:rsidR="0021413E" w:rsidRPr="00B0658A">
        <w:rPr>
          <w:sz w:val="28"/>
        </w:rPr>
        <w:t> </w:t>
      </w:r>
      <w:r w:rsidR="00AD4F7C" w:rsidRPr="00B0658A">
        <w:rPr>
          <w:sz w:val="28"/>
        </w:rPr>
        <w:t xml:space="preserve">166 «О мерах по обеспечению технологической независимости и безопасности критической информационной инфраструктуры Российской Федерации», </w:t>
      </w:r>
      <w:r w:rsidR="001D3F6C" w:rsidRPr="00B0658A">
        <w:rPr>
          <w:sz w:val="28"/>
        </w:rPr>
        <w:t xml:space="preserve">указе Президента </w:t>
      </w:r>
      <w:r w:rsidR="001D3F6C" w:rsidRPr="00B0658A">
        <w:rPr>
          <w:sz w:val="28"/>
        </w:rPr>
        <w:lastRenderedPageBreak/>
        <w:t xml:space="preserve">Российской Федерации от 1 мая 2022 года </w:t>
      </w:r>
      <w:r w:rsidR="00592B14" w:rsidRPr="00B0658A">
        <w:rPr>
          <w:sz w:val="28"/>
        </w:rPr>
        <w:t>№ </w:t>
      </w:r>
      <w:r w:rsidR="0021413E" w:rsidRPr="00B0658A">
        <w:rPr>
          <w:sz w:val="28"/>
        </w:rPr>
        <w:t> </w:t>
      </w:r>
      <w:r w:rsidR="001D3F6C" w:rsidRPr="00B0658A">
        <w:rPr>
          <w:sz w:val="28"/>
        </w:rPr>
        <w:t>250 «О дополнительных мерах по обеспечению информационной безопасности Российской Федерации»</w:t>
      </w:r>
      <w:r w:rsidR="00282CC3" w:rsidRPr="00B0658A">
        <w:rPr>
          <w:sz w:val="28"/>
        </w:rPr>
        <w:t xml:space="preserve">, в том числе планы государственных корпораций и компаний с государственным участием, сведения о которых включены в </w:t>
      </w:r>
      <w:r w:rsidR="00375789" w:rsidRPr="00B0658A">
        <w:rPr>
          <w:sz w:val="28"/>
        </w:rPr>
        <w:t xml:space="preserve">специальный перечень </w:t>
      </w:r>
      <w:r w:rsidR="00592B14" w:rsidRPr="00B0658A">
        <w:rPr>
          <w:sz w:val="28"/>
        </w:rPr>
        <w:t>№ </w:t>
      </w:r>
      <w:r w:rsidR="0021413E" w:rsidRPr="00B0658A">
        <w:rPr>
          <w:sz w:val="28"/>
        </w:rPr>
        <w:t> </w:t>
      </w:r>
      <w:r w:rsidR="00375789" w:rsidRPr="00B0658A">
        <w:rPr>
          <w:sz w:val="28"/>
        </w:rPr>
        <w:t xml:space="preserve">91-р, и их дочерних и зависимых обществ </w:t>
      </w:r>
      <w:r w:rsidR="000A3FBE" w:rsidRPr="00B0658A">
        <w:rPr>
          <w:sz w:val="28"/>
        </w:rPr>
        <w:t xml:space="preserve">– </w:t>
      </w:r>
      <w:r w:rsidR="00375789" w:rsidRPr="00B0658A">
        <w:rPr>
          <w:sz w:val="28"/>
        </w:rPr>
        <w:t>на период до 2024 года включительно</w:t>
      </w:r>
      <w:r w:rsidR="00282CC3" w:rsidRPr="00B0658A">
        <w:rPr>
          <w:sz w:val="28"/>
        </w:rPr>
        <w:t>.</w:t>
      </w:r>
    </w:p>
    <w:p w14:paraId="2A9E5754" w14:textId="77777777" w:rsidR="000602BC" w:rsidRPr="00B0658A" w:rsidRDefault="00C42BCA" w:rsidP="00F57B1F">
      <w:pPr>
        <w:pStyle w:val="ConsPlusNormal"/>
        <w:ind w:firstLine="709"/>
        <w:jc w:val="both"/>
        <w:rPr>
          <w:sz w:val="28"/>
        </w:rPr>
      </w:pPr>
      <w:r w:rsidRPr="00B0658A">
        <w:rPr>
          <w:sz w:val="28"/>
        </w:rPr>
        <w:t>9</w:t>
      </w:r>
      <w:r w:rsidR="000602BC" w:rsidRPr="00B0658A">
        <w:rPr>
          <w:sz w:val="28"/>
        </w:rPr>
        <w:t>. </w:t>
      </w:r>
      <w:r w:rsidR="00282CC3" w:rsidRPr="00B0658A">
        <w:rPr>
          <w:sz w:val="28"/>
        </w:rPr>
        <w:t>Планы органов государственной власти и государственных внебюджетных фондов, направленны</w:t>
      </w:r>
      <w:r w:rsidR="00AD4F7C" w:rsidRPr="00B0658A">
        <w:rPr>
          <w:sz w:val="28"/>
        </w:rPr>
        <w:t>е</w:t>
      </w:r>
      <w:r w:rsidR="00282CC3" w:rsidRPr="00B0658A">
        <w:rPr>
          <w:sz w:val="28"/>
        </w:rPr>
        <w:t xml:space="preserve"> на обеспечение перевода государственных и ведомственных информационных систем на использование российского ПО</w:t>
      </w:r>
      <w:r w:rsidR="00BC6E5D" w:rsidRPr="00B0658A">
        <w:rPr>
          <w:sz w:val="28"/>
        </w:rPr>
        <w:t>, рекомендуется</w:t>
      </w:r>
      <w:r w:rsidR="00282CC3" w:rsidRPr="00B0658A">
        <w:rPr>
          <w:sz w:val="28"/>
        </w:rPr>
        <w:t xml:space="preserve"> формир</w:t>
      </w:r>
      <w:r w:rsidR="00BC6E5D" w:rsidRPr="00B0658A">
        <w:rPr>
          <w:sz w:val="28"/>
        </w:rPr>
        <w:t>овать</w:t>
      </w:r>
      <w:r w:rsidR="00282CC3" w:rsidRPr="00B0658A">
        <w:rPr>
          <w:sz w:val="28"/>
        </w:rPr>
        <w:t xml:space="preserve"> на период до 2030 года исходя из следующих условий:</w:t>
      </w:r>
    </w:p>
    <w:p w14:paraId="1788F3FB" w14:textId="77777777" w:rsidR="00282CC3" w:rsidRPr="00B0658A" w:rsidRDefault="00282CC3" w:rsidP="00F57B1F">
      <w:pPr>
        <w:pStyle w:val="ConsPlusNormal"/>
        <w:ind w:firstLine="709"/>
        <w:jc w:val="both"/>
        <w:rPr>
          <w:sz w:val="28"/>
        </w:rPr>
      </w:pPr>
      <w:r w:rsidRPr="00B0658A">
        <w:rPr>
          <w:sz w:val="28"/>
        </w:rPr>
        <w:t>срок завершения перевода государственных и ведомственных информационных систем, являющихся значимыми объектами КИИ, – 2024 год;</w:t>
      </w:r>
    </w:p>
    <w:p w14:paraId="7C049C14" w14:textId="77777777" w:rsidR="00282CC3" w:rsidRPr="00B0658A" w:rsidRDefault="00282CC3" w:rsidP="00F57B1F">
      <w:pPr>
        <w:pStyle w:val="ConsPlusNormal"/>
        <w:ind w:firstLine="709"/>
        <w:jc w:val="both"/>
        <w:rPr>
          <w:sz w:val="28"/>
        </w:rPr>
      </w:pPr>
      <w:r w:rsidRPr="00B0658A">
        <w:rPr>
          <w:sz w:val="28"/>
        </w:rPr>
        <w:t xml:space="preserve">срок завершения перевода государственных и ведомственных информационных систем, не являющихся значимыми объектами КИИ, но </w:t>
      </w:r>
      <w:r w:rsidR="0021413E" w:rsidRPr="00B0658A">
        <w:rPr>
          <w:sz w:val="28"/>
        </w:rPr>
        <w:t xml:space="preserve">обеспечивающих </w:t>
      </w:r>
      <w:r w:rsidRPr="00B0658A">
        <w:rPr>
          <w:sz w:val="28"/>
        </w:rPr>
        <w:t xml:space="preserve">реализацию критически значимых функций и полномочий органов государственной власти и государственных внебюджетных фондов Российской Федерации, а также обеспечивающих оказание государственных </w:t>
      </w:r>
      <w:r w:rsidR="00BC6E5D" w:rsidRPr="00B0658A">
        <w:rPr>
          <w:sz w:val="28"/>
        </w:rPr>
        <w:t xml:space="preserve">и муниципальных </w:t>
      </w:r>
      <w:r w:rsidRPr="00B0658A">
        <w:rPr>
          <w:sz w:val="28"/>
        </w:rPr>
        <w:t>услуг, в том числе в электронном виде, на использование российского ПО – 2027 год;</w:t>
      </w:r>
    </w:p>
    <w:p w14:paraId="57E4986F" w14:textId="77777777" w:rsidR="00282CC3" w:rsidRPr="00B0658A" w:rsidRDefault="00282CC3" w:rsidP="00F57B1F">
      <w:pPr>
        <w:pStyle w:val="ConsPlusNormal"/>
        <w:ind w:firstLine="709"/>
        <w:jc w:val="both"/>
        <w:rPr>
          <w:sz w:val="28"/>
        </w:rPr>
      </w:pPr>
      <w:r w:rsidRPr="00B0658A">
        <w:rPr>
          <w:sz w:val="28"/>
        </w:rPr>
        <w:t>срок завершения перевода иных государственных и ведомственных информационных систем на использование российского ПО – 2030 год.</w:t>
      </w:r>
    </w:p>
    <w:p w14:paraId="77B8CD30" w14:textId="043AA37A" w:rsidR="00CA6D2D" w:rsidRDefault="001D3F6C" w:rsidP="00F57B1F">
      <w:pPr>
        <w:pStyle w:val="ConsPlusNormal"/>
        <w:ind w:firstLine="709"/>
        <w:jc w:val="both"/>
        <w:rPr>
          <w:sz w:val="28"/>
        </w:rPr>
      </w:pPr>
      <w:r w:rsidRPr="00B0658A">
        <w:rPr>
          <w:sz w:val="28"/>
        </w:rPr>
        <w:t>10. </w:t>
      </w:r>
      <w:r w:rsidR="00CA6D2D" w:rsidRPr="00B0658A">
        <w:rPr>
          <w:sz w:val="28"/>
        </w:rPr>
        <w:t xml:space="preserve">На принадлежащих </w:t>
      </w:r>
      <w:r w:rsidRPr="00B0658A">
        <w:rPr>
          <w:sz w:val="28"/>
        </w:rPr>
        <w:t>органам государственной власти и организациям</w:t>
      </w:r>
      <w:r w:rsidR="00CA6D2D" w:rsidRPr="00B0658A">
        <w:rPr>
          <w:sz w:val="28"/>
        </w:rPr>
        <w:t xml:space="preserve"> значимых объектах КИИ может использоваться ПО, соответствующее требованиям к </w:t>
      </w:r>
      <w:r w:rsidR="00AD4F7C" w:rsidRPr="00B0658A">
        <w:rPr>
          <w:sz w:val="28"/>
        </w:rPr>
        <w:t>ПО</w:t>
      </w:r>
      <w:r w:rsidR="00CA6D2D" w:rsidRPr="00B0658A">
        <w:rPr>
          <w:sz w:val="28"/>
        </w:rPr>
        <w:t xml:space="preserve">, в том числе в составе программно-аппаратных комплексов, </w:t>
      </w:r>
      <w:r w:rsidR="00AD4F7C" w:rsidRPr="00B0658A">
        <w:rPr>
          <w:sz w:val="28"/>
        </w:rPr>
        <w:t xml:space="preserve">установленных </w:t>
      </w:r>
      <w:r w:rsidR="00461DCA" w:rsidRPr="00B0658A">
        <w:rPr>
          <w:sz w:val="28"/>
        </w:rPr>
        <w:t xml:space="preserve">в </w:t>
      </w:r>
      <w:r w:rsidR="00CA6D2D" w:rsidRPr="00B0658A">
        <w:rPr>
          <w:sz w:val="28"/>
        </w:rPr>
        <w:t>постановлени</w:t>
      </w:r>
      <w:r w:rsidR="00461DCA" w:rsidRPr="00B0658A">
        <w:rPr>
          <w:sz w:val="28"/>
        </w:rPr>
        <w:t>и</w:t>
      </w:r>
      <w:r w:rsidR="00CA6D2D" w:rsidRPr="00B0658A">
        <w:rPr>
          <w:sz w:val="28"/>
        </w:rPr>
        <w:t xml:space="preserve"> Правительства Российской Федерации от 22 августа 2022 г. </w:t>
      </w:r>
      <w:r w:rsidR="00592B14" w:rsidRPr="00B0658A">
        <w:rPr>
          <w:sz w:val="28"/>
        </w:rPr>
        <w:t>№</w:t>
      </w:r>
      <w:r w:rsidR="00CA6D2D" w:rsidRPr="00B0658A">
        <w:rPr>
          <w:sz w:val="28"/>
        </w:rPr>
        <w:t>1478.</w:t>
      </w:r>
    </w:p>
    <w:p w14:paraId="07A495BD" w14:textId="77777777" w:rsidR="00257225" w:rsidRPr="00B0658A" w:rsidRDefault="00257225" w:rsidP="00F57B1F">
      <w:pPr>
        <w:pStyle w:val="ConsPlusNormal"/>
        <w:ind w:firstLine="709"/>
        <w:jc w:val="both"/>
        <w:rPr>
          <w:sz w:val="28"/>
        </w:rPr>
      </w:pPr>
      <w:r w:rsidRPr="00B0658A">
        <w:rPr>
          <w:sz w:val="28"/>
        </w:rPr>
        <w:t>11. В соответствии с законодательством Российской Федерации</w:t>
      </w:r>
      <w:r w:rsidRPr="00B0658A">
        <w:rPr>
          <w:rStyle w:val="aff2"/>
          <w:sz w:val="28"/>
        </w:rPr>
        <w:footnoteReference w:id="1"/>
      </w:r>
      <w:r w:rsidRPr="00B0658A">
        <w:rPr>
          <w:sz w:val="28"/>
        </w:rPr>
        <w:t xml:space="preserve"> под </w:t>
      </w:r>
      <w:r w:rsidR="008800B3" w:rsidRPr="00B0658A">
        <w:rPr>
          <w:sz w:val="28"/>
        </w:rPr>
        <w:t>ПО</w:t>
      </w:r>
      <w:r w:rsidRPr="00B0658A">
        <w:rPr>
          <w:sz w:val="28"/>
        </w:rPr>
        <w:t xml:space="preserve">, происходящим из Российской Федерации, (далее – </w:t>
      </w:r>
      <w:r w:rsidR="008800B3" w:rsidRPr="00B0658A">
        <w:rPr>
          <w:sz w:val="28"/>
        </w:rPr>
        <w:t>российское</w:t>
      </w:r>
      <w:r w:rsidRPr="00B0658A">
        <w:rPr>
          <w:sz w:val="28"/>
        </w:rPr>
        <w:t xml:space="preserve"> </w:t>
      </w:r>
      <w:r w:rsidR="008800B3" w:rsidRPr="00B0658A">
        <w:rPr>
          <w:sz w:val="28"/>
        </w:rPr>
        <w:t>ПО</w:t>
      </w:r>
      <w:r w:rsidRPr="00B0658A">
        <w:rPr>
          <w:sz w:val="28"/>
        </w:rPr>
        <w:t xml:space="preserve">) понимаются программы для электронных вычислительных машин или базы данных, сведения о которых включены в единый реестр российских программ для электронных вычислительных машин и баз данных (далее – реестр российского </w:t>
      </w:r>
      <w:r w:rsidR="008800B3" w:rsidRPr="00B0658A">
        <w:rPr>
          <w:sz w:val="28"/>
        </w:rPr>
        <w:t>ПО</w:t>
      </w:r>
      <w:r w:rsidRPr="00B0658A">
        <w:rPr>
          <w:sz w:val="28"/>
        </w:rPr>
        <w:t>).</w:t>
      </w:r>
    </w:p>
    <w:p w14:paraId="50112B55" w14:textId="77777777" w:rsidR="00257225" w:rsidRPr="00B0658A" w:rsidRDefault="00257225" w:rsidP="00F57B1F">
      <w:pPr>
        <w:pStyle w:val="ConsPlusNormal"/>
        <w:ind w:firstLine="709"/>
        <w:jc w:val="both"/>
        <w:rPr>
          <w:sz w:val="28"/>
        </w:rPr>
      </w:pPr>
      <w:r w:rsidRPr="00B0658A">
        <w:rPr>
          <w:sz w:val="28"/>
        </w:rPr>
        <w:t>12. В соответствии с законодательством Российской Федерации</w:t>
      </w:r>
      <w:r w:rsidRPr="00B0658A">
        <w:rPr>
          <w:rStyle w:val="aff2"/>
          <w:sz w:val="28"/>
        </w:rPr>
        <w:footnoteReference w:id="2"/>
      </w:r>
      <w:r w:rsidRPr="00B0658A">
        <w:rPr>
          <w:sz w:val="28"/>
        </w:rPr>
        <w:t xml:space="preserve"> под </w:t>
      </w:r>
      <w:r w:rsidR="008800B3" w:rsidRPr="00B0658A">
        <w:rPr>
          <w:sz w:val="28"/>
        </w:rPr>
        <w:t>ПО</w:t>
      </w:r>
      <w:r w:rsidRPr="00B0658A">
        <w:rPr>
          <w:sz w:val="28"/>
        </w:rPr>
        <w:t xml:space="preserve">, происходящим из государств – членов Евразийского экономического союза, за исключением Российской Федерации, (далее – евразийское </w:t>
      </w:r>
      <w:r w:rsidR="008800B3" w:rsidRPr="00B0658A">
        <w:rPr>
          <w:sz w:val="28"/>
        </w:rPr>
        <w:t>ПО</w:t>
      </w:r>
      <w:r w:rsidRPr="00B0658A">
        <w:rPr>
          <w:sz w:val="28"/>
        </w:rPr>
        <w:t xml:space="preserve">) понимаются программы для электронных вычислительных машин и базы данных, сведения о которых включены в единый реестр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(далее – единый реестр евразийского </w:t>
      </w:r>
      <w:r w:rsidR="008800B3" w:rsidRPr="00B0658A">
        <w:rPr>
          <w:sz w:val="28"/>
        </w:rPr>
        <w:t>ПО</w:t>
      </w:r>
      <w:r w:rsidRPr="00B0658A">
        <w:rPr>
          <w:sz w:val="28"/>
        </w:rPr>
        <w:t>).</w:t>
      </w:r>
    </w:p>
    <w:p w14:paraId="3DB83425" w14:textId="77777777" w:rsidR="00754276" w:rsidRPr="00B0658A" w:rsidRDefault="00754276" w:rsidP="00F57B1F">
      <w:pPr>
        <w:pStyle w:val="ConsPlusNormal"/>
        <w:ind w:firstLine="709"/>
        <w:jc w:val="both"/>
        <w:rPr>
          <w:sz w:val="28"/>
        </w:rPr>
      </w:pPr>
      <w:r w:rsidRPr="00B0658A">
        <w:rPr>
          <w:sz w:val="28"/>
        </w:rPr>
        <w:t xml:space="preserve">13. Переход </w:t>
      </w:r>
      <w:r w:rsidR="00513311" w:rsidRPr="00B0658A">
        <w:rPr>
          <w:sz w:val="28"/>
        </w:rPr>
        <w:t xml:space="preserve">органов государственной власти и организаций </w:t>
      </w:r>
      <w:r w:rsidRPr="00B0658A">
        <w:rPr>
          <w:sz w:val="28"/>
        </w:rPr>
        <w:t xml:space="preserve">на использование </w:t>
      </w:r>
      <w:r w:rsidR="008800B3" w:rsidRPr="00B0658A">
        <w:rPr>
          <w:sz w:val="28"/>
        </w:rPr>
        <w:lastRenderedPageBreak/>
        <w:t>российского</w:t>
      </w:r>
      <w:r w:rsidRPr="00B0658A">
        <w:rPr>
          <w:sz w:val="28"/>
        </w:rPr>
        <w:t xml:space="preserve"> ПО рекомендуется осуществлять в отношении:</w:t>
      </w:r>
    </w:p>
    <w:p w14:paraId="5EB5483B" w14:textId="77777777" w:rsidR="00754276" w:rsidRPr="00B0658A" w:rsidRDefault="00754276" w:rsidP="00F57B1F">
      <w:pPr>
        <w:pStyle w:val="ConsPlusNormal"/>
        <w:ind w:firstLine="709"/>
        <w:jc w:val="both"/>
        <w:rPr>
          <w:sz w:val="28"/>
        </w:rPr>
      </w:pPr>
      <w:r w:rsidRPr="00B0658A">
        <w:rPr>
          <w:sz w:val="28"/>
        </w:rPr>
        <w:t xml:space="preserve">а) иностранного ПО и (или) ПО, сведения о котором не включены в единый реестр российского ПО (за исключением евразийского ПО, </w:t>
      </w:r>
      <w:r w:rsidR="00513311" w:rsidRPr="00B0658A">
        <w:rPr>
          <w:sz w:val="28"/>
        </w:rPr>
        <w:t xml:space="preserve">планируемого к </w:t>
      </w:r>
      <w:r w:rsidR="006E08C2" w:rsidRPr="00B0658A">
        <w:rPr>
          <w:sz w:val="28"/>
        </w:rPr>
        <w:t>использ</w:t>
      </w:r>
      <w:r w:rsidR="00513311" w:rsidRPr="00B0658A">
        <w:rPr>
          <w:sz w:val="28"/>
        </w:rPr>
        <w:t>ованию</w:t>
      </w:r>
      <w:r w:rsidRPr="00B0658A">
        <w:rPr>
          <w:sz w:val="28"/>
        </w:rPr>
        <w:t xml:space="preserve"> на значимых объектах КИИ), ранее установленного и используемого органами государственной власти и организациями в результате приобретения права (либо продления срока действия права) на использование такого ПО независимо от вида договора и (или) соглашения на материальном носителе и (или) в электронном виде по каналам связи в соответствии с законодательством Российской Федерации, в том числе в составе автоматизированных информационных систем, и (или) ПО, сведения о котором не включены в единый реестр российского ПО (за исключением евразийского ПО, </w:t>
      </w:r>
      <w:r w:rsidR="006E08C2" w:rsidRPr="00B0658A">
        <w:rPr>
          <w:sz w:val="28"/>
        </w:rPr>
        <w:t>используемого</w:t>
      </w:r>
      <w:r w:rsidRPr="00B0658A">
        <w:rPr>
          <w:sz w:val="28"/>
        </w:rPr>
        <w:t xml:space="preserve"> на значимых объектах КИИ), предустановленного производителем ПО и (или) производителем оборудования и (или) иной организацией на персональных электронных вычислительных машинах, устройствах терминального доступа, абонентских устройствах радиоподвижной связи, иных технических средствах и программно-аппаратных комплексах, в том числе на серверном оборудовании, </w:t>
      </w:r>
      <w:r w:rsidR="004C40C9" w:rsidRPr="00B0658A">
        <w:rPr>
          <w:sz w:val="28"/>
        </w:rPr>
        <w:t xml:space="preserve">используемом </w:t>
      </w:r>
      <w:r w:rsidRPr="00B0658A">
        <w:rPr>
          <w:sz w:val="28"/>
        </w:rPr>
        <w:t xml:space="preserve">органами государственной власти и организациями, и (или) ПО, сведения о котором не включены в единый реестр российского ПО (за исключением евразийского ПО, </w:t>
      </w:r>
      <w:r w:rsidR="006E08C2" w:rsidRPr="00B0658A">
        <w:rPr>
          <w:sz w:val="28"/>
        </w:rPr>
        <w:t>используемого</w:t>
      </w:r>
      <w:r w:rsidRPr="00B0658A">
        <w:rPr>
          <w:sz w:val="28"/>
        </w:rPr>
        <w:t xml:space="preserve"> на значимых объектах КИИ), используемого органами государственной власти и организациями в результате закупки товаров, работ, услуг, предусматривающих предоставление пользователям </w:t>
      </w:r>
      <w:r w:rsidR="006E08C2" w:rsidRPr="00B0658A">
        <w:rPr>
          <w:sz w:val="28"/>
        </w:rPr>
        <w:t>ПО</w:t>
      </w:r>
      <w:r w:rsidRPr="00B0658A">
        <w:rPr>
          <w:sz w:val="28"/>
        </w:rPr>
        <w:t xml:space="preserve"> посредством использования каналов связи и внешней информационно-технологической и программно-аппаратной инфраструктуры, обеспечивающей сбор, обработку и хранение данных (далее – инфраструктура центра обработки данных, услуги центра обработки данных по предоставлению ПО), и (или) посредством предоставления органам государственной власти и организациям в пользование программно-аппаратных комплексов, на которых установлено и (или) функционирует ПО;</w:t>
      </w:r>
    </w:p>
    <w:p w14:paraId="6BA0E2A3" w14:textId="77777777" w:rsidR="00754276" w:rsidRPr="00B0658A" w:rsidRDefault="00754276" w:rsidP="00F57B1F">
      <w:pPr>
        <w:pStyle w:val="ConsPlusNormal"/>
        <w:ind w:firstLine="709"/>
        <w:jc w:val="both"/>
        <w:rPr>
          <w:sz w:val="28"/>
        </w:rPr>
      </w:pPr>
      <w:r w:rsidRPr="00B0658A">
        <w:rPr>
          <w:sz w:val="28"/>
        </w:rPr>
        <w:t>б) ПО, планируемого к приобретению органами государственной власти и организациями (приобретение исключительных прав и (или) прав на использование ПО в соответствии с законодательством Российской Федерации), для использования на персональных электронных вычислительных машинах, устройствах терминального доступа, абонентских устройствах радиоподвижной связи, иных технических средствах и программно-аппаратных комплексах, в том числе на серверном оборудовании, и (или) устанавливаемого производителем ПО и (или) производителем оборудования и (или) иной организацией на планируемых к закупке органами государственной власти и организациями автоматизированных рабочих местах пользователей, абонентских устройствах радиоподвижной связи, иных технических средствах и программно-аппаратных комплексах, в том числе серверном оборудовании, и (или) ПО, планируемого к приобретению органами государственной власти и организациями в результате закупки товаров, работ, услуг, предусматривающих предоставление пользователям в органах государственной власти и организациях ПО посредством оказания услуг центра обработки данных по предоставлению ПО и (или) посредством предоставления заказчику в пользование программно-аппаратных комплексов, на которых установлено и (или) функционирует ПО;</w:t>
      </w:r>
    </w:p>
    <w:p w14:paraId="0227F490" w14:textId="77777777" w:rsidR="0043582B" w:rsidRDefault="00754276" w:rsidP="00F57B1F">
      <w:pPr>
        <w:pStyle w:val="ConsPlusNormal"/>
        <w:ind w:firstLine="709"/>
        <w:jc w:val="both"/>
        <w:rPr>
          <w:sz w:val="28"/>
        </w:rPr>
      </w:pPr>
      <w:r w:rsidRPr="00B0658A">
        <w:rPr>
          <w:sz w:val="28"/>
        </w:rPr>
        <w:lastRenderedPageBreak/>
        <w:t>в) новых версий ПО и (или) его отдельных компонентов и (или) программных модулей, в том числе в составе автоматизированных информационных систем, исключительные права и (или) права на использование которых возникают на основании заключаемых органами государственной власти и организациями договоров и (или) соглашений о технической поддержке и (или) эксплуатации (обеспечении функционирования) программного обеспечения и (или) программно-аппаратных комплексов</w:t>
      </w:r>
      <w:r w:rsidR="002F4C79" w:rsidRPr="00B0658A">
        <w:rPr>
          <w:sz w:val="28"/>
        </w:rPr>
        <w:t>,</w:t>
      </w:r>
      <w:r w:rsidRPr="00B0658A">
        <w:rPr>
          <w:sz w:val="28"/>
        </w:rPr>
        <w:t xml:space="preserve"> на которых установлено и (или) функционирует ПО.</w:t>
      </w:r>
    </w:p>
    <w:p w14:paraId="1A007AF9" w14:textId="54621ECC" w:rsidR="00666F0E" w:rsidRPr="00700390" w:rsidRDefault="00666F0E" w:rsidP="00F57B1F">
      <w:pPr>
        <w:pStyle w:val="ConsPlusNormal"/>
        <w:ind w:firstLine="709"/>
        <w:jc w:val="both"/>
        <w:rPr>
          <w:sz w:val="28"/>
        </w:rPr>
      </w:pPr>
      <w:r>
        <w:rPr>
          <w:sz w:val="28"/>
        </w:rPr>
        <w:t>Пере</w:t>
      </w:r>
      <w:r w:rsidR="00A73743">
        <w:rPr>
          <w:sz w:val="28"/>
        </w:rPr>
        <w:t>в</w:t>
      </w:r>
      <w:r>
        <w:rPr>
          <w:sz w:val="28"/>
        </w:rPr>
        <w:t>од</w:t>
      </w:r>
      <w:r w:rsidR="002A04C3">
        <w:rPr>
          <w:sz w:val="28"/>
        </w:rPr>
        <w:t xml:space="preserve"> </w:t>
      </w:r>
      <w:r w:rsidR="002A04C3" w:rsidRPr="002A04C3">
        <w:rPr>
          <w:sz w:val="28"/>
        </w:rPr>
        <w:t>орган</w:t>
      </w:r>
      <w:r w:rsidR="002A04C3">
        <w:rPr>
          <w:sz w:val="28"/>
        </w:rPr>
        <w:t xml:space="preserve">ами </w:t>
      </w:r>
      <w:r w:rsidR="002A04C3" w:rsidRPr="002A04C3">
        <w:rPr>
          <w:sz w:val="28"/>
        </w:rPr>
        <w:t>государственной власти</w:t>
      </w:r>
      <w:r>
        <w:rPr>
          <w:sz w:val="28"/>
        </w:rPr>
        <w:t xml:space="preserve"> </w:t>
      </w:r>
      <w:r w:rsidR="002A04C3">
        <w:rPr>
          <w:sz w:val="28"/>
        </w:rPr>
        <w:t xml:space="preserve">и заказчиками </w:t>
      </w:r>
      <w:r>
        <w:rPr>
          <w:sz w:val="28"/>
        </w:rPr>
        <w:t>средств защиты информации на использование российского ПО,</w:t>
      </w:r>
      <w:r w:rsidRPr="009A2D3A">
        <w:rPr>
          <w:sz w:val="28"/>
        </w:rPr>
        <w:t xml:space="preserve"> </w:t>
      </w:r>
      <w:r w:rsidRPr="0039274F">
        <w:rPr>
          <w:sz w:val="28"/>
        </w:rPr>
        <w:t>предназначенн</w:t>
      </w:r>
      <w:r>
        <w:rPr>
          <w:sz w:val="28"/>
        </w:rPr>
        <w:t xml:space="preserve">ого </w:t>
      </w:r>
      <w:r w:rsidRPr="0039274F">
        <w:rPr>
          <w:sz w:val="28"/>
        </w:rPr>
        <w:t xml:space="preserve">для обеспечения безопасности значимых объектов </w:t>
      </w:r>
      <w:r>
        <w:rPr>
          <w:sz w:val="28"/>
        </w:rPr>
        <w:t>КИИ</w:t>
      </w:r>
      <w:r w:rsidRPr="0039274F">
        <w:rPr>
          <w:sz w:val="28"/>
        </w:rPr>
        <w:t xml:space="preserve">, а также </w:t>
      </w:r>
      <w:r>
        <w:rPr>
          <w:sz w:val="28"/>
        </w:rPr>
        <w:t>ПО</w:t>
      </w:r>
      <w:r w:rsidRPr="0039274F">
        <w:rPr>
          <w:sz w:val="28"/>
        </w:rPr>
        <w:t>, предназначенно</w:t>
      </w:r>
      <w:r>
        <w:rPr>
          <w:sz w:val="28"/>
        </w:rPr>
        <w:t>го</w:t>
      </w:r>
      <w:r w:rsidRPr="0039274F">
        <w:rPr>
          <w:sz w:val="28"/>
        </w:rPr>
        <w:t xml:space="preserve"> для обнаружения, предупреждения и ликвидации последствий компьютерных атак и реагирования на компьютерные инциденты и (или) обмена информацией о компьютерных инцидентах на объектах </w:t>
      </w:r>
      <w:r w:rsidR="00700390">
        <w:rPr>
          <w:sz w:val="28"/>
        </w:rPr>
        <w:t>КИИ</w:t>
      </w:r>
      <w:r w:rsidR="0063144C">
        <w:rPr>
          <w:sz w:val="28"/>
        </w:rPr>
        <w:t>, должен</w:t>
      </w:r>
      <w:r w:rsidR="00C15C47">
        <w:rPr>
          <w:sz w:val="28"/>
        </w:rPr>
        <w:t xml:space="preserve"> осуществляться с учетом </w:t>
      </w:r>
      <w:r w:rsidRPr="00B0658A">
        <w:rPr>
          <w:sz w:val="28"/>
          <w:szCs w:val="28"/>
          <w:shd w:val="clear" w:color="auto" w:fill="FFFFFF"/>
        </w:rPr>
        <w:t>требовани</w:t>
      </w:r>
      <w:r w:rsidR="00C15C47">
        <w:rPr>
          <w:sz w:val="28"/>
          <w:szCs w:val="28"/>
          <w:shd w:val="clear" w:color="auto" w:fill="FFFFFF"/>
        </w:rPr>
        <w:t>й</w:t>
      </w:r>
      <w:r w:rsidRPr="00B0658A">
        <w:rPr>
          <w:sz w:val="28"/>
          <w:szCs w:val="28"/>
          <w:shd w:val="clear" w:color="auto" w:fill="FFFFFF"/>
        </w:rPr>
        <w:t xml:space="preserve"> к программному обеспечению, в том числе в составе программно-аппаратных комплексов, используемому органами государственной власти, заказчиками, осуществляющими закупки в соответствии с Федеральным законом «О закупках товаров, работ, услуг отдельными видами юридических лиц» (за исключением организаций с муниципальным участием), на принадлежащих им значимых объектах критической информационной инфраструктуры Российской Федерации</w:t>
      </w:r>
      <w:r>
        <w:rPr>
          <w:sz w:val="28"/>
          <w:szCs w:val="28"/>
          <w:shd w:val="clear" w:color="auto" w:fill="FFFFFF"/>
        </w:rPr>
        <w:t>, утвержденны</w:t>
      </w:r>
      <w:r w:rsidR="00C15C47">
        <w:rPr>
          <w:sz w:val="28"/>
          <w:szCs w:val="28"/>
          <w:shd w:val="clear" w:color="auto" w:fill="FFFFFF"/>
        </w:rPr>
        <w:t>х</w:t>
      </w:r>
      <w:r>
        <w:rPr>
          <w:sz w:val="28"/>
          <w:szCs w:val="28"/>
          <w:shd w:val="clear" w:color="auto" w:fill="FFFFFF"/>
        </w:rPr>
        <w:t xml:space="preserve"> </w:t>
      </w:r>
      <w:r w:rsidRPr="00B0658A">
        <w:rPr>
          <w:sz w:val="28"/>
          <w:szCs w:val="28"/>
        </w:rPr>
        <w:t>постановлени</w:t>
      </w:r>
      <w:r>
        <w:rPr>
          <w:sz w:val="28"/>
          <w:szCs w:val="28"/>
        </w:rPr>
        <w:t>ем</w:t>
      </w:r>
      <w:r w:rsidRPr="00B0658A">
        <w:rPr>
          <w:sz w:val="28"/>
          <w:szCs w:val="28"/>
        </w:rPr>
        <w:t xml:space="preserve"> Правительства Российской Федерации от 22 августа 2022 года №  1478</w:t>
      </w:r>
      <w:r>
        <w:rPr>
          <w:sz w:val="28"/>
          <w:szCs w:val="28"/>
        </w:rPr>
        <w:t xml:space="preserve">, </w:t>
      </w:r>
      <w:r w:rsidRPr="0039274F">
        <w:rPr>
          <w:sz w:val="28"/>
        </w:rPr>
        <w:t>и требовани</w:t>
      </w:r>
      <w:r w:rsidR="00700390">
        <w:rPr>
          <w:sz w:val="28"/>
        </w:rPr>
        <w:t>й</w:t>
      </w:r>
      <w:r w:rsidRPr="0039274F">
        <w:rPr>
          <w:sz w:val="28"/>
        </w:rPr>
        <w:t>, установленны</w:t>
      </w:r>
      <w:r w:rsidR="00700390">
        <w:rPr>
          <w:sz w:val="28"/>
        </w:rPr>
        <w:t>х</w:t>
      </w:r>
      <w:r w:rsidRPr="0039274F">
        <w:rPr>
          <w:sz w:val="28"/>
        </w:rPr>
        <w:t xml:space="preserve"> </w:t>
      </w:r>
      <w:r>
        <w:rPr>
          <w:sz w:val="28"/>
        </w:rPr>
        <w:t>ФСТЭК России</w:t>
      </w:r>
      <w:r w:rsidRPr="0039274F">
        <w:rPr>
          <w:sz w:val="28"/>
        </w:rPr>
        <w:t xml:space="preserve"> и (или) </w:t>
      </w:r>
      <w:r>
        <w:rPr>
          <w:sz w:val="28"/>
        </w:rPr>
        <w:t>ФСБ России</w:t>
      </w:r>
      <w:r w:rsidRPr="0039274F">
        <w:rPr>
          <w:sz w:val="28"/>
        </w:rPr>
        <w:t>, что должно быть подтверждено соответствующим документом (сертификатом).</w:t>
      </w:r>
    </w:p>
    <w:p w14:paraId="6923873E" w14:textId="77777777" w:rsidR="00A82392" w:rsidRPr="00B0658A" w:rsidRDefault="00257225" w:rsidP="00F57B1F">
      <w:pPr>
        <w:pStyle w:val="ConsPlusNormal"/>
        <w:ind w:firstLine="709"/>
        <w:jc w:val="both"/>
        <w:rPr>
          <w:sz w:val="28"/>
        </w:rPr>
      </w:pPr>
      <w:r w:rsidRPr="00B0658A">
        <w:rPr>
          <w:sz w:val="28"/>
        </w:rPr>
        <w:t>1</w:t>
      </w:r>
      <w:r w:rsidR="00F93C6A" w:rsidRPr="00B0658A">
        <w:rPr>
          <w:sz w:val="28"/>
        </w:rPr>
        <w:t>4</w:t>
      </w:r>
      <w:r w:rsidRPr="00B0658A">
        <w:rPr>
          <w:sz w:val="28"/>
        </w:rPr>
        <w:t>. </w:t>
      </w:r>
      <w:r w:rsidR="00A70357" w:rsidRPr="00B0658A">
        <w:rPr>
          <w:sz w:val="28"/>
        </w:rPr>
        <w:t xml:space="preserve">Для целей перехода </w:t>
      </w:r>
      <w:r w:rsidR="00513311" w:rsidRPr="00B0658A">
        <w:rPr>
          <w:sz w:val="28"/>
        </w:rPr>
        <w:t xml:space="preserve">органов государственной власти и организаций </w:t>
      </w:r>
      <w:r w:rsidR="00A70357" w:rsidRPr="00B0658A">
        <w:rPr>
          <w:sz w:val="28"/>
        </w:rPr>
        <w:t>на использование российского ПО</w:t>
      </w:r>
      <w:r w:rsidR="00A82392" w:rsidRPr="00B0658A">
        <w:rPr>
          <w:sz w:val="28"/>
        </w:rPr>
        <w:t xml:space="preserve"> рекомендуется использовать следующий подход:</w:t>
      </w:r>
    </w:p>
    <w:p w14:paraId="13083330" w14:textId="77777777" w:rsidR="00587D69" w:rsidRPr="00B0658A" w:rsidRDefault="00587D69" w:rsidP="00F57B1F">
      <w:pPr>
        <w:pStyle w:val="ConsPlusNormal"/>
        <w:ind w:firstLine="709"/>
        <w:jc w:val="both"/>
        <w:rPr>
          <w:sz w:val="28"/>
        </w:rPr>
      </w:pPr>
      <w:r w:rsidRPr="00B0658A">
        <w:rPr>
          <w:sz w:val="28"/>
        </w:rPr>
        <w:t>а) при</w:t>
      </w:r>
      <w:r w:rsidR="00A82392" w:rsidRPr="00B0658A">
        <w:rPr>
          <w:sz w:val="28"/>
        </w:rPr>
        <w:t xml:space="preserve"> наличи</w:t>
      </w:r>
      <w:r w:rsidRPr="00B0658A">
        <w:rPr>
          <w:sz w:val="28"/>
        </w:rPr>
        <w:t>и</w:t>
      </w:r>
      <w:r w:rsidR="00A82392" w:rsidRPr="00B0658A">
        <w:rPr>
          <w:sz w:val="28"/>
        </w:rPr>
        <w:t xml:space="preserve"> </w:t>
      </w:r>
      <w:r w:rsidRPr="00B0658A">
        <w:rPr>
          <w:sz w:val="28"/>
        </w:rPr>
        <w:t>в едином реестре российского ПО, требуемого для целей импортозамещения ПО, переход органов государственной власти и организаций на использование российского ПО осуществляется с использованием ПО, сведения о котором включены в единый реестр российского ПО, и соответствующего дополнительным требованиям</w:t>
      </w:r>
      <w:r w:rsidR="00B0705A" w:rsidRPr="00B0658A">
        <w:rPr>
          <w:sz w:val="28"/>
        </w:rPr>
        <w:t xml:space="preserve"> к программам для электронных вычислительных машин и базам данных, сведения о которых включены в единый реестр российского программного обеспечения, </w:t>
      </w:r>
      <w:r w:rsidR="00FD47C0" w:rsidRPr="00B0658A">
        <w:rPr>
          <w:sz w:val="28"/>
        </w:rPr>
        <w:t xml:space="preserve">утвержденный </w:t>
      </w:r>
      <w:r w:rsidR="00B0705A" w:rsidRPr="00B0658A">
        <w:rPr>
          <w:sz w:val="28"/>
        </w:rPr>
        <w:t xml:space="preserve">постановлением Правительства Российской Федерации от 23 марта 2017 года (собрание законодательства Российской Федерации, 2017, </w:t>
      </w:r>
      <w:r w:rsidR="00592B14" w:rsidRPr="00B0658A">
        <w:rPr>
          <w:sz w:val="28"/>
        </w:rPr>
        <w:t>№ </w:t>
      </w:r>
      <w:r w:rsidR="00FD47C0" w:rsidRPr="00B0658A">
        <w:rPr>
          <w:sz w:val="28"/>
        </w:rPr>
        <w:t> </w:t>
      </w:r>
      <w:r w:rsidR="00B0705A" w:rsidRPr="00B0658A">
        <w:rPr>
          <w:sz w:val="28"/>
        </w:rPr>
        <w:t>14, ст. 2062) (далее – дополнительные требования к ПО)</w:t>
      </w:r>
      <w:r w:rsidRPr="00B0658A">
        <w:rPr>
          <w:sz w:val="28"/>
        </w:rPr>
        <w:t>;</w:t>
      </w:r>
    </w:p>
    <w:p w14:paraId="3CA06DDD" w14:textId="77777777" w:rsidR="00587D69" w:rsidRPr="00B0658A" w:rsidRDefault="00B0705A" w:rsidP="00F57B1F">
      <w:pPr>
        <w:pStyle w:val="ConsPlusNormal"/>
        <w:ind w:firstLine="709"/>
        <w:jc w:val="both"/>
        <w:rPr>
          <w:sz w:val="28"/>
        </w:rPr>
      </w:pPr>
      <w:r w:rsidRPr="00B0658A">
        <w:rPr>
          <w:sz w:val="28"/>
        </w:rPr>
        <w:t>б) </w:t>
      </w:r>
      <w:r w:rsidR="00587D69" w:rsidRPr="00B0658A">
        <w:rPr>
          <w:sz w:val="28"/>
        </w:rPr>
        <w:t>при отсутствии ПО, указанного в подпункте «а» пункта 1</w:t>
      </w:r>
      <w:r w:rsidR="00F93C6A" w:rsidRPr="00B0658A">
        <w:rPr>
          <w:sz w:val="28"/>
        </w:rPr>
        <w:t>4</w:t>
      </w:r>
      <w:r w:rsidR="00587D69" w:rsidRPr="00B0658A">
        <w:rPr>
          <w:sz w:val="28"/>
        </w:rPr>
        <w:t xml:space="preserve"> настоящих методических рекомендаций, рекомендуется использовать ПО, сведения о котором включены в единый реестр российского ПО, но не</w:t>
      </w:r>
      <w:r w:rsidR="00FD47C0" w:rsidRPr="00B0658A">
        <w:rPr>
          <w:sz w:val="28"/>
        </w:rPr>
        <w:t xml:space="preserve">соответствующее </w:t>
      </w:r>
      <w:r w:rsidR="00587D69" w:rsidRPr="00B0658A">
        <w:rPr>
          <w:sz w:val="28"/>
        </w:rPr>
        <w:t>доп</w:t>
      </w:r>
      <w:r w:rsidRPr="00B0658A">
        <w:rPr>
          <w:sz w:val="28"/>
        </w:rPr>
        <w:t>олнительным требованиям;</w:t>
      </w:r>
    </w:p>
    <w:p w14:paraId="71A37E51" w14:textId="77777777" w:rsidR="00587D69" w:rsidRPr="00B0658A" w:rsidRDefault="00B0705A" w:rsidP="00F57B1F">
      <w:pPr>
        <w:pStyle w:val="ConsPlusNormal"/>
        <w:ind w:firstLine="709"/>
        <w:jc w:val="both"/>
        <w:rPr>
          <w:sz w:val="28"/>
        </w:rPr>
      </w:pPr>
      <w:r w:rsidRPr="00B0658A">
        <w:rPr>
          <w:sz w:val="28"/>
        </w:rPr>
        <w:t>в) при отсутствии ПО, указанного в подпунктах «а» и «б» пункта 1</w:t>
      </w:r>
      <w:r w:rsidR="00F93C6A" w:rsidRPr="00B0658A">
        <w:rPr>
          <w:sz w:val="28"/>
        </w:rPr>
        <w:t>4</w:t>
      </w:r>
      <w:r w:rsidRPr="00B0658A">
        <w:rPr>
          <w:sz w:val="28"/>
        </w:rPr>
        <w:t xml:space="preserve"> настоящих методических рекомендаций, рекомендуется использовать ПО</w:t>
      </w:r>
      <w:r w:rsidR="00587D69" w:rsidRPr="00B0658A">
        <w:rPr>
          <w:sz w:val="28"/>
        </w:rPr>
        <w:t>, сведения о котором включены в единый реестр евразийского ПО;</w:t>
      </w:r>
    </w:p>
    <w:p w14:paraId="2831CAC2" w14:textId="77777777" w:rsidR="00A82392" w:rsidRPr="00B0658A" w:rsidRDefault="00B0705A" w:rsidP="00F57B1F">
      <w:pPr>
        <w:pStyle w:val="ConsPlusNormal"/>
        <w:ind w:firstLine="709"/>
        <w:jc w:val="both"/>
        <w:rPr>
          <w:sz w:val="28"/>
        </w:rPr>
      </w:pPr>
      <w:r w:rsidRPr="00B0658A">
        <w:rPr>
          <w:sz w:val="28"/>
        </w:rPr>
        <w:t>г) при отсутствии ПО, указанного в подпунктах «а», «б», «в» пункта 1</w:t>
      </w:r>
      <w:r w:rsidR="00F93C6A" w:rsidRPr="00B0658A">
        <w:rPr>
          <w:sz w:val="28"/>
        </w:rPr>
        <w:t>4</w:t>
      </w:r>
      <w:r w:rsidRPr="00B0658A">
        <w:rPr>
          <w:sz w:val="28"/>
        </w:rPr>
        <w:t xml:space="preserve"> настоящих методических рекомендаций</w:t>
      </w:r>
      <w:r w:rsidR="00342154" w:rsidRPr="00B0658A">
        <w:rPr>
          <w:sz w:val="28"/>
        </w:rPr>
        <w:t xml:space="preserve"> и с учетом пункта 15 настоящих методических рекомендаций</w:t>
      </w:r>
      <w:r w:rsidRPr="00B0658A">
        <w:rPr>
          <w:sz w:val="28"/>
        </w:rPr>
        <w:t xml:space="preserve">, </w:t>
      </w:r>
      <w:r w:rsidR="00436FEC" w:rsidRPr="00B0658A">
        <w:rPr>
          <w:sz w:val="28"/>
        </w:rPr>
        <w:t xml:space="preserve">может быть </w:t>
      </w:r>
      <w:r w:rsidRPr="00B0658A">
        <w:rPr>
          <w:sz w:val="28"/>
        </w:rPr>
        <w:t>использова</w:t>
      </w:r>
      <w:r w:rsidR="00436FEC" w:rsidRPr="00B0658A">
        <w:rPr>
          <w:sz w:val="28"/>
        </w:rPr>
        <w:t>но</w:t>
      </w:r>
      <w:r w:rsidRPr="00B0658A">
        <w:rPr>
          <w:sz w:val="28"/>
        </w:rPr>
        <w:t xml:space="preserve"> </w:t>
      </w:r>
      <w:r w:rsidR="00587D69" w:rsidRPr="00B0658A">
        <w:rPr>
          <w:sz w:val="28"/>
        </w:rPr>
        <w:t>свободно распространяемо</w:t>
      </w:r>
      <w:r w:rsidRPr="00B0658A">
        <w:rPr>
          <w:sz w:val="28"/>
        </w:rPr>
        <w:t>е</w:t>
      </w:r>
      <w:r w:rsidR="00587D69" w:rsidRPr="00B0658A">
        <w:rPr>
          <w:sz w:val="28"/>
        </w:rPr>
        <w:t xml:space="preserve"> ПО</w:t>
      </w:r>
      <w:r w:rsidR="00E22B67" w:rsidRPr="00B0658A">
        <w:rPr>
          <w:sz w:val="28"/>
        </w:rPr>
        <w:t xml:space="preserve">. При этом рекомендуется не использовать свободно распространяемое ПО, </w:t>
      </w:r>
      <w:r w:rsidR="00E22B67" w:rsidRPr="00B0658A">
        <w:rPr>
          <w:sz w:val="28"/>
        </w:rPr>
        <w:lastRenderedPageBreak/>
        <w:t>исключительные права на которое принадлежат физическим лицам и</w:t>
      </w:r>
      <w:r w:rsidR="00436FEC" w:rsidRPr="00B0658A">
        <w:rPr>
          <w:sz w:val="28"/>
        </w:rPr>
        <w:t>ли</w:t>
      </w:r>
      <w:r w:rsidR="00E22B67" w:rsidRPr="00B0658A">
        <w:rPr>
          <w:sz w:val="28"/>
        </w:rPr>
        <w:t xml:space="preserve"> организациям</w:t>
      </w:r>
      <w:r w:rsidR="00436FEC" w:rsidRPr="00B0658A">
        <w:rPr>
          <w:sz w:val="28"/>
        </w:rPr>
        <w:t xml:space="preserve">, странами происхождения которых являются иностранные государства, совершающие </w:t>
      </w:r>
      <w:r w:rsidR="00646919" w:rsidRPr="00B0658A">
        <w:rPr>
          <w:sz w:val="28"/>
        </w:rPr>
        <w:t xml:space="preserve">(совершившие) </w:t>
      </w:r>
      <w:r w:rsidR="00436FEC" w:rsidRPr="00B0658A">
        <w:rPr>
          <w:sz w:val="28"/>
        </w:rPr>
        <w:t>в отношении Российской Федерации, российских юридических лиц и физических лиц недружественные действия, либо находящихся под юрисдикцией таких иностранных государств, прямо или косвенно подконтрольных им либо аффилированных с ними</w:t>
      </w:r>
      <w:r w:rsidR="002A1813" w:rsidRPr="00B0658A">
        <w:rPr>
          <w:sz w:val="28"/>
        </w:rPr>
        <w:t xml:space="preserve"> (далее – недружественные государства)</w:t>
      </w:r>
      <w:r w:rsidR="00E22B67" w:rsidRPr="00B0658A">
        <w:rPr>
          <w:sz w:val="28"/>
        </w:rPr>
        <w:t>.</w:t>
      </w:r>
    </w:p>
    <w:p w14:paraId="193C4C85" w14:textId="77777777" w:rsidR="00754276" w:rsidRPr="00B0658A" w:rsidRDefault="00754276" w:rsidP="00F57B1F">
      <w:pPr>
        <w:pStyle w:val="ConsPlusNormal"/>
        <w:ind w:firstLine="709"/>
        <w:jc w:val="both"/>
        <w:rPr>
          <w:sz w:val="28"/>
        </w:rPr>
      </w:pPr>
      <w:r w:rsidRPr="00B0658A">
        <w:rPr>
          <w:sz w:val="28"/>
        </w:rPr>
        <w:t>1</w:t>
      </w:r>
      <w:r w:rsidR="00F93C6A" w:rsidRPr="00B0658A">
        <w:rPr>
          <w:sz w:val="28"/>
        </w:rPr>
        <w:t>5</w:t>
      </w:r>
      <w:r w:rsidRPr="00B0658A">
        <w:rPr>
          <w:sz w:val="28"/>
        </w:rPr>
        <w:t xml:space="preserve">. В случае, если в едином реестре российского ПО или в едином реестре евразийского ПО отсутствует соответствующий полнофункциональный аналог используемого заказчиками иностранного ПО, то рекомендуется совместно с организациями российской отрасли информационных технологий, работниками органа государственной власти или организации, ответственными за развитие информационных технологий и обеспечение информационной безопасности, при взаимодействии с Индустриальными центрами компетенций импортозамещения цифровых решений в ключевых отраслях экономики и Центрами компетенций по развитию российского общесистемного и прикладного </w:t>
      </w:r>
      <w:r w:rsidR="00646919" w:rsidRPr="00B0658A">
        <w:rPr>
          <w:sz w:val="28"/>
        </w:rPr>
        <w:t>ПО</w:t>
      </w:r>
      <w:r w:rsidRPr="00B0658A">
        <w:rPr>
          <w:sz w:val="28"/>
        </w:rPr>
        <w:t xml:space="preserve"> проработать механизмы, предусматривающие использование для решения функциональных задач органа государственной власти или организации комбинации ПО, сведения о котором включены в единый реестр российского ПО или единый реестр евразийского ПО, </w:t>
      </w:r>
      <w:r w:rsidR="00BC1D26" w:rsidRPr="00B0658A">
        <w:rPr>
          <w:sz w:val="28"/>
        </w:rPr>
        <w:t>и</w:t>
      </w:r>
      <w:r w:rsidRPr="00B0658A">
        <w:rPr>
          <w:sz w:val="28"/>
        </w:rPr>
        <w:t xml:space="preserve"> реализации комплекса организационно-технических мер, обеспечивающих бесперебойное функционирование информационно-технологической инфраструктуры </w:t>
      </w:r>
      <w:r w:rsidR="00646919" w:rsidRPr="00B0658A">
        <w:rPr>
          <w:sz w:val="28"/>
        </w:rPr>
        <w:t>органа государственной власти или организации</w:t>
      </w:r>
      <w:r w:rsidRPr="00B0658A">
        <w:rPr>
          <w:sz w:val="28"/>
        </w:rPr>
        <w:t xml:space="preserve"> и необходимый уровень ее информационной безопасности</w:t>
      </w:r>
      <w:r w:rsidR="00BC1D26" w:rsidRPr="00B0658A">
        <w:rPr>
          <w:sz w:val="28"/>
        </w:rPr>
        <w:t>, с использованием таких комбинаций ПО</w:t>
      </w:r>
      <w:r w:rsidRPr="00B0658A">
        <w:rPr>
          <w:sz w:val="28"/>
        </w:rPr>
        <w:t>.</w:t>
      </w:r>
    </w:p>
    <w:p w14:paraId="39504E34" w14:textId="77777777" w:rsidR="00E22B67" w:rsidRPr="00B0658A" w:rsidRDefault="00E22B67" w:rsidP="00F57B1F">
      <w:pPr>
        <w:pStyle w:val="ConsPlusNormal"/>
        <w:ind w:firstLine="709"/>
        <w:jc w:val="both"/>
        <w:rPr>
          <w:sz w:val="28"/>
        </w:rPr>
      </w:pPr>
      <w:r w:rsidRPr="00B0658A">
        <w:rPr>
          <w:sz w:val="28"/>
        </w:rPr>
        <w:t>1</w:t>
      </w:r>
      <w:r w:rsidR="00F93C6A" w:rsidRPr="00B0658A">
        <w:rPr>
          <w:sz w:val="28"/>
        </w:rPr>
        <w:t>6</w:t>
      </w:r>
      <w:r w:rsidRPr="00B0658A">
        <w:rPr>
          <w:sz w:val="28"/>
        </w:rPr>
        <w:t xml:space="preserve">. Переход на использование российского ПО </w:t>
      </w:r>
      <w:r w:rsidR="00BC1D26" w:rsidRPr="00B0658A">
        <w:rPr>
          <w:sz w:val="28"/>
        </w:rPr>
        <w:t xml:space="preserve">рекомендуется </w:t>
      </w:r>
      <w:r w:rsidRPr="00B0658A">
        <w:rPr>
          <w:sz w:val="28"/>
        </w:rPr>
        <w:t>осуществля</w:t>
      </w:r>
      <w:r w:rsidR="00BC1D26" w:rsidRPr="00B0658A">
        <w:rPr>
          <w:sz w:val="28"/>
        </w:rPr>
        <w:t>ть</w:t>
      </w:r>
      <w:r w:rsidRPr="00B0658A">
        <w:rPr>
          <w:sz w:val="28"/>
        </w:rPr>
        <w:t xml:space="preserve"> путем </w:t>
      </w:r>
      <w:r w:rsidR="003F54FB" w:rsidRPr="00B0658A">
        <w:rPr>
          <w:sz w:val="28"/>
        </w:rPr>
        <w:t xml:space="preserve">реализации совокупности процессов, действий и организационно-технических мероприятий, осуществляемых органами государственной власти и организациями и связанных с заменой ранее закупленного и используемого ими </w:t>
      </w:r>
      <w:r w:rsidR="00F26144" w:rsidRPr="00B0658A">
        <w:rPr>
          <w:sz w:val="28"/>
        </w:rPr>
        <w:t>ПО,</w:t>
      </w:r>
      <w:r w:rsidR="003F54FB" w:rsidRPr="00B0658A">
        <w:rPr>
          <w:sz w:val="28"/>
        </w:rPr>
        <w:t xml:space="preserve"> сведения о котором не включены в единый реестр российского </w:t>
      </w:r>
      <w:r w:rsidR="00F26144" w:rsidRPr="00B0658A">
        <w:rPr>
          <w:sz w:val="28"/>
        </w:rPr>
        <w:t>ПО или единый реестр евразийского ПО (для значимых объектов КИИ)</w:t>
      </w:r>
      <w:r w:rsidR="003F54FB" w:rsidRPr="00B0658A">
        <w:rPr>
          <w:sz w:val="28"/>
        </w:rPr>
        <w:t xml:space="preserve">, на </w:t>
      </w:r>
      <w:r w:rsidR="00F26144" w:rsidRPr="00B0658A">
        <w:rPr>
          <w:sz w:val="28"/>
        </w:rPr>
        <w:t>российское</w:t>
      </w:r>
      <w:r w:rsidR="003F54FB" w:rsidRPr="00B0658A">
        <w:rPr>
          <w:sz w:val="28"/>
        </w:rPr>
        <w:t xml:space="preserve"> </w:t>
      </w:r>
      <w:r w:rsidR="00F26144" w:rsidRPr="00B0658A">
        <w:rPr>
          <w:sz w:val="28"/>
        </w:rPr>
        <w:t>ПО и (или) евразийско</w:t>
      </w:r>
      <w:r w:rsidR="00BC1D26" w:rsidRPr="00B0658A">
        <w:rPr>
          <w:sz w:val="28"/>
        </w:rPr>
        <w:t>е</w:t>
      </w:r>
      <w:r w:rsidR="00F26144" w:rsidRPr="00B0658A">
        <w:rPr>
          <w:sz w:val="28"/>
        </w:rPr>
        <w:t xml:space="preserve"> ПО (для значимых объектов КИИ), </w:t>
      </w:r>
      <w:r w:rsidRPr="00B0658A">
        <w:rPr>
          <w:sz w:val="28"/>
        </w:rPr>
        <w:t>приобретени</w:t>
      </w:r>
      <w:r w:rsidR="00BC1D26" w:rsidRPr="00B0658A">
        <w:rPr>
          <w:sz w:val="28"/>
        </w:rPr>
        <w:t>ем</w:t>
      </w:r>
      <w:r w:rsidRPr="00B0658A">
        <w:rPr>
          <w:sz w:val="28"/>
        </w:rPr>
        <w:t xml:space="preserve"> </w:t>
      </w:r>
      <w:r w:rsidR="00F26144" w:rsidRPr="00B0658A">
        <w:rPr>
          <w:sz w:val="28"/>
        </w:rPr>
        <w:t>и внедрени</w:t>
      </w:r>
      <w:r w:rsidR="00BC1D26" w:rsidRPr="00B0658A">
        <w:rPr>
          <w:sz w:val="28"/>
        </w:rPr>
        <w:t>ем</w:t>
      </w:r>
      <w:r w:rsidR="00F26144" w:rsidRPr="00B0658A">
        <w:rPr>
          <w:sz w:val="28"/>
        </w:rPr>
        <w:t xml:space="preserve"> </w:t>
      </w:r>
      <w:r w:rsidR="003F54FB" w:rsidRPr="00B0658A">
        <w:rPr>
          <w:sz w:val="28"/>
        </w:rPr>
        <w:t xml:space="preserve">российского </w:t>
      </w:r>
      <w:r w:rsidRPr="00B0658A">
        <w:rPr>
          <w:sz w:val="28"/>
        </w:rPr>
        <w:t xml:space="preserve">ПО </w:t>
      </w:r>
      <w:r w:rsidR="003F54FB" w:rsidRPr="00B0658A">
        <w:rPr>
          <w:sz w:val="28"/>
        </w:rPr>
        <w:t xml:space="preserve">и (или) евразийского ПО (для значимых объектов КИИ) </w:t>
      </w:r>
      <w:r w:rsidRPr="00B0658A">
        <w:rPr>
          <w:sz w:val="28"/>
        </w:rPr>
        <w:t>и связанных с ним работ и услуг в соответствии с гражданским законодательством Российской Федерации, законодательством Российской Федерации о закупках товаров, работ, услуг для обеспечения государственных и муниципальных нужд, законодательством Российской Федерации о закупках товаров, работ, услуг отдельными видами юридических лиц</w:t>
      </w:r>
      <w:r w:rsidR="006E08C2" w:rsidRPr="00B0658A">
        <w:rPr>
          <w:sz w:val="28"/>
        </w:rPr>
        <w:t xml:space="preserve">, а также иным законодательством Российской Федерации, регулирующим вопросы </w:t>
      </w:r>
      <w:r w:rsidR="00A70357" w:rsidRPr="00B0658A">
        <w:rPr>
          <w:sz w:val="28"/>
        </w:rPr>
        <w:t xml:space="preserve">приобретения и </w:t>
      </w:r>
      <w:r w:rsidR="006E08C2" w:rsidRPr="00B0658A">
        <w:rPr>
          <w:sz w:val="28"/>
        </w:rPr>
        <w:t xml:space="preserve">использования </w:t>
      </w:r>
      <w:r w:rsidR="00646919" w:rsidRPr="00B0658A">
        <w:rPr>
          <w:sz w:val="28"/>
        </w:rPr>
        <w:t>ПО</w:t>
      </w:r>
      <w:r w:rsidR="00A70357" w:rsidRPr="00B0658A">
        <w:rPr>
          <w:sz w:val="28"/>
        </w:rPr>
        <w:t>, в том числе на значимых объектах КИИ</w:t>
      </w:r>
      <w:r w:rsidRPr="00B0658A">
        <w:rPr>
          <w:sz w:val="28"/>
        </w:rPr>
        <w:t>.</w:t>
      </w:r>
    </w:p>
    <w:p w14:paraId="58D4EA18" w14:textId="77777777" w:rsidR="00257225" w:rsidRPr="00B0658A" w:rsidRDefault="00E22B67" w:rsidP="00F57B1F">
      <w:pPr>
        <w:pStyle w:val="ConsPlusNormal"/>
        <w:ind w:firstLine="709"/>
        <w:jc w:val="both"/>
        <w:rPr>
          <w:sz w:val="28"/>
        </w:rPr>
      </w:pPr>
      <w:r w:rsidRPr="00B0658A">
        <w:rPr>
          <w:sz w:val="28"/>
        </w:rPr>
        <w:t>1</w:t>
      </w:r>
      <w:r w:rsidR="00F93C6A" w:rsidRPr="00B0658A">
        <w:rPr>
          <w:sz w:val="28"/>
        </w:rPr>
        <w:t>7</w:t>
      </w:r>
      <w:r w:rsidRPr="00B0658A">
        <w:rPr>
          <w:sz w:val="28"/>
        </w:rPr>
        <w:t>. </w:t>
      </w:r>
      <w:r w:rsidR="009E5A15" w:rsidRPr="00B0658A">
        <w:rPr>
          <w:sz w:val="28"/>
        </w:rPr>
        <w:t>Для целей перехода на использование российского ПО рекомендуется использовать готовое ПО</w:t>
      </w:r>
      <w:r w:rsidR="00395A0E" w:rsidRPr="00B0658A">
        <w:rPr>
          <w:sz w:val="28"/>
        </w:rPr>
        <w:t xml:space="preserve"> (при наличии)</w:t>
      </w:r>
      <w:r w:rsidR="009E5A15" w:rsidRPr="00B0658A">
        <w:rPr>
          <w:sz w:val="28"/>
        </w:rPr>
        <w:t>, сведения о котором включены в единый реестр российского ПО</w:t>
      </w:r>
      <w:r w:rsidR="006E08C2" w:rsidRPr="00B0658A">
        <w:rPr>
          <w:sz w:val="28"/>
        </w:rPr>
        <w:t xml:space="preserve"> и (или) в единый реестр евразийского ПО (для использования на значимых объектах КИИ)</w:t>
      </w:r>
      <w:r w:rsidR="009E5A15" w:rsidRPr="00B0658A">
        <w:rPr>
          <w:sz w:val="28"/>
        </w:rPr>
        <w:t xml:space="preserve">. При наличии готового ПО в едином реестре российского ПО </w:t>
      </w:r>
      <w:r w:rsidR="00646919" w:rsidRPr="00B0658A">
        <w:rPr>
          <w:sz w:val="28"/>
        </w:rPr>
        <w:t>и (</w:t>
      </w:r>
      <w:r w:rsidR="009E5A15" w:rsidRPr="00B0658A">
        <w:rPr>
          <w:sz w:val="28"/>
        </w:rPr>
        <w:t>и</w:t>
      </w:r>
      <w:r w:rsidR="00BC1D26" w:rsidRPr="00B0658A">
        <w:rPr>
          <w:sz w:val="28"/>
        </w:rPr>
        <w:t>ли</w:t>
      </w:r>
      <w:r w:rsidR="00646919" w:rsidRPr="00B0658A">
        <w:rPr>
          <w:sz w:val="28"/>
        </w:rPr>
        <w:t>)</w:t>
      </w:r>
      <w:r w:rsidR="009E5A15" w:rsidRPr="00B0658A">
        <w:rPr>
          <w:sz w:val="28"/>
        </w:rPr>
        <w:t xml:space="preserve"> в едином реестре евразийского ПО </w:t>
      </w:r>
      <w:r w:rsidR="006E08C2" w:rsidRPr="00B0658A">
        <w:rPr>
          <w:sz w:val="28"/>
        </w:rPr>
        <w:t xml:space="preserve">органам государственной власти и организациям </w:t>
      </w:r>
      <w:r w:rsidR="009E5A15" w:rsidRPr="00B0658A">
        <w:rPr>
          <w:sz w:val="28"/>
        </w:rPr>
        <w:t xml:space="preserve">не рекомендуется осуществлять новую собственную разработку аналогичного </w:t>
      </w:r>
      <w:r w:rsidR="00BC1D26" w:rsidRPr="00B0658A">
        <w:rPr>
          <w:sz w:val="28"/>
        </w:rPr>
        <w:t xml:space="preserve">по своей функциональности </w:t>
      </w:r>
      <w:r w:rsidR="009E5A15" w:rsidRPr="00B0658A">
        <w:rPr>
          <w:sz w:val="28"/>
        </w:rPr>
        <w:t xml:space="preserve">ПО, замещающего существующие на </w:t>
      </w:r>
      <w:r w:rsidR="009E5A15" w:rsidRPr="00B0658A">
        <w:rPr>
          <w:sz w:val="28"/>
        </w:rPr>
        <w:lastRenderedPageBreak/>
        <w:t>рынке программные продукты.</w:t>
      </w:r>
    </w:p>
    <w:p w14:paraId="7B258650" w14:textId="77777777" w:rsidR="009E5A15" w:rsidRPr="00B0658A" w:rsidRDefault="009E5A15" w:rsidP="00F57B1F">
      <w:pPr>
        <w:pStyle w:val="ConsPlusNormal"/>
        <w:ind w:firstLine="709"/>
        <w:jc w:val="both"/>
        <w:rPr>
          <w:sz w:val="28"/>
        </w:rPr>
      </w:pPr>
      <w:r w:rsidRPr="00B0658A">
        <w:rPr>
          <w:sz w:val="28"/>
        </w:rPr>
        <w:t>1</w:t>
      </w:r>
      <w:r w:rsidR="00F93C6A" w:rsidRPr="00B0658A">
        <w:rPr>
          <w:sz w:val="28"/>
        </w:rPr>
        <w:t>8</w:t>
      </w:r>
      <w:r w:rsidRPr="00B0658A">
        <w:rPr>
          <w:sz w:val="28"/>
        </w:rPr>
        <w:t xml:space="preserve">. В случае, если при переходе на использование российского ПО планируется использовать ПО, сведения о котором включены в единый реестр российского ПО </w:t>
      </w:r>
      <w:r w:rsidR="00646919" w:rsidRPr="00B0658A">
        <w:rPr>
          <w:sz w:val="28"/>
        </w:rPr>
        <w:t>и (</w:t>
      </w:r>
      <w:r w:rsidR="009C1446" w:rsidRPr="00B0658A">
        <w:rPr>
          <w:sz w:val="28"/>
        </w:rPr>
        <w:t>или</w:t>
      </w:r>
      <w:r w:rsidR="00646919" w:rsidRPr="00B0658A">
        <w:rPr>
          <w:sz w:val="28"/>
        </w:rPr>
        <w:t>)</w:t>
      </w:r>
      <w:r w:rsidRPr="00B0658A">
        <w:rPr>
          <w:sz w:val="28"/>
        </w:rPr>
        <w:t xml:space="preserve"> в единый реестр евразийского ПО </w:t>
      </w:r>
      <w:r w:rsidR="009C1446" w:rsidRPr="00B0658A">
        <w:rPr>
          <w:sz w:val="28"/>
        </w:rPr>
        <w:t>(</w:t>
      </w:r>
      <w:r w:rsidRPr="00B0658A">
        <w:rPr>
          <w:sz w:val="28"/>
        </w:rPr>
        <w:t>для использования на значимых объектах КИИ) и представляющее собой совокупность программ для электронных вычислительных машин и баз данных, реализующих функции, относящиеся к одному или нескольким классам (типам)</w:t>
      </w:r>
      <w:r w:rsidR="00646919" w:rsidRPr="00B0658A">
        <w:rPr>
          <w:sz w:val="28"/>
        </w:rPr>
        <w:t xml:space="preserve"> </w:t>
      </w:r>
      <w:r w:rsidRPr="00B0658A">
        <w:rPr>
          <w:sz w:val="28"/>
        </w:rPr>
        <w:t xml:space="preserve">ПО (далее – «сборник </w:t>
      </w:r>
      <w:r w:rsidR="006E08C2" w:rsidRPr="00B0658A">
        <w:rPr>
          <w:sz w:val="28"/>
        </w:rPr>
        <w:t>ПО</w:t>
      </w:r>
      <w:r w:rsidRPr="00B0658A">
        <w:rPr>
          <w:sz w:val="28"/>
        </w:rPr>
        <w:t xml:space="preserve">»), то рекомендуется использовать «сборник </w:t>
      </w:r>
      <w:r w:rsidR="006E08C2" w:rsidRPr="00B0658A">
        <w:rPr>
          <w:sz w:val="28"/>
        </w:rPr>
        <w:t>ПО</w:t>
      </w:r>
      <w:r w:rsidRPr="00B0658A">
        <w:rPr>
          <w:sz w:val="28"/>
        </w:rPr>
        <w:t xml:space="preserve">», в котором сведения о каждой программе для электронных вычислительных машин и баз данных, являющейся частью такого «сборника </w:t>
      </w:r>
      <w:r w:rsidR="006E08C2" w:rsidRPr="00B0658A">
        <w:rPr>
          <w:sz w:val="28"/>
        </w:rPr>
        <w:t>ПО</w:t>
      </w:r>
      <w:r w:rsidRPr="00B0658A">
        <w:rPr>
          <w:sz w:val="28"/>
        </w:rPr>
        <w:t xml:space="preserve">», включены в единый реестр российского </w:t>
      </w:r>
      <w:r w:rsidR="006E08C2" w:rsidRPr="00B0658A">
        <w:rPr>
          <w:sz w:val="28"/>
        </w:rPr>
        <w:t>ПО</w:t>
      </w:r>
      <w:r w:rsidRPr="00B0658A">
        <w:rPr>
          <w:sz w:val="28"/>
        </w:rPr>
        <w:t xml:space="preserve"> </w:t>
      </w:r>
      <w:r w:rsidR="00646919" w:rsidRPr="00B0658A">
        <w:rPr>
          <w:sz w:val="28"/>
        </w:rPr>
        <w:t>и (</w:t>
      </w:r>
      <w:r w:rsidRPr="00B0658A">
        <w:rPr>
          <w:sz w:val="28"/>
        </w:rPr>
        <w:t>или</w:t>
      </w:r>
      <w:r w:rsidR="00646919" w:rsidRPr="00B0658A">
        <w:rPr>
          <w:sz w:val="28"/>
        </w:rPr>
        <w:t>)</w:t>
      </w:r>
      <w:r w:rsidRPr="00B0658A">
        <w:rPr>
          <w:sz w:val="28"/>
        </w:rPr>
        <w:t xml:space="preserve"> единый реестр евразийского ПО.</w:t>
      </w:r>
    </w:p>
    <w:p w14:paraId="699EA4F8" w14:textId="77777777" w:rsidR="00DA7A99" w:rsidRPr="00B0658A" w:rsidRDefault="009E5A15" w:rsidP="00F57B1F">
      <w:pPr>
        <w:pStyle w:val="ConsPlusNormal"/>
        <w:ind w:firstLine="709"/>
        <w:jc w:val="both"/>
        <w:rPr>
          <w:sz w:val="28"/>
        </w:rPr>
      </w:pPr>
      <w:r w:rsidRPr="00B0658A">
        <w:rPr>
          <w:sz w:val="28"/>
        </w:rPr>
        <w:t>1</w:t>
      </w:r>
      <w:r w:rsidR="00F93C6A" w:rsidRPr="00B0658A">
        <w:rPr>
          <w:sz w:val="28"/>
        </w:rPr>
        <w:t>9</w:t>
      </w:r>
      <w:r w:rsidR="00A9556C" w:rsidRPr="00B0658A">
        <w:rPr>
          <w:rStyle w:val="aff2"/>
          <w:sz w:val="28"/>
        </w:rPr>
        <w:footnoteReference w:id="3"/>
      </w:r>
      <w:r w:rsidRPr="00B0658A">
        <w:rPr>
          <w:sz w:val="28"/>
        </w:rPr>
        <w:t xml:space="preserve">. При наличии технической возможности с учетом архитектурных особенностей функционирования прикладного ПО информационных систем, используемых органами государственной власти и организациями, а также наличии нормативной правовой базы, регулирующей вопросы оказания органам государственной власти и организациям «облачных» услуг, в том числе услуг по предоставлению </w:t>
      </w:r>
      <w:r w:rsidR="002A1813" w:rsidRPr="00B0658A">
        <w:rPr>
          <w:sz w:val="28"/>
        </w:rPr>
        <w:t xml:space="preserve">российского и (или) евразийского </w:t>
      </w:r>
      <w:r w:rsidRPr="00B0658A">
        <w:rPr>
          <w:sz w:val="28"/>
        </w:rPr>
        <w:t xml:space="preserve">ПО по «облачной» технологии, предоставление российского </w:t>
      </w:r>
      <w:r w:rsidR="002A1813" w:rsidRPr="00B0658A">
        <w:rPr>
          <w:sz w:val="28"/>
        </w:rPr>
        <w:t xml:space="preserve">и (или) евразийского </w:t>
      </w:r>
      <w:r w:rsidRPr="00B0658A">
        <w:rPr>
          <w:sz w:val="28"/>
        </w:rPr>
        <w:t xml:space="preserve">ПО пользователям по «облачной» технологии рекомендуется осуществлять с применением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w:t>
      </w:r>
    </w:p>
    <w:p w14:paraId="062BAC51" w14:textId="77777777" w:rsidR="009E5A15" w:rsidRPr="00B0658A" w:rsidRDefault="009E5A15" w:rsidP="00F57B1F">
      <w:pPr>
        <w:pStyle w:val="ConsPlusNormal"/>
        <w:ind w:firstLine="709"/>
        <w:jc w:val="both"/>
        <w:rPr>
          <w:sz w:val="28"/>
        </w:rPr>
      </w:pPr>
      <w:r w:rsidRPr="00B0658A">
        <w:rPr>
          <w:sz w:val="28"/>
        </w:rPr>
        <w:t xml:space="preserve">По решению органа государственной власти или организации для предоставления </w:t>
      </w:r>
      <w:r w:rsidR="002A1813" w:rsidRPr="00B0658A">
        <w:rPr>
          <w:sz w:val="28"/>
        </w:rPr>
        <w:t xml:space="preserve">российского и (или) евразийского </w:t>
      </w:r>
      <w:r w:rsidRPr="00B0658A">
        <w:rPr>
          <w:sz w:val="28"/>
        </w:rPr>
        <w:t xml:space="preserve">ПО пользователям по «облачной» технологии в порядке, предусмотренном </w:t>
      </w:r>
      <w:r w:rsidR="00DA7A99" w:rsidRPr="00B0658A">
        <w:rPr>
          <w:sz w:val="28"/>
        </w:rPr>
        <w:t xml:space="preserve">российским </w:t>
      </w:r>
      <w:r w:rsidRPr="00B0658A">
        <w:rPr>
          <w:sz w:val="28"/>
        </w:rPr>
        <w:t xml:space="preserve">законодательством о закупках товаров, работ, услуг для обеспечения государственных и муниципальных нужд или о закупках товаров, работ, услуг отдельными видами юридических лиц, может быть использована иная внешняя программно-аппаратная и телекоммуникационная инфраструктура, соответствующая требованиям законодательства Российской Федерации о защите информации, о защите персональных данных и о связи, а также обеспечивающая предоставление пользователям </w:t>
      </w:r>
      <w:r w:rsidR="002A1813" w:rsidRPr="00B0658A">
        <w:rPr>
          <w:sz w:val="28"/>
        </w:rPr>
        <w:t xml:space="preserve">российского и (или) евразийского </w:t>
      </w:r>
      <w:r w:rsidR="00DA7A99" w:rsidRPr="00B0658A">
        <w:rPr>
          <w:sz w:val="28"/>
        </w:rPr>
        <w:t>ПО</w:t>
      </w:r>
      <w:r w:rsidRPr="00B0658A">
        <w:rPr>
          <w:sz w:val="28"/>
        </w:rPr>
        <w:t xml:space="preserve"> с применением «облачной» технологии.</w:t>
      </w:r>
    </w:p>
    <w:p w14:paraId="547E5A52" w14:textId="77777777" w:rsidR="001C47DF" w:rsidRPr="00B0658A" w:rsidRDefault="00F93C6A" w:rsidP="00F57B1F">
      <w:pPr>
        <w:pStyle w:val="ConsPlusNormal"/>
        <w:ind w:firstLine="709"/>
        <w:jc w:val="both"/>
        <w:rPr>
          <w:sz w:val="28"/>
        </w:rPr>
      </w:pPr>
      <w:r w:rsidRPr="00B0658A">
        <w:rPr>
          <w:sz w:val="28"/>
        </w:rPr>
        <w:t>20</w:t>
      </w:r>
      <w:r w:rsidR="00A9556C" w:rsidRPr="00B0658A">
        <w:rPr>
          <w:sz w:val="28"/>
        </w:rPr>
        <w:t>. </w:t>
      </w:r>
      <w:r w:rsidR="0009028F" w:rsidRPr="00B0658A">
        <w:rPr>
          <w:sz w:val="28"/>
        </w:rPr>
        <w:t xml:space="preserve">Органам государственной власти и организациям </w:t>
      </w:r>
      <w:r w:rsidR="00A9556C" w:rsidRPr="00B0658A">
        <w:rPr>
          <w:sz w:val="28"/>
        </w:rPr>
        <w:t>рекомендуется до утверждения план</w:t>
      </w:r>
      <w:r w:rsidR="0009028F" w:rsidRPr="00B0658A">
        <w:rPr>
          <w:sz w:val="28"/>
        </w:rPr>
        <w:t>ов</w:t>
      </w:r>
      <w:r w:rsidR="00A9556C" w:rsidRPr="00B0658A">
        <w:rPr>
          <w:sz w:val="28"/>
        </w:rPr>
        <w:t xml:space="preserve"> переход</w:t>
      </w:r>
      <w:r w:rsidR="001C47DF" w:rsidRPr="00B0658A">
        <w:rPr>
          <w:sz w:val="28"/>
        </w:rPr>
        <w:t>а</w:t>
      </w:r>
      <w:r w:rsidR="00A9556C" w:rsidRPr="00B0658A">
        <w:rPr>
          <w:sz w:val="28"/>
        </w:rPr>
        <w:t xml:space="preserve"> на использование </w:t>
      </w:r>
      <w:r w:rsidR="0009028F" w:rsidRPr="00B0658A">
        <w:rPr>
          <w:sz w:val="28"/>
        </w:rPr>
        <w:t>российского</w:t>
      </w:r>
      <w:r w:rsidR="00A9556C" w:rsidRPr="00B0658A">
        <w:rPr>
          <w:sz w:val="28"/>
        </w:rPr>
        <w:t xml:space="preserve"> </w:t>
      </w:r>
      <w:r w:rsidR="0009028F" w:rsidRPr="00B0658A">
        <w:rPr>
          <w:sz w:val="28"/>
        </w:rPr>
        <w:t>ПО</w:t>
      </w:r>
      <w:r w:rsidR="00A9556C" w:rsidRPr="00B0658A">
        <w:rPr>
          <w:sz w:val="28"/>
        </w:rPr>
        <w:t xml:space="preserve"> приостановить (отменить) процедуры размещения заказа на закупку товаров, работ, услуг (не </w:t>
      </w:r>
      <w:r w:rsidR="00A9556C" w:rsidRPr="00B0658A">
        <w:rPr>
          <w:sz w:val="28"/>
        </w:rPr>
        <w:lastRenderedPageBreak/>
        <w:t xml:space="preserve">осуществлять мероприятия по объявлению новых процедур размещения заказа), связанные с приобретением иностранного </w:t>
      </w:r>
      <w:r w:rsidR="0009028F" w:rsidRPr="00B0658A">
        <w:rPr>
          <w:sz w:val="28"/>
        </w:rPr>
        <w:t>ПО</w:t>
      </w:r>
      <w:r w:rsidR="00A9556C" w:rsidRPr="00B0658A">
        <w:rPr>
          <w:sz w:val="28"/>
        </w:rPr>
        <w:t xml:space="preserve"> (приобретением прав на использование иностранного </w:t>
      </w:r>
      <w:r w:rsidR="0009028F" w:rsidRPr="00B0658A">
        <w:rPr>
          <w:sz w:val="28"/>
        </w:rPr>
        <w:t>ПО</w:t>
      </w:r>
      <w:r w:rsidR="00A9556C" w:rsidRPr="00B0658A">
        <w:rPr>
          <w:sz w:val="28"/>
        </w:rPr>
        <w:t xml:space="preserve">), сведения о котором не включены в единый реестр российского </w:t>
      </w:r>
      <w:r w:rsidR="0009028F" w:rsidRPr="00B0658A">
        <w:rPr>
          <w:sz w:val="28"/>
        </w:rPr>
        <w:t>ПО</w:t>
      </w:r>
      <w:r w:rsidR="001C47DF" w:rsidRPr="00B0658A">
        <w:rPr>
          <w:sz w:val="28"/>
        </w:rPr>
        <w:t xml:space="preserve"> (за исключением ПО, сведения о котором включены в единый реестр евразийского ПО)</w:t>
      </w:r>
      <w:r w:rsidR="00A9556C" w:rsidRPr="00B0658A">
        <w:rPr>
          <w:sz w:val="28"/>
        </w:rPr>
        <w:t xml:space="preserve">, работ, услуг, связанных с технической поддержкой указанного </w:t>
      </w:r>
      <w:r w:rsidR="002A1813" w:rsidRPr="00B0658A">
        <w:rPr>
          <w:sz w:val="28"/>
        </w:rPr>
        <w:t xml:space="preserve">иностранного </w:t>
      </w:r>
      <w:r w:rsidR="001C47DF" w:rsidRPr="00B0658A">
        <w:rPr>
          <w:sz w:val="28"/>
        </w:rPr>
        <w:t>ПО</w:t>
      </w:r>
      <w:r w:rsidR="00A9556C" w:rsidRPr="00B0658A">
        <w:rPr>
          <w:sz w:val="28"/>
        </w:rPr>
        <w:t xml:space="preserve">, в том числе функционирующего в составе информационных систем, а также работ, услуг, связанных с развитием (модернизацией) прикладного </w:t>
      </w:r>
      <w:r w:rsidR="001C47DF" w:rsidRPr="00B0658A">
        <w:rPr>
          <w:sz w:val="28"/>
        </w:rPr>
        <w:t>ПО</w:t>
      </w:r>
      <w:r w:rsidR="00A9556C" w:rsidRPr="00B0658A">
        <w:rPr>
          <w:sz w:val="28"/>
        </w:rPr>
        <w:t xml:space="preserve"> информационных систем и иных программных элементов информационно-технологической инфраструктуры, функционирующих на базе иностранного </w:t>
      </w:r>
      <w:r w:rsidR="001C47DF" w:rsidRPr="00B0658A">
        <w:rPr>
          <w:sz w:val="28"/>
        </w:rPr>
        <w:t>ПО</w:t>
      </w:r>
      <w:r w:rsidR="00A9556C" w:rsidRPr="00B0658A">
        <w:rPr>
          <w:sz w:val="28"/>
        </w:rPr>
        <w:t>.</w:t>
      </w:r>
    </w:p>
    <w:p w14:paraId="0E5BCCCA" w14:textId="77777777" w:rsidR="00EA4E17" w:rsidRPr="00B0658A" w:rsidRDefault="00EA22F5"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2</w:t>
      </w:r>
      <w:r w:rsidR="00F93C6A" w:rsidRPr="00B0658A">
        <w:rPr>
          <w:rFonts w:ascii="Times New Roman" w:hAnsi="Times New Roman"/>
          <w:sz w:val="28"/>
          <w:szCs w:val="24"/>
        </w:rPr>
        <w:t>1</w:t>
      </w:r>
      <w:r w:rsidRPr="00B0658A">
        <w:rPr>
          <w:rFonts w:ascii="Times New Roman" w:hAnsi="Times New Roman"/>
          <w:sz w:val="28"/>
          <w:szCs w:val="24"/>
        </w:rPr>
        <w:t>. </w:t>
      </w:r>
      <w:r w:rsidR="00EA4E17" w:rsidRPr="00B0658A">
        <w:rPr>
          <w:rFonts w:ascii="Times New Roman" w:hAnsi="Times New Roman"/>
          <w:sz w:val="28"/>
          <w:szCs w:val="24"/>
        </w:rPr>
        <w:t xml:space="preserve">Учитывая введенные в отношении Российской Федерации санкции со стороны недружественных государств, при планировании ресурсного обеспечения реализации планов перехода на использование российского ПО, а также планировании расходов на </w:t>
      </w:r>
      <w:r w:rsidR="000803DD" w:rsidRPr="00B0658A">
        <w:rPr>
          <w:rFonts w:ascii="Times New Roman" w:hAnsi="Times New Roman"/>
          <w:sz w:val="28"/>
          <w:szCs w:val="24"/>
        </w:rPr>
        <w:t>ИКТ</w:t>
      </w:r>
      <w:r w:rsidR="00EA4E17" w:rsidRPr="00B0658A">
        <w:rPr>
          <w:rFonts w:ascii="Times New Roman" w:hAnsi="Times New Roman"/>
          <w:sz w:val="28"/>
          <w:szCs w:val="24"/>
        </w:rPr>
        <w:t xml:space="preserve"> орган</w:t>
      </w:r>
      <w:r w:rsidR="00262BA7" w:rsidRPr="00B0658A">
        <w:rPr>
          <w:rFonts w:ascii="Times New Roman" w:hAnsi="Times New Roman"/>
          <w:sz w:val="28"/>
          <w:szCs w:val="24"/>
        </w:rPr>
        <w:t>ам</w:t>
      </w:r>
      <w:r w:rsidR="00EA4E17" w:rsidRPr="00B0658A">
        <w:rPr>
          <w:rFonts w:ascii="Times New Roman" w:hAnsi="Times New Roman"/>
          <w:sz w:val="28"/>
          <w:szCs w:val="24"/>
        </w:rPr>
        <w:t xml:space="preserve"> государственной власти и организация</w:t>
      </w:r>
      <w:r w:rsidR="00262BA7" w:rsidRPr="00B0658A">
        <w:rPr>
          <w:rFonts w:ascii="Times New Roman" w:hAnsi="Times New Roman"/>
          <w:sz w:val="28"/>
          <w:szCs w:val="24"/>
        </w:rPr>
        <w:t>м</w:t>
      </w:r>
      <w:r w:rsidR="00EA4E17" w:rsidRPr="00B0658A">
        <w:rPr>
          <w:rFonts w:ascii="Times New Roman" w:hAnsi="Times New Roman"/>
          <w:sz w:val="28"/>
          <w:szCs w:val="24"/>
        </w:rPr>
        <w:t xml:space="preserve"> рекомендуется:</w:t>
      </w:r>
    </w:p>
    <w:p w14:paraId="72CC226B" w14:textId="77777777" w:rsidR="00EA4E17" w:rsidRPr="00B0658A" w:rsidRDefault="00EA4E17"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а) </w:t>
      </w:r>
      <w:r w:rsidR="00395A0E" w:rsidRPr="00B0658A">
        <w:rPr>
          <w:rFonts w:ascii="Times New Roman" w:hAnsi="Times New Roman"/>
          <w:sz w:val="28"/>
          <w:szCs w:val="24"/>
        </w:rPr>
        <w:t>исключить</w:t>
      </w:r>
      <w:r w:rsidRPr="00B0658A">
        <w:rPr>
          <w:rFonts w:ascii="Times New Roman" w:hAnsi="Times New Roman"/>
          <w:sz w:val="28"/>
          <w:szCs w:val="24"/>
        </w:rPr>
        <w:t xml:space="preserve"> расходы, связанные с приобретением новых лицензий на иностранное ПО</w:t>
      </w:r>
      <w:r w:rsidR="00511FA9" w:rsidRPr="00B0658A">
        <w:rPr>
          <w:rFonts w:ascii="Times New Roman" w:hAnsi="Times New Roman"/>
          <w:sz w:val="28"/>
          <w:szCs w:val="24"/>
        </w:rPr>
        <w:t>, расширяющи</w:t>
      </w:r>
      <w:r w:rsidR="00BC4A05" w:rsidRPr="00B0658A">
        <w:rPr>
          <w:rFonts w:ascii="Times New Roman" w:hAnsi="Times New Roman"/>
          <w:sz w:val="28"/>
          <w:szCs w:val="24"/>
        </w:rPr>
        <w:t>е</w:t>
      </w:r>
      <w:r w:rsidR="00511FA9" w:rsidRPr="00B0658A">
        <w:rPr>
          <w:rFonts w:ascii="Times New Roman" w:hAnsi="Times New Roman"/>
          <w:sz w:val="28"/>
          <w:szCs w:val="24"/>
        </w:rPr>
        <w:t xml:space="preserve"> объем</w:t>
      </w:r>
      <w:r w:rsidR="00BC4A05" w:rsidRPr="00B0658A">
        <w:rPr>
          <w:rFonts w:ascii="Times New Roman" w:hAnsi="Times New Roman"/>
          <w:sz w:val="28"/>
          <w:szCs w:val="24"/>
        </w:rPr>
        <w:t>ы</w:t>
      </w:r>
      <w:r w:rsidR="00511FA9" w:rsidRPr="00B0658A">
        <w:rPr>
          <w:rFonts w:ascii="Times New Roman" w:hAnsi="Times New Roman"/>
          <w:sz w:val="28"/>
          <w:szCs w:val="24"/>
        </w:rPr>
        <w:t xml:space="preserve"> используемого</w:t>
      </w:r>
      <w:r w:rsidR="00BC4A05" w:rsidRPr="00B0658A">
        <w:rPr>
          <w:rFonts w:ascii="Times New Roman" w:hAnsi="Times New Roman"/>
          <w:sz w:val="28"/>
          <w:szCs w:val="24"/>
        </w:rPr>
        <w:t xml:space="preserve"> на момент планирования</w:t>
      </w:r>
      <w:r w:rsidR="00511FA9" w:rsidRPr="00B0658A">
        <w:rPr>
          <w:rFonts w:ascii="Times New Roman" w:hAnsi="Times New Roman"/>
          <w:sz w:val="28"/>
          <w:szCs w:val="24"/>
        </w:rPr>
        <w:t xml:space="preserve"> иностранного ПО,</w:t>
      </w:r>
      <w:r w:rsidRPr="00B0658A">
        <w:rPr>
          <w:rFonts w:ascii="Times New Roman" w:hAnsi="Times New Roman"/>
          <w:sz w:val="28"/>
          <w:szCs w:val="24"/>
        </w:rPr>
        <w:t xml:space="preserve"> </w:t>
      </w:r>
      <w:r w:rsidR="00395A0E" w:rsidRPr="00B0658A">
        <w:rPr>
          <w:rFonts w:ascii="Times New Roman" w:hAnsi="Times New Roman"/>
          <w:sz w:val="28"/>
          <w:szCs w:val="24"/>
        </w:rPr>
        <w:t xml:space="preserve">а также минимизировать расходы, связанные с </w:t>
      </w:r>
      <w:r w:rsidRPr="00B0658A">
        <w:rPr>
          <w:rFonts w:ascii="Times New Roman" w:hAnsi="Times New Roman"/>
          <w:sz w:val="28"/>
          <w:szCs w:val="24"/>
        </w:rPr>
        <w:t xml:space="preserve">продлением прав на уже используемое иностранное ПО, правообладателями которого являются компании, происходящие </w:t>
      </w:r>
      <w:r w:rsidR="00132807" w:rsidRPr="00B0658A">
        <w:rPr>
          <w:rFonts w:ascii="Times New Roman" w:hAnsi="Times New Roman"/>
          <w:sz w:val="28"/>
          <w:szCs w:val="24"/>
        </w:rPr>
        <w:t>из недружественных государств</w:t>
      </w:r>
      <w:r w:rsidRPr="00B0658A">
        <w:rPr>
          <w:rFonts w:ascii="Times New Roman" w:hAnsi="Times New Roman"/>
          <w:sz w:val="28"/>
          <w:szCs w:val="24"/>
        </w:rPr>
        <w:t>;</w:t>
      </w:r>
    </w:p>
    <w:p w14:paraId="1C515630" w14:textId="77777777" w:rsidR="00EA4E17" w:rsidRPr="00B0658A" w:rsidRDefault="00EA4E17"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 xml:space="preserve">б) существенно сократить расходы, связанные с технической поддержкой иностранного ПО, правообладателями которого являются компании, происходящие </w:t>
      </w:r>
      <w:r w:rsidR="00132807" w:rsidRPr="00B0658A">
        <w:rPr>
          <w:rFonts w:ascii="Times New Roman" w:hAnsi="Times New Roman"/>
          <w:sz w:val="28"/>
          <w:szCs w:val="24"/>
        </w:rPr>
        <w:t>из недружественных государств, в том числе</w:t>
      </w:r>
      <w:r w:rsidRPr="00B0658A">
        <w:rPr>
          <w:rFonts w:ascii="Times New Roman" w:hAnsi="Times New Roman"/>
          <w:sz w:val="28"/>
          <w:szCs w:val="24"/>
        </w:rPr>
        <w:t xml:space="preserve"> за счет:</w:t>
      </w:r>
    </w:p>
    <w:p w14:paraId="776437E4" w14:textId="2FE4842C" w:rsidR="00EA4E17" w:rsidRPr="00B0658A" w:rsidRDefault="00A82CA8"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минимизации</w:t>
      </w:r>
      <w:r w:rsidR="00EA4E17" w:rsidRPr="00B0658A">
        <w:rPr>
          <w:rFonts w:ascii="Times New Roman" w:hAnsi="Times New Roman"/>
          <w:sz w:val="28"/>
          <w:szCs w:val="24"/>
        </w:rPr>
        <w:t xml:space="preserve"> затрат на техническую поддержку </w:t>
      </w:r>
      <w:r w:rsidR="00F01A3D" w:rsidRPr="00B0658A">
        <w:rPr>
          <w:rFonts w:ascii="Times New Roman" w:hAnsi="Times New Roman"/>
          <w:sz w:val="28"/>
          <w:szCs w:val="24"/>
        </w:rPr>
        <w:t>ПО</w:t>
      </w:r>
      <w:r w:rsidR="00EA4E17" w:rsidRPr="00B0658A">
        <w:rPr>
          <w:rFonts w:ascii="Times New Roman" w:hAnsi="Times New Roman"/>
          <w:sz w:val="28"/>
          <w:szCs w:val="24"/>
        </w:rPr>
        <w:t>, если такая техническая поддержка подразумевает под собой получение прав на использование такого иностранного ПО или получение новых версий такого иностранного ПО;</w:t>
      </w:r>
    </w:p>
    <w:p w14:paraId="5AC11878" w14:textId="125A8807" w:rsidR="00EA4E17" w:rsidRPr="00B0658A" w:rsidRDefault="00EA4E17"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 xml:space="preserve">сокращения перечня </w:t>
      </w:r>
      <w:r w:rsidR="00A82CA8" w:rsidRPr="00B0658A">
        <w:rPr>
          <w:rFonts w:ascii="Times New Roman" w:hAnsi="Times New Roman"/>
          <w:sz w:val="28"/>
          <w:szCs w:val="24"/>
        </w:rPr>
        <w:t xml:space="preserve">и объема </w:t>
      </w:r>
      <w:r w:rsidRPr="00B0658A">
        <w:rPr>
          <w:rFonts w:ascii="Times New Roman" w:hAnsi="Times New Roman"/>
          <w:sz w:val="28"/>
          <w:szCs w:val="24"/>
        </w:rPr>
        <w:t xml:space="preserve">закупаемых в рамках технической поддержки работ (услуг) до уровня, необходимого и достаточного для обеспечения непрерывности функционирования такого ПО в рамках автоматизированных критичных </w:t>
      </w:r>
      <w:r w:rsidR="00F01A3D" w:rsidRPr="00B0658A">
        <w:rPr>
          <w:rFonts w:ascii="Times New Roman" w:hAnsi="Times New Roman"/>
          <w:sz w:val="28"/>
          <w:szCs w:val="24"/>
        </w:rPr>
        <w:t xml:space="preserve">административных и </w:t>
      </w:r>
      <w:r w:rsidRPr="00B0658A">
        <w:rPr>
          <w:rFonts w:ascii="Times New Roman" w:hAnsi="Times New Roman"/>
          <w:sz w:val="28"/>
          <w:szCs w:val="24"/>
        </w:rPr>
        <w:t xml:space="preserve">бизнес-процессов до момента обеспечения реализации указанных </w:t>
      </w:r>
      <w:r w:rsidR="00F01A3D" w:rsidRPr="00B0658A">
        <w:rPr>
          <w:rFonts w:ascii="Times New Roman" w:hAnsi="Times New Roman"/>
          <w:sz w:val="28"/>
          <w:szCs w:val="24"/>
        </w:rPr>
        <w:t xml:space="preserve">административных и </w:t>
      </w:r>
      <w:r w:rsidRPr="00B0658A">
        <w:rPr>
          <w:rFonts w:ascii="Times New Roman" w:hAnsi="Times New Roman"/>
          <w:sz w:val="28"/>
          <w:szCs w:val="24"/>
        </w:rPr>
        <w:t xml:space="preserve">бизнес-процессов с использованием </w:t>
      </w:r>
      <w:r w:rsidR="00F01A3D" w:rsidRPr="00B0658A">
        <w:rPr>
          <w:rFonts w:ascii="Times New Roman" w:hAnsi="Times New Roman"/>
          <w:sz w:val="28"/>
          <w:szCs w:val="24"/>
        </w:rPr>
        <w:t>российского ПО</w:t>
      </w:r>
      <w:r w:rsidR="00BC4A05" w:rsidRPr="00B0658A">
        <w:rPr>
          <w:rFonts w:ascii="Times New Roman" w:hAnsi="Times New Roman"/>
          <w:sz w:val="28"/>
          <w:szCs w:val="24"/>
        </w:rPr>
        <w:t xml:space="preserve"> и (</w:t>
      </w:r>
      <w:r w:rsidR="00DA7A99" w:rsidRPr="00B0658A">
        <w:rPr>
          <w:rFonts w:ascii="Times New Roman" w:hAnsi="Times New Roman"/>
          <w:sz w:val="28"/>
          <w:szCs w:val="24"/>
        </w:rPr>
        <w:t>или</w:t>
      </w:r>
      <w:r w:rsidR="00BC4A05" w:rsidRPr="00B0658A">
        <w:rPr>
          <w:rFonts w:ascii="Times New Roman" w:hAnsi="Times New Roman"/>
          <w:sz w:val="28"/>
          <w:szCs w:val="24"/>
        </w:rPr>
        <w:t>)</w:t>
      </w:r>
      <w:r w:rsidR="00DA7A99" w:rsidRPr="00B0658A">
        <w:rPr>
          <w:rFonts w:ascii="Times New Roman" w:hAnsi="Times New Roman"/>
          <w:sz w:val="28"/>
          <w:szCs w:val="24"/>
        </w:rPr>
        <w:t xml:space="preserve"> евразийского ПО (на значимых объектах КИИ)</w:t>
      </w:r>
      <w:r w:rsidRPr="00B0658A">
        <w:rPr>
          <w:rFonts w:ascii="Times New Roman" w:hAnsi="Times New Roman"/>
          <w:sz w:val="28"/>
          <w:szCs w:val="24"/>
        </w:rPr>
        <w:t>;</w:t>
      </w:r>
    </w:p>
    <w:p w14:paraId="3CD48A23" w14:textId="54F8FAF6" w:rsidR="00EA4E17" w:rsidRPr="00B0658A" w:rsidRDefault="00EA4E17"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перевод</w:t>
      </w:r>
      <w:r w:rsidR="00DA7A99" w:rsidRPr="00B0658A">
        <w:rPr>
          <w:rFonts w:ascii="Times New Roman" w:hAnsi="Times New Roman"/>
          <w:sz w:val="28"/>
          <w:szCs w:val="24"/>
        </w:rPr>
        <w:t>а</w:t>
      </w:r>
      <w:r w:rsidRPr="00B0658A">
        <w:rPr>
          <w:rFonts w:ascii="Times New Roman" w:hAnsi="Times New Roman"/>
          <w:sz w:val="28"/>
          <w:szCs w:val="24"/>
        </w:rPr>
        <w:t xml:space="preserve"> </w:t>
      </w:r>
      <w:r w:rsidR="00A82CA8" w:rsidRPr="00B0658A">
        <w:rPr>
          <w:rFonts w:ascii="Times New Roman" w:hAnsi="Times New Roman"/>
          <w:sz w:val="28"/>
          <w:szCs w:val="24"/>
        </w:rPr>
        <w:t xml:space="preserve">всей </w:t>
      </w:r>
      <w:r w:rsidRPr="00B0658A">
        <w:rPr>
          <w:rFonts w:ascii="Times New Roman" w:hAnsi="Times New Roman"/>
          <w:sz w:val="28"/>
          <w:szCs w:val="24"/>
        </w:rPr>
        <w:t>технической поддержки на российские компании, обеспечивающие указанные услуги без взаимодействи</w:t>
      </w:r>
      <w:r w:rsidR="00DA7A99" w:rsidRPr="00B0658A">
        <w:rPr>
          <w:rFonts w:ascii="Times New Roman" w:hAnsi="Times New Roman"/>
          <w:sz w:val="28"/>
          <w:szCs w:val="24"/>
        </w:rPr>
        <w:t>я</w:t>
      </w:r>
      <w:r w:rsidRPr="00B0658A">
        <w:rPr>
          <w:rFonts w:ascii="Times New Roman" w:hAnsi="Times New Roman"/>
          <w:sz w:val="28"/>
          <w:szCs w:val="24"/>
        </w:rPr>
        <w:t xml:space="preserve"> с производителем </w:t>
      </w:r>
      <w:r w:rsidR="00A82CA8" w:rsidRPr="00B0658A">
        <w:rPr>
          <w:rFonts w:ascii="Times New Roman" w:hAnsi="Times New Roman"/>
          <w:sz w:val="28"/>
          <w:szCs w:val="24"/>
        </w:rPr>
        <w:t xml:space="preserve">(правообладателем) </w:t>
      </w:r>
      <w:r w:rsidR="00F01A3D" w:rsidRPr="00B0658A">
        <w:rPr>
          <w:rFonts w:ascii="Times New Roman" w:hAnsi="Times New Roman"/>
          <w:sz w:val="28"/>
          <w:szCs w:val="24"/>
        </w:rPr>
        <w:t xml:space="preserve">иностранного </w:t>
      </w:r>
      <w:r w:rsidRPr="00B0658A">
        <w:rPr>
          <w:rFonts w:ascii="Times New Roman" w:hAnsi="Times New Roman"/>
          <w:sz w:val="28"/>
          <w:szCs w:val="24"/>
        </w:rPr>
        <w:t>ПО</w:t>
      </w:r>
      <w:r w:rsidR="001368B5" w:rsidRPr="00B0658A">
        <w:rPr>
          <w:rFonts w:ascii="Times New Roman" w:hAnsi="Times New Roman"/>
          <w:sz w:val="28"/>
          <w:szCs w:val="24"/>
        </w:rPr>
        <w:t>;</w:t>
      </w:r>
    </w:p>
    <w:p w14:paraId="40C432B0" w14:textId="77777777" w:rsidR="00EA4E17" w:rsidRPr="00B0658A" w:rsidRDefault="00F01A3D"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в)</w:t>
      </w:r>
      <w:r w:rsidR="00EA4E17" w:rsidRPr="00B0658A">
        <w:rPr>
          <w:rFonts w:ascii="Times New Roman" w:hAnsi="Times New Roman"/>
          <w:sz w:val="28"/>
          <w:szCs w:val="24"/>
        </w:rPr>
        <w:t> сокра</w:t>
      </w:r>
      <w:r w:rsidRPr="00B0658A">
        <w:rPr>
          <w:rFonts w:ascii="Times New Roman" w:hAnsi="Times New Roman"/>
          <w:sz w:val="28"/>
          <w:szCs w:val="24"/>
        </w:rPr>
        <w:t>тить</w:t>
      </w:r>
      <w:r w:rsidR="00EA4E17" w:rsidRPr="00B0658A">
        <w:rPr>
          <w:rFonts w:ascii="Times New Roman" w:hAnsi="Times New Roman"/>
          <w:sz w:val="28"/>
          <w:szCs w:val="24"/>
        </w:rPr>
        <w:t xml:space="preserve"> </w:t>
      </w:r>
      <w:r w:rsidR="00602D51" w:rsidRPr="00B0658A">
        <w:rPr>
          <w:rFonts w:ascii="Times New Roman" w:hAnsi="Times New Roman"/>
          <w:sz w:val="28"/>
          <w:szCs w:val="24"/>
        </w:rPr>
        <w:t>расходы</w:t>
      </w:r>
      <w:r w:rsidR="00EA4E17" w:rsidRPr="00B0658A">
        <w:rPr>
          <w:rFonts w:ascii="Times New Roman" w:hAnsi="Times New Roman"/>
          <w:sz w:val="28"/>
          <w:szCs w:val="24"/>
        </w:rPr>
        <w:t>, связанны</w:t>
      </w:r>
      <w:r w:rsidRPr="00B0658A">
        <w:rPr>
          <w:rFonts w:ascii="Times New Roman" w:hAnsi="Times New Roman"/>
          <w:sz w:val="28"/>
          <w:szCs w:val="24"/>
        </w:rPr>
        <w:t>е</w:t>
      </w:r>
      <w:r w:rsidR="00EA4E17" w:rsidRPr="00B0658A">
        <w:rPr>
          <w:rFonts w:ascii="Times New Roman" w:hAnsi="Times New Roman"/>
          <w:sz w:val="28"/>
          <w:szCs w:val="24"/>
        </w:rPr>
        <w:t xml:space="preserve"> с развитием </w:t>
      </w:r>
      <w:r w:rsidR="00A82CA8" w:rsidRPr="00B0658A">
        <w:rPr>
          <w:rFonts w:ascii="Times New Roman" w:hAnsi="Times New Roman"/>
          <w:sz w:val="28"/>
          <w:szCs w:val="24"/>
        </w:rPr>
        <w:t xml:space="preserve">новых функциональных возможностей </w:t>
      </w:r>
      <w:r w:rsidRPr="00B0658A">
        <w:rPr>
          <w:rFonts w:ascii="Times New Roman" w:hAnsi="Times New Roman"/>
          <w:sz w:val="28"/>
          <w:szCs w:val="24"/>
        </w:rPr>
        <w:t>информационных систем</w:t>
      </w:r>
      <w:r w:rsidR="00EA4E17" w:rsidRPr="00B0658A">
        <w:rPr>
          <w:rFonts w:ascii="Times New Roman" w:hAnsi="Times New Roman"/>
          <w:sz w:val="28"/>
          <w:szCs w:val="24"/>
        </w:rPr>
        <w:t>, функционирующих на основе иностранных ИТ-платформ и иностранного ПО;</w:t>
      </w:r>
    </w:p>
    <w:p w14:paraId="41D958D6" w14:textId="38B6C03F" w:rsidR="001368B5" w:rsidRPr="00B0658A" w:rsidRDefault="001368B5"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г) провести анализ текущих и плановых расходов на ИКТ для целей их оптимизации и формирования достаточного объема ресурсов для ускоренного перехода на использование российского ПО</w:t>
      </w:r>
      <w:r w:rsidR="00566386">
        <w:rPr>
          <w:rFonts w:ascii="Times New Roman" w:hAnsi="Times New Roman"/>
          <w:sz w:val="28"/>
          <w:szCs w:val="24"/>
        </w:rPr>
        <w:t>;</w:t>
      </w:r>
    </w:p>
    <w:p w14:paraId="4A31EDD9" w14:textId="77777777" w:rsidR="00EA4E17" w:rsidRPr="00B0658A" w:rsidRDefault="001368B5"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д</w:t>
      </w:r>
      <w:r w:rsidR="00F01A3D" w:rsidRPr="00B0658A">
        <w:rPr>
          <w:rFonts w:ascii="Times New Roman" w:hAnsi="Times New Roman"/>
          <w:sz w:val="28"/>
          <w:szCs w:val="24"/>
        </w:rPr>
        <w:t>)</w:t>
      </w:r>
      <w:r w:rsidR="00EA4E17" w:rsidRPr="00B0658A">
        <w:rPr>
          <w:rFonts w:ascii="Times New Roman" w:hAnsi="Times New Roman"/>
          <w:sz w:val="28"/>
          <w:szCs w:val="24"/>
        </w:rPr>
        <w:t> </w:t>
      </w:r>
      <w:r w:rsidR="00F01A3D" w:rsidRPr="00B0658A">
        <w:rPr>
          <w:rFonts w:ascii="Times New Roman" w:hAnsi="Times New Roman"/>
          <w:sz w:val="28"/>
          <w:szCs w:val="24"/>
        </w:rPr>
        <w:t xml:space="preserve">перенаправить </w:t>
      </w:r>
      <w:r w:rsidR="00EA4E17" w:rsidRPr="00B0658A">
        <w:rPr>
          <w:rFonts w:ascii="Times New Roman" w:hAnsi="Times New Roman"/>
          <w:sz w:val="28"/>
          <w:szCs w:val="24"/>
        </w:rPr>
        <w:t>высвобождающи</w:t>
      </w:r>
      <w:r w:rsidR="00F01A3D" w:rsidRPr="00B0658A">
        <w:rPr>
          <w:rFonts w:ascii="Times New Roman" w:hAnsi="Times New Roman"/>
          <w:sz w:val="28"/>
          <w:szCs w:val="24"/>
        </w:rPr>
        <w:t>е</w:t>
      </w:r>
      <w:r w:rsidR="00EA4E17" w:rsidRPr="00B0658A">
        <w:rPr>
          <w:rFonts w:ascii="Times New Roman" w:hAnsi="Times New Roman"/>
          <w:sz w:val="28"/>
          <w:szCs w:val="24"/>
        </w:rPr>
        <w:t>ся ресурс</w:t>
      </w:r>
      <w:r w:rsidR="00F01A3D" w:rsidRPr="00B0658A">
        <w:rPr>
          <w:rFonts w:ascii="Times New Roman" w:hAnsi="Times New Roman"/>
          <w:sz w:val="28"/>
          <w:szCs w:val="24"/>
        </w:rPr>
        <w:t>ы</w:t>
      </w:r>
      <w:r w:rsidR="00EA4E17" w:rsidRPr="00B0658A">
        <w:rPr>
          <w:rFonts w:ascii="Times New Roman" w:hAnsi="Times New Roman"/>
          <w:sz w:val="28"/>
          <w:szCs w:val="24"/>
        </w:rPr>
        <w:t xml:space="preserve"> на задачи, связанные с обеспечением ускоренной замены используемого иностранного ПО, в том числе </w:t>
      </w:r>
      <w:r w:rsidR="00132807" w:rsidRPr="00B0658A">
        <w:rPr>
          <w:rFonts w:ascii="Times New Roman" w:hAnsi="Times New Roman"/>
          <w:sz w:val="28"/>
          <w:szCs w:val="24"/>
        </w:rPr>
        <w:t xml:space="preserve">на </w:t>
      </w:r>
      <w:r w:rsidR="00F01A3D" w:rsidRPr="00B0658A">
        <w:rPr>
          <w:rFonts w:ascii="Times New Roman" w:hAnsi="Times New Roman"/>
          <w:sz w:val="28"/>
          <w:szCs w:val="24"/>
        </w:rPr>
        <w:t xml:space="preserve">задачи по </w:t>
      </w:r>
      <w:r w:rsidR="00EA4E17" w:rsidRPr="00B0658A">
        <w:rPr>
          <w:rFonts w:ascii="Times New Roman" w:hAnsi="Times New Roman"/>
          <w:sz w:val="28"/>
          <w:szCs w:val="24"/>
        </w:rPr>
        <w:t>модернизаци</w:t>
      </w:r>
      <w:r w:rsidR="00F01A3D" w:rsidRPr="00B0658A">
        <w:rPr>
          <w:rFonts w:ascii="Times New Roman" w:hAnsi="Times New Roman"/>
          <w:sz w:val="28"/>
          <w:szCs w:val="24"/>
        </w:rPr>
        <w:t>и</w:t>
      </w:r>
      <w:r w:rsidR="00EA4E17" w:rsidRPr="00B0658A">
        <w:rPr>
          <w:rFonts w:ascii="Times New Roman" w:hAnsi="Times New Roman"/>
          <w:sz w:val="28"/>
          <w:szCs w:val="24"/>
        </w:rPr>
        <w:t xml:space="preserve"> </w:t>
      </w:r>
      <w:r w:rsidR="00BC4A05" w:rsidRPr="00B0658A">
        <w:rPr>
          <w:rFonts w:ascii="Times New Roman" w:hAnsi="Times New Roman"/>
          <w:sz w:val="28"/>
          <w:szCs w:val="24"/>
        </w:rPr>
        <w:t xml:space="preserve">прикладного ПО </w:t>
      </w:r>
      <w:r w:rsidR="00F01A3D" w:rsidRPr="00B0658A">
        <w:rPr>
          <w:rFonts w:ascii="Times New Roman" w:hAnsi="Times New Roman"/>
          <w:sz w:val="28"/>
          <w:szCs w:val="24"/>
        </w:rPr>
        <w:t xml:space="preserve">государственных и ведомственных информационных систем, </w:t>
      </w:r>
      <w:r w:rsidR="00EA4E17" w:rsidRPr="00B0658A">
        <w:rPr>
          <w:rFonts w:ascii="Times New Roman" w:hAnsi="Times New Roman"/>
          <w:sz w:val="28"/>
          <w:szCs w:val="24"/>
        </w:rPr>
        <w:t>прикладн</w:t>
      </w:r>
      <w:r w:rsidR="00BC4A05" w:rsidRPr="00B0658A">
        <w:rPr>
          <w:rFonts w:ascii="Times New Roman" w:hAnsi="Times New Roman"/>
          <w:sz w:val="28"/>
          <w:szCs w:val="24"/>
        </w:rPr>
        <w:t>ого ПО</w:t>
      </w:r>
      <w:r w:rsidR="00EA4E17" w:rsidRPr="00B0658A">
        <w:rPr>
          <w:rFonts w:ascii="Times New Roman" w:hAnsi="Times New Roman"/>
          <w:sz w:val="28"/>
          <w:szCs w:val="24"/>
        </w:rPr>
        <w:t xml:space="preserve"> информационных систем организаци</w:t>
      </w:r>
      <w:r w:rsidR="00F01A3D" w:rsidRPr="00B0658A">
        <w:rPr>
          <w:rFonts w:ascii="Times New Roman" w:hAnsi="Times New Roman"/>
          <w:sz w:val="28"/>
          <w:szCs w:val="24"/>
        </w:rPr>
        <w:t>й</w:t>
      </w:r>
      <w:r w:rsidR="00EA4E17" w:rsidRPr="00B0658A">
        <w:rPr>
          <w:rFonts w:ascii="Times New Roman" w:hAnsi="Times New Roman"/>
          <w:sz w:val="28"/>
          <w:szCs w:val="24"/>
        </w:rPr>
        <w:t xml:space="preserve">. </w:t>
      </w:r>
    </w:p>
    <w:p w14:paraId="787E6B14" w14:textId="77777777" w:rsidR="00EA4E17" w:rsidRPr="00B0658A" w:rsidRDefault="00EA4E17" w:rsidP="00F57B1F">
      <w:pPr>
        <w:pStyle w:val="ConsPlusNormal"/>
        <w:ind w:firstLine="709"/>
        <w:jc w:val="both"/>
        <w:rPr>
          <w:sz w:val="28"/>
        </w:rPr>
      </w:pPr>
      <w:r w:rsidRPr="00B0658A">
        <w:rPr>
          <w:sz w:val="28"/>
        </w:rPr>
        <w:t>2</w:t>
      </w:r>
      <w:r w:rsidR="00F93C6A" w:rsidRPr="00B0658A">
        <w:rPr>
          <w:sz w:val="28"/>
        </w:rPr>
        <w:t>2</w:t>
      </w:r>
      <w:r w:rsidRPr="00B0658A">
        <w:rPr>
          <w:sz w:val="28"/>
        </w:rPr>
        <w:t>. </w:t>
      </w:r>
      <w:r w:rsidR="00D518C6" w:rsidRPr="00B0658A">
        <w:rPr>
          <w:sz w:val="28"/>
        </w:rPr>
        <w:t>В</w:t>
      </w:r>
      <w:r w:rsidRPr="00B0658A">
        <w:rPr>
          <w:sz w:val="28"/>
        </w:rPr>
        <w:t xml:space="preserve"> случае обоснованной необходимости </w:t>
      </w:r>
      <w:r w:rsidR="00F93C6A" w:rsidRPr="00B0658A">
        <w:rPr>
          <w:sz w:val="28"/>
        </w:rPr>
        <w:t xml:space="preserve">закупки иностранного ПО и </w:t>
      </w:r>
      <w:r w:rsidR="00F93C6A" w:rsidRPr="00B0658A">
        <w:rPr>
          <w:sz w:val="28"/>
        </w:rPr>
        <w:lastRenderedPageBreak/>
        <w:t xml:space="preserve">связанных с ним работ, услуг органам государственной власти и организациям </w:t>
      </w:r>
      <w:r w:rsidRPr="00B0658A">
        <w:rPr>
          <w:sz w:val="28"/>
        </w:rPr>
        <w:t>рекомендуется:</w:t>
      </w:r>
    </w:p>
    <w:p w14:paraId="24DEE8E3" w14:textId="77777777" w:rsidR="00EA4E17" w:rsidRPr="00B0658A" w:rsidRDefault="00EA4E17" w:rsidP="00F57B1F">
      <w:pPr>
        <w:pStyle w:val="ConsPlusNormal"/>
        <w:ind w:firstLine="709"/>
        <w:jc w:val="both"/>
        <w:rPr>
          <w:sz w:val="28"/>
        </w:rPr>
      </w:pPr>
      <w:r w:rsidRPr="00B0658A">
        <w:rPr>
          <w:sz w:val="28"/>
        </w:rPr>
        <w:t>а) детально проанализировать целесообразность и обоснованность необходимости осуществления закуп</w:t>
      </w:r>
      <w:r w:rsidR="00D518C6" w:rsidRPr="00B0658A">
        <w:rPr>
          <w:sz w:val="28"/>
        </w:rPr>
        <w:t>ки</w:t>
      </w:r>
      <w:r w:rsidRPr="00B0658A">
        <w:rPr>
          <w:sz w:val="28"/>
        </w:rPr>
        <w:t xml:space="preserve"> </w:t>
      </w:r>
      <w:r w:rsidR="00F93C6A" w:rsidRPr="00B0658A">
        <w:rPr>
          <w:sz w:val="28"/>
        </w:rPr>
        <w:t>иностранного ПО с учетом пунктов 14, 15, 20, 21 настоящих методических рекомендаций</w:t>
      </w:r>
      <w:r w:rsidRPr="00B0658A">
        <w:rPr>
          <w:sz w:val="28"/>
        </w:rPr>
        <w:t>, а также принять соответствующее решение, утверждаемое ответственным должностным лицом</w:t>
      </w:r>
      <w:r w:rsidR="00F93C6A" w:rsidRPr="00B0658A">
        <w:rPr>
          <w:sz w:val="28"/>
        </w:rPr>
        <w:t>, ответственным за переход на использование российского ПО</w:t>
      </w:r>
      <w:r w:rsidRPr="00B0658A">
        <w:rPr>
          <w:sz w:val="28"/>
        </w:rPr>
        <w:t>;</w:t>
      </w:r>
    </w:p>
    <w:p w14:paraId="16990171" w14:textId="77777777" w:rsidR="00EA4E17" w:rsidRPr="00B0658A" w:rsidRDefault="00EA4E17" w:rsidP="00F57B1F">
      <w:pPr>
        <w:pStyle w:val="ConsPlusNormal"/>
        <w:ind w:firstLine="709"/>
        <w:jc w:val="both"/>
        <w:rPr>
          <w:sz w:val="28"/>
        </w:rPr>
      </w:pPr>
      <w:r w:rsidRPr="00B0658A">
        <w:rPr>
          <w:sz w:val="28"/>
        </w:rPr>
        <w:t xml:space="preserve">б) ограничить период действия закупаемых прав на использование </w:t>
      </w:r>
      <w:r w:rsidR="00D518C6" w:rsidRPr="00B0658A">
        <w:rPr>
          <w:sz w:val="28"/>
        </w:rPr>
        <w:t xml:space="preserve">иностранного </w:t>
      </w:r>
      <w:r w:rsidRPr="00B0658A">
        <w:rPr>
          <w:sz w:val="28"/>
        </w:rPr>
        <w:t>ПО, в том числе в составе автоматизированных информационных систем, и (или) период оказания производителями иностранного ПО технической поддержки ПО, в том числе в составе автоматизированных информационных систем, сроком не более одного календарного года.</w:t>
      </w:r>
    </w:p>
    <w:p w14:paraId="06D90FA4" w14:textId="77777777" w:rsidR="00EA4E17" w:rsidRPr="00B0658A" w:rsidRDefault="00EA4E17"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2</w:t>
      </w:r>
      <w:r w:rsidR="00F93C6A" w:rsidRPr="00B0658A">
        <w:rPr>
          <w:rFonts w:ascii="Times New Roman" w:hAnsi="Times New Roman"/>
          <w:sz w:val="28"/>
          <w:szCs w:val="24"/>
        </w:rPr>
        <w:t>3</w:t>
      </w:r>
      <w:r w:rsidRPr="00B0658A">
        <w:rPr>
          <w:rFonts w:ascii="Times New Roman" w:hAnsi="Times New Roman"/>
          <w:sz w:val="28"/>
          <w:szCs w:val="24"/>
        </w:rPr>
        <w:t xml:space="preserve">. Финансирование расходов федеральных органов исполнительной власти и государственных внебюджетных фондов на реализацию задач, связанных с переходом на использование российского ПО, в том числе задач по переходу на использование российского ПО </w:t>
      </w:r>
      <w:r w:rsidR="001F54EF" w:rsidRPr="00B0658A">
        <w:rPr>
          <w:rFonts w:ascii="Times New Roman" w:hAnsi="Times New Roman"/>
          <w:sz w:val="28"/>
          <w:szCs w:val="24"/>
        </w:rPr>
        <w:t xml:space="preserve">на значимых объектах КИИ </w:t>
      </w:r>
      <w:r w:rsidRPr="00B0658A">
        <w:rPr>
          <w:rFonts w:ascii="Times New Roman" w:hAnsi="Times New Roman"/>
          <w:sz w:val="28"/>
          <w:szCs w:val="24"/>
        </w:rPr>
        <w:t>и задач, связанных с переводом государственных и ведомственных информационных систем на использование российского ПО, осуществляется за счет средств, предусмотренных в федеральном бюджете на руководство и управление в сфере установленных функций соответствующим федеральным органам исполнительной власти и органам управления государственными внебюджетными фондами, а также в пределах предусмотренных в федеральном бюджете средств на реализацию государственных программ Российской Федерации.</w:t>
      </w:r>
    </w:p>
    <w:p w14:paraId="5039B3E9" w14:textId="77777777" w:rsidR="00EA4E17" w:rsidRPr="00B0658A" w:rsidRDefault="00EA4E17"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 xml:space="preserve">Финансирование расходов органов исполнительной власти субъектов Российской Федерации на реализацию задач, связанных с переходом на использование российского ПО, в том числе задач по переходу на использование российского ПО </w:t>
      </w:r>
      <w:r w:rsidR="001F54EF" w:rsidRPr="00B0658A">
        <w:rPr>
          <w:rFonts w:ascii="Times New Roman" w:hAnsi="Times New Roman"/>
          <w:sz w:val="28"/>
          <w:szCs w:val="24"/>
        </w:rPr>
        <w:t xml:space="preserve">на значимых объектах КИИ </w:t>
      </w:r>
      <w:r w:rsidRPr="00B0658A">
        <w:rPr>
          <w:rFonts w:ascii="Times New Roman" w:hAnsi="Times New Roman"/>
          <w:sz w:val="28"/>
          <w:szCs w:val="24"/>
        </w:rPr>
        <w:t xml:space="preserve">и задач, связанных с переводом государственных и ведомственных информационных систем на использование российского ПО, осуществляется за счет средств бюджетов субъектов Российской Федерации, а также </w:t>
      </w:r>
      <w:r w:rsidR="001F54EF" w:rsidRPr="00B0658A">
        <w:rPr>
          <w:rFonts w:ascii="Times New Roman" w:hAnsi="Times New Roman"/>
          <w:sz w:val="28"/>
          <w:szCs w:val="24"/>
        </w:rPr>
        <w:t xml:space="preserve">может осуществляться </w:t>
      </w:r>
      <w:r w:rsidRPr="00B0658A">
        <w:rPr>
          <w:rFonts w:ascii="Times New Roman" w:hAnsi="Times New Roman"/>
          <w:sz w:val="28"/>
          <w:szCs w:val="24"/>
        </w:rPr>
        <w:t>за счет средств федерального бюджета</w:t>
      </w:r>
      <w:r w:rsidR="001F54EF" w:rsidRPr="00B0658A">
        <w:rPr>
          <w:rFonts w:ascii="Times New Roman" w:hAnsi="Times New Roman"/>
          <w:sz w:val="28"/>
          <w:szCs w:val="24"/>
        </w:rPr>
        <w:t xml:space="preserve"> при</w:t>
      </w:r>
      <w:r w:rsidRPr="00B0658A">
        <w:rPr>
          <w:rFonts w:ascii="Times New Roman" w:hAnsi="Times New Roman"/>
          <w:sz w:val="28"/>
          <w:szCs w:val="24"/>
        </w:rPr>
        <w:t xml:space="preserve"> наличи</w:t>
      </w:r>
      <w:r w:rsidR="001F54EF" w:rsidRPr="00B0658A">
        <w:rPr>
          <w:rFonts w:ascii="Times New Roman" w:hAnsi="Times New Roman"/>
          <w:sz w:val="28"/>
          <w:szCs w:val="24"/>
        </w:rPr>
        <w:t>и</w:t>
      </w:r>
      <w:r w:rsidRPr="00B0658A">
        <w:rPr>
          <w:rFonts w:ascii="Times New Roman" w:hAnsi="Times New Roman"/>
          <w:sz w:val="28"/>
          <w:szCs w:val="24"/>
        </w:rPr>
        <w:t xml:space="preserve"> соответствующих мероприятий в государственных программах Российской Федерации.</w:t>
      </w:r>
    </w:p>
    <w:p w14:paraId="50B7C75D" w14:textId="77777777" w:rsidR="003A1D18" w:rsidRPr="00B0658A" w:rsidRDefault="003A1D18"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Финансирование расходов организаций на реализацию задач, связанных с переходом на использование российского ПО, в том числе задач по переходу на использование российского ПО</w:t>
      </w:r>
      <w:r w:rsidR="001F54EF" w:rsidRPr="00B0658A">
        <w:rPr>
          <w:rFonts w:ascii="Times New Roman" w:hAnsi="Times New Roman"/>
          <w:sz w:val="28"/>
          <w:szCs w:val="24"/>
        </w:rPr>
        <w:t xml:space="preserve"> на значимых объектах КИИ</w:t>
      </w:r>
      <w:r w:rsidRPr="00B0658A">
        <w:rPr>
          <w:rFonts w:ascii="Times New Roman" w:hAnsi="Times New Roman"/>
          <w:sz w:val="28"/>
          <w:szCs w:val="24"/>
        </w:rPr>
        <w:t xml:space="preserve">, осуществляется за счет собственных средств организаций, а также </w:t>
      </w:r>
      <w:r w:rsidR="001F54EF" w:rsidRPr="00B0658A">
        <w:rPr>
          <w:rFonts w:ascii="Times New Roman" w:hAnsi="Times New Roman"/>
          <w:sz w:val="28"/>
          <w:szCs w:val="24"/>
        </w:rPr>
        <w:t xml:space="preserve">может осуществляться </w:t>
      </w:r>
      <w:r w:rsidRPr="00B0658A">
        <w:rPr>
          <w:rFonts w:ascii="Times New Roman" w:hAnsi="Times New Roman"/>
          <w:sz w:val="28"/>
          <w:szCs w:val="24"/>
        </w:rPr>
        <w:t>за счет бюджетных средств в рамках реализации государственных и региональных программ (при наличии соответствующих мероприятий в указанных программах)</w:t>
      </w:r>
      <w:r w:rsidR="001F54EF" w:rsidRPr="00B0658A">
        <w:rPr>
          <w:rFonts w:ascii="Times New Roman" w:hAnsi="Times New Roman"/>
          <w:sz w:val="28"/>
          <w:szCs w:val="24"/>
        </w:rPr>
        <w:t xml:space="preserve"> и</w:t>
      </w:r>
      <w:r w:rsidRPr="00B0658A">
        <w:rPr>
          <w:rFonts w:ascii="Times New Roman" w:hAnsi="Times New Roman"/>
          <w:sz w:val="28"/>
          <w:szCs w:val="24"/>
        </w:rPr>
        <w:t xml:space="preserve"> средств институтов развития</w:t>
      </w:r>
      <w:r w:rsidR="001F54EF" w:rsidRPr="00B0658A">
        <w:rPr>
          <w:rFonts w:ascii="Times New Roman" w:hAnsi="Times New Roman"/>
          <w:sz w:val="28"/>
          <w:szCs w:val="24"/>
        </w:rPr>
        <w:t>, предоставляемых организациям</w:t>
      </w:r>
      <w:r w:rsidRPr="00B0658A">
        <w:rPr>
          <w:rFonts w:ascii="Times New Roman" w:hAnsi="Times New Roman"/>
          <w:sz w:val="28"/>
          <w:szCs w:val="24"/>
        </w:rPr>
        <w:t xml:space="preserve"> в рамках </w:t>
      </w:r>
      <w:r w:rsidR="001F54EF" w:rsidRPr="00B0658A">
        <w:rPr>
          <w:rFonts w:ascii="Times New Roman" w:hAnsi="Times New Roman"/>
          <w:sz w:val="28"/>
          <w:szCs w:val="24"/>
        </w:rPr>
        <w:t xml:space="preserve">оказания </w:t>
      </w:r>
      <w:r w:rsidRPr="00B0658A">
        <w:rPr>
          <w:rFonts w:ascii="Times New Roman" w:hAnsi="Times New Roman"/>
          <w:sz w:val="28"/>
          <w:szCs w:val="24"/>
        </w:rPr>
        <w:t xml:space="preserve">государственной поддержки </w:t>
      </w:r>
      <w:r w:rsidR="001F54EF" w:rsidRPr="00B0658A">
        <w:rPr>
          <w:rFonts w:ascii="Times New Roman" w:hAnsi="Times New Roman"/>
          <w:sz w:val="28"/>
          <w:szCs w:val="24"/>
        </w:rPr>
        <w:t xml:space="preserve">процессов </w:t>
      </w:r>
      <w:r w:rsidRPr="00B0658A">
        <w:rPr>
          <w:rFonts w:ascii="Times New Roman" w:hAnsi="Times New Roman"/>
          <w:sz w:val="28"/>
          <w:szCs w:val="24"/>
        </w:rPr>
        <w:t>внедрени</w:t>
      </w:r>
      <w:r w:rsidR="001F54EF" w:rsidRPr="00B0658A">
        <w:rPr>
          <w:rFonts w:ascii="Times New Roman" w:hAnsi="Times New Roman"/>
          <w:sz w:val="28"/>
          <w:szCs w:val="24"/>
        </w:rPr>
        <w:t>я</w:t>
      </w:r>
      <w:r w:rsidRPr="00B0658A">
        <w:rPr>
          <w:rFonts w:ascii="Times New Roman" w:hAnsi="Times New Roman"/>
          <w:sz w:val="28"/>
          <w:szCs w:val="24"/>
        </w:rPr>
        <w:t xml:space="preserve"> российского ПО.</w:t>
      </w:r>
    </w:p>
    <w:p w14:paraId="35680CD5" w14:textId="77777777" w:rsidR="00CA6D2D" w:rsidRPr="00B0658A" w:rsidRDefault="00CA6D2D" w:rsidP="00F57B1F">
      <w:pPr>
        <w:pStyle w:val="ConsPlusNormal"/>
        <w:ind w:firstLine="709"/>
        <w:jc w:val="both"/>
        <w:rPr>
          <w:sz w:val="28"/>
        </w:rPr>
      </w:pPr>
    </w:p>
    <w:p w14:paraId="73C11D3E" w14:textId="77777777" w:rsidR="00064E36" w:rsidRPr="00B0658A" w:rsidRDefault="006F5730" w:rsidP="00F57B1F">
      <w:pPr>
        <w:pStyle w:val="11"/>
        <w:spacing w:before="0" w:after="0" w:line="240" w:lineRule="auto"/>
        <w:rPr>
          <w:rFonts w:cs="Times New Roman"/>
          <w:szCs w:val="28"/>
        </w:rPr>
      </w:pPr>
      <w:bookmarkStart w:id="5" w:name="_Toc116632261"/>
      <w:r w:rsidRPr="00B0658A">
        <w:rPr>
          <w:rFonts w:cs="Times New Roman"/>
          <w:szCs w:val="28"/>
        </w:rPr>
        <w:lastRenderedPageBreak/>
        <w:t>3</w:t>
      </w:r>
      <w:r w:rsidR="00064E36" w:rsidRPr="00B0658A">
        <w:rPr>
          <w:rFonts w:cs="Times New Roman"/>
          <w:szCs w:val="28"/>
        </w:rPr>
        <w:t>.</w:t>
      </w:r>
      <w:r w:rsidR="00064E36" w:rsidRPr="00B0658A">
        <w:rPr>
          <w:rFonts w:cs="Times New Roman"/>
          <w:szCs w:val="28"/>
          <w:lang w:val="en-US"/>
        </w:rPr>
        <w:t> </w:t>
      </w:r>
      <w:r w:rsidR="001D3F6C" w:rsidRPr="00B0658A">
        <w:rPr>
          <w:rFonts w:cs="Times New Roman"/>
          <w:szCs w:val="28"/>
        </w:rPr>
        <w:t>П</w:t>
      </w:r>
      <w:r w:rsidR="00A25357" w:rsidRPr="00B0658A">
        <w:rPr>
          <w:rFonts w:cs="Times New Roman"/>
          <w:szCs w:val="28"/>
        </w:rPr>
        <w:t>ланировани</w:t>
      </w:r>
      <w:r w:rsidR="001D3F6C" w:rsidRPr="00B0658A">
        <w:rPr>
          <w:rFonts w:cs="Times New Roman"/>
          <w:szCs w:val="28"/>
        </w:rPr>
        <w:t>е</w:t>
      </w:r>
      <w:r w:rsidR="00A25357" w:rsidRPr="00B0658A">
        <w:rPr>
          <w:rFonts w:cs="Times New Roman"/>
          <w:szCs w:val="28"/>
        </w:rPr>
        <w:t xml:space="preserve"> перехода органов государственной власти и организаций на использование российского </w:t>
      </w:r>
      <w:r w:rsidR="001D3F6C" w:rsidRPr="00B0658A">
        <w:rPr>
          <w:rFonts w:cs="Times New Roman"/>
          <w:szCs w:val="28"/>
        </w:rPr>
        <w:t>ПО</w:t>
      </w:r>
      <w:r w:rsidR="00A25357" w:rsidRPr="00B0658A">
        <w:rPr>
          <w:rFonts w:cs="Times New Roman"/>
          <w:szCs w:val="28"/>
        </w:rPr>
        <w:t>,</w:t>
      </w:r>
      <w:r w:rsidR="00434A7E" w:rsidRPr="00B0658A">
        <w:rPr>
          <w:rFonts w:cs="Times New Roman"/>
          <w:szCs w:val="28"/>
        </w:rPr>
        <w:t xml:space="preserve"> в том числе на значимых объектах критической информационной инфраструктуры Российской Федерации, а также</w:t>
      </w:r>
      <w:r w:rsidRPr="00B0658A">
        <w:rPr>
          <w:rFonts w:cs="Times New Roman"/>
          <w:szCs w:val="28"/>
        </w:rPr>
        <w:t xml:space="preserve"> планирование</w:t>
      </w:r>
      <w:r w:rsidR="00434A7E" w:rsidRPr="00B0658A">
        <w:rPr>
          <w:rFonts w:cs="Times New Roman"/>
          <w:szCs w:val="28"/>
        </w:rPr>
        <w:t xml:space="preserve"> </w:t>
      </w:r>
      <w:r w:rsidRPr="00B0658A">
        <w:rPr>
          <w:rFonts w:cs="Times New Roman"/>
          <w:szCs w:val="28"/>
        </w:rPr>
        <w:t xml:space="preserve">органами государственной власти и государственными внебюджетными фондами </w:t>
      </w:r>
      <w:r w:rsidR="00297034" w:rsidRPr="00B0658A">
        <w:rPr>
          <w:rFonts w:cs="Times New Roman"/>
          <w:szCs w:val="28"/>
        </w:rPr>
        <w:t>перевода государственных и ведомственных информационных систем на использование российско</w:t>
      </w:r>
      <w:r w:rsidR="00DE71D4" w:rsidRPr="00B0658A">
        <w:rPr>
          <w:rFonts w:cs="Times New Roman"/>
          <w:szCs w:val="28"/>
        </w:rPr>
        <w:t xml:space="preserve">го </w:t>
      </w:r>
      <w:r w:rsidR="001D3F6C" w:rsidRPr="00B0658A">
        <w:rPr>
          <w:rFonts w:cs="Times New Roman"/>
          <w:szCs w:val="28"/>
        </w:rPr>
        <w:t>ПО</w:t>
      </w:r>
      <w:bookmarkEnd w:id="5"/>
    </w:p>
    <w:p w14:paraId="528BD9DE" w14:textId="77777777" w:rsidR="001D3F6C" w:rsidRPr="00B0658A" w:rsidRDefault="001D3F6C" w:rsidP="00F57B1F">
      <w:pPr>
        <w:spacing w:after="0" w:line="240" w:lineRule="auto"/>
        <w:rPr>
          <w:rFonts w:ascii="Times New Roman" w:hAnsi="Times New Roman"/>
          <w:sz w:val="28"/>
          <w:szCs w:val="24"/>
        </w:rPr>
      </w:pPr>
    </w:p>
    <w:p w14:paraId="5A320DB6" w14:textId="77777777" w:rsidR="00800BF9" w:rsidRPr="00B0658A" w:rsidRDefault="001D3F6C" w:rsidP="00F57B1F">
      <w:pPr>
        <w:spacing w:after="0" w:line="240" w:lineRule="auto"/>
        <w:jc w:val="both"/>
        <w:rPr>
          <w:rFonts w:ascii="Times New Roman" w:hAnsi="Times New Roman"/>
          <w:sz w:val="28"/>
          <w:szCs w:val="24"/>
        </w:rPr>
      </w:pPr>
      <w:r w:rsidRPr="00B0658A">
        <w:rPr>
          <w:rFonts w:ascii="Times New Roman" w:hAnsi="Times New Roman"/>
          <w:sz w:val="28"/>
          <w:szCs w:val="24"/>
        </w:rPr>
        <w:tab/>
      </w:r>
      <w:r w:rsidR="0078137E" w:rsidRPr="00B0658A">
        <w:rPr>
          <w:rFonts w:ascii="Times New Roman" w:hAnsi="Times New Roman"/>
          <w:sz w:val="28"/>
          <w:szCs w:val="24"/>
        </w:rPr>
        <w:t>24</w:t>
      </w:r>
      <w:r w:rsidRPr="00B0658A">
        <w:rPr>
          <w:rFonts w:ascii="Times New Roman" w:hAnsi="Times New Roman"/>
          <w:sz w:val="28"/>
          <w:szCs w:val="24"/>
        </w:rPr>
        <w:t>. </w:t>
      </w:r>
      <w:r w:rsidR="006F5730" w:rsidRPr="00B0658A">
        <w:rPr>
          <w:rFonts w:ascii="Times New Roman" w:hAnsi="Times New Roman"/>
          <w:sz w:val="28"/>
          <w:szCs w:val="24"/>
        </w:rPr>
        <w:t xml:space="preserve">Планирование перехода органов государственной власти и организаций на использование российского ПО, в том числе </w:t>
      </w:r>
      <w:r w:rsidR="0085147A" w:rsidRPr="00B0658A">
        <w:rPr>
          <w:rFonts w:ascii="Times New Roman" w:hAnsi="Times New Roman"/>
          <w:sz w:val="28"/>
          <w:szCs w:val="24"/>
        </w:rPr>
        <w:t xml:space="preserve">перехода на использование российского ПО </w:t>
      </w:r>
      <w:r w:rsidR="006F5730" w:rsidRPr="00B0658A">
        <w:rPr>
          <w:rFonts w:ascii="Times New Roman" w:hAnsi="Times New Roman"/>
          <w:sz w:val="28"/>
          <w:szCs w:val="24"/>
        </w:rPr>
        <w:t>на значимых объектах КИИ, а также планирование органами государственной власти и государственными внебюджетными фондами перевода государственных и ведомственных информационных систем на использование российского ПО представля</w:t>
      </w:r>
      <w:r w:rsidR="00683E72">
        <w:rPr>
          <w:rFonts w:ascii="Times New Roman" w:hAnsi="Times New Roman"/>
          <w:sz w:val="28"/>
          <w:szCs w:val="24"/>
        </w:rPr>
        <w:t>ю</w:t>
      </w:r>
      <w:r w:rsidR="006F5730" w:rsidRPr="00B0658A">
        <w:rPr>
          <w:rFonts w:ascii="Times New Roman" w:hAnsi="Times New Roman"/>
          <w:sz w:val="28"/>
          <w:szCs w:val="24"/>
        </w:rPr>
        <w:t xml:space="preserve">т собой </w:t>
      </w:r>
      <w:r w:rsidR="00800BF9" w:rsidRPr="00B0658A">
        <w:rPr>
          <w:rFonts w:ascii="Times New Roman" w:hAnsi="Times New Roman"/>
          <w:sz w:val="28"/>
          <w:szCs w:val="24"/>
        </w:rPr>
        <w:t>взаимосвязанные процессы, связанные с определением совокупности организационно-технических мероприятий, необходимых для обеспечения перехода на использование российского ПО, установлением целевых показателей эффективности</w:t>
      </w:r>
      <w:r w:rsidR="00A0103E" w:rsidRPr="00B0658A">
        <w:rPr>
          <w:rFonts w:ascii="Times New Roman" w:hAnsi="Times New Roman"/>
          <w:sz w:val="28"/>
          <w:szCs w:val="24"/>
        </w:rPr>
        <w:t xml:space="preserve"> перехода</w:t>
      </w:r>
      <w:r w:rsidR="00800BF9" w:rsidRPr="00B0658A">
        <w:rPr>
          <w:rFonts w:ascii="Times New Roman" w:hAnsi="Times New Roman"/>
          <w:sz w:val="28"/>
          <w:szCs w:val="24"/>
        </w:rPr>
        <w:t xml:space="preserve">, а также планированием ресурсного обеспечения, обеспечивающего реализацию организационно-технических мероприятий и достижение </w:t>
      </w:r>
      <w:r w:rsidR="00F31B2B" w:rsidRPr="00B0658A">
        <w:rPr>
          <w:rFonts w:ascii="Times New Roman" w:hAnsi="Times New Roman"/>
          <w:sz w:val="28"/>
          <w:szCs w:val="24"/>
        </w:rPr>
        <w:t>установленных целевых</w:t>
      </w:r>
      <w:r w:rsidR="00800BF9" w:rsidRPr="00B0658A">
        <w:rPr>
          <w:rFonts w:ascii="Times New Roman" w:hAnsi="Times New Roman"/>
          <w:sz w:val="28"/>
          <w:szCs w:val="24"/>
        </w:rPr>
        <w:t xml:space="preserve"> показателей эффективности в полном объеме и в запланированные сроки.</w:t>
      </w:r>
    </w:p>
    <w:p w14:paraId="4D44E6D1" w14:textId="77777777" w:rsidR="00684BDF" w:rsidRPr="00B0658A" w:rsidRDefault="00800BF9" w:rsidP="00F57B1F">
      <w:pPr>
        <w:spacing w:after="0" w:line="240" w:lineRule="auto"/>
        <w:jc w:val="both"/>
        <w:rPr>
          <w:rFonts w:ascii="Times New Roman" w:hAnsi="Times New Roman"/>
          <w:sz w:val="28"/>
          <w:szCs w:val="24"/>
        </w:rPr>
      </w:pPr>
      <w:r w:rsidRPr="00B0658A">
        <w:rPr>
          <w:rFonts w:ascii="Times New Roman" w:hAnsi="Times New Roman"/>
          <w:sz w:val="28"/>
          <w:szCs w:val="24"/>
        </w:rPr>
        <w:tab/>
      </w:r>
    </w:p>
    <w:p w14:paraId="6757C8C0" w14:textId="77777777" w:rsidR="00684BDF" w:rsidRPr="00B0658A" w:rsidRDefault="00684BDF" w:rsidP="00F57B1F">
      <w:pPr>
        <w:pStyle w:val="11"/>
        <w:spacing w:before="0" w:after="0" w:line="240" w:lineRule="auto"/>
        <w:rPr>
          <w:rFonts w:cs="Times New Roman"/>
          <w:szCs w:val="28"/>
        </w:rPr>
      </w:pPr>
      <w:bookmarkStart w:id="6" w:name="_Toc116632262"/>
      <w:r w:rsidRPr="00B0658A">
        <w:rPr>
          <w:rFonts w:cs="Times New Roman"/>
          <w:szCs w:val="28"/>
        </w:rPr>
        <w:t xml:space="preserve">3.1. Переход органов государственной власти и государственных внебюджетных фондов на использование российского </w:t>
      </w:r>
      <w:r w:rsidR="00BC4A05" w:rsidRPr="00B0658A">
        <w:rPr>
          <w:rFonts w:cs="Times New Roman"/>
          <w:szCs w:val="28"/>
        </w:rPr>
        <w:t>ПО</w:t>
      </w:r>
      <w:r w:rsidRPr="00B0658A">
        <w:rPr>
          <w:rFonts w:cs="Times New Roman"/>
          <w:szCs w:val="28"/>
        </w:rPr>
        <w:t>, в том числе переход на</w:t>
      </w:r>
      <w:r w:rsidR="00BC4A05" w:rsidRPr="00B0658A">
        <w:rPr>
          <w:rFonts w:cs="Times New Roman"/>
          <w:szCs w:val="28"/>
        </w:rPr>
        <w:t xml:space="preserve"> </w:t>
      </w:r>
      <w:r w:rsidRPr="00B0658A">
        <w:rPr>
          <w:rFonts w:cs="Times New Roman"/>
          <w:szCs w:val="28"/>
        </w:rPr>
        <w:t>использование российского ПО на принадлежащих им значимых объектах КИИ, а также обеспечение перевода государственных и ведомственных информационных систем на использование российского ПО</w:t>
      </w:r>
      <w:bookmarkEnd w:id="6"/>
    </w:p>
    <w:p w14:paraId="2DBD4C03" w14:textId="77777777" w:rsidR="00684BDF" w:rsidRPr="00B0658A" w:rsidRDefault="00684BDF" w:rsidP="00F57B1F">
      <w:pPr>
        <w:spacing w:after="0" w:line="240" w:lineRule="auto"/>
        <w:jc w:val="both"/>
        <w:rPr>
          <w:rFonts w:ascii="Times New Roman" w:hAnsi="Times New Roman"/>
          <w:sz w:val="28"/>
          <w:szCs w:val="24"/>
        </w:rPr>
      </w:pPr>
    </w:p>
    <w:p w14:paraId="5219D5E5" w14:textId="77777777" w:rsidR="00F639B5" w:rsidRPr="00B0658A" w:rsidRDefault="0078137E" w:rsidP="00F57B1F">
      <w:pPr>
        <w:spacing w:after="0" w:line="240" w:lineRule="auto"/>
        <w:ind w:firstLine="720"/>
        <w:jc w:val="both"/>
        <w:rPr>
          <w:rFonts w:ascii="Times New Roman" w:hAnsi="Times New Roman"/>
          <w:sz w:val="28"/>
          <w:szCs w:val="24"/>
        </w:rPr>
      </w:pPr>
      <w:r w:rsidRPr="00B0658A">
        <w:rPr>
          <w:rFonts w:ascii="Times New Roman" w:hAnsi="Times New Roman"/>
          <w:sz w:val="28"/>
          <w:szCs w:val="24"/>
        </w:rPr>
        <w:t>25</w:t>
      </w:r>
      <w:r w:rsidR="00800BF9" w:rsidRPr="00B0658A">
        <w:rPr>
          <w:rFonts w:ascii="Times New Roman" w:hAnsi="Times New Roman"/>
          <w:sz w:val="28"/>
          <w:szCs w:val="24"/>
        </w:rPr>
        <w:t>. </w:t>
      </w:r>
      <w:r w:rsidR="003F7ADE" w:rsidRPr="00B0658A">
        <w:rPr>
          <w:rFonts w:ascii="Times New Roman" w:hAnsi="Times New Roman"/>
          <w:sz w:val="28"/>
          <w:szCs w:val="24"/>
        </w:rPr>
        <w:t xml:space="preserve">В </w:t>
      </w:r>
      <w:r w:rsidR="00F639B5" w:rsidRPr="00B0658A">
        <w:rPr>
          <w:rFonts w:ascii="Times New Roman" w:hAnsi="Times New Roman"/>
          <w:sz w:val="28"/>
          <w:szCs w:val="24"/>
        </w:rPr>
        <w:t>План перехода орган</w:t>
      </w:r>
      <w:r w:rsidR="003A13A5" w:rsidRPr="00B0658A">
        <w:rPr>
          <w:rFonts w:ascii="Times New Roman" w:hAnsi="Times New Roman"/>
          <w:sz w:val="28"/>
          <w:szCs w:val="24"/>
        </w:rPr>
        <w:t>а</w:t>
      </w:r>
      <w:r w:rsidR="00F639B5" w:rsidRPr="00B0658A">
        <w:rPr>
          <w:rFonts w:ascii="Times New Roman" w:hAnsi="Times New Roman"/>
          <w:sz w:val="28"/>
          <w:szCs w:val="24"/>
        </w:rPr>
        <w:t xml:space="preserve"> государственной власти и</w:t>
      </w:r>
      <w:r w:rsidR="003A13A5" w:rsidRPr="00B0658A">
        <w:rPr>
          <w:rFonts w:ascii="Times New Roman" w:hAnsi="Times New Roman"/>
          <w:sz w:val="28"/>
          <w:szCs w:val="24"/>
        </w:rPr>
        <w:t>ли</w:t>
      </w:r>
      <w:r w:rsidR="00F639B5" w:rsidRPr="00B0658A">
        <w:rPr>
          <w:rFonts w:ascii="Times New Roman" w:hAnsi="Times New Roman"/>
          <w:sz w:val="28"/>
          <w:szCs w:val="24"/>
        </w:rPr>
        <w:t xml:space="preserve"> государственн</w:t>
      </w:r>
      <w:r w:rsidR="003A13A5" w:rsidRPr="00B0658A">
        <w:rPr>
          <w:rFonts w:ascii="Times New Roman" w:hAnsi="Times New Roman"/>
          <w:sz w:val="28"/>
          <w:szCs w:val="24"/>
        </w:rPr>
        <w:t>ого</w:t>
      </w:r>
      <w:r w:rsidR="00F639B5" w:rsidRPr="00B0658A">
        <w:rPr>
          <w:rFonts w:ascii="Times New Roman" w:hAnsi="Times New Roman"/>
          <w:sz w:val="28"/>
          <w:szCs w:val="24"/>
        </w:rPr>
        <w:t xml:space="preserve"> внебюджетн</w:t>
      </w:r>
      <w:r w:rsidR="003A13A5" w:rsidRPr="00B0658A">
        <w:rPr>
          <w:rFonts w:ascii="Times New Roman" w:hAnsi="Times New Roman"/>
          <w:sz w:val="28"/>
          <w:szCs w:val="24"/>
        </w:rPr>
        <w:t>ого</w:t>
      </w:r>
      <w:r w:rsidR="00F639B5" w:rsidRPr="00B0658A">
        <w:rPr>
          <w:rFonts w:ascii="Times New Roman" w:hAnsi="Times New Roman"/>
          <w:sz w:val="28"/>
          <w:szCs w:val="24"/>
        </w:rPr>
        <w:t xml:space="preserve"> фонд</w:t>
      </w:r>
      <w:r w:rsidR="003A13A5" w:rsidRPr="00B0658A">
        <w:rPr>
          <w:rFonts w:ascii="Times New Roman" w:hAnsi="Times New Roman"/>
          <w:sz w:val="28"/>
          <w:szCs w:val="24"/>
        </w:rPr>
        <w:t>а</w:t>
      </w:r>
      <w:r w:rsidR="00F639B5" w:rsidRPr="00B0658A">
        <w:rPr>
          <w:rFonts w:ascii="Times New Roman" w:hAnsi="Times New Roman"/>
          <w:sz w:val="28"/>
          <w:szCs w:val="24"/>
        </w:rPr>
        <w:t xml:space="preserve"> на использование российского ПО </w:t>
      </w:r>
      <w:r w:rsidR="003F7ADE" w:rsidRPr="00B0658A">
        <w:rPr>
          <w:rFonts w:ascii="Times New Roman" w:hAnsi="Times New Roman"/>
          <w:sz w:val="28"/>
          <w:szCs w:val="24"/>
        </w:rPr>
        <w:t xml:space="preserve">рекомендуется </w:t>
      </w:r>
      <w:r w:rsidR="00F639B5" w:rsidRPr="00B0658A">
        <w:rPr>
          <w:rFonts w:ascii="Times New Roman" w:hAnsi="Times New Roman"/>
          <w:sz w:val="28"/>
          <w:szCs w:val="24"/>
        </w:rPr>
        <w:t>включа</w:t>
      </w:r>
      <w:r w:rsidR="003F7ADE" w:rsidRPr="00B0658A">
        <w:rPr>
          <w:rFonts w:ascii="Times New Roman" w:hAnsi="Times New Roman"/>
          <w:sz w:val="28"/>
          <w:szCs w:val="24"/>
        </w:rPr>
        <w:t>ть:</w:t>
      </w:r>
    </w:p>
    <w:p w14:paraId="442FA4FB" w14:textId="77777777" w:rsidR="00F639B5" w:rsidRPr="00B0658A" w:rsidRDefault="00783870" w:rsidP="00F57B1F">
      <w:pPr>
        <w:spacing w:after="0" w:line="240" w:lineRule="auto"/>
        <w:ind w:firstLine="720"/>
        <w:jc w:val="both"/>
        <w:rPr>
          <w:rFonts w:ascii="Times New Roman" w:hAnsi="Times New Roman"/>
          <w:sz w:val="28"/>
          <w:szCs w:val="24"/>
        </w:rPr>
      </w:pPr>
      <w:r w:rsidRPr="00B0658A">
        <w:rPr>
          <w:rFonts w:ascii="Times New Roman" w:hAnsi="Times New Roman"/>
          <w:sz w:val="28"/>
          <w:szCs w:val="24"/>
        </w:rPr>
        <w:t>а) </w:t>
      </w:r>
      <w:r w:rsidR="00F639B5" w:rsidRPr="00B0658A">
        <w:rPr>
          <w:rFonts w:ascii="Times New Roman" w:hAnsi="Times New Roman"/>
          <w:sz w:val="28"/>
          <w:szCs w:val="24"/>
        </w:rPr>
        <w:t>перечень организационно-технических мероприятий, реализация которых необходима для перехода на использование российского ПО, в том числе на значимых объектах КИИ</w:t>
      </w:r>
      <w:r w:rsidR="0090671D" w:rsidRPr="00B0658A">
        <w:rPr>
          <w:rFonts w:ascii="Times New Roman" w:hAnsi="Times New Roman"/>
          <w:sz w:val="28"/>
          <w:szCs w:val="24"/>
        </w:rPr>
        <w:t>,</w:t>
      </w:r>
      <w:r w:rsidR="003A13A5" w:rsidRPr="00B0658A">
        <w:rPr>
          <w:rFonts w:ascii="Times New Roman" w:hAnsi="Times New Roman"/>
          <w:sz w:val="28"/>
          <w:szCs w:val="24"/>
        </w:rPr>
        <w:t xml:space="preserve"> и</w:t>
      </w:r>
      <w:r w:rsidR="00F639B5" w:rsidRPr="00B0658A">
        <w:rPr>
          <w:rFonts w:ascii="Times New Roman" w:hAnsi="Times New Roman"/>
          <w:sz w:val="28"/>
          <w:szCs w:val="24"/>
        </w:rPr>
        <w:t xml:space="preserve"> </w:t>
      </w:r>
      <w:r w:rsidR="003A13A5" w:rsidRPr="00B0658A">
        <w:rPr>
          <w:rFonts w:ascii="Times New Roman" w:hAnsi="Times New Roman"/>
          <w:sz w:val="28"/>
          <w:szCs w:val="24"/>
        </w:rPr>
        <w:t xml:space="preserve">для </w:t>
      </w:r>
      <w:r w:rsidR="00F639B5" w:rsidRPr="00B0658A">
        <w:rPr>
          <w:rFonts w:ascii="Times New Roman" w:hAnsi="Times New Roman"/>
          <w:sz w:val="28"/>
          <w:szCs w:val="24"/>
        </w:rPr>
        <w:t>перевода государственных и ведомственных информационных систем на использование российского ПО с учетом настоящих методических рекомендаций и требований законодательства Российской Федерации (в виде отдельной таблицы);</w:t>
      </w:r>
    </w:p>
    <w:p w14:paraId="72D91583" w14:textId="77777777" w:rsidR="00F639B5" w:rsidRPr="00B0658A" w:rsidRDefault="00783870" w:rsidP="00F57B1F">
      <w:pPr>
        <w:spacing w:after="0" w:line="240" w:lineRule="auto"/>
        <w:ind w:firstLine="720"/>
        <w:jc w:val="both"/>
        <w:rPr>
          <w:rFonts w:ascii="Times New Roman" w:hAnsi="Times New Roman"/>
          <w:sz w:val="28"/>
          <w:szCs w:val="24"/>
        </w:rPr>
      </w:pPr>
      <w:r w:rsidRPr="00B0658A">
        <w:rPr>
          <w:rFonts w:ascii="Times New Roman" w:hAnsi="Times New Roman"/>
          <w:sz w:val="28"/>
          <w:szCs w:val="24"/>
        </w:rPr>
        <w:t>б) </w:t>
      </w:r>
      <w:r w:rsidR="00A152F6" w:rsidRPr="00B0658A">
        <w:rPr>
          <w:rFonts w:ascii="Times New Roman" w:hAnsi="Times New Roman"/>
          <w:sz w:val="28"/>
          <w:szCs w:val="24"/>
        </w:rPr>
        <w:t>показатели эффективности и соответствующи</w:t>
      </w:r>
      <w:r w:rsidR="0078137E" w:rsidRPr="00B0658A">
        <w:rPr>
          <w:rFonts w:ascii="Times New Roman" w:hAnsi="Times New Roman"/>
          <w:sz w:val="28"/>
          <w:szCs w:val="24"/>
        </w:rPr>
        <w:t>е</w:t>
      </w:r>
      <w:r w:rsidR="00A152F6" w:rsidRPr="00B0658A">
        <w:rPr>
          <w:rFonts w:ascii="Times New Roman" w:hAnsi="Times New Roman"/>
          <w:sz w:val="28"/>
          <w:szCs w:val="24"/>
        </w:rPr>
        <w:t xml:space="preserve"> им </w:t>
      </w:r>
      <w:r w:rsidR="00CB5093" w:rsidRPr="00B0658A">
        <w:rPr>
          <w:rFonts w:ascii="Times New Roman" w:hAnsi="Times New Roman"/>
          <w:sz w:val="28"/>
          <w:szCs w:val="24"/>
        </w:rPr>
        <w:t xml:space="preserve">значения </w:t>
      </w:r>
      <w:r w:rsidR="00A152F6" w:rsidRPr="00B0658A">
        <w:rPr>
          <w:rFonts w:ascii="Times New Roman" w:hAnsi="Times New Roman"/>
          <w:sz w:val="28"/>
          <w:szCs w:val="24"/>
        </w:rPr>
        <w:t>индикатор</w:t>
      </w:r>
      <w:r w:rsidR="00CB5093" w:rsidRPr="00B0658A">
        <w:rPr>
          <w:rFonts w:ascii="Times New Roman" w:hAnsi="Times New Roman"/>
          <w:sz w:val="28"/>
          <w:szCs w:val="24"/>
        </w:rPr>
        <w:t>ов</w:t>
      </w:r>
      <w:r w:rsidR="00A152F6" w:rsidRPr="00B0658A">
        <w:rPr>
          <w:rFonts w:ascii="Times New Roman" w:hAnsi="Times New Roman"/>
          <w:sz w:val="28"/>
          <w:szCs w:val="24"/>
        </w:rPr>
        <w:t xml:space="preserve"> эффективности </w:t>
      </w:r>
      <w:r w:rsidR="00F639B5" w:rsidRPr="00B0658A">
        <w:rPr>
          <w:rFonts w:ascii="Times New Roman" w:hAnsi="Times New Roman"/>
          <w:sz w:val="28"/>
          <w:szCs w:val="24"/>
        </w:rPr>
        <w:t>перехода на использование российского ПО, предусматривающи</w:t>
      </w:r>
      <w:r w:rsidR="0078137E" w:rsidRPr="00B0658A">
        <w:rPr>
          <w:rFonts w:ascii="Times New Roman" w:hAnsi="Times New Roman"/>
          <w:sz w:val="28"/>
          <w:szCs w:val="24"/>
        </w:rPr>
        <w:t>е</w:t>
      </w:r>
      <w:r w:rsidR="00F639B5" w:rsidRPr="00B0658A">
        <w:rPr>
          <w:rFonts w:ascii="Times New Roman" w:hAnsi="Times New Roman"/>
          <w:sz w:val="28"/>
          <w:szCs w:val="24"/>
        </w:rPr>
        <w:t xml:space="preserve"> установление по годам показателей эффективности использования российского ПО в отношении каждого используемого класса (типа) </w:t>
      </w:r>
      <w:r w:rsidR="0078137E" w:rsidRPr="00B0658A">
        <w:rPr>
          <w:rFonts w:ascii="Times New Roman" w:hAnsi="Times New Roman"/>
          <w:sz w:val="28"/>
          <w:szCs w:val="24"/>
        </w:rPr>
        <w:t>ПО</w:t>
      </w:r>
      <w:r w:rsidR="00F639B5" w:rsidRPr="00B0658A">
        <w:rPr>
          <w:rFonts w:ascii="Times New Roman" w:hAnsi="Times New Roman"/>
          <w:sz w:val="28"/>
          <w:szCs w:val="24"/>
        </w:rPr>
        <w:t xml:space="preserve"> в соответствии с приказом Министерства цифрового развития, связи и массовых коммуникаций Российской Федерации от 22 сентября 2020 г. </w:t>
      </w:r>
      <w:r w:rsidR="00592B14" w:rsidRPr="00B0658A">
        <w:rPr>
          <w:rFonts w:ascii="Times New Roman" w:hAnsi="Times New Roman"/>
          <w:sz w:val="28"/>
          <w:szCs w:val="24"/>
        </w:rPr>
        <w:t>№ </w:t>
      </w:r>
      <w:r w:rsidR="00F639B5" w:rsidRPr="00B0658A">
        <w:rPr>
          <w:rFonts w:ascii="Times New Roman" w:hAnsi="Times New Roman"/>
          <w:sz w:val="28"/>
          <w:szCs w:val="24"/>
        </w:rPr>
        <w:t xml:space="preserve"> 486 «Об утверждении классификатора программ для электронных вычислительных машин и баз данных» (в виде отдельной таблицы);</w:t>
      </w:r>
    </w:p>
    <w:p w14:paraId="0D1B24C0" w14:textId="77777777" w:rsidR="00FD2C0C" w:rsidRPr="00B0658A" w:rsidRDefault="00783870" w:rsidP="00F57B1F">
      <w:pPr>
        <w:spacing w:after="0" w:line="240" w:lineRule="auto"/>
        <w:ind w:firstLine="720"/>
        <w:jc w:val="both"/>
        <w:rPr>
          <w:rFonts w:ascii="Times New Roman" w:hAnsi="Times New Roman"/>
          <w:sz w:val="28"/>
          <w:szCs w:val="24"/>
        </w:rPr>
      </w:pPr>
      <w:r w:rsidRPr="00B0658A">
        <w:rPr>
          <w:rFonts w:ascii="Times New Roman" w:hAnsi="Times New Roman"/>
          <w:sz w:val="28"/>
          <w:szCs w:val="24"/>
        </w:rPr>
        <w:t>в) </w:t>
      </w:r>
      <w:r w:rsidR="00FD2C0C" w:rsidRPr="00B0658A">
        <w:rPr>
          <w:rFonts w:ascii="Times New Roman" w:hAnsi="Times New Roman"/>
          <w:sz w:val="28"/>
          <w:szCs w:val="24"/>
        </w:rPr>
        <w:t xml:space="preserve">показатели эффективности в отношении закупок </w:t>
      </w:r>
      <w:r w:rsidR="0078137E" w:rsidRPr="00B0658A">
        <w:rPr>
          <w:rFonts w:ascii="Times New Roman" w:hAnsi="Times New Roman"/>
          <w:sz w:val="28"/>
          <w:szCs w:val="24"/>
        </w:rPr>
        <w:t>ПО</w:t>
      </w:r>
      <w:r w:rsidR="00FD2C0C" w:rsidRPr="00B0658A">
        <w:rPr>
          <w:rFonts w:ascii="Times New Roman" w:hAnsi="Times New Roman"/>
          <w:sz w:val="28"/>
          <w:szCs w:val="24"/>
        </w:rPr>
        <w:t xml:space="preserve"> и связанных с ним работ и услуг, осуществляемых органом государственной власти или государственным внебюджетным фондом, устанавливаемые по годам на весь период планирования перехода на использование российского ПО</w:t>
      </w:r>
      <w:r w:rsidR="003A13A5" w:rsidRPr="00B0658A">
        <w:rPr>
          <w:rFonts w:ascii="Times New Roman" w:hAnsi="Times New Roman"/>
          <w:sz w:val="28"/>
          <w:szCs w:val="24"/>
        </w:rPr>
        <w:t xml:space="preserve"> (в виде отдельной таблицы)</w:t>
      </w:r>
      <w:r w:rsidR="00FD2C0C" w:rsidRPr="00B0658A">
        <w:rPr>
          <w:rFonts w:ascii="Times New Roman" w:hAnsi="Times New Roman"/>
          <w:sz w:val="28"/>
          <w:szCs w:val="24"/>
        </w:rPr>
        <w:t>;</w:t>
      </w:r>
    </w:p>
    <w:p w14:paraId="655D8B6D" w14:textId="77777777" w:rsidR="00FD2C0C" w:rsidRPr="00B0658A" w:rsidRDefault="00783870" w:rsidP="00F57B1F">
      <w:pPr>
        <w:spacing w:after="0" w:line="240" w:lineRule="auto"/>
        <w:ind w:firstLine="720"/>
        <w:jc w:val="both"/>
        <w:rPr>
          <w:rFonts w:ascii="Times New Roman" w:hAnsi="Times New Roman"/>
          <w:sz w:val="28"/>
          <w:szCs w:val="24"/>
        </w:rPr>
      </w:pPr>
      <w:r w:rsidRPr="00B0658A">
        <w:rPr>
          <w:rFonts w:ascii="Times New Roman" w:hAnsi="Times New Roman"/>
          <w:sz w:val="28"/>
          <w:szCs w:val="24"/>
        </w:rPr>
        <w:lastRenderedPageBreak/>
        <w:t>г) </w:t>
      </w:r>
      <w:r w:rsidR="00FD2C0C" w:rsidRPr="00B0658A">
        <w:rPr>
          <w:rFonts w:ascii="Times New Roman" w:hAnsi="Times New Roman"/>
          <w:sz w:val="28"/>
          <w:szCs w:val="24"/>
        </w:rPr>
        <w:t xml:space="preserve">сведения об объемах и источниках финансовых ресурсов, планируемых </w:t>
      </w:r>
      <w:r w:rsidR="003A13A5" w:rsidRPr="00B0658A">
        <w:rPr>
          <w:rFonts w:ascii="Times New Roman" w:hAnsi="Times New Roman"/>
          <w:sz w:val="28"/>
          <w:szCs w:val="24"/>
        </w:rPr>
        <w:t>для решения задач по переходу на использование российского ПО, в том числе на значимых объектах КИИ</w:t>
      </w:r>
      <w:r w:rsidR="006A0622" w:rsidRPr="00B0658A">
        <w:rPr>
          <w:rFonts w:ascii="Times New Roman" w:hAnsi="Times New Roman"/>
          <w:sz w:val="28"/>
          <w:szCs w:val="24"/>
        </w:rPr>
        <w:t>,</w:t>
      </w:r>
      <w:r w:rsidR="003A13A5" w:rsidRPr="00B0658A">
        <w:rPr>
          <w:rFonts w:ascii="Times New Roman" w:hAnsi="Times New Roman"/>
          <w:sz w:val="28"/>
          <w:szCs w:val="24"/>
        </w:rPr>
        <w:t xml:space="preserve"> и </w:t>
      </w:r>
      <w:r w:rsidR="006A0622" w:rsidRPr="00B0658A">
        <w:rPr>
          <w:rFonts w:ascii="Times New Roman" w:hAnsi="Times New Roman"/>
          <w:sz w:val="28"/>
          <w:szCs w:val="24"/>
        </w:rPr>
        <w:t>по</w:t>
      </w:r>
      <w:r w:rsidR="003A13A5" w:rsidRPr="00B0658A">
        <w:rPr>
          <w:rFonts w:ascii="Times New Roman" w:hAnsi="Times New Roman"/>
          <w:sz w:val="28"/>
          <w:szCs w:val="24"/>
        </w:rPr>
        <w:t xml:space="preserve"> перевод</w:t>
      </w:r>
      <w:r w:rsidR="006A0622" w:rsidRPr="00B0658A">
        <w:rPr>
          <w:rFonts w:ascii="Times New Roman" w:hAnsi="Times New Roman"/>
          <w:sz w:val="28"/>
          <w:szCs w:val="24"/>
        </w:rPr>
        <w:t>у</w:t>
      </w:r>
      <w:r w:rsidR="003A13A5" w:rsidRPr="00B0658A">
        <w:rPr>
          <w:rFonts w:ascii="Times New Roman" w:hAnsi="Times New Roman"/>
          <w:sz w:val="28"/>
          <w:szCs w:val="24"/>
        </w:rPr>
        <w:t xml:space="preserve"> государственных и ведомственных информационных систем на использование российского ПО, указываемых по годам (в виде отдельной таблицы);</w:t>
      </w:r>
    </w:p>
    <w:p w14:paraId="50BABED8" w14:textId="77777777" w:rsidR="0045103E" w:rsidRPr="00B0658A" w:rsidRDefault="00783870" w:rsidP="00F57B1F">
      <w:pPr>
        <w:spacing w:after="0" w:line="240" w:lineRule="auto"/>
        <w:ind w:firstLine="720"/>
        <w:jc w:val="both"/>
        <w:rPr>
          <w:rFonts w:ascii="Times New Roman" w:hAnsi="Times New Roman"/>
          <w:sz w:val="28"/>
          <w:szCs w:val="24"/>
        </w:rPr>
      </w:pPr>
      <w:r w:rsidRPr="00B0658A">
        <w:rPr>
          <w:rFonts w:ascii="Times New Roman" w:hAnsi="Times New Roman"/>
          <w:sz w:val="28"/>
          <w:szCs w:val="24"/>
        </w:rPr>
        <w:t>д) </w:t>
      </w:r>
      <w:r w:rsidR="00A152F6" w:rsidRPr="00B0658A">
        <w:rPr>
          <w:rFonts w:ascii="Times New Roman" w:hAnsi="Times New Roman"/>
          <w:sz w:val="28"/>
          <w:szCs w:val="24"/>
        </w:rPr>
        <w:t xml:space="preserve">детализированный </w:t>
      </w:r>
      <w:r w:rsidR="00F639B5" w:rsidRPr="00B0658A">
        <w:rPr>
          <w:rFonts w:ascii="Times New Roman" w:hAnsi="Times New Roman"/>
          <w:sz w:val="28"/>
          <w:szCs w:val="24"/>
        </w:rPr>
        <w:t xml:space="preserve">план перехода на использование российского ПО на принадлежащих органу государственной власти или государственному внебюджетному фонду значимых объектах КИИ, </w:t>
      </w:r>
      <w:r w:rsidR="0045103E" w:rsidRPr="00B0658A">
        <w:rPr>
          <w:rFonts w:ascii="Times New Roman" w:hAnsi="Times New Roman"/>
          <w:sz w:val="28"/>
          <w:szCs w:val="24"/>
        </w:rPr>
        <w:t>представляющий собой определение перечня мероприятий и задач по каждому значимому объекту КИИ, а также</w:t>
      </w:r>
      <w:r w:rsidR="00A152F6" w:rsidRPr="00B0658A">
        <w:rPr>
          <w:rFonts w:ascii="Times New Roman" w:hAnsi="Times New Roman"/>
          <w:sz w:val="28"/>
          <w:szCs w:val="24"/>
        </w:rPr>
        <w:t xml:space="preserve"> показатели </w:t>
      </w:r>
      <w:r w:rsidR="0045103E" w:rsidRPr="00B0658A">
        <w:rPr>
          <w:rFonts w:ascii="Times New Roman" w:hAnsi="Times New Roman"/>
          <w:sz w:val="28"/>
          <w:szCs w:val="24"/>
        </w:rPr>
        <w:t xml:space="preserve">эффективности перехода на использование российского ПО и соответствующие им </w:t>
      </w:r>
      <w:r w:rsidR="00FE1AEC" w:rsidRPr="00B0658A">
        <w:rPr>
          <w:rFonts w:ascii="Times New Roman" w:hAnsi="Times New Roman"/>
          <w:sz w:val="28"/>
          <w:szCs w:val="24"/>
        </w:rPr>
        <w:t xml:space="preserve">значения </w:t>
      </w:r>
      <w:r w:rsidR="0045103E" w:rsidRPr="00B0658A">
        <w:rPr>
          <w:rFonts w:ascii="Times New Roman" w:hAnsi="Times New Roman"/>
          <w:sz w:val="28"/>
          <w:szCs w:val="24"/>
        </w:rPr>
        <w:t>индикатор</w:t>
      </w:r>
      <w:r w:rsidR="00FE1AEC" w:rsidRPr="00B0658A">
        <w:rPr>
          <w:rFonts w:ascii="Times New Roman" w:hAnsi="Times New Roman"/>
          <w:sz w:val="28"/>
          <w:szCs w:val="24"/>
        </w:rPr>
        <w:t>ов</w:t>
      </w:r>
      <w:r w:rsidR="0045103E" w:rsidRPr="00B0658A">
        <w:rPr>
          <w:rFonts w:ascii="Times New Roman" w:hAnsi="Times New Roman"/>
          <w:sz w:val="28"/>
          <w:szCs w:val="24"/>
        </w:rPr>
        <w:t xml:space="preserve"> эффективности, устанавливаемые по годам для каждого значимого объекта КИИ в отношении каждого класса (типа) </w:t>
      </w:r>
      <w:r w:rsidR="0078137E" w:rsidRPr="00B0658A">
        <w:rPr>
          <w:rFonts w:ascii="Times New Roman" w:hAnsi="Times New Roman"/>
          <w:sz w:val="28"/>
          <w:szCs w:val="24"/>
        </w:rPr>
        <w:t>ПО</w:t>
      </w:r>
      <w:r w:rsidR="0045103E" w:rsidRPr="00B0658A">
        <w:rPr>
          <w:rFonts w:ascii="Times New Roman" w:hAnsi="Times New Roman"/>
          <w:sz w:val="28"/>
          <w:szCs w:val="24"/>
        </w:rPr>
        <w:t>, используемого на соответствующем значимом объекте КИИ (в виде отдельной таблицы);</w:t>
      </w:r>
    </w:p>
    <w:p w14:paraId="2738540A" w14:textId="77777777" w:rsidR="00684BDF" w:rsidRPr="00B0658A" w:rsidRDefault="00783870" w:rsidP="00F57B1F">
      <w:pPr>
        <w:spacing w:after="0" w:line="240" w:lineRule="auto"/>
        <w:ind w:firstLine="720"/>
        <w:jc w:val="both"/>
        <w:rPr>
          <w:rFonts w:ascii="Times New Roman" w:hAnsi="Times New Roman"/>
          <w:sz w:val="28"/>
          <w:szCs w:val="24"/>
        </w:rPr>
      </w:pPr>
      <w:r w:rsidRPr="00B0658A">
        <w:rPr>
          <w:rFonts w:ascii="Times New Roman" w:hAnsi="Times New Roman"/>
          <w:sz w:val="28"/>
          <w:szCs w:val="24"/>
        </w:rPr>
        <w:t>е) </w:t>
      </w:r>
      <w:r w:rsidR="0045103E" w:rsidRPr="00B0658A">
        <w:rPr>
          <w:rFonts w:ascii="Times New Roman" w:hAnsi="Times New Roman"/>
          <w:sz w:val="28"/>
          <w:szCs w:val="24"/>
        </w:rPr>
        <w:t>детализированный план перевода государственных и ведомственных информационных систем, оператор</w:t>
      </w:r>
      <w:r w:rsidR="0078137E" w:rsidRPr="00B0658A">
        <w:rPr>
          <w:rFonts w:ascii="Times New Roman" w:hAnsi="Times New Roman"/>
          <w:sz w:val="28"/>
          <w:szCs w:val="24"/>
        </w:rPr>
        <w:t>ом</w:t>
      </w:r>
      <w:r w:rsidR="0045103E" w:rsidRPr="00B0658A">
        <w:rPr>
          <w:rFonts w:ascii="Times New Roman" w:hAnsi="Times New Roman"/>
          <w:sz w:val="28"/>
          <w:szCs w:val="24"/>
        </w:rPr>
        <w:t xml:space="preserve"> и (или) государственным заказчик</w:t>
      </w:r>
      <w:r w:rsidR="0078137E" w:rsidRPr="00B0658A">
        <w:rPr>
          <w:rFonts w:ascii="Times New Roman" w:hAnsi="Times New Roman"/>
          <w:sz w:val="28"/>
          <w:szCs w:val="24"/>
        </w:rPr>
        <w:t>о</w:t>
      </w:r>
      <w:r w:rsidR="0045103E" w:rsidRPr="00B0658A">
        <w:rPr>
          <w:rFonts w:ascii="Times New Roman" w:hAnsi="Times New Roman"/>
          <w:sz w:val="28"/>
          <w:szCs w:val="24"/>
        </w:rPr>
        <w:t>м которых явля</w:t>
      </w:r>
      <w:r w:rsidR="0078137E" w:rsidRPr="00B0658A">
        <w:rPr>
          <w:rFonts w:ascii="Times New Roman" w:hAnsi="Times New Roman"/>
          <w:sz w:val="28"/>
          <w:szCs w:val="24"/>
        </w:rPr>
        <w:t>е</w:t>
      </w:r>
      <w:r w:rsidR="0045103E" w:rsidRPr="00B0658A">
        <w:rPr>
          <w:rFonts w:ascii="Times New Roman" w:hAnsi="Times New Roman"/>
          <w:sz w:val="28"/>
          <w:szCs w:val="24"/>
        </w:rPr>
        <w:t>тся орган государственной власти или государственный внебюджетный фонд, на использование российского ПО (в виде отдельной таблицы)</w:t>
      </w:r>
      <w:r w:rsidR="00684BDF" w:rsidRPr="00B0658A">
        <w:rPr>
          <w:rFonts w:ascii="Times New Roman" w:hAnsi="Times New Roman"/>
          <w:sz w:val="28"/>
          <w:szCs w:val="24"/>
        </w:rPr>
        <w:t>.</w:t>
      </w:r>
    </w:p>
    <w:p w14:paraId="36FCC8DE" w14:textId="77777777" w:rsidR="00684BDF" w:rsidRPr="00B0658A" w:rsidRDefault="00684BDF" w:rsidP="00F57B1F">
      <w:pPr>
        <w:spacing w:after="0" w:line="240" w:lineRule="auto"/>
        <w:jc w:val="both"/>
        <w:rPr>
          <w:rFonts w:ascii="Times New Roman" w:hAnsi="Times New Roman"/>
          <w:sz w:val="28"/>
          <w:szCs w:val="24"/>
        </w:rPr>
      </w:pPr>
      <w:r w:rsidRPr="00B0658A">
        <w:rPr>
          <w:rFonts w:ascii="Times New Roman" w:hAnsi="Times New Roman"/>
          <w:sz w:val="28"/>
          <w:szCs w:val="24"/>
        </w:rPr>
        <w:tab/>
      </w:r>
      <w:r w:rsidR="0078137E" w:rsidRPr="00B0658A">
        <w:rPr>
          <w:rFonts w:ascii="Times New Roman" w:hAnsi="Times New Roman"/>
          <w:sz w:val="28"/>
          <w:szCs w:val="24"/>
        </w:rPr>
        <w:t>26</w:t>
      </w:r>
      <w:r w:rsidRPr="00B0658A">
        <w:rPr>
          <w:rFonts w:ascii="Times New Roman" w:hAnsi="Times New Roman"/>
          <w:sz w:val="28"/>
          <w:szCs w:val="24"/>
        </w:rPr>
        <w:t>. </w:t>
      </w:r>
      <w:r w:rsidR="008F30BC" w:rsidRPr="00B0658A">
        <w:rPr>
          <w:rFonts w:ascii="Times New Roman" w:hAnsi="Times New Roman"/>
          <w:sz w:val="28"/>
          <w:szCs w:val="24"/>
        </w:rPr>
        <w:t xml:space="preserve">План перехода органа государственной власти на использование российского ПО </w:t>
      </w:r>
      <w:r w:rsidR="0068744D" w:rsidRPr="00B0658A">
        <w:rPr>
          <w:rFonts w:ascii="Times New Roman" w:hAnsi="Times New Roman"/>
          <w:sz w:val="28"/>
          <w:szCs w:val="24"/>
        </w:rPr>
        <w:t xml:space="preserve">рекомендуется </w:t>
      </w:r>
      <w:r w:rsidR="008F30BC" w:rsidRPr="00B0658A">
        <w:rPr>
          <w:rFonts w:ascii="Times New Roman" w:hAnsi="Times New Roman"/>
          <w:sz w:val="28"/>
          <w:szCs w:val="24"/>
        </w:rPr>
        <w:t>утвер</w:t>
      </w:r>
      <w:r w:rsidR="0068744D" w:rsidRPr="00B0658A">
        <w:rPr>
          <w:rFonts w:ascii="Times New Roman" w:hAnsi="Times New Roman"/>
          <w:sz w:val="28"/>
          <w:szCs w:val="24"/>
        </w:rPr>
        <w:t>дить</w:t>
      </w:r>
      <w:r w:rsidR="008F30BC" w:rsidRPr="00B0658A">
        <w:rPr>
          <w:rFonts w:ascii="Times New Roman" w:hAnsi="Times New Roman"/>
          <w:sz w:val="28"/>
          <w:szCs w:val="24"/>
        </w:rPr>
        <w:t xml:space="preserve"> актом органа государственной власти. План перехода государственного внебюджетного фонда на использование российского ПО </w:t>
      </w:r>
      <w:r w:rsidR="0068744D" w:rsidRPr="00B0658A">
        <w:rPr>
          <w:rFonts w:ascii="Times New Roman" w:hAnsi="Times New Roman"/>
          <w:sz w:val="28"/>
          <w:szCs w:val="24"/>
        </w:rPr>
        <w:t xml:space="preserve">рекомендуется </w:t>
      </w:r>
      <w:r w:rsidR="008F30BC" w:rsidRPr="00B0658A">
        <w:rPr>
          <w:rFonts w:ascii="Times New Roman" w:hAnsi="Times New Roman"/>
          <w:sz w:val="28"/>
          <w:szCs w:val="24"/>
        </w:rPr>
        <w:t>утвер</w:t>
      </w:r>
      <w:r w:rsidR="0068744D" w:rsidRPr="00B0658A">
        <w:rPr>
          <w:rFonts w:ascii="Times New Roman" w:hAnsi="Times New Roman"/>
          <w:sz w:val="28"/>
          <w:szCs w:val="24"/>
        </w:rPr>
        <w:t>дить</w:t>
      </w:r>
      <w:r w:rsidR="008F30BC" w:rsidRPr="00B0658A">
        <w:rPr>
          <w:rFonts w:ascii="Times New Roman" w:hAnsi="Times New Roman"/>
          <w:sz w:val="28"/>
          <w:szCs w:val="24"/>
        </w:rPr>
        <w:t xml:space="preserve"> решением</w:t>
      </w:r>
      <w:r w:rsidR="006668F9" w:rsidRPr="006668F9">
        <w:rPr>
          <w:rFonts w:ascii="Times New Roman" w:hAnsi="Times New Roman"/>
          <w:sz w:val="28"/>
          <w:szCs w:val="24"/>
        </w:rPr>
        <w:t xml:space="preserve"> </w:t>
      </w:r>
      <w:r w:rsidR="008F30BC" w:rsidRPr="00B0658A">
        <w:rPr>
          <w:rFonts w:ascii="Times New Roman" w:hAnsi="Times New Roman"/>
          <w:sz w:val="28"/>
          <w:szCs w:val="24"/>
        </w:rPr>
        <w:t>государственного внебюджетного фонда.</w:t>
      </w:r>
    </w:p>
    <w:p w14:paraId="1AB2C032" w14:textId="77777777" w:rsidR="004B74F6" w:rsidRPr="00B0658A" w:rsidRDefault="00684BDF" w:rsidP="00F57B1F">
      <w:pPr>
        <w:spacing w:after="0" w:line="240" w:lineRule="auto"/>
        <w:jc w:val="both"/>
        <w:rPr>
          <w:rFonts w:ascii="Times New Roman" w:hAnsi="Times New Roman"/>
          <w:sz w:val="28"/>
          <w:szCs w:val="24"/>
        </w:rPr>
      </w:pPr>
      <w:r w:rsidRPr="00B0658A">
        <w:rPr>
          <w:rFonts w:ascii="Times New Roman" w:hAnsi="Times New Roman"/>
          <w:sz w:val="28"/>
          <w:szCs w:val="24"/>
        </w:rPr>
        <w:tab/>
      </w:r>
      <w:r w:rsidR="0078137E" w:rsidRPr="00B0658A">
        <w:rPr>
          <w:rFonts w:ascii="Times New Roman" w:hAnsi="Times New Roman"/>
          <w:sz w:val="28"/>
          <w:szCs w:val="24"/>
        </w:rPr>
        <w:t>27</w:t>
      </w:r>
      <w:r w:rsidRPr="00B0658A">
        <w:rPr>
          <w:rFonts w:ascii="Times New Roman" w:hAnsi="Times New Roman"/>
          <w:sz w:val="28"/>
          <w:szCs w:val="24"/>
        </w:rPr>
        <w:t>. </w:t>
      </w:r>
      <w:r w:rsidR="008F30BC" w:rsidRPr="00B0658A">
        <w:rPr>
          <w:rFonts w:ascii="Times New Roman" w:hAnsi="Times New Roman"/>
          <w:sz w:val="28"/>
          <w:szCs w:val="24"/>
        </w:rPr>
        <w:t>В целях обеспечения эффективного перехода органа государственной власти и</w:t>
      </w:r>
      <w:r w:rsidR="006A0622" w:rsidRPr="00B0658A">
        <w:rPr>
          <w:rFonts w:ascii="Times New Roman" w:hAnsi="Times New Roman"/>
          <w:sz w:val="28"/>
          <w:szCs w:val="24"/>
        </w:rPr>
        <w:t>ли</w:t>
      </w:r>
      <w:r w:rsidR="008F30BC" w:rsidRPr="00B0658A">
        <w:rPr>
          <w:rFonts w:ascii="Times New Roman" w:hAnsi="Times New Roman"/>
          <w:sz w:val="28"/>
          <w:szCs w:val="24"/>
        </w:rPr>
        <w:t xml:space="preserve"> государственного внебюджетного фонда </w:t>
      </w:r>
      <w:r w:rsidR="0078137E" w:rsidRPr="00B0658A">
        <w:rPr>
          <w:rFonts w:ascii="Times New Roman" w:hAnsi="Times New Roman"/>
          <w:sz w:val="28"/>
          <w:szCs w:val="24"/>
        </w:rPr>
        <w:t xml:space="preserve">на использование российского ПО </w:t>
      </w:r>
      <w:r w:rsidR="008F30BC" w:rsidRPr="00B0658A">
        <w:rPr>
          <w:rFonts w:ascii="Times New Roman" w:hAnsi="Times New Roman"/>
          <w:sz w:val="28"/>
          <w:szCs w:val="24"/>
        </w:rPr>
        <w:t xml:space="preserve">рекомендуется определить решением органа государственной власти или государственного внебюджетного фонда работника органа государственной власти или государственного внебюджетного фонда, занимающего должность не ниже заместителя руководителя органа государственной власти или государственного внебюджетного фонда, ответственного за переход на использование российского ПО, а также за достижение устанавливаемых в Плане перехода показателей эффективности и </w:t>
      </w:r>
      <w:r w:rsidR="00387935" w:rsidRPr="00B0658A">
        <w:rPr>
          <w:rFonts w:ascii="Times New Roman" w:hAnsi="Times New Roman"/>
          <w:sz w:val="28"/>
          <w:szCs w:val="24"/>
        </w:rPr>
        <w:t>соответствующих им значений индикаторов эффективности</w:t>
      </w:r>
      <w:r w:rsidR="008F30BC" w:rsidRPr="00B0658A">
        <w:rPr>
          <w:rFonts w:ascii="Times New Roman" w:hAnsi="Times New Roman"/>
          <w:sz w:val="28"/>
          <w:szCs w:val="24"/>
        </w:rPr>
        <w:t>.</w:t>
      </w:r>
    </w:p>
    <w:p w14:paraId="568405F2" w14:textId="77777777" w:rsidR="008F30BC" w:rsidRPr="00B0658A" w:rsidRDefault="002127BB" w:rsidP="00F57B1F">
      <w:pPr>
        <w:spacing w:after="0" w:line="240" w:lineRule="auto"/>
        <w:ind w:firstLine="720"/>
        <w:jc w:val="both"/>
        <w:rPr>
          <w:rFonts w:ascii="Times New Roman" w:hAnsi="Times New Roman"/>
          <w:sz w:val="28"/>
          <w:szCs w:val="24"/>
        </w:rPr>
      </w:pPr>
      <w:r w:rsidRPr="00B0658A">
        <w:rPr>
          <w:rFonts w:ascii="Times New Roman" w:hAnsi="Times New Roman"/>
          <w:sz w:val="28"/>
          <w:szCs w:val="24"/>
        </w:rPr>
        <w:t xml:space="preserve">Указанные функции могут быть возложены на заместителя руководителя органа государственной власти или заместителя руководителя государственного внебюджетного фонда, ответственного за цифровую трансформацию и (или) развитие </w:t>
      </w:r>
      <w:r w:rsidR="000803DD" w:rsidRPr="00B0658A">
        <w:rPr>
          <w:rFonts w:ascii="Times New Roman" w:hAnsi="Times New Roman"/>
          <w:sz w:val="28"/>
          <w:szCs w:val="24"/>
        </w:rPr>
        <w:t>ИКТ</w:t>
      </w:r>
      <w:r w:rsidRPr="00B0658A">
        <w:rPr>
          <w:rFonts w:ascii="Times New Roman" w:hAnsi="Times New Roman"/>
          <w:sz w:val="28"/>
          <w:szCs w:val="24"/>
        </w:rPr>
        <w:t>.</w:t>
      </w:r>
    </w:p>
    <w:p w14:paraId="21E4EF34" w14:textId="77777777" w:rsidR="001C7930" w:rsidRPr="00B0658A" w:rsidRDefault="008F30BC" w:rsidP="00F57B1F">
      <w:pPr>
        <w:spacing w:after="0" w:line="240" w:lineRule="auto"/>
        <w:jc w:val="both"/>
        <w:rPr>
          <w:rFonts w:ascii="Times New Roman" w:hAnsi="Times New Roman"/>
          <w:sz w:val="28"/>
          <w:szCs w:val="24"/>
        </w:rPr>
      </w:pPr>
      <w:r w:rsidRPr="00B0658A">
        <w:rPr>
          <w:rFonts w:ascii="Times New Roman" w:hAnsi="Times New Roman"/>
          <w:sz w:val="28"/>
          <w:szCs w:val="24"/>
        </w:rPr>
        <w:tab/>
      </w:r>
      <w:r w:rsidR="0078137E" w:rsidRPr="00B0658A">
        <w:rPr>
          <w:rFonts w:ascii="Times New Roman" w:hAnsi="Times New Roman"/>
          <w:sz w:val="28"/>
          <w:szCs w:val="24"/>
        </w:rPr>
        <w:t>28</w:t>
      </w:r>
      <w:r w:rsidRPr="00B0658A">
        <w:rPr>
          <w:rFonts w:ascii="Times New Roman" w:hAnsi="Times New Roman"/>
          <w:sz w:val="28"/>
          <w:szCs w:val="24"/>
        </w:rPr>
        <w:t>. </w:t>
      </w:r>
      <w:r w:rsidR="001C7930" w:rsidRPr="00B0658A">
        <w:rPr>
          <w:rFonts w:ascii="Times New Roman" w:hAnsi="Times New Roman"/>
          <w:sz w:val="28"/>
          <w:szCs w:val="24"/>
        </w:rPr>
        <w:t>План перехода органа государственной власти и</w:t>
      </w:r>
      <w:r w:rsidR="006174EC" w:rsidRPr="00B0658A">
        <w:rPr>
          <w:rFonts w:ascii="Times New Roman" w:hAnsi="Times New Roman"/>
          <w:sz w:val="28"/>
          <w:szCs w:val="24"/>
        </w:rPr>
        <w:t>ли</w:t>
      </w:r>
      <w:r w:rsidR="001C7930" w:rsidRPr="00B0658A">
        <w:rPr>
          <w:rFonts w:ascii="Times New Roman" w:hAnsi="Times New Roman"/>
          <w:sz w:val="28"/>
          <w:szCs w:val="24"/>
        </w:rPr>
        <w:t xml:space="preserve"> план перехода государственного внебюджетного фонда на использование российского ПО </w:t>
      </w:r>
      <w:r w:rsidR="006174EC" w:rsidRPr="00B0658A">
        <w:rPr>
          <w:rFonts w:ascii="Times New Roman" w:hAnsi="Times New Roman"/>
          <w:sz w:val="28"/>
          <w:szCs w:val="24"/>
        </w:rPr>
        <w:t xml:space="preserve">рекомендуется </w:t>
      </w:r>
      <w:r w:rsidR="001C7930" w:rsidRPr="00B0658A">
        <w:rPr>
          <w:rFonts w:ascii="Times New Roman" w:hAnsi="Times New Roman"/>
          <w:sz w:val="28"/>
          <w:szCs w:val="24"/>
        </w:rPr>
        <w:t>согласова</w:t>
      </w:r>
      <w:r w:rsidR="006174EC" w:rsidRPr="00B0658A">
        <w:rPr>
          <w:rFonts w:ascii="Times New Roman" w:hAnsi="Times New Roman"/>
          <w:sz w:val="28"/>
          <w:szCs w:val="24"/>
        </w:rPr>
        <w:t>ть</w:t>
      </w:r>
      <w:r w:rsidR="001C7930" w:rsidRPr="00B0658A">
        <w:rPr>
          <w:rFonts w:ascii="Times New Roman" w:hAnsi="Times New Roman"/>
          <w:sz w:val="28"/>
          <w:szCs w:val="24"/>
        </w:rPr>
        <w:t xml:space="preserve"> с </w:t>
      </w:r>
      <w:r w:rsidR="00215338" w:rsidRPr="00B0658A">
        <w:rPr>
          <w:rFonts w:ascii="Times New Roman" w:hAnsi="Times New Roman"/>
          <w:sz w:val="28"/>
          <w:szCs w:val="24"/>
        </w:rPr>
        <w:t>Минцифры России</w:t>
      </w:r>
      <w:r w:rsidR="001C7930" w:rsidRPr="00B0658A">
        <w:rPr>
          <w:rFonts w:ascii="Times New Roman" w:hAnsi="Times New Roman"/>
          <w:sz w:val="28"/>
          <w:szCs w:val="24"/>
        </w:rPr>
        <w:t xml:space="preserve">. </w:t>
      </w:r>
    </w:p>
    <w:p w14:paraId="66B97302" w14:textId="3B25E930" w:rsidR="00215338" w:rsidRPr="00B0658A" w:rsidRDefault="0078137E"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29</w:t>
      </w:r>
      <w:r w:rsidR="001C7930" w:rsidRPr="00B0658A">
        <w:rPr>
          <w:rFonts w:ascii="Times New Roman" w:hAnsi="Times New Roman"/>
          <w:sz w:val="28"/>
          <w:szCs w:val="24"/>
        </w:rPr>
        <w:t>. </w:t>
      </w:r>
      <w:r w:rsidR="004B74F6" w:rsidRPr="00B0658A">
        <w:rPr>
          <w:rFonts w:ascii="Times New Roman" w:hAnsi="Times New Roman"/>
          <w:sz w:val="28"/>
          <w:szCs w:val="24"/>
        </w:rPr>
        <w:t>Д</w:t>
      </w:r>
      <w:r w:rsidR="001C7930" w:rsidRPr="00B0658A">
        <w:rPr>
          <w:rFonts w:ascii="Times New Roman" w:hAnsi="Times New Roman"/>
          <w:sz w:val="28"/>
          <w:szCs w:val="24"/>
        </w:rPr>
        <w:t>етализированн</w:t>
      </w:r>
      <w:r w:rsidR="004B74F6" w:rsidRPr="00B0658A">
        <w:rPr>
          <w:rFonts w:ascii="Times New Roman" w:hAnsi="Times New Roman"/>
          <w:sz w:val="28"/>
          <w:szCs w:val="24"/>
        </w:rPr>
        <w:t>ый</w:t>
      </w:r>
      <w:r w:rsidR="001C7930" w:rsidRPr="00B0658A">
        <w:rPr>
          <w:rFonts w:ascii="Times New Roman" w:hAnsi="Times New Roman"/>
          <w:sz w:val="28"/>
          <w:szCs w:val="24"/>
        </w:rPr>
        <w:t xml:space="preserve"> план перехода на использование российского ПО на принадлежащих органу государственной власти или государственному внебюджетному фонду значимых объектах КИИ, а также показател</w:t>
      </w:r>
      <w:r w:rsidR="004B74F6" w:rsidRPr="00B0658A">
        <w:rPr>
          <w:rFonts w:ascii="Times New Roman" w:hAnsi="Times New Roman"/>
          <w:sz w:val="28"/>
          <w:szCs w:val="24"/>
        </w:rPr>
        <w:t>и</w:t>
      </w:r>
      <w:r w:rsidR="001C7930" w:rsidRPr="00B0658A">
        <w:rPr>
          <w:rFonts w:ascii="Times New Roman" w:hAnsi="Times New Roman"/>
          <w:sz w:val="28"/>
          <w:szCs w:val="24"/>
        </w:rPr>
        <w:t xml:space="preserve"> эффективности перехода на использование российского ПО и соответствующи</w:t>
      </w:r>
      <w:r w:rsidR="004B74F6" w:rsidRPr="00B0658A">
        <w:rPr>
          <w:rFonts w:ascii="Times New Roman" w:hAnsi="Times New Roman"/>
          <w:sz w:val="28"/>
          <w:szCs w:val="24"/>
        </w:rPr>
        <w:t>е</w:t>
      </w:r>
      <w:r w:rsidR="001C7930" w:rsidRPr="00B0658A">
        <w:rPr>
          <w:rFonts w:ascii="Times New Roman" w:hAnsi="Times New Roman"/>
          <w:sz w:val="28"/>
          <w:szCs w:val="24"/>
        </w:rPr>
        <w:t xml:space="preserve"> им </w:t>
      </w:r>
      <w:r w:rsidR="00387935" w:rsidRPr="00B0658A">
        <w:rPr>
          <w:rFonts w:ascii="Times New Roman" w:hAnsi="Times New Roman"/>
          <w:sz w:val="28"/>
          <w:szCs w:val="24"/>
        </w:rPr>
        <w:t>значения</w:t>
      </w:r>
      <w:r w:rsidR="001C7930" w:rsidRPr="00B0658A">
        <w:rPr>
          <w:rFonts w:ascii="Times New Roman" w:hAnsi="Times New Roman"/>
          <w:sz w:val="28"/>
          <w:szCs w:val="24"/>
        </w:rPr>
        <w:t xml:space="preserve"> эффективности, устанавливаемы</w:t>
      </w:r>
      <w:r w:rsidR="006A0622" w:rsidRPr="00B0658A">
        <w:rPr>
          <w:rFonts w:ascii="Times New Roman" w:hAnsi="Times New Roman"/>
          <w:sz w:val="28"/>
          <w:szCs w:val="24"/>
        </w:rPr>
        <w:t>е</w:t>
      </w:r>
      <w:r w:rsidR="001C7930" w:rsidRPr="00B0658A">
        <w:rPr>
          <w:rFonts w:ascii="Times New Roman" w:hAnsi="Times New Roman"/>
          <w:sz w:val="28"/>
          <w:szCs w:val="24"/>
        </w:rPr>
        <w:t xml:space="preserve"> для значимых объектов КИИ</w:t>
      </w:r>
      <w:r w:rsidRPr="00B0658A">
        <w:rPr>
          <w:rFonts w:ascii="Times New Roman" w:hAnsi="Times New Roman"/>
          <w:sz w:val="28"/>
          <w:szCs w:val="24"/>
        </w:rPr>
        <w:t>,</w:t>
      </w:r>
      <w:r w:rsidR="001C7930" w:rsidRPr="00B0658A">
        <w:rPr>
          <w:rFonts w:ascii="Times New Roman" w:hAnsi="Times New Roman"/>
          <w:sz w:val="28"/>
          <w:szCs w:val="24"/>
        </w:rPr>
        <w:t xml:space="preserve"> также </w:t>
      </w:r>
      <w:r w:rsidR="00EC4A92" w:rsidRPr="00B0658A">
        <w:rPr>
          <w:rFonts w:ascii="Times New Roman" w:hAnsi="Times New Roman"/>
          <w:sz w:val="28"/>
          <w:szCs w:val="24"/>
        </w:rPr>
        <w:t>рекомендуется</w:t>
      </w:r>
      <w:r w:rsidR="001C7930" w:rsidRPr="00B0658A">
        <w:rPr>
          <w:rFonts w:ascii="Times New Roman" w:hAnsi="Times New Roman"/>
          <w:sz w:val="28"/>
          <w:szCs w:val="24"/>
        </w:rPr>
        <w:t xml:space="preserve"> согласова</w:t>
      </w:r>
      <w:r w:rsidR="00EC4A92" w:rsidRPr="00B0658A">
        <w:rPr>
          <w:rFonts w:ascii="Times New Roman" w:hAnsi="Times New Roman"/>
          <w:sz w:val="28"/>
          <w:szCs w:val="24"/>
        </w:rPr>
        <w:t>ть</w:t>
      </w:r>
      <w:r w:rsidR="001C7930" w:rsidRPr="00B0658A">
        <w:rPr>
          <w:rFonts w:ascii="Times New Roman" w:hAnsi="Times New Roman"/>
          <w:sz w:val="28"/>
          <w:szCs w:val="24"/>
        </w:rPr>
        <w:t xml:space="preserve"> с </w:t>
      </w:r>
      <w:r w:rsidR="00A123F5">
        <w:rPr>
          <w:rFonts w:ascii="Times New Roman" w:hAnsi="Times New Roman"/>
          <w:sz w:val="28"/>
          <w:szCs w:val="24"/>
        </w:rPr>
        <w:t>Минцифры</w:t>
      </w:r>
      <w:r w:rsidR="00215338" w:rsidRPr="00B0658A">
        <w:rPr>
          <w:rFonts w:ascii="Times New Roman" w:hAnsi="Times New Roman"/>
          <w:sz w:val="28"/>
          <w:szCs w:val="24"/>
        </w:rPr>
        <w:t xml:space="preserve"> России.</w:t>
      </w:r>
    </w:p>
    <w:p w14:paraId="737DFAC0" w14:textId="77777777" w:rsidR="00EB4D25" w:rsidRPr="00B0658A" w:rsidRDefault="0078137E"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lastRenderedPageBreak/>
        <w:t>30</w:t>
      </w:r>
      <w:r w:rsidR="00EB4D25" w:rsidRPr="00B0658A">
        <w:rPr>
          <w:rFonts w:ascii="Times New Roman" w:hAnsi="Times New Roman"/>
          <w:sz w:val="28"/>
          <w:szCs w:val="24"/>
        </w:rPr>
        <w:t>. В случае, если в рамках планирования перевода государственных и ведомственных информационных систем на использование российского ПО предусматривается такое планирование для государственных и ведомственных информационных систем, в которых осуществляется обработка сведений, составляющих государственную тайну, рекомендуется</w:t>
      </w:r>
      <w:r w:rsidR="00F55FAD" w:rsidRPr="00B0658A">
        <w:rPr>
          <w:rFonts w:ascii="Times New Roman" w:hAnsi="Times New Roman"/>
          <w:sz w:val="28"/>
          <w:szCs w:val="24"/>
        </w:rPr>
        <w:t xml:space="preserve"> отдельно:</w:t>
      </w:r>
    </w:p>
    <w:p w14:paraId="43098E96" w14:textId="77777777" w:rsidR="00F55FAD" w:rsidRPr="00B0658A" w:rsidRDefault="00F55FAD"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а) сформировать детализированный план перевода государственных и ведомственных информационных систем</w:t>
      </w:r>
      <w:r w:rsidR="006A0622" w:rsidRPr="00B0658A">
        <w:rPr>
          <w:rFonts w:ascii="Times New Roman" w:hAnsi="Times New Roman"/>
          <w:sz w:val="28"/>
          <w:szCs w:val="24"/>
        </w:rPr>
        <w:t xml:space="preserve"> на использование российского ПО</w:t>
      </w:r>
      <w:r w:rsidRPr="00B0658A">
        <w:rPr>
          <w:rFonts w:ascii="Times New Roman" w:hAnsi="Times New Roman"/>
          <w:sz w:val="28"/>
          <w:szCs w:val="24"/>
        </w:rPr>
        <w:t>, в которых осуществляется обработка сведений, составляющих государственную тайну (в виде отдельной таблицы);</w:t>
      </w:r>
    </w:p>
    <w:p w14:paraId="60AFEDA0" w14:textId="77777777" w:rsidR="00F55FAD" w:rsidRPr="00B0658A" w:rsidRDefault="00F55FAD"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б) сформировать детализированный план перевода государственных и ведомственных информационных систем</w:t>
      </w:r>
      <w:r w:rsidR="006A0622" w:rsidRPr="00B0658A">
        <w:rPr>
          <w:rFonts w:ascii="Times New Roman" w:hAnsi="Times New Roman"/>
          <w:sz w:val="28"/>
          <w:szCs w:val="24"/>
        </w:rPr>
        <w:t xml:space="preserve"> на использование российского ПО</w:t>
      </w:r>
      <w:r w:rsidRPr="00B0658A">
        <w:rPr>
          <w:rFonts w:ascii="Times New Roman" w:hAnsi="Times New Roman"/>
          <w:sz w:val="28"/>
          <w:szCs w:val="24"/>
        </w:rPr>
        <w:t>, в которых не осуществляется обработка сведений, составляющих государственную тайну (в виде отдельной таблицы).</w:t>
      </w:r>
    </w:p>
    <w:p w14:paraId="583C0ADC" w14:textId="722C433C" w:rsidR="00F55FAD" w:rsidRPr="00B0658A" w:rsidRDefault="00436014"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Д</w:t>
      </w:r>
      <w:r w:rsidR="00F55FAD" w:rsidRPr="00B0658A">
        <w:rPr>
          <w:rFonts w:ascii="Times New Roman" w:hAnsi="Times New Roman"/>
          <w:sz w:val="28"/>
          <w:szCs w:val="24"/>
        </w:rPr>
        <w:t>етализированн</w:t>
      </w:r>
      <w:r w:rsidRPr="00B0658A">
        <w:rPr>
          <w:rFonts w:ascii="Times New Roman" w:hAnsi="Times New Roman"/>
          <w:sz w:val="28"/>
          <w:szCs w:val="24"/>
        </w:rPr>
        <w:t>ый</w:t>
      </w:r>
      <w:r w:rsidR="00F55FAD" w:rsidRPr="00B0658A">
        <w:rPr>
          <w:rFonts w:ascii="Times New Roman" w:hAnsi="Times New Roman"/>
          <w:sz w:val="28"/>
          <w:szCs w:val="24"/>
        </w:rPr>
        <w:t xml:space="preserve"> план перевода государственных и ведомственных информационных систем, в которых осуществляется обработка сведений, составляющих государственную тайну</w:t>
      </w:r>
      <w:r w:rsidRPr="00B0658A">
        <w:rPr>
          <w:rFonts w:ascii="Times New Roman" w:hAnsi="Times New Roman"/>
          <w:sz w:val="28"/>
          <w:szCs w:val="24"/>
        </w:rPr>
        <w:t>,</w:t>
      </w:r>
      <w:r w:rsidR="00F55FAD" w:rsidRPr="00B0658A">
        <w:rPr>
          <w:rFonts w:ascii="Times New Roman" w:hAnsi="Times New Roman"/>
          <w:sz w:val="28"/>
          <w:szCs w:val="24"/>
        </w:rPr>
        <w:t xml:space="preserve"> </w:t>
      </w:r>
      <w:r w:rsidR="00EC4A92" w:rsidRPr="00B0658A">
        <w:rPr>
          <w:rFonts w:ascii="Times New Roman" w:hAnsi="Times New Roman"/>
          <w:sz w:val="28"/>
          <w:szCs w:val="24"/>
        </w:rPr>
        <w:t xml:space="preserve">рекомендуется </w:t>
      </w:r>
      <w:r w:rsidR="00B86D79" w:rsidRPr="00B0658A">
        <w:rPr>
          <w:rFonts w:ascii="Times New Roman" w:hAnsi="Times New Roman"/>
          <w:sz w:val="28"/>
          <w:szCs w:val="24"/>
        </w:rPr>
        <w:t>также согласова</w:t>
      </w:r>
      <w:r w:rsidR="00EC4A92" w:rsidRPr="00B0658A">
        <w:rPr>
          <w:rFonts w:ascii="Times New Roman" w:hAnsi="Times New Roman"/>
          <w:sz w:val="28"/>
          <w:szCs w:val="24"/>
        </w:rPr>
        <w:t>ть</w:t>
      </w:r>
      <w:r w:rsidR="00B86D79" w:rsidRPr="00B0658A">
        <w:rPr>
          <w:rFonts w:ascii="Times New Roman" w:hAnsi="Times New Roman"/>
          <w:sz w:val="28"/>
          <w:szCs w:val="24"/>
        </w:rPr>
        <w:t xml:space="preserve"> с </w:t>
      </w:r>
      <w:r w:rsidR="00A123F5">
        <w:rPr>
          <w:rFonts w:ascii="Times New Roman" w:hAnsi="Times New Roman"/>
          <w:sz w:val="28"/>
          <w:szCs w:val="24"/>
        </w:rPr>
        <w:t>Минцифры</w:t>
      </w:r>
      <w:r w:rsidR="00B86D79" w:rsidRPr="00B0658A">
        <w:rPr>
          <w:rFonts w:ascii="Times New Roman" w:hAnsi="Times New Roman"/>
          <w:sz w:val="28"/>
          <w:szCs w:val="24"/>
        </w:rPr>
        <w:t xml:space="preserve"> России.</w:t>
      </w:r>
    </w:p>
    <w:p w14:paraId="12797DCE" w14:textId="77777777" w:rsidR="00F826CB" w:rsidRPr="00B0658A" w:rsidRDefault="00F826CB"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 xml:space="preserve">31. Документы, являющиеся частью Плана перехода и которые представляют собой сведения, составляющие государственную тайну, и документы, являющиеся частью Плана перехода и в которых отсутствуют сведения, составляющие государственную тайну, </w:t>
      </w:r>
      <w:r w:rsidR="00EC4A92" w:rsidRPr="00B0658A">
        <w:rPr>
          <w:rFonts w:ascii="Times New Roman" w:hAnsi="Times New Roman"/>
          <w:sz w:val="28"/>
          <w:szCs w:val="24"/>
        </w:rPr>
        <w:t>рекомендуется направлять</w:t>
      </w:r>
      <w:r w:rsidRPr="00B0658A">
        <w:rPr>
          <w:rFonts w:ascii="Times New Roman" w:hAnsi="Times New Roman"/>
          <w:sz w:val="28"/>
          <w:szCs w:val="24"/>
        </w:rPr>
        <w:t xml:space="preserve"> на согласование </w:t>
      </w:r>
      <w:r w:rsidR="00EC4A92" w:rsidRPr="00B0658A">
        <w:rPr>
          <w:rFonts w:ascii="Times New Roman" w:hAnsi="Times New Roman"/>
          <w:sz w:val="28"/>
          <w:szCs w:val="24"/>
        </w:rPr>
        <w:t xml:space="preserve">в </w:t>
      </w:r>
      <w:r w:rsidR="006A0622" w:rsidRPr="00B0658A">
        <w:rPr>
          <w:rFonts w:ascii="Times New Roman" w:hAnsi="Times New Roman"/>
          <w:sz w:val="28"/>
          <w:szCs w:val="24"/>
        </w:rPr>
        <w:t>указанные</w:t>
      </w:r>
      <w:r w:rsidR="00EC4A92" w:rsidRPr="00B0658A">
        <w:rPr>
          <w:rFonts w:ascii="Times New Roman" w:hAnsi="Times New Roman"/>
          <w:sz w:val="28"/>
          <w:szCs w:val="24"/>
        </w:rPr>
        <w:t xml:space="preserve"> федеральные органы исполнительной власти </w:t>
      </w:r>
      <w:r w:rsidRPr="00B0658A">
        <w:rPr>
          <w:rFonts w:ascii="Times New Roman" w:hAnsi="Times New Roman"/>
          <w:sz w:val="28"/>
          <w:szCs w:val="24"/>
        </w:rPr>
        <w:t>раздельно.</w:t>
      </w:r>
    </w:p>
    <w:p w14:paraId="59DC002E" w14:textId="77777777" w:rsidR="00843362" w:rsidRPr="00B0658A" w:rsidRDefault="0078137E"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3</w:t>
      </w:r>
      <w:r w:rsidR="00F826CB" w:rsidRPr="00B0658A">
        <w:rPr>
          <w:rFonts w:ascii="Times New Roman" w:hAnsi="Times New Roman"/>
          <w:sz w:val="28"/>
          <w:szCs w:val="24"/>
        </w:rPr>
        <w:t>2</w:t>
      </w:r>
      <w:r w:rsidR="00B86D79" w:rsidRPr="00B0658A">
        <w:rPr>
          <w:rFonts w:ascii="Times New Roman" w:hAnsi="Times New Roman"/>
          <w:sz w:val="28"/>
          <w:szCs w:val="24"/>
        </w:rPr>
        <w:t>. </w:t>
      </w:r>
      <w:r w:rsidR="00D447F5" w:rsidRPr="00B0658A">
        <w:rPr>
          <w:rFonts w:ascii="Times New Roman" w:hAnsi="Times New Roman"/>
          <w:sz w:val="28"/>
          <w:szCs w:val="24"/>
        </w:rPr>
        <w:t>Рекомендованная форма плана перехода орган</w:t>
      </w:r>
      <w:r w:rsidR="00995A12" w:rsidRPr="00B0658A">
        <w:rPr>
          <w:rFonts w:ascii="Times New Roman" w:hAnsi="Times New Roman"/>
          <w:sz w:val="28"/>
          <w:szCs w:val="24"/>
        </w:rPr>
        <w:t>а</w:t>
      </w:r>
      <w:r w:rsidR="00D447F5" w:rsidRPr="00B0658A">
        <w:rPr>
          <w:rFonts w:ascii="Times New Roman" w:hAnsi="Times New Roman"/>
          <w:sz w:val="28"/>
          <w:szCs w:val="24"/>
        </w:rPr>
        <w:t xml:space="preserve"> государственной власти и</w:t>
      </w:r>
      <w:r w:rsidR="00995A12" w:rsidRPr="00B0658A">
        <w:rPr>
          <w:rFonts w:ascii="Times New Roman" w:hAnsi="Times New Roman"/>
          <w:sz w:val="28"/>
          <w:szCs w:val="24"/>
        </w:rPr>
        <w:t>ли</w:t>
      </w:r>
      <w:r w:rsidR="00D447F5" w:rsidRPr="00B0658A">
        <w:rPr>
          <w:rFonts w:ascii="Times New Roman" w:hAnsi="Times New Roman"/>
          <w:sz w:val="28"/>
          <w:szCs w:val="24"/>
        </w:rPr>
        <w:t xml:space="preserve"> государственн</w:t>
      </w:r>
      <w:r w:rsidR="00995A12" w:rsidRPr="00B0658A">
        <w:rPr>
          <w:rFonts w:ascii="Times New Roman" w:hAnsi="Times New Roman"/>
          <w:sz w:val="28"/>
          <w:szCs w:val="24"/>
        </w:rPr>
        <w:t>ого</w:t>
      </w:r>
      <w:r w:rsidR="00D447F5" w:rsidRPr="00B0658A">
        <w:rPr>
          <w:rFonts w:ascii="Times New Roman" w:hAnsi="Times New Roman"/>
          <w:sz w:val="28"/>
          <w:szCs w:val="24"/>
        </w:rPr>
        <w:t xml:space="preserve"> внебюджетн</w:t>
      </w:r>
      <w:r w:rsidR="00995A12" w:rsidRPr="00B0658A">
        <w:rPr>
          <w:rFonts w:ascii="Times New Roman" w:hAnsi="Times New Roman"/>
          <w:sz w:val="28"/>
          <w:szCs w:val="24"/>
        </w:rPr>
        <w:t>ого</w:t>
      </w:r>
      <w:r w:rsidR="00D447F5" w:rsidRPr="00B0658A">
        <w:rPr>
          <w:rFonts w:ascii="Times New Roman" w:hAnsi="Times New Roman"/>
          <w:sz w:val="28"/>
          <w:szCs w:val="24"/>
        </w:rPr>
        <w:t xml:space="preserve"> фонд</w:t>
      </w:r>
      <w:r w:rsidR="00995A12" w:rsidRPr="00B0658A">
        <w:rPr>
          <w:rFonts w:ascii="Times New Roman" w:hAnsi="Times New Roman"/>
          <w:sz w:val="28"/>
          <w:szCs w:val="24"/>
        </w:rPr>
        <w:t>а</w:t>
      </w:r>
      <w:r w:rsidR="00D447F5" w:rsidRPr="00B0658A">
        <w:rPr>
          <w:rFonts w:ascii="Times New Roman" w:hAnsi="Times New Roman"/>
          <w:sz w:val="28"/>
          <w:szCs w:val="24"/>
        </w:rPr>
        <w:t xml:space="preserve"> на использование российского ПО, включая</w:t>
      </w:r>
      <w:r w:rsidR="00843362" w:rsidRPr="00B0658A">
        <w:rPr>
          <w:rFonts w:ascii="Times New Roman" w:hAnsi="Times New Roman"/>
          <w:sz w:val="28"/>
          <w:szCs w:val="24"/>
        </w:rPr>
        <w:t>:</w:t>
      </w:r>
    </w:p>
    <w:p w14:paraId="67FFD553" w14:textId="77777777" w:rsidR="00B07220" w:rsidRPr="00B0658A" w:rsidRDefault="00843362"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а) </w:t>
      </w:r>
      <w:r w:rsidR="00D447F5" w:rsidRPr="00B0658A">
        <w:rPr>
          <w:rFonts w:ascii="Times New Roman" w:hAnsi="Times New Roman"/>
          <w:sz w:val="28"/>
          <w:szCs w:val="24"/>
        </w:rPr>
        <w:t>форм</w:t>
      </w:r>
      <w:r w:rsidR="00B60728" w:rsidRPr="00B0658A">
        <w:rPr>
          <w:rFonts w:ascii="Times New Roman" w:hAnsi="Times New Roman"/>
          <w:sz w:val="28"/>
          <w:szCs w:val="24"/>
        </w:rPr>
        <w:t>у</w:t>
      </w:r>
      <w:r w:rsidR="00D447F5" w:rsidRPr="00B0658A">
        <w:rPr>
          <w:rFonts w:ascii="Times New Roman" w:hAnsi="Times New Roman"/>
          <w:sz w:val="28"/>
          <w:szCs w:val="24"/>
        </w:rPr>
        <w:t xml:space="preserve"> для </w:t>
      </w:r>
      <w:r w:rsidRPr="00B0658A">
        <w:rPr>
          <w:rFonts w:ascii="Times New Roman" w:hAnsi="Times New Roman"/>
          <w:sz w:val="28"/>
          <w:szCs w:val="24"/>
        </w:rPr>
        <w:t>формирования</w:t>
      </w:r>
      <w:r w:rsidR="00D447F5" w:rsidRPr="00B0658A">
        <w:rPr>
          <w:rFonts w:ascii="Times New Roman" w:hAnsi="Times New Roman"/>
          <w:sz w:val="28"/>
          <w:szCs w:val="24"/>
        </w:rPr>
        <w:t xml:space="preserve"> перечня организационно-технических мероприятий</w:t>
      </w:r>
      <w:r w:rsidRPr="00B0658A">
        <w:rPr>
          <w:rFonts w:ascii="Times New Roman" w:hAnsi="Times New Roman"/>
          <w:sz w:val="28"/>
          <w:szCs w:val="24"/>
        </w:rPr>
        <w:t>;</w:t>
      </w:r>
    </w:p>
    <w:p w14:paraId="5CA7D194" w14:textId="77777777" w:rsidR="00843362" w:rsidRPr="00B0658A" w:rsidRDefault="00B07220"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б) </w:t>
      </w:r>
      <w:r w:rsidR="00843362" w:rsidRPr="00B0658A">
        <w:rPr>
          <w:rFonts w:ascii="Times New Roman" w:hAnsi="Times New Roman"/>
          <w:sz w:val="28"/>
          <w:szCs w:val="24"/>
        </w:rPr>
        <w:t>форм</w:t>
      </w:r>
      <w:r w:rsidR="00B60728" w:rsidRPr="00B0658A">
        <w:rPr>
          <w:rFonts w:ascii="Times New Roman" w:hAnsi="Times New Roman"/>
          <w:sz w:val="28"/>
          <w:szCs w:val="24"/>
        </w:rPr>
        <w:t>у</w:t>
      </w:r>
      <w:r w:rsidR="00843362" w:rsidRPr="00B0658A">
        <w:rPr>
          <w:rFonts w:ascii="Times New Roman" w:hAnsi="Times New Roman"/>
          <w:sz w:val="28"/>
          <w:szCs w:val="24"/>
        </w:rPr>
        <w:t xml:space="preserve"> для </w:t>
      </w:r>
      <w:r w:rsidR="00D447F5" w:rsidRPr="00B0658A">
        <w:rPr>
          <w:rFonts w:ascii="Times New Roman" w:hAnsi="Times New Roman"/>
          <w:sz w:val="28"/>
          <w:szCs w:val="24"/>
        </w:rPr>
        <w:t xml:space="preserve">установления показателей эффективности и </w:t>
      </w:r>
      <w:r w:rsidR="00387935" w:rsidRPr="00B0658A">
        <w:rPr>
          <w:rFonts w:ascii="Times New Roman" w:hAnsi="Times New Roman"/>
          <w:sz w:val="28"/>
          <w:szCs w:val="24"/>
        </w:rPr>
        <w:t>соответствующих им значений индикаторов эффективности</w:t>
      </w:r>
      <w:r w:rsidR="00D447F5" w:rsidRPr="00B0658A">
        <w:rPr>
          <w:rFonts w:ascii="Times New Roman" w:hAnsi="Times New Roman"/>
          <w:sz w:val="28"/>
          <w:szCs w:val="24"/>
        </w:rPr>
        <w:t xml:space="preserve"> перехода на использование российского ПО</w:t>
      </w:r>
      <w:r w:rsidR="00843362" w:rsidRPr="00B0658A">
        <w:rPr>
          <w:rFonts w:ascii="Times New Roman" w:hAnsi="Times New Roman"/>
          <w:sz w:val="28"/>
          <w:szCs w:val="24"/>
        </w:rPr>
        <w:t>;</w:t>
      </w:r>
    </w:p>
    <w:p w14:paraId="2D200158" w14:textId="77777777" w:rsidR="00843362" w:rsidRPr="00B0658A" w:rsidRDefault="00B07220"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в</w:t>
      </w:r>
      <w:r w:rsidR="00843362" w:rsidRPr="00B0658A">
        <w:rPr>
          <w:rFonts w:ascii="Times New Roman" w:hAnsi="Times New Roman"/>
          <w:sz w:val="28"/>
          <w:szCs w:val="24"/>
        </w:rPr>
        <w:t>) форм</w:t>
      </w:r>
      <w:r w:rsidR="00B60728" w:rsidRPr="00B0658A">
        <w:rPr>
          <w:rFonts w:ascii="Times New Roman" w:hAnsi="Times New Roman"/>
          <w:sz w:val="28"/>
          <w:szCs w:val="24"/>
        </w:rPr>
        <w:t>у</w:t>
      </w:r>
      <w:r w:rsidR="00843362" w:rsidRPr="00B0658A">
        <w:rPr>
          <w:rFonts w:ascii="Times New Roman" w:hAnsi="Times New Roman"/>
          <w:sz w:val="28"/>
          <w:szCs w:val="24"/>
        </w:rPr>
        <w:t xml:space="preserve"> для установления</w:t>
      </w:r>
      <w:r w:rsidR="00D447F5" w:rsidRPr="00B0658A">
        <w:rPr>
          <w:rFonts w:ascii="Times New Roman" w:hAnsi="Times New Roman"/>
          <w:sz w:val="28"/>
          <w:szCs w:val="24"/>
        </w:rPr>
        <w:t xml:space="preserve"> показателей эффективности в отношении закупок программного обеспечения и связанных с ним работ и услуг;</w:t>
      </w:r>
    </w:p>
    <w:p w14:paraId="3FE059FF" w14:textId="77777777" w:rsidR="00843362" w:rsidRPr="00B0658A" w:rsidRDefault="00B07220"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г</w:t>
      </w:r>
      <w:r w:rsidR="00843362" w:rsidRPr="00B0658A">
        <w:rPr>
          <w:rFonts w:ascii="Times New Roman" w:hAnsi="Times New Roman"/>
          <w:sz w:val="28"/>
          <w:szCs w:val="24"/>
        </w:rPr>
        <w:t>) форм</w:t>
      </w:r>
      <w:r w:rsidR="00B60728" w:rsidRPr="00B0658A">
        <w:rPr>
          <w:rFonts w:ascii="Times New Roman" w:hAnsi="Times New Roman"/>
          <w:sz w:val="28"/>
          <w:szCs w:val="24"/>
        </w:rPr>
        <w:t>у</w:t>
      </w:r>
      <w:r w:rsidR="00843362" w:rsidRPr="00B0658A">
        <w:rPr>
          <w:rFonts w:ascii="Times New Roman" w:hAnsi="Times New Roman"/>
          <w:sz w:val="28"/>
          <w:szCs w:val="24"/>
        </w:rPr>
        <w:t xml:space="preserve"> для определения </w:t>
      </w:r>
      <w:r w:rsidR="00D447F5" w:rsidRPr="00B0658A">
        <w:rPr>
          <w:rFonts w:ascii="Times New Roman" w:hAnsi="Times New Roman"/>
          <w:sz w:val="28"/>
          <w:szCs w:val="24"/>
        </w:rPr>
        <w:t>сведени</w:t>
      </w:r>
      <w:r w:rsidR="00843362" w:rsidRPr="00B0658A">
        <w:rPr>
          <w:rFonts w:ascii="Times New Roman" w:hAnsi="Times New Roman"/>
          <w:sz w:val="28"/>
          <w:szCs w:val="24"/>
        </w:rPr>
        <w:t>й</w:t>
      </w:r>
      <w:r w:rsidR="00D447F5" w:rsidRPr="00B0658A">
        <w:rPr>
          <w:rFonts w:ascii="Times New Roman" w:hAnsi="Times New Roman"/>
          <w:sz w:val="28"/>
          <w:szCs w:val="24"/>
        </w:rPr>
        <w:t xml:space="preserve"> об объемах и источниках финансовых ресурсов;</w:t>
      </w:r>
    </w:p>
    <w:p w14:paraId="1CE95AFD" w14:textId="77777777" w:rsidR="00843362" w:rsidRPr="00B0658A" w:rsidRDefault="00B07220"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д</w:t>
      </w:r>
      <w:r w:rsidR="00843362" w:rsidRPr="00B0658A">
        <w:rPr>
          <w:rFonts w:ascii="Times New Roman" w:hAnsi="Times New Roman"/>
          <w:sz w:val="28"/>
          <w:szCs w:val="24"/>
        </w:rPr>
        <w:t>) форм</w:t>
      </w:r>
      <w:r w:rsidR="00B60728" w:rsidRPr="00B0658A">
        <w:rPr>
          <w:rFonts w:ascii="Times New Roman" w:hAnsi="Times New Roman"/>
          <w:sz w:val="28"/>
          <w:szCs w:val="24"/>
        </w:rPr>
        <w:t>у</w:t>
      </w:r>
      <w:r w:rsidR="00843362" w:rsidRPr="00B0658A">
        <w:rPr>
          <w:rFonts w:ascii="Times New Roman" w:hAnsi="Times New Roman"/>
          <w:sz w:val="28"/>
          <w:szCs w:val="24"/>
        </w:rPr>
        <w:t xml:space="preserve"> </w:t>
      </w:r>
      <w:r w:rsidR="00D447F5" w:rsidRPr="00B0658A">
        <w:rPr>
          <w:rFonts w:ascii="Times New Roman" w:hAnsi="Times New Roman"/>
          <w:sz w:val="28"/>
          <w:szCs w:val="24"/>
        </w:rPr>
        <w:t>детализированн</w:t>
      </w:r>
      <w:r w:rsidR="00843362" w:rsidRPr="00B0658A">
        <w:rPr>
          <w:rFonts w:ascii="Times New Roman" w:hAnsi="Times New Roman"/>
          <w:sz w:val="28"/>
          <w:szCs w:val="24"/>
        </w:rPr>
        <w:t>ого</w:t>
      </w:r>
      <w:r w:rsidR="00D447F5" w:rsidRPr="00B0658A">
        <w:rPr>
          <w:rFonts w:ascii="Times New Roman" w:hAnsi="Times New Roman"/>
          <w:sz w:val="28"/>
          <w:szCs w:val="24"/>
        </w:rPr>
        <w:t xml:space="preserve"> план</w:t>
      </w:r>
      <w:r w:rsidR="00843362" w:rsidRPr="00B0658A">
        <w:rPr>
          <w:rFonts w:ascii="Times New Roman" w:hAnsi="Times New Roman"/>
          <w:sz w:val="28"/>
          <w:szCs w:val="24"/>
        </w:rPr>
        <w:t>а</w:t>
      </w:r>
      <w:r w:rsidR="00D447F5" w:rsidRPr="00B0658A">
        <w:rPr>
          <w:rFonts w:ascii="Times New Roman" w:hAnsi="Times New Roman"/>
          <w:sz w:val="28"/>
          <w:szCs w:val="24"/>
        </w:rPr>
        <w:t xml:space="preserve"> перехода на использование российского ПО на принадлежащих органу государственной власти или государственному внебюджетному фонду значимых объектах КИИ</w:t>
      </w:r>
      <w:r w:rsidR="00436014" w:rsidRPr="00B0658A">
        <w:rPr>
          <w:rFonts w:ascii="Times New Roman" w:hAnsi="Times New Roman"/>
          <w:sz w:val="28"/>
          <w:szCs w:val="24"/>
        </w:rPr>
        <w:t xml:space="preserve"> и </w:t>
      </w:r>
      <w:r w:rsidR="00843362" w:rsidRPr="00B0658A">
        <w:rPr>
          <w:rFonts w:ascii="Times New Roman" w:hAnsi="Times New Roman"/>
          <w:sz w:val="28"/>
          <w:szCs w:val="24"/>
        </w:rPr>
        <w:t>форм</w:t>
      </w:r>
      <w:r w:rsidR="00B60728" w:rsidRPr="00B0658A">
        <w:rPr>
          <w:rFonts w:ascii="Times New Roman" w:hAnsi="Times New Roman"/>
          <w:sz w:val="28"/>
          <w:szCs w:val="24"/>
        </w:rPr>
        <w:t>у</w:t>
      </w:r>
      <w:r w:rsidR="00843362" w:rsidRPr="00B0658A">
        <w:rPr>
          <w:rFonts w:ascii="Times New Roman" w:hAnsi="Times New Roman"/>
          <w:sz w:val="28"/>
          <w:szCs w:val="24"/>
        </w:rPr>
        <w:t xml:space="preserve"> для установления </w:t>
      </w:r>
      <w:r w:rsidR="00D447F5" w:rsidRPr="00B0658A">
        <w:rPr>
          <w:rFonts w:ascii="Times New Roman" w:hAnsi="Times New Roman"/>
          <w:sz w:val="28"/>
          <w:szCs w:val="24"/>
        </w:rPr>
        <w:t>показател</w:t>
      </w:r>
      <w:r w:rsidR="00843362" w:rsidRPr="00B0658A">
        <w:rPr>
          <w:rFonts w:ascii="Times New Roman" w:hAnsi="Times New Roman"/>
          <w:sz w:val="28"/>
          <w:szCs w:val="24"/>
        </w:rPr>
        <w:t>ей</w:t>
      </w:r>
      <w:r w:rsidR="00D447F5" w:rsidRPr="00B0658A">
        <w:rPr>
          <w:rFonts w:ascii="Times New Roman" w:hAnsi="Times New Roman"/>
          <w:sz w:val="28"/>
          <w:szCs w:val="24"/>
        </w:rPr>
        <w:t xml:space="preserve"> эффективности перехода на использование российского ПО и </w:t>
      </w:r>
      <w:r w:rsidR="00387935" w:rsidRPr="00B0658A">
        <w:rPr>
          <w:rFonts w:ascii="Times New Roman" w:hAnsi="Times New Roman"/>
          <w:sz w:val="28"/>
          <w:szCs w:val="24"/>
        </w:rPr>
        <w:t>соответствующих им значений индикаторов эффективности</w:t>
      </w:r>
      <w:r w:rsidR="00843362" w:rsidRPr="00B0658A">
        <w:rPr>
          <w:rFonts w:ascii="Times New Roman" w:hAnsi="Times New Roman"/>
          <w:sz w:val="28"/>
          <w:szCs w:val="24"/>
        </w:rPr>
        <w:t xml:space="preserve"> в отношении </w:t>
      </w:r>
      <w:r w:rsidR="00D447F5" w:rsidRPr="00B0658A">
        <w:rPr>
          <w:rFonts w:ascii="Times New Roman" w:hAnsi="Times New Roman"/>
          <w:sz w:val="28"/>
          <w:szCs w:val="24"/>
        </w:rPr>
        <w:t>значим</w:t>
      </w:r>
      <w:r w:rsidR="00843362" w:rsidRPr="00B0658A">
        <w:rPr>
          <w:rFonts w:ascii="Times New Roman" w:hAnsi="Times New Roman"/>
          <w:sz w:val="28"/>
          <w:szCs w:val="24"/>
        </w:rPr>
        <w:t>ых</w:t>
      </w:r>
      <w:r w:rsidR="00D447F5" w:rsidRPr="00B0658A">
        <w:rPr>
          <w:rFonts w:ascii="Times New Roman" w:hAnsi="Times New Roman"/>
          <w:sz w:val="28"/>
          <w:szCs w:val="24"/>
        </w:rPr>
        <w:t xml:space="preserve"> объект</w:t>
      </w:r>
      <w:r w:rsidR="00843362" w:rsidRPr="00B0658A">
        <w:rPr>
          <w:rFonts w:ascii="Times New Roman" w:hAnsi="Times New Roman"/>
          <w:sz w:val="28"/>
          <w:szCs w:val="24"/>
        </w:rPr>
        <w:t>ов</w:t>
      </w:r>
      <w:r w:rsidR="00D447F5" w:rsidRPr="00B0658A">
        <w:rPr>
          <w:rFonts w:ascii="Times New Roman" w:hAnsi="Times New Roman"/>
          <w:sz w:val="28"/>
          <w:szCs w:val="24"/>
        </w:rPr>
        <w:t xml:space="preserve"> КИИ;</w:t>
      </w:r>
    </w:p>
    <w:p w14:paraId="228462F9" w14:textId="07DC9605" w:rsidR="00EB4D25" w:rsidRPr="00B0658A" w:rsidRDefault="00436014"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е</w:t>
      </w:r>
      <w:r w:rsidR="00843362" w:rsidRPr="00B0658A">
        <w:rPr>
          <w:rFonts w:ascii="Times New Roman" w:hAnsi="Times New Roman"/>
          <w:sz w:val="28"/>
          <w:szCs w:val="24"/>
        </w:rPr>
        <w:t>) форм</w:t>
      </w:r>
      <w:r w:rsidR="00B60728" w:rsidRPr="00B0658A">
        <w:rPr>
          <w:rFonts w:ascii="Times New Roman" w:hAnsi="Times New Roman"/>
          <w:sz w:val="28"/>
          <w:szCs w:val="24"/>
        </w:rPr>
        <w:t>у</w:t>
      </w:r>
      <w:r w:rsidR="00843362" w:rsidRPr="00B0658A">
        <w:rPr>
          <w:rFonts w:ascii="Times New Roman" w:hAnsi="Times New Roman"/>
          <w:sz w:val="28"/>
          <w:szCs w:val="24"/>
        </w:rPr>
        <w:t xml:space="preserve"> </w:t>
      </w:r>
      <w:r w:rsidR="00D447F5" w:rsidRPr="00B0658A">
        <w:rPr>
          <w:rFonts w:ascii="Times New Roman" w:hAnsi="Times New Roman"/>
          <w:sz w:val="28"/>
          <w:szCs w:val="24"/>
        </w:rPr>
        <w:t>детализированн</w:t>
      </w:r>
      <w:r w:rsidR="00843362" w:rsidRPr="00B0658A">
        <w:rPr>
          <w:rFonts w:ascii="Times New Roman" w:hAnsi="Times New Roman"/>
          <w:sz w:val="28"/>
          <w:szCs w:val="24"/>
        </w:rPr>
        <w:t>ого</w:t>
      </w:r>
      <w:r w:rsidR="00D447F5" w:rsidRPr="00B0658A">
        <w:rPr>
          <w:rFonts w:ascii="Times New Roman" w:hAnsi="Times New Roman"/>
          <w:sz w:val="28"/>
          <w:szCs w:val="24"/>
        </w:rPr>
        <w:t xml:space="preserve"> план</w:t>
      </w:r>
      <w:r w:rsidR="00843362" w:rsidRPr="00B0658A">
        <w:rPr>
          <w:rFonts w:ascii="Times New Roman" w:hAnsi="Times New Roman"/>
          <w:sz w:val="28"/>
          <w:szCs w:val="24"/>
        </w:rPr>
        <w:t>а</w:t>
      </w:r>
      <w:r w:rsidR="00D447F5" w:rsidRPr="00B0658A">
        <w:rPr>
          <w:rFonts w:ascii="Times New Roman" w:hAnsi="Times New Roman"/>
          <w:sz w:val="28"/>
          <w:szCs w:val="24"/>
        </w:rPr>
        <w:t xml:space="preserve"> перевода государственных и ведомственных информационных систем на использование российского ПО</w:t>
      </w:r>
      <w:r w:rsidR="00F57B1F">
        <w:rPr>
          <w:rFonts w:ascii="Times New Roman" w:hAnsi="Times New Roman"/>
          <w:sz w:val="28"/>
          <w:szCs w:val="24"/>
        </w:rPr>
        <w:t xml:space="preserve"> </w:t>
      </w:r>
      <w:r w:rsidR="00843362" w:rsidRPr="00B0658A">
        <w:rPr>
          <w:rFonts w:ascii="Times New Roman" w:hAnsi="Times New Roman"/>
          <w:sz w:val="28"/>
          <w:szCs w:val="24"/>
        </w:rPr>
        <w:t xml:space="preserve">приведена в </w:t>
      </w:r>
      <w:r w:rsidR="00566386">
        <w:rPr>
          <w:rFonts w:ascii="Times New Roman" w:hAnsi="Times New Roman"/>
          <w:sz w:val="28"/>
          <w:szCs w:val="24"/>
        </w:rPr>
        <w:t>п</w:t>
      </w:r>
      <w:r w:rsidR="00843362" w:rsidRPr="00B0658A">
        <w:rPr>
          <w:rFonts w:ascii="Times New Roman" w:hAnsi="Times New Roman"/>
          <w:sz w:val="28"/>
          <w:szCs w:val="24"/>
        </w:rPr>
        <w:t xml:space="preserve">риложении </w:t>
      </w:r>
      <w:r w:rsidR="00592B14" w:rsidRPr="00B0658A">
        <w:rPr>
          <w:rFonts w:ascii="Times New Roman" w:hAnsi="Times New Roman"/>
          <w:sz w:val="28"/>
          <w:szCs w:val="24"/>
        </w:rPr>
        <w:t>№</w:t>
      </w:r>
      <w:r w:rsidR="006A0622" w:rsidRPr="00B0658A">
        <w:rPr>
          <w:rFonts w:ascii="Times New Roman" w:hAnsi="Times New Roman"/>
          <w:sz w:val="28"/>
          <w:szCs w:val="24"/>
        </w:rPr>
        <w:t>1</w:t>
      </w:r>
      <w:r w:rsidR="00843362" w:rsidRPr="00B0658A">
        <w:rPr>
          <w:rFonts w:ascii="Times New Roman" w:hAnsi="Times New Roman"/>
          <w:sz w:val="28"/>
          <w:szCs w:val="24"/>
        </w:rPr>
        <w:t xml:space="preserve"> к настоящим методическим рекомендациям.</w:t>
      </w:r>
    </w:p>
    <w:p w14:paraId="4BD5AA98" w14:textId="764EC2F7" w:rsidR="00B07220" w:rsidRPr="00B0658A" w:rsidRDefault="00995A12"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3</w:t>
      </w:r>
      <w:r w:rsidR="00F826CB" w:rsidRPr="00B0658A">
        <w:rPr>
          <w:rFonts w:ascii="Times New Roman" w:hAnsi="Times New Roman"/>
          <w:sz w:val="28"/>
          <w:szCs w:val="24"/>
        </w:rPr>
        <w:t>3</w:t>
      </w:r>
      <w:r w:rsidR="00843362" w:rsidRPr="00B0658A">
        <w:rPr>
          <w:rFonts w:ascii="Times New Roman" w:hAnsi="Times New Roman"/>
          <w:sz w:val="28"/>
          <w:szCs w:val="24"/>
        </w:rPr>
        <w:t>.</w:t>
      </w:r>
      <w:r w:rsidR="006D3F83" w:rsidRPr="00B0658A">
        <w:rPr>
          <w:rFonts w:ascii="Times New Roman" w:hAnsi="Times New Roman"/>
          <w:sz w:val="28"/>
          <w:szCs w:val="24"/>
        </w:rPr>
        <w:t> </w:t>
      </w:r>
      <w:r w:rsidR="00B07220" w:rsidRPr="00B0658A">
        <w:rPr>
          <w:rFonts w:ascii="Times New Roman" w:hAnsi="Times New Roman"/>
          <w:sz w:val="28"/>
          <w:szCs w:val="24"/>
        </w:rPr>
        <w:t>Рекомендованные</w:t>
      </w:r>
      <w:r w:rsidR="00843362" w:rsidRPr="00B0658A">
        <w:rPr>
          <w:rFonts w:ascii="Times New Roman" w:hAnsi="Times New Roman"/>
          <w:sz w:val="28"/>
          <w:szCs w:val="24"/>
        </w:rPr>
        <w:t> </w:t>
      </w:r>
      <w:r w:rsidR="00B07220" w:rsidRPr="00B0658A">
        <w:rPr>
          <w:rFonts w:ascii="Times New Roman" w:hAnsi="Times New Roman"/>
          <w:sz w:val="28"/>
          <w:szCs w:val="24"/>
        </w:rPr>
        <w:t>показатели эффективности и соответствующи</w:t>
      </w:r>
      <w:r w:rsidRPr="00B0658A">
        <w:rPr>
          <w:rFonts w:ascii="Times New Roman" w:hAnsi="Times New Roman"/>
          <w:sz w:val="28"/>
          <w:szCs w:val="24"/>
        </w:rPr>
        <w:t>е</w:t>
      </w:r>
      <w:r w:rsidR="00B07220" w:rsidRPr="00B0658A">
        <w:rPr>
          <w:rFonts w:ascii="Times New Roman" w:hAnsi="Times New Roman"/>
          <w:sz w:val="28"/>
          <w:szCs w:val="24"/>
        </w:rPr>
        <w:t xml:space="preserve"> им </w:t>
      </w:r>
      <w:r w:rsidR="004C2655" w:rsidRPr="00B0658A">
        <w:rPr>
          <w:rFonts w:ascii="Times New Roman" w:hAnsi="Times New Roman"/>
          <w:sz w:val="28"/>
          <w:szCs w:val="24"/>
        </w:rPr>
        <w:t xml:space="preserve">значения </w:t>
      </w:r>
      <w:r w:rsidR="00B07220" w:rsidRPr="00B0658A">
        <w:rPr>
          <w:rFonts w:ascii="Times New Roman" w:hAnsi="Times New Roman"/>
          <w:sz w:val="28"/>
          <w:szCs w:val="24"/>
        </w:rPr>
        <w:t>индикатор</w:t>
      </w:r>
      <w:r w:rsidR="004C2655" w:rsidRPr="00B0658A">
        <w:rPr>
          <w:rFonts w:ascii="Times New Roman" w:hAnsi="Times New Roman"/>
          <w:sz w:val="28"/>
          <w:szCs w:val="24"/>
        </w:rPr>
        <w:t>ов</w:t>
      </w:r>
      <w:r w:rsidR="00B07220" w:rsidRPr="00B0658A">
        <w:rPr>
          <w:rFonts w:ascii="Times New Roman" w:hAnsi="Times New Roman"/>
          <w:sz w:val="28"/>
          <w:szCs w:val="24"/>
        </w:rPr>
        <w:t xml:space="preserve"> эффективности перехода органов государственной власти и государственных внебюджетных фондов на использование российского ПО в отношении каждого используемого класса (типа) </w:t>
      </w:r>
      <w:r w:rsidR="00005331" w:rsidRPr="00B0658A">
        <w:rPr>
          <w:rFonts w:ascii="Times New Roman" w:hAnsi="Times New Roman"/>
          <w:sz w:val="28"/>
          <w:szCs w:val="24"/>
        </w:rPr>
        <w:t>ПО</w:t>
      </w:r>
      <w:r w:rsidR="00B07220" w:rsidRPr="00B0658A">
        <w:rPr>
          <w:rFonts w:ascii="Times New Roman" w:hAnsi="Times New Roman"/>
          <w:sz w:val="28"/>
          <w:szCs w:val="24"/>
        </w:rPr>
        <w:t xml:space="preserve"> в соответствии с приказом </w:t>
      </w:r>
      <w:r w:rsidR="00B07220" w:rsidRPr="00B0658A">
        <w:rPr>
          <w:rFonts w:ascii="Times New Roman" w:hAnsi="Times New Roman"/>
          <w:sz w:val="28"/>
          <w:szCs w:val="24"/>
        </w:rPr>
        <w:lastRenderedPageBreak/>
        <w:t xml:space="preserve">Министерства цифрового развития, связи и массовых коммуникаций Российской Федерации от 22 сентября 2020 г. </w:t>
      </w:r>
      <w:r w:rsidR="00592B14" w:rsidRPr="00B0658A">
        <w:rPr>
          <w:rFonts w:ascii="Times New Roman" w:hAnsi="Times New Roman"/>
          <w:sz w:val="28"/>
          <w:szCs w:val="24"/>
        </w:rPr>
        <w:t>№ </w:t>
      </w:r>
      <w:r w:rsidR="00B07220" w:rsidRPr="00B0658A">
        <w:rPr>
          <w:rFonts w:ascii="Times New Roman" w:hAnsi="Times New Roman"/>
          <w:sz w:val="28"/>
          <w:szCs w:val="24"/>
        </w:rPr>
        <w:t xml:space="preserve"> 486 «Об утверждении классификатора программ для электронных вычислительных машин и баз данных» приведены в </w:t>
      </w:r>
      <w:r w:rsidR="007638FE">
        <w:rPr>
          <w:rFonts w:ascii="Times New Roman" w:hAnsi="Times New Roman"/>
          <w:sz w:val="28"/>
          <w:szCs w:val="24"/>
        </w:rPr>
        <w:t>п</w:t>
      </w:r>
      <w:r w:rsidR="00B07220" w:rsidRPr="00B0658A">
        <w:rPr>
          <w:rFonts w:ascii="Times New Roman" w:hAnsi="Times New Roman"/>
          <w:sz w:val="28"/>
          <w:szCs w:val="24"/>
        </w:rPr>
        <w:t xml:space="preserve">риложении </w:t>
      </w:r>
      <w:r w:rsidR="00592B14" w:rsidRPr="00B0658A">
        <w:rPr>
          <w:rFonts w:ascii="Times New Roman" w:hAnsi="Times New Roman"/>
          <w:sz w:val="28"/>
          <w:szCs w:val="24"/>
        </w:rPr>
        <w:t>№</w:t>
      </w:r>
      <w:r w:rsidR="007638FE">
        <w:rPr>
          <w:rFonts w:ascii="Times New Roman" w:hAnsi="Times New Roman"/>
          <w:sz w:val="28"/>
          <w:szCs w:val="24"/>
        </w:rPr>
        <w:t xml:space="preserve"> </w:t>
      </w:r>
      <w:r w:rsidR="00B07220" w:rsidRPr="00B0658A">
        <w:rPr>
          <w:rFonts w:ascii="Times New Roman" w:hAnsi="Times New Roman"/>
          <w:sz w:val="28"/>
          <w:szCs w:val="24"/>
        </w:rPr>
        <w:t>2 к настоящим методическим рекомендациям.</w:t>
      </w:r>
    </w:p>
    <w:p w14:paraId="5EFE75A3" w14:textId="77777777" w:rsidR="00B07220" w:rsidRPr="00B0658A" w:rsidRDefault="00995A12"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3</w:t>
      </w:r>
      <w:r w:rsidR="00F826CB" w:rsidRPr="00B0658A">
        <w:rPr>
          <w:rFonts w:ascii="Times New Roman" w:hAnsi="Times New Roman"/>
          <w:sz w:val="28"/>
          <w:szCs w:val="24"/>
        </w:rPr>
        <w:t>4</w:t>
      </w:r>
      <w:r w:rsidR="00B07220" w:rsidRPr="00B0658A">
        <w:rPr>
          <w:rFonts w:ascii="Times New Roman" w:hAnsi="Times New Roman"/>
          <w:sz w:val="28"/>
          <w:szCs w:val="24"/>
        </w:rPr>
        <w:t>. Рекомендованные показател</w:t>
      </w:r>
      <w:r w:rsidR="00F0509D" w:rsidRPr="00B0658A">
        <w:rPr>
          <w:rFonts w:ascii="Times New Roman" w:hAnsi="Times New Roman"/>
          <w:sz w:val="28"/>
          <w:szCs w:val="24"/>
        </w:rPr>
        <w:t>и</w:t>
      </w:r>
      <w:r w:rsidR="00B07220" w:rsidRPr="00B0658A">
        <w:rPr>
          <w:rFonts w:ascii="Times New Roman" w:hAnsi="Times New Roman"/>
          <w:sz w:val="28"/>
          <w:szCs w:val="24"/>
        </w:rPr>
        <w:t xml:space="preserve"> эффективности в отношении закупок </w:t>
      </w:r>
      <w:r w:rsidR="00005331" w:rsidRPr="00B0658A">
        <w:rPr>
          <w:rFonts w:ascii="Times New Roman" w:hAnsi="Times New Roman"/>
          <w:sz w:val="28"/>
          <w:szCs w:val="24"/>
        </w:rPr>
        <w:t>ПО</w:t>
      </w:r>
      <w:r w:rsidR="00B07220" w:rsidRPr="00B0658A">
        <w:rPr>
          <w:rFonts w:ascii="Times New Roman" w:hAnsi="Times New Roman"/>
          <w:sz w:val="28"/>
          <w:szCs w:val="24"/>
        </w:rPr>
        <w:t xml:space="preserve"> и связанных с ним работ и услуг, проводимых органами государственной власти и государственными внебюджетными фондами, приведены в Приложении </w:t>
      </w:r>
      <w:r w:rsidR="00592B14" w:rsidRPr="00B0658A">
        <w:rPr>
          <w:rFonts w:ascii="Times New Roman" w:hAnsi="Times New Roman"/>
          <w:sz w:val="28"/>
          <w:szCs w:val="24"/>
        </w:rPr>
        <w:t>№</w:t>
      </w:r>
      <w:r w:rsidR="00B07220" w:rsidRPr="00B0658A">
        <w:rPr>
          <w:rFonts w:ascii="Times New Roman" w:hAnsi="Times New Roman"/>
          <w:sz w:val="28"/>
          <w:szCs w:val="24"/>
        </w:rPr>
        <w:t>3 к настоящим методическим рекомендациям.</w:t>
      </w:r>
    </w:p>
    <w:p w14:paraId="62F3E80C" w14:textId="77777777" w:rsidR="0061571A" w:rsidRPr="00B0658A" w:rsidRDefault="00714035"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3</w:t>
      </w:r>
      <w:r w:rsidR="00F826CB" w:rsidRPr="00B0658A">
        <w:rPr>
          <w:rFonts w:ascii="Times New Roman" w:hAnsi="Times New Roman"/>
          <w:sz w:val="28"/>
          <w:szCs w:val="24"/>
        </w:rPr>
        <w:t>5</w:t>
      </w:r>
      <w:r w:rsidRPr="00B0658A">
        <w:rPr>
          <w:rFonts w:ascii="Times New Roman" w:hAnsi="Times New Roman"/>
          <w:sz w:val="28"/>
          <w:szCs w:val="24"/>
        </w:rPr>
        <w:t>. </w:t>
      </w:r>
      <w:r w:rsidR="004B5268" w:rsidRPr="00B0658A">
        <w:rPr>
          <w:rFonts w:ascii="Times New Roman" w:hAnsi="Times New Roman"/>
          <w:sz w:val="28"/>
          <w:szCs w:val="24"/>
        </w:rPr>
        <w:t>В переч</w:t>
      </w:r>
      <w:r w:rsidR="004C2655" w:rsidRPr="00B0658A">
        <w:rPr>
          <w:rFonts w:ascii="Times New Roman" w:hAnsi="Times New Roman"/>
          <w:sz w:val="28"/>
          <w:szCs w:val="24"/>
        </w:rPr>
        <w:t>е</w:t>
      </w:r>
      <w:r w:rsidR="004B5268" w:rsidRPr="00B0658A">
        <w:rPr>
          <w:rFonts w:ascii="Times New Roman" w:hAnsi="Times New Roman"/>
          <w:sz w:val="28"/>
          <w:szCs w:val="24"/>
        </w:rPr>
        <w:t>н</w:t>
      </w:r>
      <w:r w:rsidR="004C2655" w:rsidRPr="00B0658A">
        <w:rPr>
          <w:rFonts w:ascii="Times New Roman" w:hAnsi="Times New Roman"/>
          <w:sz w:val="28"/>
          <w:szCs w:val="24"/>
        </w:rPr>
        <w:t>ь</w:t>
      </w:r>
      <w:r w:rsidR="004B5268" w:rsidRPr="00B0658A">
        <w:rPr>
          <w:rFonts w:ascii="Times New Roman" w:hAnsi="Times New Roman"/>
          <w:sz w:val="28"/>
          <w:szCs w:val="24"/>
        </w:rPr>
        <w:t xml:space="preserve"> организационно-технических мероприятий, реализация которых необходима для обеспечения перехода на использование российского ПО</w:t>
      </w:r>
      <w:r w:rsidR="00262BA7" w:rsidRPr="00B0658A">
        <w:rPr>
          <w:rFonts w:ascii="Times New Roman" w:hAnsi="Times New Roman"/>
          <w:sz w:val="28"/>
          <w:szCs w:val="24"/>
        </w:rPr>
        <w:t>, рекомендуется включить:</w:t>
      </w:r>
    </w:p>
    <w:p w14:paraId="4219FB89" w14:textId="0A9DC306" w:rsidR="00262BA7" w:rsidRPr="00B0658A" w:rsidRDefault="00262BA7"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а) </w:t>
      </w:r>
      <w:r w:rsidR="007638FE">
        <w:rPr>
          <w:rFonts w:ascii="Times New Roman" w:hAnsi="Times New Roman"/>
          <w:sz w:val="28"/>
          <w:szCs w:val="24"/>
        </w:rPr>
        <w:t>о</w:t>
      </w:r>
      <w:r w:rsidRPr="00B0658A">
        <w:rPr>
          <w:rFonts w:ascii="Times New Roman" w:hAnsi="Times New Roman"/>
          <w:sz w:val="28"/>
          <w:szCs w:val="24"/>
        </w:rPr>
        <w:t>рганизационные мероприятия, направленные на подготовку к переходу органа государственной власти или государственного внебюджетного фонда на использование российского ПО, включая основные мероприятия, связанные с переходом на использование российского ПО на значимых объектах КИИ и связанные с переводом государственных и ведомственных информационных систем на использование российского ПО;</w:t>
      </w:r>
    </w:p>
    <w:p w14:paraId="79D3952D" w14:textId="34AFE687" w:rsidR="00262BA7" w:rsidRPr="00B0658A" w:rsidRDefault="00262BA7"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б) </w:t>
      </w:r>
      <w:r w:rsidR="007638FE">
        <w:rPr>
          <w:rFonts w:ascii="Times New Roman" w:hAnsi="Times New Roman"/>
          <w:sz w:val="28"/>
          <w:szCs w:val="24"/>
        </w:rPr>
        <w:t>т</w:t>
      </w:r>
      <w:r w:rsidRPr="00B0658A">
        <w:rPr>
          <w:rFonts w:ascii="Times New Roman" w:hAnsi="Times New Roman"/>
          <w:sz w:val="28"/>
          <w:szCs w:val="24"/>
        </w:rPr>
        <w:t>ехнические мероприятия, направленные на подготовку к переходу органа государственной власти или государственного внебюджетного фонда на использование российского ПО, включая основные мероприятия, связанные с переходом на использование российского ПО на значимых объектах КИИ и связанные с переводом государственных и ведомственных информационных систем на использование российского ПО;</w:t>
      </w:r>
    </w:p>
    <w:p w14:paraId="450EDA74" w14:textId="01797DE3" w:rsidR="00262BA7" w:rsidRPr="00B0658A" w:rsidRDefault="00262BA7"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в) </w:t>
      </w:r>
      <w:r w:rsidR="007638FE">
        <w:rPr>
          <w:rFonts w:ascii="Times New Roman" w:hAnsi="Times New Roman"/>
          <w:sz w:val="28"/>
          <w:szCs w:val="24"/>
        </w:rPr>
        <w:t>м</w:t>
      </w:r>
      <w:r w:rsidRPr="00B0658A">
        <w:rPr>
          <w:rFonts w:ascii="Times New Roman" w:hAnsi="Times New Roman"/>
          <w:sz w:val="28"/>
          <w:szCs w:val="24"/>
        </w:rPr>
        <w:t xml:space="preserve">ероприятия, направленные на обеспечение перехода органа государственной власти или государственного внебюджетного фонда на использование российского ПО, включая </w:t>
      </w:r>
      <w:r w:rsidR="004A635E" w:rsidRPr="00B0658A">
        <w:rPr>
          <w:rFonts w:ascii="Times New Roman" w:hAnsi="Times New Roman"/>
          <w:sz w:val="28"/>
          <w:szCs w:val="24"/>
        </w:rPr>
        <w:t xml:space="preserve">общие </w:t>
      </w:r>
      <w:r w:rsidRPr="00B0658A">
        <w:rPr>
          <w:rFonts w:ascii="Times New Roman" w:hAnsi="Times New Roman"/>
          <w:sz w:val="28"/>
          <w:szCs w:val="24"/>
        </w:rPr>
        <w:t>основные мероприятия, связанные с переходом на использование российского ПО на значимых объектах КИИ и связанные с переводом государственных и ведомственных информационных систем на использование российского ПО;</w:t>
      </w:r>
    </w:p>
    <w:p w14:paraId="65DF7EC3" w14:textId="229B6252" w:rsidR="00262BA7" w:rsidRPr="00B0658A" w:rsidRDefault="00262BA7"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 xml:space="preserve">г) </w:t>
      </w:r>
      <w:r w:rsidR="007638FE">
        <w:rPr>
          <w:rFonts w:ascii="Times New Roman" w:hAnsi="Times New Roman"/>
          <w:sz w:val="28"/>
          <w:szCs w:val="24"/>
        </w:rPr>
        <w:t>и</w:t>
      </w:r>
      <w:r w:rsidRPr="00B0658A">
        <w:rPr>
          <w:rFonts w:ascii="Times New Roman" w:hAnsi="Times New Roman"/>
          <w:sz w:val="28"/>
          <w:szCs w:val="24"/>
        </w:rPr>
        <w:t>ные организационно-технические мероприятия.</w:t>
      </w:r>
    </w:p>
    <w:p w14:paraId="4A0EEAE3" w14:textId="77777777" w:rsidR="00995A12" w:rsidRPr="00B0658A" w:rsidRDefault="00262BA7"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3</w:t>
      </w:r>
      <w:r w:rsidR="00F826CB" w:rsidRPr="00B0658A">
        <w:rPr>
          <w:rFonts w:ascii="Times New Roman" w:hAnsi="Times New Roman"/>
          <w:sz w:val="28"/>
          <w:szCs w:val="24"/>
        </w:rPr>
        <w:t>6</w:t>
      </w:r>
      <w:r w:rsidRPr="00B0658A">
        <w:rPr>
          <w:rFonts w:ascii="Times New Roman" w:hAnsi="Times New Roman"/>
          <w:sz w:val="28"/>
          <w:szCs w:val="24"/>
        </w:rPr>
        <w:t>.</w:t>
      </w:r>
      <w:r w:rsidR="00CB2845" w:rsidRPr="00B0658A">
        <w:rPr>
          <w:rFonts w:ascii="Times New Roman" w:hAnsi="Times New Roman"/>
          <w:sz w:val="28"/>
          <w:szCs w:val="24"/>
        </w:rPr>
        <w:t> При описании результатов реализации организационно-технических мероприятий могут быть использованы качественные и количественные индикаторы и показатели.</w:t>
      </w:r>
    </w:p>
    <w:p w14:paraId="3955DD75" w14:textId="77777777" w:rsidR="00CB2845" w:rsidRPr="00B0658A" w:rsidRDefault="00CE1A2F"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3</w:t>
      </w:r>
      <w:r w:rsidR="00F826CB" w:rsidRPr="00B0658A">
        <w:rPr>
          <w:rFonts w:ascii="Times New Roman" w:hAnsi="Times New Roman"/>
          <w:sz w:val="28"/>
          <w:szCs w:val="24"/>
        </w:rPr>
        <w:t>7</w:t>
      </w:r>
      <w:r w:rsidR="00CB2845" w:rsidRPr="00B0658A">
        <w:rPr>
          <w:rFonts w:ascii="Times New Roman" w:hAnsi="Times New Roman"/>
          <w:sz w:val="28"/>
          <w:szCs w:val="24"/>
        </w:rPr>
        <w:t xml:space="preserve">. Для целей перехода на использование российского ПО </w:t>
      </w:r>
      <w:r w:rsidRPr="00B0658A">
        <w:rPr>
          <w:rFonts w:ascii="Times New Roman" w:hAnsi="Times New Roman"/>
          <w:sz w:val="28"/>
          <w:szCs w:val="24"/>
        </w:rPr>
        <w:t xml:space="preserve">федеральным органам исполнительной власти, органам исполнительной власти субъектов Российской Федерации, </w:t>
      </w:r>
      <w:r w:rsidR="00CB2845" w:rsidRPr="00B0658A">
        <w:rPr>
          <w:rFonts w:ascii="Times New Roman" w:hAnsi="Times New Roman"/>
          <w:sz w:val="28"/>
          <w:szCs w:val="24"/>
        </w:rPr>
        <w:t>государственным внебюджетным фондам рекомендуется организовать работу по включению в единый реестр российского ПО</w:t>
      </w:r>
      <w:r w:rsidR="0007413D" w:rsidRPr="00B0658A">
        <w:rPr>
          <w:rFonts w:ascii="Times New Roman" w:hAnsi="Times New Roman"/>
          <w:sz w:val="28"/>
          <w:szCs w:val="24"/>
        </w:rPr>
        <w:t xml:space="preserve"> программного обеспечения, используемого </w:t>
      </w:r>
      <w:r w:rsidR="007A614D" w:rsidRPr="00B0658A">
        <w:rPr>
          <w:rFonts w:ascii="Times New Roman" w:hAnsi="Times New Roman"/>
          <w:sz w:val="28"/>
          <w:szCs w:val="24"/>
        </w:rPr>
        <w:t>федеральными органами исполнительной власти, органами исполнительной власти субъектов Российской Федерации, государственными внебюджетными фондами</w:t>
      </w:r>
      <w:r w:rsidR="003473B9" w:rsidRPr="00B0658A">
        <w:rPr>
          <w:rFonts w:ascii="Times New Roman" w:hAnsi="Times New Roman"/>
          <w:sz w:val="28"/>
          <w:szCs w:val="24"/>
        </w:rPr>
        <w:t>,</w:t>
      </w:r>
      <w:r w:rsidR="0007413D" w:rsidRPr="00B0658A">
        <w:rPr>
          <w:rFonts w:ascii="Times New Roman" w:hAnsi="Times New Roman"/>
          <w:sz w:val="28"/>
          <w:szCs w:val="24"/>
        </w:rPr>
        <w:t xml:space="preserve"> и исключительное право на которое принадлежит </w:t>
      </w:r>
      <w:r w:rsidRPr="00B0658A">
        <w:rPr>
          <w:rFonts w:ascii="Times New Roman" w:hAnsi="Times New Roman"/>
          <w:sz w:val="28"/>
          <w:szCs w:val="24"/>
        </w:rPr>
        <w:t>Российской Федерации или субъекту Российской Федерации соответственно в порядке, предусмотренном законодательством Российской Федерации.</w:t>
      </w:r>
    </w:p>
    <w:p w14:paraId="2E1DA6EC" w14:textId="77777777" w:rsidR="0051081B" w:rsidRPr="00B0658A" w:rsidRDefault="0051081B"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3</w:t>
      </w:r>
      <w:r w:rsidR="00F826CB" w:rsidRPr="00B0658A">
        <w:rPr>
          <w:rFonts w:ascii="Times New Roman" w:hAnsi="Times New Roman"/>
          <w:sz w:val="28"/>
          <w:szCs w:val="24"/>
        </w:rPr>
        <w:t>8</w:t>
      </w:r>
      <w:r w:rsidRPr="00B0658A">
        <w:rPr>
          <w:rFonts w:ascii="Times New Roman" w:hAnsi="Times New Roman"/>
          <w:sz w:val="28"/>
          <w:szCs w:val="24"/>
        </w:rPr>
        <w:t>. </w:t>
      </w:r>
      <w:r w:rsidR="00CB2845" w:rsidRPr="00B0658A">
        <w:rPr>
          <w:rFonts w:ascii="Times New Roman" w:hAnsi="Times New Roman"/>
          <w:sz w:val="28"/>
          <w:szCs w:val="24"/>
        </w:rPr>
        <w:t xml:space="preserve">В целях обеспечения эффективного планирования в части организационно-технических мероприятий перехода на использование </w:t>
      </w:r>
      <w:r w:rsidRPr="00B0658A">
        <w:rPr>
          <w:rFonts w:ascii="Times New Roman" w:hAnsi="Times New Roman"/>
          <w:sz w:val="28"/>
          <w:szCs w:val="24"/>
        </w:rPr>
        <w:t>российского</w:t>
      </w:r>
      <w:r w:rsidR="00CB2845" w:rsidRPr="00B0658A">
        <w:rPr>
          <w:rFonts w:ascii="Times New Roman" w:hAnsi="Times New Roman"/>
          <w:sz w:val="28"/>
          <w:szCs w:val="24"/>
        </w:rPr>
        <w:t xml:space="preserve"> </w:t>
      </w:r>
      <w:r w:rsidR="00C7751E" w:rsidRPr="00B0658A">
        <w:rPr>
          <w:rFonts w:ascii="Times New Roman" w:hAnsi="Times New Roman"/>
          <w:sz w:val="28"/>
          <w:szCs w:val="24"/>
        </w:rPr>
        <w:t>ПО</w:t>
      </w:r>
      <w:r w:rsidR="00CB2845" w:rsidRPr="00B0658A">
        <w:rPr>
          <w:rFonts w:ascii="Times New Roman" w:hAnsi="Times New Roman"/>
          <w:sz w:val="28"/>
          <w:szCs w:val="24"/>
        </w:rPr>
        <w:t xml:space="preserve">, в том числе </w:t>
      </w:r>
      <w:r w:rsidRPr="00B0658A">
        <w:rPr>
          <w:rFonts w:ascii="Times New Roman" w:hAnsi="Times New Roman"/>
          <w:sz w:val="28"/>
          <w:szCs w:val="24"/>
        </w:rPr>
        <w:lastRenderedPageBreak/>
        <w:t>перехода на использование российского ПО на значимых объектах КИИ и перевода государственных и ведомственных информационных систем на использование российского ПО</w:t>
      </w:r>
      <w:r w:rsidR="00CB2845" w:rsidRPr="00B0658A">
        <w:rPr>
          <w:rFonts w:ascii="Times New Roman" w:hAnsi="Times New Roman"/>
          <w:sz w:val="28"/>
          <w:szCs w:val="24"/>
        </w:rPr>
        <w:t xml:space="preserve">, </w:t>
      </w:r>
      <w:r w:rsidRPr="00B0658A">
        <w:rPr>
          <w:rFonts w:ascii="Times New Roman" w:hAnsi="Times New Roman"/>
          <w:sz w:val="28"/>
          <w:szCs w:val="24"/>
        </w:rPr>
        <w:t>органам государственной власти и государственным внебюджетным фондам рекомендуется:</w:t>
      </w:r>
    </w:p>
    <w:p w14:paraId="42998845" w14:textId="2D1CE8E9" w:rsidR="00811A79" w:rsidRPr="00B0658A" w:rsidRDefault="002322DF"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а) </w:t>
      </w:r>
      <w:r w:rsidR="007638FE">
        <w:rPr>
          <w:rFonts w:ascii="Times New Roman" w:hAnsi="Times New Roman"/>
          <w:sz w:val="28"/>
          <w:szCs w:val="24"/>
        </w:rPr>
        <w:t>с</w:t>
      </w:r>
      <w:r w:rsidRPr="00B0658A">
        <w:rPr>
          <w:rFonts w:ascii="Times New Roman" w:hAnsi="Times New Roman"/>
          <w:sz w:val="28"/>
          <w:szCs w:val="24"/>
        </w:rPr>
        <w:t>формировать перечень государственных и ведомственных информационных систем, оператором и (или) государственным заказчиком которых является орган государственной власти или государственный внебюджетный фонд</w:t>
      </w:r>
      <w:r w:rsidR="00811A79" w:rsidRPr="00B0658A">
        <w:rPr>
          <w:rFonts w:ascii="Times New Roman" w:hAnsi="Times New Roman"/>
          <w:sz w:val="28"/>
          <w:szCs w:val="24"/>
        </w:rPr>
        <w:t>, в том числе:</w:t>
      </w:r>
    </w:p>
    <w:p w14:paraId="170DA56C" w14:textId="0842A581" w:rsidR="00811A79" w:rsidRPr="00B0658A" w:rsidRDefault="00811A79"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перечень государственных и ведомственных информационных систем, в которых осуществляется обработка сведений, составляющих государственную тайну;</w:t>
      </w:r>
    </w:p>
    <w:p w14:paraId="018FD85C" w14:textId="2F0CB256" w:rsidR="00783870" w:rsidRPr="00B0658A" w:rsidRDefault="00811A79"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перечень государственных и ведомственных информационных систем, в которых не осуществляется обработка сведений, составляющих государственную тайну</w:t>
      </w:r>
      <w:r w:rsidR="007638FE">
        <w:rPr>
          <w:rFonts w:ascii="Times New Roman" w:hAnsi="Times New Roman"/>
          <w:sz w:val="28"/>
          <w:szCs w:val="24"/>
        </w:rPr>
        <w:t>;</w:t>
      </w:r>
    </w:p>
    <w:p w14:paraId="066BF6C6" w14:textId="1EB4332E" w:rsidR="002322DF" w:rsidRPr="00B0658A" w:rsidRDefault="002322DF"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б) </w:t>
      </w:r>
      <w:r w:rsidR="007638FE">
        <w:rPr>
          <w:rFonts w:ascii="Times New Roman" w:hAnsi="Times New Roman"/>
          <w:sz w:val="28"/>
          <w:szCs w:val="24"/>
        </w:rPr>
        <w:t>с</w:t>
      </w:r>
      <w:r w:rsidRPr="00B0658A">
        <w:rPr>
          <w:rFonts w:ascii="Times New Roman" w:hAnsi="Times New Roman"/>
          <w:sz w:val="28"/>
          <w:szCs w:val="24"/>
        </w:rPr>
        <w:t xml:space="preserve">формировать перечень </w:t>
      </w:r>
      <w:r w:rsidR="007148FE" w:rsidRPr="00B0658A">
        <w:rPr>
          <w:rFonts w:ascii="Times New Roman" w:hAnsi="Times New Roman"/>
          <w:sz w:val="28"/>
          <w:szCs w:val="24"/>
        </w:rPr>
        <w:t xml:space="preserve">значимых </w:t>
      </w:r>
      <w:r w:rsidRPr="00B0658A">
        <w:rPr>
          <w:rFonts w:ascii="Times New Roman" w:hAnsi="Times New Roman"/>
          <w:sz w:val="28"/>
          <w:szCs w:val="24"/>
        </w:rPr>
        <w:t>объектов КИИ, которы</w:t>
      </w:r>
      <w:r w:rsidR="007148FE" w:rsidRPr="00B0658A">
        <w:rPr>
          <w:rFonts w:ascii="Times New Roman" w:hAnsi="Times New Roman"/>
          <w:sz w:val="28"/>
          <w:szCs w:val="24"/>
        </w:rPr>
        <w:t>е</w:t>
      </w:r>
      <w:r w:rsidRPr="00B0658A">
        <w:rPr>
          <w:rFonts w:ascii="Times New Roman" w:hAnsi="Times New Roman"/>
          <w:sz w:val="28"/>
          <w:szCs w:val="24"/>
        </w:rPr>
        <w:t xml:space="preserve"> принадлеж</w:t>
      </w:r>
      <w:r w:rsidR="00BC703C" w:rsidRPr="00B0658A">
        <w:rPr>
          <w:rFonts w:ascii="Times New Roman" w:hAnsi="Times New Roman"/>
          <w:sz w:val="28"/>
          <w:szCs w:val="24"/>
        </w:rPr>
        <w:t>а</w:t>
      </w:r>
      <w:r w:rsidRPr="00B0658A">
        <w:rPr>
          <w:rFonts w:ascii="Times New Roman" w:hAnsi="Times New Roman"/>
          <w:sz w:val="28"/>
          <w:szCs w:val="24"/>
        </w:rPr>
        <w:t>т органу государственной власти или государственному внебюджетному фонду</w:t>
      </w:r>
      <w:r w:rsidR="007638FE">
        <w:rPr>
          <w:rFonts w:ascii="Times New Roman" w:hAnsi="Times New Roman"/>
          <w:sz w:val="28"/>
          <w:szCs w:val="24"/>
        </w:rPr>
        <w:t>;</w:t>
      </w:r>
    </w:p>
    <w:p w14:paraId="76E6C9FE" w14:textId="392CDA39" w:rsidR="00F71761" w:rsidRPr="00B0658A" w:rsidRDefault="002322DF"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в) </w:t>
      </w:r>
      <w:r w:rsidR="007638FE">
        <w:rPr>
          <w:rFonts w:ascii="Times New Roman" w:hAnsi="Times New Roman"/>
          <w:sz w:val="28"/>
          <w:szCs w:val="24"/>
        </w:rPr>
        <w:t>о</w:t>
      </w:r>
      <w:r w:rsidRPr="00B0658A">
        <w:rPr>
          <w:rFonts w:ascii="Times New Roman" w:hAnsi="Times New Roman"/>
          <w:sz w:val="28"/>
          <w:szCs w:val="24"/>
        </w:rPr>
        <w:t>рганизовать и провести стресс-тестирование используемой информационно-технологической инфраструктуры органа государственной власти или государственного внебюджетного фонда, включая государственны</w:t>
      </w:r>
      <w:r w:rsidR="00F71761" w:rsidRPr="00B0658A">
        <w:rPr>
          <w:rFonts w:ascii="Times New Roman" w:hAnsi="Times New Roman"/>
          <w:sz w:val="28"/>
          <w:szCs w:val="24"/>
        </w:rPr>
        <w:t>е</w:t>
      </w:r>
      <w:r w:rsidRPr="00B0658A">
        <w:rPr>
          <w:rFonts w:ascii="Times New Roman" w:hAnsi="Times New Roman"/>
          <w:sz w:val="28"/>
          <w:szCs w:val="24"/>
        </w:rPr>
        <w:t xml:space="preserve"> и ведомственны</w:t>
      </w:r>
      <w:r w:rsidR="00F71761" w:rsidRPr="00B0658A">
        <w:rPr>
          <w:rFonts w:ascii="Times New Roman" w:hAnsi="Times New Roman"/>
          <w:sz w:val="28"/>
          <w:szCs w:val="24"/>
        </w:rPr>
        <w:t>е</w:t>
      </w:r>
      <w:r w:rsidRPr="00B0658A">
        <w:rPr>
          <w:rFonts w:ascii="Times New Roman" w:hAnsi="Times New Roman"/>
          <w:sz w:val="28"/>
          <w:szCs w:val="24"/>
        </w:rPr>
        <w:t xml:space="preserve"> информационны</w:t>
      </w:r>
      <w:r w:rsidR="00F71761" w:rsidRPr="00B0658A">
        <w:rPr>
          <w:rFonts w:ascii="Times New Roman" w:hAnsi="Times New Roman"/>
          <w:sz w:val="28"/>
          <w:szCs w:val="24"/>
        </w:rPr>
        <w:t>е</w:t>
      </w:r>
      <w:r w:rsidRPr="00B0658A">
        <w:rPr>
          <w:rFonts w:ascii="Times New Roman" w:hAnsi="Times New Roman"/>
          <w:sz w:val="28"/>
          <w:szCs w:val="24"/>
        </w:rPr>
        <w:t xml:space="preserve"> систем</w:t>
      </w:r>
      <w:r w:rsidR="00F71761" w:rsidRPr="00B0658A">
        <w:rPr>
          <w:rFonts w:ascii="Times New Roman" w:hAnsi="Times New Roman"/>
          <w:sz w:val="28"/>
          <w:szCs w:val="24"/>
        </w:rPr>
        <w:t>ы</w:t>
      </w:r>
      <w:r w:rsidRPr="00B0658A">
        <w:rPr>
          <w:rFonts w:ascii="Times New Roman" w:hAnsi="Times New Roman"/>
          <w:sz w:val="28"/>
          <w:szCs w:val="24"/>
        </w:rPr>
        <w:t xml:space="preserve">, </w:t>
      </w:r>
      <w:r w:rsidR="007148FE" w:rsidRPr="00B0658A">
        <w:rPr>
          <w:rFonts w:ascii="Times New Roman" w:hAnsi="Times New Roman"/>
          <w:sz w:val="28"/>
          <w:szCs w:val="24"/>
        </w:rPr>
        <w:t xml:space="preserve">значимые </w:t>
      </w:r>
      <w:r w:rsidRPr="00B0658A">
        <w:rPr>
          <w:rFonts w:ascii="Times New Roman" w:hAnsi="Times New Roman"/>
          <w:sz w:val="28"/>
          <w:szCs w:val="24"/>
        </w:rPr>
        <w:t>объект</w:t>
      </w:r>
      <w:r w:rsidR="00F71761" w:rsidRPr="00B0658A">
        <w:rPr>
          <w:rFonts w:ascii="Times New Roman" w:hAnsi="Times New Roman"/>
          <w:sz w:val="28"/>
          <w:szCs w:val="24"/>
        </w:rPr>
        <w:t>ы</w:t>
      </w:r>
      <w:r w:rsidRPr="00B0658A">
        <w:rPr>
          <w:rFonts w:ascii="Times New Roman" w:hAnsi="Times New Roman"/>
          <w:sz w:val="28"/>
          <w:szCs w:val="24"/>
        </w:rPr>
        <w:t xml:space="preserve"> КИИ и ины</w:t>
      </w:r>
      <w:r w:rsidR="00F71761" w:rsidRPr="00B0658A">
        <w:rPr>
          <w:rFonts w:ascii="Times New Roman" w:hAnsi="Times New Roman"/>
          <w:sz w:val="28"/>
          <w:szCs w:val="24"/>
        </w:rPr>
        <w:t>е</w:t>
      </w:r>
      <w:r w:rsidRPr="00B0658A">
        <w:rPr>
          <w:rFonts w:ascii="Times New Roman" w:hAnsi="Times New Roman"/>
          <w:sz w:val="28"/>
          <w:szCs w:val="24"/>
        </w:rPr>
        <w:t xml:space="preserve"> элемент</w:t>
      </w:r>
      <w:r w:rsidR="00F71761" w:rsidRPr="00B0658A">
        <w:rPr>
          <w:rFonts w:ascii="Times New Roman" w:hAnsi="Times New Roman"/>
          <w:sz w:val="28"/>
          <w:szCs w:val="24"/>
        </w:rPr>
        <w:t>ы</w:t>
      </w:r>
      <w:r w:rsidRPr="00B0658A">
        <w:rPr>
          <w:rFonts w:ascii="Times New Roman" w:hAnsi="Times New Roman"/>
          <w:sz w:val="28"/>
          <w:szCs w:val="24"/>
        </w:rPr>
        <w:t xml:space="preserve"> информационно-технологической инфраструктуры, в части используемого </w:t>
      </w:r>
      <w:r w:rsidR="00F71761" w:rsidRPr="00B0658A">
        <w:rPr>
          <w:rFonts w:ascii="Times New Roman" w:hAnsi="Times New Roman"/>
          <w:sz w:val="28"/>
          <w:szCs w:val="24"/>
        </w:rPr>
        <w:t>иностранного ПО</w:t>
      </w:r>
      <w:r w:rsidR="00B61950" w:rsidRPr="00B0658A">
        <w:rPr>
          <w:rFonts w:ascii="Times New Roman" w:hAnsi="Times New Roman"/>
          <w:sz w:val="28"/>
          <w:szCs w:val="24"/>
        </w:rPr>
        <w:t xml:space="preserve"> (далее – стресс-тестирование)</w:t>
      </w:r>
      <w:r w:rsidR="007638FE">
        <w:rPr>
          <w:rFonts w:ascii="Times New Roman" w:hAnsi="Times New Roman"/>
          <w:sz w:val="28"/>
          <w:szCs w:val="24"/>
        </w:rPr>
        <w:t>;</w:t>
      </w:r>
    </w:p>
    <w:p w14:paraId="0EE0063A" w14:textId="2BD7F9AA" w:rsidR="0051081B" w:rsidRPr="00B0658A" w:rsidRDefault="00F71761"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г</w:t>
      </w:r>
      <w:r w:rsidR="00CB2845" w:rsidRPr="00B0658A">
        <w:rPr>
          <w:rFonts w:ascii="Times New Roman" w:hAnsi="Times New Roman"/>
          <w:sz w:val="28"/>
          <w:szCs w:val="24"/>
        </w:rPr>
        <w:t>)</w:t>
      </w:r>
      <w:r w:rsidR="002322DF" w:rsidRPr="00B0658A">
        <w:rPr>
          <w:rFonts w:ascii="Times New Roman" w:hAnsi="Times New Roman"/>
          <w:sz w:val="28"/>
          <w:szCs w:val="24"/>
        </w:rPr>
        <w:t> </w:t>
      </w:r>
      <w:r w:rsidR="007638FE">
        <w:rPr>
          <w:rFonts w:ascii="Times New Roman" w:hAnsi="Times New Roman"/>
          <w:sz w:val="28"/>
          <w:szCs w:val="24"/>
        </w:rPr>
        <w:t>п</w:t>
      </w:r>
      <w:r w:rsidR="00CB2845" w:rsidRPr="00B0658A">
        <w:rPr>
          <w:rFonts w:ascii="Times New Roman" w:hAnsi="Times New Roman"/>
          <w:sz w:val="28"/>
          <w:szCs w:val="24"/>
        </w:rPr>
        <w:t xml:space="preserve">ровести обследование </w:t>
      </w:r>
      <w:r w:rsidRPr="00B0658A">
        <w:rPr>
          <w:rFonts w:ascii="Times New Roman" w:hAnsi="Times New Roman"/>
          <w:sz w:val="28"/>
          <w:szCs w:val="24"/>
        </w:rPr>
        <w:t xml:space="preserve">существующей </w:t>
      </w:r>
      <w:r w:rsidR="00CB2845" w:rsidRPr="00B0658A">
        <w:rPr>
          <w:rFonts w:ascii="Times New Roman" w:hAnsi="Times New Roman"/>
          <w:sz w:val="28"/>
          <w:szCs w:val="24"/>
        </w:rPr>
        <w:t>информационно</w:t>
      </w:r>
      <w:r w:rsidR="0067757F" w:rsidRPr="00B0658A">
        <w:rPr>
          <w:rFonts w:ascii="Times New Roman" w:hAnsi="Times New Roman"/>
          <w:sz w:val="28"/>
          <w:szCs w:val="24"/>
        </w:rPr>
        <w:t>-</w:t>
      </w:r>
      <w:r w:rsidR="00CB2845" w:rsidRPr="00B0658A">
        <w:rPr>
          <w:rFonts w:ascii="Times New Roman" w:hAnsi="Times New Roman"/>
          <w:sz w:val="28"/>
          <w:szCs w:val="24"/>
        </w:rPr>
        <w:t xml:space="preserve">технологической инфраструктуры, в том числе прикладного </w:t>
      </w:r>
      <w:r w:rsidR="007148FE" w:rsidRPr="00B0658A">
        <w:rPr>
          <w:rFonts w:ascii="Times New Roman" w:hAnsi="Times New Roman"/>
          <w:sz w:val="28"/>
          <w:szCs w:val="24"/>
        </w:rPr>
        <w:t>ПО</w:t>
      </w:r>
      <w:r w:rsidR="00CB2845" w:rsidRPr="00B0658A">
        <w:rPr>
          <w:rFonts w:ascii="Times New Roman" w:hAnsi="Times New Roman"/>
          <w:sz w:val="28"/>
          <w:szCs w:val="24"/>
        </w:rPr>
        <w:t xml:space="preserve"> </w:t>
      </w:r>
      <w:r w:rsidRPr="00B0658A">
        <w:rPr>
          <w:rFonts w:ascii="Times New Roman" w:hAnsi="Times New Roman"/>
          <w:sz w:val="28"/>
          <w:szCs w:val="24"/>
        </w:rPr>
        <w:t xml:space="preserve">государственных и ведомственных </w:t>
      </w:r>
      <w:r w:rsidR="00CB2845" w:rsidRPr="00B0658A">
        <w:rPr>
          <w:rFonts w:ascii="Times New Roman" w:hAnsi="Times New Roman"/>
          <w:sz w:val="28"/>
          <w:szCs w:val="24"/>
        </w:rPr>
        <w:t>информационных систем</w:t>
      </w:r>
      <w:r w:rsidRPr="00B0658A">
        <w:rPr>
          <w:rFonts w:ascii="Times New Roman" w:hAnsi="Times New Roman"/>
          <w:sz w:val="28"/>
          <w:szCs w:val="24"/>
        </w:rPr>
        <w:t xml:space="preserve">, </w:t>
      </w:r>
      <w:r w:rsidR="007148FE" w:rsidRPr="00B0658A">
        <w:rPr>
          <w:rFonts w:ascii="Times New Roman" w:hAnsi="Times New Roman"/>
          <w:sz w:val="28"/>
          <w:szCs w:val="24"/>
        </w:rPr>
        <w:t xml:space="preserve">значимых </w:t>
      </w:r>
      <w:r w:rsidRPr="00B0658A">
        <w:rPr>
          <w:rFonts w:ascii="Times New Roman" w:hAnsi="Times New Roman"/>
          <w:sz w:val="28"/>
          <w:szCs w:val="24"/>
        </w:rPr>
        <w:t>объектов КИИ и иных элементов информационно-технологической инфраструктуры, используем</w:t>
      </w:r>
      <w:r w:rsidR="007148FE" w:rsidRPr="00B0658A">
        <w:rPr>
          <w:rFonts w:ascii="Times New Roman" w:hAnsi="Times New Roman"/>
          <w:sz w:val="28"/>
          <w:szCs w:val="24"/>
        </w:rPr>
        <w:t>ых</w:t>
      </w:r>
      <w:r w:rsidRPr="00B0658A">
        <w:rPr>
          <w:rFonts w:ascii="Times New Roman" w:hAnsi="Times New Roman"/>
          <w:sz w:val="28"/>
          <w:szCs w:val="24"/>
        </w:rPr>
        <w:t xml:space="preserve"> органом государственной власти или государственным внебюджетным фондом</w:t>
      </w:r>
      <w:r w:rsidR="007638FE">
        <w:rPr>
          <w:rFonts w:ascii="Times New Roman" w:hAnsi="Times New Roman"/>
          <w:sz w:val="28"/>
          <w:szCs w:val="24"/>
        </w:rPr>
        <w:t>;</w:t>
      </w:r>
    </w:p>
    <w:p w14:paraId="435B9757" w14:textId="5D458F4E" w:rsidR="00F71761" w:rsidRPr="00B0658A" w:rsidRDefault="00F71761"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д</w:t>
      </w:r>
      <w:r w:rsidR="00CB2845" w:rsidRPr="00B0658A">
        <w:rPr>
          <w:rFonts w:ascii="Times New Roman" w:hAnsi="Times New Roman"/>
          <w:sz w:val="28"/>
          <w:szCs w:val="24"/>
        </w:rPr>
        <w:t>)</w:t>
      </w:r>
      <w:r w:rsidRPr="00B0658A">
        <w:rPr>
          <w:rFonts w:ascii="Times New Roman" w:hAnsi="Times New Roman"/>
          <w:sz w:val="28"/>
          <w:szCs w:val="24"/>
        </w:rPr>
        <w:t> </w:t>
      </w:r>
      <w:r w:rsidR="007638FE">
        <w:rPr>
          <w:rFonts w:ascii="Times New Roman" w:hAnsi="Times New Roman"/>
          <w:sz w:val="28"/>
          <w:szCs w:val="24"/>
        </w:rPr>
        <w:t>н</w:t>
      </w:r>
      <w:r w:rsidR="00CB2845" w:rsidRPr="00B0658A">
        <w:rPr>
          <w:rFonts w:ascii="Times New Roman" w:hAnsi="Times New Roman"/>
          <w:sz w:val="28"/>
          <w:szCs w:val="24"/>
        </w:rPr>
        <w:t xml:space="preserve">а основе проведенного обследования </w:t>
      </w:r>
      <w:r w:rsidR="00B61950" w:rsidRPr="00B0658A">
        <w:rPr>
          <w:rFonts w:ascii="Times New Roman" w:hAnsi="Times New Roman"/>
          <w:sz w:val="28"/>
          <w:szCs w:val="24"/>
        </w:rPr>
        <w:t xml:space="preserve">и стресс-тестирования </w:t>
      </w:r>
      <w:r w:rsidR="00CB2845" w:rsidRPr="00B0658A">
        <w:rPr>
          <w:rFonts w:ascii="Times New Roman" w:hAnsi="Times New Roman"/>
          <w:sz w:val="28"/>
          <w:szCs w:val="24"/>
        </w:rPr>
        <w:t>существующей информационно</w:t>
      </w:r>
      <w:r w:rsidRPr="00B0658A">
        <w:rPr>
          <w:rFonts w:ascii="Times New Roman" w:hAnsi="Times New Roman"/>
          <w:sz w:val="28"/>
          <w:szCs w:val="24"/>
        </w:rPr>
        <w:t>-</w:t>
      </w:r>
      <w:r w:rsidR="00CB2845" w:rsidRPr="00B0658A">
        <w:rPr>
          <w:rFonts w:ascii="Times New Roman" w:hAnsi="Times New Roman"/>
          <w:sz w:val="28"/>
          <w:szCs w:val="24"/>
        </w:rPr>
        <w:t>технологической инфраструктуры</w:t>
      </w:r>
      <w:r w:rsidR="007F05C2" w:rsidRPr="00B0658A">
        <w:rPr>
          <w:rFonts w:ascii="Times New Roman" w:hAnsi="Times New Roman"/>
          <w:sz w:val="28"/>
          <w:szCs w:val="24"/>
        </w:rPr>
        <w:t xml:space="preserve"> рекомендуется</w:t>
      </w:r>
      <w:r w:rsidRPr="00B0658A">
        <w:rPr>
          <w:rFonts w:ascii="Times New Roman" w:hAnsi="Times New Roman"/>
          <w:sz w:val="28"/>
          <w:szCs w:val="24"/>
        </w:rPr>
        <w:t>:</w:t>
      </w:r>
    </w:p>
    <w:p w14:paraId="2BC9CE42" w14:textId="6D12FA0F" w:rsidR="0051081B" w:rsidRPr="00B0658A" w:rsidRDefault="00CB2845"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 xml:space="preserve">определить текущие показатели и характеристики использования </w:t>
      </w:r>
      <w:r w:rsidR="00F71761" w:rsidRPr="00B0658A">
        <w:rPr>
          <w:rFonts w:ascii="Times New Roman" w:hAnsi="Times New Roman"/>
          <w:sz w:val="28"/>
          <w:szCs w:val="24"/>
        </w:rPr>
        <w:t>ПО</w:t>
      </w:r>
      <w:r w:rsidRPr="00B0658A">
        <w:rPr>
          <w:rFonts w:ascii="Times New Roman" w:hAnsi="Times New Roman"/>
          <w:sz w:val="28"/>
          <w:szCs w:val="24"/>
        </w:rPr>
        <w:t xml:space="preserve">, происходящего из иностранных государств, в том числе сформировать перечень такого </w:t>
      </w:r>
      <w:r w:rsidR="00F71761" w:rsidRPr="00B0658A">
        <w:rPr>
          <w:rFonts w:ascii="Times New Roman" w:hAnsi="Times New Roman"/>
          <w:sz w:val="28"/>
          <w:szCs w:val="24"/>
        </w:rPr>
        <w:t>ПО</w:t>
      </w:r>
      <w:r w:rsidRPr="00B0658A">
        <w:rPr>
          <w:rFonts w:ascii="Times New Roman" w:hAnsi="Times New Roman"/>
          <w:sz w:val="28"/>
          <w:szCs w:val="24"/>
        </w:rPr>
        <w:t xml:space="preserve">, определить текущие показатели и характеристики использования </w:t>
      </w:r>
      <w:r w:rsidR="00F71761" w:rsidRPr="00B0658A">
        <w:rPr>
          <w:rFonts w:ascii="Times New Roman" w:hAnsi="Times New Roman"/>
          <w:sz w:val="28"/>
          <w:szCs w:val="24"/>
        </w:rPr>
        <w:t>ПО</w:t>
      </w:r>
      <w:r w:rsidRPr="00B0658A">
        <w:rPr>
          <w:rFonts w:ascii="Times New Roman" w:hAnsi="Times New Roman"/>
          <w:sz w:val="28"/>
          <w:szCs w:val="24"/>
        </w:rPr>
        <w:t xml:space="preserve">, сведения о котором включены в единый реестр российского </w:t>
      </w:r>
      <w:r w:rsidR="00F71761" w:rsidRPr="00B0658A">
        <w:rPr>
          <w:rFonts w:ascii="Times New Roman" w:hAnsi="Times New Roman"/>
          <w:sz w:val="28"/>
          <w:szCs w:val="24"/>
        </w:rPr>
        <w:t>ПО, и сформировать перечень такого ПО, а также определить текущие показатели и характеристики использования ПО, сведения о котором включены в единый реестр евразийского ПО, и сформировать перечень такого ПО</w:t>
      </w:r>
      <w:r w:rsidRPr="00B0658A">
        <w:rPr>
          <w:rFonts w:ascii="Times New Roman" w:hAnsi="Times New Roman"/>
          <w:sz w:val="28"/>
          <w:szCs w:val="24"/>
        </w:rPr>
        <w:t>;</w:t>
      </w:r>
    </w:p>
    <w:p w14:paraId="77FA71CC" w14:textId="18D4EEF6" w:rsidR="00F71761" w:rsidRPr="00B0658A" w:rsidRDefault="00F71761"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 xml:space="preserve">для каждого </w:t>
      </w:r>
      <w:r w:rsidR="007148FE" w:rsidRPr="00B0658A">
        <w:rPr>
          <w:rFonts w:ascii="Times New Roman" w:hAnsi="Times New Roman"/>
          <w:sz w:val="28"/>
          <w:szCs w:val="24"/>
        </w:rPr>
        <w:t xml:space="preserve">значимого </w:t>
      </w:r>
      <w:r w:rsidRPr="00B0658A">
        <w:rPr>
          <w:rFonts w:ascii="Times New Roman" w:hAnsi="Times New Roman"/>
          <w:sz w:val="28"/>
          <w:szCs w:val="24"/>
        </w:rPr>
        <w:t>объекта КИИ</w:t>
      </w:r>
      <w:r w:rsidR="00B61950" w:rsidRPr="00B0658A">
        <w:rPr>
          <w:rFonts w:ascii="Times New Roman" w:hAnsi="Times New Roman"/>
          <w:sz w:val="28"/>
          <w:szCs w:val="24"/>
        </w:rPr>
        <w:t>, в том числе представляющего собой государственную информационную систему, ведомственную информационную систему или иной компонент информационно-технологической инфраструктуры,</w:t>
      </w:r>
      <w:r w:rsidRPr="00B0658A">
        <w:rPr>
          <w:rFonts w:ascii="Times New Roman" w:hAnsi="Times New Roman"/>
          <w:sz w:val="28"/>
          <w:szCs w:val="24"/>
        </w:rPr>
        <w:t xml:space="preserve"> определить перечень используемого иностранного ПО, российского ПО и евразийского ПО</w:t>
      </w:r>
      <w:r w:rsidR="007F05C2" w:rsidRPr="00B0658A">
        <w:rPr>
          <w:rFonts w:ascii="Times New Roman" w:hAnsi="Times New Roman"/>
          <w:sz w:val="28"/>
          <w:szCs w:val="24"/>
        </w:rPr>
        <w:t xml:space="preserve">, определить долю используемого российского и евразийского ПО для каждого </w:t>
      </w:r>
      <w:r w:rsidR="007148FE" w:rsidRPr="00B0658A">
        <w:rPr>
          <w:rFonts w:ascii="Times New Roman" w:hAnsi="Times New Roman"/>
          <w:sz w:val="28"/>
          <w:szCs w:val="24"/>
        </w:rPr>
        <w:t xml:space="preserve">значимого </w:t>
      </w:r>
      <w:r w:rsidR="007F05C2" w:rsidRPr="00B0658A">
        <w:rPr>
          <w:rFonts w:ascii="Times New Roman" w:hAnsi="Times New Roman"/>
          <w:sz w:val="28"/>
          <w:szCs w:val="24"/>
        </w:rPr>
        <w:t>объекта КИИ в разрезе классов (типов) ПО</w:t>
      </w:r>
      <w:r w:rsidRPr="00B0658A">
        <w:rPr>
          <w:rFonts w:ascii="Times New Roman" w:hAnsi="Times New Roman"/>
          <w:sz w:val="28"/>
          <w:szCs w:val="24"/>
        </w:rPr>
        <w:t>;</w:t>
      </w:r>
    </w:p>
    <w:p w14:paraId="5DEC854F" w14:textId="50AA4C81" w:rsidR="00F71761" w:rsidRPr="00B0658A" w:rsidRDefault="00F71761"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для каждой государственной и ведомственной информационной системы определить перечень используемого иностранного ПО, российского ПО и евразийского ПО</w:t>
      </w:r>
      <w:r w:rsidR="007F05C2" w:rsidRPr="00B0658A">
        <w:rPr>
          <w:rFonts w:ascii="Times New Roman" w:hAnsi="Times New Roman"/>
          <w:sz w:val="28"/>
          <w:szCs w:val="24"/>
        </w:rPr>
        <w:t xml:space="preserve">, определить долю используемого российского и евразийского ПО </w:t>
      </w:r>
      <w:r w:rsidR="007F05C2" w:rsidRPr="00B0658A">
        <w:rPr>
          <w:rFonts w:ascii="Times New Roman" w:hAnsi="Times New Roman"/>
          <w:sz w:val="28"/>
          <w:szCs w:val="24"/>
        </w:rPr>
        <w:lastRenderedPageBreak/>
        <w:t>для каждой государственной и ведомственной информационной системы в разрезе классов (типов) ПО</w:t>
      </w:r>
      <w:r w:rsidR="001A1882" w:rsidRPr="00B0658A">
        <w:rPr>
          <w:rFonts w:ascii="Times New Roman" w:hAnsi="Times New Roman"/>
          <w:sz w:val="28"/>
          <w:szCs w:val="24"/>
        </w:rPr>
        <w:t>;</w:t>
      </w:r>
    </w:p>
    <w:p w14:paraId="55C31E9C" w14:textId="4EB59857" w:rsidR="001A1882" w:rsidRPr="00B0658A" w:rsidRDefault="001A1882"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 xml:space="preserve">определить перечень государственных и ведомственных информационных систем, являющихся </w:t>
      </w:r>
      <w:r w:rsidR="007148FE" w:rsidRPr="00B0658A">
        <w:rPr>
          <w:rFonts w:ascii="Times New Roman" w:hAnsi="Times New Roman"/>
          <w:sz w:val="28"/>
          <w:szCs w:val="24"/>
        </w:rPr>
        <w:t xml:space="preserve">значимыми </w:t>
      </w:r>
      <w:r w:rsidRPr="00B0658A">
        <w:rPr>
          <w:rFonts w:ascii="Times New Roman" w:hAnsi="Times New Roman"/>
          <w:sz w:val="28"/>
          <w:szCs w:val="24"/>
        </w:rPr>
        <w:t>объектами КИИ, которые должны быть переведены на использование российского ПО до конца 2024 года, перечень государственных и ведомственных информационных систем, не являющихся значимыми объектами КИИ, но обеспечивающих реализацию критически значимых функций и полномочий органов государственной власти и государственных внебюджетных фондов Российской Федерации</w:t>
      </w:r>
      <w:r w:rsidR="00B92EB9" w:rsidRPr="00B0658A">
        <w:rPr>
          <w:rFonts w:ascii="Times New Roman" w:hAnsi="Times New Roman"/>
          <w:sz w:val="28"/>
          <w:szCs w:val="24"/>
        </w:rPr>
        <w:t xml:space="preserve"> и</w:t>
      </w:r>
      <w:r w:rsidRPr="00B0658A">
        <w:rPr>
          <w:rFonts w:ascii="Times New Roman" w:hAnsi="Times New Roman"/>
          <w:sz w:val="28"/>
          <w:szCs w:val="24"/>
        </w:rPr>
        <w:t xml:space="preserve"> обеспечивающих оказание государственных </w:t>
      </w:r>
      <w:r w:rsidR="004C2655" w:rsidRPr="00B0658A">
        <w:rPr>
          <w:rFonts w:ascii="Times New Roman" w:hAnsi="Times New Roman"/>
          <w:sz w:val="28"/>
          <w:szCs w:val="24"/>
        </w:rPr>
        <w:t xml:space="preserve">и муниципальных </w:t>
      </w:r>
      <w:r w:rsidRPr="00B0658A">
        <w:rPr>
          <w:rFonts w:ascii="Times New Roman" w:hAnsi="Times New Roman"/>
          <w:sz w:val="28"/>
          <w:szCs w:val="24"/>
        </w:rPr>
        <w:t xml:space="preserve">услуг, в том числе в электронном виде, </w:t>
      </w:r>
      <w:r w:rsidR="00B92EB9" w:rsidRPr="00B0658A">
        <w:rPr>
          <w:rFonts w:ascii="Times New Roman" w:hAnsi="Times New Roman"/>
          <w:sz w:val="28"/>
          <w:szCs w:val="24"/>
        </w:rPr>
        <w:t xml:space="preserve">которые должны быть переведены </w:t>
      </w:r>
      <w:r w:rsidRPr="00B0658A">
        <w:rPr>
          <w:rFonts w:ascii="Times New Roman" w:hAnsi="Times New Roman"/>
          <w:sz w:val="28"/>
          <w:szCs w:val="24"/>
        </w:rPr>
        <w:t xml:space="preserve">на использование российского ПО </w:t>
      </w:r>
      <w:r w:rsidR="00B92EB9" w:rsidRPr="00B0658A">
        <w:rPr>
          <w:rFonts w:ascii="Times New Roman" w:hAnsi="Times New Roman"/>
          <w:sz w:val="28"/>
          <w:szCs w:val="24"/>
        </w:rPr>
        <w:t>до конца</w:t>
      </w:r>
      <w:r w:rsidRPr="00B0658A">
        <w:rPr>
          <w:rFonts w:ascii="Times New Roman" w:hAnsi="Times New Roman"/>
          <w:sz w:val="28"/>
          <w:szCs w:val="24"/>
        </w:rPr>
        <w:t xml:space="preserve"> 2027 год</w:t>
      </w:r>
      <w:r w:rsidR="00B92EB9" w:rsidRPr="00B0658A">
        <w:rPr>
          <w:rFonts w:ascii="Times New Roman" w:hAnsi="Times New Roman"/>
          <w:sz w:val="28"/>
          <w:szCs w:val="24"/>
        </w:rPr>
        <w:t>а</w:t>
      </w:r>
      <w:r w:rsidR="0007372C" w:rsidRPr="00B0658A">
        <w:rPr>
          <w:rFonts w:ascii="Times New Roman" w:hAnsi="Times New Roman"/>
          <w:sz w:val="28"/>
          <w:szCs w:val="24"/>
        </w:rPr>
        <w:t>,</w:t>
      </w:r>
      <w:r w:rsidR="00B92EB9" w:rsidRPr="00B0658A">
        <w:rPr>
          <w:rFonts w:ascii="Times New Roman" w:hAnsi="Times New Roman"/>
          <w:sz w:val="28"/>
          <w:szCs w:val="24"/>
        </w:rPr>
        <w:t xml:space="preserve"> и перечень иных государственных и ведомственных информационных систем, которые должны быть переведены на использование российского ПО до конца 2030 года</w:t>
      </w:r>
      <w:r w:rsidR="007638FE">
        <w:rPr>
          <w:rFonts w:ascii="Times New Roman" w:hAnsi="Times New Roman"/>
          <w:sz w:val="28"/>
          <w:szCs w:val="24"/>
        </w:rPr>
        <w:t>;</w:t>
      </w:r>
    </w:p>
    <w:p w14:paraId="397A2AA0" w14:textId="22C4CDFE" w:rsidR="00F71761" w:rsidRPr="00B0658A" w:rsidRDefault="007F05C2"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е) </w:t>
      </w:r>
      <w:r w:rsidR="007638FE">
        <w:rPr>
          <w:rFonts w:ascii="Times New Roman" w:hAnsi="Times New Roman"/>
          <w:sz w:val="28"/>
          <w:szCs w:val="24"/>
        </w:rPr>
        <w:t>п</w:t>
      </w:r>
      <w:r w:rsidR="001A1882" w:rsidRPr="00B0658A">
        <w:rPr>
          <w:rFonts w:ascii="Times New Roman" w:hAnsi="Times New Roman"/>
          <w:sz w:val="28"/>
          <w:szCs w:val="24"/>
        </w:rPr>
        <w:t xml:space="preserve">ровести анализ требований, предъявляемых законодательством Российской Федерации к функционированию различных классов (типов) ПО, </w:t>
      </w:r>
      <w:r w:rsidR="00330D11" w:rsidRPr="00B0658A">
        <w:rPr>
          <w:rFonts w:ascii="Times New Roman" w:hAnsi="Times New Roman"/>
          <w:sz w:val="28"/>
          <w:szCs w:val="24"/>
        </w:rPr>
        <w:t xml:space="preserve">в том числе используемого на значимых объектах КИИ и для обеспечения функционирования государственных и ведомственных информационных систем, </w:t>
      </w:r>
      <w:r w:rsidR="001A1882" w:rsidRPr="00B0658A">
        <w:rPr>
          <w:rFonts w:ascii="Times New Roman" w:hAnsi="Times New Roman"/>
          <w:sz w:val="28"/>
          <w:szCs w:val="24"/>
        </w:rPr>
        <w:t>в том числе функциональных требований и требований по обеспечению информационной безопасности</w:t>
      </w:r>
      <w:r w:rsidR="007638FE">
        <w:rPr>
          <w:rFonts w:ascii="Times New Roman" w:hAnsi="Times New Roman"/>
          <w:sz w:val="28"/>
          <w:szCs w:val="24"/>
        </w:rPr>
        <w:t>;</w:t>
      </w:r>
    </w:p>
    <w:p w14:paraId="1EC221CE" w14:textId="1C96572B" w:rsidR="00F71761" w:rsidRPr="00B0658A" w:rsidRDefault="001A1882"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ж) </w:t>
      </w:r>
      <w:r w:rsidR="007638FE">
        <w:rPr>
          <w:rFonts w:ascii="Times New Roman" w:hAnsi="Times New Roman"/>
          <w:sz w:val="28"/>
          <w:szCs w:val="24"/>
        </w:rPr>
        <w:t>п</w:t>
      </w:r>
      <w:r w:rsidRPr="00B0658A">
        <w:rPr>
          <w:rFonts w:ascii="Times New Roman" w:hAnsi="Times New Roman"/>
          <w:sz w:val="28"/>
          <w:szCs w:val="24"/>
        </w:rPr>
        <w:t xml:space="preserve">ровести анализ сведений о ПО, включенном в единый реестр российского ПО, и сведений о ПО, включенном в единый реестр евразийского ПО, определить </w:t>
      </w:r>
      <w:r w:rsidR="00C0757B" w:rsidRPr="00B0658A">
        <w:rPr>
          <w:rFonts w:ascii="Times New Roman" w:hAnsi="Times New Roman"/>
          <w:sz w:val="28"/>
          <w:szCs w:val="24"/>
        </w:rPr>
        <w:t xml:space="preserve">предварительный </w:t>
      </w:r>
      <w:r w:rsidRPr="00B0658A">
        <w:rPr>
          <w:rFonts w:ascii="Times New Roman" w:hAnsi="Times New Roman"/>
          <w:sz w:val="28"/>
          <w:szCs w:val="24"/>
        </w:rPr>
        <w:t>перечень потенциального российского ПО и евразийского ПО, реализующих функции соответствующего ПО, для его дальнейшего применения при переходе на использование российского ПО</w:t>
      </w:r>
      <w:r w:rsidR="00A13F29" w:rsidRPr="00B0658A">
        <w:rPr>
          <w:rFonts w:ascii="Times New Roman" w:hAnsi="Times New Roman"/>
          <w:sz w:val="28"/>
          <w:szCs w:val="24"/>
        </w:rPr>
        <w:t>, в том числе на значимых объектах КИИ</w:t>
      </w:r>
      <w:r w:rsidR="007638FE">
        <w:rPr>
          <w:rFonts w:ascii="Times New Roman" w:hAnsi="Times New Roman"/>
          <w:sz w:val="28"/>
          <w:szCs w:val="24"/>
        </w:rPr>
        <w:t>;</w:t>
      </w:r>
    </w:p>
    <w:p w14:paraId="1897A1F9" w14:textId="7328C976" w:rsidR="00F71761" w:rsidRPr="00B0658A" w:rsidRDefault="001A1882"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з) </w:t>
      </w:r>
      <w:r w:rsidR="007638FE">
        <w:rPr>
          <w:rFonts w:ascii="Times New Roman" w:hAnsi="Times New Roman"/>
          <w:sz w:val="28"/>
          <w:szCs w:val="24"/>
        </w:rPr>
        <w:t>п</w:t>
      </w:r>
      <w:r w:rsidRPr="00B0658A">
        <w:rPr>
          <w:rFonts w:ascii="Times New Roman" w:hAnsi="Times New Roman"/>
          <w:sz w:val="28"/>
          <w:szCs w:val="24"/>
        </w:rPr>
        <w:t>ровести анализ текущих сроков амортизации используемых органом государственной власти или государственным внебюджетным фондом на момент планирования персональных электронных вычислительных машин, устройств терминального доступа, абонентских устройств радиоподвижной связи, программно-аппаратных комплексов, в том числе серверного и иного технологического оборудования, иных средств вычислительной техники и периферийных устройств, а также провести оценку совместимости российского и евразийского ПО с указанным оборудованием и программно-аппаратными комплексами</w:t>
      </w:r>
      <w:r w:rsidR="007638FE">
        <w:rPr>
          <w:rFonts w:ascii="Times New Roman" w:hAnsi="Times New Roman"/>
          <w:sz w:val="28"/>
          <w:szCs w:val="24"/>
        </w:rPr>
        <w:t>;</w:t>
      </w:r>
    </w:p>
    <w:p w14:paraId="0C2D8189" w14:textId="5C19BFEA" w:rsidR="00F71761" w:rsidRPr="00B0658A" w:rsidRDefault="00B92EB9"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и)</w:t>
      </w:r>
      <w:r w:rsidR="0007372C" w:rsidRPr="00B0658A">
        <w:rPr>
          <w:rFonts w:ascii="Times New Roman" w:hAnsi="Times New Roman"/>
          <w:sz w:val="28"/>
          <w:szCs w:val="24"/>
        </w:rPr>
        <w:t> </w:t>
      </w:r>
      <w:r w:rsidR="007638FE">
        <w:rPr>
          <w:rFonts w:ascii="Times New Roman" w:hAnsi="Times New Roman"/>
          <w:sz w:val="28"/>
          <w:szCs w:val="24"/>
        </w:rPr>
        <w:t>п</w:t>
      </w:r>
      <w:r w:rsidR="007148FE" w:rsidRPr="00B0658A">
        <w:rPr>
          <w:rFonts w:ascii="Times New Roman" w:hAnsi="Times New Roman"/>
          <w:sz w:val="28"/>
          <w:szCs w:val="24"/>
        </w:rPr>
        <w:t>ровести анализ срок</w:t>
      </w:r>
      <w:r w:rsidR="009B2481" w:rsidRPr="00B0658A">
        <w:rPr>
          <w:rFonts w:ascii="Times New Roman" w:hAnsi="Times New Roman"/>
          <w:sz w:val="28"/>
          <w:szCs w:val="24"/>
        </w:rPr>
        <w:t>ов</w:t>
      </w:r>
      <w:r w:rsidR="007148FE" w:rsidRPr="00B0658A">
        <w:rPr>
          <w:rFonts w:ascii="Times New Roman" w:hAnsi="Times New Roman"/>
          <w:sz w:val="28"/>
          <w:szCs w:val="24"/>
        </w:rPr>
        <w:t xml:space="preserve"> действия прав на использование ПО и сроков полезного использования нематериальных активов в отношении используемого на момент планирования ПО, сведения о котором не включены в единый реестр российского ПО</w:t>
      </w:r>
      <w:r w:rsidR="007638FE">
        <w:rPr>
          <w:rFonts w:ascii="Times New Roman" w:hAnsi="Times New Roman"/>
          <w:sz w:val="28"/>
          <w:szCs w:val="24"/>
        </w:rPr>
        <w:t>;</w:t>
      </w:r>
    </w:p>
    <w:p w14:paraId="48CF2176" w14:textId="5CB6EA9B" w:rsidR="006429C7" w:rsidRPr="00B0658A" w:rsidRDefault="00A13F29"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к</w:t>
      </w:r>
      <w:r w:rsidR="006429C7" w:rsidRPr="00B0658A">
        <w:rPr>
          <w:rFonts w:ascii="Times New Roman" w:hAnsi="Times New Roman"/>
          <w:sz w:val="28"/>
          <w:szCs w:val="24"/>
        </w:rPr>
        <w:t>) </w:t>
      </w:r>
      <w:r w:rsidR="007638FE">
        <w:rPr>
          <w:rFonts w:ascii="Times New Roman" w:hAnsi="Times New Roman"/>
          <w:sz w:val="28"/>
          <w:szCs w:val="24"/>
        </w:rPr>
        <w:t>в</w:t>
      </w:r>
      <w:r w:rsidR="006429C7" w:rsidRPr="00B0658A">
        <w:rPr>
          <w:rFonts w:ascii="Times New Roman" w:hAnsi="Times New Roman"/>
          <w:sz w:val="28"/>
          <w:szCs w:val="24"/>
        </w:rPr>
        <w:t xml:space="preserve"> части офисного ПО сформировать функциональную классификацию автоматизированных рабочих мест работников и требования к ним в соответствии с установленными в органе государственной власти или государственном внебюджетном фонде должностными функциональными обязанностями работников, требования к офисному ПО на основе применения дифференцированного подхода с учетом сформированной функциональной классификации автоматизированных рабочих мест и функциональных требований, предъявляемых прикладным </w:t>
      </w:r>
      <w:r w:rsidR="004C2655" w:rsidRPr="00B0658A">
        <w:rPr>
          <w:rFonts w:ascii="Times New Roman" w:hAnsi="Times New Roman"/>
          <w:sz w:val="28"/>
          <w:szCs w:val="24"/>
        </w:rPr>
        <w:t>ПО</w:t>
      </w:r>
      <w:r w:rsidR="006429C7" w:rsidRPr="00B0658A">
        <w:rPr>
          <w:rFonts w:ascii="Times New Roman" w:hAnsi="Times New Roman"/>
          <w:sz w:val="28"/>
          <w:szCs w:val="24"/>
        </w:rPr>
        <w:t xml:space="preserve"> информационных систем</w:t>
      </w:r>
      <w:r w:rsidR="007638FE">
        <w:rPr>
          <w:rFonts w:ascii="Times New Roman" w:hAnsi="Times New Roman"/>
          <w:sz w:val="28"/>
          <w:szCs w:val="24"/>
        </w:rPr>
        <w:t>;</w:t>
      </w:r>
      <w:r w:rsidR="006429C7" w:rsidRPr="00B0658A">
        <w:rPr>
          <w:rFonts w:ascii="Times New Roman" w:hAnsi="Times New Roman"/>
          <w:sz w:val="28"/>
          <w:szCs w:val="24"/>
        </w:rPr>
        <w:t xml:space="preserve"> </w:t>
      </w:r>
    </w:p>
    <w:p w14:paraId="4D438AA7" w14:textId="792A810D" w:rsidR="006429C7" w:rsidRPr="00B0658A" w:rsidRDefault="00A13F29"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lastRenderedPageBreak/>
        <w:t>л</w:t>
      </w:r>
      <w:r w:rsidR="006429C7" w:rsidRPr="00B0658A">
        <w:rPr>
          <w:rFonts w:ascii="Times New Roman" w:hAnsi="Times New Roman"/>
          <w:sz w:val="28"/>
          <w:szCs w:val="24"/>
        </w:rPr>
        <w:t>)</w:t>
      </w:r>
      <w:r w:rsidR="009B2481" w:rsidRPr="00B0658A">
        <w:rPr>
          <w:rFonts w:ascii="Times New Roman" w:hAnsi="Times New Roman"/>
          <w:sz w:val="28"/>
          <w:szCs w:val="24"/>
        </w:rPr>
        <w:t> </w:t>
      </w:r>
      <w:r w:rsidR="007638FE">
        <w:rPr>
          <w:rFonts w:ascii="Times New Roman" w:hAnsi="Times New Roman"/>
          <w:sz w:val="28"/>
          <w:szCs w:val="24"/>
        </w:rPr>
        <w:t>п</w:t>
      </w:r>
      <w:r w:rsidR="006429C7" w:rsidRPr="00B0658A">
        <w:rPr>
          <w:rFonts w:ascii="Times New Roman" w:hAnsi="Times New Roman"/>
          <w:sz w:val="28"/>
          <w:szCs w:val="24"/>
        </w:rPr>
        <w:t xml:space="preserve">ровести анализ планов закупки ПО, в том числе закупки прав на использование ПО и закупки технической поддержки (обновлений) ПО, сведения о котором не включены в единый реестр российского ПО, на последующие периоды, и провести их корректировку с учетом задач по переходу на использование российского ПО и формируемой системы показателей </w:t>
      </w:r>
      <w:r w:rsidR="004C2655" w:rsidRPr="00B0658A">
        <w:rPr>
          <w:rFonts w:ascii="Times New Roman" w:hAnsi="Times New Roman"/>
          <w:sz w:val="28"/>
          <w:szCs w:val="24"/>
        </w:rPr>
        <w:t xml:space="preserve">эффективности </w:t>
      </w:r>
      <w:r w:rsidR="006429C7" w:rsidRPr="00B0658A">
        <w:rPr>
          <w:rFonts w:ascii="Times New Roman" w:hAnsi="Times New Roman"/>
          <w:sz w:val="28"/>
          <w:szCs w:val="24"/>
        </w:rPr>
        <w:t>и соответствующих им значений индикаторов эффективности перехода на использование российского ПО</w:t>
      </w:r>
      <w:r w:rsidR="007638FE">
        <w:rPr>
          <w:rFonts w:ascii="Times New Roman" w:hAnsi="Times New Roman"/>
          <w:sz w:val="28"/>
          <w:szCs w:val="24"/>
        </w:rPr>
        <w:t>;</w:t>
      </w:r>
    </w:p>
    <w:p w14:paraId="332AF9E4" w14:textId="7A77C2B0" w:rsidR="006429C7" w:rsidRPr="00B0658A" w:rsidRDefault="00A13F29"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м</w:t>
      </w:r>
      <w:r w:rsidR="009B2481" w:rsidRPr="00B0658A">
        <w:rPr>
          <w:rFonts w:ascii="Times New Roman" w:hAnsi="Times New Roman"/>
          <w:sz w:val="28"/>
          <w:szCs w:val="24"/>
        </w:rPr>
        <w:t>)</w:t>
      </w:r>
      <w:r w:rsidR="00A80CAD" w:rsidRPr="00B0658A">
        <w:rPr>
          <w:rFonts w:ascii="Times New Roman" w:hAnsi="Times New Roman"/>
          <w:sz w:val="28"/>
          <w:szCs w:val="24"/>
        </w:rPr>
        <w:t> </w:t>
      </w:r>
      <w:r w:rsidR="007638FE">
        <w:rPr>
          <w:rFonts w:ascii="Times New Roman" w:hAnsi="Times New Roman"/>
          <w:sz w:val="28"/>
          <w:szCs w:val="24"/>
        </w:rPr>
        <w:t>р</w:t>
      </w:r>
      <w:r w:rsidR="009B2481" w:rsidRPr="00B0658A">
        <w:rPr>
          <w:rFonts w:ascii="Times New Roman" w:hAnsi="Times New Roman"/>
          <w:sz w:val="28"/>
          <w:szCs w:val="24"/>
        </w:rPr>
        <w:t xml:space="preserve">еализовать </w:t>
      </w:r>
      <w:r w:rsidR="00A80CAD" w:rsidRPr="00B0658A">
        <w:rPr>
          <w:rFonts w:ascii="Times New Roman" w:hAnsi="Times New Roman"/>
          <w:sz w:val="28"/>
          <w:szCs w:val="24"/>
        </w:rPr>
        <w:t xml:space="preserve">мероприятия, направленные на уточнение используемых органом государственной власти или государственным внебюджетным фондом программно-технических решений </w:t>
      </w:r>
      <w:r w:rsidR="004C2655" w:rsidRPr="00B0658A">
        <w:rPr>
          <w:rFonts w:ascii="Times New Roman" w:hAnsi="Times New Roman"/>
          <w:sz w:val="28"/>
          <w:szCs w:val="24"/>
        </w:rPr>
        <w:t xml:space="preserve">и программного обеспечения </w:t>
      </w:r>
      <w:r w:rsidR="00A80CAD" w:rsidRPr="00B0658A">
        <w:rPr>
          <w:rFonts w:ascii="Times New Roman" w:hAnsi="Times New Roman"/>
          <w:sz w:val="28"/>
          <w:szCs w:val="24"/>
        </w:rPr>
        <w:t xml:space="preserve">в связи с переходом на использование российского ПО, </w:t>
      </w:r>
      <w:r w:rsidR="00095E0B" w:rsidRPr="00B0658A">
        <w:rPr>
          <w:rFonts w:ascii="Times New Roman" w:hAnsi="Times New Roman"/>
          <w:sz w:val="28"/>
          <w:szCs w:val="24"/>
        </w:rPr>
        <w:t xml:space="preserve">в рамках которых, </w:t>
      </w:r>
      <w:r w:rsidR="00A80CAD" w:rsidRPr="00B0658A">
        <w:rPr>
          <w:rFonts w:ascii="Times New Roman" w:hAnsi="Times New Roman"/>
          <w:sz w:val="28"/>
          <w:szCs w:val="24"/>
        </w:rPr>
        <w:t>в том числе:</w:t>
      </w:r>
    </w:p>
    <w:p w14:paraId="12C175C6" w14:textId="2A646EAD" w:rsidR="004716DC" w:rsidRPr="00B0658A" w:rsidRDefault="004716DC"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 xml:space="preserve">провести анализ </w:t>
      </w:r>
      <w:r w:rsidR="00A13F29" w:rsidRPr="00B0658A">
        <w:rPr>
          <w:rFonts w:ascii="Times New Roman" w:hAnsi="Times New Roman"/>
          <w:sz w:val="28"/>
          <w:szCs w:val="24"/>
        </w:rPr>
        <w:t>общесистемного</w:t>
      </w:r>
      <w:r w:rsidR="0095129A" w:rsidRPr="00B0658A">
        <w:rPr>
          <w:rFonts w:ascii="Times New Roman" w:hAnsi="Times New Roman"/>
          <w:sz w:val="28"/>
          <w:szCs w:val="24"/>
        </w:rPr>
        <w:t xml:space="preserve">, </w:t>
      </w:r>
      <w:r w:rsidRPr="00B0658A">
        <w:rPr>
          <w:rFonts w:ascii="Times New Roman" w:hAnsi="Times New Roman"/>
          <w:sz w:val="28"/>
          <w:szCs w:val="24"/>
        </w:rPr>
        <w:t>прикладного ПО</w:t>
      </w:r>
      <w:r w:rsidR="0095129A" w:rsidRPr="00B0658A">
        <w:rPr>
          <w:rFonts w:ascii="Times New Roman" w:hAnsi="Times New Roman"/>
          <w:sz w:val="28"/>
          <w:szCs w:val="24"/>
        </w:rPr>
        <w:t>, программно-аппаратных комплексов</w:t>
      </w:r>
      <w:r w:rsidRPr="00B0658A">
        <w:rPr>
          <w:rFonts w:ascii="Times New Roman" w:hAnsi="Times New Roman"/>
          <w:sz w:val="28"/>
          <w:szCs w:val="24"/>
        </w:rPr>
        <w:t>, используем</w:t>
      </w:r>
      <w:r w:rsidR="0095129A" w:rsidRPr="00B0658A">
        <w:rPr>
          <w:rFonts w:ascii="Times New Roman" w:hAnsi="Times New Roman"/>
          <w:sz w:val="28"/>
          <w:szCs w:val="24"/>
        </w:rPr>
        <w:t>ых</w:t>
      </w:r>
      <w:r w:rsidRPr="00B0658A">
        <w:rPr>
          <w:rFonts w:ascii="Times New Roman" w:hAnsi="Times New Roman"/>
          <w:sz w:val="28"/>
          <w:szCs w:val="24"/>
        </w:rPr>
        <w:t xml:space="preserve"> </w:t>
      </w:r>
      <w:r w:rsidR="0095129A" w:rsidRPr="00B0658A">
        <w:rPr>
          <w:rFonts w:ascii="Times New Roman" w:hAnsi="Times New Roman"/>
          <w:sz w:val="28"/>
          <w:szCs w:val="24"/>
        </w:rPr>
        <w:t xml:space="preserve">органом государственной власти или государственным внебюджетным фондом </w:t>
      </w:r>
      <w:r w:rsidRPr="00B0658A">
        <w:rPr>
          <w:rFonts w:ascii="Times New Roman" w:hAnsi="Times New Roman"/>
          <w:sz w:val="28"/>
          <w:szCs w:val="24"/>
        </w:rPr>
        <w:t>на значимых объектах КИИ, в государственных и ведомственных информационных системах, и на иных объектах информационно-технологической инфраструктуры;</w:t>
      </w:r>
    </w:p>
    <w:p w14:paraId="22CFED85" w14:textId="731B7AAD" w:rsidR="00095E0B" w:rsidRPr="00B0658A" w:rsidRDefault="00095E0B"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сформировать требования к функциональным, техническим, эксплуатационным характеристикам, предъявляемым к персональным электронным вычислительным машинам, устройствам терминального доступа, абонентским устройствам радиоподвижной связи, программно-аппаратным комплексам, в том числе серверному и иному технологическому оборудованию, иным средствам вычислительной техники и периферийным устройствам, планируемым к закупке в последующие периоды с учетом необходимости обеспечения совместимости с российским ПО и евразийским ПО (для использования на значимых объектах КИИ)</w:t>
      </w:r>
      <w:r w:rsidR="00D7231B" w:rsidRPr="00B0658A">
        <w:rPr>
          <w:rFonts w:ascii="Times New Roman" w:hAnsi="Times New Roman"/>
          <w:sz w:val="28"/>
          <w:szCs w:val="24"/>
        </w:rPr>
        <w:t>. Указанные требования рекомендуется направить в Минцифры России</w:t>
      </w:r>
      <w:r w:rsidRPr="00B0658A">
        <w:rPr>
          <w:rFonts w:ascii="Times New Roman" w:hAnsi="Times New Roman"/>
          <w:sz w:val="28"/>
          <w:szCs w:val="24"/>
        </w:rPr>
        <w:t>;</w:t>
      </w:r>
    </w:p>
    <w:p w14:paraId="1DD7D0D3" w14:textId="51EF8A0F" w:rsidR="00095E0B" w:rsidRPr="00B0658A" w:rsidRDefault="00095E0B"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 xml:space="preserve">определить требования к функциональным, техническим и эксплуатационным характеристикам, предъявляемым к различным классам (типам) ПО (для каждого класса (типа) ПО) со стороны прикладного </w:t>
      </w:r>
      <w:r w:rsidR="006E3DBB" w:rsidRPr="00B0658A">
        <w:rPr>
          <w:rFonts w:ascii="Times New Roman" w:hAnsi="Times New Roman"/>
          <w:sz w:val="28"/>
          <w:szCs w:val="24"/>
        </w:rPr>
        <w:t>ПО</w:t>
      </w:r>
      <w:r w:rsidRPr="00B0658A">
        <w:rPr>
          <w:rFonts w:ascii="Times New Roman" w:hAnsi="Times New Roman"/>
          <w:sz w:val="28"/>
          <w:szCs w:val="24"/>
        </w:rPr>
        <w:t xml:space="preserve"> информационных систем</w:t>
      </w:r>
      <w:r w:rsidR="00950440" w:rsidRPr="00B0658A">
        <w:rPr>
          <w:rFonts w:ascii="Times New Roman" w:hAnsi="Times New Roman"/>
          <w:sz w:val="28"/>
          <w:szCs w:val="24"/>
        </w:rPr>
        <w:t xml:space="preserve"> и иных компонентов информационно-технологической инфраструктуры</w:t>
      </w:r>
      <w:r w:rsidRPr="00B0658A">
        <w:rPr>
          <w:rFonts w:ascii="Times New Roman" w:hAnsi="Times New Roman"/>
          <w:sz w:val="28"/>
          <w:szCs w:val="24"/>
        </w:rPr>
        <w:t>. Указанные требования рекомендуется направить в Минцифры России;</w:t>
      </w:r>
    </w:p>
    <w:p w14:paraId="7B72E965" w14:textId="5DA101FE" w:rsidR="00095E0B" w:rsidRPr="00B0658A" w:rsidRDefault="00095E0B"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провести</w:t>
      </w:r>
      <w:r w:rsidR="004716DC" w:rsidRPr="00B0658A">
        <w:rPr>
          <w:rFonts w:ascii="Times New Roman" w:hAnsi="Times New Roman"/>
          <w:sz w:val="28"/>
          <w:szCs w:val="24"/>
        </w:rPr>
        <w:t xml:space="preserve"> функциональное</w:t>
      </w:r>
      <w:r w:rsidR="00D7231B" w:rsidRPr="00B0658A">
        <w:rPr>
          <w:rFonts w:ascii="Times New Roman" w:hAnsi="Times New Roman"/>
          <w:sz w:val="28"/>
          <w:szCs w:val="24"/>
        </w:rPr>
        <w:t xml:space="preserve"> и иные виды </w:t>
      </w:r>
      <w:r w:rsidRPr="00B0658A">
        <w:rPr>
          <w:rFonts w:ascii="Times New Roman" w:hAnsi="Times New Roman"/>
          <w:sz w:val="28"/>
          <w:szCs w:val="24"/>
        </w:rPr>
        <w:t>тестировани</w:t>
      </w:r>
      <w:r w:rsidR="00D7231B" w:rsidRPr="00B0658A">
        <w:rPr>
          <w:rFonts w:ascii="Times New Roman" w:hAnsi="Times New Roman"/>
          <w:sz w:val="28"/>
          <w:szCs w:val="24"/>
        </w:rPr>
        <w:t>я</w:t>
      </w:r>
      <w:r w:rsidRPr="00B0658A">
        <w:rPr>
          <w:rFonts w:ascii="Times New Roman" w:hAnsi="Times New Roman"/>
          <w:sz w:val="28"/>
          <w:szCs w:val="24"/>
        </w:rPr>
        <w:t xml:space="preserve"> российского и евразийского ПО</w:t>
      </w:r>
      <w:r w:rsidR="004716DC" w:rsidRPr="00B0658A">
        <w:rPr>
          <w:rFonts w:ascii="Times New Roman" w:hAnsi="Times New Roman"/>
          <w:sz w:val="28"/>
          <w:szCs w:val="24"/>
        </w:rPr>
        <w:t xml:space="preserve"> для целей подтверждения соответствия указанного ПО определенным требованиям к функциональным, техническим и эксплуатационным характеристикам ПО, а также </w:t>
      </w:r>
      <w:r w:rsidR="00D7231B" w:rsidRPr="00B0658A">
        <w:rPr>
          <w:rFonts w:ascii="Times New Roman" w:hAnsi="Times New Roman"/>
          <w:sz w:val="28"/>
          <w:szCs w:val="24"/>
        </w:rPr>
        <w:t>оценки</w:t>
      </w:r>
      <w:r w:rsidR="004716DC" w:rsidRPr="00B0658A">
        <w:rPr>
          <w:rFonts w:ascii="Times New Roman" w:hAnsi="Times New Roman"/>
          <w:sz w:val="28"/>
          <w:szCs w:val="24"/>
        </w:rPr>
        <w:t xml:space="preserve"> совместимости прикладного </w:t>
      </w:r>
      <w:r w:rsidR="004A635E" w:rsidRPr="00B0658A">
        <w:rPr>
          <w:rFonts w:ascii="Times New Roman" w:hAnsi="Times New Roman"/>
          <w:sz w:val="28"/>
          <w:szCs w:val="24"/>
        </w:rPr>
        <w:t>ПО</w:t>
      </w:r>
      <w:r w:rsidR="004716DC" w:rsidRPr="00B0658A">
        <w:rPr>
          <w:rFonts w:ascii="Times New Roman" w:hAnsi="Times New Roman"/>
          <w:sz w:val="28"/>
          <w:szCs w:val="24"/>
        </w:rPr>
        <w:t xml:space="preserve"> информационных систем</w:t>
      </w:r>
      <w:r w:rsidR="00A52A31" w:rsidRPr="00B0658A">
        <w:rPr>
          <w:rFonts w:ascii="Times New Roman" w:hAnsi="Times New Roman"/>
          <w:sz w:val="28"/>
          <w:szCs w:val="24"/>
        </w:rPr>
        <w:t xml:space="preserve"> и иных компонентов информационно-технологической инфраструктуры</w:t>
      </w:r>
      <w:r w:rsidR="004716DC" w:rsidRPr="00B0658A">
        <w:rPr>
          <w:rFonts w:ascii="Times New Roman" w:hAnsi="Times New Roman"/>
          <w:sz w:val="28"/>
          <w:szCs w:val="24"/>
        </w:rPr>
        <w:t xml:space="preserve"> с российским и евразийским ПО;</w:t>
      </w:r>
    </w:p>
    <w:p w14:paraId="0270B11F" w14:textId="498C1930" w:rsidR="004716DC" w:rsidRPr="00B0658A" w:rsidRDefault="004716DC"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определить уточненный перечень российского ПО</w:t>
      </w:r>
      <w:r w:rsidR="00D7231B" w:rsidRPr="00B0658A">
        <w:rPr>
          <w:rFonts w:ascii="Times New Roman" w:hAnsi="Times New Roman"/>
          <w:sz w:val="28"/>
          <w:szCs w:val="24"/>
        </w:rPr>
        <w:t xml:space="preserve">, </w:t>
      </w:r>
      <w:r w:rsidRPr="00B0658A">
        <w:rPr>
          <w:rFonts w:ascii="Times New Roman" w:hAnsi="Times New Roman"/>
          <w:sz w:val="28"/>
          <w:szCs w:val="24"/>
        </w:rPr>
        <w:t>евразийского ПО</w:t>
      </w:r>
      <w:r w:rsidR="00D7231B" w:rsidRPr="00B0658A">
        <w:rPr>
          <w:rFonts w:ascii="Times New Roman" w:hAnsi="Times New Roman"/>
          <w:sz w:val="28"/>
          <w:szCs w:val="24"/>
        </w:rPr>
        <w:t xml:space="preserve"> и российских программно-технических решений</w:t>
      </w:r>
      <w:r w:rsidRPr="00B0658A">
        <w:rPr>
          <w:rFonts w:ascii="Times New Roman" w:hAnsi="Times New Roman"/>
          <w:sz w:val="28"/>
          <w:szCs w:val="24"/>
        </w:rPr>
        <w:t xml:space="preserve"> для применения при переходе на использование российского ПО, в том числе на значимых объектах КИИ и </w:t>
      </w:r>
      <w:r w:rsidR="006E3DBB" w:rsidRPr="00B0658A">
        <w:rPr>
          <w:rFonts w:ascii="Times New Roman" w:hAnsi="Times New Roman"/>
          <w:sz w:val="28"/>
          <w:szCs w:val="24"/>
        </w:rPr>
        <w:t>реализации</w:t>
      </w:r>
      <w:r w:rsidRPr="00B0658A">
        <w:rPr>
          <w:rFonts w:ascii="Times New Roman" w:hAnsi="Times New Roman"/>
          <w:sz w:val="28"/>
          <w:szCs w:val="24"/>
        </w:rPr>
        <w:t xml:space="preserve"> задач по переводу государственных и ведомственных информационных систем на использование российского ПО;</w:t>
      </w:r>
    </w:p>
    <w:p w14:paraId="38479541" w14:textId="222DCA07" w:rsidR="004716DC" w:rsidRPr="00B0658A" w:rsidRDefault="004716DC"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определить факторы и барьеры, препятствующие на момент планирования переходу на использование российского ПО (для соответствующих классов (типов) ПО), провести</w:t>
      </w:r>
      <w:r w:rsidR="00D7231B" w:rsidRPr="00B0658A">
        <w:rPr>
          <w:rFonts w:ascii="Times New Roman" w:hAnsi="Times New Roman"/>
          <w:sz w:val="28"/>
          <w:szCs w:val="24"/>
        </w:rPr>
        <w:t xml:space="preserve"> </w:t>
      </w:r>
      <w:r w:rsidRPr="00B0658A">
        <w:rPr>
          <w:rFonts w:ascii="Times New Roman" w:hAnsi="Times New Roman"/>
          <w:sz w:val="28"/>
          <w:szCs w:val="24"/>
        </w:rPr>
        <w:t xml:space="preserve">оценку необходимости и объемов доработки прикладного ПО </w:t>
      </w:r>
      <w:r w:rsidR="00D7231B" w:rsidRPr="00B0658A">
        <w:rPr>
          <w:rFonts w:ascii="Times New Roman" w:hAnsi="Times New Roman"/>
          <w:sz w:val="28"/>
          <w:szCs w:val="24"/>
        </w:rPr>
        <w:t xml:space="preserve">информационных систем </w:t>
      </w:r>
      <w:r w:rsidR="00890AD8" w:rsidRPr="00B0658A">
        <w:rPr>
          <w:rFonts w:ascii="Times New Roman" w:hAnsi="Times New Roman"/>
          <w:sz w:val="28"/>
          <w:szCs w:val="24"/>
        </w:rPr>
        <w:t xml:space="preserve">и иных компонентов информационно-технологической инфраструктуры </w:t>
      </w:r>
      <w:r w:rsidRPr="00B0658A">
        <w:rPr>
          <w:rFonts w:ascii="Times New Roman" w:hAnsi="Times New Roman"/>
          <w:sz w:val="28"/>
          <w:szCs w:val="24"/>
        </w:rPr>
        <w:t xml:space="preserve">с целью обеспечения совместимости с российским ПО и (или) </w:t>
      </w:r>
      <w:r w:rsidRPr="00B0658A">
        <w:rPr>
          <w:rFonts w:ascii="Times New Roman" w:hAnsi="Times New Roman"/>
          <w:sz w:val="28"/>
          <w:szCs w:val="24"/>
        </w:rPr>
        <w:lastRenderedPageBreak/>
        <w:t>евразийским ПО (для использования на значимых объектах КИИ).</w:t>
      </w:r>
      <w:r w:rsidR="004A635E" w:rsidRPr="00B0658A">
        <w:rPr>
          <w:rFonts w:ascii="Times New Roman" w:hAnsi="Times New Roman"/>
          <w:sz w:val="28"/>
          <w:szCs w:val="24"/>
        </w:rPr>
        <w:t xml:space="preserve"> Выявленные факторы и барьеры рекомендуется направить в Минцифры России;</w:t>
      </w:r>
    </w:p>
    <w:p w14:paraId="2D35B1CA" w14:textId="21D0DF25" w:rsidR="004716DC" w:rsidRPr="00B0658A" w:rsidRDefault="004716DC"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 xml:space="preserve">сформировать перечень задач и мероприятий, направленных на устранение факторов и барьеров, препятствующих переходу на использование российского ПО, а также на обеспечение совместимости прикладного </w:t>
      </w:r>
      <w:r w:rsidR="00E627ED" w:rsidRPr="00B0658A">
        <w:rPr>
          <w:rFonts w:ascii="Times New Roman" w:hAnsi="Times New Roman"/>
          <w:sz w:val="28"/>
          <w:szCs w:val="24"/>
        </w:rPr>
        <w:t>ПО</w:t>
      </w:r>
      <w:r w:rsidR="00890AD8" w:rsidRPr="00B0658A">
        <w:rPr>
          <w:rFonts w:ascii="Times New Roman" w:hAnsi="Times New Roman"/>
          <w:sz w:val="28"/>
          <w:szCs w:val="24"/>
        </w:rPr>
        <w:t xml:space="preserve"> информационных систем и иных компонентов информационно-технологической инфраструктуры</w:t>
      </w:r>
      <w:r w:rsidRPr="00B0658A">
        <w:rPr>
          <w:rFonts w:ascii="Times New Roman" w:hAnsi="Times New Roman"/>
          <w:sz w:val="28"/>
          <w:szCs w:val="24"/>
        </w:rPr>
        <w:t>, используем</w:t>
      </w:r>
      <w:r w:rsidR="00E91BEF" w:rsidRPr="00B0658A">
        <w:rPr>
          <w:rFonts w:ascii="Times New Roman" w:hAnsi="Times New Roman"/>
          <w:sz w:val="28"/>
          <w:szCs w:val="24"/>
        </w:rPr>
        <w:t>ых</w:t>
      </w:r>
      <w:r w:rsidRPr="00B0658A">
        <w:rPr>
          <w:rFonts w:ascii="Times New Roman" w:hAnsi="Times New Roman"/>
          <w:sz w:val="28"/>
          <w:szCs w:val="24"/>
        </w:rPr>
        <w:t xml:space="preserve"> органом государственной власти или государственным внебюджетным фондом, с российским ПО и евразийским ПО (для использования на значимых объектах КИИ)</w:t>
      </w:r>
      <w:r w:rsidR="007638FE">
        <w:rPr>
          <w:rFonts w:ascii="Times New Roman" w:hAnsi="Times New Roman"/>
          <w:sz w:val="28"/>
          <w:szCs w:val="24"/>
        </w:rPr>
        <w:t>;</w:t>
      </w:r>
    </w:p>
    <w:p w14:paraId="7FF24E52" w14:textId="36FC282B" w:rsidR="00A80CAD" w:rsidRPr="00B0658A" w:rsidRDefault="00D7231B"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н) </w:t>
      </w:r>
      <w:r w:rsidR="007638FE">
        <w:rPr>
          <w:rFonts w:ascii="Times New Roman" w:hAnsi="Times New Roman"/>
          <w:sz w:val="28"/>
          <w:szCs w:val="24"/>
        </w:rPr>
        <w:t>п</w:t>
      </w:r>
      <w:r w:rsidRPr="00B0658A">
        <w:rPr>
          <w:rFonts w:ascii="Times New Roman" w:hAnsi="Times New Roman"/>
          <w:sz w:val="28"/>
          <w:szCs w:val="24"/>
        </w:rPr>
        <w:t xml:space="preserve">ровести оценку требуемых временных и финансовых ресурсов для реализации задач по переходу на использование </w:t>
      </w:r>
      <w:r w:rsidR="004A635E" w:rsidRPr="00B0658A">
        <w:rPr>
          <w:rFonts w:ascii="Times New Roman" w:hAnsi="Times New Roman"/>
          <w:sz w:val="28"/>
          <w:szCs w:val="24"/>
        </w:rPr>
        <w:t>российского ПО</w:t>
      </w:r>
      <w:r w:rsidRPr="00B0658A">
        <w:rPr>
          <w:rFonts w:ascii="Times New Roman" w:hAnsi="Times New Roman"/>
          <w:sz w:val="28"/>
          <w:szCs w:val="24"/>
        </w:rPr>
        <w:t>, разработать необходимые финансово-экономические и технико-экономические обоснования;</w:t>
      </w:r>
    </w:p>
    <w:p w14:paraId="0DB3ABFC" w14:textId="225DB10F" w:rsidR="00D7231B" w:rsidRPr="00B0658A" w:rsidRDefault="00D7231B"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о)</w:t>
      </w:r>
      <w:r w:rsidR="00D3006A" w:rsidRPr="00B0658A">
        <w:rPr>
          <w:rFonts w:ascii="Times New Roman" w:hAnsi="Times New Roman"/>
        </w:rPr>
        <w:t> </w:t>
      </w:r>
      <w:r w:rsidR="007638FE">
        <w:rPr>
          <w:rFonts w:ascii="Times New Roman" w:hAnsi="Times New Roman"/>
        </w:rPr>
        <w:t>п</w:t>
      </w:r>
      <w:r w:rsidRPr="00B0658A">
        <w:rPr>
          <w:rFonts w:ascii="Times New Roman" w:hAnsi="Times New Roman"/>
          <w:sz w:val="28"/>
          <w:szCs w:val="24"/>
        </w:rPr>
        <w:t>ровести оценку достаточности имеющихся в распоряжении органа государственной власти и государственного внебюджетного фонда ресурсов, необходимых для обеспечения перехода на использовани</w:t>
      </w:r>
      <w:r w:rsidR="00D3006A" w:rsidRPr="00B0658A">
        <w:rPr>
          <w:rFonts w:ascii="Times New Roman" w:hAnsi="Times New Roman"/>
          <w:sz w:val="28"/>
          <w:szCs w:val="24"/>
        </w:rPr>
        <w:t>е</w:t>
      </w:r>
      <w:r w:rsidRPr="00B0658A">
        <w:rPr>
          <w:rFonts w:ascii="Times New Roman" w:hAnsi="Times New Roman"/>
          <w:sz w:val="28"/>
          <w:szCs w:val="24"/>
        </w:rPr>
        <w:t xml:space="preserve"> российского ПО в установленные сроки и </w:t>
      </w:r>
      <w:r w:rsidR="004A635E" w:rsidRPr="00B0658A">
        <w:rPr>
          <w:rFonts w:ascii="Times New Roman" w:hAnsi="Times New Roman"/>
          <w:sz w:val="28"/>
          <w:szCs w:val="24"/>
        </w:rPr>
        <w:t xml:space="preserve">для </w:t>
      </w:r>
      <w:r w:rsidR="00D3006A" w:rsidRPr="00B0658A">
        <w:rPr>
          <w:rFonts w:ascii="Times New Roman" w:hAnsi="Times New Roman"/>
          <w:sz w:val="28"/>
          <w:szCs w:val="24"/>
        </w:rPr>
        <w:t>достижения установленных показателей</w:t>
      </w:r>
      <w:r w:rsidR="00E627ED" w:rsidRPr="00B0658A">
        <w:rPr>
          <w:rFonts w:ascii="Times New Roman" w:hAnsi="Times New Roman"/>
          <w:sz w:val="28"/>
          <w:szCs w:val="24"/>
        </w:rPr>
        <w:t xml:space="preserve"> эффективности</w:t>
      </w:r>
      <w:r w:rsidR="002D7502" w:rsidRPr="00B0658A">
        <w:rPr>
          <w:rFonts w:ascii="Times New Roman" w:hAnsi="Times New Roman"/>
          <w:sz w:val="28"/>
          <w:szCs w:val="24"/>
        </w:rPr>
        <w:t xml:space="preserve">, в том числе для целей модернизации прикладного </w:t>
      </w:r>
      <w:r w:rsidR="004A635E" w:rsidRPr="00B0658A">
        <w:rPr>
          <w:rFonts w:ascii="Times New Roman" w:hAnsi="Times New Roman"/>
          <w:sz w:val="28"/>
          <w:szCs w:val="24"/>
        </w:rPr>
        <w:t>ПО</w:t>
      </w:r>
      <w:r w:rsidR="002D7502" w:rsidRPr="00B0658A">
        <w:rPr>
          <w:rFonts w:ascii="Times New Roman" w:hAnsi="Times New Roman"/>
          <w:sz w:val="28"/>
          <w:szCs w:val="24"/>
        </w:rPr>
        <w:t xml:space="preserve"> информационных систем</w:t>
      </w:r>
      <w:r w:rsidR="00E91BEF" w:rsidRPr="00B0658A">
        <w:rPr>
          <w:rFonts w:ascii="Times New Roman" w:hAnsi="Times New Roman"/>
          <w:sz w:val="28"/>
          <w:szCs w:val="24"/>
        </w:rPr>
        <w:t xml:space="preserve"> и иных компонентов информационно-технологической инфраструктуры</w:t>
      </w:r>
      <w:r w:rsidR="00D3006A" w:rsidRPr="00B0658A">
        <w:rPr>
          <w:rFonts w:ascii="Times New Roman" w:hAnsi="Times New Roman"/>
          <w:sz w:val="28"/>
          <w:szCs w:val="24"/>
        </w:rPr>
        <w:t>. При этом при оценке достаточности ресурсов органам государственной власти и государственным внебюджетным фондам рекомендуется:</w:t>
      </w:r>
    </w:p>
    <w:p w14:paraId="40D99054" w14:textId="7900EAD8" w:rsidR="00D3006A" w:rsidRPr="00B0658A" w:rsidRDefault="00D3006A"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 xml:space="preserve">провести оптимизацию текущих </w:t>
      </w:r>
      <w:r w:rsidR="00E627ED" w:rsidRPr="00B0658A">
        <w:rPr>
          <w:rFonts w:ascii="Times New Roman" w:hAnsi="Times New Roman"/>
          <w:sz w:val="28"/>
          <w:szCs w:val="24"/>
        </w:rPr>
        <w:t xml:space="preserve">и планируемых </w:t>
      </w:r>
      <w:r w:rsidRPr="00B0658A">
        <w:rPr>
          <w:rFonts w:ascii="Times New Roman" w:hAnsi="Times New Roman"/>
          <w:sz w:val="28"/>
          <w:szCs w:val="24"/>
        </w:rPr>
        <w:t>эксплуатационных расходов на ИКТ;</w:t>
      </w:r>
    </w:p>
    <w:p w14:paraId="7582BFAD" w14:textId="75E7F1F2" w:rsidR="00D3006A" w:rsidRPr="00B0658A" w:rsidRDefault="00D3006A"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провести</w:t>
      </w:r>
      <w:r w:rsidR="002D7502" w:rsidRPr="00B0658A">
        <w:rPr>
          <w:rFonts w:ascii="Times New Roman" w:hAnsi="Times New Roman"/>
          <w:sz w:val="28"/>
          <w:szCs w:val="24"/>
        </w:rPr>
        <w:t xml:space="preserve"> </w:t>
      </w:r>
      <w:r w:rsidRPr="00B0658A">
        <w:rPr>
          <w:rFonts w:ascii="Times New Roman" w:hAnsi="Times New Roman"/>
          <w:sz w:val="28"/>
          <w:szCs w:val="24"/>
        </w:rPr>
        <w:t xml:space="preserve">оптимизацию текущих </w:t>
      </w:r>
      <w:r w:rsidR="00E627ED" w:rsidRPr="00B0658A">
        <w:rPr>
          <w:rFonts w:ascii="Times New Roman" w:hAnsi="Times New Roman"/>
          <w:sz w:val="28"/>
          <w:szCs w:val="24"/>
        </w:rPr>
        <w:t xml:space="preserve">и планируемых </w:t>
      </w:r>
      <w:r w:rsidRPr="00B0658A">
        <w:rPr>
          <w:rFonts w:ascii="Times New Roman" w:hAnsi="Times New Roman"/>
          <w:sz w:val="28"/>
          <w:szCs w:val="24"/>
        </w:rPr>
        <w:t>расходов на развитие существующих информационных систем</w:t>
      </w:r>
      <w:r w:rsidR="00E91BEF" w:rsidRPr="00B0658A">
        <w:rPr>
          <w:rFonts w:ascii="Times New Roman" w:hAnsi="Times New Roman"/>
          <w:sz w:val="28"/>
          <w:szCs w:val="24"/>
        </w:rPr>
        <w:t xml:space="preserve"> и иных компонентов информационно-технологической инфраструктуры</w:t>
      </w:r>
      <w:r w:rsidRPr="00B0658A">
        <w:rPr>
          <w:rFonts w:ascii="Times New Roman" w:hAnsi="Times New Roman"/>
          <w:sz w:val="28"/>
          <w:szCs w:val="24"/>
        </w:rPr>
        <w:t>, функционирующих на базе иностранных ИТ-платформ и иностранных ИТ-решений;</w:t>
      </w:r>
    </w:p>
    <w:p w14:paraId="340055E5" w14:textId="52A81484" w:rsidR="00D3006A" w:rsidRPr="00B0658A" w:rsidRDefault="00D3006A"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провести оптимизацию расходов, в том числе расходов на закупку нового ИКТ-оборудования и создани</w:t>
      </w:r>
      <w:r w:rsidR="004A635E" w:rsidRPr="00B0658A">
        <w:rPr>
          <w:rFonts w:ascii="Times New Roman" w:hAnsi="Times New Roman"/>
          <w:sz w:val="28"/>
          <w:szCs w:val="24"/>
        </w:rPr>
        <w:t>е</w:t>
      </w:r>
      <w:r w:rsidRPr="00B0658A">
        <w:rPr>
          <w:rFonts w:ascii="Times New Roman" w:hAnsi="Times New Roman"/>
          <w:sz w:val="28"/>
          <w:szCs w:val="24"/>
        </w:rPr>
        <w:t xml:space="preserve"> новых центров обработки данных, на вычислительную и телекоммуникационную инфраструктуру, обеспечивающую функционирование информационных систем, в том числе с учетом возможностей, предоставляемых в рамках </w:t>
      </w:r>
      <w:r w:rsidR="002D7502" w:rsidRPr="00B0658A">
        <w:rPr>
          <w:rFonts w:ascii="Times New Roman" w:hAnsi="Times New Roman"/>
          <w:sz w:val="28"/>
          <w:szCs w:val="24"/>
        </w:rPr>
        <w:t>единой сети передачи данных, являющейся элементом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A70A02" w:rsidRPr="00B0658A">
        <w:rPr>
          <w:rFonts w:ascii="Times New Roman" w:hAnsi="Times New Roman"/>
          <w:sz w:val="28"/>
          <w:szCs w:val="24"/>
        </w:rPr>
        <w:t>,</w:t>
      </w:r>
      <w:r w:rsidR="002D7502" w:rsidRPr="00B0658A">
        <w:rPr>
          <w:rFonts w:ascii="Times New Roman" w:hAnsi="Times New Roman"/>
          <w:sz w:val="28"/>
          <w:szCs w:val="24"/>
        </w:rPr>
        <w:t xml:space="preserve"> </w:t>
      </w:r>
      <w:r w:rsidRPr="00B0658A">
        <w:rPr>
          <w:rFonts w:ascii="Times New Roman" w:hAnsi="Times New Roman"/>
          <w:sz w:val="28"/>
          <w:szCs w:val="24"/>
        </w:rPr>
        <w:t xml:space="preserve">единой цифровой платформы Российской Федерации «ГосТех», </w:t>
      </w:r>
      <w:r w:rsidR="000544FB" w:rsidRPr="00B0658A">
        <w:rPr>
          <w:rFonts w:ascii="Times New Roman" w:hAnsi="Times New Roman"/>
          <w:sz w:val="28"/>
          <w:szCs w:val="24"/>
        </w:rPr>
        <w:t xml:space="preserve">государственной единой облачной платформы, </w:t>
      </w:r>
      <w:r w:rsidR="00A70A02" w:rsidRPr="00B0658A">
        <w:rPr>
          <w:rFonts w:ascii="Times New Roman" w:hAnsi="Times New Roman"/>
          <w:sz w:val="28"/>
          <w:szCs w:val="24"/>
        </w:rPr>
        <w:t xml:space="preserve">возможностей, связанных с переходом на </w:t>
      </w:r>
      <w:r w:rsidRPr="00B0658A">
        <w:rPr>
          <w:rFonts w:ascii="Times New Roman" w:hAnsi="Times New Roman"/>
          <w:sz w:val="28"/>
          <w:szCs w:val="24"/>
        </w:rPr>
        <w:t>использовани</w:t>
      </w:r>
      <w:r w:rsidR="00A70A02" w:rsidRPr="00B0658A">
        <w:rPr>
          <w:rFonts w:ascii="Times New Roman" w:hAnsi="Times New Roman"/>
          <w:sz w:val="28"/>
          <w:szCs w:val="24"/>
        </w:rPr>
        <w:t>е</w:t>
      </w:r>
      <w:r w:rsidRPr="00B0658A">
        <w:rPr>
          <w:rFonts w:ascii="Times New Roman" w:hAnsi="Times New Roman"/>
          <w:sz w:val="28"/>
          <w:szCs w:val="24"/>
        </w:rPr>
        <w:t xml:space="preserve"> «сервисной модели»</w:t>
      </w:r>
      <w:r w:rsidR="002D7502" w:rsidRPr="00B0658A">
        <w:rPr>
          <w:rFonts w:ascii="Times New Roman" w:hAnsi="Times New Roman"/>
          <w:sz w:val="28"/>
          <w:szCs w:val="24"/>
        </w:rPr>
        <w:t xml:space="preserve"> при возникновении потребности в вычислительных ресурсах</w:t>
      </w:r>
      <w:r w:rsidR="00A70A02" w:rsidRPr="00B0658A">
        <w:rPr>
          <w:rFonts w:ascii="Times New Roman" w:hAnsi="Times New Roman"/>
          <w:sz w:val="28"/>
          <w:szCs w:val="24"/>
        </w:rPr>
        <w:t xml:space="preserve"> и программно-аппаратных комплекс</w:t>
      </w:r>
      <w:r w:rsidR="00E627ED" w:rsidRPr="00B0658A">
        <w:rPr>
          <w:rFonts w:ascii="Times New Roman" w:hAnsi="Times New Roman"/>
          <w:sz w:val="28"/>
          <w:szCs w:val="24"/>
        </w:rPr>
        <w:t>ах</w:t>
      </w:r>
      <w:r w:rsidR="007638FE">
        <w:rPr>
          <w:rFonts w:ascii="Times New Roman" w:hAnsi="Times New Roman"/>
          <w:sz w:val="28"/>
          <w:szCs w:val="24"/>
        </w:rPr>
        <w:t>;</w:t>
      </w:r>
    </w:p>
    <w:p w14:paraId="0BEC0A63" w14:textId="6A0D2DBB" w:rsidR="002D7502" w:rsidRPr="00B0658A" w:rsidRDefault="002D7502"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п) </w:t>
      </w:r>
      <w:r w:rsidR="007638FE">
        <w:rPr>
          <w:rFonts w:ascii="Times New Roman" w:hAnsi="Times New Roman"/>
          <w:sz w:val="28"/>
          <w:szCs w:val="24"/>
        </w:rPr>
        <w:t>с</w:t>
      </w:r>
      <w:r w:rsidRPr="00B0658A">
        <w:rPr>
          <w:rFonts w:ascii="Times New Roman" w:hAnsi="Times New Roman"/>
          <w:sz w:val="28"/>
          <w:szCs w:val="24"/>
        </w:rPr>
        <w:t xml:space="preserve"> учетом проведенной оценки требуемых временных и финансовых ресурсов, оценки достаточности имеющихся</w:t>
      </w:r>
      <w:r w:rsidR="00A70A02" w:rsidRPr="00B0658A">
        <w:rPr>
          <w:rFonts w:ascii="Times New Roman" w:hAnsi="Times New Roman"/>
          <w:sz w:val="28"/>
          <w:szCs w:val="24"/>
        </w:rPr>
        <w:t xml:space="preserve"> финансовых</w:t>
      </w:r>
      <w:r w:rsidRPr="00B0658A">
        <w:rPr>
          <w:rFonts w:ascii="Times New Roman" w:hAnsi="Times New Roman"/>
          <w:sz w:val="28"/>
          <w:szCs w:val="24"/>
        </w:rPr>
        <w:t xml:space="preserve"> ресурсов с учетом проведенной оптимизации расходов на ИКТ:</w:t>
      </w:r>
    </w:p>
    <w:p w14:paraId="7957236C" w14:textId="5460A826" w:rsidR="002D7502" w:rsidRPr="00B0658A" w:rsidRDefault="002D7502"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федеральным органам исполнительной власти</w:t>
      </w:r>
      <w:r w:rsidR="00A70A02" w:rsidRPr="00B0658A">
        <w:rPr>
          <w:rFonts w:ascii="Times New Roman" w:hAnsi="Times New Roman"/>
          <w:sz w:val="28"/>
          <w:szCs w:val="24"/>
        </w:rPr>
        <w:t xml:space="preserve"> и</w:t>
      </w:r>
      <w:r w:rsidRPr="00B0658A">
        <w:rPr>
          <w:rFonts w:ascii="Times New Roman" w:hAnsi="Times New Roman"/>
          <w:sz w:val="28"/>
          <w:szCs w:val="24"/>
        </w:rPr>
        <w:t xml:space="preserve"> государственным внебюджетным фондам рекомендуется </w:t>
      </w:r>
      <w:r w:rsidR="00A70A02" w:rsidRPr="00B0658A">
        <w:rPr>
          <w:rFonts w:ascii="Times New Roman" w:hAnsi="Times New Roman"/>
          <w:sz w:val="28"/>
          <w:szCs w:val="24"/>
        </w:rPr>
        <w:t xml:space="preserve">при необходимости в установленном законодательством Российской Федерации порядке организовать работу по внесению </w:t>
      </w:r>
      <w:r w:rsidR="00A70A02" w:rsidRPr="00B0658A">
        <w:rPr>
          <w:rFonts w:ascii="Times New Roman" w:hAnsi="Times New Roman"/>
          <w:sz w:val="28"/>
          <w:szCs w:val="24"/>
        </w:rPr>
        <w:lastRenderedPageBreak/>
        <w:t>соответствующих изменений в государственные и (или) федеральные целевые программы и ведомственные программы цифровой трансформации;</w:t>
      </w:r>
    </w:p>
    <w:p w14:paraId="1EF6CD90" w14:textId="1B93AF92" w:rsidR="00A70A02" w:rsidRPr="00B0658A" w:rsidRDefault="00A70A02"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 xml:space="preserve">органам исполнительной власти субъектов Российской Федерации при необходимости рекомендуется внести изменения в программы, реализуемые органами исполнительной власти субъектов Российской Федерации, а также направить в Минцифры России предложения по оказанию государственной поддержки </w:t>
      </w:r>
      <w:r w:rsidR="00B92EE7" w:rsidRPr="00B0658A">
        <w:rPr>
          <w:rFonts w:ascii="Times New Roman" w:hAnsi="Times New Roman"/>
          <w:sz w:val="28"/>
          <w:szCs w:val="24"/>
        </w:rPr>
        <w:t xml:space="preserve">за счет средств федерального бюджета процессов перехода органов </w:t>
      </w:r>
      <w:r w:rsidR="00E627ED" w:rsidRPr="00B0658A">
        <w:rPr>
          <w:rFonts w:ascii="Times New Roman" w:hAnsi="Times New Roman"/>
          <w:sz w:val="28"/>
          <w:szCs w:val="24"/>
        </w:rPr>
        <w:t>исполнительной</w:t>
      </w:r>
      <w:r w:rsidR="00B92EE7" w:rsidRPr="00B0658A">
        <w:rPr>
          <w:rFonts w:ascii="Times New Roman" w:hAnsi="Times New Roman"/>
          <w:sz w:val="28"/>
          <w:szCs w:val="24"/>
        </w:rPr>
        <w:t xml:space="preserve"> власти субъекта Российской Федерации на использование российского ПО, в том числе перехода на использование российского ПО на значимых объектах КИИ и </w:t>
      </w:r>
      <w:r w:rsidR="00E627ED" w:rsidRPr="00B0658A">
        <w:rPr>
          <w:rFonts w:ascii="Times New Roman" w:hAnsi="Times New Roman"/>
          <w:sz w:val="28"/>
          <w:szCs w:val="24"/>
        </w:rPr>
        <w:t>реализации</w:t>
      </w:r>
      <w:r w:rsidR="00B92EE7" w:rsidRPr="00B0658A">
        <w:rPr>
          <w:rFonts w:ascii="Times New Roman" w:hAnsi="Times New Roman"/>
          <w:sz w:val="28"/>
          <w:szCs w:val="24"/>
        </w:rPr>
        <w:t xml:space="preserve"> задач, связанных с переводом государственных и ведомственных информационных систем на использование российского ПО, предоставив соответствующие детальные финансово-экономические обоснования</w:t>
      </w:r>
      <w:r w:rsidR="007638FE">
        <w:rPr>
          <w:rFonts w:ascii="Times New Roman" w:hAnsi="Times New Roman"/>
          <w:sz w:val="28"/>
          <w:szCs w:val="24"/>
        </w:rPr>
        <w:t>;</w:t>
      </w:r>
    </w:p>
    <w:p w14:paraId="7D38D35E" w14:textId="756FE0DE" w:rsidR="00B92EE7" w:rsidRPr="00B0658A" w:rsidRDefault="00B92EE7"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р) </w:t>
      </w:r>
      <w:r w:rsidR="007638FE">
        <w:rPr>
          <w:rFonts w:ascii="Times New Roman" w:hAnsi="Times New Roman"/>
          <w:sz w:val="28"/>
          <w:szCs w:val="24"/>
        </w:rPr>
        <w:t>в</w:t>
      </w:r>
      <w:r w:rsidRPr="00B0658A">
        <w:rPr>
          <w:rFonts w:ascii="Times New Roman" w:hAnsi="Times New Roman"/>
          <w:sz w:val="28"/>
          <w:szCs w:val="24"/>
        </w:rPr>
        <w:t xml:space="preserve"> случае, если в процессе тестирования российского ПО и евразийского ПО </w:t>
      </w:r>
      <w:r w:rsidR="000B2730" w:rsidRPr="00B0658A">
        <w:rPr>
          <w:rFonts w:ascii="Times New Roman" w:hAnsi="Times New Roman"/>
          <w:sz w:val="28"/>
          <w:szCs w:val="24"/>
        </w:rPr>
        <w:t xml:space="preserve">и уточнения программно-технических решений </w:t>
      </w:r>
      <w:r w:rsidR="00FC4C86" w:rsidRPr="00B0658A">
        <w:rPr>
          <w:rFonts w:ascii="Times New Roman" w:hAnsi="Times New Roman"/>
          <w:sz w:val="28"/>
          <w:szCs w:val="24"/>
        </w:rPr>
        <w:t xml:space="preserve">и программного обеспечения </w:t>
      </w:r>
      <w:r w:rsidRPr="00B0658A">
        <w:rPr>
          <w:rFonts w:ascii="Times New Roman" w:hAnsi="Times New Roman"/>
          <w:sz w:val="28"/>
          <w:szCs w:val="24"/>
        </w:rPr>
        <w:t xml:space="preserve">будет определено, что в указанном ПО отсутствует ряд критически важных </w:t>
      </w:r>
      <w:r w:rsidR="000B2730" w:rsidRPr="00B0658A">
        <w:rPr>
          <w:rFonts w:ascii="Times New Roman" w:hAnsi="Times New Roman"/>
          <w:sz w:val="28"/>
          <w:szCs w:val="24"/>
        </w:rPr>
        <w:t xml:space="preserve">технологий и </w:t>
      </w:r>
      <w:r w:rsidRPr="00B0658A">
        <w:rPr>
          <w:rFonts w:ascii="Times New Roman" w:hAnsi="Times New Roman"/>
          <w:sz w:val="28"/>
          <w:szCs w:val="24"/>
        </w:rPr>
        <w:t>функций</w:t>
      </w:r>
      <w:r w:rsidR="000B2730" w:rsidRPr="00B0658A">
        <w:rPr>
          <w:rFonts w:ascii="Times New Roman" w:hAnsi="Times New Roman"/>
          <w:sz w:val="28"/>
          <w:szCs w:val="24"/>
        </w:rPr>
        <w:t xml:space="preserve">, которые при этом не могут быть реализованы путем использования комбинации ПО или реализации организационно-технических мер, рекомендуется организовать взаимодействие с </w:t>
      </w:r>
      <w:r w:rsidR="00067758" w:rsidRPr="00B0658A">
        <w:rPr>
          <w:rFonts w:ascii="Times New Roman" w:hAnsi="Times New Roman"/>
          <w:sz w:val="28"/>
          <w:szCs w:val="24"/>
        </w:rPr>
        <w:t xml:space="preserve">Отраслевым комитетом по развитию общесистемного и прикладного ПО, иными </w:t>
      </w:r>
      <w:r w:rsidR="000B2730" w:rsidRPr="00B0658A">
        <w:rPr>
          <w:rFonts w:ascii="Times New Roman" w:hAnsi="Times New Roman"/>
          <w:sz w:val="28"/>
          <w:szCs w:val="24"/>
        </w:rPr>
        <w:t xml:space="preserve">Индустриальными центрами компетенций </w:t>
      </w:r>
      <w:r w:rsidR="00067758" w:rsidRPr="00B0658A">
        <w:rPr>
          <w:rFonts w:ascii="Times New Roman" w:hAnsi="Times New Roman"/>
          <w:sz w:val="28"/>
          <w:szCs w:val="24"/>
        </w:rPr>
        <w:t>по замещению зарубежных</w:t>
      </w:r>
      <w:r w:rsidR="000A2A7D" w:rsidRPr="00B0658A">
        <w:rPr>
          <w:rFonts w:ascii="Times New Roman" w:hAnsi="Times New Roman"/>
          <w:sz w:val="28"/>
          <w:szCs w:val="24"/>
        </w:rPr>
        <w:t xml:space="preserve"> отраслевых продуктов и решений в ключевых отраслях экономики (при необходимости)</w:t>
      </w:r>
      <w:r w:rsidR="000B2730" w:rsidRPr="00B0658A">
        <w:rPr>
          <w:rFonts w:ascii="Times New Roman" w:hAnsi="Times New Roman"/>
          <w:sz w:val="28"/>
          <w:szCs w:val="24"/>
        </w:rPr>
        <w:t xml:space="preserve">, а также с Центрами компетенций по развитию российского общесистемного и прикладного программного обеспечения, производителями российского ПО и евразийского ПО для целей </w:t>
      </w:r>
      <w:r w:rsidR="000A2A7D" w:rsidRPr="00B0658A">
        <w:rPr>
          <w:rFonts w:ascii="Times New Roman" w:hAnsi="Times New Roman"/>
          <w:sz w:val="28"/>
          <w:szCs w:val="24"/>
        </w:rPr>
        <w:t xml:space="preserve">организации развития и </w:t>
      </w:r>
      <w:r w:rsidR="000B2730" w:rsidRPr="00B0658A">
        <w:rPr>
          <w:rFonts w:ascii="Times New Roman" w:hAnsi="Times New Roman"/>
          <w:sz w:val="28"/>
          <w:szCs w:val="24"/>
        </w:rPr>
        <w:t>доработки указанного ПО</w:t>
      </w:r>
      <w:r w:rsidR="007638FE">
        <w:rPr>
          <w:rFonts w:ascii="Times New Roman" w:hAnsi="Times New Roman"/>
          <w:sz w:val="28"/>
          <w:szCs w:val="24"/>
        </w:rPr>
        <w:t>;</w:t>
      </w:r>
    </w:p>
    <w:p w14:paraId="0811B6FC" w14:textId="4005E895" w:rsidR="0007549F" w:rsidRPr="00B0658A" w:rsidRDefault="0007549F"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 xml:space="preserve">с) </w:t>
      </w:r>
      <w:r w:rsidR="007638FE">
        <w:rPr>
          <w:rFonts w:ascii="Times New Roman" w:hAnsi="Times New Roman"/>
          <w:sz w:val="28"/>
          <w:szCs w:val="24"/>
        </w:rPr>
        <w:t>п</w:t>
      </w:r>
      <w:r w:rsidRPr="00B0658A">
        <w:rPr>
          <w:rFonts w:ascii="Times New Roman" w:hAnsi="Times New Roman"/>
          <w:sz w:val="28"/>
          <w:szCs w:val="24"/>
        </w:rPr>
        <w:t>редусмотреть мероприятия, направленные на обучение работников органа государственной власти или государственного внебюджетного фонда, в том числе работников, ответственных за вопросы обеспечения функционирования информационно-технологической и телекоммуникационной инфраструктуры, по использованию российского ПО и евразийского ПО. </w:t>
      </w:r>
    </w:p>
    <w:p w14:paraId="2AA5A283" w14:textId="77777777" w:rsidR="000B2730" w:rsidRPr="00B0658A" w:rsidRDefault="000B2730"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3</w:t>
      </w:r>
      <w:r w:rsidR="00F826CB" w:rsidRPr="00B0658A">
        <w:rPr>
          <w:rFonts w:ascii="Times New Roman" w:hAnsi="Times New Roman"/>
          <w:sz w:val="28"/>
          <w:szCs w:val="24"/>
        </w:rPr>
        <w:t>9</w:t>
      </w:r>
      <w:r w:rsidRPr="00B0658A">
        <w:rPr>
          <w:rFonts w:ascii="Times New Roman" w:hAnsi="Times New Roman"/>
          <w:sz w:val="28"/>
          <w:szCs w:val="24"/>
        </w:rPr>
        <w:t>. Органам государственной власти и государственным внебюджетным организациям также рекомендуется:</w:t>
      </w:r>
    </w:p>
    <w:p w14:paraId="2F584193" w14:textId="260857F6" w:rsidR="000616F9" w:rsidRPr="00B0658A" w:rsidRDefault="000B2730"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 а) </w:t>
      </w:r>
      <w:r w:rsidR="007638FE">
        <w:rPr>
          <w:rFonts w:ascii="Times New Roman" w:hAnsi="Times New Roman"/>
          <w:sz w:val="28"/>
          <w:szCs w:val="24"/>
        </w:rPr>
        <w:t>с</w:t>
      </w:r>
      <w:r w:rsidRPr="00B0658A">
        <w:rPr>
          <w:rFonts w:ascii="Times New Roman" w:hAnsi="Times New Roman"/>
          <w:sz w:val="28"/>
          <w:szCs w:val="24"/>
        </w:rPr>
        <w:t xml:space="preserve"> 1 января 2023 г</w:t>
      </w:r>
      <w:r w:rsidR="007638FE">
        <w:rPr>
          <w:rFonts w:ascii="Times New Roman" w:hAnsi="Times New Roman"/>
          <w:sz w:val="28"/>
          <w:szCs w:val="24"/>
        </w:rPr>
        <w:t>.</w:t>
      </w:r>
      <w:r w:rsidRPr="00B0658A">
        <w:rPr>
          <w:rFonts w:ascii="Times New Roman" w:hAnsi="Times New Roman"/>
          <w:sz w:val="28"/>
          <w:szCs w:val="24"/>
        </w:rPr>
        <w:t xml:space="preserve"> новые государственные и ведомственные информационные системы и иные компоненты информационно-технологической инфраструктуры создавать с использованием российского ПО и евразийского ПО</w:t>
      </w:r>
      <w:r w:rsidR="00100A00" w:rsidRPr="00B0658A">
        <w:rPr>
          <w:rFonts w:ascii="Times New Roman" w:hAnsi="Times New Roman"/>
          <w:sz w:val="28"/>
          <w:szCs w:val="24"/>
        </w:rPr>
        <w:t xml:space="preserve"> (для использования на значимых объектах КИИ)</w:t>
      </w:r>
      <w:r w:rsidR="007638FE">
        <w:rPr>
          <w:rFonts w:ascii="Times New Roman" w:hAnsi="Times New Roman"/>
          <w:sz w:val="28"/>
          <w:szCs w:val="24"/>
        </w:rPr>
        <w:t>;</w:t>
      </w:r>
    </w:p>
    <w:p w14:paraId="67D870E7" w14:textId="608A66E9" w:rsidR="00221E5E" w:rsidRPr="00B0658A" w:rsidRDefault="00221E5E"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б) </w:t>
      </w:r>
      <w:r w:rsidR="007638FE">
        <w:rPr>
          <w:rFonts w:ascii="Times New Roman" w:hAnsi="Times New Roman"/>
          <w:sz w:val="28"/>
          <w:szCs w:val="24"/>
        </w:rPr>
        <w:t>п</w:t>
      </w:r>
      <w:r w:rsidRPr="00B0658A">
        <w:rPr>
          <w:rFonts w:ascii="Times New Roman" w:hAnsi="Times New Roman"/>
          <w:sz w:val="28"/>
          <w:szCs w:val="24"/>
        </w:rPr>
        <w:t xml:space="preserve">ровести анализ требований, установленных к государственным информационным системам, создание, развитие и функционирование которых осуществляется в соответствии с соглашениями о государственно-частном партнерстве, а также условий указанных соглашений, в части их соответствия требованиям законодательства Российской Федерации в области информационной безопасности, обеспечения технологической независимости и безопасности критической информационной инфраструктуры Российской Федерации, государственных решений в области перехода на использование российского ПО, а также настоящим методическим рекомендациям, и при необходимости внести </w:t>
      </w:r>
      <w:r w:rsidRPr="00B0658A">
        <w:rPr>
          <w:rFonts w:ascii="Times New Roman" w:hAnsi="Times New Roman"/>
          <w:sz w:val="28"/>
          <w:szCs w:val="24"/>
        </w:rPr>
        <w:lastRenderedPageBreak/>
        <w:t>изменения в указанные в настоящем пункте методических рекомендаций</w:t>
      </w:r>
      <w:r w:rsidR="0007549F" w:rsidRPr="00B0658A">
        <w:rPr>
          <w:rFonts w:ascii="Times New Roman" w:hAnsi="Times New Roman"/>
          <w:sz w:val="28"/>
          <w:szCs w:val="24"/>
        </w:rPr>
        <w:t xml:space="preserve"> требования</w:t>
      </w:r>
      <w:r w:rsidRPr="00B0658A">
        <w:rPr>
          <w:rFonts w:ascii="Times New Roman" w:hAnsi="Times New Roman"/>
          <w:sz w:val="28"/>
          <w:szCs w:val="24"/>
        </w:rPr>
        <w:t xml:space="preserve"> и услови</w:t>
      </w:r>
      <w:r w:rsidR="0007549F" w:rsidRPr="00B0658A">
        <w:rPr>
          <w:rFonts w:ascii="Times New Roman" w:hAnsi="Times New Roman"/>
          <w:sz w:val="28"/>
          <w:szCs w:val="24"/>
        </w:rPr>
        <w:t>я</w:t>
      </w:r>
      <w:r w:rsidR="007638FE">
        <w:rPr>
          <w:rFonts w:ascii="Times New Roman" w:hAnsi="Times New Roman"/>
          <w:sz w:val="28"/>
          <w:szCs w:val="24"/>
        </w:rPr>
        <w:t>;</w:t>
      </w:r>
    </w:p>
    <w:p w14:paraId="75703936" w14:textId="054C7397" w:rsidR="000B2730" w:rsidRPr="00B0658A" w:rsidRDefault="00221E5E"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в</w:t>
      </w:r>
      <w:r w:rsidR="000B2730" w:rsidRPr="00B0658A">
        <w:rPr>
          <w:rFonts w:ascii="Times New Roman" w:hAnsi="Times New Roman"/>
          <w:sz w:val="28"/>
          <w:szCs w:val="24"/>
        </w:rPr>
        <w:t>) </w:t>
      </w:r>
      <w:r w:rsidR="007638FE">
        <w:rPr>
          <w:rFonts w:ascii="Times New Roman" w:hAnsi="Times New Roman"/>
          <w:sz w:val="28"/>
          <w:szCs w:val="24"/>
        </w:rPr>
        <w:t>с</w:t>
      </w:r>
      <w:r w:rsidR="000616F9" w:rsidRPr="00B0658A">
        <w:rPr>
          <w:rFonts w:ascii="Times New Roman" w:hAnsi="Times New Roman"/>
          <w:sz w:val="28"/>
          <w:szCs w:val="24"/>
        </w:rPr>
        <w:t xml:space="preserve">оздать </w:t>
      </w:r>
      <w:r w:rsidR="0007549F" w:rsidRPr="00B0658A">
        <w:rPr>
          <w:rFonts w:ascii="Times New Roman" w:hAnsi="Times New Roman"/>
          <w:sz w:val="28"/>
          <w:szCs w:val="24"/>
        </w:rPr>
        <w:t>«проектную группу»</w:t>
      </w:r>
      <w:r w:rsidR="000616F9" w:rsidRPr="00B0658A">
        <w:rPr>
          <w:rFonts w:ascii="Times New Roman" w:hAnsi="Times New Roman"/>
          <w:sz w:val="28"/>
          <w:szCs w:val="24"/>
        </w:rPr>
        <w:t>, обеспечивающ</w:t>
      </w:r>
      <w:r w:rsidR="0007549F" w:rsidRPr="00B0658A">
        <w:rPr>
          <w:rFonts w:ascii="Times New Roman" w:hAnsi="Times New Roman"/>
          <w:sz w:val="28"/>
          <w:szCs w:val="24"/>
        </w:rPr>
        <w:t>ую</w:t>
      </w:r>
      <w:r w:rsidR="000616F9" w:rsidRPr="00B0658A">
        <w:rPr>
          <w:rFonts w:ascii="Times New Roman" w:hAnsi="Times New Roman"/>
          <w:sz w:val="28"/>
          <w:szCs w:val="24"/>
        </w:rPr>
        <w:t xml:space="preserve"> управление процессами перехода органа государственной власти или государственного внебюджетного фонда на использование российского ПО, мониторинг хода реализации Плана перехода</w:t>
      </w:r>
      <w:r w:rsidR="000A2A7D" w:rsidRPr="00B0658A">
        <w:rPr>
          <w:rFonts w:ascii="Times New Roman" w:hAnsi="Times New Roman"/>
          <w:sz w:val="28"/>
          <w:szCs w:val="24"/>
        </w:rPr>
        <w:t xml:space="preserve"> и</w:t>
      </w:r>
      <w:r w:rsidR="000616F9" w:rsidRPr="00B0658A">
        <w:rPr>
          <w:rFonts w:ascii="Times New Roman" w:hAnsi="Times New Roman"/>
          <w:sz w:val="28"/>
          <w:szCs w:val="24"/>
        </w:rPr>
        <w:t xml:space="preserve"> достижения установленных показателей эффективности, а также мониторинг процессов разработки, утверждения и реализации Планов перехода организаций, подведомственных орган</w:t>
      </w:r>
      <w:r w:rsidR="003612CC" w:rsidRPr="00B0658A">
        <w:rPr>
          <w:rFonts w:ascii="Times New Roman" w:hAnsi="Times New Roman"/>
          <w:sz w:val="28"/>
          <w:szCs w:val="24"/>
        </w:rPr>
        <w:t>у</w:t>
      </w:r>
      <w:r w:rsidR="000616F9" w:rsidRPr="00B0658A">
        <w:rPr>
          <w:rFonts w:ascii="Times New Roman" w:hAnsi="Times New Roman"/>
          <w:sz w:val="28"/>
          <w:szCs w:val="24"/>
        </w:rPr>
        <w:t xml:space="preserve"> государственной власти и</w:t>
      </w:r>
      <w:r w:rsidR="003612CC" w:rsidRPr="00B0658A">
        <w:rPr>
          <w:rFonts w:ascii="Times New Roman" w:hAnsi="Times New Roman"/>
          <w:sz w:val="28"/>
          <w:szCs w:val="24"/>
        </w:rPr>
        <w:t>ли</w:t>
      </w:r>
      <w:r w:rsidR="000616F9" w:rsidRPr="00B0658A">
        <w:rPr>
          <w:rFonts w:ascii="Times New Roman" w:hAnsi="Times New Roman"/>
          <w:sz w:val="28"/>
          <w:szCs w:val="24"/>
        </w:rPr>
        <w:t xml:space="preserve"> государственн</w:t>
      </w:r>
      <w:r w:rsidR="003612CC" w:rsidRPr="00B0658A">
        <w:rPr>
          <w:rFonts w:ascii="Times New Roman" w:hAnsi="Times New Roman"/>
          <w:sz w:val="28"/>
          <w:szCs w:val="24"/>
        </w:rPr>
        <w:t>ому</w:t>
      </w:r>
      <w:r w:rsidR="000616F9" w:rsidRPr="00B0658A">
        <w:rPr>
          <w:rFonts w:ascii="Times New Roman" w:hAnsi="Times New Roman"/>
          <w:sz w:val="28"/>
          <w:szCs w:val="24"/>
        </w:rPr>
        <w:t xml:space="preserve"> внебюджетн</w:t>
      </w:r>
      <w:r w:rsidR="003612CC" w:rsidRPr="00B0658A">
        <w:rPr>
          <w:rFonts w:ascii="Times New Roman" w:hAnsi="Times New Roman"/>
          <w:sz w:val="28"/>
          <w:szCs w:val="24"/>
        </w:rPr>
        <w:t>ому</w:t>
      </w:r>
      <w:r w:rsidR="000616F9" w:rsidRPr="00B0658A">
        <w:rPr>
          <w:rFonts w:ascii="Times New Roman" w:hAnsi="Times New Roman"/>
          <w:sz w:val="28"/>
          <w:szCs w:val="24"/>
        </w:rPr>
        <w:t xml:space="preserve"> фонд</w:t>
      </w:r>
      <w:r w:rsidR="003612CC" w:rsidRPr="00B0658A">
        <w:rPr>
          <w:rFonts w:ascii="Times New Roman" w:hAnsi="Times New Roman"/>
          <w:sz w:val="28"/>
          <w:szCs w:val="24"/>
        </w:rPr>
        <w:t>у</w:t>
      </w:r>
      <w:r w:rsidR="0007549F" w:rsidRPr="00B0658A">
        <w:rPr>
          <w:rFonts w:ascii="Times New Roman" w:hAnsi="Times New Roman"/>
          <w:sz w:val="28"/>
          <w:szCs w:val="24"/>
        </w:rPr>
        <w:t>, на использование российского ПО</w:t>
      </w:r>
      <w:r w:rsidR="007638FE">
        <w:rPr>
          <w:rFonts w:ascii="Times New Roman" w:hAnsi="Times New Roman"/>
          <w:sz w:val="28"/>
          <w:szCs w:val="24"/>
        </w:rPr>
        <w:t>;</w:t>
      </w:r>
    </w:p>
    <w:p w14:paraId="6D4FD103" w14:textId="7E6D18DE" w:rsidR="00F27EAF" w:rsidRPr="00B0658A" w:rsidRDefault="00221E5E" w:rsidP="00F57B1F">
      <w:pPr>
        <w:spacing w:after="0" w:line="240" w:lineRule="auto"/>
        <w:ind w:firstLine="709"/>
        <w:jc w:val="both"/>
        <w:rPr>
          <w:rFonts w:ascii="Times New Roman" w:hAnsi="Times New Roman"/>
          <w:sz w:val="28"/>
          <w:szCs w:val="28"/>
        </w:rPr>
      </w:pPr>
      <w:r w:rsidRPr="00B0658A">
        <w:rPr>
          <w:rFonts w:ascii="Times New Roman" w:hAnsi="Times New Roman"/>
          <w:sz w:val="28"/>
          <w:szCs w:val="24"/>
        </w:rPr>
        <w:t>г</w:t>
      </w:r>
      <w:r w:rsidR="000616F9" w:rsidRPr="00B0658A">
        <w:rPr>
          <w:rFonts w:ascii="Times New Roman" w:hAnsi="Times New Roman"/>
          <w:sz w:val="28"/>
          <w:szCs w:val="24"/>
        </w:rPr>
        <w:t>) </w:t>
      </w:r>
      <w:r w:rsidR="007638FE">
        <w:rPr>
          <w:rFonts w:ascii="Times New Roman" w:hAnsi="Times New Roman"/>
          <w:sz w:val="28"/>
          <w:szCs w:val="24"/>
        </w:rPr>
        <w:t>п</w:t>
      </w:r>
      <w:r w:rsidR="000616F9" w:rsidRPr="00B0658A">
        <w:rPr>
          <w:rFonts w:ascii="Times New Roman" w:hAnsi="Times New Roman"/>
          <w:sz w:val="28"/>
          <w:szCs w:val="24"/>
        </w:rPr>
        <w:t xml:space="preserve">редусмотреть мероприятие по предоставлению в </w:t>
      </w:r>
      <w:r w:rsidR="0007549F" w:rsidRPr="00B0658A">
        <w:rPr>
          <w:rFonts w:ascii="Times New Roman" w:hAnsi="Times New Roman"/>
          <w:sz w:val="28"/>
          <w:szCs w:val="24"/>
        </w:rPr>
        <w:t>Минцифры России</w:t>
      </w:r>
      <w:r w:rsidR="00F27EAF" w:rsidRPr="00B0658A">
        <w:rPr>
          <w:rFonts w:ascii="Times New Roman" w:hAnsi="Times New Roman"/>
          <w:sz w:val="28"/>
          <w:szCs w:val="24"/>
        </w:rPr>
        <w:t xml:space="preserve"> </w:t>
      </w:r>
      <w:r w:rsidR="0007549F" w:rsidRPr="00B0658A">
        <w:rPr>
          <w:rFonts w:ascii="Times New Roman" w:hAnsi="Times New Roman"/>
          <w:sz w:val="28"/>
          <w:szCs w:val="28"/>
        </w:rPr>
        <w:t>сведений о ходе реализации Плана перехода</w:t>
      </w:r>
      <w:r w:rsidR="00F27EAF" w:rsidRPr="00B0658A">
        <w:rPr>
          <w:rFonts w:ascii="Times New Roman" w:hAnsi="Times New Roman"/>
          <w:sz w:val="28"/>
          <w:szCs w:val="28"/>
        </w:rPr>
        <w:t xml:space="preserve"> </w:t>
      </w:r>
      <w:r w:rsidR="000A2A7D" w:rsidRPr="00B0658A">
        <w:rPr>
          <w:rFonts w:ascii="Times New Roman" w:hAnsi="Times New Roman"/>
          <w:sz w:val="28"/>
          <w:szCs w:val="28"/>
        </w:rPr>
        <w:t xml:space="preserve">с периодичностью, </w:t>
      </w:r>
      <w:r w:rsidR="00F27EAF" w:rsidRPr="00B0658A">
        <w:rPr>
          <w:rFonts w:ascii="Times New Roman" w:hAnsi="Times New Roman"/>
          <w:sz w:val="28"/>
          <w:szCs w:val="28"/>
        </w:rPr>
        <w:t>по форме и в объеме, предусмотренных в настоящих методических рекомендациях</w:t>
      </w:r>
      <w:r w:rsidR="007638FE">
        <w:rPr>
          <w:rFonts w:ascii="Times New Roman" w:hAnsi="Times New Roman"/>
          <w:sz w:val="28"/>
          <w:szCs w:val="28"/>
        </w:rPr>
        <w:t>;</w:t>
      </w:r>
    </w:p>
    <w:p w14:paraId="2A125ECC" w14:textId="01F28D97" w:rsidR="000A2A7D" w:rsidRPr="00B0658A" w:rsidRDefault="00221E5E" w:rsidP="00F57B1F">
      <w:pPr>
        <w:spacing w:after="0" w:line="240" w:lineRule="auto"/>
        <w:ind w:firstLine="709"/>
        <w:jc w:val="both"/>
        <w:rPr>
          <w:rFonts w:ascii="Times New Roman" w:hAnsi="Times New Roman"/>
          <w:sz w:val="28"/>
          <w:szCs w:val="28"/>
        </w:rPr>
      </w:pPr>
      <w:r w:rsidRPr="00B0658A">
        <w:rPr>
          <w:rFonts w:ascii="Times New Roman" w:hAnsi="Times New Roman"/>
          <w:sz w:val="28"/>
          <w:szCs w:val="28"/>
        </w:rPr>
        <w:t>д</w:t>
      </w:r>
      <w:r w:rsidR="000A2A7D" w:rsidRPr="00B0658A">
        <w:rPr>
          <w:rFonts w:ascii="Times New Roman" w:hAnsi="Times New Roman"/>
          <w:sz w:val="28"/>
          <w:szCs w:val="28"/>
        </w:rPr>
        <w:t>) </w:t>
      </w:r>
      <w:r w:rsidR="007638FE">
        <w:rPr>
          <w:rFonts w:ascii="Times New Roman" w:hAnsi="Times New Roman"/>
          <w:sz w:val="28"/>
          <w:szCs w:val="28"/>
        </w:rPr>
        <w:t>п</w:t>
      </w:r>
      <w:r w:rsidR="000A2A7D" w:rsidRPr="00B0658A">
        <w:rPr>
          <w:rFonts w:ascii="Times New Roman" w:hAnsi="Times New Roman"/>
          <w:sz w:val="28"/>
          <w:szCs w:val="28"/>
        </w:rPr>
        <w:t>редусмотреть мероприятие (для федеральных органов исполнительной власти и органов исполнительной власти субъектов Российской Федерации</w:t>
      </w:r>
      <w:r w:rsidR="00E101C5" w:rsidRPr="00B0658A">
        <w:rPr>
          <w:rFonts w:ascii="Times New Roman" w:hAnsi="Times New Roman"/>
          <w:sz w:val="28"/>
          <w:szCs w:val="28"/>
        </w:rPr>
        <w:t xml:space="preserve"> в соответствии с установленными сферой деятельности и полномочиями</w:t>
      </w:r>
      <w:r w:rsidR="000A2A7D" w:rsidRPr="00B0658A">
        <w:rPr>
          <w:rFonts w:ascii="Times New Roman" w:hAnsi="Times New Roman"/>
          <w:sz w:val="28"/>
          <w:szCs w:val="28"/>
        </w:rPr>
        <w:t>), направ</w:t>
      </w:r>
      <w:r w:rsidR="008761ED" w:rsidRPr="00B0658A">
        <w:rPr>
          <w:rFonts w:ascii="Times New Roman" w:hAnsi="Times New Roman"/>
          <w:sz w:val="28"/>
          <w:szCs w:val="28"/>
        </w:rPr>
        <w:t xml:space="preserve">ленное на усиление контроля за своевременной подготовкой и реализацией планов </w:t>
      </w:r>
      <w:r w:rsidR="00E101C5" w:rsidRPr="00B0658A">
        <w:rPr>
          <w:rFonts w:ascii="Times New Roman" w:hAnsi="Times New Roman"/>
          <w:sz w:val="28"/>
          <w:szCs w:val="28"/>
        </w:rPr>
        <w:t xml:space="preserve">государственных корпораций и компаний с государственным участием, включенных в специальный перечень </w:t>
      </w:r>
      <w:r w:rsidR="00592B14" w:rsidRPr="00B0658A">
        <w:rPr>
          <w:rFonts w:ascii="Times New Roman" w:hAnsi="Times New Roman"/>
          <w:sz w:val="28"/>
          <w:szCs w:val="28"/>
        </w:rPr>
        <w:t>№ </w:t>
      </w:r>
      <w:r w:rsidR="005067D8" w:rsidRPr="00B0658A">
        <w:rPr>
          <w:rFonts w:ascii="Times New Roman" w:hAnsi="Times New Roman"/>
          <w:sz w:val="28"/>
          <w:szCs w:val="28"/>
        </w:rPr>
        <w:t> </w:t>
      </w:r>
      <w:r w:rsidR="00E101C5" w:rsidRPr="00B0658A">
        <w:rPr>
          <w:rFonts w:ascii="Times New Roman" w:hAnsi="Times New Roman"/>
          <w:sz w:val="28"/>
          <w:szCs w:val="28"/>
        </w:rPr>
        <w:t xml:space="preserve">91-р, и государственных организаций, в отношении которых приняты решения о разработке стратегии (программы) цифровой трансформации (протокол заочного голосования членов президиума Правительственной комиссии по цифровому развитию, использованию информационных технологий для улучшения качества жизни и условий ведения предпринимательской деятельности от 31 августа 2022 г. </w:t>
      </w:r>
      <w:r w:rsidR="00592B14" w:rsidRPr="00B0658A">
        <w:rPr>
          <w:rFonts w:ascii="Times New Roman" w:hAnsi="Times New Roman"/>
          <w:sz w:val="28"/>
          <w:szCs w:val="28"/>
        </w:rPr>
        <w:t>№ </w:t>
      </w:r>
      <w:r w:rsidR="005067D8" w:rsidRPr="00B0658A">
        <w:rPr>
          <w:rFonts w:ascii="Times New Roman" w:hAnsi="Times New Roman"/>
          <w:sz w:val="28"/>
          <w:szCs w:val="28"/>
        </w:rPr>
        <w:t> </w:t>
      </w:r>
      <w:r w:rsidR="00E101C5" w:rsidRPr="00B0658A">
        <w:rPr>
          <w:rFonts w:ascii="Times New Roman" w:hAnsi="Times New Roman"/>
          <w:sz w:val="28"/>
          <w:szCs w:val="28"/>
        </w:rPr>
        <w:t xml:space="preserve">34) </w:t>
      </w:r>
      <w:r w:rsidR="008761ED" w:rsidRPr="00B0658A">
        <w:rPr>
          <w:rFonts w:ascii="Times New Roman" w:hAnsi="Times New Roman"/>
          <w:sz w:val="28"/>
          <w:szCs w:val="28"/>
        </w:rPr>
        <w:t>перехода на использование российского ПО</w:t>
      </w:r>
      <w:r w:rsidR="00E101C5" w:rsidRPr="00B0658A">
        <w:rPr>
          <w:rFonts w:ascii="Times New Roman" w:hAnsi="Times New Roman"/>
          <w:sz w:val="28"/>
          <w:szCs w:val="28"/>
        </w:rPr>
        <w:t>, а также достижение указанными корпорациями и компаниями с государственным участием показателей эффективности в сфере импортозамещения ПО, показателей эффективности для каждого класса (типа) ПО, установленных в утвержденных планах и в стратегиях (программах) цифровой трансформации</w:t>
      </w:r>
      <w:r w:rsidR="007638FE">
        <w:rPr>
          <w:rFonts w:ascii="Times New Roman" w:hAnsi="Times New Roman"/>
          <w:sz w:val="28"/>
          <w:szCs w:val="28"/>
        </w:rPr>
        <w:t>;</w:t>
      </w:r>
    </w:p>
    <w:p w14:paraId="1DCB7195" w14:textId="56BC3BA7" w:rsidR="000A2A7D" w:rsidRPr="00B0658A" w:rsidRDefault="00221E5E" w:rsidP="00F57B1F">
      <w:pPr>
        <w:spacing w:after="0" w:line="240" w:lineRule="auto"/>
        <w:ind w:firstLine="709"/>
        <w:jc w:val="both"/>
        <w:rPr>
          <w:rFonts w:ascii="Times New Roman" w:hAnsi="Times New Roman"/>
          <w:sz w:val="28"/>
          <w:szCs w:val="28"/>
        </w:rPr>
      </w:pPr>
      <w:r w:rsidRPr="00B0658A">
        <w:rPr>
          <w:rFonts w:ascii="Times New Roman" w:hAnsi="Times New Roman"/>
          <w:sz w:val="28"/>
          <w:szCs w:val="28"/>
        </w:rPr>
        <w:t>е</w:t>
      </w:r>
      <w:r w:rsidR="00F27EAF" w:rsidRPr="00B0658A">
        <w:rPr>
          <w:rFonts w:ascii="Times New Roman" w:hAnsi="Times New Roman"/>
          <w:sz w:val="28"/>
          <w:szCs w:val="28"/>
        </w:rPr>
        <w:t>) </w:t>
      </w:r>
      <w:r w:rsidR="007638FE">
        <w:rPr>
          <w:rFonts w:ascii="Times New Roman" w:hAnsi="Times New Roman"/>
          <w:sz w:val="28"/>
          <w:szCs w:val="28"/>
        </w:rPr>
        <w:t>у</w:t>
      </w:r>
      <w:r w:rsidR="00F27EAF" w:rsidRPr="00B0658A">
        <w:rPr>
          <w:rFonts w:ascii="Times New Roman" w:hAnsi="Times New Roman"/>
          <w:sz w:val="28"/>
          <w:szCs w:val="28"/>
        </w:rPr>
        <w:t>становить</w:t>
      </w:r>
      <w:r w:rsidR="000A2A7D" w:rsidRPr="00B0658A">
        <w:rPr>
          <w:rFonts w:ascii="Times New Roman" w:hAnsi="Times New Roman"/>
          <w:sz w:val="28"/>
          <w:szCs w:val="28"/>
        </w:rPr>
        <w:t xml:space="preserve"> решением органа государственной власти или государственного внебюджетного фонда условия и критерии, определяющие</w:t>
      </w:r>
      <w:r w:rsidR="00F27EAF" w:rsidRPr="00B0658A">
        <w:rPr>
          <w:rFonts w:ascii="Times New Roman" w:hAnsi="Times New Roman"/>
          <w:sz w:val="28"/>
          <w:szCs w:val="28"/>
        </w:rPr>
        <w:t xml:space="preserve"> персональную ответственность </w:t>
      </w:r>
      <w:r w:rsidR="000A2A7D" w:rsidRPr="00B0658A">
        <w:rPr>
          <w:rFonts w:ascii="Times New Roman" w:hAnsi="Times New Roman"/>
          <w:sz w:val="28"/>
          <w:szCs w:val="28"/>
        </w:rPr>
        <w:t>для:</w:t>
      </w:r>
    </w:p>
    <w:p w14:paraId="20D120D2" w14:textId="519A464F" w:rsidR="000616F9" w:rsidRPr="00B0658A" w:rsidRDefault="00F27EAF" w:rsidP="00F57B1F">
      <w:pPr>
        <w:spacing w:after="0" w:line="240" w:lineRule="auto"/>
        <w:ind w:firstLine="709"/>
        <w:jc w:val="both"/>
        <w:rPr>
          <w:rFonts w:ascii="Times New Roman" w:hAnsi="Times New Roman"/>
          <w:sz w:val="28"/>
          <w:szCs w:val="28"/>
        </w:rPr>
      </w:pPr>
      <w:r w:rsidRPr="00B0658A">
        <w:rPr>
          <w:rFonts w:ascii="Times New Roman" w:hAnsi="Times New Roman"/>
          <w:sz w:val="28"/>
          <w:szCs w:val="28"/>
        </w:rPr>
        <w:t xml:space="preserve">заместителя руководителя органа государственной власти или государственного внебюджетного фонда, </w:t>
      </w:r>
      <w:r w:rsidR="007C2A6F" w:rsidRPr="00B0658A">
        <w:rPr>
          <w:rFonts w:ascii="Times New Roman" w:hAnsi="Times New Roman"/>
          <w:sz w:val="28"/>
          <w:szCs w:val="28"/>
        </w:rPr>
        <w:t>ответственного за вопросы, связанные с переходом на использование российского ПО</w:t>
      </w:r>
      <w:r w:rsidR="003612CC" w:rsidRPr="00B0658A">
        <w:rPr>
          <w:rFonts w:ascii="Times New Roman" w:hAnsi="Times New Roman"/>
          <w:sz w:val="28"/>
          <w:szCs w:val="28"/>
        </w:rPr>
        <w:t>,</w:t>
      </w:r>
      <w:r w:rsidRPr="00B0658A">
        <w:rPr>
          <w:rFonts w:ascii="Times New Roman" w:hAnsi="Times New Roman"/>
          <w:sz w:val="28"/>
          <w:szCs w:val="28"/>
        </w:rPr>
        <w:t xml:space="preserve"> за несвоевременную подготовку и утверждение Плана перехода</w:t>
      </w:r>
      <w:r w:rsidR="007C2A6F" w:rsidRPr="00B0658A">
        <w:rPr>
          <w:rFonts w:ascii="Times New Roman" w:hAnsi="Times New Roman"/>
          <w:sz w:val="28"/>
          <w:szCs w:val="28"/>
        </w:rPr>
        <w:t xml:space="preserve"> органа государственной власти или государственного внебюджетного фонда</w:t>
      </w:r>
      <w:r w:rsidRPr="00B0658A">
        <w:rPr>
          <w:rFonts w:ascii="Times New Roman" w:hAnsi="Times New Roman"/>
          <w:sz w:val="28"/>
          <w:szCs w:val="28"/>
        </w:rPr>
        <w:t xml:space="preserve"> на использование российского ПО, </w:t>
      </w:r>
      <w:r w:rsidR="009D43CD" w:rsidRPr="00B0658A">
        <w:rPr>
          <w:rFonts w:ascii="Times New Roman" w:hAnsi="Times New Roman"/>
          <w:sz w:val="28"/>
          <w:szCs w:val="28"/>
        </w:rPr>
        <w:t>а также за недостижение показателей эффективности перехода на использование российского ПО, установленных в Плане перехода</w:t>
      </w:r>
      <w:r w:rsidR="007C2A6F" w:rsidRPr="00B0658A">
        <w:rPr>
          <w:rFonts w:ascii="Times New Roman" w:hAnsi="Times New Roman"/>
          <w:sz w:val="28"/>
          <w:szCs w:val="28"/>
        </w:rPr>
        <w:t>;</w:t>
      </w:r>
    </w:p>
    <w:p w14:paraId="11E4DAE7" w14:textId="25C820DD" w:rsidR="007C2A6F" w:rsidRPr="00B0658A" w:rsidRDefault="007C2A6F" w:rsidP="00F57B1F">
      <w:pPr>
        <w:spacing w:after="0" w:line="240" w:lineRule="auto"/>
        <w:ind w:firstLine="709"/>
        <w:jc w:val="both"/>
        <w:rPr>
          <w:rFonts w:ascii="Times New Roman" w:hAnsi="Times New Roman"/>
          <w:sz w:val="28"/>
          <w:szCs w:val="28"/>
        </w:rPr>
      </w:pPr>
      <w:r w:rsidRPr="00B0658A">
        <w:rPr>
          <w:rFonts w:ascii="Times New Roman" w:hAnsi="Times New Roman"/>
          <w:sz w:val="28"/>
          <w:szCs w:val="28"/>
        </w:rPr>
        <w:t xml:space="preserve">заместителя руководителя </w:t>
      </w:r>
      <w:r w:rsidR="00910CDC" w:rsidRPr="00B0658A">
        <w:rPr>
          <w:rFonts w:ascii="Times New Roman" w:hAnsi="Times New Roman"/>
          <w:sz w:val="28"/>
          <w:szCs w:val="28"/>
        </w:rPr>
        <w:t>органа государственной власти</w:t>
      </w:r>
      <w:r w:rsidRPr="00B0658A">
        <w:rPr>
          <w:rFonts w:ascii="Times New Roman" w:hAnsi="Times New Roman"/>
          <w:sz w:val="28"/>
          <w:szCs w:val="28"/>
        </w:rPr>
        <w:t>, ответственного за вопросы, связанные с переходом на использование российского ПО и (или) за вопросы цифровой трансформации ключев</w:t>
      </w:r>
      <w:r w:rsidR="006F0C98" w:rsidRPr="00B0658A">
        <w:rPr>
          <w:rFonts w:ascii="Times New Roman" w:hAnsi="Times New Roman"/>
          <w:sz w:val="28"/>
          <w:szCs w:val="28"/>
        </w:rPr>
        <w:t>ой</w:t>
      </w:r>
      <w:r w:rsidRPr="00B0658A">
        <w:rPr>
          <w:rFonts w:ascii="Times New Roman" w:hAnsi="Times New Roman"/>
          <w:sz w:val="28"/>
          <w:szCs w:val="28"/>
        </w:rPr>
        <w:t xml:space="preserve"> отрасл</w:t>
      </w:r>
      <w:r w:rsidR="006F0C98" w:rsidRPr="00B0658A">
        <w:rPr>
          <w:rFonts w:ascii="Times New Roman" w:hAnsi="Times New Roman"/>
          <w:sz w:val="28"/>
          <w:szCs w:val="28"/>
        </w:rPr>
        <w:t>и</w:t>
      </w:r>
      <w:r w:rsidRPr="00B0658A">
        <w:rPr>
          <w:rFonts w:ascii="Times New Roman" w:hAnsi="Times New Roman"/>
          <w:sz w:val="28"/>
          <w:szCs w:val="28"/>
        </w:rPr>
        <w:t xml:space="preserve"> экономики, </w:t>
      </w:r>
      <w:r w:rsidR="006F0C98" w:rsidRPr="00B0658A">
        <w:rPr>
          <w:rFonts w:ascii="Times New Roman" w:hAnsi="Times New Roman"/>
          <w:sz w:val="28"/>
          <w:szCs w:val="28"/>
        </w:rPr>
        <w:t xml:space="preserve">в части касающейся </w:t>
      </w:r>
      <w:r w:rsidRPr="00B0658A">
        <w:rPr>
          <w:rFonts w:ascii="Times New Roman" w:hAnsi="Times New Roman"/>
          <w:sz w:val="28"/>
          <w:szCs w:val="28"/>
        </w:rPr>
        <w:t>несвоевременн</w:t>
      </w:r>
      <w:r w:rsidR="003612CC" w:rsidRPr="00B0658A">
        <w:rPr>
          <w:rFonts w:ascii="Times New Roman" w:hAnsi="Times New Roman"/>
          <w:sz w:val="28"/>
          <w:szCs w:val="28"/>
        </w:rPr>
        <w:t>ой</w:t>
      </w:r>
      <w:r w:rsidRPr="00B0658A">
        <w:rPr>
          <w:rFonts w:ascii="Times New Roman" w:hAnsi="Times New Roman"/>
          <w:sz w:val="28"/>
          <w:szCs w:val="28"/>
        </w:rPr>
        <w:t xml:space="preserve"> подготовк</w:t>
      </w:r>
      <w:r w:rsidR="003612CC" w:rsidRPr="00B0658A">
        <w:rPr>
          <w:rFonts w:ascii="Times New Roman" w:hAnsi="Times New Roman"/>
          <w:sz w:val="28"/>
          <w:szCs w:val="28"/>
        </w:rPr>
        <w:t>и</w:t>
      </w:r>
      <w:r w:rsidRPr="00B0658A">
        <w:rPr>
          <w:rFonts w:ascii="Times New Roman" w:hAnsi="Times New Roman"/>
          <w:sz w:val="28"/>
          <w:szCs w:val="28"/>
        </w:rPr>
        <w:t xml:space="preserve"> и утверждени</w:t>
      </w:r>
      <w:r w:rsidR="003612CC" w:rsidRPr="00B0658A">
        <w:rPr>
          <w:rFonts w:ascii="Times New Roman" w:hAnsi="Times New Roman"/>
          <w:sz w:val="28"/>
          <w:szCs w:val="28"/>
        </w:rPr>
        <w:t>я</w:t>
      </w:r>
      <w:r w:rsidRPr="00B0658A">
        <w:rPr>
          <w:rFonts w:ascii="Times New Roman" w:hAnsi="Times New Roman"/>
          <w:sz w:val="28"/>
          <w:szCs w:val="28"/>
        </w:rPr>
        <w:t xml:space="preserve"> Планов перехода государственных корпораций и компаний с государственным участием, включенных в специальный перечень </w:t>
      </w:r>
      <w:r w:rsidR="00592B14" w:rsidRPr="00B0658A">
        <w:rPr>
          <w:rFonts w:ascii="Times New Roman" w:hAnsi="Times New Roman"/>
          <w:sz w:val="28"/>
          <w:szCs w:val="28"/>
        </w:rPr>
        <w:t>№ </w:t>
      </w:r>
      <w:r w:rsidR="005067D8" w:rsidRPr="00B0658A">
        <w:rPr>
          <w:rFonts w:ascii="Times New Roman" w:hAnsi="Times New Roman"/>
          <w:sz w:val="28"/>
          <w:szCs w:val="28"/>
        </w:rPr>
        <w:t> </w:t>
      </w:r>
      <w:r w:rsidRPr="00B0658A">
        <w:rPr>
          <w:rFonts w:ascii="Times New Roman" w:hAnsi="Times New Roman"/>
          <w:sz w:val="28"/>
          <w:szCs w:val="28"/>
        </w:rPr>
        <w:t xml:space="preserve">91-р, и </w:t>
      </w:r>
      <w:r w:rsidR="003612CC" w:rsidRPr="00B0658A">
        <w:rPr>
          <w:rFonts w:ascii="Times New Roman" w:hAnsi="Times New Roman"/>
          <w:sz w:val="28"/>
          <w:szCs w:val="28"/>
        </w:rPr>
        <w:t>государственных корпораций и компаний с государственным участием</w:t>
      </w:r>
      <w:r w:rsidRPr="00B0658A">
        <w:rPr>
          <w:rFonts w:ascii="Times New Roman" w:hAnsi="Times New Roman"/>
          <w:sz w:val="28"/>
          <w:szCs w:val="28"/>
        </w:rPr>
        <w:t xml:space="preserve">, в отношении которых приняты решения о разработке </w:t>
      </w:r>
      <w:r w:rsidRPr="00B0658A">
        <w:rPr>
          <w:rFonts w:ascii="Times New Roman" w:hAnsi="Times New Roman"/>
          <w:sz w:val="28"/>
          <w:szCs w:val="28"/>
        </w:rPr>
        <w:lastRenderedPageBreak/>
        <w:t xml:space="preserve">стратегии (программы) цифровой трансформации (протокол заочного голосования членов президиума Правительственной комиссии по цифровому развитию, использованию информационных технологий для улучшения качества жизни и условий ведения предпринимательской деятельности от 31 августа 2022 г. </w:t>
      </w:r>
      <w:r w:rsidR="00592B14" w:rsidRPr="00B0658A">
        <w:rPr>
          <w:rFonts w:ascii="Times New Roman" w:hAnsi="Times New Roman"/>
          <w:sz w:val="28"/>
          <w:szCs w:val="28"/>
        </w:rPr>
        <w:t>№ </w:t>
      </w:r>
      <w:r w:rsidR="005067D8" w:rsidRPr="00B0658A">
        <w:rPr>
          <w:rFonts w:ascii="Times New Roman" w:hAnsi="Times New Roman"/>
          <w:sz w:val="28"/>
          <w:szCs w:val="28"/>
        </w:rPr>
        <w:t> </w:t>
      </w:r>
      <w:r w:rsidRPr="00B0658A">
        <w:rPr>
          <w:rFonts w:ascii="Times New Roman" w:hAnsi="Times New Roman"/>
          <w:sz w:val="28"/>
          <w:szCs w:val="28"/>
        </w:rPr>
        <w:t xml:space="preserve">34) на использование российского ПО, а также </w:t>
      </w:r>
      <w:r w:rsidR="003612CC" w:rsidRPr="00B0658A">
        <w:rPr>
          <w:rFonts w:ascii="Times New Roman" w:hAnsi="Times New Roman"/>
          <w:sz w:val="28"/>
          <w:szCs w:val="28"/>
        </w:rPr>
        <w:t>не</w:t>
      </w:r>
      <w:r w:rsidRPr="00B0658A">
        <w:rPr>
          <w:rFonts w:ascii="Times New Roman" w:hAnsi="Times New Roman"/>
          <w:sz w:val="28"/>
          <w:szCs w:val="28"/>
        </w:rPr>
        <w:t>достижени</w:t>
      </w:r>
      <w:r w:rsidR="003612CC" w:rsidRPr="00B0658A">
        <w:rPr>
          <w:rFonts w:ascii="Times New Roman" w:hAnsi="Times New Roman"/>
          <w:sz w:val="28"/>
          <w:szCs w:val="28"/>
        </w:rPr>
        <w:t>я</w:t>
      </w:r>
      <w:r w:rsidRPr="00B0658A">
        <w:rPr>
          <w:rFonts w:ascii="Times New Roman" w:hAnsi="Times New Roman"/>
          <w:sz w:val="28"/>
          <w:szCs w:val="28"/>
        </w:rPr>
        <w:t xml:space="preserve"> указанными корпорациями и компаниями с государственным участием показателей эффективности в сфере импортозамещения ПО, показателей эффективности для каждого класса (типа) ПО, установленных в утвержденных планах и в стратегиях (программах) цифровой трансформации</w:t>
      </w:r>
      <w:r w:rsidR="00910CDC" w:rsidRPr="00B0658A">
        <w:rPr>
          <w:rFonts w:ascii="Times New Roman" w:hAnsi="Times New Roman"/>
          <w:sz w:val="28"/>
          <w:szCs w:val="28"/>
        </w:rPr>
        <w:t>;</w:t>
      </w:r>
    </w:p>
    <w:p w14:paraId="13AE95C1" w14:textId="28F9E46D" w:rsidR="00910CDC" w:rsidRPr="00B0658A" w:rsidRDefault="00910CDC" w:rsidP="00F57B1F">
      <w:pPr>
        <w:spacing w:after="0" w:line="240" w:lineRule="auto"/>
        <w:ind w:firstLine="709"/>
        <w:jc w:val="both"/>
        <w:rPr>
          <w:rFonts w:ascii="Times New Roman" w:hAnsi="Times New Roman"/>
          <w:sz w:val="28"/>
          <w:szCs w:val="28"/>
        </w:rPr>
      </w:pPr>
      <w:r w:rsidRPr="00B0658A">
        <w:rPr>
          <w:rFonts w:ascii="Times New Roman" w:hAnsi="Times New Roman"/>
          <w:sz w:val="28"/>
          <w:szCs w:val="28"/>
        </w:rPr>
        <w:t>руководителей организаций, подведомственных органу государственной власти или государственному внебюджетному фонду, за несвоевременную подготовку и утверждение Плана перехода подведомственной организации на использование российского ПО, а также за недостижение показателей эффективности перехода на использование российского ПО, установленных в Плане перехода;</w:t>
      </w:r>
    </w:p>
    <w:p w14:paraId="2BB3CBAE" w14:textId="77777777" w:rsidR="007C2A6F" w:rsidRPr="00B0658A" w:rsidRDefault="007C2A6F" w:rsidP="00F57B1F">
      <w:pPr>
        <w:spacing w:after="0" w:line="240" w:lineRule="auto"/>
        <w:ind w:firstLine="709"/>
        <w:jc w:val="both"/>
        <w:rPr>
          <w:rFonts w:ascii="Times New Roman" w:hAnsi="Times New Roman"/>
          <w:sz w:val="28"/>
          <w:szCs w:val="28"/>
        </w:rPr>
      </w:pPr>
      <w:r w:rsidRPr="00B0658A">
        <w:rPr>
          <w:rFonts w:ascii="Times New Roman" w:hAnsi="Times New Roman"/>
          <w:sz w:val="28"/>
          <w:szCs w:val="28"/>
        </w:rPr>
        <w:t>Указанные в настоящем пункте условия и критерии, определяющие персональную ответственность, рекомендуется согласовать с Минцифры России.</w:t>
      </w:r>
    </w:p>
    <w:p w14:paraId="2B999F63" w14:textId="77777777" w:rsidR="009D43CD" w:rsidRPr="00B0658A" w:rsidRDefault="00F826CB"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40. </w:t>
      </w:r>
      <w:r w:rsidR="00976549" w:rsidRPr="00B0658A">
        <w:rPr>
          <w:rFonts w:ascii="Times New Roman" w:hAnsi="Times New Roman"/>
          <w:sz w:val="28"/>
          <w:szCs w:val="24"/>
        </w:rPr>
        <w:t xml:space="preserve">Показатели эффективности и соответствующие им </w:t>
      </w:r>
      <w:r w:rsidR="005938EC" w:rsidRPr="00B0658A">
        <w:rPr>
          <w:rFonts w:ascii="Times New Roman" w:hAnsi="Times New Roman"/>
          <w:sz w:val="28"/>
          <w:szCs w:val="24"/>
        </w:rPr>
        <w:t xml:space="preserve">значения </w:t>
      </w:r>
      <w:r w:rsidR="00976549" w:rsidRPr="00B0658A">
        <w:rPr>
          <w:rFonts w:ascii="Times New Roman" w:hAnsi="Times New Roman"/>
          <w:sz w:val="28"/>
          <w:szCs w:val="24"/>
        </w:rPr>
        <w:t>индикатор</w:t>
      </w:r>
      <w:r w:rsidR="005938EC" w:rsidRPr="00B0658A">
        <w:rPr>
          <w:rFonts w:ascii="Times New Roman" w:hAnsi="Times New Roman"/>
          <w:sz w:val="28"/>
          <w:szCs w:val="24"/>
        </w:rPr>
        <w:t>ов</w:t>
      </w:r>
      <w:r w:rsidR="00976549" w:rsidRPr="00B0658A">
        <w:rPr>
          <w:rFonts w:ascii="Times New Roman" w:hAnsi="Times New Roman"/>
          <w:sz w:val="28"/>
          <w:szCs w:val="24"/>
        </w:rPr>
        <w:t xml:space="preserve"> эффективности перехода на использование российского ПО рекомендуется формировать в виде отдельной таблицы и устанавливать по годам в отношении каждого используемого класса (типа) ПО</w:t>
      </w:r>
      <w:r w:rsidR="008563F6" w:rsidRPr="00B0658A">
        <w:rPr>
          <w:rFonts w:ascii="Times New Roman" w:hAnsi="Times New Roman"/>
          <w:sz w:val="28"/>
          <w:szCs w:val="24"/>
        </w:rPr>
        <w:t>,</w:t>
      </w:r>
      <w:r w:rsidR="00976549" w:rsidRPr="00B0658A">
        <w:rPr>
          <w:rFonts w:ascii="Times New Roman" w:hAnsi="Times New Roman"/>
          <w:sz w:val="28"/>
          <w:szCs w:val="24"/>
        </w:rPr>
        <w:t xml:space="preserve"> в соответствии с приказом Министерства цифрового развития, связи и массовых коммуникаций Российской Федерации от 22 сентября 2020 г. </w:t>
      </w:r>
      <w:r w:rsidR="00592B14" w:rsidRPr="00B0658A">
        <w:rPr>
          <w:rFonts w:ascii="Times New Roman" w:hAnsi="Times New Roman"/>
          <w:sz w:val="28"/>
          <w:szCs w:val="24"/>
        </w:rPr>
        <w:t>№ </w:t>
      </w:r>
      <w:r w:rsidR="00976549" w:rsidRPr="00B0658A">
        <w:rPr>
          <w:rFonts w:ascii="Times New Roman" w:hAnsi="Times New Roman"/>
          <w:sz w:val="28"/>
          <w:szCs w:val="24"/>
        </w:rPr>
        <w:t xml:space="preserve"> 486 «Об утверждении классификатора программ для электронных вычислительных машин и баз данных».</w:t>
      </w:r>
    </w:p>
    <w:p w14:paraId="3F847640" w14:textId="77777777" w:rsidR="00976549" w:rsidRPr="00B0658A" w:rsidRDefault="00976549"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41.</w:t>
      </w:r>
      <w:r w:rsidR="006A25A5" w:rsidRPr="00B0658A">
        <w:rPr>
          <w:rFonts w:ascii="Times New Roman" w:hAnsi="Times New Roman"/>
          <w:sz w:val="28"/>
          <w:szCs w:val="24"/>
        </w:rPr>
        <w:t> </w:t>
      </w:r>
      <w:r w:rsidR="00290BAE" w:rsidRPr="00B0658A">
        <w:rPr>
          <w:rFonts w:ascii="Times New Roman" w:hAnsi="Times New Roman"/>
          <w:sz w:val="28"/>
          <w:szCs w:val="24"/>
        </w:rPr>
        <w:t>Устанавливаемые показатели эффективности и соответствующие им значения</w:t>
      </w:r>
      <w:r w:rsidR="005938EC" w:rsidRPr="00B0658A">
        <w:rPr>
          <w:rFonts w:ascii="Times New Roman" w:hAnsi="Times New Roman"/>
          <w:sz w:val="28"/>
          <w:szCs w:val="24"/>
        </w:rPr>
        <w:t xml:space="preserve"> индикаторов</w:t>
      </w:r>
      <w:r w:rsidR="00290BAE" w:rsidRPr="00B0658A">
        <w:rPr>
          <w:rFonts w:ascii="Times New Roman" w:hAnsi="Times New Roman"/>
          <w:sz w:val="28"/>
          <w:szCs w:val="24"/>
        </w:rPr>
        <w:t xml:space="preserve"> эффективности перехода на российское ПО должны учитывать показатели эффективности, устанавливаемые для перехода на использование российского ПО на значимых объектах КИИ</w:t>
      </w:r>
      <w:r w:rsidR="00A67894" w:rsidRPr="00B0658A">
        <w:rPr>
          <w:rFonts w:ascii="Times New Roman" w:hAnsi="Times New Roman"/>
          <w:sz w:val="28"/>
          <w:szCs w:val="24"/>
        </w:rPr>
        <w:t xml:space="preserve">, а также </w:t>
      </w:r>
      <w:r w:rsidR="00DE5D73" w:rsidRPr="00B0658A">
        <w:rPr>
          <w:rFonts w:ascii="Times New Roman" w:hAnsi="Times New Roman"/>
          <w:sz w:val="28"/>
          <w:szCs w:val="24"/>
        </w:rPr>
        <w:t>деятельность по</w:t>
      </w:r>
      <w:r w:rsidR="00A67894" w:rsidRPr="00B0658A">
        <w:rPr>
          <w:rFonts w:ascii="Times New Roman" w:hAnsi="Times New Roman"/>
          <w:sz w:val="28"/>
          <w:szCs w:val="24"/>
        </w:rPr>
        <w:t xml:space="preserve"> перевод</w:t>
      </w:r>
      <w:r w:rsidR="00DE5D73" w:rsidRPr="00B0658A">
        <w:rPr>
          <w:rFonts w:ascii="Times New Roman" w:hAnsi="Times New Roman"/>
          <w:sz w:val="28"/>
          <w:szCs w:val="24"/>
        </w:rPr>
        <w:t>у</w:t>
      </w:r>
      <w:r w:rsidR="00A67894" w:rsidRPr="00B0658A">
        <w:rPr>
          <w:rFonts w:ascii="Times New Roman" w:hAnsi="Times New Roman"/>
          <w:sz w:val="28"/>
          <w:szCs w:val="24"/>
        </w:rPr>
        <w:t xml:space="preserve"> </w:t>
      </w:r>
      <w:r w:rsidR="00290BAE" w:rsidRPr="00B0658A">
        <w:rPr>
          <w:rFonts w:ascii="Times New Roman" w:hAnsi="Times New Roman"/>
          <w:sz w:val="28"/>
          <w:szCs w:val="24"/>
        </w:rPr>
        <w:t>государственных и ведомственных информационных систем на использование российского ПО.</w:t>
      </w:r>
    </w:p>
    <w:p w14:paraId="57B9548F" w14:textId="77777777" w:rsidR="00290BAE" w:rsidRPr="00B0658A" w:rsidRDefault="00290BAE"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 xml:space="preserve">42. Показатели эффективности и соответствующие им значения </w:t>
      </w:r>
      <w:r w:rsidR="005938EC" w:rsidRPr="00B0658A">
        <w:rPr>
          <w:rFonts w:ascii="Times New Roman" w:hAnsi="Times New Roman"/>
          <w:sz w:val="28"/>
          <w:szCs w:val="24"/>
        </w:rPr>
        <w:t xml:space="preserve">индикаторов </w:t>
      </w:r>
      <w:r w:rsidRPr="00B0658A">
        <w:rPr>
          <w:rFonts w:ascii="Times New Roman" w:hAnsi="Times New Roman"/>
          <w:sz w:val="28"/>
          <w:szCs w:val="24"/>
        </w:rPr>
        <w:t xml:space="preserve">эффективности должны быть установлены с учетом требований законодательства Российской Федерации в сфере обеспечения информационной безопасности Российской Федерации, в сфере обеспечения технологической независимости и безопасности критической информационной инфраструктуры Российской Федерации. Показатели эффективности и соответствующие им значения </w:t>
      </w:r>
      <w:r w:rsidR="005938EC" w:rsidRPr="00B0658A">
        <w:rPr>
          <w:rFonts w:ascii="Times New Roman" w:hAnsi="Times New Roman"/>
          <w:sz w:val="28"/>
          <w:szCs w:val="24"/>
        </w:rPr>
        <w:t xml:space="preserve">индикаторов </w:t>
      </w:r>
      <w:r w:rsidRPr="00B0658A">
        <w:rPr>
          <w:rFonts w:ascii="Times New Roman" w:hAnsi="Times New Roman"/>
          <w:sz w:val="28"/>
          <w:szCs w:val="24"/>
        </w:rPr>
        <w:t xml:space="preserve">эффективности рекомендуется устанавливать на уровне или выше </w:t>
      </w:r>
      <w:r w:rsidR="00DE5D73" w:rsidRPr="00B0658A">
        <w:rPr>
          <w:rFonts w:ascii="Times New Roman" w:hAnsi="Times New Roman"/>
          <w:sz w:val="28"/>
          <w:szCs w:val="24"/>
        </w:rPr>
        <w:t xml:space="preserve">(если применимо) </w:t>
      </w:r>
      <w:r w:rsidRPr="00B0658A">
        <w:rPr>
          <w:rFonts w:ascii="Times New Roman" w:hAnsi="Times New Roman"/>
          <w:sz w:val="28"/>
          <w:szCs w:val="24"/>
        </w:rPr>
        <w:t>показателей и значений, приведенных в настоящих методических рекомендациях.</w:t>
      </w:r>
    </w:p>
    <w:p w14:paraId="7BEDCD95" w14:textId="19D4276D" w:rsidR="0092416F" w:rsidRPr="00B0658A" w:rsidRDefault="00290BAE"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43. </w:t>
      </w:r>
      <w:r w:rsidR="00602202" w:rsidRPr="00B0658A">
        <w:rPr>
          <w:rFonts w:ascii="Times New Roman" w:hAnsi="Times New Roman"/>
          <w:sz w:val="28"/>
          <w:szCs w:val="24"/>
        </w:rPr>
        <w:t xml:space="preserve">Для </w:t>
      </w:r>
      <w:r w:rsidR="0092416F" w:rsidRPr="00B0658A">
        <w:rPr>
          <w:rFonts w:ascii="Times New Roman" w:hAnsi="Times New Roman"/>
          <w:sz w:val="28"/>
          <w:szCs w:val="24"/>
        </w:rPr>
        <w:t>классов ПО (операционная система, коммуникационное ПО, офисный пакет, почтовые приложения, органайзер, средства просмотра, интернет-браузер, редактор презентаций, табличный редактор, текстовый редактор, ПО файлового менеджера, справочно-правовая система, ПО системы электронного документооборота, средства антивирусной защиты)</w:t>
      </w:r>
      <w:r w:rsidRPr="00B0658A">
        <w:rPr>
          <w:rFonts w:ascii="Times New Roman" w:hAnsi="Times New Roman"/>
          <w:sz w:val="28"/>
          <w:szCs w:val="24"/>
        </w:rPr>
        <w:t xml:space="preserve">, </w:t>
      </w:r>
      <w:r w:rsidR="0092416F" w:rsidRPr="00B0658A">
        <w:rPr>
          <w:rFonts w:ascii="Times New Roman" w:hAnsi="Times New Roman"/>
          <w:sz w:val="28"/>
          <w:szCs w:val="24"/>
        </w:rPr>
        <w:t>в отношении которого ранее федеральными органами исполнительной власти, органами исполнительной власти субъектов Российской Федерации и государственными внебюджетными фондами были установлены показатели эффективности и соответствующи</w:t>
      </w:r>
      <w:r w:rsidR="007C4F27" w:rsidRPr="00B0658A">
        <w:rPr>
          <w:rFonts w:ascii="Times New Roman" w:hAnsi="Times New Roman"/>
          <w:sz w:val="28"/>
          <w:szCs w:val="24"/>
        </w:rPr>
        <w:t>е</w:t>
      </w:r>
      <w:r w:rsidR="0092416F" w:rsidRPr="00B0658A">
        <w:rPr>
          <w:rFonts w:ascii="Times New Roman" w:hAnsi="Times New Roman"/>
          <w:sz w:val="28"/>
          <w:szCs w:val="24"/>
        </w:rPr>
        <w:t xml:space="preserve"> им значения </w:t>
      </w:r>
      <w:r w:rsidR="005938EC" w:rsidRPr="00B0658A">
        <w:rPr>
          <w:rFonts w:ascii="Times New Roman" w:hAnsi="Times New Roman"/>
          <w:sz w:val="28"/>
          <w:szCs w:val="24"/>
        </w:rPr>
        <w:lastRenderedPageBreak/>
        <w:t xml:space="preserve">индикаторов </w:t>
      </w:r>
      <w:r w:rsidR="0092416F" w:rsidRPr="00B0658A">
        <w:rPr>
          <w:rFonts w:ascii="Times New Roman" w:hAnsi="Times New Roman"/>
          <w:sz w:val="28"/>
          <w:szCs w:val="24"/>
        </w:rPr>
        <w:t xml:space="preserve">эффективности в планах перехода на использование отечественного офисного ПО, в том числе ранее закупленного офисного ПО, разработанных </w:t>
      </w:r>
      <w:r w:rsidR="005938EC" w:rsidRPr="00B0658A">
        <w:rPr>
          <w:rFonts w:ascii="Times New Roman" w:hAnsi="Times New Roman"/>
          <w:sz w:val="28"/>
          <w:szCs w:val="24"/>
        </w:rPr>
        <w:t xml:space="preserve">и утвержденных </w:t>
      </w:r>
      <w:r w:rsidR="0092416F" w:rsidRPr="00B0658A">
        <w:rPr>
          <w:rFonts w:ascii="Times New Roman" w:hAnsi="Times New Roman"/>
          <w:sz w:val="28"/>
          <w:szCs w:val="24"/>
        </w:rPr>
        <w:t>в соответствии с методическими рекомендациями, утвержденными приказом Министерства связи и массовых коммуникаций Российской Федерации от 29</w:t>
      </w:r>
      <w:r w:rsidR="007638FE">
        <w:rPr>
          <w:rFonts w:ascii="Times New Roman" w:hAnsi="Times New Roman"/>
          <w:sz w:val="28"/>
          <w:szCs w:val="24"/>
        </w:rPr>
        <w:t xml:space="preserve"> июня </w:t>
      </w:r>
      <w:r w:rsidR="0092416F" w:rsidRPr="00B0658A">
        <w:rPr>
          <w:rFonts w:ascii="Times New Roman" w:hAnsi="Times New Roman"/>
          <w:sz w:val="28"/>
          <w:szCs w:val="24"/>
        </w:rPr>
        <w:t xml:space="preserve">2017 г. </w:t>
      </w:r>
      <w:r w:rsidR="00592B14" w:rsidRPr="00B0658A">
        <w:rPr>
          <w:rFonts w:ascii="Times New Roman" w:hAnsi="Times New Roman"/>
          <w:sz w:val="28"/>
          <w:szCs w:val="24"/>
        </w:rPr>
        <w:t>№</w:t>
      </w:r>
      <w:r w:rsidR="007638FE">
        <w:rPr>
          <w:rFonts w:ascii="Times New Roman" w:hAnsi="Times New Roman"/>
          <w:sz w:val="28"/>
          <w:szCs w:val="24"/>
        </w:rPr>
        <w:t xml:space="preserve"> </w:t>
      </w:r>
      <w:r w:rsidR="0092416F" w:rsidRPr="00B0658A">
        <w:rPr>
          <w:rFonts w:ascii="Times New Roman" w:hAnsi="Times New Roman"/>
          <w:sz w:val="28"/>
          <w:szCs w:val="24"/>
        </w:rPr>
        <w:t>334, во исполнение распоряжения Правительства Российской Федерации от 26 июля 2016 г</w:t>
      </w:r>
      <w:r w:rsidR="007638FE">
        <w:rPr>
          <w:rFonts w:ascii="Times New Roman" w:hAnsi="Times New Roman"/>
          <w:sz w:val="28"/>
          <w:szCs w:val="24"/>
        </w:rPr>
        <w:t>.</w:t>
      </w:r>
      <w:r w:rsidR="0092416F" w:rsidRPr="00B0658A">
        <w:rPr>
          <w:rFonts w:ascii="Times New Roman" w:hAnsi="Times New Roman"/>
          <w:sz w:val="28"/>
          <w:szCs w:val="24"/>
        </w:rPr>
        <w:t xml:space="preserve"> </w:t>
      </w:r>
      <w:r w:rsidR="00592B14" w:rsidRPr="00B0658A">
        <w:rPr>
          <w:rFonts w:ascii="Times New Roman" w:hAnsi="Times New Roman"/>
          <w:sz w:val="28"/>
          <w:szCs w:val="24"/>
        </w:rPr>
        <w:t>№</w:t>
      </w:r>
      <w:r w:rsidR="007638FE">
        <w:rPr>
          <w:rFonts w:ascii="Times New Roman" w:hAnsi="Times New Roman"/>
          <w:sz w:val="28"/>
          <w:szCs w:val="24"/>
        </w:rPr>
        <w:t xml:space="preserve"> </w:t>
      </w:r>
      <w:r w:rsidR="0092416F" w:rsidRPr="00B0658A">
        <w:rPr>
          <w:rFonts w:ascii="Times New Roman" w:hAnsi="Times New Roman"/>
          <w:sz w:val="28"/>
          <w:szCs w:val="24"/>
        </w:rPr>
        <w:t>1588-р</w:t>
      </w:r>
      <w:r w:rsidR="00830ABF" w:rsidRPr="00B0658A">
        <w:rPr>
          <w:rFonts w:ascii="Times New Roman" w:hAnsi="Times New Roman"/>
          <w:sz w:val="28"/>
          <w:szCs w:val="24"/>
        </w:rPr>
        <w:t xml:space="preserve">, не </w:t>
      </w:r>
      <w:r w:rsidR="005938EC" w:rsidRPr="00B0658A">
        <w:rPr>
          <w:rFonts w:ascii="Times New Roman" w:hAnsi="Times New Roman"/>
          <w:sz w:val="28"/>
          <w:szCs w:val="24"/>
        </w:rPr>
        <w:t>рекомендуется</w:t>
      </w:r>
      <w:r w:rsidR="00830ABF" w:rsidRPr="00B0658A">
        <w:rPr>
          <w:rFonts w:ascii="Times New Roman" w:hAnsi="Times New Roman"/>
          <w:sz w:val="28"/>
          <w:szCs w:val="24"/>
        </w:rPr>
        <w:t xml:space="preserve"> устан</w:t>
      </w:r>
      <w:r w:rsidR="005938EC" w:rsidRPr="00B0658A">
        <w:rPr>
          <w:rFonts w:ascii="Times New Roman" w:hAnsi="Times New Roman"/>
          <w:sz w:val="28"/>
          <w:szCs w:val="24"/>
        </w:rPr>
        <w:t>авливать</w:t>
      </w:r>
      <w:r w:rsidR="00830ABF" w:rsidRPr="00B0658A">
        <w:rPr>
          <w:rFonts w:ascii="Times New Roman" w:hAnsi="Times New Roman"/>
          <w:sz w:val="28"/>
          <w:szCs w:val="24"/>
        </w:rPr>
        <w:t xml:space="preserve"> на 2022 год показател</w:t>
      </w:r>
      <w:r w:rsidR="005938EC" w:rsidRPr="00B0658A">
        <w:rPr>
          <w:rFonts w:ascii="Times New Roman" w:hAnsi="Times New Roman"/>
          <w:sz w:val="28"/>
          <w:szCs w:val="24"/>
        </w:rPr>
        <w:t>и</w:t>
      </w:r>
      <w:r w:rsidR="00830ABF" w:rsidRPr="00B0658A">
        <w:rPr>
          <w:rFonts w:ascii="Times New Roman" w:hAnsi="Times New Roman"/>
          <w:sz w:val="28"/>
          <w:szCs w:val="24"/>
        </w:rPr>
        <w:t xml:space="preserve"> эффективности и соответствующи</w:t>
      </w:r>
      <w:r w:rsidR="005938EC" w:rsidRPr="00B0658A">
        <w:rPr>
          <w:rFonts w:ascii="Times New Roman" w:hAnsi="Times New Roman"/>
          <w:sz w:val="28"/>
          <w:szCs w:val="24"/>
        </w:rPr>
        <w:t>е</w:t>
      </w:r>
      <w:r w:rsidR="00830ABF" w:rsidRPr="00B0658A">
        <w:rPr>
          <w:rFonts w:ascii="Times New Roman" w:hAnsi="Times New Roman"/>
          <w:sz w:val="28"/>
          <w:szCs w:val="24"/>
        </w:rPr>
        <w:t xml:space="preserve"> им значени</w:t>
      </w:r>
      <w:r w:rsidR="005938EC" w:rsidRPr="00B0658A">
        <w:rPr>
          <w:rFonts w:ascii="Times New Roman" w:hAnsi="Times New Roman"/>
          <w:sz w:val="28"/>
          <w:szCs w:val="24"/>
        </w:rPr>
        <w:t>я индикаторов</w:t>
      </w:r>
      <w:r w:rsidR="00830ABF" w:rsidRPr="00B0658A">
        <w:rPr>
          <w:rFonts w:ascii="Times New Roman" w:hAnsi="Times New Roman"/>
          <w:sz w:val="28"/>
          <w:szCs w:val="24"/>
        </w:rPr>
        <w:t xml:space="preserve"> эффективности на уровне или ниже </w:t>
      </w:r>
      <w:r w:rsidR="005938EC" w:rsidRPr="00B0658A">
        <w:rPr>
          <w:rFonts w:ascii="Times New Roman" w:hAnsi="Times New Roman"/>
          <w:sz w:val="28"/>
          <w:szCs w:val="24"/>
        </w:rPr>
        <w:t xml:space="preserve">значений </w:t>
      </w:r>
      <w:r w:rsidR="00830ABF" w:rsidRPr="00B0658A">
        <w:rPr>
          <w:rFonts w:ascii="Times New Roman" w:hAnsi="Times New Roman"/>
          <w:sz w:val="28"/>
          <w:szCs w:val="24"/>
        </w:rPr>
        <w:t>показател</w:t>
      </w:r>
      <w:r w:rsidR="005938EC" w:rsidRPr="00B0658A">
        <w:rPr>
          <w:rFonts w:ascii="Times New Roman" w:hAnsi="Times New Roman"/>
          <w:sz w:val="28"/>
          <w:szCs w:val="24"/>
        </w:rPr>
        <w:t>ей</w:t>
      </w:r>
      <w:r w:rsidR="00830ABF" w:rsidRPr="00B0658A">
        <w:rPr>
          <w:rFonts w:ascii="Times New Roman" w:hAnsi="Times New Roman"/>
          <w:sz w:val="28"/>
          <w:szCs w:val="24"/>
        </w:rPr>
        <w:t>, установленны</w:t>
      </w:r>
      <w:r w:rsidR="005938EC" w:rsidRPr="00B0658A">
        <w:rPr>
          <w:rFonts w:ascii="Times New Roman" w:hAnsi="Times New Roman"/>
          <w:sz w:val="28"/>
          <w:szCs w:val="24"/>
        </w:rPr>
        <w:t>х</w:t>
      </w:r>
      <w:r w:rsidR="00830ABF" w:rsidRPr="00B0658A">
        <w:rPr>
          <w:rFonts w:ascii="Times New Roman" w:hAnsi="Times New Roman"/>
          <w:sz w:val="28"/>
          <w:szCs w:val="24"/>
        </w:rPr>
        <w:t xml:space="preserve"> для соответствующего класса (типа) ПО в указанных планах на 2020 год.</w:t>
      </w:r>
    </w:p>
    <w:p w14:paraId="6CF4D2F3" w14:textId="77777777" w:rsidR="006A25A5" w:rsidRPr="00B0658A" w:rsidRDefault="006A25A5"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 xml:space="preserve">44. Показатели эффективности </w:t>
      </w:r>
      <w:r w:rsidR="00C94BC4" w:rsidRPr="00B0658A">
        <w:rPr>
          <w:rFonts w:ascii="Times New Roman" w:hAnsi="Times New Roman"/>
          <w:sz w:val="28"/>
          <w:szCs w:val="24"/>
        </w:rPr>
        <w:t xml:space="preserve">перехода на использование российского ПО </w:t>
      </w:r>
      <w:r w:rsidRPr="00B0658A">
        <w:rPr>
          <w:rFonts w:ascii="Times New Roman" w:hAnsi="Times New Roman"/>
          <w:sz w:val="28"/>
          <w:szCs w:val="24"/>
        </w:rPr>
        <w:t>и соответствующие им значени</w:t>
      </w:r>
      <w:r w:rsidR="00C94BC4" w:rsidRPr="00B0658A">
        <w:rPr>
          <w:rFonts w:ascii="Times New Roman" w:hAnsi="Times New Roman"/>
          <w:sz w:val="28"/>
          <w:szCs w:val="24"/>
        </w:rPr>
        <w:t>я индикаторов</w:t>
      </w:r>
      <w:r w:rsidRPr="00B0658A">
        <w:rPr>
          <w:rFonts w:ascii="Times New Roman" w:hAnsi="Times New Roman"/>
          <w:sz w:val="28"/>
          <w:szCs w:val="24"/>
        </w:rPr>
        <w:t xml:space="preserve"> эффективности рекомендуется устанавливать по годам нарастающим итогом, исходя из обеспечения динамики, достаточной для осуществления перехода на использование российского ПО и достижения рекомендованных в настоящих методических рекомендациях показателей.</w:t>
      </w:r>
    </w:p>
    <w:p w14:paraId="074D9E01" w14:textId="77777777" w:rsidR="006A25A5" w:rsidRPr="00B0658A" w:rsidRDefault="006A25A5"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45. Показатели эффективности в отношении закупок ПО и связанных с ним работ и услуг, осуществляемых органом государственной власти или государственным внебюджетным фондом, рекомендуется формировать в виде отдельной таблицы по годам на весь период планирования перехода на использование российского ПО.</w:t>
      </w:r>
    </w:p>
    <w:p w14:paraId="47B34B3A" w14:textId="77777777" w:rsidR="009F4894" w:rsidRPr="00B0658A" w:rsidRDefault="009F4894"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46. </w:t>
      </w:r>
      <w:r w:rsidR="005D4C4E" w:rsidRPr="00B0658A">
        <w:rPr>
          <w:rFonts w:ascii="Times New Roman" w:hAnsi="Times New Roman"/>
          <w:sz w:val="28"/>
          <w:szCs w:val="24"/>
        </w:rPr>
        <w:t xml:space="preserve">Показатели эффективности в отношении закупок ПО и связанных с ним работ и услуг, осуществляемых органом государственной власти </w:t>
      </w:r>
      <w:r w:rsidR="00837894" w:rsidRPr="00B0658A">
        <w:rPr>
          <w:rFonts w:ascii="Times New Roman" w:hAnsi="Times New Roman"/>
          <w:sz w:val="28"/>
          <w:szCs w:val="24"/>
        </w:rPr>
        <w:t>в соответствии с настоящими методическими рекомендациями</w:t>
      </w:r>
      <w:r w:rsidR="00235795" w:rsidRPr="00B0658A">
        <w:rPr>
          <w:rFonts w:ascii="Times New Roman" w:hAnsi="Times New Roman"/>
          <w:sz w:val="28"/>
          <w:szCs w:val="24"/>
        </w:rPr>
        <w:t>.</w:t>
      </w:r>
    </w:p>
    <w:p w14:paraId="4459D91F" w14:textId="77777777" w:rsidR="00235795" w:rsidRPr="00B0658A" w:rsidRDefault="00A82CA8"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47. Сведения об объемах и источниках финансовых ресурсов, планируемых для решения задач по переходу на использование российского ПО, в том числе на значимых объектах КИИ и для целей перевода государственных и ведомственных информационных систем на использование российского ПО, рекомендуется указывать в виде отдельной таблицы.</w:t>
      </w:r>
    </w:p>
    <w:p w14:paraId="45EB4710" w14:textId="77777777" w:rsidR="00A82CA8" w:rsidRPr="00B0658A" w:rsidRDefault="0048155D"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48. </w:t>
      </w:r>
      <w:r w:rsidR="00A82CA8" w:rsidRPr="00B0658A">
        <w:rPr>
          <w:rFonts w:ascii="Times New Roman" w:hAnsi="Times New Roman"/>
          <w:sz w:val="28"/>
          <w:szCs w:val="24"/>
        </w:rPr>
        <w:t>Сведения об объемах и источниках финансовых ресурсов рекомендуется устанавливать по годам в тыс. руб., с указанием двух знаков после запятой.</w:t>
      </w:r>
      <w:r w:rsidRPr="00B0658A">
        <w:rPr>
          <w:rFonts w:ascii="Times New Roman" w:hAnsi="Times New Roman"/>
          <w:sz w:val="28"/>
          <w:szCs w:val="24"/>
        </w:rPr>
        <w:t xml:space="preserve"> </w:t>
      </w:r>
      <w:r w:rsidR="00A82CA8" w:rsidRPr="00B0658A">
        <w:rPr>
          <w:rFonts w:ascii="Times New Roman" w:hAnsi="Times New Roman"/>
          <w:sz w:val="28"/>
          <w:szCs w:val="24"/>
        </w:rPr>
        <w:t>Сведения об объемах и источниках финансовых ресурсов должны учитывать</w:t>
      </w:r>
      <w:r w:rsidRPr="00B0658A">
        <w:rPr>
          <w:rFonts w:ascii="Times New Roman" w:hAnsi="Times New Roman"/>
          <w:sz w:val="28"/>
          <w:szCs w:val="24"/>
        </w:rPr>
        <w:t>:</w:t>
      </w:r>
    </w:p>
    <w:p w14:paraId="6E12119E" w14:textId="7B2FF6F7" w:rsidR="0048155D" w:rsidRPr="00B0658A" w:rsidRDefault="0048155D"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устанавливаемые показатели в отношении закупок российского ПО и связанных с ним работ и услуг;</w:t>
      </w:r>
    </w:p>
    <w:p w14:paraId="463ACE50" w14:textId="24E3A0C7" w:rsidR="0048155D" w:rsidRPr="00B0658A" w:rsidRDefault="0048155D"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 xml:space="preserve">устанавливаемую динамику показателей эффективности и </w:t>
      </w:r>
      <w:r w:rsidR="00387935" w:rsidRPr="00B0658A">
        <w:rPr>
          <w:rFonts w:ascii="Times New Roman" w:hAnsi="Times New Roman"/>
          <w:sz w:val="28"/>
          <w:szCs w:val="24"/>
        </w:rPr>
        <w:t>соответствующих им значений индикаторов эффективности</w:t>
      </w:r>
      <w:r w:rsidRPr="00B0658A">
        <w:rPr>
          <w:rFonts w:ascii="Times New Roman" w:hAnsi="Times New Roman"/>
          <w:sz w:val="28"/>
          <w:szCs w:val="24"/>
        </w:rPr>
        <w:t xml:space="preserve"> в отношении классов (типов) ПО;</w:t>
      </w:r>
    </w:p>
    <w:p w14:paraId="5909ACE6" w14:textId="4DEAF168" w:rsidR="0048155D" w:rsidRPr="00B0658A" w:rsidRDefault="0048155D"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необходимость реализации организационно-технических мероприятий по переходу на российского ПО в полном объеме</w:t>
      </w:r>
      <w:r w:rsidR="008F6BAE" w:rsidRPr="00B0658A">
        <w:rPr>
          <w:rFonts w:ascii="Times New Roman" w:hAnsi="Times New Roman"/>
          <w:sz w:val="28"/>
          <w:szCs w:val="24"/>
        </w:rPr>
        <w:t xml:space="preserve"> и в запланированные сроки</w:t>
      </w:r>
      <w:r w:rsidRPr="00B0658A">
        <w:rPr>
          <w:rFonts w:ascii="Times New Roman" w:hAnsi="Times New Roman"/>
          <w:sz w:val="28"/>
          <w:szCs w:val="24"/>
        </w:rPr>
        <w:t>;</w:t>
      </w:r>
    </w:p>
    <w:p w14:paraId="633AEB97" w14:textId="0AF2231A" w:rsidR="0048155D" w:rsidRPr="00B0658A" w:rsidRDefault="008F6BAE"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 xml:space="preserve">динамику цен производителей ПО и поставщиков иных товаров, работ, услуг, связанных с </w:t>
      </w:r>
      <w:r w:rsidR="000803DD" w:rsidRPr="00B0658A">
        <w:rPr>
          <w:rFonts w:ascii="Times New Roman" w:hAnsi="Times New Roman"/>
          <w:sz w:val="28"/>
          <w:szCs w:val="24"/>
        </w:rPr>
        <w:t>ИКТ</w:t>
      </w:r>
      <w:r w:rsidRPr="00B0658A">
        <w:rPr>
          <w:rFonts w:ascii="Times New Roman" w:hAnsi="Times New Roman"/>
          <w:sz w:val="28"/>
          <w:szCs w:val="24"/>
        </w:rPr>
        <w:t>.</w:t>
      </w:r>
    </w:p>
    <w:p w14:paraId="666CD93E" w14:textId="77777777" w:rsidR="00945CCE" w:rsidRPr="00B0658A" w:rsidRDefault="008F6BAE"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49. </w:t>
      </w:r>
      <w:r w:rsidR="00945CCE" w:rsidRPr="00B0658A">
        <w:rPr>
          <w:rFonts w:ascii="Times New Roman" w:hAnsi="Times New Roman"/>
          <w:sz w:val="28"/>
          <w:szCs w:val="24"/>
        </w:rPr>
        <w:t xml:space="preserve">Детализированный план перехода на использование российского ПО на принадлежащих органу государственной власти или государственному внебюджетному фонду значимых объектах КИИ (далее </w:t>
      </w:r>
      <w:r w:rsidR="0033670D" w:rsidRPr="00B0658A">
        <w:rPr>
          <w:rFonts w:ascii="Times New Roman" w:hAnsi="Times New Roman"/>
          <w:sz w:val="28"/>
          <w:szCs w:val="24"/>
        </w:rPr>
        <w:t xml:space="preserve">– </w:t>
      </w:r>
      <w:r w:rsidR="00945CCE" w:rsidRPr="00B0658A">
        <w:rPr>
          <w:rFonts w:ascii="Times New Roman" w:hAnsi="Times New Roman"/>
          <w:sz w:val="28"/>
          <w:szCs w:val="24"/>
        </w:rPr>
        <w:t>детализированный</w:t>
      </w:r>
      <w:r w:rsidR="0033670D" w:rsidRPr="00B0658A">
        <w:rPr>
          <w:rFonts w:ascii="Times New Roman" w:hAnsi="Times New Roman"/>
          <w:sz w:val="28"/>
          <w:szCs w:val="24"/>
        </w:rPr>
        <w:t xml:space="preserve"> </w:t>
      </w:r>
      <w:r w:rsidR="00945CCE" w:rsidRPr="00B0658A">
        <w:rPr>
          <w:rFonts w:ascii="Times New Roman" w:hAnsi="Times New Roman"/>
          <w:sz w:val="28"/>
          <w:szCs w:val="24"/>
        </w:rPr>
        <w:t xml:space="preserve">план для значимых объектов КИИ) и показатели эффективности перехода на использование российского ПО и соответствующие им </w:t>
      </w:r>
      <w:r w:rsidR="007F6280" w:rsidRPr="00B0658A">
        <w:rPr>
          <w:rFonts w:ascii="Times New Roman" w:hAnsi="Times New Roman"/>
          <w:sz w:val="28"/>
          <w:szCs w:val="24"/>
        </w:rPr>
        <w:t xml:space="preserve">значения </w:t>
      </w:r>
      <w:r w:rsidR="00945CCE" w:rsidRPr="00B0658A">
        <w:rPr>
          <w:rFonts w:ascii="Times New Roman" w:hAnsi="Times New Roman"/>
          <w:sz w:val="28"/>
          <w:szCs w:val="24"/>
        </w:rPr>
        <w:t>индикатор</w:t>
      </w:r>
      <w:r w:rsidR="007F6280" w:rsidRPr="00B0658A">
        <w:rPr>
          <w:rFonts w:ascii="Times New Roman" w:hAnsi="Times New Roman"/>
          <w:sz w:val="28"/>
          <w:szCs w:val="24"/>
        </w:rPr>
        <w:t>ов</w:t>
      </w:r>
      <w:r w:rsidR="00945CCE" w:rsidRPr="00B0658A">
        <w:rPr>
          <w:rFonts w:ascii="Times New Roman" w:hAnsi="Times New Roman"/>
          <w:sz w:val="28"/>
          <w:szCs w:val="24"/>
        </w:rPr>
        <w:t xml:space="preserve"> эффективности на значимых объектах КИИ </w:t>
      </w:r>
      <w:r w:rsidR="007F6280" w:rsidRPr="00B0658A">
        <w:rPr>
          <w:rFonts w:ascii="Times New Roman" w:hAnsi="Times New Roman"/>
          <w:sz w:val="28"/>
          <w:szCs w:val="24"/>
        </w:rPr>
        <w:t xml:space="preserve">рекомендуется </w:t>
      </w:r>
      <w:r w:rsidR="00945CCE" w:rsidRPr="00B0658A">
        <w:rPr>
          <w:rFonts w:ascii="Times New Roman" w:hAnsi="Times New Roman"/>
          <w:sz w:val="28"/>
          <w:szCs w:val="24"/>
        </w:rPr>
        <w:t>формир</w:t>
      </w:r>
      <w:r w:rsidR="007F6280" w:rsidRPr="00B0658A">
        <w:rPr>
          <w:rFonts w:ascii="Times New Roman" w:hAnsi="Times New Roman"/>
          <w:sz w:val="28"/>
          <w:szCs w:val="24"/>
        </w:rPr>
        <w:t>овать</w:t>
      </w:r>
      <w:r w:rsidR="00945CCE" w:rsidRPr="00B0658A">
        <w:rPr>
          <w:rFonts w:ascii="Times New Roman" w:hAnsi="Times New Roman"/>
          <w:sz w:val="28"/>
          <w:szCs w:val="24"/>
        </w:rPr>
        <w:t xml:space="preserve"> в виде отдельной таблицы.</w:t>
      </w:r>
    </w:p>
    <w:p w14:paraId="78D7141C" w14:textId="77777777" w:rsidR="00945CCE" w:rsidRPr="00B0658A" w:rsidRDefault="00C66718"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lastRenderedPageBreak/>
        <w:t>В д</w:t>
      </w:r>
      <w:r w:rsidR="00945CCE" w:rsidRPr="00B0658A">
        <w:rPr>
          <w:rFonts w:ascii="Times New Roman" w:hAnsi="Times New Roman"/>
          <w:sz w:val="28"/>
          <w:szCs w:val="24"/>
        </w:rPr>
        <w:t>етализированн</w:t>
      </w:r>
      <w:r w:rsidRPr="00B0658A">
        <w:rPr>
          <w:rFonts w:ascii="Times New Roman" w:hAnsi="Times New Roman"/>
          <w:sz w:val="28"/>
          <w:szCs w:val="24"/>
        </w:rPr>
        <w:t>ом</w:t>
      </w:r>
      <w:r w:rsidR="00945CCE" w:rsidRPr="00B0658A">
        <w:rPr>
          <w:rFonts w:ascii="Times New Roman" w:hAnsi="Times New Roman"/>
          <w:sz w:val="28"/>
          <w:szCs w:val="24"/>
        </w:rPr>
        <w:t xml:space="preserve"> план</w:t>
      </w:r>
      <w:r w:rsidRPr="00B0658A">
        <w:rPr>
          <w:rFonts w:ascii="Times New Roman" w:hAnsi="Times New Roman"/>
          <w:sz w:val="28"/>
          <w:szCs w:val="24"/>
        </w:rPr>
        <w:t>е</w:t>
      </w:r>
      <w:r w:rsidR="00945CCE" w:rsidRPr="00B0658A">
        <w:rPr>
          <w:rFonts w:ascii="Times New Roman" w:hAnsi="Times New Roman"/>
          <w:sz w:val="28"/>
          <w:szCs w:val="24"/>
        </w:rPr>
        <w:t xml:space="preserve"> для значимых объектов КИИ</w:t>
      </w:r>
      <w:r w:rsidRPr="00B0658A">
        <w:rPr>
          <w:rFonts w:ascii="Times New Roman" w:hAnsi="Times New Roman"/>
          <w:sz w:val="28"/>
          <w:szCs w:val="24"/>
        </w:rPr>
        <w:t xml:space="preserve"> для каждого значимого объекта КИИ</w:t>
      </w:r>
      <w:r w:rsidR="007F6280" w:rsidRPr="00B0658A">
        <w:rPr>
          <w:rFonts w:ascii="Times New Roman" w:hAnsi="Times New Roman"/>
          <w:sz w:val="28"/>
          <w:szCs w:val="24"/>
        </w:rPr>
        <w:t xml:space="preserve"> рекомендуется</w:t>
      </w:r>
      <w:r w:rsidRPr="00B0658A">
        <w:rPr>
          <w:rFonts w:ascii="Times New Roman" w:hAnsi="Times New Roman"/>
          <w:sz w:val="28"/>
          <w:szCs w:val="24"/>
        </w:rPr>
        <w:t>:</w:t>
      </w:r>
    </w:p>
    <w:p w14:paraId="6E2B6849" w14:textId="366D0909" w:rsidR="00C66718" w:rsidRPr="00B0658A" w:rsidRDefault="007F6280"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 xml:space="preserve">сформировать </w:t>
      </w:r>
      <w:r w:rsidR="00C66718" w:rsidRPr="00B0658A">
        <w:rPr>
          <w:rFonts w:ascii="Times New Roman" w:hAnsi="Times New Roman"/>
          <w:sz w:val="28"/>
          <w:szCs w:val="24"/>
        </w:rPr>
        <w:t xml:space="preserve">план-график </w:t>
      </w:r>
      <w:r w:rsidR="0095686C" w:rsidRPr="00B0658A">
        <w:rPr>
          <w:rFonts w:ascii="Times New Roman" w:hAnsi="Times New Roman"/>
          <w:sz w:val="28"/>
          <w:szCs w:val="24"/>
        </w:rPr>
        <w:t>мероприятий</w:t>
      </w:r>
      <w:r w:rsidR="00C66718" w:rsidRPr="00B0658A">
        <w:rPr>
          <w:rFonts w:ascii="Times New Roman" w:hAnsi="Times New Roman"/>
          <w:sz w:val="28"/>
          <w:szCs w:val="24"/>
        </w:rPr>
        <w:t xml:space="preserve"> по переводу значимого объекта КИИ на использование российского ПО и евразийского ПО с указанием наименования мероприятия, срока его реализации, ответственного работника, описания ожидаемого результата</w:t>
      </w:r>
      <w:r w:rsidR="002D2DF2" w:rsidRPr="00B0658A">
        <w:rPr>
          <w:rFonts w:ascii="Times New Roman" w:hAnsi="Times New Roman"/>
          <w:sz w:val="28"/>
          <w:szCs w:val="24"/>
        </w:rPr>
        <w:t xml:space="preserve"> с учетом реализации организационно-технических мероприятий перехода на использование российского ПО</w:t>
      </w:r>
      <w:r w:rsidR="00C66718" w:rsidRPr="00B0658A">
        <w:rPr>
          <w:rFonts w:ascii="Times New Roman" w:hAnsi="Times New Roman"/>
          <w:sz w:val="28"/>
          <w:szCs w:val="24"/>
        </w:rPr>
        <w:t>;</w:t>
      </w:r>
    </w:p>
    <w:p w14:paraId="124CAAF0" w14:textId="54D2FA1D" w:rsidR="00C66718" w:rsidRPr="00B0658A" w:rsidRDefault="007F6280"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определить</w:t>
      </w:r>
      <w:r w:rsidR="00AF3834" w:rsidRPr="00B0658A">
        <w:rPr>
          <w:rFonts w:ascii="Times New Roman" w:hAnsi="Times New Roman"/>
          <w:sz w:val="28"/>
          <w:szCs w:val="24"/>
        </w:rPr>
        <w:t xml:space="preserve"> </w:t>
      </w:r>
      <w:r w:rsidR="00094ADB" w:rsidRPr="00B0658A">
        <w:rPr>
          <w:rFonts w:ascii="Times New Roman" w:hAnsi="Times New Roman"/>
          <w:sz w:val="28"/>
          <w:szCs w:val="24"/>
        </w:rPr>
        <w:t>класс</w:t>
      </w:r>
      <w:r w:rsidRPr="00B0658A">
        <w:rPr>
          <w:rFonts w:ascii="Times New Roman" w:hAnsi="Times New Roman"/>
          <w:sz w:val="28"/>
          <w:szCs w:val="24"/>
        </w:rPr>
        <w:t>ы</w:t>
      </w:r>
      <w:r w:rsidR="00094ADB" w:rsidRPr="00B0658A">
        <w:rPr>
          <w:rFonts w:ascii="Times New Roman" w:hAnsi="Times New Roman"/>
          <w:sz w:val="28"/>
          <w:szCs w:val="24"/>
        </w:rPr>
        <w:t xml:space="preserve"> (тип</w:t>
      </w:r>
      <w:r w:rsidRPr="00B0658A">
        <w:rPr>
          <w:rFonts w:ascii="Times New Roman" w:hAnsi="Times New Roman"/>
          <w:sz w:val="28"/>
          <w:szCs w:val="24"/>
        </w:rPr>
        <w:t>ы</w:t>
      </w:r>
      <w:r w:rsidR="00094ADB" w:rsidRPr="00B0658A">
        <w:rPr>
          <w:rFonts w:ascii="Times New Roman" w:hAnsi="Times New Roman"/>
          <w:sz w:val="28"/>
          <w:szCs w:val="24"/>
        </w:rPr>
        <w:t xml:space="preserve">) ПО и </w:t>
      </w:r>
      <w:r w:rsidR="00AF3834" w:rsidRPr="00B0658A">
        <w:rPr>
          <w:rFonts w:ascii="Times New Roman" w:hAnsi="Times New Roman"/>
          <w:sz w:val="28"/>
          <w:szCs w:val="24"/>
        </w:rPr>
        <w:t>переч</w:t>
      </w:r>
      <w:r w:rsidRPr="00B0658A">
        <w:rPr>
          <w:rFonts w:ascii="Times New Roman" w:hAnsi="Times New Roman"/>
          <w:sz w:val="28"/>
          <w:szCs w:val="24"/>
        </w:rPr>
        <w:t>е</w:t>
      </w:r>
      <w:r w:rsidR="00AF3834" w:rsidRPr="00B0658A">
        <w:rPr>
          <w:rFonts w:ascii="Times New Roman" w:hAnsi="Times New Roman"/>
          <w:sz w:val="28"/>
          <w:szCs w:val="24"/>
        </w:rPr>
        <w:t>н</w:t>
      </w:r>
      <w:r w:rsidRPr="00B0658A">
        <w:rPr>
          <w:rFonts w:ascii="Times New Roman" w:hAnsi="Times New Roman"/>
          <w:sz w:val="28"/>
          <w:szCs w:val="24"/>
        </w:rPr>
        <w:t>ь</w:t>
      </w:r>
      <w:r w:rsidR="00AF3834" w:rsidRPr="00B0658A">
        <w:rPr>
          <w:rFonts w:ascii="Times New Roman" w:hAnsi="Times New Roman"/>
          <w:sz w:val="28"/>
          <w:szCs w:val="24"/>
        </w:rPr>
        <w:t xml:space="preserve"> </w:t>
      </w:r>
      <w:r w:rsidR="00094ADB" w:rsidRPr="00B0658A">
        <w:rPr>
          <w:rFonts w:ascii="Times New Roman" w:hAnsi="Times New Roman"/>
          <w:sz w:val="28"/>
          <w:szCs w:val="24"/>
        </w:rPr>
        <w:t>иностранного ПО, которое используется на значимом объекте КИИ и которое подлежит замещению на российское ПО и евразийское ПО до конца 2024 года;</w:t>
      </w:r>
    </w:p>
    <w:p w14:paraId="22467AC0" w14:textId="4A7E7327" w:rsidR="00094ADB" w:rsidRPr="00B0658A" w:rsidRDefault="007F6280"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 xml:space="preserve">установить </w:t>
      </w:r>
      <w:r w:rsidR="00094ADB" w:rsidRPr="00B0658A">
        <w:rPr>
          <w:rFonts w:ascii="Times New Roman" w:hAnsi="Times New Roman"/>
          <w:sz w:val="28"/>
          <w:szCs w:val="24"/>
        </w:rPr>
        <w:t>по годам показател</w:t>
      </w:r>
      <w:r w:rsidRPr="00B0658A">
        <w:rPr>
          <w:rFonts w:ascii="Times New Roman" w:hAnsi="Times New Roman"/>
          <w:sz w:val="28"/>
          <w:szCs w:val="24"/>
        </w:rPr>
        <w:t>и</w:t>
      </w:r>
      <w:r w:rsidR="00094ADB" w:rsidRPr="00B0658A">
        <w:rPr>
          <w:rFonts w:ascii="Times New Roman" w:hAnsi="Times New Roman"/>
          <w:sz w:val="28"/>
          <w:szCs w:val="24"/>
        </w:rPr>
        <w:t xml:space="preserve"> эффективности и соответствующи</w:t>
      </w:r>
      <w:r w:rsidRPr="00B0658A">
        <w:rPr>
          <w:rFonts w:ascii="Times New Roman" w:hAnsi="Times New Roman"/>
          <w:sz w:val="28"/>
          <w:szCs w:val="24"/>
        </w:rPr>
        <w:t>е</w:t>
      </w:r>
      <w:r w:rsidR="00094ADB" w:rsidRPr="00B0658A">
        <w:rPr>
          <w:rFonts w:ascii="Times New Roman" w:hAnsi="Times New Roman"/>
          <w:sz w:val="28"/>
          <w:szCs w:val="24"/>
        </w:rPr>
        <w:t xml:space="preserve"> им значени</w:t>
      </w:r>
      <w:r w:rsidRPr="00B0658A">
        <w:rPr>
          <w:rFonts w:ascii="Times New Roman" w:hAnsi="Times New Roman"/>
          <w:sz w:val="28"/>
          <w:szCs w:val="24"/>
        </w:rPr>
        <w:t>я</w:t>
      </w:r>
      <w:r w:rsidR="00094ADB" w:rsidRPr="00B0658A">
        <w:rPr>
          <w:rFonts w:ascii="Times New Roman" w:hAnsi="Times New Roman"/>
          <w:sz w:val="28"/>
          <w:szCs w:val="24"/>
        </w:rPr>
        <w:t xml:space="preserve"> </w:t>
      </w:r>
      <w:r w:rsidR="007C4F27" w:rsidRPr="00B0658A">
        <w:rPr>
          <w:rFonts w:ascii="Times New Roman" w:hAnsi="Times New Roman"/>
          <w:sz w:val="28"/>
          <w:szCs w:val="24"/>
        </w:rPr>
        <w:t xml:space="preserve">индикаторов </w:t>
      </w:r>
      <w:r w:rsidR="00094ADB" w:rsidRPr="00B0658A">
        <w:rPr>
          <w:rFonts w:ascii="Times New Roman" w:hAnsi="Times New Roman"/>
          <w:sz w:val="28"/>
          <w:szCs w:val="24"/>
        </w:rPr>
        <w:t>эффективности для каждого используемого на значимом объекте КИИ класса (типа) ПО.</w:t>
      </w:r>
    </w:p>
    <w:p w14:paraId="04DFEF1F" w14:textId="77777777" w:rsidR="00500CFF" w:rsidRPr="00B0658A" w:rsidRDefault="00500CFF" w:rsidP="00F57B1F">
      <w:pPr>
        <w:spacing w:after="0" w:line="240" w:lineRule="auto"/>
        <w:ind w:firstLine="709"/>
        <w:contextualSpacing/>
        <w:jc w:val="both"/>
        <w:rPr>
          <w:rFonts w:ascii="Times New Roman" w:hAnsi="Times New Roman"/>
          <w:sz w:val="28"/>
          <w:szCs w:val="24"/>
        </w:rPr>
      </w:pPr>
      <w:r w:rsidRPr="00B0658A">
        <w:rPr>
          <w:rFonts w:ascii="Times New Roman" w:hAnsi="Times New Roman"/>
          <w:sz w:val="28"/>
          <w:szCs w:val="24"/>
        </w:rPr>
        <w:t xml:space="preserve">50. При установлении </w:t>
      </w:r>
      <w:r w:rsidR="007F6280" w:rsidRPr="00B0658A">
        <w:rPr>
          <w:rFonts w:ascii="Times New Roman" w:hAnsi="Times New Roman"/>
          <w:sz w:val="28"/>
          <w:szCs w:val="24"/>
        </w:rPr>
        <w:t>п</w:t>
      </w:r>
      <w:r w:rsidRPr="00B0658A">
        <w:rPr>
          <w:rFonts w:ascii="Times New Roman" w:hAnsi="Times New Roman"/>
          <w:sz w:val="28"/>
          <w:szCs w:val="24"/>
        </w:rPr>
        <w:t>оказателей эффективности для классов (типов) ПО, используемого на принадлежащих органу государственной власти или государственному внебюджетному фонду значимых объектах КИИ</w:t>
      </w:r>
      <w:r w:rsidR="007F6280" w:rsidRPr="00B0658A">
        <w:rPr>
          <w:rFonts w:ascii="Times New Roman" w:hAnsi="Times New Roman"/>
          <w:sz w:val="28"/>
          <w:szCs w:val="24"/>
        </w:rPr>
        <w:t>,</w:t>
      </w:r>
      <w:r w:rsidRPr="00B0658A">
        <w:rPr>
          <w:rFonts w:ascii="Times New Roman" w:hAnsi="Times New Roman"/>
          <w:sz w:val="28"/>
          <w:szCs w:val="24"/>
        </w:rPr>
        <w:t xml:space="preserve"> рекомендуется исходить из следующих условий:</w:t>
      </w:r>
    </w:p>
    <w:p w14:paraId="1DE523CC" w14:textId="77777777" w:rsidR="00500CFF" w:rsidRPr="00B0658A" w:rsidRDefault="00500CFF" w:rsidP="00F57B1F">
      <w:pPr>
        <w:pStyle w:val="afd"/>
        <w:spacing w:after="0" w:line="240" w:lineRule="auto"/>
        <w:ind w:left="0" w:firstLine="709"/>
        <w:contextualSpacing/>
        <w:jc w:val="both"/>
        <w:rPr>
          <w:rFonts w:ascii="Times New Roman" w:hAnsi="Times New Roman"/>
          <w:sz w:val="28"/>
          <w:szCs w:val="24"/>
        </w:rPr>
      </w:pPr>
      <w:r w:rsidRPr="00B0658A">
        <w:rPr>
          <w:rFonts w:ascii="Times New Roman" w:hAnsi="Times New Roman"/>
          <w:sz w:val="28"/>
          <w:szCs w:val="24"/>
        </w:rPr>
        <w:t xml:space="preserve">достижение к концу 2022 г. доли использования российского </w:t>
      </w:r>
      <w:r w:rsidR="007F6280" w:rsidRPr="00B0658A">
        <w:rPr>
          <w:rFonts w:ascii="Times New Roman" w:hAnsi="Times New Roman"/>
          <w:sz w:val="28"/>
          <w:szCs w:val="24"/>
        </w:rPr>
        <w:t xml:space="preserve">ПО </w:t>
      </w:r>
      <w:r w:rsidRPr="00B0658A">
        <w:rPr>
          <w:rFonts w:ascii="Times New Roman" w:hAnsi="Times New Roman"/>
          <w:sz w:val="28"/>
          <w:szCs w:val="24"/>
        </w:rPr>
        <w:t>и евразийского ПО на значимых объектах КИИ, превышающей не менее чем на 10% текущие показатели использования российского ПО на так</w:t>
      </w:r>
      <w:r w:rsidR="007F6280" w:rsidRPr="00B0658A">
        <w:rPr>
          <w:rFonts w:ascii="Times New Roman" w:hAnsi="Times New Roman"/>
          <w:sz w:val="28"/>
          <w:szCs w:val="24"/>
        </w:rPr>
        <w:t>их</w:t>
      </w:r>
      <w:r w:rsidRPr="00B0658A">
        <w:rPr>
          <w:rFonts w:ascii="Times New Roman" w:hAnsi="Times New Roman"/>
          <w:sz w:val="28"/>
          <w:szCs w:val="24"/>
        </w:rPr>
        <w:t xml:space="preserve"> объект</w:t>
      </w:r>
      <w:r w:rsidR="007F6280" w:rsidRPr="00B0658A">
        <w:rPr>
          <w:rFonts w:ascii="Times New Roman" w:hAnsi="Times New Roman"/>
          <w:sz w:val="28"/>
          <w:szCs w:val="24"/>
        </w:rPr>
        <w:t>ах</w:t>
      </w:r>
      <w:r w:rsidRPr="00B0658A">
        <w:rPr>
          <w:rFonts w:ascii="Times New Roman" w:hAnsi="Times New Roman"/>
          <w:sz w:val="28"/>
          <w:szCs w:val="24"/>
        </w:rPr>
        <w:t>;</w:t>
      </w:r>
    </w:p>
    <w:p w14:paraId="7A9B110A" w14:textId="77777777" w:rsidR="00500CFF" w:rsidRPr="00B0658A" w:rsidRDefault="00500CFF" w:rsidP="00F57B1F">
      <w:pPr>
        <w:pStyle w:val="afd"/>
        <w:spacing w:after="0" w:line="240" w:lineRule="auto"/>
        <w:ind w:left="0" w:firstLine="709"/>
        <w:contextualSpacing/>
        <w:jc w:val="both"/>
        <w:rPr>
          <w:rFonts w:ascii="Times New Roman" w:hAnsi="Times New Roman"/>
          <w:sz w:val="28"/>
          <w:szCs w:val="24"/>
        </w:rPr>
      </w:pPr>
      <w:r w:rsidRPr="00B0658A">
        <w:rPr>
          <w:rFonts w:ascii="Times New Roman" w:hAnsi="Times New Roman"/>
          <w:sz w:val="28"/>
          <w:szCs w:val="24"/>
        </w:rPr>
        <w:t xml:space="preserve">достижение к концу 2023 г. доли использования российского </w:t>
      </w:r>
      <w:r w:rsidR="007F6280" w:rsidRPr="00B0658A">
        <w:rPr>
          <w:rFonts w:ascii="Times New Roman" w:hAnsi="Times New Roman"/>
          <w:sz w:val="28"/>
          <w:szCs w:val="24"/>
        </w:rPr>
        <w:t xml:space="preserve">ПО </w:t>
      </w:r>
      <w:r w:rsidRPr="00B0658A">
        <w:rPr>
          <w:rFonts w:ascii="Times New Roman" w:hAnsi="Times New Roman"/>
          <w:sz w:val="28"/>
          <w:szCs w:val="24"/>
        </w:rPr>
        <w:t>и евразийского ПО на значимых объектах КИИ, превышающей не менее чем на 40% текущие показатели использования российского ПО на так</w:t>
      </w:r>
      <w:r w:rsidR="007F6280" w:rsidRPr="00B0658A">
        <w:rPr>
          <w:rFonts w:ascii="Times New Roman" w:hAnsi="Times New Roman"/>
          <w:sz w:val="28"/>
          <w:szCs w:val="24"/>
        </w:rPr>
        <w:t>их</w:t>
      </w:r>
      <w:r w:rsidRPr="00B0658A">
        <w:rPr>
          <w:rFonts w:ascii="Times New Roman" w:hAnsi="Times New Roman"/>
          <w:sz w:val="28"/>
          <w:szCs w:val="24"/>
        </w:rPr>
        <w:t xml:space="preserve"> объект</w:t>
      </w:r>
      <w:r w:rsidR="007F6280" w:rsidRPr="00B0658A">
        <w:rPr>
          <w:rFonts w:ascii="Times New Roman" w:hAnsi="Times New Roman"/>
          <w:sz w:val="28"/>
          <w:szCs w:val="24"/>
        </w:rPr>
        <w:t>ах</w:t>
      </w:r>
      <w:r w:rsidRPr="00B0658A">
        <w:rPr>
          <w:rFonts w:ascii="Times New Roman" w:hAnsi="Times New Roman"/>
          <w:sz w:val="28"/>
          <w:szCs w:val="24"/>
        </w:rPr>
        <w:t>;</w:t>
      </w:r>
    </w:p>
    <w:p w14:paraId="29E994DC" w14:textId="77777777" w:rsidR="00500CFF" w:rsidRPr="00B0658A" w:rsidRDefault="00500CFF" w:rsidP="00F57B1F">
      <w:pPr>
        <w:pStyle w:val="afd"/>
        <w:spacing w:after="0" w:line="240" w:lineRule="auto"/>
        <w:ind w:left="0" w:firstLine="709"/>
        <w:contextualSpacing/>
        <w:jc w:val="both"/>
        <w:rPr>
          <w:rFonts w:ascii="Times New Roman" w:hAnsi="Times New Roman"/>
          <w:sz w:val="28"/>
          <w:szCs w:val="24"/>
        </w:rPr>
      </w:pPr>
      <w:r w:rsidRPr="00B0658A">
        <w:rPr>
          <w:rFonts w:ascii="Times New Roman" w:hAnsi="Times New Roman"/>
          <w:sz w:val="28"/>
          <w:szCs w:val="24"/>
        </w:rPr>
        <w:t xml:space="preserve">установление на 2024 г. и далее доли использования российского </w:t>
      </w:r>
      <w:r w:rsidR="007F6280" w:rsidRPr="00B0658A">
        <w:rPr>
          <w:rFonts w:ascii="Times New Roman" w:hAnsi="Times New Roman"/>
          <w:sz w:val="28"/>
          <w:szCs w:val="24"/>
        </w:rPr>
        <w:t xml:space="preserve">ПО </w:t>
      </w:r>
      <w:r w:rsidRPr="00B0658A">
        <w:rPr>
          <w:rFonts w:ascii="Times New Roman" w:hAnsi="Times New Roman"/>
          <w:sz w:val="28"/>
          <w:szCs w:val="24"/>
        </w:rPr>
        <w:t>и евразийского ПО на значимых объектах КИИ на уровне 100%.</w:t>
      </w:r>
    </w:p>
    <w:p w14:paraId="010088E1" w14:textId="77777777" w:rsidR="00094ADB" w:rsidRPr="00B0658A" w:rsidRDefault="00094ADB"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5</w:t>
      </w:r>
      <w:r w:rsidR="00500CFF" w:rsidRPr="00B0658A">
        <w:rPr>
          <w:rFonts w:ascii="Times New Roman" w:hAnsi="Times New Roman"/>
          <w:sz w:val="28"/>
          <w:szCs w:val="24"/>
        </w:rPr>
        <w:t>1</w:t>
      </w:r>
      <w:r w:rsidRPr="00B0658A">
        <w:rPr>
          <w:rFonts w:ascii="Times New Roman" w:hAnsi="Times New Roman"/>
          <w:sz w:val="28"/>
          <w:szCs w:val="24"/>
        </w:rPr>
        <w:t>. Детализированный план перевода государственных и ведомственных информационных систем на использование российского ПО</w:t>
      </w:r>
      <w:r w:rsidR="00A67894" w:rsidRPr="00B0658A">
        <w:rPr>
          <w:rFonts w:ascii="Times New Roman" w:hAnsi="Times New Roman"/>
          <w:sz w:val="28"/>
          <w:szCs w:val="24"/>
        </w:rPr>
        <w:t xml:space="preserve"> </w:t>
      </w:r>
      <w:r w:rsidR="007F6280" w:rsidRPr="00B0658A">
        <w:rPr>
          <w:rFonts w:ascii="Times New Roman" w:hAnsi="Times New Roman"/>
          <w:sz w:val="28"/>
          <w:szCs w:val="24"/>
        </w:rPr>
        <w:t xml:space="preserve">рекомендуется </w:t>
      </w:r>
      <w:r w:rsidR="00A67894" w:rsidRPr="00B0658A">
        <w:rPr>
          <w:rFonts w:ascii="Times New Roman" w:hAnsi="Times New Roman"/>
          <w:sz w:val="28"/>
          <w:szCs w:val="24"/>
        </w:rPr>
        <w:t>формир</w:t>
      </w:r>
      <w:r w:rsidR="007F6280" w:rsidRPr="00B0658A">
        <w:rPr>
          <w:rFonts w:ascii="Times New Roman" w:hAnsi="Times New Roman"/>
          <w:sz w:val="28"/>
          <w:szCs w:val="24"/>
        </w:rPr>
        <w:t>овать</w:t>
      </w:r>
      <w:r w:rsidR="00A67894" w:rsidRPr="00B0658A">
        <w:rPr>
          <w:rFonts w:ascii="Times New Roman" w:hAnsi="Times New Roman"/>
          <w:sz w:val="28"/>
          <w:szCs w:val="24"/>
        </w:rPr>
        <w:t xml:space="preserve"> в отношении всех государственных информационных систем, оператором и (или) государственным заказчиком которых является орган государственной власти или государственный внебюджетный фонд, а также ведомственных информационных систем, используемых органом государственной власти или государственным внебюджетным фондом.</w:t>
      </w:r>
    </w:p>
    <w:p w14:paraId="0C8FC1C2" w14:textId="77777777" w:rsidR="007F6280" w:rsidRPr="00B0658A" w:rsidRDefault="00A67894"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5</w:t>
      </w:r>
      <w:r w:rsidR="00500CFF" w:rsidRPr="00B0658A">
        <w:rPr>
          <w:rFonts w:ascii="Times New Roman" w:hAnsi="Times New Roman"/>
          <w:sz w:val="28"/>
          <w:szCs w:val="24"/>
        </w:rPr>
        <w:t>2</w:t>
      </w:r>
      <w:r w:rsidRPr="00B0658A">
        <w:rPr>
          <w:rFonts w:ascii="Times New Roman" w:hAnsi="Times New Roman"/>
          <w:sz w:val="28"/>
          <w:szCs w:val="24"/>
        </w:rPr>
        <w:t>. </w:t>
      </w:r>
      <w:r w:rsidR="007F6280" w:rsidRPr="00B0658A">
        <w:rPr>
          <w:rFonts w:ascii="Times New Roman" w:hAnsi="Times New Roman"/>
          <w:sz w:val="28"/>
          <w:szCs w:val="24"/>
        </w:rPr>
        <w:t>В д</w:t>
      </w:r>
      <w:r w:rsidRPr="00B0658A">
        <w:rPr>
          <w:rFonts w:ascii="Times New Roman" w:hAnsi="Times New Roman"/>
          <w:sz w:val="28"/>
          <w:szCs w:val="24"/>
        </w:rPr>
        <w:t xml:space="preserve">етализированный план перевода государственных и ведомственных информационных систем на использование российского ПО </w:t>
      </w:r>
      <w:r w:rsidR="007F6280" w:rsidRPr="00B0658A">
        <w:rPr>
          <w:rFonts w:ascii="Times New Roman" w:hAnsi="Times New Roman"/>
          <w:sz w:val="28"/>
          <w:szCs w:val="24"/>
        </w:rPr>
        <w:t>рекомендуется включить:</w:t>
      </w:r>
    </w:p>
    <w:p w14:paraId="0208F4CA" w14:textId="4077DB1B" w:rsidR="007F6280" w:rsidRPr="00B0658A" w:rsidRDefault="00A67894"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 xml:space="preserve">детальный план-график мероприятий, реализация которых необходима для перевода </w:t>
      </w:r>
      <w:r w:rsidR="007F6280" w:rsidRPr="00B0658A">
        <w:rPr>
          <w:rFonts w:ascii="Times New Roman" w:hAnsi="Times New Roman"/>
          <w:sz w:val="28"/>
          <w:szCs w:val="24"/>
        </w:rPr>
        <w:t>государственных и ведомственных информационных</w:t>
      </w:r>
      <w:r w:rsidRPr="00B0658A">
        <w:rPr>
          <w:rFonts w:ascii="Times New Roman" w:hAnsi="Times New Roman"/>
          <w:sz w:val="28"/>
          <w:szCs w:val="24"/>
        </w:rPr>
        <w:t xml:space="preserve"> систем на использование российского ПО с указанием наименовани</w:t>
      </w:r>
      <w:r w:rsidR="007F6280" w:rsidRPr="00B0658A">
        <w:rPr>
          <w:rFonts w:ascii="Times New Roman" w:hAnsi="Times New Roman"/>
          <w:sz w:val="28"/>
          <w:szCs w:val="24"/>
        </w:rPr>
        <w:t>й</w:t>
      </w:r>
      <w:r w:rsidRPr="00B0658A">
        <w:rPr>
          <w:rFonts w:ascii="Times New Roman" w:hAnsi="Times New Roman"/>
          <w:sz w:val="28"/>
          <w:szCs w:val="24"/>
        </w:rPr>
        <w:t xml:space="preserve"> мероприятий, сроков </w:t>
      </w:r>
      <w:r w:rsidR="007F6280" w:rsidRPr="00B0658A">
        <w:rPr>
          <w:rFonts w:ascii="Times New Roman" w:hAnsi="Times New Roman"/>
          <w:sz w:val="28"/>
          <w:szCs w:val="24"/>
        </w:rPr>
        <w:t xml:space="preserve">их </w:t>
      </w:r>
      <w:r w:rsidRPr="00B0658A">
        <w:rPr>
          <w:rFonts w:ascii="Times New Roman" w:hAnsi="Times New Roman"/>
          <w:sz w:val="28"/>
          <w:szCs w:val="24"/>
        </w:rPr>
        <w:t>реализации, ответственных работников и их должности, ожидаем</w:t>
      </w:r>
      <w:r w:rsidR="007F6280" w:rsidRPr="00B0658A">
        <w:rPr>
          <w:rFonts w:ascii="Times New Roman" w:hAnsi="Times New Roman"/>
          <w:sz w:val="28"/>
          <w:szCs w:val="24"/>
        </w:rPr>
        <w:t>ых</w:t>
      </w:r>
      <w:r w:rsidRPr="00B0658A">
        <w:rPr>
          <w:rFonts w:ascii="Times New Roman" w:hAnsi="Times New Roman"/>
          <w:sz w:val="28"/>
          <w:szCs w:val="24"/>
        </w:rPr>
        <w:t xml:space="preserve"> результат</w:t>
      </w:r>
      <w:r w:rsidR="007F6280" w:rsidRPr="00B0658A">
        <w:rPr>
          <w:rFonts w:ascii="Times New Roman" w:hAnsi="Times New Roman"/>
          <w:sz w:val="28"/>
          <w:szCs w:val="24"/>
        </w:rPr>
        <w:t>ов</w:t>
      </w:r>
      <w:r w:rsidRPr="00B0658A">
        <w:rPr>
          <w:rFonts w:ascii="Times New Roman" w:hAnsi="Times New Roman"/>
          <w:sz w:val="28"/>
          <w:szCs w:val="24"/>
        </w:rPr>
        <w:t xml:space="preserve"> по каждому мероприятию</w:t>
      </w:r>
      <w:r w:rsidR="007F6280" w:rsidRPr="00B0658A">
        <w:rPr>
          <w:rFonts w:ascii="Times New Roman" w:hAnsi="Times New Roman"/>
          <w:sz w:val="28"/>
          <w:szCs w:val="24"/>
        </w:rPr>
        <w:t>;</w:t>
      </w:r>
    </w:p>
    <w:p w14:paraId="2CA3A909" w14:textId="058183D5" w:rsidR="00A67894" w:rsidRPr="00B0658A" w:rsidRDefault="007F6280"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сведения об</w:t>
      </w:r>
      <w:r w:rsidR="00A67894" w:rsidRPr="00B0658A">
        <w:rPr>
          <w:rFonts w:ascii="Times New Roman" w:hAnsi="Times New Roman"/>
          <w:sz w:val="28"/>
          <w:szCs w:val="24"/>
        </w:rPr>
        <w:t xml:space="preserve"> объем</w:t>
      </w:r>
      <w:r w:rsidRPr="00B0658A">
        <w:rPr>
          <w:rFonts w:ascii="Times New Roman" w:hAnsi="Times New Roman"/>
          <w:sz w:val="28"/>
          <w:szCs w:val="24"/>
        </w:rPr>
        <w:t>ах</w:t>
      </w:r>
      <w:r w:rsidR="00A67894" w:rsidRPr="00B0658A">
        <w:rPr>
          <w:rFonts w:ascii="Times New Roman" w:hAnsi="Times New Roman"/>
          <w:sz w:val="28"/>
          <w:szCs w:val="24"/>
        </w:rPr>
        <w:t xml:space="preserve"> и источник</w:t>
      </w:r>
      <w:r w:rsidRPr="00B0658A">
        <w:rPr>
          <w:rFonts w:ascii="Times New Roman" w:hAnsi="Times New Roman"/>
          <w:sz w:val="28"/>
          <w:szCs w:val="24"/>
        </w:rPr>
        <w:t>ах</w:t>
      </w:r>
      <w:r w:rsidR="00A67894" w:rsidRPr="00B0658A">
        <w:rPr>
          <w:rFonts w:ascii="Times New Roman" w:hAnsi="Times New Roman"/>
          <w:sz w:val="28"/>
          <w:szCs w:val="24"/>
        </w:rPr>
        <w:t xml:space="preserve"> </w:t>
      </w:r>
      <w:r w:rsidRPr="00B0658A">
        <w:rPr>
          <w:rFonts w:ascii="Times New Roman" w:hAnsi="Times New Roman"/>
          <w:sz w:val="28"/>
          <w:szCs w:val="24"/>
        </w:rPr>
        <w:t>финансового</w:t>
      </w:r>
      <w:r w:rsidR="00A67894" w:rsidRPr="00B0658A">
        <w:rPr>
          <w:rFonts w:ascii="Times New Roman" w:hAnsi="Times New Roman"/>
          <w:sz w:val="28"/>
          <w:szCs w:val="24"/>
        </w:rPr>
        <w:t xml:space="preserve"> обеспечения перевода </w:t>
      </w:r>
      <w:r w:rsidRPr="00B0658A">
        <w:rPr>
          <w:rFonts w:ascii="Times New Roman" w:hAnsi="Times New Roman"/>
          <w:sz w:val="28"/>
          <w:szCs w:val="24"/>
        </w:rPr>
        <w:t xml:space="preserve">государственных и ведомственных </w:t>
      </w:r>
      <w:r w:rsidR="00B92D01" w:rsidRPr="00B0658A">
        <w:rPr>
          <w:rFonts w:ascii="Times New Roman" w:hAnsi="Times New Roman"/>
          <w:sz w:val="28"/>
          <w:szCs w:val="24"/>
        </w:rPr>
        <w:t>информационных систем на использование российского ПО по годам.</w:t>
      </w:r>
    </w:p>
    <w:p w14:paraId="1D989095" w14:textId="77777777" w:rsidR="006D3F83" w:rsidRPr="00B0658A" w:rsidRDefault="00B92D01"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lastRenderedPageBreak/>
        <w:t>5</w:t>
      </w:r>
      <w:r w:rsidR="00500CFF" w:rsidRPr="00B0658A">
        <w:rPr>
          <w:rFonts w:ascii="Times New Roman" w:hAnsi="Times New Roman"/>
          <w:sz w:val="28"/>
          <w:szCs w:val="24"/>
        </w:rPr>
        <w:t>3</w:t>
      </w:r>
      <w:r w:rsidR="006D3F83" w:rsidRPr="00B0658A">
        <w:rPr>
          <w:rFonts w:ascii="Times New Roman" w:hAnsi="Times New Roman"/>
          <w:sz w:val="28"/>
          <w:szCs w:val="24"/>
        </w:rPr>
        <w:t xml:space="preserve">. После утверждения Плана перехода органа государственной власти или государственного внебюджетного фонда </w:t>
      </w:r>
      <w:r w:rsidR="007F6280" w:rsidRPr="00B0658A">
        <w:rPr>
          <w:rFonts w:ascii="Times New Roman" w:hAnsi="Times New Roman"/>
          <w:sz w:val="28"/>
          <w:szCs w:val="24"/>
        </w:rPr>
        <w:t xml:space="preserve">копию </w:t>
      </w:r>
      <w:r w:rsidR="006D3F83" w:rsidRPr="00B0658A">
        <w:rPr>
          <w:rFonts w:ascii="Times New Roman" w:hAnsi="Times New Roman"/>
          <w:sz w:val="28"/>
          <w:szCs w:val="24"/>
        </w:rPr>
        <w:t>План</w:t>
      </w:r>
      <w:r w:rsidR="0057759C" w:rsidRPr="00B0658A">
        <w:rPr>
          <w:rFonts w:ascii="Times New Roman" w:hAnsi="Times New Roman"/>
          <w:sz w:val="28"/>
          <w:szCs w:val="24"/>
        </w:rPr>
        <w:t>а</w:t>
      </w:r>
      <w:r w:rsidR="006D3F83" w:rsidRPr="00B0658A">
        <w:rPr>
          <w:rFonts w:ascii="Times New Roman" w:hAnsi="Times New Roman"/>
          <w:sz w:val="28"/>
          <w:szCs w:val="24"/>
        </w:rPr>
        <w:t xml:space="preserve"> перехода рекомендуется направить в Минцифры России.</w:t>
      </w:r>
    </w:p>
    <w:p w14:paraId="00EF6FD9" w14:textId="77777777" w:rsidR="002127BB" w:rsidRPr="00B0658A" w:rsidRDefault="00B92D01"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5</w:t>
      </w:r>
      <w:r w:rsidR="00500CFF" w:rsidRPr="00B0658A">
        <w:rPr>
          <w:rFonts w:ascii="Times New Roman" w:hAnsi="Times New Roman"/>
          <w:sz w:val="28"/>
          <w:szCs w:val="24"/>
        </w:rPr>
        <w:t>4</w:t>
      </w:r>
      <w:r w:rsidR="009D43CD" w:rsidRPr="00B0658A">
        <w:rPr>
          <w:rFonts w:ascii="Times New Roman" w:hAnsi="Times New Roman"/>
          <w:sz w:val="28"/>
          <w:szCs w:val="24"/>
        </w:rPr>
        <w:t xml:space="preserve">. При внесении изменений в утвержденный </w:t>
      </w:r>
      <w:r w:rsidR="006D3F83" w:rsidRPr="00B0658A">
        <w:rPr>
          <w:rFonts w:ascii="Times New Roman" w:hAnsi="Times New Roman"/>
          <w:sz w:val="28"/>
          <w:szCs w:val="24"/>
        </w:rPr>
        <w:t xml:space="preserve">органом государственной власти или государственным внебюджетным фондом </w:t>
      </w:r>
      <w:r w:rsidR="009D43CD" w:rsidRPr="00B0658A">
        <w:rPr>
          <w:rFonts w:ascii="Times New Roman" w:hAnsi="Times New Roman"/>
          <w:sz w:val="28"/>
          <w:szCs w:val="24"/>
        </w:rPr>
        <w:t xml:space="preserve">План перехода на </w:t>
      </w:r>
      <w:r w:rsidR="006D3F83" w:rsidRPr="00B0658A">
        <w:rPr>
          <w:rFonts w:ascii="Times New Roman" w:hAnsi="Times New Roman"/>
          <w:sz w:val="28"/>
          <w:szCs w:val="24"/>
        </w:rPr>
        <w:t xml:space="preserve">использование </w:t>
      </w:r>
      <w:r w:rsidR="009D43CD" w:rsidRPr="00B0658A">
        <w:rPr>
          <w:rFonts w:ascii="Times New Roman" w:hAnsi="Times New Roman"/>
          <w:sz w:val="28"/>
          <w:szCs w:val="24"/>
        </w:rPr>
        <w:t>российско</w:t>
      </w:r>
      <w:r w:rsidR="006D3F83" w:rsidRPr="00B0658A">
        <w:rPr>
          <w:rFonts w:ascii="Times New Roman" w:hAnsi="Times New Roman"/>
          <w:sz w:val="28"/>
          <w:szCs w:val="24"/>
        </w:rPr>
        <w:t>го</w:t>
      </w:r>
      <w:r w:rsidR="009D43CD" w:rsidRPr="00B0658A">
        <w:rPr>
          <w:rFonts w:ascii="Times New Roman" w:hAnsi="Times New Roman"/>
          <w:sz w:val="28"/>
          <w:szCs w:val="24"/>
        </w:rPr>
        <w:t xml:space="preserve"> ПО</w:t>
      </w:r>
      <w:r w:rsidR="00976549" w:rsidRPr="00B0658A">
        <w:rPr>
          <w:rFonts w:ascii="Times New Roman" w:hAnsi="Times New Roman"/>
          <w:sz w:val="28"/>
          <w:szCs w:val="24"/>
        </w:rPr>
        <w:t xml:space="preserve"> орган</w:t>
      </w:r>
      <w:r w:rsidR="007F6280" w:rsidRPr="00B0658A">
        <w:rPr>
          <w:rFonts w:ascii="Times New Roman" w:hAnsi="Times New Roman"/>
          <w:sz w:val="28"/>
          <w:szCs w:val="24"/>
        </w:rPr>
        <w:t>ам</w:t>
      </w:r>
      <w:r w:rsidR="00976549" w:rsidRPr="00B0658A">
        <w:rPr>
          <w:rFonts w:ascii="Times New Roman" w:hAnsi="Times New Roman"/>
          <w:sz w:val="28"/>
          <w:szCs w:val="24"/>
        </w:rPr>
        <w:t xml:space="preserve"> государственной власти </w:t>
      </w:r>
      <w:r w:rsidR="007F6280" w:rsidRPr="00B0658A">
        <w:rPr>
          <w:rFonts w:ascii="Times New Roman" w:hAnsi="Times New Roman"/>
          <w:sz w:val="28"/>
          <w:szCs w:val="24"/>
        </w:rPr>
        <w:t>и</w:t>
      </w:r>
      <w:r w:rsidR="00976549" w:rsidRPr="00B0658A">
        <w:rPr>
          <w:rFonts w:ascii="Times New Roman" w:hAnsi="Times New Roman"/>
          <w:sz w:val="28"/>
          <w:szCs w:val="24"/>
        </w:rPr>
        <w:t xml:space="preserve"> государственны</w:t>
      </w:r>
      <w:r w:rsidR="007F6280" w:rsidRPr="00B0658A">
        <w:rPr>
          <w:rFonts w:ascii="Times New Roman" w:hAnsi="Times New Roman"/>
          <w:sz w:val="28"/>
          <w:szCs w:val="24"/>
        </w:rPr>
        <w:t>м</w:t>
      </w:r>
      <w:r w:rsidR="00976549" w:rsidRPr="00B0658A">
        <w:rPr>
          <w:rFonts w:ascii="Times New Roman" w:hAnsi="Times New Roman"/>
          <w:sz w:val="28"/>
          <w:szCs w:val="24"/>
        </w:rPr>
        <w:t xml:space="preserve"> внебюджетны</w:t>
      </w:r>
      <w:r w:rsidR="007F6280" w:rsidRPr="00B0658A">
        <w:rPr>
          <w:rFonts w:ascii="Times New Roman" w:hAnsi="Times New Roman"/>
          <w:sz w:val="28"/>
          <w:szCs w:val="24"/>
        </w:rPr>
        <w:t>м</w:t>
      </w:r>
      <w:r w:rsidR="00976549" w:rsidRPr="00B0658A">
        <w:rPr>
          <w:rFonts w:ascii="Times New Roman" w:hAnsi="Times New Roman"/>
          <w:sz w:val="28"/>
          <w:szCs w:val="24"/>
        </w:rPr>
        <w:t xml:space="preserve"> фонд</w:t>
      </w:r>
      <w:r w:rsidR="007F6280" w:rsidRPr="00B0658A">
        <w:rPr>
          <w:rFonts w:ascii="Times New Roman" w:hAnsi="Times New Roman"/>
          <w:sz w:val="28"/>
          <w:szCs w:val="24"/>
        </w:rPr>
        <w:t>ам</w:t>
      </w:r>
      <w:r w:rsidR="00976549" w:rsidRPr="00B0658A">
        <w:rPr>
          <w:rFonts w:ascii="Times New Roman" w:hAnsi="Times New Roman"/>
          <w:sz w:val="28"/>
          <w:szCs w:val="24"/>
        </w:rPr>
        <w:t xml:space="preserve"> </w:t>
      </w:r>
      <w:r w:rsidR="007F6280" w:rsidRPr="00B0658A">
        <w:rPr>
          <w:rFonts w:ascii="Times New Roman" w:hAnsi="Times New Roman"/>
          <w:sz w:val="28"/>
          <w:szCs w:val="24"/>
        </w:rPr>
        <w:t xml:space="preserve">рекомендуется </w:t>
      </w:r>
      <w:r w:rsidR="00976549" w:rsidRPr="00B0658A">
        <w:rPr>
          <w:rFonts w:ascii="Times New Roman" w:hAnsi="Times New Roman"/>
          <w:sz w:val="28"/>
          <w:szCs w:val="24"/>
        </w:rPr>
        <w:t>обеспечива</w:t>
      </w:r>
      <w:r w:rsidR="007F6280" w:rsidRPr="00B0658A">
        <w:rPr>
          <w:rFonts w:ascii="Times New Roman" w:hAnsi="Times New Roman"/>
          <w:sz w:val="28"/>
          <w:szCs w:val="24"/>
        </w:rPr>
        <w:t>ть</w:t>
      </w:r>
      <w:r w:rsidR="00976549" w:rsidRPr="00B0658A">
        <w:rPr>
          <w:rFonts w:ascii="Times New Roman" w:hAnsi="Times New Roman"/>
          <w:sz w:val="28"/>
          <w:szCs w:val="24"/>
        </w:rPr>
        <w:t xml:space="preserve"> согласование указанных изменений в </w:t>
      </w:r>
      <w:r w:rsidR="00013CB6" w:rsidRPr="00B0658A">
        <w:rPr>
          <w:rFonts w:ascii="Times New Roman" w:hAnsi="Times New Roman"/>
          <w:sz w:val="28"/>
          <w:szCs w:val="24"/>
        </w:rPr>
        <w:t>порядке, предусмотренном</w:t>
      </w:r>
      <w:r w:rsidR="00976549" w:rsidRPr="00B0658A">
        <w:rPr>
          <w:rFonts w:ascii="Times New Roman" w:hAnsi="Times New Roman"/>
          <w:sz w:val="28"/>
          <w:szCs w:val="24"/>
        </w:rPr>
        <w:t xml:space="preserve"> </w:t>
      </w:r>
      <w:r w:rsidR="00013CB6" w:rsidRPr="00B0658A">
        <w:rPr>
          <w:rFonts w:ascii="Times New Roman" w:hAnsi="Times New Roman"/>
          <w:sz w:val="28"/>
          <w:szCs w:val="24"/>
        </w:rPr>
        <w:t xml:space="preserve">в </w:t>
      </w:r>
      <w:r w:rsidR="00976549" w:rsidRPr="00B0658A">
        <w:rPr>
          <w:rFonts w:ascii="Times New Roman" w:hAnsi="Times New Roman"/>
          <w:sz w:val="28"/>
          <w:szCs w:val="24"/>
        </w:rPr>
        <w:t>настоящих методических рекомендаци</w:t>
      </w:r>
      <w:r w:rsidR="00013CB6" w:rsidRPr="00B0658A">
        <w:rPr>
          <w:rFonts w:ascii="Times New Roman" w:hAnsi="Times New Roman"/>
          <w:sz w:val="28"/>
          <w:szCs w:val="24"/>
        </w:rPr>
        <w:t>ях,</w:t>
      </w:r>
      <w:r w:rsidR="00976549" w:rsidRPr="00B0658A">
        <w:rPr>
          <w:rFonts w:ascii="Times New Roman" w:hAnsi="Times New Roman"/>
          <w:sz w:val="28"/>
          <w:szCs w:val="24"/>
        </w:rPr>
        <w:t xml:space="preserve"> при одновременном предоставлении обоснования необходимости внесения изменений.</w:t>
      </w:r>
    </w:p>
    <w:p w14:paraId="7CA28D24" w14:textId="77777777" w:rsidR="008F6BAE" w:rsidRPr="00B0658A" w:rsidRDefault="00B92D01"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5</w:t>
      </w:r>
      <w:r w:rsidR="00500CFF" w:rsidRPr="00B0658A">
        <w:rPr>
          <w:rFonts w:ascii="Times New Roman" w:hAnsi="Times New Roman"/>
          <w:sz w:val="28"/>
          <w:szCs w:val="24"/>
        </w:rPr>
        <w:t>5</w:t>
      </w:r>
      <w:r w:rsidR="008F6BAE" w:rsidRPr="00B0658A">
        <w:rPr>
          <w:rFonts w:ascii="Times New Roman" w:hAnsi="Times New Roman"/>
          <w:sz w:val="28"/>
          <w:szCs w:val="24"/>
        </w:rPr>
        <w:t xml:space="preserve">. Не рекомендуется при формировании показателей эффективности </w:t>
      </w:r>
      <w:r w:rsidR="003E0BCC" w:rsidRPr="00B0658A">
        <w:rPr>
          <w:rFonts w:ascii="Times New Roman" w:hAnsi="Times New Roman"/>
          <w:sz w:val="28"/>
          <w:szCs w:val="24"/>
        </w:rPr>
        <w:t xml:space="preserve">перехода на использование российского ПО </w:t>
      </w:r>
      <w:r w:rsidR="008F6BAE" w:rsidRPr="00B0658A">
        <w:rPr>
          <w:rFonts w:ascii="Times New Roman" w:hAnsi="Times New Roman"/>
          <w:sz w:val="28"/>
          <w:szCs w:val="24"/>
        </w:rPr>
        <w:t xml:space="preserve">и </w:t>
      </w:r>
      <w:r w:rsidR="00387935" w:rsidRPr="00B0658A">
        <w:rPr>
          <w:rFonts w:ascii="Times New Roman" w:hAnsi="Times New Roman"/>
          <w:sz w:val="28"/>
          <w:szCs w:val="24"/>
        </w:rPr>
        <w:t>соответствующих им значений индикаторов эффективности</w:t>
      </w:r>
      <w:r w:rsidR="008F6BAE" w:rsidRPr="00B0658A">
        <w:rPr>
          <w:rFonts w:ascii="Times New Roman" w:hAnsi="Times New Roman"/>
          <w:sz w:val="28"/>
          <w:szCs w:val="24"/>
        </w:rPr>
        <w:t>, показателей эффективности в отношении закупок ПО и связанных с ним работ и услуг, сведений об объемах и источниках финансовых ресурсов</w:t>
      </w:r>
      <w:r w:rsidR="003E0BCC" w:rsidRPr="00B0658A">
        <w:rPr>
          <w:rFonts w:ascii="Times New Roman" w:hAnsi="Times New Roman"/>
          <w:sz w:val="28"/>
          <w:szCs w:val="24"/>
        </w:rPr>
        <w:t xml:space="preserve"> указывать отсылочные положения такие как «могут быть изменены по результатам тестирования», «могут быть изменены в случае отсутствия необходимого объема финансирования» и иные.</w:t>
      </w:r>
    </w:p>
    <w:p w14:paraId="030D9435" w14:textId="6BA476F2" w:rsidR="00B92D01" w:rsidRPr="00B0658A" w:rsidRDefault="00B92D01"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5</w:t>
      </w:r>
      <w:r w:rsidR="00500CFF" w:rsidRPr="00B0658A">
        <w:rPr>
          <w:rFonts w:ascii="Times New Roman" w:hAnsi="Times New Roman"/>
          <w:sz w:val="28"/>
          <w:szCs w:val="24"/>
        </w:rPr>
        <w:t>6</w:t>
      </w:r>
      <w:r w:rsidRPr="00B0658A">
        <w:rPr>
          <w:rFonts w:ascii="Times New Roman" w:hAnsi="Times New Roman"/>
          <w:sz w:val="28"/>
          <w:szCs w:val="24"/>
        </w:rPr>
        <w:t xml:space="preserve">. Для целей мониторинга и контроля реализации Планов </w:t>
      </w:r>
      <w:r w:rsidR="00CA5558" w:rsidRPr="00B0658A">
        <w:rPr>
          <w:rFonts w:ascii="Times New Roman" w:hAnsi="Times New Roman"/>
          <w:sz w:val="28"/>
          <w:szCs w:val="24"/>
        </w:rPr>
        <w:t xml:space="preserve">перехода на использование российского ПО </w:t>
      </w:r>
      <w:r w:rsidRPr="00B0658A">
        <w:rPr>
          <w:rFonts w:ascii="Times New Roman" w:hAnsi="Times New Roman"/>
          <w:sz w:val="28"/>
          <w:szCs w:val="24"/>
        </w:rPr>
        <w:t>орган</w:t>
      </w:r>
      <w:r w:rsidR="00CA5558" w:rsidRPr="00B0658A">
        <w:rPr>
          <w:rFonts w:ascii="Times New Roman" w:hAnsi="Times New Roman"/>
          <w:sz w:val="28"/>
          <w:szCs w:val="24"/>
        </w:rPr>
        <w:t>ам</w:t>
      </w:r>
      <w:r w:rsidRPr="00B0658A">
        <w:rPr>
          <w:rFonts w:ascii="Times New Roman" w:hAnsi="Times New Roman"/>
          <w:sz w:val="28"/>
          <w:szCs w:val="24"/>
        </w:rPr>
        <w:t xml:space="preserve"> государственной власти и государственны</w:t>
      </w:r>
      <w:r w:rsidR="00CA5558" w:rsidRPr="00B0658A">
        <w:rPr>
          <w:rFonts w:ascii="Times New Roman" w:hAnsi="Times New Roman"/>
          <w:sz w:val="28"/>
          <w:szCs w:val="24"/>
        </w:rPr>
        <w:t>м</w:t>
      </w:r>
      <w:r w:rsidRPr="00B0658A">
        <w:rPr>
          <w:rFonts w:ascii="Times New Roman" w:hAnsi="Times New Roman"/>
          <w:sz w:val="28"/>
          <w:szCs w:val="24"/>
        </w:rPr>
        <w:t xml:space="preserve"> внебюджетны</w:t>
      </w:r>
      <w:r w:rsidR="00CA5558" w:rsidRPr="00B0658A">
        <w:rPr>
          <w:rFonts w:ascii="Times New Roman" w:hAnsi="Times New Roman"/>
          <w:sz w:val="28"/>
          <w:szCs w:val="24"/>
        </w:rPr>
        <w:t>м</w:t>
      </w:r>
      <w:r w:rsidRPr="00B0658A">
        <w:rPr>
          <w:rFonts w:ascii="Times New Roman" w:hAnsi="Times New Roman"/>
          <w:sz w:val="28"/>
          <w:szCs w:val="24"/>
        </w:rPr>
        <w:t xml:space="preserve"> фонд</w:t>
      </w:r>
      <w:r w:rsidR="00CA5558" w:rsidRPr="00B0658A">
        <w:rPr>
          <w:rFonts w:ascii="Times New Roman" w:hAnsi="Times New Roman"/>
          <w:sz w:val="28"/>
          <w:szCs w:val="24"/>
        </w:rPr>
        <w:t>ам рекомендуется</w:t>
      </w:r>
      <w:r w:rsidRPr="00B0658A">
        <w:rPr>
          <w:rFonts w:ascii="Times New Roman" w:hAnsi="Times New Roman"/>
          <w:sz w:val="28"/>
          <w:szCs w:val="24"/>
        </w:rPr>
        <w:t xml:space="preserve"> </w:t>
      </w:r>
      <w:r w:rsidR="00CA5558" w:rsidRPr="00B0658A">
        <w:rPr>
          <w:rFonts w:ascii="Times New Roman" w:hAnsi="Times New Roman"/>
          <w:sz w:val="28"/>
          <w:szCs w:val="24"/>
        </w:rPr>
        <w:t xml:space="preserve">предоставлять </w:t>
      </w:r>
      <w:r w:rsidRPr="00B0658A">
        <w:rPr>
          <w:rFonts w:ascii="Times New Roman" w:hAnsi="Times New Roman"/>
          <w:sz w:val="28"/>
          <w:szCs w:val="24"/>
        </w:rPr>
        <w:t>в Минцифры России соответствующи</w:t>
      </w:r>
      <w:r w:rsidR="00CA5558" w:rsidRPr="00B0658A">
        <w:rPr>
          <w:rFonts w:ascii="Times New Roman" w:hAnsi="Times New Roman"/>
          <w:sz w:val="28"/>
          <w:szCs w:val="24"/>
        </w:rPr>
        <w:t>е отчетные</w:t>
      </w:r>
      <w:r w:rsidRPr="00B0658A">
        <w:rPr>
          <w:rFonts w:ascii="Times New Roman" w:hAnsi="Times New Roman"/>
          <w:sz w:val="28"/>
          <w:szCs w:val="24"/>
        </w:rPr>
        <w:t xml:space="preserve"> сведени</w:t>
      </w:r>
      <w:r w:rsidR="00CA5558" w:rsidRPr="00B0658A">
        <w:rPr>
          <w:rFonts w:ascii="Times New Roman" w:hAnsi="Times New Roman"/>
          <w:sz w:val="28"/>
          <w:szCs w:val="24"/>
        </w:rPr>
        <w:t>я</w:t>
      </w:r>
      <w:r w:rsidRPr="00B0658A">
        <w:rPr>
          <w:rFonts w:ascii="Times New Roman" w:hAnsi="Times New Roman"/>
          <w:sz w:val="28"/>
          <w:szCs w:val="24"/>
        </w:rPr>
        <w:t xml:space="preserve">. Рекомендованные отчетные формы для представления сведений о ходе реализации Плана перехода на использование российского ПО и достижении показателей эффективности перехода на использование российского ПО приведены в </w:t>
      </w:r>
      <w:r w:rsidR="007638FE">
        <w:rPr>
          <w:rFonts w:ascii="Times New Roman" w:hAnsi="Times New Roman"/>
          <w:sz w:val="28"/>
          <w:szCs w:val="24"/>
        </w:rPr>
        <w:t>п</w:t>
      </w:r>
      <w:r w:rsidRPr="00B0658A">
        <w:rPr>
          <w:rFonts w:ascii="Times New Roman" w:hAnsi="Times New Roman"/>
          <w:sz w:val="28"/>
          <w:szCs w:val="24"/>
        </w:rPr>
        <w:t xml:space="preserve">риложении </w:t>
      </w:r>
      <w:r w:rsidR="00592B14" w:rsidRPr="00B0658A">
        <w:rPr>
          <w:rFonts w:ascii="Times New Roman" w:hAnsi="Times New Roman"/>
          <w:sz w:val="28"/>
          <w:szCs w:val="24"/>
        </w:rPr>
        <w:t>№ </w:t>
      </w:r>
      <w:r w:rsidR="00532467" w:rsidRPr="00B0658A">
        <w:rPr>
          <w:rFonts w:ascii="Times New Roman" w:hAnsi="Times New Roman"/>
          <w:sz w:val="28"/>
          <w:szCs w:val="24"/>
        </w:rPr>
        <w:t> </w:t>
      </w:r>
      <w:r w:rsidRPr="00B0658A">
        <w:rPr>
          <w:rFonts w:ascii="Times New Roman" w:hAnsi="Times New Roman"/>
          <w:sz w:val="28"/>
          <w:szCs w:val="24"/>
        </w:rPr>
        <w:t>4 к настоящим методическим рекомендациям.</w:t>
      </w:r>
    </w:p>
    <w:p w14:paraId="3AFB6EB9" w14:textId="6B6E5528" w:rsidR="00397200" w:rsidRPr="00B0658A" w:rsidRDefault="00792FAC"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Рекомендуемые с</w:t>
      </w:r>
      <w:r w:rsidR="00397200" w:rsidRPr="00B0658A">
        <w:rPr>
          <w:rFonts w:ascii="Times New Roman" w:hAnsi="Times New Roman"/>
          <w:sz w:val="28"/>
          <w:szCs w:val="24"/>
        </w:rPr>
        <w:t xml:space="preserve">роки предоставления в Минцифры России отчетных сведений согласно отчетным формам, приведенным в </w:t>
      </w:r>
      <w:r w:rsidR="007638FE">
        <w:rPr>
          <w:rFonts w:ascii="Times New Roman" w:hAnsi="Times New Roman"/>
          <w:sz w:val="28"/>
          <w:szCs w:val="24"/>
        </w:rPr>
        <w:t>п</w:t>
      </w:r>
      <w:r w:rsidR="00397200" w:rsidRPr="00B0658A">
        <w:rPr>
          <w:rFonts w:ascii="Times New Roman" w:hAnsi="Times New Roman"/>
          <w:sz w:val="28"/>
          <w:szCs w:val="24"/>
        </w:rPr>
        <w:t xml:space="preserve">риложении № </w:t>
      </w:r>
      <w:r w:rsidR="00DE0727" w:rsidRPr="00B0658A">
        <w:rPr>
          <w:rFonts w:ascii="Times New Roman" w:hAnsi="Times New Roman"/>
          <w:sz w:val="28"/>
          <w:szCs w:val="24"/>
        </w:rPr>
        <w:t>4</w:t>
      </w:r>
      <w:r w:rsidR="00397200" w:rsidRPr="00B0658A">
        <w:rPr>
          <w:rFonts w:ascii="Times New Roman" w:hAnsi="Times New Roman"/>
          <w:sz w:val="28"/>
          <w:szCs w:val="24"/>
        </w:rPr>
        <w:t xml:space="preserve"> к настоящим </w:t>
      </w:r>
      <w:r w:rsidR="00013CB6" w:rsidRPr="00B0658A">
        <w:rPr>
          <w:rFonts w:ascii="Times New Roman" w:hAnsi="Times New Roman"/>
          <w:sz w:val="28"/>
          <w:szCs w:val="24"/>
        </w:rPr>
        <w:t>м</w:t>
      </w:r>
      <w:r w:rsidR="00397200" w:rsidRPr="00B0658A">
        <w:rPr>
          <w:rFonts w:ascii="Times New Roman" w:hAnsi="Times New Roman"/>
          <w:sz w:val="28"/>
          <w:szCs w:val="24"/>
        </w:rPr>
        <w:t>етодическим рекомендациям:</w:t>
      </w:r>
    </w:p>
    <w:p w14:paraId="5AD39543" w14:textId="155BF91D" w:rsidR="00397200" w:rsidRPr="00B0658A" w:rsidRDefault="00397200"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для квартальных отчетов – не позднее 10 числа месяца, следующего за отчетным кварталом;</w:t>
      </w:r>
    </w:p>
    <w:p w14:paraId="021204F5" w14:textId="295A6BA7" w:rsidR="00397200" w:rsidRPr="00B0658A" w:rsidRDefault="00397200"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для полугодовых отчетов – в течение 1 месяца после даты завершения отчетного периода;</w:t>
      </w:r>
    </w:p>
    <w:p w14:paraId="0854E7C6" w14:textId="2AE14420" w:rsidR="00397200" w:rsidRPr="00B0658A" w:rsidRDefault="00397200"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для годовых отчетов – в течение 4-х месяцев после даты завершения отчетного периода.</w:t>
      </w:r>
    </w:p>
    <w:p w14:paraId="3C4C5652" w14:textId="77777777" w:rsidR="00B92D01" w:rsidRPr="00B0658A" w:rsidRDefault="00B92D01" w:rsidP="00F57B1F">
      <w:pPr>
        <w:spacing w:after="0" w:line="240" w:lineRule="auto"/>
        <w:jc w:val="both"/>
        <w:rPr>
          <w:rFonts w:ascii="Times New Roman" w:hAnsi="Times New Roman"/>
          <w:sz w:val="28"/>
          <w:szCs w:val="24"/>
        </w:rPr>
      </w:pPr>
    </w:p>
    <w:p w14:paraId="57986BE2" w14:textId="77777777" w:rsidR="007736E0" w:rsidRPr="00B0658A" w:rsidRDefault="005076FA" w:rsidP="00F57B1F">
      <w:pPr>
        <w:pStyle w:val="11"/>
        <w:spacing w:before="0" w:after="0" w:line="240" w:lineRule="auto"/>
        <w:rPr>
          <w:rFonts w:cs="Times New Roman"/>
          <w:szCs w:val="28"/>
        </w:rPr>
      </w:pPr>
      <w:bookmarkStart w:id="7" w:name="_Toc116632263"/>
      <w:r w:rsidRPr="00B0658A">
        <w:rPr>
          <w:rFonts w:cs="Times New Roman"/>
          <w:szCs w:val="28"/>
        </w:rPr>
        <w:t>3</w:t>
      </w:r>
      <w:r w:rsidR="007736E0" w:rsidRPr="00B0658A">
        <w:rPr>
          <w:rFonts w:cs="Times New Roman"/>
          <w:szCs w:val="28"/>
        </w:rPr>
        <w:t>.2. Переход на использование российского ПО организаций, подведомственных органам государственной власти и государственным внебюджетным фондам</w:t>
      </w:r>
      <w:bookmarkEnd w:id="7"/>
      <w:r w:rsidR="007736E0" w:rsidRPr="00B0658A">
        <w:rPr>
          <w:rFonts w:cs="Times New Roman"/>
          <w:szCs w:val="28"/>
        </w:rPr>
        <w:t xml:space="preserve"> </w:t>
      </w:r>
    </w:p>
    <w:p w14:paraId="0D6FA16F" w14:textId="77777777" w:rsidR="002127BB" w:rsidRPr="00B0658A" w:rsidRDefault="002127BB" w:rsidP="00F57B1F">
      <w:pPr>
        <w:spacing w:after="0" w:line="240" w:lineRule="auto"/>
        <w:ind w:firstLine="709"/>
        <w:jc w:val="both"/>
        <w:rPr>
          <w:rFonts w:ascii="Times New Roman" w:hAnsi="Times New Roman"/>
          <w:sz w:val="28"/>
          <w:szCs w:val="24"/>
        </w:rPr>
      </w:pPr>
    </w:p>
    <w:p w14:paraId="0E90DB1F" w14:textId="77777777" w:rsidR="002127BB" w:rsidRPr="00B0658A" w:rsidRDefault="00AD33FA"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5</w:t>
      </w:r>
      <w:r w:rsidR="00500CFF" w:rsidRPr="00B0658A">
        <w:rPr>
          <w:rFonts w:ascii="Times New Roman" w:hAnsi="Times New Roman"/>
          <w:sz w:val="28"/>
          <w:szCs w:val="24"/>
        </w:rPr>
        <w:t>7</w:t>
      </w:r>
      <w:r w:rsidRPr="00B0658A">
        <w:rPr>
          <w:rFonts w:ascii="Times New Roman" w:hAnsi="Times New Roman"/>
          <w:sz w:val="28"/>
          <w:szCs w:val="24"/>
        </w:rPr>
        <w:t xml:space="preserve">. Настоящий раздел методических рекомендаций применяется для организаций, подведомственных органам государственной власти и государственным внебюджетным фондам, не включенных в специальный перечень </w:t>
      </w:r>
      <w:r w:rsidR="00592B14" w:rsidRPr="00B0658A">
        <w:rPr>
          <w:rFonts w:ascii="Times New Roman" w:hAnsi="Times New Roman"/>
          <w:sz w:val="28"/>
          <w:szCs w:val="24"/>
        </w:rPr>
        <w:t>№ </w:t>
      </w:r>
      <w:r w:rsidR="00532467" w:rsidRPr="00B0658A">
        <w:rPr>
          <w:rFonts w:ascii="Times New Roman" w:hAnsi="Times New Roman"/>
          <w:sz w:val="28"/>
          <w:szCs w:val="24"/>
        </w:rPr>
        <w:t> </w:t>
      </w:r>
      <w:r w:rsidRPr="00B0658A">
        <w:rPr>
          <w:rFonts w:ascii="Times New Roman" w:hAnsi="Times New Roman"/>
          <w:sz w:val="28"/>
          <w:szCs w:val="24"/>
        </w:rPr>
        <w:t xml:space="preserve">91-р и в отношении которых не </w:t>
      </w:r>
      <w:r w:rsidRPr="00B0658A">
        <w:rPr>
          <w:rFonts w:ascii="Times New Roman" w:hAnsi="Times New Roman"/>
          <w:sz w:val="28"/>
          <w:szCs w:val="28"/>
        </w:rPr>
        <w:t xml:space="preserve">приняты решения о разработке стратегии (программы) цифровой трансформации (протокол заочного голосования членов президиума Правительственной комиссии по цифровому развитию, использованию информационных технологий для улучшения качества жизни и условий ведения </w:t>
      </w:r>
      <w:r w:rsidRPr="00B0658A">
        <w:rPr>
          <w:rFonts w:ascii="Times New Roman" w:hAnsi="Times New Roman"/>
          <w:sz w:val="28"/>
          <w:szCs w:val="28"/>
        </w:rPr>
        <w:lastRenderedPageBreak/>
        <w:t xml:space="preserve">предпринимательской деятельности от 31 августа 2022 г. </w:t>
      </w:r>
      <w:r w:rsidR="00592B14" w:rsidRPr="00B0658A">
        <w:rPr>
          <w:rFonts w:ascii="Times New Roman" w:hAnsi="Times New Roman"/>
          <w:sz w:val="28"/>
          <w:szCs w:val="28"/>
        </w:rPr>
        <w:t>№ </w:t>
      </w:r>
      <w:r w:rsidR="00532467" w:rsidRPr="00B0658A">
        <w:rPr>
          <w:rFonts w:ascii="Times New Roman" w:hAnsi="Times New Roman"/>
          <w:sz w:val="28"/>
          <w:szCs w:val="28"/>
        </w:rPr>
        <w:t> </w:t>
      </w:r>
      <w:r w:rsidRPr="00B0658A">
        <w:rPr>
          <w:rFonts w:ascii="Times New Roman" w:hAnsi="Times New Roman"/>
          <w:sz w:val="28"/>
          <w:szCs w:val="28"/>
        </w:rPr>
        <w:t>34)</w:t>
      </w:r>
      <w:r w:rsidR="000544FB" w:rsidRPr="00B0658A">
        <w:rPr>
          <w:rFonts w:ascii="Times New Roman" w:hAnsi="Times New Roman"/>
          <w:sz w:val="28"/>
          <w:szCs w:val="28"/>
        </w:rPr>
        <w:t xml:space="preserve"> (далее – подведомственные организации)</w:t>
      </w:r>
      <w:r w:rsidRPr="00B0658A">
        <w:rPr>
          <w:rFonts w:ascii="Times New Roman" w:hAnsi="Times New Roman"/>
          <w:sz w:val="28"/>
          <w:szCs w:val="24"/>
        </w:rPr>
        <w:t>.</w:t>
      </w:r>
    </w:p>
    <w:p w14:paraId="6632E5CA" w14:textId="77777777" w:rsidR="000544FB" w:rsidRPr="00B0658A" w:rsidRDefault="00AD33FA" w:rsidP="00F57B1F">
      <w:pPr>
        <w:spacing w:after="0" w:line="240" w:lineRule="auto"/>
        <w:ind w:firstLine="720"/>
        <w:jc w:val="both"/>
        <w:rPr>
          <w:rFonts w:ascii="Times New Roman" w:hAnsi="Times New Roman"/>
          <w:sz w:val="28"/>
          <w:szCs w:val="24"/>
        </w:rPr>
      </w:pPr>
      <w:r w:rsidRPr="00B0658A">
        <w:rPr>
          <w:rFonts w:ascii="Times New Roman" w:hAnsi="Times New Roman"/>
          <w:sz w:val="28"/>
          <w:szCs w:val="24"/>
        </w:rPr>
        <w:t>5</w:t>
      </w:r>
      <w:r w:rsidR="00500CFF" w:rsidRPr="00B0658A">
        <w:rPr>
          <w:rFonts w:ascii="Times New Roman" w:hAnsi="Times New Roman"/>
          <w:sz w:val="28"/>
          <w:szCs w:val="24"/>
        </w:rPr>
        <w:t>8</w:t>
      </w:r>
      <w:r w:rsidRPr="00B0658A">
        <w:rPr>
          <w:rFonts w:ascii="Times New Roman" w:hAnsi="Times New Roman"/>
          <w:sz w:val="28"/>
          <w:szCs w:val="24"/>
        </w:rPr>
        <w:t>. </w:t>
      </w:r>
      <w:r w:rsidR="002C0338" w:rsidRPr="00B0658A">
        <w:rPr>
          <w:rFonts w:ascii="Times New Roman" w:hAnsi="Times New Roman"/>
          <w:sz w:val="28"/>
          <w:szCs w:val="24"/>
        </w:rPr>
        <w:t xml:space="preserve">В </w:t>
      </w:r>
      <w:r w:rsidR="000544FB" w:rsidRPr="00B0658A">
        <w:rPr>
          <w:rFonts w:ascii="Times New Roman" w:hAnsi="Times New Roman"/>
          <w:sz w:val="28"/>
          <w:szCs w:val="24"/>
        </w:rPr>
        <w:t xml:space="preserve">План перехода подведомственной организации на использование российского ПО </w:t>
      </w:r>
      <w:r w:rsidR="002C0338" w:rsidRPr="00B0658A">
        <w:rPr>
          <w:rFonts w:ascii="Times New Roman" w:hAnsi="Times New Roman"/>
          <w:sz w:val="28"/>
          <w:szCs w:val="24"/>
        </w:rPr>
        <w:t>рекомендуется включать</w:t>
      </w:r>
      <w:r w:rsidR="000544FB" w:rsidRPr="00B0658A">
        <w:rPr>
          <w:rFonts w:ascii="Times New Roman" w:hAnsi="Times New Roman"/>
          <w:sz w:val="28"/>
          <w:szCs w:val="24"/>
        </w:rPr>
        <w:t>:</w:t>
      </w:r>
    </w:p>
    <w:p w14:paraId="49A652B2" w14:textId="77777777" w:rsidR="000544FB" w:rsidRPr="00B0658A" w:rsidRDefault="000544FB" w:rsidP="00F57B1F">
      <w:pPr>
        <w:spacing w:after="0" w:line="240" w:lineRule="auto"/>
        <w:ind w:firstLine="720"/>
        <w:jc w:val="both"/>
        <w:rPr>
          <w:rFonts w:ascii="Times New Roman" w:hAnsi="Times New Roman"/>
          <w:sz w:val="28"/>
          <w:szCs w:val="24"/>
        </w:rPr>
      </w:pPr>
      <w:r w:rsidRPr="00B0658A">
        <w:rPr>
          <w:rFonts w:ascii="Times New Roman" w:hAnsi="Times New Roman"/>
          <w:sz w:val="28"/>
          <w:szCs w:val="24"/>
        </w:rPr>
        <w:t>а) перечень организационно-технических мероприятий, реализация которых необходима для перехода на использование российского ПО, в том числе на значимых объектах КИИ, с учетом настоящих методических рекомендаций и требований законодательства Российской Федерации (в виде отдельной таблицы);</w:t>
      </w:r>
    </w:p>
    <w:p w14:paraId="0CBF481D" w14:textId="77777777" w:rsidR="000544FB" w:rsidRPr="00B0658A" w:rsidRDefault="000544FB" w:rsidP="00F57B1F">
      <w:pPr>
        <w:spacing w:after="0" w:line="240" w:lineRule="auto"/>
        <w:ind w:firstLine="720"/>
        <w:jc w:val="both"/>
        <w:rPr>
          <w:rFonts w:ascii="Times New Roman" w:hAnsi="Times New Roman"/>
          <w:sz w:val="28"/>
          <w:szCs w:val="24"/>
        </w:rPr>
      </w:pPr>
      <w:r w:rsidRPr="00B0658A">
        <w:rPr>
          <w:rFonts w:ascii="Times New Roman" w:hAnsi="Times New Roman"/>
          <w:sz w:val="28"/>
          <w:szCs w:val="24"/>
        </w:rPr>
        <w:t xml:space="preserve">б) показатели эффективности и соответствующие им </w:t>
      </w:r>
      <w:r w:rsidR="00703EC3" w:rsidRPr="00B0658A">
        <w:rPr>
          <w:rFonts w:ascii="Times New Roman" w:hAnsi="Times New Roman"/>
          <w:sz w:val="28"/>
          <w:szCs w:val="24"/>
        </w:rPr>
        <w:t xml:space="preserve">значения </w:t>
      </w:r>
      <w:r w:rsidRPr="00B0658A">
        <w:rPr>
          <w:rFonts w:ascii="Times New Roman" w:hAnsi="Times New Roman"/>
          <w:sz w:val="28"/>
          <w:szCs w:val="24"/>
        </w:rPr>
        <w:t>индикатор</w:t>
      </w:r>
      <w:r w:rsidR="00703EC3" w:rsidRPr="00B0658A">
        <w:rPr>
          <w:rFonts w:ascii="Times New Roman" w:hAnsi="Times New Roman"/>
          <w:sz w:val="28"/>
          <w:szCs w:val="24"/>
        </w:rPr>
        <w:t>ов</w:t>
      </w:r>
      <w:r w:rsidRPr="00B0658A">
        <w:rPr>
          <w:rFonts w:ascii="Times New Roman" w:hAnsi="Times New Roman"/>
          <w:sz w:val="28"/>
          <w:szCs w:val="24"/>
        </w:rPr>
        <w:t xml:space="preserve"> эффективности перехода на использование российского ПО, предусматривающие установление по годам показателей эффективности использования российского ПО в отношении каждого используемого класса (типа) ПО</w:t>
      </w:r>
      <w:r w:rsidR="00535825" w:rsidRPr="00B0658A">
        <w:rPr>
          <w:rFonts w:ascii="Times New Roman" w:hAnsi="Times New Roman"/>
          <w:sz w:val="28"/>
          <w:szCs w:val="24"/>
        </w:rPr>
        <w:t>,</w:t>
      </w:r>
      <w:r w:rsidRPr="00B0658A">
        <w:rPr>
          <w:rFonts w:ascii="Times New Roman" w:hAnsi="Times New Roman"/>
          <w:sz w:val="28"/>
          <w:szCs w:val="24"/>
        </w:rPr>
        <w:t xml:space="preserve"> в соответствии с приказом Министерства цифрового развития, связи и массовых коммуникаций Российской Федерации от 22 сентября 2020 г. </w:t>
      </w:r>
      <w:r w:rsidR="00592B14" w:rsidRPr="00B0658A">
        <w:rPr>
          <w:rFonts w:ascii="Times New Roman" w:hAnsi="Times New Roman"/>
          <w:sz w:val="28"/>
          <w:szCs w:val="24"/>
        </w:rPr>
        <w:t>№ </w:t>
      </w:r>
      <w:r w:rsidRPr="00B0658A">
        <w:rPr>
          <w:rFonts w:ascii="Times New Roman" w:hAnsi="Times New Roman"/>
          <w:sz w:val="28"/>
          <w:szCs w:val="24"/>
        </w:rPr>
        <w:t xml:space="preserve"> 486 «Об утверждении классификатора программ для электронных вычислительных машин и баз данных» (в виде отдельной таблицы);</w:t>
      </w:r>
    </w:p>
    <w:p w14:paraId="213E4506" w14:textId="77777777" w:rsidR="000544FB" w:rsidRPr="00B0658A" w:rsidRDefault="000544FB" w:rsidP="00F57B1F">
      <w:pPr>
        <w:spacing w:after="0" w:line="240" w:lineRule="auto"/>
        <w:ind w:firstLine="720"/>
        <w:jc w:val="both"/>
        <w:rPr>
          <w:rFonts w:ascii="Times New Roman" w:hAnsi="Times New Roman"/>
          <w:sz w:val="28"/>
          <w:szCs w:val="24"/>
        </w:rPr>
      </w:pPr>
      <w:r w:rsidRPr="00B0658A">
        <w:rPr>
          <w:rFonts w:ascii="Times New Roman" w:hAnsi="Times New Roman"/>
          <w:sz w:val="28"/>
          <w:szCs w:val="24"/>
        </w:rPr>
        <w:t xml:space="preserve">в) показатели эффективности в отношении закупок ПО и связанных с ним работ и услуг, осуществляемых </w:t>
      </w:r>
      <w:r w:rsidR="007E36A7" w:rsidRPr="00B0658A">
        <w:rPr>
          <w:rFonts w:ascii="Times New Roman" w:hAnsi="Times New Roman"/>
          <w:sz w:val="28"/>
          <w:szCs w:val="24"/>
        </w:rPr>
        <w:t>подведомственной организацией</w:t>
      </w:r>
      <w:r w:rsidRPr="00B0658A">
        <w:rPr>
          <w:rFonts w:ascii="Times New Roman" w:hAnsi="Times New Roman"/>
          <w:sz w:val="28"/>
          <w:szCs w:val="24"/>
        </w:rPr>
        <w:t>, устанавливаемые по годам на весь период планирования перехода на использование российского ПО (в виде отдельной таблицы);</w:t>
      </w:r>
    </w:p>
    <w:p w14:paraId="6CEAAB67" w14:textId="77777777" w:rsidR="000544FB" w:rsidRPr="00B0658A" w:rsidRDefault="000544FB" w:rsidP="00F57B1F">
      <w:pPr>
        <w:spacing w:after="0" w:line="240" w:lineRule="auto"/>
        <w:ind w:firstLine="720"/>
        <w:jc w:val="both"/>
        <w:rPr>
          <w:rFonts w:ascii="Times New Roman" w:hAnsi="Times New Roman"/>
          <w:sz w:val="28"/>
          <w:szCs w:val="24"/>
        </w:rPr>
      </w:pPr>
      <w:r w:rsidRPr="00B0658A">
        <w:rPr>
          <w:rFonts w:ascii="Times New Roman" w:hAnsi="Times New Roman"/>
          <w:sz w:val="28"/>
          <w:szCs w:val="24"/>
        </w:rPr>
        <w:t>г) сведения об объемах и источниках финансовых ресурсов, планируемых для решения задач по переходу на использование российского ПО, в том числе на значимых объектах КИИ, указываемых по годам (в виде отдельной таблицы);</w:t>
      </w:r>
    </w:p>
    <w:p w14:paraId="01BE7F6A" w14:textId="77777777" w:rsidR="000544FB" w:rsidRPr="00B0658A" w:rsidRDefault="000544FB" w:rsidP="00F57B1F">
      <w:pPr>
        <w:spacing w:after="0" w:line="240" w:lineRule="auto"/>
        <w:ind w:firstLine="720"/>
        <w:jc w:val="both"/>
        <w:rPr>
          <w:rFonts w:ascii="Times New Roman" w:hAnsi="Times New Roman"/>
          <w:sz w:val="28"/>
          <w:szCs w:val="24"/>
        </w:rPr>
      </w:pPr>
      <w:r w:rsidRPr="00B0658A">
        <w:rPr>
          <w:rFonts w:ascii="Times New Roman" w:hAnsi="Times New Roman"/>
          <w:sz w:val="28"/>
          <w:szCs w:val="24"/>
        </w:rPr>
        <w:t xml:space="preserve">д) детализированный план перехода на использование российского ПО на принадлежащих </w:t>
      </w:r>
      <w:r w:rsidR="007E36A7" w:rsidRPr="00B0658A">
        <w:rPr>
          <w:rFonts w:ascii="Times New Roman" w:hAnsi="Times New Roman"/>
          <w:sz w:val="28"/>
          <w:szCs w:val="24"/>
        </w:rPr>
        <w:t>подведомственной организации</w:t>
      </w:r>
      <w:r w:rsidRPr="00B0658A">
        <w:rPr>
          <w:rFonts w:ascii="Times New Roman" w:hAnsi="Times New Roman"/>
          <w:sz w:val="28"/>
          <w:szCs w:val="24"/>
        </w:rPr>
        <w:t xml:space="preserve"> значимых объектах КИИ, представляющий собой определение перечня мероприятий и задач по каждому значимому объекту КИИ, а также показатели эффективности перехода на использование российского ПО и соответствующие им </w:t>
      </w:r>
      <w:r w:rsidR="00703EC3" w:rsidRPr="00B0658A">
        <w:rPr>
          <w:rFonts w:ascii="Times New Roman" w:hAnsi="Times New Roman"/>
          <w:sz w:val="28"/>
          <w:szCs w:val="24"/>
        </w:rPr>
        <w:t xml:space="preserve">значения </w:t>
      </w:r>
      <w:r w:rsidRPr="00B0658A">
        <w:rPr>
          <w:rFonts w:ascii="Times New Roman" w:hAnsi="Times New Roman"/>
          <w:sz w:val="28"/>
          <w:szCs w:val="24"/>
        </w:rPr>
        <w:t>индикатор</w:t>
      </w:r>
      <w:r w:rsidR="00703EC3" w:rsidRPr="00B0658A">
        <w:rPr>
          <w:rFonts w:ascii="Times New Roman" w:hAnsi="Times New Roman"/>
          <w:sz w:val="28"/>
          <w:szCs w:val="24"/>
        </w:rPr>
        <w:t>ов</w:t>
      </w:r>
      <w:r w:rsidRPr="00B0658A">
        <w:rPr>
          <w:rFonts w:ascii="Times New Roman" w:hAnsi="Times New Roman"/>
          <w:sz w:val="28"/>
          <w:szCs w:val="24"/>
        </w:rPr>
        <w:t xml:space="preserve"> эффективности, устанавливаемые по годам для каждого значимого объекта КИИ в отношении каждого класса (типа) ПО, используемого на соответствующем значимом объекте КИИ (в виде отдельной таблицы)</w:t>
      </w:r>
      <w:r w:rsidR="007E36A7" w:rsidRPr="00B0658A">
        <w:rPr>
          <w:rFonts w:ascii="Times New Roman" w:hAnsi="Times New Roman"/>
          <w:sz w:val="28"/>
          <w:szCs w:val="24"/>
        </w:rPr>
        <w:t>.</w:t>
      </w:r>
    </w:p>
    <w:p w14:paraId="042AB5B1" w14:textId="77777777" w:rsidR="007E36A7" w:rsidRPr="00B0658A" w:rsidRDefault="007E36A7" w:rsidP="00F57B1F">
      <w:pPr>
        <w:spacing w:after="0" w:line="240" w:lineRule="auto"/>
        <w:ind w:firstLine="720"/>
        <w:jc w:val="both"/>
        <w:rPr>
          <w:rFonts w:ascii="Times New Roman" w:hAnsi="Times New Roman"/>
          <w:sz w:val="28"/>
          <w:szCs w:val="24"/>
        </w:rPr>
      </w:pPr>
      <w:r w:rsidRPr="00B0658A">
        <w:rPr>
          <w:rFonts w:ascii="Times New Roman" w:hAnsi="Times New Roman"/>
          <w:sz w:val="28"/>
          <w:szCs w:val="24"/>
        </w:rPr>
        <w:t>5</w:t>
      </w:r>
      <w:r w:rsidR="00500CFF" w:rsidRPr="00B0658A">
        <w:rPr>
          <w:rFonts w:ascii="Times New Roman" w:hAnsi="Times New Roman"/>
          <w:sz w:val="28"/>
          <w:szCs w:val="24"/>
        </w:rPr>
        <w:t>9</w:t>
      </w:r>
      <w:r w:rsidRPr="00B0658A">
        <w:rPr>
          <w:rFonts w:ascii="Times New Roman" w:hAnsi="Times New Roman"/>
          <w:sz w:val="28"/>
          <w:szCs w:val="24"/>
        </w:rPr>
        <w:t xml:space="preserve">. План перехода подведомственной организации на использование российского ПО </w:t>
      </w:r>
      <w:r w:rsidR="00703EC3" w:rsidRPr="00B0658A">
        <w:rPr>
          <w:rFonts w:ascii="Times New Roman" w:hAnsi="Times New Roman"/>
          <w:sz w:val="28"/>
          <w:szCs w:val="24"/>
        </w:rPr>
        <w:t>рекомендуется утвердить</w:t>
      </w:r>
      <w:r w:rsidRPr="00B0658A">
        <w:rPr>
          <w:rFonts w:ascii="Times New Roman" w:hAnsi="Times New Roman"/>
          <w:sz w:val="28"/>
          <w:szCs w:val="24"/>
        </w:rPr>
        <w:t xml:space="preserve"> решением руководителя подведомственной организации.</w:t>
      </w:r>
    </w:p>
    <w:p w14:paraId="7588F2E9" w14:textId="77777777" w:rsidR="007E36A7" w:rsidRPr="00B0658A" w:rsidRDefault="00500CFF" w:rsidP="00F57B1F">
      <w:pPr>
        <w:spacing w:after="0" w:line="240" w:lineRule="auto"/>
        <w:ind w:firstLine="720"/>
        <w:jc w:val="both"/>
        <w:rPr>
          <w:rFonts w:ascii="Times New Roman" w:hAnsi="Times New Roman"/>
          <w:sz w:val="28"/>
          <w:szCs w:val="24"/>
        </w:rPr>
      </w:pPr>
      <w:r w:rsidRPr="00B0658A">
        <w:rPr>
          <w:rFonts w:ascii="Times New Roman" w:hAnsi="Times New Roman"/>
          <w:sz w:val="28"/>
          <w:szCs w:val="24"/>
        </w:rPr>
        <w:t>60</w:t>
      </w:r>
      <w:r w:rsidR="007E36A7" w:rsidRPr="00B0658A">
        <w:rPr>
          <w:rFonts w:ascii="Times New Roman" w:hAnsi="Times New Roman"/>
          <w:sz w:val="28"/>
          <w:szCs w:val="24"/>
        </w:rPr>
        <w:t xml:space="preserve">. В целях обеспечения эффективного перехода подведомственной организации на использование российского ПО рекомендуется определить решением руководителя организации работника, занимающего должность не ниже заместителя руководителя организации, ответственного за переход на использование российского ПО, а также за достижение устанавливаемых в Плане перехода показателей эффективности и </w:t>
      </w:r>
      <w:r w:rsidR="00387935" w:rsidRPr="00B0658A">
        <w:rPr>
          <w:rFonts w:ascii="Times New Roman" w:hAnsi="Times New Roman"/>
          <w:sz w:val="28"/>
          <w:szCs w:val="24"/>
        </w:rPr>
        <w:t>соответствующих им значений индикаторов эффективности</w:t>
      </w:r>
      <w:r w:rsidR="007E36A7" w:rsidRPr="00B0658A">
        <w:rPr>
          <w:rFonts w:ascii="Times New Roman" w:hAnsi="Times New Roman"/>
          <w:sz w:val="28"/>
          <w:szCs w:val="24"/>
        </w:rPr>
        <w:t>.</w:t>
      </w:r>
    </w:p>
    <w:p w14:paraId="21DBBA8A" w14:textId="77777777" w:rsidR="00387935" w:rsidRPr="00B0658A" w:rsidRDefault="00500CFF" w:rsidP="00F57B1F">
      <w:pPr>
        <w:spacing w:after="0" w:line="240" w:lineRule="auto"/>
        <w:ind w:firstLine="720"/>
        <w:jc w:val="both"/>
        <w:rPr>
          <w:rFonts w:ascii="Times New Roman" w:hAnsi="Times New Roman"/>
          <w:sz w:val="28"/>
          <w:szCs w:val="24"/>
        </w:rPr>
      </w:pPr>
      <w:r w:rsidRPr="00B0658A">
        <w:rPr>
          <w:rFonts w:ascii="Times New Roman" w:hAnsi="Times New Roman"/>
          <w:sz w:val="28"/>
          <w:szCs w:val="24"/>
        </w:rPr>
        <w:t>61</w:t>
      </w:r>
      <w:r w:rsidR="00387935" w:rsidRPr="00B0658A">
        <w:rPr>
          <w:rFonts w:ascii="Times New Roman" w:hAnsi="Times New Roman"/>
          <w:sz w:val="28"/>
          <w:szCs w:val="24"/>
        </w:rPr>
        <w:t xml:space="preserve">. План перехода подведомственной организации на использование российского ПО </w:t>
      </w:r>
      <w:r w:rsidR="001C562D" w:rsidRPr="00B0658A">
        <w:rPr>
          <w:rFonts w:ascii="Times New Roman" w:hAnsi="Times New Roman"/>
          <w:sz w:val="28"/>
          <w:szCs w:val="24"/>
        </w:rPr>
        <w:t xml:space="preserve">рекомендуется </w:t>
      </w:r>
      <w:r w:rsidR="00387935" w:rsidRPr="00B0658A">
        <w:rPr>
          <w:rFonts w:ascii="Times New Roman" w:hAnsi="Times New Roman"/>
          <w:sz w:val="28"/>
          <w:szCs w:val="24"/>
        </w:rPr>
        <w:t>согласова</w:t>
      </w:r>
      <w:r w:rsidR="001C562D" w:rsidRPr="00B0658A">
        <w:rPr>
          <w:rFonts w:ascii="Times New Roman" w:hAnsi="Times New Roman"/>
          <w:sz w:val="28"/>
          <w:szCs w:val="24"/>
        </w:rPr>
        <w:t>ть</w:t>
      </w:r>
      <w:r w:rsidR="00387935" w:rsidRPr="00B0658A">
        <w:rPr>
          <w:rFonts w:ascii="Times New Roman" w:hAnsi="Times New Roman"/>
          <w:sz w:val="28"/>
          <w:szCs w:val="24"/>
        </w:rPr>
        <w:t xml:space="preserve"> с Минцифры России</w:t>
      </w:r>
      <w:r w:rsidR="003B0F1F" w:rsidRPr="00B0658A">
        <w:rPr>
          <w:rFonts w:ascii="Times New Roman" w:hAnsi="Times New Roman"/>
          <w:sz w:val="28"/>
          <w:szCs w:val="24"/>
        </w:rPr>
        <w:t xml:space="preserve">, а также с АНО «Центр компетенций по импортозамещению в сфере </w:t>
      </w:r>
      <w:r w:rsidR="000803DD" w:rsidRPr="00B0658A">
        <w:rPr>
          <w:rFonts w:ascii="Times New Roman" w:hAnsi="Times New Roman"/>
          <w:sz w:val="28"/>
          <w:szCs w:val="24"/>
        </w:rPr>
        <w:t>ИКТ</w:t>
      </w:r>
      <w:r w:rsidR="003B0F1F" w:rsidRPr="00B0658A">
        <w:rPr>
          <w:rFonts w:ascii="Times New Roman" w:hAnsi="Times New Roman"/>
          <w:sz w:val="28"/>
          <w:szCs w:val="24"/>
        </w:rPr>
        <w:t xml:space="preserve">» </w:t>
      </w:r>
      <w:r w:rsidR="0048294E" w:rsidRPr="00B0658A">
        <w:rPr>
          <w:rFonts w:ascii="Times New Roman" w:hAnsi="Times New Roman"/>
          <w:sz w:val="28"/>
          <w:szCs w:val="24"/>
        </w:rPr>
        <w:t xml:space="preserve">(за исключением сведений, составляющих государственную тайну) </w:t>
      </w:r>
      <w:r w:rsidR="003B0F1F" w:rsidRPr="00B0658A">
        <w:rPr>
          <w:rFonts w:ascii="Times New Roman" w:hAnsi="Times New Roman"/>
          <w:sz w:val="28"/>
          <w:szCs w:val="24"/>
        </w:rPr>
        <w:t xml:space="preserve">в соответствии с </w:t>
      </w:r>
      <w:r w:rsidR="0048294E" w:rsidRPr="00B0658A">
        <w:rPr>
          <w:rFonts w:ascii="Times New Roman" w:hAnsi="Times New Roman"/>
          <w:sz w:val="28"/>
          <w:szCs w:val="24"/>
        </w:rPr>
        <w:t xml:space="preserve">постановлением Правительства Российской Федерации от 15 декабря 2020 г. </w:t>
      </w:r>
      <w:r w:rsidR="00592B14" w:rsidRPr="00B0658A">
        <w:rPr>
          <w:rFonts w:ascii="Times New Roman" w:hAnsi="Times New Roman"/>
          <w:sz w:val="28"/>
          <w:szCs w:val="24"/>
        </w:rPr>
        <w:t>№</w:t>
      </w:r>
      <w:r w:rsidR="0048294E" w:rsidRPr="00B0658A">
        <w:rPr>
          <w:rFonts w:ascii="Times New Roman" w:hAnsi="Times New Roman"/>
          <w:sz w:val="28"/>
          <w:szCs w:val="24"/>
        </w:rPr>
        <w:t xml:space="preserve">2117 и постановлением Правительства Российской Федерации от 28 сентября 2022 г. </w:t>
      </w:r>
      <w:r w:rsidR="00592B14" w:rsidRPr="00B0658A">
        <w:rPr>
          <w:rFonts w:ascii="Times New Roman" w:hAnsi="Times New Roman"/>
          <w:sz w:val="28"/>
          <w:szCs w:val="24"/>
        </w:rPr>
        <w:t>№</w:t>
      </w:r>
      <w:r w:rsidR="0048294E" w:rsidRPr="00B0658A">
        <w:rPr>
          <w:rFonts w:ascii="Times New Roman" w:hAnsi="Times New Roman"/>
          <w:sz w:val="28"/>
          <w:szCs w:val="24"/>
        </w:rPr>
        <w:t>1706</w:t>
      </w:r>
      <w:r w:rsidR="00387935" w:rsidRPr="00B0658A">
        <w:rPr>
          <w:rFonts w:ascii="Times New Roman" w:hAnsi="Times New Roman"/>
          <w:sz w:val="28"/>
          <w:szCs w:val="24"/>
        </w:rPr>
        <w:t>.</w:t>
      </w:r>
    </w:p>
    <w:p w14:paraId="05900C0A" w14:textId="0922232C" w:rsidR="001C562D" w:rsidRPr="00B0658A" w:rsidRDefault="00387935" w:rsidP="00F57B1F">
      <w:pPr>
        <w:spacing w:after="0" w:line="240" w:lineRule="auto"/>
        <w:ind w:firstLine="720"/>
        <w:jc w:val="both"/>
        <w:rPr>
          <w:rFonts w:ascii="Times New Roman" w:hAnsi="Times New Roman"/>
          <w:sz w:val="28"/>
          <w:szCs w:val="24"/>
        </w:rPr>
      </w:pPr>
      <w:r w:rsidRPr="00B0658A">
        <w:rPr>
          <w:rFonts w:ascii="Times New Roman" w:hAnsi="Times New Roman"/>
          <w:sz w:val="28"/>
          <w:szCs w:val="24"/>
        </w:rPr>
        <w:lastRenderedPageBreak/>
        <w:t>6</w:t>
      </w:r>
      <w:r w:rsidR="00500CFF" w:rsidRPr="00B0658A">
        <w:rPr>
          <w:rFonts w:ascii="Times New Roman" w:hAnsi="Times New Roman"/>
          <w:sz w:val="28"/>
          <w:szCs w:val="24"/>
        </w:rPr>
        <w:t>2</w:t>
      </w:r>
      <w:r w:rsidRPr="00B0658A">
        <w:rPr>
          <w:rFonts w:ascii="Times New Roman" w:hAnsi="Times New Roman"/>
          <w:sz w:val="28"/>
          <w:szCs w:val="24"/>
        </w:rPr>
        <w:t xml:space="preserve">. Детализированный план перехода на использование российского ПО на принадлежащих подведомственной организации значимых объектах КИИ, а также показатели эффективности перехода на использование российского ПО и соответствующие им значения </w:t>
      </w:r>
      <w:r w:rsidR="001C562D" w:rsidRPr="00B0658A">
        <w:rPr>
          <w:rFonts w:ascii="Times New Roman" w:hAnsi="Times New Roman"/>
          <w:sz w:val="28"/>
          <w:szCs w:val="24"/>
        </w:rPr>
        <w:t xml:space="preserve">индикаторов </w:t>
      </w:r>
      <w:r w:rsidRPr="00B0658A">
        <w:rPr>
          <w:rFonts w:ascii="Times New Roman" w:hAnsi="Times New Roman"/>
          <w:sz w:val="28"/>
          <w:szCs w:val="24"/>
        </w:rPr>
        <w:t xml:space="preserve">эффективности, устанавливаемые для значимых объектов КИИ, также </w:t>
      </w:r>
      <w:r w:rsidR="001C562D" w:rsidRPr="00B0658A">
        <w:rPr>
          <w:rFonts w:ascii="Times New Roman" w:hAnsi="Times New Roman"/>
          <w:sz w:val="28"/>
          <w:szCs w:val="24"/>
        </w:rPr>
        <w:t>рекомендуется</w:t>
      </w:r>
      <w:r w:rsidRPr="00B0658A">
        <w:rPr>
          <w:rFonts w:ascii="Times New Roman" w:hAnsi="Times New Roman"/>
          <w:sz w:val="28"/>
          <w:szCs w:val="24"/>
        </w:rPr>
        <w:t xml:space="preserve"> согласова</w:t>
      </w:r>
      <w:r w:rsidR="001C562D" w:rsidRPr="00B0658A">
        <w:rPr>
          <w:rFonts w:ascii="Times New Roman" w:hAnsi="Times New Roman"/>
          <w:sz w:val="28"/>
          <w:szCs w:val="24"/>
        </w:rPr>
        <w:t>ть</w:t>
      </w:r>
      <w:r w:rsidRPr="00B0658A">
        <w:rPr>
          <w:rFonts w:ascii="Times New Roman" w:hAnsi="Times New Roman"/>
          <w:sz w:val="28"/>
          <w:szCs w:val="24"/>
        </w:rPr>
        <w:t xml:space="preserve"> с </w:t>
      </w:r>
      <w:r w:rsidR="00A123F5">
        <w:rPr>
          <w:rFonts w:ascii="Times New Roman" w:hAnsi="Times New Roman"/>
          <w:sz w:val="28"/>
          <w:szCs w:val="24"/>
        </w:rPr>
        <w:t>Минцифры</w:t>
      </w:r>
      <w:r w:rsidRPr="00B0658A">
        <w:rPr>
          <w:rFonts w:ascii="Times New Roman" w:hAnsi="Times New Roman"/>
          <w:sz w:val="28"/>
          <w:szCs w:val="24"/>
        </w:rPr>
        <w:t xml:space="preserve"> России.</w:t>
      </w:r>
    </w:p>
    <w:p w14:paraId="022A8F30" w14:textId="77777777" w:rsidR="007E36A7" w:rsidRPr="00B0658A" w:rsidRDefault="00387935" w:rsidP="00F57B1F">
      <w:pPr>
        <w:spacing w:after="0" w:line="240" w:lineRule="auto"/>
        <w:ind w:firstLine="720"/>
        <w:jc w:val="both"/>
        <w:rPr>
          <w:rFonts w:ascii="Times New Roman" w:hAnsi="Times New Roman"/>
          <w:sz w:val="28"/>
          <w:szCs w:val="24"/>
        </w:rPr>
      </w:pPr>
      <w:r w:rsidRPr="00B0658A">
        <w:rPr>
          <w:rFonts w:ascii="Times New Roman" w:hAnsi="Times New Roman"/>
          <w:sz w:val="28"/>
          <w:szCs w:val="24"/>
        </w:rPr>
        <w:t>6</w:t>
      </w:r>
      <w:r w:rsidR="00500CFF" w:rsidRPr="00B0658A">
        <w:rPr>
          <w:rFonts w:ascii="Times New Roman" w:hAnsi="Times New Roman"/>
          <w:sz w:val="28"/>
          <w:szCs w:val="24"/>
        </w:rPr>
        <w:t>3</w:t>
      </w:r>
      <w:r w:rsidRPr="00B0658A">
        <w:rPr>
          <w:rFonts w:ascii="Times New Roman" w:hAnsi="Times New Roman"/>
          <w:sz w:val="28"/>
          <w:szCs w:val="24"/>
        </w:rPr>
        <w:t>. Документы, являющиеся частью Плана перехода и которые представляют собой сведения, составляющие государственную тайну, и документы, являющиеся частью Плана перехода и в которых отсутствуют сведения, составляющие государственную тайну, представляются на согласование раздельно.</w:t>
      </w:r>
    </w:p>
    <w:p w14:paraId="35C3D6B7" w14:textId="77777777" w:rsidR="00500FE2" w:rsidRPr="00B0658A" w:rsidRDefault="00387935"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6</w:t>
      </w:r>
      <w:r w:rsidR="00500CFF" w:rsidRPr="00B0658A">
        <w:rPr>
          <w:rFonts w:ascii="Times New Roman" w:hAnsi="Times New Roman"/>
          <w:sz w:val="28"/>
          <w:szCs w:val="24"/>
        </w:rPr>
        <w:t>4</w:t>
      </w:r>
      <w:r w:rsidRPr="00B0658A">
        <w:rPr>
          <w:rFonts w:ascii="Times New Roman" w:hAnsi="Times New Roman"/>
          <w:sz w:val="28"/>
          <w:szCs w:val="24"/>
        </w:rPr>
        <w:t>. </w:t>
      </w:r>
      <w:r w:rsidR="00500FE2" w:rsidRPr="00B0658A">
        <w:rPr>
          <w:rFonts w:ascii="Times New Roman" w:hAnsi="Times New Roman"/>
          <w:sz w:val="28"/>
          <w:szCs w:val="24"/>
        </w:rPr>
        <w:t xml:space="preserve">Рекомендованная форма </w:t>
      </w:r>
      <w:r w:rsidR="001C562D" w:rsidRPr="00B0658A">
        <w:rPr>
          <w:rFonts w:ascii="Times New Roman" w:hAnsi="Times New Roman"/>
          <w:sz w:val="28"/>
          <w:szCs w:val="24"/>
        </w:rPr>
        <w:t>П</w:t>
      </w:r>
      <w:r w:rsidR="00500FE2" w:rsidRPr="00B0658A">
        <w:rPr>
          <w:rFonts w:ascii="Times New Roman" w:hAnsi="Times New Roman"/>
          <w:sz w:val="28"/>
          <w:szCs w:val="24"/>
        </w:rPr>
        <w:t>лана перехода подведомственной организации на использование российского ПО, включая:</w:t>
      </w:r>
    </w:p>
    <w:p w14:paraId="3510FFC1" w14:textId="77777777" w:rsidR="00500FE2" w:rsidRPr="00B0658A" w:rsidRDefault="00500FE2"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а) форм</w:t>
      </w:r>
      <w:r w:rsidR="001C562D" w:rsidRPr="00B0658A">
        <w:rPr>
          <w:rFonts w:ascii="Times New Roman" w:hAnsi="Times New Roman"/>
          <w:sz w:val="28"/>
          <w:szCs w:val="24"/>
        </w:rPr>
        <w:t>у</w:t>
      </w:r>
      <w:r w:rsidRPr="00B0658A">
        <w:rPr>
          <w:rFonts w:ascii="Times New Roman" w:hAnsi="Times New Roman"/>
          <w:sz w:val="28"/>
          <w:szCs w:val="24"/>
        </w:rPr>
        <w:t xml:space="preserve"> для формирования перечня организационно-технических мероприятий;</w:t>
      </w:r>
    </w:p>
    <w:p w14:paraId="68304E5A" w14:textId="77777777" w:rsidR="00500FE2" w:rsidRPr="00B0658A" w:rsidRDefault="00500FE2"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б) форм</w:t>
      </w:r>
      <w:r w:rsidR="001C562D" w:rsidRPr="00B0658A">
        <w:rPr>
          <w:rFonts w:ascii="Times New Roman" w:hAnsi="Times New Roman"/>
          <w:sz w:val="28"/>
          <w:szCs w:val="24"/>
        </w:rPr>
        <w:t>у</w:t>
      </w:r>
      <w:r w:rsidRPr="00B0658A">
        <w:rPr>
          <w:rFonts w:ascii="Times New Roman" w:hAnsi="Times New Roman"/>
          <w:sz w:val="28"/>
          <w:szCs w:val="24"/>
        </w:rPr>
        <w:t xml:space="preserve"> для установления показателей эффективности и соответствующих им значений индикаторов эффективности перехода на использование российского ПО;</w:t>
      </w:r>
    </w:p>
    <w:p w14:paraId="203AB83A" w14:textId="77777777" w:rsidR="00500FE2" w:rsidRPr="00B0658A" w:rsidRDefault="00500FE2"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в) форм</w:t>
      </w:r>
      <w:r w:rsidR="001C562D" w:rsidRPr="00B0658A">
        <w:rPr>
          <w:rFonts w:ascii="Times New Roman" w:hAnsi="Times New Roman"/>
          <w:sz w:val="28"/>
          <w:szCs w:val="24"/>
        </w:rPr>
        <w:t>у</w:t>
      </w:r>
      <w:r w:rsidRPr="00B0658A">
        <w:rPr>
          <w:rFonts w:ascii="Times New Roman" w:hAnsi="Times New Roman"/>
          <w:sz w:val="28"/>
          <w:szCs w:val="24"/>
        </w:rPr>
        <w:t xml:space="preserve"> для установления показателей эффективности в отношении закупок программного обеспечения и связанных с ним работ и услуг;</w:t>
      </w:r>
    </w:p>
    <w:p w14:paraId="07BA4145" w14:textId="77777777" w:rsidR="00500FE2" w:rsidRPr="00B0658A" w:rsidRDefault="00500FE2"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г) форм</w:t>
      </w:r>
      <w:r w:rsidR="001C562D" w:rsidRPr="00B0658A">
        <w:rPr>
          <w:rFonts w:ascii="Times New Roman" w:hAnsi="Times New Roman"/>
          <w:sz w:val="28"/>
          <w:szCs w:val="24"/>
        </w:rPr>
        <w:t>у</w:t>
      </w:r>
      <w:r w:rsidRPr="00B0658A">
        <w:rPr>
          <w:rFonts w:ascii="Times New Roman" w:hAnsi="Times New Roman"/>
          <w:sz w:val="28"/>
          <w:szCs w:val="24"/>
        </w:rPr>
        <w:t xml:space="preserve"> для определения сведений об объемах и источниках финансовых ресурсов;</w:t>
      </w:r>
    </w:p>
    <w:p w14:paraId="0F66B063" w14:textId="77777777" w:rsidR="00500FE2" w:rsidRPr="00B0658A" w:rsidRDefault="00500FE2"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д) форм</w:t>
      </w:r>
      <w:r w:rsidR="001C562D" w:rsidRPr="00B0658A">
        <w:rPr>
          <w:rFonts w:ascii="Times New Roman" w:hAnsi="Times New Roman"/>
          <w:sz w:val="28"/>
          <w:szCs w:val="24"/>
        </w:rPr>
        <w:t>у</w:t>
      </w:r>
      <w:r w:rsidRPr="00B0658A">
        <w:rPr>
          <w:rFonts w:ascii="Times New Roman" w:hAnsi="Times New Roman"/>
          <w:sz w:val="28"/>
          <w:szCs w:val="24"/>
        </w:rPr>
        <w:t xml:space="preserve"> детализированного плана перехода на использование российского ПО на принадлежащих </w:t>
      </w:r>
      <w:r w:rsidR="00753D99" w:rsidRPr="00B0658A">
        <w:rPr>
          <w:rFonts w:ascii="Times New Roman" w:hAnsi="Times New Roman"/>
          <w:sz w:val="28"/>
          <w:szCs w:val="24"/>
        </w:rPr>
        <w:t>подведомственной организации</w:t>
      </w:r>
      <w:r w:rsidRPr="00B0658A">
        <w:rPr>
          <w:rFonts w:ascii="Times New Roman" w:hAnsi="Times New Roman"/>
          <w:sz w:val="28"/>
          <w:szCs w:val="24"/>
        </w:rPr>
        <w:t xml:space="preserve"> значимых объектах КИИ и форму для установления показателей эффективности перехода на использование российского ПО и соответствующих им значений индикаторов эффективности в отношении значимых объектов КИИ;</w:t>
      </w:r>
    </w:p>
    <w:p w14:paraId="718981E8" w14:textId="265B4BF5" w:rsidR="00387935" w:rsidRPr="00B0658A" w:rsidRDefault="00500FE2" w:rsidP="00F57B1F">
      <w:pPr>
        <w:spacing w:after="0" w:line="240" w:lineRule="auto"/>
        <w:ind w:firstLine="720"/>
        <w:jc w:val="both"/>
        <w:rPr>
          <w:rFonts w:ascii="Times New Roman" w:hAnsi="Times New Roman"/>
          <w:sz w:val="28"/>
          <w:szCs w:val="24"/>
        </w:rPr>
      </w:pPr>
      <w:r w:rsidRPr="00B0658A">
        <w:rPr>
          <w:rFonts w:ascii="Times New Roman" w:hAnsi="Times New Roman"/>
          <w:sz w:val="28"/>
          <w:szCs w:val="24"/>
        </w:rPr>
        <w:t xml:space="preserve">приведена в </w:t>
      </w:r>
      <w:r w:rsidR="007638FE">
        <w:rPr>
          <w:rFonts w:ascii="Times New Roman" w:hAnsi="Times New Roman"/>
          <w:sz w:val="28"/>
          <w:szCs w:val="24"/>
        </w:rPr>
        <w:t>п</w:t>
      </w:r>
      <w:r w:rsidRPr="00B0658A">
        <w:rPr>
          <w:rFonts w:ascii="Times New Roman" w:hAnsi="Times New Roman"/>
          <w:sz w:val="28"/>
          <w:szCs w:val="24"/>
        </w:rPr>
        <w:t xml:space="preserve">риложении </w:t>
      </w:r>
      <w:r w:rsidR="00592B14" w:rsidRPr="00B0658A">
        <w:rPr>
          <w:rFonts w:ascii="Times New Roman" w:hAnsi="Times New Roman"/>
          <w:sz w:val="28"/>
          <w:szCs w:val="24"/>
        </w:rPr>
        <w:t>№</w:t>
      </w:r>
      <w:r w:rsidR="007638FE">
        <w:rPr>
          <w:rFonts w:ascii="Times New Roman" w:hAnsi="Times New Roman"/>
          <w:sz w:val="28"/>
          <w:szCs w:val="24"/>
        </w:rPr>
        <w:t xml:space="preserve"> </w:t>
      </w:r>
      <w:r w:rsidR="00753D99" w:rsidRPr="00B0658A">
        <w:rPr>
          <w:rFonts w:ascii="Times New Roman" w:hAnsi="Times New Roman"/>
          <w:sz w:val="28"/>
          <w:szCs w:val="24"/>
        </w:rPr>
        <w:t>5</w:t>
      </w:r>
      <w:r w:rsidRPr="00B0658A">
        <w:rPr>
          <w:rFonts w:ascii="Times New Roman" w:hAnsi="Times New Roman"/>
          <w:sz w:val="28"/>
          <w:szCs w:val="24"/>
        </w:rPr>
        <w:t xml:space="preserve"> к настоящим методическим рекомендациям.</w:t>
      </w:r>
    </w:p>
    <w:p w14:paraId="4349871C" w14:textId="40E28E5E" w:rsidR="000544FB" w:rsidRPr="00B0658A" w:rsidRDefault="00753D99"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6</w:t>
      </w:r>
      <w:r w:rsidR="00500CFF" w:rsidRPr="00B0658A">
        <w:rPr>
          <w:rFonts w:ascii="Times New Roman" w:hAnsi="Times New Roman"/>
          <w:sz w:val="28"/>
          <w:szCs w:val="24"/>
        </w:rPr>
        <w:t>5</w:t>
      </w:r>
      <w:r w:rsidRPr="00B0658A">
        <w:rPr>
          <w:rFonts w:ascii="Times New Roman" w:hAnsi="Times New Roman"/>
          <w:sz w:val="28"/>
          <w:szCs w:val="24"/>
        </w:rPr>
        <w:t>. Рекомендованные показатели эффективности и соответствующие им значения индикаторов эффективности перехода подведомственных организаций на использование российского ПО в отношении каждого используемого класса (типа) ПО</w:t>
      </w:r>
      <w:r w:rsidR="00313BF5" w:rsidRPr="00B0658A">
        <w:rPr>
          <w:rFonts w:ascii="Times New Roman" w:hAnsi="Times New Roman"/>
          <w:sz w:val="28"/>
          <w:szCs w:val="24"/>
        </w:rPr>
        <w:t>,</w:t>
      </w:r>
      <w:r w:rsidRPr="00B0658A">
        <w:rPr>
          <w:rFonts w:ascii="Times New Roman" w:hAnsi="Times New Roman"/>
          <w:sz w:val="28"/>
          <w:szCs w:val="24"/>
        </w:rPr>
        <w:t xml:space="preserve"> в соответствии с приказом Министерства цифрового развития, связи и массовых коммуникаций Российской Федерации от 22 сентября 2020 г. </w:t>
      </w:r>
      <w:r w:rsidR="00592B14" w:rsidRPr="00B0658A">
        <w:rPr>
          <w:rFonts w:ascii="Times New Roman" w:hAnsi="Times New Roman"/>
          <w:sz w:val="28"/>
          <w:szCs w:val="24"/>
        </w:rPr>
        <w:t>№ </w:t>
      </w:r>
      <w:r w:rsidRPr="00B0658A">
        <w:rPr>
          <w:rFonts w:ascii="Times New Roman" w:hAnsi="Times New Roman"/>
          <w:sz w:val="28"/>
          <w:szCs w:val="24"/>
        </w:rPr>
        <w:t xml:space="preserve"> 486 «Об утверждении классификатора программ для электронных вычислительных машин и баз данных»</w:t>
      </w:r>
      <w:r w:rsidR="00313BF5" w:rsidRPr="00B0658A">
        <w:rPr>
          <w:rFonts w:ascii="Times New Roman" w:hAnsi="Times New Roman"/>
          <w:sz w:val="28"/>
          <w:szCs w:val="24"/>
        </w:rPr>
        <w:t>,</w:t>
      </w:r>
      <w:r w:rsidRPr="00B0658A">
        <w:rPr>
          <w:rFonts w:ascii="Times New Roman" w:hAnsi="Times New Roman"/>
          <w:sz w:val="28"/>
          <w:szCs w:val="24"/>
        </w:rPr>
        <w:t xml:space="preserve"> приведены в </w:t>
      </w:r>
      <w:r w:rsidR="007638FE">
        <w:rPr>
          <w:rFonts w:ascii="Times New Roman" w:hAnsi="Times New Roman"/>
          <w:sz w:val="28"/>
          <w:szCs w:val="24"/>
        </w:rPr>
        <w:t>п</w:t>
      </w:r>
      <w:r w:rsidRPr="00B0658A">
        <w:rPr>
          <w:rFonts w:ascii="Times New Roman" w:hAnsi="Times New Roman"/>
          <w:sz w:val="28"/>
          <w:szCs w:val="24"/>
        </w:rPr>
        <w:t xml:space="preserve">риложении </w:t>
      </w:r>
      <w:r w:rsidR="00592B14" w:rsidRPr="00B0658A">
        <w:rPr>
          <w:rFonts w:ascii="Times New Roman" w:hAnsi="Times New Roman"/>
          <w:sz w:val="28"/>
          <w:szCs w:val="24"/>
        </w:rPr>
        <w:t>№</w:t>
      </w:r>
      <w:r w:rsidR="007638FE">
        <w:rPr>
          <w:rFonts w:ascii="Times New Roman" w:hAnsi="Times New Roman"/>
          <w:sz w:val="28"/>
          <w:szCs w:val="24"/>
        </w:rPr>
        <w:t xml:space="preserve"> </w:t>
      </w:r>
      <w:r w:rsidRPr="00B0658A">
        <w:rPr>
          <w:rFonts w:ascii="Times New Roman" w:hAnsi="Times New Roman"/>
          <w:sz w:val="28"/>
          <w:szCs w:val="24"/>
        </w:rPr>
        <w:t>6 к настоящим методическим рекомендациям.</w:t>
      </w:r>
    </w:p>
    <w:p w14:paraId="76D11150" w14:textId="080D0381" w:rsidR="00753D99" w:rsidRPr="00B0658A" w:rsidRDefault="00753D99"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6</w:t>
      </w:r>
      <w:r w:rsidR="00500CFF" w:rsidRPr="00B0658A">
        <w:rPr>
          <w:rFonts w:ascii="Times New Roman" w:hAnsi="Times New Roman"/>
          <w:sz w:val="28"/>
          <w:szCs w:val="24"/>
        </w:rPr>
        <w:t>6</w:t>
      </w:r>
      <w:r w:rsidRPr="00B0658A">
        <w:rPr>
          <w:rFonts w:ascii="Times New Roman" w:hAnsi="Times New Roman"/>
          <w:sz w:val="28"/>
          <w:szCs w:val="24"/>
        </w:rPr>
        <w:t>.</w:t>
      </w:r>
      <w:r w:rsidR="00313BF5" w:rsidRPr="00B0658A">
        <w:rPr>
          <w:rFonts w:ascii="Times New Roman" w:hAnsi="Times New Roman"/>
          <w:sz w:val="28"/>
          <w:szCs w:val="24"/>
        </w:rPr>
        <w:t> </w:t>
      </w:r>
      <w:r w:rsidRPr="00B0658A">
        <w:rPr>
          <w:rFonts w:ascii="Times New Roman" w:hAnsi="Times New Roman"/>
          <w:sz w:val="28"/>
          <w:szCs w:val="24"/>
        </w:rPr>
        <w:t xml:space="preserve">Рекомендованные показатели эффективности в отношении закупок ПО и связанных с ним работ и услуг, проводимых подведомственными организациями, приведены в </w:t>
      </w:r>
      <w:r w:rsidR="007638FE">
        <w:rPr>
          <w:rFonts w:ascii="Times New Roman" w:hAnsi="Times New Roman"/>
          <w:sz w:val="28"/>
          <w:szCs w:val="24"/>
        </w:rPr>
        <w:t>п</w:t>
      </w:r>
      <w:r w:rsidRPr="00B0658A">
        <w:rPr>
          <w:rFonts w:ascii="Times New Roman" w:hAnsi="Times New Roman"/>
          <w:sz w:val="28"/>
          <w:szCs w:val="24"/>
        </w:rPr>
        <w:t xml:space="preserve">риложении </w:t>
      </w:r>
      <w:r w:rsidR="00592B14" w:rsidRPr="00B0658A">
        <w:rPr>
          <w:rFonts w:ascii="Times New Roman" w:hAnsi="Times New Roman"/>
          <w:sz w:val="28"/>
          <w:szCs w:val="24"/>
        </w:rPr>
        <w:t>№</w:t>
      </w:r>
      <w:r w:rsidRPr="00B0658A">
        <w:rPr>
          <w:rFonts w:ascii="Times New Roman" w:hAnsi="Times New Roman"/>
          <w:sz w:val="28"/>
          <w:szCs w:val="24"/>
        </w:rPr>
        <w:t>7 к настоящим методическим рекомендациям.</w:t>
      </w:r>
    </w:p>
    <w:p w14:paraId="4D922997" w14:textId="77777777" w:rsidR="00753D99" w:rsidRPr="00B0658A" w:rsidRDefault="00753D99"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6</w:t>
      </w:r>
      <w:r w:rsidR="00500CFF" w:rsidRPr="00B0658A">
        <w:rPr>
          <w:rFonts w:ascii="Times New Roman" w:hAnsi="Times New Roman"/>
          <w:sz w:val="28"/>
          <w:szCs w:val="24"/>
        </w:rPr>
        <w:t>7</w:t>
      </w:r>
      <w:r w:rsidRPr="00B0658A">
        <w:rPr>
          <w:rFonts w:ascii="Times New Roman" w:hAnsi="Times New Roman"/>
          <w:sz w:val="28"/>
          <w:szCs w:val="24"/>
        </w:rPr>
        <w:t>. В переч</w:t>
      </w:r>
      <w:r w:rsidR="00313BF5" w:rsidRPr="00B0658A">
        <w:rPr>
          <w:rFonts w:ascii="Times New Roman" w:hAnsi="Times New Roman"/>
          <w:sz w:val="28"/>
          <w:szCs w:val="24"/>
        </w:rPr>
        <w:t>ень</w:t>
      </w:r>
      <w:r w:rsidRPr="00B0658A">
        <w:rPr>
          <w:rFonts w:ascii="Times New Roman" w:hAnsi="Times New Roman"/>
          <w:sz w:val="28"/>
          <w:szCs w:val="24"/>
        </w:rPr>
        <w:t xml:space="preserve"> организационно-технических мероприятий, реализация которых необходима для обеспечения перехода на использование российского ПО, рекомендуется включить:</w:t>
      </w:r>
    </w:p>
    <w:p w14:paraId="7B5265AF" w14:textId="07C90868" w:rsidR="00753D99" w:rsidRPr="00B0658A" w:rsidRDefault="00753D99"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а) </w:t>
      </w:r>
      <w:r w:rsidR="007638FE">
        <w:rPr>
          <w:rFonts w:ascii="Times New Roman" w:hAnsi="Times New Roman"/>
          <w:sz w:val="28"/>
          <w:szCs w:val="24"/>
        </w:rPr>
        <w:t>о</w:t>
      </w:r>
      <w:r w:rsidRPr="00B0658A">
        <w:rPr>
          <w:rFonts w:ascii="Times New Roman" w:hAnsi="Times New Roman"/>
          <w:sz w:val="28"/>
          <w:szCs w:val="24"/>
        </w:rPr>
        <w:t xml:space="preserve">рганизационные мероприятия, направленные на подготовку к переходу </w:t>
      </w:r>
      <w:r w:rsidR="00497E50" w:rsidRPr="00B0658A">
        <w:rPr>
          <w:rFonts w:ascii="Times New Roman" w:hAnsi="Times New Roman"/>
          <w:sz w:val="28"/>
          <w:szCs w:val="24"/>
        </w:rPr>
        <w:t>подведомственной организации</w:t>
      </w:r>
      <w:r w:rsidRPr="00B0658A">
        <w:rPr>
          <w:rFonts w:ascii="Times New Roman" w:hAnsi="Times New Roman"/>
          <w:sz w:val="28"/>
          <w:szCs w:val="24"/>
        </w:rPr>
        <w:t xml:space="preserve"> на использование российского ПО, включая основные мероприятия, связанные с переходом на использование российского ПО на значимых объектах КИИ;</w:t>
      </w:r>
    </w:p>
    <w:p w14:paraId="2313F6FE" w14:textId="01D67592" w:rsidR="00753D99" w:rsidRPr="00B0658A" w:rsidRDefault="00753D99"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б) </w:t>
      </w:r>
      <w:r w:rsidR="007638FE">
        <w:rPr>
          <w:rFonts w:ascii="Times New Roman" w:hAnsi="Times New Roman"/>
          <w:sz w:val="28"/>
          <w:szCs w:val="24"/>
        </w:rPr>
        <w:t>т</w:t>
      </w:r>
      <w:r w:rsidRPr="00B0658A">
        <w:rPr>
          <w:rFonts w:ascii="Times New Roman" w:hAnsi="Times New Roman"/>
          <w:sz w:val="28"/>
          <w:szCs w:val="24"/>
        </w:rPr>
        <w:t xml:space="preserve">ехнические мероприятия, направленные на подготовку к переходу </w:t>
      </w:r>
      <w:r w:rsidR="00497E50" w:rsidRPr="00B0658A">
        <w:rPr>
          <w:rFonts w:ascii="Times New Roman" w:hAnsi="Times New Roman"/>
          <w:sz w:val="28"/>
          <w:szCs w:val="24"/>
        </w:rPr>
        <w:t>подведомственной организации</w:t>
      </w:r>
      <w:r w:rsidRPr="00B0658A">
        <w:rPr>
          <w:rFonts w:ascii="Times New Roman" w:hAnsi="Times New Roman"/>
          <w:sz w:val="28"/>
          <w:szCs w:val="24"/>
        </w:rPr>
        <w:t xml:space="preserve"> на использование российского ПО, включая </w:t>
      </w:r>
      <w:r w:rsidRPr="00B0658A">
        <w:rPr>
          <w:rFonts w:ascii="Times New Roman" w:hAnsi="Times New Roman"/>
          <w:sz w:val="28"/>
          <w:szCs w:val="24"/>
        </w:rPr>
        <w:lastRenderedPageBreak/>
        <w:t>основные мероприятия, связанные с переходом на использование российского ПО на значимых объектах КИИ;</w:t>
      </w:r>
    </w:p>
    <w:p w14:paraId="4FF73109" w14:textId="549584A5" w:rsidR="00753D99" w:rsidRPr="00B0658A" w:rsidRDefault="00753D99"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в) </w:t>
      </w:r>
      <w:r w:rsidR="007638FE">
        <w:rPr>
          <w:rFonts w:ascii="Times New Roman" w:hAnsi="Times New Roman"/>
          <w:sz w:val="28"/>
          <w:szCs w:val="24"/>
        </w:rPr>
        <w:t>м</w:t>
      </w:r>
      <w:r w:rsidRPr="00B0658A">
        <w:rPr>
          <w:rFonts w:ascii="Times New Roman" w:hAnsi="Times New Roman"/>
          <w:sz w:val="28"/>
          <w:szCs w:val="24"/>
        </w:rPr>
        <w:t xml:space="preserve">ероприятия, направленные на обеспечение перехода </w:t>
      </w:r>
      <w:r w:rsidR="00497E50" w:rsidRPr="00B0658A">
        <w:rPr>
          <w:rFonts w:ascii="Times New Roman" w:hAnsi="Times New Roman"/>
          <w:sz w:val="28"/>
          <w:szCs w:val="24"/>
        </w:rPr>
        <w:t>подведомственной организации</w:t>
      </w:r>
      <w:r w:rsidRPr="00B0658A">
        <w:rPr>
          <w:rFonts w:ascii="Times New Roman" w:hAnsi="Times New Roman"/>
          <w:sz w:val="28"/>
          <w:szCs w:val="24"/>
        </w:rPr>
        <w:t xml:space="preserve"> на использование российского ПО, включая общие основные мероприятия, связанные с переходом на использование российского ПО на значимых объектах КИИ;</w:t>
      </w:r>
    </w:p>
    <w:p w14:paraId="5920FA0A" w14:textId="049DFA8C" w:rsidR="00753D99" w:rsidRPr="00B0658A" w:rsidRDefault="00753D99"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 xml:space="preserve">г) </w:t>
      </w:r>
      <w:r w:rsidR="007638FE">
        <w:rPr>
          <w:rFonts w:ascii="Times New Roman" w:hAnsi="Times New Roman"/>
          <w:sz w:val="28"/>
          <w:szCs w:val="24"/>
        </w:rPr>
        <w:t>и</w:t>
      </w:r>
      <w:r w:rsidRPr="00B0658A">
        <w:rPr>
          <w:rFonts w:ascii="Times New Roman" w:hAnsi="Times New Roman"/>
          <w:sz w:val="28"/>
          <w:szCs w:val="24"/>
        </w:rPr>
        <w:t>ные организационно-технические мероприятия.</w:t>
      </w:r>
    </w:p>
    <w:p w14:paraId="61252E51" w14:textId="77777777" w:rsidR="000544FB" w:rsidRPr="00B0658A" w:rsidRDefault="00497E50"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6</w:t>
      </w:r>
      <w:r w:rsidR="00500CFF" w:rsidRPr="00B0658A">
        <w:rPr>
          <w:rFonts w:ascii="Times New Roman" w:hAnsi="Times New Roman"/>
          <w:sz w:val="28"/>
          <w:szCs w:val="24"/>
        </w:rPr>
        <w:t>8</w:t>
      </w:r>
      <w:r w:rsidRPr="00B0658A">
        <w:rPr>
          <w:rFonts w:ascii="Times New Roman" w:hAnsi="Times New Roman"/>
          <w:sz w:val="28"/>
          <w:szCs w:val="24"/>
        </w:rPr>
        <w:t>. </w:t>
      </w:r>
      <w:r w:rsidR="00912D02" w:rsidRPr="00B0658A">
        <w:rPr>
          <w:rFonts w:ascii="Times New Roman" w:hAnsi="Times New Roman"/>
          <w:sz w:val="28"/>
          <w:szCs w:val="24"/>
        </w:rPr>
        <w:t>При описании результатов реализации организационно-технических мероприятий могут быть использованы качественные и количественные индикаторы и показатели.</w:t>
      </w:r>
    </w:p>
    <w:p w14:paraId="6A6ECDB6" w14:textId="77777777" w:rsidR="00497E50" w:rsidRPr="00B0658A" w:rsidRDefault="00912D02"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6</w:t>
      </w:r>
      <w:r w:rsidR="00500CFF" w:rsidRPr="00B0658A">
        <w:rPr>
          <w:rFonts w:ascii="Times New Roman" w:hAnsi="Times New Roman"/>
          <w:sz w:val="28"/>
          <w:szCs w:val="24"/>
        </w:rPr>
        <w:t>9</w:t>
      </w:r>
      <w:r w:rsidRPr="00B0658A">
        <w:rPr>
          <w:rFonts w:ascii="Times New Roman" w:hAnsi="Times New Roman"/>
          <w:sz w:val="28"/>
          <w:szCs w:val="24"/>
        </w:rPr>
        <w:t>.</w:t>
      </w:r>
      <w:r w:rsidRPr="00B0658A">
        <w:rPr>
          <w:rFonts w:ascii="Times New Roman" w:hAnsi="Times New Roman"/>
          <w:sz w:val="28"/>
          <w:szCs w:val="24"/>
          <w:lang w:val="en-US"/>
        </w:rPr>
        <w:t> </w:t>
      </w:r>
      <w:r w:rsidRPr="00B0658A">
        <w:rPr>
          <w:rFonts w:ascii="Times New Roman" w:hAnsi="Times New Roman"/>
          <w:sz w:val="28"/>
          <w:szCs w:val="24"/>
        </w:rPr>
        <w:t>Для целей перехода на использование российского ПО</w:t>
      </w:r>
      <w:r w:rsidR="00006702" w:rsidRPr="00B0658A">
        <w:rPr>
          <w:rFonts w:ascii="Times New Roman" w:hAnsi="Times New Roman"/>
          <w:sz w:val="28"/>
          <w:szCs w:val="24"/>
        </w:rPr>
        <w:t xml:space="preserve"> подведомственн</w:t>
      </w:r>
      <w:r w:rsidR="000366C0" w:rsidRPr="00B0658A">
        <w:rPr>
          <w:rFonts w:ascii="Times New Roman" w:hAnsi="Times New Roman"/>
          <w:sz w:val="28"/>
          <w:szCs w:val="24"/>
        </w:rPr>
        <w:t>ой</w:t>
      </w:r>
      <w:r w:rsidR="00006702" w:rsidRPr="00B0658A">
        <w:rPr>
          <w:rFonts w:ascii="Times New Roman" w:hAnsi="Times New Roman"/>
          <w:sz w:val="28"/>
          <w:szCs w:val="24"/>
        </w:rPr>
        <w:t xml:space="preserve"> организаци</w:t>
      </w:r>
      <w:r w:rsidR="000366C0" w:rsidRPr="00B0658A">
        <w:rPr>
          <w:rFonts w:ascii="Times New Roman" w:hAnsi="Times New Roman"/>
          <w:sz w:val="28"/>
          <w:szCs w:val="24"/>
        </w:rPr>
        <w:t>и</w:t>
      </w:r>
      <w:r w:rsidR="00006702" w:rsidRPr="00B0658A">
        <w:rPr>
          <w:rFonts w:ascii="Times New Roman" w:hAnsi="Times New Roman"/>
          <w:sz w:val="28"/>
          <w:szCs w:val="24"/>
        </w:rPr>
        <w:t xml:space="preserve"> </w:t>
      </w:r>
      <w:r w:rsidRPr="00B0658A">
        <w:rPr>
          <w:rFonts w:ascii="Times New Roman" w:hAnsi="Times New Roman"/>
          <w:sz w:val="28"/>
          <w:szCs w:val="24"/>
        </w:rPr>
        <w:t xml:space="preserve">рекомендуется организовать работу по включению в единый реестр российского ПО программного обеспечения, используемого </w:t>
      </w:r>
      <w:r w:rsidR="00006702" w:rsidRPr="00B0658A">
        <w:rPr>
          <w:rFonts w:ascii="Times New Roman" w:hAnsi="Times New Roman"/>
          <w:sz w:val="28"/>
          <w:szCs w:val="24"/>
        </w:rPr>
        <w:t>подведомственн</w:t>
      </w:r>
      <w:r w:rsidR="000366C0" w:rsidRPr="00B0658A">
        <w:rPr>
          <w:rFonts w:ascii="Times New Roman" w:hAnsi="Times New Roman"/>
          <w:sz w:val="28"/>
          <w:szCs w:val="24"/>
        </w:rPr>
        <w:t>ой</w:t>
      </w:r>
      <w:r w:rsidR="00006702" w:rsidRPr="00B0658A">
        <w:rPr>
          <w:rFonts w:ascii="Times New Roman" w:hAnsi="Times New Roman"/>
          <w:sz w:val="28"/>
          <w:szCs w:val="24"/>
        </w:rPr>
        <w:t xml:space="preserve"> организаци</w:t>
      </w:r>
      <w:r w:rsidR="000366C0" w:rsidRPr="00B0658A">
        <w:rPr>
          <w:rFonts w:ascii="Times New Roman" w:hAnsi="Times New Roman"/>
          <w:sz w:val="28"/>
          <w:szCs w:val="24"/>
        </w:rPr>
        <w:t>ей</w:t>
      </w:r>
      <w:r w:rsidRPr="00B0658A">
        <w:rPr>
          <w:rFonts w:ascii="Times New Roman" w:hAnsi="Times New Roman"/>
          <w:sz w:val="28"/>
          <w:szCs w:val="24"/>
        </w:rPr>
        <w:t xml:space="preserve"> и исключительное право на которое принадлежит </w:t>
      </w:r>
      <w:r w:rsidR="00006702" w:rsidRPr="00B0658A">
        <w:rPr>
          <w:rFonts w:ascii="Times New Roman" w:hAnsi="Times New Roman"/>
          <w:sz w:val="28"/>
          <w:szCs w:val="24"/>
        </w:rPr>
        <w:t>подведомственной организации</w:t>
      </w:r>
      <w:r w:rsidRPr="00B0658A">
        <w:rPr>
          <w:rFonts w:ascii="Times New Roman" w:hAnsi="Times New Roman"/>
          <w:sz w:val="28"/>
          <w:szCs w:val="24"/>
        </w:rPr>
        <w:t>, в порядке, предусмотренном законодательством Российской Федерации.</w:t>
      </w:r>
    </w:p>
    <w:p w14:paraId="37D6BBB9" w14:textId="77777777" w:rsidR="00006702" w:rsidRPr="00B0658A" w:rsidRDefault="00500CFF"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70</w:t>
      </w:r>
      <w:r w:rsidR="00006702" w:rsidRPr="00B0658A">
        <w:rPr>
          <w:rFonts w:ascii="Times New Roman" w:hAnsi="Times New Roman"/>
          <w:sz w:val="28"/>
          <w:szCs w:val="24"/>
        </w:rPr>
        <w:t xml:space="preserve">. В целях обеспечения эффективного планирования в части организационно-технических мероприятий перехода на использование российского ПО, в том числе перехода на использование российского ПО на значимых объектах КИИ, </w:t>
      </w:r>
      <w:r w:rsidR="00DE5861" w:rsidRPr="00B0658A">
        <w:rPr>
          <w:rFonts w:ascii="Times New Roman" w:hAnsi="Times New Roman"/>
          <w:sz w:val="28"/>
          <w:szCs w:val="24"/>
        </w:rPr>
        <w:t xml:space="preserve">подведомственным организациям </w:t>
      </w:r>
      <w:r w:rsidR="00006702" w:rsidRPr="00B0658A">
        <w:rPr>
          <w:rFonts w:ascii="Times New Roman" w:hAnsi="Times New Roman"/>
          <w:sz w:val="28"/>
          <w:szCs w:val="24"/>
        </w:rPr>
        <w:t>рекомендуется:</w:t>
      </w:r>
    </w:p>
    <w:p w14:paraId="43EC84AB" w14:textId="7EAE7024" w:rsidR="00006702" w:rsidRPr="00B0658A" w:rsidRDefault="00006702"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а) </w:t>
      </w:r>
      <w:r w:rsidR="007638FE">
        <w:rPr>
          <w:rFonts w:ascii="Times New Roman" w:hAnsi="Times New Roman"/>
          <w:sz w:val="28"/>
          <w:szCs w:val="24"/>
        </w:rPr>
        <w:t>с</w:t>
      </w:r>
      <w:r w:rsidRPr="00B0658A">
        <w:rPr>
          <w:rFonts w:ascii="Times New Roman" w:hAnsi="Times New Roman"/>
          <w:sz w:val="28"/>
          <w:szCs w:val="24"/>
        </w:rPr>
        <w:t xml:space="preserve">формировать перечень </w:t>
      </w:r>
      <w:r w:rsidR="00DE5861" w:rsidRPr="00B0658A">
        <w:rPr>
          <w:rFonts w:ascii="Times New Roman" w:hAnsi="Times New Roman"/>
          <w:sz w:val="28"/>
          <w:szCs w:val="24"/>
        </w:rPr>
        <w:t>информационных систем, используемых подведомственной организацией</w:t>
      </w:r>
      <w:r w:rsidR="003378A3">
        <w:rPr>
          <w:rFonts w:ascii="Times New Roman" w:hAnsi="Times New Roman"/>
          <w:sz w:val="28"/>
          <w:szCs w:val="24"/>
        </w:rPr>
        <w:t>;</w:t>
      </w:r>
    </w:p>
    <w:p w14:paraId="63AA7381" w14:textId="6A520412" w:rsidR="00006702" w:rsidRPr="00B0658A" w:rsidRDefault="00006702"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б) </w:t>
      </w:r>
      <w:r w:rsidR="007638FE">
        <w:rPr>
          <w:rFonts w:ascii="Times New Roman" w:hAnsi="Times New Roman"/>
          <w:sz w:val="28"/>
          <w:szCs w:val="24"/>
        </w:rPr>
        <w:t>с</w:t>
      </w:r>
      <w:r w:rsidRPr="00B0658A">
        <w:rPr>
          <w:rFonts w:ascii="Times New Roman" w:hAnsi="Times New Roman"/>
          <w:sz w:val="28"/>
          <w:szCs w:val="24"/>
        </w:rPr>
        <w:t>формировать перечень значимых объектов КИИ, которые принадлеж</w:t>
      </w:r>
      <w:r w:rsidR="00BC703C" w:rsidRPr="00B0658A">
        <w:rPr>
          <w:rFonts w:ascii="Times New Roman" w:hAnsi="Times New Roman"/>
          <w:sz w:val="28"/>
          <w:szCs w:val="24"/>
        </w:rPr>
        <w:t>а</w:t>
      </w:r>
      <w:r w:rsidRPr="00B0658A">
        <w:rPr>
          <w:rFonts w:ascii="Times New Roman" w:hAnsi="Times New Roman"/>
          <w:sz w:val="28"/>
          <w:szCs w:val="24"/>
        </w:rPr>
        <w:t xml:space="preserve">т </w:t>
      </w:r>
      <w:r w:rsidR="00DE5861" w:rsidRPr="00B0658A">
        <w:rPr>
          <w:rFonts w:ascii="Times New Roman" w:hAnsi="Times New Roman"/>
          <w:sz w:val="28"/>
          <w:szCs w:val="24"/>
        </w:rPr>
        <w:t>подведомственной организации</w:t>
      </w:r>
      <w:r w:rsidR="003378A3">
        <w:rPr>
          <w:rFonts w:ascii="Times New Roman" w:hAnsi="Times New Roman"/>
          <w:sz w:val="28"/>
          <w:szCs w:val="24"/>
        </w:rPr>
        <w:t>;</w:t>
      </w:r>
    </w:p>
    <w:p w14:paraId="1D1DFE79" w14:textId="360B60B5" w:rsidR="00006702" w:rsidRPr="00B0658A" w:rsidRDefault="00006702"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в) </w:t>
      </w:r>
      <w:r w:rsidR="007638FE">
        <w:rPr>
          <w:rFonts w:ascii="Times New Roman" w:hAnsi="Times New Roman"/>
          <w:sz w:val="28"/>
          <w:szCs w:val="24"/>
        </w:rPr>
        <w:t>о</w:t>
      </w:r>
      <w:r w:rsidRPr="00B0658A">
        <w:rPr>
          <w:rFonts w:ascii="Times New Roman" w:hAnsi="Times New Roman"/>
          <w:sz w:val="28"/>
          <w:szCs w:val="24"/>
        </w:rPr>
        <w:t xml:space="preserve">рганизовать и провести стресс-тестирование используемой информационно-технологической инфраструктуры </w:t>
      </w:r>
      <w:r w:rsidR="00DE5861" w:rsidRPr="00B0658A">
        <w:rPr>
          <w:rFonts w:ascii="Times New Roman" w:hAnsi="Times New Roman"/>
          <w:sz w:val="28"/>
          <w:szCs w:val="24"/>
        </w:rPr>
        <w:t xml:space="preserve">подведомственной организации </w:t>
      </w:r>
      <w:r w:rsidRPr="00B0658A">
        <w:rPr>
          <w:rFonts w:ascii="Times New Roman" w:hAnsi="Times New Roman"/>
          <w:sz w:val="28"/>
          <w:szCs w:val="24"/>
        </w:rPr>
        <w:t>в части используемого иностранного ПО (далее – стресс-тестирование)</w:t>
      </w:r>
      <w:r w:rsidR="003378A3">
        <w:rPr>
          <w:rFonts w:ascii="Times New Roman" w:hAnsi="Times New Roman"/>
          <w:sz w:val="28"/>
          <w:szCs w:val="24"/>
        </w:rPr>
        <w:t>;</w:t>
      </w:r>
    </w:p>
    <w:p w14:paraId="22B81CEF" w14:textId="2E22451D" w:rsidR="00006702" w:rsidRPr="00B0658A" w:rsidRDefault="00006702"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г) </w:t>
      </w:r>
      <w:r w:rsidR="007638FE">
        <w:rPr>
          <w:rFonts w:ascii="Times New Roman" w:hAnsi="Times New Roman"/>
          <w:sz w:val="28"/>
          <w:szCs w:val="24"/>
        </w:rPr>
        <w:t>п</w:t>
      </w:r>
      <w:r w:rsidRPr="00B0658A">
        <w:rPr>
          <w:rFonts w:ascii="Times New Roman" w:hAnsi="Times New Roman"/>
          <w:sz w:val="28"/>
          <w:szCs w:val="24"/>
        </w:rPr>
        <w:t xml:space="preserve">ровести обследование существующей информационно-технологической инфраструктуры, в том числе прикладного ПО информационных систем, значимых объектов КИИ и иных элементов информационно-технологической инфраструктуры, используемых </w:t>
      </w:r>
      <w:r w:rsidR="00DE5861" w:rsidRPr="00B0658A">
        <w:rPr>
          <w:rFonts w:ascii="Times New Roman" w:hAnsi="Times New Roman"/>
          <w:sz w:val="28"/>
          <w:szCs w:val="24"/>
        </w:rPr>
        <w:t>подведомственной организацией</w:t>
      </w:r>
      <w:r w:rsidR="003378A3">
        <w:rPr>
          <w:rFonts w:ascii="Times New Roman" w:hAnsi="Times New Roman"/>
          <w:sz w:val="28"/>
          <w:szCs w:val="24"/>
        </w:rPr>
        <w:t>;</w:t>
      </w:r>
    </w:p>
    <w:p w14:paraId="0C3AC06A" w14:textId="3C74FA53" w:rsidR="00006702" w:rsidRPr="00B0658A" w:rsidRDefault="00006702"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д) </w:t>
      </w:r>
      <w:r w:rsidR="003378A3">
        <w:rPr>
          <w:rFonts w:ascii="Times New Roman" w:hAnsi="Times New Roman"/>
          <w:sz w:val="28"/>
          <w:szCs w:val="24"/>
        </w:rPr>
        <w:t>н</w:t>
      </w:r>
      <w:r w:rsidRPr="00B0658A">
        <w:rPr>
          <w:rFonts w:ascii="Times New Roman" w:hAnsi="Times New Roman"/>
          <w:sz w:val="28"/>
          <w:szCs w:val="24"/>
        </w:rPr>
        <w:t>а основе проведенного обследования и стресс-тестирования существующей информационно-технологической инфраструктуры рекомендуется:</w:t>
      </w:r>
    </w:p>
    <w:p w14:paraId="44F44FD7" w14:textId="07007F24" w:rsidR="00006702" w:rsidRPr="00B0658A" w:rsidRDefault="00006702"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определить текущие показатели и характеристики использования ПО, происходящего из иностранных государств, в том числе сформировать перечень такого ПО, определить текущие показатели и характеристики использования ПО, сведения о котором включены в единый реестр российского ПО, и сформировать перечень такого ПО, а также определить текущие показатели и характеристики использования ПО, сведения о котором включены в единый реестр евразийского ПО, и сформировать перечень такого ПО;</w:t>
      </w:r>
    </w:p>
    <w:p w14:paraId="6BA7C0D2" w14:textId="1F3E84EB" w:rsidR="00006702" w:rsidRPr="00B0658A" w:rsidRDefault="00006702"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для каждого значимого объекта КИИ определить перечень используемого иностранного ПО, российского ПО и евразийского ПО, определить долю используемого российского и евразийского ПО для каждого значимого объекта КИИ в разрезе классов (типов) ПО;</w:t>
      </w:r>
    </w:p>
    <w:p w14:paraId="1D9D30B4" w14:textId="5A8E7F00" w:rsidR="00006702" w:rsidRPr="00B0658A" w:rsidRDefault="00006702"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lastRenderedPageBreak/>
        <w:t>е) </w:t>
      </w:r>
      <w:r w:rsidR="003378A3">
        <w:rPr>
          <w:rFonts w:ascii="Times New Roman" w:hAnsi="Times New Roman"/>
          <w:sz w:val="28"/>
          <w:szCs w:val="24"/>
        </w:rPr>
        <w:t>п</w:t>
      </w:r>
      <w:r w:rsidRPr="00B0658A">
        <w:rPr>
          <w:rFonts w:ascii="Times New Roman" w:hAnsi="Times New Roman"/>
          <w:sz w:val="28"/>
          <w:szCs w:val="24"/>
        </w:rPr>
        <w:t>ровести анализ требований, предъявляемых законодательством Российской Федерации к функционированию различных классов (типов) ПО, в том числе используемого на значимых объектах КИИ, в том числе функциональных требований и требований по обеспечению информационной безопасности</w:t>
      </w:r>
      <w:r w:rsidR="003378A3">
        <w:rPr>
          <w:rFonts w:ascii="Times New Roman" w:hAnsi="Times New Roman"/>
          <w:sz w:val="28"/>
          <w:szCs w:val="24"/>
        </w:rPr>
        <w:t>;</w:t>
      </w:r>
    </w:p>
    <w:p w14:paraId="326218F9" w14:textId="306A2713" w:rsidR="00006702" w:rsidRPr="00B0658A" w:rsidRDefault="00006702"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ж) </w:t>
      </w:r>
      <w:r w:rsidR="003378A3">
        <w:rPr>
          <w:rFonts w:ascii="Times New Roman" w:hAnsi="Times New Roman"/>
          <w:sz w:val="28"/>
          <w:szCs w:val="24"/>
        </w:rPr>
        <w:t>п</w:t>
      </w:r>
      <w:r w:rsidRPr="00B0658A">
        <w:rPr>
          <w:rFonts w:ascii="Times New Roman" w:hAnsi="Times New Roman"/>
          <w:sz w:val="28"/>
          <w:szCs w:val="24"/>
        </w:rPr>
        <w:t>ровести анализ сведений о ПО, включенном в единый реестр российского ПО, и сведений о ПО, включенном в единый реестр евразийского ПО, определить предварительный перечень потенциального российского ПО и евразийского ПО, реализующих функции соответствующего ПО, для его дальнейшего применения при переходе на использование российского ПО, в том числе на значимых объектах КИИ</w:t>
      </w:r>
      <w:r w:rsidR="003378A3">
        <w:rPr>
          <w:rFonts w:ascii="Times New Roman" w:hAnsi="Times New Roman"/>
          <w:sz w:val="28"/>
          <w:szCs w:val="24"/>
        </w:rPr>
        <w:t>;</w:t>
      </w:r>
    </w:p>
    <w:p w14:paraId="7864C90B" w14:textId="2F1C597B" w:rsidR="00006702" w:rsidRPr="00B0658A" w:rsidRDefault="00006702"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з) </w:t>
      </w:r>
      <w:r w:rsidR="003378A3">
        <w:rPr>
          <w:rFonts w:ascii="Times New Roman" w:hAnsi="Times New Roman"/>
          <w:sz w:val="28"/>
          <w:szCs w:val="24"/>
        </w:rPr>
        <w:t>п</w:t>
      </w:r>
      <w:r w:rsidRPr="00B0658A">
        <w:rPr>
          <w:rFonts w:ascii="Times New Roman" w:hAnsi="Times New Roman"/>
          <w:sz w:val="28"/>
          <w:szCs w:val="24"/>
        </w:rPr>
        <w:t xml:space="preserve">ровести анализ текущих сроков амортизации используемых </w:t>
      </w:r>
      <w:r w:rsidR="00EB5739" w:rsidRPr="00B0658A">
        <w:rPr>
          <w:rFonts w:ascii="Times New Roman" w:hAnsi="Times New Roman"/>
          <w:sz w:val="28"/>
          <w:szCs w:val="24"/>
        </w:rPr>
        <w:t>подведомственной организацией</w:t>
      </w:r>
      <w:r w:rsidRPr="00B0658A">
        <w:rPr>
          <w:rFonts w:ascii="Times New Roman" w:hAnsi="Times New Roman"/>
          <w:sz w:val="28"/>
          <w:szCs w:val="24"/>
        </w:rPr>
        <w:t xml:space="preserve"> на момент планирования персональных электронных вычислительных машин, устройств терминального доступа, абонентских устройств радиоподвижной связи, программно-аппаратных комплексов, в том числе серверного и иного технологического оборудования, иных средств вычислительной техники и периферийных устройств, а также провести оценку совместимости российского и евразийского ПО с указанным оборудованием и программно-аппаратными комплексами</w:t>
      </w:r>
      <w:r w:rsidR="003378A3">
        <w:rPr>
          <w:rFonts w:ascii="Times New Roman" w:hAnsi="Times New Roman"/>
          <w:sz w:val="28"/>
          <w:szCs w:val="24"/>
        </w:rPr>
        <w:t>;</w:t>
      </w:r>
    </w:p>
    <w:p w14:paraId="4D819ADD" w14:textId="5D8E3B4E" w:rsidR="00006702" w:rsidRPr="00B0658A" w:rsidRDefault="00F57B1F" w:rsidP="00F57B1F">
      <w:pPr>
        <w:spacing w:after="0" w:line="240" w:lineRule="auto"/>
        <w:ind w:firstLine="709"/>
        <w:jc w:val="both"/>
        <w:rPr>
          <w:rFonts w:ascii="Times New Roman" w:hAnsi="Times New Roman"/>
          <w:sz w:val="28"/>
          <w:szCs w:val="24"/>
        </w:rPr>
      </w:pPr>
      <w:r>
        <w:rPr>
          <w:rFonts w:ascii="Times New Roman" w:hAnsi="Times New Roman"/>
          <w:sz w:val="28"/>
          <w:szCs w:val="24"/>
        </w:rPr>
        <w:t>и)</w:t>
      </w:r>
      <w:r w:rsidR="00006702" w:rsidRPr="00B0658A">
        <w:rPr>
          <w:rFonts w:ascii="Times New Roman" w:hAnsi="Times New Roman"/>
          <w:sz w:val="28"/>
          <w:szCs w:val="24"/>
        </w:rPr>
        <w:t> </w:t>
      </w:r>
      <w:r w:rsidR="003378A3">
        <w:rPr>
          <w:rFonts w:ascii="Times New Roman" w:hAnsi="Times New Roman"/>
          <w:sz w:val="28"/>
          <w:szCs w:val="24"/>
        </w:rPr>
        <w:t>п</w:t>
      </w:r>
      <w:r w:rsidR="00006702" w:rsidRPr="00B0658A">
        <w:rPr>
          <w:rFonts w:ascii="Times New Roman" w:hAnsi="Times New Roman"/>
          <w:sz w:val="28"/>
          <w:szCs w:val="24"/>
        </w:rPr>
        <w:t>ровести анализ сроков действия прав на использование ПО и сроков полезного использования нематериальных активов в отношении используемого на момент планирования ПО, сведения о котором не включены в единый реестр российского ПО</w:t>
      </w:r>
      <w:r w:rsidR="003378A3">
        <w:rPr>
          <w:rFonts w:ascii="Times New Roman" w:hAnsi="Times New Roman"/>
          <w:sz w:val="28"/>
          <w:szCs w:val="24"/>
        </w:rPr>
        <w:t>;</w:t>
      </w:r>
    </w:p>
    <w:p w14:paraId="001EF179" w14:textId="5A1D5FAE" w:rsidR="00006702" w:rsidRPr="00B0658A" w:rsidRDefault="00006702"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к) </w:t>
      </w:r>
      <w:r w:rsidR="003378A3">
        <w:rPr>
          <w:rFonts w:ascii="Times New Roman" w:hAnsi="Times New Roman"/>
          <w:sz w:val="28"/>
          <w:szCs w:val="24"/>
        </w:rPr>
        <w:t>в</w:t>
      </w:r>
      <w:r w:rsidRPr="00B0658A">
        <w:rPr>
          <w:rFonts w:ascii="Times New Roman" w:hAnsi="Times New Roman"/>
          <w:sz w:val="28"/>
          <w:szCs w:val="24"/>
        </w:rPr>
        <w:t xml:space="preserve"> части офисного ПО сформировать функциональную классификацию автоматизированных рабочих мест работников и требования к ним в соответствии с установленными в </w:t>
      </w:r>
      <w:r w:rsidR="00EB5739" w:rsidRPr="00B0658A">
        <w:rPr>
          <w:rFonts w:ascii="Times New Roman" w:hAnsi="Times New Roman"/>
          <w:sz w:val="28"/>
          <w:szCs w:val="24"/>
        </w:rPr>
        <w:t xml:space="preserve">подведомственной организации </w:t>
      </w:r>
      <w:r w:rsidRPr="00B0658A">
        <w:rPr>
          <w:rFonts w:ascii="Times New Roman" w:hAnsi="Times New Roman"/>
          <w:sz w:val="28"/>
          <w:szCs w:val="24"/>
        </w:rPr>
        <w:t>должностными функциональными обязанностями работников, требования</w:t>
      </w:r>
      <w:r w:rsidR="00FB0EA4" w:rsidRPr="00B0658A">
        <w:rPr>
          <w:rFonts w:ascii="Times New Roman" w:hAnsi="Times New Roman"/>
          <w:sz w:val="28"/>
          <w:szCs w:val="24"/>
        </w:rPr>
        <w:t>м</w:t>
      </w:r>
      <w:r w:rsidRPr="00B0658A">
        <w:rPr>
          <w:rFonts w:ascii="Times New Roman" w:hAnsi="Times New Roman"/>
          <w:sz w:val="28"/>
          <w:szCs w:val="24"/>
        </w:rPr>
        <w:t xml:space="preserve"> к офисному ПО на основе применения дифференцированного подхода с учетом сформированной функциональной классификации автоматизированных рабочих мест и функциональных требований, предъявляемых прикладным </w:t>
      </w:r>
      <w:r w:rsidR="00FC4C86" w:rsidRPr="00B0658A">
        <w:rPr>
          <w:rFonts w:ascii="Times New Roman" w:hAnsi="Times New Roman"/>
          <w:sz w:val="28"/>
          <w:szCs w:val="24"/>
        </w:rPr>
        <w:t>ПО</w:t>
      </w:r>
      <w:r w:rsidRPr="00B0658A">
        <w:rPr>
          <w:rFonts w:ascii="Times New Roman" w:hAnsi="Times New Roman"/>
          <w:sz w:val="28"/>
          <w:szCs w:val="24"/>
        </w:rPr>
        <w:t xml:space="preserve"> информационных систем</w:t>
      </w:r>
      <w:r w:rsidR="003378A3">
        <w:rPr>
          <w:rFonts w:ascii="Times New Roman" w:hAnsi="Times New Roman"/>
          <w:sz w:val="28"/>
          <w:szCs w:val="24"/>
        </w:rPr>
        <w:t>;</w:t>
      </w:r>
      <w:r w:rsidRPr="00B0658A">
        <w:rPr>
          <w:rFonts w:ascii="Times New Roman" w:hAnsi="Times New Roman"/>
          <w:sz w:val="28"/>
          <w:szCs w:val="24"/>
        </w:rPr>
        <w:t xml:space="preserve"> </w:t>
      </w:r>
    </w:p>
    <w:p w14:paraId="3E2252A0" w14:textId="76786950" w:rsidR="00006702" w:rsidRPr="00B0658A" w:rsidRDefault="00006702"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л) </w:t>
      </w:r>
      <w:r w:rsidR="003378A3">
        <w:rPr>
          <w:rFonts w:ascii="Times New Roman" w:hAnsi="Times New Roman"/>
          <w:sz w:val="28"/>
          <w:szCs w:val="24"/>
        </w:rPr>
        <w:t>п</w:t>
      </w:r>
      <w:r w:rsidRPr="00B0658A">
        <w:rPr>
          <w:rFonts w:ascii="Times New Roman" w:hAnsi="Times New Roman"/>
          <w:sz w:val="28"/>
          <w:szCs w:val="24"/>
        </w:rPr>
        <w:t xml:space="preserve">ровести анализ планов закупки ПО, в том числе закупки прав на использование ПО и закупки технической поддержки (обновлений) ПО, сведения о котором не включены в единый реестр российского ПО, на последующие периоды, и провести их корректировку с учетом задач по переходу на использование российского ПО и формируемой системы показателей </w:t>
      </w:r>
      <w:r w:rsidR="00FC4C86" w:rsidRPr="00B0658A">
        <w:rPr>
          <w:rFonts w:ascii="Times New Roman" w:hAnsi="Times New Roman"/>
          <w:sz w:val="28"/>
          <w:szCs w:val="24"/>
        </w:rPr>
        <w:t xml:space="preserve">эффективности </w:t>
      </w:r>
      <w:r w:rsidRPr="00B0658A">
        <w:rPr>
          <w:rFonts w:ascii="Times New Roman" w:hAnsi="Times New Roman"/>
          <w:sz w:val="28"/>
          <w:szCs w:val="24"/>
        </w:rPr>
        <w:t>и соответствующих им значений индикаторов эффективности перехода на использование российского ПО</w:t>
      </w:r>
      <w:r w:rsidR="003378A3">
        <w:rPr>
          <w:rFonts w:ascii="Times New Roman" w:hAnsi="Times New Roman"/>
          <w:sz w:val="28"/>
          <w:szCs w:val="24"/>
        </w:rPr>
        <w:t>;</w:t>
      </w:r>
    </w:p>
    <w:p w14:paraId="45C88949" w14:textId="20604C3A" w:rsidR="00006702" w:rsidRPr="00B0658A" w:rsidRDefault="00006702"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м) </w:t>
      </w:r>
      <w:r w:rsidR="003378A3">
        <w:rPr>
          <w:rFonts w:ascii="Times New Roman" w:hAnsi="Times New Roman"/>
          <w:sz w:val="28"/>
          <w:szCs w:val="24"/>
        </w:rPr>
        <w:t>р</w:t>
      </w:r>
      <w:r w:rsidRPr="00B0658A">
        <w:rPr>
          <w:rFonts w:ascii="Times New Roman" w:hAnsi="Times New Roman"/>
          <w:sz w:val="28"/>
          <w:szCs w:val="24"/>
        </w:rPr>
        <w:t xml:space="preserve">еализовать мероприятия, направленные на уточнение используемых </w:t>
      </w:r>
      <w:r w:rsidR="00EB5739" w:rsidRPr="00B0658A">
        <w:rPr>
          <w:rFonts w:ascii="Times New Roman" w:hAnsi="Times New Roman"/>
          <w:sz w:val="28"/>
          <w:szCs w:val="24"/>
        </w:rPr>
        <w:t>подведомственной организацией</w:t>
      </w:r>
      <w:r w:rsidRPr="00B0658A">
        <w:rPr>
          <w:rFonts w:ascii="Times New Roman" w:hAnsi="Times New Roman"/>
          <w:sz w:val="28"/>
          <w:szCs w:val="24"/>
        </w:rPr>
        <w:t xml:space="preserve"> программно-технических решений </w:t>
      </w:r>
      <w:r w:rsidR="00FC4C86" w:rsidRPr="00B0658A">
        <w:rPr>
          <w:rFonts w:ascii="Times New Roman" w:hAnsi="Times New Roman"/>
          <w:sz w:val="28"/>
          <w:szCs w:val="24"/>
        </w:rPr>
        <w:t xml:space="preserve">и программного обеспечения </w:t>
      </w:r>
      <w:r w:rsidRPr="00B0658A">
        <w:rPr>
          <w:rFonts w:ascii="Times New Roman" w:hAnsi="Times New Roman"/>
          <w:sz w:val="28"/>
          <w:szCs w:val="24"/>
        </w:rPr>
        <w:t>в связи с переходом на использование российского ПО, в рамках которых, в том числе:</w:t>
      </w:r>
    </w:p>
    <w:p w14:paraId="3947907C" w14:textId="50186005" w:rsidR="00006702" w:rsidRPr="00B0658A" w:rsidRDefault="00006702"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 xml:space="preserve">провести анализ общесистемного и прикладного ПО, </w:t>
      </w:r>
      <w:r w:rsidR="00FC4C86" w:rsidRPr="00B0658A">
        <w:rPr>
          <w:rFonts w:ascii="Times New Roman" w:hAnsi="Times New Roman"/>
          <w:sz w:val="28"/>
          <w:szCs w:val="24"/>
        </w:rPr>
        <w:t xml:space="preserve">программно-аппаратных комплексов, </w:t>
      </w:r>
      <w:r w:rsidRPr="00B0658A">
        <w:rPr>
          <w:rFonts w:ascii="Times New Roman" w:hAnsi="Times New Roman"/>
          <w:sz w:val="28"/>
          <w:szCs w:val="24"/>
        </w:rPr>
        <w:t>используем</w:t>
      </w:r>
      <w:r w:rsidR="00FC4C86" w:rsidRPr="00B0658A">
        <w:rPr>
          <w:rFonts w:ascii="Times New Roman" w:hAnsi="Times New Roman"/>
          <w:sz w:val="28"/>
          <w:szCs w:val="24"/>
        </w:rPr>
        <w:t>ых</w:t>
      </w:r>
      <w:r w:rsidRPr="00B0658A">
        <w:rPr>
          <w:rFonts w:ascii="Times New Roman" w:hAnsi="Times New Roman"/>
          <w:sz w:val="28"/>
          <w:szCs w:val="24"/>
        </w:rPr>
        <w:t xml:space="preserve"> </w:t>
      </w:r>
      <w:r w:rsidR="00FC4C86" w:rsidRPr="00B0658A">
        <w:rPr>
          <w:rFonts w:ascii="Times New Roman" w:hAnsi="Times New Roman"/>
          <w:sz w:val="28"/>
          <w:szCs w:val="24"/>
        </w:rPr>
        <w:t xml:space="preserve">подведомственной организацией </w:t>
      </w:r>
      <w:r w:rsidRPr="00B0658A">
        <w:rPr>
          <w:rFonts w:ascii="Times New Roman" w:hAnsi="Times New Roman"/>
          <w:sz w:val="28"/>
          <w:szCs w:val="24"/>
        </w:rPr>
        <w:t>на значимых объектах КИИ и на иных объектах информационно-технологической инфраструктуры;</w:t>
      </w:r>
    </w:p>
    <w:p w14:paraId="097EAC28" w14:textId="27C083D9" w:rsidR="00006702" w:rsidRPr="00B0658A" w:rsidRDefault="00006702"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 xml:space="preserve">сформировать требования к функциональным, техническим, эксплуатационным характеристикам, предъявляемым к персональным электронным вычислительным машинам, устройствам терминального доступа, абонентским </w:t>
      </w:r>
      <w:r w:rsidRPr="00B0658A">
        <w:rPr>
          <w:rFonts w:ascii="Times New Roman" w:hAnsi="Times New Roman"/>
          <w:sz w:val="28"/>
          <w:szCs w:val="24"/>
        </w:rPr>
        <w:lastRenderedPageBreak/>
        <w:t>устройствам радиоподвижной связи, программно-аппаратным комплексам, в том числе серверному и иному технологическому оборудованию, иным средствам вычислительной техники и периферийным устройствам, планируемым к закупке в последующие периоды с учетом необходимости обеспечения совместимости с российским ПО и евразийским ПО (для использования на значимых объектах КИИ). Указанные требования рекомендуется направить в Минцифры России;</w:t>
      </w:r>
    </w:p>
    <w:p w14:paraId="5B9F3C77" w14:textId="2A8B0933" w:rsidR="00006702" w:rsidRPr="00B0658A" w:rsidRDefault="00006702"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 xml:space="preserve">определить требования к функциональным, техническим и эксплуатационным характеристикам, предъявляемым к различным классам (типам) ПО (для каждого класса (типа) ПО) со стороны прикладного </w:t>
      </w:r>
      <w:r w:rsidR="00151BF5" w:rsidRPr="00B0658A">
        <w:rPr>
          <w:rFonts w:ascii="Times New Roman" w:hAnsi="Times New Roman"/>
          <w:sz w:val="28"/>
          <w:szCs w:val="24"/>
        </w:rPr>
        <w:t>ПО</w:t>
      </w:r>
      <w:r w:rsidRPr="00B0658A">
        <w:rPr>
          <w:rFonts w:ascii="Times New Roman" w:hAnsi="Times New Roman"/>
          <w:sz w:val="28"/>
          <w:szCs w:val="24"/>
        </w:rPr>
        <w:t xml:space="preserve"> информационных систем</w:t>
      </w:r>
      <w:r w:rsidR="00950440" w:rsidRPr="00B0658A">
        <w:rPr>
          <w:rFonts w:ascii="Times New Roman" w:hAnsi="Times New Roman"/>
          <w:sz w:val="28"/>
          <w:szCs w:val="24"/>
        </w:rPr>
        <w:t xml:space="preserve"> и иных компонентов информационно-технологической инфраструктуры</w:t>
      </w:r>
      <w:r w:rsidRPr="00B0658A">
        <w:rPr>
          <w:rFonts w:ascii="Times New Roman" w:hAnsi="Times New Roman"/>
          <w:sz w:val="28"/>
          <w:szCs w:val="24"/>
        </w:rPr>
        <w:t>. Указанные требования рекомендуется направить в Минцифры России;</w:t>
      </w:r>
    </w:p>
    <w:p w14:paraId="06DF9B71" w14:textId="4ABF8F08" w:rsidR="00006702" w:rsidRPr="00B0658A" w:rsidRDefault="00006702"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 xml:space="preserve">провести функциональное и иные виды тестирования российского и евразийского ПО для целей подтверждения соответствия указанного ПО определенным требованиям к функциональным, техническим и эксплуатационным характеристикам ПО, а также оценки совместимости прикладного ПО информационных систем </w:t>
      </w:r>
      <w:r w:rsidR="00A52A31" w:rsidRPr="00B0658A">
        <w:rPr>
          <w:rFonts w:ascii="Times New Roman" w:hAnsi="Times New Roman"/>
          <w:sz w:val="28"/>
          <w:szCs w:val="24"/>
        </w:rPr>
        <w:t xml:space="preserve">и иных компонентов информационно-технологической инфраструктуры </w:t>
      </w:r>
      <w:r w:rsidRPr="00B0658A">
        <w:rPr>
          <w:rFonts w:ascii="Times New Roman" w:hAnsi="Times New Roman"/>
          <w:sz w:val="28"/>
          <w:szCs w:val="24"/>
        </w:rPr>
        <w:t>с российским и евразийским ПО;</w:t>
      </w:r>
    </w:p>
    <w:p w14:paraId="4B5AFB57" w14:textId="7A9515D8" w:rsidR="00006702" w:rsidRPr="00B0658A" w:rsidRDefault="00006702"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определить уточненный перечень российского ПО, евразийского ПО и российских программно-технических решений для применения при переходе на использование российского ПО, в том числе на значимых объектах КИИ;</w:t>
      </w:r>
    </w:p>
    <w:p w14:paraId="7C6928C5" w14:textId="2E45C3D1" w:rsidR="00006702" w:rsidRPr="00B0658A" w:rsidRDefault="00006702"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 xml:space="preserve">определить факторы и барьеры, препятствующие на момент планирования переходу на использование российского ПО (для соответствующих классов (типов) ПО), провести оценку необходимости и объемов доработки прикладного ПО информационных систем </w:t>
      </w:r>
      <w:r w:rsidR="00890AD8" w:rsidRPr="00B0658A">
        <w:rPr>
          <w:rFonts w:ascii="Times New Roman" w:hAnsi="Times New Roman"/>
          <w:sz w:val="28"/>
          <w:szCs w:val="24"/>
        </w:rPr>
        <w:t xml:space="preserve">и иных компонентов информационно-технологической инфраструктуры </w:t>
      </w:r>
      <w:r w:rsidRPr="00B0658A">
        <w:rPr>
          <w:rFonts w:ascii="Times New Roman" w:hAnsi="Times New Roman"/>
          <w:sz w:val="28"/>
          <w:szCs w:val="24"/>
        </w:rPr>
        <w:t>с целью обеспечения совместимости с российским ПО и (или) евразийским ПО (для использования на значимых объектах КИИ). Выявленные факторы и барьеры рекомендуется направить в Минцифры России;</w:t>
      </w:r>
    </w:p>
    <w:p w14:paraId="694E0A8B" w14:textId="5EFD53A1" w:rsidR="00006702" w:rsidRPr="00B0658A" w:rsidRDefault="00006702"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 xml:space="preserve">сформировать перечень задач и мероприятий, направленных на устранение факторов и барьеров, препятствующих переходу на использование российского ПО, а также на обеспечение совместимости прикладного </w:t>
      </w:r>
      <w:r w:rsidR="00151BF5" w:rsidRPr="00B0658A">
        <w:rPr>
          <w:rFonts w:ascii="Times New Roman" w:hAnsi="Times New Roman"/>
          <w:sz w:val="28"/>
          <w:szCs w:val="24"/>
        </w:rPr>
        <w:t>ПО</w:t>
      </w:r>
      <w:r w:rsidR="00E91BEF" w:rsidRPr="00B0658A">
        <w:rPr>
          <w:rFonts w:ascii="Times New Roman" w:hAnsi="Times New Roman"/>
          <w:sz w:val="28"/>
          <w:szCs w:val="24"/>
        </w:rPr>
        <w:t xml:space="preserve"> информационных систем и иных компонентов информационно-технологической инфраструктуры, используемых</w:t>
      </w:r>
      <w:r w:rsidRPr="00B0658A">
        <w:rPr>
          <w:rFonts w:ascii="Times New Roman" w:hAnsi="Times New Roman"/>
          <w:sz w:val="28"/>
          <w:szCs w:val="24"/>
        </w:rPr>
        <w:t xml:space="preserve"> </w:t>
      </w:r>
      <w:r w:rsidR="00D02BC2" w:rsidRPr="00B0658A">
        <w:rPr>
          <w:rFonts w:ascii="Times New Roman" w:hAnsi="Times New Roman"/>
          <w:sz w:val="28"/>
          <w:szCs w:val="24"/>
        </w:rPr>
        <w:t>подведомственной организацией</w:t>
      </w:r>
      <w:r w:rsidRPr="00B0658A">
        <w:rPr>
          <w:rFonts w:ascii="Times New Roman" w:hAnsi="Times New Roman"/>
          <w:sz w:val="28"/>
          <w:szCs w:val="24"/>
        </w:rPr>
        <w:t>, с российским ПО и евразийским ПО (для использования на значимых объектах КИИ)</w:t>
      </w:r>
      <w:r w:rsidR="003378A3">
        <w:rPr>
          <w:rFonts w:ascii="Times New Roman" w:hAnsi="Times New Roman"/>
          <w:sz w:val="28"/>
          <w:szCs w:val="24"/>
        </w:rPr>
        <w:t>;</w:t>
      </w:r>
    </w:p>
    <w:p w14:paraId="71F775CC" w14:textId="14C8A856" w:rsidR="00006702" w:rsidRPr="00B0658A" w:rsidRDefault="00006702"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н) </w:t>
      </w:r>
      <w:r w:rsidR="003378A3">
        <w:rPr>
          <w:rFonts w:ascii="Times New Roman" w:hAnsi="Times New Roman"/>
          <w:sz w:val="28"/>
          <w:szCs w:val="24"/>
        </w:rPr>
        <w:t>п</w:t>
      </w:r>
      <w:r w:rsidRPr="00B0658A">
        <w:rPr>
          <w:rFonts w:ascii="Times New Roman" w:hAnsi="Times New Roman"/>
          <w:sz w:val="28"/>
          <w:szCs w:val="24"/>
        </w:rPr>
        <w:t>ровести оценку требуемых временных и финансовых ресурсов для реализации задач по переходу на использование российского ПО, разработать необходимые финансово-экономические и технико-экономические обоснования;</w:t>
      </w:r>
    </w:p>
    <w:p w14:paraId="3D6F0440" w14:textId="5CD9771F" w:rsidR="00006702" w:rsidRPr="00B0658A" w:rsidRDefault="00006702"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о)</w:t>
      </w:r>
      <w:r w:rsidRPr="00B0658A">
        <w:rPr>
          <w:rFonts w:ascii="Times New Roman" w:hAnsi="Times New Roman"/>
        </w:rPr>
        <w:t> </w:t>
      </w:r>
      <w:r w:rsidR="003378A3">
        <w:rPr>
          <w:rFonts w:ascii="Times New Roman" w:hAnsi="Times New Roman"/>
          <w:sz w:val="28"/>
          <w:szCs w:val="24"/>
        </w:rPr>
        <w:t>п</w:t>
      </w:r>
      <w:r w:rsidRPr="00B0658A">
        <w:rPr>
          <w:rFonts w:ascii="Times New Roman" w:hAnsi="Times New Roman"/>
          <w:sz w:val="28"/>
          <w:szCs w:val="24"/>
        </w:rPr>
        <w:t xml:space="preserve">ровести оценку достаточности имеющихся в распоряжении </w:t>
      </w:r>
      <w:r w:rsidR="00D02BC2" w:rsidRPr="00B0658A">
        <w:rPr>
          <w:rFonts w:ascii="Times New Roman" w:hAnsi="Times New Roman"/>
          <w:sz w:val="28"/>
          <w:szCs w:val="24"/>
        </w:rPr>
        <w:t>подведомственной организации</w:t>
      </w:r>
      <w:r w:rsidRPr="00B0658A">
        <w:rPr>
          <w:rFonts w:ascii="Times New Roman" w:hAnsi="Times New Roman"/>
          <w:sz w:val="28"/>
          <w:szCs w:val="24"/>
        </w:rPr>
        <w:t xml:space="preserve"> ресурсов, необходимых для обеспечения перехода на использование российского ПО в установленные сроки и для достижения установленных показателей</w:t>
      </w:r>
      <w:r w:rsidR="00FC4C86" w:rsidRPr="00B0658A">
        <w:rPr>
          <w:rFonts w:ascii="Times New Roman" w:hAnsi="Times New Roman"/>
          <w:sz w:val="28"/>
          <w:szCs w:val="24"/>
        </w:rPr>
        <w:t xml:space="preserve"> эффективности</w:t>
      </w:r>
      <w:r w:rsidRPr="00B0658A">
        <w:rPr>
          <w:rFonts w:ascii="Times New Roman" w:hAnsi="Times New Roman"/>
          <w:sz w:val="28"/>
          <w:szCs w:val="24"/>
        </w:rPr>
        <w:t>, в том числе для целей модернизации прикладного ПО информационных систем</w:t>
      </w:r>
      <w:r w:rsidR="00E91BEF" w:rsidRPr="00B0658A">
        <w:rPr>
          <w:rFonts w:ascii="Times New Roman" w:hAnsi="Times New Roman"/>
          <w:sz w:val="28"/>
          <w:szCs w:val="24"/>
        </w:rPr>
        <w:t xml:space="preserve"> и иных компонентов информационно-технологической инфраструктуры</w:t>
      </w:r>
      <w:r w:rsidRPr="00B0658A">
        <w:rPr>
          <w:rFonts w:ascii="Times New Roman" w:hAnsi="Times New Roman"/>
          <w:sz w:val="28"/>
          <w:szCs w:val="24"/>
        </w:rPr>
        <w:t xml:space="preserve">. При этом при оценке достаточности ресурсов </w:t>
      </w:r>
      <w:r w:rsidR="00D02BC2" w:rsidRPr="00B0658A">
        <w:rPr>
          <w:rFonts w:ascii="Times New Roman" w:hAnsi="Times New Roman"/>
          <w:sz w:val="28"/>
          <w:szCs w:val="24"/>
        </w:rPr>
        <w:t>подведомственным организациям</w:t>
      </w:r>
      <w:r w:rsidRPr="00B0658A">
        <w:rPr>
          <w:rFonts w:ascii="Times New Roman" w:hAnsi="Times New Roman"/>
          <w:sz w:val="28"/>
          <w:szCs w:val="24"/>
        </w:rPr>
        <w:t xml:space="preserve"> рекомендуется:</w:t>
      </w:r>
    </w:p>
    <w:p w14:paraId="6702EFE0" w14:textId="735CE7BF" w:rsidR="00006702" w:rsidRPr="00B0658A" w:rsidRDefault="00006702"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провести оптимизацию текущих</w:t>
      </w:r>
      <w:r w:rsidR="00FC4C86" w:rsidRPr="00B0658A">
        <w:rPr>
          <w:rFonts w:ascii="Times New Roman" w:hAnsi="Times New Roman"/>
          <w:sz w:val="28"/>
          <w:szCs w:val="24"/>
        </w:rPr>
        <w:t xml:space="preserve"> и планируемых</w:t>
      </w:r>
      <w:r w:rsidRPr="00B0658A">
        <w:rPr>
          <w:rFonts w:ascii="Times New Roman" w:hAnsi="Times New Roman"/>
          <w:sz w:val="28"/>
          <w:szCs w:val="24"/>
        </w:rPr>
        <w:t xml:space="preserve"> эксплуатационных расходов на ИКТ;</w:t>
      </w:r>
    </w:p>
    <w:p w14:paraId="76B96267" w14:textId="43A4036F" w:rsidR="00006702" w:rsidRPr="00B0658A" w:rsidRDefault="00006702"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lastRenderedPageBreak/>
        <w:t xml:space="preserve">провести оптимизацию текущих </w:t>
      </w:r>
      <w:r w:rsidR="00FC4C86" w:rsidRPr="00B0658A">
        <w:rPr>
          <w:rFonts w:ascii="Times New Roman" w:hAnsi="Times New Roman"/>
          <w:sz w:val="28"/>
          <w:szCs w:val="24"/>
        </w:rPr>
        <w:t xml:space="preserve">и планируемых </w:t>
      </w:r>
      <w:r w:rsidRPr="00B0658A">
        <w:rPr>
          <w:rFonts w:ascii="Times New Roman" w:hAnsi="Times New Roman"/>
          <w:sz w:val="28"/>
          <w:szCs w:val="24"/>
        </w:rPr>
        <w:t>расходов на развитие существующих информационных систем</w:t>
      </w:r>
      <w:r w:rsidR="00E91BEF" w:rsidRPr="00B0658A">
        <w:rPr>
          <w:rFonts w:ascii="Times New Roman" w:hAnsi="Times New Roman"/>
          <w:sz w:val="28"/>
          <w:szCs w:val="24"/>
        </w:rPr>
        <w:t xml:space="preserve"> и иных компонентов информационно-технологической инфраструктуры</w:t>
      </w:r>
      <w:r w:rsidRPr="00B0658A">
        <w:rPr>
          <w:rFonts w:ascii="Times New Roman" w:hAnsi="Times New Roman"/>
          <w:sz w:val="28"/>
          <w:szCs w:val="24"/>
        </w:rPr>
        <w:t>, функционирующих на базе иностранных ИТ-платформ и иностранных ИТ-решений;</w:t>
      </w:r>
    </w:p>
    <w:p w14:paraId="4100F730" w14:textId="543972C6" w:rsidR="00006702" w:rsidRPr="00B0658A" w:rsidRDefault="00006702"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провести оптимизацию расходов, в том числе расходов на закупку нового ИКТ-оборудования и создание новых центров обработки данных, на вычислительную и телекоммуникационную инфраструктуру, обеспечивающую функционирование информационных систем, в том числе с учетом возможностей, предоставляемых в рамках единой цифровой платформы Российской Федерации «ГосТех», государственной единой облачной платформы, возможностей, связанных с переходом на использование «сервисной модели» при возникновении потребности в вычислительных ресурсах и программно-аппаратных комплексов</w:t>
      </w:r>
      <w:r w:rsidR="003378A3">
        <w:rPr>
          <w:rFonts w:ascii="Times New Roman" w:hAnsi="Times New Roman"/>
          <w:sz w:val="28"/>
          <w:szCs w:val="24"/>
        </w:rPr>
        <w:t>;</w:t>
      </w:r>
    </w:p>
    <w:p w14:paraId="5D17CA52" w14:textId="2EA659A5" w:rsidR="00006702" w:rsidRPr="00B0658A" w:rsidRDefault="00006702"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п) </w:t>
      </w:r>
      <w:r w:rsidR="003378A3">
        <w:rPr>
          <w:rFonts w:ascii="Times New Roman" w:hAnsi="Times New Roman"/>
          <w:sz w:val="28"/>
          <w:szCs w:val="24"/>
        </w:rPr>
        <w:t>с</w:t>
      </w:r>
      <w:r w:rsidRPr="00B0658A">
        <w:rPr>
          <w:rFonts w:ascii="Times New Roman" w:hAnsi="Times New Roman"/>
          <w:sz w:val="28"/>
          <w:szCs w:val="24"/>
        </w:rPr>
        <w:t xml:space="preserve"> учетом проведенной оценки требуемых временных и финансовых ресурсов, оценки достаточности имеющихся финансовых ресурсов с учетом проведенной оптимизации расходов на ИКТ</w:t>
      </w:r>
      <w:r w:rsidR="00D02BC2" w:rsidRPr="00B0658A">
        <w:rPr>
          <w:rFonts w:ascii="Times New Roman" w:hAnsi="Times New Roman"/>
          <w:sz w:val="28"/>
          <w:szCs w:val="24"/>
        </w:rPr>
        <w:t xml:space="preserve"> подведомственным организациям рекомендуется</w:t>
      </w:r>
      <w:r w:rsidRPr="00B0658A">
        <w:rPr>
          <w:rFonts w:ascii="Times New Roman" w:hAnsi="Times New Roman"/>
          <w:sz w:val="28"/>
          <w:szCs w:val="24"/>
        </w:rPr>
        <w:t>:</w:t>
      </w:r>
    </w:p>
    <w:p w14:paraId="74B99C7A" w14:textId="4FD755B7" w:rsidR="00D02BC2" w:rsidRPr="00B0658A" w:rsidRDefault="00D02BC2"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 xml:space="preserve">внести необходимые изменения в программы (проекты) </w:t>
      </w:r>
      <w:r w:rsidR="00041627" w:rsidRPr="00B0658A">
        <w:rPr>
          <w:rFonts w:ascii="Times New Roman" w:hAnsi="Times New Roman"/>
          <w:sz w:val="28"/>
          <w:szCs w:val="24"/>
        </w:rPr>
        <w:t xml:space="preserve">организации, связанные с </w:t>
      </w:r>
      <w:r w:rsidRPr="00B0658A">
        <w:rPr>
          <w:rFonts w:ascii="Times New Roman" w:hAnsi="Times New Roman"/>
          <w:sz w:val="28"/>
          <w:szCs w:val="24"/>
        </w:rPr>
        <w:t>развити</w:t>
      </w:r>
      <w:r w:rsidR="00041627" w:rsidRPr="00B0658A">
        <w:rPr>
          <w:rFonts w:ascii="Times New Roman" w:hAnsi="Times New Roman"/>
          <w:sz w:val="28"/>
          <w:szCs w:val="24"/>
        </w:rPr>
        <w:t>ем</w:t>
      </w:r>
      <w:r w:rsidRPr="00B0658A">
        <w:rPr>
          <w:rFonts w:ascii="Times New Roman" w:hAnsi="Times New Roman"/>
          <w:sz w:val="28"/>
          <w:szCs w:val="24"/>
        </w:rPr>
        <w:t xml:space="preserve"> </w:t>
      </w:r>
      <w:r w:rsidR="000803DD" w:rsidRPr="00B0658A">
        <w:rPr>
          <w:rFonts w:ascii="Times New Roman" w:hAnsi="Times New Roman"/>
          <w:sz w:val="28"/>
          <w:szCs w:val="24"/>
        </w:rPr>
        <w:t>ИКТ</w:t>
      </w:r>
      <w:r w:rsidRPr="00B0658A">
        <w:rPr>
          <w:rFonts w:ascii="Times New Roman" w:hAnsi="Times New Roman"/>
          <w:sz w:val="28"/>
          <w:szCs w:val="24"/>
        </w:rPr>
        <w:t>;</w:t>
      </w:r>
    </w:p>
    <w:p w14:paraId="0FB4FBB8" w14:textId="2D0261CE" w:rsidR="00006702" w:rsidRPr="00B0658A" w:rsidRDefault="00041627"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при отсутствии имеющегося в организации достаточного объема финансовых ресурсов проработать вопросы, связанные с иными источниками финансового обеспечения процессов перехода на использование российского ПО</w:t>
      </w:r>
      <w:r w:rsidR="003378A3">
        <w:rPr>
          <w:rFonts w:ascii="Times New Roman" w:hAnsi="Times New Roman"/>
          <w:sz w:val="28"/>
          <w:szCs w:val="24"/>
        </w:rPr>
        <w:t>;</w:t>
      </w:r>
    </w:p>
    <w:p w14:paraId="2D297E03" w14:textId="379043D9" w:rsidR="00497E50" w:rsidRPr="00B0658A" w:rsidRDefault="00006702"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р) </w:t>
      </w:r>
      <w:r w:rsidR="003378A3">
        <w:rPr>
          <w:rFonts w:ascii="Times New Roman" w:hAnsi="Times New Roman"/>
          <w:sz w:val="28"/>
          <w:szCs w:val="24"/>
        </w:rPr>
        <w:t>в</w:t>
      </w:r>
      <w:r w:rsidRPr="00B0658A">
        <w:rPr>
          <w:rFonts w:ascii="Times New Roman" w:hAnsi="Times New Roman"/>
          <w:sz w:val="28"/>
          <w:szCs w:val="24"/>
        </w:rPr>
        <w:t xml:space="preserve"> случае, если в процессе тестирования российского ПО и евразийского ПО и уточнения программно-технических решений </w:t>
      </w:r>
      <w:r w:rsidR="00FC4C86" w:rsidRPr="00B0658A">
        <w:rPr>
          <w:rFonts w:ascii="Times New Roman" w:hAnsi="Times New Roman"/>
          <w:sz w:val="28"/>
          <w:szCs w:val="24"/>
        </w:rPr>
        <w:t xml:space="preserve">и программного обеспечения </w:t>
      </w:r>
      <w:r w:rsidRPr="00B0658A">
        <w:rPr>
          <w:rFonts w:ascii="Times New Roman" w:hAnsi="Times New Roman"/>
          <w:sz w:val="28"/>
          <w:szCs w:val="24"/>
        </w:rPr>
        <w:t>будет определено, что в указанном ПО отсутствует ряд критически важных технологий и функций, которые при этом не могут быть реализованы путем использования комбинации ПО или реализации организационно-технических мер, рекомендуется организовать взаимодействие с Отраслевым комитетом по развитию общесистемного и прикладного ПО, иными Индустриальными центрами компетенций по замещению зарубежных отраслевых продуктов и решений в ключевых отраслях экономики (при необходимости), а также с Центрами компетенций по развитию российского общесистемного и прикладного программного обеспечения, производителями российского ПО и евразийского ПО для целей организации развития и доработки указанного ПО</w:t>
      </w:r>
      <w:r w:rsidR="003378A3">
        <w:rPr>
          <w:rFonts w:ascii="Times New Roman" w:hAnsi="Times New Roman"/>
          <w:sz w:val="28"/>
          <w:szCs w:val="24"/>
        </w:rPr>
        <w:t>;</w:t>
      </w:r>
    </w:p>
    <w:p w14:paraId="2BD40D76" w14:textId="06916EC5" w:rsidR="00FC4C86" w:rsidRPr="00B0658A" w:rsidRDefault="00FC4C86"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с) </w:t>
      </w:r>
      <w:r w:rsidR="003378A3">
        <w:rPr>
          <w:rFonts w:ascii="Times New Roman" w:hAnsi="Times New Roman"/>
          <w:sz w:val="28"/>
          <w:szCs w:val="24"/>
        </w:rPr>
        <w:t>п</w:t>
      </w:r>
      <w:r w:rsidRPr="00B0658A">
        <w:rPr>
          <w:rFonts w:ascii="Times New Roman" w:hAnsi="Times New Roman"/>
          <w:sz w:val="28"/>
          <w:szCs w:val="24"/>
        </w:rPr>
        <w:t>редусмотреть мероприятия, направленные на обучение работников подведомственной организации, в том числе работников, ответственных за вопросы функционирования информационно-технологической и телекоммуникационной инфраструктуры, по использованию российского и евразийского ПО. </w:t>
      </w:r>
    </w:p>
    <w:p w14:paraId="01152F94" w14:textId="77777777" w:rsidR="003A7B42" w:rsidRPr="00B0658A" w:rsidRDefault="00500CFF"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71</w:t>
      </w:r>
      <w:r w:rsidR="00041627" w:rsidRPr="00B0658A">
        <w:rPr>
          <w:rFonts w:ascii="Times New Roman" w:hAnsi="Times New Roman"/>
          <w:sz w:val="28"/>
          <w:szCs w:val="24"/>
        </w:rPr>
        <w:t>. </w:t>
      </w:r>
      <w:r w:rsidR="00027932" w:rsidRPr="00B0658A">
        <w:rPr>
          <w:rFonts w:ascii="Times New Roman" w:hAnsi="Times New Roman"/>
          <w:sz w:val="28"/>
          <w:szCs w:val="24"/>
        </w:rPr>
        <w:t xml:space="preserve">Подведомственным организациям </w:t>
      </w:r>
      <w:r w:rsidR="003A7B42" w:rsidRPr="00B0658A">
        <w:rPr>
          <w:rFonts w:ascii="Times New Roman" w:hAnsi="Times New Roman"/>
          <w:sz w:val="28"/>
          <w:szCs w:val="24"/>
        </w:rPr>
        <w:t>также рекомендуется:</w:t>
      </w:r>
    </w:p>
    <w:p w14:paraId="24CEEDB9" w14:textId="68B9B8F7" w:rsidR="003A7B42" w:rsidRPr="00B0658A" w:rsidRDefault="003A7B42"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а) </w:t>
      </w:r>
      <w:r w:rsidR="003378A3">
        <w:rPr>
          <w:rFonts w:ascii="Times New Roman" w:hAnsi="Times New Roman"/>
          <w:sz w:val="28"/>
          <w:szCs w:val="24"/>
        </w:rPr>
        <w:t>с</w:t>
      </w:r>
      <w:r w:rsidRPr="00B0658A">
        <w:rPr>
          <w:rFonts w:ascii="Times New Roman" w:hAnsi="Times New Roman"/>
          <w:sz w:val="28"/>
          <w:szCs w:val="24"/>
        </w:rPr>
        <w:t xml:space="preserve"> 1 января 2023 г</w:t>
      </w:r>
      <w:r w:rsidR="003378A3">
        <w:rPr>
          <w:rFonts w:ascii="Times New Roman" w:hAnsi="Times New Roman"/>
          <w:sz w:val="28"/>
          <w:szCs w:val="24"/>
        </w:rPr>
        <w:t>.</w:t>
      </w:r>
      <w:r w:rsidRPr="00B0658A">
        <w:rPr>
          <w:rFonts w:ascii="Times New Roman" w:hAnsi="Times New Roman"/>
          <w:sz w:val="28"/>
          <w:szCs w:val="24"/>
        </w:rPr>
        <w:t xml:space="preserve"> новые </w:t>
      </w:r>
      <w:r w:rsidR="00027932" w:rsidRPr="00B0658A">
        <w:rPr>
          <w:rFonts w:ascii="Times New Roman" w:hAnsi="Times New Roman"/>
          <w:sz w:val="28"/>
          <w:szCs w:val="24"/>
        </w:rPr>
        <w:t xml:space="preserve">информационные системы </w:t>
      </w:r>
      <w:r w:rsidR="003A107F" w:rsidRPr="00B0658A">
        <w:rPr>
          <w:rFonts w:ascii="Times New Roman" w:hAnsi="Times New Roman"/>
          <w:sz w:val="28"/>
          <w:szCs w:val="24"/>
        </w:rPr>
        <w:t xml:space="preserve">и иные компоненты информационно-технологической инфраструктуры </w:t>
      </w:r>
      <w:r w:rsidRPr="00B0658A">
        <w:rPr>
          <w:rFonts w:ascii="Times New Roman" w:hAnsi="Times New Roman"/>
          <w:sz w:val="28"/>
          <w:szCs w:val="24"/>
        </w:rPr>
        <w:t>создавать с использованием российского ПО и евразийского ПО</w:t>
      </w:r>
      <w:r w:rsidR="00100A00" w:rsidRPr="00B0658A">
        <w:rPr>
          <w:rFonts w:ascii="Times New Roman" w:hAnsi="Times New Roman"/>
          <w:sz w:val="28"/>
          <w:szCs w:val="24"/>
        </w:rPr>
        <w:t xml:space="preserve"> (для использования на значимых объектах КИИ)</w:t>
      </w:r>
      <w:r w:rsidR="003378A3">
        <w:rPr>
          <w:rFonts w:ascii="Times New Roman" w:hAnsi="Times New Roman"/>
          <w:sz w:val="28"/>
          <w:szCs w:val="24"/>
        </w:rPr>
        <w:t>;</w:t>
      </w:r>
    </w:p>
    <w:p w14:paraId="3182AB73" w14:textId="121F0593" w:rsidR="003A7B42" w:rsidRPr="00B0658A" w:rsidRDefault="003A7B42"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б) </w:t>
      </w:r>
      <w:r w:rsidR="003378A3">
        <w:rPr>
          <w:rFonts w:ascii="Times New Roman" w:hAnsi="Times New Roman"/>
          <w:sz w:val="28"/>
          <w:szCs w:val="24"/>
        </w:rPr>
        <w:t>с</w:t>
      </w:r>
      <w:r w:rsidRPr="00B0658A">
        <w:rPr>
          <w:rFonts w:ascii="Times New Roman" w:hAnsi="Times New Roman"/>
          <w:sz w:val="28"/>
          <w:szCs w:val="24"/>
        </w:rPr>
        <w:t>оздать «проектн</w:t>
      </w:r>
      <w:r w:rsidR="003A107F" w:rsidRPr="00B0658A">
        <w:rPr>
          <w:rFonts w:ascii="Times New Roman" w:hAnsi="Times New Roman"/>
          <w:sz w:val="28"/>
          <w:szCs w:val="24"/>
        </w:rPr>
        <w:t>ую</w:t>
      </w:r>
      <w:r w:rsidRPr="00B0658A">
        <w:rPr>
          <w:rFonts w:ascii="Times New Roman" w:hAnsi="Times New Roman"/>
          <w:sz w:val="28"/>
          <w:szCs w:val="24"/>
        </w:rPr>
        <w:t xml:space="preserve"> </w:t>
      </w:r>
      <w:r w:rsidR="003A107F" w:rsidRPr="00B0658A">
        <w:rPr>
          <w:rFonts w:ascii="Times New Roman" w:hAnsi="Times New Roman"/>
          <w:sz w:val="28"/>
          <w:szCs w:val="24"/>
        </w:rPr>
        <w:t>группу</w:t>
      </w:r>
      <w:r w:rsidRPr="00B0658A">
        <w:rPr>
          <w:rFonts w:ascii="Times New Roman" w:hAnsi="Times New Roman"/>
          <w:sz w:val="28"/>
          <w:szCs w:val="24"/>
        </w:rPr>
        <w:t>», обеспечивающ</w:t>
      </w:r>
      <w:r w:rsidR="003A107F" w:rsidRPr="00B0658A">
        <w:rPr>
          <w:rFonts w:ascii="Times New Roman" w:hAnsi="Times New Roman"/>
          <w:sz w:val="28"/>
          <w:szCs w:val="24"/>
        </w:rPr>
        <w:t>ую</w:t>
      </w:r>
      <w:r w:rsidRPr="00B0658A">
        <w:rPr>
          <w:rFonts w:ascii="Times New Roman" w:hAnsi="Times New Roman"/>
          <w:sz w:val="28"/>
          <w:szCs w:val="24"/>
        </w:rPr>
        <w:t xml:space="preserve"> управление процессами перехода </w:t>
      </w:r>
      <w:r w:rsidR="00027932" w:rsidRPr="00B0658A">
        <w:rPr>
          <w:rFonts w:ascii="Times New Roman" w:hAnsi="Times New Roman"/>
          <w:sz w:val="28"/>
          <w:szCs w:val="24"/>
        </w:rPr>
        <w:t xml:space="preserve">подведомственной организации </w:t>
      </w:r>
      <w:r w:rsidRPr="00B0658A">
        <w:rPr>
          <w:rFonts w:ascii="Times New Roman" w:hAnsi="Times New Roman"/>
          <w:sz w:val="28"/>
          <w:szCs w:val="24"/>
        </w:rPr>
        <w:t>на использование российского ПО, мониторинг хода реализации Плана перехода и достижения установленных показателей эффективности</w:t>
      </w:r>
      <w:r w:rsidR="003378A3">
        <w:rPr>
          <w:rFonts w:ascii="Times New Roman" w:hAnsi="Times New Roman"/>
          <w:sz w:val="28"/>
          <w:szCs w:val="24"/>
        </w:rPr>
        <w:t>;</w:t>
      </w:r>
    </w:p>
    <w:p w14:paraId="7CF82690" w14:textId="1659FBF5" w:rsidR="003A7B42" w:rsidRPr="00B0658A" w:rsidRDefault="003A7B42" w:rsidP="00F57B1F">
      <w:pPr>
        <w:spacing w:after="0" w:line="240" w:lineRule="auto"/>
        <w:ind w:firstLine="709"/>
        <w:jc w:val="both"/>
        <w:rPr>
          <w:rFonts w:ascii="Times New Roman" w:hAnsi="Times New Roman"/>
          <w:sz w:val="28"/>
          <w:szCs w:val="28"/>
        </w:rPr>
      </w:pPr>
      <w:r w:rsidRPr="00B0658A">
        <w:rPr>
          <w:rFonts w:ascii="Times New Roman" w:hAnsi="Times New Roman"/>
          <w:sz w:val="28"/>
          <w:szCs w:val="24"/>
        </w:rPr>
        <w:lastRenderedPageBreak/>
        <w:t>в) </w:t>
      </w:r>
      <w:r w:rsidR="003378A3">
        <w:rPr>
          <w:rFonts w:ascii="Times New Roman" w:hAnsi="Times New Roman"/>
          <w:sz w:val="28"/>
          <w:szCs w:val="24"/>
        </w:rPr>
        <w:t>п</w:t>
      </w:r>
      <w:r w:rsidRPr="00B0658A">
        <w:rPr>
          <w:rFonts w:ascii="Times New Roman" w:hAnsi="Times New Roman"/>
          <w:sz w:val="28"/>
          <w:szCs w:val="24"/>
        </w:rPr>
        <w:t xml:space="preserve">редусмотреть мероприятие по предоставлению в </w:t>
      </w:r>
      <w:r w:rsidR="003A107F" w:rsidRPr="00B0658A">
        <w:rPr>
          <w:rFonts w:ascii="Times New Roman" w:hAnsi="Times New Roman"/>
          <w:sz w:val="28"/>
          <w:szCs w:val="24"/>
        </w:rPr>
        <w:t>Минцифры России</w:t>
      </w:r>
      <w:r w:rsidRPr="00B0658A">
        <w:rPr>
          <w:rFonts w:ascii="Times New Roman" w:hAnsi="Times New Roman"/>
          <w:sz w:val="28"/>
          <w:szCs w:val="24"/>
        </w:rPr>
        <w:t xml:space="preserve"> и в части касающейся в соответствующие федеральные органы исполнительной власти, </w:t>
      </w:r>
      <w:r w:rsidRPr="00B0658A">
        <w:rPr>
          <w:rFonts w:ascii="Times New Roman" w:hAnsi="Times New Roman"/>
          <w:sz w:val="28"/>
          <w:szCs w:val="28"/>
        </w:rPr>
        <w:t xml:space="preserve">определенные в пункте 2 постановления Правительства Российской Федерации от 22 августа 2022 года </w:t>
      </w:r>
      <w:r w:rsidR="00592B14" w:rsidRPr="00B0658A">
        <w:rPr>
          <w:rFonts w:ascii="Times New Roman" w:hAnsi="Times New Roman"/>
          <w:sz w:val="28"/>
          <w:szCs w:val="28"/>
        </w:rPr>
        <w:t>№ </w:t>
      </w:r>
      <w:r w:rsidR="00DD5AB9" w:rsidRPr="00B0658A">
        <w:rPr>
          <w:rFonts w:ascii="Times New Roman" w:hAnsi="Times New Roman"/>
          <w:sz w:val="28"/>
          <w:szCs w:val="28"/>
        </w:rPr>
        <w:t> </w:t>
      </w:r>
      <w:r w:rsidRPr="00B0658A">
        <w:rPr>
          <w:rFonts w:ascii="Times New Roman" w:hAnsi="Times New Roman"/>
          <w:sz w:val="28"/>
          <w:szCs w:val="28"/>
        </w:rPr>
        <w:t xml:space="preserve">1478 и ответственные за утверждение отраслевых планов мероприятий по обеспечению готовности заказчиков 223-ФЗ (за исключением организаций с муниципальным участием) к преимущественному использованию российского ПО, в том числе в составе программно-аппаратных комплексов, </w:t>
      </w:r>
      <w:r w:rsidR="003A107F" w:rsidRPr="00B0658A">
        <w:rPr>
          <w:rFonts w:ascii="Times New Roman" w:hAnsi="Times New Roman"/>
          <w:sz w:val="28"/>
          <w:szCs w:val="28"/>
        </w:rPr>
        <w:t xml:space="preserve">сведений о ходе реализации Плана перехода </w:t>
      </w:r>
      <w:r w:rsidRPr="00B0658A">
        <w:rPr>
          <w:rFonts w:ascii="Times New Roman" w:hAnsi="Times New Roman"/>
          <w:sz w:val="28"/>
          <w:szCs w:val="28"/>
        </w:rPr>
        <w:t>с периодичностью, по форме и в объеме, предусмотренных в настоящих методических рекомендациях</w:t>
      </w:r>
      <w:r w:rsidR="003378A3">
        <w:rPr>
          <w:rFonts w:ascii="Times New Roman" w:hAnsi="Times New Roman"/>
          <w:sz w:val="28"/>
          <w:szCs w:val="28"/>
        </w:rPr>
        <w:t>;</w:t>
      </w:r>
    </w:p>
    <w:p w14:paraId="56EC6B51" w14:textId="6C21797D" w:rsidR="003A7B42" w:rsidRPr="00B0658A" w:rsidRDefault="00027932" w:rsidP="00F57B1F">
      <w:pPr>
        <w:spacing w:after="0" w:line="240" w:lineRule="auto"/>
        <w:ind w:firstLine="709"/>
        <w:jc w:val="both"/>
        <w:rPr>
          <w:rFonts w:ascii="Times New Roman" w:hAnsi="Times New Roman"/>
          <w:sz w:val="28"/>
          <w:szCs w:val="28"/>
        </w:rPr>
      </w:pPr>
      <w:r w:rsidRPr="00B0658A">
        <w:rPr>
          <w:rFonts w:ascii="Times New Roman" w:hAnsi="Times New Roman"/>
          <w:sz w:val="28"/>
          <w:szCs w:val="28"/>
        </w:rPr>
        <w:t>г</w:t>
      </w:r>
      <w:r w:rsidR="003A7B42" w:rsidRPr="00B0658A">
        <w:rPr>
          <w:rFonts w:ascii="Times New Roman" w:hAnsi="Times New Roman"/>
          <w:sz w:val="28"/>
          <w:szCs w:val="28"/>
        </w:rPr>
        <w:t>) </w:t>
      </w:r>
      <w:r w:rsidR="003378A3">
        <w:rPr>
          <w:rFonts w:ascii="Times New Roman" w:hAnsi="Times New Roman"/>
          <w:sz w:val="28"/>
          <w:szCs w:val="28"/>
        </w:rPr>
        <w:t>у</w:t>
      </w:r>
      <w:r w:rsidR="003A7B42" w:rsidRPr="00B0658A">
        <w:rPr>
          <w:rFonts w:ascii="Times New Roman" w:hAnsi="Times New Roman"/>
          <w:sz w:val="28"/>
          <w:szCs w:val="28"/>
        </w:rPr>
        <w:t xml:space="preserve">становить решением </w:t>
      </w:r>
      <w:r w:rsidRPr="00B0658A">
        <w:rPr>
          <w:rFonts w:ascii="Times New Roman" w:hAnsi="Times New Roman"/>
          <w:sz w:val="28"/>
          <w:szCs w:val="28"/>
        </w:rPr>
        <w:t xml:space="preserve">руководителя подведомственной организации </w:t>
      </w:r>
      <w:r w:rsidR="003A7B42" w:rsidRPr="00B0658A">
        <w:rPr>
          <w:rFonts w:ascii="Times New Roman" w:hAnsi="Times New Roman"/>
          <w:sz w:val="28"/>
          <w:szCs w:val="28"/>
        </w:rPr>
        <w:t>условия и критерии, определяющие персональную ответственность для</w:t>
      </w:r>
      <w:r w:rsidR="00633CBF" w:rsidRPr="00B0658A">
        <w:rPr>
          <w:rFonts w:ascii="Times New Roman" w:hAnsi="Times New Roman"/>
          <w:sz w:val="28"/>
          <w:szCs w:val="28"/>
        </w:rPr>
        <w:t xml:space="preserve"> </w:t>
      </w:r>
      <w:r w:rsidR="003A7B42" w:rsidRPr="00B0658A">
        <w:rPr>
          <w:rFonts w:ascii="Times New Roman" w:hAnsi="Times New Roman"/>
          <w:sz w:val="28"/>
          <w:szCs w:val="28"/>
        </w:rPr>
        <w:t xml:space="preserve">заместителя руководителя </w:t>
      </w:r>
      <w:r w:rsidRPr="00B0658A">
        <w:rPr>
          <w:rFonts w:ascii="Times New Roman" w:hAnsi="Times New Roman"/>
          <w:sz w:val="28"/>
          <w:szCs w:val="28"/>
        </w:rPr>
        <w:t>подведомственной организации</w:t>
      </w:r>
      <w:r w:rsidR="003A7B42" w:rsidRPr="00B0658A">
        <w:rPr>
          <w:rFonts w:ascii="Times New Roman" w:hAnsi="Times New Roman"/>
          <w:sz w:val="28"/>
          <w:szCs w:val="28"/>
        </w:rPr>
        <w:t>, ответственного за вопросы, связанные с переходом на использование российского ПО</w:t>
      </w:r>
      <w:r w:rsidRPr="00B0658A">
        <w:rPr>
          <w:rFonts w:ascii="Times New Roman" w:hAnsi="Times New Roman"/>
          <w:sz w:val="28"/>
          <w:szCs w:val="28"/>
        </w:rPr>
        <w:t>,</w:t>
      </w:r>
      <w:r w:rsidR="003A7B42" w:rsidRPr="00B0658A">
        <w:rPr>
          <w:rFonts w:ascii="Times New Roman" w:hAnsi="Times New Roman"/>
          <w:sz w:val="28"/>
          <w:szCs w:val="28"/>
        </w:rPr>
        <w:t xml:space="preserve"> за несвоевременную подготовку и утверждение Плана перехода </w:t>
      </w:r>
      <w:r w:rsidRPr="00B0658A">
        <w:rPr>
          <w:rFonts w:ascii="Times New Roman" w:hAnsi="Times New Roman"/>
          <w:sz w:val="28"/>
          <w:szCs w:val="28"/>
        </w:rPr>
        <w:t xml:space="preserve">подведомственной организации </w:t>
      </w:r>
      <w:r w:rsidR="003A7B42" w:rsidRPr="00B0658A">
        <w:rPr>
          <w:rFonts w:ascii="Times New Roman" w:hAnsi="Times New Roman"/>
          <w:sz w:val="28"/>
          <w:szCs w:val="28"/>
        </w:rPr>
        <w:t>на использование российского ПО, а также за недостижение показателей эффективности перехода на использование российского ПО, установленных в Плане перехода</w:t>
      </w:r>
      <w:r w:rsidR="003378A3">
        <w:rPr>
          <w:rFonts w:ascii="Times New Roman" w:hAnsi="Times New Roman"/>
          <w:sz w:val="28"/>
          <w:szCs w:val="28"/>
        </w:rPr>
        <w:t>.</w:t>
      </w:r>
    </w:p>
    <w:p w14:paraId="46DDF48B" w14:textId="77777777" w:rsidR="00497E50" w:rsidRPr="00B0658A" w:rsidRDefault="003A7B42"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8"/>
        </w:rPr>
        <w:t>Указанные в настоящем пункте условия и критерии, определяющие персональную ответственность, рекомендуется согласовать с</w:t>
      </w:r>
      <w:r w:rsidR="003A107F" w:rsidRPr="00B0658A">
        <w:rPr>
          <w:rFonts w:ascii="Times New Roman" w:hAnsi="Times New Roman"/>
          <w:sz w:val="28"/>
          <w:szCs w:val="28"/>
        </w:rPr>
        <w:t xml:space="preserve"> органом государственной власти или государственным внебюджетным фондом, подведомственной организацией которого является организация</w:t>
      </w:r>
      <w:r w:rsidRPr="00B0658A">
        <w:rPr>
          <w:rFonts w:ascii="Times New Roman" w:hAnsi="Times New Roman"/>
          <w:sz w:val="28"/>
          <w:szCs w:val="28"/>
        </w:rPr>
        <w:t>.</w:t>
      </w:r>
    </w:p>
    <w:p w14:paraId="4BFB4479" w14:textId="77777777" w:rsidR="00633CBF" w:rsidRPr="00B0658A" w:rsidRDefault="00027932"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72. </w:t>
      </w:r>
      <w:r w:rsidR="00633CBF" w:rsidRPr="00B0658A">
        <w:rPr>
          <w:rFonts w:ascii="Times New Roman" w:hAnsi="Times New Roman"/>
          <w:sz w:val="28"/>
          <w:szCs w:val="24"/>
        </w:rPr>
        <w:t xml:space="preserve">Показатели эффективности и соответствующие им </w:t>
      </w:r>
      <w:r w:rsidR="003A107F" w:rsidRPr="00B0658A">
        <w:rPr>
          <w:rFonts w:ascii="Times New Roman" w:hAnsi="Times New Roman"/>
          <w:sz w:val="28"/>
          <w:szCs w:val="24"/>
        </w:rPr>
        <w:t xml:space="preserve">значения </w:t>
      </w:r>
      <w:r w:rsidR="00633CBF" w:rsidRPr="00B0658A">
        <w:rPr>
          <w:rFonts w:ascii="Times New Roman" w:hAnsi="Times New Roman"/>
          <w:sz w:val="28"/>
          <w:szCs w:val="24"/>
        </w:rPr>
        <w:t>индикатор</w:t>
      </w:r>
      <w:r w:rsidR="003A107F" w:rsidRPr="00B0658A">
        <w:rPr>
          <w:rFonts w:ascii="Times New Roman" w:hAnsi="Times New Roman"/>
          <w:sz w:val="28"/>
          <w:szCs w:val="24"/>
        </w:rPr>
        <w:t>ов</w:t>
      </w:r>
      <w:r w:rsidR="00633CBF" w:rsidRPr="00B0658A">
        <w:rPr>
          <w:rFonts w:ascii="Times New Roman" w:hAnsi="Times New Roman"/>
          <w:sz w:val="28"/>
          <w:szCs w:val="24"/>
        </w:rPr>
        <w:t xml:space="preserve"> эффективности перехода на использование российского ПО рекомендуется формировать в виде отдельной таблицы и устанавливать по годам в отношении каждого используемого класса (типа) ПО</w:t>
      </w:r>
      <w:r w:rsidR="004F3FC4" w:rsidRPr="00B0658A">
        <w:rPr>
          <w:rFonts w:ascii="Times New Roman" w:hAnsi="Times New Roman"/>
          <w:sz w:val="28"/>
          <w:szCs w:val="24"/>
        </w:rPr>
        <w:t>,</w:t>
      </w:r>
      <w:r w:rsidR="00633CBF" w:rsidRPr="00B0658A">
        <w:rPr>
          <w:rFonts w:ascii="Times New Roman" w:hAnsi="Times New Roman"/>
          <w:sz w:val="28"/>
          <w:szCs w:val="24"/>
        </w:rPr>
        <w:t xml:space="preserve"> в соответствии с приказом Министерства цифрового развития, связи и массовых коммуникаций Российской Федерации от 22 сентября 2020 г. </w:t>
      </w:r>
      <w:r w:rsidR="00592B14" w:rsidRPr="00B0658A">
        <w:rPr>
          <w:rFonts w:ascii="Times New Roman" w:hAnsi="Times New Roman"/>
          <w:sz w:val="28"/>
          <w:szCs w:val="24"/>
        </w:rPr>
        <w:t>№ </w:t>
      </w:r>
      <w:r w:rsidR="00633CBF" w:rsidRPr="00B0658A">
        <w:rPr>
          <w:rFonts w:ascii="Times New Roman" w:hAnsi="Times New Roman"/>
          <w:sz w:val="28"/>
          <w:szCs w:val="24"/>
        </w:rPr>
        <w:t xml:space="preserve"> 486 «Об утверждении классификатора программ для электронных вычислительных машин и баз данных».</w:t>
      </w:r>
    </w:p>
    <w:p w14:paraId="017EB6D8" w14:textId="77777777" w:rsidR="00633CBF" w:rsidRPr="00B0658A" w:rsidRDefault="00633CBF"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73.</w:t>
      </w:r>
      <w:r w:rsidR="00C6686F" w:rsidRPr="00B0658A">
        <w:rPr>
          <w:rFonts w:ascii="Times New Roman" w:hAnsi="Times New Roman"/>
          <w:sz w:val="28"/>
          <w:szCs w:val="24"/>
        </w:rPr>
        <w:t> </w:t>
      </w:r>
      <w:r w:rsidRPr="00B0658A">
        <w:rPr>
          <w:rFonts w:ascii="Times New Roman" w:hAnsi="Times New Roman"/>
          <w:sz w:val="28"/>
          <w:szCs w:val="24"/>
        </w:rPr>
        <w:t xml:space="preserve">Устанавливаемые показатели эффективности и соответствующие им </w:t>
      </w:r>
      <w:r w:rsidR="007C4F27" w:rsidRPr="00B0658A">
        <w:rPr>
          <w:rFonts w:ascii="Times New Roman" w:hAnsi="Times New Roman"/>
          <w:sz w:val="28"/>
          <w:szCs w:val="24"/>
        </w:rPr>
        <w:t xml:space="preserve">значения </w:t>
      </w:r>
      <w:r w:rsidR="00C6686F" w:rsidRPr="00B0658A">
        <w:rPr>
          <w:rFonts w:ascii="Times New Roman" w:hAnsi="Times New Roman"/>
          <w:sz w:val="28"/>
          <w:szCs w:val="24"/>
        </w:rPr>
        <w:t>индикатор</w:t>
      </w:r>
      <w:r w:rsidR="007C4F27" w:rsidRPr="00B0658A">
        <w:rPr>
          <w:rFonts w:ascii="Times New Roman" w:hAnsi="Times New Roman"/>
          <w:sz w:val="28"/>
          <w:szCs w:val="24"/>
        </w:rPr>
        <w:t>ов</w:t>
      </w:r>
      <w:r w:rsidRPr="00B0658A">
        <w:rPr>
          <w:rFonts w:ascii="Times New Roman" w:hAnsi="Times New Roman"/>
          <w:sz w:val="28"/>
          <w:szCs w:val="24"/>
        </w:rPr>
        <w:t xml:space="preserve"> эффективности перехода на российское ПО должны учитывать показатели эффективности, устанавливаемые для перехода на использование российского ПО на значимых объектах КИИ.</w:t>
      </w:r>
    </w:p>
    <w:p w14:paraId="75392A9F" w14:textId="77777777" w:rsidR="00497E50" w:rsidRPr="00B0658A" w:rsidRDefault="00C6686F"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 xml:space="preserve">74. Показатели эффективности и соответствующие им значения </w:t>
      </w:r>
      <w:r w:rsidR="007C4F27" w:rsidRPr="00B0658A">
        <w:rPr>
          <w:rFonts w:ascii="Times New Roman" w:hAnsi="Times New Roman"/>
          <w:sz w:val="28"/>
          <w:szCs w:val="24"/>
        </w:rPr>
        <w:t xml:space="preserve">индикаторов </w:t>
      </w:r>
      <w:r w:rsidRPr="00B0658A">
        <w:rPr>
          <w:rFonts w:ascii="Times New Roman" w:hAnsi="Times New Roman"/>
          <w:sz w:val="28"/>
          <w:szCs w:val="24"/>
        </w:rPr>
        <w:t xml:space="preserve">эффективности должны быть установлены с учетом требований законодательства Российской Федерации в сфере обеспечения информационной безопасности Российской Федерации, в сфере обеспечения технологической независимости и безопасности критической информационной инфраструктуры Российской Федерации. Показатели эффективности и соответствующие им значения </w:t>
      </w:r>
      <w:r w:rsidR="003A107F" w:rsidRPr="00B0658A">
        <w:rPr>
          <w:rFonts w:ascii="Times New Roman" w:hAnsi="Times New Roman"/>
          <w:sz w:val="28"/>
          <w:szCs w:val="24"/>
        </w:rPr>
        <w:t xml:space="preserve">индикаторов </w:t>
      </w:r>
      <w:r w:rsidRPr="00B0658A">
        <w:rPr>
          <w:rFonts w:ascii="Times New Roman" w:hAnsi="Times New Roman"/>
          <w:sz w:val="28"/>
          <w:szCs w:val="24"/>
        </w:rPr>
        <w:t>эффективности рекомендуется устанавливать на уровне или выше (если применимо) показателей и значений, приведенных в настоящих методических рекомендациях.</w:t>
      </w:r>
    </w:p>
    <w:p w14:paraId="2D2511C5" w14:textId="4194FBD4" w:rsidR="00C6686F" w:rsidRPr="00B0658A" w:rsidRDefault="00C6686F"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 xml:space="preserve">75. Для классов ПО (операционная система, коммуникационное ПО, офисный пакет, почтовые приложения, органайзер, средства просмотра, интернет-браузер, редактор презентаций, табличный редактор, текстовый редактор, ПО файлового менеджера, справочно-правовая система, ПО системы электронного документооборота, средства антивирусной защиты), в отношении которого ранее подведомственными организациями были установлены показатели эффективности и </w:t>
      </w:r>
      <w:r w:rsidRPr="00B0658A">
        <w:rPr>
          <w:rFonts w:ascii="Times New Roman" w:hAnsi="Times New Roman"/>
          <w:sz w:val="28"/>
          <w:szCs w:val="24"/>
        </w:rPr>
        <w:lastRenderedPageBreak/>
        <w:t>соответствующи</w:t>
      </w:r>
      <w:r w:rsidR="007C4F27" w:rsidRPr="00B0658A">
        <w:rPr>
          <w:rFonts w:ascii="Times New Roman" w:hAnsi="Times New Roman"/>
          <w:sz w:val="28"/>
          <w:szCs w:val="24"/>
        </w:rPr>
        <w:t>е</w:t>
      </w:r>
      <w:r w:rsidRPr="00B0658A">
        <w:rPr>
          <w:rFonts w:ascii="Times New Roman" w:hAnsi="Times New Roman"/>
          <w:sz w:val="28"/>
          <w:szCs w:val="24"/>
        </w:rPr>
        <w:t xml:space="preserve"> им индикаторы эффективности в планах перехода на использование отечественного офисного ПО, в том числе ранее закупленного офисного ПО, разработанных подведомственными организациями в рамках исполнения решений органов государственной власти или государственных внебюджетных фондов в соответствии с методическими рекомендациями, утвержденными приказом Министерства связи и массовых коммуникаций Российской Федерации от 29</w:t>
      </w:r>
      <w:r w:rsidR="003378A3">
        <w:rPr>
          <w:rFonts w:ascii="Times New Roman" w:hAnsi="Times New Roman"/>
          <w:sz w:val="28"/>
          <w:szCs w:val="24"/>
        </w:rPr>
        <w:t xml:space="preserve"> июня </w:t>
      </w:r>
      <w:r w:rsidRPr="00B0658A">
        <w:rPr>
          <w:rFonts w:ascii="Times New Roman" w:hAnsi="Times New Roman"/>
          <w:sz w:val="28"/>
          <w:szCs w:val="24"/>
        </w:rPr>
        <w:t xml:space="preserve">2017 г. </w:t>
      </w:r>
      <w:r w:rsidR="00592B14" w:rsidRPr="00B0658A">
        <w:rPr>
          <w:rFonts w:ascii="Times New Roman" w:hAnsi="Times New Roman"/>
          <w:sz w:val="28"/>
          <w:szCs w:val="24"/>
        </w:rPr>
        <w:t>№ </w:t>
      </w:r>
      <w:r w:rsidR="00F442B4" w:rsidRPr="00B0658A">
        <w:rPr>
          <w:rFonts w:ascii="Times New Roman" w:hAnsi="Times New Roman"/>
          <w:sz w:val="28"/>
          <w:szCs w:val="24"/>
        </w:rPr>
        <w:t> </w:t>
      </w:r>
      <w:r w:rsidRPr="00B0658A">
        <w:rPr>
          <w:rFonts w:ascii="Times New Roman" w:hAnsi="Times New Roman"/>
          <w:sz w:val="28"/>
          <w:szCs w:val="24"/>
        </w:rPr>
        <w:t xml:space="preserve">334, не </w:t>
      </w:r>
      <w:r w:rsidR="007C4F27" w:rsidRPr="00B0658A">
        <w:rPr>
          <w:rFonts w:ascii="Times New Roman" w:hAnsi="Times New Roman"/>
          <w:sz w:val="28"/>
          <w:szCs w:val="24"/>
        </w:rPr>
        <w:t xml:space="preserve">рекомендуется устанавливать на 2022 год показатели </w:t>
      </w:r>
      <w:r w:rsidRPr="00B0658A">
        <w:rPr>
          <w:rFonts w:ascii="Times New Roman" w:hAnsi="Times New Roman"/>
          <w:sz w:val="28"/>
          <w:szCs w:val="24"/>
        </w:rPr>
        <w:t>эффективности и соответствующи</w:t>
      </w:r>
      <w:r w:rsidR="007C4F27" w:rsidRPr="00B0658A">
        <w:rPr>
          <w:rFonts w:ascii="Times New Roman" w:hAnsi="Times New Roman"/>
          <w:sz w:val="28"/>
          <w:szCs w:val="24"/>
        </w:rPr>
        <w:t>е</w:t>
      </w:r>
      <w:r w:rsidRPr="00B0658A">
        <w:rPr>
          <w:rFonts w:ascii="Times New Roman" w:hAnsi="Times New Roman"/>
          <w:sz w:val="28"/>
          <w:szCs w:val="24"/>
        </w:rPr>
        <w:t xml:space="preserve"> им значений </w:t>
      </w:r>
      <w:r w:rsidR="007C4F27" w:rsidRPr="00B0658A">
        <w:rPr>
          <w:rFonts w:ascii="Times New Roman" w:hAnsi="Times New Roman"/>
          <w:sz w:val="28"/>
          <w:szCs w:val="24"/>
        </w:rPr>
        <w:t xml:space="preserve">индикаторов </w:t>
      </w:r>
      <w:r w:rsidRPr="00B0658A">
        <w:rPr>
          <w:rFonts w:ascii="Times New Roman" w:hAnsi="Times New Roman"/>
          <w:sz w:val="28"/>
          <w:szCs w:val="24"/>
        </w:rPr>
        <w:t xml:space="preserve">эффективности на уровне или ниже </w:t>
      </w:r>
      <w:r w:rsidR="007C4F27" w:rsidRPr="00B0658A">
        <w:rPr>
          <w:rFonts w:ascii="Times New Roman" w:hAnsi="Times New Roman"/>
          <w:sz w:val="28"/>
          <w:szCs w:val="24"/>
        </w:rPr>
        <w:t xml:space="preserve">значений показателей, установленных </w:t>
      </w:r>
      <w:r w:rsidRPr="00B0658A">
        <w:rPr>
          <w:rFonts w:ascii="Times New Roman" w:hAnsi="Times New Roman"/>
          <w:sz w:val="28"/>
          <w:szCs w:val="24"/>
        </w:rPr>
        <w:t>для соответствующего класса (типа) ПО в указанных планах на 2020 год.</w:t>
      </w:r>
    </w:p>
    <w:p w14:paraId="02278943" w14:textId="77777777" w:rsidR="00C6686F" w:rsidRPr="00B0658A" w:rsidRDefault="00C6686F"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 xml:space="preserve">76. Показатели эффективности </w:t>
      </w:r>
      <w:r w:rsidR="007C4F27" w:rsidRPr="00B0658A">
        <w:rPr>
          <w:rFonts w:ascii="Times New Roman" w:hAnsi="Times New Roman"/>
          <w:sz w:val="28"/>
          <w:szCs w:val="24"/>
        </w:rPr>
        <w:t xml:space="preserve">перехода на использование российского ПО </w:t>
      </w:r>
      <w:r w:rsidRPr="00B0658A">
        <w:rPr>
          <w:rFonts w:ascii="Times New Roman" w:hAnsi="Times New Roman"/>
          <w:sz w:val="28"/>
          <w:szCs w:val="24"/>
        </w:rPr>
        <w:t>и соответствующие им значени</w:t>
      </w:r>
      <w:r w:rsidR="007C4F27" w:rsidRPr="00B0658A">
        <w:rPr>
          <w:rFonts w:ascii="Times New Roman" w:hAnsi="Times New Roman"/>
          <w:sz w:val="28"/>
          <w:szCs w:val="24"/>
        </w:rPr>
        <w:t>я индикаторов</w:t>
      </w:r>
      <w:r w:rsidRPr="00B0658A">
        <w:rPr>
          <w:rFonts w:ascii="Times New Roman" w:hAnsi="Times New Roman"/>
          <w:sz w:val="28"/>
          <w:szCs w:val="24"/>
        </w:rPr>
        <w:t xml:space="preserve"> эффективности рекомендуется устанавливать по годам нарастающим итогом, исходя из обеспечения динамики, достаточной для осуществления перехода на использование российского ПО и достижения рекомендованных в настоящих методических рекомендациях показателей.</w:t>
      </w:r>
    </w:p>
    <w:p w14:paraId="41C988E3" w14:textId="77777777" w:rsidR="00C6686F" w:rsidRPr="00B0658A" w:rsidRDefault="00C6686F"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77. Показатели эффективности в отношении закупок ПО и связанных с ним работ и услуг, осуществляемых подведомственной организацией, рекомендуется формировать в виде отдельной таблицы по годам на весь период планирования перехода на использование российского ПО.</w:t>
      </w:r>
    </w:p>
    <w:p w14:paraId="6B95331F" w14:textId="77777777" w:rsidR="00C6686F" w:rsidRPr="00B0658A" w:rsidRDefault="00C6686F"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 xml:space="preserve">78. Показатели эффективности в отношении закупок ПО и связанных с ним работ и услуг, осуществляемых </w:t>
      </w:r>
      <w:r w:rsidR="00FB2172" w:rsidRPr="00B0658A">
        <w:rPr>
          <w:rFonts w:ascii="Times New Roman" w:hAnsi="Times New Roman"/>
          <w:sz w:val="28"/>
          <w:szCs w:val="24"/>
        </w:rPr>
        <w:t>подведомственной организацией</w:t>
      </w:r>
      <w:r w:rsidRPr="00B0658A">
        <w:rPr>
          <w:rFonts w:ascii="Times New Roman" w:hAnsi="Times New Roman"/>
          <w:sz w:val="28"/>
          <w:szCs w:val="24"/>
        </w:rPr>
        <w:t xml:space="preserve">, рекомендуется устанавливать </w:t>
      </w:r>
      <w:r w:rsidR="0049104B" w:rsidRPr="00B0658A">
        <w:rPr>
          <w:rFonts w:ascii="Times New Roman" w:hAnsi="Times New Roman"/>
          <w:sz w:val="28"/>
          <w:szCs w:val="24"/>
        </w:rPr>
        <w:t>в соответствии с рекомендованными в настоящих методических рекомендациях значениями</w:t>
      </w:r>
      <w:r w:rsidRPr="00B0658A">
        <w:rPr>
          <w:rFonts w:ascii="Times New Roman" w:hAnsi="Times New Roman"/>
          <w:sz w:val="28"/>
          <w:szCs w:val="24"/>
        </w:rPr>
        <w:t>.</w:t>
      </w:r>
    </w:p>
    <w:p w14:paraId="55D7281E" w14:textId="77777777" w:rsidR="00FB2172" w:rsidRPr="00B0658A" w:rsidRDefault="00FB2172"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79. Сведения об объемах и источниках финансовых ресурсов, планируемых для решения задач по переходу на использование российского ПО, в том числе на значимых объектах КИИ, рекомендуется указывать в виде отдельной таблицы.</w:t>
      </w:r>
    </w:p>
    <w:p w14:paraId="3A2AEA7B" w14:textId="77777777" w:rsidR="00FB2172" w:rsidRPr="00B0658A" w:rsidRDefault="00FB2172"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80. Сведения об объемах и источниках финансовых ресурсов рекомендуется устанавливать по годам в тыс. руб., с указанием двух знаков после запятой. Сведения об объемах и источниках финансовых ресурсов должны учитывать:</w:t>
      </w:r>
    </w:p>
    <w:p w14:paraId="1B723386" w14:textId="45556190" w:rsidR="00FB2172" w:rsidRPr="00B0658A" w:rsidRDefault="00FB2172"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устанавливаемые показатели в отношении закупок российского ПО и связанных с ним работ и услуг;</w:t>
      </w:r>
    </w:p>
    <w:p w14:paraId="072F500F" w14:textId="2B9A20ED" w:rsidR="00FB2172" w:rsidRPr="00B0658A" w:rsidRDefault="00FB2172"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устанавливаемую динамику показателей эффективности и соответствующих им значений индикаторов эффективности в отношении классов (типов) ПО;</w:t>
      </w:r>
    </w:p>
    <w:p w14:paraId="3D1F01A7" w14:textId="0EEB5F8D" w:rsidR="00FB2172" w:rsidRPr="00B0658A" w:rsidRDefault="00FB2172"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необходимость реализации организационно-технических мероприятий по переходу на российского ПО в полном объеме и в запланированные сроки;</w:t>
      </w:r>
    </w:p>
    <w:p w14:paraId="698F31F7" w14:textId="697BAACE" w:rsidR="00FB2172" w:rsidRPr="00B0658A" w:rsidRDefault="00FB2172"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 xml:space="preserve">динамику цен производителей ПО и поставщиков иных товаров, работ, услуг, связанных с </w:t>
      </w:r>
      <w:r w:rsidR="000803DD" w:rsidRPr="00B0658A">
        <w:rPr>
          <w:rFonts w:ascii="Times New Roman" w:hAnsi="Times New Roman"/>
          <w:sz w:val="28"/>
          <w:szCs w:val="24"/>
        </w:rPr>
        <w:t>ИКТ</w:t>
      </w:r>
      <w:r w:rsidRPr="00B0658A">
        <w:rPr>
          <w:rFonts w:ascii="Times New Roman" w:hAnsi="Times New Roman"/>
          <w:sz w:val="28"/>
          <w:szCs w:val="24"/>
        </w:rPr>
        <w:t>.</w:t>
      </w:r>
    </w:p>
    <w:p w14:paraId="357CC9D1" w14:textId="77777777" w:rsidR="00FB2172" w:rsidRPr="00B0658A" w:rsidRDefault="00FB2172"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 xml:space="preserve">81. Детализированный план перехода на использование российского ПО на принадлежащих подведомственной организации значимых объектах КИИ и показатели эффективности перехода на использование российского ПО и соответствующие им </w:t>
      </w:r>
      <w:r w:rsidR="007C4F27" w:rsidRPr="00B0658A">
        <w:rPr>
          <w:rFonts w:ascii="Times New Roman" w:hAnsi="Times New Roman"/>
          <w:sz w:val="28"/>
          <w:szCs w:val="24"/>
        </w:rPr>
        <w:t xml:space="preserve">значения </w:t>
      </w:r>
      <w:r w:rsidRPr="00B0658A">
        <w:rPr>
          <w:rFonts w:ascii="Times New Roman" w:hAnsi="Times New Roman"/>
          <w:sz w:val="28"/>
          <w:szCs w:val="24"/>
        </w:rPr>
        <w:t>индикатор</w:t>
      </w:r>
      <w:r w:rsidR="007C4F27" w:rsidRPr="00B0658A">
        <w:rPr>
          <w:rFonts w:ascii="Times New Roman" w:hAnsi="Times New Roman"/>
          <w:sz w:val="28"/>
          <w:szCs w:val="24"/>
        </w:rPr>
        <w:t>ов</w:t>
      </w:r>
      <w:r w:rsidRPr="00B0658A">
        <w:rPr>
          <w:rFonts w:ascii="Times New Roman" w:hAnsi="Times New Roman"/>
          <w:sz w:val="28"/>
          <w:szCs w:val="24"/>
        </w:rPr>
        <w:t xml:space="preserve"> эффективности на значимых объектах КИИ </w:t>
      </w:r>
      <w:r w:rsidR="009B3F4B" w:rsidRPr="00B0658A">
        <w:rPr>
          <w:rFonts w:ascii="Times New Roman" w:hAnsi="Times New Roman"/>
          <w:sz w:val="28"/>
          <w:szCs w:val="24"/>
        </w:rPr>
        <w:t xml:space="preserve">рекомендуется </w:t>
      </w:r>
      <w:r w:rsidRPr="00B0658A">
        <w:rPr>
          <w:rFonts w:ascii="Times New Roman" w:hAnsi="Times New Roman"/>
          <w:sz w:val="28"/>
          <w:szCs w:val="24"/>
        </w:rPr>
        <w:t>формир</w:t>
      </w:r>
      <w:r w:rsidR="009B3F4B" w:rsidRPr="00B0658A">
        <w:rPr>
          <w:rFonts w:ascii="Times New Roman" w:hAnsi="Times New Roman"/>
          <w:sz w:val="28"/>
          <w:szCs w:val="24"/>
        </w:rPr>
        <w:t>овать</w:t>
      </w:r>
      <w:r w:rsidRPr="00B0658A">
        <w:rPr>
          <w:rFonts w:ascii="Times New Roman" w:hAnsi="Times New Roman"/>
          <w:sz w:val="28"/>
          <w:szCs w:val="24"/>
        </w:rPr>
        <w:t xml:space="preserve"> в виде отдельной таблицы.</w:t>
      </w:r>
    </w:p>
    <w:p w14:paraId="0F571EC9" w14:textId="77777777" w:rsidR="00FB2172" w:rsidRPr="00B0658A" w:rsidRDefault="00FB2172"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В детализированном плане для значимых объектов КИИ для каждого значимого объекта КИИ</w:t>
      </w:r>
      <w:r w:rsidR="007C4F27" w:rsidRPr="00B0658A">
        <w:rPr>
          <w:rFonts w:ascii="Times New Roman" w:hAnsi="Times New Roman"/>
          <w:sz w:val="28"/>
          <w:szCs w:val="24"/>
        </w:rPr>
        <w:t xml:space="preserve"> рекомендуется</w:t>
      </w:r>
      <w:r w:rsidRPr="00B0658A">
        <w:rPr>
          <w:rFonts w:ascii="Times New Roman" w:hAnsi="Times New Roman"/>
          <w:sz w:val="28"/>
          <w:szCs w:val="24"/>
        </w:rPr>
        <w:t>:</w:t>
      </w:r>
    </w:p>
    <w:p w14:paraId="1C44BFEA" w14:textId="718EF4B8" w:rsidR="00FB2172" w:rsidRPr="00B0658A" w:rsidRDefault="007C4F27"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lastRenderedPageBreak/>
        <w:t>сформировать</w:t>
      </w:r>
      <w:r w:rsidR="00FB2172" w:rsidRPr="00B0658A">
        <w:rPr>
          <w:rFonts w:ascii="Times New Roman" w:hAnsi="Times New Roman"/>
          <w:sz w:val="28"/>
          <w:szCs w:val="24"/>
        </w:rPr>
        <w:t xml:space="preserve"> план-график </w:t>
      </w:r>
      <w:r w:rsidR="0095686C" w:rsidRPr="00B0658A">
        <w:rPr>
          <w:rFonts w:ascii="Times New Roman" w:hAnsi="Times New Roman"/>
          <w:sz w:val="28"/>
          <w:szCs w:val="24"/>
        </w:rPr>
        <w:t>мероприятий</w:t>
      </w:r>
      <w:r w:rsidR="00FB2172" w:rsidRPr="00B0658A">
        <w:rPr>
          <w:rFonts w:ascii="Times New Roman" w:hAnsi="Times New Roman"/>
          <w:sz w:val="28"/>
          <w:szCs w:val="24"/>
        </w:rPr>
        <w:t xml:space="preserve"> по переводу значимого объекта КИИ на использование российского ПО и евразийского ПО с указанием наименования мероприятия, срока его реализации, ответственного работника, описания ожидаемого результата с учетом реализации организационно-технических мероприятий перехода на использование российского ПО;</w:t>
      </w:r>
    </w:p>
    <w:p w14:paraId="14834502" w14:textId="0B0C3827" w:rsidR="00FB2172" w:rsidRPr="00B0658A" w:rsidRDefault="007C4F27"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определить</w:t>
      </w:r>
      <w:r w:rsidR="00FB2172" w:rsidRPr="00B0658A">
        <w:rPr>
          <w:rFonts w:ascii="Times New Roman" w:hAnsi="Times New Roman"/>
          <w:sz w:val="28"/>
          <w:szCs w:val="24"/>
        </w:rPr>
        <w:t xml:space="preserve"> класс</w:t>
      </w:r>
      <w:r w:rsidRPr="00B0658A">
        <w:rPr>
          <w:rFonts w:ascii="Times New Roman" w:hAnsi="Times New Roman"/>
          <w:sz w:val="28"/>
          <w:szCs w:val="24"/>
        </w:rPr>
        <w:t>ы</w:t>
      </w:r>
      <w:r w:rsidR="00FB2172" w:rsidRPr="00B0658A">
        <w:rPr>
          <w:rFonts w:ascii="Times New Roman" w:hAnsi="Times New Roman"/>
          <w:sz w:val="28"/>
          <w:szCs w:val="24"/>
        </w:rPr>
        <w:t xml:space="preserve"> (тип</w:t>
      </w:r>
      <w:r w:rsidRPr="00B0658A">
        <w:rPr>
          <w:rFonts w:ascii="Times New Roman" w:hAnsi="Times New Roman"/>
          <w:sz w:val="28"/>
          <w:szCs w:val="24"/>
        </w:rPr>
        <w:t>ы</w:t>
      </w:r>
      <w:r w:rsidR="00FB2172" w:rsidRPr="00B0658A">
        <w:rPr>
          <w:rFonts w:ascii="Times New Roman" w:hAnsi="Times New Roman"/>
          <w:sz w:val="28"/>
          <w:szCs w:val="24"/>
        </w:rPr>
        <w:t>) ПО и переч</w:t>
      </w:r>
      <w:r w:rsidRPr="00B0658A">
        <w:rPr>
          <w:rFonts w:ascii="Times New Roman" w:hAnsi="Times New Roman"/>
          <w:sz w:val="28"/>
          <w:szCs w:val="24"/>
        </w:rPr>
        <w:t>е</w:t>
      </w:r>
      <w:r w:rsidR="00FB2172" w:rsidRPr="00B0658A">
        <w:rPr>
          <w:rFonts w:ascii="Times New Roman" w:hAnsi="Times New Roman"/>
          <w:sz w:val="28"/>
          <w:szCs w:val="24"/>
        </w:rPr>
        <w:t>н</w:t>
      </w:r>
      <w:r w:rsidRPr="00B0658A">
        <w:rPr>
          <w:rFonts w:ascii="Times New Roman" w:hAnsi="Times New Roman"/>
          <w:sz w:val="28"/>
          <w:szCs w:val="24"/>
        </w:rPr>
        <w:t>ь</w:t>
      </w:r>
      <w:r w:rsidR="00FB2172" w:rsidRPr="00B0658A">
        <w:rPr>
          <w:rFonts w:ascii="Times New Roman" w:hAnsi="Times New Roman"/>
          <w:sz w:val="28"/>
          <w:szCs w:val="24"/>
        </w:rPr>
        <w:t xml:space="preserve"> иностранного ПО, которое используется на значимом объекте КИИ и которое подлежит замещению на российское ПО и евразийское ПО до конца 2024 года;</w:t>
      </w:r>
    </w:p>
    <w:p w14:paraId="0AFB1EC5" w14:textId="3F2CA6BE" w:rsidR="00FB2172" w:rsidRPr="00B0658A" w:rsidRDefault="007C4F27"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установить</w:t>
      </w:r>
      <w:r w:rsidR="00FB2172" w:rsidRPr="00B0658A">
        <w:rPr>
          <w:rFonts w:ascii="Times New Roman" w:hAnsi="Times New Roman"/>
          <w:sz w:val="28"/>
          <w:szCs w:val="24"/>
        </w:rPr>
        <w:t xml:space="preserve"> по годам показател</w:t>
      </w:r>
      <w:r w:rsidRPr="00B0658A">
        <w:rPr>
          <w:rFonts w:ascii="Times New Roman" w:hAnsi="Times New Roman"/>
          <w:sz w:val="28"/>
          <w:szCs w:val="24"/>
        </w:rPr>
        <w:t>и</w:t>
      </w:r>
      <w:r w:rsidR="00FB2172" w:rsidRPr="00B0658A">
        <w:rPr>
          <w:rFonts w:ascii="Times New Roman" w:hAnsi="Times New Roman"/>
          <w:sz w:val="28"/>
          <w:szCs w:val="24"/>
        </w:rPr>
        <w:t xml:space="preserve"> эффективности и соответствующи</w:t>
      </w:r>
      <w:r w:rsidRPr="00B0658A">
        <w:rPr>
          <w:rFonts w:ascii="Times New Roman" w:hAnsi="Times New Roman"/>
          <w:sz w:val="28"/>
          <w:szCs w:val="24"/>
        </w:rPr>
        <w:t>е</w:t>
      </w:r>
      <w:r w:rsidR="00FB2172" w:rsidRPr="00B0658A">
        <w:rPr>
          <w:rFonts w:ascii="Times New Roman" w:hAnsi="Times New Roman"/>
          <w:sz w:val="28"/>
          <w:szCs w:val="24"/>
        </w:rPr>
        <w:t xml:space="preserve"> им значени</w:t>
      </w:r>
      <w:r w:rsidRPr="00B0658A">
        <w:rPr>
          <w:rFonts w:ascii="Times New Roman" w:hAnsi="Times New Roman"/>
          <w:sz w:val="28"/>
          <w:szCs w:val="24"/>
        </w:rPr>
        <w:t>я индикаторов</w:t>
      </w:r>
      <w:r w:rsidR="00FB2172" w:rsidRPr="00B0658A">
        <w:rPr>
          <w:rFonts w:ascii="Times New Roman" w:hAnsi="Times New Roman"/>
          <w:sz w:val="28"/>
          <w:szCs w:val="24"/>
        </w:rPr>
        <w:t xml:space="preserve"> эффективности для каждого используемого на значимом объекте КИИ класса (типа) ПО.</w:t>
      </w:r>
    </w:p>
    <w:p w14:paraId="5ED81227" w14:textId="77777777" w:rsidR="00FB2172" w:rsidRPr="00B0658A" w:rsidRDefault="00FB2172"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82. При установлении показателей эффективности для классов (типов) ПО, используемого на принадлежащих подведомственной организации значимых объектах КИИ, рекомендуется исходить из следующих условий:</w:t>
      </w:r>
    </w:p>
    <w:p w14:paraId="223D50EA" w14:textId="77777777" w:rsidR="00FB2172" w:rsidRPr="00B0658A" w:rsidRDefault="00FB2172"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 xml:space="preserve">достижение к концу 2022 г. доли использования российского </w:t>
      </w:r>
      <w:r w:rsidR="0057759C" w:rsidRPr="00B0658A">
        <w:rPr>
          <w:rFonts w:ascii="Times New Roman" w:hAnsi="Times New Roman"/>
          <w:sz w:val="28"/>
          <w:szCs w:val="24"/>
        </w:rPr>
        <w:t xml:space="preserve">ПО </w:t>
      </w:r>
      <w:r w:rsidRPr="00B0658A">
        <w:rPr>
          <w:rFonts w:ascii="Times New Roman" w:hAnsi="Times New Roman"/>
          <w:sz w:val="28"/>
          <w:szCs w:val="24"/>
        </w:rPr>
        <w:t>и евразийского ПО на значимых объектах КИИ, превышающей не менее чем на 10% текущие показатели использования российского ПО на так</w:t>
      </w:r>
      <w:r w:rsidR="0057759C" w:rsidRPr="00B0658A">
        <w:rPr>
          <w:rFonts w:ascii="Times New Roman" w:hAnsi="Times New Roman"/>
          <w:sz w:val="28"/>
          <w:szCs w:val="24"/>
        </w:rPr>
        <w:t>их</w:t>
      </w:r>
      <w:r w:rsidRPr="00B0658A">
        <w:rPr>
          <w:rFonts w:ascii="Times New Roman" w:hAnsi="Times New Roman"/>
          <w:sz w:val="28"/>
          <w:szCs w:val="24"/>
        </w:rPr>
        <w:t xml:space="preserve"> объект</w:t>
      </w:r>
      <w:r w:rsidR="0057759C" w:rsidRPr="00B0658A">
        <w:rPr>
          <w:rFonts w:ascii="Times New Roman" w:hAnsi="Times New Roman"/>
          <w:sz w:val="28"/>
          <w:szCs w:val="24"/>
        </w:rPr>
        <w:t>ах</w:t>
      </w:r>
      <w:r w:rsidRPr="00B0658A">
        <w:rPr>
          <w:rFonts w:ascii="Times New Roman" w:hAnsi="Times New Roman"/>
          <w:sz w:val="28"/>
          <w:szCs w:val="24"/>
        </w:rPr>
        <w:t>;</w:t>
      </w:r>
    </w:p>
    <w:p w14:paraId="2555E652" w14:textId="77777777" w:rsidR="00FB2172" w:rsidRPr="00B0658A" w:rsidRDefault="00FB2172"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 xml:space="preserve">достижение к концу 2023 г. доли использования российского </w:t>
      </w:r>
      <w:r w:rsidR="0057759C" w:rsidRPr="00B0658A">
        <w:rPr>
          <w:rFonts w:ascii="Times New Roman" w:hAnsi="Times New Roman"/>
          <w:sz w:val="28"/>
          <w:szCs w:val="24"/>
        </w:rPr>
        <w:t xml:space="preserve">ПО </w:t>
      </w:r>
      <w:r w:rsidRPr="00B0658A">
        <w:rPr>
          <w:rFonts w:ascii="Times New Roman" w:hAnsi="Times New Roman"/>
          <w:sz w:val="28"/>
          <w:szCs w:val="24"/>
        </w:rPr>
        <w:t>и евразийского ПО на значимых объектах КИИ, превышающей не менее чем на 40% текущие показатели использования российского ПО на так</w:t>
      </w:r>
      <w:r w:rsidR="0057759C" w:rsidRPr="00B0658A">
        <w:rPr>
          <w:rFonts w:ascii="Times New Roman" w:hAnsi="Times New Roman"/>
          <w:sz w:val="28"/>
          <w:szCs w:val="24"/>
        </w:rPr>
        <w:t>их</w:t>
      </w:r>
      <w:r w:rsidRPr="00B0658A">
        <w:rPr>
          <w:rFonts w:ascii="Times New Roman" w:hAnsi="Times New Roman"/>
          <w:sz w:val="28"/>
          <w:szCs w:val="24"/>
        </w:rPr>
        <w:t xml:space="preserve"> объект</w:t>
      </w:r>
      <w:r w:rsidR="0057759C" w:rsidRPr="00B0658A">
        <w:rPr>
          <w:rFonts w:ascii="Times New Roman" w:hAnsi="Times New Roman"/>
          <w:sz w:val="28"/>
          <w:szCs w:val="24"/>
        </w:rPr>
        <w:t>ах</w:t>
      </w:r>
      <w:r w:rsidRPr="00B0658A">
        <w:rPr>
          <w:rFonts w:ascii="Times New Roman" w:hAnsi="Times New Roman"/>
          <w:sz w:val="28"/>
          <w:szCs w:val="24"/>
        </w:rPr>
        <w:t>;</w:t>
      </w:r>
    </w:p>
    <w:p w14:paraId="6B718BF0" w14:textId="77777777" w:rsidR="00FB2172" w:rsidRPr="00B0658A" w:rsidRDefault="00FB2172"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 xml:space="preserve">установление на 2024 г. и далее доли использования российского </w:t>
      </w:r>
      <w:r w:rsidR="0057759C" w:rsidRPr="00B0658A">
        <w:rPr>
          <w:rFonts w:ascii="Times New Roman" w:hAnsi="Times New Roman"/>
          <w:sz w:val="28"/>
          <w:szCs w:val="24"/>
        </w:rPr>
        <w:t xml:space="preserve">ПО </w:t>
      </w:r>
      <w:r w:rsidRPr="00B0658A">
        <w:rPr>
          <w:rFonts w:ascii="Times New Roman" w:hAnsi="Times New Roman"/>
          <w:sz w:val="28"/>
          <w:szCs w:val="24"/>
        </w:rPr>
        <w:t>и евразийского ПО на значимых объектах КИИ на уровне 100%.</w:t>
      </w:r>
    </w:p>
    <w:p w14:paraId="7E126035" w14:textId="77777777" w:rsidR="00FB2172" w:rsidRPr="00B0658A" w:rsidRDefault="00FB2172"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 xml:space="preserve">83. После утверждения Плана перехода подведомственной организации </w:t>
      </w:r>
      <w:r w:rsidR="0057759C" w:rsidRPr="00B0658A">
        <w:rPr>
          <w:rFonts w:ascii="Times New Roman" w:hAnsi="Times New Roman"/>
          <w:sz w:val="28"/>
          <w:szCs w:val="24"/>
        </w:rPr>
        <w:t xml:space="preserve">копию утвержденного </w:t>
      </w:r>
      <w:r w:rsidRPr="00B0658A">
        <w:rPr>
          <w:rFonts w:ascii="Times New Roman" w:hAnsi="Times New Roman"/>
          <w:sz w:val="28"/>
          <w:szCs w:val="24"/>
        </w:rPr>
        <w:t>План</w:t>
      </w:r>
      <w:r w:rsidR="0057759C" w:rsidRPr="00B0658A">
        <w:rPr>
          <w:rFonts w:ascii="Times New Roman" w:hAnsi="Times New Roman"/>
          <w:sz w:val="28"/>
          <w:szCs w:val="24"/>
        </w:rPr>
        <w:t>а</w:t>
      </w:r>
      <w:r w:rsidRPr="00B0658A">
        <w:rPr>
          <w:rFonts w:ascii="Times New Roman" w:hAnsi="Times New Roman"/>
          <w:sz w:val="28"/>
          <w:szCs w:val="24"/>
        </w:rPr>
        <w:t xml:space="preserve"> перехода рекомендуется направить в Минцифры России.</w:t>
      </w:r>
    </w:p>
    <w:p w14:paraId="2201D25C" w14:textId="77777777" w:rsidR="00FB2172" w:rsidRPr="00B0658A" w:rsidRDefault="00FB2172"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84. При внесении изменений в утвержденный План перехода на использование российского ПО подведомственн</w:t>
      </w:r>
      <w:r w:rsidR="0057759C" w:rsidRPr="00B0658A">
        <w:rPr>
          <w:rFonts w:ascii="Times New Roman" w:hAnsi="Times New Roman"/>
          <w:sz w:val="28"/>
          <w:szCs w:val="24"/>
        </w:rPr>
        <w:t>ой</w:t>
      </w:r>
      <w:r w:rsidRPr="00B0658A">
        <w:rPr>
          <w:rFonts w:ascii="Times New Roman" w:hAnsi="Times New Roman"/>
          <w:sz w:val="28"/>
          <w:szCs w:val="24"/>
        </w:rPr>
        <w:t xml:space="preserve"> организаци</w:t>
      </w:r>
      <w:r w:rsidR="0057759C" w:rsidRPr="00B0658A">
        <w:rPr>
          <w:rFonts w:ascii="Times New Roman" w:hAnsi="Times New Roman"/>
          <w:sz w:val="28"/>
          <w:szCs w:val="24"/>
        </w:rPr>
        <w:t>и</w:t>
      </w:r>
      <w:r w:rsidRPr="00B0658A">
        <w:rPr>
          <w:rFonts w:ascii="Times New Roman" w:hAnsi="Times New Roman"/>
          <w:sz w:val="28"/>
          <w:szCs w:val="24"/>
        </w:rPr>
        <w:t xml:space="preserve"> </w:t>
      </w:r>
      <w:r w:rsidR="0057759C" w:rsidRPr="00B0658A">
        <w:rPr>
          <w:rFonts w:ascii="Times New Roman" w:hAnsi="Times New Roman"/>
          <w:sz w:val="28"/>
          <w:szCs w:val="24"/>
        </w:rPr>
        <w:t xml:space="preserve">рекомендуется </w:t>
      </w:r>
      <w:r w:rsidRPr="00B0658A">
        <w:rPr>
          <w:rFonts w:ascii="Times New Roman" w:hAnsi="Times New Roman"/>
          <w:sz w:val="28"/>
          <w:szCs w:val="24"/>
        </w:rPr>
        <w:t>обеспечива</w:t>
      </w:r>
      <w:r w:rsidR="0057759C" w:rsidRPr="00B0658A">
        <w:rPr>
          <w:rFonts w:ascii="Times New Roman" w:hAnsi="Times New Roman"/>
          <w:sz w:val="28"/>
          <w:szCs w:val="24"/>
        </w:rPr>
        <w:t>ть</w:t>
      </w:r>
      <w:r w:rsidRPr="00B0658A">
        <w:rPr>
          <w:rFonts w:ascii="Times New Roman" w:hAnsi="Times New Roman"/>
          <w:sz w:val="28"/>
          <w:szCs w:val="24"/>
        </w:rPr>
        <w:t xml:space="preserve"> согласование указанных изменений в порядке, предусмотренным настоящими методическими рекомендациями, при одновременном предоставлении обоснования необходимости внесения изменений.</w:t>
      </w:r>
    </w:p>
    <w:p w14:paraId="3AEFC5B3" w14:textId="77777777" w:rsidR="00FB2172" w:rsidRPr="00B0658A" w:rsidRDefault="00FB2172"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85.</w:t>
      </w:r>
      <w:r w:rsidR="0057759C" w:rsidRPr="00B0658A">
        <w:rPr>
          <w:rFonts w:ascii="Times New Roman" w:hAnsi="Times New Roman"/>
          <w:sz w:val="28"/>
          <w:szCs w:val="24"/>
        </w:rPr>
        <w:t> </w:t>
      </w:r>
      <w:r w:rsidRPr="00B0658A">
        <w:rPr>
          <w:rFonts w:ascii="Times New Roman" w:hAnsi="Times New Roman"/>
          <w:sz w:val="28"/>
          <w:szCs w:val="24"/>
        </w:rPr>
        <w:t>Не рекомендуется при формировании показателей эффективности перехода на использование российского ПО и соответствующих им значений индикаторов эффективности, показателей эффективности в отношении закупок ПО и связанных с ним работ и услуг, сведений об объемах и источниках финансовых ресурсов указывать отсылочные положения такие как «могут быть изменены по результатам тестирования», «могут быть изменены в случае отсутствия необходимого объема финансирования» и иные.</w:t>
      </w:r>
    </w:p>
    <w:p w14:paraId="1B80394C" w14:textId="77777777" w:rsidR="00FB2172" w:rsidRPr="00B0658A" w:rsidRDefault="00FB2172"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 xml:space="preserve">86. Для целей мониторинга и контроля реализации Планов </w:t>
      </w:r>
      <w:r w:rsidR="008A5EB7" w:rsidRPr="00B0658A">
        <w:rPr>
          <w:rFonts w:ascii="Times New Roman" w:hAnsi="Times New Roman"/>
          <w:sz w:val="28"/>
          <w:szCs w:val="24"/>
        </w:rPr>
        <w:t>подведомственных организаций</w:t>
      </w:r>
      <w:r w:rsidRPr="00B0658A">
        <w:rPr>
          <w:rFonts w:ascii="Times New Roman" w:hAnsi="Times New Roman"/>
          <w:sz w:val="28"/>
          <w:szCs w:val="24"/>
        </w:rPr>
        <w:t xml:space="preserve"> по переходу на использование российского ПО </w:t>
      </w:r>
      <w:r w:rsidR="0057759C" w:rsidRPr="00B0658A">
        <w:rPr>
          <w:rFonts w:ascii="Times New Roman" w:hAnsi="Times New Roman"/>
          <w:sz w:val="28"/>
          <w:szCs w:val="24"/>
        </w:rPr>
        <w:t xml:space="preserve">подведомственным организациям рекомендуется предоставлять </w:t>
      </w:r>
      <w:r w:rsidRPr="00B0658A">
        <w:rPr>
          <w:rFonts w:ascii="Times New Roman" w:hAnsi="Times New Roman"/>
          <w:sz w:val="28"/>
          <w:szCs w:val="24"/>
        </w:rPr>
        <w:t>в Минцифры России соответствующи</w:t>
      </w:r>
      <w:r w:rsidR="0057759C" w:rsidRPr="00B0658A">
        <w:rPr>
          <w:rFonts w:ascii="Times New Roman" w:hAnsi="Times New Roman"/>
          <w:sz w:val="28"/>
          <w:szCs w:val="24"/>
        </w:rPr>
        <w:t>е отчетные</w:t>
      </w:r>
      <w:r w:rsidRPr="00B0658A">
        <w:rPr>
          <w:rFonts w:ascii="Times New Roman" w:hAnsi="Times New Roman"/>
          <w:sz w:val="28"/>
          <w:szCs w:val="24"/>
        </w:rPr>
        <w:t xml:space="preserve"> сведени</w:t>
      </w:r>
      <w:r w:rsidR="0057759C" w:rsidRPr="00B0658A">
        <w:rPr>
          <w:rFonts w:ascii="Times New Roman" w:hAnsi="Times New Roman"/>
          <w:sz w:val="28"/>
          <w:szCs w:val="24"/>
        </w:rPr>
        <w:t>я</w:t>
      </w:r>
      <w:r w:rsidRPr="00B0658A">
        <w:rPr>
          <w:rFonts w:ascii="Times New Roman" w:hAnsi="Times New Roman"/>
          <w:sz w:val="28"/>
          <w:szCs w:val="24"/>
        </w:rPr>
        <w:t xml:space="preserve">. Рекомендованные отчетные формы для представления </w:t>
      </w:r>
      <w:r w:rsidR="0057759C" w:rsidRPr="00B0658A">
        <w:rPr>
          <w:rFonts w:ascii="Times New Roman" w:hAnsi="Times New Roman"/>
          <w:sz w:val="28"/>
          <w:szCs w:val="24"/>
        </w:rPr>
        <w:t xml:space="preserve">подведомственными организациями </w:t>
      </w:r>
      <w:r w:rsidRPr="00B0658A">
        <w:rPr>
          <w:rFonts w:ascii="Times New Roman" w:hAnsi="Times New Roman"/>
          <w:sz w:val="28"/>
          <w:szCs w:val="24"/>
        </w:rPr>
        <w:t xml:space="preserve">сведений </w:t>
      </w:r>
      <w:r w:rsidR="0057759C" w:rsidRPr="00B0658A">
        <w:rPr>
          <w:rFonts w:ascii="Times New Roman" w:hAnsi="Times New Roman"/>
          <w:sz w:val="28"/>
          <w:szCs w:val="24"/>
        </w:rPr>
        <w:t xml:space="preserve">о ходе реализации Плана перехода на использование российского ПО и достижении показателей эффективности перехода на использование российского ПО </w:t>
      </w:r>
      <w:r w:rsidRPr="00B0658A">
        <w:rPr>
          <w:rFonts w:ascii="Times New Roman" w:hAnsi="Times New Roman"/>
          <w:sz w:val="28"/>
          <w:szCs w:val="24"/>
        </w:rPr>
        <w:t xml:space="preserve">приведены в Приложении </w:t>
      </w:r>
      <w:r w:rsidR="00592B14" w:rsidRPr="00B0658A">
        <w:rPr>
          <w:rFonts w:ascii="Times New Roman" w:hAnsi="Times New Roman"/>
          <w:sz w:val="28"/>
          <w:szCs w:val="24"/>
        </w:rPr>
        <w:t>№</w:t>
      </w:r>
      <w:r w:rsidRPr="00B0658A">
        <w:rPr>
          <w:rFonts w:ascii="Times New Roman" w:hAnsi="Times New Roman"/>
          <w:sz w:val="28"/>
          <w:szCs w:val="24"/>
        </w:rPr>
        <w:t>8 к настоящим методическим рекомендациям.</w:t>
      </w:r>
    </w:p>
    <w:p w14:paraId="2122E736" w14:textId="183E2996" w:rsidR="00DE0727" w:rsidRPr="00B0658A" w:rsidRDefault="00792FAC"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lastRenderedPageBreak/>
        <w:t>Рекомендуемые с</w:t>
      </w:r>
      <w:r w:rsidR="00DE0727" w:rsidRPr="00B0658A">
        <w:rPr>
          <w:rFonts w:ascii="Times New Roman" w:hAnsi="Times New Roman"/>
          <w:sz w:val="28"/>
          <w:szCs w:val="24"/>
        </w:rPr>
        <w:t xml:space="preserve">роки предоставления в Минцифры России отчетных сведений согласно отчетным формам, приведенным в </w:t>
      </w:r>
      <w:r w:rsidR="003378A3">
        <w:rPr>
          <w:rFonts w:ascii="Times New Roman" w:hAnsi="Times New Roman"/>
          <w:sz w:val="28"/>
          <w:szCs w:val="24"/>
        </w:rPr>
        <w:t>п</w:t>
      </w:r>
      <w:r w:rsidR="00DE0727" w:rsidRPr="00B0658A">
        <w:rPr>
          <w:rFonts w:ascii="Times New Roman" w:hAnsi="Times New Roman"/>
          <w:sz w:val="28"/>
          <w:szCs w:val="24"/>
        </w:rPr>
        <w:t>риложении №</w:t>
      </w:r>
      <w:r w:rsidR="003378A3">
        <w:rPr>
          <w:rFonts w:ascii="Times New Roman" w:hAnsi="Times New Roman"/>
          <w:sz w:val="28"/>
          <w:szCs w:val="24"/>
        </w:rPr>
        <w:t xml:space="preserve"> </w:t>
      </w:r>
      <w:r w:rsidR="00DE0727" w:rsidRPr="00B0658A">
        <w:rPr>
          <w:rFonts w:ascii="Times New Roman" w:hAnsi="Times New Roman"/>
          <w:sz w:val="28"/>
          <w:szCs w:val="24"/>
        </w:rPr>
        <w:t>8 к настоящим Методическим рекомендациям:</w:t>
      </w:r>
    </w:p>
    <w:p w14:paraId="530CCAD9" w14:textId="61618AE0" w:rsidR="00DE0727" w:rsidRPr="00B0658A" w:rsidRDefault="00DE0727"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для квартальных отчетов – не позднее 10 числа месяца, следующего за отчетным кварталом;</w:t>
      </w:r>
    </w:p>
    <w:p w14:paraId="2CCEC492" w14:textId="37794F09" w:rsidR="00DE0727" w:rsidRPr="00B0658A" w:rsidRDefault="00DE0727"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для полугодовых отчетов – в течение 1 месяца после даты завершения отчетного периода;</w:t>
      </w:r>
    </w:p>
    <w:p w14:paraId="1357D16F" w14:textId="3766FC4A" w:rsidR="00DE0727" w:rsidRPr="00B0658A" w:rsidRDefault="00DE0727"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для годовых отчетов – в течение 4-х месяцев после даты завершения отчетного периода.</w:t>
      </w:r>
    </w:p>
    <w:p w14:paraId="2B0A523D" w14:textId="77777777" w:rsidR="00FB2172" w:rsidRPr="00B0658A" w:rsidRDefault="00FB2172" w:rsidP="00F57B1F">
      <w:pPr>
        <w:spacing w:after="0" w:line="240" w:lineRule="auto"/>
        <w:ind w:firstLine="709"/>
        <w:jc w:val="both"/>
        <w:rPr>
          <w:rFonts w:ascii="Times New Roman" w:hAnsi="Times New Roman"/>
          <w:sz w:val="28"/>
          <w:szCs w:val="24"/>
        </w:rPr>
      </w:pPr>
    </w:p>
    <w:p w14:paraId="4601A981" w14:textId="77777777" w:rsidR="002127BB" w:rsidRPr="00B0658A" w:rsidRDefault="007736E0" w:rsidP="00F57B1F">
      <w:pPr>
        <w:pStyle w:val="11"/>
        <w:spacing w:before="0" w:after="0" w:line="240" w:lineRule="auto"/>
        <w:rPr>
          <w:rFonts w:cs="Times New Roman"/>
          <w:szCs w:val="28"/>
        </w:rPr>
      </w:pPr>
      <w:bookmarkStart w:id="8" w:name="_Toc116632264"/>
      <w:r w:rsidRPr="00B0658A">
        <w:rPr>
          <w:rFonts w:cs="Times New Roman"/>
          <w:szCs w:val="28"/>
        </w:rPr>
        <w:t xml:space="preserve">3.3. Переход на использование российского ПО государственных корпораций и компаний с государственным участием, в том числе организаций, в уставных капиталах которых суммарная доля прямого и (или) косвенного участия государственных корпораций и компаний с государственным участием превышает 50 процентов, сведения о которых включены в специальный перечень 91-р или в отношении которых </w:t>
      </w:r>
      <w:r w:rsidR="00F850ED" w:rsidRPr="00B0658A">
        <w:rPr>
          <w:rFonts w:cs="Times New Roman"/>
          <w:szCs w:val="28"/>
        </w:rPr>
        <w:t>приняты решения о разработке стратегии (программы) цифровой трансформации</w:t>
      </w:r>
      <w:bookmarkEnd w:id="8"/>
    </w:p>
    <w:p w14:paraId="48D08E4F" w14:textId="77777777" w:rsidR="002127BB" w:rsidRPr="00B0658A" w:rsidRDefault="002127BB" w:rsidP="00F57B1F">
      <w:pPr>
        <w:spacing w:after="0" w:line="240" w:lineRule="auto"/>
        <w:ind w:firstLine="709"/>
        <w:jc w:val="both"/>
        <w:rPr>
          <w:rFonts w:ascii="Times New Roman" w:hAnsi="Times New Roman"/>
          <w:sz w:val="28"/>
          <w:szCs w:val="24"/>
        </w:rPr>
      </w:pPr>
    </w:p>
    <w:p w14:paraId="03F03B61" w14:textId="77777777" w:rsidR="00946303" w:rsidRPr="00B0658A" w:rsidRDefault="00946303"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ab/>
        <w:t>87. Настоящий раздел методических рекомендаций применяется для государственных корпораций и компаний с государственным участием, в том числе организаций, в уставных капиталах которых суммарная доля прямого и (или) косвенного участия государственных корпораций и компаний с государственным участием превышает 50 процентов, сведения о которых включены в специальный перечень 91-р</w:t>
      </w:r>
      <w:r w:rsidR="007931AD" w:rsidRPr="00B0658A">
        <w:rPr>
          <w:rFonts w:ascii="Times New Roman" w:hAnsi="Times New Roman"/>
          <w:sz w:val="28"/>
          <w:szCs w:val="24"/>
        </w:rPr>
        <w:t xml:space="preserve"> (далее – специальный перечень </w:t>
      </w:r>
      <w:r w:rsidR="00592B14" w:rsidRPr="00B0658A">
        <w:rPr>
          <w:rFonts w:ascii="Times New Roman" w:hAnsi="Times New Roman"/>
          <w:sz w:val="28"/>
          <w:szCs w:val="24"/>
        </w:rPr>
        <w:t>№ </w:t>
      </w:r>
      <w:r w:rsidR="00F442B4" w:rsidRPr="00B0658A">
        <w:rPr>
          <w:rFonts w:ascii="Times New Roman" w:hAnsi="Times New Roman"/>
          <w:sz w:val="28"/>
          <w:szCs w:val="24"/>
        </w:rPr>
        <w:t> </w:t>
      </w:r>
      <w:r w:rsidR="007931AD" w:rsidRPr="00B0658A">
        <w:rPr>
          <w:rFonts w:ascii="Times New Roman" w:hAnsi="Times New Roman"/>
          <w:sz w:val="28"/>
          <w:szCs w:val="24"/>
        </w:rPr>
        <w:t>91-р),</w:t>
      </w:r>
      <w:r w:rsidRPr="00B0658A">
        <w:rPr>
          <w:rFonts w:ascii="Times New Roman" w:hAnsi="Times New Roman"/>
          <w:sz w:val="28"/>
          <w:szCs w:val="24"/>
        </w:rPr>
        <w:t xml:space="preserve"> и </w:t>
      </w:r>
      <w:r w:rsidR="00F22F8D" w:rsidRPr="00B0658A">
        <w:rPr>
          <w:rFonts w:ascii="Times New Roman" w:hAnsi="Times New Roman"/>
          <w:sz w:val="28"/>
          <w:szCs w:val="24"/>
        </w:rPr>
        <w:t xml:space="preserve">государственных корпораций и компаний с государственным участием, </w:t>
      </w:r>
      <w:r w:rsidRPr="00B0658A">
        <w:rPr>
          <w:rFonts w:ascii="Times New Roman" w:hAnsi="Times New Roman"/>
          <w:sz w:val="28"/>
          <w:szCs w:val="24"/>
        </w:rPr>
        <w:t xml:space="preserve">в отношении которых приняты решения о разработке стратегии (программы) цифровой трансформации (протокол заочного голосования членов президиума Правительственной комиссии по цифровому развитию, использованию информационных технологий для улучшения качества жизни и условий ведения предпринимательской деятельности от 31 августа 2022 г. </w:t>
      </w:r>
      <w:r w:rsidR="00592B14" w:rsidRPr="00B0658A">
        <w:rPr>
          <w:rFonts w:ascii="Times New Roman" w:hAnsi="Times New Roman"/>
          <w:sz w:val="28"/>
          <w:szCs w:val="24"/>
        </w:rPr>
        <w:t>№ </w:t>
      </w:r>
      <w:r w:rsidR="00F442B4" w:rsidRPr="00B0658A">
        <w:rPr>
          <w:rFonts w:ascii="Times New Roman" w:hAnsi="Times New Roman"/>
          <w:sz w:val="28"/>
          <w:szCs w:val="24"/>
        </w:rPr>
        <w:t> </w:t>
      </w:r>
      <w:r w:rsidRPr="00B0658A">
        <w:rPr>
          <w:rFonts w:ascii="Times New Roman" w:hAnsi="Times New Roman"/>
          <w:sz w:val="28"/>
          <w:szCs w:val="24"/>
        </w:rPr>
        <w:t>34).</w:t>
      </w:r>
    </w:p>
    <w:p w14:paraId="3222A113" w14:textId="77777777" w:rsidR="00946303" w:rsidRPr="00B0658A" w:rsidRDefault="00946303" w:rsidP="00F57B1F">
      <w:pPr>
        <w:pStyle w:val="ConsPlusNormal"/>
        <w:ind w:firstLine="709"/>
        <w:jc w:val="both"/>
        <w:rPr>
          <w:sz w:val="28"/>
        </w:rPr>
      </w:pPr>
      <w:r w:rsidRPr="00B0658A">
        <w:rPr>
          <w:sz w:val="28"/>
        </w:rPr>
        <w:t xml:space="preserve">88. Разработка, согласование с федеральными органами исполнительной власти и утверждение </w:t>
      </w:r>
      <w:r w:rsidR="007931AD" w:rsidRPr="00B0658A">
        <w:rPr>
          <w:sz w:val="28"/>
        </w:rPr>
        <w:t>П</w:t>
      </w:r>
      <w:r w:rsidRPr="00B0658A">
        <w:rPr>
          <w:sz w:val="28"/>
        </w:rPr>
        <w:t xml:space="preserve">ланов перехода на использование российского ПО (за исключением планов перехода на использование российского ПО на значимых объектах КИИ), включая установление показателей эффективности перехода на использование российского ПО, формируемых государственными корпорациями и компаниями с государственным участием, сведения о которых включены в специальный перечень </w:t>
      </w:r>
      <w:r w:rsidR="00592B14" w:rsidRPr="00B0658A">
        <w:rPr>
          <w:sz w:val="28"/>
        </w:rPr>
        <w:t>№ </w:t>
      </w:r>
      <w:r w:rsidR="00F442B4" w:rsidRPr="00B0658A">
        <w:rPr>
          <w:sz w:val="28"/>
        </w:rPr>
        <w:t> </w:t>
      </w:r>
      <w:r w:rsidRPr="00B0658A">
        <w:rPr>
          <w:sz w:val="28"/>
        </w:rPr>
        <w:t xml:space="preserve">91-р, и их дочерними и зависимыми обществами, осуществляется в рамках стратегий (программ) цифровой трансформации в соответствии с Методическими рекомендациями по цифровой трансформации. </w:t>
      </w:r>
    </w:p>
    <w:p w14:paraId="758A2F83" w14:textId="77777777" w:rsidR="00946303" w:rsidRPr="00B0658A" w:rsidRDefault="00946303" w:rsidP="00F57B1F">
      <w:pPr>
        <w:pStyle w:val="ConsPlusNormal"/>
        <w:ind w:firstLine="709"/>
        <w:jc w:val="both"/>
        <w:rPr>
          <w:sz w:val="28"/>
        </w:rPr>
      </w:pPr>
      <w:r w:rsidRPr="00B0658A">
        <w:rPr>
          <w:sz w:val="28"/>
        </w:rPr>
        <w:t xml:space="preserve">Предоставление организациями, включенными в специальный перечень </w:t>
      </w:r>
      <w:r w:rsidR="00F442B4" w:rsidRPr="00B0658A">
        <w:rPr>
          <w:sz w:val="28"/>
        </w:rPr>
        <w:br/>
      </w:r>
      <w:r w:rsidR="00592B14" w:rsidRPr="00B0658A">
        <w:rPr>
          <w:sz w:val="28"/>
        </w:rPr>
        <w:t>№ </w:t>
      </w:r>
      <w:r w:rsidR="00F442B4" w:rsidRPr="00B0658A">
        <w:rPr>
          <w:sz w:val="28"/>
        </w:rPr>
        <w:t> </w:t>
      </w:r>
      <w:r w:rsidRPr="00B0658A">
        <w:rPr>
          <w:sz w:val="28"/>
        </w:rPr>
        <w:t xml:space="preserve">91-р, отчетности о ходе реализации </w:t>
      </w:r>
      <w:r w:rsidR="007931AD" w:rsidRPr="00B0658A">
        <w:rPr>
          <w:sz w:val="28"/>
        </w:rPr>
        <w:t>П</w:t>
      </w:r>
      <w:r w:rsidRPr="00B0658A">
        <w:rPr>
          <w:sz w:val="28"/>
        </w:rPr>
        <w:t>ланов перехода на использование российского ПО и достижении показателей эффективности (за исключением планов перехода на использование российского ПО на значимых объектах КИИ) осуществляется в соответствии с Методическими рекомендациями по цифровой трансформации.</w:t>
      </w:r>
    </w:p>
    <w:p w14:paraId="514DBE15" w14:textId="77777777" w:rsidR="00F22F8D" w:rsidRPr="00B0658A" w:rsidRDefault="00F22F8D" w:rsidP="00F57B1F">
      <w:pPr>
        <w:pStyle w:val="ConsPlusNormal"/>
        <w:ind w:firstLine="709"/>
        <w:jc w:val="both"/>
        <w:rPr>
          <w:sz w:val="28"/>
        </w:rPr>
      </w:pPr>
      <w:r w:rsidRPr="00B0658A">
        <w:rPr>
          <w:sz w:val="28"/>
        </w:rPr>
        <w:lastRenderedPageBreak/>
        <w:t xml:space="preserve">При формировании (актуализации) планов перехода государственных корпораций и компаний с государственным участием, включенных в специальный перечень № 91-р, при установлении показателей эффективности перехода и соответствующих им значений индикаторов эффективности, а также при дальнейшем представлении соответствующей отчетности о достижении показателей эффективности по фактическому переходу на использование российского ПО, рекомендуется применять </w:t>
      </w:r>
      <w:r w:rsidR="00362F1E" w:rsidRPr="00B0658A">
        <w:rPr>
          <w:sz w:val="28"/>
        </w:rPr>
        <w:t xml:space="preserve">подходы по установлению </w:t>
      </w:r>
      <w:r w:rsidRPr="00B0658A">
        <w:rPr>
          <w:sz w:val="28"/>
        </w:rPr>
        <w:t>единиц измерения использования ПО в соответствии с настоящими методическими рекомендациями.</w:t>
      </w:r>
    </w:p>
    <w:p w14:paraId="2E821175" w14:textId="77777777" w:rsidR="00946303" w:rsidRPr="00B0658A" w:rsidRDefault="00F22F8D" w:rsidP="00F57B1F">
      <w:pPr>
        <w:pStyle w:val="ConsPlusNormal"/>
        <w:ind w:firstLine="709"/>
        <w:jc w:val="both"/>
        <w:rPr>
          <w:sz w:val="28"/>
        </w:rPr>
      </w:pPr>
      <w:r w:rsidRPr="00B0658A">
        <w:rPr>
          <w:sz w:val="28"/>
        </w:rPr>
        <w:t>Формирование, согласование, утверждение планов перехода государственных корпораций и компаний с государственным участием, включенных в специальный перечень №  91-р, и их дочерних и зависимых обществ на использование российского ПО, в том числе в составе программно-аппаратных комплексов, на значимых объектах КИИ, а также представление отчетности о реализации указанных планов осуществляется в соответствии с настоящими методическими рекомендациями.</w:t>
      </w:r>
    </w:p>
    <w:p w14:paraId="4EE48993" w14:textId="77777777" w:rsidR="00946303" w:rsidRPr="00B0658A" w:rsidRDefault="00946303" w:rsidP="00F57B1F">
      <w:pPr>
        <w:pStyle w:val="ConsPlusNormal"/>
        <w:ind w:firstLine="709"/>
        <w:jc w:val="both"/>
        <w:rPr>
          <w:sz w:val="28"/>
        </w:rPr>
      </w:pPr>
      <w:r w:rsidRPr="00B0658A">
        <w:rPr>
          <w:sz w:val="28"/>
        </w:rPr>
        <w:t xml:space="preserve">89. Разработка, согласование с федеральными органами исполнительной власти и утверждение </w:t>
      </w:r>
      <w:r w:rsidR="007931AD" w:rsidRPr="00B0658A">
        <w:rPr>
          <w:sz w:val="28"/>
        </w:rPr>
        <w:t>П</w:t>
      </w:r>
      <w:r w:rsidRPr="00B0658A">
        <w:rPr>
          <w:sz w:val="28"/>
        </w:rPr>
        <w:t xml:space="preserve">ланов перехода на использование российского ПО (за исключением планов перехода на использование российского ПО на значимых объектах КИИ), формируемых </w:t>
      </w:r>
      <w:r w:rsidR="00F22F8D" w:rsidRPr="00B0658A">
        <w:rPr>
          <w:sz w:val="28"/>
        </w:rPr>
        <w:t xml:space="preserve">государственными корпорациями и компаниями с государственным участием, </w:t>
      </w:r>
      <w:r w:rsidRPr="00B0658A">
        <w:rPr>
          <w:sz w:val="28"/>
        </w:rPr>
        <w:t xml:space="preserve">в отношении которых приняты решения о разработке стратегии (программы) цифровой трансформации (протокол заочного голосования членов президиума Правительственной комиссии по цифровому развитию, использованию информационных технологий для улучшения качества жизни и условий ведения предпринимательской деятельности от 31 августа 2022 г. </w:t>
      </w:r>
      <w:r w:rsidR="00592B14" w:rsidRPr="00B0658A">
        <w:rPr>
          <w:sz w:val="28"/>
        </w:rPr>
        <w:t>№ </w:t>
      </w:r>
      <w:r w:rsidR="00F442B4" w:rsidRPr="00B0658A">
        <w:rPr>
          <w:sz w:val="28"/>
        </w:rPr>
        <w:t> </w:t>
      </w:r>
      <w:r w:rsidRPr="00B0658A">
        <w:rPr>
          <w:sz w:val="28"/>
        </w:rPr>
        <w:t>34), и их дочерними и зависимыми обществами</w:t>
      </w:r>
      <w:r w:rsidR="009F61A3" w:rsidRPr="00B0658A">
        <w:rPr>
          <w:sz w:val="28"/>
        </w:rPr>
        <w:t xml:space="preserve"> (далее – организации, включенные в расширенный перечень организаций, в отношении которых принято решение о необходимости указанными организаци</w:t>
      </w:r>
      <w:r w:rsidR="00096E00" w:rsidRPr="00B0658A">
        <w:rPr>
          <w:sz w:val="28"/>
        </w:rPr>
        <w:t>ями</w:t>
      </w:r>
      <w:r w:rsidR="009F61A3" w:rsidRPr="00B0658A">
        <w:rPr>
          <w:sz w:val="28"/>
        </w:rPr>
        <w:t xml:space="preserve"> разработки стратегий (программ) цифровой трансформации)</w:t>
      </w:r>
      <w:r w:rsidRPr="00B0658A">
        <w:rPr>
          <w:sz w:val="28"/>
        </w:rPr>
        <w:t xml:space="preserve"> </w:t>
      </w:r>
      <w:r w:rsidR="00F22F8D" w:rsidRPr="00B0658A">
        <w:rPr>
          <w:sz w:val="28"/>
        </w:rPr>
        <w:t>осуществляется в рамках стратегий (программ) цифровой трансформации, разрабатываемых в соответствии с Методическими рекомендациями по цифровой трансформации, а также в соответствии с настоящими методическими рекомендациями</w:t>
      </w:r>
      <w:r w:rsidRPr="00B0658A">
        <w:rPr>
          <w:sz w:val="28"/>
        </w:rPr>
        <w:t>.</w:t>
      </w:r>
    </w:p>
    <w:p w14:paraId="307E9E9A" w14:textId="77777777" w:rsidR="00F22F8D" w:rsidRPr="00B0658A" w:rsidRDefault="00F22F8D" w:rsidP="00F57B1F">
      <w:pPr>
        <w:pStyle w:val="ConsPlusNormal"/>
        <w:ind w:firstLine="709"/>
        <w:jc w:val="both"/>
        <w:rPr>
          <w:sz w:val="28"/>
        </w:rPr>
      </w:pPr>
      <w:r w:rsidRPr="00B0658A">
        <w:rPr>
          <w:sz w:val="28"/>
        </w:rPr>
        <w:t>Предоставление отчетности о реализации планов перехода на использование российского ПО, в том числе отчетности о достижении показателей эффективности (за исключением планов перехода на использование российского ПО на значимых объектах КИИ), государственными корпорациями и компаниями с государственным участием, в отношении которых приняты решения о разработке стратегии (программы) цифровой трансформации, и их дочерними и зависимыми обществами, осуществляется в соответствии с Методическими рекомендациями по цифровой трансформации.</w:t>
      </w:r>
    </w:p>
    <w:p w14:paraId="04973764" w14:textId="77777777" w:rsidR="00946303" w:rsidRPr="00B0658A" w:rsidRDefault="00F22F8D" w:rsidP="00F57B1F">
      <w:pPr>
        <w:pStyle w:val="ConsPlusNormal"/>
        <w:ind w:firstLine="709"/>
        <w:jc w:val="both"/>
        <w:rPr>
          <w:sz w:val="28"/>
        </w:rPr>
      </w:pPr>
      <w:r w:rsidRPr="00B0658A">
        <w:rPr>
          <w:sz w:val="28"/>
        </w:rPr>
        <w:t xml:space="preserve">Формирование планов перехода государственных корпораций и компаний с государственным участием, в отношении которых приняты решения о разработке стратегии (программы) цифровой трансформации, и их дочерних и зависимых обществ на использование российского ПО на значимых объектах КИИ, представление отчетности о реализации планов перехода на использование российского ПО на значимых объектах КИИ, установление указанными корпорациями и компаниями показателей эффективности перехода на использование </w:t>
      </w:r>
      <w:r w:rsidRPr="00B0658A">
        <w:rPr>
          <w:sz w:val="28"/>
        </w:rPr>
        <w:lastRenderedPageBreak/>
        <w:t>российского ПО и соответствующих им значений индикаторов эффективности в отношении каждого класса (типа) ПО осуществляется в соответствии с настоящими методическими рекомендациями</w:t>
      </w:r>
      <w:r w:rsidR="00946303" w:rsidRPr="00B0658A">
        <w:rPr>
          <w:sz w:val="28"/>
        </w:rPr>
        <w:t>.</w:t>
      </w:r>
    </w:p>
    <w:p w14:paraId="3834A8B5" w14:textId="77777777" w:rsidR="003D78FB" w:rsidRPr="00B0658A" w:rsidRDefault="00946303" w:rsidP="00F57B1F">
      <w:pPr>
        <w:pStyle w:val="ConsPlusNormal"/>
        <w:ind w:firstLine="709"/>
        <w:jc w:val="both"/>
        <w:rPr>
          <w:sz w:val="28"/>
        </w:rPr>
      </w:pPr>
      <w:r w:rsidRPr="00B0658A">
        <w:rPr>
          <w:sz w:val="28"/>
        </w:rPr>
        <w:t>90. </w:t>
      </w:r>
      <w:r w:rsidR="00F71274" w:rsidRPr="00B0658A">
        <w:rPr>
          <w:sz w:val="28"/>
        </w:rPr>
        <w:t xml:space="preserve">План перехода государственных корпораций и компаний с государственным участием, сведения о которых включены в специальный перечень </w:t>
      </w:r>
      <w:r w:rsidR="00592B14" w:rsidRPr="00B0658A">
        <w:rPr>
          <w:sz w:val="28"/>
        </w:rPr>
        <w:t>№ </w:t>
      </w:r>
      <w:r w:rsidR="00F71274" w:rsidRPr="00B0658A">
        <w:rPr>
          <w:sz w:val="28"/>
        </w:rPr>
        <w:t>91-р, а также</w:t>
      </w:r>
      <w:r w:rsidR="00F22F8D" w:rsidRPr="00B0658A">
        <w:rPr>
          <w:sz w:val="28"/>
        </w:rPr>
        <w:t xml:space="preserve"> организаций</w:t>
      </w:r>
      <w:r w:rsidR="00F71274" w:rsidRPr="00B0658A">
        <w:rPr>
          <w:sz w:val="28"/>
        </w:rPr>
        <w:t xml:space="preserve">, включенных в расширенный перечень организаций, в отношении которых принято решение о необходимости указанными организации разработки стратегий (программ) цифровой трансформации, </w:t>
      </w:r>
      <w:r w:rsidR="00F22F8D" w:rsidRPr="00B0658A">
        <w:rPr>
          <w:sz w:val="28"/>
        </w:rPr>
        <w:t>на использование российского ПО (за исключением плана перехода на использование российского ПО на значимых объектах КИИ)</w:t>
      </w:r>
      <w:r w:rsidR="0042780D" w:rsidRPr="00B0658A">
        <w:rPr>
          <w:sz w:val="28"/>
        </w:rPr>
        <w:t>,</w:t>
      </w:r>
      <w:r w:rsidR="00F22F8D" w:rsidRPr="00B0658A">
        <w:rPr>
          <w:sz w:val="28"/>
        </w:rPr>
        <w:t xml:space="preserve"> формируется в составе стратегии (программы) цифровой трансформации в соответствии с Методическими рекомендациями по цифровой трансформации и включает:</w:t>
      </w:r>
    </w:p>
    <w:p w14:paraId="5738F621" w14:textId="77777777" w:rsidR="003D78FB" w:rsidRPr="00B0658A" w:rsidRDefault="003D78FB" w:rsidP="00F57B1F">
      <w:pPr>
        <w:spacing w:after="0" w:line="240" w:lineRule="auto"/>
        <w:ind w:firstLine="720"/>
        <w:jc w:val="both"/>
        <w:rPr>
          <w:rFonts w:ascii="Times New Roman" w:hAnsi="Times New Roman"/>
          <w:sz w:val="28"/>
          <w:szCs w:val="24"/>
        </w:rPr>
      </w:pPr>
      <w:r w:rsidRPr="00B0658A">
        <w:rPr>
          <w:rFonts w:ascii="Times New Roman" w:hAnsi="Times New Roman"/>
          <w:sz w:val="28"/>
          <w:szCs w:val="24"/>
        </w:rPr>
        <w:t>а) </w:t>
      </w:r>
      <w:r w:rsidR="00F22F8D" w:rsidRPr="00B0658A">
        <w:rPr>
          <w:rFonts w:ascii="Times New Roman" w:hAnsi="Times New Roman"/>
          <w:sz w:val="28"/>
          <w:szCs w:val="24"/>
        </w:rPr>
        <w:t xml:space="preserve">план </w:t>
      </w:r>
      <w:r w:rsidRPr="00B0658A">
        <w:rPr>
          <w:rFonts w:ascii="Times New Roman" w:hAnsi="Times New Roman"/>
          <w:sz w:val="28"/>
          <w:szCs w:val="24"/>
        </w:rPr>
        <w:t>организационно-технических мероприятий</w:t>
      </w:r>
      <w:r w:rsidR="001326EC" w:rsidRPr="00B0658A">
        <w:rPr>
          <w:rFonts w:ascii="Times New Roman" w:hAnsi="Times New Roman"/>
          <w:sz w:val="28"/>
          <w:szCs w:val="24"/>
        </w:rPr>
        <w:t xml:space="preserve"> перехода на использование российского ПО</w:t>
      </w:r>
      <w:r w:rsidRPr="00B0658A">
        <w:rPr>
          <w:rFonts w:ascii="Times New Roman" w:hAnsi="Times New Roman"/>
          <w:sz w:val="28"/>
          <w:szCs w:val="24"/>
        </w:rPr>
        <w:t>;</w:t>
      </w:r>
    </w:p>
    <w:p w14:paraId="3F4729AE" w14:textId="77777777" w:rsidR="003D78FB" w:rsidRPr="00B0658A" w:rsidRDefault="003D78FB" w:rsidP="00F57B1F">
      <w:pPr>
        <w:spacing w:after="0" w:line="240" w:lineRule="auto"/>
        <w:ind w:firstLine="720"/>
        <w:jc w:val="both"/>
        <w:rPr>
          <w:rFonts w:ascii="Times New Roman" w:hAnsi="Times New Roman"/>
          <w:sz w:val="28"/>
          <w:szCs w:val="24"/>
        </w:rPr>
      </w:pPr>
      <w:r w:rsidRPr="00B0658A">
        <w:rPr>
          <w:rFonts w:ascii="Times New Roman" w:hAnsi="Times New Roman"/>
          <w:sz w:val="28"/>
          <w:szCs w:val="24"/>
        </w:rPr>
        <w:t>б) </w:t>
      </w:r>
      <w:r w:rsidR="00F22F8D" w:rsidRPr="00B0658A">
        <w:rPr>
          <w:rFonts w:ascii="Times New Roman" w:hAnsi="Times New Roman"/>
          <w:sz w:val="28"/>
          <w:szCs w:val="24"/>
        </w:rPr>
        <w:t>п</w:t>
      </w:r>
      <w:r w:rsidRPr="00B0658A">
        <w:rPr>
          <w:rFonts w:ascii="Times New Roman" w:hAnsi="Times New Roman"/>
          <w:sz w:val="28"/>
          <w:szCs w:val="24"/>
        </w:rPr>
        <w:t>оказател</w:t>
      </w:r>
      <w:r w:rsidR="00F22F8D" w:rsidRPr="00B0658A">
        <w:rPr>
          <w:rFonts w:ascii="Times New Roman" w:hAnsi="Times New Roman"/>
          <w:sz w:val="28"/>
          <w:szCs w:val="24"/>
        </w:rPr>
        <w:t>и</w:t>
      </w:r>
      <w:r w:rsidRPr="00B0658A">
        <w:rPr>
          <w:rFonts w:ascii="Times New Roman" w:hAnsi="Times New Roman"/>
          <w:sz w:val="28"/>
          <w:szCs w:val="24"/>
        </w:rPr>
        <w:t xml:space="preserve"> эффективности и соответствующи</w:t>
      </w:r>
      <w:r w:rsidR="00F22F8D" w:rsidRPr="00B0658A">
        <w:rPr>
          <w:rFonts w:ascii="Times New Roman" w:hAnsi="Times New Roman"/>
          <w:sz w:val="28"/>
          <w:szCs w:val="24"/>
        </w:rPr>
        <w:t>е</w:t>
      </w:r>
      <w:r w:rsidRPr="00B0658A">
        <w:rPr>
          <w:rFonts w:ascii="Times New Roman" w:hAnsi="Times New Roman"/>
          <w:sz w:val="28"/>
          <w:szCs w:val="24"/>
        </w:rPr>
        <w:t xml:space="preserve"> им значени</w:t>
      </w:r>
      <w:r w:rsidR="00F22F8D" w:rsidRPr="00B0658A">
        <w:rPr>
          <w:rFonts w:ascii="Times New Roman" w:hAnsi="Times New Roman"/>
          <w:sz w:val="28"/>
          <w:szCs w:val="24"/>
        </w:rPr>
        <w:t>я</w:t>
      </w:r>
      <w:r w:rsidRPr="00B0658A">
        <w:rPr>
          <w:rFonts w:ascii="Times New Roman" w:hAnsi="Times New Roman"/>
          <w:sz w:val="28"/>
          <w:szCs w:val="24"/>
        </w:rPr>
        <w:t xml:space="preserve"> индикаторов эффективности перехода на использование российского ПО;</w:t>
      </w:r>
    </w:p>
    <w:p w14:paraId="2816BBF3" w14:textId="77777777" w:rsidR="003D78FB" w:rsidRPr="00B0658A" w:rsidRDefault="003D78FB" w:rsidP="00F57B1F">
      <w:pPr>
        <w:spacing w:after="0" w:line="240" w:lineRule="auto"/>
        <w:ind w:firstLine="720"/>
        <w:jc w:val="both"/>
        <w:rPr>
          <w:rFonts w:ascii="Times New Roman" w:hAnsi="Times New Roman"/>
          <w:sz w:val="28"/>
          <w:szCs w:val="24"/>
        </w:rPr>
      </w:pPr>
      <w:r w:rsidRPr="00B0658A">
        <w:rPr>
          <w:rFonts w:ascii="Times New Roman" w:hAnsi="Times New Roman"/>
          <w:sz w:val="28"/>
          <w:szCs w:val="24"/>
        </w:rPr>
        <w:t>в) </w:t>
      </w:r>
      <w:r w:rsidR="001326EC" w:rsidRPr="00B0658A">
        <w:rPr>
          <w:rFonts w:ascii="Times New Roman" w:hAnsi="Times New Roman"/>
          <w:sz w:val="28"/>
          <w:szCs w:val="24"/>
        </w:rPr>
        <w:t>п</w:t>
      </w:r>
      <w:r w:rsidRPr="00B0658A">
        <w:rPr>
          <w:rFonts w:ascii="Times New Roman" w:hAnsi="Times New Roman"/>
          <w:sz w:val="28"/>
          <w:szCs w:val="24"/>
        </w:rPr>
        <w:t>оказател</w:t>
      </w:r>
      <w:r w:rsidR="001326EC" w:rsidRPr="00B0658A">
        <w:rPr>
          <w:rFonts w:ascii="Times New Roman" w:hAnsi="Times New Roman"/>
          <w:sz w:val="28"/>
          <w:szCs w:val="24"/>
        </w:rPr>
        <w:t>и</w:t>
      </w:r>
      <w:r w:rsidRPr="00B0658A">
        <w:rPr>
          <w:rFonts w:ascii="Times New Roman" w:hAnsi="Times New Roman"/>
          <w:sz w:val="28"/>
          <w:szCs w:val="24"/>
        </w:rPr>
        <w:t xml:space="preserve"> эффективности в отношении закупок ПО и связанных с ним работ и услуг</w:t>
      </w:r>
      <w:r w:rsidR="001326EC" w:rsidRPr="00B0658A">
        <w:rPr>
          <w:rFonts w:ascii="Times New Roman" w:hAnsi="Times New Roman"/>
          <w:sz w:val="28"/>
          <w:szCs w:val="24"/>
        </w:rPr>
        <w:t xml:space="preserve"> (в составе ключевых показателей эффективности реализации стратегии (программы) цифровой трансформации)</w:t>
      </w:r>
      <w:r w:rsidRPr="00B0658A">
        <w:rPr>
          <w:rFonts w:ascii="Times New Roman" w:hAnsi="Times New Roman"/>
          <w:sz w:val="28"/>
          <w:szCs w:val="24"/>
        </w:rPr>
        <w:t>;</w:t>
      </w:r>
    </w:p>
    <w:p w14:paraId="0B35148D" w14:textId="77777777" w:rsidR="003D78FB" w:rsidRPr="00B0658A" w:rsidRDefault="003D78FB" w:rsidP="00F57B1F">
      <w:pPr>
        <w:spacing w:after="0" w:line="240" w:lineRule="auto"/>
        <w:ind w:firstLine="720"/>
        <w:jc w:val="both"/>
        <w:rPr>
          <w:rFonts w:ascii="Times New Roman" w:hAnsi="Times New Roman"/>
          <w:sz w:val="28"/>
          <w:szCs w:val="24"/>
        </w:rPr>
      </w:pPr>
      <w:r w:rsidRPr="00B0658A">
        <w:rPr>
          <w:rFonts w:ascii="Times New Roman" w:hAnsi="Times New Roman"/>
          <w:sz w:val="28"/>
          <w:szCs w:val="24"/>
        </w:rPr>
        <w:t>г) </w:t>
      </w:r>
      <w:r w:rsidR="001326EC" w:rsidRPr="00B0658A">
        <w:rPr>
          <w:rFonts w:ascii="Times New Roman" w:hAnsi="Times New Roman"/>
          <w:sz w:val="28"/>
          <w:szCs w:val="24"/>
        </w:rPr>
        <w:t>с</w:t>
      </w:r>
      <w:r w:rsidRPr="00B0658A">
        <w:rPr>
          <w:rFonts w:ascii="Times New Roman" w:hAnsi="Times New Roman"/>
          <w:sz w:val="28"/>
          <w:szCs w:val="24"/>
        </w:rPr>
        <w:t>ведени</w:t>
      </w:r>
      <w:r w:rsidR="001326EC" w:rsidRPr="00B0658A">
        <w:rPr>
          <w:rFonts w:ascii="Times New Roman" w:hAnsi="Times New Roman"/>
          <w:sz w:val="28"/>
          <w:szCs w:val="24"/>
        </w:rPr>
        <w:t>я</w:t>
      </w:r>
      <w:r w:rsidRPr="00B0658A">
        <w:rPr>
          <w:rFonts w:ascii="Times New Roman" w:hAnsi="Times New Roman"/>
          <w:sz w:val="28"/>
          <w:szCs w:val="24"/>
        </w:rPr>
        <w:t xml:space="preserve"> об объемах и источниках финансовых ресурсов, планируемых для решения задач по переходу на использование российского ПО</w:t>
      </w:r>
      <w:r w:rsidRPr="00B0658A">
        <w:rPr>
          <w:rFonts w:ascii="Times New Roman" w:hAnsi="Times New Roman"/>
          <w:sz w:val="28"/>
        </w:rPr>
        <w:t>.</w:t>
      </w:r>
    </w:p>
    <w:p w14:paraId="0E620C57" w14:textId="77777777" w:rsidR="0066160C" w:rsidRPr="00B0658A" w:rsidRDefault="00F71274" w:rsidP="00F57B1F">
      <w:pPr>
        <w:pStyle w:val="ConsPlusNormal"/>
        <w:ind w:firstLine="709"/>
        <w:jc w:val="both"/>
        <w:rPr>
          <w:sz w:val="28"/>
        </w:rPr>
      </w:pPr>
      <w:r w:rsidRPr="00B0658A">
        <w:rPr>
          <w:sz w:val="28"/>
        </w:rPr>
        <w:t>91. </w:t>
      </w:r>
      <w:r w:rsidR="0066160C" w:rsidRPr="00B0658A">
        <w:rPr>
          <w:sz w:val="28"/>
        </w:rPr>
        <w:t xml:space="preserve">Рекомендуемая форма детализированного плана перехода государственных корпораций и компаний с государственным участием, сведения о которых включены в специальный перечень </w:t>
      </w:r>
      <w:r w:rsidR="00592B14" w:rsidRPr="00B0658A">
        <w:rPr>
          <w:sz w:val="28"/>
        </w:rPr>
        <w:t>№ </w:t>
      </w:r>
      <w:r w:rsidR="00F442B4" w:rsidRPr="00B0658A">
        <w:rPr>
          <w:sz w:val="28"/>
        </w:rPr>
        <w:t> </w:t>
      </w:r>
      <w:r w:rsidR="0066160C" w:rsidRPr="00B0658A">
        <w:rPr>
          <w:sz w:val="28"/>
        </w:rPr>
        <w:t xml:space="preserve">91-р, а также организаций, включенных в расширенный перечень организаций, в отношении которых принято решение о необходимости указанными организации разработки стратегий (программ) цифровой трансформации, </w:t>
      </w:r>
      <w:r w:rsidR="0014014D" w:rsidRPr="00B0658A">
        <w:rPr>
          <w:sz w:val="28"/>
        </w:rPr>
        <w:t xml:space="preserve">их дочерних и зависимых обществ </w:t>
      </w:r>
      <w:r w:rsidR="0066160C" w:rsidRPr="00B0658A">
        <w:rPr>
          <w:sz w:val="28"/>
        </w:rPr>
        <w:t xml:space="preserve">на использование российского ПО на принадлежащих им значимых объектах КИИ, а также форма для установления показателей эффективности перехода на использование российского ПО и соответствующих им значений индикаторов эффективности для каждого значимого объекта КИИ в отношении каждого класса (типа) ПО, используемого на соответствующем значимом объекте КИИ, приведены в </w:t>
      </w:r>
      <w:r w:rsidR="00096E00" w:rsidRPr="00B0658A">
        <w:rPr>
          <w:sz w:val="28"/>
        </w:rPr>
        <w:t>П</w:t>
      </w:r>
      <w:r w:rsidR="0066160C" w:rsidRPr="00B0658A">
        <w:rPr>
          <w:sz w:val="28"/>
        </w:rPr>
        <w:t xml:space="preserve">риложении </w:t>
      </w:r>
      <w:r w:rsidR="00592B14" w:rsidRPr="00B0658A">
        <w:rPr>
          <w:sz w:val="28"/>
        </w:rPr>
        <w:t>№</w:t>
      </w:r>
      <w:r w:rsidR="0066160C" w:rsidRPr="00B0658A">
        <w:rPr>
          <w:sz w:val="28"/>
        </w:rPr>
        <w:t>9 к настоящим методическим рекомендациям.</w:t>
      </w:r>
    </w:p>
    <w:p w14:paraId="62801209" w14:textId="77777777" w:rsidR="0066160C" w:rsidRPr="00B0658A" w:rsidRDefault="0066160C" w:rsidP="00F57B1F">
      <w:pPr>
        <w:pStyle w:val="ConsPlusNormal"/>
        <w:ind w:firstLine="709"/>
        <w:jc w:val="both"/>
        <w:rPr>
          <w:sz w:val="28"/>
        </w:rPr>
      </w:pPr>
      <w:r w:rsidRPr="00B0658A">
        <w:rPr>
          <w:sz w:val="28"/>
        </w:rPr>
        <w:t>92. </w:t>
      </w:r>
      <w:r w:rsidR="003B0F1F" w:rsidRPr="00B0658A">
        <w:rPr>
          <w:sz w:val="28"/>
        </w:rPr>
        <w:t xml:space="preserve">Рекомендованные показатели эффективности и соответствующие им значения индикаторов эффективности перехода организаций, включенных в расширенный перечень организаций, в отношении которых принято решение о необходимости указанными организации разработки стратегий (программ) цифровой трансформации, </w:t>
      </w:r>
      <w:r w:rsidR="0014014D" w:rsidRPr="00B0658A">
        <w:rPr>
          <w:sz w:val="28"/>
        </w:rPr>
        <w:t xml:space="preserve">их дочерних и зависимых обществ </w:t>
      </w:r>
      <w:r w:rsidR="003B0F1F" w:rsidRPr="00B0658A">
        <w:rPr>
          <w:sz w:val="28"/>
        </w:rPr>
        <w:t>на использование российского ПО в отношении каждого используемого класса (типа) ПО</w:t>
      </w:r>
      <w:r w:rsidR="0014014D" w:rsidRPr="00B0658A">
        <w:rPr>
          <w:sz w:val="28"/>
        </w:rPr>
        <w:t>,</w:t>
      </w:r>
      <w:r w:rsidR="003B0F1F" w:rsidRPr="00B0658A">
        <w:rPr>
          <w:sz w:val="28"/>
        </w:rPr>
        <w:t xml:space="preserve"> в соответствии с приказом Министерства цифрового развития, связи и массовых коммуникаций Российской Федерации от 22 сентября 2020 г. </w:t>
      </w:r>
      <w:r w:rsidR="00592B14" w:rsidRPr="00B0658A">
        <w:rPr>
          <w:sz w:val="28"/>
        </w:rPr>
        <w:t>№ </w:t>
      </w:r>
      <w:r w:rsidR="003B0F1F" w:rsidRPr="00B0658A">
        <w:rPr>
          <w:sz w:val="28"/>
        </w:rPr>
        <w:t xml:space="preserve"> 486 «Об утверждении классификатора программ для электронных вычислительных машин и баз данных»</w:t>
      </w:r>
      <w:r w:rsidR="0014014D" w:rsidRPr="00B0658A">
        <w:rPr>
          <w:sz w:val="28"/>
        </w:rPr>
        <w:t>,</w:t>
      </w:r>
      <w:r w:rsidR="003B0F1F" w:rsidRPr="00B0658A">
        <w:rPr>
          <w:sz w:val="28"/>
        </w:rPr>
        <w:t xml:space="preserve"> приведены в Приложении </w:t>
      </w:r>
      <w:r w:rsidR="00592B14" w:rsidRPr="00B0658A">
        <w:rPr>
          <w:sz w:val="28"/>
        </w:rPr>
        <w:t>№</w:t>
      </w:r>
      <w:r w:rsidR="003B0F1F" w:rsidRPr="00B0658A">
        <w:rPr>
          <w:sz w:val="28"/>
        </w:rPr>
        <w:t>10 к настоящим методическим рекомендациям.</w:t>
      </w:r>
    </w:p>
    <w:p w14:paraId="6640D875" w14:textId="77777777" w:rsidR="003B0F1F" w:rsidRPr="00B0658A" w:rsidRDefault="003B0F1F" w:rsidP="00F57B1F">
      <w:pPr>
        <w:pStyle w:val="ConsPlusNormal"/>
        <w:ind w:firstLine="709"/>
        <w:jc w:val="both"/>
        <w:rPr>
          <w:sz w:val="28"/>
        </w:rPr>
      </w:pPr>
      <w:r w:rsidRPr="00B0658A">
        <w:rPr>
          <w:sz w:val="28"/>
        </w:rPr>
        <w:t xml:space="preserve">93. Рекомендованные показатели эффективности в отношении закупок ПО и связанных с ним работ и услуг, проводимых организациями, в отношении которых </w:t>
      </w:r>
      <w:r w:rsidRPr="00B0658A">
        <w:rPr>
          <w:sz w:val="28"/>
        </w:rPr>
        <w:lastRenderedPageBreak/>
        <w:t xml:space="preserve">принято решение о необходимости указанными организации разработки стратегий (программ) цифровой трансформации, приведены в Приложении </w:t>
      </w:r>
      <w:r w:rsidR="00592B14" w:rsidRPr="00B0658A">
        <w:rPr>
          <w:sz w:val="28"/>
        </w:rPr>
        <w:t>№</w:t>
      </w:r>
      <w:r w:rsidRPr="00B0658A">
        <w:rPr>
          <w:sz w:val="28"/>
        </w:rPr>
        <w:t>11 к настоящим методическим рекомендациям.</w:t>
      </w:r>
    </w:p>
    <w:p w14:paraId="60BCDDA3" w14:textId="6CF83C08" w:rsidR="00553B85" w:rsidRPr="00B0658A" w:rsidRDefault="003B0F1F" w:rsidP="00F57B1F">
      <w:pPr>
        <w:pStyle w:val="ConsPlusNormal"/>
        <w:ind w:firstLine="709"/>
        <w:jc w:val="both"/>
        <w:rPr>
          <w:sz w:val="28"/>
        </w:rPr>
      </w:pPr>
      <w:r w:rsidRPr="00B0658A">
        <w:rPr>
          <w:sz w:val="28"/>
        </w:rPr>
        <w:t>94. </w:t>
      </w:r>
      <w:r w:rsidR="00553B85" w:rsidRPr="00B0658A">
        <w:rPr>
          <w:sz w:val="28"/>
        </w:rPr>
        <w:t xml:space="preserve">В целях обеспечения эффективного перехода государственной корпорации и компании с государственным участием, сведения о которой включены в специальный перечень </w:t>
      </w:r>
      <w:r w:rsidR="00592B14" w:rsidRPr="00B0658A">
        <w:rPr>
          <w:sz w:val="28"/>
        </w:rPr>
        <w:t>№</w:t>
      </w:r>
      <w:r w:rsidR="003378A3">
        <w:rPr>
          <w:sz w:val="28"/>
        </w:rPr>
        <w:t xml:space="preserve"> </w:t>
      </w:r>
      <w:r w:rsidR="00553B85" w:rsidRPr="00B0658A">
        <w:rPr>
          <w:sz w:val="28"/>
        </w:rPr>
        <w:t xml:space="preserve">91-р, а также организации, включенной в расширенный перечень организаций, в отношении которой принято решение о необходимости указанными организации разработки стратегий (программ) цифровой трансформации, </w:t>
      </w:r>
      <w:r w:rsidR="0014014D" w:rsidRPr="00B0658A">
        <w:rPr>
          <w:sz w:val="28"/>
        </w:rPr>
        <w:t xml:space="preserve">их дочерних и зависимых обществ </w:t>
      </w:r>
      <w:r w:rsidR="00553B85" w:rsidRPr="00B0658A">
        <w:rPr>
          <w:sz w:val="28"/>
        </w:rPr>
        <w:t xml:space="preserve">на использование российского ПО рекомендуется определить решением руководителя </w:t>
      </w:r>
      <w:r w:rsidR="0014014D" w:rsidRPr="00B0658A">
        <w:rPr>
          <w:sz w:val="28"/>
        </w:rPr>
        <w:t xml:space="preserve">организации </w:t>
      </w:r>
      <w:r w:rsidR="00553B85" w:rsidRPr="00B0658A">
        <w:rPr>
          <w:sz w:val="28"/>
        </w:rPr>
        <w:t>работника, занимающего должность не ниже заместителя руководителя организации, ответственного за переход на использование российского ПО, а также за достижение устанавливаемых в Плане перехода показателей эффективности и соответствующих им значений индикаторов эффективности.</w:t>
      </w:r>
    </w:p>
    <w:p w14:paraId="488FADF3" w14:textId="75CDF084" w:rsidR="0014014D" w:rsidRPr="00B0658A" w:rsidRDefault="00553B85" w:rsidP="00F57B1F">
      <w:pPr>
        <w:pStyle w:val="ConsPlusNormal"/>
        <w:ind w:firstLine="709"/>
        <w:jc w:val="both"/>
        <w:rPr>
          <w:sz w:val="28"/>
        </w:rPr>
      </w:pPr>
      <w:r w:rsidRPr="00B0658A">
        <w:rPr>
          <w:sz w:val="28"/>
        </w:rPr>
        <w:t xml:space="preserve">95. План перехода </w:t>
      </w:r>
      <w:r w:rsidR="00C81FB5" w:rsidRPr="00B0658A">
        <w:rPr>
          <w:sz w:val="28"/>
        </w:rPr>
        <w:t xml:space="preserve">государственной корпорации и компании с государственным участием, сведения о которой включены в специальный перечень </w:t>
      </w:r>
      <w:r w:rsidR="00592B14" w:rsidRPr="00B0658A">
        <w:rPr>
          <w:sz w:val="28"/>
        </w:rPr>
        <w:t>№</w:t>
      </w:r>
      <w:r w:rsidR="003378A3">
        <w:rPr>
          <w:sz w:val="28"/>
        </w:rPr>
        <w:t xml:space="preserve"> </w:t>
      </w:r>
      <w:r w:rsidR="00C81FB5" w:rsidRPr="00B0658A">
        <w:rPr>
          <w:sz w:val="28"/>
        </w:rPr>
        <w:t xml:space="preserve">91-р, а также организации, включенной в расширенный перечень организаций, в отношении которой принято решение о необходимости указанными </w:t>
      </w:r>
      <w:r w:rsidR="00096E00" w:rsidRPr="00B0658A">
        <w:rPr>
          <w:sz w:val="28"/>
        </w:rPr>
        <w:t xml:space="preserve">организациями </w:t>
      </w:r>
      <w:r w:rsidR="00C81FB5" w:rsidRPr="00B0658A">
        <w:rPr>
          <w:sz w:val="28"/>
        </w:rPr>
        <w:t>разработки стратегий (программ) цифровой трансформации,</w:t>
      </w:r>
      <w:r w:rsidRPr="00B0658A">
        <w:rPr>
          <w:sz w:val="28"/>
        </w:rPr>
        <w:t xml:space="preserve"> </w:t>
      </w:r>
      <w:r w:rsidR="0014014D" w:rsidRPr="00B0658A">
        <w:rPr>
          <w:sz w:val="28"/>
        </w:rPr>
        <w:t xml:space="preserve">их дочерних и зависимых обществ </w:t>
      </w:r>
      <w:r w:rsidRPr="00B0658A">
        <w:rPr>
          <w:sz w:val="28"/>
        </w:rPr>
        <w:t>на использование российского ПО</w:t>
      </w:r>
      <w:r w:rsidR="0014014D" w:rsidRPr="00B0658A">
        <w:rPr>
          <w:sz w:val="28"/>
        </w:rPr>
        <w:t xml:space="preserve"> рекомендуется согласовывать</w:t>
      </w:r>
      <w:r w:rsidRPr="00B0658A">
        <w:rPr>
          <w:sz w:val="28"/>
        </w:rPr>
        <w:t xml:space="preserve"> с Минцифры России</w:t>
      </w:r>
      <w:r w:rsidR="0042780D" w:rsidRPr="00B0658A">
        <w:rPr>
          <w:sz w:val="28"/>
        </w:rPr>
        <w:t xml:space="preserve"> и </w:t>
      </w:r>
      <w:bookmarkStart w:id="9" w:name="_Hlk116321392"/>
      <w:r w:rsidR="00C81FB5" w:rsidRPr="00B0658A">
        <w:rPr>
          <w:sz w:val="28"/>
        </w:rPr>
        <w:t xml:space="preserve">с АНО «Центр компетенций по импортозамещению в сфере </w:t>
      </w:r>
      <w:r w:rsidR="000803DD" w:rsidRPr="00B0658A">
        <w:rPr>
          <w:sz w:val="28"/>
        </w:rPr>
        <w:t>ИКТ</w:t>
      </w:r>
      <w:r w:rsidR="00C81FB5" w:rsidRPr="00B0658A">
        <w:rPr>
          <w:sz w:val="28"/>
        </w:rPr>
        <w:t xml:space="preserve">» (за исключением сведений, составляющих государственную тайну) в соответствии с постановлением Правительства Российской Федерации от 15 декабря 2020 г. </w:t>
      </w:r>
      <w:r w:rsidR="00592B14" w:rsidRPr="00B0658A">
        <w:rPr>
          <w:sz w:val="28"/>
        </w:rPr>
        <w:t>№</w:t>
      </w:r>
      <w:r w:rsidR="00C81FB5" w:rsidRPr="00B0658A">
        <w:rPr>
          <w:sz w:val="28"/>
        </w:rPr>
        <w:t xml:space="preserve">2117 и постановлением Правительства Российской Федерации от 28 сентября 2022 г. </w:t>
      </w:r>
      <w:r w:rsidR="00592B14" w:rsidRPr="00B0658A">
        <w:rPr>
          <w:sz w:val="28"/>
        </w:rPr>
        <w:t>№</w:t>
      </w:r>
      <w:r w:rsidR="00C81FB5" w:rsidRPr="00B0658A">
        <w:rPr>
          <w:sz w:val="28"/>
        </w:rPr>
        <w:t>1706.</w:t>
      </w:r>
      <w:bookmarkEnd w:id="9"/>
    </w:p>
    <w:p w14:paraId="4B112728" w14:textId="4AB4AE9A" w:rsidR="00553B85" w:rsidRPr="00B0658A" w:rsidRDefault="00D43326" w:rsidP="00F57B1F">
      <w:pPr>
        <w:pStyle w:val="ConsPlusNormal"/>
        <w:ind w:firstLine="709"/>
        <w:jc w:val="both"/>
        <w:rPr>
          <w:sz w:val="28"/>
        </w:rPr>
      </w:pPr>
      <w:r w:rsidRPr="00B0658A">
        <w:rPr>
          <w:sz w:val="28"/>
        </w:rPr>
        <w:t>96</w:t>
      </w:r>
      <w:r w:rsidR="00553B85" w:rsidRPr="00B0658A">
        <w:rPr>
          <w:sz w:val="28"/>
        </w:rPr>
        <w:t xml:space="preserve">. Детализированный план перехода на использование российского ПО на принадлежащих </w:t>
      </w:r>
      <w:r w:rsidRPr="00B0658A">
        <w:rPr>
          <w:sz w:val="28"/>
        </w:rPr>
        <w:t xml:space="preserve">государственной корпорации и компании с государственным участием, сведения о которой включены в специальный перечень </w:t>
      </w:r>
      <w:r w:rsidR="00592B14" w:rsidRPr="00B0658A">
        <w:rPr>
          <w:sz w:val="28"/>
        </w:rPr>
        <w:t>№</w:t>
      </w:r>
      <w:r w:rsidRPr="00B0658A">
        <w:rPr>
          <w:sz w:val="28"/>
        </w:rPr>
        <w:t xml:space="preserve">91-р, а также организации, включенной в расширенный перечень организаций, в отношении которой принято решение о необходимости указанными организации разработки стратегий (программ) цифровой трансформации, </w:t>
      </w:r>
      <w:r w:rsidR="00940067" w:rsidRPr="00B0658A">
        <w:rPr>
          <w:sz w:val="28"/>
        </w:rPr>
        <w:t xml:space="preserve">их дочерним и зависимым обществам </w:t>
      </w:r>
      <w:r w:rsidR="00553B85" w:rsidRPr="00B0658A">
        <w:rPr>
          <w:sz w:val="28"/>
        </w:rPr>
        <w:t xml:space="preserve">значимых объектах КИИ, а также показатели эффективности перехода на использование российского ПО и соответствующие им значения </w:t>
      </w:r>
      <w:r w:rsidRPr="00B0658A">
        <w:rPr>
          <w:sz w:val="28"/>
        </w:rPr>
        <w:t xml:space="preserve">индикаторов </w:t>
      </w:r>
      <w:r w:rsidR="00553B85" w:rsidRPr="00B0658A">
        <w:rPr>
          <w:sz w:val="28"/>
        </w:rPr>
        <w:t xml:space="preserve">эффективности, устанавливаемые для значимых объектов КИИ, </w:t>
      </w:r>
      <w:r w:rsidR="00940067" w:rsidRPr="00B0658A">
        <w:rPr>
          <w:sz w:val="28"/>
        </w:rPr>
        <w:t>рекомендуется согласовывать с Минцифры России</w:t>
      </w:r>
      <w:r w:rsidR="00553B85" w:rsidRPr="00B0658A">
        <w:rPr>
          <w:sz w:val="28"/>
        </w:rPr>
        <w:t>.</w:t>
      </w:r>
    </w:p>
    <w:p w14:paraId="6C18083D" w14:textId="77777777" w:rsidR="00553B85" w:rsidRPr="00B0658A" w:rsidRDefault="00D43326" w:rsidP="00F57B1F">
      <w:pPr>
        <w:pStyle w:val="ConsPlusNormal"/>
        <w:ind w:firstLine="709"/>
        <w:jc w:val="both"/>
        <w:rPr>
          <w:sz w:val="28"/>
        </w:rPr>
      </w:pPr>
      <w:r w:rsidRPr="00B0658A">
        <w:rPr>
          <w:sz w:val="28"/>
        </w:rPr>
        <w:t>97</w:t>
      </w:r>
      <w:r w:rsidR="00553B85" w:rsidRPr="00B0658A">
        <w:rPr>
          <w:sz w:val="28"/>
        </w:rPr>
        <w:t>. Документы, являющиеся частью Плана перехода и которые представляют собой сведения, составляющие государственную тайну, и документы, являющиеся частью Плана перехода и в которых отсутствуют сведения, составляющие государственную тайну, представляются на согласование раздельно.</w:t>
      </w:r>
    </w:p>
    <w:p w14:paraId="7100FCC6" w14:textId="51CBF7C2" w:rsidR="00D43326" w:rsidRPr="00B0658A" w:rsidRDefault="00D43326" w:rsidP="00F57B1F">
      <w:pPr>
        <w:pStyle w:val="ConsPlusNormal"/>
        <w:ind w:firstLine="709"/>
        <w:jc w:val="both"/>
        <w:rPr>
          <w:sz w:val="28"/>
        </w:rPr>
      </w:pPr>
      <w:r w:rsidRPr="00B0658A">
        <w:rPr>
          <w:sz w:val="28"/>
        </w:rPr>
        <w:t xml:space="preserve">98. В состав перечня организационно-технических мероприятий, реализация которых необходима для обеспечения перехода </w:t>
      </w:r>
      <w:r w:rsidR="00940067" w:rsidRPr="00B0658A">
        <w:rPr>
          <w:sz w:val="28"/>
        </w:rPr>
        <w:t xml:space="preserve">государственных корпораций и компаний с государственным участием, сведения о которой включены в специальный перечень </w:t>
      </w:r>
      <w:r w:rsidR="00592B14" w:rsidRPr="00B0658A">
        <w:rPr>
          <w:sz w:val="28"/>
        </w:rPr>
        <w:t>№</w:t>
      </w:r>
      <w:r w:rsidR="003378A3">
        <w:rPr>
          <w:sz w:val="28"/>
        </w:rPr>
        <w:t xml:space="preserve"> </w:t>
      </w:r>
      <w:r w:rsidR="00940067" w:rsidRPr="00B0658A">
        <w:rPr>
          <w:sz w:val="28"/>
        </w:rPr>
        <w:t xml:space="preserve">91-р, а также организаций, включенных в расширенный перечень организаций, в отношении которой принято решение о необходимости указанными организации разработки стратегий (программ) цифровой трансформации, их дочерних и зависимых обществ </w:t>
      </w:r>
      <w:r w:rsidRPr="00B0658A">
        <w:rPr>
          <w:sz w:val="28"/>
        </w:rPr>
        <w:t xml:space="preserve">на использование российского ПО, рекомендуется </w:t>
      </w:r>
      <w:r w:rsidRPr="00B0658A">
        <w:rPr>
          <w:sz w:val="28"/>
        </w:rPr>
        <w:lastRenderedPageBreak/>
        <w:t>включить:</w:t>
      </w:r>
    </w:p>
    <w:p w14:paraId="4DEE386E" w14:textId="3CC49875" w:rsidR="00D43326" w:rsidRPr="00B0658A" w:rsidRDefault="00D43326" w:rsidP="00F57B1F">
      <w:pPr>
        <w:pStyle w:val="ConsPlusNormal"/>
        <w:ind w:firstLine="709"/>
        <w:jc w:val="both"/>
        <w:rPr>
          <w:sz w:val="28"/>
        </w:rPr>
      </w:pPr>
      <w:r w:rsidRPr="00B0658A">
        <w:rPr>
          <w:sz w:val="28"/>
        </w:rPr>
        <w:t>а) </w:t>
      </w:r>
      <w:r w:rsidR="003378A3">
        <w:rPr>
          <w:sz w:val="28"/>
        </w:rPr>
        <w:t>о</w:t>
      </w:r>
      <w:r w:rsidRPr="00B0658A">
        <w:rPr>
          <w:sz w:val="28"/>
        </w:rPr>
        <w:t>рганизационные мероприятия, направленные на подготовку к переходу государственной корпорации и компании с государственным участием</w:t>
      </w:r>
      <w:r w:rsidR="00940067" w:rsidRPr="00B0658A">
        <w:rPr>
          <w:sz w:val="28"/>
        </w:rPr>
        <w:t xml:space="preserve"> </w:t>
      </w:r>
      <w:r w:rsidRPr="00B0658A">
        <w:rPr>
          <w:sz w:val="28"/>
        </w:rPr>
        <w:t>на использование российского ПО, включая основные мероприятия, связанные с переходом на использование российского ПО на значимых объектах КИИ;</w:t>
      </w:r>
    </w:p>
    <w:p w14:paraId="46F7C195" w14:textId="11BE3087" w:rsidR="00D43326" w:rsidRPr="00B0658A" w:rsidRDefault="00D43326" w:rsidP="00F57B1F">
      <w:pPr>
        <w:pStyle w:val="ConsPlusNormal"/>
        <w:ind w:firstLine="709"/>
        <w:jc w:val="both"/>
        <w:rPr>
          <w:sz w:val="28"/>
        </w:rPr>
      </w:pPr>
      <w:r w:rsidRPr="00B0658A">
        <w:rPr>
          <w:sz w:val="28"/>
        </w:rPr>
        <w:t>б) </w:t>
      </w:r>
      <w:r w:rsidR="003378A3">
        <w:rPr>
          <w:sz w:val="28"/>
        </w:rPr>
        <w:t>т</w:t>
      </w:r>
      <w:r w:rsidRPr="00B0658A">
        <w:rPr>
          <w:sz w:val="28"/>
        </w:rPr>
        <w:t>ехнические мероприятия, направленные на подготовку к переходу государственной корпорации и компании с государственным участием</w:t>
      </w:r>
      <w:r w:rsidR="00940067" w:rsidRPr="00B0658A">
        <w:rPr>
          <w:sz w:val="28"/>
        </w:rPr>
        <w:t xml:space="preserve"> </w:t>
      </w:r>
      <w:r w:rsidRPr="00B0658A">
        <w:rPr>
          <w:sz w:val="28"/>
        </w:rPr>
        <w:t>на использование российского ПО, включая основные мероприятия, связанные с переходом на использование российского ПО на значимых объектах КИИ;</w:t>
      </w:r>
    </w:p>
    <w:p w14:paraId="29CA4101" w14:textId="58C453B9" w:rsidR="00D43326" w:rsidRPr="00B0658A" w:rsidRDefault="00D43326" w:rsidP="00F57B1F">
      <w:pPr>
        <w:pStyle w:val="ConsPlusNormal"/>
        <w:ind w:firstLine="709"/>
        <w:jc w:val="both"/>
        <w:rPr>
          <w:sz w:val="28"/>
        </w:rPr>
      </w:pPr>
      <w:r w:rsidRPr="00B0658A">
        <w:rPr>
          <w:sz w:val="28"/>
        </w:rPr>
        <w:t>в) </w:t>
      </w:r>
      <w:r w:rsidR="003378A3">
        <w:rPr>
          <w:sz w:val="28"/>
        </w:rPr>
        <w:t>м</w:t>
      </w:r>
      <w:r w:rsidRPr="00B0658A">
        <w:rPr>
          <w:sz w:val="28"/>
        </w:rPr>
        <w:t>ероприятия, направленные на обеспечение перехода государственной корпорации и компании с государственным участием на использование российского ПО, включая общие основные мероприятия, связанные с переходом на использование российского ПО на значимых объектах КИИ;</w:t>
      </w:r>
    </w:p>
    <w:p w14:paraId="4F2C8EF7" w14:textId="294448EB" w:rsidR="00D43326" w:rsidRPr="00B0658A" w:rsidRDefault="00D43326" w:rsidP="00F57B1F">
      <w:pPr>
        <w:pStyle w:val="ConsPlusNormal"/>
        <w:ind w:firstLine="709"/>
        <w:jc w:val="both"/>
        <w:rPr>
          <w:sz w:val="28"/>
        </w:rPr>
      </w:pPr>
      <w:r w:rsidRPr="00B0658A">
        <w:rPr>
          <w:sz w:val="28"/>
        </w:rPr>
        <w:t xml:space="preserve">г) </w:t>
      </w:r>
      <w:r w:rsidR="003378A3">
        <w:rPr>
          <w:sz w:val="28"/>
        </w:rPr>
        <w:t>и</w:t>
      </w:r>
      <w:r w:rsidRPr="00B0658A">
        <w:rPr>
          <w:sz w:val="28"/>
        </w:rPr>
        <w:t>ные организационно-технические мероприятия.</w:t>
      </w:r>
    </w:p>
    <w:p w14:paraId="7B757E22" w14:textId="77777777" w:rsidR="00D43326" w:rsidRPr="00B0658A" w:rsidRDefault="00D43326" w:rsidP="00F57B1F">
      <w:pPr>
        <w:pStyle w:val="ConsPlusNormal"/>
        <w:ind w:firstLine="709"/>
        <w:jc w:val="both"/>
        <w:rPr>
          <w:sz w:val="28"/>
        </w:rPr>
      </w:pPr>
      <w:r w:rsidRPr="00B0658A">
        <w:rPr>
          <w:sz w:val="28"/>
        </w:rPr>
        <w:t>99. При описании результатов реализации организационно-технических мероприятий могут быть использованы качественные и количественные индикаторы и показатели.</w:t>
      </w:r>
    </w:p>
    <w:p w14:paraId="6574C779" w14:textId="2032D32B" w:rsidR="00F71274" w:rsidRPr="00B0658A" w:rsidRDefault="00D43326" w:rsidP="00F57B1F">
      <w:pPr>
        <w:pStyle w:val="ConsPlusNormal"/>
        <w:ind w:firstLine="709"/>
        <w:jc w:val="both"/>
        <w:rPr>
          <w:sz w:val="28"/>
        </w:rPr>
      </w:pPr>
      <w:r w:rsidRPr="00B0658A">
        <w:rPr>
          <w:sz w:val="28"/>
        </w:rPr>
        <w:t>100. Для целей перехода на использование российского ПО государственн</w:t>
      </w:r>
      <w:r w:rsidR="00F5350C" w:rsidRPr="00B0658A">
        <w:rPr>
          <w:sz w:val="28"/>
        </w:rPr>
        <w:t>ой</w:t>
      </w:r>
      <w:r w:rsidRPr="00B0658A">
        <w:rPr>
          <w:sz w:val="28"/>
        </w:rPr>
        <w:t xml:space="preserve"> корпораци</w:t>
      </w:r>
      <w:r w:rsidR="00F5350C" w:rsidRPr="00B0658A">
        <w:rPr>
          <w:sz w:val="28"/>
        </w:rPr>
        <w:t>и</w:t>
      </w:r>
      <w:r w:rsidRPr="00B0658A">
        <w:rPr>
          <w:sz w:val="28"/>
        </w:rPr>
        <w:t xml:space="preserve"> и компани</w:t>
      </w:r>
      <w:r w:rsidR="00F5350C" w:rsidRPr="00B0658A">
        <w:rPr>
          <w:sz w:val="28"/>
        </w:rPr>
        <w:t>и</w:t>
      </w:r>
      <w:r w:rsidRPr="00B0658A">
        <w:rPr>
          <w:sz w:val="28"/>
        </w:rPr>
        <w:t xml:space="preserve"> с государственным участием, сведения о которых включены в специальный перечень </w:t>
      </w:r>
      <w:r w:rsidR="00592B14" w:rsidRPr="00B0658A">
        <w:rPr>
          <w:sz w:val="28"/>
        </w:rPr>
        <w:t>№</w:t>
      </w:r>
      <w:r w:rsidR="003378A3">
        <w:rPr>
          <w:sz w:val="28"/>
        </w:rPr>
        <w:t xml:space="preserve"> </w:t>
      </w:r>
      <w:r w:rsidRPr="00B0658A">
        <w:rPr>
          <w:sz w:val="28"/>
        </w:rPr>
        <w:t xml:space="preserve">91-р, </w:t>
      </w:r>
      <w:r w:rsidR="00F5350C" w:rsidRPr="00B0658A">
        <w:rPr>
          <w:sz w:val="28"/>
        </w:rPr>
        <w:t>или</w:t>
      </w:r>
      <w:r w:rsidRPr="00B0658A">
        <w:rPr>
          <w:sz w:val="28"/>
        </w:rPr>
        <w:t xml:space="preserve"> организаци</w:t>
      </w:r>
      <w:r w:rsidR="00F5350C" w:rsidRPr="00B0658A">
        <w:rPr>
          <w:sz w:val="28"/>
        </w:rPr>
        <w:t>и</w:t>
      </w:r>
      <w:r w:rsidRPr="00B0658A">
        <w:rPr>
          <w:sz w:val="28"/>
        </w:rPr>
        <w:t>, включенн</w:t>
      </w:r>
      <w:r w:rsidR="00F5350C" w:rsidRPr="00B0658A">
        <w:rPr>
          <w:sz w:val="28"/>
        </w:rPr>
        <w:t>ой</w:t>
      </w:r>
      <w:r w:rsidRPr="00B0658A">
        <w:rPr>
          <w:sz w:val="28"/>
        </w:rPr>
        <w:t xml:space="preserve"> в расширенный перечень организаций, в отношении котор</w:t>
      </w:r>
      <w:r w:rsidR="00F5350C" w:rsidRPr="00B0658A">
        <w:rPr>
          <w:sz w:val="28"/>
        </w:rPr>
        <w:t>ой</w:t>
      </w:r>
      <w:r w:rsidRPr="00B0658A">
        <w:rPr>
          <w:sz w:val="28"/>
        </w:rPr>
        <w:t xml:space="preserve"> принято решение о необходимости указанными организаци</w:t>
      </w:r>
      <w:r w:rsidR="005D6E04" w:rsidRPr="00B0658A">
        <w:rPr>
          <w:sz w:val="28"/>
        </w:rPr>
        <w:t>ями</w:t>
      </w:r>
      <w:r w:rsidRPr="00B0658A">
        <w:rPr>
          <w:sz w:val="28"/>
        </w:rPr>
        <w:t xml:space="preserve"> разработки стратегий (программ) цифровой трансформации,</w:t>
      </w:r>
      <w:r w:rsidR="00F5350C" w:rsidRPr="00B0658A">
        <w:rPr>
          <w:sz w:val="28"/>
        </w:rPr>
        <w:t xml:space="preserve"> их дочерним и зависимым обществам</w:t>
      </w:r>
      <w:r w:rsidRPr="00B0658A">
        <w:rPr>
          <w:sz w:val="28"/>
        </w:rPr>
        <w:t xml:space="preserve"> рекомендуется организовать работу по включению в единый реестр российского ПО программного обеспечения, используемого указанн</w:t>
      </w:r>
      <w:r w:rsidR="00F5350C" w:rsidRPr="00B0658A">
        <w:rPr>
          <w:sz w:val="28"/>
        </w:rPr>
        <w:t>ой</w:t>
      </w:r>
      <w:r w:rsidRPr="00B0658A">
        <w:rPr>
          <w:sz w:val="28"/>
        </w:rPr>
        <w:t xml:space="preserve"> организаци</w:t>
      </w:r>
      <w:r w:rsidR="00F5350C" w:rsidRPr="00B0658A">
        <w:rPr>
          <w:sz w:val="28"/>
        </w:rPr>
        <w:t>ей</w:t>
      </w:r>
      <w:r w:rsidRPr="00B0658A">
        <w:rPr>
          <w:sz w:val="28"/>
        </w:rPr>
        <w:t xml:space="preserve"> и исключительное право на которое принадлежит указанн</w:t>
      </w:r>
      <w:r w:rsidR="00F5350C" w:rsidRPr="00B0658A">
        <w:rPr>
          <w:sz w:val="28"/>
        </w:rPr>
        <w:t>ой</w:t>
      </w:r>
      <w:r w:rsidRPr="00B0658A">
        <w:rPr>
          <w:sz w:val="28"/>
        </w:rPr>
        <w:t xml:space="preserve"> организаци</w:t>
      </w:r>
      <w:r w:rsidR="00F5350C" w:rsidRPr="00B0658A">
        <w:rPr>
          <w:sz w:val="28"/>
        </w:rPr>
        <w:t>и (их дочерним и зависимым обществам)</w:t>
      </w:r>
      <w:r w:rsidRPr="00B0658A">
        <w:rPr>
          <w:sz w:val="28"/>
        </w:rPr>
        <w:t>, в порядке, предусмотренном законодательством Российской Федерации.</w:t>
      </w:r>
    </w:p>
    <w:p w14:paraId="4C15672A" w14:textId="77777777" w:rsidR="00A864A9" w:rsidRPr="00B0658A" w:rsidRDefault="00D43326" w:rsidP="00F57B1F">
      <w:pPr>
        <w:pStyle w:val="ConsPlusNormal"/>
        <w:ind w:firstLine="709"/>
        <w:jc w:val="both"/>
        <w:rPr>
          <w:sz w:val="28"/>
        </w:rPr>
      </w:pPr>
      <w:r w:rsidRPr="00B0658A">
        <w:rPr>
          <w:sz w:val="28"/>
        </w:rPr>
        <w:t>101. </w:t>
      </w:r>
      <w:r w:rsidR="00A864A9" w:rsidRPr="00B0658A">
        <w:rPr>
          <w:sz w:val="28"/>
        </w:rPr>
        <w:t xml:space="preserve">В целях обеспечения эффективного планирования в части организационно-технических мероприятий перехода на использование российского ПО, в том числе перехода на использование российского ПО на значимых объектах КИИ, </w:t>
      </w:r>
      <w:r w:rsidR="005D6E04" w:rsidRPr="00B0658A">
        <w:rPr>
          <w:sz w:val="28"/>
        </w:rPr>
        <w:t xml:space="preserve">государственным корпорациям и компаниям с государственным участием, сведения о которых включены в специальный перечень </w:t>
      </w:r>
      <w:r w:rsidR="00592B14" w:rsidRPr="00B0658A">
        <w:rPr>
          <w:sz w:val="28"/>
        </w:rPr>
        <w:t>№ </w:t>
      </w:r>
      <w:r w:rsidR="005D6E04" w:rsidRPr="00B0658A">
        <w:rPr>
          <w:sz w:val="28"/>
        </w:rPr>
        <w:t>91-р, а также организациям, включенным в расширенный перечень организаций, в отношении которых принято решение о необходимости указанными организациями разработки стратегий (программ) цифровой трансформации,</w:t>
      </w:r>
      <w:r w:rsidR="00A864A9" w:rsidRPr="00B0658A">
        <w:rPr>
          <w:sz w:val="28"/>
        </w:rPr>
        <w:t xml:space="preserve"> </w:t>
      </w:r>
      <w:r w:rsidR="00026189" w:rsidRPr="00B0658A">
        <w:rPr>
          <w:sz w:val="28"/>
        </w:rPr>
        <w:t xml:space="preserve">их дочерним и зависимым обществам </w:t>
      </w:r>
      <w:r w:rsidR="00A864A9" w:rsidRPr="00B0658A">
        <w:rPr>
          <w:sz w:val="28"/>
        </w:rPr>
        <w:t>рекомендуется:</w:t>
      </w:r>
    </w:p>
    <w:p w14:paraId="6C2399E9" w14:textId="770AA512" w:rsidR="00A864A9" w:rsidRPr="00B0658A" w:rsidRDefault="00A864A9" w:rsidP="00F57B1F">
      <w:pPr>
        <w:pStyle w:val="ConsPlusNormal"/>
        <w:ind w:firstLine="709"/>
        <w:jc w:val="both"/>
        <w:rPr>
          <w:sz w:val="28"/>
        </w:rPr>
      </w:pPr>
      <w:r w:rsidRPr="00B0658A">
        <w:rPr>
          <w:sz w:val="28"/>
        </w:rPr>
        <w:t>а) </w:t>
      </w:r>
      <w:r w:rsidR="003378A3">
        <w:rPr>
          <w:sz w:val="28"/>
        </w:rPr>
        <w:t>с</w:t>
      </w:r>
      <w:r w:rsidRPr="00B0658A">
        <w:rPr>
          <w:sz w:val="28"/>
        </w:rPr>
        <w:t xml:space="preserve">формировать перечень информационных систем, используемых </w:t>
      </w:r>
      <w:r w:rsidR="00544323" w:rsidRPr="00B0658A">
        <w:rPr>
          <w:sz w:val="28"/>
        </w:rPr>
        <w:t xml:space="preserve">государственной корпорацией и компанией с государственным участием, сведения о которой включены в специальный перечень </w:t>
      </w:r>
      <w:r w:rsidR="00592B14" w:rsidRPr="00B0658A">
        <w:rPr>
          <w:sz w:val="28"/>
        </w:rPr>
        <w:t>№ </w:t>
      </w:r>
      <w:r w:rsidR="00544323" w:rsidRPr="00B0658A">
        <w:rPr>
          <w:sz w:val="28"/>
        </w:rPr>
        <w:t>91-р, а также организацией, включенной в расширенный перечень организаций, в отношении которых принято решение о необходимости указанными организациями разработки стратегий (программ) цифровой трансформации</w:t>
      </w:r>
      <w:r w:rsidR="003378A3">
        <w:rPr>
          <w:sz w:val="28"/>
        </w:rPr>
        <w:t>;</w:t>
      </w:r>
    </w:p>
    <w:p w14:paraId="2CD46FD0" w14:textId="5F0C1A46" w:rsidR="00A864A9" w:rsidRPr="00B0658A" w:rsidRDefault="00A864A9" w:rsidP="00F57B1F">
      <w:pPr>
        <w:pStyle w:val="ConsPlusNormal"/>
        <w:ind w:firstLine="709"/>
        <w:jc w:val="both"/>
        <w:rPr>
          <w:sz w:val="28"/>
        </w:rPr>
      </w:pPr>
      <w:r w:rsidRPr="00B0658A">
        <w:rPr>
          <w:sz w:val="28"/>
        </w:rPr>
        <w:t>б) </w:t>
      </w:r>
      <w:r w:rsidR="003378A3">
        <w:rPr>
          <w:sz w:val="28"/>
        </w:rPr>
        <w:t>с</w:t>
      </w:r>
      <w:r w:rsidRPr="00B0658A">
        <w:rPr>
          <w:sz w:val="28"/>
        </w:rPr>
        <w:t>формировать перечень значимых объектов КИИ, которые принадлеж</w:t>
      </w:r>
      <w:r w:rsidR="00BC703C" w:rsidRPr="00B0658A">
        <w:rPr>
          <w:sz w:val="28"/>
        </w:rPr>
        <w:t>а</w:t>
      </w:r>
      <w:r w:rsidRPr="00B0658A">
        <w:rPr>
          <w:sz w:val="28"/>
        </w:rPr>
        <w:t xml:space="preserve">т </w:t>
      </w:r>
      <w:r w:rsidR="00544323" w:rsidRPr="00B0658A">
        <w:rPr>
          <w:sz w:val="28"/>
        </w:rPr>
        <w:t xml:space="preserve">государственной корпорации и компании с государственным участием, сведения о которой включены в специальный перечень </w:t>
      </w:r>
      <w:r w:rsidR="00592B14" w:rsidRPr="00B0658A">
        <w:rPr>
          <w:sz w:val="28"/>
        </w:rPr>
        <w:t>№ </w:t>
      </w:r>
      <w:r w:rsidR="00544323" w:rsidRPr="00B0658A">
        <w:rPr>
          <w:sz w:val="28"/>
        </w:rPr>
        <w:t xml:space="preserve">91-р, а также организации, </w:t>
      </w:r>
      <w:r w:rsidR="00544323" w:rsidRPr="00B0658A">
        <w:rPr>
          <w:sz w:val="28"/>
        </w:rPr>
        <w:lastRenderedPageBreak/>
        <w:t>включенной в расширенный перечень организаций, в отношении которых принято решение о необходимости указанными организациями разработки стратегий (программ) цифровой трансформации</w:t>
      </w:r>
      <w:r w:rsidR="003378A3">
        <w:rPr>
          <w:sz w:val="28"/>
        </w:rPr>
        <w:t>;</w:t>
      </w:r>
    </w:p>
    <w:p w14:paraId="6CD25541" w14:textId="41696E95" w:rsidR="00A864A9" w:rsidRPr="00B0658A" w:rsidRDefault="00A864A9" w:rsidP="00F57B1F">
      <w:pPr>
        <w:pStyle w:val="ConsPlusNormal"/>
        <w:ind w:firstLine="709"/>
        <w:jc w:val="both"/>
        <w:rPr>
          <w:sz w:val="28"/>
        </w:rPr>
      </w:pPr>
      <w:r w:rsidRPr="00B0658A">
        <w:rPr>
          <w:sz w:val="28"/>
        </w:rPr>
        <w:t>в) </w:t>
      </w:r>
      <w:r w:rsidR="003378A3">
        <w:rPr>
          <w:sz w:val="28"/>
        </w:rPr>
        <w:t>о</w:t>
      </w:r>
      <w:r w:rsidRPr="00B0658A">
        <w:rPr>
          <w:sz w:val="28"/>
        </w:rPr>
        <w:t>рганизовать и провести стресс-тестирование используемой информационно-технологической инфраструктуры в части используемого иностранного ПО (далее – стресс-тестирование)</w:t>
      </w:r>
      <w:r w:rsidR="003378A3">
        <w:rPr>
          <w:sz w:val="28"/>
        </w:rPr>
        <w:t>;</w:t>
      </w:r>
    </w:p>
    <w:p w14:paraId="5C1D7E85" w14:textId="2CF69806" w:rsidR="00A864A9" w:rsidRPr="00B0658A" w:rsidRDefault="00A864A9" w:rsidP="00F57B1F">
      <w:pPr>
        <w:pStyle w:val="ConsPlusNormal"/>
        <w:ind w:firstLine="709"/>
        <w:jc w:val="both"/>
        <w:rPr>
          <w:sz w:val="28"/>
        </w:rPr>
      </w:pPr>
      <w:r w:rsidRPr="00B0658A">
        <w:rPr>
          <w:sz w:val="28"/>
        </w:rPr>
        <w:t>г) </w:t>
      </w:r>
      <w:r w:rsidR="003378A3">
        <w:rPr>
          <w:sz w:val="28"/>
        </w:rPr>
        <w:t>п</w:t>
      </w:r>
      <w:r w:rsidRPr="00B0658A">
        <w:rPr>
          <w:sz w:val="28"/>
        </w:rPr>
        <w:t xml:space="preserve">ровести обследование существующей информационно-технологической инфраструктуры, в том числе прикладного ПО информационных систем, значимых объектов КИИ и иных элементов информационно-технологической инфраструктуры, используемых </w:t>
      </w:r>
      <w:r w:rsidR="00544323" w:rsidRPr="00B0658A">
        <w:rPr>
          <w:sz w:val="28"/>
        </w:rPr>
        <w:t xml:space="preserve">государственной корпорацией и компанией с государственным участием, сведения о которой включены в специальный перечень </w:t>
      </w:r>
      <w:r w:rsidR="00592B14" w:rsidRPr="00B0658A">
        <w:rPr>
          <w:sz w:val="28"/>
        </w:rPr>
        <w:t>№ </w:t>
      </w:r>
      <w:r w:rsidR="00544323" w:rsidRPr="00B0658A">
        <w:rPr>
          <w:sz w:val="28"/>
        </w:rPr>
        <w:t>91-р, а также организацией, включенной в расширенный перечень организаций, в отношении которых принято решение о необходимости указанными организациями разработки стратегий (программ) цифровой трансформации</w:t>
      </w:r>
      <w:r w:rsidR="003378A3">
        <w:rPr>
          <w:sz w:val="28"/>
        </w:rPr>
        <w:t>;</w:t>
      </w:r>
    </w:p>
    <w:p w14:paraId="728BA156" w14:textId="3E274F6D" w:rsidR="00A864A9" w:rsidRPr="00B0658A" w:rsidRDefault="00A864A9"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д) </w:t>
      </w:r>
      <w:r w:rsidR="003378A3">
        <w:rPr>
          <w:rFonts w:ascii="Times New Roman" w:hAnsi="Times New Roman"/>
          <w:sz w:val="28"/>
          <w:szCs w:val="24"/>
        </w:rPr>
        <w:t>н</w:t>
      </w:r>
      <w:r w:rsidRPr="00B0658A">
        <w:rPr>
          <w:rFonts w:ascii="Times New Roman" w:hAnsi="Times New Roman"/>
          <w:sz w:val="28"/>
          <w:szCs w:val="24"/>
        </w:rPr>
        <w:t>а основе проведенного обследования и стресс-тестирования существующей информационно-технологической инфраструктуры рекомендуется:</w:t>
      </w:r>
    </w:p>
    <w:p w14:paraId="71B94518" w14:textId="37D26803" w:rsidR="00A864A9" w:rsidRPr="00B0658A" w:rsidRDefault="00A864A9"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определить текущие показатели и характеристики использования ПО, происходящего из иностранных государств, в том числе сформировать перечень такого ПО, определить текущие показатели и характеристики использования ПО, сведения о котором включены в единый реестр российского ПО, и сформировать перечень такого ПО, а также определить текущие показатели и характеристики использования ПО, сведения о котором включены в единый реестр евразийского ПО, и сформировать перечень такого ПО;</w:t>
      </w:r>
    </w:p>
    <w:p w14:paraId="6B9C9670" w14:textId="6083923F" w:rsidR="00A864A9" w:rsidRPr="00B0658A" w:rsidRDefault="00A864A9"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для каждого значимого объекта КИИ определить перечень используемого иностранного ПО, российского ПО и евразийского ПО, определить долю используемого российского и евразийского ПО для каждого значимого объекта КИИ в разрезе классов (типов) ПО;</w:t>
      </w:r>
    </w:p>
    <w:p w14:paraId="7144361A" w14:textId="7240D549" w:rsidR="00A864A9" w:rsidRPr="00B0658A" w:rsidRDefault="00A864A9"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е) </w:t>
      </w:r>
      <w:r w:rsidR="003378A3">
        <w:rPr>
          <w:rFonts w:ascii="Times New Roman" w:hAnsi="Times New Roman"/>
          <w:sz w:val="28"/>
          <w:szCs w:val="24"/>
        </w:rPr>
        <w:t>п</w:t>
      </w:r>
      <w:r w:rsidRPr="00B0658A">
        <w:rPr>
          <w:rFonts w:ascii="Times New Roman" w:hAnsi="Times New Roman"/>
          <w:sz w:val="28"/>
          <w:szCs w:val="24"/>
        </w:rPr>
        <w:t>ровести анализ требований, предъявляемых законодательством Российской Федерации к функционированию различных классов (типов) ПО, в том числе используемого на значимых объектах КИИ, в том числе функциональных требований и требований по обеспечению информационной безопасности</w:t>
      </w:r>
      <w:r w:rsidR="003378A3">
        <w:rPr>
          <w:rFonts w:ascii="Times New Roman" w:hAnsi="Times New Roman"/>
          <w:sz w:val="28"/>
          <w:szCs w:val="24"/>
        </w:rPr>
        <w:t>;</w:t>
      </w:r>
    </w:p>
    <w:p w14:paraId="60DC878B" w14:textId="088F7995" w:rsidR="00A864A9" w:rsidRPr="00B0658A" w:rsidRDefault="00A864A9"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ж) </w:t>
      </w:r>
      <w:r w:rsidR="003378A3">
        <w:rPr>
          <w:rFonts w:ascii="Times New Roman" w:hAnsi="Times New Roman"/>
          <w:sz w:val="28"/>
          <w:szCs w:val="24"/>
        </w:rPr>
        <w:t>п</w:t>
      </w:r>
      <w:r w:rsidRPr="00B0658A">
        <w:rPr>
          <w:rFonts w:ascii="Times New Roman" w:hAnsi="Times New Roman"/>
          <w:sz w:val="28"/>
          <w:szCs w:val="24"/>
        </w:rPr>
        <w:t>ровести анализ сведений о ПО, включенном в единый реестр российского ПО, и сведений о ПО, включенном в единый реестр евразийского ПО, определить предварительный перечень потенциального российского ПО и евразийского ПО, реализующих функции соответствующего ПО, для его дальнейшего применения при переходе на использование российского ПО, в том числе на значимых объектах КИИ</w:t>
      </w:r>
      <w:r w:rsidR="003378A3">
        <w:rPr>
          <w:rFonts w:ascii="Times New Roman" w:hAnsi="Times New Roman"/>
          <w:sz w:val="28"/>
          <w:szCs w:val="24"/>
        </w:rPr>
        <w:t>;</w:t>
      </w:r>
    </w:p>
    <w:p w14:paraId="0748C255" w14:textId="6C5445FB" w:rsidR="00A864A9" w:rsidRPr="00B0658A" w:rsidRDefault="00A864A9"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з) </w:t>
      </w:r>
      <w:r w:rsidR="003378A3">
        <w:rPr>
          <w:rFonts w:ascii="Times New Roman" w:hAnsi="Times New Roman"/>
          <w:sz w:val="28"/>
          <w:szCs w:val="24"/>
        </w:rPr>
        <w:t>п</w:t>
      </w:r>
      <w:r w:rsidRPr="00B0658A">
        <w:rPr>
          <w:rFonts w:ascii="Times New Roman" w:hAnsi="Times New Roman"/>
          <w:sz w:val="28"/>
          <w:szCs w:val="24"/>
        </w:rPr>
        <w:t>ровести анализ текущих сроков амортизации используемых организацией на момент планирования персональных электронных вычислительных машин, устройств терминального доступа, абонентских устройств радиоподвижной связи, программно-аппаратных комплексов, в том числе серверного и иного технологического оборудования, иных средств вычислительной техники и периферийных устройств, а также провести оценку совместимости российского и евразийского ПО с указанным оборудованием и программно-аппаратными комплексами</w:t>
      </w:r>
      <w:r w:rsidR="003378A3">
        <w:rPr>
          <w:rFonts w:ascii="Times New Roman" w:hAnsi="Times New Roman"/>
          <w:sz w:val="28"/>
          <w:szCs w:val="24"/>
        </w:rPr>
        <w:t>;</w:t>
      </w:r>
    </w:p>
    <w:p w14:paraId="0D53DA66" w14:textId="68F63B5E" w:rsidR="00A864A9" w:rsidRPr="00B0658A" w:rsidRDefault="00A864A9"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lastRenderedPageBreak/>
        <w:t>и) </w:t>
      </w:r>
      <w:r w:rsidR="003378A3">
        <w:rPr>
          <w:rFonts w:ascii="Times New Roman" w:hAnsi="Times New Roman"/>
          <w:sz w:val="28"/>
          <w:szCs w:val="24"/>
        </w:rPr>
        <w:t>п</w:t>
      </w:r>
      <w:r w:rsidRPr="00B0658A">
        <w:rPr>
          <w:rFonts w:ascii="Times New Roman" w:hAnsi="Times New Roman"/>
          <w:sz w:val="28"/>
          <w:szCs w:val="24"/>
        </w:rPr>
        <w:t>ровести анализ сроков действия прав на использование ПО и сроков полезного использования нематериальных активов в отношении используемого на момент планирования ПО, сведения о котором не включены в единый реестр российского ПО</w:t>
      </w:r>
      <w:r w:rsidR="003378A3">
        <w:rPr>
          <w:rFonts w:ascii="Times New Roman" w:hAnsi="Times New Roman"/>
          <w:sz w:val="28"/>
          <w:szCs w:val="24"/>
        </w:rPr>
        <w:t>;</w:t>
      </w:r>
    </w:p>
    <w:p w14:paraId="64EE3246" w14:textId="6D3205FA" w:rsidR="00A864A9" w:rsidRPr="00B0658A" w:rsidRDefault="00A864A9"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к) </w:t>
      </w:r>
      <w:r w:rsidR="003378A3">
        <w:rPr>
          <w:rFonts w:ascii="Times New Roman" w:hAnsi="Times New Roman"/>
          <w:sz w:val="28"/>
          <w:szCs w:val="24"/>
        </w:rPr>
        <w:t>в</w:t>
      </w:r>
      <w:r w:rsidRPr="00B0658A">
        <w:rPr>
          <w:rFonts w:ascii="Times New Roman" w:hAnsi="Times New Roman"/>
          <w:sz w:val="28"/>
          <w:szCs w:val="24"/>
        </w:rPr>
        <w:t xml:space="preserve"> части офисного ПО сформировать функциональную классификацию автоматизированных рабочих мест работников и требования к ним в соответствии с установленными в организации должностными функциональными обязанностями работников, требования к офисному ПО на основе применения дифференцированного подхода с учетом сформированной функциональной классификации автоматизированных рабочих мест и функциональных требований, предъявляемых прикладным </w:t>
      </w:r>
      <w:r w:rsidR="00544323" w:rsidRPr="00B0658A">
        <w:rPr>
          <w:rFonts w:ascii="Times New Roman" w:hAnsi="Times New Roman"/>
          <w:sz w:val="28"/>
          <w:szCs w:val="24"/>
        </w:rPr>
        <w:t>ПО</w:t>
      </w:r>
      <w:r w:rsidRPr="00B0658A">
        <w:rPr>
          <w:rFonts w:ascii="Times New Roman" w:hAnsi="Times New Roman"/>
          <w:sz w:val="28"/>
          <w:szCs w:val="24"/>
        </w:rPr>
        <w:t xml:space="preserve"> информационных систем</w:t>
      </w:r>
      <w:r w:rsidR="003378A3">
        <w:rPr>
          <w:rFonts w:ascii="Times New Roman" w:hAnsi="Times New Roman"/>
          <w:sz w:val="28"/>
          <w:szCs w:val="24"/>
        </w:rPr>
        <w:t>;</w:t>
      </w:r>
      <w:r w:rsidRPr="00B0658A">
        <w:rPr>
          <w:rFonts w:ascii="Times New Roman" w:hAnsi="Times New Roman"/>
          <w:sz w:val="28"/>
          <w:szCs w:val="24"/>
        </w:rPr>
        <w:t xml:space="preserve"> </w:t>
      </w:r>
    </w:p>
    <w:p w14:paraId="210BA29D" w14:textId="317C54A6" w:rsidR="00A864A9" w:rsidRPr="00B0658A" w:rsidRDefault="00A864A9"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л) </w:t>
      </w:r>
      <w:r w:rsidR="003378A3">
        <w:rPr>
          <w:rFonts w:ascii="Times New Roman" w:hAnsi="Times New Roman"/>
          <w:sz w:val="28"/>
          <w:szCs w:val="24"/>
        </w:rPr>
        <w:t>п</w:t>
      </w:r>
      <w:r w:rsidRPr="00B0658A">
        <w:rPr>
          <w:rFonts w:ascii="Times New Roman" w:hAnsi="Times New Roman"/>
          <w:sz w:val="28"/>
          <w:szCs w:val="24"/>
        </w:rPr>
        <w:t xml:space="preserve">ровести анализ планов закупки ПО, в том числе закупки прав на использование ПО и закупки технической поддержки (обновлений) ПО, сведения о котором не включены в единый реестр российского ПО, на последующие периоды, и провести их корректировку с учетом задач по переходу на использование российского ПО и формируемой системы показателей </w:t>
      </w:r>
      <w:r w:rsidR="00266F3C" w:rsidRPr="00B0658A">
        <w:rPr>
          <w:rFonts w:ascii="Times New Roman" w:hAnsi="Times New Roman"/>
          <w:sz w:val="28"/>
          <w:szCs w:val="24"/>
        </w:rPr>
        <w:t xml:space="preserve">эффективности </w:t>
      </w:r>
      <w:r w:rsidRPr="00B0658A">
        <w:rPr>
          <w:rFonts w:ascii="Times New Roman" w:hAnsi="Times New Roman"/>
          <w:sz w:val="28"/>
          <w:szCs w:val="24"/>
        </w:rPr>
        <w:t>и соответствующих им значений индикаторов эффективности перехода на использование российского ПО</w:t>
      </w:r>
      <w:r w:rsidR="003378A3">
        <w:rPr>
          <w:rFonts w:ascii="Times New Roman" w:hAnsi="Times New Roman"/>
          <w:sz w:val="28"/>
          <w:szCs w:val="24"/>
        </w:rPr>
        <w:t>;</w:t>
      </w:r>
    </w:p>
    <w:p w14:paraId="566A2C30" w14:textId="2B67E8A3" w:rsidR="00A864A9" w:rsidRPr="00B0658A" w:rsidRDefault="00A864A9"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м) </w:t>
      </w:r>
      <w:r w:rsidR="003378A3">
        <w:rPr>
          <w:rFonts w:ascii="Times New Roman" w:hAnsi="Times New Roman"/>
          <w:sz w:val="28"/>
          <w:szCs w:val="24"/>
        </w:rPr>
        <w:t>р</w:t>
      </w:r>
      <w:r w:rsidRPr="00B0658A">
        <w:rPr>
          <w:rFonts w:ascii="Times New Roman" w:hAnsi="Times New Roman"/>
          <w:sz w:val="28"/>
          <w:szCs w:val="24"/>
        </w:rPr>
        <w:t xml:space="preserve">еализовать мероприятия, направленные на уточнение используемых организацией программно-технических решений </w:t>
      </w:r>
      <w:r w:rsidR="00266F3C" w:rsidRPr="00B0658A">
        <w:rPr>
          <w:rFonts w:ascii="Times New Roman" w:hAnsi="Times New Roman"/>
          <w:sz w:val="28"/>
          <w:szCs w:val="24"/>
        </w:rPr>
        <w:t xml:space="preserve">и программного обеспечения </w:t>
      </w:r>
      <w:r w:rsidRPr="00B0658A">
        <w:rPr>
          <w:rFonts w:ascii="Times New Roman" w:hAnsi="Times New Roman"/>
          <w:sz w:val="28"/>
          <w:szCs w:val="24"/>
        </w:rPr>
        <w:t>в связи с переходом на использование российского ПО, в рамках которых, в том числе:</w:t>
      </w:r>
    </w:p>
    <w:p w14:paraId="422E0E65" w14:textId="70EF3F97" w:rsidR="00A864A9" w:rsidRPr="00B0658A" w:rsidRDefault="00A864A9"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 xml:space="preserve">провести анализ общесистемного и прикладного ПО, </w:t>
      </w:r>
      <w:r w:rsidR="00266F3C" w:rsidRPr="00B0658A">
        <w:rPr>
          <w:rFonts w:ascii="Times New Roman" w:hAnsi="Times New Roman"/>
          <w:sz w:val="28"/>
          <w:szCs w:val="24"/>
        </w:rPr>
        <w:t xml:space="preserve">программно-аппаратных комплексов, </w:t>
      </w:r>
      <w:r w:rsidRPr="00B0658A">
        <w:rPr>
          <w:rFonts w:ascii="Times New Roman" w:hAnsi="Times New Roman"/>
          <w:sz w:val="28"/>
          <w:szCs w:val="24"/>
        </w:rPr>
        <w:t>используем</w:t>
      </w:r>
      <w:r w:rsidR="00266F3C" w:rsidRPr="00B0658A">
        <w:rPr>
          <w:rFonts w:ascii="Times New Roman" w:hAnsi="Times New Roman"/>
          <w:sz w:val="28"/>
          <w:szCs w:val="24"/>
        </w:rPr>
        <w:t>ых организацией</w:t>
      </w:r>
      <w:r w:rsidRPr="00B0658A">
        <w:rPr>
          <w:rFonts w:ascii="Times New Roman" w:hAnsi="Times New Roman"/>
          <w:sz w:val="28"/>
          <w:szCs w:val="24"/>
        </w:rPr>
        <w:t xml:space="preserve"> на значимых объектах КИИ и на иных объектах информационно-технологической инфраструктуры;</w:t>
      </w:r>
    </w:p>
    <w:p w14:paraId="7BEB142D" w14:textId="5FEC41D3" w:rsidR="00A864A9" w:rsidRPr="00B0658A" w:rsidRDefault="00A864A9"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сформировать требования к функциональным, техническим, эксплуатационным характеристикам, предъявляемым к персональным электронным вычислительным машинам, устройствам терминального доступа, абонентским устройствам радиоподвижной связи, программно-аппаратным комплексам, в том числе серверному и иному технологическому оборудованию, иным средствам вычислительной техники и периферийным устройствам, планируемым к закупке в последующие периоды с учетом необходимости обеспечения совместимости с российским ПО и евразийским ПО (для использования на значимых объектах КИИ). Указанные требования рекомендуется направить в Минцифры России;</w:t>
      </w:r>
    </w:p>
    <w:p w14:paraId="0471FA3D" w14:textId="2BCE6D06" w:rsidR="00A864A9" w:rsidRPr="00B0658A" w:rsidRDefault="00A864A9"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определить требования к функциональным, техническим и эксплуатационным характеристикам, предъявляемым к различным классам (типам) ПО (для каждого класса (типа) ПО) со стороны прикладного ПО информационных систем</w:t>
      </w:r>
      <w:r w:rsidR="00950440" w:rsidRPr="00B0658A">
        <w:rPr>
          <w:rFonts w:ascii="Times New Roman" w:hAnsi="Times New Roman"/>
          <w:sz w:val="28"/>
          <w:szCs w:val="24"/>
        </w:rPr>
        <w:t xml:space="preserve"> и иных компонентов информационно-технологической инфраструктуры</w:t>
      </w:r>
      <w:r w:rsidRPr="00B0658A">
        <w:rPr>
          <w:rFonts w:ascii="Times New Roman" w:hAnsi="Times New Roman"/>
          <w:sz w:val="28"/>
          <w:szCs w:val="24"/>
        </w:rPr>
        <w:t>. Указанные требования рекомендуется направить в Минцифры России;</w:t>
      </w:r>
    </w:p>
    <w:p w14:paraId="23999B40" w14:textId="73AF14C0" w:rsidR="00A864A9" w:rsidRPr="00B0658A" w:rsidRDefault="00A864A9"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 xml:space="preserve">провести функциональное и иные виды тестирования российского и евразийского ПО для целей подтверждения соответствия указанного ПО определенным требованиям к функциональным, техническим и эксплуатационным характеристикам ПО, а также оценки совместимости прикладного ПО информационных систем </w:t>
      </w:r>
      <w:r w:rsidR="00A52A31" w:rsidRPr="00B0658A">
        <w:rPr>
          <w:rFonts w:ascii="Times New Roman" w:hAnsi="Times New Roman"/>
          <w:sz w:val="28"/>
          <w:szCs w:val="24"/>
        </w:rPr>
        <w:t xml:space="preserve">и иных компонентов информационно-технологической инфраструктуры </w:t>
      </w:r>
      <w:r w:rsidRPr="00B0658A">
        <w:rPr>
          <w:rFonts w:ascii="Times New Roman" w:hAnsi="Times New Roman"/>
          <w:sz w:val="28"/>
          <w:szCs w:val="24"/>
        </w:rPr>
        <w:t>с российским и евразийским ПО;</w:t>
      </w:r>
    </w:p>
    <w:p w14:paraId="56E5BCB7" w14:textId="50391C3F" w:rsidR="00A864A9" w:rsidRPr="00B0658A" w:rsidRDefault="00A864A9"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lastRenderedPageBreak/>
        <w:t>определить уточненный перечень российского ПО, евразийского ПО и российских программно-технических решений для применения при переходе на использование российского ПО, в том числе на значимых объектах КИИ;</w:t>
      </w:r>
    </w:p>
    <w:p w14:paraId="4685A9D9" w14:textId="44D5E60F" w:rsidR="00A864A9" w:rsidRPr="00B0658A" w:rsidRDefault="00A864A9"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 xml:space="preserve">определить факторы и барьеры, препятствующие на момент планирования переходу на использование российского ПО (для соответствующих классов (типов) ПО), провести оценку необходимости и объемов доработки прикладного ПО информационных систем </w:t>
      </w:r>
      <w:r w:rsidR="00890AD8" w:rsidRPr="00B0658A">
        <w:rPr>
          <w:rFonts w:ascii="Times New Roman" w:hAnsi="Times New Roman"/>
          <w:sz w:val="28"/>
          <w:szCs w:val="24"/>
        </w:rPr>
        <w:t xml:space="preserve">и иных компонентов информационно-технологической инфраструктуры </w:t>
      </w:r>
      <w:r w:rsidRPr="00B0658A">
        <w:rPr>
          <w:rFonts w:ascii="Times New Roman" w:hAnsi="Times New Roman"/>
          <w:sz w:val="28"/>
          <w:szCs w:val="24"/>
        </w:rPr>
        <w:t>с целью обеспечения совместимости с российским ПО и (или) евразийским ПО (для использования на значимых объектах КИИ). Выявленные факторы и барьеры рекомендуется направить в Минцифры России;</w:t>
      </w:r>
    </w:p>
    <w:p w14:paraId="10D1BCDB" w14:textId="1513960A" w:rsidR="00A864A9" w:rsidRPr="00B0658A" w:rsidRDefault="00A864A9"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сформировать перечень задач и мероприятий, направленных на устранение факторов и барьеров, препятствующих переходу на использование российского ПО, а также на обеспечение совместимости прикладного ПО</w:t>
      </w:r>
      <w:r w:rsidR="00E91BEF" w:rsidRPr="00B0658A">
        <w:rPr>
          <w:rFonts w:ascii="Times New Roman" w:hAnsi="Times New Roman"/>
          <w:sz w:val="28"/>
          <w:szCs w:val="24"/>
        </w:rPr>
        <w:t xml:space="preserve"> информационных систем и иных компонентов информационно-технологической инфраструктуры, используемых</w:t>
      </w:r>
      <w:r w:rsidRPr="00B0658A">
        <w:rPr>
          <w:rFonts w:ascii="Times New Roman" w:hAnsi="Times New Roman"/>
          <w:sz w:val="28"/>
          <w:szCs w:val="24"/>
        </w:rPr>
        <w:t xml:space="preserve"> организацией, с российским ПО и евразийским ПО (для использования на значимых объектах КИИ)</w:t>
      </w:r>
      <w:r w:rsidR="003378A3">
        <w:rPr>
          <w:rFonts w:ascii="Times New Roman" w:hAnsi="Times New Roman"/>
          <w:sz w:val="28"/>
          <w:szCs w:val="24"/>
        </w:rPr>
        <w:t>;</w:t>
      </w:r>
    </w:p>
    <w:p w14:paraId="5946DAEC" w14:textId="472F6CCC" w:rsidR="00A864A9" w:rsidRPr="00B0658A" w:rsidRDefault="00A864A9"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н) </w:t>
      </w:r>
      <w:r w:rsidR="003378A3">
        <w:rPr>
          <w:rFonts w:ascii="Times New Roman" w:hAnsi="Times New Roman"/>
          <w:sz w:val="28"/>
          <w:szCs w:val="24"/>
        </w:rPr>
        <w:t>п</w:t>
      </w:r>
      <w:r w:rsidRPr="00B0658A">
        <w:rPr>
          <w:rFonts w:ascii="Times New Roman" w:hAnsi="Times New Roman"/>
          <w:sz w:val="28"/>
          <w:szCs w:val="24"/>
        </w:rPr>
        <w:t>ровести оценку требуемых временных и финансовых ресурсов для реализации задач по переходу на использование российского ПО, разработать необходимые финансово-экономические и технико-экономические обоснования;</w:t>
      </w:r>
    </w:p>
    <w:p w14:paraId="0E4986E0" w14:textId="15173E2D" w:rsidR="00A864A9" w:rsidRPr="00B0658A" w:rsidRDefault="00A864A9"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о) </w:t>
      </w:r>
      <w:r w:rsidR="003378A3">
        <w:rPr>
          <w:rFonts w:ascii="Times New Roman" w:hAnsi="Times New Roman"/>
          <w:sz w:val="28"/>
          <w:szCs w:val="24"/>
        </w:rPr>
        <w:t>п</w:t>
      </w:r>
      <w:r w:rsidRPr="00B0658A">
        <w:rPr>
          <w:rFonts w:ascii="Times New Roman" w:hAnsi="Times New Roman"/>
          <w:sz w:val="28"/>
          <w:szCs w:val="24"/>
        </w:rPr>
        <w:t>ровести оценку достаточности имеющихся в распоряжении организации ресурсов, необходимых для обеспечения перехода на использование российского ПО в установленные сроки и для достижения установленных целевых показателей, в том числе для целей модернизации прикладного ПО информационных систем</w:t>
      </w:r>
      <w:r w:rsidR="00E91BEF" w:rsidRPr="00B0658A">
        <w:rPr>
          <w:rFonts w:ascii="Times New Roman" w:hAnsi="Times New Roman"/>
          <w:sz w:val="28"/>
          <w:szCs w:val="24"/>
        </w:rPr>
        <w:t xml:space="preserve"> и иных компонентов информационно-технологической инфраструктуры</w:t>
      </w:r>
      <w:r w:rsidRPr="00B0658A">
        <w:rPr>
          <w:rFonts w:ascii="Times New Roman" w:hAnsi="Times New Roman"/>
          <w:sz w:val="28"/>
          <w:szCs w:val="24"/>
        </w:rPr>
        <w:t xml:space="preserve">. При этом при оценке достаточности ресурсов </w:t>
      </w:r>
      <w:r w:rsidR="00544323" w:rsidRPr="00B0658A">
        <w:rPr>
          <w:rFonts w:ascii="Times New Roman" w:hAnsi="Times New Roman"/>
          <w:sz w:val="28"/>
          <w:szCs w:val="24"/>
        </w:rPr>
        <w:t xml:space="preserve">государственным корпорациям и компаниям с государственным участием, сведения о которых включены в специальный перечень </w:t>
      </w:r>
      <w:r w:rsidR="00592B14" w:rsidRPr="00B0658A">
        <w:rPr>
          <w:rFonts w:ascii="Times New Roman" w:hAnsi="Times New Roman"/>
          <w:sz w:val="28"/>
          <w:szCs w:val="24"/>
        </w:rPr>
        <w:t>№ </w:t>
      </w:r>
      <w:r w:rsidR="00544323" w:rsidRPr="00B0658A">
        <w:rPr>
          <w:rFonts w:ascii="Times New Roman" w:hAnsi="Times New Roman"/>
          <w:sz w:val="28"/>
          <w:szCs w:val="24"/>
        </w:rPr>
        <w:t xml:space="preserve">91-р, а также организациям, включенным в расширенный перечень организаций, в отношении которых принято решение о необходимости указанными организациями разработки стратегий (программ) цифровой трансформации, </w:t>
      </w:r>
      <w:r w:rsidR="000803DD" w:rsidRPr="00B0658A">
        <w:rPr>
          <w:rFonts w:ascii="Times New Roman" w:hAnsi="Times New Roman"/>
          <w:sz w:val="28"/>
          <w:szCs w:val="24"/>
        </w:rPr>
        <w:t xml:space="preserve">их дочерних и зависимых обществам </w:t>
      </w:r>
      <w:r w:rsidRPr="00B0658A">
        <w:rPr>
          <w:rFonts w:ascii="Times New Roman" w:hAnsi="Times New Roman"/>
          <w:sz w:val="28"/>
          <w:szCs w:val="24"/>
        </w:rPr>
        <w:t>рекомендуется:</w:t>
      </w:r>
    </w:p>
    <w:p w14:paraId="35C7EB82" w14:textId="7087A057" w:rsidR="00A864A9" w:rsidRPr="00B0658A" w:rsidRDefault="00A864A9"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 xml:space="preserve">провести оптимизацию текущих </w:t>
      </w:r>
      <w:r w:rsidR="00266F3C" w:rsidRPr="00B0658A">
        <w:rPr>
          <w:rFonts w:ascii="Times New Roman" w:hAnsi="Times New Roman"/>
          <w:sz w:val="28"/>
          <w:szCs w:val="24"/>
        </w:rPr>
        <w:t xml:space="preserve">и планируемых </w:t>
      </w:r>
      <w:r w:rsidRPr="00B0658A">
        <w:rPr>
          <w:rFonts w:ascii="Times New Roman" w:hAnsi="Times New Roman"/>
          <w:sz w:val="28"/>
          <w:szCs w:val="24"/>
        </w:rPr>
        <w:t xml:space="preserve">эксплуатационных расходов на </w:t>
      </w:r>
      <w:r w:rsidR="000803DD" w:rsidRPr="00B0658A">
        <w:rPr>
          <w:rFonts w:ascii="Times New Roman" w:hAnsi="Times New Roman"/>
          <w:sz w:val="28"/>
          <w:szCs w:val="24"/>
        </w:rPr>
        <w:t>ИКТ</w:t>
      </w:r>
      <w:r w:rsidRPr="00B0658A">
        <w:rPr>
          <w:rFonts w:ascii="Times New Roman" w:hAnsi="Times New Roman"/>
          <w:sz w:val="28"/>
          <w:szCs w:val="24"/>
        </w:rPr>
        <w:t>;</w:t>
      </w:r>
    </w:p>
    <w:p w14:paraId="51A2B38A" w14:textId="092E63DF" w:rsidR="00A864A9" w:rsidRPr="00B0658A" w:rsidRDefault="00A864A9"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 xml:space="preserve">провести оптимизацию текущих </w:t>
      </w:r>
      <w:r w:rsidR="00266F3C" w:rsidRPr="00B0658A">
        <w:rPr>
          <w:rFonts w:ascii="Times New Roman" w:hAnsi="Times New Roman"/>
          <w:sz w:val="28"/>
          <w:szCs w:val="24"/>
        </w:rPr>
        <w:t xml:space="preserve">и планируемых </w:t>
      </w:r>
      <w:r w:rsidRPr="00B0658A">
        <w:rPr>
          <w:rFonts w:ascii="Times New Roman" w:hAnsi="Times New Roman"/>
          <w:sz w:val="28"/>
          <w:szCs w:val="24"/>
        </w:rPr>
        <w:t>расходов на развитие существующих информационных систем</w:t>
      </w:r>
      <w:r w:rsidR="00E91BEF" w:rsidRPr="00B0658A">
        <w:rPr>
          <w:rFonts w:ascii="Times New Roman" w:hAnsi="Times New Roman"/>
          <w:sz w:val="28"/>
          <w:szCs w:val="24"/>
        </w:rPr>
        <w:t xml:space="preserve"> и иных компонентов информационно-технологической инфраструктуры</w:t>
      </w:r>
      <w:r w:rsidRPr="00B0658A">
        <w:rPr>
          <w:rFonts w:ascii="Times New Roman" w:hAnsi="Times New Roman"/>
          <w:sz w:val="28"/>
          <w:szCs w:val="24"/>
        </w:rPr>
        <w:t>, функционирующих на базе иностранных ИТ-платформ и иностранных ИТ-решений;</w:t>
      </w:r>
    </w:p>
    <w:p w14:paraId="69CEA2C0" w14:textId="5D8F1536" w:rsidR="00A864A9" w:rsidRPr="00B0658A" w:rsidRDefault="00A864A9"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провести оптимизацию расходов, в том числе расходов на закупку нового ИКТ-оборудования и создание новых центров обработки данных, на вычислительную и телекоммуникационную инфраструктуру, обеспечивающую функционирование информационных систем, в том числе с учетом возможностей, предоставляемых в рамках единой цифровой платформы Российской Федерации «ГосТех», государственной единой облачной платформы, возможностей, связанных с переходом на использование «сервисной модели» при возникновении потребности в вычислительных ресурсах и программно-аппаратных комплексов</w:t>
      </w:r>
      <w:r w:rsidR="003378A3">
        <w:rPr>
          <w:rFonts w:ascii="Times New Roman" w:hAnsi="Times New Roman"/>
          <w:sz w:val="28"/>
          <w:szCs w:val="24"/>
        </w:rPr>
        <w:t>;</w:t>
      </w:r>
    </w:p>
    <w:p w14:paraId="374695FD" w14:textId="100736AC" w:rsidR="00A864A9" w:rsidRPr="00B0658A" w:rsidRDefault="00A864A9"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lastRenderedPageBreak/>
        <w:t>п) </w:t>
      </w:r>
      <w:r w:rsidR="003378A3">
        <w:rPr>
          <w:rFonts w:ascii="Times New Roman" w:hAnsi="Times New Roman"/>
          <w:sz w:val="28"/>
          <w:szCs w:val="24"/>
        </w:rPr>
        <w:t>с</w:t>
      </w:r>
      <w:r w:rsidRPr="00B0658A">
        <w:rPr>
          <w:rFonts w:ascii="Times New Roman" w:hAnsi="Times New Roman"/>
          <w:sz w:val="28"/>
          <w:szCs w:val="24"/>
        </w:rPr>
        <w:t xml:space="preserve"> учетом проведенной оценки требуемых временных и финансовых ресурсов, оценки достаточности имеющихся финансовых ресурсов с учетом проведенной оптимизации расходов на ИКТ </w:t>
      </w:r>
      <w:r w:rsidR="00092E68" w:rsidRPr="00B0658A">
        <w:rPr>
          <w:rFonts w:ascii="Times New Roman" w:hAnsi="Times New Roman"/>
          <w:sz w:val="28"/>
          <w:szCs w:val="24"/>
        </w:rPr>
        <w:t xml:space="preserve">государственным корпорациям и компаниям с государственным участием, сведения о которых включены в специальный перечень </w:t>
      </w:r>
      <w:r w:rsidR="00592B14" w:rsidRPr="00B0658A">
        <w:rPr>
          <w:rFonts w:ascii="Times New Roman" w:hAnsi="Times New Roman"/>
          <w:sz w:val="28"/>
          <w:szCs w:val="24"/>
        </w:rPr>
        <w:t>№ </w:t>
      </w:r>
      <w:r w:rsidR="00092E68" w:rsidRPr="00B0658A">
        <w:rPr>
          <w:rFonts w:ascii="Times New Roman" w:hAnsi="Times New Roman"/>
          <w:sz w:val="28"/>
          <w:szCs w:val="24"/>
        </w:rPr>
        <w:t xml:space="preserve">91-р, а также организациям, включенным в расширенный перечень организаций, в отношении которых принято решение о необходимости указанными организациями разработки стратегий (программ) цифровой трансформации, </w:t>
      </w:r>
      <w:r w:rsidRPr="00B0658A">
        <w:rPr>
          <w:rFonts w:ascii="Times New Roman" w:hAnsi="Times New Roman"/>
          <w:sz w:val="28"/>
          <w:szCs w:val="24"/>
        </w:rPr>
        <w:t>рекомендуется:</w:t>
      </w:r>
    </w:p>
    <w:p w14:paraId="29F4D684" w14:textId="024A6878" w:rsidR="00A864A9" w:rsidRPr="00B0658A" w:rsidRDefault="00A864A9"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 xml:space="preserve">внести необходимые изменения в программы (проекты) организации, связанные с развитием </w:t>
      </w:r>
      <w:r w:rsidR="000803DD" w:rsidRPr="00B0658A">
        <w:rPr>
          <w:rFonts w:ascii="Times New Roman" w:hAnsi="Times New Roman"/>
          <w:sz w:val="28"/>
          <w:szCs w:val="24"/>
        </w:rPr>
        <w:t>ИКТ</w:t>
      </w:r>
      <w:r w:rsidRPr="00B0658A">
        <w:rPr>
          <w:rFonts w:ascii="Times New Roman" w:hAnsi="Times New Roman"/>
          <w:sz w:val="28"/>
          <w:szCs w:val="24"/>
        </w:rPr>
        <w:t>;</w:t>
      </w:r>
    </w:p>
    <w:p w14:paraId="30D643FF" w14:textId="0440E099" w:rsidR="00A864A9" w:rsidRPr="00B0658A" w:rsidRDefault="00A864A9"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при отсутствии имеющегося в организации достаточного объема финансовых ресурсов проработать вопросы, связанные с иными источниками финансового обеспечения процессов перехода на использование российского ПО</w:t>
      </w:r>
      <w:r w:rsidR="003378A3">
        <w:rPr>
          <w:rFonts w:ascii="Times New Roman" w:hAnsi="Times New Roman"/>
          <w:sz w:val="28"/>
          <w:szCs w:val="24"/>
        </w:rPr>
        <w:t>;</w:t>
      </w:r>
    </w:p>
    <w:p w14:paraId="26FB5066" w14:textId="39B9E3F0" w:rsidR="00F71274" w:rsidRPr="00B0658A" w:rsidRDefault="00A864A9" w:rsidP="00F57B1F">
      <w:pPr>
        <w:spacing w:after="0" w:line="240" w:lineRule="auto"/>
        <w:ind w:firstLine="720"/>
        <w:jc w:val="both"/>
        <w:rPr>
          <w:rFonts w:ascii="Times New Roman" w:hAnsi="Times New Roman"/>
          <w:sz w:val="28"/>
          <w:szCs w:val="24"/>
        </w:rPr>
      </w:pPr>
      <w:r w:rsidRPr="00B0658A">
        <w:rPr>
          <w:rFonts w:ascii="Times New Roman" w:hAnsi="Times New Roman"/>
          <w:sz w:val="28"/>
          <w:szCs w:val="24"/>
        </w:rPr>
        <w:t>р) </w:t>
      </w:r>
      <w:r w:rsidR="003378A3">
        <w:rPr>
          <w:rFonts w:ascii="Times New Roman" w:hAnsi="Times New Roman"/>
          <w:sz w:val="28"/>
          <w:szCs w:val="24"/>
        </w:rPr>
        <w:t>в</w:t>
      </w:r>
      <w:r w:rsidRPr="00B0658A">
        <w:rPr>
          <w:rFonts w:ascii="Times New Roman" w:hAnsi="Times New Roman"/>
          <w:sz w:val="28"/>
          <w:szCs w:val="24"/>
        </w:rPr>
        <w:t xml:space="preserve"> случае, если в процессе тестирования российского ПО и евразийского ПО и уточнения программно-технических решений будет определено, что в указанном ПО отсутствует ряд критически важных технологий и функций, которые при этом не могут быть реализованы путем использования комбинации ПО или реализации организационно-технических мер, рекомендуется организовать взаимодействие с Отраслевым комитетом по развитию общесистемного и прикладного ПО, иными Индустриальными центрами компетенций по замещению зарубежных отраслевых продуктов и решений в ключевых отраслях экономики (при необходимости), а также с Центрами компетенций по развитию российского общесистемного и прикладного программного обеспечения, производителями российского ПО и евразийского ПО для целей организации развития и доработки указанного ПО</w:t>
      </w:r>
      <w:r w:rsidR="003378A3">
        <w:rPr>
          <w:rFonts w:ascii="Times New Roman" w:hAnsi="Times New Roman"/>
          <w:sz w:val="28"/>
          <w:szCs w:val="24"/>
        </w:rPr>
        <w:t>;</w:t>
      </w:r>
    </w:p>
    <w:p w14:paraId="12482CD4" w14:textId="67231C02" w:rsidR="00266F3C" w:rsidRPr="00B0658A" w:rsidRDefault="00266F3C" w:rsidP="00F57B1F">
      <w:pPr>
        <w:spacing w:after="0" w:line="240" w:lineRule="auto"/>
        <w:ind w:firstLine="720"/>
        <w:jc w:val="both"/>
        <w:rPr>
          <w:rFonts w:ascii="Times New Roman" w:hAnsi="Times New Roman"/>
          <w:sz w:val="28"/>
          <w:szCs w:val="24"/>
        </w:rPr>
      </w:pPr>
      <w:r w:rsidRPr="00B0658A">
        <w:rPr>
          <w:rFonts w:ascii="Times New Roman" w:hAnsi="Times New Roman"/>
          <w:sz w:val="28"/>
          <w:szCs w:val="24"/>
        </w:rPr>
        <w:t>с) </w:t>
      </w:r>
      <w:r w:rsidR="003378A3">
        <w:rPr>
          <w:rFonts w:ascii="Times New Roman" w:hAnsi="Times New Roman"/>
          <w:sz w:val="28"/>
          <w:szCs w:val="24"/>
        </w:rPr>
        <w:t>п</w:t>
      </w:r>
      <w:r w:rsidRPr="00B0658A">
        <w:rPr>
          <w:rFonts w:ascii="Times New Roman" w:hAnsi="Times New Roman"/>
          <w:sz w:val="28"/>
          <w:szCs w:val="24"/>
        </w:rPr>
        <w:t>редусмотреть мероприятия, направленные на обучение работников организации, в том числе работников, ответственных за вопросы функционирования информационно-технологической и телекоммуникационной инфраструктуры, по использованию российского и евразийского ПО.</w:t>
      </w:r>
    </w:p>
    <w:p w14:paraId="75EC7756" w14:textId="7359B38C" w:rsidR="00092E68" w:rsidRPr="00B0658A" w:rsidRDefault="00092E68" w:rsidP="00F57B1F">
      <w:pPr>
        <w:spacing w:after="0" w:line="240" w:lineRule="auto"/>
        <w:ind w:firstLine="720"/>
        <w:jc w:val="both"/>
        <w:rPr>
          <w:rFonts w:ascii="Times New Roman" w:hAnsi="Times New Roman"/>
          <w:sz w:val="28"/>
          <w:szCs w:val="24"/>
        </w:rPr>
      </w:pPr>
      <w:r w:rsidRPr="00B0658A">
        <w:rPr>
          <w:rFonts w:ascii="Times New Roman" w:hAnsi="Times New Roman"/>
          <w:sz w:val="28"/>
          <w:szCs w:val="24"/>
        </w:rPr>
        <w:t xml:space="preserve">102. Государственным корпорациям и компаниям с государственным участием, сведения о которых включены в специальный перечень </w:t>
      </w:r>
      <w:r w:rsidR="00592B14" w:rsidRPr="00B0658A">
        <w:rPr>
          <w:rFonts w:ascii="Times New Roman" w:hAnsi="Times New Roman"/>
          <w:sz w:val="28"/>
          <w:szCs w:val="24"/>
        </w:rPr>
        <w:t>№</w:t>
      </w:r>
      <w:r w:rsidR="003378A3">
        <w:rPr>
          <w:rFonts w:ascii="Times New Roman" w:hAnsi="Times New Roman"/>
          <w:sz w:val="28"/>
          <w:szCs w:val="24"/>
        </w:rPr>
        <w:t xml:space="preserve"> </w:t>
      </w:r>
      <w:r w:rsidRPr="00B0658A">
        <w:rPr>
          <w:rFonts w:ascii="Times New Roman" w:hAnsi="Times New Roman"/>
          <w:sz w:val="28"/>
          <w:szCs w:val="24"/>
        </w:rPr>
        <w:t>91-р, а также организациям, включенным в расширенный перечень организаций, в отношении которых принято решение о необходимости указанными организациями разработки стратегий (программ) цифровой трансформации, также рекомендуется:</w:t>
      </w:r>
    </w:p>
    <w:p w14:paraId="0BAB1289" w14:textId="769568B7" w:rsidR="00092E68" w:rsidRPr="00B0658A" w:rsidRDefault="00092E68"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а) </w:t>
      </w:r>
      <w:r w:rsidR="003378A3">
        <w:rPr>
          <w:rFonts w:ascii="Times New Roman" w:hAnsi="Times New Roman"/>
          <w:sz w:val="28"/>
          <w:szCs w:val="24"/>
        </w:rPr>
        <w:t>с</w:t>
      </w:r>
      <w:r w:rsidRPr="00B0658A">
        <w:rPr>
          <w:rFonts w:ascii="Times New Roman" w:hAnsi="Times New Roman"/>
          <w:sz w:val="28"/>
          <w:szCs w:val="24"/>
        </w:rPr>
        <w:t xml:space="preserve"> 1 января 2023 г</w:t>
      </w:r>
      <w:r w:rsidR="003378A3">
        <w:rPr>
          <w:rFonts w:ascii="Times New Roman" w:hAnsi="Times New Roman"/>
          <w:sz w:val="28"/>
          <w:szCs w:val="24"/>
        </w:rPr>
        <w:t>.</w:t>
      </w:r>
      <w:r w:rsidRPr="00B0658A">
        <w:rPr>
          <w:rFonts w:ascii="Times New Roman" w:hAnsi="Times New Roman"/>
          <w:sz w:val="28"/>
          <w:szCs w:val="24"/>
        </w:rPr>
        <w:t xml:space="preserve"> новые информационные системы </w:t>
      </w:r>
      <w:r w:rsidR="00266F3C" w:rsidRPr="00B0658A">
        <w:rPr>
          <w:rFonts w:ascii="Times New Roman" w:hAnsi="Times New Roman"/>
          <w:sz w:val="28"/>
          <w:szCs w:val="24"/>
        </w:rPr>
        <w:t xml:space="preserve">и иные компоненты информационно-технологической инфраструктуры </w:t>
      </w:r>
      <w:r w:rsidRPr="00B0658A">
        <w:rPr>
          <w:rFonts w:ascii="Times New Roman" w:hAnsi="Times New Roman"/>
          <w:sz w:val="28"/>
          <w:szCs w:val="24"/>
        </w:rPr>
        <w:t>создавать с использованием российского ПО и евразийского ПО</w:t>
      </w:r>
      <w:r w:rsidR="00100A00" w:rsidRPr="00B0658A">
        <w:rPr>
          <w:rFonts w:ascii="Times New Roman" w:hAnsi="Times New Roman"/>
          <w:sz w:val="28"/>
          <w:szCs w:val="24"/>
        </w:rPr>
        <w:t xml:space="preserve"> (для использования на значимых объектах КИИ)</w:t>
      </w:r>
      <w:r w:rsidR="003378A3">
        <w:rPr>
          <w:rFonts w:ascii="Times New Roman" w:hAnsi="Times New Roman"/>
          <w:sz w:val="28"/>
          <w:szCs w:val="24"/>
        </w:rPr>
        <w:t>;</w:t>
      </w:r>
    </w:p>
    <w:p w14:paraId="3CF2C1A6" w14:textId="26510D7B" w:rsidR="00092E68" w:rsidRPr="00B0658A" w:rsidRDefault="00092E68"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б) </w:t>
      </w:r>
      <w:r w:rsidR="003378A3">
        <w:rPr>
          <w:rFonts w:ascii="Times New Roman" w:hAnsi="Times New Roman"/>
          <w:sz w:val="28"/>
          <w:szCs w:val="24"/>
        </w:rPr>
        <w:t>с</w:t>
      </w:r>
      <w:r w:rsidRPr="00B0658A">
        <w:rPr>
          <w:rFonts w:ascii="Times New Roman" w:hAnsi="Times New Roman"/>
          <w:sz w:val="28"/>
          <w:szCs w:val="24"/>
        </w:rPr>
        <w:t>оздать «</w:t>
      </w:r>
      <w:r w:rsidR="00266F3C" w:rsidRPr="00B0658A">
        <w:rPr>
          <w:rFonts w:ascii="Times New Roman" w:hAnsi="Times New Roman"/>
          <w:sz w:val="28"/>
          <w:szCs w:val="24"/>
        </w:rPr>
        <w:t>проектную группу</w:t>
      </w:r>
      <w:r w:rsidRPr="00B0658A">
        <w:rPr>
          <w:rFonts w:ascii="Times New Roman" w:hAnsi="Times New Roman"/>
          <w:sz w:val="28"/>
          <w:szCs w:val="24"/>
        </w:rPr>
        <w:t>», обеспечивающ</w:t>
      </w:r>
      <w:r w:rsidR="00266F3C" w:rsidRPr="00B0658A">
        <w:rPr>
          <w:rFonts w:ascii="Times New Roman" w:hAnsi="Times New Roman"/>
          <w:sz w:val="28"/>
          <w:szCs w:val="24"/>
        </w:rPr>
        <w:t>ую</w:t>
      </w:r>
      <w:r w:rsidRPr="00B0658A">
        <w:rPr>
          <w:rFonts w:ascii="Times New Roman" w:hAnsi="Times New Roman"/>
          <w:sz w:val="28"/>
          <w:szCs w:val="24"/>
        </w:rPr>
        <w:t xml:space="preserve"> управление процессами перехода организации на использование российского ПО, мониторинг хода реализации Плана перехода и достижения установленных показателей эффективности</w:t>
      </w:r>
      <w:r w:rsidR="003378A3">
        <w:rPr>
          <w:rFonts w:ascii="Times New Roman" w:hAnsi="Times New Roman"/>
          <w:sz w:val="28"/>
          <w:szCs w:val="24"/>
        </w:rPr>
        <w:t>;</w:t>
      </w:r>
    </w:p>
    <w:p w14:paraId="47FBD9C4" w14:textId="58F6BE2E" w:rsidR="00092E68" w:rsidRPr="00B0658A" w:rsidRDefault="00092E68"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в) </w:t>
      </w:r>
      <w:r w:rsidR="00643168">
        <w:rPr>
          <w:rFonts w:ascii="Times New Roman" w:hAnsi="Times New Roman"/>
          <w:sz w:val="28"/>
          <w:szCs w:val="24"/>
        </w:rPr>
        <w:t>п</w:t>
      </w:r>
      <w:r w:rsidRPr="00B0658A">
        <w:rPr>
          <w:rFonts w:ascii="Times New Roman" w:hAnsi="Times New Roman"/>
          <w:sz w:val="28"/>
          <w:szCs w:val="24"/>
        </w:rPr>
        <w:t xml:space="preserve">редусмотреть мероприятие по предоставлению в </w:t>
      </w:r>
      <w:r w:rsidR="00266F3C" w:rsidRPr="00B0658A">
        <w:rPr>
          <w:rFonts w:ascii="Times New Roman" w:hAnsi="Times New Roman"/>
          <w:sz w:val="28"/>
          <w:szCs w:val="24"/>
        </w:rPr>
        <w:t>Минцифры России</w:t>
      </w:r>
      <w:r w:rsidRPr="00B0658A">
        <w:rPr>
          <w:rFonts w:ascii="Times New Roman" w:hAnsi="Times New Roman"/>
          <w:sz w:val="28"/>
          <w:szCs w:val="24"/>
        </w:rPr>
        <w:t xml:space="preserve"> и в части касающейся в соответствующие федеральные органы исполнительной власти, определенные в пункте 2 постановления Правительства Российской Федерации от 22 августа 2022 г</w:t>
      </w:r>
      <w:r w:rsidR="00643168">
        <w:rPr>
          <w:rFonts w:ascii="Times New Roman" w:hAnsi="Times New Roman"/>
          <w:sz w:val="28"/>
          <w:szCs w:val="24"/>
        </w:rPr>
        <w:t>.</w:t>
      </w:r>
      <w:r w:rsidRPr="00B0658A">
        <w:rPr>
          <w:rFonts w:ascii="Times New Roman" w:hAnsi="Times New Roman"/>
          <w:sz w:val="28"/>
          <w:szCs w:val="24"/>
        </w:rPr>
        <w:t xml:space="preserve"> </w:t>
      </w:r>
      <w:r w:rsidR="00592B14" w:rsidRPr="00B0658A">
        <w:rPr>
          <w:rFonts w:ascii="Times New Roman" w:hAnsi="Times New Roman"/>
          <w:sz w:val="28"/>
          <w:szCs w:val="24"/>
        </w:rPr>
        <w:t>№ </w:t>
      </w:r>
      <w:r w:rsidRPr="00B0658A">
        <w:rPr>
          <w:rFonts w:ascii="Times New Roman" w:hAnsi="Times New Roman"/>
          <w:sz w:val="28"/>
          <w:szCs w:val="24"/>
        </w:rPr>
        <w:t xml:space="preserve">1478 и ответственные за утверждение отраслевых планов мероприятий по обеспечению готовности заказчиков 223-ФЗ (за исключением организаций с муниципальным участием) к преимущественному использованию </w:t>
      </w:r>
      <w:r w:rsidRPr="00B0658A">
        <w:rPr>
          <w:rFonts w:ascii="Times New Roman" w:hAnsi="Times New Roman"/>
          <w:sz w:val="28"/>
          <w:szCs w:val="24"/>
        </w:rPr>
        <w:lastRenderedPageBreak/>
        <w:t xml:space="preserve">российского ПО, в том числе в составе программно-аппаратных комплексов, </w:t>
      </w:r>
      <w:r w:rsidR="00FD38D0" w:rsidRPr="00B0658A">
        <w:rPr>
          <w:rFonts w:ascii="Times New Roman" w:hAnsi="Times New Roman"/>
          <w:sz w:val="28"/>
          <w:szCs w:val="24"/>
        </w:rPr>
        <w:t xml:space="preserve">сведений о ходе реализации Плана перехода </w:t>
      </w:r>
      <w:r w:rsidRPr="00B0658A">
        <w:rPr>
          <w:rFonts w:ascii="Times New Roman" w:hAnsi="Times New Roman"/>
          <w:sz w:val="28"/>
          <w:szCs w:val="24"/>
        </w:rPr>
        <w:t xml:space="preserve">с периодичностью, по форме и в объеме, предусмотренных </w:t>
      </w:r>
      <w:r w:rsidR="0015314B" w:rsidRPr="00B0658A">
        <w:rPr>
          <w:rFonts w:ascii="Times New Roman" w:hAnsi="Times New Roman"/>
          <w:sz w:val="28"/>
          <w:szCs w:val="24"/>
        </w:rPr>
        <w:t>в Методических рекомендациях по цифровой трансформации</w:t>
      </w:r>
      <w:r w:rsidR="00FD38D0" w:rsidRPr="00B0658A">
        <w:rPr>
          <w:rFonts w:ascii="Times New Roman" w:hAnsi="Times New Roman"/>
          <w:sz w:val="28"/>
          <w:szCs w:val="24"/>
        </w:rPr>
        <w:t xml:space="preserve"> </w:t>
      </w:r>
      <w:r w:rsidR="0015314B" w:rsidRPr="00B0658A">
        <w:rPr>
          <w:rFonts w:ascii="Times New Roman" w:hAnsi="Times New Roman"/>
          <w:sz w:val="28"/>
          <w:szCs w:val="24"/>
        </w:rPr>
        <w:t xml:space="preserve">и </w:t>
      </w:r>
      <w:r w:rsidRPr="00B0658A">
        <w:rPr>
          <w:rFonts w:ascii="Times New Roman" w:hAnsi="Times New Roman"/>
          <w:sz w:val="28"/>
          <w:szCs w:val="24"/>
        </w:rPr>
        <w:t>в настоящих методических рекомендациях</w:t>
      </w:r>
      <w:r w:rsidR="00643168">
        <w:rPr>
          <w:rFonts w:ascii="Times New Roman" w:hAnsi="Times New Roman"/>
          <w:sz w:val="28"/>
          <w:szCs w:val="24"/>
        </w:rPr>
        <w:t>;</w:t>
      </w:r>
    </w:p>
    <w:p w14:paraId="23DE1397" w14:textId="5822DAA3" w:rsidR="00AA7FDF" w:rsidRPr="00B0658A" w:rsidRDefault="00092E68"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г) </w:t>
      </w:r>
      <w:r w:rsidR="00643168">
        <w:rPr>
          <w:rFonts w:ascii="Times New Roman" w:hAnsi="Times New Roman"/>
          <w:sz w:val="28"/>
          <w:szCs w:val="24"/>
        </w:rPr>
        <w:t>в</w:t>
      </w:r>
      <w:r w:rsidR="00AA7FDF" w:rsidRPr="00B0658A">
        <w:rPr>
          <w:rFonts w:ascii="Times New Roman" w:hAnsi="Times New Roman"/>
          <w:sz w:val="28"/>
          <w:szCs w:val="24"/>
        </w:rPr>
        <w:t>нести изменения во внутренние документы организации, устанавливающие персональную ответственность единоличного исполнительного органа организации, а также персональную ответственность для заместителя руководителя организации, ответственного за вопросы, связанные с переходом на использование российского ПО за несвоевременную подготовку и реализацию Плана перехода на использование российского ПО, а также за недостижение показателей эффективности перехода на использование российского ПО, установленных в Плане перехода, в соответствии с Методическими рекомендациями по цифровой трансформации.</w:t>
      </w:r>
    </w:p>
    <w:p w14:paraId="19A2441A" w14:textId="3A30C590" w:rsidR="00AA7FDF" w:rsidRPr="00B0658A" w:rsidRDefault="00AA7FDF"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 xml:space="preserve">103. Государственным корпорациям и компаниям с государственным участием, сведения о которых включены в специальный перечень </w:t>
      </w:r>
      <w:r w:rsidR="00592B14" w:rsidRPr="00B0658A">
        <w:rPr>
          <w:rFonts w:ascii="Times New Roman" w:hAnsi="Times New Roman"/>
          <w:sz w:val="28"/>
          <w:szCs w:val="24"/>
        </w:rPr>
        <w:t>№</w:t>
      </w:r>
      <w:r w:rsidR="00643168">
        <w:rPr>
          <w:rFonts w:ascii="Times New Roman" w:hAnsi="Times New Roman"/>
          <w:sz w:val="28"/>
          <w:szCs w:val="24"/>
        </w:rPr>
        <w:t xml:space="preserve"> </w:t>
      </w:r>
      <w:r w:rsidRPr="00B0658A">
        <w:rPr>
          <w:rFonts w:ascii="Times New Roman" w:hAnsi="Times New Roman"/>
          <w:sz w:val="28"/>
          <w:szCs w:val="24"/>
        </w:rPr>
        <w:t xml:space="preserve">91-р, рекомендуется провести анализ соответствия ранее реализованных организационно-технических мероприятий настоящим методическим рекомендациям и при необходимости, в случае, если какие-либо организационно-технические мероприятия не были реализованы, актуализировать ранее утвержденный в рамках стратегии (программы) цифровой трансформации План перехода на использование российского ПО в части организационно-технических мероприятий. </w:t>
      </w:r>
    </w:p>
    <w:p w14:paraId="011B4E6C" w14:textId="77777777" w:rsidR="00D67CE1" w:rsidRPr="00B0658A" w:rsidRDefault="00D67CE1"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 xml:space="preserve">104. Показатели эффективности и соответствующие им значения индикаторов эффективности перехода на использование российского ПО рекомендуется формировать в виде отдельной таблицы и устанавливать по годам в отношении каждого используемого класса (типа) ПО в соответствии с приказом Министерства цифрового развития, связи и массовых коммуникаций Российской Федерации от 22 сентября 2020 г. </w:t>
      </w:r>
      <w:r w:rsidR="00592B14" w:rsidRPr="00B0658A">
        <w:rPr>
          <w:rFonts w:ascii="Times New Roman" w:hAnsi="Times New Roman"/>
          <w:sz w:val="28"/>
          <w:szCs w:val="24"/>
        </w:rPr>
        <w:t>№</w:t>
      </w:r>
      <w:r w:rsidRPr="00B0658A">
        <w:rPr>
          <w:rFonts w:ascii="Times New Roman" w:hAnsi="Times New Roman"/>
          <w:sz w:val="28"/>
          <w:szCs w:val="24"/>
        </w:rPr>
        <w:t>486 «Об утверждении классификатора программ для электронных вычислительных машин и баз данных».</w:t>
      </w:r>
    </w:p>
    <w:p w14:paraId="0F9C48D3" w14:textId="77777777" w:rsidR="00D67CE1" w:rsidRPr="00B0658A" w:rsidRDefault="00D67CE1"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105. Устанавливаемые показатели эффективности и соответствующие им значения индикаторов эффективности перехода на российское ПО должны учитывать показатели эффективности, устанавливаемые для перехода на использование российского ПО на значимых объектах КИИ.</w:t>
      </w:r>
    </w:p>
    <w:p w14:paraId="79A273FB" w14:textId="77777777" w:rsidR="00D67CE1" w:rsidRPr="00B0658A" w:rsidRDefault="00D67CE1"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8"/>
        </w:rPr>
        <w:t>106. </w:t>
      </w:r>
      <w:r w:rsidRPr="00B0658A">
        <w:rPr>
          <w:rFonts w:ascii="Times New Roman" w:hAnsi="Times New Roman"/>
          <w:sz w:val="28"/>
          <w:szCs w:val="24"/>
        </w:rPr>
        <w:t xml:space="preserve">Показатели эффективности и соответствующие им значения индикаторов эффективности должны быть установлены с учетом требований законодательства Российской Федерации в сфере обеспечения информационной безопасности Российской Федерации, в сфере обеспечения технологической независимости и безопасности критической информационной инфраструктуры Российской Федерации. Показатели эффективности и соответствующие им значения </w:t>
      </w:r>
      <w:r w:rsidR="00FD38D0" w:rsidRPr="00B0658A">
        <w:rPr>
          <w:rFonts w:ascii="Times New Roman" w:hAnsi="Times New Roman"/>
          <w:sz w:val="28"/>
          <w:szCs w:val="24"/>
        </w:rPr>
        <w:t xml:space="preserve">индикаторов </w:t>
      </w:r>
      <w:r w:rsidRPr="00B0658A">
        <w:rPr>
          <w:rFonts w:ascii="Times New Roman" w:hAnsi="Times New Roman"/>
          <w:sz w:val="28"/>
          <w:szCs w:val="24"/>
        </w:rPr>
        <w:t>эффективности рекомендуется устанавливать на уровне или выше (если применимо) показателей и значений, приведенных</w:t>
      </w:r>
      <w:r w:rsidR="00FD38D0" w:rsidRPr="00B0658A">
        <w:rPr>
          <w:rFonts w:ascii="Times New Roman" w:hAnsi="Times New Roman"/>
          <w:sz w:val="28"/>
          <w:szCs w:val="24"/>
        </w:rPr>
        <w:t xml:space="preserve"> в Методических рекомендациях по цифровой трансформации</w:t>
      </w:r>
      <w:r w:rsidRPr="00B0658A">
        <w:rPr>
          <w:rFonts w:ascii="Times New Roman" w:hAnsi="Times New Roman"/>
          <w:sz w:val="28"/>
          <w:szCs w:val="24"/>
        </w:rPr>
        <w:t xml:space="preserve"> </w:t>
      </w:r>
      <w:r w:rsidR="007B7F8B" w:rsidRPr="00B0658A">
        <w:rPr>
          <w:rFonts w:ascii="Times New Roman" w:hAnsi="Times New Roman"/>
          <w:sz w:val="28"/>
          <w:szCs w:val="24"/>
        </w:rPr>
        <w:t xml:space="preserve">и </w:t>
      </w:r>
      <w:r w:rsidRPr="00B0658A">
        <w:rPr>
          <w:rFonts w:ascii="Times New Roman" w:hAnsi="Times New Roman"/>
          <w:sz w:val="28"/>
          <w:szCs w:val="24"/>
        </w:rPr>
        <w:t>в настоящих методических рекомендациях</w:t>
      </w:r>
      <w:r w:rsidR="00FD38D0" w:rsidRPr="00B0658A">
        <w:rPr>
          <w:rFonts w:ascii="Times New Roman" w:hAnsi="Times New Roman"/>
          <w:sz w:val="28"/>
          <w:szCs w:val="24"/>
        </w:rPr>
        <w:t xml:space="preserve"> в части касающейся</w:t>
      </w:r>
      <w:r w:rsidRPr="00B0658A">
        <w:rPr>
          <w:rFonts w:ascii="Times New Roman" w:hAnsi="Times New Roman"/>
          <w:sz w:val="28"/>
          <w:szCs w:val="24"/>
        </w:rPr>
        <w:t>.</w:t>
      </w:r>
    </w:p>
    <w:p w14:paraId="68486BC4" w14:textId="77777777" w:rsidR="00D67CE1" w:rsidRPr="00B0658A" w:rsidRDefault="00D67CE1" w:rsidP="00F57B1F">
      <w:pPr>
        <w:spacing w:after="0" w:line="240" w:lineRule="auto"/>
        <w:ind w:firstLine="709"/>
        <w:jc w:val="both"/>
        <w:rPr>
          <w:rFonts w:ascii="Times New Roman" w:hAnsi="Times New Roman"/>
          <w:sz w:val="28"/>
          <w:szCs w:val="28"/>
        </w:rPr>
      </w:pPr>
      <w:r w:rsidRPr="00B0658A">
        <w:rPr>
          <w:rFonts w:ascii="Times New Roman" w:hAnsi="Times New Roman"/>
          <w:sz w:val="28"/>
          <w:szCs w:val="28"/>
        </w:rPr>
        <w:t xml:space="preserve">107. Показатели эффективности </w:t>
      </w:r>
      <w:r w:rsidR="0076331F" w:rsidRPr="00B0658A">
        <w:rPr>
          <w:rFonts w:ascii="Times New Roman" w:hAnsi="Times New Roman"/>
          <w:sz w:val="28"/>
          <w:szCs w:val="28"/>
        </w:rPr>
        <w:t xml:space="preserve">перехода на использование российского ПО </w:t>
      </w:r>
      <w:r w:rsidRPr="00B0658A">
        <w:rPr>
          <w:rFonts w:ascii="Times New Roman" w:hAnsi="Times New Roman"/>
          <w:sz w:val="28"/>
          <w:szCs w:val="28"/>
        </w:rPr>
        <w:t>и соответствующие им значения индикаторов эффективности рекомендуется устанавливать по годам нарастающим итогом, исходя из обеспечения динамики, достаточной для осуществления перехода на использование российского ПО и достижения рекомендованных показателей эффективности.</w:t>
      </w:r>
    </w:p>
    <w:p w14:paraId="3D5B1EF0" w14:textId="77777777" w:rsidR="00D67CE1" w:rsidRPr="00B0658A" w:rsidRDefault="00D67CE1" w:rsidP="00F57B1F">
      <w:pPr>
        <w:spacing w:after="0" w:line="240" w:lineRule="auto"/>
        <w:ind w:firstLine="709"/>
        <w:jc w:val="both"/>
        <w:rPr>
          <w:rFonts w:ascii="Times New Roman" w:hAnsi="Times New Roman"/>
          <w:sz w:val="28"/>
          <w:szCs w:val="28"/>
        </w:rPr>
      </w:pPr>
      <w:r w:rsidRPr="00B0658A">
        <w:rPr>
          <w:rFonts w:ascii="Times New Roman" w:hAnsi="Times New Roman"/>
          <w:sz w:val="28"/>
          <w:szCs w:val="28"/>
        </w:rPr>
        <w:lastRenderedPageBreak/>
        <w:t xml:space="preserve">108. Показатели эффективности в отношении закупок ПО и связанных с ним работ и услуг, осуществляемых </w:t>
      </w:r>
      <w:r w:rsidRPr="00B0658A">
        <w:rPr>
          <w:rFonts w:ascii="Times New Roman" w:hAnsi="Times New Roman"/>
          <w:sz w:val="28"/>
          <w:szCs w:val="24"/>
        </w:rPr>
        <w:t xml:space="preserve">государственными корпорациями и компаниями с государственным участием, сведения о которых включены в специальный перечень </w:t>
      </w:r>
      <w:r w:rsidR="00592B14" w:rsidRPr="00B0658A">
        <w:rPr>
          <w:rFonts w:ascii="Times New Roman" w:hAnsi="Times New Roman"/>
          <w:sz w:val="28"/>
          <w:szCs w:val="24"/>
        </w:rPr>
        <w:t>№ </w:t>
      </w:r>
      <w:r w:rsidRPr="00B0658A">
        <w:rPr>
          <w:rFonts w:ascii="Times New Roman" w:hAnsi="Times New Roman"/>
          <w:sz w:val="28"/>
          <w:szCs w:val="24"/>
        </w:rPr>
        <w:t>91-р, а также организациями, включенными в расширенный перечень организаций, в отношении которых принято решение о необходимости указанными организациями разработки стратегий (программ) цифровой трансформации</w:t>
      </w:r>
      <w:r w:rsidRPr="00B0658A">
        <w:rPr>
          <w:rFonts w:ascii="Times New Roman" w:hAnsi="Times New Roman"/>
          <w:sz w:val="28"/>
          <w:szCs w:val="28"/>
        </w:rPr>
        <w:t xml:space="preserve">, </w:t>
      </w:r>
      <w:r w:rsidR="0076331F" w:rsidRPr="00B0658A">
        <w:rPr>
          <w:rFonts w:ascii="Times New Roman" w:hAnsi="Times New Roman"/>
          <w:sz w:val="28"/>
          <w:szCs w:val="28"/>
        </w:rPr>
        <w:t xml:space="preserve">рекомендуется формировать </w:t>
      </w:r>
      <w:r w:rsidRPr="00B0658A">
        <w:rPr>
          <w:rFonts w:ascii="Times New Roman" w:hAnsi="Times New Roman"/>
          <w:sz w:val="28"/>
          <w:szCs w:val="28"/>
        </w:rPr>
        <w:t>на весь период планирования перехода на использование российского ПО</w:t>
      </w:r>
      <w:r w:rsidR="0076331F" w:rsidRPr="00B0658A">
        <w:rPr>
          <w:rFonts w:ascii="Times New Roman" w:hAnsi="Times New Roman"/>
          <w:sz w:val="28"/>
          <w:szCs w:val="28"/>
        </w:rPr>
        <w:t>, а также устанавливаются в составе ключевых показателей эффективности реализации стратегии (программы) цифровой трансформации</w:t>
      </w:r>
      <w:r w:rsidRPr="00B0658A">
        <w:rPr>
          <w:rFonts w:ascii="Times New Roman" w:hAnsi="Times New Roman"/>
          <w:sz w:val="28"/>
          <w:szCs w:val="28"/>
        </w:rPr>
        <w:t>.</w:t>
      </w:r>
    </w:p>
    <w:p w14:paraId="6BBEA3C5" w14:textId="77777777" w:rsidR="00D67CE1" w:rsidRPr="00B0658A" w:rsidRDefault="00D67CE1"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8"/>
        </w:rPr>
        <w:t xml:space="preserve">109. Показатели эффективности в отношении закупок ПО и связанных с ним работ и услуг, осуществляемых </w:t>
      </w:r>
      <w:r w:rsidR="00E41C1B" w:rsidRPr="00B0658A">
        <w:rPr>
          <w:rFonts w:ascii="Times New Roman" w:hAnsi="Times New Roman"/>
          <w:sz w:val="28"/>
          <w:szCs w:val="28"/>
        </w:rPr>
        <w:t>организациями, включенными в расширенный перечень организаций, в отношении которых принято решение о необходимости указанными организациями разработки стратегий (программ) цифровой трансформации</w:t>
      </w:r>
      <w:r w:rsidRPr="00B0658A">
        <w:rPr>
          <w:rFonts w:ascii="Times New Roman" w:hAnsi="Times New Roman"/>
          <w:sz w:val="28"/>
          <w:szCs w:val="28"/>
        </w:rPr>
        <w:t xml:space="preserve">, рекомендуется устанавливать </w:t>
      </w:r>
      <w:r w:rsidR="00E41C1B" w:rsidRPr="00B0658A">
        <w:rPr>
          <w:rFonts w:ascii="Times New Roman" w:hAnsi="Times New Roman"/>
          <w:sz w:val="28"/>
          <w:szCs w:val="28"/>
        </w:rPr>
        <w:t xml:space="preserve">в соответствии с </w:t>
      </w:r>
      <w:r w:rsidR="00E41C1B" w:rsidRPr="00B0658A">
        <w:rPr>
          <w:rFonts w:ascii="Times New Roman" w:hAnsi="Times New Roman"/>
          <w:sz w:val="28"/>
          <w:szCs w:val="24"/>
        </w:rPr>
        <w:t>Методическими рекомендациями по цифровой трансформации</w:t>
      </w:r>
      <w:r w:rsidR="00FD38D0" w:rsidRPr="00B0658A">
        <w:rPr>
          <w:rFonts w:ascii="Times New Roman" w:hAnsi="Times New Roman"/>
          <w:sz w:val="28"/>
          <w:szCs w:val="24"/>
        </w:rPr>
        <w:t xml:space="preserve"> и настоящими методическими рекомендациями в части касающейся</w:t>
      </w:r>
      <w:r w:rsidR="00E41C1B" w:rsidRPr="00B0658A">
        <w:rPr>
          <w:rFonts w:ascii="Times New Roman" w:hAnsi="Times New Roman"/>
          <w:sz w:val="28"/>
          <w:szCs w:val="24"/>
        </w:rPr>
        <w:t>.</w:t>
      </w:r>
    </w:p>
    <w:p w14:paraId="0B9D9A75" w14:textId="77777777" w:rsidR="00E41C1B" w:rsidRPr="00B0658A" w:rsidRDefault="00E41C1B" w:rsidP="00F57B1F">
      <w:pPr>
        <w:spacing w:after="0" w:line="240" w:lineRule="auto"/>
        <w:ind w:firstLine="709"/>
        <w:jc w:val="both"/>
        <w:rPr>
          <w:rFonts w:ascii="Times New Roman" w:hAnsi="Times New Roman"/>
          <w:sz w:val="28"/>
          <w:szCs w:val="28"/>
        </w:rPr>
      </w:pPr>
      <w:r w:rsidRPr="00B0658A">
        <w:rPr>
          <w:rFonts w:ascii="Times New Roman" w:hAnsi="Times New Roman"/>
          <w:sz w:val="28"/>
          <w:szCs w:val="28"/>
        </w:rPr>
        <w:t>110. Сведения об объемах и источниках финансовых ресурсов, планируемых для решения задач по переходу на использование российского ПО, в том числе на значимых объектах КИИ, рекомендуется указывать в виде отдельной таблицы.</w:t>
      </w:r>
    </w:p>
    <w:p w14:paraId="383B1E8C" w14:textId="77777777" w:rsidR="00C829CC" w:rsidRPr="00B0658A" w:rsidRDefault="00C829CC" w:rsidP="00F57B1F">
      <w:pPr>
        <w:spacing w:after="0" w:line="240" w:lineRule="auto"/>
        <w:ind w:firstLine="709"/>
        <w:jc w:val="both"/>
        <w:rPr>
          <w:rFonts w:ascii="Times New Roman" w:hAnsi="Times New Roman"/>
          <w:sz w:val="28"/>
          <w:szCs w:val="28"/>
        </w:rPr>
      </w:pPr>
      <w:r w:rsidRPr="00B0658A">
        <w:rPr>
          <w:rFonts w:ascii="Times New Roman" w:hAnsi="Times New Roman"/>
          <w:sz w:val="28"/>
          <w:szCs w:val="28"/>
        </w:rPr>
        <w:t>111. Сведения об объемах и источниках финансовых ресурсов рекомендуется устанавливать по годам в тыс. руб., с указанием двух знаков после запятой. Сведения об объемах и источниках финансовых ресурсов должны учитывать:</w:t>
      </w:r>
    </w:p>
    <w:p w14:paraId="4F0FA27F" w14:textId="477ACDDD" w:rsidR="00C829CC" w:rsidRPr="00B0658A" w:rsidRDefault="00C829CC" w:rsidP="00F57B1F">
      <w:pPr>
        <w:spacing w:after="0" w:line="240" w:lineRule="auto"/>
        <w:ind w:firstLine="709"/>
        <w:jc w:val="both"/>
        <w:rPr>
          <w:rFonts w:ascii="Times New Roman" w:hAnsi="Times New Roman"/>
          <w:sz w:val="28"/>
          <w:szCs w:val="28"/>
        </w:rPr>
      </w:pPr>
      <w:r w:rsidRPr="00B0658A">
        <w:rPr>
          <w:rFonts w:ascii="Times New Roman" w:hAnsi="Times New Roman"/>
          <w:sz w:val="28"/>
          <w:szCs w:val="28"/>
        </w:rPr>
        <w:t>устанавливаемые показатели в отношении закупок российского ПО и связанных с ним работ и услуг;</w:t>
      </w:r>
    </w:p>
    <w:p w14:paraId="25D9C079" w14:textId="13775C7E" w:rsidR="00C829CC" w:rsidRPr="00B0658A" w:rsidRDefault="00C829CC" w:rsidP="00F57B1F">
      <w:pPr>
        <w:spacing w:after="0" w:line="240" w:lineRule="auto"/>
        <w:ind w:firstLine="709"/>
        <w:jc w:val="both"/>
        <w:rPr>
          <w:rFonts w:ascii="Times New Roman" w:hAnsi="Times New Roman"/>
          <w:sz w:val="28"/>
          <w:szCs w:val="28"/>
        </w:rPr>
      </w:pPr>
      <w:r w:rsidRPr="00B0658A">
        <w:rPr>
          <w:rFonts w:ascii="Times New Roman" w:hAnsi="Times New Roman"/>
          <w:sz w:val="28"/>
          <w:szCs w:val="28"/>
        </w:rPr>
        <w:t>устанавливаемую динамику показателей эффективности и соответствующих им значений индикаторов эффективности в отношении классов (типов) ПО;</w:t>
      </w:r>
    </w:p>
    <w:p w14:paraId="2DB9AFBC" w14:textId="2DCDDF50" w:rsidR="00C829CC" w:rsidRPr="00B0658A" w:rsidRDefault="00C829CC" w:rsidP="00F57B1F">
      <w:pPr>
        <w:spacing w:after="0" w:line="240" w:lineRule="auto"/>
        <w:ind w:firstLine="709"/>
        <w:jc w:val="both"/>
        <w:rPr>
          <w:rFonts w:ascii="Times New Roman" w:hAnsi="Times New Roman"/>
          <w:sz w:val="28"/>
          <w:szCs w:val="28"/>
        </w:rPr>
      </w:pPr>
      <w:r w:rsidRPr="00B0658A">
        <w:rPr>
          <w:rFonts w:ascii="Times New Roman" w:hAnsi="Times New Roman"/>
          <w:sz w:val="28"/>
          <w:szCs w:val="28"/>
        </w:rPr>
        <w:t>необходимость реализации организационно-технических мероприятий по переходу на российского ПО в полном объеме и в запланированные сроки;</w:t>
      </w:r>
    </w:p>
    <w:p w14:paraId="4797879A" w14:textId="4ABAEAFA" w:rsidR="00C829CC" w:rsidRPr="00B0658A" w:rsidRDefault="00C829CC" w:rsidP="00F57B1F">
      <w:pPr>
        <w:spacing w:after="0" w:line="240" w:lineRule="auto"/>
        <w:ind w:firstLine="709"/>
        <w:jc w:val="both"/>
        <w:rPr>
          <w:rFonts w:ascii="Times New Roman" w:hAnsi="Times New Roman"/>
          <w:sz w:val="28"/>
          <w:szCs w:val="28"/>
        </w:rPr>
      </w:pPr>
      <w:r w:rsidRPr="00B0658A">
        <w:rPr>
          <w:rFonts w:ascii="Times New Roman" w:hAnsi="Times New Roman"/>
          <w:sz w:val="28"/>
          <w:szCs w:val="28"/>
        </w:rPr>
        <w:t xml:space="preserve">динамику цен производителей ПО и поставщиков иных товаров, работ, услуг, связанных с </w:t>
      </w:r>
      <w:r w:rsidR="000803DD" w:rsidRPr="00B0658A">
        <w:rPr>
          <w:rFonts w:ascii="Times New Roman" w:hAnsi="Times New Roman"/>
          <w:sz w:val="28"/>
          <w:szCs w:val="28"/>
        </w:rPr>
        <w:t>ИКТ</w:t>
      </w:r>
      <w:r w:rsidRPr="00B0658A">
        <w:rPr>
          <w:rFonts w:ascii="Times New Roman" w:hAnsi="Times New Roman"/>
          <w:sz w:val="28"/>
          <w:szCs w:val="28"/>
        </w:rPr>
        <w:t>.</w:t>
      </w:r>
    </w:p>
    <w:p w14:paraId="1B3A03A7" w14:textId="77777777" w:rsidR="00C829CC" w:rsidRPr="00B0658A" w:rsidRDefault="00C829CC" w:rsidP="00F57B1F">
      <w:pPr>
        <w:spacing w:after="0" w:line="240" w:lineRule="auto"/>
        <w:ind w:firstLine="709"/>
        <w:jc w:val="both"/>
        <w:rPr>
          <w:rFonts w:ascii="Times New Roman" w:hAnsi="Times New Roman"/>
          <w:sz w:val="28"/>
          <w:szCs w:val="28"/>
        </w:rPr>
      </w:pPr>
      <w:r w:rsidRPr="00B0658A">
        <w:rPr>
          <w:rFonts w:ascii="Times New Roman" w:hAnsi="Times New Roman"/>
          <w:sz w:val="28"/>
          <w:szCs w:val="28"/>
        </w:rPr>
        <w:t xml:space="preserve">112. Детализированный план перехода на использование российского ПО на принадлежащих государственной корпорации и компании с государственным участием, сведения о которых включены в специальный перечень </w:t>
      </w:r>
      <w:r w:rsidR="00592B14" w:rsidRPr="00B0658A">
        <w:rPr>
          <w:rFonts w:ascii="Times New Roman" w:hAnsi="Times New Roman"/>
          <w:sz w:val="28"/>
          <w:szCs w:val="28"/>
        </w:rPr>
        <w:t>№ </w:t>
      </w:r>
      <w:r w:rsidRPr="00B0658A">
        <w:rPr>
          <w:rFonts w:ascii="Times New Roman" w:hAnsi="Times New Roman"/>
          <w:sz w:val="28"/>
          <w:szCs w:val="28"/>
        </w:rPr>
        <w:t xml:space="preserve">91-р, или организации, включенной в расширенный перечень организаций, в отношении которых принято решение о необходимости указанными организациями разработки стратегий (программ) цифровой трансформации, </w:t>
      </w:r>
      <w:r w:rsidR="00FD38D0" w:rsidRPr="00B0658A">
        <w:rPr>
          <w:rFonts w:ascii="Times New Roman" w:hAnsi="Times New Roman"/>
          <w:sz w:val="28"/>
          <w:szCs w:val="28"/>
        </w:rPr>
        <w:t xml:space="preserve">их дочерним и зависимым обществам </w:t>
      </w:r>
      <w:r w:rsidRPr="00B0658A">
        <w:rPr>
          <w:rFonts w:ascii="Times New Roman" w:hAnsi="Times New Roman"/>
          <w:sz w:val="28"/>
          <w:szCs w:val="28"/>
        </w:rPr>
        <w:t xml:space="preserve">значимых объектах КИИ и показатели эффективности перехода на использование российского ПО и соответствующие им </w:t>
      </w:r>
      <w:r w:rsidR="00FD38D0" w:rsidRPr="00B0658A">
        <w:rPr>
          <w:rFonts w:ascii="Times New Roman" w:hAnsi="Times New Roman"/>
          <w:sz w:val="28"/>
          <w:szCs w:val="28"/>
        </w:rPr>
        <w:t xml:space="preserve">значения </w:t>
      </w:r>
      <w:r w:rsidRPr="00B0658A">
        <w:rPr>
          <w:rFonts w:ascii="Times New Roman" w:hAnsi="Times New Roman"/>
          <w:sz w:val="28"/>
          <w:szCs w:val="28"/>
        </w:rPr>
        <w:t>индикатор</w:t>
      </w:r>
      <w:r w:rsidR="00FD38D0" w:rsidRPr="00B0658A">
        <w:rPr>
          <w:rFonts w:ascii="Times New Roman" w:hAnsi="Times New Roman"/>
          <w:sz w:val="28"/>
          <w:szCs w:val="28"/>
        </w:rPr>
        <w:t>ов</w:t>
      </w:r>
      <w:r w:rsidRPr="00B0658A">
        <w:rPr>
          <w:rFonts w:ascii="Times New Roman" w:hAnsi="Times New Roman"/>
          <w:sz w:val="28"/>
          <w:szCs w:val="28"/>
        </w:rPr>
        <w:t xml:space="preserve"> эффективности на значимых объектах КИИ </w:t>
      </w:r>
      <w:r w:rsidR="009B3F4B" w:rsidRPr="00B0658A">
        <w:rPr>
          <w:rFonts w:ascii="Times New Roman" w:hAnsi="Times New Roman"/>
          <w:sz w:val="28"/>
          <w:szCs w:val="28"/>
        </w:rPr>
        <w:t xml:space="preserve">рекомендуется </w:t>
      </w:r>
      <w:r w:rsidRPr="00B0658A">
        <w:rPr>
          <w:rFonts w:ascii="Times New Roman" w:hAnsi="Times New Roman"/>
          <w:sz w:val="28"/>
          <w:szCs w:val="28"/>
        </w:rPr>
        <w:t>формир</w:t>
      </w:r>
      <w:r w:rsidR="009B3F4B" w:rsidRPr="00B0658A">
        <w:rPr>
          <w:rFonts w:ascii="Times New Roman" w:hAnsi="Times New Roman"/>
          <w:sz w:val="28"/>
          <w:szCs w:val="28"/>
        </w:rPr>
        <w:t>овать</w:t>
      </w:r>
      <w:r w:rsidRPr="00B0658A">
        <w:rPr>
          <w:rFonts w:ascii="Times New Roman" w:hAnsi="Times New Roman"/>
          <w:sz w:val="28"/>
          <w:szCs w:val="28"/>
        </w:rPr>
        <w:t xml:space="preserve"> в виде отдельной таблицы.</w:t>
      </w:r>
    </w:p>
    <w:p w14:paraId="1BAAD5F1" w14:textId="77777777" w:rsidR="00C829CC" w:rsidRPr="00B0658A" w:rsidRDefault="00C829CC" w:rsidP="00F57B1F">
      <w:pPr>
        <w:spacing w:after="0" w:line="240" w:lineRule="auto"/>
        <w:ind w:firstLine="709"/>
        <w:jc w:val="both"/>
        <w:rPr>
          <w:rFonts w:ascii="Times New Roman" w:hAnsi="Times New Roman"/>
          <w:sz w:val="28"/>
          <w:szCs w:val="28"/>
        </w:rPr>
      </w:pPr>
      <w:r w:rsidRPr="00B0658A">
        <w:rPr>
          <w:rFonts w:ascii="Times New Roman" w:hAnsi="Times New Roman"/>
          <w:sz w:val="28"/>
          <w:szCs w:val="28"/>
        </w:rPr>
        <w:t>113. В детализированном плане для значимых объектов КИИ для каждого значимого объекта КИИ</w:t>
      </w:r>
      <w:r w:rsidR="00FD38D0" w:rsidRPr="00B0658A">
        <w:rPr>
          <w:rFonts w:ascii="Times New Roman" w:hAnsi="Times New Roman"/>
          <w:sz w:val="28"/>
          <w:szCs w:val="28"/>
        </w:rPr>
        <w:t xml:space="preserve"> рекомендуется</w:t>
      </w:r>
      <w:r w:rsidRPr="00B0658A">
        <w:rPr>
          <w:rFonts w:ascii="Times New Roman" w:hAnsi="Times New Roman"/>
          <w:sz w:val="28"/>
          <w:szCs w:val="28"/>
        </w:rPr>
        <w:t>:</w:t>
      </w:r>
    </w:p>
    <w:p w14:paraId="03DE41D7" w14:textId="06308197" w:rsidR="00C829CC" w:rsidRPr="00B0658A" w:rsidRDefault="00FD38D0" w:rsidP="00F57B1F">
      <w:pPr>
        <w:spacing w:after="0" w:line="240" w:lineRule="auto"/>
        <w:ind w:firstLine="709"/>
        <w:jc w:val="both"/>
        <w:rPr>
          <w:rFonts w:ascii="Times New Roman" w:hAnsi="Times New Roman"/>
          <w:sz w:val="28"/>
          <w:szCs w:val="28"/>
        </w:rPr>
      </w:pPr>
      <w:r w:rsidRPr="00B0658A">
        <w:rPr>
          <w:rFonts w:ascii="Times New Roman" w:hAnsi="Times New Roman"/>
          <w:sz w:val="28"/>
          <w:szCs w:val="28"/>
        </w:rPr>
        <w:t>сформировать</w:t>
      </w:r>
      <w:r w:rsidR="00C829CC" w:rsidRPr="00B0658A">
        <w:rPr>
          <w:rFonts w:ascii="Times New Roman" w:hAnsi="Times New Roman"/>
          <w:sz w:val="28"/>
          <w:szCs w:val="28"/>
        </w:rPr>
        <w:t xml:space="preserve"> план-график </w:t>
      </w:r>
      <w:r w:rsidR="0095686C" w:rsidRPr="00B0658A">
        <w:rPr>
          <w:rFonts w:ascii="Times New Roman" w:hAnsi="Times New Roman"/>
          <w:sz w:val="28"/>
          <w:szCs w:val="28"/>
        </w:rPr>
        <w:t>мероприятий</w:t>
      </w:r>
      <w:r w:rsidR="00C829CC" w:rsidRPr="00B0658A">
        <w:rPr>
          <w:rFonts w:ascii="Times New Roman" w:hAnsi="Times New Roman"/>
          <w:sz w:val="28"/>
          <w:szCs w:val="28"/>
        </w:rPr>
        <w:t xml:space="preserve"> по переводу значимого объекта КИИ на использование российского ПО и евразийского ПО с указанием наименования мероприятия, срока его реализации, ответственного работника, описания ожидаемого </w:t>
      </w:r>
      <w:r w:rsidR="00C829CC" w:rsidRPr="00B0658A">
        <w:rPr>
          <w:rFonts w:ascii="Times New Roman" w:hAnsi="Times New Roman"/>
          <w:sz w:val="28"/>
          <w:szCs w:val="28"/>
        </w:rPr>
        <w:lastRenderedPageBreak/>
        <w:t>результата с учетом реализации организационно-технических мероприятий перехода на использование российского ПО;</w:t>
      </w:r>
    </w:p>
    <w:p w14:paraId="00908CEE" w14:textId="6E9CA131" w:rsidR="00C829CC" w:rsidRPr="00B0658A" w:rsidRDefault="00FD38D0" w:rsidP="00F57B1F">
      <w:pPr>
        <w:spacing w:after="0" w:line="240" w:lineRule="auto"/>
        <w:ind w:firstLine="709"/>
        <w:jc w:val="both"/>
        <w:rPr>
          <w:rFonts w:ascii="Times New Roman" w:hAnsi="Times New Roman"/>
          <w:sz w:val="28"/>
          <w:szCs w:val="28"/>
        </w:rPr>
      </w:pPr>
      <w:r w:rsidRPr="00B0658A">
        <w:rPr>
          <w:rFonts w:ascii="Times New Roman" w:hAnsi="Times New Roman"/>
          <w:sz w:val="28"/>
          <w:szCs w:val="28"/>
        </w:rPr>
        <w:t xml:space="preserve">определить </w:t>
      </w:r>
      <w:r w:rsidR="00C829CC" w:rsidRPr="00B0658A">
        <w:rPr>
          <w:rFonts w:ascii="Times New Roman" w:hAnsi="Times New Roman"/>
          <w:sz w:val="28"/>
          <w:szCs w:val="28"/>
        </w:rPr>
        <w:t>класс</w:t>
      </w:r>
      <w:r w:rsidRPr="00B0658A">
        <w:rPr>
          <w:rFonts w:ascii="Times New Roman" w:hAnsi="Times New Roman"/>
          <w:sz w:val="28"/>
          <w:szCs w:val="28"/>
        </w:rPr>
        <w:t>ы</w:t>
      </w:r>
      <w:r w:rsidR="00C829CC" w:rsidRPr="00B0658A">
        <w:rPr>
          <w:rFonts w:ascii="Times New Roman" w:hAnsi="Times New Roman"/>
          <w:sz w:val="28"/>
          <w:szCs w:val="28"/>
        </w:rPr>
        <w:t xml:space="preserve"> (тип</w:t>
      </w:r>
      <w:r w:rsidRPr="00B0658A">
        <w:rPr>
          <w:rFonts w:ascii="Times New Roman" w:hAnsi="Times New Roman"/>
          <w:sz w:val="28"/>
          <w:szCs w:val="28"/>
        </w:rPr>
        <w:t>ы</w:t>
      </w:r>
      <w:r w:rsidR="00C829CC" w:rsidRPr="00B0658A">
        <w:rPr>
          <w:rFonts w:ascii="Times New Roman" w:hAnsi="Times New Roman"/>
          <w:sz w:val="28"/>
          <w:szCs w:val="28"/>
        </w:rPr>
        <w:t>) ПО и переч</w:t>
      </w:r>
      <w:r w:rsidRPr="00B0658A">
        <w:rPr>
          <w:rFonts w:ascii="Times New Roman" w:hAnsi="Times New Roman"/>
          <w:sz w:val="28"/>
          <w:szCs w:val="28"/>
        </w:rPr>
        <w:t>е</w:t>
      </w:r>
      <w:r w:rsidR="00C829CC" w:rsidRPr="00B0658A">
        <w:rPr>
          <w:rFonts w:ascii="Times New Roman" w:hAnsi="Times New Roman"/>
          <w:sz w:val="28"/>
          <w:szCs w:val="28"/>
        </w:rPr>
        <w:t>н</w:t>
      </w:r>
      <w:r w:rsidRPr="00B0658A">
        <w:rPr>
          <w:rFonts w:ascii="Times New Roman" w:hAnsi="Times New Roman"/>
          <w:sz w:val="28"/>
          <w:szCs w:val="28"/>
        </w:rPr>
        <w:t>ь</w:t>
      </w:r>
      <w:r w:rsidR="00C829CC" w:rsidRPr="00B0658A">
        <w:rPr>
          <w:rFonts w:ascii="Times New Roman" w:hAnsi="Times New Roman"/>
          <w:sz w:val="28"/>
          <w:szCs w:val="28"/>
        </w:rPr>
        <w:t xml:space="preserve"> иностранного ПО, которое используется на значимом объекте КИИ и которое подлежит замещению на российское ПО и евразийское ПО до конца 2024 года;</w:t>
      </w:r>
    </w:p>
    <w:p w14:paraId="447B464D" w14:textId="5B16C94C" w:rsidR="00C829CC" w:rsidRPr="00B0658A" w:rsidRDefault="00C829CC" w:rsidP="00F57B1F">
      <w:pPr>
        <w:spacing w:after="0" w:line="240" w:lineRule="auto"/>
        <w:ind w:firstLine="709"/>
        <w:jc w:val="both"/>
        <w:rPr>
          <w:rFonts w:ascii="Times New Roman" w:hAnsi="Times New Roman"/>
          <w:sz w:val="28"/>
          <w:szCs w:val="28"/>
        </w:rPr>
      </w:pPr>
      <w:r w:rsidRPr="00B0658A">
        <w:rPr>
          <w:rFonts w:ascii="Times New Roman" w:hAnsi="Times New Roman"/>
          <w:sz w:val="28"/>
          <w:szCs w:val="28"/>
        </w:rPr>
        <w:t>установ</w:t>
      </w:r>
      <w:r w:rsidR="00CE7CB5" w:rsidRPr="00B0658A">
        <w:rPr>
          <w:rFonts w:ascii="Times New Roman" w:hAnsi="Times New Roman"/>
          <w:sz w:val="28"/>
          <w:szCs w:val="28"/>
        </w:rPr>
        <w:t>ить</w:t>
      </w:r>
      <w:r w:rsidRPr="00B0658A">
        <w:rPr>
          <w:rFonts w:ascii="Times New Roman" w:hAnsi="Times New Roman"/>
          <w:sz w:val="28"/>
          <w:szCs w:val="28"/>
        </w:rPr>
        <w:t xml:space="preserve"> по годам показател</w:t>
      </w:r>
      <w:r w:rsidR="00CE7CB5" w:rsidRPr="00B0658A">
        <w:rPr>
          <w:rFonts w:ascii="Times New Roman" w:hAnsi="Times New Roman"/>
          <w:sz w:val="28"/>
          <w:szCs w:val="28"/>
        </w:rPr>
        <w:t>и</w:t>
      </w:r>
      <w:r w:rsidRPr="00B0658A">
        <w:rPr>
          <w:rFonts w:ascii="Times New Roman" w:hAnsi="Times New Roman"/>
          <w:sz w:val="28"/>
          <w:szCs w:val="28"/>
        </w:rPr>
        <w:t xml:space="preserve"> эффективности и соответствующи</w:t>
      </w:r>
      <w:r w:rsidR="00CE7CB5" w:rsidRPr="00B0658A">
        <w:rPr>
          <w:rFonts w:ascii="Times New Roman" w:hAnsi="Times New Roman"/>
          <w:sz w:val="28"/>
          <w:szCs w:val="28"/>
        </w:rPr>
        <w:t>е</w:t>
      </w:r>
      <w:r w:rsidRPr="00B0658A">
        <w:rPr>
          <w:rFonts w:ascii="Times New Roman" w:hAnsi="Times New Roman"/>
          <w:sz w:val="28"/>
          <w:szCs w:val="28"/>
        </w:rPr>
        <w:t xml:space="preserve"> им значени</w:t>
      </w:r>
      <w:r w:rsidR="00CE7CB5" w:rsidRPr="00B0658A">
        <w:rPr>
          <w:rFonts w:ascii="Times New Roman" w:hAnsi="Times New Roman"/>
          <w:sz w:val="28"/>
          <w:szCs w:val="28"/>
        </w:rPr>
        <w:t>я индикаторов</w:t>
      </w:r>
      <w:r w:rsidRPr="00B0658A">
        <w:rPr>
          <w:rFonts w:ascii="Times New Roman" w:hAnsi="Times New Roman"/>
          <w:sz w:val="28"/>
          <w:szCs w:val="28"/>
        </w:rPr>
        <w:t xml:space="preserve"> эффективности для каждого используемого на значимом объекте КИИ класса (типа) ПО.</w:t>
      </w:r>
    </w:p>
    <w:p w14:paraId="4844C886" w14:textId="77777777" w:rsidR="00BE1FC3" w:rsidRPr="00B0658A" w:rsidRDefault="00C829CC" w:rsidP="00F57B1F">
      <w:pPr>
        <w:spacing w:after="0" w:line="240" w:lineRule="auto"/>
        <w:ind w:firstLine="709"/>
        <w:jc w:val="both"/>
        <w:rPr>
          <w:rFonts w:ascii="Times New Roman" w:hAnsi="Times New Roman"/>
          <w:sz w:val="28"/>
          <w:szCs w:val="28"/>
        </w:rPr>
      </w:pPr>
      <w:r w:rsidRPr="00B0658A">
        <w:rPr>
          <w:rFonts w:ascii="Times New Roman" w:hAnsi="Times New Roman"/>
          <w:sz w:val="28"/>
          <w:szCs w:val="28"/>
        </w:rPr>
        <w:t>114. </w:t>
      </w:r>
      <w:r w:rsidR="00BE1FC3" w:rsidRPr="00B0658A">
        <w:rPr>
          <w:rFonts w:ascii="Times New Roman" w:hAnsi="Times New Roman"/>
          <w:sz w:val="28"/>
          <w:szCs w:val="28"/>
        </w:rPr>
        <w:t xml:space="preserve">При установлении показателей эффективности и соответствующих им значений индикаторов эффективности для классов (типов) ПО, используемого на принадлежащих государственной корпорации и компании с государственным участием, сведения о которых включены в специальный перечень </w:t>
      </w:r>
      <w:r w:rsidR="00592B14" w:rsidRPr="00B0658A">
        <w:rPr>
          <w:rFonts w:ascii="Times New Roman" w:hAnsi="Times New Roman"/>
          <w:sz w:val="28"/>
          <w:szCs w:val="28"/>
        </w:rPr>
        <w:t>№ </w:t>
      </w:r>
      <w:r w:rsidR="00BE1FC3" w:rsidRPr="00B0658A">
        <w:rPr>
          <w:rFonts w:ascii="Times New Roman" w:hAnsi="Times New Roman"/>
          <w:sz w:val="28"/>
          <w:szCs w:val="28"/>
        </w:rPr>
        <w:t xml:space="preserve">91-р, или организации, включенной в расширенный перечень организаций, в отношении которых принято решение о необходимости указанными организациями разработки стратегий (программ) цифровой трансформации, </w:t>
      </w:r>
      <w:r w:rsidR="00CE7CB5" w:rsidRPr="00B0658A">
        <w:rPr>
          <w:rFonts w:ascii="Times New Roman" w:hAnsi="Times New Roman"/>
          <w:sz w:val="28"/>
          <w:szCs w:val="28"/>
        </w:rPr>
        <w:t xml:space="preserve">их дочерним и зависимым обществам </w:t>
      </w:r>
      <w:r w:rsidR="00BE1FC3" w:rsidRPr="00B0658A">
        <w:rPr>
          <w:rFonts w:ascii="Times New Roman" w:hAnsi="Times New Roman"/>
          <w:sz w:val="28"/>
          <w:szCs w:val="28"/>
        </w:rPr>
        <w:t>значимых объектах КИИ, рекомендуется исходить из следующих условий:</w:t>
      </w:r>
    </w:p>
    <w:p w14:paraId="11CD85BD" w14:textId="77777777" w:rsidR="00BE1FC3" w:rsidRPr="00B0658A" w:rsidRDefault="00BE1FC3" w:rsidP="00F57B1F">
      <w:pPr>
        <w:spacing w:after="0" w:line="240" w:lineRule="auto"/>
        <w:ind w:firstLine="709"/>
        <w:jc w:val="both"/>
        <w:rPr>
          <w:rFonts w:ascii="Times New Roman" w:hAnsi="Times New Roman"/>
          <w:sz w:val="28"/>
          <w:szCs w:val="28"/>
        </w:rPr>
      </w:pPr>
      <w:r w:rsidRPr="00B0658A">
        <w:rPr>
          <w:rFonts w:ascii="Times New Roman" w:hAnsi="Times New Roman"/>
          <w:sz w:val="28"/>
          <w:szCs w:val="28"/>
        </w:rPr>
        <w:t xml:space="preserve">достижение к концу 2022 г. доли использования российского </w:t>
      </w:r>
      <w:r w:rsidR="00CE7CB5" w:rsidRPr="00B0658A">
        <w:rPr>
          <w:rFonts w:ascii="Times New Roman" w:hAnsi="Times New Roman"/>
          <w:sz w:val="28"/>
          <w:szCs w:val="28"/>
        </w:rPr>
        <w:t xml:space="preserve">ПО </w:t>
      </w:r>
      <w:r w:rsidRPr="00B0658A">
        <w:rPr>
          <w:rFonts w:ascii="Times New Roman" w:hAnsi="Times New Roman"/>
          <w:sz w:val="28"/>
          <w:szCs w:val="28"/>
        </w:rPr>
        <w:t>и евразийского ПО на значимых объектах КИИ, превышающей не менее чем на 10% текущие показатели использования российского ПО на так</w:t>
      </w:r>
      <w:r w:rsidR="00CE7CB5" w:rsidRPr="00B0658A">
        <w:rPr>
          <w:rFonts w:ascii="Times New Roman" w:hAnsi="Times New Roman"/>
          <w:sz w:val="28"/>
          <w:szCs w:val="28"/>
        </w:rPr>
        <w:t>их</w:t>
      </w:r>
      <w:r w:rsidRPr="00B0658A">
        <w:rPr>
          <w:rFonts w:ascii="Times New Roman" w:hAnsi="Times New Roman"/>
          <w:sz w:val="28"/>
          <w:szCs w:val="28"/>
        </w:rPr>
        <w:t xml:space="preserve"> объект</w:t>
      </w:r>
      <w:r w:rsidR="00CE7CB5" w:rsidRPr="00B0658A">
        <w:rPr>
          <w:rFonts w:ascii="Times New Roman" w:hAnsi="Times New Roman"/>
          <w:sz w:val="28"/>
          <w:szCs w:val="28"/>
        </w:rPr>
        <w:t>ах</w:t>
      </w:r>
      <w:r w:rsidRPr="00B0658A">
        <w:rPr>
          <w:rFonts w:ascii="Times New Roman" w:hAnsi="Times New Roman"/>
          <w:sz w:val="28"/>
          <w:szCs w:val="28"/>
        </w:rPr>
        <w:t>;</w:t>
      </w:r>
    </w:p>
    <w:p w14:paraId="14905AF6" w14:textId="77777777" w:rsidR="00BE1FC3" w:rsidRPr="00B0658A" w:rsidRDefault="00BE1FC3" w:rsidP="00F57B1F">
      <w:pPr>
        <w:spacing w:after="0" w:line="240" w:lineRule="auto"/>
        <w:ind w:firstLine="709"/>
        <w:jc w:val="both"/>
        <w:rPr>
          <w:rFonts w:ascii="Times New Roman" w:hAnsi="Times New Roman"/>
          <w:sz w:val="28"/>
          <w:szCs w:val="28"/>
        </w:rPr>
      </w:pPr>
      <w:r w:rsidRPr="00B0658A">
        <w:rPr>
          <w:rFonts w:ascii="Times New Roman" w:hAnsi="Times New Roman"/>
          <w:sz w:val="28"/>
          <w:szCs w:val="28"/>
        </w:rPr>
        <w:t xml:space="preserve">достижение к концу 2023 г. доли использования российского </w:t>
      </w:r>
      <w:r w:rsidR="00CE7CB5" w:rsidRPr="00B0658A">
        <w:rPr>
          <w:rFonts w:ascii="Times New Roman" w:hAnsi="Times New Roman"/>
          <w:sz w:val="28"/>
          <w:szCs w:val="28"/>
        </w:rPr>
        <w:t xml:space="preserve">ПО </w:t>
      </w:r>
      <w:r w:rsidRPr="00B0658A">
        <w:rPr>
          <w:rFonts w:ascii="Times New Roman" w:hAnsi="Times New Roman"/>
          <w:sz w:val="28"/>
          <w:szCs w:val="28"/>
        </w:rPr>
        <w:t>и евразийского ПО на значимых объектах КИИ, превышающей не менее чем на 40% текущие показатели использования российского ПО на так</w:t>
      </w:r>
      <w:r w:rsidR="00CE7CB5" w:rsidRPr="00B0658A">
        <w:rPr>
          <w:rFonts w:ascii="Times New Roman" w:hAnsi="Times New Roman"/>
          <w:sz w:val="28"/>
          <w:szCs w:val="28"/>
        </w:rPr>
        <w:t>их</w:t>
      </w:r>
      <w:r w:rsidRPr="00B0658A">
        <w:rPr>
          <w:rFonts w:ascii="Times New Roman" w:hAnsi="Times New Roman"/>
          <w:sz w:val="28"/>
          <w:szCs w:val="28"/>
        </w:rPr>
        <w:t xml:space="preserve"> объект</w:t>
      </w:r>
      <w:r w:rsidR="00CE7CB5" w:rsidRPr="00B0658A">
        <w:rPr>
          <w:rFonts w:ascii="Times New Roman" w:hAnsi="Times New Roman"/>
          <w:sz w:val="28"/>
          <w:szCs w:val="28"/>
        </w:rPr>
        <w:t>ах</w:t>
      </w:r>
      <w:r w:rsidRPr="00B0658A">
        <w:rPr>
          <w:rFonts w:ascii="Times New Roman" w:hAnsi="Times New Roman"/>
          <w:sz w:val="28"/>
          <w:szCs w:val="28"/>
        </w:rPr>
        <w:t>;</w:t>
      </w:r>
    </w:p>
    <w:p w14:paraId="00FE44CC" w14:textId="77777777" w:rsidR="00BE1FC3" w:rsidRPr="00B0658A" w:rsidRDefault="00BE1FC3" w:rsidP="00F57B1F">
      <w:pPr>
        <w:spacing w:after="0" w:line="240" w:lineRule="auto"/>
        <w:ind w:firstLine="709"/>
        <w:jc w:val="both"/>
        <w:rPr>
          <w:rFonts w:ascii="Times New Roman" w:hAnsi="Times New Roman"/>
          <w:sz w:val="28"/>
          <w:szCs w:val="28"/>
        </w:rPr>
      </w:pPr>
      <w:r w:rsidRPr="00B0658A">
        <w:rPr>
          <w:rFonts w:ascii="Times New Roman" w:hAnsi="Times New Roman"/>
          <w:sz w:val="28"/>
          <w:szCs w:val="28"/>
        </w:rPr>
        <w:t xml:space="preserve">установление на 2024 г. и далее доли использования российского </w:t>
      </w:r>
      <w:r w:rsidR="00CE7CB5" w:rsidRPr="00B0658A">
        <w:rPr>
          <w:rFonts w:ascii="Times New Roman" w:hAnsi="Times New Roman"/>
          <w:sz w:val="28"/>
          <w:szCs w:val="28"/>
        </w:rPr>
        <w:t xml:space="preserve">ПО </w:t>
      </w:r>
      <w:r w:rsidRPr="00B0658A">
        <w:rPr>
          <w:rFonts w:ascii="Times New Roman" w:hAnsi="Times New Roman"/>
          <w:sz w:val="28"/>
          <w:szCs w:val="28"/>
        </w:rPr>
        <w:t>и евразийского ПО на значимых объектах КИИ на уровне 100%.</w:t>
      </w:r>
    </w:p>
    <w:p w14:paraId="35A1E6C7" w14:textId="77777777" w:rsidR="00E41C1B" w:rsidRPr="00B0658A" w:rsidRDefault="00BE1FC3" w:rsidP="00F57B1F">
      <w:pPr>
        <w:spacing w:after="0" w:line="240" w:lineRule="auto"/>
        <w:ind w:firstLine="709"/>
        <w:jc w:val="both"/>
        <w:rPr>
          <w:rFonts w:ascii="Times New Roman" w:hAnsi="Times New Roman"/>
          <w:sz w:val="28"/>
          <w:szCs w:val="28"/>
        </w:rPr>
      </w:pPr>
      <w:r w:rsidRPr="00B0658A">
        <w:rPr>
          <w:rFonts w:ascii="Times New Roman" w:hAnsi="Times New Roman"/>
          <w:sz w:val="28"/>
          <w:szCs w:val="28"/>
        </w:rPr>
        <w:t xml:space="preserve">115. После утверждения Плана перехода государственной корпорации и компании с государственным участием, сведения о которых включены в специальный перечень </w:t>
      </w:r>
      <w:r w:rsidR="00592B14" w:rsidRPr="00B0658A">
        <w:rPr>
          <w:rFonts w:ascii="Times New Roman" w:hAnsi="Times New Roman"/>
          <w:sz w:val="28"/>
          <w:szCs w:val="28"/>
        </w:rPr>
        <w:t>№ </w:t>
      </w:r>
      <w:r w:rsidRPr="00B0658A">
        <w:rPr>
          <w:rFonts w:ascii="Times New Roman" w:hAnsi="Times New Roman"/>
          <w:sz w:val="28"/>
          <w:szCs w:val="28"/>
        </w:rPr>
        <w:t xml:space="preserve">91-р, или организации, включенной в расширенный перечень организаций, в отношении которых принято решение о необходимости указанными организациями разработки стратегий (программ) цифровой трансформации, </w:t>
      </w:r>
      <w:r w:rsidR="006F0B16" w:rsidRPr="00B0658A">
        <w:rPr>
          <w:rFonts w:ascii="Times New Roman" w:hAnsi="Times New Roman"/>
          <w:sz w:val="28"/>
          <w:szCs w:val="28"/>
        </w:rPr>
        <w:t xml:space="preserve">их дочерних и зависимых обществ </w:t>
      </w:r>
      <w:r w:rsidR="00CE7CB5" w:rsidRPr="00B0658A">
        <w:rPr>
          <w:rFonts w:ascii="Times New Roman" w:hAnsi="Times New Roman"/>
          <w:sz w:val="28"/>
          <w:szCs w:val="28"/>
        </w:rPr>
        <w:t xml:space="preserve">копию утвержденного </w:t>
      </w:r>
      <w:r w:rsidRPr="00B0658A">
        <w:rPr>
          <w:rFonts w:ascii="Times New Roman" w:hAnsi="Times New Roman"/>
          <w:sz w:val="28"/>
          <w:szCs w:val="28"/>
        </w:rPr>
        <w:t>План</w:t>
      </w:r>
      <w:r w:rsidR="00CE7CB5" w:rsidRPr="00B0658A">
        <w:rPr>
          <w:rFonts w:ascii="Times New Roman" w:hAnsi="Times New Roman"/>
          <w:sz w:val="28"/>
          <w:szCs w:val="28"/>
        </w:rPr>
        <w:t>а</w:t>
      </w:r>
      <w:r w:rsidRPr="00B0658A">
        <w:rPr>
          <w:rFonts w:ascii="Times New Roman" w:hAnsi="Times New Roman"/>
          <w:sz w:val="28"/>
          <w:szCs w:val="28"/>
        </w:rPr>
        <w:t xml:space="preserve"> перехода рекомендуется направить в Минцифры России (за исключением случаев, когда такой План перехода был ранее направлен в Минцифры России в составе </w:t>
      </w:r>
      <w:r w:rsidR="006F0B16" w:rsidRPr="00B0658A">
        <w:rPr>
          <w:rFonts w:ascii="Times New Roman" w:hAnsi="Times New Roman"/>
          <w:sz w:val="28"/>
          <w:szCs w:val="28"/>
        </w:rPr>
        <w:t xml:space="preserve">утвержденной </w:t>
      </w:r>
      <w:r w:rsidRPr="00B0658A">
        <w:rPr>
          <w:rFonts w:ascii="Times New Roman" w:hAnsi="Times New Roman"/>
          <w:sz w:val="28"/>
          <w:szCs w:val="28"/>
        </w:rPr>
        <w:t>стратегии (программы) цифровой трансформации).</w:t>
      </w:r>
    </w:p>
    <w:p w14:paraId="1F1F41A1" w14:textId="4AE3050E" w:rsidR="00BE1FC3" w:rsidRPr="00B0658A" w:rsidRDefault="00BE1FC3" w:rsidP="00F57B1F">
      <w:pPr>
        <w:spacing w:after="0" w:line="240" w:lineRule="auto"/>
        <w:ind w:firstLine="709"/>
        <w:jc w:val="both"/>
        <w:rPr>
          <w:rFonts w:ascii="Times New Roman" w:hAnsi="Times New Roman"/>
          <w:sz w:val="28"/>
          <w:szCs w:val="28"/>
        </w:rPr>
      </w:pPr>
      <w:r w:rsidRPr="00B0658A">
        <w:rPr>
          <w:rFonts w:ascii="Times New Roman" w:hAnsi="Times New Roman"/>
          <w:sz w:val="28"/>
          <w:szCs w:val="28"/>
        </w:rPr>
        <w:t xml:space="preserve">116. При внесении изменений в утвержденный государственной корпорацией или компанией с государственным участием, сведения о которой включены в специальный перечень </w:t>
      </w:r>
      <w:r w:rsidR="00592B14" w:rsidRPr="00B0658A">
        <w:rPr>
          <w:rFonts w:ascii="Times New Roman" w:hAnsi="Times New Roman"/>
          <w:sz w:val="28"/>
          <w:szCs w:val="28"/>
        </w:rPr>
        <w:t>№</w:t>
      </w:r>
      <w:r w:rsidR="00643168">
        <w:rPr>
          <w:rFonts w:ascii="Times New Roman" w:hAnsi="Times New Roman"/>
          <w:sz w:val="28"/>
          <w:szCs w:val="28"/>
        </w:rPr>
        <w:t xml:space="preserve"> </w:t>
      </w:r>
      <w:r w:rsidRPr="00B0658A">
        <w:rPr>
          <w:rFonts w:ascii="Times New Roman" w:hAnsi="Times New Roman"/>
          <w:sz w:val="28"/>
          <w:szCs w:val="28"/>
        </w:rPr>
        <w:t xml:space="preserve">91-р, или организацией, включенной в расширенный перечень организаций, в отношении которых принято решение о необходимости указанными организациями разработки стратегий (программ) цифровой трансформации, </w:t>
      </w:r>
      <w:r w:rsidR="00CE7CB5" w:rsidRPr="00B0658A">
        <w:rPr>
          <w:rFonts w:ascii="Times New Roman" w:hAnsi="Times New Roman"/>
          <w:sz w:val="28"/>
          <w:szCs w:val="28"/>
        </w:rPr>
        <w:t xml:space="preserve">их дочерними и зависимыми обществами </w:t>
      </w:r>
      <w:r w:rsidRPr="00B0658A">
        <w:rPr>
          <w:rFonts w:ascii="Times New Roman" w:hAnsi="Times New Roman"/>
          <w:sz w:val="28"/>
          <w:szCs w:val="28"/>
        </w:rPr>
        <w:t xml:space="preserve">План перехода на использование российского ПО </w:t>
      </w:r>
      <w:r w:rsidR="00CE7CB5" w:rsidRPr="00B0658A">
        <w:rPr>
          <w:rFonts w:ascii="Times New Roman" w:hAnsi="Times New Roman"/>
          <w:sz w:val="28"/>
          <w:szCs w:val="28"/>
        </w:rPr>
        <w:t>указанным организациям рекомендуется</w:t>
      </w:r>
      <w:r w:rsidRPr="00B0658A">
        <w:rPr>
          <w:rFonts w:ascii="Times New Roman" w:hAnsi="Times New Roman"/>
          <w:sz w:val="28"/>
          <w:szCs w:val="28"/>
        </w:rPr>
        <w:t xml:space="preserve"> обеспечива</w:t>
      </w:r>
      <w:r w:rsidR="00CE7CB5" w:rsidRPr="00B0658A">
        <w:rPr>
          <w:rFonts w:ascii="Times New Roman" w:hAnsi="Times New Roman"/>
          <w:sz w:val="28"/>
          <w:szCs w:val="28"/>
        </w:rPr>
        <w:t>ть</w:t>
      </w:r>
      <w:r w:rsidRPr="00B0658A">
        <w:rPr>
          <w:rFonts w:ascii="Times New Roman" w:hAnsi="Times New Roman"/>
          <w:sz w:val="28"/>
          <w:szCs w:val="28"/>
        </w:rPr>
        <w:t xml:space="preserve"> согласование указанных изменений в порядке, предусмотренном Методическими рекомендациями по цифровой трансформации и настоящими методическими рекомендациями, при одновременном предоставлении обоснования необходимости внесения изменений.</w:t>
      </w:r>
    </w:p>
    <w:p w14:paraId="0D257A8F" w14:textId="77777777" w:rsidR="00BE1FC3" w:rsidRPr="00B0658A" w:rsidRDefault="00BE1FC3" w:rsidP="00F57B1F">
      <w:pPr>
        <w:spacing w:after="0" w:line="240" w:lineRule="auto"/>
        <w:ind w:firstLine="709"/>
        <w:jc w:val="both"/>
        <w:rPr>
          <w:rFonts w:ascii="Times New Roman" w:hAnsi="Times New Roman"/>
          <w:sz w:val="28"/>
          <w:szCs w:val="28"/>
        </w:rPr>
      </w:pPr>
      <w:r w:rsidRPr="00B0658A">
        <w:rPr>
          <w:rFonts w:ascii="Times New Roman" w:hAnsi="Times New Roman"/>
          <w:sz w:val="28"/>
          <w:szCs w:val="28"/>
        </w:rPr>
        <w:lastRenderedPageBreak/>
        <w:t>117. Не рекомендуется при формировании показателей эффективности перехода на использование российского ПО и соответствующих им значений индикаторов эффективности, показателей эффективности в отношении закупок ПО и связанных с ним работ и услуг, сведений об объемах и источниках финансовых ресурсов указывать отсылочные положения такие как «могут быть изменены по результатам тестирования», «могут быть изменены в случае отсутствия необходимого объема финансирования» и иные.</w:t>
      </w:r>
    </w:p>
    <w:p w14:paraId="71DB74D9" w14:textId="3927FCFF" w:rsidR="007C3BB1" w:rsidRPr="00B0658A" w:rsidRDefault="00BE1FC3" w:rsidP="00F57B1F">
      <w:pPr>
        <w:spacing w:after="0" w:line="240" w:lineRule="auto"/>
        <w:ind w:firstLine="709"/>
        <w:jc w:val="both"/>
        <w:rPr>
          <w:rFonts w:ascii="Times New Roman" w:hAnsi="Times New Roman"/>
          <w:sz w:val="28"/>
          <w:szCs w:val="28"/>
        </w:rPr>
      </w:pPr>
      <w:r w:rsidRPr="00B0658A">
        <w:rPr>
          <w:rFonts w:ascii="Times New Roman" w:hAnsi="Times New Roman"/>
          <w:sz w:val="28"/>
          <w:szCs w:val="28"/>
        </w:rPr>
        <w:t xml:space="preserve">118. Для целей мониторинга и контроля реализации Планов </w:t>
      </w:r>
      <w:r w:rsidR="006F0B16" w:rsidRPr="00B0658A">
        <w:rPr>
          <w:rFonts w:ascii="Times New Roman" w:hAnsi="Times New Roman"/>
          <w:sz w:val="28"/>
          <w:szCs w:val="28"/>
        </w:rPr>
        <w:t xml:space="preserve">перехода </w:t>
      </w:r>
      <w:r w:rsidRPr="00B0658A">
        <w:rPr>
          <w:rFonts w:ascii="Times New Roman" w:hAnsi="Times New Roman"/>
          <w:sz w:val="28"/>
          <w:szCs w:val="28"/>
        </w:rPr>
        <w:t>государственн</w:t>
      </w:r>
      <w:r w:rsidR="00CE7CB5" w:rsidRPr="00B0658A">
        <w:rPr>
          <w:rFonts w:ascii="Times New Roman" w:hAnsi="Times New Roman"/>
          <w:sz w:val="28"/>
          <w:szCs w:val="28"/>
        </w:rPr>
        <w:t>ых</w:t>
      </w:r>
      <w:r w:rsidRPr="00B0658A">
        <w:rPr>
          <w:rFonts w:ascii="Times New Roman" w:hAnsi="Times New Roman"/>
          <w:sz w:val="28"/>
          <w:szCs w:val="28"/>
        </w:rPr>
        <w:t xml:space="preserve"> корпораци</w:t>
      </w:r>
      <w:r w:rsidR="00CE7CB5" w:rsidRPr="00B0658A">
        <w:rPr>
          <w:rFonts w:ascii="Times New Roman" w:hAnsi="Times New Roman"/>
          <w:sz w:val="28"/>
          <w:szCs w:val="28"/>
        </w:rPr>
        <w:t>й и</w:t>
      </w:r>
      <w:r w:rsidRPr="00B0658A">
        <w:rPr>
          <w:rFonts w:ascii="Times New Roman" w:hAnsi="Times New Roman"/>
          <w:sz w:val="28"/>
          <w:szCs w:val="28"/>
        </w:rPr>
        <w:t xml:space="preserve"> компани</w:t>
      </w:r>
      <w:r w:rsidR="00CE7CB5" w:rsidRPr="00B0658A">
        <w:rPr>
          <w:rFonts w:ascii="Times New Roman" w:hAnsi="Times New Roman"/>
          <w:sz w:val="28"/>
          <w:szCs w:val="28"/>
        </w:rPr>
        <w:t>й</w:t>
      </w:r>
      <w:r w:rsidRPr="00B0658A">
        <w:rPr>
          <w:rFonts w:ascii="Times New Roman" w:hAnsi="Times New Roman"/>
          <w:sz w:val="28"/>
          <w:szCs w:val="28"/>
        </w:rPr>
        <w:t xml:space="preserve"> с государственным участием, сведения о которых включены в специальный перечень </w:t>
      </w:r>
      <w:r w:rsidR="00592B14" w:rsidRPr="00B0658A">
        <w:rPr>
          <w:rFonts w:ascii="Times New Roman" w:hAnsi="Times New Roman"/>
          <w:sz w:val="28"/>
          <w:szCs w:val="28"/>
        </w:rPr>
        <w:t>№</w:t>
      </w:r>
      <w:r w:rsidR="00643168">
        <w:rPr>
          <w:rFonts w:ascii="Times New Roman" w:hAnsi="Times New Roman"/>
          <w:sz w:val="28"/>
          <w:szCs w:val="28"/>
        </w:rPr>
        <w:t xml:space="preserve"> </w:t>
      </w:r>
      <w:r w:rsidRPr="00B0658A">
        <w:rPr>
          <w:rFonts w:ascii="Times New Roman" w:hAnsi="Times New Roman"/>
          <w:sz w:val="28"/>
          <w:szCs w:val="28"/>
        </w:rPr>
        <w:t xml:space="preserve">91-р, и организаций, включенных в расширенный перечень организаций, в отношении которых принято решение о необходимости указанными организациями разработки стратегий (программ) цифровой трансформации, </w:t>
      </w:r>
      <w:r w:rsidR="00CE7CB5" w:rsidRPr="00B0658A">
        <w:rPr>
          <w:rFonts w:ascii="Times New Roman" w:hAnsi="Times New Roman"/>
          <w:sz w:val="28"/>
          <w:szCs w:val="28"/>
        </w:rPr>
        <w:t xml:space="preserve">их дочерних и зависимых обществ </w:t>
      </w:r>
      <w:r w:rsidRPr="00B0658A">
        <w:rPr>
          <w:rFonts w:ascii="Times New Roman" w:hAnsi="Times New Roman"/>
          <w:sz w:val="28"/>
          <w:szCs w:val="28"/>
        </w:rPr>
        <w:t>на использование российского ПО</w:t>
      </w:r>
      <w:r w:rsidR="00CE7CB5" w:rsidRPr="00B0658A">
        <w:rPr>
          <w:rFonts w:ascii="Times New Roman" w:hAnsi="Times New Roman"/>
          <w:sz w:val="28"/>
          <w:szCs w:val="28"/>
        </w:rPr>
        <w:t xml:space="preserve"> указанным организациям рекомендуется предоставлять в Минцифры России соответствующие отчетные сведения</w:t>
      </w:r>
      <w:r w:rsidR="000056D6" w:rsidRPr="00B0658A">
        <w:rPr>
          <w:rFonts w:ascii="Times New Roman" w:hAnsi="Times New Roman"/>
          <w:sz w:val="28"/>
          <w:szCs w:val="28"/>
        </w:rPr>
        <w:t xml:space="preserve"> в соответствии с отчетными формами</w:t>
      </w:r>
      <w:r w:rsidR="00FF7FC2" w:rsidRPr="00B0658A">
        <w:rPr>
          <w:rFonts w:ascii="Times New Roman" w:hAnsi="Times New Roman"/>
          <w:sz w:val="28"/>
          <w:szCs w:val="28"/>
        </w:rPr>
        <w:t xml:space="preserve">, </w:t>
      </w:r>
      <w:r w:rsidR="00FF7FC2" w:rsidRPr="00B0658A">
        <w:rPr>
          <w:rFonts w:ascii="Times New Roman" w:hAnsi="Times New Roman"/>
          <w:sz w:val="28"/>
          <w:szCs w:val="24"/>
        </w:rPr>
        <w:t>приведенными в Методических рекомендациях по цифровой трансформации</w:t>
      </w:r>
      <w:r w:rsidRPr="00B0658A">
        <w:rPr>
          <w:rFonts w:ascii="Times New Roman" w:hAnsi="Times New Roman"/>
          <w:sz w:val="28"/>
          <w:szCs w:val="28"/>
        </w:rPr>
        <w:t>.</w:t>
      </w:r>
    </w:p>
    <w:p w14:paraId="0B1E8BD1" w14:textId="77777777" w:rsidR="00AA7FDF" w:rsidRPr="00B0658A" w:rsidRDefault="00BE1FC3" w:rsidP="00F57B1F">
      <w:pPr>
        <w:spacing w:after="0" w:line="240" w:lineRule="auto"/>
        <w:ind w:firstLine="709"/>
        <w:jc w:val="both"/>
        <w:rPr>
          <w:rFonts w:ascii="Times New Roman" w:hAnsi="Times New Roman"/>
          <w:sz w:val="28"/>
          <w:szCs w:val="28"/>
        </w:rPr>
      </w:pPr>
      <w:r w:rsidRPr="00B0658A">
        <w:rPr>
          <w:rFonts w:ascii="Times New Roman" w:hAnsi="Times New Roman"/>
          <w:sz w:val="28"/>
          <w:szCs w:val="28"/>
        </w:rPr>
        <w:t xml:space="preserve"> Рекомендованные отчетные формы для представления сведений указанными организациями о ходе реализации Плана перехода на использование российского ПО и достижении показателей эффективности перехода на использование российского ПО </w:t>
      </w:r>
      <w:r w:rsidR="007C3BB1" w:rsidRPr="00B0658A">
        <w:rPr>
          <w:rFonts w:ascii="Times New Roman" w:hAnsi="Times New Roman"/>
          <w:sz w:val="28"/>
          <w:szCs w:val="28"/>
        </w:rPr>
        <w:t xml:space="preserve">на принадлежащих им значимых объектах КИИ </w:t>
      </w:r>
      <w:r w:rsidRPr="00B0658A">
        <w:rPr>
          <w:rFonts w:ascii="Times New Roman" w:hAnsi="Times New Roman"/>
          <w:sz w:val="28"/>
          <w:szCs w:val="28"/>
        </w:rPr>
        <w:t xml:space="preserve">приведены в Приложении </w:t>
      </w:r>
      <w:r w:rsidR="00592B14" w:rsidRPr="00B0658A">
        <w:rPr>
          <w:rFonts w:ascii="Times New Roman" w:hAnsi="Times New Roman"/>
          <w:sz w:val="28"/>
          <w:szCs w:val="28"/>
        </w:rPr>
        <w:t>№</w:t>
      </w:r>
      <w:r w:rsidRPr="00B0658A">
        <w:rPr>
          <w:rFonts w:ascii="Times New Roman" w:hAnsi="Times New Roman"/>
          <w:sz w:val="28"/>
          <w:szCs w:val="28"/>
        </w:rPr>
        <w:t>12 к настоящим методическим рекомендациям.</w:t>
      </w:r>
    </w:p>
    <w:p w14:paraId="2DE68274" w14:textId="228F60FB" w:rsidR="00DE0727" w:rsidRPr="00B0658A" w:rsidRDefault="00792FAC"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Рекомендуемые с</w:t>
      </w:r>
      <w:r w:rsidR="00DE0727" w:rsidRPr="00B0658A">
        <w:rPr>
          <w:rFonts w:ascii="Times New Roman" w:hAnsi="Times New Roman"/>
          <w:sz w:val="28"/>
          <w:szCs w:val="24"/>
        </w:rPr>
        <w:t xml:space="preserve">роки предоставления в Минцифры России отчетных сведений согласно отчетным формам, приведенным в </w:t>
      </w:r>
      <w:r w:rsidR="00643168">
        <w:rPr>
          <w:rFonts w:ascii="Times New Roman" w:hAnsi="Times New Roman"/>
          <w:sz w:val="28"/>
          <w:szCs w:val="24"/>
        </w:rPr>
        <w:t>п</w:t>
      </w:r>
      <w:r w:rsidR="00DE0727" w:rsidRPr="00B0658A">
        <w:rPr>
          <w:rFonts w:ascii="Times New Roman" w:hAnsi="Times New Roman"/>
          <w:sz w:val="28"/>
          <w:szCs w:val="24"/>
        </w:rPr>
        <w:t>риложении № 12 к настоящим Методическим рекомендациям:</w:t>
      </w:r>
    </w:p>
    <w:p w14:paraId="7F277873" w14:textId="57B2BBF7" w:rsidR="00DE0727" w:rsidRPr="00B0658A" w:rsidRDefault="00DE0727"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для полугодовых отчетов – в течение 1 месяца после даты завершения отчетного периода;</w:t>
      </w:r>
    </w:p>
    <w:p w14:paraId="2844CB97" w14:textId="489356EA" w:rsidR="00DE0727" w:rsidRPr="00B0658A" w:rsidRDefault="00DE0727"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для годовых отчетов – в течение 4-х месяцев после даты завершения отчетного периода.</w:t>
      </w:r>
    </w:p>
    <w:p w14:paraId="5DE5CAD5" w14:textId="77777777" w:rsidR="002127BB" w:rsidRPr="00B0658A" w:rsidRDefault="002127BB" w:rsidP="00F57B1F">
      <w:pPr>
        <w:spacing w:after="0" w:line="240" w:lineRule="auto"/>
        <w:ind w:firstLine="709"/>
        <w:jc w:val="both"/>
        <w:rPr>
          <w:rFonts w:ascii="Times New Roman" w:hAnsi="Times New Roman"/>
          <w:sz w:val="28"/>
          <w:szCs w:val="24"/>
        </w:rPr>
      </w:pPr>
    </w:p>
    <w:p w14:paraId="53A3323B" w14:textId="77777777" w:rsidR="002127BB" w:rsidRPr="00B0658A" w:rsidRDefault="007736E0" w:rsidP="00F57B1F">
      <w:pPr>
        <w:pStyle w:val="11"/>
        <w:spacing w:before="0" w:after="0" w:line="240" w:lineRule="auto"/>
        <w:rPr>
          <w:rFonts w:cs="Times New Roman"/>
          <w:szCs w:val="28"/>
        </w:rPr>
      </w:pPr>
      <w:bookmarkStart w:id="10" w:name="_Toc116632265"/>
      <w:r w:rsidRPr="00B0658A">
        <w:rPr>
          <w:rFonts w:cs="Times New Roman"/>
          <w:szCs w:val="28"/>
        </w:rPr>
        <w:t>3.4. Переход на использование российского ПО иных организаций, осуществляющих закупки товаров, работ, услуг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Федеральным законом «О закупках товаров, работ, услуг отдельными видами юридических лиц» (за исключением организаций с муниципальным участием)</w:t>
      </w:r>
      <w:bookmarkEnd w:id="10"/>
    </w:p>
    <w:p w14:paraId="36CAEE01" w14:textId="77777777" w:rsidR="00787E83" w:rsidRPr="00B0658A" w:rsidRDefault="00787E83" w:rsidP="00F57B1F">
      <w:pPr>
        <w:spacing w:after="0" w:line="240" w:lineRule="auto"/>
        <w:ind w:firstLine="709"/>
        <w:jc w:val="both"/>
        <w:rPr>
          <w:rFonts w:ascii="Times New Roman" w:hAnsi="Times New Roman"/>
          <w:sz w:val="28"/>
          <w:szCs w:val="28"/>
        </w:rPr>
      </w:pPr>
    </w:p>
    <w:p w14:paraId="22197DC6" w14:textId="77777777" w:rsidR="007736E0" w:rsidRPr="00B0658A" w:rsidRDefault="00787E83" w:rsidP="00F57B1F">
      <w:pPr>
        <w:spacing w:after="0" w:line="240" w:lineRule="auto"/>
        <w:ind w:firstLine="709"/>
        <w:jc w:val="both"/>
        <w:rPr>
          <w:rFonts w:ascii="Times New Roman" w:hAnsi="Times New Roman"/>
          <w:sz w:val="28"/>
          <w:szCs w:val="28"/>
        </w:rPr>
      </w:pPr>
      <w:r w:rsidRPr="00B0658A">
        <w:rPr>
          <w:rFonts w:ascii="Times New Roman" w:hAnsi="Times New Roman"/>
          <w:sz w:val="28"/>
          <w:szCs w:val="28"/>
        </w:rPr>
        <w:t xml:space="preserve">119. Настоящий раздел методических рекомендаций применяется для организаций, осуществляющих закупки товаров, работ, услуг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Федеральным законом «О закупках товаров, работ, услуг отдельными видами юридических лиц» (за исключением организаций с муниципальным участием), не </w:t>
      </w:r>
      <w:r w:rsidR="004705A3" w:rsidRPr="00B0658A">
        <w:rPr>
          <w:rFonts w:ascii="Times New Roman" w:hAnsi="Times New Roman"/>
          <w:sz w:val="28"/>
          <w:szCs w:val="28"/>
        </w:rPr>
        <w:t xml:space="preserve">являющихся организациями, подведомственными органам государственной власти и государственным внебюджетным фондам, не </w:t>
      </w:r>
      <w:r w:rsidRPr="00B0658A">
        <w:rPr>
          <w:rFonts w:ascii="Times New Roman" w:hAnsi="Times New Roman"/>
          <w:sz w:val="28"/>
          <w:szCs w:val="28"/>
        </w:rPr>
        <w:t xml:space="preserve">включенных в специальный перечень </w:t>
      </w:r>
      <w:r w:rsidR="00592B14" w:rsidRPr="00B0658A">
        <w:rPr>
          <w:rFonts w:ascii="Times New Roman" w:hAnsi="Times New Roman"/>
          <w:sz w:val="28"/>
          <w:szCs w:val="28"/>
        </w:rPr>
        <w:t>№ </w:t>
      </w:r>
      <w:r w:rsidRPr="00B0658A">
        <w:rPr>
          <w:rFonts w:ascii="Times New Roman" w:hAnsi="Times New Roman"/>
          <w:sz w:val="28"/>
          <w:szCs w:val="28"/>
        </w:rPr>
        <w:t xml:space="preserve">91-р и в отношении которых не приняты решения о разработке стратегии </w:t>
      </w:r>
      <w:r w:rsidRPr="00B0658A">
        <w:rPr>
          <w:rFonts w:ascii="Times New Roman" w:hAnsi="Times New Roman"/>
          <w:sz w:val="28"/>
          <w:szCs w:val="28"/>
        </w:rPr>
        <w:lastRenderedPageBreak/>
        <w:t xml:space="preserve">(программы) цифровой трансформации (протокол заочного голосования членов президиума Правительственной комиссии по цифровому развитию, использованию информационных технологий для улучшения качества жизни и условий ведения предпринимательской деятельности от 31 августа 2022 г. </w:t>
      </w:r>
      <w:r w:rsidR="00592B14" w:rsidRPr="00B0658A">
        <w:rPr>
          <w:rFonts w:ascii="Times New Roman" w:hAnsi="Times New Roman"/>
          <w:sz w:val="28"/>
          <w:szCs w:val="28"/>
        </w:rPr>
        <w:t>№ </w:t>
      </w:r>
      <w:r w:rsidRPr="00B0658A">
        <w:rPr>
          <w:rFonts w:ascii="Times New Roman" w:hAnsi="Times New Roman"/>
          <w:sz w:val="28"/>
          <w:szCs w:val="28"/>
        </w:rPr>
        <w:t>34)</w:t>
      </w:r>
      <w:r w:rsidR="004705A3" w:rsidRPr="00B0658A">
        <w:rPr>
          <w:rFonts w:ascii="Times New Roman" w:hAnsi="Times New Roman"/>
          <w:sz w:val="28"/>
          <w:szCs w:val="28"/>
        </w:rPr>
        <w:t xml:space="preserve"> (далее – заказчики 44-ФЗ и заказчики 223-ФЗ)</w:t>
      </w:r>
      <w:r w:rsidRPr="00B0658A">
        <w:rPr>
          <w:rFonts w:ascii="Times New Roman" w:hAnsi="Times New Roman"/>
          <w:sz w:val="28"/>
          <w:szCs w:val="28"/>
        </w:rPr>
        <w:t>.</w:t>
      </w:r>
    </w:p>
    <w:p w14:paraId="46FACD80" w14:textId="77777777" w:rsidR="004705A3" w:rsidRPr="00B0658A" w:rsidRDefault="004705A3" w:rsidP="00F57B1F">
      <w:pPr>
        <w:spacing w:after="0" w:line="240" w:lineRule="auto"/>
        <w:ind w:firstLine="720"/>
        <w:jc w:val="both"/>
        <w:rPr>
          <w:rFonts w:ascii="Times New Roman" w:hAnsi="Times New Roman"/>
          <w:sz w:val="28"/>
          <w:szCs w:val="24"/>
        </w:rPr>
      </w:pPr>
      <w:r w:rsidRPr="00B0658A">
        <w:rPr>
          <w:rFonts w:ascii="Times New Roman" w:hAnsi="Times New Roman"/>
          <w:sz w:val="28"/>
          <w:szCs w:val="28"/>
        </w:rPr>
        <w:t>120. </w:t>
      </w:r>
      <w:r w:rsidR="00BA1901" w:rsidRPr="00B0658A">
        <w:rPr>
          <w:rFonts w:ascii="Times New Roman" w:hAnsi="Times New Roman"/>
          <w:sz w:val="28"/>
          <w:szCs w:val="28"/>
        </w:rPr>
        <w:t xml:space="preserve">В </w:t>
      </w:r>
      <w:r w:rsidRPr="00B0658A">
        <w:rPr>
          <w:rFonts w:ascii="Times New Roman" w:hAnsi="Times New Roman"/>
          <w:sz w:val="28"/>
          <w:szCs w:val="24"/>
        </w:rPr>
        <w:t xml:space="preserve">План перехода заказчиков 44-ФЗ и заказчиков 223-ФЗ на использование российского ПО </w:t>
      </w:r>
      <w:r w:rsidR="00BA1901" w:rsidRPr="00B0658A">
        <w:rPr>
          <w:rFonts w:ascii="Times New Roman" w:hAnsi="Times New Roman"/>
          <w:sz w:val="28"/>
          <w:szCs w:val="24"/>
        </w:rPr>
        <w:t>рекомендуется</w:t>
      </w:r>
      <w:r w:rsidRPr="00B0658A">
        <w:rPr>
          <w:rFonts w:ascii="Times New Roman" w:hAnsi="Times New Roman"/>
          <w:sz w:val="28"/>
          <w:szCs w:val="24"/>
        </w:rPr>
        <w:t xml:space="preserve"> включа</w:t>
      </w:r>
      <w:r w:rsidR="00BA1901" w:rsidRPr="00B0658A">
        <w:rPr>
          <w:rFonts w:ascii="Times New Roman" w:hAnsi="Times New Roman"/>
          <w:sz w:val="28"/>
          <w:szCs w:val="24"/>
        </w:rPr>
        <w:t>ть</w:t>
      </w:r>
      <w:r w:rsidRPr="00B0658A">
        <w:rPr>
          <w:rFonts w:ascii="Times New Roman" w:hAnsi="Times New Roman"/>
          <w:sz w:val="28"/>
          <w:szCs w:val="24"/>
        </w:rPr>
        <w:t>:</w:t>
      </w:r>
    </w:p>
    <w:p w14:paraId="1EAA86A9" w14:textId="77777777" w:rsidR="004705A3" w:rsidRPr="00B0658A" w:rsidRDefault="004705A3" w:rsidP="00F57B1F">
      <w:pPr>
        <w:spacing w:after="0" w:line="240" w:lineRule="auto"/>
        <w:ind w:firstLine="720"/>
        <w:jc w:val="both"/>
        <w:rPr>
          <w:rFonts w:ascii="Times New Roman" w:hAnsi="Times New Roman"/>
          <w:sz w:val="28"/>
          <w:szCs w:val="24"/>
        </w:rPr>
      </w:pPr>
      <w:r w:rsidRPr="00B0658A">
        <w:rPr>
          <w:rFonts w:ascii="Times New Roman" w:hAnsi="Times New Roman"/>
          <w:sz w:val="28"/>
          <w:szCs w:val="24"/>
        </w:rPr>
        <w:t>а) перечень организационно-технических мероприятий, реализация которых необходима для перехода на использование российского ПО, в том числе на значимых объектах КИИ, с учетом требований настоящих методических рекомендаций и требований законодательства Российской Федерации (в виде отдельной таблицы);</w:t>
      </w:r>
    </w:p>
    <w:p w14:paraId="0EFCCF19" w14:textId="77777777" w:rsidR="004705A3" w:rsidRPr="00B0658A" w:rsidRDefault="004705A3" w:rsidP="00F57B1F">
      <w:pPr>
        <w:spacing w:after="0" w:line="240" w:lineRule="auto"/>
        <w:ind w:firstLine="720"/>
        <w:jc w:val="both"/>
        <w:rPr>
          <w:rFonts w:ascii="Times New Roman" w:hAnsi="Times New Roman"/>
          <w:sz w:val="28"/>
          <w:szCs w:val="24"/>
        </w:rPr>
      </w:pPr>
      <w:r w:rsidRPr="00B0658A">
        <w:rPr>
          <w:rFonts w:ascii="Times New Roman" w:hAnsi="Times New Roman"/>
          <w:sz w:val="28"/>
          <w:szCs w:val="24"/>
        </w:rPr>
        <w:t xml:space="preserve">б) показатели эффективности и соответствующие им </w:t>
      </w:r>
      <w:r w:rsidR="00651855" w:rsidRPr="00B0658A">
        <w:rPr>
          <w:rFonts w:ascii="Times New Roman" w:hAnsi="Times New Roman"/>
          <w:sz w:val="28"/>
          <w:szCs w:val="24"/>
        </w:rPr>
        <w:t xml:space="preserve">значения </w:t>
      </w:r>
      <w:r w:rsidRPr="00B0658A">
        <w:rPr>
          <w:rFonts w:ascii="Times New Roman" w:hAnsi="Times New Roman"/>
          <w:sz w:val="28"/>
          <w:szCs w:val="24"/>
        </w:rPr>
        <w:t>индикатор</w:t>
      </w:r>
      <w:r w:rsidR="00651855" w:rsidRPr="00B0658A">
        <w:rPr>
          <w:rFonts w:ascii="Times New Roman" w:hAnsi="Times New Roman"/>
          <w:sz w:val="28"/>
          <w:szCs w:val="24"/>
        </w:rPr>
        <w:t>ов</w:t>
      </w:r>
      <w:r w:rsidRPr="00B0658A">
        <w:rPr>
          <w:rFonts w:ascii="Times New Roman" w:hAnsi="Times New Roman"/>
          <w:sz w:val="28"/>
          <w:szCs w:val="24"/>
        </w:rPr>
        <w:t xml:space="preserve"> эффективности перехода на использование российского ПО, предусматривающие установление по годам показателей эффективности использования российского ПО в отношении каждого используемого класса (типа) ПО в соответствии с приказом Министерства цифрового развития, связи и массовых коммуникаций Российской Федерации от 22 сентября 2020 г. </w:t>
      </w:r>
      <w:r w:rsidR="00592B14" w:rsidRPr="00B0658A">
        <w:rPr>
          <w:rFonts w:ascii="Times New Roman" w:hAnsi="Times New Roman"/>
          <w:sz w:val="28"/>
          <w:szCs w:val="24"/>
        </w:rPr>
        <w:t>№ </w:t>
      </w:r>
      <w:r w:rsidRPr="00B0658A">
        <w:rPr>
          <w:rFonts w:ascii="Times New Roman" w:hAnsi="Times New Roman"/>
          <w:sz w:val="28"/>
          <w:szCs w:val="24"/>
        </w:rPr>
        <w:t xml:space="preserve"> 486 «Об утверждении классификатора программ для электронных вычислительных машин и баз данных» (в виде отдельной таблицы);</w:t>
      </w:r>
    </w:p>
    <w:p w14:paraId="13A1B36C" w14:textId="77777777" w:rsidR="004705A3" w:rsidRPr="00B0658A" w:rsidRDefault="004705A3" w:rsidP="00F57B1F">
      <w:pPr>
        <w:spacing w:after="0" w:line="240" w:lineRule="auto"/>
        <w:ind w:firstLine="720"/>
        <w:jc w:val="both"/>
        <w:rPr>
          <w:rFonts w:ascii="Times New Roman" w:hAnsi="Times New Roman"/>
          <w:sz w:val="28"/>
          <w:szCs w:val="24"/>
        </w:rPr>
      </w:pPr>
      <w:r w:rsidRPr="00B0658A">
        <w:rPr>
          <w:rFonts w:ascii="Times New Roman" w:hAnsi="Times New Roman"/>
          <w:sz w:val="28"/>
          <w:szCs w:val="24"/>
        </w:rPr>
        <w:t xml:space="preserve">в) показатели эффективности в отношении закупок ПО и связанных с ним работ и услуг, осуществляемых </w:t>
      </w:r>
      <w:r w:rsidR="00651855" w:rsidRPr="00B0658A">
        <w:rPr>
          <w:rFonts w:ascii="Times New Roman" w:hAnsi="Times New Roman"/>
          <w:sz w:val="28"/>
          <w:szCs w:val="24"/>
        </w:rPr>
        <w:t>заказчиком 44-ФЗ или заказчиком 223-ФЗ</w:t>
      </w:r>
      <w:r w:rsidRPr="00B0658A">
        <w:rPr>
          <w:rFonts w:ascii="Times New Roman" w:hAnsi="Times New Roman"/>
          <w:sz w:val="28"/>
          <w:szCs w:val="24"/>
        </w:rPr>
        <w:t>, устанавливаемые по годам на весь период планирования перехода на использование российского ПО (в виде отдельной таблицы);</w:t>
      </w:r>
    </w:p>
    <w:p w14:paraId="3D6CF8B2" w14:textId="77777777" w:rsidR="004705A3" w:rsidRPr="00B0658A" w:rsidRDefault="004705A3" w:rsidP="00F57B1F">
      <w:pPr>
        <w:spacing w:after="0" w:line="240" w:lineRule="auto"/>
        <w:ind w:firstLine="720"/>
        <w:jc w:val="both"/>
        <w:rPr>
          <w:rFonts w:ascii="Times New Roman" w:hAnsi="Times New Roman"/>
          <w:sz w:val="28"/>
          <w:szCs w:val="24"/>
        </w:rPr>
      </w:pPr>
      <w:r w:rsidRPr="00B0658A">
        <w:rPr>
          <w:rFonts w:ascii="Times New Roman" w:hAnsi="Times New Roman"/>
          <w:sz w:val="28"/>
          <w:szCs w:val="24"/>
        </w:rPr>
        <w:t>г) сведения об объемах и источниках финансовых ресурсов, планируемых для решения задач по переходу на использование российского ПО, в том числе на значимых объектах КИИ, указываемых по годам (в виде отдельной таблицы);</w:t>
      </w:r>
    </w:p>
    <w:p w14:paraId="188DA2ED" w14:textId="77777777" w:rsidR="00651855" w:rsidRPr="00B0658A" w:rsidRDefault="004705A3"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 xml:space="preserve">д) детализированный план перехода на использование российского ПО на принадлежащих </w:t>
      </w:r>
      <w:r w:rsidR="00651855" w:rsidRPr="00B0658A">
        <w:rPr>
          <w:rFonts w:ascii="Times New Roman" w:hAnsi="Times New Roman"/>
          <w:sz w:val="28"/>
          <w:szCs w:val="24"/>
        </w:rPr>
        <w:t xml:space="preserve">заказчику 44-ФЗ или заказчику 223-ФЗ </w:t>
      </w:r>
      <w:r w:rsidRPr="00B0658A">
        <w:rPr>
          <w:rFonts w:ascii="Times New Roman" w:hAnsi="Times New Roman"/>
          <w:sz w:val="28"/>
          <w:szCs w:val="24"/>
        </w:rPr>
        <w:t xml:space="preserve">значимых объектах КИИ, представляющий собой определение перечня мероприятий и задач по каждому значимому объекту КИИ, а также показатели эффективности перехода на использование российского ПО и соответствующие им </w:t>
      </w:r>
      <w:r w:rsidR="00651855" w:rsidRPr="00B0658A">
        <w:rPr>
          <w:rFonts w:ascii="Times New Roman" w:hAnsi="Times New Roman"/>
          <w:sz w:val="28"/>
          <w:szCs w:val="24"/>
        </w:rPr>
        <w:t xml:space="preserve">значения </w:t>
      </w:r>
      <w:r w:rsidRPr="00B0658A">
        <w:rPr>
          <w:rFonts w:ascii="Times New Roman" w:hAnsi="Times New Roman"/>
          <w:sz w:val="28"/>
          <w:szCs w:val="24"/>
        </w:rPr>
        <w:t>индикатор</w:t>
      </w:r>
      <w:r w:rsidR="00651855" w:rsidRPr="00B0658A">
        <w:rPr>
          <w:rFonts w:ascii="Times New Roman" w:hAnsi="Times New Roman"/>
          <w:sz w:val="28"/>
          <w:szCs w:val="24"/>
        </w:rPr>
        <w:t>ов</w:t>
      </w:r>
      <w:r w:rsidRPr="00B0658A">
        <w:rPr>
          <w:rFonts w:ascii="Times New Roman" w:hAnsi="Times New Roman"/>
          <w:sz w:val="28"/>
          <w:szCs w:val="24"/>
        </w:rPr>
        <w:t xml:space="preserve"> эффективности, устанавливаемые по годам для каждого значимого объекта КИИ в отношении каждого класса (типа) ПО, используемого на соответствующем значимом объекте КИИ (в виде отдельной таблицы).</w:t>
      </w:r>
    </w:p>
    <w:p w14:paraId="0CB024E9" w14:textId="77777777" w:rsidR="00651855" w:rsidRPr="00B0658A" w:rsidRDefault="00651855" w:rsidP="00F57B1F">
      <w:pPr>
        <w:spacing w:after="0" w:line="240" w:lineRule="auto"/>
        <w:ind w:firstLine="720"/>
        <w:jc w:val="both"/>
        <w:rPr>
          <w:rFonts w:ascii="Times New Roman" w:hAnsi="Times New Roman"/>
          <w:sz w:val="28"/>
          <w:szCs w:val="24"/>
        </w:rPr>
      </w:pPr>
      <w:r w:rsidRPr="00B0658A">
        <w:rPr>
          <w:rFonts w:ascii="Times New Roman" w:hAnsi="Times New Roman"/>
          <w:sz w:val="28"/>
          <w:szCs w:val="24"/>
        </w:rPr>
        <w:t xml:space="preserve">121. План перехода заказчика 44-ФЗ или заказчика 223-ФЗ на использование российского ПО </w:t>
      </w:r>
      <w:r w:rsidR="00BA1901" w:rsidRPr="00B0658A">
        <w:rPr>
          <w:rFonts w:ascii="Times New Roman" w:hAnsi="Times New Roman"/>
          <w:sz w:val="28"/>
          <w:szCs w:val="24"/>
        </w:rPr>
        <w:t xml:space="preserve">рекомендуется </w:t>
      </w:r>
      <w:r w:rsidRPr="00B0658A">
        <w:rPr>
          <w:rFonts w:ascii="Times New Roman" w:hAnsi="Times New Roman"/>
          <w:sz w:val="28"/>
          <w:szCs w:val="24"/>
        </w:rPr>
        <w:t>утверд</w:t>
      </w:r>
      <w:r w:rsidR="00BA1901" w:rsidRPr="00B0658A">
        <w:rPr>
          <w:rFonts w:ascii="Times New Roman" w:hAnsi="Times New Roman"/>
          <w:sz w:val="28"/>
          <w:szCs w:val="24"/>
        </w:rPr>
        <w:t>ить</w:t>
      </w:r>
      <w:r w:rsidRPr="00B0658A">
        <w:rPr>
          <w:rFonts w:ascii="Times New Roman" w:hAnsi="Times New Roman"/>
          <w:sz w:val="28"/>
          <w:szCs w:val="24"/>
        </w:rPr>
        <w:t xml:space="preserve"> решением руководителя организации.</w:t>
      </w:r>
    </w:p>
    <w:p w14:paraId="5C84A4B5" w14:textId="77777777" w:rsidR="00651855" w:rsidRPr="00B0658A" w:rsidRDefault="00651855" w:rsidP="00F57B1F">
      <w:pPr>
        <w:spacing w:after="0" w:line="240" w:lineRule="auto"/>
        <w:ind w:firstLine="720"/>
        <w:jc w:val="both"/>
        <w:rPr>
          <w:rFonts w:ascii="Times New Roman" w:hAnsi="Times New Roman"/>
          <w:sz w:val="28"/>
          <w:szCs w:val="28"/>
        </w:rPr>
      </w:pPr>
      <w:r w:rsidRPr="00B0658A">
        <w:rPr>
          <w:rFonts w:ascii="Times New Roman" w:hAnsi="Times New Roman"/>
          <w:sz w:val="28"/>
          <w:szCs w:val="24"/>
        </w:rPr>
        <w:t>122. В целях обеспечения эффективного перехода заказчика 44-ФЗ или заказчика 223-ФЗ на использование российского ПО рекомендуется определить решением руководителя организации работника организации, занимающего должность не ниже заместителя руководителя организации, ответственного за переход на использование российского ПО, а также за достижение устанавливаемых в Плане перехода показателей эффективности и соответствующих им значений индикаторов эффективности</w:t>
      </w:r>
      <w:r w:rsidRPr="00B0658A">
        <w:rPr>
          <w:rFonts w:ascii="Times New Roman" w:hAnsi="Times New Roman"/>
          <w:sz w:val="28"/>
          <w:szCs w:val="28"/>
        </w:rPr>
        <w:t>.</w:t>
      </w:r>
    </w:p>
    <w:p w14:paraId="67AF9815" w14:textId="77777777" w:rsidR="00651855" w:rsidRPr="00B0658A" w:rsidRDefault="00651855" w:rsidP="00F57B1F">
      <w:pPr>
        <w:spacing w:after="0" w:line="240" w:lineRule="auto"/>
        <w:ind w:firstLine="720"/>
        <w:jc w:val="both"/>
        <w:rPr>
          <w:rFonts w:ascii="Times New Roman" w:hAnsi="Times New Roman"/>
          <w:sz w:val="28"/>
          <w:szCs w:val="24"/>
        </w:rPr>
      </w:pPr>
      <w:r w:rsidRPr="00B0658A">
        <w:rPr>
          <w:rFonts w:ascii="Times New Roman" w:hAnsi="Times New Roman"/>
          <w:sz w:val="28"/>
          <w:szCs w:val="28"/>
        </w:rPr>
        <w:t>123. </w:t>
      </w:r>
      <w:r w:rsidRPr="00B0658A">
        <w:rPr>
          <w:rFonts w:ascii="Times New Roman" w:hAnsi="Times New Roman"/>
          <w:sz w:val="28"/>
          <w:szCs w:val="24"/>
        </w:rPr>
        <w:t xml:space="preserve">План перехода заказчика 44-ФЗ или заказчика 223-ФЗ на использование российского ПО </w:t>
      </w:r>
      <w:r w:rsidR="00BA1901" w:rsidRPr="00B0658A">
        <w:rPr>
          <w:rFonts w:ascii="Times New Roman" w:hAnsi="Times New Roman"/>
          <w:sz w:val="28"/>
          <w:szCs w:val="24"/>
        </w:rPr>
        <w:t xml:space="preserve">рекомендуется </w:t>
      </w:r>
      <w:r w:rsidRPr="00B0658A">
        <w:rPr>
          <w:rFonts w:ascii="Times New Roman" w:hAnsi="Times New Roman"/>
          <w:sz w:val="28"/>
          <w:szCs w:val="24"/>
        </w:rPr>
        <w:t>согласова</w:t>
      </w:r>
      <w:r w:rsidR="00BA1901" w:rsidRPr="00B0658A">
        <w:rPr>
          <w:rFonts w:ascii="Times New Roman" w:hAnsi="Times New Roman"/>
          <w:sz w:val="28"/>
          <w:szCs w:val="24"/>
        </w:rPr>
        <w:t>ть</w:t>
      </w:r>
      <w:r w:rsidRPr="00B0658A">
        <w:rPr>
          <w:rFonts w:ascii="Times New Roman" w:hAnsi="Times New Roman"/>
          <w:sz w:val="28"/>
          <w:szCs w:val="24"/>
        </w:rPr>
        <w:t xml:space="preserve"> с Минцифры России</w:t>
      </w:r>
      <w:r w:rsidR="00E31727" w:rsidRPr="00B0658A">
        <w:rPr>
          <w:rFonts w:ascii="Times New Roman" w:hAnsi="Times New Roman"/>
          <w:sz w:val="28"/>
          <w:szCs w:val="24"/>
        </w:rPr>
        <w:t>. План перехода</w:t>
      </w:r>
      <w:r w:rsidR="004A767D" w:rsidRPr="00B0658A">
        <w:rPr>
          <w:rFonts w:ascii="Times New Roman" w:hAnsi="Times New Roman"/>
          <w:sz w:val="28"/>
          <w:szCs w:val="24"/>
        </w:rPr>
        <w:t xml:space="preserve"> </w:t>
      </w:r>
      <w:r w:rsidR="0006590B" w:rsidRPr="00B0658A">
        <w:rPr>
          <w:rFonts w:ascii="Times New Roman" w:hAnsi="Times New Roman"/>
          <w:sz w:val="28"/>
          <w:szCs w:val="24"/>
        </w:rPr>
        <w:t xml:space="preserve">заказчика 44-ФЗ или заказчика 223-ФЗ, являющегося </w:t>
      </w:r>
      <w:r w:rsidR="004A767D" w:rsidRPr="00B0658A">
        <w:rPr>
          <w:rFonts w:ascii="Times New Roman" w:hAnsi="Times New Roman"/>
          <w:sz w:val="28"/>
          <w:szCs w:val="24"/>
        </w:rPr>
        <w:t>компани</w:t>
      </w:r>
      <w:r w:rsidR="0006590B" w:rsidRPr="00B0658A">
        <w:rPr>
          <w:rFonts w:ascii="Times New Roman" w:hAnsi="Times New Roman"/>
          <w:sz w:val="28"/>
          <w:szCs w:val="24"/>
        </w:rPr>
        <w:t>ей</w:t>
      </w:r>
      <w:r w:rsidR="004A767D" w:rsidRPr="00B0658A">
        <w:rPr>
          <w:rFonts w:ascii="Times New Roman" w:hAnsi="Times New Roman"/>
          <w:sz w:val="28"/>
          <w:szCs w:val="24"/>
        </w:rPr>
        <w:t xml:space="preserve"> с государственным </w:t>
      </w:r>
      <w:r w:rsidR="004A767D" w:rsidRPr="00B0658A">
        <w:rPr>
          <w:rFonts w:ascii="Times New Roman" w:hAnsi="Times New Roman"/>
          <w:sz w:val="28"/>
          <w:szCs w:val="24"/>
        </w:rPr>
        <w:lastRenderedPageBreak/>
        <w:t>участием</w:t>
      </w:r>
      <w:r w:rsidR="0006590B" w:rsidRPr="00B0658A">
        <w:rPr>
          <w:rFonts w:ascii="Times New Roman" w:hAnsi="Times New Roman"/>
          <w:sz w:val="28"/>
          <w:szCs w:val="24"/>
        </w:rPr>
        <w:t>,</w:t>
      </w:r>
      <w:r w:rsidR="00E31727" w:rsidRPr="00B0658A">
        <w:rPr>
          <w:rFonts w:ascii="Times New Roman" w:hAnsi="Times New Roman"/>
          <w:sz w:val="28"/>
          <w:szCs w:val="24"/>
        </w:rPr>
        <w:t xml:space="preserve"> </w:t>
      </w:r>
      <w:r w:rsidR="00B122BC" w:rsidRPr="00B0658A">
        <w:rPr>
          <w:rFonts w:ascii="Times New Roman" w:hAnsi="Times New Roman"/>
          <w:sz w:val="28"/>
          <w:szCs w:val="24"/>
        </w:rPr>
        <w:t>рекомендуется также</w:t>
      </w:r>
      <w:r w:rsidR="00E31727" w:rsidRPr="00B0658A">
        <w:rPr>
          <w:rFonts w:ascii="Times New Roman" w:hAnsi="Times New Roman"/>
          <w:sz w:val="28"/>
          <w:szCs w:val="24"/>
        </w:rPr>
        <w:t xml:space="preserve"> согласова</w:t>
      </w:r>
      <w:r w:rsidR="00B122BC" w:rsidRPr="00B0658A">
        <w:rPr>
          <w:rFonts w:ascii="Times New Roman" w:hAnsi="Times New Roman"/>
          <w:sz w:val="28"/>
          <w:szCs w:val="24"/>
        </w:rPr>
        <w:t>ть</w:t>
      </w:r>
      <w:r w:rsidR="00E31727" w:rsidRPr="00B0658A">
        <w:rPr>
          <w:rFonts w:ascii="Times New Roman" w:hAnsi="Times New Roman"/>
          <w:sz w:val="28"/>
          <w:szCs w:val="24"/>
        </w:rPr>
        <w:t xml:space="preserve"> с АНО «Центр компетенций по импортозамещению в сфере </w:t>
      </w:r>
      <w:r w:rsidR="000803DD" w:rsidRPr="00B0658A">
        <w:rPr>
          <w:rFonts w:ascii="Times New Roman" w:hAnsi="Times New Roman"/>
          <w:sz w:val="28"/>
          <w:szCs w:val="24"/>
        </w:rPr>
        <w:t>ИКТ</w:t>
      </w:r>
      <w:r w:rsidR="00E31727" w:rsidRPr="00B0658A">
        <w:rPr>
          <w:rFonts w:ascii="Times New Roman" w:hAnsi="Times New Roman"/>
          <w:sz w:val="28"/>
          <w:szCs w:val="24"/>
        </w:rPr>
        <w:t xml:space="preserve">» (за исключением сведений, составляющих государственную тайну) в соответствии с постановлением Правительства Российской Федерации от 15 декабря 2020 г. </w:t>
      </w:r>
      <w:r w:rsidR="00592B14" w:rsidRPr="00B0658A">
        <w:rPr>
          <w:rFonts w:ascii="Times New Roman" w:hAnsi="Times New Roman"/>
          <w:sz w:val="28"/>
          <w:szCs w:val="24"/>
        </w:rPr>
        <w:t>№</w:t>
      </w:r>
      <w:r w:rsidR="00E31727" w:rsidRPr="00B0658A">
        <w:rPr>
          <w:rFonts w:ascii="Times New Roman" w:hAnsi="Times New Roman"/>
          <w:sz w:val="28"/>
          <w:szCs w:val="24"/>
        </w:rPr>
        <w:t xml:space="preserve">2117 и постановлением Правительства Российской Федерации от 28 сентября 2022 г. </w:t>
      </w:r>
      <w:r w:rsidR="00592B14" w:rsidRPr="00B0658A">
        <w:rPr>
          <w:rFonts w:ascii="Times New Roman" w:hAnsi="Times New Roman"/>
          <w:sz w:val="28"/>
          <w:szCs w:val="24"/>
        </w:rPr>
        <w:t>№</w:t>
      </w:r>
      <w:r w:rsidR="00E31727" w:rsidRPr="00B0658A">
        <w:rPr>
          <w:rFonts w:ascii="Times New Roman" w:hAnsi="Times New Roman"/>
          <w:sz w:val="28"/>
          <w:szCs w:val="24"/>
        </w:rPr>
        <w:t>1706.</w:t>
      </w:r>
    </w:p>
    <w:p w14:paraId="566A3FC9" w14:textId="4BA78DDD" w:rsidR="00651855" w:rsidRPr="00B0658A" w:rsidRDefault="00651855" w:rsidP="00F57B1F">
      <w:pPr>
        <w:spacing w:after="0" w:line="240" w:lineRule="auto"/>
        <w:ind w:firstLine="720"/>
        <w:jc w:val="both"/>
        <w:rPr>
          <w:rFonts w:ascii="Times New Roman" w:hAnsi="Times New Roman"/>
          <w:sz w:val="28"/>
          <w:szCs w:val="28"/>
        </w:rPr>
      </w:pPr>
      <w:r w:rsidRPr="00B0658A">
        <w:rPr>
          <w:rFonts w:ascii="Times New Roman" w:hAnsi="Times New Roman"/>
          <w:sz w:val="28"/>
          <w:szCs w:val="28"/>
        </w:rPr>
        <w:t xml:space="preserve">124. Детализированный план перехода на использование российского ПО на принадлежащих заказчику 44-ФЗ или заказчику 223-ФЗ значимых объектах КИИ, а также показатели эффективности перехода на использование российского ПО и соответствующие им значения индикаторов эффективности, устанавливаемые для значимых объектов КИИ, также </w:t>
      </w:r>
      <w:r w:rsidR="00BA1901" w:rsidRPr="00B0658A">
        <w:rPr>
          <w:rFonts w:ascii="Times New Roman" w:hAnsi="Times New Roman"/>
          <w:sz w:val="28"/>
          <w:szCs w:val="28"/>
        </w:rPr>
        <w:t xml:space="preserve">рекомендуется согласовать </w:t>
      </w:r>
      <w:r w:rsidRPr="00B0658A">
        <w:rPr>
          <w:rFonts w:ascii="Times New Roman" w:hAnsi="Times New Roman"/>
          <w:sz w:val="28"/>
          <w:szCs w:val="28"/>
        </w:rPr>
        <w:t xml:space="preserve">с </w:t>
      </w:r>
      <w:r w:rsidR="00A123F5">
        <w:rPr>
          <w:rFonts w:ascii="Times New Roman" w:hAnsi="Times New Roman"/>
          <w:sz w:val="28"/>
          <w:szCs w:val="28"/>
        </w:rPr>
        <w:t>Минцифры</w:t>
      </w:r>
      <w:r w:rsidRPr="00B0658A">
        <w:rPr>
          <w:rFonts w:ascii="Times New Roman" w:hAnsi="Times New Roman"/>
          <w:sz w:val="28"/>
          <w:szCs w:val="28"/>
        </w:rPr>
        <w:t xml:space="preserve"> России.</w:t>
      </w:r>
    </w:p>
    <w:p w14:paraId="451DD9E9" w14:textId="77777777" w:rsidR="00651855" w:rsidRPr="00B0658A" w:rsidRDefault="00651855" w:rsidP="00F57B1F">
      <w:pPr>
        <w:spacing w:after="0" w:line="240" w:lineRule="auto"/>
        <w:ind w:firstLine="720"/>
        <w:jc w:val="both"/>
        <w:rPr>
          <w:rFonts w:ascii="Times New Roman" w:hAnsi="Times New Roman"/>
          <w:sz w:val="28"/>
          <w:szCs w:val="24"/>
        </w:rPr>
      </w:pPr>
      <w:r w:rsidRPr="00B0658A">
        <w:rPr>
          <w:rFonts w:ascii="Times New Roman" w:hAnsi="Times New Roman"/>
          <w:sz w:val="28"/>
          <w:szCs w:val="24"/>
        </w:rPr>
        <w:t>125. Документы, являющиеся частью Плана перехода и которые представляют собой сведения, составляющие государственную тайну, и документы, являющиеся частью Плана перехода и в которых отсутствуют сведения, составляющие государственную тайну, представляются на согласование раздельно.</w:t>
      </w:r>
    </w:p>
    <w:p w14:paraId="253D9BF5" w14:textId="77777777" w:rsidR="00651855" w:rsidRPr="00B0658A" w:rsidRDefault="00651855"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 xml:space="preserve">126. Рекомендованная форма плана перехода </w:t>
      </w:r>
      <w:r w:rsidRPr="00B0658A">
        <w:rPr>
          <w:rFonts w:ascii="Times New Roman" w:hAnsi="Times New Roman"/>
          <w:sz w:val="28"/>
          <w:szCs w:val="28"/>
        </w:rPr>
        <w:t xml:space="preserve">заказчика 44-ФЗ и заказчика 223-ФЗ </w:t>
      </w:r>
      <w:r w:rsidRPr="00B0658A">
        <w:rPr>
          <w:rFonts w:ascii="Times New Roman" w:hAnsi="Times New Roman"/>
          <w:sz w:val="28"/>
          <w:szCs w:val="24"/>
        </w:rPr>
        <w:t>на использование российского ПО, включая:</w:t>
      </w:r>
    </w:p>
    <w:p w14:paraId="4794D773" w14:textId="77777777" w:rsidR="00651855" w:rsidRPr="00B0658A" w:rsidRDefault="00651855"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а) форм</w:t>
      </w:r>
      <w:r w:rsidR="00985179" w:rsidRPr="00B0658A">
        <w:rPr>
          <w:rFonts w:ascii="Times New Roman" w:hAnsi="Times New Roman"/>
          <w:sz w:val="28"/>
          <w:szCs w:val="24"/>
        </w:rPr>
        <w:t>у</w:t>
      </w:r>
      <w:r w:rsidRPr="00B0658A">
        <w:rPr>
          <w:rFonts w:ascii="Times New Roman" w:hAnsi="Times New Roman"/>
          <w:sz w:val="28"/>
          <w:szCs w:val="24"/>
        </w:rPr>
        <w:t xml:space="preserve"> для формирования перечня организационно-технических мероприятий;</w:t>
      </w:r>
    </w:p>
    <w:p w14:paraId="341A41A0" w14:textId="77777777" w:rsidR="00651855" w:rsidRPr="00B0658A" w:rsidRDefault="00651855"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б) форм</w:t>
      </w:r>
      <w:r w:rsidR="00985179" w:rsidRPr="00B0658A">
        <w:rPr>
          <w:rFonts w:ascii="Times New Roman" w:hAnsi="Times New Roman"/>
          <w:sz w:val="28"/>
          <w:szCs w:val="24"/>
        </w:rPr>
        <w:t>у</w:t>
      </w:r>
      <w:r w:rsidRPr="00B0658A">
        <w:rPr>
          <w:rFonts w:ascii="Times New Roman" w:hAnsi="Times New Roman"/>
          <w:sz w:val="28"/>
          <w:szCs w:val="24"/>
        </w:rPr>
        <w:t xml:space="preserve"> для установления показателей эффективности и соответствующих им значений индикаторов эффективности перехода на использование российского ПО;</w:t>
      </w:r>
    </w:p>
    <w:p w14:paraId="6E5471B6" w14:textId="77777777" w:rsidR="00651855" w:rsidRPr="00B0658A" w:rsidRDefault="00651855"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в) форм</w:t>
      </w:r>
      <w:r w:rsidR="00985179" w:rsidRPr="00B0658A">
        <w:rPr>
          <w:rFonts w:ascii="Times New Roman" w:hAnsi="Times New Roman"/>
          <w:sz w:val="28"/>
          <w:szCs w:val="24"/>
        </w:rPr>
        <w:t>у</w:t>
      </w:r>
      <w:r w:rsidRPr="00B0658A">
        <w:rPr>
          <w:rFonts w:ascii="Times New Roman" w:hAnsi="Times New Roman"/>
          <w:sz w:val="28"/>
          <w:szCs w:val="24"/>
        </w:rPr>
        <w:t xml:space="preserve"> для установления показателей эффективности в отношении закупок </w:t>
      </w:r>
      <w:r w:rsidR="00985179" w:rsidRPr="00B0658A">
        <w:rPr>
          <w:rFonts w:ascii="Times New Roman" w:hAnsi="Times New Roman"/>
          <w:sz w:val="28"/>
          <w:szCs w:val="24"/>
        </w:rPr>
        <w:t>ПО</w:t>
      </w:r>
      <w:r w:rsidRPr="00B0658A">
        <w:rPr>
          <w:rFonts w:ascii="Times New Roman" w:hAnsi="Times New Roman"/>
          <w:sz w:val="28"/>
          <w:szCs w:val="24"/>
        </w:rPr>
        <w:t xml:space="preserve"> и связанных с ним работ и услуг;</w:t>
      </w:r>
    </w:p>
    <w:p w14:paraId="389B441C" w14:textId="77777777" w:rsidR="00651855" w:rsidRPr="00B0658A" w:rsidRDefault="00651855"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г) форм</w:t>
      </w:r>
      <w:r w:rsidR="00985179" w:rsidRPr="00B0658A">
        <w:rPr>
          <w:rFonts w:ascii="Times New Roman" w:hAnsi="Times New Roman"/>
          <w:sz w:val="28"/>
          <w:szCs w:val="24"/>
        </w:rPr>
        <w:t>у</w:t>
      </w:r>
      <w:r w:rsidRPr="00B0658A">
        <w:rPr>
          <w:rFonts w:ascii="Times New Roman" w:hAnsi="Times New Roman"/>
          <w:sz w:val="28"/>
          <w:szCs w:val="24"/>
        </w:rPr>
        <w:t xml:space="preserve"> для определения сведений об объемах и источниках финансовых ресурсов;</w:t>
      </w:r>
    </w:p>
    <w:p w14:paraId="3790BCB7" w14:textId="1338C5C6" w:rsidR="00651855" w:rsidRPr="00B0658A" w:rsidRDefault="00651855"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д) форм</w:t>
      </w:r>
      <w:r w:rsidR="00985179" w:rsidRPr="00B0658A">
        <w:rPr>
          <w:rFonts w:ascii="Times New Roman" w:hAnsi="Times New Roman"/>
          <w:sz w:val="28"/>
          <w:szCs w:val="24"/>
        </w:rPr>
        <w:t>у</w:t>
      </w:r>
      <w:r w:rsidRPr="00B0658A">
        <w:rPr>
          <w:rFonts w:ascii="Times New Roman" w:hAnsi="Times New Roman"/>
          <w:sz w:val="28"/>
          <w:szCs w:val="24"/>
        </w:rPr>
        <w:t xml:space="preserve"> детализированного плана перехода на использование российского ПО на принадлежащих </w:t>
      </w:r>
      <w:r w:rsidR="00985179" w:rsidRPr="00B0658A">
        <w:rPr>
          <w:rFonts w:ascii="Times New Roman" w:hAnsi="Times New Roman"/>
          <w:sz w:val="28"/>
          <w:szCs w:val="24"/>
        </w:rPr>
        <w:t>заказчикам 44-ФЗ и заказчикам 223-ФЗ</w:t>
      </w:r>
      <w:r w:rsidRPr="00B0658A">
        <w:rPr>
          <w:rFonts w:ascii="Times New Roman" w:hAnsi="Times New Roman"/>
          <w:sz w:val="28"/>
          <w:szCs w:val="24"/>
        </w:rPr>
        <w:t xml:space="preserve"> значимых объектах КИИ и форму для установления показателей эффективности перехода на использование российского ПО и соответствующих им значений индикаторов эффективности в отношении значимых объектов КИИ</w:t>
      </w:r>
      <w:r w:rsidR="00985179" w:rsidRPr="00B0658A">
        <w:rPr>
          <w:rFonts w:ascii="Times New Roman" w:hAnsi="Times New Roman"/>
          <w:sz w:val="28"/>
          <w:szCs w:val="24"/>
        </w:rPr>
        <w:t>,</w:t>
      </w:r>
      <w:r w:rsidR="00643168">
        <w:rPr>
          <w:rFonts w:ascii="Times New Roman" w:hAnsi="Times New Roman"/>
          <w:sz w:val="28"/>
          <w:szCs w:val="24"/>
        </w:rPr>
        <w:t xml:space="preserve"> </w:t>
      </w:r>
    </w:p>
    <w:p w14:paraId="46A48A74" w14:textId="0EEC0F8D" w:rsidR="00651855" w:rsidRPr="00B0658A" w:rsidRDefault="00651855"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п</w:t>
      </w:r>
      <w:r w:rsidR="00F57B1F">
        <w:rPr>
          <w:rFonts w:ascii="Times New Roman" w:hAnsi="Times New Roman"/>
          <w:sz w:val="28"/>
          <w:szCs w:val="24"/>
        </w:rPr>
        <w:t>риведенные</w:t>
      </w:r>
      <w:r w:rsidRPr="00B0658A">
        <w:rPr>
          <w:rFonts w:ascii="Times New Roman" w:hAnsi="Times New Roman"/>
          <w:sz w:val="28"/>
          <w:szCs w:val="24"/>
        </w:rPr>
        <w:t xml:space="preserve"> в </w:t>
      </w:r>
      <w:r w:rsidR="00643168">
        <w:rPr>
          <w:rFonts w:ascii="Times New Roman" w:hAnsi="Times New Roman"/>
          <w:sz w:val="28"/>
          <w:szCs w:val="24"/>
        </w:rPr>
        <w:t>п</w:t>
      </w:r>
      <w:r w:rsidRPr="00B0658A">
        <w:rPr>
          <w:rFonts w:ascii="Times New Roman" w:hAnsi="Times New Roman"/>
          <w:sz w:val="28"/>
          <w:szCs w:val="24"/>
        </w:rPr>
        <w:t xml:space="preserve">риложении </w:t>
      </w:r>
      <w:r w:rsidR="00592B14" w:rsidRPr="00B0658A">
        <w:rPr>
          <w:rFonts w:ascii="Times New Roman" w:hAnsi="Times New Roman"/>
          <w:sz w:val="28"/>
          <w:szCs w:val="24"/>
        </w:rPr>
        <w:t>№</w:t>
      </w:r>
      <w:r w:rsidR="00643168">
        <w:rPr>
          <w:rFonts w:ascii="Times New Roman" w:hAnsi="Times New Roman"/>
          <w:sz w:val="28"/>
          <w:szCs w:val="24"/>
        </w:rPr>
        <w:t xml:space="preserve"> </w:t>
      </w:r>
      <w:r w:rsidR="00985179" w:rsidRPr="00B0658A">
        <w:rPr>
          <w:rFonts w:ascii="Times New Roman" w:hAnsi="Times New Roman"/>
          <w:sz w:val="28"/>
          <w:szCs w:val="24"/>
        </w:rPr>
        <w:t>13</w:t>
      </w:r>
      <w:r w:rsidRPr="00B0658A">
        <w:rPr>
          <w:rFonts w:ascii="Times New Roman" w:hAnsi="Times New Roman"/>
          <w:sz w:val="28"/>
          <w:szCs w:val="24"/>
        </w:rPr>
        <w:t xml:space="preserve"> к настоящим методическим рекомендациям. </w:t>
      </w:r>
    </w:p>
    <w:p w14:paraId="3160530B" w14:textId="77777777" w:rsidR="00985179" w:rsidRPr="00B0658A" w:rsidRDefault="00985179"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127. Рекомендованные показатели эффективности и соответствующие им значения индикаторов эффективности перехода заказчиков 44-ФЗ и заказчиков 223-ФЗ на использование российского ПО в отношении каждого используемого класса (типа) ПО</w:t>
      </w:r>
      <w:r w:rsidR="00F44914" w:rsidRPr="00B0658A">
        <w:rPr>
          <w:rFonts w:ascii="Times New Roman" w:hAnsi="Times New Roman"/>
          <w:sz w:val="28"/>
          <w:szCs w:val="24"/>
        </w:rPr>
        <w:t>,</w:t>
      </w:r>
      <w:r w:rsidRPr="00B0658A">
        <w:rPr>
          <w:rFonts w:ascii="Times New Roman" w:hAnsi="Times New Roman"/>
          <w:sz w:val="28"/>
          <w:szCs w:val="24"/>
        </w:rPr>
        <w:t xml:space="preserve"> в соответствии с приказом Министерства цифрового развития, связи и массовых коммуникаций Российской Федерации от 22 сентября 2020 г. </w:t>
      </w:r>
      <w:r w:rsidR="00592B14" w:rsidRPr="00B0658A">
        <w:rPr>
          <w:rFonts w:ascii="Times New Roman" w:hAnsi="Times New Roman"/>
          <w:sz w:val="28"/>
          <w:szCs w:val="24"/>
        </w:rPr>
        <w:t>№ </w:t>
      </w:r>
      <w:r w:rsidRPr="00B0658A">
        <w:rPr>
          <w:rFonts w:ascii="Times New Roman" w:hAnsi="Times New Roman"/>
          <w:sz w:val="28"/>
          <w:szCs w:val="24"/>
        </w:rPr>
        <w:t xml:space="preserve"> 486 «Об утверждении классификатора программ для электронных вычислительных машин и баз данных»</w:t>
      </w:r>
      <w:r w:rsidR="00F44914" w:rsidRPr="00B0658A">
        <w:rPr>
          <w:rFonts w:ascii="Times New Roman" w:hAnsi="Times New Roman"/>
          <w:sz w:val="28"/>
          <w:szCs w:val="24"/>
        </w:rPr>
        <w:t>,</w:t>
      </w:r>
      <w:r w:rsidRPr="00B0658A">
        <w:rPr>
          <w:rFonts w:ascii="Times New Roman" w:hAnsi="Times New Roman"/>
          <w:sz w:val="28"/>
          <w:szCs w:val="24"/>
        </w:rPr>
        <w:t xml:space="preserve"> приведены в Приложении </w:t>
      </w:r>
      <w:r w:rsidR="00592B14" w:rsidRPr="00B0658A">
        <w:rPr>
          <w:rFonts w:ascii="Times New Roman" w:hAnsi="Times New Roman"/>
          <w:sz w:val="28"/>
          <w:szCs w:val="24"/>
        </w:rPr>
        <w:t>№</w:t>
      </w:r>
      <w:r w:rsidRPr="00B0658A">
        <w:rPr>
          <w:rFonts w:ascii="Times New Roman" w:hAnsi="Times New Roman"/>
          <w:sz w:val="28"/>
          <w:szCs w:val="24"/>
        </w:rPr>
        <w:t>14 к настоящим методическим рекомендациям.</w:t>
      </w:r>
    </w:p>
    <w:p w14:paraId="575E8ABC" w14:textId="27DFA94F" w:rsidR="00985179" w:rsidRPr="00B0658A" w:rsidRDefault="00985179"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 xml:space="preserve">128. Рекомендованные показатели эффективности в отношении закупок ПО и связанных с ним работ и услуг, проводимых заказчиками 44-ФЗ и заказчиками 223-ФЗ, приведены в </w:t>
      </w:r>
      <w:r w:rsidR="00643168">
        <w:rPr>
          <w:rFonts w:ascii="Times New Roman" w:hAnsi="Times New Roman"/>
          <w:sz w:val="28"/>
          <w:szCs w:val="24"/>
        </w:rPr>
        <w:t>п</w:t>
      </w:r>
      <w:r w:rsidRPr="00B0658A">
        <w:rPr>
          <w:rFonts w:ascii="Times New Roman" w:hAnsi="Times New Roman"/>
          <w:sz w:val="28"/>
          <w:szCs w:val="24"/>
        </w:rPr>
        <w:t xml:space="preserve">риложении </w:t>
      </w:r>
      <w:r w:rsidR="00592B14" w:rsidRPr="00B0658A">
        <w:rPr>
          <w:rFonts w:ascii="Times New Roman" w:hAnsi="Times New Roman"/>
          <w:sz w:val="28"/>
          <w:szCs w:val="24"/>
        </w:rPr>
        <w:t>№</w:t>
      </w:r>
      <w:r w:rsidRPr="00B0658A">
        <w:rPr>
          <w:rFonts w:ascii="Times New Roman" w:hAnsi="Times New Roman"/>
          <w:sz w:val="28"/>
          <w:szCs w:val="24"/>
        </w:rPr>
        <w:t>15 к настоящим методическим рекомендациям.</w:t>
      </w:r>
    </w:p>
    <w:p w14:paraId="60FD41E9" w14:textId="77777777" w:rsidR="00985179" w:rsidRPr="00B0658A" w:rsidRDefault="00985179"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129. В состав перечня организационно-технических мероприятий, реализация которых необходима для обеспечения перехода на использование российского ПО, рекомендуется включить:</w:t>
      </w:r>
    </w:p>
    <w:p w14:paraId="6ED66BE5" w14:textId="616B56AB" w:rsidR="00985179" w:rsidRPr="00B0658A" w:rsidRDefault="00985179"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lastRenderedPageBreak/>
        <w:t>а) </w:t>
      </w:r>
      <w:r w:rsidR="00643168">
        <w:rPr>
          <w:rFonts w:ascii="Times New Roman" w:hAnsi="Times New Roman"/>
          <w:sz w:val="28"/>
          <w:szCs w:val="24"/>
        </w:rPr>
        <w:t>о</w:t>
      </w:r>
      <w:r w:rsidRPr="00B0658A">
        <w:rPr>
          <w:rFonts w:ascii="Times New Roman" w:hAnsi="Times New Roman"/>
          <w:sz w:val="28"/>
          <w:szCs w:val="24"/>
        </w:rPr>
        <w:t>рганизационные мероприятия, направленные на подготовку к переходу организации на использование российского ПО, включая основные мероприятия, связанные с переходом на использование российского ПО на значимых объектах КИИ;</w:t>
      </w:r>
    </w:p>
    <w:p w14:paraId="32F631BE" w14:textId="57A83B6C" w:rsidR="00985179" w:rsidRPr="00B0658A" w:rsidRDefault="00985179"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б) </w:t>
      </w:r>
      <w:r w:rsidR="00643168">
        <w:rPr>
          <w:rFonts w:ascii="Times New Roman" w:hAnsi="Times New Roman"/>
          <w:sz w:val="28"/>
          <w:szCs w:val="24"/>
        </w:rPr>
        <w:t>т</w:t>
      </w:r>
      <w:r w:rsidRPr="00B0658A">
        <w:rPr>
          <w:rFonts w:ascii="Times New Roman" w:hAnsi="Times New Roman"/>
          <w:sz w:val="28"/>
          <w:szCs w:val="24"/>
        </w:rPr>
        <w:t>ехнические мероприятия, направленные на подготовку к переходу организации на использование российского ПО, включая основные мероприятия, связанные с переходом на использование российского ПО на значимых объектах КИИ;</w:t>
      </w:r>
    </w:p>
    <w:p w14:paraId="29DF221D" w14:textId="0A0AD94B" w:rsidR="00985179" w:rsidRPr="00B0658A" w:rsidRDefault="00985179"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в) </w:t>
      </w:r>
      <w:r w:rsidR="00643168">
        <w:rPr>
          <w:rFonts w:ascii="Times New Roman" w:hAnsi="Times New Roman"/>
          <w:sz w:val="28"/>
          <w:szCs w:val="24"/>
        </w:rPr>
        <w:t>м</w:t>
      </w:r>
      <w:r w:rsidRPr="00B0658A">
        <w:rPr>
          <w:rFonts w:ascii="Times New Roman" w:hAnsi="Times New Roman"/>
          <w:sz w:val="28"/>
          <w:szCs w:val="24"/>
        </w:rPr>
        <w:t>ероприятия, направленные на обеспечение перехода организации на использование российского ПО, включая общие основные мероприятия, связанные с переходом на использование российского ПО на значимых объектах КИИ;</w:t>
      </w:r>
    </w:p>
    <w:p w14:paraId="702C6F13" w14:textId="659C0602" w:rsidR="00985179" w:rsidRPr="00B0658A" w:rsidRDefault="00985179"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 xml:space="preserve">г) </w:t>
      </w:r>
      <w:r w:rsidR="00643168">
        <w:rPr>
          <w:rFonts w:ascii="Times New Roman" w:hAnsi="Times New Roman"/>
          <w:sz w:val="28"/>
          <w:szCs w:val="24"/>
        </w:rPr>
        <w:t>и</w:t>
      </w:r>
      <w:r w:rsidRPr="00B0658A">
        <w:rPr>
          <w:rFonts w:ascii="Times New Roman" w:hAnsi="Times New Roman"/>
          <w:sz w:val="28"/>
          <w:szCs w:val="24"/>
        </w:rPr>
        <w:t>ные организационно-технические мероприятия.</w:t>
      </w:r>
    </w:p>
    <w:p w14:paraId="73AE231C" w14:textId="77777777" w:rsidR="00985179" w:rsidRPr="00B0658A" w:rsidRDefault="00985179"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130. При описании результатов реализации организационно-технических мероприятий могут быть использованы качественные и количественные индикаторы и показатели.</w:t>
      </w:r>
    </w:p>
    <w:p w14:paraId="7A85E912" w14:textId="77777777" w:rsidR="00985179" w:rsidRPr="00B0658A" w:rsidRDefault="00985179"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131.</w:t>
      </w:r>
      <w:r w:rsidRPr="00B0658A">
        <w:rPr>
          <w:rFonts w:ascii="Times New Roman" w:hAnsi="Times New Roman"/>
          <w:sz w:val="28"/>
          <w:szCs w:val="24"/>
          <w:lang w:val="en-US"/>
        </w:rPr>
        <w:t> </w:t>
      </w:r>
      <w:r w:rsidRPr="00B0658A">
        <w:rPr>
          <w:rFonts w:ascii="Times New Roman" w:hAnsi="Times New Roman"/>
          <w:sz w:val="28"/>
          <w:szCs w:val="24"/>
        </w:rPr>
        <w:t>Для целей перехода на использование российского ПО заказчик</w:t>
      </w:r>
      <w:r w:rsidR="00F44914" w:rsidRPr="00B0658A">
        <w:rPr>
          <w:rFonts w:ascii="Times New Roman" w:hAnsi="Times New Roman"/>
          <w:sz w:val="28"/>
          <w:szCs w:val="24"/>
        </w:rPr>
        <w:t>у</w:t>
      </w:r>
      <w:r w:rsidRPr="00B0658A">
        <w:rPr>
          <w:rFonts w:ascii="Times New Roman" w:hAnsi="Times New Roman"/>
          <w:sz w:val="28"/>
          <w:szCs w:val="24"/>
        </w:rPr>
        <w:t xml:space="preserve"> 44-ФЗ </w:t>
      </w:r>
      <w:r w:rsidR="00B122BC" w:rsidRPr="00B0658A">
        <w:rPr>
          <w:rFonts w:ascii="Times New Roman" w:hAnsi="Times New Roman"/>
          <w:sz w:val="28"/>
          <w:szCs w:val="24"/>
        </w:rPr>
        <w:t>или</w:t>
      </w:r>
      <w:r w:rsidR="00F44914" w:rsidRPr="00B0658A">
        <w:rPr>
          <w:rFonts w:ascii="Times New Roman" w:hAnsi="Times New Roman"/>
          <w:sz w:val="28"/>
          <w:szCs w:val="24"/>
        </w:rPr>
        <w:t xml:space="preserve"> </w:t>
      </w:r>
      <w:r w:rsidRPr="00B0658A">
        <w:rPr>
          <w:rFonts w:ascii="Times New Roman" w:hAnsi="Times New Roman"/>
          <w:sz w:val="28"/>
          <w:szCs w:val="24"/>
        </w:rPr>
        <w:t>заказчик</w:t>
      </w:r>
      <w:r w:rsidR="00F44914" w:rsidRPr="00B0658A">
        <w:rPr>
          <w:rFonts w:ascii="Times New Roman" w:hAnsi="Times New Roman"/>
          <w:sz w:val="28"/>
          <w:szCs w:val="24"/>
        </w:rPr>
        <w:t>у</w:t>
      </w:r>
      <w:r w:rsidRPr="00B0658A">
        <w:rPr>
          <w:rFonts w:ascii="Times New Roman" w:hAnsi="Times New Roman"/>
          <w:sz w:val="28"/>
          <w:szCs w:val="24"/>
        </w:rPr>
        <w:t xml:space="preserve"> 223-ФЗ рекомендуется организовать работу по включению в единый реестр российского ПО программного обеспечения, используемого заказчиком 44-ФЗ или заказчиком 223-ФЗ и исключительное право на которое принадлежит заказчику 44-ФЗ или заказчику 223-ФЗ, в порядке, предусмотренном законодательством Российской Федерации.</w:t>
      </w:r>
    </w:p>
    <w:p w14:paraId="7E4B5A23" w14:textId="77777777" w:rsidR="004250CC" w:rsidRPr="00B0658A" w:rsidRDefault="00985179"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132. </w:t>
      </w:r>
      <w:r w:rsidR="004250CC" w:rsidRPr="00B0658A">
        <w:rPr>
          <w:rFonts w:ascii="Times New Roman" w:hAnsi="Times New Roman"/>
          <w:sz w:val="28"/>
          <w:szCs w:val="24"/>
        </w:rPr>
        <w:t>В целях обеспечения эффективного планирования в части организационно-технических мероприятий перехода на использование российского ПО, в том числе перехода на использование российского ПО на значимых объектах КИИ, заказчикам 44-ФЗ и заказчикам 223-ФЗ рекомендуется:</w:t>
      </w:r>
    </w:p>
    <w:p w14:paraId="2BCDE1A2" w14:textId="2D613414" w:rsidR="004250CC" w:rsidRPr="00B0658A" w:rsidRDefault="004250CC"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а) </w:t>
      </w:r>
      <w:r w:rsidR="00643168">
        <w:rPr>
          <w:rFonts w:ascii="Times New Roman" w:hAnsi="Times New Roman"/>
          <w:sz w:val="28"/>
          <w:szCs w:val="24"/>
        </w:rPr>
        <w:t>с</w:t>
      </w:r>
      <w:r w:rsidRPr="00B0658A">
        <w:rPr>
          <w:rFonts w:ascii="Times New Roman" w:hAnsi="Times New Roman"/>
          <w:sz w:val="28"/>
          <w:szCs w:val="24"/>
        </w:rPr>
        <w:t>формировать перечень информационных систем, используемых заказчиком 44-ФЗ или заказчиком 223-ФЗ</w:t>
      </w:r>
      <w:r w:rsidR="00643168">
        <w:rPr>
          <w:rFonts w:ascii="Times New Roman" w:hAnsi="Times New Roman"/>
          <w:sz w:val="28"/>
          <w:szCs w:val="24"/>
        </w:rPr>
        <w:t>;</w:t>
      </w:r>
    </w:p>
    <w:p w14:paraId="1455D381" w14:textId="1396CBCD" w:rsidR="004250CC" w:rsidRPr="00B0658A" w:rsidRDefault="004250CC"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б) </w:t>
      </w:r>
      <w:r w:rsidR="00643168">
        <w:rPr>
          <w:rFonts w:ascii="Times New Roman" w:hAnsi="Times New Roman"/>
          <w:sz w:val="28"/>
          <w:szCs w:val="24"/>
        </w:rPr>
        <w:t>с</w:t>
      </w:r>
      <w:r w:rsidRPr="00B0658A">
        <w:rPr>
          <w:rFonts w:ascii="Times New Roman" w:hAnsi="Times New Roman"/>
          <w:sz w:val="28"/>
          <w:szCs w:val="24"/>
        </w:rPr>
        <w:t>формировать перечень значимых объектов КИИ, которые принадлеж</w:t>
      </w:r>
      <w:r w:rsidR="00F44914" w:rsidRPr="00B0658A">
        <w:rPr>
          <w:rFonts w:ascii="Times New Roman" w:hAnsi="Times New Roman"/>
          <w:sz w:val="28"/>
          <w:szCs w:val="24"/>
        </w:rPr>
        <w:t>а</w:t>
      </w:r>
      <w:r w:rsidRPr="00B0658A">
        <w:rPr>
          <w:rFonts w:ascii="Times New Roman" w:hAnsi="Times New Roman"/>
          <w:sz w:val="28"/>
          <w:szCs w:val="24"/>
        </w:rPr>
        <w:t>т заказчику 44-ФЗ или заказчику 223-ФЗ</w:t>
      </w:r>
      <w:r w:rsidR="00643168">
        <w:rPr>
          <w:rFonts w:ascii="Times New Roman" w:hAnsi="Times New Roman"/>
          <w:sz w:val="28"/>
          <w:szCs w:val="24"/>
        </w:rPr>
        <w:t>;</w:t>
      </w:r>
    </w:p>
    <w:p w14:paraId="3B9FB290" w14:textId="1121B341" w:rsidR="004250CC" w:rsidRPr="00B0658A" w:rsidRDefault="004250CC"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в) </w:t>
      </w:r>
      <w:r w:rsidR="00643168">
        <w:rPr>
          <w:rFonts w:ascii="Times New Roman" w:hAnsi="Times New Roman"/>
          <w:sz w:val="28"/>
          <w:szCs w:val="24"/>
        </w:rPr>
        <w:t>о</w:t>
      </w:r>
      <w:r w:rsidRPr="00B0658A">
        <w:rPr>
          <w:rFonts w:ascii="Times New Roman" w:hAnsi="Times New Roman"/>
          <w:sz w:val="28"/>
          <w:szCs w:val="24"/>
        </w:rPr>
        <w:t>рганизовать и провести стресс-тестирование используемой информационно-технологической инфраструктуры заказчика 44-ФЗ или заказчика 223-ФЗ в части используемого иностранного ПО (далее – стресс-тестирование)</w:t>
      </w:r>
      <w:r w:rsidR="00643168">
        <w:rPr>
          <w:rFonts w:ascii="Times New Roman" w:hAnsi="Times New Roman"/>
          <w:sz w:val="28"/>
          <w:szCs w:val="24"/>
        </w:rPr>
        <w:t>;</w:t>
      </w:r>
    </w:p>
    <w:p w14:paraId="789208B7" w14:textId="32581AE1" w:rsidR="004250CC" w:rsidRPr="00B0658A" w:rsidRDefault="004250CC"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г) </w:t>
      </w:r>
      <w:r w:rsidR="00643168">
        <w:rPr>
          <w:rFonts w:ascii="Times New Roman" w:hAnsi="Times New Roman"/>
          <w:sz w:val="28"/>
          <w:szCs w:val="24"/>
        </w:rPr>
        <w:t>п</w:t>
      </w:r>
      <w:r w:rsidRPr="00B0658A">
        <w:rPr>
          <w:rFonts w:ascii="Times New Roman" w:hAnsi="Times New Roman"/>
          <w:sz w:val="28"/>
          <w:szCs w:val="24"/>
        </w:rPr>
        <w:t>ровести обследование существующей информационно-технологической инфраструктуры, в том числе прикладного ПО информационных систем, значимых объектов КИИ и иных элементов информационно-технологической инфраструктуры, используемых заказчиком 44-ФЗ или заказчиком 223-ФЗ</w:t>
      </w:r>
      <w:r w:rsidR="00643168">
        <w:rPr>
          <w:rFonts w:ascii="Times New Roman" w:hAnsi="Times New Roman"/>
          <w:sz w:val="28"/>
          <w:szCs w:val="24"/>
        </w:rPr>
        <w:t>;</w:t>
      </w:r>
    </w:p>
    <w:p w14:paraId="15653C7C" w14:textId="0A6FE954" w:rsidR="004250CC" w:rsidRPr="00B0658A" w:rsidRDefault="004250CC"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д) </w:t>
      </w:r>
      <w:r w:rsidR="00643168">
        <w:rPr>
          <w:rFonts w:ascii="Times New Roman" w:hAnsi="Times New Roman"/>
          <w:sz w:val="28"/>
          <w:szCs w:val="24"/>
        </w:rPr>
        <w:t>н</w:t>
      </w:r>
      <w:r w:rsidRPr="00B0658A">
        <w:rPr>
          <w:rFonts w:ascii="Times New Roman" w:hAnsi="Times New Roman"/>
          <w:sz w:val="28"/>
          <w:szCs w:val="24"/>
        </w:rPr>
        <w:t>а основе проведенного обследования и стресс-тестирования существующей информационно-технологической инфраструктуры рекомендуется:</w:t>
      </w:r>
    </w:p>
    <w:p w14:paraId="67CE1904" w14:textId="3D8BAF4A" w:rsidR="004250CC" w:rsidRPr="00B0658A" w:rsidRDefault="004250CC"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определить текущие показатели и характеристики использования ПО, происходящего из иностранных государств, в том числе сформировать перечень такого ПО, определить текущие показатели и характеристики использования ПО, сведения о котором включены в единый реестр российского ПО, и сформировать перечень такого ПО, а также определить текущие показатели и характеристики использования ПО, сведения о котором включены в единый реестр евразийского ПО, и сформировать перечень такого ПО;</w:t>
      </w:r>
    </w:p>
    <w:p w14:paraId="68A2A297" w14:textId="7DFA9416" w:rsidR="004250CC" w:rsidRPr="00B0658A" w:rsidRDefault="004250CC"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lastRenderedPageBreak/>
        <w:t>для каждого значимого объекта КИИ определить перечень используемого иностранного ПО, российского ПО и евразийского ПО, определить долю используемого российского и евразийского ПО для каждого значимого объекта КИИ в разрезе классов (типов) ПО</w:t>
      </w:r>
      <w:r w:rsidR="00643168">
        <w:rPr>
          <w:rFonts w:ascii="Times New Roman" w:hAnsi="Times New Roman"/>
          <w:sz w:val="28"/>
          <w:szCs w:val="24"/>
        </w:rPr>
        <w:t>;</w:t>
      </w:r>
    </w:p>
    <w:p w14:paraId="42446986" w14:textId="5F596A0B" w:rsidR="004250CC" w:rsidRPr="00B0658A" w:rsidRDefault="004250CC"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е) </w:t>
      </w:r>
      <w:r w:rsidR="00643168">
        <w:rPr>
          <w:rFonts w:ascii="Times New Roman" w:hAnsi="Times New Roman"/>
          <w:sz w:val="28"/>
          <w:szCs w:val="24"/>
        </w:rPr>
        <w:t>п</w:t>
      </w:r>
      <w:r w:rsidRPr="00B0658A">
        <w:rPr>
          <w:rFonts w:ascii="Times New Roman" w:hAnsi="Times New Roman"/>
          <w:sz w:val="28"/>
          <w:szCs w:val="24"/>
        </w:rPr>
        <w:t>ровести анализ требований, предъявляемых законодательством Российской Федерации к функционированию различных классов (типов) ПО, в том числе используемого на значимых объектах КИИ, в том числе функциональных требований и требований по обеспечению информационной безопасности</w:t>
      </w:r>
      <w:r w:rsidR="00643168">
        <w:rPr>
          <w:rFonts w:ascii="Times New Roman" w:hAnsi="Times New Roman"/>
          <w:sz w:val="28"/>
          <w:szCs w:val="24"/>
        </w:rPr>
        <w:t>;</w:t>
      </w:r>
    </w:p>
    <w:p w14:paraId="55911E62" w14:textId="04D0CC34" w:rsidR="004250CC" w:rsidRPr="00B0658A" w:rsidRDefault="004250CC"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ж) </w:t>
      </w:r>
      <w:r w:rsidR="00643168">
        <w:rPr>
          <w:rFonts w:ascii="Times New Roman" w:hAnsi="Times New Roman"/>
          <w:sz w:val="28"/>
          <w:szCs w:val="24"/>
        </w:rPr>
        <w:t>п</w:t>
      </w:r>
      <w:r w:rsidRPr="00B0658A">
        <w:rPr>
          <w:rFonts w:ascii="Times New Roman" w:hAnsi="Times New Roman"/>
          <w:sz w:val="28"/>
          <w:szCs w:val="24"/>
        </w:rPr>
        <w:t>ровести анализ сведений о ПО, включенном в единый реестр российского ПО, и сведений о ПО, включенном в единый реестр евразийского ПО, определить предварительный перечень потенциального российского ПО и евразийского ПО, реализующих функции соответствующего ПО, для его дальнейшего применения при переходе на использование российского ПО, в том числе на значимых объектах КИИ</w:t>
      </w:r>
      <w:r w:rsidR="00643168">
        <w:rPr>
          <w:rFonts w:ascii="Times New Roman" w:hAnsi="Times New Roman"/>
          <w:sz w:val="28"/>
          <w:szCs w:val="24"/>
        </w:rPr>
        <w:t>;</w:t>
      </w:r>
    </w:p>
    <w:p w14:paraId="3B47743D" w14:textId="7D22C7B2" w:rsidR="004250CC" w:rsidRPr="00B0658A" w:rsidRDefault="004250CC"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з) </w:t>
      </w:r>
      <w:r w:rsidR="00643168">
        <w:rPr>
          <w:rFonts w:ascii="Times New Roman" w:hAnsi="Times New Roman"/>
          <w:sz w:val="28"/>
          <w:szCs w:val="24"/>
        </w:rPr>
        <w:t>п</w:t>
      </w:r>
      <w:r w:rsidRPr="00B0658A">
        <w:rPr>
          <w:rFonts w:ascii="Times New Roman" w:hAnsi="Times New Roman"/>
          <w:sz w:val="28"/>
          <w:szCs w:val="24"/>
        </w:rPr>
        <w:t>ровести анализ текущих сроков амортизации используемых организацией на момент планирования персональных электронных вычислительных машин, устройств терминального доступа, абонентских устройств радиоподвижной связи, программно-аппаратных комплексов, в том числе серверного и иного технологического оборудования, иных средств вычислительной техники и периферийных устройств, а также провести оценку совместимости российского и евразийского ПО с указанным оборудованием и программно-аппаратными комплексами</w:t>
      </w:r>
      <w:r w:rsidR="00643168">
        <w:rPr>
          <w:rFonts w:ascii="Times New Roman" w:hAnsi="Times New Roman"/>
          <w:sz w:val="28"/>
          <w:szCs w:val="24"/>
        </w:rPr>
        <w:t>;</w:t>
      </w:r>
    </w:p>
    <w:p w14:paraId="3F430B72" w14:textId="3BC515B7" w:rsidR="004250CC" w:rsidRPr="00B0658A" w:rsidRDefault="00592B14"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 xml:space="preserve">и) </w:t>
      </w:r>
      <w:r w:rsidR="00643168">
        <w:rPr>
          <w:rFonts w:ascii="Times New Roman" w:hAnsi="Times New Roman"/>
          <w:sz w:val="28"/>
          <w:szCs w:val="24"/>
        </w:rPr>
        <w:t>п</w:t>
      </w:r>
      <w:r w:rsidRPr="00B0658A">
        <w:rPr>
          <w:rFonts w:ascii="Times New Roman" w:hAnsi="Times New Roman"/>
          <w:sz w:val="28"/>
          <w:szCs w:val="24"/>
        </w:rPr>
        <w:t>ровести</w:t>
      </w:r>
      <w:r w:rsidR="004250CC" w:rsidRPr="00B0658A">
        <w:rPr>
          <w:rFonts w:ascii="Times New Roman" w:hAnsi="Times New Roman"/>
          <w:sz w:val="28"/>
          <w:szCs w:val="24"/>
        </w:rPr>
        <w:t xml:space="preserve"> анализ сроков действия прав на использование ПО и сроков полезного использования нематериальных активов в отношении используемого организацией на момент планирования ПО, сведения о котором не включены в единый реестр российского ПО</w:t>
      </w:r>
      <w:r w:rsidR="00643168">
        <w:rPr>
          <w:rFonts w:ascii="Times New Roman" w:hAnsi="Times New Roman"/>
          <w:sz w:val="28"/>
          <w:szCs w:val="24"/>
        </w:rPr>
        <w:t>;</w:t>
      </w:r>
    </w:p>
    <w:p w14:paraId="0A1AF29A" w14:textId="53E6491D" w:rsidR="004250CC" w:rsidRPr="00B0658A" w:rsidRDefault="004250CC"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к) </w:t>
      </w:r>
      <w:r w:rsidR="00643168">
        <w:rPr>
          <w:rFonts w:ascii="Times New Roman" w:hAnsi="Times New Roman"/>
          <w:sz w:val="28"/>
          <w:szCs w:val="24"/>
        </w:rPr>
        <w:t>в</w:t>
      </w:r>
      <w:r w:rsidRPr="00B0658A">
        <w:rPr>
          <w:rFonts w:ascii="Times New Roman" w:hAnsi="Times New Roman"/>
          <w:sz w:val="28"/>
          <w:szCs w:val="24"/>
        </w:rPr>
        <w:t xml:space="preserve"> части офисного ПО сформировать функциональную классификацию автоматизированных рабочих мест работников и требования к ним в соответствии с установленными в организации должностными функциональными обязанностями работников, требования к офисному ПО на основе применения дифференцированного подхода с учетом сформированной функциональной классификации автоматизированных рабочих мест и функциональных требований, предъявляемых прикладным </w:t>
      </w:r>
      <w:r w:rsidR="00BC703C" w:rsidRPr="00B0658A">
        <w:rPr>
          <w:rFonts w:ascii="Times New Roman" w:hAnsi="Times New Roman"/>
          <w:sz w:val="28"/>
          <w:szCs w:val="24"/>
        </w:rPr>
        <w:t>ПО</w:t>
      </w:r>
      <w:r w:rsidRPr="00B0658A">
        <w:rPr>
          <w:rFonts w:ascii="Times New Roman" w:hAnsi="Times New Roman"/>
          <w:sz w:val="28"/>
          <w:szCs w:val="24"/>
        </w:rPr>
        <w:t xml:space="preserve"> информационных систем</w:t>
      </w:r>
      <w:r w:rsidR="00643168">
        <w:rPr>
          <w:rFonts w:ascii="Times New Roman" w:hAnsi="Times New Roman"/>
          <w:sz w:val="28"/>
          <w:szCs w:val="24"/>
        </w:rPr>
        <w:t>;</w:t>
      </w:r>
      <w:r w:rsidRPr="00B0658A">
        <w:rPr>
          <w:rFonts w:ascii="Times New Roman" w:hAnsi="Times New Roman"/>
          <w:sz w:val="28"/>
          <w:szCs w:val="24"/>
        </w:rPr>
        <w:t xml:space="preserve"> </w:t>
      </w:r>
    </w:p>
    <w:p w14:paraId="46D9BDC9" w14:textId="1DD921A5" w:rsidR="004250CC" w:rsidRPr="00B0658A" w:rsidRDefault="004250CC"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л) </w:t>
      </w:r>
      <w:r w:rsidR="00643168">
        <w:rPr>
          <w:rFonts w:ascii="Times New Roman" w:hAnsi="Times New Roman"/>
          <w:sz w:val="28"/>
          <w:szCs w:val="24"/>
        </w:rPr>
        <w:t>п</w:t>
      </w:r>
      <w:r w:rsidRPr="00B0658A">
        <w:rPr>
          <w:rFonts w:ascii="Times New Roman" w:hAnsi="Times New Roman"/>
          <w:sz w:val="28"/>
          <w:szCs w:val="24"/>
        </w:rPr>
        <w:t>ровести анализ планов закупки ПО, в том числе закупки прав на использование ПО и закупки технической поддержки (обновлений) ПО, сведения о котором не включены в единый реестр российского ПО, на последующие периоды, и провести их корректировку с учетом задач по переходу на использование российского ПО и формируемой системы показателей эффективности и соответствующих им значений индикаторов эффективности перехода на использование российского ПО</w:t>
      </w:r>
      <w:r w:rsidR="00643168">
        <w:rPr>
          <w:rFonts w:ascii="Times New Roman" w:hAnsi="Times New Roman"/>
          <w:sz w:val="28"/>
          <w:szCs w:val="24"/>
        </w:rPr>
        <w:t>;</w:t>
      </w:r>
    </w:p>
    <w:p w14:paraId="2A529892" w14:textId="35CE4B1B" w:rsidR="004250CC" w:rsidRPr="00B0658A" w:rsidRDefault="004250CC"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м) </w:t>
      </w:r>
      <w:r w:rsidR="00643168">
        <w:rPr>
          <w:rFonts w:ascii="Times New Roman" w:hAnsi="Times New Roman"/>
          <w:sz w:val="28"/>
          <w:szCs w:val="24"/>
        </w:rPr>
        <w:t>р</w:t>
      </w:r>
      <w:r w:rsidRPr="00B0658A">
        <w:rPr>
          <w:rFonts w:ascii="Times New Roman" w:hAnsi="Times New Roman"/>
          <w:sz w:val="28"/>
          <w:szCs w:val="24"/>
        </w:rPr>
        <w:t xml:space="preserve">еализовать мероприятия, направленные на уточнение используемых </w:t>
      </w:r>
      <w:r w:rsidR="00924B8A" w:rsidRPr="00B0658A">
        <w:rPr>
          <w:rFonts w:ascii="Times New Roman" w:hAnsi="Times New Roman"/>
          <w:sz w:val="28"/>
          <w:szCs w:val="24"/>
        </w:rPr>
        <w:t>заказчиком 44-ФЗ или заказчиком 223-ФЗ</w:t>
      </w:r>
      <w:r w:rsidRPr="00B0658A">
        <w:rPr>
          <w:rFonts w:ascii="Times New Roman" w:hAnsi="Times New Roman"/>
          <w:sz w:val="28"/>
          <w:szCs w:val="24"/>
        </w:rPr>
        <w:t xml:space="preserve"> программно-технических решений</w:t>
      </w:r>
      <w:r w:rsidR="00BC703C" w:rsidRPr="00B0658A">
        <w:rPr>
          <w:rFonts w:ascii="Times New Roman" w:hAnsi="Times New Roman"/>
          <w:sz w:val="28"/>
          <w:szCs w:val="24"/>
        </w:rPr>
        <w:t xml:space="preserve"> и программного обеспечения</w:t>
      </w:r>
      <w:r w:rsidRPr="00B0658A">
        <w:rPr>
          <w:rFonts w:ascii="Times New Roman" w:hAnsi="Times New Roman"/>
          <w:sz w:val="28"/>
          <w:szCs w:val="24"/>
        </w:rPr>
        <w:t xml:space="preserve"> в связи с переходом на использование российского ПО, в рамках которых, в том числе:</w:t>
      </w:r>
    </w:p>
    <w:p w14:paraId="3DB3D6A1" w14:textId="302DB63A" w:rsidR="004250CC" w:rsidRPr="00B0658A" w:rsidRDefault="004250CC"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 xml:space="preserve">провести анализ общесистемного и прикладного ПО, </w:t>
      </w:r>
      <w:r w:rsidR="00BC703C" w:rsidRPr="00B0658A">
        <w:rPr>
          <w:rFonts w:ascii="Times New Roman" w:hAnsi="Times New Roman"/>
          <w:sz w:val="28"/>
          <w:szCs w:val="24"/>
        </w:rPr>
        <w:t xml:space="preserve">программно-аппаратных комплексов, </w:t>
      </w:r>
      <w:r w:rsidRPr="00B0658A">
        <w:rPr>
          <w:rFonts w:ascii="Times New Roman" w:hAnsi="Times New Roman"/>
          <w:sz w:val="28"/>
          <w:szCs w:val="24"/>
        </w:rPr>
        <w:t>используем</w:t>
      </w:r>
      <w:r w:rsidR="00BC703C" w:rsidRPr="00B0658A">
        <w:rPr>
          <w:rFonts w:ascii="Times New Roman" w:hAnsi="Times New Roman"/>
          <w:sz w:val="28"/>
          <w:szCs w:val="24"/>
        </w:rPr>
        <w:t>ых</w:t>
      </w:r>
      <w:r w:rsidRPr="00B0658A">
        <w:rPr>
          <w:rFonts w:ascii="Times New Roman" w:hAnsi="Times New Roman"/>
          <w:sz w:val="28"/>
          <w:szCs w:val="24"/>
        </w:rPr>
        <w:t xml:space="preserve"> на значимых объектах КИИ и на иных объектах </w:t>
      </w:r>
      <w:r w:rsidRPr="00B0658A">
        <w:rPr>
          <w:rFonts w:ascii="Times New Roman" w:hAnsi="Times New Roman"/>
          <w:sz w:val="28"/>
          <w:szCs w:val="24"/>
        </w:rPr>
        <w:lastRenderedPageBreak/>
        <w:t xml:space="preserve">информационно-технологической инфраструктуры, используемых </w:t>
      </w:r>
      <w:r w:rsidR="00924B8A" w:rsidRPr="00B0658A">
        <w:rPr>
          <w:rFonts w:ascii="Times New Roman" w:hAnsi="Times New Roman"/>
          <w:sz w:val="28"/>
          <w:szCs w:val="24"/>
        </w:rPr>
        <w:t>заказчиком 44-ФЗ или заказчиком 223-ФЗ</w:t>
      </w:r>
      <w:r w:rsidRPr="00B0658A">
        <w:rPr>
          <w:rFonts w:ascii="Times New Roman" w:hAnsi="Times New Roman"/>
          <w:sz w:val="28"/>
          <w:szCs w:val="24"/>
        </w:rPr>
        <w:t>;</w:t>
      </w:r>
    </w:p>
    <w:p w14:paraId="373DC42B" w14:textId="35C39965" w:rsidR="004250CC" w:rsidRPr="00B0658A" w:rsidRDefault="004250CC"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сформировать требования к функциональным, техническим, эксплуатационным характеристикам, предъявляемым к персональным электронным вычислительным машинам, устройствам терминального доступа, абонентским устройствам радиоподвижной связи, программно-аппаратным комплексам, в том числе серверному и иному технологическому оборудованию, иным средствам вычислительной техники и периферийным устройствам, планируемым к закупке в последующие периоды с учетом необходимости обеспечения совместимости с российским ПО и евразийским ПО (для использования на значимых объектах КИИ). Указанные требования рекомендуется направить в Минцифры России;</w:t>
      </w:r>
    </w:p>
    <w:p w14:paraId="579B6BC1" w14:textId="0D6A27FB" w:rsidR="004250CC" w:rsidRPr="00B0658A" w:rsidRDefault="004250CC"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определить требования к функциональным, техническим и эксплуатационным характеристикам, предъявляемым к различным классам (типам) ПО (для каждого класса (типа) ПО) со стороны прикладного ПО информационных систем</w:t>
      </w:r>
      <w:r w:rsidR="00950440" w:rsidRPr="00B0658A">
        <w:rPr>
          <w:rFonts w:ascii="Times New Roman" w:hAnsi="Times New Roman"/>
          <w:sz w:val="28"/>
          <w:szCs w:val="24"/>
        </w:rPr>
        <w:t xml:space="preserve"> и иных компонентов информационно-технологической инфраструктуры</w:t>
      </w:r>
      <w:r w:rsidRPr="00B0658A">
        <w:rPr>
          <w:rFonts w:ascii="Times New Roman" w:hAnsi="Times New Roman"/>
          <w:sz w:val="28"/>
          <w:szCs w:val="24"/>
        </w:rPr>
        <w:t>. Указанные требования рекомендуется направить в Минцифры России;</w:t>
      </w:r>
    </w:p>
    <w:p w14:paraId="0081A58E" w14:textId="21F21A77" w:rsidR="004250CC" w:rsidRPr="00B0658A" w:rsidRDefault="004250CC"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 xml:space="preserve">провести функциональное и иные виды тестирования российского и евразийского ПО для целей подтверждения соответствия указанного ПО определенным требованиям к функциональным, техническим и эксплуатационным характеристикам ПО, а также оценки совместимости прикладного ПО информационных систем </w:t>
      </w:r>
      <w:r w:rsidR="00A52A31" w:rsidRPr="00B0658A">
        <w:rPr>
          <w:rFonts w:ascii="Times New Roman" w:hAnsi="Times New Roman"/>
          <w:sz w:val="28"/>
          <w:szCs w:val="24"/>
        </w:rPr>
        <w:t xml:space="preserve">и иных компонентов информационно-технологической инфраструктуры </w:t>
      </w:r>
      <w:r w:rsidRPr="00B0658A">
        <w:rPr>
          <w:rFonts w:ascii="Times New Roman" w:hAnsi="Times New Roman"/>
          <w:sz w:val="28"/>
          <w:szCs w:val="24"/>
        </w:rPr>
        <w:t>с российским и евразийским ПО;</w:t>
      </w:r>
    </w:p>
    <w:p w14:paraId="08B8F548" w14:textId="39D7FC84" w:rsidR="004250CC" w:rsidRPr="00B0658A" w:rsidRDefault="004250CC"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определить уточненный перечень российского ПО, евразийского ПО и российских программно-технических решений для применения при переходе на использование российского ПО, в том числе на значимых объектах КИИ;</w:t>
      </w:r>
    </w:p>
    <w:p w14:paraId="3AA68394" w14:textId="3B4ADD24" w:rsidR="004250CC" w:rsidRPr="00B0658A" w:rsidRDefault="004250CC"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 xml:space="preserve">определить факторы и барьеры, препятствующие на момент планирования переходу на использование российского ПО (для соответствующих классов (типов) ПО), провести оценку необходимости и объемов доработки прикладного ПО информационных систем </w:t>
      </w:r>
      <w:r w:rsidR="00890AD8" w:rsidRPr="00B0658A">
        <w:rPr>
          <w:rFonts w:ascii="Times New Roman" w:hAnsi="Times New Roman"/>
          <w:sz w:val="28"/>
          <w:szCs w:val="24"/>
        </w:rPr>
        <w:t xml:space="preserve">и иных компонентов информационно-технологической инфраструктуры </w:t>
      </w:r>
      <w:r w:rsidRPr="00B0658A">
        <w:rPr>
          <w:rFonts w:ascii="Times New Roman" w:hAnsi="Times New Roman"/>
          <w:sz w:val="28"/>
          <w:szCs w:val="24"/>
        </w:rPr>
        <w:t>с целью обеспечения совместимости с российским ПО и (или) евразийским ПО (для использования на значимых объектах КИИ). Выявленные факторы и барьеры рекомендуется направить в Минцифры России;</w:t>
      </w:r>
    </w:p>
    <w:p w14:paraId="2112A17E" w14:textId="0D8C8290" w:rsidR="004250CC" w:rsidRPr="00B0658A" w:rsidRDefault="004250CC"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сформировать перечень задач и мероприятий, направленных на устранение факторов и барьеров, препятствующих переходу на использование российского ПО, а также на обеспечение совместимости прикладного ПО</w:t>
      </w:r>
      <w:r w:rsidR="00E91BEF" w:rsidRPr="00B0658A">
        <w:rPr>
          <w:rFonts w:ascii="Times New Roman" w:hAnsi="Times New Roman"/>
          <w:sz w:val="28"/>
          <w:szCs w:val="24"/>
        </w:rPr>
        <w:t xml:space="preserve"> информационных систем и иных компонентов информационно-технологической инфраструктуры, используемых</w:t>
      </w:r>
      <w:r w:rsidRPr="00B0658A">
        <w:rPr>
          <w:rFonts w:ascii="Times New Roman" w:hAnsi="Times New Roman"/>
          <w:sz w:val="28"/>
          <w:szCs w:val="24"/>
        </w:rPr>
        <w:t xml:space="preserve"> </w:t>
      </w:r>
      <w:r w:rsidR="00924B8A" w:rsidRPr="00B0658A">
        <w:rPr>
          <w:rFonts w:ascii="Times New Roman" w:hAnsi="Times New Roman"/>
          <w:sz w:val="28"/>
          <w:szCs w:val="24"/>
        </w:rPr>
        <w:t>заказчиком 44-ФЗ или заказчиком 223-ФЗ</w:t>
      </w:r>
      <w:r w:rsidRPr="00B0658A">
        <w:rPr>
          <w:rFonts w:ascii="Times New Roman" w:hAnsi="Times New Roman"/>
          <w:sz w:val="28"/>
          <w:szCs w:val="24"/>
        </w:rPr>
        <w:t>, с российским ПО и евразийским ПО (для использования на значимых объектах КИИ)</w:t>
      </w:r>
      <w:r w:rsidR="00643168">
        <w:rPr>
          <w:rFonts w:ascii="Times New Roman" w:hAnsi="Times New Roman"/>
          <w:sz w:val="28"/>
          <w:szCs w:val="24"/>
        </w:rPr>
        <w:t>;</w:t>
      </w:r>
    </w:p>
    <w:p w14:paraId="62CA1CF6" w14:textId="01D2E6F7" w:rsidR="004250CC" w:rsidRPr="00B0658A" w:rsidRDefault="004250CC"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н) </w:t>
      </w:r>
      <w:r w:rsidR="00643168">
        <w:rPr>
          <w:rFonts w:ascii="Times New Roman" w:hAnsi="Times New Roman"/>
          <w:sz w:val="28"/>
          <w:szCs w:val="24"/>
        </w:rPr>
        <w:t>п</w:t>
      </w:r>
      <w:r w:rsidRPr="00B0658A">
        <w:rPr>
          <w:rFonts w:ascii="Times New Roman" w:hAnsi="Times New Roman"/>
          <w:sz w:val="28"/>
          <w:szCs w:val="24"/>
        </w:rPr>
        <w:t>ровести оценку требуемых временных и финансовых ресурсов для реализации задач по переходу на использование российского ПО, разработать необходимые финансово-экономические и технико-экономические обоснования</w:t>
      </w:r>
      <w:r w:rsidR="00643168">
        <w:rPr>
          <w:rFonts w:ascii="Times New Roman" w:hAnsi="Times New Roman"/>
          <w:sz w:val="28"/>
          <w:szCs w:val="24"/>
        </w:rPr>
        <w:t>;</w:t>
      </w:r>
    </w:p>
    <w:p w14:paraId="7EC6006D" w14:textId="32CD2796" w:rsidR="004250CC" w:rsidRPr="00B0658A" w:rsidRDefault="004250CC"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о)</w:t>
      </w:r>
      <w:r w:rsidRPr="00B0658A">
        <w:rPr>
          <w:rFonts w:ascii="Times New Roman" w:hAnsi="Times New Roman"/>
        </w:rPr>
        <w:t> </w:t>
      </w:r>
      <w:r w:rsidR="00643168">
        <w:rPr>
          <w:rFonts w:ascii="Times New Roman" w:hAnsi="Times New Roman"/>
        </w:rPr>
        <w:t>п</w:t>
      </w:r>
      <w:r w:rsidRPr="00B0658A">
        <w:rPr>
          <w:rFonts w:ascii="Times New Roman" w:hAnsi="Times New Roman"/>
          <w:sz w:val="28"/>
          <w:szCs w:val="24"/>
        </w:rPr>
        <w:t xml:space="preserve">ровести оценку достаточности имеющихся в распоряжении </w:t>
      </w:r>
      <w:r w:rsidR="00924B8A" w:rsidRPr="00B0658A">
        <w:rPr>
          <w:rFonts w:ascii="Times New Roman" w:hAnsi="Times New Roman"/>
          <w:sz w:val="28"/>
          <w:szCs w:val="24"/>
        </w:rPr>
        <w:t>заказчика 44-ФЗ или заказчика 223-ФЗ</w:t>
      </w:r>
      <w:r w:rsidRPr="00B0658A">
        <w:rPr>
          <w:rFonts w:ascii="Times New Roman" w:hAnsi="Times New Roman"/>
          <w:sz w:val="28"/>
          <w:szCs w:val="24"/>
        </w:rPr>
        <w:t xml:space="preserve"> ресурсов, необходимых для обеспечения перехода на использование российского ПО в установленные сроки и для достижения установленных показателей</w:t>
      </w:r>
      <w:r w:rsidR="00924B8A" w:rsidRPr="00B0658A">
        <w:rPr>
          <w:rFonts w:ascii="Times New Roman" w:hAnsi="Times New Roman"/>
          <w:sz w:val="28"/>
          <w:szCs w:val="24"/>
        </w:rPr>
        <w:t xml:space="preserve"> эффективности</w:t>
      </w:r>
      <w:r w:rsidRPr="00B0658A">
        <w:rPr>
          <w:rFonts w:ascii="Times New Roman" w:hAnsi="Times New Roman"/>
          <w:sz w:val="28"/>
          <w:szCs w:val="24"/>
        </w:rPr>
        <w:t xml:space="preserve">, в том числе для целей модернизации </w:t>
      </w:r>
      <w:r w:rsidRPr="00B0658A">
        <w:rPr>
          <w:rFonts w:ascii="Times New Roman" w:hAnsi="Times New Roman"/>
          <w:sz w:val="28"/>
          <w:szCs w:val="24"/>
        </w:rPr>
        <w:lastRenderedPageBreak/>
        <w:t>прикладного ПО информационных систем</w:t>
      </w:r>
      <w:r w:rsidR="00E91BEF" w:rsidRPr="00B0658A">
        <w:rPr>
          <w:rFonts w:ascii="Times New Roman" w:hAnsi="Times New Roman"/>
          <w:sz w:val="28"/>
          <w:szCs w:val="24"/>
        </w:rPr>
        <w:t xml:space="preserve"> и иных компонентов информационно-технологической инфраструктуры</w:t>
      </w:r>
      <w:r w:rsidRPr="00B0658A">
        <w:rPr>
          <w:rFonts w:ascii="Times New Roman" w:hAnsi="Times New Roman"/>
          <w:sz w:val="28"/>
          <w:szCs w:val="24"/>
        </w:rPr>
        <w:t xml:space="preserve">. При этом при оценке достаточности ресурсов </w:t>
      </w:r>
      <w:r w:rsidR="00924B8A" w:rsidRPr="00B0658A">
        <w:rPr>
          <w:rFonts w:ascii="Times New Roman" w:hAnsi="Times New Roman"/>
          <w:sz w:val="28"/>
          <w:szCs w:val="24"/>
        </w:rPr>
        <w:t xml:space="preserve">заказчикам 44-ФЗ и заказчикам 223-ФЗ </w:t>
      </w:r>
      <w:r w:rsidRPr="00B0658A">
        <w:rPr>
          <w:rFonts w:ascii="Times New Roman" w:hAnsi="Times New Roman"/>
          <w:sz w:val="28"/>
          <w:szCs w:val="24"/>
        </w:rPr>
        <w:t>рекомендуется:</w:t>
      </w:r>
    </w:p>
    <w:p w14:paraId="0D0B477E" w14:textId="59B896FD" w:rsidR="004250CC" w:rsidRPr="00B0658A" w:rsidRDefault="004250CC"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 xml:space="preserve">провести оптимизацию текущих </w:t>
      </w:r>
      <w:r w:rsidR="00BC703C" w:rsidRPr="00B0658A">
        <w:rPr>
          <w:rFonts w:ascii="Times New Roman" w:hAnsi="Times New Roman"/>
          <w:sz w:val="28"/>
          <w:szCs w:val="24"/>
        </w:rPr>
        <w:t xml:space="preserve">и планируемых </w:t>
      </w:r>
      <w:r w:rsidRPr="00B0658A">
        <w:rPr>
          <w:rFonts w:ascii="Times New Roman" w:hAnsi="Times New Roman"/>
          <w:sz w:val="28"/>
          <w:szCs w:val="24"/>
        </w:rPr>
        <w:t>эксплуатационных расходов на ИКТ;</w:t>
      </w:r>
    </w:p>
    <w:p w14:paraId="04C263DA" w14:textId="4E0052DB" w:rsidR="004250CC" w:rsidRPr="00B0658A" w:rsidRDefault="004250CC"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 xml:space="preserve">провести оптимизацию текущих </w:t>
      </w:r>
      <w:r w:rsidR="00BC703C" w:rsidRPr="00B0658A">
        <w:rPr>
          <w:rFonts w:ascii="Times New Roman" w:hAnsi="Times New Roman"/>
          <w:sz w:val="28"/>
          <w:szCs w:val="24"/>
        </w:rPr>
        <w:t xml:space="preserve">и планируемых </w:t>
      </w:r>
      <w:r w:rsidRPr="00B0658A">
        <w:rPr>
          <w:rFonts w:ascii="Times New Roman" w:hAnsi="Times New Roman"/>
          <w:sz w:val="28"/>
          <w:szCs w:val="24"/>
        </w:rPr>
        <w:t>расходов на развитие существующих информационных систем</w:t>
      </w:r>
      <w:r w:rsidR="00E91BEF" w:rsidRPr="00B0658A">
        <w:rPr>
          <w:rFonts w:ascii="Times New Roman" w:hAnsi="Times New Roman"/>
          <w:sz w:val="28"/>
          <w:szCs w:val="24"/>
        </w:rPr>
        <w:t xml:space="preserve"> и иных компонентов информационно-технологической инфраструктуры</w:t>
      </w:r>
      <w:r w:rsidRPr="00B0658A">
        <w:rPr>
          <w:rFonts w:ascii="Times New Roman" w:hAnsi="Times New Roman"/>
          <w:sz w:val="28"/>
          <w:szCs w:val="24"/>
        </w:rPr>
        <w:t>, функционирующих на базе иностранных ИТ-платформ и иностранных ИТ-решений;</w:t>
      </w:r>
    </w:p>
    <w:p w14:paraId="307D42B7" w14:textId="56A029E1" w:rsidR="004250CC" w:rsidRPr="00B0658A" w:rsidRDefault="004250CC"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провести оптимизацию расходов, в том числе расходов на закупку нового ИКТ-оборудования и создание новых центров обработки данных, на вычислительную и телекоммуникационную инфраструктуру, обеспечивающую функционирование информационных систем, в том числе с учетом возможностей, предоставляемых в рамках единой цифровой платформы Российской Федерации «ГосТех», государственной единой облачной платформы, возможностей, связанных с переходом на использование «сервисной модели» при возникновении потребности в вычислительных ресурсах и программно-аппаратных комплексов</w:t>
      </w:r>
      <w:r w:rsidR="00643168">
        <w:rPr>
          <w:rFonts w:ascii="Times New Roman" w:hAnsi="Times New Roman"/>
          <w:sz w:val="28"/>
          <w:szCs w:val="24"/>
        </w:rPr>
        <w:t>;</w:t>
      </w:r>
    </w:p>
    <w:p w14:paraId="507539E0" w14:textId="1376229C" w:rsidR="004250CC" w:rsidRPr="00B0658A" w:rsidRDefault="004250CC"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п) </w:t>
      </w:r>
      <w:r w:rsidR="00643168">
        <w:rPr>
          <w:rFonts w:ascii="Times New Roman" w:hAnsi="Times New Roman"/>
          <w:sz w:val="28"/>
          <w:szCs w:val="24"/>
        </w:rPr>
        <w:t>с</w:t>
      </w:r>
      <w:r w:rsidRPr="00B0658A">
        <w:rPr>
          <w:rFonts w:ascii="Times New Roman" w:hAnsi="Times New Roman"/>
          <w:sz w:val="28"/>
          <w:szCs w:val="24"/>
        </w:rPr>
        <w:t xml:space="preserve"> учетом проведенной оценки требуемых временных и финансовых ресурсов, оценки достаточности имеющихся финансовых ресурсов с учетом проведенной оптимизации расходов на ИКТ </w:t>
      </w:r>
      <w:r w:rsidR="00924B8A" w:rsidRPr="00B0658A">
        <w:rPr>
          <w:rFonts w:ascii="Times New Roman" w:hAnsi="Times New Roman"/>
          <w:sz w:val="28"/>
          <w:szCs w:val="24"/>
        </w:rPr>
        <w:t xml:space="preserve">заказчикам 44-ФЗ и заказчикам 223-ФЗ </w:t>
      </w:r>
      <w:r w:rsidRPr="00B0658A">
        <w:rPr>
          <w:rFonts w:ascii="Times New Roman" w:hAnsi="Times New Roman"/>
          <w:sz w:val="28"/>
          <w:szCs w:val="24"/>
        </w:rPr>
        <w:t>рекомендуется:</w:t>
      </w:r>
    </w:p>
    <w:p w14:paraId="3C3A2695" w14:textId="23A9A981" w:rsidR="004250CC" w:rsidRPr="00B0658A" w:rsidRDefault="004250CC"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 xml:space="preserve">внести необходимые изменения в программы (проекты) организации, связанные с развитием </w:t>
      </w:r>
      <w:r w:rsidR="000803DD" w:rsidRPr="00B0658A">
        <w:rPr>
          <w:rFonts w:ascii="Times New Roman" w:hAnsi="Times New Roman"/>
          <w:sz w:val="28"/>
          <w:szCs w:val="24"/>
        </w:rPr>
        <w:t>ИКТ</w:t>
      </w:r>
      <w:r w:rsidRPr="00B0658A">
        <w:rPr>
          <w:rFonts w:ascii="Times New Roman" w:hAnsi="Times New Roman"/>
          <w:sz w:val="28"/>
          <w:szCs w:val="24"/>
        </w:rPr>
        <w:t>;</w:t>
      </w:r>
    </w:p>
    <w:p w14:paraId="1DE704A9" w14:textId="4AD9C534" w:rsidR="004250CC" w:rsidRPr="00B0658A" w:rsidRDefault="004250CC"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при отсутствии имеющегося в организации достаточного объема финансовых ресурсов проработать вопросы, связанные с иными источниками финансового обеспечения процессов перехода на использование российского ПО</w:t>
      </w:r>
      <w:r w:rsidR="00643168">
        <w:rPr>
          <w:rFonts w:ascii="Times New Roman" w:hAnsi="Times New Roman"/>
          <w:sz w:val="28"/>
          <w:szCs w:val="24"/>
        </w:rPr>
        <w:t>;</w:t>
      </w:r>
    </w:p>
    <w:p w14:paraId="42AA9BC4" w14:textId="07489ADC" w:rsidR="00985179" w:rsidRPr="00B0658A" w:rsidRDefault="004250CC"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р) </w:t>
      </w:r>
      <w:r w:rsidR="00643168">
        <w:rPr>
          <w:rFonts w:ascii="Times New Roman" w:hAnsi="Times New Roman"/>
          <w:sz w:val="28"/>
          <w:szCs w:val="24"/>
        </w:rPr>
        <w:t>в</w:t>
      </w:r>
      <w:r w:rsidRPr="00B0658A">
        <w:rPr>
          <w:rFonts w:ascii="Times New Roman" w:hAnsi="Times New Roman"/>
          <w:sz w:val="28"/>
          <w:szCs w:val="24"/>
        </w:rPr>
        <w:t xml:space="preserve"> случае, если в процессе тестирования российского ПО и евразийского ПО и уточнения программно-технических решений будет определено, что в указанном ПО отсутствует ряд критически важных технологий и функций, которые при этом не могут быть реализованы путем использования комбинации ПО или реализации организационно-технических мер, рекомендуется организовать взаимодействие с Отраслевым комитетом по развитию общесистемного и прикладного ПО, иными Индустриальными центрами компетенций по замещению зарубежных отраслевых продуктов и решений в ключевых отраслях экономики (при необходимости), а также с Центрами компетенций по развитию российского общесистемного и прикладного программного обеспечения, производителями российского ПО и евразийского ПО для целей организации развития и доработки указанного ПО</w:t>
      </w:r>
      <w:r w:rsidR="00643168">
        <w:rPr>
          <w:rFonts w:ascii="Times New Roman" w:hAnsi="Times New Roman"/>
          <w:sz w:val="28"/>
          <w:szCs w:val="24"/>
        </w:rPr>
        <w:t>;</w:t>
      </w:r>
    </w:p>
    <w:p w14:paraId="262675E9" w14:textId="3DD9733A" w:rsidR="00BC703C" w:rsidRPr="00B0658A" w:rsidRDefault="00BC703C"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с) </w:t>
      </w:r>
      <w:r w:rsidR="00643168">
        <w:rPr>
          <w:rFonts w:ascii="Times New Roman" w:hAnsi="Times New Roman"/>
          <w:sz w:val="28"/>
          <w:szCs w:val="24"/>
        </w:rPr>
        <w:t>п</w:t>
      </w:r>
      <w:r w:rsidRPr="00B0658A">
        <w:rPr>
          <w:rFonts w:ascii="Times New Roman" w:hAnsi="Times New Roman"/>
          <w:sz w:val="28"/>
          <w:szCs w:val="24"/>
        </w:rPr>
        <w:t>редусмотреть мероприятия, направленные на обучение работников подведомственной организации, в том числе работников, ответственных за вопросы функционирования информационно-технологической и телекоммуникационной инфраструктуры, по использованию российского и евразийского ПО. </w:t>
      </w:r>
    </w:p>
    <w:p w14:paraId="2C863EF7" w14:textId="77777777" w:rsidR="00924B8A" w:rsidRPr="00B0658A" w:rsidRDefault="00924B8A"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133. Заказчикам 44-ФЗ и заказчикам 223-ФЗ также рекомендуется:</w:t>
      </w:r>
    </w:p>
    <w:p w14:paraId="352A62F9" w14:textId="17A0FAB4" w:rsidR="00924B8A" w:rsidRPr="00B0658A" w:rsidRDefault="00924B8A"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а) </w:t>
      </w:r>
      <w:r w:rsidR="00643168">
        <w:rPr>
          <w:rFonts w:ascii="Times New Roman" w:hAnsi="Times New Roman"/>
          <w:sz w:val="28"/>
          <w:szCs w:val="24"/>
        </w:rPr>
        <w:t>с</w:t>
      </w:r>
      <w:r w:rsidRPr="00B0658A">
        <w:rPr>
          <w:rFonts w:ascii="Times New Roman" w:hAnsi="Times New Roman"/>
          <w:sz w:val="28"/>
          <w:szCs w:val="24"/>
        </w:rPr>
        <w:t xml:space="preserve"> 1 января 2023 г</w:t>
      </w:r>
      <w:r w:rsidR="00643168">
        <w:rPr>
          <w:rFonts w:ascii="Times New Roman" w:hAnsi="Times New Roman"/>
          <w:sz w:val="28"/>
          <w:szCs w:val="24"/>
        </w:rPr>
        <w:t>.</w:t>
      </w:r>
      <w:r w:rsidRPr="00B0658A">
        <w:rPr>
          <w:rFonts w:ascii="Times New Roman" w:hAnsi="Times New Roman"/>
          <w:sz w:val="28"/>
          <w:szCs w:val="24"/>
        </w:rPr>
        <w:t xml:space="preserve"> новые информационные системы </w:t>
      </w:r>
      <w:r w:rsidR="00BC703C" w:rsidRPr="00B0658A">
        <w:rPr>
          <w:rFonts w:ascii="Times New Roman" w:hAnsi="Times New Roman"/>
          <w:sz w:val="28"/>
          <w:szCs w:val="24"/>
        </w:rPr>
        <w:t xml:space="preserve">и иные компоненты информационно-технологической инфраструктуры </w:t>
      </w:r>
      <w:r w:rsidRPr="00B0658A">
        <w:rPr>
          <w:rFonts w:ascii="Times New Roman" w:hAnsi="Times New Roman"/>
          <w:sz w:val="28"/>
          <w:szCs w:val="24"/>
        </w:rPr>
        <w:t>создавать с использованием российского ПО и евразийского ПО</w:t>
      </w:r>
      <w:r w:rsidR="00100A00" w:rsidRPr="00B0658A">
        <w:rPr>
          <w:rFonts w:ascii="Times New Roman" w:hAnsi="Times New Roman"/>
          <w:sz w:val="28"/>
          <w:szCs w:val="24"/>
        </w:rPr>
        <w:t xml:space="preserve"> (для использования на значимых объектах КИИ)</w:t>
      </w:r>
      <w:r w:rsidR="00643168">
        <w:rPr>
          <w:rFonts w:ascii="Times New Roman" w:hAnsi="Times New Roman"/>
          <w:sz w:val="28"/>
          <w:szCs w:val="24"/>
        </w:rPr>
        <w:t>;</w:t>
      </w:r>
    </w:p>
    <w:p w14:paraId="3623AABF" w14:textId="0A6FADF5" w:rsidR="00924B8A" w:rsidRPr="00B0658A" w:rsidRDefault="00924B8A"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lastRenderedPageBreak/>
        <w:t>б) </w:t>
      </w:r>
      <w:r w:rsidR="00643168">
        <w:rPr>
          <w:rFonts w:ascii="Times New Roman" w:hAnsi="Times New Roman"/>
          <w:sz w:val="28"/>
          <w:szCs w:val="24"/>
        </w:rPr>
        <w:t>с</w:t>
      </w:r>
      <w:r w:rsidRPr="00B0658A">
        <w:rPr>
          <w:rFonts w:ascii="Times New Roman" w:hAnsi="Times New Roman"/>
          <w:sz w:val="28"/>
          <w:szCs w:val="24"/>
        </w:rPr>
        <w:t>оздать «проектн</w:t>
      </w:r>
      <w:r w:rsidR="00957E1A" w:rsidRPr="00B0658A">
        <w:rPr>
          <w:rFonts w:ascii="Times New Roman" w:hAnsi="Times New Roman"/>
          <w:sz w:val="28"/>
          <w:szCs w:val="24"/>
        </w:rPr>
        <w:t>ую</w:t>
      </w:r>
      <w:r w:rsidRPr="00B0658A">
        <w:rPr>
          <w:rFonts w:ascii="Times New Roman" w:hAnsi="Times New Roman"/>
          <w:sz w:val="28"/>
          <w:szCs w:val="24"/>
        </w:rPr>
        <w:t xml:space="preserve"> </w:t>
      </w:r>
      <w:r w:rsidR="00957E1A" w:rsidRPr="00B0658A">
        <w:rPr>
          <w:rFonts w:ascii="Times New Roman" w:hAnsi="Times New Roman"/>
          <w:sz w:val="28"/>
          <w:szCs w:val="24"/>
        </w:rPr>
        <w:t>группу</w:t>
      </w:r>
      <w:r w:rsidRPr="00B0658A">
        <w:rPr>
          <w:rFonts w:ascii="Times New Roman" w:hAnsi="Times New Roman"/>
          <w:sz w:val="28"/>
          <w:szCs w:val="24"/>
        </w:rPr>
        <w:t>», обеспечивающ</w:t>
      </w:r>
      <w:r w:rsidR="00957E1A" w:rsidRPr="00B0658A">
        <w:rPr>
          <w:rFonts w:ascii="Times New Roman" w:hAnsi="Times New Roman"/>
          <w:sz w:val="28"/>
          <w:szCs w:val="24"/>
        </w:rPr>
        <w:t>ую</w:t>
      </w:r>
      <w:r w:rsidRPr="00B0658A">
        <w:rPr>
          <w:rFonts w:ascii="Times New Roman" w:hAnsi="Times New Roman"/>
          <w:sz w:val="28"/>
          <w:szCs w:val="24"/>
        </w:rPr>
        <w:t xml:space="preserve"> управление процессами перехода организации на использование российского ПО, мониторинг хода реализации Плана перехода и достижения установленных показателей эффективности</w:t>
      </w:r>
      <w:r w:rsidR="00643168">
        <w:rPr>
          <w:rFonts w:ascii="Times New Roman" w:hAnsi="Times New Roman"/>
          <w:sz w:val="28"/>
          <w:szCs w:val="24"/>
        </w:rPr>
        <w:t>;</w:t>
      </w:r>
    </w:p>
    <w:p w14:paraId="115A3562" w14:textId="27CCA335" w:rsidR="00924B8A" w:rsidRPr="00B0658A" w:rsidRDefault="00924B8A" w:rsidP="00F57B1F">
      <w:pPr>
        <w:spacing w:after="0" w:line="240" w:lineRule="auto"/>
        <w:ind w:firstLine="709"/>
        <w:jc w:val="both"/>
        <w:rPr>
          <w:rFonts w:ascii="Times New Roman" w:hAnsi="Times New Roman"/>
          <w:sz w:val="28"/>
          <w:szCs w:val="28"/>
        </w:rPr>
      </w:pPr>
      <w:r w:rsidRPr="00B0658A">
        <w:rPr>
          <w:rFonts w:ascii="Times New Roman" w:hAnsi="Times New Roman"/>
          <w:sz w:val="28"/>
          <w:szCs w:val="24"/>
        </w:rPr>
        <w:t>в) </w:t>
      </w:r>
      <w:r w:rsidR="00643168">
        <w:rPr>
          <w:rFonts w:ascii="Times New Roman" w:hAnsi="Times New Roman"/>
          <w:sz w:val="28"/>
          <w:szCs w:val="24"/>
        </w:rPr>
        <w:t>п</w:t>
      </w:r>
      <w:r w:rsidRPr="00B0658A">
        <w:rPr>
          <w:rFonts w:ascii="Times New Roman" w:hAnsi="Times New Roman"/>
          <w:sz w:val="28"/>
          <w:szCs w:val="24"/>
        </w:rPr>
        <w:t>редусмотреть</w:t>
      </w:r>
      <w:r w:rsidR="00715FFB" w:rsidRPr="00B0658A">
        <w:rPr>
          <w:rFonts w:ascii="Times New Roman" w:hAnsi="Times New Roman"/>
          <w:sz w:val="28"/>
          <w:szCs w:val="24"/>
        </w:rPr>
        <w:t xml:space="preserve"> </w:t>
      </w:r>
      <w:r w:rsidRPr="00B0658A">
        <w:rPr>
          <w:rFonts w:ascii="Times New Roman" w:hAnsi="Times New Roman"/>
          <w:sz w:val="28"/>
          <w:szCs w:val="24"/>
        </w:rPr>
        <w:t xml:space="preserve">мероприятие по предоставлению в </w:t>
      </w:r>
      <w:r w:rsidR="00284723" w:rsidRPr="00B0658A">
        <w:rPr>
          <w:rFonts w:ascii="Times New Roman" w:hAnsi="Times New Roman"/>
          <w:sz w:val="28"/>
          <w:szCs w:val="24"/>
        </w:rPr>
        <w:t>Минцифры России</w:t>
      </w:r>
      <w:r w:rsidRPr="00B0658A">
        <w:rPr>
          <w:rFonts w:ascii="Times New Roman" w:hAnsi="Times New Roman"/>
          <w:sz w:val="28"/>
          <w:szCs w:val="24"/>
        </w:rPr>
        <w:t xml:space="preserve"> и в части касающейся</w:t>
      </w:r>
      <w:r w:rsidR="00715FFB" w:rsidRPr="00B0658A">
        <w:rPr>
          <w:rStyle w:val="aff2"/>
          <w:rFonts w:ascii="Times New Roman" w:hAnsi="Times New Roman"/>
          <w:sz w:val="28"/>
          <w:szCs w:val="24"/>
        </w:rPr>
        <w:footnoteReference w:id="4"/>
      </w:r>
      <w:r w:rsidRPr="00B0658A">
        <w:rPr>
          <w:rFonts w:ascii="Times New Roman" w:hAnsi="Times New Roman"/>
          <w:sz w:val="28"/>
          <w:szCs w:val="24"/>
        </w:rPr>
        <w:t xml:space="preserve"> в соответствующие федеральные органы исполнительной власти, </w:t>
      </w:r>
      <w:r w:rsidRPr="00B0658A">
        <w:rPr>
          <w:rFonts w:ascii="Times New Roman" w:hAnsi="Times New Roman"/>
          <w:sz w:val="28"/>
          <w:szCs w:val="28"/>
        </w:rPr>
        <w:t>определенные в пункте 2 постановления Правительства Российской Федерации от 22 августа 2022 г</w:t>
      </w:r>
      <w:r w:rsidR="00643168">
        <w:rPr>
          <w:rFonts w:ascii="Times New Roman" w:hAnsi="Times New Roman"/>
          <w:sz w:val="28"/>
          <w:szCs w:val="28"/>
        </w:rPr>
        <w:t>.</w:t>
      </w:r>
      <w:r w:rsidRPr="00B0658A">
        <w:rPr>
          <w:rFonts w:ascii="Times New Roman" w:hAnsi="Times New Roman"/>
          <w:sz w:val="28"/>
          <w:szCs w:val="28"/>
        </w:rPr>
        <w:t xml:space="preserve"> </w:t>
      </w:r>
      <w:r w:rsidR="00592B14" w:rsidRPr="00B0658A">
        <w:rPr>
          <w:rFonts w:ascii="Times New Roman" w:hAnsi="Times New Roman"/>
          <w:sz w:val="28"/>
          <w:szCs w:val="28"/>
        </w:rPr>
        <w:t>№ </w:t>
      </w:r>
      <w:r w:rsidRPr="00B0658A">
        <w:rPr>
          <w:rFonts w:ascii="Times New Roman" w:hAnsi="Times New Roman"/>
          <w:sz w:val="28"/>
          <w:szCs w:val="28"/>
        </w:rPr>
        <w:t xml:space="preserve">1478 и ответственные за утверждение отраслевых планов мероприятий по обеспечению готовности заказчиков 223-ФЗ (за исключением организаций с муниципальным участием) к преимущественному использованию российского ПО, в том числе в составе программно-аппаратных комплексов, </w:t>
      </w:r>
      <w:r w:rsidR="009B3F4B" w:rsidRPr="00B0658A">
        <w:rPr>
          <w:rFonts w:ascii="Times New Roman" w:hAnsi="Times New Roman"/>
          <w:sz w:val="28"/>
          <w:szCs w:val="28"/>
        </w:rPr>
        <w:t xml:space="preserve">сведений о ходе реализации Плана перехода </w:t>
      </w:r>
      <w:r w:rsidRPr="00B0658A">
        <w:rPr>
          <w:rFonts w:ascii="Times New Roman" w:hAnsi="Times New Roman"/>
          <w:sz w:val="28"/>
          <w:szCs w:val="28"/>
        </w:rPr>
        <w:t>с периодичностью, по форме и в объеме, предусмотренных в настоящих методических рекомендациях</w:t>
      </w:r>
      <w:r w:rsidR="00643168">
        <w:rPr>
          <w:rFonts w:ascii="Times New Roman" w:hAnsi="Times New Roman"/>
          <w:sz w:val="28"/>
          <w:szCs w:val="28"/>
        </w:rPr>
        <w:t>;</w:t>
      </w:r>
    </w:p>
    <w:p w14:paraId="4CBEBBD4" w14:textId="69667FC1" w:rsidR="00924B8A" w:rsidRPr="00B0658A" w:rsidRDefault="00924B8A" w:rsidP="00F57B1F">
      <w:pPr>
        <w:spacing w:after="0" w:line="240" w:lineRule="auto"/>
        <w:ind w:firstLine="709"/>
        <w:jc w:val="both"/>
        <w:rPr>
          <w:rFonts w:ascii="Times New Roman" w:hAnsi="Times New Roman"/>
          <w:sz w:val="28"/>
          <w:szCs w:val="28"/>
        </w:rPr>
      </w:pPr>
      <w:r w:rsidRPr="00B0658A">
        <w:rPr>
          <w:rFonts w:ascii="Times New Roman" w:hAnsi="Times New Roman"/>
          <w:sz w:val="28"/>
          <w:szCs w:val="28"/>
        </w:rPr>
        <w:t>г) </w:t>
      </w:r>
      <w:r w:rsidR="00643168">
        <w:rPr>
          <w:rFonts w:ascii="Times New Roman" w:hAnsi="Times New Roman"/>
          <w:sz w:val="28"/>
          <w:szCs w:val="28"/>
        </w:rPr>
        <w:t>у</w:t>
      </w:r>
      <w:r w:rsidRPr="00B0658A">
        <w:rPr>
          <w:rFonts w:ascii="Times New Roman" w:hAnsi="Times New Roman"/>
          <w:sz w:val="28"/>
          <w:szCs w:val="28"/>
        </w:rPr>
        <w:t>становить решением руководителя организации условия и критерии, определяющие персональную ответственность для заместителя руководителя организации, ответственного за вопросы, связанные с переходом на использование российского ПО, за несвоевременную подготовку и утверждение Плана перехода организации на использование российского ПО, а также за недостижение показателей эффективности перехода на использование российского ПО, установленных в Плане перехода.</w:t>
      </w:r>
    </w:p>
    <w:p w14:paraId="4C389BF1" w14:textId="77777777" w:rsidR="00651855" w:rsidRPr="00B0658A" w:rsidRDefault="00924B8A" w:rsidP="00F57B1F">
      <w:pPr>
        <w:spacing w:after="0" w:line="240" w:lineRule="auto"/>
        <w:ind w:firstLine="720"/>
        <w:jc w:val="both"/>
        <w:rPr>
          <w:rFonts w:ascii="Times New Roman" w:hAnsi="Times New Roman"/>
          <w:sz w:val="28"/>
          <w:szCs w:val="24"/>
        </w:rPr>
      </w:pPr>
      <w:r w:rsidRPr="00B0658A">
        <w:rPr>
          <w:rFonts w:ascii="Times New Roman" w:hAnsi="Times New Roman"/>
          <w:sz w:val="28"/>
          <w:szCs w:val="28"/>
        </w:rPr>
        <w:t>Указанные в настоящем пункте условия и критерии, определяющие персональную ответственность, рекомендуется согласовать с Минцифры России.</w:t>
      </w:r>
    </w:p>
    <w:p w14:paraId="32C343EB" w14:textId="77777777" w:rsidR="00924B8A" w:rsidRPr="00B0658A" w:rsidRDefault="00924B8A"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 xml:space="preserve">134. Показатели эффективности и соответствующие им значения индикаторов эффективности перехода на использование российского ПО рекомендуется формировать в виде отдельной таблицы и устанавливать по годам в отношении каждого используемого класса (типа) ПО в соответствии с приказом Министерства цифрового развития, связи и массовых коммуникаций Российской Федерации от 22 сентября 2020 г. </w:t>
      </w:r>
      <w:r w:rsidR="00592B14" w:rsidRPr="00B0658A">
        <w:rPr>
          <w:rFonts w:ascii="Times New Roman" w:hAnsi="Times New Roman"/>
          <w:sz w:val="28"/>
          <w:szCs w:val="24"/>
        </w:rPr>
        <w:t>№ </w:t>
      </w:r>
      <w:r w:rsidRPr="00B0658A">
        <w:rPr>
          <w:rFonts w:ascii="Times New Roman" w:hAnsi="Times New Roman"/>
          <w:sz w:val="28"/>
          <w:szCs w:val="24"/>
        </w:rPr>
        <w:t xml:space="preserve"> 486 «Об утверждении классификатора программ для электронных вычислительных машин и баз данных».</w:t>
      </w:r>
    </w:p>
    <w:p w14:paraId="08116045" w14:textId="77777777" w:rsidR="00924B8A" w:rsidRPr="00B0658A" w:rsidRDefault="00924B8A"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135. Устанавливаемые показатели эффективности и соответствующие им значения индикаторов эффективности перехода на российское ПО должны учитывать показатели эффективности, устанавливаемые для перехода на использование российского ПО на значимых объектах КИИ.</w:t>
      </w:r>
    </w:p>
    <w:p w14:paraId="1DA6FF00" w14:textId="77777777" w:rsidR="00651855" w:rsidRPr="00B0658A" w:rsidRDefault="00924B8A"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136. Показатели эффективности и соответствующие им значения индикаторов эффективности должны быть установлены с учетом требований законодательства Российской Федерации в сфере обеспечения информационной безопасности Российской Федерации, в сфере обеспечения технологической независимости и безопасности критической информационной инфраструктуры Российской Федерации. Показатели эффективности и соответствующие им значения индикаторов эффективности рекомендуется устанавливать на уровне или выше (если применимо) показателей и значений, приведенных в настоящих методических рекомендациях.</w:t>
      </w:r>
    </w:p>
    <w:p w14:paraId="2A9164DD" w14:textId="77777777" w:rsidR="00651855" w:rsidRPr="00B0658A" w:rsidRDefault="00924B8A" w:rsidP="00F57B1F">
      <w:pPr>
        <w:spacing w:after="0" w:line="240" w:lineRule="auto"/>
        <w:ind w:firstLine="720"/>
        <w:jc w:val="both"/>
        <w:rPr>
          <w:rFonts w:ascii="Times New Roman" w:hAnsi="Times New Roman"/>
          <w:sz w:val="28"/>
          <w:szCs w:val="24"/>
        </w:rPr>
      </w:pPr>
      <w:r w:rsidRPr="00B0658A">
        <w:rPr>
          <w:rFonts w:ascii="Times New Roman" w:hAnsi="Times New Roman"/>
          <w:sz w:val="28"/>
          <w:szCs w:val="24"/>
        </w:rPr>
        <w:lastRenderedPageBreak/>
        <w:t>137. </w:t>
      </w:r>
      <w:r w:rsidR="0026377F" w:rsidRPr="00B0658A">
        <w:rPr>
          <w:rFonts w:ascii="Times New Roman" w:hAnsi="Times New Roman"/>
          <w:sz w:val="28"/>
          <w:szCs w:val="24"/>
        </w:rPr>
        <w:t>Показатели эффективности и соответствующие им значения индикаторов эффективности рекомендуется устанавливать по годам нарастающим итогом, исходя из обеспечения динамики, достаточной для осуществления перехода на использование российского ПО и достижения рекомендованных в настоящих методических рекомендациях показателей.</w:t>
      </w:r>
    </w:p>
    <w:p w14:paraId="26D73F2A" w14:textId="77777777" w:rsidR="00651855" w:rsidRPr="00B0658A" w:rsidRDefault="0026377F" w:rsidP="00F57B1F">
      <w:pPr>
        <w:spacing w:after="0" w:line="240" w:lineRule="auto"/>
        <w:ind w:firstLine="720"/>
        <w:jc w:val="both"/>
        <w:rPr>
          <w:rFonts w:ascii="Times New Roman" w:hAnsi="Times New Roman"/>
          <w:sz w:val="28"/>
          <w:szCs w:val="24"/>
        </w:rPr>
      </w:pPr>
      <w:r w:rsidRPr="00B0658A">
        <w:rPr>
          <w:rFonts w:ascii="Times New Roman" w:hAnsi="Times New Roman"/>
          <w:sz w:val="28"/>
          <w:szCs w:val="24"/>
        </w:rPr>
        <w:t>138. Показатели эффективности в отношении закупок ПО и связанных с ним работ и услуг, осуществляемых заказчиком 44-ФЗ или заказчиком 223-ФЗ, рекомендуется формировать в виде отдельной таблицы по годам на весь период планирования перехода на использование российского ПО.</w:t>
      </w:r>
    </w:p>
    <w:p w14:paraId="2A9EEFAC" w14:textId="77777777" w:rsidR="0026377F" w:rsidRPr="00B0658A" w:rsidRDefault="0026377F" w:rsidP="00F57B1F">
      <w:pPr>
        <w:spacing w:after="0" w:line="240" w:lineRule="auto"/>
        <w:ind w:firstLine="720"/>
        <w:jc w:val="both"/>
        <w:rPr>
          <w:rFonts w:ascii="Times New Roman" w:hAnsi="Times New Roman"/>
          <w:sz w:val="28"/>
          <w:szCs w:val="24"/>
        </w:rPr>
      </w:pPr>
      <w:r w:rsidRPr="00B0658A">
        <w:rPr>
          <w:rFonts w:ascii="Times New Roman" w:hAnsi="Times New Roman"/>
          <w:sz w:val="28"/>
          <w:szCs w:val="24"/>
        </w:rPr>
        <w:t xml:space="preserve">139. Показатели эффективности в отношении закупок ПО и связанных с ним работ и услуг, осуществляемых заказчиком 44-ФЗ или заказчиком 223-ФЗ, рекомендуется </w:t>
      </w:r>
      <w:r w:rsidR="0049104B" w:rsidRPr="00B0658A">
        <w:rPr>
          <w:rFonts w:ascii="Times New Roman" w:hAnsi="Times New Roman"/>
          <w:sz w:val="28"/>
          <w:szCs w:val="24"/>
        </w:rPr>
        <w:t>устанавливать в соответствии с рекомендованными в настоящих методических рекомендациях значениями</w:t>
      </w:r>
      <w:r w:rsidRPr="00B0658A">
        <w:rPr>
          <w:rFonts w:ascii="Times New Roman" w:hAnsi="Times New Roman"/>
          <w:sz w:val="28"/>
          <w:szCs w:val="24"/>
        </w:rPr>
        <w:t>.</w:t>
      </w:r>
    </w:p>
    <w:p w14:paraId="2E5D62EA" w14:textId="77777777" w:rsidR="0026377F" w:rsidRPr="00B0658A" w:rsidRDefault="0026377F" w:rsidP="00F57B1F">
      <w:pPr>
        <w:spacing w:after="0" w:line="240" w:lineRule="auto"/>
        <w:ind w:firstLine="720"/>
        <w:jc w:val="both"/>
        <w:rPr>
          <w:rFonts w:ascii="Times New Roman" w:hAnsi="Times New Roman"/>
          <w:sz w:val="28"/>
          <w:szCs w:val="24"/>
        </w:rPr>
      </w:pPr>
      <w:r w:rsidRPr="00B0658A">
        <w:rPr>
          <w:rFonts w:ascii="Times New Roman" w:hAnsi="Times New Roman"/>
          <w:sz w:val="28"/>
          <w:szCs w:val="24"/>
        </w:rPr>
        <w:t>140. Сведения об объемах и источниках финансовых ресурсов, планируемых для решения задач по переходу на использование российского ПО, в том числе на значимых объектах КИИ, рекомендуется формировать в виде отдельной таблицы.</w:t>
      </w:r>
    </w:p>
    <w:p w14:paraId="4FA88525" w14:textId="77777777" w:rsidR="0026377F" w:rsidRPr="00B0658A" w:rsidRDefault="0026377F"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141. Сведения об объемах и источниках финансовых ресурсов рекомендуется устанавливать по годам в тыс. руб., с указанием двух знаков после запятой. Сведения об объемах и источниках финансовых ресурсов должны учитывать:</w:t>
      </w:r>
    </w:p>
    <w:p w14:paraId="0F08C9FD" w14:textId="4C5D57AC" w:rsidR="0026377F" w:rsidRPr="00B0658A" w:rsidRDefault="0026377F"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устанавливаемые показатели в отношении закупок российского ПО и связанных с ним работ и услуг;</w:t>
      </w:r>
    </w:p>
    <w:p w14:paraId="5F39B7D0" w14:textId="2AE62ED0" w:rsidR="0026377F" w:rsidRPr="00B0658A" w:rsidRDefault="0026377F"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устанавливаемую динамику показателей эффективности и соответствующих им значений индикаторов эффективности в отношении классов (типов) ПО;</w:t>
      </w:r>
    </w:p>
    <w:p w14:paraId="444D9CA6" w14:textId="439AF09C" w:rsidR="0026377F" w:rsidRPr="00B0658A" w:rsidRDefault="0026377F"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необходимость реализации организационно-технических мероприятий по переходу на российского ПО в полном объеме и в запланированные сроки;</w:t>
      </w:r>
    </w:p>
    <w:p w14:paraId="707F7055" w14:textId="5D0D949B" w:rsidR="0026377F" w:rsidRPr="00B0658A" w:rsidRDefault="0026377F" w:rsidP="00F57B1F">
      <w:pPr>
        <w:spacing w:after="0" w:line="240" w:lineRule="auto"/>
        <w:ind w:firstLine="720"/>
        <w:jc w:val="both"/>
        <w:rPr>
          <w:rFonts w:ascii="Times New Roman" w:hAnsi="Times New Roman"/>
          <w:sz w:val="28"/>
          <w:szCs w:val="24"/>
        </w:rPr>
      </w:pPr>
      <w:r w:rsidRPr="00B0658A">
        <w:rPr>
          <w:rFonts w:ascii="Times New Roman" w:hAnsi="Times New Roman"/>
          <w:sz w:val="28"/>
          <w:szCs w:val="24"/>
        </w:rPr>
        <w:t xml:space="preserve">динамику цен производителей ПО и поставщиков иных товаров, работ, услуг, связанных с </w:t>
      </w:r>
      <w:r w:rsidR="000803DD" w:rsidRPr="00B0658A">
        <w:rPr>
          <w:rFonts w:ascii="Times New Roman" w:hAnsi="Times New Roman"/>
          <w:sz w:val="28"/>
          <w:szCs w:val="24"/>
        </w:rPr>
        <w:t>ИКТ</w:t>
      </w:r>
      <w:r w:rsidRPr="00B0658A">
        <w:rPr>
          <w:rFonts w:ascii="Times New Roman" w:hAnsi="Times New Roman"/>
          <w:sz w:val="28"/>
          <w:szCs w:val="24"/>
        </w:rPr>
        <w:t>.</w:t>
      </w:r>
    </w:p>
    <w:p w14:paraId="64055986" w14:textId="77777777" w:rsidR="0026377F" w:rsidRPr="00B0658A" w:rsidRDefault="0026377F" w:rsidP="00F57B1F">
      <w:pPr>
        <w:spacing w:after="0" w:line="240" w:lineRule="auto"/>
        <w:ind w:firstLine="720"/>
        <w:jc w:val="both"/>
        <w:rPr>
          <w:rFonts w:ascii="Times New Roman" w:hAnsi="Times New Roman"/>
          <w:sz w:val="28"/>
          <w:szCs w:val="24"/>
        </w:rPr>
      </w:pPr>
      <w:r w:rsidRPr="00B0658A">
        <w:rPr>
          <w:rFonts w:ascii="Times New Roman" w:hAnsi="Times New Roman"/>
          <w:sz w:val="28"/>
          <w:szCs w:val="24"/>
        </w:rPr>
        <w:t xml:space="preserve">142. Детализированный план перехода на использование российского ПО на принадлежащих заказчику 44-ФЗ или заказчику 223-ФЗ значимых объектах КИИ и показатели эффективности перехода на использование российского ПО и соответствующие им значения индикаторов эффективности на значимых объектах КИИ </w:t>
      </w:r>
      <w:r w:rsidR="009B3F4B" w:rsidRPr="00B0658A">
        <w:rPr>
          <w:rFonts w:ascii="Times New Roman" w:hAnsi="Times New Roman"/>
          <w:sz w:val="28"/>
          <w:szCs w:val="24"/>
        </w:rPr>
        <w:t xml:space="preserve">рекомендуется </w:t>
      </w:r>
      <w:r w:rsidRPr="00B0658A">
        <w:rPr>
          <w:rFonts w:ascii="Times New Roman" w:hAnsi="Times New Roman"/>
          <w:sz w:val="28"/>
          <w:szCs w:val="24"/>
        </w:rPr>
        <w:t>формир</w:t>
      </w:r>
      <w:r w:rsidR="009B3F4B" w:rsidRPr="00B0658A">
        <w:rPr>
          <w:rFonts w:ascii="Times New Roman" w:hAnsi="Times New Roman"/>
          <w:sz w:val="28"/>
          <w:szCs w:val="24"/>
        </w:rPr>
        <w:t>овать</w:t>
      </w:r>
      <w:r w:rsidRPr="00B0658A">
        <w:rPr>
          <w:rFonts w:ascii="Times New Roman" w:hAnsi="Times New Roman"/>
          <w:sz w:val="28"/>
          <w:szCs w:val="24"/>
        </w:rPr>
        <w:t xml:space="preserve"> в виде отдельной таблицы.</w:t>
      </w:r>
    </w:p>
    <w:p w14:paraId="3C485235" w14:textId="77777777" w:rsidR="0026377F" w:rsidRPr="00B0658A" w:rsidRDefault="0026377F"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8"/>
        </w:rPr>
        <w:tab/>
        <w:t>143. </w:t>
      </w:r>
      <w:r w:rsidRPr="00B0658A">
        <w:rPr>
          <w:rFonts w:ascii="Times New Roman" w:hAnsi="Times New Roman"/>
          <w:sz w:val="28"/>
          <w:szCs w:val="24"/>
        </w:rPr>
        <w:t>В детализированном плане для значимых объектов КИИ для каждого значимого объекта КИИ</w:t>
      </w:r>
      <w:r w:rsidR="009B3F4B" w:rsidRPr="00B0658A">
        <w:rPr>
          <w:rFonts w:ascii="Times New Roman" w:hAnsi="Times New Roman"/>
          <w:sz w:val="28"/>
          <w:szCs w:val="24"/>
        </w:rPr>
        <w:t xml:space="preserve"> рекомендуется</w:t>
      </w:r>
      <w:r w:rsidRPr="00B0658A">
        <w:rPr>
          <w:rFonts w:ascii="Times New Roman" w:hAnsi="Times New Roman"/>
          <w:sz w:val="28"/>
          <w:szCs w:val="24"/>
        </w:rPr>
        <w:t>:</w:t>
      </w:r>
    </w:p>
    <w:p w14:paraId="3D867DA4" w14:textId="236C6A29" w:rsidR="0026377F" w:rsidRPr="00B0658A" w:rsidRDefault="009B3F4B"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с</w:t>
      </w:r>
      <w:r w:rsidR="0026377F" w:rsidRPr="00B0658A">
        <w:rPr>
          <w:rFonts w:ascii="Times New Roman" w:hAnsi="Times New Roman"/>
          <w:sz w:val="28"/>
          <w:szCs w:val="24"/>
        </w:rPr>
        <w:t>формир</w:t>
      </w:r>
      <w:r w:rsidRPr="00B0658A">
        <w:rPr>
          <w:rFonts w:ascii="Times New Roman" w:hAnsi="Times New Roman"/>
          <w:sz w:val="28"/>
          <w:szCs w:val="24"/>
        </w:rPr>
        <w:t>овать</w:t>
      </w:r>
      <w:r w:rsidR="0026377F" w:rsidRPr="00B0658A">
        <w:rPr>
          <w:rFonts w:ascii="Times New Roman" w:hAnsi="Times New Roman"/>
          <w:sz w:val="28"/>
          <w:szCs w:val="24"/>
        </w:rPr>
        <w:t xml:space="preserve"> план-график </w:t>
      </w:r>
      <w:r w:rsidR="0095686C" w:rsidRPr="00B0658A">
        <w:rPr>
          <w:rFonts w:ascii="Times New Roman" w:hAnsi="Times New Roman"/>
          <w:sz w:val="28"/>
          <w:szCs w:val="24"/>
        </w:rPr>
        <w:t>мероприятий</w:t>
      </w:r>
      <w:r w:rsidR="0026377F" w:rsidRPr="00B0658A">
        <w:rPr>
          <w:rFonts w:ascii="Times New Roman" w:hAnsi="Times New Roman"/>
          <w:sz w:val="28"/>
          <w:szCs w:val="24"/>
        </w:rPr>
        <w:t xml:space="preserve"> по переводу значимого объекта КИИ на использование российского ПО и евразийского ПО с указанием наименования мероприятия, срока его реализации, ответственного работника, описания ожидаемого результата с учетом реализации организационно-технических мероприятий перехода на использование российского ПО;</w:t>
      </w:r>
    </w:p>
    <w:p w14:paraId="6B8ED3DE" w14:textId="3AF0130C" w:rsidR="0026377F" w:rsidRPr="00B0658A" w:rsidRDefault="009B3F4B"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определить</w:t>
      </w:r>
      <w:r w:rsidR="0026377F" w:rsidRPr="00B0658A">
        <w:rPr>
          <w:rFonts w:ascii="Times New Roman" w:hAnsi="Times New Roman"/>
          <w:sz w:val="28"/>
          <w:szCs w:val="24"/>
        </w:rPr>
        <w:t xml:space="preserve"> класс</w:t>
      </w:r>
      <w:r w:rsidRPr="00B0658A">
        <w:rPr>
          <w:rFonts w:ascii="Times New Roman" w:hAnsi="Times New Roman"/>
          <w:sz w:val="28"/>
          <w:szCs w:val="24"/>
        </w:rPr>
        <w:t>ы</w:t>
      </w:r>
      <w:r w:rsidR="0026377F" w:rsidRPr="00B0658A">
        <w:rPr>
          <w:rFonts w:ascii="Times New Roman" w:hAnsi="Times New Roman"/>
          <w:sz w:val="28"/>
          <w:szCs w:val="24"/>
        </w:rPr>
        <w:t xml:space="preserve"> (тип</w:t>
      </w:r>
      <w:r w:rsidRPr="00B0658A">
        <w:rPr>
          <w:rFonts w:ascii="Times New Roman" w:hAnsi="Times New Roman"/>
          <w:sz w:val="28"/>
          <w:szCs w:val="24"/>
        </w:rPr>
        <w:t>ы</w:t>
      </w:r>
      <w:r w:rsidR="0026377F" w:rsidRPr="00B0658A">
        <w:rPr>
          <w:rFonts w:ascii="Times New Roman" w:hAnsi="Times New Roman"/>
          <w:sz w:val="28"/>
          <w:szCs w:val="24"/>
        </w:rPr>
        <w:t>) ПО и переч</w:t>
      </w:r>
      <w:r w:rsidRPr="00B0658A">
        <w:rPr>
          <w:rFonts w:ascii="Times New Roman" w:hAnsi="Times New Roman"/>
          <w:sz w:val="28"/>
          <w:szCs w:val="24"/>
        </w:rPr>
        <w:t>е</w:t>
      </w:r>
      <w:r w:rsidR="0026377F" w:rsidRPr="00B0658A">
        <w:rPr>
          <w:rFonts w:ascii="Times New Roman" w:hAnsi="Times New Roman"/>
          <w:sz w:val="28"/>
          <w:szCs w:val="24"/>
        </w:rPr>
        <w:t>н</w:t>
      </w:r>
      <w:r w:rsidRPr="00B0658A">
        <w:rPr>
          <w:rFonts w:ascii="Times New Roman" w:hAnsi="Times New Roman"/>
          <w:sz w:val="28"/>
          <w:szCs w:val="24"/>
        </w:rPr>
        <w:t>ь</w:t>
      </w:r>
      <w:r w:rsidR="0026377F" w:rsidRPr="00B0658A">
        <w:rPr>
          <w:rFonts w:ascii="Times New Roman" w:hAnsi="Times New Roman"/>
          <w:sz w:val="28"/>
          <w:szCs w:val="24"/>
        </w:rPr>
        <w:t xml:space="preserve"> иностранного ПО, которое используется на значимом объекте КИИ и которое подлежит замещению на российское ПО и евразийское ПО до конца 2024 года;</w:t>
      </w:r>
    </w:p>
    <w:p w14:paraId="6162DCF0" w14:textId="21A3060C" w:rsidR="00787E83" w:rsidRPr="00B0658A" w:rsidRDefault="0026377F"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установ</w:t>
      </w:r>
      <w:r w:rsidR="009B3F4B" w:rsidRPr="00B0658A">
        <w:rPr>
          <w:rFonts w:ascii="Times New Roman" w:hAnsi="Times New Roman"/>
          <w:sz w:val="28"/>
          <w:szCs w:val="24"/>
        </w:rPr>
        <w:t>ить</w:t>
      </w:r>
      <w:r w:rsidRPr="00B0658A">
        <w:rPr>
          <w:rFonts w:ascii="Times New Roman" w:hAnsi="Times New Roman"/>
          <w:sz w:val="28"/>
          <w:szCs w:val="24"/>
        </w:rPr>
        <w:t xml:space="preserve"> по годам показател</w:t>
      </w:r>
      <w:r w:rsidR="009B3F4B" w:rsidRPr="00B0658A">
        <w:rPr>
          <w:rFonts w:ascii="Times New Roman" w:hAnsi="Times New Roman"/>
          <w:sz w:val="28"/>
          <w:szCs w:val="24"/>
        </w:rPr>
        <w:t>и</w:t>
      </w:r>
      <w:r w:rsidRPr="00B0658A">
        <w:rPr>
          <w:rFonts w:ascii="Times New Roman" w:hAnsi="Times New Roman"/>
          <w:sz w:val="28"/>
          <w:szCs w:val="24"/>
        </w:rPr>
        <w:t xml:space="preserve"> эффективности и соответствующи</w:t>
      </w:r>
      <w:r w:rsidR="009B3F4B" w:rsidRPr="00B0658A">
        <w:rPr>
          <w:rFonts w:ascii="Times New Roman" w:hAnsi="Times New Roman"/>
          <w:sz w:val="28"/>
          <w:szCs w:val="24"/>
        </w:rPr>
        <w:t>е</w:t>
      </w:r>
      <w:r w:rsidRPr="00B0658A">
        <w:rPr>
          <w:rFonts w:ascii="Times New Roman" w:hAnsi="Times New Roman"/>
          <w:sz w:val="28"/>
          <w:szCs w:val="24"/>
        </w:rPr>
        <w:t xml:space="preserve"> им значени</w:t>
      </w:r>
      <w:r w:rsidR="009B3F4B" w:rsidRPr="00B0658A">
        <w:rPr>
          <w:rFonts w:ascii="Times New Roman" w:hAnsi="Times New Roman"/>
          <w:sz w:val="28"/>
          <w:szCs w:val="24"/>
        </w:rPr>
        <w:t>я</w:t>
      </w:r>
      <w:r w:rsidRPr="00B0658A">
        <w:rPr>
          <w:rFonts w:ascii="Times New Roman" w:hAnsi="Times New Roman"/>
          <w:sz w:val="28"/>
          <w:szCs w:val="24"/>
        </w:rPr>
        <w:t xml:space="preserve"> индикаторов эффективности для каждого используемого на значимом объекте КИИ класса (типа) ПО.</w:t>
      </w:r>
    </w:p>
    <w:p w14:paraId="28C2D59B" w14:textId="77777777" w:rsidR="0026377F" w:rsidRPr="00B0658A" w:rsidRDefault="0026377F"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lastRenderedPageBreak/>
        <w:t>144. При установлении показателей эффективности и соответствующим им значений индикаторов эффективности для классов (типов) ПО, используемого на принадлежащих заказчику 44-ФЗ или заказчику 223-ФЗ значимых объектах КИИ, рекомендуется исходить из следующих условий:</w:t>
      </w:r>
    </w:p>
    <w:p w14:paraId="55895CCC" w14:textId="77777777" w:rsidR="0026377F" w:rsidRPr="00B0658A" w:rsidRDefault="0026377F"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 xml:space="preserve">достижение к концу 2022 г. доли использования российского </w:t>
      </w:r>
      <w:r w:rsidR="009B3F4B" w:rsidRPr="00B0658A">
        <w:rPr>
          <w:rFonts w:ascii="Times New Roman" w:hAnsi="Times New Roman"/>
          <w:sz w:val="28"/>
          <w:szCs w:val="24"/>
        </w:rPr>
        <w:t xml:space="preserve">ПО </w:t>
      </w:r>
      <w:r w:rsidRPr="00B0658A">
        <w:rPr>
          <w:rFonts w:ascii="Times New Roman" w:hAnsi="Times New Roman"/>
          <w:sz w:val="28"/>
          <w:szCs w:val="24"/>
        </w:rPr>
        <w:t>и евразийского ПО на значимых объектах КИИ, превышающей не менее чем на 10% текущие показатели использования российского ПО</w:t>
      </w:r>
      <w:r w:rsidR="005C631B" w:rsidRPr="00B0658A">
        <w:rPr>
          <w:rFonts w:ascii="Times New Roman" w:hAnsi="Times New Roman"/>
          <w:sz w:val="28"/>
          <w:szCs w:val="24"/>
        </w:rPr>
        <w:t xml:space="preserve"> и евразийского ПО</w:t>
      </w:r>
      <w:r w:rsidRPr="00B0658A">
        <w:rPr>
          <w:rFonts w:ascii="Times New Roman" w:hAnsi="Times New Roman"/>
          <w:sz w:val="28"/>
          <w:szCs w:val="24"/>
        </w:rPr>
        <w:t xml:space="preserve"> на так</w:t>
      </w:r>
      <w:r w:rsidR="005C631B" w:rsidRPr="00B0658A">
        <w:rPr>
          <w:rFonts w:ascii="Times New Roman" w:hAnsi="Times New Roman"/>
          <w:sz w:val="28"/>
          <w:szCs w:val="24"/>
        </w:rPr>
        <w:t>их</w:t>
      </w:r>
      <w:r w:rsidRPr="00B0658A">
        <w:rPr>
          <w:rFonts w:ascii="Times New Roman" w:hAnsi="Times New Roman"/>
          <w:sz w:val="28"/>
          <w:szCs w:val="24"/>
        </w:rPr>
        <w:t xml:space="preserve"> объект</w:t>
      </w:r>
      <w:r w:rsidR="005C631B" w:rsidRPr="00B0658A">
        <w:rPr>
          <w:rFonts w:ascii="Times New Roman" w:hAnsi="Times New Roman"/>
          <w:sz w:val="28"/>
          <w:szCs w:val="24"/>
        </w:rPr>
        <w:t>ах</w:t>
      </w:r>
      <w:r w:rsidRPr="00B0658A">
        <w:rPr>
          <w:rFonts w:ascii="Times New Roman" w:hAnsi="Times New Roman"/>
          <w:sz w:val="28"/>
          <w:szCs w:val="24"/>
        </w:rPr>
        <w:t>;</w:t>
      </w:r>
    </w:p>
    <w:p w14:paraId="11B9CE83" w14:textId="77777777" w:rsidR="0026377F" w:rsidRPr="00B0658A" w:rsidRDefault="0026377F"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 xml:space="preserve">достижение к концу 2023 г. доли использования российского </w:t>
      </w:r>
      <w:r w:rsidR="009B3F4B" w:rsidRPr="00B0658A">
        <w:rPr>
          <w:rFonts w:ascii="Times New Roman" w:hAnsi="Times New Roman"/>
          <w:sz w:val="28"/>
          <w:szCs w:val="24"/>
        </w:rPr>
        <w:t xml:space="preserve">ПО </w:t>
      </w:r>
      <w:r w:rsidRPr="00B0658A">
        <w:rPr>
          <w:rFonts w:ascii="Times New Roman" w:hAnsi="Times New Roman"/>
          <w:sz w:val="28"/>
          <w:szCs w:val="24"/>
        </w:rPr>
        <w:t xml:space="preserve">и евразийского ПО на значимых объектах КИИ, превышающей не менее чем на 40% текущие показатели использования российского ПО </w:t>
      </w:r>
      <w:r w:rsidR="005C631B" w:rsidRPr="00B0658A">
        <w:rPr>
          <w:rFonts w:ascii="Times New Roman" w:hAnsi="Times New Roman"/>
          <w:sz w:val="28"/>
          <w:szCs w:val="24"/>
        </w:rPr>
        <w:t>и евразийского ПО на таких объектах</w:t>
      </w:r>
      <w:r w:rsidRPr="00B0658A">
        <w:rPr>
          <w:rFonts w:ascii="Times New Roman" w:hAnsi="Times New Roman"/>
          <w:sz w:val="28"/>
          <w:szCs w:val="24"/>
        </w:rPr>
        <w:t>;</w:t>
      </w:r>
    </w:p>
    <w:p w14:paraId="2034273F" w14:textId="77777777" w:rsidR="0026377F" w:rsidRPr="00B0658A" w:rsidRDefault="0026377F"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 xml:space="preserve">установление на 2024 г. и далее доли использования российского </w:t>
      </w:r>
      <w:r w:rsidR="009B3F4B" w:rsidRPr="00B0658A">
        <w:rPr>
          <w:rFonts w:ascii="Times New Roman" w:hAnsi="Times New Roman"/>
          <w:sz w:val="28"/>
          <w:szCs w:val="24"/>
        </w:rPr>
        <w:t xml:space="preserve">ПО </w:t>
      </w:r>
      <w:r w:rsidRPr="00B0658A">
        <w:rPr>
          <w:rFonts w:ascii="Times New Roman" w:hAnsi="Times New Roman"/>
          <w:sz w:val="28"/>
          <w:szCs w:val="24"/>
        </w:rPr>
        <w:t>и евразийского ПО на значимых объектах КИИ на уровне 100%.</w:t>
      </w:r>
    </w:p>
    <w:p w14:paraId="0BD26372" w14:textId="77777777" w:rsidR="005C631B" w:rsidRPr="00B0658A" w:rsidRDefault="005C631B"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145. После утверждения Плана перехода заказчик</w:t>
      </w:r>
      <w:r w:rsidR="009B3F4B" w:rsidRPr="00B0658A">
        <w:rPr>
          <w:rFonts w:ascii="Times New Roman" w:hAnsi="Times New Roman"/>
          <w:sz w:val="28"/>
          <w:szCs w:val="24"/>
        </w:rPr>
        <w:t>у</w:t>
      </w:r>
      <w:r w:rsidRPr="00B0658A">
        <w:rPr>
          <w:rFonts w:ascii="Times New Roman" w:hAnsi="Times New Roman"/>
          <w:sz w:val="28"/>
          <w:szCs w:val="24"/>
        </w:rPr>
        <w:t xml:space="preserve"> 44-ФЗ или заказчик</w:t>
      </w:r>
      <w:r w:rsidR="009B3F4B" w:rsidRPr="00B0658A">
        <w:rPr>
          <w:rFonts w:ascii="Times New Roman" w:hAnsi="Times New Roman"/>
          <w:sz w:val="28"/>
          <w:szCs w:val="24"/>
        </w:rPr>
        <w:t>у</w:t>
      </w:r>
      <w:r w:rsidRPr="00B0658A">
        <w:rPr>
          <w:rFonts w:ascii="Times New Roman" w:hAnsi="Times New Roman"/>
          <w:sz w:val="28"/>
          <w:szCs w:val="24"/>
        </w:rPr>
        <w:t xml:space="preserve"> 223-ФЗ </w:t>
      </w:r>
      <w:r w:rsidR="009B3F4B" w:rsidRPr="00B0658A">
        <w:rPr>
          <w:rFonts w:ascii="Times New Roman" w:hAnsi="Times New Roman"/>
          <w:sz w:val="28"/>
          <w:szCs w:val="24"/>
        </w:rPr>
        <w:t xml:space="preserve">копию утвержденного </w:t>
      </w:r>
      <w:r w:rsidRPr="00B0658A">
        <w:rPr>
          <w:rFonts w:ascii="Times New Roman" w:hAnsi="Times New Roman"/>
          <w:sz w:val="28"/>
          <w:szCs w:val="24"/>
        </w:rPr>
        <w:t>План</w:t>
      </w:r>
      <w:r w:rsidR="009B3F4B" w:rsidRPr="00B0658A">
        <w:rPr>
          <w:rFonts w:ascii="Times New Roman" w:hAnsi="Times New Roman"/>
          <w:sz w:val="28"/>
          <w:szCs w:val="24"/>
        </w:rPr>
        <w:t>а</w:t>
      </w:r>
      <w:r w:rsidRPr="00B0658A">
        <w:rPr>
          <w:rFonts w:ascii="Times New Roman" w:hAnsi="Times New Roman"/>
          <w:sz w:val="28"/>
          <w:szCs w:val="24"/>
        </w:rPr>
        <w:t xml:space="preserve"> перехода рекомендуется направить в Минцифры России.</w:t>
      </w:r>
    </w:p>
    <w:p w14:paraId="213DD1CD" w14:textId="77777777" w:rsidR="005C631B" w:rsidRPr="00B0658A" w:rsidRDefault="005C631B"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146. При внесении изменений в утвержденный заказчиком 44-ФЗ или заказчиком 223-ФЗ План перехода на использование российского ПО заказчик</w:t>
      </w:r>
      <w:r w:rsidR="009B3F4B" w:rsidRPr="00B0658A">
        <w:rPr>
          <w:rFonts w:ascii="Times New Roman" w:hAnsi="Times New Roman"/>
          <w:sz w:val="28"/>
          <w:szCs w:val="24"/>
        </w:rPr>
        <w:t>у</w:t>
      </w:r>
      <w:r w:rsidRPr="00B0658A">
        <w:rPr>
          <w:rFonts w:ascii="Times New Roman" w:hAnsi="Times New Roman"/>
          <w:sz w:val="28"/>
          <w:szCs w:val="24"/>
        </w:rPr>
        <w:t xml:space="preserve"> 44-ФЗ или заказчик</w:t>
      </w:r>
      <w:r w:rsidR="009B3F4B" w:rsidRPr="00B0658A">
        <w:rPr>
          <w:rFonts w:ascii="Times New Roman" w:hAnsi="Times New Roman"/>
          <w:sz w:val="28"/>
          <w:szCs w:val="24"/>
        </w:rPr>
        <w:t>у</w:t>
      </w:r>
      <w:r w:rsidRPr="00B0658A">
        <w:rPr>
          <w:rFonts w:ascii="Times New Roman" w:hAnsi="Times New Roman"/>
          <w:sz w:val="28"/>
          <w:szCs w:val="24"/>
        </w:rPr>
        <w:t xml:space="preserve"> 223-ФЗ </w:t>
      </w:r>
      <w:r w:rsidR="009B3F4B" w:rsidRPr="00B0658A">
        <w:rPr>
          <w:rFonts w:ascii="Times New Roman" w:hAnsi="Times New Roman"/>
          <w:sz w:val="28"/>
          <w:szCs w:val="24"/>
        </w:rPr>
        <w:t xml:space="preserve">рекомендуется </w:t>
      </w:r>
      <w:r w:rsidRPr="00B0658A">
        <w:rPr>
          <w:rFonts w:ascii="Times New Roman" w:hAnsi="Times New Roman"/>
          <w:sz w:val="28"/>
          <w:szCs w:val="24"/>
        </w:rPr>
        <w:t>обеспечива</w:t>
      </w:r>
      <w:r w:rsidR="009B3F4B" w:rsidRPr="00B0658A">
        <w:rPr>
          <w:rFonts w:ascii="Times New Roman" w:hAnsi="Times New Roman"/>
          <w:sz w:val="28"/>
          <w:szCs w:val="24"/>
        </w:rPr>
        <w:t>ть</w:t>
      </w:r>
      <w:r w:rsidRPr="00B0658A">
        <w:rPr>
          <w:rFonts w:ascii="Times New Roman" w:hAnsi="Times New Roman"/>
          <w:sz w:val="28"/>
          <w:szCs w:val="24"/>
        </w:rPr>
        <w:t xml:space="preserve"> согласование указанных изменений в порядке, предусмотренным настоящими методическими рекомендациями, при одновременном предоставлении обоснования необходимости внесения изменений.</w:t>
      </w:r>
    </w:p>
    <w:p w14:paraId="5BA66097" w14:textId="77777777" w:rsidR="005C631B" w:rsidRPr="00B0658A" w:rsidRDefault="005C631B"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147. Не рекомендуется при формировании показателей эффективности перехода на использование российского ПО и соответствующих им значений индикаторов эффективности, показателей эффективности в отношении закупок ПО и связанных с ним работ и услуг, сведений об объемах и источниках финансовых ресурсов указывать отсылочные положения такие как «могут быть изменены по результатам тестирования», «могут быть изменены в случае отсутствия необходимого объема финансирования» и иные.</w:t>
      </w:r>
    </w:p>
    <w:p w14:paraId="18D466C3" w14:textId="77777777" w:rsidR="005C631B" w:rsidRPr="00B0658A" w:rsidRDefault="005C631B"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 xml:space="preserve">148. Для целей мониторинга и контроля реализации Планов заказчиков 44-ФЗ и заказчиков 223-ФЗ по переходу на использование российского ПО </w:t>
      </w:r>
      <w:r w:rsidR="009B3F4B" w:rsidRPr="00B0658A">
        <w:rPr>
          <w:rFonts w:ascii="Times New Roman" w:hAnsi="Times New Roman"/>
          <w:sz w:val="28"/>
          <w:szCs w:val="24"/>
        </w:rPr>
        <w:t xml:space="preserve">заказчикам 44-ФЗ и заказчикам 223-ФЗ рекомендуется предоставлять </w:t>
      </w:r>
      <w:r w:rsidRPr="00B0658A">
        <w:rPr>
          <w:rFonts w:ascii="Times New Roman" w:hAnsi="Times New Roman"/>
          <w:sz w:val="28"/>
          <w:szCs w:val="24"/>
        </w:rPr>
        <w:t>в Минцифры России соответствующи</w:t>
      </w:r>
      <w:r w:rsidR="009B3F4B" w:rsidRPr="00B0658A">
        <w:rPr>
          <w:rFonts w:ascii="Times New Roman" w:hAnsi="Times New Roman"/>
          <w:sz w:val="28"/>
          <w:szCs w:val="24"/>
        </w:rPr>
        <w:t>е отчетные</w:t>
      </w:r>
      <w:r w:rsidRPr="00B0658A">
        <w:rPr>
          <w:rFonts w:ascii="Times New Roman" w:hAnsi="Times New Roman"/>
          <w:sz w:val="28"/>
          <w:szCs w:val="24"/>
        </w:rPr>
        <w:t xml:space="preserve"> сведени</w:t>
      </w:r>
      <w:r w:rsidR="009B3F4B" w:rsidRPr="00B0658A">
        <w:rPr>
          <w:rFonts w:ascii="Times New Roman" w:hAnsi="Times New Roman"/>
          <w:sz w:val="28"/>
          <w:szCs w:val="24"/>
        </w:rPr>
        <w:t>я</w:t>
      </w:r>
      <w:r w:rsidRPr="00B0658A">
        <w:rPr>
          <w:rFonts w:ascii="Times New Roman" w:hAnsi="Times New Roman"/>
          <w:sz w:val="28"/>
          <w:szCs w:val="24"/>
        </w:rPr>
        <w:t xml:space="preserve">. Рекомендованные отчетные формы для представления заказчиками 44-ФЗ и заказчиками 223-ФЗ </w:t>
      </w:r>
      <w:r w:rsidR="009B3F4B" w:rsidRPr="00B0658A">
        <w:rPr>
          <w:rFonts w:ascii="Times New Roman" w:hAnsi="Times New Roman"/>
          <w:sz w:val="28"/>
          <w:szCs w:val="24"/>
        </w:rPr>
        <w:t xml:space="preserve">сведений </w:t>
      </w:r>
      <w:r w:rsidRPr="00B0658A">
        <w:rPr>
          <w:rFonts w:ascii="Times New Roman" w:hAnsi="Times New Roman"/>
          <w:sz w:val="28"/>
          <w:szCs w:val="24"/>
        </w:rPr>
        <w:t xml:space="preserve">о ходе реализации Плана перехода на использование российского ПО и достижении показателей эффективности перехода на использование российского ПО приведены в Приложении </w:t>
      </w:r>
      <w:r w:rsidR="00592B14" w:rsidRPr="00B0658A">
        <w:rPr>
          <w:rFonts w:ascii="Times New Roman" w:hAnsi="Times New Roman"/>
          <w:sz w:val="28"/>
          <w:szCs w:val="24"/>
        </w:rPr>
        <w:t>№</w:t>
      </w:r>
      <w:r w:rsidRPr="00B0658A">
        <w:rPr>
          <w:rFonts w:ascii="Times New Roman" w:hAnsi="Times New Roman"/>
          <w:sz w:val="28"/>
          <w:szCs w:val="24"/>
        </w:rPr>
        <w:t>16 к настоящим методическим рекомендациям.</w:t>
      </w:r>
    </w:p>
    <w:p w14:paraId="2776FB84" w14:textId="77777777" w:rsidR="00294234" w:rsidRPr="00B0658A" w:rsidRDefault="00792FAC"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Рекомендуемые с</w:t>
      </w:r>
      <w:r w:rsidR="00294234" w:rsidRPr="00B0658A">
        <w:rPr>
          <w:rFonts w:ascii="Times New Roman" w:hAnsi="Times New Roman"/>
          <w:sz w:val="28"/>
          <w:szCs w:val="24"/>
        </w:rPr>
        <w:t>роки предоставления в Минцифры России отчетных сведений согласно отчетным формам, приведенным в Приложении №16 к настоящим Методическим рекомендациям:</w:t>
      </w:r>
    </w:p>
    <w:p w14:paraId="1A9BC508" w14:textId="1EF44799" w:rsidR="00294234" w:rsidRPr="00B0658A" w:rsidRDefault="00294234"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для квартальных отчетов – не позднее 10 числа месяца, следующего за отчетным кварталом;</w:t>
      </w:r>
    </w:p>
    <w:p w14:paraId="64E281B8" w14:textId="0BF185B8" w:rsidR="00294234" w:rsidRPr="00B0658A" w:rsidRDefault="00294234"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для полугодовых отчетов – в течение 1 месяца после даты завершения отчетного периода;</w:t>
      </w:r>
    </w:p>
    <w:p w14:paraId="60976A6D" w14:textId="7FED5395" w:rsidR="00294234" w:rsidRPr="00B0658A" w:rsidRDefault="00294234"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lastRenderedPageBreak/>
        <w:t>для годовых отчетов – в течение 4-х месяцев после даты завершения отчетного периода.</w:t>
      </w:r>
    </w:p>
    <w:p w14:paraId="0040A281" w14:textId="36A3B563" w:rsidR="00643168" w:rsidRDefault="00643168" w:rsidP="00F57B1F">
      <w:pPr>
        <w:spacing w:after="0" w:line="240" w:lineRule="auto"/>
        <w:ind w:firstLine="709"/>
        <w:jc w:val="both"/>
        <w:rPr>
          <w:rFonts w:ascii="Times New Roman" w:hAnsi="Times New Roman"/>
          <w:sz w:val="28"/>
          <w:szCs w:val="24"/>
        </w:rPr>
      </w:pPr>
    </w:p>
    <w:p w14:paraId="4172700E" w14:textId="77777777" w:rsidR="00643168" w:rsidRPr="00B0658A" w:rsidRDefault="00643168" w:rsidP="00F57B1F">
      <w:pPr>
        <w:spacing w:after="0" w:line="240" w:lineRule="auto"/>
        <w:ind w:firstLine="709"/>
        <w:jc w:val="both"/>
        <w:rPr>
          <w:rFonts w:ascii="Times New Roman" w:hAnsi="Times New Roman"/>
          <w:sz w:val="28"/>
          <w:szCs w:val="24"/>
        </w:rPr>
      </w:pPr>
    </w:p>
    <w:p w14:paraId="00C75C80" w14:textId="77777777" w:rsidR="002127BB" w:rsidRPr="00B0658A" w:rsidRDefault="002127BB" w:rsidP="00F57B1F">
      <w:pPr>
        <w:spacing w:after="0" w:line="240" w:lineRule="auto"/>
        <w:ind w:firstLine="709"/>
        <w:jc w:val="both"/>
        <w:rPr>
          <w:rFonts w:ascii="Times New Roman" w:hAnsi="Times New Roman"/>
          <w:sz w:val="28"/>
          <w:szCs w:val="24"/>
        </w:rPr>
      </w:pPr>
    </w:p>
    <w:p w14:paraId="7B344CA0" w14:textId="77777777" w:rsidR="00B92D01" w:rsidRPr="00B0658A" w:rsidRDefault="00B92D01" w:rsidP="00F57B1F">
      <w:pPr>
        <w:pStyle w:val="11"/>
        <w:spacing w:before="0" w:after="0" w:line="240" w:lineRule="auto"/>
        <w:rPr>
          <w:rFonts w:cs="Times New Roman"/>
          <w:szCs w:val="28"/>
        </w:rPr>
      </w:pPr>
      <w:bookmarkStart w:id="11" w:name="_Toc116632266"/>
      <w:r w:rsidRPr="00B0658A">
        <w:rPr>
          <w:rFonts w:cs="Times New Roman"/>
          <w:szCs w:val="28"/>
        </w:rPr>
        <w:t>3.</w:t>
      </w:r>
      <w:r w:rsidR="00306A0B" w:rsidRPr="00B0658A">
        <w:rPr>
          <w:rFonts w:cs="Times New Roman"/>
          <w:szCs w:val="28"/>
        </w:rPr>
        <w:t>5</w:t>
      </w:r>
      <w:r w:rsidRPr="00B0658A">
        <w:rPr>
          <w:rFonts w:cs="Times New Roman"/>
          <w:szCs w:val="28"/>
        </w:rPr>
        <w:t>. Переход</w:t>
      </w:r>
      <w:r w:rsidR="001810F7" w:rsidRPr="00B0658A">
        <w:rPr>
          <w:rFonts w:cs="Times New Roman"/>
          <w:szCs w:val="28"/>
        </w:rPr>
        <w:t xml:space="preserve"> иных</w:t>
      </w:r>
      <w:r w:rsidRPr="00B0658A">
        <w:rPr>
          <w:rFonts w:cs="Times New Roman"/>
          <w:szCs w:val="28"/>
        </w:rPr>
        <w:t xml:space="preserve"> </w:t>
      </w:r>
      <w:r w:rsidR="001810F7" w:rsidRPr="00B0658A">
        <w:rPr>
          <w:rFonts w:cs="Times New Roman"/>
          <w:szCs w:val="28"/>
        </w:rPr>
        <w:t>организаций</w:t>
      </w:r>
      <w:r w:rsidR="007736E0" w:rsidRPr="00B0658A">
        <w:rPr>
          <w:rFonts w:cs="Times New Roman"/>
          <w:szCs w:val="28"/>
        </w:rPr>
        <w:t xml:space="preserve"> на российское ПО</w:t>
      </w:r>
      <w:r w:rsidR="001810F7" w:rsidRPr="00B0658A">
        <w:rPr>
          <w:rFonts w:cs="Times New Roman"/>
          <w:szCs w:val="28"/>
        </w:rPr>
        <w:t>, являющихся субъектами критической информационной инфраструктуры Российской Федерации и которым принадлежат значимые объекты критической информационной инфраструктуры Российской Федерации</w:t>
      </w:r>
      <w:bookmarkEnd w:id="11"/>
      <w:r w:rsidR="001810F7" w:rsidRPr="00B0658A">
        <w:rPr>
          <w:rFonts w:cs="Times New Roman"/>
          <w:szCs w:val="28"/>
        </w:rPr>
        <w:t xml:space="preserve"> </w:t>
      </w:r>
    </w:p>
    <w:p w14:paraId="206C83D3" w14:textId="77777777" w:rsidR="002127BB" w:rsidRPr="00B0658A" w:rsidRDefault="002127BB" w:rsidP="00F57B1F">
      <w:pPr>
        <w:spacing w:after="0" w:line="240" w:lineRule="auto"/>
        <w:ind w:firstLine="709"/>
        <w:jc w:val="both"/>
        <w:rPr>
          <w:rFonts w:ascii="Times New Roman" w:hAnsi="Times New Roman"/>
          <w:sz w:val="28"/>
          <w:szCs w:val="24"/>
        </w:rPr>
      </w:pPr>
    </w:p>
    <w:p w14:paraId="7E09F1AB" w14:textId="77777777" w:rsidR="002127BB" w:rsidRPr="00B0658A" w:rsidRDefault="00A86B38" w:rsidP="00F57B1F">
      <w:pPr>
        <w:spacing w:after="0" w:line="240" w:lineRule="auto"/>
        <w:ind w:firstLine="709"/>
        <w:jc w:val="both"/>
        <w:rPr>
          <w:rFonts w:ascii="Times New Roman" w:hAnsi="Times New Roman"/>
          <w:sz w:val="28"/>
          <w:szCs w:val="28"/>
        </w:rPr>
      </w:pPr>
      <w:r w:rsidRPr="00B0658A">
        <w:rPr>
          <w:rFonts w:ascii="Times New Roman" w:hAnsi="Times New Roman"/>
          <w:sz w:val="28"/>
          <w:szCs w:val="24"/>
        </w:rPr>
        <w:t>149. </w:t>
      </w:r>
      <w:r w:rsidR="00540957" w:rsidRPr="00B0658A">
        <w:rPr>
          <w:rFonts w:ascii="Times New Roman" w:hAnsi="Times New Roman"/>
          <w:sz w:val="28"/>
          <w:szCs w:val="28"/>
        </w:rPr>
        <w:t xml:space="preserve">Настоящий раздел методических рекомендаций применяется для российских организаций, являющихся в соответствии с законодательством Российской Федерации субъектами КИИ и которым принадлежат значимые объекты КИИ, не являющихся при этом организациями, подведомственными органам государственной власти и государственным внебюджетным фондам, организациями, включенными в специальный перечень </w:t>
      </w:r>
      <w:r w:rsidR="00592B14" w:rsidRPr="00B0658A">
        <w:rPr>
          <w:rFonts w:ascii="Times New Roman" w:hAnsi="Times New Roman"/>
          <w:sz w:val="28"/>
          <w:szCs w:val="28"/>
        </w:rPr>
        <w:t>№</w:t>
      </w:r>
      <w:r w:rsidR="00540957" w:rsidRPr="00B0658A">
        <w:rPr>
          <w:rFonts w:ascii="Times New Roman" w:hAnsi="Times New Roman"/>
          <w:sz w:val="28"/>
          <w:szCs w:val="28"/>
        </w:rPr>
        <w:t xml:space="preserve">91-р и в отношении которых приняты решения о разработке стратегии (программы) цифровой трансформации (протокол заочного голосования членов президиума Правительственной комиссии по цифровому развитию, использованию информационных технологий для улучшения качества жизни и условий ведения предпринимательской деятельности от 31 августа 2022 г. </w:t>
      </w:r>
      <w:r w:rsidR="00592B14" w:rsidRPr="00B0658A">
        <w:rPr>
          <w:rFonts w:ascii="Times New Roman" w:hAnsi="Times New Roman"/>
          <w:sz w:val="28"/>
          <w:szCs w:val="28"/>
        </w:rPr>
        <w:t>№ </w:t>
      </w:r>
      <w:r w:rsidR="00540957" w:rsidRPr="00B0658A">
        <w:rPr>
          <w:rFonts w:ascii="Times New Roman" w:hAnsi="Times New Roman"/>
          <w:sz w:val="28"/>
          <w:szCs w:val="28"/>
        </w:rPr>
        <w:t>34),  а также заказчиками 44-ФЗ или заказчиками 223-ФЗ</w:t>
      </w:r>
      <w:r w:rsidR="0008622E" w:rsidRPr="00B0658A">
        <w:rPr>
          <w:rFonts w:ascii="Times New Roman" w:hAnsi="Times New Roman"/>
          <w:sz w:val="28"/>
          <w:szCs w:val="28"/>
        </w:rPr>
        <w:t xml:space="preserve"> (далее – иные организации)</w:t>
      </w:r>
      <w:r w:rsidR="00540957" w:rsidRPr="00B0658A">
        <w:rPr>
          <w:rFonts w:ascii="Times New Roman" w:hAnsi="Times New Roman"/>
          <w:sz w:val="28"/>
          <w:szCs w:val="28"/>
        </w:rPr>
        <w:t>.</w:t>
      </w:r>
    </w:p>
    <w:p w14:paraId="5E8919EA" w14:textId="77777777" w:rsidR="0008622E" w:rsidRPr="00B0658A" w:rsidRDefault="00EA6D98" w:rsidP="00F57B1F">
      <w:pPr>
        <w:spacing w:after="0" w:line="240" w:lineRule="auto"/>
        <w:ind w:firstLine="720"/>
        <w:jc w:val="both"/>
        <w:rPr>
          <w:rFonts w:ascii="Times New Roman" w:hAnsi="Times New Roman"/>
          <w:sz w:val="28"/>
          <w:szCs w:val="24"/>
        </w:rPr>
      </w:pPr>
      <w:r w:rsidRPr="00B0658A">
        <w:rPr>
          <w:rFonts w:ascii="Times New Roman" w:hAnsi="Times New Roman"/>
          <w:sz w:val="28"/>
          <w:szCs w:val="28"/>
        </w:rPr>
        <w:t>150. </w:t>
      </w:r>
      <w:r w:rsidR="00CD4F8A" w:rsidRPr="00B0658A">
        <w:rPr>
          <w:rFonts w:ascii="Times New Roman" w:hAnsi="Times New Roman"/>
          <w:sz w:val="28"/>
          <w:szCs w:val="28"/>
        </w:rPr>
        <w:t xml:space="preserve">В </w:t>
      </w:r>
      <w:r w:rsidR="0008622E" w:rsidRPr="00B0658A">
        <w:rPr>
          <w:rFonts w:ascii="Times New Roman" w:hAnsi="Times New Roman"/>
          <w:sz w:val="28"/>
          <w:szCs w:val="24"/>
        </w:rPr>
        <w:t xml:space="preserve">План перехода иных организаций на использование российского ПО </w:t>
      </w:r>
      <w:r w:rsidR="00CD4F8A" w:rsidRPr="00B0658A">
        <w:rPr>
          <w:rFonts w:ascii="Times New Roman" w:hAnsi="Times New Roman"/>
          <w:sz w:val="28"/>
          <w:szCs w:val="24"/>
        </w:rPr>
        <w:t>рекомендуется</w:t>
      </w:r>
      <w:r w:rsidR="0008622E" w:rsidRPr="00B0658A">
        <w:rPr>
          <w:rFonts w:ascii="Times New Roman" w:hAnsi="Times New Roman"/>
          <w:sz w:val="28"/>
          <w:szCs w:val="24"/>
        </w:rPr>
        <w:t xml:space="preserve"> включа</w:t>
      </w:r>
      <w:r w:rsidR="00CD4F8A" w:rsidRPr="00B0658A">
        <w:rPr>
          <w:rFonts w:ascii="Times New Roman" w:hAnsi="Times New Roman"/>
          <w:sz w:val="28"/>
          <w:szCs w:val="24"/>
        </w:rPr>
        <w:t>ть</w:t>
      </w:r>
      <w:r w:rsidR="0008622E" w:rsidRPr="00B0658A">
        <w:rPr>
          <w:rFonts w:ascii="Times New Roman" w:hAnsi="Times New Roman"/>
          <w:sz w:val="28"/>
          <w:szCs w:val="24"/>
        </w:rPr>
        <w:t>:</w:t>
      </w:r>
    </w:p>
    <w:p w14:paraId="4CB41C52" w14:textId="77777777" w:rsidR="0008622E" w:rsidRPr="00B0658A" w:rsidRDefault="0008622E" w:rsidP="00F57B1F">
      <w:pPr>
        <w:spacing w:after="0" w:line="240" w:lineRule="auto"/>
        <w:ind w:firstLine="720"/>
        <w:jc w:val="both"/>
        <w:rPr>
          <w:rFonts w:ascii="Times New Roman" w:hAnsi="Times New Roman"/>
          <w:sz w:val="28"/>
          <w:szCs w:val="24"/>
        </w:rPr>
      </w:pPr>
      <w:r w:rsidRPr="00B0658A">
        <w:rPr>
          <w:rFonts w:ascii="Times New Roman" w:hAnsi="Times New Roman"/>
          <w:sz w:val="28"/>
          <w:szCs w:val="24"/>
        </w:rPr>
        <w:t>а) перечень организационно-технических мероприятий, реализация которых необходима для перехода на использование российского ПО на значимых объектах КИИ, с учетом требований настоящих методических рекомендаций и требований законодательства Российской Федерации (в виде отдельной таблицы);</w:t>
      </w:r>
    </w:p>
    <w:p w14:paraId="34AF485C" w14:textId="77777777" w:rsidR="0008622E" w:rsidRPr="00B0658A" w:rsidRDefault="0008622E" w:rsidP="00F57B1F">
      <w:pPr>
        <w:spacing w:after="0" w:line="240" w:lineRule="auto"/>
        <w:ind w:firstLine="720"/>
        <w:jc w:val="both"/>
        <w:rPr>
          <w:rFonts w:ascii="Times New Roman" w:hAnsi="Times New Roman"/>
          <w:sz w:val="28"/>
          <w:szCs w:val="24"/>
        </w:rPr>
      </w:pPr>
      <w:r w:rsidRPr="00B0658A">
        <w:rPr>
          <w:rFonts w:ascii="Times New Roman" w:hAnsi="Times New Roman"/>
          <w:sz w:val="28"/>
          <w:szCs w:val="24"/>
        </w:rPr>
        <w:t>б) сведения об объемах и источниках финансовых ресурсов, планируемых для решения задач по переходу на использование российского ПО на значимых объектах КИИ, указываемых по годам (в виде отдельной таблицы);</w:t>
      </w:r>
    </w:p>
    <w:p w14:paraId="4377D1B4" w14:textId="77777777" w:rsidR="0008622E" w:rsidRPr="00B0658A" w:rsidRDefault="0008622E"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 xml:space="preserve">в) детализированный план перехода на использование российского ПО на принадлежащих </w:t>
      </w:r>
      <w:r w:rsidR="004A4BC5" w:rsidRPr="00B0658A">
        <w:rPr>
          <w:rFonts w:ascii="Times New Roman" w:hAnsi="Times New Roman"/>
          <w:sz w:val="28"/>
          <w:szCs w:val="24"/>
        </w:rPr>
        <w:t xml:space="preserve">иной </w:t>
      </w:r>
      <w:r w:rsidRPr="00B0658A">
        <w:rPr>
          <w:rFonts w:ascii="Times New Roman" w:hAnsi="Times New Roman"/>
          <w:sz w:val="28"/>
          <w:szCs w:val="24"/>
        </w:rPr>
        <w:t>организаци</w:t>
      </w:r>
      <w:r w:rsidR="00CD4F8A" w:rsidRPr="00B0658A">
        <w:rPr>
          <w:rFonts w:ascii="Times New Roman" w:hAnsi="Times New Roman"/>
          <w:sz w:val="28"/>
          <w:szCs w:val="24"/>
        </w:rPr>
        <w:t>и</w:t>
      </w:r>
      <w:r w:rsidRPr="00B0658A">
        <w:rPr>
          <w:rFonts w:ascii="Times New Roman" w:hAnsi="Times New Roman"/>
          <w:sz w:val="28"/>
          <w:szCs w:val="24"/>
        </w:rPr>
        <w:t xml:space="preserve"> значимых объектах КИИ, представляющий собой определение перечня мероприятий и задач по каждому значимому объекту КИИ, а также показатели эффективности перехода на использование российского ПО и соответствующие им значения индикаторов эффективности, устанавливаемые по годам для каждого значимого объекта КИИ в отношении каждого класса (типа) ПО, используемого на соответствующем значимом объекте КИИ (в виде отдельной таблицы).</w:t>
      </w:r>
    </w:p>
    <w:p w14:paraId="66B4CFE3" w14:textId="77777777" w:rsidR="002127BB" w:rsidRPr="00B0658A" w:rsidRDefault="00A22834"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8"/>
        </w:rPr>
        <w:t>151. </w:t>
      </w:r>
      <w:r w:rsidRPr="00B0658A">
        <w:rPr>
          <w:rFonts w:ascii="Times New Roman" w:hAnsi="Times New Roman"/>
          <w:sz w:val="28"/>
          <w:szCs w:val="24"/>
        </w:rPr>
        <w:t>План перехода иной организации на использование российского ПО на принадлежащих е</w:t>
      </w:r>
      <w:r w:rsidR="00641A81" w:rsidRPr="00B0658A">
        <w:rPr>
          <w:rFonts w:ascii="Times New Roman" w:hAnsi="Times New Roman"/>
          <w:sz w:val="28"/>
          <w:szCs w:val="24"/>
        </w:rPr>
        <w:t>й</w:t>
      </w:r>
      <w:r w:rsidRPr="00B0658A">
        <w:rPr>
          <w:rFonts w:ascii="Times New Roman" w:hAnsi="Times New Roman"/>
          <w:sz w:val="28"/>
          <w:szCs w:val="24"/>
        </w:rPr>
        <w:t xml:space="preserve"> значимых объектах КИИ </w:t>
      </w:r>
      <w:r w:rsidR="00641A81" w:rsidRPr="00B0658A">
        <w:rPr>
          <w:rFonts w:ascii="Times New Roman" w:hAnsi="Times New Roman"/>
          <w:sz w:val="28"/>
          <w:szCs w:val="24"/>
        </w:rPr>
        <w:t xml:space="preserve">рекомендуется </w:t>
      </w:r>
      <w:r w:rsidRPr="00B0658A">
        <w:rPr>
          <w:rFonts w:ascii="Times New Roman" w:hAnsi="Times New Roman"/>
          <w:sz w:val="28"/>
          <w:szCs w:val="24"/>
        </w:rPr>
        <w:t>утвер</w:t>
      </w:r>
      <w:r w:rsidR="00641A81" w:rsidRPr="00B0658A">
        <w:rPr>
          <w:rFonts w:ascii="Times New Roman" w:hAnsi="Times New Roman"/>
          <w:sz w:val="28"/>
          <w:szCs w:val="24"/>
        </w:rPr>
        <w:t>дить</w:t>
      </w:r>
      <w:r w:rsidRPr="00B0658A">
        <w:rPr>
          <w:rFonts w:ascii="Times New Roman" w:hAnsi="Times New Roman"/>
          <w:sz w:val="28"/>
          <w:szCs w:val="24"/>
        </w:rPr>
        <w:t xml:space="preserve"> решением руководителя организации.</w:t>
      </w:r>
    </w:p>
    <w:p w14:paraId="41982E14" w14:textId="77777777" w:rsidR="00A22834" w:rsidRPr="00B0658A" w:rsidRDefault="00A22834" w:rsidP="00F57B1F">
      <w:pPr>
        <w:spacing w:after="0" w:line="240" w:lineRule="auto"/>
        <w:ind w:firstLine="709"/>
        <w:jc w:val="both"/>
        <w:rPr>
          <w:rFonts w:ascii="Times New Roman" w:hAnsi="Times New Roman"/>
          <w:sz w:val="28"/>
          <w:szCs w:val="28"/>
        </w:rPr>
      </w:pPr>
      <w:r w:rsidRPr="00B0658A">
        <w:rPr>
          <w:rFonts w:ascii="Times New Roman" w:hAnsi="Times New Roman"/>
          <w:sz w:val="28"/>
          <w:szCs w:val="24"/>
        </w:rPr>
        <w:t xml:space="preserve">152. В целях обеспечения эффективного перехода </w:t>
      </w:r>
      <w:r w:rsidR="00641A81" w:rsidRPr="00B0658A">
        <w:rPr>
          <w:rFonts w:ascii="Times New Roman" w:hAnsi="Times New Roman"/>
          <w:sz w:val="28"/>
          <w:szCs w:val="24"/>
        </w:rPr>
        <w:t xml:space="preserve">иной </w:t>
      </w:r>
      <w:r w:rsidRPr="00B0658A">
        <w:rPr>
          <w:rFonts w:ascii="Times New Roman" w:hAnsi="Times New Roman"/>
          <w:sz w:val="28"/>
          <w:szCs w:val="24"/>
        </w:rPr>
        <w:t xml:space="preserve">организации на использование российского ПО рекомендуется определить решением руководителя организации работника организации, занимающего должность не ниже заместителя </w:t>
      </w:r>
      <w:r w:rsidRPr="00B0658A">
        <w:rPr>
          <w:rFonts w:ascii="Times New Roman" w:hAnsi="Times New Roman"/>
          <w:sz w:val="28"/>
          <w:szCs w:val="24"/>
        </w:rPr>
        <w:lastRenderedPageBreak/>
        <w:t>руководителя организации, ответственного за переход на использование российского ПО</w:t>
      </w:r>
      <w:r w:rsidR="00641A81" w:rsidRPr="00B0658A">
        <w:rPr>
          <w:rFonts w:ascii="Times New Roman" w:hAnsi="Times New Roman"/>
          <w:sz w:val="28"/>
          <w:szCs w:val="24"/>
        </w:rPr>
        <w:t>, в том числе на значимых объектах КИИ</w:t>
      </w:r>
      <w:r w:rsidRPr="00B0658A">
        <w:rPr>
          <w:rFonts w:ascii="Times New Roman" w:hAnsi="Times New Roman"/>
          <w:sz w:val="28"/>
          <w:szCs w:val="24"/>
        </w:rPr>
        <w:t>, а также за достижение устанавливаемых в Плане перехода показателей эффективности и соответствующих им значений индикаторов эффективности</w:t>
      </w:r>
      <w:r w:rsidRPr="00B0658A">
        <w:rPr>
          <w:rFonts w:ascii="Times New Roman" w:hAnsi="Times New Roman"/>
          <w:sz w:val="28"/>
          <w:szCs w:val="28"/>
        </w:rPr>
        <w:t>.</w:t>
      </w:r>
    </w:p>
    <w:p w14:paraId="062C7D5A" w14:textId="599B6191" w:rsidR="00A22834" w:rsidRPr="00B0658A" w:rsidRDefault="00A22834"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 xml:space="preserve">153. План перехода иной организации на использование российского ПО на принадлежащих ей значимых объектах КИИ </w:t>
      </w:r>
      <w:r w:rsidR="00641A81" w:rsidRPr="00B0658A">
        <w:rPr>
          <w:rFonts w:ascii="Times New Roman" w:hAnsi="Times New Roman"/>
          <w:sz w:val="28"/>
          <w:szCs w:val="24"/>
        </w:rPr>
        <w:t xml:space="preserve">рекомендуется </w:t>
      </w:r>
      <w:r w:rsidRPr="00B0658A">
        <w:rPr>
          <w:rFonts w:ascii="Times New Roman" w:hAnsi="Times New Roman"/>
          <w:sz w:val="28"/>
          <w:szCs w:val="24"/>
        </w:rPr>
        <w:t>согласо</w:t>
      </w:r>
      <w:r w:rsidR="00641A81" w:rsidRPr="00B0658A">
        <w:rPr>
          <w:rFonts w:ascii="Times New Roman" w:hAnsi="Times New Roman"/>
          <w:sz w:val="28"/>
          <w:szCs w:val="24"/>
        </w:rPr>
        <w:t xml:space="preserve">вать </w:t>
      </w:r>
      <w:r w:rsidRPr="00B0658A">
        <w:rPr>
          <w:rFonts w:ascii="Times New Roman" w:hAnsi="Times New Roman"/>
          <w:sz w:val="28"/>
          <w:szCs w:val="24"/>
        </w:rPr>
        <w:t>с Минцифры России.</w:t>
      </w:r>
    </w:p>
    <w:p w14:paraId="73D18F21" w14:textId="77777777" w:rsidR="00A22834" w:rsidRPr="00B0658A" w:rsidRDefault="00A22834"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154. Документы, являющиеся частью Плана перехода и которые представляют собой сведения, составляющие государственную тайну, и документы, являющиеся частью Плана перехода и в которых отсутствуют сведения, составляющие государственную тайну, представляются на согласование раздельно.</w:t>
      </w:r>
    </w:p>
    <w:p w14:paraId="496CCFFC" w14:textId="77777777" w:rsidR="00A22834" w:rsidRPr="00B0658A" w:rsidRDefault="00A22834"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 xml:space="preserve">155. Рекомендованная форма плана перехода </w:t>
      </w:r>
      <w:r w:rsidRPr="00B0658A">
        <w:rPr>
          <w:rFonts w:ascii="Times New Roman" w:hAnsi="Times New Roman"/>
          <w:sz w:val="28"/>
          <w:szCs w:val="28"/>
        </w:rPr>
        <w:t xml:space="preserve">иной организации </w:t>
      </w:r>
      <w:r w:rsidRPr="00B0658A">
        <w:rPr>
          <w:rFonts w:ascii="Times New Roman" w:hAnsi="Times New Roman"/>
          <w:sz w:val="28"/>
          <w:szCs w:val="24"/>
        </w:rPr>
        <w:t>на использование российского ПО на принадлежащих ей значимых объектах КИИ, включая:</w:t>
      </w:r>
    </w:p>
    <w:p w14:paraId="6E73DF12" w14:textId="77777777" w:rsidR="00A22834" w:rsidRPr="00B0658A" w:rsidRDefault="00A22834"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а) форму для формирования перечня организационно-технических мероприятий;</w:t>
      </w:r>
    </w:p>
    <w:p w14:paraId="6E419E49" w14:textId="77777777" w:rsidR="00A22834" w:rsidRPr="00B0658A" w:rsidRDefault="00A22834"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б) форму для определения сведений об объемах и источниках финансовых ресурсов;</w:t>
      </w:r>
    </w:p>
    <w:p w14:paraId="66625452" w14:textId="77777777" w:rsidR="00A22834" w:rsidRPr="00B0658A" w:rsidRDefault="00A22834"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в) форму детализированного плана перехода на использование российского ПО на принадлежащих организации значимых объектах КИИ и форму для установления показателей эффективности перехода на использование российского ПО и соответствующих им значений индикаторов эффективности в отношении значимых объектов КИИ,</w:t>
      </w:r>
    </w:p>
    <w:p w14:paraId="6549CD17" w14:textId="2CA3653E" w:rsidR="00A22834" w:rsidRPr="00B0658A" w:rsidRDefault="00A22834"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 xml:space="preserve">приведена в </w:t>
      </w:r>
      <w:r w:rsidR="00643168">
        <w:rPr>
          <w:rFonts w:ascii="Times New Roman" w:hAnsi="Times New Roman"/>
          <w:sz w:val="28"/>
          <w:szCs w:val="24"/>
        </w:rPr>
        <w:t>п</w:t>
      </w:r>
      <w:r w:rsidRPr="00B0658A">
        <w:rPr>
          <w:rFonts w:ascii="Times New Roman" w:hAnsi="Times New Roman"/>
          <w:sz w:val="28"/>
          <w:szCs w:val="24"/>
        </w:rPr>
        <w:t xml:space="preserve">риложении </w:t>
      </w:r>
      <w:r w:rsidR="00592B14" w:rsidRPr="00B0658A">
        <w:rPr>
          <w:rFonts w:ascii="Times New Roman" w:hAnsi="Times New Roman"/>
          <w:sz w:val="28"/>
          <w:szCs w:val="24"/>
        </w:rPr>
        <w:t>№ </w:t>
      </w:r>
      <w:r w:rsidRPr="00B0658A">
        <w:rPr>
          <w:rFonts w:ascii="Times New Roman" w:hAnsi="Times New Roman"/>
          <w:sz w:val="28"/>
          <w:szCs w:val="24"/>
        </w:rPr>
        <w:t>17 к настоящим методическим рекомендациям.</w:t>
      </w:r>
    </w:p>
    <w:p w14:paraId="5B4DDC7F" w14:textId="77777777" w:rsidR="00964DE6" w:rsidRPr="00B0658A" w:rsidRDefault="00964DE6"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156. В состав перечня организационно-технических мероприятий, реализация которых необходима для обеспечения перехода на использование российского ПО</w:t>
      </w:r>
      <w:r w:rsidR="002E4650" w:rsidRPr="00B0658A">
        <w:rPr>
          <w:rFonts w:ascii="Times New Roman" w:hAnsi="Times New Roman"/>
          <w:sz w:val="28"/>
          <w:szCs w:val="24"/>
        </w:rPr>
        <w:t xml:space="preserve"> на значимых объектах КИИ</w:t>
      </w:r>
      <w:r w:rsidRPr="00B0658A">
        <w:rPr>
          <w:rFonts w:ascii="Times New Roman" w:hAnsi="Times New Roman"/>
          <w:sz w:val="28"/>
          <w:szCs w:val="24"/>
        </w:rPr>
        <w:t>, рекомендуется включить:</w:t>
      </w:r>
    </w:p>
    <w:p w14:paraId="5510D89D" w14:textId="501BD5D9" w:rsidR="00964DE6" w:rsidRPr="00B0658A" w:rsidRDefault="00964DE6"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а) </w:t>
      </w:r>
      <w:r w:rsidR="00643168">
        <w:rPr>
          <w:rFonts w:ascii="Times New Roman" w:hAnsi="Times New Roman"/>
          <w:sz w:val="28"/>
          <w:szCs w:val="24"/>
        </w:rPr>
        <w:t>о</w:t>
      </w:r>
      <w:r w:rsidRPr="00B0658A">
        <w:rPr>
          <w:rFonts w:ascii="Times New Roman" w:hAnsi="Times New Roman"/>
          <w:sz w:val="28"/>
          <w:szCs w:val="24"/>
        </w:rPr>
        <w:t>рганизационные мероприятия, направленные на подготовку к переходу организации на использование российского ПО на значимых объектах КИИ;</w:t>
      </w:r>
    </w:p>
    <w:p w14:paraId="0252EF22" w14:textId="0E61604D" w:rsidR="00964DE6" w:rsidRPr="00B0658A" w:rsidRDefault="00964DE6"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б) </w:t>
      </w:r>
      <w:r w:rsidR="00643168">
        <w:rPr>
          <w:rFonts w:ascii="Times New Roman" w:hAnsi="Times New Roman"/>
          <w:sz w:val="28"/>
          <w:szCs w:val="24"/>
        </w:rPr>
        <w:t>т</w:t>
      </w:r>
      <w:r w:rsidRPr="00B0658A">
        <w:rPr>
          <w:rFonts w:ascii="Times New Roman" w:hAnsi="Times New Roman"/>
          <w:sz w:val="28"/>
          <w:szCs w:val="24"/>
        </w:rPr>
        <w:t>ехнические мероприятия, направленные на подготовку к переходу организации на использование российского ПО на значимых объектах КИИ;</w:t>
      </w:r>
    </w:p>
    <w:p w14:paraId="42AC94A3" w14:textId="080F94B7" w:rsidR="00964DE6" w:rsidRPr="00B0658A" w:rsidRDefault="00964DE6"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в) </w:t>
      </w:r>
      <w:r w:rsidR="00643168">
        <w:rPr>
          <w:rFonts w:ascii="Times New Roman" w:hAnsi="Times New Roman"/>
          <w:sz w:val="28"/>
          <w:szCs w:val="24"/>
        </w:rPr>
        <w:t>м</w:t>
      </w:r>
      <w:r w:rsidRPr="00B0658A">
        <w:rPr>
          <w:rFonts w:ascii="Times New Roman" w:hAnsi="Times New Roman"/>
          <w:sz w:val="28"/>
          <w:szCs w:val="24"/>
        </w:rPr>
        <w:t>ероприятия, направленные на обеспечение перехода организации на использование российского ПО на значимых объектах КИИ;</w:t>
      </w:r>
    </w:p>
    <w:p w14:paraId="71CF0E47" w14:textId="0E7571A3" w:rsidR="00964DE6" w:rsidRPr="00B0658A" w:rsidRDefault="00964DE6"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 xml:space="preserve">г) </w:t>
      </w:r>
      <w:r w:rsidR="00643168">
        <w:rPr>
          <w:rFonts w:ascii="Times New Roman" w:hAnsi="Times New Roman"/>
          <w:sz w:val="28"/>
          <w:szCs w:val="24"/>
        </w:rPr>
        <w:t>и</w:t>
      </w:r>
      <w:r w:rsidRPr="00B0658A">
        <w:rPr>
          <w:rFonts w:ascii="Times New Roman" w:hAnsi="Times New Roman"/>
          <w:sz w:val="28"/>
          <w:szCs w:val="24"/>
        </w:rPr>
        <w:t>ные организационно-технические мероприятия.</w:t>
      </w:r>
    </w:p>
    <w:p w14:paraId="2F639B33" w14:textId="77777777" w:rsidR="00A22834" w:rsidRPr="00B0658A" w:rsidRDefault="00964DE6"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157. При описании результатов реализации организационно-технических мероприятий могут быть использованы качественные и количественные индикаторы и показатели.</w:t>
      </w:r>
    </w:p>
    <w:p w14:paraId="1B45D277" w14:textId="77777777" w:rsidR="00964DE6" w:rsidRPr="00B0658A" w:rsidRDefault="00964DE6"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158. В случае, если организация использует на принадлежащих ей значимых объектах КИИ специализированное программное обеспечение, исключительные права на которое принадлеж</w:t>
      </w:r>
      <w:r w:rsidR="002E4650" w:rsidRPr="00B0658A">
        <w:rPr>
          <w:rFonts w:ascii="Times New Roman" w:hAnsi="Times New Roman"/>
          <w:sz w:val="28"/>
          <w:szCs w:val="24"/>
        </w:rPr>
        <w:t>а</w:t>
      </w:r>
      <w:r w:rsidRPr="00B0658A">
        <w:rPr>
          <w:rFonts w:ascii="Times New Roman" w:hAnsi="Times New Roman"/>
          <w:sz w:val="28"/>
          <w:szCs w:val="24"/>
        </w:rPr>
        <w:t>т данной организации, для целей перехода на использование российского ПО на значимых объектах КИИ организациям рекомендуется организовать работу по включению в единый реестр российского ПО такого ПО в порядке, предусмотренном законодательством Российской Федерации.</w:t>
      </w:r>
    </w:p>
    <w:p w14:paraId="60A7D806" w14:textId="77777777" w:rsidR="006812C5" w:rsidRPr="00B0658A" w:rsidRDefault="00964DE6"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lastRenderedPageBreak/>
        <w:t>159. </w:t>
      </w:r>
      <w:r w:rsidR="006812C5" w:rsidRPr="00B0658A">
        <w:rPr>
          <w:rFonts w:ascii="Times New Roman" w:hAnsi="Times New Roman"/>
          <w:sz w:val="28"/>
          <w:szCs w:val="24"/>
        </w:rPr>
        <w:t>В целях обеспечения эффективного планирования в части организационно-технических мероприятий перехода на использование российского ПО на значимых объектах КИИ, иным организациям рекомендуется:</w:t>
      </w:r>
    </w:p>
    <w:p w14:paraId="2217523F" w14:textId="3CE4FDF7" w:rsidR="006812C5" w:rsidRPr="00B0658A" w:rsidRDefault="006812C5"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а) </w:t>
      </w:r>
      <w:r w:rsidR="00643168">
        <w:rPr>
          <w:rFonts w:ascii="Times New Roman" w:hAnsi="Times New Roman"/>
          <w:sz w:val="28"/>
          <w:szCs w:val="24"/>
        </w:rPr>
        <w:t>с</w:t>
      </w:r>
      <w:r w:rsidRPr="00B0658A">
        <w:rPr>
          <w:rFonts w:ascii="Times New Roman" w:hAnsi="Times New Roman"/>
          <w:sz w:val="28"/>
          <w:szCs w:val="24"/>
        </w:rPr>
        <w:t>формировать перечень значимых объектов КИИ, которые принадлеж</w:t>
      </w:r>
      <w:r w:rsidR="00BC703C" w:rsidRPr="00B0658A">
        <w:rPr>
          <w:rFonts w:ascii="Times New Roman" w:hAnsi="Times New Roman"/>
          <w:sz w:val="28"/>
          <w:szCs w:val="24"/>
        </w:rPr>
        <w:t>а</w:t>
      </w:r>
      <w:r w:rsidRPr="00B0658A">
        <w:rPr>
          <w:rFonts w:ascii="Times New Roman" w:hAnsi="Times New Roman"/>
          <w:sz w:val="28"/>
          <w:szCs w:val="24"/>
        </w:rPr>
        <w:t>т организации</w:t>
      </w:r>
      <w:r w:rsidR="00643168">
        <w:rPr>
          <w:rFonts w:ascii="Times New Roman" w:hAnsi="Times New Roman"/>
          <w:sz w:val="28"/>
          <w:szCs w:val="24"/>
        </w:rPr>
        <w:t>;</w:t>
      </w:r>
    </w:p>
    <w:p w14:paraId="73BAFC39" w14:textId="3B441222" w:rsidR="006812C5" w:rsidRPr="00B0658A" w:rsidRDefault="006812C5"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б) </w:t>
      </w:r>
      <w:r w:rsidR="00643168">
        <w:rPr>
          <w:rFonts w:ascii="Times New Roman" w:hAnsi="Times New Roman"/>
          <w:sz w:val="28"/>
          <w:szCs w:val="24"/>
        </w:rPr>
        <w:t>о</w:t>
      </w:r>
      <w:r w:rsidRPr="00B0658A">
        <w:rPr>
          <w:rFonts w:ascii="Times New Roman" w:hAnsi="Times New Roman"/>
          <w:sz w:val="28"/>
          <w:szCs w:val="24"/>
        </w:rPr>
        <w:t xml:space="preserve">рганизовать и провести стресс-тестирование используемой информационно-технологической инфраструктуры </w:t>
      </w:r>
      <w:r w:rsidR="005B5160" w:rsidRPr="00B0658A">
        <w:rPr>
          <w:rFonts w:ascii="Times New Roman" w:hAnsi="Times New Roman"/>
          <w:sz w:val="28"/>
          <w:szCs w:val="24"/>
        </w:rPr>
        <w:t>организации</w:t>
      </w:r>
      <w:r w:rsidRPr="00B0658A">
        <w:rPr>
          <w:rFonts w:ascii="Times New Roman" w:hAnsi="Times New Roman"/>
          <w:sz w:val="28"/>
          <w:szCs w:val="24"/>
        </w:rPr>
        <w:t xml:space="preserve"> в части используемого иностранного ПО (далее – стресс-тестирование)</w:t>
      </w:r>
      <w:r w:rsidR="00643168">
        <w:rPr>
          <w:rFonts w:ascii="Times New Roman" w:hAnsi="Times New Roman"/>
          <w:sz w:val="28"/>
          <w:szCs w:val="24"/>
        </w:rPr>
        <w:t>;</w:t>
      </w:r>
    </w:p>
    <w:p w14:paraId="676AFF88" w14:textId="1A2BC8E2" w:rsidR="006812C5" w:rsidRPr="00B0658A" w:rsidRDefault="005B5160"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в</w:t>
      </w:r>
      <w:r w:rsidR="006812C5" w:rsidRPr="00B0658A">
        <w:rPr>
          <w:rFonts w:ascii="Times New Roman" w:hAnsi="Times New Roman"/>
          <w:sz w:val="28"/>
          <w:szCs w:val="24"/>
        </w:rPr>
        <w:t>) </w:t>
      </w:r>
      <w:r w:rsidR="00643168">
        <w:rPr>
          <w:rFonts w:ascii="Times New Roman" w:hAnsi="Times New Roman"/>
          <w:sz w:val="28"/>
          <w:szCs w:val="24"/>
        </w:rPr>
        <w:t>п</w:t>
      </w:r>
      <w:r w:rsidR="006812C5" w:rsidRPr="00B0658A">
        <w:rPr>
          <w:rFonts w:ascii="Times New Roman" w:hAnsi="Times New Roman"/>
          <w:sz w:val="28"/>
          <w:szCs w:val="24"/>
        </w:rPr>
        <w:t xml:space="preserve">ровести обследование существующей информационно-технологической инфраструктуры, </w:t>
      </w:r>
      <w:r w:rsidRPr="00B0658A">
        <w:rPr>
          <w:rFonts w:ascii="Times New Roman" w:hAnsi="Times New Roman"/>
          <w:sz w:val="28"/>
          <w:szCs w:val="24"/>
        </w:rPr>
        <w:t xml:space="preserve">используемой </w:t>
      </w:r>
      <w:r w:rsidR="00950440" w:rsidRPr="00B0658A">
        <w:rPr>
          <w:rFonts w:ascii="Times New Roman" w:hAnsi="Times New Roman"/>
          <w:sz w:val="28"/>
          <w:szCs w:val="24"/>
        </w:rPr>
        <w:t xml:space="preserve">организацией </w:t>
      </w:r>
      <w:r w:rsidRPr="00B0658A">
        <w:rPr>
          <w:rFonts w:ascii="Times New Roman" w:hAnsi="Times New Roman"/>
          <w:sz w:val="28"/>
          <w:szCs w:val="24"/>
        </w:rPr>
        <w:t xml:space="preserve">на </w:t>
      </w:r>
      <w:r w:rsidR="006812C5" w:rsidRPr="00B0658A">
        <w:rPr>
          <w:rFonts w:ascii="Times New Roman" w:hAnsi="Times New Roman"/>
          <w:sz w:val="28"/>
          <w:szCs w:val="24"/>
        </w:rPr>
        <w:t>значимых объект</w:t>
      </w:r>
      <w:r w:rsidRPr="00B0658A">
        <w:rPr>
          <w:rFonts w:ascii="Times New Roman" w:hAnsi="Times New Roman"/>
          <w:sz w:val="28"/>
          <w:szCs w:val="24"/>
        </w:rPr>
        <w:t>ах</w:t>
      </w:r>
      <w:r w:rsidR="006812C5" w:rsidRPr="00B0658A">
        <w:rPr>
          <w:rFonts w:ascii="Times New Roman" w:hAnsi="Times New Roman"/>
          <w:sz w:val="28"/>
          <w:szCs w:val="24"/>
        </w:rPr>
        <w:t xml:space="preserve"> КИИ</w:t>
      </w:r>
      <w:r w:rsidR="00643168">
        <w:rPr>
          <w:rFonts w:ascii="Times New Roman" w:hAnsi="Times New Roman"/>
          <w:sz w:val="28"/>
          <w:szCs w:val="24"/>
        </w:rPr>
        <w:t>;</w:t>
      </w:r>
    </w:p>
    <w:p w14:paraId="0ED9E2BF" w14:textId="711125C2" w:rsidR="006812C5" w:rsidRPr="00B0658A" w:rsidRDefault="005B5160"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г</w:t>
      </w:r>
      <w:r w:rsidR="006812C5" w:rsidRPr="00B0658A">
        <w:rPr>
          <w:rFonts w:ascii="Times New Roman" w:hAnsi="Times New Roman"/>
          <w:sz w:val="28"/>
          <w:szCs w:val="24"/>
        </w:rPr>
        <w:t>) </w:t>
      </w:r>
      <w:r w:rsidR="00643168">
        <w:rPr>
          <w:rFonts w:ascii="Times New Roman" w:hAnsi="Times New Roman"/>
          <w:sz w:val="28"/>
          <w:szCs w:val="24"/>
        </w:rPr>
        <w:t>н</w:t>
      </w:r>
      <w:r w:rsidR="006812C5" w:rsidRPr="00B0658A">
        <w:rPr>
          <w:rFonts w:ascii="Times New Roman" w:hAnsi="Times New Roman"/>
          <w:sz w:val="28"/>
          <w:szCs w:val="24"/>
        </w:rPr>
        <w:t>а основе проведенного обследования и стресс-тестирования существующей информационно-технологической инфраструктуры рекомендуется для каждого значимого объекта КИИ определить перечень используемого иностранного ПО, российского ПО и евразийского ПО, определить долю используемого российского и евразийского ПО для каждого значимого объекта КИИ в разрезе классов (типов) ПО;</w:t>
      </w:r>
    </w:p>
    <w:p w14:paraId="57DC60CC" w14:textId="700E073A" w:rsidR="006812C5" w:rsidRPr="00B0658A" w:rsidRDefault="005B5160"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д</w:t>
      </w:r>
      <w:r w:rsidR="006812C5" w:rsidRPr="00B0658A">
        <w:rPr>
          <w:rFonts w:ascii="Times New Roman" w:hAnsi="Times New Roman"/>
          <w:sz w:val="28"/>
          <w:szCs w:val="24"/>
        </w:rPr>
        <w:t>) </w:t>
      </w:r>
      <w:r w:rsidR="00643168">
        <w:rPr>
          <w:rFonts w:ascii="Times New Roman" w:hAnsi="Times New Roman"/>
          <w:sz w:val="28"/>
          <w:szCs w:val="24"/>
        </w:rPr>
        <w:t>п</w:t>
      </w:r>
      <w:r w:rsidR="006812C5" w:rsidRPr="00B0658A">
        <w:rPr>
          <w:rFonts w:ascii="Times New Roman" w:hAnsi="Times New Roman"/>
          <w:sz w:val="28"/>
          <w:szCs w:val="24"/>
        </w:rPr>
        <w:t>ровести анализ требований, предъявляемых законодательством Российской Федерации к функционированию различных классов (типов) ПО, используемого на значимых объектах КИИ, в том числе функциональных требований и требований по обеспечению информационной безопасности</w:t>
      </w:r>
      <w:r w:rsidR="00643168">
        <w:rPr>
          <w:rFonts w:ascii="Times New Roman" w:hAnsi="Times New Roman"/>
          <w:sz w:val="28"/>
          <w:szCs w:val="24"/>
        </w:rPr>
        <w:t>;</w:t>
      </w:r>
    </w:p>
    <w:p w14:paraId="3C7A60C7" w14:textId="01DD3E9A" w:rsidR="006812C5" w:rsidRPr="00B0658A" w:rsidRDefault="00C16280"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е</w:t>
      </w:r>
      <w:r w:rsidR="006812C5" w:rsidRPr="00B0658A">
        <w:rPr>
          <w:rFonts w:ascii="Times New Roman" w:hAnsi="Times New Roman"/>
          <w:sz w:val="28"/>
          <w:szCs w:val="24"/>
        </w:rPr>
        <w:t>) </w:t>
      </w:r>
      <w:r w:rsidR="00643168">
        <w:rPr>
          <w:rFonts w:ascii="Times New Roman" w:hAnsi="Times New Roman"/>
          <w:sz w:val="28"/>
          <w:szCs w:val="24"/>
        </w:rPr>
        <w:t>п</w:t>
      </w:r>
      <w:r w:rsidR="006812C5" w:rsidRPr="00B0658A">
        <w:rPr>
          <w:rFonts w:ascii="Times New Roman" w:hAnsi="Times New Roman"/>
          <w:sz w:val="28"/>
          <w:szCs w:val="24"/>
        </w:rPr>
        <w:t>ровести анализ сведений о ПО, включенном в единый реестр российского ПО, и сведений о ПО, включенном в единый реестр евразийского ПО, определить предварительный перечень потенциального российского ПО и евразийского ПО, реализующих функции соответствующего ПО, для его дальнейшего применения при переходе на использование российского ПО на значимых объектах КИИ</w:t>
      </w:r>
      <w:r w:rsidR="00643168">
        <w:rPr>
          <w:rFonts w:ascii="Times New Roman" w:hAnsi="Times New Roman"/>
          <w:sz w:val="28"/>
          <w:szCs w:val="24"/>
        </w:rPr>
        <w:t>;</w:t>
      </w:r>
    </w:p>
    <w:p w14:paraId="3DDF96FF" w14:textId="721DE50A" w:rsidR="006812C5" w:rsidRPr="00B0658A" w:rsidRDefault="0050040D"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ж</w:t>
      </w:r>
      <w:r w:rsidR="006812C5" w:rsidRPr="00B0658A">
        <w:rPr>
          <w:rFonts w:ascii="Times New Roman" w:hAnsi="Times New Roman"/>
          <w:sz w:val="28"/>
          <w:szCs w:val="24"/>
        </w:rPr>
        <w:t>) </w:t>
      </w:r>
      <w:r w:rsidR="00643168">
        <w:rPr>
          <w:rFonts w:ascii="Times New Roman" w:hAnsi="Times New Roman"/>
          <w:sz w:val="28"/>
          <w:szCs w:val="24"/>
        </w:rPr>
        <w:t>п</w:t>
      </w:r>
      <w:r w:rsidR="006812C5" w:rsidRPr="00B0658A">
        <w:rPr>
          <w:rFonts w:ascii="Times New Roman" w:hAnsi="Times New Roman"/>
          <w:sz w:val="28"/>
          <w:szCs w:val="24"/>
        </w:rPr>
        <w:t>ровести анализ текущих сроков амортизации используемых организацией на момент планирования персональных электронных вычислительных машин, устройств терминального доступа, абонентских устройств радиоподвижной связи, программно-аппаратных комплексов, в том числе серверного и иного технологического оборудования, иных средств вычислительной техники и периферийных устройств, а также провести оценку совместимости российского и евразийского ПО с указанным оборудованием и программно-аппаратными комплексами</w:t>
      </w:r>
      <w:r w:rsidR="00643168">
        <w:rPr>
          <w:rFonts w:ascii="Times New Roman" w:hAnsi="Times New Roman"/>
          <w:sz w:val="28"/>
          <w:szCs w:val="24"/>
        </w:rPr>
        <w:t>;</w:t>
      </w:r>
    </w:p>
    <w:p w14:paraId="45B09345" w14:textId="64E46D21" w:rsidR="006812C5" w:rsidRPr="00B0658A" w:rsidRDefault="0050040D"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з</w:t>
      </w:r>
      <w:r w:rsidR="006812C5" w:rsidRPr="00B0658A">
        <w:rPr>
          <w:rFonts w:ascii="Times New Roman" w:hAnsi="Times New Roman"/>
          <w:sz w:val="28"/>
          <w:szCs w:val="24"/>
        </w:rPr>
        <w:t>)  </w:t>
      </w:r>
      <w:r w:rsidR="00643168">
        <w:rPr>
          <w:rFonts w:ascii="Times New Roman" w:hAnsi="Times New Roman"/>
          <w:sz w:val="28"/>
          <w:szCs w:val="24"/>
        </w:rPr>
        <w:t>п</w:t>
      </w:r>
      <w:r w:rsidR="006812C5" w:rsidRPr="00B0658A">
        <w:rPr>
          <w:rFonts w:ascii="Times New Roman" w:hAnsi="Times New Roman"/>
          <w:sz w:val="28"/>
          <w:szCs w:val="24"/>
        </w:rPr>
        <w:t>ровести анализ сроков действия прав на использование ПО и сроков полезного использования нематериальных активов в отношении используемого организацией на момент планирования ПО, сведения о котором не включены в единый реестр российского ПО</w:t>
      </w:r>
      <w:r w:rsidR="00643168">
        <w:rPr>
          <w:rFonts w:ascii="Times New Roman" w:hAnsi="Times New Roman"/>
          <w:sz w:val="28"/>
          <w:szCs w:val="24"/>
        </w:rPr>
        <w:t>;</w:t>
      </w:r>
    </w:p>
    <w:p w14:paraId="220EA7B8" w14:textId="1DCE9320" w:rsidR="006812C5" w:rsidRPr="00B0658A" w:rsidRDefault="0050040D"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и</w:t>
      </w:r>
      <w:r w:rsidR="006812C5" w:rsidRPr="00B0658A">
        <w:rPr>
          <w:rFonts w:ascii="Times New Roman" w:hAnsi="Times New Roman"/>
          <w:sz w:val="28"/>
          <w:szCs w:val="24"/>
        </w:rPr>
        <w:t>) </w:t>
      </w:r>
      <w:r w:rsidR="00643168">
        <w:rPr>
          <w:rFonts w:ascii="Times New Roman" w:hAnsi="Times New Roman"/>
          <w:sz w:val="28"/>
          <w:szCs w:val="24"/>
        </w:rPr>
        <w:t>п</w:t>
      </w:r>
      <w:r w:rsidR="006812C5" w:rsidRPr="00B0658A">
        <w:rPr>
          <w:rFonts w:ascii="Times New Roman" w:hAnsi="Times New Roman"/>
          <w:sz w:val="28"/>
          <w:szCs w:val="24"/>
        </w:rPr>
        <w:t xml:space="preserve">ровести анализ планов закупки ПО, в том числе закупки прав на использование ПО и закупки технической поддержки (обновлений) ПО, сведения о котором не включены в единый реестр российского ПО, на последующие периоды, и провести их корректировку с учетом задач по переходу на использование российского ПО </w:t>
      </w:r>
      <w:r w:rsidR="00F02BE4" w:rsidRPr="00B0658A">
        <w:rPr>
          <w:rFonts w:ascii="Times New Roman" w:hAnsi="Times New Roman"/>
          <w:sz w:val="28"/>
          <w:szCs w:val="24"/>
        </w:rPr>
        <w:t xml:space="preserve">на значимых объектах КИИ </w:t>
      </w:r>
      <w:r w:rsidR="006812C5" w:rsidRPr="00B0658A">
        <w:rPr>
          <w:rFonts w:ascii="Times New Roman" w:hAnsi="Times New Roman"/>
          <w:sz w:val="28"/>
          <w:szCs w:val="24"/>
        </w:rPr>
        <w:t>и формируемой системы показателей эффективности и соответствующих им значений индикаторов эффективности перехода на использование российского ПО</w:t>
      </w:r>
      <w:r w:rsidR="00F02BE4" w:rsidRPr="00B0658A">
        <w:rPr>
          <w:rFonts w:ascii="Times New Roman" w:hAnsi="Times New Roman"/>
          <w:sz w:val="28"/>
          <w:szCs w:val="24"/>
        </w:rPr>
        <w:t xml:space="preserve"> на значимых объектах КИИ</w:t>
      </w:r>
      <w:r w:rsidR="00643168">
        <w:rPr>
          <w:rFonts w:ascii="Times New Roman" w:hAnsi="Times New Roman"/>
          <w:sz w:val="28"/>
          <w:szCs w:val="24"/>
        </w:rPr>
        <w:t>;</w:t>
      </w:r>
    </w:p>
    <w:p w14:paraId="2744F5AB" w14:textId="4FBB91C9" w:rsidR="006812C5" w:rsidRPr="00B0658A" w:rsidRDefault="004E63D9"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к</w:t>
      </w:r>
      <w:r w:rsidR="006812C5" w:rsidRPr="00B0658A">
        <w:rPr>
          <w:rFonts w:ascii="Times New Roman" w:hAnsi="Times New Roman"/>
          <w:sz w:val="28"/>
          <w:szCs w:val="24"/>
        </w:rPr>
        <w:t>) </w:t>
      </w:r>
      <w:r w:rsidR="00643168">
        <w:rPr>
          <w:rFonts w:ascii="Times New Roman" w:hAnsi="Times New Roman"/>
          <w:sz w:val="28"/>
          <w:szCs w:val="24"/>
        </w:rPr>
        <w:t>р</w:t>
      </w:r>
      <w:r w:rsidR="006812C5" w:rsidRPr="00B0658A">
        <w:rPr>
          <w:rFonts w:ascii="Times New Roman" w:hAnsi="Times New Roman"/>
          <w:sz w:val="28"/>
          <w:szCs w:val="24"/>
        </w:rPr>
        <w:t xml:space="preserve">еализовать мероприятия, направленные на уточнение используемых </w:t>
      </w:r>
      <w:r w:rsidR="00F02BE4" w:rsidRPr="00B0658A">
        <w:rPr>
          <w:rFonts w:ascii="Times New Roman" w:hAnsi="Times New Roman"/>
          <w:sz w:val="28"/>
          <w:szCs w:val="24"/>
        </w:rPr>
        <w:t>организацией</w:t>
      </w:r>
      <w:r w:rsidR="006812C5" w:rsidRPr="00B0658A">
        <w:rPr>
          <w:rFonts w:ascii="Times New Roman" w:hAnsi="Times New Roman"/>
          <w:sz w:val="28"/>
          <w:szCs w:val="24"/>
        </w:rPr>
        <w:t xml:space="preserve"> программно-технических решений </w:t>
      </w:r>
      <w:r w:rsidR="00950440" w:rsidRPr="00B0658A">
        <w:rPr>
          <w:rFonts w:ascii="Times New Roman" w:hAnsi="Times New Roman"/>
          <w:sz w:val="28"/>
          <w:szCs w:val="24"/>
        </w:rPr>
        <w:t xml:space="preserve">и программного обеспечения </w:t>
      </w:r>
      <w:r w:rsidR="006812C5" w:rsidRPr="00B0658A">
        <w:rPr>
          <w:rFonts w:ascii="Times New Roman" w:hAnsi="Times New Roman"/>
          <w:sz w:val="28"/>
          <w:szCs w:val="24"/>
        </w:rPr>
        <w:t xml:space="preserve">в </w:t>
      </w:r>
      <w:r w:rsidR="006812C5" w:rsidRPr="00B0658A">
        <w:rPr>
          <w:rFonts w:ascii="Times New Roman" w:hAnsi="Times New Roman"/>
          <w:sz w:val="28"/>
          <w:szCs w:val="24"/>
        </w:rPr>
        <w:lastRenderedPageBreak/>
        <w:t>связи с переходом на использование российского ПО</w:t>
      </w:r>
      <w:r w:rsidR="00F02BE4" w:rsidRPr="00B0658A">
        <w:rPr>
          <w:rFonts w:ascii="Times New Roman" w:hAnsi="Times New Roman"/>
          <w:sz w:val="28"/>
          <w:szCs w:val="24"/>
        </w:rPr>
        <w:t xml:space="preserve"> на значимых объектах КИИ</w:t>
      </w:r>
      <w:r w:rsidR="006812C5" w:rsidRPr="00B0658A">
        <w:rPr>
          <w:rFonts w:ascii="Times New Roman" w:hAnsi="Times New Roman"/>
          <w:sz w:val="28"/>
          <w:szCs w:val="24"/>
        </w:rPr>
        <w:t>, в рамках которых, в том числе:</w:t>
      </w:r>
    </w:p>
    <w:p w14:paraId="1B9160F6" w14:textId="7F7309B8" w:rsidR="006812C5" w:rsidRPr="00B0658A" w:rsidRDefault="006812C5"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 xml:space="preserve">провести анализ общесистемного и прикладного ПО, </w:t>
      </w:r>
      <w:r w:rsidR="00950440" w:rsidRPr="00B0658A">
        <w:rPr>
          <w:rFonts w:ascii="Times New Roman" w:hAnsi="Times New Roman"/>
          <w:sz w:val="28"/>
          <w:szCs w:val="24"/>
        </w:rPr>
        <w:t xml:space="preserve">программно-аппаратных комплексов, </w:t>
      </w:r>
      <w:r w:rsidRPr="00B0658A">
        <w:rPr>
          <w:rFonts w:ascii="Times New Roman" w:hAnsi="Times New Roman"/>
          <w:sz w:val="28"/>
          <w:szCs w:val="24"/>
        </w:rPr>
        <w:t>используем</w:t>
      </w:r>
      <w:r w:rsidR="00950440" w:rsidRPr="00B0658A">
        <w:rPr>
          <w:rFonts w:ascii="Times New Roman" w:hAnsi="Times New Roman"/>
          <w:sz w:val="28"/>
          <w:szCs w:val="24"/>
        </w:rPr>
        <w:t>ых</w:t>
      </w:r>
      <w:r w:rsidRPr="00B0658A">
        <w:rPr>
          <w:rFonts w:ascii="Times New Roman" w:hAnsi="Times New Roman"/>
          <w:sz w:val="28"/>
          <w:szCs w:val="24"/>
        </w:rPr>
        <w:t xml:space="preserve"> на значимых объектах КИИ;</w:t>
      </w:r>
    </w:p>
    <w:p w14:paraId="33418DEB" w14:textId="73634212" w:rsidR="006812C5" w:rsidRPr="00B0658A" w:rsidRDefault="006812C5"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сформировать требования к функциональным, техническим, эксплуатационным характеристикам, предъявляемым к персональным электронным вычислительным машинам, устройствам терминального доступа, абонентским устройствам радиоподвижной связи, программно-аппаратным комплексам, в том числе серверному и иному технологическому оборудованию, иным средствам вычислительной техники и периферийным устройствам, планируемым к закупке в последующие периоды с учетом необходимости обеспечения совместимости с российским ПО и евразийским ПО</w:t>
      </w:r>
      <w:r w:rsidR="00F02BE4" w:rsidRPr="00B0658A">
        <w:rPr>
          <w:rFonts w:ascii="Times New Roman" w:hAnsi="Times New Roman"/>
          <w:sz w:val="28"/>
          <w:szCs w:val="24"/>
        </w:rPr>
        <w:t xml:space="preserve">, планируемом к использованию на </w:t>
      </w:r>
      <w:r w:rsidRPr="00B0658A">
        <w:rPr>
          <w:rFonts w:ascii="Times New Roman" w:hAnsi="Times New Roman"/>
          <w:sz w:val="28"/>
          <w:szCs w:val="24"/>
        </w:rPr>
        <w:t>значимых объектах КИИ. Указанные требования рекомендуется направить в Минцифры России;</w:t>
      </w:r>
    </w:p>
    <w:p w14:paraId="74EE2DF6" w14:textId="4AD92D2A" w:rsidR="006812C5" w:rsidRPr="00B0658A" w:rsidRDefault="006812C5"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определить требования к функциональным, техническим и эксплуатационным характеристикам, предъявляемым к различным классам (типам) ПО (для каждого класса (типа) ПО) со стороны прикладного ПО информационных систем</w:t>
      </w:r>
      <w:r w:rsidR="00A52A31" w:rsidRPr="00B0658A">
        <w:rPr>
          <w:rFonts w:ascii="Times New Roman" w:hAnsi="Times New Roman"/>
          <w:sz w:val="28"/>
          <w:szCs w:val="24"/>
        </w:rPr>
        <w:t xml:space="preserve"> и иных компонентов информационно-технологической инфраструктуры</w:t>
      </w:r>
      <w:r w:rsidR="00F02BE4" w:rsidRPr="00B0658A">
        <w:rPr>
          <w:rFonts w:ascii="Times New Roman" w:hAnsi="Times New Roman"/>
          <w:sz w:val="28"/>
          <w:szCs w:val="24"/>
        </w:rPr>
        <w:t>, используемых на значимых объектах КИИ</w:t>
      </w:r>
      <w:r w:rsidRPr="00B0658A">
        <w:rPr>
          <w:rFonts w:ascii="Times New Roman" w:hAnsi="Times New Roman"/>
          <w:sz w:val="28"/>
          <w:szCs w:val="24"/>
        </w:rPr>
        <w:t>. Указанные требования рекомендуется направить в Минцифры России;</w:t>
      </w:r>
    </w:p>
    <w:p w14:paraId="70661C0B" w14:textId="2231CD06" w:rsidR="006812C5" w:rsidRPr="00B0658A" w:rsidRDefault="006812C5"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провести функциональное и иные виды тестирования российского и евразийского ПО для целей подтверждения соответствия указанного ПО определенным требованиям к функциональным, техническим и эксплуатационным характеристикам ПО, а также оценки совместимости прикладного ПО информационных систем</w:t>
      </w:r>
      <w:r w:rsidR="00A52A31" w:rsidRPr="00B0658A">
        <w:rPr>
          <w:rFonts w:ascii="Times New Roman" w:hAnsi="Times New Roman"/>
          <w:sz w:val="28"/>
          <w:szCs w:val="24"/>
        </w:rPr>
        <w:t xml:space="preserve"> и иных компонентов информационно-технологической инфраструктуры</w:t>
      </w:r>
      <w:r w:rsidR="00F02BE4" w:rsidRPr="00B0658A">
        <w:rPr>
          <w:rFonts w:ascii="Times New Roman" w:hAnsi="Times New Roman"/>
          <w:sz w:val="28"/>
          <w:szCs w:val="24"/>
        </w:rPr>
        <w:t>, используемых на значимых объектах КИИ,</w:t>
      </w:r>
      <w:r w:rsidRPr="00B0658A">
        <w:rPr>
          <w:rFonts w:ascii="Times New Roman" w:hAnsi="Times New Roman"/>
          <w:sz w:val="28"/>
          <w:szCs w:val="24"/>
        </w:rPr>
        <w:t xml:space="preserve"> с российским и евразийским ПО;</w:t>
      </w:r>
    </w:p>
    <w:p w14:paraId="184EBE92" w14:textId="267CD1EA" w:rsidR="006812C5" w:rsidRPr="00B0658A" w:rsidRDefault="006812C5"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определить уточненный перечень российского ПО, евразийского ПО и российских программно-технических решений для применения при переходе на использование российского ПО</w:t>
      </w:r>
      <w:r w:rsidR="00F02BE4" w:rsidRPr="00B0658A">
        <w:rPr>
          <w:rFonts w:ascii="Times New Roman" w:hAnsi="Times New Roman"/>
          <w:sz w:val="28"/>
          <w:szCs w:val="24"/>
        </w:rPr>
        <w:t xml:space="preserve"> </w:t>
      </w:r>
      <w:r w:rsidRPr="00B0658A">
        <w:rPr>
          <w:rFonts w:ascii="Times New Roman" w:hAnsi="Times New Roman"/>
          <w:sz w:val="28"/>
          <w:szCs w:val="24"/>
        </w:rPr>
        <w:t>на значимых объектах КИИ;</w:t>
      </w:r>
    </w:p>
    <w:p w14:paraId="1FF1A229" w14:textId="470AFDEC" w:rsidR="006812C5" w:rsidRPr="00B0658A" w:rsidRDefault="006812C5"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определить факторы и барьеры, препятствующие на момент планирования переходу на использование российского ПО (для соответствующих классов (типов) ПО), провести оценку необходимости и объемов доработки прикладного ПО информационных систем</w:t>
      </w:r>
      <w:r w:rsidR="00890AD8" w:rsidRPr="00B0658A">
        <w:rPr>
          <w:rFonts w:ascii="Times New Roman" w:hAnsi="Times New Roman"/>
          <w:sz w:val="28"/>
          <w:szCs w:val="24"/>
        </w:rPr>
        <w:t xml:space="preserve"> и иных компонентов информационно-технологической инфраструктуры</w:t>
      </w:r>
      <w:r w:rsidR="004E63D9" w:rsidRPr="00B0658A">
        <w:rPr>
          <w:rFonts w:ascii="Times New Roman" w:hAnsi="Times New Roman"/>
          <w:sz w:val="28"/>
          <w:szCs w:val="24"/>
        </w:rPr>
        <w:t>, используемых на значимых объектах КИИ,</w:t>
      </w:r>
      <w:r w:rsidRPr="00B0658A">
        <w:rPr>
          <w:rFonts w:ascii="Times New Roman" w:hAnsi="Times New Roman"/>
          <w:sz w:val="28"/>
          <w:szCs w:val="24"/>
        </w:rPr>
        <w:t xml:space="preserve"> с целью обеспечения совместимости с российским ПО и (или) евразийским ПО</w:t>
      </w:r>
      <w:r w:rsidR="004E63D9" w:rsidRPr="00B0658A">
        <w:rPr>
          <w:rFonts w:ascii="Times New Roman" w:hAnsi="Times New Roman"/>
          <w:sz w:val="28"/>
          <w:szCs w:val="24"/>
        </w:rPr>
        <w:t>, планируемого к использованию на значимых объектах КИИ</w:t>
      </w:r>
      <w:r w:rsidRPr="00B0658A">
        <w:rPr>
          <w:rFonts w:ascii="Times New Roman" w:hAnsi="Times New Roman"/>
          <w:sz w:val="28"/>
          <w:szCs w:val="24"/>
        </w:rPr>
        <w:t>. Выявленные факторы и барьеры рекомендуется направить в Минцифры России;</w:t>
      </w:r>
    </w:p>
    <w:p w14:paraId="13E6BE70" w14:textId="04B14977" w:rsidR="006812C5" w:rsidRPr="00B0658A" w:rsidRDefault="006812C5"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сформировать перечень задач и мероприятий, направленных на устранение факторов и барьеров, препятствующих переходу на использование российского ПО, а также на обеспечение совместимости прикладного ПО</w:t>
      </w:r>
      <w:r w:rsidR="004E63D9" w:rsidRPr="00B0658A">
        <w:rPr>
          <w:rFonts w:ascii="Times New Roman" w:hAnsi="Times New Roman"/>
          <w:sz w:val="28"/>
          <w:szCs w:val="24"/>
        </w:rPr>
        <w:t xml:space="preserve"> информационных систем</w:t>
      </w:r>
      <w:r w:rsidR="00890AD8" w:rsidRPr="00B0658A">
        <w:rPr>
          <w:rFonts w:ascii="Times New Roman" w:hAnsi="Times New Roman"/>
          <w:sz w:val="28"/>
          <w:szCs w:val="24"/>
        </w:rPr>
        <w:t xml:space="preserve"> и иных компонентов информационно-технологической инфраструктуры</w:t>
      </w:r>
      <w:r w:rsidRPr="00B0658A">
        <w:rPr>
          <w:rFonts w:ascii="Times New Roman" w:hAnsi="Times New Roman"/>
          <w:sz w:val="28"/>
          <w:szCs w:val="24"/>
        </w:rPr>
        <w:t xml:space="preserve">, </w:t>
      </w:r>
      <w:r w:rsidR="004E63D9" w:rsidRPr="00B0658A">
        <w:rPr>
          <w:rFonts w:ascii="Times New Roman" w:hAnsi="Times New Roman"/>
          <w:sz w:val="28"/>
          <w:szCs w:val="24"/>
        </w:rPr>
        <w:t>используемых на значимых объектах КИИ</w:t>
      </w:r>
      <w:r w:rsidRPr="00B0658A">
        <w:rPr>
          <w:rFonts w:ascii="Times New Roman" w:hAnsi="Times New Roman"/>
          <w:sz w:val="28"/>
          <w:szCs w:val="24"/>
        </w:rPr>
        <w:t>, с российским ПО и евразийским ПО</w:t>
      </w:r>
      <w:r w:rsidR="004E63D9" w:rsidRPr="00B0658A">
        <w:rPr>
          <w:rFonts w:ascii="Times New Roman" w:hAnsi="Times New Roman"/>
          <w:sz w:val="28"/>
          <w:szCs w:val="24"/>
        </w:rPr>
        <w:t>, планируемым к использованию на значимых объектах КИИ</w:t>
      </w:r>
      <w:r w:rsidR="00643168">
        <w:rPr>
          <w:rFonts w:ascii="Times New Roman" w:hAnsi="Times New Roman"/>
          <w:sz w:val="28"/>
          <w:szCs w:val="24"/>
        </w:rPr>
        <w:t>;</w:t>
      </w:r>
    </w:p>
    <w:p w14:paraId="1624835D" w14:textId="0F10E437" w:rsidR="006812C5" w:rsidRPr="00B0658A" w:rsidRDefault="004E63D9"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lastRenderedPageBreak/>
        <w:t>л</w:t>
      </w:r>
      <w:r w:rsidR="006812C5" w:rsidRPr="00B0658A">
        <w:rPr>
          <w:rFonts w:ascii="Times New Roman" w:hAnsi="Times New Roman"/>
          <w:sz w:val="28"/>
          <w:szCs w:val="24"/>
        </w:rPr>
        <w:t>) </w:t>
      </w:r>
      <w:r w:rsidR="00643168">
        <w:rPr>
          <w:rFonts w:ascii="Times New Roman" w:hAnsi="Times New Roman"/>
          <w:sz w:val="28"/>
          <w:szCs w:val="24"/>
        </w:rPr>
        <w:t>п</w:t>
      </w:r>
      <w:r w:rsidR="006812C5" w:rsidRPr="00B0658A">
        <w:rPr>
          <w:rFonts w:ascii="Times New Roman" w:hAnsi="Times New Roman"/>
          <w:sz w:val="28"/>
          <w:szCs w:val="24"/>
        </w:rPr>
        <w:t>ровести оценку требуемых временных и финансовых ресурсов для реализации задач по переходу на использование российского ПО</w:t>
      </w:r>
      <w:r w:rsidRPr="00B0658A">
        <w:rPr>
          <w:rFonts w:ascii="Times New Roman" w:hAnsi="Times New Roman"/>
          <w:sz w:val="28"/>
          <w:szCs w:val="24"/>
        </w:rPr>
        <w:t xml:space="preserve"> на значимых объектах КИИ</w:t>
      </w:r>
      <w:r w:rsidR="006812C5" w:rsidRPr="00B0658A">
        <w:rPr>
          <w:rFonts w:ascii="Times New Roman" w:hAnsi="Times New Roman"/>
          <w:sz w:val="28"/>
          <w:szCs w:val="24"/>
        </w:rPr>
        <w:t>, разработать необходимые финансово-экономические и технико-экономические обоснования;</w:t>
      </w:r>
    </w:p>
    <w:p w14:paraId="11D054DD" w14:textId="0B4FB407" w:rsidR="006812C5" w:rsidRPr="00B0658A" w:rsidRDefault="004E63D9"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м</w:t>
      </w:r>
      <w:r w:rsidR="006812C5" w:rsidRPr="00B0658A">
        <w:rPr>
          <w:rFonts w:ascii="Times New Roman" w:hAnsi="Times New Roman"/>
          <w:sz w:val="28"/>
          <w:szCs w:val="24"/>
        </w:rPr>
        <w:t>)</w:t>
      </w:r>
      <w:r w:rsidR="006812C5" w:rsidRPr="00B0658A">
        <w:rPr>
          <w:rFonts w:ascii="Times New Roman" w:hAnsi="Times New Roman"/>
        </w:rPr>
        <w:t> </w:t>
      </w:r>
      <w:r w:rsidR="00643168">
        <w:rPr>
          <w:rFonts w:ascii="Times New Roman" w:hAnsi="Times New Roman"/>
        </w:rPr>
        <w:t>п</w:t>
      </w:r>
      <w:r w:rsidR="006812C5" w:rsidRPr="00B0658A">
        <w:rPr>
          <w:rFonts w:ascii="Times New Roman" w:hAnsi="Times New Roman"/>
          <w:sz w:val="28"/>
          <w:szCs w:val="24"/>
        </w:rPr>
        <w:t xml:space="preserve">ровести оценку достаточности имеющихся в распоряжении </w:t>
      </w:r>
      <w:r w:rsidRPr="00B0658A">
        <w:rPr>
          <w:rFonts w:ascii="Times New Roman" w:hAnsi="Times New Roman"/>
          <w:sz w:val="28"/>
          <w:szCs w:val="24"/>
        </w:rPr>
        <w:t>организации</w:t>
      </w:r>
      <w:r w:rsidR="006812C5" w:rsidRPr="00B0658A">
        <w:rPr>
          <w:rFonts w:ascii="Times New Roman" w:hAnsi="Times New Roman"/>
          <w:sz w:val="28"/>
          <w:szCs w:val="24"/>
        </w:rPr>
        <w:t xml:space="preserve"> ресурсов, необходимых для обеспечения перехода на использование российского ПО </w:t>
      </w:r>
      <w:r w:rsidRPr="00B0658A">
        <w:rPr>
          <w:rFonts w:ascii="Times New Roman" w:hAnsi="Times New Roman"/>
          <w:sz w:val="28"/>
          <w:szCs w:val="24"/>
        </w:rPr>
        <w:t xml:space="preserve">на значимых объектах КИИ </w:t>
      </w:r>
      <w:r w:rsidR="006812C5" w:rsidRPr="00B0658A">
        <w:rPr>
          <w:rFonts w:ascii="Times New Roman" w:hAnsi="Times New Roman"/>
          <w:sz w:val="28"/>
          <w:szCs w:val="24"/>
        </w:rPr>
        <w:t>в установленные сроки и для достижения установленных показателей эффективности, в том числе для целей модернизации прикладного ПО информационных систем</w:t>
      </w:r>
      <w:r w:rsidR="00E91BEF" w:rsidRPr="00B0658A">
        <w:rPr>
          <w:rFonts w:ascii="Times New Roman" w:hAnsi="Times New Roman"/>
          <w:sz w:val="28"/>
          <w:szCs w:val="24"/>
        </w:rPr>
        <w:t xml:space="preserve"> и иных компонентов информационно-технологической инфраструктуры</w:t>
      </w:r>
      <w:r w:rsidRPr="00B0658A">
        <w:rPr>
          <w:rFonts w:ascii="Times New Roman" w:hAnsi="Times New Roman"/>
          <w:sz w:val="28"/>
          <w:szCs w:val="24"/>
        </w:rPr>
        <w:t>, используемых на значимых объектах КИИ</w:t>
      </w:r>
      <w:r w:rsidR="006812C5" w:rsidRPr="00B0658A">
        <w:rPr>
          <w:rFonts w:ascii="Times New Roman" w:hAnsi="Times New Roman"/>
          <w:sz w:val="28"/>
          <w:szCs w:val="24"/>
        </w:rPr>
        <w:t xml:space="preserve">. При этом при оценке достаточности ресурсов </w:t>
      </w:r>
      <w:r w:rsidRPr="00B0658A">
        <w:rPr>
          <w:rFonts w:ascii="Times New Roman" w:hAnsi="Times New Roman"/>
          <w:sz w:val="28"/>
          <w:szCs w:val="24"/>
        </w:rPr>
        <w:t>организациям</w:t>
      </w:r>
      <w:r w:rsidR="006812C5" w:rsidRPr="00B0658A">
        <w:rPr>
          <w:rFonts w:ascii="Times New Roman" w:hAnsi="Times New Roman"/>
          <w:sz w:val="28"/>
          <w:szCs w:val="24"/>
        </w:rPr>
        <w:t xml:space="preserve"> рекомендуется:</w:t>
      </w:r>
    </w:p>
    <w:p w14:paraId="0054601B" w14:textId="7293D080" w:rsidR="006812C5" w:rsidRPr="00B0658A" w:rsidRDefault="006812C5"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 xml:space="preserve">провести оптимизацию текущих </w:t>
      </w:r>
      <w:r w:rsidR="00E91BEF" w:rsidRPr="00B0658A">
        <w:rPr>
          <w:rFonts w:ascii="Times New Roman" w:hAnsi="Times New Roman"/>
          <w:sz w:val="28"/>
          <w:szCs w:val="24"/>
        </w:rPr>
        <w:t xml:space="preserve">и планируемых </w:t>
      </w:r>
      <w:r w:rsidRPr="00B0658A">
        <w:rPr>
          <w:rFonts w:ascii="Times New Roman" w:hAnsi="Times New Roman"/>
          <w:sz w:val="28"/>
          <w:szCs w:val="24"/>
        </w:rPr>
        <w:t>эксплуатационных расходов на ИКТ;</w:t>
      </w:r>
    </w:p>
    <w:p w14:paraId="3FF799AA" w14:textId="2A4BA027" w:rsidR="006812C5" w:rsidRPr="00B0658A" w:rsidRDefault="006812C5"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 xml:space="preserve">провести оптимизацию текущих </w:t>
      </w:r>
      <w:r w:rsidR="00E91BEF" w:rsidRPr="00B0658A">
        <w:rPr>
          <w:rFonts w:ascii="Times New Roman" w:hAnsi="Times New Roman"/>
          <w:sz w:val="28"/>
          <w:szCs w:val="24"/>
        </w:rPr>
        <w:t xml:space="preserve">и планируемых </w:t>
      </w:r>
      <w:r w:rsidRPr="00B0658A">
        <w:rPr>
          <w:rFonts w:ascii="Times New Roman" w:hAnsi="Times New Roman"/>
          <w:sz w:val="28"/>
          <w:szCs w:val="24"/>
        </w:rPr>
        <w:t>расходов на развитие существующих информационных систем</w:t>
      </w:r>
      <w:r w:rsidR="00E91BEF" w:rsidRPr="00B0658A">
        <w:rPr>
          <w:rFonts w:ascii="Times New Roman" w:hAnsi="Times New Roman"/>
          <w:sz w:val="28"/>
          <w:szCs w:val="24"/>
        </w:rPr>
        <w:t xml:space="preserve"> и иных компонентов информационно-технологической инфраструктуры</w:t>
      </w:r>
      <w:r w:rsidRPr="00B0658A">
        <w:rPr>
          <w:rFonts w:ascii="Times New Roman" w:hAnsi="Times New Roman"/>
          <w:sz w:val="28"/>
          <w:szCs w:val="24"/>
        </w:rPr>
        <w:t>, функционирующих на базе иностранных ИТ-платформ и иностранных ИТ-решений;</w:t>
      </w:r>
    </w:p>
    <w:p w14:paraId="18CEEEE5" w14:textId="7DECA507" w:rsidR="006812C5" w:rsidRPr="00B0658A" w:rsidRDefault="006812C5"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 xml:space="preserve">провести оптимизацию расходов, </w:t>
      </w:r>
      <w:r w:rsidR="004E63D9" w:rsidRPr="00B0658A">
        <w:rPr>
          <w:rFonts w:ascii="Times New Roman" w:hAnsi="Times New Roman"/>
          <w:sz w:val="28"/>
          <w:szCs w:val="24"/>
        </w:rPr>
        <w:t xml:space="preserve">связанных с </w:t>
      </w:r>
      <w:r w:rsidRPr="00B0658A">
        <w:rPr>
          <w:rFonts w:ascii="Times New Roman" w:hAnsi="Times New Roman"/>
          <w:sz w:val="28"/>
          <w:szCs w:val="24"/>
        </w:rPr>
        <w:t>закупк</w:t>
      </w:r>
      <w:r w:rsidR="004E63D9" w:rsidRPr="00B0658A">
        <w:rPr>
          <w:rFonts w:ascii="Times New Roman" w:hAnsi="Times New Roman"/>
          <w:sz w:val="28"/>
          <w:szCs w:val="24"/>
        </w:rPr>
        <w:t>ой</w:t>
      </w:r>
      <w:r w:rsidRPr="00B0658A">
        <w:rPr>
          <w:rFonts w:ascii="Times New Roman" w:hAnsi="Times New Roman"/>
          <w:sz w:val="28"/>
          <w:szCs w:val="24"/>
        </w:rPr>
        <w:t xml:space="preserve"> нового ИКТ-оборудования и создание</w:t>
      </w:r>
      <w:r w:rsidR="004E63D9" w:rsidRPr="00B0658A">
        <w:rPr>
          <w:rFonts w:ascii="Times New Roman" w:hAnsi="Times New Roman"/>
          <w:sz w:val="28"/>
          <w:szCs w:val="24"/>
        </w:rPr>
        <w:t>м</w:t>
      </w:r>
      <w:r w:rsidRPr="00B0658A">
        <w:rPr>
          <w:rFonts w:ascii="Times New Roman" w:hAnsi="Times New Roman"/>
          <w:sz w:val="28"/>
          <w:szCs w:val="24"/>
        </w:rPr>
        <w:t xml:space="preserve"> новых центров обработки данных, на вычислительную и телекоммуникационную инфраструктуру, обеспечивающую функционирование информационных систем</w:t>
      </w:r>
      <w:r w:rsidR="00643168">
        <w:rPr>
          <w:rFonts w:ascii="Times New Roman" w:hAnsi="Times New Roman"/>
          <w:sz w:val="28"/>
          <w:szCs w:val="24"/>
        </w:rPr>
        <w:t>;</w:t>
      </w:r>
    </w:p>
    <w:p w14:paraId="55AF8AC7" w14:textId="0BCDD639" w:rsidR="006812C5" w:rsidRPr="00B0658A" w:rsidRDefault="004E63D9"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н</w:t>
      </w:r>
      <w:r w:rsidR="006812C5" w:rsidRPr="00B0658A">
        <w:rPr>
          <w:rFonts w:ascii="Times New Roman" w:hAnsi="Times New Roman"/>
          <w:sz w:val="28"/>
          <w:szCs w:val="24"/>
        </w:rPr>
        <w:t>) </w:t>
      </w:r>
      <w:r w:rsidR="00643168">
        <w:rPr>
          <w:rFonts w:ascii="Times New Roman" w:hAnsi="Times New Roman"/>
          <w:sz w:val="28"/>
          <w:szCs w:val="24"/>
        </w:rPr>
        <w:t>с</w:t>
      </w:r>
      <w:r w:rsidR="006812C5" w:rsidRPr="00B0658A">
        <w:rPr>
          <w:rFonts w:ascii="Times New Roman" w:hAnsi="Times New Roman"/>
          <w:sz w:val="28"/>
          <w:szCs w:val="24"/>
        </w:rPr>
        <w:t xml:space="preserve"> учетом проведенной оценки требуемых временных и финансовых ресурсов, оценки достаточности имеющихся финансовых ресурсов с учетом проведенной оптимизации расходов на ИКТ </w:t>
      </w:r>
      <w:r w:rsidR="002E4650" w:rsidRPr="00B0658A">
        <w:rPr>
          <w:rFonts w:ascii="Times New Roman" w:hAnsi="Times New Roman"/>
          <w:sz w:val="28"/>
          <w:szCs w:val="24"/>
        </w:rPr>
        <w:t xml:space="preserve">иным </w:t>
      </w:r>
      <w:r w:rsidRPr="00B0658A">
        <w:rPr>
          <w:rFonts w:ascii="Times New Roman" w:hAnsi="Times New Roman"/>
          <w:sz w:val="28"/>
          <w:szCs w:val="24"/>
        </w:rPr>
        <w:t>организациям</w:t>
      </w:r>
      <w:r w:rsidR="006812C5" w:rsidRPr="00B0658A">
        <w:rPr>
          <w:rFonts w:ascii="Times New Roman" w:hAnsi="Times New Roman"/>
          <w:sz w:val="28"/>
          <w:szCs w:val="24"/>
        </w:rPr>
        <w:t xml:space="preserve"> рекомендуется:</w:t>
      </w:r>
    </w:p>
    <w:p w14:paraId="4A6BC7FD" w14:textId="5ADB984C" w:rsidR="006812C5" w:rsidRPr="00B0658A" w:rsidRDefault="006812C5"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 xml:space="preserve">внести необходимые изменения в программы (проекты) организации, связанные с развитием </w:t>
      </w:r>
      <w:r w:rsidR="000803DD" w:rsidRPr="00B0658A">
        <w:rPr>
          <w:rFonts w:ascii="Times New Roman" w:hAnsi="Times New Roman"/>
          <w:sz w:val="28"/>
          <w:szCs w:val="24"/>
        </w:rPr>
        <w:t>ИКТ</w:t>
      </w:r>
      <w:r w:rsidRPr="00B0658A">
        <w:rPr>
          <w:rFonts w:ascii="Times New Roman" w:hAnsi="Times New Roman"/>
          <w:sz w:val="28"/>
          <w:szCs w:val="24"/>
        </w:rPr>
        <w:t>;</w:t>
      </w:r>
    </w:p>
    <w:p w14:paraId="23E40AA1" w14:textId="157CF763" w:rsidR="006812C5" w:rsidRPr="00B0658A" w:rsidRDefault="006812C5"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при отсутствии имеющегося в организации достаточного объема финансовых ресурсов проработать вопросы, связанные с иными источниками финансового обеспечения процессов перехода на использование российского ПО</w:t>
      </w:r>
      <w:r w:rsidR="004E63D9" w:rsidRPr="00B0658A">
        <w:rPr>
          <w:rFonts w:ascii="Times New Roman" w:hAnsi="Times New Roman"/>
          <w:sz w:val="28"/>
          <w:szCs w:val="24"/>
        </w:rPr>
        <w:t xml:space="preserve"> на значимых объектах КИИ</w:t>
      </w:r>
      <w:r w:rsidR="00643168">
        <w:rPr>
          <w:rFonts w:ascii="Times New Roman" w:hAnsi="Times New Roman"/>
          <w:sz w:val="28"/>
          <w:szCs w:val="24"/>
        </w:rPr>
        <w:t>;</w:t>
      </w:r>
    </w:p>
    <w:p w14:paraId="7E789488" w14:textId="74FBDB22" w:rsidR="00A22834" w:rsidRPr="00B0658A" w:rsidRDefault="004E63D9"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о</w:t>
      </w:r>
      <w:r w:rsidR="006812C5" w:rsidRPr="00B0658A">
        <w:rPr>
          <w:rFonts w:ascii="Times New Roman" w:hAnsi="Times New Roman"/>
          <w:sz w:val="28"/>
          <w:szCs w:val="24"/>
        </w:rPr>
        <w:t>) </w:t>
      </w:r>
      <w:r w:rsidR="00643168">
        <w:rPr>
          <w:rFonts w:ascii="Times New Roman" w:hAnsi="Times New Roman"/>
          <w:sz w:val="28"/>
          <w:szCs w:val="24"/>
        </w:rPr>
        <w:t>в</w:t>
      </w:r>
      <w:r w:rsidR="006812C5" w:rsidRPr="00B0658A">
        <w:rPr>
          <w:rFonts w:ascii="Times New Roman" w:hAnsi="Times New Roman"/>
          <w:sz w:val="28"/>
          <w:szCs w:val="24"/>
        </w:rPr>
        <w:t xml:space="preserve"> случае, если в процессе тестирования российского ПО и евразийского ПО и уточнения программно-технических решений будет определено, что в указанном ПО отсутствует ряд критически важных технологий и функций, которые при этом не могут быть реализованы путем использования комбинации ПО или реализации организационно-технических мер, рекомендуется организовать взаимодействие с Отраслевым комитетом по развитию общесистемного и прикладного ПО, иными Индустриальными центрами компетенций по замещению зарубежных отраслевых продуктов и решений в ключевых отраслях экономики (при необходимости), а также с Центрами компетенций по развитию российского общесистемного и прикладного программного обеспечения, производителями российского ПО и евразийского ПО для целей организации развития и доработки указанного ПО</w:t>
      </w:r>
      <w:r w:rsidR="00643168">
        <w:rPr>
          <w:rFonts w:ascii="Times New Roman" w:hAnsi="Times New Roman"/>
          <w:sz w:val="28"/>
          <w:szCs w:val="24"/>
        </w:rPr>
        <w:t>;</w:t>
      </w:r>
    </w:p>
    <w:p w14:paraId="72E721A2" w14:textId="2CEC7BD4" w:rsidR="00E91BEF" w:rsidRPr="00B0658A" w:rsidRDefault="00E91BEF"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п) </w:t>
      </w:r>
      <w:r w:rsidR="00643168">
        <w:rPr>
          <w:rFonts w:ascii="Times New Roman" w:hAnsi="Times New Roman"/>
          <w:sz w:val="28"/>
          <w:szCs w:val="24"/>
        </w:rPr>
        <w:t>п</w:t>
      </w:r>
      <w:r w:rsidRPr="00B0658A">
        <w:rPr>
          <w:rFonts w:ascii="Times New Roman" w:hAnsi="Times New Roman"/>
          <w:sz w:val="28"/>
          <w:szCs w:val="24"/>
        </w:rPr>
        <w:t>редусмотреть мероприятия, направленные на обучение работников организации, в том числе работников, ответственных за вопросы функционирования информационно-технологической и телекоммуникационной инфраструктуры, по использованию российского и евразийского ПО.</w:t>
      </w:r>
    </w:p>
    <w:p w14:paraId="28024A5A" w14:textId="77777777" w:rsidR="004E63D9" w:rsidRPr="00B0658A" w:rsidRDefault="004E63D9"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lastRenderedPageBreak/>
        <w:t>160. Иным организациям также рекомендуется:</w:t>
      </w:r>
    </w:p>
    <w:p w14:paraId="7AEB13F7" w14:textId="3FEE1CD3" w:rsidR="004E63D9" w:rsidRPr="00B0658A" w:rsidRDefault="004E63D9"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а) </w:t>
      </w:r>
      <w:r w:rsidR="00643168">
        <w:rPr>
          <w:rFonts w:ascii="Times New Roman" w:hAnsi="Times New Roman"/>
          <w:sz w:val="28"/>
          <w:szCs w:val="24"/>
        </w:rPr>
        <w:t>с</w:t>
      </w:r>
      <w:r w:rsidRPr="00B0658A">
        <w:rPr>
          <w:rFonts w:ascii="Times New Roman" w:hAnsi="Times New Roman"/>
          <w:sz w:val="28"/>
          <w:szCs w:val="24"/>
        </w:rPr>
        <w:t xml:space="preserve"> 1 января 2023 г</w:t>
      </w:r>
      <w:r w:rsidR="00643168">
        <w:rPr>
          <w:rFonts w:ascii="Times New Roman" w:hAnsi="Times New Roman"/>
          <w:sz w:val="28"/>
          <w:szCs w:val="24"/>
        </w:rPr>
        <w:t>.</w:t>
      </w:r>
      <w:r w:rsidRPr="00B0658A">
        <w:rPr>
          <w:rFonts w:ascii="Times New Roman" w:hAnsi="Times New Roman"/>
          <w:sz w:val="28"/>
          <w:szCs w:val="24"/>
        </w:rPr>
        <w:t xml:space="preserve"> новые информационные системы </w:t>
      </w:r>
      <w:r w:rsidR="00E91BEF" w:rsidRPr="00B0658A">
        <w:rPr>
          <w:rFonts w:ascii="Times New Roman" w:hAnsi="Times New Roman"/>
          <w:sz w:val="28"/>
          <w:szCs w:val="24"/>
        </w:rPr>
        <w:t xml:space="preserve">и иные компоненты информационно-технологической инфраструктуры </w:t>
      </w:r>
      <w:r w:rsidRPr="00B0658A">
        <w:rPr>
          <w:rFonts w:ascii="Times New Roman" w:hAnsi="Times New Roman"/>
          <w:sz w:val="28"/>
          <w:szCs w:val="24"/>
        </w:rPr>
        <w:t>создавать с использованием российского ПО и евразийского ПО</w:t>
      </w:r>
      <w:r w:rsidR="00100A00" w:rsidRPr="00B0658A">
        <w:rPr>
          <w:rFonts w:ascii="Times New Roman" w:hAnsi="Times New Roman"/>
          <w:sz w:val="28"/>
          <w:szCs w:val="24"/>
        </w:rPr>
        <w:t xml:space="preserve"> (для использования на значимых объектах КИИ)</w:t>
      </w:r>
      <w:r w:rsidR="00643168">
        <w:rPr>
          <w:rFonts w:ascii="Times New Roman" w:hAnsi="Times New Roman"/>
          <w:sz w:val="28"/>
          <w:szCs w:val="24"/>
        </w:rPr>
        <w:t>;</w:t>
      </w:r>
    </w:p>
    <w:p w14:paraId="2769F08E" w14:textId="1AD1DB93" w:rsidR="004E63D9" w:rsidRPr="00B0658A" w:rsidRDefault="004E63D9"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б) </w:t>
      </w:r>
      <w:r w:rsidR="00643168">
        <w:rPr>
          <w:rFonts w:ascii="Times New Roman" w:hAnsi="Times New Roman"/>
          <w:sz w:val="28"/>
          <w:szCs w:val="24"/>
        </w:rPr>
        <w:t>с</w:t>
      </w:r>
      <w:r w:rsidRPr="00B0658A">
        <w:rPr>
          <w:rFonts w:ascii="Times New Roman" w:hAnsi="Times New Roman"/>
          <w:sz w:val="28"/>
          <w:szCs w:val="24"/>
        </w:rPr>
        <w:t>оздать «</w:t>
      </w:r>
      <w:r w:rsidR="00E91BEF" w:rsidRPr="00B0658A">
        <w:rPr>
          <w:rFonts w:ascii="Times New Roman" w:hAnsi="Times New Roman"/>
          <w:sz w:val="28"/>
          <w:szCs w:val="24"/>
        </w:rPr>
        <w:t>проектную группу</w:t>
      </w:r>
      <w:r w:rsidRPr="00B0658A">
        <w:rPr>
          <w:rFonts w:ascii="Times New Roman" w:hAnsi="Times New Roman"/>
          <w:sz w:val="28"/>
          <w:szCs w:val="24"/>
        </w:rPr>
        <w:t>», обеспечивающ</w:t>
      </w:r>
      <w:r w:rsidR="00E91BEF" w:rsidRPr="00B0658A">
        <w:rPr>
          <w:rFonts w:ascii="Times New Roman" w:hAnsi="Times New Roman"/>
          <w:sz w:val="28"/>
          <w:szCs w:val="24"/>
        </w:rPr>
        <w:t>ую</w:t>
      </w:r>
      <w:r w:rsidRPr="00B0658A">
        <w:rPr>
          <w:rFonts w:ascii="Times New Roman" w:hAnsi="Times New Roman"/>
          <w:sz w:val="28"/>
          <w:szCs w:val="24"/>
        </w:rPr>
        <w:t xml:space="preserve"> управление процессами перехода организации на использование российского ПО на значимых объектах КИИ, мониторинг хода реализации Плана перехода и достижения установленных показателей эффективности</w:t>
      </w:r>
      <w:r w:rsidR="00643168">
        <w:rPr>
          <w:rFonts w:ascii="Times New Roman" w:hAnsi="Times New Roman"/>
          <w:sz w:val="28"/>
          <w:szCs w:val="24"/>
        </w:rPr>
        <w:t>;</w:t>
      </w:r>
    </w:p>
    <w:p w14:paraId="263E3AF3" w14:textId="652E7F3B" w:rsidR="004E63D9" w:rsidRPr="00B0658A" w:rsidRDefault="004E63D9" w:rsidP="00F57B1F">
      <w:pPr>
        <w:spacing w:after="0" w:line="240" w:lineRule="auto"/>
        <w:ind w:firstLine="709"/>
        <w:jc w:val="both"/>
        <w:rPr>
          <w:rFonts w:ascii="Times New Roman" w:hAnsi="Times New Roman"/>
          <w:sz w:val="28"/>
          <w:szCs w:val="28"/>
        </w:rPr>
      </w:pPr>
      <w:r w:rsidRPr="00B0658A">
        <w:rPr>
          <w:rFonts w:ascii="Times New Roman" w:hAnsi="Times New Roman"/>
          <w:sz w:val="28"/>
          <w:szCs w:val="24"/>
        </w:rPr>
        <w:t>в) </w:t>
      </w:r>
      <w:r w:rsidR="00643168">
        <w:rPr>
          <w:rFonts w:ascii="Times New Roman" w:hAnsi="Times New Roman"/>
          <w:sz w:val="28"/>
          <w:szCs w:val="24"/>
        </w:rPr>
        <w:t>п</w:t>
      </w:r>
      <w:r w:rsidRPr="00B0658A">
        <w:rPr>
          <w:rFonts w:ascii="Times New Roman" w:hAnsi="Times New Roman"/>
          <w:sz w:val="28"/>
          <w:szCs w:val="24"/>
        </w:rPr>
        <w:t xml:space="preserve">редусмотреть мероприятие по предоставлению в </w:t>
      </w:r>
      <w:r w:rsidR="00E91BEF" w:rsidRPr="00B0658A">
        <w:rPr>
          <w:rFonts w:ascii="Times New Roman" w:hAnsi="Times New Roman"/>
          <w:sz w:val="28"/>
          <w:szCs w:val="24"/>
        </w:rPr>
        <w:t>Минцифры России</w:t>
      </w:r>
      <w:r w:rsidRPr="00B0658A">
        <w:rPr>
          <w:rFonts w:ascii="Times New Roman" w:hAnsi="Times New Roman"/>
          <w:sz w:val="28"/>
          <w:szCs w:val="24"/>
        </w:rPr>
        <w:t xml:space="preserve"> </w:t>
      </w:r>
      <w:r w:rsidR="00E91BEF" w:rsidRPr="00B0658A">
        <w:rPr>
          <w:rFonts w:ascii="Times New Roman" w:hAnsi="Times New Roman"/>
          <w:sz w:val="28"/>
          <w:szCs w:val="24"/>
        </w:rPr>
        <w:t xml:space="preserve">сведений о ходе реализации Плана перехода </w:t>
      </w:r>
      <w:r w:rsidRPr="00B0658A">
        <w:rPr>
          <w:rFonts w:ascii="Times New Roman" w:hAnsi="Times New Roman"/>
          <w:sz w:val="28"/>
          <w:szCs w:val="28"/>
        </w:rPr>
        <w:t>с периодичностью, по форме и в объеме, предусмотренных в настоящих методических рекомендациях</w:t>
      </w:r>
      <w:r w:rsidR="00643168">
        <w:rPr>
          <w:rFonts w:ascii="Times New Roman" w:hAnsi="Times New Roman"/>
          <w:sz w:val="28"/>
          <w:szCs w:val="28"/>
        </w:rPr>
        <w:t>;</w:t>
      </w:r>
    </w:p>
    <w:p w14:paraId="3C683B11" w14:textId="337376D2" w:rsidR="004E63D9" w:rsidRPr="00B0658A" w:rsidRDefault="004E63D9" w:rsidP="00F57B1F">
      <w:pPr>
        <w:spacing w:after="0" w:line="240" w:lineRule="auto"/>
        <w:ind w:firstLine="709"/>
        <w:jc w:val="both"/>
        <w:rPr>
          <w:rFonts w:ascii="Times New Roman" w:hAnsi="Times New Roman"/>
          <w:sz w:val="28"/>
          <w:szCs w:val="28"/>
        </w:rPr>
      </w:pPr>
      <w:r w:rsidRPr="00B0658A">
        <w:rPr>
          <w:rFonts w:ascii="Times New Roman" w:hAnsi="Times New Roman"/>
          <w:sz w:val="28"/>
          <w:szCs w:val="28"/>
        </w:rPr>
        <w:t>г) </w:t>
      </w:r>
      <w:r w:rsidR="00643168">
        <w:rPr>
          <w:rFonts w:ascii="Times New Roman" w:hAnsi="Times New Roman"/>
          <w:sz w:val="28"/>
          <w:szCs w:val="28"/>
        </w:rPr>
        <w:t>у</w:t>
      </w:r>
      <w:r w:rsidRPr="00B0658A">
        <w:rPr>
          <w:rFonts w:ascii="Times New Roman" w:hAnsi="Times New Roman"/>
          <w:sz w:val="28"/>
          <w:szCs w:val="28"/>
        </w:rPr>
        <w:t>становить решением руководителя организации условия и критерии, определяющие персональную ответственность для заместителя руководителя организации, ответственного за вопросы, связанные с переходом на использование российского ПО</w:t>
      </w:r>
      <w:r w:rsidR="003C24BA" w:rsidRPr="00B0658A">
        <w:rPr>
          <w:rFonts w:ascii="Times New Roman" w:hAnsi="Times New Roman"/>
          <w:sz w:val="28"/>
          <w:szCs w:val="28"/>
        </w:rPr>
        <w:t xml:space="preserve"> на значимых объектах КИИ, </w:t>
      </w:r>
      <w:r w:rsidRPr="00B0658A">
        <w:rPr>
          <w:rFonts w:ascii="Times New Roman" w:hAnsi="Times New Roman"/>
          <w:sz w:val="28"/>
          <w:szCs w:val="28"/>
        </w:rPr>
        <w:t>за несвоевременную подготовку и утверждение Плана перехода организации на использование российского ПО</w:t>
      </w:r>
      <w:r w:rsidR="002E4650" w:rsidRPr="00B0658A">
        <w:rPr>
          <w:rFonts w:ascii="Times New Roman" w:hAnsi="Times New Roman"/>
          <w:sz w:val="28"/>
          <w:szCs w:val="28"/>
        </w:rPr>
        <w:t xml:space="preserve"> на значимых объектах КИИ</w:t>
      </w:r>
      <w:r w:rsidRPr="00B0658A">
        <w:rPr>
          <w:rFonts w:ascii="Times New Roman" w:hAnsi="Times New Roman"/>
          <w:sz w:val="28"/>
          <w:szCs w:val="28"/>
        </w:rPr>
        <w:t>, а также за недостижение показателей эффективности перехода на использование российского ПО</w:t>
      </w:r>
      <w:r w:rsidR="002E4650" w:rsidRPr="00B0658A">
        <w:rPr>
          <w:rFonts w:ascii="Times New Roman" w:hAnsi="Times New Roman"/>
          <w:sz w:val="28"/>
          <w:szCs w:val="28"/>
        </w:rPr>
        <w:t xml:space="preserve"> на значимых объектах КИИ</w:t>
      </w:r>
      <w:r w:rsidRPr="00B0658A">
        <w:rPr>
          <w:rFonts w:ascii="Times New Roman" w:hAnsi="Times New Roman"/>
          <w:sz w:val="28"/>
          <w:szCs w:val="28"/>
        </w:rPr>
        <w:t>, установленных в Плане перехода.</w:t>
      </w:r>
    </w:p>
    <w:p w14:paraId="05AEDD43" w14:textId="77777777" w:rsidR="00637866" w:rsidRPr="00B0658A" w:rsidRDefault="00637866" w:rsidP="00F57B1F">
      <w:pPr>
        <w:spacing w:after="0" w:line="240" w:lineRule="auto"/>
        <w:ind w:firstLine="720"/>
        <w:jc w:val="both"/>
        <w:rPr>
          <w:rFonts w:ascii="Times New Roman" w:hAnsi="Times New Roman"/>
          <w:sz w:val="28"/>
          <w:szCs w:val="24"/>
        </w:rPr>
      </w:pPr>
      <w:r w:rsidRPr="00B0658A">
        <w:rPr>
          <w:rFonts w:ascii="Times New Roman" w:hAnsi="Times New Roman"/>
          <w:sz w:val="28"/>
          <w:szCs w:val="24"/>
        </w:rPr>
        <w:t>16</w:t>
      </w:r>
      <w:r w:rsidR="00C0376C" w:rsidRPr="00B0658A">
        <w:rPr>
          <w:rFonts w:ascii="Times New Roman" w:hAnsi="Times New Roman"/>
          <w:sz w:val="28"/>
          <w:szCs w:val="24"/>
        </w:rPr>
        <w:t>1</w:t>
      </w:r>
      <w:r w:rsidRPr="00B0658A">
        <w:rPr>
          <w:rFonts w:ascii="Times New Roman" w:hAnsi="Times New Roman"/>
          <w:sz w:val="28"/>
          <w:szCs w:val="24"/>
        </w:rPr>
        <w:t>. Сведения об объемах и источниках финансовых ресурсов, планируемых для решения задач по переходу на использование российского ПО на значимых объектах КИИ рекомендуется формировать в виде отдельной таблицы.</w:t>
      </w:r>
    </w:p>
    <w:p w14:paraId="206AFDE7" w14:textId="77777777" w:rsidR="00637866" w:rsidRPr="00B0658A" w:rsidRDefault="00637866"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16</w:t>
      </w:r>
      <w:r w:rsidR="00C0376C" w:rsidRPr="00B0658A">
        <w:rPr>
          <w:rFonts w:ascii="Times New Roman" w:hAnsi="Times New Roman"/>
          <w:sz w:val="28"/>
          <w:szCs w:val="24"/>
        </w:rPr>
        <w:t>2</w:t>
      </w:r>
      <w:r w:rsidRPr="00B0658A">
        <w:rPr>
          <w:rFonts w:ascii="Times New Roman" w:hAnsi="Times New Roman"/>
          <w:sz w:val="28"/>
          <w:szCs w:val="24"/>
        </w:rPr>
        <w:t>. Сведения об объемах и источниках финансовых ресурсов рекомендуется устанавливать по годам в тыс. руб., с указанием двух знаков после запятой. Сведения об объемах и источниках финансовых ресурсов должны учитывать:</w:t>
      </w:r>
    </w:p>
    <w:p w14:paraId="439B40FD" w14:textId="1A0D904E" w:rsidR="00637866" w:rsidRPr="00B0658A" w:rsidRDefault="00637866"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устанавливаемую динамику показателей эффективности и соответствующих им значений индикаторов эффективности в отношении классов (типов) ПО;</w:t>
      </w:r>
    </w:p>
    <w:p w14:paraId="3618FAFC" w14:textId="57C9F23B" w:rsidR="00637866" w:rsidRPr="00B0658A" w:rsidRDefault="00637866"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необходимость реализации организационно-технических мероприятий по переходу на российского ПО в полном объеме и в запланированные сроки;</w:t>
      </w:r>
    </w:p>
    <w:p w14:paraId="77615D8D" w14:textId="193D897E" w:rsidR="00637866" w:rsidRPr="00B0658A" w:rsidRDefault="00637866" w:rsidP="00F57B1F">
      <w:pPr>
        <w:spacing w:after="0" w:line="240" w:lineRule="auto"/>
        <w:ind w:firstLine="720"/>
        <w:jc w:val="both"/>
        <w:rPr>
          <w:rFonts w:ascii="Times New Roman" w:hAnsi="Times New Roman"/>
          <w:sz w:val="28"/>
          <w:szCs w:val="24"/>
        </w:rPr>
      </w:pPr>
      <w:r w:rsidRPr="00B0658A">
        <w:rPr>
          <w:rFonts w:ascii="Times New Roman" w:hAnsi="Times New Roman"/>
          <w:sz w:val="28"/>
          <w:szCs w:val="24"/>
        </w:rPr>
        <w:t xml:space="preserve">динамику цен производителей ПО и поставщиков иных товаров, работ, услуг, связанных с </w:t>
      </w:r>
      <w:r w:rsidR="000803DD" w:rsidRPr="00B0658A">
        <w:rPr>
          <w:rFonts w:ascii="Times New Roman" w:hAnsi="Times New Roman"/>
          <w:sz w:val="28"/>
          <w:szCs w:val="24"/>
        </w:rPr>
        <w:t>ИКТ</w:t>
      </w:r>
      <w:r w:rsidRPr="00B0658A">
        <w:rPr>
          <w:rFonts w:ascii="Times New Roman" w:hAnsi="Times New Roman"/>
          <w:sz w:val="28"/>
          <w:szCs w:val="24"/>
        </w:rPr>
        <w:t>.</w:t>
      </w:r>
    </w:p>
    <w:p w14:paraId="6D4ED96A" w14:textId="77777777" w:rsidR="00637866" w:rsidRPr="00B0658A" w:rsidRDefault="00637866" w:rsidP="00F57B1F">
      <w:pPr>
        <w:spacing w:after="0" w:line="240" w:lineRule="auto"/>
        <w:ind w:firstLine="720"/>
        <w:jc w:val="both"/>
        <w:rPr>
          <w:rFonts w:ascii="Times New Roman" w:hAnsi="Times New Roman"/>
          <w:sz w:val="28"/>
          <w:szCs w:val="24"/>
        </w:rPr>
      </w:pPr>
      <w:r w:rsidRPr="00B0658A">
        <w:rPr>
          <w:rFonts w:ascii="Times New Roman" w:hAnsi="Times New Roman"/>
          <w:sz w:val="28"/>
          <w:szCs w:val="24"/>
        </w:rPr>
        <w:t>16</w:t>
      </w:r>
      <w:r w:rsidR="00C0376C" w:rsidRPr="00B0658A">
        <w:rPr>
          <w:rFonts w:ascii="Times New Roman" w:hAnsi="Times New Roman"/>
          <w:sz w:val="28"/>
          <w:szCs w:val="24"/>
        </w:rPr>
        <w:t>3</w:t>
      </w:r>
      <w:r w:rsidRPr="00B0658A">
        <w:rPr>
          <w:rFonts w:ascii="Times New Roman" w:hAnsi="Times New Roman"/>
          <w:sz w:val="28"/>
          <w:szCs w:val="24"/>
        </w:rPr>
        <w:t xml:space="preserve">. Детализированный план перехода на использование российского ПО на принадлежащих организации значимых объектах КИИ и показатели эффективности перехода на использование российского ПО </w:t>
      </w:r>
      <w:r w:rsidR="002E4650" w:rsidRPr="00B0658A">
        <w:rPr>
          <w:rFonts w:ascii="Times New Roman" w:hAnsi="Times New Roman"/>
          <w:sz w:val="28"/>
          <w:szCs w:val="24"/>
        </w:rPr>
        <w:t xml:space="preserve">на значимых объектах КИИ </w:t>
      </w:r>
      <w:r w:rsidRPr="00B0658A">
        <w:rPr>
          <w:rFonts w:ascii="Times New Roman" w:hAnsi="Times New Roman"/>
          <w:sz w:val="28"/>
          <w:szCs w:val="24"/>
        </w:rPr>
        <w:t xml:space="preserve">и соответствующие им значения индикаторов эффективности </w:t>
      </w:r>
      <w:r w:rsidR="009B3F4B" w:rsidRPr="00B0658A">
        <w:rPr>
          <w:rFonts w:ascii="Times New Roman" w:hAnsi="Times New Roman"/>
          <w:sz w:val="28"/>
          <w:szCs w:val="24"/>
        </w:rPr>
        <w:t xml:space="preserve">рекомендуется </w:t>
      </w:r>
      <w:r w:rsidRPr="00B0658A">
        <w:rPr>
          <w:rFonts w:ascii="Times New Roman" w:hAnsi="Times New Roman"/>
          <w:sz w:val="28"/>
          <w:szCs w:val="24"/>
        </w:rPr>
        <w:t>формир</w:t>
      </w:r>
      <w:r w:rsidR="009B3F4B" w:rsidRPr="00B0658A">
        <w:rPr>
          <w:rFonts w:ascii="Times New Roman" w:hAnsi="Times New Roman"/>
          <w:sz w:val="28"/>
          <w:szCs w:val="24"/>
        </w:rPr>
        <w:t>овать</w:t>
      </w:r>
      <w:r w:rsidRPr="00B0658A">
        <w:rPr>
          <w:rFonts w:ascii="Times New Roman" w:hAnsi="Times New Roman"/>
          <w:sz w:val="28"/>
          <w:szCs w:val="24"/>
        </w:rPr>
        <w:t xml:space="preserve"> в виде отдельной таблицы.</w:t>
      </w:r>
    </w:p>
    <w:p w14:paraId="04F7A6A1" w14:textId="77777777" w:rsidR="00637866" w:rsidRPr="00B0658A" w:rsidRDefault="00637866"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16</w:t>
      </w:r>
      <w:r w:rsidR="008F4C48" w:rsidRPr="00B0658A">
        <w:rPr>
          <w:rFonts w:ascii="Times New Roman" w:hAnsi="Times New Roman"/>
          <w:sz w:val="28"/>
          <w:szCs w:val="24"/>
        </w:rPr>
        <w:t>4</w:t>
      </w:r>
      <w:r w:rsidRPr="00B0658A">
        <w:rPr>
          <w:rFonts w:ascii="Times New Roman" w:hAnsi="Times New Roman"/>
          <w:sz w:val="28"/>
          <w:szCs w:val="24"/>
        </w:rPr>
        <w:t>. В детализированном плане для значимых объектов КИИ для каждого значимого объекта КИИ</w:t>
      </w:r>
      <w:r w:rsidR="008F4C48" w:rsidRPr="00B0658A">
        <w:rPr>
          <w:rFonts w:ascii="Times New Roman" w:hAnsi="Times New Roman"/>
          <w:sz w:val="28"/>
          <w:szCs w:val="24"/>
        </w:rPr>
        <w:t xml:space="preserve"> рекомендуется</w:t>
      </w:r>
      <w:r w:rsidRPr="00B0658A">
        <w:rPr>
          <w:rFonts w:ascii="Times New Roman" w:hAnsi="Times New Roman"/>
          <w:sz w:val="28"/>
          <w:szCs w:val="24"/>
        </w:rPr>
        <w:t>:</w:t>
      </w:r>
    </w:p>
    <w:p w14:paraId="2BC0305A" w14:textId="681A61A0" w:rsidR="00637866" w:rsidRPr="00B0658A" w:rsidRDefault="008F4C48"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сформировать</w:t>
      </w:r>
      <w:r w:rsidR="00637866" w:rsidRPr="00B0658A">
        <w:rPr>
          <w:rFonts w:ascii="Times New Roman" w:hAnsi="Times New Roman"/>
          <w:sz w:val="28"/>
          <w:szCs w:val="24"/>
        </w:rPr>
        <w:t xml:space="preserve"> план-график </w:t>
      </w:r>
      <w:r w:rsidR="0095686C" w:rsidRPr="00B0658A">
        <w:rPr>
          <w:rFonts w:ascii="Times New Roman" w:hAnsi="Times New Roman"/>
          <w:sz w:val="28"/>
          <w:szCs w:val="24"/>
        </w:rPr>
        <w:t>мероприятий</w:t>
      </w:r>
      <w:r w:rsidR="00637866" w:rsidRPr="00B0658A">
        <w:rPr>
          <w:rFonts w:ascii="Times New Roman" w:hAnsi="Times New Roman"/>
          <w:sz w:val="28"/>
          <w:szCs w:val="24"/>
        </w:rPr>
        <w:t xml:space="preserve"> по переводу значимого объекта КИИ на использование российского ПО и евразийского ПО с указанием наименования мероприятия, срока его реализации, ответственного работника, описания ожидаемого результата с учетом реализации организационно-технических мероприятий перехода на использование российского ПО;</w:t>
      </w:r>
    </w:p>
    <w:p w14:paraId="070BB993" w14:textId="29299A21" w:rsidR="00637866" w:rsidRPr="00B0658A" w:rsidRDefault="008F4C48"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lastRenderedPageBreak/>
        <w:t xml:space="preserve">определить </w:t>
      </w:r>
      <w:r w:rsidR="00637866" w:rsidRPr="00B0658A">
        <w:rPr>
          <w:rFonts w:ascii="Times New Roman" w:hAnsi="Times New Roman"/>
          <w:sz w:val="28"/>
          <w:szCs w:val="24"/>
        </w:rPr>
        <w:t>класс</w:t>
      </w:r>
      <w:r w:rsidRPr="00B0658A">
        <w:rPr>
          <w:rFonts w:ascii="Times New Roman" w:hAnsi="Times New Roman"/>
          <w:sz w:val="28"/>
          <w:szCs w:val="24"/>
        </w:rPr>
        <w:t>ы</w:t>
      </w:r>
      <w:r w:rsidR="00637866" w:rsidRPr="00B0658A">
        <w:rPr>
          <w:rFonts w:ascii="Times New Roman" w:hAnsi="Times New Roman"/>
          <w:sz w:val="28"/>
          <w:szCs w:val="24"/>
        </w:rPr>
        <w:t xml:space="preserve"> (тип</w:t>
      </w:r>
      <w:r w:rsidRPr="00B0658A">
        <w:rPr>
          <w:rFonts w:ascii="Times New Roman" w:hAnsi="Times New Roman"/>
          <w:sz w:val="28"/>
          <w:szCs w:val="24"/>
        </w:rPr>
        <w:t>ы</w:t>
      </w:r>
      <w:r w:rsidR="00637866" w:rsidRPr="00B0658A">
        <w:rPr>
          <w:rFonts w:ascii="Times New Roman" w:hAnsi="Times New Roman"/>
          <w:sz w:val="28"/>
          <w:szCs w:val="24"/>
        </w:rPr>
        <w:t>) ПО и переч</w:t>
      </w:r>
      <w:r w:rsidRPr="00B0658A">
        <w:rPr>
          <w:rFonts w:ascii="Times New Roman" w:hAnsi="Times New Roman"/>
          <w:sz w:val="28"/>
          <w:szCs w:val="24"/>
        </w:rPr>
        <w:t>е</w:t>
      </w:r>
      <w:r w:rsidR="00637866" w:rsidRPr="00B0658A">
        <w:rPr>
          <w:rFonts w:ascii="Times New Roman" w:hAnsi="Times New Roman"/>
          <w:sz w:val="28"/>
          <w:szCs w:val="24"/>
        </w:rPr>
        <w:t>н</w:t>
      </w:r>
      <w:r w:rsidRPr="00B0658A">
        <w:rPr>
          <w:rFonts w:ascii="Times New Roman" w:hAnsi="Times New Roman"/>
          <w:sz w:val="28"/>
          <w:szCs w:val="24"/>
        </w:rPr>
        <w:t>ь</w:t>
      </w:r>
      <w:r w:rsidR="00637866" w:rsidRPr="00B0658A">
        <w:rPr>
          <w:rFonts w:ascii="Times New Roman" w:hAnsi="Times New Roman"/>
          <w:sz w:val="28"/>
          <w:szCs w:val="24"/>
        </w:rPr>
        <w:t xml:space="preserve"> иностранного ПО, которое используется на значимом объекте КИИ и которое подлежит замещению на российское ПО и евразийское ПО до конца 2024 года;</w:t>
      </w:r>
    </w:p>
    <w:p w14:paraId="67DAFDD0" w14:textId="6DE28F80" w:rsidR="00637866" w:rsidRPr="00B0658A" w:rsidRDefault="00637866" w:rsidP="00F57B1F">
      <w:pPr>
        <w:spacing w:after="0" w:line="240" w:lineRule="auto"/>
        <w:ind w:firstLine="720"/>
        <w:jc w:val="both"/>
        <w:rPr>
          <w:rFonts w:ascii="Times New Roman" w:hAnsi="Times New Roman"/>
          <w:sz w:val="28"/>
          <w:szCs w:val="24"/>
        </w:rPr>
      </w:pPr>
      <w:r w:rsidRPr="00B0658A">
        <w:rPr>
          <w:rFonts w:ascii="Times New Roman" w:hAnsi="Times New Roman"/>
          <w:sz w:val="28"/>
          <w:szCs w:val="24"/>
        </w:rPr>
        <w:t>у</w:t>
      </w:r>
      <w:r w:rsidR="008F4C48" w:rsidRPr="00B0658A">
        <w:rPr>
          <w:rFonts w:ascii="Times New Roman" w:hAnsi="Times New Roman"/>
          <w:sz w:val="28"/>
          <w:szCs w:val="24"/>
        </w:rPr>
        <w:t>становить</w:t>
      </w:r>
      <w:r w:rsidRPr="00B0658A">
        <w:rPr>
          <w:rFonts w:ascii="Times New Roman" w:hAnsi="Times New Roman"/>
          <w:sz w:val="28"/>
          <w:szCs w:val="24"/>
        </w:rPr>
        <w:t xml:space="preserve"> по годам показател</w:t>
      </w:r>
      <w:r w:rsidR="008F4C48" w:rsidRPr="00B0658A">
        <w:rPr>
          <w:rFonts w:ascii="Times New Roman" w:hAnsi="Times New Roman"/>
          <w:sz w:val="28"/>
          <w:szCs w:val="24"/>
        </w:rPr>
        <w:t>и</w:t>
      </w:r>
      <w:r w:rsidRPr="00B0658A">
        <w:rPr>
          <w:rFonts w:ascii="Times New Roman" w:hAnsi="Times New Roman"/>
          <w:sz w:val="28"/>
          <w:szCs w:val="24"/>
        </w:rPr>
        <w:t xml:space="preserve"> эффективности и соответствующи</w:t>
      </w:r>
      <w:r w:rsidR="008F4C48" w:rsidRPr="00B0658A">
        <w:rPr>
          <w:rFonts w:ascii="Times New Roman" w:hAnsi="Times New Roman"/>
          <w:sz w:val="28"/>
          <w:szCs w:val="24"/>
        </w:rPr>
        <w:t>е</w:t>
      </w:r>
      <w:r w:rsidRPr="00B0658A">
        <w:rPr>
          <w:rFonts w:ascii="Times New Roman" w:hAnsi="Times New Roman"/>
          <w:sz w:val="28"/>
          <w:szCs w:val="24"/>
        </w:rPr>
        <w:t xml:space="preserve"> им значени</w:t>
      </w:r>
      <w:r w:rsidR="008F4C48" w:rsidRPr="00B0658A">
        <w:rPr>
          <w:rFonts w:ascii="Times New Roman" w:hAnsi="Times New Roman"/>
          <w:sz w:val="28"/>
          <w:szCs w:val="24"/>
        </w:rPr>
        <w:t>я</w:t>
      </w:r>
      <w:r w:rsidRPr="00B0658A">
        <w:rPr>
          <w:rFonts w:ascii="Times New Roman" w:hAnsi="Times New Roman"/>
          <w:sz w:val="28"/>
          <w:szCs w:val="24"/>
        </w:rPr>
        <w:t xml:space="preserve"> индикаторов эффективности для каждого используемого на значимом объекте КИИ класса (типа) ПО.</w:t>
      </w:r>
    </w:p>
    <w:p w14:paraId="5748045B" w14:textId="77777777" w:rsidR="008F4C48" w:rsidRPr="00B0658A" w:rsidRDefault="008F4C48"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 xml:space="preserve">165. Показатели эффективности и соответствующие им значения индикаторов эффективности перехода на использование российского ПО на значимых объектах КИИ рекомендуется устанавливать по годам в отношении каждого используемого на значимых объектах КИИ класса (типа) ПО в соответствии с приказом Министерства цифрового развития, связи и массовых коммуникаций Российской Федерации от 22 сентября 2020 г. </w:t>
      </w:r>
      <w:r w:rsidR="00592B14" w:rsidRPr="00B0658A">
        <w:rPr>
          <w:rFonts w:ascii="Times New Roman" w:hAnsi="Times New Roman"/>
          <w:sz w:val="28"/>
          <w:szCs w:val="24"/>
        </w:rPr>
        <w:t>№ </w:t>
      </w:r>
      <w:r w:rsidRPr="00B0658A">
        <w:rPr>
          <w:rFonts w:ascii="Times New Roman" w:hAnsi="Times New Roman"/>
          <w:sz w:val="28"/>
          <w:szCs w:val="24"/>
        </w:rPr>
        <w:t xml:space="preserve"> 486 «Об утверждении классификатора программ для электронных вычислительных машин и баз данных».</w:t>
      </w:r>
    </w:p>
    <w:p w14:paraId="00DBF134" w14:textId="77777777" w:rsidR="008F4C48" w:rsidRPr="00B0658A" w:rsidRDefault="008F4C48"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166. Показатели эффективности и соответствующие им значения индикаторов эффективности должны быть установлены с учетом требований законодательства Российской Федерации в сфере обеспечения информационной безопасности Российской Федерации, в сфере обеспечения технологической независимости и безопасности критической информационной инфраструктуры Российской Федерации.</w:t>
      </w:r>
    </w:p>
    <w:p w14:paraId="10C0F8B6" w14:textId="1592DC15" w:rsidR="008F4C48" w:rsidRPr="00B0658A" w:rsidRDefault="008F4C48"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167. Показатели эффективности и соответствующие им значения индикаторов эффективности рекомендуется устанавливать по годам нарастающим итогом, исходя из обеспечения динамики, достаточной для осуществления перехода на использование российского ПО и евразийского ПО на значимых объектах КИИ к 31 декабря 2024 г.</w:t>
      </w:r>
    </w:p>
    <w:p w14:paraId="56122706" w14:textId="77777777" w:rsidR="00637866" w:rsidRPr="00B0658A" w:rsidRDefault="00637866"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168. При установлении показателей эффективности и соответствующи</w:t>
      </w:r>
      <w:r w:rsidR="008F4C48" w:rsidRPr="00B0658A">
        <w:rPr>
          <w:rFonts w:ascii="Times New Roman" w:hAnsi="Times New Roman"/>
          <w:sz w:val="28"/>
          <w:szCs w:val="24"/>
        </w:rPr>
        <w:t>х</w:t>
      </w:r>
      <w:r w:rsidRPr="00B0658A">
        <w:rPr>
          <w:rFonts w:ascii="Times New Roman" w:hAnsi="Times New Roman"/>
          <w:sz w:val="28"/>
          <w:szCs w:val="24"/>
        </w:rPr>
        <w:t xml:space="preserve"> им значений индикаторов эффективности для классов (типов) ПО, используемого на принадлежащих организации значимых объектах КИИ, рекомендуется исходить из следующих условий:</w:t>
      </w:r>
    </w:p>
    <w:p w14:paraId="116FEC68" w14:textId="77777777" w:rsidR="00637866" w:rsidRPr="00B0658A" w:rsidRDefault="00637866"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 xml:space="preserve">достижение к концу 2022 г. доли использования российского </w:t>
      </w:r>
      <w:r w:rsidR="008F4C48" w:rsidRPr="00B0658A">
        <w:rPr>
          <w:rFonts w:ascii="Times New Roman" w:hAnsi="Times New Roman"/>
          <w:sz w:val="28"/>
          <w:szCs w:val="24"/>
        </w:rPr>
        <w:t xml:space="preserve">ПО </w:t>
      </w:r>
      <w:r w:rsidRPr="00B0658A">
        <w:rPr>
          <w:rFonts w:ascii="Times New Roman" w:hAnsi="Times New Roman"/>
          <w:sz w:val="28"/>
          <w:szCs w:val="24"/>
        </w:rPr>
        <w:t>и евразийского ПО на значимых объектах КИИ, превышающей не менее чем на 10% текущие показатели использования российского ПО и евразийского ПО на таких объектах;</w:t>
      </w:r>
    </w:p>
    <w:p w14:paraId="0DCD1E10" w14:textId="77777777" w:rsidR="00637866" w:rsidRPr="00B0658A" w:rsidRDefault="00637866"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 xml:space="preserve">достижение к концу 2023 г. доли использования российского </w:t>
      </w:r>
      <w:r w:rsidR="008F4C48" w:rsidRPr="00B0658A">
        <w:rPr>
          <w:rFonts w:ascii="Times New Roman" w:hAnsi="Times New Roman"/>
          <w:sz w:val="28"/>
          <w:szCs w:val="24"/>
        </w:rPr>
        <w:t xml:space="preserve">ПО </w:t>
      </w:r>
      <w:r w:rsidRPr="00B0658A">
        <w:rPr>
          <w:rFonts w:ascii="Times New Roman" w:hAnsi="Times New Roman"/>
          <w:sz w:val="28"/>
          <w:szCs w:val="24"/>
        </w:rPr>
        <w:t>и евразийского ПО на значимых объектах КИИ, превышающей не менее чем на 40% текущие показатели использования российского ПО и евразийского ПО на таких объектах;</w:t>
      </w:r>
    </w:p>
    <w:p w14:paraId="1106FBD8" w14:textId="77777777" w:rsidR="00637866" w:rsidRPr="00B0658A" w:rsidRDefault="00637866"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 xml:space="preserve">установление на 2024 г. и далее доли использования российского </w:t>
      </w:r>
      <w:r w:rsidR="008F4C48" w:rsidRPr="00B0658A">
        <w:rPr>
          <w:rFonts w:ascii="Times New Roman" w:hAnsi="Times New Roman"/>
          <w:sz w:val="28"/>
          <w:szCs w:val="24"/>
        </w:rPr>
        <w:t xml:space="preserve">ПО </w:t>
      </w:r>
      <w:r w:rsidRPr="00B0658A">
        <w:rPr>
          <w:rFonts w:ascii="Times New Roman" w:hAnsi="Times New Roman"/>
          <w:sz w:val="28"/>
          <w:szCs w:val="24"/>
        </w:rPr>
        <w:t>и евразийского ПО на значимых объектах КИИ на уровне 100%.</w:t>
      </w:r>
    </w:p>
    <w:p w14:paraId="53F85181" w14:textId="77777777" w:rsidR="00637866" w:rsidRPr="00B0658A" w:rsidRDefault="00637866"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169. После утверждения Плана перехода организации на использование российского ПО на принадлежащих ей значимых объектах КИИ копию утвержденного Плана перехода рекомендуется направить в Минцифры России.</w:t>
      </w:r>
    </w:p>
    <w:p w14:paraId="785B9900" w14:textId="77777777" w:rsidR="00637866" w:rsidRPr="00B0658A" w:rsidRDefault="00637866"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 xml:space="preserve">170.  При внесении изменений в утвержденный организацией План перехода на использование российского ПО на значимых объектах КИИ организации рекомендуется согласовать указанные изменения в порядке, предусмотренном </w:t>
      </w:r>
      <w:r w:rsidRPr="00B0658A">
        <w:rPr>
          <w:rFonts w:ascii="Times New Roman" w:hAnsi="Times New Roman"/>
          <w:sz w:val="28"/>
          <w:szCs w:val="24"/>
        </w:rPr>
        <w:lastRenderedPageBreak/>
        <w:t>настоящими методическими рекомендациями, при одновременном предоставлении обоснования необходимости внесения изменений.</w:t>
      </w:r>
    </w:p>
    <w:p w14:paraId="6D099EB7" w14:textId="77777777" w:rsidR="004E63D9" w:rsidRPr="00B0658A" w:rsidRDefault="00637866" w:rsidP="00F57B1F">
      <w:pPr>
        <w:spacing w:after="0" w:line="240" w:lineRule="auto"/>
        <w:ind w:firstLine="720"/>
        <w:jc w:val="both"/>
        <w:rPr>
          <w:rFonts w:ascii="Times New Roman" w:hAnsi="Times New Roman"/>
          <w:sz w:val="28"/>
          <w:szCs w:val="24"/>
        </w:rPr>
      </w:pPr>
      <w:r w:rsidRPr="00B0658A">
        <w:rPr>
          <w:rFonts w:ascii="Times New Roman" w:hAnsi="Times New Roman"/>
          <w:sz w:val="28"/>
          <w:szCs w:val="24"/>
        </w:rPr>
        <w:t>171. Не рекомендуется при формировании показателей эффективности перехода на использование российского ПО на значимых объектах КИИ и соответствующих им значений индикаторов эффективности, сведений об объемах и источниках финансовых ресурсов указывать отсылочные положения такие как «могут быть изменены по результатам тестирования», «могут быть изменены в случае отсутствия необходимого объема финансирования» и иные.</w:t>
      </w:r>
    </w:p>
    <w:p w14:paraId="251ACD4A" w14:textId="77777777" w:rsidR="00637866" w:rsidRPr="00B0658A" w:rsidRDefault="00637866" w:rsidP="00F57B1F">
      <w:pPr>
        <w:spacing w:after="0" w:line="240" w:lineRule="auto"/>
        <w:ind w:firstLine="720"/>
        <w:jc w:val="both"/>
        <w:rPr>
          <w:rFonts w:ascii="Times New Roman" w:hAnsi="Times New Roman"/>
          <w:sz w:val="28"/>
          <w:szCs w:val="24"/>
        </w:rPr>
      </w:pPr>
      <w:r w:rsidRPr="00B0658A">
        <w:rPr>
          <w:rFonts w:ascii="Times New Roman" w:hAnsi="Times New Roman"/>
          <w:sz w:val="28"/>
          <w:szCs w:val="24"/>
        </w:rPr>
        <w:t xml:space="preserve">172. Для целей мониторинга и контроля реализации Планов иных организаций по переходу на использование российского ПО </w:t>
      </w:r>
      <w:r w:rsidR="00FF0693" w:rsidRPr="00B0658A">
        <w:rPr>
          <w:rFonts w:ascii="Times New Roman" w:hAnsi="Times New Roman"/>
          <w:sz w:val="28"/>
          <w:szCs w:val="24"/>
        </w:rPr>
        <w:t xml:space="preserve">на значимых объектах КИИ </w:t>
      </w:r>
      <w:r w:rsidRPr="00B0658A">
        <w:rPr>
          <w:rFonts w:ascii="Times New Roman" w:hAnsi="Times New Roman"/>
          <w:sz w:val="28"/>
          <w:szCs w:val="24"/>
        </w:rPr>
        <w:t xml:space="preserve">рекомендуется </w:t>
      </w:r>
      <w:r w:rsidR="008F4C48" w:rsidRPr="00B0658A">
        <w:rPr>
          <w:rFonts w:ascii="Times New Roman" w:hAnsi="Times New Roman"/>
          <w:sz w:val="28"/>
          <w:szCs w:val="24"/>
        </w:rPr>
        <w:t>предоставлять</w:t>
      </w:r>
      <w:r w:rsidRPr="00B0658A">
        <w:rPr>
          <w:rFonts w:ascii="Times New Roman" w:hAnsi="Times New Roman"/>
          <w:sz w:val="28"/>
          <w:szCs w:val="24"/>
        </w:rPr>
        <w:t xml:space="preserve"> в Минцифры России соответствующи</w:t>
      </w:r>
      <w:r w:rsidR="008F4C48" w:rsidRPr="00B0658A">
        <w:rPr>
          <w:rFonts w:ascii="Times New Roman" w:hAnsi="Times New Roman"/>
          <w:sz w:val="28"/>
          <w:szCs w:val="24"/>
        </w:rPr>
        <w:t>е отчетные</w:t>
      </w:r>
      <w:r w:rsidRPr="00B0658A">
        <w:rPr>
          <w:rFonts w:ascii="Times New Roman" w:hAnsi="Times New Roman"/>
          <w:sz w:val="28"/>
          <w:szCs w:val="24"/>
        </w:rPr>
        <w:t xml:space="preserve"> сведени</w:t>
      </w:r>
      <w:r w:rsidR="008F4C48" w:rsidRPr="00B0658A">
        <w:rPr>
          <w:rFonts w:ascii="Times New Roman" w:hAnsi="Times New Roman"/>
          <w:sz w:val="28"/>
          <w:szCs w:val="24"/>
        </w:rPr>
        <w:t>я</w:t>
      </w:r>
      <w:r w:rsidRPr="00B0658A">
        <w:rPr>
          <w:rFonts w:ascii="Times New Roman" w:hAnsi="Times New Roman"/>
          <w:sz w:val="28"/>
          <w:szCs w:val="24"/>
        </w:rPr>
        <w:t xml:space="preserve">. Рекомендованные отчетные формы для представления сведений о ходе реализации Плана перехода на использование российского ПО на значимых объектах КИИ и достижении показателей эффективности перехода на использование российского ПО на значимых объектах КИИ приведены в Приложении </w:t>
      </w:r>
      <w:r w:rsidR="00592B14" w:rsidRPr="00B0658A">
        <w:rPr>
          <w:rFonts w:ascii="Times New Roman" w:hAnsi="Times New Roman"/>
          <w:sz w:val="28"/>
          <w:szCs w:val="24"/>
        </w:rPr>
        <w:t>№</w:t>
      </w:r>
      <w:r w:rsidRPr="00B0658A">
        <w:rPr>
          <w:rFonts w:ascii="Times New Roman" w:hAnsi="Times New Roman"/>
          <w:sz w:val="28"/>
          <w:szCs w:val="24"/>
        </w:rPr>
        <w:t>18 к настоящим методическим рекомендациям.</w:t>
      </w:r>
    </w:p>
    <w:p w14:paraId="10425EA3" w14:textId="77777777" w:rsidR="00747966" w:rsidRPr="00B0658A" w:rsidRDefault="00747966"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Рекомендуемые сроки предоставления в Минцифры России отчетных сведений согласно отчетным формам, приведенным в Приложении №18 к настоящим Методическим рекомендациям:</w:t>
      </w:r>
    </w:p>
    <w:p w14:paraId="5D354305" w14:textId="0B48D09A" w:rsidR="00747966" w:rsidRPr="00B0658A" w:rsidRDefault="00747966"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для полугодовых отчетов – в течение 1 месяца после даты завершения отчетного периода;</w:t>
      </w:r>
    </w:p>
    <w:p w14:paraId="5F58EC4F" w14:textId="3A57EF96" w:rsidR="00747966" w:rsidRPr="00B0658A" w:rsidRDefault="00747966"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для годовых отчетов – в течение 4-х месяцев после даты завершения отчетного периода.</w:t>
      </w:r>
    </w:p>
    <w:p w14:paraId="716E7634" w14:textId="77777777" w:rsidR="007A3FEE" w:rsidRPr="00B0658A" w:rsidRDefault="007A3FEE" w:rsidP="00F57B1F">
      <w:pPr>
        <w:spacing w:after="0" w:line="240" w:lineRule="auto"/>
        <w:rPr>
          <w:rFonts w:ascii="Times New Roman" w:hAnsi="Times New Roman"/>
        </w:rPr>
      </w:pPr>
    </w:p>
    <w:p w14:paraId="35B98B1F" w14:textId="77777777" w:rsidR="00191016" w:rsidRPr="00B0658A" w:rsidRDefault="00191016" w:rsidP="00F57B1F">
      <w:pPr>
        <w:pStyle w:val="11"/>
        <w:spacing w:before="0" w:after="0" w:line="240" w:lineRule="auto"/>
        <w:rPr>
          <w:rFonts w:cs="Times New Roman"/>
          <w:szCs w:val="28"/>
        </w:rPr>
      </w:pPr>
      <w:bookmarkStart w:id="12" w:name="_Toc116632267"/>
      <w:r w:rsidRPr="00B0658A">
        <w:rPr>
          <w:rFonts w:cs="Times New Roman"/>
          <w:szCs w:val="28"/>
        </w:rPr>
        <w:t>4. Заключительные положения</w:t>
      </w:r>
      <w:bookmarkEnd w:id="12"/>
    </w:p>
    <w:p w14:paraId="2A1B0333" w14:textId="77777777" w:rsidR="00191016" w:rsidRPr="00B0658A" w:rsidRDefault="00191016" w:rsidP="00F57B1F">
      <w:pPr>
        <w:spacing w:after="0" w:line="240" w:lineRule="auto"/>
        <w:ind w:firstLine="709"/>
        <w:jc w:val="both"/>
        <w:rPr>
          <w:rFonts w:ascii="Times New Roman" w:hAnsi="Times New Roman"/>
          <w:sz w:val="28"/>
          <w:szCs w:val="24"/>
        </w:rPr>
      </w:pPr>
    </w:p>
    <w:p w14:paraId="69567452" w14:textId="77777777" w:rsidR="002127BB" w:rsidRPr="00B0658A" w:rsidRDefault="00637866"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173</w:t>
      </w:r>
      <w:r w:rsidR="00191016" w:rsidRPr="00B0658A">
        <w:rPr>
          <w:rFonts w:ascii="Times New Roman" w:hAnsi="Times New Roman"/>
          <w:sz w:val="28"/>
          <w:szCs w:val="24"/>
        </w:rPr>
        <w:t>. При внесении изменений в настоящие методические рекомендации органам государственной власти и организациям рекомендуется осуществить актуализацию утвержденных Планов перехода на использование российского ПО, в том числе на принадлежащих им значимых объектах КИИ.</w:t>
      </w:r>
    </w:p>
    <w:p w14:paraId="34B961DB" w14:textId="77777777" w:rsidR="00264D29" w:rsidRPr="00B0658A" w:rsidRDefault="007A3FEE"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174. При установлении показателей эффективности перехода на использование российского ПО, в том числе на значимых объектах КИИ, и соответствующих им значений индикаторов эффективности рекомендуется использовать единицы измерения, однозначно характеризующие уровень использования российского ПО и евразийского ПО (для значимых объектах КИИ). Не рекомендуется в качестве расчетных единиц использовать такие количественные показатели как «доля расходов на закупку соответствующего класса (типа) ПО», «Доля информационных систем, в которых используется российское ПО», «доля приобретенных лицензий на российское ПО в общем объеме приобретенных (действующих) лицензий».</w:t>
      </w:r>
    </w:p>
    <w:p w14:paraId="46EBCFE5" w14:textId="77777777" w:rsidR="000413B0" w:rsidRPr="00B0658A" w:rsidRDefault="007A3FEE"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При установлении показателей эффективности перехода на использование российского ПО и соответствующих им значений индикаторов эффективности рекомендуется использование таких единиц измерения как</w:t>
      </w:r>
      <w:r w:rsidR="000413B0" w:rsidRPr="00B0658A">
        <w:rPr>
          <w:rFonts w:ascii="Times New Roman" w:hAnsi="Times New Roman"/>
          <w:sz w:val="28"/>
          <w:szCs w:val="24"/>
        </w:rPr>
        <w:t>:</w:t>
      </w:r>
    </w:p>
    <w:p w14:paraId="5F936D04" w14:textId="32292921" w:rsidR="000413B0" w:rsidRPr="00B0658A" w:rsidRDefault="007A3FEE"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«доля пользователей, использующих российское ПО, в общем числе пользователей, использующих ПО» (</w:t>
      </w:r>
      <w:r w:rsidR="00A0785D" w:rsidRPr="00B0658A">
        <w:rPr>
          <w:rFonts w:ascii="Times New Roman" w:hAnsi="Times New Roman"/>
          <w:sz w:val="28"/>
          <w:szCs w:val="24"/>
        </w:rPr>
        <w:t>например, данная единица измерений может применяться</w:t>
      </w:r>
      <w:r w:rsidRPr="00B0658A">
        <w:rPr>
          <w:rFonts w:ascii="Times New Roman" w:hAnsi="Times New Roman"/>
          <w:sz w:val="28"/>
          <w:szCs w:val="24"/>
        </w:rPr>
        <w:t xml:space="preserve"> для офисных приложений, </w:t>
      </w:r>
      <w:r w:rsidRPr="00B0658A">
        <w:rPr>
          <w:rFonts w:ascii="Times New Roman" w:hAnsi="Times New Roman"/>
          <w:sz w:val="28"/>
          <w:szCs w:val="24"/>
          <w:lang w:val="en-US"/>
        </w:rPr>
        <w:t>ERP</w:t>
      </w:r>
      <w:r w:rsidRPr="00B0658A">
        <w:rPr>
          <w:rFonts w:ascii="Times New Roman" w:hAnsi="Times New Roman"/>
          <w:sz w:val="28"/>
          <w:szCs w:val="24"/>
        </w:rPr>
        <w:t xml:space="preserve">, </w:t>
      </w:r>
      <w:r w:rsidRPr="00B0658A">
        <w:rPr>
          <w:rFonts w:ascii="Times New Roman" w:hAnsi="Times New Roman"/>
          <w:sz w:val="28"/>
          <w:szCs w:val="24"/>
          <w:lang w:val="en-US"/>
        </w:rPr>
        <w:t>CRM</w:t>
      </w:r>
      <w:r w:rsidRPr="00B0658A">
        <w:rPr>
          <w:rFonts w:ascii="Times New Roman" w:hAnsi="Times New Roman"/>
          <w:sz w:val="28"/>
          <w:szCs w:val="24"/>
        </w:rPr>
        <w:t xml:space="preserve">, </w:t>
      </w:r>
      <w:r w:rsidR="00264D29" w:rsidRPr="00B0658A">
        <w:rPr>
          <w:rFonts w:ascii="Times New Roman" w:hAnsi="Times New Roman"/>
          <w:sz w:val="28"/>
          <w:szCs w:val="24"/>
        </w:rPr>
        <w:t xml:space="preserve">средства антивирусной защиты, </w:t>
      </w:r>
      <w:r w:rsidRPr="00B0658A">
        <w:rPr>
          <w:rFonts w:ascii="Times New Roman" w:hAnsi="Times New Roman"/>
          <w:sz w:val="28"/>
          <w:szCs w:val="24"/>
        </w:rPr>
        <w:lastRenderedPageBreak/>
        <w:t>СЭД</w:t>
      </w:r>
      <w:r w:rsidR="00264D29" w:rsidRPr="00B0658A">
        <w:rPr>
          <w:rFonts w:ascii="Times New Roman" w:hAnsi="Times New Roman"/>
          <w:sz w:val="28"/>
          <w:szCs w:val="24"/>
        </w:rPr>
        <w:t>, пользовательские операционные системы, системы управления проектами</w:t>
      </w:r>
      <w:r w:rsidRPr="00B0658A">
        <w:rPr>
          <w:rFonts w:ascii="Times New Roman" w:hAnsi="Times New Roman"/>
          <w:sz w:val="28"/>
          <w:szCs w:val="24"/>
        </w:rPr>
        <w:t xml:space="preserve"> и т.д.)</w:t>
      </w:r>
      <w:r w:rsidR="000413B0" w:rsidRPr="00B0658A">
        <w:rPr>
          <w:rFonts w:ascii="Times New Roman" w:hAnsi="Times New Roman"/>
          <w:sz w:val="28"/>
          <w:szCs w:val="24"/>
        </w:rPr>
        <w:t>;</w:t>
      </w:r>
    </w:p>
    <w:p w14:paraId="35CA10B7" w14:textId="3036EE2E" w:rsidR="000413B0" w:rsidRPr="00B0658A" w:rsidRDefault="007A3FEE"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«доля радиоэлектронного оборудования, на котором применяется российское ПО, в общем количестве используемого радиоэлектронного оборудования, на котором применяется ПО соответствующего класса (типа)» (</w:t>
      </w:r>
      <w:r w:rsidR="00A0785D" w:rsidRPr="00B0658A">
        <w:rPr>
          <w:rFonts w:ascii="Times New Roman" w:hAnsi="Times New Roman"/>
          <w:sz w:val="28"/>
          <w:szCs w:val="24"/>
        </w:rPr>
        <w:t>например, данная единица измерений может применяться</w:t>
      </w:r>
      <w:r w:rsidRPr="00B0658A">
        <w:rPr>
          <w:rFonts w:ascii="Times New Roman" w:hAnsi="Times New Roman"/>
          <w:sz w:val="28"/>
          <w:szCs w:val="24"/>
        </w:rPr>
        <w:t xml:space="preserve"> для классов (типов) ПО, относящихся к встроенному (неотделимому от оборудования) ПО)</w:t>
      </w:r>
      <w:r w:rsidR="000413B0" w:rsidRPr="00B0658A">
        <w:rPr>
          <w:rFonts w:ascii="Times New Roman" w:hAnsi="Times New Roman"/>
          <w:sz w:val="28"/>
          <w:szCs w:val="24"/>
        </w:rPr>
        <w:t>;</w:t>
      </w:r>
    </w:p>
    <w:p w14:paraId="23F0034A" w14:textId="77777777" w:rsidR="000413B0" w:rsidRPr="00B0658A" w:rsidRDefault="007A3FEE"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 xml:space="preserve">«доля </w:t>
      </w:r>
      <w:r w:rsidR="00264D29" w:rsidRPr="00B0658A">
        <w:rPr>
          <w:rFonts w:ascii="Times New Roman" w:hAnsi="Times New Roman"/>
          <w:sz w:val="28"/>
          <w:szCs w:val="24"/>
        </w:rPr>
        <w:t>процессорных ядер (процессоров), используемых для функционирования российского ПО соответствующего класса (типа) в общем числе используемых процессорных ядер (процессоров)</w:t>
      </w:r>
      <w:r w:rsidRPr="00B0658A">
        <w:rPr>
          <w:rFonts w:ascii="Times New Roman" w:hAnsi="Times New Roman"/>
          <w:sz w:val="28"/>
          <w:szCs w:val="24"/>
        </w:rPr>
        <w:t>»</w:t>
      </w:r>
      <w:r w:rsidR="00264D29" w:rsidRPr="00B0658A">
        <w:rPr>
          <w:rFonts w:ascii="Times New Roman" w:hAnsi="Times New Roman"/>
          <w:sz w:val="28"/>
          <w:szCs w:val="24"/>
        </w:rPr>
        <w:t xml:space="preserve"> (</w:t>
      </w:r>
      <w:r w:rsidR="000413B0" w:rsidRPr="00B0658A">
        <w:rPr>
          <w:rFonts w:ascii="Times New Roman" w:hAnsi="Times New Roman"/>
          <w:sz w:val="28"/>
          <w:szCs w:val="24"/>
        </w:rPr>
        <w:t>например,</w:t>
      </w:r>
      <w:r w:rsidR="00264D29" w:rsidRPr="00B0658A">
        <w:rPr>
          <w:rFonts w:ascii="Times New Roman" w:hAnsi="Times New Roman"/>
          <w:sz w:val="28"/>
          <w:szCs w:val="24"/>
        </w:rPr>
        <w:t xml:space="preserve"> данная единица измерений может применяться для таких классов как средства виртуализации, серверное связующее программное обеспечение, СУБД и т.д.)</w:t>
      </w:r>
      <w:r w:rsidR="000413B0" w:rsidRPr="00B0658A">
        <w:rPr>
          <w:rFonts w:ascii="Times New Roman" w:hAnsi="Times New Roman"/>
          <w:sz w:val="28"/>
          <w:szCs w:val="24"/>
        </w:rPr>
        <w:t>;</w:t>
      </w:r>
    </w:p>
    <w:p w14:paraId="49BAFA4F" w14:textId="77777777" w:rsidR="000413B0" w:rsidRPr="00B0658A" w:rsidRDefault="00264D29"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«количество инсталляций (виртуальных машин) российского ПО в общем числе инсталляций (виртуальных машин) ПО» (</w:t>
      </w:r>
      <w:r w:rsidR="000413B0" w:rsidRPr="00B0658A">
        <w:rPr>
          <w:rFonts w:ascii="Times New Roman" w:hAnsi="Times New Roman"/>
          <w:sz w:val="28"/>
          <w:szCs w:val="24"/>
        </w:rPr>
        <w:t>например,</w:t>
      </w:r>
      <w:r w:rsidRPr="00B0658A">
        <w:rPr>
          <w:rFonts w:ascii="Times New Roman" w:hAnsi="Times New Roman"/>
          <w:sz w:val="28"/>
          <w:szCs w:val="24"/>
        </w:rPr>
        <w:t xml:space="preserve"> данная единица измерений может применяться для таких классов как драйверы, программы обслуживания, СУБД, серверные операционные системы, серверное ПО антивирусной защиты и т.д.)</w:t>
      </w:r>
      <w:r w:rsidR="000413B0" w:rsidRPr="00B0658A">
        <w:rPr>
          <w:rFonts w:ascii="Times New Roman" w:hAnsi="Times New Roman"/>
          <w:sz w:val="28"/>
          <w:szCs w:val="24"/>
        </w:rPr>
        <w:t>;</w:t>
      </w:r>
    </w:p>
    <w:p w14:paraId="25218D08" w14:textId="77777777" w:rsidR="000413B0" w:rsidRPr="00B0658A" w:rsidRDefault="00264D29"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w:t>
      </w:r>
      <w:r w:rsidR="000413B0" w:rsidRPr="00B0658A">
        <w:rPr>
          <w:rFonts w:ascii="Times New Roman" w:hAnsi="Times New Roman"/>
          <w:sz w:val="28"/>
          <w:szCs w:val="24"/>
        </w:rPr>
        <w:t>д</w:t>
      </w:r>
      <w:r w:rsidRPr="00B0658A">
        <w:rPr>
          <w:rFonts w:ascii="Times New Roman" w:hAnsi="Times New Roman"/>
          <w:sz w:val="28"/>
          <w:szCs w:val="24"/>
        </w:rPr>
        <w:t>оля объема обрабатываемой, хранимой (резервируемой) информации</w:t>
      </w:r>
      <w:r w:rsidR="00940E5B" w:rsidRPr="00B0658A">
        <w:rPr>
          <w:rFonts w:ascii="Times New Roman" w:hAnsi="Times New Roman"/>
          <w:sz w:val="28"/>
          <w:szCs w:val="24"/>
        </w:rPr>
        <w:t xml:space="preserve"> с использованием российского ПО в общем объеме обрабатываемой, хранимой (резервируемой) информации с использованием ПО</w:t>
      </w:r>
      <w:r w:rsidRPr="00B0658A">
        <w:rPr>
          <w:rFonts w:ascii="Times New Roman" w:hAnsi="Times New Roman"/>
          <w:sz w:val="28"/>
          <w:szCs w:val="24"/>
        </w:rPr>
        <w:t>»</w:t>
      </w:r>
      <w:r w:rsidR="00940E5B" w:rsidRPr="00B0658A">
        <w:rPr>
          <w:rFonts w:ascii="Times New Roman" w:hAnsi="Times New Roman"/>
          <w:sz w:val="28"/>
          <w:szCs w:val="24"/>
        </w:rPr>
        <w:t xml:space="preserve"> (например</w:t>
      </w:r>
      <w:r w:rsidR="00A0785D" w:rsidRPr="00B0658A">
        <w:rPr>
          <w:rFonts w:ascii="Times New Roman" w:hAnsi="Times New Roman"/>
          <w:sz w:val="28"/>
          <w:szCs w:val="24"/>
        </w:rPr>
        <w:t>,</w:t>
      </w:r>
      <w:r w:rsidR="00940E5B" w:rsidRPr="00B0658A">
        <w:rPr>
          <w:rFonts w:ascii="Times New Roman" w:hAnsi="Times New Roman"/>
          <w:sz w:val="28"/>
          <w:szCs w:val="24"/>
        </w:rPr>
        <w:t xml:space="preserve"> данная единица измерения может быть использована для ПО систем хранения данных, ПО систем резервного копирования данных</w:t>
      </w:r>
      <w:r w:rsidR="00F9504D" w:rsidRPr="00B0658A">
        <w:rPr>
          <w:rFonts w:ascii="Times New Roman" w:hAnsi="Times New Roman"/>
          <w:sz w:val="28"/>
          <w:szCs w:val="24"/>
        </w:rPr>
        <w:t xml:space="preserve"> и т.д.</w:t>
      </w:r>
      <w:r w:rsidR="00940E5B" w:rsidRPr="00B0658A">
        <w:rPr>
          <w:rFonts w:ascii="Times New Roman" w:hAnsi="Times New Roman"/>
          <w:sz w:val="28"/>
          <w:szCs w:val="24"/>
        </w:rPr>
        <w:t>).</w:t>
      </w:r>
    </w:p>
    <w:p w14:paraId="132C27B4" w14:textId="77777777" w:rsidR="007A3FEE" w:rsidRPr="00B0658A" w:rsidRDefault="00940E5B"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При этом могут быть использованы и иные единицы измерения уровня использования российского ПО.</w:t>
      </w:r>
      <w:r w:rsidR="00264D29" w:rsidRPr="00B0658A">
        <w:rPr>
          <w:rFonts w:ascii="Times New Roman" w:hAnsi="Times New Roman"/>
          <w:sz w:val="28"/>
          <w:szCs w:val="24"/>
        </w:rPr>
        <w:t xml:space="preserve"> </w:t>
      </w:r>
    </w:p>
    <w:p w14:paraId="1FFBD5EC" w14:textId="77777777" w:rsidR="00191016" w:rsidRPr="00B0658A" w:rsidRDefault="00637866"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17</w:t>
      </w:r>
      <w:r w:rsidR="007A3FEE" w:rsidRPr="00B0658A">
        <w:rPr>
          <w:rFonts w:ascii="Times New Roman" w:hAnsi="Times New Roman"/>
          <w:sz w:val="28"/>
          <w:szCs w:val="24"/>
        </w:rPr>
        <w:t>5</w:t>
      </w:r>
      <w:r w:rsidR="00191016" w:rsidRPr="00B0658A">
        <w:rPr>
          <w:rFonts w:ascii="Times New Roman" w:hAnsi="Times New Roman"/>
          <w:sz w:val="28"/>
          <w:szCs w:val="24"/>
        </w:rPr>
        <w:t xml:space="preserve">. Организации, указанные в разделе 3.5. настоящих методических рекомендаций вправе самостоятельно принять решение о разработке Планов перехода на использование российского ПО, направленных на всеобъемлющий переход на использование российского ПО для всех классов (типов) ПО, а не только </w:t>
      </w:r>
      <w:r w:rsidR="003B2588" w:rsidRPr="00B0658A">
        <w:rPr>
          <w:rFonts w:ascii="Times New Roman" w:hAnsi="Times New Roman"/>
          <w:sz w:val="28"/>
          <w:szCs w:val="24"/>
        </w:rPr>
        <w:t xml:space="preserve">переход на использование российского ПО </w:t>
      </w:r>
      <w:r w:rsidR="00191016" w:rsidRPr="00B0658A">
        <w:rPr>
          <w:rFonts w:ascii="Times New Roman" w:hAnsi="Times New Roman"/>
          <w:sz w:val="28"/>
          <w:szCs w:val="24"/>
        </w:rPr>
        <w:t xml:space="preserve">на принадлежащих им значимых объектах КИИ.  </w:t>
      </w:r>
    </w:p>
    <w:p w14:paraId="1B4A74AF" w14:textId="77777777" w:rsidR="00191016" w:rsidRPr="00B0658A" w:rsidRDefault="00637866"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17</w:t>
      </w:r>
      <w:r w:rsidR="007A3FEE" w:rsidRPr="00B0658A">
        <w:rPr>
          <w:rFonts w:ascii="Times New Roman" w:hAnsi="Times New Roman"/>
          <w:sz w:val="28"/>
          <w:szCs w:val="24"/>
        </w:rPr>
        <w:t>6</w:t>
      </w:r>
      <w:r w:rsidR="00191016" w:rsidRPr="00B0658A">
        <w:rPr>
          <w:rFonts w:ascii="Times New Roman" w:hAnsi="Times New Roman"/>
          <w:sz w:val="28"/>
          <w:szCs w:val="24"/>
        </w:rPr>
        <w:t>. Органам государственной власти и организациям после утверждения Планов перехода на использование российского ПО, в том числе на значимых объектах КИИ, в течение всего периода реализации указанных Планов перехода рекомендуется не осуществлять снижение запланированных и установленных в Планах перехода объемов финансовых ресурсов на переход на использование российского ПО.</w:t>
      </w:r>
    </w:p>
    <w:p w14:paraId="126B2F06" w14:textId="77777777" w:rsidR="005F7AEC" w:rsidRPr="00B0658A" w:rsidRDefault="00637866" w:rsidP="00F57B1F">
      <w:pPr>
        <w:spacing w:after="0" w:line="240" w:lineRule="auto"/>
        <w:ind w:firstLine="709"/>
        <w:jc w:val="both"/>
        <w:rPr>
          <w:rFonts w:ascii="Times New Roman" w:hAnsi="Times New Roman"/>
          <w:sz w:val="28"/>
          <w:szCs w:val="24"/>
        </w:rPr>
      </w:pPr>
      <w:r w:rsidRPr="00B0658A">
        <w:rPr>
          <w:rFonts w:ascii="Times New Roman" w:hAnsi="Times New Roman"/>
          <w:sz w:val="28"/>
          <w:szCs w:val="24"/>
        </w:rPr>
        <w:t>17</w:t>
      </w:r>
      <w:r w:rsidR="007A3FEE" w:rsidRPr="00B0658A">
        <w:rPr>
          <w:rFonts w:ascii="Times New Roman" w:hAnsi="Times New Roman"/>
          <w:sz w:val="28"/>
          <w:szCs w:val="24"/>
        </w:rPr>
        <w:t>7</w:t>
      </w:r>
      <w:r w:rsidR="005F7AEC" w:rsidRPr="00B0658A">
        <w:rPr>
          <w:rFonts w:ascii="Times New Roman" w:hAnsi="Times New Roman"/>
          <w:sz w:val="28"/>
          <w:szCs w:val="24"/>
        </w:rPr>
        <w:t>. При необходимости органы государственной власти и организации могут обратиться за консультациями и (или) разъяснениями в Министерство цифрового развития, связи и массовых коммуникаций Российской Федерации относительно применения настоящих методических рекомендаций и (или) относительно подготовки Планов перехода на использование российского ПО.</w:t>
      </w:r>
    </w:p>
    <w:p w14:paraId="34F7BDAA" w14:textId="77777777" w:rsidR="00E13018" w:rsidRPr="00B0658A" w:rsidRDefault="00E13018" w:rsidP="00064E36">
      <w:pPr>
        <w:spacing w:before="120" w:after="0" w:line="240" w:lineRule="auto"/>
        <w:ind w:firstLine="709"/>
        <w:contextualSpacing/>
        <w:jc w:val="both"/>
        <w:rPr>
          <w:rFonts w:ascii="Times New Roman" w:hAnsi="Times New Roman"/>
          <w:sz w:val="28"/>
          <w:szCs w:val="24"/>
        </w:rPr>
        <w:sectPr w:rsidR="00E13018" w:rsidRPr="00B0658A" w:rsidSect="00A42F52">
          <w:headerReference w:type="default" r:id="rId8"/>
          <w:pgSz w:w="11906" w:h="16838"/>
          <w:pgMar w:top="709" w:right="566" w:bottom="1440" w:left="1133" w:header="0" w:footer="0" w:gutter="0"/>
          <w:cols w:space="720"/>
          <w:noEndnote/>
          <w:titlePg/>
          <w:docGrid w:linePitch="299"/>
        </w:sectPr>
      </w:pPr>
    </w:p>
    <w:p w14:paraId="1F33FD59" w14:textId="2B2E5F4E" w:rsidR="005076FA" w:rsidRPr="00B0658A" w:rsidRDefault="005076FA" w:rsidP="005076FA">
      <w:pPr>
        <w:pStyle w:val="11"/>
        <w:spacing w:before="120" w:after="0" w:line="240" w:lineRule="auto"/>
        <w:jc w:val="right"/>
        <w:rPr>
          <w:rFonts w:cs="Times New Roman"/>
          <w:szCs w:val="28"/>
        </w:rPr>
      </w:pPr>
      <w:bookmarkStart w:id="13" w:name="_Toc116390894"/>
      <w:bookmarkStart w:id="14" w:name="_Toc116632268"/>
      <w:r w:rsidRPr="00B0658A">
        <w:rPr>
          <w:rFonts w:cs="Times New Roman"/>
          <w:szCs w:val="28"/>
        </w:rPr>
        <w:lastRenderedPageBreak/>
        <w:t>Приложение № 1</w:t>
      </w:r>
      <w:r w:rsidRPr="00B0658A">
        <w:rPr>
          <w:rFonts w:cs="Times New Roman"/>
          <w:szCs w:val="28"/>
        </w:rPr>
        <w:br/>
        <w:t>Рекомендованная форма плана перехода органа государственной власти или государственного внебюджетного фонда на использование российского ПО</w:t>
      </w:r>
      <w:bookmarkEnd w:id="13"/>
      <w:bookmarkEnd w:id="14"/>
    </w:p>
    <w:p w14:paraId="288B09F6" w14:textId="77777777" w:rsidR="005076FA" w:rsidRPr="00B0658A" w:rsidRDefault="005076FA" w:rsidP="005076FA">
      <w:pPr>
        <w:pStyle w:val="ConsPlusNormal"/>
        <w:spacing w:before="120"/>
        <w:jc w:val="both"/>
        <w:rPr>
          <w:sz w:val="28"/>
        </w:rPr>
      </w:pPr>
      <w:bookmarkStart w:id="15" w:name="Par197"/>
      <w:bookmarkEnd w:id="15"/>
    </w:p>
    <w:p w14:paraId="7909F8E8" w14:textId="77777777" w:rsidR="008319FB" w:rsidRPr="00B0658A" w:rsidRDefault="008319FB" w:rsidP="008319FB">
      <w:pPr>
        <w:pStyle w:val="ConsPlusNormal"/>
        <w:spacing w:before="120"/>
        <w:jc w:val="center"/>
        <w:rPr>
          <w:sz w:val="32"/>
        </w:rPr>
      </w:pPr>
      <w:r w:rsidRPr="00B0658A">
        <w:rPr>
          <w:sz w:val="32"/>
        </w:rPr>
        <w:t xml:space="preserve">План перехода ______________ (полное наименование </w:t>
      </w:r>
      <w:r w:rsidRPr="00B0658A">
        <w:rPr>
          <w:sz w:val="32"/>
          <w:szCs w:val="28"/>
        </w:rPr>
        <w:t xml:space="preserve">органа государственной власти или государственного внебюджетного фонда) на использование российского </w:t>
      </w:r>
      <w:r w:rsidR="00FC1F5C" w:rsidRPr="00B0658A">
        <w:rPr>
          <w:sz w:val="32"/>
        </w:rPr>
        <w:t>ПО</w:t>
      </w:r>
      <w:r w:rsidRPr="00B0658A">
        <w:rPr>
          <w:sz w:val="32"/>
          <w:szCs w:val="28"/>
        </w:rPr>
        <w:t xml:space="preserve"> </w:t>
      </w:r>
      <w:r w:rsidRPr="00B0658A">
        <w:rPr>
          <w:sz w:val="32"/>
        </w:rPr>
        <w:t>на период 2022-2030 годы</w:t>
      </w:r>
    </w:p>
    <w:p w14:paraId="0E9ED49F" w14:textId="77777777" w:rsidR="008319FB" w:rsidRPr="00B0658A" w:rsidRDefault="008319FB" w:rsidP="008319FB">
      <w:pPr>
        <w:pStyle w:val="ConsPlusNormal"/>
        <w:spacing w:before="120"/>
        <w:jc w:val="center"/>
        <w:rPr>
          <w:sz w:val="28"/>
        </w:rPr>
      </w:pPr>
    </w:p>
    <w:p w14:paraId="7E4F8072" w14:textId="77777777" w:rsidR="008319FB" w:rsidRPr="00B0658A" w:rsidRDefault="008319FB" w:rsidP="008319FB">
      <w:pPr>
        <w:pStyle w:val="ConsPlusNormal"/>
        <w:spacing w:before="120"/>
        <w:jc w:val="both"/>
      </w:pPr>
      <w:r w:rsidRPr="00B0658A">
        <w:rPr>
          <w:sz w:val="28"/>
        </w:rPr>
        <w:t xml:space="preserve">Раздел 1. «Организационно-технические мероприятия по переходу на использование российского </w:t>
      </w:r>
      <w:r w:rsidR="00FC1F5C" w:rsidRPr="00B0658A">
        <w:rPr>
          <w:sz w:val="28"/>
        </w:rPr>
        <w:t>ПО</w:t>
      </w:r>
      <w:r w:rsidRPr="00B0658A">
        <w:rPr>
          <w:sz w:val="28"/>
        </w:rPr>
        <w:t>»</w:t>
      </w:r>
    </w:p>
    <w:tbl>
      <w:tblPr>
        <w:tblW w:w="5000" w:type="pct"/>
        <w:tblCellMar>
          <w:top w:w="102" w:type="dxa"/>
          <w:left w:w="62" w:type="dxa"/>
          <w:bottom w:w="102" w:type="dxa"/>
          <w:right w:w="62" w:type="dxa"/>
        </w:tblCellMar>
        <w:tblLook w:val="0000" w:firstRow="0" w:lastRow="0" w:firstColumn="0" w:lastColumn="0" w:noHBand="0" w:noVBand="0"/>
      </w:tblPr>
      <w:tblGrid>
        <w:gridCol w:w="568"/>
        <w:gridCol w:w="2312"/>
        <w:gridCol w:w="3160"/>
        <w:gridCol w:w="3313"/>
        <w:gridCol w:w="1735"/>
        <w:gridCol w:w="2856"/>
      </w:tblGrid>
      <w:tr w:rsidR="00F52FED" w:rsidRPr="00B0658A" w14:paraId="7DE9AD4B" w14:textId="77777777" w:rsidTr="00F57B1F">
        <w:trPr>
          <w:tblHeader/>
        </w:trPr>
        <w:tc>
          <w:tcPr>
            <w:tcW w:w="204" w:type="pct"/>
            <w:tcBorders>
              <w:top w:val="single" w:sz="4" w:space="0" w:color="auto"/>
              <w:left w:val="single" w:sz="4" w:space="0" w:color="auto"/>
              <w:bottom w:val="single" w:sz="4" w:space="0" w:color="auto"/>
              <w:right w:val="single" w:sz="4" w:space="0" w:color="auto"/>
            </w:tcBorders>
            <w:shd w:val="clear" w:color="auto" w:fill="E7E6E6" w:themeFill="background2"/>
          </w:tcPr>
          <w:p w14:paraId="4AFF8774" w14:textId="77777777" w:rsidR="008319FB" w:rsidRPr="00B0658A" w:rsidRDefault="008319FB" w:rsidP="00B0658A">
            <w:pPr>
              <w:pStyle w:val="ConsPlusNormal"/>
              <w:jc w:val="center"/>
            </w:pPr>
            <w:r w:rsidRPr="00B0658A">
              <w:t>N п.п.</w:t>
            </w:r>
          </w:p>
        </w:tc>
        <w:tc>
          <w:tcPr>
            <w:tcW w:w="829" w:type="pct"/>
            <w:tcBorders>
              <w:top w:val="single" w:sz="4" w:space="0" w:color="auto"/>
              <w:left w:val="single" w:sz="4" w:space="0" w:color="auto"/>
              <w:bottom w:val="single" w:sz="4" w:space="0" w:color="auto"/>
              <w:right w:val="single" w:sz="4" w:space="0" w:color="auto"/>
            </w:tcBorders>
            <w:shd w:val="clear" w:color="auto" w:fill="E7E6E6" w:themeFill="background2"/>
          </w:tcPr>
          <w:p w14:paraId="47FC58AA" w14:textId="77777777" w:rsidR="008319FB" w:rsidRPr="00B0658A" w:rsidRDefault="008319FB" w:rsidP="00B0658A">
            <w:pPr>
              <w:pStyle w:val="ConsPlusNormal"/>
              <w:jc w:val="center"/>
            </w:pPr>
            <w:r w:rsidRPr="00B0658A">
              <w:t>Наименование мероприятия</w:t>
            </w:r>
          </w:p>
        </w:tc>
        <w:tc>
          <w:tcPr>
            <w:tcW w:w="1133" w:type="pct"/>
            <w:tcBorders>
              <w:top w:val="single" w:sz="4" w:space="0" w:color="auto"/>
              <w:left w:val="single" w:sz="4" w:space="0" w:color="auto"/>
              <w:bottom w:val="single" w:sz="4" w:space="0" w:color="auto"/>
              <w:right w:val="single" w:sz="4" w:space="0" w:color="auto"/>
            </w:tcBorders>
            <w:shd w:val="clear" w:color="auto" w:fill="E7E6E6" w:themeFill="background2"/>
          </w:tcPr>
          <w:p w14:paraId="36E23E56" w14:textId="77777777" w:rsidR="008319FB" w:rsidRPr="00B0658A" w:rsidRDefault="008319FB" w:rsidP="00B0658A">
            <w:pPr>
              <w:pStyle w:val="ConsPlusNormal"/>
              <w:jc w:val="center"/>
            </w:pPr>
            <w:r w:rsidRPr="00B0658A">
              <w:t>Краткое описание состава и содержания запланированного мероприятия</w:t>
            </w:r>
          </w:p>
        </w:tc>
        <w:tc>
          <w:tcPr>
            <w:tcW w:w="1188" w:type="pct"/>
            <w:tcBorders>
              <w:top w:val="single" w:sz="4" w:space="0" w:color="auto"/>
              <w:left w:val="single" w:sz="4" w:space="0" w:color="auto"/>
              <w:bottom w:val="single" w:sz="4" w:space="0" w:color="auto"/>
              <w:right w:val="single" w:sz="4" w:space="0" w:color="auto"/>
            </w:tcBorders>
            <w:shd w:val="clear" w:color="auto" w:fill="E7E6E6" w:themeFill="background2"/>
          </w:tcPr>
          <w:p w14:paraId="207E3526" w14:textId="77777777" w:rsidR="008319FB" w:rsidRPr="00B0658A" w:rsidRDefault="008319FB" w:rsidP="00B0658A">
            <w:pPr>
              <w:pStyle w:val="ConsPlusNormal"/>
              <w:jc w:val="center"/>
            </w:pPr>
            <w:r w:rsidRPr="00B0658A">
              <w:t>Наименование ответственного исполнителя/ ответственного структурного подразделения</w:t>
            </w:r>
          </w:p>
        </w:tc>
        <w:tc>
          <w:tcPr>
            <w:tcW w:w="622" w:type="pct"/>
            <w:tcBorders>
              <w:top w:val="single" w:sz="4" w:space="0" w:color="auto"/>
              <w:left w:val="single" w:sz="4" w:space="0" w:color="auto"/>
              <w:bottom w:val="single" w:sz="4" w:space="0" w:color="auto"/>
              <w:right w:val="single" w:sz="4" w:space="0" w:color="auto"/>
            </w:tcBorders>
            <w:shd w:val="clear" w:color="auto" w:fill="E7E6E6" w:themeFill="background2"/>
          </w:tcPr>
          <w:p w14:paraId="24C9A65B" w14:textId="77777777" w:rsidR="008319FB" w:rsidRPr="00B0658A" w:rsidRDefault="008319FB" w:rsidP="00B0658A">
            <w:pPr>
              <w:pStyle w:val="ConsPlusNormal"/>
              <w:jc w:val="center"/>
            </w:pPr>
            <w:r w:rsidRPr="00B0658A">
              <w:t>Срок /периодичность выполнения</w:t>
            </w:r>
          </w:p>
        </w:tc>
        <w:tc>
          <w:tcPr>
            <w:tcW w:w="1024" w:type="pct"/>
            <w:tcBorders>
              <w:top w:val="single" w:sz="4" w:space="0" w:color="auto"/>
              <w:left w:val="single" w:sz="4" w:space="0" w:color="auto"/>
              <w:bottom w:val="single" w:sz="4" w:space="0" w:color="auto"/>
              <w:right w:val="single" w:sz="4" w:space="0" w:color="auto"/>
            </w:tcBorders>
            <w:shd w:val="clear" w:color="auto" w:fill="E7E6E6" w:themeFill="background2"/>
          </w:tcPr>
          <w:p w14:paraId="66FFC9B2" w14:textId="77777777" w:rsidR="008319FB" w:rsidRPr="00B0658A" w:rsidRDefault="008319FB" w:rsidP="00B0658A">
            <w:pPr>
              <w:pStyle w:val="ConsPlusNormal"/>
              <w:jc w:val="center"/>
            </w:pPr>
            <w:r w:rsidRPr="00B0658A">
              <w:t>Ожидаемый результат</w:t>
            </w:r>
          </w:p>
        </w:tc>
      </w:tr>
      <w:tr w:rsidR="00F52FED" w:rsidRPr="00B0658A" w14:paraId="7E7CDEEB" w14:textId="77777777" w:rsidTr="00AA11F5">
        <w:tc>
          <w:tcPr>
            <w:tcW w:w="5000" w:type="pct"/>
            <w:gridSpan w:val="6"/>
            <w:tcBorders>
              <w:top w:val="single" w:sz="4" w:space="0" w:color="auto"/>
              <w:left w:val="single" w:sz="4" w:space="0" w:color="auto"/>
              <w:bottom w:val="single" w:sz="4" w:space="0" w:color="auto"/>
              <w:right w:val="single" w:sz="4" w:space="0" w:color="auto"/>
            </w:tcBorders>
          </w:tcPr>
          <w:p w14:paraId="08AA0B36" w14:textId="77777777" w:rsidR="008319FB" w:rsidRPr="00B0658A" w:rsidRDefault="008319FB" w:rsidP="00B0658A">
            <w:pPr>
              <w:pStyle w:val="ConsPlusNormal"/>
              <w:numPr>
                <w:ilvl w:val="0"/>
                <w:numId w:val="7"/>
              </w:numPr>
              <w:ind w:left="357" w:hanging="357"/>
            </w:pPr>
            <w:r w:rsidRPr="00B0658A">
              <w:t>Организационные мероприятия, направленные на подготовку к переходу на использование российского ПО</w:t>
            </w:r>
          </w:p>
        </w:tc>
      </w:tr>
      <w:tr w:rsidR="00F52FED" w:rsidRPr="00B0658A" w14:paraId="238FF200" w14:textId="77777777" w:rsidTr="00AA11F5">
        <w:tc>
          <w:tcPr>
            <w:tcW w:w="204" w:type="pct"/>
            <w:tcBorders>
              <w:top w:val="single" w:sz="4" w:space="0" w:color="auto"/>
              <w:left w:val="single" w:sz="4" w:space="0" w:color="auto"/>
              <w:bottom w:val="single" w:sz="4" w:space="0" w:color="auto"/>
              <w:right w:val="single" w:sz="4" w:space="0" w:color="auto"/>
            </w:tcBorders>
          </w:tcPr>
          <w:p w14:paraId="1780E871" w14:textId="77777777" w:rsidR="008319FB" w:rsidRPr="00B0658A" w:rsidRDefault="008319FB" w:rsidP="00B0658A">
            <w:pPr>
              <w:pStyle w:val="ConsPlusNormal"/>
            </w:pPr>
          </w:p>
        </w:tc>
        <w:tc>
          <w:tcPr>
            <w:tcW w:w="829" w:type="pct"/>
            <w:tcBorders>
              <w:top w:val="single" w:sz="4" w:space="0" w:color="auto"/>
              <w:left w:val="single" w:sz="4" w:space="0" w:color="auto"/>
              <w:bottom w:val="single" w:sz="4" w:space="0" w:color="auto"/>
              <w:right w:val="single" w:sz="4" w:space="0" w:color="auto"/>
            </w:tcBorders>
          </w:tcPr>
          <w:p w14:paraId="4761EF52" w14:textId="77777777" w:rsidR="008319FB" w:rsidRPr="00B0658A" w:rsidRDefault="008319FB" w:rsidP="00B0658A">
            <w:pPr>
              <w:pStyle w:val="ConsPlusNormal"/>
            </w:pPr>
          </w:p>
        </w:tc>
        <w:tc>
          <w:tcPr>
            <w:tcW w:w="1133" w:type="pct"/>
            <w:tcBorders>
              <w:top w:val="single" w:sz="4" w:space="0" w:color="auto"/>
              <w:left w:val="single" w:sz="4" w:space="0" w:color="auto"/>
              <w:bottom w:val="single" w:sz="4" w:space="0" w:color="auto"/>
              <w:right w:val="single" w:sz="4" w:space="0" w:color="auto"/>
            </w:tcBorders>
          </w:tcPr>
          <w:p w14:paraId="13270671" w14:textId="77777777" w:rsidR="008319FB" w:rsidRPr="00B0658A" w:rsidRDefault="008319FB" w:rsidP="00B0658A">
            <w:pPr>
              <w:pStyle w:val="ConsPlusNormal"/>
            </w:pPr>
          </w:p>
        </w:tc>
        <w:tc>
          <w:tcPr>
            <w:tcW w:w="1188" w:type="pct"/>
            <w:tcBorders>
              <w:top w:val="single" w:sz="4" w:space="0" w:color="auto"/>
              <w:left w:val="single" w:sz="4" w:space="0" w:color="auto"/>
              <w:bottom w:val="single" w:sz="4" w:space="0" w:color="auto"/>
              <w:right w:val="single" w:sz="4" w:space="0" w:color="auto"/>
            </w:tcBorders>
          </w:tcPr>
          <w:p w14:paraId="5B2ED4DF" w14:textId="77777777" w:rsidR="008319FB" w:rsidRPr="00B0658A" w:rsidRDefault="008319FB" w:rsidP="00B0658A">
            <w:pPr>
              <w:pStyle w:val="ConsPlusNormal"/>
            </w:pPr>
          </w:p>
        </w:tc>
        <w:tc>
          <w:tcPr>
            <w:tcW w:w="622" w:type="pct"/>
            <w:tcBorders>
              <w:top w:val="single" w:sz="4" w:space="0" w:color="auto"/>
              <w:left w:val="single" w:sz="4" w:space="0" w:color="auto"/>
              <w:bottom w:val="single" w:sz="4" w:space="0" w:color="auto"/>
              <w:right w:val="single" w:sz="4" w:space="0" w:color="auto"/>
            </w:tcBorders>
          </w:tcPr>
          <w:p w14:paraId="2EA95537" w14:textId="77777777" w:rsidR="008319FB" w:rsidRPr="00B0658A" w:rsidRDefault="008319FB" w:rsidP="00B0658A">
            <w:pPr>
              <w:pStyle w:val="ConsPlusNormal"/>
            </w:pPr>
          </w:p>
        </w:tc>
        <w:tc>
          <w:tcPr>
            <w:tcW w:w="1024" w:type="pct"/>
            <w:tcBorders>
              <w:top w:val="single" w:sz="4" w:space="0" w:color="auto"/>
              <w:left w:val="single" w:sz="4" w:space="0" w:color="auto"/>
              <w:bottom w:val="single" w:sz="4" w:space="0" w:color="auto"/>
              <w:right w:val="single" w:sz="4" w:space="0" w:color="auto"/>
            </w:tcBorders>
          </w:tcPr>
          <w:p w14:paraId="3136EF88" w14:textId="77777777" w:rsidR="008319FB" w:rsidRPr="00B0658A" w:rsidRDefault="008319FB" w:rsidP="00B0658A">
            <w:pPr>
              <w:pStyle w:val="ConsPlusNormal"/>
            </w:pPr>
          </w:p>
        </w:tc>
      </w:tr>
      <w:tr w:rsidR="00F52FED" w:rsidRPr="00B0658A" w14:paraId="65912190" w14:textId="77777777" w:rsidTr="00AA11F5">
        <w:tc>
          <w:tcPr>
            <w:tcW w:w="204" w:type="pct"/>
            <w:tcBorders>
              <w:top w:val="single" w:sz="4" w:space="0" w:color="auto"/>
              <w:left w:val="single" w:sz="4" w:space="0" w:color="auto"/>
              <w:bottom w:val="single" w:sz="4" w:space="0" w:color="auto"/>
              <w:right w:val="single" w:sz="4" w:space="0" w:color="auto"/>
            </w:tcBorders>
          </w:tcPr>
          <w:p w14:paraId="6443A950" w14:textId="77777777" w:rsidR="008319FB" w:rsidRPr="00B0658A" w:rsidRDefault="008319FB" w:rsidP="00B0658A">
            <w:pPr>
              <w:pStyle w:val="ConsPlusNormal"/>
            </w:pPr>
          </w:p>
        </w:tc>
        <w:tc>
          <w:tcPr>
            <w:tcW w:w="829" w:type="pct"/>
            <w:tcBorders>
              <w:top w:val="single" w:sz="4" w:space="0" w:color="auto"/>
              <w:left w:val="single" w:sz="4" w:space="0" w:color="auto"/>
              <w:bottom w:val="single" w:sz="4" w:space="0" w:color="auto"/>
              <w:right w:val="single" w:sz="4" w:space="0" w:color="auto"/>
            </w:tcBorders>
          </w:tcPr>
          <w:p w14:paraId="12C34E90" w14:textId="77777777" w:rsidR="008319FB" w:rsidRPr="00B0658A" w:rsidRDefault="008319FB" w:rsidP="00B0658A">
            <w:pPr>
              <w:pStyle w:val="ConsPlusNormal"/>
            </w:pPr>
          </w:p>
        </w:tc>
        <w:tc>
          <w:tcPr>
            <w:tcW w:w="1133" w:type="pct"/>
            <w:tcBorders>
              <w:top w:val="single" w:sz="4" w:space="0" w:color="auto"/>
              <w:left w:val="single" w:sz="4" w:space="0" w:color="auto"/>
              <w:bottom w:val="single" w:sz="4" w:space="0" w:color="auto"/>
              <w:right w:val="single" w:sz="4" w:space="0" w:color="auto"/>
            </w:tcBorders>
          </w:tcPr>
          <w:p w14:paraId="69A99E63" w14:textId="77777777" w:rsidR="008319FB" w:rsidRPr="00B0658A" w:rsidRDefault="008319FB" w:rsidP="00B0658A">
            <w:pPr>
              <w:pStyle w:val="ConsPlusNormal"/>
            </w:pPr>
          </w:p>
        </w:tc>
        <w:tc>
          <w:tcPr>
            <w:tcW w:w="1188" w:type="pct"/>
            <w:tcBorders>
              <w:top w:val="single" w:sz="4" w:space="0" w:color="auto"/>
              <w:left w:val="single" w:sz="4" w:space="0" w:color="auto"/>
              <w:bottom w:val="single" w:sz="4" w:space="0" w:color="auto"/>
              <w:right w:val="single" w:sz="4" w:space="0" w:color="auto"/>
            </w:tcBorders>
          </w:tcPr>
          <w:p w14:paraId="2B2E1F06" w14:textId="77777777" w:rsidR="008319FB" w:rsidRPr="00B0658A" w:rsidRDefault="008319FB" w:rsidP="00B0658A">
            <w:pPr>
              <w:pStyle w:val="ConsPlusNormal"/>
            </w:pPr>
          </w:p>
        </w:tc>
        <w:tc>
          <w:tcPr>
            <w:tcW w:w="622" w:type="pct"/>
            <w:tcBorders>
              <w:top w:val="single" w:sz="4" w:space="0" w:color="auto"/>
              <w:left w:val="single" w:sz="4" w:space="0" w:color="auto"/>
              <w:bottom w:val="single" w:sz="4" w:space="0" w:color="auto"/>
              <w:right w:val="single" w:sz="4" w:space="0" w:color="auto"/>
            </w:tcBorders>
          </w:tcPr>
          <w:p w14:paraId="2368E19A" w14:textId="77777777" w:rsidR="008319FB" w:rsidRPr="00B0658A" w:rsidRDefault="008319FB" w:rsidP="00B0658A">
            <w:pPr>
              <w:pStyle w:val="ConsPlusNormal"/>
            </w:pPr>
          </w:p>
        </w:tc>
        <w:tc>
          <w:tcPr>
            <w:tcW w:w="1024" w:type="pct"/>
            <w:tcBorders>
              <w:top w:val="single" w:sz="4" w:space="0" w:color="auto"/>
              <w:left w:val="single" w:sz="4" w:space="0" w:color="auto"/>
              <w:bottom w:val="single" w:sz="4" w:space="0" w:color="auto"/>
              <w:right w:val="single" w:sz="4" w:space="0" w:color="auto"/>
            </w:tcBorders>
          </w:tcPr>
          <w:p w14:paraId="09A3A22C" w14:textId="77777777" w:rsidR="008319FB" w:rsidRPr="00B0658A" w:rsidRDefault="008319FB" w:rsidP="00B0658A">
            <w:pPr>
              <w:pStyle w:val="ConsPlusNormal"/>
            </w:pPr>
          </w:p>
        </w:tc>
      </w:tr>
      <w:tr w:rsidR="00F52FED" w:rsidRPr="00B0658A" w14:paraId="497EF3F9" w14:textId="77777777" w:rsidTr="00AA11F5">
        <w:tc>
          <w:tcPr>
            <w:tcW w:w="204" w:type="pct"/>
            <w:tcBorders>
              <w:top w:val="single" w:sz="4" w:space="0" w:color="auto"/>
              <w:left w:val="single" w:sz="4" w:space="0" w:color="auto"/>
              <w:bottom w:val="single" w:sz="4" w:space="0" w:color="auto"/>
              <w:right w:val="single" w:sz="4" w:space="0" w:color="auto"/>
            </w:tcBorders>
          </w:tcPr>
          <w:p w14:paraId="0BC17844" w14:textId="77777777" w:rsidR="008319FB" w:rsidRPr="00B0658A" w:rsidRDefault="008319FB" w:rsidP="00B0658A">
            <w:pPr>
              <w:pStyle w:val="ConsPlusNormal"/>
            </w:pPr>
          </w:p>
        </w:tc>
        <w:tc>
          <w:tcPr>
            <w:tcW w:w="829" w:type="pct"/>
            <w:tcBorders>
              <w:top w:val="single" w:sz="4" w:space="0" w:color="auto"/>
              <w:left w:val="single" w:sz="4" w:space="0" w:color="auto"/>
              <w:bottom w:val="single" w:sz="4" w:space="0" w:color="auto"/>
              <w:right w:val="single" w:sz="4" w:space="0" w:color="auto"/>
            </w:tcBorders>
          </w:tcPr>
          <w:p w14:paraId="182F9236" w14:textId="77777777" w:rsidR="008319FB" w:rsidRPr="00B0658A" w:rsidRDefault="008319FB" w:rsidP="00B0658A">
            <w:pPr>
              <w:pStyle w:val="ConsPlusNormal"/>
            </w:pPr>
          </w:p>
        </w:tc>
        <w:tc>
          <w:tcPr>
            <w:tcW w:w="1133" w:type="pct"/>
            <w:tcBorders>
              <w:top w:val="single" w:sz="4" w:space="0" w:color="auto"/>
              <w:left w:val="single" w:sz="4" w:space="0" w:color="auto"/>
              <w:bottom w:val="single" w:sz="4" w:space="0" w:color="auto"/>
              <w:right w:val="single" w:sz="4" w:space="0" w:color="auto"/>
            </w:tcBorders>
          </w:tcPr>
          <w:p w14:paraId="7408DC5C" w14:textId="77777777" w:rsidR="008319FB" w:rsidRPr="00B0658A" w:rsidRDefault="008319FB" w:rsidP="00B0658A">
            <w:pPr>
              <w:pStyle w:val="ConsPlusNormal"/>
            </w:pPr>
          </w:p>
        </w:tc>
        <w:tc>
          <w:tcPr>
            <w:tcW w:w="1188" w:type="pct"/>
            <w:tcBorders>
              <w:top w:val="single" w:sz="4" w:space="0" w:color="auto"/>
              <w:left w:val="single" w:sz="4" w:space="0" w:color="auto"/>
              <w:bottom w:val="single" w:sz="4" w:space="0" w:color="auto"/>
              <w:right w:val="single" w:sz="4" w:space="0" w:color="auto"/>
            </w:tcBorders>
          </w:tcPr>
          <w:p w14:paraId="12FA9ED9" w14:textId="77777777" w:rsidR="008319FB" w:rsidRPr="00B0658A" w:rsidRDefault="008319FB" w:rsidP="00B0658A">
            <w:pPr>
              <w:pStyle w:val="ConsPlusNormal"/>
            </w:pPr>
          </w:p>
        </w:tc>
        <w:tc>
          <w:tcPr>
            <w:tcW w:w="622" w:type="pct"/>
            <w:tcBorders>
              <w:top w:val="single" w:sz="4" w:space="0" w:color="auto"/>
              <w:left w:val="single" w:sz="4" w:space="0" w:color="auto"/>
              <w:bottom w:val="single" w:sz="4" w:space="0" w:color="auto"/>
              <w:right w:val="single" w:sz="4" w:space="0" w:color="auto"/>
            </w:tcBorders>
          </w:tcPr>
          <w:p w14:paraId="33ACB430" w14:textId="77777777" w:rsidR="008319FB" w:rsidRPr="00B0658A" w:rsidRDefault="008319FB" w:rsidP="00B0658A">
            <w:pPr>
              <w:pStyle w:val="ConsPlusNormal"/>
            </w:pPr>
          </w:p>
        </w:tc>
        <w:tc>
          <w:tcPr>
            <w:tcW w:w="1024" w:type="pct"/>
            <w:tcBorders>
              <w:top w:val="single" w:sz="4" w:space="0" w:color="auto"/>
              <w:left w:val="single" w:sz="4" w:space="0" w:color="auto"/>
              <w:bottom w:val="single" w:sz="4" w:space="0" w:color="auto"/>
              <w:right w:val="single" w:sz="4" w:space="0" w:color="auto"/>
            </w:tcBorders>
          </w:tcPr>
          <w:p w14:paraId="0389689D" w14:textId="77777777" w:rsidR="008319FB" w:rsidRPr="00B0658A" w:rsidRDefault="008319FB" w:rsidP="00B0658A">
            <w:pPr>
              <w:pStyle w:val="ConsPlusNormal"/>
            </w:pPr>
          </w:p>
        </w:tc>
      </w:tr>
      <w:tr w:rsidR="00F52FED" w:rsidRPr="00B0658A" w14:paraId="6DC0C411" w14:textId="77777777" w:rsidTr="00AA11F5">
        <w:tc>
          <w:tcPr>
            <w:tcW w:w="204" w:type="pct"/>
            <w:tcBorders>
              <w:top w:val="single" w:sz="4" w:space="0" w:color="auto"/>
              <w:left w:val="single" w:sz="4" w:space="0" w:color="auto"/>
              <w:bottom w:val="single" w:sz="4" w:space="0" w:color="auto"/>
              <w:right w:val="single" w:sz="4" w:space="0" w:color="auto"/>
            </w:tcBorders>
          </w:tcPr>
          <w:p w14:paraId="2662865A" w14:textId="77777777" w:rsidR="008319FB" w:rsidRPr="00B0658A" w:rsidRDefault="008319FB" w:rsidP="00B0658A">
            <w:pPr>
              <w:pStyle w:val="ConsPlusNormal"/>
            </w:pPr>
          </w:p>
        </w:tc>
        <w:tc>
          <w:tcPr>
            <w:tcW w:w="829" w:type="pct"/>
            <w:tcBorders>
              <w:top w:val="single" w:sz="4" w:space="0" w:color="auto"/>
              <w:left w:val="single" w:sz="4" w:space="0" w:color="auto"/>
              <w:bottom w:val="single" w:sz="4" w:space="0" w:color="auto"/>
              <w:right w:val="single" w:sz="4" w:space="0" w:color="auto"/>
            </w:tcBorders>
          </w:tcPr>
          <w:p w14:paraId="2CC8FDF1" w14:textId="77777777" w:rsidR="008319FB" w:rsidRPr="00B0658A" w:rsidRDefault="008319FB" w:rsidP="00B0658A">
            <w:pPr>
              <w:pStyle w:val="ConsPlusNormal"/>
            </w:pPr>
          </w:p>
        </w:tc>
        <w:tc>
          <w:tcPr>
            <w:tcW w:w="1133" w:type="pct"/>
            <w:tcBorders>
              <w:top w:val="single" w:sz="4" w:space="0" w:color="auto"/>
              <w:left w:val="single" w:sz="4" w:space="0" w:color="auto"/>
              <w:bottom w:val="single" w:sz="4" w:space="0" w:color="auto"/>
              <w:right w:val="single" w:sz="4" w:space="0" w:color="auto"/>
            </w:tcBorders>
          </w:tcPr>
          <w:p w14:paraId="35C2D8D3" w14:textId="77777777" w:rsidR="008319FB" w:rsidRPr="00B0658A" w:rsidRDefault="008319FB" w:rsidP="00B0658A">
            <w:pPr>
              <w:pStyle w:val="ConsPlusNormal"/>
            </w:pPr>
          </w:p>
        </w:tc>
        <w:tc>
          <w:tcPr>
            <w:tcW w:w="1188" w:type="pct"/>
            <w:tcBorders>
              <w:top w:val="single" w:sz="4" w:space="0" w:color="auto"/>
              <w:left w:val="single" w:sz="4" w:space="0" w:color="auto"/>
              <w:bottom w:val="single" w:sz="4" w:space="0" w:color="auto"/>
              <w:right w:val="single" w:sz="4" w:space="0" w:color="auto"/>
            </w:tcBorders>
          </w:tcPr>
          <w:p w14:paraId="0F04DB11" w14:textId="77777777" w:rsidR="008319FB" w:rsidRPr="00B0658A" w:rsidRDefault="008319FB" w:rsidP="00B0658A">
            <w:pPr>
              <w:pStyle w:val="ConsPlusNormal"/>
            </w:pPr>
          </w:p>
        </w:tc>
        <w:tc>
          <w:tcPr>
            <w:tcW w:w="622" w:type="pct"/>
            <w:tcBorders>
              <w:top w:val="single" w:sz="4" w:space="0" w:color="auto"/>
              <w:left w:val="single" w:sz="4" w:space="0" w:color="auto"/>
              <w:bottom w:val="single" w:sz="4" w:space="0" w:color="auto"/>
              <w:right w:val="single" w:sz="4" w:space="0" w:color="auto"/>
            </w:tcBorders>
          </w:tcPr>
          <w:p w14:paraId="4854C86F" w14:textId="77777777" w:rsidR="008319FB" w:rsidRPr="00B0658A" w:rsidRDefault="008319FB" w:rsidP="00B0658A">
            <w:pPr>
              <w:pStyle w:val="ConsPlusNormal"/>
            </w:pPr>
          </w:p>
        </w:tc>
        <w:tc>
          <w:tcPr>
            <w:tcW w:w="1024" w:type="pct"/>
            <w:tcBorders>
              <w:top w:val="single" w:sz="4" w:space="0" w:color="auto"/>
              <w:left w:val="single" w:sz="4" w:space="0" w:color="auto"/>
              <w:bottom w:val="single" w:sz="4" w:space="0" w:color="auto"/>
              <w:right w:val="single" w:sz="4" w:space="0" w:color="auto"/>
            </w:tcBorders>
          </w:tcPr>
          <w:p w14:paraId="779A1912" w14:textId="77777777" w:rsidR="008319FB" w:rsidRPr="00B0658A" w:rsidRDefault="008319FB" w:rsidP="00B0658A">
            <w:pPr>
              <w:pStyle w:val="ConsPlusNormal"/>
            </w:pPr>
          </w:p>
        </w:tc>
      </w:tr>
      <w:tr w:rsidR="00F52FED" w:rsidRPr="00B0658A" w14:paraId="76F62239" w14:textId="77777777" w:rsidTr="00AA11F5">
        <w:tc>
          <w:tcPr>
            <w:tcW w:w="5000" w:type="pct"/>
            <w:gridSpan w:val="6"/>
            <w:tcBorders>
              <w:top w:val="single" w:sz="4" w:space="0" w:color="auto"/>
              <w:left w:val="single" w:sz="4" w:space="0" w:color="auto"/>
              <w:bottom w:val="single" w:sz="4" w:space="0" w:color="auto"/>
              <w:right w:val="single" w:sz="4" w:space="0" w:color="auto"/>
            </w:tcBorders>
          </w:tcPr>
          <w:p w14:paraId="172EBC2F" w14:textId="77777777" w:rsidR="008319FB" w:rsidRPr="00B0658A" w:rsidRDefault="008319FB" w:rsidP="00B0658A">
            <w:pPr>
              <w:pStyle w:val="ConsPlusNormal"/>
              <w:numPr>
                <w:ilvl w:val="0"/>
                <w:numId w:val="7"/>
              </w:numPr>
              <w:ind w:left="357" w:hanging="357"/>
            </w:pPr>
            <w:r w:rsidRPr="00B0658A">
              <w:t>Технические мероприятия, направленные на подготовку к переходу на использование российского ПО</w:t>
            </w:r>
          </w:p>
        </w:tc>
      </w:tr>
      <w:tr w:rsidR="00F52FED" w:rsidRPr="00B0658A" w14:paraId="1D06877D" w14:textId="77777777" w:rsidTr="00AA11F5">
        <w:tc>
          <w:tcPr>
            <w:tcW w:w="204" w:type="pct"/>
            <w:tcBorders>
              <w:top w:val="single" w:sz="4" w:space="0" w:color="auto"/>
              <w:left w:val="single" w:sz="4" w:space="0" w:color="auto"/>
              <w:bottom w:val="single" w:sz="4" w:space="0" w:color="auto"/>
              <w:right w:val="single" w:sz="4" w:space="0" w:color="auto"/>
            </w:tcBorders>
          </w:tcPr>
          <w:p w14:paraId="5B8BEC07" w14:textId="77777777" w:rsidR="008319FB" w:rsidRPr="00B0658A" w:rsidRDefault="008319FB" w:rsidP="00B0658A">
            <w:pPr>
              <w:pStyle w:val="ConsPlusNormal"/>
            </w:pPr>
          </w:p>
        </w:tc>
        <w:tc>
          <w:tcPr>
            <w:tcW w:w="829" w:type="pct"/>
            <w:tcBorders>
              <w:top w:val="single" w:sz="4" w:space="0" w:color="auto"/>
              <w:left w:val="single" w:sz="4" w:space="0" w:color="auto"/>
              <w:bottom w:val="single" w:sz="4" w:space="0" w:color="auto"/>
              <w:right w:val="single" w:sz="4" w:space="0" w:color="auto"/>
            </w:tcBorders>
          </w:tcPr>
          <w:p w14:paraId="21EAA42F" w14:textId="77777777" w:rsidR="008319FB" w:rsidRPr="00B0658A" w:rsidRDefault="008319FB" w:rsidP="00B0658A">
            <w:pPr>
              <w:pStyle w:val="ConsPlusNormal"/>
            </w:pPr>
          </w:p>
        </w:tc>
        <w:tc>
          <w:tcPr>
            <w:tcW w:w="1133" w:type="pct"/>
            <w:tcBorders>
              <w:top w:val="single" w:sz="4" w:space="0" w:color="auto"/>
              <w:left w:val="single" w:sz="4" w:space="0" w:color="auto"/>
              <w:bottom w:val="single" w:sz="4" w:space="0" w:color="auto"/>
              <w:right w:val="single" w:sz="4" w:space="0" w:color="auto"/>
            </w:tcBorders>
          </w:tcPr>
          <w:p w14:paraId="41A9582B" w14:textId="77777777" w:rsidR="008319FB" w:rsidRPr="00B0658A" w:rsidRDefault="008319FB" w:rsidP="00B0658A">
            <w:pPr>
              <w:pStyle w:val="ConsPlusNormal"/>
            </w:pPr>
          </w:p>
        </w:tc>
        <w:tc>
          <w:tcPr>
            <w:tcW w:w="1188" w:type="pct"/>
            <w:tcBorders>
              <w:top w:val="single" w:sz="4" w:space="0" w:color="auto"/>
              <w:left w:val="single" w:sz="4" w:space="0" w:color="auto"/>
              <w:bottom w:val="single" w:sz="4" w:space="0" w:color="auto"/>
              <w:right w:val="single" w:sz="4" w:space="0" w:color="auto"/>
            </w:tcBorders>
          </w:tcPr>
          <w:p w14:paraId="18A85333" w14:textId="77777777" w:rsidR="008319FB" w:rsidRPr="00B0658A" w:rsidRDefault="008319FB" w:rsidP="00B0658A">
            <w:pPr>
              <w:pStyle w:val="ConsPlusNormal"/>
            </w:pPr>
          </w:p>
        </w:tc>
        <w:tc>
          <w:tcPr>
            <w:tcW w:w="622" w:type="pct"/>
            <w:tcBorders>
              <w:top w:val="single" w:sz="4" w:space="0" w:color="auto"/>
              <w:left w:val="single" w:sz="4" w:space="0" w:color="auto"/>
              <w:bottom w:val="single" w:sz="4" w:space="0" w:color="auto"/>
              <w:right w:val="single" w:sz="4" w:space="0" w:color="auto"/>
            </w:tcBorders>
          </w:tcPr>
          <w:p w14:paraId="0C8C7C62" w14:textId="77777777" w:rsidR="008319FB" w:rsidRPr="00B0658A" w:rsidRDefault="008319FB" w:rsidP="00B0658A">
            <w:pPr>
              <w:pStyle w:val="ConsPlusNormal"/>
            </w:pPr>
          </w:p>
        </w:tc>
        <w:tc>
          <w:tcPr>
            <w:tcW w:w="1024" w:type="pct"/>
            <w:tcBorders>
              <w:top w:val="single" w:sz="4" w:space="0" w:color="auto"/>
              <w:left w:val="single" w:sz="4" w:space="0" w:color="auto"/>
              <w:bottom w:val="single" w:sz="4" w:space="0" w:color="auto"/>
              <w:right w:val="single" w:sz="4" w:space="0" w:color="auto"/>
            </w:tcBorders>
          </w:tcPr>
          <w:p w14:paraId="048C7F91" w14:textId="77777777" w:rsidR="008319FB" w:rsidRPr="00B0658A" w:rsidRDefault="008319FB" w:rsidP="00B0658A">
            <w:pPr>
              <w:pStyle w:val="ConsPlusNormal"/>
            </w:pPr>
          </w:p>
        </w:tc>
      </w:tr>
      <w:tr w:rsidR="00F52FED" w:rsidRPr="00B0658A" w14:paraId="452B573B" w14:textId="77777777" w:rsidTr="00AA11F5">
        <w:tc>
          <w:tcPr>
            <w:tcW w:w="204" w:type="pct"/>
            <w:tcBorders>
              <w:top w:val="single" w:sz="4" w:space="0" w:color="auto"/>
              <w:left w:val="single" w:sz="4" w:space="0" w:color="auto"/>
              <w:bottom w:val="single" w:sz="4" w:space="0" w:color="auto"/>
              <w:right w:val="single" w:sz="4" w:space="0" w:color="auto"/>
            </w:tcBorders>
          </w:tcPr>
          <w:p w14:paraId="1E888786" w14:textId="77777777" w:rsidR="008319FB" w:rsidRPr="00B0658A" w:rsidRDefault="008319FB" w:rsidP="00B0658A">
            <w:pPr>
              <w:pStyle w:val="ConsPlusNormal"/>
            </w:pPr>
          </w:p>
        </w:tc>
        <w:tc>
          <w:tcPr>
            <w:tcW w:w="829" w:type="pct"/>
            <w:tcBorders>
              <w:top w:val="single" w:sz="4" w:space="0" w:color="auto"/>
              <w:left w:val="single" w:sz="4" w:space="0" w:color="auto"/>
              <w:bottom w:val="single" w:sz="4" w:space="0" w:color="auto"/>
              <w:right w:val="single" w:sz="4" w:space="0" w:color="auto"/>
            </w:tcBorders>
          </w:tcPr>
          <w:p w14:paraId="76C3F399" w14:textId="77777777" w:rsidR="008319FB" w:rsidRPr="00B0658A" w:rsidRDefault="008319FB" w:rsidP="00B0658A">
            <w:pPr>
              <w:pStyle w:val="ConsPlusNormal"/>
            </w:pPr>
          </w:p>
        </w:tc>
        <w:tc>
          <w:tcPr>
            <w:tcW w:w="1133" w:type="pct"/>
            <w:tcBorders>
              <w:top w:val="single" w:sz="4" w:space="0" w:color="auto"/>
              <w:left w:val="single" w:sz="4" w:space="0" w:color="auto"/>
              <w:bottom w:val="single" w:sz="4" w:space="0" w:color="auto"/>
              <w:right w:val="single" w:sz="4" w:space="0" w:color="auto"/>
            </w:tcBorders>
          </w:tcPr>
          <w:p w14:paraId="56651F34" w14:textId="77777777" w:rsidR="008319FB" w:rsidRPr="00B0658A" w:rsidRDefault="008319FB" w:rsidP="00B0658A">
            <w:pPr>
              <w:pStyle w:val="ConsPlusNormal"/>
            </w:pPr>
          </w:p>
        </w:tc>
        <w:tc>
          <w:tcPr>
            <w:tcW w:w="1188" w:type="pct"/>
            <w:tcBorders>
              <w:top w:val="single" w:sz="4" w:space="0" w:color="auto"/>
              <w:left w:val="single" w:sz="4" w:space="0" w:color="auto"/>
              <w:bottom w:val="single" w:sz="4" w:space="0" w:color="auto"/>
              <w:right w:val="single" w:sz="4" w:space="0" w:color="auto"/>
            </w:tcBorders>
          </w:tcPr>
          <w:p w14:paraId="006AFA04" w14:textId="77777777" w:rsidR="008319FB" w:rsidRPr="00B0658A" w:rsidRDefault="008319FB" w:rsidP="00B0658A">
            <w:pPr>
              <w:pStyle w:val="ConsPlusNormal"/>
            </w:pPr>
          </w:p>
        </w:tc>
        <w:tc>
          <w:tcPr>
            <w:tcW w:w="622" w:type="pct"/>
            <w:tcBorders>
              <w:top w:val="single" w:sz="4" w:space="0" w:color="auto"/>
              <w:left w:val="single" w:sz="4" w:space="0" w:color="auto"/>
              <w:bottom w:val="single" w:sz="4" w:space="0" w:color="auto"/>
              <w:right w:val="single" w:sz="4" w:space="0" w:color="auto"/>
            </w:tcBorders>
          </w:tcPr>
          <w:p w14:paraId="2306230D" w14:textId="77777777" w:rsidR="008319FB" w:rsidRPr="00B0658A" w:rsidRDefault="008319FB" w:rsidP="00B0658A">
            <w:pPr>
              <w:pStyle w:val="ConsPlusNormal"/>
            </w:pPr>
          </w:p>
        </w:tc>
        <w:tc>
          <w:tcPr>
            <w:tcW w:w="1024" w:type="pct"/>
            <w:tcBorders>
              <w:top w:val="single" w:sz="4" w:space="0" w:color="auto"/>
              <w:left w:val="single" w:sz="4" w:space="0" w:color="auto"/>
              <w:bottom w:val="single" w:sz="4" w:space="0" w:color="auto"/>
              <w:right w:val="single" w:sz="4" w:space="0" w:color="auto"/>
            </w:tcBorders>
          </w:tcPr>
          <w:p w14:paraId="3D7B7B06" w14:textId="77777777" w:rsidR="008319FB" w:rsidRPr="00B0658A" w:rsidRDefault="008319FB" w:rsidP="00B0658A">
            <w:pPr>
              <w:pStyle w:val="ConsPlusNormal"/>
            </w:pPr>
          </w:p>
        </w:tc>
      </w:tr>
      <w:tr w:rsidR="00F52FED" w:rsidRPr="00B0658A" w14:paraId="27CD3C66" w14:textId="77777777" w:rsidTr="00AA11F5">
        <w:tc>
          <w:tcPr>
            <w:tcW w:w="204" w:type="pct"/>
            <w:tcBorders>
              <w:top w:val="single" w:sz="4" w:space="0" w:color="auto"/>
              <w:left w:val="single" w:sz="4" w:space="0" w:color="auto"/>
              <w:bottom w:val="single" w:sz="4" w:space="0" w:color="auto"/>
              <w:right w:val="single" w:sz="4" w:space="0" w:color="auto"/>
            </w:tcBorders>
          </w:tcPr>
          <w:p w14:paraId="2ABE3D83" w14:textId="77777777" w:rsidR="008319FB" w:rsidRPr="00B0658A" w:rsidRDefault="008319FB" w:rsidP="00B0658A">
            <w:pPr>
              <w:pStyle w:val="ConsPlusNormal"/>
            </w:pPr>
          </w:p>
        </w:tc>
        <w:tc>
          <w:tcPr>
            <w:tcW w:w="829" w:type="pct"/>
            <w:tcBorders>
              <w:top w:val="single" w:sz="4" w:space="0" w:color="auto"/>
              <w:left w:val="single" w:sz="4" w:space="0" w:color="auto"/>
              <w:bottom w:val="single" w:sz="4" w:space="0" w:color="auto"/>
              <w:right w:val="single" w:sz="4" w:space="0" w:color="auto"/>
            </w:tcBorders>
          </w:tcPr>
          <w:p w14:paraId="5F4AA494" w14:textId="77777777" w:rsidR="008319FB" w:rsidRPr="00B0658A" w:rsidRDefault="008319FB" w:rsidP="00B0658A">
            <w:pPr>
              <w:pStyle w:val="ConsPlusNormal"/>
            </w:pPr>
          </w:p>
        </w:tc>
        <w:tc>
          <w:tcPr>
            <w:tcW w:w="1133" w:type="pct"/>
            <w:tcBorders>
              <w:top w:val="single" w:sz="4" w:space="0" w:color="auto"/>
              <w:left w:val="single" w:sz="4" w:space="0" w:color="auto"/>
              <w:bottom w:val="single" w:sz="4" w:space="0" w:color="auto"/>
              <w:right w:val="single" w:sz="4" w:space="0" w:color="auto"/>
            </w:tcBorders>
          </w:tcPr>
          <w:p w14:paraId="4D98A160" w14:textId="77777777" w:rsidR="008319FB" w:rsidRPr="00B0658A" w:rsidRDefault="008319FB" w:rsidP="00B0658A">
            <w:pPr>
              <w:pStyle w:val="ConsPlusNormal"/>
            </w:pPr>
          </w:p>
        </w:tc>
        <w:tc>
          <w:tcPr>
            <w:tcW w:w="1188" w:type="pct"/>
            <w:tcBorders>
              <w:top w:val="single" w:sz="4" w:space="0" w:color="auto"/>
              <w:left w:val="single" w:sz="4" w:space="0" w:color="auto"/>
              <w:bottom w:val="single" w:sz="4" w:space="0" w:color="auto"/>
              <w:right w:val="single" w:sz="4" w:space="0" w:color="auto"/>
            </w:tcBorders>
          </w:tcPr>
          <w:p w14:paraId="7373B105" w14:textId="77777777" w:rsidR="008319FB" w:rsidRPr="00B0658A" w:rsidRDefault="008319FB" w:rsidP="00B0658A">
            <w:pPr>
              <w:pStyle w:val="ConsPlusNormal"/>
            </w:pPr>
          </w:p>
        </w:tc>
        <w:tc>
          <w:tcPr>
            <w:tcW w:w="622" w:type="pct"/>
            <w:tcBorders>
              <w:top w:val="single" w:sz="4" w:space="0" w:color="auto"/>
              <w:left w:val="single" w:sz="4" w:space="0" w:color="auto"/>
              <w:bottom w:val="single" w:sz="4" w:space="0" w:color="auto"/>
              <w:right w:val="single" w:sz="4" w:space="0" w:color="auto"/>
            </w:tcBorders>
          </w:tcPr>
          <w:p w14:paraId="385B0228" w14:textId="77777777" w:rsidR="008319FB" w:rsidRPr="00B0658A" w:rsidRDefault="008319FB" w:rsidP="00B0658A">
            <w:pPr>
              <w:pStyle w:val="ConsPlusNormal"/>
            </w:pPr>
          </w:p>
        </w:tc>
        <w:tc>
          <w:tcPr>
            <w:tcW w:w="1024" w:type="pct"/>
            <w:tcBorders>
              <w:top w:val="single" w:sz="4" w:space="0" w:color="auto"/>
              <w:left w:val="single" w:sz="4" w:space="0" w:color="auto"/>
              <w:bottom w:val="single" w:sz="4" w:space="0" w:color="auto"/>
              <w:right w:val="single" w:sz="4" w:space="0" w:color="auto"/>
            </w:tcBorders>
          </w:tcPr>
          <w:p w14:paraId="166E7D65" w14:textId="77777777" w:rsidR="008319FB" w:rsidRPr="00B0658A" w:rsidRDefault="008319FB" w:rsidP="00B0658A">
            <w:pPr>
              <w:pStyle w:val="ConsPlusNormal"/>
            </w:pPr>
          </w:p>
        </w:tc>
      </w:tr>
      <w:tr w:rsidR="00F52FED" w:rsidRPr="00B0658A" w14:paraId="1380A2C8" w14:textId="77777777" w:rsidTr="00AA11F5">
        <w:tc>
          <w:tcPr>
            <w:tcW w:w="204" w:type="pct"/>
            <w:tcBorders>
              <w:top w:val="single" w:sz="4" w:space="0" w:color="auto"/>
              <w:left w:val="single" w:sz="4" w:space="0" w:color="auto"/>
              <w:bottom w:val="single" w:sz="4" w:space="0" w:color="auto"/>
              <w:right w:val="single" w:sz="4" w:space="0" w:color="auto"/>
            </w:tcBorders>
          </w:tcPr>
          <w:p w14:paraId="0792CB15" w14:textId="77777777" w:rsidR="008319FB" w:rsidRPr="00B0658A" w:rsidRDefault="008319FB" w:rsidP="00B0658A">
            <w:pPr>
              <w:pStyle w:val="ConsPlusNormal"/>
            </w:pPr>
          </w:p>
        </w:tc>
        <w:tc>
          <w:tcPr>
            <w:tcW w:w="829" w:type="pct"/>
            <w:tcBorders>
              <w:top w:val="single" w:sz="4" w:space="0" w:color="auto"/>
              <w:left w:val="single" w:sz="4" w:space="0" w:color="auto"/>
              <w:bottom w:val="single" w:sz="4" w:space="0" w:color="auto"/>
              <w:right w:val="single" w:sz="4" w:space="0" w:color="auto"/>
            </w:tcBorders>
          </w:tcPr>
          <w:p w14:paraId="258596AF" w14:textId="77777777" w:rsidR="008319FB" w:rsidRPr="00B0658A" w:rsidRDefault="008319FB" w:rsidP="00B0658A">
            <w:pPr>
              <w:pStyle w:val="ConsPlusNormal"/>
            </w:pPr>
          </w:p>
        </w:tc>
        <w:tc>
          <w:tcPr>
            <w:tcW w:w="1133" w:type="pct"/>
            <w:tcBorders>
              <w:top w:val="single" w:sz="4" w:space="0" w:color="auto"/>
              <w:left w:val="single" w:sz="4" w:space="0" w:color="auto"/>
              <w:bottom w:val="single" w:sz="4" w:space="0" w:color="auto"/>
              <w:right w:val="single" w:sz="4" w:space="0" w:color="auto"/>
            </w:tcBorders>
          </w:tcPr>
          <w:p w14:paraId="10F277F1" w14:textId="77777777" w:rsidR="008319FB" w:rsidRPr="00B0658A" w:rsidRDefault="008319FB" w:rsidP="00B0658A">
            <w:pPr>
              <w:pStyle w:val="ConsPlusNormal"/>
            </w:pPr>
          </w:p>
        </w:tc>
        <w:tc>
          <w:tcPr>
            <w:tcW w:w="1188" w:type="pct"/>
            <w:tcBorders>
              <w:top w:val="single" w:sz="4" w:space="0" w:color="auto"/>
              <w:left w:val="single" w:sz="4" w:space="0" w:color="auto"/>
              <w:bottom w:val="single" w:sz="4" w:space="0" w:color="auto"/>
              <w:right w:val="single" w:sz="4" w:space="0" w:color="auto"/>
            </w:tcBorders>
          </w:tcPr>
          <w:p w14:paraId="40F00D27" w14:textId="77777777" w:rsidR="008319FB" w:rsidRPr="00B0658A" w:rsidRDefault="008319FB" w:rsidP="00B0658A">
            <w:pPr>
              <w:pStyle w:val="ConsPlusNormal"/>
            </w:pPr>
          </w:p>
        </w:tc>
        <w:tc>
          <w:tcPr>
            <w:tcW w:w="622" w:type="pct"/>
            <w:tcBorders>
              <w:top w:val="single" w:sz="4" w:space="0" w:color="auto"/>
              <w:left w:val="single" w:sz="4" w:space="0" w:color="auto"/>
              <w:bottom w:val="single" w:sz="4" w:space="0" w:color="auto"/>
              <w:right w:val="single" w:sz="4" w:space="0" w:color="auto"/>
            </w:tcBorders>
          </w:tcPr>
          <w:p w14:paraId="54355846" w14:textId="77777777" w:rsidR="008319FB" w:rsidRPr="00B0658A" w:rsidRDefault="008319FB" w:rsidP="00B0658A">
            <w:pPr>
              <w:pStyle w:val="ConsPlusNormal"/>
            </w:pPr>
          </w:p>
        </w:tc>
        <w:tc>
          <w:tcPr>
            <w:tcW w:w="1024" w:type="pct"/>
            <w:tcBorders>
              <w:top w:val="single" w:sz="4" w:space="0" w:color="auto"/>
              <w:left w:val="single" w:sz="4" w:space="0" w:color="auto"/>
              <w:bottom w:val="single" w:sz="4" w:space="0" w:color="auto"/>
              <w:right w:val="single" w:sz="4" w:space="0" w:color="auto"/>
            </w:tcBorders>
          </w:tcPr>
          <w:p w14:paraId="1D885DBB" w14:textId="77777777" w:rsidR="008319FB" w:rsidRPr="00B0658A" w:rsidRDefault="008319FB" w:rsidP="00B0658A">
            <w:pPr>
              <w:pStyle w:val="ConsPlusNormal"/>
            </w:pPr>
          </w:p>
        </w:tc>
      </w:tr>
      <w:tr w:rsidR="00F52FED" w:rsidRPr="00B0658A" w14:paraId="762C2714" w14:textId="77777777" w:rsidTr="00AA11F5">
        <w:tc>
          <w:tcPr>
            <w:tcW w:w="5000" w:type="pct"/>
            <w:gridSpan w:val="6"/>
            <w:tcBorders>
              <w:top w:val="single" w:sz="4" w:space="0" w:color="auto"/>
              <w:left w:val="single" w:sz="4" w:space="0" w:color="auto"/>
              <w:bottom w:val="single" w:sz="4" w:space="0" w:color="auto"/>
              <w:right w:val="single" w:sz="4" w:space="0" w:color="auto"/>
            </w:tcBorders>
          </w:tcPr>
          <w:p w14:paraId="48F18FF3" w14:textId="77777777" w:rsidR="008319FB" w:rsidRPr="00B0658A" w:rsidRDefault="008319FB" w:rsidP="00B0658A">
            <w:pPr>
              <w:pStyle w:val="ConsPlusNormal"/>
              <w:numPr>
                <w:ilvl w:val="0"/>
                <w:numId w:val="7"/>
              </w:numPr>
              <w:ind w:left="357" w:hanging="357"/>
            </w:pPr>
            <w:r w:rsidRPr="00B0658A">
              <w:t>Мероприятия, направленные на обеспечение перехода на использование российского ПО</w:t>
            </w:r>
          </w:p>
        </w:tc>
      </w:tr>
      <w:tr w:rsidR="00F52FED" w:rsidRPr="00B0658A" w14:paraId="4E786752" w14:textId="77777777" w:rsidTr="00AA11F5">
        <w:tc>
          <w:tcPr>
            <w:tcW w:w="204" w:type="pct"/>
            <w:tcBorders>
              <w:top w:val="single" w:sz="4" w:space="0" w:color="auto"/>
              <w:left w:val="single" w:sz="4" w:space="0" w:color="auto"/>
              <w:bottom w:val="single" w:sz="4" w:space="0" w:color="auto"/>
              <w:right w:val="single" w:sz="4" w:space="0" w:color="auto"/>
            </w:tcBorders>
          </w:tcPr>
          <w:p w14:paraId="16E42740" w14:textId="77777777" w:rsidR="008319FB" w:rsidRPr="00B0658A" w:rsidRDefault="008319FB" w:rsidP="00B0658A">
            <w:pPr>
              <w:pStyle w:val="ConsPlusNormal"/>
            </w:pPr>
          </w:p>
        </w:tc>
        <w:tc>
          <w:tcPr>
            <w:tcW w:w="829" w:type="pct"/>
            <w:tcBorders>
              <w:top w:val="single" w:sz="4" w:space="0" w:color="auto"/>
              <w:left w:val="single" w:sz="4" w:space="0" w:color="auto"/>
              <w:bottom w:val="single" w:sz="4" w:space="0" w:color="auto"/>
              <w:right w:val="single" w:sz="4" w:space="0" w:color="auto"/>
            </w:tcBorders>
          </w:tcPr>
          <w:p w14:paraId="49C274D4" w14:textId="77777777" w:rsidR="008319FB" w:rsidRPr="00B0658A" w:rsidRDefault="008319FB" w:rsidP="00B0658A">
            <w:pPr>
              <w:pStyle w:val="ConsPlusNormal"/>
            </w:pPr>
          </w:p>
        </w:tc>
        <w:tc>
          <w:tcPr>
            <w:tcW w:w="1133" w:type="pct"/>
            <w:tcBorders>
              <w:top w:val="single" w:sz="4" w:space="0" w:color="auto"/>
              <w:left w:val="single" w:sz="4" w:space="0" w:color="auto"/>
              <w:bottom w:val="single" w:sz="4" w:space="0" w:color="auto"/>
              <w:right w:val="single" w:sz="4" w:space="0" w:color="auto"/>
            </w:tcBorders>
          </w:tcPr>
          <w:p w14:paraId="4408B3CB" w14:textId="77777777" w:rsidR="008319FB" w:rsidRPr="00B0658A" w:rsidRDefault="008319FB" w:rsidP="00B0658A">
            <w:pPr>
              <w:pStyle w:val="ConsPlusNormal"/>
            </w:pPr>
          </w:p>
        </w:tc>
        <w:tc>
          <w:tcPr>
            <w:tcW w:w="1188" w:type="pct"/>
            <w:tcBorders>
              <w:top w:val="single" w:sz="4" w:space="0" w:color="auto"/>
              <w:left w:val="single" w:sz="4" w:space="0" w:color="auto"/>
              <w:bottom w:val="single" w:sz="4" w:space="0" w:color="auto"/>
              <w:right w:val="single" w:sz="4" w:space="0" w:color="auto"/>
            </w:tcBorders>
          </w:tcPr>
          <w:p w14:paraId="1CE6573A" w14:textId="77777777" w:rsidR="008319FB" w:rsidRPr="00B0658A" w:rsidRDefault="008319FB" w:rsidP="00B0658A">
            <w:pPr>
              <w:pStyle w:val="ConsPlusNormal"/>
            </w:pPr>
          </w:p>
        </w:tc>
        <w:tc>
          <w:tcPr>
            <w:tcW w:w="622" w:type="pct"/>
            <w:tcBorders>
              <w:top w:val="single" w:sz="4" w:space="0" w:color="auto"/>
              <w:left w:val="single" w:sz="4" w:space="0" w:color="auto"/>
              <w:bottom w:val="single" w:sz="4" w:space="0" w:color="auto"/>
              <w:right w:val="single" w:sz="4" w:space="0" w:color="auto"/>
            </w:tcBorders>
          </w:tcPr>
          <w:p w14:paraId="4BAD15CD" w14:textId="77777777" w:rsidR="008319FB" w:rsidRPr="00B0658A" w:rsidRDefault="008319FB" w:rsidP="00B0658A">
            <w:pPr>
              <w:pStyle w:val="ConsPlusNormal"/>
            </w:pPr>
          </w:p>
        </w:tc>
        <w:tc>
          <w:tcPr>
            <w:tcW w:w="1024" w:type="pct"/>
            <w:tcBorders>
              <w:top w:val="single" w:sz="4" w:space="0" w:color="auto"/>
              <w:left w:val="single" w:sz="4" w:space="0" w:color="auto"/>
              <w:bottom w:val="single" w:sz="4" w:space="0" w:color="auto"/>
              <w:right w:val="single" w:sz="4" w:space="0" w:color="auto"/>
            </w:tcBorders>
          </w:tcPr>
          <w:p w14:paraId="4A2A291F" w14:textId="77777777" w:rsidR="008319FB" w:rsidRPr="00B0658A" w:rsidRDefault="008319FB" w:rsidP="00B0658A">
            <w:pPr>
              <w:pStyle w:val="ConsPlusNormal"/>
            </w:pPr>
          </w:p>
        </w:tc>
      </w:tr>
      <w:tr w:rsidR="00F52FED" w:rsidRPr="00B0658A" w14:paraId="4356753B" w14:textId="77777777" w:rsidTr="00AA11F5">
        <w:tc>
          <w:tcPr>
            <w:tcW w:w="204" w:type="pct"/>
            <w:tcBorders>
              <w:top w:val="single" w:sz="4" w:space="0" w:color="auto"/>
              <w:left w:val="single" w:sz="4" w:space="0" w:color="auto"/>
              <w:bottom w:val="single" w:sz="4" w:space="0" w:color="auto"/>
              <w:right w:val="single" w:sz="4" w:space="0" w:color="auto"/>
            </w:tcBorders>
          </w:tcPr>
          <w:p w14:paraId="7C20A58E" w14:textId="77777777" w:rsidR="008319FB" w:rsidRPr="00B0658A" w:rsidRDefault="008319FB" w:rsidP="00B0658A">
            <w:pPr>
              <w:pStyle w:val="ConsPlusNormal"/>
            </w:pPr>
          </w:p>
        </w:tc>
        <w:tc>
          <w:tcPr>
            <w:tcW w:w="829" w:type="pct"/>
            <w:tcBorders>
              <w:top w:val="single" w:sz="4" w:space="0" w:color="auto"/>
              <w:left w:val="single" w:sz="4" w:space="0" w:color="auto"/>
              <w:bottom w:val="single" w:sz="4" w:space="0" w:color="auto"/>
              <w:right w:val="single" w:sz="4" w:space="0" w:color="auto"/>
            </w:tcBorders>
          </w:tcPr>
          <w:p w14:paraId="0B7C2097" w14:textId="77777777" w:rsidR="008319FB" w:rsidRPr="00B0658A" w:rsidRDefault="008319FB" w:rsidP="00B0658A">
            <w:pPr>
              <w:pStyle w:val="ConsPlusNormal"/>
            </w:pPr>
          </w:p>
        </w:tc>
        <w:tc>
          <w:tcPr>
            <w:tcW w:w="1133" w:type="pct"/>
            <w:tcBorders>
              <w:top w:val="single" w:sz="4" w:space="0" w:color="auto"/>
              <w:left w:val="single" w:sz="4" w:space="0" w:color="auto"/>
              <w:bottom w:val="single" w:sz="4" w:space="0" w:color="auto"/>
              <w:right w:val="single" w:sz="4" w:space="0" w:color="auto"/>
            </w:tcBorders>
          </w:tcPr>
          <w:p w14:paraId="33FAF8D4" w14:textId="77777777" w:rsidR="008319FB" w:rsidRPr="00B0658A" w:rsidRDefault="008319FB" w:rsidP="00B0658A">
            <w:pPr>
              <w:pStyle w:val="ConsPlusNormal"/>
            </w:pPr>
          </w:p>
        </w:tc>
        <w:tc>
          <w:tcPr>
            <w:tcW w:w="1188" w:type="pct"/>
            <w:tcBorders>
              <w:top w:val="single" w:sz="4" w:space="0" w:color="auto"/>
              <w:left w:val="single" w:sz="4" w:space="0" w:color="auto"/>
              <w:bottom w:val="single" w:sz="4" w:space="0" w:color="auto"/>
              <w:right w:val="single" w:sz="4" w:space="0" w:color="auto"/>
            </w:tcBorders>
          </w:tcPr>
          <w:p w14:paraId="3E28AACB" w14:textId="77777777" w:rsidR="008319FB" w:rsidRPr="00B0658A" w:rsidRDefault="008319FB" w:rsidP="00B0658A">
            <w:pPr>
              <w:pStyle w:val="ConsPlusNormal"/>
            </w:pPr>
          </w:p>
        </w:tc>
        <w:tc>
          <w:tcPr>
            <w:tcW w:w="622" w:type="pct"/>
            <w:tcBorders>
              <w:top w:val="single" w:sz="4" w:space="0" w:color="auto"/>
              <w:left w:val="single" w:sz="4" w:space="0" w:color="auto"/>
              <w:bottom w:val="single" w:sz="4" w:space="0" w:color="auto"/>
              <w:right w:val="single" w:sz="4" w:space="0" w:color="auto"/>
            </w:tcBorders>
          </w:tcPr>
          <w:p w14:paraId="392CF60D" w14:textId="77777777" w:rsidR="008319FB" w:rsidRPr="00B0658A" w:rsidRDefault="008319FB" w:rsidP="00B0658A">
            <w:pPr>
              <w:pStyle w:val="ConsPlusNormal"/>
            </w:pPr>
          </w:p>
        </w:tc>
        <w:tc>
          <w:tcPr>
            <w:tcW w:w="1024" w:type="pct"/>
            <w:tcBorders>
              <w:top w:val="single" w:sz="4" w:space="0" w:color="auto"/>
              <w:left w:val="single" w:sz="4" w:space="0" w:color="auto"/>
              <w:bottom w:val="single" w:sz="4" w:space="0" w:color="auto"/>
              <w:right w:val="single" w:sz="4" w:space="0" w:color="auto"/>
            </w:tcBorders>
          </w:tcPr>
          <w:p w14:paraId="0CE8356E" w14:textId="77777777" w:rsidR="008319FB" w:rsidRPr="00B0658A" w:rsidRDefault="008319FB" w:rsidP="00B0658A">
            <w:pPr>
              <w:pStyle w:val="ConsPlusNormal"/>
            </w:pPr>
          </w:p>
        </w:tc>
      </w:tr>
      <w:tr w:rsidR="00F52FED" w:rsidRPr="00B0658A" w14:paraId="66EB9B90" w14:textId="77777777" w:rsidTr="00AA11F5">
        <w:tc>
          <w:tcPr>
            <w:tcW w:w="204" w:type="pct"/>
            <w:tcBorders>
              <w:top w:val="single" w:sz="4" w:space="0" w:color="auto"/>
              <w:left w:val="single" w:sz="4" w:space="0" w:color="auto"/>
              <w:bottom w:val="single" w:sz="4" w:space="0" w:color="auto"/>
              <w:right w:val="single" w:sz="4" w:space="0" w:color="auto"/>
            </w:tcBorders>
          </w:tcPr>
          <w:p w14:paraId="66DC4215" w14:textId="77777777" w:rsidR="008319FB" w:rsidRPr="00B0658A" w:rsidRDefault="008319FB" w:rsidP="00B0658A">
            <w:pPr>
              <w:pStyle w:val="ConsPlusNormal"/>
            </w:pPr>
          </w:p>
        </w:tc>
        <w:tc>
          <w:tcPr>
            <w:tcW w:w="829" w:type="pct"/>
            <w:tcBorders>
              <w:top w:val="single" w:sz="4" w:space="0" w:color="auto"/>
              <w:left w:val="single" w:sz="4" w:space="0" w:color="auto"/>
              <w:bottom w:val="single" w:sz="4" w:space="0" w:color="auto"/>
              <w:right w:val="single" w:sz="4" w:space="0" w:color="auto"/>
            </w:tcBorders>
          </w:tcPr>
          <w:p w14:paraId="2ADFFDD1" w14:textId="77777777" w:rsidR="008319FB" w:rsidRPr="00B0658A" w:rsidRDefault="008319FB" w:rsidP="00B0658A">
            <w:pPr>
              <w:pStyle w:val="ConsPlusNormal"/>
            </w:pPr>
          </w:p>
        </w:tc>
        <w:tc>
          <w:tcPr>
            <w:tcW w:w="1133" w:type="pct"/>
            <w:tcBorders>
              <w:top w:val="single" w:sz="4" w:space="0" w:color="auto"/>
              <w:left w:val="single" w:sz="4" w:space="0" w:color="auto"/>
              <w:bottom w:val="single" w:sz="4" w:space="0" w:color="auto"/>
              <w:right w:val="single" w:sz="4" w:space="0" w:color="auto"/>
            </w:tcBorders>
          </w:tcPr>
          <w:p w14:paraId="6E18FAC3" w14:textId="77777777" w:rsidR="008319FB" w:rsidRPr="00B0658A" w:rsidRDefault="008319FB" w:rsidP="00B0658A">
            <w:pPr>
              <w:pStyle w:val="ConsPlusNormal"/>
            </w:pPr>
          </w:p>
        </w:tc>
        <w:tc>
          <w:tcPr>
            <w:tcW w:w="1188" w:type="pct"/>
            <w:tcBorders>
              <w:top w:val="single" w:sz="4" w:space="0" w:color="auto"/>
              <w:left w:val="single" w:sz="4" w:space="0" w:color="auto"/>
              <w:bottom w:val="single" w:sz="4" w:space="0" w:color="auto"/>
              <w:right w:val="single" w:sz="4" w:space="0" w:color="auto"/>
            </w:tcBorders>
          </w:tcPr>
          <w:p w14:paraId="4F5901C0" w14:textId="77777777" w:rsidR="008319FB" w:rsidRPr="00B0658A" w:rsidRDefault="008319FB" w:rsidP="00B0658A">
            <w:pPr>
              <w:pStyle w:val="ConsPlusNormal"/>
            </w:pPr>
          </w:p>
        </w:tc>
        <w:tc>
          <w:tcPr>
            <w:tcW w:w="622" w:type="pct"/>
            <w:tcBorders>
              <w:top w:val="single" w:sz="4" w:space="0" w:color="auto"/>
              <w:left w:val="single" w:sz="4" w:space="0" w:color="auto"/>
              <w:bottom w:val="single" w:sz="4" w:space="0" w:color="auto"/>
              <w:right w:val="single" w:sz="4" w:space="0" w:color="auto"/>
            </w:tcBorders>
          </w:tcPr>
          <w:p w14:paraId="24A506C8" w14:textId="77777777" w:rsidR="008319FB" w:rsidRPr="00B0658A" w:rsidRDefault="008319FB" w:rsidP="00B0658A">
            <w:pPr>
              <w:pStyle w:val="ConsPlusNormal"/>
            </w:pPr>
          </w:p>
        </w:tc>
        <w:tc>
          <w:tcPr>
            <w:tcW w:w="1024" w:type="pct"/>
            <w:tcBorders>
              <w:top w:val="single" w:sz="4" w:space="0" w:color="auto"/>
              <w:left w:val="single" w:sz="4" w:space="0" w:color="auto"/>
              <w:bottom w:val="single" w:sz="4" w:space="0" w:color="auto"/>
              <w:right w:val="single" w:sz="4" w:space="0" w:color="auto"/>
            </w:tcBorders>
          </w:tcPr>
          <w:p w14:paraId="6A01ECF0" w14:textId="77777777" w:rsidR="008319FB" w:rsidRPr="00B0658A" w:rsidRDefault="008319FB" w:rsidP="00B0658A">
            <w:pPr>
              <w:pStyle w:val="ConsPlusNormal"/>
            </w:pPr>
          </w:p>
        </w:tc>
      </w:tr>
      <w:tr w:rsidR="00F52FED" w:rsidRPr="00B0658A" w14:paraId="785C8485" w14:textId="77777777" w:rsidTr="00AA11F5">
        <w:tc>
          <w:tcPr>
            <w:tcW w:w="204" w:type="pct"/>
            <w:tcBorders>
              <w:top w:val="single" w:sz="4" w:space="0" w:color="auto"/>
              <w:left w:val="single" w:sz="4" w:space="0" w:color="auto"/>
              <w:bottom w:val="single" w:sz="4" w:space="0" w:color="auto"/>
              <w:right w:val="single" w:sz="4" w:space="0" w:color="auto"/>
            </w:tcBorders>
          </w:tcPr>
          <w:p w14:paraId="77BBBE1F" w14:textId="77777777" w:rsidR="008319FB" w:rsidRPr="00B0658A" w:rsidRDefault="008319FB" w:rsidP="00B0658A">
            <w:pPr>
              <w:pStyle w:val="ConsPlusNormal"/>
            </w:pPr>
          </w:p>
        </w:tc>
        <w:tc>
          <w:tcPr>
            <w:tcW w:w="829" w:type="pct"/>
            <w:tcBorders>
              <w:top w:val="single" w:sz="4" w:space="0" w:color="auto"/>
              <w:left w:val="single" w:sz="4" w:space="0" w:color="auto"/>
              <w:bottom w:val="single" w:sz="4" w:space="0" w:color="auto"/>
              <w:right w:val="single" w:sz="4" w:space="0" w:color="auto"/>
            </w:tcBorders>
          </w:tcPr>
          <w:p w14:paraId="7879B128" w14:textId="77777777" w:rsidR="008319FB" w:rsidRPr="00B0658A" w:rsidRDefault="008319FB" w:rsidP="00B0658A">
            <w:pPr>
              <w:pStyle w:val="ConsPlusNormal"/>
            </w:pPr>
          </w:p>
        </w:tc>
        <w:tc>
          <w:tcPr>
            <w:tcW w:w="1133" w:type="pct"/>
            <w:tcBorders>
              <w:top w:val="single" w:sz="4" w:space="0" w:color="auto"/>
              <w:left w:val="single" w:sz="4" w:space="0" w:color="auto"/>
              <w:bottom w:val="single" w:sz="4" w:space="0" w:color="auto"/>
              <w:right w:val="single" w:sz="4" w:space="0" w:color="auto"/>
            </w:tcBorders>
          </w:tcPr>
          <w:p w14:paraId="6F8E3C25" w14:textId="77777777" w:rsidR="008319FB" w:rsidRPr="00B0658A" w:rsidRDefault="008319FB" w:rsidP="00B0658A">
            <w:pPr>
              <w:pStyle w:val="ConsPlusNormal"/>
            </w:pPr>
          </w:p>
        </w:tc>
        <w:tc>
          <w:tcPr>
            <w:tcW w:w="1188" w:type="pct"/>
            <w:tcBorders>
              <w:top w:val="single" w:sz="4" w:space="0" w:color="auto"/>
              <w:left w:val="single" w:sz="4" w:space="0" w:color="auto"/>
              <w:bottom w:val="single" w:sz="4" w:space="0" w:color="auto"/>
              <w:right w:val="single" w:sz="4" w:space="0" w:color="auto"/>
            </w:tcBorders>
          </w:tcPr>
          <w:p w14:paraId="3EA657F2" w14:textId="77777777" w:rsidR="008319FB" w:rsidRPr="00B0658A" w:rsidRDefault="008319FB" w:rsidP="00B0658A">
            <w:pPr>
              <w:pStyle w:val="ConsPlusNormal"/>
            </w:pPr>
          </w:p>
        </w:tc>
        <w:tc>
          <w:tcPr>
            <w:tcW w:w="622" w:type="pct"/>
            <w:tcBorders>
              <w:top w:val="single" w:sz="4" w:space="0" w:color="auto"/>
              <w:left w:val="single" w:sz="4" w:space="0" w:color="auto"/>
              <w:bottom w:val="single" w:sz="4" w:space="0" w:color="auto"/>
              <w:right w:val="single" w:sz="4" w:space="0" w:color="auto"/>
            </w:tcBorders>
          </w:tcPr>
          <w:p w14:paraId="0E88A62D" w14:textId="77777777" w:rsidR="008319FB" w:rsidRPr="00B0658A" w:rsidRDefault="008319FB" w:rsidP="00B0658A">
            <w:pPr>
              <w:pStyle w:val="ConsPlusNormal"/>
            </w:pPr>
          </w:p>
        </w:tc>
        <w:tc>
          <w:tcPr>
            <w:tcW w:w="1024" w:type="pct"/>
            <w:tcBorders>
              <w:top w:val="single" w:sz="4" w:space="0" w:color="auto"/>
              <w:left w:val="single" w:sz="4" w:space="0" w:color="auto"/>
              <w:bottom w:val="single" w:sz="4" w:space="0" w:color="auto"/>
              <w:right w:val="single" w:sz="4" w:space="0" w:color="auto"/>
            </w:tcBorders>
          </w:tcPr>
          <w:p w14:paraId="2B5BB5DC" w14:textId="77777777" w:rsidR="008319FB" w:rsidRPr="00B0658A" w:rsidRDefault="008319FB" w:rsidP="00B0658A">
            <w:pPr>
              <w:pStyle w:val="ConsPlusNormal"/>
            </w:pPr>
          </w:p>
        </w:tc>
      </w:tr>
      <w:tr w:rsidR="00F52FED" w:rsidRPr="00B0658A" w14:paraId="251827C1" w14:textId="77777777" w:rsidTr="00AA11F5">
        <w:tc>
          <w:tcPr>
            <w:tcW w:w="5000" w:type="pct"/>
            <w:gridSpan w:val="6"/>
            <w:tcBorders>
              <w:top w:val="single" w:sz="4" w:space="0" w:color="auto"/>
              <w:left w:val="single" w:sz="4" w:space="0" w:color="auto"/>
              <w:bottom w:val="single" w:sz="4" w:space="0" w:color="auto"/>
              <w:right w:val="single" w:sz="4" w:space="0" w:color="auto"/>
            </w:tcBorders>
          </w:tcPr>
          <w:p w14:paraId="1054ED16" w14:textId="77777777" w:rsidR="008319FB" w:rsidRPr="00B0658A" w:rsidRDefault="008319FB" w:rsidP="00B0658A">
            <w:pPr>
              <w:pStyle w:val="ConsPlusNormal"/>
              <w:numPr>
                <w:ilvl w:val="0"/>
                <w:numId w:val="7"/>
              </w:numPr>
              <w:ind w:left="357" w:hanging="357"/>
            </w:pPr>
            <w:r w:rsidRPr="00B0658A">
              <w:t>Иные организационно-технические мероприятия</w:t>
            </w:r>
          </w:p>
        </w:tc>
      </w:tr>
      <w:tr w:rsidR="00F52FED" w:rsidRPr="00B0658A" w14:paraId="18FAC34F" w14:textId="77777777" w:rsidTr="00AA11F5">
        <w:tc>
          <w:tcPr>
            <w:tcW w:w="204" w:type="pct"/>
            <w:tcBorders>
              <w:top w:val="single" w:sz="4" w:space="0" w:color="auto"/>
              <w:left w:val="single" w:sz="4" w:space="0" w:color="auto"/>
              <w:bottom w:val="single" w:sz="4" w:space="0" w:color="auto"/>
              <w:right w:val="single" w:sz="4" w:space="0" w:color="auto"/>
            </w:tcBorders>
          </w:tcPr>
          <w:p w14:paraId="2AB9EAE2" w14:textId="77777777" w:rsidR="008319FB" w:rsidRPr="00B0658A" w:rsidRDefault="008319FB" w:rsidP="00B0658A">
            <w:pPr>
              <w:pStyle w:val="ConsPlusNormal"/>
            </w:pPr>
          </w:p>
        </w:tc>
        <w:tc>
          <w:tcPr>
            <w:tcW w:w="829" w:type="pct"/>
            <w:tcBorders>
              <w:top w:val="single" w:sz="4" w:space="0" w:color="auto"/>
              <w:left w:val="single" w:sz="4" w:space="0" w:color="auto"/>
              <w:bottom w:val="single" w:sz="4" w:space="0" w:color="auto"/>
              <w:right w:val="single" w:sz="4" w:space="0" w:color="auto"/>
            </w:tcBorders>
          </w:tcPr>
          <w:p w14:paraId="3974BCCA" w14:textId="77777777" w:rsidR="008319FB" w:rsidRPr="00B0658A" w:rsidRDefault="008319FB" w:rsidP="00B0658A">
            <w:pPr>
              <w:pStyle w:val="ConsPlusNormal"/>
            </w:pPr>
          </w:p>
        </w:tc>
        <w:tc>
          <w:tcPr>
            <w:tcW w:w="1133" w:type="pct"/>
            <w:tcBorders>
              <w:top w:val="single" w:sz="4" w:space="0" w:color="auto"/>
              <w:left w:val="single" w:sz="4" w:space="0" w:color="auto"/>
              <w:bottom w:val="single" w:sz="4" w:space="0" w:color="auto"/>
              <w:right w:val="single" w:sz="4" w:space="0" w:color="auto"/>
            </w:tcBorders>
          </w:tcPr>
          <w:p w14:paraId="4E7B5F4F" w14:textId="77777777" w:rsidR="008319FB" w:rsidRPr="00B0658A" w:rsidRDefault="008319FB" w:rsidP="00B0658A">
            <w:pPr>
              <w:pStyle w:val="ConsPlusNormal"/>
            </w:pPr>
          </w:p>
        </w:tc>
        <w:tc>
          <w:tcPr>
            <w:tcW w:w="1188" w:type="pct"/>
            <w:tcBorders>
              <w:top w:val="single" w:sz="4" w:space="0" w:color="auto"/>
              <w:left w:val="single" w:sz="4" w:space="0" w:color="auto"/>
              <w:bottom w:val="single" w:sz="4" w:space="0" w:color="auto"/>
              <w:right w:val="single" w:sz="4" w:space="0" w:color="auto"/>
            </w:tcBorders>
          </w:tcPr>
          <w:p w14:paraId="6E042FF0" w14:textId="77777777" w:rsidR="008319FB" w:rsidRPr="00B0658A" w:rsidRDefault="008319FB" w:rsidP="00B0658A">
            <w:pPr>
              <w:pStyle w:val="ConsPlusNormal"/>
            </w:pPr>
          </w:p>
        </w:tc>
        <w:tc>
          <w:tcPr>
            <w:tcW w:w="622" w:type="pct"/>
            <w:tcBorders>
              <w:top w:val="single" w:sz="4" w:space="0" w:color="auto"/>
              <w:left w:val="single" w:sz="4" w:space="0" w:color="auto"/>
              <w:bottom w:val="single" w:sz="4" w:space="0" w:color="auto"/>
              <w:right w:val="single" w:sz="4" w:space="0" w:color="auto"/>
            </w:tcBorders>
          </w:tcPr>
          <w:p w14:paraId="31B00D03" w14:textId="77777777" w:rsidR="008319FB" w:rsidRPr="00B0658A" w:rsidRDefault="008319FB" w:rsidP="00B0658A">
            <w:pPr>
              <w:pStyle w:val="ConsPlusNormal"/>
            </w:pPr>
          </w:p>
        </w:tc>
        <w:tc>
          <w:tcPr>
            <w:tcW w:w="1024" w:type="pct"/>
            <w:tcBorders>
              <w:top w:val="single" w:sz="4" w:space="0" w:color="auto"/>
              <w:left w:val="single" w:sz="4" w:space="0" w:color="auto"/>
              <w:bottom w:val="single" w:sz="4" w:space="0" w:color="auto"/>
              <w:right w:val="single" w:sz="4" w:space="0" w:color="auto"/>
            </w:tcBorders>
          </w:tcPr>
          <w:p w14:paraId="49F00BA0" w14:textId="77777777" w:rsidR="008319FB" w:rsidRPr="00B0658A" w:rsidRDefault="008319FB" w:rsidP="00B0658A">
            <w:pPr>
              <w:pStyle w:val="ConsPlusNormal"/>
            </w:pPr>
          </w:p>
        </w:tc>
      </w:tr>
      <w:tr w:rsidR="00F52FED" w:rsidRPr="00B0658A" w14:paraId="105187BE" w14:textId="77777777" w:rsidTr="00AA11F5">
        <w:tc>
          <w:tcPr>
            <w:tcW w:w="204" w:type="pct"/>
            <w:tcBorders>
              <w:top w:val="single" w:sz="4" w:space="0" w:color="auto"/>
              <w:left w:val="single" w:sz="4" w:space="0" w:color="auto"/>
              <w:bottom w:val="single" w:sz="4" w:space="0" w:color="auto"/>
              <w:right w:val="single" w:sz="4" w:space="0" w:color="auto"/>
            </w:tcBorders>
          </w:tcPr>
          <w:p w14:paraId="67235A6E" w14:textId="77777777" w:rsidR="008319FB" w:rsidRPr="00B0658A" w:rsidRDefault="008319FB" w:rsidP="00B0658A">
            <w:pPr>
              <w:pStyle w:val="ConsPlusNormal"/>
            </w:pPr>
          </w:p>
        </w:tc>
        <w:tc>
          <w:tcPr>
            <w:tcW w:w="829" w:type="pct"/>
            <w:tcBorders>
              <w:top w:val="single" w:sz="4" w:space="0" w:color="auto"/>
              <w:left w:val="single" w:sz="4" w:space="0" w:color="auto"/>
              <w:bottom w:val="single" w:sz="4" w:space="0" w:color="auto"/>
              <w:right w:val="single" w:sz="4" w:space="0" w:color="auto"/>
            </w:tcBorders>
          </w:tcPr>
          <w:p w14:paraId="525118A8" w14:textId="77777777" w:rsidR="008319FB" w:rsidRPr="00B0658A" w:rsidRDefault="008319FB" w:rsidP="00B0658A">
            <w:pPr>
              <w:pStyle w:val="ConsPlusNormal"/>
            </w:pPr>
          </w:p>
        </w:tc>
        <w:tc>
          <w:tcPr>
            <w:tcW w:w="1133" w:type="pct"/>
            <w:tcBorders>
              <w:top w:val="single" w:sz="4" w:space="0" w:color="auto"/>
              <w:left w:val="single" w:sz="4" w:space="0" w:color="auto"/>
              <w:bottom w:val="single" w:sz="4" w:space="0" w:color="auto"/>
              <w:right w:val="single" w:sz="4" w:space="0" w:color="auto"/>
            </w:tcBorders>
          </w:tcPr>
          <w:p w14:paraId="0C2BD80D" w14:textId="77777777" w:rsidR="008319FB" w:rsidRPr="00B0658A" w:rsidRDefault="008319FB" w:rsidP="00B0658A">
            <w:pPr>
              <w:pStyle w:val="ConsPlusNormal"/>
            </w:pPr>
          </w:p>
        </w:tc>
        <w:tc>
          <w:tcPr>
            <w:tcW w:w="1188" w:type="pct"/>
            <w:tcBorders>
              <w:top w:val="single" w:sz="4" w:space="0" w:color="auto"/>
              <w:left w:val="single" w:sz="4" w:space="0" w:color="auto"/>
              <w:bottom w:val="single" w:sz="4" w:space="0" w:color="auto"/>
              <w:right w:val="single" w:sz="4" w:space="0" w:color="auto"/>
            </w:tcBorders>
          </w:tcPr>
          <w:p w14:paraId="090C173C" w14:textId="77777777" w:rsidR="008319FB" w:rsidRPr="00B0658A" w:rsidRDefault="008319FB" w:rsidP="00B0658A">
            <w:pPr>
              <w:pStyle w:val="ConsPlusNormal"/>
            </w:pPr>
          </w:p>
        </w:tc>
        <w:tc>
          <w:tcPr>
            <w:tcW w:w="622" w:type="pct"/>
            <w:tcBorders>
              <w:top w:val="single" w:sz="4" w:space="0" w:color="auto"/>
              <w:left w:val="single" w:sz="4" w:space="0" w:color="auto"/>
              <w:bottom w:val="single" w:sz="4" w:space="0" w:color="auto"/>
              <w:right w:val="single" w:sz="4" w:space="0" w:color="auto"/>
            </w:tcBorders>
          </w:tcPr>
          <w:p w14:paraId="2FE4083A" w14:textId="77777777" w:rsidR="008319FB" w:rsidRPr="00B0658A" w:rsidRDefault="008319FB" w:rsidP="00B0658A">
            <w:pPr>
              <w:pStyle w:val="ConsPlusNormal"/>
            </w:pPr>
          </w:p>
        </w:tc>
        <w:tc>
          <w:tcPr>
            <w:tcW w:w="1024" w:type="pct"/>
            <w:tcBorders>
              <w:top w:val="single" w:sz="4" w:space="0" w:color="auto"/>
              <w:left w:val="single" w:sz="4" w:space="0" w:color="auto"/>
              <w:bottom w:val="single" w:sz="4" w:space="0" w:color="auto"/>
              <w:right w:val="single" w:sz="4" w:space="0" w:color="auto"/>
            </w:tcBorders>
          </w:tcPr>
          <w:p w14:paraId="5A1C7215" w14:textId="77777777" w:rsidR="008319FB" w:rsidRPr="00B0658A" w:rsidRDefault="008319FB" w:rsidP="00B0658A">
            <w:pPr>
              <w:pStyle w:val="ConsPlusNormal"/>
            </w:pPr>
          </w:p>
        </w:tc>
      </w:tr>
      <w:tr w:rsidR="00F52FED" w:rsidRPr="00B0658A" w14:paraId="38E6C12F" w14:textId="77777777" w:rsidTr="00AA11F5">
        <w:tc>
          <w:tcPr>
            <w:tcW w:w="204" w:type="pct"/>
            <w:tcBorders>
              <w:top w:val="single" w:sz="4" w:space="0" w:color="auto"/>
              <w:left w:val="single" w:sz="4" w:space="0" w:color="auto"/>
              <w:bottom w:val="single" w:sz="4" w:space="0" w:color="auto"/>
              <w:right w:val="single" w:sz="4" w:space="0" w:color="auto"/>
            </w:tcBorders>
          </w:tcPr>
          <w:p w14:paraId="22D13E05" w14:textId="77777777" w:rsidR="008319FB" w:rsidRPr="00B0658A" w:rsidRDefault="008319FB" w:rsidP="00B0658A">
            <w:pPr>
              <w:pStyle w:val="ConsPlusNormal"/>
            </w:pPr>
          </w:p>
        </w:tc>
        <w:tc>
          <w:tcPr>
            <w:tcW w:w="829" w:type="pct"/>
            <w:tcBorders>
              <w:top w:val="single" w:sz="4" w:space="0" w:color="auto"/>
              <w:left w:val="single" w:sz="4" w:space="0" w:color="auto"/>
              <w:bottom w:val="single" w:sz="4" w:space="0" w:color="auto"/>
              <w:right w:val="single" w:sz="4" w:space="0" w:color="auto"/>
            </w:tcBorders>
          </w:tcPr>
          <w:p w14:paraId="50450FEB" w14:textId="77777777" w:rsidR="008319FB" w:rsidRPr="00B0658A" w:rsidRDefault="008319FB" w:rsidP="00B0658A">
            <w:pPr>
              <w:pStyle w:val="ConsPlusNormal"/>
            </w:pPr>
          </w:p>
        </w:tc>
        <w:tc>
          <w:tcPr>
            <w:tcW w:w="1133" w:type="pct"/>
            <w:tcBorders>
              <w:top w:val="single" w:sz="4" w:space="0" w:color="auto"/>
              <w:left w:val="single" w:sz="4" w:space="0" w:color="auto"/>
              <w:bottom w:val="single" w:sz="4" w:space="0" w:color="auto"/>
              <w:right w:val="single" w:sz="4" w:space="0" w:color="auto"/>
            </w:tcBorders>
          </w:tcPr>
          <w:p w14:paraId="04809CDE" w14:textId="77777777" w:rsidR="008319FB" w:rsidRPr="00B0658A" w:rsidRDefault="008319FB" w:rsidP="00B0658A">
            <w:pPr>
              <w:pStyle w:val="ConsPlusNormal"/>
            </w:pPr>
          </w:p>
        </w:tc>
        <w:tc>
          <w:tcPr>
            <w:tcW w:w="1188" w:type="pct"/>
            <w:tcBorders>
              <w:top w:val="single" w:sz="4" w:space="0" w:color="auto"/>
              <w:left w:val="single" w:sz="4" w:space="0" w:color="auto"/>
              <w:bottom w:val="single" w:sz="4" w:space="0" w:color="auto"/>
              <w:right w:val="single" w:sz="4" w:space="0" w:color="auto"/>
            </w:tcBorders>
          </w:tcPr>
          <w:p w14:paraId="550E92BD" w14:textId="77777777" w:rsidR="008319FB" w:rsidRPr="00B0658A" w:rsidRDefault="008319FB" w:rsidP="00B0658A">
            <w:pPr>
              <w:pStyle w:val="ConsPlusNormal"/>
            </w:pPr>
          </w:p>
        </w:tc>
        <w:tc>
          <w:tcPr>
            <w:tcW w:w="622" w:type="pct"/>
            <w:tcBorders>
              <w:top w:val="single" w:sz="4" w:space="0" w:color="auto"/>
              <w:left w:val="single" w:sz="4" w:space="0" w:color="auto"/>
              <w:bottom w:val="single" w:sz="4" w:space="0" w:color="auto"/>
              <w:right w:val="single" w:sz="4" w:space="0" w:color="auto"/>
            </w:tcBorders>
          </w:tcPr>
          <w:p w14:paraId="2B204F4D" w14:textId="77777777" w:rsidR="008319FB" w:rsidRPr="00B0658A" w:rsidRDefault="008319FB" w:rsidP="00B0658A">
            <w:pPr>
              <w:pStyle w:val="ConsPlusNormal"/>
            </w:pPr>
          </w:p>
        </w:tc>
        <w:tc>
          <w:tcPr>
            <w:tcW w:w="1024" w:type="pct"/>
            <w:tcBorders>
              <w:top w:val="single" w:sz="4" w:space="0" w:color="auto"/>
              <w:left w:val="single" w:sz="4" w:space="0" w:color="auto"/>
              <w:bottom w:val="single" w:sz="4" w:space="0" w:color="auto"/>
              <w:right w:val="single" w:sz="4" w:space="0" w:color="auto"/>
            </w:tcBorders>
          </w:tcPr>
          <w:p w14:paraId="118F135E" w14:textId="77777777" w:rsidR="008319FB" w:rsidRPr="00B0658A" w:rsidRDefault="008319FB" w:rsidP="00B0658A">
            <w:pPr>
              <w:pStyle w:val="ConsPlusNormal"/>
            </w:pPr>
          </w:p>
        </w:tc>
      </w:tr>
      <w:tr w:rsidR="008319FB" w:rsidRPr="00B0658A" w14:paraId="7532B9BD" w14:textId="77777777" w:rsidTr="00AA11F5">
        <w:tc>
          <w:tcPr>
            <w:tcW w:w="204" w:type="pct"/>
            <w:tcBorders>
              <w:top w:val="single" w:sz="4" w:space="0" w:color="auto"/>
              <w:left w:val="single" w:sz="4" w:space="0" w:color="auto"/>
              <w:bottom w:val="single" w:sz="4" w:space="0" w:color="auto"/>
              <w:right w:val="single" w:sz="4" w:space="0" w:color="auto"/>
            </w:tcBorders>
          </w:tcPr>
          <w:p w14:paraId="078DFF38" w14:textId="77777777" w:rsidR="008319FB" w:rsidRPr="00B0658A" w:rsidRDefault="008319FB" w:rsidP="00B0658A">
            <w:pPr>
              <w:pStyle w:val="ConsPlusNormal"/>
            </w:pPr>
          </w:p>
        </w:tc>
        <w:tc>
          <w:tcPr>
            <w:tcW w:w="829" w:type="pct"/>
            <w:tcBorders>
              <w:top w:val="single" w:sz="4" w:space="0" w:color="auto"/>
              <w:left w:val="single" w:sz="4" w:space="0" w:color="auto"/>
              <w:bottom w:val="single" w:sz="4" w:space="0" w:color="auto"/>
              <w:right w:val="single" w:sz="4" w:space="0" w:color="auto"/>
            </w:tcBorders>
          </w:tcPr>
          <w:p w14:paraId="6D84C455" w14:textId="77777777" w:rsidR="008319FB" w:rsidRPr="00B0658A" w:rsidRDefault="008319FB" w:rsidP="00B0658A">
            <w:pPr>
              <w:pStyle w:val="ConsPlusNormal"/>
            </w:pPr>
          </w:p>
        </w:tc>
        <w:tc>
          <w:tcPr>
            <w:tcW w:w="1133" w:type="pct"/>
            <w:tcBorders>
              <w:top w:val="single" w:sz="4" w:space="0" w:color="auto"/>
              <w:left w:val="single" w:sz="4" w:space="0" w:color="auto"/>
              <w:bottom w:val="single" w:sz="4" w:space="0" w:color="auto"/>
              <w:right w:val="single" w:sz="4" w:space="0" w:color="auto"/>
            </w:tcBorders>
          </w:tcPr>
          <w:p w14:paraId="196CEB8A" w14:textId="77777777" w:rsidR="008319FB" w:rsidRPr="00B0658A" w:rsidRDefault="008319FB" w:rsidP="00B0658A">
            <w:pPr>
              <w:pStyle w:val="ConsPlusNormal"/>
            </w:pPr>
          </w:p>
        </w:tc>
        <w:tc>
          <w:tcPr>
            <w:tcW w:w="1188" w:type="pct"/>
            <w:tcBorders>
              <w:top w:val="single" w:sz="4" w:space="0" w:color="auto"/>
              <w:left w:val="single" w:sz="4" w:space="0" w:color="auto"/>
              <w:bottom w:val="single" w:sz="4" w:space="0" w:color="auto"/>
              <w:right w:val="single" w:sz="4" w:space="0" w:color="auto"/>
            </w:tcBorders>
          </w:tcPr>
          <w:p w14:paraId="0294CDF3" w14:textId="77777777" w:rsidR="008319FB" w:rsidRPr="00B0658A" w:rsidRDefault="008319FB" w:rsidP="00B0658A">
            <w:pPr>
              <w:pStyle w:val="ConsPlusNormal"/>
            </w:pPr>
          </w:p>
        </w:tc>
        <w:tc>
          <w:tcPr>
            <w:tcW w:w="622" w:type="pct"/>
            <w:tcBorders>
              <w:top w:val="single" w:sz="4" w:space="0" w:color="auto"/>
              <w:left w:val="single" w:sz="4" w:space="0" w:color="auto"/>
              <w:bottom w:val="single" w:sz="4" w:space="0" w:color="auto"/>
              <w:right w:val="single" w:sz="4" w:space="0" w:color="auto"/>
            </w:tcBorders>
          </w:tcPr>
          <w:p w14:paraId="21AD9B53" w14:textId="77777777" w:rsidR="008319FB" w:rsidRPr="00B0658A" w:rsidRDefault="008319FB" w:rsidP="00B0658A">
            <w:pPr>
              <w:pStyle w:val="ConsPlusNormal"/>
            </w:pPr>
          </w:p>
        </w:tc>
        <w:tc>
          <w:tcPr>
            <w:tcW w:w="1024" w:type="pct"/>
            <w:tcBorders>
              <w:top w:val="single" w:sz="4" w:space="0" w:color="auto"/>
              <w:left w:val="single" w:sz="4" w:space="0" w:color="auto"/>
              <w:bottom w:val="single" w:sz="4" w:space="0" w:color="auto"/>
              <w:right w:val="single" w:sz="4" w:space="0" w:color="auto"/>
            </w:tcBorders>
          </w:tcPr>
          <w:p w14:paraId="1C2C93E7" w14:textId="77777777" w:rsidR="008319FB" w:rsidRPr="00B0658A" w:rsidRDefault="008319FB" w:rsidP="00B0658A">
            <w:pPr>
              <w:pStyle w:val="ConsPlusNormal"/>
            </w:pPr>
          </w:p>
        </w:tc>
      </w:tr>
    </w:tbl>
    <w:p w14:paraId="360C8A09" w14:textId="77777777" w:rsidR="00375CEF" w:rsidRDefault="00375CEF">
      <w:pPr>
        <w:spacing w:after="0" w:line="240" w:lineRule="auto"/>
        <w:rPr>
          <w:rFonts w:ascii="Times New Roman" w:hAnsi="Times New Roman"/>
          <w:sz w:val="28"/>
          <w:szCs w:val="24"/>
        </w:rPr>
      </w:pPr>
      <w:r>
        <w:rPr>
          <w:rFonts w:ascii="Times New Roman" w:hAnsi="Times New Roman"/>
          <w:sz w:val="28"/>
          <w:szCs w:val="24"/>
        </w:rPr>
        <w:br w:type="page"/>
      </w:r>
    </w:p>
    <w:p w14:paraId="1A185736" w14:textId="77777777" w:rsidR="008319FB" w:rsidRPr="00B0658A" w:rsidRDefault="008319FB" w:rsidP="008319FB">
      <w:pPr>
        <w:spacing w:before="120" w:after="0" w:line="240" w:lineRule="auto"/>
        <w:jc w:val="both"/>
        <w:rPr>
          <w:rFonts w:ascii="Times New Roman" w:hAnsi="Times New Roman"/>
          <w:sz w:val="28"/>
          <w:szCs w:val="24"/>
        </w:rPr>
      </w:pPr>
      <w:r w:rsidRPr="00B0658A">
        <w:rPr>
          <w:rFonts w:ascii="Times New Roman" w:hAnsi="Times New Roman"/>
          <w:sz w:val="28"/>
          <w:szCs w:val="24"/>
        </w:rPr>
        <w:lastRenderedPageBreak/>
        <w:t>Раздел 2. «Показатели эффективности и соответствующи</w:t>
      </w:r>
      <w:r w:rsidR="00B806D8" w:rsidRPr="00B0658A">
        <w:rPr>
          <w:rFonts w:ascii="Times New Roman" w:hAnsi="Times New Roman"/>
          <w:sz w:val="28"/>
          <w:szCs w:val="24"/>
        </w:rPr>
        <w:t>е</w:t>
      </w:r>
      <w:r w:rsidRPr="00B0658A">
        <w:rPr>
          <w:rFonts w:ascii="Times New Roman" w:hAnsi="Times New Roman"/>
          <w:sz w:val="28"/>
          <w:szCs w:val="24"/>
        </w:rPr>
        <w:t xml:space="preserve"> им значения индикаторов эффективности перехода на использование российского ПО»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846"/>
        <w:gridCol w:w="1559"/>
        <w:gridCol w:w="1418"/>
        <w:gridCol w:w="744"/>
        <w:gridCol w:w="744"/>
        <w:gridCol w:w="744"/>
        <w:gridCol w:w="744"/>
        <w:gridCol w:w="993"/>
        <w:gridCol w:w="779"/>
        <w:gridCol w:w="780"/>
        <w:gridCol w:w="779"/>
        <w:gridCol w:w="780"/>
        <w:gridCol w:w="779"/>
        <w:gridCol w:w="780"/>
        <w:gridCol w:w="1475"/>
      </w:tblGrid>
      <w:tr w:rsidR="00F52FED" w:rsidRPr="00B0658A" w14:paraId="2BB85DDD" w14:textId="77777777" w:rsidTr="00E66BA4">
        <w:trPr>
          <w:trHeight w:val="20"/>
          <w:tblHeader/>
        </w:trPr>
        <w:tc>
          <w:tcPr>
            <w:tcW w:w="846" w:type="dxa"/>
            <w:shd w:val="clear" w:color="000000" w:fill="E7E6E6"/>
            <w:vAlign w:val="center"/>
            <w:hideMark/>
          </w:tcPr>
          <w:p w14:paraId="32D66139" w14:textId="77777777" w:rsidR="001C32C8" w:rsidRPr="00B0658A" w:rsidRDefault="001C32C8" w:rsidP="00004A41">
            <w:pPr>
              <w:spacing w:after="0" w:line="240" w:lineRule="auto"/>
              <w:jc w:val="center"/>
              <w:rPr>
                <w:rFonts w:ascii="Times New Roman" w:hAnsi="Times New Roman"/>
                <w:b/>
                <w:bCs/>
                <w:sz w:val="18"/>
                <w:szCs w:val="18"/>
              </w:rPr>
            </w:pPr>
            <w:r w:rsidRPr="00B0658A">
              <w:rPr>
                <w:rFonts w:ascii="Times New Roman" w:hAnsi="Times New Roman"/>
                <w:b/>
                <w:bCs/>
                <w:sz w:val="18"/>
                <w:szCs w:val="18"/>
              </w:rPr>
              <w:t>№ раздела/ класса</w:t>
            </w:r>
          </w:p>
        </w:tc>
        <w:tc>
          <w:tcPr>
            <w:tcW w:w="1559" w:type="dxa"/>
            <w:shd w:val="clear" w:color="000000" w:fill="E7E6E6"/>
            <w:vAlign w:val="center"/>
            <w:hideMark/>
          </w:tcPr>
          <w:p w14:paraId="655CA0CB" w14:textId="77777777" w:rsidR="001C32C8" w:rsidRPr="00B0658A" w:rsidRDefault="001C32C8" w:rsidP="00004A41">
            <w:pPr>
              <w:spacing w:after="0" w:line="240" w:lineRule="auto"/>
              <w:jc w:val="center"/>
              <w:rPr>
                <w:rFonts w:ascii="Times New Roman" w:hAnsi="Times New Roman"/>
                <w:b/>
                <w:bCs/>
                <w:sz w:val="18"/>
                <w:szCs w:val="18"/>
              </w:rPr>
            </w:pPr>
            <w:r w:rsidRPr="00B0658A">
              <w:rPr>
                <w:rFonts w:ascii="Times New Roman" w:hAnsi="Times New Roman"/>
                <w:b/>
                <w:bCs/>
                <w:sz w:val="18"/>
                <w:szCs w:val="18"/>
              </w:rPr>
              <w:t xml:space="preserve">Наименование класса (типа) </w:t>
            </w:r>
            <w:r w:rsidR="002A2A07" w:rsidRPr="00B0658A">
              <w:rPr>
                <w:rFonts w:ascii="Times New Roman" w:hAnsi="Times New Roman"/>
                <w:b/>
                <w:bCs/>
                <w:sz w:val="18"/>
                <w:szCs w:val="18"/>
              </w:rPr>
              <w:t>ПО</w:t>
            </w:r>
          </w:p>
        </w:tc>
        <w:tc>
          <w:tcPr>
            <w:tcW w:w="1418" w:type="dxa"/>
            <w:shd w:val="clear" w:color="000000" w:fill="E7E6E6"/>
            <w:vAlign w:val="center"/>
            <w:hideMark/>
          </w:tcPr>
          <w:p w14:paraId="2D918AD3" w14:textId="77777777" w:rsidR="001C32C8" w:rsidRPr="00B0658A" w:rsidRDefault="001C32C8" w:rsidP="00004A41">
            <w:pPr>
              <w:spacing w:after="0" w:line="240" w:lineRule="auto"/>
              <w:jc w:val="center"/>
              <w:rPr>
                <w:rFonts w:ascii="Times New Roman" w:hAnsi="Times New Roman"/>
                <w:b/>
                <w:bCs/>
                <w:sz w:val="18"/>
                <w:szCs w:val="18"/>
              </w:rPr>
            </w:pPr>
            <w:r w:rsidRPr="00B0658A">
              <w:rPr>
                <w:rFonts w:ascii="Times New Roman" w:hAnsi="Times New Roman"/>
                <w:b/>
                <w:bCs/>
                <w:sz w:val="18"/>
                <w:szCs w:val="18"/>
              </w:rPr>
              <w:t>Наименование целевого показателя</w:t>
            </w:r>
          </w:p>
        </w:tc>
        <w:tc>
          <w:tcPr>
            <w:tcW w:w="744" w:type="dxa"/>
            <w:shd w:val="clear" w:color="000000" w:fill="E7E6E6"/>
            <w:vAlign w:val="center"/>
          </w:tcPr>
          <w:p w14:paraId="43879CE4" w14:textId="77777777" w:rsidR="001C32C8" w:rsidRPr="00B0658A" w:rsidRDefault="001C32C8" w:rsidP="00004A41">
            <w:pPr>
              <w:spacing w:after="0" w:line="240" w:lineRule="auto"/>
              <w:jc w:val="center"/>
              <w:rPr>
                <w:rFonts w:ascii="Times New Roman" w:hAnsi="Times New Roman"/>
                <w:b/>
                <w:bCs/>
                <w:sz w:val="18"/>
                <w:szCs w:val="18"/>
              </w:rPr>
            </w:pPr>
            <w:r w:rsidRPr="00B0658A">
              <w:rPr>
                <w:rFonts w:ascii="Times New Roman" w:hAnsi="Times New Roman"/>
                <w:b/>
                <w:bCs/>
                <w:sz w:val="18"/>
                <w:szCs w:val="18"/>
              </w:rPr>
              <w:t>2021 г.</w:t>
            </w:r>
          </w:p>
          <w:p w14:paraId="449AA14F" w14:textId="77777777" w:rsidR="001C32C8" w:rsidRPr="00B0658A" w:rsidRDefault="001C32C8" w:rsidP="00004A41">
            <w:pPr>
              <w:spacing w:after="0" w:line="240" w:lineRule="auto"/>
              <w:jc w:val="center"/>
              <w:rPr>
                <w:rFonts w:ascii="Times New Roman" w:hAnsi="Times New Roman"/>
                <w:b/>
                <w:bCs/>
                <w:sz w:val="18"/>
                <w:szCs w:val="18"/>
              </w:rPr>
            </w:pPr>
            <w:r w:rsidRPr="00B0658A">
              <w:rPr>
                <w:rFonts w:ascii="Times New Roman" w:hAnsi="Times New Roman"/>
                <w:b/>
                <w:bCs/>
                <w:sz w:val="18"/>
                <w:szCs w:val="18"/>
              </w:rPr>
              <w:t>(факт)</w:t>
            </w:r>
          </w:p>
        </w:tc>
        <w:tc>
          <w:tcPr>
            <w:tcW w:w="744" w:type="dxa"/>
            <w:shd w:val="clear" w:color="000000" w:fill="E7E6E6"/>
            <w:noWrap/>
            <w:vAlign w:val="center"/>
            <w:hideMark/>
          </w:tcPr>
          <w:p w14:paraId="7B2B1C4D" w14:textId="77777777" w:rsidR="001C32C8" w:rsidRPr="00B0658A" w:rsidRDefault="001C32C8" w:rsidP="00004A41">
            <w:pPr>
              <w:spacing w:after="0" w:line="240" w:lineRule="auto"/>
              <w:jc w:val="center"/>
              <w:rPr>
                <w:rFonts w:ascii="Times New Roman" w:hAnsi="Times New Roman"/>
                <w:b/>
                <w:bCs/>
                <w:sz w:val="18"/>
                <w:szCs w:val="18"/>
              </w:rPr>
            </w:pPr>
            <w:r w:rsidRPr="00B0658A">
              <w:rPr>
                <w:rFonts w:ascii="Times New Roman" w:hAnsi="Times New Roman"/>
                <w:b/>
                <w:bCs/>
                <w:sz w:val="18"/>
                <w:szCs w:val="18"/>
              </w:rPr>
              <w:t>2022 г.</w:t>
            </w:r>
          </w:p>
          <w:p w14:paraId="3FE9B68D" w14:textId="77777777" w:rsidR="001C32C8" w:rsidRPr="00B0658A" w:rsidRDefault="001C32C8" w:rsidP="00004A41">
            <w:pPr>
              <w:spacing w:after="0" w:line="240" w:lineRule="auto"/>
              <w:jc w:val="center"/>
              <w:rPr>
                <w:rFonts w:ascii="Times New Roman" w:hAnsi="Times New Roman"/>
                <w:b/>
                <w:bCs/>
                <w:sz w:val="18"/>
                <w:szCs w:val="18"/>
              </w:rPr>
            </w:pPr>
            <w:r w:rsidRPr="00B0658A">
              <w:rPr>
                <w:rFonts w:ascii="Times New Roman" w:hAnsi="Times New Roman"/>
                <w:b/>
                <w:bCs/>
                <w:sz w:val="18"/>
                <w:szCs w:val="18"/>
              </w:rPr>
              <w:t>(план)</w:t>
            </w:r>
          </w:p>
        </w:tc>
        <w:tc>
          <w:tcPr>
            <w:tcW w:w="744" w:type="dxa"/>
            <w:shd w:val="clear" w:color="000000" w:fill="E7E6E6"/>
            <w:vAlign w:val="center"/>
            <w:hideMark/>
          </w:tcPr>
          <w:p w14:paraId="040D0D60" w14:textId="77777777" w:rsidR="001C32C8" w:rsidRPr="00B0658A" w:rsidRDefault="001C32C8" w:rsidP="00004A41">
            <w:pPr>
              <w:spacing w:after="0" w:line="240" w:lineRule="auto"/>
              <w:jc w:val="center"/>
              <w:rPr>
                <w:rFonts w:ascii="Times New Roman" w:hAnsi="Times New Roman"/>
                <w:b/>
                <w:bCs/>
                <w:sz w:val="18"/>
                <w:szCs w:val="18"/>
              </w:rPr>
            </w:pPr>
            <w:r w:rsidRPr="00B0658A">
              <w:rPr>
                <w:rFonts w:ascii="Times New Roman" w:hAnsi="Times New Roman"/>
                <w:b/>
                <w:bCs/>
                <w:sz w:val="18"/>
                <w:szCs w:val="18"/>
              </w:rPr>
              <w:t>2023 г.</w:t>
            </w:r>
          </w:p>
          <w:p w14:paraId="03C6E0AA" w14:textId="77777777" w:rsidR="001C32C8" w:rsidRPr="00B0658A" w:rsidRDefault="001C32C8" w:rsidP="00004A41">
            <w:pPr>
              <w:spacing w:after="0" w:line="240" w:lineRule="auto"/>
              <w:jc w:val="center"/>
              <w:rPr>
                <w:rFonts w:ascii="Times New Roman" w:hAnsi="Times New Roman"/>
                <w:b/>
                <w:bCs/>
                <w:sz w:val="18"/>
                <w:szCs w:val="18"/>
              </w:rPr>
            </w:pPr>
            <w:r w:rsidRPr="00B0658A">
              <w:rPr>
                <w:rFonts w:ascii="Times New Roman" w:hAnsi="Times New Roman"/>
                <w:b/>
                <w:bCs/>
                <w:sz w:val="18"/>
                <w:szCs w:val="18"/>
              </w:rPr>
              <w:t>(план)</w:t>
            </w:r>
          </w:p>
        </w:tc>
        <w:tc>
          <w:tcPr>
            <w:tcW w:w="744" w:type="dxa"/>
            <w:shd w:val="clear" w:color="000000" w:fill="E7E6E6"/>
            <w:noWrap/>
            <w:vAlign w:val="center"/>
            <w:hideMark/>
          </w:tcPr>
          <w:p w14:paraId="7FA5837D" w14:textId="77777777" w:rsidR="001C32C8" w:rsidRPr="00B0658A" w:rsidRDefault="001C32C8" w:rsidP="00004A41">
            <w:pPr>
              <w:spacing w:after="0" w:line="240" w:lineRule="auto"/>
              <w:jc w:val="center"/>
              <w:rPr>
                <w:rFonts w:ascii="Times New Roman" w:hAnsi="Times New Roman"/>
                <w:b/>
                <w:bCs/>
                <w:sz w:val="18"/>
                <w:szCs w:val="18"/>
              </w:rPr>
            </w:pPr>
            <w:r w:rsidRPr="00B0658A">
              <w:rPr>
                <w:rFonts w:ascii="Times New Roman" w:hAnsi="Times New Roman"/>
                <w:b/>
                <w:bCs/>
                <w:sz w:val="18"/>
                <w:szCs w:val="18"/>
              </w:rPr>
              <w:t>2024 г.</w:t>
            </w:r>
          </w:p>
          <w:p w14:paraId="0BB25949" w14:textId="77777777" w:rsidR="001C32C8" w:rsidRPr="00B0658A" w:rsidRDefault="001C32C8" w:rsidP="00004A41">
            <w:pPr>
              <w:spacing w:after="0" w:line="240" w:lineRule="auto"/>
              <w:jc w:val="center"/>
              <w:rPr>
                <w:rFonts w:ascii="Times New Roman" w:hAnsi="Times New Roman"/>
                <w:b/>
                <w:bCs/>
                <w:sz w:val="18"/>
                <w:szCs w:val="18"/>
              </w:rPr>
            </w:pPr>
            <w:r w:rsidRPr="00B0658A">
              <w:rPr>
                <w:rFonts w:ascii="Times New Roman" w:hAnsi="Times New Roman"/>
                <w:b/>
                <w:bCs/>
                <w:sz w:val="18"/>
                <w:szCs w:val="18"/>
              </w:rPr>
              <w:t>(план)</w:t>
            </w:r>
          </w:p>
        </w:tc>
        <w:tc>
          <w:tcPr>
            <w:tcW w:w="993" w:type="dxa"/>
            <w:shd w:val="clear" w:color="auto" w:fill="E7E6E6" w:themeFill="background2"/>
            <w:vAlign w:val="center"/>
          </w:tcPr>
          <w:p w14:paraId="5417F732" w14:textId="77777777" w:rsidR="001C32C8" w:rsidRPr="00B0658A" w:rsidRDefault="001C32C8" w:rsidP="00004A41">
            <w:pPr>
              <w:spacing w:after="0" w:line="240" w:lineRule="auto"/>
              <w:jc w:val="center"/>
              <w:rPr>
                <w:rFonts w:ascii="Times New Roman" w:hAnsi="Times New Roman"/>
                <w:b/>
                <w:bCs/>
                <w:sz w:val="18"/>
                <w:szCs w:val="18"/>
              </w:rPr>
            </w:pPr>
            <w:r w:rsidRPr="00B0658A">
              <w:rPr>
                <w:rFonts w:ascii="Times New Roman" w:hAnsi="Times New Roman"/>
                <w:b/>
                <w:bCs/>
                <w:sz w:val="18"/>
                <w:szCs w:val="18"/>
              </w:rPr>
              <w:t>2024 г.</w:t>
            </w:r>
            <w:r w:rsidRPr="00B0658A">
              <w:rPr>
                <w:rFonts w:ascii="Times New Roman" w:hAnsi="Times New Roman"/>
                <w:b/>
                <w:bCs/>
                <w:sz w:val="18"/>
                <w:szCs w:val="18"/>
              </w:rPr>
              <w:br/>
            </w:r>
            <w:r w:rsidRPr="00B0658A">
              <w:rPr>
                <w:rFonts w:ascii="Times New Roman" w:hAnsi="Times New Roman"/>
                <w:bCs/>
                <w:sz w:val="18"/>
                <w:szCs w:val="18"/>
              </w:rPr>
              <w:t>(для значимых объектов КИИ)</w:t>
            </w:r>
          </w:p>
        </w:tc>
        <w:tc>
          <w:tcPr>
            <w:tcW w:w="779" w:type="dxa"/>
            <w:shd w:val="clear" w:color="000000" w:fill="E7E6E6"/>
            <w:vAlign w:val="center"/>
            <w:hideMark/>
          </w:tcPr>
          <w:p w14:paraId="3673236A" w14:textId="77777777" w:rsidR="001C32C8" w:rsidRPr="00B0658A" w:rsidRDefault="001C32C8" w:rsidP="00004A41">
            <w:pPr>
              <w:spacing w:after="0" w:line="240" w:lineRule="auto"/>
              <w:jc w:val="center"/>
              <w:rPr>
                <w:rFonts w:ascii="Times New Roman" w:hAnsi="Times New Roman"/>
                <w:b/>
                <w:bCs/>
                <w:sz w:val="18"/>
                <w:szCs w:val="18"/>
              </w:rPr>
            </w:pPr>
            <w:r w:rsidRPr="00B0658A">
              <w:rPr>
                <w:rFonts w:ascii="Times New Roman" w:hAnsi="Times New Roman"/>
                <w:b/>
                <w:bCs/>
                <w:sz w:val="18"/>
                <w:szCs w:val="18"/>
              </w:rPr>
              <w:t>2025 г.</w:t>
            </w:r>
          </w:p>
          <w:p w14:paraId="7A2262B6" w14:textId="77777777" w:rsidR="001C32C8" w:rsidRPr="00B0658A" w:rsidRDefault="001C32C8" w:rsidP="00004A41">
            <w:pPr>
              <w:spacing w:after="0" w:line="240" w:lineRule="auto"/>
              <w:jc w:val="center"/>
              <w:rPr>
                <w:rFonts w:ascii="Times New Roman" w:hAnsi="Times New Roman"/>
                <w:b/>
                <w:bCs/>
                <w:sz w:val="18"/>
                <w:szCs w:val="18"/>
              </w:rPr>
            </w:pPr>
            <w:r w:rsidRPr="00B0658A">
              <w:rPr>
                <w:rFonts w:ascii="Times New Roman" w:hAnsi="Times New Roman"/>
                <w:b/>
                <w:bCs/>
                <w:sz w:val="18"/>
                <w:szCs w:val="18"/>
              </w:rPr>
              <w:t>(план)</w:t>
            </w:r>
          </w:p>
        </w:tc>
        <w:tc>
          <w:tcPr>
            <w:tcW w:w="780" w:type="dxa"/>
            <w:shd w:val="clear" w:color="000000" w:fill="E7E6E6"/>
            <w:vAlign w:val="center"/>
            <w:hideMark/>
          </w:tcPr>
          <w:p w14:paraId="1431CBB8" w14:textId="77777777" w:rsidR="001C32C8" w:rsidRPr="00B0658A" w:rsidRDefault="001C32C8" w:rsidP="00004A41">
            <w:pPr>
              <w:spacing w:after="0" w:line="240" w:lineRule="auto"/>
              <w:jc w:val="center"/>
              <w:rPr>
                <w:rFonts w:ascii="Times New Roman" w:hAnsi="Times New Roman"/>
                <w:b/>
                <w:bCs/>
                <w:sz w:val="18"/>
                <w:szCs w:val="18"/>
              </w:rPr>
            </w:pPr>
            <w:r w:rsidRPr="00B0658A">
              <w:rPr>
                <w:rFonts w:ascii="Times New Roman" w:hAnsi="Times New Roman"/>
                <w:b/>
                <w:bCs/>
                <w:sz w:val="18"/>
                <w:szCs w:val="18"/>
              </w:rPr>
              <w:t>2026 г.</w:t>
            </w:r>
          </w:p>
          <w:p w14:paraId="5560FF06" w14:textId="77777777" w:rsidR="001C32C8" w:rsidRPr="00B0658A" w:rsidRDefault="001C32C8" w:rsidP="00004A41">
            <w:pPr>
              <w:spacing w:after="0" w:line="240" w:lineRule="auto"/>
              <w:jc w:val="center"/>
              <w:rPr>
                <w:rFonts w:ascii="Times New Roman" w:hAnsi="Times New Roman"/>
                <w:b/>
                <w:bCs/>
                <w:sz w:val="18"/>
                <w:szCs w:val="18"/>
              </w:rPr>
            </w:pPr>
            <w:r w:rsidRPr="00B0658A">
              <w:rPr>
                <w:rFonts w:ascii="Times New Roman" w:hAnsi="Times New Roman"/>
                <w:b/>
                <w:bCs/>
                <w:sz w:val="18"/>
                <w:szCs w:val="18"/>
              </w:rPr>
              <w:t>(план)</w:t>
            </w:r>
          </w:p>
        </w:tc>
        <w:tc>
          <w:tcPr>
            <w:tcW w:w="779" w:type="dxa"/>
            <w:shd w:val="clear" w:color="000000" w:fill="E7E6E6"/>
            <w:vAlign w:val="center"/>
            <w:hideMark/>
          </w:tcPr>
          <w:p w14:paraId="05247754" w14:textId="77777777" w:rsidR="001C32C8" w:rsidRPr="00B0658A" w:rsidRDefault="001C32C8" w:rsidP="00004A41">
            <w:pPr>
              <w:spacing w:after="0" w:line="240" w:lineRule="auto"/>
              <w:jc w:val="center"/>
              <w:rPr>
                <w:rFonts w:ascii="Times New Roman" w:hAnsi="Times New Roman"/>
                <w:b/>
                <w:bCs/>
                <w:sz w:val="18"/>
                <w:szCs w:val="18"/>
              </w:rPr>
            </w:pPr>
            <w:r w:rsidRPr="00B0658A">
              <w:rPr>
                <w:rFonts w:ascii="Times New Roman" w:hAnsi="Times New Roman"/>
                <w:b/>
                <w:bCs/>
                <w:sz w:val="18"/>
                <w:szCs w:val="18"/>
              </w:rPr>
              <w:t>2027 г.</w:t>
            </w:r>
          </w:p>
          <w:p w14:paraId="63028570" w14:textId="77777777" w:rsidR="001C32C8" w:rsidRPr="00B0658A" w:rsidRDefault="001C32C8" w:rsidP="00004A41">
            <w:pPr>
              <w:spacing w:after="0" w:line="240" w:lineRule="auto"/>
              <w:jc w:val="center"/>
              <w:rPr>
                <w:rFonts w:ascii="Times New Roman" w:hAnsi="Times New Roman"/>
                <w:b/>
                <w:bCs/>
                <w:sz w:val="18"/>
                <w:szCs w:val="18"/>
              </w:rPr>
            </w:pPr>
            <w:r w:rsidRPr="00B0658A">
              <w:rPr>
                <w:rFonts w:ascii="Times New Roman" w:hAnsi="Times New Roman"/>
                <w:b/>
                <w:bCs/>
                <w:sz w:val="18"/>
                <w:szCs w:val="18"/>
              </w:rPr>
              <w:t>(план)</w:t>
            </w:r>
          </w:p>
        </w:tc>
        <w:tc>
          <w:tcPr>
            <w:tcW w:w="780" w:type="dxa"/>
            <w:shd w:val="clear" w:color="000000" w:fill="E7E6E6"/>
            <w:vAlign w:val="center"/>
          </w:tcPr>
          <w:p w14:paraId="72C6152B" w14:textId="77777777" w:rsidR="001C32C8" w:rsidRPr="00B0658A" w:rsidRDefault="001C32C8" w:rsidP="00004A41">
            <w:pPr>
              <w:spacing w:after="0" w:line="240" w:lineRule="auto"/>
              <w:jc w:val="center"/>
              <w:rPr>
                <w:rFonts w:ascii="Times New Roman" w:hAnsi="Times New Roman"/>
                <w:b/>
                <w:bCs/>
                <w:sz w:val="18"/>
                <w:szCs w:val="18"/>
              </w:rPr>
            </w:pPr>
            <w:r w:rsidRPr="00B0658A">
              <w:rPr>
                <w:rFonts w:ascii="Times New Roman" w:hAnsi="Times New Roman"/>
                <w:b/>
                <w:bCs/>
                <w:sz w:val="18"/>
                <w:szCs w:val="18"/>
              </w:rPr>
              <w:t>2028 г.</w:t>
            </w:r>
          </w:p>
          <w:p w14:paraId="3426F9A6" w14:textId="77777777" w:rsidR="001C32C8" w:rsidRPr="00B0658A" w:rsidRDefault="001C32C8" w:rsidP="00004A41">
            <w:pPr>
              <w:spacing w:after="0" w:line="240" w:lineRule="auto"/>
              <w:jc w:val="center"/>
              <w:rPr>
                <w:rFonts w:ascii="Times New Roman" w:hAnsi="Times New Roman"/>
                <w:b/>
                <w:bCs/>
                <w:sz w:val="18"/>
                <w:szCs w:val="18"/>
              </w:rPr>
            </w:pPr>
            <w:r w:rsidRPr="00B0658A">
              <w:rPr>
                <w:rFonts w:ascii="Times New Roman" w:hAnsi="Times New Roman"/>
                <w:b/>
                <w:bCs/>
                <w:sz w:val="18"/>
                <w:szCs w:val="18"/>
              </w:rPr>
              <w:t>(план)</w:t>
            </w:r>
          </w:p>
        </w:tc>
        <w:tc>
          <w:tcPr>
            <w:tcW w:w="779" w:type="dxa"/>
            <w:shd w:val="clear" w:color="000000" w:fill="E7E6E6"/>
            <w:vAlign w:val="center"/>
          </w:tcPr>
          <w:p w14:paraId="564425DA" w14:textId="77777777" w:rsidR="001C32C8" w:rsidRPr="00B0658A" w:rsidRDefault="001C32C8" w:rsidP="00004A41">
            <w:pPr>
              <w:spacing w:after="0" w:line="240" w:lineRule="auto"/>
              <w:jc w:val="center"/>
              <w:rPr>
                <w:rFonts w:ascii="Times New Roman" w:hAnsi="Times New Roman"/>
                <w:b/>
                <w:bCs/>
                <w:sz w:val="18"/>
                <w:szCs w:val="18"/>
              </w:rPr>
            </w:pPr>
            <w:r w:rsidRPr="00B0658A">
              <w:rPr>
                <w:rFonts w:ascii="Times New Roman" w:hAnsi="Times New Roman"/>
                <w:b/>
                <w:bCs/>
                <w:sz w:val="18"/>
                <w:szCs w:val="18"/>
              </w:rPr>
              <w:t>2029 г.</w:t>
            </w:r>
          </w:p>
          <w:p w14:paraId="0F6D0027" w14:textId="77777777" w:rsidR="001C32C8" w:rsidRPr="00B0658A" w:rsidRDefault="001C32C8" w:rsidP="00004A41">
            <w:pPr>
              <w:spacing w:after="0" w:line="240" w:lineRule="auto"/>
              <w:jc w:val="center"/>
              <w:rPr>
                <w:rFonts w:ascii="Times New Roman" w:hAnsi="Times New Roman"/>
                <w:b/>
                <w:bCs/>
                <w:sz w:val="18"/>
                <w:szCs w:val="18"/>
              </w:rPr>
            </w:pPr>
            <w:r w:rsidRPr="00B0658A">
              <w:rPr>
                <w:rFonts w:ascii="Times New Roman" w:hAnsi="Times New Roman"/>
                <w:b/>
                <w:bCs/>
                <w:sz w:val="18"/>
                <w:szCs w:val="18"/>
              </w:rPr>
              <w:t>(план)</w:t>
            </w:r>
          </w:p>
        </w:tc>
        <w:tc>
          <w:tcPr>
            <w:tcW w:w="780" w:type="dxa"/>
            <w:shd w:val="clear" w:color="000000" w:fill="E7E6E6"/>
            <w:vAlign w:val="center"/>
          </w:tcPr>
          <w:p w14:paraId="63AB977B" w14:textId="77777777" w:rsidR="001C32C8" w:rsidRPr="00B0658A" w:rsidRDefault="001C32C8" w:rsidP="00004A41">
            <w:pPr>
              <w:spacing w:after="0" w:line="240" w:lineRule="auto"/>
              <w:jc w:val="center"/>
              <w:rPr>
                <w:rFonts w:ascii="Times New Roman" w:hAnsi="Times New Roman"/>
                <w:b/>
                <w:bCs/>
                <w:sz w:val="18"/>
                <w:szCs w:val="18"/>
              </w:rPr>
            </w:pPr>
            <w:r w:rsidRPr="00B0658A">
              <w:rPr>
                <w:rFonts w:ascii="Times New Roman" w:hAnsi="Times New Roman"/>
                <w:b/>
                <w:bCs/>
                <w:sz w:val="18"/>
                <w:szCs w:val="18"/>
              </w:rPr>
              <w:t>2030 г.</w:t>
            </w:r>
          </w:p>
          <w:p w14:paraId="48DF362E" w14:textId="77777777" w:rsidR="001C32C8" w:rsidRPr="00B0658A" w:rsidRDefault="001C32C8" w:rsidP="00004A41">
            <w:pPr>
              <w:spacing w:after="0" w:line="240" w:lineRule="auto"/>
              <w:jc w:val="center"/>
              <w:rPr>
                <w:rFonts w:ascii="Times New Roman" w:hAnsi="Times New Roman"/>
                <w:b/>
                <w:bCs/>
                <w:sz w:val="18"/>
                <w:szCs w:val="18"/>
              </w:rPr>
            </w:pPr>
            <w:r w:rsidRPr="00B0658A">
              <w:rPr>
                <w:rFonts w:ascii="Times New Roman" w:hAnsi="Times New Roman"/>
                <w:b/>
                <w:bCs/>
                <w:sz w:val="18"/>
                <w:szCs w:val="18"/>
              </w:rPr>
              <w:t>(план)</w:t>
            </w:r>
          </w:p>
        </w:tc>
        <w:tc>
          <w:tcPr>
            <w:tcW w:w="1475" w:type="dxa"/>
            <w:shd w:val="clear" w:color="000000" w:fill="E7E6E6"/>
            <w:vAlign w:val="center"/>
          </w:tcPr>
          <w:p w14:paraId="362E5D26" w14:textId="77777777" w:rsidR="001C32C8" w:rsidRPr="00B0658A" w:rsidRDefault="001C32C8" w:rsidP="00004A41">
            <w:pPr>
              <w:spacing w:after="0" w:line="240" w:lineRule="auto"/>
              <w:jc w:val="center"/>
              <w:rPr>
                <w:rFonts w:ascii="Times New Roman" w:hAnsi="Times New Roman"/>
                <w:b/>
                <w:bCs/>
                <w:sz w:val="18"/>
                <w:szCs w:val="18"/>
              </w:rPr>
            </w:pPr>
            <w:r w:rsidRPr="00B0658A">
              <w:rPr>
                <w:rFonts w:ascii="Times New Roman" w:hAnsi="Times New Roman"/>
                <w:b/>
                <w:bCs/>
                <w:sz w:val="18"/>
                <w:szCs w:val="18"/>
              </w:rPr>
              <w:t>Единицы измерения уровня использования</w:t>
            </w:r>
          </w:p>
        </w:tc>
      </w:tr>
      <w:tr w:rsidR="00F52FED" w:rsidRPr="00B0658A" w14:paraId="6FECCADD" w14:textId="77777777" w:rsidTr="00E66BA4">
        <w:trPr>
          <w:trHeight w:val="20"/>
        </w:trPr>
        <w:tc>
          <w:tcPr>
            <w:tcW w:w="846" w:type="dxa"/>
            <w:shd w:val="clear" w:color="000000" w:fill="FFFFFF"/>
            <w:vAlign w:val="center"/>
          </w:tcPr>
          <w:p w14:paraId="5AF59FB4" w14:textId="77777777" w:rsidR="001C32C8" w:rsidRPr="00B0658A" w:rsidRDefault="001C32C8" w:rsidP="00004A41">
            <w:pPr>
              <w:spacing w:after="0" w:line="240" w:lineRule="auto"/>
              <w:jc w:val="center"/>
              <w:rPr>
                <w:rFonts w:ascii="Times New Roman" w:hAnsi="Times New Roman"/>
                <w:sz w:val="18"/>
                <w:szCs w:val="18"/>
              </w:rPr>
            </w:pPr>
            <w:r w:rsidRPr="00B0658A">
              <w:rPr>
                <w:rFonts w:ascii="Times New Roman" w:hAnsi="Times New Roman"/>
                <w:sz w:val="18"/>
                <w:szCs w:val="18"/>
              </w:rPr>
              <w:t>1.1</w:t>
            </w:r>
          </w:p>
        </w:tc>
        <w:tc>
          <w:tcPr>
            <w:tcW w:w="1559" w:type="dxa"/>
            <w:shd w:val="clear" w:color="auto" w:fill="auto"/>
            <w:vAlign w:val="center"/>
            <w:hideMark/>
          </w:tcPr>
          <w:p w14:paraId="1BFCB3FB" w14:textId="77777777" w:rsidR="001C32C8" w:rsidRPr="00B0658A" w:rsidRDefault="001C32C8" w:rsidP="00004A41">
            <w:pPr>
              <w:spacing w:after="0" w:line="240" w:lineRule="auto"/>
              <w:rPr>
                <w:rFonts w:ascii="Times New Roman" w:hAnsi="Times New Roman"/>
                <w:sz w:val="18"/>
                <w:szCs w:val="18"/>
              </w:rPr>
            </w:pPr>
            <w:r w:rsidRPr="00B0658A">
              <w:rPr>
                <w:rFonts w:ascii="Times New Roman" w:hAnsi="Times New Roman"/>
                <w:sz w:val="18"/>
                <w:szCs w:val="18"/>
              </w:rPr>
              <w:t>Встроенное программное обеспечение/ Встроенные системные программы: BIOS, UEFI и иные встроенные системные программы</w:t>
            </w:r>
          </w:p>
        </w:tc>
        <w:tc>
          <w:tcPr>
            <w:tcW w:w="1418" w:type="dxa"/>
            <w:shd w:val="clear" w:color="000000" w:fill="FFFFFF"/>
            <w:hideMark/>
          </w:tcPr>
          <w:p w14:paraId="489153C3" w14:textId="77777777" w:rsidR="001C32C8" w:rsidRPr="00B0658A" w:rsidRDefault="001C32C8" w:rsidP="00004A41">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44" w:type="dxa"/>
            <w:shd w:val="clear" w:color="000000" w:fill="FFFFFF"/>
            <w:vAlign w:val="center"/>
          </w:tcPr>
          <w:p w14:paraId="0A4746CB"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000000" w:fill="FFFFFF"/>
            <w:vAlign w:val="center"/>
            <w:hideMark/>
          </w:tcPr>
          <w:p w14:paraId="6B73A340"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000000" w:fill="FFFFFF"/>
            <w:vAlign w:val="center"/>
            <w:hideMark/>
          </w:tcPr>
          <w:p w14:paraId="4E4AAF5B"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000000" w:fill="FFFFFF"/>
            <w:vAlign w:val="center"/>
            <w:hideMark/>
          </w:tcPr>
          <w:p w14:paraId="22361F7C" w14:textId="77777777" w:rsidR="001C32C8" w:rsidRPr="00B0658A" w:rsidRDefault="001C32C8" w:rsidP="00004A41">
            <w:pPr>
              <w:spacing w:after="0" w:line="240" w:lineRule="auto"/>
              <w:jc w:val="center"/>
              <w:rPr>
                <w:rFonts w:ascii="Times New Roman" w:hAnsi="Times New Roman"/>
                <w:sz w:val="18"/>
                <w:szCs w:val="18"/>
              </w:rPr>
            </w:pPr>
          </w:p>
        </w:tc>
        <w:tc>
          <w:tcPr>
            <w:tcW w:w="993" w:type="dxa"/>
            <w:shd w:val="clear" w:color="000000" w:fill="FFFFFF"/>
            <w:vAlign w:val="center"/>
          </w:tcPr>
          <w:p w14:paraId="1162A154"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000000" w:fill="FFFFFF"/>
            <w:vAlign w:val="center"/>
            <w:hideMark/>
          </w:tcPr>
          <w:p w14:paraId="0FD3DFB9" w14:textId="77777777" w:rsidR="001C32C8" w:rsidRPr="00B0658A" w:rsidRDefault="001C32C8" w:rsidP="00004A41">
            <w:pPr>
              <w:spacing w:after="0" w:line="240" w:lineRule="auto"/>
              <w:jc w:val="center"/>
              <w:rPr>
                <w:rFonts w:ascii="Times New Roman" w:hAnsi="Times New Roman"/>
                <w:sz w:val="18"/>
                <w:szCs w:val="18"/>
              </w:rPr>
            </w:pPr>
          </w:p>
        </w:tc>
        <w:tc>
          <w:tcPr>
            <w:tcW w:w="780" w:type="dxa"/>
            <w:shd w:val="clear" w:color="000000" w:fill="FFFFFF"/>
            <w:vAlign w:val="center"/>
            <w:hideMark/>
          </w:tcPr>
          <w:p w14:paraId="4E3A6544"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000000" w:fill="FFFFFF"/>
            <w:vAlign w:val="center"/>
            <w:hideMark/>
          </w:tcPr>
          <w:p w14:paraId="314BD039" w14:textId="77777777" w:rsidR="001C32C8" w:rsidRPr="00B0658A" w:rsidRDefault="001C32C8" w:rsidP="00004A41">
            <w:pPr>
              <w:spacing w:after="0" w:line="240" w:lineRule="auto"/>
              <w:jc w:val="center"/>
              <w:rPr>
                <w:rFonts w:ascii="Times New Roman" w:hAnsi="Times New Roman"/>
                <w:sz w:val="18"/>
                <w:szCs w:val="18"/>
              </w:rPr>
            </w:pPr>
          </w:p>
        </w:tc>
        <w:tc>
          <w:tcPr>
            <w:tcW w:w="780" w:type="dxa"/>
            <w:shd w:val="clear" w:color="000000" w:fill="FFFFFF"/>
            <w:vAlign w:val="center"/>
          </w:tcPr>
          <w:p w14:paraId="447FF179" w14:textId="77777777" w:rsidR="001C32C8" w:rsidRPr="00B0658A" w:rsidRDefault="001C32C8" w:rsidP="00004A41">
            <w:pPr>
              <w:spacing w:after="0" w:line="240" w:lineRule="auto"/>
              <w:jc w:val="center"/>
              <w:rPr>
                <w:rFonts w:ascii="Times New Roman" w:hAnsi="Times New Roman"/>
                <w:i/>
                <w:sz w:val="18"/>
                <w:szCs w:val="18"/>
              </w:rPr>
            </w:pPr>
          </w:p>
        </w:tc>
        <w:tc>
          <w:tcPr>
            <w:tcW w:w="779" w:type="dxa"/>
            <w:shd w:val="clear" w:color="000000" w:fill="FFFFFF"/>
            <w:vAlign w:val="center"/>
          </w:tcPr>
          <w:p w14:paraId="7B5F95D5" w14:textId="77777777" w:rsidR="001C32C8" w:rsidRPr="00B0658A" w:rsidRDefault="001C32C8" w:rsidP="00004A41">
            <w:pPr>
              <w:spacing w:after="0" w:line="240" w:lineRule="auto"/>
              <w:jc w:val="center"/>
              <w:rPr>
                <w:rFonts w:ascii="Times New Roman" w:hAnsi="Times New Roman"/>
                <w:i/>
                <w:sz w:val="18"/>
                <w:szCs w:val="18"/>
              </w:rPr>
            </w:pPr>
          </w:p>
        </w:tc>
        <w:tc>
          <w:tcPr>
            <w:tcW w:w="780" w:type="dxa"/>
            <w:shd w:val="clear" w:color="000000" w:fill="FFFFFF"/>
            <w:vAlign w:val="center"/>
          </w:tcPr>
          <w:p w14:paraId="1D03F548" w14:textId="77777777" w:rsidR="001C32C8" w:rsidRPr="00B0658A" w:rsidRDefault="001C32C8" w:rsidP="00004A41">
            <w:pPr>
              <w:spacing w:after="0" w:line="240" w:lineRule="auto"/>
              <w:jc w:val="center"/>
              <w:rPr>
                <w:rFonts w:ascii="Times New Roman" w:hAnsi="Times New Roman"/>
                <w:i/>
                <w:sz w:val="18"/>
                <w:szCs w:val="18"/>
              </w:rPr>
            </w:pPr>
          </w:p>
        </w:tc>
        <w:tc>
          <w:tcPr>
            <w:tcW w:w="1475" w:type="dxa"/>
            <w:shd w:val="clear" w:color="000000" w:fill="FFFFFF"/>
            <w:vAlign w:val="center"/>
          </w:tcPr>
          <w:p w14:paraId="3BE58A06" w14:textId="77777777" w:rsidR="001C32C8" w:rsidRPr="00B0658A" w:rsidRDefault="001C32C8" w:rsidP="00004A41">
            <w:pPr>
              <w:spacing w:after="0" w:line="240" w:lineRule="auto"/>
              <w:jc w:val="center"/>
              <w:rPr>
                <w:rFonts w:ascii="Times New Roman" w:hAnsi="Times New Roman"/>
                <w:i/>
                <w:sz w:val="18"/>
                <w:szCs w:val="18"/>
              </w:rPr>
            </w:pPr>
            <w:r w:rsidRPr="00B0658A">
              <w:rPr>
                <w:rFonts w:ascii="Times New Roman" w:hAnsi="Times New Roman"/>
                <w:i/>
                <w:sz w:val="18"/>
                <w:szCs w:val="18"/>
              </w:rPr>
              <w:t>Указывает</w:t>
            </w:r>
            <w:r w:rsidR="003D62F7" w:rsidRPr="00B0658A">
              <w:rPr>
                <w:rFonts w:ascii="Times New Roman" w:hAnsi="Times New Roman"/>
                <w:i/>
                <w:sz w:val="18"/>
                <w:szCs w:val="18"/>
              </w:rPr>
              <w:t xml:space="preserve">ся </w:t>
            </w:r>
            <w:r w:rsidRPr="00B0658A">
              <w:rPr>
                <w:rFonts w:ascii="Times New Roman" w:hAnsi="Times New Roman"/>
                <w:i/>
                <w:sz w:val="18"/>
                <w:szCs w:val="18"/>
              </w:rPr>
              <w:t>единица измерения уровня использования</w:t>
            </w:r>
            <w:r w:rsidR="00E32EA7" w:rsidRPr="00B0658A">
              <w:rPr>
                <w:rFonts w:ascii="Times New Roman" w:hAnsi="Times New Roman"/>
                <w:i/>
                <w:sz w:val="18"/>
                <w:szCs w:val="18"/>
              </w:rPr>
              <w:t>, применяемая при расчете относительной доли</w:t>
            </w:r>
            <w:r w:rsidR="003648B5" w:rsidRPr="00B0658A">
              <w:rPr>
                <w:rFonts w:ascii="Times New Roman" w:hAnsi="Times New Roman"/>
                <w:i/>
                <w:sz w:val="18"/>
                <w:szCs w:val="18"/>
              </w:rPr>
              <w:t xml:space="preserve"> </w:t>
            </w:r>
            <w:r w:rsidR="00A67C55" w:rsidRPr="00B0658A">
              <w:rPr>
                <w:rFonts w:ascii="Times New Roman" w:hAnsi="Times New Roman"/>
                <w:i/>
                <w:sz w:val="18"/>
                <w:szCs w:val="18"/>
              </w:rPr>
              <w:t>использования</w:t>
            </w:r>
          </w:p>
        </w:tc>
      </w:tr>
      <w:tr w:rsidR="00F52FED" w:rsidRPr="00B0658A" w14:paraId="360CE8ED" w14:textId="77777777" w:rsidTr="00E66BA4">
        <w:trPr>
          <w:trHeight w:val="20"/>
        </w:trPr>
        <w:tc>
          <w:tcPr>
            <w:tcW w:w="846" w:type="dxa"/>
            <w:shd w:val="clear" w:color="000000" w:fill="FFFFFF"/>
            <w:vAlign w:val="center"/>
          </w:tcPr>
          <w:p w14:paraId="6A2F7373" w14:textId="77777777" w:rsidR="001C32C8" w:rsidRPr="00B0658A" w:rsidRDefault="001C32C8" w:rsidP="00004A41">
            <w:pPr>
              <w:spacing w:after="0" w:line="240" w:lineRule="auto"/>
              <w:jc w:val="center"/>
              <w:rPr>
                <w:rFonts w:ascii="Times New Roman" w:hAnsi="Times New Roman"/>
                <w:sz w:val="18"/>
                <w:szCs w:val="18"/>
              </w:rPr>
            </w:pPr>
            <w:r w:rsidRPr="00B0658A">
              <w:rPr>
                <w:rFonts w:ascii="Times New Roman" w:hAnsi="Times New Roman"/>
                <w:sz w:val="18"/>
                <w:szCs w:val="18"/>
              </w:rPr>
              <w:t>1.2</w:t>
            </w:r>
          </w:p>
        </w:tc>
        <w:tc>
          <w:tcPr>
            <w:tcW w:w="1559" w:type="dxa"/>
            <w:shd w:val="clear" w:color="auto" w:fill="auto"/>
            <w:vAlign w:val="center"/>
            <w:hideMark/>
          </w:tcPr>
          <w:p w14:paraId="396CE3A9" w14:textId="77777777" w:rsidR="001C32C8" w:rsidRPr="00B0658A" w:rsidRDefault="001C32C8" w:rsidP="00004A41">
            <w:pPr>
              <w:spacing w:after="0" w:line="240" w:lineRule="auto"/>
              <w:rPr>
                <w:rFonts w:ascii="Times New Roman" w:hAnsi="Times New Roman"/>
                <w:sz w:val="18"/>
                <w:szCs w:val="18"/>
              </w:rPr>
            </w:pPr>
            <w:r w:rsidRPr="00B0658A">
              <w:rPr>
                <w:rFonts w:ascii="Times New Roman" w:hAnsi="Times New Roman"/>
                <w:sz w:val="18"/>
                <w:szCs w:val="18"/>
              </w:rPr>
              <w:t>Встроенное программное обеспечение/ Встроенные системные программы – операционные системы</w:t>
            </w:r>
          </w:p>
        </w:tc>
        <w:tc>
          <w:tcPr>
            <w:tcW w:w="1418" w:type="dxa"/>
            <w:shd w:val="clear" w:color="000000" w:fill="FFFFFF"/>
            <w:hideMark/>
          </w:tcPr>
          <w:p w14:paraId="21669EEA" w14:textId="77777777" w:rsidR="001C32C8" w:rsidRPr="00B0658A" w:rsidRDefault="001C32C8" w:rsidP="00004A41">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44" w:type="dxa"/>
            <w:shd w:val="clear" w:color="000000" w:fill="FFFFFF"/>
            <w:vAlign w:val="center"/>
          </w:tcPr>
          <w:p w14:paraId="78EB4CA6"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000000" w:fill="FFFFFF"/>
            <w:vAlign w:val="center"/>
            <w:hideMark/>
          </w:tcPr>
          <w:p w14:paraId="75E86DBE"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000000" w:fill="FFFFFF"/>
            <w:vAlign w:val="center"/>
            <w:hideMark/>
          </w:tcPr>
          <w:p w14:paraId="70C71286"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000000" w:fill="FFFFFF"/>
            <w:vAlign w:val="center"/>
            <w:hideMark/>
          </w:tcPr>
          <w:p w14:paraId="201E8C4D" w14:textId="77777777" w:rsidR="001C32C8" w:rsidRPr="00B0658A" w:rsidRDefault="001C32C8" w:rsidP="00004A41">
            <w:pPr>
              <w:spacing w:after="0" w:line="240" w:lineRule="auto"/>
              <w:jc w:val="center"/>
              <w:rPr>
                <w:rFonts w:ascii="Times New Roman" w:hAnsi="Times New Roman"/>
                <w:sz w:val="18"/>
                <w:szCs w:val="18"/>
              </w:rPr>
            </w:pPr>
          </w:p>
        </w:tc>
        <w:tc>
          <w:tcPr>
            <w:tcW w:w="993" w:type="dxa"/>
            <w:shd w:val="clear" w:color="000000" w:fill="FFFFFF"/>
            <w:vAlign w:val="center"/>
          </w:tcPr>
          <w:p w14:paraId="4EF935EC"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000000" w:fill="FFFFFF"/>
            <w:vAlign w:val="center"/>
            <w:hideMark/>
          </w:tcPr>
          <w:p w14:paraId="4996714E" w14:textId="77777777" w:rsidR="001C32C8" w:rsidRPr="00B0658A" w:rsidRDefault="001C32C8" w:rsidP="00004A41">
            <w:pPr>
              <w:spacing w:after="0" w:line="240" w:lineRule="auto"/>
              <w:jc w:val="center"/>
              <w:rPr>
                <w:rFonts w:ascii="Times New Roman" w:hAnsi="Times New Roman"/>
                <w:sz w:val="18"/>
                <w:szCs w:val="18"/>
              </w:rPr>
            </w:pPr>
          </w:p>
        </w:tc>
        <w:tc>
          <w:tcPr>
            <w:tcW w:w="780" w:type="dxa"/>
            <w:shd w:val="clear" w:color="000000" w:fill="FFFFFF"/>
            <w:vAlign w:val="center"/>
            <w:hideMark/>
          </w:tcPr>
          <w:p w14:paraId="2B859D9F"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000000" w:fill="FFFFFF"/>
            <w:vAlign w:val="center"/>
            <w:hideMark/>
          </w:tcPr>
          <w:p w14:paraId="3FFC9FE6" w14:textId="77777777" w:rsidR="001C32C8" w:rsidRPr="00B0658A" w:rsidRDefault="001C32C8" w:rsidP="00004A41">
            <w:pPr>
              <w:spacing w:after="0" w:line="240" w:lineRule="auto"/>
              <w:jc w:val="center"/>
              <w:rPr>
                <w:rFonts w:ascii="Times New Roman" w:hAnsi="Times New Roman"/>
                <w:sz w:val="18"/>
                <w:szCs w:val="18"/>
              </w:rPr>
            </w:pPr>
          </w:p>
        </w:tc>
        <w:tc>
          <w:tcPr>
            <w:tcW w:w="780" w:type="dxa"/>
            <w:shd w:val="clear" w:color="000000" w:fill="FFFFFF"/>
            <w:vAlign w:val="center"/>
          </w:tcPr>
          <w:p w14:paraId="598F0ACD"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000000" w:fill="FFFFFF"/>
            <w:vAlign w:val="center"/>
          </w:tcPr>
          <w:p w14:paraId="5F9E48EA" w14:textId="77777777" w:rsidR="001C32C8" w:rsidRPr="00B0658A" w:rsidRDefault="001C32C8" w:rsidP="00004A41">
            <w:pPr>
              <w:spacing w:after="0" w:line="240" w:lineRule="auto"/>
              <w:jc w:val="center"/>
              <w:rPr>
                <w:rFonts w:ascii="Times New Roman" w:hAnsi="Times New Roman"/>
                <w:sz w:val="18"/>
                <w:szCs w:val="18"/>
              </w:rPr>
            </w:pPr>
          </w:p>
        </w:tc>
        <w:tc>
          <w:tcPr>
            <w:tcW w:w="780" w:type="dxa"/>
            <w:shd w:val="clear" w:color="000000" w:fill="FFFFFF"/>
            <w:vAlign w:val="center"/>
          </w:tcPr>
          <w:p w14:paraId="56602F2B" w14:textId="77777777" w:rsidR="001C32C8" w:rsidRPr="00B0658A" w:rsidRDefault="001C32C8" w:rsidP="00004A41">
            <w:pPr>
              <w:spacing w:after="0" w:line="240" w:lineRule="auto"/>
              <w:jc w:val="center"/>
              <w:rPr>
                <w:rFonts w:ascii="Times New Roman" w:hAnsi="Times New Roman"/>
                <w:sz w:val="18"/>
                <w:szCs w:val="18"/>
              </w:rPr>
            </w:pPr>
          </w:p>
        </w:tc>
        <w:tc>
          <w:tcPr>
            <w:tcW w:w="1475" w:type="dxa"/>
            <w:shd w:val="clear" w:color="000000" w:fill="FFFFFF"/>
            <w:vAlign w:val="center"/>
          </w:tcPr>
          <w:p w14:paraId="42FE6F9E" w14:textId="77777777" w:rsidR="001C32C8" w:rsidRPr="00B0658A" w:rsidRDefault="001C32C8" w:rsidP="00004A41">
            <w:pPr>
              <w:spacing w:after="0" w:line="240" w:lineRule="auto"/>
              <w:jc w:val="center"/>
              <w:rPr>
                <w:rFonts w:ascii="Times New Roman" w:hAnsi="Times New Roman"/>
                <w:sz w:val="18"/>
                <w:szCs w:val="18"/>
              </w:rPr>
            </w:pPr>
          </w:p>
        </w:tc>
      </w:tr>
      <w:tr w:rsidR="00F52FED" w:rsidRPr="00B0658A" w14:paraId="2A921473" w14:textId="77777777" w:rsidTr="00E66BA4">
        <w:trPr>
          <w:trHeight w:val="20"/>
        </w:trPr>
        <w:tc>
          <w:tcPr>
            <w:tcW w:w="846" w:type="dxa"/>
            <w:shd w:val="clear" w:color="000000" w:fill="FFFFFF"/>
            <w:vAlign w:val="center"/>
          </w:tcPr>
          <w:p w14:paraId="28508E7C" w14:textId="77777777" w:rsidR="001C32C8" w:rsidRPr="00B0658A" w:rsidRDefault="001C32C8" w:rsidP="00004A41">
            <w:pPr>
              <w:spacing w:after="0" w:line="240" w:lineRule="auto"/>
              <w:jc w:val="center"/>
              <w:rPr>
                <w:rFonts w:ascii="Times New Roman" w:hAnsi="Times New Roman"/>
                <w:sz w:val="18"/>
                <w:szCs w:val="18"/>
              </w:rPr>
            </w:pPr>
            <w:r w:rsidRPr="00B0658A">
              <w:rPr>
                <w:rFonts w:ascii="Times New Roman" w:hAnsi="Times New Roman"/>
                <w:sz w:val="18"/>
                <w:szCs w:val="18"/>
              </w:rPr>
              <w:t>1.3</w:t>
            </w:r>
          </w:p>
        </w:tc>
        <w:tc>
          <w:tcPr>
            <w:tcW w:w="1559" w:type="dxa"/>
            <w:shd w:val="clear" w:color="auto" w:fill="auto"/>
            <w:vAlign w:val="center"/>
            <w:hideMark/>
          </w:tcPr>
          <w:p w14:paraId="35770257" w14:textId="77777777" w:rsidR="001C32C8" w:rsidRPr="00B0658A" w:rsidRDefault="001C32C8" w:rsidP="00004A41">
            <w:pPr>
              <w:spacing w:after="0" w:line="240" w:lineRule="auto"/>
              <w:rPr>
                <w:rFonts w:ascii="Times New Roman" w:hAnsi="Times New Roman"/>
                <w:sz w:val="18"/>
                <w:szCs w:val="18"/>
              </w:rPr>
            </w:pPr>
            <w:r w:rsidRPr="00B0658A">
              <w:rPr>
                <w:rFonts w:ascii="Times New Roman" w:hAnsi="Times New Roman"/>
                <w:sz w:val="18"/>
                <w:szCs w:val="18"/>
              </w:rPr>
              <w:t>Встроенное программное обеспечение/ Встроенные прикладные программы</w:t>
            </w:r>
          </w:p>
        </w:tc>
        <w:tc>
          <w:tcPr>
            <w:tcW w:w="1418" w:type="dxa"/>
            <w:shd w:val="clear" w:color="000000" w:fill="FFFFFF"/>
            <w:hideMark/>
          </w:tcPr>
          <w:p w14:paraId="31A18E89" w14:textId="77777777" w:rsidR="001C32C8" w:rsidRPr="00B0658A" w:rsidRDefault="001C32C8" w:rsidP="00004A41">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44" w:type="dxa"/>
            <w:shd w:val="clear" w:color="000000" w:fill="FFFFFF"/>
            <w:vAlign w:val="center"/>
          </w:tcPr>
          <w:p w14:paraId="1DE5E9D3"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000000" w:fill="FFFFFF"/>
            <w:vAlign w:val="center"/>
            <w:hideMark/>
          </w:tcPr>
          <w:p w14:paraId="18480524"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000000" w:fill="FFFFFF"/>
            <w:vAlign w:val="center"/>
            <w:hideMark/>
          </w:tcPr>
          <w:p w14:paraId="1DFA067B"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000000" w:fill="FFFFFF"/>
            <w:vAlign w:val="center"/>
            <w:hideMark/>
          </w:tcPr>
          <w:p w14:paraId="1BD74C57" w14:textId="77777777" w:rsidR="001C32C8" w:rsidRPr="00B0658A" w:rsidRDefault="001C32C8" w:rsidP="00004A41">
            <w:pPr>
              <w:spacing w:after="0" w:line="240" w:lineRule="auto"/>
              <w:jc w:val="center"/>
              <w:rPr>
                <w:rFonts w:ascii="Times New Roman" w:hAnsi="Times New Roman"/>
                <w:sz w:val="18"/>
                <w:szCs w:val="18"/>
              </w:rPr>
            </w:pPr>
          </w:p>
        </w:tc>
        <w:tc>
          <w:tcPr>
            <w:tcW w:w="993" w:type="dxa"/>
            <w:shd w:val="clear" w:color="000000" w:fill="FFFFFF"/>
            <w:vAlign w:val="center"/>
          </w:tcPr>
          <w:p w14:paraId="2D986D2A"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000000" w:fill="FFFFFF"/>
            <w:vAlign w:val="center"/>
            <w:hideMark/>
          </w:tcPr>
          <w:p w14:paraId="4BA0A9A4" w14:textId="77777777" w:rsidR="001C32C8" w:rsidRPr="00B0658A" w:rsidRDefault="001C32C8" w:rsidP="00004A41">
            <w:pPr>
              <w:spacing w:after="0" w:line="240" w:lineRule="auto"/>
              <w:jc w:val="center"/>
              <w:rPr>
                <w:rFonts w:ascii="Times New Roman" w:hAnsi="Times New Roman"/>
                <w:sz w:val="18"/>
                <w:szCs w:val="18"/>
              </w:rPr>
            </w:pPr>
          </w:p>
        </w:tc>
        <w:tc>
          <w:tcPr>
            <w:tcW w:w="780" w:type="dxa"/>
            <w:shd w:val="clear" w:color="000000" w:fill="FFFFFF"/>
            <w:vAlign w:val="center"/>
            <w:hideMark/>
          </w:tcPr>
          <w:p w14:paraId="6D98DA0F"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000000" w:fill="FFFFFF"/>
            <w:vAlign w:val="center"/>
            <w:hideMark/>
          </w:tcPr>
          <w:p w14:paraId="1BF2575B" w14:textId="77777777" w:rsidR="001C32C8" w:rsidRPr="00B0658A" w:rsidRDefault="001C32C8" w:rsidP="00004A41">
            <w:pPr>
              <w:spacing w:after="0" w:line="240" w:lineRule="auto"/>
              <w:jc w:val="center"/>
              <w:rPr>
                <w:rFonts w:ascii="Times New Roman" w:hAnsi="Times New Roman"/>
                <w:sz w:val="18"/>
                <w:szCs w:val="18"/>
              </w:rPr>
            </w:pPr>
          </w:p>
        </w:tc>
        <w:tc>
          <w:tcPr>
            <w:tcW w:w="780" w:type="dxa"/>
            <w:shd w:val="clear" w:color="000000" w:fill="FFFFFF"/>
            <w:vAlign w:val="center"/>
          </w:tcPr>
          <w:p w14:paraId="3B0DF2BC"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000000" w:fill="FFFFFF"/>
            <w:vAlign w:val="center"/>
          </w:tcPr>
          <w:p w14:paraId="2125E460" w14:textId="77777777" w:rsidR="001C32C8" w:rsidRPr="00B0658A" w:rsidRDefault="001C32C8" w:rsidP="00004A41">
            <w:pPr>
              <w:spacing w:after="0" w:line="240" w:lineRule="auto"/>
              <w:jc w:val="center"/>
              <w:rPr>
                <w:rFonts w:ascii="Times New Roman" w:hAnsi="Times New Roman"/>
                <w:sz w:val="18"/>
                <w:szCs w:val="18"/>
              </w:rPr>
            </w:pPr>
          </w:p>
        </w:tc>
        <w:tc>
          <w:tcPr>
            <w:tcW w:w="780" w:type="dxa"/>
            <w:shd w:val="clear" w:color="000000" w:fill="FFFFFF"/>
            <w:vAlign w:val="center"/>
          </w:tcPr>
          <w:p w14:paraId="45B6F4B1" w14:textId="77777777" w:rsidR="001C32C8" w:rsidRPr="00B0658A" w:rsidRDefault="001C32C8" w:rsidP="00004A41">
            <w:pPr>
              <w:spacing w:after="0" w:line="240" w:lineRule="auto"/>
              <w:jc w:val="center"/>
              <w:rPr>
                <w:rFonts w:ascii="Times New Roman" w:hAnsi="Times New Roman"/>
                <w:sz w:val="18"/>
                <w:szCs w:val="18"/>
              </w:rPr>
            </w:pPr>
          </w:p>
        </w:tc>
        <w:tc>
          <w:tcPr>
            <w:tcW w:w="1475" w:type="dxa"/>
            <w:shd w:val="clear" w:color="000000" w:fill="FFFFFF"/>
            <w:vAlign w:val="center"/>
          </w:tcPr>
          <w:p w14:paraId="16D5FE86" w14:textId="77777777" w:rsidR="001C32C8" w:rsidRPr="00B0658A" w:rsidRDefault="001C32C8" w:rsidP="00004A41">
            <w:pPr>
              <w:spacing w:after="0" w:line="240" w:lineRule="auto"/>
              <w:jc w:val="center"/>
              <w:rPr>
                <w:rFonts w:ascii="Times New Roman" w:hAnsi="Times New Roman"/>
                <w:sz w:val="18"/>
                <w:szCs w:val="18"/>
              </w:rPr>
            </w:pPr>
          </w:p>
        </w:tc>
      </w:tr>
      <w:tr w:rsidR="00F52FED" w:rsidRPr="00B0658A" w14:paraId="21DA2F6F" w14:textId="77777777" w:rsidTr="00E66BA4">
        <w:trPr>
          <w:trHeight w:val="20"/>
        </w:trPr>
        <w:tc>
          <w:tcPr>
            <w:tcW w:w="846" w:type="dxa"/>
            <w:shd w:val="clear" w:color="000000" w:fill="FFFFFF"/>
            <w:vAlign w:val="center"/>
          </w:tcPr>
          <w:p w14:paraId="41275B57" w14:textId="77777777" w:rsidR="001C32C8" w:rsidRPr="00B0658A" w:rsidRDefault="001C32C8" w:rsidP="00004A41">
            <w:pPr>
              <w:spacing w:after="0" w:line="240" w:lineRule="auto"/>
              <w:jc w:val="center"/>
              <w:rPr>
                <w:rFonts w:ascii="Times New Roman" w:hAnsi="Times New Roman"/>
                <w:sz w:val="18"/>
                <w:szCs w:val="18"/>
              </w:rPr>
            </w:pPr>
            <w:r w:rsidRPr="00B0658A">
              <w:rPr>
                <w:rFonts w:ascii="Times New Roman" w:hAnsi="Times New Roman"/>
                <w:sz w:val="18"/>
                <w:szCs w:val="18"/>
              </w:rPr>
              <w:t>1.4</w:t>
            </w:r>
          </w:p>
        </w:tc>
        <w:tc>
          <w:tcPr>
            <w:tcW w:w="1559" w:type="dxa"/>
            <w:shd w:val="clear" w:color="auto" w:fill="auto"/>
            <w:vAlign w:val="center"/>
            <w:hideMark/>
          </w:tcPr>
          <w:p w14:paraId="1DE7F119" w14:textId="77777777" w:rsidR="001C32C8" w:rsidRPr="00B0658A" w:rsidRDefault="001C32C8" w:rsidP="00004A41">
            <w:pPr>
              <w:spacing w:after="0" w:line="240" w:lineRule="auto"/>
              <w:rPr>
                <w:rFonts w:ascii="Times New Roman" w:hAnsi="Times New Roman"/>
                <w:sz w:val="18"/>
                <w:szCs w:val="18"/>
              </w:rPr>
            </w:pPr>
            <w:r w:rsidRPr="00B0658A">
              <w:rPr>
                <w:rFonts w:ascii="Times New Roman" w:hAnsi="Times New Roman"/>
                <w:sz w:val="18"/>
                <w:szCs w:val="18"/>
              </w:rPr>
              <w:t>Встроенное программное обеспечение/ Программное обеспечение интернета вещей, робототехники и сенсорики</w:t>
            </w:r>
          </w:p>
        </w:tc>
        <w:tc>
          <w:tcPr>
            <w:tcW w:w="1418" w:type="dxa"/>
            <w:shd w:val="clear" w:color="000000" w:fill="FFFFFF"/>
            <w:hideMark/>
          </w:tcPr>
          <w:p w14:paraId="66191369" w14:textId="77777777" w:rsidR="001C32C8" w:rsidRPr="00B0658A" w:rsidRDefault="001C32C8" w:rsidP="00004A41">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44" w:type="dxa"/>
            <w:shd w:val="clear" w:color="000000" w:fill="FFFFFF"/>
            <w:vAlign w:val="center"/>
          </w:tcPr>
          <w:p w14:paraId="6B0AA059"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000000" w:fill="FFFFFF"/>
            <w:vAlign w:val="center"/>
            <w:hideMark/>
          </w:tcPr>
          <w:p w14:paraId="11B6642E"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000000" w:fill="FFFFFF"/>
            <w:vAlign w:val="center"/>
            <w:hideMark/>
          </w:tcPr>
          <w:p w14:paraId="1D2DF747"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000000" w:fill="FFFFFF"/>
            <w:vAlign w:val="center"/>
            <w:hideMark/>
          </w:tcPr>
          <w:p w14:paraId="07742BF9" w14:textId="77777777" w:rsidR="001C32C8" w:rsidRPr="00B0658A" w:rsidRDefault="001C32C8" w:rsidP="00004A41">
            <w:pPr>
              <w:spacing w:after="0" w:line="240" w:lineRule="auto"/>
              <w:jc w:val="center"/>
              <w:rPr>
                <w:rFonts w:ascii="Times New Roman" w:hAnsi="Times New Roman"/>
                <w:sz w:val="18"/>
                <w:szCs w:val="18"/>
              </w:rPr>
            </w:pPr>
          </w:p>
        </w:tc>
        <w:tc>
          <w:tcPr>
            <w:tcW w:w="993" w:type="dxa"/>
            <w:shd w:val="clear" w:color="000000" w:fill="FFFFFF"/>
            <w:vAlign w:val="center"/>
          </w:tcPr>
          <w:p w14:paraId="0EC7A662"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000000" w:fill="FFFFFF"/>
            <w:vAlign w:val="center"/>
            <w:hideMark/>
          </w:tcPr>
          <w:p w14:paraId="1C46B68D" w14:textId="77777777" w:rsidR="001C32C8" w:rsidRPr="00B0658A" w:rsidRDefault="001C32C8" w:rsidP="00004A41">
            <w:pPr>
              <w:spacing w:after="0" w:line="240" w:lineRule="auto"/>
              <w:jc w:val="center"/>
              <w:rPr>
                <w:rFonts w:ascii="Times New Roman" w:hAnsi="Times New Roman"/>
                <w:sz w:val="18"/>
                <w:szCs w:val="18"/>
              </w:rPr>
            </w:pPr>
          </w:p>
        </w:tc>
        <w:tc>
          <w:tcPr>
            <w:tcW w:w="780" w:type="dxa"/>
            <w:shd w:val="clear" w:color="000000" w:fill="FFFFFF"/>
            <w:vAlign w:val="center"/>
            <w:hideMark/>
          </w:tcPr>
          <w:p w14:paraId="5FD5F47F"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000000" w:fill="FFFFFF"/>
            <w:vAlign w:val="center"/>
            <w:hideMark/>
          </w:tcPr>
          <w:p w14:paraId="2E118B99" w14:textId="77777777" w:rsidR="001C32C8" w:rsidRPr="00B0658A" w:rsidRDefault="001C32C8" w:rsidP="00004A41">
            <w:pPr>
              <w:spacing w:after="0" w:line="240" w:lineRule="auto"/>
              <w:jc w:val="center"/>
              <w:rPr>
                <w:rFonts w:ascii="Times New Roman" w:hAnsi="Times New Roman"/>
                <w:sz w:val="18"/>
                <w:szCs w:val="18"/>
              </w:rPr>
            </w:pPr>
          </w:p>
        </w:tc>
        <w:tc>
          <w:tcPr>
            <w:tcW w:w="780" w:type="dxa"/>
            <w:shd w:val="clear" w:color="000000" w:fill="FFFFFF"/>
            <w:vAlign w:val="center"/>
          </w:tcPr>
          <w:p w14:paraId="72252FCA"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000000" w:fill="FFFFFF"/>
            <w:vAlign w:val="center"/>
          </w:tcPr>
          <w:p w14:paraId="17A755F7" w14:textId="77777777" w:rsidR="001C32C8" w:rsidRPr="00B0658A" w:rsidRDefault="001C32C8" w:rsidP="00004A41">
            <w:pPr>
              <w:spacing w:after="0" w:line="240" w:lineRule="auto"/>
              <w:jc w:val="center"/>
              <w:rPr>
                <w:rFonts w:ascii="Times New Roman" w:hAnsi="Times New Roman"/>
                <w:sz w:val="18"/>
                <w:szCs w:val="18"/>
              </w:rPr>
            </w:pPr>
          </w:p>
        </w:tc>
        <w:tc>
          <w:tcPr>
            <w:tcW w:w="780" w:type="dxa"/>
            <w:shd w:val="clear" w:color="000000" w:fill="FFFFFF"/>
            <w:vAlign w:val="center"/>
          </w:tcPr>
          <w:p w14:paraId="0999A8B2" w14:textId="77777777" w:rsidR="001C32C8" w:rsidRPr="00B0658A" w:rsidRDefault="001C32C8" w:rsidP="00004A41">
            <w:pPr>
              <w:spacing w:after="0" w:line="240" w:lineRule="auto"/>
              <w:jc w:val="center"/>
              <w:rPr>
                <w:rFonts w:ascii="Times New Roman" w:hAnsi="Times New Roman"/>
                <w:sz w:val="18"/>
                <w:szCs w:val="18"/>
              </w:rPr>
            </w:pPr>
          </w:p>
        </w:tc>
        <w:tc>
          <w:tcPr>
            <w:tcW w:w="1475" w:type="dxa"/>
            <w:shd w:val="clear" w:color="000000" w:fill="FFFFFF"/>
            <w:vAlign w:val="center"/>
          </w:tcPr>
          <w:p w14:paraId="66E95E79" w14:textId="77777777" w:rsidR="001C32C8" w:rsidRPr="00B0658A" w:rsidRDefault="001C32C8" w:rsidP="00004A41">
            <w:pPr>
              <w:spacing w:after="0" w:line="240" w:lineRule="auto"/>
              <w:jc w:val="center"/>
              <w:rPr>
                <w:rFonts w:ascii="Times New Roman" w:hAnsi="Times New Roman"/>
                <w:sz w:val="18"/>
                <w:szCs w:val="18"/>
              </w:rPr>
            </w:pPr>
          </w:p>
        </w:tc>
      </w:tr>
      <w:tr w:rsidR="00F52FED" w:rsidRPr="00B0658A" w14:paraId="3CA19178" w14:textId="77777777" w:rsidTr="00E66BA4">
        <w:trPr>
          <w:trHeight w:val="20"/>
        </w:trPr>
        <w:tc>
          <w:tcPr>
            <w:tcW w:w="846" w:type="dxa"/>
            <w:shd w:val="clear" w:color="auto" w:fill="auto"/>
            <w:vAlign w:val="center"/>
          </w:tcPr>
          <w:p w14:paraId="4A5A893E" w14:textId="77777777" w:rsidR="001C32C8" w:rsidRPr="00B0658A" w:rsidRDefault="001C32C8" w:rsidP="00004A41">
            <w:pPr>
              <w:spacing w:after="0" w:line="240" w:lineRule="auto"/>
              <w:jc w:val="center"/>
              <w:rPr>
                <w:rFonts w:ascii="Times New Roman" w:hAnsi="Times New Roman"/>
                <w:sz w:val="18"/>
                <w:szCs w:val="18"/>
              </w:rPr>
            </w:pPr>
            <w:r w:rsidRPr="00B0658A">
              <w:rPr>
                <w:rFonts w:ascii="Times New Roman" w:hAnsi="Times New Roman"/>
                <w:sz w:val="18"/>
                <w:szCs w:val="18"/>
              </w:rPr>
              <w:t>2.1</w:t>
            </w:r>
          </w:p>
        </w:tc>
        <w:tc>
          <w:tcPr>
            <w:tcW w:w="1559" w:type="dxa"/>
            <w:shd w:val="clear" w:color="auto" w:fill="auto"/>
            <w:vAlign w:val="center"/>
            <w:hideMark/>
          </w:tcPr>
          <w:p w14:paraId="0E4FFA26" w14:textId="77777777" w:rsidR="001C32C8" w:rsidRPr="00B0658A" w:rsidRDefault="001C32C8" w:rsidP="00004A41">
            <w:pPr>
              <w:spacing w:after="0" w:line="240" w:lineRule="auto"/>
              <w:rPr>
                <w:rFonts w:ascii="Times New Roman" w:hAnsi="Times New Roman"/>
                <w:sz w:val="18"/>
                <w:szCs w:val="18"/>
              </w:rPr>
            </w:pPr>
            <w:r w:rsidRPr="00B0658A">
              <w:rPr>
                <w:rFonts w:ascii="Times New Roman" w:hAnsi="Times New Roman"/>
                <w:sz w:val="18"/>
                <w:szCs w:val="18"/>
              </w:rPr>
              <w:t xml:space="preserve">Системное программное </w:t>
            </w:r>
            <w:r w:rsidRPr="00B0658A">
              <w:rPr>
                <w:rFonts w:ascii="Times New Roman" w:hAnsi="Times New Roman"/>
                <w:sz w:val="18"/>
                <w:szCs w:val="18"/>
              </w:rPr>
              <w:lastRenderedPageBreak/>
              <w:t>обеспечение/ Драйверы</w:t>
            </w:r>
          </w:p>
        </w:tc>
        <w:tc>
          <w:tcPr>
            <w:tcW w:w="1418" w:type="dxa"/>
            <w:shd w:val="clear" w:color="000000" w:fill="FFFFFF"/>
            <w:hideMark/>
          </w:tcPr>
          <w:p w14:paraId="2D3C497D" w14:textId="77777777" w:rsidR="001C32C8" w:rsidRPr="00B0658A" w:rsidRDefault="001C32C8" w:rsidP="00004A41">
            <w:pPr>
              <w:spacing w:after="0" w:line="240" w:lineRule="auto"/>
              <w:rPr>
                <w:rFonts w:ascii="Times New Roman" w:hAnsi="Times New Roman"/>
                <w:sz w:val="18"/>
                <w:szCs w:val="18"/>
              </w:rPr>
            </w:pPr>
            <w:r w:rsidRPr="00B0658A">
              <w:rPr>
                <w:rFonts w:ascii="Times New Roman" w:hAnsi="Times New Roman"/>
                <w:sz w:val="18"/>
                <w:szCs w:val="18"/>
              </w:rPr>
              <w:lastRenderedPageBreak/>
              <w:t xml:space="preserve">Доля используемого </w:t>
            </w:r>
            <w:r w:rsidRPr="00B0658A">
              <w:rPr>
                <w:rFonts w:ascii="Times New Roman" w:hAnsi="Times New Roman"/>
                <w:sz w:val="18"/>
                <w:szCs w:val="18"/>
              </w:rPr>
              <w:lastRenderedPageBreak/>
              <w:t>российского ПО в общем объёме, используемого ПО, %</w:t>
            </w:r>
          </w:p>
        </w:tc>
        <w:tc>
          <w:tcPr>
            <w:tcW w:w="744" w:type="dxa"/>
            <w:shd w:val="clear" w:color="000000" w:fill="FFFFFF"/>
            <w:vAlign w:val="center"/>
          </w:tcPr>
          <w:p w14:paraId="7CDC1766"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000000" w:fill="FFFFFF"/>
            <w:vAlign w:val="center"/>
            <w:hideMark/>
          </w:tcPr>
          <w:p w14:paraId="227A9FD7"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000000" w:fill="FFFFFF"/>
            <w:vAlign w:val="center"/>
            <w:hideMark/>
          </w:tcPr>
          <w:p w14:paraId="5552B147"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000000" w:fill="FFFFFF"/>
            <w:vAlign w:val="center"/>
            <w:hideMark/>
          </w:tcPr>
          <w:p w14:paraId="6067D725" w14:textId="77777777" w:rsidR="001C32C8" w:rsidRPr="00B0658A" w:rsidRDefault="001C32C8" w:rsidP="00004A41">
            <w:pPr>
              <w:spacing w:after="0" w:line="240" w:lineRule="auto"/>
              <w:jc w:val="center"/>
              <w:rPr>
                <w:rFonts w:ascii="Times New Roman" w:hAnsi="Times New Roman"/>
                <w:sz w:val="18"/>
                <w:szCs w:val="18"/>
              </w:rPr>
            </w:pPr>
          </w:p>
        </w:tc>
        <w:tc>
          <w:tcPr>
            <w:tcW w:w="993" w:type="dxa"/>
            <w:shd w:val="clear" w:color="000000" w:fill="FFFFFF"/>
            <w:vAlign w:val="center"/>
          </w:tcPr>
          <w:p w14:paraId="0AB584EE"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000000" w:fill="FFFFFF"/>
            <w:vAlign w:val="center"/>
            <w:hideMark/>
          </w:tcPr>
          <w:p w14:paraId="70B953CF" w14:textId="77777777" w:rsidR="001C32C8" w:rsidRPr="00B0658A" w:rsidRDefault="001C32C8" w:rsidP="00004A41">
            <w:pPr>
              <w:spacing w:after="0" w:line="240" w:lineRule="auto"/>
              <w:jc w:val="center"/>
              <w:rPr>
                <w:rFonts w:ascii="Times New Roman" w:hAnsi="Times New Roman"/>
                <w:sz w:val="18"/>
                <w:szCs w:val="18"/>
              </w:rPr>
            </w:pPr>
          </w:p>
        </w:tc>
        <w:tc>
          <w:tcPr>
            <w:tcW w:w="780" w:type="dxa"/>
            <w:shd w:val="clear" w:color="000000" w:fill="FFFFFF"/>
            <w:vAlign w:val="center"/>
            <w:hideMark/>
          </w:tcPr>
          <w:p w14:paraId="10D112A1"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000000" w:fill="FFFFFF"/>
            <w:vAlign w:val="center"/>
            <w:hideMark/>
          </w:tcPr>
          <w:p w14:paraId="3FC469A7" w14:textId="77777777" w:rsidR="001C32C8" w:rsidRPr="00B0658A" w:rsidRDefault="001C32C8" w:rsidP="00004A41">
            <w:pPr>
              <w:spacing w:after="0" w:line="240" w:lineRule="auto"/>
              <w:jc w:val="center"/>
              <w:rPr>
                <w:rFonts w:ascii="Times New Roman" w:hAnsi="Times New Roman"/>
                <w:sz w:val="18"/>
                <w:szCs w:val="18"/>
              </w:rPr>
            </w:pPr>
          </w:p>
        </w:tc>
        <w:tc>
          <w:tcPr>
            <w:tcW w:w="780" w:type="dxa"/>
            <w:shd w:val="clear" w:color="000000" w:fill="FFFFFF"/>
            <w:vAlign w:val="center"/>
          </w:tcPr>
          <w:p w14:paraId="6D160A3A"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000000" w:fill="FFFFFF"/>
            <w:vAlign w:val="center"/>
          </w:tcPr>
          <w:p w14:paraId="019335C1" w14:textId="77777777" w:rsidR="001C32C8" w:rsidRPr="00B0658A" w:rsidRDefault="001C32C8" w:rsidP="00004A41">
            <w:pPr>
              <w:spacing w:after="0" w:line="240" w:lineRule="auto"/>
              <w:jc w:val="center"/>
              <w:rPr>
                <w:rFonts w:ascii="Times New Roman" w:hAnsi="Times New Roman"/>
                <w:sz w:val="18"/>
                <w:szCs w:val="18"/>
              </w:rPr>
            </w:pPr>
          </w:p>
        </w:tc>
        <w:tc>
          <w:tcPr>
            <w:tcW w:w="780" w:type="dxa"/>
            <w:shd w:val="clear" w:color="000000" w:fill="FFFFFF"/>
            <w:vAlign w:val="center"/>
          </w:tcPr>
          <w:p w14:paraId="0781E922" w14:textId="77777777" w:rsidR="001C32C8" w:rsidRPr="00B0658A" w:rsidRDefault="001C32C8" w:rsidP="00004A41">
            <w:pPr>
              <w:spacing w:after="0" w:line="240" w:lineRule="auto"/>
              <w:jc w:val="center"/>
              <w:rPr>
                <w:rFonts w:ascii="Times New Roman" w:hAnsi="Times New Roman"/>
                <w:sz w:val="18"/>
                <w:szCs w:val="18"/>
              </w:rPr>
            </w:pPr>
          </w:p>
        </w:tc>
        <w:tc>
          <w:tcPr>
            <w:tcW w:w="1475" w:type="dxa"/>
            <w:shd w:val="clear" w:color="000000" w:fill="FFFFFF"/>
            <w:vAlign w:val="center"/>
          </w:tcPr>
          <w:p w14:paraId="1DD983CA" w14:textId="77777777" w:rsidR="001C32C8" w:rsidRPr="00B0658A" w:rsidRDefault="001C32C8" w:rsidP="00004A41">
            <w:pPr>
              <w:spacing w:after="0" w:line="240" w:lineRule="auto"/>
              <w:jc w:val="center"/>
              <w:rPr>
                <w:rFonts w:ascii="Times New Roman" w:hAnsi="Times New Roman"/>
                <w:sz w:val="18"/>
                <w:szCs w:val="18"/>
              </w:rPr>
            </w:pPr>
          </w:p>
        </w:tc>
      </w:tr>
      <w:tr w:rsidR="00F52FED" w:rsidRPr="00B0658A" w14:paraId="42FCEB29" w14:textId="77777777" w:rsidTr="00E66BA4">
        <w:trPr>
          <w:trHeight w:val="20"/>
        </w:trPr>
        <w:tc>
          <w:tcPr>
            <w:tcW w:w="846" w:type="dxa"/>
            <w:shd w:val="clear" w:color="auto" w:fill="auto"/>
            <w:vAlign w:val="center"/>
          </w:tcPr>
          <w:p w14:paraId="1D5689D1" w14:textId="77777777" w:rsidR="001C32C8" w:rsidRPr="00B0658A" w:rsidRDefault="001C32C8" w:rsidP="00004A41">
            <w:pPr>
              <w:spacing w:after="0" w:line="240" w:lineRule="auto"/>
              <w:jc w:val="center"/>
              <w:rPr>
                <w:rFonts w:ascii="Times New Roman" w:hAnsi="Times New Roman"/>
                <w:sz w:val="18"/>
                <w:szCs w:val="18"/>
              </w:rPr>
            </w:pPr>
            <w:r w:rsidRPr="00B0658A">
              <w:rPr>
                <w:rFonts w:ascii="Times New Roman" w:hAnsi="Times New Roman"/>
                <w:sz w:val="18"/>
                <w:szCs w:val="18"/>
              </w:rPr>
              <w:t>2.2</w:t>
            </w:r>
          </w:p>
        </w:tc>
        <w:tc>
          <w:tcPr>
            <w:tcW w:w="1559" w:type="dxa"/>
            <w:shd w:val="clear" w:color="auto" w:fill="auto"/>
            <w:vAlign w:val="center"/>
            <w:hideMark/>
          </w:tcPr>
          <w:p w14:paraId="1BF1D139" w14:textId="77777777" w:rsidR="001C32C8" w:rsidRPr="00B0658A" w:rsidRDefault="001C32C8" w:rsidP="00004A41">
            <w:pPr>
              <w:spacing w:after="0" w:line="240" w:lineRule="auto"/>
              <w:rPr>
                <w:rFonts w:ascii="Times New Roman" w:hAnsi="Times New Roman"/>
                <w:sz w:val="18"/>
                <w:szCs w:val="18"/>
              </w:rPr>
            </w:pPr>
            <w:r w:rsidRPr="00B0658A">
              <w:rPr>
                <w:rFonts w:ascii="Times New Roman" w:hAnsi="Times New Roman"/>
                <w:sz w:val="18"/>
                <w:szCs w:val="18"/>
              </w:rPr>
              <w:t>Системное программное обеспечение/ Программы обслуживания</w:t>
            </w:r>
          </w:p>
        </w:tc>
        <w:tc>
          <w:tcPr>
            <w:tcW w:w="1418" w:type="dxa"/>
            <w:shd w:val="clear" w:color="000000" w:fill="FFFFFF"/>
            <w:hideMark/>
          </w:tcPr>
          <w:p w14:paraId="26F43753" w14:textId="77777777" w:rsidR="001C32C8" w:rsidRPr="00B0658A" w:rsidRDefault="001C32C8" w:rsidP="00004A41">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44" w:type="dxa"/>
            <w:shd w:val="clear" w:color="000000" w:fill="FFFFFF"/>
            <w:vAlign w:val="center"/>
          </w:tcPr>
          <w:p w14:paraId="01FB26CD"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000000" w:fill="FFFFFF"/>
            <w:vAlign w:val="center"/>
            <w:hideMark/>
          </w:tcPr>
          <w:p w14:paraId="1B0C2A11"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000000" w:fill="FFFFFF"/>
            <w:vAlign w:val="center"/>
            <w:hideMark/>
          </w:tcPr>
          <w:p w14:paraId="3CB68C5E"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000000" w:fill="FFFFFF"/>
            <w:vAlign w:val="center"/>
            <w:hideMark/>
          </w:tcPr>
          <w:p w14:paraId="4233D9D9" w14:textId="77777777" w:rsidR="001C32C8" w:rsidRPr="00B0658A" w:rsidRDefault="001C32C8" w:rsidP="00004A41">
            <w:pPr>
              <w:spacing w:after="0" w:line="240" w:lineRule="auto"/>
              <w:jc w:val="center"/>
              <w:rPr>
                <w:rFonts w:ascii="Times New Roman" w:hAnsi="Times New Roman"/>
                <w:sz w:val="18"/>
                <w:szCs w:val="18"/>
              </w:rPr>
            </w:pPr>
          </w:p>
        </w:tc>
        <w:tc>
          <w:tcPr>
            <w:tcW w:w="993" w:type="dxa"/>
            <w:shd w:val="clear" w:color="000000" w:fill="FFFFFF"/>
            <w:vAlign w:val="center"/>
          </w:tcPr>
          <w:p w14:paraId="5A3942A8"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000000" w:fill="FFFFFF"/>
            <w:vAlign w:val="center"/>
            <w:hideMark/>
          </w:tcPr>
          <w:p w14:paraId="61BF054A" w14:textId="77777777" w:rsidR="001C32C8" w:rsidRPr="00B0658A" w:rsidRDefault="001C32C8" w:rsidP="00004A41">
            <w:pPr>
              <w:spacing w:after="0" w:line="240" w:lineRule="auto"/>
              <w:jc w:val="center"/>
              <w:rPr>
                <w:rFonts w:ascii="Times New Roman" w:hAnsi="Times New Roman"/>
                <w:sz w:val="18"/>
                <w:szCs w:val="18"/>
              </w:rPr>
            </w:pPr>
          </w:p>
        </w:tc>
        <w:tc>
          <w:tcPr>
            <w:tcW w:w="780" w:type="dxa"/>
            <w:shd w:val="clear" w:color="000000" w:fill="FFFFFF"/>
            <w:vAlign w:val="center"/>
            <w:hideMark/>
          </w:tcPr>
          <w:p w14:paraId="783AD50D"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000000" w:fill="FFFFFF"/>
            <w:vAlign w:val="center"/>
            <w:hideMark/>
          </w:tcPr>
          <w:p w14:paraId="040C4684" w14:textId="77777777" w:rsidR="001C32C8" w:rsidRPr="00B0658A" w:rsidRDefault="001C32C8" w:rsidP="00004A41">
            <w:pPr>
              <w:spacing w:after="0" w:line="240" w:lineRule="auto"/>
              <w:jc w:val="center"/>
              <w:rPr>
                <w:rFonts w:ascii="Times New Roman" w:hAnsi="Times New Roman"/>
                <w:sz w:val="18"/>
                <w:szCs w:val="18"/>
              </w:rPr>
            </w:pPr>
          </w:p>
        </w:tc>
        <w:tc>
          <w:tcPr>
            <w:tcW w:w="780" w:type="dxa"/>
            <w:shd w:val="clear" w:color="000000" w:fill="FFFFFF"/>
            <w:vAlign w:val="center"/>
          </w:tcPr>
          <w:p w14:paraId="65F9F3EB"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000000" w:fill="FFFFFF"/>
            <w:vAlign w:val="center"/>
          </w:tcPr>
          <w:p w14:paraId="410F6087" w14:textId="77777777" w:rsidR="001C32C8" w:rsidRPr="00B0658A" w:rsidRDefault="001C32C8" w:rsidP="00004A41">
            <w:pPr>
              <w:spacing w:after="0" w:line="240" w:lineRule="auto"/>
              <w:jc w:val="center"/>
              <w:rPr>
                <w:rFonts w:ascii="Times New Roman" w:hAnsi="Times New Roman"/>
                <w:sz w:val="18"/>
                <w:szCs w:val="18"/>
              </w:rPr>
            </w:pPr>
          </w:p>
        </w:tc>
        <w:tc>
          <w:tcPr>
            <w:tcW w:w="780" w:type="dxa"/>
            <w:shd w:val="clear" w:color="000000" w:fill="FFFFFF"/>
            <w:vAlign w:val="center"/>
          </w:tcPr>
          <w:p w14:paraId="05F6F2F0" w14:textId="77777777" w:rsidR="001C32C8" w:rsidRPr="00B0658A" w:rsidRDefault="001C32C8" w:rsidP="00004A41">
            <w:pPr>
              <w:spacing w:after="0" w:line="240" w:lineRule="auto"/>
              <w:jc w:val="center"/>
              <w:rPr>
                <w:rFonts w:ascii="Times New Roman" w:hAnsi="Times New Roman"/>
                <w:sz w:val="18"/>
                <w:szCs w:val="18"/>
              </w:rPr>
            </w:pPr>
          </w:p>
        </w:tc>
        <w:tc>
          <w:tcPr>
            <w:tcW w:w="1475" w:type="dxa"/>
            <w:shd w:val="clear" w:color="000000" w:fill="FFFFFF"/>
            <w:vAlign w:val="center"/>
          </w:tcPr>
          <w:p w14:paraId="6DD29722" w14:textId="77777777" w:rsidR="001C32C8" w:rsidRPr="00B0658A" w:rsidRDefault="001C32C8" w:rsidP="00004A41">
            <w:pPr>
              <w:spacing w:after="0" w:line="240" w:lineRule="auto"/>
              <w:jc w:val="center"/>
              <w:rPr>
                <w:rFonts w:ascii="Times New Roman" w:hAnsi="Times New Roman"/>
                <w:sz w:val="18"/>
                <w:szCs w:val="18"/>
              </w:rPr>
            </w:pPr>
          </w:p>
        </w:tc>
      </w:tr>
      <w:tr w:rsidR="00F52FED" w:rsidRPr="00B0658A" w14:paraId="7092F87A" w14:textId="77777777" w:rsidTr="00E66BA4">
        <w:trPr>
          <w:trHeight w:val="20"/>
        </w:trPr>
        <w:tc>
          <w:tcPr>
            <w:tcW w:w="846" w:type="dxa"/>
            <w:shd w:val="clear" w:color="000000" w:fill="FFFFFF"/>
            <w:vAlign w:val="center"/>
          </w:tcPr>
          <w:p w14:paraId="7BD66ED0" w14:textId="77777777" w:rsidR="001C32C8" w:rsidRPr="00B0658A" w:rsidRDefault="001C32C8" w:rsidP="00004A41">
            <w:pPr>
              <w:spacing w:after="0" w:line="240" w:lineRule="auto"/>
              <w:jc w:val="center"/>
              <w:rPr>
                <w:rFonts w:ascii="Times New Roman" w:hAnsi="Times New Roman"/>
                <w:sz w:val="18"/>
                <w:szCs w:val="18"/>
                <w:lang w:val="en-US"/>
              </w:rPr>
            </w:pPr>
            <w:r w:rsidRPr="00B0658A">
              <w:rPr>
                <w:rFonts w:ascii="Times New Roman" w:hAnsi="Times New Roman"/>
                <w:sz w:val="18"/>
                <w:szCs w:val="18"/>
                <w:lang w:val="en-US"/>
              </w:rPr>
              <w:t>2.3</w:t>
            </w:r>
          </w:p>
        </w:tc>
        <w:tc>
          <w:tcPr>
            <w:tcW w:w="1559" w:type="dxa"/>
            <w:shd w:val="clear" w:color="auto" w:fill="auto"/>
            <w:vAlign w:val="center"/>
            <w:hideMark/>
          </w:tcPr>
          <w:p w14:paraId="6C66297B" w14:textId="77777777" w:rsidR="001C32C8" w:rsidRPr="00B0658A" w:rsidRDefault="001C32C8" w:rsidP="00004A41">
            <w:pPr>
              <w:spacing w:after="0" w:line="240" w:lineRule="auto"/>
              <w:rPr>
                <w:rFonts w:ascii="Times New Roman" w:hAnsi="Times New Roman"/>
                <w:sz w:val="18"/>
                <w:szCs w:val="18"/>
              </w:rPr>
            </w:pPr>
            <w:r w:rsidRPr="00B0658A">
              <w:rPr>
                <w:rFonts w:ascii="Times New Roman" w:hAnsi="Times New Roman"/>
                <w:sz w:val="18"/>
                <w:szCs w:val="18"/>
              </w:rPr>
              <w:t>Средства обеспечения облачных и распределенных вычислений</w:t>
            </w:r>
          </w:p>
        </w:tc>
        <w:tc>
          <w:tcPr>
            <w:tcW w:w="1418" w:type="dxa"/>
            <w:shd w:val="clear" w:color="000000" w:fill="FFFFFF"/>
            <w:hideMark/>
          </w:tcPr>
          <w:p w14:paraId="265240B5" w14:textId="77777777" w:rsidR="001C32C8" w:rsidRPr="00B0658A" w:rsidRDefault="001C32C8" w:rsidP="00004A41">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44" w:type="dxa"/>
            <w:shd w:val="clear" w:color="000000" w:fill="FFFFFF"/>
            <w:vAlign w:val="center"/>
          </w:tcPr>
          <w:p w14:paraId="3C891E52"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000000" w:fill="FFFFFF"/>
            <w:vAlign w:val="center"/>
            <w:hideMark/>
          </w:tcPr>
          <w:p w14:paraId="735CFCF6"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000000" w:fill="FFFFFF"/>
            <w:vAlign w:val="center"/>
            <w:hideMark/>
          </w:tcPr>
          <w:p w14:paraId="51616D04"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000000" w:fill="FFFFFF"/>
            <w:vAlign w:val="center"/>
            <w:hideMark/>
          </w:tcPr>
          <w:p w14:paraId="21A011D7" w14:textId="77777777" w:rsidR="001C32C8" w:rsidRPr="00B0658A" w:rsidRDefault="001C32C8" w:rsidP="00004A41">
            <w:pPr>
              <w:spacing w:after="0" w:line="240" w:lineRule="auto"/>
              <w:jc w:val="center"/>
              <w:rPr>
                <w:rFonts w:ascii="Times New Roman" w:hAnsi="Times New Roman"/>
                <w:sz w:val="18"/>
                <w:szCs w:val="18"/>
              </w:rPr>
            </w:pPr>
          </w:p>
        </w:tc>
        <w:tc>
          <w:tcPr>
            <w:tcW w:w="993" w:type="dxa"/>
            <w:shd w:val="clear" w:color="000000" w:fill="FFFFFF"/>
            <w:vAlign w:val="center"/>
          </w:tcPr>
          <w:p w14:paraId="14D9215A"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000000" w:fill="FFFFFF"/>
            <w:vAlign w:val="center"/>
            <w:hideMark/>
          </w:tcPr>
          <w:p w14:paraId="68E12EAB" w14:textId="77777777" w:rsidR="001C32C8" w:rsidRPr="00B0658A" w:rsidRDefault="001C32C8" w:rsidP="00004A41">
            <w:pPr>
              <w:spacing w:after="0" w:line="240" w:lineRule="auto"/>
              <w:jc w:val="center"/>
              <w:rPr>
                <w:rFonts w:ascii="Times New Roman" w:hAnsi="Times New Roman"/>
                <w:sz w:val="18"/>
                <w:szCs w:val="18"/>
              </w:rPr>
            </w:pPr>
          </w:p>
        </w:tc>
        <w:tc>
          <w:tcPr>
            <w:tcW w:w="780" w:type="dxa"/>
            <w:shd w:val="clear" w:color="000000" w:fill="FFFFFF"/>
            <w:vAlign w:val="center"/>
            <w:hideMark/>
          </w:tcPr>
          <w:p w14:paraId="21C84012"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000000" w:fill="FFFFFF"/>
            <w:vAlign w:val="center"/>
            <w:hideMark/>
          </w:tcPr>
          <w:p w14:paraId="1A4EC63D" w14:textId="77777777" w:rsidR="001C32C8" w:rsidRPr="00B0658A" w:rsidRDefault="001C32C8" w:rsidP="00004A41">
            <w:pPr>
              <w:spacing w:after="0" w:line="240" w:lineRule="auto"/>
              <w:jc w:val="center"/>
              <w:rPr>
                <w:rFonts w:ascii="Times New Roman" w:hAnsi="Times New Roman"/>
                <w:sz w:val="18"/>
                <w:szCs w:val="18"/>
              </w:rPr>
            </w:pPr>
          </w:p>
        </w:tc>
        <w:tc>
          <w:tcPr>
            <w:tcW w:w="780" w:type="dxa"/>
            <w:shd w:val="clear" w:color="000000" w:fill="FFFFFF"/>
            <w:vAlign w:val="center"/>
          </w:tcPr>
          <w:p w14:paraId="5B17C183"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000000" w:fill="FFFFFF"/>
            <w:vAlign w:val="center"/>
          </w:tcPr>
          <w:p w14:paraId="3967B700" w14:textId="77777777" w:rsidR="001C32C8" w:rsidRPr="00B0658A" w:rsidRDefault="001C32C8" w:rsidP="00004A41">
            <w:pPr>
              <w:spacing w:after="0" w:line="240" w:lineRule="auto"/>
              <w:jc w:val="center"/>
              <w:rPr>
                <w:rFonts w:ascii="Times New Roman" w:hAnsi="Times New Roman"/>
                <w:sz w:val="18"/>
                <w:szCs w:val="18"/>
              </w:rPr>
            </w:pPr>
          </w:p>
        </w:tc>
        <w:tc>
          <w:tcPr>
            <w:tcW w:w="780" w:type="dxa"/>
            <w:shd w:val="clear" w:color="000000" w:fill="FFFFFF"/>
            <w:vAlign w:val="center"/>
          </w:tcPr>
          <w:p w14:paraId="5AE450DE" w14:textId="77777777" w:rsidR="001C32C8" w:rsidRPr="00B0658A" w:rsidRDefault="001C32C8" w:rsidP="00004A41">
            <w:pPr>
              <w:spacing w:after="0" w:line="240" w:lineRule="auto"/>
              <w:jc w:val="center"/>
              <w:rPr>
                <w:rFonts w:ascii="Times New Roman" w:hAnsi="Times New Roman"/>
                <w:sz w:val="18"/>
                <w:szCs w:val="18"/>
              </w:rPr>
            </w:pPr>
          </w:p>
        </w:tc>
        <w:tc>
          <w:tcPr>
            <w:tcW w:w="1475" w:type="dxa"/>
            <w:shd w:val="clear" w:color="000000" w:fill="FFFFFF"/>
            <w:vAlign w:val="center"/>
          </w:tcPr>
          <w:p w14:paraId="03FF34A3" w14:textId="77777777" w:rsidR="001C32C8" w:rsidRPr="00B0658A" w:rsidRDefault="001C32C8" w:rsidP="00004A41">
            <w:pPr>
              <w:spacing w:after="0" w:line="240" w:lineRule="auto"/>
              <w:jc w:val="center"/>
              <w:rPr>
                <w:rFonts w:ascii="Times New Roman" w:hAnsi="Times New Roman"/>
                <w:sz w:val="18"/>
                <w:szCs w:val="18"/>
              </w:rPr>
            </w:pPr>
          </w:p>
        </w:tc>
      </w:tr>
      <w:tr w:rsidR="00F52FED" w:rsidRPr="00B0658A" w14:paraId="562F1AAD" w14:textId="77777777" w:rsidTr="00E66BA4">
        <w:trPr>
          <w:trHeight w:val="20"/>
        </w:trPr>
        <w:tc>
          <w:tcPr>
            <w:tcW w:w="846" w:type="dxa"/>
            <w:shd w:val="clear" w:color="000000" w:fill="FFFFFF"/>
            <w:vAlign w:val="center"/>
          </w:tcPr>
          <w:p w14:paraId="5153410D" w14:textId="77777777" w:rsidR="001C32C8" w:rsidRPr="00B0658A" w:rsidRDefault="001C32C8" w:rsidP="00004A41">
            <w:pPr>
              <w:spacing w:after="0" w:line="240" w:lineRule="auto"/>
              <w:jc w:val="center"/>
              <w:rPr>
                <w:rFonts w:ascii="Times New Roman" w:hAnsi="Times New Roman"/>
                <w:sz w:val="18"/>
                <w:szCs w:val="18"/>
              </w:rPr>
            </w:pPr>
            <w:r w:rsidRPr="00B0658A">
              <w:rPr>
                <w:rFonts w:ascii="Times New Roman" w:hAnsi="Times New Roman"/>
                <w:sz w:val="18"/>
                <w:szCs w:val="18"/>
              </w:rPr>
              <w:t>2.4</w:t>
            </w:r>
          </w:p>
        </w:tc>
        <w:tc>
          <w:tcPr>
            <w:tcW w:w="1559" w:type="dxa"/>
            <w:shd w:val="clear" w:color="auto" w:fill="auto"/>
            <w:vAlign w:val="center"/>
            <w:hideMark/>
          </w:tcPr>
          <w:p w14:paraId="01F37CBF" w14:textId="77777777" w:rsidR="001C32C8" w:rsidRPr="00B0658A" w:rsidRDefault="001C32C8" w:rsidP="00004A41">
            <w:pPr>
              <w:spacing w:after="0" w:line="240" w:lineRule="auto"/>
              <w:rPr>
                <w:rFonts w:ascii="Times New Roman" w:hAnsi="Times New Roman"/>
                <w:sz w:val="18"/>
                <w:szCs w:val="18"/>
              </w:rPr>
            </w:pPr>
            <w:r w:rsidRPr="00B0658A">
              <w:rPr>
                <w:rFonts w:ascii="Times New Roman" w:hAnsi="Times New Roman"/>
                <w:sz w:val="18"/>
                <w:szCs w:val="18"/>
              </w:rPr>
              <w:t>Системное программное обеспечение / Средства виртуализации</w:t>
            </w:r>
          </w:p>
        </w:tc>
        <w:tc>
          <w:tcPr>
            <w:tcW w:w="1418" w:type="dxa"/>
            <w:shd w:val="clear" w:color="000000" w:fill="FFFFFF"/>
            <w:hideMark/>
          </w:tcPr>
          <w:p w14:paraId="750569E0" w14:textId="77777777" w:rsidR="001C32C8" w:rsidRPr="00B0658A" w:rsidRDefault="001C32C8" w:rsidP="00004A41">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44" w:type="dxa"/>
            <w:shd w:val="clear" w:color="000000" w:fill="FFFFFF"/>
            <w:vAlign w:val="center"/>
          </w:tcPr>
          <w:p w14:paraId="6BBBA2F2"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000000" w:fill="FFFFFF"/>
            <w:vAlign w:val="center"/>
            <w:hideMark/>
          </w:tcPr>
          <w:p w14:paraId="18671654"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000000" w:fill="FFFFFF"/>
            <w:vAlign w:val="center"/>
            <w:hideMark/>
          </w:tcPr>
          <w:p w14:paraId="45D04418"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000000" w:fill="FFFFFF"/>
            <w:vAlign w:val="center"/>
            <w:hideMark/>
          </w:tcPr>
          <w:p w14:paraId="61D133AB" w14:textId="77777777" w:rsidR="001C32C8" w:rsidRPr="00B0658A" w:rsidRDefault="001C32C8" w:rsidP="00004A41">
            <w:pPr>
              <w:spacing w:after="0" w:line="240" w:lineRule="auto"/>
              <w:jc w:val="center"/>
              <w:rPr>
                <w:rFonts w:ascii="Times New Roman" w:hAnsi="Times New Roman"/>
                <w:sz w:val="18"/>
                <w:szCs w:val="18"/>
              </w:rPr>
            </w:pPr>
          </w:p>
        </w:tc>
        <w:tc>
          <w:tcPr>
            <w:tcW w:w="993" w:type="dxa"/>
            <w:shd w:val="clear" w:color="000000" w:fill="FFFFFF"/>
            <w:vAlign w:val="center"/>
          </w:tcPr>
          <w:p w14:paraId="31B816FD"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000000" w:fill="FFFFFF"/>
            <w:vAlign w:val="center"/>
            <w:hideMark/>
          </w:tcPr>
          <w:p w14:paraId="7E56C904" w14:textId="77777777" w:rsidR="001C32C8" w:rsidRPr="00B0658A" w:rsidRDefault="001C32C8" w:rsidP="00004A41">
            <w:pPr>
              <w:spacing w:after="0" w:line="240" w:lineRule="auto"/>
              <w:jc w:val="center"/>
              <w:rPr>
                <w:rFonts w:ascii="Times New Roman" w:hAnsi="Times New Roman"/>
                <w:sz w:val="18"/>
                <w:szCs w:val="18"/>
              </w:rPr>
            </w:pPr>
          </w:p>
        </w:tc>
        <w:tc>
          <w:tcPr>
            <w:tcW w:w="780" w:type="dxa"/>
            <w:shd w:val="clear" w:color="000000" w:fill="FFFFFF"/>
            <w:vAlign w:val="center"/>
            <w:hideMark/>
          </w:tcPr>
          <w:p w14:paraId="626A87E0"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000000" w:fill="FFFFFF"/>
            <w:vAlign w:val="center"/>
            <w:hideMark/>
          </w:tcPr>
          <w:p w14:paraId="2BEB8C18" w14:textId="77777777" w:rsidR="001C32C8" w:rsidRPr="00B0658A" w:rsidRDefault="001C32C8" w:rsidP="00004A41">
            <w:pPr>
              <w:spacing w:after="0" w:line="240" w:lineRule="auto"/>
              <w:jc w:val="center"/>
              <w:rPr>
                <w:rFonts w:ascii="Times New Roman" w:hAnsi="Times New Roman"/>
                <w:sz w:val="18"/>
                <w:szCs w:val="18"/>
              </w:rPr>
            </w:pPr>
          </w:p>
        </w:tc>
        <w:tc>
          <w:tcPr>
            <w:tcW w:w="780" w:type="dxa"/>
            <w:shd w:val="clear" w:color="000000" w:fill="FFFFFF"/>
            <w:vAlign w:val="center"/>
          </w:tcPr>
          <w:p w14:paraId="066A47E5"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000000" w:fill="FFFFFF"/>
            <w:vAlign w:val="center"/>
          </w:tcPr>
          <w:p w14:paraId="3654C122" w14:textId="77777777" w:rsidR="001C32C8" w:rsidRPr="00B0658A" w:rsidRDefault="001C32C8" w:rsidP="00004A41">
            <w:pPr>
              <w:spacing w:after="0" w:line="240" w:lineRule="auto"/>
              <w:jc w:val="center"/>
              <w:rPr>
                <w:rFonts w:ascii="Times New Roman" w:hAnsi="Times New Roman"/>
                <w:sz w:val="18"/>
                <w:szCs w:val="18"/>
              </w:rPr>
            </w:pPr>
          </w:p>
        </w:tc>
        <w:tc>
          <w:tcPr>
            <w:tcW w:w="780" w:type="dxa"/>
            <w:shd w:val="clear" w:color="000000" w:fill="FFFFFF"/>
            <w:vAlign w:val="center"/>
          </w:tcPr>
          <w:p w14:paraId="6C81FDE1" w14:textId="77777777" w:rsidR="001C32C8" w:rsidRPr="00B0658A" w:rsidRDefault="001C32C8" w:rsidP="00004A41">
            <w:pPr>
              <w:spacing w:after="0" w:line="240" w:lineRule="auto"/>
              <w:jc w:val="center"/>
              <w:rPr>
                <w:rFonts w:ascii="Times New Roman" w:hAnsi="Times New Roman"/>
                <w:sz w:val="18"/>
                <w:szCs w:val="18"/>
              </w:rPr>
            </w:pPr>
          </w:p>
        </w:tc>
        <w:tc>
          <w:tcPr>
            <w:tcW w:w="1475" w:type="dxa"/>
            <w:shd w:val="clear" w:color="000000" w:fill="FFFFFF"/>
            <w:vAlign w:val="center"/>
          </w:tcPr>
          <w:p w14:paraId="51F59A59" w14:textId="77777777" w:rsidR="001C32C8" w:rsidRPr="00B0658A" w:rsidRDefault="001C32C8" w:rsidP="00004A41">
            <w:pPr>
              <w:spacing w:after="0" w:line="240" w:lineRule="auto"/>
              <w:jc w:val="center"/>
              <w:rPr>
                <w:rFonts w:ascii="Times New Roman" w:hAnsi="Times New Roman"/>
                <w:sz w:val="18"/>
                <w:szCs w:val="18"/>
              </w:rPr>
            </w:pPr>
          </w:p>
        </w:tc>
      </w:tr>
      <w:tr w:rsidR="00F52FED" w:rsidRPr="00B0658A" w14:paraId="32130870" w14:textId="77777777" w:rsidTr="00E66BA4">
        <w:trPr>
          <w:trHeight w:val="20"/>
        </w:trPr>
        <w:tc>
          <w:tcPr>
            <w:tcW w:w="846" w:type="dxa"/>
            <w:shd w:val="clear" w:color="000000" w:fill="FFFFFF"/>
            <w:vAlign w:val="center"/>
          </w:tcPr>
          <w:p w14:paraId="681F5096" w14:textId="77777777" w:rsidR="001C32C8" w:rsidRPr="00B0658A" w:rsidRDefault="001C32C8" w:rsidP="00004A41">
            <w:pPr>
              <w:spacing w:after="0" w:line="240" w:lineRule="auto"/>
              <w:jc w:val="center"/>
              <w:rPr>
                <w:rFonts w:ascii="Times New Roman" w:hAnsi="Times New Roman"/>
                <w:sz w:val="18"/>
                <w:szCs w:val="18"/>
              </w:rPr>
            </w:pPr>
            <w:r w:rsidRPr="00B0658A">
              <w:rPr>
                <w:rFonts w:ascii="Times New Roman" w:hAnsi="Times New Roman"/>
                <w:sz w:val="18"/>
                <w:szCs w:val="18"/>
              </w:rPr>
              <w:t>2.5</w:t>
            </w:r>
          </w:p>
        </w:tc>
        <w:tc>
          <w:tcPr>
            <w:tcW w:w="1559" w:type="dxa"/>
            <w:shd w:val="clear" w:color="auto" w:fill="auto"/>
            <w:vAlign w:val="center"/>
            <w:hideMark/>
          </w:tcPr>
          <w:p w14:paraId="1463805B" w14:textId="77777777" w:rsidR="001C32C8" w:rsidRPr="00B0658A" w:rsidRDefault="001C32C8" w:rsidP="00004A41">
            <w:pPr>
              <w:spacing w:after="0" w:line="240" w:lineRule="auto"/>
              <w:rPr>
                <w:rFonts w:ascii="Times New Roman" w:hAnsi="Times New Roman"/>
                <w:sz w:val="18"/>
                <w:szCs w:val="18"/>
              </w:rPr>
            </w:pPr>
            <w:r w:rsidRPr="00B0658A">
              <w:rPr>
                <w:rFonts w:ascii="Times New Roman" w:hAnsi="Times New Roman"/>
                <w:sz w:val="18"/>
                <w:szCs w:val="18"/>
              </w:rPr>
              <w:t>Системное программное обеспечение/ Средства хранения данных</w:t>
            </w:r>
          </w:p>
        </w:tc>
        <w:tc>
          <w:tcPr>
            <w:tcW w:w="1418" w:type="dxa"/>
            <w:shd w:val="clear" w:color="000000" w:fill="FFFFFF"/>
            <w:hideMark/>
          </w:tcPr>
          <w:p w14:paraId="483FF22F" w14:textId="77777777" w:rsidR="001C32C8" w:rsidRPr="00B0658A" w:rsidRDefault="001C32C8" w:rsidP="00004A41">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44" w:type="dxa"/>
            <w:shd w:val="clear" w:color="000000" w:fill="FFFFFF"/>
            <w:vAlign w:val="center"/>
          </w:tcPr>
          <w:p w14:paraId="583AC7B8"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000000" w:fill="FFFFFF"/>
            <w:vAlign w:val="center"/>
            <w:hideMark/>
          </w:tcPr>
          <w:p w14:paraId="620CC518"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000000" w:fill="FFFFFF"/>
            <w:vAlign w:val="center"/>
            <w:hideMark/>
          </w:tcPr>
          <w:p w14:paraId="1EF20F19"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000000" w:fill="FFFFFF"/>
            <w:vAlign w:val="center"/>
            <w:hideMark/>
          </w:tcPr>
          <w:p w14:paraId="473A02B4" w14:textId="77777777" w:rsidR="001C32C8" w:rsidRPr="00B0658A" w:rsidRDefault="001C32C8" w:rsidP="00004A41">
            <w:pPr>
              <w:spacing w:after="0" w:line="240" w:lineRule="auto"/>
              <w:jc w:val="center"/>
              <w:rPr>
                <w:rFonts w:ascii="Times New Roman" w:hAnsi="Times New Roman"/>
                <w:sz w:val="18"/>
                <w:szCs w:val="18"/>
              </w:rPr>
            </w:pPr>
          </w:p>
        </w:tc>
        <w:tc>
          <w:tcPr>
            <w:tcW w:w="993" w:type="dxa"/>
            <w:shd w:val="clear" w:color="000000" w:fill="FFFFFF"/>
            <w:vAlign w:val="center"/>
          </w:tcPr>
          <w:p w14:paraId="17869E51"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000000" w:fill="FFFFFF"/>
            <w:vAlign w:val="center"/>
            <w:hideMark/>
          </w:tcPr>
          <w:p w14:paraId="2274449F" w14:textId="77777777" w:rsidR="001C32C8" w:rsidRPr="00B0658A" w:rsidRDefault="001C32C8" w:rsidP="00004A41">
            <w:pPr>
              <w:spacing w:after="0" w:line="240" w:lineRule="auto"/>
              <w:jc w:val="center"/>
              <w:rPr>
                <w:rFonts w:ascii="Times New Roman" w:hAnsi="Times New Roman"/>
                <w:sz w:val="18"/>
                <w:szCs w:val="18"/>
              </w:rPr>
            </w:pPr>
          </w:p>
        </w:tc>
        <w:tc>
          <w:tcPr>
            <w:tcW w:w="780" w:type="dxa"/>
            <w:shd w:val="clear" w:color="000000" w:fill="FFFFFF"/>
            <w:vAlign w:val="center"/>
            <w:hideMark/>
          </w:tcPr>
          <w:p w14:paraId="61794E44"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000000" w:fill="FFFFFF"/>
            <w:vAlign w:val="center"/>
            <w:hideMark/>
          </w:tcPr>
          <w:p w14:paraId="05BC83FD" w14:textId="77777777" w:rsidR="001C32C8" w:rsidRPr="00B0658A" w:rsidRDefault="001C32C8" w:rsidP="00004A41">
            <w:pPr>
              <w:spacing w:after="0" w:line="240" w:lineRule="auto"/>
              <w:jc w:val="center"/>
              <w:rPr>
                <w:rFonts w:ascii="Times New Roman" w:hAnsi="Times New Roman"/>
                <w:sz w:val="18"/>
                <w:szCs w:val="18"/>
              </w:rPr>
            </w:pPr>
          </w:p>
        </w:tc>
        <w:tc>
          <w:tcPr>
            <w:tcW w:w="780" w:type="dxa"/>
            <w:shd w:val="clear" w:color="000000" w:fill="FFFFFF"/>
            <w:vAlign w:val="center"/>
          </w:tcPr>
          <w:p w14:paraId="2C202900"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000000" w:fill="FFFFFF"/>
            <w:vAlign w:val="center"/>
          </w:tcPr>
          <w:p w14:paraId="68D19F4B" w14:textId="77777777" w:rsidR="001C32C8" w:rsidRPr="00B0658A" w:rsidRDefault="001C32C8" w:rsidP="00004A41">
            <w:pPr>
              <w:spacing w:after="0" w:line="240" w:lineRule="auto"/>
              <w:jc w:val="center"/>
              <w:rPr>
                <w:rFonts w:ascii="Times New Roman" w:hAnsi="Times New Roman"/>
                <w:sz w:val="18"/>
                <w:szCs w:val="18"/>
              </w:rPr>
            </w:pPr>
          </w:p>
        </w:tc>
        <w:tc>
          <w:tcPr>
            <w:tcW w:w="780" w:type="dxa"/>
            <w:shd w:val="clear" w:color="000000" w:fill="FFFFFF"/>
            <w:vAlign w:val="center"/>
          </w:tcPr>
          <w:p w14:paraId="4CD8E639" w14:textId="77777777" w:rsidR="001C32C8" w:rsidRPr="00B0658A" w:rsidRDefault="001C32C8" w:rsidP="00004A41">
            <w:pPr>
              <w:spacing w:after="0" w:line="240" w:lineRule="auto"/>
              <w:jc w:val="center"/>
              <w:rPr>
                <w:rFonts w:ascii="Times New Roman" w:hAnsi="Times New Roman"/>
                <w:sz w:val="18"/>
                <w:szCs w:val="18"/>
              </w:rPr>
            </w:pPr>
          </w:p>
        </w:tc>
        <w:tc>
          <w:tcPr>
            <w:tcW w:w="1475" w:type="dxa"/>
            <w:shd w:val="clear" w:color="000000" w:fill="FFFFFF"/>
            <w:vAlign w:val="center"/>
          </w:tcPr>
          <w:p w14:paraId="3804FAB7" w14:textId="77777777" w:rsidR="001C32C8" w:rsidRPr="00B0658A" w:rsidRDefault="001C32C8" w:rsidP="00004A41">
            <w:pPr>
              <w:spacing w:after="0" w:line="240" w:lineRule="auto"/>
              <w:jc w:val="center"/>
              <w:rPr>
                <w:rFonts w:ascii="Times New Roman" w:hAnsi="Times New Roman"/>
                <w:sz w:val="18"/>
                <w:szCs w:val="18"/>
              </w:rPr>
            </w:pPr>
          </w:p>
        </w:tc>
      </w:tr>
      <w:tr w:rsidR="00F52FED" w:rsidRPr="00B0658A" w14:paraId="437EB033" w14:textId="77777777" w:rsidTr="00E66BA4">
        <w:trPr>
          <w:trHeight w:val="20"/>
        </w:trPr>
        <w:tc>
          <w:tcPr>
            <w:tcW w:w="846" w:type="dxa"/>
            <w:shd w:val="clear" w:color="000000" w:fill="FFFFFF"/>
            <w:vAlign w:val="center"/>
          </w:tcPr>
          <w:p w14:paraId="1F376EE1" w14:textId="77777777" w:rsidR="001C32C8" w:rsidRPr="00B0658A" w:rsidRDefault="001C32C8" w:rsidP="00004A41">
            <w:pPr>
              <w:spacing w:after="0" w:line="240" w:lineRule="auto"/>
              <w:jc w:val="center"/>
              <w:rPr>
                <w:rFonts w:ascii="Times New Roman" w:hAnsi="Times New Roman"/>
                <w:sz w:val="18"/>
                <w:szCs w:val="18"/>
              </w:rPr>
            </w:pPr>
            <w:r w:rsidRPr="00B0658A">
              <w:rPr>
                <w:rFonts w:ascii="Times New Roman" w:hAnsi="Times New Roman"/>
                <w:sz w:val="18"/>
                <w:szCs w:val="18"/>
              </w:rPr>
              <w:t>2.6</w:t>
            </w:r>
          </w:p>
        </w:tc>
        <w:tc>
          <w:tcPr>
            <w:tcW w:w="1559" w:type="dxa"/>
            <w:shd w:val="clear" w:color="auto" w:fill="auto"/>
            <w:vAlign w:val="center"/>
            <w:hideMark/>
          </w:tcPr>
          <w:p w14:paraId="2CA57E70" w14:textId="77777777" w:rsidR="001C32C8" w:rsidRPr="00B0658A" w:rsidRDefault="001C32C8" w:rsidP="00004A41">
            <w:pPr>
              <w:spacing w:after="0" w:line="240" w:lineRule="auto"/>
              <w:rPr>
                <w:rFonts w:ascii="Times New Roman" w:hAnsi="Times New Roman"/>
                <w:sz w:val="18"/>
                <w:szCs w:val="18"/>
              </w:rPr>
            </w:pPr>
            <w:r w:rsidRPr="00B0658A">
              <w:rPr>
                <w:rFonts w:ascii="Times New Roman" w:hAnsi="Times New Roman"/>
                <w:sz w:val="18"/>
                <w:szCs w:val="18"/>
              </w:rPr>
              <w:t>Системное программное обеспечение / Серверное и связующее программное обеспечение</w:t>
            </w:r>
          </w:p>
        </w:tc>
        <w:tc>
          <w:tcPr>
            <w:tcW w:w="1418" w:type="dxa"/>
            <w:shd w:val="clear" w:color="000000" w:fill="FFFFFF"/>
            <w:hideMark/>
          </w:tcPr>
          <w:p w14:paraId="63F05A37" w14:textId="77777777" w:rsidR="001C32C8" w:rsidRPr="00B0658A" w:rsidRDefault="001C32C8" w:rsidP="00004A41">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44" w:type="dxa"/>
            <w:shd w:val="clear" w:color="000000" w:fill="FFFFFF"/>
            <w:vAlign w:val="center"/>
          </w:tcPr>
          <w:p w14:paraId="16C1CD6B"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000000" w:fill="FFFFFF"/>
            <w:vAlign w:val="center"/>
            <w:hideMark/>
          </w:tcPr>
          <w:p w14:paraId="23F248C1"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000000" w:fill="FFFFFF"/>
            <w:vAlign w:val="center"/>
            <w:hideMark/>
          </w:tcPr>
          <w:p w14:paraId="20DDE783"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000000" w:fill="FFFFFF"/>
            <w:vAlign w:val="center"/>
            <w:hideMark/>
          </w:tcPr>
          <w:p w14:paraId="7C07466E" w14:textId="77777777" w:rsidR="001C32C8" w:rsidRPr="00B0658A" w:rsidRDefault="001C32C8" w:rsidP="00004A41">
            <w:pPr>
              <w:spacing w:after="0" w:line="240" w:lineRule="auto"/>
              <w:jc w:val="center"/>
              <w:rPr>
                <w:rFonts w:ascii="Times New Roman" w:hAnsi="Times New Roman"/>
                <w:sz w:val="18"/>
                <w:szCs w:val="18"/>
              </w:rPr>
            </w:pPr>
          </w:p>
        </w:tc>
        <w:tc>
          <w:tcPr>
            <w:tcW w:w="993" w:type="dxa"/>
            <w:shd w:val="clear" w:color="000000" w:fill="FFFFFF"/>
            <w:vAlign w:val="center"/>
          </w:tcPr>
          <w:p w14:paraId="3E25F2DB"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000000" w:fill="FFFFFF"/>
            <w:vAlign w:val="center"/>
            <w:hideMark/>
          </w:tcPr>
          <w:p w14:paraId="50E29001" w14:textId="77777777" w:rsidR="001C32C8" w:rsidRPr="00B0658A" w:rsidRDefault="001C32C8" w:rsidP="00004A41">
            <w:pPr>
              <w:spacing w:after="0" w:line="240" w:lineRule="auto"/>
              <w:jc w:val="center"/>
              <w:rPr>
                <w:rFonts w:ascii="Times New Roman" w:hAnsi="Times New Roman"/>
                <w:sz w:val="18"/>
                <w:szCs w:val="18"/>
              </w:rPr>
            </w:pPr>
          </w:p>
        </w:tc>
        <w:tc>
          <w:tcPr>
            <w:tcW w:w="780" w:type="dxa"/>
            <w:shd w:val="clear" w:color="000000" w:fill="FFFFFF"/>
            <w:vAlign w:val="center"/>
            <w:hideMark/>
          </w:tcPr>
          <w:p w14:paraId="1EBB450A"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000000" w:fill="FFFFFF"/>
            <w:vAlign w:val="center"/>
            <w:hideMark/>
          </w:tcPr>
          <w:p w14:paraId="11545FD6" w14:textId="77777777" w:rsidR="001C32C8" w:rsidRPr="00B0658A" w:rsidRDefault="001C32C8" w:rsidP="00004A41">
            <w:pPr>
              <w:spacing w:after="0" w:line="240" w:lineRule="auto"/>
              <w:jc w:val="center"/>
              <w:rPr>
                <w:rFonts w:ascii="Times New Roman" w:hAnsi="Times New Roman"/>
                <w:sz w:val="18"/>
                <w:szCs w:val="18"/>
              </w:rPr>
            </w:pPr>
          </w:p>
        </w:tc>
        <w:tc>
          <w:tcPr>
            <w:tcW w:w="780" w:type="dxa"/>
            <w:shd w:val="clear" w:color="000000" w:fill="FFFFFF"/>
            <w:vAlign w:val="center"/>
          </w:tcPr>
          <w:p w14:paraId="6CED47FE"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000000" w:fill="FFFFFF"/>
            <w:vAlign w:val="center"/>
          </w:tcPr>
          <w:p w14:paraId="65EFBE67" w14:textId="77777777" w:rsidR="001C32C8" w:rsidRPr="00B0658A" w:rsidRDefault="001C32C8" w:rsidP="00004A41">
            <w:pPr>
              <w:spacing w:after="0" w:line="240" w:lineRule="auto"/>
              <w:jc w:val="center"/>
              <w:rPr>
                <w:rFonts w:ascii="Times New Roman" w:hAnsi="Times New Roman"/>
                <w:sz w:val="18"/>
                <w:szCs w:val="18"/>
              </w:rPr>
            </w:pPr>
          </w:p>
        </w:tc>
        <w:tc>
          <w:tcPr>
            <w:tcW w:w="780" w:type="dxa"/>
            <w:shd w:val="clear" w:color="000000" w:fill="FFFFFF"/>
            <w:vAlign w:val="center"/>
          </w:tcPr>
          <w:p w14:paraId="39685B3F" w14:textId="77777777" w:rsidR="001C32C8" w:rsidRPr="00B0658A" w:rsidRDefault="001C32C8" w:rsidP="00004A41">
            <w:pPr>
              <w:spacing w:after="0" w:line="240" w:lineRule="auto"/>
              <w:jc w:val="center"/>
              <w:rPr>
                <w:rFonts w:ascii="Times New Roman" w:hAnsi="Times New Roman"/>
                <w:sz w:val="18"/>
                <w:szCs w:val="18"/>
              </w:rPr>
            </w:pPr>
          </w:p>
        </w:tc>
        <w:tc>
          <w:tcPr>
            <w:tcW w:w="1475" w:type="dxa"/>
            <w:shd w:val="clear" w:color="000000" w:fill="FFFFFF"/>
            <w:vAlign w:val="center"/>
          </w:tcPr>
          <w:p w14:paraId="738153F4" w14:textId="77777777" w:rsidR="001C32C8" w:rsidRPr="00B0658A" w:rsidRDefault="001C32C8" w:rsidP="00004A41">
            <w:pPr>
              <w:spacing w:after="0" w:line="240" w:lineRule="auto"/>
              <w:jc w:val="center"/>
              <w:rPr>
                <w:rFonts w:ascii="Times New Roman" w:hAnsi="Times New Roman"/>
                <w:sz w:val="18"/>
                <w:szCs w:val="18"/>
              </w:rPr>
            </w:pPr>
          </w:p>
        </w:tc>
      </w:tr>
      <w:tr w:rsidR="00F52FED" w:rsidRPr="00B0658A" w14:paraId="3B680216" w14:textId="77777777" w:rsidTr="00E66BA4">
        <w:trPr>
          <w:trHeight w:val="20"/>
        </w:trPr>
        <w:tc>
          <w:tcPr>
            <w:tcW w:w="846" w:type="dxa"/>
            <w:shd w:val="clear" w:color="000000" w:fill="FFFFFF"/>
            <w:vAlign w:val="center"/>
          </w:tcPr>
          <w:p w14:paraId="6E3A7867" w14:textId="77777777" w:rsidR="001C32C8" w:rsidRPr="00B0658A" w:rsidRDefault="001C32C8" w:rsidP="00004A41">
            <w:pPr>
              <w:spacing w:after="0" w:line="240" w:lineRule="auto"/>
              <w:jc w:val="center"/>
              <w:rPr>
                <w:rFonts w:ascii="Times New Roman" w:hAnsi="Times New Roman"/>
                <w:sz w:val="18"/>
                <w:szCs w:val="18"/>
              </w:rPr>
            </w:pPr>
            <w:r w:rsidRPr="00B0658A">
              <w:rPr>
                <w:rFonts w:ascii="Times New Roman" w:hAnsi="Times New Roman"/>
                <w:sz w:val="18"/>
                <w:szCs w:val="18"/>
              </w:rPr>
              <w:t>2.7</w:t>
            </w:r>
          </w:p>
        </w:tc>
        <w:tc>
          <w:tcPr>
            <w:tcW w:w="1559" w:type="dxa"/>
            <w:shd w:val="clear" w:color="auto" w:fill="auto"/>
            <w:vAlign w:val="center"/>
            <w:hideMark/>
          </w:tcPr>
          <w:p w14:paraId="542A0C7D" w14:textId="77777777" w:rsidR="001C32C8" w:rsidRPr="00B0658A" w:rsidRDefault="001C32C8" w:rsidP="00004A41">
            <w:pPr>
              <w:spacing w:after="0" w:line="240" w:lineRule="auto"/>
              <w:rPr>
                <w:rFonts w:ascii="Times New Roman" w:hAnsi="Times New Roman"/>
                <w:sz w:val="18"/>
                <w:szCs w:val="18"/>
              </w:rPr>
            </w:pPr>
            <w:r w:rsidRPr="00B0658A">
              <w:rPr>
                <w:rFonts w:ascii="Times New Roman" w:hAnsi="Times New Roman"/>
                <w:sz w:val="18"/>
                <w:szCs w:val="18"/>
              </w:rPr>
              <w:t xml:space="preserve">Системное программное </w:t>
            </w:r>
            <w:r w:rsidRPr="00B0658A">
              <w:rPr>
                <w:rFonts w:ascii="Times New Roman" w:hAnsi="Times New Roman"/>
                <w:sz w:val="18"/>
                <w:szCs w:val="18"/>
              </w:rPr>
              <w:lastRenderedPageBreak/>
              <w:t>обеспечение/ Средства управления базами данных</w:t>
            </w:r>
          </w:p>
        </w:tc>
        <w:tc>
          <w:tcPr>
            <w:tcW w:w="1418" w:type="dxa"/>
            <w:shd w:val="clear" w:color="000000" w:fill="FFFFFF"/>
            <w:hideMark/>
          </w:tcPr>
          <w:p w14:paraId="6C2E0806" w14:textId="77777777" w:rsidR="001C32C8" w:rsidRPr="00B0658A" w:rsidRDefault="001C32C8" w:rsidP="00004A41">
            <w:pPr>
              <w:spacing w:after="0" w:line="240" w:lineRule="auto"/>
              <w:rPr>
                <w:rFonts w:ascii="Times New Roman" w:hAnsi="Times New Roman"/>
                <w:sz w:val="18"/>
                <w:szCs w:val="18"/>
              </w:rPr>
            </w:pPr>
            <w:r w:rsidRPr="00B0658A">
              <w:rPr>
                <w:rFonts w:ascii="Times New Roman" w:hAnsi="Times New Roman"/>
                <w:sz w:val="18"/>
                <w:szCs w:val="18"/>
              </w:rPr>
              <w:lastRenderedPageBreak/>
              <w:t xml:space="preserve">Доля используемого </w:t>
            </w:r>
            <w:r w:rsidRPr="00B0658A">
              <w:rPr>
                <w:rFonts w:ascii="Times New Roman" w:hAnsi="Times New Roman"/>
                <w:sz w:val="18"/>
                <w:szCs w:val="18"/>
              </w:rPr>
              <w:lastRenderedPageBreak/>
              <w:t>российского ПО в общем объёме, используемого ПО, %</w:t>
            </w:r>
          </w:p>
        </w:tc>
        <w:tc>
          <w:tcPr>
            <w:tcW w:w="744" w:type="dxa"/>
            <w:vAlign w:val="center"/>
          </w:tcPr>
          <w:p w14:paraId="3CF6CE9B"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auto" w:fill="auto"/>
            <w:vAlign w:val="center"/>
            <w:hideMark/>
          </w:tcPr>
          <w:p w14:paraId="6360F709"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auto" w:fill="auto"/>
            <w:vAlign w:val="center"/>
            <w:hideMark/>
          </w:tcPr>
          <w:p w14:paraId="19F1EF3C"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auto" w:fill="auto"/>
            <w:vAlign w:val="center"/>
            <w:hideMark/>
          </w:tcPr>
          <w:p w14:paraId="717397E7" w14:textId="77777777" w:rsidR="001C32C8" w:rsidRPr="00B0658A" w:rsidRDefault="001C32C8" w:rsidP="00004A41">
            <w:pPr>
              <w:spacing w:after="0" w:line="240" w:lineRule="auto"/>
              <w:jc w:val="center"/>
              <w:rPr>
                <w:rFonts w:ascii="Times New Roman" w:hAnsi="Times New Roman"/>
                <w:sz w:val="18"/>
                <w:szCs w:val="18"/>
              </w:rPr>
            </w:pPr>
          </w:p>
        </w:tc>
        <w:tc>
          <w:tcPr>
            <w:tcW w:w="993" w:type="dxa"/>
            <w:vAlign w:val="center"/>
          </w:tcPr>
          <w:p w14:paraId="7A976137"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auto" w:fill="auto"/>
            <w:vAlign w:val="center"/>
            <w:hideMark/>
          </w:tcPr>
          <w:p w14:paraId="1C797531" w14:textId="77777777" w:rsidR="001C32C8" w:rsidRPr="00B0658A" w:rsidRDefault="001C32C8" w:rsidP="00004A41">
            <w:pPr>
              <w:spacing w:after="0" w:line="240" w:lineRule="auto"/>
              <w:jc w:val="center"/>
              <w:rPr>
                <w:rFonts w:ascii="Times New Roman" w:hAnsi="Times New Roman"/>
                <w:sz w:val="18"/>
                <w:szCs w:val="18"/>
              </w:rPr>
            </w:pPr>
          </w:p>
        </w:tc>
        <w:tc>
          <w:tcPr>
            <w:tcW w:w="780" w:type="dxa"/>
            <w:shd w:val="clear" w:color="auto" w:fill="auto"/>
            <w:vAlign w:val="center"/>
            <w:hideMark/>
          </w:tcPr>
          <w:p w14:paraId="7A91962A"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auto" w:fill="auto"/>
            <w:vAlign w:val="center"/>
            <w:hideMark/>
          </w:tcPr>
          <w:p w14:paraId="3E3AC065" w14:textId="77777777" w:rsidR="001C32C8" w:rsidRPr="00B0658A" w:rsidRDefault="001C32C8" w:rsidP="00004A41">
            <w:pPr>
              <w:spacing w:after="0" w:line="240" w:lineRule="auto"/>
              <w:jc w:val="center"/>
              <w:rPr>
                <w:rFonts w:ascii="Times New Roman" w:hAnsi="Times New Roman"/>
                <w:sz w:val="18"/>
                <w:szCs w:val="18"/>
              </w:rPr>
            </w:pPr>
          </w:p>
        </w:tc>
        <w:tc>
          <w:tcPr>
            <w:tcW w:w="780" w:type="dxa"/>
            <w:vAlign w:val="center"/>
          </w:tcPr>
          <w:p w14:paraId="6EF3B556" w14:textId="77777777" w:rsidR="001C32C8" w:rsidRPr="00B0658A" w:rsidRDefault="001C32C8" w:rsidP="00004A41">
            <w:pPr>
              <w:spacing w:after="0" w:line="240" w:lineRule="auto"/>
              <w:jc w:val="center"/>
              <w:rPr>
                <w:rFonts w:ascii="Times New Roman" w:hAnsi="Times New Roman"/>
                <w:sz w:val="18"/>
                <w:szCs w:val="18"/>
              </w:rPr>
            </w:pPr>
          </w:p>
        </w:tc>
        <w:tc>
          <w:tcPr>
            <w:tcW w:w="779" w:type="dxa"/>
            <w:vAlign w:val="center"/>
          </w:tcPr>
          <w:p w14:paraId="16808B7F" w14:textId="77777777" w:rsidR="001C32C8" w:rsidRPr="00B0658A" w:rsidRDefault="001C32C8" w:rsidP="00004A41">
            <w:pPr>
              <w:spacing w:after="0" w:line="240" w:lineRule="auto"/>
              <w:jc w:val="center"/>
              <w:rPr>
                <w:rFonts w:ascii="Times New Roman" w:hAnsi="Times New Roman"/>
                <w:sz w:val="18"/>
                <w:szCs w:val="18"/>
              </w:rPr>
            </w:pPr>
          </w:p>
        </w:tc>
        <w:tc>
          <w:tcPr>
            <w:tcW w:w="780" w:type="dxa"/>
            <w:vAlign w:val="center"/>
          </w:tcPr>
          <w:p w14:paraId="5C74464D" w14:textId="77777777" w:rsidR="001C32C8" w:rsidRPr="00B0658A" w:rsidRDefault="001C32C8" w:rsidP="00004A41">
            <w:pPr>
              <w:spacing w:after="0" w:line="240" w:lineRule="auto"/>
              <w:jc w:val="center"/>
              <w:rPr>
                <w:rFonts w:ascii="Times New Roman" w:hAnsi="Times New Roman"/>
                <w:sz w:val="18"/>
                <w:szCs w:val="18"/>
              </w:rPr>
            </w:pPr>
          </w:p>
        </w:tc>
        <w:tc>
          <w:tcPr>
            <w:tcW w:w="1475" w:type="dxa"/>
            <w:vAlign w:val="center"/>
          </w:tcPr>
          <w:p w14:paraId="73B9D688" w14:textId="77777777" w:rsidR="001C32C8" w:rsidRPr="00B0658A" w:rsidRDefault="001C32C8" w:rsidP="00004A41">
            <w:pPr>
              <w:spacing w:after="0" w:line="240" w:lineRule="auto"/>
              <w:jc w:val="center"/>
              <w:rPr>
                <w:rFonts w:ascii="Times New Roman" w:hAnsi="Times New Roman"/>
                <w:sz w:val="18"/>
                <w:szCs w:val="18"/>
              </w:rPr>
            </w:pPr>
          </w:p>
        </w:tc>
      </w:tr>
      <w:tr w:rsidR="00F52FED" w:rsidRPr="00B0658A" w14:paraId="6B36DB79" w14:textId="77777777" w:rsidTr="00E66BA4">
        <w:trPr>
          <w:trHeight w:val="20"/>
        </w:trPr>
        <w:tc>
          <w:tcPr>
            <w:tcW w:w="846" w:type="dxa"/>
            <w:shd w:val="clear" w:color="000000" w:fill="FFFFFF"/>
            <w:vAlign w:val="center"/>
          </w:tcPr>
          <w:p w14:paraId="2024E860" w14:textId="77777777" w:rsidR="001C32C8" w:rsidRPr="00B0658A" w:rsidRDefault="001C32C8" w:rsidP="00004A41">
            <w:pPr>
              <w:spacing w:after="0" w:line="240" w:lineRule="auto"/>
              <w:jc w:val="center"/>
              <w:rPr>
                <w:rFonts w:ascii="Times New Roman" w:hAnsi="Times New Roman"/>
                <w:sz w:val="18"/>
                <w:szCs w:val="18"/>
              </w:rPr>
            </w:pPr>
            <w:r w:rsidRPr="00B0658A">
              <w:rPr>
                <w:rFonts w:ascii="Times New Roman" w:hAnsi="Times New Roman"/>
                <w:sz w:val="18"/>
                <w:szCs w:val="18"/>
              </w:rPr>
              <w:t>2.8</w:t>
            </w:r>
          </w:p>
        </w:tc>
        <w:tc>
          <w:tcPr>
            <w:tcW w:w="1559" w:type="dxa"/>
            <w:shd w:val="clear" w:color="auto" w:fill="auto"/>
            <w:vAlign w:val="center"/>
            <w:hideMark/>
          </w:tcPr>
          <w:p w14:paraId="42F3714F" w14:textId="77777777" w:rsidR="001C32C8" w:rsidRPr="00B0658A" w:rsidRDefault="001C32C8" w:rsidP="00004A41">
            <w:pPr>
              <w:spacing w:after="0" w:line="240" w:lineRule="auto"/>
              <w:rPr>
                <w:rFonts w:ascii="Times New Roman" w:hAnsi="Times New Roman"/>
                <w:sz w:val="18"/>
                <w:szCs w:val="18"/>
              </w:rPr>
            </w:pPr>
            <w:r w:rsidRPr="00B0658A">
              <w:rPr>
                <w:rFonts w:ascii="Times New Roman" w:hAnsi="Times New Roman"/>
                <w:sz w:val="18"/>
                <w:szCs w:val="18"/>
              </w:rPr>
              <w:t>Системное программное обеспечение/ Средства мониторинга и управления</w:t>
            </w:r>
          </w:p>
        </w:tc>
        <w:tc>
          <w:tcPr>
            <w:tcW w:w="1418" w:type="dxa"/>
            <w:shd w:val="clear" w:color="000000" w:fill="FFFFFF"/>
            <w:hideMark/>
          </w:tcPr>
          <w:p w14:paraId="104EB3A7" w14:textId="77777777" w:rsidR="001C32C8" w:rsidRPr="00B0658A" w:rsidRDefault="001C32C8" w:rsidP="00004A41">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44" w:type="dxa"/>
            <w:vAlign w:val="center"/>
          </w:tcPr>
          <w:p w14:paraId="364EB9E0"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auto" w:fill="auto"/>
            <w:vAlign w:val="center"/>
            <w:hideMark/>
          </w:tcPr>
          <w:p w14:paraId="053DA6A9"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auto" w:fill="auto"/>
            <w:vAlign w:val="center"/>
            <w:hideMark/>
          </w:tcPr>
          <w:p w14:paraId="292F6488"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auto" w:fill="auto"/>
            <w:vAlign w:val="center"/>
            <w:hideMark/>
          </w:tcPr>
          <w:p w14:paraId="1A3085A8" w14:textId="77777777" w:rsidR="001C32C8" w:rsidRPr="00B0658A" w:rsidRDefault="001C32C8" w:rsidP="00004A41">
            <w:pPr>
              <w:spacing w:after="0" w:line="240" w:lineRule="auto"/>
              <w:jc w:val="center"/>
              <w:rPr>
                <w:rFonts w:ascii="Times New Roman" w:hAnsi="Times New Roman"/>
                <w:sz w:val="18"/>
                <w:szCs w:val="18"/>
              </w:rPr>
            </w:pPr>
          </w:p>
        </w:tc>
        <w:tc>
          <w:tcPr>
            <w:tcW w:w="993" w:type="dxa"/>
            <w:vAlign w:val="center"/>
          </w:tcPr>
          <w:p w14:paraId="5284461D"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auto" w:fill="auto"/>
            <w:vAlign w:val="center"/>
            <w:hideMark/>
          </w:tcPr>
          <w:p w14:paraId="37829656" w14:textId="77777777" w:rsidR="001C32C8" w:rsidRPr="00B0658A" w:rsidRDefault="001C32C8" w:rsidP="00004A41">
            <w:pPr>
              <w:spacing w:after="0" w:line="240" w:lineRule="auto"/>
              <w:jc w:val="center"/>
              <w:rPr>
                <w:rFonts w:ascii="Times New Roman" w:hAnsi="Times New Roman"/>
                <w:sz w:val="18"/>
                <w:szCs w:val="18"/>
              </w:rPr>
            </w:pPr>
          </w:p>
        </w:tc>
        <w:tc>
          <w:tcPr>
            <w:tcW w:w="780" w:type="dxa"/>
            <w:shd w:val="clear" w:color="auto" w:fill="auto"/>
            <w:vAlign w:val="center"/>
            <w:hideMark/>
          </w:tcPr>
          <w:p w14:paraId="27CE25E1"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auto" w:fill="auto"/>
            <w:vAlign w:val="center"/>
            <w:hideMark/>
          </w:tcPr>
          <w:p w14:paraId="2A8FEAE7" w14:textId="77777777" w:rsidR="001C32C8" w:rsidRPr="00B0658A" w:rsidRDefault="001C32C8" w:rsidP="00004A41">
            <w:pPr>
              <w:spacing w:after="0" w:line="240" w:lineRule="auto"/>
              <w:jc w:val="center"/>
              <w:rPr>
                <w:rFonts w:ascii="Times New Roman" w:hAnsi="Times New Roman"/>
                <w:sz w:val="18"/>
                <w:szCs w:val="18"/>
              </w:rPr>
            </w:pPr>
          </w:p>
        </w:tc>
        <w:tc>
          <w:tcPr>
            <w:tcW w:w="780" w:type="dxa"/>
            <w:vAlign w:val="center"/>
          </w:tcPr>
          <w:p w14:paraId="6E33624D" w14:textId="77777777" w:rsidR="001C32C8" w:rsidRPr="00B0658A" w:rsidRDefault="001C32C8" w:rsidP="00004A41">
            <w:pPr>
              <w:spacing w:after="0" w:line="240" w:lineRule="auto"/>
              <w:jc w:val="center"/>
              <w:rPr>
                <w:rFonts w:ascii="Times New Roman" w:hAnsi="Times New Roman"/>
                <w:sz w:val="18"/>
                <w:szCs w:val="18"/>
              </w:rPr>
            </w:pPr>
          </w:p>
        </w:tc>
        <w:tc>
          <w:tcPr>
            <w:tcW w:w="779" w:type="dxa"/>
            <w:vAlign w:val="center"/>
          </w:tcPr>
          <w:p w14:paraId="444F21A1" w14:textId="77777777" w:rsidR="001C32C8" w:rsidRPr="00B0658A" w:rsidRDefault="001C32C8" w:rsidP="00004A41">
            <w:pPr>
              <w:spacing w:after="0" w:line="240" w:lineRule="auto"/>
              <w:jc w:val="center"/>
              <w:rPr>
                <w:rFonts w:ascii="Times New Roman" w:hAnsi="Times New Roman"/>
                <w:sz w:val="18"/>
                <w:szCs w:val="18"/>
              </w:rPr>
            </w:pPr>
          </w:p>
        </w:tc>
        <w:tc>
          <w:tcPr>
            <w:tcW w:w="780" w:type="dxa"/>
            <w:vAlign w:val="center"/>
          </w:tcPr>
          <w:p w14:paraId="2AC9E87E" w14:textId="77777777" w:rsidR="001C32C8" w:rsidRPr="00B0658A" w:rsidRDefault="001C32C8" w:rsidP="00004A41">
            <w:pPr>
              <w:spacing w:after="0" w:line="240" w:lineRule="auto"/>
              <w:jc w:val="center"/>
              <w:rPr>
                <w:rFonts w:ascii="Times New Roman" w:hAnsi="Times New Roman"/>
                <w:sz w:val="18"/>
                <w:szCs w:val="18"/>
              </w:rPr>
            </w:pPr>
          </w:p>
        </w:tc>
        <w:tc>
          <w:tcPr>
            <w:tcW w:w="1475" w:type="dxa"/>
            <w:vAlign w:val="center"/>
          </w:tcPr>
          <w:p w14:paraId="1EE8FCCC" w14:textId="77777777" w:rsidR="001C32C8" w:rsidRPr="00B0658A" w:rsidRDefault="001C32C8" w:rsidP="00004A41">
            <w:pPr>
              <w:spacing w:after="0" w:line="240" w:lineRule="auto"/>
              <w:jc w:val="center"/>
              <w:rPr>
                <w:rFonts w:ascii="Times New Roman" w:hAnsi="Times New Roman"/>
                <w:sz w:val="18"/>
                <w:szCs w:val="18"/>
              </w:rPr>
            </w:pPr>
          </w:p>
        </w:tc>
      </w:tr>
      <w:tr w:rsidR="00F52FED" w:rsidRPr="00B0658A" w14:paraId="13186A6A" w14:textId="77777777" w:rsidTr="00E66BA4">
        <w:trPr>
          <w:trHeight w:val="20"/>
        </w:trPr>
        <w:tc>
          <w:tcPr>
            <w:tcW w:w="846" w:type="dxa"/>
            <w:shd w:val="clear" w:color="auto" w:fill="auto"/>
            <w:vAlign w:val="center"/>
          </w:tcPr>
          <w:p w14:paraId="328EA818" w14:textId="77777777" w:rsidR="001C32C8" w:rsidRPr="00B0658A" w:rsidRDefault="001C32C8" w:rsidP="00004A41">
            <w:pPr>
              <w:spacing w:after="0" w:line="240" w:lineRule="auto"/>
              <w:jc w:val="center"/>
              <w:rPr>
                <w:rFonts w:ascii="Times New Roman" w:hAnsi="Times New Roman"/>
                <w:sz w:val="18"/>
                <w:szCs w:val="18"/>
              </w:rPr>
            </w:pPr>
            <w:r w:rsidRPr="00B0658A">
              <w:rPr>
                <w:rFonts w:ascii="Times New Roman" w:hAnsi="Times New Roman"/>
                <w:sz w:val="18"/>
                <w:szCs w:val="18"/>
              </w:rPr>
              <w:t>2.9</w:t>
            </w:r>
          </w:p>
        </w:tc>
        <w:tc>
          <w:tcPr>
            <w:tcW w:w="1559" w:type="dxa"/>
            <w:shd w:val="clear" w:color="auto" w:fill="auto"/>
            <w:vAlign w:val="center"/>
            <w:hideMark/>
          </w:tcPr>
          <w:p w14:paraId="25D3735E" w14:textId="77777777" w:rsidR="001C32C8" w:rsidRPr="00B0658A" w:rsidRDefault="001C32C8" w:rsidP="00004A41">
            <w:pPr>
              <w:spacing w:after="0" w:line="240" w:lineRule="auto"/>
              <w:rPr>
                <w:rFonts w:ascii="Times New Roman" w:hAnsi="Times New Roman"/>
                <w:sz w:val="18"/>
                <w:szCs w:val="18"/>
              </w:rPr>
            </w:pPr>
            <w:r w:rsidRPr="00B0658A">
              <w:rPr>
                <w:rFonts w:ascii="Times New Roman" w:hAnsi="Times New Roman"/>
                <w:sz w:val="18"/>
                <w:szCs w:val="18"/>
              </w:rPr>
              <w:t>Системное программное обеспечение/ Операционные системы общего назначения</w:t>
            </w:r>
          </w:p>
        </w:tc>
        <w:tc>
          <w:tcPr>
            <w:tcW w:w="1418" w:type="dxa"/>
            <w:shd w:val="clear" w:color="000000" w:fill="FFFFFF"/>
            <w:hideMark/>
          </w:tcPr>
          <w:p w14:paraId="3BFD9E09" w14:textId="77777777" w:rsidR="001C32C8" w:rsidRPr="00B0658A" w:rsidRDefault="001C32C8" w:rsidP="00004A41">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44" w:type="dxa"/>
            <w:vAlign w:val="center"/>
          </w:tcPr>
          <w:p w14:paraId="0BA4A4A7"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auto" w:fill="auto"/>
            <w:vAlign w:val="center"/>
            <w:hideMark/>
          </w:tcPr>
          <w:p w14:paraId="464D44ED"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auto" w:fill="auto"/>
            <w:vAlign w:val="center"/>
            <w:hideMark/>
          </w:tcPr>
          <w:p w14:paraId="1D5A2306"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auto" w:fill="auto"/>
            <w:vAlign w:val="center"/>
            <w:hideMark/>
          </w:tcPr>
          <w:p w14:paraId="25FE5860" w14:textId="77777777" w:rsidR="001C32C8" w:rsidRPr="00B0658A" w:rsidRDefault="001C32C8" w:rsidP="00004A41">
            <w:pPr>
              <w:spacing w:after="0" w:line="240" w:lineRule="auto"/>
              <w:jc w:val="center"/>
              <w:rPr>
                <w:rFonts w:ascii="Times New Roman" w:hAnsi="Times New Roman"/>
                <w:sz w:val="18"/>
                <w:szCs w:val="18"/>
              </w:rPr>
            </w:pPr>
          </w:p>
        </w:tc>
        <w:tc>
          <w:tcPr>
            <w:tcW w:w="993" w:type="dxa"/>
            <w:vAlign w:val="center"/>
          </w:tcPr>
          <w:p w14:paraId="29912162"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auto" w:fill="auto"/>
            <w:vAlign w:val="center"/>
            <w:hideMark/>
          </w:tcPr>
          <w:p w14:paraId="3FBA8385" w14:textId="77777777" w:rsidR="001C32C8" w:rsidRPr="00B0658A" w:rsidRDefault="001C32C8" w:rsidP="00004A41">
            <w:pPr>
              <w:spacing w:after="0" w:line="240" w:lineRule="auto"/>
              <w:jc w:val="center"/>
              <w:rPr>
                <w:rFonts w:ascii="Times New Roman" w:hAnsi="Times New Roman"/>
                <w:sz w:val="18"/>
                <w:szCs w:val="18"/>
              </w:rPr>
            </w:pPr>
          </w:p>
        </w:tc>
        <w:tc>
          <w:tcPr>
            <w:tcW w:w="780" w:type="dxa"/>
            <w:shd w:val="clear" w:color="auto" w:fill="auto"/>
            <w:vAlign w:val="center"/>
            <w:hideMark/>
          </w:tcPr>
          <w:p w14:paraId="715453C3"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auto" w:fill="auto"/>
            <w:vAlign w:val="center"/>
            <w:hideMark/>
          </w:tcPr>
          <w:p w14:paraId="4B1E66DC" w14:textId="77777777" w:rsidR="001C32C8" w:rsidRPr="00B0658A" w:rsidRDefault="001C32C8" w:rsidP="00004A41">
            <w:pPr>
              <w:spacing w:after="0" w:line="240" w:lineRule="auto"/>
              <w:jc w:val="center"/>
              <w:rPr>
                <w:rFonts w:ascii="Times New Roman" w:hAnsi="Times New Roman"/>
                <w:sz w:val="18"/>
                <w:szCs w:val="18"/>
              </w:rPr>
            </w:pPr>
          </w:p>
        </w:tc>
        <w:tc>
          <w:tcPr>
            <w:tcW w:w="780" w:type="dxa"/>
            <w:vAlign w:val="center"/>
          </w:tcPr>
          <w:p w14:paraId="685CEC0C" w14:textId="77777777" w:rsidR="001C32C8" w:rsidRPr="00B0658A" w:rsidRDefault="001C32C8" w:rsidP="00004A41">
            <w:pPr>
              <w:spacing w:after="0" w:line="240" w:lineRule="auto"/>
              <w:jc w:val="center"/>
              <w:rPr>
                <w:rFonts w:ascii="Times New Roman" w:hAnsi="Times New Roman"/>
                <w:sz w:val="18"/>
                <w:szCs w:val="18"/>
              </w:rPr>
            </w:pPr>
          </w:p>
        </w:tc>
        <w:tc>
          <w:tcPr>
            <w:tcW w:w="779" w:type="dxa"/>
            <w:vAlign w:val="center"/>
          </w:tcPr>
          <w:p w14:paraId="4FD8784D" w14:textId="77777777" w:rsidR="001C32C8" w:rsidRPr="00B0658A" w:rsidRDefault="001C32C8" w:rsidP="00004A41">
            <w:pPr>
              <w:spacing w:after="0" w:line="240" w:lineRule="auto"/>
              <w:jc w:val="center"/>
              <w:rPr>
                <w:rFonts w:ascii="Times New Roman" w:hAnsi="Times New Roman"/>
                <w:sz w:val="18"/>
                <w:szCs w:val="18"/>
              </w:rPr>
            </w:pPr>
          </w:p>
        </w:tc>
        <w:tc>
          <w:tcPr>
            <w:tcW w:w="780" w:type="dxa"/>
            <w:vAlign w:val="center"/>
          </w:tcPr>
          <w:p w14:paraId="3E8C0A0C" w14:textId="77777777" w:rsidR="001C32C8" w:rsidRPr="00B0658A" w:rsidRDefault="001C32C8" w:rsidP="00004A41">
            <w:pPr>
              <w:spacing w:after="0" w:line="240" w:lineRule="auto"/>
              <w:jc w:val="center"/>
              <w:rPr>
                <w:rFonts w:ascii="Times New Roman" w:hAnsi="Times New Roman"/>
                <w:sz w:val="18"/>
                <w:szCs w:val="18"/>
              </w:rPr>
            </w:pPr>
          </w:p>
        </w:tc>
        <w:tc>
          <w:tcPr>
            <w:tcW w:w="1475" w:type="dxa"/>
            <w:vAlign w:val="center"/>
          </w:tcPr>
          <w:p w14:paraId="1D6A53AA" w14:textId="77777777" w:rsidR="001C32C8" w:rsidRPr="00B0658A" w:rsidRDefault="001C32C8" w:rsidP="00004A41">
            <w:pPr>
              <w:spacing w:after="0" w:line="240" w:lineRule="auto"/>
              <w:jc w:val="center"/>
              <w:rPr>
                <w:rFonts w:ascii="Times New Roman" w:hAnsi="Times New Roman"/>
                <w:sz w:val="18"/>
                <w:szCs w:val="18"/>
              </w:rPr>
            </w:pPr>
          </w:p>
        </w:tc>
      </w:tr>
      <w:tr w:rsidR="00F52FED" w:rsidRPr="00B0658A" w14:paraId="54CA6CAF" w14:textId="77777777" w:rsidTr="00E66BA4">
        <w:trPr>
          <w:trHeight w:val="20"/>
        </w:trPr>
        <w:tc>
          <w:tcPr>
            <w:tcW w:w="846" w:type="dxa"/>
            <w:shd w:val="clear" w:color="000000" w:fill="FFFFFF"/>
            <w:vAlign w:val="center"/>
          </w:tcPr>
          <w:p w14:paraId="2AB72D31" w14:textId="77777777" w:rsidR="001C32C8" w:rsidRPr="00B0658A" w:rsidRDefault="001C32C8" w:rsidP="00004A41">
            <w:pPr>
              <w:spacing w:after="0" w:line="240" w:lineRule="auto"/>
              <w:jc w:val="center"/>
              <w:rPr>
                <w:rFonts w:ascii="Times New Roman" w:hAnsi="Times New Roman"/>
                <w:sz w:val="18"/>
                <w:szCs w:val="18"/>
              </w:rPr>
            </w:pPr>
            <w:r w:rsidRPr="00B0658A">
              <w:rPr>
                <w:rFonts w:ascii="Times New Roman" w:hAnsi="Times New Roman"/>
                <w:sz w:val="18"/>
                <w:szCs w:val="18"/>
              </w:rPr>
              <w:t>2.10</w:t>
            </w:r>
          </w:p>
        </w:tc>
        <w:tc>
          <w:tcPr>
            <w:tcW w:w="1559" w:type="dxa"/>
            <w:shd w:val="clear" w:color="auto" w:fill="auto"/>
            <w:vAlign w:val="center"/>
            <w:hideMark/>
          </w:tcPr>
          <w:p w14:paraId="504D6B9E" w14:textId="77777777" w:rsidR="001C32C8" w:rsidRPr="00B0658A" w:rsidRDefault="001C32C8" w:rsidP="00004A41">
            <w:pPr>
              <w:spacing w:after="0" w:line="240" w:lineRule="auto"/>
              <w:rPr>
                <w:rFonts w:ascii="Times New Roman" w:hAnsi="Times New Roman"/>
                <w:sz w:val="18"/>
                <w:szCs w:val="18"/>
              </w:rPr>
            </w:pPr>
            <w:r w:rsidRPr="00B0658A">
              <w:rPr>
                <w:rFonts w:ascii="Times New Roman" w:hAnsi="Times New Roman"/>
                <w:sz w:val="18"/>
                <w:szCs w:val="18"/>
              </w:rPr>
              <w:t>Системное программное обеспечение/ Операционные системы реального времени</w:t>
            </w:r>
          </w:p>
        </w:tc>
        <w:tc>
          <w:tcPr>
            <w:tcW w:w="1418" w:type="dxa"/>
            <w:shd w:val="clear" w:color="000000" w:fill="FFFFFF"/>
            <w:hideMark/>
          </w:tcPr>
          <w:p w14:paraId="45267CCA" w14:textId="77777777" w:rsidR="001C32C8" w:rsidRPr="00B0658A" w:rsidRDefault="001C32C8" w:rsidP="00004A41">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44" w:type="dxa"/>
            <w:vAlign w:val="center"/>
          </w:tcPr>
          <w:p w14:paraId="708E3CE7"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auto" w:fill="auto"/>
            <w:vAlign w:val="center"/>
            <w:hideMark/>
          </w:tcPr>
          <w:p w14:paraId="1BC35CDC"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auto" w:fill="auto"/>
            <w:vAlign w:val="center"/>
            <w:hideMark/>
          </w:tcPr>
          <w:p w14:paraId="30CE2FFA"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auto" w:fill="auto"/>
            <w:vAlign w:val="center"/>
            <w:hideMark/>
          </w:tcPr>
          <w:p w14:paraId="71134B4E" w14:textId="77777777" w:rsidR="001C32C8" w:rsidRPr="00B0658A" w:rsidRDefault="001C32C8" w:rsidP="00004A41">
            <w:pPr>
              <w:spacing w:after="0" w:line="240" w:lineRule="auto"/>
              <w:jc w:val="center"/>
              <w:rPr>
                <w:rFonts w:ascii="Times New Roman" w:hAnsi="Times New Roman"/>
                <w:sz w:val="18"/>
                <w:szCs w:val="18"/>
              </w:rPr>
            </w:pPr>
          </w:p>
        </w:tc>
        <w:tc>
          <w:tcPr>
            <w:tcW w:w="993" w:type="dxa"/>
            <w:vAlign w:val="center"/>
          </w:tcPr>
          <w:p w14:paraId="0C3CE61A"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auto" w:fill="auto"/>
            <w:vAlign w:val="center"/>
            <w:hideMark/>
          </w:tcPr>
          <w:p w14:paraId="1754232D" w14:textId="77777777" w:rsidR="001C32C8" w:rsidRPr="00B0658A" w:rsidRDefault="001C32C8" w:rsidP="00004A41">
            <w:pPr>
              <w:spacing w:after="0" w:line="240" w:lineRule="auto"/>
              <w:jc w:val="center"/>
              <w:rPr>
                <w:rFonts w:ascii="Times New Roman" w:hAnsi="Times New Roman"/>
                <w:sz w:val="18"/>
                <w:szCs w:val="18"/>
              </w:rPr>
            </w:pPr>
          </w:p>
        </w:tc>
        <w:tc>
          <w:tcPr>
            <w:tcW w:w="780" w:type="dxa"/>
            <w:shd w:val="clear" w:color="auto" w:fill="auto"/>
            <w:vAlign w:val="center"/>
            <w:hideMark/>
          </w:tcPr>
          <w:p w14:paraId="11D643E0"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auto" w:fill="auto"/>
            <w:vAlign w:val="center"/>
            <w:hideMark/>
          </w:tcPr>
          <w:p w14:paraId="63F6A9A3" w14:textId="77777777" w:rsidR="001C32C8" w:rsidRPr="00B0658A" w:rsidRDefault="001C32C8" w:rsidP="00004A41">
            <w:pPr>
              <w:spacing w:after="0" w:line="240" w:lineRule="auto"/>
              <w:jc w:val="center"/>
              <w:rPr>
                <w:rFonts w:ascii="Times New Roman" w:hAnsi="Times New Roman"/>
                <w:sz w:val="18"/>
                <w:szCs w:val="18"/>
              </w:rPr>
            </w:pPr>
          </w:p>
        </w:tc>
        <w:tc>
          <w:tcPr>
            <w:tcW w:w="780" w:type="dxa"/>
            <w:vAlign w:val="center"/>
          </w:tcPr>
          <w:p w14:paraId="08D6B413" w14:textId="77777777" w:rsidR="001C32C8" w:rsidRPr="00B0658A" w:rsidRDefault="001C32C8" w:rsidP="00004A41">
            <w:pPr>
              <w:spacing w:after="0" w:line="240" w:lineRule="auto"/>
              <w:jc w:val="center"/>
              <w:rPr>
                <w:rFonts w:ascii="Times New Roman" w:hAnsi="Times New Roman"/>
                <w:sz w:val="18"/>
                <w:szCs w:val="18"/>
              </w:rPr>
            </w:pPr>
          </w:p>
        </w:tc>
        <w:tc>
          <w:tcPr>
            <w:tcW w:w="779" w:type="dxa"/>
            <w:vAlign w:val="center"/>
          </w:tcPr>
          <w:p w14:paraId="2FC6F8EC" w14:textId="77777777" w:rsidR="001C32C8" w:rsidRPr="00B0658A" w:rsidRDefault="001C32C8" w:rsidP="00004A41">
            <w:pPr>
              <w:spacing w:after="0" w:line="240" w:lineRule="auto"/>
              <w:jc w:val="center"/>
              <w:rPr>
                <w:rFonts w:ascii="Times New Roman" w:hAnsi="Times New Roman"/>
                <w:sz w:val="18"/>
                <w:szCs w:val="18"/>
              </w:rPr>
            </w:pPr>
          </w:p>
        </w:tc>
        <w:tc>
          <w:tcPr>
            <w:tcW w:w="780" w:type="dxa"/>
            <w:vAlign w:val="center"/>
          </w:tcPr>
          <w:p w14:paraId="7F483C2A" w14:textId="77777777" w:rsidR="001C32C8" w:rsidRPr="00B0658A" w:rsidRDefault="001C32C8" w:rsidP="00004A41">
            <w:pPr>
              <w:spacing w:after="0" w:line="240" w:lineRule="auto"/>
              <w:jc w:val="center"/>
              <w:rPr>
                <w:rFonts w:ascii="Times New Roman" w:hAnsi="Times New Roman"/>
                <w:sz w:val="18"/>
                <w:szCs w:val="18"/>
              </w:rPr>
            </w:pPr>
          </w:p>
        </w:tc>
        <w:tc>
          <w:tcPr>
            <w:tcW w:w="1475" w:type="dxa"/>
            <w:vAlign w:val="center"/>
          </w:tcPr>
          <w:p w14:paraId="11390D93" w14:textId="77777777" w:rsidR="001C32C8" w:rsidRPr="00B0658A" w:rsidRDefault="001C32C8" w:rsidP="00004A41">
            <w:pPr>
              <w:spacing w:after="0" w:line="240" w:lineRule="auto"/>
              <w:jc w:val="center"/>
              <w:rPr>
                <w:rFonts w:ascii="Times New Roman" w:hAnsi="Times New Roman"/>
                <w:sz w:val="18"/>
                <w:szCs w:val="18"/>
              </w:rPr>
            </w:pPr>
          </w:p>
        </w:tc>
      </w:tr>
      <w:tr w:rsidR="00F52FED" w:rsidRPr="00B0658A" w14:paraId="0A64AA1E" w14:textId="77777777" w:rsidTr="00E66BA4">
        <w:trPr>
          <w:trHeight w:val="20"/>
        </w:trPr>
        <w:tc>
          <w:tcPr>
            <w:tcW w:w="846" w:type="dxa"/>
            <w:shd w:val="clear" w:color="000000" w:fill="FFFFFF"/>
            <w:vAlign w:val="center"/>
          </w:tcPr>
          <w:p w14:paraId="74B85CD3" w14:textId="77777777" w:rsidR="001C32C8" w:rsidRPr="00B0658A" w:rsidRDefault="001C32C8" w:rsidP="00004A41">
            <w:pPr>
              <w:spacing w:after="0" w:line="240" w:lineRule="auto"/>
              <w:jc w:val="center"/>
              <w:rPr>
                <w:rFonts w:ascii="Times New Roman" w:hAnsi="Times New Roman"/>
                <w:sz w:val="18"/>
                <w:szCs w:val="18"/>
              </w:rPr>
            </w:pPr>
            <w:r w:rsidRPr="00B0658A">
              <w:rPr>
                <w:rFonts w:ascii="Times New Roman" w:hAnsi="Times New Roman"/>
                <w:sz w:val="18"/>
                <w:szCs w:val="18"/>
              </w:rPr>
              <w:t>2.11</w:t>
            </w:r>
          </w:p>
        </w:tc>
        <w:tc>
          <w:tcPr>
            <w:tcW w:w="1559" w:type="dxa"/>
            <w:shd w:val="clear" w:color="auto" w:fill="auto"/>
            <w:vAlign w:val="center"/>
            <w:hideMark/>
          </w:tcPr>
          <w:p w14:paraId="5FCDF007" w14:textId="77777777" w:rsidR="001C32C8" w:rsidRPr="00B0658A" w:rsidRDefault="001C32C8" w:rsidP="00004A41">
            <w:pPr>
              <w:spacing w:after="0" w:line="240" w:lineRule="auto"/>
              <w:rPr>
                <w:rFonts w:ascii="Times New Roman" w:hAnsi="Times New Roman"/>
                <w:sz w:val="18"/>
                <w:szCs w:val="18"/>
              </w:rPr>
            </w:pPr>
            <w:r w:rsidRPr="00B0658A">
              <w:rPr>
                <w:rFonts w:ascii="Times New Roman" w:hAnsi="Times New Roman"/>
                <w:sz w:val="18"/>
                <w:szCs w:val="18"/>
              </w:rPr>
              <w:t>Системное программное обеспечение/ Мобильная операционная система</w:t>
            </w:r>
          </w:p>
        </w:tc>
        <w:tc>
          <w:tcPr>
            <w:tcW w:w="1418" w:type="dxa"/>
            <w:shd w:val="clear" w:color="000000" w:fill="FFFFFF"/>
            <w:hideMark/>
          </w:tcPr>
          <w:p w14:paraId="7A7E339A" w14:textId="77777777" w:rsidR="001C32C8" w:rsidRPr="00B0658A" w:rsidRDefault="001C32C8" w:rsidP="00004A41">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44" w:type="dxa"/>
            <w:vAlign w:val="center"/>
          </w:tcPr>
          <w:p w14:paraId="568E8CD6"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auto" w:fill="auto"/>
            <w:vAlign w:val="center"/>
            <w:hideMark/>
          </w:tcPr>
          <w:p w14:paraId="35BDCB2E"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auto" w:fill="auto"/>
            <w:vAlign w:val="center"/>
            <w:hideMark/>
          </w:tcPr>
          <w:p w14:paraId="4D286A98"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auto" w:fill="auto"/>
            <w:vAlign w:val="center"/>
            <w:hideMark/>
          </w:tcPr>
          <w:p w14:paraId="228E1C9E" w14:textId="77777777" w:rsidR="001C32C8" w:rsidRPr="00B0658A" w:rsidRDefault="001C32C8" w:rsidP="00004A41">
            <w:pPr>
              <w:spacing w:after="0" w:line="240" w:lineRule="auto"/>
              <w:jc w:val="center"/>
              <w:rPr>
                <w:rFonts w:ascii="Times New Roman" w:hAnsi="Times New Roman"/>
                <w:sz w:val="18"/>
                <w:szCs w:val="18"/>
              </w:rPr>
            </w:pPr>
          </w:p>
        </w:tc>
        <w:tc>
          <w:tcPr>
            <w:tcW w:w="993" w:type="dxa"/>
            <w:vAlign w:val="center"/>
          </w:tcPr>
          <w:p w14:paraId="40EC933E"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auto" w:fill="auto"/>
            <w:vAlign w:val="center"/>
            <w:hideMark/>
          </w:tcPr>
          <w:p w14:paraId="4ED9940E" w14:textId="77777777" w:rsidR="001C32C8" w:rsidRPr="00B0658A" w:rsidRDefault="001C32C8" w:rsidP="00004A41">
            <w:pPr>
              <w:spacing w:after="0" w:line="240" w:lineRule="auto"/>
              <w:jc w:val="center"/>
              <w:rPr>
                <w:rFonts w:ascii="Times New Roman" w:hAnsi="Times New Roman"/>
                <w:sz w:val="18"/>
                <w:szCs w:val="18"/>
              </w:rPr>
            </w:pPr>
          </w:p>
        </w:tc>
        <w:tc>
          <w:tcPr>
            <w:tcW w:w="780" w:type="dxa"/>
            <w:shd w:val="clear" w:color="auto" w:fill="auto"/>
            <w:vAlign w:val="center"/>
            <w:hideMark/>
          </w:tcPr>
          <w:p w14:paraId="0C11B175"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auto" w:fill="auto"/>
            <w:vAlign w:val="center"/>
            <w:hideMark/>
          </w:tcPr>
          <w:p w14:paraId="1DD19D36" w14:textId="77777777" w:rsidR="001C32C8" w:rsidRPr="00B0658A" w:rsidRDefault="001C32C8" w:rsidP="00004A41">
            <w:pPr>
              <w:spacing w:after="0" w:line="240" w:lineRule="auto"/>
              <w:jc w:val="center"/>
              <w:rPr>
                <w:rFonts w:ascii="Times New Roman" w:hAnsi="Times New Roman"/>
                <w:sz w:val="18"/>
                <w:szCs w:val="18"/>
              </w:rPr>
            </w:pPr>
          </w:p>
        </w:tc>
        <w:tc>
          <w:tcPr>
            <w:tcW w:w="780" w:type="dxa"/>
            <w:vAlign w:val="center"/>
          </w:tcPr>
          <w:p w14:paraId="0D88F3F1" w14:textId="77777777" w:rsidR="001C32C8" w:rsidRPr="00B0658A" w:rsidRDefault="001C32C8" w:rsidP="00004A41">
            <w:pPr>
              <w:spacing w:after="0" w:line="240" w:lineRule="auto"/>
              <w:jc w:val="center"/>
              <w:rPr>
                <w:rFonts w:ascii="Times New Roman" w:hAnsi="Times New Roman"/>
                <w:sz w:val="18"/>
                <w:szCs w:val="18"/>
              </w:rPr>
            </w:pPr>
          </w:p>
        </w:tc>
        <w:tc>
          <w:tcPr>
            <w:tcW w:w="779" w:type="dxa"/>
            <w:vAlign w:val="center"/>
          </w:tcPr>
          <w:p w14:paraId="5A03176D" w14:textId="77777777" w:rsidR="001C32C8" w:rsidRPr="00B0658A" w:rsidRDefault="001C32C8" w:rsidP="00004A41">
            <w:pPr>
              <w:spacing w:after="0" w:line="240" w:lineRule="auto"/>
              <w:jc w:val="center"/>
              <w:rPr>
                <w:rFonts w:ascii="Times New Roman" w:hAnsi="Times New Roman"/>
                <w:sz w:val="18"/>
                <w:szCs w:val="18"/>
              </w:rPr>
            </w:pPr>
          </w:p>
        </w:tc>
        <w:tc>
          <w:tcPr>
            <w:tcW w:w="780" w:type="dxa"/>
            <w:vAlign w:val="center"/>
          </w:tcPr>
          <w:p w14:paraId="43A69740" w14:textId="77777777" w:rsidR="001C32C8" w:rsidRPr="00B0658A" w:rsidRDefault="001C32C8" w:rsidP="00004A41">
            <w:pPr>
              <w:spacing w:after="0" w:line="240" w:lineRule="auto"/>
              <w:jc w:val="center"/>
              <w:rPr>
                <w:rFonts w:ascii="Times New Roman" w:hAnsi="Times New Roman"/>
                <w:sz w:val="18"/>
                <w:szCs w:val="18"/>
              </w:rPr>
            </w:pPr>
          </w:p>
        </w:tc>
        <w:tc>
          <w:tcPr>
            <w:tcW w:w="1475" w:type="dxa"/>
            <w:vAlign w:val="center"/>
          </w:tcPr>
          <w:p w14:paraId="6905463E" w14:textId="77777777" w:rsidR="001C32C8" w:rsidRPr="00B0658A" w:rsidRDefault="001C32C8" w:rsidP="00004A41">
            <w:pPr>
              <w:spacing w:after="0" w:line="240" w:lineRule="auto"/>
              <w:jc w:val="center"/>
              <w:rPr>
                <w:rFonts w:ascii="Times New Roman" w:hAnsi="Times New Roman"/>
                <w:sz w:val="18"/>
                <w:szCs w:val="18"/>
              </w:rPr>
            </w:pPr>
          </w:p>
        </w:tc>
      </w:tr>
      <w:tr w:rsidR="00F52FED" w:rsidRPr="00B0658A" w14:paraId="617A33F7" w14:textId="77777777" w:rsidTr="00E66BA4">
        <w:trPr>
          <w:trHeight w:val="20"/>
        </w:trPr>
        <w:tc>
          <w:tcPr>
            <w:tcW w:w="846" w:type="dxa"/>
            <w:shd w:val="clear" w:color="000000" w:fill="FFFFFF"/>
            <w:vAlign w:val="center"/>
          </w:tcPr>
          <w:p w14:paraId="52DF0276" w14:textId="77777777" w:rsidR="001C32C8" w:rsidRPr="00B0658A" w:rsidRDefault="001C32C8" w:rsidP="00004A41">
            <w:pPr>
              <w:spacing w:after="0" w:line="240" w:lineRule="auto"/>
              <w:jc w:val="center"/>
              <w:rPr>
                <w:rFonts w:ascii="Times New Roman" w:hAnsi="Times New Roman"/>
                <w:sz w:val="18"/>
                <w:szCs w:val="18"/>
              </w:rPr>
            </w:pPr>
            <w:r w:rsidRPr="00B0658A">
              <w:rPr>
                <w:rFonts w:ascii="Times New Roman" w:hAnsi="Times New Roman"/>
                <w:sz w:val="18"/>
                <w:szCs w:val="18"/>
              </w:rPr>
              <w:t>2.12</w:t>
            </w:r>
          </w:p>
        </w:tc>
        <w:tc>
          <w:tcPr>
            <w:tcW w:w="1559" w:type="dxa"/>
            <w:shd w:val="clear" w:color="auto" w:fill="auto"/>
            <w:vAlign w:val="center"/>
            <w:hideMark/>
          </w:tcPr>
          <w:p w14:paraId="506E403C" w14:textId="77777777" w:rsidR="001C32C8" w:rsidRPr="00B0658A" w:rsidRDefault="001C32C8" w:rsidP="00004A41">
            <w:pPr>
              <w:spacing w:after="0" w:line="240" w:lineRule="auto"/>
              <w:rPr>
                <w:rFonts w:ascii="Times New Roman" w:hAnsi="Times New Roman"/>
                <w:sz w:val="18"/>
                <w:szCs w:val="18"/>
              </w:rPr>
            </w:pPr>
            <w:r w:rsidRPr="00B0658A">
              <w:rPr>
                <w:rFonts w:ascii="Times New Roman" w:hAnsi="Times New Roman"/>
                <w:sz w:val="18"/>
                <w:szCs w:val="18"/>
              </w:rPr>
              <w:t>Системное программное обеспечение / Системы контейнеризации и контейнеры</w:t>
            </w:r>
          </w:p>
        </w:tc>
        <w:tc>
          <w:tcPr>
            <w:tcW w:w="1418" w:type="dxa"/>
            <w:shd w:val="clear" w:color="000000" w:fill="FFFFFF"/>
            <w:hideMark/>
          </w:tcPr>
          <w:p w14:paraId="30A30FB2" w14:textId="77777777" w:rsidR="001C32C8" w:rsidRPr="00B0658A" w:rsidRDefault="001C32C8" w:rsidP="00004A41">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44" w:type="dxa"/>
            <w:vAlign w:val="center"/>
          </w:tcPr>
          <w:p w14:paraId="7A9DE798"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auto" w:fill="auto"/>
            <w:vAlign w:val="center"/>
            <w:hideMark/>
          </w:tcPr>
          <w:p w14:paraId="16CA9A72"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auto" w:fill="auto"/>
            <w:vAlign w:val="center"/>
            <w:hideMark/>
          </w:tcPr>
          <w:p w14:paraId="7593D45D"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auto" w:fill="auto"/>
            <w:vAlign w:val="center"/>
            <w:hideMark/>
          </w:tcPr>
          <w:p w14:paraId="4346E288" w14:textId="77777777" w:rsidR="001C32C8" w:rsidRPr="00B0658A" w:rsidRDefault="001C32C8" w:rsidP="00004A41">
            <w:pPr>
              <w:spacing w:after="0" w:line="240" w:lineRule="auto"/>
              <w:jc w:val="center"/>
              <w:rPr>
                <w:rFonts w:ascii="Times New Roman" w:hAnsi="Times New Roman"/>
                <w:sz w:val="18"/>
                <w:szCs w:val="18"/>
              </w:rPr>
            </w:pPr>
          </w:p>
        </w:tc>
        <w:tc>
          <w:tcPr>
            <w:tcW w:w="993" w:type="dxa"/>
            <w:vAlign w:val="center"/>
          </w:tcPr>
          <w:p w14:paraId="116D40DE"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auto" w:fill="auto"/>
            <w:vAlign w:val="center"/>
            <w:hideMark/>
          </w:tcPr>
          <w:p w14:paraId="275E46BD" w14:textId="77777777" w:rsidR="001C32C8" w:rsidRPr="00B0658A" w:rsidRDefault="001C32C8" w:rsidP="00004A41">
            <w:pPr>
              <w:spacing w:after="0" w:line="240" w:lineRule="auto"/>
              <w:jc w:val="center"/>
              <w:rPr>
                <w:rFonts w:ascii="Times New Roman" w:hAnsi="Times New Roman"/>
                <w:sz w:val="18"/>
                <w:szCs w:val="18"/>
              </w:rPr>
            </w:pPr>
          </w:p>
        </w:tc>
        <w:tc>
          <w:tcPr>
            <w:tcW w:w="780" w:type="dxa"/>
            <w:shd w:val="clear" w:color="auto" w:fill="auto"/>
            <w:vAlign w:val="center"/>
            <w:hideMark/>
          </w:tcPr>
          <w:p w14:paraId="66CC7C14"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auto" w:fill="auto"/>
            <w:vAlign w:val="center"/>
            <w:hideMark/>
          </w:tcPr>
          <w:p w14:paraId="4DC0E6AD" w14:textId="77777777" w:rsidR="001C32C8" w:rsidRPr="00B0658A" w:rsidRDefault="001C32C8" w:rsidP="00004A41">
            <w:pPr>
              <w:spacing w:after="0" w:line="240" w:lineRule="auto"/>
              <w:jc w:val="center"/>
              <w:rPr>
                <w:rFonts w:ascii="Times New Roman" w:hAnsi="Times New Roman"/>
                <w:sz w:val="18"/>
                <w:szCs w:val="18"/>
              </w:rPr>
            </w:pPr>
          </w:p>
        </w:tc>
        <w:tc>
          <w:tcPr>
            <w:tcW w:w="780" w:type="dxa"/>
            <w:vAlign w:val="center"/>
          </w:tcPr>
          <w:p w14:paraId="7C5E6BC3" w14:textId="77777777" w:rsidR="001C32C8" w:rsidRPr="00B0658A" w:rsidRDefault="001C32C8" w:rsidP="00004A41">
            <w:pPr>
              <w:spacing w:after="0" w:line="240" w:lineRule="auto"/>
              <w:jc w:val="center"/>
              <w:rPr>
                <w:rFonts w:ascii="Times New Roman" w:hAnsi="Times New Roman"/>
                <w:sz w:val="18"/>
                <w:szCs w:val="18"/>
              </w:rPr>
            </w:pPr>
          </w:p>
        </w:tc>
        <w:tc>
          <w:tcPr>
            <w:tcW w:w="779" w:type="dxa"/>
            <w:vAlign w:val="center"/>
          </w:tcPr>
          <w:p w14:paraId="4D590DC7" w14:textId="77777777" w:rsidR="001C32C8" w:rsidRPr="00B0658A" w:rsidRDefault="001C32C8" w:rsidP="00004A41">
            <w:pPr>
              <w:spacing w:after="0" w:line="240" w:lineRule="auto"/>
              <w:jc w:val="center"/>
              <w:rPr>
                <w:rFonts w:ascii="Times New Roman" w:hAnsi="Times New Roman"/>
                <w:sz w:val="18"/>
                <w:szCs w:val="18"/>
              </w:rPr>
            </w:pPr>
          </w:p>
        </w:tc>
        <w:tc>
          <w:tcPr>
            <w:tcW w:w="780" w:type="dxa"/>
            <w:vAlign w:val="center"/>
          </w:tcPr>
          <w:p w14:paraId="6C726188" w14:textId="77777777" w:rsidR="001C32C8" w:rsidRPr="00B0658A" w:rsidRDefault="001C32C8" w:rsidP="00004A41">
            <w:pPr>
              <w:spacing w:after="0" w:line="240" w:lineRule="auto"/>
              <w:jc w:val="center"/>
              <w:rPr>
                <w:rFonts w:ascii="Times New Roman" w:hAnsi="Times New Roman"/>
                <w:sz w:val="18"/>
                <w:szCs w:val="18"/>
              </w:rPr>
            </w:pPr>
          </w:p>
        </w:tc>
        <w:tc>
          <w:tcPr>
            <w:tcW w:w="1475" w:type="dxa"/>
            <w:vAlign w:val="center"/>
          </w:tcPr>
          <w:p w14:paraId="7B14A13A" w14:textId="77777777" w:rsidR="001C32C8" w:rsidRPr="00B0658A" w:rsidRDefault="001C32C8" w:rsidP="00004A41">
            <w:pPr>
              <w:spacing w:after="0" w:line="240" w:lineRule="auto"/>
              <w:jc w:val="center"/>
              <w:rPr>
                <w:rFonts w:ascii="Times New Roman" w:hAnsi="Times New Roman"/>
                <w:sz w:val="18"/>
                <w:szCs w:val="18"/>
              </w:rPr>
            </w:pPr>
          </w:p>
        </w:tc>
      </w:tr>
      <w:tr w:rsidR="00F52FED" w:rsidRPr="00B0658A" w14:paraId="4B4C16AD" w14:textId="77777777" w:rsidTr="00E66BA4">
        <w:trPr>
          <w:trHeight w:val="20"/>
        </w:trPr>
        <w:tc>
          <w:tcPr>
            <w:tcW w:w="846" w:type="dxa"/>
            <w:shd w:val="clear" w:color="000000" w:fill="FFFFFF"/>
            <w:vAlign w:val="center"/>
          </w:tcPr>
          <w:p w14:paraId="28287B59" w14:textId="77777777" w:rsidR="001C32C8" w:rsidRPr="00B0658A" w:rsidRDefault="001C32C8" w:rsidP="00004A41">
            <w:pPr>
              <w:spacing w:after="0" w:line="240" w:lineRule="auto"/>
              <w:jc w:val="center"/>
              <w:rPr>
                <w:rFonts w:ascii="Times New Roman" w:hAnsi="Times New Roman"/>
                <w:sz w:val="18"/>
                <w:szCs w:val="18"/>
              </w:rPr>
            </w:pPr>
            <w:r w:rsidRPr="00B0658A">
              <w:rPr>
                <w:rFonts w:ascii="Times New Roman" w:hAnsi="Times New Roman"/>
                <w:sz w:val="18"/>
                <w:szCs w:val="18"/>
              </w:rPr>
              <w:t>3.1</w:t>
            </w:r>
          </w:p>
        </w:tc>
        <w:tc>
          <w:tcPr>
            <w:tcW w:w="1559" w:type="dxa"/>
            <w:shd w:val="clear" w:color="auto" w:fill="auto"/>
            <w:vAlign w:val="center"/>
            <w:hideMark/>
          </w:tcPr>
          <w:p w14:paraId="3410DF66" w14:textId="77777777" w:rsidR="001C32C8" w:rsidRPr="00B0658A" w:rsidRDefault="001C32C8" w:rsidP="00004A41">
            <w:pPr>
              <w:spacing w:after="0" w:line="240" w:lineRule="auto"/>
              <w:rPr>
                <w:rFonts w:ascii="Times New Roman" w:hAnsi="Times New Roman"/>
                <w:sz w:val="18"/>
                <w:szCs w:val="18"/>
              </w:rPr>
            </w:pPr>
            <w:r w:rsidRPr="00B0658A">
              <w:rPr>
                <w:rFonts w:ascii="Times New Roman" w:hAnsi="Times New Roman"/>
                <w:sz w:val="18"/>
                <w:szCs w:val="18"/>
              </w:rPr>
              <w:t xml:space="preserve">Средства обеспечения </w:t>
            </w:r>
            <w:r w:rsidRPr="00B0658A">
              <w:rPr>
                <w:rFonts w:ascii="Times New Roman" w:hAnsi="Times New Roman"/>
                <w:sz w:val="18"/>
                <w:szCs w:val="18"/>
              </w:rPr>
              <w:lastRenderedPageBreak/>
              <w:t>информационной безопасности/ Средства защиты от несанкционированного доступа к информации</w:t>
            </w:r>
          </w:p>
        </w:tc>
        <w:tc>
          <w:tcPr>
            <w:tcW w:w="1418" w:type="dxa"/>
            <w:shd w:val="clear" w:color="000000" w:fill="FFFFFF"/>
            <w:hideMark/>
          </w:tcPr>
          <w:p w14:paraId="06570C46" w14:textId="77777777" w:rsidR="001C32C8" w:rsidRPr="00B0658A" w:rsidRDefault="001C32C8" w:rsidP="00004A41">
            <w:pPr>
              <w:spacing w:after="0" w:line="240" w:lineRule="auto"/>
              <w:rPr>
                <w:rFonts w:ascii="Times New Roman" w:hAnsi="Times New Roman"/>
                <w:sz w:val="18"/>
                <w:szCs w:val="18"/>
              </w:rPr>
            </w:pPr>
            <w:r w:rsidRPr="00B0658A">
              <w:rPr>
                <w:rFonts w:ascii="Times New Roman" w:hAnsi="Times New Roman"/>
                <w:sz w:val="18"/>
                <w:szCs w:val="18"/>
              </w:rPr>
              <w:lastRenderedPageBreak/>
              <w:t xml:space="preserve">Доля используемого </w:t>
            </w:r>
            <w:r w:rsidRPr="00B0658A">
              <w:rPr>
                <w:rFonts w:ascii="Times New Roman" w:hAnsi="Times New Roman"/>
                <w:sz w:val="18"/>
                <w:szCs w:val="18"/>
              </w:rPr>
              <w:lastRenderedPageBreak/>
              <w:t>российского ПО в общем объёме, используемого ПО, %</w:t>
            </w:r>
          </w:p>
        </w:tc>
        <w:tc>
          <w:tcPr>
            <w:tcW w:w="744" w:type="dxa"/>
            <w:vAlign w:val="center"/>
          </w:tcPr>
          <w:p w14:paraId="547E8017"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auto" w:fill="auto"/>
            <w:vAlign w:val="center"/>
            <w:hideMark/>
          </w:tcPr>
          <w:p w14:paraId="1404E812"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auto" w:fill="auto"/>
            <w:vAlign w:val="center"/>
            <w:hideMark/>
          </w:tcPr>
          <w:p w14:paraId="1B47BBBB"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auto" w:fill="auto"/>
            <w:vAlign w:val="center"/>
            <w:hideMark/>
          </w:tcPr>
          <w:p w14:paraId="29F9A976" w14:textId="77777777" w:rsidR="001C32C8" w:rsidRPr="00B0658A" w:rsidRDefault="001C32C8" w:rsidP="00004A41">
            <w:pPr>
              <w:spacing w:after="0" w:line="240" w:lineRule="auto"/>
              <w:jc w:val="center"/>
              <w:rPr>
                <w:rFonts w:ascii="Times New Roman" w:hAnsi="Times New Roman"/>
                <w:sz w:val="18"/>
                <w:szCs w:val="18"/>
              </w:rPr>
            </w:pPr>
          </w:p>
        </w:tc>
        <w:tc>
          <w:tcPr>
            <w:tcW w:w="993" w:type="dxa"/>
            <w:vAlign w:val="center"/>
          </w:tcPr>
          <w:p w14:paraId="69E6D401"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auto" w:fill="auto"/>
            <w:vAlign w:val="center"/>
            <w:hideMark/>
          </w:tcPr>
          <w:p w14:paraId="576016C9" w14:textId="77777777" w:rsidR="001C32C8" w:rsidRPr="00B0658A" w:rsidRDefault="001C32C8" w:rsidP="00004A41">
            <w:pPr>
              <w:spacing w:after="0" w:line="240" w:lineRule="auto"/>
              <w:jc w:val="center"/>
              <w:rPr>
                <w:rFonts w:ascii="Times New Roman" w:hAnsi="Times New Roman"/>
                <w:sz w:val="18"/>
                <w:szCs w:val="18"/>
              </w:rPr>
            </w:pPr>
          </w:p>
        </w:tc>
        <w:tc>
          <w:tcPr>
            <w:tcW w:w="780" w:type="dxa"/>
            <w:shd w:val="clear" w:color="auto" w:fill="auto"/>
            <w:vAlign w:val="center"/>
            <w:hideMark/>
          </w:tcPr>
          <w:p w14:paraId="1C56F07E"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auto" w:fill="auto"/>
            <w:vAlign w:val="center"/>
            <w:hideMark/>
          </w:tcPr>
          <w:p w14:paraId="4E54D296" w14:textId="77777777" w:rsidR="001C32C8" w:rsidRPr="00B0658A" w:rsidRDefault="001C32C8" w:rsidP="00004A41">
            <w:pPr>
              <w:spacing w:after="0" w:line="240" w:lineRule="auto"/>
              <w:jc w:val="center"/>
              <w:rPr>
                <w:rFonts w:ascii="Times New Roman" w:hAnsi="Times New Roman"/>
                <w:sz w:val="18"/>
                <w:szCs w:val="18"/>
              </w:rPr>
            </w:pPr>
          </w:p>
        </w:tc>
        <w:tc>
          <w:tcPr>
            <w:tcW w:w="780" w:type="dxa"/>
            <w:vAlign w:val="center"/>
          </w:tcPr>
          <w:p w14:paraId="271FA2E7" w14:textId="77777777" w:rsidR="001C32C8" w:rsidRPr="00B0658A" w:rsidRDefault="001C32C8" w:rsidP="00004A41">
            <w:pPr>
              <w:spacing w:after="0" w:line="240" w:lineRule="auto"/>
              <w:jc w:val="center"/>
              <w:rPr>
                <w:rFonts w:ascii="Times New Roman" w:hAnsi="Times New Roman"/>
                <w:sz w:val="18"/>
                <w:szCs w:val="18"/>
              </w:rPr>
            </w:pPr>
          </w:p>
        </w:tc>
        <w:tc>
          <w:tcPr>
            <w:tcW w:w="779" w:type="dxa"/>
            <w:vAlign w:val="center"/>
          </w:tcPr>
          <w:p w14:paraId="03B94CAA" w14:textId="77777777" w:rsidR="001C32C8" w:rsidRPr="00B0658A" w:rsidRDefault="001C32C8" w:rsidP="00004A41">
            <w:pPr>
              <w:spacing w:after="0" w:line="240" w:lineRule="auto"/>
              <w:jc w:val="center"/>
              <w:rPr>
                <w:rFonts w:ascii="Times New Roman" w:hAnsi="Times New Roman"/>
                <w:sz w:val="18"/>
                <w:szCs w:val="18"/>
              </w:rPr>
            </w:pPr>
          </w:p>
        </w:tc>
        <w:tc>
          <w:tcPr>
            <w:tcW w:w="780" w:type="dxa"/>
            <w:vAlign w:val="center"/>
          </w:tcPr>
          <w:p w14:paraId="76BED9F1" w14:textId="77777777" w:rsidR="001C32C8" w:rsidRPr="00B0658A" w:rsidRDefault="001C32C8" w:rsidP="00004A41">
            <w:pPr>
              <w:spacing w:after="0" w:line="240" w:lineRule="auto"/>
              <w:jc w:val="center"/>
              <w:rPr>
                <w:rFonts w:ascii="Times New Roman" w:hAnsi="Times New Roman"/>
                <w:sz w:val="18"/>
                <w:szCs w:val="18"/>
              </w:rPr>
            </w:pPr>
          </w:p>
        </w:tc>
        <w:tc>
          <w:tcPr>
            <w:tcW w:w="1475" w:type="dxa"/>
            <w:vAlign w:val="center"/>
          </w:tcPr>
          <w:p w14:paraId="12BBD7A2" w14:textId="77777777" w:rsidR="001C32C8" w:rsidRPr="00B0658A" w:rsidRDefault="001C32C8" w:rsidP="00004A41">
            <w:pPr>
              <w:spacing w:after="0" w:line="240" w:lineRule="auto"/>
              <w:jc w:val="center"/>
              <w:rPr>
                <w:rFonts w:ascii="Times New Roman" w:hAnsi="Times New Roman"/>
                <w:sz w:val="18"/>
                <w:szCs w:val="18"/>
              </w:rPr>
            </w:pPr>
          </w:p>
        </w:tc>
      </w:tr>
      <w:tr w:rsidR="00F52FED" w:rsidRPr="00B0658A" w14:paraId="47144364" w14:textId="77777777" w:rsidTr="00E66BA4">
        <w:trPr>
          <w:trHeight w:val="20"/>
        </w:trPr>
        <w:tc>
          <w:tcPr>
            <w:tcW w:w="846" w:type="dxa"/>
            <w:shd w:val="clear" w:color="000000" w:fill="FFFFFF"/>
            <w:vAlign w:val="center"/>
          </w:tcPr>
          <w:p w14:paraId="410EC6DC" w14:textId="77777777" w:rsidR="001C32C8" w:rsidRPr="00B0658A" w:rsidRDefault="001C32C8" w:rsidP="00004A41">
            <w:pPr>
              <w:spacing w:after="0" w:line="240" w:lineRule="auto"/>
              <w:jc w:val="center"/>
              <w:rPr>
                <w:rFonts w:ascii="Times New Roman" w:hAnsi="Times New Roman"/>
                <w:sz w:val="18"/>
                <w:szCs w:val="18"/>
              </w:rPr>
            </w:pPr>
            <w:r w:rsidRPr="00B0658A">
              <w:rPr>
                <w:rFonts w:ascii="Times New Roman" w:hAnsi="Times New Roman"/>
                <w:sz w:val="18"/>
                <w:szCs w:val="18"/>
              </w:rPr>
              <w:t>3.2</w:t>
            </w:r>
          </w:p>
        </w:tc>
        <w:tc>
          <w:tcPr>
            <w:tcW w:w="1559" w:type="dxa"/>
            <w:shd w:val="clear" w:color="auto" w:fill="auto"/>
            <w:vAlign w:val="center"/>
            <w:hideMark/>
          </w:tcPr>
          <w:p w14:paraId="6EEFC1DB" w14:textId="77777777" w:rsidR="001C32C8" w:rsidRPr="00B0658A" w:rsidRDefault="001C32C8" w:rsidP="00004A41">
            <w:pPr>
              <w:spacing w:after="0" w:line="240" w:lineRule="auto"/>
              <w:rPr>
                <w:rFonts w:ascii="Times New Roman" w:hAnsi="Times New Roman"/>
                <w:sz w:val="18"/>
                <w:szCs w:val="18"/>
              </w:rPr>
            </w:pPr>
            <w:r w:rsidRPr="00B0658A">
              <w:rPr>
                <w:rFonts w:ascii="Times New Roman" w:hAnsi="Times New Roman"/>
                <w:sz w:val="18"/>
                <w:szCs w:val="18"/>
              </w:rPr>
              <w:t>Средства обеспечения информационной безопасности/ Средства управления событиями информационной безопасности</w:t>
            </w:r>
          </w:p>
        </w:tc>
        <w:tc>
          <w:tcPr>
            <w:tcW w:w="1418" w:type="dxa"/>
            <w:shd w:val="clear" w:color="000000" w:fill="FFFFFF"/>
            <w:hideMark/>
          </w:tcPr>
          <w:p w14:paraId="7EECE9E3" w14:textId="77777777" w:rsidR="001C32C8" w:rsidRPr="00B0658A" w:rsidRDefault="001C32C8" w:rsidP="00004A41">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44" w:type="dxa"/>
            <w:vAlign w:val="center"/>
          </w:tcPr>
          <w:p w14:paraId="61D5A911"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auto" w:fill="auto"/>
            <w:vAlign w:val="center"/>
            <w:hideMark/>
          </w:tcPr>
          <w:p w14:paraId="5CC3D7E7"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auto" w:fill="auto"/>
            <w:vAlign w:val="center"/>
            <w:hideMark/>
          </w:tcPr>
          <w:p w14:paraId="603E93E1"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auto" w:fill="auto"/>
            <w:vAlign w:val="center"/>
            <w:hideMark/>
          </w:tcPr>
          <w:p w14:paraId="5BBC0C35" w14:textId="77777777" w:rsidR="001C32C8" w:rsidRPr="00B0658A" w:rsidRDefault="001C32C8" w:rsidP="00004A41">
            <w:pPr>
              <w:spacing w:after="0" w:line="240" w:lineRule="auto"/>
              <w:jc w:val="center"/>
              <w:rPr>
                <w:rFonts w:ascii="Times New Roman" w:hAnsi="Times New Roman"/>
                <w:sz w:val="18"/>
                <w:szCs w:val="18"/>
              </w:rPr>
            </w:pPr>
          </w:p>
        </w:tc>
        <w:tc>
          <w:tcPr>
            <w:tcW w:w="993" w:type="dxa"/>
            <w:vAlign w:val="center"/>
          </w:tcPr>
          <w:p w14:paraId="582D358E"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auto" w:fill="auto"/>
            <w:vAlign w:val="center"/>
            <w:hideMark/>
          </w:tcPr>
          <w:p w14:paraId="596C5C6E" w14:textId="77777777" w:rsidR="001C32C8" w:rsidRPr="00B0658A" w:rsidRDefault="001C32C8" w:rsidP="00004A41">
            <w:pPr>
              <w:spacing w:after="0" w:line="240" w:lineRule="auto"/>
              <w:jc w:val="center"/>
              <w:rPr>
                <w:rFonts w:ascii="Times New Roman" w:hAnsi="Times New Roman"/>
                <w:sz w:val="18"/>
                <w:szCs w:val="18"/>
              </w:rPr>
            </w:pPr>
          </w:p>
        </w:tc>
        <w:tc>
          <w:tcPr>
            <w:tcW w:w="780" w:type="dxa"/>
            <w:shd w:val="clear" w:color="auto" w:fill="auto"/>
            <w:vAlign w:val="center"/>
            <w:hideMark/>
          </w:tcPr>
          <w:p w14:paraId="2D22CB9E"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auto" w:fill="auto"/>
            <w:vAlign w:val="center"/>
            <w:hideMark/>
          </w:tcPr>
          <w:p w14:paraId="2AEA3634" w14:textId="77777777" w:rsidR="001C32C8" w:rsidRPr="00B0658A" w:rsidRDefault="001C32C8" w:rsidP="00004A41">
            <w:pPr>
              <w:spacing w:after="0" w:line="240" w:lineRule="auto"/>
              <w:jc w:val="center"/>
              <w:rPr>
                <w:rFonts w:ascii="Times New Roman" w:hAnsi="Times New Roman"/>
                <w:sz w:val="18"/>
                <w:szCs w:val="18"/>
              </w:rPr>
            </w:pPr>
          </w:p>
        </w:tc>
        <w:tc>
          <w:tcPr>
            <w:tcW w:w="780" w:type="dxa"/>
            <w:vAlign w:val="center"/>
          </w:tcPr>
          <w:p w14:paraId="762E3F81" w14:textId="77777777" w:rsidR="001C32C8" w:rsidRPr="00B0658A" w:rsidRDefault="001C32C8" w:rsidP="00004A41">
            <w:pPr>
              <w:spacing w:after="0" w:line="240" w:lineRule="auto"/>
              <w:jc w:val="center"/>
              <w:rPr>
                <w:rFonts w:ascii="Times New Roman" w:hAnsi="Times New Roman"/>
                <w:sz w:val="18"/>
                <w:szCs w:val="18"/>
              </w:rPr>
            </w:pPr>
          </w:p>
        </w:tc>
        <w:tc>
          <w:tcPr>
            <w:tcW w:w="779" w:type="dxa"/>
            <w:vAlign w:val="center"/>
          </w:tcPr>
          <w:p w14:paraId="6747372A" w14:textId="77777777" w:rsidR="001C32C8" w:rsidRPr="00B0658A" w:rsidRDefault="001C32C8" w:rsidP="00004A41">
            <w:pPr>
              <w:spacing w:after="0" w:line="240" w:lineRule="auto"/>
              <w:jc w:val="center"/>
              <w:rPr>
                <w:rFonts w:ascii="Times New Roman" w:hAnsi="Times New Roman"/>
                <w:sz w:val="18"/>
                <w:szCs w:val="18"/>
              </w:rPr>
            </w:pPr>
          </w:p>
        </w:tc>
        <w:tc>
          <w:tcPr>
            <w:tcW w:w="780" w:type="dxa"/>
            <w:vAlign w:val="center"/>
          </w:tcPr>
          <w:p w14:paraId="321C377A" w14:textId="77777777" w:rsidR="001C32C8" w:rsidRPr="00B0658A" w:rsidRDefault="001C32C8" w:rsidP="00004A41">
            <w:pPr>
              <w:spacing w:after="0" w:line="240" w:lineRule="auto"/>
              <w:jc w:val="center"/>
              <w:rPr>
                <w:rFonts w:ascii="Times New Roman" w:hAnsi="Times New Roman"/>
                <w:sz w:val="18"/>
                <w:szCs w:val="18"/>
              </w:rPr>
            </w:pPr>
          </w:p>
        </w:tc>
        <w:tc>
          <w:tcPr>
            <w:tcW w:w="1475" w:type="dxa"/>
            <w:vAlign w:val="center"/>
          </w:tcPr>
          <w:p w14:paraId="7F890867" w14:textId="77777777" w:rsidR="001C32C8" w:rsidRPr="00B0658A" w:rsidRDefault="001C32C8" w:rsidP="00004A41">
            <w:pPr>
              <w:spacing w:after="0" w:line="240" w:lineRule="auto"/>
              <w:jc w:val="center"/>
              <w:rPr>
                <w:rFonts w:ascii="Times New Roman" w:hAnsi="Times New Roman"/>
                <w:sz w:val="18"/>
                <w:szCs w:val="18"/>
              </w:rPr>
            </w:pPr>
          </w:p>
        </w:tc>
      </w:tr>
      <w:tr w:rsidR="00F52FED" w:rsidRPr="00B0658A" w14:paraId="311B8EAB" w14:textId="77777777" w:rsidTr="00E66BA4">
        <w:trPr>
          <w:trHeight w:val="20"/>
        </w:trPr>
        <w:tc>
          <w:tcPr>
            <w:tcW w:w="846" w:type="dxa"/>
            <w:shd w:val="clear" w:color="000000" w:fill="FFFFFF"/>
            <w:vAlign w:val="center"/>
          </w:tcPr>
          <w:p w14:paraId="6F6A236D" w14:textId="77777777" w:rsidR="001C32C8" w:rsidRPr="00B0658A" w:rsidRDefault="001C32C8" w:rsidP="00004A41">
            <w:pPr>
              <w:spacing w:after="0" w:line="240" w:lineRule="auto"/>
              <w:jc w:val="center"/>
              <w:rPr>
                <w:rFonts w:ascii="Times New Roman" w:hAnsi="Times New Roman"/>
                <w:sz w:val="18"/>
                <w:szCs w:val="18"/>
              </w:rPr>
            </w:pPr>
            <w:r w:rsidRPr="00B0658A">
              <w:rPr>
                <w:rFonts w:ascii="Times New Roman" w:hAnsi="Times New Roman"/>
                <w:sz w:val="18"/>
                <w:szCs w:val="18"/>
              </w:rPr>
              <w:t>3.3</w:t>
            </w:r>
          </w:p>
        </w:tc>
        <w:tc>
          <w:tcPr>
            <w:tcW w:w="1559" w:type="dxa"/>
            <w:shd w:val="clear" w:color="auto" w:fill="auto"/>
            <w:vAlign w:val="center"/>
            <w:hideMark/>
          </w:tcPr>
          <w:p w14:paraId="55DDED1B" w14:textId="77777777" w:rsidR="001C32C8" w:rsidRPr="00B0658A" w:rsidRDefault="001C32C8" w:rsidP="00004A41">
            <w:pPr>
              <w:spacing w:after="0" w:line="240" w:lineRule="auto"/>
              <w:rPr>
                <w:rFonts w:ascii="Times New Roman" w:hAnsi="Times New Roman"/>
                <w:sz w:val="18"/>
                <w:szCs w:val="18"/>
              </w:rPr>
            </w:pPr>
            <w:r w:rsidRPr="00B0658A">
              <w:rPr>
                <w:rFonts w:ascii="Times New Roman" w:hAnsi="Times New Roman"/>
                <w:sz w:val="18"/>
                <w:szCs w:val="18"/>
              </w:rPr>
              <w:t>Средства обеспечения информационной безопасности/ Межсетевые экраны</w:t>
            </w:r>
          </w:p>
        </w:tc>
        <w:tc>
          <w:tcPr>
            <w:tcW w:w="1418" w:type="dxa"/>
            <w:shd w:val="clear" w:color="000000" w:fill="FFFFFF"/>
            <w:hideMark/>
          </w:tcPr>
          <w:p w14:paraId="3DDDFCDA" w14:textId="77777777" w:rsidR="001C32C8" w:rsidRPr="00B0658A" w:rsidRDefault="001C32C8" w:rsidP="00004A41">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44" w:type="dxa"/>
            <w:vAlign w:val="center"/>
          </w:tcPr>
          <w:p w14:paraId="0839FB16"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auto" w:fill="auto"/>
            <w:vAlign w:val="center"/>
            <w:hideMark/>
          </w:tcPr>
          <w:p w14:paraId="33621DD6"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auto" w:fill="auto"/>
            <w:vAlign w:val="center"/>
            <w:hideMark/>
          </w:tcPr>
          <w:p w14:paraId="561F5FFA"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auto" w:fill="auto"/>
            <w:vAlign w:val="center"/>
            <w:hideMark/>
          </w:tcPr>
          <w:p w14:paraId="0CB1CD5E" w14:textId="77777777" w:rsidR="001C32C8" w:rsidRPr="00B0658A" w:rsidRDefault="001C32C8" w:rsidP="00004A41">
            <w:pPr>
              <w:spacing w:after="0" w:line="240" w:lineRule="auto"/>
              <w:jc w:val="center"/>
              <w:rPr>
                <w:rFonts w:ascii="Times New Roman" w:hAnsi="Times New Roman"/>
                <w:sz w:val="18"/>
                <w:szCs w:val="18"/>
              </w:rPr>
            </w:pPr>
          </w:p>
        </w:tc>
        <w:tc>
          <w:tcPr>
            <w:tcW w:w="993" w:type="dxa"/>
            <w:vAlign w:val="center"/>
          </w:tcPr>
          <w:p w14:paraId="1C2056EF"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auto" w:fill="auto"/>
            <w:vAlign w:val="center"/>
            <w:hideMark/>
          </w:tcPr>
          <w:p w14:paraId="1FB3C2C0" w14:textId="77777777" w:rsidR="001C32C8" w:rsidRPr="00B0658A" w:rsidRDefault="001C32C8" w:rsidP="00004A41">
            <w:pPr>
              <w:spacing w:after="0" w:line="240" w:lineRule="auto"/>
              <w:jc w:val="center"/>
              <w:rPr>
                <w:rFonts w:ascii="Times New Roman" w:hAnsi="Times New Roman"/>
                <w:sz w:val="18"/>
                <w:szCs w:val="18"/>
              </w:rPr>
            </w:pPr>
          </w:p>
        </w:tc>
        <w:tc>
          <w:tcPr>
            <w:tcW w:w="780" w:type="dxa"/>
            <w:shd w:val="clear" w:color="auto" w:fill="auto"/>
            <w:vAlign w:val="center"/>
            <w:hideMark/>
          </w:tcPr>
          <w:p w14:paraId="4E4314DE"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auto" w:fill="auto"/>
            <w:vAlign w:val="center"/>
            <w:hideMark/>
          </w:tcPr>
          <w:p w14:paraId="7E846FAC" w14:textId="77777777" w:rsidR="001C32C8" w:rsidRPr="00B0658A" w:rsidRDefault="001C32C8" w:rsidP="00004A41">
            <w:pPr>
              <w:spacing w:after="0" w:line="240" w:lineRule="auto"/>
              <w:jc w:val="center"/>
              <w:rPr>
                <w:rFonts w:ascii="Times New Roman" w:hAnsi="Times New Roman"/>
                <w:sz w:val="18"/>
                <w:szCs w:val="18"/>
              </w:rPr>
            </w:pPr>
          </w:p>
        </w:tc>
        <w:tc>
          <w:tcPr>
            <w:tcW w:w="780" w:type="dxa"/>
            <w:vAlign w:val="center"/>
          </w:tcPr>
          <w:p w14:paraId="39BD1052" w14:textId="77777777" w:rsidR="001C32C8" w:rsidRPr="00B0658A" w:rsidRDefault="001C32C8" w:rsidP="00004A41">
            <w:pPr>
              <w:spacing w:after="0" w:line="240" w:lineRule="auto"/>
              <w:jc w:val="center"/>
              <w:rPr>
                <w:rFonts w:ascii="Times New Roman" w:hAnsi="Times New Roman"/>
                <w:sz w:val="18"/>
                <w:szCs w:val="18"/>
              </w:rPr>
            </w:pPr>
          </w:p>
        </w:tc>
        <w:tc>
          <w:tcPr>
            <w:tcW w:w="779" w:type="dxa"/>
            <w:vAlign w:val="center"/>
          </w:tcPr>
          <w:p w14:paraId="2527F6ED" w14:textId="77777777" w:rsidR="001C32C8" w:rsidRPr="00B0658A" w:rsidRDefault="001C32C8" w:rsidP="00004A41">
            <w:pPr>
              <w:spacing w:after="0" w:line="240" w:lineRule="auto"/>
              <w:jc w:val="center"/>
              <w:rPr>
                <w:rFonts w:ascii="Times New Roman" w:hAnsi="Times New Roman"/>
                <w:sz w:val="18"/>
                <w:szCs w:val="18"/>
              </w:rPr>
            </w:pPr>
          </w:p>
        </w:tc>
        <w:tc>
          <w:tcPr>
            <w:tcW w:w="780" w:type="dxa"/>
            <w:vAlign w:val="center"/>
          </w:tcPr>
          <w:p w14:paraId="0938B379" w14:textId="77777777" w:rsidR="001C32C8" w:rsidRPr="00B0658A" w:rsidRDefault="001C32C8" w:rsidP="00004A41">
            <w:pPr>
              <w:spacing w:after="0" w:line="240" w:lineRule="auto"/>
              <w:jc w:val="center"/>
              <w:rPr>
                <w:rFonts w:ascii="Times New Roman" w:hAnsi="Times New Roman"/>
                <w:sz w:val="18"/>
                <w:szCs w:val="18"/>
              </w:rPr>
            </w:pPr>
          </w:p>
        </w:tc>
        <w:tc>
          <w:tcPr>
            <w:tcW w:w="1475" w:type="dxa"/>
            <w:vAlign w:val="center"/>
          </w:tcPr>
          <w:p w14:paraId="5F49E679" w14:textId="77777777" w:rsidR="001C32C8" w:rsidRPr="00B0658A" w:rsidRDefault="001C32C8" w:rsidP="00004A41">
            <w:pPr>
              <w:spacing w:after="0" w:line="240" w:lineRule="auto"/>
              <w:jc w:val="center"/>
              <w:rPr>
                <w:rFonts w:ascii="Times New Roman" w:hAnsi="Times New Roman"/>
                <w:sz w:val="18"/>
                <w:szCs w:val="18"/>
              </w:rPr>
            </w:pPr>
          </w:p>
        </w:tc>
      </w:tr>
      <w:tr w:rsidR="00F52FED" w:rsidRPr="00B0658A" w14:paraId="074A1041" w14:textId="77777777" w:rsidTr="00E66BA4">
        <w:trPr>
          <w:trHeight w:val="20"/>
        </w:trPr>
        <w:tc>
          <w:tcPr>
            <w:tcW w:w="846" w:type="dxa"/>
            <w:shd w:val="clear" w:color="000000" w:fill="FFFFFF"/>
            <w:vAlign w:val="center"/>
          </w:tcPr>
          <w:p w14:paraId="093D0061" w14:textId="77777777" w:rsidR="001C32C8" w:rsidRPr="00B0658A" w:rsidRDefault="001C32C8" w:rsidP="00004A41">
            <w:pPr>
              <w:spacing w:after="0" w:line="240" w:lineRule="auto"/>
              <w:jc w:val="center"/>
              <w:rPr>
                <w:rFonts w:ascii="Times New Roman" w:hAnsi="Times New Roman"/>
                <w:sz w:val="18"/>
                <w:szCs w:val="18"/>
              </w:rPr>
            </w:pPr>
            <w:r w:rsidRPr="00B0658A">
              <w:rPr>
                <w:rFonts w:ascii="Times New Roman" w:hAnsi="Times New Roman"/>
                <w:sz w:val="18"/>
                <w:szCs w:val="18"/>
              </w:rPr>
              <w:t>3.4</w:t>
            </w:r>
          </w:p>
        </w:tc>
        <w:tc>
          <w:tcPr>
            <w:tcW w:w="1559" w:type="dxa"/>
            <w:shd w:val="clear" w:color="auto" w:fill="auto"/>
            <w:vAlign w:val="center"/>
            <w:hideMark/>
          </w:tcPr>
          <w:p w14:paraId="04443CF1" w14:textId="77777777" w:rsidR="001C32C8" w:rsidRPr="00B0658A" w:rsidRDefault="001C32C8" w:rsidP="00004A41">
            <w:pPr>
              <w:spacing w:after="0" w:line="240" w:lineRule="auto"/>
              <w:rPr>
                <w:rFonts w:ascii="Times New Roman" w:hAnsi="Times New Roman"/>
                <w:sz w:val="18"/>
                <w:szCs w:val="18"/>
              </w:rPr>
            </w:pPr>
            <w:r w:rsidRPr="00B0658A">
              <w:rPr>
                <w:rFonts w:ascii="Times New Roman" w:hAnsi="Times New Roman"/>
                <w:sz w:val="18"/>
                <w:szCs w:val="18"/>
              </w:rPr>
              <w:t>Средства обеспечения информационной безопасности/ Средства фильтрации негативного контента</w:t>
            </w:r>
          </w:p>
        </w:tc>
        <w:tc>
          <w:tcPr>
            <w:tcW w:w="1418" w:type="dxa"/>
            <w:shd w:val="clear" w:color="000000" w:fill="FFFFFF"/>
            <w:hideMark/>
          </w:tcPr>
          <w:p w14:paraId="48E2A9C4" w14:textId="77777777" w:rsidR="001C32C8" w:rsidRPr="00B0658A" w:rsidRDefault="001C32C8" w:rsidP="00004A41">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44" w:type="dxa"/>
            <w:vAlign w:val="center"/>
          </w:tcPr>
          <w:p w14:paraId="3A97913B"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auto" w:fill="auto"/>
            <w:vAlign w:val="center"/>
            <w:hideMark/>
          </w:tcPr>
          <w:p w14:paraId="63AB53C8"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auto" w:fill="auto"/>
            <w:vAlign w:val="center"/>
            <w:hideMark/>
          </w:tcPr>
          <w:p w14:paraId="3EBA0735"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auto" w:fill="auto"/>
            <w:vAlign w:val="center"/>
            <w:hideMark/>
          </w:tcPr>
          <w:p w14:paraId="01B35725" w14:textId="77777777" w:rsidR="001C32C8" w:rsidRPr="00B0658A" w:rsidRDefault="001C32C8" w:rsidP="00004A41">
            <w:pPr>
              <w:spacing w:after="0" w:line="240" w:lineRule="auto"/>
              <w:jc w:val="center"/>
              <w:rPr>
                <w:rFonts w:ascii="Times New Roman" w:hAnsi="Times New Roman"/>
                <w:sz w:val="18"/>
                <w:szCs w:val="18"/>
              </w:rPr>
            </w:pPr>
          </w:p>
        </w:tc>
        <w:tc>
          <w:tcPr>
            <w:tcW w:w="993" w:type="dxa"/>
            <w:vAlign w:val="center"/>
          </w:tcPr>
          <w:p w14:paraId="5822E694"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auto" w:fill="auto"/>
            <w:vAlign w:val="center"/>
            <w:hideMark/>
          </w:tcPr>
          <w:p w14:paraId="4DF4A830" w14:textId="77777777" w:rsidR="001C32C8" w:rsidRPr="00B0658A" w:rsidRDefault="001C32C8" w:rsidP="00004A41">
            <w:pPr>
              <w:spacing w:after="0" w:line="240" w:lineRule="auto"/>
              <w:jc w:val="center"/>
              <w:rPr>
                <w:rFonts w:ascii="Times New Roman" w:hAnsi="Times New Roman"/>
                <w:sz w:val="18"/>
                <w:szCs w:val="18"/>
              </w:rPr>
            </w:pPr>
          </w:p>
        </w:tc>
        <w:tc>
          <w:tcPr>
            <w:tcW w:w="780" w:type="dxa"/>
            <w:shd w:val="clear" w:color="auto" w:fill="auto"/>
            <w:vAlign w:val="center"/>
            <w:hideMark/>
          </w:tcPr>
          <w:p w14:paraId="3DE523E9"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auto" w:fill="auto"/>
            <w:vAlign w:val="center"/>
            <w:hideMark/>
          </w:tcPr>
          <w:p w14:paraId="1A9F7FC2" w14:textId="77777777" w:rsidR="001C32C8" w:rsidRPr="00B0658A" w:rsidRDefault="001C32C8" w:rsidP="00004A41">
            <w:pPr>
              <w:spacing w:after="0" w:line="240" w:lineRule="auto"/>
              <w:jc w:val="center"/>
              <w:rPr>
                <w:rFonts w:ascii="Times New Roman" w:hAnsi="Times New Roman"/>
                <w:sz w:val="18"/>
                <w:szCs w:val="18"/>
              </w:rPr>
            </w:pPr>
          </w:p>
        </w:tc>
        <w:tc>
          <w:tcPr>
            <w:tcW w:w="780" w:type="dxa"/>
            <w:vAlign w:val="center"/>
          </w:tcPr>
          <w:p w14:paraId="73F4EE58" w14:textId="77777777" w:rsidR="001C32C8" w:rsidRPr="00B0658A" w:rsidRDefault="001C32C8" w:rsidP="00004A41">
            <w:pPr>
              <w:spacing w:after="0" w:line="240" w:lineRule="auto"/>
              <w:jc w:val="center"/>
              <w:rPr>
                <w:rFonts w:ascii="Times New Roman" w:hAnsi="Times New Roman"/>
                <w:sz w:val="18"/>
                <w:szCs w:val="18"/>
              </w:rPr>
            </w:pPr>
          </w:p>
        </w:tc>
        <w:tc>
          <w:tcPr>
            <w:tcW w:w="779" w:type="dxa"/>
            <w:vAlign w:val="center"/>
          </w:tcPr>
          <w:p w14:paraId="1668A101" w14:textId="77777777" w:rsidR="001C32C8" w:rsidRPr="00B0658A" w:rsidRDefault="001C32C8" w:rsidP="00004A41">
            <w:pPr>
              <w:spacing w:after="0" w:line="240" w:lineRule="auto"/>
              <w:jc w:val="center"/>
              <w:rPr>
                <w:rFonts w:ascii="Times New Roman" w:hAnsi="Times New Roman"/>
                <w:sz w:val="18"/>
                <w:szCs w:val="18"/>
              </w:rPr>
            </w:pPr>
          </w:p>
        </w:tc>
        <w:tc>
          <w:tcPr>
            <w:tcW w:w="780" w:type="dxa"/>
            <w:vAlign w:val="center"/>
          </w:tcPr>
          <w:p w14:paraId="46F560BB" w14:textId="77777777" w:rsidR="001C32C8" w:rsidRPr="00B0658A" w:rsidRDefault="001C32C8" w:rsidP="00004A41">
            <w:pPr>
              <w:spacing w:after="0" w:line="240" w:lineRule="auto"/>
              <w:jc w:val="center"/>
              <w:rPr>
                <w:rFonts w:ascii="Times New Roman" w:hAnsi="Times New Roman"/>
                <w:sz w:val="18"/>
                <w:szCs w:val="18"/>
              </w:rPr>
            </w:pPr>
          </w:p>
        </w:tc>
        <w:tc>
          <w:tcPr>
            <w:tcW w:w="1475" w:type="dxa"/>
            <w:vAlign w:val="center"/>
          </w:tcPr>
          <w:p w14:paraId="4E8CB6B5" w14:textId="77777777" w:rsidR="001C32C8" w:rsidRPr="00B0658A" w:rsidRDefault="001C32C8" w:rsidP="00004A41">
            <w:pPr>
              <w:spacing w:after="0" w:line="240" w:lineRule="auto"/>
              <w:jc w:val="center"/>
              <w:rPr>
                <w:rFonts w:ascii="Times New Roman" w:hAnsi="Times New Roman"/>
                <w:sz w:val="18"/>
                <w:szCs w:val="18"/>
              </w:rPr>
            </w:pPr>
          </w:p>
        </w:tc>
      </w:tr>
      <w:tr w:rsidR="00F52FED" w:rsidRPr="00B0658A" w14:paraId="79CF9497" w14:textId="77777777" w:rsidTr="00E66BA4">
        <w:trPr>
          <w:trHeight w:val="20"/>
        </w:trPr>
        <w:tc>
          <w:tcPr>
            <w:tcW w:w="846" w:type="dxa"/>
            <w:shd w:val="clear" w:color="000000" w:fill="FFFFFF"/>
            <w:vAlign w:val="center"/>
          </w:tcPr>
          <w:p w14:paraId="3F5E4091" w14:textId="77777777" w:rsidR="001C32C8" w:rsidRPr="00B0658A" w:rsidRDefault="001C32C8" w:rsidP="00004A41">
            <w:pPr>
              <w:spacing w:after="0" w:line="240" w:lineRule="auto"/>
              <w:jc w:val="center"/>
              <w:rPr>
                <w:rFonts w:ascii="Times New Roman" w:hAnsi="Times New Roman"/>
                <w:sz w:val="18"/>
                <w:szCs w:val="18"/>
              </w:rPr>
            </w:pPr>
            <w:r w:rsidRPr="00B0658A">
              <w:rPr>
                <w:rFonts w:ascii="Times New Roman" w:hAnsi="Times New Roman"/>
                <w:sz w:val="18"/>
                <w:szCs w:val="18"/>
              </w:rPr>
              <w:t>3.5</w:t>
            </w:r>
          </w:p>
        </w:tc>
        <w:tc>
          <w:tcPr>
            <w:tcW w:w="1559" w:type="dxa"/>
            <w:shd w:val="clear" w:color="auto" w:fill="auto"/>
            <w:vAlign w:val="center"/>
            <w:hideMark/>
          </w:tcPr>
          <w:p w14:paraId="1DDFC1EF" w14:textId="77777777" w:rsidR="001C32C8" w:rsidRPr="00B0658A" w:rsidRDefault="001C32C8" w:rsidP="00004A41">
            <w:pPr>
              <w:spacing w:after="0" w:line="240" w:lineRule="auto"/>
              <w:rPr>
                <w:rFonts w:ascii="Times New Roman" w:hAnsi="Times New Roman"/>
                <w:sz w:val="18"/>
                <w:szCs w:val="18"/>
              </w:rPr>
            </w:pPr>
            <w:r w:rsidRPr="00B0658A">
              <w:rPr>
                <w:rFonts w:ascii="Times New Roman" w:hAnsi="Times New Roman"/>
                <w:sz w:val="18"/>
                <w:szCs w:val="18"/>
              </w:rPr>
              <w:t xml:space="preserve">Средства обеспечения информационной безопасности/ Средства защиты сервисов онлайн-платежей и </w:t>
            </w:r>
            <w:r w:rsidRPr="00B0658A">
              <w:rPr>
                <w:rFonts w:ascii="Times New Roman" w:hAnsi="Times New Roman"/>
                <w:sz w:val="18"/>
                <w:szCs w:val="18"/>
              </w:rPr>
              <w:lastRenderedPageBreak/>
              <w:t>дистанционного банковского обслуживания</w:t>
            </w:r>
          </w:p>
        </w:tc>
        <w:tc>
          <w:tcPr>
            <w:tcW w:w="1418" w:type="dxa"/>
            <w:shd w:val="clear" w:color="000000" w:fill="FFFFFF"/>
            <w:hideMark/>
          </w:tcPr>
          <w:p w14:paraId="2C1FBDB3" w14:textId="77777777" w:rsidR="001C32C8" w:rsidRPr="00B0658A" w:rsidRDefault="001C32C8" w:rsidP="00004A41">
            <w:pPr>
              <w:spacing w:after="0" w:line="240" w:lineRule="auto"/>
              <w:rPr>
                <w:rFonts w:ascii="Times New Roman" w:hAnsi="Times New Roman"/>
                <w:sz w:val="18"/>
                <w:szCs w:val="18"/>
              </w:rPr>
            </w:pPr>
            <w:r w:rsidRPr="00B0658A">
              <w:rPr>
                <w:rFonts w:ascii="Times New Roman" w:hAnsi="Times New Roman"/>
                <w:sz w:val="18"/>
                <w:szCs w:val="18"/>
              </w:rPr>
              <w:lastRenderedPageBreak/>
              <w:t>Доля используемого российского ПО в общем объёме, используемого ПО, %</w:t>
            </w:r>
          </w:p>
        </w:tc>
        <w:tc>
          <w:tcPr>
            <w:tcW w:w="744" w:type="dxa"/>
            <w:vAlign w:val="center"/>
          </w:tcPr>
          <w:p w14:paraId="58BD47A1"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auto" w:fill="auto"/>
            <w:vAlign w:val="center"/>
            <w:hideMark/>
          </w:tcPr>
          <w:p w14:paraId="7071CFE4"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auto" w:fill="auto"/>
            <w:vAlign w:val="center"/>
            <w:hideMark/>
          </w:tcPr>
          <w:p w14:paraId="594146F4"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auto" w:fill="auto"/>
            <w:vAlign w:val="center"/>
            <w:hideMark/>
          </w:tcPr>
          <w:p w14:paraId="384BD27C" w14:textId="77777777" w:rsidR="001C32C8" w:rsidRPr="00B0658A" w:rsidRDefault="001C32C8" w:rsidP="00004A41">
            <w:pPr>
              <w:spacing w:after="0" w:line="240" w:lineRule="auto"/>
              <w:jc w:val="center"/>
              <w:rPr>
                <w:rFonts w:ascii="Times New Roman" w:hAnsi="Times New Roman"/>
                <w:sz w:val="18"/>
                <w:szCs w:val="18"/>
              </w:rPr>
            </w:pPr>
          </w:p>
        </w:tc>
        <w:tc>
          <w:tcPr>
            <w:tcW w:w="993" w:type="dxa"/>
            <w:vAlign w:val="center"/>
          </w:tcPr>
          <w:p w14:paraId="4FD6C2B3"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auto" w:fill="auto"/>
            <w:vAlign w:val="center"/>
            <w:hideMark/>
          </w:tcPr>
          <w:p w14:paraId="7CF83D31" w14:textId="77777777" w:rsidR="001C32C8" w:rsidRPr="00B0658A" w:rsidRDefault="001C32C8" w:rsidP="00004A41">
            <w:pPr>
              <w:spacing w:after="0" w:line="240" w:lineRule="auto"/>
              <w:jc w:val="center"/>
              <w:rPr>
                <w:rFonts w:ascii="Times New Roman" w:hAnsi="Times New Roman"/>
                <w:sz w:val="18"/>
                <w:szCs w:val="18"/>
              </w:rPr>
            </w:pPr>
          </w:p>
        </w:tc>
        <w:tc>
          <w:tcPr>
            <w:tcW w:w="780" w:type="dxa"/>
            <w:shd w:val="clear" w:color="auto" w:fill="auto"/>
            <w:vAlign w:val="center"/>
            <w:hideMark/>
          </w:tcPr>
          <w:p w14:paraId="5A507DC8"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auto" w:fill="auto"/>
            <w:vAlign w:val="center"/>
            <w:hideMark/>
          </w:tcPr>
          <w:p w14:paraId="5CF63A98" w14:textId="77777777" w:rsidR="001C32C8" w:rsidRPr="00B0658A" w:rsidRDefault="001C32C8" w:rsidP="00004A41">
            <w:pPr>
              <w:spacing w:after="0" w:line="240" w:lineRule="auto"/>
              <w:jc w:val="center"/>
              <w:rPr>
                <w:rFonts w:ascii="Times New Roman" w:hAnsi="Times New Roman"/>
                <w:sz w:val="18"/>
                <w:szCs w:val="18"/>
              </w:rPr>
            </w:pPr>
          </w:p>
        </w:tc>
        <w:tc>
          <w:tcPr>
            <w:tcW w:w="780" w:type="dxa"/>
            <w:vAlign w:val="center"/>
          </w:tcPr>
          <w:p w14:paraId="6D32CA5C" w14:textId="77777777" w:rsidR="001C32C8" w:rsidRPr="00B0658A" w:rsidRDefault="001C32C8" w:rsidP="00004A41">
            <w:pPr>
              <w:spacing w:after="0" w:line="240" w:lineRule="auto"/>
              <w:jc w:val="center"/>
              <w:rPr>
                <w:rFonts w:ascii="Times New Roman" w:hAnsi="Times New Roman"/>
                <w:sz w:val="18"/>
                <w:szCs w:val="18"/>
              </w:rPr>
            </w:pPr>
          </w:p>
        </w:tc>
        <w:tc>
          <w:tcPr>
            <w:tcW w:w="779" w:type="dxa"/>
            <w:vAlign w:val="center"/>
          </w:tcPr>
          <w:p w14:paraId="508A0FE6" w14:textId="77777777" w:rsidR="001C32C8" w:rsidRPr="00B0658A" w:rsidRDefault="001C32C8" w:rsidP="00004A41">
            <w:pPr>
              <w:spacing w:after="0" w:line="240" w:lineRule="auto"/>
              <w:jc w:val="center"/>
              <w:rPr>
                <w:rFonts w:ascii="Times New Roman" w:hAnsi="Times New Roman"/>
                <w:sz w:val="18"/>
                <w:szCs w:val="18"/>
              </w:rPr>
            </w:pPr>
          </w:p>
        </w:tc>
        <w:tc>
          <w:tcPr>
            <w:tcW w:w="780" w:type="dxa"/>
            <w:vAlign w:val="center"/>
          </w:tcPr>
          <w:p w14:paraId="5B90DAB9" w14:textId="77777777" w:rsidR="001C32C8" w:rsidRPr="00B0658A" w:rsidRDefault="001C32C8" w:rsidP="00004A41">
            <w:pPr>
              <w:spacing w:after="0" w:line="240" w:lineRule="auto"/>
              <w:jc w:val="center"/>
              <w:rPr>
                <w:rFonts w:ascii="Times New Roman" w:hAnsi="Times New Roman"/>
                <w:sz w:val="18"/>
                <w:szCs w:val="18"/>
              </w:rPr>
            </w:pPr>
          </w:p>
        </w:tc>
        <w:tc>
          <w:tcPr>
            <w:tcW w:w="1475" w:type="dxa"/>
            <w:vAlign w:val="center"/>
          </w:tcPr>
          <w:p w14:paraId="5F23C1D3" w14:textId="77777777" w:rsidR="001C32C8" w:rsidRPr="00B0658A" w:rsidRDefault="001C32C8" w:rsidP="00004A41">
            <w:pPr>
              <w:spacing w:after="0" w:line="240" w:lineRule="auto"/>
              <w:jc w:val="center"/>
              <w:rPr>
                <w:rFonts w:ascii="Times New Roman" w:hAnsi="Times New Roman"/>
                <w:sz w:val="18"/>
                <w:szCs w:val="18"/>
              </w:rPr>
            </w:pPr>
          </w:p>
        </w:tc>
      </w:tr>
      <w:tr w:rsidR="00F52FED" w:rsidRPr="00B0658A" w14:paraId="2C36DEF9" w14:textId="77777777" w:rsidTr="00E66BA4">
        <w:trPr>
          <w:trHeight w:val="20"/>
        </w:trPr>
        <w:tc>
          <w:tcPr>
            <w:tcW w:w="846" w:type="dxa"/>
            <w:shd w:val="clear" w:color="000000" w:fill="FFFFFF"/>
            <w:vAlign w:val="center"/>
          </w:tcPr>
          <w:p w14:paraId="2B845600" w14:textId="77777777" w:rsidR="001C32C8" w:rsidRPr="00B0658A" w:rsidRDefault="001C32C8" w:rsidP="00004A41">
            <w:pPr>
              <w:spacing w:after="0" w:line="240" w:lineRule="auto"/>
              <w:jc w:val="center"/>
              <w:rPr>
                <w:rFonts w:ascii="Times New Roman" w:hAnsi="Times New Roman"/>
                <w:sz w:val="18"/>
                <w:szCs w:val="18"/>
              </w:rPr>
            </w:pPr>
            <w:r w:rsidRPr="00B0658A">
              <w:rPr>
                <w:rFonts w:ascii="Times New Roman" w:hAnsi="Times New Roman"/>
                <w:sz w:val="18"/>
                <w:szCs w:val="18"/>
              </w:rPr>
              <w:t>3.6</w:t>
            </w:r>
          </w:p>
        </w:tc>
        <w:tc>
          <w:tcPr>
            <w:tcW w:w="1559" w:type="dxa"/>
            <w:shd w:val="clear" w:color="auto" w:fill="auto"/>
            <w:vAlign w:val="center"/>
            <w:hideMark/>
          </w:tcPr>
          <w:p w14:paraId="0EE3FC45" w14:textId="77777777" w:rsidR="001C32C8" w:rsidRPr="00B0658A" w:rsidRDefault="001C32C8" w:rsidP="00004A41">
            <w:pPr>
              <w:spacing w:after="0" w:line="240" w:lineRule="auto"/>
              <w:rPr>
                <w:rFonts w:ascii="Times New Roman" w:hAnsi="Times New Roman"/>
                <w:sz w:val="18"/>
                <w:szCs w:val="18"/>
              </w:rPr>
            </w:pPr>
            <w:r w:rsidRPr="00B0658A">
              <w:rPr>
                <w:rFonts w:ascii="Times New Roman" w:hAnsi="Times New Roman"/>
                <w:sz w:val="18"/>
                <w:szCs w:val="18"/>
              </w:rPr>
              <w:t>Средства обеспечения информационной безопасности/ Средства антивирусной защиты</w:t>
            </w:r>
          </w:p>
        </w:tc>
        <w:tc>
          <w:tcPr>
            <w:tcW w:w="1418" w:type="dxa"/>
            <w:shd w:val="clear" w:color="000000" w:fill="FFFFFF"/>
            <w:hideMark/>
          </w:tcPr>
          <w:p w14:paraId="5B51945E" w14:textId="77777777" w:rsidR="001C32C8" w:rsidRPr="00B0658A" w:rsidRDefault="001C32C8" w:rsidP="00004A41">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44" w:type="dxa"/>
            <w:vAlign w:val="center"/>
          </w:tcPr>
          <w:p w14:paraId="63B5C7EB"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auto" w:fill="auto"/>
            <w:vAlign w:val="center"/>
            <w:hideMark/>
          </w:tcPr>
          <w:p w14:paraId="4FC3602E"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auto" w:fill="auto"/>
            <w:vAlign w:val="center"/>
            <w:hideMark/>
          </w:tcPr>
          <w:p w14:paraId="154DAE70"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auto" w:fill="auto"/>
            <w:vAlign w:val="center"/>
            <w:hideMark/>
          </w:tcPr>
          <w:p w14:paraId="6029BD7A" w14:textId="77777777" w:rsidR="001C32C8" w:rsidRPr="00B0658A" w:rsidRDefault="001C32C8" w:rsidP="00004A41">
            <w:pPr>
              <w:spacing w:after="0" w:line="240" w:lineRule="auto"/>
              <w:jc w:val="center"/>
              <w:rPr>
                <w:rFonts w:ascii="Times New Roman" w:hAnsi="Times New Roman"/>
                <w:sz w:val="18"/>
                <w:szCs w:val="18"/>
              </w:rPr>
            </w:pPr>
          </w:p>
        </w:tc>
        <w:tc>
          <w:tcPr>
            <w:tcW w:w="993" w:type="dxa"/>
            <w:vAlign w:val="center"/>
          </w:tcPr>
          <w:p w14:paraId="3C56D367"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auto" w:fill="auto"/>
            <w:vAlign w:val="center"/>
            <w:hideMark/>
          </w:tcPr>
          <w:p w14:paraId="69F8E757" w14:textId="77777777" w:rsidR="001C32C8" w:rsidRPr="00B0658A" w:rsidRDefault="001C32C8" w:rsidP="00004A41">
            <w:pPr>
              <w:spacing w:after="0" w:line="240" w:lineRule="auto"/>
              <w:jc w:val="center"/>
              <w:rPr>
                <w:rFonts w:ascii="Times New Roman" w:hAnsi="Times New Roman"/>
                <w:sz w:val="18"/>
                <w:szCs w:val="18"/>
              </w:rPr>
            </w:pPr>
          </w:p>
        </w:tc>
        <w:tc>
          <w:tcPr>
            <w:tcW w:w="780" w:type="dxa"/>
            <w:shd w:val="clear" w:color="auto" w:fill="auto"/>
            <w:vAlign w:val="center"/>
            <w:hideMark/>
          </w:tcPr>
          <w:p w14:paraId="0CCFD50B"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auto" w:fill="auto"/>
            <w:vAlign w:val="center"/>
            <w:hideMark/>
          </w:tcPr>
          <w:p w14:paraId="1C2CB1B5" w14:textId="77777777" w:rsidR="001C32C8" w:rsidRPr="00B0658A" w:rsidRDefault="001C32C8" w:rsidP="00004A41">
            <w:pPr>
              <w:spacing w:after="0" w:line="240" w:lineRule="auto"/>
              <w:jc w:val="center"/>
              <w:rPr>
                <w:rFonts w:ascii="Times New Roman" w:hAnsi="Times New Roman"/>
                <w:sz w:val="18"/>
                <w:szCs w:val="18"/>
              </w:rPr>
            </w:pPr>
          </w:p>
        </w:tc>
        <w:tc>
          <w:tcPr>
            <w:tcW w:w="780" w:type="dxa"/>
            <w:vAlign w:val="center"/>
          </w:tcPr>
          <w:p w14:paraId="79AA34C2" w14:textId="77777777" w:rsidR="001C32C8" w:rsidRPr="00B0658A" w:rsidRDefault="001C32C8" w:rsidP="00004A41">
            <w:pPr>
              <w:spacing w:after="0" w:line="240" w:lineRule="auto"/>
              <w:jc w:val="center"/>
              <w:rPr>
                <w:rFonts w:ascii="Times New Roman" w:hAnsi="Times New Roman"/>
                <w:sz w:val="18"/>
                <w:szCs w:val="18"/>
              </w:rPr>
            </w:pPr>
          </w:p>
        </w:tc>
        <w:tc>
          <w:tcPr>
            <w:tcW w:w="779" w:type="dxa"/>
            <w:vAlign w:val="center"/>
          </w:tcPr>
          <w:p w14:paraId="11B6E5AC" w14:textId="77777777" w:rsidR="001C32C8" w:rsidRPr="00B0658A" w:rsidRDefault="001C32C8" w:rsidP="00004A41">
            <w:pPr>
              <w:spacing w:after="0" w:line="240" w:lineRule="auto"/>
              <w:jc w:val="center"/>
              <w:rPr>
                <w:rFonts w:ascii="Times New Roman" w:hAnsi="Times New Roman"/>
                <w:sz w:val="18"/>
                <w:szCs w:val="18"/>
              </w:rPr>
            </w:pPr>
          </w:p>
        </w:tc>
        <w:tc>
          <w:tcPr>
            <w:tcW w:w="780" w:type="dxa"/>
            <w:vAlign w:val="center"/>
          </w:tcPr>
          <w:p w14:paraId="3095C03E" w14:textId="77777777" w:rsidR="001C32C8" w:rsidRPr="00B0658A" w:rsidRDefault="001C32C8" w:rsidP="00004A41">
            <w:pPr>
              <w:spacing w:after="0" w:line="240" w:lineRule="auto"/>
              <w:jc w:val="center"/>
              <w:rPr>
                <w:rFonts w:ascii="Times New Roman" w:hAnsi="Times New Roman"/>
                <w:sz w:val="18"/>
                <w:szCs w:val="18"/>
              </w:rPr>
            </w:pPr>
          </w:p>
        </w:tc>
        <w:tc>
          <w:tcPr>
            <w:tcW w:w="1475" w:type="dxa"/>
            <w:vAlign w:val="center"/>
          </w:tcPr>
          <w:p w14:paraId="7BFCCC4F" w14:textId="77777777" w:rsidR="001C32C8" w:rsidRPr="00B0658A" w:rsidRDefault="001C32C8" w:rsidP="00004A41">
            <w:pPr>
              <w:spacing w:after="0" w:line="240" w:lineRule="auto"/>
              <w:jc w:val="center"/>
              <w:rPr>
                <w:rFonts w:ascii="Times New Roman" w:hAnsi="Times New Roman"/>
                <w:sz w:val="18"/>
                <w:szCs w:val="18"/>
              </w:rPr>
            </w:pPr>
          </w:p>
        </w:tc>
      </w:tr>
      <w:tr w:rsidR="00F52FED" w:rsidRPr="00B0658A" w14:paraId="15C81E56" w14:textId="77777777" w:rsidTr="00E66BA4">
        <w:trPr>
          <w:trHeight w:val="20"/>
        </w:trPr>
        <w:tc>
          <w:tcPr>
            <w:tcW w:w="846" w:type="dxa"/>
            <w:shd w:val="clear" w:color="000000" w:fill="FFFFFF"/>
            <w:vAlign w:val="center"/>
          </w:tcPr>
          <w:p w14:paraId="5014BC11" w14:textId="77777777" w:rsidR="001C32C8" w:rsidRPr="00B0658A" w:rsidRDefault="001C32C8" w:rsidP="00004A41">
            <w:pPr>
              <w:spacing w:after="0" w:line="240" w:lineRule="auto"/>
              <w:jc w:val="center"/>
              <w:rPr>
                <w:rFonts w:ascii="Times New Roman" w:hAnsi="Times New Roman"/>
                <w:sz w:val="18"/>
                <w:szCs w:val="18"/>
              </w:rPr>
            </w:pPr>
            <w:r w:rsidRPr="00B0658A">
              <w:rPr>
                <w:rFonts w:ascii="Times New Roman" w:hAnsi="Times New Roman"/>
                <w:sz w:val="18"/>
                <w:szCs w:val="18"/>
              </w:rPr>
              <w:t>3.7</w:t>
            </w:r>
          </w:p>
        </w:tc>
        <w:tc>
          <w:tcPr>
            <w:tcW w:w="1559" w:type="dxa"/>
            <w:shd w:val="clear" w:color="auto" w:fill="auto"/>
            <w:vAlign w:val="center"/>
            <w:hideMark/>
          </w:tcPr>
          <w:p w14:paraId="467FA833" w14:textId="77777777" w:rsidR="001C32C8" w:rsidRPr="00B0658A" w:rsidRDefault="001C32C8" w:rsidP="00004A41">
            <w:pPr>
              <w:spacing w:after="0" w:line="240" w:lineRule="auto"/>
              <w:rPr>
                <w:rFonts w:ascii="Times New Roman" w:hAnsi="Times New Roman"/>
                <w:sz w:val="18"/>
                <w:szCs w:val="18"/>
              </w:rPr>
            </w:pPr>
            <w:r w:rsidRPr="00B0658A">
              <w:rPr>
                <w:rFonts w:ascii="Times New Roman" w:hAnsi="Times New Roman"/>
                <w:sz w:val="18"/>
                <w:szCs w:val="18"/>
              </w:rPr>
              <w:t>Средства обеспечения информационной безопасности/ Средства выявления целевых атак</w:t>
            </w:r>
          </w:p>
        </w:tc>
        <w:tc>
          <w:tcPr>
            <w:tcW w:w="1418" w:type="dxa"/>
            <w:shd w:val="clear" w:color="000000" w:fill="FFFFFF"/>
            <w:hideMark/>
          </w:tcPr>
          <w:p w14:paraId="2A648611" w14:textId="77777777" w:rsidR="001C32C8" w:rsidRPr="00B0658A" w:rsidRDefault="001C32C8" w:rsidP="00004A41">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44" w:type="dxa"/>
            <w:vAlign w:val="center"/>
          </w:tcPr>
          <w:p w14:paraId="6D781656"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auto" w:fill="auto"/>
            <w:vAlign w:val="center"/>
            <w:hideMark/>
          </w:tcPr>
          <w:p w14:paraId="32FDCB1E"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auto" w:fill="auto"/>
            <w:vAlign w:val="center"/>
            <w:hideMark/>
          </w:tcPr>
          <w:p w14:paraId="4D660AB3"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auto" w:fill="auto"/>
            <w:vAlign w:val="center"/>
            <w:hideMark/>
          </w:tcPr>
          <w:p w14:paraId="5EB555D5" w14:textId="77777777" w:rsidR="001C32C8" w:rsidRPr="00B0658A" w:rsidRDefault="001C32C8" w:rsidP="00004A41">
            <w:pPr>
              <w:spacing w:after="0" w:line="240" w:lineRule="auto"/>
              <w:jc w:val="center"/>
              <w:rPr>
                <w:rFonts w:ascii="Times New Roman" w:hAnsi="Times New Roman"/>
                <w:sz w:val="18"/>
                <w:szCs w:val="18"/>
              </w:rPr>
            </w:pPr>
          </w:p>
        </w:tc>
        <w:tc>
          <w:tcPr>
            <w:tcW w:w="993" w:type="dxa"/>
            <w:vAlign w:val="center"/>
          </w:tcPr>
          <w:p w14:paraId="6DAAC04A"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auto" w:fill="auto"/>
            <w:vAlign w:val="center"/>
            <w:hideMark/>
          </w:tcPr>
          <w:p w14:paraId="4A9FD703" w14:textId="77777777" w:rsidR="001C32C8" w:rsidRPr="00B0658A" w:rsidRDefault="001C32C8" w:rsidP="00004A41">
            <w:pPr>
              <w:spacing w:after="0" w:line="240" w:lineRule="auto"/>
              <w:jc w:val="center"/>
              <w:rPr>
                <w:rFonts w:ascii="Times New Roman" w:hAnsi="Times New Roman"/>
                <w:sz w:val="18"/>
                <w:szCs w:val="18"/>
              </w:rPr>
            </w:pPr>
          </w:p>
        </w:tc>
        <w:tc>
          <w:tcPr>
            <w:tcW w:w="780" w:type="dxa"/>
            <w:shd w:val="clear" w:color="auto" w:fill="auto"/>
            <w:vAlign w:val="center"/>
            <w:hideMark/>
          </w:tcPr>
          <w:p w14:paraId="710858F1"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auto" w:fill="auto"/>
            <w:vAlign w:val="center"/>
            <w:hideMark/>
          </w:tcPr>
          <w:p w14:paraId="684900FF" w14:textId="77777777" w:rsidR="001C32C8" w:rsidRPr="00B0658A" w:rsidRDefault="001C32C8" w:rsidP="00004A41">
            <w:pPr>
              <w:spacing w:after="0" w:line="240" w:lineRule="auto"/>
              <w:jc w:val="center"/>
              <w:rPr>
                <w:rFonts w:ascii="Times New Roman" w:hAnsi="Times New Roman"/>
                <w:sz w:val="18"/>
                <w:szCs w:val="18"/>
              </w:rPr>
            </w:pPr>
          </w:p>
        </w:tc>
        <w:tc>
          <w:tcPr>
            <w:tcW w:w="780" w:type="dxa"/>
            <w:vAlign w:val="center"/>
          </w:tcPr>
          <w:p w14:paraId="53B822C2" w14:textId="77777777" w:rsidR="001C32C8" w:rsidRPr="00B0658A" w:rsidRDefault="001C32C8" w:rsidP="00004A41">
            <w:pPr>
              <w:spacing w:after="0" w:line="240" w:lineRule="auto"/>
              <w:jc w:val="center"/>
              <w:rPr>
                <w:rFonts w:ascii="Times New Roman" w:hAnsi="Times New Roman"/>
                <w:sz w:val="18"/>
                <w:szCs w:val="18"/>
              </w:rPr>
            </w:pPr>
          </w:p>
        </w:tc>
        <w:tc>
          <w:tcPr>
            <w:tcW w:w="779" w:type="dxa"/>
            <w:vAlign w:val="center"/>
          </w:tcPr>
          <w:p w14:paraId="5A1A4A6F" w14:textId="77777777" w:rsidR="001C32C8" w:rsidRPr="00B0658A" w:rsidRDefault="001C32C8" w:rsidP="00004A41">
            <w:pPr>
              <w:spacing w:after="0" w:line="240" w:lineRule="auto"/>
              <w:jc w:val="center"/>
              <w:rPr>
                <w:rFonts w:ascii="Times New Roman" w:hAnsi="Times New Roman"/>
                <w:sz w:val="18"/>
                <w:szCs w:val="18"/>
              </w:rPr>
            </w:pPr>
          </w:p>
        </w:tc>
        <w:tc>
          <w:tcPr>
            <w:tcW w:w="780" w:type="dxa"/>
            <w:vAlign w:val="center"/>
          </w:tcPr>
          <w:p w14:paraId="3DA67BFC" w14:textId="77777777" w:rsidR="001C32C8" w:rsidRPr="00B0658A" w:rsidRDefault="001C32C8" w:rsidP="00004A41">
            <w:pPr>
              <w:spacing w:after="0" w:line="240" w:lineRule="auto"/>
              <w:jc w:val="center"/>
              <w:rPr>
                <w:rFonts w:ascii="Times New Roman" w:hAnsi="Times New Roman"/>
                <w:sz w:val="18"/>
                <w:szCs w:val="18"/>
              </w:rPr>
            </w:pPr>
          </w:p>
        </w:tc>
        <w:tc>
          <w:tcPr>
            <w:tcW w:w="1475" w:type="dxa"/>
            <w:vAlign w:val="center"/>
          </w:tcPr>
          <w:p w14:paraId="36EF4F75" w14:textId="77777777" w:rsidR="001C32C8" w:rsidRPr="00B0658A" w:rsidRDefault="001C32C8" w:rsidP="00004A41">
            <w:pPr>
              <w:spacing w:after="0" w:line="240" w:lineRule="auto"/>
              <w:jc w:val="center"/>
              <w:rPr>
                <w:rFonts w:ascii="Times New Roman" w:hAnsi="Times New Roman"/>
                <w:sz w:val="18"/>
                <w:szCs w:val="18"/>
              </w:rPr>
            </w:pPr>
          </w:p>
        </w:tc>
      </w:tr>
      <w:tr w:rsidR="00F52FED" w:rsidRPr="00B0658A" w14:paraId="325D8CE2" w14:textId="77777777" w:rsidTr="00E66BA4">
        <w:trPr>
          <w:trHeight w:val="20"/>
        </w:trPr>
        <w:tc>
          <w:tcPr>
            <w:tcW w:w="846" w:type="dxa"/>
            <w:shd w:val="clear" w:color="000000" w:fill="FFFFFF"/>
            <w:vAlign w:val="center"/>
          </w:tcPr>
          <w:p w14:paraId="3940931F" w14:textId="77777777" w:rsidR="001C32C8" w:rsidRPr="00B0658A" w:rsidRDefault="001C32C8" w:rsidP="00004A41">
            <w:pPr>
              <w:spacing w:after="0" w:line="240" w:lineRule="auto"/>
              <w:jc w:val="center"/>
              <w:rPr>
                <w:rFonts w:ascii="Times New Roman" w:hAnsi="Times New Roman"/>
                <w:sz w:val="18"/>
                <w:szCs w:val="18"/>
              </w:rPr>
            </w:pPr>
            <w:r w:rsidRPr="00B0658A">
              <w:rPr>
                <w:rFonts w:ascii="Times New Roman" w:hAnsi="Times New Roman"/>
                <w:sz w:val="18"/>
                <w:szCs w:val="18"/>
              </w:rPr>
              <w:t>3.8</w:t>
            </w:r>
          </w:p>
        </w:tc>
        <w:tc>
          <w:tcPr>
            <w:tcW w:w="1559" w:type="dxa"/>
            <w:shd w:val="clear" w:color="auto" w:fill="auto"/>
            <w:vAlign w:val="center"/>
            <w:hideMark/>
          </w:tcPr>
          <w:p w14:paraId="7D58E9D8" w14:textId="77777777" w:rsidR="001C32C8" w:rsidRPr="00B0658A" w:rsidRDefault="001C32C8" w:rsidP="00004A41">
            <w:pPr>
              <w:spacing w:after="0" w:line="240" w:lineRule="auto"/>
              <w:rPr>
                <w:rFonts w:ascii="Times New Roman" w:hAnsi="Times New Roman"/>
                <w:sz w:val="18"/>
                <w:szCs w:val="18"/>
              </w:rPr>
            </w:pPr>
            <w:r w:rsidRPr="00B0658A">
              <w:rPr>
                <w:rFonts w:ascii="Times New Roman" w:hAnsi="Times New Roman"/>
                <w:sz w:val="18"/>
                <w:szCs w:val="18"/>
              </w:rPr>
              <w:t>Средства обеспечения информационной безопасности/ Средства гарантированного уничтожения данных</w:t>
            </w:r>
          </w:p>
        </w:tc>
        <w:tc>
          <w:tcPr>
            <w:tcW w:w="1418" w:type="dxa"/>
            <w:shd w:val="clear" w:color="000000" w:fill="FFFFFF"/>
            <w:hideMark/>
          </w:tcPr>
          <w:p w14:paraId="570FFEA6" w14:textId="77777777" w:rsidR="001C32C8" w:rsidRPr="00B0658A" w:rsidRDefault="001C32C8" w:rsidP="00004A41">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44" w:type="dxa"/>
            <w:vAlign w:val="center"/>
          </w:tcPr>
          <w:p w14:paraId="1BA917D3"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auto" w:fill="auto"/>
            <w:vAlign w:val="center"/>
            <w:hideMark/>
          </w:tcPr>
          <w:p w14:paraId="4103B43F"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auto" w:fill="auto"/>
            <w:vAlign w:val="center"/>
            <w:hideMark/>
          </w:tcPr>
          <w:p w14:paraId="4626B060"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auto" w:fill="auto"/>
            <w:vAlign w:val="center"/>
            <w:hideMark/>
          </w:tcPr>
          <w:p w14:paraId="55492465" w14:textId="77777777" w:rsidR="001C32C8" w:rsidRPr="00B0658A" w:rsidRDefault="001C32C8" w:rsidP="00004A41">
            <w:pPr>
              <w:spacing w:after="0" w:line="240" w:lineRule="auto"/>
              <w:jc w:val="center"/>
              <w:rPr>
                <w:rFonts w:ascii="Times New Roman" w:hAnsi="Times New Roman"/>
                <w:sz w:val="18"/>
                <w:szCs w:val="18"/>
              </w:rPr>
            </w:pPr>
          </w:p>
        </w:tc>
        <w:tc>
          <w:tcPr>
            <w:tcW w:w="993" w:type="dxa"/>
            <w:vAlign w:val="center"/>
          </w:tcPr>
          <w:p w14:paraId="72062881"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auto" w:fill="auto"/>
            <w:vAlign w:val="center"/>
            <w:hideMark/>
          </w:tcPr>
          <w:p w14:paraId="714CD9B1" w14:textId="77777777" w:rsidR="001C32C8" w:rsidRPr="00B0658A" w:rsidRDefault="001C32C8" w:rsidP="00004A41">
            <w:pPr>
              <w:spacing w:after="0" w:line="240" w:lineRule="auto"/>
              <w:jc w:val="center"/>
              <w:rPr>
                <w:rFonts w:ascii="Times New Roman" w:hAnsi="Times New Roman"/>
                <w:sz w:val="18"/>
                <w:szCs w:val="18"/>
              </w:rPr>
            </w:pPr>
          </w:p>
        </w:tc>
        <w:tc>
          <w:tcPr>
            <w:tcW w:w="780" w:type="dxa"/>
            <w:shd w:val="clear" w:color="auto" w:fill="auto"/>
            <w:vAlign w:val="center"/>
            <w:hideMark/>
          </w:tcPr>
          <w:p w14:paraId="2C484CD2"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auto" w:fill="auto"/>
            <w:vAlign w:val="center"/>
            <w:hideMark/>
          </w:tcPr>
          <w:p w14:paraId="6CB7CEF5" w14:textId="77777777" w:rsidR="001C32C8" w:rsidRPr="00B0658A" w:rsidRDefault="001C32C8" w:rsidP="00004A41">
            <w:pPr>
              <w:spacing w:after="0" w:line="240" w:lineRule="auto"/>
              <w:jc w:val="center"/>
              <w:rPr>
                <w:rFonts w:ascii="Times New Roman" w:hAnsi="Times New Roman"/>
                <w:sz w:val="18"/>
                <w:szCs w:val="18"/>
              </w:rPr>
            </w:pPr>
          </w:p>
        </w:tc>
        <w:tc>
          <w:tcPr>
            <w:tcW w:w="780" w:type="dxa"/>
            <w:vAlign w:val="center"/>
          </w:tcPr>
          <w:p w14:paraId="628B6F75" w14:textId="77777777" w:rsidR="001C32C8" w:rsidRPr="00B0658A" w:rsidRDefault="001C32C8" w:rsidP="00004A41">
            <w:pPr>
              <w:spacing w:after="0" w:line="240" w:lineRule="auto"/>
              <w:jc w:val="center"/>
              <w:rPr>
                <w:rFonts w:ascii="Times New Roman" w:hAnsi="Times New Roman"/>
                <w:sz w:val="18"/>
                <w:szCs w:val="18"/>
              </w:rPr>
            </w:pPr>
          </w:p>
        </w:tc>
        <w:tc>
          <w:tcPr>
            <w:tcW w:w="779" w:type="dxa"/>
            <w:vAlign w:val="center"/>
          </w:tcPr>
          <w:p w14:paraId="1A3FCF6C" w14:textId="77777777" w:rsidR="001C32C8" w:rsidRPr="00B0658A" w:rsidRDefault="001C32C8" w:rsidP="00004A41">
            <w:pPr>
              <w:spacing w:after="0" w:line="240" w:lineRule="auto"/>
              <w:jc w:val="center"/>
              <w:rPr>
                <w:rFonts w:ascii="Times New Roman" w:hAnsi="Times New Roman"/>
                <w:sz w:val="18"/>
                <w:szCs w:val="18"/>
              </w:rPr>
            </w:pPr>
          </w:p>
        </w:tc>
        <w:tc>
          <w:tcPr>
            <w:tcW w:w="780" w:type="dxa"/>
            <w:vAlign w:val="center"/>
          </w:tcPr>
          <w:p w14:paraId="1D0515A3" w14:textId="77777777" w:rsidR="001C32C8" w:rsidRPr="00B0658A" w:rsidRDefault="001C32C8" w:rsidP="00004A41">
            <w:pPr>
              <w:spacing w:after="0" w:line="240" w:lineRule="auto"/>
              <w:jc w:val="center"/>
              <w:rPr>
                <w:rFonts w:ascii="Times New Roman" w:hAnsi="Times New Roman"/>
                <w:sz w:val="18"/>
                <w:szCs w:val="18"/>
              </w:rPr>
            </w:pPr>
          </w:p>
        </w:tc>
        <w:tc>
          <w:tcPr>
            <w:tcW w:w="1475" w:type="dxa"/>
            <w:vAlign w:val="center"/>
          </w:tcPr>
          <w:p w14:paraId="671BD8EB" w14:textId="77777777" w:rsidR="001C32C8" w:rsidRPr="00B0658A" w:rsidRDefault="001C32C8" w:rsidP="00004A41">
            <w:pPr>
              <w:spacing w:after="0" w:line="240" w:lineRule="auto"/>
              <w:jc w:val="center"/>
              <w:rPr>
                <w:rFonts w:ascii="Times New Roman" w:hAnsi="Times New Roman"/>
                <w:sz w:val="18"/>
                <w:szCs w:val="18"/>
              </w:rPr>
            </w:pPr>
          </w:p>
        </w:tc>
      </w:tr>
      <w:tr w:rsidR="00F52FED" w:rsidRPr="00B0658A" w14:paraId="7C321ADB" w14:textId="77777777" w:rsidTr="00E66BA4">
        <w:trPr>
          <w:trHeight w:val="20"/>
        </w:trPr>
        <w:tc>
          <w:tcPr>
            <w:tcW w:w="846" w:type="dxa"/>
            <w:shd w:val="clear" w:color="000000" w:fill="FFFFFF"/>
            <w:vAlign w:val="center"/>
          </w:tcPr>
          <w:p w14:paraId="49F287F4" w14:textId="77777777" w:rsidR="001C32C8" w:rsidRPr="00B0658A" w:rsidRDefault="001C32C8" w:rsidP="00004A41">
            <w:pPr>
              <w:spacing w:after="0" w:line="240" w:lineRule="auto"/>
              <w:jc w:val="center"/>
              <w:rPr>
                <w:rFonts w:ascii="Times New Roman" w:hAnsi="Times New Roman"/>
                <w:sz w:val="18"/>
                <w:szCs w:val="18"/>
              </w:rPr>
            </w:pPr>
            <w:r w:rsidRPr="00B0658A">
              <w:rPr>
                <w:rFonts w:ascii="Times New Roman" w:hAnsi="Times New Roman"/>
                <w:sz w:val="18"/>
                <w:szCs w:val="18"/>
              </w:rPr>
              <w:t>3.9</w:t>
            </w:r>
          </w:p>
        </w:tc>
        <w:tc>
          <w:tcPr>
            <w:tcW w:w="1559" w:type="dxa"/>
            <w:shd w:val="clear" w:color="auto" w:fill="auto"/>
            <w:vAlign w:val="center"/>
            <w:hideMark/>
          </w:tcPr>
          <w:p w14:paraId="78566AE9" w14:textId="77777777" w:rsidR="001C32C8" w:rsidRPr="00B0658A" w:rsidRDefault="001C32C8" w:rsidP="00004A41">
            <w:pPr>
              <w:spacing w:after="0" w:line="240" w:lineRule="auto"/>
              <w:rPr>
                <w:rFonts w:ascii="Times New Roman" w:hAnsi="Times New Roman"/>
                <w:sz w:val="18"/>
                <w:szCs w:val="18"/>
              </w:rPr>
            </w:pPr>
            <w:r w:rsidRPr="00B0658A">
              <w:rPr>
                <w:rFonts w:ascii="Times New Roman" w:hAnsi="Times New Roman"/>
                <w:sz w:val="18"/>
                <w:szCs w:val="18"/>
              </w:rPr>
              <w:t>Средства обеспечения информационной безопасности/ Средства обнаружения и предотвращения утечек информации</w:t>
            </w:r>
          </w:p>
        </w:tc>
        <w:tc>
          <w:tcPr>
            <w:tcW w:w="1418" w:type="dxa"/>
            <w:shd w:val="clear" w:color="000000" w:fill="FFFFFF"/>
            <w:hideMark/>
          </w:tcPr>
          <w:p w14:paraId="26507398" w14:textId="77777777" w:rsidR="001C32C8" w:rsidRPr="00B0658A" w:rsidRDefault="001C32C8" w:rsidP="00004A41">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44" w:type="dxa"/>
            <w:vAlign w:val="center"/>
          </w:tcPr>
          <w:p w14:paraId="776F46F0"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auto" w:fill="auto"/>
            <w:vAlign w:val="center"/>
            <w:hideMark/>
          </w:tcPr>
          <w:p w14:paraId="0301524A"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auto" w:fill="auto"/>
            <w:vAlign w:val="center"/>
            <w:hideMark/>
          </w:tcPr>
          <w:p w14:paraId="64BE7FFA"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auto" w:fill="auto"/>
            <w:vAlign w:val="center"/>
            <w:hideMark/>
          </w:tcPr>
          <w:p w14:paraId="7B408245" w14:textId="77777777" w:rsidR="001C32C8" w:rsidRPr="00B0658A" w:rsidRDefault="001C32C8" w:rsidP="00004A41">
            <w:pPr>
              <w:spacing w:after="0" w:line="240" w:lineRule="auto"/>
              <w:jc w:val="center"/>
              <w:rPr>
                <w:rFonts w:ascii="Times New Roman" w:hAnsi="Times New Roman"/>
                <w:sz w:val="18"/>
                <w:szCs w:val="18"/>
              </w:rPr>
            </w:pPr>
          </w:p>
        </w:tc>
        <w:tc>
          <w:tcPr>
            <w:tcW w:w="993" w:type="dxa"/>
            <w:vAlign w:val="center"/>
          </w:tcPr>
          <w:p w14:paraId="74D289D9"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auto" w:fill="auto"/>
            <w:vAlign w:val="center"/>
            <w:hideMark/>
          </w:tcPr>
          <w:p w14:paraId="4BFF428B" w14:textId="77777777" w:rsidR="001C32C8" w:rsidRPr="00B0658A" w:rsidRDefault="001C32C8" w:rsidP="00004A41">
            <w:pPr>
              <w:spacing w:after="0" w:line="240" w:lineRule="auto"/>
              <w:jc w:val="center"/>
              <w:rPr>
                <w:rFonts w:ascii="Times New Roman" w:hAnsi="Times New Roman"/>
                <w:sz w:val="18"/>
                <w:szCs w:val="18"/>
              </w:rPr>
            </w:pPr>
          </w:p>
        </w:tc>
        <w:tc>
          <w:tcPr>
            <w:tcW w:w="780" w:type="dxa"/>
            <w:shd w:val="clear" w:color="auto" w:fill="auto"/>
            <w:vAlign w:val="center"/>
            <w:hideMark/>
          </w:tcPr>
          <w:p w14:paraId="1AA899F4"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auto" w:fill="auto"/>
            <w:vAlign w:val="center"/>
            <w:hideMark/>
          </w:tcPr>
          <w:p w14:paraId="5126D5BE" w14:textId="77777777" w:rsidR="001C32C8" w:rsidRPr="00B0658A" w:rsidRDefault="001C32C8" w:rsidP="00004A41">
            <w:pPr>
              <w:spacing w:after="0" w:line="240" w:lineRule="auto"/>
              <w:jc w:val="center"/>
              <w:rPr>
                <w:rFonts w:ascii="Times New Roman" w:hAnsi="Times New Roman"/>
                <w:sz w:val="18"/>
                <w:szCs w:val="18"/>
              </w:rPr>
            </w:pPr>
          </w:p>
        </w:tc>
        <w:tc>
          <w:tcPr>
            <w:tcW w:w="780" w:type="dxa"/>
            <w:vAlign w:val="center"/>
          </w:tcPr>
          <w:p w14:paraId="59E2CB64" w14:textId="77777777" w:rsidR="001C32C8" w:rsidRPr="00B0658A" w:rsidRDefault="001C32C8" w:rsidP="00004A41">
            <w:pPr>
              <w:spacing w:after="0" w:line="240" w:lineRule="auto"/>
              <w:jc w:val="center"/>
              <w:rPr>
                <w:rFonts w:ascii="Times New Roman" w:hAnsi="Times New Roman"/>
                <w:sz w:val="18"/>
                <w:szCs w:val="18"/>
              </w:rPr>
            </w:pPr>
          </w:p>
        </w:tc>
        <w:tc>
          <w:tcPr>
            <w:tcW w:w="779" w:type="dxa"/>
            <w:vAlign w:val="center"/>
          </w:tcPr>
          <w:p w14:paraId="6CA18E59" w14:textId="77777777" w:rsidR="001C32C8" w:rsidRPr="00B0658A" w:rsidRDefault="001C32C8" w:rsidP="00004A41">
            <w:pPr>
              <w:spacing w:after="0" w:line="240" w:lineRule="auto"/>
              <w:jc w:val="center"/>
              <w:rPr>
                <w:rFonts w:ascii="Times New Roman" w:hAnsi="Times New Roman"/>
                <w:sz w:val="18"/>
                <w:szCs w:val="18"/>
              </w:rPr>
            </w:pPr>
          </w:p>
        </w:tc>
        <w:tc>
          <w:tcPr>
            <w:tcW w:w="780" w:type="dxa"/>
            <w:vAlign w:val="center"/>
          </w:tcPr>
          <w:p w14:paraId="0CDED011" w14:textId="77777777" w:rsidR="001C32C8" w:rsidRPr="00B0658A" w:rsidRDefault="001C32C8" w:rsidP="00004A41">
            <w:pPr>
              <w:spacing w:after="0" w:line="240" w:lineRule="auto"/>
              <w:jc w:val="center"/>
              <w:rPr>
                <w:rFonts w:ascii="Times New Roman" w:hAnsi="Times New Roman"/>
                <w:sz w:val="18"/>
                <w:szCs w:val="18"/>
              </w:rPr>
            </w:pPr>
          </w:p>
        </w:tc>
        <w:tc>
          <w:tcPr>
            <w:tcW w:w="1475" w:type="dxa"/>
            <w:vAlign w:val="center"/>
          </w:tcPr>
          <w:p w14:paraId="5AE0C6A9" w14:textId="77777777" w:rsidR="001C32C8" w:rsidRPr="00B0658A" w:rsidRDefault="001C32C8" w:rsidP="00004A41">
            <w:pPr>
              <w:spacing w:after="0" w:line="240" w:lineRule="auto"/>
              <w:jc w:val="center"/>
              <w:rPr>
                <w:rFonts w:ascii="Times New Roman" w:hAnsi="Times New Roman"/>
                <w:sz w:val="18"/>
                <w:szCs w:val="18"/>
              </w:rPr>
            </w:pPr>
          </w:p>
        </w:tc>
      </w:tr>
      <w:tr w:rsidR="00F52FED" w:rsidRPr="00B0658A" w14:paraId="7ADB5524" w14:textId="77777777" w:rsidTr="00E66BA4">
        <w:trPr>
          <w:trHeight w:val="20"/>
        </w:trPr>
        <w:tc>
          <w:tcPr>
            <w:tcW w:w="846" w:type="dxa"/>
            <w:shd w:val="clear" w:color="000000" w:fill="FFFFFF"/>
            <w:vAlign w:val="center"/>
          </w:tcPr>
          <w:p w14:paraId="293D3F1E" w14:textId="77777777" w:rsidR="001C32C8" w:rsidRPr="00B0658A" w:rsidRDefault="001C32C8" w:rsidP="00004A41">
            <w:pPr>
              <w:spacing w:after="0" w:line="240" w:lineRule="auto"/>
              <w:jc w:val="center"/>
              <w:rPr>
                <w:rFonts w:ascii="Times New Roman" w:hAnsi="Times New Roman"/>
                <w:sz w:val="18"/>
                <w:szCs w:val="18"/>
              </w:rPr>
            </w:pPr>
            <w:r w:rsidRPr="00B0658A">
              <w:rPr>
                <w:rFonts w:ascii="Times New Roman" w:hAnsi="Times New Roman"/>
                <w:sz w:val="18"/>
                <w:szCs w:val="18"/>
              </w:rPr>
              <w:t>3.10</w:t>
            </w:r>
          </w:p>
        </w:tc>
        <w:tc>
          <w:tcPr>
            <w:tcW w:w="1559" w:type="dxa"/>
            <w:shd w:val="clear" w:color="auto" w:fill="auto"/>
            <w:vAlign w:val="center"/>
            <w:hideMark/>
          </w:tcPr>
          <w:p w14:paraId="2DAB299B" w14:textId="77777777" w:rsidR="001C32C8" w:rsidRPr="00B0658A" w:rsidRDefault="001C32C8" w:rsidP="00004A41">
            <w:pPr>
              <w:spacing w:after="0" w:line="240" w:lineRule="auto"/>
              <w:rPr>
                <w:rFonts w:ascii="Times New Roman" w:hAnsi="Times New Roman"/>
                <w:sz w:val="18"/>
                <w:szCs w:val="18"/>
              </w:rPr>
            </w:pPr>
            <w:r w:rsidRPr="00B0658A">
              <w:rPr>
                <w:rFonts w:ascii="Times New Roman" w:hAnsi="Times New Roman"/>
                <w:sz w:val="18"/>
                <w:szCs w:val="18"/>
              </w:rPr>
              <w:t xml:space="preserve">Средства обеспечения информационной </w:t>
            </w:r>
            <w:r w:rsidRPr="00B0658A">
              <w:rPr>
                <w:rFonts w:ascii="Times New Roman" w:hAnsi="Times New Roman"/>
                <w:sz w:val="18"/>
                <w:szCs w:val="18"/>
              </w:rPr>
              <w:lastRenderedPageBreak/>
              <w:t>безопасности/ Средства криптографической защиты информации и электронной подписи</w:t>
            </w:r>
          </w:p>
        </w:tc>
        <w:tc>
          <w:tcPr>
            <w:tcW w:w="1418" w:type="dxa"/>
            <w:shd w:val="clear" w:color="000000" w:fill="FFFFFF"/>
            <w:hideMark/>
          </w:tcPr>
          <w:p w14:paraId="1A67F2A2" w14:textId="77777777" w:rsidR="001C32C8" w:rsidRPr="00B0658A" w:rsidRDefault="001C32C8" w:rsidP="00004A41">
            <w:pPr>
              <w:spacing w:after="0" w:line="240" w:lineRule="auto"/>
              <w:rPr>
                <w:rFonts w:ascii="Times New Roman" w:hAnsi="Times New Roman"/>
                <w:sz w:val="18"/>
                <w:szCs w:val="18"/>
              </w:rPr>
            </w:pPr>
            <w:r w:rsidRPr="00B0658A">
              <w:rPr>
                <w:rFonts w:ascii="Times New Roman" w:hAnsi="Times New Roman"/>
                <w:sz w:val="18"/>
                <w:szCs w:val="18"/>
              </w:rPr>
              <w:lastRenderedPageBreak/>
              <w:t xml:space="preserve">Доля используемого российского ПО </w:t>
            </w:r>
            <w:r w:rsidRPr="00B0658A">
              <w:rPr>
                <w:rFonts w:ascii="Times New Roman" w:hAnsi="Times New Roman"/>
                <w:sz w:val="18"/>
                <w:szCs w:val="18"/>
              </w:rPr>
              <w:lastRenderedPageBreak/>
              <w:t>в общем объёме, используемого ПО, %</w:t>
            </w:r>
          </w:p>
        </w:tc>
        <w:tc>
          <w:tcPr>
            <w:tcW w:w="744" w:type="dxa"/>
            <w:vAlign w:val="center"/>
          </w:tcPr>
          <w:p w14:paraId="20D3E3BB"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auto" w:fill="auto"/>
            <w:vAlign w:val="center"/>
            <w:hideMark/>
          </w:tcPr>
          <w:p w14:paraId="7BD43D38"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auto" w:fill="auto"/>
            <w:vAlign w:val="center"/>
            <w:hideMark/>
          </w:tcPr>
          <w:p w14:paraId="183D87B4"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auto" w:fill="auto"/>
            <w:vAlign w:val="center"/>
            <w:hideMark/>
          </w:tcPr>
          <w:p w14:paraId="0B8BCFB2" w14:textId="77777777" w:rsidR="001C32C8" w:rsidRPr="00B0658A" w:rsidRDefault="001C32C8" w:rsidP="00004A41">
            <w:pPr>
              <w:spacing w:after="0" w:line="240" w:lineRule="auto"/>
              <w:jc w:val="center"/>
              <w:rPr>
                <w:rFonts w:ascii="Times New Roman" w:hAnsi="Times New Roman"/>
                <w:sz w:val="18"/>
                <w:szCs w:val="18"/>
              </w:rPr>
            </w:pPr>
          </w:p>
        </w:tc>
        <w:tc>
          <w:tcPr>
            <w:tcW w:w="993" w:type="dxa"/>
            <w:vAlign w:val="center"/>
          </w:tcPr>
          <w:p w14:paraId="0DABA833"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auto" w:fill="auto"/>
            <w:vAlign w:val="center"/>
            <w:hideMark/>
          </w:tcPr>
          <w:p w14:paraId="0D60596A" w14:textId="77777777" w:rsidR="001C32C8" w:rsidRPr="00B0658A" w:rsidRDefault="001C32C8" w:rsidP="00004A41">
            <w:pPr>
              <w:spacing w:after="0" w:line="240" w:lineRule="auto"/>
              <w:jc w:val="center"/>
              <w:rPr>
                <w:rFonts w:ascii="Times New Roman" w:hAnsi="Times New Roman"/>
                <w:sz w:val="18"/>
                <w:szCs w:val="18"/>
              </w:rPr>
            </w:pPr>
          </w:p>
        </w:tc>
        <w:tc>
          <w:tcPr>
            <w:tcW w:w="780" w:type="dxa"/>
            <w:shd w:val="clear" w:color="auto" w:fill="auto"/>
            <w:vAlign w:val="center"/>
            <w:hideMark/>
          </w:tcPr>
          <w:p w14:paraId="4452E36A"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auto" w:fill="auto"/>
            <w:vAlign w:val="center"/>
            <w:hideMark/>
          </w:tcPr>
          <w:p w14:paraId="3AEB4448" w14:textId="77777777" w:rsidR="001C32C8" w:rsidRPr="00B0658A" w:rsidRDefault="001C32C8" w:rsidP="00004A41">
            <w:pPr>
              <w:spacing w:after="0" w:line="240" w:lineRule="auto"/>
              <w:jc w:val="center"/>
              <w:rPr>
                <w:rFonts w:ascii="Times New Roman" w:hAnsi="Times New Roman"/>
                <w:sz w:val="18"/>
                <w:szCs w:val="18"/>
              </w:rPr>
            </w:pPr>
          </w:p>
        </w:tc>
        <w:tc>
          <w:tcPr>
            <w:tcW w:w="780" w:type="dxa"/>
            <w:vAlign w:val="center"/>
          </w:tcPr>
          <w:p w14:paraId="6EA751C6" w14:textId="77777777" w:rsidR="001C32C8" w:rsidRPr="00B0658A" w:rsidRDefault="001C32C8" w:rsidP="00004A41">
            <w:pPr>
              <w:spacing w:after="0" w:line="240" w:lineRule="auto"/>
              <w:jc w:val="center"/>
              <w:rPr>
                <w:rFonts w:ascii="Times New Roman" w:hAnsi="Times New Roman"/>
                <w:sz w:val="18"/>
                <w:szCs w:val="18"/>
              </w:rPr>
            </w:pPr>
          </w:p>
        </w:tc>
        <w:tc>
          <w:tcPr>
            <w:tcW w:w="779" w:type="dxa"/>
            <w:vAlign w:val="center"/>
          </w:tcPr>
          <w:p w14:paraId="23F90E0B" w14:textId="77777777" w:rsidR="001C32C8" w:rsidRPr="00B0658A" w:rsidRDefault="001C32C8" w:rsidP="00004A41">
            <w:pPr>
              <w:spacing w:after="0" w:line="240" w:lineRule="auto"/>
              <w:jc w:val="center"/>
              <w:rPr>
                <w:rFonts w:ascii="Times New Roman" w:hAnsi="Times New Roman"/>
                <w:sz w:val="18"/>
                <w:szCs w:val="18"/>
              </w:rPr>
            </w:pPr>
          </w:p>
        </w:tc>
        <w:tc>
          <w:tcPr>
            <w:tcW w:w="780" w:type="dxa"/>
            <w:vAlign w:val="center"/>
          </w:tcPr>
          <w:p w14:paraId="249C923E" w14:textId="77777777" w:rsidR="001C32C8" w:rsidRPr="00B0658A" w:rsidRDefault="001C32C8" w:rsidP="00004A41">
            <w:pPr>
              <w:spacing w:after="0" w:line="240" w:lineRule="auto"/>
              <w:jc w:val="center"/>
              <w:rPr>
                <w:rFonts w:ascii="Times New Roman" w:hAnsi="Times New Roman"/>
                <w:sz w:val="18"/>
                <w:szCs w:val="18"/>
              </w:rPr>
            </w:pPr>
          </w:p>
        </w:tc>
        <w:tc>
          <w:tcPr>
            <w:tcW w:w="1475" w:type="dxa"/>
            <w:vAlign w:val="center"/>
          </w:tcPr>
          <w:p w14:paraId="25A30AA0" w14:textId="77777777" w:rsidR="001C32C8" w:rsidRPr="00B0658A" w:rsidRDefault="001C32C8" w:rsidP="00004A41">
            <w:pPr>
              <w:spacing w:after="0" w:line="240" w:lineRule="auto"/>
              <w:jc w:val="center"/>
              <w:rPr>
                <w:rFonts w:ascii="Times New Roman" w:hAnsi="Times New Roman"/>
                <w:sz w:val="18"/>
                <w:szCs w:val="18"/>
              </w:rPr>
            </w:pPr>
          </w:p>
        </w:tc>
      </w:tr>
      <w:tr w:rsidR="00F52FED" w:rsidRPr="00B0658A" w14:paraId="38586853" w14:textId="77777777" w:rsidTr="00E66BA4">
        <w:trPr>
          <w:trHeight w:val="20"/>
        </w:trPr>
        <w:tc>
          <w:tcPr>
            <w:tcW w:w="846" w:type="dxa"/>
            <w:shd w:val="clear" w:color="000000" w:fill="FFFFFF"/>
            <w:vAlign w:val="center"/>
          </w:tcPr>
          <w:p w14:paraId="4B5E4F0C" w14:textId="77777777" w:rsidR="001C32C8" w:rsidRPr="00B0658A" w:rsidRDefault="001C32C8" w:rsidP="00004A41">
            <w:pPr>
              <w:spacing w:after="0" w:line="240" w:lineRule="auto"/>
              <w:jc w:val="center"/>
              <w:rPr>
                <w:rFonts w:ascii="Times New Roman" w:hAnsi="Times New Roman"/>
                <w:sz w:val="18"/>
                <w:szCs w:val="18"/>
              </w:rPr>
            </w:pPr>
            <w:r w:rsidRPr="00B0658A">
              <w:rPr>
                <w:rFonts w:ascii="Times New Roman" w:hAnsi="Times New Roman"/>
                <w:sz w:val="18"/>
                <w:szCs w:val="18"/>
              </w:rPr>
              <w:t>3.11</w:t>
            </w:r>
          </w:p>
        </w:tc>
        <w:tc>
          <w:tcPr>
            <w:tcW w:w="1559" w:type="dxa"/>
            <w:shd w:val="clear" w:color="auto" w:fill="auto"/>
            <w:vAlign w:val="center"/>
            <w:hideMark/>
          </w:tcPr>
          <w:p w14:paraId="7C0B5AB2" w14:textId="77777777" w:rsidR="001C32C8" w:rsidRPr="00B0658A" w:rsidRDefault="001C32C8" w:rsidP="00004A41">
            <w:pPr>
              <w:spacing w:after="0" w:line="240" w:lineRule="auto"/>
              <w:rPr>
                <w:rFonts w:ascii="Times New Roman" w:hAnsi="Times New Roman"/>
                <w:sz w:val="18"/>
                <w:szCs w:val="18"/>
              </w:rPr>
            </w:pPr>
            <w:r w:rsidRPr="00B0658A">
              <w:rPr>
                <w:rFonts w:ascii="Times New Roman" w:hAnsi="Times New Roman"/>
                <w:sz w:val="18"/>
                <w:szCs w:val="18"/>
              </w:rPr>
              <w:t>Средства обеспечения информационной безопасности/ Средства защиты каналов передачи данных, в том числе криптографическими методами</w:t>
            </w:r>
          </w:p>
        </w:tc>
        <w:tc>
          <w:tcPr>
            <w:tcW w:w="1418" w:type="dxa"/>
            <w:shd w:val="clear" w:color="000000" w:fill="FFFFFF"/>
            <w:hideMark/>
          </w:tcPr>
          <w:p w14:paraId="5AA3489D" w14:textId="77777777" w:rsidR="001C32C8" w:rsidRPr="00B0658A" w:rsidRDefault="001C32C8" w:rsidP="00004A41">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44" w:type="dxa"/>
            <w:vAlign w:val="center"/>
          </w:tcPr>
          <w:p w14:paraId="452582E1"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auto" w:fill="auto"/>
            <w:vAlign w:val="center"/>
            <w:hideMark/>
          </w:tcPr>
          <w:p w14:paraId="4B1AD564"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auto" w:fill="auto"/>
            <w:vAlign w:val="center"/>
            <w:hideMark/>
          </w:tcPr>
          <w:p w14:paraId="5F794D7F"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auto" w:fill="auto"/>
            <w:vAlign w:val="center"/>
            <w:hideMark/>
          </w:tcPr>
          <w:p w14:paraId="4B9ED7C1" w14:textId="77777777" w:rsidR="001C32C8" w:rsidRPr="00B0658A" w:rsidRDefault="001C32C8" w:rsidP="00004A41">
            <w:pPr>
              <w:spacing w:after="0" w:line="240" w:lineRule="auto"/>
              <w:jc w:val="center"/>
              <w:rPr>
                <w:rFonts w:ascii="Times New Roman" w:hAnsi="Times New Roman"/>
                <w:sz w:val="18"/>
                <w:szCs w:val="18"/>
              </w:rPr>
            </w:pPr>
          </w:p>
        </w:tc>
        <w:tc>
          <w:tcPr>
            <w:tcW w:w="993" w:type="dxa"/>
            <w:vAlign w:val="center"/>
          </w:tcPr>
          <w:p w14:paraId="27C7E00E"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auto" w:fill="auto"/>
            <w:vAlign w:val="center"/>
            <w:hideMark/>
          </w:tcPr>
          <w:p w14:paraId="39EB43DD" w14:textId="77777777" w:rsidR="001C32C8" w:rsidRPr="00B0658A" w:rsidRDefault="001C32C8" w:rsidP="00004A41">
            <w:pPr>
              <w:spacing w:after="0" w:line="240" w:lineRule="auto"/>
              <w:jc w:val="center"/>
              <w:rPr>
                <w:rFonts w:ascii="Times New Roman" w:hAnsi="Times New Roman"/>
                <w:sz w:val="18"/>
                <w:szCs w:val="18"/>
              </w:rPr>
            </w:pPr>
          </w:p>
        </w:tc>
        <w:tc>
          <w:tcPr>
            <w:tcW w:w="780" w:type="dxa"/>
            <w:shd w:val="clear" w:color="auto" w:fill="auto"/>
            <w:vAlign w:val="center"/>
            <w:hideMark/>
          </w:tcPr>
          <w:p w14:paraId="119759C4"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auto" w:fill="auto"/>
            <w:vAlign w:val="center"/>
            <w:hideMark/>
          </w:tcPr>
          <w:p w14:paraId="765B7DEE" w14:textId="77777777" w:rsidR="001C32C8" w:rsidRPr="00B0658A" w:rsidRDefault="001C32C8" w:rsidP="00004A41">
            <w:pPr>
              <w:spacing w:after="0" w:line="240" w:lineRule="auto"/>
              <w:jc w:val="center"/>
              <w:rPr>
                <w:rFonts w:ascii="Times New Roman" w:hAnsi="Times New Roman"/>
                <w:sz w:val="18"/>
                <w:szCs w:val="18"/>
              </w:rPr>
            </w:pPr>
          </w:p>
        </w:tc>
        <w:tc>
          <w:tcPr>
            <w:tcW w:w="780" w:type="dxa"/>
            <w:vAlign w:val="center"/>
          </w:tcPr>
          <w:p w14:paraId="2EFB0979" w14:textId="77777777" w:rsidR="001C32C8" w:rsidRPr="00B0658A" w:rsidRDefault="001C32C8" w:rsidP="00004A41">
            <w:pPr>
              <w:spacing w:after="0" w:line="240" w:lineRule="auto"/>
              <w:jc w:val="center"/>
              <w:rPr>
                <w:rFonts w:ascii="Times New Roman" w:hAnsi="Times New Roman"/>
                <w:sz w:val="18"/>
                <w:szCs w:val="18"/>
              </w:rPr>
            </w:pPr>
          </w:p>
        </w:tc>
        <w:tc>
          <w:tcPr>
            <w:tcW w:w="779" w:type="dxa"/>
            <w:vAlign w:val="center"/>
          </w:tcPr>
          <w:p w14:paraId="6FA74417" w14:textId="77777777" w:rsidR="001C32C8" w:rsidRPr="00B0658A" w:rsidRDefault="001C32C8" w:rsidP="00004A41">
            <w:pPr>
              <w:spacing w:after="0" w:line="240" w:lineRule="auto"/>
              <w:jc w:val="center"/>
              <w:rPr>
                <w:rFonts w:ascii="Times New Roman" w:hAnsi="Times New Roman"/>
                <w:sz w:val="18"/>
                <w:szCs w:val="18"/>
              </w:rPr>
            </w:pPr>
          </w:p>
        </w:tc>
        <w:tc>
          <w:tcPr>
            <w:tcW w:w="780" w:type="dxa"/>
            <w:vAlign w:val="center"/>
          </w:tcPr>
          <w:p w14:paraId="7EEC1E16" w14:textId="77777777" w:rsidR="001C32C8" w:rsidRPr="00B0658A" w:rsidRDefault="001C32C8" w:rsidP="00004A41">
            <w:pPr>
              <w:spacing w:after="0" w:line="240" w:lineRule="auto"/>
              <w:jc w:val="center"/>
              <w:rPr>
                <w:rFonts w:ascii="Times New Roman" w:hAnsi="Times New Roman"/>
                <w:sz w:val="18"/>
                <w:szCs w:val="18"/>
              </w:rPr>
            </w:pPr>
          </w:p>
        </w:tc>
        <w:tc>
          <w:tcPr>
            <w:tcW w:w="1475" w:type="dxa"/>
            <w:vAlign w:val="center"/>
          </w:tcPr>
          <w:p w14:paraId="434B3C63" w14:textId="77777777" w:rsidR="001C32C8" w:rsidRPr="00B0658A" w:rsidRDefault="001C32C8" w:rsidP="00004A41">
            <w:pPr>
              <w:spacing w:after="0" w:line="240" w:lineRule="auto"/>
              <w:jc w:val="center"/>
              <w:rPr>
                <w:rFonts w:ascii="Times New Roman" w:hAnsi="Times New Roman"/>
                <w:sz w:val="18"/>
                <w:szCs w:val="18"/>
              </w:rPr>
            </w:pPr>
          </w:p>
        </w:tc>
      </w:tr>
      <w:tr w:rsidR="00F52FED" w:rsidRPr="00B0658A" w14:paraId="44A3AAB7" w14:textId="77777777" w:rsidTr="00E66BA4">
        <w:trPr>
          <w:trHeight w:val="20"/>
        </w:trPr>
        <w:tc>
          <w:tcPr>
            <w:tcW w:w="846" w:type="dxa"/>
            <w:shd w:val="clear" w:color="000000" w:fill="FFFFFF"/>
            <w:vAlign w:val="center"/>
          </w:tcPr>
          <w:p w14:paraId="32A70122" w14:textId="77777777" w:rsidR="001C32C8" w:rsidRPr="00B0658A" w:rsidRDefault="001C32C8" w:rsidP="00004A41">
            <w:pPr>
              <w:spacing w:after="0" w:line="240" w:lineRule="auto"/>
              <w:jc w:val="center"/>
              <w:rPr>
                <w:rFonts w:ascii="Times New Roman" w:hAnsi="Times New Roman"/>
                <w:sz w:val="18"/>
                <w:szCs w:val="18"/>
              </w:rPr>
            </w:pPr>
            <w:r w:rsidRPr="00B0658A">
              <w:rPr>
                <w:rFonts w:ascii="Times New Roman" w:hAnsi="Times New Roman"/>
                <w:sz w:val="18"/>
                <w:szCs w:val="18"/>
              </w:rPr>
              <w:t>3.12</w:t>
            </w:r>
          </w:p>
        </w:tc>
        <w:tc>
          <w:tcPr>
            <w:tcW w:w="1559" w:type="dxa"/>
            <w:shd w:val="clear" w:color="auto" w:fill="auto"/>
            <w:vAlign w:val="center"/>
            <w:hideMark/>
          </w:tcPr>
          <w:p w14:paraId="4BE34C0B" w14:textId="77777777" w:rsidR="001C32C8" w:rsidRPr="00B0658A" w:rsidRDefault="001C32C8" w:rsidP="00004A41">
            <w:pPr>
              <w:spacing w:after="0" w:line="240" w:lineRule="auto"/>
              <w:rPr>
                <w:rFonts w:ascii="Times New Roman" w:hAnsi="Times New Roman"/>
                <w:sz w:val="18"/>
                <w:szCs w:val="18"/>
              </w:rPr>
            </w:pPr>
            <w:r w:rsidRPr="00B0658A">
              <w:rPr>
                <w:rFonts w:ascii="Times New Roman" w:hAnsi="Times New Roman"/>
                <w:sz w:val="18"/>
                <w:szCs w:val="18"/>
              </w:rPr>
              <w:t>Средства обеспечения информационной безопасности/ Системы управления доступом к информационным ресурсам</w:t>
            </w:r>
          </w:p>
        </w:tc>
        <w:tc>
          <w:tcPr>
            <w:tcW w:w="1418" w:type="dxa"/>
            <w:shd w:val="clear" w:color="000000" w:fill="FFFFFF"/>
            <w:hideMark/>
          </w:tcPr>
          <w:p w14:paraId="69E921E7" w14:textId="77777777" w:rsidR="001C32C8" w:rsidRPr="00B0658A" w:rsidRDefault="001C32C8" w:rsidP="00004A41">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44" w:type="dxa"/>
            <w:vAlign w:val="center"/>
          </w:tcPr>
          <w:p w14:paraId="2FC687F1"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auto" w:fill="auto"/>
            <w:vAlign w:val="center"/>
            <w:hideMark/>
          </w:tcPr>
          <w:p w14:paraId="6E59E70A"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auto" w:fill="auto"/>
            <w:vAlign w:val="center"/>
            <w:hideMark/>
          </w:tcPr>
          <w:p w14:paraId="0A015735"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auto" w:fill="auto"/>
            <w:vAlign w:val="center"/>
            <w:hideMark/>
          </w:tcPr>
          <w:p w14:paraId="707B475F" w14:textId="77777777" w:rsidR="001C32C8" w:rsidRPr="00B0658A" w:rsidRDefault="001C32C8" w:rsidP="00004A41">
            <w:pPr>
              <w:spacing w:after="0" w:line="240" w:lineRule="auto"/>
              <w:jc w:val="center"/>
              <w:rPr>
                <w:rFonts w:ascii="Times New Roman" w:hAnsi="Times New Roman"/>
                <w:sz w:val="18"/>
                <w:szCs w:val="18"/>
              </w:rPr>
            </w:pPr>
          </w:p>
        </w:tc>
        <w:tc>
          <w:tcPr>
            <w:tcW w:w="993" w:type="dxa"/>
            <w:vAlign w:val="center"/>
          </w:tcPr>
          <w:p w14:paraId="446DED6A"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auto" w:fill="auto"/>
            <w:vAlign w:val="center"/>
            <w:hideMark/>
          </w:tcPr>
          <w:p w14:paraId="4839D68C" w14:textId="77777777" w:rsidR="001C32C8" w:rsidRPr="00B0658A" w:rsidRDefault="001C32C8" w:rsidP="00004A41">
            <w:pPr>
              <w:spacing w:after="0" w:line="240" w:lineRule="auto"/>
              <w:jc w:val="center"/>
              <w:rPr>
                <w:rFonts w:ascii="Times New Roman" w:hAnsi="Times New Roman"/>
                <w:sz w:val="18"/>
                <w:szCs w:val="18"/>
              </w:rPr>
            </w:pPr>
          </w:p>
        </w:tc>
        <w:tc>
          <w:tcPr>
            <w:tcW w:w="780" w:type="dxa"/>
            <w:shd w:val="clear" w:color="auto" w:fill="auto"/>
            <w:vAlign w:val="center"/>
            <w:hideMark/>
          </w:tcPr>
          <w:p w14:paraId="6DE886EF"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auto" w:fill="auto"/>
            <w:vAlign w:val="center"/>
            <w:hideMark/>
          </w:tcPr>
          <w:p w14:paraId="0C8D6302" w14:textId="77777777" w:rsidR="001C32C8" w:rsidRPr="00B0658A" w:rsidRDefault="001C32C8" w:rsidP="00004A41">
            <w:pPr>
              <w:spacing w:after="0" w:line="240" w:lineRule="auto"/>
              <w:jc w:val="center"/>
              <w:rPr>
                <w:rFonts w:ascii="Times New Roman" w:hAnsi="Times New Roman"/>
                <w:sz w:val="18"/>
                <w:szCs w:val="18"/>
              </w:rPr>
            </w:pPr>
          </w:p>
        </w:tc>
        <w:tc>
          <w:tcPr>
            <w:tcW w:w="780" w:type="dxa"/>
            <w:vAlign w:val="center"/>
          </w:tcPr>
          <w:p w14:paraId="271BF1A9" w14:textId="77777777" w:rsidR="001C32C8" w:rsidRPr="00B0658A" w:rsidRDefault="001C32C8" w:rsidP="00004A41">
            <w:pPr>
              <w:spacing w:after="0" w:line="240" w:lineRule="auto"/>
              <w:jc w:val="center"/>
              <w:rPr>
                <w:rFonts w:ascii="Times New Roman" w:hAnsi="Times New Roman"/>
                <w:sz w:val="18"/>
                <w:szCs w:val="18"/>
              </w:rPr>
            </w:pPr>
          </w:p>
        </w:tc>
        <w:tc>
          <w:tcPr>
            <w:tcW w:w="779" w:type="dxa"/>
            <w:vAlign w:val="center"/>
          </w:tcPr>
          <w:p w14:paraId="7612A121" w14:textId="77777777" w:rsidR="001C32C8" w:rsidRPr="00B0658A" w:rsidRDefault="001C32C8" w:rsidP="00004A41">
            <w:pPr>
              <w:spacing w:after="0" w:line="240" w:lineRule="auto"/>
              <w:jc w:val="center"/>
              <w:rPr>
                <w:rFonts w:ascii="Times New Roman" w:hAnsi="Times New Roman"/>
                <w:sz w:val="18"/>
                <w:szCs w:val="18"/>
              </w:rPr>
            </w:pPr>
          </w:p>
        </w:tc>
        <w:tc>
          <w:tcPr>
            <w:tcW w:w="780" w:type="dxa"/>
            <w:vAlign w:val="center"/>
          </w:tcPr>
          <w:p w14:paraId="43BC6CCB" w14:textId="77777777" w:rsidR="001C32C8" w:rsidRPr="00B0658A" w:rsidRDefault="001C32C8" w:rsidP="00004A41">
            <w:pPr>
              <w:spacing w:after="0" w:line="240" w:lineRule="auto"/>
              <w:jc w:val="center"/>
              <w:rPr>
                <w:rFonts w:ascii="Times New Roman" w:hAnsi="Times New Roman"/>
                <w:sz w:val="18"/>
                <w:szCs w:val="18"/>
              </w:rPr>
            </w:pPr>
          </w:p>
        </w:tc>
        <w:tc>
          <w:tcPr>
            <w:tcW w:w="1475" w:type="dxa"/>
            <w:vAlign w:val="center"/>
          </w:tcPr>
          <w:p w14:paraId="2EA680B0" w14:textId="77777777" w:rsidR="001C32C8" w:rsidRPr="00B0658A" w:rsidRDefault="001C32C8" w:rsidP="00004A41">
            <w:pPr>
              <w:spacing w:after="0" w:line="240" w:lineRule="auto"/>
              <w:jc w:val="center"/>
              <w:rPr>
                <w:rFonts w:ascii="Times New Roman" w:hAnsi="Times New Roman"/>
                <w:sz w:val="18"/>
                <w:szCs w:val="18"/>
              </w:rPr>
            </w:pPr>
          </w:p>
        </w:tc>
      </w:tr>
      <w:tr w:rsidR="00F52FED" w:rsidRPr="00B0658A" w14:paraId="53568949" w14:textId="77777777" w:rsidTr="00E66BA4">
        <w:trPr>
          <w:trHeight w:val="20"/>
        </w:trPr>
        <w:tc>
          <w:tcPr>
            <w:tcW w:w="846" w:type="dxa"/>
            <w:shd w:val="clear" w:color="000000" w:fill="FFFFFF"/>
            <w:vAlign w:val="center"/>
          </w:tcPr>
          <w:p w14:paraId="55D912F5" w14:textId="77777777" w:rsidR="001C32C8" w:rsidRPr="00B0658A" w:rsidRDefault="001C32C8" w:rsidP="00004A41">
            <w:pPr>
              <w:spacing w:after="0" w:line="240" w:lineRule="auto"/>
              <w:jc w:val="center"/>
              <w:rPr>
                <w:rFonts w:ascii="Times New Roman" w:hAnsi="Times New Roman"/>
                <w:sz w:val="18"/>
                <w:szCs w:val="18"/>
              </w:rPr>
            </w:pPr>
            <w:r w:rsidRPr="00B0658A">
              <w:rPr>
                <w:rFonts w:ascii="Times New Roman" w:hAnsi="Times New Roman"/>
                <w:sz w:val="18"/>
                <w:szCs w:val="18"/>
              </w:rPr>
              <w:t>3.13</w:t>
            </w:r>
          </w:p>
        </w:tc>
        <w:tc>
          <w:tcPr>
            <w:tcW w:w="1559" w:type="dxa"/>
            <w:shd w:val="clear" w:color="auto" w:fill="auto"/>
            <w:vAlign w:val="center"/>
            <w:hideMark/>
          </w:tcPr>
          <w:p w14:paraId="03B9311A" w14:textId="77777777" w:rsidR="001C32C8" w:rsidRPr="00B0658A" w:rsidRDefault="001C32C8" w:rsidP="00004A41">
            <w:pPr>
              <w:spacing w:after="0" w:line="240" w:lineRule="auto"/>
              <w:rPr>
                <w:rFonts w:ascii="Times New Roman" w:hAnsi="Times New Roman"/>
                <w:sz w:val="18"/>
                <w:szCs w:val="18"/>
              </w:rPr>
            </w:pPr>
            <w:r w:rsidRPr="00B0658A">
              <w:rPr>
                <w:rFonts w:ascii="Times New Roman" w:hAnsi="Times New Roman"/>
                <w:sz w:val="18"/>
                <w:szCs w:val="18"/>
              </w:rPr>
              <w:t>Средства обеспечения информационной безопасности/ Средства резервного копирования</w:t>
            </w:r>
          </w:p>
        </w:tc>
        <w:tc>
          <w:tcPr>
            <w:tcW w:w="1418" w:type="dxa"/>
            <w:shd w:val="clear" w:color="000000" w:fill="FFFFFF"/>
            <w:hideMark/>
          </w:tcPr>
          <w:p w14:paraId="729D5BBA" w14:textId="77777777" w:rsidR="001C32C8" w:rsidRPr="00B0658A" w:rsidRDefault="001C32C8" w:rsidP="00004A41">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44" w:type="dxa"/>
            <w:vAlign w:val="center"/>
          </w:tcPr>
          <w:p w14:paraId="19D4F1FF"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auto" w:fill="auto"/>
            <w:vAlign w:val="center"/>
            <w:hideMark/>
          </w:tcPr>
          <w:p w14:paraId="19548E31"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auto" w:fill="auto"/>
            <w:vAlign w:val="center"/>
            <w:hideMark/>
          </w:tcPr>
          <w:p w14:paraId="5BDFBD60"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auto" w:fill="auto"/>
            <w:vAlign w:val="center"/>
            <w:hideMark/>
          </w:tcPr>
          <w:p w14:paraId="3170E1F8" w14:textId="77777777" w:rsidR="001C32C8" w:rsidRPr="00B0658A" w:rsidRDefault="001C32C8" w:rsidP="00004A41">
            <w:pPr>
              <w:spacing w:after="0" w:line="240" w:lineRule="auto"/>
              <w:jc w:val="center"/>
              <w:rPr>
                <w:rFonts w:ascii="Times New Roman" w:hAnsi="Times New Roman"/>
                <w:sz w:val="18"/>
                <w:szCs w:val="18"/>
              </w:rPr>
            </w:pPr>
          </w:p>
        </w:tc>
        <w:tc>
          <w:tcPr>
            <w:tcW w:w="993" w:type="dxa"/>
            <w:vAlign w:val="center"/>
          </w:tcPr>
          <w:p w14:paraId="5299B59E"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auto" w:fill="auto"/>
            <w:vAlign w:val="center"/>
            <w:hideMark/>
          </w:tcPr>
          <w:p w14:paraId="6DD95606" w14:textId="77777777" w:rsidR="001C32C8" w:rsidRPr="00B0658A" w:rsidRDefault="001C32C8" w:rsidP="00004A41">
            <w:pPr>
              <w:spacing w:after="0" w:line="240" w:lineRule="auto"/>
              <w:jc w:val="center"/>
              <w:rPr>
                <w:rFonts w:ascii="Times New Roman" w:hAnsi="Times New Roman"/>
                <w:sz w:val="18"/>
                <w:szCs w:val="18"/>
              </w:rPr>
            </w:pPr>
          </w:p>
        </w:tc>
        <w:tc>
          <w:tcPr>
            <w:tcW w:w="780" w:type="dxa"/>
            <w:shd w:val="clear" w:color="auto" w:fill="auto"/>
            <w:vAlign w:val="center"/>
            <w:hideMark/>
          </w:tcPr>
          <w:p w14:paraId="45C60609"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auto" w:fill="auto"/>
            <w:vAlign w:val="center"/>
            <w:hideMark/>
          </w:tcPr>
          <w:p w14:paraId="58E269CD" w14:textId="77777777" w:rsidR="001C32C8" w:rsidRPr="00B0658A" w:rsidRDefault="001C32C8" w:rsidP="00004A41">
            <w:pPr>
              <w:spacing w:after="0" w:line="240" w:lineRule="auto"/>
              <w:jc w:val="center"/>
              <w:rPr>
                <w:rFonts w:ascii="Times New Roman" w:hAnsi="Times New Roman"/>
                <w:sz w:val="18"/>
                <w:szCs w:val="18"/>
              </w:rPr>
            </w:pPr>
          </w:p>
        </w:tc>
        <w:tc>
          <w:tcPr>
            <w:tcW w:w="780" w:type="dxa"/>
            <w:vAlign w:val="center"/>
          </w:tcPr>
          <w:p w14:paraId="0101B1D9" w14:textId="77777777" w:rsidR="001C32C8" w:rsidRPr="00B0658A" w:rsidRDefault="001C32C8" w:rsidP="00004A41">
            <w:pPr>
              <w:spacing w:after="0" w:line="240" w:lineRule="auto"/>
              <w:jc w:val="center"/>
              <w:rPr>
                <w:rFonts w:ascii="Times New Roman" w:hAnsi="Times New Roman"/>
                <w:sz w:val="18"/>
                <w:szCs w:val="18"/>
              </w:rPr>
            </w:pPr>
          </w:p>
        </w:tc>
        <w:tc>
          <w:tcPr>
            <w:tcW w:w="779" w:type="dxa"/>
            <w:vAlign w:val="center"/>
          </w:tcPr>
          <w:p w14:paraId="3910732D" w14:textId="77777777" w:rsidR="001C32C8" w:rsidRPr="00B0658A" w:rsidRDefault="001C32C8" w:rsidP="00004A41">
            <w:pPr>
              <w:spacing w:after="0" w:line="240" w:lineRule="auto"/>
              <w:jc w:val="center"/>
              <w:rPr>
                <w:rFonts w:ascii="Times New Roman" w:hAnsi="Times New Roman"/>
                <w:sz w:val="18"/>
                <w:szCs w:val="18"/>
              </w:rPr>
            </w:pPr>
          </w:p>
        </w:tc>
        <w:tc>
          <w:tcPr>
            <w:tcW w:w="780" w:type="dxa"/>
            <w:vAlign w:val="center"/>
          </w:tcPr>
          <w:p w14:paraId="471F58AB" w14:textId="77777777" w:rsidR="001C32C8" w:rsidRPr="00B0658A" w:rsidRDefault="001C32C8" w:rsidP="00004A41">
            <w:pPr>
              <w:spacing w:after="0" w:line="240" w:lineRule="auto"/>
              <w:jc w:val="center"/>
              <w:rPr>
                <w:rFonts w:ascii="Times New Roman" w:hAnsi="Times New Roman"/>
                <w:sz w:val="18"/>
                <w:szCs w:val="18"/>
              </w:rPr>
            </w:pPr>
          </w:p>
        </w:tc>
        <w:tc>
          <w:tcPr>
            <w:tcW w:w="1475" w:type="dxa"/>
            <w:vAlign w:val="center"/>
          </w:tcPr>
          <w:p w14:paraId="18997CD4" w14:textId="77777777" w:rsidR="001C32C8" w:rsidRPr="00B0658A" w:rsidRDefault="001C32C8" w:rsidP="00004A41">
            <w:pPr>
              <w:spacing w:after="0" w:line="240" w:lineRule="auto"/>
              <w:jc w:val="center"/>
              <w:rPr>
                <w:rFonts w:ascii="Times New Roman" w:hAnsi="Times New Roman"/>
                <w:sz w:val="18"/>
                <w:szCs w:val="18"/>
              </w:rPr>
            </w:pPr>
          </w:p>
        </w:tc>
      </w:tr>
      <w:tr w:rsidR="00F52FED" w:rsidRPr="00B0658A" w14:paraId="5824FA4C" w14:textId="77777777" w:rsidTr="00E66BA4">
        <w:trPr>
          <w:trHeight w:val="20"/>
        </w:trPr>
        <w:tc>
          <w:tcPr>
            <w:tcW w:w="846" w:type="dxa"/>
            <w:shd w:val="clear" w:color="000000" w:fill="FFFFFF"/>
            <w:vAlign w:val="center"/>
          </w:tcPr>
          <w:p w14:paraId="39DD9F2B" w14:textId="77777777" w:rsidR="001C32C8" w:rsidRPr="00B0658A" w:rsidRDefault="001C32C8" w:rsidP="00004A41">
            <w:pPr>
              <w:spacing w:after="0" w:line="240" w:lineRule="auto"/>
              <w:jc w:val="center"/>
              <w:rPr>
                <w:rFonts w:ascii="Times New Roman" w:hAnsi="Times New Roman"/>
                <w:sz w:val="18"/>
                <w:szCs w:val="18"/>
              </w:rPr>
            </w:pPr>
            <w:r w:rsidRPr="00B0658A">
              <w:rPr>
                <w:rFonts w:ascii="Times New Roman" w:hAnsi="Times New Roman"/>
                <w:sz w:val="18"/>
                <w:szCs w:val="18"/>
              </w:rPr>
              <w:t>3.14</w:t>
            </w:r>
          </w:p>
        </w:tc>
        <w:tc>
          <w:tcPr>
            <w:tcW w:w="1559" w:type="dxa"/>
            <w:shd w:val="clear" w:color="auto" w:fill="auto"/>
            <w:vAlign w:val="center"/>
            <w:hideMark/>
          </w:tcPr>
          <w:p w14:paraId="063012CF" w14:textId="77777777" w:rsidR="001C32C8" w:rsidRPr="00B0658A" w:rsidRDefault="001C32C8" w:rsidP="00004A41">
            <w:pPr>
              <w:spacing w:after="0" w:line="240" w:lineRule="auto"/>
              <w:rPr>
                <w:rFonts w:ascii="Times New Roman" w:hAnsi="Times New Roman"/>
                <w:sz w:val="18"/>
                <w:szCs w:val="18"/>
              </w:rPr>
            </w:pPr>
            <w:r w:rsidRPr="00B0658A">
              <w:rPr>
                <w:rFonts w:ascii="Times New Roman" w:hAnsi="Times New Roman"/>
                <w:sz w:val="18"/>
                <w:szCs w:val="18"/>
              </w:rPr>
              <w:t xml:space="preserve">Средства обеспечения информационной безопасности/ </w:t>
            </w:r>
            <w:r w:rsidRPr="00B0658A">
              <w:rPr>
                <w:rFonts w:ascii="Times New Roman" w:hAnsi="Times New Roman"/>
                <w:sz w:val="18"/>
                <w:szCs w:val="18"/>
              </w:rPr>
              <w:lastRenderedPageBreak/>
              <w:t>Средства обнаружения и/или предотвращения вторжений (атак)</w:t>
            </w:r>
          </w:p>
        </w:tc>
        <w:tc>
          <w:tcPr>
            <w:tcW w:w="1418" w:type="dxa"/>
            <w:shd w:val="clear" w:color="000000" w:fill="FFFFFF"/>
            <w:hideMark/>
          </w:tcPr>
          <w:p w14:paraId="7D4E4F09" w14:textId="77777777" w:rsidR="001C32C8" w:rsidRPr="00B0658A" w:rsidRDefault="001C32C8" w:rsidP="00004A41">
            <w:pPr>
              <w:spacing w:after="0" w:line="240" w:lineRule="auto"/>
              <w:rPr>
                <w:rFonts w:ascii="Times New Roman" w:hAnsi="Times New Roman"/>
                <w:sz w:val="18"/>
                <w:szCs w:val="18"/>
              </w:rPr>
            </w:pPr>
            <w:r w:rsidRPr="00B0658A">
              <w:rPr>
                <w:rFonts w:ascii="Times New Roman" w:hAnsi="Times New Roman"/>
                <w:sz w:val="18"/>
                <w:szCs w:val="18"/>
              </w:rPr>
              <w:lastRenderedPageBreak/>
              <w:t xml:space="preserve">Доля используемого российского ПО в общем объёме, </w:t>
            </w:r>
            <w:r w:rsidRPr="00B0658A">
              <w:rPr>
                <w:rFonts w:ascii="Times New Roman" w:hAnsi="Times New Roman"/>
                <w:sz w:val="18"/>
                <w:szCs w:val="18"/>
              </w:rPr>
              <w:lastRenderedPageBreak/>
              <w:t>используемого ПО, %</w:t>
            </w:r>
          </w:p>
        </w:tc>
        <w:tc>
          <w:tcPr>
            <w:tcW w:w="744" w:type="dxa"/>
            <w:vAlign w:val="center"/>
          </w:tcPr>
          <w:p w14:paraId="403B032E"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auto" w:fill="auto"/>
            <w:vAlign w:val="center"/>
            <w:hideMark/>
          </w:tcPr>
          <w:p w14:paraId="32F5DFBE"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auto" w:fill="auto"/>
            <w:vAlign w:val="center"/>
            <w:hideMark/>
          </w:tcPr>
          <w:p w14:paraId="1D95424F"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auto" w:fill="auto"/>
            <w:vAlign w:val="center"/>
            <w:hideMark/>
          </w:tcPr>
          <w:p w14:paraId="021D92B7" w14:textId="77777777" w:rsidR="001C32C8" w:rsidRPr="00B0658A" w:rsidRDefault="001C32C8" w:rsidP="00004A41">
            <w:pPr>
              <w:spacing w:after="0" w:line="240" w:lineRule="auto"/>
              <w:jc w:val="center"/>
              <w:rPr>
                <w:rFonts w:ascii="Times New Roman" w:hAnsi="Times New Roman"/>
                <w:sz w:val="18"/>
                <w:szCs w:val="18"/>
              </w:rPr>
            </w:pPr>
          </w:p>
        </w:tc>
        <w:tc>
          <w:tcPr>
            <w:tcW w:w="993" w:type="dxa"/>
            <w:vAlign w:val="center"/>
          </w:tcPr>
          <w:p w14:paraId="43922AEE"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auto" w:fill="auto"/>
            <w:vAlign w:val="center"/>
            <w:hideMark/>
          </w:tcPr>
          <w:p w14:paraId="5985CBFF" w14:textId="77777777" w:rsidR="001C32C8" w:rsidRPr="00B0658A" w:rsidRDefault="001C32C8" w:rsidP="00004A41">
            <w:pPr>
              <w:spacing w:after="0" w:line="240" w:lineRule="auto"/>
              <w:jc w:val="center"/>
              <w:rPr>
                <w:rFonts w:ascii="Times New Roman" w:hAnsi="Times New Roman"/>
                <w:sz w:val="18"/>
                <w:szCs w:val="18"/>
              </w:rPr>
            </w:pPr>
          </w:p>
        </w:tc>
        <w:tc>
          <w:tcPr>
            <w:tcW w:w="780" w:type="dxa"/>
            <w:shd w:val="clear" w:color="auto" w:fill="auto"/>
            <w:vAlign w:val="center"/>
            <w:hideMark/>
          </w:tcPr>
          <w:p w14:paraId="7CEFD6D1"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auto" w:fill="auto"/>
            <w:vAlign w:val="center"/>
            <w:hideMark/>
          </w:tcPr>
          <w:p w14:paraId="18110052" w14:textId="77777777" w:rsidR="001C32C8" w:rsidRPr="00B0658A" w:rsidRDefault="001C32C8" w:rsidP="00004A41">
            <w:pPr>
              <w:spacing w:after="0" w:line="240" w:lineRule="auto"/>
              <w:jc w:val="center"/>
              <w:rPr>
                <w:rFonts w:ascii="Times New Roman" w:hAnsi="Times New Roman"/>
                <w:sz w:val="18"/>
                <w:szCs w:val="18"/>
              </w:rPr>
            </w:pPr>
          </w:p>
        </w:tc>
        <w:tc>
          <w:tcPr>
            <w:tcW w:w="780" w:type="dxa"/>
            <w:vAlign w:val="center"/>
          </w:tcPr>
          <w:p w14:paraId="5F460EF2" w14:textId="77777777" w:rsidR="001C32C8" w:rsidRPr="00B0658A" w:rsidRDefault="001C32C8" w:rsidP="00004A41">
            <w:pPr>
              <w:spacing w:after="0" w:line="240" w:lineRule="auto"/>
              <w:jc w:val="center"/>
              <w:rPr>
                <w:rFonts w:ascii="Times New Roman" w:hAnsi="Times New Roman"/>
                <w:sz w:val="18"/>
                <w:szCs w:val="18"/>
              </w:rPr>
            </w:pPr>
          </w:p>
        </w:tc>
        <w:tc>
          <w:tcPr>
            <w:tcW w:w="779" w:type="dxa"/>
            <w:vAlign w:val="center"/>
          </w:tcPr>
          <w:p w14:paraId="1DB84CDB" w14:textId="77777777" w:rsidR="001C32C8" w:rsidRPr="00B0658A" w:rsidRDefault="001C32C8" w:rsidP="00004A41">
            <w:pPr>
              <w:spacing w:after="0" w:line="240" w:lineRule="auto"/>
              <w:jc w:val="center"/>
              <w:rPr>
                <w:rFonts w:ascii="Times New Roman" w:hAnsi="Times New Roman"/>
                <w:sz w:val="18"/>
                <w:szCs w:val="18"/>
              </w:rPr>
            </w:pPr>
          </w:p>
        </w:tc>
        <w:tc>
          <w:tcPr>
            <w:tcW w:w="780" w:type="dxa"/>
            <w:vAlign w:val="center"/>
          </w:tcPr>
          <w:p w14:paraId="42693976" w14:textId="77777777" w:rsidR="001C32C8" w:rsidRPr="00B0658A" w:rsidRDefault="001C32C8" w:rsidP="00004A41">
            <w:pPr>
              <w:spacing w:after="0" w:line="240" w:lineRule="auto"/>
              <w:jc w:val="center"/>
              <w:rPr>
                <w:rFonts w:ascii="Times New Roman" w:hAnsi="Times New Roman"/>
                <w:sz w:val="18"/>
                <w:szCs w:val="18"/>
              </w:rPr>
            </w:pPr>
          </w:p>
        </w:tc>
        <w:tc>
          <w:tcPr>
            <w:tcW w:w="1475" w:type="dxa"/>
            <w:vAlign w:val="center"/>
          </w:tcPr>
          <w:p w14:paraId="59CE3DC8" w14:textId="77777777" w:rsidR="001C32C8" w:rsidRPr="00B0658A" w:rsidRDefault="001C32C8" w:rsidP="00004A41">
            <w:pPr>
              <w:spacing w:after="0" w:line="240" w:lineRule="auto"/>
              <w:jc w:val="center"/>
              <w:rPr>
                <w:rFonts w:ascii="Times New Roman" w:hAnsi="Times New Roman"/>
                <w:sz w:val="18"/>
                <w:szCs w:val="18"/>
              </w:rPr>
            </w:pPr>
          </w:p>
        </w:tc>
      </w:tr>
      <w:tr w:rsidR="00F52FED" w:rsidRPr="00B0658A" w14:paraId="0498C8AB" w14:textId="77777777" w:rsidTr="00E66BA4">
        <w:trPr>
          <w:trHeight w:val="20"/>
        </w:trPr>
        <w:tc>
          <w:tcPr>
            <w:tcW w:w="846" w:type="dxa"/>
            <w:shd w:val="clear" w:color="000000" w:fill="FFFFFF"/>
            <w:vAlign w:val="center"/>
          </w:tcPr>
          <w:p w14:paraId="1DA30AE1" w14:textId="77777777" w:rsidR="001C32C8" w:rsidRPr="00B0658A" w:rsidRDefault="001C32C8" w:rsidP="00004A41">
            <w:pPr>
              <w:spacing w:after="0" w:line="240" w:lineRule="auto"/>
              <w:jc w:val="center"/>
              <w:rPr>
                <w:rFonts w:ascii="Times New Roman" w:hAnsi="Times New Roman"/>
                <w:sz w:val="18"/>
                <w:szCs w:val="18"/>
              </w:rPr>
            </w:pPr>
            <w:r w:rsidRPr="00B0658A">
              <w:rPr>
                <w:rFonts w:ascii="Times New Roman" w:hAnsi="Times New Roman"/>
                <w:sz w:val="18"/>
                <w:szCs w:val="18"/>
              </w:rPr>
              <w:t>3.15</w:t>
            </w:r>
          </w:p>
        </w:tc>
        <w:tc>
          <w:tcPr>
            <w:tcW w:w="1559" w:type="dxa"/>
            <w:shd w:val="clear" w:color="auto" w:fill="auto"/>
            <w:vAlign w:val="center"/>
            <w:hideMark/>
          </w:tcPr>
          <w:p w14:paraId="12E52857" w14:textId="77777777" w:rsidR="001C32C8" w:rsidRPr="00B0658A" w:rsidRDefault="001C32C8" w:rsidP="00004A41">
            <w:pPr>
              <w:spacing w:after="0" w:line="240" w:lineRule="auto"/>
              <w:rPr>
                <w:rFonts w:ascii="Times New Roman" w:hAnsi="Times New Roman"/>
                <w:sz w:val="18"/>
                <w:szCs w:val="18"/>
              </w:rPr>
            </w:pPr>
            <w:r w:rsidRPr="00B0658A">
              <w:rPr>
                <w:rFonts w:ascii="Times New Roman" w:hAnsi="Times New Roman"/>
                <w:sz w:val="18"/>
                <w:szCs w:val="18"/>
              </w:rPr>
              <w:t>Средства обеспечения информационной безопасности/ Средства обнаружения угроз и расследования сетевых инцидентов</w:t>
            </w:r>
          </w:p>
        </w:tc>
        <w:tc>
          <w:tcPr>
            <w:tcW w:w="1418" w:type="dxa"/>
            <w:shd w:val="clear" w:color="000000" w:fill="FFFFFF"/>
            <w:hideMark/>
          </w:tcPr>
          <w:p w14:paraId="7C4959D5" w14:textId="77777777" w:rsidR="001C32C8" w:rsidRPr="00B0658A" w:rsidRDefault="001C32C8" w:rsidP="00004A41">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44" w:type="dxa"/>
            <w:vAlign w:val="center"/>
          </w:tcPr>
          <w:p w14:paraId="2508447B"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auto" w:fill="auto"/>
            <w:vAlign w:val="center"/>
            <w:hideMark/>
          </w:tcPr>
          <w:p w14:paraId="4937DF27"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auto" w:fill="auto"/>
            <w:vAlign w:val="center"/>
            <w:hideMark/>
          </w:tcPr>
          <w:p w14:paraId="7F78A50B"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auto" w:fill="auto"/>
            <w:vAlign w:val="center"/>
            <w:hideMark/>
          </w:tcPr>
          <w:p w14:paraId="52609AF2" w14:textId="77777777" w:rsidR="001C32C8" w:rsidRPr="00B0658A" w:rsidRDefault="001C32C8" w:rsidP="00004A41">
            <w:pPr>
              <w:spacing w:after="0" w:line="240" w:lineRule="auto"/>
              <w:jc w:val="center"/>
              <w:rPr>
                <w:rFonts w:ascii="Times New Roman" w:hAnsi="Times New Roman"/>
                <w:sz w:val="18"/>
                <w:szCs w:val="18"/>
              </w:rPr>
            </w:pPr>
          </w:p>
        </w:tc>
        <w:tc>
          <w:tcPr>
            <w:tcW w:w="993" w:type="dxa"/>
            <w:vAlign w:val="center"/>
          </w:tcPr>
          <w:p w14:paraId="5F250ACE"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auto" w:fill="auto"/>
            <w:vAlign w:val="center"/>
            <w:hideMark/>
          </w:tcPr>
          <w:p w14:paraId="2B1C7952" w14:textId="77777777" w:rsidR="001C32C8" w:rsidRPr="00B0658A" w:rsidRDefault="001C32C8" w:rsidP="00004A41">
            <w:pPr>
              <w:spacing w:after="0" w:line="240" w:lineRule="auto"/>
              <w:jc w:val="center"/>
              <w:rPr>
                <w:rFonts w:ascii="Times New Roman" w:hAnsi="Times New Roman"/>
                <w:sz w:val="18"/>
                <w:szCs w:val="18"/>
              </w:rPr>
            </w:pPr>
          </w:p>
        </w:tc>
        <w:tc>
          <w:tcPr>
            <w:tcW w:w="780" w:type="dxa"/>
            <w:shd w:val="clear" w:color="auto" w:fill="auto"/>
            <w:vAlign w:val="center"/>
            <w:hideMark/>
          </w:tcPr>
          <w:p w14:paraId="7E671B9F"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auto" w:fill="auto"/>
            <w:vAlign w:val="center"/>
            <w:hideMark/>
          </w:tcPr>
          <w:p w14:paraId="549BA4FC" w14:textId="77777777" w:rsidR="001C32C8" w:rsidRPr="00B0658A" w:rsidRDefault="001C32C8" w:rsidP="00004A41">
            <w:pPr>
              <w:spacing w:after="0" w:line="240" w:lineRule="auto"/>
              <w:jc w:val="center"/>
              <w:rPr>
                <w:rFonts w:ascii="Times New Roman" w:hAnsi="Times New Roman"/>
                <w:sz w:val="18"/>
                <w:szCs w:val="18"/>
              </w:rPr>
            </w:pPr>
          </w:p>
        </w:tc>
        <w:tc>
          <w:tcPr>
            <w:tcW w:w="780" w:type="dxa"/>
            <w:vAlign w:val="center"/>
          </w:tcPr>
          <w:p w14:paraId="72154C0F" w14:textId="77777777" w:rsidR="001C32C8" w:rsidRPr="00B0658A" w:rsidRDefault="001C32C8" w:rsidP="00004A41">
            <w:pPr>
              <w:spacing w:after="0" w:line="240" w:lineRule="auto"/>
              <w:jc w:val="center"/>
              <w:rPr>
                <w:rFonts w:ascii="Times New Roman" w:hAnsi="Times New Roman"/>
                <w:sz w:val="18"/>
                <w:szCs w:val="18"/>
              </w:rPr>
            </w:pPr>
          </w:p>
        </w:tc>
        <w:tc>
          <w:tcPr>
            <w:tcW w:w="779" w:type="dxa"/>
            <w:vAlign w:val="center"/>
          </w:tcPr>
          <w:p w14:paraId="3613C699" w14:textId="77777777" w:rsidR="001C32C8" w:rsidRPr="00B0658A" w:rsidRDefault="001C32C8" w:rsidP="00004A41">
            <w:pPr>
              <w:spacing w:after="0" w:line="240" w:lineRule="auto"/>
              <w:jc w:val="center"/>
              <w:rPr>
                <w:rFonts w:ascii="Times New Roman" w:hAnsi="Times New Roman"/>
                <w:sz w:val="18"/>
                <w:szCs w:val="18"/>
              </w:rPr>
            </w:pPr>
          </w:p>
        </w:tc>
        <w:tc>
          <w:tcPr>
            <w:tcW w:w="780" w:type="dxa"/>
            <w:vAlign w:val="center"/>
          </w:tcPr>
          <w:p w14:paraId="2FB6ABD5" w14:textId="77777777" w:rsidR="001C32C8" w:rsidRPr="00B0658A" w:rsidRDefault="001C32C8" w:rsidP="00004A41">
            <w:pPr>
              <w:spacing w:after="0" w:line="240" w:lineRule="auto"/>
              <w:jc w:val="center"/>
              <w:rPr>
                <w:rFonts w:ascii="Times New Roman" w:hAnsi="Times New Roman"/>
                <w:sz w:val="18"/>
                <w:szCs w:val="18"/>
              </w:rPr>
            </w:pPr>
          </w:p>
        </w:tc>
        <w:tc>
          <w:tcPr>
            <w:tcW w:w="1475" w:type="dxa"/>
            <w:vAlign w:val="center"/>
          </w:tcPr>
          <w:p w14:paraId="0DEAD277" w14:textId="77777777" w:rsidR="001C32C8" w:rsidRPr="00B0658A" w:rsidRDefault="001C32C8" w:rsidP="00004A41">
            <w:pPr>
              <w:spacing w:after="0" w:line="240" w:lineRule="auto"/>
              <w:jc w:val="center"/>
              <w:rPr>
                <w:rFonts w:ascii="Times New Roman" w:hAnsi="Times New Roman"/>
                <w:sz w:val="18"/>
                <w:szCs w:val="18"/>
              </w:rPr>
            </w:pPr>
          </w:p>
        </w:tc>
      </w:tr>
      <w:tr w:rsidR="00F52FED" w:rsidRPr="00B0658A" w14:paraId="78DF7A1F" w14:textId="77777777" w:rsidTr="00E66BA4">
        <w:trPr>
          <w:trHeight w:val="20"/>
        </w:trPr>
        <w:tc>
          <w:tcPr>
            <w:tcW w:w="846" w:type="dxa"/>
            <w:shd w:val="clear" w:color="000000" w:fill="FFFFFF"/>
            <w:vAlign w:val="center"/>
          </w:tcPr>
          <w:p w14:paraId="74570CC1" w14:textId="77777777" w:rsidR="001C32C8" w:rsidRPr="00B0658A" w:rsidRDefault="001C32C8" w:rsidP="00004A41">
            <w:pPr>
              <w:spacing w:after="0" w:line="240" w:lineRule="auto"/>
              <w:jc w:val="center"/>
              <w:rPr>
                <w:rFonts w:ascii="Times New Roman" w:hAnsi="Times New Roman"/>
                <w:sz w:val="18"/>
                <w:szCs w:val="18"/>
              </w:rPr>
            </w:pPr>
            <w:r w:rsidRPr="00B0658A">
              <w:rPr>
                <w:rFonts w:ascii="Times New Roman" w:hAnsi="Times New Roman"/>
                <w:sz w:val="18"/>
                <w:szCs w:val="18"/>
              </w:rPr>
              <w:t>3.16</w:t>
            </w:r>
          </w:p>
        </w:tc>
        <w:tc>
          <w:tcPr>
            <w:tcW w:w="1559" w:type="dxa"/>
            <w:shd w:val="clear" w:color="auto" w:fill="auto"/>
            <w:vAlign w:val="center"/>
            <w:hideMark/>
          </w:tcPr>
          <w:p w14:paraId="4A9130A3" w14:textId="77777777" w:rsidR="001C32C8" w:rsidRPr="00B0658A" w:rsidRDefault="001C32C8" w:rsidP="00004A41">
            <w:pPr>
              <w:spacing w:after="0" w:line="240" w:lineRule="auto"/>
              <w:rPr>
                <w:rFonts w:ascii="Times New Roman" w:hAnsi="Times New Roman"/>
                <w:sz w:val="18"/>
                <w:szCs w:val="18"/>
              </w:rPr>
            </w:pPr>
            <w:r w:rsidRPr="00B0658A">
              <w:rPr>
                <w:rFonts w:ascii="Times New Roman" w:hAnsi="Times New Roman"/>
                <w:sz w:val="18"/>
                <w:szCs w:val="18"/>
              </w:rPr>
              <w:t>Средства обеспечения информационной безопасности/ Средства администрирования и управления жизненным циклом ключевых носителей</w:t>
            </w:r>
          </w:p>
        </w:tc>
        <w:tc>
          <w:tcPr>
            <w:tcW w:w="1418" w:type="dxa"/>
            <w:shd w:val="clear" w:color="000000" w:fill="FFFFFF"/>
            <w:hideMark/>
          </w:tcPr>
          <w:p w14:paraId="3F03C60A" w14:textId="77777777" w:rsidR="001C32C8" w:rsidRPr="00B0658A" w:rsidRDefault="001C32C8" w:rsidP="00004A41">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44" w:type="dxa"/>
            <w:vAlign w:val="center"/>
          </w:tcPr>
          <w:p w14:paraId="0ED14BE5"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auto" w:fill="auto"/>
            <w:vAlign w:val="center"/>
            <w:hideMark/>
          </w:tcPr>
          <w:p w14:paraId="0E595701"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auto" w:fill="auto"/>
            <w:vAlign w:val="center"/>
            <w:hideMark/>
          </w:tcPr>
          <w:p w14:paraId="146B676E"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auto" w:fill="auto"/>
            <w:vAlign w:val="center"/>
            <w:hideMark/>
          </w:tcPr>
          <w:p w14:paraId="776BA4EC" w14:textId="77777777" w:rsidR="001C32C8" w:rsidRPr="00B0658A" w:rsidRDefault="001C32C8" w:rsidP="00004A41">
            <w:pPr>
              <w:spacing w:after="0" w:line="240" w:lineRule="auto"/>
              <w:jc w:val="center"/>
              <w:rPr>
                <w:rFonts w:ascii="Times New Roman" w:hAnsi="Times New Roman"/>
                <w:sz w:val="18"/>
                <w:szCs w:val="18"/>
              </w:rPr>
            </w:pPr>
          </w:p>
        </w:tc>
        <w:tc>
          <w:tcPr>
            <w:tcW w:w="993" w:type="dxa"/>
            <w:vAlign w:val="center"/>
          </w:tcPr>
          <w:p w14:paraId="77A2FA40"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auto" w:fill="auto"/>
            <w:vAlign w:val="center"/>
            <w:hideMark/>
          </w:tcPr>
          <w:p w14:paraId="426767A7" w14:textId="77777777" w:rsidR="001C32C8" w:rsidRPr="00B0658A" w:rsidRDefault="001C32C8" w:rsidP="00004A41">
            <w:pPr>
              <w:spacing w:after="0" w:line="240" w:lineRule="auto"/>
              <w:jc w:val="center"/>
              <w:rPr>
                <w:rFonts w:ascii="Times New Roman" w:hAnsi="Times New Roman"/>
                <w:sz w:val="18"/>
                <w:szCs w:val="18"/>
              </w:rPr>
            </w:pPr>
          </w:p>
        </w:tc>
        <w:tc>
          <w:tcPr>
            <w:tcW w:w="780" w:type="dxa"/>
            <w:shd w:val="clear" w:color="auto" w:fill="auto"/>
            <w:vAlign w:val="center"/>
            <w:hideMark/>
          </w:tcPr>
          <w:p w14:paraId="14005BFF"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auto" w:fill="auto"/>
            <w:vAlign w:val="center"/>
            <w:hideMark/>
          </w:tcPr>
          <w:p w14:paraId="6CD5EF72" w14:textId="77777777" w:rsidR="001C32C8" w:rsidRPr="00B0658A" w:rsidRDefault="001C32C8" w:rsidP="00004A41">
            <w:pPr>
              <w:spacing w:after="0" w:line="240" w:lineRule="auto"/>
              <w:jc w:val="center"/>
              <w:rPr>
                <w:rFonts w:ascii="Times New Roman" w:hAnsi="Times New Roman"/>
                <w:sz w:val="18"/>
                <w:szCs w:val="18"/>
              </w:rPr>
            </w:pPr>
          </w:p>
        </w:tc>
        <w:tc>
          <w:tcPr>
            <w:tcW w:w="780" w:type="dxa"/>
            <w:vAlign w:val="center"/>
          </w:tcPr>
          <w:p w14:paraId="664FCFE3" w14:textId="77777777" w:rsidR="001C32C8" w:rsidRPr="00B0658A" w:rsidRDefault="001C32C8" w:rsidP="00004A41">
            <w:pPr>
              <w:spacing w:after="0" w:line="240" w:lineRule="auto"/>
              <w:jc w:val="center"/>
              <w:rPr>
                <w:rFonts w:ascii="Times New Roman" w:hAnsi="Times New Roman"/>
                <w:sz w:val="18"/>
                <w:szCs w:val="18"/>
              </w:rPr>
            </w:pPr>
          </w:p>
        </w:tc>
        <w:tc>
          <w:tcPr>
            <w:tcW w:w="779" w:type="dxa"/>
            <w:vAlign w:val="center"/>
          </w:tcPr>
          <w:p w14:paraId="1EE731D3" w14:textId="77777777" w:rsidR="001C32C8" w:rsidRPr="00B0658A" w:rsidRDefault="001C32C8" w:rsidP="00004A41">
            <w:pPr>
              <w:spacing w:after="0" w:line="240" w:lineRule="auto"/>
              <w:jc w:val="center"/>
              <w:rPr>
                <w:rFonts w:ascii="Times New Roman" w:hAnsi="Times New Roman"/>
                <w:sz w:val="18"/>
                <w:szCs w:val="18"/>
              </w:rPr>
            </w:pPr>
          </w:p>
        </w:tc>
        <w:tc>
          <w:tcPr>
            <w:tcW w:w="780" w:type="dxa"/>
            <w:vAlign w:val="center"/>
          </w:tcPr>
          <w:p w14:paraId="266F36E2" w14:textId="77777777" w:rsidR="001C32C8" w:rsidRPr="00B0658A" w:rsidRDefault="001C32C8" w:rsidP="00004A41">
            <w:pPr>
              <w:spacing w:after="0" w:line="240" w:lineRule="auto"/>
              <w:jc w:val="center"/>
              <w:rPr>
                <w:rFonts w:ascii="Times New Roman" w:hAnsi="Times New Roman"/>
                <w:sz w:val="18"/>
                <w:szCs w:val="18"/>
              </w:rPr>
            </w:pPr>
          </w:p>
        </w:tc>
        <w:tc>
          <w:tcPr>
            <w:tcW w:w="1475" w:type="dxa"/>
            <w:vAlign w:val="center"/>
          </w:tcPr>
          <w:p w14:paraId="13993DAB" w14:textId="77777777" w:rsidR="001C32C8" w:rsidRPr="00B0658A" w:rsidRDefault="001C32C8" w:rsidP="00004A41">
            <w:pPr>
              <w:spacing w:after="0" w:line="240" w:lineRule="auto"/>
              <w:jc w:val="center"/>
              <w:rPr>
                <w:rFonts w:ascii="Times New Roman" w:hAnsi="Times New Roman"/>
                <w:sz w:val="18"/>
                <w:szCs w:val="18"/>
              </w:rPr>
            </w:pPr>
          </w:p>
        </w:tc>
      </w:tr>
      <w:tr w:rsidR="00F52FED" w:rsidRPr="00B0658A" w14:paraId="02CA4F7F" w14:textId="77777777" w:rsidTr="00E66BA4">
        <w:trPr>
          <w:trHeight w:val="20"/>
        </w:trPr>
        <w:tc>
          <w:tcPr>
            <w:tcW w:w="846" w:type="dxa"/>
            <w:shd w:val="clear" w:color="000000" w:fill="FFFFFF"/>
            <w:vAlign w:val="center"/>
          </w:tcPr>
          <w:p w14:paraId="305CEF86" w14:textId="77777777" w:rsidR="001C32C8" w:rsidRPr="00B0658A" w:rsidRDefault="001C32C8" w:rsidP="00004A41">
            <w:pPr>
              <w:spacing w:after="0" w:line="240" w:lineRule="auto"/>
              <w:jc w:val="center"/>
              <w:rPr>
                <w:rFonts w:ascii="Times New Roman" w:hAnsi="Times New Roman"/>
                <w:sz w:val="18"/>
                <w:szCs w:val="18"/>
              </w:rPr>
            </w:pPr>
            <w:r w:rsidRPr="00B0658A">
              <w:rPr>
                <w:rFonts w:ascii="Times New Roman" w:hAnsi="Times New Roman"/>
                <w:sz w:val="18"/>
                <w:szCs w:val="18"/>
              </w:rPr>
              <w:t>3.17</w:t>
            </w:r>
          </w:p>
        </w:tc>
        <w:tc>
          <w:tcPr>
            <w:tcW w:w="1559" w:type="dxa"/>
            <w:shd w:val="clear" w:color="auto" w:fill="auto"/>
            <w:vAlign w:val="center"/>
            <w:hideMark/>
          </w:tcPr>
          <w:p w14:paraId="785DAFAF" w14:textId="77777777" w:rsidR="001C32C8" w:rsidRPr="00B0658A" w:rsidRDefault="001C32C8" w:rsidP="00004A41">
            <w:pPr>
              <w:spacing w:after="0" w:line="240" w:lineRule="auto"/>
              <w:rPr>
                <w:rFonts w:ascii="Times New Roman" w:hAnsi="Times New Roman"/>
                <w:sz w:val="18"/>
                <w:szCs w:val="18"/>
              </w:rPr>
            </w:pPr>
            <w:r w:rsidRPr="00B0658A">
              <w:rPr>
                <w:rFonts w:ascii="Times New Roman" w:hAnsi="Times New Roman"/>
                <w:sz w:val="18"/>
                <w:szCs w:val="18"/>
              </w:rPr>
              <w:t>Средства обеспечения информационной безопасности/ Средства автоматизации процессов информационной безопасности</w:t>
            </w:r>
          </w:p>
        </w:tc>
        <w:tc>
          <w:tcPr>
            <w:tcW w:w="1418" w:type="dxa"/>
            <w:shd w:val="clear" w:color="000000" w:fill="FFFFFF"/>
            <w:hideMark/>
          </w:tcPr>
          <w:p w14:paraId="3D29BBC5" w14:textId="77777777" w:rsidR="001C32C8" w:rsidRPr="00B0658A" w:rsidRDefault="001C32C8" w:rsidP="00004A41">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44" w:type="dxa"/>
            <w:vAlign w:val="center"/>
          </w:tcPr>
          <w:p w14:paraId="05153D53"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auto" w:fill="auto"/>
            <w:vAlign w:val="center"/>
            <w:hideMark/>
          </w:tcPr>
          <w:p w14:paraId="1ADE5AF1"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auto" w:fill="auto"/>
            <w:vAlign w:val="center"/>
            <w:hideMark/>
          </w:tcPr>
          <w:p w14:paraId="5F539575"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auto" w:fill="auto"/>
            <w:vAlign w:val="center"/>
            <w:hideMark/>
          </w:tcPr>
          <w:p w14:paraId="24999567" w14:textId="77777777" w:rsidR="001C32C8" w:rsidRPr="00B0658A" w:rsidRDefault="001C32C8" w:rsidP="00004A41">
            <w:pPr>
              <w:spacing w:after="0" w:line="240" w:lineRule="auto"/>
              <w:jc w:val="center"/>
              <w:rPr>
                <w:rFonts w:ascii="Times New Roman" w:hAnsi="Times New Roman"/>
                <w:sz w:val="18"/>
                <w:szCs w:val="18"/>
              </w:rPr>
            </w:pPr>
          </w:p>
        </w:tc>
        <w:tc>
          <w:tcPr>
            <w:tcW w:w="993" w:type="dxa"/>
            <w:vAlign w:val="center"/>
          </w:tcPr>
          <w:p w14:paraId="33055979"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auto" w:fill="auto"/>
            <w:vAlign w:val="center"/>
            <w:hideMark/>
          </w:tcPr>
          <w:p w14:paraId="6F46549D" w14:textId="77777777" w:rsidR="001C32C8" w:rsidRPr="00B0658A" w:rsidRDefault="001C32C8" w:rsidP="00004A41">
            <w:pPr>
              <w:spacing w:after="0" w:line="240" w:lineRule="auto"/>
              <w:jc w:val="center"/>
              <w:rPr>
                <w:rFonts w:ascii="Times New Roman" w:hAnsi="Times New Roman"/>
                <w:sz w:val="18"/>
                <w:szCs w:val="18"/>
              </w:rPr>
            </w:pPr>
          </w:p>
        </w:tc>
        <w:tc>
          <w:tcPr>
            <w:tcW w:w="780" w:type="dxa"/>
            <w:shd w:val="clear" w:color="auto" w:fill="auto"/>
            <w:vAlign w:val="center"/>
            <w:hideMark/>
          </w:tcPr>
          <w:p w14:paraId="78290D2F"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auto" w:fill="auto"/>
            <w:vAlign w:val="center"/>
            <w:hideMark/>
          </w:tcPr>
          <w:p w14:paraId="59EBB18B" w14:textId="77777777" w:rsidR="001C32C8" w:rsidRPr="00B0658A" w:rsidRDefault="001C32C8" w:rsidP="00004A41">
            <w:pPr>
              <w:spacing w:after="0" w:line="240" w:lineRule="auto"/>
              <w:jc w:val="center"/>
              <w:rPr>
                <w:rFonts w:ascii="Times New Roman" w:hAnsi="Times New Roman"/>
                <w:sz w:val="18"/>
                <w:szCs w:val="18"/>
              </w:rPr>
            </w:pPr>
          </w:p>
        </w:tc>
        <w:tc>
          <w:tcPr>
            <w:tcW w:w="780" w:type="dxa"/>
            <w:vAlign w:val="center"/>
          </w:tcPr>
          <w:p w14:paraId="420709DF" w14:textId="77777777" w:rsidR="001C32C8" w:rsidRPr="00B0658A" w:rsidRDefault="001C32C8" w:rsidP="00004A41">
            <w:pPr>
              <w:spacing w:after="0" w:line="240" w:lineRule="auto"/>
              <w:jc w:val="center"/>
              <w:rPr>
                <w:rFonts w:ascii="Times New Roman" w:hAnsi="Times New Roman"/>
                <w:sz w:val="18"/>
                <w:szCs w:val="18"/>
              </w:rPr>
            </w:pPr>
          </w:p>
        </w:tc>
        <w:tc>
          <w:tcPr>
            <w:tcW w:w="779" w:type="dxa"/>
            <w:vAlign w:val="center"/>
          </w:tcPr>
          <w:p w14:paraId="23128AD4" w14:textId="77777777" w:rsidR="001C32C8" w:rsidRPr="00B0658A" w:rsidRDefault="001C32C8" w:rsidP="00004A41">
            <w:pPr>
              <w:spacing w:after="0" w:line="240" w:lineRule="auto"/>
              <w:jc w:val="center"/>
              <w:rPr>
                <w:rFonts w:ascii="Times New Roman" w:hAnsi="Times New Roman"/>
                <w:sz w:val="18"/>
                <w:szCs w:val="18"/>
              </w:rPr>
            </w:pPr>
          </w:p>
        </w:tc>
        <w:tc>
          <w:tcPr>
            <w:tcW w:w="780" w:type="dxa"/>
            <w:vAlign w:val="center"/>
          </w:tcPr>
          <w:p w14:paraId="1964A030" w14:textId="77777777" w:rsidR="001C32C8" w:rsidRPr="00B0658A" w:rsidRDefault="001C32C8" w:rsidP="00004A41">
            <w:pPr>
              <w:spacing w:after="0" w:line="240" w:lineRule="auto"/>
              <w:jc w:val="center"/>
              <w:rPr>
                <w:rFonts w:ascii="Times New Roman" w:hAnsi="Times New Roman"/>
                <w:sz w:val="18"/>
                <w:szCs w:val="18"/>
              </w:rPr>
            </w:pPr>
          </w:p>
        </w:tc>
        <w:tc>
          <w:tcPr>
            <w:tcW w:w="1475" w:type="dxa"/>
            <w:vAlign w:val="center"/>
          </w:tcPr>
          <w:p w14:paraId="44621B9E" w14:textId="77777777" w:rsidR="001C32C8" w:rsidRPr="00B0658A" w:rsidRDefault="001C32C8" w:rsidP="00004A41">
            <w:pPr>
              <w:spacing w:after="0" w:line="240" w:lineRule="auto"/>
              <w:jc w:val="center"/>
              <w:rPr>
                <w:rFonts w:ascii="Times New Roman" w:hAnsi="Times New Roman"/>
                <w:sz w:val="18"/>
                <w:szCs w:val="18"/>
              </w:rPr>
            </w:pPr>
          </w:p>
        </w:tc>
      </w:tr>
      <w:tr w:rsidR="00F52FED" w:rsidRPr="00B0658A" w14:paraId="1C086865" w14:textId="77777777" w:rsidTr="00E66BA4">
        <w:trPr>
          <w:trHeight w:val="20"/>
        </w:trPr>
        <w:tc>
          <w:tcPr>
            <w:tcW w:w="846" w:type="dxa"/>
            <w:shd w:val="clear" w:color="000000" w:fill="FFFFFF"/>
            <w:vAlign w:val="center"/>
          </w:tcPr>
          <w:p w14:paraId="26587F79" w14:textId="77777777" w:rsidR="001C32C8" w:rsidRPr="00B0658A" w:rsidRDefault="001C32C8" w:rsidP="00004A41">
            <w:pPr>
              <w:spacing w:after="0" w:line="240" w:lineRule="auto"/>
              <w:jc w:val="center"/>
              <w:rPr>
                <w:rFonts w:ascii="Times New Roman" w:hAnsi="Times New Roman"/>
                <w:sz w:val="18"/>
                <w:szCs w:val="18"/>
              </w:rPr>
            </w:pPr>
            <w:r w:rsidRPr="00B0658A">
              <w:rPr>
                <w:rFonts w:ascii="Times New Roman" w:hAnsi="Times New Roman"/>
                <w:sz w:val="18"/>
                <w:szCs w:val="18"/>
              </w:rPr>
              <w:t>4.1</w:t>
            </w:r>
          </w:p>
        </w:tc>
        <w:tc>
          <w:tcPr>
            <w:tcW w:w="1559" w:type="dxa"/>
            <w:shd w:val="clear" w:color="auto" w:fill="auto"/>
            <w:vAlign w:val="center"/>
            <w:hideMark/>
          </w:tcPr>
          <w:p w14:paraId="2C1F119D" w14:textId="77777777" w:rsidR="001C32C8" w:rsidRPr="00B0658A" w:rsidRDefault="001C32C8" w:rsidP="00004A41">
            <w:pPr>
              <w:spacing w:after="0" w:line="240" w:lineRule="auto"/>
              <w:rPr>
                <w:rFonts w:ascii="Times New Roman" w:hAnsi="Times New Roman"/>
                <w:sz w:val="18"/>
                <w:szCs w:val="18"/>
              </w:rPr>
            </w:pPr>
            <w:r w:rsidRPr="00B0658A">
              <w:rPr>
                <w:rFonts w:ascii="Times New Roman" w:hAnsi="Times New Roman"/>
                <w:sz w:val="18"/>
                <w:szCs w:val="18"/>
              </w:rPr>
              <w:t xml:space="preserve">Средства разработки программного </w:t>
            </w:r>
            <w:r w:rsidRPr="00B0658A">
              <w:rPr>
                <w:rFonts w:ascii="Times New Roman" w:hAnsi="Times New Roman"/>
                <w:sz w:val="18"/>
                <w:szCs w:val="18"/>
              </w:rPr>
              <w:lastRenderedPageBreak/>
              <w:t>обеспечения/ Средства подготовки исполнимого кода</w:t>
            </w:r>
          </w:p>
        </w:tc>
        <w:tc>
          <w:tcPr>
            <w:tcW w:w="1418" w:type="dxa"/>
            <w:shd w:val="clear" w:color="000000" w:fill="FFFFFF"/>
            <w:hideMark/>
          </w:tcPr>
          <w:p w14:paraId="3EF3778C" w14:textId="77777777" w:rsidR="001C32C8" w:rsidRPr="00B0658A" w:rsidRDefault="001C32C8" w:rsidP="00004A41">
            <w:pPr>
              <w:spacing w:after="0" w:line="240" w:lineRule="auto"/>
              <w:rPr>
                <w:rFonts w:ascii="Times New Roman" w:hAnsi="Times New Roman"/>
                <w:sz w:val="18"/>
                <w:szCs w:val="18"/>
              </w:rPr>
            </w:pPr>
            <w:r w:rsidRPr="00B0658A">
              <w:rPr>
                <w:rFonts w:ascii="Times New Roman" w:hAnsi="Times New Roman"/>
                <w:sz w:val="18"/>
                <w:szCs w:val="18"/>
              </w:rPr>
              <w:lastRenderedPageBreak/>
              <w:t xml:space="preserve">Доля используемого российского ПО </w:t>
            </w:r>
            <w:r w:rsidRPr="00B0658A">
              <w:rPr>
                <w:rFonts w:ascii="Times New Roman" w:hAnsi="Times New Roman"/>
                <w:sz w:val="18"/>
                <w:szCs w:val="18"/>
              </w:rPr>
              <w:lastRenderedPageBreak/>
              <w:t>в общем объёме, используемого ПО, %</w:t>
            </w:r>
          </w:p>
        </w:tc>
        <w:tc>
          <w:tcPr>
            <w:tcW w:w="744" w:type="dxa"/>
            <w:vAlign w:val="center"/>
          </w:tcPr>
          <w:p w14:paraId="1D3E0297"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auto" w:fill="auto"/>
            <w:vAlign w:val="center"/>
            <w:hideMark/>
          </w:tcPr>
          <w:p w14:paraId="6EF60E54"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auto" w:fill="auto"/>
            <w:vAlign w:val="center"/>
            <w:hideMark/>
          </w:tcPr>
          <w:p w14:paraId="7090A48C"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auto" w:fill="auto"/>
            <w:vAlign w:val="center"/>
            <w:hideMark/>
          </w:tcPr>
          <w:p w14:paraId="78058EC2" w14:textId="77777777" w:rsidR="001C32C8" w:rsidRPr="00B0658A" w:rsidRDefault="001C32C8" w:rsidP="00004A41">
            <w:pPr>
              <w:spacing w:after="0" w:line="240" w:lineRule="auto"/>
              <w:jc w:val="center"/>
              <w:rPr>
                <w:rFonts w:ascii="Times New Roman" w:hAnsi="Times New Roman"/>
                <w:sz w:val="18"/>
                <w:szCs w:val="18"/>
              </w:rPr>
            </w:pPr>
          </w:p>
        </w:tc>
        <w:tc>
          <w:tcPr>
            <w:tcW w:w="993" w:type="dxa"/>
            <w:vAlign w:val="center"/>
          </w:tcPr>
          <w:p w14:paraId="0842AB15"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auto" w:fill="auto"/>
            <w:vAlign w:val="center"/>
            <w:hideMark/>
          </w:tcPr>
          <w:p w14:paraId="00A9E8D3" w14:textId="77777777" w:rsidR="001C32C8" w:rsidRPr="00B0658A" w:rsidRDefault="001C32C8" w:rsidP="00004A41">
            <w:pPr>
              <w:spacing w:after="0" w:line="240" w:lineRule="auto"/>
              <w:jc w:val="center"/>
              <w:rPr>
                <w:rFonts w:ascii="Times New Roman" w:hAnsi="Times New Roman"/>
                <w:sz w:val="18"/>
                <w:szCs w:val="18"/>
              </w:rPr>
            </w:pPr>
          </w:p>
        </w:tc>
        <w:tc>
          <w:tcPr>
            <w:tcW w:w="780" w:type="dxa"/>
            <w:shd w:val="clear" w:color="auto" w:fill="auto"/>
            <w:vAlign w:val="center"/>
            <w:hideMark/>
          </w:tcPr>
          <w:p w14:paraId="11558FDE"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auto" w:fill="auto"/>
            <w:vAlign w:val="center"/>
            <w:hideMark/>
          </w:tcPr>
          <w:p w14:paraId="1A7CE762" w14:textId="77777777" w:rsidR="001C32C8" w:rsidRPr="00B0658A" w:rsidRDefault="001C32C8" w:rsidP="00004A41">
            <w:pPr>
              <w:spacing w:after="0" w:line="240" w:lineRule="auto"/>
              <w:jc w:val="center"/>
              <w:rPr>
                <w:rFonts w:ascii="Times New Roman" w:hAnsi="Times New Roman"/>
                <w:sz w:val="18"/>
                <w:szCs w:val="18"/>
              </w:rPr>
            </w:pPr>
          </w:p>
        </w:tc>
        <w:tc>
          <w:tcPr>
            <w:tcW w:w="780" w:type="dxa"/>
            <w:vAlign w:val="center"/>
          </w:tcPr>
          <w:p w14:paraId="44C54E44" w14:textId="77777777" w:rsidR="001C32C8" w:rsidRPr="00B0658A" w:rsidRDefault="001C32C8" w:rsidP="00004A41">
            <w:pPr>
              <w:spacing w:after="0" w:line="240" w:lineRule="auto"/>
              <w:jc w:val="center"/>
              <w:rPr>
                <w:rFonts w:ascii="Times New Roman" w:hAnsi="Times New Roman"/>
                <w:sz w:val="18"/>
                <w:szCs w:val="18"/>
              </w:rPr>
            </w:pPr>
          </w:p>
        </w:tc>
        <w:tc>
          <w:tcPr>
            <w:tcW w:w="779" w:type="dxa"/>
            <w:vAlign w:val="center"/>
          </w:tcPr>
          <w:p w14:paraId="6058569D" w14:textId="77777777" w:rsidR="001C32C8" w:rsidRPr="00B0658A" w:rsidRDefault="001C32C8" w:rsidP="00004A41">
            <w:pPr>
              <w:spacing w:after="0" w:line="240" w:lineRule="auto"/>
              <w:jc w:val="center"/>
              <w:rPr>
                <w:rFonts w:ascii="Times New Roman" w:hAnsi="Times New Roman"/>
                <w:sz w:val="18"/>
                <w:szCs w:val="18"/>
              </w:rPr>
            </w:pPr>
          </w:p>
        </w:tc>
        <w:tc>
          <w:tcPr>
            <w:tcW w:w="780" w:type="dxa"/>
            <w:vAlign w:val="center"/>
          </w:tcPr>
          <w:p w14:paraId="37FFA758" w14:textId="77777777" w:rsidR="001C32C8" w:rsidRPr="00B0658A" w:rsidRDefault="001C32C8" w:rsidP="00004A41">
            <w:pPr>
              <w:spacing w:after="0" w:line="240" w:lineRule="auto"/>
              <w:jc w:val="center"/>
              <w:rPr>
                <w:rFonts w:ascii="Times New Roman" w:hAnsi="Times New Roman"/>
                <w:sz w:val="18"/>
                <w:szCs w:val="18"/>
              </w:rPr>
            </w:pPr>
          </w:p>
        </w:tc>
        <w:tc>
          <w:tcPr>
            <w:tcW w:w="1475" w:type="dxa"/>
            <w:vAlign w:val="center"/>
          </w:tcPr>
          <w:p w14:paraId="65C39A6E" w14:textId="77777777" w:rsidR="001C32C8" w:rsidRPr="00B0658A" w:rsidRDefault="001C32C8" w:rsidP="00004A41">
            <w:pPr>
              <w:spacing w:after="0" w:line="240" w:lineRule="auto"/>
              <w:jc w:val="center"/>
              <w:rPr>
                <w:rFonts w:ascii="Times New Roman" w:hAnsi="Times New Roman"/>
                <w:sz w:val="18"/>
                <w:szCs w:val="18"/>
              </w:rPr>
            </w:pPr>
          </w:p>
        </w:tc>
      </w:tr>
      <w:tr w:rsidR="00F52FED" w:rsidRPr="00B0658A" w14:paraId="6ECEBFF8" w14:textId="77777777" w:rsidTr="00E66BA4">
        <w:trPr>
          <w:trHeight w:val="20"/>
        </w:trPr>
        <w:tc>
          <w:tcPr>
            <w:tcW w:w="846" w:type="dxa"/>
            <w:shd w:val="clear" w:color="000000" w:fill="FFFFFF"/>
            <w:vAlign w:val="center"/>
          </w:tcPr>
          <w:p w14:paraId="0999BCE4" w14:textId="77777777" w:rsidR="001C32C8" w:rsidRPr="00B0658A" w:rsidRDefault="001C32C8" w:rsidP="00004A41">
            <w:pPr>
              <w:spacing w:after="0" w:line="240" w:lineRule="auto"/>
              <w:jc w:val="center"/>
              <w:rPr>
                <w:rFonts w:ascii="Times New Roman" w:hAnsi="Times New Roman"/>
                <w:sz w:val="18"/>
                <w:szCs w:val="18"/>
              </w:rPr>
            </w:pPr>
            <w:r w:rsidRPr="00B0658A">
              <w:rPr>
                <w:rFonts w:ascii="Times New Roman" w:hAnsi="Times New Roman"/>
                <w:sz w:val="18"/>
                <w:szCs w:val="18"/>
              </w:rPr>
              <w:t>4.2</w:t>
            </w:r>
          </w:p>
        </w:tc>
        <w:tc>
          <w:tcPr>
            <w:tcW w:w="1559" w:type="dxa"/>
            <w:shd w:val="clear" w:color="auto" w:fill="auto"/>
            <w:vAlign w:val="center"/>
            <w:hideMark/>
          </w:tcPr>
          <w:p w14:paraId="69F03444" w14:textId="77777777" w:rsidR="001C32C8" w:rsidRPr="00B0658A" w:rsidRDefault="001C32C8" w:rsidP="00004A41">
            <w:pPr>
              <w:spacing w:after="0" w:line="240" w:lineRule="auto"/>
              <w:rPr>
                <w:rFonts w:ascii="Times New Roman" w:hAnsi="Times New Roman"/>
                <w:sz w:val="18"/>
                <w:szCs w:val="18"/>
              </w:rPr>
            </w:pPr>
            <w:r w:rsidRPr="00B0658A">
              <w:rPr>
                <w:rFonts w:ascii="Times New Roman" w:hAnsi="Times New Roman"/>
                <w:sz w:val="18"/>
                <w:szCs w:val="18"/>
              </w:rPr>
              <w:t>Средства разработки программного обеспечения/ Средства версионного контроля исходного кода</w:t>
            </w:r>
          </w:p>
        </w:tc>
        <w:tc>
          <w:tcPr>
            <w:tcW w:w="1418" w:type="dxa"/>
            <w:shd w:val="clear" w:color="000000" w:fill="FFFFFF"/>
            <w:hideMark/>
          </w:tcPr>
          <w:p w14:paraId="3F1212CF" w14:textId="77777777" w:rsidR="001C32C8" w:rsidRPr="00B0658A" w:rsidRDefault="001C32C8" w:rsidP="00004A41">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44" w:type="dxa"/>
            <w:vAlign w:val="center"/>
          </w:tcPr>
          <w:p w14:paraId="33685D93"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auto" w:fill="auto"/>
            <w:vAlign w:val="center"/>
            <w:hideMark/>
          </w:tcPr>
          <w:p w14:paraId="45DAAA17"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auto" w:fill="auto"/>
            <w:vAlign w:val="center"/>
            <w:hideMark/>
          </w:tcPr>
          <w:p w14:paraId="70BC1E74"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auto" w:fill="auto"/>
            <w:vAlign w:val="center"/>
            <w:hideMark/>
          </w:tcPr>
          <w:p w14:paraId="7BE929C5" w14:textId="77777777" w:rsidR="001C32C8" w:rsidRPr="00B0658A" w:rsidRDefault="001C32C8" w:rsidP="00004A41">
            <w:pPr>
              <w:spacing w:after="0" w:line="240" w:lineRule="auto"/>
              <w:jc w:val="center"/>
              <w:rPr>
                <w:rFonts w:ascii="Times New Roman" w:hAnsi="Times New Roman"/>
                <w:sz w:val="18"/>
                <w:szCs w:val="18"/>
              </w:rPr>
            </w:pPr>
          </w:p>
        </w:tc>
        <w:tc>
          <w:tcPr>
            <w:tcW w:w="993" w:type="dxa"/>
            <w:vAlign w:val="center"/>
          </w:tcPr>
          <w:p w14:paraId="3AF45E7B"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auto" w:fill="auto"/>
            <w:vAlign w:val="center"/>
            <w:hideMark/>
          </w:tcPr>
          <w:p w14:paraId="4BD96E86" w14:textId="77777777" w:rsidR="001C32C8" w:rsidRPr="00B0658A" w:rsidRDefault="001C32C8" w:rsidP="00004A41">
            <w:pPr>
              <w:spacing w:after="0" w:line="240" w:lineRule="auto"/>
              <w:jc w:val="center"/>
              <w:rPr>
                <w:rFonts w:ascii="Times New Roman" w:hAnsi="Times New Roman"/>
                <w:sz w:val="18"/>
                <w:szCs w:val="18"/>
              </w:rPr>
            </w:pPr>
          </w:p>
        </w:tc>
        <w:tc>
          <w:tcPr>
            <w:tcW w:w="780" w:type="dxa"/>
            <w:shd w:val="clear" w:color="auto" w:fill="auto"/>
            <w:vAlign w:val="center"/>
            <w:hideMark/>
          </w:tcPr>
          <w:p w14:paraId="6F71DC59"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auto" w:fill="auto"/>
            <w:vAlign w:val="center"/>
            <w:hideMark/>
          </w:tcPr>
          <w:p w14:paraId="7E1F4215" w14:textId="77777777" w:rsidR="001C32C8" w:rsidRPr="00B0658A" w:rsidRDefault="001C32C8" w:rsidP="00004A41">
            <w:pPr>
              <w:spacing w:after="0" w:line="240" w:lineRule="auto"/>
              <w:jc w:val="center"/>
              <w:rPr>
                <w:rFonts w:ascii="Times New Roman" w:hAnsi="Times New Roman"/>
                <w:sz w:val="18"/>
                <w:szCs w:val="18"/>
              </w:rPr>
            </w:pPr>
          </w:p>
        </w:tc>
        <w:tc>
          <w:tcPr>
            <w:tcW w:w="780" w:type="dxa"/>
            <w:vAlign w:val="center"/>
          </w:tcPr>
          <w:p w14:paraId="1037144C" w14:textId="77777777" w:rsidR="001C32C8" w:rsidRPr="00B0658A" w:rsidRDefault="001C32C8" w:rsidP="00004A41">
            <w:pPr>
              <w:spacing w:after="0" w:line="240" w:lineRule="auto"/>
              <w:jc w:val="center"/>
              <w:rPr>
                <w:rFonts w:ascii="Times New Roman" w:hAnsi="Times New Roman"/>
                <w:sz w:val="18"/>
                <w:szCs w:val="18"/>
              </w:rPr>
            </w:pPr>
          </w:p>
        </w:tc>
        <w:tc>
          <w:tcPr>
            <w:tcW w:w="779" w:type="dxa"/>
            <w:vAlign w:val="center"/>
          </w:tcPr>
          <w:p w14:paraId="2C12540B" w14:textId="77777777" w:rsidR="001C32C8" w:rsidRPr="00B0658A" w:rsidRDefault="001C32C8" w:rsidP="00004A41">
            <w:pPr>
              <w:spacing w:after="0" w:line="240" w:lineRule="auto"/>
              <w:jc w:val="center"/>
              <w:rPr>
                <w:rFonts w:ascii="Times New Roman" w:hAnsi="Times New Roman"/>
                <w:sz w:val="18"/>
                <w:szCs w:val="18"/>
              </w:rPr>
            </w:pPr>
          </w:p>
        </w:tc>
        <w:tc>
          <w:tcPr>
            <w:tcW w:w="780" w:type="dxa"/>
            <w:vAlign w:val="center"/>
          </w:tcPr>
          <w:p w14:paraId="562EF8D2" w14:textId="77777777" w:rsidR="001C32C8" w:rsidRPr="00B0658A" w:rsidRDefault="001C32C8" w:rsidP="00004A41">
            <w:pPr>
              <w:spacing w:after="0" w:line="240" w:lineRule="auto"/>
              <w:jc w:val="center"/>
              <w:rPr>
                <w:rFonts w:ascii="Times New Roman" w:hAnsi="Times New Roman"/>
                <w:sz w:val="18"/>
                <w:szCs w:val="18"/>
              </w:rPr>
            </w:pPr>
          </w:p>
        </w:tc>
        <w:tc>
          <w:tcPr>
            <w:tcW w:w="1475" w:type="dxa"/>
            <w:vAlign w:val="center"/>
          </w:tcPr>
          <w:p w14:paraId="630C6D6C" w14:textId="77777777" w:rsidR="001C32C8" w:rsidRPr="00B0658A" w:rsidRDefault="001C32C8" w:rsidP="00004A41">
            <w:pPr>
              <w:spacing w:after="0" w:line="240" w:lineRule="auto"/>
              <w:jc w:val="center"/>
              <w:rPr>
                <w:rFonts w:ascii="Times New Roman" w:hAnsi="Times New Roman"/>
                <w:sz w:val="18"/>
                <w:szCs w:val="18"/>
              </w:rPr>
            </w:pPr>
          </w:p>
        </w:tc>
      </w:tr>
      <w:tr w:rsidR="00F52FED" w:rsidRPr="00B0658A" w14:paraId="4FE5A306" w14:textId="77777777" w:rsidTr="00E66BA4">
        <w:trPr>
          <w:trHeight w:val="20"/>
        </w:trPr>
        <w:tc>
          <w:tcPr>
            <w:tcW w:w="846" w:type="dxa"/>
            <w:shd w:val="clear" w:color="000000" w:fill="FFFFFF"/>
            <w:vAlign w:val="center"/>
          </w:tcPr>
          <w:p w14:paraId="0CA770FA" w14:textId="77777777" w:rsidR="001C32C8" w:rsidRPr="00B0658A" w:rsidRDefault="001C32C8" w:rsidP="00004A41">
            <w:pPr>
              <w:spacing w:after="0" w:line="240" w:lineRule="auto"/>
              <w:jc w:val="center"/>
              <w:rPr>
                <w:rFonts w:ascii="Times New Roman" w:hAnsi="Times New Roman"/>
                <w:sz w:val="18"/>
                <w:szCs w:val="18"/>
              </w:rPr>
            </w:pPr>
            <w:r w:rsidRPr="00B0658A">
              <w:rPr>
                <w:rFonts w:ascii="Times New Roman" w:hAnsi="Times New Roman"/>
                <w:sz w:val="18"/>
                <w:szCs w:val="18"/>
              </w:rPr>
              <w:t>4.3</w:t>
            </w:r>
          </w:p>
        </w:tc>
        <w:tc>
          <w:tcPr>
            <w:tcW w:w="1559" w:type="dxa"/>
            <w:shd w:val="clear" w:color="auto" w:fill="auto"/>
            <w:vAlign w:val="center"/>
            <w:hideMark/>
          </w:tcPr>
          <w:p w14:paraId="0EA5DF3F" w14:textId="77777777" w:rsidR="001C32C8" w:rsidRPr="00B0658A" w:rsidRDefault="001C32C8" w:rsidP="00004A41">
            <w:pPr>
              <w:spacing w:after="0" w:line="240" w:lineRule="auto"/>
              <w:rPr>
                <w:rFonts w:ascii="Times New Roman" w:hAnsi="Times New Roman"/>
                <w:sz w:val="18"/>
                <w:szCs w:val="18"/>
              </w:rPr>
            </w:pPr>
            <w:r w:rsidRPr="00B0658A">
              <w:rPr>
                <w:rFonts w:ascii="Times New Roman" w:hAnsi="Times New Roman"/>
                <w:sz w:val="18"/>
                <w:szCs w:val="18"/>
              </w:rPr>
              <w:t>Средства разработки программного обеспечения/ Библиотеки подпрограмм (SDK)</w:t>
            </w:r>
          </w:p>
        </w:tc>
        <w:tc>
          <w:tcPr>
            <w:tcW w:w="1418" w:type="dxa"/>
            <w:shd w:val="clear" w:color="000000" w:fill="FFFFFF"/>
            <w:hideMark/>
          </w:tcPr>
          <w:p w14:paraId="0C721EC0" w14:textId="77777777" w:rsidR="001C32C8" w:rsidRPr="00B0658A" w:rsidRDefault="001C32C8" w:rsidP="00004A41">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44" w:type="dxa"/>
            <w:vAlign w:val="center"/>
          </w:tcPr>
          <w:p w14:paraId="11125B55"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auto" w:fill="auto"/>
            <w:vAlign w:val="center"/>
            <w:hideMark/>
          </w:tcPr>
          <w:p w14:paraId="08468C79"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auto" w:fill="auto"/>
            <w:vAlign w:val="center"/>
            <w:hideMark/>
          </w:tcPr>
          <w:p w14:paraId="1587A11A"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auto" w:fill="auto"/>
            <w:vAlign w:val="center"/>
            <w:hideMark/>
          </w:tcPr>
          <w:p w14:paraId="0F3C1D31" w14:textId="77777777" w:rsidR="001C32C8" w:rsidRPr="00B0658A" w:rsidRDefault="001C32C8" w:rsidP="00004A41">
            <w:pPr>
              <w:spacing w:after="0" w:line="240" w:lineRule="auto"/>
              <w:jc w:val="center"/>
              <w:rPr>
                <w:rFonts w:ascii="Times New Roman" w:hAnsi="Times New Roman"/>
                <w:sz w:val="18"/>
                <w:szCs w:val="18"/>
              </w:rPr>
            </w:pPr>
          </w:p>
        </w:tc>
        <w:tc>
          <w:tcPr>
            <w:tcW w:w="993" w:type="dxa"/>
            <w:vAlign w:val="center"/>
          </w:tcPr>
          <w:p w14:paraId="1038A3DD"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auto" w:fill="auto"/>
            <w:vAlign w:val="center"/>
            <w:hideMark/>
          </w:tcPr>
          <w:p w14:paraId="67F31E90" w14:textId="77777777" w:rsidR="001C32C8" w:rsidRPr="00B0658A" w:rsidRDefault="001C32C8" w:rsidP="00004A41">
            <w:pPr>
              <w:spacing w:after="0" w:line="240" w:lineRule="auto"/>
              <w:jc w:val="center"/>
              <w:rPr>
                <w:rFonts w:ascii="Times New Roman" w:hAnsi="Times New Roman"/>
                <w:sz w:val="18"/>
                <w:szCs w:val="18"/>
              </w:rPr>
            </w:pPr>
          </w:p>
        </w:tc>
        <w:tc>
          <w:tcPr>
            <w:tcW w:w="780" w:type="dxa"/>
            <w:shd w:val="clear" w:color="auto" w:fill="auto"/>
            <w:vAlign w:val="center"/>
            <w:hideMark/>
          </w:tcPr>
          <w:p w14:paraId="74E86CE0"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auto" w:fill="auto"/>
            <w:vAlign w:val="center"/>
            <w:hideMark/>
          </w:tcPr>
          <w:p w14:paraId="13A5C32A" w14:textId="77777777" w:rsidR="001C32C8" w:rsidRPr="00B0658A" w:rsidRDefault="001C32C8" w:rsidP="00004A41">
            <w:pPr>
              <w:spacing w:after="0" w:line="240" w:lineRule="auto"/>
              <w:jc w:val="center"/>
              <w:rPr>
                <w:rFonts w:ascii="Times New Roman" w:hAnsi="Times New Roman"/>
                <w:sz w:val="18"/>
                <w:szCs w:val="18"/>
              </w:rPr>
            </w:pPr>
          </w:p>
        </w:tc>
        <w:tc>
          <w:tcPr>
            <w:tcW w:w="780" w:type="dxa"/>
            <w:vAlign w:val="center"/>
          </w:tcPr>
          <w:p w14:paraId="593CEA6A" w14:textId="77777777" w:rsidR="001C32C8" w:rsidRPr="00B0658A" w:rsidRDefault="001C32C8" w:rsidP="00004A41">
            <w:pPr>
              <w:spacing w:after="0" w:line="240" w:lineRule="auto"/>
              <w:jc w:val="center"/>
              <w:rPr>
                <w:rFonts w:ascii="Times New Roman" w:hAnsi="Times New Roman"/>
                <w:sz w:val="18"/>
                <w:szCs w:val="18"/>
              </w:rPr>
            </w:pPr>
          </w:p>
        </w:tc>
        <w:tc>
          <w:tcPr>
            <w:tcW w:w="779" w:type="dxa"/>
            <w:vAlign w:val="center"/>
          </w:tcPr>
          <w:p w14:paraId="10F9BB47" w14:textId="77777777" w:rsidR="001C32C8" w:rsidRPr="00B0658A" w:rsidRDefault="001C32C8" w:rsidP="00004A41">
            <w:pPr>
              <w:spacing w:after="0" w:line="240" w:lineRule="auto"/>
              <w:jc w:val="center"/>
              <w:rPr>
                <w:rFonts w:ascii="Times New Roman" w:hAnsi="Times New Roman"/>
                <w:sz w:val="18"/>
                <w:szCs w:val="18"/>
              </w:rPr>
            </w:pPr>
          </w:p>
        </w:tc>
        <w:tc>
          <w:tcPr>
            <w:tcW w:w="780" w:type="dxa"/>
            <w:vAlign w:val="center"/>
          </w:tcPr>
          <w:p w14:paraId="5792534E" w14:textId="77777777" w:rsidR="001C32C8" w:rsidRPr="00B0658A" w:rsidRDefault="001C32C8" w:rsidP="00004A41">
            <w:pPr>
              <w:spacing w:after="0" w:line="240" w:lineRule="auto"/>
              <w:jc w:val="center"/>
              <w:rPr>
                <w:rFonts w:ascii="Times New Roman" w:hAnsi="Times New Roman"/>
                <w:sz w:val="18"/>
                <w:szCs w:val="18"/>
              </w:rPr>
            </w:pPr>
          </w:p>
        </w:tc>
        <w:tc>
          <w:tcPr>
            <w:tcW w:w="1475" w:type="dxa"/>
            <w:vAlign w:val="center"/>
          </w:tcPr>
          <w:p w14:paraId="2392C03D" w14:textId="77777777" w:rsidR="001C32C8" w:rsidRPr="00B0658A" w:rsidRDefault="001C32C8" w:rsidP="00004A41">
            <w:pPr>
              <w:spacing w:after="0" w:line="240" w:lineRule="auto"/>
              <w:jc w:val="center"/>
              <w:rPr>
                <w:rFonts w:ascii="Times New Roman" w:hAnsi="Times New Roman"/>
                <w:sz w:val="18"/>
                <w:szCs w:val="18"/>
              </w:rPr>
            </w:pPr>
          </w:p>
        </w:tc>
      </w:tr>
      <w:tr w:rsidR="00F52FED" w:rsidRPr="00B0658A" w14:paraId="51CBAEDE" w14:textId="77777777" w:rsidTr="00E66BA4">
        <w:trPr>
          <w:trHeight w:val="20"/>
        </w:trPr>
        <w:tc>
          <w:tcPr>
            <w:tcW w:w="846" w:type="dxa"/>
            <w:shd w:val="clear" w:color="000000" w:fill="FFFFFF"/>
            <w:vAlign w:val="center"/>
          </w:tcPr>
          <w:p w14:paraId="37AC063B" w14:textId="77777777" w:rsidR="001C32C8" w:rsidRPr="00B0658A" w:rsidRDefault="001C32C8" w:rsidP="00004A41">
            <w:pPr>
              <w:spacing w:after="0" w:line="240" w:lineRule="auto"/>
              <w:jc w:val="center"/>
              <w:rPr>
                <w:rFonts w:ascii="Times New Roman" w:hAnsi="Times New Roman"/>
                <w:sz w:val="18"/>
                <w:szCs w:val="18"/>
              </w:rPr>
            </w:pPr>
            <w:r w:rsidRPr="00B0658A">
              <w:rPr>
                <w:rFonts w:ascii="Times New Roman" w:hAnsi="Times New Roman"/>
                <w:sz w:val="18"/>
                <w:szCs w:val="18"/>
              </w:rPr>
              <w:t>4.4</w:t>
            </w:r>
          </w:p>
        </w:tc>
        <w:tc>
          <w:tcPr>
            <w:tcW w:w="1559" w:type="dxa"/>
            <w:shd w:val="clear" w:color="auto" w:fill="auto"/>
            <w:vAlign w:val="center"/>
            <w:hideMark/>
          </w:tcPr>
          <w:p w14:paraId="5D77D23C" w14:textId="77777777" w:rsidR="001C32C8" w:rsidRPr="00B0658A" w:rsidRDefault="001C32C8" w:rsidP="00004A41">
            <w:pPr>
              <w:spacing w:after="0" w:line="240" w:lineRule="auto"/>
              <w:rPr>
                <w:rFonts w:ascii="Times New Roman" w:hAnsi="Times New Roman"/>
                <w:sz w:val="18"/>
                <w:szCs w:val="18"/>
              </w:rPr>
            </w:pPr>
            <w:r w:rsidRPr="00B0658A">
              <w:rPr>
                <w:rFonts w:ascii="Times New Roman" w:hAnsi="Times New Roman"/>
                <w:sz w:val="18"/>
                <w:szCs w:val="18"/>
              </w:rPr>
              <w:t>Средства разработки программного обеспечения/ Среды разработки, тестирования и отладки</w:t>
            </w:r>
          </w:p>
        </w:tc>
        <w:tc>
          <w:tcPr>
            <w:tcW w:w="1418" w:type="dxa"/>
            <w:shd w:val="clear" w:color="000000" w:fill="FFFFFF"/>
            <w:hideMark/>
          </w:tcPr>
          <w:p w14:paraId="58C9289A" w14:textId="77777777" w:rsidR="001C32C8" w:rsidRPr="00B0658A" w:rsidRDefault="001C32C8" w:rsidP="00004A41">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44" w:type="dxa"/>
            <w:vAlign w:val="center"/>
          </w:tcPr>
          <w:p w14:paraId="38278FDC"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auto" w:fill="auto"/>
            <w:vAlign w:val="center"/>
            <w:hideMark/>
          </w:tcPr>
          <w:p w14:paraId="60C6C4AF"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auto" w:fill="auto"/>
            <w:vAlign w:val="center"/>
            <w:hideMark/>
          </w:tcPr>
          <w:p w14:paraId="44745EA4"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auto" w:fill="auto"/>
            <w:vAlign w:val="center"/>
            <w:hideMark/>
          </w:tcPr>
          <w:p w14:paraId="3F5F9717" w14:textId="77777777" w:rsidR="001C32C8" w:rsidRPr="00B0658A" w:rsidRDefault="001C32C8" w:rsidP="00004A41">
            <w:pPr>
              <w:spacing w:after="0" w:line="240" w:lineRule="auto"/>
              <w:jc w:val="center"/>
              <w:rPr>
                <w:rFonts w:ascii="Times New Roman" w:hAnsi="Times New Roman"/>
                <w:sz w:val="18"/>
                <w:szCs w:val="18"/>
              </w:rPr>
            </w:pPr>
          </w:p>
        </w:tc>
        <w:tc>
          <w:tcPr>
            <w:tcW w:w="993" w:type="dxa"/>
            <w:vAlign w:val="center"/>
          </w:tcPr>
          <w:p w14:paraId="51341B35"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auto" w:fill="auto"/>
            <w:vAlign w:val="center"/>
            <w:hideMark/>
          </w:tcPr>
          <w:p w14:paraId="57048F87" w14:textId="77777777" w:rsidR="001C32C8" w:rsidRPr="00B0658A" w:rsidRDefault="001C32C8" w:rsidP="00004A41">
            <w:pPr>
              <w:spacing w:after="0" w:line="240" w:lineRule="auto"/>
              <w:jc w:val="center"/>
              <w:rPr>
                <w:rFonts w:ascii="Times New Roman" w:hAnsi="Times New Roman"/>
                <w:sz w:val="18"/>
                <w:szCs w:val="18"/>
              </w:rPr>
            </w:pPr>
          </w:p>
        </w:tc>
        <w:tc>
          <w:tcPr>
            <w:tcW w:w="780" w:type="dxa"/>
            <w:shd w:val="clear" w:color="auto" w:fill="auto"/>
            <w:vAlign w:val="center"/>
            <w:hideMark/>
          </w:tcPr>
          <w:p w14:paraId="65030EA0"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auto" w:fill="auto"/>
            <w:vAlign w:val="center"/>
            <w:hideMark/>
          </w:tcPr>
          <w:p w14:paraId="4154EF22" w14:textId="77777777" w:rsidR="001C32C8" w:rsidRPr="00B0658A" w:rsidRDefault="001C32C8" w:rsidP="00004A41">
            <w:pPr>
              <w:spacing w:after="0" w:line="240" w:lineRule="auto"/>
              <w:jc w:val="center"/>
              <w:rPr>
                <w:rFonts w:ascii="Times New Roman" w:hAnsi="Times New Roman"/>
                <w:sz w:val="18"/>
                <w:szCs w:val="18"/>
              </w:rPr>
            </w:pPr>
          </w:p>
        </w:tc>
        <w:tc>
          <w:tcPr>
            <w:tcW w:w="780" w:type="dxa"/>
            <w:vAlign w:val="center"/>
          </w:tcPr>
          <w:p w14:paraId="7266D17A" w14:textId="77777777" w:rsidR="001C32C8" w:rsidRPr="00B0658A" w:rsidRDefault="001C32C8" w:rsidP="00004A41">
            <w:pPr>
              <w:spacing w:after="0" w:line="240" w:lineRule="auto"/>
              <w:jc w:val="center"/>
              <w:rPr>
                <w:rFonts w:ascii="Times New Roman" w:hAnsi="Times New Roman"/>
                <w:sz w:val="18"/>
                <w:szCs w:val="18"/>
              </w:rPr>
            </w:pPr>
          </w:p>
        </w:tc>
        <w:tc>
          <w:tcPr>
            <w:tcW w:w="779" w:type="dxa"/>
            <w:vAlign w:val="center"/>
          </w:tcPr>
          <w:p w14:paraId="6D7F2543" w14:textId="77777777" w:rsidR="001C32C8" w:rsidRPr="00B0658A" w:rsidRDefault="001C32C8" w:rsidP="00004A41">
            <w:pPr>
              <w:spacing w:after="0" w:line="240" w:lineRule="auto"/>
              <w:jc w:val="center"/>
              <w:rPr>
                <w:rFonts w:ascii="Times New Roman" w:hAnsi="Times New Roman"/>
                <w:sz w:val="18"/>
                <w:szCs w:val="18"/>
              </w:rPr>
            </w:pPr>
          </w:p>
        </w:tc>
        <w:tc>
          <w:tcPr>
            <w:tcW w:w="780" w:type="dxa"/>
            <w:vAlign w:val="center"/>
          </w:tcPr>
          <w:p w14:paraId="41C56391" w14:textId="77777777" w:rsidR="001C32C8" w:rsidRPr="00B0658A" w:rsidRDefault="001C32C8" w:rsidP="00004A41">
            <w:pPr>
              <w:spacing w:after="0" w:line="240" w:lineRule="auto"/>
              <w:jc w:val="center"/>
              <w:rPr>
                <w:rFonts w:ascii="Times New Roman" w:hAnsi="Times New Roman"/>
                <w:sz w:val="18"/>
                <w:szCs w:val="18"/>
              </w:rPr>
            </w:pPr>
          </w:p>
        </w:tc>
        <w:tc>
          <w:tcPr>
            <w:tcW w:w="1475" w:type="dxa"/>
            <w:vAlign w:val="center"/>
          </w:tcPr>
          <w:p w14:paraId="4C897EA0" w14:textId="77777777" w:rsidR="001C32C8" w:rsidRPr="00B0658A" w:rsidRDefault="001C32C8" w:rsidP="00004A41">
            <w:pPr>
              <w:spacing w:after="0" w:line="240" w:lineRule="auto"/>
              <w:jc w:val="center"/>
              <w:rPr>
                <w:rFonts w:ascii="Times New Roman" w:hAnsi="Times New Roman"/>
                <w:sz w:val="18"/>
                <w:szCs w:val="18"/>
              </w:rPr>
            </w:pPr>
          </w:p>
        </w:tc>
      </w:tr>
      <w:tr w:rsidR="00F52FED" w:rsidRPr="00B0658A" w14:paraId="72D51284" w14:textId="77777777" w:rsidTr="00E66BA4">
        <w:trPr>
          <w:trHeight w:val="20"/>
        </w:trPr>
        <w:tc>
          <w:tcPr>
            <w:tcW w:w="846" w:type="dxa"/>
            <w:shd w:val="clear" w:color="000000" w:fill="FFFFFF"/>
            <w:vAlign w:val="center"/>
          </w:tcPr>
          <w:p w14:paraId="0E006653" w14:textId="77777777" w:rsidR="001C32C8" w:rsidRPr="00B0658A" w:rsidRDefault="001C32C8" w:rsidP="00004A41">
            <w:pPr>
              <w:spacing w:after="0" w:line="240" w:lineRule="auto"/>
              <w:jc w:val="center"/>
              <w:rPr>
                <w:rFonts w:ascii="Times New Roman" w:hAnsi="Times New Roman"/>
                <w:sz w:val="18"/>
                <w:szCs w:val="18"/>
              </w:rPr>
            </w:pPr>
            <w:r w:rsidRPr="00B0658A">
              <w:rPr>
                <w:rFonts w:ascii="Times New Roman" w:hAnsi="Times New Roman"/>
                <w:sz w:val="18"/>
                <w:szCs w:val="18"/>
              </w:rPr>
              <w:t>4.5</w:t>
            </w:r>
          </w:p>
        </w:tc>
        <w:tc>
          <w:tcPr>
            <w:tcW w:w="1559" w:type="dxa"/>
            <w:shd w:val="clear" w:color="auto" w:fill="auto"/>
            <w:vAlign w:val="center"/>
            <w:hideMark/>
          </w:tcPr>
          <w:p w14:paraId="4062324E" w14:textId="77777777" w:rsidR="001C32C8" w:rsidRPr="00B0658A" w:rsidRDefault="001C32C8" w:rsidP="00004A41">
            <w:pPr>
              <w:spacing w:after="0" w:line="240" w:lineRule="auto"/>
              <w:rPr>
                <w:rFonts w:ascii="Times New Roman" w:hAnsi="Times New Roman"/>
                <w:sz w:val="18"/>
                <w:szCs w:val="18"/>
              </w:rPr>
            </w:pPr>
            <w:r w:rsidRPr="00B0658A">
              <w:rPr>
                <w:rFonts w:ascii="Times New Roman" w:hAnsi="Times New Roman"/>
                <w:sz w:val="18"/>
                <w:szCs w:val="18"/>
              </w:rPr>
              <w:t>Средства разработки программного обеспечения/ Средства анализа исходного кода на закладки и уязвимости</w:t>
            </w:r>
          </w:p>
        </w:tc>
        <w:tc>
          <w:tcPr>
            <w:tcW w:w="1418" w:type="dxa"/>
            <w:shd w:val="clear" w:color="000000" w:fill="FFFFFF"/>
            <w:hideMark/>
          </w:tcPr>
          <w:p w14:paraId="12309E00" w14:textId="77777777" w:rsidR="001C32C8" w:rsidRPr="00B0658A" w:rsidRDefault="001C32C8" w:rsidP="00004A41">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44" w:type="dxa"/>
            <w:vAlign w:val="center"/>
          </w:tcPr>
          <w:p w14:paraId="6E2A1A4C"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auto" w:fill="auto"/>
            <w:vAlign w:val="center"/>
            <w:hideMark/>
          </w:tcPr>
          <w:p w14:paraId="603FCD91"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auto" w:fill="auto"/>
            <w:vAlign w:val="center"/>
            <w:hideMark/>
          </w:tcPr>
          <w:p w14:paraId="0ABE2C8A"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auto" w:fill="auto"/>
            <w:vAlign w:val="center"/>
            <w:hideMark/>
          </w:tcPr>
          <w:p w14:paraId="3CBF5D16" w14:textId="77777777" w:rsidR="001C32C8" w:rsidRPr="00B0658A" w:rsidRDefault="001C32C8" w:rsidP="00004A41">
            <w:pPr>
              <w:spacing w:after="0" w:line="240" w:lineRule="auto"/>
              <w:jc w:val="center"/>
              <w:rPr>
                <w:rFonts w:ascii="Times New Roman" w:hAnsi="Times New Roman"/>
                <w:sz w:val="18"/>
                <w:szCs w:val="18"/>
              </w:rPr>
            </w:pPr>
          </w:p>
        </w:tc>
        <w:tc>
          <w:tcPr>
            <w:tcW w:w="993" w:type="dxa"/>
            <w:vAlign w:val="center"/>
          </w:tcPr>
          <w:p w14:paraId="1462DC41"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auto" w:fill="auto"/>
            <w:vAlign w:val="center"/>
            <w:hideMark/>
          </w:tcPr>
          <w:p w14:paraId="2FA85320" w14:textId="77777777" w:rsidR="001C32C8" w:rsidRPr="00B0658A" w:rsidRDefault="001C32C8" w:rsidP="00004A41">
            <w:pPr>
              <w:spacing w:after="0" w:line="240" w:lineRule="auto"/>
              <w:jc w:val="center"/>
              <w:rPr>
                <w:rFonts w:ascii="Times New Roman" w:hAnsi="Times New Roman"/>
                <w:sz w:val="18"/>
                <w:szCs w:val="18"/>
              </w:rPr>
            </w:pPr>
          </w:p>
        </w:tc>
        <w:tc>
          <w:tcPr>
            <w:tcW w:w="780" w:type="dxa"/>
            <w:shd w:val="clear" w:color="auto" w:fill="auto"/>
            <w:vAlign w:val="center"/>
            <w:hideMark/>
          </w:tcPr>
          <w:p w14:paraId="6789BE3A"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auto" w:fill="auto"/>
            <w:vAlign w:val="center"/>
            <w:hideMark/>
          </w:tcPr>
          <w:p w14:paraId="2A539B7A" w14:textId="77777777" w:rsidR="001C32C8" w:rsidRPr="00B0658A" w:rsidRDefault="001C32C8" w:rsidP="00004A41">
            <w:pPr>
              <w:spacing w:after="0" w:line="240" w:lineRule="auto"/>
              <w:jc w:val="center"/>
              <w:rPr>
                <w:rFonts w:ascii="Times New Roman" w:hAnsi="Times New Roman"/>
                <w:sz w:val="18"/>
                <w:szCs w:val="18"/>
              </w:rPr>
            </w:pPr>
          </w:p>
        </w:tc>
        <w:tc>
          <w:tcPr>
            <w:tcW w:w="780" w:type="dxa"/>
            <w:vAlign w:val="center"/>
          </w:tcPr>
          <w:p w14:paraId="64805A14" w14:textId="77777777" w:rsidR="001C32C8" w:rsidRPr="00B0658A" w:rsidRDefault="001C32C8" w:rsidP="00004A41">
            <w:pPr>
              <w:spacing w:after="0" w:line="240" w:lineRule="auto"/>
              <w:jc w:val="center"/>
              <w:rPr>
                <w:rFonts w:ascii="Times New Roman" w:hAnsi="Times New Roman"/>
                <w:sz w:val="18"/>
                <w:szCs w:val="18"/>
              </w:rPr>
            </w:pPr>
          </w:p>
        </w:tc>
        <w:tc>
          <w:tcPr>
            <w:tcW w:w="779" w:type="dxa"/>
            <w:vAlign w:val="center"/>
          </w:tcPr>
          <w:p w14:paraId="2B0CAB66" w14:textId="77777777" w:rsidR="001C32C8" w:rsidRPr="00B0658A" w:rsidRDefault="001C32C8" w:rsidP="00004A41">
            <w:pPr>
              <w:spacing w:after="0" w:line="240" w:lineRule="auto"/>
              <w:jc w:val="center"/>
              <w:rPr>
                <w:rFonts w:ascii="Times New Roman" w:hAnsi="Times New Roman"/>
                <w:sz w:val="18"/>
                <w:szCs w:val="18"/>
              </w:rPr>
            </w:pPr>
          </w:p>
        </w:tc>
        <w:tc>
          <w:tcPr>
            <w:tcW w:w="780" w:type="dxa"/>
            <w:vAlign w:val="center"/>
          </w:tcPr>
          <w:p w14:paraId="201844BE" w14:textId="77777777" w:rsidR="001C32C8" w:rsidRPr="00B0658A" w:rsidRDefault="001C32C8" w:rsidP="00004A41">
            <w:pPr>
              <w:spacing w:after="0" w:line="240" w:lineRule="auto"/>
              <w:jc w:val="center"/>
              <w:rPr>
                <w:rFonts w:ascii="Times New Roman" w:hAnsi="Times New Roman"/>
                <w:sz w:val="18"/>
                <w:szCs w:val="18"/>
              </w:rPr>
            </w:pPr>
          </w:p>
        </w:tc>
        <w:tc>
          <w:tcPr>
            <w:tcW w:w="1475" w:type="dxa"/>
            <w:vAlign w:val="center"/>
          </w:tcPr>
          <w:p w14:paraId="5E11FAF3" w14:textId="77777777" w:rsidR="001C32C8" w:rsidRPr="00B0658A" w:rsidRDefault="001C32C8" w:rsidP="00004A41">
            <w:pPr>
              <w:spacing w:after="0" w:line="240" w:lineRule="auto"/>
              <w:jc w:val="center"/>
              <w:rPr>
                <w:rFonts w:ascii="Times New Roman" w:hAnsi="Times New Roman"/>
                <w:sz w:val="18"/>
                <w:szCs w:val="18"/>
              </w:rPr>
            </w:pPr>
          </w:p>
        </w:tc>
      </w:tr>
      <w:tr w:rsidR="00F52FED" w:rsidRPr="00B0658A" w14:paraId="765F3614" w14:textId="77777777" w:rsidTr="00E66BA4">
        <w:trPr>
          <w:trHeight w:val="20"/>
        </w:trPr>
        <w:tc>
          <w:tcPr>
            <w:tcW w:w="846" w:type="dxa"/>
            <w:shd w:val="clear" w:color="000000" w:fill="FFFFFF"/>
            <w:vAlign w:val="center"/>
          </w:tcPr>
          <w:p w14:paraId="733454C6" w14:textId="77777777" w:rsidR="001C32C8" w:rsidRPr="00B0658A" w:rsidRDefault="001C32C8" w:rsidP="00004A41">
            <w:pPr>
              <w:spacing w:after="0" w:line="240" w:lineRule="auto"/>
              <w:jc w:val="center"/>
              <w:rPr>
                <w:rFonts w:ascii="Times New Roman" w:hAnsi="Times New Roman"/>
                <w:sz w:val="18"/>
                <w:szCs w:val="18"/>
              </w:rPr>
            </w:pPr>
            <w:r w:rsidRPr="00B0658A">
              <w:rPr>
                <w:rFonts w:ascii="Times New Roman" w:hAnsi="Times New Roman"/>
                <w:sz w:val="18"/>
                <w:szCs w:val="18"/>
              </w:rPr>
              <w:t>4.6</w:t>
            </w:r>
          </w:p>
        </w:tc>
        <w:tc>
          <w:tcPr>
            <w:tcW w:w="1559" w:type="dxa"/>
            <w:shd w:val="clear" w:color="auto" w:fill="auto"/>
            <w:vAlign w:val="center"/>
            <w:hideMark/>
          </w:tcPr>
          <w:p w14:paraId="39A535D4" w14:textId="77777777" w:rsidR="001C32C8" w:rsidRPr="00B0658A" w:rsidRDefault="001C32C8" w:rsidP="00004A41">
            <w:pPr>
              <w:spacing w:after="0" w:line="240" w:lineRule="auto"/>
              <w:rPr>
                <w:rFonts w:ascii="Times New Roman" w:hAnsi="Times New Roman"/>
                <w:sz w:val="18"/>
                <w:szCs w:val="18"/>
              </w:rPr>
            </w:pPr>
            <w:r w:rsidRPr="00B0658A">
              <w:rPr>
                <w:rFonts w:ascii="Times New Roman" w:hAnsi="Times New Roman"/>
                <w:sz w:val="18"/>
                <w:szCs w:val="18"/>
              </w:rPr>
              <w:t xml:space="preserve">Средства разработки </w:t>
            </w:r>
            <w:r w:rsidRPr="00B0658A">
              <w:rPr>
                <w:rFonts w:ascii="Times New Roman" w:hAnsi="Times New Roman"/>
                <w:sz w:val="18"/>
                <w:szCs w:val="18"/>
              </w:rPr>
              <w:lastRenderedPageBreak/>
              <w:t>программного обеспечения/ Средства разработки программного обеспечения на основе нейротехнологий и искусственного интеллекта</w:t>
            </w:r>
          </w:p>
        </w:tc>
        <w:tc>
          <w:tcPr>
            <w:tcW w:w="1418" w:type="dxa"/>
            <w:shd w:val="clear" w:color="000000" w:fill="FFFFFF"/>
            <w:hideMark/>
          </w:tcPr>
          <w:p w14:paraId="120ED046" w14:textId="77777777" w:rsidR="001C32C8" w:rsidRPr="00B0658A" w:rsidRDefault="001C32C8" w:rsidP="00004A41">
            <w:pPr>
              <w:spacing w:after="0" w:line="240" w:lineRule="auto"/>
              <w:rPr>
                <w:rFonts w:ascii="Times New Roman" w:hAnsi="Times New Roman"/>
                <w:sz w:val="18"/>
                <w:szCs w:val="18"/>
              </w:rPr>
            </w:pPr>
            <w:r w:rsidRPr="00B0658A">
              <w:rPr>
                <w:rFonts w:ascii="Times New Roman" w:hAnsi="Times New Roman"/>
                <w:sz w:val="18"/>
                <w:szCs w:val="18"/>
              </w:rPr>
              <w:lastRenderedPageBreak/>
              <w:t xml:space="preserve">Доля используемого </w:t>
            </w:r>
            <w:r w:rsidRPr="00B0658A">
              <w:rPr>
                <w:rFonts w:ascii="Times New Roman" w:hAnsi="Times New Roman"/>
                <w:sz w:val="18"/>
                <w:szCs w:val="18"/>
              </w:rPr>
              <w:lastRenderedPageBreak/>
              <w:t>российского ПО в общем объёме, используемого ПО, %</w:t>
            </w:r>
          </w:p>
        </w:tc>
        <w:tc>
          <w:tcPr>
            <w:tcW w:w="744" w:type="dxa"/>
            <w:shd w:val="clear" w:color="000000" w:fill="FFFFFF"/>
            <w:vAlign w:val="center"/>
          </w:tcPr>
          <w:p w14:paraId="5D58C121"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000000" w:fill="FFFFFF"/>
            <w:vAlign w:val="center"/>
            <w:hideMark/>
          </w:tcPr>
          <w:p w14:paraId="30F5F591"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000000" w:fill="FFFFFF"/>
            <w:vAlign w:val="center"/>
            <w:hideMark/>
          </w:tcPr>
          <w:p w14:paraId="66DA88B3"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000000" w:fill="FFFFFF"/>
            <w:vAlign w:val="center"/>
            <w:hideMark/>
          </w:tcPr>
          <w:p w14:paraId="68BB30BD" w14:textId="77777777" w:rsidR="001C32C8" w:rsidRPr="00B0658A" w:rsidRDefault="001C32C8" w:rsidP="00004A41">
            <w:pPr>
              <w:spacing w:after="0" w:line="240" w:lineRule="auto"/>
              <w:jc w:val="center"/>
              <w:rPr>
                <w:rFonts w:ascii="Times New Roman" w:hAnsi="Times New Roman"/>
                <w:sz w:val="18"/>
                <w:szCs w:val="18"/>
              </w:rPr>
            </w:pPr>
          </w:p>
        </w:tc>
        <w:tc>
          <w:tcPr>
            <w:tcW w:w="993" w:type="dxa"/>
            <w:shd w:val="clear" w:color="000000" w:fill="FFFFFF"/>
            <w:vAlign w:val="center"/>
          </w:tcPr>
          <w:p w14:paraId="7049AA35"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000000" w:fill="FFFFFF"/>
            <w:vAlign w:val="center"/>
            <w:hideMark/>
          </w:tcPr>
          <w:p w14:paraId="5513B481" w14:textId="77777777" w:rsidR="001C32C8" w:rsidRPr="00B0658A" w:rsidRDefault="001C32C8" w:rsidP="00004A41">
            <w:pPr>
              <w:spacing w:after="0" w:line="240" w:lineRule="auto"/>
              <w:jc w:val="center"/>
              <w:rPr>
                <w:rFonts w:ascii="Times New Roman" w:hAnsi="Times New Roman"/>
                <w:sz w:val="18"/>
                <w:szCs w:val="18"/>
              </w:rPr>
            </w:pPr>
          </w:p>
        </w:tc>
        <w:tc>
          <w:tcPr>
            <w:tcW w:w="780" w:type="dxa"/>
            <w:shd w:val="clear" w:color="000000" w:fill="FFFFFF"/>
            <w:vAlign w:val="center"/>
            <w:hideMark/>
          </w:tcPr>
          <w:p w14:paraId="70009F70"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000000" w:fill="FFFFFF"/>
            <w:vAlign w:val="center"/>
            <w:hideMark/>
          </w:tcPr>
          <w:p w14:paraId="62F17F13" w14:textId="77777777" w:rsidR="001C32C8" w:rsidRPr="00B0658A" w:rsidRDefault="001C32C8" w:rsidP="00004A41">
            <w:pPr>
              <w:spacing w:after="0" w:line="240" w:lineRule="auto"/>
              <w:jc w:val="center"/>
              <w:rPr>
                <w:rFonts w:ascii="Times New Roman" w:hAnsi="Times New Roman"/>
                <w:sz w:val="18"/>
                <w:szCs w:val="18"/>
              </w:rPr>
            </w:pPr>
          </w:p>
        </w:tc>
        <w:tc>
          <w:tcPr>
            <w:tcW w:w="780" w:type="dxa"/>
            <w:shd w:val="clear" w:color="000000" w:fill="FFFFFF"/>
            <w:vAlign w:val="center"/>
          </w:tcPr>
          <w:p w14:paraId="65A4F19D"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000000" w:fill="FFFFFF"/>
            <w:vAlign w:val="center"/>
          </w:tcPr>
          <w:p w14:paraId="03D5FB97" w14:textId="77777777" w:rsidR="001C32C8" w:rsidRPr="00B0658A" w:rsidRDefault="001C32C8" w:rsidP="00004A41">
            <w:pPr>
              <w:spacing w:after="0" w:line="240" w:lineRule="auto"/>
              <w:jc w:val="center"/>
              <w:rPr>
                <w:rFonts w:ascii="Times New Roman" w:hAnsi="Times New Roman"/>
                <w:sz w:val="18"/>
                <w:szCs w:val="18"/>
              </w:rPr>
            </w:pPr>
          </w:p>
        </w:tc>
        <w:tc>
          <w:tcPr>
            <w:tcW w:w="780" w:type="dxa"/>
            <w:shd w:val="clear" w:color="000000" w:fill="FFFFFF"/>
            <w:vAlign w:val="center"/>
          </w:tcPr>
          <w:p w14:paraId="43218461" w14:textId="77777777" w:rsidR="001C32C8" w:rsidRPr="00B0658A" w:rsidRDefault="001C32C8" w:rsidP="00004A41">
            <w:pPr>
              <w:spacing w:after="0" w:line="240" w:lineRule="auto"/>
              <w:jc w:val="center"/>
              <w:rPr>
                <w:rFonts w:ascii="Times New Roman" w:hAnsi="Times New Roman"/>
                <w:sz w:val="18"/>
                <w:szCs w:val="18"/>
              </w:rPr>
            </w:pPr>
          </w:p>
        </w:tc>
        <w:tc>
          <w:tcPr>
            <w:tcW w:w="1475" w:type="dxa"/>
            <w:shd w:val="clear" w:color="000000" w:fill="FFFFFF"/>
            <w:vAlign w:val="center"/>
          </w:tcPr>
          <w:p w14:paraId="77E063BD" w14:textId="77777777" w:rsidR="001C32C8" w:rsidRPr="00B0658A" w:rsidRDefault="001C32C8" w:rsidP="00004A41">
            <w:pPr>
              <w:spacing w:after="0" w:line="240" w:lineRule="auto"/>
              <w:jc w:val="center"/>
              <w:rPr>
                <w:rFonts w:ascii="Times New Roman" w:hAnsi="Times New Roman"/>
                <w:sz w:val="18"/>
                <w:szCs w:val="18"/>
              </w:rPr>
            </w:pPr>
          </w:p>
        </w:tc>
      </w:tr>
      <w:tr w:rsidR="00F52FED" w:rsidRPr="00B0658A" w14:paraId="2AF50C97" w14:textId="77777777" w:rsidTr="00E66BA4">
        <w:trPr>
          <w:trHeight w:val="20"/>
        </w:trPr>
        <w:tc>
          <w:tcPr>
            <w:tcW w:w="846" w:type="dxa"/>
            <w:shd w:val="clear" w:color="000000" w:fill="FFFFFF"/>
            <w:vAlign w:val="center"/>
          </w:tcPr>
          <w:p w14:paraId="3DAA972D" w14:textId="77777777" w:rsidR="001C32C8" w:rsidRPr="00B0658A" w:rsidRDefault="001C32C8" w:rsidP="00004A41">
            <w:pPr>
              <w:spacing w:after="0" w:line="240" w:lineRule="auto"/>
              <w:jc w:val="center"/>
              <w:rPr>
                <w:rFonts w:ascii="Times New Roman" w:hAnsi="Times New Roman"/>
                <w:sz w:val="18"/>
                <w:szCs w:val="18"/>
              </w:rPr>
            </w:pPr>
            <w:r w:rsidRPr="00B0658A">
              <w:rPr>
                <w:rFonts w:ascii="Times New Roman" w:hAnsi="Times New Roman"/>
                <w:sz w:val="18"/>
                <w:szCs w:val="18"/>
              </w:rPr>
              <w:t>4.7</w:t>
            </w:r>
          </w:p>
        </w:tc>
        <w:tc>
          <w:tcPr>
            <w:tcW w:w="1559" w:type="dxa"/>
            <w:shd w:val="clear" w:color="auto" w:fill="auto"/>
            <w:vAlign w:val="center"/>
            <w:hideMark/>
          </w:tcPr>
          <w:p w14:paraId="54766134" w14:textId="77777777" w:rsidR="001C32C8" w:rsidRPr="00B0658A" w:rsidRDefault="001C32C8" w:rsidP="00004A41">
            <w:pPr>
              <w:spacing w:after="0" w:line="240" w:lineRule="auto"/>
              <w:rPr>
                <w:rFonts w:ascii="Times New Roman" w:hAnsi="Times New Roman"/>
                <w:sz w:val="18"/>
                <w:szCs w:val="18"/>
              </w:rPr>
            </w:pPr>
            <w:r w:rsidRPr="00B0658A">
              <w:rPr>
                <w:rFonts w:ascii="Times New Roman" w:hAnsi="Times New Roman"/>
                <w:sz w:val="18"/>
                <w:szCs w:val="18"/>
              </w:rPr>
              <w:t>Средства разработки программного обеспечения/ Средства разработки программного обеспечения на основе квантовых технологий</w:t>
            </w:r>
          </w:p>
        </w:tc>
        <w:tc>
          <w:tcPr>
            <w:tcW w:w="1418" w:type="dxa"/>
            <w:shd w:val="clear" w:color="000000" w:fill="FFFFFF"/>
            <w:hideMark/>
          </w:tcPr>
          <w:p w14:paraId="5C7BE925" w14:textId="77777777" w:rsidR="001C32C8" w:rsidRPr="00B0658A" w:rsidRDefault="001C32C8" w:rsidP="00004A41">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44" w:type="dxa"/>
            <w:shd w:val="clear" w:color="000000" w:fill="FFFFFF"/>
            <w:vAlign w:val="center"/>
          </w:tcPr>
          <w:p w14:paraId="18AC27CE"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000000" w:fill="FFFFFF"/>
            <w:vAlign w:val="center"/>
            <w:hideMark/>
          </w:tcPr>
          <w:p w14:paraId="1F7FCAE0"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000000" w:fill="FFFFFF"/>
            <w:vAlign w:val="center"/>
            <w:hideMark/>
          </w:tcPr>
          <w:p w14:paraId="0496C055"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000000" w:fill="FFFFFF"/>
            <w:vAlign w:val="center"/>
            <w:hideMark/>
          </w:tcPr>
          <w:p w14:paraId="265D1EE6" w14:textId="77777777" w:rsidR="001C32C8" w:rsidRPr="00B0658A" w:rsidRDefault="001C32C8" w:rsidP="00004A41">
            <w:pPr>
              <w:spacing w:after="0" w:line="240" w:lineRule="auto"/>
              <w:jc w:val="center"/>
              <w:rPr>
                <w:rFonts w:ascii="Times New Roman" w:hAnsi="Times New Roman"/>
                <w:sz w:val="18"/>
                <w:szCs w:val="18"/>
              </w:rPr>
            </w:pPr>
          </w:p>
        </w:tc>
        <w:tc>
          <w:tcPr>
            <w:tcW w:w="993" w:type="dxa"/>
            <w:shd w:val="clear" w:color="000000" w:fill="FFFFFF"/>
            <w:vAlign w:val="center"/>
          </w:tcPr>
          <w:p w14:paraId="5D7722DD"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000000" w:fill="FFFFFF"/>
            <w:vAlign w:val="center"/>
            <w:hideMark/>
          </w:tcPr>
          <w:p w14:paraId="3E8152CD" w14:textId="77777777" w:rsidR="001C32C8" w:rsidRPr="00B0658A" w:rsidRDefault="001C32C8" w:rsidP="00004A41">
            <w:pPr>
              <w:spacing w:after="0" w:line="240" w:lineRule="auto"/>
              <w:jc w:val="center"/>
              <w:rPr>
                <w:rFonts w:ascii="Times New Roman" w:hAnsi="Times New Roman"/>
                <w:sz w:val="18"/>
                <w:szCs w:val="18"/>
              </w:rPr>
            </w:pPr>
          </w:p>
        </w:tc>
        <w:tc>
          <w:tcPr>
            <w:tcW w:w="780" w:type="dxa"/>
            <w:shd w:val="clear" w:color="000000" w:fill="FFFFFF"/>
            <w:vAlign w:val="center"/>
            <w:hideMark/>
          </w:tcPr>
          <w:p w14:paraId="02524623"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000000" w:fill="FFFFFF"/>
            <w:vAlign w:val="center"/>
            <w:hideMark/>
          </w:tcPr>
          <w:p w14:paraId="29596104" w14:textId="77777777" w:rsidR="001C32C8" w:rsidRPr="00B0658A" w:rsidRDefault="001C32C8" w:rsidP="00004A41">
            <w:pPr>
              <w:spacing w:after="0" w:line="240" w:lineRule="auto"/>
              <w:jc w:val="center"/>
              <w:rPr>
                <w:rFonts w:ascii="Times New Roman" w:hAnsi="Times New Roman"/>
                <w:sz w:val="18"/>
                <w:szCs w:val="18"/>
              </w:rPr>
            </w:pPr>
          </w:p>
        </w:tc>
        <w:tc>
          <w:tcPr>
            <w:tcW w:w="780" w:type="dxa"/>
            <w:shd w:val="clear" w:color="000000" w:fill="FFFFFF"/>
            <w:vAlign w:val="center"/>
          </w:tcPr>
          <w:p w14:paraId="64EBA80D"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000000" w:fill="FFFFFF"/>
            <w:vAlign w:val="center"/>
          </w:tcPr>
          <w:p w14:paraId="3F9AE426" w14:textId="77777777" w:rsidR="001C32C8" w:rsidRPr="00B0658A" w:rsidRDefault="001C32C8" w:rsidP="00004A41">
            <w:pPr>
              <w:spacing w:after="0" w:line="240" w:lineRule="auto"/>
              <w:jc w:val="center"/>
              <w:rPr>
                <w:rFonts w:ascii="Times New Roman" w:hAnsi="Times New Roman"/>
                <w:sz w:val="18"/>
                <w:szCs w:val="18"/>
              </w:rPr>
            </w:pPr>
          </w:p>
        </w:tc>
        <w:tc>
          <w:tcPr>
            <w:tcW w:w="780" w:type="dxa"/>
            <w:shd w:val="clear" w:color="000000" w:fill="FFFFFF"/>
            <w:vAlign w:val="center"/>
          </w:tcPr>
          <w:p w14:paraId="342F4F16" w14:textId="77777777" w:rsidR="001C32C8" w:rsidRPr="00B0658A" w:rsidRDefault="001C32C8" w:rsidP="00004A41">
            <w:pPr>
              <w:spacing w:after="0" w:line="240" w:lineRule="auto"/>
              <w:jc w:val="center"/>
              <w:rPr>
                <w:rFonts w:ascii="Times New Roman" w:hAnsi="Times New Roman"/>
                <w:sz w:val="18"/>
                <w:szCs w:val="18"/>
              </w:rPr>
            </w:pPr>
          </w:p>
        </w:tc>
        <w:tc>
          <w:tcPr>
            <w:tcW w:w="1475" w:type="dxa"/>
            <w:shd w:val="clear" w:color="000000" w:fill="FFFFFF"/>
            <w:vAlign w:val="center"/>
          </w:tcPr>
          <w:p w14:paraId="15F9CB32" w14:textId="77777777" w:rsidR="001C32C8" w:rsidRPr="00B0658A" w:rsidRDefault="001C32C8" w:rsidP="00004A41">
            <w:pPr>
              <w:spacing w:after="0" w:line="240" w:lineRule="auto"/>
              <w:jc w:val="center"/>
              <w:rPr>
                <w:rFonts w:ascii="Times New Roman" w:hAnsi="Times New Roman"/>
                <w:sz w:val="18"/>
                <w:szCs w:val="18"/>
              </w:rPr>
            </w:pPr>
          </w:p>
        </w:tc>
      </w:tr>
      <w:tr w:rsidR="00F52FED" w:rsidRPr="00B0658A" w14:paraId="64F37612" w14:textId="77777777" w:rsidTr="00E66BA4">
        <w:trPr>
          <w:trHeight w:val="20"/>
        </w:trPr>
        <w:tc>
          <w:tcPr>
            <w:tcW w:w="846" w:type="dxa"/>
            <w:shd w:val="clear" w:color="000000" w:fill="FFFFFF"/>
            <w:vAlign w:val="center"/>
          </w:tcPr>
          <w:p w14:paraId="15F0C504" w14:textId="77777777" w:rsidR="001C32C8" w:rsidRPr="00B0658A" w:rsidRDefault="001C32C8" w:rsidP="00004A41">
            <w:pPr>
              <w:spacing w:after="0" w:line="240" w:lineRule="auto"/>
              <w:jc w:val="center"/>
              <w:rPr>
                <w:rFonts w:ascii="Times New Roman" w:hAnsi="Times New Roman"/>
                <w:sz w:val="18"/>
                <w:szCs w:val="18"/>
              </w:rPr>
            </w:pPr>
            <w:r w:rsidRPr="00B0658A">
              <w:rPr>
                <w:rFonts w:ascii="Times New Roman" w:hAnsi="Times New Roman"/>
                <w:sz w:val="18"/>
                <w:szCs w:val="18"/>
              </w:rPr>
              <w:t>4.8</w:t>
            </w:r>
          </w:p>
        </w:tc>
        <w:tc>
          <w:tcPr>
            <w:tcW w:w="1559" w:type="dxa"/>
            <w:shd w:val="clear" w:color="auto" w:fill="auto"/>
            <w:vAlign w:val="center"/>
            <w:hideMark/>
          </w:tcPr>
          <w:p w14:paraId="50C2DADB" w14:textId="77777777" w:rsidR="001C32C8" w:rsidRPr="00B0658A" w:rsidRDefault="001C32C8" w:rsidP="00004A41">
            <w:pPr>
              <w:spacing w:after="0" w:line="240" w:lineRule="auto"/>
              <w:rPr>
                <w:rFonts w:ascii="Times New Roman" w:hAnsi="Times New Roman"/>
                <w:sz w:val="18"/>
                <w:szCs w:val="18"/>
              </w:rPr>
            </w:pPr>
            <w:r w:rsidRPr="00B0658A">
              <w:rPr>
                <w:rFonts w:ascii="Times New Roman" w:hAnsi="Times New Roman"/>
                <w:sz w:val="18"/>
                <w:szCs w:val="18"/>
              </w:rPr>
              <w:t>Средства разработки программного обеспечения/ Интегрированные платформы для создания приложений</w:t>
            </w:r>
          </w:p>
        </w:tc>
        <w:tc>
          <w:tcPr>
            <w:tcW w:w="1418" w:type="dxa"/>
            <w:shd w:val="clear" w:color="000000" w:fill="FFFFFF"/>
            <w:hideMark/>
          </w:tcPr>
          <w:p w14:paraId="5E52EA6F" w14:textId="77777777" w:rsidR="001C32C8" w:rsidRPr="00B0658A" w:rsidRDefault="001C32C8" w:rsidP="00004A41">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44" w:type="dxa"/>
            <w:shd w:val="clear" w:color="000000" w:fill="FFFFFF"/>
            <w:vAlign w:val="center"/>
          </w:tcPr>
          <w:p w14:paraId="2DF88D3A"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000000" w:fill="FFFFFF"/>
            <w:vAlign w:val="center"/>
            <w:hideMark/>
          </w:tcPr>
          <w:p w14:paraId="334EA8F0"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000000" w:fill="FFFFFF"/>
            <w:vAlign w:val="center"/>
            <w:hideMark/>
          </w:tcPr>
          <w:p w14:paraId="6BB3C1DF"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000000" w:fill="FFFFFF"/>
            <w:vAlign w:val="center"/>
            <w:hideMark/>
          </w:tcPr>
          <w:p w14:paraId="6A217B2D" w14:textId="77777777" w:rsidR="001C32C8" w:rsidRPr="00B0658A" w:rsidRDefault="001C32C8" w:rsidP="00004A41">
            <w:pPr>
              <w:spacing w:after="0" w:line="240" w:lineRule="auto"/>
              <w:jc w:val="center"/>
              <w:rPr>
                <w:rFonts w:ascii="Times New Roman" w:hAnsi="Times New Roman"/>
                <w:sz w:val="18"/>
                <w:szCs w:val="18"/>
              </w:rPr>
            </w:pPr>
          </w:p>
        </w:tc>
        <w:tc>
          <w:tcPr>
            <w:tcW w:w="993" w:type="dxa"/>
            <w:shd w:val="clear" w:color="000000" w:fill="FFFFFF"/>
            <w:vAlign w:val="center"/>
          </w:tcPr>
          <w:p w14:paraId="217F4E3B"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000000" w:fill="FFFFFF"/>
            <w:vAlign w:val="center"/>
            <w:hideMark/>
          </w:tcPr>
          <w:p w14:paraId="2BE901F4" w14:textId="77777777" w:rsidR="001C32C8" w:rsidRPr="00B0658A" w:rsidRDefault="001C32C8" w:rsidP="00004A41">
            <w:pPr>
              <w:spacing w:after="0" w:line="240" w:lineRule="auto"/>
              <w:jc w:val="center"/>
              <w:rPr>
                <w:rFonts w:ascii="Times New Roman" w:hAnsi="Times New Roman"/>
                <w:sz w:val="18"/>
                <w:szCs w:val="18"/>
              </w:rPr>
            </w:pPr>
          </w:p>
        </w:tc>
        <w:tc>
          <w:tcPr>
            <w:tcW w:w="780" w:type="dxa"/>
            <w:shd w:val="clear" w:color="000000" w:fill="FFFFFF"/>
            <w:vAlign w:val="center"/>
            <w:hideMark/>
          </w:tcPr>
          <w:p w14:paraId="24FCC349"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000000" w:fill="FFFFFF"/>
            <w:vAlign w:val="center"/>
            <w:hideMark/>
          </w:tcPr>
          <w:p w14:paraId="0FDC929A" w14:textId="77777777" w:rsidR="001C32C8" w:rsidRPr="00B0658A" w:rsidRDefault="001C32C8" w:rsidP="00004A41">
            <w:pPr>
              <w:spacing w:after="0" w:line="240" w:lineRule="auto"/>
              <w:jc w:val="center"/>
              <w:rPr>
                <w:rFonts w:ascii="Times New Roman" w:hAnsi="Times New Roman"/>
                <w:sz w:val="18"/>
                <w:szCs w:val="18"/>
              </w:rPr>
            </w:pPr>
          </w:p>
        </w:tc>
        <w:tc>
          <w:tcPr>
            <w:tcW w:w="780" w:type="dxa"/>
            <w:shd w:val="clear" w:color="000000" w:fill="FFFFFF"/>
            <w:vAlign w:val="center"/>
          </w:tcPr>
          <w:p w14:paraId="1BF0D193"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000000" w:fill="FFFFFF"/>
            <w:vAlign w:val="center"/>
          </w:tcPr>
          <w:p w14:paraId="00A4ADA7" w14:textId="77777777" w:rsidR="001C32C8" w:rsidRPr="00B0658A" w:rsidRDefault="001C32C8" w:rsidP="00004A41">
            <w:pPr>
              <w:spacing w:after="0" w:line="240" w:lineRule="auto"/>
              <w:jc w:val="center"/>
              <w:rPr>
                <w:rFonts w:ascii="Times New Roman" w:hAnsi="Times New Roman"/>
                <w:sz w:val="18"/>
                <w:szCs w:val="18"/>
              </w:rPr>
            </w:pPr>
          </w:p>
        </w:tc>
        <w:tc>
          <w:tcPr>
            <w:tcW w:w="780" w:type="dxa"/>
            <w:shd w:val="clear" w:color="000000" w:fill="FFFFFF"/>
            <w:vAlign w:val="center"/>
          </w:tcPr>
          <w:p w14:paraId="48A68A74" w14:textId="77777777" w:rsidR="001C32C8" w:rsidRPr="00B0658A" w:rsidRDefault="001C32C8" w:rsidP="00004A41">
            <w:pPr>
              <w:spacing w:after="0" w:line="240" w:lineRule="auto"/>
              <w:jc w:val="center"/>
              <w:rPr>
                <w:rFonts w:ascii="Times New Roman" w:hAnsi="Times New Roman"/>
                <w:sz w:val="18"/>
                <w:szCs w:val="18"/>
              </w:rPr>
            </w:pPr>
          </w:p>
        </w:tc>
        <w:tc>
          <w:tcPr>
            <w:tcW w:w="1475" w:type="dxa"/>
            <w:shd w:val="clear" w:color="000000" w:fill="FFFFFF"/>
            <w:vAlign w:val="center"/>
          </w:tcPr>
          <w:p w14:paraId="381A531E" w14:textId="77777777" w:rsidR="001C32C8" w:rsidRPr="00B0658A" w:rsidRDefault="001C32C8" w:rsidP="00004A41">
            <w:pPr>
              <w:spacing w:after="0" w:line="240" w:lineRule="auto"/>
              <w:jc w:val="center"/>
              <w:rPr>
                <w:rFonts w:ascii="Times New Roman" w:hAnsi="Times New Roman"/>
                <w:sz w:val="18"/>
                <w:szCs w:val="18"/>
              </w:rPr>
            </w:pPr>
          </w:p>
        </w:tc>
      </w:tr>
      <w:tr w:rsidR="00F52FED" w:rsidRPr="00B0658A" w14:paraId="4E275765" w14:textId="77777777" w:rsidTr="00E66BA4">
        <w:trPr>
          <w:trHeight w:val="20"/>
        </w:trPr>
        <w:tc>
          <w:tcPr>
            <w:tcW w:w="846" w:type="dxa"/>
            <w:shd w:val="clear" w:color="000000" w:fill="FFFFFF"/>
            <w:vAlign w:val="center"/>
          </w:tcPr>
          <w:p w14:paraId="6B057803" w14:textId="77777777" w:rsidR="001C32C8" w:rsidRPr="00B0658A" w:rsidRDefault="001C32C8" w:rsidP="00004A41">
            <w:pPr>
              <w:spacing w:after="0" w:line="240" w:lineRule="auto"/>
              <w:jc w:val="center"/>
              <w:rPr>
                <w:rFonts w:ascii="Times New Roman" w:hAnsi="Times New Roman"/>
                <w:sz w:val="18"/>
                <w:szCs w:val="18"/>
              </w:rPr>
            </w:pPr>
            <w:r w:rsidRPr="00B0658A">
              <w:rPr>
                <w:rFonts w:ascii="Times New Roman" w:hAnsi="Times New Roman"/>
                <w:sz w:val="18"/>
                <w:szCs w:val="18"/>
              </w:rPr>
              <w:t>4.9</w:t>
            </w:r>
          </w:p>
        </w:tc>
        <w:tc>
          <w:tcPr>
            <w:tcW w:w="1559" w:type="dxa"/>
            <w:shd w:val="clear" w:color="auto" w:fill="auto"/>
            <w:vAlign w:val="center"/>
            <w:hideMark/>
          </w:tcPr>
          <w:p w14:paraId="4BDA055F" w14:textId="77777777" w:rsidR="001C32C8" w:rsidRPr="00B0658A" w:rsidRDefault="001C32C8" w:rsidP="00004A41">
            <w:pPr>
              <w:spacing w:after="0" w:line="240" w:lineRule="auto"/>
              <w:rPr>
                <w:rFonts w:ascii="Times New Roman" w:hAnsi="Times New Roman"/>
                <w:sz w:val="18"/>
                <w:szCs w:val="18"/>
              </w:rPr>
            </w:pPr>
            <w:r w:rsidRPr="00B0658A">
              <w:rPr>
                <w:rFonts w:ascii="Times New Roman" w:hAnsi="Times New Roman"/>
                <w:sz w:val="18"/>
                <w:szCs w:val="18"/>
              </w:rPr>
              <w:t xml:space="preserve">Средства разработки программного обеспечения/ Системы предотвращения анализа и восстановления </w:t>
            </w:r>
            <w:r w:rsidRPr="00B0658A">
              <w:rPr>
                <w:rFonts w:ascii="Times New Roman" w:hAnsi="Times New Roman"/>
                <w:sz w:val="18"/>
                <w:szCs w:val="18"/>
              </w:rPr>
              <w:lastRenderedPageBreak/>
              <w:t>исполняемого кода программ</w:t>
            </w:r>
          </w:p>
        </w:tc>
        <w:tc>
          <w:tcPr>
            <w:tcW w:w="1418" w:type="dxa"/>
            <w:shd w:val="clear" w:color="000000" w:fill="FFFFFF"/>
            <w:hideMark/>
          </w:tcPr>
          <w:p w14:paraId="060CF823" w14:textId="77777777" w:rsidR="001C32C8" w:rsidRPr="00B0658A" w:rsidRDefault="001C32C8" w:rsidP="00004A41">
            <w:pPr>
              <w:spacing w:after="0" w:line="240" w:lineRule="auto"/>
              <w:rPr>
                <w:rFonts w:ascii="Times New Roman" w:hAnsi="Times New Roman"/>
                <w:sz w:val="18"/>
                <w:szCs w:val="18"/>
              </w:rPr>
            </w:pPr>
            <w:r w:rsidRPr="00B0658A">
              <w:rPr>
                <w:rFonts w:ascii="Times New Roman" w:hAnsi="Times New Roman"/>
                <w:sz w:val="18"/>
                <w:szCs w:val="18"/>
              </w:rPr>
              <w:lastRenderedPageBreak/>
              <w:t>Доля используемого российского ПО в общем объёме, используемого ПО, %</w:t>
            </w:r>
          </w:p>
        </w:tc>
        <w:tc>
          <w:tcPr>
            <w:tcW w:w="744" w:type="dxa"/>
            <w:shd w:val="clear" w:color="000000" w:fill="FFFFFF"/>
            <w:vAlign w:val="center"/>
          </w:tcPr>
          <w:p w14:paraId="3A981C66"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000000" w:fill="FFFFFF"/>
            <w:vAlign w:val="center"/>
            <w:hideMark/>
          </w:tcPr>
          <w:p w14:paraId="78864C0B"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000000" w:fill="FFFFFF"/>
            <w:vAlign w:val="center"/>
            <w:hideMark/>
          </w:tcPr>
          <w:p w14:paraId="53203DC7"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000000" w:fill="FFFFFF"/>
            <w:vAlign w:val="center"/>
            <w:hideMark/>
          </w:tcPr>
          <w:p w14:paraId="16EED7D5" w14:textId="77777777" w:rsidR="001C32C8" w:rsidRPr="00B0658A" w:rsidRDefault="001C32C8" w:rsidP="00004A41">
            <w:pPr>
              <w:spacing w:after="0" w:line="240" w:lineRule="auto"/>
              <w:jc w:val="center"/>
              <w:rPr>
                <w:rFonts w:ascii="Times New Roman" w:hAnsi="Times New Roman"/>
                <w:sz w:val="18"/>
                <w:szCs w:val="18"/>
              </w:rPr>
            </w:pPr>
          </w:p>
        </w:tc>
        <w:tc>
          <w:tcPr>
            <w:tcW w:w="993" w:type="dxa"/>
            <w:shd w:val="clear" w:color="000000" w:fill="FFFFFF"/>
            <w:vAlign w:val="center"/>
          </w:tcPr>
          <w:p w14:paraId="63DAC65E"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000000" w:fill="FFFFFF"/>
            <w:vAlign w:val="center"/>
            <w:hideMark/>
          </w:tcPr>
          <w:p w14:paraId="5AF8E2A2" w14:textId="77777777" w:rsidR="001C32C8" w:rsidRPr="00B0658A" w:rsidRDefault="001C32C8" w:rsidP="00004A41">
            <w:pPr>
              <w:spacing w:after="0" w:line="240" w:lineRule="auto"/>
              <w:jc w:val="center"/>
              <w:rPr>
                <w:rFonts w:ascii="Times New Roman" w:hAnsi="Times New Roman"/>
                <w:sz w:val="18"/>
                <w:szCs w:val="18"/>
              </w:rPr>
            </w:pPr>
          </w:p>
        </w:tc>
        <w:tc>
          <w:tcPr>
            <w:tcW w:w="780" w:type="dxa"/>
            <w:shd w:val="clear" w:color="000000" w:fill="FFFFFF"/>
            <w:vAlign w:val="center"/>
            <w:hideMark/>
          </w:tcPr>
          <w:p w14:paraId="191B3C91"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000000" w:fill="FFFFFF"/>
            <w:vAlign w:val="center"/>
            <w:hideMark/>
          </w:tcPr>
          <w:p w14:paraId="44EF46BD" w14:textId="77777777" w:rsidR="001C32C8" w:rsidRPr="00B0658A" w:rsidRDefault="001C32C8" w:rsidP="00004A41">
            <w:pPr>
              <w:spacing w:after="0" w:line="240" w:lineRule="auto"/>
              <w:jc w:val="center"/>
              <w:rPr>
                <w:rFonts w:ascii="Times New Roman" w:hAnsi="Times New Roman"/>
                <w:sz w:val="18"/>
                <w:szCs w:val="18"/>
              </w:rPr>
            </w:pPr>
          </w:p>
        </w:tc>
        <w:tc>
          <w:tcPr>
            <w:tcW w:w="780" w:type="dxa"/>
            <w:shd w:val="clear" w:color="000000" w:fill="FFFFFF"/>
            <w:vAlign w:val="center"/>
          </w:tcPr>
          <w:p w14:paraId="2A79A61D"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000000" w:fill="FFFFFF"/>
            <w:vAlign w:val="center"/>
          </w:tcPr>
          <w:p w14:paraId="17E67E21" w14:textId="77777777" w:rsidR="001C32C8" w:rsidRPr="00B0658A" w:rsidRDefault="001C32C8" w:rsidP="00004A41">
            <w:pPr>
              <w:spacing w:after="0" w:line="240" w:lineRule="auto"/>
              <w:jc w:val="center"/>
              <w:rPr>
                <w:rFonts w:ascii="Times New Roman" w:hAnsi="Times New Roman"/>
                <w:sz w:val="18"/>
                <w:szCs w:val="18"/>
              </w:rPr>
            </w:pPr>
          </w:p>
        </w:tc>
        <w:tc>
          <w:tcPr>
            <w:tcW w:w="780" w:type="dxa"/>
            <w:shd w:val="clear" w:color="000000" w:fill="FFFFFF"/>
            <w:vAlign w:val="center"/>
          </w:tcPr>
          <w:p w14:paraId="0081786E" w14:textId="77777777" w:rsidR="001C32C8" w:rsidRPr="00B0658A" w:rsidRDefault="001C32C8" w:rsidP="00004A41">
            <w:pPr>
              <w:spacing w:after="0" w:line="240" w:lineRule="auto"/>
              <w:jc w:val="center"/>
              <w:rPr>
                <w:rFonts w:ascii="Times New Roman" w:hAnsi="Times New Roman"/>
                <w:sz w:val="18"/>
                <w:szCs w:val="18"/>
              </w:rPr>
            </w:pPr>
          </w:p>
        </w:tc>
        <w:tc>
          <w:tcPr>
            <w:tcW w:w="1475" w:type="dxa"/>
            <w:shd w:val="clear" w:color="000000" w:fill="FFFFFF"/>
            <w:vAlign w:val="center"/>
          </w:tcPr>
          <w:p w14:paraId="01F5CF88" w14:textId="77777777" w:rsidR="001C32C8" w:rsidRPr="00B0658A" w:rsidRDefault="001C32C8" w:rsidP="00004A41">
            <w:pPr>
              <w:spacing w:after="0" w:line="240" w:lineRule="auto"/>
              <w:jc w:val="center"/>
              <w:rPr>
                <w:rFonts w:ascii="Times New Roman" w:hAnsi="Times New Roman"/>
                <w:sz w:val="18"/>
                <w:szCs w:val="18"/>
              </w:rPr>
            </w:pPr>
          </w:p>
        </w:tc>
      </w:tr>
      <w:tr w:rsidR="00F52FED" w:rsidRPr="00B0658A" w14:paraId="5DAE7F17" w14:textId="77777777" w:rsidTr="00E66BA4">
        <w:trPr>
          <w:trHeight w:val="20"/>
        </w:trPr>
        <w:tc>
          <w:tcPr>
            <w:tcW w:w="846" w:type="dxa"/>
            <w:shd w:val="clear" w:color="000000" w:fill="FFFFFF"/>
            <w:vAlign w:val="center"/>
          </w:tcPr>
          <w:p w14:paraId="56508B80" w14:textId="77777777" w:rsidR="001C32C8" w:rsidRPr="00B0658A" w:rsidRDefault="001C32C8" w:rsidP="00004A41">
            <w:pPr>
              <w:spacing w:after="0" w:line="240" w:lineRule="auto"/>
              <w:jc w:val="center"/>
              <w:rPr>
                <w:rFonts w:ascii="Times New Roman" w:hAnsi="Times New Roman"/>
                <w:sz w:val="18"/>
                <w:szCs w:val="18"/>
              </w:rPr>
            </w:pPr>
            <w:r w:rsidRPr="00B0658A">
              <w:rPr>
                <w:rFonts w:ascii="Times New Roman" w:hAnsi="Times New Roman"/>
                <w:sz w:val="18"/>
                <w:szCs w:val="18"/>
              </w:rPr>
              <w:t>5.1</w:t>
            </w:r>
          </w:p>
        </w:tc>
        <w:tc>
          <w:tcPr>
            <w:tcW w:w="1559" w:type="dxa"/>
            <w:shd w:val="clear" w:color="auto" w:fill="auto"/>
            <w:vAlign w:val="center"/>
            <w:hideMark/>
          </w:tcPr>
          <w:p w14:paraId="6B049BDE" w14:textId="77777777" w:rsidR="001C32C8" w:rsidRPr="00B0658A" w:rsidRDefault="001C32C8" w:rsidP="00004A41">
            <w:pPr>
              <w:spacing w:after="0" w:line="240" w:lineRule="auto"/>
              <w:rPr>
                <w:rFonts w:ascii="Times New Roman" w:hAnsi="Times New Roman"/>
                <w:sz w:val="18"/>
                <w:szCs w:val="18"/>
              </w:rPr>
            </w:pPr>
            <w:r w:rsidRPr="00B0658A">
              <w:rPr>
                <w:rFonts w:ascii="Times New Roman" w:hAnsi="Times New Roman"/>
                <w:sz w:val="18"/>
                <w:szCs w:val="18"/>
              </w:rPr>
              <w:t>Прикладное программное обеспечение/ Мультимедийное программное обеспечение</w:t>
            </w:r>
          </w:p>
        </w:tc>
        <w:tc>
          <w:tcPr>
            <w:tcW w:w="1418" w:type="dxa"/>
            <w:shd w:val="clear" w:color="000000" w:fill="FFFFFF"/>
            <w:hideMark/>
          </w:tcPr>
          <w:p w14:paraId="2ADC82D8" w14:textId="77777777" w:rsidR="001C32C8" w:rsidRPr="00B0658A" w:rsidRDefault="001C32C8" w:rsidP="00004A41">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44" w:type="dxa"/>
            <w:vAlign w:val="center"/>
          </w:tcPr>
          <w:p w14:paraId="68946139"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auto" w:fill="auto"/>
            <w:vAlign w:val="center"/>
            <w:hideMark/>
          </w:tcPr>
          <w:p w14:paraId="1F62AFDC"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auto" w:fill="auto"/>
            <w:vAlign w:val="center"/>
            <w:hideMark/>
          </w:tcPr>
          <w:p w14:paraId="280150D5"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auto" w:fill="auto"/>
            <w:vAlign w:val="center"/>
            <w:hideMark/>
          </w:tcPr>
          <w:p w14:paraId="5586C0E9" w14:textId="77777777" w:rsidR="001C32C8" w:rsidRPr="00B0658A" w:rsidRDefault="001C32C8" w:rsidP="00004A41">
            <w:pPr>
              <w:spacing w:after="0" w:line="240" w:lineRule="auto"/>
              <w:jc w:val="center"/>
              <w:rPr>
                <w:rFonts w:ascii="Times New Roman" w:hAnsi="Times New Roman"/>
                <w:sz w:val="18"/>
                <w:szCs w:val="18"/>
              </w:rPr>
            </w:pPr>
          </w:p>
        </w:tc>
        <w:tc>
          <w:tcPr>
            <w:tcW w:w="993" w:type="dxa"/>
            <w:vAlign w:val="center"/>
          </w:tcPr>
          <w:p w14:paraId="2DA39A10"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auto" w:fill="auto"/>
            <w:vAlign w:val="center"/>
            <w:hideMark/>
          </w:tcPr>
          <w:p w14:paraId="785A3578" w14:textId="77777777" w:rsidR="001C32C8" w:rsidRPr="00B0658A" w:rsidRDefault="001C32C8" w:rsidP="00004A41">
            <w:pPr>
              <w:spacing w:after="0" w:line="240" w:lineRule="auto"/>
              <w:jc w:val="center"/>
              <w:rPr>
                <w:rFonts w:ascii="Times New Roman" w:hAnsi="Times New Roman"/>
                <w:sz w:val="18"/>
                <w:szCs w:val="18"/>
              </w:rPr>
            </w:pPr>
          </w:p>
        </w:tc>
        <w:tc>
          <w:tcPr>
            <w:tcW w:w="780" w:type="dxa"/>
            <w:shd w:val="clear" w:color="auto" w:fill="auto"/>
            <w:vAlign w:val="center"/>
            <w:hideMark/>
          </w:tcPr>
          <w:p w14:paraId="37C23EBF"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auto" w:fill="auto"/>
            <w:vAlign w:val="center"/>
            <w:hideMark/>
          </w:tcPr>
          <w:p w14:paraId="31EDEC7F" w14:textId="77777777" w:rsidR="001C32C8" w:rsidRPr="00B0658A" w:rsidRDefault="001C32C8" w:rsidP="00004A41">
            <w:pPr>
              <w:spacing w:after="0" w:line="240" w:lineRule="auto"/>
              <w:jc w:val="center"/>
              <w:rPr>
                <w:rFonts w:ascii="Times New Roman" w:hAnsi="Times New Roman"/>
                <w:sz w:val="18"/>
                <w:szCs w:val="18"/>
              </w:rPr>
            </w:pPr>
          </w:p>
        </w:tc>
        <w:tc>
          <w:tcPr>
            <w:tcW w:w="780" w:type="dxa"/>
            <w:vAlign w:val="center"/>
          </w:tcPr>
          <w:p w14:paraId="0F968614" w14:textId="77777777" w:rsidR="001C32C8" w:rsidRPr="00B0658A" w:rsidRDefault="001C32C8" w:rsidP="00004A41">
            <w:pPr>
              <w:spacing w:after="0" w:line="240" w:lineRule="auto"/>
              <w:jc w:val="center"/>
              <w:rPr>
                <w:rFonts w:ascii="Times New Roman" w:hAnsi="Times New Roman"/>
                <w:sz w:val="18"/>
                <w:szCs w:val="18"/>
              </w:rPr>
            </w:pPr>
          </w:p>
        </w:tc>
        <w:tc>
          <w:tcPr>
            <w:tcW w:w="779" w:type="dxa"/>
            <w:vAlign w:val="center"/>
          </w:tcPr>
          <w:p w14:paraId="1CA25AC0" w14:textId="77777777" w:rsidR="001C32C8" w:rsidRPr="00B0658A" w:rsidRDefault="001C32C8" w:rsidP="00004A41">
            <w:pPr>
              <w:spacing w:after="0" w:line="240" w:lineRule="auto"/>
              <w:jc w:val="center"/>
              <w:rPr>
                <w:rFonts w:ascii="Times New Roman" w:hAnsi="Times New Roman"/>
                <w:sz w:val="18"/>
                <w:szCs w:val="18"/>
              </w:rPr>
            </w:pPr>
          </w:p>
        </w:tc>
        <w:tc>
          <w:tcPr>
            <w:tcW w:w="780" w:type="dxa"/>
            <w:vAlign w:val="center"/>
          </w:tcPr>
          <w:p w14:paraId="1B80350B" w14:textId="77777777" w:rsidR="001C32C8" w:rsidRPr="00B0658A" w:rsidRDefault="001C32C8" w:rsidP="00004A41">
            <w:pPr>
              <w:spacing w:after="0" w:line="240" w:lineRule="auto"/>
              <w:jc w:val="center"/>
              <w:rPr>
                <w:rFonts w:ascii="Times New Roman" w:hAnsi="Times New Roman"/>
                <w:sz w:val="18"/>
                <w:szCs w:val="18"/>
              </w:rPr>
            </w:pPr>
          </w:p>
        </w:tc>
        <w:tc>
          <w:tcPr>
            <w:tcW w:w="1475" w:type="dxa"/>
            <w:vAlign w:val="center"/>
          </w:tcPr>
          <w:p w14:paraId="207FB0CD" w14:textId="77777777" w:rsidR="001C32C8" w:rsidRPr="00B0658A" w:rsidRDefault="001C32C8" w:rsidP="00004A41">
            <w:pPr>
              <w:spacing w:after="0" w:line="240" w:lineRule="auto"/>
              <w:jc w:val="center"/>
              <w:rPr>
                <w:rFonts w:ascii="Times New Roman" w:hAnsi="Times New Roman"/>
                <w:sz w:val="18"/>
                <w:szCs w:val="18"/>
              </w:rPr>
            </w:pPr>
          </w:p>
        </w:tc>
      </w:tr>
      <w:tr w:rsidR="00F52FED" w:rsidRPr="00B0658A" w14:paraId="2249A5FB" w14:textId="77777777" w:rsidTr="00E66BA4">
        <w:trPr>
          <w:trHeight w:val="20"/>
        </w:trPr>
        <w:tc>
          <w:tcPr>
            <w:tcW w:w="846" w:type="dxa"/>
            <w:shd w:val="clear" w:color="000000" w:fill="FFFFFF"/>
            <w:vAlign w:val="center"/>
          </w:tcPr>
          <w:p w14:paraId="0A4E6E4D" w14:textId="77777777" w:rsidR="001C32C8" w:rsidRPr="00B0658A" w:rsidRDefault="001C32C8" w:rsidP="00004A41">
            <w:pPr>
              <w:spacing w:after="0" w:line="240" w:lineRule="auto"/>
              <w:jc w:val="center"/>
              <w:rPr>
                <w:rFonts w:ascii="Times New Roman" w:hAnsi="Times New Roman"/>
                <w:sz w:val="18"/>
                <w:szCs w:val="18"/>
              </w:rPr>
            </w:pPr>
            <w:r w:rsidRPr="00B0658A">
              <w:rPr>
                <w:rFonts w:ascii="Times New Roman" w:hAnsi="Times New Roman"/>
                <w:sz w:val="18"/>
                <w:szCs w:val="18"/>
              </w:rPr>
              <w:t>5.2</w:t>
            </w:r>
          </w:p>
        </w:tc>
        <w:tc>
          <w:tcPr>
            <w:tcW w:w="1559" w:type="dxa"/>
            <w:shd w:val="clear" w:color="auto" w:fill="auto"/>
            <w:vAlign w:val="center"/>
            <w:hideMark/>
          </w:tcPr>
          <w:p w14:paraId="7DEA2462" w14:textId="77777777" w:rsidR="001C32C8" w:rsidRPr="00B0658A" w:rsidRDefault="001C32C8" w:rsidP="00004A41">
            <w:pPr>
              <w:spacing w:after="0" w:line="240" w:lineRule="auto"/>
              <w:rPr>
                <w:rFonts w:ascii="Times New Roman" w:hAnsi="Times New Roman"/>
                <w:sz w:val="18"/>
                <w:szCs w:val="18"/>
              </w:rPr>
            </w:pPr>
            <w:r w:rsidRPr="00B0658A">
              <w:rPr>
                <w:rFonts w:ascii="Times New Roman" w:hAnsi="Times New Roman"/>
                <w:sz w:val="18"/>
                <w:szCs w:val="18"/>
              </w:rPr>
              <w:t>Прикладное программное обеспечение/ Дополнительные программные модули (плагины)</w:t>
            </w:r>
          </w:p>
        </w:tc>
        <w:tc>
          <w:tcPr>
            <w:tcW w:w="1418" w:type="dxa"/>
            <w:shd w:val="clear" w:color="000000" w:fill="FFFFFF"/>
            <w:hideMark/>
          </w:tcPr>
          <w:p w14:paraId="1A82CE72" w14:textId="77777777" w:rsidR="001C32C8" w:rsidRPr="00B0658A" w:rsidRDefault="001C32C8" w:rsidP="00004A41">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44" w:type="dxa"/>
            <w:shd w:val="clear" w:color="000000" w:fill="FFFFFF"/>
            <w:vAlign w:val="center"/>
          </w:tcPr>
          <w:p w14:paraId="2736B538"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000000" w:fill="FFFFFF"/>
            <w:vAlign w:val="center"/>
            <w:hideMark/>
          </w:tcPr>
          <w:p w14:paraId="78D2FBF5"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000000" w:fill="FFFFFF"/>
            <w:vAlign w:val="center"/>
            <w:hideMark/>
          </w:tcPr>
          <w:p w14:paraId="5118E54E"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000000" w:fill="FFFFFF"/>
            <w:vAlign w:val="center"/>
            <w:hideMark/>
          </w:tcPr>
          <w:p w14:paraId="4321D28D" w14:textId="77777777" w:rsidR="001C32C8" w:rsidRPr="00B0658A" w:rsidRDefault="001C32C8" w:rsidP="00004A41">
            <w:pPr>
              <w:spacing w:after="0" w:line="240" w:lineRule="auto"/>
              <w:jc w:val="center"/>
              <w:rPr>
                <w:rFonts w:ascii="Times New Roman" w:hAnsi="Times New Roman"/>
                <w:sz w:val="18"/>
                <w:szCs w:val="18"/>
              </w:rPr>
            </w:pPr>
          </w:p>
        </w:tc>
        <w:tc>
          <w:tcPr>
            <w:tcW w:w="993" w:type="dxa"/>
            <w:shd w:val="clear" w:color="000000" w:fill="FFFFFF"/>
            <w:vAlign w:val="center"/>
          </w:tcPr>
          <w:p w14:paraId="039756AD"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000000" w:fill="FFFFFF"/>
            <w:vAlign w:val="center"/>
            <w:hideMark/>
          </w:tcPr>
          <w:p w14:paraId="5FE4CA17" w14:textId="77777777" w:rsidR="001C32C8" w:rsidRPr="00B0658A" w:rsidRDefault="001C32C8" w:rsidP="00004A41">
            <w:pPr>
              <w:spacing w:after="0" w:line="240" w:lineRule="auto"/>
              <w:jc w:val="center"/>
              <w:rPr>
                <w:rFonts w:ascii="Times New Roman" w:hAnsi="Times New Roman"/>
                <w:sz w:val="18"/>
                <w:szCs w:val="18"/>
              </w:rPr>
            </w:pPr>
          </w:p>
        </w:tc>
        <w:tc>
          <w:tcPr>
            <w:tcW w:w="780" w:type="dxa"/>
            <w:shd w:val="clear" w:color="000000" w:fill="FFFFFF"/>
            <w:vAlign w:val="center"/>
            <w:hideMark/>
          </w:tcPr>
          <w:p w14:paraId="6729CABD"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000000" w:fill="FFFFFF"/>
            <w:vAlign w:val="center"/>
            <w:hideMark/>
          </w:tcPr>
          <w:p w14:paraId="4953B490" w14:textId="77777777" w:rsidR="001C32C8" w:rsidRPr="00B0658A" w:rsidRDefault="001C32C8" w:rsidP="00004A41">
            <w:pPr>
              <w:spacing w:after="0" w:line="240" w:lineRule="auto"/>
              <w:jc w:val="center"/>
              <w:rPr>
                <w:rFonts w:ascii="Times New Roman" w:hAnsi="Times New Roman"/>
                <w:sz w:val="18"/>
                <w:szCs w:val="18"/>
              </w:rPr>
            </w:pPr>
          </w:p>
        </w:tc>
        <w:tc>
          <w:tcPr>
            <w:tcW w:w="780" w:type="dxa"/>
            <w:shd w:val="clear" w:color="000000" w:fill="FFFFFF"/>
            <w:vAlign w:val="center"/>
          </w:tcPr>
          <w:p w14:paraId="2B42D47A"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000000" w:fill="FFFFFF"/>
            <w:vAlign w:val="center"/>
          </w:tcPr>
          <w:p w14:paraId="3DDE0FD5" w14:textId="77777777" w:rsidR="001C32C8" w:rsidRPr="00B0658A" w:rsidRDefault="001C32C8" w:rsidP="00004A41">
            <w:pPr>
              <w:spacing w:after="0" w:line="240" w:lineRule="auto"/>
              <w:jc w:val="center"/>
              <w:rPr>
                <w:rFonts w:ascii="Times New Roman" w:hAnsi="Times New Roman"/>
                <w:sz w:val="18"/>
                <w:szCs w:val="18"/>
              </w:rPr>
            </w:pPr>
          </w:p>
        </w:tc>
        <w:tc>
          <w:tcPr>
            <w:tcW w:w="780" w:type="dxa"/>
            <w:shd w:val="clear" w:color="000000" w:fill="FFFFFF"/>
            <w:vAlign w:val="center"/>
          </w:tcPr>
          <w:p w14:paraId="0B122B1C" w14:textId="77777777" w:rsidR="001C32C8" w:rsidRPr="00B0658A" w:rsidRDefault="001C32C8" w:rsidP="00004A41">
            <w:pPr>
              <w:spacing w:after="0" w:line="240" w:lineRule="auto"/>
              <w:jc w:val="center"/>
              <w:rPr>
                <w:rFonts w:ascii="Times New Roman" w:hAnsi="Times New Roman"/>
                <w:sz w:val="18"/>
                <w:szCs w:val="18"/>
              </w:rPr>
            </w:pPr>
          </w:p>
        </w:tc>
        <w:tc>
          <w:tcPr>
            <w:tcW w:w="1475" w:type="dxa"/>
            <w:shd w:val="clear" w:color="000000" w:fill="FFFFFF"/>
            <w:vAlign w:val="center"/>
          </w:tcPr>
          <w:p w14:paraId="530C84A6" w14:textId="77777777" w:rsidR="001C32C8" w:rsidRPr="00B0658A" w:rsidRDefault="001C32C8" w:rsidP="00004A41">
            <w:pPr>
              <w:spacing w:after="0" w:line="240" w:lineRule="auto"/>
              <w:jc w:val="center"/>
              <w:rPr>
                <w:rFonts w:ascii="Times New Roman" w:hAnsi="Times New Roman"/>
                <w:sz w:val="18"/>
                <w:szCs w:val="18"/>
              </w:rPr>
            </w:pPr>
          </w:p>
        </w:tc>
      </w:tr>
      <w:tr w:rsidR="00F52FED" w:rsidRPr="00B0658A" w14:paraId="3D914DED" w14:textId="77777777" w:rsidTr="00E66BA4">
        <w:trPr>
          <w:trHeight w:val="20"/>
        </w:trPr>
        <w:tc>
          <w:tcPr>
            <w:tcW w:w="846" w:type="dxa"/>
            <w:shd w:val="clear" w:color="000000" w:fill="FFFFFF"/>
            <w:vAlign w:val="center"/>
          </w:tcPr>
          <w:p w14:paraId="7E714135" w14:textId="77777777" w:rsidR="001C32C8" w:rsidRPr="00B0658A" w:rsidRDefault="001C32C8" w:rsidP="00004A41">
            <w:pPr>
              <w:spacing w:after="0" w:line="240" w:lineRule="auto"/>
              <w:jc w:val="center"/>
              <w:rPr>
                <w:rFonts w:ascii="Times New Roman" w:hAnsi="Times New Roman"/>
                <w:sz w:val="18"/>
                <w:szCs w:val="18"/>
              </w:rPr>
            </w:pPr>
            <w:r w:rsidRPr="00B0658A">
              <w:rPr>
                <w:rFonts w:ascii="Times New Roman" w:hAnsi="Times New Roman"/>
                <w:sz w:val="18"/>
                <w:szCs w:val="18"/>
              </w:rPr>
              <w:t>5.3</w:t>
            </w:r>
          </w:p>
        </w:tc>
        <w:tc>
          <w:tcPr>
            <w:tcW w:w="1559" w:type="dxa"/>
            <w:shd w:val="clear" w:color="auto" w:fill="auto"/>
            <w:vAlign w:val="center"/>
            <w:hideMark/>
          </w:tcPr>
          <w:p w14:paraId="59DF82D7" w14:textId="77777777" w:rsidR="001C32C8" w:rsidRPr="00B0658A" w:rsidRDefault="001C32C8" w:rsidP="00004A41">
            <w:pPr>
              <w:spacing w:after="0" w:line="240" w:lineRule="auto"/>
              <w:rPr>
                <w:rFonts w:ascii="Times New Roman" w:hAnsi="Times New Roman"/>
                <w:sz w:val="18"/>
                <w:szCs w:val="18"/>
              </w:rPr>
            </w:pPr>
            <w:r w:rsidRPr="00B0658A">
              <w:rPr>
                <w:rFonts w:ascii="Times New Roman" w:hAnsi="Times New Roman"/>
                <w:sz w:val="18"/>
                <w:szCs w:val="18"/>
              </w:rPr>
              <w:t>Прикладное программное обеспечение/ Игры и развлечения</w:t>
            </w:r>
          </w:p>
        </w:tc>
        <w:tc>
          <w:tcPr>
            <w:tcW w:w="1418" w:type="dxa"/>
            <w:shd w:val="clear" w:color="000000" w:fill="FFFFFF"/>
            <w:hideMark/>
          </w:tcPr>
          <w:p w14:paraId="6EAB6438" w14:textId="77777777" w:rsidR="001C32C8" w:rsidRPr="00B0658A" w:rsidRDefault="001C32C8" w:rsidP="00004A41">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44" w:type="dxa"/>
            <w:shd w:val="clear" w:color="000000" w:fill="FFFFFF"/>
            <w:vAlign w:val="center"/>
          </w:tcPr>
          <w:p w14:paraId="4030AAAF"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000000" w:fill="FFFFFF"/>
            <w:vAlign w:val="center"/>
            <w:hideMark/>
          </w:tcPr>
          <w:p w14:paraId="2610DC9C"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000000" w:fill="FFFFFF"/>
            <w:vAlign w:val="center"/>
            <w:hideMark/>
          </w:tcPr>
          <w:p w14:paraId="6FEC08C3"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000000" w:fill="FFFFFF"/>
            <w:vAlign w:val="center"/>
            <w:hideMark/>
          </w:tcPr>
          <w:p w14:paraId="4D19149B" w14:textId="77777777" w:rsidR="001C32C8" w:rsidRPr="00B0658A" w:rsidRDefault="001C32C8" w:rsidP="00004A41">
            <w:pPr>
              <w:spacing w:after="0" w:line="240" w:lineRule="auto"/>
              <w:jc w:val="center"/>
              <w:rPr>
                <w:rFonts w:ascii="Times New Roman" w:hAnsi="Times New Roman"/>
                <w:sz w:val="18"/>
                <w:szCs w:val="18"/>
              </w:rPr>
            </w:pPr>
          </w:p>
        </w:tc>
        <w:tc>
          <w:tcPr>
            <w:tcW w:w="993" w:type="dxa"/>
            <w:shd w:val="clear" w:color="000000" w:fill="FFFFFF"/>
            <w:vAlign w:val="center"/>
          </w:tcPr>
          <w:p w14:paraId="56384A36"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000000" w:fill="FFFFFF"/>
            <w:vAlign w:val="center"/>
            <w:hideMark/>
          </w:tcPr>
          <w:p w14:paraId="4883D388" w14:textId="77777777" w:rsidR="001C32C8" w:rsidRPr="00B0658A" w:rsidRDefault="001C32C8" w:rsidP="00004A41">
            <w:pPr>
              <w:spacing w:after="0" w:line="240" w:lineRule="auto"/>
              <w:jc w:val="center"/>
              <w:rPr>
                <w:rFonts w:ascii="Times New Roman" w:hAnsi="Times New Roman"/>
                <w:sz w:val="18"/>
                <w:szCs w:val="18"/>
              </w:rPr>
            </w:pPr>
          </w:p>
        </w:tc>
        <w:tc>
          <w:tcPr>
            <w:tcW w:w="780" w:type="dxa"/>
            <w:shd w:val="clear" w:color="000000" w:fill="FFFFFF"/>
            <w:vAlign w:val="center"/>
            <w:hideMark/>
          </w:tcPr>
          <w:p w14:paraId="0456E10D"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000000" w:fill="FFFFFF"/>
            <w:vAlign w:val="center"/>
            <w:hideMark/>
          </w:tcPr>
          <w:p w14:paraId="14045EA1" w14:textId="77777777" w:rsidR="001C32C8" w:rsidRPr="00B0658A" w:rsidRDefault="001C32C8" w:rsidP="00004A41">
            <w:pPr>
              <w:spacing w:after="0" w:line="240" w:lineRule="auto"/>
              <w:jc w:val="center"/>
              <w:rPr>
                <w:rFonts w:ascii="Times New Roman" w:hAnsi="Times New Roman"/>
                <w:sz w:val="18"/>
                <w:szCs w:val="18"/>
              </w:rPr>
            </w:pPr>
          </w:p>
        </w:tc>
        <w:tc>
          <w:tcPr>
            <w:tcW w:w="780" w:type="dxa"/>
            <w:shd w:val="clear" w:color="000000" w:fill="FFFFFF"/>
            <w:vAlign w:val="center"/>
          </w:tcPr>
          <w:p w14:paraId="06AF1518"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000000" w:fill="FFFFFF"/>
            <w:vAlign w:val="center"/>
          </w:tcPr>
          <w:p w14:paraId="05C8DB97" w14:textId="77777777" w:rsidR="001C32C8" w:rsidRPr="00B0658A" w:rsidRDefault="001C32C8" w:rsidP="00004A41">
            <w:pPr>
              <w:spacing w:after="0" w:line="240" w:lineRule="auto"/>
              <w:jc w:val="center"/>
              <w:rPr>
                <w:rFonts w:ascii="Times New Roman" w:hAnsi="Times New Roman"/>
                <w:sz w:val="18"/>
                <w:szCs w:val="18"/>
              </w:rPr>
            </w:pPr>
          </w:p>
        </w:tc>
        <w:tc>
          <w:tcPr>
            <w:tcW w:w="780" w:type="dxa"/>
            <w:shd w:val="clear" w:color="000000" w:fill="FFFFFF"/>
            <w:vAlign w:val="center"/>
          </w:tcPr>
          <w:p w14:paraId="059CE73B" w14:textId="77777777" w:rsidR="001C32C8" w:rsidRPr="00B0658A" w:rsidRDefault="001C32C8" w:rsidP="00004A41">
            <w:pPr>
              <w:spacing w:after="0" w:line="240" w:lineRule="auto"/>
              <w:jc w:val="center"/>
              <w:rPr>
                <w:rFonts w:ascii="Times New Roman" w:hAnsi="Times New Roman"/>
                <w:sz w:val="18"/>
                <w:szCs w:val="18"/>
              </w:rPr>
            </w:pPr>
          </w:p>
        </w:tc>
        <w:tc>
          <w:tcPr>
            <w:tcW w:w="1475" w:type="dxa"/>
            <w:shd w:val="clear" w:color="000000" w:fill="FFFFFF"/>
            <w:vAlign w:val="center"/>
          </w:tcPr>
          <w:p w14:paraId="6F5F7ED3" w14:textId="77777777" w:rsidR="001C32C8" w:rsidRPr="00B0658A" w:rsidRDefault="001C32C8" w:rsidP="00004A41">
            <w:pPr>
              <w:spacing w:after="0" w:line="240" w:lineRule="auto"/>
              <w:jc w:val="center"/>
              <w:rPr>
                <w:rFonts w:ascii="Times New Roman" w:hAnsi="Times New Roman"/>
                <w:sz w:val="18"/>
                <w:szCs w:val="18"/>
              </w:rPr>
            </w:pPr>
          </w:p>
        </w:tc>
      </w:tr>
      <w:tr w:rsidR="00F52FED" w:rsidRPr="00B0658A" w14:paraId="3D3AE1AA" w14:textId="77777777" w:rsidTr="00E66BA4">
        <w:trPr>
          <w:trHeight w:val="20"/>
        </w:trPr>
        <w:tc>
          <w:tcPr>
            <w:tcW w:w="846" w:type="dxa"/>
            <w:shd w:val="clear" w:color="000000" w:fill="FFFFFF"/>
            <w:vAlign w:val="center"/>
          </w:tcPr>
          <w:p w14:paraId="0A675EE2" w14:textId="77777777" w:rsidR="001C32C8" w:rsidRPr="00B0658A" w:rsidRDefault="001C32C8" w:rsidP="00004A41">
            <w:pPr>
              <w:spacing w:after="0" w:line="240" w:lineRule="auto"/>
              <w:jc w:val="center"/>
              <w:rPr>
                <w:rFonts w:ascii="Times New Roman" w:hAnsi="Times New Roman"/>
                <w:sz w:val="18"/>
                <w:szCs w:val="18"/>
              </w:rPr>
            </w:pPr>
            <w:r w:rsidRPr="00B0658A">
              <w:rPr>
                <w:rFonts w:ascii="Times New Roman" w:hAnsi="Times New Roman"/>
                <w:sz w:val="18"/>
                <w:szCs w:val="18"/>
              </w:rPr>
              <w:t>5.4</w:t>
            </w:r>
          </w:p>
        </w:tc>
        <w:tc>
          <w:tcPr>
            <w:tcW w:w="1559" w:type="dxa"/>
            <w:shd w:val="clear" w:color="auto" w:fill="auto"/>
            <w:vAlign w:val="center"/>
            <w:hideMark/>
          </w:tcPr>
          <w:p w14:paraId="3AAFB927" w14:textId="77777777" w:rsidR="001C32C8" w:rsidRPr="00B0658A" w:rsidRDefault="001C32C8" w:rsidP="00004A41">
            <w:pPr>
              <w:spacing w:after="0" w:line="240" w:lineRule="auto"/>
              <w:rPr>
                <w:rFonts w:ascii="Times New Roman" w:hAnsi="Times New Roman"/>
                <w:sz w:val="18"/>
                <w:szCs w:val="18"/>
              </w:rPr>
            </w:pPr>
            <w:r w:rsidRPr="00B0658A">
              <w:rPr>
                <w:rFonts w:ascii="Times New Roman" w:hAnsi="Times New Roman"/>
                <w:sz w:val="18"/>
                <w:szCs w:val="18"/>
              </w:rPr>
              <w:t>Прикладное программное обеспечение/ Поисковые средства</w:t>
            </w:r>
          </w:p>
        </w:tc>
        <w:tc>
          <w:tcPr>
            <w:tcW w:w="1418" w:type="dxa"/>
            <w:shd w:val="clear" w:color="000000" w:fill="FFFFFF"/>
            <w:hideMark/>
          </w:tcPr>
          <w:p w14:paraId="025ED7BA" w14:textId="77777777" w:rsidR="001C32C8" w:rsidRPr="00B0658A" w:rsidRDefault="001C32C8" w:rsidP="00004A41">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44" w:type="dxa"/>
            <w:shd w:val="clear" w:color="000000" w:fill="FFFFFF"/>
            <w:vAlign w:val="center"/>
          </w:tcPr>
          <w:p w14:paraId="0B86A3C9"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000000" w:fill="FFFFFF"/>
            <w:vAlign w:val="center"/>
            <w:hideMark/>
          </w:tcPr>
          <w:p w14:paraId="474605C0"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000000" w:fill="FFFFFF"/>
            <w:vAlign w:val="center"/>
            <w:hideMark/>
          </w:tcPr>
          <w:p w14:paraId="64577C44"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000000" w:fill="FFFFFF"/>
            <w:vAlign w:val="center"/>
            <w:hideMark/>
          </w:tcPr>
          <w:p w14:paraId="0B473258" w14:textId="77777777" w:rsidR="001C32C8" w:rsidRPr="00B0658A" w:rsidRDefault="001C32C8" w:rsidP="00004A41">
            <w:pPr>
              <w:spacing w:after="0" w:line="240" w:lineRule="auto"/>
              <w:jc w:val="center"/>
              <w:rPr>
                <w:rFonts w:ascii="Times New Roman" w:hAnsi="Times New Roman"/>
                <w:sz w:val="18"/>
                <w:szCs w:val="18"/>
              </w:rPr>
            </w:pPr>
          </w:p>
        </w:tc>
        <w:tc>
          <w:tcPr>
            <w:tcW w:w="993" w:type="dxa"/>
            <w:shd w:val="clear" w:color="000000" w:fill="FFFFFF"/>
            <w:vAlign w:val="center"/>
          </w:tcPr>
          <w:p w14:paraId="45631430"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000000" w:fill="FFFFFF"/>
            <w:vAlign w:val="center"/>
            <w:hideMark/>
          </w:tcPr>
          <w:p w14:paraId="050A5473" w14:textId="77777777" w:rsidR="001C32C8" w:rsidRPr="00B0658A" w:rsidRDefault="001C32C8" w:rsidP="00004A41">
            <w:pPr>
              <w:spacing w:after="0" w:line="240" w:lineRule="auto"/>
              <w:jc w:val="center"/>
              <w:rPr>
                <w:rFonts w:ascii="Times New Roman" w:hAnsi="Times New Roman"/>
                <w:sz w:val="18"/>
                <w:szCs w:val="18"/>
              </w:rPr>
            </w:pPr>
          </w:p>
        </w:tc>
        <w:tc>
          <w:tcPr>
            <w:tcW w:w="780" w:type="dxa"/>
            <w:shd w:val="clear" w:color="000000" w:fill="FFFFFF"/>
            <w:vAlign w:val="center"/>
            <w:hideMark/>
          </w:tcPr>
          <w:p w14:paraId="78567F8A"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000000" w:fill="FFFFFF"/>
            <w:vAlign w:val="center"/>
            <w:hideMark/>
          </w:tcPr>
          <w:p w14:paraId="2967C114" w14:textId="77777777" w:rsidR="001C32C8" w:rsidRPr="00B0658A" w:rsidRDefault="001C32C8" w:rsidP="00004A41">
            <w:pPr>
              <w:spacing w:after="0" w:line="240" w:lineRule="auto"/>
              <w:jc w:val="center"/>
              <w:rPr>
                <w:rFonts w:ascii="Times New Roman" w:hAnsi="Times New Roman"/>
                <w:sz w:val="18"/>
                <w:szCs w:val="18"/>
              </w:rPr>
            </w:pPr>
          </w:p>
        </w:tc>
        <w:tc>
          <w:tcPr>
            <w:tcW w:w="780" w:type="dxa"/>
            <w:shd w:val="clear" w:color="000000" w:fill="FFFFFF"/>
            <w:vAlign w:val="center"/>
          </w:tcPr>
          <w:p w14:paraId="0C66DE22"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000000" w:fill="FFFFFF"/>
            <w:vAlign w:val="center"/>
          </w:tcPr>
          <w:p w14:paraId="616464DD" w14:textId="77777777" w:rsidR="001C32C8" w:rsidRPr="00B0658A" w:rsidRDefault="001C32C8" w:rsidP="00004A41">
            <w:pPr>
              <w:spacing w:after="0" w:line="240" w:lineRule="auto"/>
              <w:jc w:val="center"/>
              <w:rPr>
                <w:rFonts w:ascii="Times New Roman" w:hAnsi="Times New Roman"/>
                <w:sz w:val="18"/>
                <w:szCs w:val="18"/>
              </w:rPr>
            </w:pPr>
          </w:p>
        </w:tc>
        <w:tc>
          <w:tcPr>
            <w:tcW w:w="780" w:type="dxa"/>
            <w:shd w:val="clear" w:color="000000" w:fill="FFFFFF"/>
            <w:vAlign w:val="center"/>
          </w:tcPr>
          <w:p w14:paraId="637E5A0F" w14:textId="77777777" w:rsidR="001C32C8" w:rsidRPr="00B0658A" w:rsidRDefault="001C32C8" w:rsidP="00004A41">
            <w:pPr>
              <w:spacing w:after="0" w:line="240" w:lineRule="auto"/>
              <w:jc w:val="center"/>
              <w:rPr>
                <w:rFonts w:ascii="Times New Roman" w:hAnsi="Times New Roman"/>
                <w:sz w:val="18"/>
                <w:szCs w:val="18"/>
              </w:rPr>
            </w:pPr>
          </w:p>
        </w:tc>
        <w:tc>
          <w:tcPr>
            <w:tcW w:w="1475" w:type="dxa"/>
            <w:shd w:val="clear" w:color="000000" w:fill="FFFFFF"/>
            <w:vAlign w:val="center"/>
          </w:tcPr>
          <w:p w14:paraId="0151E13F" w14:textId="77777777" w:rsidR="001C32C8" w:rsidRPr="00B0658A" w:rsidRDefault="001C32C8" w:rsidP="00004A41">
            <w:pPr>
              <w:spacing w:after="0" w:line="240" w:lineRule="auto"/>
              <w:jc w:val="center"/>
              <w:rPr>
                <w:rFonts w:ascii="Times New Roman" w:hAnsi="Times New Roman"/>
                <w:sz w:val="18"/>
                <w:szCs w:val="18"/>
              </w:rPr>
            </w:pPr>
          </w:p>
        </w:tc>
      </w:tr>
      <w:tr w:rsidR="00F52FED" w:rsidRPr="00B0658A" w14:paraId="61F35EA3" w14:textId="77777777" w:rsidTr="00E66BA4">
        <w:trPr>
          <w:trHeight w:val="20"/>
        </w:trPr>
        <w:tc>
          <w:tcPr>
            <w:tcW w:w="846" w:type="dxa"/>
            <w:shd w:val="clear" w:color="000000" w:fill="FFFFFF"/>
            <w:vAlign w:val="center"/>
          </w:tcPr>
          <w:p w14:paraId="16EFFDF2" w14:textId="77777777" w:rsidR="001C32C8" w:rsidRPr="00B0658A" w:rsidRDefault="001C32C8" w:rsidP="00004A41">
            <w:pPr>
              <w:spacing w:after="0" w:line="240" w:lineRule="auto"/>
              <w:jc w:val="center"/>
              <w:rPr>
                <w:rFonts w:ascii="Times New Roman" w:hAnsi="Times New Roman"/>
                <w:sz w:val="18"/>
                <w:szCs w:val="18"/>
              </w:rPr>
            </w:pPr>
            <w:r w:rsidRPr="00B0658A">
              <w:rPr>
                <w:rFonts w:ascii="Times New Roman" w:hAnsi="Times New Roman"/>
                <w:sz w:val="18"/>
                <w:szCs w:val="18"/>
              </w:rPr>
              <w:t>5.5</w:t>
            </w:r>
          </w:p>
        </w:tc>
        <w:tc>
          <w:tcPr>
            <w:tcW w:w="1559" w:type="dxa"/>
            <w:shd w:val="clear" w:color="auto" w:fill="auto"/>
            <w:vAlign w:val="center"/>
            <w:hideMark/>
          </w:tcPr>
          <w:p w14:paraId="0FEDDAEC" w14:textId="77777777" w:rsidR="001C32C8" w:rsidRPr="00B0658A" w:rsidRDefault="001C32C8" w:rsidP="00004A41">
            <w:pPr>
              <w:spacing w:after="0" w:line="240" w:lineRule="auto"/>
              <w:rPr>
                <w:rFonts w:ascii="Times New Roman" w:hAnsi="Times New Roman"/>
                <w:sz w:val="18"/>
                <w:szCs w:val="18"/>
              </w:rPr>
            </w:pPr>
            <w:r w:rsidRPr="00B0658A">
              <w:rPr>
                <w:rFonts w:ascii="Times New Roman" w:hAnsi="Times New Roman"/>
                <w:sz w:val="18"/>
                <w:szCs w:val="18"/>
              </w:rPr>
              <w:t>Прикладное программное обеспечение/ Средства управления проектами</w:t>
            </w:r>
          </w:p>
        </w:tc>
        <w:tc>
          <w:tcPr>
            <w:tcW w:w="1418" w:type="dxa"/>
            <w:shd w:val="clear" w:color="000000" w:fill="FFFFFF"/>
            <w:hideMark/>
          </w:tcPr>
          <w:p w14:paraId="32F45771" w14:textId="77777777" w:rsidR="001C32C8" w:rsidRPr="00B0658A" w:rsidRDefault="001C32C8" w:rsidP="00004A41">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44" w:type="dxa"/>
            <w:shd w:val="clear" w:color="000000" w:fill="FFFFFF"/>
            <w:vAlign w:val="center"/>
          </w:tcPr>
          <w:p w14:paraId="62CB5D5F"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000000" w:fill="FFFFFF"/>
            <w:vAlign w:val="center"/>
            <w:hideMark/>
          </w:tcPr>
          <w:p w14:paraId="2EC9DEC1"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000000" w:fill="FFFFFF"/>
            <w:vAlign w:val="center"/>
            <w:hideMark/>
          </w:tcPr>
          <w:p w14:paraId="11735268"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000000" w:fill="FFFFFF"/>
            <w:vAlign w:val="center"/>
            <w:hideMark/>
          </w:tcPr>
          <w:p w14:paraId="102D0D6A" w14:textId="77777777" w:rsidR="001C32C8" w:rsidRPr="00B0658A" w:rsidRDefault="001C32C8" w:rsidP="00004A41">
            <w:pPr>
              <w:spacing w:after="0" w:line="240" w:lineRule="auto"/>
              <w:jc w:val="center"/>
              <w:rPr>
                <w:rFonts w:ascii="Times New Roman" w:hAnsi="Times New Roman"/>
                <w:sz w:val="18"/>
                <w:szCs w:val="18"/>
              </w:rPr>
            </w:pPr>
          </w:p>
        </w:tc>
        <w:tc>
          <w:tcPr>
            <w:tcW w:w="993" w:type="dxa"/>
            <w:shd w:val="clear" w:color="000000" w:fill="FFFFFF"/>
            <w:vAlign w:val="center"/>
          </w:tcPr>
          <w:p w14:paraId="2B6866BD"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000000" w:fill="FFFFFF"/>
            <w:vAlign w:val="center"/>
            <w:hideMark/>
          </w:tcPr>
          <w:p w14:paraId="5F3A2239" w14:textId="77777777" w:rsidR="001C32C8" w:rsidRPr="00B0658A" w:rsidRDefault="001C32C8" w:rsidP="00004A41">
            <w:pPr>
              <w:spacing w:after="0" w:line="240" w:lineRule="auto"/>
              <w:jc w:val="center"/>
              <w:rPr>
                <w:rFonts w:ascii="Times New Roman" w:hAnsi="Times New Roman"/>
                <w:sz w:val="18"/>
                <w:szCs w:val="18"/>
              </w:rPr>
            </w:pPr>
          </w:p>
        </w:tc>
        <w:tc>
          <w:tcPr>
            <w:tcW w:w="780" w:type="dxa"/>
            <w:shd w:val="clear" w:color="000000" w:fill="FFFFFF"/>
            <w:vAlign w:val="center"/>
            <w:hideMark/>
          </w:tcPr>
          <w:p w14:paraId="543FBC13"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000000" w:fill="FFFFFF"/>
            <w:vAlign w:val="center"/>
            <w:hideMark/>
          </w:tcPr>
          <w:p w14:paraId="2C1EF6CD" w14:textId="77777777" w:rsidR="001C32C8" w:rsidRPr="00B0658A" w:rsidRDefault="001C32C8" w:rsidP="00004A41">
            <w:pPr>
              <w:spacing w:after="0" w:line="240" w:lineRule="auto"/>
              <w:jc w:val="center"/>
              <w:rPr>
                <w:rFonts w:ascii="Times New Roman" w:hAnsi="Times New Roman"/>
                <w:sz w:val="18"/>
                <w:szCs w:val="18"/>
              </w:rPr>
            </w:pPr>
          </w:p>
        </w:tc>
        <w:tc>
          <w:tcPr>
            <w:tcW w:w="780" w:type="dxa"/>
            <w:shd w:val="clear" w:color="000000" w:fill="FFFFFF"/>
            <w:vAlign w:val="center"/>
          </w:tcPr>
          <w:p w14:paraId="3AEEDE68"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000000" w:fill="FFFFFF"/>
            <w:vAlign w:val="center"/>
          </w:tcPr>
          <w:p w14:paraId="78D6FDA4" w14:textId="77777777" w:rsidR="001C32C8" w:rsidRPr="00B0658A" w:rsidRDefault="001C32C8" w:rsidP="00004A41">
            <w:pPr>
              <w:spacing w:after="0" w:line="240" w:lineRule="auto"/>
              <w:jc w:val="center"/>
              <w:rPr>
                <w:rFonts w:ascii="Times New Roman" w:hAnsi="Times New Roman"/>
                <w:sz w:val="18"/>
                <w:szCs w:val="18"/>
              </w:rPr>
            </w:pPr>
          </w:p>
        </w:tc>
        <w:tc>
          <w:tcPr>
            <w:tcW w:w="780" w:type="dxa"/>
            <w:shd w:val="clear" w:color="000000" w:fill="FFFFFF"/>
            <w:vAlign w:val="center"/>
          </w:tcPr>
          <w:p w14:paraId="6ACD6FD1" w14:textId="77777777" w:rsidR="001C32C8" w:rsidRPr="00B0658A" w:rsidRDefault="001C32C8" w:rsidP="00004A41">
            <w:pPr>
              <w:spacing w:after="0" w:line="240" w:lineRule="auto"/>
              <w:jc w:val="center"/>
              <w:rPr>
                <w:rFonts w:ascii="Times New Roman" w:hAnsi="Times New Roman"/>
                <w:sz w:val="18"/>
                <w:szCs w:val="18"/>
              </w:rPr>
            </w:pPr>
          </w:p>
        </w:tc>
        <w:tc>
          <w:tcPr>
            <w:tcW w:w="1475" w:type="dxa"/>
            <w:shd w:val="clear" w:color="000000" w:fill="FFFFFF"/>
            <w:vAlign w:val="center"/>
          </w:tcPr>
          <w:p w14:paraId="66478CD9" w14:textId="77777777" w:rsidR="001C32C8" w:rsidRPr="00B0658A" w:rsidRDefault="001C32C8" w:rsidP="00004A41">
            <w:pPr>
              <w:spacing w:after="0" w:line="240" w:lineRule="auto"/>
              <w:jc w:val="center"/>
              <w:rPr>
                <w:rFonts w:ascii="Times New Roman" w:hAnsi="Times New Roman"/>
                <w:sz w:val="18"/>
                <w:szCs w:val="18"/>
              </w:rPr>
            </w:pPr>
          </w:p>
        </w:tc>
      </w:tr>
      <w:tr w:rsidR="00F52FED" w:rsidRPr="00B0658A" w14:paraId="067A6AAB" w14:textId="77777777" w:rsidTr="00E66BA4">
        <w:trPr>
          <w:trHeight w:val="20"/>
        </w:trPr>
        <w:tc>
          <w:tcPr>
            <w:tcW w:w="846" w:type="dxa"/>
            <w:shd w:val="clear" w:color="000000" w:fill="FFFFFF"/>
            <w:vAlign w:val="center"/>
          </w:tcPr>
          <w:p w14:paraId="50826C14" w14:textId="77777777" w:rsidR="001C32C8" w:rsidRPr="00B0658A" w:rsidRDefault="001C32C8" w:rsidP="00004A41">
            <w:pPr>
              <w:spacing w:after="0" w:line="240" w:lineRule="auto"/>
              <w:jc w:val="center"/>
              <w:rPr>
                <w:rFonts w:ascii="Times New Roman" w:hAnsi="Times New Roman"/>
                <w:sz w:val="18"/>
                <w:szCs w:val="18"/>
              </w:rPr>
            </w:pPr>
            <w:r w:rsidRPr="00B0658A">
              <w:rPr>
                <w:rFonts w:ascii="Times New Roman" w:hAnsi="Times New Roman"/>
                <w:sz w:val="18"/>
                <w:szCs w:val="18"/>
              </w:rPr>
              <w:t>5.6</w:t>
            </w:r>
          </w:p>
        </w:tc>
        <w:tc>
          <w:tcPr>
            <w:tcW w:w="1559" w:type="dxa"/>
            <w:shd w:val="clear" w:color="auto" w:fill="auto"/>
            <w:vAlign w:val="center"/>
            <w:hideMark/>
          </w:tcPr>
          <w:p w14:paraId="36792571" w14:textId="77777777" w:rsidR="001C32C8" w:rsidRPr="00B0658A" w:rsidRDefault="001C32C8" w:rsidP="00004A41">
            <w:pPr>
              <w:spacing w:after="0" w:line="240" w:lineRule="auto"/>
              <w:rPr>
                <w:rFonts w:ascii="Times New Roman" w:hAnsi="Times New Roman"/>
                <w:sz w:val="18"/>
                <w:szCs w:val="18"/>
              </w:rPr>
            </w:pPr>
            <w:r w:rsidRPr="00B0658A">
              <w:rPr>
                <w:rFonts w:ascii="Times New Roman" w:hAnsi="Times New Roman"/>
                <w:sz w:val="18"/>
                <w:szCs w:val="18"/>
              </w:rPr>
              <w:t xml:space="preserve">Прикладное программное обеспечение/ Геоинформационные и </w:t>
            </w:r>
            <w:r w:rsidRPr="00B0658A">
              <w:rPr>
                <w:rFonts w:ascii="Times New Roman" w:hAnsi="Times New Roman"/>
                <w:sz w:val="18"/>
                <w:szCs w:val="18"/>
              </w:rPr>
              <w:lastRenderedPageBreak/>
              <w:t>навигационные средства (GIS)</w:t>
            </w:r>
          </w:p>
        </w:tc>
        <w:tc>
          <w:tcPr>
            <w:tcW w:w="1418" w:type="dxa"/>
            <w:shd w:val="clear" w:color="000000" w:fill="FFFFFF"/>
            <w:hideMark/>
          </w:tcPr>
          <w:p w14:paraId="609E2249" w14:textId="77777777" w:rsidR="001C32C8" w:rsidRPr="00B0658A" w:rsidRDefault="001C32C8" w:rsidP="00004A41">
            <w:pPr>
              <w:spacing w:after="0" w:line="240" w:lineRule="auto"/>
              <w:rPr>
                <w:rFonts w:ascii="Times New Roman" w:hAnsi="Times New Roman"/>
                <w:sz w:val="18"/>
                <w:szCs w:val="18"/>
              </w:rPr>
            </w:pPr>
            <w:r w:rsidRPr="00B0658A">
              <w:rPr>
                <w:rFonts w:ascii="Times New Roman" w:hAnsi="Times New Roman"/>
                <w:sz w:val="18"/>
                <w:szCs w:val="18"/>
              </w:rPr>
              <w:lastRenderedPageBreak/>
              <w:t xml:space="preserve">Доля используемого российского ПО в общем объёме, </w:t>
            </w:r>
            <w:r w:rsidRPr="00B0658A">
              <w:rPr>
                <w:rFonts w:ascii="Times New Roman" w:hAnsi="Times New Roman"/>
                <w:sz w:val="18"/>
                <w:szCs w:val="18"/>
              </w:rPr>
              <w:lastRenderedPageBreak/>
              <w:t>используемого ПО, %</w:t>
            </w:r>
          </w:p>
        </w:tc>
        <w:tc>
          <w:tcPr>
            <w:tcW w:w="744" w:type="dxa"/>
            <w:shd w:val="clear" w:color="000000" w:fill="FFFFFF"/>
            <w:vAlign w:val="center"/>
          </w:tcPr>
          <w:p w14:paraId="2D963A3D"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000000" w:fill="FFFFFF"/>
            <w:vAlign w:val="center"/>
            <w:hideMark/>
          </w:tcPr>
          <w:p w14:paraId="77450954"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000000" w:fill="FFFFFF"/>
            <w:vAlign w:val="center"/>
            <w:hideMark/>
          </w:tcPr>
          <w:p w14:paraId="2E83CD2F"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000000" w:fill="FFFFFF"/>
            <w:vAlign w:val="center"/>
            <w:hideMark/>
          </w:tcPr>
          <w:p w14:paraId="11634CAF" w14:textId="77777777" w:rsidR="001C32C8" w:rsidRPr="00B0658A" w:rsidRDefault="001C32C8" w:rsidP="00004A41">
            <w:pPr>
              <w:spacing w:after="0" w:line="240" w:lineRule="auto"/>
              <w:jc w:val="center"/>
              <w:rPr>
                <w:rFonts w:ascii="Times New Roman" w:hAnsi="Times New Roman"/>
                <w:sz w:val="18"/>
                <w:szCs w:val="18"/>
              </w:rPr>
            </w:pPr>
          </w:p>
        </w:tc>
        <w:tc>
          <w:tcPr>
            <w:tcW w:w="993" w:type="dxa"/>
            <w:shd w:val="clear" w:color="000000" w:fill="FFFFFF"/>
            <w:vAlign w:val="center"/>
          </w:tcPr>
          <w:p w14:paraId="2981896D"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000000" w:fill="FFFFFF"/>
            <w:vAlign w:val="center"/>
            <w:hideMark/>
          </w:tcPr>
          <w:p w14:paraId="6981E8BF" w14:textId="77777777" w:rsidR="001C32C8" w:rsidRPr="00B0658A" w:rsidRDefault="001C32C8" w:rsidP="00004A41">
            <w:pPr>
              <w:spacing w:after="0" w:line="240" w:lineRule="auto"/>
              <w:jc w:val="center"/>
              <w:rPr>
                <w:rFonts w:ascii="Times New Roman" w:hAnsi="Times New Roman"/>
                <w:sz w:val="18"/>
                <w:szCs w:val="18"/>
              </w:rPr>
            </w:pPr>
          </w:p>
        </w:tc>
        <w:tc>
          <w:tcPr>
            <w:tcW w:w="780" w:type="dxa"/>
            <w:shd w:val="clear" w:color="000000" w:fill="FFFFFF"/>
            <w:vAlign w:val="center"/>
            <w:hideMark/>
          </w:tcPr>
          <w:p w14:paraId="37CAD289"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000000" w:fill="FFFFFF"/>
            <w:vAlign w:val="center"/>
            <w:hideMark/>
          </w:tcPr>
          <w:p w14:paraId="7AFBA1DD" w14:textId="77777777" w:rsidR="001C32C8" w:rsidRPr="00B0658A" w:rsidRDefault="001C32C8" w:rsidP="00004A41">
            <w:pPr>
              <w:spacing w:after="0" w:line="240" w:lineRule="auto"/>
              <w:jc w:val="center"/>
              <w:rPr>
                <w:rFonts w:ascii="Times New Roman" w:hAnsi="Times New Roman"/>
                <w:sz w:val="18"/>
                <w:szCs w:val="18"/>
              </w:rPr>
            </w:pPr>
          </w:p>
        </w:tc>
        <w:tc>
          <w:tcPr>
            <w:tcW w:w="780" w:type="dxa"/>
            <w:shd w:val="clear" w:color="000000" w:fill="FFFFFF"/>
            <w:vAlign w:val="center"/>
          </w:tcPr>
          <w:p w14:paraId="227DA229"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000000" w:fill="FFFFFF"/>
            <w:vAlign w:val="center"/>
          </w:tcPr>
          <w:p w14:paraId="48C2B092" w14:textId="77777777" w:rsidR="001C32C8" w:rsidRPr="00B0658A" w:rsidRDefault="001C32C8" w:rsidP="00004A41">
            <w:pPr>
              <w:spacing w:after="0" w:line="240" w:lineRule="auto"/>
              <w:jc w:val="center"/>
              <w:rPr>
                <w:rFonts w:ascii="Times New Roman" w:hAnsi="Times New Roman"/>
                <w:sz w:val="18"/>
                <w:szCs w:val="18"/>
              </w:rPr>
            </w:pPr>
          </w:p>
        </w:tc>
        <w:tc>
          <w:tcPr>
            <w:tcW w:w="780" w:type="dxa"/>
            <w:shd w:val="clear" w:color="000000" w:fill="FFFFFF"/>
            <w:vAlign w:val="center"/>
          </w:tcPr>
          <w:p w14:paraId="6FFCBB49" w14:textId="77777777" w:rsidR="001C32C8" w:rsidRPr="00B0658A" w:rsidRDefault="001C32C8" w:rsidP="00004A41">
            <w:pPr>
              <w:spacing w:after="0" w:line="240" w:lineRule="auto"/>
              <w:jc w:val="center"/>
              <w:rPr>
                <w:rFonts w:ascii="Times New Roman" w:hAnsi="Times New Roman"/>
                <w:sz w:val="18"/>
                <w:szCs w:val="18"/>
              </w:rPr>
            </w:pPr>
          </w:p>
        </w:tc>
        <w:tc>
          <w:tcPr>
            <w:tcW w:w="1475" w:type="dxa"/>
            <w:shd w:val="clear" w:color="000000" w:fill="FFFFFF"/>
            <w:vAlign w:val="center"/>
          </w:tcPr>
          <w:p w14:paraId="4DA9CF16" w14:textId="77777777" w:rsidR="001C32C8" w:rsidRPr="00B0658A" w:rsidRDefault="001C32C8" w:rsidP="00004A41">
            <w:pPr>
              <w:spacing w:after="0" w:line="240" w:lineRule="auto"/>
              <w:jc w:val="center"/>
              <w:rPr>
                <w:rFonts w:ascii="Times New Roman" w:hAnsi="Times New Roman"/>
                <w:sz w:val="18"/>
                <w:szCs w:val="18"/>
              </w:rPr>
            </w:pPr>
          </w:p>
        </w:tc>
      </w:tr>
      <w:tr w:rsidR="00F52FED" w:rsidRPr="00B0658A" w14:paraId="2E9EA605" w14:textId="77777777" w:rsidTr="00E66BA4">
        <w:trPr>
          <w:trHeight w:val="20"/>
        </w:trPr>
        <w:tc>
          <w:tcPr>
            <w:tcW w:w="846" w:type="dxa"/>
            <w:shd w:val="clear" w:color="000000" w:fill="FFFFFF"/>
            <w:vAlign w:val="center"/>
          </w:tcPr>
          <w:p w14:paraId="215AD646" w14:textId="77777777" w:rsidR="001C32C8" w:rsidRPr="00B0658A" w:rsidRDefault="001C32C8" w:rsidP="00004A41">
            <w:pPr>
              <w:spacing w:after="0" w:line="240" w:lineRule="auto"/>
              <w:jc w:val="center"/>
              <w:rPr>
                <w:rFonts w:ascii="Times New Roman" w:hAnsi="Times New Roman"/>
                <w:sz w:val="18"/>
                <w:szCs w:val="18"/>
              </w:rPr>
            </w:pPr>
            <w:r w:rsidRPr="00B0658A">
              <w:rPr>
                <w:rFonts w:ascii="Times New Roman" w:hAnsi="Times New Roman"/>
                <w:sz w:val="18"/>
                <w:szCs w:val="18"/>
              </w:rPr>
              <w:t>5.7</w:t>
            </w:r>
          </w:p>
        </w:tc>
        <w:tc>
          <w:tcPr>
            <w:tcW w:w="1559" w:type="dxa"/>
            <w:shd w:val="clear" w:color="auto" w:fill="auto"/>
            <w:vAlign w:val="center"/>
            <w:hideMark/>
          </w:tcPr>
          <w:p w14:paraId="34DAFF17" w14:textId="77777777" w:rsidR="001C32C8" w:rsidRPr="00B0658A" w:rsidRDefault="001C32C8" w:rsidP="00004A41">
            <w:pPr>
              <w:spacing w:after="0" w:line="240" w:lineRule="auto"/>
              <w:rPr>
                <w:rFonts w:ascii="Times New Roman" w:hAnsi="Times New Roman"/>
                <w:sz w:val="18"/>
                <w:szCs w:val="18"/>
              </w:rPr>
            </w:pPr>
            <w:r w:rsidRPr="00B0658A">
              <w:rPr>
                <w:rFonts w:ascii="Times New Roman" w:hAnsi="Times New Roman"/>
                <w:sz w:val="18"/>
                <w:szCs w:val="18"/>
              </w:rPr>
              <w:t>Прикладное программное обеспечение/ Специализированное ПО органов исполнительной власти Российской Федерации, государственных корпораций, компаний и юридических лиц с преимущественным участием Российской Федерации для внутреннего использования</w:t>
            </w:r>
          </w:p>
        </w:tc>
        <w:tc>
          <w:tcPr>
            <w:tcW w:w="1418" w:type="dxa"/>
            <w:shd w:val="clear" w:color="000000" w:fill="FFFFFF"/>
            <w:hideMark/>
          </w:tcPr>
          <w:p w14:paraId="5078F005" w14:textId="77777777" w:rsidR="001C32C8" w:rsidRPr="00B0658A" w:rsidRDefault="001C32C8" w:rsidP="00004A41">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44" w:type="dxa"/>
            <w:shd w:val="clear" w:color="000000" w:fill="FFFFFF"/>
            <w:vAlign w:val="center"/>
          </w:tcPr>
          <w:p w14:paraId="4A9CC16A"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000000" w:fill="FFFFFF"/>
            <w:vAlign w:val="center"/>
            <w:hideMark/>
          </w:tcPr>
          <w:p w14:paraId="7AB4D1ED"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000000" w:fill="FFFFFF"/>
            <w:vAlign w:val="center"/>
            <w:hideMark/>
          </w:tcPr>
          <w:p w14:paraId="05E669D0"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000000" w:fill="FFFFFF"/>
            <w:vAlign w:val="center"/>
            <w:hideMark/>
          </w:tcPr>
          <w:p w14:paraId="7375F5A6" w14:textId="77777777" w:rsidR="001C32C8" w:rsidRPr="00B0658A" w:rsidRDefault="001C32C8" w:rsidP="00004A41">
            <w:pPr>
              <w:spacing w:after="0" w:line="240" w:lineRule="auto"/>
              <w:jc w:val="center"/>
              <w:rPr>
                <w:rFonts w:ascii="Times New Roman" w:hAnsi="Times New Roman"/>
                <w:sz w:val="18"/>
                <w:szCs w:val="18"/>
              </w:rPr>
            </w:pPr>
          </w:p>
        </w:tc>
        <w:tc>
          <w:tcPr>
            <w:tcW w:w="993" w:type="dxa"/>
            <w:shd w:val="clear" w:color="000000" w:fill="FFFFFF"/>
            <w:vAlign w:val="center"/>
          </w:tcPr>
          <w:p w14:paraId="0F5DDE23"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000000" w:fill="FFFFFF"/>
            <w:vAlign w:val="center"/>
            <w:hideMark/>
          </w:tcPr>
          <w:p w14:paraId="1F1FAFDF" w14:textId="77777777" w:rsidR="001C32C8" w:rsidRPr="00B0658A" w:rsidRDefault="001C32C8" w:rsidP="00004A41">
            <w:pPr>
              <w:spacing w:after="0" w:line="240" w:lineRule="auto"/>
              <w:jc w:val="center"/>
              <w:rPr>
                <w:rFonts w:ascii="Times New Roman" w:hAnsi="Times New Roman"/>
                <w:sz w:val="18"/>
                <w:szCs w:val="18"/>
              </w:rPr>
            </w:pPr>
          </w:p>
        </w:tc>
        <w:tc>
          <w:tcPr>
            <w:tcW w:w="780" w:type="dxa"/>
            <w:shd w:val="clear" w:color="000000" w:fill="FFFFFF"/>
            <w:vAlign w:val="center"/>
            <w:hideMark/>
          </w:tcPr>
          <w:p w14:paraId="1DAAB89C"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000000" w:fill="FFFFFF"/>
            <w:vAlign w:val="center"/>
            <w:hideMark/>
          </w:tcPr>
          <w:p w14:paraId="3978EDCC" w14:textId="77777777" w:rsidR="001C32C8" w:rsidRPr="00B0658A" w:rsidRDefault="001C32C8" w:rsidP="00004A41">
            <w:pPr>
              <w:spacing w:after="0" w:line="240" w:lineRule="auto"/>
              <w:jc w:val="center"/>
              <w:rPr>
                <w:rFonts w:ascii="Times New Roman" w:hAnsi="Times New Roman"/>
                <w:sz w:val="18"/>
                <w:szCs w:val="18"/>
              </w:rPr>
            </w:pPr>
          </w:p>
        </w:tc>
        <w:tc>
          <w:tcPr>
            <w:tcW w:w="780" w:type="dxa"/>
            <w:shd w:val="clear" w:color="000000" w:fill="FFFFFF"/>
            <w:vAlign w:val="center"/>
          </w:tcPr>
          <w:p w14:paraId="6F477CA1"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000000" w:fill="FFFFFF"/>
            <w:vAlign w:val="center"/>
          </w:tcPr>
          <w:p w14:paraId="24851E4E" w14:textId="77777777" w:rsidR="001C32C8" w:rsidRPr="00B0658A" w:rsidRDefault="001C32C8" w:rsidP="00004A41">
            <w:pPr>
              <w:spacing w:after="0" w:line="240" w:lineRule="auto"/>
              <w:jc w:val="center"/>
              <w:rPr>
                <w:rFonts w:ascii="Times New Roman" w:hAnsi="Times New Roman"/>
                <w:sz w:val="18"/>
                <w:szCs w:val="18"/>
              </w:rPr>
            </w:pPr>
          </w:p>
        </w:tc>
        <w:tc>
          <w:tcPr>
            <w:tcW w:w="780" w:type="dxa"/>
            <w:shd w:val="clear" w:color="000000" w:fill="FFFFFF"/>
            <w:vAlign w:val="center"/>
          </w:tcPr>
          <w:p w14:paraId="21E86CE1" w14:textId="77777777" w:rsidR="001C32C8" w:rsidRPr="00B0658A" w:rsidRDefault="001C32C8" w:rsidP="00004A41">
            <w:pPr>
              <w:spacing w:after="0" w:line="240" w:lineRule="auto"/>
              <w:jc w:val="center"/>
              <w:rPr>
                <w:rFonts w:ascii="Times New Roman" w:hAnsi="Times New Roman"/>
                <w:sz w:val="18"/>
                <w:szCs w:val="18"/>
              </w:rPr>
            </w:pPr>
          </w:p>
        </w:tc>
        <w:tc>
          <w:tcPr>
            <w:tcW w:w="1475" w:type="dxa"/>
            <w:shd w:val="clear" w:color="000000" w:fill="FFFFFF"/>
            <w:vAlign w:val="center"/>
          </w:tcPr>
          <w:p w14:paraId="6CA5C5B5" w14:textId="77777777" w:rsidR="001C32C8" w:rsidRPr="00B0658A" w:rsidRDefault="001C32C8" w:rsidP="00004A41">
            <w:pPr>
              <w:spacing w:after="0" w:line="240" w:lineRule="auto"/>
              <w:jc w:val="center"/>
              <w:rPr>
                <w:rFonts w:ascii="Times New Roman" w:hAnsi="Times New Roman"/>
                <w:sz w:val="18"/>
                <w:szCs w:val="18"/>
              </w:rPr>
            </w:pPr>
          </w:p>
        </w:tc>
      </w:tr>
      <w:tr w:rsidR="00F52FED" w:rsidRPr="00B0658A" w14:paraId="264CA5C1" w14:textId="77777777" w:rsidTr="00E66BA4">
        <w:trPr>
          <w:trHeight w:val="20"/>
        </w:trPr>
        <w:tc>
          <w:tcPr>
            <w:tcW w:w="846" w:type="dxa"/>
            <w:shd w:val="clear" w:color="000000" w:fill="FFFFFF"/>
            <w:vAlign w:val="center"/>
          </w:tcPr>
          <w:p w14:paraId="1753CBA3" w14:textId="77777777" w:rsidR="001C32C8" w:rsidRPr="00B0658A" w:rsidRDefault="001C32C8" w:rsidP="00004A41">
            <w:pPr>
              <w:spacing w:after="0" w:line="240" w:lineRule="auto"/>
              <w:jc w:val="center"/>
              <w:rPr>
                <w:rFonts w:ascii="Times New Roman" w:hAnsi="Times New Roman"/>
                <w:sz w:val="18"/>
                <w:szCs w:val="18"/>
              </w:rPr>
            </w:pPr>
            <w:r w:rsidRPr="00B0658A">
              <w:rPr>
                <w:rFonts w:ascii="Times New Roman" w:hAnsi="Times New Roman"/>
                <w:sz w:val="18"/>
                <w:szCs w:val="18"/>
              </w:rPr>
              <w:t>5.8</w:t>
            </w:r>
          </w:p>
        </w:tc>
        <w:tc>
          <w:tcPr>
            <w:tcW w:w="1559" w:type="dxa"/>
            <w:shd w:val="clear" w:color="auto" w:fill="auto"/>
            <w:vAlign w:val="center"/>
            <w:hideMark/>
          </w:tcPr>
          <w:p w14:paraId="04B7DA13" w14:textId="77777777" w:rsidR="001C32C8" w:rsidRPr="00B0658A" w:rsidRDefault="001C32C8" w:rsidP="00004A41">
            <w:pPr>
              <w:spacing w:after="0" w:line="240" w:lineRule="auto"/>
              <w:rPr>
                <w:rFonts w:ascii="Times New Roman" w:hAnsi="Times New Roman"/>
                <w:sz w:val="18"/>
                <w:szCs w:val="18"/>
              </w:rPr>
            </w:pPr>
            <w:r w:rsidRPr="00B0658A">
              <w:rPr>
                <w:rFonts w:ascii="Times New Roman" w:hAnsi="Times New Roman"/>
                <w:sz w:val="18"/>
                <w:szCs w:val="18"/>
              </w:rPr>
              <w:t>Прикладное программное обеспечение/ Средства управления контактными центрами</w:t>
            </w:r>
          </w:p>
        </w:tc>
        <w:tc>
          <w:tcPr>
            <w:tcW w:w="1418" w:type="dxa"/>
            <w:shd w:val="clear" w:color="000000" w:fill="FFFFFF"/>
            <w:hideMark/>
          </w:tcPr>
          <w:p w14:paraId="1C35C4AD" w14:textId="77777777" w:rsidR="001C32C8" w:rsidRPr="00B0658A" w:rsidRDefault="001C32C8" w:rsidP="00004A41">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44" w:type="dxa"/>
            <w:vAlign w:val="center"/>
          </w:tcPr>
          <w:p w14:paraId="55C6D60C"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auto" w:fill="auto"/>
            <w:vAlign w:val="center"/>
            <w:hideMark/>
          </w:tcPr>
          <w:p w14:paraId="480E62D9"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auto" w:fill="auto"/>
            <w:vAlign w:val="center"/>
            <w:hideMark/>
          </w:tcPr>
          <w:p w14:paraId="6AF30C86"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auto" w:fill="auto"/>
            <w:vAlign w:val="center"/>
            <w:hideMark/>
          </w:tcPr>
          <w:p w14:paraId="09346DE3" w14:textId="77777777" w:rsidR="001C32C8" w:rsidRPr="00B0658A" w:rsidRDefault="001C32C8" w:rsidP="00004A41">
            <w:pPr>
              <w:spacing w:after="0" w:line="240" w:lineRule="auto"/>
              <w:jc w:val="center"/>
              <w:rPr>
                <w:rFonts w:ascii="Times New Roman" w:hAnsi="Times New Roman"/>
                <w:sz w:val="18"/>
                <w:szCs w:val="18"/>
              </w:rPr>
            </w:pPr>
          </w:p>
        </w:tc>
        <w:tc>
          <w:tcPr>
            <w:tcW w:w="993" w:type="dxa"/>
            <w:vAlign w:val="center"/>
          </w:tcPr>
          <w:p w14:paraId="3B686506"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auto" w:fill="auto"/>
            <w:vAlign w:val="center"/>
            <w:hideMark/>
          </w:tcPr>
          <w:p w14:paraId="2EF85C91" w14:textId="77777777" w:rsidR="001C32C8" w:rsidRPr="00B0658A" w:rsidRDefault="001C32C8" w:rsidP="00004A41">
            <w:pPr>
              <w:spacing w:after="0" w:line="240" w:lineRule="auto"/>
              <w:jc w:val="center"/>
              <w:rPr>
                <w:rFonts w:ascii="Times New Roman" w:hAnsi="Times New Roman"/>
                <w:sz w:val="18"/>
                <w:szCs w:val="18"/>
              </w:rPr>
            </w:pPr>
          </w:p>
        </w:tc>
        <w:tc>
          <w:tcPr>
            <w:tcW w:w="780" w:type="dxa"/>
            <w:shd w:val="clear" w:color="auto" w:fill="auto"/>
            <w:vAlign w:val="center"/>
            <w:hideMark/>
          </w:tcPr>
          <w:p w14:paraId="0903E1CC"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auto" w:fill="auto"/>
            <w:vAlign w:val="center"/>
            <w:hideMark/>
          </w:tcPr>
          <w:p w14:paraId="74FA0EA5" w14:textId="77777777" w:rsidR="001C32C8" w:rsidRPr="00B0658A" w:rsidRDefault="001C32C8" w:rsidP="00004A41">
            <w:pPr>
              <w:spacing w:after="0" w:line="240" w:lineRule="auto"/>
              <w:jc w:val="center"/>
              <w:rPr>
                <w:rFonts w:ascii="Times New Roman" w:hAnsi="Times New Roman"/>
                <w:sz w:val="18"/>
                <w:szCs w:val="18"/>
              </w:rPr>
            </w:pPr>
          </w:p>
        </w:tc>
        <w:tc>
          <w:tcPr>
            <w:tcW w:w="780" w:type="dxa"/>
            <w:vAlign w:val="center"/>
          </w:tcPr>
          <w:p w14:paraId="3810D158" w14:textId="77777777" w:rsidR="001C32C8" w:rsidRPr="00B0658A" w:rsidRDefault="001C32C8" w:rsidP="00004A41">
            <w:pPr>
              <w:spacing w:after="0" w:line="240" w:lineRule="auto"/>
              <w:jc w:val="center"/>
              <w:rPr>
                <w:rFonts w:ascii="Times New Roman" w:hAnsi="Times New Roman"/>
                <w:sz w:val="18"/>
                <w:szCs w:val="18"/>
              </w:rPr>
            </w:pPr>
          </w:p>
        </w:tc>
        <w:tc>
          <w:tcPr>
            <w:tcW w:w="779" w:type="dxa"/>
            <w:vAlign w:val="center"/>
          </w:tcPr>
          <w:p w14:paraId="783BEB1E" w14:textId="77777777" w:rsidR="001C32C8" w:rsidRPr="00B0658A" w:rsidRDefault="001C32C8" w:rsidP="00004A41">
            <w:pPr>
              <w:spacing w:after="0" w:line="240" w:lineRule="auto"/>
              <w:jc w:val="center"/>
              <w:rPr>
                <w:rFonts w:ascii="Times New Roman" w:hAnsi="Times New Roman"/>
                <w:sz w:val="18"/>
                <w:szCs w:val="18"/>
              </w:rPr>
            </w:pPr>
          </w:p>
        </w:tc>
        <w:tc>
          <w:tcPr>
            <w:tcW w:w="780" w:type="dxa"/>
            <w:vAlign w:val="center"/>
          </w:tcPr>
          <w:p w14:paraId="2DB7C90C" w14:textId="77777777" w:rsidR="001C32C8" w:rsidRPr="00B0658A" w:rsidRDefault="001C32C8" w:rsidP="00004A41">
            <w:pPr>
              <w:spacing w:after="0" w:line="240" w:lineRule="auto"/>
              <w:jc w:val="center"/>
              <w:rPr>
                <w:rFonts w:ascii="Times New Roman" w:hAnsi="Times New Roman"/>
                <w:sz w:val="18"/>
                <w:szCs w:val="18"/>
              </w:rPr>
            </w:pPr>
          </w:p>
        </w:tc>
        <w:tc>
          <w:tcPr>
            <w:tcW w:w="1475" w:type="dxa"/>
            <w:vAlign w:val="center"/>
          </w:tcPr>
          <w:p w14:paraId="7EA8A19B" w14:textId="77777777" w:rsidR="001C32C8" w:rsidRPr="00B0658A" w:rsidRDefault="001C32C8" w:rsidP="00004A41">
            <w:pPr>
              <w:spacing w:after="0" w:line="240" w:lineRule="auto"/>
              <w:jc w:val="center"/>
              <w:rPr>
                <w:rFonts w:ascii="Times New Roman" w:hAnsi="Times New Roman"/>
                <w:sz w:val="18"/>
                <w:szCs w:val="18"/>
              </w:rPr>
            </w:pPr>
          </w:p>
        </w:tc>
      </w:tr>
      <w:tr w:rsidR="00F52FED" w:rsidRPr="00B0658A" w14:paraId="36DBCE6C" w14:textId="77777777" w:rsidTr="00E66BA4">
        <w:trPr>
          <w:trHeight w:val="20"/>
        </w:trPr>
        <w:tc>
          <w:tcPr>
            <w:tcW w:w="846" w:type="dxa"/>
            <w:shd w:val="clear" w:color="000000" w:fill="FFFFFF"/>
            <w:vAlign w:val="center"/>
          </w:tcPr>
          <w:p w14:paraId="657FAD0F" w14:textId="77777777" w:rsidR="001C32C8" w:rsidRPr="00B0658A" w:rsidRDefault="001C32C8" w:rsidP="00004A41">
            <w:pPr>
              <w:spacing w:after="0" w:line="240" w:lineRule="auto"/>
              <w:jc w:val="center"/>
              <w:rPr>
                <w:rFonts w:ascii="Times New Roman" w:hAnsi="Times New Roman"/>
                <w:sz w:val="18"/>
                <w:szCs w:val="18"/>
              </w:rPr>
            </w:pPr>
            <w:r w:rsidRPr="00B0658A">
              <w:rPr>
                <w:rFonts w:ascii="Times New Roman" w:hAnsi="Times New Roman"/>
                <w:sz w:val="18"/>
                <w:szCs w:val="18"/>
              </w:rPr>
              <w:t>5.9</w:t>
            </w:r>
          </w:p>
        </w:tc>
        <w:tc>
          <w:tcPr>
            <w:tcW w:w="1559" w:type="dxa"/>
            <w:shd w:val="clear" w:color="auto" w:fill="auto"/>
            <w:vAlign w:val="center"/>
            <w:hideMark/>
          </w:tcPr>
          <w:p w14:paraId="6E1F1162" w14:textId="77777777" w:rsidR="001C32C8" w:rsidRPr="00B0658A" w:rsidRDefault="001C32C8" w:rsidP="00004A41">
            <w:pPr>
              <w:spacing w:after="0" w:line="240" w:lineRule="auto"/>
              <w:rPr>
                <w:rFonts w:ascii="Times New Roman" w:hAnsi="Times New Roman"/>
                <w:sz w:val="18"/>
                <w:szCs w:val="18"/>
              </w:rPr>
            </w:pPr>
            <w:r w:rsidRPr="00B0658A">
              <w:rPr>
                <w:rFonts w:ascii="Times New Roman" w:hAnsi="Times New Roman"/>
                <w:sz w:val="18"/>
                <w:szCs w:val="18"/>
              </w:rPr>
              <w:t>Прикладное программное обеспечение/ Средства управления диалоговыми роботами (чат-</w:t>
            </w:r>
            <w:r w:rsidRPr="00B0658A">
              <w:rPr>
                <w:rFonts w:ascii="Times New Roman" w:hAnsi="Times New Roman"/>
                <w:sz w:val="18"/>
                <w:szCs w:val="18"/>
              </w:rPr>
              <w:lastRenderedPageBreak/>
              <w:t>боты и голосовые роботы)</w:t>
            </w:r>
          </w:p>
        </w:tc>
        <w:tc>
          <w:tcPr>
            <w:tcW w:w="1418" w:type="dxa"/>
            <w:shd w:val="clear" w:color="000000" w:fill="FFFFFF"/>
            <w:hideMark/>
          </w:tcPr>
          <w:p w14:paraId="38EABCE3" w14:textId="77777777" w:rsidR="001C32C8" w:rsidRPr="00B0658A" w:rsidRDefault="001C32C8" w:rsidP="00004A41">
            <w:pPr>
              <w:spacing w:after="0" w:line="240" w:lineRule="auto"/>
              <w:rPr>
                <w:rFonts w:ascii="Times New Roman" w:hAnsi="Times New Roman"/>
                <w:sz w:val="18"/>
                <w:szCs w:val="18"/>
              </w:rPr>
            </w:pPr>
            <w:r w:rsidRPr="00B0658A">
              <w:rPr>
                <w:rFonts w:ascii="Times New Roman" w:hAnsi="Times New Roman"/>
                <w:sz w:val="18"/>
                <w:szCs w:val="18"/>
              </w:rPr>
              <w:lastRenderedPageBreak/>
              <w:t>Доля используемого российского ПО в общем объёме, используемого ПО, %</w:t>
            </w:r>
          </w:p>
        </w:tc>
        <w:tc>
          <w:tcPr>
            <w:tcW w:w="744" w:type="dxa"/>
            <w:vAlign w:val="center"/>
          </w:tcPr>
          <w:p w14:paraId="205D13AE"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auto" w:fill="auto"/>
            <w:vAlign w:val="center"/>
            <w:hideMark/>
          </w:tcPr>
          <w:p w14:paraId="2DC8AB11"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auto" w:fill="auto"/>
            <w:vAlign w:val="center"/>
            <w:hideMark/>
          </w:tcPr>
          <w:p w14:paraId="06576F24"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auto" w:fill="auto"/>
            <w:vAlign w:val="center"/>
            <w:hideMark/>
          </w:tcPr>
          <w:p w14:paraId="634F61E3" w14:textId="77777777" w:rsidR="001C32C8" w:rsidRPr="00B0658A" w:rsidRDefault="001C32C8" w:rsidP="00004A41">
            <w:pPr>
              <w:spacing w:after="0" w:line="240" w:lineRule="auto"/>
              <w:jc w:val="center"/>
              <w:rPr>
                <w:rFonts w:ascii="Times New Roman" w:hAnsi="Times New Roman"/>
                <w:sz w:val="18"/>
                <w:szCs w:val="18"/>
              </w:rPr>
            </w:pPr>
          </w:p>
        </w:tc>
        <w:tc>
          <w:tcPr>
            <w:tcW w:w="993" w:type="dxa"/>
            <w:vAlign w:val="center"/>
          </w:tcPr>
          <w:p w14:paraId="776B28F0"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auto" w:fill="auto"/>
            <w:vAlign w:val="center"/>
            <w:hideMark/>
          </w:tcPr>
          <w:p w14:paraId="650E7978" w14:textId="77777777" w:rsidR="001C32C8" w:rsidRPr="00B0658A" w:rsidRDefault="001C32C8" w:rsidP="00004A41">
            <w:pPr>
              <w:spacing w:after="0" w:line="240" w:lineRule="auto"/>
              <w:jc w:val="center"/>
              <w:rPr>
                <w:rFonts w:ascii="Times New Roman" w:hAnsi="Times New Roman"/>
                <w:sz w:val="18"/>
                <w:szCs w:val="18"/>
              </w:rPr>
            </w:pPr>
          </w:p>
        </w:tc>
        <w:tc>
          <w:tcPr>
            <w:tcW w:w="780" w:type="dxa"/>
            <w:shd w:val="clear" w:color="auto" w:fill="auto"/>
            <w:vAlign w:val="center"/>
            <w:hideMark/>
          </w:tcPr>
          <w:p w14:paraId="7756DB37"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auto" w:fill="auto"/>
            <w:vAlign w:val="center"/>
            <w:hideMark/>
          </w:tcPr>
          <w:p w14:paraId="5A24B907" w14:textId="77777777" w:rsidR="001C32C8" w:rsidRPr="00B0658A" w:rsidRDefault="001C32C8" w:rsidP="00004A41">
            <w:pPr>
              <w:spacing w:after="0" w:line="240" w:lineRule="auto"/>
              <w:jc w:val="center"/>
              <w:rPr>
                <w:rFonts w:ascii="Times New Roman" w:hAnsi="Times New Roman"/>
                <w:sz w:val="18"/>
                <w:szCs w:val="18"/>
              </w:rPr>
            </w:pPr>
          </w:p>
        </w:tc>
        <w:tc>
          <w:tcPr>
            <w:tcW w:w="780" w:type="dxa"/>
            <w:vAlign w:val="center"/>
          </w:tcPr>
          <w:p w14:paraId="4DDB18AF" w14:textId="77777777" w:rsidR="001C32C8" w:rsidRPr="00B0658A" w:rsidRDefault="001C32C8" w:rsidP="00004A41">
            <w:pPr>
              <w:spacing w:after="0" w:line="240" w:lineRule="auto"/>
              <w:jc w:val="center"/>
              <w:rPr>
                <w:rFonts w:ascii="Times New Roman" w:hAnsi="Times New Roman"/>
                <w:sz w:val="18"/>
                <w:szCs w:val="18"/>
              </w:rPr>
            </w:pPr>
          </w:p>
        </w:tc>
        <w:tc>
          <w:tcPr>
            <w:tcW w:w="779" w:type="dxa"/>
            <w:vAlign w:val="center"/>
          </w:tcPr>
          <w:p w14:paraId="694ED4ED" w14:textId="77777777" w:rsidR="001C32C8" w:rsidRPr="00B0658A" w:rsidRDefault="001C32C8" w:rsidP="00004A41">
            <w:pPr>
              <w:spacing w:after="0" w:line="240" w:lineRule="auto"/>
              <w:jc w:val="center"/>
              <w:rPr>
                <w:rFonts w:ascii="Times New Roman" w:hAnsi="Times New Roman"/>
                <w:sz w:val="18"/>
                <w:szCs w:val="18"/>
              </w:rPr>
            </w:pPr>
          </w:p>
        </w:tc>
        <w:tc>
          <w:tcPr>
            <w:tcW w:w="780" w:type="dxa"/>
            <w:vAlign w:val="center"/>
          </w:tcPr>
          <w:p w14:paraId="104B82C2" w14:textId="77777777" w:rsidR="001C32C8" w:rsidRPr="00B0658A" w:rsidRDefault="001C32C8" w:rsidP="00004A41">
            <w:pPr>
              <w:spacing w:after="0" w:line="240" w:lineRule="auto"/>
              <w:jc w:val="center"/>
              <w:rPr>
                <w:rFonts w:ascii="Times New Roman" w:hAnsi="Times New Roman"/>
                <w:sz w:val="18"/>
                <w:szCs w:val="18"/>
              </w:rPr>
            </w:pPr>
          </w:p>
        </w:tc>
        <w:tc>
          <w:tcPr>
            <w:tcW w:w="1475" w:type="dxa"/>
            <w:vAlign w:val="center"/>
          </w:tcPr>
          <w:p w14:paraId="3BE40D37" w14:textId="77777777" w:rsidR="001C32C8" w:rsidRPr="00B0658A" w:rsidRDefault="001C32C8" w:rsidP="00004A41">
            <w:pPr>
              <w:spacing w:after="0" w:line="240" w:lineRule="auto"/>
              <w:jc w:val="center"/>
              <w:rPr>
                <w:rFonts w:ascii="Times New Roman" w:hAnsi="Times New Roman"/>
                <w:sz w:val="18"/>
                <w:szCs w:val="18"/>
              </w:rPr>
            </w:pPr>
          </w:p>
        </w:tc>
      </w:tr>
      <w:tr w:rsidR="00F52FED" w:rsidRPr="00B0658A" w14:paraId="11A07D27" w14:textId="77777777" w:rsidTr="00E66BA4">
        <w:trPr>
          <w:trHeight w:val="20"/>
        </w:trPr>
        <w:tc>
          <w:tcPr>
            <w:tcW w:w="846" w:type="dxa"/>
            <w:shd w:val="clear" w:color="000000" w:fill="FFFFFF"/>
            <w:vAlign w:val="center"/>
          </w:tcPr>
          <w:p w14:paraId="298ADE1A" w14:textId="77777777" w:rsidR="001C32C8" w:rsidRPr="00B0658A" w:rsidRDefault="001C32C8" w:rsidP="00004A41">
            <w:pPr>
              <w:spacing w:after="0" w:line="240" w:lineRule="auto"/>
              <w:jc w:val="center"/>
              <w:rPr>
                <w:rFonts w:ascii="Times New Roman" w:hAnsi="Times New Roman"/>
                <w:sz w:val="18"/>
                <w:szCs w:val="18"/>
              </w:rPr>
            </w:pPr>
            <w:r w:rsidRPr="00B0658A">
              <w:rPr>
                <w:rFonts w:ascii="Times New Roman" w:hAnsi="Times New Roman"/>
                <w:sz w:val="18"/>
                <w:szCs w:val="18"/>
              </w:rPr>
              <w:t>5.10</w:t>
            </w:r>
          </w:p>
        </w:tc>
        <w:tc>
          <w:tcPr>
            <w:tcW w:w="1559" w:type="dxa"/>
            <w:shd w:val="clear" w:color="auto" w:fill="auto"/>
            <w:vAlign w:val="center"/>
            <w:hideMark/>
          </w:tcPr>
          <w:p w14:paraId="4F774F41" w14:textId="77777777" w:rsidR="001C32C8" w:rsidRPr="00B0658A" w:rsidRDefault="001C32C8" w:rsidP="00004A41">
            <w:pPr>
              <w:spacing w:after="0" w:line="240" w:lineRule="auto"/>
              <w:rPr>
                <w:rFonts w:ascii="Times New Roman" w:hAnsi="Times New Roman"/>
                <w:sz w:val="18"/>
                <w:szCs w:val="18"/>
              </w:rPr>
            </w:pPr>
            <w:r w:rsidRPr="00B0658A">
              <w:rPr>
                <w:rFonts w:ascii="Times New Roman" w:hAnsi="Times New Roman"/>
                <w:sz w:val="18"/>
                <w:szCs w:val="18"/>
              </w:rPr>
              <w:t>Прикладное программное обеспечение/ Базы знаний</w:t>
            </w:r>
          </w:p>
        </w:tc>
        <w:tc>
          <w:tcPr>
            <w:tcW w:w="1418" w:type="dxa"/>
            <w:shd w:val="clear" w:color="000000" w:fill="FFFFFF"/>
            <w:hideMark/>
          </w:tcPr>
          <w:p w14:paraId="2F285937" w14:textId="77777777" w:rsidR="001C32C8" w:rsidRPr="00B0658A" w:rsidRDefault="001C32C8" w:rsidP="00004A41">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44" w:type="dxa"/>
            <w:shd w:val="clear" w:color="000000" w:fill="FFFFFF"/>
            <w:vAlign w:val="center"/>
          </w:tcPr>
          <w:p w14:paraId="39F35C56"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000000" w:fill="FFFFFF"/>
            <w:vAlign w:val="center"/>
            <w:hideMark/>
          </w:tcPr>
          <w:p w14:paraId="482A226A"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000000" w:fill="FFFFFF"/>
            <w:vAlign w:val="center"/>
            <w:hideMark/>
          </w:tcPr>
          <w:p w14:paraId="137707D0"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000000" w:fill="FFFFFF"/>
            <w:vAlign w:val="center"/>
            <w:hideMark/>
          </w:tcPr>
          <w:p w14:paraId="58737F18" w14:textId="77777777" w:rsidR="001C32C8" w:rsidRPr="00B0658A" w:rsidRDefault="001C32C8" w:rsidP="00004A41">
            <w:pPr>
              <w:spacing w:after="0" w:line="240" w:lineRule="auto"/>
              <w:jc w:val="center"/>
              <w:rPr>
                <w:rFonts w:ascii="Times New Roman" w:hAnsi="Times New Roman"/>
                <w:sz w:val="18"/>
                <w:szCs w:val="18"/>
              </w:rPr>
            </w:pPr>
          </w:p>
        </w:tc>
        <w:tc>
          <w:tcPr>
            <w:tcW w:w="993" w:type="dxa"/>
            <w:shd w:val="clear" w:color="000000" w:fill="FFFFFF"/>
            <w:vAlign w:val="center"/>
          </w:tcPr>
          <w:p w14:paraId="61DF8EF6"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000000" w:fill="FFFFFF"/>
            <w:vAlign w:val="center"/>
            <w:hideMark/>
          </w:tcPr>
          <w:p w14:paraId="587C6C00" w14:textId="77777777" w:rsidR="001C32C8" w:rsidRPr="00B0658A" w:rsidRDefault="001C32C8" w:rsidP="00004A41">
            <w:pPr>
              <w:spacing w:after="0" w:line="240" w:lineRule="auto"/>
              <w:jc w:val="center"/>
              <w:rPr>
                <w:rFonts w:ascii="Times New Roman" w:hAnsi="Times New Roman"/>
                <w:sz w:val="18"/>
                <w:szCs w:val="18"/>
              </w:rPr>
            </w:pPr>
          </w:p>
        </w:tc>
        <w:tc>
          <w:tcPr>
            <w:tcW w:w="780" w:type="dxa"/>
            <w:shd w:val="clear" w:color="000000" w:fill="FFFFFF"/>
            <w:vAlign w:val="center"/>
            <w:hideMark/>
          </w:tcPr>
          <w:p w14:paraId="384826C6"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000000" w:fill="FFFFFF"/>
            <w:vAlign w:val="center"/>
            <w:hideMark/>
          </w:tcPr>
          <w:p w14:paraId="43044D8D" w14:textId="77777777" w:rsidR="001C32C8" w:rsidRPr="00B0658A" w:rsidRDefault="001C32C8" w:rsidP="00004A41">
            <w:pPr>
              <w:spacing w:after="0" w:line="240" w:lineRule="auto"/>
              <w:jc w:val="center"/>
              <w:rPr>
                <w:rFonts w:ascii="Times New Roman" w:hAnsi="Times New Roman"/>
                <w:sz w:val="18"/>
                <w:szCs w:val="18"/>
              </w:rPr>
            </w:pPr>
          </w:p>
        </w:tc>
        <w:tc>
          <w:tcPr>
            <w:tcW w:w="780" w:type="dxa"/>
            <w:shd w:val="clear" w:color="000000" w:fill="FFFFFF"/>
            <w:vAlign w:val="center"/>
          </w:tcPr>
          <w:p w14:paraId="171FE8FA"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000000" w:fill="FFFFFF"/>
            <w:vAlign w:val="center"/>
          </w:tcPr>
          <w:p w14:paraId="3E396EA0" w14:textId="77777777" w:rsidR="001C32C8" w:rsidRPr="00B0658A" w:rsidRDefault="001C32C8" w:rsidP="00004A41">
            <w:pPr>
              <w:spacing w:after="0" w:line="240" w:lineRule="auto"/>
              <w:jc w:val="center"/>
              <w:rPr>
                <w:rFonts w:ascii="Times New Roman" w:hAnsi="Times New Roman"/>
                <w:sz w:val="18"/>
                <w:szCs w:val="18"/>
              </w:rPr>
            </w:pPr>
          </w:p>
        </w:tc>
        <w:tc>
          <w:tcPr>
            <w:tcW w:w="780" w:type="dxa"/>
            <w:shd w:val="clear" w:color="000000" w:fill="FFFFFF"/>
            <w:vAlign w:val="center"/>
          </w:tcPr>
          <w:p w14:paraId="3C55C59E" w14:textId="77777777" w:rsidR="001C32C8" w:rsidRPr="00B0658A" w:rsidRDefault="001C32C8" w:rsidP="00004A41">
            <w:pPr>
              <w:spacing w:after="0" w:line="240" w:lineRule="auto"/>
              <w:jc w:val="center"/>
              <w:rPr>
                <w:rFonts w:ascii="Times New Roman" w:hAnsi="Times New Roman"/>
                <w:sz w:val="18"/>
                <w:szCs w:val="18"/>
              </w:rPr>
            </w:pPr>
          </w:p>
        </w:tc>
        <w:tc>
          <w:tcPr>
            <w:tcW w:w="1475" w:type="dxa"/>
            <w:shd w:val="clear" w:color="000000" w:fill="FFFFFF"/>
            <w:vAlign w:val="center"/>
          </w:tcPr>
          <w:p w14:paraId="418B21E7" w14:textId="77777777" w:rsidR="001C32C8" w:rsidRPr="00B0658A" w:rsidRDefault="001C32C8" w:rsidP="00004A41">
            <w:pPr>
              <w:spacing w:after="0" w:line="240" w:lineRule="auto"/>
              <w:jc w:val="center"/>
              <w:rPr>
                <w:rFonts w:ascii="Times New Roman" w:hAnsi="Times New Roman"/>
                <w:sz w:val="18"/>
                <w:szCs w:val="18"/>
              </w:rPr>
            </w:pPr>
          </w:p>
        </w:tc>
      </w:tr>
      <w:tr w:rsidR="00F52FED" w:rsidRPr="00B0658A" w14:paraId="532C6FB2" w14:textId="77777777" w:rsidTr="00E66BA4">
        <w:trPr>
          <w:trHeight w:val="20"/>
        </w:trPr>
        <w:tc>
          <w:tcPr>
            <w:tcW w:w="846" w:type="dxa"/>
            <w:shd w:val="clear" w:color="000000" w:fill="FFFFFF"/>
            <w:vAlign w:val="center"/>
          </w:tcPr>
          <w:p w14:paraId="54EDF9AA" w14:textId="77777777" w:rsidR="001C32C8" w:rsidRPr="00B0658A" w:rsidRDefault="001C32C8" w:rsidP="00004A41">
            <w:pPr>
              <w:spacing w:after="0" w:line="240" w:lineRule="auto"/>
              <w:jc w:val="center"/>
              <w:rPr>
                <w:rFonts w:ascii="Times New Roman" w:hAnsi="Times New Roman"/>
                <w:sz w:val="18"/>
                <w:szCs w:val="18"/>
              </w:rPr>
            </w:pPr>
            <w:r w:rsidRPr="00B0658A">
              <w:rPr>
                <w:rFonts w:ascii="Times New Roman" w:hAnsi="Times New Roman"/>
                <w:sz w:val="18"/>
                <w:szCs w:val="18"/>
              </w:rPr>
              <w:t>5.11</w:t>
            </w:r>
          </w:p>
        </w:tc>
        <w:tc>
          <w:tcPr>
            <w:tcW w:w="1559" w:type="dxa"/>
            <w:shd w:val="clear" w:color="auto" w:fill="auto"/>
            <w:vAlign w:val="center"/>
            <w:hideMark/>
          </w:tcPr>
          <w:p w14:paraId="488FC6F3" w14:textId="77777777" w:rsidR="001C32C8" w:rsidRPr="00B0658A" w:rsidRDefault="001C32C8" w:rsidP="00004A41">
            <w:pPr>
              <w:spacing w:after="0" w:line="240" w:lineRule="auto"/>
              <w:rPr>
                <w:rFonts w:ascii="Times New Roman" w:hAnsi="Times New Roman"/>
                <w:sz w:val="18"/>
                <w:szCs w:val="18"/>
              </w:rPr>
            </w:pPr>
            <w:r w:rsidRPr="00B0658A">
              <w:rPr>
                <w:rFonts w:ascii="Times New Roman" w:hAnsi="Times New Roman"/>
                <w:sz w:val="18"/>
                <w:szCs w:val="18"/>
              </w:rPr>
              <w:t>Прикладное программное обеспечение/ Интеллектуальные средства управления экспертной деятельностью</w:t>
            </w:r>
          </w:p>
        </w:tc>
        <w:tc>
          <w:tcPr>
            <w:tcW w:w="1418" w:type="dxa"/>
            <w:shd w:val="clear" w:color="000000" w:fill="FFFFFF"/>
            <w:hideMark/>
          </w:tcPr>
          <w:p w14:paraId="4ED02A19" w14:textId="77777777" w:rsidR="001C32C8" w:rsidRPr="00B0658A" w:rsidRDefault="001C32C8" w:rsidP="00004A41">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44" w:type="dxa"/>
            <w:shd w:val="clear" w:color="000000" w:fill="FFFFFF"/>
            <w:vAlign w:val="center"/>
          </w:tcPr>
          <w:p w14:paraId="22EBE869"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000000" w:fill="FFFFFF"/>
            <w:vAlign w:val="center"/>
            <w:hideMark/>
          </w:tcPr>
          <w:p w14:paraId="4F3FCA21"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000000" w:fill="FFFFFF"/>
            <w:vAlign w:val="center"/>
            <w:hideMark/>
          </w:tcPr>
          <w:p w14:paraId="5D3A207D"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000000" w:fill="FFFFFF"/>
            <w:vAlign w:val="center"/>
            <w:hideMark/>
          </w:tcPr>
          <w:p w14:paraId="19FD46B6" w14:textId="77777777" w:rsidR="001C32C8" w:rsidRPr="00B0658A" w:rsidRDefault="001C32C8" w:rsidP="00004A41">
            <w:pPr>
              <w:spacing w:after="0" w:line="240" w:lineRule="auto"/>
              <w:jc w:val="center"/>
              <w:rPr>
                <w:rFonts w:ascii="Times New Roman" w:hAnsi="Times New Roman"/>
                <w:sz w:val="18"/>
                <w:szCs w:val="18"/>
              </w:rPr>
            </w:pPr>
          </w:p>
        </w:tc>
        <w:tc>
          <w:tcPr>
            <w:tcW w:w="993" w:type="dxa"/>
            <w:shd w:val="clear" w:color="000000" w:fill="FFFFFF"/>
            <w:vAlign w:val="center"/>
          </w:tcPr>
          <w:p w14:paraId="248E6BCA"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000000" w:fill="FFFFFF"/>
            <w:vAlign w:val="center"/>
            <w:hideMark/>
          </w:tcPr>
          <w:p w14:paraId="06C9FCA7" w14:textId="77777777" w:rsidR="001C32C8" w:rsidRPr="00B0658A" w:rsidRDefault="001C32C8" w:rsidP="00004A41">
            <w:pPr>
              <w:spacing w:after="0" w:line="240" w:lineRule="auto"/>
              <w:jc w:val="center"/>
              <w:rPr>
                <w:rFonts w:ascii="Times New Roman" w:hAnsi="Times New Roman"/>
                <w:sz w:val="18"/>
                <w:szCs w:val="18"/>
              </w:rPr>
            </w:pPr>
          </w:p>
        </w:tc>
        <w:tc>
          <w:tcPr>
            <w:tcW w:w="780" w:type="dxa"/>
            <w:shd w:val="clear" w:color="000000" w:fill="FFFFFF"/>
            <w:vAlign w:val="center"/>
            <w:hideMark/>
          </w:tcPr>
          <w:p w14:paraId="0DEE4519"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000000" w:fill="FFFFFF"/>
            <w:vAlign w:val="center"/>
            <w:hideMark/>
          </w:tcPr>
          <w:p w14:paraId="08DD8CED" w14:textId="77777777" w:rsidR="001C32C8" w:rsidRPr="00B0658A" w:rsidRDefault="001C32C8" w:rsidP="00004A41">
            <w:pPr>
              <w:spacing w:after="0" w:line="240" w:lineRule="auto"/>
              <w:jc w:val="center"/>
              <w:rPr>
                <w:rFonts w:ascii="Times New Roman" w:hAnsi="Times New Roman"/>
                <w:sz w:val="18"/>
                <w:szCs w:val="18"/>
              </w:rPr>
            </w:pPr>
          </w:p>
        </w:tc>
        <w:tc>
          <w:tcPr>
            <w:tcW w:w="780" w:type="dxa"/>
            <w:shd w:val="clear" w:color="000000" w:fill="FFFFFF"/>
            <w:vAlign w:val="center"/>
          </w:tcPr>
          <w:p w14:paraId="36742675"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000000" w:fill="FFFFFF"/>
            <w:vAlign w:val="center"/>
          </w:tcPr>
          <w:p w14:paraId="20F41F7C" w14:textId="77777777" w:rsidR="001C32C8" w:rsidRPr="00B0658A" w:rsidRDefault="001C32C8" w:rsidP="00004A41">
            <w:pPr>
              <w:spacing w:after="0" w:line="240" w:lineRule="auto"/>
              <w:jc w:val="center"/>
              <w:rPr>
                <w:rFonts w:ascii="Times New Roman" w:hAnsi="Times New Roman"/>
                <w:sz w:val="18"/>
                <w:szCs w:val="18"/>
              </w:rPr>
            </w:pPr>
          </w:p>
        </w:tc>
        <w:tc>
          <w:tcPr>
            <w:tcW w:w="780" w:type="dxa"/>
            <w:shd w:val="clear" w:color="000000" w:fill="FFFFFF"/>
            <w:vAlign w:val="center"/>
          </w:tcPr>
          <w:p w14:paraId="5068AEBD" w14:textId="77777777" w:rsidR="001C32C8" w:rsidRPr="00B0658A" w:rsidRDefault="001C32C8" w:rsidP="00004A41">
            <w:pPr>
              <w:spacing w:after="0" w:line="240" w:lineRule="auto"/>
              <w:jc w:val="center"/>
              <w:rPr>
                <w:rFonts w:ascii="Times New Roman" w:hAnsi="Times New Roman"/>
                <w:sz w:val="18"/>
                <w:szCs w:val="18"/>
              </w:rPr>
            </w:pPr>
          </w:p>
        </w:tc>
        <w:tc>
          <w:tcPr>
            <w:tcW w:w="1475" w:type="dxa"/>
            <w:shd w:val="clear" w:color="000000" w:fill="FFFFFF"/>
            <w:vAlign w:val="center"/>
          </w:tcPr>
          <w:p w14:paraId="5B046891" w14:textId="77777777" w:rsidR="001C32C8" w:rsidRPr="00B0658A" w:rsidRDefault="001C32C8" w:rsidP="00004A41">
            <w:pPr>
              <w:spacing w:after="0" w:line="240" w:lineRule="auto"/>
              <w:jc w:val="center"/>
              <w:rPr>
                <w:rFonts w:ascii="Times New Roman" w:hAnsi="Times New Roman"/>
                <w:sz w:val="18"/>
                <w:szCs w:val="18"/>
              </w:rPr>
            </w:pPr>
          </w:p>
        </w:tc>
      </w:tr>
      <w:tr w:rsidR="00F52FED" w:rsidRPr="00B0658A" w14:paraId="3A599BE8" w14:textId="77777777" w:rsidTr="00E66BA4">
        <w:trPr>
          <w:trHeight w:val="20"/>
        </w:trPr>
        <w:tc>
          <w:tcPr>
            <w:tcW w:w="846" w:type="dxa"/>
            <w:shd w:val="clear" w:color="000000" w:fill="FFFFFF"/>
            <w:vAlign w:val="center"/>
          </w:tcPr>
          <w:p w14:paraId="6AC5E484" w14:textId="77777777" w:rsidR="001C32C8" w:rsidRPr="00B0658A" w:rsidRDefault="001C32C8" w:rsidP="00004A41">
            <w:pPr>
              <w:spacing w:after="0" w:line="240" w:lineRule="auto"/>
              <w:jc w:val="center"/>
              <w:rPr>
                <w:rFonts w:ascii="Times New Roman" w:hAnsi="Times New Roman"/>
                <w:sz w:val="18"/>
                <w:szCs w:val="18"/>
              </w:rPr>
            </w:pPr>
            <w:r w:rsidRPr="00B0658A">
              <w:rPr>
                <w:rFonts w:ascii="Times New Roman" w:hAnsi="Times New Roman"/>
                <w:sz w:val="18"/>
                <w:szCs w:val="18"/>
              </w:rPr>
              <w:t>5.12</w:t>
            </w:r>
          </w:p>
        </w:tc>
        <w:tc>
          <w:tcPr>
            <w:tcW w:w="1559" w:type="dxa"/>
            <w:shd w:val="clear" w:color="auto" w:fill="auto"/>
            <w:vAlign w:val="center"/>
            <w:hideMark/>
          </w:tcPr>
          <w:p w14:paraId="44DC8886" w14:textId="77777777" w:rsidR="001C32C8" w:rsidRPr="00B0658A" w:rsidRDefault="001C32C8" w:rsidP="00004A41">
            <w:pPr>
              <w:spacing w:after="0" w:line="240" w:lineRule="auto"/>
              <w:rPr>
                <w:rFonts w:ascii="Times New Roman" w:hAnsi="Times New Roman"/>
                <w:sz w:val="18"/>
                <w:szCs w:val="18"/>
              </w:rPr>
            </w:pPr>
            <w:r w:rsidRPr="00B0658A">
              <w:rPr>
                <w:rFonts w:ascii="Times New Roman" w:hAnsi="Times New Roman"/>
                <w:sz w:val="18"/>
                <w:szCs w:val="18"/>
              </w:rPr>
              <w:t xml:space="preserve">Прикладное программное обеспечение/ Интеллектуальные средства разработки </w:t>
            </w:r>
            <w:r w:rsidRPr="00B0658A">
              <w:rPr>
                <w:rFonts w:ascii="Times New Roman" w:hAnsi="Times New Roman"/>
                <w:sz w:val="18"/>
                <w:szCs w:val="18"/>
              </w:rPr>
              <w:br/>
              <w:t xml:space="preserve">и управления стандартами </w:t>
            </w:r>
            <w:r w:rsidRPr="00B0658A">
              <w:rPr>
                <w:rFonts w:ascii="Times New Roman" w:hAnsi="Times New Roman"/>
                <w:sz w:val="18"/>
                <w:szCs w:val="18"/>
              </w:rPr>
              <w:br/>
              <w:t>и нормативами</w:t>
            </w:r>
          </w:p>
        </w:tc>
        <w:tc>
          <w:tcPr>
            <w:tcW w:w="1418" w:type="dxa"/>
            <w:shd w:val="clear" w:color="000000" w:fill="FFFFFF"/>
            <w:hideMark/>
          </w:tcPr>
          <w:p w14:paraId="5B6E5E29" w14:textId="77777777" w:rsidR="001C32C8" w:rsidRPr="00B0658A" w:rsidRDefault="001C32C8" w:rsidP="00004A41">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44" w:type="dxa"/>
            <w:vAlign w:val="center"/>
          </w:tcPr>
          <w:p w14:paraId="341F30CC"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auto" w:fill="auto"/>
            <w:vAlign w:val="center"/>
            <w:hideMark/>
          </w:tcPr>
          <w:p w14:paraId="2B9FDD26"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auto" w:fill="auto"/>
            <w:vAlign w:val="center"/>
            <w:hideMark/>
          </w:tcPr>
          <w:p w14:paraId="2EF3C8E2"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auto" w:fill="auto"/>
            <w:vAlign w:val="center"/>
            <w:hideMark/>
          </w:tcPr>
          <w:p w14:paraId="596E43EB" w14:textId="77777777" w:rsidR="001C32C8" w:rsidRPr="00B0658A" w:rsidRDefault="001C32C8" w:rsidP="00004A41">
            <w:pPr>
              <w:spacing w:after="0" w:line="240" w:lineRule="auto"/>
              <w:jc w:val="center"/>
              <w:rPr>
                <w:rFonts w:ascii="Times New Roman" w:hAnsi="Times New Roman"/>
                <w:sz w:val="18"/>
                <w:szCs w:val="18"/>
              </w:rPr>
            </w:pPr>
          </w:p>
        </w:tc>
        <w:tc>
          <w:tcPr>
            <w:tcW w:w="993" w:type="dxa"/>
            <w:vAlign w:val="center"/>
          </w:tcPr>
          <w:p w14:paraId="76306296"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auto" w:fill="auto"/>
            <w:vAlign w:val="center"/>
            <w:hideMark/>
          </w:tcPr>
          <w:p w14:paraId="39431AFD" w14:textId="77777777" w:rsidR="001C32C8" w:rsidRPr="00B0658A" w:rsidRDefault="001C32C8" w:rsidP="00004A41">
            <w:pPr>
              <w:spacing w:after="0" w:line="240" w:lineRule="auto"/>
              <w:jc w:val="center"/>
              <w:rPr>
                <w:rFonts w:ascii="Times New Roman" w:hAnsi="Times New Roman"/>
                <w:sz w:val="18"/>
                <w:szCs w:val="18"/>
              </w:rPr>
            </w:pPr>
          </w:p>
        </w:tc>
        <w:tc>
          <w:tcPr>
            <w:tcW w:w="780" w:type="dxa"/>
            <w:shd w:val="clear" w:color="auto" w:fill="auto"/>
            <w:vAlign w:val="center"/>
            <w:hideMark/>
          </w:tcPr>
          <w:p w14:paraId="5E6F378C"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auto" w:fill="auto"/>
            <w:vAlign w:val="center"/>
            <w:hideMark/>
          </w:tcPr>
          <w:p w14:paraId="6BB2D551" w14:textId="77777777" w:rsidR="001C32C8" w:rsidRPr="00B0658A" w:rsidRDefault="001C32C8" w:rsidP="00004A41">
            <w:pPr>
              <w:spacing w:after="0" w:line="240" w:lineRule="auto"/>
              <w:jc w:val="center"/>
              <w:rPr>
                <w:rFonts w:ascii="Times New Roman" w:hAnsi="Times New Roman"/>
                <w:sz w:val="18"/>
                <w:szCs w:val="18"/>
              </w:rPr>
            </w:pPr>
          </w:p>
        </w:tc>
        <w:tc>
          <w:tcPr>
            <w:tcW w:w="780" w:type="dxa"/>
            <w:vAlign w:val="center"/>
          </w:tcPr>
          <w:p w14:paraId="46AE6E00" w14:textId="77777777" w:rsidR="001C32C8" w:rsidRPr="00B0658A" w:rsidRDefault="001C32C8" w:rsidP="00004A41">
            <w:pPr>
              <w:spacing w:after="0" w:line="240" w:lineRule="auto"/>
              <w:jc w:val="center"/>
              <w:rPr>
                <w:rFonts w:ascii="Times New Roman" w:hAnsi="Times New Roman"/>
                <w:sz w:val="18"/>
                <w:szCs w:val="18"/>
              </w:rPr>
            </w:pPr>
          </w:p>
        </w:tc>
        <w:tc>
          <w:tcPr>
            <w:tcW w:w="779" w:type="dxa"/>
            <w:vAlign w:val="center"/>
          </w:tcPr>
          <w:p w14:paraId="2CBECD4B" w14:textId="77777777" w:rsidR="001C32C8" w:rsidRPr="00B0658A" w:rsidRDefault="001C32C8" w:rsidP="00004A41">
            <w:pPr>
              <w:spacing w:after="0" w:line="240" w:lineRule="auto"/>
              <w:jc w:val="center"/>
              <w:rPr>
                <w:rFonts w:ascii="Times New Roman" w:hAnsi="Times New Roman"/>
                <w:sz w:val="18"/>
                <w:szCs w:val="18"/>
              </w:rPr>
            </w:pPr>
          </w:p>
        </w:tc>
        <w:tc>
          <w:tcPr>
            <w:tcW w:w="780" w:type="dxa"/>
            <w:vAlign w:val="center"/>
          </w:tcPr>
          <w:p w14:paraId="2ED6812D" w14:textId="77777777" w:rsidR="001C32C8" w:rsidRPr="00B0658A" w:rsidRDefault="001C32C8" w:rsidP="00004A41">
            <w:pPr>
              <w:spacing w:after="0" w:line="240" w:lineRule="auto"/>
              <w:jc w:val="center"/>
              <w:rPr>
                <w:rFonts w:ascii="Times New Roman" w:hAnsi="Times New Roman"/>
                <w:sz w:val="18"/>
                <w:szCs w:val="18"/>
              </w:rPr>
            </w:pPr>
          </w:p>
        </w:tc>
        <w:tc>
          <w:tcPr>
            <w:tcW w:w="1475" w:type="dxa"/>
            <w:vAlign w:val="center"/>
          </w:tcPr>
          <w:p w14:paraId="76266766" w14:textId="77777777" w:rsidR="001C32C8" w:rsidRPr="00B0658A" w:rsidRDefault="001C32C8" w:rsidP="00004A41">
            <w:pPr>
              <w:spacing w:after="0" w:line="240" w:lineRule="auto"/>
              <w:jc w:val="center"/>
              <w:rPr>
                <w:rFonts w:ascii="Times New Roman" w:hAnsi="Times New Roman"/>
                <w:sz w:val="18"/>
                <w:szCs w:val="18"/>
              </w:rPr>
            </w:pPr>
          </w:p>
        </w:tc>
      </w:tr>
      <w:tr w:rsidR="00F52FED" w:rsidRPr="00B0658A" w14:paraId="47690207" w14:textId="77777777" w:rsidTr="00E66BA4">
        <w:trPr>
          <w:trHeight w:val="20"/>
        </w:trPr>
        <w:tc>
          <w:tcPr>
            <w:tcW w:w="846" w:type="dxa"/>
            <w:shd w:val="clear" w:color="000000" w:fill="FFFFFF"/>
            <w:vAlign w:val="center"/>
          </w:tcPr>
          <w:p w14:paraId="1ABEE3D5" w14:textId="77777777" w:rsidR="001C32C8" w:rsidRPr="00B0658A" w:rsidRDefault="001C32C8" w:rsidP="00004A41">
            <w:pPr>
              <w:spacing w:after="0" w:line="240" w:lineRule="auto"/>
              <w:jc w:val="center"/>
              <w:rPr>
                <w:rFonts w:ascii="Times New Roman" w:hAnsi="Times New Roman"/>
                <w:sz w:val="18"/>
                <w:szCs w:val="18"/>
              </w:rPr>
            </w:pPr>
            <w:r w:rsidRPr="00B0658A">
              <w:rPr>
                <w:rFonts w:ascii="Times New Roman" w:hAnsi="Times New Roman"/>
                <w:sz w:val="18"/>
                <w:szCs w:val="18"/>
              </w:rPr>
              <w:t>5.13</w:t>
            </w:r>
          </w:p>
        </w:tc>
        <w:tc>
          <w:tcPr>
            <w:tcW w:w="1559" w:type="dxa"/>
            <w:shd w:val="clear" w:color="auto" w:fill="auto"/>
            <w:vAlign w:val="center"/>
            <w:hideMark/>
          </w:tcPr>
          <w:p w14:paraId="28371FF9" w14:textId="77777777" w:rsidR="001C32C8" w:rsidRPr="00B0658A" w:rsidRDefault="001C32C8" w:rsidP="00004A41">
            <w:pPr>
              <w:spacing w:after="0" w:line="240" w:lineRule="auto"/>
              <w:rPr>
                <w:rFonts w:ascii="Times New Roman" w:hAnsi="Times New Roman"/>
                <w:sz w:val="18"/>
                <w:szCs w:val="18"/>
              </w:rPr>
            </w:pPr>
            <w:r w:rsidRPr="00B0658A">
              <w:rPr>
                <w:rFonts w:ascii="Times New Roman" w:hAnsi="Times New Roman"/>
                <w:sz w:val="18"/>
                <w:szCs w:val="18"/>
              </w:rPr>
              <w:t>Прикладное программное обеспечение/ Средства интеллектуальной обработки информации и интеллектуального анализа бизнес-процессов</w:t>
            </w:r>
          </w:p>
        </w:tc>
        <w:tc>
          <w:tcPr>
            <w:tcW w:w="1418" w:type="dxa"/>
            <w:shd w:val="clear" w:color="000000" w:fill="FFFFFF"/>
            <w:hideMark/>
          </w:tcPr>
          <w:p w14:paraId="65D252C5" w14:textId="77777777" w:rsidR="001C32C8" w:rsidRPr="00B0658A" w:rsidRDefault="001C32C8" w:rsidP="00004A41">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44" w:type="dxa"/>
            <w:shd w:val="clear" w:color="000000" w:fill="FFFFFF"/>
            <w:vAlign w:val="center"/>
          </w:tcPr>
          <w:p w14:paraId="50BE3C10"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000000" w:fill="FFFFFF"/>
            <w:vAlign w:val="center"/>
            <w:hideMark/>
          </w:tcPr>
          <w:p w14:paraId="2D130C41"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000000" w:fill="FFFFFF"/>
            <w:vAlign w:val="center"/>
            <w:hideMark/>
          </w:tcPr>
          <w:p w14:paraId="4EC9D64E"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000000" w:fill="FFFFFF"/>
            <w:vAlign w:val="center"/>
            <w:hideMark/>
          </w:tcPr>
          <w:p w14:paraId="302F4D1F" w14:textId="77777777" w:rsidR="001C32C8" w:rsidRPr="00B0658A" w:rsidRDefault="001C32C8" w:rsidP="00004A41">
            <w:pPr>
              <w:spacing w:after="0" w:line="240" w:lineRule="auto"/>
              <w:jc w:val="center"/>
              <w:rPr>
                <w:rFonts w:ascii="Times New Roman" w:hAnsi="Times New Roman"/>
                <w:sz w:val="18"/>
                <w:szCs w:val="18"/>
              </w:rPr>
            </w:pPr>
          </w:p>
        </w:tc>
        <w:tc>
          <w:tcPr>
            <w:tcW w:w="993" w:type="dxa"/>
            <w:shd w:val="clear" w:color="000000" w:fill="FFFFFF"/>
            <w:vAlign w:val="center"/>
          </w:tcPr>
          <w:p w14:paraId="21AE6F7C"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000000" w:fill="FFFFFF"/>
            <w:vAlign w:val="center"/>
            <w:hideMark/>
          </w:tcPr>
          <w:p w14:paraId="3BF7BDFD" w14:textId="77777777" w:rsidR="001C32C8" w:rsidRPr="00B0658A" w:rsidRDefault="001C32C8" w:rsidP="00004A41">
            <w:pPr>
              <w:spacing w:after="0" w:line="240" w:lineRule="auto"/>
              <w:jc w:val="center"/>
              <w:rPr>
                <w:rFonts w:ascii="Times New Roman" w:hAnsi="Times New Roman"/>
                <w:sz w:val="18"/>
                <w:szCs w:val="18"/>
              </w:rPr>
            </w:pPr>
          </w:p>
        </w:tc>
        <w:tc>
          <w:tcPr>
            <w:tcW w:w="780" w:type="dxa"/>
            <w:shd w:val="clear" w:color="000000" w:fill="FFFFFF"/>
            <w:vAlign w:val="center"/>
            <w:hideMark/>
          </w:tcPr>
          <w:p w14:paraId="2A4079DD"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000000" w:fill="FFFFFF"/>
            <w:vAlign w:val="center"/>
            <w:hideMark/>
          </w:tcPr>
          <w:p w14:paraId="068FDCCB" w14:textId="77777777" w:rsidR="001C32C8" w:rsidRPr="00B0658A" w:rsidRDefault="001C32C8" w:rsidP="00004A41">
            <w:pPr>
              <w:spacing w:after="0" w:line="240" w:lineRule="auto"/>
              <w:jc w:val="center"/>
              <w:rPr>
                <w:rFonts w:ascii="Times New Roman" w:hAnsi="Times New Roman"/>
                <w:sz w:val="18"/>
                <w:szCs w:val="18"/>
              </w:rPr>
            </w:pPr>
          </w:p>
        </w:tc>
        <w:tc>
          <w:tcPr>
            <w:tcW w:w="780" w:type="dxa"/>
            <w:shd w:val="clear" w:color="000000" w:fill="FFFFFF"/>
            <w:vAlign w:val="center"/>
          </w:tcPr>
          <w:p w14:paraId="5816127D"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000000" w:fill="FFFFFF"/>
            <w:vAlign w:val="center"/>
          </w:tcPr>
          <w:p w14:paraId="61D02ED5" w14:textId="77777777" w:rsidR="001C32C8" w:rsidRPr="00B0658A" w:rsidRDefault="001C32C8" w:rsidP="00004A41">
            <w:pPr>
              <w:spacing w:after="0" w:line="240" w:lineRule="auto"/>
              <w:jc w:val="center"/>
              <w:rPr>
                <w:rFonts w:ascii="Times New Roman" w:hAnsi="Times New Roman"/>
                <w:sz w:val="18"/>
                <w:szCs w:val="18"/>
              </w:rPr>
            </w:pPr>
          </w:p>
        </w:tc>
        <w:tc>
          <w:tcPr>
            <w:tcW w:w="780" w:type="dxa"/>
            <w:shd w:val="clear" w:color="000000" w:fill="FFFFFF"/>
            <w:vAlign w:val="center"/>
          </w:tcPr>
          <w:p w14:paraId="0AA19107" w14:textId="77777777" w:rsidR="001C32C8" w:rsidRPr="00B0658A" w:rsidRDefault="001C32C8" w:rsidP="00004A41">
            <w:pPr>
              <w:spacing w:after="0" w:line="240" w:lineRule="auto"/>
              <w:jc w:val="center"/>
              <w:rPr>
                <w:rFonts w:ascii="Times New Roman" w:hAnsi="Times New Roman"/>
                <w:sz w:val="18"/>
                <w:szCs w:val="18"/>
              </w:rPr>
            </w:pPr>
          </w:p>
        </w:tc>
        <w:tc>
          <w:tcPr>
            <w:tcW w:w="1475" w:type="dxa"/>
            <w:shd w:val="clear" w:color="000000" w:fill="FFFFFF"/>
            <w:vAlign w:val="center"/>
          </w:tcPr>
          <w:p w14:paraId="73455F61" w14:textId="77777777" w:rsidR="001C32C8" w:rsidRPr="00B0658A" w:rsidRDefault="001C32C8" w:rsidP="00004A41">
            <w:pPr>
              <w:spacing w:after="0" w:line="240" w:lineRule="auto"/>
              <w:jc w:val="center"/>
              <w:rPr>
                <w:rFonts w:ascii="Times New Roman" w:hAnsi="Times New Roman"/>
                <w:sz w:val="18"/>
                <w:szCs w:val="18"/>
              </w:rPr>
            </w:pPr>
          </w:p>
        </w:tc>
      </w:tr>
      <w:tr w:rsidR="00F52FED" w:rsidRPr="00B0658A" w14:paraId="4B192BBB" w14:textId="77777777" w:rsidTr="00E66BA4">
        <w:trPr>
          <w:trHeight w:val="20"/>
        </w:trPr>
        <w:tc>
          <w:tcPr>
            <w:tcW w:w="846" w:type="dxa"/>
            <w:shd w:val="clear" w:color="000000" w:fill="FFFFFF"/>
            <w:vAlign w:val="center"/>
          </w:tcPr>
          <w:p w14:paraId="227F8EB3" w14:textId="77777777" w:rsidR="001C32C8" w:rsidRPr="00B0658A" w:rsidRDefault="001C32C8" w:rsidP="00004A41">
            <w:pPr>
              <w:spacing w:after="0" w:line="240" w:lineRule="auto"/>
              <w:jc w:val="center"/>
              <w:rPr>
                <w:rFonts w:ascii="Times New Roman" w:hAnsi="Times New Roman"/>
                <w:sz w:val="18"/>
                <w:szCs w:val="18"/>
              </w:rPr>
            </w:pPr>
            <w:r w:rsidRPr="00B0658A">
              <w:rPr>
                <w:rFonts w:ascii="Times New Roman" w:hAnsi="Times New Roman"/>
                <w:sz w:val="18"/>
                <w:szCs w:val="18"/>
              </w:rPr>
              <w:t>5.14</w:t>
            </w:r>
          </w:p>
        </w:tc>
        <w:tc>
          <w:tcPr>
            <w:tcW w:w="1559" w:type="dxa"/>
            <w:shd w:val="clear" w:color="auto" w:fill="auto"/>
            <w:vAlign w:val="center"/>
            <w:hideMark/>
          </w:tcPr>
          <w:p w14:paraId="12923FCC" w14:textId="77777777" w:rsidR="001C32C8" w:rsidRPr="00B0658A" w:rsidRDefault="001C32C8" w:rsidP="00004A41">
            <w:pPr>
              <w:spacing w:after="0" w:line="240" w:lineRule="auto"/>
              <w:rPr>
                <w:rFonts w:ascii="Times New Roman" w:hAnsi="Times New Roman"/>
                <w:sz w:val="18"/>
                <w:szCs w:val="18"/>
              </w:rPr>
            </w:pPr>
            <w:r w:rsidRPr="00B0658A">
              <w:rPr>
                <w:rFonts w:ascii="Times New Roman" w:hAnsi="Times New Roman"/>
                <w:sz w:val="18"/>
                <w:szCs w:val="18"/>
              </w:rPr>
              <w:t xml:space="preserve">Прикладное программное </w:t>
            </w:r>
            <w:r w:rsidRPr="00B0658A">
              <w:rPr>
                <w:rFonts w:ascii="Times New Roman" w:hAnsi="Times New Roman"/>
                <w:sz w:val="18"/>
                <w:szCs w:val="18"/>
              </w:rPr>
              <w:lastRenderedPageBreak/>
              <w:t>обеспечение/ Справочно-правовые системы</w:t>
            </w:r>
          </w:p>
        </w:tc>
        <w:tc>
          <w:tcPr>
            <w:tcW w:w="1418" w:type="dxa"/>
            <w:shd w:val="clear" w:color="000000" w:fill="FFFFFF"/>
            <w:hideMark/>
          </w:tcPr>
          <w:p w14:paraId="0FA635A0" w14:textId="77777777" w:rsidR="001C32C8" w:rsidRPr="00B0658A" w:rsidRDefault="001C32C8" w:rsidP="00004A41">
            <w:pPr>
              <w:spacing w:after="0" w:line="240" w:lineRule="auto"/>
              <w:rPr>
                <w:rFonts w:ascii="Times New Roman" w:hAnsi="Times New Roman"/>
                <w:sz w:val="18"/>
                <w:szCs w:val="18"/>
              </w:rPr>
            </w:pPr>
            <w:r w:rsidRPr="00B0658A">
              <w:rPr>
                <w:rFonts w:ascii="Times New Roman" w:hAnsi="Times New Roman"/>
                <w:sz w:val="18"/>
                <w:szCs w:val="18"/>
              </w:rPr>
              <w:lastRenderedPageBreak/>
              <w:t xml:space="preserve">Доля используемого </w:t>
            </w:r>
            <w:r w:rsidRPr="00B0658A">
              <w:rPr>
                <w:rFonts w:ascii="Times New Roman" w:hAnsi="Times New Roman"/>
                <w:sz w:val="18"/>
                <w:szCs w:val="18"/>
              </w:rPr>
              <w:lastRenderedPageBreak/>
              <w:t>российского ПО в общем объёме, используемого ПО, %</w:t>
            </w:r>
          </w:p>
        </w:tc>
        <w:tc>
          <w:tcPr>
            <w:tcW w:w="744" w:type="dxa"/>
            <w:shd w:val="clear" w:color="000000" w:fill="FFFFFF"/>
            <w:vAlign w:val="center"/>
          </w:tcPr>
          <w:p w14:paraId="7663FDA9"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000000" w:fill="FFFFFF"/>
            <w:vAlign w:val="center"/>
            <w:hideMark/>
          </w:tcPr>
          <w:p w14:paraId="7507219F"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000000" w:fill="FFFFFF"/>
            <w:vAlign w:val="center"/>
            <w:hideMark/>
          </w:tcPr>
          <w:p w14:paraId="2DA1B9E3"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000000" w:fill="FFFFFF"/>
            <w:vAlign w:val="center"/>
            <w:hideMark/>
          </w:tcPr>
          <w:p w14:paraId="30650D50" w14:textId="77777777" w:rsidR="001C32C8" w:rsidRPr="00B0658A" w:rsidRDefault="001C32C8" w:rsidP="00004A41">
            <w:pPr>
              <w:spacing w:after="0" w:line="240" w:lineRule="auto"/>
              <w:jc w:val="center"/>
              <w:rPr>
                <w:rFonts w:ascii="Times New Roman" w:hAnsi="Times New Roman"/>
                <w:sz w:val="18"/>
                <w:szCs w:val="18"/>
              </w:rPr>
            </w:pPr>
          </w:p>
        </w:tc>
        <w:tc>
          <w:tcPr>
            <w:tcW w:w="993" w:type="dxa"/>
            <w:shd w:val="clear" w:color="000000" w:fill="FFFFFF"/>
            <w:vAlign w:val="center"/>
          </w:tcPr>
          <w:p w14:paraId="2FBC735B"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000000" w:fill="FFFFFF"/>
            <w:vAlign w:val="center"/>
            <w:hideMark/>
          </w:tcPr>
          <w:p w14:paraId="6BA233DC" w14:textId="77777777" w:rsidR="001C32C8" w:rsidRPr="00B0658A" w:rsidRDefault="001C32C8" w:rsidP="00004A41">
            <w:pPr>
              <w:spacing w:after="0" w:line="240" w:lineRule="auto"/>
              <w:jc w:val="center"/>
              <w:rPr>
                <w:rFonts w:ascii="Times New Roman" w:hAnsi="Times New Roman"/>
                <w:sz w:val="18"/>
                <w:szCs w:val="18"/>
              </w:rPr>
            </w:pPr>
          </w:p>
        </w:tc>
        <w:tc>
          <w:tcPr>
            <w:tcW w:w="780" w:type="dxa"/>
            <w:shd w:val="clear" w:color="000000" w:fill="FFFFFF"/>
            <w:vAlign w:val="center"/>
            <w:hideMark/>
          </w:tcPr>
          <w:p w14:paraId="48AC7BE7"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000000" w:fill="FFFFFF"/>
            <w:vAlign w:val="center"/>
            <w:hideMark/>
          </w:tcPr>
          <w:p w14:paraId="1C1A25DC" w14:textId="77777777" w:rsidR="001C32C8" w:rsidRPr="00B0658A" w:rsidRDefault="001C32C8" w:rsidP="00004A41">
            <w:pPr>
              <w:spacing w:after="0" w:line="240" w:lineRule="auto"/>
              <w:jc w:val="center"/>
              <w:rPr>
                <w:rFonts w:ascii="Times New Roman" w:hAnsi="Times New Roman"/>
                <w:sz w:val="18"/>
                <w:szCs w:val="18"/>
              </w:rPr>
            </w:pPr>
          </w:p>
        </w:tc>
        <w:tc>
          <w:tcPr>
            <w:tcW w:w="780" w:type="dxa"/>
            <w:shd w:val="clear" w:color="000000" w:fill="FFFFFF"/>
            <w:vAlign w:val="center"/>
          </w:tcPr>
          <w:p w14:paraId="322B33B4"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000000" w:fill="FFFFFF"/>
            <w:vAlign w:val="center"/>
          </w:tcPr>
          <w:p w14:paraId="3E6B3E82" w14:textId="77777777" w:rsidR="001C32C8" w:rsidRPr="00B0658A" w:rsidRDefault="001C32C8" w:rsidP="00004A41">
            <w:pPr>
              <w:spacing w:after="0" w:line="240" w:lineRule="auto"/>
              <w:jc w:val="center"/>
              <w:rPr>
                <w:rFonts w:ascii="Times New Roman" w:hAnsi="Times New Roman"/>
                <w:sz w:val="18"/>
                <w:szCs w:val="18"/>
              </w:rPr>
            </w:pPr>
          </w:p>
        </w:tc>
        <w:tc>
          <w:tcPr>
            <w:tcW w:w="780" w:type="dxa"/>
            <w:shd w:val="clear" w:color="000000" w:fill="FFFFFF"/>
            <w:vAlign w:val="center"/>
          </w:tcPr>
          <w:p w14:paraId="3349CAF5" w14:textId="77777777" w:rsidR="001C32C8" w:rsidRPr="00B0658A" w:rsidRDefault="001C32C8" w:rsidP="00004A41">
            <w:pPr>
              <w:spacing w:after="0" w:line="240" w:lineRule="auto"/>
              <w:jc w:val="center"/>
              <w:rPr>
                <w:rFonts w:ascii="Times New Roman" w:hAnsi="Times New Roman"/>
                <w:sz w:val="18"/>
                <w:szCs w:val="18"/>
              </w:rPr>
            </w:pPr>
          </w:p>
        </w:tc>
        <w:tc>
          <w:tcPr>
            <w:tcW w:w="1475" w:type="dxa"/>
            <w:shd w:val="clear" w:color="000000" w:fill="FFFFFF"/>
            <w:vAlign w:val="center"/>
          </w:tcPr>
          <w:p w14:paraId="30FBE8A7" w14:textId="77777777" w:rsidR="001C32C8" w:rsidRPr="00B0658A" w:rsidRDefault="001C32C8" w:rsidP="00004A41">
            <w:pPr>
              <w:spacing w:after="0" w:line="240" w:lineRule="auto"/>
              <w:jc w:val="center"/>
              <w:rPr>
                <w:rFonts w:ascii="Times New Roman" w:hAnsi="Times New Roman"/>
                <w:sz w:val="18"/>
                <w:szCs w:val="18"/>
              </w:rPr>
            </w:pPr>
          </w:p>
        </w:tc>
      </w:tr>
      <w:tr w:rsidR="00F52FED" w:rsidRPr="00B0658A" w14:paraId="3C1EE8B8" w14:textId="77777777" w:rsidTr="00E66BA4">
        <w:trPr>
          <w:trHeight w:val="20"/>
        </w:trPr>
        <w:tc>
          <w:tcPr>
            <w:tcW w:w="846" w:type="dxa"/>
            <w:shd w:val="clear" w:color="000000" w:fill="FFFFFF"/>
            <w:vAlign w:val="center"/>
          </w:tcPr>
          <w:p w14:paraId="1FAF6F57" w14:textId="77777777" w:rsidR="001C32C8" w:rsidRPr="00B0658A" w:rsidRDefault="001C32C8" w:rsidP="00004A41">
            <w:pPr>
              <w:spacing w:after="0" w:line="240" w:lineRule="auto"/>
              <w:jc w:val="center"/>
              <w:rPr>
                <w:rFonts w:ascii="Times New Roman" w:hAnsi="Times New Roman"/>
                <w:sz w:val="18"/>
                <w:szCs w:val="18"/>
              </w:rPr>
            </w:pPr>
            <w:r w:rsidRPr="00B0658A">
              <w:rPr>
                <w:rFonts w:ascii="Times New Roman" w:hAnsi="Times New Roman"/>
                <w:sz w:val="18"/>
                <w:szCs w:val="18"/>
              </w:rPr>
              <w:t>5.15</w:t>
            </w:r>
          </w:p>
        </w:tc>
        <w:tc>
          <w:tcPr>
            <w:tcW w:w="1559" w:type="dxa"/>
            <w:shd w:val="clear" w:color="auto" w:fill="auto"/>
            <w:vAlign w:val="center"/>
            <w:hideMark/>
          </w:tcPr>
          <w:p w14:paraId="284F1E3F" w14:textId="77777777" w:rsidR="001C32C8" w:rsidRPr="00B0658A" w:rsidRDefault="001C32C8" w:rsidP="00004A41">
            <w:pPr>
              <w:spacing w:after="0" w:line="240" w:lineRule="auto"/>
              <w:rPr>
                <w:rFonts w:ascii="Times New Roman" w:hAnsi="Times New Roman"/>
                <w:sz w:val="18"/>
                <w:szCs w:val="18"/>
              </w:rPr>
            </w:pPr>
            <w:r w:rsidRPr="00B0658A">
              <w:rPr>
                <w:rFonts w:ascii="Times New Roman" w:hAnsi="Times New Roman"/>
                <w:sz w:val="18"/>
                <w:szCs w:val="18"/>
              </w:rPr>
              <w:t>Прикладное программное обеспечение/ Информационные системы для решения специфических отраслевых задач</w:t>
            </w:r>
          </w:p>
        </w:tc>
        <w:tc>
          <w:tcPr>
            <w:tcW w:w="1418" w:type="dxa"/>
            <w:shd w:val="clear" w:color="000000" w:fill="FFFFFF"/>
            <w:hideMark/>
          </w:tcPr>
          <w:p w14:paraId="7E480EDB" w14:textId="77777777" w:rsidR="001C32C8" w:rsidRPr="00B0658A" w:rsidRDefault="001C32C8" w:rsidP="00004A41">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44" w:type="dxa"/>
            <w:shd w:val="clear" w:color="000000" w:fill="FFFFFF"/>
            <w:vAlign w:val="center"/>
          </w:tcPr>
          <w:p w14:paraId="2D6EDBB3"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000000" w:fill="FFFFFF"/>
            <w:vAlign w:val="center"/>
            <w:hideMark/>
          </w:tcPr>
          <w:p w14:paraId="10EF2A7C"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000000" w:fill="FFFFFF"/>
            <w:vAlign w:val="center"/>
            <w:hideMark/>
          </w:tcPr>
          <w:p w14:paraId="423DA353"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000000" w:fill="FFFFFF"/>
            <w:vAlign w:val="center"/>
            <w:hideMark/>
          </w:tcPr>
          <w:p w14:paraId="51AF7D8B" w14:textId="77777777" w:rsidR="001C32C8" w:rsidRPr="00B0658A" w:rsidRDefault="001C32C8" w:rsidP="00004A41">
            <w:pPr>
              <w:spacing w:after="0" w:line="240" w:lineRule="auto"/>
              <w:jc w:val="center"/>
              <w:rPr>
                <w:rFonts w:ascii="Times New Roman" w:hAnsi="Times New Roman"/>
                <w:sz w:val="18"/>
                <w:szCs w:val="18"/>
              </w:rPr>
            </w:pPr>
          </w:p>
        </w:tc>
        <w:tc>
          <w:tcPr>
            <w:tcW w:w="993" w:type="dxa"/>
            <w:shd w:val="clear" w:color="000000" w:fill="FFFFFF"/>
            <w:vAlign w:val="center"/>
          </w:tcPr>
          <w:p w14:paraId="547027E5"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000000" w:fill="FFFFFF"/>
            <w:vAlign w:val="center"/>
            <w:hideMark/>
          </w:tcPr>
          <w:p w14:paraId="6DB75355" w14:textId="77777777" w:rsidR="001C32C8" w:rsidRPr="00B0658A" w:rsidRDefault="001C32C8" w:rsidP="00004A41">
            <w:pPr>
              <w:spacing w:after="0" w:line="240" w:lineRule="auto"/>
              <w:jc w:val="center"/>
              <w:rPr>
                <w:rFonts w:ascii="Times New Roman" w:hAnsi="Times New Roman"/>
                <w:sz w:val="18"/>
                <w:szCs w:val="18"/>
              </w:rPr>
            </w:pPr>
          </w:p>
        </w:tc>
        <w:tc>
          <w:tcPr>
            <w:tcW w:w="780" w:type="dxa"/>
            <w:shd w:val="clear" w:color="000000" w:fill="FFFFFF"/>
            <w:vAlign w:val="center"/>
            <w:hideMark/>
          </w:tcPr>
          <w:p w14:paraId="2D04C73C"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000000" w:fill="FFFFFF"/>
            <w:vAlign w:val="center"/>
            <w:hideMark/>
          </w:tcPr>
          <w:p w14:paraId="2B5C1D3E" w14:textId="77777777" w:rsidR="001C32C8" w:rsidRPr="00B0658A" w:rsidRDefault="001C32C8" w:rsidP="00004A41">
            <w:pPr>
              <w:spacing w:after="0" w:line="240" w:lineRule="auto"/>
              <w:jc w:val="center"/>
              <w:rPr>
                <w:rFonts w:ascii="Times New Roman" w:hAnsi="Times New Roman"/>
                <w:sz w:val="18"/>
                <w:szCs w:val="18"/>
              </w:rPr>
            </w:pPr>
          </w:p>
        </w:tc>
        <w:tc>
          <w:tcPr>
            <w:tcW w:w="780" w:type="dxa"/>
            <w:shd w:val="clear" w:color="000000" w:fill="FFFFFF"/>
            <w:vAlign w:val="center"/>
          </w:tcPr>
          <w:p w14:paraId="07DAA234"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000000" w:fill="FFFFFF"/>
            <w:vAlign w:val="center"/>
          </w:tcPr>
          <w:p w14:paraId="698D4DB9" w14:textId="77777777" w:rsidR="001C32C8" w:rsidRPr="00B0658A" w:rsidRDefault="001C32C8" w:rsidP="00004A41">
            <w:pPr>
              <w:spacing w:after="0" w:line="240" w:lineRule="auto"/>
              <w:jc w:val="center"/>
              <w:rPr>
                <w:rFonts w:ascii="Times New Roman" w:hAnsi="Times New Roman"/>
                <w:sz w:val="18"/>
                <w:szCs w:val="18"/>
              </w:rPr>
            </w:pPr>
          </w:p>
        </w:tc>
        <w:tc>
          <w:tcPr>
            <w:tcW w:w="780" w:type="dxa"/>
            <w:shd w:val="clear" w:color="000000" w:fill="FFFFFF"/>
            <w:vAlign w:val="center"/>
          </w:tcPr>
          <w:p w14:paraId="6CEBB22F" w14:textId="77777777" w:rsidR="001C32C8" w:rsidRPr="00B0658A" w:rsidRDefault="001C32C8" w:rsidP="00004A41">
            <w:pPr>
              <w:spacing w:after="0" w:line="240" w:lineRule="auto"/>
              <w:jc w:val="center"/>
              <w:rPr>
                <w:rFonts w:ascii="Times New Roman" w:hAnsi="Times New Roman"/>
                <w:sz w:val="18"/>
                <w:szCs w:val="18"/>
              </w:rPr>
            </w:pPr>
          </w:p>
        </w:tc>
        <w:tc>
          <w:tcPr>
            <w:tcW w:w="1475" w:type="dxa"/>
            <w:shd w:val="clear" w:color="000000" w:fill="FFFFFF"/>
            <w:vAlign w:val="center"/>
          </w:tcPr>
          <w:p w14:paraId="291F9835" w14:textId="77777777" w:rsidR="001C32C8" w:rsidRPr="00B0658A" w:rsidRDefault="001C32C8" w:rsidP="00004A41">
            <w:pPr>
              <w:spacing w:after="0" w:line="240" w:lineRule="auto"/>
              <w:jc w:val="center"/>
              <w:rPr>
                <w:rFonts w:ascii="Times New Roman" w:hAnsi="Times New Roman"/>
                <w:sz w:val="18"/>
                <w:szCs w:val="18"/>
              </w:rPr>
            </w:pPr>
          </w:p>
        </w:tc>
      </w:tr>
      <w:tr w:rsidR="00F52FED" w:rsidRPr="00B0658A" w14:paraId="13E45A28" w14:textId="77777777" w:rsidTr="00E66BA4">
        <w:trPr>
          <w:trHeight w:val="20"/>
        </w:trPr>
        <w:tc>
          <w:tcPr>
            <w:tcW w:w="846" w:type="dxa"/>
            <w:shd w:val="clear" w:color="000000" w:fill="FFFFFF"/>
            <w:vAlign w:val="center"/>
          </w:tcPr>
          <w:p w14:paraId="08D2AEEB" w14:textId="77777777" w:rsidR="001C32C8" w:rsidRPr="00B0658A" w:rsidRDefault="001C32C8" w:rsidP="00004A41">
            <w:pPr>
              <w:spacing w:after="0" w:line="240" w:lineRule="auto"/>
              <w:jc w:val="center"/>
              <w:rPr>
                <w:rFonts w:ascii="Times New Roman" w:hAnsi="Times New Roman"/>
                <w:sz w:val="18"/>
                <w:szCs w:val="18"/>
              </w:rPr>
            </w:pPr>
            <w:r w:rsidRPr="00B0658A">
              <w:rPr>
                <w:rFonts w:ascii="Times New Roman" w:hAnsi="Times New Roman"/>
                <w:sz w:val="18"/>
                <w:szCs w:val="18"/>
              </w:rPr>
              <w:t>5.16</w:t>
            </w:r>
          </w:p>
        </w:tc>
        <w:tc>
          <w:tcPr>
            <w:tcW w:w="1559" w:type="dxa"/>
            <w:shd w:val="clear" w:color="auto" w:fill="auto"/>
            <w:vAlign w:val="center"/>
            <w:hideMark/>
          </w:tcPr>
          <w:p w14:paraId="158D1935" w14:textId="77777777" w:rsidR="001C32C8" w:rsidRPr="00B0658A" w:rsidRDefault="001C32C8" w:rsidP="00004A41">
            <w:pPr>
              <w:spacing w:after="0" w:line="240" w:lineRule="auto"/>
              <w:rPr>
                <w:rFonts w:ascii="Times New Roman" w:hAnsi="Times New Roman"/>
                <w:sz w:val="18"/>
                <w:szCs w:val="18"/>
              </w:rPr>
            </w:pPr>
            <w:r w:rsidRPr="00B0658A">
              <w:rPr>
                <w:rFonts w:ascii="Times New Roman" w:hAnsi="Times New Roman"/>
                <w:sz w:val="18"/>
                <w:szCs w:val="18"/>
              </w:rPr>
              <w:t>Прикладное программное обеспечение/ Автоматизированные информационные системы оформления воздушных перевозок</w:t>
            </w:r>
          </w:p>
        </w:tc>
        <w:tc>
          <w:tcPr>
            <w:tcW w:w="1418" w:type="dxa"/>
            <w:shd w:val="clear" w:color="000000" w:fill="FFFFFF"/>
            <w:hideMark/>
          </w:tcPr>
          <w:p w14:paraId="610CC3B2" w14:textId="77777777" w:rsidR="001C32C8" w:rsidRPr="00B0658A" w:rsidRDefault="001C32C8" w:rsidP="00004A41">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44" w:type="dxa"/>
            <w:shd w:val="clear" w:color="000000" w:fill="FFFFFF"/>
            <w:vAlign w:val="center"/>
          </w:tcPr>
          <w:p w14:paraId="41BC5B68"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000000" w:fill="FFFFFF"/>
            <w:vAlign w:val="center"/>
            <w:hideMark/>
          </w:tcPr>
          <w:p w14:paraId="720B7327"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000000" w:fill="FFFFFF"/>
            <w:vAlign w:val="center"/>
            <w:hideMark/>
          </w:tcPr>
          <w:p w14:paraId="3C4D9F39"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000000" w:fill="FFFFFF"/>
            <w:vAlign w:val="center"/>
            <w:hideMark/>
          </w:tcPr>
          <w:p w14:paraId="08E21185" w14:textId="77777777" w:rsidR="001C32C8" w:rsidRPr="00B0658A" w:rsidRDefault="001C32C8" w:rsidP="00004A41">
            <w:pPr>
              <w:spacing w:after="0" w:line="240" w:lineRule="auto"/>
              <w:jc w:val="center"/>
              <w:rPr>
                <w:rFonts w:ascii="Times New Roman" w:hAnsi="Times New Roman"/>
                <w:sz w:val="18"/>
                <w:szCs w:val="18"/>
              </w:rPr>
            </w:pPr>
          </w:p>
        </w:tc>
        <w:tc>
          <w:tcPr>
            <w:tcW w:w="993" w:type="dxa"/>
            <w:shd w:val="clear" w:color="000000" w:fill="FFFFFF"/>
            <w:vAlign w:val="center"/>
          </w:tcPr>
          <w:p w14:paraId="63C6DD8D"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000000" w:fill="FFFFFF"/>
            <w:vAlign w:val="center"/>
            <w:hideMark/>
          </w:tcPr>
          <w:p w14:paraId="5F2E59F0" w14:textId="77777777" w:rsidR="001C32C8" w:rsidRPr="00B0658A" w:rsidRDefault="001C32C8" w:rsidP="00004A41">
            <w:pPr>
              <w:spacing w:after="0" w:line="240" w:lineRule="auto"/>
              <w:jc w:val="center"/>
              <w:rPr>
                <w:rFonts w:ascii="Times New Roman" w:hAnsi="Times New Roman"/>
                <w:sz w:val="18"/>
                <w:szCs w:val="18"/>
              </w:rPr>
            </w:pPr>
          </w:p>
        </w:tc>
        <w:tc>
          <w:tcPr>
            <w:tcW w:w="780" w:type="dxa"/>
            <w:shd w:val="clear" w:color="000000" w:fill="FFFFFF"/>
            <w:vAlign w:val="center"/>
            <w:hideMark/>
          </w:tcPr>
          <w:p w14:paraId="103D45B9"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000000" w:fill="FFFFFF"/>
            <w:vAlign w:val="center"/>
            <w:hideMark/>
          </w:tcPr>
          <w:p w14:paraId="19A89583" w14:textId="77777777" w:rsidR="001C32C8" w:rsidRPr="00B0658A" w:rsidRDefault="001C32C8" w:rsidP="00004A41">
            <w:pPr>
              <w:spacing w:after="0" w:line="240" w:lineRule="auto"/>
              <w:jc w:val="center"/>
              <w:rPr>
                <w:rFonts w:ascii="Times New Roman" w:hAnsi="Times New Roman"/>
                <w:sz w:val="18"/>
                <w:szCs w:val="18"/>
              </w:rPr>
            </w:pPr>
          </w:p>
        </w:tc>
        <w:tc>
          <w:tcPr>
            <w:tcW w:w="780" w:type="dxa"/>
            <w:shd w:val="clear" w:color="000000" w:fill="FFFFFF"/>
            <w:vAlign w:val="center"/>
          </w:tcPr>
          <w:p w14:paraId="737C8B1E"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000000" w:fill="FFFFFF"/>
            <w:vAlign w:val="center"/>
          </w:tcPr>
          <w:p w14:paraId="0BF1F783" w14:textId="77777777" w:rsidR="001C32C8" w:rsidRPr="00B0658A" w:rsidRDefault="001C32C8" w:rsidP="00004A41">
            <w:pPr>
              <w:spacing w:after="0" w:line="240" w:lineRule="auto"/>
              <w:jc w:val="center"/>
              <w:rPr>
                <w:rFonts w:ascii="Times New Roman" w:hAnsi="Times New Roman"/>
                <w:sz w:val="18"/>
                <w:szCs w:val="18"/>
              </w:rPr>
            </w:pPr>
          </w:p>
        </w:tc>
        <w:tc>
          <w:tcPr>
            <w:tcW w:w="780" w:type="dxa"/>
            <w:shd w:val="clear" w:color="000000" w:fill="FFFFFF"/>
            <w:vAlign w:val="center"/>
          </w:tcPr>
          <w:p w14:paraId="5CB10892" w14:textId="77777777" w:rsidR="001C32C8" w:rsidRPr="00B0658A" w:rsidRDefault="001C32C8" w:rsidP="00004A41">
            <w:pPr>
              <w:spacing w:after="0" w:line="240" w:lineRule="auto"/>
              <w:jc w:val="center"/>
              <w:rPr>
                <w:rFonts w:ascii="Times New Roman" w:hAnsi="Times New Roman"/>
                <w:sz w:val="18"/>
                <w:szCs w:val="18"/>
              </w:rPr>
            </w:pPr>
          </w:p>
        </w:tc>
        <w:tc>
          <w:tcPr>
            <w:tcW w:w="1475" w:type="dxa"/>
            <w:shd w:val="clear" w:color="000000" w:fill="FFFFFF"/>
            <w:vAlign w:val="center"/>
          </w:tcPr>
          <w:p w14:paraId="0EA2BAC9" w14:textId="77777777" w:rsidR="001C32C8" w:rsidRPr="00B0658A" w:rsidRDefault="001C32C8" w:rsidP="00004A41">
            <w:pPr>
              <w:spacing w:after="0" w:line="240" w:lineRule="auto"/>
              <w:jc w:val="center"/>
              <w:rPr>
                <w:rFonts w:ascii="Times New Roman" w:hAnsi="Times New Roman"/>
                <w:sz w:val="18"/>
                <w:szCs w:val="18"/>
              </w:rPr>
            </w:pPr>
          </w:p>
        </w:tc>
      </w:tr>
      <w:tr w:rsidR="00F52FED" w:rsidRPr="00B0658A" w14:paraId="5960ECB0" w14:textId="77777777" w:rsidTr="00E66BA4">
        <w:trPr>
          <w:trHeight w:val="20"/>
        </w:trPr>
        <w:tc>
          <w:tcPr>
            <w:tcW w:w="846" w:type="dxa"/>
            <w:shd w:val="clear" w:color="auto" w:fill="auto"/>
            <w:vAlign w:val="center"/>
          </w:tcPr>
          <w:p w14:paraId="3A637FA8" w14:textId="77777777" w:rsidR="001C32C8" w:rsidRPr="00B0658A" w:rsidRDefault="001C32C8" w:rsidP="00004A41">
            <w:pPr>
              <w:spacing w:after="0" w:line="240" w:lineRule="auto"/>
              <w:jc w:val="center"/>
              <w:rPr>
                <w:rFonts w:ascii="Times New Roman" w:hAnsi="Times New Roman"/>
                <w:sz w:val="18"/>
                <w:szCs w:val="18"/>
              </w:rPr>
            </w:pPr>
            <w:r w:rsidRPr="00B0658A">
              <w:rPr>
                <w:rFonts w:ascii="Times New Roman" w:hAnsi="Times New Roman"/>
                <w:sz w:val="18"/>
                <w:szCs w:val="18"/>
              </w:rPr>
              <w:t>6.1</w:t>
            </w:r>
          </w:p>
        </w:tc>
        <w:tc>
          <w:tcPr>
            <w:tcW w:w="1559" w:type="dxa"/>
            <w:shd w:val="clear" w:color="auto" w:fill="auto"/>
            <w:vAlign w:val="center"/>
            <w:hideMark/>
          </w:tcPr>
          <w:p w14:paraId="162522AE" w14:textId="77777777" w:rsidR="001C32C8" w:rsidRPr="00B0658A" w:rsidRDefault="001C32C8" w:rsidP="00004A41">
            <w:pPr>
              <w:spacing w:after="0" w:line="240" w:lineRule="auto"/>
              <w:rPr>
                <w:rFonts w:ascii="Times New Roman" w:hAnsi="Times New Roman"/>
                <w:sz w:val="18"/>
                <w:szCs w:val="18"/>
              </w:rPr>
            </w:pPr>
            <w:r w:rsidRPr="00B0658A">
              <w:rPr>
                <w:rFonts w:ascii="Times New Roman" w:hAnsi="Times New Roman"/>
                <w:sz w:val="18"/>
                <w:szCs w:val="18"/>
              </w:rPr>
              <w:t>Офисные приложения/ Файловые менеджеры</w:t>
            </w:r>
          </w:p>
        </w:tc>
        <w:tc>
          <w:tcPr>
            <w:tcW w:w="1418" w:type="dxa"/>
            <w:shd w:val="clear" w:color="000000" w:fill="FFFFFF"/>
            <w:hideMark/>
          </w:tcPr>
          <w:p w14:paraId="29B02E1A" w14:textId="77777777" w:rsidR="001C32C8" w:rsidRPr="00B0658A" w:rsidRDefault="001C32C8" w:rsidP="00004A41">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44" w:type="dxa"/>
            <w:shd w:val="clear" w:color="000000" w:fill="FFFFFF"/>
            <w:vAlign w:val="center"/>
          </w:tcPr>
          <w:p w14:paraId="66E55A75"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000000" w:fill="FFFFFF"/>
            <w:vAlign w:val="center"/>
            <w:hideMark/>
          </w:tcPr>
          <w:p w14:paraId="07CC317E"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000000" w:fill="FFFFFF"/>
            <w:vAlign w:val="center"/>
            <w:hideMark/>
          </w:tcPr>
          <w:p w14:paraId="3F937355"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000000" w:fill="FFFFFF"/>
            <w:vAlign w:val="center"/>
            <w:hideMark/>
          </w:tcPr>
          <w:p w14:paraId="16BC6570" w14:textId="77777777" w:rsidR="001C32C8" w:rsidRPr="00B0658A" w:rsidRDefault="001C32C8" w:rsidP="00004A41">
            <w:pPr>
              <w:spacing w:after="0" w:line="240" w:lineRule="auto"/>
              <w:jc w:val="center"/>
              <w:rPr>
                <w:rFonts w:ascii="Times New Roman" w:hAnsi="Times New Roman"/>
                <w:sz w:val="18"/>
                <w:szCs w:val="18"/>
              </w:rPr>
            </w:pPr>
          </w:p>
        </w:tc>
        <w:tc>
          <w:tcPr>
            <w:tcW w:w="993" w:type="dxa"/>
            <w:shd w:val="clear" w:color="000000" w:fill="FFFFFF"/>
            <w:vAlign w:val="center"/>
          </w:tcPr>
          <w:p w14:paraId="548C4032"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000000" w:fill="FFFFFF"/>
            <w:vAlign w:val="center"/>
            <w:hideMark/>
          </w:tcPr>
          <w:p w14:paraId="23879515" w14:textId="77777777" w:rsidR="001C32C8" w:rsidRPr="00B0658A" w:rsidRDefault="001C32C8" w:rsidP="00004A41">
            <w:pPr>
              <w:spacing w:after="0" w:line="240" w:lineRule="auto"/>
              <w:jc w:val="center"/>
              <w:rPr>
                <w:rFonts w:ascii="Times New Roman" w:hAnsi="Times New Roman"/>
                <w:sz w:val="18"/>
                <w:szCs w:val="18"/>
              </w:rPr>
            </w:pPr>
          </w:p>
        </w:tc>
        <w:tc>
          <w:tcPr>
            <w:tcW w:w="780" w:type="dxa"/>
            <w:shd w:val="clear" w:color="000000" w:fill="FFFFFF"/>
            <w:vAlign w:val="center"/>
            <w:hideMark/>
          </w:tcPr>
          <w:p w14:paraId="236F1515"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000000" w:fill="FFFFFF"/>
            <w:vAlign w:val="center"/>
            <w:hideMark/>
          </w:tcPr>
          <w:p w14:paraId="778880EC" w14:textId="77777777" w:rsidR="001C32C8" w:rsidRPr="00B0658A" w:rsidRDefault="001C32C8" w:rsidP="00004A41">
            <w:pPr>
              <w:spacing w:after="0" w:line="240" w:lineRule="auto"/>
              <w:jc w:val="center"/>
              <w:rPr>
                <w:rFonts w:ascii="Times New Roman" w:hAnsi="Times New Roman"/>
                <w:sz w:val="18"/>
                <w:szCs w:val="18"/>
              </w:rPr>
            </w:pPr>
          </w:p>
        </w:tc>
        <w:tc>
          <w:tcPr>
            <w:tcW w:w="780" w:type="dxa"/>
            <w:shd w:val="clear" w:color="000000" w:fill="FFFFFF"/>
            <w:vAlign w:val="center"/>
          </w:tcPr>
          <w:p w14:paraId="4AC6C3B6"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000000" w:fill="FFFFFF"/>
            <w:vAlign w:val="center"/>
          </w:tcPr>
          <w:p w14:paraId="464EFF33" w14:textId="77777777" w:rsidR="001C32C8" w:rsidRPr="00B0658A" w:rsidRDefault="001C32C8" w:rsidP="00004A41">
            <w:pPr>
              <w:spacing w:after="0" w:line="240" w:lineRule="auto"/>
              <w:jc w:val="center"/>
              <w:rPr>
                <w:rFonts w:ascii="Times New Roman" w:hAnsi="Times New Roman"/>
                <w:sz w:val="18"/>
                <w:szCs w:val="18"/>
              </w:rPr>
            </w:pPr>
          </w:p>
        </w:tc>
        <w:tc>
          <w:tcPr>
            <w:tcW w:w="780" w:type="dxa"/>
            <w:shd w:val="clear" w:color="000000" w:fill="FFFFFF"/>
            <w:vAlign w:val="center"/>
          </w:tcPr>
          <w:p w14:paraId="5FA11873" w14:textId="77777777" w:rsidR="001C32C8" w:rsidRPr="00B0658A" w:rsidRDefault="001C32C8" w:rsidP="00004A41">
            <w:pPr>
              <w:spacing w:after="0" w:line="240" w:lineRule="auto"/>
              <w:jc w:val="center"/>
              <w:rPr>
                <w:rFonts w:ascii="Times New Roman" w:hAnsi="Times New Roman"/>
                <w:sz w:val="18"/>
                <w:szCs w:val="18"/>
              </w:rPr>
            </w:pPr>
          </w:p>
        </w:tc>
        <w:tc>
          <w:tcPr>
            <w:tcW w:w="1475" w:type="dxa"/>
            <w:shd w:val="clear" w:color="000000" w:fill="FFFFFF"/>
            <w:vAlign w:val="center"/>
          </w:tcPr>
          <w:p w14:paraId="4233D436" w14:textId="77777777" w:rsidR="001C32C8" w:rsidRPr="00B0658A" w:rsidRDefault="001C32C8" w:rsidP="00004A41">
            <w:pPr>
              <w:spacing w:after="0" w:line="240" w:lineRule="auto"/>
              <w:jc w:val="center"/>
              <w:rPr>
                <w:rFonts w:ascii="Times New Roman" w:hAnsi="Times New Roman"/>
                <w:sz w:val="18"/>
                <w:szCs w:val="18"/>
              </w:rPr>
            </w:pPr>
          </w:p>
        </w:tc>
      </w:tr>
      <w:tr w:rsidR="00F52FED" w:rsidRPr="00B0658A" w14:paraId="53EEA455" w14:textId="77777777" w:rsidTr="00E66BA4">
        <w:trPr>
          <w:trHeight w:val="20"/>
        </w:trPr>
        <w:tc>
          <w:tcPr>
            <w:tcW w:w="846" w:type="dxa"/>
            <w:shd w:val="clear" w:color="000000" w:fill="FFFFFF"/>
            <w:vAlign w:val="center"/>
          </w:tcPr>
          <w:p w14:paraId="76650A4E" w14:textId="77777777" w:rsidR="001C32C8" w:rsidRPr="00B0658A" w:rsidRDefault="001C32C8" w:rsidP="00004A41">
            <w:pPr>
              <w:spacing w:after="0" w:line="240" w:lineRule="auto"/>
              <w:jc w:val="center"/>
              <w:rPr>
                <w:rFonts w:ascii="Times New Roman" w:hAnsi="Times New Roman"/>
                <w:sz w:val="18"/>
                <w:szCs w:val="18"/>
              </w:rPr>
            </w:pPr>
            <w:r w:rsidRPr="00B0658A">
              <w:rPr>
                <w:rFonts w:ascii="Times New Roman" w:hAnsi="Times New Roman"/>
                <w:sz w:val="18"/>
                <w:szCs w:val="18"/>
              </w:rPr>
              <w:t>6.2</w:t>
            </w:r>
          </w:p>
        </w:tc>
        <w:tc>
          <w:tcPr>
            <w:tcW w:w="1559" w:type="dxa"/>
            <w:shd w:val="clear" w:color="auto" w:fill="auto"/>
            <w:vAlign w:val="center"/>
            <w:hideMark/>
          </w:tcPr>
          <w:p w14:paraId="1D494188" w14:textId="77777777" w:rsidR="001C32C8" w:rsidRPr="00B0658A" w:rsidRDefault="001C32C8" w:rsidP="00004A41">
            <w:pPr>
              <w:spacing w:after="0" w:line="240" w:lineRule="auto"/>
              <w:rPr>
                <w:rFonts w:ascii="Times New Roman" w:hAnsi="Times New Roman"/>
                <w:sz w:val="18"/>
                <w:szCs w:val="18"/>
              </w:rPr>
            </w:pPr>
            <w:r w:rsidRPr="00B0658A">
              <w:rPr>
                <w:rFonts w:ascii="Times New Roman" w:hAnsi="Times New Roman"/>
                <w:sz w:val="18"/>
                <w:szCs w:val="18"/>
              </w:rPr>
              <w:t>Офисные приложения/ Коммуникационное программное обеспечение</w:t>
            </w:r>
          </w:p>
        </w:tc>
        <w:tc>
          <w:tcPr>
            <w:tcW w:w="1418" w:type="dxa"/>
            <w:shd w:val="clear" w:color="000000" w:fill="FFFFFF"/>
            <w:hideMark/>
          </w:tcPr>
          <w:p w14:paraId="1E63C72A" w14:textId="77777777" w:rsidR="001C32C8" w:rsidRPr="00B0658A" w:rsidRDefault="001C32C8" w:rsidP="00004A41">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44" w:type="dxa"/>
            <w:shd w:val="clear" w:color="000000" w:fill="FFFFFF"/>
            <w:vAlign w:val="center"/>
          </w:tcPr>
          <w:p w14:paraId="74DC580B"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000000" w:fill="FFFFFF"/>
            <w:vAlign w:val="center"/>
            <w:hideMark/>
          </w:tcPr>
          <w:p w14:paraId="442A8A44"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000000" w:fill="FFFFFF"/>
            <w:vAlign w:val="center"/>
            <w:hideMark/>
          </w:tcPr>
          <w:p w14:paraId="2F073EAD"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000000" w:fill="FFFFFF"/>
            <w:vAlign w:val="center"/>
            <w:hideMark/>
          </w:tcPr>
          <w:p w14:paraId="43FC42DF" w14:textId="77777777" w:rsidR="001C32C8" w:rsidRPr="00B0658A" w:rsidRDefault="001C32C8" w:rsidP="00004A41">
            <w:pPr>
              <w:spacing w:after="0" w:line="240" w:lineRule="auto"/>
              <w:jc w:val="center"/>
              <w:rPr>
                <w:rFonts w:ascii="Times New Roman" w:hAnsi="Times New Roman"/>
                <w:sz w:val="18"/>
                <w:szCs w:val="18"/>
              </w:rPr>
            </w:pPr>
          </w:p>
        </w:tc>
        <w:tc>
          <w:tcPr>
            <w:tcW w:w="993" w:type="dxa"/>
            <w:shd w:val="clear" w:color="000000" w:fill="FFFFFF"/>
            <w:vAlign w:val="center"/>
          </w:tcPr>
          <w:p w14:paraId="3F9E3E8D"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000000" w:fill="FFFFFF"/>
            <w:vAlign w:val="center"/>
            <w:hideMark/>
          </w:tcPr>
          <w:p w14:paraId="34D28363" w14:textId="77777777" w:rsidR="001C32C8" w:rsidRPr="00B0658A" w:rsidRDefault="001C32C8" w:rsidP="00004A41">
            <w:pPr>
              <w:spacing w:after="0" w:line="240" w:lineRule="auto"/>
              <w:jc w:val="center"/>
              <w:rPr>
                <w:rFonts w:ascii="Times New Roman" w:hAnsi="Times New Roman"/>
                <w:sz w:val="18"/>
                <w:szCs w:val="18"/>
              </w:rPr>
            </w:pPr>
          </w:p>
        </w:tc>
        <w:tc>
          <w:tcPr>
            <w:tcW w:w="780" w:type="dxa"/>
            <w:shd w:val="clear" w:color="000000" w:fill="FFFFFF"/>
            <w:vAlign w:val="center"/>
            <w:hideMark/>
          </w:tcPr>
          <w:p w14:paraId="0B07307B"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000000" w:fill="FFFFFF"/>
            <w:vAlign w:val="center"/>
            <w:hideMark/>
          </w:tcPr>
          <w:p w14:paraId="2DDB850C" w14:textId="77777777" w:rsidR="001C32C8" w:rsidRPr="00B0658A" w:rsidRDefault="001C32C8" w:rsidP="00004A41">
            <w:pPr>
              <w:spacing w:after="0" w:line="240" w:lineRule="auto"/>
              <w:jc w:val="center"/>
              <w:rPr>
                <w:rFonts w:ascii="Times New Roman" w:hAnsi="Times New Roman"/>
                <w:sz w:val="18"/>
                <w:szCs w:val="18"/>
              </w:rPr>
            </w:pPr>
          </w:p>
        </w:tc>
        <w:tc>
          <w:tcPr>
            <w:tcW w:w="780" w:type="dxa"/>
            <w:shd w:val="clear" w:color="000000" w:fill="FFFFFF"/>
            <w:vAlign w:val="center"/>
          </w:tcPr>
          <w:p w14:paraId="598BF732"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000000" w:fill="FFFFFF"/>
            <w:vAlign w:val="center"/>
          </w:tcPr>
          <w:p w14:paraId="69973132" w14:textId="77777777" w:rsidR="001C32C8" w:rsidRPr="00B0658A" w:rsidRDefault="001C32C8" w:rsidP="00004A41">
            <w:pPr>
              <w:spacing w:after="0" w:line="240" w:lineRule="auto"/>
              <w:jc w:val="center"/>
              <w:rPr>
                <w:rFonts w:ascii="Times New Roman" w:hAnsi="Times New Roman"/>
                <w:sz w:val="18"/>
                <w:szCs w:val="18"/>
              </w:rPr>
            </w:pPr>
          </w:p>
        </w:tc>
        <w:tc>
          <w:tcPr>
            <w:tcW w:w="780" w:type="dxa"/>
            <w:shd w:val="clear" w:color="000000" w:fill="FFFFFF"/>
            <w:vAlign w:val="center"/>
          </w:tcPr>
          <w:p w14:paraId="68474AEA" w14:textId="77777777" w:rsidR="001C32C8" w:rsidRPr="00B0658A" w:rsidRDefault="001C32C8" w:rsidP="00004A41">
            <w:pPr>
              <w:spacing w:after="0" w:line="240" w:lineRule="auto"/>
              <w:jc w:val="center"/>
              <w:rPr>
                <w:rFonts w:ascii="Times New Roman" w:hAnsi="Times New Roman"/>
                <w:sz w:val="18"/>
                <w:szCs w:val="18"/>
              </w:rPr>
            </w:pPr>
          </w:p>
        </w:tc>
        <w:tc>
          <w:tcPr>
            <w:tcW w:w="1475" w:type="dxa"/>
            <w:shd w:val="clear" w:color="000000" w:fill="FFFFFF"/>
            <w:vAlign w:val="center"/>
          </w:tcPr>
          <w:p w14:paraId="1211E799" w14:textId="77777777" w:rsidR="001C32C8" w:rsidRPr="00B0658A" w:rsidRDefault="001C32C8" w:rsidP="00004A41">
            <w:pPr>
              <w:spacing w:after="0" w:line="240" w:lineRule="auto"/>
              <w:jc w:val="center"/>
              <w:rPr>
                <w:rFonts w:ascii="Times New Roman" w:hAnsi="Times New Roman"/>
                <w:sz w:val="18"/>
                <w:szCs w:val="18"/>
              </w:rPr>
            </w:pPr>
          </w:p>
        </w:tc>
      </w:tr>
      <w:tr w:rsidR="00F52FED" w:rsidRPr="00B0658A" w14:paraId="170B7E70" w14:textId="77777777" w:rsidTr="00E66BA4">
        <w:trPr>
          <w:trHeight w:val="20"/>
        </w:trPr>
        <w:tc>
          <w:tcPr>
            <w:tcW w:w="846" w:type="dxa"/>
            <w:shd w:val="clear" w:color="000000" w:fill="FFFFFF"/>
            <w:vAlign w:val="center"/>
          </w:tcPr>
          <w:p w14:paraId="05234339" w14:textId="77777777" w:rsidR="001C32C8" w:rsidRPr="00B0658A" w:rsidRDefault="001C32C8" w:rsidP="00004A41">
            <w:pPr>
              <w:spacing w:after="0" w:line="240" w:lineRule="auto"/>
              <w:jc w:val="center"/>
              <w:rPr>
                <w:rFonts w:ascii="Times New Roman" w:hAnsi="Times New Roman"/>
                <w:sz w:val="18"/>
                <w:szCs w:val="18"/>
              </w:rPr>
            </w:pPr>
            <w:r w:rsidRPr="00B0658A">
              <w:rPr>
                <w:rFonts w:ascii="Times New Roman" w:hAnsi="Times New Roman"/>
                <w:sz w:val="18"/>
                <w:szCs w:val="18"/>
              </w:rPr>
              <w:t>6.3</w:t>
            </w:r>
          </w:p>
        </w:tc>
        <w:tc>
          <w:tcPr>
            <w:tcW w:w="1559" w:type="dxa"/>
            <w:shd w:val="clear" w:color="auto" w:fill="auto"/>
            <w:vAlign w:val="center"/>
            <w:hideMark/>
          </w:tcPr>
          <w:p w14:paraId="34D69C3A" w14:textId="77777777" w:rsidR="001C32C8" w:rsidRPr="00B0658A" w:rsidRDefault="001C32C8" w:rsidP="00004A41">
            <w:pPr>
              <w:spacing w:after="0" w:line="240" w:lineRule="auto"/>
              <w:rPr>
                <w:rFonts w:ascii="Times New Roman" w:hAnsi="Times New Roman"/>
                <w:sz w:val="18"/>
                <w:szCs w:val="18"/>
              </w:rPr>
            </w:pPr>
            <w:r w:rsidRPr="00B0658A">
              <w:rPr>
                <w:rFonts w:ascii="Times New Roman" w:hAnsi="Times New Roman"/>
                <w:sz w:val="18"/>
                <w:szCs w:val="18"/>
              </w:rPr>
              <w:t>Офисные приложения/ Офисные пакеты</w:t>
            </w:r>
          </w:p>
        </w:tc>
        <w:tc>
          <w:tcPr>
            <w:tcW w:w="1418" w:type="dxa"/>
            <w:shd w:val="clear" w:color="000000" w:fill="FFFFFF"/>
            <w:hideMark/>
          </w:tcPr>
          <w:p w14:paraId="28343197" w14:textId="77777777" w:rsidR="001C32C8" w:rsidRPr="00B0658A" w:rsidRDefault="001C32C8" w:rsidP="00004A41">
            <w:pPr>
              <w:spacing w:after="0" w:line="240" w:lineRule="auto"/>
              <w:rPr>
                <w:rFonts w:ascii="Times New Roman" w:hAnsi="Times New Roman"/>
                <w:sz w:val="18"/>
                <w:szCs w:val="18"/>
              </w:rPr>
            </w:pPr>
            <w:r w:rsidRPr="00B0658A">
              <w:rPr>
                <w:rFonts w:ascii="Times New Roman" w:hAnsi="Times New Roman"/>
                <w:sz w:val="18"/>
                <w:szCs w:val="18"/>
              </w:rPr>
              <w:t xml:space="preserve">Доля используемого российского ПО </w:t>
            </w:r>
            <w:r w:rsidRPr="00B0658A">
              <w:rPr>
                <w:rFonts w:ascii="Times New Roman" w:hAnsi="Times New Roman"/>
                <w:sz w:val="18"/>
                <w:szCs w:val="18"/>
              </w:rPr>
              <w:lastRenderedPageBreak/>
              <w:t>в общем объёме, используемого ПО, %</w:t>
            </w:r>
          </w:p>
        </w:tc>
        <w:tc>
          <w:tcPr>
            <w:tcW w:w="744" w:type="dxa"/>
            <w:shd w:val="clear" w:color="000000" w:fill="FFFFFF"/>
            <w:vAlign w:val="center"/>
          </w:tcPr>
          <w:p w14:paraId="755F437F"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000000" w:fill="FFFFFF"/>
            <w:vAlign w:val="center"/>
            <w:hideMark/>
          </w:tcPr>
          <w:p w14:paraId="62AD5094"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000000" w:fill="FFFFFF"/>
            <w:vAlign w:val="center"/>
            <w:hideMark/>
          </w:tcPr>
          <w:p w14:paraId="2DF917E8"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000000" w:fill="FFFFFF"/>
            <w:vAlign w:val="center"/>
            <w:hideMark/>
          </w:tcPr>
          <w:p w14:paraId="4816E677" w14:textId="77777777" w:rsidR="001C32C8" w:rsidRPr="00B0658A" w:rsidRDefault="001C32C8" w:rsidP="00004A41">
            <w:pPr>
              <w:spacing w:after="0" w:line="240" w:lineRule="auto"/>
              <w:jc w:val="center"/>
              <w:rPr>
                <w:rFonts w:ascii="Times New Roman" w:hAnsi="Times New Roman"/>
                <w:sz w:val="18"/>
                <w:szCs w:val="18"/>
              </w:rPr>
            </w:pPr>
          </w:p>
        </w:tc>
        <w:tc>
          <w:tcPr>
            <w:tcW w:w="993" w:type="dxa"/>
            <w:shd w:val="clear" w:color="000000" w:fill="FFFFFF"/>
            <w:vAlign w:val="center"/>
          </w:tcPr>
          <w:p w14:paraId="31942C23"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000000" w:fill="FFFFFF"/>
            <w:vAlign w:val="center"/>
            <w:hideMark/>
          </w:tcPr>
          <w:p w14:paraId="1C6E0A71" w14:textId="77777777" w:rsidR="001C32C8" w:rsidRPr="00B0658A" w:rsidRDefault="001C32C8" w:rsidP="00004A41">
            <w:pPr>
              <w:spacing w:after="0" w:line="240" w:lineRule="auto"/>
              <w:jc w:val="center"/>
              <w:rPr>
                <w:rFonts w:ascii="Times New Roman" w:hAnsi="Times New Roman"/>
                <w:sz w:val="18"/>
                <w:szCs w:val="18"/>
              </w:rPr>
            </w:pPr>
          </w:p>
        </w:tc>
        <w:tc>
          <w:tcPr>
            <w:tcW w:w="780" w:type="dxa"/>
            <w:shd w:val="clear" w:color="000000" w:fill="FFFFFF"/>
            <w:vAlign w:val="center"/>
            <w:hideMark/>
          </w:tcPr>
          <w:p w14:paraId="44934EB8"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000000" w:fill="FFFFFF"/>
            <w:vAlign w:val="center"/>
            <w:hideMark/>
          </w:tcPr>
          <w:p w14:paraId="623FAF20" w14:textId="77777777" w:rsidR="001C32C8" w:rsidRPr="00B0658A" w:rsidRDefault="001C32C8" w:rsidP="00004A41">
            <w:pPr>
              <w:spacing w:after="0" w:line="240" w:lineRule="auto"/>
              <w:jc w:val="center"/>
              <w:rPr>
                <w:rFonts w:ascii="Times New Roman" w:hAnsi="Times New Roman"/>
                <w:sz w:val="18"/>
                <w:szCs w:val="18"/>
              </w:rPr>
            </w:pPr>
          </w:p>
        </w:tc>
        <w:tc>
          <w:tcPr>
            <w:tcW w:w="780" w:type="dxa"/>
            <w:shd w:val="clear" w:color="000000" w:fill="FFFFFF"/>
            <w:vAlign w:val="center"/>
          </w:tcPr>
          <w:p w14:paraId="402E4700"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000000" w:fill="FFFFFF"/>
            <w:vAlign w:val="center"/>
          </w:tcPr>
          <w:p w14:paraId="4A66A5D0" w14:textId="77777777" w:rsidR="001C32C8" w:rsidRPr="00B0658A" w:rsidRDefault="001C32C8" w:rsidP="00004A41">
            <w:pPr>
              <w:spacing w:after="0" w:line="240" w:lineRule="auto"/>
              <w:jc w:val="center"/>
              <w:rPr>
                <w:rFonts w:ascii="Times New Roman" w:hAnsi="Times New Roman"/>
                <w:sz w:val="18"/>
                <w:szCs w:val="18"/>
              </w:rPr>
            </w:pPr>
          </w:p>
        </w:tc>
        <w:tc>
          <w:tcPr>
            <w:tcW w:w="780" w:type="dxa"/>
            <w:shd w:val="clear" w:color="000000" w:fill="FFFFFF"/>
            <w:vAlign w:val="center"/>
          </w:tcPr>
          <w:p w14:paraId="5EF3FC18" w14:textId="77777777" w:rsidR="001C32C8" w:rsidRPr="00B0658A" w:rsidRDefault="001C32C8" w:rsidP="00004A41">
            <w:pPr>
              <w:spacing w:after="0" w:line="240" w:lineRule="auto"/>
              <w:jc w:val="center"/>
              <w:rPr>
                <w:rFonts w:ascii="Times New Roman" w:hAnsi="Times New Roman"/>
                <w:sz w:val="18"/>
                <w:szCs w:val="18"/>
              </w:rPr>
            </w:pPr>
          </w:p>
        </w:tc>
        <w:tc>
          <w:tcPr>
            <w:tcW w:w="1475" w:type="dxa"/>
            <w:shd w:val="clear" w:color="000000" w:fill="FFFFFF"/>
            <w:vAlign w:val="center"/>
          </w:tcPr>
          <w:p w14:paraId="511B1543" w14:textId="77777777" w:rsidR="001C32C8" w:rsidRPr="00B0658A" w:rsidRDefault="001C32C8" w:rsidP="00004A41">
            <w:pPr>
              <w:spacing w:after="0" w:line="240" w:lineRule="auto"/>
              <w:jc w:val="center"/>
              <w:rPr>
                <w:rFonts w:ascii="Times New Roman" w:hAnsi="Times New Roman"/>
                <w:sz w:val="18"/>
                <w:szCs w:val="18"/>
              </w:rPr>
            </w:pPr>
          </w:p>
        </w:tc>
      </w:tr>
      <w:tr w:rsidR="00F52FED" w:rsidRPr="00B0658A" w14:paraId="67F4A9BA" w14:textId="77777777" w:rsidTr="00E66BA4">
        <w:trPr>
          <w:trHeight w:val="20"/>
        </w:trPr>
        <w:tc>
          <w:tcPr>
            <w:tcW w:w="846" w:type="dxa"/>
            <w:shd w:val="clear" w:color="000000" w:fill="FFFFFF"/>
            <w:vAlign w:val="center"/>
          </w:tcPr>
          <w:p w14:paraId="2EFE5306" w14:textId="77777777" w:rsidR="001C32C8" w:rsidRPr="00B0658A" w:rsidRDefault="001C32C8" w:rsidP="00004A41">
            <w:pPr>
              <w:spacing w:after="0" w:line="240" w:lineRule="auto"/>
              <w:jc w:val="center"/>
              <w:rPr>
                <w:rFonts w:ascii="Times New Roman" w:hAnsi="Times New Roman"/>
                <w:sz w:val="18"/>
                <w:szCs w:val="18"/>
              </w:rPr>
            </w:pPr>
            <w:r w:rsidRPr="00B0658A">
              <w:rPr>
                <w:rFonts w:ascii="Times New Roman" w:hAnsi="Times New Roman"/>
                <w:sz w:val="18"/>
                <w:szCs w:val="18"/>
              </w:rPr>
              <w:t>6.4</w:t>
            </w:r>
          </w:p>
        </w:tc>
        <w:tc>
          <w:tcPr>
            <w:tcW w:w="1559" w:type="dxa"/>
            <w:shd w:val="clear" w:color="auto" w:fill="auto"/>
            <w:vAlign w:val="center"/>
            <w:hideMark/>
          </w:tcPr>
          <w:p w14:paraId="6DC3D9D4" w14:textId="77777777" w:rsidR="001C32C8" w:rsidRPr="00B0658A" w:rsidRDefault="001C32C8" w:rsidP="00004A41">
            <w:pPr>
              <w:spacing w:after="0" w:line="240" w:lineRule="auto"/>
              <w:rPr>
                <w:rFonts w:ascii="Times New Roman" w:hAnsi="Times New Roman"/>
                <w:sz w:val="18"/>
                <w:szCs w:val="18"/>
              </w:rPr>
            </w:pPr>
            <w:r w:rsidRPr="00B0658A">
              <w:rPr>
                <w:rFonts w:ascii="Times New Roman" w:hAnsi="Times New Roman"/>
                <w:sz w:val="18"/>
                <w:szCs w:val="18"/>
              </w:rPr>
              <w:t>Офисные приложения/ Почтовые приложения</w:t>
            </w:r>
          </w:p>
        </w:tc>
        <w:tc>
          <w:tcPr>
            <w:tcW w:w="1418" w:type="dxa"/>
            <w:shd w:val="clear" w:color="000000" w:fill="FFFFFF"/>
            <w:hideMark/>
          </w:tcPr>
          <w:p w14:paraId="0D889341" w14:textId="77777777" w:rsidR="001C32C8" w:rsidRPr="00B0658A" w:rsidRDefault="001C32C8" w:rsidP="00004A41">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44" w:type="dxa"/>
            <w:shd w:val="clear" w:color="000000" w:fill="FFFFFF"/>
            <w:vAlign w:val="center"/>
          </w:tcPr>
          <w:p w14:paraId="4B85D431"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000000" w:fill="FFFFFF"/>
            <w:vAlign w:val="center"/>
            <w:hideMark/>
          </w:tcPr>
          <w:p w14:paraId="682A42C0"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000000" w:fill="FFFFFF"/>
            <w:vAlign w:val="center"/>
            <w:hideMark/>
          </w:tcPr>
          <w:p w14:paraId="384FAF9E"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000000" w:fill="FFFFFF"/>
            <w:vAlign w:val="center"/>
            <w:hideMark/>
          </w:tcPr>
          <w:p w14:paraId="64112181" w14:textId="77777777" w:rsidR="001C32C8" w:rsidRPr="00B0658A" w:rsidRDefault="001C32C8" w:rsidP="00004A41">
            <w:pPr>
              <w:spacing w:after="0" w:line="240" w:lineRule="auto"/>
              <w:jc w:val="center"/>
              <w:rPr>
                <w:rFonts w:ascii="Times New Roman" w:hAnsi="Times New Roman"/>
                <w:sz w:val="18"/>
                <w:szCs w:val="18"/>
              </w:rPr>
            </w:pPr>
          </w:p>
        </w:tc>
        <w:tc>
          <w:tcPr>
            <w:tcW w:w="993" w:type="dxa"/>
            <w:shd w:val="clear" w:color="000000" w:fill="FFFFFF"/>
            <w:vAlign w:val="center"/>
          </w:tcPr>
          <w:p w14:paraId="003F3B4B"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000000" w:fill="FFFFFF"/>
            <w:vAlign w:val="center"/>
            <w:hideMark/>
          </w:tcPr>
          <w:p w14:paraId="14D24F2A" w14:textId="77777777" w:rsidR="001C32C8" w:rsidRPr="00B0658A" w:rsidRDefault="001C32C8" w:rsidP="00004A41">
            <w:pPr>
              <w:spacing w:after="0" w:line="240" w:lineRule="auto"/>
              <w:jc w:val="center"/>
              <w:rPr>
                <w:rFonts w:ascii="Times New Roman" w:hAnsi="Times New Roman"/>
                <w:sz w:val="18"/>
                <w:szCs w:val="18"/>
              </w:rPr>
            </w:pPr>
          </w:p>
        </w:tc>
        <w:tc>
          <w:tcPr>
            <w:tcW w:w="780" w:type="dxa"/>
            <w:shd w:val="clear" w:color="000000" w:fill="FFFFFF"/>
            <w:vAlign w:val="center"/>
            <w:hideMark/>
          </w:tcPr>
          <w:p w14:paraId="6333CA76"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000000" w:fill="FFFFFF"/>
            <w:vAlign w:val="center"/>
            <w:hideMark/>
          </w:tcPr>
          <w:p w14:paraId="54EAEEA8" w14:textId="77777777" w:rsidR="001C32C8" w:rsidRPr="00B0658A" w:rsidRDefault="001C32C8" w:rsidP="00004A41">
            <w:pPr>
              <w:spacing w:after="0" w:line="240" w:lineRule="auto"/>
              <w:jc w:val="center"/>
              <w:rPr>
                <w:rFonts w:ascii="Times New Roman" w:hAnsi="Times New Roman"/>
                <w:sz w:val="18"/>
                <w:szCs w:val="18"/>
              </w:rPr>
            </w:pPr>
          </w:p>
        </w:tc>
        <w:tc>
          <w:tcPr>
            <w:tcW w:w="780" w:type="dxa"/>
            <w:shd w:val="clear" w:color="000000" w:fill="FFFFFF"/>
            <w:vAlign w:val="center"/>
          </w:tcPr>
          <w:p w14:paraId="53D2949F"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000000" w:fill="FFFFFF"/>
            <w:vAlign w:val="center"/>
          </w:tcPr>
          <w:p w14:paraId="509C7FB0" w14:textId="77777777" w:rsidR="001C32C8" w:rsidRPr="00B0658A" w:rsidRDefault="001C32C8" w:rsidP="00004A41">
            <w:pPr>
              <w:spacing w:after="0" w:line="240" w:lineRule="auto"/>
              <w:jc w:val="center"/>
              <w:rPr>
                <w:rFonts w:ascii="Times New Roman" w:hAnsi="Times New Roman"/>
                <w:sz w:val="18"/>
                <w:szCs w:val="18"/>
              </w:rPr>
            </w:pPr>
          </w:p>
        </w:tc>
        <w:tc>
          <w:tcPr>
            <w:tcW w:w="780" w:type="dxa"/>
            <w:shd w:val="clear" w:color="000000" w:fill="FFFFFF"/>
            <w:vAlign w:val="center"/>
          </w:tcPr>
          <w:p w14:paraId="1EDB5A4E" w14:textId="77777777" w:rsidR="001C32C8" w:rsidRPr="00B0658A" w:rsidRDefault="001C32C8" w:rsidP="00004A41">
            <w:pPr>
              <w:spacing w:after="0" w:line="240" w:lineRule="auto"/>
              <w:jc w:val="center"/>
              <w:rPr>
                <w:rFonts w:ascii="Times New Roman" w:hAnsi="Times New Roman"/>
                <w:sz w:val="18"/>
                <w:szCs w:val="18"/>
              </w:rPr>
            </w:pPr>
          </w:p>
        </w:tc>
        <w:tc>
          <w:tcPr>
            <w:tcW w:w="1475" w:type="dxa"/>
            <w:shd w:val="clear" w:color="000000" w:fill="FFFFFF"/>
            <w:vAlign w:val="center"/>
          </w:tcPr>
          <w:p w14:paraId="6024343B" w14:textId="77777777" w:rsidR="001C32C8" w:rsidRPr="00B0658A" w:rsidRDefault="001C32C8" w:rsidP="00004A41">
            <w:pPr>
              <w:spacing w:after="0" w:line="240" w:lineRule="auto"/>
              <w:jc w:val="center"/>
              <w:rPr>
                <w:rFonts w:ascii="Times New Roman" w:hAnsi="Times New Roman"/>
                <w:sz w:val="18"/>
                <w:szCs w:val="18"/>
              </w:rPr>
            </w:pPr>
          </w:p>
        </w:tc>
      </w:tr>
      <w:tr w:rsidR="00F52FED" w:rsidRPr="00B0658A" w14:paraId="0AF2FFBE" w14:textId="77777777" w:rsidTr="00E66BA4">
        <w:trPr>
          <w:trHeight w:val="20"/>
        </w:trPr>
        <w:tc>
          <w:tcPr>
            <w:tcW w:w="846" w:type="dxa"/>
            <w:shd w:val="clear" w:color="000000" w:fill="FFFFFF"/>
            <w:vAlign w:val="center"/>
          </w:tcPr>
          <w:p w14:paraId="30202CCC" w14:textId="77777777" w:rsidR="001C32C8" w:rsidRPr="00B0658A" w:rsidRDefault="001C32C8" w:rsidP="00004A41">
            <w:pPr>
              <w:spacing w:after="0" w:line="240" w:lineRule="auto"/>
              <w:jc w:val="center"/>
              <w:rPr>
                <w:rFonts w:ascii="Times New Roman" w:hAnsi="Times New Roman"/>
                <w:sz w:val="18"/>
                <w:szCs w:val="18"/>
              </w:rPr>
            </w:pPr>
            <w:r w:rsidRPr="00B0658A">
              <w:rPr>
                <w:rFonts w:ascii="Times New Roman" w:hAnsi="Times New Roman"/>
                <w:sz w:val="18"/>
                <w:szCs w:val="18"/>
              </w:rPr>
              <w:t>6.5</w:t>
            </w:r>
          </w:p>
        </w:tc>
        <w:tc>
          <w:tcPr>
            <w:tcW w:w="1559" w:type="dxa"/>
            <w:shd w:val="clear" w:color="auto" w:fill="auto"/>
            <w:vAlign w:val="center"/>
            <w:hideMark/>
          </w:tcPr>
          <w:p w14:paraId="5D635AFC" w14:textId="77777777" w:rsidR="001C32C8" w:rsidRPr="00B0658A" w:rsidRDefault="001C32C8" w:rsidP="00004A41">
            <w:pPr>
              <w:spacing w:after="0" w:line="240" w:lineRule="auto"/>
              <w:rPr>
                <w:rFonts w:ascii="Times New Roman" w:hAnsi="Times New Roman"/>
                <w:sz w:val="18"/>
                <w:szCs w:val="18"/>
              </w:rPr>
            </w:pPr>
            <w:r w:rsidRPr="00B0658A">
              <w:rPr>
                <w:rFonts w:ascii="Times New Roman" w:hAnsi="Times New Roman"/>
                <w:sz w:val="18"/>
                <w:szCs w:val="18"/>
              </w:rPr>
              <w:t>Офисные приложения/ Органайзеры</w:t>
            </w:r>
          </w:p>
        </w:tc>
        <w:tc>
          <w:tcPr>
            <w:tcW w:w="1418" w:type="dxa"/>
            <w:shd w:val="clear" w:color="000000" w:fill="FFFFFF"/>
            <w:hideMark/>
          </w:tcPr>
          <w:p w14:paraId="47A65D53" w14:textId="77777777" w:rsidR="001C32C8" w:rsidRPr="00B0658A" w:rsidRDefault="001C32C8" w:rsidP="00004A41">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44" w:type="dxa"/>
            <w:shd w:val="clear" w:color="000000" w:fill="FFFFFF"/>
            <w:vAlign w:val="center"/>
          </w:tcPr>
          <w:p w14:paraId="54570295"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000000" w:fill="FFFFFF"/>
            <w:vAlign w:val="center"/>
            <w:hideMark/>
          </w:tcPr>
          <w:p w14:paraId="290AE845"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000000" w:fill="FFFFFF"/>
            <w:vAlign w:val="center"/>
            <w:hideMark/>
          </w:tcPr>
          <w:p w14:paraId="227D6640"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000000" w:fill="FFFFFF"/>
            <w:vAlign w:val="center"/>
            <w:hideMark/>
          </w:tcPr>
          <w:p w14:paraId="3FC86E28" w14:textId="77777777" w:rsidR="001C32C8" w:rsidRPr="00B0658A" w:rsidRDefault="001C32C8" w:rsidP="00004A41">
            <w:pPr>
              <w:spacing w:after="0" w:line="240" w:lineRule="auto"/>
              <w:jc w:val="center"/>
              <w:rPr>
                <w:rFonts w:ascii="Times New Roman" w:hAnsi="Times New Roman"/>
                <w:sz w:val="18"/>
                <w:szCs w:val="18"/>
              </w:rPr>
            </w:pPr>
          </w:p>
        </w:tc>
        <w:tc>
          <w:tcPr>
            <w:tcW w:w="993" w:type="dxa"/>
            <w:shd w:val="clear" w:color="000000" w:fill="FFFFFF"/>
            <w:vAlign w:val="center"/>
          </w:tcPr>
          <w:p w14:paraId="0736C442"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000000" w:fill="FFFFFF"/>
            <w:vAlign w:val="center"/>
            <w:hideMark/>
          </w:tcPr>
          <w:p w14:paraId="5B13D5A4" w14:textId="77777777" w:rsidR="001C32C8" w:rsidRPr="00B0658A" w:rsidRDefault="001C32C8" w:rsidP="00004A41">
            <w:pPr>
              <w:spacing w:after="0" w:line="240" w:lineRule="auto"/>
              <w:jc w:val="center"/>
              <w:rPr>
                <w:rFonts w:ascii="Times New Roman" w:hAnsi="Times New Roman"/>
                <w:sz w:val="18"/>
                <w:szCs w:val="18"/>
              </w:rPr>
            </w:pPr>
          </w:p>
        </w:tc>
        <w:tc>
          <w:tcPr>
            <w:tcW w:w="780" w:type="dxa"/>
            <w:shd w:val="clear" w:color="000000" w:fill="FFFFFF"/>
            <w:vAlign w:val="center"/>
            <w:hideMark/>
          </w:tcPr>
          <w:p w14:paraId="22F7E13A"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000000" w:fill="FFFFFF"/>
            <w:vAlign w:val="center"/>
            <w:hideMark/>
          </w:tcPr>
          <w:p w14:paraId="1A883016" w14:textId="77777777" w:rsidR="001C32C8" w:rsidRPr="00B0658A" w:rsidRDefault="001C32C8" w:rsidP="00004A41">
            <w:pPr>
              <w:spacing w:after="0" w:line="240" w:lineRule="auto"/>
              <w:jc w:val="center"/>
              <w:rPr>
                <w:rFonts w:ascii="Times New Roman" w:hAnsi="Times New Roman"/>
                <w:sz w:val="18"/>
                <w:szCs w:val="18"/>
              </w:rPr>
            </w:pPr>
          </w:p>
        </w:tc>
        <w:tc>
          <w:tcPr>
            <w:tcW w:w="780" w:type="dxa"/>
            <w:shd w:val="clear" w:color="000000" w:fill="FFFFFF"/>
            <w:vAlign w:val="center"/>
          </w:tcPr>
          <w:p w14:paraId="75A97070"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000000" w:fill="FFFFFF"/>
            <w:vAlign w:val="center"/>
          </w:tcPr>
          <w:p w14:paraId="004B7E97" w14:textId="77777777" w:rsidR="001C32C8" w:rsidRPr="00B0658A" w:rsidRDefault="001C32C8" w:rsidP="00004A41">
            <w:pPr>
              <w:spacing w:after="0" w:line="240" w:lineRule="auto"/>
              <w:jc w:val="center"/>
              <w:rPr>
                <w:rFonts w:ascii="Times New Roman" w:hAnsi="Times New Roman"/>
                <w:sz w:val="18"/>
                <w:szCs w:val="18"/>
              </w:rPr>
            </w:pPr>
          </w:p>
        </w:tc>
        <w:tc>
          <w:tcPr>
            <w:tcW w:w="780" w:type="dxa"/>
            <w:shd w:val="clear" w:color="000000" w:fill="FFFFFF"/>
            <w:vAlign w:val="center"/>
          </w:tcPr>
          <w:p w14:paraId="6B440ABE" w14:textId="77777777" w:rsidR="001C32C8" w:rsidRPr="00B0658A" w:rsidRDefault="001C32C8" w:rsidP="00004A41">
            <w:pPr>
              <w:spacing w:after="0" w:line="240" w:lineRule="auto"/>
              <w:jc w:val="center"/>
              <w:rPr>
                <w:rFonts w:ascii="Times New Roman" w:hAnsi="Times New Roman"/>
                <w:sz w:val="18"/>
                <w:szCs w:val="18"/>
              </w:rPr>
            </w:pPr>
          </w:p>
        </w:tc>
        <w:tc>
          <w:tcPr>
            <w:tcW w:w="1475" w:type="dxa"/>
            <w:shd w:val="clear" w:color="000000" w:fill="FFFFFF"/>
            <w:vAlign w:val="center"/>
          </w:tcPr>
          <w:p w14:paraId="2C5D1B74" w14:textId="77777777" w:rsidR="001C32C8" w:rsidRPr="00B0658A" w:rsidRDefault="001C32C8" w:rsidP="00004A41">
            <w:pPr>
              <w:spacing w:after="0" w:line="240" w:lineRule="auto"/>
              <w:jc w:val="center"/>
              <w:rPr>
                <w:rFonts w:ascii="Times New Roman" w:hAnsi="Times New Roman"/>
                <w:sz w:val="18"/>
                <w:szCs w:val="18"/>
              </w:rPr>
            </w:pPr>
          </w:p>
        </w:tc>
      </w:tr>
      <w:tr w:rsidR="00F52FED" w:rsidRPr="00B0658A" w14:paraId="44CBC2AD" w14:textId="77777777" w:rsidTr="00E66BA4">
        <w:trPr>
          <w:trHeight w:val="20"/>
        </w:trPr>
        <w:tc>
          <w:tcPr>
            <w:tcW w:w="846" w:type="dxa"/>
            <w:shd w:val="clear" w:color="000000" w:fill="FFFFFF"/>
            <w:vAlign w:val="center"/>
          </w:tcPr>
          <w:p w14:paraId="2749E442" w14:textId="77777777" w:rsidR="001C32C8" w:rsidRPr="00B0658A" w:rsidRDefault="001C32C8" w:rsidP="00004A41">
            <w:pPr>
              <w:spacing w:after="0" w:line="240" w:lineRule="auto"/>
              <w:jc w:val="center"/>
              <w:rPr>
                <w:rFonts w:ascii="Times New Roman" w:hAnsi="Times New Roman"/>
                <w:sz w:val="18"/>
                <w:szCs w:val="18"/>
              </w:rPr>
            </w:pPr>
            <w:r w:rsidRPr="00B0658A">
              <w:rPr>
                <w:rFonts w:ascii="Times New Roman" w:hAnsi="Times New Roman"/>
                <w:sz w:val="18"/>
                <w:szCs w:val="18"/>
              </w:rPr>
              <w:t>6.6</w:t>
            </w:r>
          </w:p>
        </w:tc>
        <w:tc>
          <w:tcPr>
            <w:tcW w:w="1559" w:type="dxa"/>
            <w:shd w:val="clear" w:color="auto" w:fill="auto"/>
            <w:vAlign w:val="center"/>
            <w:hideMark/>
          </w:tcPr>
          <w:p w14:paraId="58C66F59" w14:textId="77777777" w:rsidR="001C32C8" w:rsidRPr="00B0658A" w:rsidRDefault="001C32C8" w:rsidP="00004A41">
            <w:pPr>
              <w:spacing w:after="0" w:line="240" w:lineRule="auto"/>
              <w:rPr>
                <w:rFonts w:ascii="Times New Roman" w:hAnsi="Times New Roman"/>
                <w:sz w:val="18"/>
                <w:szCs w:val="18"/>
              </w:rPr>
            </w:pPr>
            <w:r w:rsidRPr="00B0658A">
              <w:rPr>
                <w:rFonts w:ascii="Times New Roman" w:hAnsi="Times New Roman"/>
                <w:sz w:val="18"/>
                <w:szCs w:val="18"/>
              </w:rPr>
              <w:t>Офисные приложения/ Средства просмотра</w:t>
            </w:r>
          </w:p>
        </w:tc>
        <w:tc>
          <w:tcPr>
            <w:tcW w:w="1418" w:type="dxa"/>
            <w:shd w:val="clear" w:color="000000" w:fill="FFFFFF"/>
            <w:hideMark/>
          </w:tcPr>
          <w:p w14:paraId="4FAA8C16" w14:textId="77777777" w:rsidR="001C32C8" w:rsidRPr="00B0658A" w:rsidRDefault="001C32C8" w:rsidP="00004A41">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44" w:type="dxa"/>
            <w:shd w:val="clear" w:color="000000" w:fill="FFFFFF"/>
            <w:vAlign w:val="center"/>
          </w:tcPr>
          <w:p w14:paraId="5CCD1144"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000000" w:fill="FFFFFF"/>
            <w:vAlign w:val="center"/>
            <w:hideMark/>
          </w:tcPr>
          <w:p w14:paraId="421C3F69"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000000" w:fill="FFFFFF"/>
            <w:vAlign w:val="center"/>
            <w:hideMark/>
          </w:tcPr>
          <w:p w14:paraId="50B97397"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000000" w:fill="FFFFFF"/>
            <w:vAlign w:val="center"/>
            <w:hideMark/>
          </w:tcPr>
          <w:p w14:paraId="75943687" w14:textId="77777777" w:rsidR="001C32C8" w:rsidRPr="00B0658A" w:rsidRDefault="001C32C8" w:rsidP="00004A41">
            <w:pPr>
              <w:spacing w:after="0" w:line="240" w:lineRule="auto"/>
              <w:jc w:val="center"/>
              <w:rPr>
                <w:rFonts w:ascii="Times New Roman" w:hAnsi="Times New Roman"/>
                <w:sz w:val="18"/>
                <w:szCs w:val="18"/>
              </w:rPr>
            </w:pPr>
          </w:p>
        </w:tc>
        <w:tc>
          <w:tcPr>
            <w:tcW w:w="993" w:type="dxa"/>
            <w:shd w:val="clear" w:color="000000" w:fill="FFFFFF"/>
            <w:vAlign w:val="center"/>
          </w:tcPr>
          <w:p w14:paraId="51FCCE9B"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000000" w:fill="FFFFFF"/>
            <w:vAlign w:val="center"/>
            <w:hideMark/>
          </w:tcPr>
          <w:p w14:paraId="6A8EE9FF" w14:textId="77777777" w:rsidR="001C32C8" w:rsidRPr="00B0658A" w:rsidRDefault="001C32C8" w:rsidP="00004A41">
            <w:pPr>
              <w:spacing w:after="0" w:line="240" w:lineRule="auto"/>
              <w:jc w:val="center"/>
              <w:rPr>
                <w:rFonts w:ascii="Times New Roman" w:hAnsi="Times New Roman"/>
                <w:sz w:val="18"/>
                <w:szCs w:val="18"/>
              </w:rPr>
            </w:pPr>
          </w:p>
        </w:tc>
        <w:tc>
          <w:tcPr>
            <w:tcW w:w="780" w:type="dxa"/>
            <w:shd w:val="clear" w:color="000000" w:fill="FFFFFF"/>
            <w:vAlign w:val="center"/>
            <w:hideMark/>
          </w:tcPr>
          <w:p w14:paraId="07B3C5BD"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000000" w:fill="FFFFFF"/>
            <w:vAlign w:val="center"/>
            <w:hideMark/>
          </w:tcPr>
          <w:p w14:paraId="16B59EEE" w14:textId="77777777" w:rsidR="001C32C8" w:rsidRPr="00B0658A" w:rsidRDefault="001C32C8" w:rsidP="00004A41">
            <w:pPr>
              <w:spacing w:after="0" w:line="240" w:lineRule="auto"/>
              <w:jc w:val="center"/>
              <w:rPr>
                <w:rFonts w:ascii="Times New Roman" w:hAnsi="Times New Roman"/>
                <w:sz w:val="18"/>
                <w:szCs w:val="18"/>
              </w:rPr>
            </w:pPr>
          </w:p>
        </w:tc>
        <w:tc>
          <w:tcPr>
            <w:tcW w:w="780" w:type="dxa"/>
            <w:shd w:val="clear" w:color="000000" w:fill="FFFFFF"/>
            <w:vAlign w:val="center"/>
          </w:tcPr>
          <w:p w14:paraId="509EDDF0"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000000" w:fill="FFFFFF"/>
            <w:vAlign w:val="center"/>
          </w:tcPr>
          <w:p w14:paraId="79B512FB" w14:textId="77777777" w:rsidR="001C32C8" w:rsidRPr="00B0658A" w:rsidRDefault="001C32C8" w:rsidP="00004A41">
            <w:pPr>
              <w:spacing w:after="0" w:line="240" w:lineRule="auto"/>
              <w:jc w:val="center"/>
              <w:rPr>
                <w:rFonts w:ascii="Times New Roman" w:hAnsi="Times New Roman"/>
                <w:sz w:val="18"/>
                <w:szCs w:val="18"/>
              </w:rPr>
            </w:pPr>
          </w:p>
        </w:tc>
        <w:tc>
          <w:tcPr>
            <w:tcW w:w="780" w:type="dxa"/>
            <w:shd w:val="clear" w:color="000000" w:fill="FFFFFF"/>
            <w:vAlign w:val="center"/>
          </w:tcPr>
          <w:p w14:paraId="32A61C5F" w14:textId="77777777" w:rsidR="001C32C8" w:rsidRPr="00B0658A" w:rsidRDefault="001C32C8" w:rsidP="00004A41">
            <w:pPr>
              <w:spacing w:after="0" w:line="240" w:lineRule="auto"/>
              <w:jc w:val="center"/>
              <w:rPr>
                <w:rFonts w:ascii="Times New Roman" w:hAnsi="Times New Roman"/>
                <w:sz w:val="18"/>
                <w:szCs w:val="18"/>
              </w:rPr>
            </w:pPr>
          </w:p>
        </w:tc>
        <w:tc>
          <w:tcPr>
            <w:tcW w:w="1475" w:type="dxa"/>
            <w:shd w:val="clear" w:color="000000" w:fill="FFFFFF"/>
            <w:vAlign w:val="center"/>
          </w:tcPr>
          <w:p w14:paraId="299B45A6" w14:textId="77777777" w:rsidR="001C32C8" w:rsidRPr="00B0658A" w:rsidRDefault="001C32C8" w:rsidP="00004A41">
            <w:pPr>
              <w:spacing w:after="0" w:line="240" w:lineRule="auto"/>
              <w:jc w:val="center"/>
              <w:rPr>
                <w:rFonts w:ascii="Times New Roman" w:hAnsi="Times New Roman"/>
                <w:sz w:val="18"/>
                <w:szCs w:val="18"/>
              </w:rPr>
            </w:pPr>
          </w:p>
        </w:tc>
      </w:tr>
      <w:tr w:rsidR="00F52FED" w:rsidRPr="00B0658A" w14:paraId="05EFFC6F" w14:textId="77777777" w:rsidTr="00E66BA4">
        <w:trPr>
          <w:trHeight w:val="20"/>
        </w:trPr>
        <w:tc>
          <w:tcPr>
            <w:tcW w:w="846" w:type="dxa"/>
            <w:shd w:val="clear" w:color="000000" w:fill="FFFFFF"/>
            <w:vAlign w:val="center"/>
          </w:tcPr>
          <w:p w14:paraId="57F84ABA" w14:textId="77777777" w:rsidR="001C32C8" w:rsidRPr="00B0658A" w:rsidRDefault="001C32C8" w:rsidP="00004A41">
            <w:pPr>
              <w:spacing w:after="0" w:line="240" w:lineRule="auto"/>
              <w:jc w:val="center"/>
              <w:rPr>
                <w:rFonts w:ascii="Times New Roman" w:hAnsi="Times New Roman"/>
                <w:sz w:val="18"/>
                <w:szCs w:val="18"/>
              </w:rPr>
            </w:pPr>
            <w:r w:rsidRPr="00B0658A">
              <w:rPr>
                <w:rFonts w:ascii="Times New Roman" w:hAnsi="Times New Roman"/>
                <w:sz w:val="18"/>
                <w:szCs w:val="18"/>
              </w:rPr>
              <w:t>6.7</w:t>
            </w:r>
          </w:p>
        </w:tc>
        <w:tc>
          <w:tcPr>
            <w:tcW w:w="1559" w:type="dxa"/>
            <w:shd w:val="clear" w:color="auto" w:fill="auto"/>
            <w:vAlign w:val="center"/>
            <w:hideMark/>
          </w:tcPr>
          <w:p w14:paraId="6B57A047" w14:textId="77777777" w:rsidR="001C32C8" w:rsidRPr="00B0658A" w:rsidRDefault="001C32C8" w:rsidP="00004A41">
            <w:pPr>
              <w:spacing w:after="0" w:line="240" w:lineRule="auto"/>
              <w:rPr>
                <w:rFonts w:ascii="Times New Roman" w:hAnsi="Times New Roman"/>
                <w:sz w:val="18"/>
                <w:szCs w:val="18"/>
              </w:rPr>
            </w:pPr>
            <w:r w:rsidRPr="00B0658A">
              <w:rPr>
                <w:rFonts w:ascii="Times New Roman" w:hAnsi="Times New Roman"/>
                <w:sz w:val="18"/>
                <w:szCs w:val="18"/>
              </w:rPr>
              <w:t>Офисные приложения/ Браузеры</w:t>
            </w:r>
          </w:p>
        </w:tc>
        <w:tc>
          <w:tcPr>
            <w:tcW w:w="1418" w:type="dxa"/>
            <w:shd w:val="clear" w:color="000000" w:fill="FFFFFF"/>
            <w:hideMark/>
          </w:tcPr>
          <w:p w14:paraId="1BACB46A" w14:textId="77777777" w:rsidR="001C32C8" w:rsidRPr="00B0658A" w:rsidRDefault="001C32C8" w:rsidP="00004A41">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44" w:type="dxa"/>
            <w:shd w:val="clear" w:color="000000" w:fill="FFFFFF"/>
            <w:vAlign w:val="center"/>
          </w:tcPr>
          <w:p w14:paraId="4B91FA48"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000000" w:fill="FFFFFF"/>
            <w:vAlign w:val="center"/>
            <w:hideMark/>
          </w:tcPr>
          <w:p w14:paraId="3A3B89B4"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000000" w:fill="FFFFFF"/>
            <w:vAlign w:val="center"/>
            <w:hideMark/>
          </w:tcPr>
          <w:p w14:paraId="191E874C"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000000" w:fill="FFFFFF"/>
            <w:vAlign w:val="center"/>
            <w:hideMark/>
          </w:tcPr>
          <w:p w14:paraId="43393E55" w14:textId="77777777" w:rsidR="001C32C8" w:rsidRPr="00B0658A" w:rsidRDefault="001C32C8" w:rsidP="00004A41">
            <w:pPr>
              <w:spacing w:after="0" w:line="240" w:lineRule="auto"/>
              <w:jc w:val="center"/>
              <w:rPr>
                <w:rFonts w:ascii="Times New Roman" w:hAnsi="Times New Roman"/>
                <w:sz w:val="18"/>
                <w:szCs w:val="18"/>
              </w:rPr>
            </w:pPr>
          </w:p>
        </w:tc>
        <w:tc>
          <w:tcPr>
            <w:tcW w:w="993" w:type="dxa"/>
            <w:shd w:val="clear" w:color="000000" w:fill="FFFFFF"/>
            <w:vAlign w:val="center"/>
          </w:tcPr>
          <w:p w14:paraId="061926E9"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000000" w:fill="FFFFFF"/>
            <w:vAlign w:val="center"/>
            <w:hideMark/>
          </w:tcPr>
          <w:p w14:paraId="0DF67EEE" w14:textId="77777777" w:rsidR="001C32C8" w:rsidRPr="00B0658A" w:rsidRDefault="001C32C8" w:rsidP="00004A41">
            <w:pPr>
              <w:spacing w:after="0" w:line="240" w:lineRule="auto"/>
              <w:jc w:val="center"/>
              <w:rPr>
                <w:rFonts w:ascii="Times New Roman" w:hAnsi="Times New Roman"/>
                <w:sz w:val="18"/>
                <w:szCs w:val="18"/>
              </w:rPr>
            </w:pPr>
          </w:p>
        </w:tc>
        <w:tc>
          <w:tcPr>
            <w:tcW w:w="780" w:type="dxa"/>
            <w:shd w:val="clear" w:color="000000" w:fill="FFFFFF"/>
            <w:vAlign w:val="center"/>
            <w:hideMark/>
          </w:tcPr>
          <w:p w14:paraId="44703279"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000000" w:fill="FFFFFF"/>
            <w:vAlign w:val="center"/>
            <w:hideMark/>
          </w:tcPr>
          <w:p w14:paraId="1F4D26C6" w14:textId="77777777" w:rsidR="001C32C8" w:rsidRPr="00B0658A" w:rsidRDefault="001C32C8" w:rsidP="00004A41">
            <w:pPr>
              <w:spacing w:after="0" w:line="240" w:lineRule="auto"/>
              <w:jc w:val="center"/>
              <w:rPr>
                <w:rFonts w:ascii="Times New Roman" w:hAnsi="Times New Roman"/>
                <w:sz w:val="18"/>
                <w:szCs w:val="18"/>
              </w:rPr>
            </w:pPr>
          </w:p>
        </w:tc>
        <w:tc>
          <w:tcPr>
            <w:tcW w:w="780" w:type="dxa"/>
            <w:shd w:val="clear" w:color="000000" w:fill="FFFFFF"/>
            <w:vAlign w:val="center"/>
          </w:tcPr>
          <w:p w14:paraId="6DD53319"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000000" w:fill="FFFFFF"/>
            <w:vAlign w:val="center"/>
          </w:tcPr>
          <w:p w14:paraId="271636A0" w14:textId="77777777" w:rsidR="001C32C8" w:rsidRPr="00B0658A" w:rsidRDefault="001C32C8" w:rsidP="00004A41">
            <w:pPr>
              <w:spacing w:after="0" w:line="240" w:lineRule="auto"/>
              <w:jc w:val="center"/>
              <w:rPr>
                <w:rFonts w:ascii="Times New Roman" w:hAnsi="Times New Roman"/>
                <w:sz w:val="18"/>
                <w:szCs w:val="18"/>
              </w:rPr>
            </w:pPr>
          </w:p>
        </w:tc>
        <w:tc>
          <w:tcPr>
            <w:tcW w:w="780" w:type="dxa"/>
            <w:shd w:val="clear" w:color="000000" w:fill="FFFFFF"/>
            <w:vAlign w:val="center"/>
          </w:tcPr>
          <w:p w14:paraId="1A3A6B5F" w14:textId="77777777" w:rsidR="001C32C8" w:rsidRPr="00B0658A" w:rsidRDefault="001C32C8" w:rsidP="00004A41">
            <w:pPr>
              <w:spacing w:after="0" w:line="240" w:lineRule="auto"/>
              <w:jc w:val="center"/>
              <w:rPr>
                <w:rFonts w:ascii="Times New Roman" w:hAnsi="Times New Roman"/>
                <w:sz w:val="18"/>
                <w:szCs w:val="18"/>
              </w:rPr>
            </w:pPr>
          </w:p>
        </w:tc>
        <w:tc>
          <w:tcPr>
            <w:tcW w:w="1475" w:type="dxa"/>
            <w:shd w:val="clear" w:color="000000" w:fill="FFFFFF"/>
            <w:vAlign w:val="center"/>
          </w:tcPr>
          <w:p w14:paraId="4E35EDC8" w14:textId="77777777" w:rsidR="001C32C8" w:rsidRPr="00B0658A" w:rsidRDefault="001C32C8" w:rsidP="00004A41">
            <w:pPr>
              <w:spacing w:after="0" w:line="240" w:lineRule="auto"/>
              <w:jc w:val="center"/>
              <w:rPr>
                <w:rFonts w:ascii="Times New Roman" w:hAnsi="Times New Roman"/>
                <w:sz w:val="18"/>
                <w:szCs w:val="18"/>
              </w:rPr>
            </w:pPr>
          </w:p>
        </w:tc>
      </w:tr>
      <w:tr w:rsidR="00F52FED" w:rsidRPr="00B0658A" w14:paraId="58F506D8" w14:textId="77777777" w:rsidTr="00E66BA4">
        <w:trPr>
          <w:trHeight w:val="20"/>
        </w:trPr>
        <w:tc>
          <w:tcPr>
            <w:tcW w:w="846" w:type="dxa"/>
            <w:shd w:val="clear" w:color="000000" w:fill="FFFFFF"/>
            <w:vAlign w:val="center"/>
          </w:tcPr>
          <w:p w14:paraId="62B3DB94" w14:textId="77777777" w:rsidR="001C32C8" w:rsidRPr="00B0658A" w:rsidRDefault="001C32C8" w:rsidP="00004A41">
            <w:pPr>
              <w:spacing w:after="0" w:line="240" w:lineRule="auto"/>
              <w:jc w:val="center"/>
              <w:rPr>
                <w:rFonts w:ascii="Times New Roman" w:hAnsi="Times New Roman"/>
                <w:sz w:val="18"/>
                <w:szCs w:val="18"/>
              </w:rPr>
            </w:pPr>
            <w:r w:rsidRPr="00B0658A">
              <w:rPr>
                <w:rFonts w:ascii="Times New Roman" w:hAnsi="Times New Roman"/>
                <w:sz w:val="18"/>
                <w:szCs w:val="18"/>
              </w:rPr>
              <w:t>6.8</w:t>
            </w:r>
          </w:p>
        </w:tc>
        <w:tc>
          <w:tcPr>
            <w:tcW w:w="1559" w:type="dxa"/>
            <w:shd w:val="clear" w:color="auto" w:fill="auto"/>
            <w:vAlign w:val="center"/>
            <w:hideMark/>
          </w:tcPr>
          <w:p w14:paraId="28FBB1E1" w14:textId="77777777" w:rsidR="001C32C8" w:rsidRPr="00B0658A" w:rsidRDefault="001C32C8" w:rsidP="00004A41">
            <w:pPr>
              <w:spacing w:after="0" w:line="240" w:lineRule="auto"/>
              <w:rPr>
                <w:rFonts w:ascii="Times New Roman" w:hAnsi="Times New Roman"/>
                <w:sz w:val="18"/>
                <w:szCs w:val="18"/>
              </w:rPr>
            </w:pPr>
            <w:r w:rsidRPr="00B0658A">
              <w:rPr>
                <w:rFonts w:ascii="Times New Roman" w:hAnsi="Times New Roman"/>
                <w:sz w:val="18"/>
                <w:szCs w:val="18"/>
              </w:rPr>
              <w:t>Офисные приложения/ Редакторы мультимедиа</w:t>
            </w:r>
          </w:p>
        </w:tc>
        <w:tc>
          <w:tcPr>
            <w:tcW w:w="1418" w:type="dxa"/>
            <w:shd w:val="clear" w:color="000000" w:fill="FFFFFF"/>
            <w:hideMark/>
          </w:tcPr>
          <w:p w14:paraId="5AE3DAE8" w14:textId="77777777" w:rsidR="001C32C8" w:rsidRPr="00B0658A" w:rsidRDefault="001C32C8" w:rsidP="00004A41">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44" w:type="dxa"/>
            <w:vAlign w:val="center"/>
          </w:tcPr>
          <w:p w14:paraId="7251CBC6"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auto" w:fill="auto"/>
            <w:vAlign w:val="center"/>
            <w:hideMark/>
          </w:tcPr>
          <w:p w14:paraId="47034E6F"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auto" w:fill="auto"/>
            <w:vAlign w:val="center"/>
            <w:hideMark/>
          </w:tcPr>
          <w:p w14:paraId="64E4DA8E"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auto" w:fill="auto"/>
            <w:vAlign w:val="center"/>
            <w:hideMark/>
          </w:tcPr>
          <w:p w14:paraId="3AA15872" w14:textId="77777777" w:rsidR="001C32C8" w:rsidRPr="00B0658A" w:rsidRDefault="001C32C8" w:rsidP="00004A41">
            <w:pPr>
              <w:spacing w:after="0" w:line="240" w:lineRule="auto"/>
              <w:jc w:val="center"/>
              <w:rPr>
                <w:rFonts w:ascii="Times New Roman" w:hAnsi="Times New Roman"/>
                <w:sz w:val="18"/>
                <w:szCs w:val="18"/>
              </w:rPr>
            </w:pPr>
          </w:p>
        </w:tc>
        <w:tc>
          <w:tcPr>
            <w:tcW w:w="993" w:type="dxa"/>
            <w:vAlign w:val="center"/>
          </w:tcPr>
          <w:p w14:paraId="5ACAE59A"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auto" w:fill="auto"/>
            <w:vAlign w:val="center"/>
            <w:hideMark/>
          </w:tcPr>
          <w:p w14:paraId="34D73D22" w14:textId="77777777" w:rsidR="001C32C8" w:rsidRPr="00B0658A" w:rsidRDefault="001C32C8" w:rsidP="00004A41">
            <w:pPr>
              <w:spacing w:after="0" w:line="240" w:lineRule="auto"/>
              <w:jc w:val="center"/>
              <w:rPr>
                <w:rFonts w:ascii="Times New Roman" w:hAnsi="Times New Roman"/>
                <w:sz w:val="18"/>
                <w:szCs w:val="18"/>
              </w:rPr>
            </w:pPr>
          </w:p>
        </w:tc>
        <w:tc>
          <w:tcPr>
            <w:tcW w:w="780" w:type="dxa"/>
            <w:shd w:val="clear" w:color="auto" w:fill="auto"/>
            <w:vAlign w:val="center"/>
            <w:hideMark/>
          </w:tcPr>
          <w:p w14:paraId="40510251"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auto" w:fill="auto"/>
            <w:vAlign w:val="center"/>
            <w:hideMark/>
          </w:tcPr>
          <w:p w14:paraId="7ED2A368" w14:textId="77777777" w:rsidR="001C32C8" w:rsidRPr="00B0658A" w:rsidRDefault="001C32C8" w:rsidP="00004A41">
            <w:pPr>
              <w:spacing w:after="0" w:line="240" w:lineRule="auto"/>
              <w:jc w:val="center"/>
              <w:rPr>
                <w:rFonts w:ascii="Times New Roman" w:hAnsi="Times New Roman"/>
                <w:sz w:val="18"/>
                <w:szCs w:val="18"/>
              </w:rPr>
            </w:pPr>
          </w:p>
        </w:tc>
        <w:tc>
          <w:tcPr>
            <w:tcW w:w="780" w:type="dxa"/>
            <w:vAlign w:val="center"/>
          </w:tcPr>
          <w:p w14:paraId="71D3BFA5" w14:textId="77777777" w:rsidR="001C32C8" w:rsidRPr="00B0658A" w:rsidRDefault="001C32C8" w:rsidP="00004A41">
            <w:pPr>
              <w:spacing w:after="0" w:line="240" w:lineRule="auto"/>
              <w:jc w:val="center"/>
              <w:rPr>
                <w:rFonts w:ascii="Times New Roman" w:hAnsi="Times New Roman"/>
                <w:sz w:val="18"/>
                <w:szCs w:val="18"/>
              </w:rPr>
            </w:pPr>
          </w:p>
        </w:tc>
        <w:tc>
          <w:tcPr>
            <w:tcW w:w="779" w:type="dxa"/>
            <w:vAlign w:val="center"/>
          </w:tcPr>
          <w:p w14:paraId="636C0850" w14:textId="77777777" w:rsidR="001C32C8" w:rsidRPr="00B0658A" w:rsidRDefault="001C32C8" w:rsidP="00004A41">
            <w:pPr>
              <w:spacing w:after="0" w:line="240" w:lineRule="auto"/>
              <w:jc w:val="center"/>
              <w:rPr>
                <w:rFonts w:ascii="Times New Roman" w:hAnsi="Times New Roman"/>
                <w:sz w:val="18"/>
                <w:szCs w:val="18"/>
              </w:rPr>
            </w:pPr>
          </w:p>
        </w:tc>
        <w:tc>
          <w:tcPr>
            <w:tcW w:w="780" w:type="dxa"/>
            <w:vAlign w:val="center"/>
          </w:tcPr>
          <w:p w14:paraId="4287CA24" w14:textId="77777777" w:rsidR="001C32C8" w:rsidRPr="00B0658A" w:rsidRDefault="001C32C8" w:rsidP="00004A41">
            <w:pPr>
              <w:spacing w:after="0" w:line="240" w:lineRule="auto"/>
              <w:jc w:val="center"/>
              <w:rPr>
                <w:rFonts w:ascii="Times New Roman" w:hAnsi="Times New Roman"/>
                <w:sz w:val="18"/>
                <w:szCs w:val="18"/>
              </w:rPr>
            </w:pPr>
          </w:p>
        </w:tc>
        <w:tc>
          <w:tcPr>
            <w:tcW w:w="1475" w:type="dxa"/>
            <w:vAlign w:val="center"/>
          </w:tcPr>
          <w:p w14:paraId="6E62A230" w14:textId="77777777" w:rsidR="001C32C8" w:rsidRPr="00B0658A" w:rsidRDefault="001C32C8" w:rsidP="00004A41">
            <w:pPr>
              <w:spacing w:after="0" w:line="240" w:lineRule="auto"/>
              <w:jc w:val="center"/>
              <w:rPr>
                <w:rFonts w:ascii="Times New Roman" w:hAnsi="Times New Roman"/>
                <w:sz w:val="18"/>
                <w:szCs w:val="18"/>
              </w:rPr>
            </w:pPr>
          </w:p>
        </w:tc>
      </w:tr>
      <w:tr w:rsidR="00F52FED" w:rsidRPr="00B0658A" w14:paraId="40950EC8" w14:textId="77777777" w:rsidTr="00E66BA4">
        <w:trPr>
          <w:trHeight w:val="20"/>
        </w:trPr>
        <w:tc>
          <w:tcPr>
            <w:tcW w:w="846" w:type="dxa"/>
            <w:shd w:val="clear" w:color="000000" w:fill="FFFFFF"/>
            <w:vAlign w:val="center"/>
          </w:tcPr>
          <w:p w14:paraId="4B146C9A" w14:textId="77777777" w:rsidR="001C32C8" w:rsidRPr="00B0658A" w:rsidRDefault="001C32C8" w:rsidP="00004A41">
            <w:pPr>
              <w:spacing w:after="0" w:line="240" w:lineRule="auto"/>
              <w:jc w:val="center"/>
              <w:rPr>
                <w:rFonts w:ascii="Times New Roman" w:hAnsi="Times New Roman"/>
                <w:sz w:val="18"/>
                <w:szCs w:val="18"/>
              </w:rPr>
            </w:pPr>
            <w:r w:rsidRPr="00B0658A">
              <w:rPr>
                <w:rFonts w:ascii="Times New Roman" w:hAnsi="Times New Roman"/>
                <w:sz w:val="18"/>
                <w:szCs w:val="18"/>
              </w:rPr>
              <w:t>6.9</w:t>
            </w:r>
          </w:p>
        </w:tc>
        <w:tc>
          <w:tcPr>
            <w:tcW w:w="1559" w:type="dxa"/>
            <w:shd w:val="clear" w:color="auto" w:fill="auto"/>
            <w:vAlign w:val="center"/>
            <w:hideMark/>
          </w:tcPr>
          <w:p w14:paraId="69972B81" w14:textId="77777777" w:rsidR="001C32C8" w:rsidRPr="00B0658A" w:rsidRDefault="001C32C8" w:rsidP="00004A41">
            <w:pPr>
              <w:spacing w:after="0" w:line="240" w:lineRule="auto"/>
              <w:rPr>
                <w:rFonts w:ascii="Times New Roman" w:hAnsi="Times New Roman"/>
                <w:sz w:val="18"/>
                <w:szCs w:val="18"/>
              </w:rPr>
            </w:pPr>
            <w:r w:rsidRPr="00B0658A">
              <w:rPr>
                <w:rFonts w:ascii="Times New Roman" w:hAnsi="Times New Roman"/>
                <w:sz w:val="18"/>
                <w:szCs w:val="18"/>
              </w:rPr>
              <w:t>Офисные приложения/ Редакторы презентаций</w:t>
            </w:r>
          </w:p>
        </w:tc>
        <w:tc>
          <w:tcPr>
            <w:tcW w:w="1418" w:type="dxa"/>
            <w:shd w:val="clear" w:color="000000" w:fill="FFFFFF"/>
            <w:hideMark/>
          </w:tcPr>
          <w:p w14:paraId="676CF2B7" w14:textId="77777777" w:rsidR="001C32C8" w:rsidRPr="00B0658A" w:rsidRDefault="001C32C8" w:rsidP="00004A41">
            <w:pPr>
              <w:spacing w:after="0" w:line="240" w:lineRule="auto"/>
              <w:rPr>
                <w:rFonts w:ascii="Times New Roman" w:hAnsi="Times New Roman"/>
                <w:sz w:val="18"/>
                <w:szCs w:val="18"/>
              </w:rPr>
            </w:pPr>
            <w:r w:rsidRPr="00B0658A">
              <w:rPr>
                <w:rFonts w:ascii="Times New Roman" w:hAnsi="Times New Roman"/>
                <w:sz w:val="18"/>
                <w:szCs w:val="18"/>
              </w:rPr>
              <w:t xml:space="preserve">Доля используемого российского ПО в общем объёме, </w:t>
            </w:r>
            <w:r w:rsidRPr="00B0658A">
              <w:rPr>
                <w:rFonts w:ascii="Times New Roman" w:hAnsi="Times New Roman"/>
                <w:sz w:val="18"/>
                <w:szCs w:val="18"/>
              </w:rPr>
              <w:lastRenderedPageBreak/>
              <w:t>используемого ПО, %</w:t>
            </w:r>
          </w:p>
        </w:tc>
        <w:tc>
          <w:tcPr>
            <w:tcW w:w="744" w:type="dxa"/>
            <w:vAlign w:val="center"/>
          </w:tcPr>
          <w:p w14:paraId="59A8442D"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auto" w:fill="auto"/>
            <w:vAlign w:val="center"/>
            <w:hideMark/>
          </w:tcPr>
          <w:p w14:paraId="274C4931"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auto" w:fill="auto"/>
            <w:vAlign w:val="center"/>
            <w:hideMark/>
          </w:tcPr>
          <w:p w14:paraId="34A0A449"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auto" w:fill="auto"/>
            <w:vAlign w:val="center"/>
            <w:hideMark/>
          </w:tcPr>
          <w:p w14:paraId="11CB42F0" w14:textId="77777777" w:rsidR="001C32C8" w:rsidRPr="00B0658A" w:rsidRDefault="001C32C8" w:rsidP="00004A41">
            <w:pPr>
              <w:spacing w:after="0" w:line="240" w:lineRule="auto"/>
              <w:jc w:val="center"/>
              <w:rPr>
                <w:rFonts w:ascii="Times New Roman" w:hAnsi="Times New Roman"/>
                <w:sz w:val="18"/>
                <w:szCs w:val="18"/>
              </w:rPr>
            </w:pPr>
          </w:p>
        </w:tc>
        <w:tc>
          <w:tcPr>
            <w:tcW w:w="993" w:type="dxa"/>
            <w:vAlign w:val="center"/>
          </w:tcPr>
          <w:p w14:paraId="3DD3B06D"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auto" w:fill="auto"/>
            <w:vAlign w:val="center"/>
            <w:hideMark/>
          </w:tcPr>
          <w:p w14:paraId="7D242B1F" w14:textId="77777777" w:rsidR="001C32C8" w:rsidRPr="00B0658A" w:rsidRDefault="001C32C8" w:rsidP="00004A41">
            <w:pPr>
              <w:spacing w:after="0" w:line="240" w:lineRule="auto"/>
              <w:jc w:val="center"/>
              <w:rPr>
                <w:rFonts w:ascii="Times New Roman" w:hAnsi="Times New Roman"/>
                <w:sz w:val="18"/>
                <w:szCs w:val="18"/>
              </w:rPr>
            </w:pPr>
          </w:p>
        </w:tc>
        <w:tc>
          <w:tcPr>
            <w:tcW w:w="780" w:type="dxa"/>
            <w:shd w:val="clear" w:color="auto" w:fill="auto"/>
            <w:vAlign w:val="center"/>
            <w:hideMark/>
          </w:tcPr>
          <w:p w14:paraId="6F97492F"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auto" w:fill="auto"/>
            <w:vAlign w:val="center"/>
            <w:hideMark/>
          </w:tcPr>
          <w:p w14:paraId="19DF72E8" w14:textId="77777777" w:rsidR="001C32C8" w:rsidRPr="00B0658A" w:rsidRDefault="001C32C8" w:rsidP="00004A41">
            <w:pPr>
              <w:spacing w:after="0" w:line="240" w:lineRule="auto"/>
              <w:jc w:val="center"/>
              <w:rPr>
                <w:rFonts w:ascii="Times New Roman" w:hAnsi="Times New Roman"/>
                <w:sz w:val="18"/>
                <w:szCs w:val="18"/>
              </w:rPr>
            </w:pPr>
          </w:p>
        </w:tc>
        <w:tc>
          <w:tcPr>
            <w:tcW w:w="780" w:type="dxa"/>
            <w:vAlign w:val="center"/>
          </w:tcPr>
          <w:p w14:paraId="2C47F83D" w14:textId="77777777" w:rsidR="001C32C8" w:rsidRPr="00B0658A" w:rsidRDefault="001C32C8" w:rsidP="00004A41">
            <w:pPr>
              <w:spacing w:after="0" w:line="240" w:lineRule="auto"/>
              <w:jc w:val="center"/>
              <w:rPr>
                <w:rFonts w:ascii="Times New Roman" w:hAnsi="Times New Roman"/>
                <w:sz w:val="18"/>
                <w:szCs w:val="18"/>
              </w:rPr>
            </w:pPr>
          </w:p>
        </w:tc>
        <w:tc>
          <w:tcPr>
            <w:tcW w:w="779" w:type="dxa"/>
            <w:vAlign w:val="center"/>
          </w:tcPr>
          <w:p w14:paraId="600AFA59" w14:textId="77777777" w:rsidR="001C32C8" w:rsidRPr="00B0658A" w:rsidRDefault="001C32C8" w:rsidP="00004A41">
            <w:pPr>
              <w:spacing w:after="0" w:line="240" w:lineRule="auto"/>
              <w:jc w:val="center"/>
              <w:rPr>
                <w:rFonts w:ascii="Times New Roman" w:hAnsi="Times New Roman"/>
                <w:sz w:val="18"/>
                <w:szCs w:val="18"/>
              </w:rPr>
            </w:pPr>
          </w:p>
        </w:tc>
        <w:tc>
          <w:tcPr>
            <w:tcW w:w="780" w:type="dxa"/>
            <w:vAlign w:val="center"/>
          </w:tcPr>
          <w:p w14:paraId="20331F65" w14:textId="77777777" w:rsidR="001C32C8" w:rsidRPr="00B0658A" w:rsidRDefault="001C32C8" w:rsidP="00004A41">
            <w:pPr>
              <w:spacing w:after="0" w:line="240" w:lineRule="auto"/>
              <w:jc w:val="center"/>
              <w:rPr>
                <w:rFonts w:ascii="Times New Roman" w:hAnsi="Times New Roman"/>
                <w:sz w:val="18"/>
                <w:szCs w:val="18"/>
              </w:rPr>
            </w:pPr>
          </w:p>
        </w:tc>
        <w:tc>
          <w:tcPr>
            <w:tcW w:w="1475" w:type="dxa"/>
            <w:vAlign w:val="center"/>
          </w:tcPr>
          <w:p w14:paraId="64483138" w14:textId="77777777" w:rsidR="001C32C8" w:rsidRPr="00B0658A" w:rsidRDefault="001C32C8" w:rsidP="00004A41">
            <w:pPr>
              <w:spacing w:after="0" w:line="240" w:lineRule="auto"/>
              <w:jc w:val="center"/>
              <w:rPr>
                <w:rFonts w:ascii="Times New Roman" w:hAnsi="Times New Roman"/>
                <w:sz w:val="18"/>
                <w:szCs w:val="18"/>
              </w:rPr>
            </w:pPr>
          </w:p>
        </w:tc>
      </w:tr>
      <w:tr w:rsidR="00F52FED" w:rsidRPr="00B0658A" w14:paraId="0ED5C407" w14:textId="77777777" w:rsidTr="00E66BA4">
        <w:trPr>
          <w:trHeight w:val="20"/>
        </w:trPr>
        <w:tc>
          <w:tcPr>
            <w:tcW w:w="846" w:type="dxa"/>
            <w:shd w:val="clear" w:color="000000" w:fill="FFFFFF"/>
            <w:vAlign w:val="center"/>
          </w:tcPr>
          <w:p w14:paraId="3164D58A" w14:textId="77777777" w:rsidR="001C32C8" w:rsidRPr="00B0658A" w:rsidRDefault="001C32C8" w:rsidP="00004A41">
            <w:pPr>
              <w:spacing w:after="0" w:line="240" w:lineRule="auto"/>
              <w:jc w:val="center"/>
              <w:rPr>
                <w:rFonts w:ascii="Times New Roman" w:hAnsi="Times New Roman"/>
                <w:sz w:val="18"/>
                <w:szCs w:val="18"/>
              </w:rPr>
            </w:pPr>
            <w:r w:rsidRPr="00B0658A">
              <w:rPr>
                <w:rFonts w:ascii="Times New Roman" w:hAnsi="Times New Roman"/>
                <w:sz w:val="18"/>
                <w:szCs w:val="18"/>
              </w:rPr>
              <w:t>6.10</w:t>
            </w:r>
          </w:p>
        </w:tc>
        <w:tc>
          <w:tcPr>
            <w:tcW w:w="1559" w:type="dxa"/>
            <w:shd w:val="clear" w:color="auto" w:fill="auto"/>
            <w:vAlign w:val="center"/>
            <w:hideMark/>
          </w:tcPr>
          <w:p w14:paraId="0460E288" w14:textId="77777777" w:rsidR="001C32C8" w:rsidRPr="00B0658A" w:rsidRDefault="001C32C8" w:rsidP="00004A41">
            <w:pPr>
              <w:spacing w:after="0" w:line="240" w:lineRule="auto"/>
              <w:rPr>
                <w:rFonts w:ascii="Times New Roman" w:hAnsi="Times New Roman"/>
                <w:sz w:val="18"/>
                <w:szCs w:val="18"/>
              </w:rPr>
            </w:pPr>
            <w:r w:rsidRPr="00B0658A">
              <w:rPr>
                <w:rFonts w:ascii="Times New Roman" w:hAnsi="Times New Roman"/>
                <w:sz w:val="18"/>
                <w:szCs w:val="18"/>
              </w:rPr>
              <w:t>Офисные приложения/ Табличные редакторы</w:t>
            </w:r>
          </w:p>
        </w:tc>
        <w:tc>
          <w:tcPr>
            <w:tcW w:w="1418" w:type="dxa"/>
            <w:shd w:val="clear" w:color="000000" w:fill="FFFFFF"/>
            <w:hideMark/>
          </w:tcPr>
          <w:p w14:paraId="13DF3541" w14:textId="77777777" w:rsidR="001C32C8" w:rsidRPr="00B0658A" w:rsidRDefault="001C32C8" w:rsidP="00004A41">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44" w:type="dxa"/>
            <w:vAlign w:val="center"/>
          </w:tcPr>
          <w:p w14:paraId="750ABAC7"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auto" w:fill="auto"/>
            <w:vAlign w:val="center"/>
            <w:hideMark/>
          </w:tcPr>
          <w:p w14:paraId="37AC5F07"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auto" w:fill="auto"/>
            <w:vAlign w:val="center"/>
            <w:hideMark/>
          </w:tcPr>
          <w:p w14:paraId="6AC65766"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auto" w:fill="auto"/>
            <w:vAlign w:val="center"/>
            <w:hideMark/>
          </w:tcPr>
          <w:p w14:paraId="5613C550" w14:textId="77777777" w:rsidR="001C32C8" w:rsidRPr="00B0658A" w:rsidRDefault="001C32C8" w:rsidP="00004A41">
            <w:pPr>
              <w:spacing w:after="0" w:line="240" w:lineRule="auto"/>
              <w:jc w:val="center"/>
              <w:rPr>
                <w:rFonts w:ascii="Times New Roman" w:hAnsi="Times New Roman"/>
                <w:sz w:val="18"/>
                <w:szCs w:val="18"/>
              </w:rPr>
            </w:pPr>
          </w:p>
        </w:tc>
        <w:tc>
          <w:tcPr>
            <w:tcW w:w="993" w:type="dxa"/>
            <w:vAlign w:val="center"/>
          </w:tcPr>
          <w:p w14:paraId="4F855F36"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auto" w:fill="auto"/>
            <w:vAlign w:val="center"/>
            <w:hideMark/>
          </w:tcPr>
          <w:p w14:paraId="4AA26997" w14:textId="77777777" w:rsidR="001C32C8" w:rsidRPr="00B0658A" w:rsidRDefault="001C32C8" w:rsidP="00004A41">
            <w:pPr>
              <w:spacing w:after="0" w:line="240" w:lineRule="auto"/>
              <w:jc w:val="center"/>
              <w:rPr>
                <w:rFonts w:ascii="Times New Roman" w:hAnsi="Times New Roman"/>
                <w:sz w:val="18"/>
                <w:szCs w:val="18"/>
              </w:rPr>
            </w:pPr>
          </w:p>
        </w:tc>
        <w:tc>
          <w:tcPr>
            <w:tcW w:w="780" w:type="dxa"/>
            <w:shd w:val="clear" w:color="auto" w:fill="auto"/>
            <w:vAlign w:val="center"/>
            <w:hideMark/>
          </w:tcPr>
          <w:p w14:paraId="53B9B0ED"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auto" w:fill="auto"/>
            <w:vAlign w:val="center"/>
            <w:hideMark/>
          </w:tcPr>
          <w:p w14:paraId="15C56398" w14:textId="77777777" w:rsidR="001C32C8" w:rsidRPr="00B0658A" w:rsidRDefault="001C32C8" w:rsidP="00004A41">
            <w:pPr>
              <w:spacing w:after="0" w:line="240" w:lineRule="auto"/>
              <w:jc w:val="center"/>
              <w:rPr>
                <w:rFonts w:ascii="Times New Roman" w:hAnsi="Times New Roman"/>
                <w:sz w:val="18"/>
                <w:szCs w:val="18"/>
              </w:rPr>
            </w:pPr>
          </w:p>
        </w:tc>
        <w:tc>
          <w:tcPr>
            <w:tcW w:w="780" w:type="dxa"/>
            <w:vAlign w:val="center"/>
          </w:tcPr>
          <w:p w14:paraId="508A7C7C" w14:textId="77777777" w:rsidR="001C32C8" w:rsidRPr="00B0658A" w:rsidRDefault="001C32C8" w:rsidP="00004A41">
            <w:pPr>
              <w:spacing w:after="0" w:line="240" w:lineRule="auto"/>
              <w:jc w:val="center"/>
              <w:rPr>
                <w:rFonts w:ascii="Times New Roman" w:hAnsi="Times New Roman"/>
                <w:sz w:val="18"/>
                <w:szCs w:val="18"/>
              </w:rPr>
            </w:pPr>
          </w:p>
        </w:tc>
        <w:tc>
          <w:tcPr>
            <w:tcW w:w="779" w:type="dxa"/>
            <w:vAlign w:val="center"/>
          </w:tcPr>
          <w:p w14:paraId="6BD678B6" w14:textId="77777777" w:rsidR="001C32C8" w:rsidRPr="00B0658A" w:rsidRDefault="001C32C8" w:rsidP="00004A41">
            <w:pPr>
              <w:spacing w:after="0" w:line="240" w:lineRule="auto"/>
              <w:jc w:val="center"/>
              <w:rPr>
                <w:rFonts w:ascii="Times New Roman" w:hAnsi="Times New Roman"/>
                <w:sz w:val="18"/>
                <w:szCs w:val="18"/>
              </w:rPr>
            </w:pPr>
          </w:p>
        </w:tc>
        <w:tc>
          <w:tcPr>
            <w:tcW w:w="780" w:type="dxa"/>
            <w:vAlign w:val="center"/>
          </w:tcPr>
          <w:p w14:paraId="1DE1CBE4" w14:textId="77777777" w:rsidR="001C32C8" w:rsidRPr="00B0658A" w:rsidRDefault="001C32C8" w:rsidP="00004A41">
            <w:pPr>
              <w:spacing w:after="0" w:line="240" w:lineRule="auto"/>
              <w:jc w:val="center"/>
              <w:rPr>
                <w:rFonts w:ascii="Times New Roman" w:hAnsi="Times New Roman"/>
                <w:sz w:val="18"/>
                <w:szCs w:val="18"/>
              </w:rPr>
            </w:pPr>
          </w:p>
        </w:tc>
        <w:tc>
          <w:tcPr>
            <w:tcW w:w="1475" w:type="dxa"/>
            <w:vAlign w:val="center"/>
          </w:tcPr>
          <w:p w14:paraId="7A57A159" w14:textId="77777777" w:rsidR="001C32C8" w:rsidRPr="00B0658A" w:rsidRDefault="001C32C8" w:rsidP="00004A41">
            <w:pPr>
              <w:spacing w:after="0" w:line="240" w:lineRule="auto"/>
              <w:jc w:val="center"/>
              <w:rPr>
                <w:rFonts w:ascii="Times New Roman" w:hAnsi="Times New Roman"/>
                <w:sz w:val="18"/>
                <w:szCs w:val="18"/>
              </w:rPr>
            </w:pPr>
          </w:p>
        </w:tc>
      </w:tr>
      <w:tr w:rsidR="00F52FED" w:rsidRPr="00B0658A" w14:paraId="3C3C6237" w14:textId="77777777" w:rsidTr="00E66BA4">
        <w:trPr>
          <w:trHeight w:val="20"/>
        </w:trPr>
        <w:tc>
          <w:tcPr>
            <w:tcW w:w="846" w:type="dxa"/>
            <w:shd w:val="clear" w:color="000000" w:fill="FFFFFF"/>
            <w:vAlign w:val="center"/>
          </w:tcPr>
          <w:p w14:paraId="39CDFB36" w14:textId="77777777" w:rsidR="001C32C8" w:rsidRPr="00B0658A" w:rsidRDefault="001C32C8" w:rsidP="00004A41">
            <w:pPr>
              <w:spacing w:after="0" w:line="240" w:lineRule="auto"/>
              <w:jc w:val="center"/>
              <w:rPr>
                <w:rFonts w:ascii="Times New Roman" w:hAnsi="Times New Roman"/>
                <w:sz w:val="18"/>
                <w:szCs w:val="18"/>
              </w:rPr>
            </w:pPr>
            <w:r w:rsidRPr="00B0658A">
              <w:rPr>
                <w:rFonts w:ascii="Times New Roman" w:hAnsi="Times New Roman"/>
                <w:sz w:val="18"/>
                <w:szCs w:val="18"/>
              </w:rPr>
              <w:t>6.11</w:t>
            </w:r>
          </w:p>
        </w:tc>
        <w:tc>
          <w:tcPr>
            <w:tcW w:w="1559" w:type="dxa"/>
            <w:shd w:val="clear" w:color="auto" w:fill="auto"/>
            <w:vAlign w:val="center"/>
            <w:hideMark/>
          </w:tcPr>
          <w:p w14:paraId="2E2B2913" w14:textId="77777777" w:rsidR="001C32C8" w:rsidRPr="00B0658A" w:rsidRDefault="001C32C8" w:rsidP="00004A41">
            <w:pPr>
              <w:spacing w:after="0" w:line="240" w:lineRule="auto"/>
              <w:rPr>
                <w:rFonts w:ascii="Times New Roman" w:hAnsi="Times New Roman"/>
                <w:sz w:val="18"/>
                <w:szCs w:val="18"/>
              </w:rPr>
            </w:pPr>
            <w:r w:rsidRPr="00B0658A">
              <w:rPr>
                <w:rFonts w:ascii="Times New Roman" w:hAnsi="Times New Roman"/>
                <w:sz w:val="18"/>
                <w:szCs w:val="18"/>
              </w:rPr>
              <w:t>Офисные приложения/ Текстовые редакторы</w:t>
            </w:r>
          </w:p>
        </w:tc>
        <w:tc>
          <w:tcPr>
            <w:tcW w:w="1418" w:type="dxa"/>
            <w:shd w:val="clear" w:color="000000" w:fill="FFFFFF"/>
            <w:hideMark/>
          </w:tcPr>
          <w:p w14:paraId="48D38B4E" w14:textId="77777777" w:rsidR="001C32C8" w:rsidRPr="00B0658A" w:rsidRDefault="001C32C8" w:rsidP="00004A41">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44" w:type="dxa"/>
            <w:vAlign w:val="center"/>
          </w:tcPr>
          <w:p w14:paraId="7693FB29"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auto" w:fill="auto"/>
            <w:vAlign w:val="center"/>
            <w:hideMark/>
          </w:tcPr>
          <w:p w14:paraId="26174D35"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auto" w:fill="auto"/>
            <w:vAlign w:val="center"/>
            <w:hideMark/>
          </w:tcPr>
          <w:p w14:paraId="66F9A0BA"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auto" w:fill="auto"/>
            <w:vAlign w:val="center"/>
            <w:hideMark/>
          </w:tcPr>
          <w:p w14:paraId="1197DB70" w14:textId="77777777" w:rsidR="001C32C8" w:rsidRPr="00B0658A" w:rsidRDefault="001C32C8" w:rsidP="00004A41">
            <w:pPr>
              <w:spacing w:after="0" w:line="240" w:lineRule="auto"/>
              <w:jc w:val="center"/>
              <w:rPr>
                <w:rFonts w:ascii="Times New Roman" w:hAnsi="Times New Roman"/>
                <w:sz w:val="18"/>
                <w:szCs w:val="18"/>
              </w:rPr>
            </w:pPr>
          </w:p>
        </w:tc>
        <w:tc>
          <w:tcPr>
            <w:tcW w:w="993" w:type="dxa"/>
            <w:vAlign w:val="center"/>
          </w:tcPr>
          <w:p w14:paraId="09C9FF54"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auto" w:fill="auto"/>
            <w:vAlign w:val="center"/>
            <w:hideMark/>
          </w:tcPr>
          <w:p w14:paraId="2554F05D" w14:textId="77777777" w:rsidR="001C32C8" w:rsidRPr="00B0658A" w:rsidRDefault="001C32C8" w:rsidP="00004A41">
            <w:pPr>
              <w:spacing w:after="0" w:line="240" w:lineRule="auto"/>
              <w:jc w:val="center"/>
              <w:rPr>
                <w:rFonts w:ascii="Times New Roman" w:hAnsi="Times New Roman"/>
                <w:sz w:val="18"/>
                <w:szCs w:val="18"/>
              </w:rPr>
            </w:pPr>
          </w:p>
        </w:tc>
        <w:tc>
          <w:tcPr>
            <w:tcW w:w="780" w:type="dxa"/>
            <w:shd w:val="clear" w:color="auto" w:fill="auto"/>
            <w:vAlign w:val="center"/>
            <w:hideMark/>
          </w:tcPr>
          <w:p w14:paraId="4695F820"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auto" w:fill="auto"/>
            <w:vAlign w:val="center"/>
            <w:hideMark/>
          </w:tcPr>
          <w:p w14:paraId="025CC363" w14:textId="77777777" w:rsidR="001C32C8" w:rsidRPr="00B0658A" w:rsidRDefault="001C32C8" w:rsidP="00004A41">
            <w:pPr>
              <w:spacing w:after="0" w:line="240" w:lineRule="auto"/>
              <w:jc w:val="center"/>
              <w:rPr>
                <w:rFonts w:ascii="Times New Roman" w:hAnsi="Times New Roman"/>
                <w:sz w:val="18"/>
                <w:szCs w:val="18"/>
              </w:rPr>
            </w:pPr>
          </w:p>
        </w:tc>
        <w:tc>
          <w:tcPr>
            <w:tcW w:w="780" w:type="dxa"/>
            <w:vAlign w:val="center"/>
          </w:tcPr>
          <w:p w14:paraId="3BC065B0" w14:textId="77777777" w:rsidR="001C32C8" w:rsidRPr="00B0658A" w:rsidRDefault="001C32C8" w:rsidP="00004A41">
            <w:pPr>
              <w:spacing w:after="0" w:line="240" w:lineRule="auto"/>
              <w:jc w:val="center"/>
              <w:rPr>
                <w:rFonts w:ascii="Times New Roman" w:hAnsi="Times New Roman"/>
                <w:sz w:val="18"/>
                <w:szCs w:val="18"/>
              </w:rPr>
            </w:pPr>
          </w:p>
        </w:tc>
        <w:tc>
          <w:tcPr>
            <w:tcW w:w="779" w:type="dxa"/>
            <w:vAlign w:val="center"/>
          </w:tcPr>
          <w:p w14:paraId="5F09D7AC" w14:textId="77777777" w:rsidR="001C32C8" w:rsidRPr="00B0658A" w:rsidRDefault="001C32C8" w:rsidP="00004A41">
            <w:pPr>
              <w:spacing w:after="0" w:line="240" w:lineRule="auto"/>
              <w:jc w:val="center"/>
              <w:rPr>
                <w:rFonts w:ascii="Times New Roman" w:hAnsi="Times New Roman"/>
                <w:sz w:val="18"/>
                <w:szCs w:val="18"/>
              </w:rPr>
            </w:pPr>
          </w:p>
        </w:tc>
        <w:tc>
          <w:tcPr>
            <w:tcW w:w="780" w:type="dxa"/>
            <w:vAlign w:val="center"/>
          </w:tcPr>
          <w:p w14:paraId="17A3BDF3" w14:textId="77777777" w:rsidR="001C32C8" w:rsidRPr="00B0658A" w:rsidRDefault="001C32C8" w:rsidP="00004A41">
            <w:pPr>
              <w:spacing w:after="0" w:line="240" w:lineRule="auto"/>
              <w:jc w:val="center"/>
              <w:rPr>
                <w:rFonts w:ascii="Times New Roman" w:hAnsi="Times New Roman"/>
                <w:sz w:val="18"/>
                <w:szCs w:val="18"/>
              </w:rPr>
            </w:pPr>
          </w:p>
        </w:tc>
        <w:tc>
          <w:tcPr>
            <w:tcW w:w="1475" w:type="dxa"/>
            <w:vAlign w:val="center"/>
          </w:tcPr>
          <w:p w14:paraId="7FBACC4B" w14:textId="77777777" w:rsidR="001C32C8" w:rsidRPr="00B0658A" w:rsidRDefault="001C32C8" w:rsidP="00004A41">
            <w:pPr>
              <w:spacing w:after="0" w:line="240" w:lineRule="auto"/>
              <w:jc w:val="center"/>
              <w:rPr>
                <w:rFonts w:ascii="Times New Roman" w:hAnsi="Times New Roman"/>
                <w:sz w:val="18"/>
                <w:szCs w:val="18"/>
              </w:rPr>
            </w:pPr>
          </w:p>
        </w:tc>
      </w:tr>
      <w:tr w:rsidR="00F52FED" w:rsidRPr="00B0658A" w14:paraId="76084122" w14:textId="77777777" w:rsidTr="00E66BA4">
        <w:trPr>
          <w:trHeight w:val="20"/>
        </w:trPr>
        <w:tc>
          <w:tcPr>
            <w:tcW w:w="846" w:type="dxa"/>
            <w:shd w:val="clear" w:color="000000" w:fill="FFFFFF"/>
            <w:vAlign w:val="center"/>
          </w:tcPr>
          <w:p w14:paraId="7390B351" w14:textId="77777777" w:rsidR="001C32C8" w:rsidRPr="00B0658A" w:rsidRDefault="001C32C8" w:rsidP="00004A41">
            <w:pPr>
              <w:spacing w:after="0" w:line="240" w:lineRule="auto"/>
              <w:jc w:val="center"/>
              <w:rPr>
                <w:rFonts w:ascii="Times New Roman" w:hAnsi="Times New Roman"/>
                <w:sz w:val="18"/>
                <w:szCs w:val="18"/>
              </w:rPr>
            </w:pPr>
            <w:r w:rsidRPr="00B0658A">
              <w:rPr>
                <w:rFonts w:ascii="Times New Roman" w:hAnsi="Times New Roman"/>
                <w:sz w:val="18"/>
                <w:szCs w:val="18"/>
              </w:rPr>
              <w:t>6.12</w:t>
            </w:r>
          </w:p>
        </w:tc>
        <w:tc>
          <w:tcPr>
            <w:tcW w:w="1559" w:type="dxa"/>
            <w:shd w:val="clear" w:color="auto" w:fill="auto"/>
            <w:vAlign w:val="center"/>
            <w:hideMark/>
          </w:tcPr>
          <w:p w14:paraId="113C1461" w14:textId="77777777" w:rsidR="001C32C8" w:rsidRPr="00B0658A" w:rsidRDefault="001C32C8" w:rsidP="00004A41">
            <w:pPr>
              <w:spacing w:after="0" w:line="240" w:lineRule="auto"/>
              <w:rPr>
                <w:rFonts w:ascii="Times New Roman" w:hAnsi="Times New Roman"/>
                <w:sz w:val="18"/>
                <w:szCs w:val="18"/>
              </w:rPr>
            </w:pPr>
            <w:r w:rsidRPr="00B0658A">
              <w:rPr>
                <w:rFonts w:ascii="Times New Roman" w:hAnsi="Times New Roman"/>
                <w:sz w:val="18"/>
                <w:szCs w:val="18"/>
              </w:rPr>
              <w:t>Офисные приложения/ Программное обеспечение средств электронного документооборота</w:t>
            </w:r>
          </w:p>
        </w:tc>
        <w:tc>
          <w:tcPr>
            <w:tcW w:w="1418" w:type="dxa"/>
            <w:shd w:val="clear" w:color="000000" w:fill="FFFFFF"/>
            <w:hideMark/>
          </w:tcPr>
          <w:p w14:paraId="48E67AB8" w14:textId="77777777" w:rsidR="001C32C8" w:rsidRPr="00B0658A" w:rsidRDefault="001C32C8" w:rsidP="00004A41">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44" w:type="dxa"/>
            <w:vAlign w:val="center"/>
          </w:tcPr>
          <w:p w14:paraId="4CFEC87F"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auto" w:fill="auto"/>
            <w:vAlign w:val="center"/>
            <w:hideMark/>
          </w:tcPr>
          <w:p w14:paraId="655EA04D"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auto" w:fill="auto"/>
            <w:vAlign w:val="center"/>
            <w:hideMark/>
          </w:tcPr>
          <w:p w14:paraId="7A38A6F3"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auto" w:fill="auto"/>
            <w:vAlign w:val="center"/>
            <w:hideMark/>
          </w:tcPr>
          <w:p w14:paraId="6A69B794" w14:textId="77777777" w:rsidR="001C32C8" w:rsidRPr="00B0658A" w:rsidRDefault="001C32C8" w:rsidP="00004A41">
            <w:pPr>
              <w:spacing w:after="0" w:line="240" w:lineRule="auto"/>
              <w:jc w:val="center"/>
              <w:rPr>
                <w:rFonts w:ascii="Times New Roman" w:hAnsi="Times New Roman"/>
                <w:sz w:val="18"/>
                <w:szCs w:val="18"/>
              </w:rPr>
            </w:pPr>
          </w:p>
        </w:tc>
        <w:tc>
          <w:tcPr>
            <w:tcW w:w="993" w:type="dxa"/>
            <w:vAlign w:val="center"/>
          </w:tcPr>
          <w:p w14:paraId="74B499FB"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auto" w:fill="auto"/>
            <w:vAlign w:val="center"/>
            <w:hideMark/>
          </w:tcPr>
          <w:p w14:paraId="4F841DA1" w14:textId="77777777" w:rsidR="001C32C8" w:rsidRPr="00B0658A" w:rsidRDefault="001C32C8" w:rsidP="00004A41">
            <w:pPr>
              <w:spacing w:after="0" w:line="240" w:lineRule="auto"/>
              <w:jc w:val="center"/>
              <w:rPr>
                <w:rFonts w:ascii="Times New Roman" w:hAnsi="Times New Roman"/>
                <w:sz w:val="18"/>
                <w:szCs w:val="18"/>
              </w:rPr>
            </w:pPr>
          </w:p>
        </w:tc>
        <w:tc>
          <w:tcPr>
            <w:tcW w:w="780" w:type="dxa"/>
            <w:shd w:val="clear" w:color="auto" w:fill="auto"/>
            <w:vAlign w:val="center"/>
            <w:hideMark/>
          </w:tcPr>
          <w:p w14:paraId="1A71959D"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auto" w:fill="auto"/>
            <w:vAlign w:val="center"/>
            <w:hideMark/>
          </w:tcPr>
          <w:p w14:paraId="12855FA3" w14:textId="77777777" w:rsidR="001C32C8" w:rsidRPr="00B0658A" w:rsidRDefault="001C32C8" w:rsidP="00004A41">
            <w:pPr>
              <w:spacing w:after="0" w:line="240" w:lineRule="auto"/>
              <w:jc w:val="center"/>
              <w:rPr>
                <w:rFonts w:ascii="Times New Roman" w:hAnsi="Times New Roman"/>
                <w:sz w:val="18"/>
                <w:szCs w:val="18"/>
              </w:rPr>
            </w:pPr>
          </w:p>
        </w:tc>
        <w:tc>
          <w:tcPr>
            <w:tcW w:w="780" w:type="dxa"/>
            <w:vAlign w:val="center"/>
          </w:tcPr>
          <w:p w14:paraId="21B29B27" w14:textId="77777777" w:rsidR="001C32C8" w:rsidRPr="00B0658A" w:rsidRDefault="001C32C8" w:rsidP="00004A41">
            <w:pPr>
              <w:spacing w:after="0" w:line="240" w:lineRule="auto"/>
              <w:jc w:val="center"/>
              <w:rPr>
                <w:rFonts w:ascii="Times New Roman" w:hAnsi="Times New Roman"/>
                <w:sz w:val="18"/>
                <w:szCs w:val="18"/>
              </w:rPr>
            </w:pPr>
          </w:p>
        </w:tc>
        <w:tc>
          <w:tcPr>
            <w:tcW w:w="779" w:type="dxa"/>
            <w:vAlign w:val="center"/>
          </w:tcPr>
          <w:p w14:paraId="5BF6DDB7" w14:textId="77777777" w:rsidR="001C32C8" w:rsidRPr="00B0658A" w:rsidRDefault="001C32C8" w:rsidP="00004A41">
            <w:pPr>
              <w:spacing w:after="0" w:line="240" w:lineRule="auto"/>
              <w:jc w:val="center"/>
              <w:rPr>
                <w:rFonts w:ascii="Times New Roman" w:hAnsi="Times New Roman"/>
                <w:sz w:val="18"/>
                <w:szCs w:val="18"/>
              </w:rPr>
            </w:pPr>
          </w:p>
        </w:tc>
        <w:tc>
          <w:tcPr>
            <w:tcW w:w="780" w:type="dxa"/>
            <w:vAlign w:val="center"/>
          </w:tcPr>
          <w:p w14:paraId="28A49850" w14:textId="77777777" w:rsidR="001C32C8" w:rsidRPr="00B0658A" w:rsidRDefault="001C32C8" w:rsidP="00004A41">
            <w:pPr>
              <w:spacing w:after="0" w:line="240" w:lineRule="auto"/>
              <w:jc w:val="center"/>
              <w:rPr>
                <w:rFonts w:ascii="Times New Roman" w:hAnsi="Times New Roman"/>
                <w:sz w:val="18"/>
                <w:szCs w:val="18"/>
              </w:rPr>
            </w:pPr>
          </w:p>
        </w:tc>
        <w:tc>
          <w:tcPr>
            <w:tcW w:w="1475" w:type="dxa"/>
            <w:vAlign w:val="center"/>
          </w:tcPr>
          <w:p w14:paraId="4D73FEF1" w14:textId="77777777" w:rsidR="001C32C8" w:rsidRPr="00B0658A" w:rsidRDefault="001C32C8" w:rsidP="00004A41">
            <w:pPr>
              <w:spacing w:after="0" w:line="240" w:lineRule="auto"/>
              <w:jc w:val="center"/>
              <w:rPr>
                <w:rFonts w:ascii="Times New Roman" w:hAnsi="Times New Roman"/>
                <w:sz w:val="18"/>
                <w:szCs w:val="18"/>
              </w:rPr>
            </w:pPr>
          </w:p>
        </w:tc>
      </w:tr>
      <w:tr w:rsidR="00F52FED" w:rsidRPr="00B0658A" w14:paraId="76B9DDDD" w14:textId="77777777" w:rsidTr="00E66BA4">
        <w:trPr>
          <w:trHeight w:val="20"/>
        </w:trPr>
        <w:tc>
          <w:tcPr>
            <w:tcW w:w="846" w:type="dxa"/>
            <w:shd w:val="clear" w:color="000000" w:fill="FFFFFF"/>
            <w:vAlign w:val="center"/>
          </w:tcPr>
          <w:p w14:paraId="35B7B089" w14:textId="77777777" w:rsidR="001C32C8" w:rsidRPr="00B0658A" w:rsidRDefault="001C32C8" w:rsidP="00004A41">
            <w:pPr>
              <w:spacing w:after="0" w:line="240" w:lineRule="auto"/>
              <w:jc w:val="center"/>
              <w:rPr>
                <w:rFonts w:ascii="Times New Roman" w:hAnsi="Times New Roman"/>
                <w:sz w:val="18"/>
                <w:szCs w:val="18"/>
              </w:rPr>
            </w:pPr>
            <w:r w:rsidRPr="00B0658A">
              <w:rPr>
                <w:rFonts w:ascii="Times New Roman" w:hAnsi="Times New Roman"/>
                <w:sz w:val="18"/>
                <w:szCs w:val="18"/>
              </w:rPr>
              <w:t>7.1</w:t>
            </w:r>
          </w:p>
        </w:tc>
        <w:tc>
          <w:tcPr>
            <w:tcW w:w="1559" w:type="dxa"/>
            <w:shd w:val="clear" w:color="auto" w:fill="auto"/>
            <w:vAlign w:val="center"/>
            <w:hideMark/>
          </w:tcPr>
          <w:p w14:paraId="62FC42EC" w14:textId="77777777" w:rsidR="001C32C8" w:rsidRPr="00B0658A" w:rsidRDefault="001C32C8" w:rsidP="00004A41">
            <w:pPr>
              <w:spacing w:after="0" w:line="240" w:lineRule="auto"/>
              <w:rPr>
                <w:rFonts w:ascii="Times New Roman" w:hAnsi="Times New Roman"/>
                <w:sz w:val="18"/>
                <w:szCs w:val="18"/>
              </w:rPr>
            </w:pPr>
            <w:r w:rsidRPr="00B0658A">
              <w:rPr>
                <w:rFonts w:ascii="Times New Roman" w:hAnsi="Times New Roman"/>
                <w:sz w:val="18"/>
                <w:szCs w:val="18"/>
              </w:rPr>
              <w:t xml:space="preserve">Лингвистическое программное обеспечение/ Парсеры </w:t>
            </w:r>
            <w:r w:rsidRPr="00B0658A">
              <w:rPr>
                <w:rFonts w:ascii="Times New Roman" w:hAnsi="Times New Roman"/>
                <w:sz w:val="18"/>
                <w:szCs w:val="18"/>
              </w:rPr>
              <w:br/>
              <w:t>и семантические анализаторы</w:t>
            </w:r>
          </w:p>
        </w:tc>
        <w:tc>
          <w:tcPr>
            <w:tcW w:w="1418" w:type="dxa"/>
            <w:shd w:val="clear" w:color="000000" w:fill="FFFFFF"/>
            <w:hideMark/>
          </w:tcPr>
          <w:p w14:paraId="02A038B2" w14:textId="77777777" w:rsidR="001C32C8" w:rsidRPr="00B0658A" w:rsidRDefault="001C32C8" w:rsidP="00004A41">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44" w:type="dxa"/>
            <w:vAlign w:val="center"/>
          </w:tcPr>
          <w:p w14:paraId="57ABB9C9"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auto" w:fill="auto"/>
            <w:vAlign w:val="center"/>
            <w:hideMark/>
          </w:tcPr>
          <w:p w14:paraId="72034BE8"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auto" w:fill="auto"/>
            <w:vAlign w:val="center"/>
            <w:hideMark/>
          </w:tcPr>
          <w:p w14:paraId="0383E5BE"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auto" w:fill="auto"/>
            <w:vAlign w:val="center"/>
            <w:hideMark/>
          </w:tcPr>
          <w:p w14:paraId="76115135" w14:textId="77777777" w:rsidR="001C32C8" w:rsidRPr="00B0658A" w:rsidRDefault="001C32C8" w:rsidP="00004A41">
            <w:pPr>
              <w:spacing w:after="0" w:line="240" w:lineRule="auto"/>
              <w:jc w:val="center"/>
              <w:rPr>
                <w:rFonts w:ascii="Times New Roman" w:hAnsi="Times New Roman"/>
                <w:sz w:val="18"/>
                <w:szCs w:val="18"/>
              </w:rPr>
            </w:pPr>
          </w:p>
        </w:tc>
        <w:tc>
          <w:tcPr>
            <w:tcW w:w="993" w:type="dxa"/>
            <w:vAlign w:val="center"/>
          </w:tcPr>
          <w:p w14:paraId="11655E62"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auto" w:fill="auto"/>
            <w:vAlign w:val="center"/>
            <w:hideMark/>
          </w:tcPr>
          <w:p w14:paraId="78E2A074" w14:textId="77777777" w:rsidR="001C32C8" w:rsidRPr="00B0658A" w:rsidRDefault="001C32C8" w:rsidP="00004A41">
            <w:pPr>
              <w:spacing w:after="0" w:line="240" w:lineRule="auto"/>
              <w:jc w:val="center"/>
              <w:rPr>
                <w:rFonts w:ascii="Times New Roman" w:hAnsi="Times New Roman"/>
                <w:sz w:val="18"/>
                <w:szCs w:val="18"/>
              </w:rPr>
            </w:pPr>
          </w:p>
        </w:tc>
        <w:tc>
          <w:tcPr>
            <w:tcW w:w="780" w:type="dxa"/>
            <w:shd w:val="clear" w:color="auto" w:fill="auto"/>
            <w:vAlign w:val="center"/>
            <w:hideMark/>
          </w:tcPr>
          <w:p w14:paraId="29326D97"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auto" w:fill="auto"/>
            <w:vAlign w:val="center"/>
            <w:hideMark/>
          </w:tcPr>
          <w:p w14:paraId="0EA2FF9E" w14:textId="77777777" w:rsidR="001C32C8" w:rsidRPr="00B0658A" w:rsidRDefault="001C32C8" w:rsidP="00004A41">
            <w:pPr>
              <w:spacing w:after="0" w:line="240" w:lineRule="auto"/>
              <w:jc w:val="center"/>
              <w:rPr>
                <w:rFonts w:ascii="Times New Roman" w:hAnsi="Times New Roman"/>
                <w:sz w:val="18"/>
                <w:szCs w:val="18"/>
              </w:rPr>
            </w:pPr>
          </w:p>
        </w:tc>
        <w:tc>
          <w:tcPr>
            <w:tcW w:w="780" w:type="dxa"/>
            <w:vAlign w:val="center"/>
          </w:tcPr>
          <w:p w14:paraId="1E3507FF" w14:textId="77777777" w:rsidR="001C32C8" w:rsidRPr="00B0658A" w:rsidRDefault="001C32C8" w:rsidP="00004A41">
            <w:pPr>
              <w:spacing w:after="0" w:line="240" w:lineRule="auto"/>
              <w:jc w:val="center"/>
              <w:rPr>
                <w:rFonts w:ascii="Times New Roman" w:hAnsi="Times New Roman"/>
                <w:sz w:val="18"/>
                <w:szCs w:val="18"/>
              </w:rPr>
            </w:pPr>
          </w:p>
        </w:tc>
        <w:tc>
          <w:tcPr>
            <w:tcW w:w="779" w:type="dxa"/>
            <w:vAlign w:val="center"/>
          </w:tcPr>
          <w:p w14:paraId="738092EE" w14:textId="77777777" w:rsidR="001C32C8" w:rsidRPr="00B0658A" w:rsidRDefault="001C32C8" w:rsidP="00004A41">
            <w:pPr>
              <w:spacing w:after="0" w:line="240" w:lineRule="auto"/>
              <w:jc w:val="center"/>
              <w:rPr>
                <w:rFonts w:ascii="Times New Roman" w:hAnsi="Times New Roman"/>
                <w:sz w:val="18"/>
                <w:szCs w:val="18"/>
              </w:rPr>
            </w:pPr>
          </w:p>
        </w:tc>
        <w:tc>
          <w:tcPr>
            <w:tcW w:w="780" w:type="dxa"/>
            <w:vAlign w:val="center"/>
          </w:tcPr>
          <w:p w14:paraId="2691B7BD" w14:textId="77777777" w:rsidR="001C32C8" w:rsidRPr="00B0658A" w:rsidRDefault="001C32C8" w:rsidP="00004A41">
            <w:pPr>
              <w:spacing w:after="0" w:line="240" w:lineRule="auto"/>
              <w:jc w:val="center"/>
              <w:rPr>
                <w:rFonts w:ascii="Times New Roman" w:hAnsi="Times New Roman"/>
                <w:sz w:val="18"/>
                <w:szCs w:val="18"/>
              </w:rPr>
            </w:pPr>
          </w:p>
        </w:tc>
        <w:tc>
          <w:tcPr>
            <w:tcW w:w="1475" w:type="dxa"/>
            <w:vAlign w:val="center"/>
          </w:tcPr>
          <w:p w14:paraId="3F428A21" w14:textId="77777777" w:rsidR="001C32C8" w:rsidRPr="00B0658A" w:rsidRDefault="001C32C8" w:rsidP="00004A41">
            <w:pPr>
              <w:spacing w:after="0" w:line="240" w:lineRule="auto"/>
              <w:jc w:val="center"/>
              <w:rPr>
                <w:rFonts w:ascii="Times New Roman" w:hAnsi="Times New Roman"/>
                <w:sz w:val="18"/>
                <w:szCs w:val="18"/>
              </w:rPr>
            </w:pPr>
          </w:p>
        </w:tc>
      </w:tr>
      <w:tr w:rsidR="00F52FED" w:rsidRPr="00B0658A" w14:paraId="135B40F1" w14:textId="77777777" w:rsidTr="00E66BA4">
        <w:trPr>
          <w:trHeight w:val="20"/>
        </w:trPr>
        <w:tc>
          <w:tcPr>
            <w:tcW w:w="846" w:type="dxa"/>
            <w:shd w:val="clear" w:color="000000" w:fill="FFFFFF"/>
            <w:vAlign w:val="center"/>
          </w:tcPr>
          <w:p w14:paraId="53816B3C" w14:textId="77777777" w:rsidR="001C32C8" w:rsidRPr="00B0658A" w:rsidRDefault="001C32C8" w:rsidP="00004A41">
            <w:pPr>
              <w:spacing w:after="0" w:line="240" w:lineRule="auto"/>
              <w:jc w:val="center"/>
              <w:rPr>
                <w:rFonts w:ascii="Times New Roman" w:hAnsi="Times New Roman"/>
                <w:sz w:val="18"/>
                <w:szCs w:val="18"/>
              </w:rPr>
            </w:pPr>
            <w:r w:rsidRPr="00B0658A">
              <w:rPr>
                <w:rFonts w:ascii="Times New Roman" w:hAnsi="Times New Roman"/>
                <w:sz w:val="18"/>
                <w:szCs w:val="18"/>
              </w:rPr>
              <w:t>7.2</w:t>
            </w:r>
          </w:p>
        </w:tc>
        <w:tc>
          <w:tcPr>
            <w:tcW w:w="1559" w:type="dxa"/>
            <w:shd w:val="clear" w:color="auto" w:fill="auto"/>
            <w:vAlign w:val="center"/>
            <w:hideMark/>
          </w:tcPr>
          <w:p w14:paraId="26FBB1B1" w14:textId="77777777" w:rsidR="001C32C8" w:rsidRPr="00B0658A" w:rsidRDefault="001C32C8" w:rsidP="00004A41">
            <w:pPr>
              <w:spacing w:after="0" w:line="240" w:lineRule="auto"/>
              <w:rPr>
                <w:rFonts w:ascii="Times New Roman" w:hAnsi="Times New Roman"/>
                <w:sz w:val="18"/>
                <w:szCs w:val="18"/>
              </w:rPr>
            </w:pPr>
            <w:r w:rsidRPr="00B0658A">
              <w:rPr>
                <w:rFonts w:ascii="Times New Roman" w:hAnsi="Times New Roman"/>
                <w:sz w:val="18"/>
                <w:szCs w:val="18"/>
              </w:rPr>
              <w:t>Лингвистическое программное обеспечение/ Средства речевого перевода</w:t>
            </w:r>
          </w:p>
        </w:tc>
        <w:tc>
          <w:tcPr>
            <w:tcW w:w="1418" w:type="dxa"/>
            <w:shd w:val="clear" w:color="000000" w:fill="FFFFFF"/>
            <w:hideMark/>
          </w:tcPr>
          <w:p w14:paraId="20DCA56D" w14:textId="77777777" w:rsidR="001C32C8" w:rsidRPr="00B0658A" w:rsidRDefault="001C32C8" w:rsidP="00004A41">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44" w:type="dxa"/>
            <w:shd w:val="clear" w:color="000000" w:fill="FFFFFF"/>
            <w:vAlign w:val="center"/>
          </w:tcPr>
          <w:p w14:paraId="4BC2FD12"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000000" w:fill="FFFFFF"/>
            <w:vAlign w:val="center"/>
            <w:hideMark/>
          </w:tcPr>
          <w:p w14:paraId="12737767"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000000" w:fill="FFFFFF"/>
            <w:vAlign w:val="center"/>
            <w:hideMark/>
          </w:tcPr>
          <w:p w14:paraId="72B8786A"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000000" w:fill="FFFFFF"/>
            <w:vAlign w:val="center"/>
            <w:hideMark/>
          </w:tcPr>
          <w:p w14:paraId="29F07E15" w14:textId="77777777" w:rsidR="001C32C8" w:rsidRPr="00B0658A" w:rsidRDefault="001C32C8" w:rsidP="00004A41">
            <w:pPr>
              <w:spacing w:after="0" w:line="240" w:lineRule="auto"/>
              <w:jc w:val="center"/>
              <w:rPr>
                <w:rFonts w:ascii="Times New Roman" w:hAnsi="Times New Roman"/>
                <w:sz w:val="18"/>
                <w:szCs w:val="18"/>
              </w:rPr>
            </w:pPr>
          </w:p>
        </w:tc>
        <w:tc>
          <w:tcPr>
            <w:tcW w:w="993" w:type="dxa"/>
            <w:shd w:val="clear" w:color="000000" w:fill="FFFFFF"/>
            <w:vAlign w:val="center"/>
          </w:tcPr>
          <w:p w14:paraId="0A21C3F9"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000000" w:fill="FFFFFF"/>
            <w:vAlign w:val="center"/>
            <w:hideMark/>
          </w:tcPr>
          <w:p w14:paraId="4C67E0DA" w14:textId="77777777" w:rsidR="001C32C8" w:rsidRPr="00B0658A" w:rsidRDefault="001C32C8" w:rsidP="00004A41">
            <w:pPr>
              <w:spacing w:after="0" w:line="240" w:lineRule="auto"/>
              <w:jc w:val="center"/>
              <w:rPr>
                <w:rFonts w:ascii="Times New Roman" w:hAnsi="Times New Roman"/>
                <w:sz w:val="18"/>
                <w:szCs w:val="18"/>
              </w:rPr>
            </w:pPr>
          </w:p>
        </w:tc>
        <w:tc>
          <w:tcPr>
            <w:tcW w:w="780" w:type="dxa"/>
            <w:shd w:val="clear" w:color="000000" w:fill="FFFFFF"/>
            <w:vAlign w:val="center"/>
            <w:hideMark/>
          </w:tcPr>
          <w:p w14:paraId="4829EA47"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000000" w:fill="FFFFFF"/>
            <w:vAlign w:val="center"/>
            <w:hideMark/>
          </w:tcPr>
          <w:p w14:paraId="0B0D92E4" w14:textId="77777777" w:rsidR="001C32C8" w:rsidRPr="00B0658A" w:rsidRDefault="001C32C8" w:rsidP="00004A41">
            <w:pPr>
              <w:spacing w:after="0" w:line="240" w:lineRule="auto"/>
              <w:jc w:val="center"/>
              <w:rPr>
                <w:rFonts w:ascii="Times New Roman" w:hAnsi="Times New Roman"/>
                <w:sz w:val="18"/>
                <w:szCs w:val="18"/>
              </w:rPr>
            </w:pPr>
          </w:p>
        </w:tc>
        <w:tc>
          <w:tcPr>
            <w:tcW w:w="780" w:type="dxa"/>
            <w:shd w:val="clear" w:color="000000" w:fill="FFFFFF"/>
            <w:vAlign w:val="center"/>
          </w:tcPr>
          <w:p w14:paraId="22C8FA4A"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000000" w:fill="FFFFFF"/>
            <w:vAlign w:val="center"/>
          </w:tcPr>
          <w:p w14:paraId="1336AAF9" w14:textId="77777777" w:rsidR="001C32C8" w:rsidRPr="00B0658A" w:rsidRDefault="001C32C8" w:rsidP="00004A41">
            <w:pPr>
              <w:spacing w:after="0" w:line="240" w:lineRule="auto"/>
              <w:jc w:val="center"/>
              <w:rPr>
                <w:rFonts w:ascii="Times New Roman" w:hAnsi="Times New Roman"/>
                <w:sz w:val="18"/>
                <w:szCs w:val="18"/>
              </w:rPr>
            </w:pPr>
          </w:p>
        </w:tc>
        <w:tc>
          <w:tcPr>
            <w:tcW w:w="780" w:type="dxa"/>
            <w:shd w:val="clear" w:color="000000" w:fill="FFFFFF"/>
            <w:vAlign w:val="center"/>
          </w:tcPr>
          <w:p w14:paraId="3349CDE0" w14:textId="77777777" w:rsidR="001C32C8" w:rsidRPr="00B0658A" w:rsidRDefault="001C32C8" w:rsidP="00004A41">
            <w:pPr>
              <w:spacing w:after="0" w:line="240" w:lineRule="auto"/>
              <w:jc w:val="center"/>
              <w:rPr>
                <w:rFonts w:ascii="Times New Roman" w:hAnsi="Times New Roman"/>
                <w:sz w:val="18"/>
                <w:szCs w:val="18"/>
              </w:rPr>
            </w:pPr>
          </w:p>
        </w:tc>
        <w:tc>
          <w:tcPr>
            <w:tcW w:w="1475" w:type="dxa"/>
            <w:shd w:val="clear" w:color="000000" w:fill="FFFFFF"/>
            <w:vAlign w:val="center"/>
          </w:tcPr>
          <w:p w14:paraId="316BE5CA" w14:textId="77777777" w:rsidR="001C32C8" w:rsidRPr="00B0658A" w:rsidRDefault="001C32C8" w:rsidP="00004A41">
            <w:pPr>
              <w:spacing w:after="0" w:line="240" w:lineRule="auto"/>
              <w:jc w:val="center"/>
              <w:rPr>
                <w:rFonts w:ascii="Times New Roman" w:hAnsi="Times New Roman"/>
                <w:sz w:val="18"/>
                <w:szCs w:val="18"/>
              </w:rPr>
            </w:pPr>
          </w:p>
        </w:tc>
      </w:tr>
      <w:tr w:rsidR="00F52FED" w:rsidRPr="00B0658A" w14:paraId="5DC36384" w14:textId="77777777" w:rsidTr="00E66BA4">
        <w:trPr>
          <w:trHeight w:val="20"/>
        </w:trPr>
        <w:tc>
          <w:tcPr>
            <w:tcW w:w="846" w:type="dxa"/>
            <w:shd w:val="clear" w:color="000000" w:fill="FFFFFF"/>
            <w:vAlign w:val="center"/>
          </w:tcPr>
          <w:p w14:paraId="2ED706C3" w14:textId="77777777" w:rsidR="001C32C8" w:rsidRPr="00B0658A" w:rsidRDefault="001C32C8" w:rsidP="00004A41">
            <w:pPr>
              <w:spacing w:after="0" w:line="240" w:lineRule="auto"/>
              <w:jc w:val="center"/>
              <w:rPr>
                <w:rFonts w:ascii="Times New Roman" w:hAnsi="Times New Roman"/>
                <w:sz w:val="18"/>
                <w:szCs w:val="18"/>
                <w:lang w:val="en-US"/>
              </w:rPr>
            </w:pPr>
            <w:r w:rsidRPr="00B0658A">
              <w:rPr>
                <w:rFonts w:ascii="Times New Roman" w:hAnsi="Times New Roman"/>
                <w:sz w:val="18"/>
                <w:szCs w:val="18"/>
                <w:lang w:val="en-US"/>
              </w:rPr>
              <w:t>7.3</w:t>
            </w:r>
          </w:p>
        </w:tc>
        <w:tc>
          <w:tcPr>
            <w:tcW w:w="1559" w:type="dxa"/>
            <w:shd w:val="clear" w:color="auto" w:fill="auto"/>
            <w:vAlign w:val="center"/>
            <w:hideMark/>
          </w:tcPr>
          <w:p w14:paraId="0A2B3CF0" w14:textId="77777777" w:rsidR="001C32C8" w:rsidRPr="00B0658A" w:rsidRDefault="001C32C8" w:rsidP="00004A41">
            <w:pPr>
              <w:spacing w:after="0" w:line="240" w:lineRule="auto"/>
              <w:rPr>
                <w:rFonts w:ascii="Times New Roman" w:hAnsi="Times New Roman"/>
                <w:sz w:val="18"/>
                <w:szCs w:val="18"/>
              </w:rPr>
            </w:pPr>
            <w:r w:rsidRPr="00B0658A">
              <w:rPr>
                <w:rFonts w:ascii="Times New Roman" w:hAnsi="Times New Roman"/>
                <w:sz w:val="18"/>
                <w:szCs w:val="18"/>
              </w:rPr>
              <w:t xml:space="preserve">Лингвистическое программное обеспечение/ Средства </w:t>
            </w:r>
            <w:r w:rsidRPr="00B0658A">
              <w:rPr>
                <w:rFonts w:ascii="Times New Roman" w:hAnsi="Times New Roman"/>
                <w:sz w:val="18"/>
                <w:szCs w:val="18"/>
              </w:rPr>
              <w:lastRenderedPageBreak/>
              <w:t>распознавания символов</w:t>
            </w:r>
          </w:p>
        </w:tc>
        <w:tc>
          <w:tcPr>
            <w:tcW w:w="1418" w:type="dxa"/>
            <w:shd w:val="clear" w:color="000000" w:fill="FFFFFF"/>
            <w:hideMark/>
          </w:tcPr>
          <w:p w14:paraId="37CD6B5A" w14:textId="77777777" w:rsidR="001C32C8" w:rsidRPr="00B0658A" w:rsidRDefault="001C32C8" w:rsidP="00004A41">
            <w:pPr>
              <w:spacing w:after="0" w:line="240" w:lineRule="auto"/>
              <w:rPr>
                <w:rFonts w:ascii="Times New Roman" w:hAnsi="Times New Roman"/>
                <w:sz w:val="18"/>
                <w:szCs w:val="18"/>
              </w:rPr>
            </w:pPr>
            <w:r w:rsidRPr="00B0658A">
              <w:rPr>
                <w:rFonts w:ascii="Times New Roman" w:hAnsi="Times New Roman"/>
                <w:sz w:val="18"/>
                <w:szCs w:val="18"/>
              </w:rPr>
              <w:lastRenderedPageBreak/>
              <w:t xml:space="preserve">Доля используемого российского ПО в общем объёме, </w:t>
            </w:r>
            <w:r w:rsidRPr="00B0658A">
              <w:rPr>
                <w:rFonts w:ascii="Times New Roman" w:hAnsi="Times New Roman"/>
                <w:sz w:val="18"/>
                <w:szCs w:val="18"/>
              </w:rPr>
              <w:lastRenderedPageBreak/>
              <w:t>используемого ПО, %</w:t>
            </w:r>
          </w:p>
        </w:tc>
        <w:tc>
          <w:tcPr>
            <w:tcW w:w="744" w:type="dxa"/>
            <w:vAlign w:val="center"/>
          </w:tcPr>
          <w:p w14:paraId="5E9C1CF5"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auto" w:fill="auto"/>
            <w:vAlign w:val="center"/>
            <w:hideMark/>
          </w:tcPr>
          <w:p w14:paraId="260FC4DD"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auto" w:fill="auto"/>
            <w:vAlign w:val="center"/>
            <w:hideMark/>
          </w:tcPr>
          <w:p w14:paraId="46000E4D"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auto" w:fill="auto"/>
            <w:vAlign w:val="center"/>
            <w:hideMark/>
          </w:tcPr>
          <w:p w14:paraId="0B318CC6" w14:textId="77777777" w:rsidR="001C32C8" w:rsidRPr="00B0658A" w:rsidRDefault="001C32C8" w:rsidP="00004A41">
            <w:pPr>
              <w:spacing w:after="0" w:line="240" w:lineRule="auto"/>
              <w:jc w:val="center"/>
              <w:rPr>
                <w:rFonts w:ascii="Times New Roman" w:hAnsi="Times New Roman"/>
                <w:sz w:val="18"/>
                <w:szCs w:val="18"/>
              </w:rPr>
            </w:pPr>
          </w:p>
        </w:tc>
        <w:tc>
          <w:tcPr>
            <w:tcW w:w="993" w:type="dxa"/>
            <w:vAlign w:val="center"/>
          </w:tcPr>
          <w:p w14:paraId="06F23185"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auto" w:fill="auto"/>
            <w:vAlign w:val="center"/>
            <w:hideMark/>
          </w:tcPr>
          <w:p w14:paraId="14626787" w14:textId="77777777" w:rsidR="001C32C8" w:rsidRPr="00B0658A" w:rsidRDefault="001C32C8" w:rsidP="00004A41">
            <w:pPr>
              <w:spacing w:after="0" w:line="240" w:lineRule="auto"/>
              <w:jc w:val="center"/>
              <w:rPr>
                <w:rFonts w:ascii="Times New Roman" w:hAnsi="Times New Roman"/>
                <w:sz w:val="18"/>
                <w:szCs w:val="18"/>
              </w:rPr>
            </w:pPr>
          </w:p>
        </w:tc>
        <w:tc>
          <w:tcPr>
            <w:tcW w:w="780" w:type="dxa"/>
            <w:shd w:val="clear" w:color="auto" w:fill="auto"/>
            <w:vAlign w:val="center"/>
            <w:hideMark/>
          </w:tcPr>
          <w:p w14:paraId="1E2A5FF7"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auto" w:fill="auto"/>
            <w:vAlign w:val="center"/>
            <w:hideMark/>
          </w:tcPr>
          <w:p w14:paraId="5AB049DD" w14:textId="77777777" w:rsidR="001C32C8" w:rsidRPr="00B0658A" w:rsidRDefault="001C32C8" w:rsidP="00004A41">
            <w:pPr>
              <w:spacing w:after="0" w:line="240" w:lineRule="auto"/>
              <w:jc w:val="center"/>
              <w:rPr>
                <w:rFonts w:ascii="Times New Roman" w:hAnsi="Times New Roman"/>
                <w:sz w:val="18"/>
                <w:szCs w:val="18"/>
              </w:rPr>
            </w:pPr>
          </w:p>
        </w:tc>
        <w:tc>
          <w:tcPr>
            <w:tcW w:w="780" w:type="dxa"/>
            <w:vAlign w:val="center"/>
          </w:tcPr>
          <w:p w14:paraId="380E99E6" w14:textId="77777777" w:rsidR="001C32C8" w:rsidRPr="00B0658A" w:rsidRDefault="001C32C8" w:rsidP="00004A41">
            <w:pPr>
              <w:spacing w:after="0" w:line="240" w:lineRule="auto"/>
              <w:jc w:val="center"/>
              <w:rPr>
                <w:rFonts w:ascii="Times New Roman" w:hAnsi="Times New Roman"/>
                <w:sz w:val="18"/>
                <w:szCs w:val="18"/>
              </w:rPr>
            </w:pPr>
          </w:p>
        </w:tc>
        <w:tc>
          <w:tcPr>
            <w:tcW w:w="779" w:type="dxa"/>
            <w:vAlign w:val="center"/>
          </w:tcPr>
          <w:p w14:paraId="2332D4A3" w14:textId="77777777" w:rsidR="001C32C8" w:rsidRPr="00B0658A" w:rsidRDefault="001C32C8" w:rsidP="00004A41">
            <w:pPr>
              <w:spacing w:after="0" w:line="240" w:lineRule="auto"/>
              <w:jc w:val="center"/>
              <w:rPr>
                <w:rFonts w:ascii="Times New Roman" w:hAnsi="Times New Roman"/>
                <w:sz w:val="18"/>
                <w:szCs w:val="18"/>
              </w:rPr>
            </w:pPr>
          </w:p>
        </w:tc>
        <w:tc>
          <w:tcPr>
            <w:tcW w:w="780" w:type="dxa"/>
            <w:vAlign w:val="center"/>
          </w:tcPr>
          <w:p w14:paraId="70144103" w14:textId="77777777" w:rsidR="001C32C8" w:rsidRPr="00B0658A" w:rsidRDefault="001C32C8" w:rsidP="00004A41">
            <w:pPr>
              <w:spacing w:after="0" w:line="240" w:lineRule="auto"/>
              <w:jc w:val="center"/>
              <w:rPr>
                <w:rFonts w:ascii="Times New Roman" w:hAnsi="Times New Roman"/>
                <w:sz w:val="18"/>
                <w:szCs w:val="18"/>
              </w:rPr>
            </w:pPr>
          </w:p>
        </w:tc>
        <w:tc>
          <w:tcPr>
            <w:tcW w:w="1475" w:type="dxa"/>
            <w:vAlign w:val="center"/>
          </w:tcPr>
          <w:p w14:paraId="540EFB16" w14:textId="77777777" w:rsidR="001C32C8" w:rsidRPr="00B0658A" w:rsidRDefault="001C32C8" w:rsidP="00004A41">
            <w:pPr>
              <w:spacing w:after="0" w:line="240" w:lineRule="auto"/>
              <w:jc w:val="center"/>
              <w:rPr>
                <w:rFonts w:ascii="Times New Roman" w:hAnsi="Times New Roman"/>
                <w:sz w:val="18"/>
                <w:szCs w:val="18"/>
              </w:rPr>
            </w:pPr>
          </w:p>
        </w:tc>
      </w:tr>
      <w:tr w:rsidR="00F52FED" w:rsidRPr="00B0658A" w14:paraId="4B25AD0B" w14:textId="77777777" w:rsidTr="00E66BA4">
        <w:trPr>
          <w:trHeight w:val="20"/>
        </w:trPr>
        <w:tc>
          <w:tcPr>
            <w:tcW w:w="846" w:type="dxa"/>
            <w:shd w:val="clear" w:color="000000" w:fill="FFFFFF"/>
            <w:vAlign w:val="center"/>
          </w:tcPr>
          <w:p w14:paraId="2BCDA7B4" w14:textId="77777777" w:rsidR="001C32C8" w:rsidRPr="00B0658A" w:rsidRDefault="001C32C8" w:rsidP="00004A41">
            <w:pPr>
              <w:spacing w:after="0" w:line="240" w:lineRule="auto"/>
              <w:jc w:val="center"/>
              <w:rPr>
                <w:rFonts w:ascii="Times New Roman" w:hAnsi="Times New Roman"/>
                <w:sz w:val="18"/>
                <w:szCs w:val="18"/>
              </w:rPr>
            </w:pPr>
            <w:r w:rsidRPr="00B0658A">
              <w:rPr>
                <w:rFonts w:ascii="Times New Roman" w:hAnsi="Times New Roman"/>
                <w:sz w:val="18"/>
                <w:szCs w:val="18"/>
              </w:rPr>
              <w:t>7.4</w:t>
            </w:r>
          </w:p>
        </w:tc>
        <w:tc>
          <w:tcPr>
            <w:tcW w:w="1559" w:type="dxa"/>
            <w:shd w:val="clear" w:color="auto" w:fill="auto"/>
            <w:vAlign w:val="center"/>
            <w:hideMark/>
          </w:tcPr>
          <w:p w14:paraId="0BA77BB0" w14:textId="77777777" w:rsidR="001C32C8" w:rsidRPr="00B0658A" w:rsidRDefault="001C32C8" w:rsidP="00004A41">
            <w:pPr>
              <w:spacing w:after="0" w:line="240" w:lineRule="auto"/>
              <w:rPr>
                <w:rFonts w:ascii="Times New Roman" w:hAnsi="Times New Roman"/>
                <w:sz w:val="18"/>
                <w:szCs w:val="18"/>
              </w:rPr>
            </w:pPr>
            <w:r w:rsidRPr="00B0658A">
              <w:rPr>
                <w:rFonts w:ascii="Times New Roman" w:hAnsi="Times New Roman"/>
                <w:sz w:val="18"/>
                <w:szCs w:val="18"/>
              </w:rPr>
              <w:t>Лингвистическое программное обеспечение/ Средства распознавания и синтеза речи</w:t>
            </w:r>
          </w:p>
        </w:tc>
        <w:tc>
          <w:tcPr>
            <w:tcW w:w="1418" w:type="dxa"/>
            <w:shd w:val="clear" w:color="000000" w:fill="FFFFFF"/>
            <w:hideMark/>
          </w:tcPr>
          <w:p w14:paraId="3340B381" w14:textId="77777777" w:rsidR="001C32C8" w:rsidRPr="00B0658A" w:rsidRDefault="001C32C8" w:rsidP="00004A41">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44" w:type="dxa"/>
            <w:shd w:val="clear" w:color="000000" w:fill="FFFFFF"/>
            <w:vAlign w:val="center"/>
          </w:tcPr>
          <w:p w14:paraId="543327EA"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000000" w:fill="FFFFFF"/>
            <w:vAlign w:val="center"/>
            <w:hideMark/>
          </w:tcPr>
          <w:p w14:paraId="498F23DC"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000000" w:fill="FFFFFF"/>
            <w:vAlign w:val="center"/>
            <w:hideMark/>
          </w:tcPr>
          <w:p w14:paraId="135F7F53"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000000" w:fill="FFFFFF"/>
            <w:vAlign w:val="center"/>
            <w:hideMark/>
          </w:tcPr>
          <w:p w14:paraId="51A442CE" w14:textId="77777777" w:rsidR="001C32C8" w:rsidRPr="00B0658A" w:rsidRDefault="001C32C8" w:rsidP="00004A41">
            <w:pPr>
              <w:spacing w:after="0" w:line="240" w:lineRule="auto"/>
              <w:jc w:val="center"/>
              <w:rPr>
                <w:rFonts w:ascii="Times New Roman" w:hAnsi="Times New Roman"/>
                <w:sz w:val="18"/>
                <w:szCs w:val="18"/>
              </w:rPr>
            </w:pPr>
          </w:p>
        </w:tc>
        <w:tc>
          <w:tcPr>
            <w:tcW w:w="993" w:type="dxa"/>
            <w:shd w:val="clear" w:color="000000" w:fill="FFFFFF"/>
            <w:vAlign w:val="center"/>
          </w:tcPr>
          <w:p w14:paraId="25A3C6C2"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000000" w:fill="FFFFFF"/>
            <w:vAlign w:val="center"/>
            <w:hideMark/>
          </w:tcPr>
          <w:p w14:paraId="170CC5DD" w14:textId="77777777" w:rsidR="001C32C8" w:rsidRPr="00B0658A" w:rsidRDefault="001C32C8" w:rsidP="00004A41">
            <w:pPr>
              <w:spacing w:after="0" w:line="240" w:lineRule="auto"/>
              <w:jc w:val="center"/>
              <w:rPr>
                <w:rFonts w:ascii="Times New Roman" w:hAnsi="Times New Roman"/>
                <w:sz w:val="18"/>
                <w:szCs w:val="18"/>
              </w:rPr>
            </w:pPr>
          </w:p>
        </w:tc>
        <w:tc>
          <w:tcPr>
            <w:tcW w:w="780" w:type="dxa"/>
            <w:shd w:val="clear" w:color="000000" w:fill="FFFFFF"/>
            <w:vAlign w:val="center"/>
            <w:hideMark/>
          </w:tcPr>
          <w:p w14:paraId="600F6A67"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000000" w:fill="FFFFFF"/>
            <w:vAlign w:val="center"/>
            <w:hideMark/>
          </w:tcPr>
          <w:p w14:paraId="4A71D752" w14:textId="77777777" w:rsidR="001C32C8" w:rsidRPr="00B0658A" w:rsidRDefault="001C32C8" w:rsidP="00004A41">
            <w:pPr>
              <w:spacing w:after="0" w:line="240" w:lineRule="auto"/>
              <w:jc w:val="center"/>
              <w:rPr>
                <w:rFonts w:ascii="Times New Roman" w:hAnsi="Times New Roman"/>
                <w:sz w:val="18"/>
                <w:szCs w:val="18"/>
              </w:rPr>
            </w:pPr>
          </w:p>
        </w:tc>
        <w:tc>
          <w:tcPr>
            <w:tcW w:w="780" w:type="dxa"/>
            <w:shd w:val="clear" w:color="000000" w:fill="FFFFFF"/>
            <w:vAlign w:val="center"/>
          </w:tcPr>
          <w:p w14:paraId="0C5E3FD5"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000000" w:fill="FFFFFF"/>
            <w:vAlign w:val="center"/>
          </w:tcPr>
          <w:p w14:paraId="16C37618" w14:textId="77777777" w:rsidR="001C32C8" w:rsidRPr="00B0658A" w:rsidRDefault="001C32C8" w:rsidP="00004A41">
            <w:pPr>
              <w:spacing w:after="0" w:line="240" w:lineRule="auto"/>
              <w:jc w:val="center"/>
              <w:rPr>
                <w:rFonts w:ascii="Times New Roman" w:hAnsi="Times New Roman"/>
                <w:sz w:val="18"/>
                <w:szCs w:val="18"/>
              </w:rPr>
            </w:pPr>
          </w:p>
        </w:tc>
        <w:tc>
          <w:tcPr>
            <w:tcW w:w="780" w:type="dxa"/>
            <w:shd w:val="clear" w:color="000000" w:fill="FFFFFF"/>
            <w:vAlign w:val="center"/>
          </w:tcPr>
          <w:p w14:paraId="63963488" w14:textId="77777777" w:rsidR="001C32C8" w:rsidRPr="00B0658A" w:rsidRDefault="001C32C8" w:rsidP="00004A41">
            <w:pPr>
              <w:spacing w:after="0" w:line="240" w:lineRule="auto"/>
              <w:jc w:val="center"/>
              <w:rPr>
                <w:rFonts w:ascii="Times New Roman" w:hAnsi="Times New Roman"/>
                <w:sz w:val="18"/>
                <w:szCs w:val="18"/>
              </w:rPr>
            </w:pPr>
          </w:p>
        </w:tc>
        <w:tc>
          <w:tcPr>
            <w:tcW w:w="1475" w:type="dxa"/>
            <w:shd w:val="clear" w:color="000000" w:fill="FFFFFF"/>
            <w:vAlign w:val="center"/>
          </w:tcPr>
          <w:p w14:paraId="146A3FFE" w14:textId="77777777" w:rsidR="001C32C8" w:rsidRPr="00B0658A" w:rsidRDefault="001C32C8" w:rsidP="00004A41">
            <w:pPr>
              <w:spacing w:after="0" w:line="240" w:lineRule="auto"/>
              <w:jc w:val="center"/>
              <w:rPr>
                <w:rFonts w:ascii="Times New Roman" w:hAnsi="Times New Roman"/>
                <w:sz w:val="18"/>
                <w:szCs w:val="18"/>
              </w:rPr>
            </w:pPr>
          </w:p>
        </w:tc>
      </w:tr>
      <w:tr w:rsidR="00F52FED" w:rsidRPr="00B0658A" w14:paraId="69C9B0F7" w14:textId="77777777" w:rsidTr="00E66BA4">
        <w:trPr>
          <w:trHeight w:val="20"/>
        </w:trPr>
        <w:tc>
          <w:tcPr>
            <w:tcW w:w="846" w:type="dxa"/>
            <w:shd w:val="clear" w:color="000000" w:fill="FFFFFF"/>
            <w:vAlign w:val="center"/>
          </w:tcPr>
          <w:p w14:paraId="7F6C5A8E" w14:textId="77777777" w:rsidR="001C32C8" w:rsidRPr="00B0658A" w:rsidRDefault="001C32C8" w:rsidP="00004A41">
            <w:pPr>
              <w:spacing w:after="0" w:line="240" w:lineRule="auto"/>
              <w:jc w:val="center"/>
              <w:rPr>
                <w:rFonts w:ascii="Times New Roman" w:hAnsi="Times New Roman"/>
                <w:sz w:val="18"/>
                <w:szCs w:val="18"/>
              </w:rPr>
            </w:pPr>
            <w:r w:rsidRPr="00B0658A">
              <w:rPr>
                <w:rFonts w:ascii="Times New Roman" w:hAnsi="Times New Roman"/>
                <w:sz w:val="18"/>
                <w:szCs w:val="18"/>
              </w:rPr>
              <w:t>7.5</w:t>
            </w:r>
          </w:p>
        </w:tc>
        <w:tc>
          <w:tcPr>
            <w:tcW w:w="1559" w:type="dxa"/>
            <w:shd w:val="clear" w:color="auto" w:fill="auto"/>
            <w:vAlign w:val="center"/>
            <w:hideMark/>
          </w:tcPr>
          <w:p w14:paraId="7ADAF870" w14:textId="77777777" w:rsidR="001C32C8" w:rsidRPr="00B0658A" w:rsidRDefault="001C32C8" w:rsidP="00004A41">
            <w:pPr>
              <w:spacing w:after="0" w:line="240" w:lineRule="auto"/>
              <w:rPr>
                <w:rFonts w:ascii="Times New Roman" w:hAnsi="Times New Roman"/>
                <w:sz w:val="18"/>
                <w:szCs w:val="18"/>
              </w:rPr>
            </w:pPr>
            <w:r w:rsidRPr="00B0658A">
              <w:rPr>
                <w:rFonts w:ascii="Times New Roman" w:hAnsi="Times New Roman"/>
                <w:sz w:val="18"/>
                <w:szCs w:val="18"/>
              </w:rPr>
              <w:t>Лингвистическое программное обеспечение/ Средства автоматизированного перевода</w:t>
            </w:r>
          </w:p>
        </w:tc>
        <w:tc>
          <w:tcPr>
            <w:tcW w:w="1418" w:type="dxa"/>
            <w:shd w:val="clear" w:color="000000" w:fill="FFFFFF"/>
            <w:hideMark/>
          </w:tcPr>
          <w:p w14:paraId="3D79CE75" w14:textId="77777777" w:rsidR="001C32C8" w:rsidRPr="00B0658A" w:rsidRDefault="001C32C8" w:rsidP="00004A41">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44" w:type="dxa"/>
            <w:shd w:val="clear" w:color="000000" w:fill="FFFFFF"/>
            <w:vAlign w:val="center"/>
          </w:tcPr>
          <w:p w14:paraId="04F23C65"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000000" w:fill="FFFFFF"/>
            <w:vAlign w:val="center"/>
            <w:hideMark/>
          </w:tcPr>
          <w:p w14:paraId="5C0392A8"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000000" w:fill="FFFFFF"/>
            <w:vAlign w:val="center"/>
            <w:hideMark/>
          </w:tcPr>
          <w:p w14:paraId="101E1811"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000000" w:fill="FFFFFF"/>
            <w:vAlign w:val="center"/>
            <w:hideMark/>
          </w:tcPr>
          <w:p w14:paraId="6D8E0044" w14:textId="77777777" w:rsidR="001C32C8" w:rsidRPr="00B0658A" w:rsidRDefault="001C32C8" w:rsidP="00004A41">
            <w:pPr>
              <w:spacing w:after="0" w:line="240" w:lineRule="auto"/>
              <w:jc w:val="center"/>
              <w:rPr>
                <w:rFonts w:ascii="Times New Roman" w:hAnsi="Times New Roman"/>
                <w:sz w:val="18"/>
                <w:szCs w:val="18"/>
              </w:rPr>
            </w:pPr>
          </w:p>
        </w:tc>
        <w:tc>
          <w:tcPr>
            <w:tcW w:w="993" w:type="dxa"/>
            <w:shd w:val="clear" w:color="000000" w:fill="FFFFFF"/>
            <w:vAlign w:val="center"/>
          </w:tcPr>
          <w:p w14:paraId="7BAD2477"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000000" w:fill="FFFFFF"/>
            <w:vAlign w:val="center"/>
            <w:hideMark/>
          </w:tcPr>
          <w:p w14:paraId="3C5CDB7F" w14:textId="77777777" w:rsidR="001C32C8" w:rsidRPr="00B0658A" w:rsidRDefault="001C32C8" w:rsidP="00004A41">
            <w:pPr>
              <w:spacing w:after="0" w:line="240" w:lineRule="auto"/>
              <w:jc w:val="center"/>
              <w:rPr>
                <w:rFonts w:ascii="Times New Roman" w:hAnsi="Times New Roman"/>
                <w:sz w:val="18"/>
                <w:szCs w:val="18"/>
              </w:rPr>
            </w:pPr>
          </w:p>
        </w:tc>
        <w:tc>
          <w:tcPr>
            <w:tcW w:w="780" w:type="dxa"/>
            <w:shd w:val="clear" w:color="000000" w:fill="FFFFFF"/>
            <w:vAlign w:val="center"/>
            <w:hideMark/>
          </w:tcPr>
          <w:p w14:paraId="515D7120"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000000" w:fill="FFFFFF"/>
            <w:vAlign w:val="center"/>
            <w:hideMark/>
          </w:tcPr>
          <w:p w14:paraId="08C9B83D" w14:textId="77777777" w:rsidR="001C32C8" w:rsidRPr="00B0658A" w:rsidRDefault="001C32C8" w:rsidP="00004A41">
            <w:pPr>
              <w:spacing w:after="0" w:line="240" w:lineRule="auto"/>
              <w:jc w:val="center"/>
              <w:rPr>
                <w:rFonts w:ascii="Times New Roman" w:hAnsi="Times New Roman"/>
                <w:sz w:val="18"/>
                <w:szCs w:val="18"/>
              </w:rPr>
            </w:pPr>
          </w:p>
        </w:tc>
        <w:tc>
          <w:tcPr>
            <w:tcW w:w="780" w:type="dxa"/>
            <w:shd w:val="clear" w:color="000000" w:fill="FFFFFF"/>
            <w:vAlign w:val="center"/>
          </w:tcPr>
          <w:p w14:paraId="3DADA6F2"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000000" w:fill="FFFFFF"/>
            <w:vAlign w:val="center"/>
          </w:tcPr>
          <w:p w14:paraId="49EA60E3" w14:textId="77777777" w:rsidR="001C32C8" w:rsidRPr="00B0658A" w:rsidRDefault="001C32C8" w:rsidP="00004A41">
            <w:pPr>
              <w:spacing w:after="0" w:line="240" w:lineRule="auto"/>
              <w:jc w:val="center"/>
              <w:rPr>
                <w:rFonts w:ascii="Times New Roman" w:hAnsi="Times New Roman"/>
                <w:sz w:val="18"/>
                <w:szCs w:val="18"/>
              </w:rPr>
            </w:pPr>
          </w:p>
        </w:tc>
        <w:tc>
          <w:tcPr>
            <w:tcW w:w="780" w:type="dxa"/>
            <w:shd w:val="clear" w:color="000000" w:fill="FFFFFF"/>
            <w:vAlign w:val="center"/>
          </w:tcPr>
          <w:p w14:paraId="3F93CF8A" w14:textId="77777777" w:rsidR="001C32C8" w:rsidRPr="00B0658A" w:rsidRDefault="001C32C8" w:rsidP="00004A41">
            <w:pPr>
              <w:spacing w:after="0" w:line="240" w:lineRule="auto"/>
              <w:jc w:val="center"/>
              <w:rPr>
                <w:rFonts w:ascii="Times New Roman" w:hAnsi="Times New Roman"/>
                <w:sz w:val="18"/>
                <w:szCs w:val="18"/>
              </w:rPr>
            </w:pPr>
          </w:p>
        </w:tc>
        <w:tc>
          <w:tcPr>
            <w:tcW w:w="1475" w:type="dxa"/>
            <w:shd w:val="clear" w:color="000000" w:fill="FFFFFF"/>
            <w:vAlign w:val="center"/>
          </w:tcPr>
          <w:p w14:paraId="248DAA44" w14:textId="77777777" w:rsidR="001C32C8" w:rsidRPr="00B0658A" w:rsidRDefault="001C32C8" w:rsidP="00004A41">
            <w:pPr>
              <w:spacing w:after="0" w:line="240" w:lineRule="auto"/>
              <w:jc w:val="center"/>
              <w:rPr>
                <w:rFonts w:ascii="Times New Roman" w:hAnsi="Times New Roman"/>
                <w:sz w:val="18"/>
                <w:szCs w:val="18"/>
              </w:rPr>
            </w:pPr>
          </w:p>
        </w:tc>
      </w:tr>
      <w:tr w:rsidR="00F52FED" w:rsidRPr="00B0658A" w14:paraId="0812E52C" w14:textId="77777777" w:rsidTr="00E66BA4">
        <w:trPr>
          <w:trHeight w:val="20"/>
        </w:trPr>
        <w:tc>
          <w:tcPr>
            <w:tcW w:w="846" w:type="dxa"/>
            <w:shd w:val="clear" w:color="000000" w:fill="FFFFFF"/>
            <w:vAlign w:val="center"/>
          </w:tcPr>
          <w:p w14:paraId="7996F1C2" w14:textId="77777777" w:rsidR="001C32C8" w:rsidRPr="00B0658A" w:rsidRDefault="001C32C8" w:rsidP="00004A41">
            <w:pPr>
              <w:spacing w:after="0" w:line="240" w:lineRule="auto"/>
              <w:jc w:val="center"/>
              <w:rPr>
                <w:rFonts w:ascii="Times New Roman" w:hAnsi="Times New Roman"/>
                <w:sz w:val="18"/>
                <w:szCs w:val="18"/>
              </w:rPr>
            </w:pPr>
            <w:r w:rsidRPr="00B0658A">
              <w:rPr>
                <w:rFonts w:ascii="Times New Roman" w:hAnsi="Times New Roman"/>
                <w:sz w:val="18"/>
                <w:szCs w:val="18"/>
              </w:rPr>
              <w:t>7.6</w:t>
            </w:r>
          </w:p>
        </w:tc>
        <w:tc>
          <w:tcPr>
            <w:tcW w:w="1559" w:type="dxa"/>
            <w:shd w:val="clear" w:color="auto" w:fill="auto"/>
            <w:vAlign w:val="center"/>
            <w:hideMark/>
          </w:tcPr>
          <w:p w14:paraId="2EC58D3F" w14:textId="77777777" w:rsidR="001C32C8" w:rsidRPr="00B0658A" w:rsidRDefault="001C32C8" w:rsidP="00004A41">
            <w:pPr>
              <w:spacing w:after="0" w:line="240" w:lineRule="auto"/>
              <w:rPr>
                <w:rFonts w:ascii="Times New Roman" w:hAnsi="Times New Roman"/>
                <w:sz w:val="18"/>
                <w:szCs w:val="18"/>
              </w:rPr>
            </w:pPr>
            <w:r w:rsidRPr="00B0658A">
              <w:rPr>
                <w:rFonts w:ascii="Times New Roman" w:hAnsi="Times New Roman"/>
                <w:sz w:val="18"/>
                <w:szCs w:val="18"/>
              </w:rPr>
              <w:t>Лингвистическое программное обеспечение/ Электронные словари</w:t>
            </w:r>
          </w:p>
        </w:tc>
        <w:tc>
          <w:tcPr>
            <w:tcW w:w="1418" w:type="dxa"/>
            <w:shd w:val="clear" w:color="000000" w:fill="FFFFFF"/>
            <w:hideMark/>
          </w:tcPr>
          <w:p w14:paraId="6BC887C5" w14:textId="77777777" w:rsidR="001C32C8" w:rsidRPr="00B0658A" w:rsidRDefault="001C32C8" w:rsidP="00004A41">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44" w:type="dxa"/>
            <w:shd w:val="clear" w:color="000000" w:fill="FFFFFF"/>
            <w:vAlign w:val="center"/>
          </w:tcPr>
          <w:p w14:paraId="070D8143"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000000" w:fill="FFFFFF"/>
            <w:vAlign w:val="center"/>
            <w:hideMark/>
          </w:tcPr>
          <w:p w14:paraId="2C24A203"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000000" w:fill="FFFFFF"/>
            <w:vAlign w:val="center"/>
            <w:hideMark/>
          </w:tcPr>
          <w:p w14:paraId="1468092F"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000000" w:fill="FFFFFF"/>
            <w:vAlign w:val="center"/>
            <w:hideMark/>
          </w:tcPr>
          <w:p w14:paraId="76351D79" w14:textId="77777777" w:rsidR="001C32C8" w:rsidRPr="00B0658A" w:rsidRDefault="001C32C8" w:rsidP="00004A41">
            <w:pPr>
              <w:spacing w:after="0" w:line="240" w:lineRule="auto"/>
              <w:jc w:val="center"/>
              <w:rPr>
                <w:rFonts w:ascii="Times New Roman" w:hAnsi="Times New Roman"/>
                <w:sz w:val="18"/>
                <w:szCs w:val="18"/>
              </w:rPr>
            </w:pPr>
          </w:p>
        </w:tc>
        <w:tc>
          <w:tcPr>
            <w:tcW w:w="993" w:type="dxa"/>
            <w:shd w:val="clear" w:color="000000" w:fill="FFFFFF"/>
            <w:vAlign w:val="center"/>
          </w:tcPr>
          <w:p w14:paraId="6EB89D25"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000000" w:fill="FFFFFF"/>
            <w:vAlign w:val="center"/>
            <w:hideMark/>
          </w:tcPr>
          <w:p w14:paraId="3B718DC0" w14:textId="77777777" w:rsidR="001C32C8" w:rsidRPr="00B0658A" w:rsidRDefault="001C32C8" w:rsidP="00004A41">
            <w:pPr>
              <w:spacing w:after="0" w:line="240" w:lineRule="auto"/>
              <w:jc w:val="center"/>
              <w:rPr>
                <w:rFonts w:ascii="Times New Roman" w:hAnsi="Times New Roman"/>
                <w:sz w:val="18"/>
                <w:szCs w:val="18"/>
              </w:rPr>
            </w:pPr>
          </w:p>
        </w:tc>
        <w:tc>
          <w:tcPr>
            <w:tcW w:w="780" w:type="dxa"/>
            <w:shd w:val="clear" w:color="000000" w:fill="FFFFFF"/>
            <w:vAlign w:val="center"/>
            <w:hideMark/>
          </w:tcPr>
          <w:p w14:paraId="0E57DB97"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000000" w:fill="FFFFFF"/>
            <w:vAlign w:val="center"/>
            <w:hideMark/>
          </w:tcPr>
          <w:p w14:paraId="5B8FE55A" w14:textId="77777777" w:rsidR="001C32C8" w:rsidRPr="00B0658A" w:rsidRDefault="001C32C8" w:rsidP="00004A41">
            <w:pPr>
              <w:spacing w:after="0" w:line="240" w:lineRule="auto"/>
              <w:jc w:val="center"/>
              <w:rPr>
                <w:rFonts w:ascii="Times New Roman" w:hAnsi="Times New Roman"/>
                <w:sz w:val="18"/>
                <w:szCs w:val="18"/>
              </w:rPr>
            </w:pPr>
          </w:p>
        </w:tc>
        <w:tc>
          <w:tcPr>
            <w:tcW w:w="780" w:type="dxa"/>
            <w:shd w:val="clear" w:color="000000" w:fill="FFFFFF"/>
            <w:vAlign w:val="center"/>
          </w:tcPr>
          <w:p w14:paraId="3A5EA20F"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000000" w:fill="FFFFFF"/>
            <w:vAlign w:val="center"/>
          </w:tcPr>
          <w:p w14:paraId="5B7BF6A9" w14:textId="77777777" w:rsidR="001C32C8" w:rsidRPr="00B0658A" w:rsidRDefault="001C32C8" w:rsidP="00004A41">
            <w:pPr>
              <w:spacing w:after="0" w:line="240" w:lineRule="auto"/>
              <w:jc w:val="center"/>
              <w:rPr>
                <w:rFonts w:ascii="Times New Roman" w:hAnsi="Times New Roman"/>
                <w:sz w:val="18"/>
                <w:szCs w:val="18"/>
              </w:rPr>
            </w:pPr>
          </w:p>
        </w:tc>
        <w:tc>
          <w:tcPr>
            <w:tcW w:w="780" w:type="dxa"/>
            <w:shd w:val="clear" w:color="000000" w:fill="FFFFFF"/>
            <w:vAlign w:val="center"/>
          </w:tcPr>
          <w:p w14:paraId="3DB289BC" w14:textId="77777777" w:rsidR="001C32C8" w:rsidRPr="00B0658A" w:rsidRDefault="001C32C8" w:rsidP="00004A41">
            <w:pPr>
              <w:spacing w:after="0" w:line="240" w:lineRule="auto"/>
              <w:jc w:val="center"/>
              <w:rPr>
                <w:rFonts w:ascii="Times New Roman" w:hAnsi="Times New Roman"/>
                <w:sz w:val="18"/>
                <w:szCs w:val="18"/>
              </w:rPr>
            </w:pPr>
          </w:p>
        </w:tc>
        <w:tc>
          <w:tcPr>
            <w:tcW w:w="1475" w:type="dxa"/>
            <w:shd w:val="clear" w:color="000000" w:fill="FFFFFF"/>
            <w:vAlign w:val="center"/>
          </w:tcPr>
          <w:p w14:paraId="055AD10F" w14:textId="77777777" w:rsidR="001C32C8" w:rsidRPr="00B0658A" w:rsidRDefault="001C32C8" w:rsidP="00004A41">
            <w:pPr>
              <w:spacing w:after="0" w:line="240" w:lineRule="auto"/>
              <w:jc w:val="center"/>
              <w:rPr>
                <w:rFonts w:ascii="Times New Roman" w:hAnsi="Times New Roman"/>
                <w:sz w:val="18"/>
                <w:szCs w:val="18"/>
              </w:rPr>
            </w:pPr>
          </w:p>
        </w:tc>
      </w:tr>
      <w:tr w:rsidR="00F52FED" w:rsidRPr="00B0658A" w14:paraId="09E142ED" w14:textId="77777777" w:rsidTr="00E66BA4">
        <w:trPr>
          <w:trHeight w:val="20"/>
        </w:trPr>
        <w:tc>
          <w:tcPr>
            <w:tcW w:w="846" w:type="dxa"/>
            <w:shd w:val="clear" w:color="000000" w:fill="FFFFFF"/>
            <w:vAlign w:val="center"/>
          </w:tcPr>
          <w:p w14:paraId="57EE8FB7" w14:textId="77777777" w:rsidR="001C32C8" w:rsidRPr="00B0658A" w:rsidRDefault="001C32C8" w:rsidP="00004A41">
            <w:pPr>
              <w:spacing w:after="0" w:line="240" w:lineRule="auto"/>
              <w:jc w:val="center"/>
              <w:rPr>
                <w:rFonts w:ascii="Times New Roman" w:hAnsi="Times New Roman"/>
                <w:sz w:val="18"/>
                <w:szCs w:val="18"/>
              </w:rPr>
            </w:pPr>
            <w:r w:rsidRPr="00B0658A">
              <w:rPr>
                <w:rFonts w:ascii="Times New Roman" w:hAnsi="Times New Roman"/>
                <w:sz w:val="18"/>
                <w:szCs w:val="18"/>
              </w:rPr>
              <w:t>7.7</w:t>
            </w:r>
          </w:p>
        </w:tc>
        <w:tc>
          <w:tcPr>
            <w:tcW w:w="1559" w:type="dxa"/>
            <w:shd w:val="clear" w:color="auto" w:fill="auto"/>
            <w:vAlign w:val="center"/>
            <w:hideMark/>
          </w:tcPr>
          <w:p w14:paraId="760C4B4D" w14:textId="77777777" w:rsidR="001C32C8" w:rsidRPr="00B0658A" w:rsidRDefault="001C32C8" w:rsidP="00004A41">
            <w:pPr>
              <w:spacing w:after="0" w:line="240" w:lineRule="auto"/>
              <w:rPr>
                <w:rFonts w:ascii="Times New Roman" w:hAnsi="Times New Roman"/>
                <w:sz w:val="18"/>
                <w:szCs w:val="18"/>
              </w:rPr>
            </w:pPr>
            <w:r w:rsidRPr="00B0658A">
              <w:rPr>
                <w:rFonts w:ascii="Times New Roman" w:hAnsi="Times New Roman"/>
                <w:sz w:val="18"/>
                <w:szCs w:val="18"/>
              </w:rPr>
              <w:t>Лингвистическое программное обеспечение/ Средства проверки правописания</w:t>
            </w:r>
          </w:p>
        </w:tc>
        <w:tc>
          <w:tcPr>
            <w:tcW w:w="1418" w:type="dxa"/>
            <w:shd w:val="clear" w:color="000000" w:fill="FFFFFF"/>
            <w:hideMark/>
          </w:tcPr>
          <w:p w14:paraId="50B1B16C" w14:textId="77777777" w:rsidR="001C32C8" w:rsidRPr="00B0658A" w:rsidRDefault="001C32C8" w:rsidP="00004A41">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44" w:type="dxa"/>
            <w:shd w:val="clear" w:color="000000" w:fill="FFFFFF"/>
            <w:vAlign w:val="center"/>
          </w:tcPr>
          <w:p w14:paraId="4BF05E2A"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000000" w:fill="FFFFFF"/>
            <w:vAlign w:val="center"/>
            <w:hideMark/>
          </w:tcPr>
          <w:p w14:paraId="5F595A9B"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000000" w:fill="FFFFFF"/>
            <w:vAlign w:val="center"/>
            <w:hideMark/>
          </w:tcPr>
          <w:p w14:paraId="01F5D4FD"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000000" w:fill="FFFFFF"/>
            <w:vAlign w:val="center"/>
            <w:hideMark/>
          </w:tcPr>
          <w:p w14:paraId="4EF897DF" w14:textId="77777777" w:rsidR="001C32C8" w:rsidRPr="00B0658A" w:rsidRDefault="001C32C8" w:rsidP="00004A41">
            <w:pPr>
              <w:spacing w:after="0" w:line="240" w:lineRule="auto"/>
              <w:jc w:val="center"/>
              <w:rPr>
                <w:rFonts w:ascii="Times New Roman" w:hAnsi="Times New Roman"/>
                <w:sz w:val="18"/>
                <w:szCs w:val="18"/>
              </w:rPr>
            </w:pPr>
          </w:p>
        </w:tc>
        <w:tc>
          <w:tcPr>
            <w:tcW w:w="993" w:type="dxa"/>
            <w:shd w:val="clear" w:color="000000" w:fill="FFFFFF"/>
            <w:vAlign w:val="center"/>
          </w:tcPr>
          <w:p w14:paraId="31E71511"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000000" w:fill="FFFFFF"/>
            <w:vAlign w:val="center"/>
            <w:hideMark/>
          </w:tcPr>
          <w:p w14:paraId="091FE97F" w14:textId="77777777" w:rsidR="001C32C8" w:rsidRPr="00B0658A" w:rsidRDefault="001C32C8" w:rsidP="00004A41">
            <w:pPr>
              <w:spacing w:after="0" w:line="240" w:lineRule="auto"/>
              <w:jc w:val="center"/>
              <w:rPr>
                <w:rFonts w:ascii="Times New Roman" w:hAnsi="Times New Roman"/>
                <w:sz w:val="18"/>
                <w:szCs w:val="18"/>
              </w:rPr>
            </w:pPr>
          </w:p>
        </w:tc>
        <w:tc>
          <w:tcPr>
            <w:tcW w:w="780" w:type="dxa"/>
            <w:shd w:val="clear" w:color="000000" w:fill="FFFFFF"/>
            <w:vAlign w:val="center"/>
            <w:hideMark/>
          </w:tcPr>
          <w:p w14:paraId="284D6915"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000000" w:fill="FFFFFF"/>
            <w:vAlign w:val="center"/>
            <w:hideMark/>
          </w:tcPr>
          <w:p w14:paraId="3CC50A18" w14:textId="77777777" w:rsidR="001C32C8" w:rsidRPr="00B0658A" w:rsidRDefault="001C32C8" w:rsidP="00004A41">
            <w:pPr>
              <w:spacing w:after="0" w:line="240" w:lineRule="auto"/>
              <w:jc w:val="center"/>
              <w:rPr>
                <w:rFonts w:ascii="Times New Roman" w:hAnsi="Times New Roman"/>
                <w:sz w:val="18"/>
                <w:szCs w:val="18"/>
              </w:rPr>
            </w:pPr>
          </w:p>
        </w:tc>
        <w:tc>
          <w:tcPr>
            <w:tcW w:w="780" w:type="dxa"/>
            <w:shd w:val="clear" w:color="000000" w:fill="FFFFFF"/>
            <w:vAlign w:val="center"/>
          </w:tcPr>
          <w:p w14:paraId="6E210EC9"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000000" w:fill="FFFFFF"/>
            <w:vAlign w:val="center"/>
          </w:tcPr>
          <w:p w14:paraId="05412D95" w14:textId="77777777" w:rsidR="001C32C8" w:rsidRPr="00B0658A" w:rsidRDefault="001C32C8" w:rsidP="00004A41">
            <w:pPr>
              <w:spacing w:after="0" w:line="240" w:lineRule="auto"/>
              <w:jc w:val="center"/>
              <w:rPr>
                <w:rFonts w:ascii="Times New Roman" w:hAnsi="Times New Roman"/>
                <w:sz w:val="18"/>
                <w:szCs w:val="18"/>
              </w:rPr>
            </w:pPr>
          </w:p>
        </w:tc>
        <w:tc>
          <w:tcPr>
            <w:tcW w:w="780" w:type="dxa"/>
            <w:shd w:val="clear" w:color="000000" w:fill="FFFFFF"/>
            <w:vAlign w:val="center"/>
          </w:tcPr>
          <w:p w14:paraId="307E6AA5" w14:textId="77777777" w:rsidR="001C32C8" w:rsidRPr="00B0658A" w:rsidRDefault="001C32C8" w:rsidP="00004A41">
            <w:pPr>
              <w:spacing w:after="0" w:line="240" w:lineRule="auto"/>
              <w:jc w:val="center"/>
              <w:rPr>
                <w:rFonts w:ascii="Times New Roman" w:hAnsi="Times New Roman"/>
                <w:sz w:val="18"/>
                <w:szCs w:val="18"/>
              </w:rPr>
            </w:pPr>
          </w:p>
        </w:tc>
        <w:tc>
          <w:tcPr>
            <w:tcW w:w="1475" w:type="dxa"/>
            <w:shd w:val="clear" w:color="000000" w:fill="FFFFFF"/>
            <w:vAlign w:val="center"/>
          </w:tcPr>
          <w:p w14:paraId="7CCE1AA6" w14:textId="77777777" w:rsidR="001C32C8" w:rsidRPr="00B0658A" w:rsidRDefault="001C32C8" w:rsidP="00004A41">
            <w:pPr>
              <w:spacing w:after="0" w:line="240" w:lineRule="auto"/>
              <w:jc w:val="center"/>
              <w:rPr>
                <w:rFonts w:ascii="Times New Roman" w:hAnsi="Times New Roman"/>
                <w:sz w:val="18"/>
                <w:szCs w:val="18"/>
              </w:rPr>
            </w:pPr>
          </w:p>
        </w:tc>
      </w:tr>
      <w:tr w:rsidR="00F52FED" w:rsidRPr="00B0658A" w14:paraId="5BC49EC4" w14:textId="77777777" w:rsidTr="00E66BA4">
        <w:trPr>
          <w:trHeight w:val="20"/>
        </w:trPr>
        <w:tc>
          <w:tcPr>
            <w:tcW w:w="846" w:type="dxa"/>
            <w:shd w:val="clear" w:color="000000" w:fill="FFFFFF"/>
            <w:vAlign w:val="center"/>
          </w:tcPr>
          <w:p w14:paraId="21D131E0" w14:textId="77777777" w:rsidR="001C32C8" w:rsidRPr="00B0658A" w:rsidRDefault="001C32C8" w:rsidP="00004A41">
            <w:pPr>
              <w:spacing w:after="0" w:line="240" w:lineRule="auto"/>
              <w:jc w:val="center"/>
              <w:rPr>
                <w:rFonts w:ascii="Times New Roman" w:hAnsi="Times New Roman"/>
                <w:sz w:val="18"/>
                <w:szCs w:val="18"/>
              </w:rPr>
            </w:pPr>
            <w:r w:rsidRPr="00B0658A">
              <w:rPr>
                <w:rFonts w:ascii="Times New Roman" w:hAnsi="Times New Roman"/>
                <w:sz w:val="18"/>
                <w:szCs w:val="18"/>
              </w:rPr>
              <w:t>8.1</w:t>
            </w:r>
          </w:p>
        </w:tc>
        <w:tc>
          <w:tcPr>
            <w:tcW w:w="1559" w:type="dxa"/>
            <w:shd w:val="clear" w:color="auto" w:fill="auto"/>
            <w:noWrap/>
            <w:vAlign w:val="center"/>
            <w:hideMark/>
          </w:tcPr>
          <w:p w14:paraId="7173258E" w14:textId="77777777" w:rsidR="001C32C8" w:rsidRPr="00B0658A" w:rsidRDefault="001C32C8" w:rsidP="00004A41">
            <w:pPr>
              <w:spacing w:after="0" w:line="240" w:lineRule="auto"/>
              <w:rPr>
                <w:rFonts w:ascii="Times New Roman" w:hAnsi="Times New Roman"/>
                <w:sz w:val="18"/>
                <w:szCs w:val="18"/>
              </w:rPr>
            </w:pPr>
            <w:r w:rsidRPr="00B0658A">
              <w:rPr>
                <w:rFonts w:ascii="Times New Roman" w:hAnsi="Times New Roman"/>
                <w:sz w:val="18"/>
                <w:szCs w:val="18"/>
              </w:rPr>
              <w:t xml:space="preserve">Промышленное программное обеспечение/ Средства управления жизненным циклом изделия (PLM) </w:t>
            </w:r>
          </w:p>
        </w:tc>
        <w:tc>
          <w:tcPr>
            <w:tcW w:w="1418" w:type="dxa"/>
            <w:shd w:val="clear" w:color="000000" w:fill="FFFFFF"/>
            <w:hideMark/>
          </w:tcPr>
          <w:p w14:paraId="6974A7DA" w14:textId="77777777" w:rsidR="001C32C8" w:rsidRPr="00B0658A" w:rsidRDefault="001C32C8" w:rsidP="00004A41">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44" w:type="dxa"/>
            <w:vAlign w:val="center"/>
          </w:tcPr>
          <w:p w14:paraId="3B584C5C"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auto" w:fill="auto"/>
            <w:noWrap/>
            <w:vAlign w:val="center"/>
            <w:hideMark/>
          </w:tcPr>
          <w:p w14:paraId="45762A0E"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auto" w:fill="auto"/>
            <w:noWrap/>
            <w:vAlign w:val="center"/>
            <w:hideMark/>
          </w:tcPr>
          <w:p w14:paraId="6138439C"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auto" w:fill="auto"/>
            <w:vAlign w:val="center"/>
            <w:hideMark/>
          </w:tcPr>
          <w:p w14:paraId="4686A06C" w14:textId="77777777" w:rsidR="001C32C8" w:rsidRPr="00B0658A" w:rsidRDefault="001C32C8" w:rsidP="00004A41">
            <w:pPr>
              <w:spacing w:after="0" w:line="240" w:lineRule="auto"/>
              <w:jc w:val="center"/>
              <w:rPr>
                <w:rFonts w:ascii="Times New Roman" w:hAnsi="Times New Roman"/>
                <w:sz w:val="18"/>
                <w:szCs w:val="18"/>
              </w:rPr>
            </w:pPr>
          </w:p>
        </w:tc>
        <w:tc>
          <w:tcPr>
            <w:tcW w:w="993" w:type="dxa"/>
            <w:vAlign w:val="center"/>
          </w:tcPr>
          <w:p w14:paraId="35C52687"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auto" w:fill="auto"/>
            <w:vAlign w:val="center"/>
            <w:hideMark/>
          </w:tcPr>
          <w:p w14:paraId="6763D3F8" w14:textId="77777777" w:rsidR="001C32C8" w:rsidRPr="00B0658A" w:rsidRDefault="001C32C8" w:rsidP="00004A41">
            <w:pPr>
              <w:spacing w:after="0" w:line="240" w:lineRule="auto"/>
              <w:jc w:val="center"/>
              <w:rPr>
                <w:rFonts w:ascii="Times New Roman" w:hAnsi="Times New Roman"/>
                <w:sz w:val="18"/>
                <w:szCs w:val="18"/>
              </w:rPr>
            </w:pPr>
          </w:p>
        </w:tc>
        <w:tc>
          <w:tcPr>
            <w:tcW w:w="780" w:type="dxa"/>
            <w:shd w:val="clear" w:color="auto" w:fill="auto"/>
            <w:vAlign w:val="center"/>
            <w:hideMark/>
          </w:tcPr>
          <w:p w14:paraId="7BC7C382"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auto" w:fill="auto"/>
            <w:noWrap/>
            <w:vAlign w:val="center"/>
            <w:hideMark/>
          </w:tcPr>
          <w:p w14:paraId="39A43A14" w14:textId="77777777" w:rsidR="001C32C8" w:rsidRPr="00B0658A" w:rsidRDefault="001C32C8" w:rsidP="00004A41">
            <w:pPr>
              <w:spacing w:after="0" w:line="240" w:lineRule="auto"/>
              <w:jc w:val="center"/>
              <w:rPr>
                <w:rFonts w:ascii="Times New Roman" w:hAnsi="Times New Roman"/>
                <w:sz w:val="18"/>
                <w:szCs w:val="18"/>
              </w:rPr>
            </w:pPr>
          </w:p>
        </w:tc>
        <w:tc>
          <w:tcPr>
            <w:tcW w:w="780" w:type="dxa"/>
            <w:vAlign w:val="center"/>
          </w:tcPr>
          <w:p w14:paraId="6C54E1D0" w14:textId="77777777" w:rsidR="001C32C8" w:rsidRPr="00B0658A" w:rsidRDefault="001C32C8" w:rsidP="00004A41">
            <w:pPr>
              <w:spacing w:after="0" w:line="240" w:lineRule="auto"/>
              <w:jc w:val="center"/>
              <w:rPr>
                <w:rFonts w:ascii="Times New Roman" w:hAnsi="Times New Roman"/>
                <w:sz w:val="18"/>
                <w:szCs w:val="18"/>
              </w:rPr>
            </w:pPr>
          </w:p>
        </w:tc>
        <w:tc>
          <w:tcPr>
            <w:tcW w:w="779" w:type="dxa"/>
            <w:vAlign w:val="center"/>
          </w:tcPr>
          <w:p w14:paraId="0F67CC85" w14:textId="77777777" w:rsidR="001C32C8" w:rsidRPr="00B0658A" w:rsidRDefault="001C32C8" w:rsidP="00004A41">
            <w:pPr>
              <w:spacing w:after="0" w:line="240" w:lineRule="auto"/>
              <w:jc w:val="center"/>
              <w:rPr>
                <w:rFonts w:ascii="Times New Roman" w:hAnsi="Times New Roman"/>
                <w:sz w:val="18"/>
                <w:szCs w:val="18"/>
              </w:rPr>
            </w:pPr>
          </w:p>
        </w:tc>
        <w:tc>
          <w:tcPr>
            <w:tcW w:w="780" w:type="dxa"/>
            <w:vAlign w:val="center"/>
          </w:tcPr>
          <w:p w14:paraId="1C1DC9C8" w14:textId="77777777" w:rsidR="001C32C8" w:rsidRPr="00B0658A" w:rsidRDefault="001C32C8" w:rsidP="00004A41">
            <w:pPr>
              <w:spacing w:after="0" w:line="240" w:lineRule="auto"/>
              <w:jc w:val="center"/>
              <w:rPr>
                <w:rFonts w:ascii="Times New Roman" w:hAnsi="Times New Roman"/>
                <w:sz w:val="18"/>
                <w:szCs w:val="18"/>
              </w:rPr>
            </w:pPr>
          </w:p>
        </w:tc>
        <w:tc>
          <w:tcPr>
            <w:tcW w:w="1475" w:type="dxa"/>
            <w:vAlign w:val="center"/>
          </w:tcPr>
          <w:p w14:paraId="3DD2D1BA" w14:textId="77777777" w:rsidR="001C32C8" w:rsidRPr="00B0658A" w:rsidRDefault="001C32C8" w:rsidP="00004A41">
            <w:pPr>
              <w:spacing w:after="0" w:line="240" w:lineRule="auto"/>
              <w:jc w:val="center"/>
              <w:rPr>
                <w:rFonts w:ascii="Times New Roman" w:hAnsi="Times New Roman"/>
                <w:sz w:val="18"/>
                <w:szCs w:val="18"/>
              </w:rPr>
            </w:pPr>
          </w:p>
        </w:tc>
      </w:tr>
      <w:tr w:rsidR="00F52FED" w:rsidRPr="00B0658A" w14:paraId="7ABA9F53" w14:textId="77777777" w:rsidTr="00E66BA4">
        <w:trPr>
          <w:trHeight w:val="20"/>
        </w:trPr>
        <w:tc>
          <w:tcPr>
            <w:tcW w:w="846" w:type="dxa"/>
            <w:shd w:val="clear" w:color="000000" w:fill="FFFFFF"/>
            <w:vAlign w:val="center"/>
          </w:tcPr>
          <w:p w14:paraId="210BA903" w14:textId="77777777" w:rsidR="001C32C8" w:rsidRPr="00B0658A" w:rsidRDefault="001C32C8" w:rsidP="00004A41">
            <w:pPr>
              <w:spacing w:after="0" w:line="240" w:lineRule="auto"/>
              <w:jc w:val="center"/>
              <w:rPr>
                <w:rFonts w:ascii="Times New Roman" w:hAnsi="Times New Roman"/>
                <w:sz w:val="18"/>
                <w:szCs w:val="18"/>
              </w:rPr>
            </w:pPr>
            <w:r w:rsidRPr="00B0658A">
              <w:rPr>
                <w:rFonts w:ascii="Times New Roman" w:hAnsi="Times New Roman"/>
                <w:sz w:val="18"/>
                <w:szCs w:val="18"/>
              </w:rPr>
              <w:t>8.2</w:t>
            </w:r>
          </w:p>
        </w:tc>
        <w:tc>
          <w:tcPr>
            <w:tcW w:w="1559" w:type="dxa"/>
            <w:shd w:val="clear" w:color="auto" w:fill="auto"/>
            <w:noWrap/>
            <w:vAlign w:val="center"/>
            <w:hideMark/>
          </w:tcPr>
          <w:p w14:paraId="575F8977" w14:textId="77777777" w:rsidR="001C32C8" w:rsidRPr="00B0658A" w:rsidRDefault="001C32C8" w:rsidP="00004A41">
            <w:pPr>
              <w:spacing w:after="0" w:line="240" w:lineRule="auto"/>
              <w:rPr>
                <w:rFonts w:ascii="Times New Roman" w:hAnsi="Times New Roman"/>
                <w:sz w:val="18"/>
                <w:szCs w:val="18"/>
              </w:rPr>
            </w:pPr>
            <w:r w:rsidRPr="00B0658A">
              <w:rPr>
                <w:rFonts w:ascii="Times New Roman" w:hAnsi="Times New Roman"/>
                <w:sz w:val="18"/>
                <w:szCs w:val="18"/>
              </w:rPr>
              <w:t xml:space="preserve">Промышленное программное обеспечение/ </w:t>
            </w:r>
            <w:r w:rsidRPr="00B0658A">
              <w:rPr>
                <w:rFonts w:ascii="Times New Roman" w:hAnsi="Times New Roman"/>
                <w:sz w:val="18"/>
                <w:szCs w:val="18"/>
              </w:rPr>
              <w:lastRenderedPageBreak/>
              <w:t>Универсальные машиностроительные средства автоматизированного проектирования (MCAD)</w:t>
            </w:r>
          </w:p>
        </w:tc>
        <w:tc>
          <w:tcPr>
            <w:tcW w:w="1418" w:type="dxa"/>
            <w:shd w:val="clear" w:color="000000" w:fill="FFFFFF"/>
            <w:hideMark/>
          </w:tcPr>
          <w:p w14:paraId="07298EF9" w14:textId="77777777" w:rsidR="001C32C8" w:rsidRPr="00B0658A" w:rsidRDefault="001C32C8" w:rsidP="00004A41">
            <w:pPr>
              <w:spacing w:after="0" w:line="240" w:lineRule="auto"/>
              <w:rPr>
                <w:rFonts w:ascii="Times New Roman" w:hAnsi="Times New Roman"/>
                <w:sz w:val="18"/>
                <w:szCs w:val="18"/>
              </w:rPr>
            </w:pPr>
            <w:r w:rsidRPr="00B0658A">
              <w:rPr>
                <w:rFonts w:ascii="Times New Roman" w:hAnsi="Times New Roman"/>
                <w:sz w:val="18"/>
                <w:szCs w:val="18"/>
              </w:rPr>
              <w:lastRenderedPageBreak/>
              <w:t xml:space="preserve">Доля используемого российского ПО </w:t>
            </w:r>
            <w:r w:rsidRPr="00B0658A">
              <w:rPr>
                <w:rFonts w:ascii="Times New Roman" w:hAnsi="Times New Roman"/>
                <w:sz w:val="18"/>
                <w:szCs w:val="18"/>
              </w:rPr>
              <w:lastRenderedPageBreak/>
              <w:t>в общем объёме, используемого ПО, %</w:t>
            </w:r>
          </w:p>
        </w:tc>
        <w:tc>
          <w:tcPr>
            <w:tcW w:w="744" w:type="dxa"/>
            <w:vAlign w:val="center"/>
          </w:tcPr>
          <w:p w14:paraId="605E99C8"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auto" w:fill="auto"/>
            <w:noWrap/>
            <w:vAlign w:val="center"/>
            <w:hideMark/>
          </w:tcPr>
          <w:p w14:paraId="283E77C2"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auto" w:fill="auto"/>
            <w:noWrap/>
            <w:vAlign w:val="center"/>
            <w:hideMark/>
          </w:tcPr>
          <w:p w14:paraId="7F8508BE"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auto" w:fill="auto"/>
            <w:vAlign w:val="center"/>
            <w:hideMark/>
          </w:tcPr>
          <w:p w14:paraId="2DAD54DD" w14:textId="77777777" w:rsidR="001C32C8" w:rsidRPr="00B0658A" w:rsidRDefault="001C32C8" w:rsidP="00004A41">
            <w:pPr>
              <w:spacing w:after="0" w:line="240" w:lineRule="auto"/>
              <w:jc w:val="center"/>
              <w:rPr>
                <w:rFonts w:ascii="Times New Roman" w:hAnsi="Times New Roman"/>
                <w:sz w:val="18"/>
                <w:szCs w:val="18"/>
              </w:rPr>
            </w:pPr>
          </w:p>
        </w:tc>
        <w:tc>
          <w:tcPr>
            <w:tcW w:w="993" w:type="dxa"/>
            <w:vAlign w:val="center"/>
          </w:tcPr>
          <w:p w14:paraId="6D9D753A"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auto" w:fill="auto"/>
            <w:vAlign w:val="center"/>
            <w:hideMark/>
          </w:tcPr>
          <w:p w14:paraId="4CA73532" w14:textId="77777777" w:rsidR="001C32C8" w:rsidRPr="00B0658A" w:rsidRDefault="001C32C8" w:rsidP="00004A41">
            <w:pPr>
              <w:spacing w:after="0" w:line="240" w:lineRule="auto"/>
              <w:jc w:val="center"/>
              <w:rPr>
                <w:rFonts w:ascii="Times New Roman" w:hAnsi="Times New Roman"/>
                <w:sz w:val="18"/>
                <w:szCs w:val="18"/>
              </w:rPr>
            </w:pPr>
          </w:p>
        </w:tc>
        <w:tc>
          <w:tcPr>
            <w:tcW w:w="780" w:type="dxa"/>
            <w:shd w:val="clear" w:color="auto" w:fill="auto"/>
            <w:vAlign w:val="center"/>
            <w:hideMark/>
          </w:tcPr>
          <w:p w14:paraId="45B09435"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auto" w:fill="auto"/>
            <w:noWrap/>
            <w:vAlign w:val="center"/>
            <w:hideMark/>
          </w:tcPr>
          <w:p w14:paraId="22329550" w14:textId="77777777" w:rsidR="001C32C8" w:rsidRPr="00B0658A" w:rsidRDefault="001C32C8" w:rsidP="00004A41">
            <w:pPr>
              <w:spacing w:after="0" w:line="240" w:lineRule="auto"/>
              <w:jc w:val="center"/>
              <w:rPr>
                <w:rFonts w:ascii="Times New Roman" w:hAnsi="Times New Roman"/>
                <w:sz w:val="18"/>
                <w:szCs w:val="18"/>
              </w:rPr>
            </w:pPr>
          </w:p>
        </w:tc>
        <w:tc>
          <w:tcPr>
            <w:tcW w:w="780" w:type="dxa"/>
            <w:vAlign w:val="center"/>
          </w:tcPr>
          <w:p w14:paraId="0996F2A9" w14:textId="77777777" w:rsidR="001C32C8" w:rsidRPr="00B0658A" w:rsidRDefault="001C32C8" w:rsidP="00004A41">
            <w:pPr>
              <w:spacing w:after="0" w:line="240" w:lineRule="auto"/>
              <w:jc w:val="center"/>
              <w:rPr>
                <w:rFonts w:ascii="Times New Roman" w:hAnsi="Times New Roman"/>
                <w:sz w:val="18"/>
                <w:szCs w:val="18"/>
              </w:rPr>
            </w:pPr>
          </w:p>
        </w:tc>
        <w:tc>
          <w:tcPr>
            <w:tcW w:w="779" w:type="dxa"/>
            <w:vAlign w:val="center"/>
          </w:tcPr>
          <w:p w14:paraId="7EE7F3A4" w14:textId="77777777" w:rsidR="001C32C8" w:rsidRPr="00B0658A" w:rsidRDefault="001C32C8" w:rsidP="00004A41">
            <w:pPr>
              <w:spacing w:after="0" w:line="240" w:lineRule="auto"/>
              <w:jc w:val="center"/>
              <w:rPr>
                <w:rFonts w:ascii="Times New Roman" w:hAnsi="Times New Roman"/>
                <w:sz w:val="18"/>
                <w:szCs w:val="18"/>
              </w:rPr>
            </w:pPr>
          </w:p>
        </w:tc>
        <w:tc>
          <w:tcPr>
            <w:tcW w:w="780" w:type="dxa"/>
            <w:vAlign w:val="center"/>
          </w:tcPr>
          <w:p w14:paraId="237AC7E7" w14:textId="77777777" w:rsidR="001C32C8" w:rsidRPr="00B0658A" w:rsidRDefault="001C32C8" w:rsidP="00004A41">
            <w:pPr>
              <w:spacing w:after="0" w:line="240" w:lineRule="auto"/>
              <w:jc w:val="center"/>
              <w:rPr>
                <w:rFonts w:ascii="Times New Roman" w:hAnsi="Times New Roman"/>
                <w:sz w:val="18"/>
                <w:szCs w:val="18"/>
              </w:rPr>
            </w:pPr>
          </w:p>
        </w:tc>
        <w:tc>
          <w:tcPr>
            <w:tcW w:w="1475" w:type="dxa"/>
            <w:vAlign w:val="center"/>
          </w:tcPr>
          <w:p w14:paraId="38539CFE" w14:textId="77777777" w:rsidR="001C32C8" w:rsidRPr="00B0658A" w:rsidRDefault="001C32C8" w:rsidP="00004A41">
            <w:pPr>
              <w:spacing w:after="0" w:line="240" w:lineRule="auto"/>
              <w:jc w:val="center"/>
              <w:rPr>
                <w:rFonts w:ascii="Times New Roman" w:hAnsi="Times New Roman"/>
                <w:sz w:val="18"/>
                <w:szCs w:val="18"/>
              </w:rPr>
            </w:pPr>
          </w:p>
        </w:tc>
      </w:tr>
      <w:tr w:rsidR="00F52FED" w:rsidRPr="00B0658A" w14:paraId="06AD7EBF" w14:textId="77777777" w:rsidTr="00E66BA4">
        <w:trPr>
          <w:trHeight w:val="20"/>
        </w:trPr>
        <w:tc>
          <w:tcPr>
            <w:tcW w:w="846" w:type="dxa"/>
            <w:shd w:val="clear" w:color="000000" w:fill="FFFFFF"/>
            <w:vAlign w:val="center"/>
          </w:tcPr>
          <w:p w14:paraId="647F384C" w14:textId="77777777" w:rsidR="001C32C8" w:rsidRPr="00B0658A" w:rsidRDefault="001C32C8" w:rsidP="00004A41">
            <w:pPr>
              <w:spacing w:after="0" w:line="240" w:lineRule="auto"/>
              <w:jc w:val="center"/>
              <w:rPr>
                <w:rFonts w:ascii="Times New Roman" w:hAnsi="Times New Roman"/>
                <w:sz w:val="18"/>
                <w:szCs w:val="18"/>
              </w:rPr>
            </w:pPr>
            <w:r w:rsidRPr="00B0658A">
              <w:rPr>
                <w:rFonts w:ascii="Times New Roman" w:hAnsi="Times New Roman"/>
                <w:sz w:val="18"/>
                <w:szCs w:val="18"/>
              </w:rPr>
              <w:t>8.3</w:t>
            </w:r>
          </w:p>
        </w:tc>
        <w:tc>
          <w:tcPr>
            <w:tcW w:w="1559" w:type="dxa"/>
            <w:shd w:val="clear" w:color="auto" w:fill="auto"/>
            <w:noWrap/>
            <w:vAlign w:val="center"/>
            <w:hideMark/>
          </w:tcPr>
          <w:p w14:paraId="7F9FB344" w14:textId="77777777" w:rsidR="001C32C8" w:rsidRPr="00B0658A" w:rsidRDefault="001C32C8" w:rsidP="00004A41">
            <w:pPr>
              <w:spacing w:after="0" w:line="240" w:lineRule="auto"/>
              <w:rPr>
                <w:rFonts w:ascii="Times New Roman" w:hAnsi="Times New Roman"/>
                <w:sz w:val="18"/>
                <w:szCs w:val="18"/>
              </w:rPr>
            </w:pPr>
            <w:r w:rsidRPr="00B0658A">
              <w:rPr>
                <w:rFonts w:ascii="Times New Roman" w:hAnsi="Times New Roman"/>
                <w:sz w:val="18"/>
                <w:szCs w:val="18"/>
              </w:rPr>
              <w:t>Промышленное программное обеспечение/ Средства автоматизированного проектирования (CAD)</w:t>
            </w:r>
          </w:p>
        </w:tc>
        <w:tc>
          <w:tcPr>
            <w:tcW w:w="1418" w:type="dxa"/>
            <w:shd w:val="clear" w:color="000000" w:fill="FFFFFF"/>
            <w:hideMark/>
          </w:tcPr>
          <w:p w14:paraId="2CAD3AFB" w14:textId="77777777" w:rsidR="001C32C8" w:rsidRPr="00B0658A" w:rsidRDefault="001C32C8" w:rsidP="00004A41">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44" w:type="dxa"/>
            <w:vAlign w:val="center"/>
          </w:tcPr>
          <w:p w14:paraId="0CBC6BA7"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auto" w:fill="auto"/>
            <w:noWrap/>
            <w:vAlign w:val="center"/>
            <w:hideMark/>
          </w:tcPr>
          <w:p w14:paraId="337AAF8C"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auto" w:fill="auto"/>
            <w:noWrap/>
            <w:vAlign w:val="center"/>
            <w:hideMark/>
          </w:tcPr>
          <w:p w14:paraId="04AD6B73"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auto" w:fill="auto"/>
            <w:vAlign w:val="center"/>
            <w:hideMark/>
          </w:tcPr>
          <w:p w14:paraId="0BFFC93D" w14:textId="77777777" w:rsidR="001C32C8" w:rsidRPr="00B0658A" w:rsidRDefault="001C32C8" w:rsidP="00004A41">
            <w:pPr>
              <w:spacing w:after="0" w:line="240" w:lineRule="auto"/>
              <w:jc w:val="center"/>
              <w:rPr>
                <w:rFonts w:ascii="Times New Roman" w:hAnsi="Times New Roman"/>
                <w:sz w:val="18"/>
                <w:szCs w:val="18"/>
              </w:rPr>
            </w:pPr>
          </w:p>
        </w:tc>
        <w:tc>
          <w:tcPr>
            <w:tcW w:w="993" w:type="dxa"/>
            <w:vAlign w:val="center"/>
          </w:tcPr>
          <w:p w14:paraId="6ED7CDF3"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auto" w:fill="auto"/>
            <w:vAlign w:val="center"/>
            <w:hideMark/>
          </w:tcPr>
          <w:p w14:paraId="6804C43C" w14:textId="77777777" w:rsidR="001C32C8" w:rsidRPr="00B0658A" w:rsidRDefault="001C32C8" w:rsidP="00004A41">
            <w:pPr>
              <w:spacing w:after="0" w:line="240" w:lineRule="auto"/>
              <w:jc w:val="center"/>
              <w:rPr>
                <w:rFonts w:ascii="Times New Roman" w:hAnsi="Times New Roman"/>
                <w:sz w:val="18"/>
                <w:szCs w:val="18"/>
              </w:rPr>
            </w:pPr>
          </w:p>
        </w:tc>
        <w:tc>
          <w:tcPr>
            <w:tcW w:w="780" w:type="dxa"/>
            <w:shd w:val="clear" w:color="auto" w:fill="auto"/>
            <w:vAlign w:val="center"/>
            <w:hideMark/>
          </w:tcPr>
          <w:p w14:paraId="19E90D70"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auto" w:fill="auto"/>
            <w:noWrap/>
            <w:vAlign w:val="center"/>
            <w:hideMark/>
          </w:tcPr>
          <w:p w14:paraId="1CB53AC9" w14:textId="77777777" w:rsidR="001C32C8" w:rsidRPr="00B0658A" w:rsidRDefault="001C32C8" w:rsidP="00004A41">
            <w:pPr>
              <w:spacing w:after="0" w:line="240" w:lineRule="auto"/>
              <w:jc w:val="center"/>
              <w:rPr>
                <w:rFonts w:ascii="Times New Roman" w:hAnsi="Times New Roman"/>
                <w:sz w:val="18"/>
                <w:szCs w:val="18"/>
              </w:rPr>
            </w:pPr>
          </w:p>
        </w:tc>
        <w:tc>
          <w:tcPr>
            <w:tcW w:w="780" w:type="dxa"/>
            <w:vAlign w:val="center"/>
          </w:tcPr>
          <w:p w14:paraId="6F9CF43A" w14:textId="77777777" w:rsidR="001C32C8" w:rsidRPr="00B0658A" w:rsidRDefault="001C32C8" w:rsidP="00004A41">
            <w:pPr>
              <w:spacing w:after="0" w:line="240" w:lineRule="auto"/>
              <w:jc w:val="center"/>
              <w:rPr>
                <w:rFonts w:ascii="Times New Roman" w:hAnsi="Times New Roman"/>
                <w:sz w:val="18"/>
                <w:szCs w:val="18"/>
              </w:rPr>
            </w:pPr>
          </w:p>
        </w:tc>
        <w:tc>
          <w:tcPr>
            <w:tcW w:w="779" w:type="dxa"/>
            <w:vAlign w:val="center"/>
          </w:tcPr>
          <w:p w14:paraId="735252A6" w14:textId="77777777" w:rsidR="001C32C8" w:rsidRPr="00B0658A" w:rsidRDefault="001C32C8" w:rsidP="00004A41">
            <w:pPr>
              <w:spacing w:after="0" w:line="240" w:lineRule="auto"/>
              <w:jc w:val="center"/>
              <w:rPr>
                <w:rFonts w:ascii="Times New Roman" w:hAnsi="Times New Roman"/>
                <w:sz w:val="18"/>
                <w:szCs w:val="18"/>
              </w:rPr>
            </w:pPr>
          </w:p>
        </w:tc>
        <w:tc>
          <w:tcPr>
            <w:tcW w:w="780" w:type="dxa"/>
            <w:vAlign w:val="center"/>
          </w:tcPr>
          <w:p w14:paraId="383994A1" w14:textId="77777777" w:rsidR="001C32C8" w:rsidRPr="00B0658A" w:rsidRDefault="001C32C8" w:rsidP="00004A41">
            <w:pPr>
              <w:spacing w:after="0" w:line="240" w:lineRule="auto"/>
              <w:jc w:val="center"/>
              <w:rPr>
                <w:rFonts w:ascii="Times New Roman" w:hAnsi="Times New Roman"/>
                <w:sz w:val="18"/>
                <w:szCs w:val="18"/>
              </w:rPr>
            </w:pPr>
          </w:p>
        </w:tc>
        <w:tc>
          <w:tcPr>
            <w:tcW w:w="1475" w:type="dxa"/>
            <w:vAlign w:val="center"/>
          </w:tcPr>
          <w:p w14:paraId="1407B4BD" w14:textId="77777777" w:rsidR="001C32C8" w:rsidRPr="00B0658A" w:rsidRDefault="001C32C8" w:rsidP="00004A41">
            <w:pPr>
              <w:spacing w:after="0" w:line="240" w:lineRule="auto"/>
              <w:jc w:val="center"/>
              <w:rPr>
                <w:rFonts w:ascii="Times New Roman" w:hAnsi="Times New Roman"/>
                <w:sz w:val="18"/>
                <w:szCs w:val="18"/>
              </w:rPr>
            </w:pPr>
          </w:p>
        </w:tc>
      </w:tr>
      <w:tr w:rsidR="00F52FED" w:rsidRPr="00B0658A" w14:paraId="5AE2B6D6" w14:textId="77777777" w:rsidTr="00E66BA4">
        <w:trPr>
          <w:trHeight w:val="20"/>
        </w:trPr>
        <w:tc>
          <w:tcPr>
            <w:tcW w:w="846" w:type="dxa"/>
            <w:shd w:val="clear" w:color="000000" w:fill="FFFFFF"/>
            <w:vAlign w:val="center"/>
          </w:tcPr>
          <w:p w14:paraId="48E40ED2" w14:textId="77777777" w:rsidR="001C32C8" w:rsidRPr="00B0658A" w:rsidRDefault="001C32C8" w:rsidP="00004A41">
            <w:pPr>
              <w:spacing w:after="0" w:line="240" w:lineRule="auto"/>
              <w:jc w:val="center"/>
              <w:rPr>
                <w:rFonts w:ascii="Times New Roman" w:hAnsi="Times New Roman"/>
                <w:sz w:val="18"/>
                <w:szCs w:val="18"/>
              </w:rPr>
            </w:pPr>
            <w:r w:rsidRPr="00B0658A">
              <w:rPr>
                <w:rFonts w:ascii="Times New Roman" w:hAnsi="Times New Roman"/>
                <w:sz w:val="18"/>
                <w:szCs w:val="18"/>
              </w:rPr>
              <w:t>8.4</w:t>
            </w:r>
          </w:p>
        </w:tc>
        <w:tc>
          <w:tcPr>
            <w:tcW w:w="1559" w:type="dxa"/>
            <w:shd w:val="clear" w:color="auto" w:fill="auto"/>
            <w:vAlign w:val="center"/>
            <w:hideMark/>
          </w:tcPr>
          <w:p w14:paraId="70197949" w14:textId="77777777" w:rsidR="001C32C8" w:rsidRPr="00B0658A" w:rsidRDefault="001C32C8" w:rsidP="00004A41">
            <w:pPr>
              <w:spacing w:after="0" w:line="240" w:lineRule="auto"/>
              <w:rPr>
                <w:rFonts w:ascii="Times New Roman" w:hAnsi="Times New Roman"/>
                <w:sz w:val="18"/>
                <w:szCs w:val="18"/>
              </w:rPr>
            </w:pPr>
            <w:r w:rsidRPr="00B0658A">
              <w:rPr>
                <w:rFonts w:ascii="Times New Roman" w:hAnsi="Times New Roman"/>
                <w:sz w:val="18"/>
                <w:szCs w:val="18"/>
              </w:rPr>
              <w:t xml:space="preserve">Промышленное программное обеспечение/ Средства автоматизированного проектирования для радиоэлектроники </w:t>
            </w:r>
            <w:r w:rsidRPr="00B0658A">
              <w:rPr>
                <w:rFonts w:ascii="Times New Roman" w:hAnsi="Times New Roman"/>
                <w:sz w:val="18"/>
                <w:szCs w:val="18"/>
              </w:rPr>
              <w:br/>
              <w:t>и электротехники (ECAD, EDA)</w:t>
            </w:r>
          </w:p>
        </w:tc>
        <w:tc>
          <w:tcPr>
            <w:tcW w:w="1418" w:type="dxa"/>
            <w:shd w:val="clear" w:color="000000" w:fill="FFFFFF"/>
            <w:hideMark/>
          </w:tcPr>
          <w:p w14:paraId="1C4ECE0C" w14:textId="77777777" w:rsidR="001C32C8" w:rsidRPr="00B0658A" w:rsidRDefault="001C32C8" w:rsidP="00004A41">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44" w:type="dxa"/>
            <w:vAlign w:val="center"/>
          </w:tcPr>
          <w:p w14:paraId="164364D3"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auto" w:fill="auto"/>
            <w:noWrap/>
            <w:vAlign w:val="center"/>
            <w:hideMark/>
          </w:tcPr>
          <w:p w14:paraId="327FAA8D"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auto" w:fill="auto"/>
            <w:noWrap/>
            <w:vAlign w:val="center"/>
            <w:hideMark/>
          </w:tcPr>
          <w:p w14:paraId="66BEAA07"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auto" w:fill="auto"/>
            <w:vAlign w:val="center"/>
            <w:hideMark/>
          </w:tcPr>
          <w:p w14:paraId="3B8DC155" w14:textId="77777777" w:rsidR="001C32C8" w:rsidRPr="00B0658A" w:rsidRDefault="001C32C8" w:rsidP="00004A41">
            <w:pPr>
              <w:spacing w:after="0" w:line="240" w:lineRule="auto"/>
              <w:jc w:val="center"/>
              <w:rPr>
                <w:rFonts w:ascii="Times New Roman" w:hAnsi="Times New Roman"/>
                <w:sz w:val="18"/>
                <w:szCs w:val="18"/>
              </w:rPr>
            </w:pPr>
          </w:p>
        </w:tc>
        <w:tc>
          <w:tcPr>
            <w:tcW w:w="993" w:type="dxa"/>
            <w:vAlign w:val="center"/>
          </w:tcPr>
          <w:p w14:paraId="483EBE35"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auto" w:fill="auto"/>
            <w:vAlign w:val="center"/>
            <w:hideMark/>
          </w:tcPr>
          <w:p w14:paraId="2A13D969" w14:textId="77777777" w:rsidR="001C32C8" w:rsidRPr="00B0658A" w:rsidRDefault="001C32C8" w:rsidP="00004A41">
            <w:pPr>
              <w:spacing w:after="0" w:line="240" w:lineRule="auto"/>
              <w:jc w:val="center"/>
              <w:rPr>
                <w:rFonts w:ascii="Times New Roman" w:hAnsi="Times New Roman"/>
                <w:sz w:val="18"/>
                <w:szCs w:val="18"/>
              </w:rPr>
            </w:pPr>
          </w:p>
        </w:tc>
        <w:tc>
          <w:tcPr>
            <w:tcW w:w="780" w:type="dxa"/>
            <w:shd w:val="clear" w:color="auto" w:fill="auto"/>
            <w:vAlign w:val="center"/>
            <w:hideMark/>
          </w:tcPr>
          <w:p w14:paraId="56886909"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auto" w:fill="auto"/>
            <w:noWrap/>
            <w:vAlign w:val="center"/>
            <w:hideMark/>
          </w:tcPr>
          <w:p w14:paraId="4A325A95" w14:textId="77777777" w:rsidR="001C32C8" w:rsidRPr="00B0658A" w:rsidRDefault="001C32C8" w:rsidP="00004A41">
            <w:pPr>
              <w:spacing w:after="0" w:line="240" w:lineRule="auto"/>
              <w:jc w:val="center"/>
              <w:rPr>
                <w:rFonts w:ascii="Times New Roman" w:hAnsi="Times New Roman"/>
                <w:sz w:val="18"/>
                <w:szCs w:val="18"/>
              </w:rPr>
            </w:pPr>
          </w:p>
        </w:tc>
        <w:tc>
          <w:tcPr>
            <w:tcW w:w="780" w:type="dxa"/>
            <w:vAlign w:val="center"/>
          </w:tcPr>
          <w:p w14:paraId="08C9D794" w14:textId="77777777" w:rsidR="001C32C8" w:rsidRPr="00B0658A" w:rsidRDefault="001C32C8" w:rsidP="00004A41">
            <w:pPr>
              <w:spacing w:after="0" w:line="240" w:lineRule="auto"/>
              <w:jc w:val="center"/>
              <w:rPr>
                <w:rFonts w:ascii="Times New Roman" w:hAnsi="Times New Roman"/>
                <w:sz w:val="18"/>
                <w:szCs w:val="18"/>
              </w:rPr>
            </w:pPr>
          </w:p>
        </w:tc>
        <w:tc>
          <w:tcPr>
            <w:tcW w:w="779" w:type="dxa"/>
            <w:vAlign w:val="center"/>
          </w:tcPr>
          <w:p w14:paraId="42600D40" w14:textId="77777777" w:rsidR="001C32C8" w:rsidRPr="00B0658A" w:rsidRDefault="001C32C8" w:rsidP="00004A41">
            <w:pPr>
              <w:spacing w:after="0" w:line="240" w:lineRule="auto"/>
              <w:jc w:val="center"/>
              <w:rPr>
                <w:rFonts w:ascii="Times New Roman" w:hAnsi="Times New Roman"/>
                <w:sz w:val="18"/>
                <w:szCs w:val="18"/>
              </w:rPr>
            </w:pPr>
          </w:p>
        </w:tc>
        <w:tc>
          <w:tcPr>
            <w:tcW w:w="780" w:type="dxa"/>
            <w:vAlign w:val="center"/>
          </w:tcPr>
          <w:p w14:paraId="79E92AD6" w14:textId="77777777" w:rsidR="001C32C8" w:rsidRPr="00B0658A" w:rsidRDefault="001C32C8" w:rsidP="00004A41">
            <w:pPr>
              <w:spacing w:after="0" w:line="240" w:lineRule="auto"/>
              <w:jc w:val="center"/>
              <w:rPr>
                <w:rFonts w:ascii="Times New Roman" w:hAnsi="Times New Roman"/>
                <w:sz w:val="18"/>
                <w:szCs w:val="18"/>
              </w:rPr>
            </w:pPr>
          </w:p>
        </w:tc>
        <w:tc>
          <w:tcPr>
            <w:tcW w:w="1475" w:type="dxa"/>
            <w:vAlign w:val="center"/>
          </w:tcPr>
          <w:p w14:paraId="011D44BD" w14:textId="77777777" w:rsidR="001C32C8" w:rsidRPr="00B0658A" w:rsidRDefault="001C32C8" w:rsidP="00004A41">
            <w:pPr>
              <w:spacing w:after="0" w:line="240" w:lineRule="auto"/>
              <w:jc w:val="center"/>
              <w:rPr>
                <w:rFonts w:ascii="Times New Roman" w:hAnsi="Times New Roman"/>
                <w:sz w:val="18"/>
                <w:szCs w:val="18"/>
              </w:rPr>
            </w:pPr>
          </w:p>
        </w:tc>
      </w:tr>
      <w:tr w:rsidR="00F52FED" w:rsidRPr="00B0658A" w14:paraId="1643CC1D" w14:textId="77777777" w:rsidTr="00E66BA4">
        <w:trPr>
          <w:trHeight w:val="20"/>
        </w:trPr>
        <w:tc>
          <w:tcPr>
            <w:tcW w:w="846" w:type="dxa"/>
            <w:shd w:val="clear" w:color="000000" w:fill="FFFFFF"/>
            <w:vAlign w:val="center"/>
          </w:tcPr>
          <w:p w14:paraId="468D2814" w14:textId="77777777" w:rsidR="001C32C8" w:rsidRPr="00B0658A" w:rsidRDefault="001C32C8" w:rsidP="00004A41">
            <w:pPr>
              <w:spacing w:after="0" w:line="240" w:lineRule="auto"/>
              <w:jc w:val="center"/>
              <w:rPr>
                <w:rFonts w:ascii="Times New Roman" w:hAnsi="Times New Roman"/>
                <w:sz w:val="18"/>
                <w:szCs w:val="18"/>
              </w:rPr>
            </w:pPr>
            <w:r w:rsidRPr="00B0658A">
              <w:rPr>
                <w:rFonts w:ascii="Times New Roman" w:hAnsi="Times New Roman"/>
                <w:sz w:val="18"/>
                <w:szCs w:val="18"/>
              </w:rPr>
              <w:t>8.5</w:t>
            </w:r>
          </w:p>
        </w:tc>
        <w:tc>
          <w:tcPr>
            <w:tcW w:w="1559" w:type="dxa"/>
            <w:shd w:val="clear" w:color="auto" w:fill="auto"/>
            <w:vAlign w:val="center"/>
            <w:hideMark/>
          </w:tcPr>
          <w:p w14:paraId="304761A1" w14:textId="77777777" w:rsidR="001C32C8" w:rsidRPr="00B0658A" w:rsidRDefault="001C32C8" w:rsidP="00004A41">
            <w:pPr>
              <w:spacing w:after="0" w:line="240" w:lineRule="auto"/>
              <w:rPr>
                <w:rFonts w:ascii="Times New Roman" w:hAnsi="Times New Roman"/>
                <w:sz w:val="18"/>
                <w:szCs w:val="18"/>
              </w:rPr>
            </w:pPr>
            <w:r w:rsidRPr="00B0658A">
              <w:rPr>
                <w:rFonts w:ascii="Times New Roman" w:hAnsi="Times New Roman"/>
                <w:sz w:val="18"/>
                <w:szCs w:val="18"/>
              </w:rPr>
              <w:t>Промышленное программное обеспечение/ Средства инженерного анализа (CAE)</w:t>
            </w:r>
          </w:p>
        </w:tc>
        <w:tc>
          <w:tcPr>
            <w:tcW w:w="1418" w:type="dxa"/>
            <w:shd w:val="clear" w:color="000000" w:fill="FFFFFF"/>
            <w:hideMark/>
          </w:tcPr>
          <w:p w14:paraId="3D793993" w14:textId="77777777" w:rsidR="001C32C8" w:rsidRPr="00B0658A" w:rsidRDefault="001C32C8" w:rsidP="00004A41">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44" w:type="dxa"/>
            <w:shd w:val="clear" w:color="000000" w:fill="FFFFFF"/>
            <w:vAlign w:val="center"/>
          </w:tcPr>
          <w:p w14:paraId="6EA29F4E"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000000" w:fill="FFFFFF"/>
            <w:vAlign w:val="center"/>
            <w:hideMark/>
          </w:tcPr>
          <w:p w14:paraId="6FC66A8B"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000000" w:fill="FFFFFF"/>
            <w:vAlign w:val="center"/>
            <w:hideMark/>
          </w:tcPr>
          <w:p w14:paraId="29F25666"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000000" w:fill="FFFFFF"/>
            <w:vAlign w:val="center"/>
            <w:hideMark/>
          </w:tcPr>
          <w:p w14:paraId="50E9634A" w14:textId="77777777" w:rsidR="001C32C8" w:rsidRPr="00B0658A" w:rsidRDefault="001C32C8" w:rsidP="00004A41">
            <w:pPr>
              <w:spacing w:after="0" w:line="240" w:lineRule="auto"/>
              <w:jc w:val="center"/>
              <w:rPr>
                <w:rFonts w:ascii="Times New Roman" w:hAnsi="Times New Roman"/>
                <w:sz w:val="18"/>
                <w:szCs w:val="18"/>
              </w:rPr>
            </w:pPr>
          </w:p>
        </w:tc>
        <w:tc>
          <w:tcPr>
            <w:tcW w:w="993" w:type="dxa"/>
            <w:shd w:val="clear" w:color="000000" w:fill="FFFFFF"/>
            <w:vAlign w:val="center"/>
          </w:tcPr>
          <w:p w14:paraId="2492FEBA"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000000" w:fill="FFFFFF"/>
            <w:vAlign w:val="center"/>
            <w:hideMark/>
          </w:tcPr>
          <w:p w14:paraId="3642EE2D" w14:textId="77777777" w:rsidR="001C32C8" w:rsidRPr="00B0658A" w:rsidRDefault="001C32C8" w:rsidP="00004A41">
            <w:pPr>
              <w:spacing w:after="0" w:line="240" w:lineRule="auto"/>
              <w:jc w:val="center"/>
              <w:rPr>
                <w:rFonts w:ascii="Times New Roman" w:hAnsi="Times New Roman"/>
                <w:sz w:val="18"/>
                <w:szCs w:val="18"/>
              </w:rPr>
            </w:pPr>
          </w:p>
        </w:tc>
        <w:tc>
          <w:tcPr>
            <w:tcW w:w="780" w:type="dxa"/>
            <w:shd w:val="clear" w:color="000000" w:fill="FFFFFF"/>
            <w:vAlign w:val="center"/>
            <w:hideMark/>
          </w:tcPr>
          <w:p w14:paraId="40B80E90"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000000" w:fill="FFFFFF"/>
            <w:vAlign w:val="center"/>
            <w:hideMark/>
          </w:tcPr>
          <w:p w14:paraId="70137876" w14:textId="77777777" w:rsidR="001C32C8" w:rsidRPr="00B0658A" w:rsidRDefault="001C32C8" w:rsidP="00004A41">
            <w:pPr>
              <w:spacing w:after="0" w:line="240" w:lineRule="auto"/>
              <w:jc w:val="center"/>
              <w:rPr>
                <w:rFonts w:ascii="Times New Roman" w:hAnsi="Times New Roman"/>
                <w:sz w:val="18"/>
                <w:szCs w:val="18"/>
              </w:rPr>
            </w:pPr>
          </w:p>
        </w:tc>
        <w:tc>
          <w:tcPr>
            <w:tcW w:w="780" w:type="dxa"/>
            <w:shd w:val="clear" w:color="000000" w:fill="FFFFFF"/>
            <w:vAlign w:val="center"/>
          </w:tcPr>
          <w:p w14:paraId="36013204"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000000" w:fill="FFFFFF"/>
            <w:vAlign w:val="center"/>
          </w:tcPr>
          <w:p w14:paraId="66E893B3" w14:textId="77777777" w:rsidR="001C32C8" w:rsidRPr="00B0658A" w:rsidRDefault="001C32C8" w:rsidP="00004A41">
            <w:pPr>
              <w:spacing w:after="0" w:line="240" w:lineRule="auto"/>
              <w:jc w:val="center"/>
              <w:rPr>
                <w:rFonts w:ascii="Times New Roman" w:hAnsi="Times New Roman"/>
                <w:sz w:val="18"/>
                <w:szCs w:val="18"/>
              </w:rPr>
            </w:pPr>
          </w:p>
        </w:tc>
        <w:tc>
          <w:tcPr>
            <w:tcW w:w="780" w:type="dxa"/>
            <w:shd w:val="clear" w:color="000000" w:fill="FFFFFF"/>
            <w:vAlign w:val="center"/>
          </w:tcPr>
          <w:p w14:paraId="0377287A" w14:textId="77777777" w:rsidR="001C32C8" w:rsidRPr="00B0658A" w:rsidRDefault="001C32C8" w:rsidP="00004A41">
            <w:pPr>
              <w:spacing w:after="0" w:line="240" w:lineRule="auto"/>
              <w:jc w:val="center"/>
              <w:rPr>
                <w:rFonts w:ascii="Times New Roman" w:hAnsi="Times New Roman"/>
                <w:sz w:val="18"/>
                <w:szCs w:val="18"/>
              </w:rPr>
            </w:pPr>
          </w:p>
        </w:tc>
        <w:tc>
          <w:tcPr>
            <w:tcW w:w="1475" w:type="dxa"/>
            <w:shd w:val="clear" w:color="000000" w:fill="FFFFFF"/>
            <w:vAlign w:val="center"/>
          </w:tcPr>
          <w:p w14:paraId="0D5879C2" w14:textId="77777777" w:rsidR="001C32C8" w:rsidRPr="00B0658A" w:rsidRDefault="001C32C8" w:rsidP="00004A41">
            <w:pPr>
              <w:spacing w:after="0" w:line="240" w:lineRule="auto"/>
              <w:jc w:val="center"/>
              <w:rPr>
                <w:rFonts w:ascii="Times New Roman" w:hAnsi="Times New Roman"/>
                <w:sz w:val="18"/>
                <w:szCs w:val="18"/>
              </w:rPr>
            </w:pPr>
          </w:p>
        </w:tc>
      </w:tr>
      <w:tr w:rsidR="00F52FED" w:rsidRPr="00B0658A" w14:paraId="191CC6BE" w14:textId="77777777" w:rsidTr="00E66BA4">
        <w:trPr>
          <w:trHeight w:val="20"/>
        </w:trPr>
        <w:tc>
          <w:tcPr>
            <w:tcW w:w="846" w:type="dxa"/>
            <w:shd w:val="clear" w:color="000000" w:fill="FFFFFF"/>
            <w:vAlign w:val="center"/>
          </w:tcPr>
          <w:p w14:paraId="41FA36B2" w14:textId="77777777" w:rsidR="001C32C8" w:rsidRPr="00B0658A" w:rsidRDefault="001C32C8" w:rsidP="00004A41">
            <w:pPr>
              <w:spacing w:after="0" w:line="240" w:lineRule="auto"/>
              <w:jc w:val="center"/>
              <w:rPr>
                <w:rFonts w:ascii="Times New Roman" w:hAnsi="Times New Roman"/>
                <w:sz w:val="18"/>
                <w:szCs w:val="18"/>
              </w:rPr>
            </w:pPr>
            <w:r w:rsidRPr="00B0658A">
              <w:rPr>
                <w:rFonts w:ascii="Times New Roman" w:hAnsi="Times New Roman"/>
                <w:sz w:val="18"/>
                <w:szCs w:val="18"/>
              </w:rPr>
              <w:t>8.6</w:t>
            </w:r>
          </w:p>
        </w:tc>
        <w:tc>
          <w:tcPr>
            <w:tcW w:w="1559" w:type="dxa"/>
            <w:shd w:val="clear" w:color="auto" w:fill="auto"/>
            <w:vAlign w:val="center"/>
            <w:hideMark/>
          </w:tcPr>
          <w:p w14:paraId="3711336A" w14:textId="77777777" w:rsidR="001C32C8" w:rsidRPr="00B0658A" w:rsidRDefault="001C32C8" w:rsidP="00004A41">
            <w:pPr>
              <w:spacing w:after="0" w:line="240" w:lineRule="auto"/>
              <w:rPr>
                <w:rFonts w:ascii="Times New Roman" w:hAnsi="Times New Roman"/>
                <w:sz w:val="18"/>
                <w:szCs w:val="18"/>
              </w:rPr>
            </w:pPr>
            <w:r w:rsidRPr="00B0658A">
              <w:rPr>
                <w:rFonts w:ascii="Times New Roman" w:hAnsi="Times New Roman"/>
                <w:sz w:val="18"/>
                <w:szCs w:val="18"/>
              </w:rPr>
              <w:t xml:space="preserve">Промышленное программное обеспечение/ Средства управления </w:t>
            </w:r>
            <w:r w:rsidRPr="00B0658A">
              <w:rPr>
                <w:rFonts w:ascii="Times New Roman" w:hAnsi="Times New Roman"/>
                <w:sz w:val="18"/>
                <w:szCs w:val="18"/>
              </w:rPr>
              <w:lastRenderedPageBreak/>
              <w:t>оборудованием с числовым программным управлением (CAM)</w:t>
            </w:r>
          </w:p>
        </w:tc>
        <w:tc>
          <w:tcPr>
            <w:tcW w:w="1418" w:type="dxa"/>
            <w:shd w:val="clear" w:color="000000" w:fill="FFFFFF"/>
            <w:hideMark/>
          </w:tcPr>
          <w:p w14:paraId="29EE40CD" w14:textId="77777777" w:rsidR="001C32C8" w:rsidRPr="00B0658A" w:rsidRDefault="001C32C8" w:rsidP="00004A41">
            <w:pPr>
              <w:spacing w:after="0" w:line="240" w:lineRule="auto"/>
              <w:rPr>
                <w:rFonts w:ascii="Times New Roman" w:hAnsi="Times New Roman"/>
                <w:sz w:val="18"/>
                <w:szCs w:val="18"/>
              </w:rPr>
            </w:pPr>
            <w:r w:rsidRPr="00B0658A">
              <w:rPr>
                <w:rFonts w:ascii="Times New Roman" w:hAnsi="Times New Roman"/>
                <w:sz w:val="18"/>
                <w:szCs w:val="18"/>
              </w:rPr>
              <w:lastRenderedPageBreak/>
              <w:t xml:space="preserve">Доля используемого российского ПО в общем объёме, </w:t>
            </w:r>
            <w:r w:rsidRPr="00B0658A">
              <w:rPr>
                <w:rFonts w:ascii="Times New Roman" w:hAnsi="Times New Roman"/>
                <w:sz w:val="18"/>
                <w:szCs w:val="18"/>
              </w:rPr>
              <w:lastRenderedPageBreak/>
              <w:t>используемого ПО, %</w:t>
            </w:r>
          </w:p>
        </w:tc>
        <w:tc>
          <w:tcPr>
            <w:tcW w:w="744" w:type="dxa"/>
            <w:shd w:val="clear" w:color="000000" w:fill="FFFFFF"/>
            <w:vAlign w:val="center"/>
          </w:tcPr>
          <w:p w14:paraId="3438C367"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000000" w:fill="FFFFFF"/>
            <w:vAlign w:val="center"/>
            <w:hideMark/>
          </w:tcPr>
          <w:p w14:paraId="00AD1279"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000000" w:fill="FFFFFF"/>
            <w:vAlign w:val="center"/>
            <w:hideMark/>
          </w:tcPr>
          <w:p w14:paraId="0AAA6D73"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000000" w:fill="FFFFFF"/>
            <w:vAlign w:val="center"/>
            <w:hideMark/>
          </w:tcPr>
          <w:p w14:paraId="47357ED0" w14:textId="77777777" w:rsidR="001C32C8" w:rsidRPr="00B0658A" w:rsidRDefault="001C32C8" w:rsidP="00004A41">
            <w:pPr>
              <w:spacing w:after="0" w:line="240" w:lineRule="auto"/>
              <w:jc w:val="center"/>
              <w:rPr>
                <w:rFonts w:ascii="Times New Roman" w:hAnsi="Times New Roman"/>
                <w:sz w:val="18"/>
                <w:szCs w:val="18"/>
              </w:rPr>
            </w:pPr>
          </w:p>
        </w:tc>
        <w:tc>
          <w:tcPr>
            <w:tcW w:w="993" w:type="dxa"/>
            <w:shd w:val="clear" w:color="000000" w:fill="FFFFFF"/>
            <w:vAlign w:val="center"/>
          </w:tcPr>
          <w:p w14:paraId="6A4ED314"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000000" w:fill="FFFFFF"/>
            <w:vAlign w:val="center"/>
            <w:hideMark/>
          </w:tcPr>
          <w:p w14:paraId="6D04A2CB" w14:textId="77777777" w:rsidR="001C32C8" w:rsidRPr="00B0658A" w:rsidRDefault="001C32C8" w:rsidP="00004A41">
            <w:pPr>
              <w:spacing w:after="0" w:line="240" w:lineRule="auto"/>
              <w:jc w:val="center"/>
              <w:rPr>
                <w:rFonts w:ascii="Times New Roman" w:hAnsi="Times New Roman"/>
                <w:sz w:val="18"/>
                <w:szCs w:val="18"/>
              </w:rPr>
            </w:pPr>
          </w:p>
        </w:tc>
        <w:tc>
          <w:tcPr>
            <w:tcW w:w="780" w:type="dxa"/>
            <w:shd w:val="clear" w:color="000000" w:fill="FFFFFF"/>
            <w:vAlign w:val="center"/>
            <w:hideMark/>
          </w:tcPr>
          <w:p w14:paraId="65E6419A"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000000" w:fill="FFFFFF"/>
            <w:vAlign w:val="center"/>
            <w:hideMark/>
          </w:tcPr>
          <w:p w14:paraId="4D6F9486" w14:textId="77777777" w:rsidR="001C32C8" w:rsidRPr="00B0658A" w:rsidRDefault="001C32C8" w:rsidP="00004A41">
            <w:pPr>
              <w:spacing w:after="0" w:line="240" w:lineRule="auto"/>
              <w:jc w:val="center"/>
              <w:rPr>
                <w:rFonts w:ascii="Times New Roman" w:hAnsi="Times New Roman"/>
                <w:sz w:val="18"/>
                <w:szCs w:val="18"/>
              </w:rPr>
            </w:pPr>
          </w:p>
        </w:tc>
        <w:tc>
          <w:tcPr>
            <w:tcW w:w="780" w:type="dxa"/>
            <w:shd w:val="clear" w:color="000000" w:fill="FFFFFF"/>
            <w:vAlign w:val="center"/>
          </w:tcPr>
          <w:p w14:paraId="4CA1C1E1"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000000" w:fill="FFFFFF"/>
            <w:vAlign w:val="center"/>
          </w:tcPr>
          <w:p w14:paraId="7497AF79" w14:textId="77777777" w:rsidR="001C32C8" w:rsidRPr="00B0658A" w:rsidRDefault="001C32C8" w:rsidP="00004A41">
            <w:pPr>
              <w:spacing w:after="0" w:line="240" w:lineRule="auto"/>
              <w:jc w:val="center"/>
              <w:rPr>
                <w:rFonts w:ascii="Times New Roman" w:hAnsi="Times New Roman"/>
                <w:sz w:val="18"/>
                <w:szCs w:val="18"/>
              </w:rPr>
            </w:pPr>
          </w:p>
        </w:tc>
        <w:tc>
          <w:tcPr>
            <w:tcW w:w="780" w:type="dxa"/>
            <w:shd w:val="clear" w:color="000000" w:fill="FFFFFF"/>
            <w:vAlign w:val="center"/>
          </w:tcPr>
          <w:p w14:paraId="7A33B3E2" w14:textId="77777777" w:rsidR="001C32C8" w:rsidRPr="00B0658A" w:rsidRDefault="001C32C8" w:rsidP="00004A41">
            <w:pPr>
              <w:spacing w:after="0" w:line="240" w:lineRule="auto"/>
              <w:jc w:val="center"/>
              <w:rPr>
                <w:rFonts w:ascii="Times New Roman" w:hAnsi="Times New Roman"/>
                <w:sz w:val="18"/>
                <w:szCs w:val="18"/>
              </w:rPr>
            </w:pPr>
          </w:p>
        </w:tc>
        <w:tc>
          <w:tcPr>
            <w:tcW w:w="1475" w:type="dxa"/>
            <w:shd w:val="clear" w:color="000000" w:fill="FFFFFF"/>
            <w:vAlign w:val="center"/>
          </w:tcPr>
          <w:p w14:paraId="2C88D9EB" w14:textId="77777777" w:rsidR="001C32C8" w:rsidRPr="00B0658A" w:rsidRDefault="001C32C8" w:rsidP="00004A41">
            <w:pPr>
              <w:spacing w:after="0" w:line="240" w:lineRule="auto"/>
              <w:jc w:val="center"/>
              <w:rPr>
                <w:rFonts w:ascii="Times New Roman" w:hAnsi="Times New Roman"/>
                <w:sz w:val="18"/>
                <w:szCs w:val="18"/>
              </w:rPr>
            </w:pPr>
          </w:p>
        </w:tc>
      </w:tr>
      <w:tr w:rsidR="00F52FED" w:rsidRPr="00B0658A" w14:paraId="30D149F6" w14:textId="77777777" w:rsidTr="00E66BA4">
        <w:trPr>
          <w:trHeight w:val="20"/>
        </w:trPr>
        <w:tc>
          <w:tcPr>
            <w:tcW w:w="846" w:type="dxa"/>
            <w:shd w:val="clear" w:color="000000" w:fill="FFFFFF"/>
            <w:vAlign w:val="center"/>
          </w:tcPr>
          <w:p w14:paraId="00012D9C" w14:textId="77777777" w:rsidR="001C32C8" w:rsidRPr="00B0658A" w:rsidRDefault="001C32C8" w:rsidP="00004A41">
            <w:pPr>
              <w:spacing w:after="0" w:line="240" w:lineRule="auto"/>
              <w:jc w:val="center"/>
              <w:rPr>
                <w:rFonts w:ascii="Times New Roman" w:hAnsi="Times New Roman"/>
                <w:sz w:val="18"/>
                <w:szCs w:val="18"/>
              </w:rPr>
            </w:pPr>
            <w:r w:rsidRPr="00B0658A">
              <w:rPr>
                <w:rFonts w:ascii="Times New Roman" w:hAnsi="Times New Roman"/>
                <w:sz w:val="18"/>
                <w:szCs w:val="18"/>
              </w:rPr>
              <w:t>8.7</w:t>
            </w:r>
          </w:p>
        </w:tc>
        <w:tc>
          <w:tcPr>
            <w:tcW w:w="1559" w:type="dxa"/>
            <w:shd w:val="clear" w:color="auto" w:fill="auto"/>
            <w:vAlign w:val="center"/>
            <w:hideMark/>
          </w:tcPr>
          <w:p w14:paraId="483F7132" w14:textId="77777777" w:rsidR="001C32C8" w:rsidRPr="00B0658A" w:rsidRDefault="001C32C8" w:rsidP="00004A41">
            <w:pPr>
              <w:spacing w:after="0" w:line="240" w:lineRule="auto"/>
              <w:rPr>
                <w:rFonts w:ascii="Times New Roman" w:hAnsi="Times New Roman"/>
                <w:sz w:val="18"/>
                <w:szCs w:val="18"/>
              </w:rPr>
            </w:pPr>
            <w:r w:rsidRPr="00B0658A">
              <w:rPr>
                <w:rFonts w:ascii="Times New Roman" w:hAnsi="Times New Roman"/>
                <w:sz w:val="18"/>
                <w:szCs w:val="18"/>
              </w:rPr>
              <w:t>Промышленное программное обеспечение/ Средства технологической подготовки производства (CAPP)</w:t>
            </w:r>
          </w:p>
        </w:tc>
        <w:tc>
          <w:tcPr>
            <w:tcW w:w="1418" w:type="dxa"/>
            <w:shd w:val="clear" w:color="000000" w:fill="FFFFFF"/>
            <w:hideMark/>
          </w:tcPr>
          <w:p w14:paraId="44E6557F" w14:textId="77777777" w:rsidR="001C32C8" w:rsidRPr="00B0658A" w:rsidRDefault="001C32C8" w:rsidP="00004A41">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44" w:type="dxa"/>
            <w:shd w:val="clear" w:color="000000" w:fill="FFFFFF"/>
            <w:vAlign w:val="center"/>
          </w:tcPr>
          <w:p w14:paraId="536AB1AB"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000000" w:fill="FFFFFF"/>
            <w:vAlign w:val="center"/>
            <w:hideMark/>
          </w:tcPr>
          <w:p w14:paraId="3F2EC05E"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000000" w:fill="FFFFFF"/>
            <w:vAlign w:val="center"/>
            <w:hideMark/>
          </w:tcPr>
          <w:p w14:paraId="7F96A86B"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000000" w:fill="FFFFFF"/>
            <w:vAlign w:val="center"/>
            <w:hideMark/>
          </w:tcPr>
          <w:p w14:paraId="51C7FBA5" w14:textId="77777777" w:rsidR="001C32C8" w:rsidRPr="00B0658A" w:rsidRDefault="001C32C8" w:rsidP="00004A41">
            <w:pPr>
              <w:spacing w:after="0" w:line="240" w:lineRule="auto"/>
              <w:jc w:val="center"/>
              <w:rPr>
                <w:rFonts w:ascii="Times New Roman" w:hAnsi="Times New Roman"/>
                <w:sz w:val="18"/>
                <w:szCs w:val="18"/>
              </w:rPr>
            </w:pPr>
          </w:p>
        </w:tc>
        <w:tc>
          <w:tcPr>
            <w:tcW w:w="993" w:type="dxa"/>
            <w:shd w:val="clear" w:color="000000" w:fill="FFFFFF"/>
            <w:vAlign w:val="center"/>
          </w:tcPr>
          <w:p w14:paraId="000DBCA4"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000000" w:fill="FFFFFF"/>
            <w:vAlign w:val="center"/>
            <w:hideMark/>
          </w:tcPr>
          <w:p w14:paraId="2A0A8EEF" w14:textId="77777777" w:rsidR="001C32C8" w:rsidRPr="00B0658A" w:rsidRDefault="001C32C8" w:rsidP="00004A41">
            <w:pPr>
              <w:spacing w:after="0" w:line="240" w:lineRule="auto"/>
              <w:jc w:val="center"/>
              <w:rPr>
                <w:rFonts w:ascii="Times New Roman" w:hAnsi="Times New Roman"/>
                <w:sz w:val="18"/>
                <w:szCs w:val="18"/>
              </w:rPr>
            </w:pPr>
          </w:p>
        </w:tc>
        <w:tc>
          <w:tcPr>
            <w:tcW w:w="780" w:type="dxa"/>
            <w:shd w:val="clear" w:color="000000" w:fill="FFFFFF"/>
            <w:vAlign w:val="center"/>
            <w:hideMark/>
          </w:tcPr>
          <w:p w14:paraId="721A38DF"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000000" w:fill="FFFFFF"/>
            <w:vAlign w:val="center"/>
            <w:hideMark/>
          </w:tcPr>
          <w:p w14:paraId="7304A684" w14:textId="77777777" w:rsidR="001C32C8" w:rsidRPr="00B0658A" w:rsidRDefault="001C32C8" w:rsidP="00004A41">
            <w:pPr>
              <w:spacing w:after="0" w:line="240" w:lineRule="auto"/>
              <w:jc w:val="center"/>
              <w:rPr>
                <w:rFonts w:ascii="Times New Roman" w:hAnsi="Times New Roman"/>
                <w:sz w:val="18"/>
                <w:szCs w:val="18"/>
              </w:rPr>
            </w:pPr>
          </w:p>
        </w:tc>
        <w:tc>
          <w:tcPr>
            <w:tcW w:w="780" w:type="dxa"/>
            <w:shd w:val="clear" w:color="000000" w:fill="FFFFFF"/>
            <w:vAlign w:val="center"/>
          </w:tcPr>
          <w:p w14:paraId="1474F830"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000000" w:fill="FFFFFF"/>
            <w:vAlign w:val="center"/>
          </w:tcPr>
          <w:p w14:paraId="66620202" w14:textId="77777777" w:rsidR="001C32C8" w:rsidRPr="00B0658A" w:rsidRDefault="001C32C8" w:rsidP="00004A41">
            <w:pPr>
              <w:spacing w:after="0" w:line="240" w:lineRule="auto"/>
              <w:jc w:val="center"/>
              <w:rPr>
                <w:rFonts w:ascii="Times New Roman" w:hAnsi="Times New Roman"/>
                <w:sz w:val="18"/>
                <w:szCs w:val="18"/>
              </w:rPr>
            </w:pPr>
          </w:p>
        </w:tc>
        <w:tc>
          <w:tcPr>
            <w:tcW w:w="780" w:type="dxa"/>
            <w:shd w:val="clear" w:color="000000" w:fill="FFFFFF"/>
            <w:vAlign w:val="center"/>
          </w:tcPr>
          <w:p w14:paraId="58F3E5E2" w14:textId="77777777" w:rsidR="001C32C8" w:rsidRPr="00B0658A" w:rsidRDefault="001C32C8" w:rsidP="00004A41">
            <w:pPr>
              <w:spacing w:after="0" w:line="240" w:lineRule="auto"/>
              <w:jc w:val="center"/>
              <w:rPr>
                <w:rFonts w:ascii="Times New Roman" w:hAnsi="Times New Roman"/>
                <w:sz w:val="18"/>
                <w:szCs w:val="18"/>
              </w:rPr>
            </w:pPr>
          </w:p>
        </w:tc>
        <w:tc>
          <w:tcPr>
            <w:tcW w:w="1475" w:type="dxa"/>
            <w:shd w:val="clear" w:color="000000" w:fill="FFFFFF"/>
            <w:vAlign w:val="center"/>
          </w:tcPr>
          <w:p w14:paraId="1FC7032B" w14:textId="77777777" w:rsidR="001C32C8" w:rsidRPr="00B0658A" w:rsidRDefault="001C32C8" w:rsidP="00004A41">
            <w:pPr>
              <w:spacing w:after="0" w:line="240" w:lineRule="auto"/>
              <w:jc w:val="center"/>
              <w:rPr>
                <w:rFonts w:ascii="Times New Roman" w:hAnsi="Times New Roman"/>
                <w:sz w:val="18"/>
                <w:szCs w:val="18"/>
              </w:rPr>
            </w:pPr>
          </w:p>
        </w:tc>
      </w:tr>
      <w:tr w:rsidR="00F52FED" w:rsidRPr="00B0658A" w14:paraId="496115C7" w14:textId="77777777" w:rsidTr="00E66BA4">
        <w:trPr>
          <w:trHeight w:val="20"/>
        </w:trPr>
        <w:tc>
          <w:tcPr>
            <w:tcW w:w="846" w:type="dxa"/>
            <w:shd w:val="clear" w:color="000000" w:fill="FFFFFF"/>
            <w:vAlign w:val="center"/>
          </w:tcPr>
          <w:p w14:paraId="680F24D4" w14:textId="77777777" w:rsidR="001C32C8" w:rsidRPr="00B0658A" w:rsidRDefault="001C32C8" w:rsidP="00004A41">
            <w:pPr>
              <w:spacing w:after="0" w:line="240" w:lineRule="auto"/>
              <w:jc w:val="center"/>
              <w:rPr>
                <w:rFonts w:ascii="Times New Roman" w:hAnsi="Times New Roman"/>
                <w:sz w:val="18"/>
                <w:szCs w:val="18"/>
              </w:rPr>
            </w:pPr>
            <w:r w:rsidRPr="00B0658A">
              <w:rPr>
                <w:rFonts w:ascii="Times New Roman" w:hAnsi="Times New Roman"/>
                <w:sz w:val="18"/>
                <w:szCs w:val="18"/>
              </w:rPr>
              <w:t>8.8</w:t>
            </w:r>
          </w:p>
        </w:tc>
        <w:tc>
          <w:tcPr>
            <w:tcW w:w="1559" w:type="dxa"/>
            <w:shd w:val="clear" w:color="auto" w:fill="auto"/>
            <w:vAlign w:val="center"/>
            <w:hideMark/>
          </w:tcPr>
          <w:p w14:paraId="2804B747" w14:textId="77777777" w:rsidR="001C32C8" w:rsidRPr="00B0658A" w:rsidRDefault="001C32C8" w:rsidP="00004A41">
            <w:pPr>
              <w:spacing w:after="0" w:line="240" w:lineRule="auto"/>
              <w:rPr>
                <w:rFonts w:ascii="Times New Roman" w:hAnsi="Times New Roman"/>
                <w:sz w:val="18"/>
                <w:szCs w:val="18"/>
              </w:rPr>
            </w:pPr>
            <w:r w:rsidRPr="00B0658A">
              <w:rPr>
                <w:rFonts w:ascii="Times New Roman" w:hAnsi="Times New Roman"/>
                <w:sz w:val="18"/>
                <w:szCs w:val="18"/>
              </w:rPr>
              <w:t xml:space="preserve">Промышленное программное обеспечение/ Средства управления инженерными данными </w:t>
            </w:r>
            <w:r w:rsidRPr="00B0658A">
              <w:rPr>
                <w:rFonts w:ascii="Times New Roman" w:hAnsi="Times New Roman"/>
                <w:sz w:val="18"/>
                <w:szCs w:val="18"/>
              </w:rPr>
              <w:br/>
              <w:t>об изделии (PDM)</w:t>
            </w:r>
          </w:p>
        </w:tc>
        <w:tc>
          <w:tcPr>
            <w:tcW w:w="1418" w:type="dxa"/>
            <w:shd w:val="clear" w:color="000000" w:fill="FFFFFF"/>
            <w:hideMark/>
          </w:tcPr>
          <w:p w14:paraId="57F7E599" w14:textId="77777777" w:rsidR="001C32C8" w:rsidRPr="00B0658A" w:rsidRDefault="001C32C8" w:rsidP="00004A41">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44" w:type="dxa"/>
            <w:shd w:val="clear" w:color="000000" w:fill="FFFFFF"/>
            <w:vAlign w:val="center"/>
          </w:tcPr>
          <w:p w14:paraId="5C30115F"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000000" w:fill="FFFFFF"/>
            <w:vAlign w:val="center"/>
            <w:hideMark/>
          </w:tcPr>
          <w:p w14:paraId="3B174DD7"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000000" w:fill="FFFFFF"/>
            <w:vAlign w:val="center"/>
            <w:hideMark/>
          </w:tcPr>
          <w:p w14:paraId="08121344"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000000" w:fill="FFFFFF"/>
            <w:vAlign w:val="center"/>
            <w:hideMark/>
          </w:tcPr>
          <w:p w14:paraId="3879C93B" w14:textId="77777777" w:rsidR="001C32C8" w:rsidRPr="00B0658A" w:rsidRDefault="001C32C8" w:rsidP="00004A41">
            <w:pPr>
              <w:spacing w:after="0" w:line="240" w:lineRule="auto"/>
              <w:jc w:val="center"/>
              <w:rPr>
                <w:rFonts w:ascii="Times New Roman" w:hAnsi="Times New Roman"/>
                <w:sz w:val="18"/>
                <w:szCs w:val="18"/>
              </w:rPr>
            </w:pPr>
          </w:p>
        </w:tc>
        <w:tc>
          <w:tcPr>
            <w:tcW w:w="993" w:type="dxa"/>
            <w:shd w:val="clear" w:color="000000" w:fill="FFFFFF"/>
            <w:vAlign w:val="center"/>
          </w:tcPr>
          <w:p w14:paraId="3329B8BF"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000000" w:fill="FFFFFF"/>
            <w:vAlign w:val="center"/>
            <w:hideMark/>
          </w:tcPr>
          <w:p w14:paraId="62A148D5" w14:textId="77777777" w:rsidR="001C32C8" w:rsidRPr="00B0658A" w:rsidRDefault="001C32C8" w:rsidP="00004A41">
            <w:pPr>
              <w:spacing w:after="0" w:line="240" w:lineRule="auto"/>
              <w:jc w:val="center"/>
              <w:rPr>
                <w:rFonts w:ascii="Times New Roman" w:hAnsi="Times New Roman"/>
                <w:sz w:val="18"/>
                <w:szCs w:val="18"/>
              </w:rPr>
            </w:pPr>
          </w:p>
        </w:tc>
        <w:tc>
          <w:tcPr>
            <w:tcW w:w="780" w:type="dxa"/>
            <w:shd w:val="clear" w:color="000000" w:fill="FFFFFF"/>
            <w:vAlign w:val="center"/>
            <w:hideMark/>
          </w:tcPr>
          <w:p w14:paraId="6073FE3A"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000000" w:fill="FFFFFF"/>
            <w:vAlign w:val="center"/>
            <w:hideMark/>
          </w:tcPr>
          <w:p w14:paraId="5CECD1A8" w14:textId="77777777" w:rsidR="001C32C8" w:rsidRPr="00B0658A" w:rsidRDefault="001C32C8" w:rsidP="00004A41">
            <w:pPr>
              <w:spacing w:after="0" w:line="240" w:lineRule="auto"/>
              <w:jc w:val="center"/>
              <w:rPr>
                <w:rFonts w:ascii="Times New Roman" w:hAnsi="Times New Roman"/>
                <w:sz w:val="18"/>
                <w:szCs w:val="18"/>
              </w:rPr>
            </w:pPr>
          </w:p>
        </w:tc>
        <w:tc>
          <w:tcPr>
            <w:tcW w:w="780" w:type="dxa"/>
            <w:shd w:val="clear" w:color="000000" w:fill="FFFFFF"/>
            <w:vAlign w:val="center"/>
          </w:tcPr>
          <w:p w14:paraId="04340B07"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000000" w:fill="FFFFFF"/>
            <w:vAlign w:val="center"/>
          </w:tcPr>
          <w:p w14:paraId="5B97BBB8" w14:textId="77777777" w:rsidR="001C32C8" w:rsidRPr="00B0658A" w:rsidRDefault="001C32C8" w:rsidP="00004A41">
            <w:pPr>
              <w:spacing w:after="0" w:line="240" w:lineRule="auto"/>
              <w:jc w:val="center"/>
              <w:rPr>
                <w:rFonts w:ascii="Times New Roman" w:hAnsi="Times New Roman"/>
                <w:sz w:val="18"/>
                <w:szCs w:val="18"/>
              </w:rPr>
            </w:pPr>
          </w:p>
        </w:tc>
        <w:tc>
          <w:tcPr>
            <w:tcW w:w="780" w:type="dxa"/>
            <w:shd w:val="clear" w:color="000000" w:fill="FFFFFF"/>
            <w:vAlign w:val="center"/>
          </w:tcPr>
          <w:p w14:paraId="67097A2D" w14:textId="77777777" w:rsidR="001C32C8" w:rsidRPr="00B0658A" w:rsidRDefault="001C32C8" w:rsidP="00004A41">
            <w:pPr>
              <w:spacing w:after="0" w:line="240" w:lineRule="auto"/>
              <w:jc w:val="center"/>
              <w:rPr>
                <w:rFonts w:ascii="Times New Roman" w:hAnsi="Times New Roman"/>
                <w:sz w:val="18"/>
                <w:szCs w:val="18"/>
              </w:rPr>
            </w:pPr>
          </w:p>
        </w:tc>
        <w:tc>
          <w:tcPr>
            <w:tcW w:w="1475" w:type="dxa"/>
            <w:shd w:val="clear" w:color="000000" w:fill="FFFFFF"/>
            <w:vAlign w:val="center"/>
          </w:tcPr>
          <w:p w14:paraId="71A1059C" w14:textId="77777777" w:rsidR="001C32C8" w:rsidRPr="00B0658A" w:rsidRDefault="001C32C8" w:rsidP="00004A41">
            <w:pPr>
              <w:spacing w:after="0" w:line="240" w:lineRule="auto"/>
              <w:jc w:val="center"/>
              <w:rPr>
                <w:rFonts w:ascii="Times New Roman" w:hAnsi="Times New Roman"/>
                <w:sz w:val="18"/>
                <w:szCs w:val="18"/>
              </w:rPr>
            </w:pPr>
          </w:p>
        </w:tc>
      </w:tr>
      <w:tr w:rsidR="00F52FED" w:rsidRPr="00B0658A" w14:paraId="1817255C" w14:textId="77777777" w:rsidTr="00E66BA4">
        <w:trPr>
          <w:trHeight w:val="20"/>
        </w:trPr>
        <w:tc>
          <w:tcPr>
            <w:tcW w:w="846" w:type="dxa"/>
            <w:shd w:val="clear" w:color="000000" w:fill="FFFFFF"/>
            <w:vAlign w:val="center"/>
          </w:tcPr>
          <w:p w14:paraId="2C8D408C" w14:textId="77777777" w:rsidR="001C32C8" w:rsidRPr="00B0658A" w:rsidRDefault="001C32C8" w:rsidP="00004A41">
            <w:pPr>
              <w:spacing w:after="0" w:line="240" w:lineRule="auto"/>
              <w:jc w:val="center"/>
              <w:rPr>
                <w:rFonts w:ascii="Times New Roman" w:hAnsi="Times New Roman"/>
                <w:sz w:val="18"/>
                <w:szCs w:val="18"/>
              </w:rPr>
            </w:pPr>
            <w:r w:rsidRPr="00B0658A">
              <w:rPr>
                <w:rFonts w:ascii="Times New Roman" w:hAnsi="Times New Roman"/>
                <w:sz w:val="18"/>
                <w:szCs w:val="18"/>
              </w:rPr>
              <w:t>8.9</w:t>
            </w:r>
          </w:p>
        </w:tc>
        <w:tc>
          <w:tcPr>
            <w:tcW w:w="1559" w:type="dxa"/>
            <w:shd w:val="clear" w:color="auto" w:fill="auto"/>
            <w:vAlign w:val="center"/>
            <w:hideMark/>
          </w:tcPr>
          <w:p w14:paraId="41F1F8C0" w14:textId="77777777" w:rsidR="001C32C8" w:rsidRPr="00B0658A" w:rsidRDefault="001C32C8" w:rsidP="00004A41">
            <w:pPr>
              <w:spacing w:after="0" w:line="240" w:lineRule="auto"/>
              <w:rPr>
                <w:rFonts w:ascii="Times New Roman" w:hAnsi="Times New Roman"/>
                <w:sz w:val="18"/>
                <w:szCs w:val="18"/>
              </w:rPr>
            </w:pPr>
            <w:r w:rsidRPr="00B0658A">
              <w:rPr>
                <w:rFonts w:ascii="Times New Roman" w:hAnsi="Times New Roman"/>
                <w:sz w:val="18"/>
                <w:szCs w:val="18"/>
              </w:rPr>
              <w:t xml:space="preserve">Промышленное программное обеспечение / Средства информационного моделирования зданий </w:t>
            </w:r>
            <w:r w:rsidRPr="00B0658A">
              <w:rPr>
                <w:rFonts w:ascii="Times New Roman" w:hAnsi="Times New Roman"/>
                <w:sz w:val="18"/>
                <w:szCs w:val="18"/>
              </w:rPr>
              <w:br/>
              <w:t>и сооружений, архитектурно-строительного проектирования (BIM, AEC CAD)</w:t>
            </w:r>
          </w:p>
        </w:tc>
        <w:tc>
          <w:tcPr>
            <w:tcW w:w="1418" w:type="dxa"/>
            <w:shd w:val="clear" w:color="000000" w:fill="FFFFFF"/>
            <w:hideMark/>
          </w:tcPr>
          <w:p w14:paraId="7AE0B8EF" w14:textId="77777777" w:rsidR="001C32C8" w:rsidRPr="00B0658A" w:rsidRDefault="001C32C8" w:rsidP="00004A41">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44" w:type="dxa"/>
            <w:shd w:val="clear" w:color="000000" w:fill="FFFFFF"/>
            <w:vAlign w:val="center"/>
          </w:tcPr>
          <w:p w14:paraId="1A23AB34"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000000" w:fill="FFFFFF"/>
            <w:vAlign w:val="center"/>
            <w:hideMark/>
          </w:tcPr>
          <w:p w14:paraId="656B9F76"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000000" w:fill="FFFFFF"/>
            <w:vAlign w:val="center"/>
            <w:hideMark/>
          </w:tcPr>
          <w:p w14:paraId="6CD16D32"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000000" w:fill="FFFFFF"/>
            <w:vAlign w:val="center"/>
            <w:hideMark/>
          </w:tcPr>
          <w:p w14:paraId="3957169E" w14:textId="77777777" w:rsidR="001C32C8" w:rsidRPr="00B0658A" w:rsidRDefault="001C32C8" w:rsidP="00004A41">
            <w:pPr>
              <w:spacing w:after="0" w:line="240" w:lineRule="auto"/>
              <w:jc w:val="center"/>
              <w:rPr>
                <w:rFonts w:ascii="Times New Roman" w:hAnsi="Times New Roman"/>
                <w:sz w:val="18"/>
                <w:szCs w:val="18"/>
              </w:rPr>
            </w:pPr>
          </w:p>
        </w:tc>
        <w:tc>
          <w:tcPr>
            <w:tcW w:w="993" w:type="dxa"/>
            <w:shd w:val="clear" w:color="000000" w:fill="FFFFFF"/>
            <w:vAlign w:val="center"/>
          </w:tcPr>
          <w:p w14:paraId="5D0B8430"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000000" w:fill="FFFFFF"/>
            <w:vAlign w:val="center"/>
            <w:hideMark/>
          </w:tcPr>
          <w:p w14:paraId="1DDB08A5" w14:textId="77777777" w:rsidR="001C32C8" w:rsidRPr="00B0658A" w:rsidRDefault="001C32C8" w:rsidP="00004A41">
            <w:pPr>
              <w:spacing w:after="0" w:line="240" w:lineRule="auto"/>
              <w:jc w:val="center"/>
              <w:rPr>
                <w:rFonts w:ascii="Times New Roman" w:hAnsi="Times New Roman"/>
                <w:sz w:val="18"/>
                <w:szCs w:val="18"/>
              </w:rPr>
            </w:pPr>
          </w:p>
        </w:tc>
        <w:tc>
          <w:tcPr>
            <w:tcW w:w="780" w:type="dxa"/>
            <w:shd w:val="clear" w:color="000000" w:fill="FFFFFF"/>
            <w:vAlign w:val="center"/>
            <w:hideMark/>
          </w:tcPr>
          <w:p w14:paraId="76E7684C"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000000" w:fill="FFFFFF"/>
            <w:vAlign w:val="center"/>
            <w:hideMark/>
          </w:tcPr>
          <w:p w14:paraId="26991AF4" w14:textId="77777777" w:rsidR="001C32C8" w:rsidRPr="00B0658A" w:rsidRDefault="001C32C8" w:rsidP="00004A41">
            <w:pPr>
              <w:spacing w:after="0" w:line="240" w:lineRule="auto"/>
              <w:jc w:val="center"/>
              <w:rPr>
                <w:rFonts w:ascii="Times New Roman" w:hAnsi="Times New Roman"/>
                <w:sz w:val="18"/>
                <w:szCs w:val="18"/>
              </w:rPr>
            </w:pPr>
          </w:p>
        </w:tc>
        <w:tc>
          <w:tcPr>
            <w:tcW w:w="780" w:type="dxa"/>
            <w:shd w:val="clear" w:color="000000" w:fill="FFFFFF"/>
            <w:vAlign w:val="center"/>
          </w:tcPr>
          <w:p w14:paraId="5AABD97B"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000000" w:fill="FFFFFF"/>
            <w:vAlign w:val="center"/>
          </w:tcPr>
          <w:p w14:paraId="0DC33188" w14:textId="77777777" w:rsidR="001C32C8" w:rsidRPr="00B0658A" w:rsidRDefault="001C32C8" w:rsidP="00004A41">
            <w:pPr>
              <w:spacing w:after="0" w:line="240" w:lineRule="auto"/>
              <w:jc w:val="center"/>
              <w:rPr>
                <w:rFonts w:ascii="Times New Roman" w:hAnsi="Times New Roman"/>
                <w:sz w:val="18"/>
                <w:szCs w:val="18"/>
              </w:rPr>
            </w:pPr>
          </w:p>
        </w:tc>
        <w:tc>
          <w:tcPr>
            <w:tcW w:w="780" w:type="dxa"/>
            <w:shd w:val="clear" w:color="000000" w:fill="FFFFFF"/>
            <w:vAlign w:val="center"/>
          </w:tcPr>
          <w:p w14:paraId="144FECD3" w14:textId="77777777" w:rsidR="001C32C8" w:rsidRPr="00B0658A" w:rsidRDefault="001C32C8" w:rsidP="00004A41">
            <w:pPr>
              <w:spacing w:after="0" w:line="240" w:lineRule="auto"/>
              <w:jc w:val="center"/>
              <w:rPr>
                <w:rFonts w:ascii="Times New Roman" w:hAnsi="Times New Roman"/>
                <w:sz w:val="18"/>
                <w:szCs w:val="18"/>
              </w:rPr>
            </w:pPr>
          </w:p>
        </w:tc>
        <w:tc>
          <w:tcPr>
            <w:tcW w:w="1475" w:type="dxa"/>
            <w:shd w:val="clear" w:color="000000" w:fill="FFFFFF"/>
            <w:vAlign w:val="center"/>
          </w:tcPr>
          <w:p w14:paraId="593D19E4" w14:textId="77777777" w:rsidR="001C32C8" w:rsidRPr="00B0658A" w:rsidRDefault="001C32C8" w:rsidP="00004A41">
            <w:pPr>
              <w:spacing w:after="0" w:line="240" w:lineRule="auto"/>
              <w:jc w:val="center"/>
              <w:rPr>
                <w:rFonts w:ascii="Times New Roman" w:hAnsi="Times New Roman"/>
                <w:sz w:val="18"/>
                <w:szCs w:val="18"/>
              </w:rPr>
            </w:pPr>
          </w:p>
        </w:tc>
      </w:tr>
      <w:tr w:rsidR="00F52FED" w:rsidRPr="00B0658A" w14:paraId="2EF52CBA" w14:textId="77777777" w:rsidTr="00E66BA4">
        <w:trPr>
          <w:trHeight w:val="20"/>
        </w:trPr>
        <w:tc>
          <w:tcPr>
            <w:tcW w:w="846" w:type="dxa"/>
            <w:shd w:val="clear" w:color="000000" w:fill="FFFFFF"/>
            <w:vAlign w:val="center"/>
          </w:tcPr>
          <w:p w14:paraId="4B00F29E" w14:textId="77777777" w:rsidR="001C32C8" w:rsidRPr="00B0658A" w:rsidRDefault="001C32C8" w:rsidP="00004A41">
            <w:pPr>
              <w:spacing w:after="0" w:line="240" w:lineRule="auto"/>
              <w:jc w:val="center"/>
              <w:rPr>
                <w:rFonts w:ascii="Times New Roman" w:hAnsi="Times New Roman"/>
                <w:sz w:val="18"/>
                <w:szCs w:val="18"/>
              </w:rPr>
            </w:pPr>
            <w:r w:rsidRPr="00B0658A">
              <w:rPr>
                <w:rFonts w:ascii="Times New Roman" w:hAnsi="Times New Roman"/>
                <w:sz w:val="18"/>
                <w:szCs w:val="18"/>
              </w:rPr>
              <w:t>8.10</w:t>
            </w:r>
          </w:p>
        </w:tc>
        <w:tc>
          <w:tcPr>
            <w:tcW w:w="1559" w:type="dxa"/>
            <w:shd w:val="clear" w:color="auto" w:fill="auto"/>
            <w:vAlign w:val="center"/>
            <w:hideMark/>
          </w:tcPr>
          <w:p w14:paraId="7E687A13" w14:textId="77777777" w:rsidR="001C32C8" w:rsidRPr="00B0658A" w:rsidRDefault="001C32C8" w:rsidP="00004A41">
            <w:pPr>
              <w:spacing w:after="0" w:line="240" w:lineRule="auto"/>
              <w:rPr>
                <w:rFonts w:ascii="Times New Roman" w:hAnsi="Times New Roman"/>
                <w:sz w:val="18"/>
                <w:szCs w:val="18"/>
              </w:rPr>
            </w:pPr>
            <w:r w:rsidRPr="00B0658A">
              <w:rPr>
                <w:rFonts w:ascii="Times New Roman" w:hAnsi="Times New Roman"/>
                <w:sz w:val="18"/>
                <w:szCs w:val="18"/>
              </w:rPr>
              <w:t xml:space="preserve">Промышленное программное обеспечение/ Средства </w:t>
            </w:r>
            <w:r w:rsidRPr="00B0658A">
              <w:rPr>
                <w:rFonts w:ascii="Times New Roman" w:hAnsi="Times New Roman"/>
                <w:sz w:val="18"/>
                <w:szCs w:val="18"/>
              </w:rPr>
              <w:lastRenderedPageBreak/>
              <w:t>усовершенствованного управления технологическими процессами (APC, RTO)</w:t>
            </w:r>
          </w:p>
        </w:tc>
        <w:tc>
          <w:tcPr>
            <w:tcW w:w="1418" w:type="dxa"/>
            <w:shd w:val="clear" w:color="000000" w:fill="FFFFFF"/>
            <w:hideMark/>
          </w:tcPr>
          <w:p w14:paraId="09203393" w14:textId="77777777" w:rsidR="001C32C8" w:rsidRPr="00B0658A" w:rsidRDefault="001C32C8" w:rsidP="00004A41">
            <w:pPr>
              <w:spacing w:after="0" w:line="240" w:lineRule="auto"/>
              <w:rPr>
                <w:rFonts w:ascii="Times New Roman" w:hAnsi="Times New Roman"/>
                <w:sz w:val="18"/>
                <w:szCs w:val="18"/>
              </w:rPr>
            </w:pPr>
            <w:r w:rsidRPr="00B0658A">
              <w:rPr>
                <w:rFonts w:ascii="Times New Roman" w:hAnsi="Times New Roman"/>
                <w:sz w:val="18"/>
                <w:szCs w:val="18"/>
              </w:rPr>
              <w:lastRenderedPageBreak/>
              <w:t xml:space="preserve">Доля используемого российского ПО в общем объёме, </w:t>
            </w:r>
            <w:r w:rsidRPr="00B0658A">
              <w:rPr>
                <w:rFonts w:ascii="Times New Roman" w:hAnsi="Times New Roman"/>
                <w:sz w:val="18"/>
                <w:szCs w:val="18"/>
              </w:rPr>
              <w:lastRenderedPageBreak/>
              <w:t>используемого ПО, %</w:t>
            </w:r>
          </w:p>
        </w:tc>
        <w:tc>
          <w:tcPr>
            <w:tcW w:w="744" w:type="dxa"/>
            <w:shd w:val="clear" w:color="000000" w:fill="FFFFFF"/>
            <w:vAlign w:val="center"/>
          </w:tcPr>
          <w:p w14:paraId="33674DDE"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000000" w:fill="FFFFFF"/>
            <w:vAlign w:val="center"/>
            <w:hideMark/>
          </w:tcPr>
          <w:p w14:paraId="1D2311B8"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000000" w:fill="FFFFFF"/>
            <w:vAlign w:val="center"/>
            <w:hideMark/>
          </w:tcPr>
          <w:p w14:paraId="656B920A"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000000" w:fill="FFFFFF"/>
            <w:vAlign w:val="center"/>
            <w:hideMark/>
          </w:tcPr>
          <w:p w14:paraId="6ACE6D6F" w14:textId="77777777" w:rsidR="001C32C8" w:rsidRPr="00B0658A" w:rsidRDefault="001C32C8" w:rsidP="00004A41">
            <w:pPr>
              <w:spacing w:after="0" w:line="240" w:lineRule="auto"/>
              <w:jc w:val="center"/>
              <w:rPr>
                <w:rFonts w:ascii="Times New Roman" w:hAnsi="Times New Roman"/>
                <w:sz w:val="18"/>
                <w:szCs w:val="18"/>
              </w:rPr>
            </w:pPr>
          </w:p>
        </w:tc>
        <w:tc>
          <w:tcPr>
            <w:tcW w:w="993" w:type="dxa"/>
            <w:shd w:val="clear" w:color="000000" w:fill="FFFFFF"/>
            <w:vAlign w:val="center"/>
          </w:tcPr>
          <w:p w14:paraId="0C49396F"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000000" w:fill="FFFFFF"/>
            <w:vAlign w:val="center"/>
            <w:hideMark/>
          </w:tcPr>
          <w:p w14:paraId="702CFF69" w14:textId="77777777" w:rsidR="001C32C8" w:rsidRPr="00B0658A" w:rsidRDefault="001C32C8" w:rsidP="00004A41">
            <w:pPr>
              <w:spacing w:after="0" w:line="240" w:lineRule="auto"/>
              <w:jc w:val="center"/>
              <w:rPr>
                <w:rFonts w:ascii="Times New Roman" w:hAnsi="Times New Roman"/>
                <w:sz w:val="18"/>
                <w:szCs w:val="18"/>
              </w:rPr>
            </w:pPr>
          </w:p>
        </w:tc>
        <w:tc>
          <w:tcPr>
            <w:tcW w:w="780" w:type="dxa"/>
            <w:shd w:val="clear" w:color="000000" w:fill="FFFFFF"/>
            <w:vAlign w:val="center"/>
            <w:hideMark/>
          </w:tcPr>
          <w:p w14:paraId="094F3FCE"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000000" w:fill="FFFFFF"/>
            <w:vAlign w:val="center"/>
            <w:hideMark/>
          </w:tcPr>
          <w:p w14:paraId="404F819A" w14:textId="77777777" w:rsidR="001C32C8" w:rsidRPr="00B0658A" w:rsidRDefault="001C32C8" w:rsidP="00004A41">
            <w:pPr>
              <w:spacing w:after="0" w:line="240" w:lineRule="auto"/>
              <w:jc w:val="center"/>
              <w:rPr>
                <w:rFonts w:ascii="Times New Roman" w:hAnsi="Times New Roman"/>
                <w:sz w:val="18"/>
                <w:szCs w:val="18"/>
              </w:rPr>
            </w:pPr>
          </w:p>
        </w:tc>
        <w:tc>
          <w:tcPr>
            <w:tcW w:w="780" w:type="dxa"/>
            <w:shd w:val="clear" w:color="000000" w:fill="FFFFFF"/>
            <w:vAlign w:val="center"/>
          </w:tcPr>
          <w:p w14:paraId="452BBA86"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000000" w:fill="FFFFFF"/>
            <w:vAlign w:val="center"/>
          </w:tcPr>
          <w:p w14:paraId="399F8EC1" w14:textId="77777777" w:rsidR="001C32C8" w:rsidRPr="00B0658A" w:rsidRDefault="001C32C8" w:rsidP="00004A41">
            <w:pPr>
              <w:spacing w:after="0" w:line="240" w:lineRule="auto"/>
              <w:jc w:val="center"/>
              <w:rPr>
                <w:rFonts w:ascii="Times New Roman" w:hAnsi="Times New Roman"/>
                <w:sz w:val="18"/>
                <w:szCs w:val="18"/>
              </w:rPr>
            </w:pPr>
          </w:p>
        </w:tc>
        <w:tc>
          <w:tcPr>
            <w:tcW w:w="780" w:type="dxa"/>
            <w:shd w:val="clear" w:color="000000" w:fill="FFFFFF"/>
            <w:vAlign w:val="center"/>
          </w:tcPr>
          <w:p w14:paraId="3934676B" w14:textId="77777777" w:rsidR="001C32C8" w:rsidRPr="00B0658A" w:rsidRDefault="001C32C8" w:rsidP="00004A41">
            <w:pPr>
              <w:spacing w:after="0" w:line="240" w:lineRule="auto"/>
              <w:jc w:val="center"/>
              <w:rPr>
                <w:rFonts w:ascii="Times New Roman" w:hAnsi="Times New Roman"/>
                <w:sz w:val="18"/>
                <w:szCs w:val="18"/>
              </w:rPr>
            </w:pPr>
          </w:p>
        </w:tc>
        <w:tc>
          <w:tcPr>
            <w:tcW w:w="1475" w:type="dxa"/>
            <w:shd w:val="clear" w:color="000000" w:fill="FFFFFF"/>
            <w:vAlign w:val="center"/>
          </w:tcPr>
          <w:p w14:paraId="2A703D87" w14:textId="77777777" w:rsidR="001C32C8" w:rsidRPr="00B0658A" w:rsidRDefault="001C32C8" w:rsidP="00004A41">
            <w:pPr>
              <w:spacing w:after="0" w:line="240" w:lineRule="auto"/>
              <w:jc w:val="center"/>
              <w:rPr>
                <w:rFonts w:ascii="Times New Roman" w:hAnsi="Times New Roman"/>
                <w:sz w:val="18"/>
                <w:szCs w:val="18"/>
              </w:rPr>
            </w:pPr>
          </w:p>
        </w:tc>
      </w:tr>
      <w:tr w:rsidR="00F52FED" w:rsidRPr="00B0658A" w14:paraId="5F73763F" w14:textId="77777777" w:rsidTr="00E66BA4">
        <w:trPr>
          <w:trHeight w:val="20"/>
        </w:trPr>
        <w:tc>
          <w:tcPr>
            <w:tcW w:w="846" w:type="dxa"/>
            <w:shd w:val="clear" w:color="000000" w:fill="FFFFFF"/>
            <w:vAlign w:val="center"/>
          </w:tcPr>
          <w:p w14:paraId="0EC19664" w14:textId="77777777" w:rsidR="001C32C8" w:rsidRPr="00B0658A" w:rsidRDefault="001C32C8" w:rsidP="00004A41">
            <w:pPr>
              <w:spacing w:after="0" w:line="240" w:lineRule="auto"/>
              <w:jc w:val="center"/>
              <w:rPr>
                <w:rFonts w:ascii="Times New Roman" w:hAnsi="Times New Roman"/>
                <w:sz w:val="18"/>
                <w:szCs w:val="18"/>
              </w:rPr>
            </w:pPr>
            <w:r w:rsidRPr="00B0658A">
              <w:rPr>
                <w:rFonts w:ascii="Times New Roman" w:hAnsi="Times New Roman"/>
                <w:sz w:val="18"/>
                <w:szCs w:val="18"/>
              </w:rPr>
              <w:t>8.11</w:t>
            </w:r>
          </w:p>
        </w:tc>
        <w:tc>
          <w:tcPr>
            <w:tcW w:w="1559" w:type="dxa"/>
            <w:shd w:val="clear" w:color="auto" w:fill="auto"/>
            <w:vAlign w:val="center"/>
            <w:hideMark/>
          </w:tcPr>
          <w:p w14:paraId="33B3445C" w14:textId="77777777" w:rsidR="001C32C8" w:rsidRPr="00B0658A" w:rsidRDefault="001C32C8" w:rsidP="00004A41">
            <w:pPr>
              <w:spacing w:after="0" w:line="240" w:lineRule="auto"/>
              <w:rPr>
                <w:rFonts w:ascii="Times New Roman" w:hAnsi="Times New Roman"/>
                <w:sz w:val="18"/>
                <w:szCs w:val="18"/>
              </w:rPr>
            </w:pPr>
            <w:r w:rsidRPr="00B0658A">
              <w:rPr>
                <w:rFonts w:ascii="Times New Roman" w:hAnsi="Times New Roman"/>
                <w:sz w:val="18"/>
                <w:szCs w:val="18"/>
              </w:rPr>
              <w:t>Промышленное программное обеспечение / Средства автоматизированного управления техникой</w:t>
            </w:r>
          </w:p>
        </w:tc>
        <w:tc>
          <w:tcPr>
            <w:tcW w:w="1418" w:type="dxa"/>
            <w:shd w:val="clear" w:color="000000" w:fill="FFFFFF"/>
            <w:hideMark/>
          </w:tcPr>
          <w:p w14:paraId="7F524294" w14:textId="77777777" w:rsidR="001C32C8" w:rsidRPr="00B0658A" w:rsidRDefault="001C32C8" w:rsidP="00004A41">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44" w:type="dxa"/>
            <w:shd w:val="clear" w:color="000000" w:fill="FFFFFF"/>
            <w:vAlign w:val="center"/>
          </w:tcPr>
          <w:p w14:paraId="11D11AB5"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000000" w:fill="FFFFFF"/>
            <w:vAlign w:val="center"/>
            <w:hideMark/>
          </w:tcPr>
          <w:p w14:paraId="1DFA5DCF"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000000" w:fill="FFFFFF"/>
            <w:vAlign w:val="center"/>
            <w:hideMark/>
          </w:tcPr>
          <w:p w14:paraId="28ED8FB0"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000000" w:fill="FFFFFF"/>
            <w:vAlign w:val="center"/>
            <w:hideMark/>
          </w:tcPr>
          <w:p w14:paraId="3CAE2356" w14:textId="77777777" w:rsidR="001C32C8" w:rsidRPr="00B0658A" w:rsidRDefault="001C32C8" w:rsidP="00004A41">
            <w:pPr>
              <w:spacing w:after="0" w:line="240" w:lineRule="auto"/>
              <w:jc w:val="center"/>
              <w:rPr>
                <w:rFonts w:ascii="Times New Roman" w:hAnsi="Times New Roman"/>
                <w:sz w:val="18"/>
                <w:szCs w:val="18"/>
              </w:rPr>
            </w:pPr>
          </w:p>
        </w:tc>
        <w:tc>
          <w:tcPr>
            <w:tcW w:w="993" w:type="dxa"/>
            <w:shd w:val="clear" w:color="000000" w:fill="FFFFFF"/>
            <w:vAlign w:val="center"/>
          </w:tcPr>
          <w:p w14:paraId="7F8E7042"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000000" w:fill="FFFFFF"/>
            <w:vAlign w:val="center"/>
            <w:hideMark/>
          </w:tcPr>
          <w:p w14:paraId="167581E6" w14:textId="77777777" w:rsidR="001C32C8" w:rsidRPr="00B0658A" w:rsidRDefault="001C32C8" w:rsidP="00004A41">
            <w:pPr>
              <w:spacing w:after="0" w:line="240" w:lineRule="auto"/>
              <w:jc w:val="center"/>
              <w:rPr>
                <w:rFonts w:ascii="Times New Roman" w:hAnsi="Times New Roman"/>
                <w:sz w:val="18"/>
                <w:szCs w:val="18"/>
              </w:rPr>
            </w:pPr>
          </w:p>
        </w:tc>
        <w:tc>
          <w:tcPr>
            <w:tcW w:w="780" w:type="dxa"/>
            <w:shd w:val="clear" w:color="000000" w:fill="FFFFFF"/>
            <w:vAlign w:val="center"/>
            <w:hideMark/>
          </w:tcPr>
          <w:p w14:paraId="35051A04"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000000" w:fill="FFFFFF"/>
            <w:vAlign w:val="center"/>
            <w:hideMark/>
          </w:tcPr>
          <w:p w14:paraId="1FC3CD8B" w14:textId="77777777" w:rsidR="001C32C8" w:rsidRPr="00B0658A" w:rsidRDefault="001C32C8" w:rsidP="00004A41">
            <w:pPr>
              <w:spacing w:after="0" w:line="240" w:lineRule="auto"/>
              <w:jc w:val="center"/>
              <w:rPr>
                <w:rFonts w:ascii="Times New Roman" w:hAnsi="Times New Roman"/>
                <w:sz w:val="18"/>
                <w:szCs w:val="18"/>
              </w:rPr>
            </w:pPr>
          </w:p>
        </w:tc>
        <w:tc>
          <w:tcPr>
            <w:tcW w:w="780" w:type="dxa"/>
            <w:shd w:val="clear" w:color="000000" w:fill="FFFFFF"/>
            <w:vAlign w:val="center"/>
          </w:tcPr>
          <w:p w14:paraId="35B108EA"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000000" w:fill="FFFFFF"/>
            <w:vAlign w:val="center"/>
          </w:tcPr>
          <w:p w14:paraId="63AFD46B" w14:textId="77777777" w:rsidR="001C32C8" w:rsidRPr="00B0658A" w:rsidRDefault="001C32C8" w:rsidP="00004A41">
            <w:pPr>
              <w:spacing w:after="0" w:line="240" w:lineRule="auto"/>
              <w:jc w:val="center"/>
              <w:rPr>
                <w:rFonts w:ascii="Times New Roman" w:hAnsi="Times New Roman"/>
                <w:sz w:val="18"/>
                <w:szCs w:val="18"/>
              </w:rPr>
            </w:pPr>
          </w:p>
        </w:tc>
        <w:tc>
          <w:tcPr>
            <w:tcW w:w="780" w:type="dxa"/>
            <w:shd w:val="clear" w:color="000000" w:fill="FFFFFF"/>
            <w:vAlign w:val="center"/>
          </w:tcPr>
          <w:p w14:paraId="6B74FDC9" w14:textId="77777777" w:rsidR="001C32C8" w:rsidRPr="00B0658A" w:rsidRDefault="001C32C8" w:rsidP="00004A41">
            <w:pPr>
              <w:spacing w:after="0" w:line="240" w:lineRule="auto"/>
              <w:jc w:val="center"/>
              <w:rPr>
                <w:rFonts w:ascii="Times New Roman" w:hAnsi="Times New Roman"/>
                <w:sz w:val="18"/>
                <w:szCs w:val="18"/>
              </w:rPr>
            </w:pPr>
          </w:p>
        </w:tc>
        <w:tc>
          <w:tcPr>
            <w:tcW w:w="1475" w:type="dxa"/>
            <w:shd w:val="clear" w:color="000000" w:fill="FFFFFF"/>
            <w:vAlign w:val="center"/>
          </w:tcPr>
          <w:p w14:paraId="0238FDF6" w14:textId="77777777" w:rsidR="001C32C8" w:rsidRPr="00B0658A" w:rsidRDefault="001C32C8" w:rsidP="00004A41">
            <w:pPr>
              <w:spacing w:after="0" w:line="240" w:lineRule="auto"/>
              <w:jc w:val="center"/>
              <w:rPr>
                <w:rFonts w:ascii="Times New Roman" w:hAnsi="Times New Roman"/>
                <w:sz w:val="18"/>
                <w:szCs w:val="18"/>
              </w:rPr>
            </w:pPr>
          </w:p>
        </w:tc>
      </w:tr>
      <w:tr w:rsidR="00F52FED" w:rsidRPr="00B0658A" w14:paraId="713F3F4C" w14:textId="77777777" w:rsidTr="00E66BA4">
        <w:trPr>
          <w:trHeight w:val="20"/>
        </w:trPr>
        <w:tc>
          <w:tcPr>
            <w:tcW w:w="846" w:type="dxa"/>
            <w:shd w:val="clear" w:color="000000" w:fill="FFFFFF"/>
            <w:vAlign w:val="center"/>
          </w:tcPr>
          <w:p w14:paraId="6B8C2B59" w14:textId="77777777" w:rsidR="001C32C8" w:rsidRPr="00B0658A" w:rsidRDefault="001C32C8" w:rsidP="00004A41">
            <w:pPr>
              <w:spacing w:after="0" w:line="240" w:lineRule="auto"/>
              <w:jc w:val="center"/>
              <w:rPr>
                <w:rFonts w:ascii="Times New Roman" w:hAnsi="Times New Roman"/>
                <w:sz w:val="18"/>
                <w:szCs w:val="18"/>
              </w:rPr>
            </w:pPr>
            <w:r w:rsidRPr="00B0658A">
              <w:rPr>
                <w:rFonts w:ascii="Times New Roman" w:hAnsi="Times New Roman"/>
                <w:sz w:val="18"/>
                <w:szCs w:val="18"/>
              </w:rPr>
              <w:t>9.1</w:t>
            </w:r>
          </w:p>
        </w:tc>
        <w:tc>
          <w:tcPr>
            <w:tcW w:w="1559" w:type="dxa"/>
            <w:shd w:val="clear" w:color="auto" w:fill="auto"/>
            <w:noWrap/>
            <w:vAlign w:val="center"/>
            <w:hideMark/>
          </w:tcPr>
          <w:p w14:paraId="7B67EBB7" w14:textId="77777777" w:rsidR="001C32C8" w:rsidRPr="00B0658A" w:rsidRDefault="001C32C8" w:rsidP="00004A41">
            <w:pPr>
              <w:spacing w:after="0" w:line="240" w:lineRule="auto"/>
              <w:rPr>
                <w:rFonts w:ascii="Times New Roman" w:hAnsi="Times New Roman"/>
                <w:sz w:val="18"/>
                <w:szCs w:val="18"/>
              </w:rPr>
            </w:pPr>
            <w:r w:rsidRPr="00B0658A">
              <w:rPr>
                <w:rFonts w:ascii="Times New Roman" w:hAnsi="Times New Roman"/>
                <w:sz w:val="18"/>
                <w:szCs w:val="18"/>
              </w:rPr>
              <w:t>Средства управления процессами организации / Средства управления бизнес-процессами (BPM)</w:t>
            </w:r>
          </w:p>
        </w:tc>
        <w:tc>
          <w:tcPr>
            <w:tcW w:w="1418" w:type="dxa"/>
            <w:shd w:val="clear" w:color="000000" w:fill="FFFFFF"/>
            <w:hideMark/>
          </w:tcPr>
          <w:p w14:paraId="5CCACB62" w14:textId="77777777" w:rsidR="001C32C8" w:rsidRPr="00B0658A" w:rsidRDefault="001C32C8" w:rsidP="00004A41">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44" w:type="dxa"/>
            <w:vAlign w:val="center"/>
          </w:tcPr>
          <w:p w14:paraId="6AE94AD6"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auto" w:fill="auto"/>
            <w:noWrap/>
            <w:vAlign w:val="center"/>
            <w:hideMark/>
          </w:tcPr>
          <w:p w14:paraId="12E8E496"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auto" w:fill="auto"/>
            <w:noWrap/>
            <w:vAlign w:val="center"/>
            <w:hideMark/>
          </w:tcPr>
          <w:p w14:paraId="0B961740"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auto" w:fill="auto"/>
            <w:noWrap/>
            <w:vAlign w:val="center"/>
            <w:hideMark/>
          </w:tcPr>
          <w:p w14:paraId="1806B40A" w14:textId="77777777" w:rsidR="001C32C8" w:rsidRPr="00B0658A" w:rsidRDefault="001C32C8" w:rsidP="00004A41">
            <w:pPr>
              <w:spacing w:after="0" w:line="240" w:lineRule="auto"/>
              <w:jc w:val="center"/>
              <w:rPr>
                <w:rFonts w:ascii="Times New Roman" w:hAnsi="Times New Roman"/>
                <w:sz w:val="18"/>
                <w:szCs w:val="18"/>
              </w:rPr>
            </w:pPr>
          </w:p>
        </w:tc>
        <w:tc>
          <w:tcPr>
            <w:tcW w:w="993" w:type="dxa"/>
            <w:vAlign w:val="center"/>
          </w:tcPr>
          <w:p w14:paraId="5435A98A"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auto" w:fill="auto"/>
            <w:vAlign w:val="center"/>
            <w:hideMark/>
          </w:tcPr>
          <w:p w14:paraId="29B5FF08" w14:textId="77777777" w:rsidR="001C32C8" w:rsidRPr="00B0658A" w:rsidRDefault="001C32C8" w:rsidP="00004A41">
            <w:pPr>
              <w:spacing w:after="0" w:line="240" w:lineRule="auto"/>
              <w:jc w:val="center"/>
              <w:rPr>
                <w:rFonts w:ascii="Times New Roman" w:hAnsi="Times New Roman"/>
                <w:sz w:val="18"/>
                <w:szCs w:val="18"/>
              </w:rPr>
            </w:pPr>
          </w:p>
        </w:tc>
        <w:tc>
          <w:tcPr>
            <w:tcW w:w="780" w:type="dxa"/>
            <w:shd w:val="clear" w:color="auto" w:fill="auto"/>
            <w:vAlign w:val="center"/>
            <w:hideMark/>
          </w:tcPr>
          <w:p w14:paraId="46059EF6"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auto" w:fill="auto"/>
            <w:vAlign w:val="center"/>
            <w:hideMark/>
          </w:tcPr>
          <w:p w14:paraId="60B02107" w14:textId="77777777" w:rsidR="001C32C8" w:rsidRPr="00B0658A" w:rsidRDefault="001C32C8" w:rsidP="00004A41">
            <w:pPr>
              <w:spacing w:after="0" w:line="240" w:lineRule="auto"/>
              <w:jc w:val="center"/>
              <w:rPr>
                <w:rFonts w:ascii="Times New Roman" w:hAnsi="Times New Roman"/>
                <w:sz w:val="18"/>
                <w:szCs w:val="18"/>
              </w:rPr>
            </w:pPr>
          </w:p>
        </w:tc>
        <w:tc>
          <w:tcPr>
            <w:tcW w:w="780" w:type="dxa"/>
            <w:vAlign w:val="center"/>
          </w:tcPr>
          <w:p w14:paraId="5FEFE554" w14:textId="77777777" w:rsidR="001C32C8" w:rsidRPr="00B0658A" w:rsidRDefault="001C32C8" w:rsidP="00004A41">
            <w:pPr>
              <w:spacing w:after="0" w:line="240" w:lineRule="auto"/>
              <w:jc w:val="center"/>
              <w:rPr>
                <w:rFonts w:ascii="Times New Roman" w:hAnsi="Times New Roman"/>
                <w:sz w:val="18"/>
                <w:szCs w:val="18"/>
              </w:rPr>
            </w:pPr>
          </w:p>
        </w:tc>
        <w:tc>
          <w:tcPr>
            <w:tcW w:w="779" w:type="dxa"/>
            <w:vAlign w:val="center"/>
          </w:tcPr>
          <w:p w14:paraId="113DB4EA" w14:textId="77777777" w:rsidR="001C32C8" w:rsidRPr="00B0658A" w:rsidRDefault="001C32C8" w:rsidP="00004A41">
            <w:pPr>
              <w:spacing w:after="0" w:line="240" w:lineRule="auto"/>
              <w:jc w:val="center"/>
              <w:rPr>
                <w:rFonts w:ascii="Times New Roman" w:hAnsi="Times New Roman"/>
                <w:sz w:val="18"/>
                <w:szCs w:val="18"/>
              </w:rPr>
            </w:pPr>
          </w:p>
        </w:tc>
        <w:tc>
          <w:tcPr>
            <w:tcW w:w="780" w:type="dxa"/>
            <w:vAlign w:val="center"/>
          </w:tcPr>
          <w:p w14:paraId="07522FFB" w14:textId="77777777" w:rsidR="001C32C8" w:rsidRPr="00B0658A" w:rsidRDefault="001C32C8" w:rsidP="00004A41">
            <w:pPr>
              <w:spacing w:after="0" w:line="240" w:lineRule="auto"/>
              <w:jc w:val="center"/>
              <w:rPr>
                <w:rFonts w:ascii="Times New Roman" w:hAnsi="Times New Roman"/>
                <w:sz w:val="18"/>
                <w:szCs w:val="18"/>
              </w:rPr>
            </w:pPr>
          </w:p>
        </w:tc>
        <w:tc>
          <w:tcPr>
            <w:tcW w:w="1475" w:type="dxa"/>
            <w:vAlign w:val="center"/>
          </w:tcPr>
          <w:p w14:paraId="770761C8" w14:textId="77777777" w:rsidR="001C32C8" w:rsidRPr="00B0658A" w:rsidRDefault="001C32C8" w:rsidP="00004A41">
            <w:pPr>
              <w:spacing w:after="0" w:line="240" w:lineRule="auto"/>
              <w:jc w:val="center"/>
              <w:rPr>
                <w:rFonts w:ascii="Times New Roman" w:hAnsi="Times New Roman"/>
                <w:sz w:val="18"/>
                <w:szCs w:val="18"/>
              </w:rPr>
            </w:pPr>
          </w:p>
        </w:tc>
      </w:tr>
      <w:tr w:rsidR="00F52FED" w:rsidRPr="00B0658A" w14:paraId="52736E1B" w14:textId="77777777" w:rsidTr="00E66BA4">
        <w:trPr>
          <w:trHeight w:val="20"/>
        </w:trPr>
        <w:tc>
          <w:tcPr>
            <w:tcW w:w="846" w:type="dxa"/>
            <w:shd w:val="clear" w:color="000000" w:fill="FFFFFF"/>
            <w:vAlign w:val="center"/>
          </w:tcPr>
          <w:p w14:paraId="226C3A60" w14:textId="77777777" w:rsidR="001C32C8" w:rsidRPr="00B0658A" w:rsidRDefault="001C32C8" w:rsidP="00004A41">
            <w:pPr>
              <w:spacing w:after="0" w:line="240" w:lineRule="auto"/>
              <w:jc w:val="center"/>
              <w:rPr>
                <w:rFonts w:ascii="Times New Roman" w:hAnsi="Times New Roman"/>
                <w:sz w:val="18"/>
                <w:szCs w:val="18"/>
              </w:rPr>
            </w:pPr>
            <w:r w:rsidRPr="00B0658A">
              <w:rPr>
                <w:rFonts w:ascii="Times New Roman" w:hAnsi="Times New Roman"/>
                <w:sz w:val="18"/>
                <w:szCs w:val="18"/>
              </w:rPr>
              <w:t>9.2</w:t>
            </w:r>
          </w:p>
        </w:tc>
        <w:tc>
          <w:tcPr>
            <w:tcW w:w="1559" w:type="dxa"/>
            <w:shd w:val="clear" w:color="auto" w:fill="auto"/>
            <w:vAlign w:val="center"/>
            <w:hideMark/>
          </w:tcPr>
          <w:p w14:paraId="2D0840C7" w14:textId="77777777" w:rsidR="001C32C8" w:rsidRPr="00B0658A" w:rsidRDefault="001C32C8" w:rsidP="00004A41">
            <w:pPr>
              <w:spacing w:after="0" w:line="240" w:lineRule="auto"/>
              <w:rPr>
                <w:rFonts w:ascii="Times New Roman" w:hAnsi="Times New Roman"/>
                <w:sz w:val="18"/>
                <w:szCs w:val="18"/>
              </w:rPr>
            </w:pPr>
            <w:r w:rsidRPr="00B0658A">
              <w:rPr>
                <w:rFonts w:ascii="Times New Roman" w:hAnsi="Times New Roman"/>
                <w:sz w:val="18"/>
                <w:szCs w:val="18"/>
              </w:rPr>
              <w:t>Средства управления процессами организации/ Средства управления производственными процессами (MES)</w:t>
            </w:r>
          </w:p>
        </w:tc>
        <w:tc>
          <w:tcPr>
            <w:tcW w:w="1418" w:type="dxa"/>
            <w:shd w:val="clear" w:color="000000" w:fill="FFFFFF"/>
            <w:hideMark/>
          </w:tcPr>
          <w:p w14:paraId="30A9EC35" w14:textId="77777777" w:rsidR="001C32C8" w:rsidRPr="00B0658A" w:rsidRDefault="001C32C8" w:rsidP="00004A41">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44" w:type="dxa"/>
            <w:shd w:val="clear" w:color="000000" w:fill="FFFFFF"/>
            <w:vAlign w:val="center"/>
          </w:tcPr>
          <w:p w14:paraId="01D785E6"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000000" w:fill="FFFFFF"/>
            <w:vAlign w:val="center"/>
            <w:hideMark/>
          </w:tcPr>
          <w:p w14:paraId="44387776"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000000" w:fill="FFFFFF"/>
            <w:vAlign w:val="center"/>
            <w:hideMark/>
          </w:tcPr>
          <w:p w14:paraId="454BB878"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000000" w:fill="FFFFFF"/>
            <w:vAlign w:val="center"/>
            <w:hideMark/>
          </w:tcPr>
          <w:p w14:paraId="04F0B2D5" w14:textId="77777777" w:rsidR="001C32C8" w:rsidRPr="00B0658A" w:rsidRDefault="001C32C8" w:rsidP="00004A41">
            <w:pPr>
              <w:spacing w:after="0" w:line="240" w:lineRule="auto"/>
              <w:jc w:val="center"/>
              <w:rPr>
                <w:rFonts w:ascii="Times New Roman" w:hAnsi="Times New Roman"/>
                <w:sz w:val="18"/>
                <w:szCs w:val="18"/>
              </w:rPr>
            </w:pPr>
          </w:p>
        </w:tc>
        <w:tc>
          <w:tcPr>
            <w:tcW w:w="993" w:type="dxa"/>
            <w:shd w:val="clear" w:color="000000" w:fill="FFFFFF"/>
            <w:vAlign w:val="center"/>
          </w:tcPr>
          <w:p w14:paraId="210943B0"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000000" w:fill="FFFFFF"/>
            <w:vAlign w:val="center"/>
            <w:hideMark/>
          </w:tcPr>
          <w:p w14:paraId="7B767427" w14:textId="77777777" w:rsidR="001C32C8" w:rsidRPr="00B0658A" w:rsidRDefault="001C32C8" w:rsidP="00004A41">
            <w:pPr>
              <w:spacing w:after="0" w:line="240" w:lineRule="auto"/>
              <w:jc w:val="center"/>
              <w:rPr>
                <w:rFonts w:ascii="Times New Roman" w:hAnsi="Times New Roman"/>
                <w:sz w:val="18"/>
                <w:szCs w:val="18"/>
              </w:rPr>
            </w:pPr>
          </w:p>
        </w:tc>
        <w:tc>
          <w:tcPr>
            <w:tcW w:w="780" w:type="dxa"/>
            <w:shd w:val="clear" w:color="000000" w:fill="FFFFFF"/>
            <w:vAlign w:val="center"/>
            <w:hideMark/>
          </w:tcPr>
          <w:p w14:paraId="0A52E55F"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000000" w:fill="FFFFFF"/>
            <w:vAlign w:val="center"/>
            <w:hideMark/>
          </w:tcPr>
          <w:p w14:paraId="293621E3" w14:textId="77777777" w:rsidR="001C32C8" w:rsidRPr="00B0658A" w:rsidRDefault="001C32C8" w:rsidP="00004A41">
            <w:pPr>
              <w:spacing w:after="0" w:line="240" w:lineRule="auto"/>
              <w:jc w:val="center"/>
              <w:rPr>
                <w:rFonts w:ascii="Times New Roman" w:hAnsi="Times New Roman"/>
                <w:sz w:val="18"/>
                <w:szCs w:val="18"/>
              </w:rPr>
            </w:pPr>
          </w:p>
        </w:tc>
        <w:tc>
          <w:tcPr>
            <w:tcW w:w="780" w:type="dxa"/>
            <w:shd w:val="clear" w:color="000000" w:fill="FFFFFF"/>
            <w:vAlign w:val="center"/>
          </w:tcPr>
          <w:p w14:paraId="1CBEDA08"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000000" w:fill="FFFFFF"/>
            <w:vAlign w:val="center"/>
          </w:tcPr>
          <w:p w14:paraId="60BF3334" w14:textId="77777777" w:rsidR="001C32C8" w:rsidRPr="00B0658A" w:rsidRDefault="001C32C8" w:rsidP="00004A41">
            <w:pPr>
              <w:spacing w:after="0" w:line="240" w:lineRule="auto"/>
              <w:jc w:val="center"/>
              <w:rPr>
                <w:rFonts w:ascii="Times New Roman" w:hAnsi="Times New Roman"/>
                <w:sz w:val="18"/>
                <w:szCs w:val="18"/>
              </w:rPr>
            </w:pPr>
          </w:p>
        </w:tc>
        <w:tc>
          <w:tcPr>
            <w:tcW w:w="780" w:type="dxa"/>
            <w:shd w:val="clear" w:color="000000" w:fill="FFFFFF"/>
            <w:vAlign w:val="center"/>
          </w:tcPr>
          <w:p w14:paraId="221C4AFA" w14:textId="77777777" w:rsidR="001C32C8" w:rsidRPr="00B0658A" w:rsidRDefault="001C32C8" w:rsidP="00004A41">
            <w:pPr>
              <w:spacing w:after="0" w:line="240" w:lineRule="auto"/>
              <w:jc w:val="center"/>
              <w:rPr>
                <w:rFonts w:ascii="Times New Roman" w:hAnsi="Times New Roman"/>
                <w:sz w:val="18"/>
                <w:szCs w:val="18"/>
              </w:rPr>
            </w:pPr>
          </w:p>
        </w:tc>
        <w:tc>
          <w:tcPr>
            <w:tcW w:w="1475" w:type="dxa"/>
            <w:shd w:val="clear" w:color="000000" w:fill="FFFFFF"/>
            <w:vAlign w:val="center"/>
          </w:tcPr>
          <w:p w14:paraId="327520AD" w14:textId="77777777" w:rsidR="001C32C8" w:rsidRPr="00B0658A" w:rsidRDefault="001C32C8" w:rsidP="00004A41">
            <w:pPr>
              <w:spacing w:after="0" w:line="240" w:lineRule="auto"/>
              <w:jc w:val="center"/>
              <w:rPr>
                <w:rFonts w:ascii="Times New Roman" w:hAnsi="Times New Roman"/>
                <w:sz w:val="18"/>
                <w:szCs w:val="18"/>
              </w:rPr>
            </w:pPr>
          </w:p>
        </w:tc>
      </w:tr>
      <w:tr w:rsidR="00F52FED" w:rsidRPr="00B0658A" w14:paraId="6A46FB97" w14:textId="77777777" w:rsidTr="00E66BA4">
        <w:trPr>
          <w:trHeight w:val="20"/>
        </w:trPr>
        <w:tc>
          <w:tcPr>
            <w:tcW w:w="846" w:type="dxa"/>
            <w:shd w:val="clear" w:color="000000" w:fill="FFFFFF"/>
            <w:vAlign w:val="center"/>
          </w:tcPr>
          <w:p w14:paraId="3153D2CF" w14:textId="77777777" w:rsidR="001C32C8" w:rsidRPr="00B0658A" w:rsidRDefault="001C32C8" w:rsidP="00004A41">
            <w:pPr>
              <w:spacing w:after="0" w:line="240" w:lineRule="auto"/>
              <w:jc w:val="center"/>
              <w:rPr>
                <w:rFonts w:ascii="Times New Roman" w:hAnsi="Times New Roman"/>
                <w:sz w:val="18"/>
                <w:szCs w:val="18"/>
              </w:rPr>
            </w:pPr>
            <w:r w:rsidRPr="00B0658A">
              <w:rPr>
                <w:rFonts w:ascii="Times New Roman" w:hAnsi="Times New Roman"/>
                <w:sz w:val="18"/>
                <w:szCs w:val="18"/>
              </w:rPr>
              <w:t>9.3</w:t>
            </w:r>
          </w:p>
        </w:tc>
        <w:tc>
          <w:tcPr>
            <w:tcW w:w="1559" w:type="dxa"/>
            <w:shd w:val="clear" w:color="auto" w:fill="auto"/>
            <w:vAlign w:val="center"/>
            <w:hideMark/>
          </w:tcPr>
          <w:p w14:paraId="77CB103C" w14:textId="77777777" w:rsidR="001C32C8" w:rsidRPr="00B0658A" w:rsidRDefault="001C32C8" w:rsidP="00004A41">
            <w:pPr>
              <w:spacing w:after="0" w:line="240" w:lineRule="auto"/>
              <w:rPr>
                <w:rFonts w:ascii="Times New Roman" w:hAnsi="Times New Roman"/>
                <w:sz w:val="18"/>
                <w:szCs w:val="18"/>
              </w:rPr>
            </w:pPr>
            <w:r w:rsidRPr="00B0658A">
              <w:rPr>
                <w:rFonts w:ascii="Times New Roman" w:hAnsi="Times New Roman"/>
                <w:sz w:val="18"/>
                <w:szCs w:val="18"/>
              </w:rPr>
              <w:t xml:space="preserve">Средства управления процессами организации / Средства управления лабораторными </w:t>
            </w:r>
            <w:r w:rsidRPr="00B0658A">
              <w:rPr>
                <w:rFonts w:ascii="Times New Roman" w:hAnsi="Times New Roman"/>
                <w:sz w:val="18"/>
                <w:szCs w:val="18"/>
              </w:rPr>
              <w:lastRenderedPageBreak/>
              <w:t>потоками работ и документов (LIMS)</w:t>
            </w:r>
          </w:p>
        </w:tc>
        <w:tc>
          <w:tcPr>
            <w:tcW w:w="1418" w:type="dxa"/>
            <w:shd w:val="clear" w:color="000000" w:fill="FFFFFF"/>
            <w:hideMark/>
          </w:tcPr>
          <w:p w14:paraId="443AC11D" w14:textId="77777777" w:rsidR="001C32C8" w:rsidRPr="00B0658A" w:rsidRDefault="001C32C8" w:rsidP="00004A41">
            <w:pPr>
              <w:spacing w:after="0" w:line="240" w:lineRule="auto"/>
              <w:rPr>
                <w:rFonts w:ascii="Times New Roman" w:hAnsi="Times New Roman"/>
                <w:sz w:val="18"/>
                <w:szCs w:val="18"/>
              </w:rPr>
            </w:pPr>
            <w:r w:rsidRPr="00B0658A">
              <w:rPr>
                <w:rFonts w:ascii="Times New Roman" w:hAnsi="Times New Roman"/>
                <w:sz w:val="18"/>
                <w:szCs w:val="18"/>
              </w:rPr>
              <w:lastRenderedPageBreak/>
              <w:t>Доля используемого российского ПО в общем объёме, используемого ПО, %</w:t>
            </w:r>
          </w:p>
        </w:tc>
        <w:tc>
          <w:tcPr>
            <w:tcW w:w="744" w:type="dxa"/>
            <w:shd w:val="clear" w:color="000000" w:fill="FFFFFF"/>
            <w:vAlign w:val="center"/>
          </w:tcPr>
          <w:p w14:paraId="1D0F3DFE"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000000" w:fill="FFFFFF"/>
            <w:vAlign w:val="center"/>
            <w:hideMark/>
          </w:tcPr>
          <w:p w14:paraId="6CCA058C"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000000" w:fill="FFFFFF"/>
            <w:vAlign w:val="center"/>
            <w:hideMark/>
          </w:tcPr>
          <w:p w14:paraId="1D43C89E"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000000" w:fill="FFFFFF"/>
            <w:vAlign w:val="center"/>
            <w:hideMark/>
          </w:tcPr>
          <w:p w14:paraId="4C741982" w14:textId="77777777" w:rsidR="001C32C8" w:rsidRPr="00B0658A" w:rsidRDefault="001C32C8" w:rsidP="00004A41">
            <w:pPr>
              <w:spacing w:after="0" w:line="240" w:lineRule="auto"/>
              <w:jc w:val="center"/>
              <w:rPr>
                <w:rFonts w:ascii="Times New Roman" w:hAnsi="Times New Roman"/>
                <w:sz w:val="18"/>
                <w:szCs w:val="18"/>
              </w:rPr>
            </w:pPr>
          </w:p>
        </w:tc>
        <w:tc>
          <w:tcPr>
            <w:tcW w:w="993" w:type="dxa"/>
            <w:shd w:val="clear" w:color="000000" w:fill="FFFFFF"/>
            <w:vAlign w:val="center"/>
          </w:tcPr>
          <w:p w14:paraId="1D036E57"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000000" w:fill="FFFFFF"/>
            <w:vAlign w:val="center"/>
            <w:hideMark/>
          </w:tcPr>
          <w:p w14:paraId="27ACB87A" w14:textId="77777777" w:rsidR="001C32C8" w:rsidRPr="00B0658A" w:rsidRDefault="001C32C8" w:rsidP="00004A41">
            <w:pPr>
              <w:spacing w:after="0" w:line="240" w:lineRule="auto"/>
              <w:jc w:val="center"/>
              <w:rPr>
                <w:rFonts w:ascii="Times New Roman" w:hAnsi="Times New Roman"/>
                <w:sz w:val="18"/>
                <w:szCs w:val="18"/>
              </w:rPr>
            </w:pPr>
          </w:p>
        </w:tc>
        <w:tc>
          <w:tcPr>
            <w:tcW w:w="780" w:type="dxa"/>
            <w:shd w:val="clear" w:color="000000" w:fill="FFFFFF"/>
            <w:vAlign w:val="center"/>
            <w:hideMark/>
          </w:tcPr>
          <w:p w14:paraId="282DF4FE"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000000" w:fill="FFFFFF"/>
            <w:vAlign w:val="center"/>
            <w:hideMark/>
          </w:tcPr>
          <w:p w14:paraId="061C717E" w14:textId="77777777" w:rsidR="001C32C8" w:rsidRPr="00B0658A" w:rsidRDefault="001C32C8" w:rsidP="00004A41">
            <w:pPr>
              <w:spacing w:after="0" w:line="240" w:lineRule="auto"/>
              <w:jc w:val="center"/>
              <w:rPr>
                <w:rFonts w:ascii="Times New Roman" w:hAnsi="Times New Roman"/>
                <w:sz w:val="18"/>
                <w:szCs w:val="18"/>
              </w:rPr>
            </w:pPr>
          </w:p>
        </w:tc>
        <w:tc>
          <w:tcPr>
            <w:tcW w:w="780" w:type="dxa"/>
            <w:shd w:val="clear" w:color="000000" w:fill="FFFFFF"/>
            <w:vAlign w:val="center"/>
          </w:tcPr>
          <w:p w14:paraId="0C3AB19D"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000000" w:fill="FFFFFF"/>
            <w:vAlign w:val="center"/>
          </w:tcPr>
          <w:p w14:paraId="42BC8869" w14:textId="77777777" w:rsidR="001C32C8" w:rsidRPr="00B0658A" w:rsidRDefault="001C32C8" w:rsidP="00004A41">
            <w:pPr>
              <w:spacing w:after="0" w:line="240" w:lineRule="auto"/>
              <w:jc w:val="center"/>
              <w:rPr>
                <w:rFonts w:ascii="Times New Roman" w:hAnsi="Times New Roman"/>
                <w:sz w:val="18"/>
                <w:szCs w:val="18"/>
              </w:rPr>
            </w:pPr>
          </w:p>
        </w:tc>
        <w:tc>
          <w:tcPr>
            <w:tcW w:w="780" w:type="dxa"/>
            <w:shd w:val="clear" w:color="000000" w:fill="FFFFFF"/>
            <w:vAlign w:val="center"/>
          </w:tcPr>
          <w:p w14:paraId="55C9FCB5" w14:textId="77777777" w:rsidR="001C32C8" w:rsidRPr="00B0658A" w:rsidRDefault="001C32C8" w:rsidP="00004A41">
            <w:pPr>
              <w:spacing w:after="0" w:line="240" w:lineRule="auto"/>
              <w:jc w:val="center"/>
              <w:rPr>
                <w:rFonts w:ascii="Times New Roman" w:hAnsi="Times New Roman"/>
                <w:sz w:val="18"/>
                <w:szCs w:val="18"/>
              </w:rPr>
            </w:pPr>
          </w:p>
        </w:tc>
        <w:tc>
          <w:tcPr>
            <w:tcW w:w="1475" w:type="dxa"/>
            <w:shd w:val="clear" w:color="000000" w:fill="FFFFFF"/>
            <w:vAlign w:val="center"/>
          </w:tcPr>
          <w:p w14:paraId="40F0A06B" w14:textId="77777777" w:rsidR="001C32C8" w:rsidRPr="00B0658A" w:rsidRDefault="001C32C8" w:rsidP="00004A41">
            <w:pPr>
              <w:spacing w:after="0" w:line="240" w:lineRule="auto"/>
              <w:jc w:val="center"/>
              <w:rPr>
                <w:rFonts w:ascii="Times New Roman" w:hAnsi="Times New Roman"/>
                <w:sz w:val="18"/>
                <w:szCs w:val="18"/>
              </w:rPr>
            </w:pPr>
          </w:p>
        </w:tc>
      </w:tr>
      <w:tr w:rsidR="00F52FED" w:rsidRPr="00B0658A" w14:paraId="3963244B" w14:textId="77777777" w:rsidTr="00E66BA4">
        <w:trPr>
          <w:trHeight w:val="20"/>
        </w:trPr>
        <w:tc>
          <w:tcPr>
            <w:tcW w:w="846" w:type="dxa"/>
            <w:shd w:val="clear" w:color="000000" w:fill="FFFFFF"/>
            <w:vAlign w:val="center"/>
          </w:tcPr>
          <w:p w14:paraId="402EBE13" w14:textId="77777777" w:rsidR="001C32C8" w:rsidRPr="00B0658A" w:rsidRDefault="001C32C8" w:rsidP="00004A41">
            <w:pPr>
              <w:spacing w:after="0" w:line="240" w:lineRule="auto"/>
              <w:jc w:val="center"/>
              <w:rPr>
                <w:rFonts w:ascii="Times New Roman" w:hAnsi="Times New Roman"/>
                <w:sz w:val="18"/>
                <w:szCs w:val="18"/>
              </w:rPr>
            </w:pPr>
            <w:r w:rsidRPr="00B0658A">
              <w:rPr>
                <w:rFonts w:ascii="Times New Roman" w:hAnsi="Times New Roman"/>
                <w:sz w:val="18"/>
                <w:szCs w:val="18"/>
              </w:rPr>
              <w:t>9.4</w:t>
            </w:r>
          </w:p>
        </w:tc>
        <w:tc>
          <w:tcPr>
            <w:tcW w:w="1559" w:type="dxa"/>
            <w:shd w:val="clear" w:color="auto" w:fill="auto"/>
            <w:vAlign w:val="center"/>
            <w:hideMark/>
          </w:tcPr>
          <w:p w14:paraId="5C3EC028" w14:textId="77777777" w:rsidR="001C32C8" w:rsidRPr="00B0658A" w:rsidRDefault="001C32C8" w:rsidP="00004A41">
            <w:pPr>
              <w:spacing w:after="0" w:line="240" w:lineRule="auto"/>
              <w:rPr>
                <w:rFonts w:ascii="Times New Roman" w:hAnsi="Times New Roman"/>
                <w:sz w:val="18"/>
                <w:szCs w:val="18"/>
              </w:rPr>
            </w:pPr>
            <w:r w:rsidRPr="00B0658A">
              <w:rPr>
                <w:rFonts w:ascii="Times New Roman" w:hAnsi="Times New Roman"/>
                <w:sz w:val="18"/>
                <w:szCs w:val="18"/>
              </w:rPr>
              <w:t>Средства управления процессами организации/ Средства управления технологическими процессами (АСУ ТП, SCADA)</w:t>
            </w:r>
          </w:p>
        </w:tc>
        <w:tc>
          <w:tcPr>
            <w:tcW w:w="1418" w:type="dxa"/>
            <w:shd w:val="clear" w:color="000000" w:fill="FFFFFF"/>
            <w:hideMark/>
          </w:tcPr>
          <w:p w14:paraId="6E5EB5E4" w14:textId="77777777" w:rsidR="001C32C8" w:rsidRPr="00B0658A" w:rsidRDefault="001C32C8" w:rsidP="00004A41">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44" w:type="dxa"/>
            <w:shd w:val="clear" w:color="000000" w:fill="FFFFFF"/>
            <w:vAlign w:val="center"/>
          </w:tcPr>
          <w:p w14:paraId="4274D33B"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000000" w:fill="FFFFFF"/>
            <w:vAlign w:val="center"/>
            <w:hideMark/>
          </w:tcPr>
          <w:p w14:paraId="16D84B63"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000000" w:fill="FFFFFF"/>
            <w:vAlign w:val="center"/>
            <w:hideMark/>
          </w:tcPr>
          <w:p w14:paraId="02D0DD5A"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000000" w:fill="FFFFFF"/>
            <w:vAlign w:val="center"/>
            <w:hideMark/>
          </w:tcPr>
          <w:p w14:paraId="21C864A5" w14:textId="77777777" w:rsidR="001C32C8" w:rsidRPr="00B0658A" w:rsidRDefault="001C32C8" w:rsidP="00004A41">
            <w:pPr>
              <w:spacing w:after="0" w:line="240" w:lineRule="auto"/>
              <w:jc w:val="center"/>
              <w:rPr>
                <w:rFonts w:ascii="Times New Roman" w:hAnsi="Times New Roman"/>
                <w:sz w:val="18"/>
                <w:szCs w:val="18"/>
              </w:rPr>
            </w:pPr>
          </w:p>
        </w:tc>
        <w:tc>
          <w:tcPr>
            <w:tcW w:w="993" w:type="dxa"/>
            <w:shd w:val="clear" w:color="000000" w:fill="FFFFFF"/>
            <w:vAlign w:val="center"/>
          </w:tcPr>
          <w:p w14:paraId="1FC9C219"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000000" w:fill="FFFFFF"/>
            <w:vAlign w:val="center"/>
            <w:hideMark/>
          </w:tcPr>
          <w:p w14:paraId="1A27ED62" w14:textId="77777777" w:rsidR="001C32C8" w:rsidRPr="00B0658A" w:rsidRDefault="001C32C8" w:rsidP="00004A41">
            <w:pPr>
              <w:spacing w:after="0" w:line="240" w:lineRule="auto"/>
              <w:jc w:val="center"/>
              <w:rPr>
                <w:rFonts w:ascii="Times New Roman" w:hAnsi="Times New Roman"/>
                <w:sz w:val="18"/>
                <w:szCs w:val="18"/>
              </w:rPr>
            </w:pPr>
          </w:p>
        </w:tc>
        <w:tc>
          <w:tcPr>
            <w:tcW w:w="780" w:type="dxa"/>
            <w:shd w:val="clear" w:color="000000" w:fill="FFFFFF"/>
            <w:vAlign w:val="center"/>
            <w:hideMark/>
          </w:tcPr>
          <w:p w14:paraId="08CA9A34"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000000" w:fill="FFFFFF"/>
            <w:vAlign w:val="center"/>
            <w:hideMark/>
          </w:tcPr>
          <w:p w14:paraId="5F8A68F2" w14:textId="77777777" w:rsidR="001C32C8" w:rsidRPr="00B0658A" w:rsidRDefault="001C32C8" w:rsidP="00004A41">
            <w:pPr>
              <w:spacing w:after="0" w:line="240" w:lineRule="auto"/>
              <w:jc w:val="center"/>
              <w:rPr>
                <w:rFonts w:ascii="Times New Roman" w:hAnsi="Times New Roman"/>
                <w:sz w:val="18"/>
                <w:szCs w:val="18"/>
              </w:rPr>
            </w:pPr>
          </w:p>
        </w:tc>
        <w:tc>
          <w:tcPr>
            <w:tcW w:w="780" w:type="dxa"/>
            <w:shd w:val="clear" w:color="000000" w:fill="FFFFFF"/>
            <w:vAlign w:val="center"/>
          </w:tcPr>
          <w:p w14:paraId="5BE9049F"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000000" w:fill="FFFFFF"/>
            <w:vAlign w:val="center"/>
          </w:tcPr>
          <w:p w14:paraId="15633981" w14:textId="77777777" w:rsidR="001C32C8" w:rsidRPr="00B0658A" w:rsidRDefault="001C32C8" w:rsidP="00004A41">
            <w:pPr>
              <w:spacing w:after="0" w:line="240" w:lineRule="auto"/>
              <w:jc w:val="center"/>
              <w:rPr>
                <w:rFonts w:ascii="Times New Roman" w:hAnsi="Times New Roman"/>
                <w:sz w:val="18"/>
                <w:szCs w:val="18"/>
              </w:rPr>
            </w:pPr>
          </w:p>
        </w:tc>
        <w:tc>
          <w:tcPr>
            <w:tcW w:w="780" w:type="dxa"/>
            <w:shd w:val="clear" w:color="000000" w:fill="FFFFFF"/>
            <w:vAlign w:val="center"/>
          </w:tcPr>
          <w:p w14:paraId="1AA1D95D" w14:textId="77777777" w:rsidR="001C32C8" w:rsidRPr="00B0658A" w:rsidRDefault="001C32C8" w:rsidP="00004A41">
            <w:pPr>
              <w:spacing w:after="0" w:line="240" w:lineRule="auto"/>
              <w:jc w:val="center"/>
              <w:rPr>
                <w:rFonts w:ascii="Times New Roman" w:hAnsi="Times New Roman"/>
                <w:sz w:val="18"/>
                <w:szCs w:val="18"/>
              </w:rPr>
            </w:pPr>
          </w:p>
        </w:tc>
        <w:tc>
          <w:tcPr>
            <w:tcW w:w="1475" w:type="dxa"/>
            <w:shd w:val="clear" w:color="000000" w:fill="FFFFFF"/>
            <w:vAlign w:val="center"/>
          </w:tcPr>
          <w:p w14:paraId="4E1C93E9" w14:textId="77777777" w:rsidR="001C32C8" w:rsidRPr="00B0658A" w:rsidRDefault="001C32C8" w:rsidP="00004A41">
            <w:pPr>
              <w:spacing w:after="0" w:line="240" w:lineRule="auto"/>
              <w:jc w:val="center"/>
              <w:rPr>
                <w:rFonts w:ascii="Times New Roman" w:hAnsi="Times New Roman"/>
                <w:sz w:val="18"/>
                <w:szCs w:val="18"/>
              </w:rPr>
            </w:pPr>
          </w:p>
        </w:tc>
      </w:tr>
      <w:tr w:rsidR="00F52FED" w:rsidRPr="00B0658A" w14:paraId="6940286E" w14:textId="77777777" w:rsidTr="00E66BA4">
        <w:trPr>
          <w:trHeight w:val="20"/>
        </w:trPr>
        <w:tc>
          <w:tcPr>
            <w:tcW w:w="846" w:type="dxa"/>
            <w:shd w:val="clear" w:color="000000" w:fill="FFFFFF"/>
            <w:vAlign w:val="center"/>
          </w:tcPr>
          <w:p w14:paraId="2B741223" w14:textId="77777777" w:rsidR="001C32C8" w:rsidRPr="00B0658A" w:rsidRDefault="001C32C8" w:rsidP="00004A41">
            <w:pPr>
              <w:spacing w:after="0" w:line="240" w:lineRule="auto"/>
              <w:jc w:val="center"/>
              <w:rPr>
                <w:rFonts w:ascii="Times New Roman" w:hAnsi="Times New Roman"/>
                <w:sz w:val="18"/>
                <w:szCs w:val="18"/>
              </w:rPr>
            </w:pPr>
            <w:r w:rsidRPr="00B0658A">
              <w:rPr>
                <w:rFonts w:ascii="Times New Roman" w:hAnsi="Times New Roman"/>
                <w:sz w:val="18"/>
                <w:szCs w:val="18"/>
              </w:rPr>
              <w:t>9.5</w:t>
            </w:r>
          </w:p>
        </w:tc>
        <w:tc>
          <w:tcPr>
            <w:tcW w:w="1559" w:type="dxa"/>
            <w:shd w:val="clear" w:color="auto" w:fill="auto"/>
            <w:vAlign w:val="center"/>
            <w:hideMark/>
          </w:tcPr>
          <w:p w14:paraId="1EE887BB" w14:textId="77777777" w:rsidR="001C32C8" w:rsidRPr="00B0658A" w:rsidRDefault="001C32C8" w:rsidP="00004A41">
            <w:pPr>
              <w:spacing w:after="0" w:line="240" w:lineRule="auto"/>
              <w:rPr>
                <w:rFonts w:ascii="Times New Roman" w:hAnsi="Times New Roman"/>
                <w:sz w:val="18"/>
                <w:szCs w:val="18"/>
              </w:rPr>
            </w:pPr>
            <w:r w:rsidRPr="00B0658A">
              <w:rPr>
                <w:rFonts w:ascii="Times New Roman" w:hAnsi="Times New Roman"/>
                <w:sz w:val="18"/>
                <w:szCs w:val="18"/>
              </w:rPr>
              <w:t>Средства управления процессами организации/ Средства управления эффективностью предприятия (CPM/EPM)</w:t>
            </w:r>
          </w:p>
        </w:tc>
        <w:tc>
          <w:tcPr>
            <w:tcW w:w="1418" w:type="dxa"/>
            <w:shd w:val="clear" w:color="000000" w:fill="FFFFFF"/>
            <w:hideMark/>
          </w:tcPr>
          <w:p w14:paraId="59ABE18E" w14:textId="77777777" w:rsidR="001C32C8" w:rsidRPr="00B0658A" w:rsidRDefault="001C32C8" w:rsidP="00004A41">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44" w:type="dxa"/>
            <w:shd w:val="clear" w:color="000000" w:fill="FFFFFF"/>
            <w:vAlign w:val="center"/>
          </w:tcPr>
          <w:p w14:paraId="31F8EF83"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000000" w:fill="FFFFFF"/>
            <w:vAlign w:val="center"/>
            <w:hideMark/>
          </w:tcPr>
          <w:p w14:paraId="36092FC9"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000000" w:fill="FFFFFF"/>
            <w:vAlign w:val="center"/>
            <w:hideMark/>
          </w:tcPr>
          <w:p w14:paraId="197AF888"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000000" w:fill="FFFFFF"/>
            <w:vAlign w:val="center"/>
            <w:hideMark/>
          </w:tcPr>
          <w:p w14:paraId="1D9D29F6" w14:textId="77777777" w:rsidR="001C32C8" w:rsidRPr="00B0658A" w:rsidRDefault="001C32C8" w:rsidP="00004A41">
            <w:pPr>
              <w:spacing w:after="0" w:line="240" w:lineRule="auto"/>
              <w:jc w:val="center"/>
              <w:rPr>
                <w:rFonts w:ascii="Times New Roman" w:hAnsi="Times New Roman"/>
                <w:sz w:val="18"/>
                <w:szCs w:val="18"/>
              </w:rPr>
            </w:pPr>
          </w:p>
        </w:tc>
        <w:tc>
          <w:tcPr>
            <w:tcW w:w="993" w:type="dxa"/>
            <w:shd w:val="clear" w:color="000000" w:fill="FFFFFF"/>
            <w:vAlign w:val="center"/>
          </w:tcPr>
          <w:p w14:paraId="315F90D1"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000000" w:fill="FFFFFF"/>
            <w:vAlign w:val="center"/>
            <w:hideMark/>
          </w:tcPr>
          <w:p w14:paraId="3A438295" w14:textId="77777777" w:rsidR="001C32C8" w:rsidRPr="00B0658A" w:rsidRDefault="001C32C8" w:rsidP="00004A41">
            <w:pPr>
              <w:spacing w:after="0" w:line="240" w:lineRule="auto"/>
              <w:jc w:val="center"/>
              <w:rPr>
                <w:rFonts w:ascii="Times New Roman" w:hAnsi="Times New Roman"/>
                <w:sz w:val="18"/>
                <w:szCs w:val="18"/>
              </w:rPr>
            </w:pPr>
          </w:p>
        </w:tc>
        <w:tc>
          <w:tcPr>
            <w:tcW w:w="780" w:type="dxa"/>
            <w:shd w:val="clear" w:color="000000" w:fill="FFFFFF"/>
            <w:vAlign w:val="center"/>
            <w:hideMark/>
          </w:tcPr>
          <w:p w14:paraId="4AF5741B"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000000" w:fill="FFFFFF"/>
            <w:vAlign w:val="center"/>
            <w:hideMark/>
          </w:tcPr>
          <w:p w14:paraId="457411D1" w14:textId="77777777" w:rsidR="001C32C8" w:rsidRPr="00B0658A" w:rsidRDefault="001C32C8" w:rsidP="00004A41">
            <w:pPr>
              <w:spacing w:after="0" w:line="240" w:lineRule="auto"/>
              <w:jc w:val="center"/>
              <w:rPr>
                <w:rFonts w:ascii="Times New Roman" w:hAnsi="Times New Roman"/>
                <w:sz w:val="18"/>
                <w:szCs w:val="18"/>
              </w:rPr>
            </w:pPr>
          </w:p>
        </w:tc>
        <w:tc>
          <w:tcPr>
            <w:tcW w:w="780" w:type="dxa"/>
            <w:shd w:val="clear" w:color="000000" w:fill="FFFFFF"/>
            <w:vAlign w:val="center"/>
          </w:tcPr>
          <w:p w14:paraId="10DC48E2"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000000" w:fill="FFFFFF"/>
            <w:vAlign w:val="center"/>
          </w:tcPr>
          <w:p w14:paraId="6DE4C44A" w14:textId="77777777" w:rsidR="001C32C8" w:rsidRPr="00B0658A" w:rsidRDefault="001C32C8" w:rsidP="00004A41">
            <w:pPr>
              <w:spacing w:after="0" w:line="240" w:lineRule="auto"/>
              <w:jc w:val="center"/>
              <w:rPr>
                <w:rFonts w:ascii="Times New Roman" w:hAnsi="Times New Roman"/>
                <w:sz w:val="18"/>
                <w:szCs w:val="18"/>
              </w:rPr>
            </w:pPr>
          </w:p>
        </w:tc>
        <w:tc>
          <w:tcPr>
            <w:tcW w:w="780" w:type="dxa"/>
            <w:shd w:val="clear" w:color="000000" w:fill="FFFFFF"/>
            <w:vAlign w:val="center"/>
          </w:tcPr>
          <w:p w14:paraId="7C4B41F1" w14:textId="77777777" w:rsidR="001C32C8" w:rsidRPr="00B0658A" w:rsidRDefault="001C32C8" w:rsidP="00004A41">
            <w:pPr>
              <w:spacing w:after="0" w:line="240" w:lineRule="auto"/>
              <w:jc w:val="center"/>
              <w:rPr>
                <w:rFonts w:ascii="Times New Roman" w:hAnsi="Times New Roman"/>
                <w:sz w:val="18"/>
                <w:szCs w:val="18"/>
              </w:rPr>
            </w:pPr>
          </w:p>
        </w:tc>
        <w:tc>
          <w:tcPr>
            <w:tcW w:w="1475" w:type="dxa"/>
            <w:shd w:val="clear" w:color="000000" w:fill="FFFFFF"/>
            <w:vAlign w:val="center"/>
          </w:tcPr>
          <w:p w14:paraId="6E2DAC84" w14:textId="77777777" w:rsidR="001C32C8" w:rsidRPr="00B0658A" w:rsidRDefault="001C32C8" w:rsidP="00004A41">
            <w:pPr>
              <w:spacing w:after="0" w:line="240" w:lineRule="auto"/>
              <w:jc w:val="center"/>
              <w:rPr>
                <w:rFonts w:ascii="Times New Roman" w:hAnsi="Times New Roman"/>
                <w:sz w:val="18"/>
                <w:szCs w:val="18"/>
              </w:rPr>
            </w:pPr>
          </w:p>
        </w:tc>
      </w:tr>
      <w:tr w:rsidR="00F52FED" w:rsidRPr="00B0658A" w14:paraId="4ED710D5" w14:textId="77777777" w:rsidTr="00E66BA4">
        <w:trPr>
          <w:trHeight w:val="20"/>
        </w:trPr>
        <w:tc>
          <w:tcPr>
            <w:tcW w:w="846" w:type="dxa"/>
            <w:shd w:val="clear" w:color="000000" w:fill="FFFFFF"/>
            <w:vAlign w:val="center"/>
          </w:tcPr>
          <w:p w14:paraId="5D5BF421" w14:textId="77777777" w:rsidR="001C32C8" w:rsidRPr="00B0658A" w:rsidRDefault="001C32C8" w:rsidP="00004A41">
            <w:pPr>
              <w:spacing w:after="0" w:line="240" w:lineRule="auto"/>
              <w:jc w:val="center"/>
              <w:rPr>
                <w:rFonts w:ascii="Times New Roman" w:hAnsi="Times New Roman"/>
                <w:sz w:val="18"/>
                <w:szCs w:val="18"/>
              </w:rPr>
            </w:pPr>
            <w:r w:rsidRPr="00B0658A">
              <w:rPr>
                <w:rFonts w:ascii="Times New Roman" w:hAnsi="Times New Roman"/>
                <w:sz w:val="18"/>
                <w:szCs w:val="18"/>
              </w:rPr>
              <w:t>9.6</w:t>
            </w:r>
          </w:p>
        </w:tc>
        <w:tc>
          <w:tcPr>
            <w:tcW w:w="1559" w:type="dxa"/>
            <w:shd w:val="clear" w:color="auto" w:fill="auto"/>
            <w:vAlign w:val="center"/>
            <w:hideMark/>
          </w:tcPr>
          <w:p w14:paraId="2BB16C9B" w14:textId="77777777" w:rsidR="001C32C8" w:rsidRPr="00B0658A" w:rsidRDefault="001C32C8" w:rsidP="00004A41">
            <w:pPr>
              <w:spacing w:after="0" w:line="240" w:lineRule="auto"/>
              <w:rPr>
                <w:rFonts w:ascii="Times New Roman" w:hAnsi="Times New Roman"/>
                <w:sz w:val="18"/>
                <w:szCs w:val="18"/>
              </w:rPr>
            </w:pPr>
            <w:r w:rsidRPr="00B0658A">
              <w:rPr>
                <w:rFonts w:ascii="Times New Roman" w:hAnsi="Times New Roman"/>
                <w:sz w:val="18"/>
                <w:szCs w:val="18"/>
              </w:rPr>
              <w:t>Средства управления процессами организации/ Средства управления основными фондами предприятия (EAM)</w:t>
            </w:r>
          </w:p>
        </w:tc>
        <w:tc>
          <w:tcPr>
            <w:tcW w:w="1418" w:type="dxa"/>
            <w:shd w:val="clear" w:color="000000" w:fill="FFFFFF"/>
            <w:hideMark/>
          </w:tcPr>
          <w:p w14:paraId="50A04F3F" w14:textId="77777777" w:rsidR="001C32C8" w:rsidRPr="00B0658A" w:rsidRDefault="001C32C8" w:rsidP="00004A41">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44" w:type="dxa"/>
            <w:shd w:val="clear" w:color="000000" w:fill="FFFFFF"/>
            <w:vAlign w:val="center"/>
          </w:tcPr>
          <w:p w14:paraId="310D1508"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000000" w:fill="FFFFFF"/>
            <w:vAlign w:val="center"/>
            <w:hideMark/>
          </w:tcPr>
          <w:p w14:paraId="5DEC9205"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000000" w:fill="FFFFFF"/>
            <w:vAlign w:val="center"/>
            <w:hideMark/>
          </w:tcPr>
          <w:p w14:paraId="57AAB9E8"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000000" w:fill="FFFFFF"/>
            <w:vAlign w:val="center"/>
            <w:hideMark/>
          </w:tcPr>
          <w:p w14:paraId="4BAAEF4B" w14:textId="77777777" w:rsidR="001C32C8" w:rsidRPr="00B0658A" w:rsidRDefault="001C32C8" w:rsidP="00004A41">
            <w:pPr>
              <w:spacing w:after="0" w:line="240" w:lineRule="auto"/>
              <w:jc w:val="center"/>
              <w:rPr>
                <w:rFonts w:ascii="Times New Roman" w:hAnsi="Times New Roman"/>
                <w:sz w:val="18"/>
                <w:szCs w:val="18"/>
              </w:rPr>
            </w:pPr>
          </w:p>
        </w:tc>
        <w:tc>
          <w:tcPr>
            <w:tcW w:w="993" w:type="dxa"/>
            <w:shd w:val="clear" w:color="000000" w:fill="FFFFFF"/>
            <w:vAlign w:val="center"/>
          </w:tcPr>
          <w:p w14:paraId="77AAED4E"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000000" w:fill="FFFFFF"/>
            <w:vAlign w:val="center"/>
            <w:hideMark/>
          </w:tcPr>
          <w:p w14:paraId="735EBA1A" w14:textId="77777777" w:rsidR="001C32C8" w:rsidRPr="00B0658A" w:rsidRDefault="001C32C8" w:rsidP="00004A41">
            <w:pPr>
              <w:spacing w:after="0" w:line="240" w:lineRule="auto"/>
              <w:jc w:val="center"/>
              <w:rPr>
                <w:rFonts w:ascii="Times New Roman" w:hAnsi="Times New Roman"/>
                <w:sz w:val="18"/>
                <w:szCs w:val="18"/>
              </w:rPr>
            </w:pPr>
          </w:p>
        </w:tc>
        <w:tc>
          <w:tcPr>
            <w:tcW w:w="780" w:type="dxa"/>
            <w:shd w:val="clear" w:color="000000" w:fill="FFFFFF"/>
            <w:vAlign w:val="center"/>
            <w:hideMark/>
          </w:tcPr>
          <w:p w14:paraId="14165F86"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000000" w:fill="FFFFFF"/>
            <w:vAlign w:val="center"/>
            <w:hideMark/>
          </w:tcPr>
          <w:p w14:paraId="395B56B2" w14:textId="77777777" w:rsidR="001C32C8" w:rsidRPr="00B0658A" w:rsidRDefault="001C32C8" w:rsidP="00004A41">
            <w:pPr>
              <w:spacing w:after="0" w:line="240" w:lineRule="auto"/>
              <w:jc w:val="center"/>
              <w:rPr>
                <w:rFonts w:ascii="Times New Roman" w:hAnsi="Times New Roman"/>
                <w:sz w:val="18"/>
                <w:szCs w:val="18"/>
              </w:rPr>
            </w:pPr>
          </w:p>
        </w:tc>
        <w:tc>
          <w:tcPr>
            <w:tcW w:w="780" w:type="dxa"/>
            <w:shd w:val="clear" w:color="000000" w:fill="FFFFFF"/>
            <w:vAlign w:val="center"/>
          </w:tcPr>
          <w:p w14:paraId="0019BB4B"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000000" w:fill="FFFFFF"/>
            <w:vAlign w:val="center"/>
          </w:tcPr>
          <w:p w14:paraId="7632CA70" w14:textId="77777777" w:rsidR="001C32C8" w:rsidRPr="00B0658A" w:rsidRDefault="001C32C8" w:rsidP="00004A41">
            <w:pPr>
              <w:spacing w:after="0" w:line="240" w:lineRule="auto"/>
              <w:jc w:val="center"/>
              <w:rPr>
                <w:rFonts w:ascii="Times New Roman" w:hAnsi="Times New Roman"/>
                <w:sz w:val="18"/>
                <w:szCs w:val="18"/>
              </w:rPr>
            </w:pPr>
          </w:p>
        </w:tc>
        <w:tc>
          <w:tcPr>
            <w:tcW w:w="780" w:type="dxa"/>
            <w:shd w:val="clear" w:color="000000" w:fill="FFFFFF"/>
            <w:vAlign w:val="center"/>
          </w:tcPr>
          <w:p w14:paraId="158D329D" w14:textId="77777777" w:rsidR="001C32C8" w:rsidRPr="00B0658A" w:rsidRDefault="001C32C8" w:rsidP="00004A41">
            <w:pPr>
              <w:spacing w:after="0" w:line="240" w:lineRule="auto"/>
              <w:jc w:val="center"/>
              <w:rPr>
                <w:rFonts w:ascii="Times New Roman" w:hAnsi="Times New Roman"/>
                <w:sz w:val="18"/>
                <w:szCs w:val="18"/>
              </w:rPr>
            </w:pPr>
          </w:p>
        </w:tc>
        <w:tc>
          <w:tcPr>
            <w:tcW w:w="1475" w:type="dxa"/>
            <w:shd w:val="clear" w:color="000000" w:fill="FFFFFF"/>
            <w:vAlign w:val="center"/>
          </w:tcPr>
          <w:p w14:paraId="64DB5EF7" w14:textId="77777777" w:rsidR="001C32C8" w:rsidRPr="00B0658A" w:rsidRDefault="001C32C8" w:rsidP="00004A41">
            <w:pPr>
              <w:spacing w:after="0" w:line="240" w:lineRule="auto"/>
              <w:jc w:val="center"/>
              <w:rPr>
                <w:rFonts w:ascii="Times New Roman" w:hAnsi="Times New Roman"/>
                <w:sz w:val="18"/>
                <w:szCs w:val="18"/>
              </w:rPr>
            </w:pPr>
          </w:p>
        </w:tc>
      </w:tr>
      <w:tr w:rsidR="00F52FED" w:rsidRPr="00B0658A" w14:paraId="53A437C2" w14:textId="77777777" w:rsidTr="00E66BA4">
        <w:trPr>
          <w:trHeight w:val="20"/>
        </w:trPr>
        <w:tc>
          <w:tcPr>
            <w:tcW w:w="846" w:type="dxa"/>
            <w:shd w:val="clear" w:color="000000" w:fill="FFFFFF"/>
            <w:vAlign w:val="center"/>
          </w:tcPr>
          <w:p w14:paraId="2BAD92D2" w14:textId="77777777" w:rsidR="001C32C8" w:rsidRPr="00B0658A" w:rsidRDefault="001C32C8" w:rsidP="00004A41">
            <w:pPr>
              <w:spacing w:after="0" w:line="240" w:lineRule="auto"/>
              <w:jc w:val="center"/>
              <w:rPr>
                <w:rFonts w:ascii="Times New Roman" w:hAnsi="Times New Roman"/>
                <w:sz w:val="18"/>
                <w:szCs w:val="18"/>
              </w:rPr>
            </w:pPr>
            <w:r w:rsidRPr="00B0658A">
              <w:rPr>
                <w:rFonts w:ascii="Times New Roman" w:hAnsi="Times New Roman"/>
                <w:sz w:val="18"/>
                <w:szCs w:val="18"/>
              </w:rPr>
              <w:t>9.7</w:t>
            </w:r>
          </w:p>
        </w:tc>
        <w:tc>
          <w:tcPr>
            <w:tcW w:w="1559" w:type="dxa"/>
            <w:shd w:val="clear" w:color="auto" w:fill="auto"/>
            <w:vAlign w:val="center"/>
            <w:hideMark/>
          </w:tcPr>
          <w:p w14:paraId="3CE65B28" w14:textId="77777777" w:rsidR="001C32C8" w:rsidRPr="00B0658A" w:rsidRDefault="001C32C8" w:rsidP="00004A41">
            <w:pPr>
              <w:spacing w:after="0" w:line="240" w:lineRule="auto"/>
              <w:rPr>
                <w:rFonts w:ascii="Times New Roman" w:hAnsi="Times New Roman"/>
                <w:sz w:val="18"/>
                <w:szCs w:val="18"/>
              </w:rPr>
            </w:pPr>
            <w:r w:rsidRPr="00B0658A">
              <w:rPr>
                <w:rFonts w:ascii="Times New Roman" w:hAnsi="Times New Roman"/>
                <w:sz w:val="18"/>
                <w:szCs w:val="18"/>
              </w:rPr>
              <w:t xml:space="preserve">Средства управления процессами организации/ Средства финансового </w:t>
            </w:r>
            <w:r w:rsidRPr="00B0658A">
              <w:rPr>
                <w:rFonts w:ascii="Times New Roman" w:hAnsi="Times New Roman"/>
                <w:sz w:val="18"/>
                <w:szCs w:val="18"/>
              </w:rPr>
              <w:lastRenderedPageBreak/>
              <w:t>менеджмента, управления активами и трудовыми ресурсами (ERP)</w:t>
            </w:r>
          </w:p>
        </w:tc>
        <w:tc>
          <w:tcPr>
            <w:tcW w:w="1418" w:type="dxa"/>
            <w:shd w:val="clear" w:color="000000" w:fill="FFFFFF"/>
            <w:hideMark/>
          </w:tcPr>
          <w:p w14:paraId="6C43D157" w14:textId="77777777" w:rsidR="001C32C8" w:rsidRPr="00B0658A" w:rsidRDefault="001C32C8" w:rsidP="00004A41">
            <w:pPr>
              <w:spacing w:after="0" w:line="240" w:lineRule="auto"/>
              <w:rPr>
                <w:rFonts w:ascii="Times New Roman" w:hAnsi="Times New Roman"/>
                <w:sz w:val="18"/>
                <w:szCs w:val="18"/>
              </w:rPr>
            </w:pPr>
            <w:r w:rsidRPr="00B0658A">
              <w:rPr>
                <w:rFonts w:ascii="Times New Roman" w:hAnsi="Times New Roman"/>
                <w:sz w:val="18"/>
                <w:szCs w:val="18"/>
              </w:rPr>
              <w:lastRenderedPageBreak/>
              <w:t>Доля используемого российского ПО в общем объёме, используемого ПО, %</w:t>
            </w:r>
          </w:p>
        </w:tc>
        <w:tc>
          <w:tcPr>
            <w:tcW w:w="744" w:type="dxa"/>
            <w:shd w:val="clear" w:color="000000" w:fill="FFFFFF"/>
            <w:vAlign w:val="center"/>
          </w:tcPr>
          <w:p w14:paraId="00C2DF36"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000000" w:fill="FFFFFF"/>
            <w:vAlign w:val="center"/>
            <w:hideMark/>
          </w:tcPr>
          <w:p w14:paraId="4EF9BD9C"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000000" w:fill="FFFFFF"/>
            <w:vAlign w:val="center"/>
            <w:hideMark/>
          </w:tcPr>
          <w:p w14:paraId="5DEBDCD8"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000000" w:fill="FFFFFF"/>
            <w:vAlign w:val="center"/>
            <w:hideMark/>
          </w:tcPr>
          <w:p w14:paraId="3C84213C" w14:textId="77777777" w:rsidR="001C32C8" w:rsidRPr="00B0658A" w:rsidRDefault="001C32C8" w:rsidP="00004A41">
            <w:pPr>
              <w:spacing w:after="0" w:line="240" w:lineRule="auto"/>
              <w:jc w:val="center"/>
              <w:rPr>
                <w:rFonts w:ascii="Times New Roman" w:hAnsi="Times New Roman"/>
                <w:sz w:val="18"/>
                <w:szCs w:val="18"/>
              </w:rPr>
            </w:pPr>
          </w:p>
        </w:tc>
        <w:tc>
          <w:tcPr>
            <w:tcW w:w="993" w:type="dxa"/>
            <w:shd w:val="clear" w:color="000000" w:fill="FFFFFF"/>
            <w:vAlign w:val="center"/>
          </w:tcPr>
          <w:p w14:paraId="33FBE1AD"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000000" w:fill="FFFFFF"/>
            <w:vAlign w:val="center"/>
            <w:hideMark/>
          </w:tcPr>
          <w:p w14:paraId="610D6C62" w14:textId="77777777" w:rsidR="001C32C8" w:rsidRPr="00B0658A" w:rsidRDefault="001C32C8" w:rsidP="00004A41">
            <w:pPr>
              <w:spacing w:after="0" w:line="240" w:lineRule="auto"/>
              <w:jc w:val="center"/>
              <w:rPr>
                <w:rFonts w:ascii="Times New Roman" w:hAnsi="Times New Roman"/>
                <w:sz w:val="18"/>
                <w:szCs w:val="18"/>
              </w:rPr>
            </w:pPr>
          </w:p>
        </w:tc>
        <w:tc>
          <w:tcPr>
            <w:tcW w:w="780" w:type="dxa"/>
            <w:shd w:val="clear" w:color="000000" w:fill="FFFFFF"/>
            <w:vAlign w:val="center"/>
            <w:hideMark/>
          </w:tcPr>
          <w:p w14:paraId="5B03D0D4"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000000" w:fill="FFFFFF"/>
            <w:vAlign w:val="center"/>
            <w:hideMark/>
          </w:tcPr>
          <w:p w14:paraId="3C6F3E11" w14:textId="77777777" w:rsidR="001C32C8" w:rsidRPr="00B0658A" w:rsidRDefault="001C32C8" w:rsidP="00004A41">
            <w:pPr>
              <w:spacing w:after="0" w:line="240" w:lineRule="auto"/>
              <w:jc w:val="center"/>
              <w:rPr>
                <w:rFonts w:ascii="Times New Roman" w:hAnsi="Times New Roman"/>
                <w:sz w:val="18"/>
                <w:szCs w:val="18"/>
              </w:rPr>
            </w:pPr>
          </w:p>
        </w:tc>
        <w:tc>
          <w:tcPr>
            <w:tcW w:w="780" w:type="dxa"/>
            <w:shd w:val="clear" w:color="000000" w:fill="FFFFFF"/>
            <w:vAlign w:val="center"/>
          </w:tcPr>
          <w:p w14:paraId="12ACDEFB"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000000" w:fill="FFFFFF"/>
            <w:vAlign w:val="center"/>
          </w:tcPr>
          <w:p w14:paraId="0CF2FDA2" w14:textId="77777777" w:rsidR="001C32C8" w:rsidRPr="00B0658A" w:rsidRDefault="001C32C8" w:rsidP="00004A41">
            <w:pPr>
              <w:spacing w:after="0" w:line="240" w:lineRule="auto"/>
              <w:jc w:val="center"/>
              <w:rPr>
                <w:rFonts w:ascii="Times New Roman" w:hAnsi="Times New Roman"/>
                <w:sz w:val="18"/>
                <w:szCs w:val="18"/>
              </w:rPr>
            </w:pPr>
          </w:p>
        </w:tc>
        <w:tc>
          <w:tcPr>
            <w:tcW w:w="780" w:type="dxa"/>
            <w:shd w:val="clear" w:color="000000" w:fill="FFFFFF"/>
            <w:vAlign w:val="center"/>
          </w:tcPr>
          <w:p w14:paraId="60F8D70A" w14:textId="77777777" w:rsidR="001C32C8" w:rsidRPr="00B0658A" w:rsidRDefault="001C32C8" w:rsidP="00004A41">
            <w:pPr>
              <w:spacing w:after="0" w:line="240" w:lineRule="auto"/>
              <w:jc w:val="center"/>
              <w:rPr>
                <w:rFonts w:ascii="Times New Roman" w:hAnsi="Times New Roman"/>
                <w:sz w:val="18"/>
                <w:szCs w:val="18"/>
              </w:rPr>
            </w:pPr>
          </w:p>
        </w:tc>
        <w:tc>
          <w:tcPr>
            <w:tcW w:w="1475" w:type="dxa"/>
            <w:shd w:val="clear" w:color="000000" w:fill="FFFFFF"/>
            <w:vAlign w:val="center"/>
          </w:tcPr>
          <w:p w14:paraId="455E7466" w14:textId="77777777" w:rsidR="001C32C8" w:rsidRPr="00B0658A" w:rsidRDefault="001C32C8" w:rsidP="00004A41">
            <w:pPr>
              <w:spacing w:after="0" w:line="240" w:lineRule="auto"/>
              <w:jc w:val="center"/>
              <w:rPr>
                <w:rFonts w:ascii="Times New Roman" w:hAnsi="Times New Roman"/>
                <w:sz w:val="18"/>
                <w:szCs w:val="18"/>
              </w:rPr>
            </w:pPr>
          </w:p>
        </w:tc>
      </w:tr>
      <w:tr w:rsidR="00F52FED" w:rsidRPr="00B0658A" w14:paraId="61E00722" w14:textId="77777777" w:rsidTr="00E66BA4">
        <w:trPr>
          <w:trHeight w:val="20"/>
        </w:trPr>
        <w:tc>
          <w:tcPr>
            <w:tcW w:w="846" w:type="dxa"/>
            <w:shd w:val="clear" w:color="000000" w:fill="FFFFFF"/>
            <w:vAlign w:val="center"/>
          </w:tcPr>
          <w:p w14:paraId="5DFBEAFC" w14:textId="77777777" w:rsidR="001C32C8" w:rsidRPr="00B0658A" w:rsidRDefault="001C32C8" w:rsidP="00004A41">
            <w:pPr>
              <w:spacing w:after="0" w:line="240" w:lineRule="auto"/>
              <w:jc w:val="center"/>
              <w:rPr>
                <w:rFonts w:ascii="Times New Roman" w:hAnsi="Times New Roman"/>
                <w:sz w:val="18"/>
                <w:szCs w:val="18"/>
                <w:lang w:val="en-US"/>
              </w:rPr>
            </w:pPr>
            <w:r w:rsidRPr="00B0658A">
              <w:rPr>
                <w:rFonts w:ascii="Times New Roman" w:hAnsi="Times New Roman"/>
                <w:sz w:val="18"/>
                <w:szCs w:val="18"/>
                <w:lang w:val="en-US"/>
              </w:rPr>
              <w:t>9.9</w:t>
            </w:r>
          </w:p>
        </w:tc>
        <w:tc>
          <w:tcPr>
            <w:tcW w:w="1559" w:type="dxa"/>
            <w:shd w:val="clear" w:color="auto" w:fill="auto"/>
            <w:vAlign w:val="center"/>
            <w:hideMark/>
          </w:tcPr>
          <w:p w14:paraId="2472B9C3" w14:textId="77777777" w:rsidR="001C32C8" w:rsidRPr="00B0658A" w:rsidRDefault="001C32C8" w:rsidP="00004A41">
            <w:pPr>
              <w:spacing w:after="0" w:line="240" w:lineRule="auto"/>
              <w:rPr>
                <w:rFonts w:ascii="Times New Roman" w:hAnsi="Times New Roman"/>
                <w:sz w:val="18"/>
                <w:szCs w:val="18"/>
              </w:rPr>
            </w:pPr>
            <w:r w:rsidRPr="00B0658A">
              <w:rPr>
                <w:rFonts w:ascii="Times New Roman" w:hAnsi="Times New Roman"/>
                <w:sz w:val="18"/>
                <w:szCs w:val="18"/>
              </w:rPr>
              <w:t>Средства управления процессами организации/ Средства управления отношениями с клиентами (CRM)</w:t>
            </w:r>
          </w:p>
        </w:tc>
        <w:tc>
          <w:tcPr>
            <w:tcW w:w="1418" w:type="dxa"/>
            <w:shd w:val="clear" w:color="000000" w:fill="FFFFFF"/>
            <w:hideMark/>
          </w:tcPr>
          <w:p w14:paraId="604D3D1D" w14:textId="77777777" w:rsidR="001C32C8" w:rsidRPr="00B0658A" w:rsidRDefault="001C32C8" w:rsidP="00004A41">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44" w:type="dxa"/>
            <w:shd w:val="clear" w:color="000000" w:fill="FFFFFF"/>
            <w:vAlign w:val="center"/>
          </w:tcPr>
          <w:p w14:paraId="0E2E621F"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000000" w:fill="FFFFFF"/>
            <w:vAlign w:val="center"/>
            <w:hideMark/>
          </w:tcPr>
          <w:p w14:paraId="2476F7E9"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000000" w:fill="FFFFFF"/>
            <w:vAlign w:val="center"/>
            <w:hideMark/>
          </w:tcPr>
          <w:p w14:paraId="0311656A"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000000" w:fill="FFFFFF"/>
            <w:vAlign w:val="center"/>
            <w:hideMark/>
          </w:tcPr>
          <w:p w14:paraId="4D6C36B9" w14:textId="77777777" w:rsidR="001C32C8" w:rsidRPr="00B0658A" w:rsidRDefault="001C32C8" w:rsidP="00004A41">
            <w:pPr>
              <w:spacing w:after="0" w:line="240" w:lineRule="auto"/>
              <w:jc w:val="center"/>
              <w:rPr>
                <w:rFonts w:ascii="Times New Roman" w:hAnsi="Times New Roman"/>
                <w:sz w:val="18"/>
                <w:szCs w:val="18"/>
              </w:rPr>
            </w:pPr>
          </w:p>
        </w:tc>
        <w:tc>
          <w:tcPr>
            <w:tcW w:w="993" w:type="dxa"/>
            <w:shd w:val="clear" w:color="000000" w:fill="FFFFFF"/>
            <w:vAlign w:val="center"/>
          </w:tcPr>
          <w:p w14:paraId="4B7C3F49"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000000" w:fill="FFFFFF"/>
            <w:vAlign w:val="center"/>
            <w:hideMark/>
          </w:tcPr>
          <w:p w14:paraId="7894A976" w14:textId="77777777" w:rsidR="001C32C8" w:rsidRPr="00B0658A" w:rsidRDefault="001C32C8" w:rsidP="00004A41">
            <w:pPr>
              <w:spacing w:after="0" w:line="240" w:lineRule="auto"/>
              <w:jc w:val="center"/>
              <w:rPr>
                <w:rFonts w:ascii="Times New Roman" w:hAnsi="Times New Roman"/>
                <w:sz w:val="18"/>
                <w:szCs w:val="18"/>
              </w:rPr>
            </w:pPr>
          </w:p>
        </w:tc>
        <w:tc>
          <w:tcPr>
            <w:tcW w:w="780" w:type="dxa"/>
            <w:shd w:val="clear" w:color="000000" w:fill="FFFFFF"/>
            <w:vAlign w:val="center"/>
            <w:hideMark/>
          </w:tcPr>
          <w:p w14:paraId="7A35FAD1"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000000" w:fill="FFFFFF"/>
            <w:vAlign w:val="center"/>
            <w:hideMark/>
          </w:tcPr>
          <w:p w14:paraId="03E413F3" w14:textId="77777777" w:rsidR="001C32C8" w:rsidRPr="00B0658A" w:rsidRDefault="001C32C8" w:rsidP="00004A41">
            <w:pPr>
              <w:spacing w:after="0" w:line="240" w:lineRule="auto"/>
              <w:jc w:val="center"/>
              <w:rPr>
                <w:rFonts w:ascii="Times New Roman" w:hAnsi="Times New Roman"/>
                <w:sz w:val="18"/>
                <w:szCs w:val="18"/>
              </w:rPr>
            </w:pPr>
          </w:p>
        </w:tc>
        <w:tc>
          <w:tcPr>
            <w:tcW w:w="780" w:type="dxa"/>
            <w:shd w:val="clear" w:color="000000" w:fill="FFFFFF"/>
            <w:vAlign w:val="center"/>
          </w:tcPr>
          <w:p w14:paraId="5FDDF3AB"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000000" w:fill="FFFFFF"/>
            <w:vAlign w:val="center"/>
          </w:tcPr>
          <w:p w14:paraId="60D9CF45" w14:textId="77777777" w:rsidR="001C32C8" w:rsidRPr="00B0658A" w:rsidRDefault="001C32C8" w:rsidP="00004A41">
            <w:pPr>
              <w:spacing w:after="0" w:line="240" w:lineRule="auto"/>
              <w:jc w:val="center"/>
              <w:rPr>
                <w:rFonts w:ascii="Times New Roman" w:hAnsi="Times New Roman"/>
                <w:sz w:val="18"/>
                <w:szCs w:val="18"/>
              </w:rPr>
            </w:pPr>
          </w:p>
        </w:tc>
        <w:tc>
          <w:tcPr>
            <w:tcW w:w="780" w:type="dxa"/>
            <w:shd w:val="clear" w:color="000000" w:fill="FFFFFF"/>
            <w:vAlign w:val="center"/>
          </w:tcPr>
          <w:p w14:paraId="1EF17657" w14:textId="77777777" w:rsidR="001C32C8" w:rsidRPr="00B0658A" w:rsidRDefault="001C32C8" w:rsidP="00004A41">
            <w:pPr>
              <w:spacing w:after="0" w:line="240" w:lineRule="auto"/>
              <w:jc w:val="center"/>
              <w:rPr>
                <w:rFonts w:ascii="Times New Roman" w:hAnsi="Times New Roman"/>
                <w:sz w:val="18"/>
                <w:szCs w:val="18"/>
              </w:rPr>
            </w:pPr>
          </w:p>
        </w:tc>
        <w:tc>
          <w:tcPr>
            <w:tcW w:w="1475" w:type="dxa"/>
            <w:shd w:val="clear" w:color="000000" w:fill="FFFFFF"/>
            <w:vAlign w:val="center"/>
          </w:tcPr>
          <w:p w14:paraId="3055AD24" w14:textId="77777777" w:rsidR="001C32C8" w:rsidRPr="00B0658A" w:rsidRDefault="001C32C8" w:rsidP="00004A41">
            <w:pPr>
              <w:spacing w:after="0" w:line="240" w:lineRule="auto"/>
              <w:jc w:val="center"/>
              <w:rPr>
                <w:rFonts w:ascii="Times New Roman" w:hAnsi="Times New Roman"/>
                <w:sz w:val="18"/>
                <w:szCs w:val="18"/>
              </w:rPr>
            </w:pPr>
          </w:p>
        </w:tc>
      </w:tr>
      <w:tr w:rsidR="00F52FED" w:rsidRPr="00B0658A" w14:paraId="1810B0A5" w14:textId="77777777" w:rsidTr="00E66BA4">
        <w:trPr>
          <w:trHeight w:val="20"/>
        </w:trPr>
        <w:tc>
          <w:tcPr>
            <w:tcW w:w="846" w:type="dxa"/>
            <w:shd w:val="clear" w:color="000000" w:fill="FFFFFF"/>
            <w:vAlign w:val="center"/>
          </w:tcPr>
          <w:p w14:paraId="6A7E8102" w14:textId="77777777" w:rsidR="001C32C8" w:rsidRPr="00B0658A" w:rsidRDefault="001C32C8" w:rsidP="00004A41">
            <w:pPr>
              <w:spacing w:after="0" w:line="240" w:lineRule="auto"/>
              <w:jc w:val="center"/>
              <w:rPr>
                <w:rFonts w:ascii="Times New Roman" w:hAnsi="Times New Roman"/>
                <w:sz w:val="18"/>
                <w:szCs w:val="18"/>
                <w:lang w:val="en-US"/>
              </w:rPr>
            </w:pPr>
            <w:r w:rsidRPr="00B0658A">
              <w:rPr>
                <w:rFonts w:ascii="Times New Roman" w:hAnsi="Times New Roman"/>
                <w:sz w:val="18"/>
                <w:szCs w:val="18"/>
                <w:lang w:val="en-US"/>
              </w:rPr>
              <w:t>9.10</w:t>
            </w:r>
          </w:p>
        </w:tc>
        <w:tc>
          <w:tcPr>
            <w:tcW w:w="1559" w:type="dxa"/>
            <w:shd w:val="clear" w:color="auto" w:fill="auto"/>
            <w:vAlign w:val="center"/>
            <w:hideMark/>
          </w:tcPr>
          <w:p w14:paraId="12282BE1" w14:textId="77777777" w:rsidR="001C32C8" w:rsidRPr="00B0658A" w:rsidRDefault="001C32C8" w:rsidP="00004A41">
            <w:pPr>
              <w:spacing w:after="0" w:line="240" w:lineRule="auto"/>
              <w:rPr>
                <w:rFonts w:ascii="Times New Roman" w:hAnsi="Times New Roman"/>
                <w:sz w:val="18"/>
                <w:szCs w:val="18"/>
              </w:rPr>
            </w:pPr>
            <w:r w:rsidRPr="00B0658A">
              <w:rPr>
                <w:rFonts w:ascii="Times New Roman" w:hAnsi="Times New Roman"/>
                <w:sz w:val="18"/>
                <w:szCs w:val="18"/>
              </w:rPr>
              <w:t>Средства управления процессами организации/ Средства управления ИТ-службой, ИТ-инфраструктурой и ИТ-активами (ITSM-ServiceDesk, SCCM, Asset Management)</w:t>
            </w:r>
          </w:p>
        </w:tc>
        <w:tc>
          <w:tcPr>
            <w:tcW w:w="1418" w:type="dxa"/>
            <w:shd w:val="clear" w:color="000000" w:fill="FFFFFF"/>
            <w:hideMark/>
          </w:tcPr>
          <w:p w14:paraId="2A281DC6" w14:textId="77777777" w:rsidR="001C32C8" w:rsidRPr="00B0658A" w:rsidRDefault="001C32C8" w:rsidP="00004A41">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44" w:type="dxa"/>
            <w:shd w:val="clear" w:color="000000" w:fill="FFFFFF"/>
            <w:vAlign w:val="center"/>
          </w:tcPr>
          <w:p w14:paraId="600AEFE6"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000000" w:fill="FFFFFF"/>
            <w:vAlign w:val="center"/>
            <w:hideMark/>
          </w:tcPr>
          <w:p w14:paraId="1EA22286"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000000" w:fill="FFFFFF"/>
            <w:vAlign w:val="center"/>
            <w:hideMark/>
          </w:tcPr>
          <w:p w14:paraId="4D132B99"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000000" w:fill="FFFFFF"/>
            <w:vAlign w:val="center"/>
            <w:hideMark/>
          </w:tcPr>
          <w:p w14:paraId="737C59E8" w14:textId="77777777" w:rsidR="001C32C8" w:rsidRPr="00B0658A" w:rsidRDefault="001C32C8" w:rsidP="00004A41">
            <w:pPr>
              <w:spacing w:after="0" w:line="240" w:lineRule="auto"/>
              <w:jc w:val="center"/>
              <w:rPr>
                <w:rFonts w:ascii="Times New Roman" w:hAnsi="Times New Roman"/>
                <w:sz w:val="18"/>
                <w:szCs w:val="18"/>
              </w:rPr>
            </w:pPr>
          </w:p>
        </w:tc>
        <w:tc>
          <w:tcPr>
            <w:tcW w:w="993" w:type="dxa"/>
            <w:shd w:val="clear" w:color="000000" w:fill="FFFFFF"/>
            <w:vAlign w:val="center"/>
          </w:tcPr>
          <w:p w14:paraId="04920482"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000000" w:fill="FFFFFF"/>
            <w:vAlign w:val="center"/>
            <w:hideMark/>
          </w:tcPr>
          <w:p w14:paraId="70C3A001" w14:textId="77777777" w:rsidR="001C32C8" w:rsidRPr="00B0658A" w:rsidRDefault="001C32C8" w:rsidP="00004A41">
            <w:pPr>
              <w:spacing w:after="0" w:line="240" w:lineRule="auto"/>
              <w:jc w:val="center"/>
              <w:rPr>
                <w:rFonts w:ascii="Times New Roman" w:hAnsi="Times New Roman"/>
                <w:sz w:val="18"/>
                <w:szCs w:val="18"/>
              </w:rPr>
            </w:pPr>
          </w:p>
        </w:tc>
        <w:tc>
          <w:tcPr>
            <w:tcW w:w="780" w:type="dxa"/>
            <w:shd w:val="clear" w:color="000000" w:fill="FFFFFF"/>
            <w:vAlign w:val="center"/>
            <w:hideMark/>
          </w:tcPr>
          <w:p w14:paraId="1BDE29B9"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000000" w:fill="FFFFFF"/>
            <w:vAlign w:val="center"/>
            <w:hideMark/>
          </w:tcPr>
          <w:p w14:paraId="34F34C4A" w14:textId="77777777" w:rsidR="001C32C8" w:rsidRPr="00B0658A" w:rsidRDefault="001C32C8" w:rsidP="00004A41">
            <w:pPr>
              <w:spacing w:after="0" w:line="240" w:lineRule="auto"/>
              <w:jc w:val="center"/>
              <w:rPr>
                <w:rFonts w:ascii="Times New Roman" w:hAnsi="Times New Roman"/>
                <w:sz w:val="18"/>
                <w:szCs w:val="18"/>
              </w:rPr>
            </w:pPr>
          </w:p>
        </w:tc>
        <w:tc>
          <w:tcPr>
            <w:tcW w:w="780" w:type="dxa"/>
            <w:shd w:val="clear" w:color="000000" w:fill="FFFFFF"/>
            <w:vAlign w:val="center"/>
          </w:tcPr>
          <w:p w14:paraId="74C2818E"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000000" w:fill="FFFFFF"/>
            <w:vAlign w:val="center"/>
          </w:tcPr>
          <w:p w14:paraId="64F11A26" w14:textId="77777777" w:rsidR="001C32C8" w:rsidRPr="00B0658A" w:rsidRDefault="001C32C8" w:rsidP="00004A41">
            <w:pPr>
              <w:spacing w:after="0" w:line="240" w:lineRule="auto"/>
              <w:jc w:val="center"/>
              <w:rPr>
                <w:rFonts w:ascii="Times New Roman" w:hAnsi="Times New Roman"/>
                <w:sz w:val="18"/>
                <w:szCs w:val="18"/>
              </w:rPr>
            </w:pPr>
          </w:p>
        </w:tc>
        <w:tc>
          <w:tcPr>
            <w:tcW w:w="780" w:type="dxa"/>
            <w:shd w:val="clear" w:color="000000" w:fill="FFFFFF"/>
            <w:vAlign w:val="center"/>
          </w:tcPr>
          <w:p w14:paraId="1084FD7F" w14:textId="77777777" w:rsidR="001C32C8" w:rsidRPr="00B0658A" w:rsidRDefault="001C32C8" w:rsidP="00004A41">
            <w:pPr>
              <w:spacing w:after="0" w:line="240" w:lineRule="auto"/>
              <w:jc w:val="center"/>
              <w:rPr>
                <w:rFonts w:ascii="Times New Roman" w:hAnsi="Times New Roman"/>
                <w:sz w:val="18"/>
                <w:szCs w:val="18"/>
              </w:rPr>
            </w:pPr>
          </w:p>
        </w:tc>
        <w:tc>
          <w:tcPr>
            <w:tcW w:w="1475" w:type="dxa"/>
            <w:shd w:val="clear" w:color="000000" w:fill="FFFFFF"/>
            <w:vAlign w:val="center"/>
          </w:tcPr>
          <w:p w14:paraId="58FDB4DF" w14:textId="77777777" w:rsidR="001C32C8" w:rsidRPr="00B0658A" w:rsidRDefault="001C32C8" w:rsidP="00004A41">
            <w:pPr>
              <w:spacing w:after="0" w:line="240" w:lineRule="auto"/>
              <w:jc w:val="center"/>
              <w:rPr>
                <w:rFonts w:ascii="Times New Roman" w:hAnsi="Times New Roman"/>
                <w:sz w:val="18"/>
                <w:szCs w:val="18"/>
              </w:rPr>
            </w:pPr>
          </w:p>
        </w:tc>
      </w:tr>
      <w:tr w:rsidR="00F52FED" w:rsidRPr="00B0658A" w14:paraId="23ADC004" w14:textId="77777777" w:rsidTr="00E66BA4">
        <w:trPr>
          <w:trHeight w:val="20"/>
        </w:trPr>
        <w:tc>
          <w:tcPr>
            <w:tcW w:w="846" w:type="dxa"/>
            <w:shd w:val="clear" w:color="000000" w:fill="FFFFFF"/>
            <w:vAlign w:val="center"/>
          </w:tcPr>
          <w:p w14:paraId="5355776B" w14:textId="77777777" w:rsidR="001C32C8" w:rsidRPr="00B0658A" w:rsidRDefault="001C32C8" w:rsidP="00004A41">
            <w:pPr>
              <w:spacing w:after="0" w:line="240" w:lineRule="auto"/>
              <w:jc w:val="center"/>
              <w:rPr>
                <w:rFonts w:ascii="Times New Roman" w:hAnsi="Times New Roman"/>
                <w:sz w:val="18"/>
                <w:szCs w:val="18"/>
                <w:lang w:val="en-US"/>
              </w:rPr>
            </w:pPr>
            <w:r w:rsidRPr="00B0658A">
              <w:rPr>
                <w:rFonts w:ascii="Times New Roman" w:hAnsi="Times New Roman"/>
                <w:sz w:val="18"/>
                <w:szCs w:val="18"/>
                <w:lang w:val="en-US"/>
              </w:rPr>
              <w:t>9.11</w:t>
            </w:r>
          </w:p>
        </w:tc>
        <w:tc>
          <w:tcPr>
            <w:tcW w:w="1559" w:type="dxa"/>
            <w:shd w:val="clear" w:color="auto" w:fill="auto"/>
            <w:vAlign w:val="center"/>
            <w:hideMark/>
          </w:tcPr>
          <w:p w14:paraId="10D316AC" w14:textId="77777777" w:rsidR="001C32C8" w:rsidRPr="00B0658A" w:rsidRDefault="001C32C8" w:rsidP="00004A41">
            <w:pPr>
              <w:suppressAutoHyphens/>
              <w:spacing w:after="0" w:line="240" w:lineRule="auto"/>
              <w:rPr>
                <w:rFonts w:ascii="Times New Roman" w:hAnsi="Times New Roman"/>
                <w:sz w:val="18"/>
                <w:szCs w:val="18"/>
              </w:rPr>
            </w:pPr>
            <w:r w:rsidRPr="00B0658A">
              <w:rPr>
                <w:rFonts w:ascii="Times New Roman" w:hAnsi="Times New Roman"/>
                <w:sz w:val="18"/>
                <w:szCs w:val="18"/>
              </w:rPr>
              <w:t xml:space="preserve">Средства управления процессами организации/ Средства управления содержимым (CMS), сайты </w:t>
            </w:r>
          </w:p>
          <w:p w14:paraId="0D196CF3" w14:textId="77777777" w:rsidR="001C32C8" w:rsidRPr="00B0658A" w:rsidRDefault="001C32C8" w:rsidP="00004A41">
            <w:pPr>
              <w:spacing w:after="0" w:line="240" w:lineRule="auto"/>
              <w:rPr>
                <w:rFonts w:ascii="Times New Roman" w:hAnsi="Times New Roman"/>
                <w:sz w:val="18"/>
                <w:szCs w:val="18"/>
              </w:rPr>
            </w:pPr>
            <w:r w:rsidRPr="00B0658A">
              <w:rPr>
                <w:rFonts w:ascii="Times New Roman" w:hAnsi="Times New Roman"/>
                <w:sz w:val="18"/>
                <w:szCs w:val="18"/>
              </w:rPr>
              <w:t>и портальные решения</w:t>
            </w:r>
          </w:p>
        </w:tc>
        <w:tc>
          <w:tcPr>
            <w:tcW w:w="1418" w:type="dxa"/>
            <w:shd w:val="clear" w:color="000000" w:fill="FFFFFF"/>
            <w:hideMark/>
          </w:tcPr>
          <w:p w14:paraId="23755D0D" w14:textId="77777777" w:rsidR="001C32C8" w:rsidRPr="00B0658A" w:rsidRDefault="001C32C8" w:rsidP="00004A41">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44" w:type="dxa"/>
            <w:shd w:val="clear" w:color="000000" w:fill="FFFFFF"/>
            <w:vAlign w:val="center"/>
          </w:tcPr>
          <w:p w14:paraId="687F8D18"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000000" w:fill="FFFFFF"/>
            <w:vAlign w:val="center"/>
            <w:hideMark/>
          </w:tcPr>
          <w:p w14:paraId="0054B59A"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000000" w:fill="FFFFFF"/>
            <w:vAlign w:val="center"/>
            <w:hideMark/>
          </w:tcPr>
          <w:p w14:paraId="4CC78D4A"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000000" w:fill="FFFFFF"/>
            <w:vAlign w:val="center"/>
            <w:hideMark/>
          </w:tcPr>
          <w:p w14:paraId="1E844081" w14:textId="77777777" w:rsidR="001C32C8" w:rsidRPr="00B0658A" w:rsidRDefault="001C32C8" w:rsidP="00004A41">
            <w:pPr>
              <w:spacing w:after="0" w:line="240" w:lineRule="auto"/>
              <w:jc w:val="center"/>
              <w:rPr>
                <w:rFonts w:ascii="Times New Roman" w:hAnsi="Times New Roman"/>
                <w:sz w:val="18"/>
                <w:szCs w:val="18"/>
              </w:rPr>
            </w:pPr>
          </w:p>
        </w:tc>
        <w:tc>
          <w:tcPr>
            <w:tcW w:w="993" w:type="dxa"/>
            <w:shd w:val="clear" w:color="000000" w:fill="FFFFFF"/>
            <w:vAlign w:val="center"/>
          </w:tcPr>
          <w:p w14:paraId="52AB56F3"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000000" w:fill="FFFFFF"/>
            <w:vAlign w:val="center"/>
            <w:hideMark/>
          </w:tcPr>
          <w:p w14:paraId="12338A10" w14:textId="77777777" w:rsidR="001C32C8" w:rsidRPr="00B0658A" w:rsidRDefault="001C32C8" w:rsidP="00004A41">
            <w:pPr>
              <w:spacing w:after="0" w:line="240" w:lineRule="auto"/>
              <w:jc w:val="center"/>
              <w:rPr>
                <w:rFonts w:ascii="Times New Roman" w:hAnsi="Times New Roman"/>
                <w:sz w:val="18"/>
                <w:szCs w:val="18"/>
              </w:rPr>
            </w:pPr>
          </w:p>
        </w:tc>
        <w:tc>
          <w:tcPr>
            <w:tcW w:w="780" w:type="dxa"/>
            <w:shd w:val="clear" w:color="000000" w:fill="FFFFFF"/>
            <w:vAlign w:val="center"/>
            <w:hideMark/>
          </w:tcPr>
          <w:p w14:paraId="5E443CDC"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000000" w:fill="FFFFFF"/>
            <w:vAlign w:val="center"/>
            <w:hideMark/>
          </w:tcPr>
          <w:p w14:paraId="7ADFB4D6" w14:textId="77777777" w:rsidR="001C32C8" w:rsidRPr="00B0658A" w:rsidRDefault="001C32C8" w:rsidP="00004A41">
            <w:pPr>
              <w:spacing w:after="0" w:line="240" w:lineRule="auto"/>
              <w:jc w:val="center"/>
              <w:rPr>
                <w:rFonts w:ascii="Times New Roman" w:hAnsi="Times New Roman"/>
                <w:sz w:val="18"/>
                <w:szCs w:val="18"/>
              </w:rPr>
            </w:pPr>
          </w:p>
        </w:tc>
        <w:tc>
          <w:tcPr>
            <w:tcW w:w="780" w:type="dxa"/>
            <w:shd w:val="clear" w:color="000000" w:fill="FFFFFF"/>
            <w:vAlign w:val="center"/>
          </w:tcPr>
          <w:p w14:paraId="73296BAD"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000000" w:fill="FFFFFF"/>
            <w:vAlign w:val="center"/>
          </w:tcPr>
          <w:p w14:paraId="1714C875" w14:textId="77777777" w:rsidR="001C32C8" w:rsidRPr="00B0658A" w:rsidRDefault="001C32C8" w:rsidP="00004A41">
            <w:pPr>
              <w:spacing w:after="0" w:line="240" w:lineRule="auto"/>
              <w:jc w:val="center"/>
              <w:rPr>
                <w:rFonts w:ascii="Times New Roman" w:hAnsi="Times New Roman"/>
                <w:sz w:val="18"/>
                <w:szCs w:val="18"/>
              </w:rPr>
            </w:pPr>
          </w:p>
        </w:tc>
        <w:tc>
          <w:tcPr>
            <w:tcW w:w="780" w:type="dxa"/>
            <w:shd w:val="clear" w:color="000000" w:fill="FFFFFF"/>
            <w:vAlign w:val="center"/>
          </w:tcPr>
          <w:p w14:paraId="135AE6AE" w14:textId="77777777" w:rsidR="001C32C8" w:rsidRPr="00B0658A" w:rsidRDefault="001C32C8" w:rsidP="00004A41">
            <w:pPr>
              <w:spacing w:after="0" w:line="240" w:lineRule="auto"/>
              <w:jc w:val="center"/>
              <w:rPr>
                <w:rFonts w:ascii="Times New Roman" w:hAnsi="Times New Roman"/>
                <w:sz w:val="18"/>
                <w:szCs w:val="18"/>
              </w:rPr>
            </w:pPr>
          </w:p>
        </w:tc>
        <w:tc>
          <w:tcPr>
            <w:tcW w:w="1475" w:type="dxa"/>
            <w:shd w:val="clear" w:color="000000" w:fill="FFFFFF"/>
            <w:vAlign w:val="center"/>
          </w:tcPr>
          <w:p w14:paraId="21506134" w14:textId="77777777" w:rsidR="001C32C8" w:rsidRPr="00B0658A" w:rsidRDefault="001C32C8" w:rsidP="00004A41">
            <w:pPr>
              <w:spacing w:after="0" w:line="240" w:lineRule="auto"/>
              <w:jc w:val="center"/>
              <w:rPr>
                <w:rFonts w:ascii="Times New Roman" w:hAnsi="Times New Roman"/>
                <w:sz w:val="18"/>
                <w:szCs w:val="18"/>
              </w:rPr>
            </w:pPr>
          </w:p>
        </w:tc>
      </w:tr>
      <w:tr w:rsidR="00F52FED" w:rsidRPr="00B0658A" w14:paraId="382DAE72" w14:textId="77777777" w:rsidTr="00E66BA4">
        <w:trPr>
          <w:trHeight w:val="20"/>
        </w:trPr>
        <w:tc>
          <w:tcPr>
            <w:tcW w:w="846" w:type="dxa"/>
            <w:shd w:val="clear" w:color="000000" w:fill="FFFFFF"/>
            <w:vAlign w:val="center"/>
          </w:tcPr>
          <w:p w14:paraId="5BAC0ECD" w14:textId="77777777" w:rsidR="001C32C8" w:rsidRPr="00B0658A" w:rsidRDefault="001C32C8" w:rsidP="00004A41">
            <w:pPr>
              <w:spacing w:after="0" w:line="240" w:lineRule="auto"/>
              <w:jc w:val="center"/>
              <w:rPr>
                <w:rFonts w:ascii="Times New Roman" w:hAnsi="Times New Roman"/>
                <w:sz w:val="18"/>
                <w:szCs w:val="18"/>
                <w:lang w:val="en-US"/>
              </w:rPr>
            </w:pPr>
            <w:r w:rsidRPr="00B0658A">
              <w:rPr>
                <w:rFonts w:ascii="Times New Roman" w:hAnsi="Times New Roman"/>
                <w:sz w:val="18"/>
                <w:szCs w:val="18"/>
                <w:lang w:val="en-US"/>
              </w:rPr>
              <w:lastRenderedPageBreak/>
              <w:t>9.12</w:t>
            </w:r>
          </w:p>
        </w:tc>
        <w:tc>
          <w:tcPr>
            <w:tcW w:w="1559" w:type="dxa"/>
            <w:shd w:val="clear" w:color="auto" w:fill="auto"/>
            <w:vAlign w:val="center"/>
            <w:hideMark/>
          </w:tcPr>
          <w:p w14:paraId="72C0B4E6" w14:textId="77777777" w:rsidR="001C32C8" w:rsidRPr="00B0658A" w:rsidRDefault="001C32C8" w:rsidP="00004A41">
            <w:pPr>
              <w:spacing w:after="0" w:line="240" w:lineRule="auto"/>
              <w:rPr>
                <w:rFonts w:ascii="Times New Roman" w:hAnsi="Times New Roman"/>
                <w:sz w:val="18"/>
                <w:szCs w:val="18"/>
              </w:rPr>
            </w:pPr>
            <w:r w:rsidRPr="00B0658A">
              <w:rPr>
                <w:rFonts w:ascii="Times New Roman" w:hAnsi="Times New Roman"/>
                <w:sz w:val="18"/>
                <w:szCs w:val="18"/>
              </w:rPr>
              <w:t>Средства управления процессами организации/ Средства электронной коммерции (e-commerce platform)</w:t>
            </w:r>
          </w:p>
        </w:tc>
        <w:tc>
          <w:tcPr>
            <w:tcW w:w="1418" w:type="dxa"/>
            <w:shd w:val="clear" w:color="000000" w:fill="FFFFFF"/>
            <w:hideMark/>
          </w:tcPr>
          <w:p w14:paraId="65E8C101" w14:textId="77777777" w:rsidR="001C32C8" w:rsidRPr="00B0658A" w:rsidRDefault="001C32C8" w:rsidP="00004A41">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44" w:type="dxa"/>
            <w:shd w:val="clear" w:color="000000" w:fill="FFFFFF"/>
            <w:vAlign w:val="center"/>
          </w:tcPr>
          <w:p w14:paraId="2D414178"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000000" w:fill="FFFFFF"/>
            <w:vAlign w:val="center"/>
            <w:hideMark/>
          </w:tcPr>
          <w:p w14:paraId="3B7966F8"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000000" w:fill="FFFFFF"/>
            <w:vAlign w:val="center"/>
            <w:hideMark/>
          </w:tcPr>
          <w:p w14:paraId="3B7011C9"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000000" w:fill="FFFFFF"/>
            <w:vAlign w:val="center"/>
            <w:hideMark/>
          </w:tcPr>
          <w:p w14:paraId="55670FC1" w14:textId="77777777" w:rsidR="001C32C8" w:rsidRPr="00B0658A" w:rsidRDefault="001C32C8" w:rsidP="00004A41">
            <w:pPr>
              <w:spacing w:after="0" w:line="240" w:lineRule="auto"/>
              <w:jc w:val="center"/>
              <w:rPr>
                <w:rFonts w:ascii="Times New Roman" w:hAnsi="Times New Roman"/>
                <w:sz w:val="18"/>
                <w:szCs w:val="18"/>
              </w:rPr>
            </w:pPr>
          </w:p>
        </w:tc>
        <w:tc>
          <w:tcPr>
            <w:tcW w:w="993" w:type="dxa"/>
            <w:shd w:val="clear" w:color="000000" w:fill="FFFFFF"/>
            <w:vAlign w:val="center"/>
          </w:tcPr>
          <w:p w14:paraId="6DD440BE"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000000" w:fill="FFFFFF"/>
            <w:vAlign w:val="center"/>
            <w:hideMark/>
          </w:tcPr>
          <w:p w14:paraId="02C4ACDE" w14:textId="77777777" w:rsidR="001C32C8" w:rsidRPr="00B0658A" w:rsidRDefault="001C32C8" w:rsidP="00004A41">
            <w:pPr>
              <w:spacing w:after="0" w:line="240" w:lineRule="auto"/>
              <w:jc w:val="center"/>
              <w:rPr>
                <w:rFonts w:ascii="Times New Roman" w:hAnsi="Times New Roman"/>
                <w:sz w:val="18"/>
                <w:szCs w:val="18"/>
              </w:rPr>
            </w:pPr>
          </w:p>
        </w:tc>
        <w:tc>
          <w:tcPr>
            <w:tcW w:w="780" w:type="dxa"/>
            <w:shd w:val="clear" w:color="000000" w:fill="FFFFFF"/>
            <w:vAlign w:val="center"/>
            <w:hideMark/>
          </w:tcPr>
          <w:p w14:paraId="4E286D3B"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000000" w:fill="FFFFFF"/>
            <w:vAlign w:val="center"/>
            <w:hideMark/>
          </w:tcPr>
          <w:p w14:paraId="7FF34D32" w14:textId="77777777" w:rsidR="001C32C8" w:rsidRPr="00B0658A" w:rsidRDefault="001C32C8" w:rsidP="00004A41">
            <w:pPr>
              <w:spacing w:after="0" w:line="240" w:lineRule="auto"/>
              <w:jc w:val="center"/>
              <w:rPr>
                <w:rFonts w:ascii="Times New Roman" w:hAnsi="Times New Roman"/>
                <w:sz w:val="18"/>
                <w:szCs w:val="18"/>
              </w:rPr>
            </w:pPr>
          </w:p>
        </w:tc>
        <w:tc>
          <w:tcPr>
            <w:tcW w:w="780" w:type="dxa"/>
            <w:shd w:val="clear" w:color="000000" w:fill="FFFFFF"/>
            <w:vAlign w:val="center"/>
          </w:tcPr>
          <w:p w14:paraId="33E56310"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000000" w:fill="FFFFFF"/>
            <w:vAlign w:val="center"/>
          </w:tcPr>
          <w:p w14:paraId="021625DF" w14:textId="77777777" w:rsidR="001C32C8" w:rsidRPr="00B0658A" w:rsidRDefault="001C32C8" w:rsidP="00004A41">
            <w:pPr>
              <w:spacing w:after="0" w:line="240" w:lineRule="auto"/>
              <w:jc w:val="center"/>
              <w:rPr>
                <w:rFonts w:ascii="Times New Roman" w:hAnsi="Times New Roman"/>
                <w:sz w:val="18"/>
                <w:szCs w:val="18"/>
              </w:rPr>
            </w:pPr>
          </w:p>
        </w:tc>
        <w:tc>
          <w:tcPr>
            <w:tcW w:w="780" w:type="dxa"/>
            <w:shd w:val="clear" w:color="000000" w:fill="FFFFFF"/>
            <w:vAlign w:val="center"/>
          </w:tcPr>
          <w:p w14:paraId="26B79350" w14:textId="77777777" w:rsidR="001C32C8" w:rsidRPr="00B0658A" w:rsidRDefault="001C32C8" w:rsidP="00004A41">
            <w:pPr>
              <w:spacing w:after="0" w:line="240" w:lineRule="auto"/>
              <w:jc w:val="center"/>
              <w:rPr>
                <w:rFonts w:ascii="Times New Roman" w:hAnsi="Times New Roman"/>
                <w:sz w:val="18"/>
                <w:szCs w:val="18"/>
              </w:rPr>
            </w:pPr>
          </w:p>
        </w:tc>
        <w:tc>
          <w:tcPr>
            <w:tcW w:w="1475" w:type="dxa"/>
            <w:shd w:val="clear" w:color="000000" w:fill="FFFFFF"/>
            <w:vAlign w:val="center"/>
          </w:tcPr>
          <w:p w14:paraId="6B9B197D" w14:textId="77777777" w:rsidR="001C32C8" w:rsidRPr="00B0658A" w:rsidRDefault="001C32C8" w:rsidP="00004A41">
            <w:pPr>
              <w:spacing w:after="0" w:line="240" w:lineRule="auto"/>
              <w:jc w:val="center"/>
              <w:rPr>
                <w:rFonts w:ascii="Times New Roman" w:hAnsi="Times New Roman"/>
                <w:sz w:val="18"/>
                <w:szCs w:val="18"/>
              </w:rPr>
            </w:pPr>
          </w:p>
        </w:tc>
      </w:tr>
      <w:tr w:rsidR="00F52FED" w:rsidRPr="00B0658A" w14:paraId="5D7A57B0" w14:textId="77777777" w:rsidTr="00E66BA4">
        <w:trPr>
          <w:trHeight w:val="20"/>
        </w:trPr>
        <w:tc>
          <w:tcPr>
            <w:tcW w:w="846" w:type="dxa"/>
            <w:shd w:val="clear" w:color="000000" w:fill="FFFFFF"/>
            <w:vAlign w:val="center"/>
          </w:tcPr>
          <w:p w14:paraId="4B8A23C1" w14:textId="77777777" w:rsidR="001C32C8" w:rsidRPr="00B0658A" w:rsidRDefault="001C32C8" w:rsidP="00004A41">
            <w:pPr>
              <w:spacing w:after="0" w:line="240" w:lineRule="auto"/>
              <w:jc w:val="center"/>
              <w:rPr>
                <w:rFonts w:ascii="Times New Roman" w:hAnsi="Times New Roman"/>
                <w:sz w:val="18"/>
                <w:szCs w:val="18"/>
                <w:lang w:val="en-US"/>
              </w:rPr>
            </w:pPr>
            <w:r w:rsidRPr="00B0658A">
              <w:rPr>
                <w:rFonts w:ascii="Times New Roman" w:hAnsi="Times New Roman"/>
                <w:sz w:val="18"/>
                <w:szCs w:val="18"/>
                <w:lang w:val="en-US"/>
              </w:rPr>
              <w:t>9.13</w:t>
            </w:r>
          </w:p>
        </w:tc>
        <w:tc>
          <w:tcPr>
            <w:tcW w:w="1559" w:type="dxa"/>
            <w:shd w:val="clear" w:color="auto" w:fill="auto"/>
            <w:vAlign w:val="center"/>
            <w:hideMark/>
          </w:tcPr>
          <w:p w14:paraId="0D8A82E0" w14:textId="77777777" w:rsidR="001C32C8" w:rsidRPr="00B0658A" w:rsidRDefault="001C32C8" w:rsidP="00004A41">
            <w:pPr>
              <w:spacing w:after="0" w:line="240" w:lineRule="auto"/>
              <w:rPr>
                <w:rFonts w:ascii="Times New Roman" w:hAnsi="Times New Roman"/>
                <w:sz w:val="18"/>
                <w:szCs w:val="18"/>
              </w:rPr>
            </w:pPr>
            <w:r w:rsidRPr="00B0658A">
              <w:rPr>
                <w:rFonts w:ascii="Times New Roman" w:hAnsi="Times New Roman"/>
                <w:sz w:val="18"/>
                <w:szCs w:val="18"/>
              </w:rPr>
              <w:t>Средства управления процессами организации/ Средства управления складом и цепочками поставок (WMS, SCM)</w:t>
            </w:r>
          </w:p>
        </w:tc>
        <w:tc>
          <w:tcPr>
            <w:tcW w:w="1418" w:type="dxa"/>
            <w:shd w:val="clear" w:color="000000" w:fill="FFFFFF"/>
            <w:hideMark/>
          </w:tcPr>
          <w:p w14:paraId="15CB8419" w14:textId="77777777" w:rsidR="001C32C8" w:rsidRPr="00B0658A" w:rsidRDefault="001C32C8" w:rsidP="00004A41">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44" w:type="dxa"/>
            <w:shd w:val="clear" w:color="000000" w:fill="FFFFFF"/>
            <w:vAlign w:val="center"/>
          </w:tcPr>
          <w:p w14:paraId="3B9779D1"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000000" w:fill="FFFFFF"/>
            <w:vAlign w:val="center"/>
            <w:hideMark/>
          </w:tcPr>
          <w:p w14:paraId="3D290C63"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000000" w:fill="FFFFFF"/>
            <w:vAlign w:val="center"/>
            <w:hideMark/>
          </w:tcPr>
          <w:p w14:paraId="6ACCF40D"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000000" w:fill="FFFFFF"/>
            <w:vAlign w:val="center"/>
            <w:hideMark/>
          </w:tcPr>
          <w:p w14:paraId="53BB7881" w14:textId="77777777" w:rsidR="001C32C8" w:rsidRPr="00B0658A" w:rsidRDefault="001C32C8" w:rsidP="00004A41">
            <w:pPr>
              <w:spacing w:after="0" w:line="240" w:lineRule="auto"/>
              <w:jc w:val="center"/>
              <w:rPr>
                <w:rFonts w:ascii="Times New Roman" w:hAnsi="Times New Roman"/>
                <w:sz w:val="18"/>
                <w:szCs w:val="18"/>
              </w:rPr>
            </w:pPr>
          </w:p>
        </w:tc>
        <w:tc>
          <w:tcPr>
            <w:tcW w:w="993" w:type="dxa"/>
            <w:shd w:val="clear" w:color="000000" w:fill="FFFFFF"/>
            <w:vAlign w:val="center"/>
          </w:tcPr>
          <w:p w14:paraId="5A0AC859"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000000" w:fill="FFFFFF"/>
            <w:vAlign w:val="center"/>
            <w:hideMark/>
          </w:tcPr>
          <w:p w14:paraId="6AB4F637" w14:textId="77777777" w:rsidR="001C32C8" w:rsidRPr="00B0658A" w:rsidRDefault="001C32C8" w:rsidP="00004A41">
            <w:pPr>
              <w:spacing w:after="0" w:line="240" w:lineRule="auto"/>
              <w:jc w:val="center"/>
              <w:rPr>
                <w:rFonts w:ascii="Times New Roman" w:hAnsi="Times New Roman"/>
                <w:sz w:val="18"/>
                <w:szCs w:val="18"/>
              </w:rPr>
            </w:pPr>
          </w:p>
        </w:tc>
        <w:tc>
          <w:tcPr>
            <w:tcW w:w="780" w:type="dxa"/>
            <w:shd w:val="clear" w:color="000000" w:fill="FFFFFF"/>
            <w:vAlign w:val="center"/>
            <w:hideMark/>
          </w:tcPr>
          <w:p w14:paraId="3B568DCC"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000000" w:fill="FFFFFF"/>
            <w:vAlign w:val="center"/>
            <w:hideMark/>
          </w:tcPr>
          <w:p w14:paraId="028AA195" w14:textId="77777777" w:rsidR="001C32C8" w:rsidRPr="00B0658A" w:rsidRDefault="001C32C8" w:rsidP="00004A41">
            <w:pPr>
              <w:spacing w:after="0" w:line="240" w:lineRule="auto"/>
              <w:jc w:val="center"/>
              <w:rPr>
                <w:rFonts w:ascii="Times New Roman" w:hAnsi="Times New Roman"/>
                <w:sz w:val="18"/>
                <w:szCs w:val="18"/>
              </w:rPr>
            </w:pPr>
          </w:p>
        </w:tc>
        <w:tc>
          <w:tcPr>
            <w:tcW w:w="780" w:type="dxa"/>
            <w:shd w:val="clear" w:color="000000" w:fill="FFFFFF"/>
            <w:vAlign w:val="center"/>
          </w:tcPr>
          <w:p w14:paraId="1B6575C5"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000000" w:fill="FFFFFF"/>
            <w:vAlign w:val="center"/>
          </w:tcPr>
          <w:p w14:paraId="1E63D997" w14:textId="77777777" w:rsidR="001C32C8" w:rsidRPr="00B0658A" w:rsidRDefault="001C32C8" w:rsidP="00004A41">
            <w:pPr>
              <w:spacing w:after="0" w:line="240" w:lineRule="auto"/>
              <w:jc w:val="center"/>
              <w:rPr>
                <w:rFonts w:ascii="Times New Roman" w:hAnsi="Times New Roman"/>
                <w:sz w:val="18"/>
                <w:szCs w:val="18"/>
              </w:rPr>
            </w:pPr>
          </w:p>
        </w:tc>
        <w:tc>
          <w:tcPr>
            <w:tcW w:w="780" w:type="dxa"/>
            <w:shd w:val="clear" w:color="000000" w:fill="FFFFFF"/>
            <w:vAlign w:val="center"/>
          </w:tcPr>
          <w:p w14:paraId="779F4A39" w14:textId="77777777" w:rsidR="001C32C8" w:rsidRPr="00B0658A" w:rsidRDefault="001C32C8" w:rsidP="00004A41">
            <w:pPr>
              <w:spacing w:after="0" w:line="240" w:lineRule="auto"/>
              <w:jc w:val="center"/>
              <w:rPr>
                <w:rFonts w:ascii="Times New Roman" w:hAnsi="Times New Roman"/>
                <w:sz w:val="18"/>
                <w:szCs w:val="18"/>
              </w:rPr>
            </w:pPr>
          </w:p>
        </w:tc>
        <w:tc>
          <w:tcPr>
            <w:tcW w:w="1475" w:type="dxa"/>
            <w:shd w:val="clear" w:color="000000" w:fill="FFFFFF"/>
            <w:vAlign w:val="center"/>
          </w:tcPr>
          <w:p w14:paraId="34EF5AC7" w14:textId="77777777" w:rsidR="001C32C8" w:rsidRPr="00B0658A" w:rsidRDefault="001C32C8" w:rsidP="00004A41">
            <w:pPr>
              <w:spacing w:after="0" w:line="240" w:lineRule="auto"/>
              <w:jc w:val="center"/>
              <w:rPr>
                <w:rFonts w:ascii="Times New Roman" w:hAnsi="Times New Roman"/>
                <w:sz w:val="18"/>
                <w:szCs w:val="18"/>
              </w:rPr>
            </w:pPr>
          </w:p>
        </w:tc>
      </w:tr>
      <w:tr w:rsidR="00F52FED" w:rsidRPr="00B0658A" w14:paraId="3286D527" w14:textId="77777777" w:rsidTr="00E66BA4">
        <w:trPr>
          <w:trHeight w:val="20"/>
        </w:trPr>
        <w:tc>
          <w:tcPr>
            <w:tcW w:w="846" w:type="dxa"/>
            <w:shd w:val="clear" w:color="000000" w:fill="FFFFFF"/>
            <w:vAlign w:val="center"/>
          </w:tcPr>
          <w:p w14:paraId="3982DB25" w14:textId="77777777" w:rsidR="001C32C8" w:rsidRPr="00B0658A" w:rsidRDefault="001C32C8" w:rsidP="00004A41">
            <w:pPr>
              <w:spacing w:after="0" w:line="240" w:lineRule="auto"/>
              <w:jc w:val="center"/>
              <w:rPr>
                <w:rFonts w:ascii="Times New Roman" w:hAnsi="Times New Roman"/>
                <w:sz w:val="18"/>
                <w:szCs w:val="18"/>
                <w:lang w:val="en-US"/>
              </w:rPr>
            </w:pPr>
            <w:r w:rsidRPr="00B0658A">
              <w:rPr>
                <w:rFonts w:ascii="Times New Roman" w:hAnsi="Times New Roman"/>
                <w:sz w:val="18"/>
                <w:szCs w:val="18"/>
                <w:lang w:val="en-US"/>
              </w:rPr>
              <w:t>9.14</w:t>
            </w:r>
          </w:p>
        </w:tc>
        <w:tc>
          <w:tcPr>
            <w:tcW w:w="1559" w:type="dxa"/>
            <w:shd w:val="clear" w:color="auto" w:fill="auto"/>
            <w:vAlign w:val="center"/>
            <w:hideMark/>
          </w:tcPr>
          <w:p w14:paraId="6C1DFCF8" w14:textId="77777777" w:rsidR="001C32C8" w:rsidRPr="00B0658A" w:rsidRDefault="001C32C8" w:rsidP="00004A41">
            <w:pPr>
              <w:spacing w:after="0" w:line="240" w:lineRule="auto"/>
              <w:rPr>
                <w:rFonts w:ascii="Times New Roman" w:hAnsi="Times New Roman"/>
                <w:sz w:val="18"/>
                <w:szCs w:val="18"/>
              </w:rPr>
            </w:pPr>
            <w:r w:rsidRPr="00B0658A">
              <w:rPr>
                <w:rFonts w:ascii="Times New Roman" w:hAnsi="Times New Roman"/>
                <w:sz w:val="18"/>
                <w:szCs w:val="18"/>
              </w:rPr>
              <w:t>Средства управления процессами организации/ Средства централизованного управления конечными устройствами</w:t>
            </w:r>
          </w:p>
        </w:tc>
        <w:tc>
          <w:tcPr>
            <w:tcW w:w="1418" w:type="dxa"/>
            <w:shd w:val="clear" w:color="000000" w:fill="FFFFFF"/>
            <w:hideMark/>
          </w:tcPr>
          <w:p w14:paraId="557EB0D3" w14:textId="77777777" w:rsidR="001C32C8" w:rsidRPr="00B0658A" w:rsidRDefault="001C32C8" w:rsidP="00004A41">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44" w:type="dxa"/>
            <w:shd w:val="clear" w:color="000000" w:fill="FFFFFF"/>
            <w:vAlign w:val="center"/>
          </w:tcPr>
          <w:p w14:paraId="78527CDE"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000000" w:fill="FFFFFF"/>
            <w:vAlign w:val="center"/>
            <w:hideMark/>
          </w:tcPr>
          <w:p w14:paraId="0F8D5846"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000000" w:fill="FFFFFF"/>
            <w:vAlign w:val="center"/>
            <w:hideMark/>
          </w:tcPr>
          <w:p w14:paraId="3C802037"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000000" w:fill="FFFFFF"/>
            <w:vAlign w:val="center"/>
            <w:hideMark/>
          </w:tcPr>
          <w:p w14:paraId="1A60ACF5" w14:textId="77777777" w:rsidR="001C32C8" w:rsidRPr="00B0658A" w:rsidRDefault="001C32C8" w:rsidP="00004A41">
            <w:pPr>
              <w:spacing w:after="0" w:line="240" w:lineRule="auto"/>
              <w:jc w:val="center"/>
              <w:rPr>
                <w:rFonts w:ascii="Times New Roman" w:hAnsi="Times New Roman"/>
                <w:sz w:val="18"/>
                <w:szCs w:val="18"/>
              </w:rPr>
            </w:pPr>
          </w:p>
        </w:tc>
        <w:tc>
          <w:tcPr>
            <w:tcW w:w="993" w:type="dxa"/>
            <w:shd w:val="clear" w:color="000000" w:fill="FFFFFF"/>
            <w:vAlign w:val="center"/>
          </w:tcPr>
          <w:p w14:paraId="09D7F7B7"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000000" w:fill="FFFFFF"/>
            <w:vAlign w:val="center"/>
            <w:hideMark/>
          </w:tcPr>
          <w:p w14:paraId="3D46F09C" w14:textId="77777777" w:rsidR="001C32C8" w:rsidRPr="00B0658A" w:rsidRDefault="001C32C8" w:rsidP="00004A41">
            <w:pPr>
              <w:spacing w:after="0" w:line="240" w:lineRule="auto"/>
              <w:jc w:val="center"/>
              <w:rPr>
                <w:rFonts w:ascii="Times New Roman" w:hAnsi="Times New Roman"/>
                <w:sz w:val="18"/>
                <w:szCs w:val="18"/>
              </w:rPr>
            </w:pPr>
          </w:p>
        </w:tc>
        <w:tc>
          <w:tcPr>
            <w:tcW w:w="780" w:type="dxa"/>
            <w:shd w:val="clear" w:color="000000" w:fill="FFFFFF"/>
            <w:vAlign w:val="center"/>
            <w:hideMark/>
          </w:tcPr>
          <w:p w14:paraId="6589754C"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000000" w:fill="FFFFFF"/>
            <w:vAlign w:val="center"/>
            <w:hideMark/>
          </w:tcPr>
          <w:p w14:paraId="6565E2A3" w14:textId="77777777" w:rsidR="001C32C8" w:rsidRPr="00B0658A" w:rsidRDefault="001C32C8" w:rsidP="00004A41">
            <w:pPr>
              <w:spacing w:after="0" w:line="240" w:lineRule="auto"/>
              <w:jc w:val="center"/>
              <w:rPr>
                <w:rFonts w:ascii="Times New Roman" w:hAnsi="Times New Roman"/>
                <w:sz w:val="18"/>
                <w:szCs w:val="18"/>
              </w:rPr>
            </w:pPr>
          </w:p>
        </w:tc>
        <w:tc>
          <w:tcPr>
            <w:tcW w:w="780" w:type="dxa"/>
            <w:shd w:val="clear" w:color="000000" w:fill="FFFFFF"/>
            <w:vAlign w:val="center"/>
          </w:tcPr>
          <w:p w14:paraId="10B474FD"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000000" w:fill="FFFFFF"/>
            <w:vAlign w:val="center"/>
          </w:tcPr>
          <w:p w14:paraId="75F8C55B" w14:textId="77777777" w:rsidR="001C32C8" w:rsidRPr="00B0658A" w:rsidRDefault="001C32C8" w:rsidP="00004A41">
            <w:pPr>
              <w:spacing w:after="0" w:line="240" w:lineRule="auto"/>
              <w:jc w:val="center"/>
              <w:rPr>
                <w:rFonts w:ascii="Times New Roman" w:hAnsi="Times New Roman"/>
                <w:sz w:val="18"/>
                <w:szCs w:val="18"/>
              </w:rPr>
            </w:pPr>
          </w:p>
        </w:tc>
        <w:tc>
          <w:tcPr>
            <w:tcW w:w="780" w:type="dxa"/>
            <w:shd w:val="clear" w:color="000000" w:fill="FFFFFF"/>
            <w:vAlign w:val="center"/>
          </w:tcPr>
          <w:p w14:paraId="63B81DC8" w14:textId="77777777" w:rsidR="001C32C8" w:rsidRPr="00B0658A" w:rsidRDefault="001C32C8" w:rsidP="00004A41">
            <w:pPr>
              <w:spacing w:after="0" w:line="240" w:lineRule="auto"/>
              <w:jc w:val="center"/>
              <w:rPr>
                <w:rFonts w:ascii="Times New Roman" w:hAnsi="Times New Roman"/>
                <w:sz w:val="18"/>
                <w:szCs w:val="18"/>
              </w:rPr>
            </w:pPr>
          </w:p>
        </w:tc>
        <w:tc>
          <w:tcPr>
            <w:tcW w:w="1475" w:type="dxa"/>
            <w:shd w:val="clear" w:color="000000" w:fill="FFFFFF"/>
            <w:vAlign w:val="center"/>
          </w:tcPr>
          <w:p w14:paraId="295B66E3" w14:textId="77777777" w:rsidR="001C32C8" w:rsidRPr="00B0658A" w:rsidRDefault="001C32C8" w:rsidP="00004A41">
            <w:pPr>
              <w:spacing w:after="0" w:line="240" w:lineRule="auto"/>
              <w:jc w:val="center"/>
              <w:rPr>
                <w:rFonts w:ascii="Times New Roman" w:hAnsi="Times New Roman"/>
                <w:sz w:val="18"/>
                <w:szCs w:val="18"/>
              </w:rPr>
            </w:pPr>
          </w:p>
        </w:tc>
      </w:tr>
      <w:tr w:rsidR="00F52FED" w:rsidRPr="00B0658A" w14:paraId="60CA8BB5" w14:textId="77777777" w:rsidTr="00E66BA4">
        <w:trPr>
          <w:trHeight w:val="20"/>
        </w:trPr>
        <w:tc>
          <w:tcPr>
            <w:tcW w:w="846" w:type="dxa"/>
            <w:shd w:val="clear" w:color="000000" w:fill="FFFFFF"/>
            <w:vAlign w:val="center"/>
          </w:tcPr>
          <w:p w14:paraId="79AC05F7" w14:textId="77777777" w:rsidR="001C32C8" w:rsidRPr="00B0658A" w:rsidRDefault="001C32C8" w:rsidP="00004A41">
            <w:pPr>
              <w:spacing w:after="0" w:line="240" w:lineRule="auto"/>
              <w:jc w:val="center"/>
              <w:rPr>
                <w:rFonts w:ascii="Times New Roman" w:hAnsi="Times New Roman"/>
                <w:sz w:val="18"/>
                <w:szCs w:val="18"/>
              </w:rPr>
            </w:pPr>
            <w:r w:rsidRPr="00B0658A">
              <w:rPr>
                <w:rFonts w:ascii="Times New Roman" w:hAnsi="Times New Roman"/>
                <w:sz w:val="18"/>
                <w:szCs w:val="18"/>
              </w:rPr>
              <w:t>10.1</w:t>
            </w:r>
          </w:p>
        </w:tc>
        <w:tc>
          <w:tcPr>
            <w:tcW w:w="1559" w:type="dxa"/>
            <w:shd w:val="clear" w:color="auto" w:fill="auto"/>
            <w:vAlign w:val="center"/>
            <w:hideMark/>
          </w:tcPr>
          <w:p w14:paraId="576DDBE6" w14:textId="77777777" w:rsidR="001C32C8" w:rsidRPr="00B0658A" w:rsidRDefault="001C32C8" w:rsidP="00004A41">
            <w:pPr>
              <w:spacing w:after="0" w:line="240" w:lineRule="auto"/>
              <w:rPr>
                <w:rFonts w:ascii="Times New Roman" w:hAnsi="Times New Roman"/>
                <w:sz w:val="18"/>
                <w:szCs w:val="18"/>
              </w:rPr>
            </w:pPr>
            <w:r w:rsidRPr="00B0658A">
              <w:rPr>
                <w:rFonts w:ascii="Times New Roman" w:hAnsi="Times New Roman"/>
                <w:sz w:val="18"/>
                <w:szCs w:val="18"/>
              </w:rPr>
              <w:t>Средства обработки и визуализации массивов данных/ Средства обработки Больших Данных (BigData)</w:t>
            </w:r>
          </w:p>
        </w:tc>
        <w:tc>
          <w:tcPr>
            <w:tcW w:w="1418" w:type="dxa"/>
            <w:shd w:val="clear" w:color="000000" w:fill="FFFFFF"/>
            <w:hideMark/>
          </w:tcPr>
          <w:p w14:paraId="2C99FA78" w14:textId="77777777" w:rsidR="001C32C8" w:rsidRPr="00B0658A" w:rsidRDefault="001C32C8" w:rsidP="00004A41">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44" w:type="dxa"/>
            <w:shd w:val="clear" w:color="000000" w:fill="FFFFFF"/>
            <w:vAlign w:val="center"/>
          </w:tcPr>
          <w:p w14:paraId="2A2AA75C"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000000" w:fill="FFFFFF"/>
            <w:vAlign w:val="center"/>
            <w:hideMark/>
          </w:tcPr>
          <w:p w14:paraId="41633F20"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000000" w:fill="FFFFFF"/>
            <w:vAlign w:val="center"/>
            <w:hideMark/>
          </w:tcPr>
          <w:p w14:paraId="17798C23"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000000" w:fill="FFFFFF"/>
            <w:vAlign w:val="center"/>
            <w:hideMark/>
          </w:tcPr>
          <w:p w14:paraId="2D01E891" w14:textId="77777777" w:rsidR="001C32C8" w:rsidRPr="00B0658A" w:rsidRDefault="001C32C8" w:rsidP="00004A41">
            <w:pPr>
              <w:spacing w:after="0" w:line="240" w:lineRule="auto"/>
              <w:jc w:val="center"/>
              <w:rPr>
                <w:rFonts w:ascii="Times New Roman" w:hAnsi="Times New Roman"/>
                <w:sz w:val="18"/>
                <w:szCs w:val="18"/>
              </w:rPr>
            </w:pPr>
          </w:p>
        </w:tc>
        <w:tc>
          <w:tcPr>
            <w:tcW w:w="993" w:type="dxa"/>
            <w:shd w:val="clear" w:color="000000" w:fill="FFFFFF"/>
            <w:vAlign w:val="center"/>
          </w:tcPr>
          <w:p w14:paraId="3D43D1F3"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000000" w:fill="FFFFFF"/>
            <w:vAlign w:val="center"/>
            <w:hideMark/>
          </w:tcPr>
          <w:p w14:paraId="6DDA37DC" w14:textId="77777777" w:rsidR="001C32C8" w:rsidRPr="00B0658A" w:rsidRDefault="001C32C8" w:rsidP="00004A41">
            <w:pPr>
              <w:spacing w:after="0" w:line="240" w:lineRule="auto"/>
              <w:jc w:val="center"/>
              <w:rPr>
                <w:rFonts w:ascii="Times New Roman" w:hAnsi="Times New Roman"/>
                <w:sz w:val="18"/>
                <w:szCs w:val="18"/>
              </w:rPr>
            </w:pPr>
          </w:p>
        </w:tc>
        <w:tc>
          <w:tcPr>
            <w:tcW w:w="780" w:type="dxa"/>
            <w:shd w:val="clear" w:color="000000" w:fill="FFFFFF"/>
            <w:vAlign w:val="center"/>
            <w:hideMark/>
          </w:tcPr>
          <w:p w14:paraId="679DD1EE"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000000" w:fill="FFFFFF"/>
            <w:vAlign w:val="center"/>
            <w:hideMark/>
          </w:tcPr>
          <w:p w14:paraId="2C8B7D97" w14:textId="77777777" w:rsidR="001C32C8" w:rsidRPr="00B0658A" w:rsidRDefault="001C32C8" w:rsidP="00004A41">
            <w:pPr>
              <w:spacing w:after="0" w:line="240" w:lineRule="auto"/>
              <w:jc w:val="center"/>
              <w:rPr>
                <w:rFonts w:ascii="Times New Roman" w:hAnsi="Times New Roman"/>
                <w:sz w:val="18"/>
                <w:szCs w:val="18"/>
              </w:rPr>
            </w:pPr>
          </w:p>
        </w:tc>
        <w:tc>
          <w:tcPr>
            <w:tcW w:w="780" w:type="dxa"/>
            <w:shd w:val="clear" w:color="000000" w:fill="FFFFFF"/>
            <w:vAlign w:val="center"/>
          </w:tcPr>
          <w:p w14:paraId="7E5DD36E"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000000" w:fill="FFFFFF"/>
            <w:vAlign w:val="center"/>
          </w:tcPr>
          <w:p w14:paraId="70853166" w14:textId="77777777" w:rsidR="001C32C8" w:rsidRPr="00B0658A" w:rsidRDefault="001C32C8" w:rsidP="00004A41">
            <w:pPr>
              <w:spacing w:after="0" w:line="240" w:lineRule="auto"/>
              <w:jc w:val="center"/>
              <w:rPr>
                <w:rFonts w:ascii="Times New Roman" w:hAnsi="Times New Roman"/>
                <w:sz w:val="18"/>
                <w:szCs w:val="18"/>
              </w:rPr>
            </w:pPr>
          </w:p>
        </w:tc>
        <w:tc>
          <w:tcPr>
            <w:tcW w:w="780" w:type="dxa"/>
            <w:shd w:val="clear" w:color="000000" w:fill="FFFFFF"/>
            <w:vAlign w:val="center"/>
          </w:tcPr>
          <w:p w14:paraId="40C4FB6F" w14:textId="77777777" w:rsidR="001C32C8" w:rsidRPr="00B0658A" w:rsidRDefault="001C32C8" w:rsidP="00004A41">
            <w:pPr>
              <w:spacing w:after="0" w:line="240" w:lineRule="auto"/>
              <w:jc w:val="center"/>
              <w:rPr>
                <w:rFonts w:ascii="Times New Roman" w:hAnsi="Times New Roman"/>
                <w:sz w:val="18"/>
                <w:szCs w:val="18"/>
              </w:rPr>
            </w:pPr>
          </w:p>
        </w:tc>
        <w:tc>
          <w:tcPr>
            <w:tcW w:w="1475" w:type="dxa"/>
            <w:shd w:val="clear" w:color="000000" w:fill="FFFFFF"/>
            <w:vAlign w:val="center"/>
          </w:tcPr>
          <w:p w14:paraId="5FEEA205" w14:textId="77777777" w:rsidR="001C32C8" w:rsidRPr="00B0658A" w:rsidRDefault="001C32C8" w:rsidP="00004A41">
            <w:pPr>
              <w:spacing w:after="0" w:line="240" w:lineRule="auto"/>
              <w:jc w:val="center"/>
              <w:rPr>
                <w:rFonts w:ascii="Times New Roman" w:hAnsi="Times New Roman"/>
                <w:sz w:val="18"/>
                <w:szCs w:val="18"/>
              </w:rPr>
            </w:pPr>
          </w:p>
        </w:tc>
      </w:tr>
      <w:tr w:rsidR="00F52FED" w:rsidRPr="00B0658A" w14:paraId="6ABF927F" w14:textId="77777777" w:rsidTr="00E66BA4">
        <w:trPr>
          <w:trHeight w:val="20"/>
        </w:trPr>
        <w:tc>
          <w:tcPr>
            <w:tcW w:w="846" w:type="dxa"/>
            <w:shd w:val="clear" w:color="000000" w:fill="FFFFFF"/>
            <w:vAlign w:val="center"/>
          </w:tcPr>
          <w:p w14:paraId="555E7C30" w14:textId="77777777" w:rsidR="001C32C8" w:rsidRPr="00B0658A" w:rsidRDefault="001C32C8" w:rsidP="00004A41">
            <w:pPr>
              <w:spacing w:after="0" w:line="240" w:lineRule="auto"/>
              <w:jc w:val="center"/>
              <w:rPr>
                <w:rFonts w:ascii="Times New Roman" w:hAnsi="Times New Roman"/>
                <w:sz w:val="18"/>
                <w:szCs w:val="18"/>
              </w:rPr>
            </w:pPr>
            <w:r w:rsidRPr="00B0658A">
              <w:rPr>
                <w:rFonts w:ascii="Times New Roman" w:hAnsi="Times New Roman"/>
                <w:sz w:val="18"/>
                <w:szCs w:val="18"/>
              </w:rPr>
              <w:lastRenderedPageBreak/>
              <w:t>10.2</w:t>
            </w:r>
          </w:p>
        </w:tc>
        <w:tc>
          <w:tcPr>
            <w:tcW w:w="1559" w:type="dxa"/>
            <w:shd w:val="clear" w:color="auto" w:fill="auto"/>
            <w:vAlign w:val="center"/>
            <w:hideMark/>
          </w:tcPr>
          <w:p w14:paraId="24CF2AAF" w14:textId="77777777" w:rsidR="001C32C8" w:rsidRPr="00B0658A" w:rsidRDefault="001C32C8" w:rsidP="00004A41">
            <w:pPr>
              <w:spacing w:after="0" w:line="240" w:lineRule="auto"/>
              <w:rPr>
                <w:rFonts w:ascii="Times New Roman" w:hAnsi="Times New Roman"/>
                <w:sz w:val="18"/>
                <w:szCs w:val="18"/>
              </w:rPr>
            </w:pPr>
            <w:r w:rsidRPr="00B0658A">
              <w:rPr>
                <w:rFonts w:ascii="Times New Roman" w:hAnsi="Times New Roman"/>
                <w:sz w:val="18"/>
                <w:szCs w:val="18"/>
              </w:rPr>
              <w:t>Средства обработки и визуализации массивов данных/ Средства обработки и анализа геологических и геофизических данных</w:t>
            </w:r>
          </w:p>
        </w:tc>
        <w:tc>
          <w:tcPr>
            <w:tcW w:w="1418" w:type="dxa"/>
            <w:shd w:val="clear" w:color="000000" w:fill="FFFFFF"/>
            <w:hideMark/>
          </w:tcPr>
          <w:p w14:paraId="3AA54EF8" w14:textId="77777777" w:rsidR="001C32C8" w:rsidRPr="00B0658A" w:rsidRDefault="001C32C8" w:rsidP="00004A41">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44" w:type="dxa"/>
            <w:shd w:val="clear" w:color="000000" w:fill="FFFFFF"/>
            <w:vAlign w:val="center"/>
          </w:tcPr>
          <w:p w14:paraId="72D3604D"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000000" w:fill="FFFFFF"/>
            <w:vAlign w:val="center"/>
            <w:hideMark/>
          </w:tcPr>
          <w:p w14:paraId="32224C81"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000000" w:fill="FFFFFF"/>
            <w:vAlign w:val="center"/>
            <w:hideMark/>
          </w:tcPr>
          <w:p w14:paraId="68DDC54E"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000000" w:fill="FFFFFF"/>
            <w:vAlign w:val="center"/>
            <w:hideMark/>
          </w:tcPr>
          <w:p w14:paraId="1EE73660" w14:textId="77777777" w:rsidR="001C32C8" w:rsidRPr="00B0658A" w:rsidRDefault="001C32C8" w:rsidP="00004A41">
            <w:pPr>
              <w:spacing w:after="0" w:line="240" w:lineRule="auto"/>
              <w:jc w:val="center"/>
              <w:rPr>
                <w:rFonts w:ascii="Times New Roman" w:hAnsi="Times New Roman"/>
                <w:sz w:val="18"/>
                <w:szCs w:val="18"/>
              </w:rPr>
            </w:pPr>
          </w:p>
        </w:tc>
        <w:tc>
          <w:tcPr>
            <w:tcW w:w="993" w:type="dxa"/>
            <w:shd w:val="clear" w:color="000000" w:fill="FFFFFF"/>
            <w:vAlign w:val="center"/>
          </w:tcPr>
          <w:p w14:paraId="271DD013"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000000" w:fill="FFFFFF"/>
            <w:vAlign w:val="center"/>
            <w:hideMark/>
          </w:tcPr>
          <w:p w14:paraId="3DC44284" w14:textId="77777777" w:rsidR="001C32C8" w:rsidRPr="00B0658A" w:rsidRDefault="001C32C8" w:rsidP="00004A41">
            <w:pPr>
              <w:spacing w:after="0" w:line="240" w:lineRule="auto"/>
              <w:jc w:val="center"/>
              <w:rPr>
                <w:rFonts w:ascii="Times New Roman" w:hAnsi="Times New Roman"/>
                <w:sz w:val="18"/>
                <w:szCs w:val="18"/>
              </w:rPr>
            </w:pPr>
          </w:p>
        </w:tc>
        <w:tc>
          <w:tcPr>
            <w:tcW w:w="780" w:type="dxa"/>
            <w:shd w:val="clear" w:color="000000" w:fill="FFFFFF"/>
            <w:vAlign w:val="center"/>
            <w:hideMark/>
          </w:tcPr>
          <w:p w14:paraId="2D38A516"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000000" w:fill="FFFFFF"/>
            <w:vAlign w:val="center"/>
            <w:hideMark/>
          </w:tcPr>
          <w:p w14:paraId="7121FC61" w14:textId="77777777" w:rsidR="001C32C8" w:rsidRPr="00B0658A" w:rsidRDefault="001C32C8" w:rsidP="00004A41">
            <w:pPr>
              <w:spacing w:after="0" w:line="240" w:lineRule="auto"/>
              <w:jc w:val="center"/>
              <w:rPr>
                <w:rFonts w:ascii="Times New Roman" w:hAnsi="Times New Roman"/>
                <w:sz w:val="18"/>
                <w:szCs w:val="18"/>
              </w:rPr>
            </w:pPr>
          </w:p>
        </w:tc>
        <w:tc>
          <w:tcPr>
            <w:tcW w:w="780" w:type="dxa"/>
            <w:shd w:val="clear" w:color="000000" w:fill="FFFFFF"/>
            <w:vAlign w:val="center"/>
          </w:tcPr>
          <w:p w14:paraId="3FDC08B4"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000000" w:fill="FFFFFF"/>
            <w:vAlign w:val="center"/>
          </w:tcPr>
          <w:p w14:paraId="7746B7C8" w14:textId="77777777" w:rsidR="001C32C8" w:rsidRPr="00B0658A" w:rsidRDefault="001C32C8" w:rsidP="00004A41">
            <w:pPr>
              <w:spacing w:after="0" w:line="240" w:lineRule="auto"/>
              <w:jc w:val="center"/>
              <w:rPr>
                <w:rFonts w:ascii="Times New Roman" w:hAnsi="Times New Roman"/>
                <w:sz w:val="18"/>
                <w:szCs w:val="18"/>
              </w:rPr>
            </w:pPr>
          </w:p>
        </w:tc>
        <w:tc>
          <w:tcPr>
            <w:tcW w:w="780" w:type="dxa"/>
            <w:shd w:val="clear" w:color="000000" w:fill="FFFFFF"/>
            <w:vAlign w:val="center"/>
          </w:tcPr>
          <w:p w14:paraId="6F055E0D" w14:textId="77777777" w:rsidR="001C32C8" w:rsidRPr="00B0658A" w:rsidRDefault="001C32C8" w:rsidP="00004A41">
            <w:pPr>
              <w:spacing w:after="0" w:line="240" w:lineRule="auto"/>
              <w:jc w:val="center"/>
              <w:rPr>
                <w:rFonts w:ascii="Times New Roman" w:hAnsi="Times New Roman"/>
                <w:sz w:val="18"/>
                <w:szCs w:val="18"/>
              </w:rPr>
            </w:pPr>
          </w:p>
        </w:tc>
        <w:tc>
          <w:tcPr>
            <w:tcW w:w="1475" w:type="dxa"/>
            <w:shd w:val="clear" w:color="000000" w:fill="FFFFFF"/>
            <w:vAlign w:val="center"/>
          </w:tcPr>
          <w:p w14:paraId="3BF6163A" w14:textId="77777777" w:rsidR="001C32C8" w:rsidRPr="00B0658A" w:rsidRDefault="001C32C8" w:rsidP="00004A41">
            <w:pPr>
              <w:spacing w:after="0" w:line="240" w:lineRule="auto"/>
              <w:jc w:val="center"/>
              <w:rPr>
                <w:rFonts w:ascii="Times New Roman" w:hAnsi="Times New Roman"/>
                <w:sz w:val="18"/>
                <w:szCs w:val="18"/>
              </w:rPr>
            </w:pPr>
          </w:p>
        </w:tc>
      </w:tr>
      <w:tr w:rsidR="00F52FED" w:rsidRPr="00B0658A" w14:paraId="41B122B0" w14:textId="77777777" w:rsidTr="00E66BA4">
        <w:trPr>
          <w:trHeight w:val="20"/>
        </w:trPr>
        <w:tc>
          <w:tcPr>
            <w:tcW w:w="846" w:type="dxa"/>
            <w:shd w:val="clear" w:color="000000" w:fill="FFFFFF"/>
            <w:vAlign w:val="center"/>
          </w:tcPr>
          <w:p w14:paraId="526413C3" w14:textId="77777777" w:rsidR="001C32C8" w:rsidRPr="00B0658A" w:rsidRDefault="001C32C8" w:rsidP="00004A41">
            <w:pPr>
              <w:spacing w:after="0" w:line="240" w:lineRule="auto"/>
              <w:jc w:val="center"/>
              <w:rPr>
                <w:rFonts w:ascii="Times New Roman" w:hAnsi="Times New Roman"/>
                <w:sz w:val="18"/>
                <w:szCs w:val="18"/>
              </w:rPr>
            </w:pPr>
            <w:r w:rsidRPr="00B0658A">
              <w:rPr>
                <w:rFonts w:ascii="Times New Roman" w:hAnsi="Times New Roman"/>
                <w:sz w:val="18"/>
                <w:szCs w:val="18"/>
              </w:rPr>
              <w:t>10.3</w:t>
            </w:r>
          </w:p>
        </w:tc>
        <w:tc>
          <w:tcPr>
            <w:tcW w:w="1559" w:type="dxa"/>
            <w:shd w:val="clear" w:color="auto" w:fill="auto"/>
            <w:vAlign w:val="center"/>
            <w:hideMark/>
          </w:tcPr>
          <w:p w14:paraId="645702D1" w14:textId="77777777" w:rsidR="001C32C8" w:rsidRPr="00B0658A" w:rsidRDefault="001C32C8" w:rsidP="00004A41">
            <w:pPr>
              <w:spacing w:after="0" w:line="240" w:lineRule="auto"/>
              <w:rPr>
                <w:rFonts w:ascii="Times New Roman" w:hAnsi="Times New Roman"/>
                <w:sz w:val="18"/>
                <w:szCs w:val="18"/>
              </w:rPr>
            </w:pPr>
            <w:r w:rsidRPr="00B0658A">
              <w:rPr>
                <w:rFonts w:ascii="Times New Roman" w:hAnsi="Times New Roman"/>
                <w:sz w:val="18"/>
                <w:szCs w:val="18"/>
              </w:rPr>
              <w:t>Средства обработки и визуализации массивов данных/ Средства математического и имитационного моделирования</w:t>
            </w:r>
          </w:p>
        </w:tc>
        <w:tc>
          <w:tcPr>
            <w:tcW w:w="1418" w:type="dxa"/>
            <w:shd w:val="clear" w:color="000000" w:fill="FFFFFF"/>
            <w:hideMark/>
          </w:tcPr>
          <w:p w14:paraId="79140A1A" w14:textId="77777777" w:rsidR="001C32C8" w:rsidRPr="00B0658A" w:rsidRDefault="001C32C8" w:rsidP="00004A41">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44" w:type="dxa"/>
            <w:shd w:val="clear" w:color="000000" w:fill="FFFFFF"/>
            <w:vAlign w:val="center"/>
          </w:tcPr>
          <w:p w14:paraId="10D48328"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000000" w:fill="FFFFFF"/>
            <w:vAlign w:val="center"/>
            <w:hideMark/>
          </w:tcPr>
          <w:p w14:paraId="43B844D0"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000000" w:fill="FFFFFF"/>
            <w:vAlign w:val="center"/>
            <w:hideMark/>
          </w:tcPr>
          <w:p w14:paraId="0F34AAA5"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000000" w:fill="FFFFFF"/>
            <w:vAlign w:val="center"/>
            <w:hideMark/>
          </w:tcPr>
          <w:p w14:paraId="72832F90" w14:textId="77777777" w:rsidR="001C32C8" w:rsidRPr="00B0658A" w:rsidRDefault="001C32C8" w:rsidP="00004A41">
            <w:pPr>
              <w:spacing w:after="0" w:line="240" w:lineRule="auto"/>
              <w:jc w:val="center"/>
              <w:rPr>
                <w:rFonts w:ascii="Times New Roman" w:hAnsi="Times New Roman"/>
                <w:sz w:val="18"/>
                <w:szCs w:val="18"/>
              </w:rPr>
            </w:pPr>
          </w:p>
        </w:tc>
        <w:tc>
          <w:tcPr>
            <w:tcW w:w="993" w:type="dxa"/>
            <w:shd w:val="clear" w:color="000000" w:fill="FFFFFF"/>
            <w:vAlign w:val="center"/>
          </w:tcPr>
          <w:p w14:paraId="2DC4AD49"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000000" w:fill="FFFFFF"/>
            <w:vAlign w:val="center"/>
            <w:hideMark/>
          </w:tcPr>
          <w:p w14:paraId="6D389AAA" w14:textId="77777777" w:rsidR="001C32C8" w:rsidRPr="00B0658A" w:rsidRDefault="001C32C8" w:rsidP="00004A41">
            <w:pPr>
              <w:spacing w:after="0" w:line="240" w:lineRule="auto"/>
              <w:jc w:val="center"/>
              <w:rPr>
                <w:rFonts w:ascii="Times New Roman" w:hAnsi="Times New Roman"/>
                <w:sz w:val="18"/>
                <w:szCs w:val="18"/>
              </w:rPr>
            </w:pPr>
          </w:p>
        </w:tc>
        <w:tc>
          <w:tcPr>
            <w:tcW w:w="780" w:type="dxa"/>
            <w:shd w:val="clear" w:color="000000" w:fill="FFFFFF"/>
            <w:vAlign w:val="center"/>
            <w:hideMark/>
          </w:tcPr>
          <w:p w14:paraId="2F926119"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000000" w:fill="FFFFFF"/>
            <w:vAlign w:val="center"/>
            <w:hideMark/>
          </w:tcPr>
          <w:p w14:paraId="1DA3C0F2" w14:textId="77777777" w:rsidR="001C32C8" w:rsidRPr="00B0658A" w:rsidRDefault="001C32C8" w:rsidP="00004A41">
            <w:pPr>
              <w:spacing w:after="0" w:line="240" w:lineRule="auto"/>
              <w:jc w:val="center"/>
              <w:rPr>
                <w:rFonts w:ascii="Times New Roman" w:hAnsi="Times New Roman"/>
                <w:sz w:val="18"/>
                <w:szCs w:val="18"/>
              </w:rPr>
            </w:pPr>
          </w:p>
        </w:tc>
        <w:tc>
          <w:tcPr>
            <w:tcW w:w="780" w:type="dxa"/>
            <w:shd w:val="clear" w:color="000000" w:fill="FFFFFF"/>
            <w:vAlign w:val="center"/>
          </w:tcPr>
          <w:p w14:paraId="2E2DB49E"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000000" w:fill="FFFFFF"/>
            <w:vAlign w:val="center"/>
          </w:tcPr>
          <w:p w14:paraId="2A76EDC9" w14:textId="77777777" w:rsidR="001C32C8" w:rsidRPr="00B0658A" w:rsidRDefault="001C32C8" w:rsidP="00004A41">
            <w:pPr>
              <w:spacing w:after="0" w:line="240" w:lineRule="auto"/>
              <w:jc w:val="center"/>
              <w:rPr>
                <w:rFonts w:ascii="Times New Roman" w:hAnsi="Times New Roman"/>
                <w:sz w:val="18"/>
                <w:szCs w:val="18"/>
              </w:rPr>
            </w:pPr>
          </w:p>
        </w:tc>
        <w:tc>
          <w:tcPr>
            <w:tcW w:w="780" w:type="dxa"/>
            <w:shd w:val="clear" w:color="000000" w:fill="FFFFFF"/>
            <w:vAlign w:val="center"/>
          </w:tcPr>
          <w:p w14:paraId="2F8D1070" w14:textId="77777777" w:rsidR="001C32C8" w:rsidRPr="00B0658A" w:rsidRDefault="001C32C8" w:rsidP="00004A41">
            <w:pPr>
              <w:spacing w:after="0" w:line="240" w:lineRule="auto"/>
              <w:jc w:val="center"/>
              <w:rPr>
                <w:rFonts w:ascii="Times New Roman" w:hAnsi="Times New Roman"/>
                <w:sz w:val="18"/>
                <w:szCs w:val="18"/>
              </w:rPr>
            </w:pPr>
          </w:p>
        </w:tc>
        <w:tc>
          <w:tcPr>
            <w:tcW w:w="1475" w:type="dxa"/>
            <w:shd w:val="clear" w:color="000000" w:fill="FFFFFF"/>
            <w:vAlign w:val="center"/>
          </w:tcPr>
          <w:p w14:paraId="51BC590D" w14:textId="77777777" w:rsidR="001C32C8" w:rsidRPr="00B0658A" w:rsidRDefault="001C32C8" w:rsidP="00004A41">
            <w:pPr>
              <w:spacing w:after="0" w:line="240" w:lineRule="auto"/>
              <w:jc w:val="center"/>
              <w:rPr>
                <w:rFonts w:ascii="Times New Roman" w:hAnsi="Times New Roman"/>
                <w:sz w:val="18"/>
                <w:szCs w:val="18"/>
              </w:rPr>
            </w:pPr>
          </w:p>
        </w:tc>
      </w:tr>
      <w:tr w:rsidR="00F52FED" w:rsidRPr="00B0658A" w14:paraId="76725C7D" w14:textId="77777777" w:rsidTr="00E66BA4">
        <w:trPr>
          <w:trHeight w:val="20"/>
        </w:trPr>
        <w:tc>
          <w:tcPr>
            <w:tcW w:w="846" w:type="dxa"/>
            <w:shd w:val="clear" w:color="000000" w:fill="FFFFFF"/>
            <w:vAlign w:val="center"/>
          </w:tcPr>
          <w:p w14:paraId="438C810B" w14:textId="77777777" w:rsidR="001C32C8" w:rsidRPr="00B0658A" w:rsidRDefault="001C32C8" w:rsidP="00004A41">
            <w:pPr>
              <w:spacing w:after="0" w:line="240" w:lineRule="auto"/>
              <w:jc w:val="center"/>
              <w:rPr>
                <w:rFonts w:ascii="Times New Roman" w:hAnsi="Times New Roman"/>
                <w:sz w:val="18"/>
                <w:szCs w:val="18"/>
              </w:rPr>
            </w:pPr>
            <w:r w:rsidRPr="00B0658A">
              <w:rPr>
                <w:rFonts w:ascii="Times New Roman" w:hAnsi="Times New Roman"/>
                <w:sz w:val="18"/>
                <w:szCs w:val="18"/>
              </w:rPr>
              <w:t>10.4</w:t>
            </w:r>
          </w:p>
        </w:tc>
        <w:tc>
          <w:tcPr>
            <w:tcW w:w="1559" w:type="dxa"/>
            <w:shd w:val="clear" w:color="auto" w:fill="auto"/>
            <w:vAlign w:val="center"/>
            <w:hideMark/>
          </w:tcPr>
          <w:p w14:paraId="003F6B4D" w14:textId="77777777" w:rsidR="001C32C8" w:rsidRPr="00B0658A" w:rsidRDefault="001C32C8" w:rsidP="00004A41">
            <w:pPr>
              <w:spacing w:after="0" w:line="240" w:lineRule="auto"/>
              <w:rPr>
                <w:rFonts w:ascii="Times New Roman" w:hAnsi="Times New Roman"/>
                <w:sz w:val="18"/>
                <w:szCs w:val="18"/>
              </w:rPr>
            </w:pPr>
            <w:r w:rsidRPr="00B0658A">
              <w:rPr>
                <w:rFonts w:ascii="Times New Roman" w:hAnsi="Times New Roman"/>
                <w:sz w:val="18"/>
                <w:szCs w:val="18"/>
              </w:rPr>
              <w:t>Средства обработки и визуализации массивов данных/ Средства управления информационными ресурсами и средства управления основными данными (ECM, MDM)</w:t>
            </w:r>
          </w:p>
        </w:tc>
        <w:tc>
          <w:tcPr>
            <w:tcW w:w="1418" w:type="dxa"/>
            <w:shd w:val="clear" w:color="000000" w:fill="FFFFFF"/>
            <w:hideMark/>
          </w:tcPr>
          <w:p w14:paraId="1C041675" w14:textId="77777777" w:rsidR="001C32C8" w:rsidRPr="00B0658A" w:rsidRDefault="001C32C8" w:rsidP="00004A41">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44" w:type="dxa"/>
            <w:shd w:val="clear" w:color="000000" w:fill="FFFFFF"/>
            <w:vAlign w:val="center"/>
          </w:tcPr>
          <w:p w14:paraId="63DE43CB"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000000" w:fill="FFFFFF"/>
            <w:vAlign w:val="center"/>
            <w:hideMark/>
          </w:tcPr>
          <w:p w14:paraId="60DBC14C"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000000" w:fill="FFFFFF"/>
            <w:vAlign w:val="center"/>
            <w:hideMark/>
          </w:tcPr>
          <w:p w14:paraId="699378CB"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000000" w:fill="FFFFFF"/>
            <w:vAlign w:val="center"/>
            <w:hideMark/>
          </w:tcPr>
          <w:p w14:paraId="598DEB12" w14:textId="77777777" w:rsidR="001C32C8" w:rsidRPr="00B0658A" w:rsidRDefault="001C32C8" w:rsidP="00004A41">
            <w:pPr>
              <w:spacing w:after="0" w:line="240" w:lineRule="auto"/>
              <w:jc w:val="center"/>
              <w:rPr>
                <w:rFonts w:ascii="Times New Roman" w:hAnsi="Times New Roman"/>
                <w:sz w:val="18"/>
                <w:szCs w:val="18"/>
              </w:rPr>
            </w:pPr>
          </w:p>
        </w:tc>
        <w:tc>
          <w:tcPr>
            <w:tcW w:w="993" w:type="dxa"/>
            <w:shd w:val="clear" w:color="000000" w:fill="FFFFFF"/>
            <w:vAlign w:val="center"/>
          </w:tcPr>
          <w:p w14:paraId="347FFDE3"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000000" w:fill="FFFFFF"/>
            <w:vAlign w:val="center"/>
            <w:hideMark/>
          </w:tcPr>
          <w:p w14:paraId="2D3BB9F8" w14:textId="77777777" w:rsidR="001C32C8" w:rsidRPr="00B0658A" w:rsidRDefault="001C32C8" w:rsidP="00004A41">
            <w:pPr>
              <w:spacing w:after="0" w:line="240" w:lineRule="auto"/>
              <w:jc w:val="center"/>
              <w:rPr>
                <w:rFonts w:ascii="Times New Roman" w:hAnsi="Times New Roman"/>
                <w:sz w:val="18"/>
                <w:szCs w:val="18"/>
              </w:rPr>
            </w:pPr>
          </w:p>
        </w:tc>
        <w:tc>
          <w:tcPr>
            <w:tcW w:w="780" w:type="dxa"/>
            <w:shd w:val="clear" w:color="000000" w:fill="FFFFFF"/>
            <w:vAlign w:val="center"/>
            <w:hideMark/>
          </w:tcPr>
          <w:p w14:paraId="675A2407"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000000" w:fill="FFFFFF"/>
            <w:vAlign w:val="center"/>
            <w:hideMark/>
          </w:tcPr>
          <w:p w14:paraId="0824FE95" w14:textId="77777777" w:rsidR="001C32C8" w:rsidRPr="00B0658A" w:rsidRDefault="001C32C8" w:rsidP="00004A41">
            <w:pPr>
              <w:spacing w:after="0" w:line="240" w:lineRule="auto"/>
              <w:jc w:val="center"/>
              <w:rPr>
                <w:rFonts w:ascii="Times New Roman" w:hAnsi="Times New Roman"/>
                <w:sz w:val="18"/>
                <w:szCs w:val="18"/>
              </w:rPr>
            </w:pPr>
          </w:p>
        </w:tc>
        <w:tc>
          <w:tcPr>
            <w:tcW w:w="780" w:type="dxa"/>
            <w:shd w:val="clear" w:color="000000" w:fill="FFFFFF"/>
            <w:vAlign w:val="center"/>
          </w:tcPr>
          <w:p w14:paraId="0E474C09"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000000" w:fill="FFFFFF"/>
            <w:vAlign w:val="center"/>
          </w:tcPr>
          <w:p w14:paraId="603CA7B2" w14:textId="77777777" w:rsidR="001C32C8" w:rsidRPr="00B0658A" w:rsidRDefault="001C32C8" w:rsidP="00004A41">
            <w:pPr>
              <w:spacing w:after="0" w:line="240" w:lineRule="auto"/>
              <w:jc w:val="center"/>
              <w:rPr>
                <w:rFonts w:ascii="Times New Roman" w:hAnsi="Times New Roman"/>
                <w:sz w:val="18"/>
                <w:szCs w:val="18"/>
              </w:rPr>
            </w:pPr>
          </w:p>
        </w:tc>
        <w:tc>
          <w:tcPr>
            <w:tcW w:w="780" w:type="dxa"/>
            <w:shd w:val="clear" w:color="000000" w:fill="FFFFFF"/>
            <w:vAlign w:val="center"/>
          </w:tcPr>
          <w:p w14:paraId="11FA3ADF" w14:textId="77777777" w:rsidR="001C32C8" w:rsidRPr="00B0658A" w:rsidRDefault="001C32C8" w:rsidP="00004A41">
            <w:pPr>
              <w:spacing w:after="0" w:line="240" w:lineRule="auto"/>
              <w:jc w:val="center"/>
              <w:rPr>
                <w:rFonts w:ascii="Times New Roman" w:hAnsi="Times New Roman"/>
                <w:sz w:val="18"/>
                <w:szCs w:val="18"/>
              </w:rPr>
            </w:pPr>
          </w:p>
        </w:tc>
        <w:tc>
          <w:tcPr>
            <w:tcW w:w="1475" w:type="dxa"/>
            <w:shd w:val="clear" w:color="000000" w:fill="FFFFFF"/>
            <w:vAlign w:val="center"/>
          </w:tcPr>
          <w:p w14:paraId="47B1435F" w14:textId="77777777" w:rsidR="001C32C8" w:rsidRPr="00B0658A" w:rsidRDefault="001C32C8" w:rsidP="00004A41">
            <w:pPr>
              <w:spacing w:after="0" w:line="240" w:lineRule="auto"/>
              <w:jc w:val="center"/>
              <w:rPr>
                <w:rFonts w:ascii="Times New Roman" w:hAnsi="Times New Roman"/>
                <w:sz w:val="18"/>
                <w:szCs w:val="18"/>
              </w:rPr>
            </w:pPr>
          </w:p>
        </w:tc>
      </w:tr>
      <w:tr w:rsidR="00F52FED" w:rsidRPr="00B0658A" w14:paraId="6A5EFF3C" w14:textId="77777777" w:rsidTr="00E66BA4">
        <w:trPr>
          <w:trHeight w:val="20"/>
        </w:trPr>
        <w:tc>
          <w:tcPr>
            <w:tcW w:w="846" w:type="dxa"/>
            <w:shd w:val="clear" w:color="000000" w:fill="FFFFFF"/>
            <w:vAlign w:val="center"/>
          </w:tcPr>
          <w:p w14:paraId="1C532478" w14:textId="77777777" w:rsidR="001C32C8" w:rsidRPr="00B0658A" w:rsidRDefault="001C32C8" w:rsidP="00004A41">
            <w:pPr>
              <w:spacing w:after="0" w:line="240" w:lineRule="auto"/>
              <w:jc w:val="center"/>
              <w:rPr>
                <w:rFonts w:ascii="Times New Roman" w:hAnsi="Times New Roman"/>
                <w:sz w:val="18"/>
                <w:szCs w:val="18"/>
              </w:rPr>
            </w:pPr>
            <w:r w:rsidRPr="00B0658A">
              <w:rPr>
                <w:rFonts w:ascii="Times New Roman" w:hAnsi="Times New Roman"/>
                <w:sz w:val="18"/>
                <w:szCs w:val="18"/>
              </w:rPr>
              <w:t>11.1</w:t>
            </w:r>
          </w:p>
        </w:tc>
        <w:tc>
          <w:tcPr>
            <w:tcW w:w="1559" w:type="dxa"/>
            <w:shd w:val="clear" w:color="auto" w:fill="auto"/>
            <w:vAlign w:val="center"/>
            <w:hideMark/>
          </w:tcPr>
          <w:p w14:paraId="3CAAC937" w14:textId="77777777" w:rsidR="001C32C8" w:rsidRPr="00B0658A" w:rsidRDefault="001C32C8" w:rsidP="00004A41">
            <w:pPr>
              <w:spacing w:after="0" w:line="240" w:lineRule="auto"/>
              <w:rPr>
                <w:rFonts w:ascii="Times New Roman" w:hAnsi="Times New Roman"/>
                <w:sz w:val="18"/>
                <w:szCs w:val="18"/>
              </w:rPr>
            </w:pPr>
            <w:r w:rsidRPr="00B0658A">
              <w:rPr>
                <w:rFonts w:ascii="Times New Roman" w:hAnsi="Times New Roman"/>
                <w:sz w:val="18"/>
                <w:szCs w:val="18"/>
              </w:rPr>
              <w:t>Средства анализа данных/ Инструменты извлечения и трансформации данных (ETL)</w:t>
            </w:r>
          </w:p>
        </w:tc>
        <w:tc>
          <w:tcPr>
            <w:tcW w:w="1418" w:type="dxa"/>
            <w:shd w:val="clear" w:color="000000" w:fill="FFFFFF"/>
            <w:hideMark/>
          </w:tcPr>
          <w:p w14:paraId="7EF6109A" w14:textId="77777777" w:rsidR="001C32C8" w:rsidRPr="00B0658A" w:rsidRDefault="001C32C8" w:rsidP="00004A41">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44" w:type="dxa"/>
            <w:shd w:val="clear" w:color="000000" w:fill="FFFFFF"/>
            <w:vAlign w:val="center"/>
          </w:tcPr>
          <w:p w14:paraId="40E7EB0B"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000000" w:fill="FFFFFF"/>
            <w:vAlign w:val="center"/>
            <w:hideMark/>
          </w:tcPr>
          <w:p w14:paraId="1C30CBA8"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000000" w:fill="FFFFFF"/>
            <w:vAlign w:val="center"/>
            <w:hideMark/>
          </w:tcPr>
          <w:p w14:paraId="1701AA86"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000000" w:fill="FFFFFF"/>
            <w:vAlign w:val="center"/>
            <w:hideMark/>
          </w:tcPr>
          <w:p w14:paraId="35F79CE3" w14:textId="77777777" w:rsidR="001C32C8" w:rsidRPr="00B0658A" w:rsidRDefault="001C32C8" w:rsidP="00004A41">
            <w:pPr>
              <w:spacing w:after="0" w:line="240" w:lineRule="auto"/>
              <w:jc w:val="center"/>
              <w:rPr>
                <w:rFonts w:ascii="Times New Roman" w:hAnsi="Times New Roman"/>
                <w:sz w:val="18"/>
                <w:szCs w:val="18"/>
              </w:rPr>
            </w:pPr>
          </w:p>
        </w:tc>
        <w:tc>
          <w:tcPr>
            <w:tcW w:w="993" w:type="dxa"/>
            <w:shd w:val="clear" w:color="000000" w:fill="FFFFFF"/>
            <w:vAlign w:val="center"/>
          </w:tcPr>
          <w:p w14:paraId="774A91DE"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000000" w:fill="FFFFFF"/>
            <w:vAlign w:val="center"/>
            <w:hideMark/>
          </w:tcPr>
          <w:p w14:paraId="02CAF6F3" w14:textId="77777777" w:rsidR="001C32C8" w:rsidRPr="00B0658A" w:rsidRDefault="001C32C8" w:rsidP="00004A41">
            <w:pPr>
              <w:spacing w:after="0" w:line="240" w:lineRule="auto"/>
              <w:jc w:val="center"/>
              <w:rPr>
                <w:rFonts w:ascii="Times New Roman" w:hAnsi="Times New Roman"/>
                <w:sz w:val="18"/>
                <w:szCs w:val="18"/>
              </w:rPr>
            </w:pPr>
          </w:p>
        </w:tc>
        <w:tc>
          <w:tcPr>
            <w:tcW w:w="780" w:type="dxa"/>
            <w:shd w:val="clear" w:color="000000" w:fill="FFFFFF"/>
            <w:vAlign w:val="center"/>
            <w:hideMark/>
          </w:tcPr>
          <w:p w14:paraId="3F708126"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000000" w:fill="FFFFFF"/>
            <w:vAlign w:val="center"/>
            <w:hideMark/>
          </w:tcPr>
          <w:p w14:paraId="5A17637A" w14:textId="77777777" w:rsidR="001C32C8" w:rsidRPr="00B0658A" w:rsidRDefault="001C32C8" w:rsidP="00004A41">
            <w:pPr>
              <w:spacing w:after="0" w:line="240" w:lineRule="auto"/>
              <w:jc w:val="center"/>
              <w:rPr>
                <w:rFonts w:ascii="Times New Roman" w:hAnsi="Times New Roman"/>
                <w:sz w:val="18"/>
                <w:szCs w:val="18"/>
              </w:rPr>
            </w:pPr>
          </w:p>
        </w:tc>
        <w:tc>
          <w:tcPr>
            <w:tcW w:w="780" w:type="dxa"/>
            <w:shd w:val="clear" w:color="000000" w:fill="FFFFFF"/>
            <w:vAlign w:val="center"/>
          </w:tcPr>
          <w:p w14:paraId="4E50138A"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000000" w:fill="FFFFFF"/>
            <w:vAlign w:val="center"/>
          </w:tcPr>
          <w:p w14:paraId="710A7543" w14:textId="77777777" w:rsidR="001C32C8" w:rsidRPr="00B0658A" w:rsidRDefault="001C32C8" w:rsidP="00004A41">
            <w:pPr>
              <w:spacing w:after="0" w:line="240" w:lineRule="auto"/>
              <w:jc w:val="center"/>
              <w:rPr>
                <w:rFonts w:ascii="Times New Roman" w:hAnsi="Times New Roman"/>
                <w:sz w:val="18"/>
                <w:szCs w:val="18"/>
              </w:rPr>
            </w:pPr>
          </w:p>
        </w:tc>
        <w:tc>
          <w:tcPr>
            <w:tcW w:w="780" w:type="dxa"/>
            <w:shd w:val="clear" w:color="000000" w:fill="FFFFFF"/>
            <w:vAlign w:val="center"/>
          </w:tcPr>
          <w:p w14:paraId="39418D44" w14:textId="77777777" w:rsidR="001C32C8" w:rsidRPr="00B0658A" w:rsidRDefault="001C32C8" w:rsidP="00004A41">
            <w:pPr>
              <w:spacing w:after="0" w:line="240" w:lineRule="auto"/>
              <w:jc w:val="center"/>
              <w:rPr>
                <w:rFonts w:ascii="Times New Roman" w:hAnsi="Times New Roman"/>
                <w:sz w:val="18"/>
                <w:szCs w:val="18"/>
              </w:rPr>
            </w:pPr>
          </w:p>
        </w:tc>
        <w:tc>
          <w:tcPr>
            <w:tcW w:w="1475" w:type="dxa"/>
            <w:shd w:val="clear" w:color="000000" w:fill="FFFFFF"/>
            <w:vAlign w:val="center"/>
          </w:tcPr>
          <w:p w14:paraId="22D54258" w14:textId="77777777" w:rsidR="001C32C8" w:rsidRPr="00B0658A" w:rsidRDefault="001C32C8" w:rsidP="00004A41">
            <w:pPr>
              <w:spacing w:after="0" w:line="240" w:lineRule="auto"/>
              <w:jc w:val="center"/>
              <w:rPr>
                <w:rFonts w:ascii="Times New Roman" w:hAnsi="Times New Roman"/>
                <w:sz w:val="18"/>
                <w:szCs w:val="18"/>
              </w:rPr>
            </w:pPr>
          </w:p>
        </w:tc>
      </w:tr>
      <w:tr w:rsidR="00F52FED" w:rsidRPr="00B0658A" w14:paraId="121B7903" w14:textId="77777777" w:rsidTr="00E66BA4">
        <w:trPr>
          <w:trHeight w:val="20"/>
        </w:trPr>
        <w:tc>
          <w:tcPr>
            <w:tcW w:w="846" w:type="dxa"/>
            <w:shd w:val="clear" w:color="000000" w:fill="FFFFFF"/>
            <w:vAlign w:val="center"/>
          </w:tcPr>
          <w:p w14:paraId="597295C2" w14:textId="77777777" w:rsidR="001C32C8" w:rsidRPr="00B0658A" w:rsidRDefault="001C32C8" w:rsidP="00004A41">
            <w:pPr>
              <w:spacing w:after="0" w:line="240" w:lineRule="auto"/>
              <w:jc w:val="center"/>
              <w:rPr>
                <w:rFonts w:ascii="Times New Roman" w:hAnsi="Times New Roman"/>
                <w:sz w:val="18"/>
                <w:szCs w:val="18"/>
              </w:rPr>
            </w:pPr>
            <w:r w:rsidRPr="00B0658A">
              <w:rPr>
                <w:rFonts w:ascii="Times New Roman" w:hAnsi="Times New Roman"/>
                <w:sz w:val="18"/>
                <w:szCs w:val="18"/>
              </w:rPr>
              <w:lastRenderedPageBreak/>
              <w:t>11.2</w:t>
            </w:r>
          </w:p>
        </w:tc>
        <w:tc>
          <w:tcPr>
            <w:tcW w:w="1559" w:type="dxa"/>
            <w:shd w:val="clear" w:color="auto" w:fill="auto"/>
            <w:vAlign w:val="center"/>
            <w:hideMark/>
          </w:tcPr>
          <w:p w14:paraId="1BE82213" w14:textId="77777777" w:rsidR="001C32C8" w:rsidRPr="00B0658A" w:rsidRDefault="001C32C8" w:rsidP="00004A41">
            <w:pPr>
              <w:spacing w:after="0" w:line="240" w:lineRule="auto"/>
              <w:rPr>
                <w:rFonts w:ascii="Times New Roman" w:hAnsi="Times New Roman"/>
                <w:sz w:val="18"/>
                <w:szCs w:val="18"/>
              </w:rPr>
            </w:pPr>
            <w:r w:rsidRPr="00B0658A">
              <w:rPr>
                <w:rFonts w:ascii="Times New Roman" w:hAnsi="Times New Roman"/>
                <w:sz w:val="18"/>
                <w:szCs w:val="18"/>
              </w:rPr>
              <w:t>Средства анализа данных/ Предметно-ориентированные информационные базы данных (EDW)</w:t>
            </w:r>
          </w:p>
        </w:tc>
        <w:tc>
          <w:tcPr>
            <w:tcW w:w="1418" w:type="dxa"/>
            <w:shd w:val="clear" w:color="000000" w:fill="FFFFFF"/>
            <w:hideMark/>
          </w:tcPr>
          <w:p w14:paraId="336FEA47" w14:textId="77777777" w:rsidR="001C32C8" w:rsidRPr="00B0658A" w:rsidRDefault="001C32C8" w:rsidP="00004A41">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44" w:type="dxa"/>
            <w:shd w:val="clear" w:color="000000" w:fill="FFFFFF"/>
            <w:vAlign w:val="center"/>
          </w:tcPr>
          <w:p w14:paraId="677B622F"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000000" w:fill="FFFFFF"/>
            <w:vAlign w:val="center"/>
            <w:hideMark/>
          </w:tcPr>
          <w:p w14:paraId="03728E5A"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000000" w:fill="FFFFFF"/>
            <w:vAlign w:val="center"/>
            <w:hideMark/>
          </w:tcPr>
          <w:p w14:paraId="5CCBCE09"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000000" w:fill="FFFFFF"/>
            <w:vAlign w:val="center"/>
            <w:hideMark/>
          </w:tcPr>
          <w:p w14:paraId="11AC2A15" w14:textId="77777777" w:rsidR="001C32C8" w:rsidRPr="00B0658A" w:rsidRDefault="001C32C8" w:rsidP="00004A41">
            <w:pPr>
              <w:spacing w:after="0" w:line="240" w:lineRule="auto"/>
              <w:jc w:val="center"/>
              <w:rPr>
                <w:rFonts w:ascii="Times New Roman" w:hAnsi="Times New Roman"/>
                <w:sz w:val="18"/>
                <w:szCs w:val="18"/>
              </w:rPr>
            </w:pPr>
          </w:p>
        </w:tc>
        <w:tc>
          <w:tcPr>
            <w:tcW w:w="993" w:type="dxa"/>
            <w:shd w:val="clear" w:color="000000" w:fill="FFFFFF"/>
            <w:vAlign w:val="center"/>
          </w:tcPr>
          <w:p w14:paraId="14D70FF1"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000000" w:fill="FFFFFF"/>
            <w:vAlign w:val="center"/>
            <w:hideMark/>
          </w:tcPr>
          <w:p w14:paraId="198B5FC1" w14:textId="77777777" w:rsidR="001C32C8" w:rsidRPr="00B0658A" w:rsidRDefault="001C32C8" w:rsidP="00004A41">
            <w:pPr>
              <w:spacing w:after="0" w:line="240" w:lineRule="auto"/>
              <w:jc w:val="center"/>
              <w:rPr>
                <w:rFonts w:ascii="Times New Roman" w:hAnsi="Times New Roman"/>
                <w:sz w:val="18"/>
                <w:szCs w:val="18"/>
              </w:rPr>
            </w:pPr>
          </w:p>
        </w:tc>
        <w:tc>
          <w:tcPr>
            <w:tcW w:w="780" w:type="dxa"/>
            <w:shd w:val="clear" w:color="000000" w:fill="FFFFFF"/>
            <w:vAlign w:val="center"/>
            <w:hideMark/>
          </w:tcPr>
          <w:p w14:paraId="12E5225E"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000000" w:fill="FFFFFF"/>
            <w:vAlign w:val="center"/>
            <w:hideMark/>
          </w:tcPr>
          <w:p w14:paraId="7B642CE9" w14:textId="77777777" w:rsidR="001C32C8" w:rsidRPr="00B0658A" w:rsidRDefault="001C32C8" w:rsidP="00004A41">
            <w:pPr>
              <w:spacing w:after="0" w:line="240" w:lineRule="auto"/>
              <w:jc w:val="center"/>
              <w:rPr>
                <w:rFonts w:ascii="Times New Roman" w:hAnsi="Times New Roman"/>
                <w:sz w:val="18"/>
                <w:szCs w:val="18"/>
              </w:rPr>
            </w:pPr>
          </w:p>
        </w:tc>
        <w:tc>
          <w:tcPr>
            <w:tcW w:w="780" w:type="dxa"/>
            <w:shd w:val="clear" w:color="000000" w:fill="FFFFFF"/>
            <w:vAlign w:val="center"/>
          </w:tcPr>
          <w:p w14:paraId="4D1BF2C3"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000000" w:fill="FFFFFF"/>
            <w:vAlign w:val="center"/>
          </w:tcPr>
          <w:p w14:paraId="443CF017" w14:textId="77777777" w:rsidR="001C32C8" w:rsidRPr="00B0658A" w:rsidRDefault="001C32C8" w:rsidP="00004A41">
            <w:pPr>
              <w:spacing w:after="0" w:line="240" w:lineRule="auto"/>
              <w:jc w:val="center"/>
              <w:rPr>
                <w:rFonts w:ascii="Times New Roman" w:hAnsi="Times New Roman"/>
                <w:sz w:val="18"/>
                <w:szCs w:val="18"/>
              </w:rPr>
            </w:pPr>
          </w:p>
        </w:tc>
        <w:tc>
          <w:tcPr>
            <w:tcW w:w="780" w:type="dxa"/>
            <w:shd w:val="clear" w:color="000000" w:fill="FFFFFF"/>
            <w:vAlign w:val="center"/>
          </w:tcPr>
          <w:p w14:paraId="70D3869B" w14:textId="77777777" w:rsidR="001C32C8" w:rsidRPr="00B0658A" w:rsidRDefault="001C32C8" w:rsidP="00004A41">
            <w:pPr>
              <w:spacing w:after="0" w:line="240" w:lineRule="auto"/>
              <w:jc w:val="center"/>
              <w:rPr>
                <w:rFonts w:ascii="Times New Roman" w:hAnsi="Times New Roman"/>
                <w:sz w:val="18"/>
                <w:szCs w:val="18"/>
              </w:rPr>
            </w:pPr>
          </w:p>
        </w:tc>
        <w:tc>
          <w:tcPr>
            <w:tcW w:w="1475" w:type="dxa"/>
            <w:shd w:val="clear" w:color="000000" w:fill="FFFFFF"/>
            <w:vAlign w:val="center"/>
          </w:tcPr>
          <w:p w14:paraId="7DDFE9DB" w14:textId="77777777" w:rsidR="001C32C8" w:rsidRPr="00B0658A" w:rsidRDefault="001C32C8" w:rsidP="00004A41">
            <w:pPr>
              <w:spacing w:after="0" w:line="240" w:lineRule="auto"/>
              <w:jc w:val="center"/>
              <w:rPr>
                <w:rFonts w:ascii="Times New Roman" w:hAnsi="Times New Roman"/>
                <w:sz w:val="18"/>
                <w:szCs w:val="18"/>
              </w:rPr>
            </w:pPr>
          </w:p>
        </w:tc>
      </w:tr>
      <w:tr w:rsidR="00F52FED" w:rsidRPr="00B0658A" w14:paraId="07559618" w14:textId="77777777" w:rsidTr="00E66BA4">
        <w:trPr>
          <w:trHeight w:val="20"/>
        </w:trPr>
        <w:tc>
          <w:tcPr>
            <w:tcW w:w="846" w:type="dxa"/>
            <w:shd w:val="clear" w:color="000000" w:fill="FFFFFF"/>
            <w:vAlign w:val="center"/>
          </w:tcPr>
          <w:p w14:paraId="42FE24B5" w14:textId="77777777" w:rsidR="001C32C8" w:rsidRPr="00B0658A" w:rsidRDefault="001C32C8" w:rsidP="00004A41">
            <w:pPr>
              <w:spacing w:after="0" w:line="240" w:lineRule="auto"/>
              <w:jc w:val="center"/>
              <w:rPr>
                <w:rFonts w:ascii="Times New Roman" w:hAnsi="Times New Roman"/>
                <w:sz w:val="18"/>
                <w:szCs w:val="18"/>
              </w:rPr>
            </w:pPr>
            <w:r w:rsidRPr="00B0658A">
              <w:rPr>
                <w:rFonts w:ascii="Times New Roman" w:hAnsi="Times New Roman"/>
                <w:sz w:val="18"/>
                <w:szCs w:val="18"/>
              </w:rPr>
              <w:t>11.3</w:t>
            </w:r>
          </w:p>
        </w:tc>
        <w:tc>
          <w:tcPr>
            <w:tcW w:w="1559" w:type="dxa"/>
            <w:shd w:val="clear" w:color="auto" w:fill="auto"/>
            <w:vAlign w:val="center"/>
            <w:hideMark/>
          </w:tcPr>
          <w:p w14:paraId="2AD30B92" w14:textId="77777777" w:rsidR="001C32C8" w:rsidRPr="00B0658A" w:rsidRDefault="001C32C8" w:rsidP="00004A41">
            <w:pPr>
              <w:suppressAutoHyphens/>
              <w:spacing w:after="0" w:line="240" w:lineRule="auto"/>
              <w:rPr>
                <w:rFonts w:ascii="Times New Roman" w:hAnsi="Times New Roman"/>
                <w:sz w:val="18"/>
                <w:szCs w:val="18"/>
              </w:rPr>
            </w:pPr>
            <w:r w:rsidRPr="00B0658A">
              <w:rPr>
                <w:rFonts w:ascii="Times New Roman" w:hAnsi="Times New Roman"/>
                <w:sz w:val="18"/>
                <w:szCs w:val="18"/>
              </w:rPr>
              <w:t>Средства анализа данных/</w:t>
            </w:r>
          </w:p>
          <w:p w14:paraId="7D6FB561" w14:textId="77777777" w:rsidR="001C32C8" w:rsidRPr="00B0658A" w:rsidRDefault="001C32C8" w:rsidP="00004A41">
            <w:pPr>
              <w:suppressAutoHyphens/>
              <w:spacing w:after="0" w:line="240" w:lineRule="auto"/>
              <w:rPr>
                <w:rFonts w:ascii="Times New Roman" w:hAnsi="Times New Roman"/>
                <w:sz w:val="18"/>
                <w:szCs w:val="18"/>
              </w:rPr>
            </w:pPr>
            <w:r w:rsidRPr="00B0658A">
              <w:rPr>
                <w:rFonts w:ascii="Times New Roman" w:hAnsi="Times New Roman"/>
                <w:sz w:val="18"/>
                <w:szCs w:val="18"/>
              </w:rPr>
              <w:t>Средства аналитической обработки в реальном времени (OLAP)</w:t>
            </w:r>
          </w:p>
        </w:tc>
        <w:tc>
          <w:tcPr>
            <w:tcW w:w="1418" w:type="dxa"/>
            <w:shd w:val="clear" w:color="000000" w:fill="FFFFFF"/>
            <w:hideMark/>
          </w:tcPr>
          <w:p w14:paraId="418E462B" w14:textId="77777777" w:rsidR="001C32C8" w:rsidRPr="00B0658A" w:rsidRDefault="001C32C8" w:rsidP="00004A41">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44" w:type="dxa"/>
            <w:shd w:val="clear" w:color="000000" w:fill="FFFFFF"/>
            <w:vAlign w:val="center"/>
          </w:tcPr>
          <w:p w14:paraId="0A26CA3F"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000000" w:fill="FFFFFF"/>
            <w:vAlign w:val="center"/>
            <w:hideMark/>
          </w:tcPr>
          <w:p w14:paraId="0D299893"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000000" w:fill="FFFFFF"/>
            <w:vAlign w:val="center"/>
            <w:hideMark/>
          </w:tcPr>
          <w:p w14:paraId="0FCEF009"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000000" w:fill="FFFFFF"/>
            <w:vAlign w:val="center"/>
            <w:hideMark/>
          </w:tcPr>
          <w:p w14:paraId="10DB3854" w14:textId="77777777" w:rsidR="001C32C8" w:rsidRPr="00B0658A" w:rsidRDefault="001C32C8" w:rsidP="00004A41">
            <w:pPr>
              <w:spacing w:after="0" w:line="240" w:lineRule="auto"/>
              <w:jc w:val="center"/>
              <w:rPr>
                <w:rFonts w:ascii="Times New Roman" w:hAnsi="Times New Roman"/>
                <w:sz w:val="18"/>
                <w:szCs w:val="18"/>
              </w:rPr>
            </w:pPr>
          </w:p>
        </w:tc>
        <w:tc>
          <w:tcPr>
            <w:tcW w:w="993" w:type="dxa"/>
            <w:shd w:val="clear" w:color="000000" w:fill="FFFFFF"/>
            <w:vAlign w:val="center"/>
          </w:tcPr>
          <w:p w14:paraId="450CA4B0"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000000" w:fill="FFFFFF"/>
            <w:vAlign w:val="center"/>
            <w:hideMark/>
          </w:tcPr>
          <w:p w14:paraId="1116DA4B" w14:textId="77777777" w:rsidR="001C32C8" w:rsidRPr="00B0658A" w:rsidRDefault="001C32C8" w:rsidP="00004A41">
            <w:pPr>
              <w:spacing w:after="0" w:line="240" w:lineRule="auto"/>
              <w:jc w:val="center"/>
              <w:rPr>
                <w:rFonts w:ascii="Times New Roman" w:hAnsi="Times New Roman"/>
                <w:sz w:val="18"/>
                <w:szCs w:val="18"/>
              </w:rPr>
            </w:pPr>
          </w:p>
        </w:tc>
        <w:tc>
          <w:tcPr>
            <w:tcW w:w="780" w:type="dxa"/>
            <w:shd w:val="clear" w:color="000000" w:fill="FFFFFF"/>
            <w:vAlign w:val="center"/>
            <w:hideMark/>
          </w:tcPr>
          <w:p w14:paraId="34C1275E"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000000" w:fill="FFFFFF"/>
            <w:vAlign w:val="center"/>
            <w:hideMark/>
          </w:tcPr>
          <w:p w14:paraId="71101CDC" w14:textId="77777777" w:rsidR="001C32C8" w:rsidRPr="00B0658A" w:rsidRDefault="001C32C8" w:rsidP="00004A41">
            <w:pPr>
              <w:spacing w:after="0" w:line="240" w:lineRule="auto"/>
              <w:jc w:val="center"/>
              <w:rPr>
                <w:rFonts w:ascii="Times New Roman" w:hAnsi="Times New Roman"/>
                <w:sz w:val="18"/>
                <w:szCs w:val="18"/>
              </w:rPr>
            </w:pPr>
          </w:p>
        </w:tc>
        <w:tc>
          <w:tcPr>
            <w:tcW w:w="780" w:type="dxa"/>
            <w:shd w:val="clear" w:color="000000" w:fill="FFFFFF"/>
            <w:vAlign w:val="center"/>
          </w:tcPr>
          <w:p w14:paraId="12300A5A"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000000" w:fill="FFFFFF"/>
            <w:vAlign w:val="center"/>
          </w:tcPr>
          <w:p w14:paraId="5809DDDC" w14:textId="77777777" w:rsidR="001C32C8" w:rsidRPr="00B0658A" w:rsidRDefault="001C32C8" w:rsidP="00004A41">
            <w:pPr>
              <w:spacing w:after="0" w:line="240" w:lineRule="auto"/>
              <w:jc w:val="center"/>
              <w:rPr>
                <w:rFonts w:ascii="Times New Roman" w:hAnsi="Times New Roman"/>
                <w:sz w:val="18"/>
                <w:szCs w:val="18"/>
              </w:rPr>
            </w:pPr>
          </w:p>
        </w:tc>
        <w:tc>
          <w:tcPr>
            <w:tcW w:w="780" w:type="dxa"/>
            <w:shd w:val="clear" w:color="000000" w:fill="FFFFFF"/>
            <w:vAlign w:val="center"/>
          </w:tcPr>
          <w:p w14:paraId="0D911F7C" w14:textId="77777777" w:rsidR="001C32C8" w:rsidRPr="00B0658A" w:rsidRDefault="001C32C8" w:rsidP="00004A41">
            <w:pPr>
              <w:spacing w:after="0" w:line="240" w:lineRule="auto"/>
              <w:jc w:val="center"/>
              <w:rPr>
                <w:rFonts w:ascii="Times New Roman" w:hAnsi="Times New Roman"/>
                <w:sz w:val="18"/>
                <w:szCs w:val="18"/>
              </w:rPr>
            </w:pPr>
          </w:p>
        </w:tc>
        <w:tc>
          <w:tcPr>
            <w:tcW w:w="1475" w:type="dxa"/>
            <w:shd w:val="clear" w:color="000000" w:fill="FFFFFF"/>
            <w:vAlign w:val="center"/>
          </w:tcPr>
          <w:p w14:paraId="1371945E" w14:textId="77777777" w:rsidR="001C32C8" w:rsidRPr="00B0658A" w:rsidRDefault="001C32C8" w:rsidP="00004A41">
            <w:pPr>
              <w:spacing w:after="0" w:line="240" w:lineRule="auto"/>
              <w:jc w:val="center"/>
              <w:rPr>
                <w:rFonts w:ascii="Times New Roman" w:hAnsi="Times New Roman"/>
                <w:sz w:val="18"/>
                <w:szCs w:val="18"/>
              </w:rPr>
            </w:pPr>
          </w:p>
        </w:tc>
      </w:tr>
      <w:tr w:rsidR="00F52FED" w:rsidRPr="00B0658A" w14:paraId="0C6C795C" w14:textId="77777777" w:rsidTr="00E66BA4">
        <w:trPr>
          <w:trHeight w:val="20"/>
        </w:trPr>
        <w:tc>
          <w:tcPr>
            <w:tcW w:w="846" w:type="dxa"/>
            <w:shd w:val="clear" w:color="000000" w:fill="FFFFFF"/>
            <w:vAlign w:val="center"/>
          </w:tcPr>
          <w:p w14:paraId="796BD62E" w14:textId="77777777" w:rsidR="001C32C8" w:rsidRPr="00B0658A" w:rsidRDefault="001C32C8" w:rsidP="00004A41">
            <w:pPr>
              <w:spacing w:after="0" w:line="240" w:lineRule="auto"/>
              <w:jc w:val="center"/>
              <w:rPr>
                <w:rFonts w:ascii="Times New Roman" w:hAnsi="Times New Roman"/>
                <w:sz w:val="18"/>
                <w:szCs w:val="18"/>
              </w:rPr>
            </w:pPr>
            <w:r w:rsidRPr="00B0658A">
              <w:rPr>
                <w:rFonts w:ascii="Times New Roman" w:hAnsi="Times New Roman"/>
                <w:sz w:val="18"/>
                <w:szCs w:val="18"/>
              </w:rPr>
              <w:t>11.4</w:t>
            </w:r>
          </w:p>
        </w:tc>
        <w:tc>
          <w:tcPr>
            <w:tcW w:w="1559" w:type="dxa"/>
            <w:shd w:val="clear" w:color="auto" w:fill="auto"/>
            <w:vAlign w:val="center"/>
            <w:hideMark/>
          </w:tcPr>
          <w:p w14:paraId="39049D25" w14:textId="77777777" w:rsidR="001C32C8" w:rsidRPr="00B0658A" w:rsidRDefault="001C32C8" w:rsidP="00004A41">
            <w:pPr>
              <w:suppressAutoHyphens/>
              <w:spacing w:after="0" w:line="240" w:lineRule="auto"/>
              <w:rPr>
                <w:rFonts w:ascii="Times New Roman" w:hAnsi="Times New Roman"/>
                <w:sz w:val="18"/>
                <w:szCs w:val="18"/>
              </w:rPr>
            </w:pPr>
            <w:r w:rsidRPr="00B0658A">
              <w:rPr>
                <w:rFonts w:ascii="Times New Roman" w:hAnsi="Times New Roman"/>
                <w:sz w:val="18"/>
                <w:szCs w:val="18"/>
              </w:rPr>
              <w:t xml:space="preserve">Средства анализа данных/ </w:t>
            </w:r>
          </w:p>
          <w:p w14:paraId="010D66CB" w14:textId="77777777" w:rsidR="001C32C8" w:rsidRPr="00B0658A" w:rsidRDefault="001C32C8" w:rsidP="00004A41">
            <w:pPr>
              <w:suppressAutoHyphens/>
              <w:spacing w:after="0" w:line="240" w:lineRule="auto"/>
              <w:rPr>
                <w:rFonts w:ascii="Times New Roman" w:hAnsi="Times New Roman"/>
                <w:sz w:val="18"/>
                <w:szCs w:val="18"/>
              </w:rPr>
            </w:pPr>
            <w:r w:rsidRPr="00B0658A">
              <w:rPr>
                <w:rFonts w:ascii="Times New Roman" w:hAnsi="Times New Roman"/>
                <w:sz w:val="18"/>
                <w:szCs w:val="18"/>
              </w:rPr>
              <w:t>Средства интеллектуального анализа данных (Data Mining)</w:t>
            </w:r>
          </w:p>
        </w:tc>
        <w:tc>
          <w:tcPr>
            <w:tcW w:w="1418" w:type="dxa"/>
            <w:shd w:val="clear" w:color="000000" w:fill="FFFFFF"/>
            <w:hideMark/>
          </w:tcPr>
          <w:p w14:paraId="7A2D1EC2" w14:textId="77777777" w:rsidR="001C32C8" w:rsidRPr="00B0658A" w:rsidRDefault="001C32C8" w:rsidP="00004A41">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44" w:type="dxa"/>
            <w:shd w:val="clear" w:color="000000" w:fill="FFFFFF"/>
            <w:vAlign w:val="center"/>
          </w:tcPr>
          <w:p w14:paraId="3001EE57"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000000" w:fill="FFFFFF"/>
            <w:vAlign w:val="center"/>
            <w:hideMark/>
          </w:tcPr>
          <w:p w14:paraId="55215A58"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000000" w:fill="FFFFFF"/>
            <w:vAlign w:val="center"/>
            <w:hideMark/>
          </w:tcPr>
          <w:p w14:paraId="7B93BA88"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000000" w:fill="FFFFFF"/>
            <w:vAlign w:val="center"/>
            <w:hideMark/>
          </w:tcPr>
          <w:p w14:paraId="6D67E811" w14:textId="77777777" w:rsidR="001C32C8" w:rsidRPr="00B0658A" w:rsidRDefault="001C32C8" w:rsidP="00004A41">
            <w:pPr>
              <w:spacing w:after="0" w:line="240" w:lineRule="auto"/>
              <w:jc w:val="center"/>
              <w:rPr>
                <w:rFonts w:ascii="Times New Roman" w:hAnsi="Times New Roman"/>
                <w:sz w:val="18"/>
                <w:szCs w:val="18"/>
              </w:rPr>
            </w:pPr>
          </w:p>
        </w:tc>
        <w:tc>
          <w:tcPr>
            <w:tcW w:w="993" w:type="dxa"/>
            <w:shd w:val="clear" w:color="000000" w:fill="FFFFFF"/>
            <w:vAlign w:val="center"/>
          </w:tcPr>
          <w:p w14:paraId="463ECD56"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000000" w:fill="FFFFFF"/>
            <w:vAlign w:val="center"/>
            <w:hideMark/>
          </w:tcPr>
          <w:p w14:paraId="72582B24" w14:textId="77777777" w:rsidR="001C32C8" w:rsidRPr="00B0658A" w:rsidRDefault="001C32C8" w:rsidP="00004A41">
            <w:pPr>
              <w:spacing w:after="0" w:line="240" w:lineRule="auto"/>
              <w:jc w:val="center"/>
              <w:rPr>
                <w:rFonts w:ascii="Times New Roman" w:hAnsi="Times New Roman"/>
                <w:sz w:val="18"/>
                <w:szCs w:val="18"/>
              </w:rPr>
            </w:pPr>
          </w:p>
        </w:tc>
        <w:tc>
          <w:tcPr>
            <w:tcW w:w="780" w:type="dxa"/>
            <w:shd w:val="clear" w:color="000000" w:fill="FFFFFF"/>
            <w:vAlign w:val="center"/>
            <w:hideMark/>
          </w:tcPr>
          <w:p w14:paraId="3B7BE82F"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000000" w:fill="FFFFFF"/>
            <w:vAlign w:val="center"/>
            <w:hideMark/>
          </w:tcPr>
          <w:p w14:paraId="1B872054" w14:textId="77777777" w:rsidR="001C32C8" w:rsidRPr="00B0658A" w:rsidRDefault="001C32C8" w:rsidP="00004A41">
            <w:pPr>
              <w:spacing w:after="0" w:line="240" w:lineRule="auto"/>
              <w:jc w:val="center"/>
              <w:rPr>
                <w:rFonts w:ascii="Times New Roman" w:hAnsi="Times New Roman"/>
                <w:sz w:val="18"/>
                <w:szCs w:val="18"/>
              </w:rPr>
            </w:pPr>
          </w:p>
        </w:tc>
        <w:tc>
          <w:tcPr>
            <w:tcW w:w="780" w:type="dxa"/>
            <w:shd w:val="clear" w:color="000000" w:fill="FFFFFF"/>
            <w:vAlign w:val="center"/>
          </w:tcPr>
          <w:p w14:paraId="29EFF468"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000000" w:fill="FFFFFF"/>
            <w:vAlign w:val="center"/>
          </w:tcPr>
          <w:p w14:paraId="758014F7" w14:textId="77777777" w:rsidR="001C32C8" w:rsidRPr="00B0658A" w:rsidRDefault="001C32C8" w:rsidP="00004A41">
            <w:pPr>
              <w:spacing w:after="0" w:line="240" w:lineRule="auto"/>
              <w:jc w:val="center"/>
              <w:rPr>
                <w:rFonts w:ascii="Times New Roman" w:hAnsi="Times New Roman"/>
                <w:sz w:val="18"/>
                <w:szCs w:val="18"/>
              </w:rPr>
            </w:pPr>
          </w:p>
        </w:tc>
        <w:tc>
          <w:tcPr>
            <w:tcW w:w="780" w:type="dxa"/>
            <w:shd w:val="clear" w:color="000000" w:fill="FFFFFF"/>
            <w:vAlign w:val="center"/>
          </w:tcPr>
          <w:p w14:paraId="4DB14A1B" w14:textId="77777777" w:rsidR="001C32C8" w:rsidRPr="00B0658A" w:rsidRDefault="001C32C8" w:rsidP="00004A41">
            <w:pPr>
              <w:spacing w:after="0" w:line="240" w:lineRule="auto"/>
              <w:jc w:val="center"/>
              <w:rPr>
                <w:rFonts w:ascii="Times New Roman" w:hAnsi="Times New Roman"/>
                <w:sz w:val="18"/>
                <w:szCs w:val="18"/>
              </w:rPr>
            </w:pPr>
          </w:p>
        </w:tc>
        <w:tc>
          <w:tcPr>
            <w:tcW w:w="1475" w:type="dxa"/>
            <w:shd w:val="clear" w:color="000000" w:fill="FFFFFF"/>
            <w:vAlign w:val="center"/>
          </w:tcPr>
          <w:p w14:paraId="2574C9BF" w14:textId="77777777" w:rsidR="001C32C8" w:rsidRPr="00B0658A" w:rsidRDefault="001C32C8" w:rsidP="00004A41">
            <w:pPr>
              <w:spacing w:after="0" w:line="240" w:lineRule="auto"/>
              <w:jc w:val="center"/>
              <w:rPr>
                <w:rFonts w:ascii="Times New Roman" w:hAnsi="Times New Roman"/>
                <w:sz w:val="18"/>
                <w:szCs w:val="18"/>
              </w:rPr>
            </w:pPr>
          </w:p>
        </w:tc>
      </w:tr>
      <w:tr w:rsidR="00F52FED" w:rsidRPr="00B0658A" w14:paraId="15B91936" w14:textId="77777777" w:rsidTr="00E66BA4">
        <w:trPr>
          <w:trHeight w:val="20"/>
        </w:trPr>
        <w:tc>
          <w:tcPr>
            <w:tcW w:w="846" w:type="dxa"/>
            <w:shd w:val="clear" w:color="000000" w:fill="FFFFFF"/>
            <w:vAlign w:val="center"/>
          </w:tcPr>
          <w:p w14:paraId="38787126" w14:textId="77777777" w:rsidR="001C32C8" w:rsidRPr="00B0658A" w:rsidRDefault="001C32C8" w:rsidP="00004A41">
            <w:pPr>
              <w:spacing w:after="0" w:line="240" w:lineRule="auto"/>
              <w:jc w:val="center"/>
              <w:rPr>
                <w:rFonts w:ascii="Times New Roman" w:hAnsi="Times New Roman"/>
                <w:sz w:val="18"/>
                <w:szCs w:val="18"/>
              </w:rPr>
            </w:pPr>
            <w:r w:rsidRPr="00B0658A">
              <w:rPr>
                <w:rFonts w:ascii="Times New Roman" w:hAnsi="Times New Roman"/>
                <w:sz w:val="18"/>
                <w:szCs w:val="18"/>
              </w:rPr>
              <w:t>11.5</w:t>
            </w:r>
          </w:p>
        </w:tc>
        <w:tc>
          <w:tcPr>
            <w:tcW w:w="1559" w:type="dxa"/>
            <w:shd w:val="clear" w:color="auto" w:fill="auto"/>
            <w:vAlign w:val="center"/>
            <w:hideMark/>
          </w:tcPr>
          <w:p w14:paraId="7F999784" w14:textId="77777777" w:rsidR="001C32C8" w:rsidRPr="00B0658A" w:rsidRDefault="001C32C8" w:rsidP="00004A41">
            <w:pPr>
              <w:suppressAutoHyphens/>
              <w:spacing w:after="0" w:line="240" w:lineRule="auto"/>
              <w:rPr>
                <w:rFonts w:ascii="Times New Roman" w:hAnsi="Times New Roman"/>
                <w:sz w:val="18"/>
                <w:szCs w:val="18"/>
              </w:rPr>
            </w:pPr>
            <w:r w:rsidRPr="00B0658A">
              <w:rPr>
                <w:rFonts w:ascii="Times New Roman" w:hAnsi="Times New Roman"/>
                <w:sz w:val="18"/>
                <w:szCs w:val="18"/>
              </w:rPr>
              <w:t xml:space="preserve">Средства анализа данных/ </w:t>
            </w:r>
          </w:p>
          <w:p w14:paraId="4256A58E" w14:textId="77777777" w:rsidR="001C32C8" w:rsidRPr="00B0658A" w:rsidRDefault="001C32C8" w:rsidP="00004A41">
            <w:pPr>
              <w:suppressAutoHyphens/>
              <w:spacing w:after="0" w:line="240" w:lineRule="auto"/>
              <w:rPr>
                <w:rFonts w:ascii="Times New Roman" w:hAnsi="Times New Roman"/>
                <w:sz w:val="18"/>
                <w:szCs w:val="18"/>
              </w:rPr>
            </w:pPr>
            <w:r w:rsidRPr="00B0658A">
              <w:rPr>
                <w:rFonts w:ascii="Times New Roman" w:hAnsi="Times New Roman"/>
                <w:sz w:val="18"/>
                <w:szCs w:val="18"/>
              </w:rPr>
              <w:t>Средства поддержки принятия решений (DSS)</w:t>
            </w:r>
          </w:p>
        </w:tc>
        <w:tc>
          <w:tcPr>
            <w:tcW w:w="1418" w:type="dxa"/>
            <w:shd w:val="clear" w:color="000000" w:fill="FFFFFF"/>
            <w:hideMark/>
          </w:tcPr>
          <w:p w14:paraId="111A0325" w14:textId="77777777" w:rsidR="001C32C8" w:rsidRPr="00B0658A" w:rsidRDefault="001C32C8" w:rsidP="00004A41">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44" w:type="dxa"/>
            <w:shd w:val="clear" w:color="000000" w:fill="FFFFFF"/>
            <w:vAlign w:val="center"/>
          </w:tcPr>
          <w:p w14:paraId="2DF74BA7"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000000" w:fill="FFFFFF"/>
            <w:vAlign w:val="center"/>
            <w:hideMark/>
          </w:tcPr>
          <w:p w14:paraId="031E1BC4"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000000" w:fill="FFFFFF"/>
            <w:vAlign w:val="center"/>
            <w:hideMark/>
          </w:tcPr>
          <w:p w14:paraId="351BD65E"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000000" w:fill="FFFFFF"/>
            <w:vAlign w:val="center"/>
            <w:hideMark/>
          </w:tcPr>
          <w:p w14:paraId="07FB956B" w14:textId="77777777" w:rsidR="001C32C8" w:rsidRPr="00B0658A" w:rsidRDefault="001C32C8" w:rsidP="00004A41">
            <w:pPr>
              <w:spacing w:after="0" w:line="240" w:lineRule="auto"/>
              <w:jc w:val="center"/>
              <w:rPr>
                <w:rFonts w:ascii="Times New Roman" w:hAnsi="Times New Roman"/>
                <w:sz w:val="18"/>
                <w:szCs w:val="18"/>
              </w:rPr>
            </w:pPr>
          </w:p>
        </w:tc>
        <w:tc>
          <w:tcPr>
            <w:tcW w:w="993" w:type="dxa"/>
            <w:shd w:val="clear" w:color="000000" w:fill="FFFFFF"/>
            <w:vAlign w:val="center"/>
          </w:tcPr>
          <w:p w14:paraId="599FD601"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000000" w:fill="FFFFFF"/>
            <w:vAlign w:val="center"/>
            <w:hideMark/>
          </w:tcPr>
          <w:p w14:paraId="63E1BDAD" w14:textId="77777777" w:rsidR="001C32C8" w:rsidRPr="00B0658A" w:rsidRDefault="001C32C8" w:rsidP="00004A41">
            <w:pPr>
              <w:spacing w:after="0" w:line="240" w:lineRule="auto"/>
              <w:jc w:val="center"/>
              <w:rPr>
                <w:rFonts w:ascii="Times New Roman" w:hAnsi="Times New Roman"/>
                <w:sz w:val="18"/>
                <w:szCs w:val="18"/>
              </w:rPr>
            </w:pPr>
          </w:p>
        </w:tc>
        <w:tc>
          <w:tcPr>
            <w:tcW w:w="780" w:type="dxa"/>
            <w:shd w:val="clear" w:color="000000" w:fill="FFFFFF"/>
            <w:vAlign w:val="center"/>
            <w:hideMark/>
          </w:tcPr>
          <w:p w14:paraId="66368377"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000000" w:fill="FFFFFF"/>
            <w:vAlign w:val="center"/>
            <w:hideMark/>
          </w:tcPr>
          <w:p w14:paraId="545E6277" w14:textId="77777777" w:rsidR="001C32C8" w:rsidRPr="00B0658A" w:rsidRDefault="001C32C8" w:rsidP="00004A41">
            <w:pPr>
              <w:spacing w:after="0" w:line="240" w:lineRule="auto"/>
              <w:jc w:val="center"/>
              <w:rPr>
                <w:rFonts w:ascii="Times New Roman" w:hAnsi="Times New Roman"/>
                <w:sz w:val="18"/>
                <w:szCs w:val="18"/>
              </w:rPr>
            </w:pPr>
          </w:p>
        </w:tc>
        <w:tc>
          <w:tcPr>
            <w:tcW w:w="780" w:type="dxa"/>
            <w:shd w:val="clear" w:color="000000" w:fill="FFFFFF"/>
            <w:vAlign w:val="center"/>
          </w:tcPr>
          <w:p w14:paraId="43F46132"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000000" w:fill="FFFFFF"/>
            <w:vAlign w:val="center"/>
          </w:tcPr>
          <w:p w14:paraId="11419F92" w14:textId="77777777" w:rsidR="001C32C8" w:rsidRPr="00B0658A" w:rsidRDefault="001C32C8" w:rsidP="00004A41">
            <w:pPr>
              <w:spacing w:after="0" w:line="240" w:lineRule="auto"/>
              <w:jc w:val="center"/>
              <w:rPr>
                <w:rFonts w:ascii="Times New Roman" w:hAnsi="Times New Roman"/>
                <w:sz w:val="18"/>
                <w:szCs w:val="18"/>
              </w:rPr>
            </w:pPr>
          </w:p>
        </w:tc>
        <w:tc>
          <w:tcPr>
            <w:tcW w:w="780" w:type="dxa"/>
            <w:shd w:val="clear" w:color="000000" w:fill="FFFFFF"/>
            <w:vAlign w:val="center"/>
          </w:tcPr>
          <w:p w14:paraId="1D9366CD" w14:textId="77777777" w:rsidR="001C32C8" w:rsidRPr="00B0658A" w:rsidRDefault="001C32C8" w:rsidP="00004A41">
            <w:pPr>
              <w:spacing w:after="0" w:line="240" w:lineRule="auto"/>
              <w:jc w:val="center"/>
              <w:rPr>
                <w:rFonts w:ascii="Times New Roman" w:hAnsi="Times New Roman"/>
                <w:sz w:val="18"/>
                <w:szCs w:val="18"/>
              </w:rPr>
            </w:pPr>
          </w:p>
        </w:tc>
        <w:tc>
          <w:tcPr>
            <w:tcW w:w="1475" w:type="dxa"/>
            <w:shd w:val="clear" w:color="000000" w:fill="FFFFFF"/>
            <w:vAlign w:val="center"/>
          </w:tcPr>
          <w:p w14:paraId="3ADB9A3E" w14:textId="77777777" w:rsidR="001C32C8" w:rsidRPr="00B0658A" w:rsidRDefault="001C32C8" w:rsidP="00004A41">
            <w:pPr>
              <w:spacing w:after="0" w:line="240" w:lineRule="auto"/>
              <w:jc w:val="center"/>
              <w:rPr>
                <w:rFonts w:ascii="Times New Roman" w:hAnsi="Times New Roman"/>
                <w:sz w:val="18"/>
                <w:szCs w:val="18"/>
              </w:rPr>
            </w:pPr>
          </w:p>
        </w:tc>
      </w:tr>
      <w:tr w:rsidR="00F52FED" w:rsidRPr="00B0658A" w14:paraId="1B78B568" w14:textId="77777777" w:rsidTr="00E66BA4">
        <w:trPr>
          <w:trHeight w:val="20"/>
        </w:trPr>
        <w:tc>
          <w:tcPr>
            <w:tcW w:w="846" w:type="dxa"/>
            <w:shd w:val="clear" w:color="000000" w:fill="FFFFFF"/>
            <w:vAlign w:val="center"/>
          </w:tcPr>
          <w:p w14:paraId="7908FA8A" w14:textId="77777777" w:rsidR="001C32C8" w:rsidRPr="00B0658A" w:rsidRDefault="001C32C8" w:rsidP="00004A41">
            <w:pPr>
              <w:spacing w:after="0" w:line="240" w:lineRule="auto"/>
              <w:jc w:val="center"/>
              <w:rPr>
                <w:rFonts w:ascii="Times New Roman" w:hAnsi="Times New Roman"/>
                <w:sz w:val="18"/>
                <w:szCs w:val="18"/>
              </w:rPr>
            </w:pPr>
            <w:r w:rsidRPr="00B0658A">
              <w:rPr>
                <w:rFonts w:ascii="Times New Roman" w:hAnsi="Times New Roman"/>
                <w:sz w:val="18"/>
                <w:szCs w:val="18"/>
              </w:rPr>
              <w:t>11.6</w:t>
            </w:r>
          </w:p>
        </w:tc>
        <w:tc>
          <w:tcPr>
            <w:tcW w:w="1559" w:type="dxa"/>
            <w:shd w:val="clear" w:color="auto" w:fill="auto"/>
            <w:vAlign w:val="center"/>
            <w:hideMark/>
          </w:tcPr>
          <w:p w14:paraId="68807CBD" w14:textId="77777777" w:rsidR="001C32C8" w:rsidRPr="00B0658A" w:rsidRDefault="001C32C8" w:rsidP="00004A41">
            <w:pPr>
              <w:spacing w:after="0" w:line="240" w:lineRule="auto"/>
              <w:rPr>
                <w:rFonts w:ascii="Times New Roman" w:hAnsi="Times New Roman"/>
                <w:sz w:val="18"/>
                <w:szCs w:val="18"/>
              </w:rPr>
            </w:pPr>
            <w:r w:rsidRPr="00B0658A">
              <w:rPr>
                <w:rFonts w:ascii="Times New Roman" w:hAnsi="Times New Roman"/>
                <w:sz w:val="18"/>
                <w:szCs w:val="18"/>
              </w:rPr>
              <w:t xml:space="preserve">Средства анализа данных/ Инструменты обработки, анализа </w:t>
            </w:r>
            <w:r w:rsidRPr="00B0658A">
              <w:rPr>
                <w:rFonts w:ascii="Times New Roman" w:hAnsi="Times New Roman"/>
                <w:sz w:val="18"/>
                <w:szCs w:val="18"/>
              </w:rPr>
              <w:br/>
              <w:t>и распознавания изображений</w:t>
            </w:r>
          </w:p>
        </w:tc>
        <w:tc>
          <w:tcPr>
            <w:tcW w:w="1418" w:type="dxa"/>
            <w:shd w:val="clear" w:color="000000" w:fill="FFFFFF"/>
            <w:hideMark/>
          </w:tcPr>
          <w:p w14:paraId="243E3B33" w14:textId="77777777" w:rsidR="001C32C8" w:rsidRPr="00B0658A" w:rsidRDefault="001C32C8" w:rsidP="00004A41">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44" w:type="dxa"/>
            <w:shd w:val="clear" w:color="000000" w:fill="FFFFFF"/>
            <w:vAlign w:val="center"/>
          </w:tcPr>
          <w:p w14:paraId="0271D385"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000000" w:fill="FFFFFF"/>
            <w:vAlign w:val="center"/>
            <w:hideMark/>
          </w:tcPr>
          <w:p w14:paraId="63CC4D70"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000000" w:fill="FFFFFF"/>
            <w:vAlign w:val="center"/>
            <w:hideMark/>
          </w:tcPr>
          <w:p w14:paraId="2FC39D67" w14:textId="77777777" w:rsidR="001C32C8" w:rsidRPr="00B0658A" w:rsidRDefault="001C32C8" w:rsidP="00004A41">
            <w:pPr>
              <w:spacing w:after="0" w:line="240" w:lineRule="auto"/>
              <w:jc w:val="center"/>
              <w:rPr>
                <w:rFonts w:ascii="Times New Roman" w:hAnsi="Times New Roman"/>
                <w:sz w:val="18"/>
                <w:szCs w:val="18"/>
              </w:rPr>
            </w:pPr>
          </w:p>
        </w:tc>
        <w:tc>
          <w:tcPr>
            <w:tcW w:w="744" w:type="dxa"/>
            <w:shd w:val="clear" w:color="000000" w:fill="FFFFFF"/>
            <w:vAlign w:val="center"/>
            <w:hideMark/>
          </w:tcPr>
          <w:p w14:paraId="7E7A4F7B" w14:textId="77777777" w:rsidR="001C32C8" w:rsidRPr="00B0658A" w:rsidRDefault="001C32C8" w:rsidP="00004A41">
            <w:pPr>
              <w:spacing w:after="0" w:line="240" w:lineRule="auto"/>
              <w:jc w:val="center"/>
              <w:rPr>
                <w:rFonts w:ascii="Times New Roman" w:hAnsi="Times New Roman"/>
                <w:sz w:val="18"/>
                <w:szCs w:val="18"/>
              </w:rPr>
            </w:pPr>
          </w:p>
        </w:tc>
        <w:tc>
          <w:tcPr>
            <w:tcW w:w="993" w:type="dxa"/>
            <w:shd w:val="clear" w:color="000000" w:fill="FFFFFF"/>
            <w:vAlign w:val="center"/>
          </w:tcPr>
          <w:p w14:paraId="3548246F"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000000" w:fill="FFFFFF"/>
            <w:vAlign w:val="center"/>
            <w:hideMark/>
          </w:tcPr>
          <w:p w14:paraId="2BAA8ED1" w14:textId="77777777" w:rsidR="001C32C8" w:rsidRPr="00B0658A" w:rsidRDefault="001C32C8" w:rsidP="00004A41">
            <w:pPr>
              <w:spacing w:after="0" w:line="240" w:lineRule="auto"/>
              <w:jc w:val="center"/>
              <w:rPr>
                <w:rFonts w:ascii="Times New Roman" w:hAnsi="Times New Roman"/>
                <w:sz w:val="18"/>
                <w:szCs w:val="18"/>
              </w:rPr>
            </w:pPr>
          </w:p>
        </w:tc>
        <w:tc>
          <w:tcPr>
            <w:tcW w:w="780" w:type="dxa"/>
            <w:shd w:val="clear" w:color="000000" w:fill="FFFFFF"/>
            <w:vAlign w:val="center"/>
            <w:hideMark/>
          </w:tcPr>
          <w:p w14:paraId="4935AF42"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000000" w:fill="FFFFFF"/>
            <w:vAlign w:val="center"/>
            <w:hideMark/>
          </w:tcPr>
          <w:p w14:paraId="2B914DD2" w14:textId="77777777" w:rsidR="001C32C8" w:rsidRPr="00B0658A" w:rsidRDefault="001C32C8" w:rsidP="00004A41">
            <w:pPr>
              <w:spacing w:after="0" w:line="240" w:lineRule="auto"/>
              <w:jc w:val="center"/>
              <w:rPr>
                <w:rFonts w:ascii="Times New Roman" w:hAnsi="Times New Roman"/>
                <w:sz w:val="18"/>
                <w:szCs w:val="18"/>
              </w:rPr>
            </w:pPr>
          </w:p>
        </w:tc>
        <w:tc>
          <w:tcPr>
            <w:tcW w:w="780" w:type="dxa"/>
            <w:shd w:val="clear" w:color="000000" w:fill="FFFFFF"/>
            <w:vAlign w:val="center"/>
          </w:tcPr>
          <w:p w14:paraId="006338C6" w14:textId="77777777" w:rsidR="001C32C8" w:rsidRPr="00B0658A" w:rsidRDefault="001C32C8" w:rsidP="00004A41">
            <w:pPr>
              <w:spacing w:after="0" w:line="240" w:lineRule="auto"/>
              <w:jc w:val="center"/>
              <w:rPr>
                <w:rFonts w:ascii="Times New Roman" w:hAnsi="Times New Roman"/>
                <w:sz w:val="18"/>
                <w:szCs w:val="18"/>
              </w:rPr>
            </w:pPr>
          </w:p>
        </w:tc>
        <w:tc>
          <w:tcPr>
            <w:tcW w:w="779" w:type="dxa"/>
            <w:shd w:val="clear" w:color="000000" w:fill="FFFFFF"/>
            <w:vAlign w:val="center"/>
          </w:tcPr>
          <w:p w14:paraId="7985C257" w14:textId="77777777" w:rsidR="001C32C8" w:rsidRPr="00B0658A" w:rsidRDefault="001C32C8" w:rsidP="00004A41">
            <w:pPr>
              <w:spacing w:after="0" w:line="240" w:lineRule="auto"/>
              <w:jc w:val="center"/>
              <w:rPr>
                <w:rFonts w:ascii="Times New Roman" w:hAnsi="Times New Roman"/>
                <w:sz w:val="18"/>
                <w:szCs w:val="18"/>
              </w:rPr>
            </w:pPr>
          </w:p>
        </w:tc>
        <w:tc>
          <w:tcPr>
            <w:tcW w:w="780" w:type="dxa"/>
            <w:shd w:val="clear" w:color="000000" w:fill="FFFFFF"/>
            <w:vAlign w:val="center"/>
          </w:tcPr>
          <w:p w14:paraId="1B7D8F93" w14:textId="77777777" w:rsidR="001C32C8" w:rsidRPr="00B0658A" w:rsidRDefault="001C32C8" w:rsidP="00004A41">
            <w:pPr>
              <w:spacing w:after="0" w:line="240" w:lineRule="auto"/>
              <w:jc w:val="center"/>
              <w:rPr>
                <w:rFonts w:ascii="Times New Roman" w:hAnsi="Times New Roman"/>
                <w:sz w:val="18"/>
                <w:szCs w:val="18"/>
              </w:rPr>
            </w:pPr>
          </w:p>
        </w:tc>
        <w:tc>
          <w:tcPr>
            <w:tcW w:w="1475" w:type="dxa"/>
            <w:shd w:val="clear" w:color="000000" w:fill="FFFFFF"/>
            <w:vAlign w:val="center"/>
          </w:tcPr>
          <w:p w14:paraId="3AF9C7F4" w14:textId="77777777" w:rsidR="001C32C8" w:rsidRPr="00B0658A" w:rsidRDefault="001C32C8" w:rsidP="00004A41">
            <w:pPr>
              <w:spacing w:after="0" w:line="240" w:lineRule="auto"/>
              <w:jc w:val="center"/>
              <w:rPr>
                <w:rFonts w:ascii="Times New Roman" w:hAnsi="Times New Roman"/>
                <w:sz w:val="18"/>
                <w:szCs w:val="18"/>
              </w:rPr>
            </w:pPr>
          </w:p>
        </w:tc>
      </w:tr>
    </w:tbl>
    <w:p w14:paraId="00D4217D" w14:textId="77777777" w:rsidR="008319FB" w:rsidRPr="00B0658A" w:rsidRDefault="008319FB" w:rsidP="008319FB">
      <w:pPr>
        <w:rPr>
          <w:rFonts w:ascii="Times New Roman" w:hAnsi="Times New Roman"/>
        </w:rPr>
      </w:pPr>
    </w:p>
    <w:p w14:paraId="65156F8E" w14:textId="77777777" w:rsidR="008319FB" w:rsidRPr="00B0658A" w:rsidRDefault="008319FB" w:rsidP="008319FB">
      <w:pPr>
        <w:rPr>
          <w:rFonts w:ascii="Times New Roman" w:hAnsi="Times New Roman"/>
        </w:rPr>
      </w:pPr>
    </w:p>
    <w:p w14:paraId="02658ECE" w14:textId="77777777" w:rsidR="008319FB" w:rsidRPr="00B0658A" w:rsidRDefault="008319FB" w:rsidP="008319FB">
      <w:pPr>
        <w:pStyle w:val="ConsPlusNormal"/>
        <w:spacing w:before="120"/>
        <w:jc w:val="both"/>
      </w:pPr>
      <w:r w:rsidRPr="00B0658A">
        <w:rPr>
          <w:sz w:val="28"/>
        </w:rPr>
        <w:lastRenderedPageBreak/>
        <w:t>Раздел </w:t>
      </w:r>
      <w:r w:rsidR="00B806D8" w:rsidRPr="00B0658A">
        <w:rPr>
          <w:sz w:val="28"/>
        </w:rPr>
        <w:t>3</w:t>
      </w:r>
      <w:r w:rsidRPr="00B0658A">
        <w:rPr>
          <w:sz w:val="28"/>
        </w:rPr>
        <w:t xml:space="preserve">. «Показатели эффективности в отношении закупок </w:t>
      </w:r>
      <w:r w:rsidR="00D052EA" w:rsidRPr="00B0658A">
        <w:rPr>
          <w:sz w:val="28"/>
        </w:rPr>
        <w:t>ПО</w:t>
      </w:r>
      <w:r w:rsidRPr="00B0658A">
        <w:rPr>
          <w:sz w:val="28"/>
        </w:rPr>
        <w:t xml:space="preserve"> и связанных с ним работ и услуг»</w:t>
      </w:r>
    </w:p>
    <w:tbl>
      <w:tblPr>
        <w:tblW w:w="5000" w:type="pct"/>
        <w:tblCellMar>
          <w:top w:w="102" w:type="dxa"/>
          <w:left w:w="62" w:type="dxa"/>
          <w:bottom w:w="102" w:type="dxa"/>
          <w:right w:w="62" w:type="dxa"/>
        </w:tblCellMar>
        <w:tblLook w:val="0000" w:firstRow="0" w:lastRow="0" w:firstColumn="0" w:lastColumn="0" w:noHBand="0" w:noVBand="0"/>
      </w:tblPr>
      <w:tblGrid>
        <w:gridCol w:w="3602"/>
        <w:gridCol w:w="1034"/>
        <w:gridCol w:w="1034"/>
        <w:gridCol w:w="1035"/>
        <w:gridCol w:w="1035"/>
        <w:gridCol w:w="1035"/>
        <w:gridCol w:w="1035"/>
        <w:gridCol w:w="1035"/>
        <w:gridCol w:w="1035"/>
        <w:gridCol w:w="1035"/>
        <w:gridCol w:w="1029"/>
      </w:tblGrid>
      <w:tr w:rsidR="00F52FED" w:rsidRPr="00B0658A" w14:paraId="49D2479E" w14:textId="77777777" w:rsidTr="004E5E5D">
        <w:trPr>
          <w:trHeight w:val="409"/>
        </w:trPr>
        <w:tc>
          <w:tcPr>
            <w:tcW w:w="1292"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D242937" w14:textId="77777777" w:rsidR="004E5E5D" w:rsidRPr="00B0658A" w:rsidRDefault="004E5E5D" w:rsidP="00004A41">
            <w:pPr>
              <w:spacing w:after="0" w:line="240" w:lineRule="auto"/>
              <w:jc w:val="center"/>
              <w:rPr>
                <w:rFonts w:ascii="Times New Roman" w:hAnsi="Times New Roman"/>
                <w:sz w:val="24"/>
                <w:szCs w:val="24"/>
              </w:rPr>
            </w:pPr>
            <w:r w:rsidRPr="00B0658A">
              <w:rPr>
                <w:rFonts w:ascii="Times New Roman" w:hAnsi="Times New Roman"/>
                <w:b/>
                <w:bCs/>
                <w:sz w:val="24"/>
                <w:szCs w:val="24"/>
              </w:rPr>
              <w:t>Показатель</w:t>
            </w:r>
          </w:p>
        </w:tc>
        <w:tc>
          <w:tcPr>
            <w:tcW w:w="371"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F4DD52F" w14:textId="77777777" w:rsidR="004E5E5D" w:rsidRPr="00B0658A" w:rsidRDefault="004E5E5D" w:rsidP="00004A41">
            <w:pPr>
              <w:spacing w:after="0" w:line="240" w:lineRule="auto"/>
              <w:jc w:val="center"/>
              <w:rPr>
                <w:rFonts w:ascii="Times New Roman" w:hAnsi="Times New Roman"/>
                <w:b/>
                <w:bCs/>
                <w:sz w:val="24"/>
                <w:szCs w:val="24"/>
              </w:rPr>
            </w:pPr>
            <w:r w:rsidRPr="00B0658A">
              <w:rPr>
                <w:rFonts w:ascii="Times New Roman" w:hAnsi="Times New Roman"/>
                <w:b/>
                <w:bCs/>
                <w:sz w:val="24"/>
                <w:szCs w:val="24"/>
              </w:rPr>
              <w:t>2021 г.</w:t>
            </w:r>
          </w:p>
          <w:p w14:paraId="27F8515F" w14:textId="77777777" w:rsidR="004E5E5D" w:rsidRPr="00B0658A" w:rsidRDefault="004E5E5D" w:rsidP="00004A41">
            <w:pPr>
              <w:pStyle w:val="ConsPlusNormal"/>
              <w:jc w:val="center"/>
            </w:pPr>
            <w:r w:rsidRPr="00B0658A">
              <w:rPr>
                <w:b/>
                <w:bCs/>
              </w:rPr>
              <w:t>(факт)</w:t>
            </w:r>
          </w:p>
        </w:tc>
        <w:tc>
          <w:tcPr>
            <w:tcW w:w="371"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C5663E1" w14:textId="77777777" w:rsidR="004E5E5D" w:rsidRPr="00B0658A" w:rsidRDefault="004E5E5D" w:rsidP="00004A41">
            <w:pPr>
              <w:spacing w:after="0" w:line="240" w:lineRule="auto"/>
              <w:jc w:val="center"/>
              <w:rPr>
                <w:rFonts w:ascii="Times New Roman" w:hAnsi="Times New Roman"/>
                <w:b/>
                <w:bCs/>
                <w:sz w:val="24"/>
                <w:szCs w:val="24"/>
              </w:rPr>
            </w:pPr>
            <w:r w:rsidRPr="00B0658A">
              <w:rPr>
                <w:rFonts w:ascii="Times New Roman" w:hAnsi="Times New Roman"/>
                <w:b/>
                <w:bCs/>
                <w:sz w:val="24"/>
                <w:szCs w:val="24"/>
              </w:rPr>
              <w:t>2022 г.</w:t>
            </w:r>
          </w:p>
          <w:p w14:paraId="19429BB0" w14:textId="77777777" w:rsidR="004E5E5D" w:rsidRPr="00B0658A" w:rsidRDefault="004E5E5D" w:rsidP="00004A41">
            <w:pPr>
              <w:pStyle w:val="ConsPlusNormal"/>
              <w:jc w:val="center"/>
              <w:rPr>
                <w:b/>
                <w:bCs/>
              </w:rPr>
            </w:pPr>
            <w:r w:rsidRPr="00B0658A">
              <w:rPr>
                <w:b/>
                <w:bCs/>
              </w:rPr>
              <w:t>(план)</w:t>
            </w:r>
          </w:p>
        </w:tc>
        <w:tc>
          <w:tcPr>
            <w:tcW w:w="371"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B5B669C" w14:textId="77777777" w:rsidR="004E5E5D" w:rsidRPr="00B0658A" w:rsidRDefault="004E5E5D" w:rsidP="00004A41">
            <w:pPr>
              <w:spacing w:after="0" w:line="240" w:lineRule="auto"/>
              <w:jc w:val="center"/>
              <w:rPr>
                <w:rFonts w:ascii="Times New Roman" w:hAnsi="Times New Roman"/>
                <w:b/>
                <w:bCs/>
                <w:sz w:val="24"/>
                <w:szCs w:val="24"/>
              </w:rPr>
            </w:pPr>
            <w:r w:rsidRPr="00B0658A">
              <w:rPr>
                <w:rFonts w:ascii="Times New Roman" w:hAnsi="Times New Roman"/>
                <w:b/>
                <w:bCs/>
                <w:sz w:val="24"/>
                <w:szCs w:val="24"/>
              </w:rPr>
              <w:t>2023 г.</w:t>
            </w:r>
          </w:p>
          <w:p w14:paraId="6C7C46EF" w14:textId="77777777" w:rsidR="004E5E5D" w:rsidRPr="00B0658A" w:rsidRDefault="004E5E5D" w:rsidP="00004A41">
            <w:pPr>
              <w:pStyle w:val="ConsPlusNormal"/>
              <w:jc w:val="center"/>
              <w:rPr>
                <w:b/>
                <w:bCs/>
              </w:rPr>
            </w:pPr>
            <w:r w:rsidRPr="00B0658A">
              <w:rPr>
                <w:b/>
                <w:bCs/>
              </w:rPr>
              <w:t>(план)</w:t>
            </w:r>
          </w:p>
        </w:tc>
        <w:tc>
          <w:tcPr>
            <w:tcW w:w="371"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6BA3DF9" w14:textId="77777777" w:rsidR="004E5E5D" w:rsidRPr="00B0658A" w:rsidRDefault="004E5E5D" w:rsidP="00004A41">
            <w:pPr>
              <w:spacing w:after="0" w:line="240" w:lineRule="auto"/>
              <w:jc w:val="center"/>
              <w:rPr>
                <w:rFonts w:ascii="Times New Roman" w:hAnsi="Times New Roman"/>
                <w:b/>
                <w:bCs/>
                <w:sz w:val="24"/>
                <w:szCs w:val="24"/>
              </w:rPr>
            </w:pPr>
            <w:r w:rsidRPr="00B0658A">
              <w:rPr>
                <w:rFonts w:ascii="Times New Roman" w:hAnsi="Times New Roman"/>
                <w:b/>
                <w:bCs/>
                <w:sz w:val="24"/>
                <w:szCs w:val="24"/>
              </w:rPr>
              <w:t>2024 г.</w:t>
            </w:r>
          </w:p>
          <w:p w14:paraId="61E88319" w14:textId="77777777" w:rsidR="004E5E5D" w:rsidRPr="00B0658A" w:rsidRDefault="004E5E5D" w:rsidP="00004A41">
            <w:pPr>
              <w:pStyle w:val="ConsPlusNormal"/>
              <w:jc w:val="center"/>
              <w:rPr>
                <w:b/>
                <w:bCs/>
              </w:rPr>
            </w:pPr>
            <w:r w:rsidRPr="00B0658A">
              <w:rPr>
                <w:b/>
                <w:bCs/>
              </w:rPr>
              <w:t>(план)</w:t>
            </w:r>
          </w:p>
        </w:tc>
        <w:tc>
          <w:tcPr>
            <w:tcW w:w="371"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FFA49D9" w14:textId="77777777" w:rsidR="004E5E5D" w:rsidRPr="00B0658A" w:rsidRDefault="004E5E5D" w:rsidP="00004A41">
            <w:pPr>
              <w:spacing w:after="0" w:line="240" w:lineRule="auto"/>
              <w:jc w:val="center"/>
              <w:rPr>
                <w:rFonts w:ascii="Times New Roman" w:hAnsi="Times New Roman"/>
                <w:b/>
                <w:bCs/>
                <w:sz w:val="24"/>
                <w:szCs w:val="24"/>
              </w:rPr>
            </w:pPr>
            <w:r w:rsidRPr="00B0658A">
              <w:rPr>
                <w:rFonts w:ascii="Times New Roman" w:hAnsi="Times New Roman"/>
                <w:b/>
                <w:bCs/>
                <w:sz w:val="24"/>
                <w:szCs w:val="24"/>
              </w:rPr>
              <w:t>2025 г.</w:t>
            </w:r>
          </w:p>
          <w:p w14:paraId="2FEFD5A9" w14:textId="77777777" w:rsidR="004E5E5D" w:rsidRPr="00B0658A" w:rsidRDefault="004E5E5D" w:rsidP="00004A41">
            <w:pPr>
              <w:pStyle w:val="ConsPlusNormal"/>
              <w:jc w:val="center"/>
              <w:rPr>
                <w:b/>
                <w:bCs/>
              </w:rPr>
            </w:pPr>
            <w:r w:rsidRPr="00B0658A">
              <w:rPr>
                <w:b/>
                <w:bCs/>
              </w:rPr>
              <w:t>(план)</w:t>
            </w:r>
          </w:p>
        </w:tc>
        <w:tc>
          <w:tcPr>
            <w:tcW w:w="371"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EE48758" w14:textId="77777777" w:rsidR="004E5E5D" w:rsidRPr="00B0658A" w:rsidRDefault="004E5E5D" w:rsidP="00004A41">
            <w:pPr>
              <w:spacing w:after="0" w:line="240" w:lineRule="auto"/>
              <w:jc w:val="center"/>
              <w:rPr>
                <w:rFonts w:ascii="Times New Roman" w:hAnsi="Times New Roman"/>
                <w:b/>
                <w:bCs/>
                <w:sz w:val="24"/>
                <w:szCs w:val="24"/>
              </w:rPr>
            </w:pPr>
            <w:r w:rsidRPr="00B0658A">
              <w:rPr>
                <w:rFonts w:ascii="Times New Roman" w:hAnsi="Times New Roman"/>
                <w:b/>
                <w:bCs/>
                <w:sz w:val="24"/>
                <w:szCs w:val="24"/>
              </w:rPr>
              <w:t>2026 г.</w:t>
            </w:r>
          </w:p>
          <w:p w14:paraId="4028F15E" w14:textId="77777777" w:rsidR="004E5E5D" w:rsidRPr="00B0658A" w:rsidRDefault="004E5E5D" w:rsidP="00004A41">
            <w:pPr>
              <w:pStyle w:val="ConsPlusNormal"/>
              <w:jc w:val="center"/>
              <w:rPr>
                <w:b/>
                <w:bCs/>
              </w:rPr>
            </w:pPr>
            <w:r w:rsidRPr="00B0658A">
              <w:rPr>
                <w:b/>
                <w:bCs/>
              </w:rPr>
              <w:t>(план)</w:t>
            </w:r>
          </w:p>
        </w:tc>
        <w:tc>
          <w:tcPr>
            <w:tcW w:w="371"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DC0780A" w14:textId="77777777" w:rsidR="004E5E5D" w:rsidRPr="00B0658A" w:rsidRDefault="004E5E5D" w:rsidP="00004A41">
            <w:pPr>
              <w:spacing w:after="0" w:line="240" w:lineRule="auto"/>
              <w:jc w:val="center"/>
              <w:rPr>
                <w:rFonts w:ascii="Times New Roman" w:hAnsi="Times New Roman"/>
                <w:b/>
                <w:bCs/>
                <w:sz w:val="24"/>
                <w:szCs w:val="24"/>
              </w:rPr>
            </w:pPr>
            <w:r w:rsidRPr="00B0658A">
              <w:rPr>
                <w:rFonts w:ascii="Times New Roman" w:hAnsi="Times New Roman"/>
                <w:b/>
                <w:bCs/>
                <w:sz w:val="24"/>
                <w:szCs w:val="24"/>
              </w:rPr>
              <w:t>2027 г.</w:t>
            </w:r>
          </w:p>
          <w:p w14:paraId="5BCA101E" w14:textId="77777777" w:rsidR="004E5E5D" w:rsidRPr="00B0658A" w:rsidRDefault="004E5E5D" w:rsidP="00004A41">
            <w:pPr>
              <w:pStyle w:val="ConsPlusNormal"/>
              <w:jc w:val="center"/>
              <w:rPr>
                <w:b/>
                <w:bCs/>
              </w:rPr>
            </w:pPr>
            <w:r w:rsidRPr="00B0658A">
              <w:rPr>
                <w:b/>
                <w:bCs/>
              </w:rPr>
              <w:t>(план)</w:t>
            </w:r>
          </w:p>
        </w:tc>
        <w:tc>
          <w:tcPr>
            <w:tcW w:w="371" w:type="pct"/>
            <w:tcBorders>
              <w:top w:val="single" w:sz="4" w:space="0" w:color="auto"/>
              <w:left w:val="single" w:sz="4" w:space="0" w:color="auto"/>
              <w:bottom w:val="single" w:sz="4" w:space="0" w:color="auto"/>
              <w:right w:val="single" w:sz="4" w:space="0" w:color="auto"/>
            </w:tcBorders>
            <w:shd w:val="clear" w:color="auto" w:fill="E7E6E6" w:themeFill="background2"/>
          </w:tcPr>
          <w:p w14:paraId="71D92BBB" w14:textId="77777777" w:rsidR="004E5E5D" w:rsidRPr="00B0658A" w:rsidRDefault="004E5E5D" w:rsidP="00004A41">
            <w:pPr>
              <w:spacing w:after="0" w:line="240" w:lineRule="auto"/>
              <w:jc w:val="center"/>
              <w:rPr>
                <w:rFonts w:ascii="Times New Roman" w:hAnsi="Times New Roman"/>
                <w:b/>
                <w:bCs/>
                <w:sz w:val="24"/>
                <w:szCs w:val="24"/>
              </w:rPr>
            </w:pPr>
            <w:r w:rsidRPr="00B0658A">
              <w:rPr>
                <w:rFonts w:ascii="Times New Roman" w:hAnsi="Times New Roman"/>
                <w:b/>
                <w:bCs/>
                <w:sz w:val="24"/>
                <w:szCs w:val="24"/>
              </w:rPr>
              <w:t>2028 г.</w:t>
            </w:r>
          </w:p>
          <w:p w14:paraId="336FA729" w14:textId="77777777" w:rsidR="004E5E5D" w:rsidRPr="00B0658A" w:rsidRDefault="004E5E5D" w:rsidP="00004A41">
            <w:pPr>
              <w:spacing w:after="0" w:line="240" w:lineRule="auto"/>
              <w:jc w:val="center"/>
              <w:rPr>
                <w:rFonts w:ascii="Times New Roman" w:hAnsi="Times New Roman"/>
                <w:b/>
                <w:bCs/>
                <w:sz w:val="24"/>
                <w:szCs w:val="24"/>
              </w:rPr>
            </w:pPr>
            <w:r w:rsidRPr="00B0658A">
              <w:rPr>
                <w:rFonts w:ascii="Times New Roman" w:hAnsi="Times New Roman"/>
                <w:b/>
                <w:bCs/>
                <w:sz w:val="24"/>
                <w:szCs w:val="24"/>
              </w:rPr>
              <w:t>(план</w:t>
            </w:r>
            <w:r w:rsidR="00D22013" w:rsidRPr="00B0658A">
              <w:rPr>
                <w:rFonts w:ascii="Times New Roman" w:hAnsi="Times New Roman"/>
                <w:b/>
                <w:bCs/>
                <w:sz w:val="24"/>
                <w:szCs w:val="24"/>
              </w:rPr>
              <w:t>)</w:t>
            </w:r>
          </w:p>
        </w:tc>
        <w:tc>
          <w:tcPr>
            <w:tcW w:w="371" w:type="pct"/>
            <w:tcBorders>
              <w:top w:val="single" w:sz="4" w:space="0" w:color="auto"/>
              <w:left w:val="single" w:sz="4" w:space="0" w:color="auto"/>
              <w:bottom w:val="single" w:sz="4" w:space="0" w:color="auto"/>
              <w:right w:val="single" w:sz="4" w:space="0" w:color="auto"/>
            </w:tcBorders>
            <w:shd w:val="clear" w:color="auto" w:fill="E7E6E6" w:themeFill="background2"/>
          </w:tcPr>
          <w:p w14:paraId="5D6C9E0B" w14:textId="77777777" w:rsidR="004E5E5D" w:rsidRPr="00B0658A" w:rsidRDefault="004E5E5D" w:rsidP="00004A41">
            <w:pPr>
              <w:spacing w:after="0" w:line="240" w:lineRule="auto"/>
              <w:jc w:val="center"/>
              <w:rPr>
                <w:rFonts w:ascii="Times New Roman" w:hAnsi="Times New Roman"/>
                <w:b/>
                <w:bCs/>
                <w:sz w:val="24"/>
                <w:szCs w:val="24"/>
              </w:rPr>
            </w:pPr>
            <w:r w:rsidRPr="00B0658A">
              <w:rPr>
                <w:rFonts w:ascii="Times New Roman" w:hAnsi="Times New Roman"/>
                <w:b/>
                <w:bCs/>
                <w:sz w:val="24"/>
                <w:szCs w:val="24"/>
              </w:rPr>
              <w:t>2029 г.</w:t>
            </w:r>
          </w:p>
          <w:p w14:paraId="2AF7F725" w14:textId="77777777" w:rsidR="004E5E5D" w:rsidRPr="00B0658A" w:rsidRDefault="004E5E5D" w:rsidP="00004A41">
            <w:pPr>
              <w:spacing w:after="0" w:line="240" w:lineRule="auto"/>
              <w:jc w:val="center"/>
              <w:rPr>
                <w:rFonts w:ascii="Times New Roman" w:hAnsi="Times New Roman"/>
                <w:b/>
                <w:bCs/>
                <w:sz w:val="24"/>
                <w:szCs w:val="24"/>
              </w:rPr>
            </w:pPr>
            <w:r w:rsidRPr="00B0658A">
              <w:rPr>
                <w:rFonts w:ascii="Times New Roman" w:hAnsi="Times New Roman"/>
                <w:b/>
                <w:bCs/>
                <w:sz w:val="24"/>
                <w:szCs w:val="24"/>
              </w:rPr>
              <w:t>(план</w:t>
            </w:r>
            <w:r w:rsidR="00D22013" w:rsidRPr="00B0658A">
              <w:rPr>
                <w:rFonts w:ascii="Times New Roman" w:hAnsi="Times New Roman"/>
                <w:b/>
                <w:bCs/>
                <w:sz w:val="24"/>
                <w:szCs w:val="24"/>
              </w:rPr>
              <w:t>)</w:t>
            </w:r>
          </w:p>
        </w:tc>
        <w:tc>
          <w:tcPr>
            <w:tcW w:w="369" w:type="pct"/>
            <w:tcBorders>
              <w:top w:val="single" w:sz="4" w:space="0" w:color="auto"/>
              <w:left w:val="single" w:sz="4" w:space="0" w:color="auto"/>
              <w:bottom w:val="single" w:sz="4" w:space="0" w:color="auto"/>
              <w:right w:val="single" w:sz="4" w:space="0" w:color="auto"/>
            </w:tcBorders>
            <w:shd w:val="clear" w:color="auto" w:fill="E7E6E6" w:themeFill="background2"/>
          </w:tcPr>
          <w:p w14:paraId="05D1168B" w14:textId="77777777" w:rsidR="004E5E5D" w:rsidRPr="00B0658A" w:rsidRDefault="004E5E5D" w:rsidP="00004A41">
            <w:pPr>
              <w:spacing w:after="0" w:line="240" w:lineRule="auto"/>
              <w:jc w:val="center"/>
              <w:rPr>
                <w:rFonts w:ascii="Times New Roman" w:hAnsi="Times New Roman"/>
                <w:b/>
                <w:bCs/>
                <w:sz w:val="24"/>
                <w:szCs w:val="24"/>
              </w:rPr>
            </w:pPr>
            <w:r w:rsidRPr="00B0658A">
              <w:rPr>
                <w:rFonts w:ascii="Times New Roman" w:hAnsi="Times New Roman"/>
                <w:b/>
                <w:bCs/>
                <w:sz w:val="24"/>
                <w:szCs w:val="24"/>
              </w:rPr>
              <w:t>2030 г.</w:t>
            </w:r>
          </w:p>
          <w:p w14:paraId="415A8CA4" w14:textId="77777777" w:rsidR="004E5E5D" w:rsidRPr="00B0658A" w:rsidRDefault="004E5E5D" w:rsidP="00004A41">
            <w:pPr>
              <w:spacing w:after="0" w:line="240" w:lineRule="auto"/>
              <w:jc w:val="center"/>
              <w:rPr>
                <w:rFonts w:ascii="Times New Roman" w:hAnsi="Times New Roman"/>
                <w:b/>
                <w:bCs/>
                <w:sz w:val="24"/>
                <w:szCs w:val="24"/>
              </w:rPr>
            </w:pPr>
            <w:r w:rsidRPr="00B0658A">
              <w:rPr>
                <w:rFonts w:ascii="Times New Roman" w:hAnsi="Times New Roman"/>
                <w:b/>
                <w:bCs/>
                <w:sz w:val="24"/>
                <w:szCs w:val="24"/>
              </w:rPr>
              <w:t>(план</w:t>
            </w:r>
            <w:r w:rsidR="00D22013" w:rsidRPr="00B0658A">
              <w:rPr>
                <w:rFonts w:ascii="Times New Roman" w:hAnsi="Times New Roman"/>
                <w:b/>
                <w:bCs/>
                <w:sz w:val="24"/>
                <w:szCs w:val="24"/>
              </w:rPr>
              <w:t>)</w:t>
            </w:r>
          </w:p>
        </w:tc>
      </w:tr>
      <w:tr w:rsidR="004E5E5D" w:rsidRPr="00B0658A" w14:paraId="6CB96A72" w14:textId="77777777" w:rsidTr="00D22013">
        <w:trPr>
          <w:trHeight w:val="409"/>
        </w:trPr>
        <w:tc>
          <w:tcPr>
            <w:tcW w:w="1292" w:type="pct"/>
            <w:tcBorders>
              <w:top w:val="single" w:sz="4" w:space="0" w:color="auto"/>
              <w:left w:val="single" w:sz="4" w:space="0" w:color="auto"/>
              <w:bottom w:val="single" w:sz="4" w:space="0" w:color="auto"/>
              <w:right w:val="single" w:sz="4" w:space="0" w:color="auto"/>
            </w:tcBorders>
          </w:tcPr>
          <w:p w14:paraId="231262A6" w14:textId="77777777" w:rsidR="004E5E5D" w:rsidRPr="00B0658A" w:rsidRDefault="004E5E5D" w:rsidP="00004A41">
            <w:pPr>
              <w:pStyle w:val="ConsPlusNormal"/>
            </w:pPr>
            <w:r w:rsidRPr="00B0658A">
              <w:t xml:space="preserve">Доля расходов на закупку российского </w:t>
            </w:r>
            <w:r w:rsidR="00720519" w:rsidRPr="00B0658A">
              <w:t>ПО</w:t>
            </w:r>
            <w:r w:rsidRPr="00B0658A">
              <w:t xml:space="preserve"> и связанных с ним работ (услуг) в общем объеме расходов на закупку </w:t>
            </w:r>
            <w:r w:rsidR="00720519" w:rsidRPr="00B0658A">
              <w:t>ПО</w:t>
            </w:r>
            <w:r w:rsidRPr="00B0658A">
              <w:t xml:space="preserve"> и связанных с ним работ (услуг), %</w:t>
            </w:r>
          </w:p>
        </w:tc>
        <w:tc>
          <w:tcPr>
            <w:tcW w:w="371" w:type="pct"/>
            <w:tcBorders>
              <w:top w:val="single" w:sz="4" w:space="0" w:color="auto"/>
              <w:left w:val="single" w:sz="4" w:space="0" w:color="auto"/>
              <w:bottom w:val="single" w:sz="4" w:space="0" w:color="auto"/>
              <w:right w:val="single" w:sz="4" w:space="0" w:color="auto"/>
            </w:tcBorders>
            <w:vAlign w:val="center"/>
          </w:tcPr>
          <w:p w14:paraId="135F4383" w14:textId="77777777" w:rsidR="004E5E5D" w:rsidRPr="00B0658A" w:rsidRDefault="004E5E5D" w:rsidP="00004A41">
            <w:pPr>
              <w:pStyle w:val="ConsPlusNormal"/>
              <w:jc w:val="center"/>
            </w:pPr>
          </w:p>
        </w:tc>
        <w:tc>
          <w:tcPr>
            <w:tcW w:w="371" w:type="pct"/>
            <w:tcBorders>
              <w:top w:val="single" w:sz="4" w:space="0" w:color="auto"/>
              <w:left w:val="single" w:sz="4" w:space="0" w:color="auto"/>
              <w:bottom w:val="single" w:sz="4" w:space="0" w:color="auto"/>
              <w:right w:val="single" w:sz="4" w:space="0" w:color="auto"/>
            </w:tcBorders>
            <w:vAlign w:val="center"/>
          </w:tcPr>
          <w:p w14:paraId="48ADBDD3" w14:textId="77777777" w:rsidR="004E5E5D" w:rsidRPr="00B0658A" w:rsidRDefault="004E5E5D" w:rsidP="00004A41">
            <w:pPr>
              <w:pStyle w:val="ConsPlusNormal"/>
              <w:jc w:val="center"/>
            </w:pPr>
          </w:p>
        </w:tc>
        <w:tc>
          <w:tcPr>
            <w:tcW w:w="371" w:type="pct"/>
            <w:tcBorders>
              <w:top w:val="single" w:sz="4" w:space="0" w:color="auto"/>
              <w:left w:val="single" w:sz="4" w:space="0" w:color="auto"/>
              <w:bottom w:val="single" w:sz="4" w:space="0" w:color="auto"/>
              <w:right w:val="single" w:sz="4" w:space="0" w:color="auto"/>
            </w:tcBorders>
            <w:vAlign w:val="center"/>
          </w:tcPr>
          <w:p w14:paraId="4C581B32" w14:textId="77777777" w:rsidR="004E5E5D" w:rsidRPr="00B0658A" w:rsidRDefault="004E5E5D" w:rsidP="00004A41">
            <w:pPr>
              <w:pStyle w:val="ConsPlusNormal"/>
              <w:jc w:val="center"/>
            </w:pPr>
          </w:p>
        </w:tc>
        <w:tc>
          <w:tcPr>
            <w:tcW w:w="371" w:type="pct"/>
            <w:tcBorders>
              <w:top w:val="single" w:sz="4" w:space="0" w:color="auto"/>
              <w:left w:val="single" w:sz="4" w:space="0" w:color="auto"/>
              <w:bottom w:val="single" w:sz="4" w:space="0" w:color="auto"/>
              <w:right w:val="single" w:sz="4" w:space="0" w:color="auto"/>
            </w:tcBorders>
            <w:vAlign w:val="center"/>
          </w:tcPr>
          <w:p w14:paraId="6B183B4E" w14:textId="77777777" w:rsidR="004E5E5D" w:rsidRPr="00B0658A" w:rsidRDefault="004E5E5D" w:rsidP="00004A41">
            <w:pPr>
              <w:pStyle w:val="ConsPlusNormal"/>
              <w:jc w:val="center"/>
            </w:pPr>
          </w:p>
        </w:tc>
        <w:tc>
          <w:tcPr>
            <w:tcW w:w="371" w:type="pct"/>
            <w:tcBorders>
              <w:top w:val="single" w:sz="4" w:space="0" w:color="auto"/>
              <w:left w:val="single" w:sz="4" w:space="0" w:color="auto"/>
              <w:bottom w:val="single" w:sz="4" w:space="0" w:color="auto"/>
              <w:right w:val="single" w:sz="4" w:space="0" w:color="auto"/>
            </w:tcBorders>
            <w:vAlign w:val="center"/>
          </w:tcPr>
          <w:p w14:paraId="1BA81FFE" w14:textId="77777777" w:rsidR="004E5E5D" w:rsidRPr="00B0658A" w:rsidRDefault="004E5E5D" w:rsidP="00004A41">
            <w:pPr>
              <w:pStyle w:val="ConsPlusNormal"/>
              <w:jc w:val="center"/>
            </w:pPr>
          </w:p>
        </w:tc>
        <w:tc>
          <w:tcPr>
            <w:tcW w:w="371" w:type="pct"/>
            <w:tcBorders>
              <w:top w:val="single" w:sz="4" w:space="0" w:color="auto"/>
              <w:left w:val="single" w:sz="4" w:space="0" w:color="auto"/>
              <w:bottom w:val="single" w:sz="4" w:space="0" w:color="auto"/>
              <w:right w:val="single" w:sz="4" w:space="0" w:color="auto"/>
            </w:tcBorders>
            <w:vAlign w:val="center"/>
          </w:tcPr>
          <w:p w14:paraId="1BE0021B" w14:textId="77777777" w:rsidR="004E5E5D" w:rsidRPr="00B0658A" w:rsidRDefault="004E5E5D" w:rsidP="00004A41">
            <w:pPr>
              <w:pStyle w:val="ConsPlusNormal"/>
              <w:jc w:val="center"/>
            </w:pPr>
          </w:p>
        </w:tc>
        <w:tc>
          <w:tcPr>
            <w:tcW w:w="371" w:type="pct"/>
            <w:tcBorders>
              <w:top w:val="single" w:sz="4" w:space="0" w:color="auto"/>
              <w:left w:val="single" w:sz="4" w:space="0" w:color="auto"/>
              <w:bottom w:val="single" w:sz="4" w:space="0" w:color="auto"/>
              <w:right w:val="single" w:sz="4" w:space="0" w:color="auto"/>
            </w:tcBorders>
            <w:vAlign w:val="center"/>
          </w:tcPr>
          <w:p w14:paraId="7BBD8D70" w14:textId="77777777" w:rsidR="004E5E5D" w:rsidRPr="00B0658A" w:rsidRDefault="004E5E5D" w:rsidP="00004A41">
            <w:pPr>
              <w:pStyle w:val="ConsPlusNormal"/>
              <w:jc w:val="center"/>
            </w:pPr>
          </w:p>
        </w:tc>
        <w:tc>
          <w:tcPr>
            <w:tcW w:w="371" w:type="pct"/>
            <w:tcBorders>
              <w:top w:val="single" w:sz="4" w:space="0" w:color="auto"/>
              <w:left w:val="single" w:sz="4" w:space="0" w:color="auto"/>
              <w:bottom w:val="single" w:sz="4" w:space="0" w:color="auto"/>
              <w:right w:val="single" w:sz="4" w:space="0" w:color="auto"/>
            </w:tcBorders>
            <w:vAlign w:val="center"/>
          </w:tcPr>
          <w:p w14:paraId="31E7F467" w14:textId="77777777" w:rsidR="004E5E5D" w:rsidRPr="00B0658A" w:rsidRDefault="004E5E5D" w:rsidP="00004A41">
            <w:pPr>
              <w:pStyle w:val="ConsPlusNormal"/>
              <w:jc w:val="center"/>
            </w:pPr>
          </w:p>
        </w:tc>
        <w:tc>
          <w:tcPr>
            <w:tcW w:w="371" w:type="pct"/>
            <w:tcBorders>
              <w:top w:val="single" w:sz="4" w:space="0" w:color="auto"/>
              <w:left w:val="single" w:sz="4" w:space="0" w:color="auto"/>
              <w:bottom w:val="single" w:sz="4" w:space="0" w:color="auto"/>
              <w:right w:val="single" w:sz="4" w:space="0" w:color="auto"/>
            </w:tcBorders>
            <w:vAlign w:val="center"/>
          </w:tcPr>
          <w:p w14:paraId="2A97F0DB" w14:textId="77777777" w:rsidR="004E5E5D" w:rsidRPr="00B0658A" w:rsidRDefault="004E5E5D" w:rsidP="00004A41">
            <w:pPr>
              <w:pStyle w:val="ConsPlusNormal"/>
              <w:jc w:val="center"/>
            </w:pPr>
          </w:p>
        </w:tc>
        <w:tc>
          <w:tcPr>
            <w:tcW w:w="369" w:type="pct"/>
            <w:tcBorders>
              <w:top w:val="single" w:sz="4" w:space="0" w:color="auto"/>
              <w:left w:val="single" w:sz="4" w:space="0" w:color="auto"/>
              <w:bottom w:val="single" w:sz="4" w:space="0" w:color="auto"/>
              <w:right w:val="single" w:sz="4" w:space="0" w:color="auto"/>
            </w:tcBorders>
            <w:vAlign w:val="center"/>
          </w:tcPr>
          <w:p w14:paraId="21FFC871" w14:textId="77777777" w:rsidR="004E5E5D" w:rsidRPr="00B0658A" w:rsidRDefault="004E5E5D" w:rsidP="00004A41">
            <w:pPr>
              <w:pStyle w:val="ConsPlusNormal"/>
              <w:jc w:val="center"/>
            </w:pPr>
          </w:p>
        </w:tc>
      </w:tr>
    </w:tbl>
    <w:p w14:paraId="203577A0" w14:textId="77777777" w:rsidR="008319FB" w:rsidRPr="00B0658A" w:rsidRDefault="008319FB" w:rsidP="008319FB">
      <w:pPr>
        <w:spacing w:before="120" w:after="0" w:line="240" w:lineRule="auto"/>
        <w:rPr>
          <w:rFonts w:ascii="Times New Roman" w:hAnsi="Times New Roman"/>
          <w:sz w:val="28"/>
          <w:szCs w:val="24"/>
        </w:rPr>
      </w:pPr>
    </w:p>
    <w:p w14:paraId="3E3AF14B" w14:textId="77777777" w:rsidR="008319FB" w:rsidRPr="00B0658A" w:rsidRDefault="008319FB" w:rsidP="008319FB">
      <w:pPr>
        <w:pStyle w:val="ConsPlusNormal"/>
        <w:spacing w:before="120"/>
        <w:jc w:val="both"/>
      </w:pPr>
      <w:r w:rsidRPr="00B0658A">
        <w:rPr>
          <w:sz w:val="28"/>
        </w:rPr>
        <w:t>Раздел </w:t>
      </w:r>
      <w:r w:rsidR="004E5E5D" w:rsidRPr="00B0658A">
        <w:rPr>
          <w:sz w:val="28"/>
        </w:rPr>
        <w:t>4</w:t>
      </w:r>
      <w:r w:rsidRPr="00B0658A">
        <w:rPr>
          <w:sz w:val="28"/>
        </w:rPr>
        <w:t>. «</w:t>
      </w:r>
      <w:r w:rsidR="00F440EA" w:rsidRPr="00B0658A">
        <w:rPr>
          <w:sz w:val="28"/>
          <w:lang w:val="en-US"/>
        </w:rPr>
        <w:t>C</w:t>
      </w:r>
      <w:r w:rsidR="00F440EA" w:rsidRPr="00B0658A">
        <w:rPr>
          <w:sz w:val="28"/>
        </w:rPr>
        <w:t>ведения об объемах и источниках финансовых ресурсов, планируемых для решения задач по переходу на использование российского ПО</w:t>
      </w:r>
      <w:r w:rsidRPr="00B0658A">
        <w:rPr>
          <w:sz w:val="28"/>
        </w:rPr>
        <w:t>»</w:t>
      </w:r>
    </w:p>
    <w:tbl>
      <w:tblPr>
        <w:tblW w:w="5000" w:type="pct"/>
        <w:tblCellMar>
          <w:top w:w="102" w:type="dxa"/>
          <w:left w:w="62" w:type="dxa"/>
          <w:bottom w:w="102" w:type="dxa"/>
          <w:right w:w="62" w:type="dxa"/>
        </w:tblCellMar>
        <w:tblLook w:val="0000" w:firstRow="0" w:lastRow="0" w:firstColumn="0" w:lastColumn="0" w:noHBand="0" w:noVBand="0"/>
      </w:tblPr>
      <w:tblGrid>
        <w:gridCol w:w="2818"/>
        <w:gridCol w:w="1013"/>
        <w:gridCol w:w="1017"/>
        <w:gridCol w:w="1017"/>
        <w:gridCol w:w="1017"/>
        <w:gridCol w:w="1014"/>
        <w:gridCol w:w="1017"/>
        <w:gridCol w:w="1017"/>
        <w:gridCol w:w="1017"/>
        <w:gridCol w:w="1017"/>
        <w:gridCol w:w="1980"/>
      </w:tblGrid>
      <w:tr w:rsidR="00F52FED" w:rsidRPr="00B0658A" w14:paraId="784B8C49" w14:textId="77777777" w:rsidTr="005737D2">
        <w:trPr>
          <w:trHeight w:val="404"/>
        </w:trPr>
        <w:tc>
          <w:tcPr>
            <w:tcW w:w="1019"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6479E9D" w14:textId="77777777" w:rsidR="00D22013" w:rsidRPr="00B0658A" w:rsidRDefault="00D22013" w:rsidP="00004A41">
            <w:pPr>
              <w:spacing w:after="0" w:line="240" w:lineRule="auto"/>
              <w:jc w:val="center"/>
              <w:rPr>
                <w:rFonts w:ascii="Times New Roman" w:hAnsi="Times New Roman"/>
                <w:b/>
                <w:bCs/>
                <w:sz w:val="24"/>
                <w:szCs w:val="24"/>
              </w:rPr>
            </w:pPr>
            <w:r w:rsidRPr="00B0658A">
              <w:rPr>
                <w:rFonts w:ascii="Times New Roman" w:hAnsi="Times New Roman"/>
                <w:b/>
                <w:bCs/>
                <w:sz w:val="24"/>
                <w:szCs w:val="24"/>
              </w:rPr>
              <w:t>Показатель</w:t>
            </w:r>
          </w:p>
        </w:tc>
        <w:tc>
          <w:tcPr>
            <w:tcW w:w="372"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49CDB1B" w14:textId="77777777" w:rsidR="00D22013" w:rsidRPr="00B0658A" w:rsidRDefault="00D22013" w:rsidP="00004A41">
            <w:pPr>
              <w:spacing w:after="0" w:line="240" w:lineRule="auto"/>
              <w:jc w:val="center"/>
              <w:rPr>
                <w:rFonts w:ascii="Times New Roman" w:hAnsi="Times New Roman"/>
                <w:b/>
                <w:bCs/>
                <w:sz w:val="24"/>
                <w:szCs w:val="24"/>
              </w:rPr>
            </w:pPr>
            <w:r w:rsidRPr="00B0658A">
              <w:rPr>
                <w:rFonts w:ascii="Times New Roman" w:hAnsi="Times New Roman"/>
                <w:b/>
                <w:bCs/>
                <w:sz w:val="24"/>
                <w:szCs w:val="24"/>
              </w:rPr>
              <w:t>2022 г.</w:t>
            </w:r>
          </w:p>
        </w:tc>
        <w:tc>
          <w:tcPr>
            <w:tcW w:w="373"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08E6E35" w14:textId="77777777" w:rsidR="00D22013" w:rsidRPr="00B0658A" w:rsidRDefault="00D22013" w:rsidP="00004A41">
            <w:pPr>
              <w:spacing w:after="0" w:line="240" w:lineRule="auto"/>
              <w:jc w:val="center"/>
              <w:rPr>
                <w:rFonts w:ascii="Times New Roman" w:hAnsi="Times New Roman"/>
                <w:b/>
                <w:bCs/>
                <w:sz w:val="24"/>
                <w:szCs w:val="24"/>
              </w:rPr>
            </w:pPr>
            <w:r w:rsidRPr="00B0658A">
              <w:rPr>
                <w:rFonts w:ascii="Times New Roman" w:hAnsi="Times New Roman"/>
                <w:b/>
                <w:bCs/>
                <w:sz w:val="24"/>
                <w:szCs w:val="24"/>
              </w:rPr>
              <w:t>2023 г.</w:t>
            </w:r>
          </w:p>
        </w:tc>
        <w:tc>
          <w:tcPr>
            <w:tcW w:w="373"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326A119" w14:textId="77777777" w:rsidR="00D22013" w:rsidRPr="00B0658A" w:rsidRDefault="00D22013" w:rsidP="00004A41">
            <w:pPr>
              <w:spacing w:after="0" w:line="240" w:lineRule="auto"/>
              <w:jc w:val="center"/>
              <w:rPr>
                <w:rFonts w:ascii="Times New Roman" w:hAnsi="Times New Roman"/>
                <w:b/>
                <w:bCs/>
                <w:sz w:val="24"/>
                <w:szCs w:val="24"/>
              </w:rPr>
            </w:pPr>
            <w:r w:rsidRPr="00B0658A">
              <w:rPr>
                <w:rFonts w:ascii="Times New Roman" w:hAnsi="Times New Roman"/>
                <w:b/>
                <w:bCs/>
                <w:sz w:val="24"/>
                <w:szCs w:val="24"/>
              </w:rPr>
              <w:t>2024 г.</w:t>
            </w:r>
          </w:p>
        </w:tc>
        <w:tc>
          <w:tcPr>
            <w:tcW w:w="373"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BFF1E9E" w14:textId="77777777" w:rsidR="00D22013" w:rsidRPr="00B0658A" w:rsidRDefault="00D22013" w:rsidP="00004A41">
            <w:pPr>
              <w:spacing w:after="0" w:line="240" w:lineRule="auto"/>
              <w:jc w:val="center"/>
              <w:rPr>
                <w:rFonts w:ascii="Times New Roman" w:hAnsi="Times New Roman"/>
                <w:b/>
                <w:bCs/>
                <w:sz w:val="24"/>
                <w:szCs w:val="24"/>
              </w:rPr>
            </w:pPr>
            <w:r w:rsidRPr="00B0658A">
              <w:rPr>
                <w:rFonts w:ascii="Times New Roman" w:hAnsi="Times New Roman"/>
                <w:b/>
                <w:bCs/>
                <w:sz w:val="24"/>
                <w:szCs w:val="24"/>
              </w:rPr>
              <w:t>2025 г.</w:t>
            </w:r>
          </w:p>
        </w:tc>
        <w:tc>
          <w:tcPr>
            <w:tcW w:w="372"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5464D04" w14:textId="77777777" w:rsidR="00D22013" w:rsidRPr="00B0658A" w:rsidRDefault="00D22013" w:rsidP="00004A41">
            <w:pPr>
              <w:spacing w:after="0" w:line="240" w:lineRule="auto"/>
              <w:jc w:val="center"/>
              <w:rPr>
                <w:rFonts w:ascii="Times New Roman" w:hAnsi="Times New Roman"/>
                <w:b/>
                <w:bCs/>
                <w:sz w:val="24"/>
                <w:szCs w:val="24"/>
              </w:rPr>
            </w:pPr>
            <w:r w:rsidRPr="00B0658A">
              <w:rPr>
                <w:rFonts w:ascii="Times New Roman" w:hAnsi="Times New Roman"/>
                <w:b/>
                <w:bCs/>
                <w:sz w:val="24"/>
                <w:szCs w:val="24"/>
              </w:rPr>
              <w:t>2026 г.</w:t>
            </w:r>
          </w:p>
        </w:tc>
        <w:tc>
          <w:tcPr>
            <w:tcW w:w="373"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5058672" w14:textId="77777777" w:rsidR="00D22013" w:rsidRPr="00B0658A" w:rsidRDefault="00D22013" w:rsidP="00004A41">
            <w:pPr>
              <w:spacing w:after="0" w:line="240" w:lineRule="auto"/>
              <w:jc w:val="center"/>
              <w:rPr>
                <w:rFonts w:ascii="Times New Roman" w:hAnsi="Times New Roman"/>
                <w:b/>
                <w:bCs/>
                <w:sz w:val="24"/>
                <w:szCs w:val="24"/>
              </w:rPr>
            </w:pPr>
            <w:r w:rsidRPr="00B0658A">
              <w:rPr>
                <w:rFonts w:ascii="Times New Roman" w:hAnsi="Times New Roman"/>
                <w:b/>
                <w:bCs/>
                <w:sz w:val="24"/>
                <w:szCs w:val="24"/>
              </w:rPr>
              <w:t>2027 г.</w:t>
            </w:r>
          </w:p>
        </w:tc>
        <w:tc>
          <w:tcPr>
            <w:tcW w:w="373"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0037DC8" w14:textId="77777777" w:rsidR="00D22013" w:rsidRPr="00B0658A" w:rsidRDefault="00D22013" w:rsidP="00004A41">
            <w:pPr>
              <w:spacing w:after="0" w:line="240" w:lineRule="auto"/>
              <w:jc w:val="center"/>
              <w:rPr>
                <w:rFonts w:ascii="Times New Roman" w:hAnsi="Times New Roman"/>
                <w:b/>
                <w:bCs/>
                <w:sz w:val="24"/>
                <w:szCs w:val="24"/>
              </w:rPr>
            </w:pPr>
            <w:r w:rsidRPr="00B0658A">
              <w:rPr>
                <w:rFonts w:ascii="Times New Roman" w:hAnsi="Times New Roman"/>
                <w:b/>
                <w:bCs/>
                <w:sz w:val="24"/>
                <w:szCs w:val="24"/>
              </w:rPr>
              <w:t>2028 г.</w:t>
            </w:r>
          </w:p>
        </w:tc>
        <w:tc>
          <w:tcPr>
            <w:tcW w:w="373"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0FD4E9B" w14:textId="77777777" w:rsidR="00D22013" w:rsidRPr="00B0658A" w:rsidRDefault="00D22013" w:rsidP="00004A41">
            <w:pPr>
              <w:spacing w:after="0" w:line="240" w:lineRule="auto"/>
              <w:jc w:val="center"/>
              <w:rPr>
                <w:rFonts w:ascii="Times New Roman" w:hAnsi="Times New Roman"/>
                <w:b/>
                <w:bCs/>
                <w:sz w:val="24"/>
                <w:szCs w:val="24"/>
              </w:rPr>
            </w:pPr>
            <w:r w:rsidRPr="00B0658A">
              <w:rPr>
                <w:rFonts w:ascii="Times New Roman" w:hAnsi="Times New Roman"/>
                <w:b/>
                <w:bCs/>
                <w:sz w:val="24"/>
                <w:szCs w:val="24"/>
              </w:rPr>
              <w:t>2029 г.</w:t>
            </w:r>
          </w:p>
        </w:tc>
        <w:tc>
          <w:tcPr>
            <w:tcW w:w="373"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0BD47D5" w14:textId="77777777" w:rsidR="00D22013" w:rsidRPr="00B0658A" w:rsidRDefault="00D22013" w:rsidP="00004A41">
            <w:pPr>
              <w:spacing w:after="0" w:line="240" w:lineRule="auto"/>
              <w:jc w:val="center"/>
              <w:rPr>
                <w:rFonts w:ascii="Times New Roman" w:hAnsi="Times New Roman"/>
                <w:b/>
                <w:bCs/>
                <w:sz w:val="24"/>
                <w:szCs w:val="24"/>
              </w:rPr>
            </w:pPr>
            <w:r w:rsidRPr="00B0658A">
              <w:rPr>
                <w:rFonts w:ascii="Times New Roman" w:hAnsi="Times New Roman"/>
                <w:b/>
                <w:bCs/>
                <w:sz w:val="24"/>
                <w:szCs w:val="24"/>
              </w:rPr>
              <w:t>2030 г.</w:t>
            </w:r>
          </w:p>
        </w:tc>
        <w:tc>
          <w:tcPr>
            <w:tcW w:w="626"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87980B5" w14:textId="77777777" w:rsidR="00D22013" w:rsidRPr="00B0658A" w:rsidRDefault="00D22013" w:rsidP="00004A41">
            <w:pPr>
              <w:spacing w:after="0" w:line="240" w:lineRule="auto"/>
              <w:jc w:val="center"/>
              <w:rPr>
                <w:rFonts w:ascii="Times New Roman" w:hAnsi="Times New Roman"/>
                <w:b/>
                <w:bCs/>
                <w:sz w:val="24"/>
                <w:szCs w:val="24"/>
              </w:rPr>
            </w:pPr>
            <w:r w:rsidRPr="00B0658A">
              <w:rPr>
                <w:rFonts w:ascii="Times New Roman" w:hAnsi="Times New Roman"/>
                <w:b/>
                <w:bCs/>
                <w:sz w:val="24"/>
                <w:szCs w:val="24"/>
              </w:rPr>
              <w:t>Источник</w:t>
            </w:r>
            <w:r w:rsidR="002B2CDC" w:rsidRPr="00B0658A">
              <w:rPr>
                <w:rFonts w:ascii="Times New Roman" w:hAnsi="Times New Roman"/>
                <w:b/>
                <w:bCs/>
                <w:sz w:val="24"/>
                <w:szCs w:val="24"/>
              </w:rPr>
              <w:t xml:space="preserve"> финансирования</w:t>
            </w:r>
          </w:p>
        </w:tc>
      </w:tr>
      <w:tr w:rsidR="00D22013" w:rsidRPr="00B0658A" w14:paraId="752B714F" w14:textId="77777777" w:rsidTr="005737D2">
        <w:trPr>
          <w:trHeight w:val="404"/>
        </w:trPr>
        <w:tc>
          <w:tcPr>
            <w:tcW w:w="1019" w:type="pct"/>
            <w:tcBorders>
              <w:top w:val="single" w:sz="4" w:space="0" w:color="auto"/>
              <w:left w:val="single" w:sz="4" w:space="0" w:color="auto"/>
              <w:bottom w:val="single" w:sz="4" w:space="0" w:color="auto"/>
              <w:right w:val="single" w:sz="4" w:space="0" w:color="auto"/>
            </w:tcBorders>
            <w:vAlign w:val="center"/>
          </w:tcPr>
          <w:p w14:paraId="0551BDAA" w14:textId="77777777" w:rsidR="00D22013" w:rsidRPr="00B0658A" w:rsidRDefault="00D22013" w:rsidP="00004A41">
            <w:pPr>
              <w:pStyle w:val="ConsPlusNormal"/>
            </w:pPr>
            <w:r w:rsidRPr="00B0658A">
              <w:t xml:space="preserve">Объём финансовых ресурсов, необходимых для обеспечения перехода на использование российского </w:t>
            </w:r>
            <w:r w:rsidR="00720519" w:rsidRPr="00B0658A">
              <w:t>ПО</w:t>
            </w:r>
            <w:r w:rsidRPr="00B0658A">
              <w:t>, тыс. руб.</w:t>
            </w:r>
          </w:p>
        </w:tc>
        <w:tc>
          <w:tcPr>
            <w:tcW w:w="372" w:type="pct"/>
            <w:tcBorders>
              <w:top w:val="single" w:sz="4" w:space="0" w:color="auto"/>
              <w:left w:val="single" w:sz="4" w:space="0" w:color="auto"/>
              <w:bottom w:val="single" w:sz="4" w:space="0" w:color="auto"/>
              <w:right w:val="single" w:sz="4" w:space="0" w:color="auto"/>
            </w:tcBorders>
            <w:vAlign w:val="center"/>
          </w:tcPr>
          <w:p w14:paraId="2BE5E106" w14:textId="77777777" w:rsidR="00D22013" w:rsidRPr="00B0658A" w:rsidRDefault="00D22013" w:rsidP="00004A41">
            <w:pPr>
              <w:pStyle w:val="ConsPlusNormal"/>
              <w:jc w:val="center"/>
            </w:pPr>
          </w:p>
        </w:tc>
        <w:tc>
          <w:tcPr>
            <w:tcW w:w="373" w:type="pct"/>
            <w:tcBorders>
              <w:top w:val="single" w:sz="4" w:space="0" w:color="auto"/>
              <w:left w:val="single" w:sz="4" w:space="0" w:color="auto"/>
              <w:bottom w:val="single" w:sz="4" w:space="0" w:color="auto"/>
              <w:right w:val="single" w:sz="4" w:space="0" w:color="auto"/>
            </w:tcBorders>
            <w:vAlign w:val="center"/>
          </w:tcPr>
          <w:p w14:paraId="2CF67AD9" w14:textId="77777777" w:rsidR="00D22013" w:rsidRPr="00B0658A" w:rsidRDefault="00D22013" w:rsidP="00004A41">
            <w:pPr>
              <w:pStyle w:val="ConsPlusNormal"/>
              <w:jc w:val="center"/>
            </w:pPr>
          </w:p>
        </w:tc>
        <w:tc>
          <w:tcPr>
            <w:tcW w:w="373" w:type="pct"/>
            <w:tcBorders>
              <w:top w:val="single" w:sz="4" w:space="0" w:color="auto"/>
              <w:left w:val="single" w:sz="4" w:space="0" w:color="auto"/>
              <w:bottom w:val="single" w:sz="4" w:space="0" w:color="auto"/>
              <w:right w:val="single" w:sz="4" w:space="0" w:color="auto"/>
            </w:tcBorders>
            <w:vAlign w:val="center"/>
          </w:tcPr>
          <w:p w14:paraId="06D39E3E" w14:textId="77777777" w:rsidR="00D22013" w:rsidRPr="00B0658A" w:rsidRDefault="00D22013" w:rsidP="00004A41">
            <w:pPr>
              <w:pStyle w:val="ConsPlusNormal"/>
              <w:jc w:val="center"/>
            </w:pPr>
          </w:p>
        </w:tc>
        <w:tc>
          <w:tcPr>
            <w:tcW w:w="373" w:type="pct"/>
            <w:tcBorders>
              <w:top w:val="single" w:sz="4" w:space="0" w:color="auto"/>
              <w:left w:val="single" w:sz="4" w:space="0" w:color="auto"/>
              <w:bottom w:val="single" w:sz="4" w:space="0" w:color="auto"/>
              <w:right w:val="single" w:sz="4" w:space="0" w:color="auto"/>
            </w:tcBorders>
            <w:vAlign w:val="center"/>
          </w:tcPr>
          <w:p w14:paraId="7F6A67F8" w14:textId="77777777" w:rsidR="00D22013" w:rsidRPr="00B0658A" w:rsidRDefault="00D22013" w:rsidP="00004A41">
            <w:pPr>
              <w:pStyle w:val="ConsPlusNormal"/>
              <w:jc w:val="center"/>
            </w:pPr>
          </w:p>
        </w:tc>
        <w:tc>
          <w:tcPr>
            <w:tcW w:w="372" w:type="pct"/>
            <w:tcBorders>
              <w:top w:val="single" w:sz="4" w:space="0" w:color="auto"/>
              <w:left w:val="single" w:sz="4" w:space="0" w:color="auto"/>
              <w:bottom w:val="single" w:sz="4" w:space="0" w:color="auto"/>
              <w:right w:val="single" w:sz="4" w:space="0" w:color="auto"/>
            </w:tcBorders>
            <w:vAlign w:val="center"/>
          </w:tcPr>
          <w:p w14:paraId="30237ED2" w14:textId="77777777" w:rsidR="00D22013" w:rsidRPr="00B0658A" w:rsidRDefault="00D22013" w:rsidP="00004A41">
            <w:pPr>
              <w:pStyle w:val="ConsPlusNormal"/>
              <w:jc w:val="center"/>
            </w:pPr>
          </w:p>
        </w:tc>
        <w:tc>
          <w:tcPr>
            <w:tcW w:w="373" w:type="pct"/>
            <w:tcBorders>
              <w:top w:val="single" w:sz="4" w:space="0" w:color="auto"/>
              <w:left w:val="single" w:sz="4" w:space="0" w:color="auto"/>
              <w:bottom w:val="single" w:sz="4" w:space="0" w:color="auto"/>
              <w:right w:val="single" w:sz="4" w:space="0" w:color="auto"/>
            </w:tcBorders>
            <w:vAlign w:val="center"/>
          </w:tcPr>
          <w:p w14:paraId="5CC4FD27" w14:textId="77777777" w:rsidR="00D22013" w:rsidRPr="00B0658A" w:rsidRDefault="00D22013" w:rsidP="00004A41">
            <w:pPr>
              <w:pStyle w:val="ConsPlusNormal"/>
              <w:jc w:val="center"/>
            </w:pPr>
          </w:p>
        </w:tc>
        <w:tc>
          <w:tcPr>
            <w:tcW w:w="373" w:type="pct"/>
            <w:tcBorders>
              <w:top w:val="single" w:sz="4" w:space="0" w:color="auto"/>
              <w:left w:val="single" w:sz="4" w:space="0" w:color="auto"/>
              <w:bottom w:val="single" w:sz="4" w:space="0" w:color="auto"/>
              <w:right w:val="single" w:sz="4" w:space="0" w:color="auto"/>
            </w:tcBorders>
            <w:vAlign w:val="center"/>
          </w:tcPr>
          <w:p w14:paraId="0C30AA39" w14:textId="77777777" w:rsidR="00D22013" w:rsidRPr="00B0658A" w:rsidRDefault="00D22013" w:rsidP="00004A41">
            <w:pPr>
              <w:pStyle w:val="ConsPlusNormal"/>
              <w:jc w:val="center"/>
            </w:pPr>
          </w:p>
        </w:tc>
        <w:tc>
          <w:tcPr>
            <w:tcW w:w="373" w:type="pct"/>
            <w:tcBorders>
              <w:top w:val="single" w:sz="4" w:space="0" w:color="auto"/>
              <w:left w:val="single" w:sz="4" w:space="0" w:color="auto"/>
              <w:bottom w:val="single" w:sz="4" w:space="0" w:color="auto"/>
              <w:right w:val="single" w:sz="4" w:space="0" w:color="auto"/>
            </w:tcBorders>
            <w:vAlign w:val="center"/>
          </w:tcPr>
          <w:p w14:paraId="41FEF325" w14:textId="77777777" w:rsidR="00D22013" w:rsidRPr="00B0658A" w:rsidRDefault="00D22013" w:rsidP="00004A41">
            <w:pPr>
              <w:pStyle w:val="ConsPlusNormal"/>
              <w:jc w:val="center"/>
            </w:pPr>
          </w:p>
        </w:tc>
        <w:tc>
          <w:tcPr>
            <w:tcW w:w="373" w:type="pct"/>
            <w:tcBorders>
              <w:top w:val="single" w:sz="4" w:space="0" w:color="auto"/>
              <w:left w:val="single" w:sz="4" w:space="0" w:color="auto"/>
              <w:bottom w:val="single" w:sz="4" w:space="0" w:color="auto"/>
              <w:right w:val="single" w:sz="4" w:space="0" w:color="auto"/>
            </w:tcBorders>
            <w:vAlign w:val="center"/>
          </w:tcPr>
          <w:p w14:paraId="6CC2B33F" w14:textId="77777777" w:rsidR="00D22013" w:rsidRPr="00B0658A" w:rsidRDefault="00D22013" w:rsidP="00004A41">
            <w:pPr>
              <w:pStyle w:val="ConsPlusNormal"/>
              <w:jc w:val="center"/>
            </w:pPr>
          </w:p>
        </w:tc>
        <w:tc>
          <w:tcPr>
            <w:tcW w:w="626" w:type="pct"/>
            <w:tcBorders>
              <w:top w:val="single" w:sz="4" w:space="0" w:color="auto"/>
              <w:left w:val="single" w:sz="4" w:space="0" w:color="auto"/>
              <w:bottom w:val="single" w:sz="4" w:space="0" w:color="auto"/>
              <w:right w:val="single" w:sz="4" w:space="0" w:color="auto"/>
            </w:tcBorders>
            <w:vAlign w:val="center"/>
          </w:tcPr>
          <w:p w14:paraId="04636BCE" w14:textId="77777777" w:rsidR="00D22013" w:rsidRPr="00B0658A" w:rsidRDefault="00D22013" w:rsidP="00004A41">
            <w:pPr>
              <w:pStyle w:val="ConsPlusNormal"/>
              <w:jc w:val="center"/>
            </w:pPr>
          </w:p>
        </w:tc>
      </w:tr>
    </w:tbl>
    <w:p w14:paraId="1EA6DBBD" w14:textId="77777777" w:rsidR="000A4114" w:rsidRDefault="000A4114" w:rsidP="008319FB">
      <w:pPr>
        <w:pStyle w:val="ConsPlusNormal"/>
        <w:spacing w:before="120"/>
        <w:jc w:val="center"/>
        <w:rPr>
          <w:sz w:val="32"/>
        </w:rPr>
      </w:pPr>
    </w:p>
    <w:p w14:paraId="024894D7" w14:textId="77777777" w:rsidR="000A4114" w:rsidRDefault="000A4114">
      <w:pPr>
        <w:spacing w:after="0" w:line="240" w:lineRule="auto"/>
        <w:rPr>
          <w:rFonts w:ascii="Times New Roman" w:hAnsi="Times New Roman"/>
          <w:sz w:val="32"/>
          <w:szCs w:val="24"/>
        </w:rPr>
      </w:pPr>
      <w:r>
        <w:rPr>
          <w:sz w:val="32"/>
        </w:rPr>
        <w:br w:type="page"/>
      </w:r>
    </w:p>
    <w:p w14:paraId="3582B1E8" w14:textId="77777777" w:rsidR="008319FB" w:rsidRPr="00B0658A" w:rsidRDefault="00D22013" w:rsidP="008319FB">
      <w:pPr>
        <w:pStyle w:val="ConsPlusNormal"/>
        <w:spacing w:before="120"/>
        <w:jc w:val="center"/>
        <w:rPr>
          <w:sz w:val="32"/>
        </w:rPr>
      </w:pPr>
      <w:r w:rsidRPr="00B0658A">
        <w:rPr>
          <w:sz w:val="32"/>
        </w:rPr>
        <w:lastRenderedPageBreak/>
        <w:t>Детализированный п</w:t>
      </w:r>
      <w:r w:rsidR="008319FB" w:rsidRPr="00B0658A">
        <w:rPr>
          <w:sz w:val="32"/>
        </w:rPr>
        <w:t xml:space="preserve">лан перехода ______________ (полное наименование </w:t>
      </w:r>
      <w:r w:rsidR="008319FB" w:rsidRPr="00B0658A">
        <w:rPr>
          <w:sz w:val="32"/>
          <w:szCs w:val="28"/>
        </w:rPr>
        <w:t xml:space="preserve">органа государственной власти или государственного внебюджетного фонда) на использование российского </w:t>
      </w:r>
      <w:r w:rsidR="00D052EA" w:rsidRPr="00B0658A">
        <w:rPr>
          <w:sz w:val="32"/>
        </w:rPr>
        <w:t>ПО</w:t>
      </w:r>
      <w:r w:rsidR="008319FB" w:rsidRPr="00B0658A">
        <w:rPr>
          <w:sz w:val="32"/>
        </w:rPr>
        <w:t xml:space="preserve"> на принадлежащих органу государственной власти или государственному внебюджетному фонду значимых объектах КИИ</w:t>
      </w:r>
      <w:r w:rsidR="008319FB" w:rsidRPr="00B0658A">
        <w:rPr>
          <w:sz w:val="32"/>
          <w:szCs w:val="28"/>
        </w:rPr>
        <w:t xml:space="preserve"> </w:t>
      </w:r>
      <w:r w:rsidR="008319FB" w:rsidRPr="00B0658A">
        <w:rPr>
          <w:sz w:val="32"/>
        </w:rPr>
        <w:t>на период 2022-2024 годы</w:t>
      </w:r>
    </w:p>
    <w:p w14:paraId="71EFD4CB" w14:textId="77777777" w:rsidR="008319FB" w:rsidRPr="00B0658A" w:rsidRDefault="008319FB" w:rsidP="008319FB">
      <w:pPr>
        <w:spacing w:before="120" w:after="0" w:line="240" w:lineRule="auto"/>
        <w:rPr>
          <w:rFonts w:ascii="Times New Roman" w:hAnsi="Times New Roman"/>
          <w:sz w:val="28"/>
          <w:szCs w:val="24"/>
        </w:rPr>
      </w:pPr>
    </w:p>
    <w:p w14:paraId="18C3537A" w14:textId="77777777" w:rsidR="008319FB" w:rsidRPr="00B0658A" w:rsidRDefault="008319FB" w:rsidP="008319FB">
      <w:pPr>
        <w:pStyle w:val="ConsPlusNormal"/>
        <w:spacing w:before="120"/>
        <w:jc w:val="both"/>
      </w:pPr>
      <w:r w:rsidRPr="00B0658A">
        <w:rPr>
          <w:sz w:val="28"/>
        </w:rPr>
        <w:t>Раздел 1. «</w:t>
      </w:r>
      <w:r w:rsidR="00D22013" w:rsidRPr="00B0658A">
        <w:rPr>
          <w:sz w:val="28"/>
        </w:rPr>
        <w:t xml:space="preserve">План-график </w:t>
      </w:r>
      <w:r w:rsidR="00775A43" w:rsidRPr="00B0658A">
        <w:rPr>
          <w:sz w:val="28"/>
        </w:rPr>
        <w:t xml:space="preserve">мероприятий </w:t>
      </w:r>
      <w:r w:rsidR="00D22013" w:rsidRPr="00B0658A">
        <w:rPr>
          <w:sz w:val="28"/>
        </w:rPr>
        <w:t xml:space="preserve">перехода </w:t>
      </w:r>
      <w:r w:rsidRPr="00B0658A">
        <w:rPr>
          <w:sz w:val="28"/>
          <w:szCs w:val="28"/>
        </w:rPr>
        <w:t xml:space="preserve">на использование российского </w:t>
      </w:r>
      <w:r w:rsidR="00D052EA" w:rsidRPr="00B0658A">
        <w:rPr>
          <w:sz w:val="28"/>
          <w:szCs w:val="28"/>
        </w:rPr>
        <w:t>ПО</w:t>
      </w:r>
      <w:r w:rsidRPr="00B0658A">
        <w:rPr>
          <w:sz w:val="28"/>
          <w:szCs w:val="28"/>
        </w:rPr>
        <w:t xml:space="preserve"> на принадлежащих </w:t>
      </w:r>
      <w:r w:rsidR="00D22013" w:rsidRPr="00B0658A">
        <w:rPr>
          <w:sz w:val="28"/>
          <w:szCs w:val="28"/>
        </w:rPr>
        <w:t xml:space="preserve">_______ (полное наименование </w:t>
      </w:r>
      <w:r w:rsidRPr="00B0658A">
        <w:rPr>
          <w:sz w:val="28"/>
          <w:szCs w:val="28"/>
        </w:rPr>
        <w:t>орган</w:t>
      </w:r>
      <w:r w:rsidR="00D22013" w:rsidRPr="00B0658A">
        <w:rPr>
          <w:sz w:val="28"/>
          <w:szCs w:val="28"/>
        </w:rPr>
        <w:t>а</w:t>
      </w:r>
      <w:r w:rsidRPr="00B0658A">
        <w:rPr>
          <w:sz w:val="28"/>
          <w:szCs w:val="28"/>
        </w:rPr>
        <w:t xml:space="preserve"> государственной власти или государственн</w:t>
      </w:r>
      <w:r w:rsidR="00D22013" w:rsidRPr="00B0658A">
        <w:rPr>
          <w:sz w:val="28"/>
          <w:szCs w:val="28"/>
        </w:rPr>
        <w:t>ого</w:t>
      </w:r>
      <w:r w:rsidRPr="00B0658A">
        <w:rPr>
          <w:sz w:val="28"/>
          <w:szCs w:val="28"/>
        </w:rPr>
        <w:t xml:space="preserve"> внебюджетно</w:t>
      </w:r>
      <w:r w:rsidR="00D22013" w:rsidRPr="00B0658A">
        <w:rPr>
          <w:sz w:val="28"/>
          <w:szCs w:val="28"/>
        </w:rPr>
        <w:t>го</w:t>
      </w:r>
      <w:r w:rsidRPr="00B0658A">
        <w:rPr>
          <w:sz w:val="28"/>
          <w:szCs w:val="28"/>
        </w:rPr>
        <w:t xml:space="preserve"> фонд</w:t>
      </w:r>
      <w:r w:rsidR="00D22013" w:rsidRPr="00B0658A">
        <w:rPr>
          <w:sz w:val="28"/>
          <w:szCs w:val="28"/>
        </w:rPr>
        <w:t>а)</w:t>
      </w:r>
      <w:r w:rsidRPr="00B0658A">
        <w:rPr>
          <w:sz w:val="28"/>
          <w:szCs w:val="28"/>
        </w:rPr>
        <w:t xml:space="preserve"> значимых объектах КИИ</w:t>
      </w:r>
      <w:r w:rsidRPr="00B0658A">
        <w:rPr>
          <w:sz w:val="28"/>
        </w:rPr>
        <w:t>»</w:t>
      </w:r>
    </w:p>
    <w:tbl>
      <w:tblPr>
        <w:tblW w:w="5000" w:type="pct"/>
        <w:tblCellMar>
          <w:top w:w="28" w:type="dxa"/>
          <w:left w:w="62" w:type="dxa"/>
          <w:bottom w:w="28" w:type="dxa"/>
          <w:right w:w="62" w:type="dxa"/>
        </w:tblCellMar>
        <w:tblLook w:val="0000" w:firstRow="0" w:lastRow="0" w:firstColumn="0" w:lastColumn="0" w:noHBand="0" w:noVBand="0"/>
      </w:tblPr>
      <w:tblGrid>
        <w:gridCol w:w="568"/>
        <w:gridCol w:w="2312"/>
        <w:gridCol w:w="3160"/>
        <w:gridCol w:w="3313"/>
        <w:gridCol w:w="1735"/>
        <w:gridCol w:w="2856"/>
      </w:tblGrid>
      <w:tr w:rsidR="00F52FED" w:rsidRPr="00B0658A" w14:paraId="25D46AB7" w14:textId="77777777" w:rsidTr="00E35C99">
        <w:trPr>
          <w:trHeight w:val="20"/>
        </w:trPr>
        <w:tc>
          <w:tcPr>
            <w:tcW w:w="204" w:type="pct"/>
            <w:tcBorders>
              <w:top w:val="single" w:sz="4" w:space="0" w:color="auto"/>
              <w:left w:val="single" w:sz="4" w:space="0" w:color="auto"/>
              <w:bottom w:val="single" w:sz="4" w:space="0" w:color="auto"/>
              <w:right w:val="single" w:sz="4" w:space="0" w:color="auto"/>
            </w:tcBorders>
            <w:shd w:val="clear" w:color="auto" w:fill="E7E6E6" w:themeFill="background2"/>
          </w:tcPr>
          <w:p w14:paraId="1866402C" w14:textId="77777777" w:rsidR="008319FB" w:rsidRPr="00B0658A" w:rsidRDefault="008319FB" w:rsidP="00004A41">
            <w:pPr>
              <w:pStyle w:val="ConsPlusNormal"/>
              <w:jc w:val="center"/>
            </w:pPr>
            <w:r w:rsidRPr="00B0658A">
              <w:t>N п.п.</w:t>
            </w:r>
          </w:p>
        </w:tc>
        <w:tc>
          <w:tcPr>
            <w:tcW w:w="829" w:type="pct"/>
            <w:tcBorders>
              <w:top w:val="single" w:sz="4" w:space="0" w:color="auto"/>
              <w:left w:val="single" w:sz="4" w:space="0" w:color="auto"/>
              <w:bottom w:val="single" w:sz="4" w:space="0" w:color="auto"/>
              <w:right w:val="single" w:sz="4" w:space="0" w:color="auto"/>
            </w:tcBorders>
            <w:shd w:val="clear" w:color="auto" w:fill="E7E6E6" w:themeFill="background2"/>
          </w:tcPr>
          <w:p w14:paraId="25B88B16" w14:textId="77777777" w:rsidR="008319FB" w:rsidRPr="00B0658A" w:rsidRDefault="008319FB" w:rsidP="00004A41">
            <w:pPr>
              <w:pStyle w:val="ConsPlusNormal"/>
              <w:jc w:val="center"/>
            </w:pPr>
            <w:r w:rsidRPr="00B0658A">
              <w:t>Наименование мероприятия</w:t>
            </w:r>
          </w:p>
        </w:tc>
        <w:tc>
          <w:tcPr>
            <w:tcW w:w="1133" w:type="pct"/>
            <w:tcBorders>
              <w:top w:val="single" w:sz="4" w:space="0" w:color="auto"/>
              <w:left w:val="single" w:sz="4" w:space="0" w:color="auto"/>
              <w:bottom w:val="single" w:sz="4" w:space="0" w:color="auto"/>
              <w:right w:val="single" w:sz="4" w:space="0" w:color="auto"/>
            </w:tcBorders>
            <w:shd w:val="clear" w:color="auto" w:fill="E7E6E6" w:themeFill="background2"/>
          </w:tcPr>
          <w:p w14:paraId="33BCA030" w14:textId="77777777" w:rsidR="008319FB" w:rsidRPr="00B0658A" w:rsidRDefault="008319FB" w:rsidP="00004A41">
            <w:pPr>
              <w:pStyle w:val="ConsPlusNormal"/>
              <w:jc w:val="center"/>
            </w:pPr>
            <w:r w:rsidRPr="00B0658A">
              <w:t>Краткое описание состава и содержания запланированного мероприятия</w:t>
            </w:r>
          </w:p>
        </w:tc>
        <w:tc>
          <w:tcPr>
            <w:tcW w:w="1188" w:type="pct"/>
            <w:tcBorders>
              <w:top w:val="single" w:sz="4" w:space="0" w:color="auto"/>
              <w:left w:val="single" w:sz="4" w:space="0" w:color="auto"/>
              <w:bottom w:val="single" w:sz="4" w:space="0" w:color="auto"/>
              <w:right w:val="single" w:sz="4" w:space="0" w:color="auto"/>
            </w:tcBorders>
            <w:shd w:val="clear" w:color="auto" w:fill="E7E6E6" w:themeFill="background2"/>
          </w:tcPr>
          <w:p w14:paraId="665A1911" w14:textId="77777777" w:rsidR="008319FB" w:rsidRPr="00B0658A" w:rsidRDefault="008319FB" w:rsidP="00004A41">
            <w:pPr>
              <w:pStyle w:val="ConsPlusNormal"/>
              <w:jc w:val="center"/>
            </w:pPr>
            <w:r w:rsidRPr="00B0658A">
              <w:t>Наименование ответственного исполнителя/ ответственного структурного подразделения</w:t>
            </w:r>
          </w:p>
        </w:tc>
        <w:tc>
          <w:tcPr>
            <w:tcW w:w="622" w:type="pct"/>
            <w:tcBorders>
              <w:top w:val="single" w:sz="4" w:space="0" w:color="auto"/>
              <w:left w:val="single" w:sz="4" w:space="0" w:color="auto"/>
              <w:bottom w:val="single" w:sz="4" w:space="0" w:color="auto"/>
              <w:right w:val="single" w:sz="4" w:space="0" w:color="auto"/>
            </w:tcBorders>
            <w:shd w:val="clear" w:color="auto" w:fill="E7E6E6" w:themeFill="background2"/>
          </w:tcPr>
          <w:p w14:paraId="298093E5" w14:textId="77777777" w:rsidR="008319FB" w:rsidRPr="00B0658A" w:rsidRDefault="008319FB" w:rsidP="00004A41">
            <w:pPr>
              <w:pStyle w:val="ConsPlusNormal"/>
              <w:jc w:val="center"/>
            </w:pPr>
            <w:r w:rsidRPr="00B0658A">
              <w:t>Срок /периодичность выполнения</w:t>
            </w:r>
          </w:p>
        </w:tc>
        <w:tc>
          <w:tcPr>
            <w:tcW w:w="1024" w:type="pct"/>
            <w:tcBorders>
              <w:top w:val="single" w:sz="4" w:space="0" w:color="auto"/>
              <w:left w:val="single" w:sz="4" w:space="0" w:color="auto"/>
              <w:bottom w:val="single" w:sz="4" w:space="0" w:color="auto"/>
              <w:right w:val="single" w:sz="4" w:space="0" w:color="auto"/>
            </w:tcBorders>
            <w:shd w:val="clear" w:color="auto" w:fill="E7E6E6" w:themeFill="background2"/>
          </w:tcPr>
          <w:p w14:paraId="44B66F30" w14:textId="77777777" w:rsidR="008319FB" w:rsidRPr="00B0658A" w:rsidRDefault="008319FB" w:rsidP="00004A41">
            <w:pPr>
              <w:pStyle w:val="ConsPlusNormal"/>
              <w:jc w:val="center"/>
            </w:pPr>
            <w:r w:rsidRPr="00B0658A">
              <w:t>Ожидаемый результат</w:t>
            </w:r>
          </w:p>
        </w:tc>
      </w:tr>
      <w:tr w:rsidR="00F52FED" w:rsidRPr="00B0658A" w14:paraId="0ECEA779" w14:textId="77777777" w:rsidTr="00E35C99">
        <w:trPr>
          <w:trHeight w:val="20"/>
        </w:trPr>
        <w:tc>
          <w:tcPr>
            <w:tcW w:w="5000" w:type="pct"/>
            <w:gridSpan w:val="6"/>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10EC5FF" w14:textId="77777777" w:rsidR="008319FB" w:rsidRPr="00B0658A" w:rsidRDefault="008319FB" w:rsidP="00004A41">
            <w:pPr>
              <w:pStyle w:val="ConsPlusNormal"/>
            </w:pPr>
            <w:r w:rsidRPr="00B0658A">
              <w:t>1. Мероприятия в отношении ________ (наименование значимого объекта КИИ №1)</w:t>
            </w:r>
          </w:p>
        </w:tc>
      </w:tr>
      <w:tr w:rsidR="00F52FED" w:rsidRPr="00B0658A" w14:paraId="109E1C44" w14:textId="77777777" w:rsidTr="00E35C99">
        <w:trPr>
          <w:trHeight w:val="20"/>
        </w:trPr>
        <w:tc>
          <w:tcPr>
            <w:tcW w:w="204" w:type="pct"/>
            <w:tcBorders>
              <w:top w:val="single" w:sz="4" w:space="0" w:color="auto"/>
              <w:left w:val="single" w:sz="4" w:space="0" w:color="auto"/>
              <w:bottom w:val="single" w:sz="4" w:space="0" w:color="auto"/>
              <w:right w:val="single" w:sz="4" w:space="0" w:color="auto"/>
            </w:tcBorders>
          </w:tcPr>
          <w:p w14:paraId="28FB8CA6" w14:textId="77777777" w:rsidR="008319FB" w:rsidRPr="00B0658A" w:rsidRDefault="008319FB" w:rsidP="00004A41">
            <w:pPr>
              <w:pStyle w:val="ConsPlusNormal"/>
            </w:pPr>
            <w:r w:rsidRPr="00B0658A">
              <w:t>1.1</w:t>
            </w:r>
          </w:p>
        </w:tc>
        <w:tc>
          <w:tcPr>
            <w:tcW w:w="829" w:type="pct"/>
            <w:tcBorders>
              <w:top w:val="single" w:sz="4" w:space="0" w:color="auto"/>
              <w:left w:val="single" w:sz="4" w:space="0" w:color="auto"/>
              <w:bottom w:val="single" w:sz="4" w:space="0" w:color="auto"/>
              <w:right w:val="single" w:sz="4" w:space="0" w:color="auto"/>
            </w:tcBorders>
          </w:tcPr>
          <w:p w14:paraId="554F7EEA" w14:textId="77777777" w:rsidR="008319FB" w:rsidRPr="00B0658A" w:rsidRDefault="008319FB" w:rsidP="00004A41">
            <w:pPr>
              <w:pStyle w:val="ConsPlusNormal"/>
            </w:pPr>
          </w:p>
        </w:tc>
        <w:tc>
          <w:tcPr>
            <w:tcW w:w="1133" w:type="pct"/>
            <w:tcBorders>
              <w:top w:val="single" w:sz="4" w:space="0" w:color="auto"/>
              <w:left w:val="single" w:sz="4" w:space="0" w:color="auto"/>
              <w:bottom w:val="single" w:sz="4" w:space="0" w:color="auto"/>
              <w:right w:val="single" w:sz="4" w:space="0" w:color="auto"/>
            </w:tcBorders>
          </w:tcPr>
          <w:p w14:paraId="65C4C334" w14:textId="77777777" w:rsidR="008319FB" w:rsidRPr="00B0658A" w:rsidRDefault="008319FB" w:rsidP="00004A41">
            <w:pPr>
              <w:pStyle w:val="ConsPlusNormal"/>
            </w:pPr>
          </w:p>
        </w:tc>
        <w:tc>
          <w:tcPr>
            <w:tcW w:w="1188" w:type="pct"/>
            <w:tcBorders>
              <w:top w:val="single" w:sz="4" w:space="0" w:color="auto"/>
              <w:left w:val="single" w:sz="4" w:space="0" w:color="auto"/>
              <w:bottom w:val="single" w:sz="4" w:space="0" w:color="auto"/>
              <w:right w:val="single" w:sz="4" w:space="0" w:color="auto"/>
            </w:tcBorders>
          </w:tcPr>
          <w:p w14:paraId="488186D2" w14:textId="77777777" w:rsidR="008319FB" w:rsidRPr="00B0658A" w:rsidRDefault="008319FB" w:rsidP="00004A41">
            <w:pPr>
              <w:pStyle w:val="ConsPlusNormal"/>
            </w:pPr>
          </w:p>
        </w:tc>
        <w:tc>
          <w:tcPr>
            <w:tcW w:w="622" w:type="pct"/>
            <w:tcBorders>
              <w:top w:val="single" w:sz="4" w:space="0" w:color="auto"/>
              <w:left w:val="single" w:sz="4" w:space="0" w:color="auto"/>
              <w:bottom w:val="single" w:sz="4" w:space="0" w:color="auto"/>
              <w:right w:val="single" w:sz="4" w:space="0" w:color="auto"/>
            </w:tcBorders>
          </w:tcPr>
          <w:p w14:paraId="2C1DF377" w14:textId="77777777" w:rsidR="008319FB" w:rsidRPr="00B0658A" w:rsidRDefault="008319FB" w:rsidP="00004A41">
            <w:pPr>
              <w:pStyle w:val="ConsPlusNormal"/>
            </w:pPr>
          </w:p>
        </w:tc>
        <w:tc>
          <w:tcPr>
            <w:tcW w:w="1024" w:type="pct"/>
            <w:tcBorders>
              <w:top w:val="single" w:sz="4" w:space="0" w:color="auto"/>
              <w:left w:val="single" w:sz="4" w:space="0" w:color="auto"/>
              <w:bottom w:val="single" w:sz="4" w:space="0" w:color="auto"/>
              <w:right w:val="single" w:sz="4" w:space="0" w:color="auto"/>
            </w:tcBorders>
          </w:tcPr>
          <w:p w14:paraId="1411F985" w14:textId="77777777" w:rsidR="008319FB" w:rsidRPr="00B0658A" w:rsidRDefault="008319FB" w:rsidP="00004A41">
            <w:pPr>
              <w:pStyle w:val="ConsPlusNormal"/>
            </w:pPr>
          </w:p>
        </w:tc>
      </w:tr>
      <w:tr w:rsidR="00F52FED" w:rsidRPr="00B0658A" w14:paraId="0E5FBC9F" w14:textId="77777777" w:rsidTr="00E35C99">
        <w:trPr>
          <w:trHeight w:val="20"/>
        </w:trPr>
        <w:tc>
          <w:tcPr>
            <w:tcW w:w="204" w:type="pct"/>
            <w:tcBorders>
              <w:top w:val="single" w:sz="4" w:space="0" w:color="auto"/>
              <w:left w:val="single" w:sz="4" w:space="0" w:color="auto"/>
              <w:bottom w:val="single" w:sz="4" w:space="0" w:color="auto"/>
              <w:right w:val="single" w:sz="4" w:space="0" w:color="auto"/>
            </w:tcBorders>
          </w:tcPr>
          <w:p w14:paraId="1CAF11FB" w14:textId="77777777" w:rsidR="008319FB" w:rsidRPr="00B0658A" w:rsidRDefault="008319FB" w:rsidP="00004A41">
            <w:pPr>
              <w:pStyle w:val="ConsPlusNormal"/>
            </w:pPr>
            <w:r w:rsidRPr="00B0658A">
              <w:t>1.2</w:t>
            </w:r>
          </w:p>
        </w:tc>
        <w:tc>
          <w:tcPr>
            <w:tcW w:w="829" w:type="pct"/>
            <w:tcBorders>
              <w:top w:val="single" w:sz="4" w:space="0" w:color="auto"/>
              <w:left w:val="single" w:sz="4" w:space="0" w:color="auto"/>
              <w:bottom w:val="single" w:sz="4" w:space="0" w:color="auto"/>
              <w:right w:val="single" w:sz="4" w:space="0" w:color="auto"/>
            </w:tcBorders>
          </w:tcPr>
          <w:p w14:paraId="03518348" w14:textId="77777777" w:rsidR="008319FB" w:rsidRPr="00B0658A" w:rsidRDefault="008319FB" w:rsidP="00004A41">
            <w:pPr>
              <w:pStyle w:val="ConsPlusNormal"/>
            </w:pPr>
          </w:p>
        </w:tc>
        <w:tc>
          <w:tcPr>
            <w:tcW w:w="1133" w:type="pct"/>
            <w:tcBorders>
              <w:top w:val="single" w:sz="4" w:space="0" w:color="auto"/>
              <w:left w:val="single" w:sz="4" w:space="0" w:color="auto"/>
              <w:bottom w:val="single" w:sz="4" w:space="0" w:color="auto"/>
              <w:right w:val="single" w:sz="4" w:space="0" w:color="auto"/>
            </w:tcBorders>
          </w:tcPr>
          <w:p w14:paraId="6926245D" w14:textId="77777777" w:rsidR="008319FB" w:rsidRPr="00B0658A" w:rsidRDefault="008319FB" w:rsidP="00004A41">
            <w:pPr>
              <w:pStyle w:val="ConsPlusNormal"/>
            </w:pPr>
          </w:p>
        </w:tc>
        <w:tc>
          <w:tcPr>
            <w:tcW w:w="1188" w:type="pct"/>
            <w:tcBorders>
              <w:top w:val="single" w:sz="4" w:space="0" w:color="auto"/>
              <w:left w:val="single" w:sz="4" w:space="0" w:color="auto"/>
              <w:bottom w:val="single" w:sz="4" w:space="0" w:color="auto"/>
              <w:right w:val="single" w:sz="4" w:space="0" w:color="auto"/>
            </w:tcBorders>
          </w:tcPr>
          <w:p w14:paraId="774E015D" w14:textId="77777777" w:rsidR="008319FB" w:rsidRPr="00B0658A" w:rsidRDefault="008319FB" w:rsidP="00004A41">
            <w:pPr>
              <w:pStyle w:val="ConsPlusNormal"/>
            </w:pPr>
          </w:p>
        </w:tc>
        <w:tc>
          <w:tcPr>
            <w:tcW w:w="622" w:type="pct"/>
            <w:tcBorders>
              <w:top w:val="single" w:sz="4" w:space="0" w:color="auto"/>
              <w:left w:val="single" w:sz="4" w:space="0" w:color="auto"/>
              <w:bottom w:val="single" w:sz="4" w:space="0" w:color="auto"/>
              <w:right w:val="single" w:sz="4" w:space="0" w:color="auto"/>
            </w:tcBorders>
          </w:tcPr>
          <w:p w14:paraId="06974E1D" w14:textId="77777777" w:rsidR="008319FB" w:rsidRPr="00B0658A" w:rsidRDefault="008319FB" w:rsidP="00004A41">
            <w:pPr>
              <w:pStyle w:val="ConsPlusNormal"/>
            </w:pPr>
          </w:p>
        </w:tc>
        <w:tc>
          <w:tcPr>
            <w:tcW w:w="1024" w:type="pct"/>
            <w:tcBorders>
              <w:top w:val="single" w:sz="4" w:space="0" w:color="auto"/>
              <w:left w:val="single" w:sz="4" w:space="0" w:color="auto"/>
              <w:bottom w:val="single" w:sz="4" w:space="0" w:color="auto"/>
              <w:right w:val="single" w:sz="4" w:space="0" w:color="auto"/>
            </w:tcBorders>
          </w:tcPr>
          <w:p w14:paraId="759C75CA" w14:textId="77777777" w:rsidR="008319FB" w:rsidRPr="00B0658A" w:rsidRDefault="008319FB" w:rsidP="00004A41">
            <w:pPr>
              <w:pStyle w:val="ConsPlusNormal"/>
            </w:pPr>
          </w:p>
        </w:tc>
      </w:tr>
      <w:tr w:rsidR="00F52FED" w:rsidRPr="00B0658A" w14:paraId="5E186B3F" w14:textId="77777777" w:rsidTr="00E35C99">
        <w:trPr>
          <w:trHeight w:val="20"/>
        </w:trPr>
        <w:tc>
          <w:tcPr>
            <w:tcW w:w="204" w:type="pct"/>
            <w:tcBorders>
              <w:top w:val="single" w:sz="4" w:space="0" w:color="auto"/>
              <w:left w:val="single" w:sz="4" w:space="0" w:color="auto"/>
              <w:bottom w:val="single" w:sz="4" w:space="0" w:color="auto"/>
              <w:right w:val="single" w:sz="4" w:space="0" w:color="auto"/>
            </w:tcBorders>
          </w:tcPr>
          <w:p w14:paraId="09D3EB85" w14:textId="77777777" w:rsidR="008319FB" w:rsidRPr="00B0658A" w:rsidRDefault="008319FB" w:rsidP="00004A41">
            <w:pPr>
              <w:pStyle w:val="ConsPlusNormal"/>
            </w:pPr>
            <w:r w:rsidRPr="00B0658A">
              <w:t>…</w:t>
            </w:r>
          </w:p>
        </w:tc>
        <w:tc>
          <w:tcPr>
            <w:tcW w:w="829" w:type="pct"/>
            <w:tcBorders>
              <w:top w:val="single" w:sz="4" w:space="0" w:color="auto"/>
              <w:left w:val="single" w:sz="4" w:space="0" w:color="auto"/>
              <w:bottom w:val="single" w:sz="4" w:space="0" w:color="auto"/>
              <w:right w:val="single" w:sz="4" w:space="0" w:color="auto"/>
            </w:tcBorders>
          </w:tcPr>
          <w:p w14:paraId="21FEF2EF" w14:textId="77777777" w:rsidR="008319FB" w:rsidRPr="00B0658A" w:rsidRDefault="008319FB" w:rsidP="00004A41">
            <w:pPr>
              <w:pStyle w:val="ConsPlusNormal"/>
            </w:pPr>
          </w:p>
        </w:tc>
        <w:tc>
          <w:tcPr>
            <w:tcW w:w="1133" w:type="pct"/>
            <w:tcBorders>
              <w:top w:val="single" w:sz="4" w:space="0" w:color="auto"/>
              <w:left w:val="single" w:sz="4" w:space="0" w:color="auto"/>
              <w:bottom w:val="single" w:sz="4" w:space="0" w:color="auto"/>
              <w:right w:val="single" w:sz="4" w:space="0" w:color="auto"/>
            </w:tcBorders>
          </w:tcPr>
          <w:p w14:paraId="4CBA7558" w14:textId="77777777" w:rsidR="008319FB" w:rsidRPr="00B0658A" w:rsidRDefault="008319FB" w:rsidP="00004A41">
            <w:pPr>
              <w:pStyle w:val="ConsPlusNormal"/>
            </w:pPr>
          </w:p>
        </w:tc>
        <w:tc>
          <w:tcPr>
            <w:tcW w:w="1188" w:type="pct"/>
            <w:tcBorders>
              <w:top w:val="single" w:sz="4" w:space="0" w:color="auto"/>
              <w:left w:val="single" w:sz="4" w:space="0" w:color="auto"/>
              <w:bottom w:val="single" w:sz="4" w:space="0" w:color="auto"/>
              <w:right w:val="single" w:sz="4" w:space="0" w:color="auto"/>
            </w:tcBorders>
          </w:tcPr>
          <w:p w14:paraId="2834857D" w14:textId="77777777" w:rsidR="008319FB" w:rsidRPr="00B0658A" w:rsidRDefault="008319FB" w:rsidP="00004A41">
            <w:pPr>
              <w:pStyle w:val="ConsPlusNormal"/>
            </w:pPr>
          </w:p>
        </w:tc>
        <w:tc>
          <w:tcPr>
            <w:tcW w:w="622" w:type="pct"/>
            <w:tcBorders>
              <w:top w:val="single" w:sz="4" w:space="0" w:color="auto"/>
              <w:left w:val="single" w:sz="4" w:space="0" w:color="auto"/>
              <w:bottom w:val="single" w:sz="4" w:space="0" w:color="auto"/>
              <w:right w:val="single" w:sz="4" w:space="0" w:color="auto"/>
            </w:tcBorders>
          </w:tcPr>
          <w:p w14:paraId="01F1E20F" w14:textId="77777777" w:rsidR="008319FB" w:rsidRPr="00B0658A" w:rsidRDefault="008319FB" w:rsidP="00004A41">
            <w:pPr>
              <w:pStyle w:val="ConsPlusNormal"/>
            </w:pPr>
          </w:p>
        </w:tc>
        <w:tc>
          <w:tcPr>
            <w:tcW w:w="1024" w:type="pct"/>
            <w:tcBorders>
              <w:top w:val="single" w:sz="4" w:space="0" w:color="auto"/>
              <w:left w:val="single" w:sz="4" w:space="0" w:color="auto"/>
              <w:bottom w:val="single" w:sz="4" w:space="0" w:color="auto"/>
              <w:right w:val="single" w:sz="4" w:space="0" w:color="auto"/>
            </w:tcBorders>
          </w:tcPr>
          <w:p w14:paraId="3779FE2A" w14:textId="77777777" w:rsidR="008319FB" w:rsidRPr="00B0658A" w:rsidRDefault="008319FB" w:rsidP="00004A41">
            <w:pPr>
              <w:pStyle w:val="ConsPlusNormal"/>
            </w:pPr>
          </w:p>
        </w:tc>
      </w:tr>
      <w:tr w:rsidR="00F52FED" w:rsidRPr="00B0658A" w14:paraId="0536DD0D" w14:textId="77777777" w:rsidTr="00E35C99">
        <w:trPr>
          <w:trHeight w:val="20"/>
        </w:trPr>
        <w:tc>
          <w:tcPr>
            <w:tcW w:w="204" w:type="pct"/>
            <w:tcBorders>
              <w:top w:val="single" w:sz="4" w:space="0" w:color="auto"/>
              <w:left w:val="single" w:sz="4" w:space="0" w:color="auto"/>
              <w:bottom w:val="single" w:sz="4" w:space="0" w:color="auto"/>
              <w:right w:val="single" w:sz="4" w:space="0" w:color="auto"/>
            </w:tcBorders>
          </w:tcPr>
          <w:p w14:paraId="69D7467F" w14:textId="77777777" w:rsidR="008319FB" w:rsidRPr="00B0658A" w:rsidRDefault="008319FB" w:rsidP="00004A41">
            <w:pPr>
              <w:pStyle w:val="ConsPlusNormal"/>
            </w:pPr>
            <w:r w:rsidRPr="00B0658A">
              <w:t>1</w:t>
            </w:r>
            <w:r w:rsidRPr="00B0658A">
              <w:rPr>
                <w:lang w:val="en-US"/>
              </w:rPr>
              <w:t>.n</w:t>
            </w:r>
          </w:p>
        </w:tc>
        <w:tc>
          <w:tcPr>
            <w:tcW w:w="829" w:type="pct"/>
            <w:tcBorders>
              <w:top w:val="single" w:sz="4" w:space="0" w:color="auto"/>
              <w:left w:val="single" w:sz="4" w:space="0" w:color="auto"/>
              <w:bottom w:val="single" w:sz="4" w:space="0" w:color="auto"/>
              <w:right w:val="single" w:sz="4" w:space="0" w:color="auto"/>
            </w:tcBorders>
          </w:tcPr>
          <w:p w14:paraId="02B86496" w14:textId="77777777" w:rsidR="008319FB" w:rsidRPr="00B0658A" w:rsidRDefault="008319FB" w:rsidP="00004A41">
            <w:pPr>
              <w:pStyle w:val="ConsPlusNormal"/>
            </w:pPr>
          </w:p>
        </w:tc>
        <w:tc>
          <w:tcPr>
            <w:tcW w:w="1133" w:type="pct"/>
            <w:tcBorders>
              <w:top w:val="single" w:sz="4" w:space="0" w:color="auto"/>
              <w:left w:val="single" w:sz="4" w:space="0" w:color="auto"/>
              <w:bottom w:val="single" w:sz="4" w:space="0" w:color="auto"/>
              <w:right w:val="single" w:sz="4" w:space="0" w:color="auto"/>
            </w:tcBorders>
          </w:tcPr>
          <w:p w14:paraId="76F777ED" w14:textId="77777777" w:rsidR="008319FB" w:rsidRPr="00B0658A" w:rsidRDefault="008319FB" w:rsidP="00004A41">
            <w:pPr>
              <w:pStyle w:val="ConsPlusNormal"/>
            </w:pPr>
          </w:p>
        </w:tc>
        <w:tc>
          <w:tcPr>
            <w:tcW w:w="1188" w:type="pct"/>
            <w:tcBorders>
              <w:top w:val="single" w:sz="4" w:space="0" w:color="auto"/>
              <w:left w:val="single" w:sz="4" w:space="0" w:color="auto"/>
              <w:bottom w:val="single" w:sz="4" w:space="0" w:color="auto"/>
              <w:right w:val="single" w:sz="4" w:space="0" w:color="auto"/>
            </w:tcBorders>
          </w:tcPr>
          <w:p w14:paraId="0EC0AA1A" w14:textId="77777777" w:rsidR="008319FB" w:rsidRPr="00B0658A" w:rsidRDefault="008319FB" w:rsidP="00004A41">
            <w:pPr>
              <w:pStyle w:val="ConsPlusNormal"/>
            </w:pPr>
          </w:p>
        </w:tc>
        <w:tc>
          <w:tcPr>
            <w:tcW w:w="622" w:type="pct"/>
            <w:tcBorders>
              <w:top w:val="single" w:sz="4" w:space="0" w:color="auto"/>
              <w:left w:val="single" w:sz="4" w:space="0" w:color="auto"/>
              <w:bottom w:val="single" w:sz="4" w:space="0" w:color="auto"/>
              <w:right w:val="single" w:sz="4" w:space="0" w:color="auto"/>
            </w:tcBorders>
          </w:tcPr>
          <w:p w14:paraId="104A5A53" w14:textId="77777777" w:rsidR="008319FB" w:rsidRPr="00B0658A" w:rsidRDefault="008319FB" w:rsidP="00004A41">
            <w:pPr>
              <w:pStyle w:val="ConsPlusNormal"/>
            </w:pPr>
          </w:p>
        </w:tc>
        <w:tc>
          <w:tcPr>
            <w:tcW w:w="1024" w:type="pct"/>
            <w:tcBorders>
              <w:top w:val="single" w:sz="4" w:space="0" w:color="auto"/>
              <w:left w:val="single" w:sz="4" w:space="0" w:color="auto"/>
              <w:bottom w:val="single" w:sz="4" w:space="0" w:color="auto"/>
              <w:right w:val="single" w:sz="4" w:space="0" w:color="auto"/>
            </w:tcBorders>
          </w:tcPr>
          <w:p w14:paraId="0F77E272" w14:textId="77777777" w:rsidR="008319FB" w:rsidRPr="00B0658A" w:rsidRDefault="008319FB" w:rsidP="00004A41">
            <w:pPr>
              <w:pStyle w:val="ConsPlusNormal"/>
            </w:pPr>
          </w:p>
        </w:tc>
      </w:tr>
      <w:tr w:rsidR="00F52FED" w:rsidRPr="00B0658A" w14:paraId="1616C26C" w14:textId="77777777" w:rsidTr="00E35C99">
        <w:trPr>
          <w:trHeight w:val="20"/>
        </w:trPr>
        <w:tc>
          <w:tcPr>
            <w:tcW w:w="5000" w:type="pct"/>
            <w:gridSpan w:val="6"/>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4CAE097" w14:textId="77777777" w:rsidR="008319FB" w:rsidRPr="00B0658A" w:rsidRDefault="008319FB" w:rsidP="00004A41">
            <w:pPr>
              <w:pStyle w:val="ConsPlusNormal"/>
            </w:pPr>
            <w:r w:rsidRPr="00B0658A">
              <w:t>2. Мероприятия в отношении ________ (наименование значимого объекта КИИ № 2)</w:t>
            </w:r>
          </w:p>
        </w:tc>
      </w:tr>
      <w:tr w:rsidR="00F52FED" w:rsidRPr="00B0658A" w14:paraId="06FA5F2D" w14:textId="77777777" w:rsidTr="00E35C99">
        <w:trPr>
          <w:trHeight w:val="20"/>
        </w:trPr>
        <w:tc>
          <w:tcPr>
            <w:tcW w:w="204" w:type="pct"/>
            <w:tcBorders>
              <w:top w:val="single" w:sz="4" w:space="0" w:color="auto"/>
              <w:left w:val="single" w:sz="4" w:space="0" w:color="auto"/>
              <w:bottom w:val="single" w:sz="4" w:space="0" w:color="auto"/>
              <w:right w:val="single" w:sz="4" w:space="0" w:color="auto"/>
            </w:tcBorders>
          </w:tcPr>
          <w:p w14:paraId="022D5A3E" w14:textId="77777777" w:rsidR="008319FB" w:rsidRPr="00B0658A" w:rsidRDefault="008319FB" w:rsidP="00004A41">
            <w:pPr>
              <w:pStyle w:val="ConsPlusNormal"/>
              <w:rPr>
                <w:lang w:val="en-US"/>
              </w:rPr>
            </w:pPr>
            <w:r w:rsidRPr="00B0658A">
              <w:rPr>
                <w:lang w:val="en-US"/>
              </w:rPr>
              <w:t>2.1</w:t>
            </w:r>
          </w:p>
        </w:tc>
        <w:tc>
          <w:tcPr>
            <w:tcW w:w="829" w:type="pct"/>
            <w:tcBorders>
              <w:top w:val="single" w:sz="4" w:space="0" w:color="auto"/>
              <w:left w:val="single" w:sz="4" w:space="0" w:color="auto"/>
              <w:bottom w:val="single" w:sz="4" w:space="0" w:color="auto"/>
              <w:right w:val="single" w:sz="4" w:space="0" w:color="auto"/>
            </w:tcBorders>
          </w:tcPr>
          <w:p w14:paraId="20EBA80F" w14:textId="77777777" w:rsidR="008319FB" w:rsidRPr="00B0658A" w:rsidRDefault="008319FB" w:rsidP="00004A41">
            <w:pPr>
              <w:pStyle w:val="ConsPlusNormal"/>
            </w:pPr>
          </w:p>
        </w:tc>
        <w:tc>
          <w:tcPr>
            <w:tcW w:w="1133" w:type="pct"/>
            <w:tcBorders>
              <w:top w:val="single" w:sz="4" w:space="0" w:color="auto"/>
              <w:left w:val="single" w:sz="4" w:space="0" w:color="auto"/>
              <w:bottom w:val="single" w:sz="4" w:space="0" w:color="auto"/>
              <w:right w:val="single" w:sz="4" w:space="0" w:color="auto"/>
            </w:tcBorders>
          </w:tcPr>
          <w:p w14:paraId="0B9B0F63" w14:textId="77777777" w:rsidR="008319FB" w:rsidRPr="00B0658A" w:rsidRDefault="008319FB" w:rsidP="00004A41">
            <w:pPr>
              <w:pStyle w:val="ConsPlusNormal"/>
            </w:pPr>
          </w:p>
        </w:tc>
        <w:tc>
          <w:tcPr>
            <w:tcW w:w="1188" w:type="pct"/>
            <w:tcBorders>
              <w:top w:val="single" w:sz="4" w:space="0" w:color="auto"/>
              <w:left w:val="single" w:sz="4" w:space="0" w:color="auto"/>
              <w:bottom w:val="single" w:sz="4" w:space="0" w:color="auto"/>
              <w:right w:val="single" w:sz="4" w:space="0" w:color="auto"/>
            </w:tcBorders>
          </w:tcPr>
          <w:p w14:paraId="56A9FB77" w14:textId="77777777" w:rsidR="008319FB" w:rsidRPr="00B0658A" w:rsidRDefault="008319FB" w:rsidP="00004A41">
            <w:pPr>
              <w:pStyle w:val="ConsPlusNormal"/>
            </w:pPr>
          </w:p>
        </w:tc>
        <w:tc>
          <w:tcPr>
            <w:tcW w:w="622" w:type="pct"/>
            <w:tcBorders>
              <w:top w:val="single" w:sz="4" w:space="0" w:color="auto"/>
              <w:left w:val="single" w:sz="4" w:space="0" w:color="auto"/>
              <w:bottom w:val="single" w:sz="4" w:space="0" w:color="auto"/>
              <w:right w:val="single" w:sz="4" w:space="0" w:color="auto"/>
            </w:tcBorders>
          </w:tcPr>
          <w:p w14:paraId="5220EE67" w14:textId="77777777" w:rsidR="008319FB" w:rsidRPr="00B0658A" w:rsidRDefault="008319FB" w:rsidP="00004A41">
            <w:pPr>
              <w:pStyle w:val="ConsPlusNormal"/>
            </w:pPr>
          </w:p>
        </w:tc>
        <w:tc>
          <w:tcPr>
            <w:tcW w:w="1024" w:type="pct"/>
            <w:tcBorders>
              <w:top w:val="single" w:sz="4" w:space="0" w:color="auto"/>
              <w:left w:val="single" w:sz="4" w:space="0" w:color="auto"/>
              <w:bottom w:val="single" w:sz="4" w:space="0" w:color="auto"/>
              <w:right w:val="single" w:sz="4" w:space="0" w:color="auto"/>
            </w:tcBorders>
          </w:tcPr>
          <w:p w14:paraId="5466CE04" w14:textId="77777777" w:rsidR="008319FB" w:rsidRPr="00B0658A" w:rsidRDefault="008319FB" w:rsidP="00004A41">
            <w:pPr>
              <w:pStyle w:val="ConsPlusNormal"/>
            </w:pPr>
          </w:p>
        </w:tc>
      </w:tr>
      <w:tr w:rsidR="00F52FED" w:rsidRPr="00B0658A" w14:paraId="6F7D52D8" w14:textId="77777777" w:rsidTr="00E35C99">
        <w:trPr>
          <w:trHeight w:val="20"/>
        </w:trPr>
        <w:tc>
          <w:tcPr>
            <w:tcW w:w="204" w:type="pct"/>
            <w:tcBorders>
              <w:top w:val="single" w:sz="4" w:space="0" w:color="auto"/>
              <w:left w:val="single" w:sz="4" w:space="0" w:color="auto"/>
              <w:bottom w:val="single" w:sz="4" w:space="0" w:color="auto"/>
              <w:right w:val="single" w:sz="4" w:space="0" w:color="auto"/>
            </w:tcBorders>
          </w:tcPr>
          <w:p w14:paraId="4E21EE27" w14:textId="77777777" w:rsidR="008319FB" w:rsidRPr="00B0658A" w:rsidRDefault="008319FB" w:rsidP="00004A41">
            <w:pPr>
              <w:pStyle w:val="ConsPlusNormal"/>
              <w:rPr>
                <w:lang w:val="en-US"/>
              </w:rPr>
            </w:pPr>
            <w:r w:rsidRPr="00B0658A">
              <w:rPr>
                <w:lang w:val="en-US"/>
              </w:rPr>
              <w:t>2.2</w:t>
            </w:r>
          </w:p>
        </w:tc>
        <w:tc>
          <w:tcPr>
            <w:tcW w:w="829" w:type="pct"/>
            <w:tcBorders>
              <w:top w:val="single" w:sz="4" w:space="0" w:color="auto"/>
              <w:left w:val="single" w:sz="4" w:space="0" w:color="auto"/>
              <w:bottom w:val="single" w:sz="4" w:space="0" w:color="auto"/>
              <w:right w:val="single" w:sz="4" w:space="0" w:color="auto"/>
            </w:tcBorders>
          </w:tcPr>
          <w:p w14:paraId="06BA3FD7" w14:textId="77777777" w:rsidR="008319FB" w:rsidRPr="00B0658A" w:rsidRDefault="008319FB" w:rsidP="00004A41">
            <w:pPr>
              <w:pStyle w:val="ConsPlusNormal"/>
            </w:pPr>
          </w:p>
        </w:tc>
        <w:tc>
          <w:tcPr>
            <w:tcW w:w="1133" w:type="pct"/>
            <w:tcBorders>
              <w:top w:val="single" w:sz="4" w:space="0" w:color="auto"/>
              <w:left w:val="single" w:sz="4" w:space="0" w:color="auto"/>
              <w:bottom w:val="single" w:sz="4" w:space="0" w:color="auto"/>
              <w:right w:val="single" w:sz="4" w:space="0" w:color="auto"/>
            </w:tcBorders>
          </w:tcPr>
          <w:p w14:paraId="322FBD46" w14:textId="77777777" w:rsidR="008319FB" w:rsidRPr="00B0658A" w:rsidRDefault="008319FB" w:rsidP="00004A41">
            <w:pPr>
              <w:pStyle w:val="ConsPlusNormal"/>
            </w:pPr>
          </w:p>
        </w:tc>
        <w:tc>
          <w:tcPr>
            <w:tcW w:w="1188" w:type="pct"/>
            <w:tcBorders>
              <w:top w:val="single" w:sz="4" w:space="0" w:color="auto"/>
              <w:left w:val="single" w:sz="4" w:space="0" w:color="auto"/>
              <w:bottom w:val="single" w:sz="4" w:space="0" w:color="auto"/>
              <w:right w:val="single" w:sz="4" w:space="0" w:color="auto"/>
            </w:tcBorders>
          </w:tcPr>
          <w:p w14:paraId="6C7CF9AC" w14:textId="77777777" w:rsidR="008319FB" w:rsidRPr="00B0658A" w:rsidRDefault="008319FB" w:rsidP="00004A41">
            <w:pPr>
              <w:pStyle w:val="ConsPlusNormal"/>
            </w:pPr>
          </w:p>
        </w:tc>
        <w:tc>
          <w:tcPr>
            <w:tcW w:w="622" w:type="pct"/>
            <w:tcBorders>
              <w:top w:val="single" w:sz="4" w:space="0" w:color="auto"/>
              <w:left w:val="single" w:sz="4" w:space="0" w:color="auto"/>
              <w:bottom w:val="single" w:sz="4" w:space="0" w:color="auto"/>
              <w:right w:val="single" w:sz="4" w:space="0" w:color="auto"/>
            </w:tcBorders>
          </w:tcPr>
          <w:p w14:paraId="1183341F" w14:textId="77777777" w:rsidR="008319FB" w:rsidRPr="00B0658A" w:rsidRDefault="008319FB" w:rsidP="00004A41">
            <w:pPr>
              <w:pStyle w:val="ConsPlusNormal"/>
            </w:pPr>
          </w:p>
        </w:tc>
        <w:tc>
          <w:tcPr>
            <w:tcW w:w="1024" w:type="pct"/>
            <w:tcBorders>
              <w:top w:val="single" w:sz="4" w:space="0" w:color="auto"/>
              <w:left w:val="single" w:sz="4" w:space="0" w:color="auto"/>
              <w:bottom w:val="single" w:sz="4" w:space="0" w:color="auto"/>
              <w:right w:val="single" w:sz="4" w:space="0" w:color="auto"/>
            </w:tcBorders>
          </w:tcPr>
          <w:p w14:paraId="71734DD2" w14:textId="77777777" w:rsidR="008319FB" w:rsidRPr="00B0658A" w:rsidRDefault="008319FB" w:rsidP="00004A41">
            <w:pPr>
              <w:pStyle w:val="ConsPlusNormal"/>
            </w:pPr>
          </w:p>
        </w:tc>
      </w:tr>
      <w:tr w:rsidR="00F52FED" w:rsidRPr="00B0658A" w14:paraId="7B5D7CCF" w14:textId="77777777" w:rsidTr="00E35C99">
        <w:trPr>
          <w:trHeight w:val="20"/>
        </w:trPr>
        <w:tc>
          <w:tcPr>
            <w:tcW w:w="204" w:type="pct"/>
            <w:tcBorders>
              <w:top w:val="single" w:sz="4" w:space="0" w:color="auto"/>
              <w:left w:val="single" w:sz="4" w:space="0" w:color="auto"/>
              <w:bottom w:val="single" w:sz="4" w:space="0" w:color="auto"/>
              <w:right w:val="single" w:sz="4" w:space="0" w:color="auto"/>
            </w:tcBorders>
          </w:tcPr>
          <w:p w14:paraId="35E0157E" w14:textId="77777777" w:rsidR="008319FB" w:rsidRPr="00B0658A" w:rsidRDefault="008319FB" w:rsidP="00004A41">
            <w:pPr>
              <w:pStyle w:val="ConsPlusNormal"/>
              <w:rPr>
                <w:lang w:val="en-US"/>
              </w:rPr>
            </w:pPr>
            <w:r w:rsidRPr="00B0658A">
              <w:rPr>
                <w:lang w:val="en-US"/>
              </w:rPr>
              <w:t>….</w:t>
            </w:r>
          </w:p>
        </w:tc>
        <w:tc>
          <w:tcPr>
            <w:tcW w:w="829" w:type="pct"/>
            <w:tcBorders>
              <w:top w:val="single" w:sz="4" w:space="0" w:color="auto"/>
              <w:left w:val="single" w:sz="4" w:space="0" w:color="auto"/>
              <w:bottom w:val="single" w:sz="4" w:space="0" w:color="auto"/>
              <w:right w:val="single" w:sz="4" w:space="0" w:color="auto"/>
            </w:tcBorders>
          </w:tcPr>
          <w:p w14:paraId="70A54156" w14:textId="77777777" w:rsidR="008319FB" w:rsidRPr="00B0658A" w:rsidRDefault="008319FB" w:rsidP="00004A41">
            <w:pPr>
              <w:pStyle w:val="ConsPlusNormal"/>
            </w:pPr>
          </w:p>
        </w:tc>
        <w:tc>
          <w:tcPr>
            <w:tcW w:w="1133" w:type="pct"/>
            <w:tcBorders>
              <w:top w:val="single" w:sz="4" w:space="0" w:color="auto"/>
              <w:left w:val="single" w:sz="4" w:space="0" w:color="auto"/>
              <w:bottom w:val="single" w:sz="4" w:space="0" w:color="auto"/>
              <w:right w:val="single" w:sz="4" w:space="0" w:color="auto"/>
            </w:tcBorders>
          </w:tcPr>
          <w:p w14:paraId="0EC873C9" w14:textId="77777777" w:rsidR="008319FB" w:rsidRPr="00B0658A" w:rsidRDefault="008319FB" w:rsidP="00004A41">
            <w:pPr>
              <w:pStyle w:val="ConsPlusNormal"/>
            </w:pPr>
          </w:p>
        </w:tc>
        <w:tc>
          <w:tcPr>
            <w:tcW w:w="1188" w:type="pct"/>
            <w:tcBorders>
              <w:top w:val="single" w:sz="4" w:space="0" w:color="auto"/>
              <w:left w:val="single" w:sz="4" w:space="0" w:color="auto"/>
              <w:bottom w:val="single" w:sz="4" w:space="0" w:color="auto"/>
              <w:right w:val="single" w:sz="4" w:space="0" w:color="auto"/>
            </w:tcBorders>
          </w:tcPr>
          <w:p w14:paraId="3B0E9D18" w14:textId="77777777" w:rsidR="008319FB" w:rsidRPr="00B0658A" w:rsidRDefault="008319FB" w:rsidP="00004A41">
            <w:pPr>
              <w:pStyle w:val="ConsPlusNormal"/>
            </w:pPr>
          </w:p>
        </w:tc>
        <w:tc>
          <w:tcPr>
            <w:tcW w:w="622" w:type="pct"/>
            <w:tcBorders>
              <w:top w:val="single" w:sz="4" w:space="0" w:color="auto"/>
              <w:left w:val="single" w:sz="4" w:space="0" w:color="auto"/>
              <w:bottom w:val="single" w:sz="4" w:space="0" w:color="auto"/>
              <w:right w:val="single" w:sz="4" w:space="0" w:color="auto"/>
            </w:tcBorders>
          </w:tcPr>
          <w:p w14:paraId="3AAD689A" w14:textId="77777777" w:rsidR="008319FB" w:rsidRPr="00B0658A" w:rsidRDefault="008319FB" w:rsidP="00004A41">
            <w:pPr>
              <w:pStyle w:val="ConsPlusNormal"/>
            </w:pPr>
          </w:p>
        </w:tc>
        <w:tc>
          <w:tcPr>
            <w:tcW w:w="1024" w:type="pct"/>
            <w:tcBorders>
              <w:top w:val="single" w:sz="4" w:space="0" w:color="auto"/>
              <w:left w:val="single" w:sz="4" w:space="0" w:color="auto"/>
              <w:bottom w:val="single" w:sz="4" w:space="0" w:color="auto"/>
              <w:right w:val="single" w:sz="4" w:space="0" w:color="auto"/>
            </w:tcBorders>
          </w:tcPr>
          <w:p w14:paraId="2992AF58" w14:textId="77777777" w:rsidR="008319FB" w:rsidRPr="00B0658A" w:rsidRDefault="008319FB" w:rsidP="00004A41">
            <w:pPr>
              <w:pStyle w:val="ConsPlusNormal"/>
            </w:pPr>
          </w:p>
        </w:tc>
      </w:tr>
      <w:tr w:rsidR="00F52FED" w:rsidRPr="00B0658A" w14:paraId="7FC2C020" w14:textId="77777777" w:rsidTr="00E35C99">
        <w:trPr>
          <w:trHeight w:val="20"/>
        </w:trPr>
        <w:tc>
          <w:tcPr>
            <w:tcW w:w="204" w:type="pct"/>
            <w:tcBorders>
              <w:top w:val="single" w:sz="4" w:space="0" w:color="auto"/>
              <w:left w:val="single" w:sz="4" w:space="0" w:color="auto"/>
              <w:bottom w:val="single" w:sz="4" w:space="0" w:color="auto"/>
              <w:right w:val="single" w:sz="4" w:space="0" w:color="auto"/>
            </w:tcBorders>
          </w:tcPr>
          <w:p w14:paraId="4C8A1A18" w14:textId="77777777" w:rsidR="008319FB" w:rsidRPr="00B0658A" w:rsidRDefault="008319FB" w:rsidP="00004A41">
            <w:pPr>
              <w:pStyle w:val="ConsPlusNormal"/>
              <w:rPr>
                <w:lang w:val="en-US"/>
              </w:rPr>
            </w:pPr>
            <w:r w:rsidRPr="00B0658A">
              <w:rPr>
                <w:lang w:val="en-US"/>
              </w:rPr>
              <w:t>2.n</w:t>
            </w:r>
          </w:p>
        </w:tc>
        <w:tc>
          <w:tcPr>
            <w:tcW w:w="829" w:type="pct"/>
            <w:tcBorders>
              <w:top w:val="single" w:sz="4" w:space="0" w:color="auto"/>
              <w:left w:val="single" w:sz="4" w:space="0" w:color="auto"/>
              <w:bottom w:val="single" w:sz="4" w:space="0" w:color="auto"/>
              <w:right w:val="single" w:sz="4" w:space="0" w:color="auto"/>
            </w:tcBorders>
          </w:tcPr>
          <w:p w14:paraId="6917DF29" w14:textId="77777777" w:rsidR="008319FB" w:rsidRPr="00B0658A" w:rsidRDefault="008319FB" w:rsidP="00004A41">
            <w:pPr>
              <w:pStyle w:val="ConsPlusNormal"/>
            </w:pPr>
          </w:p>
        </w:tc>
        <w:tc>
          <w:tcPr>
            <w:tcW w:w="1133" w:type="pct"/>
            <w:tcBorders>
              <w:top w:val="single" w:sz="4" w:space="0" w:color="auto"/>
              <w:left w:val="single" w:sz="4" w:space="0" w:color="auto"/>
              <w:bottom w:val="single" w:sz="4" w:space="0" w:color="auto"/>
              <w:right w:val="single" w:sz="4" w:space="0" w:color="auto"/>
            </w:tcBorders>
          </w:tcPr>
          <w:p w14:paraId="53D91CEE" w14:textId="77777777" w:rsidR="008319FB" w:rsidRPr="00B0658A" w:rsidRDefault="008319FB" w:rsidP="00004A41">
            <w:pPr>
              <w:pStyle w:val="ConsPlusNormal"/>
            </w:pPr>
          </w:p>
        </w:tc>
        <w:tc>
          <w:tcPr>
            <w:tcW w:w="1188" w:type="pct"/>
            <w:tcBorders>
              <w:top w:val="single" w:sz="4" w:space="0" w:color="auto"/>
              <w:left w:val="single" w:sz="4" w:space="0" w:color="auto"/>
              <w:bottom w:val="single" w:sz="4" w:space="0" w:color="auto"/>
              <w:right w:val="single" w:sz="4" w:space="0" w:color="auto"/>
            </w:tcBorders>
          </w:tcPr>
          <w:p w14:paraId="4B37CC06" w14:textId="77777777" w:rsidR="008319FB" w:rsidRPr="00B0658A" w:rsidRDefault="008319FB" w:rsidP="00004A41">
            <w:pPr>
              <w:pStyle w:val="ConsPlusNormal"/>
            </w:pPr>
          </w:p>
        </w:tc>
        <w:tc>
          <w:tcPr>
            <w:tcW w:w="622" w:type="pct"/>
            <w:tcBorders>
              <w:top w:val="single" w:sz="4" w:space="0" w:color="auto"/>
              <w:left w:val="single" w:sz="4" w:space="0" w:color="auto"/>
              <w:bottom w:val="single" w:sz="4" w:space="0" w:color="auto"/>
              <w:right w:val="single" w:sz="4" w:space="0" w:color="auto"/>
            </w:tcBorders>
          </w:tcPr>
          <w:p w14:paraId="369ADBCB" w14:textId="77777777" w:rsidR="008319FB" w:rsidRPr="00B0658A" w:rsidRDefault="008319FB" w:rsidP="00004A41">
            <w:pPr>
              <w:pStyle w:val="ConsPlusNormal"/>
            </w:pPr>
          </w:p>
        </w:tc>
        <w:tc>
          <w:tcPr>
            <w:tcW w:w="1024" w:type="pct"/>
            <w:tcBorders>
              <w:top w:val="single" w:sz="4" w:space="0" w:color="auto"/>
              <w:left w:val="single" w:sz="4" w:space="0" w:color="auto"/>
              <w:bottom w:val="single" w:sz="4" w:space="0" w:color="auto"/>
              <w:right w:val="single" w:sz="4" w:space="0" w:color="auto"/>
            </w:tcBorders>
          </w:tcPr>
          <w:p w14:paraId="6DEEDDE0" w14:textId="77777777" w:rsidR="008319FB" w:rsidRPr="00B0658A" w:rsidRDefault="008319FB" w:rsidP="00004A41">
            <w:pPr>
              <w:pStyle w:val="ConsPlusNormal"/>
            </w:pPr>
          </w:p>
        </w:tc>
      </w:tr>
      <w:tr w:rsidR="00F52FED" w:rsidRPr="00B0658A" w14:paraId="6A8B2B7D" w14:textId="77777777" w:rsidTr="00E35C99">
        <w:trPr>
          <w:trHeight w:val="20"/>
        </w:trPr>
        <w:tc>
          <w:tcPr>
            <w:tcW w:w="5000" w:type="pct"/>
            <w:gridSpan w:val="6"/>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D517F3D" w14:textId="3693380D" w:rsidR="008319FB" w:rsidRPr="00B0658A" w:rsidRDefault="00C20C87" w:rsidP="00004A41">
            <w:pPr>
              <w:pStyle w:val="ConsPlusNormal"/>
            </w:pPr>
            <w:r>
              <w:rPr>
                <w:lang w:val="en-US"/>
              </w:rPr>
              <w:t>N</w:t>
            </w:r>
            <w:r w:rsidR="008319FB" w:rsidRPr="00B0658A">
              <w:t xml:space="preserve">. Мероприятия в отношении ________ (наименование значимого объекта КИИ № </w:t>
            </w:r>
            <w:r w:rsidR="008319FB" w:rsidRPr="00B0658A">
              <w:rPr>
                <w:lang w:val="en-US"/>
              </w:rPr>
              <w:t>N</w:t>
            </w:r>
            <w:r w:rsidR="008319FB" w:rsidRPr="00B0658A">
              <w:t>)</w:t>
            </w:r>
          </w:p>
        </w:tc>
      </w:tr>
      <w:tr w:rsidR="00F52FED" w:rsidRPr="00B0658A" w14:paraId="1B71E289" w14:textId="77777777" w:rsidTr="00E35C99">
        <w:trPr>
          <w:trHeight w:val="20"/>
        </w:trPr>
        <w:tc>
          <w:tcPr>
            <w:tcW w:w="204" w:type="pct"/>
            <w:tcBorders>
              <w:top w:val="single" w:sz="4" w:space="0" w:color="auto"/>
              <w:left w:val="single" w:sz="4" w:space="0" w:color="auto"/>
              <w:bottom w:val="single" w:sz="4" w:space="0" w:color="auto"/>
              <w:right w:val="single" w:sz="4" w:space="0" w:color="auto"/>
            </w:tcBorders>
          </w:tcPr>
          <w:p w14:paraId="78103CA3" w14:textId="77777777" w:rsidR="008319FB" w:rsidRPr="00B0658A" w:rsidRDefault="008319FB" w:rsidP="00004A41">
            <w:pPr>
              <w:pStyle w:val="ConsPlusNormal"/>
              <w:rPr>
                <w:lang w:val="en-US"/>
              </w:rPr>
            </w:pPr>
            <w:r w:rsidRPr="00B0658A">
              <w:rPr>
                <w:lang w:val="en-US"/>
              </w:rPr>
              <w:t>N.1</w:t>
            </w:r>
          </w:p>
        </w:tc>
        <w:tc>
          <w:tcPr>
            <w:tcW w:w="829" w:type="pct"/>
            <w:tcBorders>
              <w:top w:val="single" w:sz="4" w:space="0" w:color="auto"/>
              <w:left w:val="single" w:sz="4" w:space="0" w:color="auto"/>
              <w:bottom w:val="single" w:sz="4" w:space="0" w:color="auto"/>
              <w:right w:val="single" w:sz="4" w:space="0" w:color="auto"/>
            </w:tcBorders>
          </w:tcPr>
          <w:p w14:paraId="21F33E71" w14:textId="77777777" w:rsidR="008319FB" w:rsidRPr="00B0658A" w:rsidRDefault="008319FB" w:rsidP="00004A41">
            <w:pPr>
              <w:pStyle w:val="ConsPlusNormal"/>
            </w:pPr>
          </w:p>
        </w:tc>
        <w:tc>
          <w:tcPr>
            <w:tcW w:w="1133" w:type="pct"/>
            <w:tcBorders>
              <w:top w:val="single" w:sz="4" w:space="0" w:color="auto"/>
              <w:left w:val="single" w:sz="4" w:space="0" w:color="auto"/>
              <w:bottom w:val="single" w:sz="4" w:space="0" w:color="auto"/>
              <w:right w:val="single" w:sz="4" w:space="0" w:color="auto"/>
            </w:tcBorders>
          </w:tcPr>
          <w:p w14:paraId="0BAF2708" w14:textId="77777777" w:rsidR="008319FB" w:rsidRPr="00B0658A" w:rsidRDefault="008319FB" w:rsidP="00004A41">
            <w:pPr>
              <w:pStyle w:val="ConsPlusNormal"/>
            </w:pPr>
          </w:p>
        </w:tc>
        <w:tc>
          <w:tcPr>
            <w:tcW w:w="1188" w:type="pct"/>
            <w:tcBorders>
              <w:top w:val="single" w:sz="4" w:space="0" w:color="auto"/>
              <w:left w:val="single" w:sz="4" w:space="0" w:color="auto"/>
              <w:bottom w:val="single" w:sz="4" w:space="0" w:color="auto"/>
              <w:right w:val="single" w:sz="4" w:space="0" w:color="auto"/>
            </w:tcBorders>
          </w:tcPr>
          <w:p w14:paraId="5979174D" w14:textId="77777777" w:rsidR="008319FB" w:rsidRPr="00B0658A" w:rsidRDefault="008319FB" w:rsidP="00004A41">
            <w:pPr>
              <w:pStyle w:val="ConsPlusNormal"/>
            </w:pPr>
          </w:p>
        </w:tc>
        <w:tc>
          <w:tcPr>
            <w:tcW w:w="622" w:type="pct"/>
            <w:tcBorders>
              <w:top w:val="single" w:sz="4" w:space="0" w:color="auto"/>
              <w:left w:val="single" w:sz="4" w:space="0" w:color="auto"/>
              <w:bottom w:val="single" w:sz="4" w:space="0" w:color="auto"/>
              <w:right w:val="single" w:sz="4" w:space="0" w:color="auto"/>
            </w:tcBorders>
          </w:tcPr>
          <w:p w14:paraId="157FC40F" w14:textId="77777777" w:rsidR="008319FB" w:rsidRPr="00B0658A" w:rsidRDefault="008319FB" w:rsidP="00004A41">
            <w:pPr>
              <w:pStyle w:val="ConsPlusNormal"/>
            </w:pPr>
          </w:p>
        </w:tc>
        <w:tc>
          <w:tcPr>
            <w:tcW w:w="1024" w:type="pct"/>
            <w:tcBorders>
              <w:top w:val="single" w:sz="4" w:space="0" w:color="auto"/>
              <w:left w:val="single" w:sz="4" w:space="0" w:color="auto"/>
              <w:bottom w:val="single" w:sz="4" w:space="0" w:color="auto"/>
              <w:right w:val="single" w:sz="4" w:space="0" w:color="auto"/>
            </w:tcBorders>
          </w:tcPr>
          <w:p w14:paraId="61913A2E" w14:textId="77777777" w:rsidR="008319FB" w:rsidRPr="00B0658A" w:rsidRDefault="008319FB" w:rsidP="00004A41">
            <w:pPr>
              <w:pStyle w:val="ConsPlusNormal"/>
            </w:pPr>
          </w:p>
        </w:tc>
      </w:tr>
      <w:tr w:rsidR="00F52FED" w:rsidRPr="00B0658A" w14:paraId="7A74C0E2" w14:textId="77777777" w:rsidTr="00E35C99">
        <w:trPr>
          <w:trHeight w:val="20"/>
        </w:trPr>
        <w:tc>
          <w:tcPr>
            <w:tcW w:w="204" w:type="pct"/>
            <w:tcBorders>
              <w:top w:val="single" w:sz="4" w:space="0" w:color="auto"/>
              <w:left w:val="single" w:sz="4" w:space="0" w:color="auto"/>
              <w:bottom w:val="single" w:sz="4" w:space="0" w:color="auto"/>
              <w:right w:val="single" w:sz="4" w:space="0" w:color="auto"/>
            </w:tcBorders>
          </w:tcPr>
          <w:p w14:paraId="7B0C63DA" w14:textId="77777777" w:rsidR="008319FB" w:rsidRPr="00B0658A" w:rsidRDefault="008319FB" w:rsidP="00004A41">
            <w:pPr>
              <w:pStyle w:val="ConsPlusNormal"/>
              <w:rPr>
                <w:lang w:val="en-US"/>
              </w:rPr>
            </w:pPr>
            <w:r w:rsidRPr="00B0658A">
              <w:rPr>
                <w:lang w:val="en-US"/>
              </w:rPr>
              <w:t>N.2</w:t>
            </w:r>
          </w:p>
        </w:tc>
        <w:tc>
          <w:tcPr>
            <w:tcW w:w="829" w:type="pct"/>
            <w:tcBorders>
              <w:top w:val="single" w:sz="4" w:space="0" w:color="auto"/>
              <w:left w:val="single" w:sz="4" w:space="0" w:color="auto"/>
              <w:bottom w:val="single" w:sz="4" w:space="0" w:color="auto"/>
              <w:right w:val="single" w:sz="4" w:space="0" w:color="auto"/>
            </w:tcBorders>
          </w:tcPr>
          <w:p w14:paraId="255FAA58" w14:textId="77777777" w:rsidR="008319FB" w:rsidRPr="00B0658A" w:rsidRDefault="008319FB" w:rsidP="00004A41">
            <w:pPr>
              <w:pStyle w:val="ConsPlusNormal"/>
            </w:pPr>
          </w:p>
        </w:tc>
        <w:tc>
          <w:tcPr>
            <w:tcW w:w="1133" w:type="pct"/>
            <w:tcBorders>
              <w:top w:val="single" w:sz="4" w:space="0" w:color="auto"/>
              <w:left w:val="single" w:sz="4" w:space="0" w:color="auto"/>
              <w:bottom w:val="single" w:sz="4" w:space="0" w:color="auto"/>
              <w:right w:val="single" w:sz="4" w:space="0" w:color="auto"/>
            </w:tcBorders>
          </w:tcPr>
          <w:p w14:paraId="6216A717" w14:textId="77777777" w:rsidR="008319FB" w:rsidRPr="00B0658A" w:rsidRDefault="008319FB" w:rsidP="00004A41">
            <w:pPr>
              <w:pStyle w:val="ConsPlusNormal"/>
            </w:pPr>
          </w:p>
        </w:tc>
        <w:tc>
          <w:tcPr>
            <w:tcW w:w="1188" w:type="pct"/>
            <w:tcBorders>
              <w:top w:val="single" w:sz="4" w:space="0" w:color="auto"/>
              <w:left w:val="single" w:sz="4" w:space="0" w:color="auto"/>
              <w:bottom w:val="single" w:sz="4" w:space="0" w:color="auto"/>
              <w:right w:val="single" w:sz="4" w:space="0" w:color="auto"/>
            </w:tcBorders>
          </w:tcPr>
          <w:p w14:paraId="1A15153E" w14:textId="77777777" w:rsidR="008319FB" w:rsidRPr="00B0658A" w:rsidRDefault="008319FB" w:rsidP="00004A41">
            <w:pPr>
              <w:pStyle w:val="ConsPlusNormal"/>
            </w:pPr>
          </w:p>
        </w:tc>
        <w:tc>
          <w:tcPr>
            <w:tcW w:w="622" w:type="pct"/>
            <w:tcBorders>
              <w:top w:val="single" w:sz="4" w:space="0" w:color="auto"/>
              <w:left w:val="single" w:sz="4" w:space="0" w:color="auto"/>
              <w:bottom w:val="single" w:sz="4" w:space="0" w:color="auto"/>
              <w:right w:val="single" w:sz="4" w:space="0" w:color="auto"/>
            </w:tcBorders>
          </w:tcPr>
          <w:p w14:paraId="35DCB6FA" w14:textId="77777777" w:rsidR="008319FB" w:rsidRPr="00B0658A" w:rsidRDefault="008319FB" w:rsidP="00004A41">
            <w:pPr>
              <w:pStyle w:val="ConsPlusNormal"/>
            </w:pPr>
          </w:p>
        </w:tc>
        <w:tc>
          <w:tcPr>
            <w:tcW w:w="1024" w:type="pct"/>
            <w:tcBorders>
              <w:top w:val="single" w:sz="4" w:space="0" w:color="auto"/>
              <w:left w:val="single" w:sz="4" w:space="0" w:color="auto"/>
              <w:bottom w:val="single" w:sz="4" w:space="0" w:color="auto"/>
              <w:right w:val="single" w:sz="4" w:space="0" w:color="auto"/>
            </w:tcBorders>
          </w:tcPr>
          <w:p w14:paraId="6F646B49" w14:textId="77777777" w:rsidR="008319FB" w:rsidRPr="00B0658A" w:rsidRDefault="008319FB" w:rsidP="00004A41">
            <w:pPr>
              <w:pStyle w:val="ConsPlusNormal"/>
            </w:pPr>
          </w:p>
        </w:tc>
      </w:tr>
      <w:tr w:rsidR="00F52FED" w:rsidRPr="00B0658A" w14:paraId="2B1B6A3D" w14:textId="77777777" w:rsidTr="00E35C99">
        <w:trPr>
          <w:trHeight w:val="20"/>
        </w:trPr>
        <w:tc>
          <w:tcPr>
            <w:tcW w:w="204" w:type="pct"/>
            <w:tcBorders>
              <w:top w:val="single" w:sz="4" w:space="0" w:color="auto"/>
              <w:left w:val="single" w:sz="4" w:space="0" w:color="auto"/>
              <w:bottom w:val="single" w:sz="4" w:space="0" w:color="auto"/>
              <w:right w:val="single" w:sz="4" w:space="0" w:color="auto"/>
            </w:tcBorders>
          </w:tcPr>
          <w:p w14:paraId="6C18978F" w14:textId="77777777" w:rsidR="008319FB" w:rsidRPr="00B0658A" w:rsidRDefault="008319FB" w:rsidP="00004A41">
            <w:pPr>
              <w:pStyle w:val="ConsPlusNormal"/>
            </w:pPr>
          </w:p>
        </w:tc>
        <w:tc>
          <w:tcPr>
            <w:tcW w:w="829" w:type="pct"/>
            <w:tcBorders>
              <w:top w:val="single" w:sz="4" w:space="0" w:color="auto"/>
              <w:left w:val="single" w:sz="4" w:space="0" w:color="auto"/>
              <w:bottom w:val="single" w:sz="4" w:space="0" w:color="auto"/>
              <w:right w:val="single" w:sz="4" w:space="0" w:color="auto"/>
            </w:tcBorders>
          </w:tcPr>
          <w:p w14:paraId="067B33BA" w14:textId="77777777" w:rsidR="008319FB" w:rsidRPr="00B0658A" w:rsidRDefault="008319FB" w:rsidP="00004A41">
            <w:pPr>
              <w:pStyle w:val="ConsPlusNormal"/>
            </w:pPr>
          </w:p>
        </w:tc>
        <w:tc>
          <w:tcPr>
            <w:tcW w:w="1133" w:type="pct"/>
            <w:tcBorders>
              <w:top w:val="single" w:sz="4" w:space="0" w:color="auto"/>
              <w:left w:val="single" w:sz="4" w:space="0" w:color="auto"/>
              <w:bottom w:val="single" w:sz="4" w:space="0" w:color="auto"/>
              <w:right w:val="single" w:sz="4" w:space="0" w:color="auto"/>
            </w:tcBorders>
          </w:tcPr>
          <w:p w14:paraId="3F7C13E7" w14:textId="77777777" w:rsidR="008319FB" w:rsidRPr="00B0658A" w:rsidRDefault="008319FB" w:rsidP="00004A41">
            <w:pPr>
              <w:pStyle w:val="ConsPlusNormal"/>
            </w:pPr>
          </w:p>
        </w:tc>
        <w:tc>
          <w:tcPr>
            <w:tcW w:w="1188" w:type="pct"/>
            <w:tcBorders>
              <w:top w:val="single" w:sz="4" w:space="0" w:color="auto"/>
              <w:left w:val="single" w:sz="4" w:space="0" w:color="auto"/>
              <w:bottom w:val="single" w:sz="4" w:space="0" w:color="auto"/>
              <w:right w:val="single" w:sz="4" w:space="0" w:color="auto"/>
            </w:tcBorders>
          </w:tcPr>
          <w:p w14:paraId="16145AA4" w14:textId="77777777" w:rsidR="008319FB" w:rsidRPr="00B0658A" w:rsidRDefault="008319FB" w:rsidP="00004A41">
            <w:pPr>
              <w:pStyle w:val="ConsPlusNormal"/>
            </w:pPr>
          </w:p>
        </w:tc>
        <w:tc>
          <w:tcPr>
            <w:tcW w:w="622" w:type="pct"/>
            <w:tcBorders>
              <w:top w:val="single" w:sz="4" w:space="0" w:color="auto"/>
              <w:left w:val="single" w:sz="4" w:space="0" w:color="auto"/>
              <w:bottom w:val="single" w:sz="4" w:space="0" w:color="auto"/>
              <w:right w:val="single" w:sz="4" w:space="0" w:color="auto"/>
            </w:tcBorders>
          </w:tcPr>
          <w:p w14:paraId="25E5F143" w14:textId="77777777" w:rsidR="008319FB" w:rsidRPr="00B0658A" w:rsidRDefault="008319FB" w:rsidP="00004A41">
            <w:pPr>
              <w:pStyle w:val="ConsPlusNormal"/>
            </w:pPr>
          </w:p>
        </w:tc>
        <w:tc>
          <w:tcPr>
            <w:tcW w:w="1024" w:type="pct"/>
            <w:tcBorders>
              <w:top w:val="single" w:sz="4" w:space="0" w:color="auto"/>
              <w:left w:val="single" w:sz="4" w:space="0" w:color="auto"/>
              <w:bottom w:val="single" w:sz="4" w:space="0" w:color="auto"/>
              <w:right w:val="single" w:sz="4" w:space="0" w:color="auto"/>
            </w:tcBorders>
          </w:tcPr>
          <w:p w14:paraId="01656D36" w14:textId="77777777" w:rsidR="008319FB" w:rsidRPr="00B0658A" w:rsidRDefault="008319FB" w:rsidP="00004A41">
            <w:pPr>
              <w:pStyle w:val="ConsPlusNormal"/>
            </w:pPr>
          </w:p>
        </w:tc>
      </w:tr>
      <w:tr w:rsidR="008319FB" w:rsidRPr="00B0658A" w14:paraId="32B9B8E5" w14:textId="77777777" w:rsidTr="00E35C99">
        <w:trPr>
          <w:trHeight w:val="20"/>
        </w:trPr>
        <w:tc>
          <w:tcPr>
            <w:tcW w:w="204" w:type="pct"/>
            <w:tcBorders>
              <w:top w:val="single" w:sz="4" w:space="0" w:color="auto"/>
              <w:left w:val="single" w:sz="4" w:space="0" w:color="auto"/>
              <w:bottom w:val="single" w:sz="4" w:space="0" w:color="auto"/>
              <w:right w:val="single" w:sz="4" w:space="0" w:color="auto"/>
            </w:tcBorders>
          </w:tcPr>
          <w:p w14:paraId="55C773C9" w14:textId="77777777" w:rsidR="008319FB" w:rsidRPr="00B0658A" w:rsidRDefault="008319FB" w:rsidP="00004A41">
            <w:pPr>
              <w:pStyle w:val="ConsPlusNormal"/>
              <w:rPr>
                <w:lang w:val="en-US"/>
              </w:rPr>
            </w:pPr>
            <w:r w:rsidRPr="00B0658A">
              <w:rPr>
                <w:lang w:val="en-US"/>
              </w:rPr>
              <w:t>N.n</w:t>
            </w:r>
          </w:p>
        </w:tc>
        <w:tc>
          <w:tcPr>
            <w:tcW w:w="829" w:type="pct"/>
            <w:tcBorders>
              <w:top w:val="single" w:sz="4" w:space="0" w:color="auto"/>
              <w:left w:val="single" w:sz="4" w:space="0" w:color="auto"/>
              <w:bottom w:val="single" w:sz="4" w:space="0" w:color="auto"/>
              <w:right w:val="single" w:sz="4" w:space="0" w:color="auto"/>
            </w:tcBorders>
          </w:tcPr>
          <w:p w14:paraId="5FB1D240" w14:textId="77777777" w:rsidR="008319FB" w:rsidRPr="00B0658A" w:rsidRDefault="008319FB" w:rsidP="00004A41">
            <w:pPr>
              <w:pStyle w:val="ConsPlusNormal"/>
            </w:pPr>
          </w:p>
        </w:tc>
        <w:tc>
          <w:tcPr>
            <w:tcW w:w="1133" w:type="pct"/>
            <w:tcBorders>
              <w:top w:val="single" w:sz="4" w:space="0" w:color="auto"/>
              <w:left w:val="single" w:sz="4" w:space="0" w:color="auto"/>
              <w:bottom w:val="single" w:sz="4" w:space="0" w:color="auto"/>
              <w:right w:val="single" w:sz="4" w:space="0" w:color="auto"/>
            </w:tcBorders>
          </w:tcPr>
          <w:p w14:paraId="43DBDCE2" w14:textId="77777777" w:rsidR="008319FB" w:rsidRPr="00B0658A" w:rsidRDefault="008319FB" w:rsidP="00004A41">
            <w:pPr>
              <w:pStyle w:val="ConsPlusNormal"/>
            </w:pPr>
          </w:p>
        </w:tc>
        <w:tc>
          <w:tcPr>
            <w:tcW w:w="1188" w:type="pct"/>
            <w:tcBorders>
              <w:top w:val="single" w:sz="4" w:space="0" w:color="auto"/>
              <w:left w:val="single" w:sz="4" w:space="0" w:color="auto"/>
              <w:bottom w:val="single" w:sz="4" w:space="0" w:color="auto"/>
              <w:right w:val="single" w:sz="4" w:space="0" w:color="auto"/>
            </w:tcBorders>
          </w:tcPr>
          <w:p w14:paraId="64B598B3" w14:textId="77777777" w:rsidR="008319FB" w:rsidRPr="00B0658A" w:rsidRDefault="008319FB" w:rsidP="00004A41">
            <w:pPr>
              <w:pStyle w:val="ConsPlusNormal"/>
            </w:pPr>
          </w:p>
        </w:tc>
        <w:tc>
          <w:tcPr>
            <w:tcW w:w="622" w:type="pct"/>
            <w:tcBorders>
              <w:top w:val="single" w:sz="4" w:space="0" w:color="auto"/>
              <w:left w:val="single" w:sz="4" w:space="0" w:color="auto"/>
              <w:bottom w:val="single" w:sz="4" w:space="0" w:color="auto"/>
              <w:right w:val="single" w:sz="4" w:space="0" w:color="auto"/>
            </w:tcBorders>
          </w:tcPr>
          <w:p w14:paraId="25AFF9A0" w14:textId="77777777" w:rsidR="008319FB" w:rsidRPr="00B0658A" w:rsidRDefault="008319FB" w:rsidP="00004A41">
            <w:pPr>
              <w:pStyle w:val="ConsPlusNormal"/>
            </w:pPr>
          </w:p>
        </w:tc>
        <w:tc>
          <w:tcPr>
            <w:tcW w:w="1024" w:type="pct"/>
            <w:tcBorders>
              <w:top w:val="single" w:sz="4" w:space="0" w:color="auto"/>
              <w:left w:val="single" w:sz="4" w:space="0" w:color="auto"/>
              <w:bottom w:val="single" w:sz="4" w:space="0" w:color="auto"/>
              <w:right w:val="single" w:sz="4" w:space="0" w:color="auto"/>
            </w:tcBorders>
          </w:tcPr>
          <w:p w14:paraId="6B08267F" w14:textId="77777777" w:rsidR="008319FB" w:rsidRPr="00B0658A" w:rsidRDefault="008319FB" w:rsidP="00004A41">
            <w:pPr>
              <w:pStyle w:val="ConsPlusNormal"/>
            </w:pPr>
          </w:p>
        </w:tc>
      </w:tr>
    </w:tbl>
    <w:p w14:paraId="19F6EC41" w14:textId="77777777" w:rsidR="008319FB" w:rsidRPr="00B0658A" w:rsidRDefault="008319FB" w:rsidP="008319FB">
      <w:pPr>
        <w:spacing w:before="120" w:after="0" w:line="240" w:lineRule="auto"/>
        <w:rPr>
          <w:rFonts w:ascii="Times New Roman" w:hAnsi="Times New Roman"/>
          <w:sz w:val="28"/>
          <w:szCs w:val="24"/>
        </w:rPr>
      </w:pPr>
    </w:p>
    <w:p w14:paraId="30D242E5" w14:textId="77777777" w:rsidR="008319FB" w:rsidRPr="00B0658A" w:rsidRDefault="008319FB" w:rsidP="008319FB">
      <w:pPr>
        <w:spacing w:before="120" w:after="0" w:line="240" w:lineRule="auto"/>
        <w:jc w:val="both"/>
        <w:rPr>
          <w:rFonts w:ascii="Times New Roman" w:hAnsi="Times New Roman"/>
          <w:sz w:val="28"/>
          <w:szCs w:val="24"/>
        </w:rPr>
      </w:pPr>
      <w:r w:rsidRPr="00B0658A">
        <w:rPr>
          <w:rFonts w:ascii="Times New Roman" w:hAnsi="Times New Roman"/>
          <w:sz w:val="28"/>
          <w:szCs w:val="24"/>
        </w:rPr>
        <w:t xml:space="preserve">Раздел 2. «Показатели эффективности перехода на использование российского </w:t>
      </w:r>
      <w:r w:rsidR="00D052EA" w:rsidRPr="00B0658A">
        <w:rPr>
          <w:rFonts w:ascii="Times New Roman" w:hAnsi="Times New Roman"/>
          <w:sz w:val="28"/>
          <w:szCs w:val="24"/>
        </w:rPr>
        <w:t>ПО</w:t>
      </w:r>
      <w:r w:rsidRPr="00B0658A">
        <w:rPr>
          <w:rFonts w:ascii="Times New Roman" w:hAnsi="Times New Roman"/>
          <w:sz w:val="28"/>
          <w:szCs w:val="24"/>
        </w:rPr>
        <w:t xml:space="preserve"> и соответствующи</w:t>
      </w:r>
      <w:r w:rsidR="007034B2" w:rsidRPr="00B0658A">
        <w:rPr>
          <w:rFonts w:ascii="Times New Roman" w:hAnsi="Times New Roman"/>
          <w:sz w:val="28"/>
          <w:szCs w:val="24"/>
        </w:rPr>
        <w:t>е</w:t>
      </w:r>
      <w:r w:rsidRPr="00B0658A">
        <w:rPr>
          <w:rFonts w:ascii="Times New Roman" w:hAnsi="Times New Roman"/>
          <w:sz w:val="28"/>
          <w:szCs w:val="24"/>
        </w:rPr>
        <w:t xml:space="preserve"> им значени</w:t>
      </w:r>
      <w:r w:rsidR="007034B2" w:rsidRPr="00B0658A">
        <w:rPr>
          <w:rFonts w:ascii="Times New Roman" w:hAnsi="Times New Roman"/>
          <w:sz w:val="28"/>
          <w:szCs w:val="24"/>
        </w:rPr>
        <w:t>я</w:t>
      </w:r>
      <w:r w:rsidRPr="00B0658A">
        <w:rPr>
          <w:rFonts w:ascii="Times New Roman" w:hAnsi="Times New Roman"/>
          <w:sz w:val="28"/>
          <w:szCs w:val="24"/>
        </w:rPr>
        <w:t xml:space="preserve"> индикаторов эффективности в отношении значимых объектов КИИ»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7"/>
        <w:gridCol w:w="3432"/>
        <w:gridCol w:w="2337"/>
        <w:gridCol w:w="2337"/>
        <w:gridCol w:w="875"/>
        <w:gridCol w:w="875"/>
        <w:gridCol w:w="875"/>
        <w:gridCol w:w="875"/>
        <w:gridCol w:w="1581"/>
      </w:tblGrid>
      <w:tr w:rsidR="00F52FED" w:rsidRPr="00B0658A" w14:paraId="16F75EFA" w14:textId="77777777" w:rsidTr="00B65953">
        <w:trPr>
          <w:trHeight w:val="20"/>
          <w:tblHeader/>
        </w:trPr>
        <w:tc>
          <w:tcPr>
            <w:tcW w:w="278" w:type="pct"/>
            <w:shd w:val="clear" w:color="000000" w:fill="E7E6E6"/>
            <w:vAlign w:val="center"/>
            <w:hideMark/>
          </w:tcPr>
          <w:p w14:paraId="0D5D1766" w14:textId="77777777" w:rsidR="00AA11F5" w:rsidRPr="00B0658A" w:rsidRDefault="00AA11F5" w:rsidP="00004A41">
            <w:pPr>
              <w:spacing w:after="0" w:line="240" w:lineRule="auto"/>
              <w:jc w:val="center"/>
              <w:rPr>
                <w:rFonts w:ascii="Times New Roman" w:hAnsi="Times New Roman"/>
                <w:b/>
                <w:bCs/>
                <w:sz w:val="20"/>
                <w:szCs w:val="20"/>
              </w:rPr>
            </w:pPr>
            <w:r w:rsidRPr="00B0658A">
              <w:rPr>
                <w:rFonts w:ascii="Times New Roman" w:hAnsi="Times New Roman"/>
                <w:b/>
                <w:bCs/>
                <w:sz w:val="20"/>
                <w:szCs w:val="20"/>
              </w:rPr>
              <w:t>№ п/п</w:t>
            </w:r>
          </w:p>
        </w:tc>
        <w:tc>
          <w:tcPr>
            <w:tcW w:w="1237" w:type="pct"/>
            <w:shd w:val="clear" w:color="000000" w:fill="E7E6E6"/>
            <w:vAlign w:val="center"/>
            <w:hideMark/>
          </w:tcPr>
          <w:p w14:paraId="47574D1E" w14:textId="77777777" w:rsidR="00AA11F5" w:rsidRPr="00B0658A" w:rsidRDefault="00AA11F5" w:rsidP="00004A41">
            <w:pPr>
              <w:spacing w:after="0" w:line="240" w:lineRule="auto"/>
              <w:jc w:val="center"/>
              <w:rPr>
                <w:rFonts w:ascii="Times New Roman" w:hAnsi="Times New Roman"/>
                <w:b/>
                <w:bCs/>
                <w:sz w:val="20"/>
                <w:szCs w:val="20"/>
              </w:rPr>
            </w:pPr>
            <w:r w:rsidRPr="00B0658A">
              <w:rPr>
                <w:rFonts w:ascii="Times New Roman" w:hAnsi="Times New Roman"/>
                <w:b/>
                <w:bCs/>
                <w:sz w:val="20"/>
                <w:szCs w:val="20"/>
              </w:rPr>
              <w:t xml:space="preserve">Наименование используемого класса (типа) </w:t>
            </w:r>
            <w:r w:rsidR="00720519" w:rsidRPr="00B0658A">
              <w:rPr>
                <w:rFonts w:ascii="Times New Roman" w:hAnsi="Times New Roman"/>
                <w:b/>
                <w:bCs/>
                <w:sz w:val="20"/>
                <w:szCs w:val="20"/>
              </w:rPr>
              <w:t>ПО</w:t>
            </w:r>
          </w:p>
        </w:tc>
        <w:tc>
          <w:tcPr>
            <w:tcW w:w="844" w:type="pct"/>
            <w:shd w:val="clear" w:color="000000" w:fill="E7E6E6"/>
            <w:vAlign w:val="center"/>
          </w:tcPr>
          <w:p w14:paraId="7B36400D" w14:textId="77777777" w:rsidR="00AA11F5" w:rsidRPr="00B0658A" w:rsidRDefault="00AA11F5" w:rsidP="00004A41">
            <w:pPr>
              <w:spacing w:after="0" w:line="240" w:lineRule="auto"/>
              <w:jc w:val="center"/>
              <w:rPr>
                <w:rFonts w:ascii="Times New Roman" w:hAnsi="Times New Roman"/>
                <w:b/>
                <w:bCs/>
                <w:sz w:val="20"/>
                <w:szCs w:val="20"/>
              </w:rPr>
            </w:pPr>
            <w:r w:rsidRPr="00B0658A">
              <w:rPr>
                <w:rFonts w:ascii="Times New Roman" w:hAnsi="Times New Roman"/>
                <w:b/>
                <w:bCs/>
                <w:sz w:val="20"/>
                <w:szCs w:val="20"/>
              </w:rPr>
              <w:t>Перечень</w:t>
            </w:r>
            <w:r w:rsidR="00B71D96" w:rsidRPr="00B0658A">
              <w:rPr>
                <w:rFonts w:ascii="Times New Roman" w:hAnsi="Times New Roman"/>
                <w:b/>
                <w:bCs/>
                <w:sz w:val="20"/>
                <w:szCs w:val="20"/>
              </w:rPr>
              <w:t xml:space="preserve"> </w:t>
            </w:r>
            <w:r w:rsidRPr="00B0658A">
              <w:rPr>
                <w:rFonts w:ascii="Times New Roman" w:hAnsi="Times New Roman"/>
                <w:b/>
                <w:bCs/>
                <w:sz w:val="20"/>
                <w:szCs w:val="20"/>
              </w:rPr>
              <w:t>иностранного ПО</w:t>
            </w:r>
            <w:r w:rsidR="00B71D96" w:rsidRPr="00B0658A">
              <w:rPr>
                <w:rFonts w:ascii="Times New Roman" w:hAnsi="Times New Roman"/>
                <w:b/>
                <w:bCs/>
                <w:sz w:val="20"/>
                <w:szCs w:val="20"/>
              </w:rPr>
              <w:t>, подлежащ</w:t>
            </w:r>
            <w:r w:rsidR="007034B2" w:rsidRPr="00B0658A">
              <w:rPr>
                <w:rFonts w:ascii="Times New Roman" w:hAnsi="Times New Roman"/>
                <w:b/>
                <w:bCs/>
                <w:sz w:val="20"/>
                <w:szCs w:val="20"/>
              </w:rPr>
              <w:t>его</w:t>
            </w:r>
            <w:r w:rsidR="00B71D96" w:rsidRPr="00B0658A">
              <w:rPr>
                <w:rFonts w:ascii="Times New Roman" w:hAnsi="Times New Roman"/>
                <w:b/>
                <w:bCs/>
                <w:sz w:val="20"/>
                <w:szCs w:val="20"/>
              </w:rPr>
              <w:t xml:space="preserve"> замещению</w:t>
            </w:r>
          </w:p>
        </w:tc>
        <w:tc>
          <w:tcPr>
            <w:tcW w:w="844" w:type="pct"/>
            <w:shd w:val="clear" w:color="000000" w:fill="E7E6E6"/>
            <w:vAlign w:val="center"/>
            <w:hideMark/>
          </w:tcPr>
          <w:p w14:paraId="6B442FDA" w14:textId="77777777" w:rsidR="00AA11F5" w:rsidRPr="00B0658A" w:rsidRDefault="00AA11F5" w:rsidP="00004A41">
            <w:pPr>
              <w:spacing w:after="0" w:line="240" w:lineRule="auto"/>
              <w:jc w:val="center"/>
              <w:rPr>
                <w:rFonts w:ascii="Times New Roman" w:hAnsi="Times New Roman"/>
                <w:b/>
                <w:bCs/>
                <w:sz w:val="20"/>
                <w:szCs w:val="20"/>
              </w:rPr>
            </w:pPr>
            <w:r w:rsidRPr="00B0658A">
              <w:rPr>
                <w:rFonts w:ascii="Times New Roman" w:hAnsi="Times New Roman"/>
                <w:b/>
                <w:bCs/>
                <w:sz w:val="20"/>
                <w:szCs w:val="20"/>
              </w:rPr>
              <w:t>Наименование целевого показателя</w:t>
            </w:r>
          </w:p>
        </w:tc>
        <w:tc>
          <w:tcPr>
            <w:tcW w:w="320" w:type="pct"/>
            <w:shd w:val="clear" w:color="000000" w:fill="E7E6E6"/>
            <w:vAlign w:val="center"/>
          </w:tcPr>
          <w:p w14:paraId="31ECA539" w14:textId="77777777" w:rsidR="00AA11F5" w:rsidRPr="00B0658A" w:rsidRDefault="00AA11F5" w:rsidP="00004A41">
            <w:pPr>
              <w:spacing w:after="0" w:line="240" w:lineRule="auto"/>
              <w:jc w:val="center"/>
              <w:rPr>
                <w:rFonts w:ascii="Times New Roman" w:hAnsi="Times New Roman"/>
                <w:b/>
                <w:bCs/>
                <w:sz w:val="20"/>
                <w:szCs w:val="20"/>
              </w:rPr>
            </w:pPr>
            <w:r w:rsidRPr="00B0658A">
              <w:rPr>
                <w:rFonts w:ascii="Times New Roman" w:hAnsi="Times New Roman"/>
                <w:b/>
                <w:bCs/>
                <w:sz w:val="20"/>
                <w:szCs w:val="20"/>
              </w:rPr>
              <w:t>2021 г.</w:t>
            </w:r>
          </w:p>
          <w:p w14:paraId="5E8B4C41" w14:textId="77777777" w:rsidR="00AA11F5" w:rsidRPr="00B0658A" w:rsidRDefault="00AA11F5" w:rsidP="00004A41">
            <w:pPr>
              <w:spacing w:after="0" w:line="240" w:lineRule="auto"/>
              <w:jc w:val="center"/>
              <w:rPr>
                <w:rFonts w:ascii="Times New Roman" w:hAnsi="Times New Roman"/>
                <w:b/>
                <w:bCs/>
                <w:sz w:val="20"/>
                <w:szCs w:val="20"/>
              </w:rPr>
            </w:pPr>
            <w:r w:rsidRPr="00B0658A">
              <w:rPr>
                <w:rFonts w:ascii="Times New Roman" w:hAnsi="Times New Roman"/>
                <w:b/>
                <w:bCs/>
                <w:sz w:val="20"/>
                <w:szCs w:val="20"/>
              </w:rPr>
              <w:t>(факт)</w:t>
            </w:r>
          </w:p>
        </w:tc>
        <w:tc>
          <w:tcPr>
            <w:tcW w:w="320" w:type="pct"/>
            <w:shd w:val="clear" w:color="000000" w:fill="E7E6E6"/>
            <w:noWrap/>
            <w:vAlign w:val="center"/>
            <w:hideMark/>
          </w:tcPr>
          <w:p w14:paraId="20F93D92" w14:textId="77777777" w:rsidR="00AA11F5" w:rsidRPr="00B0658A" w:rsidRDefault="00AA11F5" w:rsidP="00004A41">
            <w:pPr>
              <w:spacing w:after="0" w:line="240" w:lineRule="auto"/>
              <w:jc w:val="center"/>
              <w:rPr>
                <w:rFonts w:ascii="Times New Roman" w:hAnsi="Times New Roman"/>
                <w:b/>
                <w:bCs/>
                <w:sz w:val="20"/>
                <w:szCs w:val="20"/>
              </w:rPr>
            </w:pPr>
            <w:r w:rsidRPr="00B0658A">
              <w:rPr>
                <w:rFonts w:ascii="Times New Roman" w:hAnsi="Times New Roman"/>
                <w:b/>
                <w:bCs/>
                <w:sz w:val="20"/>
                <w:szCs w:val="20"/>
              </w:rPr>
              <w:t>2022 г.</w:t>
            </w:r>
          </w:p>
          <w:p w14:paraId="14BBC95B" w14:textId="77777777" w:rsidR="00AA11F5" w:rsidRPr="00B0658A" w:rsidRDefault="00AA11F5" w:rsidP="00004A41">
            <w:pPr>
              <w:spacing w:after="0" w:line="240" w:lineRule="auto"/>
              <w:jc w:val="center"/>
              <w:rPr>
                <w:rFonts w:ascii="Times New Roman" w:hAnsi="Times New Roman"/>
                <w:b/>
                <w:bCs/>
                <w:sz w:val="20"/>
                <w:szCs w:val="20"/>
              </w:rPr>
            </w:pPr>
            <w:r w:rsidRPr="00B0658A">
              <w:rPr>
                <w:rFonts w:ascii="Times New Roman" w:hAnsi="Times New Roman"/>
                <w:b/>
                <w:bCs/>
                <w:sz w:val="20"/>
                <w:szCs w:val="20"/>
              </w:rPr>
              <w:t>(план)</w:t>
            </w:r>
          </w:p>
        </w:tc>
        <w:tc>
          <w:tcPr>
            <w:tcW w:w="320" w:type="pct"/>
            <w:shd w:val="clear" w:color="000000" w:fill="E7E6E6"/>
            <w:vAlign w:val="center"/>
            <w:hideMark/>
          </w:tcPr>
          <w:p w14:paraId="03286E32" w14:textId="77777777" w:rsidR="00AA11F5" w:rsidRPr="00B0658A" w:rsidRDefault="00AA11F5" w:rsidP="00004A41">
            <w:pPr>
              <w:spacing w:after="0" w:line="240" w:lineRule="auto"/>
              <w:jc w:val="center"/>
              <w:rPr>
                <w:rFonts w:ascii="Times New Roman" w:hAnsi="Times New Roman"/>
                <w:b/>
                <w:bCs/>
                <w:sz w:val="20"/>
                <w:szCs w:val="20"/>
              </w:rPr>
            </w:pPr>
            <w:r w:rsidRPr="00B0658A">
              <w:rPr>
                <w:rFonts w:ascii="Times New Roman" w:hAnsi="Times New Roman"/>
                <w:b/>
                <w:bCs/>
                <w:sz w:val="20"/>
                <w:szCs w:val="20"/>
              </w:rPr>
              <w:t>2023 г.</w:t>
            </w:r>
          </w:p>
          <w:p w14:paraId="4118283D" w14:textId="77777777" w:rsidR="00AA11F5" w:rsidRPr="00B0658A" w:rsidRDefault="00AA11F5" w:rsidP="00004A41">
            <w:pPr>
              <w:spacing w:after="0" w:line="240" w:lineRule="auto"/>
              <w:jc w:val="center"/>
              <w:rPr>
                <w:rFonts w:ascii="Times New Roman" w:hAnsi="Times New Roman"/>
                <w:b/>
                <w:bCs/>
                <w:sz w:val="20"/>
                <w:szCs w:val="20"/>
              </w:rPr>
            </w:pPr>
            <w:r w:rsidRPr="00B0658A">
              <w:rPr>
                <w:rFonts w:ascii="Times New Roman" w:hAnsi="Times New Roman"/>
                <w:b/>
                <w:bCs/>
                <w:sz w:val="20"/>
                <w:szCs w:val="20"/>
              </w:rPr>
              <w:t>(план)</w:t>
            </w:r>
          </w:p>
        </w:tc>
        <w:tc>
          <w:tcPr>
            <w:tcW w:w="320" w:type="pct"/>
            <w:shd w:val="clear" w:color="000000" w:fill="E7E6E6"/>
            <w:noWrap/>
            <w:vAlign w:val="center"/>
            <w:hideMark/>
          </w:tcPr>
          <w:p w14:paraId="56CC8F37" w14:textId="77777777" w:rsidR="00AA11F5" w:rsidRPr="00B0658A" w:rsidRDefault="00AA11F5" w:rsidP="00004A41">
            <w:pPr>
              <w:spacing w:after="0" w:line="240" w:lineRule="auto"/>
              <w:jc w:val="center"/>
              <w:rPr>
                <w:rFonts w:ascii="Times New Roman" w:hAnsi="Times New Roman"/>
                <w:b/>
                <w:bCs/>
                <w:sz w:val="20"/>
                <w:szCs w:val="20"/>
              </w:rPr>
            </w:pPr>
            <w:r w:rsidRPr="00B0658A">
              <w:rPr>
                <w:rFonts w:ascii="Times New Roman" w:hAnsi="Times New Roman"/>
                <w:b/>
                <w:bCs/>
                <w:sz w:val="20"/>
                <w:szCs w:val="20"/>
              </w:rPr>
              <w:t>2024 г.</w:t>
            </w:r>
          </w:p>
          <w:p w14:paraId="009F26C6" w14:textId="77777777" w:rsidR="00AA11F5" w:rsidRPr="00B0658A" w:rsidRDefault="00AA11F5" w:rsidP="00004A41">
            <w:pPr>
              <w:spacing w:after="0" w:line="240" w:lineRule="auto"/>
              <w:jc w:val="center"/>
              <w:rPr>
                <w:rFonts w:ascii="Times New Roman" w:hAnsi="Times New Roman"/>
                <w:b/>
                <w:bCs/>
                <w:sz w:val="20"/>
                <w:szCs w:val="20"/>
              </w:rPr>
            </w:pPr>
            <w:r w:rsidRPr="00B0658A">
              <w:rPr>
                <w:rFonts w:ascii="Times New Roman" w:hAnsi="Times New Roman"/>
                <w:b/>
                <w:bCs/>
                <w:sz w:val="20"/>
                <w:szCs w:val="20"/>
              </w:rPr>
              <w:t>(план)</w:t>
            </w:r>
          </w:p>
        </w:tc>
        <w:tc>
          <w:tcPr>
            <w:tcW w:w="518" w:type="pct"/>
            <w:shd w:val="clear" w:color="000000" w:fill="E7E6E6"/>
            <w:vAlign w:val="center"/>
            <w:hideMark/>
          </w:tcPr>
          <w:p w14:paraId="749F1BB8" w14:textId="77777777" w:rsidR="00AA11F5" w:rsidRPr="00B0658A" w:rsidRDefault="00AA11F5" w:rsidP="00004A41">
            <w:pPr>
              <w:spacing w:after="0" w:line="240" w:lineRule="auto"/>
              <w:jc w:val="center"/>
              <w:rPr>
                <w:rFonts w:ascii="Times New Roman" w:hAnsi="Times New Roman"/>
                <w:b/>
                <w:bCs/>
                <w:sz w:val="20"/>
                <w:szCs w:val="20"/>
              </w:rPr>
            </w:pPr>
            <w:r w:rsidRPr="00B0658A">
              <w:rPr>
                <w:rFonts w:ascii="Times New Roman" w:hAnsi="Times New Roman"/>
                <w:b/>
                <w:bCs/>
                <w:sz w:val="20"/>
                <w:szCs w:val="20"/>
              </w:rPr>
              <w:t>Единицы измерения уровня использования</w:t>
            </w:r>
          </w:p>
        </w:tc>
      </w:tr>
      <w:tr w:rsidR="00F52FED" w:rsidRPr="00B0658A" w14:paraId="3CDB1ADD" w14:textId="77777777" w:rsidTr="00B65953">
        <w:trPr>
          <w:trHeight w:val="20"/>
        </w:trPr>
        <w:tc>
          <w:tcPr>
            <w:tcW w:w="5000" w:type="pct"/>
            <w:gridSpan w:val="9"/>
            <w:shd w:val="clear" w:color="auto" w:fill="DEEAF6" w:themeFill="accent5" w:themeFillTint="33"/>
          </w:tcPr>
          <w:p w14:paraId="2B0368E0" w14:textId="77777777" w:rsidR="00AA11F5" w:rsidRPr="00B0658A" w:rsidRDefault="00AA11F5" w:rsidP="00004A41">
            <w:pPr>
              <w:spacing w:after="0" w:line="240" w:lineRule="auto"/>
              <w:rPr>
                <w:rFonts w:ascii="Times New Roman" w:hAnsi="Times New Roman"/>
                <w:b/>
                <w:sz w:val="20"/>
                <w:szCs w:val="20"/>
              </w:rPr>
            </w:pPr>
            <w:r w:rsidRPr="00B0658A">
              <w:rPr>
                <w:rFonts w:ascii="Times New Roman" w:hAnsi="Times New Roman"/>
                <w:b/>
                <w:sz w:val="20"/>
                <w:szCs w:val="20"/>
              </w:rPr>
              <w:t xml:space="preserve">1. </w:t>
            </w:r>
            <w:r w:rsidR="00B65953" w:rsidRPr="00B0658A">
              <w:rPr>
                <w:rFonts w:ascii="Times New Roman" w:hAnsi="Times New Roman"/>
                <w:b/>
                <w:sz w:val="20"/>
                <w:szCs w:val="20"/>
              </w:rPr>
              <w:t>Показатели</w:t>
            </w:r>
            <w:r w:rsidRPr="00B0658A">
              <w:rPr>
                <w:rFonts w:ascii="Times New Roman" w:hAnsi="Times New Roman"/>
                <w:b/>
                <w:sz w:val="20"/>
                <w:szCs w:val="20"/>
              </w:rPr>
              <w:t xml:space="preserve"> эффективности перехода </w:t>
            </w:r>
            <w:r w:rsidR="00B62216" w:rsidRPr="00B0658A">
              <w:rPr>
                <w:rFonts w:ascii="Times New Roman" w:hAnsi="Times New Roman"/>
                <w:b/>
                <w:sz w:val="20"/>
                <w:szCs w:val="20"/>
              </w:rPr>
              <w:t>в отношении</w:t>
            </w:r>
            <w:r w:rsidRPr="00B0658A">
              <w:rPr>
                <w:rFonts w:ascii="Times New Roman" w:hAnsi="Times New Roman"/>
                <w:b/>
                <w:sz w:val="20"/>
                <w:szCs w:val="20"/>
              </w:rPr>
              <w:t>________ (наименование значимого объекта КИИ №1)</w:t>
            </w:r>
          </w:p>
        </w:tc>
      </w:tr>
      <w:tr w:rsidR="00F52FED" w:rsidRPr="00B0658A" w14:paraId="59A08266" w14:textId="77777777" w:rsidTr="00B65953">
        <w:trPr>
          <w:trHeight w:val="20"/>
        </w:trPr>
        <w:tc>
          <w:tcPr>
            <w:tcW w:w="278" w:type="pct"/>
            <w:shd w:val="clear" w:color="000000" w:fill="FFFFFF"/>
            <w:vAlign w:val="center"/>
          </w:tcPr>
          <w:p w14:paraId="3CA260AF" w14:textId="77777777" w:rsidR="00AA11F5" w:rsidRPr="00B0658A" w:rsidRDefault="00AA11F5" w:rsidP="00004A41">
            <w:pPr>
              <w:spacing w:after="0" w:line="240" w:lineRule="auto"/>
              <w:jc w:val="center"/>
              <w:rPr>
                <w:rFonts w:ascii="Times New Roman" w:hAnsi="Times New Roman"/>
                <w:sz w:val="20"/>
                <w:szCs w:val="20"/>
              </w:rPr>
            </w:pPr>
            <w:r w:rsidRPr="00B0658A">
              <w:rPr>
                <w:rFonts w:ascii="Times New Roman" w:hAnsi="Times New Roman"/>
                <w:sz w:val="20"/>
                <w:szCs w:val="20"/>
              </w:rPr>
              <w:t>1.1</w:t>
            </w:r>
          </w:p>
        </w:tc>
        <w:tc>
          <w:tcPr>
            <w:tcW w:w="1237" w:type="pct"/>
            <w:shd w:val="clear" w:color="auto" w:fill="auto"/>
            <w:vAlign w:val="center"/>
            <w:hideMark/>
          </w:tcPr>
          <w:p w14:paraId="3C63EF98" w14:textId="77777777" w:rsidR="00AA11F5" w:rsidRPr="00B0658A" w:rsidRDefault="00AA11F5" w:rsidP="00004A41">
            <w:pPr>
              <w:spacing w:after="0" w:line="240" w:lineRule="auto"/>
              <w:rPr>
                <w:rFonts w:ascii="Times New Roman" w:hAnsi="Times New Roman"/>
                <w:i/>
                <w:sz w:val="20"/>
                <w:szCs w:val="20"/>
              </w:rPr>
            </w:pPr>
            <w:r w:rsidRPr="00B0658A">
              <w:rPr>
                <w:rFonts w:ascii="Times New Roman" w:hAnsi="Times New Roman"/>
                <w:i/>
                <w:sz w:val="20"/>
                <w:szCs w:val="20"/>
              </w:rPr>
              <w:t xml:space="preserve">Указывается класс (тип) №1 </w:t>
            </w:r>
            <w:r w:rsidR="005322F5" w:rsidRPr="00B0658A">
              <w:rPr>
                <w:rFonts w:ascii="Times New Roman" w:hAnsi="Times New Roman"/>
                <w:i/>
                <w:sz w:val="20"/>
                <w:szCs w:val="20"/>
              </w:rPr>
              <w:t>ПО</w:t>
            </w:r>
            <w:r w:rsidRPr="00B0658A">
              <w:rPr>
                <w:rFonts w:ascii="Times New Roman" w:hAnsi="Times New Roman"/>
                <w:i/>
                <w:sz w:val="20"/>
                <w:szCs w:val="20"/>
              </w:rPr>
              <w:t xml:space="preserve">, используемого на </w:t>
            </w:r>
            <w:r w:rsidR="00503B76" w:rsidRPr="00B0658A">
              <w:rPr>
                <w:rFonts w:ascii="Times New Roman" w:hAnsi="Times New Roman"/>
                <w:i/>
                <w:sz w:val="20"/>
                <w:szCs w:val="20"/>
              </w:rPr>
              <w:t>значимом объекте</w:t>
            </w:r>
            <w:r w:rsidRPr="00B0658A">
              <w:rPr>
                <w:rFonts w:ascii="Times New Roman" w:hAnsi="Times New Roman"/>
                <w:i/>
                <w:sz w:val="20"/>
                <w:szCs w:val="20"/>
              </w:rPr>
              <w:t xml:space="preserve"> КИИ №1 в соответствии с приказом Минцифры России от 22 сентября 2020 г. № 486)</w:t>
            </w:r>
          </w:p>
        </w:tc>
        <w:tc>
          <w:tcPr>
            <w:tcW w:w="844" w:type="pct"/>
          </w:tcPr>
          <w:p w14:paraId="60EB61C6" w14:textId="77777777" w:rsidR="00AA11F5" w:rsidRPr="00B0658A" w:rsidRDefault="00A20FE6" w:rsidP="00004A41">
            <w:pPr>
              <w:spacing w:after="0" w:line="240" w:lineRule="auto"/>
              <w:rPr>
                <w:rFonts w:ascii="Times New Roman" w:hAnsi="Times New Roman"/>
                <w:sz w:val="20"/>
                <w:szCs w:val="20"/>
              </w:rPr>
            </w:pPr>
            <w:r w:rsidRPr="00B0658A">
              <w:rPr>
                <w:rFonts w:ascii="Times New Roman" w:hAnsi="Times New Roman"/>
                <w:i/>
                <w:sz w:val="20"/>
                <w:szCs w:val="20"/>
              </w:rPr>
              <w:t xml:space="preserve">Указывается перечень используемого иностранного </w:t>
            </w:r>
            <w:r w:rsidR="00503B76" w:rsidRPr="00B0658A">
              <w:rPr>
                <w:rFonts w:ascii="Times New Roman" w:hAnsi="Times New Roman"/>
                <w:i/>
                <w:sz w:val="20"/>
                <w:szCs w:val="20"/>
              </w:rPr>
              <w:t>ПО на значимом</w:t>
            </w:r>
            <w:r w:rsidRPr="00B0658A">
              <w:rPr>
                <w:rFonts w:ascii="Times New Roman" w:hAnsi="Times New Roman"/>
                <w:i/>
                <w:sz w:val="20"/>
                <w:szCs w:val="20"/>
              </w:rPr>
              <w:t xml:space="preserve"> </w:t>
            </w:r>
            <w:r w:rsidR="00503B76" w:rsidRPr="00B0658A">
              <w:rPr>
                <w:rFonts w:ascii="Times New Roman" w:hAnsi="Times New Roman"/>
                <w:i/>
                <w:sz w:val="20"/>
                <w:szCs w:val="20"/>
              </w:rPr>
              <w:t>объекте КИИ</w:t>
            </w:r>
          </w:p>
        </w:tc>
        <w:tc>
          <w:tcPr>
            <w:tcW w:w="844" w:type="pct"/>
            <w:shd w:val="clear" w:color="000000" w:fill="FFFFFF"/>
            <w:hideMark/>
          </w:tcPr>
          <w:p w14:paraId="4112D4AD" w14:textId="77777777" w:rsidR="00AA11F5" w:rsidRPr="00B0658A" w:rsidRDefault="00AA11F5" w:rsidP="00004A41">
            <w:pPr>
              <w:spacing w:after="0" w:line="240" w:lineRule="auto"/>
              <w:rPr>
                <w:rFonts w:ascii="Times New Roman" w:hAnsi="Times New Roman"/>
                <w:sz w:val="20"/>
                <w:szCs w:val="20"/>
              </w:rPr>
            </w:pPr>
            <w:r w:rsidRPr="00B0658A">
              <w:rPr>
                <w:rFonts w:ascii="Times New Roman" w:hAnsi="Times New Roman"/>
                <w:sz w:val="20"/>
                <w:szCs w:val="20"/>
              </w:rPr>
              <w:t>Доля используемого российского ПО</w:t>
            </w:r>
            <w:r w:rsidR="002B2CDC" w:rsidRPr="00B0658A">
              <w:rPr>
                <w:rFonts w:ascii="Times New Roman" w:hAnsi="Times New Roman"/>
                <w:sz w:val="20"/>
                <w:szCs w:val="20"/>
              </w:rPr>
              <w:t xml:space="preserve"> и евразийского ПО</w:t>
            </w:r>
            <w:r w:rsidRPr="00B0658A">
              <w:rPr>
                <w:rFonts w:ascii="Times New Roman" w:hAnsi="Times New Roman"/>
                <w:sz w:val="20"/>
                <w:szCs w:val="20"/>
              </w:rPr>
              <w:t>, используемого на значимом объекте КИИ, в общем объёме используемого ПО на таком объекте, %</w:t>
            </w:r>
          </w:p>
        </w:tc>
        <w:tc>
          <w:tcPr>
            <w:tcW w:w="320" w:type="pct"/>
            <w:shd w:val="clear" w:color="000000" w:fill="FFFFFF"/>
            <w:vAlign w:val="center"/>
          </w:tcPr>
          <w:p w14:paraId="0A75D255" w14:textId="77777777" w:rsidR="00AA11F5" w:rsidRPr="00B0658A" w:rsidRDefault="00AA11F5" w:rsidP="00004A41">
            <w:pPr>
              <w:spacing w:after="0" w:line="240" w:lineRule="auto"/>
              <w:jc w:val="center"/>
              <w:rPr>
                <w:rFonts w:ascii="Times New Roman" w:hAnsi="Times New Roman"/>
                <w:sz w:val="20"/>
                <w:szCs w:val="20"/>
              </w:rPr>
            </w:pPr>
          </w:p>
        </w:tc>
        <w:tc>
          <w:tcPr>
            <w:tcW w:w="320" w:type="pct"/>
            <w:shd w:val="clear" w:color="000000" w:fill="FFFFFF"/>
            <w:vAlign w:val="center"/>
            <w:hideMark/>
          </w:tcPr>
          <w:p w14:paraId="6512C66B" w14:textId="77777777" w:rsidR="00AA11F5" w:rsidRPr="00B0658A" w:rsidRDefault="00AA11F5" w:rsidP="00004A41">
            <w:pPr>
              <w:spacing w:after="0" w:line="240" w:lineRule="auto"/>
              <w:jc w:val="center"/>
              <w:rPr>
                <w:rFonts w:ascii="Times New Roman" w:hAnsi="Times New Roman"/>
                <w:sz w:val="20"/>
                <w:szCs w:val="20"/>
              </w:rPr>
            </w:pPr>
          </w:p>
        </w:tc>
        <w:tc>
          <w:tcPr>
            <w:tcW w:w="320" w:type="pct"/>
            <w:shd w:val="clear" w:color="000000" w:fill="FFFFFF"/>
            <w:vAlign w:val="center"/>
            <w:hideMark/>
          </w:tcPr>
          <w:p w14:paraId="1C52D1E9" w14:textId="77777777" w:rsidR="00AA11F5" w:rsidRPr="00B0658A" w:rsidRDefault="00AA11F5" w:rsidP="00004A41">
            <w:pPr>
              <w:spacing w:after="0" w:line="240" w:lineRule="auto"/>
              <w:jc w:val="center"/>
              <w:rPr>
                <w:rFonts w:ascii="Times New Roman" w:hAnsi="Times New Roman"/>
                <w:sz w:val="20"/>
                <w:szCs w:val="20"/>
              </w:rPr>
            </w:pPr>
          </w:p>
        </w:tc>
        <w:tc>
          <w:tcPr>
            <w:tcW w:w="320" w:type="pct"/>
            <w:shd w:val="clear" w:color="000000" w:fill="FFFFFF"/>
            <w:vAlign w:val="center"/>
            <w:hideMark/>
          </w:tcPr>
          <w:p w14:paraId="304BA5B9" w14:textId="77777777" w:rsidR="00AA11F5" w:rsidRPr="00B0658A" w:rsidRDefault="00AA11F5" w:rsidP="00004A41">
            <w:pPr>
              <w:spacing w:after="0" w:line="240" w:lineRule="auto"/>
              <w:jc w:val="center"/>
              <w:rPr>
                <w:rFonts w:ascii="Times New Roman" w:hAnsi="Times New Roman"/>
                <w:sz w:val="20"/>
                <w:szCs w:val="20"/>
              </w:rPr>
            </w:pPr>
          </w:p>
        </w:tc>
        <w:tc>
          <w:tcPr>
            <w:tcW w:w="518" w:type="pct"/>
            <w:shd w:val="clear" w:color="000000" w:fill="FFFFFF"/>
            <w:vAlign w:val="center"/>
            <w:hideMark/>
          </w:tcPr>
          <w:p w14:paraId="61216805" w14:textId="77777777" w:rsidR="00AA11F5" w:rsidRPr="00B0658A" w:rsidRDefault="00E14CBB" w:rsidP="00004A41">
            <w:pPr>
              <w:spacing w:after="0" w:line="240" w:lineRule="auto"/>
              <w:jc w:val="center"/>
              <w:rPr>
                <w:rFonts w:ascii="Times New Roman" w:hAnsi="Times New Roman"/>
                <w:sz w:val="20"/>
                <w:szCs w:val="20"/>
              </w:rPr>
            </w:pPr>
            <w:r w:rsidRPr="00B0658A">
              <w:rPr>
                <w:rFonts w:ascii="Times New Roman" w:hAnsi="Times New Roman"/>
                <w:i/>
                <w:sz w:val="20"/>
                <w:szCs w:val="20"/>
              </w:rPr>
              <w:t>Указывает</w:t>
            </w:r>
            <w:r w:rsidR="002B2CDC" w:rsidRPr="00B0658A">
              <w:rPr>
                <w:rFonts w:ascii="Times New Roman" w:hAnsi="Times New Roman"/>
                <w:i/>
                <w:sz w:val="20"/>
                <w:szCs w:val="20"/>
              </w:rPr>
              <w:t>ся</w:t>
            </w:r>
            <w:r w:rsidRPr="00B0658A">
              <w:rPr>
                <w:rFonts w:ascii="Times New Roman" w:hAnsi="Times New Roman"/>
                <w:i/>
                <w:sz w:val="20"/>
                <w:szCs w:val="20"/>
              </w:rPr>
              <w:t xml:space="preserve"> единица измерения уровня использования</w:t>
            </w:r>
          </w:p>
        </w:tc>
      </w:tr>
      <w:tr w:rsidR="00F52FED" w:rsidRPr="00B0658A" w14:paraId="78FA892A" w14:textId="77777777" w:rsidTr="00B65953">
        <w:trPr>
          <w:trHeight w:val="20"/>
        </w:trPr>
        <w:tc>
          <w:tcPr>
            <w:tcW w:w="278" w:type="pct"/>
            <w:shd w:val="clear" w:color="000000" w:fill="FFFFFF"/>
            <w:vAlign w:val="center"/>
          </w:tcPr>
          <w:p w14:paraId="7DB7632F" w14:textId="77777777" w:rsidR="00AA11F5" w:rsidRPr="00B0658A" w:rsidRDefault="00AA11F5" w:rsidP="00004A41">
            <w:pPr>
              <w:spacing w:after="0" w:line="240" w:lineRule="auto"/>
              <w:jc w:val="center"/>
              <w:rPr>
                <w:rFonts w:ascii="Times New Roman" w:hAnsi="Times New Roman"/>
                <w:sz w:val="20"/>
                <w:szCs w:val="20"/>
              </w:rPr>
            </w:pPr>
            <w:r w:rsidRPr="00B0658A">
              <w:rPr>
                <w:rFonts w:ascii="Times New Roman" w:hAnsi="Times New Roman"/>
                <w:sz w:val="20"/>
                <w:szCs w:val="20"/>
              </w:rPr>
              <w:t>1.2</w:t>
            </w:r>
          </w:p>
        </w:tc>
        <w:tc>
          <w:tcPr>
            <w:tcW w:w="1237" w:type="pct"/>
            <w:shd w:val="clear" w:color="auto" w:fill="auto"/>
            <w:vAlign w:val="center"/>
            <w:hideMark/>
          </w:tcPr>
          <w:p w14:paraId="7F6503FF" w14:textId="77777777" w:rsidR="00AA11F5" w:rsidRPr="00B0658A" w:rsidRDefault="00AA11F5" w:rsidP="00004A41">
            <w:pPr>
              <w:spacing w:after="0" w:line="240" w:lineRule="auto"/>
              <w:rPr>
                <w:rFonts w:ascii="Times New Roman" w:hAnsi="Times New Roman"/>
                <w:i/>
                <w:sz w:val="20"/>
                <w:szCs w:val="20"/>
              </w:rPr>
            </w:pPr>
            <w:r w:rsidRPr="00B0658A">
              <w:rPr>
                <w:rFonts w:ascii="Times New Roman" w:hAnsi="Times New Roman"/>
                <w:i/>
                <w:sz w:val="20"/>
                <w:szCs w:val="20"/>
              </w:rPr>
              <w:t xml:space="preserve">Указывается класс (тип) №2 </w:t>
            </w:r>
            <w:r w:rsidR="00E14CBB" w:rsidRPr="00B0658A">
              <w:rPr>
                <w:rFonts w:ascii="Times New Roman" w:hAnsi="Times New Roman"/>
                <w:i/>
                <w:sz w:val="20"/>
                <w:szCs w:val="20"/>
              </w:rPr>
              <w:t>ПО</w:t>
            </w:r>
            <w:r w:rsidRPr="00B0658A">
              <w:rPr>
                <w:rFonts w:ascii="Times New Roman" w:hAnsi="Times New Roman"/>
                <w:i/>
                <w:sz w:val="20"/>
                <w:szCs w:val="20"/>
              </w:rPr>
              <w:t xml:space="preserve">, используемого на </w:t>
            </w:r>
            <w:r w:rsidR="00503B76" w:rsidRPr="00B0658A">
              <w:rPr>
                <w:rFonts w:ascii="Times New Roman" w:hAnsi="Times New Roman"/>
                <w:i/>
                <w:sz w:val="20"/>
                <w:szCs w:val="20"/>
              </w:rPr>
              <w:t>значимом объекте</w:t>
            </w:r>
            <w:r w:rsidRPr="00B0658A">
              <w:rPr>
                <w:rFonts w:ascii="Times New Roman" w:hAnsi="Times New Roman"/>
                <w:i/>
                <w:sz w:val="20"/>
                <w:szCs w:val="20"/>
              </w:rPr>
              <w:t xml:space="preserve"> КИИ №1 в соответствии с приказом Минцифры России от 22 сентября 2020 г. № 486)</w:t>
            </w:r>
          </w:p>
        </w:tc>
        <w:tc>
          <w:tcPr>
            <w:tcW w:w="844" w:type="pct"/>
          </w:tcPr>
          <w:p w14:paraId="61574CA3" w14:textId="77777777" w:rsidR="00AA11F5" w:rsidRPr="00B0658A" w:rsidRDefault="00AA11F5" w:rsidP="00004A41">
            <w:pPr>
              <w:spacing w:after="0" w:line="240" w:lineRule="auto"/>
              <w:rPr>
                <w:rFonts w:ascii="Times New Roman" w:hAnsi="Times New Roman"/>
                <w:sz w:val="20"/>
                <w:szCs w:val="20"/>
              </w:rPr>
            </w:pPr>
          </w:p>
        </w:tc>
        <w:tc>
          <w:tcPr>
            <w:tcW w:w="844" w:type="pct"/>
            <w:shd w:val="clear" w:color="000000" w:fill="FFFFFF"/>
            <w:hideMark/>
          </w:tcPr>
          <w:p w14:paraId="6D2404EB" w14:textId="77777777" w:rsidR="00AA11F5" w:rsidRPr="00B0658A" w:rsidRDefault="002B2CDC" w:rsidP="00004A41">
            <w:pPr>
              <w:spacing w:after="0" w:line="240" w:lineRule="auto"/>
              <w:rPr>
                <w:rFonts w:ascii="Times New Roman" w:hAnsi="Times New Roman"/>
                <w:sz w:val="20"/>
                <w:szCs w:val="20"/>
              </w:rPr>
            </w:pPr>
            <w:r w:rsidRPr="00B0658A">
              <w:rPr>
                <w:rFonts w:ascii="Times New Roman" w:hAnsi="Times New Roman"/>
                <w:sz w:val="20"/>
                <w:szCs w:val="20"/>
              </w:rPr>
              <w:t>Доля используемого российского ПО и евразийского ПО, используемого на значимом объекте КИИ, в общем объёме используемого ПО на таком объекте, %</w:t>
            </w:r>
          </w:p>
        </w:tc>
        <w:tc>
          <w:tcPr>
            <w:tcW w:w="320" w:type="pct"/>
            <w:shd w:val="clear" w:color="000000" w:fill="FFFFFF"/>
            <w:vAlign w:val="center"/>
          </w:tcPr>
          <w:p w14:paraId="19DDA74E" w14:textId="77777777" w:rsidR="00AA11F5" w:rsidRPr="00B0658A" w:rsidRDefault="00AA11F5" w:rsidP="00004A41">
            <w:pPr>
              <w:spacing w:after="0" w:line="240" w:lineRule="auto"/>
              <w:jc w:val="center"/>
              <w:rPr>
                <w:rFonts w:ascii="Times New Roman" w:hAnsi="Times New Roman"/>
                <w:sz w:val="20"/>
                <w:szCs w:val="20"/>
              </w:rPr>
            </w:pPr>
          </w:p>
        </w:tc>
        <w:tc>
          <w:tcPr>
            <w:tcW w:w="320" w:type="pct"/>
            <w:shd w:val="clear" w:color="000000" w:fill="FFFFFF"/>
            <w:vAlign w:val="center"/>
            <w:hideMark/>
          </w:tcPr>
          <w:p w14:paraId="67681F98" w14:textId="77777777" w:rsidR="00AA11F5" w:rsidRPr="00B0658A" w:rsidRDefault="00AA11F5" w:rsidP="00004A41">
            <w:pPr>
              <w:spacing w:after="0" w:line="240" w:lineRule="auto"/>
              <w:jc w:val="center"/>
              <w:rPr>
                <w:rFonts w:ascii="Times New Roman" w:hAnsi="Times New Roman"/>
                <w:sz w:val="20"/>
                <w:szCs w:val="20"/>
              </w:rPr>
            </w:pPr>
          </w:p>
        </w:tc>
        <w:tc>
          <w:tcPr>
            <w:tcW w:w="320" w:type="pct"/>
            <w:shd w:val="clear" w:color="000000" w:fill="FFFFFF"/>
            <w:vAlign w:val="center"/>
            <w:hideMark/>
          </w:tcPr>
          <w:p w14:paraId="2090F645" w14:textId="77777777" w:rsidR="00AA11F5" w:rsidRPr="00B0658A" w:rsidRDefault="00AA11F5" w:rsidP="00004A41">
            <w:pPr>
              <w:spacing w:after="0" w:line="240" w:lineRule="auto"/>
              <w:jc w:val="center"/>
              <w:rPr>
                <w:rFonts w:ascii="Times New Roman" w:hAnsi="Times New Roman"/>
                <w:sz w:val="20"/>
                <w:szCs w:val="20"/>
              </w:rPr>
            </w:pPr>
          </w:p>
        </w:tc>
        <w:tc>
          <w:tcPr>
            <w:tcW w:w="320" w:type="pct"/>
            <w:shd w:val="clear" w:color="000000" w:fill="FFFFFF"/>
            <w:vAlign w:val="center"/>
            <w:hideMark/>
          </w:tcPr>
          <w:p w14:paraId="744465B1" w14:textId="77777777" w:rsidR="00AA11F5" w:rsidRPr="00B0658A" w:rsidRDefault="00AA11F5" w:rsidP="00004A41">
            <w:pPr>
              <w:spacing w:after="0" w:line="240" w:lineRule="auto"/>
              <w:jc w:val="center"/>
              <w:rPr>
                <w:rFonts w:ascii="Times New Roman" w:hAnsi="Times New Roman"/>
                <w:sz w:val="20"/>
                <w:szCs w:val="20"/>
              </w:rPr>
            </w:pPr>
          </w:p>
        </w:tc>
        <w:tc>
          <w:tcPr>
            <w:tcW w:w="518" w:type="pct"/>
            <w:shd w:val="clear" w:color="000000" w:fill="FFFFFF"/>
            <w:vAlign w:val="center"/>
            <w:hideMark/>
          </w:tcPr>
          <w:p w14:paraId="7EFE3314" w14:textId="77777777" w:rsidR="00AA11F5" w:rsidRPr="00B0658A" w:rsidRDefault="00AA11F5" w:rsidP="00004A41">
            <w:pPr>
              <w:spacing w:after="0" w:line="240" w:lineRule="auto"/>
              <w:jc w:val="center"/>
              <w:rPr>
                <w:rFonts w:ascii="Times New Roman" w:hAnsi="Times New Roman"/>
                <w:sz w:val="20"/>
                <w:szCs w:val="20"/>
              </w:rPr>
            </w:pPr>
          </w:p>
        </w:tc>
      </w:tr>
      <w:tr w:rsidR="00F52FED" w:rsidRPr="00B0658A" w14:paraId="2357484F" w14:textId="77777777" w:rsidTr="00B65953">
        <w:trPr>
          <w:trHeight w:val="20"/>
        </w:trPr>
        <w:tc>
          <w:tcPr>
            <w:tcW w:w="278" w:type="pct"/>
            <w:shd w:val="clear" w:color="000000" w:fill="FFFFFF"/>
            <w:vAlign w:val="center"/>
          </w:tcPr>
          <w:p w14:paraId="3E6CF6AF" w14:textId="77777777" w:rsidR="00AA11F5" w:rsidRPr="00B0658A" w:rsidRDefault="00AA11F5" w:rsidP="00004A41">
            <w:pPr>
              <w:spacing w:after="0" w:line="240" w:lineRule="auto"/>
              <w:jc w:val="center"/>
              <w:rPr>
                <w:rFonts w:ascii="Times New Roman" w:hAnsi="Times New Roman"/>
                <w:sz w:val="20"/>
                <w:szCs w:val="20"/>
              </w:rPr>
            </w:pPr>
            <w:r w:rsidRPr="00B0658A">
              <w:rPr>
                <w:rFonts w:ascii="Times New Roman" w:hAnsi="Times New Roman"/>
                <w:sz w:val="20"/>
                <w:szCs w:val="20"/>
              </w:rPr>
              <w:t>…</w:t>
            </w:r>
          </w:p>
        </w:tc>
        <w:tc>
          <w:tcPr>
            <w:tcW w:w="1237" w:type="pct"/>
            <w:shd w:val="clear" w:color="auto" w:fill="auto"/>
            <w:vAlign w:val="center"/>
            <w:hideMark/>
          </w:tcPr>
          <w:p w14:paraId="75407D19" w14:textId="77777777" w:rsidR="00AA11F5" w:rsidRPr="00B0658A" w:rsidRDefault="00AA11F5" w:rsidP="00004A41">
            <w:pPr>
              <w:spacing w:after="0" w:line="240" w:lineRule="auto"/>
              <w:rPr>
                <w:rFonts w:ascii="Times New Roman" w:hAnsi="Times New Roman"/>
                <w:i/>
                <w:sz w:val="20"/>
                <w:szCs w:val="20"/>
              </w:rPr>
            </w:pPr>
            <w:r w:rsidRPr="00B0658A">
              <w:rPr>
                <w:rFonts w:ascii="Times New Roman" w:hAnsi="Times New Roman"/>
                <w:i/>
                <w:sz w:val="20"/>
                <w:szCs w:val="20"/>
              </w:rPr>
              <w:t>…</w:t>
            </w:r>
          </w:p>
        </w:tc>
        <w:tc>
          <w:tcPr>
            <w:tcW w:w="844" w:type="pct"/>
          </w:tcPr>
          <w:p w14:paraId="460C2D01" w14:textId="77777777" w:rsidR="00AA11F5" w:rsidRPr="00B0658A" w:rsidRDefault="00AA11F5" w:rsidP="00004A41">
            <w:pPr>
              <w:spacing w:after="0" w:line="240" w:lineRule="auto"/>
              <w:rPr>
                <w:rFonts w:ascii="Times New Roman" w:hAnsi="Times New Roman"/>
                <w:sz w:val="20"/>
                <w:szCs w:val="20"/>
              </w:rPr>
            </w:pPr>
          </w:p>
        </w:tc>
        <w:tc>
          <w:tcPr>
            <w:tcW w:w="844" w:type="pct"/>
            <w:shd w:val="clear" w:color="000000" w:fill="FFFFFF"/>
            <w:hideMark/>
          </w:tcPr>
          <w:p w14:paraId="5C276231" w14:textId="77777777" w:rsidR="00AA11F5" w:rsidRPr="00B0658A" w:rsidRDefault="00AA11F5" w:rsidP="00004A41">
            <w:pPr>
              <w:spacing w:after="0" w:line="240" w:lineRule="auto"/>
              <w:rPr>
                <w:rFonts w:ascii="Times New Roman" w:hAnsi="Times New Roman"/>
                <w:sz w:val="20"/>
                <w:szCs w:val="20"/>
              </w:rPr>
            </w:pPr>
            <w:r w:rsidRPr="00B0658A">
              <w:rPr>
                <w:rFonts w:ascii="Times New Roman" w:hAnsi="Times New Roman"/>
                <w:sz w:val="20"/>
                <w:szCs w:val="20"/>
              </w:rPr>
              <w:t>…...</w:t>
            </w:r>
          </w:p>
        </w:tc>
        <w:tc>
          <w:tcPr>
            <w:tcW w:w="320" w:type="pct"/>
            <w:shd w:val="clear" w:color="000000" w:fill="FFFFFF"/>
            <w:vAlign w:val="center"/>
          </w:tcPr>
          <w:p w14:paraId="6DEEE20A" w14:textId="77777777" w:rsidR="00AA11F5" w:rsidRPr="00B0658A" w:rsidRDefault="00AA11F5" w:rsidP="00004A41">
            <w:pPr>
              <w:spacing w:after="0" w:line="240" w:lineRule="auto"/>
              <w:jc w:val="center"/>
              <w:rPr>
                <w:rFonts w:ascii="Times New Roman" w:hAnsi="Times New Roman"/>
                <w:sz w:val="20"/>
                <w:szCs w:val="20"/>
              </w:rPr>
            </w:pPr>
          </w:p>
        </w:tc>
        <w:tc>
          <w:tcPr>
            <w:tcW w:w="320" w:type="pct"/>
            <w:shd w:val="clear" w:color="000000" w:fill="FFFFFF"/>
            <w:vAlign w:val="center"/>
            <w:hideMark/>
          </w:tcPr>
          <w:p w14:paraId="00629D96" w14:textId="77777777" w:rsidR="00AA11F5" w:rsidRPr="00B0658A" w:rsidRDefault="00AA11F5" w:rsidP="00004A41">
            <w:pPr>
              <w:spacing w:after="0" w:line="240" w:lineRule="auto"/>
              <w:jc w:val="center"/>
              <w:rPr>
                <w:rFonts w:ascii="Times New Roman" w:hAnsi="Times New Roman"/>
                <w:sz w:val="20"/>
                <w:szCs w:val="20"/>
              </w:rPr>
            </w:pPr>
          </w:p>
        </w:tc>
        <w:tc>
          <w:tcPr>
            <w:tcW w:w="320" w:type="pct"/>
            <w:shd w:val="clear" w:color="000000" w:fill="FFFFFF"/>
            <w:vAlign w:val="center"/>
            <w:hideMark/>
          </w:tcPr>
          <w:p w14:paraId="62443205" w14:textId="77777777" w:rsidR="00AA11F5" w:rsidRPr="00B0658A" w:rsidRDefault="00AA11F5" w:rsidP="00004A41">
            <w:pPr>
              <w:spacing w:after="0" w:line="240" w:lineRule="auto"/>
              <w:jc w:val="center"/>
              <w:rPr>
                <w:rFonts w:ascii="Times New Roman" w:hAnsi="Times New Roman"/>
                <w:sz w:val="20"/>
                <w:szCs w:val="20"/>
              </w:rPr>
            </w:pPr>
          </w:p>
        </w:tc>
        <w:tc>
          <w:tcPr>
            <w:tcW w:w="320" w:type="pct"/>
            <w:shd w:val="clear" w:color="000000" w:fill="FFFFFF"/>
            <w:vAlign w:val="center"/>
            <w:hideMark/>
          </w:tcPr>
          <w:p w14:paraId="6D3FE24D" w14:textId="77777777" w:rsidR="00AA11F5" w:rsidRPr="00B0658A" w:rsidRDefault="00AA11F5" w:rsidP="00004A41">
            <w:pPr>
              <w:spacing w:after="0" w:line="240" w:lineRule="auto"/>
              <w:jc w:val="center"/>
              <w:rPr>
                <w:rFonts w:ascii="Times New Roman" w:hAnsi="Times New Roman"/>
                <w:sz w:val="20"/>
                <w:szCs w:val="20"/>
              </w:rPr>
            </w:pPr>
          </w:p>
        </w:tc>
        <w:tc>
          <w:tcPr>
            <w:tcW w:w="518" w:type="pct"/>
            <w:shd w:val="clear" w:color="000000" w:fill="FFFFFF"/>
            <w:vAlign w:val="center"/>
            <w:hideMark/>
          </w:tcPr>
          <w:p w14:paraId="46D98F32" w14:textId="77777777" w:rsidR="00AA11F5" w:rsidRPr="00B0658A" w:rsidRDefault="00AA11F5" w:rsidP="00004A41">
            <w:pPr>
              <w:spacing w:after="0" w:line="240" w:lineRule="auto"/>
              <w:jc w:val="center"/>
              <w:rPr>
                <w:rFonts w:ascii="Times New Roman" w:hAnsi="Times New Roman"/>
                <w:sz w:val="20"/>
                <w:szCs w:val="20"/>
              </w:rPr>
            </w:pPr>
          </w:p>
        </w:tc>
      </w:tr>
      <w:tr w:rsidR="00F52FED" w:rsidRPr="00B0658A" w14:paraId="226C3B91" w14:textId="77777777" w:rsidTr="00B65953">
        <w:trPr>
          <w:trHeight w:val="20"/>
        </w:trPr>
        <w:tc>
          <w:tcPr>
            <w:tcW w:w="278" w:type="pct"/>
            <w:shd w:val="clear" w:color="000000" w:fill="FFFFFF"/>
            <w:vAlign w:val="center"/>
          </w:tcPr>
          <w:p w14:paraId="667DBBB0" w14:textId="77777777" w:rsidR="00AA11F5" w:rsidRPr="00B0658A" w:rsidRDefault="00AA11F5" w:rsidP="00004A41">
            <w:pPr>
              <w:spacing w:after="0" w:line="240" w:lineRule="auto"/>
              <w:jc w:val="center"/>
              <w:rPr>
                <w:rFonts w:ascii="Times New Roman" w:hAnsi="Times New Roman"/>
                <w:sz w:val="20"/>
                <w:szCs w:val="20"/>
                <w:lang w:val="en-US"/>
              </w:rPr>
            </w:pPr>
            <w:r w:rsidRPr="00B0658A">
              <w:rPr>
                <w:rFonts w:ascii="Times New Roman" w:hAnsi="Times New Roman"/>
                <w:sz w:val="20"/>
                <w:szCs w:val="20"/>
              </w:rPr>
              <w:t>1.</w:t>
            </w:r>
            <w:r w:rsidRPr="00B0658A">
              <w:rPr>
                <w:rFonts w:ascii="Times New Roman" w:hAnsi="Times New Roman"/>
                <w:sz w:val="20"/>
                <w:szCs w:val="20"/>
                <w:lang w:val="en-US"/>
              </w:rPr>
              <w:t>n</w:t>
            </w:r>
          </w:p>
        </w:tc>
        <w:tc>
          <w:tcPr>
            <w:tcW w:w="1237" w:type="pct"/>
            <w:shd w:val="clear" w:color="auto" w:fill="auto"/>
            <w:vAlign w:val="center"/>
            <w:hideMark/>
          </w:tcPr>
          <w:p w14:paraId="00964999" w14:textId="77777777" w:rsidR="00AA11F5" w:rsidRPr="00B0658A" w:rsidRDefault="00AA11F5" w:rsidP="00004A41">
            <w:pPr>
              <w:spacing w:after="0" w:line="240" w:lineRule="auto"/>
              <w:rPr>
                <w:rFonts w:ascii="Times New Roman" w:hAnsi="Times New Roman"/>
                <w:i/>
                <w:sz w:val="20"/>
                <w:szCs w:val="20"/>
              </w:rPr>
            </w:pPr>
            <w:r w:rsidRPr="00B0658A">
              <w:rPr>
                <w:rFonts w:ascii="Times New Roman" w:hAnsi="Times New Roman"/>
                <w:i/>
                <w:sz w:val="20"/>
                <w:szCs w:val="20"/>
              </w:rPr>
              <w:t>Указывается класс (тип) №</w:t>
            </w:r>
            <w:r w:rsidRPr="00B0658A">
              <w:rPr>
                <w:rFonts w:ascii="Times New Roman" w:hAnsi="Times New Roman"/>
                <w:i/>
                <w:sz w:val="20"/>
                <w:szCs w:val="20"/>
                <w:lang w:val="en-US"/>
              </w:rPr>
              <w:t>n</w:t>
            </w:r>
            <w:r w:rsidRPr="00B0658A">
              <w:rPr>
                <w:rFonts w:ascii="Times New Roman" w:hAnsi="Times New Roman"/>
                <w:i/>
                <w:sz w:val="20"/>
                <w:szCs w:val="20"/>
              </w:rPr>
              <w:t xml:space="preserve"> </w:t>
            </w:r>
            <w:r w:rsidR="00E14CBB" w:rsidRPr="00B0658A">
              <w:rPr>
                <w:rFonts w:ascii="Times New Roman" w:hAnsi="Times New Roman"/>
                <w:i/>
                <w:sz w:val="20"/>
                <w:szCs w:val="20"/>
              </w:rPr>
              <w:t>ПО</w:t>
            </w:r>
            <w:r w:rsidRPr="00B0658A">
              <w:rPr>
                <w:rFonts w:ascii="Times New Roman" w:hAnsi="Times New Roman"/>
                <w:i/>
                <w:sz w:val="20"/>
                <w:szCs w:val="20"/>
              </w:rPr>
              <w:t xml:space="preserve">, используемого на </w:t>
            </w:r>
            <w:r w:rsidR="00503B76" w:rsidRPr="00B0658A">
              <w:rPr>
                <w:rFonts w:ascii="Times New Roman" w:hAnsi="Times New Roman"/>
                <w:i/>
                <w:sz w:val="20"/>
                <w:szCs w:val="20"/>
              </w:rPr>
              <w:t>значимом объекте</w:t>
            </w:r>
            <w:r w:rsidRPr="00B0658A">
              <w:rPr>
                <w:rFonts w:ascii="Times New Roman" w:hAnsi="Times New Roman"/>
                <w:i/>
                <w:sz w:val="20"/>
                <w:szCs w:val="20"/>
              </w:rPr>
              <w:t xml:space="preserve"> КИИ №1 в соответствии с приказом Минцифры России от 22 сентября 2020 г. № 486)</w:t>
            </w:r>
          </w:p>
        </w:tc>
        <w:tc>
          <w:tcPr>
            <w:tcW w:w="844" w:type="pct"/>
          </w:tcPr>
          <w:p w14:paraId="20923353" w14:textId="77777777" w:rsidR="00AA11F5" w:rsidRPr="00B0658A" w:rsidRDefault="00AA11F5" w:rsidP="00004A41">
            <w:pPr>
              <w:spacing w:after="0" w:line="240" w:lineRule="auto"/>
              <w:rPr>
                <w:rFonts w:ascii="Times New Roman" w:hAnsi="Times New Roman"/>
                <w:sz w:val="20"/>
                <w:szCs w:val="20"/>
              </w:rPr>
            </w:pPr>
          </w:p>
        </w:tc>
        <w:tc>
          <w:tcPr>
            <w:tcW w:w="844" w:type="pct"/>
            <w:shd w:val="clear" w:color="000000" w:fill="FFFFFF"/>
            <w:hideMark/>
          </w:tcPr>
          <w:p w14:paraId="23C7A83C" w14:textId="77777777" w:rsidR="00AA11F5" w:rsidRPr="00B0658A" w:rsidRDefault="002B2CDC" w:rsidP="00004A41">
            <w:pPr>
              <w:spacing w:after="0" w:line="240" w:lineRule="auto"/>
              <w:rPr>
                <w:rFonts w:ascii="Times New Roman" w:hAnsi="Times New Roman"/>
                <w:sz w:val="20"/>
                <w:szCs w:val="20"/>
              </w:rPr>
            </w:pPr>
            <w:r w:rsidRPr="00B0658A">
              <w:rPr>
                <w:rFonts w:ascii="Times New Roman" w:hAnsi="Times New Roman"/>
                <w:sz w:val="20"/>
                <w:szCs w:val="20"/>
              </w:rPr>
              <w:t xml:space="preserve">Доля используемого российского ПО и евразийского ПО, используемого на значимом объекте КИИ, в общем объёме </w:t>
            </w:r>
            <w:r w:rsidRPr="00B0658A">
              <w:rPr>
                <w:rFonts w:ascii="Times New Roman" w:hAnsi="Times New Roman"/>
                <w:sz w:val="20"/>
                <w:szCs w:val="20"/>
              </w:rPr>
              <w:lastRenderedPageBreak/>
              <w:t>используемого ПО на таком объекте, %</w:t>
            </w:r>
          </w:p>
        </w:tc>
        <w:tc>
          <w:tcPr>
            <w:tcW w:w="320" w:type="pct"/>
            <w:shd w:val="clear" w:color="000000" w:fill="FFFFFF"/>
            <w:vAlign w:val="center"/>
          </w:tcPr>
          <w:p w14:paraId="3D8DC3CD" w14:textId="77777777" w:rsidR="00AA11F5" w:rsidRPr="00B0658A" w:rsidRDefault="00AA11F5" w:rsidP="00004A41">
            <w:pPr>
              <w:spacing w:after="0" w:line="240" w:lineRule="auto"/>
              <w:jc w:val="center"/>
              <w:rPr>
                <w:rFonts w:ascii="Times New Roman" w:hAnsi="Times New Roman"/>
                <w:sz w:val="20"/>
                <w:szCs w:val="20"/>
              </w:rPr>
            </w:pPr>
          </w:p>
        </w:tc>
        <w:tc>
          <w:tcPr>
            <w:tcW w:w="320" w:type="pct"/>
            <w:shd w:val="clear" w:color="000000" w:fill="FFFFFF"/>
            <w:vAlign w:val="center"/>
            <w:hideMark/>
          </w:tcPr>
          <w:p w14:paraId="029D61EF" w14:textId="77777777" w:rsidR="00AA11F5" w:rsidRPr="00B0658A" w:rsidRDefault="00AA11F5" w:rsidP="00004A41">
            <w:pPr>
              <w:spacing w:after="0" w:line="240" w:lineRule="auto"/>
              <w:jc w:val="center"/>
              <w:rPr>
                <w:rFonts w:ascii="Times New Roman" w:hAnsi="Times New Roman"/>
                <w:sz w:val="20"/>
                <w:szCs w:val="20"/>
              </w:rPr>
            </w:pPr>
          </w:p>
        </w:tc>
        <w:tc>
          <w:tcPr>
            <w:tcW w:w="320" w:type="pct"/>
            <w:shd w:val="clear" w:color="000000" w:fill="FFFFFF"/>
            <w:vAlign w:val="center"/>
            <w:hideMark/>
          </w:tcPr>
          <w:p w14:paraId="6AC2D082" w14:textId="77777777" w:rsidR="00AA11F5" w:rsidRPr="00B0658A" w:rsidRDefault="00AA11F5" w:rsidP="00004A41">
            <w:pPr>
              <w:spacing w:after="0" w:line="240" w:lineRule="auto"/>
              <w:jc w:val="center"/>
              <w:rPr>
                <w:rFonts w:ascii="Times New Roman" w:hAnsi="Times New Roman"/>
                <w:sz w:val="20"/>
                <w:szCs w:val="20"/>
              </w:rPr>
            </w:pPr>
          </w:p>
        </w:tc>
        <w:tc>
          <w:tcPr>
            <w:tcW w:w="320" w:type="pct"/>
            <w:shd w:val="clear" w:color="000000" w:fill="FFFFFF"/>
            <w:vAlign w:val="center"/>
            <w:hideMark/>
          </w:tcPr>
          <w:p w14:paraId="4EC5FE65" w14:textId="77777777" w:rsidR="00AA11F5" w:rsidRPr="00B0658A" w:rsidRDefault="00AA11F5" w:rsidP="00004A41">
            <w:pPr>
              <w:spacing w:after="0" w:line="240" w:lineRule="auto"/>
              <w:jc w:val="center"/>
              <w:rPr>
                <w:rFonts w:ascii="Times New Roman" w:hAnsi="Times New Roman"/>
                <w:sz w:val="20"/>
                <w:szCs w:val="20"/>
              </w:rPr>
            </w:pPr>
          </w:p>
        </w:tc>
        <w:tc>
          <w:tcPr>
            <w:tcW w:w="518" w:type="pct"/>
            <w:shd w:val="clear" w:color="000000" w:fill="FFFFFF"/>
            <w:vAlign w:val="center"/>
            <w:hideMark/>
          </w:tcPr>
          <w:p w14:paraId="1CBD3A24" w14:textId="77777777" w:rsidR="00AA11F5" w:rsidRPr="00B0658A" w:rsidRDefault="00AA11F5" w:rsidP="00004A41">
            <w:pPr>
              <w:spacing w:after="0" w:line="240" w:lineRule="auto"/>
              <w:jc w:val="center"/>
              <w:rPr>
                <w:rFonts w:ascii="Times New Roman" w:hAnsi="Times New Roman"/>
                <w:sz w:val="20"/>
                <w:szCs w:val="20"/>
              </w:rPr>
            </w:pPr>
          </w:p>
        </w:tc>
      </w:tr>
      <w:tr w:rsidR="00F52FED" w:rsidRPr="00B0658A" w14:paraId="068EB18D" w14:textId="77777777" w:rsidTr="00B65953">
        <w:trPr>
          <w:trHeight w:val="20"/>
        </w:trPr>
        <w:tc>
          <w:tcPr>
            <w:tcW w:w="5000" w:type="pct"/>
            <w:gridSpan w:val="9"/>
            <w:shd w:val="clear" w:color="auto" w:fill="DEEAF6" w:themeFill="accent5" w:themeFillTint="33"/>
          </w:tcPr>
          <w:p w14:paraId="2D35DDE7" w14:textId="77777777" w:rsidR="00AA11F5" w:rsidRPr="00B0658A" w:rsidRDefault="00AA11F5" w:rsidP="00004A41">
            <w:pPr>
              <w:spacing w:after="0" w:line="240" w:lineRule="auto"/>
              <w:rPr>
                <w:rFonts w:ascii="Times New Roman" w:hAnsi="Times New Roman"/>
                <w:b/>
                <w:sz w:val="20"/>
                <w:szCs w:val="20"/>
              </w:rPr>
            </w:pPr>
            <w:r w:rsidRPr="00B0658A">
              <w:rPr>
                <w:rFonts w:ascii="Times New Roman" w:hAnsi="Times New Roman"/>
                <w:b/>
                <w:sz w:val="20"/>
                <w:szCs w:val="20"/>
              </w:rPr>
              <w:t xml:space="preserve">2. </w:t>
            </w:r>
            <w:r w:rsidR="00B65953" w:rsidRPr="00B0658A">
              <w:rPr>
                <w:rFonts w:ascii="Times New Roman" w:hAnsi="Times New Roman"/>
                <w:b/>
                <w:sz w:val="20"/>
                <w:szCs w:val="20"/>
              </w:rPr>
              <w:t xml:space="preserve">Показатели </w:t>
            </w:r>
            <w:r w:rsidRPr="00B0658A">
              <w:rPr>
                <w:rFonts w:ascii="Times New Roman" w:hAnsi="Times New Roman"/>
                <w:b/>
                <w:sz w:val="20"/>
                <w:szCs w:val="20"/>
              </w:rPr>
              <w:t xml:space="preserve">эффективности перехода </w:t>
            </w:r>
            <w:r w:rsidR="00B62216" w:rsidRPr="00B0658A">
              <w:rPr>
                <w:rFonts w:ascii="Times New Roman" w:hAnsi="Times New Roman"/>
                <w:b/>
                <w:sz w:val="20"/>
                <w:szCs w:val="20"/>
              </w:rPr>
              <w:t xml:space="preserve">в отношении </w:t>
            </w:r>
            <w:r w:rsidRPr="00B0658A">
              <w:rPr>
                <w:rFonts w:ascii="Times New Roman" w:hAnsi="Times New Roman"/>
                <w:b/>
                <w:sz w:val="20"/>
                <w:szCs w:val="20"/>
              </w:rPr>
              <w:t>________ (наименование значимого объекта КИИ № 2)</w:t>
            </w:r>
          </w:p>
        </w:tc>
      </w:tr>
      <w:tr w:rsidR="00F52FED" w:rsidRPr="00B0658A" w14:paraId="07E7560E" w14:textId="77777777" w:rsidTr="00B65953">
        <w:trPr>
          <w:trHeight w:val="20"/>
        </w:trPr>
        <w:tc>
          <w:tcPr>
            <w:tcW w:w="278" w:type="pct"/>
            <w:shd w:val="clear" w:color="auto" w:fill="auto"/>
            <w:vAlign w:val="center"/>
          </w:tcPr>
          <w:p w14:paraId="2B3E1E67" w14:textId="77777777" w:rsidR="00AA11F5" w:rsidRPr="00B0658A" w:rsidRDefault="00AA11F5" w:rsidP="00004A41">
            <w:pPr>
              <w:spacing w:after="0" w:line="240" w:lineRule="auto"/>
              <w:jc w:val="center"/>
              <w:rPr>
                <w:rFonts w:ascii="Times New Roman" w:hAnsi="Times New Roman"/>
                <w:sz w:val="20"/>
                <w:szCs w:val="20"/>
              </w:rPr>
            </w:pPr>
            <w:r w:rsidRPr="00B0658A">
              <w:rPr>
                <w:rFonts w:ascii="Times New Roman" w:hAnsi="Times New Roman"/>
                <w:sz w:val="20"/>
                <w:szCs w:val="20"/>
                <w:lang w:val="en-US"/>
              </w:rPr>
              <w:t>2</w:t>
            </w:r>
            <w:r w:rsidRPr="00B0658A">
              <w:rPr>
                <w:rFonts w:ascii="Times New Roman" w:hAnsi="Times New Roman"/>
                <w:sz w:val="20"/>
                <w:szCs w:val="20"/>
              </w:rPr>
              <w:t>.1</w:t>
            </w:r>
          </w:p>
        </w:tc>
        <w:tc>
          <w:tcPr>
            <w:tcW w:w="1237" w:type="pct"/>
            <w:shd w:val="clear" w:color="auto" w:fill="auto"/>
            <w:vAlign w:val="center"/>
          </w:tcPr>
          <w:p w14:paraId="09212765" w14:textId="77777777" w:rsidR="00AA11F5" w:rsidRPr="00B0658A" w:rsidRDefault="00AA11F5" w:rsidP="00004A41">
            <w:pPr>
              <w:spacing w:after="0" w:line="240" w:lineRule="auto"/>
              <w:rPr>
                <w:rFonts w:ascii="Times New Roman" w:hAnsi="Times New Roman"/>
                <w:i/>
                <w:sz w:val="20"/>
                <w:szCs w:val="20"/>
              </w:rPr>
            </w:pPr>
            <w:r w:rsidRPr="00B0658A">
              <w:rPr>
                <w:rFonts w:ascii="Times New Roman" w:hAnsi="Times New Roman"/>
                <w:i/>
                <w:sz w:val="20"/>
                <w:szCs w:val="20"/>
              </w:rPr>
              <w:t xml:space="preserve">Указывается класс (тип) №1 </w:t>
            </w:r>
            <w:r w:rsidR="00E14CBB" w:rsidRPr="00B0658A">
              <w:rPr>
                <w:rFonts w:ascii="Times New Roman" w:hAnsi="Times New Roman"/>
                <w:i/>
                <w:sz w:val="20"/>
                <w:szCs w:val="20"/>
              </w:rPr>
              <w:t>ПО</w:t>
            </w:r>
            <w:r w:rsidRPr="00B0658A">
              <w:rPr>
                <w:rFonts w:ascii="Times New Roman" w:hAnsi="Times New Roman"/>
                <w:i/>
                <w:sz w:val="20"/>
                <w:szCs w:val="20"/>
              </w:rPr>
              <w:t xml:space="preserve">, используемого на </w:t>
            </w:r>
            <w:r w:rsidR="00503B76" w:rsidRPr="00B0658A">
              <w:rPr>
                <w:rFonts w:ascii="Times New Roman" w:hAnsi="Times New Roman"/>
                <w:i/>
                <w:sz w:val="20"/>
                <w:szCs w:val="20"/>
              </w:rPr>
              <w:t>значимом объекте</w:t>
            </w:r>
            <w:r w:rsidRPr="00B0658A">
              <w:rPr>
                <w:rFonts w:ascii="Times New Roman" w:hAnsi="Times New Roman"/>
                <w:i/>
                <w:sz w:val="20"/>
                <w:szCs w:val="20"/>
              </w:rPr>
              <w:t xml:space="preserve"> КИИ №2 в соответствии с приказом Минцифры России от 22 сентября 2020 г. № 486)</w:t>
            </w:r>
          </w:p>
        </w:tc>
        <w:tc>
          <w:tcPr>
            <w:tcW w:w="844" w:type="pct"/>
          </w:tcPr>
          <w:p w14:paraId="57F0F63A" w14:textId="77777777" w:rsidR="00AA11F5" w:rsidRPr="00B0658A" w:rsidRDefault="00AA11F5" w:rsidP="00004A41">
            <w:pPr>
              <w:spacing w:after="0" w:line="240" w:lineRule="auto"/>
              <w:rPr>
                <w:rFonts w:ascii="Times New Roman" w:hAnsi="Times New Roman"/>
                <w:sz w:val="20"/>
                <w:szCs w:val="20"/>
              </w:rPr>
            </w:pPr>
          </w:p>
        </w:tc>
        <w:tc>
          <w:tcPr>
            <w:tcW w:w="844" w:type="pct"/>
            <w:shd w:val="clear" w:color="000000" w:fill="FFFFFF"/>
          </w:tcPr>
          <w:p w14:paraId="5222F32C" w14:textId="77777777" w:rsidR="00AA11F5" w:rsidRPr="00B0658A" w:rsidRDefault="002B2CDC" w:rsidP="00004A41">
            <w:pPr>
              <w:spacing w:after="0" w:line="240" w:lineRule="auto"/>
              <w:rPr>
                <w:rFonts w:ascii="Times New Roman" w:hAnsi="Times New Roman"/>
                <w:sz w:val="20"/>
                <w:szCs w:val="20"/>
              </w:rPr>
            </w:pPr>
            <w:r w:rsidRPr="00B0658A">
              <w:rPr>
                <w:rFonts w:ascii="Times New Roman" w:hAnsi="Times New Roman"/>
                <w:sz w:val="20"/>
                <w:szCs w:val="20"/>
              </w:rPr>
              <w:t>Доля используемого российского ПО и евразийского ПО, используемого на значимом объекте КИИ, в общем объёме используемого ПО на таком объекте, %</w:t>
            </w:r>
          </w:p>
        </w:tc>
        <w:tc>
          <w:tcPr>
            <w:tcW w:w="320" w:type="pct"/>
            <w:shd w:val="clear" w:color="000000" w:fill="FFFFFF"/>
            <w:vAlign w:val="center"/>
          </w:tcPr>
          <w:p w14:paraId="21D7D29A" w14:textId="77777777" w:rsidR="00AA11F5" w:rsidRPr="00B0658A" w:rsidRDefault="00AA11F5" w:rsidP="00004A41">
            <w:pPr>
              <w:spacing w:after="0" w:line="240" w:lineRule="auto"/>
              <w:jc w:val="center"/>
              <w:rPr>
                <w:rFonts w:ascii="Times New Roman" w:hAnsi="Times New Roman"/>
                <w:sz w:val="20"/>
                <w:szCs w:val="20"/>
              </w:rPr>
            </w:pPr>
          </w:p>
        </w:tc>
        <w:tc>
          <w:tcPr>
            <w:tcW w:w="320" w:type="pct"/>
            <w:shd w:val="clear" w:color="000000" w:fill="FFFFFF"/>
            <w:vAlign w:val="center"/>
          </w:tcPr>
          <w:p w14:paraId="6FB71BD5" w14:textId="77777777" w:rsidR="00AA11F5" w:rsidRPr="00B0658A" w:rsidRDefault="00AA11F5" w:rsidP="00004A41">
            <w:pPr>
              <w:spacing w:after="0" w:line="240" w:lineRule="auto"/>
              <w:jc w:val="center"/>
              <w:rPr>
                <w:rFonts w:ascii="Times New Roman" w:hAnsi="Times New Roman"/>
                <w:sz w:val="20"/>
                <w:szCs w:val="20"/>
              </w:rPr>
            </w:pPr>
          </w:p>
        </w:tc>
        <w:tc>
          <w:tcPr>
            <w:tcW w:w="320" w:type="pct"/>
            <w:shd w:val="clear" w:color="000000" w:fill="FFFFFF"/>
            <w:vAlign w:val="center"/>
          </w:tcPr>
          <w:p w14:paraId="5EB3BBEE" w14:textId="77777777" w:rsidR="00AA11F5" w:rsidRPr="00B0658A" w:rsidRDefault="00AA11F5" w:rsidP="00004A41">
            <w:pPr>
              <w:spacing w:after="0" w:line="240" w:lineRule="auto"/>
              <w:jc w:val="center"/>
              <w:rPr>
                <w:rFonts w:ascii="Times New Roman" w:hAnsi="Times New Roman"/>
                <w:sz w:val="20"/>
                <w:szCs w:val="20"/>
              </w:rPr>
            </w:pPr>
          </w:p>
        </w:tc>
        <w:tc>
          <w:tcPr>
            <w:tcW w:w="320" w:type="pct"/>
            <w:shd w:val="clear" w:color="000000" w:fill="FFFFFF"/>
            <w:vAlign w:val="center"/>
          </w:tcPr>
          <w:p w14:paraId="303D758D" w14:textId="77777777" w:rsidR="00AA11F5" w:rsidRPr="00B0658A" w:rsidRDefault="00AA11F5" w:rsidP="00004A41">
            <w:pPr>
              <w:spacing w:after="0" w:line="240" w:lineRule="auto"/>
              <w:jc w:val="center"/>
              <w:rPr>
                <w:rFonts w:ascii="Times New Roman" w:hAnsi="Times New Roman"/>
                <w:sz w:val="20"/>
                <w:szCs w:val="20"/>
              </w:rPr>
            </w:pPr>
          </w:p>
        </w:tc>
        <w:tc>
          <w:tcPr>
            <w:tcW w:w="518" w:type="pct"/>
            <w:shd w:val="clear" w:color="000000" w:fill="FFFFFF"/>
            <w:vAlign w:val="center"/>
          </w:tcPr>
          <w:p w14:paraId="40D35EC4" w14:textId="77777777" w:rsidR="00AA11F5" w:rsidRPr="00B0658A" w:rsidRDefault="00AA11F5" w:rsidP="00004A41">
            <w:pPr>
              <w:spacing w:after="0" w:line="240" w:lineRule="auto"/>
              <w:jc w:val="center"/>
              <w:rPr>
                <w:rFonts w:ascii="Times New Roman" w:hAnsi="Times New Roman"/>
                <w:sz w:val="20"/>
                <w:szCs w:val="20"/>
              </w:rPr>
            </w:pPr>
          </w:p>
        </w:tc>
      </w:tr>
      <w:tr w:rsidR="00F52FED" w:rsidRPr="00B0658A" w14:paraId="327B8D4C" w14:textId="77777777" w:rsidTr="00B65953">
        <w:trPr>
          <w:trHeight w:val="20"/>
        </w:trPr>
        <w:tc>
          <w:tcPr>
            <w:tcW w:w="278" w:type="pct"/>
            <w:shd w:val="clear" w:color="000000" w:fill="FFFFFF"/>
            <w:vAlign w:val="center"/>
          </w:tcPr>
          <w:p w14:paraId="50DD0A30" w14:textId="77777777" w:rsidR="00AA11F5" w:rsidRPr="00B0658A" w:rsidRDefault="00AA11F5" w:rsidP="00004A41">
            <w:pPr>
              <w:spacing w:after="0" w:line="240" w:lineRule="auto"/>
              <w:jc w:val="center"/>
              <w:rPr>
                <w:rFonts w:ascii="Times New Roman" w:hAnsi="Times New Roman"/>
                <w:sz w:val="20"/>
                <w:szCs w:val="20"/>
              </w:rPr>
            </w:pPr>
            <w:r w:rsidRPr="00B0658A">
              <w:rPr>
                <w:rFonts w:ascii="Times New Roman" w:hAnsi="Times New Roman"/>
                <w:sz w:val="20"/>
                <w:szCs w:val="20"/>
                <w:lang w:val="en-US"/>
              </w:rPr>
              <w:t>2</w:t>
            </w:r>
            <w:r w:rsidRPr="00B0658A">
              <w:rPr>
                <w:rFonts w:ascii="Times New Roman" w:hAnsi="Times New Roman"/>
                <w:sz w:val="20"/>
                <w:szCs w:val="20"/>
              </w:rPr>
              <w:t>.2</w:t>
            </w:r>
          </w:p>
        </w:tc>
        <w:tc>
          <w:tcPr>
            <w:tcW w:w="1237" w:type="pct"/>
            <w:shd w:val="clear" w:color="auto" w:fill="auto"/>
            <w:vAlign w:val="center"/>
          </w:tcPr>
          <w:p w14:paraId="4ADCA8A1" w14:textId="77777777" w:rsidR="00AA11F5" w:rsidRPr="00B0658A" w:rsidRDefault="00AA11F5" w:rsidP="00004A41">
            <w:pPr>
              <w:spacing w:after="0" w:line="240" w:lineRule="auto"/>
              <w:rPr>
                <w:rFonts w:ascii="Times New Roman" w:hAnsi="Times New Roman"/>
                <w:i/>
                <w:sz w:val="20"/>
                <w:szCs w:val="20"/>
              </w:rPr>
            </w:pPr>
            <w:r w:rsidRPr="00B0658A">
              <w:rPr>
                <w:rFonts w:ascii="Times New Roman" w:hAnsi="Times New Roman"/>
                <w:i/>
                <w:sz w:val="20"/>
                <w:szCs w:val="20"/>
              </w:rPr>
              <w:t xml:space="preserve">Указывается класс (тип) №2 </w:t>
            </w:r>
            <w:r w:rsidR="00E14CBB" w:rsidRPr="00B0658A">
              <w:rPr>
                <w:rFonts w:ascii="Times New Roman" w:hAnsi="Times New Roman"/>
                <w:i/>
                <w:sz w:val="20"/>
                <w:szCs w:val="20"/>
              </w:rPr>
              <w:t>ПО</w:t>
            </w:r>
            <w:r w:rsidRPr="00B0658A">
              <w:rPr>
                <w:rFonts w:ascii="Times New Roman" w:hAnsi="Times New Roman"/>
                <w:i/>
                <w:sz w:val="20"/>
                <w:szCs w:val="20"/>
              </w:rPr>
              <w:t xml:space="preserve">, используемого на </w:t>
            </w:r>
            <w:r w:rsidR="00503B76" w:rsidRPr="00B0658A">
              <w:rPr>
                <w:rFonts w:ascii="Times New Roman" w:hAnsi="Times New Roman"/>
                <w:i/>
                <w:sz w:val="20"/>
                <w:szCs w:val="20"/>
              </w:rPr>
              <w:t>значимом объекте</w:t>
            </w:r>
            <w:r w:rsidRPr="00B0658A">
              <w:rPr>
                <w:rFonts w:ascii="Times New Roman" w:hAnsi="Times New Roman"/>
                <w:i/>
                <w:sz w:val="20"/>
                <w:szCs w:val="20"/>
              </w:rPr>
              <w:t xml:space="preserve"> КИИ №2 в соответствии с приказом Минцифры России от 22 сентября 2020 г. № 486)</w:t>
            </w:r>
          </w:p>
        </w:tc>
        <w:tc>
          <w:tcPr>
            <w:tcW w:w="844" w:type="pct"/>
          </w:tcPr>
          <w:p w14:paraId="0E3E167D" w14:textId="77777777" w:rsidR="00AA11F5" w:rsidRPr="00B0658A" w:rsidRDefault="00AA11F5" w:rsidP="00004A41">
            <w:pPr>
              <w:spacing w:after="0" w:line="240" w:lineRule="auto"/>
              <w:rPr>
                <w:rFonts w:ascii="Times New Roman" w:hAnsi="Times New Roman"/>
                <w:sz w:val="20"/>
                <w:szCs w:val="20"/>
              </w:rPr>
            </w:pPr>
          </w:p>
        </w:tc>
        <w:tc>
          <w:tcPr>
            <w:tcW w:w="844" w:type="pct"/>
            <w:shd w:val="clear" w:color="000000" w:fill="FFFFFF"/>
          </w:tcPr>
          <w:p w14:paraId="7EF15F65" w14:textId="77777777" w:rsidR="00AA11F5" w:rsidRPr="00B0658A" w:rsidRDefault="002B2CDC" w:rsidP="00004A41">
            <w:pPr>
              <w:spacing w:after="0" w:line="240" w:lineRule="auto"/>
              <w:rPr>
                <w:rFonts w:ascii="Times New Roman" w:hAnsi="Times New Roman"/>
                <w:sz w:val="20"/>
                <w:szCs w:val="20"/>
              </w:rPr>
            </w:pPr>
            <w:r w:rsidRPr="00B0658A">
              <w:rPr>
                <w:rFonts w:ascii="Times New Roman" w:hAnsi="Times New Roman"/>
                <w:sz w:val="20"/>
                <w:szCs w:val="20"/>
              </w:rPr>
              <w:t>Доля используемого российского ПО и евразийского ПО, используемого на значимом объекте КИИ, в общем объёме используемого ПО на таком объекте, %</w:t>
            </w:r>
          </w:p>
        </w:tc>
        <w:tc>
          <w:tcPr>
            <w:tcW w:w="320" w:type="pct"/>
            <w:shd w:val="clear" w:color="000000" w:fill="FFFFFF"/>
            <w:vAlign w:val="center"/>
          </w:tcPr>
          <w:p w14:paraId="0CE5A96B" w14:textId="77777777" w:rsidR="00AA11F5" w:rsidRPr="00B0658A" w:rsidRDefault="00AA11F5" w:rsidP="00004A41">
            <w:pPr>
              <w:spacing w:after="0" w:line="240" w:lineRule="auto"/>
              <w:jc w:val="center"/>
              <w:rPr>
                <w:rFonts w:ascii="Times New Roman" w:hAnsi="Times New Roman"/>
                <w:sz w:val="20"/>
                <w:szCs w:val="20"/>
              </w:rPr>
            </w:pPr>
          </w:p>
        </w:tc>
        <w:tc>
          <w:tcPr>
            <w:tcW w:w="320" w:type="pct"/>
            <w:shd w:val="clear" w:color="000000" w:fill="FFFFFF"/>
            <w:vAlign w:val="center"/>
          </w:tcPr>
          <w:p w14:paraId="61A12DEF" w14:textId="77777777" w:rsidR="00AA11F5" w:rsidRPr="00B0658A" w:rsidRDefault="00AA11F5" w:rsidP="00004A41">
            <w:pPr>
              <w:spacing w:after="0" w:line="240" w:lineRule="auto"/>
              <w:jc w:val="center"/>
              <w:rPr>
                <w:rFonts w:ascii="Times New Roman" w:hAnsi="Times New Roman"/>
                <w:sz w:val="20"/>
                <w:szCs w:val="20"/>
              </w:rPr>
            </w:pPr>
          </w:p>
        </w:tc>
        <w:tc>
          <w:tcPr>
            <w:tcW w:w="320" w:type="pct"/>
            <w:shd w:val="clear" w:color="000000" w:fill="FFFFFF"/>
            <w:vAlign w:val="center"/>
          </w:tcPr>
          <w:p w14:paraId="7F6C0F46" w14:textId="77777777" w:rsidR="00AA11F5" w:rsidRPr="00B0658A" w:rsidRDefault="00AA11F5" w:rsidP="00004A41">
            <w:pPr>
              <w:spacing w:after="0" w:line="240" w:lineRule="auto"/>
              <w:jc w:val="center"/>
              <w:rPr>
                <w:rFonts w:ascii="Times New Roman" w:hAnsi="Times New Roman"/>
                <w:sz w:val="20"/>
                <w:szCs w:val="20"/>
              </w:rPr>
            </w:pPr>
          </w:p>
        </w:tc>
        <w:tc>
          <w:tcPr>
            <w:tcW w:w="320" w:type="pct"/>
            <w:shd w:val="clear" w:color="000000" w:fill="FFFFFF"/>
            <w:vAlign w:val="center"/>
          </w:tcPr>
          <w:p w14:paraId="6F92EE62" w14:textId="77777777" w:rsidR="00AA11F5" w:rsidRPr="00B0658A" w:rsidRDefault="00AA11F5" w:rsidP="00004A41">
            <w:pPr>
              <w:spacing w:after="0" w:line="240" w:lineRule="auto"/>
              <w:jc w:val="center"/>
              <w:rPr>
                <w:rFonts w:ascii="Times New Roman" w:hAnsi="Times New Roman"/>
                <w:sz w:val="20"/>
                <w:szCs w:val="20"/>
              </w:rPr>
            </w:pPr>
          </w:p>
        </w:tc>
        <w:tc>
          <w:tcPr>
            <w:tcW w:w="518" w:type="pct"/>
            <w:shd w:val="clear" w:color="000000" w:fill="FFFFFF"/>
            <w:vAlign w:val="center"/>
          </w:tcPr>
          <w:p w14:paraId="72D00C7A" w14:textId="77777777" w:rsidR="00AA11F5" w:rsidRPr="00B0658A" w:rsidRDefault="00AA11F5" w:rsidP="00004A41">
            <w:pPr>
              <w:spacing w:after="0" w:line="240" w:lineRule="auto"/>
              <w:jc w:val="center"/>
              <w:rPr>
                <w:rFonts w:ascii="Times New Roman" w:hAnsi="Times New Roman"/>
                <w:sz w:val="20"/>
                <w:szCs w:val="20"/>
              </w:rPr>
            </w:pPr>
          </w:p>
        </w:tc>
      </w:tr>
      <w:tr w:rsidR="00F52FED" w:rsidRPr="00B0658A" w14:paraId="1A66B39C" w14:textId="77777777" w:rsidTr="00B65953">
        <w:trPr>
          <w:trHeight w:val="20"/>
        </w:trPr>
        <w:tc>
          <w:tcPr>
            <w:tcW w:w="278" w:type="pct"/>
            <w:shd w:val="clear" w:color="000000" w:fill="FFFFFF"/>
            <w:vAlign w:val="center"/>
          </w:tcPr>
          <w:p w14:paraId="48E86284" w14:textId="77777777" w:rsidR="00AA11F5" w:rsidRPr="00B0658A" w:rsidRDefault="00AA11F5" w:rsidP="00004A41">
            <w:pPr>
              <w:spacing w:after="0" w:line="240" w:lineRule="auto"/>
              <w:jc w:val="center"/>
              <w:rPr>
                <w:rFonts w:ascii="Times New Roman" w:hAnsi="Times New Roman"/>
                <w:sz w:val="20"/>
                <w:szCs w:val="20"/>
              </w:rPr>
            </w:pPr>
            <w:r w:rsidRPr="00B0658A">
              <w:rPr>
                <w:rFonts w:ascii="Times New Roman" w:hAnsi="Times New Roman"/>
                <w:sz w:val="20"/>
                <w:szCs w:val="20"/>
              </w:rPr>
              <w:t>…</w:t>
            </w:r>
          </w:p>
        </w:tc>
        <w:tc>
          <w:tcPr>
            <w:tcW w:w="1237" w:type="pct"/>
            <w:shd w:val="clear" w:color="auto" w:fill="auto"/>
            <w:vAlign w:val="center"/>
          </w:tcPr>
          <w:p w14:paraId="16184DDA" w14:textId="77777777" w:rsidR="00AA11F5" w:rsidRPr="00B0658A" w:rsidRDefault="00AA11F5" w:rsidP="00004A41">
            <w:pPr>
              <w:spacing w:after="0" w:line="240" w:lineRule="auto"/>
              <w:rPr>
                <w:rFonts w:ascii="Times New Roman" w:hAnsi="Times New Roman"/>
                <w:i/>
                <w:sz w:val="20"/>
                <w:szCs w:val="20"/>
              </w:rPr>
            </w:pPr>
            <w:r w:rsidRPr="00B0658A">
              <w:rPr>
                <w:rFonts w:ascii="Times New Roman" w:hAnsi="Times New Roman"/>
                <w:i/>
                <w:sz w:val="20"/>
                <w:szCs w:val="20"/>
              </w:rPr>
              <w:t>…</w:t>
            </w:r>
          </w:p>
        </w:tc>
        <w:tc>
          <w:tcPr>
            <w:tcW w:w="844" w:type="pct"/>
          </w:tcPr>
          <w:p w14:paraId="3D6F6D40" w14:textId="77777777" w:rsidR="00AA11F5" w:rsidRPr="00B0658A" w:rsidRDefault="00AA11F5" w:rsidP="00004A41">
            <w:pPr>
              <w:spacing w:after="0" w:line="240" w:lineRule="auto"/>
              <w:rPr>
                <w:rFonts w:ascii="Times New Roman" w:hAnsi="Times New Roman"/>
                <w:sz w:val="20"/>
                <w:szCs w:val="20"/>
              </w:rPr>
            </w:pPr>
          </w:p>
        </w:tc>
        <w:tc>
          <w:tcPr>
            <w:tcW w:w="844" w:type="pct"/>
            <w:shd w:val="clear" w:color="000000" w:fill="FFFFFF"/>
          </w:tcPr>
          <w:p w14:paraId="76BF0DE8" w14:textId="77777777" w:rsidR="00AA11F5" w:rsidRPr="00B0658A" w:rsidRDefault="00AA11F5" w:rsidP="00004A41">
            <w:pPr>
              <w:spacing w:after="0" w:line="240" w:lineRule="auto"/>
              <w:rPr>
                <w:rFonts w:ascii="Times New Roman" w:hAnsi="Times New Roman"/>
                <w:sz w:val="20"/>
                <w:szCs w:val="20"/>
              </w:rPr>
            </w:pPr>
            <w:r w:rsidRPr="00B0658A">
              <w:rPr>
                <w:rFonts w:ascii="Times New Roman" w:hAnsi="Times New Roman"/>
                <w:sz w:val="20"/>
                <w:szCs w:val="20"/>
              </w:rPr>
              <w:t>…...</w:t>
            </w:r>
          </w:p>
        </w:tc>
        <w:tc>
          <w:tcPr>
            <w:tcW w:w="320" w:type="pct"/>
            <w:shd w:val="clear" w:color="000000" w:fill="FFFFFF"/>
            <w:vAlign w:val="center"/>
          </w:tcPr>
          <w:p w14:paraId="1A857F6F" w14:textId="77777777" w:rsidR="00AA11F5" w:rsidRPr="00B0658A" w:rsidRDefault="00AA11F5" w:rsidP="00004A41">
            <w:pPr>
              <w:spacing w:after="0" w:line="240" w:lineRule="auto"/>
              <w:jc w:val="center"/>
              <w:rPr>
                <w:rFonts w:ascii="Times New Roman" w:hAnsi="Times New Roman"/>
                <w:sz w:val="20"/>
                <w:szCs w:val="20"/>
              </w:rPr>
            </w:pPr>
          </w:p>
        </w:tc>
        <w:tc>
          <w:tcPr>
            <w:tcW w:w="320" w:type="pct"/>
            <w:shd w:val="clear" w:color="000000" w:fill="FFFFFF"/>
            <w:vAlign w:val="center"/>
          </w:tcPr>
          <w:p w14:paraId="0E768C6F" w14:textId="77777777" w:rsidR="00AA11F5" w:rsidRPr="00B0658A" w:rsidRDefault="00AA11F5" w:rsidP="00004A41">
            <w:pPr>
              <w:spacing w:after="0" w:line="240" w:lineRule="auto"/>
              <w:jc w:val="center"/>
              <w:rPr>
                <w:rFonts w:ascii="Times New Roman" w:hAnsi="Times New Roman"/>
                <w:sz w:val="20"/>
                <w:szCs w:val="20"/>
              </w:rPr>
            </w:pPr>
          </w:p>
        </w:tc>
        <w:tc>
          <w:tcPr>
            <w:tcW w:w="320" w:type="pct"/>
            <w:shd w:val="clear" w:color="000000" w:fill="FFFFFF"/>
            <w:vAlign w:val="center"/>
          </w:tcPr>
          <w:p w14:paraId="74F64042" w14:textId="77777777" w:rsidR="00AA11F5" w:rsidRPr="00B0658A" w:rsidRDefault="00AA11F5" w:rsidP="00004A41">
            <w:pPr>
              <w:spacing w:after="0" w:line="240" w:lineRule="auto"/>
              <w:jc w:val="center"/>
              <w:rPr>
                <w:rFonts w:ascii="Times New Roman" w:hAnsi="Times New Roman"/>
                <w:sz w:val="20"/>
                <w:szCs w:val="20"/>
              </w:rPr>
            </w:pPr>
          </w:p>
        </w:tc>
        <w:tc>
          <w:tcPr>
            <w:tcW w:w="320" w:type="pct"/>
            <w:shd w:val="clear" w:color="000000" w:fill="FFFFFF"/>
            <w:vAlign w:val="center"/>
          </w:tcPr>
          <w:p w14:paraId="260C1E30" w14:textId="77777777" w:rsidR="00AA11F5" w:rsidRPr="00B0658A" w:rsidRDefault="00AA11F5" w:rsidP="00004A41">
            <w:pPr>
              <w:spacing w:after="0" w:line="240" w:lineRule="auto"/>
              <w:jc w:val="center"/>
              <w:rPr>
                <w:rFonts w:ascii="Times New Roman" w:hAnsi="Times New Roman"/>
                <w:sz w:val="20"/>
                <w:szCs w:val="20"/>
              </w:rPr>
            </w:pPr>
          </w:p>
        </w:tc>
        <w:tc>
          <w:tcPr>
            <w:tcW w:w="518" w:type="pct"/>
            <w:shd w:val="clear" w:color="000000" w:fill="FFFFFF"/>
            <w:vAlign w:val="center"/>
          </w:tcPr>
          <w:p w14:paraId="39EED4CE" w14:textId="77777777" w:rsidR="00AA11F5" w:rsidRPr="00B0658A" w:rsidRDefault="00AA11F5" w:rsidP="00004A41">
            <w:pPr>
              <w:spacing w:after="0" w:line="240" w:lineRule="auto"/>
              <w:jc w:val="center"/>
              <w:rPr>
                <w:rFonts w:ascii="Times New Roman" w:hAnsi="Times New Roman"/>
                <w:sz w:val="20"/>
                <w:szCs w:val="20"/>
              </w:rPr>
            </w:pPr>
          </w:p>
        </w:tc>
      </w:tr>
      <w:tr w:rsidR="00F52FED" w:rsidRPr="00B0658A" w14:paraId="5B669334" w14:textId="77777777" w:rsidTr="00B65953">
        <w:trPr>
          <w:trHeight w:val="20"/>
        </w:trPr>
        <w:tc>
          <w:tcPr>
            <w:tcW w:w="278" w:type="pct"/>
            <w:shd w:val="clear" w:color="000000" w:fill="FFFFFF"/>
            <w:vAlign w:val="center"/>
          </w:tcPr>
          <w:p w14:paraId="71053A2A" w14:textId="77777777" w:rsidR="00AA11F5" w:rsidRPr="00B0658A" w:rsidRDefault="00AA11F5" w:rsidP="00004A41">
            <w:pPr>
              <w:spacing w:after="0" w:line="240" w:lineRule="auto"/>
              <w:jc w:val="center"/>
              <w:rPr>
                <w:rFonts w:ascii="Times New Roman" w:hAnsi="Times New Roman"/>
                <w:sz w:val="20"/>
                <w:szCs w:val="20"/>
              </w:rPr>
            </w:pPr>
            <w:r w:rsidRPr="00B0658A">
              <w:rPr>
                <w:rFonts w:ascii="Times New Roman" w:hAnsi="Times New Roman"/>
                <w:sz w:val="20"/>
                <w:szCs w:val="20"/>
                <w:lang w:val="en-US"/>
              </w:rPr>
              <w:t>2</w:t>
            </w:r>
            <w:r w:rsidRPr="00B0658A">
              <w:rPr>
                <w:rFonts w:ascii="Times New Roman" w:hAnsi="Times New Roman"/>
                <w:sz w:val="20"/>
                <w:szCs w:val="20"/>
              </w:rPr>
              <w:t>.</w:t>
            </w:r>
            <w:r w:rsidRPr="00B0658A">
              <w:rPr>
                <w:rFonts w:ascii="Times New Roman" w:hAnsi="Times New Roman"/>
                <w:sz w:val="20"/>
                <w:szCs w:val="20"/>
                <w:lang w:val="en-US"/>
              </w:rPr>
              <w:t>n</w:t>
            </w:r>
          </w:p>
        </w:tc>
        <w:tc>
          <w:tcPr>
            <w:tcW w:w="1237" w:type="pct"/>
            <w:shd w:val="clear" w:color="auto" w:fill="auto"/>
            <w:vAlign w:val="center"/>
          </w:tcPr>
          <w:p w14:paraId="70955CEF" w14:textId="77777777" w:rsidR="00AA11F5" w:rsidRPr="00B0658A" w:rsidRDefault="00AA11F5" w:rsidP="00004A41">
            <w:pPr>
              <w:spacing w:after="0" w:line="240" w:lineRule="auto"/>
              <w:rPr>
                <w:rFonts w:ascii="Times New Roman" w:hAnsi="Times New Roman"/>
                <w:i/>
                <w:sz w:val="20"/>
                <w:szCs w:val="20"/>
              </w:rPr>
            </w:pPr>
            <w:r w:rsidRPr="00B0658A">
              <w:rPr>
                <w:rFonts w:ascii="Times New Roman" w:hAnsi="Times New Roman"/>
                <w:i/>
                <w:sz w:val="20"/>
                <w:szCs w:val="20"/>
              </w:rPr>
              <w:t>Указывается класс (тип) №</w:t>
            </w:r>
            <w:r w:rsidRPr="00B0658A">
              <w:rPr>
                <w:rFonts w:ascii="Times New Roman" w:hAnsi="Times New Roman"/>
                <w:i/>
                <w:sz w:val="20"/>
                <w:szCs w:val="20"/>
                <w:lang w:val="en-US"/>
              </w:rPr>
              <w:t>n</w:t>
            </w:r>
            <w:r w:rsidRPr="00B0658A">
              <w:rPr>
                <w:rFonts w:ascii="Times New Roman" w:hAnsi="Times New Roman"/>
                <w:i/>
                <w:sz w:val="20"/>
                <w:szCs w:val="20"/>
              </w:rPr>
              <w:t xml:space="preserve"> </w:t>
            </w:r>
            <w:r w:rsidR="00A04AFF" w:rsidRPr="00B0658A">
              <w:rPr>
                <w:rFonts w:ascii="Times New Roman" w:hAnsi="Times New Roman"/>
                <w:i/>
                <w:sz w:val="20"/>
                <w:szCs w:val="20"/>
              </w:rPr>
              <w:t>ПО</w:t>
            </w:r>
            <w:r w:rsidRPr="00B0658A">
              <w:rPr>
                <w:rFonts w:ascii="Times New Roman" w:hAnsi="Times New Roman"/>
                <w:i/>
                <w:sz w:val="20"/>
                <w:szCs w:val="20"/>
              </w:rPr>
              <w:t xml:space="preserve">, используемого на </w:t>
            </w:r>
            <w:r w:rsidR="00503B76" w:rsidRPr="00B0658A">
              <w:rPr>
                <w:rFonts w:ascii="Times New Roman" w:hAnsi="Times New Roman"/>
                <w:i/>
                <w:sz w:val="20"/>
                <w:szCs w:val="20"/>
              </w:rPr>
              <w:t>значимом объекте</w:t>
            </w:r>
            <w:r w:rsidRPr="00B0658A">
              <w:rPr>
                <w:rFonts w:ascii="Times New Roman" w:hAnsi="Times New Roman"/>
                <w:i/>
                <w:sz w:val="20"/>
                <w:szCs w:val="20"/>
              </w:rPr>
              <w:t xml:space="preserve"> КИИ №2 в соответствии с приказом Минцифры России от 22 сентября 2020 г. № 486)</w:t>
            </w:r>
          </w:p>
        </w:tc>
        <w:tc>
          <w:tcPr>
            <w:tcW w:w="844" w:type="pct"/>
          </w:tcPr>
          <w:p w14:paraId="2D1B2A72" w14:textId="77777777" w:rsidR="00AA11F5" w:rsidRPr="00B0658A" w:rsidRDefault="00AA11F5" w:rsidP="00004A41">
            <w:pPr>
              <w:spacing w:after="0" w:line="240" w:lineRule="auto"/>
              <w:rPr>
                <w:rFonts w:ascii="Times New Roman" w:hAnsi="Times New Roman"/>
                <w:sz w:val="20"/>
                <w:szCs w:val="20"/>
              </w:rPr>
            </w:pPr>
          </w:p>
        </w:tc>
        <w:tc>
          <w:tcPr>
            <w:tcW w:w="844" w:type="pct"/>
            <w:shd w:val="clear" w:color="000000" w:fill="FFFFFF"/>
          </w:tcPr>
          <w:p w14:paraId="0638275E" w14:textId="77777777" w:rsidR="00AA11F5" w:rsidRPr="00B0658A" w:rsidRDefault="002B2CDC" w:rsidP="00004A41">
            <w:pPr>
              <w:spacing w:after="0" w:line="240" w:lineRule="auto"/>
              <w:rPr>
                <w:rFonts w:ascii="Times New Roman" w:hAnsi="Times New Roman"/>
                <w:sz w:val="20"/>
                <w:szCs w:val="20"/>
              </w:rPr>
            </w:pPr>
            <w:r w:rsidRPr="00B0658A">
              <w:rPr>
                <w:rFonts w:ascii="Times New Roman" w:hAnsi="Times New Roman"/>
                <w:sz w:val="20"/>
                <w:szCs w:val="20"/>
              </w:rPr>
              <w:t>Доля используемого российского ПО и евразийского ПО, используемого на значимом объекте КИИ, в общем объёме используемого ПО на таком объекте, %</w:t>
            </w:r>
          </w:p>
        </w:tc>
        <w:tc>
          <w:tcPr>
            <w:tcW w:w="320" w:type="pct"/>
            <w:shd w:val="clear" w:color="000000" w:fill="FFFFFF"/>
            <w:vAlign w:val="center"/>
          </w:tcPr>
          <w:p w14:paraId="334AED5B" w14:textId="77777777" w:rsidR="00AA11F5" w:rsidRPr="00B0658A" w:rsidRDefault="00AA11F5" w:rsidP="00004A41">
            <w:pPr>
              <w:spacing w:after="0" w:line="240" w:lineRule="auto"/>
              <w:jc w:val="center"/>
              <w:rPr>
                <w:rFonts w:ascii="Times New Roman" w:hAnsi="Times New Roman"/>
                <w:sz w:val="20"/>
                <w:szCs w:val="20"/>
              </w:rPr>
            </w:pPr>
          </w:p>
        </w:tc>
        <w:tc>
          <w:tcPr>
            <w:tcW w:w="320" w:type="pct"/>
            <w:shd w:val="clear" w:color="000000" w:fill="FFFFFF"/>
            <w:vAlign w:val="center"/>
          </w:tcPr>
          <w:p w14:paraId="5C809C57" w14:textId="77777777" w:rsidR="00AA11F5" w:rsidRPr="00B0658A" w:rsidRDefault="00AA11F5" w:rsidP="00004A41">
            <w:pPr>
              <w:spacing w:after="0" w:line="240" w:lineRule="auto"/>
              <w:jc w:val="center"/>
              <w:rPr>
                <w:rFonts w:ascii="Times New Roman" w:hAnsi="Times New Roman"/>
                <w:sz w:val="20"/>
                <w:szCs w:val="20"/>
              </w:rPr>
            </w:pPr>
          </w:p>
        </w:tc>
        <w:tc>
          <w:tcPr>
            <w:tcW w:w="320" w:type="pct"/>
            <w:shd w:val="clear" w:color="000000" w:fill="FFFFFF"/>
            <w:vAlign w:val="center"/>
          </w:tcPr>
          <w:p w14:paraId="4CFA9F1B" w14:textId="77777777" w:rsidR="00AA11F5" w:rsidRPr="00B0658A" w:rsidRDefault="00AA11F5" w:rsidP="00004A41">
            <w:pPr>
              <w:spacing w:after="0" w:line="240" w:lineRule="auto"/>
              <w:jc w:val="center"/>
              <w:rPr>
                <w:rFonts w:ascii="Times New Roman" w:hAnsi="Times New Roman"/>
                <w:sz w:val="20"/>
                <w:szCs w:val="20"/>
              </w:rPr>
            </w:pPr>
          </w:p>
        </w:tc>
        <w:tc>
          <w:tcPr>
            <w:tcW w:w="320" w:type="pct"/>
            <w:shd w:val="clear" w:color="000000" w:fill="FFFFFF"/>
            <w:vAlign w:val="center"/>
          </w:tcPr>
          <w:p w14:paraId="45B69F0F" w14:textId="77777777" w:rsidR="00AA11F5" w:rsidRPr="00B0658A" w:rsidRDefault="00AA11F5" w:rsidP="00004A41">
            <w:pPr>
              <w:spacing w:after="0" w:line="240" w:lineRule="auto"/>
              <w:jc w:val="center"/>
              <w:rPr>
                <w:rFonts w:ascii="Times New Roman" w:hAnsi="Times New Roman"/>
                <w:sz w:val="20"/>
                <w:szCs w:val="20"/>
              </w:rPr>
            </w:pPr>
          </w:p>
        </w:tc>
        <w:tc>
          <w:tcPr>
            <w:tcW w:w="518" w:type="pct"/>
            <w:shd w:val="clear" w:color="000000" w:fill="FFFFFF"/>
            <w:vAlign w:val="center"/>
          </w:tcPr>
          <w:p w14:paraId="0A00CA89" w14:textId="77777777" w:rsidR="00AA11F5" w:rsidRPr="00B0658A" w:rsidRDefault="00AA11F5" w:rsidP="00004A41">
            <w:pPr>
              <w:spacing w:after="0" w:line="240" w:lineRule="auto"/>
              <w:jc w:val="center"/>
              <w:rPr>
                <w:rFonts w:ascii="Times New Roman" w:hAnsi="Times New Roman"/>
                <w:sz w:val="20"/>
                <w:szCs w:val="20"/>
              </w:rPr>
            </w:pPr>
          </w:p>
        </w:tc>
      </w:tr>
      <w:tr w:rsidR="00F52FED" w:rsidRPr="00B0658A" w14:paraId="2FA318FE" w14:textId="77777777" w:rsidTr="00B65953">
        <w:trPr>
          <w:trHeight w:val="20"/>
        </w:trPr>
        <w:tc>
          <w:tcPr>
            <w:tcW w:w="5000" w:type="pct"/>
            <w:gridSpan w:val="9"/>
            <w:shd w:val="clear" w:color="auto" w:fill="DEEAF6" w:themeFill="accent5" w:themeFillTint="33"/>
          </w:tcPr>
          <w:p w14:paraId="092A1CE4" w14:textId="77777777" w:rsidR="00AA11F5" w:rsidRPr="00B0658A" w:rsidRDefault="00AA11F5" w:rsidP="00004A41">
            <w:pPr>
              <w:spacing w:after="0" w:line="240" w:lineRule="auto"/>
              <w:rPr>
                <w:rFonts w:ascii="Times New Roman" w:hAnsi="Times New Roman"/>
                <w:b/>
                <w:sz w:val="20"/>
                <w:szCs w:val="20"/>
              </w:rPr>
            </w:pPr>
            <w:r w:rsidRPr="00B0658A">
              <w:rPr>
                <w:rFonts w:ascii="Times New Roman" w:hAnsi="Times New Roman"/>
                <w:b/>
                <w:sz w:val="20"/>
                <w:szCs w:val="20"/>
                <w:lang w:val="en-US"/>
              </w:rPr>
              <w:t>N</w:t>
            </w:r>
            <w:r w:rsidRPr="00B0658A">
              <w:rPr>
                <w:rFonts w:ascii="Times New Roman" w:hAnsi="Times New Roman"/>
                <w:b/>
                <w:sz w:val="20"/>
                <w:szCs w:val="20"/>
              </w:rPr>
              <w:t xml:space="preserve">. </w:t>
            </w:r>
            <w:r w:rsidR="00B65953" w:rsidRPr="00B0658A">
              <w:rPr>
                <w:rFonts w:ascii="Times New Roman" w:hAnsi="Times New Roman"/>
                <w:b/>
                <w:sz w:val="20"/>
                <w:szCs w:val="20"/>
              </w:rPr>
              <w:t xml:space="preserve">Показатели </w:t>
            </w:r>
            <w:r w:rsidRPr="00B0658A">
              <w:rPr>
                <w:rFonts w:ascii="Times New Roman" w:hAnsi="Times New Roman"/>
                <w:b/>
                <w:sz w:val="20"/>
                <w:szCs w:val="20"/>
              </w:rPr>
              <w:t xml:space="preserve">эффективности перехода </w:t>
            </w:r>
            <w:r w:rsidR="00B62216" w:rsidRPr="00B0658A">
              <w:rPr>
                <w:rFonts w:ascii="Times New Roman" w:hAnsi="Times New Roman"/>
                <w:b/>
                <w:sz w:val="20"/>
                <w:szCs w:val="20"/>
              </w:rPr>
              <w:t xml:space="preserve">в отношении </w:t>
            </w:r>
            <w:r w:rsidRPr="00B0658A">
              <w:rPr>
                <w:rFonts w:ascii="Times New Roman" w:hAnsi="Times New Roman"/>
                <w:b/>
                <w:sz w:val="20"/>
                <w:szCs w:val="20"/>
              </w:rPr>
              <w:t xml:space="preserve">________ (наименование значимого объекта КИИ № </w:t>
            </w:r>
            <w:r w:rsidRPr="00B0658A">
              <w:rPr>
                <w:rFonts w:ascii="Times New Roman" w:hAnsi="Times New Roman"/>
                <w:b/>
                <w:sz w:val="20"/>
                <w:szCs w:val="20"/>
                <w:lang w:val="en-US"/>
              </w:rPr>
              <w:t>N</w:t>
            </w:r>
            <w:r w:rsidRPr="00B0658A">
              <w:rPr>
                <w:rFonts w:ascii="Times New Roman" w:hAnsi="Times New Roman"/>
                <w:b/>
                <w:sz w:val="20"/>
                <w:szCs w:val="20"/>
              </w:rPr>
              <w:t>)</w:t>
            </w:r>
          </w:p>
        </w:tc>
      </w:tr>
      <w:tr w:rsidR="00F52FED" w:rsidRPr="00B0658A" w14:paraId="1D78B30D" w14:textId="77777777" w:rsidTr="00B65953">
        <w:trPr>
          <w:trHeight w:val="20"/>
        </w:trPr>
        <w:tc>
          <w:tcPr>
            <w:tcW w:w="278" w:type="pct"/>
            <w:shd w:val="clear" w:color="000000" w:fill="FFFFFF"/>
            <w:vAlign w:val="center"/>
          </w:tcPr>
          <w:p w14:paraId="1F028AAA" w14:textId="77777777" w:rsidR="00AA11F5" w:rsidRPr="00B0658A" w:rsidRDefault="00AA11F5" w:rsidP="00004A41">
            <w:pPr>
              <w:spacing w:after="0" w:line="240" w:lineRule="auto"/>
              <w:jc w:val="center"/>
              <w:rPr>
                <w:rFonts w:ascii="Times New Roman" w:hAnsi="Times New Roman"/>
                <w:sz w:val="20"/>
                <w:szCs w:val="20"/>
              </w:rPr>
            </w:pPr>
            <w:r w:rsidRPr="00B0658A">
              <w:rPr>
                <w:rFonts w:ascii="Times New Roman" w:hAnsi="Times New Roman"/>
                <w:sz w:val="20"/>
                <w:szCs w:val="20"/>
                <w:lang w:val="en-US"/>
              </w:rPr>
              <w:t>N</w:t>
            </w:r>
            <w:r w:rsidRPr="00B0658A">
              <w:rPr>
                <w:rFonts w:ascii="Times New Roman" w:hAnsi="Times New Roman"/>
                <w:sz w:val="20"/>
                <w:szCs w:val="20"/>
              </w:rPr>
              <w:t>.1</w:t>
            </w:r>
          </w:p>
        </w:tc>
        <w:tc>
          <w:tcPr>
            <w:tcW w:w="1237" w:type="pct"/>
            <w:shd w:val="clear" w:color="auto" w:fill="auto"/>
            <w:vAlign w:val="center"/>
          </w:tcPr>
          <w:p w14:paraId="3F8E4CB0" w14:textId="77777777" w:rsidR="00AA11F5" w:rsidRPr="00B0658A" w:rsidRDefault="00AA11F5" w:rsidP="00004A41">
            <w:pPr>
              <w:spacing w:after="0" w:line="240" w:lineRule="auto"/>
              <w:rPr>
                <w:rFonts w:ascii="Times New Roman" w:hAnsi="Times New Roman"/>
                <w:i/>
                <w:sz w:val="20"/>
                <w:szCs w:val="20"/>
              </w:rPr>
            </w:pPr>
            <w:r w:rsidRPr="00B0658A">
              <w:rPr>
                <w:rFonts w:ascii="Times New Roman" w:hAnsi="Times New Roman"/>
                <w:i/>
                <w:sz w:val="20"/>
                <w:szCs w:val="20"/>
              </w:rPr>
              <w:t xml:space="preserve">Указывается класс (тип) №1 </w:t>
            </w:r>
            <w:r w:rsidR="00A04AFF" w:rsidRPr="00B0658A">
              <w:rPr>
                <w:rFonts w:ascii="Times New Roman" w:hAnsi="Times New Roman"/>
                <w:i/>
                <w:sz w:val="20"/>
                <w:szCs w:val="20"/>
              </w:rPr>
              <w:t>ПО</w:t>
            </w:r>
            <w:r w:rsidRPr="00B0658A">
              <w:rPr>
                <w:rFonts w:ascii="Times New Roman" w:hAnsi="Times New Roman"/>
                <w:i/>
                <w:sz w:val="20"/>
                <w:szCs w:val="20"/>
              </w:rPr>
              <w:t xml:space="preserve">, используемого на </w:t>
            </w:r>
            <w:r w:rsidR="00503B76" w:rsidRPr="00B0658A">
              <w:rPr>
                <w:rFonts w:ascii="Times New Roman" w:hAnsi="Times New Roman"/>
                <w:i/>
                <w:sz w:val="20"/>
                <w:szCs w:val="20"/>
              </w:rPr>
              <w:t>значимом объекте</w:t>
            </w:r>
            <w:r w:rsidRPr="00B0658A">
              <w:rPr>
                <w:rFonts w:ascii="Times New Roman" w:hAnsi="Times New Roman"/>
                <w:i/>
                <w:sz w:val="20"/>
                <w:szCs w:val="20"/>
              </w:rPr>
              <w:t xml:space="preserve"> КИИ № </w:t>
            </w:r>
            <w:r w:rsidRPr="00B0658A">
              <w:rPr>
                <w:rFonts w:ascii="Times New Roman" w:hAnsi="Times New Roman"/>
                <w:i/>
                <w:sz w:val="20"/>
                <w:szCs w:val="20"/>
                <w:lang w:val="en-US"/>
              </w:rPr>
              <w:t>N</w:t>
            </w:r>
            <w:r w:rsidRPr="00B0658A">
              <w:rPr>
                <w:rFonts w:ascii="Times New Roman" w:hAnsi="Times New Roman"/>
                <w:i/>
                <w:sz w:val="20"/>
                <w:szCs w:val="20"/>
              </w:rPr>
              <w:t xml:space="preserve"> в соответствии с приказом Минцифры России от 22 сентября 2020 г. № 486)</w:t>
            </w:r>
          </w:p>
        </w:tc>
        <w:tc>
          <w:tcPr>
            <w:tcW w:w="844" w:type="pct"/>
          </w:tcPr>
          <w:p w14:paraId="5120C6DD" w14:textId="77777777" w:rsidR="00AA11F5" w:rsidRPr="00B0658A" w:rsidRDefault="00AA11F5" w:rsidP="00004A41">
            <w:pPr>
              <w:spacing w:after="0" w:line="240" w:lineRule="auto"/>
              <w:rPr>
                <w:rFonts w:ascii="Times New Roman" w:hAnsi="Times New Roman"/>
                <w:sz w:val="20"/>
                <w:szCs w:val="20"/>
              </w:rPr>
            </w:pPr>
          </w:p>
        </w:tc>
        <w:tc>
          <w:tcPr>
            <w:tcW w:w="844" w:type="pct"/>
            <w:shd w:val="clear" w:color="000000" w:fill="FFFFFF"/>
          </w:tcPr>
          <w:p w14:paraId="7179FEB3" w14:textId="77777777" w:rsidR="00AA11F5" w:rsidRPr="00B0658A" w:rsidRDefault="002B2CDC" w:rsidP="00004A41">
            <w:pPr>
              <w:spacing w:after="0" w:line="240" w:lineRule="auto"/>
              <w:rPr>
                <w:rFonts w:ascii="Times New Roman" w:hAnsi="Times New Roman"/>
                <w:sz w:val="20"/>
                <w:szCs w:val="20"/>
              </w:rPr>
            </w:pPr>
            <w:r w:rsidRPr="00B0658A">
              <w:rPr>
                <w:rFonts w:ascii="Times New Roman" w:hAnsi="Times New Roman"/>
                <w:sz w:val="20"/>
                <w:szCs w:val="20"/>
              </w:rPr>
              <w:t xml:space="preserve">Доля используемого российского ПО и евразийского ПО, используемого на значимом объекте КИИ, </w:t>
            </w:r>
            <w:r w:rsidRPr="00B0658A">
              <w:rPr>
                <w:rFonts w:ascii="Times New Roman" w:hAnsi="Times New Roman"/>
                <w:sz w:val="20"/>
                <w:szCs w:val="20"/>
              </w:rPr>
              <w:lastRenderedPageBreak/>
              <w:t>в общем объёме используемого ПО на таком объекте, %</w:t>
            </w:r>
          </w:p>
        </w:tc>
        <w:tc>
          <w:tcPr>
            <w:tcW w:w="320" w:type="pct"/>
            <w:shd w:val="clear" w:color="000000" w:fill="FFFFFF"/>
            <w:vAlign w:val="center"/>
          </w:tcPr>
          <w:p w14:paraId="702D00E0" w14:textId="77777777" w:rsidR="00AA11F5" w:rsidRPr="00B0658A" w:rsidRDefault="00AA11F5" w:rsidP="00004A41">
            <w:pPr>
              <w:spacing w:after="0" w:line="240" w:lineRule="auto"/>
              <w:jc w:val="center"/>
              <w:rPr>
                <w:rFonts w:ascii="Times New Roman" w:hAnsi="Times New Roman"/>
                <w:sz w:val="20"/>
                <w:szCs w:val="20"/>
              </w:rPr>
            </w:pPr>
          </w:p>
        </w:tc>
        <w:tc>
          <w:tcPr>
            <w:tcW w:w="320" w:type="pct"/>
            <w:shd w:val="clear" w:color="000000" w:fill="FFFFFF"/>
            <w:vAlign w:val="center"/>
          </w:tcPr>
          <w:p w14:paraId="0987884A" w14:textId="77777777" w:rsidR="00AA11F5" w:rsidRPr="00B0658A" w:rsidRDefault="00AA11F5" w:rsidP="00004A41">
            <w:pPr>
              <w:spacing w:after="0" w:line="240" w:lineRule="auto"/>
              <w:jc w:val="center"/>
              <w:rPr>
                <w:rFonts w:ascii="Times New Roman" w:hAnsi="Times New Roman"/>
                <w:sz w:val="20"/>
                <w:szCs w:val="20"/>
              </w:rPr>
            </w:pPr>
          </w:p>
        </w:tc>
        <w:tc>
          <w:tcPr>
            <w:tcW w:w="320" w:type="pct"/>
            <w:shd w:val="clear" w:color="000000" w:fill="FFFFFF"/>
            <w:vAlign w:val="center"/>
          </w:tcPr>
          <w:p w14:paraId="2F843C8D" w14:textId="77777777" w:rsidR="00AA11F5" w:rsidRPr="00B0658A" w:rsidRDefault="00AA11F5" w:rsidP="00004A41">
            <w:pPr>
              <w:spacing w:after="0" w:line="240" w:lineRule="auto"/>
              <w:jc w:val="center"/>
              <w:rPr>
                <w:rFonts w:ascii="Times New Roman" w:hAnsi="Times New Roman"/>
                <w:sz w:val="20"/>
                <w:szCs w:val="20"/>
              </w:rPr>
            </w:pPr>
          </w:p>
        </w:tc>
        <w:tc>
          <w:tcPr>
            <w:tcW w:w="320" w:type="pct"/>
            <w:shd w:val="clear" w:color="000000" w:fill="FFFFFF"/>
            <w:vAlign w:val="center"/>
          </w:tcPr>
          <w:p w14:paraId="7F13B380" w14:textId="77777777" w:rsidR="00AA11F5" w:rsidRPr="00B0658A" w:rsidRDefault="00AA11F5" w:rsidP="00004A41">
            <w:pPr>
              <w:spacing w:after="0" w:line="240" w:lineRule="auto"/>
              <w:jc w:val="center"/>
              <w:rPr>
                <w:rFonts w:ascii="Times New Roman" w:hAnsi="Times New Roman"/>
                <w:sz w:val="20"/>
                <w:szCs w:val="20"/>
              </w:rPr>
            </w:pPr>
          </w:p>
        </w:tc>
        <w:tc>
          <w:tcPr>
            <w:tcW w:w="518" w:type="pct"/>
            <w:shd w:val="clear" w:color="000000" w:fill="FFFFFF"/>
            <w:vAlign w:val="center"/>
          </w:tcPr>
          <w:p w14:paraId="31DA443D" w14:textId="77777777" w:rsidR="00AA11F5" w:rsidRPr="00B0658A" w:rsidRDefault="00AA11F5" w:rsidP="00004A41">
            <w:pPr>
              <w:spacing w:after="0" w:line="240" w:lineRule="auto"/>
              <w:jc w:val="center"/>
              <w:rPr>
                <w:rFonts w:ascii="Times New Roman" w:hAnsi="Times New Roman"/>
                <w:sz w:val="20"/>
                <w:szCs w:val="20"/>
              </w:rPr>
            </w:pPr>
          </w:p>
        </w:tc>
      </w:tr>
      <w:tr w:rsidR="00F52FED" w:rsidRPr="00B0658A" w14:paraId="4F12AB3B" w14:textId="77777777" w:rsidTr="00B65953">
        <w:trPr>
          <w:trHeight w:val="20"/>
        </w:trPr>
        <w:tc>
          <w:tcPr>
            <w:tcW w:w="278" w:type="pct"/>
            <w:shd w:val="clear" w:color="000000" w:fill="FFFFFF"/>
            <w:vAlign w:val="center"/>
          </w:tcPr>
          <w:p w14:paraId="3A79B9DD" w14:textId="77777777" w:rsidR="00AA11F5" w:rsidRPr="00B0658A" w:rsidRDefault="00AA11F5" w:rsidP="00004A41">
            <w:pPr>
              <w:spacing w:after="0" w:line="240" w:lineRule="auto"/>
              <w:jc w:val="center"/>
              <w:rPr>
                <w:rFonts w:ascii="Times New Roman" w:hAnsi="Times New Roman"/>
                <w:sz w:val="20"/>
                <w:szCs w:val="20"/>
              </w:rPr>
            </w:pPr>
            <w:r w:rsidRPr="00B0658A">
              <w:rPr>
                <w:rFonts w:ascii="Times New Roman" w:hAnsi="Times New Roman"/>
                <w:sz w:val="20"/>
                <w:szCs w:val="20"/>
                <w:lang w:val="en-US"/>
              </w:rPr>
              <w:t>N</w:t>
            </w:r>
            <w:r w:rsidRPr="00B0658A">
              <w:rPr>
                <w:rFonts w:ascii="Times New Roman" w:hAnsi="Times New Roman"/>
                <w:sz w:val="20"/>
                <w:szCs w:val="20"/>
              </w:rPr>
              <w:t>.2</w:t>
            </w:r>
          </w:p>
        </w:tc>
        <w:tc>
          <w:tcPr>
            <w:tcW w:w="1237" w:type="pct"/>
            <w:shd w:val="clear" w:color="auto" w:fill="auto"/>
            <w:vAlign w:val="center"/>
          </w:tcPr>
          <w:p w14:paraId="6ADC1957" w14:textId="77777777" w:rsidR="00AA11F5" w:rsidRPr="00B0658A" w:rsidRDefault="00AA11F5" w:rsidP="00004A41">
            <w:pPr>
              <w:spacing w:after="0" w:line="240" w:lineRule="auto"/>
              <w:rPr>
                <w:rFonts w:ascii="Times New Roman" w:hAnsi="Times New Roman"/>
                <w:i/>
                <w:sz w:val="20"/>
                <w:szCs w:val="20"/>
              </w:rPr>
            </w:pPr>
            <w:r w:rsidRPr="00B0658A">
              <w:rPr>
                <w:rFonts w:ascii="Times New Roman" w:hAnsi="Times New Roman"/>
                <w:i/>
                <w:sz w:val="20"/>
                <w:szCs w:val="20"/>
              </w:rPr>
              <w:t xml:space="preserve">Указывается класс (тип) №2 </w:t>
            </w:r>
            <w:r w:rsidR="00A04AFF" w:rsidRPr="00B0658A">
              <w:rPr>
                <w:rFonts w:ascii="Times New Roman" w:hAnsi="Times New Roman"/>
                <w:i/>
                <w:sz w:val="20"/>
                <w:szCs w:val="20"/>
              </w:rPr>
              <w:t>ПО</w:t>
            </w:r>
            <w:r w:rsidRPr="00B0658A">
              <w:rPr>
                <w:rFonts w:ascii="Times New Roman" w:hAnsi="Times New Roman"/>
                <w:i/>
                <w:sz w:val="20"/>
                <w:szCs w:val="20"/>
              </w:rPr>
              <w:t xml:space="preserve">, используемого на </w:t>
            </w:r>
            <w:r w:rsidR="00503B76" w:rsidRPr="00B0658A">
              <w:rPr>
                <w:rFonts w:ascii="Times New Roman" w:hAnsi="Times New Roman"/>
                <w:i/>
                <w:sz w:val="20"/>
                <w:szCs w:val="20"/>
              </w:rPr>
              <w:t>значимом объекте</w:t>
            </w:r>
            <w:r w:rsidRPr="00B0658A">
              <w:rPr>
                <w:rFonts w:ascii="Times New Roman" w:hAnsi="Times New Roman"/>
                <w:i/>
                <w:sz w:val="20"/>
                <w:szCs w:val="20"/>
              </w:rPr>
              <w:t xml:space="preserve"> КИИ № </w:t>
            </w:r>
            <w:r w:rsidRPr="00B0658A">
              <w:rPr>
                <w:rFonts w:ascii="Times New Roman" w:hAnsi="Times New Roman"/>
                <w:i/>
                <w:sz w:val="20"/>
                <w:szCs w:val="20"/>
                <w:lang w:val="en-US"/>
              </w:rPr>
              <w:t>N</w:t>
            </w:r>
            <w:r w:rsidRPr="00B0658A">
              <w:rPr>
                <w:rFonts w:ascii="Times New Roman" w:hAnsi="Times New Roman"/>
                <w:i/>
                <w:sz w:val="20"/>
                <w:szCs w:val="20"/>
              </w:rPr>
              <w:t xml:space="preserve"> в соответствии с приказом Минцифры России от 22 сентября 2020 г. № 486)</w:t>
            </w:r>
          </w:p>
        </w:tc>
        <w:tc>
          <w:tcPr>
            <w:tcW w:w="844" w:type="pct"/>
          </w:tcPr>
          <w:p w14:paraId="18C51871" w14:textId="77777777" w:rsidR="00AA11F5" w:rsidRPr="00B0658A" w:rsidRDefault="00AA11F5" w:rsidP="00004A41">
            <w:pPr>
              <w:spacing w:after="0" w:line="240" w:lineRule="auto"/>
              <w:rPr>
                <w:rFonts w:ascii="Times New Roman" w:hAnsi="Times New Roman"/>
                <w:sz w:val="20"/>
                <w:szCs w:val="20"/>
              </w:rPr>
            </w:pPr>
          </w:p>
        </w:tc>
        <w:tc>
          <w:tcPr>
            <w:tcW w:w="844" w:type="pct"/>
            <w:shd w:val="clear" w:color="000000" w:fill="FFFFFF"/>
          </w:tcPr>
          <w:p w14:paraId="5C476803" w14:textId="77777777" w:rsidR="00AA11F5" w:rsidRPr="00B0658A" w:rsidRDefault="002B2CDC" w:rsidP="00004A41">
            <w:pPr>
              <w:spacing w:after="0" w:line="240" w:lineRule="auto"/>
              <w:rPr>
                <w:rFonts w:ascii="Times New Roman" w:hAnsi="Times New Roman"/>
                <w:sz w:val="20"/>
                <w:szCs w:val="20"/>
              </w:rPr>
            </w:pPr>
            <w:r w:rsidRPr="00B0658A">
              <w:rPr>
                <w:rFonts w:ascii="Times New Roman" w:hAnsi="Times New Roman"/>
                <w:sz w:val="20"/>
                <w:szCs w:val="20"/>
              </w:rPr>
              <w:t>Доля используемого российского ПО и евразийского ПО, используемого на значимом объекте КИИ, в общем объёме используемого ПО на таком объекте, %</w:t>
            </w:r>
          </w:p>
        </w:tc>
        <w:tc>
          <w:tcPr>
            <w:tcW w:w="320" w:type="pct"/>
            <w:shd w:val="clear" w:color="000000" w:fill="FFFFFF"/>
            <w:vAlign w:val="center"/>
          </w:tcPr>
          <w:p w14:paraId="3A6E2770" w14:textId="77777777" w:rsidR="00AA11F5" w:rsidRPr="00B0658A" w:rsidRDefault="00AA11F5" w:rsidP="00004A41">
            <w:pPr>
              <w:spacing w:after="0" w:line="240" w:lineRule="auto"/>
              <w:jc w:val="center"/>
              <w:rPr>
                <w:rFonts w:ascii="Times New Roman" w:hAnsi="Times New Roman"/>
                <w:sz w:val="20"/>
                <w:szCs w:val="20"/>
              </w:rPr>
            </w:pPr>
          </w:p>
        </w:tc>
        <w:tc>
          <w:tcPr>
            <w:tcW w:w="320" w:type="pct"/>
            <w:shd w:val="clear" w:color="000000" w:fill="FFFFFF"/>
            <w:vAlign w:val="center"/>
          </w:tcPr>
          <w:p w14:paraId="2EEBC031" w14:textId="77777777" w:rsidR="00AA11F5" w:rsidRPr="00B0658A" w:rsidRDefault="00AA11F5" w:rsidP="00004A41">
            <w:pPr>
              <w:spacing w:after="0" w:line="240" w:lineRule="auto"/>
              <w:jc w:val="center"/>
              <w:rPr>
                <w:rFonts w:ascii="Times New Roman" w:hAnsi="Times New Roman"/>
                <w:sz w:val="20"/>
                <w:szCs w:val="20"/>
              </w:rPr>
            </w:pPr>
          </w:p>
        </w:tc>
        <w:tc>
          <w:tcPr>
            <w:tcW w:w="320" w:type="pct"/>
            <w:shd w:val="clear" w:color="000000" w:fill="FFFFFF"/>
            <w:vAlign w:val="center"/>
          </w:tcPr>
          <w:p w14:paraId="2538DCBD" w14:textId="77777777" w:rsidR="00AA11F5" w:rsidRPr="00B0658A" w:rsidRDefault="00AA11F5" w:rsidP="00004A41">
            <w:pPr>
              <w:spacing w:after="0" w:line="240" w:lineRule="auto"/>
              <w:jc w:val="center"/>
              <w:rPr>
                <w:rFonts w:ascii="Times New Roman" w:hAnsi="Times New Roman"/>
                <w:sz w:val="20"/>
                <w:szCs w:val="20"/>
              </w:rPr>
            </w:pPr>
          </w:p>
        </w:tc>
        <w:tc>
          <w:tcPr>
            <w:tcW w:w="320" w:type="pct"/>
            <w:shd w:val="clear" w:color="000000" w:fill="FFFFFF"/>
            <w:vAlign w:val="center"/>
          </w:tcPr>
          <w:p w14:paraId="1178F656" w14:textId="77777777" w:rsidR="00AA11F5" w:rsidRPr="00B0658A" w:rsidRDefault="00AA11F5" w:rsidP="00004A41">
            <w:pPr>
              <w:spacing w:after="0" w:line="240" w:lineRule="auto"/>
              <w:jc w:val="center"/>
              <w:rPr>
                <w:rFonts w:ascii="Times New Roman" w:hAnsi="Times New Roman"/>
                <w:sz w:val="20"/>
                <w:szCs w:val="20"/>
              </w:rPr>
            </w:pPr>
          </w:p>
        </w:tc>
        <w:tc>
          <w:tcPr>
            <w:tcW w:w="518" w:type="pct"/>
            <w:shd w:val="clear" w:color="000000" w:fill="FFFFFF"/>
            <w:vAlign w:val="center"/>
          </w:tcPr>
          <w:p w14:paraId="688EF324" w14:textId="77777777" w:rsidR="00AA11F5" w:rsidRPr="00B0658A" w:rsidRDefault="00AA11F5" w:rsidP="00004A41">
            <w:pPr>
              <w:spacing w:after="0" w:line="240" w:lineRule="auto"/>
              <w:jc w:val="center"/>
              <w:rPr>
                <w:rFonts w:ascii="Times New Roman" w:hAnsi="Times New Roman"/>
                <w:sz w:val="20"/>
                <w:szCs w:val="20"/>
              </w:rPr>
            </w:pPr>
          </w:p>
        </w:tc>
      </w:tr>
      <w:tr w:rsidR="00F52FED" w:rsidRPr="00B0658A" w14:paraId="22C56E49" w14:textId="77777777" w:rsidTr="00B65953">
        <w:trPr>
          <w:trHeight w:val="20"/>
        </w:trPr>
        <w:tc>
          <w:tcPr>
            <w:tcW w:w="278" w:type="pct"/>
            <w:shd w:val="clear" w:color="000000" w:fill="FFFFFF"/>
            <w:vAlign w:val="center"/>
          </w:tcPr>
          <w:p w14:paraId="1A3FD9A4" w14:textId="77777777" w:rsidR="00AA11F5" w:rsidRPr="00B0658A" w:rsidRDefault="00AA11F5" w:rsidP="00004A41">
            <w:pPr>
              <w:spacing w:after="0" w:line="240" w:lineRule="auto"/>
              <w:jc w:val="center"/>
              <w:rPr>
                <w:rFonts w:ascii="Times New Roman" w:hAnsi="Times New Roman"/>
                <w:sz w:val="20"/>
                <w:szCs w:val="20"/>
              </w:rPr>
            </w:pPr>
            <w:r w:rsidRPr="00B0658A">
              <w:rPr>
                <w:rFonts w:ascii="Times New Roman" w:hAnsi="Times New Roman"/>
                <w:sz w:val="20"/>
                <w:szCs w:val="20"/>
              </w:rPr>
              <w:t>…</w:t>
            </w:r>
          </w:p>
        </w:tc>
        <w:tc>
          <w:tcPr>
            <w:tcW w:w="1237" w:type="pct"/>
            <w:shd w:val="clear" w:color="auto" w:fill="auto"/>
            <w:vAlign w:val="center"/>
          </w:tcPr>
          <w:p w14:paraId="1E8D2EF0" w14:textId="77777777" w:rsidR="00AA11F5" w:rsidRPr="00B0658A" w:rsidRDefault="00AA11F5" w:rsidP="00004A41">
            <w:pPr>
              <w:spacing w:after="0" w:line="240" w:lineRule="auto"/>
              <w:rPr>
                <w:rFonts w:ascii="Times New Roman" w:hAnsi="Times New Roman"/>
                <w:i/>
                <w:sz w:val="20"/>
                <w:szCs w:val="20"/>
              </w:rPr>
            </w:pPr>
            <w:r w:rsidRPr="00B0658A">
              <w:rPr>
                <w:rFonts w:ascii="Times New Roman" w:hAnsi="Times New Roman"/>
                <w:i/>
                <w:sz w:val="20"/>
                <w:szCs w:val="20"/>
              </w:rPr>
              <w:t>…</w:t>
            </w:r>
          </w:p>
        </w:tc>
        <w:tc>
          <w:tcPr>
            <w:tcW w:w="844" w:type="pct"/>
          </w:tcPr>
          <w:p w14:paraId="294E762B" w14:textId="77777777" w:rsidR="00AA11F5" w:rsidRPr="00B0658A" w:rsidRDefault="00AA11F5" w:rsidP="00004A41">
            <w:pPr>
              <w:spacing w:after="0" w:line="240" w:lineRule="auto"/>
              <w:rPr>
                <w:rFonts w:ascii="Times New Roman" w:hAnsi="Times New Roman"/>
                <w:sz w:val="20"/>
                <w:szCs w:val="20"/>
              </w:rPr>
            </w:pPr>
          </w:p>
        </w:tc>
        <w:tc>
          <w:tcPr>
            <w:tcW w:w="844" w:type="pct"/>
            <w:shd w:val="clear" w:color="000000" w:fill="FFFFFF"/>
          </w:tcPr>
          <w:p w14:paraId="42182650" w14:textId="77777777" w:rsidR="00AA11F5" w:rsidRPr="00B0658A" w:rsidRDefault="00AA11F5" w:rsidP="00004A41">
            <w:pPr>
              <w:spacing w:after="0" w:line="240" w:lineRule="auto"/>
              <w:rPr>
                <w:rFonts w:ascii="Times New Roman" w:hAnsi="Times New Roman"/>
                <w:sz w:val="20"/>
                <w:szCs w:val="20"/>
              </w:rPr>
            </w:pPr>
            <w:r w:rsidRPr="00B0658A">
              <w:rPr>
                <w:rFonts w:ascii="Times New Roman" w:hAnsi="Times New Roman"/>
                <w:sz w:val="20"/>
                <w:szCs w:val="20"/>
              </w:rPr>
              <w:t>…...</w:t>
            </w:r>
          </w:p>
        </w:tc>
        <w:tc>
          <w:tcPr>
            <w:tcW w:w="320" w:type="pct"/>
            <w:shd w:val="clear" w:color="000000" w:fill="FFFFFF"/>
            <w:vAlign w:val="center"/>
          </w:tcPr>
          <w:p w14:paraId="3382AAF9" w14:textId="77777777" w:rsidR="00AA11F5" w:rsidRPr="00B0658A" w:rsidRDefault="00AA11F5" w:rsidP="00004A41">
            <w:pPr>
              <w:spacing w:after="0" w:line="240" w:lineRule="auto"/>
              <w:jc w:val="center"/>
              <w:rPr>
                <w:rFonts w:ascii="Times New Roman" w:hAnsi="Times New Roman"/>
                <w:sz w:val="20"/>
                <w:szCs w:val="20"/>
              </w:rPr>
            </w:pPr>
          </w:p>
        </w:tc>
        <w:tc>
          <w:tcPr>
            <w:tcW w:w="320" w:type="pct"/>
            <w:shd w:val="clear" w:color="000000" w:fill="FFFFFF"/>
            <w:vAlign w:val="center"/>
          </w:tcPr>
          <w:p w14:paraId="36E5D91E" w14:textId="77777777" w:rsidR="00AA11F5" w:rsidRPr="00B0658A" w:rsidRDefault="00AA11F5" w:rsidP="00004A41">
            <w:pPr>
              <w:spacing w:after="0" w:line="240" w:lineRule="auto"/>
              <w:jc w:val="center"/>
              <w:rPr>
                <w:rFonts w:ascii="Times New Roman" w:hAnsi="Times New Roman"/>
                <w:sz w:val="20"/>
                <w:szCs w:val="20"/>
              </w:rPr>
            </w:pPr>
          </w:p>
        </w:tc>
        <w:tc>
          <w:tcPr>
            <w:tcW w:w="320" w:type="pct"/>
            <w:shd w:val="clear" w:color="000000" w:fill="FFFFFF"/>
            <w:vAlign w:val="center"/>
          </w:tcPr>
          <w:p w14:paraId="2AC71264" w14:textId="77777777" w:rsidR="00AA11F5" w:rsidRPr="00B0658A" w:rsidRDefault="00AA11F5" w:rsidP="00004A41">
            <w:pPr>
              <w:spacing w:after="0" w:line="240" w:lineRule="auto"/>
              <w:jc w:val="center"/>
              <w:rPr>
                <w:rFonts w:ascii="Times New Roman" w:hAnsi="Times New Roman"/>
                <w:sz w:val="20"/>
                <w:szCs w:val="20"/>
              </w:rPr>
            </w:pPr>
          </w:p>
        </w:tc>
        <w:tc>
          <w:tcPr>
            <w:tcW w:w="320" w:type="pct"/>
            <w:shd w:val="clear" w:color="000000" w:fill="FFFFFF"/>
            <w:vAlign w:val="center"/>
          </w:tcPr>
          <w:p w14:paraId="32194C8A" w14:textId="77777777" w:rsidR="00AA11F5" w:rsidRPr="00B0658A" w:rsidRDefault="00AA11F5" w:rsidP="00004A41">
            <w:pPr>
              <w:spacing w:after="0" w:line="240" w:lineRule="auto"/>
              <w:jc w:val="center"/>
              <w:rPr>
                <w:rFonts w:ascii="Times New Roman" w:hAnsi="Times New Roman"/>
                <w:sz w:val="20"/>
                <w:szCs w:val="20"/>
              </w:rPr>
            </w:pPr>
          </w:p>
        </w:tc>
        <w:tc>
          <w:tcPr>
            <w:tcW w:w="518" w:type="pct"/>
            <w:shd w:val="clear" w:color="000000" w:fill="FFFFFF"/>
            <w:vAlign w:val="center"/>
          </w:tcPr>
          <w:p w14:paraId="0F9A052E" w14:textId="77777777" w:rsidR="00AA11F5" w:rsidRPr="00B0658A" w:rsidRDefault="00AA11F5" w:rsidP="00004A41">
            <w:pPr>
              <w:spacing w:after="0" w:line="240" w:lineRule="auto"/>
              <w:jc w:val="center"/>
              <w:rPr>
                <w:rFonts w:ascii="Times New Roman" w:hAnsi="Times New Roman"/>
                <w:sz w:val="20"/>
                <w:szCs w:val="20"/>
              </w:rPr>
            </w:pPr>
          </w:p>
        </w:tc>
      </w:tr>
      <w:tr w:rsidR="00F52FED" w:rsidRPr="00B0658A" w14:paraId="4125A2E2" w14:textId="77777777" w:rsidTr="00B65953">
        <w:trPr>
          <w:trHeight w:val="20"/>
        </w:trPr>
        <w:tc>
          <w:tcPr>
            <w:tcW w:w="278" w:type="pct"/>
            <w:shd w:val="clear" w:color="000000" w:fill="FFFFFF"/>
            <w:vAlign w:val="center"/>
          </w:tcPr>
          <w:p w14:paraId="0B249F52" w14:textId="77777777" w:rsidR="00AA11F5" w:rsidRPr="00B0658A" w:rsidRDefault="00AA11F5" w:rsidP="00004A41">
            <w:pPr>
              <w:spacing w:after="0" w:line="240" w:lineRule="auto"/>
              <w:jc w:val="center"/>
              <w:rPr>
                <w:rFonts w:ascii="Times New Roman" w:hAnsi="Times New Roman"/>
                <w:sz w:val="20"/>
                <w:szCs w:val="20"/>
              </w:rPr>
            </w:pPr>
            <w:r w:rsidRPr="00B0658A">
              <w:rPr>
                <w:rFonts w:ascii="Times New Roman" w:hAnsi="Times New Roman"/>
                <w:sz w:val="20"/>
                <w:szCs w:val="20"/>
                <w:lang w:val="en-US"/>
              </w:rPr>
              <w:t>N</w:t>
            </w:r>
            <w:r w:rsidRPr="00B0658A">
              <w:rPr>
                <w:rFonts w:ascii="Times New Roman" w:hAnsi="Times New Roman"/>
                <w:sz w:val="20"/>
                <w:szCs w:val="20"/>
              </w:rPr>
              <w:t>.</w:t>
            </w:r>
            <w:r w:rsidRPr="00B0658A">
              <w:rPr>
                <w:rFonts w:ascii="Times New Roman" w:hAnsi="Times New Roman"/>
                <w:sz w:val="20"/>
                <w:szCs w:val="20"/>
                <w:lang w:val="en-US"/>
              </w:rPr>
              <w:t>n</w:t>
            </w:r>
          </w:p>
        </w:tc>
        <w:tc>
          <w:tcPr>
            <w:tcW w:w="1237" w:type="pct"/>
            <w:shd w:val="clear" w:color="auto" w:fill="auto"/>
            <w:vAlign w:val="center"/>
          </w:tcPr>
          <w:p w14:paraId="1700B421" w14:textId="77777777" w:rsidR="00AA11F5" w:rsidRPr="00B0658A" w:rsidRDefault="00AA11F5" w:rsidP="00004A41">
            <w:pPr>
              <w:spacing w:after="0" w:line="240" w:lineRule="auto"/>
              <w:rPr>
                <w:rFonts w:ascii="Times New Roman" w:hAnsi="Times New Roman"/>
                <w:i/>
                <w:sz w:val="20"/>
                <w:szCs w:val="20"/>
              </w:rPr>
            </w:pPr>
            <w:r w:rsidRPr="00B0658A">
              <w:rPr>
                <w:rFonts w:ascii="Times New Roman" w:hAnsi="Times New Roman"/>
                <w:i/>
                <w:sz w:val="20"/>
                <w:szCs w:val="20"/>
              </w:rPr>
              <w:t>Указывается класс (тип) №</w:t>
            </w:r>
            <w:r w:rsidRPr="00B0658A">
              <w:rPr>
                <w:rFonts w:ascii="Times New Roman" w:hAnsi="Times New Roman"/>
                <w:i/>
                <w:sz w:val="20"/>
                <w:szCs w:val="20"/>
                <w:lang w:val="en-US"/>
              </w:rPr>
              <w:t>n</w:t>
            </w:r>
            <w:r w:rsidRPr="00B0658A">
              <w:rPr>
                <w:rFonts w:ascii="Times New Roman" w:hAnsi="Times New Roman"/>
                <w:i/>
                <w:sz w:val="20"/>
                <w:szCs w:val="20"/>
              </w:rPr>
              <w:t xml:space="preserve"> </w:t>
            </w:r>
            <w:r w:rsidR="00A04AFF" w:rsidRPr="00B0658A">
              <w:rPr>
                <w:rFonts w:ascii="Times New Roman" w:hAnsi="Times New Roman"/>
                <w:i/>
                <w:sz w:val="20"/>
                <w:szCs w:val="20"/>
              </w:rPr>
              <w:t>ПО</w:t>
            </w:r>
            <w:r w:rsidRPr="00B0658A">
              <w:rPr>
                <w:rFonts w:ascii="Times New Roman" w:hAnsi="Times New Roman"/>
                <w:i/>
                <w:sz w:val="20"/>
                <w:szCs w:val="20"/>
              </w:rPr>
              <w:t xml:space="preserve">, используемого на </w:t>
            </w:r>
            <w:r w:rsidR="00503B76" w:rsidRPr="00B0658A">
              <w:rPr>
                <w:rFonts w:ascii="Times New Roman" w:hAnsi="Times New Roman"/>
                <w:i/>
                <w:sz w:val="20"/>
                <w:szCs w:val="20"/>
              </w:rPr>
              <w:t>значимом объекте</w:t>
            </w:r>
            <w:r w:rsidRPr="00B0658A">
              <w:rPr>
                <w:rFonts w:ascii="Times New Roman" w:hAnsi="Times New Roman"/>
                <w:i/>
                <w:sz w:val="20"/>
                <w:szCs w:val="20"/>
              </w:rPr>
              <w:t xml:space="preserve"> КИИ № </w:t>
            </w:r>
            <w:r w:rsidRPr="00B0658A">
              <w:rPr>
                <w:rFonts w:ascii="Times New Roman" w:hAnsi="Times New Roman"/>
                <w:i/>
                <w:sz w:val="20"/>
                <w:szCs w:val="20"/>
                <w:lang w:val="en-US"/>
              </w:rPr>
              <w:t>N</w:t>
            </w:r>
            <w:r w:rsidRPr="00B0658A">
              <w:rPr>
                <w:rFonts w:ascii="Times New Roman" w:hAnsi="Times New Roman"/>
                <w:i/>
                <w:sz w:val="20"/>
                <w:szCs w:val="20"/>
              </w:rPr>
              <w:t xml:space="preserve"> в соответствии с приказом Минцифры России от 22 сентября 2020 г. № 486)</w:t>
            </w:r>
          </w:p>
        </w:tc>
        <w:tc>
          <w:tcPr>
            <w:tcW w:w="844" w:type="pct"/>
          </w:tcPr>
          <w:p w14:paraId="110B1754" w14:textId="77777777" w:rsidR="00AA11F5" w:rsidRPr="00B0658A" w:rsidRDefault="00AA11F5" w:rsidP="00004A41">
            <w:pPr>
              <w:spacing w:after="0" w:line="240" w:lineRule="auto"/>
              <w:rPr>
                <w:rFonts w:ascii="Times New Roman" w:hAnsi="Times New Roman"/>
                <w:sz w:val="20"/>
                <w:szCs w:val="20"/>
              </w:rPr>
            </w:pPr>
          </w:p>
        </w:tc>
        <w:tc>
          <w:tcPr>
            <w:tcW w:w="844" w:type="pct"/>
            <w:shd w:val="clear" w:color="000000" w:fill="FFFFFF"/>
          </w:tcPr>
          <w:p w14:paraId="718AB3F9" w14:textId="77777777" w:rsidR="00AA11F5" w:rsidRPr="00B0658A" w:rsidRDefault="002B2CDC" w:rsidP="00004A41">
            <w:pPr>
              <w:spacing w:after="0" w:line="240" w:lineRule="auto"/>
              <w:rPr>
                <w:rFonts w:ascii="Times New Roman" w:hAnsi="Times New Roman"/>
                <w:sz w:val="20"/>
                <w:szCs w:val="20"/>
              </w:rPr>
            </w:pPr>
            <w:r w:rsidRPr="00B0658A">
              <w:rPr>
                <w:rFonts w:ascii="Times New Roman" w:hAnsi="Times New Roman"/>
                <w:sz w:val="20"/>
                <w:szCs w:val="20"/>
              </w:rPr>
              <w:t>Доля используемого российского ПО и евразийского ПО, используемого на значимом объекте КИИ, в общем объёме используемого ПО на таком объекте, %</w:t>
            </w:r>
          </w:p>
        </w:tc>
        <w:tc>
          <w:tcPr>
            <w:tcW w:w="320" w:type="pct"/>
            <w:shd w:val="clear" w:color="000000" w:fill="FFFFFF"/>
            <w:vAlign w:val="center"/>
          </w:tcPr>
          <w:p w14:paraId="71275C14" w14:textId="77777777" w:rsidR="00AA11F5" w:rsidRPr="00B0658A" w:rsidRDefault="00AA11F5" w:rsidP="00004A41">
            <w:pPr>
              <w:spacing w:after="0" w:line="240" w:lineRule="auto"/>
              <w:jc w:val="center"/>
              <w:rPr>
                <w:rFonts w:ascii="Times New Roman" w:hAnsi="Times New Roman"/>
                <w:sz w:val="20"/>
                <w:szCs w:val="20"/>
              </w:rPr>
            </w:pPr>
          </w:p>
        </w:tc>
        <w:tc>
          <w:tcPr>
            <w:tcW w:w="320" w:type="pct"/>
            <w:shd w:val="clear" w:color="000000" w:fill="FFFFFF"/>
            <w:vAlign w:val="center"/>
          </w:tcPr>
          <w:p w14:paraId="0E045897" w14:textId="77777777" w:rsidR="00AA11F5" w:rsidRPr="00B0658A" w:rsidRDefault="00AA11F5" w:rsidP="00004A41">
            <w:pPr>
              <w:spacing w:after="0" w:line="240" w:lineRule="auto"/>
              <w:jc w:val="center"/>
              <w:rPr>
                <w:rFonts w:ascii="Times New Roman" w:hAnsi="Times New Roman"/>
                <w:sz w:val="20"/>
                <w:szCs w:val="20"/>
              </w:rPr>
            </w:pPr>
          </w:p>
        </w:tc>
        <w:tc>
          <w:tcPr>
            <w:tcW w:w="320" w:type="pct"/>
            <w:shd w:val="clear" w:color="000000" w:fill="FFFFFF"/>
            <w:vAlign w:val="center"/>
          </w:tcPr>
          <w:p w14:paraId="57C74CEE" w14:textId="77777777" w:rsidR="00AA11F5" w:rsidRPr="00B0658A" w:rsidRDefault="00AA11F5" w:rsidP="00004A41">
            <w:pPr>
              <w:spacing w:after="0" w:line="240" w:lineRule="auto"/>
              <w:jc w:val="center"/>
              <w:rPr>
                <w:rFonts w:ascii="Times New Roman" w:hAnsi="Times New Roman"/>
                <w:sz w:val="20"/>
                <w:szCs w:val="20"/>
              </w:rPr>
            </w:pPr>
          </w:p>
        </w:tc>
        <w:tc>
          <w:tcPr>
            <w:tcW w:w="320" w:type="pct"/>
            <w:shd w:val="clear" w:color="000000" w:fill="FFFFFF"/>
            <w:vAlign w:val="center"/>
          </w:tcPr>
          <w:p w14:paraId="13DF2985" w14:textId="77777777" w:rsidR="00AA11F5" w:rsidRPr="00B0658A" w:rsidRDefault="00AA11F5" w:rsidP="00004A41">
            <w:pPr>
              <w:spacing w:after="0" w:line="240" w:lineRule="auto"/>
              <w:jc w:val="center"/>
              <w:rPr>
                <w:rFonts w:ascii="Times New Roman" w:hAnsi="Times New Roman"/>
                <w:sz w:val="20"/>
                <w:szCs w:val="20"/>
              </w:rPr>
            </w:pPr>
          </w:p>
        </w:tc>
        <w:tc>
          <w:tcPr>
            <w:tcW w:w="518" w:type="pct"/>
            <w:shd w:val="clear" w:color="000000" w:fill="FFFFFF"/>
            <w:vAlign w:val="center"/>
          </w:tcPr>
          <w:p w14:paraId="73488BBC" w14:textId="77777777" w:rsidR="00AA11F5" w:rsidRPr="00B0658A" w:rsidRDefault="00AA11F5" w:rsidP="00004A41">
            <w:pPr>
              <w:spacing w:after="0" w:line="240" w:lineRule="auto"/>
              <w:jc w:val="center"/>
              <w:rPr>
                <w:rFonts w:ascii="Times New Roman" w:hAnsi="Times New Roman"/>
                <w:sz w:val="20"/>
                <w:szCs w:val="20"/>
              </w:rPr>
            </w:pPr>
          </w:p>
        </w:tc>
      </w:tr>
    </w:tbl>
    <w:p w14:paraId="5BE68E0B" w14:textId="77777777" w:rsidR="000A4114" w:rsidRDefault="000A4114" w:rsidP="007034B2">
      <w:pPr>
        <w:pStyle w:val="ConsPlusNormal"/>
        <w:spacing w:before="120"/>
        <w:rPr>
          <w:sz w:val="28"/>
        </w:rPr>
      </w:pPr>
    </w:p>
    <w:p w14:paraId="36E422F3" w14:textId="77777777" w:rsidR="000A4114" w:rsidRDefault="000A4114">
      <w:pPr>
        <w:spacing w:after="0" w:line="240" w:lineRule="auto"/>
        <w:rPr>
          <w:rFonts w:ascii="Times New Roman" w:hAnsi="Times New Roman"/>
          <w:sz w:val="28"/>
          <w:szCs w:val="24"/>
        </w:rPr>
      </w:pPr>
      <w:r>
        <w:rPr>
          <w:sz w:val="28"/>
        </w:rPr>
        <w:br w:type="page"/>
      </w:r>
    </w:p>
    <w:p w14:paraId="691D8DC8" w14:textId="77777777" w:rsidR="008319FB" w:rsidRPr="00B0658A" w:rsidRDefault="007034B2" w:rsidP="008319FB">
      <w:pPr>
        <w:pStyle w:val="ConsPlusNormal"/>
        <w:spacing w:before="120"/>
        <w:jc w:val="center"/>
        <w:rPr>
          <w:sz w:val="32"/>
          <w:szCs w:val="32"/>
        </w:rPr>
      </w:pPr>
      <w:r w:rsidRPr="00B0658A">
        <w:rPr>
          <w:sz w:val="32"/>
          <w:szCs w:val="32"/>
        </w:rPr>
        <w:lastRenderedPageBreak/>
        <w:t>Детализированный п</w:t>
      </w:r>
      <w:r w:rsidR="008319FB" w:rsidRPr="00B0658A">
        <w:rPr>
          <w:sz w:val="32"/>
          <w:szCs w:val="32"/>
        </w:rPr>
        <w:t xml:space="preserve">лан </w:t>
      </w:r>
      <w:r w:rsidRPr="00B0658A">
        <w:rPr>
          <w:sz w:val="32"/>
          <w:szCs w:val="32"/>
        </w:rPr>
        <w:t xml:space="preserve">перевода </w:t>
      </w:r>
      <w:r w:rsidR="008319FB" w:rsidRPr="00B0658A">
        <w:rPr>
          <w:sz w:val="32"/>
          <w:szCs w:val="32"/>
        </w:rPr>
        <w:t>государственных и ведомственных информационных систем</w:t>
      </w:r>
      <w:r w:rsidRPr="00B0658A">
        <w:rPr>
          <w:sz w:val="32"/>
          <w:szCs w:val="32"/>
        </w:rPr>
        <w:t xml:space="preserve">, используемых ______________ (полное наименование органа государственной власти или государственного внебюджетного фонда), </w:t>
      </w:r>
      <w:r w:rsidR="008319FB" w:rsidRPr="00B0658A">
        <w:rPr>
          <w:sz w:val="32"/>
          <w:szCs w:val="32"/>
        </w:rPr>
        <w:t>на использование российского ПО на период 2022-2030 годы</w:t>
      </w:r>
    </w:p>
    <w:p w14:paraId="2DD512C4" w14:textId="77777777" w:rsidR="001A0C36" w:rsidRPr="00B0658A" w:rsidRDefault="001A0C36" w:rsidP="008319FB">
      <w:pPr>
        <w:spacing w:before="120" w:after="0" w:line="240" w:lineRule="auto"/>
        <w:rPr>
          <w:rFonts w:ascii="Times New Roman" w:hAnsi="Times New Roman"/>
          <w:sz w:val="28"/>
          <w:szCs w:val="24"/>
        </w:rPr>
      </w:pPr>
    </w:p>
    <w:p w14:paraId="623DAC43" w14:textId="77777777" w:rsidR="008319FB" w:rsidRPr="00B0658A" w:rsidRDefault="007034B2" w:rsidP="008319FB">
      <w:pPr>
        <w:pStyle w:val="ConsPlusNormal"/>
        <w:spacing w:before="120"/>
        <w:jc w:val="both"/>
      </w:pPr>
      <w:r w:rsidRPr="00B0658A">
        <w:rPr>
          <w:sz w:val="28"/>
        </w:rPr>
        <w:t xml:space="preserve">Раздел 1. </w:t>
      </w:r>
      <w:r w:rsidR="008319FB" w:rsidRPr="00B0658A">
        <w:rPr>
          <w:sz w:val="28"/>
        </w:rPr>
        <w:t xml:space="preserve"> </w:t>
      </w:r>
      <w:r w:rsidR="00D052EA" w:rsidRPr="00B0658A">
        <w:rPr>
          <w:sz w:val="28"/>
        </w:rPr>
        <w:t>«</w:t>
      </w:r>
      <w:r w:rsidR="0095686C" w:rsidRPr="00B0658A">
        <w:rPr>
          <w:sz w:val="28"/>
        </w:rPr>
        <w:t xml:space="preserve">Детальный план-график мероприятий по переводу </w:t>
      </w:r>
      <w:r w:rsidR="008319FB" w:rsidRPr="00B0658A">
        <w:rPr>
          <w:sz w:val="28"/>
        </w:rPr>
        <w:t xml:space="preserve">государственных и ведомственных информационных систем на </w:t>
      </w:r>
      <w:r w:rsidR="00B62216" w:rsidRPr="00B0658A">
        <w:rPr>
          <w:sz w:val="28"/>
        </w:rPr>
        <w:t xml:space="preserve">использование </w:t>
      </w:r>
      <w:r w:rsidR="008319FB" w:rsidRPr="00B0658A">
        <w:rPr>
          <w:sz w:val="28"/>
        </w:rPr>
        <w:t>российско</w:t>
      </w:r>
      <w:r w:rsidR="00B62216" w:rsidRPr="00B0658A">
        <w:rPr>
          <w:sz w:val="28"/>
        </w:rPr>
        <w:t>го</w:t>
      </w:r>
      <w:r w:rsidR="008319FB" w:rsidRPr="00B0658A">
        <w:rPr>
          <w:sz w:val="28"/>
        </w:rPr>
        <w:t xml:space="preserve"> </w:t>
      </w:r>
      <w:r w:rsidR="00FC1F5C" w:rsidRPr="00B0658A">
        <w:rPr>
          <w:sz w:val="28"/>
        </w:rPr>
        <w:t>ПО</w:t>
      </w:r>
      <w:r w:rsidR="00D052EA" w:rsidRPr="00B0658A">
        <w:rPr>
          <w:sz w:val="28"/>
        </w:rPr>
        <w:t>»</w:t>
      </w:r>
    </w:p>
    <w:tbl>
      <w:tblPr>
        <w:tblW w:w="5000" w:type="pct"/>
        <w:tblCellMar>
          <w:top w:w="28" w:type="dxa"/>
          <w:left w:w="62" w:type="dxa"/>
          <w:bottom w:w="28" w:type="dxa"/>
          <w:right w:w="62" w:type="dxa"/>
        </w:tblCellMar>
        <w:tblLook w:val="0000" w:firstRow="0" w:lastRow="0" w:firstColumn="0" w:lastColumn="0" w:noHBand="0" w:noVBand="0"/>
      </w:tblPr>
      <w:tblGrid>
        <w:gridCol w:w="583"/>
        <w:gridCol w:w="1955"/>
        <w:gridCol w:w="3190"/>
        <w:gridCol w:w="3358"/>
        <w:gridCol w:w="2016"/>
        <w:gridCol w:w="2842"/>
      </w:tblGrid>
      <w:tr w:rsidR="00F52FED" w:rsidRPr="00B0658A" w14:paraId="24B51135" w14:textId="77777777" w:rsidTr="0020281A">
        <w:tc>
          <w:tcPr>
            <w:tcW w:w="209" w:type="pct"/>
            <w:tcBorders>
              <w:top w:val="single" w:sz="4" w:space="0" w:color="auto"/>
              <w:left w:val="single" w:sz="4" w:space="0" w:color="auto"/>
              <w:bottom w:val="single" w:sz="4" w:space="0" w:color="auto"/>
              <w:right w:val="single" w:sz="4" w:space="0" w:color="auto"/>
            </w:tcBorders>
            <w:shd w:val="clear" w:color="auto" w:fill="E7E6E6" w:themeFill="background2"/>
          </w:tcPr>
          <w:p w14:paraId="730675FB" w14:textId="77777777" w:rsidR="009C1AB7" w:rsidRPr="00B0658A" w:rsidRDefault="009C1AB7" w:rsidP="00004A41">
            <w:pPr>
              <w:pStyle w:val="ConsPlusNormal"/>
              <w:jc w:val="center"/>
            </w:pPr>
            <w:r w:rsidRPr="00B0658A">
              <w:t>N п.п.</w:t>
            </w:r>
          </w:p>
        </w:tc>
        <w:tc>
          <w:tcPr>
            <w:tcW w:w="701" w:type="pct"/>
            <w:tcBorders>
              <w:top w:val="single" w:sz="4" w:space="0" w:color="auto"/>
              <w:left w:val="single" w:sz="4" w:space="0" w:color="auto"/>
              <w:bottom w:val="single" w:sz="4" w:space="0" w:color="auto"/>
              <w:right w:val="single" w:sz="4" w:space="0" w:color="auto"/>
            </w:tcBorders>
            <w:shd w:val="clear" w:color="auto" w:fill="E7E6E6" w:themeFill="background2"/>
          </w:tcPr>
          <w:p w14:paraId="59E910BF" w14:textId="77777777" w:rsidR="009C1AB7" w:rsidRPr="00B0658A" w:rsidRDefault="009C1AB7" w:rsidP="00004A41">
            <w:pPr>
              <w:pStyle w:val="ConsPlusNormal"/>
              <w:jc w:val="center"/>
            </w:pPr>
            <w:r w:rsidRPr="00B0658A">
              <w:t>Наименование мероприятия</w:t>
            </w:r>
          </w:p>
        </w:tc>
        <w:tc>
          <w:tcPr>
            <w:tcW w:w="1144" w:type="pct"/>
            <w:tcBorders>
              <w:top w:val="single" w:sz="4" w:space="0" w:color="auto"/>
              <w:left w:val="single" w:sz="4" w:space="0" w:color="auto"/>
              <w:bottom w:val="single" w:sz="4" w:space="0" w:color="auto"/>
              <w:right w:val="single" w:sz="4" w:space="0" w:color="auto"/>
            </w:tcBorders>
            <w:shd w:val="clear" w:color="auto" w:fill="E7E6E6" w:themeFill="background2"/>
          </w:tcPr>
          <w:p w14:paraId="5D34653F" w14:textId="77777777" w:rsidR="009C1AB7" w:rsidRPr="00B0658A" w:rsidRDefault="009C1AB7" w:rsidP="00004A41">
            <w:pPr>
              <w:pStyle w:val="ConsPlusNormal"/>
              <w:jc w:val="center"/>
            </w:pPr>
            <w:r w:rsidRPr="00B0658A">
              <w:t>Краткое описание состава и содержания запланированного мероприятия</w:t>
            </w:r>
          </w:p>
        </w:tc>
        <w:tc>
          <w:tcPr>
            <w:tcW w:w="1204" w:type="pct"/>
            <w:tcBorders>
              <w:top w:val="single" w:sz="4" w:space="0" w:color="auto"/>
              <w:left w:val="single" w:sz="4" w:space="0" w:color="auto"/>
              <w:bottom w:val="single" w:sz="4" w:space="0" w:color="auto"/>
              <w:right w:val="single" w:sz="4" w:space="0" w:color="auto"/>
            </w:tcBorders>
            <w:shd w:val="clear" w:color="auto" w:fill="E7E6E6" w:themeFill="background2"/>
          </w:tcPr>
          <w:p w14:paraId="3E1D1760" w14:textId="77777777" w:rsidR="009C1AB7" w:rsidRPr="00B0658A" w:rsidRDefault="009C1AB7" w:rsidP="00004A41">
            <w:pPr>
              <w:pStyle w:val="ConsPlusNormal"/>
              <w:jc w:val="center"/>
            </w:pPr>
            <w:r w:rsidRPr="00B0658A">
              <w:t>Наименование ответственного исполнителя/ ответственного структурного подразделения</w:t>
            </w:r>
          </w:p>
        </w:tc>
        <w:tc>
          <w:tcPr>
            <w:tcW w:w="723" w:type="pct"/>
            <w:tcBorders>
              <w:top w:val="single" w:sz="4" w:space="0" w:color="auto"/>
              <w:left w:val="single" w:sz="4" w:space="0" w:color="auto"/>
              <w:bottom w:val="single" w:sz="4" w:space="0" w:color="auto"/>
              <w:right w:val="single" w:sz="4" w:space="0" w:color="auto"/>
            </w:tcBorders>
            <w:shd w:val="clear" w:color="auto" w:fill="E7E6E6" w:themeFill="background2"/>
          </w:tcPr>
          <w:p w14:paraId="7D169084" w14:textId="77777777" w:rsidR="009C1AB7" w:rsidRPr="00B0658A" w:rsidRDefault="009C1AB7" w:rsidP="00004A41">
            <w:pPr>
              <w:pStyle w:val="ConsPlusNormal"/>
              <w:jc w:val="center"/>
            </w:pPr>
            <w:r w:rsidRPr="00B0658A">
              <w:t>Срок /периодичность выполнения</w:t>
            </w:r>
          </w:p>
        </w:tc>
        <w:tc>
          <w:tcPr>
            <w:tcW w:w="1019" w:type="pct"/>
            <w:tcBorders>
              <w:top w:val="single" w:sz="4" w:space="0" w:color="auto"/>
              <w:left w:val="single" w:sz="4" w:space="0" w:color="auto"/>
              <w:bottom w:val="single" w:sz="4" w:space="0" w:color="auto"/>
              <w:right w:val="single" w:sz="4" w:space="0" w:color="auto"/>
            </w:tcBorders>
            <w:shd w:val="clear" w:color="auto" w:fill="E7E6E6" w:themeFill="background2"/>
          </w:tcPr>
          <w:p w14:paraId="65B32591" w14:textId="77777777" w:rsidR="009C1AB7" w:rsidRPr="00B0658A" w:rsidRDefault="009C1AB7" w:rsidP="00004A41">
            <w:pPr>
              <w:pStyle w:val="ConsPlusNormal"/>
              <w:jc w:val="center"/>
            </w:pPr>
            <w:r w:rsidRPr="00B0658A">
              <w:t>Ожидаемый результат</w:t>
            </w:r>
          </w:p>
        </w:tc>
      </w:tr>
      <w:tr w:rsidR="00F52FED" w:rsidRPr="00B0658A" w14:paraId="316CDC76" w14:textId="77777777" w:rsidTr="0020281A">
        <w:trPr>
          <w:trHeight w:val="15"/>
        </w:trPr>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5161D673" w14:textId="77777777" w:rsidR="00B206FE" w:rsidRPr="00B0658A" w:rsidRDefault="00B206FE" w:rsidP="00004A41">
            <w:pPr>
              <w:pStyle w:val="ConsPlusNormal"/>
              <w:jc w:val="center"/>
            </w:pPr>
            <w:r w:rsidRPr="00B0658A">
              <w:rPr>
                <w:b/>
              </w:rPr>
              <w:t>Государственные и ведомственные информационные системы, подлежащие переводу на использование российского ПО до 31.12.2024</w:t>
            </w:r>
            <w:r w:rsidR="0095686C" w:rsidRPr="00B0658A">
              <w:rPr>
                <w:b/>
              </w:rPr>
              <w:t xml:space="preserve"> г.</w:t>
            </w:r>
          </w:p>
        </w:tc>
      </w:tr>
      <w:tr w:rsidR="00F52FED" w:rsidRPr="00B0658A" w14:paraId="49D92907" w14:textId="77777777" w:rsidTr="00075077">
        <w:trPr>
          <w:trHeight w:val="15"/>
        </w:trPr>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385256D0" w14:textId="77777777" w:rsidR="00B206FE" w:rsidRPr="00B0658A" w:rsidRDefault="00B206FE" w:rsidP="00004A41">
            <w:pPr>
              <w:pStyle w:val="ConsPlusNormal"/>
            </w:pPr>
            <w:r w:rsidRPr="00B0658A">
              <w:t xml:space="preserve">1. Мероприятия по переводу ________ (наименование государственной или ведомственной информационной системы № 1) на </w:t>
            </w:r>
            <w:r w:rsidR="00B62216" w:rsidRPr="00B0658A">
              <w:t xml:space="preserve">использование </w:t>
            </w:r>
            <w:r w:rsidRPr="00B0658A">
              <w:t>российско</w:t>
            </w:r>
            <w:r w:rsidR="00B62216" w:rsidRPr="00B0658A">
              <w:t>го</w:t>
            </w:r>
            <w:r w:rsidRPr="00B0658A">
              <w:t xml:space="preserve"> </w:t>
            </w:r>
            <w:r w:rsidR="0056428B" w:rsidRPr="00B0658A">
              <w:t>ПО</w:t>
            </w:r>
          </w:p>
        </w:tc>
      </w:tr>
      <w:tr w:rsidR="00F52FED" w:rsidRPr="00B0658A" w14:paraId="7181C68F" w14:textId="77777777" w:rsidTr="00075077">
        <w:tc>
          <w:tcPr>
            <w:tcW w:w="209" w:type="pct"/>
            <w:tcBorders>
              <w:top w:val="single" w:sz="4" w:space="0" w:color="auto"/>
              <w:left w:val="single" w:sz="4" w:space="0" w:color="auto"/>
              <w:bottom w:val="single" w:sz="4" w:space="0" w:color="auto"/>
              <w:right w:val="single" w:sz="4" w:space="0" w:color="auto"/>
            </w:tcBorders>
          </w:tcPr>
          <w:p w14:paraId="2B07C59D" w14:textId="77777777" w:rsidR="00B206FE" w:rsidRPr="00B0658A" w:rsidRDefault="00B206FE" w:rsidP="00004A41">
            <w:pPr>
              <w:pStyle w:val="ConsPlusNormal"/>
            </w:pPr>
            <w:r w:rsidRPr="00B0658A">
              <w:t>1.1</w:t>
            </w:r>
          </w:p>
        </w:tc>
        <w:tc>
          <w:tcPr>
            <w:tcW w:w="701" w:type="pct"/>
            <w:tcBorders>
              <w:top w:val="single" w:sz="4" w:space="0" w:color="auto"/>
              <w:left w:val="single" w:sz="4" w:space="0" w:color="auto"/>
              <w:bottom w:val="single" w:sz="4" w:space="0" w:color="auto"/>
              <w:right w:val="single" w:sz="4" w:space="0" w:color="auto"/>
            </w:tcBorders>
          </w:tcPr>
          <w:p w14:paraId="6434EA3B" w14:textId="77777777" w:rsidR="00B206FE" w:rsidRPr="00B0658A" w:rsidRDefault="00B206FE" w:rsidP="00004A41">
            <w:pPr>
              <w:pStyle w:val="ConsPlusNormal"/>
            </w:pPr>
          </w:p>
        </w:tc>
        <w:tc>
          <w:tcPr>
            <w:tcW w:w="1144" w:type="pct"/>
            <w:tcBorders>
              <w:top w:val="single" w:sz="4" w:space="0" w:color="auto"/>
              <w:left w:val="single" w:sz="4" w:space="0" w:color="auto"/>
              <w:bottom w:val="single" w:sz="4" w:space="0" w:color="auto"/>
              <w:right w:val="single" w:sz="4" w:space="0" w:color="auto"/>
            </w:tcBorders>
          </w:tcPr>
          <w:p w14:paraId="5D0ABD3D" w14:textId="77777777" w:rsidR="00B206FE" w:rsidRPr="00B0658A" w:rsidRDefault="00B206FE" w:rsidP="00004A41">
            <w:pPr>
              <w:pStyle w:val="ConsPlusNormal"/>
            </w:pPr>
          </w:p>
        </w:tc>
        <w:tc>
          <w:tcPr>
            <w:tcW w:w="1204" w:type="pct"/>
            <w:tcBorders>
              <w:top w:val="single" w:sz="4" w:space="0" w:color="auto"/>
              <w:left w:val="single" w:sz="4" w:space="0" w:color="auto"/>
              <w:bottom w:val="single" w:sz="4" w:space="0" w:color="auto"/>
              <w:right w:val="single" w:sz="4" w:space="0" w:color="auto"/>
            </w:tcBorders>
          </w:tcPr>
          <w:p w14:paraId="000AA4E8" w14:textId="77777777" w:rsidR="00B206FE" w:rsidRPr="00B0658A" w:rsidRDefault="00B206FE" w:rsidP="00004A41">
            <w:pPr>
              <w:pStyle w:val="ConsPlusNormal"/>
            </w:pPr>
          </w:p>
        </w:tc>
        <w:tc>
          <w:tcPr>
            <w:tcW w:w="723" w:type="pct"/>
            <w:tcBorders>
              <w:top w:val="single" w:sz="4" w:space="0" w:color="auto"/>
              <w:left w:val="single" w:sz="4" w:space="0" w:color="auto"/>
              <w:bottom w:val="single" w:sz="4" w:space="0" w:color="auto"/>
              <w:right w:val="single" w:sz="4" w:space="0" w:color="auto"/>
            </w:tcBorders>
          </w:tcPr>
          <w:p w14:paraId="3365004B" w14:textId="77777777" w:rsidR="00B206FE" w:rsidRPr="00B0658A" w:rsidRDefault="00B206FE" w:rsidP="00004A41">
            <w:pPr>
              <w:pStyle w:val="ConsPlusNormal"/>
            </w:pPr>
          </w:p>
        </w:tc>
        <w:tc>
          <w:tcPr>
            <w:tcW w:w="1019" w:type="pct"/>
            <w:tcBorders>
              <w:top w:val="single" w:sz="4" w:space="0" w:color="auto"/>
              <w:left w:val="single" w:sz="4" w:space="0" w:color="auto"/>
              <w:bottom w:val="single" w:sz="4" w:space="0" w:color="auto"/>
              <w:right w:val="single" w:sz="4" w:space="0" w:color="auto"/>
            </w:tcBorders>
          </w:tcPr>
          <w:p w14:paraId="44C916F0" w14:textId="77777777" w:rsidR="00B206FE" w:rsidRPr="00B0658A" w:rsidRDefault="00B206FE" w:rsidP="00004A41">
            <w:pPr>
              <w:pStyle w:val="ConsPlusNormal"/>
            </w:pPr>
          </w:p>
        </w:tc>
      </w:tr>
      <w:tr w:rsidR="00F52FED" w:rsidRPr="00B0658A" w14:paraId="6FBAAA77" w14:textId="77777777" w:rsidTr="00075077">
        <w:tc>
          <w:tcPr>
            <w:tcW w:w="209" w:type="pct"/>
            <w:tcBorders>
              <w:top w:val="single" w:sz="4" w:space="0" w:color="auto"/>
              <w:left w:val="single" w:sz="4" w:space="0" w:color="auto"/>
              <w:bottom w:val="single" w:sz="4" w:space="0" w:color="auto"/>
              <w:right w:val="single" w:sz="4" w:space="0" w:color="auto"/>
            </w:tcBorders>
          </w:tcPr>
          <w:p w14:paraId="1AAB3FD5" w14:textId="77777777" w:rsidR="00B206FE" w:rsidRPr="00B0658A" w:rsidRDefault="00B206FE" w:rsidP="00004A41">
            <w:pPr>
              <w:pStyle w:val="ConsPlusNormal"/>
            </w:pPr>
            <w:r w:rsidRPr="00B0658A">
              <w:t>1.2</w:t>
            </w:r>
          </w:p>
        </w:tc>
        <w:tc>
          <w:tcPr>
            <w:tcW w:w="701" w:type="pct"/>
            <w:tcBorders>
              <w:top w:val="single" w:sz="4" w:space="0" w:color="auto"/>
              <w:left w:val="single" w:sz="4" w:space="0" w:color="auto"/>
              <w:bottom w:val="single" w:sz="4" w:space="0" w:color="auto"/>
              <w:right w:val="single" w:sz="4" w:space="0" w:color="auto"/>
            </w:tcBorders>
          </w:tcPr>
          <w:p w14:paraId="36BC86CD" w14:textId="77777777" w:rsidR="00B206FE" w:rsidRPr="00B0658A" w:rsidRDefault="00B206FE" w:rsidP="00004A41">
            <w:pPr>
              <w:pStyle w:val="ConsPlusNormal"/>
            </w:pPr>
          </w:p>
        </w:tc>
        <w:tc>
          <w:tcPr>
            <w:tcW w:w="1144" w:type="pct"/>
            <w:tcBorders>
              <w:top w:val="single" w:sz="4" w:space="0" w:color="auto"/>
              <w:left w:val="single" w:sz="4" w:space="0" w:color="auto"/>
              <w:bottom w:val="single" w:sz="4" w:space="0" w:color="auto"/>
              <w:right w:val="single" w:sz="4" w:space="0" w:color="auto"/>
            </w:tcBorders>
          </w:tcPr>
          <w:p w14:paraId="798C37B1" w14:textId="77777777" w:rsidR="00B206FE" w:rsidRPr="00B0658A" w:rsidRDefault="00B206FE" w:rsidP="00004A41">
            <w:pPr>
              <w:pStyle w:val="ConsPlusNormal"/>
            </w:pPr>
          </w:p>
        </w:tc>
        <w:tc>
          <w:tcPr>
            <w:tcW w:w="1204" w:type="pct"/>
            <w:tcBorders>
              <w:top w:val="single" w:sz="4" w:space="0" w:color="auto"/>
              <w:left w:val="single" w:sz="4" w:space="0" w:color="auto"/>
              <w:bottom w:val="single" w:sz="4" w:space="0" w:color="auto"/>
              <w:right w:val="single" w:sz="4" w:space="0" w:color="auto"/>
            </w:tcBorders>
          </w:tcPr>
          <w:p w14:paraId="13417D9C" w14:textId="77777777" w:rsidR="00B206FE" w:rsidRPr="00B0658A" w:rsidRDefault="00B206FE" w:rsidP="00004A41">
            <w:pPr>
              <w:pStyle w:val="ConsPlusNormal"/>
            </w:pPr>
          </w:p>
        </w:tc>
        <w:tc>
          <w:tcPr>
            <w:tcW w:w="723" w:type="pct"/>
            <w:tcBorders>
              <w:top w:val="single" w:sz="4" w:space="0" w:color="auto"/>
              <w:left w:val="single" w:sz="4" w:space="0" w:color="auto"/>
              <w:bottom w:val="single" w:sz="4" w:space="0" w:color="auto"/>
              <w:right w:val="single" w:sz="4" w:space="0" w:color="auto"/>
            </w:tcBorders>
          </w:tcPr>
          <w:p w14:paraId="527C8A56" w14:textId="77777777" w:rsidR="00B206FE" w:rsidRPr="00B0658A" w:rsidRDefault="00B206FE" w:rsidP="00004A41">
            <w:pPr>
              <w:pStyle w:val="ConsPlusNormal"/>
            </w:pPr>
          </w:p>
        </w:tc>
        <w:tc>
          <w:tcPr>
            <w:tcW w:w="1019" w:type="pct"/>
            <w:tcBorders>
              <w:top w:val="single" w:sz="4" w:space="0" w:color="auto"/>
              <w:left w:val="single" w:sz="4" w:space="0" w:color="auto"/>
              <w:bottom w:val="single" w:sz="4" w:space="0" w:color="auto"/>
              <w:right w:val="single" w:sz="4" w:space="0" w:color="auto"/>
            </w:tcBorders>
          </w:tcPr>
          <w:p w14:paraId="0ED3D5B8" w14:textId="77777777" w:rsidR="00B206FE" w:rsidRPr="00B0658A" w:rsidRDefault="00B206FE" w:rsidP="00004A41">
            <w:pPr>
              <w:pStyle w:val="ConsPlusNormal"/>
            </w:pPr>
          </w:p>
        </w:tc>
      </w:tr>
      <w:tr w:rsidR="00F52FED" w:rsidRPr="00B0658A" w14:paraId="397493E7" w14:textId="77777777" w:rsidTr="00075077">
        <w:tc>
          <w:tcPr>
            <w:tcW w:w="209" w:type="pct"/>
            <w:tcBorders>
              <w:top w:val="single" w:sz="4" w:space="0" w:color="auto"/>
              <w:left w:val="single" w:sz="4" w:space="0" w:color="auto"/>
              <w:bottom w:val="single" w:sz="4" w:space="0" w:color="auto"/>
              <w:right w:val="single" w:sz="4" w:space="0" w:color="auto"/>
            </w:tcBorders>
          </w:tcPr>
          <w:p w14:paraId="672A8107" w14:textId="77777777" w:rsidR="00B206FE" w:rsidRPr="00B0658A" w:rsidRDefault="00B206FE" w:rsidP="00004A41">
            <w:pPr>
              <w:pStyle w:val="ConsPlusNormal"/>
            </w:pPr>
            <w:r w:rsidRPr="00B0658A">
              <w:t>…</w:t>
            </w:r>
          </w:p>
        </w:tc>
        <w:tc>
          <w:tcPr>
            <w:tcW w:w="701" w:type="pct"/>
            <w:tcBorders>
              <w:top w:val="single" w:sz="4" w:space="0" w:color="auto"/>
              <w:left w:val="single" w:sz="4" w:space="0" w:color="auto"/>
              <w:bottom w:val="single" w:sz="4" w:space="0" w:color="auto"/>
              <w:right w:val="single" w:sz="4" w:space="0" w:color="auto"/>
            </w:tcBorders>
          </w:tcPr>
          <w:p w14:paraId="64A4D5AA" w14:textId="77777777" w:rsidR="00B206FE" w:rsidRPr="00B0658A" w:rsidRDefault="00B206FE" w:rsidP="00004A41">
            <w:pPr>
              <w:pStyle w:val="ConsPlusNormal"/>
            </w:pPr>
          </w:p>
        </w:tc>
        <w:tc>
          <w:tcPr>
            <w:tcW w:w="1144" w:type="pct"/>
            <w:tcBorders>
              <w:top w:val="single" w:sz="4" w:space="0" w:color="auto"/>
              <w:left w:val="single" w:sz="4" w:space="0" w:color="auto"/>
              <w:bottom w:val="single" w:sz="4" w:space="0" w:color="auto"/>
              <w:right w:val="single" w:sz="4" w:space="0" w:color="auto"/>
            </w:tcBorders>
          </w:tcPr>
          <w:p w14:paraId="22A5B8B8" w14:textId="77777777" w:rsidR="00B206FE" w:rsidRPr="00B0658A" w:rsidRDefault="00B206FE" w:rsidP="00004A41">
            <w:pPr>
              <w:pStyle w:val="ConsPlusNormal"/>
            </w:pPr>
          </w:p>
        </w:tc>
        <w:tc>
          <w:tcPr>
            <w:tcW w:w="1204" w:type="pct"/>
            <w:tcBorders>
              <w:top w:val="single" w:sz="4" w:space="0" w:color="auto"/>
              <w:left w:val="single" w:sz="4" w:space="0" w:color="auto"/>
              <w:bottom w:val="single" w:sz="4" w:space="0" w:color="auto"/>
              <w:right w:val="single" w:sz="4" w:space="0" w:color="auto"/>
            </w:tcBorders>
          </w:tcPr>
          <w:p w14:paraId="4AAC3C24" w14:textId="77777777" w:rsidR="00B206FE" w:rsidRPr="00B0658A" w:rsidRDefault="00B206FE" w:rsidP="00004A41">
            <w:pPr>
              <w:pStyle w:val="ConsPlusNormal"/>
            </w:pPr>
          </w:p>
        </w:tc>
        <w:tc>
          <w:tcPr>
            <w:tcW w:w="723" w:type="pct"/>
            <w:tcBorders>
              <w:top w:val="single" w:sz="4" w:space="0" w:color="auto"/>
              <w:left w:val="single" w:sz="4" w:space="0" w:color="auto"/>
              <w:bottom w:val="single" w:sz="4" w:space="0" w:color="auto"/>
              <w:right w:val="single" w:sz="4" w:space="0" w:color="auto"/>
            </w:tcBorders>
          </w:tcPr>
          <w:p w14:paraId="4C8C0DFD" w14:textId="77777777" w:rsidR="00B206FE" w:rsidRPr="00B0658A" w:rsidRDefault="00B206FE" w:rsidP="00004A41">
            <w:pPr>
              <w:pStyle w:val="ConsPlusNormal"/>
            </w:pPr>
          </w:p>
        </w:tc>
        <w:tc>
          <w:tcPr>
            <w:tcW w:w="1019" w:type="pct"/>
            <w:tcBorders>
              <w:top w:val="single" w:sz="4" w:space="0" w:color="auto"/>
              <w:left w:val="single" w:sz="4" w:space="0" w:color="auto"/>
              <w:bottom w:val="single" w:sz="4" w:space="0" w:color="auto"/>
              <w:right w:val="single" w:sz="4" w:space="0" w:color="auto"/>
            </w:tcBorders>
          </w:tcPr>
          <w:p w14:paraId="340185BE" w14:textId="77777777" w:rsidR="00B206FE" w:rsidRPr="00B0658A" w:rsidRDefault="00B206FE" w:rsidP="00004A41">
            <w:pPr>
              <w:pStyle w:val="ConsPlusNormal"/>
            </w:pPr>
          </w:p>
        </w:tc>
      </w:tr>
      <w:tr w:rsidR="00F52FED" w:rsidRPr="00B0658A" w14:paraId="6E87F0E9" w14:textId="77777777" w:rsidTr="00075077">
        <w:tc>
          <w:tcPr>
            <w:tcW w:w="209" w:type="pct"/>
            <w:tcBorders>
              <w:top w:val="single" w:sz="4" w:space="0" w:color="auto"/>
              <w:left w:val="single" w:sz="4" w:space="0" w:color="auto"/>
              <w:bottom w:val="single" w:sz="4" w:space="0" w:color="auto"/>
              <w:right w:val="single" w:sz="4" w:space="0" w:color="auto"/>
            </w:tcBorders>
          </w:tcPr>
          <w:p w14:paraId="485AE281" w14:textId="77777777" w:rsidR="00B206FE" w:rsidRPr="00B0658A" w:rsidRDefault="00B206FE" w:rsidP="00004A41">
            <w:pPr>
              <w:pStyle w:val="ConsPlusNormal"/>
            </w:pPr>
            <w:r w:rsidRPr="00B0658A">
              <w:t>1</w:t>
            </w:r>
            <w:r w:rsidRPr="00B0658A">
              <w:rPr>
                <w:lang w:val="en-US"/>
              </w:rPr>
              <w:t>.n</w:t>
            </w:r>
          </w:p>
        </w:tc>
        <w:tc>
          <w:tcPr>
            <w:tcW w:w="701" w:type="pct"/>
            <w:tcBorders>
              <w:top w:val="single" w:sz="4" w:space="0" w:color="auto"/>
              <w:left w:val="single" w:sz="4" w:space="0" w:color="auto"/>
              <w:bottom w:val="single" w:sz="4" w:space="0" w:color="auto"/>
              <w:right w:val="single" w:sz="4" w:space="0" w:color="auto"/>
            </w:tcBorders>
          </w:tcPr>
          <w:p w14:paraId="61B043AE" w14:textId="77777777" w:rsidR="00B206FE" w:rsidRPr="00B0658A" w:rsidRDefault="00B206FE" w:rsidP="00004A41">
            <w:pPr>
              <w:pStyle w:val="ConsPlusNormal"/>
            </w:pPr>
          </w:p>
        </w:tc>
        <w:tc>
          <w:tcPr>
            <w:tcW w:w="1144" w:type="pct"/>
            <w:tcBorders>
              <w:top w:val="single" w:sz="4" w:space="0" w:color="auto"/>
              <w:left w:val="single" w:sz="4" w:space="0" w:color="auto"/>
              <w:bottom w:val="single" w:sz="4" w:space="0" w:color="auto"/>
              <w:right w:val="single" w:sz="4" w:space="0" w:color="auto"/>
            </w:tcBorders>
          </w:tcPr>
          <w:p w14:paraId="42215BBA" w14:textId="77777777" w:rsidR="00B206FE" w:rsidRPr="00B0658A" w:rsidRDefault="00B206FE" w:rsidP="00004A41">
            <w:pPr>
              <w:pStyle w:val="ConsPlusNormal"/>
            </w:pPr>
          </w:p>
        </w:tc>
        <w:tc>
          <w:tcPr>
            <w:tcW w:w="1204" w:type="pct"/>
            <w:tcBorders>
              <w:top w:val="single" w:sz="4" w:space="0" w:color="auto"/>
              <w:left w:val="single" w:sz="4" w:space="0" w:color="auto"/>
              <w:bottom w:val="single" w:sz="4" w:space="0" w:color="auto"/>
              <w:right w:val="single" w:sz="4" w:space="0" w:color="auto"/>
            </w:tcBorders>
          </w:tcPr>
          <w:p w14:paraId="14C8CF88" w14:textId="77777777" w:rsidR="00B206FE" w:rsidRPr="00B0658A" w:rsidRDefault="00B206FE" w:rsidP="00004A41">
            <w:pPr>
              <w:pStyle w:val="ConsPlusNormal"/>
            </w:pPr>
          </w:p>
        </w:tc>
        <w:tc>
          <w:tcPr>
            <w:tcW w:w="723" w:type="pct"/>
            <w:tcBorders>
              <w:top w:val="single" w:sz="4" w:space="0" w:color="auto"/>
              <w:left w:val="single" w:sz="4" w:space="0" w:color="auto"/>
              <w:bottom w:val="single" w:sz="4" w:space="0" w:color="auto"/>
              <w:right w:val="single" w:sz="4" w:space="0" w:color="auto"/>
            </w:tcBorders>
          </w:tcPr>
          <w:p w14:paraId="76CE4987" w14:textId="77777777" w:rsidR="00B206FE" w:rsidRPr="00B0658A" w:rsidRDefault="00B206FE" w:rsidP="00004A41">
            <w:pPr>
              <w:pStyle w:val="ConsPlusNormal"/>
            </w:pPr>
          </w:p>
        </w:tc>
        <w:tc>
          <w:tcPr>
            <w:tcW w:w="1019" w:type="pct"/>
            <w:tcBorders>
              <w:top w:val="single" w:sz="4" w:space="0" w:color="auto"/>
              <w:left w:val="single" w:sz="4" w:space="0" w:color="auto"/>
              <w:bottom w:val="single" w:sz="4" w:space="0" w:color="auto"/>
              <w:right w:val="single" w:sz="4" w:space="0" w:color="auto"/>
            </w:tcBorders>
          </w:tcPr>
          <w:p w14:paraId="62E7B7ED" w14:textId="77777777" w:rsidR="00B206FE" w:rsidRPr="00B0658A" w:rsidRDefault="00B206FE" w:rsidP="00004A41">
            <w:pPr>
              <w:pStyle w:val="ConsPlusNormal"/>
            </w:pPr>
          </w:p>
        </w:tc>
      </w:tr>
      <w:tr w:rsidR="00F52FED" w:rsidRPr="00B0658A" w14:paraId="4CBB6E79" w14:textId="77777777" w:rsidTr="00075077">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70321779" w14:textId="77777777" w:rsidR="00B206FE" w:rsidRPr="00B0658A" w:rsidRDefault="00B206FE" w:rsidP="00004A41">
            <w:pPr>
              <w:pStyle w:val="ConsPlusNormal"/>
            </w:pPr>
            <w:r w:rsidRPr="00B0658A">
              <w:t xml:space="preserve">2. Мероприятия по переводу ________ (наименование государственной или ведомственной информационной системы № 2) на </w:t>
            </w:r>
            <w:r w:rsidR="00B62216" w:rsidRPr="00B0658A">
              <w:t>использование российского ПО</w:t>
            </w:r>
          </w:p>
        </w:tc>
      </w:tr>
      <w:tr w:rsidR="00F52FED" w:rsidRPr="00B0658A" w14:paraId="298573FF" w14:textId="77777777" w:rsidTr="00075077">
        <w:tc>
          <w:tcPr>
            <w:tcW w:w="209" w:type="pct"/>
            <w:tcBorders>
              <w:top w:val="single" w:sz="4" w:space="0" w:color="auto"/>
              <w:left w:val="single" w:sz="4" w:space="0" w:color="auto"/>
              <w:bottom w:val="single" w:sz="4" w:space="0" w:color="auto"/>
              <w:right w:val="single" w:sz="4" w:space="0" w:color="auto"/>
            </w:tcBorders>
          </w:tcPr>
          <w:p w14:paraId="4D89F8FD" w14:textId="77777777" w:rsidR="00B206FE" w:rsidRPr="00B0658A" w:rsidRDefault="00B206FE" w:rsidP="00004A41">
            <w:pPr>
              <w:pStyle w:val="ConsPlusNormal"/>
              <w:rPr>
                <w:lang w:val="en-US"/>
              </w:rPr>
            </w:pPr>
            <w:r w:rsidRPr="00B0658A">
              <w:rPr>
                <w:lang w:val="en-US"/>
              </w:rPr>
              <w:t>2.1</w:t>
            </w:r>
          </w:p>
        </w:tc>
        <w:tc>
          <w:tcPr>
            <w:tcW w:w="701" w:type="pct"/>
            <w:tcBorders>
              <w:top w:val="single" w:sz="4" w:space="0" w:color="auto"/>
              <w:left w:val="single" w:sz="4" w:space="0" w:color="auto"/>
              <w:bottom w:val="single" w:sz="4" w:space="0" w:color="auto"/>
              <w:right w:val="single" w:sz="4" w:space="0" w:color="auto"/>
            </w:tcBorders>
          </w:tcPr>
          <w:p w14:paraId="4121E45E" w14:textId="77777777" w:rsidR="00B206FE" w:rsidRPr="00B0658A" w:rsidRDefault="00B206FE" w:rsidP="00004A41">
            <w:pPr>
              <w:pStyle w:val="ConsPlusNormal"/>
            </w:pPr>
          </w:p>
        </w:tc>
        <w:tc>
          <w:tcPr>
            <w:tcW w:w="1144" w:type="pct"/>
            <w:tcBorders>
              <w:top w:val="single" w:sz="4" w:space="0" w:color="auto"/>
              <w:left w:val="single" w:sz="4" w:space="0" w:color="auto"/>
              <w:bottom w:val="single" w:sz="4" w:space="0" w:color="auto"/>
              <w:right w:val="single" w:sz="4" w:space="0" w:color="auto"/>
            </w:tcBorders>
          </w:tcPr>
          <w:p w14:paraId="4C42B78D" w14:textId="77777777" w:rsidR="00B206FE" w:rsidRPr="00B0658A" w:rsidRDefault="00B206FE" w:rsidP="00004A41">
            <w:pPr>
              <w:pStyle w:val="ConsPlusNormal"/>
            </w:pPr>
          </w:p>
        </w:tc>
        <w:tc>
          <w:tcPr>
            <w:tcW w:w="1204" w:type="pct"/>
            <w:tcBorders>
              <w:top w:val="single" w:sz="4" w:space="0" w:color="auto"/>
              <w:left w:val="single" w:sz="4" w:space="0" w:color="auto"/>
              <w:bottom w:val="single" w:sz="4" w:space="0" w:color="auto"/>
              <w:right w:val="single" w:sz="4" w:space="0" w:color="auto"/>
            </w:tcBorders>
          </w:tcPr>
          <w:p w14:paraId="3688680D" w14:textId="77777777" w:rsidR="00B206FE" w:rsidRPr="00B0658A" w:rsidRDefault="00B206FE" w:rsidP="00004A41">
            <w:pPr>
              <w:pStyle w:val="ConsPlusNormal"/>
            </w:pPr>
          </w:p>
        </w:tc>
        <w:tc>
          <w:tcPr>
            <w:tcW w:w="723" w:type="pct"/>
            <w:tcBorders>
              <w:top w:val="single" w:sz="4" w:space="0" w:color="auto"/>
              <w:left w:val="single" w:sz="4" w:space="0" w:color="auto"/>
              <w:bottom w:val="single" w:sz="4" w:space="0" w:color="auto"/>
              <w:right w:val="single" w:sz="4" w:space="0" w:color="auto"/>
            </w:tcBorders>
          </w:tcPr>
          <w:p w14:paraId="2A0C8DAC" w14:textId="77777777" w:rsidR="00B206FE" w:rsidRPr="00B0658A" w:rsidRDefault="00B206FE" w:rsidP="00004A41">
            <w:pPr>
              <w:pStyle w:val="ConsPlusNormal"/>
            </w:pPr>
          </w:p>
        </w:tc>
        <w:tc>
          <w:tcPr>
            <w:tcW w:w="1019" w:type="pct"/>
            <w:tcBorders>
              <w:top w:val="single" w:sz="4" w:space="0" w:color="auto"/>
              <w:left w:val="single" w:sz="4" w:space="0" w:color="auto"/>
              <w:bottom w:val="single" w:sz="4" w:space="0" w:color="auto"/>
              <w:right w:val="single" w:sz="4" w:space="0" w:color="auto"/>
            </w:tcBorders>
          </w:tcPr>
          <w:p w14:paraId="3EA3B5E2" w14:textId="77777777" w:rsidR="00B206FE" w:rsidRPr="00B0658A" w:rsidRDefault="00B206FE" w:rsidP="00004A41">
            <w:pPr>
              <w:pStyle w:val="ConsPlusNormal"/>
            </w:pPr>
          </w:p>
        </w:tc>
      </w:tr>
      <w:tr w:rsidR="00F52FED" w:rsidRPr="00B0658A" w14:paraId="33980AE6" w14:textId="77777777" w:rsidTr="00075077">
        <w:tc>
          <w:tcPr>
            <w:tcW w:w="209" w:type="pct"/>
            <w:tcBorders>
              <w:top w:val="single" w:sz="4" w:space="0" w:color="auto"/>
              <w:left w:val="single" w:sz="4" w:space="0" w:color="auto"/>
              <w:bottom w:val="single" w:sz="4" w:space="0" w:color="auto"/>
              <w:right w:val="single" w:sz="4" w:space="0" w:color="auto"/>
            </w:tcBorders>
          </w:tcPr>
          <w:p w14:paraId="7FBFCFC1" w14:textId="77777777" w:rsidR="00B206FE" w:rsidRPr="00B0658A" w:rsidRDefault="00B206FE" w:rsidP="00004A41">
            <w:pPr>
              <w:pStyle w:val="ConsPlusNormal"/>
              <w:rPr>
                <w:lang w:val="en-US"/>
              </w:rPr>
            </w:pPr>
            <w:r w:rsidRPr="00B0658A">
              <w:rPr>
                <w:lang w:val="en-US"/>
              </w:rPr>
              <w:t>2.2</w:t>
            </w:r>
          </w:p>
        </w:tc>
        <w:tc>
          <w:tcPr>
            <w:tcW w:w="701" w:type="pct"/>
            <w:tcBorders>
              <w:top w:val="single" w:sz="4" w:space="0" w:color="auto"/>
              <w:left w:val="single" w:sz="4" w:space="0" w:color="auto"/>
              <w:bottom w:val="single" w:sz="4" w:space="0" w:color="auto"/>
              <w:right w:val="single" w:sz="4" w:space="0" w:color="auto"/>
            </w:tcBorders>
          </w:tcPr>
          <w:p w14:paraId="7C92224F" w14:textId="77777777" w:rsidR="00B206FE" w:rsidRPr="00B0658A" w:rsidRDefault="00B206FE" w:rsidP="00004A41">
            <w:pPr>
              <w:pStyle w:val="ConsPlusNormal"/>
            </w:pPr>
          </w:p>
        </w:tc>
        <w:tc>
          <w:tcPr>
            <w:tcW w:w="1144" w:type="pct"/>
            <w:tcBorders>
              <w:top w:val="single" w:sz="4" w:space="0" w:color="auto"/>
              <w:left w:val="single" w:sz="4" w:space="0" w:color="auto"/>
              <w:bottom w:val="single" w:sz="4" w:space="0" w:color="auto"/>
              <w:right w:val="single" w:sz="4" w:space="0" w:color="auto"/>
            </w:tcBorders>
          </w:tcPr>
          <w:p w14:paraId="0D3B3301" w14:textId="77777777" w:rsidR="00B206FE" w:rsidRPr="00B0658A" w:rsidRDefault="00B206FE" w:rsidP="00004A41">
            <w:pPr>
              <w:pStyle w:val="ConsPlusNormal"/>
            </w:pPr>
          </w:p>
        </w:tc>
        <w:tc>
          <w:tcPr>
            <w:tcW w:w="1204" w:type="pct"/>
            <w:tcBorders>
              <w:top w:val="single" w:sz="4" w:space="0" w:color="auto"/>
              <w:left w:val="single" w:sz="4" w:space="0" w:color="auto"/>
              <w:bottom w:val="single" w:sz="4" w:space="0" w:color="auto"/>
              <w:right w:val="single" w:sz="4" w:space="0" w:color="auto"/>
            </w:tcBorders>
          </w:tcPr>
          <w:p w14:paraId="33205C0B" w14:textId="77777777" w:rsidR="00B206FE" w:rsidRPr="00B0658A" w:rsidRDefault="00B206FE" w:rsidP="00004A41">
            <w:pPr>
              <w:pStyle w:val="ConsPlusNormal"/>
            </w:pPr>
          </w:p>
        </w:tc>
        <w:tc>
          <w:tcPr>
            <w:tcW w:w="723" w:type="pct"/>
            <w:tcBorders>
              <w:top w:val="single" w:sz="4" w:space="0" w:color="auto"/>
              <w:left w:val="single" w:sz="4" w:space="0" w:color="auto"/>
              <w:bottom w:val="single" w:sz="4" w:space="0" w:color="auto"/>
              <w:right w:val="single" w:sz="4" w:space="0" w:color="auto"/>
            </w:tcBorders>
          </w:tcPr>
          <w:p w14:paraId="7B77F20D" w14:textId="77777777" w:rsidR="00B206FE" w:rsidRPr="00B0658A" w:rsidRDefault="00B206FE" w:rsidP="00004A41">
            <w:pPr>
              <w:pStyle w:val="ConsPlusNormal"/>
            </w:pPr>
          </w:p>
        </w:tc>
        <w:tc>
          <w:tcPr>
            <w:tcW w:w="1019" w:type="pct"/>
            <w:tcBorders>
              <w:top w:val="single" w:sz="4" w:space="0" w:color="auto"/>
              <w:left w:val="single" w:sz="4" w:space="0" w:color="auto"/>
              <w:bottom w:val="single" w:sz="4" w:space="0" w:color="auto"/>
              <w:right w:val="single" w:sz="4" w:space="0" w:color="auto"/>
            </w:tcBorders>
          </w:tcPr>
          <w:p w14:paraId="438DD7AE" w14:textId="77777777" w:rsidR="00B206FE" w:rsidRPr="00B0658A" w:rsidRDefault="00B206FE" w:rsidP="00004A41">
            <w:pPr>
              <w:pStyle w:val="ConsPlusNormal"/>
            </w:pPr>
          </w:p>
        </w:tc>
      </w:tr>
      <w:tr w:rsidR="00F52FED" w:rsidRPr="00B0658A" w14:paraId="46595BEB" w14:textId="77777777" w:rsidTr="00075077">
        <w:tc>
          <w:tcPr>
            <w:tcW w:w="209" w:type="pct"/>
            <w:tcBorders>
              <w:top w:val="single" w:sz="4" w:space="0" w:color="auto"/>
              <w:left w:val="single" w:sz="4" w:space="0" w:color="auto"/>
              <w:bottom w:val="single" w:sz="4" w:space="0" w:color="auto"/>
              <w:right w:val="single" w:sz="4" w:space="0" w:color="auto"/>
            </w:tcBorders>
          </w:tcPr>
          <w:p w14:paraId="6AE6E77A" w14:textId="77777777" w:rsidR="00B206FE" w:rsidRPr="00B0658A" w:rsidRDefault="00B206FE" w:rsidP="00004A41">
            <w:pPr>
              <w:pStyle w:val="ConsPlusNormal"/>
              <w:rPr>
                <w:lang w:val="en-US"/>
              </w:rPr>
            </w:pPr>
            <w:r w:rsidRPr="00B0658A">
              <w:rPr>
                <w:lang w:val="en-US"/>
              </w:rPr>
              <w:t>….</w:t>
            </w:r>
          </w:p>
        </w:tc>
        <w:tc>
          <w:tcPr>
            <w:tcW w:w="701" w:type="pct"/>
            <w:tcBorders>
              <w:top w:val="single" w:sz="4" w:space="0" w:color="auto"/>
              <w:left w:val="single" w:sz="4" w:space="0" w:color="auto"/>
              <w:bottom w:val="single" w:sz="4" w:space="0" w:color="auto"/>
              <w:right w:val="single" w:sz="4" w:space="0" w:color="auto"/>
            </w:tcBorders>
          </w:tcPr>
          <w:p w14:paraId="374B2FED" w14:textId="77777777" w:rsidR="00B206FE" w:rsidRPr="00B0658A" w:rsidRDefault="00B206FE" w:rsidP="00004A41">
            <w:pPr>
              <w:pStyle w:val="ConsPlusNormal"/>
            </w:pPr>
          </w:p>
        </w:tc>
        <w:tc>
          <w:tcPr>
            <w:tcW w:w="1144" w:type="pct"/>
            <w:tcBorders>
              <w:top w:val="single" w:sz="4" w:space="0" w:color="auto"/>
              <w:left w:val="single" w:sz="4" w:space="0" w:color="auto"/>
              <w:bottom w:val="single" w:sz="4" w:space="0" w:color="auto"/>
              <w:right w:val="single" w:sz="4" w:space="0" w:color="auto"/>
            </w:tcBorders>
          </w:tcPr>
          <w:p w14:paraId="5A7A73A2" w14:textId="77777777" w:rsidR="00B206FE" w:rsidRPr="00B0658A" w:rsidRDefault="00B206FE" w:rsidP="00004A41">
            <w:pPr>
              <w:pStyle w:val="ConsPlusNormal"/>
            </w:pPr>
          </w:p>
        </w:tc>
        <w:tc>
          <w:tcPr>
            <w:tcW w:w="1204" w:type="pct"/>
            <w:tcBorders>
              <w:top w:val="single" w:sz="4" w:space="0" w:color="auto"/>
              <w:left w:val="single" w:sz="4" w:space="0" w:color="auto"/>
              <w:bottom w:val="single" w:sz="4" w:space="0" w:color="auto"/>
              <w:right w:val="single" w:sz="4" w:space="0" w:color="auto"/>
            </w:tcBorders>
          </w:tcPr>
          <w:p w14:paraId="26B2F435" w14:textId="77777777" w:rsidR="00B206FE" w:rsidRPr="00B0658A" w:rsidRDefault="00B206FE" w:rsidP="00004A41">
            <w:pPr>
              <w:pStyle w:val="ConsPlusNormal"/>
            </w:pPr>
          </w:p>
        </w:tc>
        <w:tc>
          <w:tcPr>
            <w:tcW w:w="723" w:type="pct"/>
            <w:tcBorders>
              <w:top w:val="single" w:sz="4" w:space="0" w:color="auto"/>
              <w:left w:val="single" w:sz="4" w:space="0" w:color="auto"/>
              <w:bottom w:val="single" w:sz="4" w:space="0" w:color="auto"/>
              <w:right w:val="single" w:sz="4" w:space="0" w:color="auto"/>
            </w:tcBorders>
          </w:tcPr>
          <w:p w14:paraId="3A4F4D60" w14:textId="77777777" w:rsidR="00B206FE" w:rsidRPr="00B0658A" w:rsidRDefault="00B206FE" w:rsidP="00004A41">
            <w:pPr>
              <w:pStyle w:val="ConsPlusNormal"/>
            </w:pPr>
          </w:p>
        </w:tc>
        <w:tc>
          <w:tcPr>
            <w:tcW w:w="1019" w:type="pct"/>
            <w:tcBorders>
              <w:top w:val="single" w:sz="4" w:space="0" w:color="auto"/>
              <w:left w:val="single" w:sz="4" w:space="0" w:color="auto"/>
              <w:bottom w:val="single" w:sz="4" w:space="0" w:color="auto"/>
              <w:right w:val="single" w:sz="4" w:space="0" w:color="auto"/>
            </w:tcBorders>
          </w:tcPr>
          <w:p w14:paraId="0F583797" w14:textId="77777777" w:rsidR="00B206FE" w:rsidRPr="00B0658A" w:rsidRDefault="00B206FE" w:rsidP="00004A41">
            <w:pPr>
              <w:pStyle w:val="ConsPlusNormal"/>
            </w:pPr>
          </w:p>
        </w:tc>
      </w:tr>
      <w:tr w:rsidR="00F52FED" w:rsidRPr="00B0658A" w14:paraId="3F293CD4" w14:textId="77777777" w:rsidTr="0020281A">
        <w:tc>
          <w:tcPr>
            <w:tcW w:w="209" w:type="pct"/>
            <w:tcBorders>
              <w:top w:val="single" w:sz="4" w:space="0" w:color="auto"/>
              <w:left w:val="single" w:sz="4" w:space="0" w:color="auto"/>
              <w:bottom w:val="single" w:sz="4" w:space="0" w:color="auto"/>
              <w:right w:val="single" w:sz="4" w:space="0" w:color="auto"/>
            </w:tcBorders>
          </w:tcPr>
          <w:p w14:paraId="6D282BD2" w14:textId="77777777" w:rsidR="00B206FE" w:rsidRPr="00B0658A" w:rsidRDefault="00B206FE" w:rsidP="00004A41">
            <w:pPr>
              <w:pStyle w:val="ConsPlusNormal"/>
              <w:rPr>
                <w:lang w:val="en-US"/>
              </w:rPr>
            </w:pPr>
            <w:r w:rsidRPr="00B0658A">
              <w:rPr>
                <w:lang w:val="en-US"/>
              </w:rPr>
              <w:t>2.n</w:t>
            </w:r>
          </w:p>
        </w:tc>
        <w:tc>
          <w:tcPr>
            <w:tcW w:w="701" w:type="pct"/>
            <w:tcBorders>
              <w:top w:val="single" w:sz="4" w:space="0" w:color="auto"/>
              <w:left w:val="single" w:sz="4" w:space="0" w:color="auto"/>
              <w:bottom w:val="single" w:sz="4" w:space="0" w:color="auto"/>
              <w:right w:val="single" w:sz="4" w:space="0" w:color="auto"/>
            </w:tcBorders>
          </w:tcPr>
          <w:p w14:paraId="3926153F" w14:textId="77777777" w:rsidR="00B206FE" w:rsidRPr="00B0658A" w:rsidRDefault="00B206FE" w:rsidP="00004A41">
            <w:pPr>
              <w:pStyle w:val="ConsPlusNormal"/>
            </w:pPr>
          </w:p>
        </w:tc>
        <w:tc>
          <w:tcPr>
            <w:tcW w:w="1144" w:type="pct"/>
            <w:tcBorders>
              <w:top w:val="single" w:sz="4" w:space="0" w:color="auto"/>
              <w:left w:val="single" w:sz="4" w:space="0" w:color="auto"/>
              <w:bottom w:val="single" w:sz="4" w:space="0" w:color="auto"/>
              <w:right w:val="single" w:sz="4" w:space="0" w:color="auto"/>
            </w:tcBorders>
          </w:tcPr>
          <w:p w14:paraId="0509D267" w14:textId="77777777" w:rsidR="00B206FE" w:rsidRPr="00B0658A" w:rsidRDefault="00B206FE" w:rsidP="00004A41">
            <w:pPr>
              <w:pStyle w:val="ConsPlusNormal"/>
            </w:pPr>
          </w:p>
        </w:tc>
        <w:tc>
          <w:tcPr>
            <w:tcW w:w="1204" w:type="pct"/>
            <w:tcBorders>
              <w:top w:val="single" w:sz="4" w:space="0" w:color="auto"/>
              <w:left w:val="single" w:sz="4" w:space="0" w:color="auto"/>
              <w:bottom w:val="single" w:sz="4" w:space="0" w:color="auto"/>
              <w:right w:val="single" w:sz="4" w:space="0" w:color="auto"/>
            </w:tcBorders>
          </w:tcPr>
          <w:p w14:paraId="64D97BF4" w14:textId="77777777" w:rsidR="00B206FE" w:rsidRPr="00B0658A" w:rsidRDefault="00B206FE" w:rsidP="00004A41">
            <w:pPr>
              <w:pStyle w:val="ConsPlusNormal"/>
            </w:pPr>
          </w:p>
        </w:tc>
        <w:tc>
          <w:tcPr>
            <w:tcW w:w="723" w:type="pct"/>
            <w:tcBorders>
              <w:top w:val="single" w:sz="4" w:space="0" w:color="auto"/>
              <w:left w:val="single" w:sz="4" w:space="0" w:color="auto"/>
              <w:bottom w:val="single" w:sz="4" w:space="0" w:color="auto"/>
              <w:right w:val="single" w:sz="4" w:space="0" w:color="auto"/>
            </w:tcBorders>
          </w:tcPr>
          <w:p w14:paraId="067524DF" w14:textId="77777777" w:rsidR="00B206FE" w:rsidRPr="00B0658A" w:rsidRDefault="00B206FE" w:rsidP="00004A41">
            <w:pPr>
              <w:pStyle w:val="ConsPlusNormal"/>
            </w:pPr>
          </w:p>
        </w:tc>
        <w:tc>
          <w:tcPr>
            <w:tcW w:w="1019" w:type="pct"/>
            <w:tcBorders>
              <w:top w:val="single" w:sz="4" w:space="0" w:color="auto"/>
              <w:left w:val="single" w:sz="4" w:space="0" w:color="auto"/>
              <w:bottom w:val="single" w:sz="4" w:space="0" w:color="auto"/>
              <w:right w:val="single" w:sz="4" w:space="0" w:color="auto"/>
            </w:tcBorders>
          </w:tcPr>
          <w:p w14:paraId="571441B2" w14:textId="77777777" w:rsidR="00B206FE" w:rsidRPr="00B0658A" w:rsidRDefault="00B206FE" w:rsidP="00004A41">
            <w:pPr>
              <w:pStyle w:val="ConsPlusNormal"/>
            </w:pPr>
          </w:p>
        </w:tc>
      </w:tr>
      <w:tr w:rsidR="00F52FED" w:rsidRPr="00B0658A" w14:paraId="678E7933" w14:textId="77777777" w:rsidTr="0020281A">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2C0F71D3" w14:textId="77777777" w:rsidR="003279CD" w:rsidRPr="00B0658A" w:rsidRDefault="003279CD" w:rsidP="00004A41">
            <w:pPr>
              <w:pStyle w:val="ConsPlusNormal"/>
              <w:jc w:val="center"/>
            </w:pPr>
            <w:r w:rsidRPr="00B0658A">
              <w:rPr>
                <w:b/>
              </w:rPr>
              <w:t xml:space="preserve">Государственные и ведомственные информационные системы, подлежащие переводу на использование российского ПО до </w:t>
            </w:r>
            <w:r w:rsidRPr="00B0658A">
              <w:rPr>
                <w:b/>
              </w:rPr>
              <w:lastRenderedPageBreak/>
              <w:t>31.12.2027 г.</w:t>
            </w:r>
          </w:p>
        </w:tc>
      </w:tr>
      <w:tr w:rsidR="00F52FED" w:rsidRPr="00B0658A" w14:paraId="472F8CBC" w14:textId="77777777" w:rsidTr="00075077">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5FCC99A7" w14:textId="77777777" w:rsidR="00B206FE" w:rsidRPr="00B0658A" w:rsidRDefault="007358C5" w:rsidP="00004A41">
            <w:pPr>
              <w:pStyle w:val="ConsPlusNormal"/>
            </w:pPr>
            <w:r w:rsidRPr="00B0658A">
              <w:lastRenderedPageBreak/>
              <w:t>3</w:t>
            </w:r>
            <w:r w:rsidR="00B206FE" w:rsidRPr="00B0658A">
              <w:t xml:space="preserve">. Мероприятия по переводу ________  (наименование государственной или ведомственной информационной системы № </w:t>
            </w:r>
            <w:r w:rsidRPr="00B0658A">
              <w:t>3</w:t>
            </w:r>
            <w:r w:rsidR="00B206FE" w:rsidRPr="00B0658A">
              <w:t xml:space="preserve">) </w:t>
            </w:r>
            <w:r w:rsidR="0085770D" w:rsidRPr="00B0658A">
              <w:t>использование российского ПО</w:t>
            </w:r>
          </w:p>
        </w:tc>
      </w:tr>
      <w:tr w:rsidR="00F52FED" w:rsidRPr="00B0658A" w14:paraId="0C87318A" w14:textId="77777777" w:rsidTr="00075077">
        <w:tc>
          <w:tcPr>
            <w:tcW w:w="209" w:type="pct"/>
            <w:tcBorders>
              <w:top w:val="single" w:sz="4" w:space="0" w:color="auto"/>
              <w:left w:val="single" w:sz="4" w:space="0" w:color="auto"/>
              <w:bottom w:val="single" w:sz="4" w:space="0" w:color="auto"/>
              <w:right w:val="single" w:sz="4" w:space="0" w:color="auto"/>
            </w:tcBorders>
          </w:tcPr>
          <w:p w14:paraId="0636E5D0" w14:textId="77777777" w:rsidR="00B206FE" w:rsidRPr="00B0658A" w:rsidRDefault="007358C5" w:rsidP="00004A41">
            <w:pPr>
              <w:pStyle w:val="ConsPlusNormal"/>
              <w:rPr>
                <w:lang w:val="en-US"/>
              </w:rPr>
            </w:pPr>
            <w:r w:rsidRPr="00B0658A">
              <w:t>3</w:t>
            </w:r>
            <w:r w:rsidR="00B206FE" w:rsidRPr="00B0658A">
              <w:rPr>
                <w:lang w:val="en-US"/>
              </w:rPr>
              <w:t>.1</w:t>
            </w:r>
          </w:p>
        </w:tc>
        <w:tc>
          <w:tcPr>
            <w:tcW w:w="701" w:type="pct"/>
            <w:tcBorders>
              <w:top w:val="single" w:sz="4" w:space="0" w:color="auto"/>
              <w:left w:val="single" w:sz="4" w:space="0" w:color="auto"/>
              <w:bottom w:val="single" w:sz="4" w:space="0" w:color="auto"/>
              <w:right w:val="single" w:sz="4" w:space="0" w:color="auto"/>
            </w:tcBorders>
          </w:tcPr>
          <w:p w14:paraId="031B040E" w14:textId="77777777" w:rsidR="00B206FE" w:rsidRPr="00B0658A" w:rsidRDefault="00B206FE" w:rsidP="00004A41">
            <w:pPr>
              <w:pStyle w:val="ConsPlusNormal"/>
            </w:pPr>
          </w:p>
        </w:tc>
        <w:tc>
          <w:tcPr>
            <w:tcW w:w="1144" w:type="pct"/>
            <w:tcBorders>
              <w:top w:val="single" w:sz="4" w:space="0" w:color="auto"/>
              <w:left w:val="single" w:sz="4" w:space="0" w:color="auto"/>
              <w:bottom w:val="single" w:sz="4" w:space="0" w:color="auto"/>
              <w:right w:val="single" w:sz="4" w:space="0" w:color="auto"/>
            </w:tcBorders>
          </w:tcPr>
          <w:p w14:paraId="3E7735FF" w14:textId="77777777" w:rsidR="00B206FE" w:rsidRPr="00B0658A" w:rsidRDefault="00B206FE" w:rsidP="00004A41">
            <w:pPr>
              <w:pStyle w:val="ConsPlusNormal"/>
            </w:pPr>
          </w:p>
        </w:tc>
        <w:tc>
          <w:tcPr>
            <w:tcW w:w="1204" w:type="pct"/>
            <w:tcBorders>
              <w:top w:val="single" w:sz="4" w:space="0" w:color="auto"/>
              <w:left w:val="single" w:sz="4" w:space="0" w:color="auto"/>
              <w:bottom w:val="single" w:sz="4" w:space="0" w:color="auto"/>
              <w:right w:val="single" w:sz="4" w:space="0" w:color="auto"/>
            </w:tcBorders>
          </w:tcPr>
          <w:p w14:paraId="7E5F5838" w14:textId="77777777" w:rsidR="00B206FE" w:rsidRPr="00B0658A" w:rsidRDefault="00B206FE" w:rsidP="00004A41">
            <w:pPr>
              <w:pStyle w:val="ConsPlusNormal"/>
            </w:pPr>
          </w:p>
        </w:tc>
        <w:tc>
          <w:tcPr>
            <w:tcW w:w="723" w:type="pct"/>
            <w:tcBorders>
              <w:top w:val="single" w:sz="4" w:space="0" w:color="auto"/>
              <w:left w:val="single" w:sz="4" w:space="0" w:color="auto"/>
              <w:bottom w:val="single" w:sz="4" w:space="0" w:color="auto"/>
              <w:right w:val="single" w:sz="4" w:space="0" w:color="auto"/>
            </w:tcBorders>
          </w:tcPr>
          <w:p w14:paraId="2AC8525C" w14:textId="77777777" w:rsidR="00B206FE" w:rsidRPr="00B0658A" w:rsidRDefault="00B206FE" w:rsidP="00004A41">
            <w:pPr>
              <w:pStyle w:val="ConsPlusNormal"/>
            </w:pPr>
          </w:p>
        </w:tc>
        <w:tc>
          <w:tcPr>
            <w:tcW w:w="1019" w:type="pct"/>
            <w:tcBorders>
              <w:top w:val="single" w:sz="4" w:space="0" w:color="auto"/>
              <w:left w:val="single" w:sz="4" w:space="0" w:color="auto"/>
              <w:bottom w:val="single" w:sz="4" w:space="0" w:color="auto"/>
              <w:right w:val="single" w:sz="4" w:space="0" w:color="auto"/>
            </w:tcBorders>
          </w:tcPr>
          <w:p w14:paraId="620C4A31" w14:textId="77777777" w:rsidR="00B206FE" w:rsidRPr="00B0658A" w:rsidRDefault="00B206FE" w:rsidP="00004A41">
            <w:pPr>
              <w:pStyle w:val="ConsPlusNormal"/>
            </w:pPr>
          </w:p>
        </w:tc>
      </w:tr>
      <w:tr w:rsidR="00F52FED" w:rsidRPr="00B0658A" w14:paraId="2382EA2E" w14:textId="77777777" w:rsidTr="00075077">
        <w:tc>
          <w:tcPr>
            <w:tcW w:w="209" w:type="pct"/>
            <w:tcBorders>
              <w:top w:val="single" w:sz="4" w:space="0" w:color="auto"/>
              <w:left w:val="single" w:sz="4" w:space="0" w:color="auto"/>
              <w:bottom w:val="single" w:sz="4" w:space="0" w:color="auto"/>
              <w:right w:val="single" w:sz="4" w:space="0" w:color="auto"/>
            </w:tcBorders>
          </w:tcPr>
          <w:p w14:paraId="398438A6" w14:textId="77777777" w:rsidR="00B206FE" w:rsidRPr="00B0658A" w:rsidRDefault="007358C5" w:rsidP="00004A41">
            <w:pPr>
              <w:pStyle w:val="ConsPlusNormal"/>
              <w:rPr>
                <w:lang w:val="en-US"/>
              </w:rPr>
            </w:pPr>
            <w:r w:rsidRPr="00B0658A">
              <w:t>3</w:t>
            </w:r>
            <w:r w:rsidR="00B206FE" w:rsidRPr="00B0658A">
              <w:rPr>
                <w:lang w:val="en-US"/>
              </w:rPr>
              <w:t>.2</w:t>
            </w:r>
          </w:p>
        </w:tc>
        <w:tc>
          <w:tcPr>
            <w:tcW w:w="701" w:type="pct"/>
            <w:tcBorders>
              <w:top w:val="single" w:sz="4" w:space="0" w:color="auto"/>
              <w:left w:val="single" w:sz="4" w:space="0" w:color="auto"/>
              <w:bottom w:val="single" w:sz="4" w:space="0" w:color="auto"/>
              <w:right w:val="single" w:sz="4" w:space="0" w:color="auto"/>
            </w:tcBorders>
          </w:tcPr>
          <w:p w14:paraId="207E1704" w14:textId="77777777" w:rsidR="00B206FE" w:rsidRPr="00B0658A" w:rsidRDefault="00B206FE" w:rsidP="00004A41">
            <w:pPr>
              <w:pStyle w:val="ConsPlusNormal"/>
            </w:pPr>
          </w:p>
        </w:tc>
        <w:tc>
          <w:tcPr>
            <w:tcW w:w="1144" w:type="pct"/>
            <w:tcBorders>
              <w:top w:val="single" w:sz="4" w:space="0" w:color="auto"/>
              <w:left w:val="single" w:sz="4" w:space="0" w:color="auto"/>
              <w:bottom w:val="single" w:sz="4" w:space="0" w:color="auto"/>
              <w:right w:val="single" w:sz="4" w:space="0" w:color="auto"/>
            </w:tcBorders>
          </w:tcPr>
          <w:p w14:paraId="2045BEB6" w14:textId="77777777" w:rsidR="00B206FE" w:rsidRPr="00B0658A" w:rsidRDefault="00B206FE" w:rsidP="00004A41">
            <w:pPr>
              <w:pStyle w:val="ConsPlusNormal"/>
            </w:pPr>
          </w:p>
        </w:tc>
        <w:tc>
          <w:tcPr>
            <w:tcW w:w="1204" w:type="pct"/>
            <w:tcBorders>
              <w:top w:val="single" w:sz="4" w:space="0" w:color="auto"/>
              <w:left w:val="single" w:sz="4" w:space="0" w:color="auto"/>
              <w:bottom w:val="single" w:sz="4" w:space="0" w:color="auto"/>
              <w:right w:val="single" w:sz="4" w:space="0" w:color="auto"/>
            </w:tcBorders>
          </w:tcPr>
          <w:p w14:paraId="2EB1FFD2" w14:textId="77777777" w:rsidR="00B206FE" w:rsidRPr="00B0658A" w:rsidRDefault="00B206FE" w:rsidP="00004A41">
            <w:pPr>
              <w:pStyle w:val="ConsPlusNormal"/>
            </w:pPr>
          </w:p>
        </w:tc>
        <w:tc>
          <w:tcPr>
            <w:tcW w:w="723" w:type="pct"/>
            <w:tcBorders>
              <w:top w:val="single" w:sz="4" w:space="0" w:color="auto"/>
              <w:left w:val="single" w:sz="4" w:space="0" w:color="auto"/>
              <w:bottom w:val="single" w:sz="4" w:space="0" w:color="auto"/>
              <w:right w:val="single" w:sz="4" w:space="0" w:color="auto"/>
            </w:tcBorders>
          </w:tcPr>
          <w:p w14:paraId="7DAFDB80" w14:textId="77777777" w:rsidR="00B206FE" w:rsidRPr="00B0658A" w:rsidRDefault="00B206FE" w:rsidP="00004A41">
            <w:pPr>
              <w:pStyle w:val="ConsPlusNormal"/>
            </w:pPr>
          </w:p>
        </w:tc>
        <w:tc>
          <w:tcPr>
            <w:tcW w:w="1019" w:type="pct"/>
            <w:tcBorders>
              <w:top w:val="single" w:sz="4" w:space="0" w:color="auto"/>
              <w:left w:val="single" w:sz="4" w:space="0" w:color="auto"/>
              <w:bottom w:val="single" w:sz="4" w:space="0" w:color="auto"/>
              <w:right w:val="single" w:sz="4" w:space="0" w:color="auto"/>
            </w:tcBorders>
          </w:tcPr>
          <w:p w14:paraId="5E84B0E3" w14:textId="77777777" w:rsidR="00B206FE" w:rsidRPr="00B0658A" w:rsidRDefault="00B206FE" w:rsidP="00004A41">
            <w:pPr>
              <w:pStyle w:val="ConsPlusNormal"/>
            </w:pPr>
          </w:p>
        </w:tc>
      </w:tr>
      <w:tr w:rsidR="00F52FED" w:rsidRPr="00B0658A" w14:paraId="63099AD8" w14:textId="77777777" w:rsidTr="00075077">
        <w:tc>
          <w:tcPr>
            <w:tcW w:w="209" w:type="pct"/>
            <w:tcBorders>
              <w:top w:val="single" w:sz="4" w:space="0" w:color="auto"/>
              <w:left w:val="single" w:sz="4" w:space="0" w:color="auto"/>
              <w:bottom w:val="single" w:sz="4" w:space="0" w:color="auto"/>
              <w:right w:val="single" w:sz="4" w:space="0" w:color="auto"/>
            </w:tcBorders>
          </w:tcPr>
          <w:p w14:paraId="705EA7E5" w14:textId="77777777" w:rsidR="00B206FE" w:rsidRPr="00B0658A" w:rsidRDefault="00B206FE" w:rsidP="00004A41">
            <w:pPr>
              <w:pStyle w:val="ConsPlusNormal"/>
              <w:rPr>
                <w:lang w:val="en-US"/>
              </w:rPr>
            </w:pPr>
            <w:r w:rsidRPr="00B0658A">
              <w:rPr>
                <w:lang w:val="en-US"/>
              </w:rPr>
              <w:t>…</w:t>
            </w:r>
          </w:p>
        </w:tc>
        <w:tc>
          <w:tcPr>
            <w:tcW w:w="701" w:type="pct"/>
            <w:tcBorders>
              <w:top w:val="single" w:sz="4" w:space="0" w:color="auto"/>
              <w:left w:val="single" w:sz="4" w:space="0" w:color="auto"/>
              <w:bottom w:val="single" w:sz="4" w:space="0" w:color="auto"/>
              <w:right w:val="single" w:sz="4" w:space="0" w:color="auto"/>
            </w:tcBorders>
          </w:tcPr>
          <w:p w14:paraId="7A5BFD71" w14:textId="77777777" w:rsidR="00B206FE" w:rsidRPr="00B0658A" w:rsidRDefault="00B206FE" w:rsidP="00004A41">
            <w:pPr>
              <w:pStyle w:val="ConsPlusNormal"/>
            </w:pPr>
          </w:p>
        </w:tc>
        <w:tc>
          <w:tcPr>
            <w:tcW w:w="1144" w:type="pct"/>
            <w:tcBorders>
              <w:top w:val="single" w:sz="4" w:space="0" w:color="auto"/>
              <w:left w:val="single" w:sz="4" w:space="0" w:color="auto"/>
              <w:bottom w:val="single" w:sz="4" w:space="0" w:color="auto"/>
              <w:right w:val="single" w:sz="4" w:space="0" w:color="auto"/>
            </w:tcBorders>
          </w:tcPr>
          <w:p w14:paraId="3616BEA1" w14:textId="77777777" w:rsidR="00B206FE" w:rsidRPr="00B0658A" w:rsidRDefault="00B206FE" w:rsidP="00004A41">
            <w:pPr>
              <w:pStyle w:val="ConsPlusNormal"/>
            </w:pPr>
          </w:p>
        </w:tc>
        <w:tc>
          <w:tcPr>
            <w:tcW w:w="1204" w:type="pct"/>
            <w:tcBorders>
              <w:top w:val="single" w:sz="4" w:space="0" w:color="auto"/>
              <w:left w:val="single" w:sz="4" w:space="0" w:color="auto"/>
              <w:bottom w:val="single" w:sz="4" w:space="0" w:color="auto"/>
              <w:right w:val="single" w:sz="4" w:space="0" w:color="auto"/>
            </w:tcBorders>
          </w:tcPr>
          <w:p w14:paraId="219BF397" w14:textId="77777777" w:rsidR="00B206FE" w:rsidRPr="00B0658A" w:rsidRDefault="00B206FE" w:rsidP="00004A41">
            <w:pPr>
              <w:pStyle w:val="ConsPlusNormal"/>
            </w:pPr>
          </w:p>
        </w:tc>
        <w:tc>
          <w:tcPr>
            <w:tcW w:w="723" w:type="pct"/>
            <w:tcBorders>
              <w:top w:val="single" w:sz="4" w:space="0" w:color="auto"/>
              <w:left w:val="single" w:sz="4" w:space="0" w:color="auto"/>
              <w:bottom w:val="single" w:sz="4" w:space="0" w:color="auto"/>
              <w:right w:val="single" w:sz="4" w:space="0" w:color="auto"/>
            </w:tcBorders>
          </w:tcPr>
          <w:p w14:paraId="76DCBE2B" w14:textId="77777777" w:rsidR="00B206FE" w:rsidRPr="00B0658A" w:rsidRDefault="00B206FE" w:rsidP="00004A41">
            <w:pPr>
              <w:pStyle w:val="ConsPlusNormal"/>
            </w:pPr>
          </w:p>
        </w:tc>
        <w:tc>
          <w:tcPr>
            <w:tcW w:w="1019" w:type="pct"/>
            <w:tcBorders>
              <w:top w:val="single" w:sz="4" w:space="0" w:color="auto"/>
              <w:left w:val="single" w:sz="4" w:space="0" w:color="auto"/>
              <w:bottom w:val="single" w:sz="4" w:space="0" w:color="auto"/>
              <w:right w:val="single" w:sz="4" w:space="0" w:color="auto"/>
            </w:tcBorders>
          </w:tcPr>
          <w:p w14:paraId="0D78816B" w14:textId="77777777" w:rsidR="00B206FE" w:rsidRPr="00B0658A" w:rsidRDefault="00B206FE" w:rsidP="00004A41">
            <w:pPr>
              <w:pStyle w:val="ConsPlusNormal"/>
            </w:pPr>
          </w:p>
        </w:tc>
      </w:tr>
      <w:tr w:rsidR="00F52FED" w:rsidRPr="00B0658A" w14:paraId="3296399F" w14:textId="77777777" w:rsidTr="00075077">
        <w:tc>
          <w:tcPr>
            <w:tcW w:w="209" w:type="pct"/>
            <w:tcBorders>
              <w:top w:val="single" w:sz="4" w:space="0" w:color="auto"/>
              <w:left w:val="single" w:sz="4" w:space="0" w:color="auto"/>
              <w:bottom w:val="single" w:sz="4" w:space="0" w:color="auto"/>
              <w:right w:val="single" w:sz="4" w:space="0" w:color="auto"/>
            </w:tcBorders>
          </w:tcPr>
          <w:p w14:paraId="02863A6C" w14:textId="77777777" w:rsidR="00B206FE" w:rsidRPr="00B0658A" w:rsidRDefault="007358C5" w:rsidP="00004A41">
            <w:pPr>
              <w:pStyle w:val="ConsPlusNormal"/>
              <w:rPr>
                <w:b/>
              </w:rPr>
            </w:pPr>
            <w:r w:rsidRPr="00B0658A">
              <w:t>3</w:t>
            </w:r>
            <w:r w:rsidR="00B206FE" w:rsidRPr="00B0658A">
              <w:rPr>
                <w:lang w:val="en-US"/>
              </w:rPr>
              <w:t>.n</w:t>
            </w:r>
          </w:p>
        </w:tc>
        <w:tc>
          <w:tcPr>
            <w:tcW w:w="701" w:type="pct"/>
            <w:tcBorders>
              <w:top w:val="single" w:sz="4" w:space="0" w:color="auto"/>
              <w:left w:val="single" w:sz="4" w:space="0" w:color="auto"/>
              <w:bottom w:val="single" w:sz="4" w:space="0" w:color="auto"/>
              <w:right w:val="single" w:sz="4" w:space="0" w:color="auto"/>
            </w:tcBorders>
          </w:tcPr>
          <w:p w14:paraId="727BEE90" w14:textId="77777777" w:rsidR="00B206FE" w:rsidRPr="00B0658A" w:rsidRDefault="00B206FE" w:rsidP="00004A41">
            <w:pPr>
              <w:pStyle w:val="ConsPlusNormal"/>
            </w:pPr>
          </w:p>
        </w:tc>
        <w:tc>
          <w:tcPr>
            <w:tcW w:w="1144" w:type="pct"/>
            <w:tcBorders>
              <w:top w:val="single" w:sz="4" w:space="0" w:color="auto"/>
              <w:left w:val="single" w:sz="4" w:space="0" w:color="auto"/>
              <w:bottom w:val="single" w:sz="4" w:space="0" w:color="auto"/>
              <w:right w:val="single" w:sz="4" w:space="0" w:color="auto"/>
            </w:tcBorders>
          </w:tcPr>
          <w:p w14:paraId="177C0666" w14:textId="77777777" w:rsidR="00B206FE" w:rsidRPr="00B0658A" w:rsidRDefault="00B206FE" w:rsidP="00004A41">
            <w:pPr>
              <w:pStyle w:val="ConsPlusNormal"/>
            </w:pPr>
          </w:p>
        </w:tc>
        <w:tc>
          <w:tcPr>
            <w:tcW w:w="1204" w:type="pct"/>
            <w:tcBorders>
              <w:top w:val="single" w:sz="4" w:space="0" w:color="auto"/>
              <w:left w:val="single" w:sz="4" w:space="0" w:color="auto"/>
              <w:bottom w:val="single" w:sz="4" w:space="0" w:color="auto"/>
              <w:right w:val="single" w:sz="4" w:space="0" w:color="auto"/>
            </w:tcBorders>
          </w:tcPr>
          <w:p w14:paraId="0C0E39D2" w14:textId="77777777" w:rsidR="00B206FE" w:rsidRPr="00B0658A" w:rsidRDefault="00B206FE" w:rsidP="00004A41">
            <w:pPr>
              <w:pStyle w:val="ConsPlusNormal"/>
            </w:pPr>
          </w:p>
        </w:tc>
        <w:tc>
          <w:tcPr>
            <w:tcW w:w="723" w:type="pct"/>
            <w:tcBorders>
              <w:top w:val="single" w:sz="4" w:space="0" w:color="auto"/>
              <w:left w:val="single" w:sz="4" w:space="0" w:color="auto"/>
              <w:bottom w:val="single" w:sz="4" w:space="0" w:color="auto"/>
              <w:right w:val="single" w:sz="4" w:space="0" w:color="auto"/>
            </w:tcBorders>
          </w:tcPr>
          <w:p w14:paraId="18CCDAB3" w14:textId="77777777" w:rsidR="00B206FE" w:rsidRPr="00B0658A" w:rsidRDefault="00B206FE" w:rsidP="00004A41">
            <w:pPr>
              <w:pStyle w:val="ConsPlusNormal"/>
            </w:pPr>
          </w:p>
        </w:tc>
        <w:tc>
          <w:tcPr>
            <w:tcW w:w="1019" w:type="pct"/>
            <w:tcBorders>
              <w:top w:val="single" w:sz="4" w:space="0" w:color="auto"/>
              <w:left w:val="single" w:sz="4" w:space="0" w:color="auto"/>
              <w:bottom w:val="single" w:sz="4" w:space="0" w:color="auto"/>
              <w:right w:val="single" w:sz="4" w:space="0" w:color="auto"/>
            </w:tcBorders>
          </w:tcPr>
          <w:p w14:paraId="05EEBB5B" w14:textId="77777777" w:rsidR="00B206FE" w:rsidRPr="00B0658A" w:rsidRDefault="00B206FE" w:rsidP="00004A41">
            <w:pPr>
              <w:pStyle w:val="ConsPlusNormal"/>
            </w:pPr>
          </w:p>
        </w:tc>
      </w:tr>
      <w:tr w:rsidR="00F52FED" w:rsidRPr="00B0658A" w14:paraId="0FA285D4" w14:textId="77777777" w:rsidTr="00075077">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482D5F01" w14:textId="77777777" w:rsidR="00B206FE" w:rsidRPr="00B0658A" w:rsidRDefault="007358C5" w:rsidP="00004A41">
            <w:pPr>
              <w:pStyle w:val="ConsPlusNormal"/>
            </w:pPr>
            <w:r w:rsidRPr="00B0658A">
              <w:t>4</w:t>
            </w:r>
            <w:r w:rsidR="00B206FE" w:rsidRPr="00B0658A">
              <w:t>. Мероприятия по переводу ________  (наименование государственной или ведомственной информационной системы №</w:t>
            </w:r>
            <w:r w:rsidRPr="00B0658A">
              <w:t xml:space="preserve"> 4</w:t>
            </w:r>
            <w:r w:rsidR="00B206FE" w:rsidRPr="00B0658A">
              <w:t xml:space="preserve">) на российское </w:t>
            </w:r>
            <w:r w:rsidR="00B65953" w:rsidRPr="00B0658A">
              <w:t>ПО</w:t>
            </w:r>
          </w:p>
        </w:tc>
      </w:tr>
      <w:tr w:rsidR="00F52FED" w:rsidRPr="00B0658A" w14:paraId="79E6A0FA" w14:textId="77777777" w:rsidTr="00075077">
        <w:tc>
          <w:tcPr>
            <w:tcW w:w="209" w:type="pct"/>
            <w:tcBorders>
              <w:top w:val="single" w:sz="4" w:space="0" w:color="auto"/>
              <w:left w:val="single" w:sz="4" w:space="0" w:color="auto"/>
              <w:bottom w:val="single" w:sz="4" w:space="0" w:color="auto"/>
              <w:right w:val="single" w:sz="4" w:space="0" w:color="auto"/>
            </w:tcBorders>
          </w:tcPr>
          <w:p w14:paraId="68F4CF09" w14:textId="77777777" w:rsidR="00B206FE" w:rsidRPr="00B0658A" w:rsidRDefault="007358C5" w:rsidP="00004A41">
            <w:pPr>
              <w:pStyle w:val="ConsPlusNormal"/>
            </w:pPr>
            <w:r w:rsidRPr="00B0658A">
              <w:t>4</w:t>
            </w:r>
            <w:r w:rsidR="00B206FE" w:rsidRPr="00B0658A">
              <w:rPr>
                <w:lang w:val="en-US"/>
              </w:rPr>
              <w:t>.1</w:t>
            </w:r>
          </w:p>
        </w:tc>
        <w:tc>
          <w:tcPr>
            <w:tcW w:w="701" w:type="pct"/>
            <w:tcBorders>
              <w:top w:val="single" w:sz="4" w:space="0" w:color="auto"/>
              <w:left w:val="single" w:sz="4" w:space="0" w:color="auto"/>
              <w:bottom w:val="single" w:sz="4" w:space="0" w:color="auto"/>
              <w:right w:val="single" w:sz="4" w:space="0" w:color="auto"/>
            </w:tcBorders>
          </w:tcPr>
          <w:p w14:paraId="12B76EE1" w14:textId="77777777" w:rsidR="00B206FE" w:rsidRPr="00B0658A" w:rsidRDefault="00B206FE" w:rsidP="00004A41">
            <w:pPr>
              <w:pStyle w:val="ConsPlusNormal"/>
            </w:pPr>
          </w:p>
        </w:tc>
        <w:tc>
          <w:tcPr>
            <w:tcW w:w="1144" w:type="pct"/>
            <w:tcBorders>
              <w:top w:val="single" w:sz="4" w:space="0" w:color="auto"/>
              <w:left w:val="single" w:sz="4" w:space="0" w:color="auto"/>
              <w:bottom w:val="single" w:sz="4" w:space="0" w:color="auto"/>
              <w:right w:val="single" w:sz="4" w:space="0" w:color="auto"/>
            </w:tcBorders>
          </w:tcPr>
          <w:p w14:paraId="222562B7" w14:textId="77777777" w:rsidR="00B206FE" w:rsidRPr="00B0658A" w:rsidRDefault="00B206FE" w:rsidP="00004A41">
            <w:pPr>
              <w:pStyle w:val="ConsPlusNormal"/>
            </w:pPr>
          </w:p>
        </w:tc>
        <w:tc>
          <w:tcPr>
            <w:tcW w:w="1204" w:type="pct"/>
            <w:tcBorders>
              <w:top w:val="single" w:sz="4" w:space="0" w:color="auto"/>
              <w:left w:val="single" w:sz="4" w:space="0" w:color="auto"/>
              <w:bottom w:val="single" w:sz="4" w:space="0" w:color="auto"/>
              <w:right w:val="single" w:sz="4" w:space="0" w:color="auto"/>
            </w:tcBorders>
          </w:tcPr>
          <w:p w14:paraId="0F48CA12" w14:textId="77777777" w:rsidR="00B206FE" w:rsidRPr="00B0658A" w:rsidRDefault="00B206FE" w:rsidP="00004A41">
            <w:pPr>
              <w:pStyle w:val="ConsPlusNormal"/>
            </w:pPr>
          </w:p>
        </w:tc>
        <w:tc>
          <w:tcPr>
            <w:tcW w:w="723" w:type="pct"/>
            <w:tcBorders>
              <w:top w:val="single" w:sz="4" w:space="0" w:color="auto"/>
              <w:left w:val="single" w:sz="4" w:space="0" w:color="auto"/>
              <w:bottom w:val="single" w:sz="4" w:space="0" w:color="auto"/>
              <w:right w:val="single" w:sz="4" w:space="0" w:color="auto"/>
            </w:tcBorders>
          </w:tcPr>
          <w:p w14:paraId="767CC1DE" w14:textId="77777777" w:rsidR="00B206FE" w:rsidRPr="00B0658A" w:rsidRDefault="00B206FE" w:rsidP="00004A41">
            <w:pPr>
              <w:pStyle w:val="ConsPlusNormal"/>
            </w:pPr>
          </w:p>
        </w:tc>
        <w:tc>
          <w:tcPr>
            <w:tcW w:w="1019" w:type="pct"/>
            <w:tcBorders>
              <w:top w:val="single" w:sz="4" w:space="0" w:color="auto"/>
              <w:left w:val="single" w:sz="4" w:space="0" w:color="auto"/>
              <w:bottom w:val="single" w:sz="4" w:space="0" w:color="auto"/>
              <w:right w:val="single" w:sz="4" w:space="0" w:color="auto"/>
            </w:tcBorders>
          </w:tcPr>
          <w:p w14:paraId="2B265DBB" w14:textId="77777777" w:rsidR="00B206FE" w:rsidRPr="00B0658A" w:rsidRDefault="00B206FE" w:rsidP="00004A41">
            <w:pPr>
              <w:pStyle w:val="ConsPlusNormal"/>
            </w:pPr>
          </w:p>
        </w:tc>
      </w:tr>
      <w:tr w:rsidR="00F52FED" w:rsidRPr="00B0658A" w14:paraId="21A5CF5A" w14:textId="77777777" w:rsidTr="00075077">
        <w:tc>
          <w:tcPr>
            <w:tcW w:w="209" w:type="pct"/>
            <w:tcBorders>
              <w:top w:val="single" w:sz="4" w:space="0" w:color="auto"/>
              <w:left w:val="single" w:sz="4" w:space="0" w:color="auto"/>
              <w:bottom w:val="single" w:sz="4" w:space="0" w:color="auto"/>
              <w:right w:val="single" w:sz="4" w:space="0" w:color="auto"/>
            </w:tcBorders>
          </w:tcPr>
          <w:p w14:paraId="1FBA930E" w14:textId="77777777" w:rsidR="00B206FE" w:rsidRPr="00B0658A" w:rsidRDefault="007358C5" w:rsidP="00004A41">
            <w:pPr>
              <w:pStyle w:val="ConsPlusNormal"/>
            </w:pPr>
            <w:r w:rsidRPr="00B0658A">
              <w:t>4</w:t>
            </w:r>
            <w:r w:rsidR="00B206FE" w:rsidRPr="00B0658A">
              <w:rPr>
                <w:lang w:val="en-US"/>
              </w:rPr>
              <w:t>.2</w:t>
            </w:r>
          </w:p>
        </w:tc>
        <w:tc>
          <w:tcPr>
            <w:tcW w:w="701" w:type="pct"/>
            <w:tcBorders>
              <w:top w:val="single" w:sz="4" w:space="0" w:color="auto"/>
              <w:left w:val="single" w:sz="4" w:space="0" w:color="auto"/>
              <w:bottom w:val="single" w:sz="4" w:space="0" w:color="auto"/>
              <w:right w:val="single" w:sz="4" w:space="0" w:color="auto"/>
            </w:tcBorders>
          </w:tcPr>
          <w:p w14:paraId="53A839DB" w14:textId="77777777" w:rsidR="00B206FE" w:rsidRPr="00B0658A" w:rsidRDefault="00B206FE" w:rsidP="00004A41">
            <w:pPr>
              <w:pStyle w:val="ConsPlusNormal"/>
            </w:pPr>
          </w:p>
        </w:tc>
        <w:tc>
          <w:tcPr>
            <w:tcW w:w="1144" w:type="pct"/>
            <w:tcBorders>
              <w:top w:val="single" w:sz="4" w:space="0" w:color="auto"/>
              <w:left w:val="single" w:sz="4" w:space="0" w:color="auto"/>
              <w:bottom w:val="single" w:sz="4" w:space="0" w:color="auto"/>
              <w:right w:val="single" w:sz="4" w:space="0" w:color="auto"/>
            </w:tcBorders>
          </w:tcPr>
          <w:p w14:paraId="77C0621E" w14:textId="77777777" w:rsidR="00B206FE" w:rsidRPr="00B0658A" w:rsidRDefault="00B206FE" w:rsidP="00004A41">
            <w:pPr>
              <w:pStyle w:val="ConsPlusNormal"/>
            </w:pPr>
          </w:p>
        </w:tc>
        <w:tc>
          <w:tcPr>
            <w:tcW w:w="1204" w:type="pct"/>
            <w:tcBorders>
              <w:top w:val="single" w:sz="4" w:space="0" w:color="auto"/>
              <w:left w:val="single" w:sz="4" w:space="0" w:color="auto"/>
              <w:bottom w:val="single" w:sz="4" w:space="0" w:color="auto"/>
              <w:right w:val="single" w:sz="4" w:space="0" w:color="auto"/>
            </w:tcBorders>
          </w:tcPr>
          <w:p w14:paraId="2A8117C1" w14:textId="77777777" w:rsidR="00B206FE" w:rsidRPr="00B0658A" w:rsidRDefault="00B206FE" w:rsidP="00004A41">
            <w:pPr>
              <w:pStyle w:val="ConsPlusNormal"/>
            </w:pPr>
          </w:p>
        </w:tc>
        <w:tc>
          <w:tcPr>
            <w:tcW w:w="723" w:type="pct"/>
            <w:tcBorders>
              <w:top w:val="single" w:sz="4" w:space="0" w:color="auto"/>
              <w:left w:val="single" w:sz="4" w:space="0" w:color="auto"/>
              <w:bottom w:val="single" w:sz="4" w:space="0" w:color="auto"/>
              <w:right w:val="single" w:sz="4" w:space="0" w:color="auto"/>
            </w:tcBorders>
          </w:tcPr>
          <w:p w14:paraId="35790E85" w14:textId="77777777" w:rsidR="00B206FE" w:rsidRPr="00B0658A" w:rsidRDefault="00B206FE" w:rsidP="00004A41">
            <w:pPr>
              <w:pStyle w:val="ConsPlusNormal"/>
            </w:pPr>
          </w:p>
        </w:tc>
        <w:tc>
          <w:tcPr>
            <w:tcW w:w="1019" w:type="pct"/>
            <w:tcBorders>
              <w:top w:val="single" w:sz="4" w:space="0" w:color="auto"/>
              <w:left w:val="single" w:sz="4" w:space="0" w:color="auto"/>
              <w:bottom w:val="single" w:sz="4" w:space="0" w:color="auto"/>
              <w:right w:val="single" w:sz="4" w:space="0" w:color="auto"/>
            </w:tcBorders>
          </w:tcPr>
          <w:p w14:paraId="002EE221" w14:textId="77777777" w:rsidR="00B206FE" w:rsidRPr="00B0658A" w:rsidRDefault="00B206FE" w:rsidP="00004A41">
            <w:pPr>
              <w:pStyle w:val="ConsPlusNormal"/>
            </w:pPr>
          </w:p>
        </w:tc>
      </w:tr>
      <w:tr w:rsidR="00F52FED" w:rsidRPr="00B0658A" w14:paraId="096CD46D" w14:textId="77777777" w:rsidTr="00075077">
        <w:tc>
          <w:tcPr>
            <w:tcW w:w="209" w:type="pct"/>
            <w:tcBorders>
              <w:top w:val="single" w:sz="4" w:space="0" w:color="auto"/>
              <w:left w:val="single" w:sz="4" w:space="0" w:color="auto"/>
              <w:bottom w:val="single" w:sz="4" w:space="0" w:color="auto"/>
              <w:right w:val="single" w:sz="4" w:space="0" w:color="auto"/>
            </w:tcBorders>
          </w:tcPr>
          <w:p w14:paraId="71106E7C" w14:textId="77777777" w:rsidR="00B206FE" w:rsidRPr="00B0658A" w:rsidRDefault="00B206FE" w:rsidP="00004A41">
            <w:pPr>
              <w:pStyle w:val="ConsPlusNormal"/>
            </w:pPr>
            <w:r w:rsidRPr="00B0658A">
              <w:rPr>
                <w:lang w:val="en-US"/>
              </w:rPr>
              <w:t>…</w:t>
            </w:r>
          </w:p>
        </w:tc>
        <w:tc>
          <w:tcPr>
            <w:tcW w:w="701" w:type="pct"/>
            <w:tcBorders>
              <w:top w:val="single" w:sz="4" w:space="0" w:color="auto"/>
              <w:left w:val="single" w:sz="4" w:space="0" w:color="auto"/>
              <w:bottom w:val="single" w:sz="4" w:space="0" w:color="auto"/>
              <w:right w:val="single" w:sz="4" w:space="0" w:color="auto"/>
            </w:tcBorders>
          </w:tcPr>
          <w:p w14:paraId="1E6B7B84" w14:textId="77777777" w:rsidR="00B206FE" w:rsidRPr="00B0658A" w:rsidRDefault="00B206FE" w:rsidP="00004A41">
            <w:pPr>
              <w:pStyle w:val="ConsPlusNormal"/>
            </w:pPr>
          </w:p>
        </w:tc>
        <w:tc>
          <w:tcPr>
            <w:tcW w:w="1144" w:type="pct"/>
            <w:tcBorders>
              <w:top w:val="single" w:sz="4" w:space="0" w:color="auto"/>
              <w:left w:val="single" w:sz="4" w:space="0" w:color="auto"/>
              <w:bottom w:val="single" w:sz="4" w:space="0" w:color="auto"/>
              <w:right w:val="single" w:sz="4" w:space="0" w:color="auto"/>
            </w:tcBorders>
          </w:tcPr>
          <w:p w14:paraId="1C6E4328" w14:textId="77777777" w:rsidR="00B206FE" w:rsidRPr="00B0658A" w:rsidRDefault="00B206FE" w:rsidP="00004A41">
            <w:pPr>
              <w:pStyle w:val="ConsPlusNormal"/>
            </w:pPr>
          </w:p>
        </w:tc>
        <w:tc>
          <w:tcPr>
            <w:tcW w:w="1204" w:type="pct"/>
            <w:tcBorders>
              <w:top w:val="single" w:sz="4" w:space="0" w:color="auto"/>
              <w:left w:val="single" w:sz="4" w:space="0" w:color="auto"/>
              <w:bottom w:val="single" w:sz="4" w:space="0" w:color="auto"/>
              <w:right w:val="single" w:sz="4" w:space="0" w:color="auto"/>
            </w:tcBorders>
          </w:tcPr>
          <w:p w14:paraId="4D1324F4" w14:textId="77777777" w:rsidR="00B206FE" w:rsidRPr="00B0658A" w:rsidRDefault="00B206FE" w:rsidP="00004A41">
            <w:pPr>
              <w:pStyle w:val="ConsPlusNormal"/>
            </w:pPr>
          </w:p>
        </w:tc>
        <w:tc>
          <w:tcPr>
            <w:tcW w:w="723" w:type="pct"/>
            <w:tcBorders>
              <w:top w:val="single" w:sz="4" w:space="0" w:color="auto"/>
              <w:left w:val="single" w:sz="4" w:space="0" w:color="auto"/>
              <w:bottom w:val="single" w:sz="4" w:space="0" w:color="auto"/>
              <w:right w:val="single" w:sz="4" w:space="0" w:color="auto"/>
            </w:tcBorders>
          </w:tcPr>
          <w:p w14:paraId="727D9328" w14:textId="77777777" w:rsidR="00B206FE" w:rsidRPr="00B0658A" w:rsidRDefault="00B206FE" w:rsidP="00004A41">
            <w:pPr>
              <w:pStyle w:val="ConsPlusNormal"/>
            </w:pPr>
          </w:p>
        </w:tc>
        <w:tc>
          <w:tcPr>
            <w:tcW w:w="1019" w:type="pct"/>
            <w:tcBorders>
              <w:top w:val="single" w:sz="4" w:space="0" w:color="auto"/>
              <w:left w:val="single" w:sz="4" w:space="0" w:color="auto"/>
              <w:bottom w:val="single" w:sz="4" w:space="0" w:color="auto"/>
              <w:right w:val="single" w:sz="4" w:space="0" w:color="auto"/>
            </w:tcBorders>
          </w:tcPr>
          <w:p w14:paraId="568362A9" w14:textId="77777777" w:rsidR="00B206FE" w:rsidRPr="00B0658A" w:rsidRDefault="00B206FE" w:rsidP="00004A41">
            <w:pPr>
              <w:pStyle w:val="ConsPlusNormal"/>
            </w:pPr>
          </w:p>
        </w:tc>
      </w:tr>
      <w:tr w:rsidR="00F52FED" w:rsidRPr="00B0658A" w14:paraId="061EEBCC" w14:textId="77777777" w:rsidTr="0020281A">
        <w:tc>
          <w:tcPr>
            <w:tcW w:w="209" w:type="pct"/>
            <w:tcBorders>
              <w:top w:val="single" w:sz="4" w:space="0" w:color="auto"/>
              <w:left w:val="single" w:sz="4" w:space="0" w:color="auto"/>
              <w:bottom w:val="single" w:sz="4" w:space="0" w:color="auto"/>
              <w:right w:val="single" w:sz="4" w:space="0" w:color="auto"/>
            </w:tcBorders>
          </w:tcPr>
          <w:p w14:paraId="2F1E03B5" w14:textId="77777777" w:rsidR="00B206FE" w:rsidRPr="00B0658A" w:rsidRDefault="007358C5" w:rsidP="00004A41">
            <w:pPr>
              <w:pStyle w:val="ConsPlusNormal"/>
            </w:pPr>
            <w:r w:rsidRPr="00B0658A">
              <w:t>4</w:t>
            </w:r>
            <w:r w:rsidR="00B206FE" w:rsidRPr="00B0658A">
              <w:rPr>
                <w:lang w:val="en-US"/>
              </w:rPr>
              <w:t>.n</w:t>
            </w:r>
          </w:p>
        </w:tc>
        <w:tc>
          <w:tcPr>
            <w:tcW w:w="701" w:type="pct"/>
            <w:tcBorders>
              <w:top w:val="single" w:sz="4" w:space="0" w:color="auto"/>
              <w:left w:val="single" w:sz="4" w:space="0" w:color="auto"/>
              <w:bottom w:val="single" w:sz="4" w:space="0" w:color="auto"/>
              <w:right w:val="single" w:sz="4" w:space="0" w:color="auto"/>
            </w:tcBorders>
          </w:tcPr>
          <w:p w14:paraId="2D8113BE" w14:textId="77777777" w:rsidR="00B206FE" w:rsidRPr="00B0658A" w:rsidRDefault="00B206FE" w:rsidP="00004A41">
            <w:pPr>
              <w:pStyle w:val="ConsPlusNormal"/>
            </w:pPr>
          </w:p>
        </w:tc>
        <w:tc>
          <w:tcPr>
            <w:tcW w:w="1144" w:type="pct"/>
            <w:tcBorders>
              <w:top w:val="single" w:sz="4" w:space="0" w:color="auto"/>
              <w:left w:val="single" w:sz="4" w:space="0" w:color="auto"/>
              <w:bottom w:val="single" w:sz="4" w:space="0" w:color="auto"/>
              <w:right w:val="single" w:sz="4" w:space="0" w:color="auto"/>
            </w:tcBorders>
          </w:tcPr>
          <w:p w14:paraId="4BDF2375" w14:textId="77777777" w:rsidR="00B206FE" w:rsidRPr="00B0658A" w:rsidRDefault="00B206FE" w:rsidP="00004A41">
            <w:pPr>
              <w:pStyle w:val="ConsPlusNormal"/>
            </w:pPr>
          </w:p>
        </w:tc>
        <w:tc>
          <w:tcPr>
            <w:tcW w:w="1204" w:type="pct"/>
            <w:tcBorders>
              <w:top w:val="single" w:sz="4" w:space="0" w:color="auto"/>
              <w:left w:val="single" w:sz="4" w:space="0" w:color="auto"/>
              <w:bottom w:val="single" w:sz="4" w:space="0" w:color="auto"/>
              <w:right w:val="single" w:sz="4" w:space="0" w:color="auto"/>
            </w:tcBorders>
          </w:tcPr>
          <w:p w14:paraId="4A602BA0" w14:textId="77777777" w:rsidR="00B206FE" w:rsidRPr="00B0658A" w:rsidRDefault="00B206FE" w:rsidP="00004A41">
            <w:pPr>
              <w:pStyle w:val="ConsPlusNormal"/>
            </w:pPr>
          </w:p>
        </w:tc>
        <w:tc>
          <w:tcPr>
            <w:tcW w:w="723" w:type="pct"/>
            <w:tcBorders>
              <w:top w:val="single" w:sz="4" w:space="0" w:color="auto"/>
              <w:left w:val="single" w:sz="4" w:space="0" w:color="auto"/>
              <w:bottom w:val="single" w:sz="4" w:space="0" w:color="auto"/>
              <w:right w:val="single" w:sz="4" w:space="0" w:color="auto"/>
            </w:tcBorders>
          </w:tcPr>
          <w:p w14:paraId="66767715" w14:textId="77777777" w:rsidR="00B206FE" w:rsidRPr="00B0658A" w:rsidRDefault="00B206FE" w:rsidP="00004A41">
            <w:pPr>
              <w:pStyle w:val="ConsPlusNormal"/>
            </w:pPr>
          </w:p>
        </w:tc>
        <w:tc>
          <w:tcPr>
            <w:tcW w:w="1019" w:type="pct"/>
            <w:tcBorders>
              <w:top w:val="single" w:sz="4" w:space="0" w:color="auto"/>
              <w:left w:val="single" w:sz="4" w:space="0" w:color="auto"/>
              <w:bottom w:val="single" w:sz="4" w:space="0" w:color="auto"/>
              <w:right w:val="single" w:sz="4" w:space="0" w:color="auto"/>
            </w:tcBorders>
          </w:tcPr>
          <w:p w14:paraId="69C3584A" w14:textId="77777777" w:rsidR="00B206FE" w:rsidRPr="00B0658A" w:rsidRDefault="00B206FE" w:rsidP="00004A41">
            <w:pPr>
              <w:pStyle w:val="ConsPlusNormal"/>
            </w:pPr>
          </w:p>
        </w:tc>
      </w:tr>
      <w:tr w:rsidR="00F52FED" w:rsidRPr="00B0658A" w14:paraId="5E37D0A5" w14:textId="77777777" w:rsidTr="0020281A">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6B48AD93" w14:textId="77777777" w:rsidR="003279CD" w:rsidRPr="00B0658A" w:rsidRDefault="003279CD" w:rsidP="00004A41">
            <w:pPr>
              <w:pStyle w:val="ConsPlusNormal"/>
              <w:jc w:val="center"/>
            </w:pPr>
            <w:r w:rsidRPr="00B0658A">
              <w:rPr>
                <w:b/>
              </w:rPr>
              <w:t>Иные государственные и ведомственные информационные системы, подлежащие переводу на использование российского ПО до 31.12.2030</w:t>
            </w:r>
          </w:p>
        </w:tc>
      </w:tr>
      <w:tr w:rsidR="00F52FED" w:rsidRPr="00B0658A" w14:paraId="6A9AFA9A" w14:textId="77777777" w:rsidTr="00075077">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1E4C27AE" w14:textId="77777777" w:rsidR="00B206FE" w:rsidRPr="00B0658A" w:rsidRDefault="00940BF0" w:rsidP="00004A41">
            <w:pPr>
              <w:pStyle w:val="ConsPlusNormal"/>
            </w:pPr>
            <w:r w:rsidRPr="00B0658A">
              <w:t>5</w:t>
            </w:r>
            <w:r w:rsidR="00B206FE" w:rsidRPr="00B0658A">
              <w:t xml:space="preserve">. Мероприятия по переводу ________  (наименование государственной или ведомственной информационной системы № </w:t>
            </w:r>
            <w:r w:rsidRPr="00B0658A">
              <w:t>5</w:t>
            </w:r>
            <w:r w:rsidR="00B206FE" w:rsidRPr="00B0658A">
              <w:t xml:space="preserve">) на </w:t>
            </w:r>
            <w:r w:rsidR="0085770D" w:rsidRPr="00B0658A">
              <w:t>использование российского ПО</w:t>
            </w:r>
          </w:p>
        </w:tc>
      </w:tr>
      <w:tr w:rsidR="00F52FED" w:rsidRPr="00B0658A" w14:paraId="47176CF0" w14:textId="77777777" w:rsidTr="00075077">
        <w:tc>
          <w:tcPr>
            <w:tcW w:w="209" w:type="pct"/>
            <w:tcBorders>
              <w:top w:val="single" w:sz="4" w:space="0" w:color="auto"/>
              <w:left w:val="single" w:sz="4" w:space="0" w:color="auto"/>
              <w:bottom w:val="single" w:sz="4" w:space="0" w:color="auto"/>
              <w:right w:val="single" w:sz="4" w:space="0" w:color="auto"/>
            </w:tcBorders>
          </w:tcPr>
          <w:p w14:paraId="568CCF38" w14:textId="77777777" w:rsidR="00B206FE" w:rsidRPr="00B0658A" w:rsidRDefault="00940BF0" w:rsidP="00004A41">
            <w:pPr>
              <w:pStyle w:val="ConsPlusNormal"/>
            </w:pPr>
            <w:r w:rsidRPr="00B0658A">
              <w:t>5</w:t>
            </w:r>
            <w:r w:rsidR="00B206FE" w:rsidRPr="00B0658A">
              <w:rPr>
                <w:lang w:val="en-US"/>
              </w:rPr>
              <w:t>.1</w:t>
            </w:r>
          </w:p>
        </w:tc>
        <w:tc>
          <w:tcPr>
            <w:tcW w:w="701" w:type="pct"/>
            <w:tcBorders>
              <w:top w:val="single" w:sz="4" w:space="0" w:color="auto"/>
              <w:left w:val="single" w:sz="4" w:space="0" w:color="auto"/>
              <w:bottom w:val="single" w:sz="4" w:space="0" w:color="auto"/>
              <w:right w:val="single" w:sz="4" w:space="0" w:color="auto"/>
            </w:tcBorders>
          </w:tcPr>
          <w:p w14:paraId="72F6790C" w14:textId="77777777" w:rsidR="00B206FE" w:rsidRPr="00B0658A" w:rsidRDefault="00B206FE" w:rsidP="00004A41">
            <w:pPr>
              <w:pStyle w:val="ConsPlusNormal"/>
            </w:pPr>
          </w:p>
        </w:tc>
        <w:tc>
          <w:tcPr>
            <w:tcW w:w="1144" w:type="pct"/>
            <w:tcBorders>
              <w:top w:val="single" w:sz="4" w:space="0" w:color="auto"/>
              <w:left w:val="single" w:sz="4" w:space="0" w:color="auto"/>
              <w:bottom w:val="single" w:sz="4" w:space="0" w:color="auto"/>
              <w:right w:val="single" w:sz="4" w:space="0" w:color="auto"/>
            </w:tcBorders>
          </w:tcPr>
          <w:p w14:paraId="748EBC2A" w14:textId="77777777" w:rsidR="00B206FE" w:rsidRPr="00B0658A" w:rsidRDefault="00B206FE" w:rsidP="00004A41">
            <w:pPr>
              <w:pStyle w:val="ConsPlusNormal"/>
            </w:pPr>
          </w:p>
        </w:tc>
        <w:tc>
          <w:tcPr>
            <w:tcW w:w="1204" w:type="pct"/>
            <w:tcBorders>
              <w:top w:val="single" w:sz="4" w:space="0" w:color="auto"/>
              <w:left w:val="single" w:sz="4" w:space="0" w:color="auto"/>
              <w:bottom w:val="single" w:sz="4" w:space="0" w:color="auto"/>
              <w:right w:val="single" w:sz="4" w:space="0" w:color="auto"/>
            </w:tcBorders>
          </w:tcPr>
          <w:p w14:paraId="22D58C5F" w14:textId="77777777" w:rsidR="00B206FE" w:rsidRPr="00B0658A" w:rsidRDefault="00B206FE" w:rsidP="00004A41">
            <w:pPr>
              <w:pStyle w:val="ConsPlusNormal"/>
            </w:pPr>
          </w:p>
        </w:tc>
        <w:tc>
          <w:tcPr>
            <w:tcW w:w="723" w:type="pct"/>
            <w:tcBorders>
              <w:top w:val="single" w:sz="4" w:space="0" w:color="auto"/>
              <w:left w:val="single" w:sz="4" w:space="0" w:color="auto"/>
              <w:bottom w:val="single" w:sz="4" w:space="0" w:color="auto"/>
              <w:right w:val="single" w:sz="4" w:space="0" w:color="auto"/>
            </w:tcBorders>
          </w:tcPr>
          <w:p w14:paraId="7576EEC0" w14:textId="77777777" w:rsidR="00B206FE" w:rsidRPr="00B0658A" w:rsidRDefault="00B206FE" w:rsidP="00004A41">
            <w:pPr>
              <w:pStyle w:val="ConsPlusNormal"/>
            </w:pPr>
          </w:p>
        </w:tc>
        <w:tc>
          <w:tcPr>
            <w:tcW w:w="1019" w:type="pct"/>
            <w:tcBorders>
              <w:top w:val="single" w:sz="4" w:space="0" w:color="auto"/>
              <w:left w:val="single" w:sz="4" w:space="0" w:color="auto"/>
              <w:bottom w:val="single" w:sz="4" w:space="0" w:color="auto"/>
              <w:right w:val="single" w:sz="4" w:space="0" w:color="auto"/>
            </w:tcBorders>
          </w:tcPr>
          <w:p w14:paraId="6EB23E93" w14:textId="77777777" w:rsidR="00B206FE" w:rsidRPr="00B0658A" w:rsidRDefault="00B206FE" w:rsidP="00004A41">
            <w:pPr>
              <w:pStyle w:val="ConsPlusNormal"/>
            </w:pPr>
          </w:p>
        </w:tc>
      </w:tr>
      <w:tr w:rsidR="00F52FED" w:rsidRPr="00B0658A" w14:paraId="3873DDCE" w14:textId="77777777" w:rsidTr="00075077">
        <w:tc>
          <w:tcPr>
            <w:tcW w:w="209" w:type="pct"/>
            <w:tcBorders>
              <w:top w:val="single" w:sz="4" w:space="0" w:color="auto"/>
              <w:left w:val="single" w:sz="4" w:space="0" w:color="auto"/>
              <w:bottom w:val="single" w:sz="4" w:space="0" w:color="auto"/>
              <w:right w:val="single" w:sz="4" w:space="0" w:color="auto"/>
            </w:tcBorders>
          </w:tcPr>
          <w:p w14:paraId="68BAFD70" w14:textId="77777777" w:rsidR="00B206FE" w:rsidRPr="00B0658A" w:rsidRDefault="00940BF0" w:rsidP="00004A41">
            <w:pPr>
              <w:pStyle w:val="ConsPlusNormal"/>
            </w:pPr>
            <w:r w:rsidRPr="00B0658A">
              <w:t>5</w:t>
            </w:r>
            <w:r w:rsidR="00B206FE" w:rsidRPr="00B0658A">
              <w:rPr>
                <w:lang w:val="en-US"/>
              </w:rPr>
              <w:t>.2</w:t>
            </w:r>
          </w:p>
        </w:tc>
        <w:tc>
          <w:tcPr>
            <w:tcW w:w="701" w:type="pct"/>
            <w:tcBorders>
              <w:top w:val="single" w:sz="4" w:space="0" w:color="auto"/>
              <w:left w:val="single" w:sz="4" w:space="0" w:color="auto"/>
              <w:bottom w:val="single" w:sz="4" w:space="0" w:color="auto"/>
              <w:right w:val="single" w:sz="4" w:space="0" w:color="auto"/>
            </w:tcBorders>
          </w:tcPr>
          <w:p w14:paraId="6899B21D" w14:textId="77777777" w:rsidR="00B206FE" w:rsidRPr="00B0658A" w:rsidRDefault="00B206FE" w:rsidP="00004A41">
            <w:pPr>
              <w:pStyle w:val="ConsPlusNormal"/>
            </w:pPr>
          </w:p>
        </w:tc>
        <w:tc>
          <w:tcPr>
            <w:tcW w:w="1144" w:type="pct"/>
            <w:tcBorders>
              <w:top w:val="single" w:sz="4" w:space="0" w:color="auto"/>
              <w:left w:val="single" w:sz="4" w:space="0" w:color="auto"/>
              <w:bottom w:val="single" w:sz="4" w:space="0" w:color="auto"/>
              <w:right w:val="single" w:sz="4" w:space="0" w:color="auto"/>
            </w:tcBorders>
          </w:tcPr>
          <w:p w14:paraId="6B52E91C" w14:textId="77777777" w:rsidR="00B206FE" w:rsidRPr="00B0658A" w:rsidRDefault="00B206FE" w:rsidP="00004A41">
            <w:pPr>
              <w:pStyle w:val="ConsPlusNormal"/>
            </w:pPr>
          </w:p>
        </w:tc>
        <w:tc>
          <w:tcPr>
            <w:tcW w:w="1204" w:type="pct"/>
            <w:tcBorders>
              <w:top w:val="single" w:sz="4" w:space="0" w:color="auto"/>
              <w:left w:val="single" w:sz="4" w:space="0" w:color="auto"/>
              <w:bottom w:val="single" w:sz="4" w:space="0" w:color="auto"/>
              <w:right w:val="single" w:sz="4" w:space="0" w:color="auto"/>
            </w:tcBorders>
          </w:tcPr>
          <w:p w14:paraId="66C5CA8F" w14:textId="77777777" w:rsidR="00B206FE" w:rsidRPr="00B0658A" w:rsidRDefault="00B206FE" w:rsidP="00004A41">
            <w:pPr>
              <w:pStyle w:val="ConsPlusNormal"/>
            </w:pPr>
          </w:p>
        </w:tc>
        <w:tc>
          <w:tcPr>
            <w:tcW w:w="723" w:type="pct"/>
            <w:tcBorders>
              <w:top w:val="single" w:sz="4" w:space="0" w:color="auto"/>
              <w:left w:val="single" w:sz="4" w:space="0" w:color="auto"/>
              <w:bottom w:val="single" w:sz="4" w:space="0" w:color="auto"/>
              <w:right w:val="single" w:sz="4" w:space="0" w:color="auto"/>
            </w:tcBorders>
          </w:tcPr>
          <w:p w14:paraId="4CF8C5A9" w14:textId="77777777" w:rsidR="00B206FE" w:rsidRPr="00B0658A" w:rsidRDefault="00B206FE" w:rsidP="00004A41">
            <w:pPr>
              <w:pStyle w:val="ConsPlusNormal"/>
            </w:pPr>
          </w:p>
        </w:tc>
        <w:tc>
          <w:tcPr>
            <w:tcW w:w="1019" w:type="pct"/>
            <w:tcBorders>
              <w:top w:val="single" w:sz="4" w:space="0" w:color="auto"/>
              <w:left w:val="single" w:sz="4" w:space="0" w:color="auto"/>
              <w:bottom w:val="single" w:sz="4" w:space="0" w:color="auto"/>
              <w:right w:val="single" w:sz="4" w:space="0" w:color="auto"/>
            </w:tcBorders>
          </w:tcPr>
          <w:p w14:paraId="7EC3CBF1" w14:textId="77777777" w:rsidR="00B206FE" w:rsidRPr="00B0658A" w:rsidRDefault="00B206FE" w:rsidP="00004A41">
            <w:pPr>
              <w:pStyle w:val="ConsPlusNormal"/>
            </w:pPr>
          </w:p>
        </w:tc>
      </w:tr>
      <w:tr w:rsidR="00F52FED" w:rsidRPr="00B0658A" w14:paraId="1C010D51" w14:textId="77777777" w:rsidTr="00075077">
        <w:tc>
          <w:tcPr>
            <w:tcW w:w="209" w:type="pct"/>
            <w:tcBorders>
              <w:top w:val="single" w:sz="4" w:space="0" w:color="auto"/>
              <w:left w:val="single" w:sz="4" w:space="0" w:color="auto"/>
              <w:bottom w:val="single" w:sz="4" w:space="0" w:color="auto"/>
              <w:right w:val="single" w:sz="4" w:space="0" w:color="auto"/>
            </w:tcBorders>
          </w:tcPr>
          <w:p w14:paraId="5010E80D" w14:textId="77777777" w:rsidR="00B206FE" w:rsidRPr="00B0658A" w:rsidRDefault="00B206FE" w:rsidP="00004A41">
            <w:pPr>
              <w:pStyle w:val="ConsPlusNormal"/>
            </w:pPr>
            <w:r w:rsidRPr="00B0658A">
              <w:rPr>
                <w:lang w:val="en-US"/>
              </w:rPr>
              <w:t>…</w:t>
            </w:r>
          </w:p>
        </w:tc>
        <w:tc>
          <w:tcPr>
            <w:tcW w:w="701" w:type="pct"/>
            <w:tcBorders>
              <w:top w:val="single" w:sz="4" w:space="0" w:color="auto"/>
              <w:left w:val="single" w:sz="4" w:space="0" w:color="auto"/>
              <w:bottom w:val="single" w:sz="4" w:space="0" w:color="auto"/>
              <w:right w:val="single" w:sz="4" w:space="0" w:color="auto"/>
            </w:tcBorders>
          </w:tcPr>
          <w:p w14:paraId="33A307C0" w14:textId="77777777" w:rsidR="00B206FE" w:rsidRPr="00B0658A" w:rsidRDefault="00B206FE" w:rsidP="00004A41">
            <w:pPr>
              <w:pStyle w:val="ConsPlusNormal"/>
            </w:pPr>
          </w:p>
        </w:tc>
        <w:tc>
          <w:tcPr>
            <w:tcW w:w="1144" w:type="pct"/>
            <w:tcBorders>
              <w:top w:val="single" w:sz="4" w:space="0" w:color="auto"/>
              <w:left w:val="single" w:sz="4" w:space="0" w:color="auto"/>
              <w:bottom w:val="single" w:sz="4" w:space="0" w:color="auto"/>
              <w:right w:val="single" w:sz="4" w:space="0" w:color="auto"/>
            </w:tcBorders>
          </w:tcPr>
          <w:p w14:paraId="106D201A" w14:textId="77777777" w:rsidR="00B206FE" w:rsidRPr="00B0658A" w:rsidRDefault="00B206FE" w:rsidP="00004A41">
            <w:pPr>
              <w:pStyle w:val="ConsPlusNormal"/>
            </w:pPr>
          </w:p>
        </w:tc>
        <w:tc>
          <w:tcPr>
            <w:tcW w:w="1204" w:type="pct"/>
            <w:tcBorders>
              <w:top w:val="single" w:sz="4" w:space="0" w:color="auto"/>
              <w:left w:val="single" w:sz="4" w:space="0" w:color="auto"/>
              <w:bottom w:val="single" w:sz="4" w:space="0" w:color="auto"/>
              <w:right w:val="single" w:sz="4" w:space="0" w:color="auto"/>
            </w:tcBorders>
          </w:tcPr>
          <w:p w14:paraId="457546A2" w14:textId="77777777" w:rsidR="00B206FE" w:rsidRPr="00B0658A" w:rsidRDefault="00B206FE" w:rsidP="00004A41">
            <w:pPr>
              <w:pStyle w:val="ConsPlusNormal"/>
            </w:pPr>
          </w:p>
        </w:tc>
        <w:tc>
          <w:tcPr>
            <w:tcW w:w="723" w:type="pct"/>
            <w:tcBorders>
              <w:top w:val="single" w:sz="4" w:space="0" w:color="auto"/>
              <w:left w:val="single" w:sz="4" w:space="0" w:color="auto"/>
              <w:bottom w:val="single" w:sz="4" w:space="0" w:color="auto"/>
              <w:right w:val="single" w:sz="4" w:space="0" w:color="auto"/>
            </w:tcBorders>
          </w:tcPr>
          <w:p w14:paraId="3F238FBD" w14:textId="77777777" w:rsidR="00B206FE" w:rsidRPr="00B0658A" w:rsidRDefault="00B206FE" w:rsidP="00004A41">
            <w:pPr>
              <w:pStyle w:val="ConsPlusNormal"/>
            </w:pPr>
          </w:p>
        </w:tc>
        <w:tc>
          <w:tcPr>
            <w:tcW w:w="1019" w:type="pct"/>
            <w:tcBorders>
              <w:top w:val="single" w:sz="4" w:space="0" w:color="auto"/>
              <w:left w:val="single" w:sz="4" w:space="0" w:color="auto"/>
              <w:bottom w:val="single" w:sz="4" w:space="0" w:color="auto"/>
              <w:right w:val="single" w:sz="4" w:space="0" w:color="auto"/>
            </w:tcBorders>
          </w:tcPr>
          <w:p w14:paraId="524E2C29" w14:textId="77777777" w:rsidR="00B206FE" w:rsidRPr="00B0658A" w:rsidRDefault="00B206FE" w:rsidP="00004A41">
            <w:pPr>
              <w:pStyle w:val="ConsPlusNormal"/>
            </w:pPr>
          </w:p>
        </w:tc>
      </w:tr>
      <w:tr w:rsidR="00F52FED" w:rsidRPr="00B0658A" w14:paraId="2B351F21" w14:textId="77777777" w:rsidTr="00075077">
        <w:tc>
          <w:tcPr>
            <w:tcW w:w="209" w:type="pct"/>
            <w:tcBorders>
              <w:top w:val="single" w:sz="4" w:space="0" w:color="auto"/>
              <w:left w:val="single" w:sz="4" w:space="0" w:color="auto"/>
              <w:bottom w:val="single" w:sz="4" w:space="0" w:color="auto"/>
              <w:right w:val="single" w:sz="4" w:space="0" w:color="auto"/>
            </w:tcBorders>
          </w:tcPr>
          <w:p w14:paraId="6F68AFE5" w14:textId="77777777" w:rsidR="00B206FE" w:rsidRPr="00B0658A" w:rsidRDefault="00940BF0" w:rsidP="00004A41">
            <w:pPr>
              <w:pStyle w:val="ConsPlusNormal"/>
            </w:pPr>
            <w:r w:rsidRPr="00B0658A">
              <w:t>5</w:t>
            </w:r>
            <w:r w:rsidR="00B206FE" w:rsidRPr="00B0658A">
              <w:rPr>
                <w:lang w:val="en-US"/>
              </w:rPr>
              <w:t>.n</w:t>
            </w:r>
          </w:p>
        </w:tc>
        <w:tc>
          <w:tcPr>
            <w:tcW w:w="701" w:type="pct"/>
            <w:tcBorders>
              <w:top w:val="single" w:sz="4" w:space="0" w:color="auto"/>
              <w:left w:val="single" w:sz="4" w:space="0" w:color="auto"/>
              <w:bottom w:val="single" w:sz="4" w:space="0" w:color="auto"/>
              <w:right w:val="single" w:sz="4" w:space="0" w:color="auto"/>
            </w:tcBorders>
          </w:tcPr>
          <w:p w14:paraId="1E30CB5F" w14:textId="77777777" w:rsidR="00B206FE" w:rsidRPr="00B0658A" w:rsidRDefault="00B206FE" w:rsidP="00004A41">
            <w:pPr>
              <w:pStyle w:val="ConsPlusNormal"/>
            </w:pPr>
          </w:p>
        </w:tc>
        <w:tc>
          <w:tcPr>
            <w:tcW w:w="1144" w:type="pct"/>
            <w:tcBorders>
              <w:top w:val="single" w:sz="4" w:space="0" w:color="auto"/>
              <w:left w:val="single" w:sz="4" w:space="0" w:color="auto"/>
              <w:bottom w:val="single" w:sz="4" w:space="0" w:color="auto"/>
              <w:right w:val="single" w:sz="4" w:space="0" w:color="auto"/>
            </w:tcBorders>
          </w:tcPr>
          <w:p w14:paraId="50F6B3A2" w14:textId="77777777" w:rsidR="00B206FE" w:rsidRPr="00B0658A" w:rsidRDefault="00B206FE" w:rsidP="00004A41">
            <w:pPr>
              <w:pStyle w:val="ConsPlusNormal"/>
            </w:pPr>
          </w:p>
        </w:tc>
        <w:tc>
          <w:tcPr>
            <w:tcW w:w="1204" w:type="pct"/>
            <w:tcBorders>
              <w:top w:val="single" w:sz="4" w:space="0" w:color="auto"/>
              <w:left w:val="single" w:sz="4" w:space="0" w:color="auto"/>
              <w:bottom w:val="single" w:sz="4" w:space="0" w:color="auto"/>
              <w:right w:val="single" w:sz="4" w:space="0" w:color="auto"/>
            </w:tcBorders>
          </w:tcPr>
          <w:p w14:paraId="23562991" w14:textId="77777777" w:rsidR="00B206FE" w:rsidRPr="00B0658A" w:rsidRDefault="00B206FE" w:rsidP="00004A41">
            <w:pPr>
              <w:pStyle w:val="ConsPlusNormal"/>
            </w:pPr>
          </w:p>
        </w:tc>
        <w:tc>
          <w:tcPr>
            <w:tcW w:w="723" w:type="pct"/>
            <w:tcBorders>
              <w:top w:val="single" w:sz="4" w:space="0" w:color="auto"/>
              <w:left w:val="single" w:sz="4" w:space="0" w:color="auto"/>
              <w:bottom w:val="single" w:sz="4" w:space="0" w:color="auto"/>
              <w:right w:val="single" w:sz="4" w:space="0" w:color="auto"/>
            </w:tcBorders>
          </w:tcPr>
          <w:p w14:paraId="3B855FBD" w14:textId="77777777" w:rsidR="00B206FE" w:rsidRPr="00B0658A" w:rsidRDefault="00B206FE" w:rsidP="00004A41">
            <w:pPr>
              <w:pStyle w:val="ConsPlusNormal"/>
            </w:pPr>
          </w:p>
        </w:tc>
        <w:tc>
          <w:tcPr>
            <w:tcW w:w="1019" w:type="pct"/>
            <w:tcBorders>
              <w:top w:val="single" w:sz="4" w:space="0" w:color="auto"/>
              <w:left w:val="single" w:sz="4" w:space="0" w:color="auto"/>
              <w:bottom w:val="single" w:sz="4" w:space="0" w:color="auto"/>
              <w:right w:val="single" w:sz="4" w:space="0" w:color="auto"/>
            </w:tcBorders>
          </w:tcPr>
          <w:p w14:paraId="06B6BB1E" w14:textId="77777777" w:rsidR="00B206FE" w:rsidRPr="00B0658A" w:rsidRDefault="00B206FE" w:rsidP="00004A41">
            <w:pPr>
              <w:pStyle w:val="ConsPlusNormal"/>
            </w:pPr>
          </w:p>
        </w:tc>
      </w:tr>
      <w:tr w:rsidR="00F52FED" w:rsidRPr="00B0658A" w14:paraId="568F3887" w14:textId="77777777" w:rsidTr="00075077">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2FF7F56E" w14:textId="77777777" w:rsidR="00B206FE" w:rsidRPr="00B0658A" w:rsidRDefault="00940BF0" w:rsidP="00004A41">
            <w:pPr>
              <w:pStyle w:val="ConsPlusNormal"/>
            </w:pPr>
            <w:r w:rsidRPr="00B0658A">
              <w:rPr>
                <w:lang w:val="en-US"/>
              </w:rPr>
              <w:t>N</w:t>
            </w:r>
            <w:r w:rsidR="00B206FE" w:rsidRPr="00B0658A">
              <w:t xml:space="preserve">. Мероприятия по переводу ________  (наименование государственной или ведомственной информационной системы № </w:t>
            </w:r>
            <w:r w:rsidRPr="00B0658A">
              <w:t>N</w:t>
            </w:r>
            <w:r w:rsidR="00B206FE" w:rsidRPr="00B0658A">
              <w:t xml:space="preserve">) на </w:t>
            </w:r>
            <w:r w:rsidR="0085770D" w:rsidRPr="00B0658A">
              <w:t>использование российского ПО</w:t>
            </w:r>
          </w:p>
        </w:tc>
      </w:tr>
      <w:tr w:rsidR="00F52FED" w:rsidRPr="00B0658A" w14:paraId="6487F40C" w14:textId="77777777" w:rsidTr="00075077">
        <w:tc>
          <w:tcPr>
            <w:tcW w:w="209" w:type="pct"/>
            <w:tcBorders>
              <w:top w:val="single" w:sz="4" w:space="0" w:color="auto"/>
              <w:left w:val="single" w:sz="4" w:space="0" w:color="auto"/>
              <w:bottom w:val="single" w:sz="4" w:space="0" w:color="auto"/>
              <w:right w:val="single" w:sz="4" w:space="0" w:color="auto"/>
            </w:tcBorders>
          </w:tcPr>
          <w:p w14:paraId="4F787C64" w14:textId="77777777" w:rsidR="00B206FE" w:rsidRPr="00B0658A" w:rsidRDefault="00940BF0" w:rsidP="00004A41">
            <w:pPr>
              <w:pStyle w:val="ConsPlusNormal"/>
            </w:pPr>
            <w:r w:rsidRPr="00B0658A">
              <w:rPr>
                <w:lang w:val="en-US"/>
              </w:rPr>
              <w:t>N</w:t>
            </w:r>
            <w:r w:rsidR="00B206FE" w:rsidRPr="00B0658A">
              <w:rPr>
                <w:lang w:val="en-US"/>
              </w:rPr>
              <w:t>.1</w:t>
            </w:r>
          </w:p>
        </w:tc>
        <w:tc>
          <w:tcPr>
            <w:tcW w:w="701" w:type="pct"/>
            <w:tcBorders>
              <w:top w:val="single" w:sz="4" w:space="0" w:color="auto"/>
              <w:left w:val="single" w:sz="4" w:space="0" w:color="auto"/>
              <w:bottom w:val="single" w:sz="4" w:space="0" w:color="auto"/>
              <w:right w:val="single" w:sz="4" w:space="0" w:color="auto"/>
            </w:tcBorders>
          </w:tcPr>
          <w:p w14:paraId="5C48F100" w14:textId="77777777" w:rsidR="00B206FE" w:rsidRPr="00B0658A" w:rsidRDefault="00B206FE" w:rsidP="00004A41">
            <w:pPr>
              <w:pStyle w:val="ConsPlusNormal"/>
            </w:pPr>
          </w:p>
        </w:tc>
        <w:tc>
          <w:tcPr>
            <w:tcW w:w="1144" w:type="pct"/>
            <w:tcBorders>
              <w:top w:val="single" w:sz="4" w:space="0" w:color="auto"/>
              <w:left w:val="single" w:sz="4" w:space="0" w:color="auto"/>
              <w:bottom w:val="single" w:sz="4" w:space="0" w:color="auto"/>
              <w:right w:val="single" w:sz="4" w:space="0" w:color="auto"/>
            </w:tcBorders>
          </w:tcPr>
          <w:p w14:paraId="755283AF" w14:textId="77777777" w:rsidR="00B206FE" w:rsidRPr="00B0658A" w:rsidRDefault="00B206FE" w:rsidP="00004A41">
            <w:pPr>
              <w:pStyle w:val="ConsPlusNormal"/>
            </w:pPr>
          </w:p>
        </w:tc>
        <w:tc>
          <w:tcPr>
            <w:tcW w:w="1204" w:type="pct"/>
            <w:tcBorders>
              <w:top w:val="single" w:sz="4" w:space="0" w:color="auto"/>
              <w:left w:val="single" w:sz="4" w:space="0" w:color="auto"/>
              <w:bottom w:val="single" w:sz="4" w:space="0" w:color="auto"/>
              <w:right w:val="single" w:sz="4" w:space="0" w:color="auto"/>
            </w:tcBorders>
          </w:tcPr>
          <w:p w14:paraId="7992C5FC" w14:textId="77777777" w:rsidR="00B206FE" w:rsidRPr="00B0658A" w:rsidRDefault="00B206FE" w:rsidP="00004A41">
            <w:pPr>
              <w:pStyle w:val="ConsPlusNormal"/>
            </w:pPr>
          </w:p>
        </w:tc>
        <w:tc>
          <w:tcPr>
            <w:tcW w:w="723" w:type="pct"/>
            <w:tcBorders>
              <w:top w:val="single" w:sz="4" w:space="0" w:color="auto"/>
              <w:left w:val="single" w:sz="4" w:space="0" w:color="auto"/>
              <w:bottom w:val="single" w:sz="4" w:space="0" w:color="auto"/>
              <w:right w:val="single" w:sz="4" w:space="0" w:color="auto"/>
            </w:tcBorders>
          </w:tcPr>
          <w:p w14:paraId="0EC246AA" w14:textId="77777777" w:rsidR="00B206FE" w:rsidRPr="00B0658A" w:rsidRDefault="00B206FE" w:rsidP="00004A41">
            <w:pPr>
              <w:pStyle w:val="ConsPlusNormal"/>
            </w:pPr>
          </w:p>
        </w:tc>
        <w:tc>
          <w:tcPr>
            <w:tcW w:w="1019" w:type="pct"/>
            <w:tcBorders>
              <w:top w:val="single" w:sz="4" w:space="0" w:color="auto"/>
              <w:left w:val="single" w:sz="4" w:space="0" w:color="auto"/>
              <w:bottom w:val="single" w:sz="4" w:space="0" w:color="auto"/>
              <w:right w:val="single" w:sz="4" w:space="0" w:color="auto"/>
            </w:tcBorders>
          </w:tcPr>
          <w:p w14:paraId="4E1DB3CF" w14:textId="77777777" w:rsidR="00B206FE" w:rsidRPr="00B0658A" w:rsidRDefault="00B206FE" w:rsidP="00004A41">
            <w:pPr>
              <w:pStyle w:val="ConsPlusNormal"/>
            </w:pPr>
          </w:p>
        </w:tc>
      </w:tr>
      <w:tr w:rsidR="00F52FED" w:rsidRPr="00B0658A" w14:paraId="6E1C0CCF" w14:textId="77777777" w:rsidTr="00075077">
        <w:tc>
          <w:tcPr>
            <w:tcW w:w="209" w:type="pct"/>
            <w:tcBorders>
              <w:top w:val="single" w:sz="4" w:space="0" w:color="auto"/>
              <w:left w:val="single" w:sz="4" w:space="0" w:color="auto"/>
              <w:bottom w:val="single" w:sz="4" w:space="0" w:color="auto"/>
              <w:right w:val="single" w:sz="4" w:space="0" w:color="auto"/>
            </w:tcBorders>
          </w:tcPr>
          <w:p w14:paraId="4EAA671F" w14:textId="77777777" w:rsidR="00B206FE" w:rsidRPr="00B0658A" w:rsidRDefault="00940BF0" w:rsidP="00004A41">
            <w:pPr>
              <w:pStyle w:val="ConsPlusNormal"/>
            </w:pPr>
            <w:r w:rsidRPr="00B0658A">
              <w:rPr>
                <w:lang w:val="en-US"/>
              </w:rPr>
              <w:t>N</w:t>
            </w:r>
            <w:r w:rsidR="00B206FE" w:rsidRPr="00B0658A">
              <w:rPr>
                <w:lang w:val="en-US"/>
              </w:rPr>
              <w:t>.</w:t>
            </w:r>
            <w:r w:rsidR="0085770D" w:rsidRPr="00B0658A">
              <w:rPr>
                <w:lang w:val="en-US"/>
              </w:rPr>
              <w:t>2</w:t>
            </w:r>
          </w:p>
        </w:tc>
        <w:tc>
          <w:tcPr>
            <w:tcW w:w="701" w:type="pct"/>
            <w:tcBorders>
              <w:top w:val="single" w:sz="4" w:space="0" w:color="auto"/>
              <w:left w:val="single" w:sz="4" w:space="0" w:color="auto"/>
              <w:bottom w:val="single" w:sz="4" w:space="0" w:color="auto"/>
              <w:right w:val="single" w:sz="4" w:space="0" w:color="auto"/>
            </w:tcBorders>
          </w:tcPr>
          <w:p w14:paraId="7A42E647" w14:textId="77777777" w:rsidR="00B206FE" w:rsidRPr="00B0658A" w:rsidRDefault="00B206FE" w:rsidP="00004A41">
            <w:pPr>
              <w:pStyle w:val="ConsPlusNormal"/>
            </w:pPr>
          </w:p>
        </w:tc>
        <w:tc>
          <w:tcPr>
            <w:tcW w:w="1144" w:type="pct"/>
            <w:tcBorders>
              <w:top w:val="single" w:sz="4" w:space="0" w:color="auto"/>
              <w:left w:val="single" w:sz="4" w:space="0" w:color="auto"/>
              <w:bottom w:val="single" w:sz="4" w:space="0" w:color="auto"/>
              <w:right w:val="single" w:sz="4" w:space="0" w:color="auto"/>
            </w:tcBorders>
          </w:tcPr>
          <w:p w14:paraId="73891FB6" w14:textId="77777777" w:rsidR="00B206FE" w:rsidRPr="00B0658A" w:rsidRDefault="00B206FE" w:rsidP="00004A41">
            <w:pPr>
              <w:pStyle w:val="ConsPlusNormal"/>
            </w:pPr>
          </w:p>
        </w:tc>
        <w:tc>
          <w:tcPr>
            <w:tcW w:w="1204" w:type="pct"/>
            <w:tcBorders>
              <w:top w:val="single" w:sz="4" w:space="0" w:color="auto"/>
              <w:left w:val="single" w:sz="4" w:space="0" w:color="auto"/>
              <w:bottom w:val="single" w:sz="4" w:space="0" w:color="auto"/>
              <w:right w:val="single" w:sz="4" w:space="0" w:color="auto"/>
            </w:tcBorders>
          </w:tcPr>
          <w:p w14:paraId="6E9274F0" w14:textId="77777777" w:rsidR="00B206FE" w:rsidRPr="00B0658A" w:rsidRDefault="00B206FE" w:rsidP="00004A41">
            <w:pPr>
              <w:pStyle w:val="ConsPlusNormal"/>
            </w:pPr>
          </w:p>
        </w:tc>
        <w:tc>
          <w:tcPr>
            <w:tcW w:w="723" w:type="pct"/>
            <w:tcBorders>
              <w:top w:val="single" w:sz="4" w:space="0" w:color="auto"/>
              <w:left w:val="single" w:sz="4" w:space="0" w:color="auto"/>
              <w:bottom w:val="single" w:sz="4" w:space="0" w:color="auto"/>
              <w:right w:val="single" w:sz="4" w:space="0" w:color="auto"/>
            </w:tcBorders>
          </w:tcPr>
          <w:p w14:paraId="039D03B7" w14:textId="77777777" w:rsidR="00B206FE" w:rsidRPr="00B0658A" w:rsidRDefault="00B206FE" w:rsidP="00004A41">
            <w:pPr>
              <w:pStyle w:val="ConsPlusNormal"/>
            </w:pPr>
          </w:p>
        </w:tc>
        <w:tc>
          <w:tcPr>
            <w:tcW w:w="1019" w:type="pct"/>
            <w:tcBorders>
              <w:top w:val="single" w:sz="4" w:space="0" w:color="auto"/>
              <w:left w:val="single" w:sz="4" w:space="0" w:color="auto"/>
              <w:bottom w:val="single" w:sz="4" w:space="0" w:color="auto"/>
              <w:right w:val="single" w:sz="4" w:space="0" w:color="auto"/>
            </w:tcBorders>
          </w:tcPr>
          <w:p w14:paraId="39A445F1" w14:textId="77777777" w:rsidR="00B206FE" w:rsidRPr="00B0658A" w:rsidRDefault="00B206FE" w:rsidP="00004A41">
            <w:pPr>
              <w:pStyle w:val="ConsPlusNormal"/>
            </w:pPr>
          </w:p>
        </w:tc>
      </w:tr>
      <w:tr w:rsidR="00F52FED" w:rsidRPr="00B0658A" w14:paraId="53D6D6FA" w14:textId="77777777" w:rsidTr="00075077">
        <w:tc>
          <w:tcPr>
            <w:tcW w:w="209" w:type="pct"/>
            <w:tcBorders>
              <w:top w:val="single" w:sz="4" w:space="0" w:color="auto"/>
              <w:left w:val="single" w:sz="4" w:space="0" w:color="auto"/>
              <w:bottom w:val="single" w:sz="4" w:space="0" w:color="auto"/>
              <w:right w:val="single" w:sz="4" w:space="0" w:color="auto"/>
            </w:tcBorders>
          </w:tcPr>
          <w:p w14:paraId="45244E5F" w14:textId="77777777" w:rsidR="00B206FE" w:rsidRPr="00B0658A" w:rsidRDefault="00B206FE" w:rsidP="00004A41">
            <w:pPr>
              <w:pStyle w:val="ConsPlusNormal"/>
              <w:rPr>
                <w:lang w:val="en-US"/>
              </w:rPr>
            </w:pPr>
            <w:r w:rsidRPr="00B0658A">
              <w:rPr>
                <w:lang w:val="en-US"/>
              </w:rPr>
              <w:t>…</w:t>
            </w:r>
          </w:p>
        </w:tc>
        <w:tc>
          <w:tcPr>
            <w:tcW w:w="701" w:type="pct"/>
            <w:tcBorders>
              <w:top w:val="single" w:sz="4" w:space="0" w:color="auto"/>
              <w:left w:val="single" w:sz="4" w:space="0" w:color="auto"/>
              <w:bottom w:val="single" w:sz="4" w:space="0" w:color="auto"/>
              <w:right w:val="single" w:sz="4" w:space="0" w:color="auto"/>
            </w:tcBorders>
          </w:tcPr>
          <w:p w14:paraId="1CDF5F04" w14:textId="77777777" w:rsidR="00B206FE" w:rsidRPr="00B0658A" w:rsidRDefault="00B206FE" w:rsidP="00004A41">
            <w:pPr>
              <w:pStyle w:val="ConsPlusNormal"/>
            </w:pPr>
          </w:p>
        </w:tc>
        <w:tc>
          <w:tcPr>
            <w:tcW w:w="1144" w:type="pct"/>
            <w:tcBorders>
              <w:top w:val="single" w:sz="4" w:space="0" w:color="auto"/>
              <w:left w:val="single" w:sz="4" w:space="0" w:color="auto"/>
              <w:bottom w:val="single" w:sz="4" w:space="0" w:color="auto"/>
              <w:right w:val="single" w:sz="4" w:space="0" w:color="auto"/>
            </w:tcBorders>
          </w:tcPr>
          <w:p w14:paraId="404CE163" w14:textId="77777777" w:rsidR="00B206FE" w:rsidRPr="00B0658A" w:rsidRDefault="00B206FE" w:rsidP="00004A41">
            <w:pPr>
              <w:pStyle w:val="ConsPlusNormal"/>
            </w:pPr>
          </w:p>
        </w:tc>
        <w:tc>
          <w:tcPr>
            <w:tcW w:w="1204" w:type="pct"/>
            <w:tcBorders>
              <w:top w:val="single" w:sz="4" w:space="0" w:color="auto"/>
              <w:left w:val="single" w:sz="4" w:space="0" w:color="auto"/>
              <w:bottom w:val="single" w:sz="4" w:space="0" w:color="auto"/>
              <w:right w:val="single" w:sz="4" w:space="0" w:color="auto"/>
            </w:tcBorders>
          </w:tcPr>
          <w:p w14:paraId="606F7100" w14:textId="77777777" w:rsidR="00B206FE" w:rsidRPr="00B0658A" w:rsidRDefault="00B206FE" w:rsidP="00004A41">
            <w:pPr>
              <w:pStyle w:val="ConsPlusNormal"/>
            </w:pPr>
          </w:p>
        </w:tc>
        <w:tc>
          <w:tcPr>
            <w:tcW w:w="723" w:type="pct"/>
            <w:tcBorders>
              <w:top w:val="single" w:sz="4" w:space="0" w:color="auto"/>
              <w:left w:val="single" w:sz="4" w:space="0" w:color="auto"/>
              <w:bottom w:val="single" w:sz="4" w:space="0" w:color="auto"/>
              <w:right w:val="single" w:sz="4" w:space="0" w:color="auto"/>
            </w:tcBorders>
          </w:tcPr>
          <w:p w14:paraId="2E4EE544" w14:textId="77777777" w:rsidR="00B206FE" w:rsidRPr="00B0658A" w:rsidRDefault="00B206FE" w:rsidP="00004A41">
            <w:pPr>
              <w:pStyle w:val="ConsPlusNormal"/>
            </w:pPr>
          </w:p>
        </w:tc>
        <w:tc>
          <w:tcPr>
            <w:tcW w:w="1019" w:type="pct"/>
            <w:tcBorders>
              <w:top w:val="single" w:sz="4" w:space="0" w:color="auto"/>
              <w:left w:val="single" w:sz="4" w:space="0" w:color="auto"/>
              <w:bottom w:val="single" w:sz="4" w:space="0" w:color="auto"/>
              <w:right w:val="single" w:sz="4" w:space="0" w:color="auto"/>
            </w:tcBorders>
          </w:tcPr>
          <w:p w14:paraId="23BE3A7F" w14:textId="77777777" w:rsidR="00B206FE" w:rsidRPr="00B0658A" w:rsidRDefault="00B206FE" w:rsidP="00004A41">
            <w:pPr>
              <w:pStyle w:val="ConsPlusNormal"/>
            </w:pPr>
          </w:p>
        </w:tc>
      </w:tr>
      <w:tr w:rsidR="00F52FED" w:rsidRPr="00B0658A" w14:paraId="2B6E7C48" w14:textId="77777777" w:rsidTr="00075077">
        <w:tc>
          <w:tcPr>
            <w:tcW w:w="209" w:type="pct"/>
            <w:tcBorders>
              <w:top w:val="single" w:sz="4" w:space="0" w:color="auto"/>
              <w:left w:val="single" w:sz="4" w:space="0" w:color="auto"/>
              <w:bottom w:val="single" w:sz="4" w:space="0" w:color="auto"/>
              <w:right w:val="single" w:sz="4" w:space="0" w:color="auto"/>
            </w:tcBorders>
          </w:tcPr>
          <w:p w14:paraId="7402218A" w14:textId="77777777" w:rsidR="00B206FE" w:rsidRPr="00B0658A" w:rsidRDefault="00940BF0" w:rsidP="00004A41">
            <w:pPr>
              <w:pStyle w:val="ConsPlusNormal"/>
              <w:rPr>
                <w:lang w:val="en-US"/>
              </w:rPr>
            </w:pPr>
            <w:r w:rsidRPr="00B0658A">
              <w:rPr>
                <w:lang w:val="en-US"/>
              </w:rPr>
              <w:lastRenderedPageBreak/>
              <w:t>N</w:t>
            </w:r>
            <w:r w:rsidR="00B206FE" w:rsidRPr="00B0658A">
              <w:rPr>
                <w:lang w:val="en-US"/>
              </w:rPr>
              <w:t>.n</w:t>
            </w:r>
          </w:p>
        </w:tc>
        <w:tc>
          <w:tcPr>
            <w:tcW w:w="701" w:type="pct"/>
            <w:tcBorders>
              <w:top w:val="single" w:sz="4" w:space="0" w:color="auto"/>
              <w:left w:val="single" w:sz="4" w:space="0" w:color="auto"/>
              <w:bottom w:val="single" w:sz="4" w:space="0" w:color="auto"/>
              <w:right w:val="single" w:sz="4" w:space="0" w:color="auto"/>
            </w:tcBorders>
          </w:tcPr>
          <w:p w14:paraId="10CD9A7B" w14:textId="77777777" w:rsidR="00B206FE" w:rsidRPr="00B0658A" w:rsidRDefault="00B206FE" w:rsidP="00004A41">
            <w:pPr>
              <w:pStyle w:val="ConsPlusNormal"/>
            </w:pPr>
          </w:p>
        </w:tc>
        <w:tc>
          <w:tcPr>
            <w:tcW w:w="1144" w:type="pct"/>
            <w:tcBorders>
              <w:top w:val="single" w:sz="4" w:space="0" w:color="auto"/>
              <w:left w:val="single" w:sz="4" w:space="0" w:color="auto"/>
              <w:bottom w:val="single" w:sz="4" w:space="0" w:color="auto"/>
              <w:right w:val="single" w:sz="4" w:space="0" w:color="auto"/>
            </w:tcBorders>
          </w:tcPr>
          <w:p w14:paraId="3AAC112A" w14:textId="77777777" w:rsidR="00B206FE" w:rsidRPr="00B0658A" w:rsidRDefault="00B206FE" w:rsidP="00004A41">
            <w:pPr>
              <w:pStyle w:val="ConsPlusNormal"/>
            </w:pPr>
          </w:p>
        </w:tc>
        <w:tc>
          <w:tcPr>
            <w:tcW w:w="1204" w:type="pct"/>
            <w:tcBorders>
              <w:top w:val="single" w:sz="4" w:space="0" w:color="auto"/>
              <w:left w:val="single" w:sz="4" w:space="0" w:color="auto"/>
              <w:bottom w:val="single" w:sz="4" w:space="0" w:color="auto"/>
              <w:right w:val="single" w:sz="4" w:space="0" w:color="auto"/>
            </w:tcBorders>
          </w:tcPr>
          <w:p w14:paraId="761B3FBD" w14:textId="77777777" w:rsidR="00B206FE" w:rsidRPr="00B0658A" w:rsidRDefault="00B206FE" w:rsidP="00004A41">
            <w:pPr>
              <w:pStyle w:val="ConsPlusNormal"/>
            </w:pPr>
          </w:p>
        </w:tc>
        <w:tc>
          <w:tcPr>
            <w:tcW w:w="723" w:type="pct"/>
            <w:tcBorders>
              <w:top w:val="single" w:sz="4" w:space="0" w:color="auto"/>
              <w:left w:val="single" w:sz="4" w:space="0" w:color="auto"/>
              <w:bottom w:val="single" w:sz="4" w:space="0" w:color="auto"/>
              <w:right w:val="single" w:sz="4" w:space="0" w:color="auto"/>
            </w:tcBorders>
          </w:tcPr>
          <w:p w14:paraId="0E691A71" w14:textId="77777777" w:rsidR="00B206FE" w:rsidRPr="00B0658A" w:rsidRDefault="00B206FE" w:rsidP="00004A41">
            <w:pPr>
              <w:pStyle w:val="ConsPlusNormal"/>
            </w:pPr>
          </w:p>
        </w:tc>
        <w:tc>
          <w:tcPr>
            <w:tcW w:w="1019" w:type="pct"/>
            <w:tcBorders>
              <w:top w:val="single" w:sz="4" w:space="0" w:color="auto"/>
              <w:left w:val="single" w:sz="4" w:space="0" w:color="auto"/>
              <w:bottom w:val="single" w:sz="4" w:space="0" w:color="auto"/>
              <w:right w:val="single" w:sz="4" w:space="0" w:color="auto"/>
            </w:tcBorders>
          </w:tcPr>
          <w:p w14:paraId="7128205D" w14:textId="77777777" w:rsidR="00B206FE" w:rsidRPr="00B0658A" w:rsidRDefault="00B206FE" w:rsidP="00004A41">
            <w:pPr>
              <w:pStyle w:val="ConsPlusNormal"/>
            </w:pPr>
          </w:p>
        </w:tc>
      </w:tr>
      <w:tr w:rsidR="00B206FE" w:rsidRPr="00B0658A" w14:paraId="6ED94954" w14:textId="77777777" w:rsidTr="00075077">
        <w:tc>
          <w:tcPr>
            <w:tcW w:w="209" w:type="pct"/>
            <w:tcBorders>
              <w:top w:val="single" w:sz="4" w:space="0" w:color="auto"/>
              <w:left w:val="single" w:sz="4" w:space="0" w:color="auto"/>
              <w:bottom w:val="single" w:sz="4" w:space="0" w:color="auto"/>
              <w:right w:val="single" w:sz="4" w:space="0" w:color="auto"/>
            </w:tcBorders>
          </w:tcPr>
          <w:p w14:paraId="48A2B098" w14:textId="77777777" w:rsidR="00B206FE" w:rsidRPr="00B0658A" w:rsidRDefault="00B206FE" w:rsidP="00004A41">
            <w:pPr>
              <w:pStyle w:val="ConsPlusNormal"/>
              <w:rPr>
                <w:lang w:val="en-US"/>
              </w:rPr>
            </w:pPr>
            <w:r w:rsidRPr="00B0658A">
              <w:rPr>
                <w:lang w:val="en-US"/>
              </w:rPr>
              <w:t>…</w:t>
            </w:r>
          </w:p>
        </w:tc>
        <w:tc>
          <w:tcPr>
            <w:tcW w:w="701" w:type="pct"/>
            <w:tcBorders>
              <w:top w:val="single" w:sz="4" w:space="0" w:color="auto"/>
              <w:left w:val="single" w:sz="4" w:space="0" w:color="auto"/>
              <w:bottom w:val="single" w:sz="4" w:space="0" w:color="auto"/>
              <w:right w:val="single" w:sz="4" w:space="0" w:color="auto"/>
            </w:tcBorders>
          </w:tcPr>
          <w:p w14:paraId="245D9A47" w14:textId="77777777" w:rsidR="00B206FE" w:rsidRPr="00B0658A" w:rsidRDefault="00B206FE" w:rsidP="00004A41">
            <w:pPr>
              <w:pStyle w:val="ConsPlusNormal"/>
            </w:pPr>
          </w:p>
        </w:tc>
        <w:tc>
          <w:tcPr>
            <w:tcW w:w="1144" w:type="pct"/>
            <w:tcBorders>
              <w:top w:val="single" w:sz="4" w:space="0" w:color="auto"/>
              <w:left w:val="single" w:sz="4" w:space="0" w:color="auto"/>
              <w:bottom w:val="single" w:sz="4" w:space="0" w:color="auto"/>
              <w:right w:val="single" w:sz="4" w:space="0" w:color="auto"/>
            </w:tcBorders>
          </w:tcPr>
          <w:p w14:paraId="35F44E37" w14:textId="77777777" w:rsidR="00B206FE" w:rsidRPr="00B0658A" w:rsidRDefault="00B206FE" w:rsidP="00004A41">
            <w:pPr>
              <w:pStyle w:val="ConsPlusNormal"/>
            </w:pPr>
          </w:p>
        </w:tc>
        <w:tc>
          <w:tcPr>
            <w:tcW w:w="1204" w:type="pct"/>
            <w:tcBorders>
              <w:top w:val="single" w:sz="4" w:space="0" w:color="auto"/>
              <w:left w:val="single" w:sz="4" w:space="0" w:color="auto"/>
              <w:bottom w:val="single" w:sz="4" w:space="0" w:color="auto"/>
              <w:right w:val="single" w:sz="4" w:space="0" w:color="auto"/>
            </w:tcBorders>
          </w:tcPr>
          <w:p w14:paraId="78696533" w14:textId="77777777" w:rsidR="00B206FE" w:rsidRPr="00B0658A" w:rsidRDefault="00B206FE" w:rsidP="00004A41">
            <w:pPr>
              <w:pStyle w:val="ConsPlusNormal"/>
            </w:pPr>
          </w:p>
        </w:tc>
        <w:tc>
          <w:tcPr>
            <w:tcW w:w="723" w:type="pct"/>
            <w:tcBorders>
              <w:top w:val="single" w:sz="4" w:space="0" w:color="auto"/>
              <w:left w:val="single" w:sz="4" w:space="0" w:color="auto"/>
              <w:bottom w:val="single" w:sz="4" w:space="0" w:color="auto"/>
              <w:right w:val="single" w:sz="4" w:space="0" w:color="auto"/>
            </w:tcBorders>
          </w:tcPr>
          <w:p w14:paraId="7E5C51D4" w14:textId="77777777" w:rsidR="00B206FE" w:rsidRPr="00B0658A" w:rsidRDefault="00B206FE" w:rsidP="00004A41">
            <w:pPr>
              <w:pStyle w:val="ConsPlusNormal"/>
            </w:pPr>
          </w:p>
        </w:tc>
        <w:tc>
          <w:tcPr>
            <w:tcW w:w="1019" w:type="pct"/>
            <w:tcBorders>
              <w:top w:val="single" w:sz="4" w:space="0" w:color="auto"/>
              <w:left w:val="single" w:sz="4" w:space="0" w:color="auto"/>
              <w:bottom w:val="single" w:sz="4" w:space="0" w:color="auto"/>
              <w:right w:val="single" w:sz="4" w:space="0" w:color="auto"/>
            </w:tcBorders>
          </w:tcPr>
          <w:p w14:paraId="36BC3F68" w14:textId="77777777" w:rsidR="00B206FE" w:rsidRPr="00B0658A" w:rsidRDefault="00B206FE" w:rsidP="00004A41">
            <w:pPr>
              <w:pStyle w:val="ConsPlusNormal"/>
            </w:pPr>
          </w:p>
        </w:tc>
      </w:tr>
    </w:tbl>
    <w:p w14:paraId="20DEFF79" w14:textId="77777777" w:rsidR="0095686C" w:rsidRPr="00B0658A" w:rsidRDefault="0095686C" w:rsidP="008319FB">
      <w:pPr>
        <w:pStyle w:val="ConsPlusNormal"/>
        <w:spacing w:before="120"/>
        <w:jc w:val="both"/>
        <w:rPr>
          <w:sz w:val="28"/>
        </w:rPr>
      </w:pPr>
    </w:p>
    <w:p w14:paraId="25FB846C" w14:textId="77777777" w:rsidR="007034B2" w:rsidRPr="00B0658A" w:rsidRDefault="007034B2" w:rsidP="008319FB">
      <w:pPr>
        <w:pStyle w:val="ConsPlusNormal"/>
        <w:spacing w:before="120"/>
        <w:jc w:val="both"/>
        <w:rPr>
          <w:sz w:val="28"/>
        </w:rPr>
      </w:pPr>
      <w:r w:rsidRPr="00B0658A">
        <w:rPr>
          <w:sz w:val="28"/>
        </w:rPr>
        <w:t xml:space="preserve">Раздел 2. </w:t>
      </w:r>
      <w:r w:rsidR="00D052EA" w:rsidRPr="00B0658A">
        <w:rPr>
          <w:sz w:val="28"/>
        </w:rPr>
        <w:t>«</w:t>
      </w:r>
      <w:r w:rsidRPr="00B0658A">
        <w:rPr>
          <w:sz w:val="28"/>
        </w:rPr>
        <w:t xml:space="preserve">Сведения об объемах и источниках финансового обеспечения перевода государственных и ведомственных информационных систем на использование российского </w:t>
      </w:r>
      <w:r w:rsidR="00D052EA" w:rsidRPr="00B0658A">
        <w:rPr>
          <w:sz w:val="28"/>
        </w:rPr>
        <w:t>ПО»</w:t>
      </w:r>
    </w:p>
    <w:tbl>
      <w:tblPr>
        <w:tblW w:w="5000" w:type="pct"/>
        <w:tblCellMar>
          <w:top w:w="102" w:type="dxa"/>
          <w:left w:w="62" w:type="dxa"/>
          <w:bottom w:w="102" w:type="dxa"/>
          <w:right w:w="62" w:type="dxa"/>
        </w:tblCellMar>
        <w:tblLook w:val="0000" w:firstRow="0" w:lastRow="0" w:firstColumn="0" w:lastColumn="0" w:noHBand="0" w:noVBand="0"/>
      </w:tblPr>
      <w:tblGrid>
        <w:gridCol w:w="468"/>
        <w:gridCol w:w="3000"/>
        <w:gridCol w:w="928"/>
        <w:gridCol w:w="928"/>
        <w:gridCol w:w="929"/>
        <w:gridCol w:w="929"/>
        <w:gridCol w:w="929"/>
        <w:gridCol w:w="929"/>
        <w:gridCol w:w="929"/>
        <w:gridCol w:w="929"/>
        <w:gridCol w:w="929"/>
        <w:gridCol w:w="2117"/>
      </w:tblGrid>
      <w:tr w:rsidR="00F52FED" w:rsidRPr="00B0658A" w14:paraId="7DF7C8CB" w14:textId="77777777" w:rsidTr="00F07AB3">
        <w:trPr>
          <w:trHeight w:val="20"/>
        </w:trPr>
        <w:tc>
          <w:tcPr>
            <w:tcW w:w="168" w:type="pct"/>
            <w:vMerge w:val="restart"/>
            <w:tcBorders>
              <w:top w:val="single" w:sz="4" w:space="0" w:color="auto"/>
              <w:left w:val="single" w:sz="4" w:space="0" w:color="auto"/>
              <w:right w:val="single" w:sz="4" w:space="0" w:color="auto"/>
            </w:tcBorders>
            <w:shd w:val="clear" w:color="auto" w:fill="E7E6E6" w:themeFill="background2"/>
          </w:tcPr>
          <w:p w14:paraId="3D13F74E" w14:textId="77777777" w:rsidR="00264923" w:rsidRPr="00B0658A" w:rsidRDefault="00264923" w:rsidP="00004A41">
            <w:pPr>
              <w:spacing w:after="0" w:line="240" w:lineRule="auto"/>
              <w:jc w:val="center"/>
              <w:rPr>
                <w:rFonts w:ascii="Times New Roman" w:hAnsi="Times New Roman"/>
                <w:b/>
                <w:bCs/>
                <w:sz w:val="24"/>
                <w:szCs w:val="24"/>
              </w:rPr>
            </w:pPr>
            <w:r w:rsidRPr="00B0658A">
              <w:rPr>
                <w:rFonts w:ascii="Times New Roman" w:hAnsi="Times New Roman"/>
                <w:b/>
                <w:bCs/>
                <w:sz w:val="24"/>
                <w:szCs w:val="24"/>
              </w:rPr>
              <w:t>№ п/п</w:t>
            </w:r>
          </w:p>
        </w:tc>
        <w:tc>
          <w:tcPr>
            <w:tcW w:w="1076" w:type="pct"/>
            <w:vMerge w:val="restart"/>
            <w:tcBorders>
              <w:top w:val="single" w:sz="4" w:space="0" w:color="auto"/>
              <w:left w:val="single" w:sz="4" w:space="0" w:color="auto"/>
              <w:right w:val="single" w:sz="4" w:space="0" w:color="auto"/>
            </w:tcBorders>
            <w:shd w:val="clear" w:color="auto" w:fill="E7E6E6" w:themeFill="background2"/>
            <w:vAlign w:val="center"/>
          </w:tcPr>
          <w:p w14:paraId="42033D88" w14:textId="77777777" w:rsidR="00264923" w:rsidRPr="00B0658A" w:rsidRDefault="00264923" w:rsidP="00004A41">
            <w:pPr>
              <w:spacing w:after="0" w:line="240" w:lineRule="auto"/>
              <w:jc w:val="center"/>
              <w:rPr>
                <w:rFonts w:ascii="Times New Roman" w:hAnsi="Times New Roman"/>
                <w:b/>
                <w:bCs/>
                <w:sz w:val="24"/>
                <w:szCs w:val="24"/>
              </w:rPr>
            </w:pPr>
            <w:r w:rsidRPr="00B0658A">
              <w:rPr>
                <w:rFonts w:ascii="Times New Roman" w:hAnsi="Times New Roman"/>
                <w:b/>
                <w:bCs/>
                <w:sz w:val="24"/>
                <w:szCs w:val="24"/>
              </w:rPr>
              <w:t>Наименование государственной или ведомственной информационной системы</w:t>
            </w:r>
          </w:p>
        </w:tc>
        <w:tc>
          <w:tcPr>
            <w:tcW w:w="2997" w:type="pct"/>
            <w:gridSpan w:val="9"/>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15C6E37" w14:textId="77777777" w:rsidR="00264923" w:rsidRPr="00B0658A" w:rsidRDefault="00264923" w:rsidP="00004A41">
            <w:pPr>
              <w:spacing w:after="0" w:line="240" w:lineRule="auto"/>
              <w:jc w:val="center"/>
              <w:rPr>
                <w:rFonts w:ascii="Times New Roman" w:hAnsi="Times New Roman"/>
                <w:b/>
                <w:bCs/>
                <w:sz w:val="24"/>
                <w:szCs w:val="24"/>
              </w:rPr>
            </w:pPr>
            <w:r w:rsidRPr="00B0658A">
              <w:rPr>
                <w:rFonts w:ascii="Times New Roman" w:hAnsi="Times New Roman"/>
                <w:b/>
                <w:bCs/>
                <w:sz w:val="24"/>
                <w:szCs w:val="24"/>
              </w:rPr>
              <w:t xml:space="preserve">Объём финансовых ресурсов, необходимых для обеспечения перевода государственных и ведомственных информационных систем на использование российского </w:t>
            </w:r>
            <w:r w:rsidR="006475D4" w:rsidRPr="00B0658A">
              <w:rPr>
                <w:rFonts w:ascii="Times New Roman" w:hAnsi="Times New Roman"/>
                <w:b/>
                <w:bCs/>
                <w:sz w:val="24"/>
                <w:szCs w:val="24"/>
              </w:rPr>
              <w:t>ПО</w:t>
            </w:r>
            <w:r w:rsidRPr="00B0658A">
              <w:rPr>
                <w:rFonts w:ascii="Times New Roman" w:hAnsi="Times New Roman"/>
                <w:b/>
                <w:bCs/>
                <w:sz w:val="24"/>
                <w:szCs w:val="24"/>
              </w:rPr>
              <w:t>, тыс. руб.</w:t>
            </w:r>
          </w:p>
        </w:tc>
        <w:tc>
          <w:tcPr>
            <w:tcW w:w="759" w:type="pct"/>
            <w:tcBorders>
              <w:top w:val="single" w:sz="4" w:space="0" w:color="auto"/>
              <w:left w:val="single" w:sz="4" w:space="0" w:color="auto"/>
              <w:right w:val="single" w:sz="4" w:space="0" w:color="auto"/>
            </w:tcBorders>
            <w:shd w:val="clear" w:color="auto" w:fill="E7E6E6" w:themeFill="background2"/>
            <w:vAlign w:val="center"/>
          </w:tcPr>
          <w:p w14:paraId="21FCE55C" w14:textId="77777777" w:rsidR="00264923" w:rsidRPr="00B0658A" w:rsidRDefault="00264923" w:rsidP="00004A41">
            <w:pPr>
              <w:spacing w:after="0" w:line="240" w:lineRule="auto"/>
              <w:jc w:val="center"/>
              <w:rPr>
                <w:rFonts w:ascii="Times New Roman" w:hAnsi="Times New Roman"/>
                <w:b/>
                <w:bCs/>
                <w:sz w:val="24"/>
                <w:szCs w:val="24"/>
              </w:rPr>
            </w:pPr>
            <w:r w:rsidRPr="00B0658A">
              <w:rPr>
                <w:rFonts w:ascii="Times New Roman" w:hAnsi="Times New Roman"/>
                <w:b/>
                <w:bCs/>
                <w:sz w:val="24"/>
                <w:szCs w:val="24"/>
              </w:rPr>
              <w:t>Источник</w:t>
            </w:r>
          </w:p>
        </w:tc>
      </w:tr>
      <w:tr w:rsidR="00F52FED" w:rsidRPr="00B0658A" w14:paraId="4A5C931F" w14:textId="77777777" w:rsidTr="00F07AB3">
        <w:trPr>
          <w:trHeight w:val="20"/>
        </w:trPr>
        <w:tc>
          <w:tcPr>
            <w:tcW w:w="168" w:type="pct"/>
            <w:vMerge/>
            <w:tcBorders>
              <w:left w:val="single" w:sz="4" w:space="0" w:color="auto"/>
              <w:bottom w:val="single" w:sz="4" w:space="0" w:color="auto"/>
              <w:right w:val="single" w:sz="4" w:space="0" w:color="auto"/>
            </w:tcBorders>
            <w:shd w:val="clear" w:color="auto" w:fill="E7E6E6" w:themeFill="background2"/>
          </w:tcPr>
          <w:p w14:paraId="25DF13CD" w14:textId="77777777" w:rsidR="00264923" w:rsidRPr="00B0658A" w:rsidRDefault="00264923" w:rsidP="00004A41">
            <w:pPr>
              <w:spacing w:after="0" w:line="240" w:lineRule="auto"/>
              <w:jc w:val="center"/>
              <w:rPr>
                <w:rFonts w:ascii="Times New Roman" w:hAnsi="Times New Roman"/>
                <w:b/>
                <w:bCs/>
                <w:sz w:val="24"/>
                <w:szCs w:val="24"/>
              </w:rPr>
            </w:pPr>
          </w:p>
        </w:tc>
        <w:tc>
          <w:tcPr>
            <w:tcW w:w="1076" w:type="pct"/>
            <w:vMerge/>
            <w:tcBorders>
              <w:left w:val="single" w:sz="4" w:space="0" w:color="auto"/>
              <w:bottom w:val="single" w:sz="4" w:space="0" w:color="auto"/>
              <w:right w:val="single" w:sz="4" w:space="0" w:color="auto"/>
            </w:tcBorders>
            <w:shd w:val="clear" w:color="auto" w:fill="E7E6E6" w:themeFill="background2"/>
            <w:vAlign w:val="center"/>
          </w:tcPr>
          <w:p w14:paraId="7A076348" w14:textId="77777777" w:rsidR="00264923" w:rsidRPr="00B0658A" w:rsidRDefault="00264923" w:rsidP="00004A41">
            <w:pPr>
              <w:spacing w:after="0" w:line="240" w:lineRule="auto"/>
              <w:jc w:val="center"/>
              <w:rPr>
                <w:rFonts w:ascii="Times New Roman" w:hAnsi="Times New Roman"/>
                <w:b/>
                <w:bCs/>
                <w:sz w:val="24"/>
                <w:szCs w:val="24"/>
              </w:rPr>
            </w:pPr>
          </w:p>
        </w:tc>
        <w:tc>
          <w:tcPr>
            <w:tcW w:w="333"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878A9C3" w14:textId="77777777" w:rsidR="00264923" w:rsidRPr="00B0658A" w:rsidRDefault="00264923" w:rsidP="00004A41">
            <w:pPr>
              <w:spacing w:after="0" w:line="240" w:lineRule="auto"/>
              <w:jc w:val="center"/>
              <w:rPr>
                <w:rFonts w:ascii="Times New Roman" w:hAnsi="Times New Roman"/>
                <w:b/>
                <w:bCs/>
                <w:sz w:val="24"/>
                <w:szCs w:val="24"/>
              </w:rPr>
            </w:pPr>
            <w:r w:rsidRPr="00B0658A">
              <w:rPr>
                <w:rFonts w:ascii="Times New Roman" w:hAnsi="Times New Roman"/>
                <w:b/>
                <w:bCs/>
                <w:sz w:val="24"/>
                <w:szCs w:val="24"/>
              </w:rPr>
              <w:t>2022 г.</w:t>
            </w:r>
          </w:p>
        </w:tc>
        <w:tc>
          <w:tcPr>
            <w:tcW w:w="333"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81540D6" w14:textId="77777777" w:rsidR="00264923" w:rsidRPr="00B0658A" w:rsidRDefault="00264923" w:rsidP="00004A41">
            <w:pPr>
              <w:spacing w:after="0" w:line="240" w:lineRule="auto"/>
              <w:jc w:val="center"/>
              <w:rPr>
                <w:rFonts w:ascii="Times New Roman" w:hAnsi="Times New Roman"/>
                <w:b/>
                <w:bCs/>
                <w:sz w:val="24"/>
                <w:szCs w:val="24"/>
              </w:rPr>
            </w:pPr>
            <w:r w:rsidRPr="00B0658A">
              <w:rPr>
                <w:rFonts w:ascii="Times New Roman" w:hAnsi="Times New Roman"/>
                <w:b/>
                <w:bCs/>
                <w:sz w:val="24"/>
                <w:szCs w:val="24"/>
              </w:rPr>
              <w:t>2023 г.</w:t>
            </w:r>
          </w:p>
        </w:tc>
        <w:tc>
          <w:tcPr>
            <w:tcW w:w="333"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264FE8E" w14:textId="77777777" w:rsidR="00264923" w:rsidRPr="00B0658A" w:rsidRDefault="00264923" w:rsidP="00004A41">
            <w:pPr>
              <w:spacing w:after="0" w:line="240" w:lineRule="auto"/>
              <w:jc w:val="center"/>
              <w:rPr>
                <w:rFonts w:ascii="Times New Roman" w:hAnsi="Times New Roman"/>
                <w:b/>
                <w:bCs/>
                <w:sz w:val="24"/>
                <w:szCs w:val="24"/>
              </w:rPr>
            </w:pPr>
            <w:r w:rsidRPr="00B0658A">
              <w:rPr>
                <w:rFonts w:ascii="Times New Roman" w:hAnsi="Times New Roman"/>
                <w:b/>
                <w:bCs/>
                <w:sz w:val="24"/>
                <w:szCs w:val="24"/>
              </w:rPr>
              <w:t>2024 г.</w:t>
            </w:r>
          </w:p>
        </w:tc>
        <w:tc>
          <w:tcPr>
            <w:tcW w:w="333"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7863286" w14:textId="77777777" w:rsidR="00264923" w:rsidRPr="00B0658A" w:rsidRDefault="00264923" w:rsidP="00004A41">
            <w:pPr>
              <w:spacing w:after="0" w:line="240" w:lineRule="auto"/>
              <w:jc w:val="center"/>
              <w:rPr>
                <w:rFonts w:ascii="Times New Roman" w:hAnsi="Times New Roman"/>
                <w:b/>
                <w:bCs/>
                <w:sz w:val="24"/>
                <w:szCs w:val="24"/>
              </w:rPr>
            </w:pPr>
            <w:r w:rsidRPr="00B0658A">
              <w:rPr>
                <w:rFonts w:ascii="Times New Roman" w:hAnsi="Times New Roman"/>
                <w:b/>
                <w:bCs/>
                <w:sz w:val="24"/>
                <w:szCs w:val="24"/>
              </w:rPr>
              <w:t>2025 г.</w:t>
            </w:r>
          </w:p>
        </w:tc>
        <w:tc>
          <w:tcPr>
            <w:tcW w:w="333"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24D2D93" w14:textId="77777777" w:rsidR="00264923" w:rsidRPr="00B0658A" w:rsidRDefault="00264923" w:rsidP="00004A41">
            <w:pPr>
              <w:spacing w:after="0" w:line="240" w:lineRule="auto"/>
              <w:jc w:val="center"/>
              <w:rPr>
                <w:rFonts w:ascii="Times New Roman" w:hAnsi="Times New Roman"/>
                <w:b/>
                <w:bCs/>
                <w:sz w:val="24"/>
                <w:szCs w:val="24"/>
              </w:rPr>
            </w:pPr>
            <w:r w:rsidRPr="00B0658A">
              <w:rPr>
                <w:rFonts w:ascii="Times New Roman" w:hAnsi="Times New Roman"/>
                <w:b/>
                <w:bCs/>
                <w:sz w:val="24"/>
                <w:szCs w:val="24"/>
              </w:rPr>
              <w:t>2026 г.</w:t>
            </w:r>
          </w:p>
        </w:tc>
        <w:tc>
          <w:tcPr>
            <w:tcW w:w="333"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5DA4ABA" w14:textId="77777777" w:rsidR="00264923" w:rsidRPr="00B0658A" w:rsidRDefault="00264923" w:rsidP="00004A41">
            <w:pPr>
              <w:spacing w:after="0" w:line="240" w:lineRule="auto"/>
              <w:jc w:val="center"/>
              <w:rPr>
                <w:rFonts w:ascii="Times New Roman" w:hAnsi="Times New Roman"/>
                <w:b/>
                <w:bCs/>
                <w:sz w:val="24"/>
                <w:szCs w:val="24"/>
              </w:rPr>
            </w:pPr>
            <w:r w:rsidRPr="00B0658A">
              <w:rPr>
                <w:rFonts w:ascii="Times New Roman" w:hAnsi="Times New Roman"/>
                <w:b/>
                <w:bCs/>
                <w:sz w:val="24"/>
                <w:szCs w:val="24"/>
              </w:rPr>
              <w:t>2027 г.</w:t>
            </w:r>
          </w:p>
        </w:tc>
        <w:tc>
          <w:tcPr>
            <w:tcW w:w="333"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27191D1" w14:textId="77777777" w:rsidR="00264923" w:rsidRPr="00B0658A" w:rsidRDefault="00264923" w:rsidP="00004A41">
            <w:pPr>
              <w:spacing w:after="0" w:line="240" w:lineRule="auto"/>
              <w:jc w:val="center"/>
              <w:rPr>
                <w:rFonts w:ascii="Times New Roman" w:hAnsi="Times New Roman"/>
                <w:b/>
                <w:bCs/>
                <w:sz w:val="24"/>
                <w:szCs w:val="24"/>
              </w:rPr>
            </w:pPr>
            <w:r w:rsidRPr="00B0658A">
              <w:rPr>
                <w:rFonts w:ascii="Times New Roman" w:hAnsi="Times New Roman"/>
                <w:b/>
                <w:bCs/>
                <w:sz w:val="24"/>
                <w:szCs w:val="24"/>
              </w:rPr>
              <w:t>2028 г.</w:t>
            </w:r>
          </w:p>
        </w:tc>
        <w:tc>
          <w:tcPr>
            <w:tcW w:w="333"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9F3ED60" w14:textId="77777777" w:rsidR="00264923" w:rsidRPr="00B0658A" w:rsidRDefault="00264923" w:rsidP="00004A41">
            <w:pPr>
              <w:spacing w:after="0" w:line="240" w:lineRule="auto"/>
              <w:jc w:val="center"/>
              <w:rPr>
                <w:rFonts w:ascii="Times New Roman" w:hAnsi="Times New Roman"/>
                <w:b/>
                <w:bCs/>
                <w:sz w:val="24"/>
                <w:szCs w:val="24"/>
              </w:rPr>
            </w:pPr>
            <w:r w:rsidRPr="00B0658A">
              <w:rPr>
                <w:rFonts w:ascii="Times New Roman" w:hAnsi="Times New Roman"/>
                <w:b/>
                <w:bCs/>
                <w:sz w:val="24"/>
                <w:szCs w:val="24"/>
              </w:rPr>
              <w:t>2029 г.</w:t>
            </w:r>
          </w:p>
        </w:tc>
        <w:tc>
          <w:tcPr>
            <w:tcW w:w="333"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DE62575" w14:textId="77777777" w:rsidR="00264923" w:rsidRPr="00B0658A" w:rsidRDefault="00264923" w:rsidP="00004A41">
            <w:pPr>
              <w:spacing w:after="0" w:line="240" w:lineRule="auto"/>
              <w:jc w:val="center"/>
              <w:rPr>
                <w:rFonts w:ascii="Times New Roman" w:hAnsi="Times New Roman"/>
                <w:b/>
                <w:bCs/>
                <w:sz w:val="24"/>
                <w:szCs w:val="24"/>
              </w:rPr>
            </w:pPr>
            <w:r w:rsidRPr="00B0658A">
              <w:rPr>
                <w:rFonts w:ascii="Times New Roman" w:hAnsi="Times New Roman"/>
                <w:b/>
                <w:bCs/>
                <w:sz w:val="24"/>
                <w:szCs w:val="24"/>
              </w:rPr>
              <w:t>2030 г.</w:t>
            </w:r>
          </w:p>
        </w:tc>
        <w:tc>
          <w:tcPr>
            <w:tcW w:w="759" w:type="pct"/>
            <w:tcBorders>
              <w:left w:val="single" w:sz="4" w:space="0" w:color="auto"/>
              <w:bottom w:val="single" w:sz="4" w:space="0" w:color="auto"/>
              <w:right w:val="single" w:sz="4" w:space="0" w:color="auto"/>
            </w:tcBorders>
            <w:shd w:val="clear" w:color="auto" w:fill="E7E6E6" w:themeFill="background2"/>
          </w:tcPr>
          <w:p w14:paraId="3137F270" w14:textId="77777777" w:rsidR="00264923" w:rsidRPr="00B0658A" w:rsidRDefault="00264923" w:rsidP="00004A41">
            <w:pPr>
              <w:spacing w:after="0" w:line="240" w:lineRule="auto"/>
              <w:jc w:val="center"/>
              <w:rPr>
                <w:rFonts w:ascii="Times New Roman" w:hAnsi="Times New Roman"/>
                <w:b/>
                <w:bCs/>
                <w:sz w:val="24"/>
                <w:szCs w:val="24"/>
              </w:rPr>
            </w:pPr>
          </w:p>
        </w:tc>
      </w:tr>
      <w:tr w:rsidR="00F52FED" w:rsidRPr="00B0658A" w14:paraId="702BF43F" w14:textId="77777777" w:rsidTr="00F07AB3">
        <w:trPr>
          <w:trHeight w:val="20"/>
        </w:trPr>
        <w:tc>
          <w:tcPr>
            <w:tcW w:w="5000" w:type="pct"/>
            <w:gridSpan w:val="12"/>
            <w:tcBorders>
              <w:top w:val="single" w:sz="4" w:space="0" w:color="auto"/>
              <w:left w:val="single" w:sz="4" w:space="0" w:color="auto"/>
              <w:bottom w:val="single" w:sz="4" w:space="0" w:color="auto"/>
              <w:right w:val="single" w:sz="4" w:space="0" w:color="auto"/>
            </w:tcBorders>
            <w:vAlign w:val="center"/>
          </w:tcPr>
          <w:p w14:paraId="5C84DD55" w14:textId="77777777" w:rsidR="0051651E" w:rsidRPr="00B0658A" w:rsidRDefault="0051651E" w:rsidP="00004A41">
            <w:pPr>
              <w:pStyle w:val="ConsPlusNormal"/>
              <w:jc w:val="center"/>
              <w:rPr>
                <w:b/>
              </w:rPr>
            </w:pPr>
            <w:r w:rsidRPr="00B0658A">
              <w:rPr>
                <w:b/>
              </w:rPr>
              <w:t>Государственные и ведомственные информационные системы, подлежащи</w:t>
            </w:r>
            <w:r w:rsidR="009C1AB7" w:rsidRPr="00B0658A">
              <w:rPr>
                <w:b/>
              </w:rPr>
              <w:t>е</w:t>
            </w:r>
            <w:r w:rsidRPr="00B0658A">
              <w:rPr>
                <w:b/>
              </w:rPr>
              <w:t xml:space="preserve"> переводу на использование российского ПО до 31.12.2024</w:t>
            </w:r>
            <w:r w:rsidR="0020281A" w:rsidRPr="00B0658A">
              <w:rPr>
                <w:b/>
              </w:rPr>
              <w:t xml:space="preserve"> г.</w:t>
            </w:r>
          </w:p>
        </w:tc>
      </w:tr>
      <w:tr w:rsidR="00F52FED" w:rsidRPr="00B0658A" w14:paraId="1B537F6F" w14:textId="77777777" w:rsidTr="00F07AB3">
        <w:trPr>
          <w:trHeight w:val="20"/>
        </w:trPr>
        <w:tc>
          <w:tcPr>
            <w:tcW w:w="168" w:type="pct"/>
            <w:tcBorders>
              <w:top w:val="single" w:sz="4" w:space="0" w:color="auto"/>
              <w:left w:val="single" w:sz="4" w:space="0" w:color="auto"/>
              <w:bottom w:val="single" w:sz="4" w:space="0" w:color="auto"/>
              <w:right w:val="single" w:sz="4" w:space="0" w:color="auto"/>
            </w:tcBorders>
          </w:tcPr>
          <w:p w14:paraId="61460414" w14:textId="77777777" w:rsidR="00264923" w:rsidRPr="00B0658A" w:rsidRDefault="00264923" w:rsidP="00004A41">
            <w:pPr>
              <w:pStyle w:val="ConsPlusNormal"/>
            </w:pPr>
            <w:r w:rsidRPr="00B0658A">
              <w:t xml:space="preserve">1. </w:t>
            </w:r>
          </w:p>
        </w:tc>
        <w:tc>
          <w:tcPr>
            <w:tcW w:w="1076" w:type="pct"/>
            <w:tcBorders>
              <w:top w:val="single" w:sz="4" w:space="0" w:color="auto"/>
              <w:left w:val="single" w:sz="4" w:space="0" w:color="auto"/>
              <w:bottom w:val="single" w:sz="4" w:space="0" w:color="auto"/>
              <w:right w:val="single" w:sz="4" w:space="0" w:color="auto"/>
            </w:tcBorders>
          </w:tcPr>
          <w:p w14:paraId="56176262" w14:textId="77777777" w:rsidR="00264923" w:rsidRPr="00B0658A" w:rsidRDefault="00264923" w:rsidP="00004A41">
            <w:pPr>
              <w:pStyle w:val="ConsPlusNormal"/>
              <w:rPr>
                <w:i/>
              </w:rPr>
            </w:pPr>
            <w:r w:rsidRPr="00B0658A">
              <w:rPr>
                <w:i/>
              </w:rPr>
              <w:t>Указывается наименование государственной или ведомственной информационной №1</w:t>
            </w:r>
          </w:p>
        </w:tc>
        <w:tc>
          <w:tcPr>
            <w:tcW w:w="333" w:type="pct"/>
            <w:tcBorders>
              <w:top w:val="single" w:sz="4" w:space="0" w:color="auto"/>
              <w:left w:val="single" w:sz="4" w:space="0" w:color="auto"/>
              <w:bottom w:val="single" w:sz="4" w:space="0" w:color="auto"/>
              <w:right w:val="single" w:sz="4" w:space="0" w:color="auto"/>
            </w:tcBorders>
            <w:vAlign w:val="center"/>
          </w:tcPr>
          <w:p w14:paraId="5A2631C0" w14:textId="77777777" w:rsidR="00264923" w:rsidRPr="00B0658A" w:rsidRDefault="00264923" w:rsidP="00004A41">
            <w:pPr>
              <w:pStyle w:val="ConsPlusNormal"/>
              <w:jc w:val="center"/>
            </w:pPr>
          </w:p>
        </w:tc>
        <w:tc>
          <w:tcPr>
            <w:tcW w:w="333" w:type="pct"/>
            <w:tcBorders>
              <w:top w:val="single" w:sz="4" w:space="0" w:color="auto"/>
              <w:left w:val="single" w:sz="4" w:space="0" w:color="auto"/>
              <w:bottom w:val="single" w:sz="4" w:space="0" w:color="auto"/>
              <w:right w:val="single" w:sz="4" w:space="0" w:color="auto"/>
            </w:tcBorders>
            <w:vAlign w:val="center"/>
          </w:tcPr>
          <w:p w14:paraId="064F7F06" w14:textId="77777777" w:rsidR="00264923" w:rsidRPr="00B0658A" w:rsidRDefault="00264923" w:rsidP="00004A41">
            <w:pPr>
              <w:pStyle w:val="ConsPlusNormal"/>
              <w:jc w:val="center"/>
            </w:pPr>
          </w:p>
        </w:tc>
        <w:tc>
          <w:tcPr>
            <w:tcW w:w="333" w:type="pct"/>
            <w:tcBorders>
              <w:top w:val="single" w:sz="4" w:space="0" w:color="auto"/>
              <w:left w:val="single" w:sz="4" w:space="0" w:color="auto"/>
              <w:bottom w:val="single" w:sz="4" w:space="0" w:color="auto"/>
              <w:right w:val="single" w:sz="4" w:space="0" w:color="auto"/>
            </w:tcBorders>
            <w:vAlign w:val="center"/>
          </w:tcPr>
          <w:p w14:paraId="32C8CEB7" w14:textId="77777777" w:rsidR="00264923" w:rsidRPr="00B0658A" w:rsidRDefault="00264923" w:rsidP="00004A41">
            <w:pPr>
              <w:pStyle w:val="ConsPlusNormal"/>
              <w:jc w:val="center"/>
            </w:pPr>
          </w:p>
        </w:tc>
        <w:tc>
          <w:tcPr>
            <w:tcW w:w="333" w:type="pct"/>
            <w:tcBorders>
              <w:top w:val="single" w:sz="4" w:space="0" w:color="auto"/>
              <w:left w:val="single" w:sz="4" w:space="0" w:color="auto"/>
              <w:bottom w:val="single" w:sz="4" w:space="0" w:color="auto"/>
              <w:right w:val="single" w:sz="4" w:space="0" w:color="auto"/>
            </w:tcBorders>
            <w:vAlign w:val="center"/>
          </w:tcPr>
          <w:p w14:paraId="5CAF0B89" w14:textId="77777777" w:rsidR="00264923" w:rsidRPr="00B0658A" w:rsidRDefault="00264923" w:rsidP="00004A41">
            <w:pPr>
              <w:pStyle w:val="ConsPlusNormal"/>
              <w:jc w:val="center"/>
            </w:pPr>
          </w:p>
        </w:tc>
        <w:tc>
          <w:tcPr>
            <w:tcW w:w="333" w:type="pct"/>
            <w:tcBorders>
              <w:top w:val="single" w:sz="4" w:space="0" w:color="auto"/>
              <w:left w:val="single" w:sz="4" w:space="0" w:color="auto"/>
              <w:bottom w:val="single" w:sz="4" w:space="0" w:color="auto"/>
              <w:right w:val="single" w:sz="4" w:space="0" w:color="auto"/>
            </w:tcBorders>
            <w:vAlign w:val="center"/>
          </w:tcPr>
          <w:p w14:paraId="425A646E" w14:textId="77777777" w:rsidR="00264923" w:rsidRPr="00B0658A" w:rsidRDefault="00264923" w:rsidP="00004A41">
            <w:pPr>
              <w:pStyle w:val="ConsPlusNormal"/>
              <w:jc w:val="center"/>
            </w:pPr>
          </w:p>
        </w:tc>
        <w:tc>
          <w:tcPr>
            <w:tcW w:w="333" w:type="pct"/>
            <w:tcBorders>
              <w:top w:val="single" w:sz="4" w:space="0" w:color="auto"/>
              <w:left w:val="single" w:sz="4" w:space="0" w:color="auto"/>
              <w:bottom w:val="single" w:sz="4" w:space="0" w:color="auto"/>
              <w:right w:val="single" w:sz="4" w:space="0" w:color="auto"/>
            </w:tcBorders>
            <w:vAlign w:val="center"/>
          </w:tcPr>
          <w:p w14:paraId="20CBABC0" w14:textId="77777777" w:rsidR="00264923" w:rsidRPr="00B0658A" w:rsidRDefault="00264923" w:rsidP="00004A41">
            <w:pPr>
              <w:pStyle w:val="ConsPlusNormal"/>
              <w:jc w:val="center"/>
            </w:pPr>
          </w:p>
        </w:tc>
        <w:tc>
          <w:tcPr>
            <w:tcW w:w="333" w:type="pct"/>
            <w:tcBorders>
              <w:top w:val="single" w:sz="4" w:space="0" w:color="auto"/>
              <w:left w:val="single" w:sz="4" w:space="0" w:color="auto"/>
              <w:bottom w:val="single" w:sz="4" w:space="0" w:color="auto"/>
              <w:right w:val="single" w:sz="4" w:space="0" w:color="auto"/>
            </w:tcBorders>
            <w:vAlign w:val="center"/>
          </w:tcPr>
          <w:p w14:paraId="4088ABC8" w14:textId="77777777" w:rsidR="00264923" w:rsidRPr="00B0658A" w:rsidRDefault="00264923" w:rsidP="00004A41">
            <w:pPr>
              <w:pStyle w:val="ConsPlusNormal"/>
              <w:jc w:val="center"/>
            </w:pPr>
          </w:p>
        </w:tc>
        <w:tc>
          <w:tcPr>
            <w:tcW w:w="333" w:type="pct"/>
            <w:tcBorders>
              <w:top w:val="single" w:sz="4" w:space="0" w:color="auto"/>
              <w:left w:val="single" w:sz="4" w:space="0" w:color="auto"/>
              <w:bottom w:val="single" w:sz="4" w:space="0" w:color="auto"/>
              <w:right w:val="single" w:sz="4" w:space="0" w:color="auto"/>
            </w:tcBorders>
            <w:vAlign w:val="center"/>
          </w:tcPr>
          <w:p w14:paraId="5632F8FD" w14:textId="77777777" w:rsidR="00264923" w:rsidRPr="00B0658A" w:rsidRDefault="00264923" w:rsidP="00004A41">
            <w:pPr>
              <w:pStyle w:val="ConsPlusNormal"/>
              <w:jc w:val="center"/>
            </w:pPr>
          </w:p>
        </w:tc>
        <w:tc>
          <w:tcPr>
            <w:tcW w:w="333" w:type="pct"/>
            <w:tcBorders>
              <w:top w:val="single" w:sz="4" w:space="0" w:color="auto"/>
              <w:left w:val="single" w:sz="4" w:space="0" w:color="auto"/>
              <w:bottom w:val="single" w:sz="4" w:space="0" w:color="auto"/>
              <w:right w:val="single" w:sz="4" w:space="0" w:color="auto"/>
            </w:tcBorders>
            <w:vAlign w:val="center"/>
          </w:tcPr>
          <w:p w14:paraId="7C86D9DF" w14:textId="77777777" w:rsidR="00264923" w:rsidRPr="00B0658A" w:rsidRDefault="00264923" w:rsidP="00004A41">
            <w:pPr>
              <w:pStyle w:val="ConsPlusNormal"/>
              <w:jc w:val="center"/>
            </w:pPr>
          </w:p>
        </w:tc>
        <w:tc>
          <w:tcPr>
            <w:tcW w:w="759" w:type="pct"/>
            <w:tcBorders>
              <w:top w:val="single" w:sz="4" w:space="0" w:color="auto"/>
              <w:left w:val="single" w:sz="4" w:space="0" w:color="auto"/>
              <w:bottom w:val="single" w:sz="4" w:space="0" w:color="auto"/>
              <w:right w:val="single" w:sz="4" w:space="0" w:color="auto"/>
            </w:tcBorders>
          </w:tcPr>
          <w:p w14:paraId="5C6149A7" w14:textId="77777777" w:rsidR="00264923" w:rsidRPr="00B0658A" w:rsidRDefault="00264923" w:rsidP="00004A41">
            <w:pPr>
              <w:pStyle w:val="ConsPlusNormal"/>
              <w:jc w:val="center"/>
            </w:pPr>
          </w:p>
        </w:tc>
      </w:tr>
      <w:tr w:rsidR="00F52FED" w:rsidRPr="00B0658A" w14:paraId="6EC9B474" w14:textId="77777777" w:rsidTr="00F07AB3">
        <w:trPr>
          <w:trHeight w:val="20"/>
        </w:trPr>
        <w:tc>
          <w:tcPr>
            <w:tcW w:w="168" w:type="pct"/>
            <w:tcBorders>
              <w:top w:val="single" w:sz="4" w:space="0" w:color="auto"/>
              <w:left w:val="single" w:sz="4" w:space="0" w:color="auto"/>
              <w:bottom w:val="single" w:sz="4" w:space="0" w:color="auto"/>
              <w:right w:val="single" w:sz="4" w:space="0" w:color="auto"/>
            </w:tcBorders>
          </w:tcPr>
          <w:p w14:paraId="6D4C9126" w14:textId="77777777" w:rsidR="00264923" w:rsidRPr="00B0658A" w:rsidRDefault="00264923" w:rsidP="00004A41">
            <w:pPr>
              <w:pStyle w:val="ConsPlusNormal"/>
            </w:pPr>
            <w:r w:rsidRPr="00B0658A">
              <w:t>2.</w:t>
            </w:r>
          </w:p>
        </w:tc>
        <w:tc>
          <w:tcPr>
            <w:tcW w:w="1076" w:type="pct"/>
            <w:tcBorders>
              <w:top w:val="single" w:sz="4" w:space="0" w:color="auto"/>
              <w:left w:val="single" w:sz="4" w:space="0" w:color="auto"/>
              <w:bottom w:val="single" w:sz="4" w:space="0" w:color="auto"/>
              <w:right w:val="single" w:sz="4" w:space="0" w:color="auto"/>
            </w:tcBorders>
          </w:tcPr>
          <w:p w14:paraId="2D69581D" w14:textId="77777777" w:rsidR="00264923" w:rsidRPr="00B0658A" w:rsidRDefault="00264923" w:rsidP="00004A41">
            <w:pPr>
              <w:pStyle w:val="ConsPlusNormal"/>
              <w:rPr>
                <w:i/>
              </w:rPr>
            </w:pPr>
            <w:r w:rsidRPr="00B0658A">
              <w:rPr>
                <w:i/>
              </w:rPr>
              <w:t>Указывается наименование государственной или ведомственной информационной №2</w:t>
            </w:r>
          </w:p>
        </w:tc>
        <w:tc>
          <w:tcPr>
            <w:tcW w:w="333" w:type="pct"/>
            <w:tcBorders>
              <w:top w:val="single" w:sz="4" w:space="0" w:color="auto"/>
              <w:left w:val="single" w:sz="4" w:space="0" w:color="auto"/>
              <w:bottom w:val="single" w:sz="4" w:space="0" w:color="auto"/>
              <w:right w:val="single" w:sz="4" w:space="0" w:color="auto"/>
            </w:tcBorders>
            <w:vAlign w:val="center"/>
          </w:tcPr>
          <w:p w14:paraId="3D662D5F" w14:textId="77777777" w:rsidR="00264923" w:rsidRPr="00B0658A" w:rsidRDefault="00264923" w:rsidP="00004A41">
            <w:pPr>
              <w:pStyle w:val="ConsPlusNormal"/>
              <w:jc w:val="center"/>
            </w:pPr>
          </w:p>
        </w:tc>
        <w:tc>
          <w:tcPr>
            <w:tcW w:w="333" w:type="pct"/>
            <w:tcBorders>
              <w:top w:val="single" w:sz="4" w:space="0" w:color="auto"/>
              <w:left w:val="single" w:sz="4" w:space="0" w:color="auto"/>
              <w:bottom w:val="single" w:sz="4" w:space="0" w:color="auto"/>
              <w:right w:val="single" w:sz="4" w:space="0" w:color="auto"/>
            </w:tcBorders>
            <w:vAlign w:val="center"/>
          </w:tcPr>
          <w:p w14:paraId="13E77160" w14:textId="77777777" w:rsidR="00264923" w:rsidRPr="00B0658A" w:rsidRDefault="00264923" w:rsidP="00004A41">
            <w:pPr>
              <w:pStyle w:val="ConsPlusNormal"/>
              <w:jc w:val="center"/>
            </w:pPr>
          </w:p>
        </w:tc>
        <w:tc>
          <w:tcPr>
            <w:tcW w:w="333" w:type="pct"/>
            <w:tcBorders>
              <w:top w:val="single" w:sz="4" w:space="0" w:color="auto"/>
              <w:left w:val="single" w:sz="4" w:space="0" w:color="auto"/>
              <w:bottom w:val="single" w:sz="4" w:space="0" w:color="auto"/>
              <w:right w:val="single" w:sz="4" w:space="0" w:color="auto"/>
            </w:tcBorders>
            <w:vAlign w:val="center"/>
          </w:tcPr>
          <w:p w14:paraId="30F53DE0" w14:textId="77777777" w:rsidR="00264923" w:rsidRPr="00B0658A" w:rsidRDefault="00264923" w:rsidP="00004A41">
            <w:pPr>
              <w:pStyle w:val="ConsPlusNormal"/>
              <w:jc w:val="center"/>
            </w:pPr>
          </w:p>
        </w:tc>
        <w:tc>
          <w:tcPr>
            <w:tcW w:w="333" w:type="pct"/>
            <w:tcBorders>
              <w:top w:val="single" w:sz="4" w:space="0" w:color="auto"/>
              <w:left w:val="single" w:sz="4" w:space="0" w:color="auto"/>
              <w:bottom w:val="single" w:sz="4" w:space="0" w:color="auto"/>
              <w:right w:val="single" w:sz="4" w:space="0" w:color="auto"/>
            </w:tcBorders>
            <w:vAlign w:val="center"/>
          </w:tcPr>
          <w:p w14:paraId="4B539796" w14:textId="77777777" w:rsidR="00264923" w:rsidRPr="00B0658A" w:rsidRDefault="00264923" w:rsidP="00004A41">
            <w:pPr>
              <w:pStyle w:val="ConsPlusNormal"/>
              <w:jc w:val="center"/>
            </w:pPr>
          </w:p>
        </w:tc>
        <w:tc>
          <w:tcPr>
            <w:tcW w:w="333" w:type="pct"/>
            <w:tcBorders>
              <w:top w:val="single" w:sz="4" w:space="0" w:color="auto"/>
              <w:left w:val="single" w:sz="4" w:space="0" w:color="auto"/>
              <w:bottom w:val="single" w:sz="4" w:space="0" w:color="auto"/>
              <w:right w:val="single" w:sz="4" w:space="0" w:color="auto"/>
            </w:tcBorders>
            <w:vAlign w:val="center"/>
          </w:tcPr>
          <w:p w14:paraId="60EB2DD5" w14:textId="77777777" w:rsidR="00264923" w:rsidRPr="00B0658A" w:rsidRDefault="00264923" w:rsidP="00004A41">
            <w:pPr>
              <w:pStyle w:val="ConsPlusNormal"/>
              <w:jc w:val="center"/>
            </w:pPr>
          </w:p>
        </w:tc>
        <w:tc>
          <w:tcPr>
            <w:tcW w:w="333" w:type="pct"/>
            <w:tcBorders>
              <w:top w:val="single" w:sz="4" w:space="0" w:color="auto"/>
              <w:left w:val="single" w:sz="4" w:space="0" w:color="auto"/>
              <w:bottom w:val="single" w:sz="4" w:space="0" w:color="auto"/>
              <w:right w:val="single" w:sz="4" w:space="0" w:color="auto"/>
            </w:tcBorders>
            <w:vAlign w:val="center"/>
          </w:tcPr>
          <w:p w14:paraId="394A2423" w14:textId="77777777" w:rsidR="00264923" w:rsidRPr="00B0658A" w:rsidRDefault="00264923" w:rsidP="00004A41">
            <w:pPr>
              <w:pStyle w:val="ConsPlusNormal"/>
              <w:jc w:val="center"/>
            </w:pPr>
          </w:p>
        </w:tc>
        <w:tc>
          <w:tcPr>
            <w:tcW w:w="333" w:type="pct"/>
            <w:tcBorders>
              <w:top w:val="single" w:sz="4" w:space="0" w:color="auto"/>
              <w:left w:val="single" w:sz="4" w:space="0" w:color="auto"/>
              <w:bottom w:val="single" w:sz="4" w:space="0" w:color="auto"/>
              <w:right w:val="single" w:sz="4" w:space="0" w:color="auto"/>
            </w:tcBorders>
            <w:vAlign w:val="center"/>
          </w:tcPr>
          <w:p w14:paraId="6C5931CC" w14:textId="77777777" w:rsidR="00264923" w:rsidRPr="00B0658A" w:rsidRDefault="00264923" w:rsidP="00004A41">
            <w:pPr>
              <w:pStyle w:val="ConsPlusNormal"/>
              <w:jc w:val="center"/>
            </w:pPr>
          </w:p>
        </w:tc>
        <w:tc>
          <w:tcPr>
            <w:tcW w:w="333" w:type="pct"/>
            <w:tcBorders>
              <w:top w:val="single" w:sz="4" w:space="0" w:color="auto"/>
              <w:left w:val="single" w:sz="4" w:space="0" w:color="auto"/>
              <w:bottom w:val="single" w:sz="4" w:space="0" w:color="auto"/>
              <w:right w:val="single" w:sz="4" w:space="0" w:color="auto"/>
            </w:tcBorders>
            <w:vAlign w:val="center"/>
          </w:tcPr>
          <w:p w14:paraId="34D84C35" w14:textId="77777777" w:rsidR="00264923" w:rsidRPr="00B0658A" w:rsidRDefault="00264923" w:rsidP="00004A41">
            <w:pPr>
              <w:pStyle w:val="ConsPlusNormal"/>
              <w:jc w:val="center"/>
            </w:pPr>
          </w:p>
        </w:tc>
        <w:tc>
          <w:tcPr>
            <w:tcW w:w="333" w:type="pct"/>
            <w:tcBorders>
              <w:top w:val="single" w:sz="4" w:space="0" w:color="auto"/>
              <w:left w:val="single" w:sz="4" w:space="0" w:color="auto"/>
              <w:bottom w:val="single" w:sz="4" w:space="0" w:color="auto"/>
              <w:right w:val="single" w:sz="4" w:space="0" w:color="auto"/>
            </w:tcBorders>
            <w:vAlign w:val="center"/>
          </w:tcPr>
          <w:p w14:paraId="68F052B6" w14:textId="77777777" w:rsidR="00264923" w:rsidRPr="00B0658A" w:rsidRDefault="00264923" w:rsidP="00004A41">
            <w:pPr>
              <w:pStyle w:val="ConsPlusNormal"/>
              <w:jc w:val="center"/>
            </w:pPr>
          </w:p>
        </w:tc>
        <w:tc>
          <w:tcPr>
            <w:tcW w:w="759" w:type="pct"/>
            <w:tcBorders>
              <w:top w:val="single" w:sz="4" w:space="0" w:color="auto"/>
              <w:left w:val="single" w:sz="4" w:space="0" w:color="auto"/>
              <w:bottom w:val="single" w:sz="4" w:space="0" w:color="auto"/>
              <w:right w:val="single" w:sz="4" w:space="0" w:color="auto"/>
            </w:tcBorders>
          </w:tcPr>
          <w:p w14:paraId="66A1F891" w14:textId="77777777" w:rsidR="00264923" w:rsidRPr="00B0658A" w:rsidRDefault="00264923" w:rsidP="00004A41">
            <w:pPr>
              <w:pStyle w:val="ConsPlusNormal"/>
              <w:jc w:val="center"/>
            </w:pPr>
          </w:p>
        </w:tc>
      </w:tr>
      <w:tr w:rsidR="00F52FED" w:rsidRPr="00B0658A" w14:paraId="443EFC6F" w14:textId="77777777" w:rsidTr="00F07AB3">
        <w:trPr>
          <w:trHeight w:val="20"/>
        </w:trPr>
        <w:tc>
          <w:tcPr>
            <w:tcW w:w="168" w:type="pct"/>
            <w:tcBorders>
              <w:top w:val="single" w:sz="4" w:space="0" w:color="auto"/>
              <w:left w:val="single" w:sz="4" w:space="0" w:color="auto"/>
              <w:bottom w:val="single" w:sz="4" w:space="0" w:color="auto"/>
              <w:right w:val="single" w:sz="4" w:space="0" w:color="auto"/>
            </w:tcBorders>
          </w:tcPr>
          <w:p w14:paraId="4B1CC7EB" w14:textId="77777777" w:rsidR="00264923" w:rsidRPr="00B0658A" w:rsidRDefault="002B1B82" w:rsidP="00004A41">
            <w:pPr>
              <w:pStyle w:val="ConsPlusNormal"/>
              <w:rPr>
                <w:lang w:val="en-US"/>
              </w:rPr>
            </w:pPr>
            <w:r w:rsidRPr="00B0658A">
              <w:rPr>
                <w:lang w:val="en-US"/>
              </w:rPr>
              <w:t>…</w:t>
            </w:r>
          </w:p>
        </w:tc>
        <w:tc>
          <w:tcPr>
            <w:tcW w:w="1076" w:type="pct"/>
            <w:tcBorders>
              <w:top w:val="single" w:sz="4" w:space="0" w:color="auto"/>
              <w:left w:val="single" w:sz="4" w:space="0" w:color="auto"/>
              <w:bottom w:val="single" w:sz="4" w:space="0" w:color="auto"/>
              <w:right w:val="single" w:sz="4" w:space="0" w:color="auto"/>
            </w:tcBorders>
          </w:tcPr>
          <w:p w14:paraId="2A2E4CED" w14:textId="77777777" w:rsidR="00264923" w:rsidRPr="00B0658A" w:rsidRDefault="00264923" w:rsidP="00004A41">
            <w:pPr>
              <w:pStyle w:val="ConsPlusNormal"/>
              <w:rPr>
                <w:lang w:val="en-US"/>
              </w:rPr>
            </w:pPr>
            <w:r w:rsidRPr="00B0658A">
              <w:rPr>
                <w:lang w:val="en-US"/>
              </w:rPr>
              <w:t>….</w:t>
            </w:r>
          </w:p>
        </w:tc>
        <w:tc>
          <w:tcPr>
            <w:tcW w:w="333" w:type="pct"/>
            <w:tcBorders>
              <w:top w:val="single" w:sz="4" w:space="0" w:color="auto"/>
              <w:left w:val="single" w:sz="4" w:space="0" w:color="auto"/>
              <w:bottom w:val="single" w:sz="4" w:space="0" w:color="auto"/>
              <w:right w:val="single" w:sz="4" w:space="0" w:color="auto"/>
            </w:tcBorders>
            <w:vAlign w:val="center"/>
          </w:tcPr>
          <w:p w14:paraId="4D49EFAC" w14:textId="77777777" w:rsidR="00264923" w:rsidRPr="00B0658A" w:rsidRDefault="00264923" w:rsidP="00004A41">
            <w:pPr>
              <w:pStyle w:val="ConsPlusNormal"/>
              <w:jc w:val="center"/>
            </w:pPr>
          </w:p>
        </w:tc>
        <w:tc>
          <w:tcPr>
            <w:tcW w:w="333" w:type="pct"/>
            <w:tcBorders>
              <w:top w:val="single" w:sz="4" w:space="0" w:color="auto"/>
              <w:left w:val="single" w:sz="4" w:space="0" w:color="auto"/>
              <w:bottom w:val="single" w:sz="4" w:space="0" w:color="auto"/>
              <w:right w:val="single" w:sz="4" w:space="0" w:color="auto"/>
            </w:tcBorders>
            <w:vAlign w:val="center"/>
          </w:tcPr>
          <w:p w14:paraId="287C6F94" w14:textId="77777777" w:rsidR="00264923" w:rsidRPr="00B0658A" w:rsidRDefault="00264923" w:rsidP="00004A41">
            <w:pPr>
              <w:pStyle w:val="ConsPlusNormal"/>
              <w:jc w:val="center"/>
            </w:pPr>
          </w:p>
        </w:tc>
        <w:tc>
          <w:tcPr>
            <w:tcW w:w="333" w:type="pct"/>
            <w:tcBorders>
              <w:top w:val="single" w:sz="4" w:space="0" w:color="auto"/>
              <w:left w:val="single" w:sz="4" w:space="0" w:color="auto"/>
              <w:bottom w:val="single" w:sz="4" w:space="0" w:color="auto"/>
              <w:right w:val="single" w:sz="4" w:space="0" w:color="auto"/>
            </w:tcBorders>
            <w:vAlign w:val="center"/>
          </w:tcPr>
          <w:p w14:paraId="48D14F4A" w14:textId="77777777" w:rsidR="00264923" w:rsidRPr="00B0658A" w:rsidRDefault="00264923" w:rsidP="00004A41">
            <w:pPr>
              <w:pStyle w:val="ConsPlusNormal"/>
              <w:jc w:val="center"/>
            </w:pPr>
          </w:p>
        </w:tc>
        <w:tc>
          <w:tcPr>
            <w:tcW w:w="333" w:type="pct"/>
            <w:tcBorders>
              <w:top w:val="single" w:sz="4" w:space="0" w:color="auto"/>
              <w:left w:val="single" w:sz="4" w:space="0" w:color="auto"/>
              <w:bottom w:val="single" w:sz="4" w:space="0" w:color="auto"/>
              <w:right w:val="single" w:sz="4" w:space="0" w:color="auto"/>
            </w:tcBorders>
            <w:vAlign w:val="center"/>
          </w:tcPr>
          <w:p w14:paraId="20DBB183" w14:textId="77777777" w:rsidR="00264923" w:rsidRPr="00B0658A" w:rsidRDefault="00264923" w:rsidP="00004A41">
            <w:pPr>
              <w:pStyle w:val="ConsPlusNormal"/>
              <w:jc w:val="center"/>
            </w:pPr>
          </w:p>
        </w:tc>
        <w:tc>
          <w:tcPr>
            <w:tcW w:w="333" w:type="pct"/>
            <w:tcBorders>
              <w:top w:val="single" w:sz="4" w:space="0" w:color="auto"/>
              <w:left w:val="single" w:sz="4" w:space="0" w:color="auto"/>
              <w:bottom w:val="single" w:sz="4" w:space="0" w:color="auto"/>
              <w:right w:val="single" w:sz="4" w:space="0" w:color="auto"/>
            </w:tcBorders>
            <w:vAlign w:val="center"/>
          </w:tcPr>
          <w:p w14:paraId="2735AA16" w14:textId="77777777" w:rsidR="00264923" w:rsidRPr="00B0658A" w:rsidRDefault="00264923" w:rsidP="00004A41">
            <w:pPr>
              <w:pStyle w:val="ConsPlusNormal"/>
              <w:jc w:val="center"/>
            </w:pPr>
          </w:p>
        </w:tc>
        <w:tc>
          <w:tcPr>
            <w:tcW w:w="333" w:type="pct"/>
            <w:tcBorders>
              <w:top w:val="single" w:sz="4" w:space="0" w:color="auto"/>
              <w:left w:val="single" w:sz="4" w:space="0" w:color="auto"/>
              <w:bottom w:val="single" w:sz="4" w:space="0" w:color="auto"/>
              <w:right w:val="single" w:sz="4" w:space="0" w:color="auto"/>
            </w:tcBorders>
            <w:vAlign w:val="center"/>
          </w:tcPr>
          <w:p w14:paraId="50CACA02" w14:textId="77777777" w:rsidR="00264923" w:rsidRPr="00B0658A" w:rsidRDefault="00264923" w:rsidP="00004A41">
            <w:pPr>
              <w:pStyle w:val="ConsPlusNormal"/>
              <w:jc w:val="center"/>
            </w:pPr>
          </w:p>
        </w:tc>
        <w:tc>
          <w:tcPr>
            <w:tcW w:w="333" w:type="pct"/>
            <w:tcBorders>
              <w:top w:val="single" w:sz="4" w:space="0" w:color="auto"/>
              <w:left w:val="single" w:sz="4" w:space="0" w:color="auto"/>
              <w:bottom w:val="single" w:sz="4" w:space="0" w:color="auto"/>
              <w:right w:val="single" w:sz="4" w:space="0" w:color="auto"/>
            </w:tcBorders>
            <w:vAlign w:val="center"/>
          </w:tcPr>
          <w:p w14:paraId="0EB49B87" w14:textId="77777777" w:rsidR="00264923" w:rsidRPr="00B0658A" w:rsidRDefault="00264923" w:rsidP="00004A41">
            <w:pPr>
              <w:pStyle w:val="ConsPlusNormal"/>
              <w:jc w:val="center"/>
            </w:pPr>
          </w:p>
        </w:tc>
        <w:tc>
          <w:tcPr>
            <w:tcW w:w="333" w:type="pct"/>
            <w:tcBorders>
              <w:top w:val="single" w:sz="4" w:space="0" w:color="auto"/>
              <w:left w:val="single" w:sz="4" w:space="0" w:color="auto"/>
              <w:bottom w:val="single" w:sz="4" w:space="0" w:color="auto"/>
              <w:right w:val="single" w:sz="4" w:space="0" w:color="auto"/>
            </w:tcBorders>
            <w:vAlign w:val="center"/>
          </w:tcPr>
          <w:p w14:paraId="41BF33A1" w14:textId="77777777" w:rsidR="00264923" w:rsidRPr="00B0658A" w:rsidRDefault="00264923" w:rsidP="00004A41">
            <w:pPr>
              <w:pStyle w:val="ConsPlusNormal"/>
              <w:jc w:val="center"/>
            </w:pPr>
          </w:p>
        </w:tc>
        <w:tc>
          <w:tcPr>
            <w:tcW w:w="333" w:type="pct"/>
            <w:tcBorders>
              <w:top w:val="single" w:sz="4" w:space="0" w:color="auto"/>
              <w:left w:val="single" w:sz="4" w:space="0" w:color="auto"/>
              <w:bottom w:val="single" w:sz="4" w:space="0" w:color="auto"/>
              <w:right w:val="single" w:sz="4" w:space="0" w:color="auto"/>
            </w:tcBorders>
            <w:vAlign w:val="center"/>
          </w:tcPr>
          <w:p w14:paraId="5F2C7A0F" w14:textId="77777777" w:rsidR="00264923" w:rsidRPr="00B0658A" w:rsidRDefault="00264923" w:rsidP="00004A41">
            <w:pPr>
              <w:pStyle w:val="ConsPlusNormal"/>
              <w:jc w:val="center"/>
            </w:pPr>
          </w:p>
        </w:tc>
        <w:tc>
          <w:tcPr>
            <w:tcW w:w="759" w:type="pct"/>
            <w:tcBorders>
              <w:top w:val="single" w:sz="4" w:space="0" w:color="auto"/>
              <w:left w:val="single" w:sz="4" w:space="0" w:color="auto"/>
              <w:bottom w:val="single" w:sz="4" w:space="0" w:color="auto"/>
              <w:right w:val="single" w:sz="4" w:space="0" w:color="auto"/>
            </w:tcBorders>
          </w:tcPr>
          <w:p w14:paraId="485371BB" w14:textId="77777777" w:rsidR="00264923" w:rsidRPr="00B0658A" w:rsidRDefault="00264923" w:rsidP="00004A41">
            <w:pPr>
              <w:pStyle w:val="ConsPlusNormal"/>
              <w:jc w:val="center"/>
            </w:pPr>
          </w:p>
        </w:tc>
      </w:tr>
      <w:tr w:rsidR="00F52FED" w:rsidRPr="00B0658A" w14:paraId="6D41157B" w14:textId="77777777" w:rsidTr="00F07AB3">
        <w:trPr>
          <w:trHeight w:val="20"/>
        </w:trPr>
        <w:tc>
          <w:tcPr>
            <w:tcW w:w="5000" w:type="pct"/>
            <w:gridSpan w:val="12"/>
            <w:tcBorders>
              <w:top w:val="single" w:sz="4" w:space="0" w:color="auto"/>
              <w:left w:val="single" w:sz="4" w:space="0" w:color="auto"/>
              <w:bottom w:val="single" w:sz="4" w:space="0" w:color="auto"/>
              <w:right w:val="single" w:sz="4" w:space="0" w:color="auto"/>
            </w:tcBorders>
            <w:vAlign w:val="center"/>
          </w:tcPr>
          <w:p w14:paraId="3F66FE93" w14:textId="77777777" w:rsidR="002B1B82" w:rsidRPr="00B0658A" w:rsidRDefault="002B1B82" w:rsidP="00004A41">
            <w:pPr>
              <w:pStyle w:val="ConsPlusNormal"/>
              <w:jc w:val="center"/>
              <w:rPr>
                <w:b/>
              </w:rPr>
            </w:pPr>
            <w:r w:rsidRPr="00B0658A">
              <w:rPr>
                <w:b/>
              </w:rPr>
              <w:t>Государственные и ведомственные информационные системы, подлежащи</w:t>
            </w:r>
            <w:r w:rsidR="009C1AB7" w:rsidRPr="00B0658A">
              <w:rPr>
                <w:b/>
              </w:rPr>
              <w:t>е</w:t>
            </w:r>
            <w:r w:rsidRPr="00B0658A">
              <w:rPr>
                <w:b/>
              </w:rPr>
              <w:t xml:space="preserve"> переводу на использование российского ПО до 31.12.202</w:t>
            </w:r>
            <w:r w:rsidR="00674819" w:rsidRPr="00B0658A">
              <w:rPr>
                <w:b/>
              </w:rPr>
              <w:t>7</w:t>
            </w:r>
            <w:r w:rsidR="0020281A" w:rsidRPr="00B0658A">
              <w:rPr>
                <w:b/>
              </w:rPr>
              <w:t xml:space="preserve"> г.</w:t>
            </w:r>
          </w:p>
        </w:tc>
      </w:tr>
      <w:tr w:rsidR="00F52FED" w:rsidRPr="00B0658A" w14:paraId="781950F2" w14:textId="77777777" w:rsidTr="00F07AB3">
        <w:trPr>
          <w:trHeight w:val="20"/>
        </w:trPr>
        <w:tc>
          <w:tcPr>
            <w:tcW w:w="168" w:type="pct"/>
            <w:tcBorders>
              <w:top w:val="single" w:sz="4" w:space="0" w:color="auto"/>
              <w:left w:val="single" w:sz="4" w:space="0" w:color="auto"/>
              <w:bottom w:val="single" w:sz="4" w:space="0" w:color="auto"/>
              <w:right w:val="single" w:sz="4" w:space="0" w:color="auto"/>
            </w:tcBorders>
          </w:tcPr>
          <w:p w14:paraId="74E205D8" w14:textId="77777777" w:rsidR="00674819" w:rsidRPr="00B0658A" w:rsidRDefault="0020281A" w:rsidP="00004A41">
            <w:pPr>
              <w:pStyle w:val="ConsPlusNormal"/>
            </w:pPr>
            <w:r w:rsidRPr="00B0658A">
              <w:t>3. </w:t>
            </w:r>
          </w:p>
        </w:tc>
        <w:tc>
          <w:tcPr>
            <w:tcW w:w="1076" w:type="pct"/>
            <w:tcBorders>
              <w:top w:val="single" w:sz="4" w:space="0" w:color="auto"/>
              <w:left w:val="single" w:sz="4" w:space="0" w:color="auto"/>
              <w:bottom w:val="single" w:sz="4" w:space="0" w:color="auto"/>
              <w:right w:val="single" w:sz="4" w:space="0" w:color="auto"/>
            </w:tcBorders>
          </w:tcPr>
          <w:p w14:paraId="1E071A8B" w14:textId="77777777" w:rsidR="00674819" w:rsidRPr="00B0658A" w:rsidRDefault="00674819" w:rsidP="00004A41">
            <w:pPr>
              <w:pStyle w:val="ConsPlusNormal"/>
            </w:pPr>
            <w:r w:rsidRPr="00B0658A">
              <w:rPr>
                <w:i/>
              </w:rPr>
              <w:t xml:space="preserve">Указывается наименование </w:t>
            </w:r>
            <w:r w:rsidRPr="00B0658A">
              <w:rPr>
                <w:i/>
              </w:rPr>
              <w:lastRenderedPageBreak/>
              <w:t>государственной или ведомственной информационной №</w:t>
            </w:r>
            <w:r w:rsidR="00334232" w:rsidRPr="00B0658A">
              <w:rPr>
                <w:i/>
              </w:rPr>
              <w:t>3</w:t>
            </w:r>
          </w:p>
        </w:tc>
        <w:tc>
          <w:tcPr>
            <w:tcW w:w="333" w:type="pct"/>
            <w:tcBorders>
              <w:top w:val="single" w:sz="4" w:space="0" w:color="auto"/>
              <w:left w:val="single" w:sz="4" w:space="0" w:color="auto"/>
              <w:bottom w:val="single" w:sz="4" w:space="0" w:color="auto"/>
              <w:right w:val="single" w:sz="4" w:space="0" w:color="auto"/>
            </w:tcBorders>
            <w:vAlign w:val="center"/>
          </w:tcPr>
          <w:p w14:paraId="11920FB4" w14:textId="77777777" w:rsidR="00674819" w:rsidRPr="00B0658A" w:rsidRDefault="00674819" w:rsidP="00004A41">
            <w:pPr>
              <w:pStyle w:val="ConsPlusNormal"/>
              <w:jc w:val="center"/>
            </w:pPr>
          </w:p>
        </w:tc>
        <w:tc>
          <w:tcPr>
            <w:tcW w:w="333" w:type="pct"/>
            <w:tcBorders>
              <w:top w:val="single" w:sz="4" w:space="0" w:color="auto"/>
              <w:left w:val="single" w:sz="4" w:space="0" w:color="auto"/>
              <w:bottom w:val="single" w:sz="4" w:space="0" w:color="auto"/>
              <w:right w:val="single" w:sz="4" w:space="0" w:color="auto"/>
            </w:tcBorders>
            <w:vAlign w:val="center"/>
          </w:tcPr>
          <w:p w14:paraId="2B7131A0" w14:textId="77777777" w:rsidR="00674819" w:rsidRPr="00B0658A" w:rsidRDefault="00674819" w:rsidP="00004A41">
            <w:pPr>
              <w:pStyle w:val="ConsPlusNormal"/>
              <w:jc w:val="center"/>
            </w:pPr>
          </w:p>
        </w:tc>
        <w:tc>
          <w:tcPr>
            <w:tcW w:w="333" w:type="pct"/>
            <w:tcBorders>
              <w:top w:val="single" w:sz="4" w:space="0" w:color="auto"/>
              <w:left w:val="single" w:sz="4" w:space="0" w:color="auto"/>
              <w:bottom w:val="single" w:sz="4" w:space="0" w:color="auto"/>
              <w:right w:val="single" w:sz="4" w:space="0" w:color="auto"/>
            </w:tcBorders>
            <w:vAlign w:val="center"/>
          </w:tcPr>
          <w:p w14:paraId="30899AAC" w14:textId="77777777" w:rsidR="00674819" w:rsidRPr="00B0658A" w:rsidRDefault="00674819" w:rsidP="00004A41">
            <w:pPr>
              <w:pStyle w:val="ConsPlusNormal"/>
              <w:jc w:val="center"/>
            </w:pPr>
          </w:p>
        </w:tc>
        <w:tc>
          <w:tcPr>
            <w:tcW w:w="333" w:type="pct"/>
            <w:tcBorders>
              <w:top w:val="single" w:sz="4" w:space="0" w:color="auto"/>
              <w:left w:val="single" w:sz="4" w:space="0" w:color="auto"/>
              <w:bottom w:val="single" w:sz="4" w:space="0" w:color="auto"/>
              <w:right w:val="single" w:sz="4" w:space="0" w:color="auto"/>
            </w:tcBorders>
            <w:vAlign w:val="center"/>
          </w:tcPr>
          <w:p w14:paraId="29FF8044" w14:textId="77777777" w:rsidR="00674819" w:rsidRPr="00B0658A" w:rsidRDefault="00674819" w:rsidP="00004A41">
            <w:pPr>
              <w:pStyle w:val="ConsPlusNormal"/>
              <w:jc w:val="center"/>
            </w:pPr>
          </w:p>
        </w:tc>
        <w:tc>
          <w:tcPr>
            <w:tcW w:w="333" w:type="pct"/>
            <w:tcBorders>
              <w:top w:val="single" w:sz="4" w:space="0" w:color="auto"/>
              <w:left w:val="single" w:sz="4" w:space="0" w:color="auto"/>
              <w:bottom w:val="single" w:sz="4" w:space="0" w:color="auto"/>
              <w:right w:val="single" w:sz="4" w:space="0" w:color="auto"/>
            </w:tcBorders>
            <w:vAlign w:val="center"/>
          </w:tcPr>
          <w:p w14:paraId="49E88AFE" w14:textId="77777777" w:rsidR="00674819" w:rsidRPr="00B0658A" w:rsidRDefault="00674819" w:rsidP="00004A41">
            <w:pPr>
              <w:pStyle w:val="ConsPlusNormal"/>
              <w:jc w:val="center"/>
            </w:pPr>
          </w:p>
        </w:tc>
        <w:tc>
          <w:tcPr>
            <w:tcW w:w="333" w:type="pct"/>
            <w:tcBorders>
              <w:top w:val="single" w:sz="4" w:space="0" w:color="auto"/>
              <w:left w:val="single" w:sz="4" w:space="0" w:color="auto"/>
              <w:bottom w:val="single" w:sz="4" w:space="0" w:color="auto"/>
              <w:right w:val="single" w:sz="4" w:space="0" w:color="auto"/>
            </w:tcBorders>
            <w:vAlign w:val="center"/>
          </w:tcPr>
          <w:p w14:paraId="79290764" w14:textId="77777777" w:rsidR="00674819" w:rsidRPr="00B0658A" w:rsidRDefault="00674819" w:rsidP="00004A41">
            <w:pPr>
              <w:pStyle w:val="ConsPlusNormal"/>
              <w:jc w:val="center"/>
            </w:pPr>
          </w:p>
        </w:tc>
        <w:tc>
          <w:tcPr>
            <w:tcW w:w="333" w:type="pct"/>
            <w:tcBorders>
              <w:top w:val="single" w:sz="4" w:space="0" w:color="auto"/>
              <w:left w:val="single" w:sz="4" w:space="0" w:color="auto"/>
              <w:bottom w:val="single" w:sz="4" w:space="0" w:color="auto"/>
              <w:right w:val="single" w:sz="4" w:space="0" w:color="auto"/>
            </w:tcBorders>
            <w:vAlign w:val="center"/>
          </w:tcPr>
          <w:p w14:paraId="360D6E5B" w14:textId="77777777" w:rsidR="00674819" w:rsidRPr="00B0658A" w:rsidRDefault="00674819" w:rsidP="00004A41">
            <w:pPr>
              <w:pStyle w:val="ConsPlusNormal"/>
              <w:jc w:val="center"/>
            </w:pPr>
          </w:p>
        </w:tc>
        <w:tc>
          <w:tcPr>
            <w:tcW w:w="333" w:type="pct"/>
            <w:tcBorders>
              <w:top w:val="single" w:sz="4" w:space="0" w:color="auto"/>
              <w:left w:val="single" w:sz="4" w:space="0" w:color="auto"/>
              <w:bottom w:val="single" w:sz="4" w:space="0" w:color="auto"/>
              <w:right w:val="single" w:sz="4" w:space="0" w:color="auto"/>
            </w:tcBorders>
            <w:vAlign w:val="center"/>
          </w:tcPr>
          <w:p w14:paraId="3C4F699B" w14:textId="77777777" w:rsidR="00674819" w:rsidRPr="00B0658A" w:rsidRDefault="00674819" w:rsidP="00004A41">
            <w:pPr>
              <w:pStyle w:val="ConsPlusNormal"/>
              <w:jc w:val="center"/>
            </w:pPr>
          </w:p>
        </w:tc>
        <w:tc>
          <w:tcPr>
            <w:tcW w:w="333" w:type="pct"/>
            <w:tcBorders>
              <w:top w:val="single" w:sz="4" w:space="0" w:color="auto"/>
              <w:left w:val="single" w:sz="4" w:space="0" w:color="auto"/>
              <w:bottom w:val="single" w:sz="4" w:space="0" w:color="auto"/>
              <w:right w:val="single" w:sz="4" w:space="0" w:color="auto"/>
            </w:tcBorders>
            <w:vAlign w:val="center"/>
          </w:tcPr>
          <w:p w14:paraId="4D934343" w14:textId="77777777" w:rsidR="00674819" w:rsidRPr="00B0658A" w:rsidRDefault="00674819" w:rsidP="00004A41">
            <w:pPr>
              <w:pStyle w:val="ConsPlusNormal"/>
              <w:jc w:val="center"/>
            </w:pPr>
          </w:p>
        </w:tc>
        <w:tc>
          <w:tcPr>
            <w:tcW w:w="759" w:type="pct"/>
            <w:tcBorders>
              <w:top w:val="single" w:sz="4" w:space="0" w:color="auto"/>
              <w:left w:val="single" w:sz="4" w:space="0" w:color="auto"/>
              <w:bottom w:val="single" w:sz="4" w:space="0" w:color="auto"/>
              <w:right w:val="single" w:sz="4" w:space="0" w:color="auto"/>
            </w:tcBorders>
          </w:tcPr>
          <w:p w14:paraId="25884705" w14:textId="77777777" w:rsidR="00674819" w:rsidRPr="00B0658A" w:rsidRDefault="00674819" w:rsidP="00004A41">
            <w:pPr>
              <w:pStyle w:val="ConsPlusNormal"/>
              <w:jc w:val="center"/>
            </w:pPr>
          </w:p>
        </w:tc>
      </w:tr>
      <w:tr w:rsidR="00F52FED" w:rsidRPr="00B0658A" w14:paraId="571485C4" w14:textId="77777777" w:rsidTr="00F07AB3">
        <w:trPr>
          <w:trHeight w:val="20"/>
        </w:trPr>
        <w:tc>
          <w:tcPr>
            <w:tcW w:w="168" w:type="pct"/>
            <w:tcBorders>
              <w:top w:val="single" w:sz="4" w:space="0" w:color="auto"/>
              <w:left w:val="single" w:sz="4" w:space="0" w:color="auto"/>
              <w:bottom w:val="single" w:sz="4" w:space="0" w:color="auto"/>
              <w:right w:val="single" w:sz="4" w:space="0" w:color="auto"/>
            </w:tcBorders>
          </w:tcPr>
          <w:p w14:paraId="7E4354B6" w14:textId="77777777" w:rsidR="00674819" w:rsidRPr="00B0658A" w:rsidRDefault="0020281A" w:rsidP="00004A41">
            <w:pPr>
              <w:pStyle w:val="ConsPlusNormal"/>
            </w:pPr>
            <w:r w:rsidRPr="00B0658A">
              <w:t>4. </w:t>
            </w:r>
          </w:p>
        </w:tc>
        <w:tc>
          <w:tcPr>
            <w:tcW w:w="1076" w:type="pct"/>
            <w:tcBorders>
              <w:top w:val="single" w:sz="4" w:space="0" w:color="auto"/>
              <w:left w:val="single" w:sz="4" w:space="0" w:color="auto"/>
              <w:bottom w:val="single" w:sz="4" w:space="0" w:color="auto"/>
              <w:right w:val="single" w:sz="4" w:space="0" w:color="auto"/>
            </w:tcBorders>
          </w:tcPr>
          <w:p w14:paraId="7815D39C" w14:textId="77777777" w:rsidR="00674819" w:rsidRPr="00B0658A" w:rsidRDefault="00674819" w:rsidP="00004A41">
            <w:pPr>
              <w:pStyle w:val="ConsPlusNormal"/>
            </w:pPr>
            <w:r w:rsidRPr="00B0658A">
              <w:rPr>
                <w:i/>
              </w:rPr>
              <w:t>Указывается наименование государственной или ведомственной информационной №</w:t>
            </w:r>
            <w:r w:rsidR="00334232" w:rsidRPr="00B0658A">
              <w:rPr>
                <w:i/>
              </w:rPr>
              <w:t>4</w:t>
            </w:r>
          </w:p>
        </w:tc>
        <w:tc>
          <w:tcPr>
            <w:tcW w:w="333" w:type="pct"/>
            <w:tcBorders>
              <w:top w:val="single" w:sz="4" w:space="0" w:color="auto"/>
              <w:left w:val="single" w:sz="4" w:space="0" w:color="auto"/>
              <w:bottom w:val="single" w:sz="4" w:space="0" w:color="auto"/>
              <w:right w:val="single" w:sz="4" w:space="0" w:color="auto"/>
            </w:tcBorders>
            <w:vAlign w:val="center"/>
          </w:tcPr>
          <w:p w14:paraId="7863ED7F" w14:textId="77777777" w:rsidR="00674819" w:rsidRPr="00B0658A" w:rsidRDefault="00674819" w:rsidP="00004A41">
            <w:pPr>
              <w:pStyle w:val="ConsPlusNormal"/>
              <w:jc w:val="center"/>
            </w:pPr>
          </w:p>
        </w:tc>
        <w:tc>
          <w:tcPr>
            <w:tcW w:w="333" w:type="pct"/>
            <w:tcBorders>
              <w:top w:val="single" w:sz="4" w:space="0" w:color="auto"/>
              <w:left w:val="single" w:sz="4" w:space="0" w:color="auto"/>
              <w:bottom w:val="single" w:sz="4" w:space="0" w:color="auto"/>
              <w:right w:val="single" w:sz="4" w:space="0" w:color="auto"/>
            </w:tcBorders>
            <w:vAlign w:val="center"/>
          </w:tcPr>
          <w:p w14:paraId="2C9B1BA5" w14:textId="77777777" w:rsidR="00674819" w:rsidRPr="00B0658A" w:rsidRDefault="00674819" w:rsidP="00004A41">
            <w:pPr>
              <w:pStyle w:val="ConsPlusNormal"/>
              <w:jc w:val="center"/>
            </w:pPr>
          </w:p>
        </w:tc>
        <w:tc>
          <w:tcPr>
            <w:tcW w:w="333" w:type="pct"/>
            <w:tcBorders>
              <w:top w:val="single" w:sz="4" w:space="0" w:color="auto"/>
              <w:left w:val="single" w:sz="4" w:space="0" w:color="auto"/>
              <w:bottom w:val="single" w:sz="4" w:space="0" w:color="auto"/>
              <w:right w:val="single" w:sz="4" w:space="0" w:color="auto"/>
            </w:tcBorders>
            <w:vAlign w:val="center"/>
          </w:tcPr>
          <w:p w14:paraId="5580622E" w14:textId="77777777" w:rsidR="00674819" w:rsidRPr="00B0658A" w:rsidRDefault="00674819" w:rsidP="00004A41">
            <w:pPr>
              <w:pStyle w:val="ConsPlusNormal"/>
              <w:jc w:val="center"/>
            </w:pPr>
          </w:p>
        </w:tc>
        <w:tc>
          <w:tcPr>
            <w:tcW w:w="333" w:type="pct"/>
            <w:tcBorders>
              <w:top w:val="single" w:sz="4" w:space="0" w:color="auto"/>
              <w:left w:val="single" w:sz="4" w:space="0" w:color="auto"/>
              <w:bottom w:val="single" w:sz="4" w:space="0" w:color="auto"/>
              <w:right w:val="single" w:sz="4" w:space="0" w:color="auto"/>
            </w:tcBorders>
            <w:vAlign w:val="center"/>
          </w:tcPr>
          <w:p w14:paraId="3943655D" w14:textId="77777777" w:rsidR="00674819" w:rsidRPr="00B0658A" w:rsidRDefault="00674819" w:rsidP="00004A41">
            <w:pPr>
              <w:pStyle w:val="ConsPlusNormal"/>
              <w:jc w:val="center"/>
            </w:pPr>
          </w:p>
        </w:tc>
        <w:tc>
          <w:tcPr>
            <w:tcW w:w="333" w:type="pct"/>
            <w:tcBorders>
              <w:top w:val="single" w:sz="4" w:space="0" w:color="auto"/>
              <w:left w:val="single" w:sz="4" w:space="0" w:color="auto"/>
              <w:bottom w:val="single" w:sz="4" w:space="0" w:color="auto"/>
              <w:right w:val="single" w:sz="4" w:space="0" w:color="auto"/>
            </w:tcBorders>
            <w:vAlign w:val="center"/>
          </w:tcPr>
          <w:p w14:paraId="699474C7" w14:textId="77777777" w:rsidR="00674819" w:rsidRPr="00B0658A" w:rsidRDefault="00674819" w:rsidP="00004A41">
            <w:pPr>
              <w:pStyle w:val="ConsPlusNormal"/>
              <w:jc w:val="center"/>
            </w:pPr>
          </w:p>
        </w:tc>
        <w:tc>
          <w:tcPr>
            <w:tcW w:w="333" w:type="pct"/>
            <w:tcBorders>
              <w:top w:val="single" w:sz="4" w:space="0" w:color="auto"/>
              <w:left w:val="single" w:sz="4" w:space="0" w:color="auto"/>
              <w:bottom w:val="single" w:sz="4" w:space="0" w:color="auto"/>
              <w:right w:val="single" w:sz="4" w:space="0" w:color="auto"/>
            </w:tcBorders>
            <w:vAlign w:val="center"/>
          </w:tcPr>
          <w:p w14:paraId="7F50E7E1" w14:textId="77777777" w:rsidR="00674819" w:rsidRPr="00B0658A" w:rsidRDefault="00674819" w:rsidP="00004A41">
            <w:pPr>
              <w:pStyle w:val="ConsPlusNormal"/>
              <w:jc w:val="center"/>
            </w:pPr>
          </w:p>
        </w:tc>
        <w:tc>
          <w:tcPr>
            <w:tcW w:w="333" w:type="pct"/>
            <w:tcBorders>
              <w:top w:val="single" w:sz="4" w:space="0" w:color="auto"/>
              <w:left w:val="single" w:sz="4" w:space="0" w:color="auto"/>
              <w:bottom w:val="single" w:sz="4" w:space="0" w:color="auto"/>
              <w:right w:val="single" w:sz="4" w:space="0" w:color="auto"/>
            </w:tcBorders>
            <w:vAlign w:val="center"/>
          </w:tcPr>
          <w:p w14:paraId="5DDCB107" w14:textId="77777777" w:rsidR="00674819" w:rsidRPr="00B0658A" w:rsidRDefault="00674819" w:rsidP="00004A41">
            <w:pPr>
              <w:pStyle w:val="ConsPlusNormal"/>
              <w:jc w:val="center"/>
            </w:pPr>
          </w:p>
        </w:tc>
        <w:tc>
          <w:tcPr>
            <w:tcW w:w="333" w:type="pct"/>
            <w:tcBorders>
              <w:top w:val="single" w:sz="4" w:space="0" w:color="auto"/>
              <w:left w:val="single" w:sz="4" w:space="0" w:color="auto"/>
              <w:bottom w:val="single" w:sz="4" w:space="0" w:color="auto"/>
              <w:right w:val="single" w:sz="4" w:space="0" w:color="auto"/>
            </w:tcBorders>
            <w:vAlign w:val="center"/>
          </w:tcPr>
          <w:p w14:paraId="768030FB" w14:textId="77777777" w:rsidR="00674819" w:rsidRPr="00B0658A" w:rsidRDefault="00674819" w:rsidP="00004A41">
            <w:pPr>
              <w:pStyle w:val="ConsPlusNormal"/>
              <w:jc w:val="center"/>
            </w:pPr>
          </w:p>
        </w:tc>
        <w:tc>
          <w:tcPr>
            <w:tcW w:w="333" w:type="pct"/>
            <w:tcBorders>
              <w:top w:val="single" w:sz="4" w:space="0" w:color="auto"/>
              <w:left w:val="single" w:sz="4" w:space="0" w:color="auto"/>
              <w:bottom w:val="single" w:sz="4" w:space="0" w:color="auto"/>
              <w:right w:val="single" w:sz="4" w:space="0" w:color="auto"/>
            </w:tcBorders>
            <w:vAlign w:val="center"/>
          </w:tcPr>
          <w:p w14:paraId="2EE40C6A" w14:textId="77777777" w:rsidR="00674819" w:rsidRPr="00B0658A" w:rsidRDefault="00674819" w:rsidP="00004A41">
            <w:pPr>
              <w:pStyle w:val="ConsPlusNormal"/>
              <w:jc w:val="center"/>
            </w:pPr>
          </w:p>
        </w:tc>
        <w:tc>
          <w:tcPr>
            <w:tcW w:w="759" w:type="pct"/>
            <w:tcBorders>
              <w:top w:val="single" w:sz="4" w:space="0" w:color="auto"/>
              <w:left w:val="single" w:sz="4" w:space="0" w:color="auto"/>
              <w:bottom w:val="single" w:sz="4" w:space="0" w:color="auto"/>
              <w:right w:val="single" w:sz="4" w:space="0" w:color="auto"/>
            </w:tcBorders>
          </w:tcPr>
          <w:p w14:paraId="7DBD0277" w14:textId="77777777" w:rsidR="00674819" w:rsidRPr="00B0658A" w:rsidRDefault="00674819" w:rsidP="00004A41">
            <w:pPr>
              <w:pStyle w:val="ConsPlusNormal"/>
              <w:jc w:val="center"/>
            </w:pPr>
          </w:p>
        </w:tc>
      </w:tr>
      <w:tr w:rsidR="00F52FED" w:rsidRPr="00B0658A" w14:paraId="2354CACA" w14:textId="77777777" w:rsidTr="00F07AB3">
        <w:trPr>
          <w:trHeight w:val="20"/>
        </w:trPr>
        <w:tc>
          <w:tcPr>
            <w:tcW w:w="168" w:type="pct"/>
            <w:tcBorders>
              <w:top w:val="single" w:sz="4" w:space="0" w:color="auto"/>
              <w:left w:val="single" w:sz="4" w:space="0" w:color="auto"/>
              <w:bottom w:val="single" w:sz="4" w:space="0" w:color="auto"/>
              <w:right w:val="single" w:sz="4" w:space="0" w:color="auto"/>
            </w:tcBorders>
          </w:tcPr>
          <w:p w14:paraId="495C97D4" w14:textId="77777777" w:rsidR="00674819" w:rsidRPr="00B0658A" w:rsidRDefault="00674819" w:rsidP="00004A41">
            <w:pPr>
              <w:pStyle w:val="ConsPlusNormal"/>
              <w:rPr>
                <w:lang w:val="en-US"/>
              </w:rPr>
            </w:pPr>
            <w:r w:rsidRPr="00B0658A">
              <w:rPr>
                <w:lang w:val="en-US"/>
              </w:rPr>
              <w:t>…</w:t>
            </w:r>
          </w:p>
        </w:tc>
        <w:tc>
          <w:tcPr>
            <w:tcW w:w="1076" w:type="pct"/>
            <w:tcBorders>
              <w:top w:val="single" w:sz="4" w:space="0" w:color="auto"/>
              <w:left w:val="single" w:sz="4" w:space="0" w:color="auto"/>
              <w:bottom w:val="single" w:sz="4" w:space="0" w:color="auto"/>
              <w:right w:val="single" w:sz="4" w:space="0" w:color="auto"/>
            </w:tcBorders>
          </w:tcPr>
          <w:p w14:paraId="003981E0" w14:textId="77777777" w:rsidR="00674819" w:rsidRPr="00B0658A" w:rsidRDefault="00674819" w:rsidP="00004A41">
            <w:pPr>
              <w:pStyle w:val="ConsPlusNormal"/>
              <w:rPr>
                <w:lang w:val="en-US"/>
              </w:rPr>
            </w:pPr>
            <w:r w:rsidRPr="00B0658A">
              <w:rPr>
                <w:lang w:val="en-US"/>
              </w:rPr>
              <w:t>….</w:t>
            </w:r>
          </w:p>
        </w:tc>
        <w:tc>
          <w:tcPr>
            <w:tcW w:w="333" w:type="pct"/>
            <w:tcBorders>
              <w:top w:val="single" w:sz="4" w:space="0" w:color="auto"/>
              <w:left w:val="single" w:sz="4" w:space="0" w:color="auto"/>
              <w:bottom w:val="single" w:sz="4" w:space="0" w:color="auto"/>
              <w:right w:val="single" w:sz="4" w:space="0" w:color="auto"/>
            </w:tcBorders>
            <w:vAlign w:val="center"/>
          </w:tcPr>
          <w:p w14:paraId="39382A65" w14:textId="77777777" w:rsidR="00674819" w:rsidRPr="00B0658A" w:rsidRDefault="00674819" w:rsidP="00004A41">
            <w:pPr>
              <w:pStyle w:val="ConsPlusNormal"/>
              <w:jc w:val="center"/>
            </w:pPr>
          </w:p>
        </w:tc>
        <w:tc>
          <w:tcPr>
            <w:tcW w:w="333" w:type="pct"/>
            <w:tcBorders>
              <w:top w:val="single" w:sz="4" w:space="0" w:color="auto"/>
              <w:left w:val="single" w:sz="4" w:space="0" w:color="auto"/>
              <w:bottom w:val="single" w:sz="4" w:space="0" w:color="auto"/>
              <w:right w:val="single" w:sz="4" w:space="0" w:color="auto"/>
            </w:tcBorders>
            <w:vAlign w:val="center"/>
          </w:tcPr>
          <w:p w14:paraId="3ABF2B20" w14:textId="77777777" w:rsidR="00674819" w:rsidRPr="00B0658A" w:rsidRDefault="00674819" w:rsidP="00004A41">
            <w:pPr>
              <w:pStyle w:val="ConsPlusNormal"/>
              <w:jc w:val="center"/>
            </w:pPr>
          </w:p>
        </w:tc>
        <w:tc>
          <w:tcPr>
            <w:tcW w:w="333" w:type="pct"/>
            <w:tcBorders>
              <w:top w:val="single" w:sz="4" w:space="0" w:color="auto"/>
              <w:left w:val="single" w:sz="4" w:space="0" w:color="auto"/>
              <w:bottom w:val="single" w:sz="4" w:space="0" w:color="auto"/>
              <w:right w:val="single" w:sz="4" w:space="0" w:color="auto"/>
            </w:tcBorders>
            <w:vAlign w:val="center"/>
          </w:tcPr>
          <w:p w14:paraId="52E648F5" w14:textId="77777777" w:rsidR="00674819" w:rsidRPr="00B0658A" w:rsidRDefault="00674819" w:rsidP="00004A41">
            <w:pPr>
              <w:pStyle w:val="ConsPlusNormal"/>
              <w:jc w:val="center"/>
            </w:pPr>
          </w:p>
        </w:tc>
        <w:tc>
          <w:tcPr>
            <w:tcW w:w="333" w:type="pct"/>
            <w:tcBorders>
              <w:top w:val="single" w:sz="4" w:space="0" w:color="auto"/>
              <w:left w:val="single" w:sz="4" w:space="0" w:color="auto"/>
              <w:bottom w:val="single" w:sz="4" w:space="0" w:color="auto"/>
              <w:right w:val="single" w:sz="4" w:space="0" w:color="auto"/>
            </w:tcBorders>
            <w:vAlign w:val="center"/>
          </w:tcPr>
          <w:p w14:paraId="6789D324" w14:textId="77777777" w:rsidR="00674819" w:rsidRPr="00B0658A" w:rsidRDefault="00674819" w:rsidP="00004A41">
            <w:pPr>
              <w:pStyle w:val="ConsPlusNormal"/>
              <w:jc w:val="center"/>
            </w:pPr>
          </w:p>
        </w:tc>
        <w:tc>
          <w:tcPr>
            <w:tcW w:w="333" w:type="pct"/>
            <w:tcBorders>
              <w:top w:val="single" w:sz="4" w:space="0" w:color="auto"/>
              <w:left w:val="single" w:sz="4" w:space="0" w:color="auto"/>
              <w:bottom w:val="single" w:sz="4" w:space="0" w:color="auto"/>
              <w:right w:val="single" w:sz="4" w:space="0" w:color="auto"/>
            </w:tcBorders>
            <w:vAlign w:val="center"/>
          </w:tcPr>
          <w:p w14:paraId="2D75FAC0" w14:textId="77777777" w:rsidR="00674819" w:rsidRPr="00B0658A" w:rsidRDefault="00674819" w:rsidP="00004A41">
            <w:pPr>
              <w:pStyle w:val="ConsPlusNormal"/>
              <w:jc w:val="center"/>
            </w:pPr>
          </w:p>
        </w:tc>
        <w:tc>
          <w:tcPr>
            <w:tcW w:w="333" w:type="pct"/>
            <w:tcBorders>
              <w:top w:val="single" w:sz="4" w:space="0" w:color="auto"/>
              <w:left w:val="single" w:sz="4" w:space="0" w:color="auto"/>
              <w:bottom w:val="single" w:sz="4" w:space="0" w:color="auto"/>
              <w:right w:val="single" w:sz="4" w:space="0" w:color="auto"/>
            </w:tcBorders>
            <w:vAlign w:val="center"/>
          </w:tcPr>
          <w:p w14:paraId="22215618" w14:textId="77777777" w:rsidR="00674819" w:rsidRPr="00B0658A" w:rsidRDefault="00674819" w:rsidP="00004A41">
            <w:pPr>
              <w:pStyle w:val="ConsPlusNormal"/>
              <w:jc w:val="center"/>
            </w:pPr>
          </w:p>
        </w:tc>
        <w:tc>
          <w:tcPr>
            <w:tcW w:w="333" w:type="pct"/>
            <w:tcBorders>
              <w:top w:val="single" w:sz="4" w:space="0" w:color="auto"/>
              <w:left w:val="single" w:sz="4" w:space="0" w:color="auto"/>
              <w:bottom w:val="single" w:sz="4" w:space="0" w:color="auto"/>
              <w:right w:val="single" w:sz="4" w:space="0" w:color="auto"/>
            </w:tcBorders>
            <w:vAlign w:val="center"/>
          </w:tcPr>
          <w:p w14:paraId="73F08EFD" w14:textId="77777777" w:rsidR="00674819" w:rsidRPr="00B0658A" w:rsidRDefault="00674819" w:rsidP="00004A41">
            <w:pPr>
              <w:pStyle w:val="ConsPlusNormal"/>
              <w:jc w:val="center"/>
            </w:pPr>
          </w:p>
        </w:tc>
        <w:tc>
          <w:tcPr>
            <w:tcW w:w="333" w:type="pct"/>
            <w:tcBorders>
              <w:top w:val="single" w:sz="4" w:space="0" w:color="auto"/>
              <w:left w:val="single" w:sz="4" w:space="0" w:color="auto"/>
              <w:bottom w:val="single" w:sz="4" w:space="0" w:color="auto"/>
              <w:right w:val="single" w:sz="4" w:space="0" w:color="auto"/>
            </w:tcBorders>
            <w:vAlign w:val="center"/>
          </w:tcPr>
          <w:p w14:paraId="6EAA698E" w14:textId="77777777" w:rsidR="00674819" w:rsidRPr="00B0658A" w:rsidRDefault="00674819" w:rsidP="00004A41">
            <w:pPr>
              <w:pStyle w:val="ConsPlusNormal"/>
              <w:jc w:val="center"/>
            </w:pPr>
          </w:p>
        </w:tc>
        <w:tc>
          <w:tcPr>
            <w:tcW w:w="333" w:type="pct"/>
            <w:tcBorders>
              <w:top w:val="single" w:sz="4" w:space="0" w:color="auto"/>
              <w:left w:val="single" w:sz="4" w:space="0" w:color="auto"/>
              <w:bottom w:val="single" w:sz="4" w:space="0" w:color="auto"/>
              <w:right w:val="single" w:sz="4" w:space="0" w:color="auto"/>
            </w:tcBorders>
            <w:vAlign w:val="center"/>
          </w:tcPr>
          <w:p w14:paraId="1AA07149" w14:textId="77777777" w:rsidR="00674819" w:rsidRPr="00B0658A" w:rsidRDefault="00674819" w:rsidP="00004A41">
            <w:pPr>
              <w:pStyle w:val="ConsPlusNormal"/>
              <w:jc w:val="center"/>
            </w:pPr>
          </w:p>
        </w:tc>
        <w:tc>
          <w:tcPr>
            <w:tcW w:w="759" w:type="pct"/>
            <w:tcBorders>
              <w:top w:val="single" w:sz="4" w:space="0" w:color="auto"/>
              <w:left w:val="single" w:sz="4" w:space="0" w:color="auto"/>
              <w:bottom w:val="single" w:sz="4" w:space="0" w:color="auto"/>
              <w:right w:val="single" w:sz="4" w:space="0" w:color="auto"/>
            </w:tcBorders>
          </w:tcPr>
          <w:p w14:paraId="1826CB5F" w14:textId="77777777" w:rsidR="00674819" w:rsidRPr="00B0658A" w:rsidRDefault="00674819" w:rsidP="00004A41">
            <w:pPr>
              <w:pStyle w:val="ConsPlusNormal"/>
              <w:jc w:val="center"/>
            </w:pPr>
          </w:p>
        </w:tc>
      </w:tr>
      <w:tr w:rsidR="00F52FED" w:rsidRPr="00B0658A" w14:paraId="68512FF4" w14:textId="77777777" w:rsidTr="00F07AB3">
        <w:trPr>
          <w:trHeight w:val="20"/>
        </w:trPr>
        <w:tc>
          <w:tcPr>
            <w:tcW w:w="5000" w:type="pct"/>
            <w:gridSpan w:val="12"/>
            <w:tcBorders>
              <w:top w:val="single" w:sz="4" w:space="0" w:color="auto"/>
              <w:left w:val="single" w:sz="4" w:space="0" w:color="auto"/>
              <w:bottom w:val="single" w:sz="4" w:space="0" w:color="auto"/>
              <w:right w:val="single" w:sz="4" w:space="0" w:color="auto"/>
            </w:tcBorders>
            <w:vAlign w:val="center"/>
          </w:tcPr>
          <w:p w14:paraId="06F4619B" w14:textId="77777777" w:rsidR="00674819" w:rsidRPr="00B0658A" w:rsidRDefault="00674819" w:rsidP="00004A41">
            <w:pPr>
              <w:pStyle w:val="ConsPlusNormal"/>
              <w:jc w:val="center"/>
              <w:rPr>
                <w:b/>
              </w:rPr>
            </w:pPr>
            <w:r w:rsidRPr="00B0658A">
              <w:rPr>
                <w:b/>
              </w:rPr>
              <w:t>Государственные и ведомственные информационные системы, подлежащи</w:t>
            </w:r>
            <w:r w:rsidR="009C1AB7" w:rsidRPr="00B0658A">
              <w:rPr>
                <w:b/>
              </w:rPr>
              <w:t xml:space="preserve">е </w:t>
            </w:r>
            <w:r w:rsidRPr="00B0658A">
              <w:rPr>
                <w:b/>
              </w:rPr>
              <w:t>переводу на использование российского ПО до 31.12.2030</w:t>
            </w:r>
            <w:r w:rsidR="0020281A" w:rsidRPr="00B0658A">
              <w:rPr>
                <w:b/>
              </w:rPr>
              <w:t xml:space="preserve"> г.</w:t>
            </w:r>
          </w:p>
        </w:tc>
      </w:tr>
      <w:tr w:rsidR="00F52FED" w:rsidRPr="00B0658A" w14:paraId="7CC02088" w14:textId="77777777" w:rsidTr="00F07AB3">
        <w:trPr>
          <w:trHeight w:val="20"/>
        </w:trPr>
        <w:tc>
          <w:tcPr>
            <w:tcW w:w="168" w:type="pct"/>
            <w:tcBorders>
              <w:top w:val="single" w:sz="4" w:space="0" w:color="auto"/>
              <w:left w:val="single" w:sz="4" w:space="0" w:color="auto"/>
              <w:bottom w:val="single" w:sz="4" w:space="0" w:color="auto"/>
              <w:right w:val="single" w:sz="4" w:space="0" w:color="auto"/>
            </w:tcBorders>
          </w:tcPr>
          <w:p w14:paraId="0DA989C5" w14:textId="77777777" w:rsidR="00674819" w:rsidRPr="00B0658A" w:rsidRDefault="0020281A" w:rsidP="00004A41">
            <w:pPr>
              <w:pStyle w:val="ConsPlusNormal"/>
              <w:rPr>
                <w:lang w:val="en-US"/>
              </w:rPr>
            </w:pPr>
            <w:r w:rsidRPr="00B0658A">
              <w:t>5.</w:t>
            </w:r>
            <w:r w:rsidR="00674819" w:rsidRPr="00B0658A">
              <w:t xml:space="preserve"> </w:t>
            </w:r>
          </w:p>
        </w:tc>
        <w:tc>
          <w:tcPr>
            <w:tcW w:w="1076" w:type="pct"/>
            <w:tcBorders>
              <w:top w:val="single" w:sz="4" w:space="0" w:color="auto"/>
              <w:left w:val="single" w:sz="4" w:space="0" w:color="auto"/>
              <w:bottom w:val="single" w:sz="4" w:space="0" w:color="auto"/>
              <w:right w:val="single" w:sz="4" w:space="0" w:color="auto"/>
            </w:tcBorders>
          </w:tcPr>
          <w:p w14:paraId="3C171426" w14:textId="77777777" w:rsidR="00674819" w:rsidRPr="00B0658A" w:rsidRDefault="00674819" w:rsidP="00004A41">
            <w:pPr>
              <w:pStyle w:val="ConsPlusNormal"/>
              <w:rPr>
                <w:i/>
              </w:rPr>
            </w:pPr>
            <w:r w:rsidRPr="00B0658A">
              <w:rPr>
                <w:i/>
              </w:rPr>
              <w:t>Указывается наименование государственной или ведомственной информационной №</w:t>
            </w:r>
            <w:r w:rsidR="00334232" w:rsidRPr="00B0658A">
              <w:rPr>
                <w:i/>
              </w:rPr>
              <w:t>5</w:t>
            </w:r>
          </w:p>
        </w:tc>
        <w:tc>
          <w:tcPr>
            <w:tcW w:w="333" w:type="pct"/>
            <w:tcBorders>
              <w:top w:val="single" w:sz="4" w:space="0" w:color="auto"/>
              <w:left w:val="single" w:sz="4" w:space="0" w:color="auto"/>
              <w:bottom w:val="single" w:sz="4" w:space="0" w:color="auto"/>
              <w:right w:val="single" w:sz="4" w:space="0" w:color="auto"/>
            </w:tcBorders>
            <w:vAlign w:val="center"/>
          </w:tcPr>
          <w:p w14:paraId="5C6CB784" w14:textId="77777777" w:rsidR="00674819" w:rsidRPr="00B0658A" w:rsidRDefault="00674819" w:rsidP="00004A41">
            <w:pPr>
              <w:pStyle w:val="ConsPlusNormal"/>
              <w:jc w:val="center"/>
            </w:pPr>
          </w:p>
        </w:tc>
        <w:tc>
          <w:tcPr>
            <w:tcW w:w="333" w:type="pct"/>
            <w:tcBorders>
              <w:top w:val="single" w:sz="4" w:space="0" w:color="auto"/>
              <w:left w:val="single" w:sz="4" w:space="0" w:color="auto"/>
              <w:bottom w:val="single" w:sz="4" w:space="0" w:color="auto"/>
              <w:right w:val="single" w:sz="4" w:space="0" w:color="auto"/>
            </w:tcBorders>
            <w:vAlign w:val="center"/>
          </w:tcPr>
          <w:p w14:paraId="51C92841" w14:textId="77777777" w:rsidR="00674819" w:rsidRPr="00B0658A" w:rsidRDefault="00674819" w:rsidP="00004A41">
            <w:pPr>
              <w:pStyle w:val="ConsPlusNormal"/>
              <w:jc w:val="center"/>
            </w:pPr>
          </w:p>
        </w:tc>
        <w:tc>
          <w:tcPr>
            <w:tcW w:w="333" w:type="pct"/>
            <w:tcBorders>
              <w:top w:val="single" w:sz="4" w:space="0" w:color="auto"/>
              <w:left w:val="single" w:sz="4" w:space="0" w:color="auto"/>
              <w:bottom w:val="single" w:sz="4" w:space="0" w:color="auto"/>
              <w:right w:val="single" w:sz="4" w:space="0" w:color="auto"/>
            </w:tcBorders>
            <w:vAlign w:val="center"/>
          </w:tcPr>
          <w:p w14:paraId="2D1A35A2" w14:textId="77777777" w:rsidR="00674819" w:rsidRPr="00B0658A" w:rsidRDefault="00674819" w:rsidP="00004A41">
            <w:pPr>
              <w:pStyle w:val="ConsPlusNormal"/>
              <w:jc w:val="center"/>
            </w:pPr>
          </w:p>
        </w:tc>
        <w:tc>
          <w:tcPr>
            <w:tcW w:w="333" w:type="pct"/>
            <w:tcBorders>
              <w:top w:val="single" w:sz="4" w:space="0" w:color="auto"/>
              <w:left w:val="single" w:sz="4" w:space="0" w:color="auto"/>
              <w:bottom w:val="single" w:sz="4" w:space="0" w:color="auto"/>
              <w:right w:val="single" w:sz="4" w:space="0" w:color="auto"/>
            </w:tcBorders>
            <w:vAlign w:val="center"/>
          </w:tcPr>
          <w:p w14:paraId="61885088" w14:textId="77777777" w:rsidR="00674819" w:rsidRPr="00B0658A" w:rsidRDefault="00674819" w:rsidP="00004A41">
            <w:pPr>
              <w:pStyle w:val="ConsPlusNormal"/>
              <w:jc w:val="center"/>
            </w:pPr>
          </w:p>
        </w:tc>
        <w:tc>
          <w:tcPr>
            <w:tcW w:w="333" w:type="pct"/>
            <w:tcBorders>
              <w:top w:val="single" w:sz="4" w:space="0" w:color="auto"/>
              <w:left w:val="single" w:sz="4" w:space="0" w:color="auto"/>
              <w:bottom w:val="single" w:sz="4" w:space="0" w:color="auto"/>
              <w:right w:val="single" w:sz="4" w:space="0" w:color="auto"/>
            </w:tcBorders>
            <w:vAlign w:val="center"/>
          </w:tcPr>
          <w:p w14:paraId="45865297" w14:textId="77777777" w:rsidR="00674819" w:rsidRPr="00B0658A" w:rsidRDefault="00674819" w:rsidP="00004A41">
            <w:pPr>
              <w:pStyle w:val="ConsPlusNormal"/>
              <w:jc w:val="center"/>
            </w:pPr>
          </w:p>
        </w:tc>
        <w:tc>
          <w:tcPr>
            <w:tcW w:w="333" w:type="pct"/>
            <w:tcBorders>
              <w:top w:val="single" w:sz="4" w:space="0" w:color="auto"/>
              <w:left w:val="single" w:sz="4" w:space="0" w:color="auto"/>
              <w:bottom w:val="single" w:sz="4" w:space="0" w:color="auto"/>
              <w:right w:val="single" w:sz="4" w:space="0" w:color="auto"/>
            </w:tcBorders>
            <w:vAlign w:val="center"/>
          </w:tcPr>
          <w:p w14:paraId="4D1B34E2" w14:textId="77777777" w:rsidR="00674819" w:rsidRPr="00B0658A" w:rsidRDefault="00674819" w:rsidP="00004A41">
            <w:pPr>
              <w:pStyle w:val="ConsPlusNormal"/>
              <w:jc w:val="center"/>
            </w:pPr>
          </w:p>
        </w:tc>
        <w:tc>
          <w:tcPr>
            <w:tcW w:w="333" w:type="pct"/>
            <w:tcBorders>
              <w:top w:val="single" w:sz="4" w:space="0" w:color="auto"/>
              <w:left w:val="single" w:sz="4" w:space="0" w:color="auto"/>
              <w:bottom w:val="single" w:sz="4" w:space="0" w:color="auto"/>
              <w:right w:val="single" w:sz="4" w:space="0" w:color="auto"/>
            </w:tcBorders>
            <w:vAlign w:val="center"/>
          </w:tcPr>
          <w:p w14:paraId="27C8ADA0" w14:textId="77777777" w:rsidR="00674819" w:rsidRPr="00B0658A" w:rsidRDefault="00674819" w:rsidP="00004A41">
            <w:pPr>
              <w:pStyle w:val="ConsPlusNormal"/>
              <w:jc w:val="center"/>
            </w:pPr>
          </w:p>
        </w:tc>
        <w:tc>
          <w:tcPr>
            <w:tcW w:w="333" w:type="pct"/>
            <w:tcBorders>
              <w:top w:val="single" w:sz="4" w:space="0" w:color="auto"/>
              <w:left w:val="single" w:sz="4" w:space="0" w:color="auto"/>
              <w:bottom w:val="single" w:sz="4" w:space="0" w:color="auto"/>
              <w:right w:val="single" w:sz="4" w:space="0" w:color="auto"/>
            </w:tcBorders>
            <w:vAlign w:val="center"/>
          </w:tcPr>
          <w:p w14:paraId="58B99FB3" w14:textId="77777777" w:rsidR="00674819" w:rsidRPr="00B0658A" w:rsidRDefault="00674819" w:rsidP="00004A41">
            <w:pPr>
              <w:pStyle w:val="ConsPlusNormal"/>
              <w:jc w:val="center"/>
            </w:pPr>
          </w:p>
        </w:tc>
        <w:tc>
          <w:tcPr>
            <w:tcW w:w="333" w:type="pct"/>
            <w:tcBorders>
              <w:top w:val="single" w:sz="4" w:space="0" w:color="auto"/>
              <w:left w:val="single" w:sz="4" w:space="0" w:color="auto"/>
              <w:bottom w:val="single" w:sz="4" w:space="0" w:color="auto"/>
              <w:right w:val="single" w:sz="4" w:space="0" w:color="auto"/>
            </w:tcBorders>
            <w:vAlign w:val="center"/>
          </w:tcPr>
          <w:p w14:paraId="6430884B" w14:textId="77777777" w:rsidR="00674819" w:rsidRPr="00B0658A" w:rsidRDefault="00674819" w:rsidP="00004A41">
            <w:pPr>
              <w:pStyle w:val="ConsPlusNormal"/>
              <w:jc w:val="center"/>
            </w:pPr>
          </w:p>
        </w:tc>
        <w:tc>
          <w:tcPr>
            <w:tcW w:w="759" w:type="pct"/>
            <w:tcBorders>
              <w:top w:val="single" w:sz="4" w:space="0" w:color="auto"/>
              <w:left w:val="single" w:sz="4" w:space="0" w:color="auto"/>
              <w:bottom w:val="single" w:sz="4" w:space="0" w:color="auto"/>
              <w:right w:val="single" w:sz="4" w:space="0" w:color="auto"/>
            </w:tcBorders>
          </w:tcPr>
          <w:p w14:paraId="34E97F29" w14:textId="77777777" w:rsidR="00674819" w:rsidRPr="00B0658A" w:rsidRDefault="00674819" w:rsidP="00004A41">
            <w:pPr>
              <w:pStyle w:val="ConsPlusNormal"/>
              <w:jc w:val="center"/>
            </w:pPr>
          </w:p>
        </w:tc>
      </w:tr>
      <w:tr w:rsidR="00F52FED" w:rsidRPr="00B0658A" w14:paraId="015CDCE4" w14:textId="77777777" w:rsidTr="00F07AB3">
        <w:trPr>
          <w:trHeight w:val="20"/>
        </w:trPr>
        <w:tc>
          <w:tcPr>
            <w:tcW w:w="168" w:type="pct"/>
            <w:tcBorders>
              <w:top w:val="single" w:sz="4" w:space="0" w:color="auto"/>
              <w:left w:val="single" w:sz="4" w:space="0" w:color="auto"/>
              <w:bottom w:val="single" w:sz="4" w:space="0" w:color="auto"/>
              <w:right w:val="single" w:sz="4" w:space="0" w:color="auto"/>
            </w:tcBorders>
          </w:tcPr>
          <w:p w14:paraId="71ACFD09" w14:textId="77777777" w:rsidR="00674819" w:rsidRPr="00B0658A" w:rsidRDefault="0020281A" w:rsidP="00004A41">
            <w:pPr>
              <w:pStyle w:val="ConsPlusNormal"/>
              <w:rPr>
                <w:lang w:val="en-US"/>
              </w:rPr>
            </w:pPr>
            <w:r w:rsidRPr="00B0658A">
              <w:rPr>
                <w:lang w:val="en-US"/>
              </w:rPr>
              <w:t>N.</w:t>
            </w:r>
          </w:p>
        </w:tc>
        <w:tc>
          <w:tcPr>
            <w:tcW w:w="1076" w:type="pct"/>
            <w:tcBorders>
              <w:top w:val="single" w:sz="4" w:space="0" w:color="auto"/>
              <w:left w:val="single" w:sz="4" w:space="0" w:color="auto"/>
              <w:bottom w:val="single" w:sz="4" w:space="0" w:color="auto"/>
              <w:right w:val="single" w:sz="4" w:space="0" w:color="auto"/>
            </w:tcBorders>
          </w:tcPr>
          <w:p w14:paraId="14743763" w14:textId="77777777" w:rsidR="00674819" w:rsidRPr="00B0658A" w:rsidRDefault="00674819" w:rsidP="00004A41">
            <w:pPr>
              <w:pStyle w:val="ConsPlusNormal"/>
              <w:rPr>
                <w:i/>
              </w:rPr>
            </w:pPr>
            <w:r w:rsidRPr="00B0658A">
              <w:rPr>
                <w:i/>
              </w:rPr>
              <w:t>Указывается наименование государственной или ведомственной информационной №</w:t>
            </w:r>
            <w:r w:rsidR="00334232" w:rsidRPr="00B0658A">
              <w:rPr>
                <w:i/>
                <w:lang w:val="en-US"/>
              </w:rPr>
              <w:t>N</w:t>
            </w:r>
          </w:p>
        </w:tc>
        <w:tc>
          <w:tcPr>
            <w:tcW w:w="333" w:type="pct"/>
            <w:tcBorders>
              <w:top w:val="single" w:sz="4" w:space="0" w:color="auto"/>
              <w:left w:val="single" w:sz="4" w:space="0" w:color="auto"/>
              <w:bottom w:val="single" w:sz="4" w:space="0" w:color="auto"/>
              <w:right w:val="single" w:sz="4" w:space="0" w:color="auto"/>
            </w:tcBorders>
            <w:vAlign w:val="center"/>
          </w:tcPr>
          <w:p w14:paraId="497D80D8" w14:textId="77777777" w:rsidR="00674819" w:rsidRPr="00B0658A" w:rsidRDefault="00674819" w:rsidP="00004A41">
            <w:pPr>
              <w:pStyle w:val="ConsPlusNormal"/>
              <w:jc w:val="center"/>
            </w:pPr>
          </w:p>
        </w:tc>
        <w:tc>
          <w:tcPr>
            <w:tcW w:w="333" w:type="pct"/>
            <w:tcBorders>
              <w:top w:val="single" w:sz="4" w:space="0" w:color="auto"/>
              <w:left w:val="single" w:sz="4" w:space="0" w:color="auto"/>
              <w:bottom w:val="single" w:sz="4" w:space="0" w:color="auto"/>
              <w:right w:val="single" w:sz="4" w:space="0" w:color="auto"/>
            </w:tcBorders>
            <w:vAlign w:val="center"/>
          </w:tcPr>
          <w:p w14:paraId="6EC4BAED" w14:textId="77777777" w:rsidR="00674819" w:rsidRPr="00B0658A" w:rsidRDefault="00674819" w:rsidP="00004A41">
            <w:pPr>
              <w:pStyle w:val="ConsPlusNormal"/>
              <w:jc w:val="center"/>
            </w:pPr>
          </w:p>
        </w:tc>
        <w:tc>
          <w:tcPr>
            <w:tcW w:w="333" w:type="pct"/>
            <w:tcBorders>
              <w:top w:val="single" w:sz="4" w:space="0" w:color="auto"/>
              <w:left w:val="single" w:sz="4" w:space="0" w:color="auto"/>
              <w:bottom w:val="single" w:sz="4" w:space="0" w:color="auto"/>
              <w:right w:val="single" w:sz="4" w:space="0" w:color="auto"/>
            </w:tcBorders>
            <w:vAlign w:val="center"/>
          </w:tcPr>
          <w:p w14:paraId="0C441BD9" w14:textId="77777777" w:rsidR="00674819" w:rsidRPr="00B0658A" w:rsidRDefault="00674819" w:rsidP="00004A41">
            <w:pPr>
              <w:pStyle w:val="ConsPlusNormal"/>
              <w:jc w:val="center"/>
            </w:pPr>
          </w:p>
        </w:tc>
        <w:tc>
          <w:tcPr>
            <w:tcW w:w="333" w:type="pct"/>
            <w:tcBorders>
              <w:top w:val="single" w:sz="4" w:space="0" w:color="auto"/>
              <w:left w:val="single" w:sz="4" w:space="0" w:color="auto"/>
              <w:bottom w:val="single" w:sz="4" w:space="0" w:color="auto"/>
              <w:right w:val="single" w:sz="4" w:space="0" w:color="auto"/>
            </w:tcBorders>
            <w:vAlign w:val="center"/>
          </w:tcPr>
          <w:p w14:paraId="2BED1027" w14:textId="77777777" w:rsidR="00674819" w:rsidRPr="00B0658A" w:rsidRDefault="00674819" w:rsidP="00004A41">
            <w:pPr>
              <w:pStyle w:val="ConsPlusNormal"/>
              <w:jc w:val="center"/>
            </w:pPr>
          </w:p>
        </w:tc>
        <w:tc>
          <w:tcPr>
            <w:tcW w:w="333" w:type="pct"/>
            <w:tcBorders>
              <w:top w:val="single" w:sz="4" w:space="0" w:color="auto"/>
              <w:left w:val="single" w:sz="4" w:space="0" w:color="auto"/>
              <w:bottom w:val="single" w:sz="4" w:space="0" w:color="auto"/>
              <w:right w:val="single" w:sz="4" w:space="0" w:color="auto"/>
            </w:tcBorders>
            <w:vAlign w:val="center"/>
          </w:tcPr>
          <w:p w14:paraId="4091641C" w14:textId="77777777" w:rsidR="00674819" w:rsidRPr="00B0658A" w:rsidRDefault="00674819" w:rsidP="00004A41">
            <w:pPr>
              <w:pStyle w:val="ConsPlusNormal"/>
              <w:jc w:val="center"/>
            </w:pPr>
          </w:p>
        </w:tc>
        <w:tc>
          <w:tcPr>
            <w:tcW w:w="333" w:type="pct"/>
            <w:tcBorders>
              <w:top w:val="single" w:sz="4" w:space="0" w:color="auto"/>
              <w:left w:val="single" w:sz="4" w:space="0" w:color="auto"/>
              <w:bottom w:val="single" w:sz="4" w:space="0" w:color="auto"/>
              <w:right w:val="single" w:sz="4" w:space="0" w:color="auto"/>
            </w:tcBorders>
            <w:vAlign w:val="center"/>
          </w:tcPr>
          <w:p w14:paraId="24BA6C00" w14:textId="77777777" w:rsidR="00674819" w:rsidRPr="00B0658A" w:rsidRDefault="00674819" w:rsidP="00004A41">
            <w:pPr>
              <w:pStyle w:val="ConsPlusNormal"/>
              <w:jc w:val="center"/>
            </w:pPr>
          </w:p>
        </w:tc>
        <w:tc>
          <w:tcPr>
            <w:tcW w:w="333" w:type="pct"/>
            <w:tcBorders>
              <w:top w:val="single" w:sz="4" w:space="0" w:color="auto"/>
              <w:left w:val="single" w:sz="4" w:space="0" w:color="auto"/>
              <w:bottom w:val="single" w:sz="4" w:space="0" w:color="auto"/>
              <w:right w:val="single" w:sz="4" w:space="0" w:color="auto"/>
            </w:tcBorders>
            <w:vAlign w:val="center"/>
          </w:tcPr>
          <w:p w14:paraId="1ECE1012" w14:textId="77777777" w:rsidR="00674819" w:rsidRPr="00B0658A" w:rsidRDefault="00674819" w:rsidP="00004A41">
            <w:pPr>
              <w:pStyle w:val="ConsPlusNormal"/>
              <w:jc w:val="center"/>
            </w:pPr>
          </w:p>
        </w:tc>
        <w:tc>
          <w:tcPr>
            <w:tcW w:w="333" w:type="pct"/>
            <w:tcBorders>
              <w:top w:val="single" w:sz="4" w:space="0" w:color="auto"/>
              <w:left w:val="single" w:sz="4" w:space="0" w:color="auto"/>
              <w:bottom w:val="single" w:sz="4" w:space="0" w:color="auto"/>
              <w:right w:val="single" w:sz="4" w:space="0" w:color="auto"/>
            </w:tcBorders>
            <w:vAlign w:val="center"/>
          </w:tcPr>
          <w:p w14:paraId="624B54BC" w14:textId="77777777" w:rsidR="00674819" w:rsidRPr="00B0658A" w:rsidRDefault="00674819" w:rsidP="00004A41">
            <w:pPr>
              <w:pStyle w:val="ConsPlusNormal"/>
              <w:jc w:val="center"/>
            </w:pPr>
          </w:p>
        </w:tc>
        <w:tc>
          <w:tcPr>
            <w:tcW w:w="333" w:type="pct"/>
            <w:tcBorders>
              <w:top w:val="single" w:sz="4" w:space="0" w:color="auto"/>
              <w:left w:val="single" w:sz="4" w:space="0" w:color="auto"/>
              <w:bottom w:val="single" w:sz="4" w:space="0" w:color="auto"/>
              <w:right w:val="single" w:sz="4" w:space="0" w:color="auto"/>
            </w:tcBorders>
            <w:vAlign w:val="center"/>
          </w:tcPr>
          <w:p w14:paraId="7EFE9419" w14:textId="77777777" w:rsidR="00674819" w:rsidRPr="00B0658A" w:rsidRDefault="00674819" w:rsidP="00004A41">
            <w:pPr>
              <w:pStyle w:val="ConsPlusNormal"/>
              <w:jc w:val="center"/>
            </w:pPr>
          </w:p>
        </w:tc>
        <w:tc>
          <w:tcPr>
            <w:tcW w:w="759" w:type="pct"/>
            <w:tcBorders>
              <w:top w:val="single" w:sz="4" w:space="0" w:color="auto"/>
              <w:left w:val="single" w:sz="4" w:space="0" w:color="auto"/>
              <w:bottom w:val="single" w:sz="4" w:space="0" w:color="auto"/>
              <w:right w:val="single" w:sz="4" w:space="0" w:color="auto"/>
            </w:tcBorders>
          </w:tcPr>
          <w:p w14:paraId="07848131" w14:textId="77777777" w:rsidR="00674819" w:rsidRPr="00B0658A" w:rsidRDefault="00674819" w:rsidP="00004A41">
            <w:pPr>
              <w:pStyle w:val="ConsPlusNormal"/>
              <w:jc w:val="center"/>
            </w:pPr>
          </w:p>
        </w:tc>
      </w:tr>
      <w:tr w:rsidR="0095686C" w:rsidRPr="00B0658A" w14:paraId="00F02B5C" w14:textId="77777777" w:rsidTr="00F07AB3">
        <w:trPr>
          <w:trHeight w:val="20"/>
        </w:trPr>
        <w:tc>
          <w:tcPr>
            <w:tcW w:w="168" w:type="pct"/>
            <w:tcBorders>
              <w:top w:val="single" w:sz="4" w:space="0" w:color="auto"/>
              <w:left w:val="single" w:sz="4" w:space="0" w:color="auto"/>
              <w:bottom w:val="single" w:sz="4" w:space="0" w:color="auto"/>
              <w:right w:val="single" w:sz="4" w:space="0" w:color="auto"/>
            </w:tcBorders>
          </w:tcPr>
          <w:p w14:paraId="6292D11F" w14:textId="77777777" w:rsidR="00674819" w:rsidRPr="00B0658A" w:rsidRDefault="00674819" w:rsidP="00004A41">
            <w:pPr>
              <w:pStyle w:val="ConsPlusNormal"/>
              <w:rPr>
                <w:lang w:val="en-US"/>
              </w:rPr>
            </w:pPr>
            <w:r w:rsidRPr="00B0658A">
              <w:rPr>
                <w:lang w:val="en-US"/>
              </w:rPr>
              <w:t>…</w:t>
            </w:r>
          </w:p>
        </w:tc>
        <w:tc>
          <w:tcPr>
            <w:tcW w:w="1076" w:type="pct"/>
            <w:tcBorders>
              <w:top w:val="single" w:sz="4" w:space="0" w:color="auto"/>
              <w:left w:val="single" w:sz="4" w:space="0" w:color="auto"/>
              <w:bottom w:val="single" w:sz="4" w:space="0" w:color="auto"/>
              <w:right w:val="single" w:sz="4" w:space="0" w:color="auto"/>
            </w:tcBorders>
          </w:tcPr>
          <w:p w14:paraId="356D783E" w14:textId="77777777" w:rsidR="00674819" w:rsidRPr="00B0658A" w:rsidRDefault="00674819" w:rsidP="00004A41">
            <w:pPr>
              <w:pStyle w:val="ConsPlusNormal"/>
              <w:rPr>
                <w:i/>
                <w:lang w:val="en-US"/>
              </w:rPr>
            </w:pPr>
            <w:r w:rsidRPr="00B0658A">
              <w:rPr>
                <w:i/>
                <w:lang w:val="en-US"/>
              </w:rPr>
              <w:t>…</w:t>
            </w:r>
          </w:p>
        </w:tc>
        <w:tc>
          <w:tcPr>
            <w:tcW w:w="333" w:type="pct"/>
            <w:tcBorders>
              <w:top w:val="single" w:sz="4" w:space="0" w:color="auto"/>
              <w:left w:val="single" w:sz="4" w:space="0" w:color="auto"/>
              <w:bottom w:val="single" w:sz="4" w:space="0" w:color="auto"/>
              <w:right w:val="single" w:sz="4" w:space="0" w:color="auto"/>
            </w:tcBorders>
            <w:vAlign w:val="center"/>
          </w:tcPr>
          <w:p w14:paraId="43AAA9A1" w14:textId="77777777" w:rsidR="00674819" w:rsidRPr="00B0658A" w:rsidRDefault="00674819" w:rsidP="00004A41">
            <w:pPr>
              <w:pStyle w:val="ConsPlusNormal"/>
              <w:jc w:val="center"/>
            </w:pPr>
          </w:p>
        </w:tc>
        <w:tc>
          <w:tcPr>
            <w:tcW w:w="333" w:type="pct"/>
            <w:tcBorders>
              <w:top w:val="single" w:sz="4" w:space="0" w:color="auto"/>
              <w:left w:val="single" w:sz="4" w:space="0" w:color="auto"/>
              <w:bottom w:val="single" w:sz="4" w:space="0" w:color="auto"/>
              <w:right w:val="single" w:sz="4" w:space="0" w:color="auto"/>
            </w:tcBorders>
            <w:vAlign w:val="center"/>
          </w:tcPr>
          <w:p w14:paraId="053A6DCB" w14:textId="77777777" w:rsidR="00674819" w:rsidRPr="00B0658A" w:rsidRDefault="00674819" w:rsidP="00004A41">
            <w:pPr>
              <w:pStyle w:val="ConsPlusNormal"/>
              <w:jc w:val="center"/>
            </w:pPr>
          </w:p>
        </w:tc>
        <w:tc>
          <w:tcPr>
            <w:tcW w:w="333" w:type="pct"/>
            <w:tcBorders>
              <w:top w:val="single" w:sz="4" w:space="0" w:color="auto"/>
              <w:left w:val="single" w:sz="4" w:space="0" w:color="auto"/>
              <w:bottom w:val="single" w:sz="4" w:space="0" w:color="auto"/>
              <w:right w:val="single" w:sz="4" w:space="0" w:color="auto"/>
            </w:tcBorders>
            <w:vAlign w:val="center"/>
          </w:tcPr>
          <w:p w14:paraId="2D92B23B" w14:textId="77777777" w:rsidR="00674819" w:rsidRPr="00B0658A" w:rsidRDefault="00674819" w:rsidP="00004A41">
            <w:pPr>
              <w:pStyle w:val="ConsPlusNormal"/>
              <w:jc w:val="center"/>
            </w:pPr>
          </w:p>
        </w:tc>
        <w:tc>
          <w:tcPr>
            <w:tcW w:w="333" w:type="pct"/>
            <w:tcBorders>
              <w:top w:val="single" w:sz="4" w:space="0" w:color="auto"/>
              <w:left w:val="single" w:sz="4" w:space="0" w:color="auto"/>
              <w:bottom w:val="single" w:sz="4" w:space="0" w:color="auto"/>
              <w:right w:val="single" w:sz="4" w:space="0" w:color="auto"/>
            </w:tcBorders>
            <w:vAlign w:val="center"/>
          </w:tcPr>
          <w:p w14:paraId="6FCC3EB9" w14:textId="77777777" w:rsidR="00674819" w:rsidRPr="00B0658A" w:rsidRDefault="00674819" w:rsidP="00004A41">
            <w:pPr>
              <w:pStyle w:val="ConsPlusNormal"/>
              <w:jc w:val="center"/>
            </w:pPr>
          </w:p>
        </w:tc>
        <w:tc>
          <w:tcPr>
            <w:tcW w:w="333" w:type="pct"/>
            <w:tcBorders>
              <w:top w:val="single" w:sz="4" w:space="0" w:color="auto"/>
              <w:left w:val="single" w:sz="4" w:space="0" w:color="auto"/>
              <w:bottom w:val="single" w:sz="4" w:space="0" w:color="auto"/>
              <w:right w:val="single" w:sz="4" w:space="0" w:color="auto"/>
            </w:tcBorders>
            <w:vAlign w:val="center"/>
          </w:tcPr>
          <w:p w14:paraId="098F2F61" w14:textId="77777777" w:rsidR="00674819" w:rsidRPr="00B0658A" w:rsidRDefault="00674819" w:rsidP="00004A41">
            <w:pPr>
              <w:pStyle w:val="ConsPlusNormal"/>
              <w:jc w:val="center"/>
            </w:pPr>
          </w:p>
        </w:tc>
        <w:tc>
          <w:tcPr>
            <w:tcW w:w="333" w:type="pct"/>
            <w:tcBorders>
              <w:top w:val="single" w:sz="4" w:space="0" w:color="auto"/>
              <w:left w:val="single" w:sz="4" w:space="0" w:color="auto"/>
              <w:bottom w:val="single" w:sz="4" w:space="0" w:color="auto"/>
              <w:right w:val="single" w:sz="4" w:space="0" w:color="auto"/>
            </w:tcBorders>
            <w:vAlign w:val="center"/>
          </w:tcPr>
          <w:p w14:paraId="55194C91" w14:textId="77777777" w:rsidR="00674819" w:rsidRPr="00B0658A" w:rsidRDefault="00674819" w:rsidP="00004A41">
            <w:pPr>
              <w:pStyle w:val="ConsPlusNormal"/>
              <w:jc w:val="center"/>
            </w:pPr>
          </w:p>
        </w:tc>
        <w:tc>
          <w:tcPr>
            <w:tcW w:w="333" w:type="pct"/>
            <w:tcBorders>
              <w:top w:val="single" w:sz="4" w:space="0" w:color="auto"/>
              <w:left w:val="single" w:sz="4" w:space="0" w:color="auto"/>
              <w:bottom w:val="single" w:sz="4" w:space="0" w:color="auto"/>
              <w:right w:val="single" w:sz="4" w:space="0" w:color="auto"/>
            </w:tcBorders>
            <w:vAlign w:val="center"/>
          </w:tcPr>
          <w:p w14:paraId="469B3695" w14:textId="77777777" w:rsidR="00674819" w:rsidRPr="00B0658A" w:rsidRDefault="00674819" w:rsidP="00004A41">
            <w:pPr>
              <w:pStyle w:val="ConsPlusNormal"/>
              <w:jc w:val="center"/>
            </w:pPr>
          </w:p>
        </w:tc>
        <w:tc>
          <w:tcPr>
            <w:tcW w:w="333" w:type="pct"/>
            <w:tcBorders>
              <w:top w:val="single" w:sz="4" w:space="0" w:color="auto"/>
              <w:left w:val="single" w:sz="4" w:space="0" w:color="auto"/>
              <w:bottom w:val="single" w:sz="4" w:space="0" w:color="auto"/>
              <w:right w:val="single" w:sz="4" w:space="0" w:color="auto"/>
            </w:tcBorders>
            <w:vAlign w:val="center"/>
          </w:tcPr>
          <w:p w14:paraId="4B89DF26" w14:textId="77777777" w:rsidR="00674819" w:rsidRPr="00B0658A" w:rsidRDefault="00674819" w:rsidP="00004A41">
            <w:pPr>
              <w:pStyle w:val="ConsPlusNormal"/>
              <w:jc w:val="center"/>
            </w:pPr>
          </w:p>
        </w:tc>
        <w:tc>
          <w:tcPr>
            <w:tcW w:w="333" w:type="pct"/>
            <w:tcBorders>
              <w:top w:val="single" w:sz="4" w:space="0" w:color="auto"/>
              <w:left w:val="single" w:sz="4" w:space="0" w:color="auto"/>
              <w:bottom w:val="single" w:sz="4" w:space="0" w:color="auto"/>
              <w:right w:val="single" w:sz="4" w:space="0" w:color="auto"/>
            </w:tcBorders>
            <w:vAlign w:val="center"/>
          </w:tcPr>
          <w:p w14:paraId="034299AA" w14:textId="77777777" w:rsidR="00674819" w:rsidRPr="00B0658A" w:rsidRDefault="00674819" w:rsidP="00004A41">
            <w:pPr>
              <w:pStyle w:val="ConsPlusNormal"/>
              <w:jc w:val="center"/>
            </w:pPr>
          </w:p>
        </w:tc>
        <w:tc>
          <w:tcPr>
            <w:tcW w:w="759" w:type="pct"/>
            <w:tcBorders>
              <w:top w:val="single" w:sz="4" w:space="0" w:color="auto"/>
              <w:left w:val="single" w:sz="4" w:space="0" w:color="auto"/>
              <w:bottom w:val="single" w:sz="4" w:space="0" w:color="auto"/>
              <w:right w:val="single" w:sz="4" w:space="0" w:color="auto"/>
            </w:tcBorders>
          </w:tcPr>
          <w:p w14:paraId="2D0DAE9B" w14:textId="77777777" w:rsidR="00674819" w:rsidRPr="00B0658A" w:rsidRDefault="00674819" w:rsidP="00004A41">
            <w:pPr>
              <w:pStyle w:val="ConsPlusNormal"/>
              <w:jc w:val="center"/>
            </w:pPr>
          </w:p>
        </w:tc>
      </w:tr>
    </w:tbl>
    <w:p w14:paraId="18BC11A3" w14:textId="77777777" w:rsidR="00B052D0" w:rsidRPr="00B0658A" w:rsidRDefault="00B052D0" w:rsidP="008319FB">
      <w:pPr>
        <w:pStyle w:val="ConsPlusNormal"/>
        <w:spacing w:before="120"/>
        <w:jc w:val="both"/>
        <w:rPr>
          <w:sz w:val="28"/>
        </w:rPr>
      </w:pPr>
    </w:p>
    <w:p w14:paraId="01FD49F3" w14:textId="77777777" w:rsidR="006E6C8F" w:rsidRPr="00B0658A" w:rsidRDefault="006E6C8F">
      <w:pPr>
        <w:spacing w:after="0" w:line="240" w:lineRule="auto"/>
        <w:rPr>
          <w:rFonts w:ascii="Times New Roman" w:hAnsi="Times New Roman"/>
          <w:sz w:val="28"/>
        </w:rPr>
      </w:pPr>
      <w:r w:rsidRPr="00B0658A">
        <w:rPr>
          <w:rFonts w:ascii="Times New Roman" w:hAnsi="Times New Roman"/>
          <w:sz w:val="28"/>
        </w:rPr>
        <w:br w:type="page"/>
      </w:r>
    </w:p>
    <w:p w14:paraId="6D0AA2F0" w14:textId="0943FBB6" w:rsidR="008319FB" w:rsidRPr="00B0658A" w:rsidRDefault="008319FB" w:rsidP="008319FB">
      <w:pPr>
        <w:pStyle w:val="11"/>
        <w:spacing w:before="120" w:after="0" w:line="240" w:lineRule="auto"/>
        <w:jc w:val="right"/>
        <w:rPr>
          <w:rFonts w:cs="Times New Roman"/>
          <w:szCs w:val="28"/>
        </w:rPr>
      </w:pPr>
      <w:bookmarkStart w:id="16" w:name="_Toc116390895"/>
      <w:bookmarkStart w:id="17" w:name="_Toc116632269"/>
      <w:bookmarkStart w:id="18" w:name="_Hlk116379904"/>
      <w:r w:rsidRPr="00B0658A">
        <w:rPr>
          <w:rFonts w:cs="Times New Roman"/>
          <w:szCs w:val="28"/>
        </w:rPr>
        <w:lastRenderedPageBreak/>
        <w:t>Приложение № 2</w:t>
      </w:r>
      <w:r w:rsidRPr="00B0658A">
        <w:rPr>
          <w:rFonts w:cs="Times New Roman"/>
          <w:szCs w:val="28"/>
        </w:rPr>
        <w:br/>
      </w:r>
      <w:r w:rsidRPr="00B0658A">
        <w:rPr>
          <w:rFonts w:cs="Times New Roman"/>
          <w:szCs w:val="24"/>
        </w:rPr>
        <w:t>Рекомендованные показатели эффективности и соответствующие им значения индикаторов эффективности перехода органов государственной власти и государственных внебюджетных фондов на использование российского ПО</w:t>
      </w:r>
      <w:bookmarkEnd w:id="16"/>
      <w:bookmarkEnd w:id="17"/>
    </w:p>
    <w:p w14:paraId="4C19C777" w14:textId="77777777" w:rsidR="008319FB" w:rsidRPr="00B0658A" w:rsidRDefault="008319FB" w:rsidP="008319FB">
      <w:pPr>
        <w:spacing w:before="120" w:after="0" w:line="240" w:lineRule="auto"/>
        <w:rPr>
          <w:rFonts w:ascii="Times New Roman" w:hAnsi="Times New Roman"/>
          <w:sz w:val="28"/>
          <w:szCs w:val="24"/>
        </w:rPr>
      </w:pPr>
    </w:p>
    <w:p w14:paraId="1405F32E" w14:textId="77777777" w:rsidR="008319FB" w:rsidRPr="00B0658A" w:rsidRDefault="008319FB" w:rsidP="008319FB">
      <w:pPr>
        <w:spacing w:before="120" w:after="0" w:line="240" w:lineRule="auto"/>
        <w:ind w:firstLine="709"/>
        <w:jc w:val="both"/>
        <w:rPr>
          <w:rFonts w:ascii="Times New Roman" w:hAnsi="Times New Roman"/>
          <w:sz w:val="28"/>
          <w:szCs w:val="24"/>
        </w:rPr>
      </w:pPr>
      <w:r w:rsidRPr="00B0658A">
        <w:rPr>
          <w:rFonts w:ascii="Times New Roman" w:hAnsi="Times New Roman"/>
          <w:sz w:val="28"/>
          <w:szCs w:val="24"/>
        </w:rPr>
        <w:t>Ниже представлены рекомендованные показатели эффективности и соответствующие им значения индикаторов эффективности перехода органов государственной власти и государственных внебюджетных фондов на использование российского ПО в отношении каждого используемого класса (типа) ПО</w:t>
      </w:r>
      <w:bookmarkEnd w:id="1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90"/>
        <w:gridCol w:w="2826"/>
        <w:gridCol w:w="1963"/>
        <w:gridCol w:w="845"/>
        <w:gridCol w:w="845"/>
        <w:gridCol w:w="845"/>
        <w:gridCol w:w="874"/>
        <w:gridCol w:w="845"/>
        <w:gridCol w:w="845"/>
        <w:gridCol w:w="845"/>
        <w:gridCol w:w="759"/>
        <w:gridCol w:w="834"/>
        <w:gridCol w:w="828"/>
      </w:tblGrid>
      <w:tr w:rsidR="00F52FED" w:rsidRPr="00B0658A" w14:paraId="37F4D30D" w14:textId="77777777" w:rsidTr="00FE71B1">
        <w:trPr>
          <w:trHeight w:val="20"/>
          <w:tblHeader/>
        </w:trPr>
        <w:tc>
          <w:tcPr>
            <w:tcW w:w="283" w:type="pct"/>
            <w:shd w:val="clear" w:color="000000" w:fill="E7E6E6"/>
            <w:vAlign w:val="center"/>
            <w:hideMark/>
          </w:tcPr>
          <w:p w14:paraId="434EE21C" w14:textId="77777777" w:rsidR="003F2227" w:rsidRPr="00B0658A" w:rsidRDefault="003F2227" w:rsidP="00FE71B1">
            <w:pPr>
              <w:spacing w:after="0" w:line="240" w:lineRule="auto"/>
              <w:jc w:val="center"/>
              <w:rPr>
                <w:rFonts w:ascii="Times New Roman" w:hAnsi="Times New Roman"/>
                <w:b/>
                <w:bCs/>
                <w:sz w:val="18"/>
                <w:szCs w:val="18"/>
              </w:rPr>
            </w:pPr>
            <w:r w:rsidRPr="00B0658A">
              <w:rPr>
                <w:rFonts w:ascii="Times New Roman" w:hAnsi="Times New Roman"/>
                <w:b/>
                <w:bCs/>
                <w:sz w:val="18"/>
                <w:szCs w:val="18"/>
              </w:rPr>
              <w:t>№ раздела/ класса</w:t>
            </w:r>
          </w:p>
        </w:tc>
        <w:tc>
          <w:tcPr>
            <w:tcW w:w="1013" w:type="pct"/>
            <w:shd w:val="clear" w:color="000000" w:fill="E7E6E6"/>
            <w:vAlign w:val="center"/>
            <w:hideMark/>
          </w:tcPr>
          <w:p w14:paraId="44452111" w14:textId="77777777" w:rsidR="003F2227" w:rsidRPr="00B0658A" w:rsidRDefault="003F2227" w:rsidP="00004A41">
            <w:pPr>
              <w:spacing w:after="0" w:line="240" w:lineRule="auto"/>
              <w:jc w:val="center"/>
              <w:rPr>
                <w:rFonts w:ascii="Times New Roman" w:hAnsi="Times New Roman"/>
                <w:b/>
                <w:bCs/>
                <w:sz w:val="18"/>
                <w:szCs w:val="18"/>
              </w:rPr>
            </w:pPr>
            <w:r w:rsidRPr="00B0658A">
              <w:rPr>
                <w:rFonts w:ascii="Times New Roman" w:hAnsi="Times New Roman"/>
                <w:b/>
                <w:bCs/>
                <w:sz w:val="18"/>
                <w:szCs w:val="18"/>
              </w:rPr>
              <w:t xml:space="preserve">Наименование класса (типа) </w:t>
            </w:r>
            <w:r w:rsidR="00720519" w:rsidRPr="00B0658A">
              <w:rPr>
                <w:rFonts w:ascii="Times New Roman" w:hAnsi="Times New Roman"/>
                <w:b/>
                <w:bCs/>
                <w:sz w:val="18"/>
                <w:szCs w:val="18"/>
              </w:rPr>
              <w:t>ПО</w:t>
            </w:r>
          </w:p>
        </w:tc>
        <w:tc>
          <w:tcPr>
            <w:tcW w:w="704" w:type="pct"/>
            <w:shd w:val="clear" w:color="000000" w:fill="E7E6E6"/>
            <w:vAlign w:val="center"/>
            <w:hideMark/>
          </w:tcPr>
          <w:p w14:paraId="2B125B4C" w14:textId="77777777" w:rsidR="003F2227" w:rsidRPr="00B0658A" w:rsidRDefault="003F2227" w:rsidP="00004A41">
            <w:pPr>
              <w:spacing w:after="0" w:line="240" w:lineRule="auto"/>
              <w:jc w:val="center"/>
              <w:rPr>
                <w:rFonts w:ascii="Times New Roman" w:hAnsi="Times New Roman"/>
                <w:b/>
                <w:bCs/>
                <w:sz w:val="18"/>
                <w:szCs w:val="18"/>
              </w:rPr>
            </w:pPr>
            <w:r w:rsidRPr="00B0658A">
              <w:rPr>
                <w:rFonts w:ascii="Times New Roman" w:hAnsi="Times New Roman"/>
                <w:b/>
                <w:bCs/>
                <w:sz w:val="18"/>
                <w:szCs w:val="18"/>
              </w:rPr>
              <w:t>Наименование целевого показателя</w:t>
            </w:r>
          </w:p>
        </w:tc>
        <w:tc>
          <w:tcPr>
            <w:tcW w:w="303" w:type="pct"/>
            <w:shd w:val="clear" w:color="000000" w:fill="E7E6E6"/>
            <w:noWrap/>
            <w:vAlign w:val="center"/>
            <w:hideMark/>
          </w:tcPr>
          <w:p w14:paraId="7A454F71" w14:textId="77777777" w:rsidR="003F2227" w:rsidRPr="00B0658A" w:rsidRDefault="003F2227" w:rsidP="00004A41">
            <w:pPr>
              <w:spacing w:after="0" w:line="240" w:lineRule="auto"/>
              <w:jc w:val="center"/>
              <w:rPr>
                <w:rFonts w:ascii="Times New Roman" w:hAnsi="Times New Roman"/>
                <w:b/>
                <w:bCs/>
                <w:sz w:val="18"/>
                <w:szCs w:val="18"/>
              </w:rPr>
            </w:pPr>
            <w:r w:rsidRPr="00B0658A">
              <w:rPr>
                <w:rFonts w:ascii="Times New Roman" w:hAnsi="Times New Roman"/>
                <w:b/>
                <w:bCs/>
                <w:sz w:val="18"/>
                <w:szCs w:val="18"/>
              </w:rPr>
              <w:t>2022 г.</w:t>
            </w:r>
          </w:p>
        </w:tc>
        <w:tc>
          <w:tcPr>
            <w:tcW w:w="303" w:type="pct"/>
            <w:shd w:val="clear" w:color="000000" w:fill="E7E6E6"/>
            <w:vAlign w:val="center"/>
            <w:hideMark/>
          </w:tcPr>
          <w:p w14:paraId="5005A447" w14:textId="77777777" w:rsidR="003F2227" w:rsidRPr="00B0658A" w:rsidRDefault="003F2227" w:rsidP="00004A41">
            <w:pPr>
              <w:spacing w:after="0" w:line="240" w:lineRule="auto"/>
              <w:jc w:val="center"/>
              <w:rPr>
                <w:rFonts w:ascii="Times New Roman" w:hAnsi="Times New Roman"/>
                <w:b/>
                <w:bCs/>
                <w:sz w:val="18"/>
                <w:szCs w:val="18"/>
              </w:rPr>
            </w:pPr>
            <w:r w:rsidRPr="00B0658A">
              <w:rPr>
                <w:rFonts w:ascii="Times New Roman" w:hAnsi="Times New Roman"/>
                <w:b/>
                <w:bCs/>
                <w:sz w:val="18"/>
                <w:szCs w:val="18"/>
              </w:rPr>
              <w:t>2023 г.</w:t>
            </w:r>
          </w:p>
        </w:tc>
        <w:tc>
          <w:tcPr>
            <w:tcW w:w="303" w:type="pct"/>
            <w:shd w:val="clear" w:color="000000" w:fill="E7E6E6"/>
            <w:noWrap/>
            <w:vAlign w:val="center"/>
            <w:hideMark/>
          </w:tcPr>
          <w:p w14:paraId="037C05F2" w14:textId="77777777" w:rsidR="003F2227" w:rsidRPr="00B0658A" w:rsidRDefault="003F2227" w:rsidP="00004A41">
            <w:pPr>
              <w:spacing w:after="0" w:line="240" w:lineRule="auto"/>
              <w:jc w:val="center"/>
              <w:rPr>
                <w:rFonts w:ascii="Times New Roman" w:hAnsi="Times New Roman"/>
                <w:b/>
                <w:bCs/>
                <w:sz w:val="18"/>
                <w:szCs w:val="18"/>
              </w:rPr>
            </w:pPr>
            <w:r w:rsidRPr="00B0658A">
              <w:rPr>
                <w:rFonts w:ascii="Times New Roman" w:hAnsi="Times New Roman"/>
                <w:b/>
                <w:bCs/>
                <w:sz w:val="18"/>
                <w:szCs w:val="18"/>
              </w:rPr>
              <w:t>2024 г.</w:t>
            </w:r>
          </w:p>
        </w:tc>
        <w:tc>
          <w:tcPr>
            <w:tcW w:w="313" w:type="pct"/>
            <w:shd w:val="clear" w:color="000000" w:fill="E7E6E6"/>
            <w:vAlign w:val="center"/>
          </w:tcPr>
          <w:p w14:paraId="47FCD9B3" w14:textId="77777777" w:rsidR="003F2227" w:rsidRPr="00B0658A" w:rsidRDefault="003F2227" w:rsidP="00004A41">
            <w:pPr>
              <w:spacing w:after="0" w:line="240" w:lineRule="auto"/>
              <w:jc w:val="center"/>
              <w:rPr>
                <w:rFonts w:ascii="Times New Roman" w:hAnsi="Times New Roman"/>
                <w:b/>
                <w:bCs/>
                <w:sz w:val="18"/>
                <w:szCs w:val="18"/>
              </w:rPr>
            </w:pPr>
            <w:r w:rsidRPr="00B0658A">
              <w:rPr>
                <w:rFonts w:ascii="Times New Roman" w:hAnsi="Times New Roman"/>
                <w:b/>
                <w:bCs/>
                <w:sz w:val="18"/>
                <w:szCs w:val="18"/>
              </w:rPr>
              <w:t>2024 г.</w:t>
            </w:r>
            <w:r w:rsidRPr="00B0658A">
              <w:rPr>
                <w:rFonts w:ascii="Times New Roman" w:hAnsi="Times New Roman"/>
                <w:b/>
                <w:bCs/>
                <w:sz w:val="18"/>
                <w:szCs w:val="18"/>
              </w:rPr>
              <w:br/>
            </w:r>
            <w:r w:rsidRPr="00B0658A">
              <w:rPr>
                <w:rFonts w:ascii="Times New Roman" w:hAnsi="Times New Roman"/>
                <w:bCs/>
                <w:sz w:val="18"/>
                <w:szCs w:val="18"/>
              </w:rPr>
              <w:t>(для значимых объектов КИИ)</w:t>
            </w:r>
          </w:p>
        </w:tc>
        <w:tc>
          <w:tcPr>
            <w:tcW w:w="303" w:type="pct"/>
            <w:shd w:val="clear" w:color="000000" w:fill="E7E6E6"/>
            <w:vAlign w:val="center"/>
            <w:hideMark/>
          </w:tcPr>
          <w:p w14:paraId="4A387820" w14:textId="77777777" w:rsidR="003F2227" w:rsidRPr="00B0658A" w:rsidRDefault="003F2227" w:rsidP="00004A41">
            <w:pPr>
              <w:spacing w:after="0" w:line="240" w:lineRule="auto"/>
              <w:jc w:val="center"/>
              <w:rPr>
                <w:rFonts w:ascii="Times New Roman" w:hAnsi="Times New Roman"/>
                <w:b/>
                <w:bCs/>
                <w:sz w:val="18"/>
                <w:szCs w:val="18"/>
              </w:rPr>
            </w:pPr>
            <w:r w:rsidRPr="00B0658A">
              <w:rPr>
                <w:rFonts w:ascii="Times New Roman" w:hAnsi="Times New Roman"/>
                <w:b/>
                <w:bCs/>
                <w:sz w:val="18"/>
                <w:szCs w:val="18"/>
              </w:rPr>
              <w:t>2025 г.</w:t>
            </w:r>
          </w:p>
        </w:tc>
        <w:tc>
          <w:tcPr>
            <w:tcW w:w="303" w:type="pct"/>
            <w:shd w:val="clear" w:color="000000" w:fill="E7E6E6"/>
            <w:vAlign w:val="center"/>
            <w:hideMark/>
          </w:tcPr>
          <w:p w14:paraId="73654421" w14:textId="77777777" w:rsidR="003F2227" w:rsidRPr="00B0658A" w:rsidRDefault="003F2227" w:rsidP="00004A41">
            <w:pPr>
              <w:spacing w:after="0" w:line="240" w:lineRule="auto"/>
              <w:jc w:val="center"/>
              <w:rPr>
                <w:rFonts w:ascii="Times New Roman" w:hAnsi="Times New Roman"/>
                <w:b/>
                <w:bCs/>
                <w:sz w:val="18"/>
                <w:szCs w:val="18"/>
              </w:rPr>
            </w:pPr>
            <w:r w:rsidRPr="00B0658A">
              <w:rPr>
                <w:rFonts w:ascii="Times New Roman" w:hAnsi="Times New Roman"/>
                <w:b/>
                <w:bCs/>
                <w:sz w:val="18"/>
                <w:szCs w:val="18"/>
              </w:rPr>
              <w:t>2026 г.</w:t>
            </w:r>
          </w:p>
        </w:tc>
        <w:tc>
          <w:tcPr>
            <w:tcW w:w="303" w:type="pct"/>
            <w:shd w:val="clear" w:color="000000" w:fill="E7E6E6"/>
            <w:vAlign w:val="center"/>
            <w:hideMark/>
          </w:tcPr>
          <w:p w14:paraId="0EF3A465" w14:textId="77777777" w:rsidR="003F2227" w:rsidRPr="00B0658A" w:rsidRDefault="003F2227" w:rsidP="00004A41">
            <w:pPr>
              <w:spacing w:after="0" w:line="240" w:lineRule="auto"/>
              <w:jc w:val="center"/>
              <w:rPr>
                <w:rFonts w:ascii="Times New Roman" w:hAnsi="Times New Roman"/>
                <w:b/>
                <w:bCs/>
                <w:sz w:val="18"/>
                <w:szCs w:val="18"/>
              </w:rPr>
            </w:pPr>
            <w:r w:rsidRPr="00B0658A">
              <w:rPr>
                <w:rFonts w:ascii="Times New Roman" w:hAnsi="Times New Roman"/>
                <w:b/>
                <w:bCs/>
                <w:sz w:val="18"/>
                <w:szCs w:val="18"/>
              </w:rPr>
              <w:t>2027 г.</w:t>
            </w:r>
          </w:p>
        </w:tc>
        <w:tc>
          <w:tcPr>
            <w:tcW w:w="272" w:type="pct"/>
            <w:shd w:val="clear" w:color="000000" w:fill="E7E6E6"/>
            <w:vAlign w:val="center"/>
          </w:tcPr>
          <w:p w14:paraId="33F67AA7" w14:textId="77777777" w:rsidR="003F2227" w:rsidRPr="00B0658A" w:rsidRDefault="003F2227" w:rsidP="00004A41">
            <w:pPr>
              <w:spacing w:after="0" w:line="240" w:lineRule="auto"/>
              <w:jc w:val="center"/>
              <w:rPr>
                <w:rFonts w:ascii="Times New Roman" w:hAnsi="Times New Roman"/>
                <w:b/>
                <w:bCs/>
                <w:sz w:val="18"/>
                <w:szCs w:val="18"/>
              </w:rPr>
            </w:pPr>
            <w:r w:rsidRPr="00B0658A">
              <w:rPr>
                <w:rFonts w:ascii="Times New Roman" w:hAnsi="Times New Roman"/>
                <w:b/>
                <w:bCs/>
                <w:sz w:val="18"/>
                <w:szCs w:val="18"/>
              </w:rPr>
              <w:t>2028 г.</w:t>
            </w:r>
          </w:p>
        </w:tc>
        <w:tc>
          <w:tcPr>
            <w:tcW w:w="299" w:type="pct"/>
            <w:shd w:val="clear" w:color="000000" w:fill="E7E6E6"/>
            <w:vAlign w:val="center"/>
          </w:tcPr>
          <w:p w14:paraId="11CC28D8" w14:textId="77777777" w:rsidR="003F2227" w:rsidRPr="00B0658A" w:rsidRDefault="003F2227" w:rsidP="00004A41">
            <w:pPr>
              <w:spacing w:after="0" w:line="240" w:lineRule="auto"/>
              <w:jc w:val="center"/>
              <w:rPr>
                <w:rFonts w:ascii="Times New Roman" w:hAnsi="Times New Roman"/>
                <w:b/>
                <w:bCs/>
                <w:sz w:val="18"/>
                <w:szCs w:val="18"/>
              </w:rPr>
            </w:pPr>
            <w:r w:rsidRPr="00B0658A">
              <w:rPr>
                <w:rFonts w:ascii="Times New Roman" w:hAnsi="Times New Roman"/>
                <w:b/>
                <w:bCs/>
                <w:sz w:val="18"/>
                <w:szCs w:val="18"/>
              </w:rPr>
              <w:t>2029 г.</w:t>
            </w:r>
          </w:p>
        </w:tc>
        <w:tc>
          <w:tcPr>
            <w:tcW w:w="297" w:type="pct"/>
            <w:shd w:val="clear" w:color="000000" w:fill="E7E6E6"/>
            <w:vAlign w:val="center"/>
          </w:tcPr>
          <w:p w14:paraId="6047A794" w14:textId="77777777" w:rsidR="003F2227" w:rsidRPr="00B0658A" w:rsidRDefault="003F2227" w:rsidP="00004A41">
            <w:pPr>
              <w:spacing w:after="0" w:line="240" w:lineRule="auto"/>
              <w:jc w:val="center"/>
              <w:rPr>
                <w:rFonts w:ascii="Times New Roman" w:hAnsi="Times New Roman"/>
                <w:b/>
                <w:bCs/>
                <w:sz w:val="18"/>
                <w:szCs w:val="18"/>
              </w:rPr>
            </w:pPr>
            <w:r w:rsidRPr="00B0658A">
              <w:rPr>
                <w:rFonts w:ascii="Times New Roman" w:hAnsi="Times New Roman"/>
                <w:b/>
                <w:bCs/>
                <w:sz w:val="18"/>
                <w:szCs w:val="18"/>
              </w:rPr>
              <w:t>2030 г.</w:t>
            </w:r>
          </w:p>
        </w:tc>
      </w:tr>
      <w:tr w:rsidR="00F52FED" w:rsidRPr="00B0658A" w14:paraId="72B8846F" w14:textId="77777777" w:rsidTr="00FE71B1">
        <w:trPr>
          <w:trHeight w:val="20"/>
        </w:trPr>
        <w:tc>
          <w:tcPr>
            <w:tcW w:w="283" w:type="pct"/>
            <w:shd w:val="clear" w:color="000000" w:fill="FFFFFF"/>
            <w:vAlign w:val="center"/>
          </w:tcPr>
          <w:p w14:paraId="46515DFB" w14:textId="77777777" w:rsidR="003F2227" w:rsidRPr="00B0658A" w:rsidRDefault="003F2227" w:rsidP="00FE71B1">
            <w:pPr>
              <w:spacing w:after="0" w:line="240" w:lineRule="auto"/>
              <w:jc w:val="center"/>
              <w:rPr>
                <w:rFonts w:ascii="Times New Roman" w:hAnsi="Times New Roman"/>
                <w:sz w:val="18"/>
                <w:szCs w:val="18"/>
              </w:rPr>
            </w:pPr>
            <w:r w:rsidRPr="00B0658A">
              <w:rPr>
                <w:rFonts w:ascii="Times New Roman" w:hAnsi="Times New Roman"/>
                <w:sz w:val="18"/>
                <w:szCs w:val="18"/>
              </w:rPr>
              <w:t>1.1</w:t>
            </w:r>
          </w:p>
        </w:tc>
        <w:tc>
          <w:tcPr>
            <w:tcW w:w="1013" w:type="pct"/>
            <w:shd w:val="clear" w:color="auto" w:fill="auto"/>
            <w:vAlign w:val="center"/>
            <w:hideMark/>
          </w:tcPr>
          <w:p w14:paraId="3A8F523B" w14:textId="77777777" w:rsidR="003F2227" w:rsidRPr="00B0658A" w:rsidRDefault="003F2227" w:rsidP="00004A41">
            <w:pPr>
              <w:spacing w:after="0" w:line="240" w:lineRule="auto"/>
              <w:rPr>
                <w:rFonts w:ascii="Times New Roman" w:hAnsi="Times New Roman"/>
                <w:sz w:val="18"/>
                <w:szCs w:val="18"/>
              </w:rPr>
            </w:pPr>
            <w:r w:rsidRPr="00B0658A">
              <w:rPr>
                <w:rFonts w:ascii="Times New Roman" w:hAnsi="Times New Roman"/>
                <w:sz w:val="18"/>
                <w:szCs w:val="18"/>
              </w:rPr>
              <w:t>Встроенное программное обеспечение/ Встроенные системные программы: BIOS, UEFI и иные встроенные системные программы</w:t>
            </w:r>
          </w:p>
        </w:tc>
        <w:tc>
          <w:tcPr>
            <w:tcW w:w="704" w:type="pct"/>
            <w:shd w:val="clear" w:color="000000" w:fill="FFFFFF"/>
            <w:hideMark/>
          </w:tcPr>
          <w:p w14:paraId="2752786D" w14:textId="77777777" w:rsidR="003F2227" w:rsidRPr="00B0658A" w:rsidRDefault="003F2227" w:rsidP="00004A41">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03" w:type="pct"/>
            <w:shd w:val="clear" w:color="000000" w:fill="FFFFFF"/>
            <w:vAlign w:val="center"/>
            <w:hideMark/>
          </w:tcPr>
          <w:p w14:paraId="21E2C305" w14:textId="77777777" w:rsidR="003F2227" w:rsidRPr="00B0658A" w:rsidRDefault="003F2227" w:rsidP="00004A41">
            <w:pPr>
              <w:spacing w:after="0" w:line="240" w:lineRule="auto"/>
              <w:jc w:val="center"/>
              <w:rPr>
                <w:rFonts w:ascii="Times New Roman" w:hAnsi="Times New Roman"/>
                <w:sz w:val="18"/>
                <w:szCs w:val="18"/>
              </w:rPr>
            </w:pPr>
            <w:r w:rsidRPr="00B0658A">
              <w:rPr>
                <w:rFonts w:ascii="Times New Roman" w:hAnsi="Times New Roman"/>
                <w:sz w:val="18"/>
                <w:szCs w:val="18"/>
              </w:rPr>
              <w:t>10%</w:t>
            </w:r>
          </w:p>
        </w:tc>
        <w:tc>
          <w:tcPr>
            <w:tcW w:w="303" w:type="pct"/>
            <w:shd w:val="clear" w:color="000000" w:fill="FFFFFF"/>
            <w:vAlign w:val="center"/>
            <w:hideMark/>
          </w:tcPr>
          <w:p w14:paraId="13604CFE" w14:textId="77777777" w:rsidR="003F2227" w:rsidRPr="00B0658A" w:rsidRDefault="003F2227" w:rsidP="00004A41">
            <w:pPr>
              <w:spacing w:after="0" w:line="240" w:lineRule="auto"/>
              <w:jc w:val="center"/>
              <w:rPr>
                <w:rFonts w:ascii="Times New Roman" w:hAnsi="Times New Roman"/>
                <w:sz w:val="18"/>
                <w:szCs w:val="18"/>
              </w:rPr>
            </w:pPr>
            <w:r w:rsidRPr="00B0658A">
              <w:rPr>
                <w:rFonts w:ascii="Times New Roman" w:hAnsi="Times New Roman"/>
                <w:sz w:val="18"/>
                <w:szCs w:val="18"/>
              </w:rPr>
              <w:t>2</w:t>
            </w:r>
            <w:r w:rsidRPr="00B0658A">
              <w:rPr>
                <w:rFonts w:ascii="Times New Roman" w:hAnsi="Times New Roman"/>
                <w:sz w:val="18"/>
                <w:szCs w:val="18"/>
                <w:lang w:val="en-US"/>
              </w:rPr>
              <w:t>5</w:t>
            </w:r>
            <w:r w:rsidRPr="00B0658A">
              <w:rPr>
                <w:rFonts w:ascii="Times New Roman" w:hAnsi="Times New Roman"/>
                <w:sz w:val="18"/>
                <w:szCs w:val="18"/>
              </w:rPr>
              <w:t>%</w:t>
            </w:r>
          </w:p>
        </w:tc>
        <w:tc>
          <w:tcPr>
            <w:tcW w:w="303" w:type="pct"/>
            <w:shd w:val="clear" w:color="000000" w:fill="FFFFFF"/>
            <w:vAlign w:val="center"/>
            <w:hideMark/>
          </w:tcPr>
          <w:p w14:paraId="70766C42" w14:textId="77777777" w:rsidR="003F2227" w:rsidRPr="00B0658A" w:rsidRDefault="003F2227" w:rsidP="00004A41">
            <w:pPr>
              <w:spacing w:after="0" w:line="240" w:lineRule="auto"/>
              <w:jc w:val="center"/>
              <w:rPr>
                <w:rFonts w:ascii="Times New Roman" w:hAnsi="Times New Roman"/>
                <w:sz w:val="18"/>
                <w:szCs w:val="18"/>
              </w:rPr>
            </w:pPr>
            <w:r w:rsidRPr="00B0658A">
              <w:rPr>
                <w:rFonts w:ascii="Times New Roman" w:hAnsi="Times New Roman"/>
                <w:sz w:val="18"/>
                <w:szCs w:val="18"/>
                <w:lang w:val="en-US"/>
              </w:rPr>
              <w:t>4</w:t>
            </w:r>
            <w:r w:rsidRPr="00B0658A">
              <w:rPr>
                <w:rFonts w:ascii="Times New Roman" w:hAnsi="Times New Roman"/>
                <w:sz w:val="18"/>
                <w:szCs w:val="18"/>
              </w:rPr>
              <w:t>0%</w:t>
            </w:r>
          </w:p>
        </w:tc>
        <w:tc>
          <w:tcPr>
            <w:tcW w:w="313" w:type="pct"/>
            <w:shd w:val="clear" w:color="000000" w:fill="FFFFFF"/>
            <w:vAlign w:val="center"/>
          </w:tcPr>
          <w:p w14:paraId="0A2424D4" w14:textId="77777777" w:rsidR="003F2227" w:rsidRPr="00B0658A" w:rsidRDefault="003F2227" w:rsidP="00004A41">
            <w:pPr>
              <w:spacing w:after="0" w:line="240" w:lineRule="auto"/>
              <w:jc w:val="center"/>
              <w:rPr>
                <w:rFonts w:ascii="Times New Roman" w:hAnsi="Times New Roman"/>
                <w:sz w:val="18"/>
                <w:szCs w:val="18"/>
              </w:rPr>
            </w:pPr>
            <w:r w:rsidRPr="00B0658A">
              <w:rPr>
                <w:rFonts w:ascii="Times New Roman" w:hAnsi="Times New Roman"/>
                <w:sz w:val="18"/>
                <w:szCs w:val="18"/>
              </w:rPr>
              <w:t>100%</w:t>
            </w:r>
          </w:p>
        </w:tc>
        <w:tc>
          <w:tcPr>
            <w:tcW w:w="303" w:type="pct"/>
            <w:shd w:val="clear" w:color="000000" w:fill="FFFFFF"/>
            <w:vAlign w:val="center"/>
            <w:hideMark/>
          </w:tcPr>
          <w:p w14:paraId="27A58E71" w14:textId="77777777" w:rsidR="003F2227" w:rsidRPr="00B0658A" w:rsidRDefault="003F2227" w:rsidP="00004A41">
            <w:pPr>
              <w:spacing w:after="0" w:line="240" w:lineRule="auto"/>
              <w:jc w:val="center"/>
              <w:rPr>
                <w:rFonts w:ascii="Times New Roman" w:hAnsi="Times New Roman"/>
                <w:sz w:val="18"/>
                <w:szCs w:val="18"/>
              </w:rPr>
            </w:pPr>
            <w:r w:rsidRPr="00B0658A">
              <w:rPr>
                <w:rFonts w:ascii="Times New Roman" w:hAnsi="Times New Roman"/>
                <w:sz w:val="18"/>
                <w:szCs w:val="18"/>
              </w:rPr>
              <w:t>50%</w:t>
            </w:r>
          </w:p>
        </w:tc>
        <w:tc>
          <w:tcPr>
            <w:tcW w:w="303" w:type="pct"/>
            <w:shd w:val="clear" w:color="000000" w:fill="FFFFFF"/>
            <w:vAlign w:val="center"/>
            <w:hideMark/>
          </w:tcPr>
          <w:p w14:paraId="15564C16" w14:textId="77777777" w:rsidR="003F2227" w:rsidRPr="00B0658A" w:rsidRDefault="003F2227" w:rsidP="00004A41">
            <w:pPr>
              <w:spacing w:after="0" w:line="240" w:lineRule="auto"/>
              <w:jc w:val="center"/>
              <w:rPr>
                <w:rFonts w:ascii="Times New Roman" w:hAnsi="Times New Roman"/>
                <w:sz w:val="18"/>
                <w:szCs w:val="18"/>
              </w:rPr>
            </w:pPr>
            <w:r w:rsidRPr="00B0658A">
              <w:rPr>
                <w:rFonts w:ascii="Times New Roman" w:hAnsi="Times New Roman"/>
                <w:sz w:val="18"/>
                <w:szCs w:val="18"/>
              </w:rPr>
              <w:t>60%</w:t>
            </w:r>
          </w:p>
        </w:tc>
        <w:tc>
          <w:tcPr>
            <w:tcW w:w="303" w:type="pct"/>
            <w:shd w:val="clear" w:color="000000" w:fill="FFFFFF"/>
            <w:vAlign w:val="center"/>
            <w:hideMark/>
          </w:tcPr>
          <w:p w14:paraId="2AB1A2F6" w14:textId="77777777" w:rsidR="003F2227" w:rsidRPr="00B0658A" w:rsidRDefault="003F2227" w:rsidP="00004A41">
            <w:pPr>
              <w:spacing w:after="0" w:line="240" w:lineRule="auto"/>
              <w:jc w:val="center"/>
              <w:rPr>
                <w:rFonts w:ascii="Times New Roman" w:hAnsi="Times New Roman"/>
                <w:sz w:val="18"/>
                <w:szCs w:val="18"/>
              </w:rPr>
            </w:pPr>
            <w:r w:rsidRPr="00B0658A">
              <w:rPr>
                <w:rFonts w:ascii="Times New Roman" w:hAnsi="Times New Roman"/>
                <w:sz w:val="18"/>
                <w:szCs w:val="18"/>
              </w:rPr>
              <w:t>70%</w:t>
            </w:r>
          </w:p>
        </w:tc>
        <w:tc>
          <w:tcPr>
            <w:tcW w:w="272" w:type="pct"/>
            <w:shd w:val="clear" w:color="000000" w:fill="FFFFFF"/>
            <w:vAlign w:val="center"/>
          </w:tcPr>
          <w:p w14:paraId="7BC58F54" w14:textId="77777777" w:rsidR="003F2227" w:rsidRPr="00B0658A" w:rsidRDefault="003F2227" w:rsidP="00004A41">
            <w:pPr>
              <w:spacing w:after="0" w:line="240" w:lineRule="auto"/>
              <w:jc w:val="center"/>
              <w:rPr>
                <w:rFonts w:ascii="Times New Roman" w:hAnsi="Times New Roman"/>
                <w:sz w:val="18"/>
                <w:szCs w:val="18"/>
              </w:rPr>
            </w:pPr>
            <w:r w:rsidRPr="00B0658A">
              <w:rPr>
                <w:rFonts w:ascii="Times New Roman" w:hAnsi="Times New Roman"/>
                <w:sz w:val="18"/>
                <w:szCs w:val="18"/>
              </w:rPr>
              <w:t>80%</w:t>
            </w:r>
          </w:p>
        </w:tc>
        <w:tc>
          <w:tcPr>
            <w:tcW w:w="299" w:type="pct"/>
            <w:shd w:val="clear" w:color="000000" w:fill="FFFFFF"/>
            <w:vAlign w:val="center"/>
          </w:tcPr>
          <w:p w14:paraId="65189328" w14:textId="77777777" w:rsidR="003F2227" w:rsidRPr="00B0658A" w:rsidRDefault="003F2227" w:rsidP="00004A41">
            <w:pPr>
              <w:spacing w:after="0" w:line="240" w:lineRule="auto"/>
              <w:jc w:val="center"/>
              <w:rPr>
                <w:rFonts w:ascii="Times New Roman" w:hAnsi="Times New Roman"/>
                <w:sz w:val="18"/>
                <w:szCs w:val="18"/>
              </w:rPr>
            </w:pPr>
            <w:r w:rsidRPr="00B0658A">
              <w:rPr>
                <w:rFonts w:ascii="Times New Roman" w:hAnsi="Times New Roman"/>
                <w:sz w:val="18"/>
                <w:szCs w:val="18"/>
              </w:rPr>
              <w:t>90%</w:t>
            </w:r>
          </w:p>
        </w:tc>
        <w:tc>
          <w:tcPr>
            <w:tcW w:w="297" w:type="pct"/>
            <w:shd w:val="clear" w:color="000000" w:fill="FFFFFF"/>
            <w:vAlign w:val="center"/>
          </w:tcPr>
          <w:p w14:paraId="7AD2594B" w14:textId="77777777" w:rsidR="003F2227" w:rsidRPr="00B0658A" w:rsidRDefault="003F2227" w:rsidP="00004A41">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F52FED" w:rsidRPr="00B0658A" w14:paraId="3949EAE0" w14:textId="77777777" w:rsidTr="00FE71B1">
        <w:trPr>
          <w:trHeight w:val="20"/>
        </w:trPr>
        <w:tc>
          <w:tcPr>
            <w:tcW w:w="283" w:type="pct"/>
            <w:shd w:val="clear" w:color="000000" w:fill="FFFFFF"/>
            <w:vAlign w:val="center"/>
          </w:tcPr>
          <w:p w14:paraId="2BBD8FA2" w14:textId="77777777" w:rsidR="003F2227" w:rsidRPr="00B0658A" w:rsidRDefault="003F2227" w:rsidP="00FE71B1">
            <w:pPr>
              <w:spacing w:after="0" w:line="240" w:lineRule="auto"/>
              <w:jc w:val="center"/>
              <w:rPr>
                <w:rFonts w:ascii="Times New Roman" w:hAnsi="Times New Roman"/>
                <w:sz w:val="18"/>
                <w:szCs w:val="18"/>
              </w:rPr>
            </w:pPr>
            <w:r w:rsidRPr="00B0658A">
              <w:rPr>
                <w:rFonts w:ascii="Times New Roman" w:hAnsi="Times New Roman"/>
                <w:sz w:val="18"/>
                <w:szCs w:val="18"/>
              </w:rPr>
              <w:t>1.2</w:t>
            </w:r>
          </w:p>
        </w:tc>
        <w:tc>
          <w:tcPr>
            <w:tcW w:w="1013" w:type="pct"/>
            <w:shd w:val="clear" w:color="auto" w:fill="auto"/>
            <w:vAlign w:val="center"/>
            <w:hideMark/>
          </w:tcPr>
          <w:p w14:paraId="223C16B1" w14:textId="77777777" w:rsidR="003F2227" w:rsidRPr="00B0658A" w:rsidRDefault="003F2227" w:rsidP="00004A41">
            <w:pPr>
              <w:spacing w:after="0" w:line="240" w:lineRule="auto"/>
              <w:rPr>
                <w:rFonts w:ascii="Times New Roman" w:hAnsi="Times New Roman"/>
                <w:sz w:val="18"/>
                <w:szCs w:val="18"/>
              </w:rPr>
            </w:pPr>
            <w:r w:rsidRPr="00B0658A">
              <w:rPr>
                <w:rFonts w:ascii="Times New Roman" w:hAnsi="Times New Roman"/>
                <w:sz w:val="18"/>
                <w:szCs w:val="18"/>
              </w:rPr>
              <w:t>Встроенное программное обеспечение/ Встроенные системные программы – операционные системы</w:t>
            </w:r>
          </w:p>
        </w:tc>
        <w:tc>
          <w:tcPr>
            <w:tcW w:w="704" w:type="pct"/>
            <w:shd w:val="clear" w:color="000000" w:fill="FFFFFF"/>
            <w:hideMark/>
          </w:tcPr>
          <w:p w14:paraId="763F39CC" w14:textId="77777777" w:rsidR="003F2227" w:rsidRPr="00B0658A" w:rsidRDefault="003F2227" w:rsidP="00004A41">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03" w:type="pct"/>
            <w:shd w:val="clear" w:color="000000" w:fill="FFFFFF"/>
            <w:vAlign w:val="center"/>
            <w:hideMark/>
          </w:tcPr>
          <w:p w14:paraId="72993B78" w14:textId="77777777" w:rsidR="003F2227" w:rsidRPr="00B0658A" w:rsidRDefault="003F2227" w:rsidP="00004A41">
            <w:pPr>
              <w:spacing w:after="0" w:line="240" w:lineRule="auto"/>
              <w:jc w:val="center"/>
              <w:rPr>
                <w:rFonts w:ascii="Times New Roman" w:hAnsi="Times New Roman"/>
                <w:sz w:val="18"/>
                <w:szCs w:val="18"/>
              </w:rPr>
            </w:pPr>
            <w:r w:rsidRPr="00B0658A">
              <w:rPr>
                <w:rFonts w:ascii="Times New Roman" w:hAnsi="Times New Roman"/>
                <w:sz w:val="18"/>
                <w:szCs w:val="18"/>
              </w:rPr>
              <w:t>10%</w:t>
            </w:r>
          </w:p>
        </w:tc>
        <w:tc>
          <w:tcPr>
            <w:tcW w:w="303" w:type="pct"/>
            <w:shd w:val="clear" w:color="000000" w:fill="FFFFFF"/>
            <w:vAlign w:val="center"/>
            <w:hideMark/>
          </w:tcPr>
          <w:p w14:paraId="7B8B6E3D" w14:textId="77777777" w:rsidR="003F2227" w:rsidRPr="00B0658A" w:rsidRDefault="003F2227" w:rsidP="00004A41">
            <w:pPr>
              <w:spacing w:after="0" w:line="240" w:lineRule="auto"/>
              <w:jc w:val="center"/>
              <w:rPr>
                <w:rFonts w:ascii="Times New Roman" w:hAnsi="Times New Roman"/>
                <w:sz w:val="18"/>
                <w:szCs w:val="18"/>
              </w:rPr>
            </w:pPr>
            <w:r w:rsidRPr="00B0658A">
              <w:rPr>
                <w:rFonts w:ascii="Times New Roman" w:hAnsi="Times New Roman"/>
                <w:sz w:val="18"/>
                <w:szCs w:val="18"/>
              </w:rPr>
              <w:t>2</w:t>
            </w:r>
            <w:r w:rsidRPr="00B0658A">
              <w:rPr>
                <w:rFonts w:ascii="Times New Roman" w:hAnsi="Times New Roman"/>
                <w:sz w:val="18"/>
                <w:szCs w:val="18"/>
                <w:lang w:val="en-US"/>
              </w:rPr>
              <w:t>5</w:t>
            </w:r>
            <w:r w:rsidRPr="00B0658A">
              <w:rPr>
                <w:rFonts w:ascii="Times New Roman" w:hAnsi="Times New Roman"/>
                <w:sz w:val="18"/>
                <w:szCs w:val="18"/>
              </w:rPr>
              <w:t>%</w:t>
            </w:r>
          </w:p>
        </w:tc>
        <w:tc>
          <w:tcPr>
            <w:tcW w:w="303" w:type="pct"/>
            <w:shd w:val="clear" w:color="000000" w:fill="FFFFFF"/>
            <w:vAlign w:val="center"/>
            <w:hideMark/>
          </w:tcPr>
          <w:p w14:paraId="2F111FE9" w14:textId="77777777" w:rsidR="003F2227" w:rsidRPr="00B0658A" w:rsidRDefault="003F2227" w:rsidP="00004A41">
            <w:pPr>
              <w:spacing w:after="0" w:line="240" w:lineRule="auto"/>
              <w:jc w:val="center"/>
              <w:rPr>
                <w:rFonts w:ascii="Times New Roman" w:hAnsi="Times New Roman"/>
                <w:sz w:val="18"/>
                <w:szCs w:val="18"/>
              </w:rPr>
            </w:pPr>
            <w:r w:rsidRPr="00B0658A">
              <w:rPr>
                <w:rFonts w:ascii="Times New Roman" w:hAnsi="Times New Roman"/>
                <w:sz w:val="18"/>
                <w:szCs w:val="18"/>
                <w:lang w:val="en-US"/>
              </w:rPr>
              <w:t>4</w:t>
            </w:r>
            <w:r w:rsidRPr="00B0658A">
              <w:rPr>
                <w:rFonts w:ascii="Times New Roman" w:hAnsi="Times New Roman"/>
                <w:sz w:val="18"/>
                <w:szCs w:val="18"/>
              </w:rPr>
              <w:t>0%</w:t>
            </w:r>
          </w:p>
        </w:tc>
        <w:tc>
          <w:tcPr>
            <w:tcW w:w="313" w:type="pct"/>
            <w:shd w:val="clear" w:color="000000" w:fill="FFFFFF"/>
            <w:vAlign w:val="center"/>
          </w:tcPr>
          <w:p w14:paraId="3F01E9F6" w14:textId="77777777" w:rsidR="003F2227" w:rsidRPr="00B0658A" w:rsidRDefault="003F2227" w:rsidP="00004A41">
            <w:pPr>
              <w:spacing w:after="0" w:line="240" w:lineRule="auto"/>
              <w:jc w:val="center"/>
              <w:rPr>
                <w:rFonts w:ascii="Times New Roman" w:hAnsi="Times New Roman"/>
                <w:sz w:val="18"/>
                <w:szCs w:val="18"/>
              </w:rPr>
            </w:pPr>
            <w:r w:rsidRPr="00B0658A">
              <w:rPr>
                <w:rFonts w:ascii="Times New Roman" w:hAnsi="Times New Roman"/>
                <w:sz w:val="18"/>
                <w:szCs w:val="18"/>
              </w:rPr>
              <w:t>100%</w:t>
            </w:r>
          </w:p>
        </w:tc>
        <w:tc>
          <w:tcPr>
            <w:tcW w:w="303" w:type="pct"/>
            <w:shd w:val="clear" w:color="000000" w:fill="FFFFFF"/>
            <w:vAlign w:val="center"/>
            <w:hideMark/>
          </w:tcPr>
          <w:p w14:paraId="477964AC" w14:textId="77777777" w:rsidR="003F2227" w:rsidRPr="00B0658A" w:rsidRDefault="003F2227" w:rsidP="00004A41">
            <w:pPr>
              <w:spacing w:after="0" w:line="240" w:lineRule="auto"/>
              <w:jc w:val="center"/>
              <w:rPr>
                <w:rFonts w:ascii="Times New Roman" w:hAnsi="Times New Roman"/>
                <w:sz w:val="18"/>
                <w:szCs w:val="18"/>
              </w:rPr>
            </w:pPr>
            <w:r w:rsidRPr="00B0658A">
              <w:rPr>
                <w:rFonts w:ascii="Times New Roman" w:hAnsi="Times New Roman"/>
                <w:sz w:val="18"/>
                <w:szCs w:val="18"/>
              </w:rPr>
              <w:t>50%</w:t>
            </w:r>
          </w:p>
        </w:tc>
        <w:tc>
          <w:tcPr>
            <w:tcW w:w="303" w:type="pct"/>
            <w:shd w:val="clear" w:color="000000" w:fill="FFFFFF"/>
            <w:vAlign w:val="center"/>
            <w:hideMark/>
          </w:tcPr>
          <w:p w14:paraId="17180051" w14:textId="77777777" w:rsidR="003F2227" w:rsidRPr="00B0658A" w:rsidRDefault="003F2227" w:rsidP="00004A41">
            <w:pPr>
              <w:spacing w:after="0" w:line="240" w:lineRule="auto"/>
              <w:jc w:val="center"/>
              <w:rPr>
                <w:rFonts w:ascii="Times New Roman" w:hAnsi="Times New Roman"/>
                <w:sz w:val="18"/>
                <w:szCs w:val="18"/>
              </w:rPr>
            </w:pPr>
            <w:r w:rsidRPr="00B0658A">
              <w:rPr>
                <w:rFonts w:ascii="Times New Roman" w:hAnsi="Times New Roman"/>
                <w:sz w:val="18"/>
                <w:szCs w:val="18"/>
              </w:rPr>
              <w:t>60%</w:t>
            </w:r>
          </w:p>
        </w:tc>
        <w:tc>
          <w:tcPr>
            <w:tcW w:w="303" w:type="pct"/>
            <w:shd w:val="clear" w:color="000000" w:fill="FFFFFF"/>
            <w:vAlign w:val="center"/>
            <w:hideMark/>
          </w:tcPr>
          <w:p w14:paraId="0ED0D123" w14:textId="77777777" w:rsidR="003F2227" w:rsidRPr="00B0658A" w:rsidRDefault="003F2227" w:rsidP="00004A41">
            <w:pPr>
              <w:spacing w:after="0" w:line="240" w:lineRule="auto"/>
              <w:jc w:val="center"/>
              <w:rPr>
                <w:rFonts w:ascii="Times New Roman" w:hAnsi="Times New Roman"/>
                <w:sz w:val="18"/>
                <w:szCs w:val="18"/>
              </w:rPr>
            </w:pPr>
            <w:r w:rsidRPr="00B0658A">
              <w:rPr>
                <w:rFonts w:ascii="Times New Roman" w:hAnsi="Times New Roman"/>
                <w:sz w:val="18"/>
                <w:szCs w:val="18"/>
              </w:rPr>
              <w:t>70%</w:t>
            </w:r>
          </w:p>
        </w:tc>
        <w:tc>
          <w:tcPr>
            <w:tcW w:w="272" w:type="pct"/>
            <w:shd w:val="clear" w:color="000000" w:fill="FFFFFF"/>
            <w:vAlign w:val="center"/>
          </w:tcPr>
          <w:p w14:paraId="7BF3D78B" w14:textId="77777777" w:rsidR="003F2227" w:rsidRPr="00B0658A" w:rsidRDefault="003F2227" w:rsidP="00004A41">
            <w:pPr>
              <w:spacing w:after="0" w:line="240" w:lineRule="auto"/>
              <w:jc w:val="center"/>
              <w:rPr>
                <w:rFonts w:ascii="Times New Roman" w:hAnsi="Times New Roman"/>
                <w:sz w:val="18"/>
                <w:szCs w:val="18"/>
              </w:rPr>
            </w:pPr>
            <w:r w:rsidRPr="00B0658A">
              <w:rPr>
                <w:rFonts w:ascii="Times New Roman" w:hAnsi="Times New Roman"/>
                <w:sz w:val="18"/>
                <w:szCs w:val="18"/>
              </w:rPr>
              <w:t>80%</w:t>
            </w:r>
          </w:p>
        </w:tc>
        <w:tc>
          <w:tcPr>
            <w:tcW w:w="299" w:type="pct"/>
            <w:shd w:val="clear" w:color="000000" w:fill="FFFFFF"/>
            <w:vAlign w:val="center"/>
          </w:tcPr>
          <w:p w14:paraId="54A0F9AA" w14:textId="77777777" w:rsidR="003F2227" w:rsidRPr="00B0658A" w:rsidRDefault="003F2227" w:rsidP="00004A41">
            <w:pPr>
              <w:spacing w:after="0" w:line="240" w:lineRule="auto"/>
              <w:jc w:val="center"/>
              <w:rPr>
                <w:rFonts w:ascii="Times New Roman" w:hAnsi="Times New Roman"/>
                <w:sz w:val="18"/>
                <w:szCs w:val="18"/>
              </w:rPr>
            </w:pPr>
            <w:r w:rsidRPr="00B0658A">
              <w:rPr>
                <w:rFonts w:ascii="Times New Roman" w:hAnsi="Times New Roman"/>
                <w:sz w:val="18"/>
                <w:szCs w:val="18"/>
              </w:rPr>
              <w:t>90%</w:t>
            </w:r>
          </w:p>
        </w:tc>
        <w:tc>
          <w:tcPr>
            <w:tcW w:w="297" w:type="pct"/>
            <w:shd w:val="clear" w:color="000000" w:fill="FFFFFF"/>
            <w:vAlign w:val="center"/>
          </w:tcPr>
          <w:p w14:paraId="3E96C680" w14:textId="77777777" w:rsidR="003F2227" w:rsidRPr="00B0658A" w:rsidRDefault="003F2227" w:rsidP="00004A41">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F52FED" w:rsidRPr="00B0658A" w14:paraId="4446D74C" w14:textId="77777777" w:rsidTr="00FE71B1">
        <w:trPr>
          <w:trHeight w:val="20"/>
        </w:trPr>
        <w:tc>
          <w:tcPr>
            <w:tcW w:w="283" w:type="pct"/>
            <w:shd w:val="clear" w:color="000000" w:fill="FFFFFF"/>
            <w:vAlign w:val="center"/>
          </w:tcPr>
          <w:p w14:paraId="63C46D10" w14:textId="77777777" w:rsidR="003F2227" w:rsidRPr="00B0658A" w:rsidRDefault="003F2227" w:rsidP="00FE71B1">
            <w:pPr>
              <w:spacing w:after="0" w:line="240" w:lineRule="auto"/>
              <w:jc w:val="center"/>
              <w:rPr>
                <w:rFonts w:ascii="Times New Roman" w:hAnsi="Times New Roman"/>
                <w:sz w:val="18"/>
                <w:szCs w:val="18"/>
              </w:rPr>
            </w:pPr>
            <w:r w:rsidRPr="00B0658A">
              <w:rPr>
                <w:rFonts w:ascii="Times New Roman" w:hAnsi="Times New Roman"/>
                <w:sz w:val="18"/>
                <w:szCs w:val="18"/>
              </w:rPr>
              <w:t>1.3</w:t>
            </w:r>
          </w:p>
        </w:tc>
        <w:tc>
          <w:tcPr>
            <w:tcW w:w="1013" w:type="pct"/>
            <w:shd w:val="clear" w:color="auto" w:fill="auto"/>
            <w:vAlign w:val="center"/>
            <w:hideMark/>
          </w:tcPr>
          <w:p w14:paraId="0198E8EA" w14:textId="77777777" w:rsidR="003F2227" w:rsidRPr="00B0658A" w:rsidRDefault="003F2227" w:rsidP="00004A41">
            <w:pPr>
              <w:spacing w:after="0" w:line="240" w:lineRule="auto"/>
              <w:rPr>
                <w:rFonts w:ascii="Times New Roman" w:hAnsi="Times New Roman"/>
                <w:sz w:val="18"/>
                <w:szCs w:val="18"/>
              </w:rPr>
            </w:pPr>
            <w:r w:rsidRPr="00B0658A">
              <w:rPr>
                <w:rFonts w:ascii="Times New Roman" w:hAnsi="Times New Roman"/>
                <w:sz w:val="18"/>
                <w:szCs w:val="18"/>
              </w:rPr>
              <w:t>Встроенное программное обеспечение/ Встроенные прикладные программы</w:t>
            </w:r>
          </w:p>
        </w:tc>
        <w:tc>
          <w:tcPr>
            <w:tcW w:w="704" w:type="pct"/>
            <w:shd w:val="clear" w:color="000000" w:fill="FFFFFF"/>
            <w:hideMark/>
          </w:tcPr>
          <w:p w14:paraId="622C1446" w14:textId="77777777" w:rsidR="003F2227" w:rsidRPr="00B0658A" w:rsidRDefault="003F2227" w:rsidP="00004A41">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03" w:type="pct"/>
            <w:shd w:val="clear" w:color="000000" w:fill="FFFFFF"/>
            <w:vAlign w:val="center"/>
            <w:hideMark/>
          </w:tcPr>
          <w:p w14:paraId="5012B545" w14:textId="77777777" w:rsidR="003F2227" w:rsidRPr="00B0658A" w:rsidRDefault="003F2227" w:rsidP="00004A41">
            <w:pPr>
              <w:spacing w:after="0" w:line="240" w:lineRule="auto"/>
              <w:jc w:val="center"/>
              <w:rPr>
                <w:rFonts w:ascii="Times New Roman" w:hAnsi="Times New Roman"/>
                <w:sz w:val="18"/>
                <w:szCs w:val="18"/>
              </w:rPr>
            </w:pPr>
            <w:r w:rsidRPr="00B0658A">
              <w:rPr>
                <w:rFonts w:ascii="Times New Roman" w:hAnsi="Times New Roman"/>
                <w:sz w:val="18"/>
                <w:szCs w:val="18"/>
              </w:rPr>
              <w:t>20%</w:t>
            </w:r>
          </w:p>
        </w:tc>
        <w:tc>
          <w:tcPr>
            <w:tcW w:w="303" w:type="pct"/>
            <w:shd w:val="clear" w:color="000000" w:fill="FFFFFF"/>
            <w:vAlign w:val="center"/>
            <w:hideMark/>
          </w:tcPr>
          <w:p w14:paraId="78C0F653" w14:textId="77777777" w:rsidR="003F2227" w:rsidRPr="00B0658A" w:rsidRDefault="003F2227" w:rsidP="00004A41">
            <w:pPr>
              <w:spacing w:after="0" w:line="240" w:lineRule="auto"/>
              <w:jc w:val="center"/>
              <w:rPr>
                <w:rFonts w:ascii="Times New Roman" w:hAnsi="Times New Roman"/>
                <w:sz w:val="18"/>
                <w:szCs w:val="18"/>
              </w:rPr>
            </w:pPr>
            <w:r w:rsidRPr="00B0658A">
              <w:rPr>
                <w:rFonts w:ascii="Times New Roman" w:hAnsi="Times New Roman"/>
                <w:sz w:val="18"/>
                <w:szCs w:val="18"/>
              </w:rPr>
              <w:t>30%</w:t>
            </w:r>
          </w:p>
        </w:tc>
        <w:tc>
          <w:tcPr>
            <w:tcW w:w="303" w:type="pct"/>
            <w:shd w:val="clear" w:color="000000" w:fill="FFFFFF"/>
            <w:vAlign w:val="center"/>
            <w:hideMark/>
          </w:tcPr>
          <w:p w14:paraId="1DB6BB53" w14:textId="77777777" w:rsidR="003F2227" w:rsidRPr="00B0658A" w:rsidRDefault="003F2227" w:rsidP="00004A41">
            <w:pPr>
              <w:spacing w:after="0" w:line="240" w:lineRule="auto"/>
              <w:jc w:val="center"/>
              <w:rPr>
                <w:rFonts w:ascii="Times New Roman" w:hAnsi="Times New Roman"/>
                <w:sz w:val="18"/>
                <w:szCs w:val="18"/>
              </w:rPr>
            </w:pPr>
            <w:r w:rsidRPr="00B0658A">
              <w:rPr>
                <w:rFonts w:ascii="Times New Roman" w:hAnsi="Times New Roman"/>
                <w:sz w:val="18"/>
                <w:szCs w:val="18"/>
              </w:rPr>
              <w:t>40%</w:t>
            </w:r>
          </w:p>
        </w:tc>
        <w:tc>
          <w:tcPr>
            <w:tcW w:w="313" w:type="pct"/>
            <w:shd w:val="clear" w:color="000000" w:fill="FFFFFF"/>
            <w:vAlign w:val="center"/>
          </w:tcPr>
          <w:p w14:paraId="063D2BA8" w14:textId="77777777" w:rsidR="003F2227" w:rsidRPr="00B0658A" w:rsidRDefault="003F2227" w:rsidP="00004A41">
            <w:pPr>
              <w:spacing w:after="0" w:line="240" w:lineRule="auto"/>
              <w:jc w:val="center"/>
              <w:rPr>
                <w:rFonts w:ascii="Times New Roman" w:hAnsi="Times New Roman"/>
                <w:sz w:val="18"/>
                <w:szCs w:val="18"/>
              </w:rPr>
            </w:pPr>
            <w:r w:rsidRPr="00B0658A">
              <w:rPr>
                <w:rFonts w:ascii="Times New Roman" w:hAnsi="Times New Roman"/>
                <w:sz w:val="18"/>
                <w:szCs w:val="18"/>
              </w:rPr>
              <w:t>100%</w:t>
            </w:r>
          </w:p>
        </w:tc>
        <w:tc>
          <w:tcPr>
            <w:tcW w:w="303" w:type="pct"/>
            <w:shd w:val="clear" w:color="000000" w:fill="FFFFFF"/>
            <w:vAlign w:val="center"/>
            <w:hideMark/>
          </w:tcPr>
          <w:p w14:paraId="73C090F6" w14:textId="77777777" w:rsidR="003F2227" w:rsidRPr="00B0658A" w:rsidRDefault="003F2227" w:rsidP="00004A41">
            <w:pPr>
              <w:spacing w:after="0" w:line="240" w:lineRule="auto"/>
              <w:jc w:val="center"/>
              <w:rPr>
                <w:rFonts w:ascii="Times New Roman" w:hAnsi="Times New Roman"/>
                <w:sz w:val="18"/>
                <w:szCs w:val="18"/>
              </w:rPr>
            </w:pPr>
            <w:r w:rsidRPr="00B0658A">
              <w:rPr>
                <w:rFonts w:ascii="Times New Roman" w:hAnsi="Times New Roman"/>
                <w:sz w:val="18"/>
                <w:szCs w:val="18"/>
              </w:rPr>
              <w:t>50%</w:t>
            </w:r>
          </w:p>
        </w:tc>
        <w:tc>
          <w:tcPr>
            <w:tcW w:w="303" w:type="pct"/>
            <w:shd w:val="clear" w:color="000000" w:fill="FFFFFF"/>
            <w:vAlign w:val="center"/>
            <w:hideMark/>
          </w:tcPr>
          <w:p w14:paraId="3D8631C4" w14:textId="77777777" w:rsidR="003F2227" w:rsidRPr="00B0658A" w:rsidRDefault="003F2227" w:rsidP="00004A41">
            <w:pPr>
              <w:spacing w:after="0" w:line="240" w:lineRule="auto"/>
              <w:jc w:val="center"/>
              <w:rPr>
                <w:rFonts w:ascii="Times New Roman" w:hAnsi="Times New Roman"/>
                <w:sz w:val="18"/>
                <w:szCs w:val="18"/>
              </w:rPr>
            </w:pPr>
            <w:r w:rsidRPr="00B0658A">
              <w:rPr>
                <w:rFonts w:ascii="Times New Roman" w:hAnsi="Times New Roman"/>
                <w:sz w:val="18"/>
                <w:szCs w:val="18"/>
              </w:rPr>
              <w:t>60%</w:t>
            </w:r>
          </w:p>
        </w:tc>
        <w:tc>
          <w:tcPr>
            <w:tcW w:w="303" w:type="pct"/>
            <w:shd w:val="clear" w:color="000000" w:fill="FFFFFF"/>
            <w:vAlign w:val="center"/>
            <w:hideMark/>
          </w:tcPr>
          <w:p w14:paraId="6030048B" w14:textId="77777777" w:rsidR="003F2227" w:rsidRPr="00B0658A" w:rsidRDefault="003F2227" w:rsidP="00004A41">
            <w:pPr>
              <w:spacing w:after="0" w:line="240" w:lineRule="auto"/>
              <w:jc w:val="center"/>
              <w:rPr>
                <w:rFonts w:ascii="Times New Roman" w:hAnsi="Times New Roman"/>
                <w:sz w:val="18"/>
                <w:szCs w:val="18"/>
              </w:rPr>
            </w:pPr>
            <w:r w:rsidRPr="00B0658A">
              <w:rPr>
                <w:rFonts w:ascii="Times New Roman" w:hAnsi="Times New Roman"/>
                <w:sz w:val="18"/>
                <w:szCs w:val="18"/>
              </w:rPr>
              <w:t>70%</w:t>
            </w:r>
          </w:p>
        </w:tc>
        <w:tc>
          <w:tcPr>
            <w:tcW w:w="272" w:type="pct"/>
            <w:shd w:val="clear" w:color="000000" w:fill="FFFFFF"/>
            <w:vAlign w:val="center"/>
          </w:tcPr>
          <w:p w14:paraId="2D2B2842" w14:textId="77777777" w:rsidR="003F2227" w:rsidRPr="00B0658A" w:rsidRDefault="003F2227" w:rsidP="00004A41">
            <w:pPr>
              <w:spacing w:after="0" w:line="240" w:lineRule="auto"/>
              <w:jc w:val="center"/>
              <w:rPr>
                <w:rFonts w:ascii="Times New Roman" w:hAnsi="Times New Roman"/>
                <w:sz w:val="18"/>
                <w:szCs w:val="18"/>
              </w:rPr>
            </w:pPr>
            <w:r w:rsidRPr="00B0658A">
              <w:rPr>
                <w:rFonts w:ascii="Times New Roman" w:hAnsi="Times New Roman"/>
                <w:sz w:val="18"/>
                <w:szCs w:val="18"/>
              </w:rPr>
              <w:t>80%</w:t>
            </w:r>
          </w:p>
        </w:tc>
        <w:tc>
          <w:tcPr>
            <w:tcW w:w="299" w:type="pct"/>
            <w:shd w:val="clear" w:color="000000" w:fill="FFFFFF"/>
            <w:vAlign w:val="center"/>
          </w:tcPr>
          <w:p w14:paraId="6BB424B2" w14:textId="77777777" w:rsidR="003F2227" w:rsidRPr="00B0658A" w:rsidRDefault="003F2227" w:rsidP="00004A41">
            <w:pPr>
              <w:spacing w:after="0" w:line="240" w:lineRule="auto"/>
              <w:jc w:val="center"/>
              <w:rPr>
                <w:rFonts w:ascii="Times New Roman" w:hAnsi="Times New Roman"/>
                <w:sz w:val="18"/>
                <w:szCs w:val="18"/>
              </w:rPr>
            </w:pPr>
            <w:r w:rsidRPr="00B0658A">
              <w:rPr>
                <w:rFonts w:ascii="Times New Roman" w:hAnsi="Times New Roman"/>
                <w:sz w:val="18"/>
                <w:szCs w:val="18"/>
              </w:rPr>
              <w:t>90%</w:t>
            </w:r>
          </w:p>
        </w:tc>
        <w:tc>
          <w:tcPr>
            <w:tcW w:w="297" w:type="pct"/>
            <w:shd w:val="clear" w:color="000000" w:fill="FFFFFF"/>
            <w:vAlign w:val="center"/>
          </w:tcPr>
          <w:p w14:paraId="78F0ADC2" w14:textId="77777777" w:rsidR="003F2227" w:rsidRPr="00B0658A" w:rsidRDefault="003F2227" w:rsidP="00004A41">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F52FED" w:rsidRPr="00B0658A" w14:paraId="2EBF6879" w14:textId="77777777" w:rsidTr="00FE71B1">
        <w:trPr>
          <w:trHeight w:val="20"/>
        </w:trPr>
        <w:tc>
          <w:tcPr>
            <w:tcW w:w="283" w:type="pct"/>
            <w:shd w:val="clear" w:color="000000" w:fill="FFFFFF"/>
            <w:vAlign w:val="center"/>
          </w:tcPr>
          <w:p w14:paraId="6CBE6722" w14:textId="77777777" w:rsidR="003F2227" w:rsidRPr="00B0658A" w:rsidRDefault="003F2227" w:rsidP="00FE71B1">
            <w:pPr>
              <w:spacing w:after="0" w:line="240" w:lineRule="auto"/>
              <w:jc w:val="center"/>
              <w:rPr>
                <w:rFonts w:ascii="Times New Roman" w:hAnsi="Times New Roman"/>
                <w:sz w:val="18"/>
                <w:szCs w:val="18"/>
              </w:rPr>
            </w:pPr>
            <w:r w:rsidRPr="00B0658A">
              <w:rPr>
                <w:rFonts w:ascii="Times New Roman" w:hAnsi="Times New Roman"/>
                <w:sz w:val="18"/>
                <w:szCs w:val="18"/>
              </w:rPr>
              <w:t>1.4</w:t>
            </w:r>
          </w:p>
        </w:tc>
        <w:tc>
          <w:tcPr>
            <w:tcW w:w="1013" w:type="pct"/>
            <w:shd w:val="clear" w:color="auto" w:fill="auto"/>
            <w:vAlign w:val="center"/>
            <w:hideMark/>
          </w:tcPr>
          <w:p w14:paraId="5F876C1A" w14:textId="77777777" w:rsidR="003F2227" w:rsidRPr="00B0658A" w:rsidRDefault="003F2227" w:rsidP="00004A41">
            <w:pPr>
              <w:spacing w:after="0" w:line="240" w:lineRule="auto"/>
              <w:rPr>
                <w:rFonts w:ascii="Times New Roman" w:hAnsi="Times New Roman"/>
                <w:sz w:val="18"/>
                <w:szCs w:val="18"/>
              </w:rPr>
            </w:pPr>
            <w:r w:rsidRPr="00B0658A">
              <w:rPr>
                <w:rFonts w:ascii="Times New Roman" w:hAnsi="Times New Roman"/>
                <w:sz w:val="18"/>
                <w:szCs w:val="18"/>
              </w:rPr>
              <w:t>Встроенное программное обеспечение/ Программное обеспечение интернета вещей, робототехники и сенсорики</w:t>
            </w:r>
          </w:p>
        </w:tc>
        <w:tc>
          <w:tcPr>
            <w:tcW w:w="704" w:type="pct"/>
            <w:shd w:val="clear" w:color="000000" w:fill="FFFFFF"/>
            <w:hideMark/>
          </w:tcPr>
          <w:p w14:paraId="694AF8E2" w14:textId="77777777" w:rsidR="003F2227" w:rsidRPr="00B0658A" w:rsidRDefault="003F2227" w:rsidP="00004A41">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03" w:type="pct"/>
            <w:shd w:val="clear" w:color="000000" w:fill="FFFFFF"/>
            <w:vAlign w:val="center"/>
            <w:hideMark/>
          </w:tcPr>
          <w:p w14:paraId="7C3AF554" w14:textId="77777777" w:rsidR="003F2227" w:rsidRPr="00B0658A" w:rsidRDefault="003F2227" w:rsidP="00004A41">
            <w:pPr>
              <w:spacing w:after="0" w:line="240" w:lineRule="auto"/>
              <w:jc w:val="center"/>
              <w:rPr>
                <w:rFonts w:ascii="Times New Roman" w:hAnsi="Times New Roman"/>
                <w:sz w:val="18"/>
                <w:szCs w:val="18"/>
              </w:rPr>
            </w:pPr>
            <w:r w:rsidRPr="00B0658A">
              <w:rPr>
                <w:rFonts w:ascii="Times New Roman" w:hAnsi="Times New Roman"/>
                <w:sz w:val="18"/>
                <w:szCs w:val="18"/>
              </w:rPr>
              <w:t>20%</w:t>
            </w:r>
          </w:p>
        </w:tc>
        <w:tc>
          <w:tcPr>
            <w:tcW w:w="303" w:type="pct"/>
            <w:shd w:val="clear" w:color="000000" w:fill="FFFFFF"/>
            <w:vAlign w:val="center"/>
            <w:hideMark/>
          </w:tcPr>
          <w:p w14:paraId="7CE281B0" w14:textId="77777777" w:rsidR="003F2227" w:rsidRPr="00B0658A" w:rsidRDefault="003F2227" w:rsidP="00004A41">
            <w:pPr>
              <w:spacing w:after="0" w:line="240" w:lineRule="auto"/>
              <w:jc w:val="center"/>
              <w:rPr>
                <w:rFonts w:ascii="Times New Roman" w:hAnsi="Times New Roman"/>
                <w:sz w:val="18"/>
                <w:szCs w:val="18"/>
              </w:rPr>
            </w:pPr>
            <w:r w:rsidRPr="00B0658A">
              <w:rPr>
                <w:rFonts w:ascii="Times New Roman" w:hAnsi="Times New Roman"/>
                <w:sz w:val="18"/>
                <w:szCs w:val="18"/>
              </w:rPr>
              <w:t>30%</w:t>
            </w:r>
          </w:p>
        </w:tc>
        <w:tc>
          <w:tcPr>
            <w:tcW w:w="303" w:type="pct"/>
            <w:shd w:val="clear" w:color="000000" w:fill="FFFFFF"/>
            <w:vAlign w:val="center"/>
            <w:hideMark/>
          </w:tcPr>
          <w:p w14:paraId="1896259D" w14:textId="77777777" w:rsidR="003F2227" w:rsidRPr="00B0658A" w:rsidRDefault="003F2227" w:rsidP="00004A41">
            <w:pPr>
              <w:spacing w:after="0" w:line="240" w:lineRule="auto"/>
              <w:jc w:val="center"/>
              <w:rPr>
                <w:rFonts w:ascii="Times New Roman" w:hAnsi="Times New Roman"/>
                <w:sz w:val="18"/>
                <w:szCs w:val="18"/>
              </w:rPr>
            </w:pPr>
            <w:r w:rsidRPr="00B0658A">
              <w:rPr>
                <w:rFonts w:ascii="Times New Roman" w:hAnsi="Times New Roman"/>
                <w:sz w:val="18"/>
                <w:szCs w:val="18"/>
              </w:rPr>
              <w:t>40%</w:t>
            </w:r>
          </w:p>
        </w:tc>
        <w:tc>
          <w:tcPr>
            <w:tcW w:w="313" w:type="pct"/>
            <w:shd w:val="clear" w:color="000000" w:fill="FFFFFF"/>
            <w:vAlign w:val="center"/>
          </w:tcPr>
          <w:p w14:paraId="532DC86F" w14:textId="77777777" w:rsidR="003F2227" w:rsidRPr="00B0658A" w:rsidRDefault="003F2227" w:rsidP="00004A41">
            <w:pPr>
              <w:spacing w:after="0" w:line="240" w:lineRule="auto"/>
              <w:jc w:val="center"/>
              <w:rPr>
                <w:rFonts w:ascii="Times New Roman" w:hAnsi="Times New Roman"/>
                <w:sz w:val="18"/>
                <w:szCs w:val="18"/>
              </w:rPr>
            </w:pPr>
            <w:r w:rsidRPr="00B0658A">
              <w:rPr>
                <w:rFonts w:ascii="Times New Roman" w:hAnsi="Times New Roman"/>
                <w:sz w:val="18"/>
                <w:szCs w:val="18"/>
              </w:rPr>
              <w:t>100%</w:t>
            </w:r>
          </w:p>
        </w:tc>
        <w:tc>
          <w:tcPr>
            <w:tcW w:w="303" w:type="pct"/>
            <w:shd w:val="clear" w:color="000000" w:fill="FFFFFF"/>
            <w:vAlign w:val="center"/>
            <w:hideMark/>
          </w:tcPr>
          <w:p w14:paraId="1E6F2058" w14:textId="77777777" w:rsidR="003F2227" w:rsidRPr="00B0658A" w:rsidRDefault="003F2227" w:rsidP="00004A41">
            <w:pPr>
              <w:spacing w:after="0" w:line="240" w:lineRule="auto"/>
              <w:jc w:val="center"/>
              <w:rPr>
                <w:rFonts w:ascii="Times New Roman" w:hAnsi="Times New Roman"/>
                <w:sz w:val="18"/>
                <w:szCs w:val="18"/>
              </w:rPr>
            </w:pPr>
            <w:r w:rsidRPr="00B0658A">
              <w:rPr>
                <w:rFonts w:ascii="Times New Roman" w:hAnsi="Times New Roman"/>
                <w:sz w:val="18"/>
                <w:szCs w:val="18"/>
              </w:rPr>
              <w:t>50%</w:t>
            </w:r>
          </w:p>
        </w:tc>
        <w:tc>
          <w:tcPr>
            <w:tcW w:w="303" w:type="pct"/>
            <w:shd w:val="clear" w:color="000000" w:fill="FFFFFF"/>
            <w:vAlign w:val="center"/>
            <w:hideMark/>
          </w:tcPr>
          <w:p w14:paraId="28389787" w14:textId="77777777" w:rsidR="003F2227" w:rsidRPr="00B0658A" w:rsidRDefault="003F2227" w:rsidP="00004A41">
            <w:pPr>
              <w:spacing w:after="0" w:line="240" w:lineRule="auto"/>
              <w:jc w:val="center"/>
              <w:rPr>
                <w:rFonts w:ascii="Times New Roman" w:hAnsi="Times New Roman"/>
                <w:sz w:val="18"/>
                <w:szCs w:val="18"/>
              </w:rPr>
            </w:pPr>
            <w:r w:rsidRPr="00B0658A">
              <w:rPr>
                <w:rFonts w:ascii="Times New Roman" w:hAnsi="Times New Roman"/>
                <w:sz w:val="18"/>
                <w:szCs w:val="18"/>
              </w:rPr>
              <w:t>60%</w:t>
            </w:r>
          </w:p>
        </w:tc>
        <w:tc>
          <w:tcPr>
            <w:tcW w:w="303" w:type="pct"/>
            <w:shd w:val="clear" w:color="000000" w:fill="FFFFFF"/>
            <w:vAlign w:val="center"/>
            <w:hideMark/>
          </w:tcPr>
          <w:p w14:paraId="1E19DB6E" w14:textId="77777777" w:rsidR="003F2227" w:rsidRPr="00B0658A" w:rsidRDefault="003F2227" w:rsidP="00004A41">
            <w:pPr>
              <w:spacing w:after="0" w:line="240" w:lineRule="auto"/>
              <w:jc w:val="center"/>
              <w:rPr>
                <w:rFonts w:ascii="Times New Roman" w:hAnsi="Times New Roman"/>
                <w:sz w:val="18"/>
                <w:szCs w:val="18"/>
              </w:rPr>
            </w:pPr>
            <w:r w:rsidRPr="00B0658A">
              <w:rPr>
                <w:rFonts w:ascii="Times New Roman" w:hAnsi="Times New Roman"/>
                <w:sz w:val="18"/>
                <w:szCs w:val="18"/>
              </w:rPr>
              <w:t>70%</w:t>
            </w:r>
          </w:p>
        </w:tc>
        <w:tc>
          <w:tcPr>
            <w:tcW w:w="272" w:type="pct"/>
            <w:shd w:val="clear" w:color="000000" w:fill="FFFFFF"/>
            <w:vAlign w:val="center"/>
          </w:tcPr>
          <w:p w14:paraId="6103C614" w14:textId="77777777" w:rsidR="003F2227" w:rsidRPr="00B0658A" w:rsidRDefault="003F2227" w:rsidP="00004A41">
            <w:pPr>
              <w:spacing w:after="0" w:line="240" w:lineRule="auto"/>
              <w:jc w:val="center"/>
              <w:rPr>
                <w:rFonts w:ascii="Times New Roman" w:hAnsi="Times New Roman"/>
                <w:sz w:val="18"/>
                <w:szCs w:val="18"/>
              </w:rPr>
            </w:pPr>
            <w:r w:rsidRPr="00B0658A">
              <w:rPr>
                <w:rFonts w:ascii="Times New Roman" w:hAnsi="Times New Roman"/>
                <w:sz w:val="18"/>
                <w:szCs w:val="18"/>
              </w:rPr>
              <w:t>80%</w:t>
            </w:r>
          </w:p>
        </w:tc>
        <w:tc>
          <w:tcPr>
            <w:tcW w:w="299" w:type="pct"/>
            <w:shd w:val="clear" w:color="000000" w:fill="FFFFFF"/>
            <w:vAlign w:val="center"/>
          </w:tcPr>
          <w:p w14:paraId="68D2D32A" w14:textId="77777777" w:rsidR="003F2227" w:rsidRPr="00B0658A" w:rsidRDefault="003F2227" w:rsidP="00004A41">
            <w:pPr>
              <w:spacing w:after="0" w:line="240" w:lineRule="auto"/>
              <w:jc w:val="center"/>
              <w:rPr>
                <w:rFonts w:ascii="Times New Roman" w:hAnsi="Times New Roman"/>
                <w:sz w:val="18"/>
                <w:szCs w:val="18"/>
              </w:rPr>
            </w:pPr>
            <w:r w:rsidRPr="00B0658A">
              <w:rPr>
                <w:rFonts w:ascii="Times New Roman" w:hAnsi="Times New Roman"/>
                <w:sz w:val="18"/>
                <w:szCs w:val="18"/>
              </w:rPr>
              <w:t>90%</w:t>
            </w:r>
          </w:p>
        </w:tc>
        <w:tc>
          <w:tcPr>
            <w:tcW w:w="297" w:type="pct"/>
            <w:shd w:val="clear" w:color="000000" w:fill="FFFFFF"/>
            <w:vAlign w:val="center"/>
          </w:tcPr>
          <w:p w14:paraId="7AFBF3A8" w14:textId="77777777" w:rsidR="003F2227" w:rsidRPr="00B0658A" w:rsidRDefault="003F2227" w:rsidP="00004A41">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F52FED" w:rsidRPr="00B0658A" w14:paraId="36CEEFF6" w14:textId="77777777" w:rsidTr="00FE71B1">
        <w:trPr>
          <w:trHeight w:val="20"/>
        </w:trPr>
        <w:tc>
          <w:tcPr>
            <w:tcW w:w="283" w:type="pct"/>
            <w:shd w:val="clear" w:color="auto" w:fill="auto"/>
            <w:vAlign w:val="center"/>
          </w:tcPr>
          <w:p w14:paraId="0017A7ED" w14:textId="77777777" w:rsidR="003F2227" w:rsidRPr="00B0658A" w:rsidRDefault="003F2227" w:rsidP="00FE71B1">
            <w:pPr>
              <w:spacing w:after="0" w:line="240" w:lineRule="auto"/>
              <w:jc w:val="center"/>
              <w:rPr>
                <w:rFonts w:ascii="Times New Roman" w:hAnsi="Times New Roman"/>
                <w:sz w:val="18"/>
                <w:szCs w:val="18"/>
              </w:rPr>
            </w:pPr>
            <w:r w:rsidRPr="00B0658A">
              <w:rPr>
                <w:rFonts w:ascii="Times New Roman" w:hAnsi="Times New Roman"/>
                <w:sz w:val="18"/>
                <w:szCs w:val="18"/>
              </w:rPr>
              <w:t>2.1</w:t>
            </w:r>
          </w:p>
        </w:tc>
        <w:tc>
          <w:tcPr>
            <w:tcW w:w="1013" w:type="pct"/>
            <w:shd w:val="clear" w:color="auto" w:fill="auto"/>
            <w:vAlign w:val="center"/>
            <w:hideMark/>
          </w:tcPr>
          <w:p w14:paraId="2691EAE4" w14:textId="77777777" w:rsidR="003F2227" w:rsidRPr="00B0658A" w:rsidRDefault="003F2227" w:rsidP="00004A41">
            <w:pPr>
              <w:spacing w:after="0" w:line="240" w:lineRule="auto"/>
              <w:rPr>
                <w:rFonts w:ascii="Times New Roman" w:hAnsi="Times New Roman"/>
                <w:sz w:val="18"/>
                <w:szCs w:val="18"/>
              </w:rPr>
            </w:pPr>
            <w:r w:rsidRPr="00B0658A">
              <w:rPr>
                <w:rFonts w:ascii="Times New Roman" w:hAnsi="Times New Roman"/>
                <w:sz w:val="18"/>
                <w:szCs w:val="18"/>
              </w:rPr>
              <w:t>Системное программное обеспечение/ Драйверы</w:t>
            </w:r>
          </w:p>
        </w:tc>
        <w:tc>
          <w:tcPr>
            <w:tcW w:w="704" w:type="pct"/>
            <w:shd w:val="clear" w:color="000000" w:fill="FFFFFF"/>
            <w:hideMark/>
          </w:tcPr>
          <w:p w14:paraId="46ED04B8" w14:textId="77777777" w:rsidR="003F2227" w:rsidRPr="00B0658A" w:rsidRDefault="003F2227" w:rsidP="00004A41">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03" w:type="pct"/>
            <w:shd w:val="clear" w:color="000000" w:fill="FFFFFF"/>
            <w:vAlign w:val="center"/>
            <w:hideMark/>
          </w:tcPr>
          <w:p w14:paraId="0DDAF0CC" w14:textId="77777777" w:rsidR="003F2227" w:rsidRPr="00B0658A" w:rsidRDefault="003F2227" w:rsidP="00004A41">
            <w:pPr>
              <w:spacing w:after="0" w:line="240" w:lineRule="auto"/>
              <w:jc w:val="center"/>
              <w:rPr>
                <w:rFonts w:ascii="Times New Roman" w:hAnsi="Times New Roman"/>
                <w:sz w:val="18"/>
                <w:szCs w:val="18"/>
              </w:rPr>
            </w:pPr>
            <w:r w:rsidRPr="00B0658A">
              <w:rPr>
                <w:rFonts w:ascii="Times New Roman" w:hAnsi="Times New Roman"/>
                <w:sz w:val="18"/>
                <w:szCs w:val="18"/>
              </w:rPr>
              <w:t>20%</w:t>
            </w:r>
          </w:p>
        </w:tc>
        <w:tc>
          <w:tcPr>
            <w:tcW w:w="303" w:type="pct"/>
            <w:shd w:val="clear" w:color="000000" w:fill="FFFFFF"/>
            <w:vAlign w:val="center"/>
            <w:hideMark/>
          </w:tcPr>
          <w:p w14:paraId="23546F71" w14:textId="77777777" w:rsidR="003F2227" w:rsidRPr="00B0658A" w:rsidRDefault="003F2227" w:rsidP="00004A41">
            <w:pPr>
              <w:spacing w:after="0" w:line="240" w:lineRule="auto"/>
              <w:jc w:val="center"/>
              <w:rPr>
                <w:rFonts w:ascii="Times New Roman" w:hAnsi="Times New Roman"/>
                <w:sz w:val="18"/>
                <w:szCs w:val="18"/>
              </w:rPr>
            </w:pPr>
            <w:r w:rsidRPr="00B0658A">
              <w:rPr>
                <w:rFonts w:ascii="Times New Roman" w:hAnsi="Times New Roman"/>
                <w:sz w:val="18"/>
                <w:szCs w:val="18"/>
              </w:rPr>
              <w:t>30%</w:t>
            </w:r>
          </w:p>
        </w:tc>
        <w:tc>
          <w:tcPr>
            <w:tcW w:w="303" w:type="pct"/>
            <w:shd w:val="clear" w:color="000000" w:fill="FFFFFF"/>
            <w:vAlign w:val="center"/>
            <w:hideMark/>
          </w:tcPr>
          <w:p w14:paraId="794417C4" w14:textId="77777777" w:rsidR="003F2227" w:rsidRPr="00B0658A" w:rsidRDefault="003F2227" w:rsidP="00004A41">
            <w:pPr>
              <w:spacing w:after="0" w:line="240" w:lineRule="auto"/>
              <w:jc w:val="center"/>
              <w:rPr>
                <w:rFonts w:ascii="Times New Roman" w:hAnsi="Times New Roman"/>
                <w:sz w:val="18"/>
                <w:szCs w:val="18"/>
              </w:rPr>
            </w:pPr>
            <w:r w:rsidRPr="00B0658A">
              <w:rPr>
                <w:rFonts w:ascii="Times New Roman" w:hAnsi="Times New Roman"/>
                <w:sz w:val="18"/>
                <w:szCs w:val="18"/>
              </w:rPr>
              <w:t>40%</w:t>
            </w:r>
          </w:p>
        </w:tc>
        <w:tc>
          <w:tcPr>
            <w:tcW w:w="313" w:type="pct"/>
            <w:shd w:val="clear" w:color="000000" w:fill="FFFFFF"/>
            <w:vAlign w:val="center"/>
          </w:tcPr>
          <w:p w14:paraId="4450B29D" w14:textId="77777777" w:rsidR="003F2227" w:rsidRPr="00B0658A" w:rsidRDefault="003F2227" w:rsidP="00004A41">
            <w:pPr>
              <w:spacing w:after="0" w:line="240" w:lineRule="auto"/>
              <w:jc w:val="center"/>
              <w:rPr>
                <w:rFonts w:ascii="Times New Roman" w:hAnsi="Times New Roman"/>
                <w:sz w:val="18"/>
                <w:szCs w:val="18"/>
              </w:rPr>
            </w:pPr>
            <w:r w:rsidRPr="00B0658A">
              <w:rPr>
                <w:rFonts w:ascii="Times New Roman" w:hAnsi="Times New Roman"/>
                <w:sz w:val="18"/>
                <w:szCs w:val="18"/>
              </w:rPr>
              <w:t>100%</w:t>
            </w:r>
          </w:p>
        </w:tc>
        <w:tc>
          <w:tcPr>
            <w:tcW w:w="303" w:type="pct"/>
            <w:shd w:val="clear" w:color="000000" w:fill="FFFFFF"/>
            <w:vAlign w:val="center"/>
            <w:hideMark/>
          </w:tcPr>
          <w:p w14:paraId="66E106FA" w14:textId="77777777" w:rsidR="003F2227" w:rsidRPr="00B0658A" w:rsidRDefault="003F2227" w:rsidP="00004A41">
            <w:pPr>
              <w:spacing w:after="0" w:line="240" w:lineRule="auto"/>
              <w:jc w:val="center"/>
              <w:rPr>
                <w:rFonts w:ascii="Times New Roman" w:hAnsi="Times New Roman"/>
                <w:sz w:val="18"/>
                <w:szCs w:val="18"/>
              </w:rPr>
            </w:pPr>
            <w:r w:rsidRPr="00B0658A">
              <w:rPr>
                <w:rFonts w:ascii="Times New Roman" w:hAnsi="Times New Roman"/>
                <w:sz w:val="18"/>
                <w:szCs w:val="18"/>
              </w:rPr>
              <w:t>50%</w:t>
            </w:r>
          </w:p>
        </w:tc>
        <w:tc>
          <w:tcPr>
            <w:tcW w:w="303" w:type="pct"/>
            <w:shd w:val="clear" w:color="000000" w:fill="FFFFFF"/>
            <w:vAlign w:val="center"/>
          </w:tcPr>
          <w:p w14:paraId="61D58BC5" w14:textId="77777777" w:rsidR="003F2227" w:rsidRPr="00B0658A" w:rsidRDefault="003F2227" w:rsidP="00004A41">
            <w:pPr>
              <w:spacing w:after="0" w:line="240" w:lineRule="auto"/>
              <w:jc w:val="center"/>
              <w:rPr>
                <w:rFonts w:ascii="Times New Roman" w:hAnsi="Times New Roman"/>
                <w:sz w:val="18"/>
                <w:szCs w:val="18"/>
              </w:rPr>
            </w:pPr>
            <w:r w:rsidRPr="00B0658A">
              <w:rPr>
                <w:rFonts w:ascii="Times New Roman" w:hAnsi="Times New Roman"/>
                <w:sz w:val="18"/>
                <w:szCs w:val="18"/>
              </w:rPr>
              <w:t>60%</w:t>
            </w:r>
          </w:p>
        </w:tc>
        <w:tc>
          <w:tcPr>
            <w:tcW w:w="303" w:type="pct"/>
            <w:shd w:val="clear" w:color="000000" w:fill="FFFFFF"/>
            <w:vAlign w:val="center"/>
          </w:tcPr>
          <w:p w14:paraId="585FF46F" w14:textId="77777777" w:rsidR="003F2227" w:rsidRPr="00B0658A" w:rsidRDefault="003F2227" w:rsidP="00004A41">
            <w:pPr>
              <w:spacing w:after="0" w:line="240" w:lineRule="auto"/>
              <w:jc w:val="center"/>
              <w:rPr>
                <w:rFonts w:ascii="Times New Roman" w:hAnsi="Times New Roman"/>
                <w:sz w:val="18"/>
                <w:szCs w:val="18"/>
              </w:rPr>
            </w:pPr>
            <w:r w:rsidRPr="00B0658A">
              <w:rPr>
                <w:rFonts w:ascii="Times New Roman" w:hAnsi="Times New Roman"/>
                <w:sz w:val="18"/>
                <w:szCs w:val="18"/>
              </w:rPr>
              <w:t>70%</w:t>
            </w:r>
          </w:p>
        </w:tc>
        <w:tc>
          <w:tcPr>
            <w:tcW w:w="272" w:type="pct"/>
            <w:shd w:val="clear" w:color="000000" w:fill="FFFFFF"/>
            <w:vAlign w:val="center"/>
          </w:tcPr>
          <w:p w14:paraId="7431276E" w14:textId="77777777" w:rsidR="003F2227" w:rsidRPr="00B0658A" w:rsidRDefault="003F2227" w:rsidP="00004A41">
            <w:pPr>
              <w:spacing w:after="0" w:line="240" w:lineRule="auto"/>
              <w:jc w:val="center"/>
              <w:rPr>
                <w:rFonts w:ascii="Times New Roman" w:hAnsi="Times New Roman"/>
                <w:sz w:val="18"/>
                <w:szCs w:val="18"/>
              </w:rPr>
            </w:pPr>
            <w:r w:rsidRPr="00B0658A">
              <w:rPr>
                <w:rFonts w:ascii="Times New Roman" w:hAnsi="Times New Roman"/>
                <w:sz w:val="18"/>
                <w:szCs w:val="18"/>
              </w:rPr>
              <w:t>80%</w:t>
            </w:r>
          </w:p>
        </w:tc>
        <w:tc>
          <w:tcPr>
            <w:tcW w:w="299" w:type="pct"/>
            <w:shd w:val="clear" w:color="000000" w:fill="FFFFFF"/>
            <w:vAlign w:val="center"/>
          </w:tcPr>
          <w:p w14:paraId="1CC29063" w14:textId="77777777" w:rsidR="003F2227" w:rsidRPr="00B0658A" w:rsidRDefault="003F2227" w:rsidP="00004A41">
            <w:pPr>
              <w:spacing w:after="0" w:line="240" w:lineRule="auto"/>
              <w:jc w:val="center"/>
              <w:rPr>
                <w:rFonts w:ascii="Times New Roman" w:hAnsi="Times New Roman"/>
                <w:sz w:val="18"/>
                <w:szCs w:val="18"/>
              </w:rPr>
            </w:pPr>
            <w:r w:rsidRPr="00B0658A">
              <w:rPr>
                <w:rFonts w:ascii="Times New Roman" w:hAnsi="Times New Roman"/>
                <w:sz w:val="18"/>
                <w:szCs w:val="18"/>
              </w:rPr>
              <w:t>90%</w:t>
            </w:r>
          </w:p>
        </w:tc>
        <w:tc>
          <w:tcPr>
            <w:tcW w:w="297" w:type="pct"/>
            <w:shd w:val="clear" w:color="000000" w:fill="FFFFFF"/>
            <w:vAlign w:val="center"/>
          </w:tcPr>
          <w:p w14:paraId="6F29EF51" w14:textId="77777777" w:rsidR="003F2227" w:rsidRPr="00B0658A" w:rsidRDefault="003F2227" w:rsidP="00004A41">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F52FED" w:rsidRPr="00B0658A" w14:paraId="7F47A60E" w14:textId="77777777" w:rsidTr="00FE71B1">
        <w:trPr>
          <w:trHeight w:val="20"/>
        </w:trPr>
        <w:tc>
          <w:tcPr>
            <w:tcW w:w="283" w:type="pct"/>
            <w:shd w:val="clear" w:color="auto" w:fill="auto"/>
            <w:vAlign w:val="center"/>
          </w:tcPr>
          <w:p w14:paraId="3BD87BD2" w14:textId="77777777" w:rsidR="003F2227" w:rsidRPr="00B0658A" w:rsidRDefault="003F2227" w:rsidP="00FE71B1">
            <w:pPr>
              <w:spacing w:after="0" w:line="240" w:lineRule="auto"/>
              <w:jc w:val="center"/>
              <w:rPr>
                <w:rFonts w:ascii="Times New Roman" w:hAnsi="Times New Roman"/>
                <w:sz w:val="18"/>
                <w:szCs w:val="18"/>
              </w:rPr>
            </w:pPr>
            <w:r w:rsidRPr="00B0658A">
              <w:rPr>
                <w:rFonts w:ascii="Times New Roman" w:hAnsi="Times New Roman"/>
                <w:sz w:val="18"/>
                <w:szCs w:val="18"/>
              </w:rPr>
              <w:lastRenderedPageBreak/>
              <w:t>2.2</w:t>
            </w:r>
          </w:p>
        </w:tc>
        <w:tc>
          <w:tcPr>
            <w:tcW w:w="1013" w:type="pct"/>
            <w:shd w:val="clear" w:color="auto" w:fill="auto"/>
            <w:vAlign w:val="center"/>
            <w:hideMark/>
          </w:tcPr>
          <w:p w14:paraId="7B12FDC1" w14:textId="77777777" w:rsidR="003F2227" w:rsidRPr="00B0658A" w:rsidRDefault="003F2227" w:rsidP="00004A41">
            <w:pPr>
              <w:spacing w:after="0" w:line="240" w:lineRule="auto"/>
              <w:rPr>
                <w:rFonts w:ascii="Times New Roman" w:hAnsi="Times New Roman"/>
                <w:sz w:val="18"/>
                <w:szCs w:val="18"/>
              </w:rPr>
            </w:pPr>
            <w:r w:rsidRPr="00B0658A">
              <w:rPr>
                <w:rFonts w:ascii="Times New Roman" w:hAnsi="Times New Roman"/>
                <w:sz w:val="18"/>
                <w:szCs w:val="18"/>
              </w:rPr>
              <w:t>Системное программное обеспечение/ Программы обслуживания</w:t>
            </w:r>
          </w:p>
        </w:tc>
        <w:tc>
          <w:tcPr>
            <w:tcW w:w="704" w:type="pct"/>
            <w:shd w:val="clear" w:color="000000" w:fill="FFFFFF"/>
            <w:hideMark/>
          </w:tcPr>
          <w:p w14:paraId="229DC67B" w14:textId="77777777" w:rsidR="003F2227" w:rsidRPr="00B0658A" w:rsidRDefault="003F2227" w:rsidP="00004A41">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03" w:type="pct"/>
            <w:shd w:val="clear" w:color="000000" w:fill="FFFFFF"/>
            <w:vAlign w:val="center"/>
            <w:hideMark/>
          </w:tcPr>
          <w:p w14:paraId="19D42FC8" w14:textId="77777777" w:rsidR="003F2227" w:rsidRPr="00B0658A" w:rsidRDefault="003F2227" w:rsidP="00004A41">
            <w:pPr>
              <w:spacing w:after="0" w:line="240" w:lineRule="auto"/>
              <w:jc w:val="center"/>
              <w:rPr>
                <w:rFonts w:ascii="Times New Roman" w:hAnsi="Times New Roman"/>
                <w:sz w:val="18"/>
                <w:szCs w:val="18"/>
              </w:rPr>
            </w:pPr>
            <w:r w:rsidRPr="00B0658A">
              <w:rPr>
                <w:rFonts w:ascii="Times New Roman" w:hAnsi="Times New Roman"/>
                <w:sz w:val="18"/>
                <w:szCs w:val="18"/>
              </w:rPr>
              <w:t>20%</w:t>
            </w:r>
          </w:p>
        </w:tc>
        <w:tc>
          <w:tcPr>
            <w:tcW w:w="303" w:type="pct"/>
            <w:shd w:val="clear" w:color="000000" w:fill="FFFFFF"/>
            <w:vAlign w:val="center"/>
            <w:hideMark/>
          </w:tcPr>
          <w:p w14:paraId="7C39CFFD" w14:textId="77777777" w:rsidR="003F2227" w:rsidRPr="00B0658A" w:rsidRDefault="003F2227" w:rsidP="00004A41">
            <w:pPr>
              <w:spacing w:after="0" w:line="240" w:lineRule="auto"/>
              <w:jc w:val="center"/>
              <w:rPr>
                <w:rFonts w:ascii="Times New Roman" w:hAnsi="Times New Roman"/>
                <w:sz w:val="18"/>
                <w:szCs w:val="18"/>
              </w:rPr>
            </w:pPr>
            <w:r w:rsidRPr="00B0658A">
              <w:rPr>
                <w:rFonts w:ascii="Times New Roman" w:hAnsi="Times New Roman"/>
                <w:sz w:val="18"/>
                <w:szCs w:val="18"/>
              </w:rPr>
              <w:t>30%</w:t>
            </w:r>
          </w:p>
        </w:tc>
        <w:tc>
          <w:tcPr>
            <w:tcW w:w="303" w:type="pct"/>
            <w:shd w:val="clear" w:color="000000" w:fill="FFFFFF"/>
            <w:vAlign w:val="center"/>
            <w:hideMark/>
          </w:tcPr>
          <w:p w14:paraId="50ED0FED" w14:textId="77777777" w:rsidR="003F2227" w:rsidRPr="00B0658A" w:rsidRDefault="003F2227" w:rsidP="00004A41">
            <w:pPr>
              <w:spacing w:after="0" w:line="240" w:lineRule="auto"/>
              <w:jc w:val="center"/>
              <w:rPr>
                <w:rFonts w:ascii="Times New Roman" w:hAnsi="Times New Roman"/>
                <w:sz w:val="18"/>
                <w:szCs w:val="18"/>
              </w:rPr>
            </w:pPr>
            <w:r w:rsidRPr="00B0658A">
              <w:rPr>
                <w:rFonts w:ascii="Times New Roman" w:hAnsi="Times New Roman"/>
                <w:sz w:val="18"/>
                <w:szCs w:val="18"/>
              </w:rPr>
              <w:t>40%</w:t>
            </w:r>
          </w:p>
        </w:tc>
        <w:tc>
          <w:tcPr>
            <w:tcW w:w="313" w:type="pct"/>
            <w:shd w:val="clear" w:color="000000" w:fill="FFFFFF"/>
            <w:vAlign w:val="center"/>
          </w:tcPr>
          <w:p w14:paraId="3188CA0B" w14:textId="77777777" w:rsidR="003F2227" w:rsidRPr="00B0658A" w:rsidRDefault="003F2227" w:rsidP="00004A41">
            <w:pPr>
              <w:spacing w:after="0" w:line="240" w:lineRule="auto"/>
              <w:jc w:val="center"/>
              <w:rPr>
                <w:rFonts w:ascii="Times New Roman" w:hAnsi="Times New Roman"/>
                <w:sz w:val="18"/>
                <w:szCs w:val="18"/>
              </w:rPr>
            </w:pPr>
            <w:r w:rsidRPr="00B0658A">
              <w:rPr>
                <w:rFonts w:ascii="Times New Roman" w:hAnsi="Times New Roman"/>
                <w:sz w:val="18"/>
                <w:szCs w:val="18"/>
              </w:rPr>
              <w:t>100%</w:t>
            </w:r>
          </w:p>
        </w:tc>
        <w:tc>
          <w:tcPr>
            <w:tcW w:w="303" w:type="pct"/>
            <w:shd w:val="clear" w:color="000000" w:fill="FFFFFF"/>
            <w:vAlign w:val="center"/>
            <w:hideMark/>
          </w:tcPr>
          <w:p w14:paraId="67BBE4C1" w14:textId="77777777" w:rsidR="003F2227" w:rsidRPr="00B0658A" w:rsidRDefault="003F2227" w:rsidP="00004A41">
            <w:pPr>
              <w:spacing w:after="0" w:line="240" w:lineRule="auto"/>
              <w:jc w:val="center"/>
              <w:rPr>
                <w:rFonts w:ascii="Times New Roman" w:hAnsi="Times New Roman"/>
                <w:sz w:val="18"/>
                <w:szCs w:val="18"/>
              </w:rPr>
            </w:pPr>
            <w:r w:rsidRPr="00B0658A">
              <w:rPr>
                <w:rFonts w:ascii="Times New Roman" w:hAnsi="Times New Roman"/>
                <w:sz w:val="18"/>
                <w:szCs w:val="18"/>
              </w:rPr>
              <w:t>50%</w:t>
            </w:r>
          </w:p>
        </w:tc>
        <w:tc>
          <w:tcPr>
            <w:tcW w:w="303" w:type="pct"/>
            <w:shd w:val="clear" w:color="000000" w:fill="FFFFFF"/>
            <w:vAlign w:val="center"/>
          </w:tcPr>
          <w:p w14:paraId="2E43BB5F" w14:textId="77777777" w:rsidR="003F2227" w:rsidRPr="00B0658A" w:rsidRDefault="003F2227" w:rsidP="00004A41">
            <w:pPr>
              <w:spacing w:after="0" w:line="240" w:lineRule="auto"/>
              <w:jc w:val="center"/>
              <w:rPr>
                <w:rFonts w:ascii="Times New Roman" w:hAnsi="Times New Roman"/>
                <w:sz w:val="18"/>
                <w:szCs w:val="18"/>
              </w:rPr>
            </w:pPr>
            <w:r w:rsidRPr="00B0658A">
              <w:rPr>
                <w:rFonts w:ascii="Times New Roman" w:hAnsi="Times New Roman"/>
                <w:sz w:val="18"/>
                <w:szCs w:val="18"/>
              </w:rPr>
              <w:t>60%</w:t>
            </w:r>
          </w:p>
        </w:tc>
        <w:tc>
          <w:tcPr>
            <w:tcW w:w="303" w:type="pct"/>
            <w:shd w:val="clear" w:color="000000" w:fill="FFFFFF"/>
            <w:vAlign w:val="center"/>
          </w:tcPr>
          <w:p w14:paraId="7777FDA1" w14:textId="77777777" w:rsidR="003F2227" w:rsidRPr="00B0658A" w:rsidRDefault="003F2227" w:rsidP="00004A41">
            <w:pPr>
              <w:spacing w:after="0" w:line="240" w:lineRule="auto"/>
              <w:jc w:val="center"/>
              <w:rPr>
                <w:rFonts w:ascii="Times New Roman" w:hAnsi="Times New Roman"/>
                <w:sz w:val="18"/>
                <w:szCs w:val="18"/>
              </w:rPr>
            </w:pPr>
            <w:r w:rsidRPr="00B0658A">
              <w:rPr>
                <w:rFonts w:ascii="Times New Roman" w:hAnsi="Times New Roman"/>
                <w:sz w:val="18"/>
                <w:szCs w:val="18"/>
              </w:rPr>
              <w:t>70%</w:t>
            </w:r>
          </w:p>
        </w:tc>
        <w:tc>
          <w:tcPr>
            <w:tcW w:w="272" w:type="pct"/>
            <w:shd w:val="clear" w:color="000000" w:fill="FFFFFF"/>
            <w:vAlign w:val="center"/>
          </w:tcPr>
          <w:p w14:paraId="514A0CB0" w14:textId="77777777" w:rsidR="003F2227" w:rsidRPr="00B0658A" w:rsidRDefault="003F2227" w:rsidP="00004A41">
            <w:pPr>
              <w:spacing w:after="0" w:line="240" w:lineRule="auto"/>
              <w:jc w:val="center"/>
              <w:rPr>
                <w:rFonts w:ascii="Times New Roman" w:hAnsi="Times New Roman"/>
                <w:sz w:val="18"/>
                <w:szCs w:val="18"/>
              </w:rPr>
            </w:pPr>
            <w:r w:rsidRPr="00B0658A">
              <w:rPr>
                <w:rFonts w:ascii="Times New Roman" w:hAnsi="Times New Roman"/>
                <w:sz w:val="18"/>
                <w:szCs w:val="18"/>
              </w:rPr>
              <w:t>80%</w:t>
            </w:r>
          </w:p>
        </w:tc>
        <w:tc>
          <w:tcPr>
            <w:tcW w:w="299" w:type="pct"/>
            <w:shd w:val="clear" w:color="000000" w:fill="FFFFFF"/>
            <w:vAlign w:val="center"/>
          </w:tcPr>
          <w:p w14:paraId="20D597E0" w14:textId="77777777" w:rsidR="003F2227" w:rsidRPr="00B0658A" w:rsidRDefault="003F2227" w:rsidP="00004A41">
            <w:pPr>
              <w:spacing w:after="0" w:line="240" w:lineRule="auto"/>
              <w:jc w:val="center"/>
              <w:rPr>
                <w:rFonts w:ascii="Times New Roman" w:hAnsi="Times New Roman"/>
                <w:sz w:val="18"/>
                <w:szCs w:val="18"/>
              </w:rPr>
            </w:pPr>
            <w:r w:rsidRPr="00B0658A">
              <w:rPr>
                <w:rFonts w:ascii="Times New Roman" w:hAnsi="Times New Roman"/>
                <w:sz w:val="18"/>
                <w:szCs w:val="18"/>
              </w:rPr>
              <w:t>90%</w:t>
            </w:r>
          </w:p>
        </w:tc>
        <w:tc>
          <w:tcPr>
            <w:tcW w:w="297" w:type="pct"/>
            <w:shd w:val="clear" w:color="000000" w:fill="FFFFFF"/>
            <w:vAlign w:val="center"/>
          </w:tcPr>
          <w:p w14:paraId="3D304158" w14:textId="77777777" w:rsidR="003F2227" w:rsidRPr="00B0658A" w:rsidRDefault="003F2227" w:rsidP="00004A41">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F52FED" w:rsidRPr="00B0658A" w14:paraId="61B002D5" w14:textId="77777777" w:rsidTr="00FE71B1">
        <w:trPr>
          <w:trHeight w:val="20"/>
        </w:trPr>
        <w:tc>
          <w:tcPr>
            <w:tcW w:w="283" w:type="pct"/>
            <w:shd w:val="clear" w:color="000000" w:fill="FFFFFF"/>
            <w:vAlign w:val="center"/>
          </w:tcPr>
          <w:p w14:paraId="7ABA6629" w14:textId="77777777" w:rsidR="003F2227" w:rsidRPr="00B0658A" w:rsidRDefault="003F2227" w:rsidP="00FE71B1">
            <w:pPr>
              <w:spacing w:after="0" w:line="240" w:lineRule="auto"/>
              <w:jc w:val="center"/>
              <w:rPr>
                <w:rFonts w:ascii="Times New Roman" w:hAnsi="Times New Roman"/>
                <w:sz w:val="18"/>
                <w:szCs w:val="18"/>
                <w:lang w:val="en-US"/>
              </w:rPr>
            </w:pPr>
            <w:r w:rsidRPr="00B0658A">
              <w:rPr>
                <w:rFonts w:ascii="Times New Roman" w:hAnsi="Times New Roman"/>
                <w:sz w:val="18"/>
                <w:szCs w:val="18"/>
                <w:lang w:val="en-US"/>
              </w:rPr>
              <w:t>2.3</w:t>
            </w:r>
          </w:p>
        </w:tc>
        <w:tc>
          <w:tcPr>
            <w:tcW w:w="1013" w:type="pct"/>
            <w:shd w:val="clear" w:color="auto" w:fill="auto"/>
            <w:vAlign w:val="center"/>
            <w:hideMark/>
          </w:tcPr>
          <w:p w14:paraId="5BEE357E" w14:textId="77777777" w:rsidR="003F2227" w:rsidRPr="00B0658A" w:rsidRDefault="003F2227" w:rsidP="00004A41">
            <w:pPr>
              <w:spacing w:after="0" w:line="240" w:lineRule="auto"/>
              <w:rPr>
                <w:rFonts w:ascii="Times New Roman" w:hAnsi="Times New Roman"/>
                <w:sz w:val="18"/>
                <w:szCs w:val="18"/>
              </w:rPr>
            </w:pPr>
            <w:r w:rsidRPr="00B0658A">
              <w:rPr>
                <w:rFonts w:ascii="Times New Roman" w:hAnsi="Times New Roman"/>
                <w:sz w:val="18"/>
                <w:szCs w:val="18"/>
              </w:rPr>
              <w:t>Средства обеспечения облачных и распределенных вычислений</w:t>
            </w:r>
          </w:p>
        </w:tc>
        <w:tc>
          <w:tcPr>
            <w:tcW w:w="704" w:type="pct"/>
            <w:shd w:val="clear" w:color="000000" w:fill="FFFFFF"/>
            <w:hideMark/>
          </w:tcPr>
          <w:p w14:paraId="5C8713B0" w14:textId="77777777" w:rsidR="003F2227" w:rsidRPr="00B0658A" w:rsidRDefault="003F2227" w:rsidP="00004A41">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03" w:type="pct"/>
            <w:shd w:val="clear" w:color="000000" w:fill="FFFFFF"/>
            <w:vAlign w:val="center"/>
            <w:hideMark/>
          </w:tcPr>
          <w:p w14:paraId="450B3CE0" w14:textId="77777777" w:rsidR="003F2227" w:rsidRPr="00B0658A" w:rsidRDefault="003F2227" w:rsidP="00004A41">
            <w:pPr>
              <w:spacing w:after="0" w:line="240" w:lineRule="auto"/>
              <w:jc w:val="center"/>
              <w:rPr>
                <w:rFonts w:ascii="Times New Roman" w:hAnsi="Times New Roman"/>
                <w:sz w:val="18"/>
                <w:szCs w:val="18"/>
              </w:rPr>
            </w:pPr>
            <w:r w:rsidRPr="00B0658A">
              <w:rPr>
                <w:rFonts w:ascii="Times New Roman" w:hAnsi="Times New Roman"/>
                <w:sz w:val="18"/>
                <w:szCs w:val="18"/>
              </w:rPr>
              <w:t>20%</w:t>
            </w:r>
          </w:p>
        </w:tc>
        <w:tc>
          <w:tcPr>
            <w:tcW w:w="303" w:type="pct"/>
            <w:shd w:val="clear" w:color="000000" w:fill="FFFFFF"/>
            <w:vAlign w:val="center"/>
            <w:hideMark/>
          </w:tcPr>
          <w:p w14:paraId="5B2B3377" w14:textId="77777777" w:rsidR="003F2227" w:rsidRPr="00B0658A" w:rsidRDefault="003F2227" w:rsidP="00004A41">
            <w:pPr>
              <w:spacing w:after="0" w:line="240" w:lineRule="auto"/>
              <w:jc w:val="center"/>
              <w:rPr>
                <w:rFonts w:ascii="Times New Roman" w:hAnsi="Times New Roman"/>
                <w:sz w:val="18"/>
                <w:szCs w:val="18"/>
              </w:rPr>
            </w:pPr>
            <w:r w:rsidRPr="00B0658A">
              <w:rPr>
                <w:rFonts w:ascii="Times New Roman" w:hAnsi="Times New Roman"/>
                <w:sz w:val="18"/>
                <w:szCs w:val="18"/>
              </w:rPr>
              <w:t>30%</w:t>
            </w:r>
          </w:p>
        </w:tc>
        <w:tc>
          <w:tcPr>
            <w:tcW w:w="303" w:type="pct"/>
            <w:shd w:val="clear" w:color="000000" w:fill="FFFFFF"/>
            <w:vAlign w:val="center"/>
            <w:hideMark/>
          </w:tcPr>
          <w:p w14:paraId="2362511F" w14:textId="77777777" w:rsidR="003F2227" w:rsidRPr="00B0658A" w:rsidRDefault="003F2227" w:rsidP="00004A41">
            <w:pPr>
              <w:spacing w:after="0" w:line="240" w:lineRule="auto"/>
              <w:jc w:val="center"/>
              <w:rPr>
                <w:rFonts w:ascii="Times New Roman" w:hAnsi="Times New Roman"/>
                <w:sz w:val="18"/>
                <w:szCs w:val="18"/>
              </w:rPr>
            </w:pPr>
            <w:r w:rsidRPr="00B0658A">
              <w:rPr>
                <w:rFonts w:ascii="Times New Roman" w:hAnsi="Times New Roman"/>
                <w:sz w:val="18"/>
                <w:szCs w:val="18"/>
              </w:rPr>
              <w:t>40%</w:t>
            </w:r>
          </w:p>
        </w:tc>
        <w:tc>
          <w:tcPr>
            <w:tcW w:w="313" w:type="pct"/>
            <w:shd w:val="clear" w:color="000000" w:fill="FFFFFF"/>
            <w:vAlign w:val="center"/>
          </w:tcPr>
          <w:p w14:paraId="0DCED387" w14:textId="77777777" w:rsidR="003F2227" w:rsidRPr="00B0658A" w:rsidRDefault="003F2227" w:rsidP="00004A41">
            <w:pPr>
              <w:spacing w:after="0" w:line="240" w:lineRule="auto"/>
              <w:jc w:val="center"/>
              <w:rPr>
                <w:rFonts w:ascii="Times New Roman" w:hAnsi="Times New Roman"/>
                <w:sz w:val="18"/>
                <w:szCs w:val="18"/>
              </w:rPr>
            </w:pPr>
            <w:r w:rsidRPr="00B0658A">
              <w:rPr>
                <w:rFonts w:ascii="Times New Roman" w:hAnsi="Times New Roman"/>
                <w:sz w:val="18"/>
                <w:szCs w:val="18"/>
              </w:rPr>
              <w:t>100%</w:t>
            </w:r>
          </w:p>
        </w:tc>
        <w:tc>
          <w:tcPr>
            <w:tcW w:w="303" w:type="pct"/>
            <w:shd w:val="clear" w:color="000000" w:fill="FFFFFF"/>
            <w:vAlign w:val="center"/>
            <w:hideMark/>
          </w:tcPr>
          <w:p w14:paraId="52959D89" w14:textId="77777777" w:rsidR="003F2227" w:rsidRPr="00B0658A" w:rsidRDefault="003F2227" w:rsidP="00004A41">
            <w:pPr>
              <w:spacing w:after="0" w:line="240" w:lineRule="auto"/>
              <w:jc w:val="center"/>
              <w:rPr>
                <w:rFonts w:ascii="Times New Roman" w:hAnsi="Times New Roman"/>
                <w:sz w:val="18"/>
                <w:szCs w:val="18"/>
              </w:rPr>
            </w:pPr>
            <w:r w:rsidRPr="00B0658A">
              <w:rPr>
                <w:rFonts w:ascii="Times New Roman" w:hAnsi="Times New Roman"/>
                <w:sz w:val="18"/>
                <w:szCs w:val="18"/>
              </w:rPr>
              <w:t>50%</w:t>
            </w:r>
          </w:p>
        </w:tc>
        <w:tc>
          <w:tcPr>
            <w:tcW w:w="303" w:type="pct"/>
            <w:shd w:val="clear" w:color="000000" w:fill="FFFFFF"/>
            <w:vAlign w:val="center"/>
            <w:hideMark/>
          </w:tcPr>
          <w:p w14:paraId="50C97326" w14:textId="77777777" w:rsidR="003F2227" w:rsidRPr="00B0658A" w:rsidRDefault="003F2227" w:rsidP="00004A41">
            <w:pPr>
              <w:spacing w:after="0" w:line="240" w:lineRule="auto"/>
              <w:jc w:val="center"/>
              <w:rPr>
                <w:rFonts w:ascii="Times New Roman" w:hAnsi="Times New Roman"/>
                <w:sz w:val="18"/>
                <w:szCs w:val="18"/>
              </w:rPr>
            </w:pPr>
            <w:r w:rsidRPr="00B0658A">
              <w:rPr>
                <w:rFonts w:ascii="Times New Roman" w:hAnsi="Times New Roman"/>
                <w:sz w:val="18"/>
                <w:szCs w:val="18"/>
              </w:rPr>
              <w:t>60%</w:t>
            </w:r>
          </w:p>
        </w:tc>
        <w:tc>
          <w:tcPr>
            <w:tcW w:w="303" w:type="pct"/>
            <w:shd w:val="clear" w:color="000000" w:fill="FFFFFF"/>
            <w:vAlign w:val="center"/>
            <w:hideMark/>
          </w:tcPr>
          <w:p w14:paraId="5B536599" w14:textId="77777777" w:rsidR="003F2227" w:rsidRPr="00B0658A" w:rsidRDefault="003F2227" w:rsidP="00004A41">
            <w:pPr>
              <w:spacing w:after="0" w:line="240" w:lineRule="auto"/>
              <w:jc w:val="center"/>
              <w:rPr>
                <w:rFonts w:ascii="Times New Roman" w:hAnsi="Times New Roman"/>
                <w:sz w:val="18"/>
                <w:szCs w:val="18"/>
              </w:rPr>
            </w:pPr>
            <w:r w:rsidRPr="00B0658A">
              <w:rPr>
                <w:rFonts w:ascii="Times New Roman" w:hAnsi="Times New Roman"/>
                <w:sz w:val="18"/>
                <w:szCs w:val="18"/>
              </w:rPr>
              <w:t>70%</w:t>
            </w:r>
          </w:p>
        </w:tc>
        <w:tc>
          <w:tcPr>
            <w:tcW w:w="272" w:type="pct"/>
            <w:shd w:val="clear" w:color="000000" w:fill="FFFFFF"/>
            <w:vAlign w:val="center"/>
          </w:tcPr>
          <w:p w14:paraId="296D94E5" w14:textId="77777777" w:rsidR="003F2227" w:rsidRPr="00B0658A" w:rsidRDefault="003F2227" w:rsidP="00004A41">
            <w:pPr>
              <w:spacing w:after="0" w:line="240" w:lineRule="auto"/>
              <w:jc w:val="center"/>
              <w:rPr>
                <w:rFonts w:ascii="Times New Roman" w:hAnsi="Times New Roman"/>
                <w:sz w:val="18"/>
                <w:szCs w:val="18"/>
              </w:rPr>
            </w:pPr>
            <w:r w:rsidRPr="00B0658A">
              <w:rPr>
                <w:rFonts w:ascii="Times New Roman" w:hAnsi="Times New Roman"/>
                <w:sz w:val="18"/>
                <w:szCs w:val="18"/>
              </w:rPr>
              <w:t>80%</w:t>
            </w:r>
          </w:p>
        </w:tc>
        <w:tc>
          <w:tcPr>
            <w:tcW w:w="299" w:type="pct"/>
            <w:shd w:val="clear" w:color="000000" w:fill="FFFFFF"/>
            <w:vAlign w:val="center"/>
          </w:tcPr>
          <w:p w14:paraId="6BF5E7C3" w14:textId="77777777" w:rsidR="003F2227" w:rsidRPr="00B0658A" w:rsidRDefault="003F2227" w:rsidP="00004A41">
            <w:pPr>
              <w:spacing w:after="0" w:line="240" w:lineRule="auto"/>
              <w:jc w:val="center"/>
              <w:rPr>
                <w:rFonts w:ascii="Times New Roman" w:hAnsi="Times New Roman"/>
                <w:sz w:val="18"/>
                <w:szCs w:val="18"/>
              </w:rPr>
            </w:pPr>
            <w:r w:rsidRPr="00B0658A">
              <w:rPr>
                <w:rFonts w:ascii="Times New Roman" w:hAnsi="Times New Roman"/>
                <w:sz w:val="18"/>
                <w:szCs w:val="18"/>
              </w:rPr>
              <w:t>90%</w:t>
            </w:r>
          </w:p>
        </w:tc>
        <w:tc>
          <w:tcPr>
            <w:tcW w:w="297" w:type="pct"/>
            <w:shd w:val="clear" w:color="000000" w:fill="FFFFFF"/>
            <w:vAlign w:val="center"/>
          </w:tcPr>
          <w:p w14:paraId="53C9041F" w14:textId="77777777" w:rsidR="003F2227" w:rsidRPr="00B0658A" w:rsidRDefault="003F2227" w:rsidP="00004A41">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F52FED" w:rsidRPr="00B0658A" w14:paraId="22AAFBEE" w14:textId="77777777" w:rsidTr="00FE71B1">
        <w:trPr>
          <w:trHeight w:val="20"/>
        </w:trPr>
        <w:tc>
          <w:tcPr>
            <w:tcW w:w="283" w:type="pct"/>
            <w:shd w:val="clear" w:color="000000" w:fill="FFFFFF"/>
            <w:vAlign w:val="center"/>
          </w:tcPr>
          <w:p w14:paraId="3869A2F6" w14:textId="77777777" w:rsidR="003F2227" w:rsidRPr="00B0658A" w:rsidRDefault="003F2227" w:rsidP="00FE71B1">
            <w:pPr>
              <w:spacing w:after="0" w:line="240" w:lineRule="auto"/>
              <w:jc w:val="center"/>
              <w:rPr>
                <w:rFonts w:ascii="Times New Roman" w:hAnsi="Times New Roman"/>
                <w:sz w:val="18"/>
                <w:szCs w:val="18"/>
              </w:rPr>
            </w:pPr>
            <w:r w:rsidRPr="00B0658A">
              <w:rPr>
                <w:rFonts w:ascii="Times New Roman" w:hAnsi="Times New Roman"/>
                <w:sz w:val="18"/>
                <w:szCs w:val="18"/>
              </w:rPr>
              <w:t>2.4</w:t>
            </w:r>
          </w:p>
        </w:tc>
        <w:tc>
          <w:tcPr>
            <w:tcW w:w="1013" w:type="pct"/>
            <w:shd w:val="clear" w:color="auto" w:fill="auto"/>
            <w:vAlign w:val="center"/>
            <w:hideMark/>
          </w:tcPr>
          <w:p w14:paraId="479D7B54" w14:textId="77777777" w:rsidR="003F2227" w:rsidRPr="00B0658A" w:rsidRDefault="003F2227" w:rsidP="00004A41">
            <w:pPr>
              <w:spacing w:after="0" w:line="240" w:lineRule="auto"/>
              <w:rPr>
                <w:rFonts w:ascii="Times New Roman" w:hAnsi="Times New Roman"/>
                <w:sz w:val="18"/>
                <w:szCs w:val="18"/>
              </w:rPr>
            </w:pPr>
            <w:r w:rsidRPr="00B0658A">
              <w:rPr>
                <w:rFonts w:ascii="Times New Roman" w:hAnsi="Times New Roman"/>
                <w:sz w:val="18"/>
                <w:szCs w:val="18"/>
              </w:rPr>
              <w:t>Системное программное обеспечение / Средства виртуализации</w:t>
            </w:r>
          </w:p>
        </w:tc>
        <w:tc>
          <w:tcPr>
            <w:tcW w:w="704" w:type="pct"/>
            <w:shd w:val="clear" w:color="000000" w:fill="FFFFFF"/>
            <w:hideMark/>
          </w:tcPr>
          <w:p w14:paraId="7F9115AF" w14:textId="77777777" w:rsidR="003F2227" w:rsidRPr="00B0658A" w:rsidRDefault="003F2227" w:rsidP="00004A41">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03" w:type="pct"/>
            <w:shd w:val="clear" w:color="000000" w:fill="FFFFFF"/>
            <w:vAlign w:val="center"/>
            <w:hideMark/>
          </w:tcPr>
          <w:p w14:paraId="7BF9E869" w14:textId="77777777" w:rsidR="003F2227" w:rsidRPr="00B0658A" w:rsidRDefault="003F2227" w:rsidP="00004A41">
            <w:pPr>
              <w:spacing w:after="0" w:line="240" w:lineRule="auto"/>
              <w:jc w:val="center"/>
              <w:rPr>
                <w:rFonts w:ascii="Times New Roman" w:hAnsi="Times New Roman"/>
                <w:sz w:val="18"/>
                <w:szCs w:val="18"/>
              </w:rPr>
            </w:pPr>
            <w:r w:rsidRPr="00B0658A">
              <w:rPr>
                <w:rFonts w:ascii="Times New Roman" w:hAnsi="Times New Roman"/>
                <w:sz w:val="18"/>
                <w:szCs w:val="18"/>
              </w:rPr>
              <w:t>30%</w:t>
            </w:r>
          </w:p>
        </w:tc>
        <w:tc>
          <w:tcPr>
            <w:tcW w:w="303" w:type="pct"/>
            <w:shd w:val="clear" w:color="000000" w:fill="FFFFFF"/>
            <w:vAlign w:val="center"/>
            <w:hideMark/>
          </w:tcPr>
          <w:p w14:paraId="3D55FE81" w14:textId="77777777" w:rsidR="003F2227" w:rsidRPr="00B0658A" w:rsidRDefault="003F2227" w:rsidP="00004A41">
            <w:pPr>
              <w:spacing w:after="0" w:line="240" w:lineRule="auto"/>
              <w:jc w:val="center"/>
              <w:rPr>
                <w:rFonts w:ascii="Times New Roman" w:hAnsi="Times New Roman"/>
                <w:sz w:val="18"/>
                <w:szCs w:val="18"/>
              </w:rPr>
            </w:pPr>
            <w:r w:rsidRPr="00B0658A">
              <w:rPr>
                <w:rFonts w:ascii="Times New Roman" w:hAnsi="Times New Roman"/>
                <w:sz w:val="18"/>
                <w:szCs w:val="18"/>
              </w:rPr>
              <w:t>40%</w:t>
            </w:r>
          </w:p>
        </w:tc>
        <w:tc>
          <w:tcPr>
            <w:tcW w:w="303" w:type="pct"/>
            <w:shd w:val="clear" w:color="000000" w:fill="FFFFFF"/>
            <w:vAlign w:val="center"/>
            <w:hideMark/>
          </w:tcPr>
          <w:p w14:paraId="2711662B" w14:textId="77777777" w:rsidR="003F2227" w:rsidRPr="00B0658A" w:rsidRDefault="003F2227" w:rsidP="00004A41">
            <w:pPr>
              <w:spacing w:after="0" w:line="240" w:lineRule="auto"/>
              <w:jc w:val="center"/>
              <w:rPr>
                <w:rFonts w:ascii="Times New Roman" w:hAnsi="Times New Roman"/>
                <w:sz w:val="18"/>
                <w:szCs w:val="18"/>
              </w:rPr>
            </w:pPr>
            <w:r w:rsidRPr="00B0658A">
              <w:rPr>
                <w:rFonts w:ascii="Times New Roman" w:hAnsi="Times New Roman"/>
                <w:sz w:val="18"/>
                <w:szCs w:val="18"/>
              </w:rPr>
              <w:t>50%</w:t>
            </w:r>
          </w:p>
        </w:tc>
        <w:tc>
          <w:tcPr>
            <w:tcW w:w="313" w:type="pct"/>
            <w:shd w:val="clear" w:color="000000" w:fill="FFFFFF"/>
            <w:vAlign w:val="center"/>
          </w:tcPr>
          <w:p w14:paraId="61894826" w14:textId="77777777" w:rsidR="003F2227" w:rsidRPr="00B0658A" w:rsidRDefault="003F2227" w:rsidP="00004A41">
            <w:pPr>
              <w:spacing w:after="0" w:line="240" w:lineRule="auto"/>
              <w:jc w:val="center"/>
              <w:rPr>
                <w:rFonts w:ascii="Times New Roman" w:hAnsi="Times New Roman"/>
                <w:sz w:val="18"/>
                <w:szCs w:val="18"/>
              </w:rPr>
            </w:pPr>
            <w:r w:rsidRPr="00B0658A">
              <w:rPr>
                <w:rFonts w:ascii="Times New Roman" w:hAnsi="Times New Roman"/>
                <w:sz w:val="18"/>
                <w:szCs w:val="18"/>
              </w:rPr>
              <w:t>100%</w:t>
            </w:r>
          </w:p>
        </w:tc>
        <w:tc>
          <w:tcPr>
            <w:tcW w:w="303" w:type="pct"/>
            <w:shd w:val="clear" w:color="000000" w:fill="FFFFFF"/>
            <w:vAlign w:val="center"/>
            <w:hideMark/>
          </w:tcPr>
          <w:p w14:paraId="6AA1D369" w14:textId="77777777" w:rsidR="003F2227" w:rsidRPr="00B0658A" w:rsidRDefault="003F2227" w:rsidP="00004A41">
            <w:pPr>
              <w:spacing w:after="0" w:line="240" w:lineRule="auto"/>
              <w:jc w:val="center"/>
              <w:rPr>
                <w:rFonts w:ascii="Times New Roman" w:hAnsi="Times New Roman"/>
                <w:sz w:val="18"/>
                <w:szCs w:val="18"/>
              </w:rPr>
            </w:pPr>
            <w:r w:rsidRPr="00B0658A">
              <w:rPr>
                <w:rFonts w:ascii="Times New Roman" w:hAnsi="Times New Roman"/>
                <w:sz w:val="18"/>
                <w:szCs w:val="18"/>
              </w:rPr>
              <w:t>60%</w:t>
            </w:r>
          </w:p>
        </w:tc>
        <w:tc>
          <w:tcPr>
            <w:tcW w:w="303" w:type="pct"/>
            <w:shd w:val="clear" w:color="000000" w:fill="FFFFFF"/>
            <w:vAlign w:val="center"/>
            <w:hideMark/>
          </w:tcPr>
          <w:p w14:paraId="5D385BC7" w14:textId="77777777" w:rsidR="003F2227" w:rsidRPr="00B0658A" w:rsidRDefault="003F2227" w:rsidP="00004A41">
            <w:pPr>
              <w:spacing w:after="0" w:line="240" w:lineRule="auto"/>
              <w:jc w:val="center"/>
              <w:rPr>
                <w:rFonts w:ascii="Times New Roman" w:hAnsi="Times New Roman"/>
                <w:sz w:val="18"/>
                <w:szCs w:val="18"/>
              </w:rPr>
            </w:pPr>
            <w:r w:rsidRPr="00B0658A">
              <w:rPr>
                <w:rFonts w:ascii="Times New Roman" w:hAnsi="Times New Roman"/>
                <w:sz w:val="18"/>
                <w:szCs w:val="18"/>
              </w:rPr>
              <w:t>70%</w:t>
            </w:r>
          </w:p>
        </w:tc>
        <w:tc>
          <w:tcPr>
            <w:tcW w:w="303" w:type="pct"/>
            <w:shd w:val="clear" w:color="000000" w:fill="FFFFFF"/>
            <w:vAlign w:val="center"/>
            <w:hideMark/>
          </w:tcPr>
          <w:p w14:paraId="5625CC11" w14:textId="77777777" w:rsidR="003F2227" w:rsidRPr="00B0658A" w:rsidRDefault="003F2227" w:rsidP="00004A41">
            <w:pPr>
              <w:spacing w:after="0" w:line="240" w:lineRule="auto"/>
              <w:jc w:val="center"/>
              <w:rPr>
                <w:rFonts w:ascii="Times New Roman" w:hAnsi="Times New Roman"/>
                <w:sz w:val="18"/>
                <w:szCs w:val="18"/>
              </w:rPr>
            </w:pPr>
            <w:r w:rsidRPr="00B0658A">
              <w:rPr>
                <w:rFonts w:ascii="Times New Roman" w:hAnsi="Times New Roman"/>
                <w:sz w:val="18"/>
                <w:szCs w:val="18"/>
              </w:rPr>
              <w:t>80%</w:t>
            </w:r>
          </w:p>
        </w:tc>
        <w:tc>
          <w:tcPr>
            <w:tcW w:w="272" w:type="pct"/>
            <w:shd w:val="clear" w:color="000000" w:fill="FFFFFF"/>
            <w:vAlign w:val="center"/>
          </w:tcPr>
          <w:p w14:paraId="03127BCD" w14:textId="77777777" w:rsidR="003F2227" w:rsidRPr="00B0658A" w:rsidRDefault="003F2227" w:rsidP="00004A41">
            <w:pPr>
              <w:spacing w:after="0" w:line="240" w:lineRule="auto"/>
              <w:jc w:val="center"/>
              <w:rPr>
                <w:rFonts w:ascii="Times New Roman" w:hAnsi="Times New Roman"/>
                <w:sz w:val="18"/>
                <w:szCs w:val="18"/>
              </w:rPr>
            </w:pPr>
            <w:r w:rsidRPr="00B0658A">
              <w:rPr>
                <w:rFonts w:ascii="Times New Roman" w:hAnsi="Times New Roman"/>
                <w:sz w:val="18"/>
                <w:szCs w:val="18"/>
              </w:rPr>
              <w:t>90%</w:t>
            </w:r>
          </w:p>
        </w:tc>
        <w:tc>
          <w:tcPr>
            <w:tcW w:w="299" w:type="pct"/>
            <w:shd w:val="clear" w:color="000000" w:fill="FFFFFF"/>
            <w:vAlign w:val="center"/>
          </w:tcPr>
          <w:p w14:paraId="77240FDB" w14:textId="77777777" w:rsidR="003F2227" w:rsidRPr="00B0658A" w:rsidRDefault="003F2227" w:rsidP="00004A41">
            <w:pPr>
              <w:spacing w:after="0" w:line="240" w:lineRule="auto"/>
              <w:jc w:val="center"/>
              <w:rPr>
                <w:rFonts w:ascii="Times New Roman" w:hAnsi="Times New Roman"/>
                <w:sz w:val="18"/>
                <w:szCs w:val="18"/>
              </w:rPr>
            </w:pPr>
            <w:r w:rsidRPr="00B0658A">
              <w:rPr>
                <w:rFonts w:ascii="Times New Roman" w:hAnsi="Times New Roman"/>
                <w:sz w:val="18"/>
                <w:szCs w:val="18"/>
              </w:rPr>
              <w:t>100%</w:t>
            </w:r>
          </w:p>
        </w:tc>
        <w:tc>
          <w:tcPr>
            <w:tcW w:w="297" w:type="pct"/>
            <w:shd w:val="clear" w:color="000000" w:fill="FFFFFF"/>
            <w:vAlign w:val="center"/>
          </w:tcPr>
          <w:p w14:paraId="3D814118" w14:textId="77777777" w:rsidR="003F2227" w:rsidRPr="00B0658A" w:rsidRDefault="003F2227" w:rsidP="00004A41">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F52FED" w:rsidRPr="00B0658A" w14:paraId="4B699AFF" w14:textId="77777777" w:rsidTr="00FE71B1">
        <w:trPr>
          <w:trHeight w:val="20"/>
        </w:trPr>
        <w:tc>
          <w:tcPr>
            <w:tcW w:w="283" w:type="pct"/>
            <w:shd w:val="clear" w:color="000000" w:fill="FFFFFF"/>
            <w:vAlign w:val="center"/>
          </w:tcPr>
          <w:p w14:paraId="148F9482" w14:textId="77777777" w:rsidR="003F2227" w:rsidRPr="00B0658A" w:rsidRDefault="003F2227" w:rsidP="00FE71B1">
            <w:pPr>
              <w:spacing w:after="0" w:line="240" w:lineRule="auto"/>
              <w:jc w:val="center"/>
              <w:rPr>
                <w:rFonts w:ascii="Times New Roman" w:hAnsi="Times New Roman"/>
                <w:sz w:val="18"/>
                <w:szCs w:val="18"/>
              </w:rPr>
            </w:pPr>
            <w:r w:rsidRPr="00B0658A">
              <w:rPr>
                <w:rFonts w:ascii="Times New Roman" w:hAnsi="Times New Roman"/>
                <w:sz w:val="18"/>
                <w:szCs w:val="18"/>
              </w:rPr>
              <w:t>2.5</w:t>
            </w:r>
          </w:p>
        </w:tc>
        <w:tc>
          <w:tcPr>
            <w:tcW w:w="1013" w:type="pct"/>
            <w:shd w:val="clear" w:color="auto" w:fill="auto"/>
            <w:vAlign w:val="center"/>
            <w:hideMark/>
          </w:tcPr>
          <w:p w14:paraId="6340F7CC" w14:textId="77777777" w:rsidR="003F2227" w:rsidRPr="00B0658A" w:rsidRDefault="003F2227" w:rsidP="00004A41">
            <w:pPr>
              <w:spacing w:after="0" w:line="240" w:lineRule="auto"/>
              <w:rPr>
                <w:rFonts w:ascii="Times New Roman" w:hAnsi="Times New Roman"/>
                <w:sz w:val="18"/>
                <w:szCs w:val="18"/>
              </w:rPr>
            </w:pPr>
            <w:r w:rsidRPr="00B0658A">
              <w:rPr>
                <w:rFonts w:ascii="Times New Roman" w:hAnsi="Times New Roman"/>
                <w:sz w:val="18"/>
                <w:szCs w:val="18"/>
              </w:rPr>
              <w:t>Системное программное обеспечение/ Средства хранения данных</w:t>
            </w:r>
          </w:p>
        </w:tc>
        <w:tc>
          <w:tcPr>
            <w:tcW w:w="704" w:type="pct"/>
            <w:shd w:val="clear" w:color="000000" w:fill="FFFFFF"/>
            <w:hideMark/>
          </w:tcPr>
          <w:p w14:paraId="4E6F2C45" w14:textId="77777777" w:rsidR="003F2227" w:rsidRPr="00B0658A" w:rsidRDefault="003F2227" w:rsidP="00004A41">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03" w:type="pct"/>
            <w:shd w:val="clear" w:color="000000" w:fill="FFFFFF"/>
            <w:vAlign w:val="center"/>
            <w:hideMark/>
          </w:tcPr>
          <w:p w14:paraId="1A0220C5" w14:textId="77777777" w:rsidR="003F2227" w:rsidRPr="00B0658A" w:rsidRDefault="003F2227" w:rsidP="00004A41">
            <w:pPr>
              <w:spacing w:after="0" w:line="240" w:lineRule="auto"/>
              <w:jc w:val="center"/>
              <w:rPr>
                <w:rFonts w:ascii="Times New Roman" w:hAnsi="Times New Roman"/>
                <w:sz w:val="18"/>
                <w:szCs w:val="18"/>
              </w:rPr>
            </w:pPr>
            <w:r w:rsidRPr="00B0658A">
              <w:rPr>
                <w:rFonts w:ascii="Times New Roman" w:hAnsi="Times New Roman"/>
                <w:sz w:val="18"/>
                <w:szCs w:val="18"/>
              </w:rPr>
              <w:t>20%</w:t>
            </w:r>
          </w:p>
        </w:tc>
        <w:tc>
          <w:tcPr>
            <w:tcW w:w="303" w:type="pct"/>
            <w:shd w:val="clear" w:color="000000" w:fill="FFFFFF"/>
            <w:vAlign w:val="center"/>
            <w:hideMark/>
          </w:tcPr>
          <w:p w14:paraId="5EAFE6E7" w14:textId="77777777" w:rsidR="003F2227" w:rsidRPr="00B0658A" w:rsidRDefault="003F2227" w:rsidP="00004A41">
            <w:pPr>
              <w:spacing w:after="0" w:line="240" w:lineRule="auto"/>
              <w:jc w:val="center"/>
              <w:rPr>
                <w:rFonts w:ascii="Times New Roman" w:hAnsi="Times New Roman"/>
                <w:sz w:val="18"/>
                <w:szCs w:val="18"/>
              </w:rPr>
            </w:pPr>
            <w:r w:rsidRPr="00B0658A">
              <w:rPr>
                <w:rFonts w:ascii="Times New Roman" w:hAnsi="Times New Roman"/>
                <w:sz w:val="18"/>
                <w:szCs w:val="18"/>
              </w:rPr>
              <w:t>30%</w:t>
            </w:r>
          </w:p>
        </w:tc>
        <w:tc>
          <w:tcPr>
            <w:tcW w:w="303" w:type="pct"/>
            <w:shd w:val="clear" w:color="000000" w:fill="FFFFFF"/>
            <w:vAlign w:val="center"/>
            <w:hideMark/>
          </w:tcPr>
          <w:p w14:paraId="1D3A14BF" w14:textId="77777777" w:rsidR="003F2227" w:rsidRPr="00B0658A" w:rsidRDefault="003F2227" w:rsidP="00004A41">
            <w:pPr>
              <w:spacing w:after="0" w:line="240" w:lineRule="auto"/>
              <w:jc w:val="center"/>
              <w:rPr>
                <w:rFonts w:ascii="Times New Roman" w:hAnsi="Times New Roman"/>
                <w:sz w:val="18"/>
                <w:szCs w:val="18"/>
              </w:rPr>
            </w:pPr>
            <w:r w:rsidRPr="00B0658A">
              <w:rPr>
                <w:rFonts w:ascii="Times New Roman" w:hAnsi="Times New Roman"/>
                <w:sz w:val="18"/>
                <w:szCs w:val="18"/>
              </w:rPr>
              <w:t>40%</w:t>
            </w:r>
          </w:p>
        </w:tc>
        <w:tc>
          <w:tcPr>
            <w:tcW w:w="313" w:type="pct"/>
            <w:shd w:val="clear" w:color="000000" w:fill="FFFFFF"/>
            <w:vAlign w:val="center"/>
          </w:tcPr>
          <w:p w14:paraId="583A9B48" w14:textId="77777777" w:rsidR="003F2227" w:rsidRPr="00B0658A" w:rsidRDefault="003F2227" w:rsidP="00004A41">
            <w:pPr>
              <w:spacing w:after="0" w:line="240" w:lineRule="auto"/>
              <w:jc w:val="center"/>
              <w:rPr>
                <w:rFonts w:ascii="Times New Roman" w:hAnsi="Times New Roman"/>
                <w:sz w:val="18"/>
                <w:szCs w:val="18"/>
              </w:rPr>
            </w:pPr>
            <w:r w:rsidRPr="00B0658A">
              <w:rPr>
                <w:rFonts w:ascii="Times New Roman" w:hAnsi="Times New Roman"/>
                <w:sz w:val="18"/>
                <w:szCs w:val="18"/>
              </w:rPr>
              <w:t>100%</w:t>
            </w:r>
          </w:p>
        </w:tc>
        <w:tc>
          <w:tcPr>
            <w:tcW w:w="303" w:type="pct"/>
            <w:shd w:val="clear" w:color="000000" w:fill="FFFFFF"/>
            <w:vAlign w:val="center"/>
            <w:hideMark/>
          </w:tcPr>
          <w:p w14:paraId="5B640653" w14:textId="77777777" w:rsidR="003F2227" w:rsidRPr="00B0658A" w:rsidRDefault="003F2227" w:rsidP="00004A41">
            <w:pPr>
              <w:spacing w:after="0" w:line="240" w:lineRule="auto"/>
              <w:jc w:val="center"/>
              <w:rPr>
                <w:rFonts w:ascii="Times New Roman" w:hAnsi="Times New Roman"/>
                <w:sz w:val="18"/>
                <w:szCs w:val="18"/>
              </w:rPr>
            </w:pPr>
            <w:r w:rsidRPr="00B0658A">
              <w:rPr>
                <w:rFonts w:ascii="Times New Roman" w:hAnsi="Times New Roman"/>
                <w:sz w:val="18"/>
                <w:szCs w:val="18"/>
              </w:rPr>
              <w:t>55%</w:t>
            </w:r>
          </w:p>
        </w:tc>
        <w:tc>
          <w:tcPr>
            <w:tcW w:w="303" w:type="pct"/>
            <w:shd w:val="clear" w:color="000000" w:fill="FFFFFF"/>
            <w:vAlign w:val="center"/>
            <w:hideMark/>
          </w:tcPr>
          <w:p w14:paraId="275390F2" w14:textId="77777777" w:rsidR="003F2227" w:rsidRPr="00B0658A" w:rsidRDefault="003F2227" w:rsidP="00004A41">
            <w:pPr>
              <w:spacing w:after="0" w:line="240" w:lineRule="auto"/>
              <w:jc w:val="center"/>
              <w:rPr>
                <w:rFonts w:ascii="Times New Roman" w:hAnsi="Times New Roman"/>
                <w:sz w:val="18"/>
                <w:szCs w:val="18"/>
              </w:rPr>
            </w:pPr>
            <w:r w:rsidRPr="00B0658A">
              <w:rPr>
                <w:rFonts w:ascii="Times New Roman" w:hAnsi="Times New Roman"/>
                <w:sz w:val="18"/>
                <w:szCs w:val="18"/>
              </w:rPr>
              <w:t>70%</w:t>
            </w:r>
          </w:p>
        </w:tc>
        <w:tc>
          <w:tcPr>
            <w:tcW w:w="303" w:type="pct"/>
            <w:shd w:val="clear" w:color="000000" w:fill="FFFFFF"/>
            <w:vAlign w:val="center"/>
            <w:hideMark/>
          </w:tcPr>
          <w:p w14:paraId="4BEC51E1" w14:textId="77777777" w:rsidR="003F2227" w:rsidRPr="00B0658A" w:rsidRDefault="003F2227" w:rsidP="00004A41">
            <w:pPr>
              <w:spacing w:after="0" w:line="240" w:lineRule="auto"/>
              <w:jc w:val="center"/>
              <w:rPr>
                <w:rFonts w:ascii="Times New Roman" w:hAnsi="Times New Roman"/>
                <w:sz w:val="18"/>
                <w:szCs w:val="18"/>
              </w:rPr>
            </w:pPr>
            <w:r w:rsidRPr="00B0658A">
              <w:rPr>
                <w:rFonts w:ascii="Times New Roman" w:hAnsi="Times New Roman"/>
                <w:sz w:val="18"/>
                <w:szCs w:val="18"/>
              </w:rPr>
              <w:t>80%</w:t>
            </w:r>
          </w:p>
        </w:tc>
        <w:tc>
          <w:tcPr>
            <w:tcW w:w="272" w:type="pct"/>
            <w:shd w:val="clear" w:color="000000" w:fill="FFFFFF"/>
            <w:vAlign w:val="center"/>
          </w:tcPr>
          <w:p w14:paraId="440E06E5" w14:textId="77777777" w:rsidR="003F2227" w:rsidRPr="00B0658A" w:rsidRDefault="003F2227" w:rsidP="00004A41">
            <w:pPr>
              <w:spacing w:after="0" w:line="240" w:lineRule="auto"/>
              <w:jc w:val="center"/>
              <w:rPr>
                <w:rFonts w:ascii="Times New Roman" w:hAnsi="Times New Roman"/>
                <w:sz w:val="18"/>
                <w:szCs w:val="18"/>
              </w:rPr>
            </w:pPr>
            <w:r w:rsidRPr="00B0658A">
              <w:rPr>
                <w:rFonts w:ascii="Times New Roman" w:hAnsi="Times New Roman"/>
                <w:sz w:val="18"/>
                <w:szCs w:val="18"/>
              </w:rPr>
              <w:t>90%</w:t>
            </w:r>
          </w:p>
        </w:tc>
        <w:tc>
          <w:tcPr>
            <w:tcW w:w="299" w:type="pct"/>
            <w:shd w:val="clear" w:color="000000" w:fill="FFFFFF"/>
            <w:vAlign w:val="center"/>
          </w:tcPr>
          <w:p w14:paraId="692B5715" w14:textId="77777777" w:rsidR="003F2227" w:rsidRPr="00B0658A" w:rsidRDefault="003F2227" w:rsidP="00004A41">
            <w:pPr>
              <w:spacing w:after="0" w:line="240" w:lineRule="auto"/>
              <w:jc w:val="center"/>
              <w:rPr>
                <w:rFonts w:ascii="Times New Roman" w:hAnsi="Times New Roman"/>
                <w:sz w:val="18"/>
                <w:szCs w:val="18"/>
              </w:rPr>
            </w:pPr>
            <w:r w:rsidRPr="00B0658A">
              <w:rPr>
                <w:rFonts w:ascii="Times New Roman" w:hAnsi="Times New Roman"/>
                <w:sz w:val="18"/>
                <w:szCs w:val="18"/>
              </w:rPr>
              <w:t>100%</w:t>
            </w:r>
          </w:p>
        </w:tc>
        <w:tc>
          <w:tcPr>
            <w:tcW w:w="297" w:type="pct"/>
            <w:shd w:val="clear" w:color="000000" w:fill="FFFFFF"/>
            <w:vAlign w:val="center"/>
          </w:tcPr>
          <w:p w14:paraId="3EB89CF1" w14:textId="77777777" w:rsidR="003F2227" w:rsidRPr="00B0658A" w:rsidRDefault="003F2227" w:rsidP="00004A41">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F52FED" w:rsidRPr="00B0658A" w14:paraId="0E2B02FF" w14:textId="77777777" w:rsidTr="00FE71B1">
        <w:trPr>
          <w:trHeight w:val="20"/>
        </w:trPr>
        <w:tc>
          <w:tcPr>
            <w:tcW w:w="283" w:type="pct"/>
            <w:shd w:val="clear" w:color="000000" w:fill="FFFFFF"/>
            <w:vAlign w:val="center"/>
          </w:tcPr>
          <w:p w14:paraId="2D6C137C" w14:textId="77777777" w:rsidR="003F2227" w:rsidRPr="00B0658A" w:rsidRDefault="003F2227" w:rsidP="00FE71B1">
            <w:pPr>
              <w:spacing w:after="0" w:line="240" w:lineRule="auto"/>
              <w:jc w:val="center"/>
              <w:rPr>
                <w:rFonts w:ascii="Times New Roman" w:hAnsi="Times New Roman"/>
                <w:sz w:val="18"/>
                <w:szCs w:val="18"/>
              </w:rPr>
            </w:pPr>
            <w:r w:rsidRPr="00B0658A">
              <w:rPr>
                <w:rFonts w:ascii="Times New Roman" w:hAnsi="Times New Roman"/>
                <w:sz w:val="18"/>
                <w:szCs w:val="18"/>
              </w:rPr>
              <w:t>2.6</w:t>
            </w:r>
          </w:p>
        </w:tc>
        <w:tc>
          <w:tcPr>
            <w:tcW w:w="1013" w:type="pct"/>
            <w:shd w:val="clear" w:color="auto" w:fill="auto"/>
            <w:vAlign w:val="center"/>
            <w:hideMark/>
          </w:tcPr>
          <w:p w14:paraId="263456A3" w14:textId="77777777" w:rsidR="003F2227" w:rsidRPr="00B0658A" w:rsidRDefault="003F2227" w:rsidP="00004A41">
            <w:pPr>
              <w:spacing w:after="0" w:line="240" w:lineRule="auto"/>
              <w:rPr>
                <w:rFonts w:ascii="Times New Roman" w:hAnsi="Times New Roman"/>
                <w:sz w:val="18"/>
                <w:szCs w:val="18"/>
              </w:rPr>
            </w:pPr>
            <w:r w:rsidRPr="00B0658A">
              <w:rPr>
                <w:rFonts w:ascii="Times New Roman" w:hAnsi="Times New Roman"/>
                <w:sz w:val="18"/>
                <w:szCs w:val="18"/>
              </w:rPr>
              <w:t>Системное программное обеспечение / Серверное и связующее программное обеспечение</w:t>
            </w:r>
          </w:p>
        </w:tc>
        <w:tc>
          <w:tcPr>
            <w:tcW w:w="704" w:type="pct"/>
            <w:shd w:val="clear" w:color="000000" w:fill="FFFFFF"/>
            <w:hideMark/>
          </w:tcPr>
          <w:p w14:paraId="40EC75D8" w14:textId="77777777" w:rsidR="003F2227" w:rsidRPr="00B0658A" w:rsidRDefault="003F2227" w:rsidP="00004A41">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03" w:type="pct"/>
            <w:shd w:val="clear" w:color="000000" w:fill="FFFFFF"/>
            <w:vAlign w:val="center"/>
            <w:hideMark/>
          </w:tcPr>
          <w:p w14:paraId="4A71B603" w14:textId="77777777" w:rsidR="003F2227" w:rsidRPr="00B0658A" w:rsidRDefault="003F2227" w:rsidP="00004A41">
            <w:pPr>
              <w:spacing w:after="0" w:line="240" w:lineRule="auto"/>
              <w:jc w:val="center"/>
              <w:rPr>
                <w:rFonts w:ascii="Times New Roman" w:hAnsi="Times New Roman"/>
                <w:sz w:val="18"/>
                <w:szCs w:val="18"/>
              </w:rPr>
            </w:pPr>
            <w:r w:rsidRPr="00B0658A">
              <w:rPr>
                <w:rFonts w:ascii="Times New Roman" w:hAnsi="Times New Roman"/>
                <w:sz w:val="18"/>
                <w:szCs w:val="18"/>
              </w:rPr>
              <w:t>20%</w:t>
            </w:r>
          </w:p>
        </w:tc>
        <w:tc>
          <w:tcPr>
            <w:tcW w:w="303" w:type="pct"/>
            <w:shd w:val="clear" w:color="000000" w:fill="FFFFFF"/>
            <w:vAlign w:val="center"/>
            <w:hideMark/>
          </w:tcPr>
          <w:p w14:paraId="07606311" w14:textId="77777777" w:rsidR="003F2227" w:rsidRPr="00B0658A" w:rsidRDefault="003F2227" w:rsidP="00004A41">
            <w:pPr>
              <w:spacing w:after="0" w:line="240" w:lineRule="auto"/>
              <w:jc w:val="center"/>
              <w:rPr>
                <w:rFonts w:ascii="Times New Roman" w:hAnsi="Times New Roman"/>
                <w:sz w:val="18"/>
                <w:szCs w:val="18"/>
              </w:rPr>
            </w:pPr>
            <w:r w:rsidRPr="00B0658A">
              <w:rPr>
                <w:rFonts w:ascii="Times New Roman" w:hAnsi="Times New Roman"/>
                <w:sz w:val="18"/>
                <w:szCs w:val="18"/>
              </w:rPr>
              <w:t>30%</w:t>
            </w:r>
          </w:p>
        </w:tc>
        <w:tc>
          <w:tcPr>
            <w:tcW w:w="303" w:type="pct"/>
            <w:shd w:val="clear" w:color="000000" w:fill="FFFFFF"/>
            <w:vAlign w:val="center"/>
            <w:hideMark/>
          </w:tcPr>
          <w:p w14:paraId="17C52BB7" w14:textId="77777777" w:rsidR="003F2227" w:rsidRPr="00B0658A" w:rsidRDefault="003F2227" w:rsidP="00004A41">
            <w:pPr>
              <w:spacing w:after="0" w:line="240" w:lineRule="auto"/>
              <w:jc w:val="center"/>
              <w:rPr>
                <w:rFonts w:ascii="Times New Roman" w:hAnsi="Times New Roman"/>
                <w:sz w:val="18"/>
                <w:szCs w:val="18"/>
              </w:rPr>
            </w:pPr>
            <w:r w:rsidRPr="00B0658A">
              <w:rPr>
                <w:rFonts w:ascii="Times New Roman" w:hAnsi="Times New Roman"/>
                <w:sz w:val="18"/>
                <w:szCs w:val="18"/>
              </w:rPr>
              <w:t>45%</w:t>
            </w:r>
          </w:p>
        </w:tc>
        <w:tc>
          <w:tcPr>
            <w:tcW w:w="313" w:type="pct"/>
            <w:shd w:val="clear" w:color="000000" w:fill="FFFFFF"/>
            <w:vAlign w:val="center"/>
          </w:tcPr>
          <w:p w14:paraId="022AC93A" w14:textId="77777777" w:rsidR="003F2227" w:rsidRPr="00B0658A" w:rsidRDefault="003F2227" w:rsidP="00004A41">
            <w:pPr>
              <w:spacing w:after="0" w:line="240" w:lineRule="auto"/>
              <w:jc w:val="center"/>
              <w:rPr>
                <w:rFonts w:ascii="Times New Roman" w:hAnsi="Times New Roman"/>
                <w:sz w:val="18"/>
                <w:szCs w:val="18"/>
              </w:rPr>
            </w:pPr>
            <w:r w:rsidRPr="00B0658A">
              <w:rPr>
                <w:rFonts w:ascii="Times New Roman" w:hAnsi="Times New Roman"/>
                <w:sz w:val="18"/>
                <w:szCs w:val="18"/>
              </w:rPr>
              <w:t>100%</w:t>
            </w:r>
          </w:p>
        </w:tc>
        <w:tc>
          <w:tcPr>
            <w:tcW w:w="303" w:type="pct"/>
            <w:shd w:val="clear" w:color="000000" w:fill="FFFFFF"/>
            <w:vAlign w:val="center"/>
            <w:hideMark/>
          </w:tcPr>
          <w:p w14:paraId="3E765CF5" w14:textId="77777777" w:rsidR="003F2227" w:rsidRPr="00B0658A" w:rsidRDefault="003F2227" w:rsidP="00004A41">
            <w:pPr>
              <w:spacing w:after="0" w:line="240" w:lineRule="auto"/>
              <w:jc w:val="center"/>
              <w:rPr>
                <w:rFonts w:ascii="Times New Roman" w:hAnsi="Times New Roman"/>
                <w:sz w:val="18"/>
                <w:szCs w:val="18"/>
              </w:rPr>
            </w:pPr>
            <w:r w:rsidRPr="00B0658A">
              <w:rPr>
                <w:rFonts w:ascii="Times New Roman" w:hAnsi="Times New Roman"/>
                <w:sz w:val="18"/>
                <w:szCs w:val="18"/>
              </w:rPr>
              <w:t>60%</w:t>
            </w:r>
          </w:p>
        </w:tc>
        <w:tc>
          <w:tcPr>
            <w:tcW w:w="303" w:type="pct"/>
            <w:shd w:val="clear" w:color="000000" w:fill="FFFFFF"/>
            <w:vAlign w:val="center"/>
            <w:hideMark/>
          </w:tcPr>
          <w:p w14:paraId="5DD90742" w14:textId="77777777" w:rsidR="003F2227" w:rsidRPr="00B0658A" w:rsidRDefault="003F2227" w:rsidP="00004A41">
            <w:pPr>
              <w:spacing w:after="0" w:line="240" w:lineRule="auto"/>
              <w:jc w:val="center"/>
              <w:rPr>
                <w:rFonts w:ascii="Times New Roman" w:hAnsi="Times New Roman"/>
                <w:sz w:val="18"/>
                <w:szCs w:val="18"/>
              </w:rPr>
            </w:pPr>
            <w:r w:rsidRPr="00B0658A">
              <w:rPr>
                <w:rFonts w:ascii="Times New Roman" w:hAnsi="Times New Roman"/>
                <w:sz w:val="18"/>
                <w:szCs w:val="18"/>
              </w:rPr>
              <w:t>70%</w:t>
            </w:r>
          </w:p>
        </w:tc>
        <w:tc>
          <w:tcPr>
            <w:tcW w:w="303" w:type="pct"/>
            <w:shd w:val="clear" w:color="000000" w:fill="FFFFFF"/>
            <w:vAlign w:val="center"/>
            <w:hideMark/>
          </w:tcPr>
          <w:p w14:paraId="69F8612A" w14:textId="77777777" w:rsidR="003F2227" w:rsidRPr="00B0658A" w:rsidRDefault="003F2227" w:rsidP="00004A41">
            <w:pPr>
              <w:spacing w:after="0" w:line="240" w:lineRule="auto"/>
              <w:jc w:val="center"/>
              <w:rPr>
                <w:rFonts w:ascii="Times New Roman" w:hAnsi="Times New Roman"/>
                <w:sz w:val="18"/>
                <w:szCs w:val="18"/>
              </w:rPr>
            </w:pPr>
            <w:r w:rsidRPr="00B0658A">
              <w:rPr>
                <w:rFonts w:ascii="Times New Roman" w:hAnsi="Times New Roman"/>
                <w:sz w:val="18"/>
                <w:szCs w:val="18"/>
              </w:rPr>
              <w:t>80%</w:t>
            </w:r>
          </w:p>
        </w:tc>
        <w:tc>
          <w:tcPr>
            <w:tcW w:w="272" w:type="pct"/>
            <w:shd w:val="clear" w:color="000000" w:fill="FFFFFF"/>
            <w:vAlign w:val="center"/>
          </w:tcPr>
          <w:p w14:paraId="78B48190" w14:textId="77777777" w:rsidR="003F2227" w:rsidRPr="00B0658A" w:rsidRDefault="003F2227" w:rsidP="00004A41">
            <w:pPr>
              <w:spacing w:after="0" w:line="240" w:lineRule="auto"/>
              <w:jc w:val="center"/>
              <w:rPr>
                <w:rFonts w:ascii="Times New Roman" w:hAnsi="Times New Roman"/>
                <w:sz w:val="18"/>
                <w:szCs w:val="18"/>
              </w:rPr>
            </w:pPr>
            <w:r w:rsidRPr="00B0658A">
              <w:rPr>
                <w:rFonts w:ascii="Times New Roman" w:hAnsi="Times New Roman"/>
                <w:sz w:val="18"/>
                <w:szCs w:val="18"/>
              </w:rPr>
              <w:t>90%</w:t>
            </w:r>
          </w:p>
        </w:tc>
        <w:tc>
          <w:tcPr>
            <w:tcW w:w="299" w:type="pct"/>
            <w:shd w:val="clear" w:color="000000" w:fill="FFFFFF"/>
            <w:vAlign w:val="center"/>
          </w:tcPr>
          <w:p w14:paraId="3FDB7470" w14:textId="77777777" w:rsidR="003F2227" w:rsidRPr="00B0658A" w:rsidRDefault="003F2227" w:rsidP="00004A41">
            <w:pPr>
              <w:spacing w:after="0" w:line="240" w:lineRule="auto"/>
              <w:jc w:val="center"/>
              <w:rPr>
                <w:rFonts w:ascii="Times New Roman" w:hAnsi="Times New Roman"/>
                <w:sz w:val="18"/>
                <w:szCs w:val="18"/>
              </w:rPr>
            </w:pPr>
            <w:r w:rsidRPr="00B0658A">
              <w:rPr>
                <w:rFonts w:ascii="Times New Roman" w:hAnsi="Times New Roman"/>
                <w:sz w:val="18"/>
                <w:szCs w:val="18"/>
              </w:rPr>
              <w:t>100%</w:t>
            </w:r>
          </w:p>
        </w:tc>
        <w:tc>
          <w:tcPr>
            <w:tcW w:w="297" w:type="pct"/>
            <w:shd w:val="clear" w:color="000000" w:fill="FFFFFF"/>
            <w:vAlign w:val="center"/>
          </w:tcPr>
          <w:p w14:paraId="610EC1BB" w14:textId="77777777" w:rsidR="003F2227" w:rsidRPr="00B0658A" w:rsidRDefault="003F2227" w:rsidP="00004A41">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F52FED" w:rsidRPr="00B0658A" w14:paraId="5E46A333" w14:textId="77777777" w:rsidTr="00FE71B1">
        <w:trPr>
          <w:trHeight w:val="20"/>
        </w:trPr>
        <w:tc>
          <w:tcPr>
            <w:tcW w:w="283" w:type="pct"/>
            <w:shd w:val="clear" w:color="000000" w:fill="FFFFFF"/>
            <w:vAlign w:val="center"/>
          </w:tcPr>
          <w:p w14:paraId="231E9EDF" w14:textId="77777777" w:rsidR="003F2227" w:rsidRPr="00B0658A" w:rsidRDefault="003F2227" w:rsidP="00FE71B1">
            <w:pPr>
              <w:spacing w:after="0" w:line="240" w:lineRule="auto"/>
              <w:jc w:val="center"/>
              <w:rPr>
                <w:rFonts w:ascii="Times New Roman" w:hAnsi="Times New Roman"/>
                <w:sz w:val="18"/>
                <w:szCs w:val="18"/>
              </w:rPr>
            </w:pPr>
            <w:r w:rsidRPr="00B0658A">
              <w:rPr>
                <w:rFonts w:ascii="Times New Roman" w:hAnsi="Times New Roman"/>
                <w:sz w:val="18"/>
                <w:szCs w:val="18"/>
              </w:rPr>
              <w:t>2.7</w:t>
            </w:r>
          </w:p>
        </w:tc>
        <w:tc>
          <w:tcPr>
            <w:tcW w:w="1013" w:type="pct"/>
            <w:shd w:val="clear" w:color="auto" w:fill="auto"/>
            <w:vAlign w:val="center"/>
            <w:hideMark/>
          </w:tcPr>
          <w:p w14:paraId="68C18742" w14:textId="77777777" w:rsidR="003F2227" w:rsidRPr="00B0658A" w:rsidRDefault="003F2227" w:rsidP="00004A41">
            <w:pPr>
              <w:spacing w:after="0" w:line="240" w:lineRule="auto"/>
              <w:rPr>
                <w:rFonts w:ascii="Times New Roman" w:hAnsi="Times New Roman"/>
                <w:sz w:val="18"/>
                <w:szCs w:val="18"/>
              </w:rPr>
            </w:pPr>
            <w:r w:rsidRPr="00B0658A">
              <w:rPr>
                <w:rFonts w:ascii="Times New Roman" w:hAnsi="Times New Roman"/>
                <w:sz w:val="18"/>
                <w:szCs w:val="18"/>
              </w:rPr>
              <w:t>Системное программное обеспечение/ Средства управления базами данных</w:t>
            </w:r>
          </w:p>
        </w:tc>
        <w:tc>
          <w:tcPr>
            <w:tcW w:w="704" w:type="pct"/>
            <w:shd w:val="clear" w:color="000000" w:fill="FFFFFF"/>
            <w:hideMark/>
          </w:tcPr>
          <w:p w14:paraId="636EDC4C" w14:textId="77777777" w:rsidR="003F2227" w:rsidRPr="00B0658A" w:rsidRDefault="003F2227" w:rsidP="00004A41">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03" w:type="pct"/>
            <w:shd w:val="clear" w:color="auto" w:fill="auto"/>
            <w:vAlign w:val="center"/>
            <w:hideMark/>
          </w:tcPr>
          <w:p w14:paraId="2F0629F9" w14:textId="77777777" w:rsidR="003F2227" w:rsidRPr="00B0658A" w:rsidRDefault="003F2227" w:rsidP="00004A41">
            <w:pPr>
              <w:spacing w:after="0" w:line="240" w:lineRule="auto"/>
              <w:jc w:val="center"/>
              <w:rPr>
                <w:rFonts w:ascii="Times New Roman" w:hAnsi="Times New Roman"/>
                <w:sz w:val="18"/>
                <w:szCs w:val="18"/>
              </w:rPr>
            </w:pPr>
            <w:r w:rsidRPr="00B0658A">
              <w:rPr>
                <w:rFonts w:ascii="Times New Roman" w:hAnsi="Times New Roman"/>
                <w:sz w:val="18"/>
                <w:szCs w:val="18"/>
              </w:rPr>
              <w:t>25%</w:t>
            </w:r>
          </w:p>
        </w:tc>
        <w:tc>
          <w:tcPr>
            <w:tcW w:w="303" w:type="pct"/>
            <w:shd w:val="clear" w:color="auto" w:fill="auto"/>
            <w:vAlign w:val="center"/>
            <w:hideMark/>
          </w:tcPr>
          <w:p w14:paraId="1A85118C" w14:textId="77777777" w:rsidR="003F2227" w:rsidRPr="00B0658A" w:rsidRDefault="003F2227" w:rsidP="00004A41">
            <w:pPr>
              <w:spacing w:after="0" w:line="240" w:lineRule="auto"/>
              <w:jc w:val="center"/>
              <w:rPr>
                <w:rFonts w:ascii="Times New Roman" w:hAnsi="Times New Roman"/>
                <w:sz w:val="18"/>
                <w:szCs w:val="18"/>
              </w:rPr>
            </w:pPr>
            <w:r w:rsidRPr="00B0658A">
              <w:rPr>
                <w:rFonts w:ascii="Times New Roman" w:hAnsi="Times New Roman"/>
                <w:sz w:val="18"/>
                <w:szCs w:val="18"/>
              </w:rPr>
              <w:t>35%</w:t>
            </w:r>
          </w:p>
        </w:tc>
        <w:tc>
          <w:tcPr>
            <w:tcW w:w="303" w:type="pct"/>
            <w:shd w:val="clear" w:color="auto" w:fill="auto"/>
            <w:vAlign w:val="center"/>
            <w:hideMark/>
          </w:tcPr>
          <w:p w14:paraId="7DFEE466" w14:textId="77777777" w:rsidR="003F2227" w:rsidRPr="00B0658A" w:rsidRDefault="003F2227" w:rsidP="00004A41">
            <w:pPr>
              <w:spacing w:after="0" w:line="240" w:lineRule="auto"/>
              <w:jc w:val="center"/>
              <w:rPr>
                <w:rFonts w:ascii="Times New Roman" w:hAnsi="Times New Roman"/>
                <w:sz w:val="18"/>
                <w:szCs w:val="18"/>
              </w:rPr>
            </w:pPr>
            <w:r w:rsidRPr="00B0658A">
              <w:rPr>
                <w:rFonts w:ascii="Times New Roman" w:hAnsi="Times New Roman"/>
                <w:sz w:val="18"/>
                <w:szCs w:val="18"/>
              </w:rPr>
              <w:t>50%</w:t>
            </w:r>
          </w:p>
        </w:tc>
        <w:tc>
          <w:tcPr>
            <w:tcW w:w="313" w:type="pct"/>
            <w:vAlign w:val="center"/>
          </w:tcPr>
          <w:p w14:paraId="368D1444" w14:textId="77777777" w:rsidR="003F2227" w:rsidRPr="00B0658A" w:rsidRDefault="003F2227" w:rsidP="00004A41">
            <w:pPr>
              <w:spacing w:after="0" w:line="240" w:lineRule="auto"/>
              <w:jc w:val="center"/>
              <w:rPr>
                <w:rFonts w:ascii="Times New Roman" w:hAnsi="Times New Roman"/>
                <w:sz w:val="18"/>
                <w:szCs w:val="18"/>
              </w:rPr>
            </w:pPr>
            <w:r w:rsidRPr="00B0658A">
              <w:rPr>
                <w:rFonts w:ascii="Times New Roman" w:hAnsi="Times New Roman"/>
                <w:sz w:val="18"/>
                <w:szCs w:val="18"/>
              </w:rPr>
              <w:t>100%</w:t>
            </w:r>
          </w:p>
        </w:tc>
        <w:tc>
          <w:tcPr>
            <w:tcW w:w="303" w:type="pct"/>
            <w:shd w:val="clear" w:color="auto" w:fill="auto"/>
            <w:vAlign w:val="center"/>
            <w:hideMark/>
          </w:tcPr>
          <w:p w14:paraId="5D4F4E3E" w14:textId="77777777" w:rsidR="003F2227" w:rsidRPr="00B0658A" w:rsidRDefault="003F2227" w:rsidP="00004A41">
            <w:pPr>
              <w:spacing w:after="0" w:line="240" w:lineRule="auto"/>
              <w:jc w:val="center"/>
              <w:rPr>
                <w:rFonts w:ascii="Times New Roman" w:hAnsi="Times New Roman"/>
                <w:sz w:val="18"/>
                <w:szCs w:val="18"/>
              </w:rPr>
            </w:pPr>
            <w:r w:rsidRPr="00B0658A">
              <w:rPr>
                <w:rFonts w:ascii="Times New Roman" w:hAnsi="Times New Roman"/>
                <w:sz w:val="18"/>
                <w:szCs w:val="18"/>
              </w:rPr>
              <w:t>60%</w:t>
            </w:r>
          </w:p>
        </w:tc>
        <w:tc>
          <w:tcPr>
            <w:tcW w:w="303" w:type="pct"/>
            <w:shd w:val="clear" w:color="auto" w:fill="auto"/>
            <w:vAlign w:val="center"/>
            <w:hideMark/>
          </w:tcPr>
          <w:p w14:paraId="46797CAF" w14:textId="77777777" w:rsidR="003F2227" w:rsidRPr="00B0658A" w:rsidRDefault="003F2227" w:rsidP="00004A41">
            <w:pPr>
              <w:spacing w:after="0" w:line="240" w:lineRule="auto"/>
              <w:jc w:val="center"/>
              <w:rPr>
                <w:rFonts w:ascii="Times New Roman" w:hAnsi="Times New Roman"/>
                <w:sz w:val="18"/>
                <w:szCs w:val="18"/>
              </w:rPr>
            </w:pPr>
            <w:r w:rsidRPr="00B0658A">
              <w:rPr>
                <w:rFonts w:ascii="Times New Roman" w:hAnsi="Times New Roman"/>
                <w:sz w:val="18"/>
                <w:szCs w:val="18"/>
              </w:rPr>
              <w:t>70%</w:t>
            </w:r>
          </w:p>
        </w:tc>
        <w:tc>
          <w:tcPr>
            <w:tcW w:w="303" w:type="pct"/>
            <w:shd w:val="clear" w:color="auto" w:fill="auto"/>
            <w:vAlign w:val="center"/>
            <w:hideMark/>
          </w:tcPr>
          <w:p w14:paraId="3DB12F73" w14:textId="77777777" w:rsidR="003F2227" w:rsidRPr="00B0658A" w:rsidRDefault="003F2227" w:rsidP="00004A41">
            <w:pPr>
              <w:spacing w:after="0" w:line="240" w:lineRule="auto"/>
              <w:jc w:val="center"/>
              <w:rPr>
                <w:rFonts w:ascii="Times New Roman" w:hAnsi="Times New Roman"/>
                <w:sz w:val="18"/>
                <w:szCs w:val="18"/>
              </w:rPr>
            </w:pPr>
            <w:r w:rsidRPr="00B0658A">
              <w:rPr>
                <w:rFonts w:ascii="Times New Roman" w:hAnsi="Times New Roman"/>
                <w:sz w:val="18"/>
                <w:szCs w:val="18"/>
              </w:rPr>
              <w:t>80%</w:t>
            </w:r>
          </w:p>
        </w:tc>
        <w:tc>
          <w:tcPr>
            <w:tcW w:w="272" w:type="pct"/>
            <w:vAlign w:val="center"/>
          </w:tcPr>
          <w:p w14:paraId="51761B81" w14:textId="77777777" w:rsidR="003F2227" w:rsidRPr="00B0658A" w:rsidRDefault="003F2227" w:rsidP="00004A41">
            <w:pPr>
              <w:spacing w:after="0" w:line="240" w:lineRule="auto"/>
              <w:jc w:val="center"/>
              <w:rPr>
                <w:rFonts w:ascii="Times New Roman" w:hAnsi="Times New Roman"/>
                <w:b/>
                <w:sz w:val="18"/>
                <w:szCs w:val="18"/>
              </w:rPr>
            </w:pPr>
            <w:r w:rsidRPr="00B0658A">
              <w:rPr>
                <w:rFonts w:ascii="Times New Roman" w:hAnsi="Times New Roman"/>
                <w:sz w:val="18"/>
                <w:szCs w:val="18"/>
              </w:rPr>
              <w:t>90%</w:t>
            </w:r>
          </w:p>
        </w:tc>
        <w:tc>
          <w:tcPr>
            <w:tcW w:w="299" w:type="pct"/>
            <w:vAlign w:val="center"/>
          </w:tcPr>
          <w:p w14:paraId="3B09FDB4" w14:textId="77777777" w:rsidR="003F2227" w:rsidRPr="00B0658A" w:rsidRDefault="003F2227" w:rsidP="00004A41">
            <w:pPr>
              <w:spacing w:after="0" w:line="240" w:lineRule="auto"/>
              <w:jc w:val="center"/>
              <w:rPr>
                <w:rFonts w:ascii="Times New Roman" w:hAnsi="Times New Roman"/>
                <w:sz w:val="18"/>
                <w:szCs w:val="18"/>
              </w:rPr>
            </w:pPr>
            <w:r w:rsidRPr="00B0658A">
              <w:rPr>
                <w:rFonts w:ascii="Times New Roman" w:hAnsi="Times New Roman"/>
                <w:sz w:val="18"/>
                <w:szCs w:val="18"/>
              </w:rPr>
              <w:t>100%</w:t>
            </w:r>
          </w:p>
        </w:tc>
        <w:tc>
          <w:tcPr>
            <w:tcW w:w="297" w:type="pct"/>
            <w:vAlign w:val="center"/>
          </w:tcPr>
          <w:p w14:paraId="0956B411" w14:textId="77777777" w:rsidR="003F2227" w:rsidRPr="00B0658A" w:rsidRDefault="003F2227" w:rsidP="00004A41">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F52FED" w:rsidRPr="00B0658A" w14:paraId="6FA2A893" w14:textId="77777777" w:rsidTr="00FE71B1">
        <w:trPr>
          <w:trHeight w:val="20"/>
        </w:trPr>
        <w:tc>
          <w:tcPr>
            <w:tcW w:w="283" w:type="pct"/>
            <w:shd w:val="clear" w:color="000000" w:fill="FFFFFF"/>
            <w:vAlign w:val="center"/>
          </w:tcPr>
          <w:p w14:paraId="56EFD01D" w14:textId="77777777" w:rsidR="003F2227" w:rsidRPr="00B0658A" w:rsidRDefault="003F2227" w:rsidP="00FE71B1">
            <w:pPr>
              <w:spacing w:after="0" w:line="240" w:lineRule="auto"/>
              <w:jc w:val="center"/>
              <w:rPr>
                <w:rFonts w:ascii="Times New Roman" w:hAnsi="Times New Roman"/>
                <w:sz w:val="18"/>
                <w:szCs w:val="18"/>
              </w:rPr>
            </w:pPr>
            <w:r w:rsidRPr="00B0658A">
              <w:rPr>
                <w:rFonts w:ascii="Times New Roman" w:hAnsi="Times New Roman"/>
                <w:sz w:val="18"/>
                <w:szCs w:val="18"/>
              </w:rPr>
              <w:t>2.8</w:t>
            </w:r>
          </w:p>
        </w:tc>
        <w:tc>
          <w:tcPr>
            <w:tcW w:w="1013" w:type="pct"/>
            <w:shd w:val="clear" w:color="auto" w:fill="auto"/>
            <w:vAlign w:val="center"/>
            <w:hideMark/>
          </w:tcPr>
          <w:p w14:paraId="490FDAA7" w14:textId="77777777" w:rsidR="003F2227" w:rsidRPr="00B0658A" w:rsidRDefault="003F2227" w:rsidP="00004A41">
            <w:pPr>
              <w:spacing w:after="0" w:line="240" w:lineRule="auto"/>
              <w:rPr>
                <w:rFonts w:ascii="Times New Roman" w:hAnsi="Times New Roman"/>
                <w:sz w:val="18"/>
                <w:szCs w:val="18"/>
              </w:rPr>
            </w:pPr>
            <w:r w:rsidRPr="00B0658A">
              <w:rPr>
                <w:rFonts w:ascii="Times New Roman" w:hAnsi="Times New Roman"/>
                <w:sz w:val="18"/>
                <w:szCs w:val="18"/>
              </w:rPr>
              <w:t>Системное программное обеспечение/ Средства мониторинга и управления</w:t>
            </w:r>
          </w:p>
        </w:tc>
        <w:tc>
          <w:tcPr>
            <w:tcW w:w="704" w:type="pct"/>
            <w:shd w:val="clear" w:color="000000" w:fill="FFFFFF"/>
            <w:hideMark/>
          </w:tcPr>
          <w:p w14:paraId="004404A6" w14:textId="77777777" w:rsidR="003F2227" w:rsidRPr="00B0658A" w:rsidRDefault="003F2227" w:rsidP="00004A41">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03" w:type="pct"/>
            <w:shd w:val="clear" w:color="auto" w:fill="auto"/>
            <w:vAlign w:val="center"/>
            <w:hideMark/>
          </w:tcPr>
          <w:p w14:paraId="4C730ED3" w14:textId="77777777" w:rsidR="003F2227" w:rsidRPr="00B0658A" w:rsidRDefault="003F2227" w:rsidP="00004A41">
            <w:pPr>
              <w:spacing w:after="0" w:line="240" w:lineRule="auto"/>
              <w:jc w:val="center"/>
              <w:rPr>
                <w:rFonts w:ascii="Times New Roman" w:hAnsi="Times New Roman"/>
                <w:sz w:val="18"/>
                <w:szCs w:val="18"/>
              </w:rPr>
            </w:pPr>
            <w:r w:rsidRPr="00B0658A">
              <w:rPr>
                <w:rFonts w:ascii="Times New Roman" w:hAnsi="Times New Roman"/>
                <w:sz w:val="18"/>
                <w:szCs w:val="18"/>
              </w:rPr>
              <w:t>20%</w:t>
            </w:r>
          </w:p>
        </w:tc>
        <w:tc>
          <w:tcPr>
            <w:tcW w:w="303" w:type="pct"/>
            <w:shd w:val="clear" w:color="auto" w:fill="auto"/>
            <w:vAlign w:val="center"/>
            <w:hideMark/>
          </w:tcPr>
          <w:p w14:paraId="750C892C" w14:textId="77777777" w:rsidR="003F2227" w:rsidRPr="00B0658A" w:rsidRDefault="003F2227" w:rsidP="00004A41">
            <w:pPr>
              <w:spacing w:after="0" w:line="240" w:lineRule="auto"/>
              <w:jc w:val="center"/>
              <w:rPr>
                <w:rFonts w:ascii="Times New Roman" w:hAnsi="Times New Roman"/>
                <w:sz w:val="18"/>
                <w:szCs w:val="18"/>
              </w:rPr>
            </w:pPr>
            <w:r w:rsidRPr="00B0658A">
              <w:rPr>
                <w:rFonts w:ascii="Times New Roman" w:hAnsi="Times New Roman"/>
                <w:sz w:val="18"/>
                <w:szCs w:val="18"/>
              </w:rPr>
              <w:t>30%</w:t>
            </w:r>
          </w:p>
        </w:tc>
        <w:tc>
          <w:tcPr>
            <w:tcW w:w="303" w:type="pct"/>
            <w:shd w:val="clear" w:color="auto" w:fill="auto"/>
            <w:vAlign w:val="center"/>
            <w:hideMark/>
          </w:tcPr>
          <w:p w14:paraId="7CF74103" w14:textId="77777777" w:rsidR="003F2227" w:rsidRPr="00B0658A" w:rsidRDefault="003F2227" w:rsidP="00004A41">
            <w:pPr>
              <w:spacing w:after="0" w:line="240" w:lineRule="auto"/>
              <w:jc w:val="center"/>
              <w:rPr>
                <w:rFonts w:ascii="Times New Roman" w:hAnsi="Times New Roman"/>
                <w:sz w:val="18"/>
                <w:szCs w:val="18"/>
              </w:rPr>
            </w:pPr>
            <w:r w:rsidRPr="00B0658A">
              <w:rPr>
                <w:rFonts w:ascii="Times New Roman" w:hAnsi="Times New Roman"/>
                <w:sz w:val="18"/>
                <w:szCs w:val="18"/>
              </w:rPr>
              <w:t>50%</w:t>
            </w:r>
          </w:p>
        </w:tc>
        <w:tc>
          <w:tcPr>
            <w:tcW w:w="313" w:type="pct"/>
            <w:vAlign w:val="center"/>
          </w:tcPr>
          <w:p w14:paraId="3485FCD0" w14:textId="77777777" w:rsidR="003F2227" w:rsidRPr="00B0658A" w:rsidRDefault="003F2227" w:rsidP="00004A41">
            <w:pPr>
              <w:spacing w:after="0" w:line="240" w:lineRule="auto"/>
              <w:jc w:val="center"/>
              <w:rPr>
                <w:rFonts w:ascii="Times New Roman" w:hAnsi="Times New Roman"/>
                <w:sz w:val="18"/>
                <w:szCs w:val="18"/>
              </w:rPr>
            </w:pPr>
            <w:r w:rsidRPr="00B0658A">
              <w:rPr>
                <w:rFonts w:ascii="Times New Roman" w:hAnsi="Times New Roman"/>
                <w:sz w:val="18"/>
                <w:szCs w:val="18"/>
              </w:rPr>
              <w:t>100%</w:t>
            </w:r>
          </w:p>
        </w:tc>
        <w:tc>
          <w:tcPr>
            <w:tcW w:w="303" w:type="pct"/>
            <w:shd w:val="clear" w:color="auto" w:fill="auto"/>
            <w:vAlign w:val="center"/>
            <w:hideMark/>
          </w:tcPr>
          <w:p w14:paraId="1340809F" w14:textId="77777777" w:rsidR="003F2227" w:rsidRPr="00B0658A" w:rsidRDefault="003F2227" w:rsidP="00004A41">
            <w:pPr>
              <w:spacing w:after="0" w:line="240" w:lineRule="auto"/>
              <w:jc w:val="center"/>
              <w:rPr>
                <w:rFonts w:ascii="Times New Roman" w:hAnsi="Times New Roman"/>
                <w:sz w:val="18"/>
                <w:szCs w:val="18"/>
              </w:rPr>
            </w:pPr>
            <w:r w:rsidRPr="00B0658A">
              <w:rPr>
                <w:rFonts w:ascii="Times New Roman" w:hAnsi="Times New Roman"/>
                <w:sz w:val="18"/>
                <w:szCs w:val="18"/>
              </w:rPr>
              <w:t>60%</w:t>
            </w:r>
          </w:p>
        </w:tc>
        <w:tc>
          <w:tcPr>
            <w:tcW w:w="303" w:type="pct"/>
            <w:shd w:val="clear" w:color="auto" w:fill="auto"/>
            <w:vAlign w:val="center"/>
            <w:hideMark/>
          </w:tcPr>
          <w:p w14:paraId="2C930B0F" w14:textId="77777777" w:rsidR="003F2227" w:rsidRPr="00B0658A" w:rsidRDefault="003F2227" w:rsidP="00004A41">
            <w:pPr>
              <w:spacing w:after="0" w:line="240" w:lineRule="auto"/>
              <w:jc w:val="center"/>
              <w:rPr>
                <w:rFonts w:ascii="Times New Roman" w:hAnsi="Times New Roman"/>
                <w:sz w:val="18"/>
                <w:szCs w:val="18"/>
              </w:rPr>
            </w:pPr>
            <w:r w:rsidRPr="00B0658A">
              <w:rPr>
                <w:rFonts w:ascii="Times New Roman" w:hAnsi="Times New Roman"/>
                <w:sz w:val="18"/>
                <w:szCs w:val="18"/>
              </w:rPr>
              <w:t>70%</w:t>
            </w:r>
          </w:p>
        </w:tc>
        <w:tc>
          <w:tcPr>
            <w:tcW w:w="303" w:type="pct"/>
            <w:shd w:val="clear" w:color="auto" w:fill="auto"/>
            <w:vAlign w:val="center"/>
            <w:hideMark/>
          </w:tcPr>
          <w:p w14:paraId="201C1A3D" w14:textId="77777777" w:rsidR="003F2227" w:rsidRPr="00B0658A" w:rsidRDefault="003F2227" w:rsidP="00004A41">
            <w:pPr>
              <w:spacing w:after="0" w:line="240" w:lineRule="auto"/>
              <w:jc w:val="center"/>
              <w:rPr>
                <w:rFonts w:ascii="Times New Roman" w:hAnsi="Times New Roman"/>
                <w:sz w:val="18"/>
                <w:szCs w:val="18"/>
              </w:rPr>
            </w:pPr>
            <w:r w:rsidRPr="00B0658A">
              <w:rPr>
                <w:rFonts w:ascii="Times New Roman" w:hAnsi="Times New Roman"/>
                <w:sz w:val="18"/>
                <w:szCs w:val="18"/>
              </w:rPr>
              <w:t>80%</w:t>
            </w:r>
          </w:p>
        </w:tc>
        <w:tc>
          <w:tcPr>
            <w:tcW w:w="272" w:type="pct"/>
            <w:vAlign w:val="center"/>
          </w:tcPr>
          <w:p w14:paraId="71275D31" w14:textId="77777777" w:rsidR="003F2227" w:rsidRPr="00B0658A" w:rsidRDefault="003F2227" w:rsidP="00004A41">
            <w:pPr>
              <w:spacing w:after="0" w:line="240" w:lineRule="auto"/>
              <w:jc w:val="center"/>
              <w:rPr>
                <w:rFonts w:ascii="Times New Roman" w:hAnsi="Times New Roman"/>
                <w:sz w:val="18"/>
                <w:szCs w:val="18"/>
              </w:rPr>
            </w:pPr>
            <w:r w:rsidRPr="00B0658A">
              <w:rPr>
                <w:rFonts w:ascii="Times New Roman" w:hAnsi="Times New Roman"/>
                <w:sz w:val="18"/>
                <w:szCs w:val="18"/>
              </w:rPr>
              <w:t>90%</w:t>
            </w:r>
          </w:p>
        </w:tc>
        <w:tc>
          <w:tcPr>
            <w:tcW w:w="299" w:type="pct"/>
            <w:vAlign w:val="center"/>
          </w:tcPr>
          <w:p w14:paraId="0E2F0223" w14:textId="77777777" w:rsidR="003F2227" w:rsidRPr="00B0658A" w:rsidRDefault="003F2227" w:rsidP="00004A41">
            <w:pPr>
              <w:spacing w:after="0" w:line="240" w:lineRule="auto"/>
              <w:jc w:val="center"/>
              <w:rPr>
                <w:rFonts w:ascii="Times New Roman" w:hAnsi="Times New Roman"/>
                <w:sz w:val="18"/>
                <w:szCs w:val="18"/>
              </w:rPr>
            </w:pPr>
            <w:r w:rsidRPr="00B0658A">
              <w:rPr>
                <w:rFonts w:ascii="Times New Roman" w:hAnsi="Times New Roman"/>
                <w:sz w:val="18"/>
                <w:szCs w:val="18"/>
              </w:rPr>
              <w:t>100%</w:t>
            </w:r>
          </w:p>
        </w:tc>
        <w:tc>
          <w:tcPr>
            <w:tcW w:w="297" w:type="pct"/>
            <w:vAlign w:val="center"/>
          </w:tcPr>
          <w:p w14:paraId="3C71AA65" w14:textId="77777777" w:rsidR="003F2227" w:rsidRPr="00B0658A" w:rsidRDefault="003F2227" w:rsidP="00004A41">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3A11B0" w:rsidRPr="00B0658A" w14:paraId="79AB95AB" w14:textId="77777777" w:rsidTr="00FE71B1">
        <w:trPr>
          <w:trHeight w:val="20"/>
        </w:trPr>
        <w:tc>
          <w:tcPr>
            <w:tcW w:w="283" w:type="pct"/>
            <w:shd w:val="clear" w:color="auto" w:fill="auto"/>
            <w:vAlign w:val="center"/>
          </w:tcPr>
          <w:p w14:paraId="4E29FEF8" w14:textId="77777777" w:rsidR="003A11B0" w:rsidRPr="00B0658A" w:rsidRDefault="003A11B0" w:rsidP="00FE71B1">
            <w:pPr>
              <w:spacing w:after="0" w:line="240" w:lineRule="auto"/>
              <w:jc w:val="center"/>
              <w:rPr>
                <w:rFonts w:ascii="Times New Roman" w:hAnsi="Times New Roman"/>
                <w:sz w:val="18"/>
                <w:szCs w:val="18"/>
              </w:rPr>
            </w:pPr>
            <w:r w:rsidRPr="00B0658A">
              <w:rPr>
                <w:rFonts w:ascii="Times New Roman" w:hAnsi="Times New Roman"/>
                <w:sz w:val="18"/>
                <w:szCs w:val="18"/>
              </w:rPr>
              <w:t>2.9</w:t>
            </w:r>
          </w:p>
        </w:tc>
        <w:tc>
          <w:tcPr>
            <w:tcW w:w="1013" w:type="pct"/>
            <w:shd w:val="clear" w:color="auto" w:fill="auto"/>
            <w:vAlign w:val="center"/>
            <w:hideMark/>
          </w:tcPr>
          <w:p w14:paraId="3C275BC4" w14:textId="77777777" w:rsidR="003A11B0" w:rsidRPr="00B0658A" w:rsidRDefault="003A11B0" w:rsidP="003A11B0">
            <w:pPr>
              <w:spacing w:after="0" w:line="240" w:lineRule="auto"/>
              <w:rPr>
                <w:rFonts w:ascii="Times New Roman" w:hAnsi="Times New Roman"/>
                <w:sz w:val="18"/>
                <w:szCs w:val="18"/>
              </w:rPr>
            </w:pPr>
            <w:r w:rsidRPr="00B0658A">
              <w:rPr>
                <w:rFonts w:ascii="Times New Roman" w:hAnsi="Times New Roman"/>
                <w:sz w:val="18"/>
                <w:szCs w:val="18"/>
              </w:rPr>
              <w:t>Системное программное обеспечение/ Операционные системы общего назначения</w:t>
            </w:r>
          </w:p>
        </w:tc>
        <w:tc>
          <w:tcPr>
            <w:tcW w:w="704" w:type="pct"/>
            <w:shd w:val="clear" w:color="000000" w:fill="FFFFFF"/>
            <w:hideMark/>
          </w:tcPr>
          <w:p w14:paraId="4CF848B7" w14:textId="77777777" w:rsidR="003A11B0" w:rsidRPr="00B0658A" w:rsidRDefault="003A11B0" w:rsidP="003A11B0">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03" w:type="pct"/>
            <w:shd w:val="clear" w:color="auto" w:fill="auto"/>
            <w:vAlign w:val="center"/>
            <w:hideMark/>
          </w:tcPr>
          <w:p w14:paraId="6C0A7E80" w14:textId="77777777" w:rsidR="003A11B0" w:rsidRPr="00B0658A" w:rsidRDefault="00D87684" w:rsidP="003A11B0">
            <w:pPr>
              <w:spacing w:after="0" w:line="240" w:lineRule="auto"/>
              <w:jc w:val="center"/>
              <w:rPr>
                <w:rFonts w:ascii="Times New Roman" w:hAnsi="Times New Roman"/>
                <w:sz w:val="18"/>
                <w:szCs w:val="18"/>
              </w:rPr>
            </w:pPr>
            <w:r>
              <w:rPr>
                <w:rFonts w:ascii="Times New Roman" w:hAnsi="Times New Roman"/>
                <w:sz w:val="18"/>
                <w:szCs w:val="18"/>
              </w:rPr>
              <w:t>-*</w:t>
            </w:r>
          </w:p>
        </w:tc>
        <w:tc>
          <w:tcPr>
            <w:tcW w:w="303" w:type="pct"/>
            <w:shd w:val="clear" w:color="auto" w:fill="auto"/>
            <w:vAlign w:val="center"/>
            <w:hideMark/>
          </w:tcPr>
          <w:p w14:paraId="69A3F586" w14:textId="77777777" w:rsidR="003A11B0" w:rsidRPr="00B0658A" w:rsidRDefault="00D87684" w:rsidP="003A11B0">
            <w:pPr>
              <w:spacing w:after="0" w:line="240" w:lineRule="auto"/>
              <w:jc w:val="center"/>
              <w:rPr>
                <w:rFonts w:ascii="Times New Roman" w:hAnsi="Times New Roman"/>
                <w:sz w:val="18"/>
                <w:szCs w:val="18"/>
              </w:rPr>
            </w:pPr>
            <w:r>
              <w:rPr>
                <w:rFonts w:ascii="Times New Roman" w:hAnsi="Times New Roman"/>
                <w:sz w:val="18"/>
                <w:szCs w:val="18"/>
              </w:rPr>
              <w:t>-*</w:t>
            </w:r>
          </w:p>
        </w:tc>
        <w:tc>
          <w:tcPr>
            <w:tcW w:w="303" w:type="pct"/>
            <w:shd w:val="clear" w:color="auto" w:fill="auto"/>
            <w:vAlign w:val="center"/>
            <w:hideMark/>
          </w:tcPr>
          <w:p w14:paraId="520F0DCA" w14:textId="77777777" w:rsidR="003A11B0" w:rsidRPr="00B0658A" w:rsidRDefault="00D87684" w:rsidP="003A11B0">
            <w:pPr>
              <w:spacing w:after="0" w:line="240" w:lineRule="auto"/>
              <w:jc w:val="center"/>
              <w:rPr>
                <w:rFonts w:ascii="Times New Roman" w:hAnsi="Times New Roman"/>
                <w:sz w:val="18"/>
                <w:szCs w:val="18"/>
              </w:rPr>
            </w:pPr>
            <w:r>
              <w:rPr>
                <w:rFonts w:ascii="Times New Roman" w:hAnsi="Times New Roman"/>
                <w:sz w:val="18"/>
                <w:szCs w:val="18"/>
              </w:rPr>
              <w:t>-*</w:t>
            </w:r>
          </w:p>
        </w:tc>
        <w:tc>
          <w:tcPr>
            <w:tcW w:w="313" w:type="pct"/>
            <w:vAlign w:val="center"/>
          </w:tcPr>
          <w:p w14:paraId="2690DEBE" w14:textId="77777777" w:rsidR="003A11B0" w:rsidRPr="00B0658A" w:rsidRDefault="003A11B0" w:rsidP="003A11B0">
            <w:pPr>
              <w:spacing w:after="0" w:line="240" w:lineRule="auto"/>
              <w:jc w:val="center"/>
              <w:rPr>
                <w:rFonts w:ascii="Times New Roman" w:hAnsi="Times New Roman"/>
                <w:sz w:val="18"/>
                <w:szCs w:val="18"/>
              </w:rPr>
            </w:pPr>
            <w:r w:rsidRPr="00B0658A">
              <w:rPr>
                <w:rFonts w:ascii="Times New Roman" w:hAnsi="Times New Roman"/>
                <w:sz w:val="18"/>
                <w:szCs w:val="18"/>
              </w:rPr>
              <w:t>100%</w:t>
            </w:r>
          </w:p>
        </w:tc>
        <w:tc>
          <w:tcPr>
            <w:tcW w:w="303" w:type="pct"/>
            <w:shd w:val="clear" w:color="auto" w:fill="auto"/>
            <w:vAlign w:val="center"/>
            <w:hideMark/>
          </w:tcPr>
          <w:p w14:paraId="1EBDE921" w14:textId="77777777" w:rsidR="003A11B0" w:rsidRPr="00B0658A" w:rsidRDefault="003A11B0" w:rsidP="003A11B0">
            <w:pPr>
              <w:spacing w:after="0" w:line="240" w:lineRule="auto"/>
              <w:jc w:val="center"/>
              <w:rPr>
                <w:rFonts w:ascii="Times New Roman" w:hAnsi="Times New Roman"/>
                <w:sz w:val="18"/>
                <w:szCs w:val="18"/>
              </w:rPr>
            </w:pPr>
            <w:r w:rsidRPr="00B0658A">
              <w:rPr>
                <w:rFonts w:ascii="Times New Roman" w:hAnsi="Times New Roman"/>
                <w:sz w:val="18"/>
                <w:szCs w:val="18"/>
              </w:rPr>
              <w:t>100%</w:t>
            </w:r>
          </w:p>
        </w:tc>
        <w:tc>
          <w:tcPr>
            <w:tcW w:w="303" w:type="pct"/>
            <w:shd w:val="clear" w:color="auto" w:fill="auto"/>
            <w:vAlign w:val="center"/>
            <w:hideMark/>
          </w:tcPr>
          <w:p w14:paraId="76A5631D" w14:textId="77777777" w:rsidR="003A11B0" w:rsidRPr="00B0658A" w:rsidRDefault="003A11B0" w:rsidP="003A11B0">
            <w:pPr>
              <w:spacing w:after="0" w:line="240" w:lineRule="auto"/>
              <w:jc w:val="center"/>
              <w:rPr>
                <w:rFonts w:ascii="Times New Roman" w:hAnsi="Times New Roman"/>
                <w:sz w:val="18"/>
                <w:szCs w:val="18"/>
              </w:rPr>
            </w:pPr>
            <w:r w:rsidRPr="00B0658A">
              <w:rPr>
                <w:rFonts w:ascii="Times New Roman" w:hAnsi="Times New Roman"/>
                <w:sz w:val="18"/>
                <w:szCs w:val="18"/>
              </w:rPr>
              <w:t>100%</w:t>
            </w:r>
          </w:p>
        </w:tc>
        <w:tc>
          <w:tcPr>
            <w:tcW w:w="303" w:type="pct"/>
            <w:shd w:val="clear" w:color="auto" w:fill="auto"/>
            <w:vAlign w:val="center"/>
            <w:hideMark/>
          </w:tcPr>
          <w:p w14:paraId="41D83E5B" w14:textId="77777777" w:rsidR="003A11B0" w:rsidRPr="00B0658A" w:rsidRDefault="003A11B0" w:rsidP="003A11B0">
            <w:pPr>
              <w:spacing w:after="0" w:line="240" w:lineRule="auto"/>
              <w:jc w:val="center"/>
              <w:rPr>
                <w:rFonts w:ascii="Times New Roman" w:hAnsi="Times New Roman"/>
                <w:sz w:val="18"/>
                <w:szCs w:val="18"/>
              </w:rPr>
            </w:pPr>
            <w:r w:rsidRPr="00B0658A">
              <w:rPr>
                <w:rFonts w:ascii="Times New Roman" w:hAnsi="Times New Roman"/>
                <w:sz w:val="18"/>
                <w:szCs w:val="18"/>
              </w:rPr>
              <w:t>100%</w:t>
            </w:r>
          </w:p>
        </w:tc>
        <w:tc>
          <w:tcPr>
            <w:tcW w:w="272" w:type="pct"/>
            <w:vAlign w:val="center"/>
          </w:tcPr>
          <w:p w14:paraId="1FDCF56A" w14:textId="77777777" w:rsidR="003A11B0" w:rsidRPr="00B0658A" w:rsidRDefault="003A11B0" w:rsidP="003A11B0">
            <w:pPr>
              <w:spacing w:after="0" w:line="240" w:lineRule="auto"/>
              <w:jc w:val="center"/>
              <w:rPr>
                <w:rFonts w:ascii="Times New Roman" w:hAnsi="Times New Roman"/>
                <w:sz w:val="18"/>
                <w:szCs w:val="18"/>
              </w:rPr>
            </w:pPr>
            <w:r w:rsidRPr="00B0658A">
              <w:rPr>
                <w:rFonts w:ascii="Times New Roman" w:hAnsi="Times New Roman"/>
                <w:sz w:val="18"/>
                <w:szCs w:val="18"/>
              </w:rPr>
              <w:t>100%</w:t>
            </w:r>
          </w:p>
        </w:tc>
        <w:tc>
          <w:tcPr>
            <w:tcW w:w="299" w:type="pct"/>
            <w:vAlign w:val="center"/>
          </w:tcPr>
          <w:p w14:paraId="7ABF9A80" w14:textId="77777777" w:rsidR="003A11B0" w:rsidRPr="00B0658A" w:rsidRDefault="003A11B0" w:rsidP="003A11B0">
            <w:pPr>
              <w:spacing w:after="0" w:line="240" w:lineRule="auto"/>
              <w:jc w:val="center"/>
              <w:rPr>
                <w:rFonts w:ascii="Times New Roman" w:hAnsi="Times New Roman"/>
                <w:sz w:val="18"/>
                <w:szCs w:val="18"/>
              </w:rPr>
            </w:pPr>
            <w:r w:rsidRPr="00B0658A">
              <w:rPr>
                <w:rFonts w:ascii="Times New Roman" w:hAnsi="Times New Roman"/>
                <w:sz w:val="18"/>
                <w:szCs w:val="18"/>
              </w:rPr>
              <w:t>100%</w:t>
            </w:r>
          </w:p>
        </w:tc>
        <w:tc>
          <w:tcPr>
            <w:tcW w:w="297" w:type="pct"/>
            <w:vAlign w:val="center"/>
          </w:tcPr>
          <w:p w14:paraId="23972D24" w14:textId="77777777" w:rsidR="003A11B0" w:rsidRPr="00B0658A" w:rsidRDefault="003A11B0" w:rsidP="003A11B0">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F52FED" w:rsidRPr="00B0658A" w14:paraId="6EB03972" w14:textId="77777777" w:rsidTr="00FE71B1">
        <w:trPr>
          <w:trHeight w:val="20"/>
        </w:trPr>
        <w:tc>
          <w:tcPr>
            <w:tcW w:w="283" w:type="pct"/>
            <w:shd w:val="clear" w:color="000000" w:fill="FFFFFF"/>
            <w:vAlign w:val="center"/>
          </w:tcPr>
          <w:p w14:paraId="4699A7EC" w14:textId="77777777" w:rsidR="003F2227" w:rsidRPr="00B0658A" w:rsidRDefault="003F2227" w:rsidP="00FE71B1">
            <w:pPr>
              <w:spacing w:after="0" w:line="240" w:lineRule="auto"/>
              <w:jc w:val="center"/>
              <w:rPr>
                <w:rFonts w:ascii="Times New Roman" w:hAnsi="Times New Roman"/>
                <w:sz w:val="18"/>
                <w:szCs w:val="18"/>
              </w:rPr>
            </w:pPr>
            <w:r w:rsidRPr="00B0658A">
              <w:rPr>
                <w:rFonts w:ascii="Times New Roman" w:hAnsi="Times New Roman"/>
                <w:sz w:val="18"/>
                <w:szCs w:val="18"/>
              </w:rPr>
              <w:t>2.10</w:t>
            </w:r>
          </w:p>
        </w:tc>
        <w:tc>
          <w:tcPr>
            <w:tcW w:w="1013" w:type="pct"/>
            <w:shd w:val="clear" w:color="auto" w:fill="auto"/>
            <w:vAlign w:val="center"/>
            <w:hideMark/>
          </w:tcPr>
          <w:p w14:paraId="0FCBEAAB" w14:textId="77777777" w:rsidR="003F2227" w:rsidRPr="00B0658A" w:rsidRDefault="003F2227" w:rsidP="00004A41">
            <w:pPr>
              <w:spacing w:after="0" w:line="240" w:lineRule="auto"/>
              <w:rPr>
                <w:rFonts w:ascii="Times New Roman" w:hAnsi="Times New Roman"/>
                <w:sz w:val="18"/>
                <w:szCs w:val="18"/>
              </w:rPr>
            </w:pPr>
            <w:r w:rsidRPr="00B0658A">
              <w:rPr>
                <w:rFonts w:ascii="Times New Roman" w:hAnsi="Times New Roman"/>
                <w:sz w:val="18"/>
                <w:szCs w:val="18"/>
              </w:rPr>
              <w:t>Системное программное обеспечение/ Операционные системы реального времени</w:t>
            </w:r>
          </w:p>
        </w:tc>
        <w:tc>
          <w:tcPr>
            <w:tcW w:w="704" w:type="pct"/>
            <w:shd w:val="clear" w:color="000000" w:fill="FFFFFF"/>
            <w:hideMark/>
          </w:tcPr>
          <w:p w14:paraId="1CF6651C" w14:textId="77777777" w:rsidR="003F2227" w:rsidRPr="00B0658A" w:rsidRDefault="003F2227" w:rsidP="00004A41">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03" w:type="pct"/>
            <w:shd w:val="clear" w:color="auto" w:fill="auto"/>
            <w:vAlign w:val="center"/>
            <w:hideMark/>
          </w:tcPr>
          <w:p w14:paraId="3391A57C" w14:textId="77777777" w:rsidR="003F2227" w:rsidRPr="00B0658A" w:rsidRDefault="003F2227" w:rsidP="00004A41">
            <w:pPr>
              <w:spacing w:after="0" w:line="240" w:lineRule="auto"/>
              <w:jc w:val="center"/>
              <w:rPr>
                <w:rFonts w:ascii="Times New Roman" w:hAnsi="Times New Roman"/>
                <w:sz w:val="18"/>
                <w:szCs w:val="18"/>
              </w:rPr>
            </w:pPr>
            <w:r w:rsidRPr="00B0658A">
              <w:rPr>
                <w:rFonts w:ascii="Times New Roman" w:hAnsi="Times New Roman"/>
                <w:sz w:val="18"/>
                <w:szCs w:val="18"/>
              </w:rPr>
              <w:t>10%</w:t>
            </w:r>
          </w:p>
        </w:tc>
        <w:tc>
          <w:tcPr>
            <w:tcW w:w="303" w:type="pct"/>
            <w:shd w:val="clear" w:color="auto" w:fill="auto"/>
            <w:vAlign w:val="center"/>
            <w:hideMark/>
          </w:tcPr>
          <w:p w14:paraId="7586565E" w14:textId="77777777" w:rsidR="003F2227" w:rsidRPr="00B0658A" w:rsidRDefault="003F2227" w:rsidP="00004A41">
            <w:pPr>
              <w:spacing w:after="0" w:line="240" w:lineRule="auto"/>
              <w:jc w:val="center"/>
              <w:rPr>
                <w:rFonts w:ascii="Times New Roman" w:hAnsi="Times New Roman"/>
                <w:sz w:val="18"/>
                <w:szCs w:val="18"/>
              </w:rPr>
            </w:pPr>
            <w:r w:rsidRPr="00B0658A">
              <w:rPr>
                <w:rFonts w:ascii="Times New Roman" w:hAnsi="Times New Roman"/>
                <w:sz w:val="18"/>
                <w:szCs w:val="18"/>
              </w:rPr>
              <w:t>20%</w:t>
            </w:r>
          </w:p>
        </w:tc>
        <w:tc>
          <w:tcPr>
            <w:tcW w:w="303" w:type="pct"/>
            <w:shd w:val="clear" w:color="auto" w:fill="auto"/>
            <w:vAlign w:val="center"/>
            <w:hideMark/>
          </w:tcPr>
          <w:p w14:paraId="3DAC4990" w14:textId="77777777" w:rsidR="003F2227" w:rsidRPr="00B0658A" w:rsidRDefault="003F2227" w:rsidP="00004A41">
            <w:pPr>
              <w:spacing w:after="0" w:line="240" w:lineRule="auto"/>
              <w:jc w:val="center"/>
              <w:rPr>
                <w:rFonts w:ascii="Times New Roman" w:hAnsi="Times New Roman"/>
                <w:sz w:val="18"/>
                <w:szCs w:val="18"/>
              </w:rPr>
            </w:pPr>
            <w:r w:rsidRPr="00B0658A">
              <w:rPr>
                <w:rFonts w:ascii="Times New Roman" w:hAnsi="Times New Roman"/>
                <w:sz w:val="18"/>
                <w:szCs w:val="18"/>
              </w:rPr>
              <w:t>30%</w:t>
            </w:r>
          </w:p>
        </w:tc>
        <w:tc>
          <w:tcPr>
            <w:tcW w:w="313" w:type="pct"/>
            <w:vAlign w:val="center"/>
          </w:tcPr>
          <w:p w14:paraId="158EE511" w14:textId="77777777" w:rsidR="003F2227" w:rsidRPr="00B0658A" w:rsidRDefault="003F2227" w:rsidP="00004A41">
            <w:pPr>
              <w:spacing w:after="0" w:line="240" w:lineRule="auto"/>
              <w:jc w:val="center"/>
              <w:rPr>
                <w:rFonts w:ascii="Times New Roman" w:hAnsi="Times New Roman"/>
                <w:sz w:val="18"/>
                <w:szCs w:val="18"/>
              </w:rPr>
            </w:pPr>
            <w:r w:rsidRPr="00B0658A">
              <w:rPr>
                <w:rFonts w:ascii="Times New Roman" w:hAnsi="Times New Roman"/>
                <w:sz w:val="18"/>
                <w:szCs w:val="18"/>
              </w:rPr>
              <w:t>100%</w:t>
            </w:r>
          </w:p>
        </w:tc>
        <w:tc>
          <w:tcPr>
            <w:tcW w:w="303" w:type="pct"/>
            <w:shd w:val="clear" w:color="auto" w:fill="auto"/>
            <w:vAlign w:val="center"/>
            <w:hideMark/>
          </w:tcPr>
          <w:p w14:paraId="25F68928" w14:textId="77777777" w:rsidR="003F2227" w:rsidRPr="00B0658A" w:rsidRDefault="003F2227" w:rsidP="00004A41">
            <w:pPr>
              <w:spacing w:after="0" w:line="240" w:lineRule="auto"/>
              <w:jc w:val="center"/>
              <w:rPr>
                <w:rFonts w:ascii="Times New Roman" w:hAnsi="Times New Roman"/>
                <w:sz w:val="18"/>
                <w:szCs w:val="18"/>
              </w:rPr>
            </w:pPr>
            <w:r w:rsidRPr="00B0658A">
              <w:rPr>
                <w:rFonts w:ascii="Times New Roman" w:hAnsi="Times New Roman"/>
                <w:sz w:val="18"/>
                <w:szCs w:val="18"/>
              </w:rPr>
              <w:t>40%</w:t>
            </w:r>
          </w:p>
        </w:tc>
        <w:tc>
          <w:tcPr>
            <w:tcW w:w="303" w:type="pct"/>
            <w:shd w:val="clear" w:color="auto" w:fill="auto"/>
            <w:vAlign w:val="center"/>
            <w:hideMark/>
          </w:tcPr>
          <w:p w14:paraId="7DF87E0C" w14:textId="77777777" w:rsidR="003F2227" w:rsidRPr="00B0658A" w:rsidRDefault="003F2227" w:rsidP="00004A41">
            <w:pPr>
              <w:spacing w:after="0" w:line="240" w:lineRule="auto"/>
              <w:jc w:val="center"/>
              <w:rPr>
                <w:rFonts w:ascii="Times New Roman" w:hAnsi="Times New Roman"/>
                <w:sz w:val="18"/>
                <w:szCs w:val="18"/>
              </w:rPr>
            </w:pPr>
            <w:r w:rsidRPr="00B0658A">
              <w:rPr>
                <w:rFonts w:ascii="Times New Roman" w:hAnsi="Times New Roman"/>
                <w:sz w:val="18"/>
                <w:szCs w:val="18"/>
              </w:rPr>
              <w:t>50%</w:t>
            </w:r>
          </w:p>
        </w:tc>
        <w:tc>
          <w:tcPr>
            <w:tcW w:w="303" w:type="pct"/>
            <w:shd w:val="clear" w:color="auto" w:fill="auto"/>
            <w:vAlign w:val="center"/>
            <w:hideMark/>
          </w:tcPr>
          <w:p w14:paraId="41088D3E" w14:textId="77777777" w:rsidR="003F2227" w:rsidRPr="00B0658A" w:rsidRDefault="003F2227" w:rsidP="00004A41">
            <w:pPr>
              <w:spacing w:after="0" w:line="240" w:lineRule="auto"/>
              <w:jc w:val="center"/>
              <w:rPr>
                <w:rFonts w:ascii="Times New Roman" w:hAnsi="Times New Roman"/>
                <w:sz w:val="18"/>
                <w:szCs w:val="18"/>
              </w:rPr>
            </w:pPr>
            <w:r w:rsidRPr="00B0658A">
              <w:rPr>
                <w:rFonts w:ascii="Times New Roman" w:hAnsi="Times New Roman"/>
                <w:sz w:val="18"/>
                <w:szCs w:val="18"/>
              </w:rPr>
              <w:t>60%</w:t>
            </w:r>
          </w:p>
        </w:tc>
        <w:tc>
          <w:tcPr>
            <w:tcW w:w="272" w:type="pct"/>
            <w:vAlign w:val="center"/>
          </w:tcPr>
          <w:p w14:paraId="001F592C" w14:textId="77777777" w:rsidR="003F2227" w:rsidRPr="00B0658A" w:rsidRDefault="003F2227" w:rsidP="00004A41">
            <w:pPr>
              <w:spacing w:after="0" w:line="240" w:lineRule="auto"/>
              <w:jc w:val="center"/>
              <w:rPr>
                <w:rFonts w:ascii="Times New Roman" w:hAnsi="Times New Roman"/>
                <w:sz w:val="18"/>
                <w:szCs w:val="18"/>
              </w:rPr>
            </w:pPr>
            <w:r w:rsidRPr="00B0658A">
              <w:rPr>
                <w:rFonts w:ascii="Times New Roman" w:hAnsi="Times New Roman"/>
                <w:sz w:val="18"/>
                <w:szCs w:val="18"/>
              </w:rPr>
              <w:t>70%</w:t>
            </w:r>
          </w:p>
        </w:tc>
        <w:tc>
          <w:tcPr>
            <w:tcW w:w="299" w:type="pct"/>
            <w:vAlign w:val="center"/>
          </w:tcPr>
          <w:p w14:paraId="4DAC91B3" w14:textId="77777777" w:rsidR="003F2227" w:rsidRPr="00B0658A" w:rsidRDefault="003F2227" w:rsidP="00004A41">
            <w:pPr>
              <w:spacing w:after="0" w:line="240" w:lineRule="auto"/>
              <w:jc w:val="center"/>
              <w:rPr>
                <w:rFonts w:ascii="Times New Roman" w:hAnsi="Times New Roman"/>
                <w:sz w:val="18"/>
                <w:szCs w:val="18"/>
              </w:rPr>
            </w:pPr>
            <w:r w:rsidRPr="00B0658A">
              <w:rPr>
                <w:rFonts w:ascii="Times New Roman" w:hAnsi="Times New Roman"/>
                <w:sz w:val="18"/>
                <w:szCs w:val="18"/>
              </w:rPr>
              <w:t>80%</w:t>
            </w:r>
          </w:p>
        </w:tc>
        <w:tc>
          <w:tcPr>
            <w:tcW w:w="297" w:type="pct"/>
            <w:vAlign w:val="center"/>
          </w:tcPr>
          <w:p w14:paraId="705E5A04" w14:textId="77777777" w:rsidR="003F2227" w:rsidRPr="00B0658A" w:rsidRDefault="003F2227" w:rsidP="00004A41">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F52FED" w:rsidRPr="00B0658A" w14:paraId="173D2377" w14:textId="77777777" w:rsidTr="00FE71B1">
        <w:trPr>
          <w:trHeight w:val="20"/>
        </w:trPr>
        <w:tc>
          <w:tcPr>
            <w:tcW w:w="283" w:type="pct"/>
            <w:shd w:val="clear" w:color="000000" w:fill="FFFFFF"/>
            <w:vAlign w:val="center"/>
          </w:tcPr>
          <w:p w14:paraId="7998BD20" w14:textId="77777777" w:rsidR="003F2227" w:rsidRPr="00B0658A" w:rsidRDefault="003F2227" w:rsidP="00FE71B1">
            <w:pPr>
              <w:spacing w:after="0" w:line="240" w:lineRule="auto"/>
              <w:jc w:val="center"/>
              <w:rPr>
                <w:rFonts w:ascii="Times New Roman" w:hAnsi="Times New Roman"/>
                <w:sz w:val="18"/>
                <w:szCs w:val="18"/>
              </w:rPr>
            </w:pPr>
            <w:r w:rsidRPr="00B0658A">
              <w:rPr>
                <w:rFonts w:ascii="Times New Roman" w:hAnsi="Times New Roman"/>
                <w:sz w:val="18"/>
                <w:szCs w:val="18"/>
              </w:rPr>
              <w:lastRenderedPageBreak/>
              <w:t>2.11</w:t>
            </w:r>
          </w:p>
        </w:tc>
        <w:tc>
          <w:tcPr>
            <w:tcW w:w="1013" w:type="pct"/>
            <w:shd w:val="clear" w:color="auto" w:fill="auto"/>
            <w:vAlign w:val="center"/>
            <w:hideMark/>
          </w:tcPr>
          <w:p w14:paraId="739C786C" w14:textId="77777777" w:rsidR="003F2227" w:rsidRPr="00B0658A" w:rsidRDefault="003F2227" w:rsidP="00004A41">
            <w:pPr>
              <w:spacing w:after="0" w:line="240" w:lineRule="auto"/>
              <w:rPr>
                <w:rFonts w:ascii="Times New Roman" w:hAnsi="Times New Roman"/>
                <w:sz w:val="18"/>
                <w:szCs w:val="18"/>
              </w:rPr>
            </w:pPr>
            <w:r w:rsidRPr="00B0658A">
              <w:rPr>
                <w:rFonts w:ascii="Times New Roman" w:hAnsi="Times New Roman"/>
                <w:sz w:val="18"/>
                <w:szCs w:val="18"/>
              </w:rPr>
              <w:t>Системное программное обеспечение/ Мобильная операционная система</w:t>
            </w:r>
          </w:p>
        </w:tc>
        <w:tc>
          <w:tcPr>
            <w:tcW w:w="704" w:type="pct"/>
            <w:shd w:val="clear" w:color="000000" w:fill="FFFFFF"/>
            <w:hideMark/>
          </w:tcPr>
          <w:p w14:paraId="54C4B48E" w14:textId="77777777" w:rsidR="003F2227" w:rsidRPr="00B0658A" w:rsidRDefault="003F2227" w:rsidP="00004A41">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03" w:type="pct"/>
            <w:shd w:val="clear" w:color="auto" w:fill="auto"/>
            <w:vAlign w:val="center"/>
            <w:hideMark/>
          </w:tcPr>
          <w:p w14:paraId="194F8607" w14:textId="77777777" w:rsidR="003F2227" w:rsidRPr="00B0658A" w:rsidRDefault="003F2227" w:rsidP="00004A41">
            <w:pPr>
              <w:spacing w:after="0" w:line="240" w:lineRule="auto"/>
              <w:jc w:val="center"/>
              <w:rPr>
                <w:rFonts w:ascii="Times New Roman" w:hAnsi="Times New Roman"/>
                <w:sz w:val="18"/>
                <w:szCs w:val="18"/>
              </w:rPr>
            </w:pPr>
            <w:r w:rsidRPr="00B0658A">
              <w:rPr>
                <w:rFonts w:ascii="Times New Roman" w:hAnsi="Times New Roman"/>
                <w:sz w:val="18"/>
                <w:szCs w:val="18"/>
              </w:rPr>
              <w:t>10%</w:t>
            </w:r>
          </w:p>
        </w:tc>
        <w:tc>
          <w:tcPr>
            <w:tcW w:w="303" w:type="pct"/>
            <w:shd w:val="clear" w:color="auto" w:fill="auto"/>
            <w:vAlign w:val="center"/>
            <w:hideMark/>
          </w:tcPr>
          <w:p w14:paraId="1AD5773D" w14:textId="77777777" w:rsidR="003F2227" w:rsidRPr="00B0658A" w:rsidRDefault="003F2227" w:rsidP="00004A41">
            <w:pPr>
              <w:spacing w:after="0" w:line="240" w:lineRule="auto"/>
              <w:jc w:val="center"/>
              <w:rPr>
                <w:rFonts w:ascii="Times New Roman" w:hAnsi="Times New Roman"/>
                <w:sz w:val="18"/>
                <w:szCs w:val="18"/>
              </w:rPr>
            </w:pPr>
            <w:r w:rsidRPr="00B0658A">
              <w:rPr>
                <w:rFonts w:ascii="Times New Roman" w:hAnsi="Times New Roman"/>
                <w:sz w:val="18"/>
                <w:szCs w:val="18"/>
              </w:rPr>
              <w:t>25%</w:t>
            </w:r>
          </w:p>
        </w:tc>
        <w:tc>
          <w:tcPr>
            <w:tcW w:w="303" w:type="pct"/>
            <w:shd w:val="clear" w:color="auto" w:fill="auto"/>
            <w:vAlign w:val="center"/>
            <w:hideMark/>
          </w:tcPr>
          <w:p w14:paraId="0A4C1796" w14:textId="77777777" w:rsidR="003F2227" w:rsidRPr="00B0658A" w:rsidRDefault="003F2227" w:rsidP="00004A41">
            <w:pPr>
              <w:spacing w:after="0" w:line="240" w:lineRule="auto"/>
              <w:jc w:val="center"/>
              <w:rPr>
                <w:rFonts w:ascii="Times New Roman" w:hAnsi="Times New Roman"/>
                <w:sz w:val="18"/>
                <w:szCs w:val="18"/>
              </w:rPr>
            </w:pPr>
            <w:r w:rsidRPr="00B0658A">
              <w:rPr>
                <w:rFonts w:ascii="Times New Roman" w:hAnsi="Times New Roman"/>
                <w:sz w:val="18"/>
                <w:szCs w:val="18"/>
              </w:rPr>
              <w:t>40%</w:t>
            </w:r>
          </w:p>
        </w:tc>
        <w:tc>
          <w:tcPr>
            <w:tcW w:w="313" w:type="pct"/>
            <w:vAlign w:val="center"/>
          </w:tcPr>
          <w:p w14:paraId="2431805A" w14:textId="77777777" w:rsidR="003F2227" w:rsidRPr="00B0658A" w:rsidRDefault="003F2227" w:rsidP="00004A41">
            <w:pPr>
              <w:spacing w:after="0" w:line="240" w:lineRule="auto"/>
              <w:jc w:val="center"/>
              <w:rPr>
                <w:rFonts w:ascii="Times New Roman" w:hAnsi="Times New Roman"/>
                <w:sz w:val="18"/>
                <w:szCs w:val="18"/>
              </w:rPr>
            </w:pPr>
            <w:r w:rsidRPr="00B0658A">
              <w:rPr>
                <w:rFonts w:ascii="Times New Roman" w:hAnsi="Times New Roman"/>
                <w:sz w:val="18"/>
                <w:szCs w:val="18"/>
              </w:rPr>
              <w:t>100%</w:t>
            </w:r>
          </w:p>
        </w:tc>
        <w:tc>
          <w:tcPr>
            <w:tcW w:w="303" w:type="pct"/>
            <w:shd w:val="clear" w:color="auto" w:fill="auto"/>
            <w:vAlign w:val="center"/>
            <w:hideMark/>
          </w:tcPr>
          <w:p w14:paraId="1A15D2A4" w14:textId="77777777" w:rsidR="003F2227" w:rsidRPr="00B0658A" w:rsidRDefault="003F2227" w:rsidP="00004A41">
            <w:pPr>
              <w:spacing w:after="0" w:line="240" w:lineRule="auto"/>
              <w:jc w:val="center"/>
              <w:rPr>
                <w:rFonts w:ascii="Times New Roman" w:hAnsi="Times New Roman"/>
                <w:sz w:val="18"/>
                <w:szCs w:val="18"/>
              </w:rPr>
            </w:pPr>
            <w:r w:rsidRPr="00B0658A">
              <w:rPr>
                <w:rFonts w:ascii="Times New Roman" w:hAnsi="Times New Roman"/>
                <w:sz w:val="18"/>
                <w:szCs w:val="18"/>
              </w:rPr>
              <w:t>55%</w:t>
            </w:r>
          </w:p>
        </w:tc>
        <w:tc>
          <w:tcPr>
            <w:tcW w:w="303" w:type="pct"/>
            <w:shd w:val="clear" w:color="auto" w:fill="auto"/>
            <w:vAlign w:val="center"/>
            <w:hideMark/>
          </w:tcPr>
          <w:p w14:paraId="523E9E2A" w14:textId="77777777" w:rsidR="003F2227" w:rsidRPr="00B0658A" w:rsidRDefault="003F2227" w:rsidP="00004A41">
            <w:pPr>
              <w:spacing w:after="0" w:line="240" w:lineRule="auto"/>
              <w:jc w:val="center"/>
              <w:rPr>
                <w:rFonts w:ascii="Times New Roman" w:hAnsi="Times New Roman"/>
                <w:sz w:val="18"/>
                <w:szCs w:val="18"/>
              </w:rPr>
            </w:pPr>
            <w:r w:rsidRPr="00B0658A">
              <w:rPr>
                <w:rFonts w:ascii="Times New Roman" w:hAnsi="Times New Roman"/>
                <w:sz w:val="18"/>
                <w:szCs w:val="18"/>
              </w:rPr>
              <w:t>65%</w:t>
            </w:r>
          </w:p>
        </w:tc>
        <w:tc>
          <w:tcPr>
            <w:tcW w:w="303" w:type="pct"/>
            <w:shd w:val="clear" w:color="auto" w:fill="auto"/>
            <w:vAlign w:val="center"/>
            <w:hideMark/>
          </w:tcPr>
          <w:p w14:paraId="4746A120" w14:textId="77777777" w:rsidR="003F2227" w:rsidRPr="00B0658A" w:rsidRDefault="003F2227" w:rsidP="00004A41">
            <w:pPr>
              <w:spacing w:after="0" w:line="240" w:lineRule="auto"/>
              <w:jc w:val="center"/>
              <w:rPr>
                <w:rFonts w:ascii="Times New Roman" w:hAnsi="Times New Roman"/>
                <w:sz w:val="18"/>
                <w:szCs w:val="18"/>
              </w:rPr>
            </w:pPr>
            <w:r w:rsidRPr="00B0658A">
              <w:rPr>
                <w:rFonts w:ascii="Times New Roman" w:hAnsi="Times New Roman"/>
                <w:sz w:val="18"/>
                <w:szCs w:val="18"/>
              </w:rPr>
              <w:t>75%</w:t>
            </w:r>
          </w:p>
        </w:tc>
        <w:tc>
          <w:tcPr>
            <w:tcW w:w="272" w:type="pct"/>
            <w:vAlign w:val="center"/>
          </w:tcPr>
          <w:p w14:paraId="7BA029BB" w14:textId="77777777" w:rsidR="003F2227" w:rsidRPr="00B0658A" w:rsidRDefault="003F2227" w:rsidP="00004A41">
            <w:pPr>
              <w:spacing w:after="0" w:line="240" w:lineRule="auto"/>
              <w:jc w:val="center"/>
              <w:rPr>
                <w:rFonts w:ascii="Times New Roman" w:hAnsi="Times New Roman"/>
                <w:sz w:val="18"/>
                <w:szCs w:val="18"/>
              </w:rPr>
            </w:pPr>
            <w:r w:rsidRPr="00B0658A">
              <w:rPr>
                <w:rFonts w:ascii="Times New Roman" w:hAnsi="Times New Roman"/>
                <w:sz w:val="18"/>
                <w:szCs w:val="18"/>
              </w:rPr>
              <w:t>85%</w:t>
            </w:r>
          </w:p>
        </w:tc>
        <w:tc>
          <w:tcPr>
            <w:tcW w:w="299" w:type="pct"/>
            <w:vAlign w:val="center"/>
          </w:tcPr>
          <w:p w14:paraId="4A6DD45B" w14:textId="77777777" w:rsidR="003F2227" w:rsidRPr="00B0658A" w:rsidRDefault="003F2227" w:rsidP="00004A41">
            <w:pPr>
              <w:spacing w:after="0" w:line="240" w:lineRule="auto"/>
              <w:jc w:val="center"/>
              <w:rPr>
                <w:rFonts w:ascii="Times New Roman" w:hAnsi="Times New Roman"/>
                <w:sz w:val="18"/>
                <w:szCs w:val="18"/>
              </w:rPr>
            </w:pPr>
            <w:r w:rsidRPr="00B0658A">
              <w:rPr>
                <w:rFonts w:ascii="Times New Roman" w:hAnsi="Times New Roman"/>
                <w:sz w:val="18"/>
                <w:szCs w:val="18"/>
              </w:rPr>
              <w:t>100%</w:t>
            </w:r>
          </w:p>
        </w:tc>
        <w:tc>
          <w:tcPr>
            <w:tcW w:w="297" w:type="pct"/>
            <w:vAlign w:val="center"/>
          </w:tcPr>
          <w:p w14:paraId="727896C6" w14:textId="77777777" w:rsidR="003F2227" w:rsidRPr="00B0658A" w:rsidRDefault="003F2227" w:rsidP="00004A41">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F52FED" w:rsidRPr="00B0658A" w14:paraId="57895548" w14:textId="77777777" w:rsidTr="00FE71B1">
        <w:trPr>
          <w:trHeight w:val="20"/>
        </w:trPr>
        <w:tc>
          <w:tcPr>
            <w:tcW w:w="283" w:type="pct"/>
            <w:shd w:val="clear" w:color="000000" w:fill="FFFFFF"/>
            <w:vAlign w:val="center"/>
          </w:tcPr>
          <w:p w14:paraId="1F8657B0" w14:textId="77777777" w:rsidR="003F2227" w:rsidRPr="00B0658A" w:rsidRDefault="003F2227" w:rsidP="00FE71B1">
            <w:pPr>
              <w:spacing w:after="0" w:line="240" w:lineRule="auto"/>
              <w:jc w:val="center"/>
              <w:rPr>
                <w:rFonts w:ascii="Times New Roman" w:hAnsi="Times New Roman"/>
                <w:sz w:val="18"/>
                <w:szCs w:val="18"/>
              </w:rPr>
            </w:pPr>
            <w:r w:rsidRPr="00B0658A">
              <w:rPr>
                <w:rFonts w:ascii="Times New Roman" w:hAnsi="Times New Roman"/>
                <w:sz w:val="18"/>
                <w:szCs w:val="18"/>
              </w:rPr>
              <w:t>2.12</w:t>
            </w:r>
          </w:p>
        </w:tc>
        <w:tc>
          <w:tcPr>
            <w:tcW w:w="1013" w:type="pct"/>
            <w:shd w:val="clear" w:color="auto" w:fill="auto"/>
            <w:vAlign w:val="center"/>
            <w:hideMark/>
          </w:tcPr>
          <w:p w14:paraId="7FDEAB0A" w14:textId="77777777" w:rsidR="003F2227" w:rsidRPr="00B0658A" w:rsidRDefault="003F2227" w:rsidP="00004A41">
            <w:pPr>
              <w:spacing w:after="0" w:line="240" w:lineRule="auto"/>
              <w:rPr>
                <w:rFonts w:ascii="Times New Roman" w:hAnsi="Times New Roman"/>
                <w:sz w:val="18"/>
                <w:szCs w:val="18"/>
              </w:rPr>
            </w:pPr>
            <w:r w:rsidRPr="00B0658A">
              <w:rPr>
                <w:rFonts w:ascii="Times New Roman" w:hAnsi="Times New Roman"/>
                <w:sz w:val="18"/>
                <w:szCs w:val="18"/>
              </w:rPr>
              <w:t>Системное программное обеспечение / Системы контейнеризации и контейнеры</w:t>
            </w:r>
          </w:p>
        </w:tc>
        <w:tc>
          <w:tcPr>
            <w:tcW w:w="704" w:type="pct"/>
            <w:shd w:val="clear" w:color="000000" w:fill="FFFFFF"/>
            <w:hideMark/>
          </w:tcPr>
          <w:p w14:paraId="1C549000" w14:textId="77777777" w:rsidR="003F2227" w:rsidRPr="00B0658A" w:rsidRDefault="003F2227" w:rsidP="00004A41">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03" w:type="pct"/>
            <w:shd w:val="clear" w:color="auto" w:fill="auto"/>
            <w:vAlign w:val="center"/>
            <w:hideMark/>
          </w:tcPr>
          <w:p w14:paraId="73252318" w14:textId="77777777" w:rsidR="003F2227" w:rsidRPr="00B0658A" w:rsidRDefault="003F2227" w:rsidP="00004A41">
            <w:pPr>
              <w:spacing w:after="0" w:line="240" w:lineRule="auto"/>
              <w:jc w:val="center"/>
              <w:rPr>
                <w:rFonts w:ascii="Times New Roman" w:hAnsi="Times New Roman"/>
                <w:sz w:val="18"/>
                <w:szCs w:val="18"/>
              </w:rPr>
            </w:pPr>
            <w:r w:rsidRPr="00B0658A">
              <w:rPr>
                <w:rFonts w:ascii="Times New Roman" w:hAnsi="Times New Roman"/>
                <w:sz w:val="18"/>
                <w:szCs w:val="18"/>
              </w:rPr>
              <w:t>25%</w:t>
            </w:r>
          </w:p>
        </w:tc>
        <w:tc>
          <w:tcPr>
            <w:tcW w:w="303" w:type="pct"/>
            <w:shd w:val="clear" w:color="auto" w:fill="auto"/>
            <w:vAlign w:val="center"/>
            <w:hideMark/>
          </w:tcPr>
          <w:p w14:paraId="72C03A6A" w14:textId="77777777" w:rsidR="003F2227" w:rsidRPr="00B0658A" w:rsidRDefault="003F2227" w:rsidP="00004A41">
            <w:pPr>
              <w:spacing w:after="0" w:line="240" w:lineRule="auto"/>
              <w:jc w:val="center"/>
              <w:rPr>
                <w:rFonts w:ascii="Times New Roman" w:hAnsi="Times New Roman"/>
                <w:sz w:val="18"/>
                <w:szCs w:val="18"/>
              </w:rPr>
            </w:pPr>
            <w:r w:rsidRPr="00B0658A">
              <w:rPr>
                <w:rFonts w:ascii="Times New Roman" w:hAnsi="Times New Roman"/>
                <w:sz w:val="18"/>
                <w:szCs w:val="18"/>
              </w:rPr>
              <w:t>35%</w:t>
            </w:r>
          </w:p>
        </w:tc>
        <w:tc>
          <w:tcPr>
            <w:tcW w:w="303" w:type="pct"/>
            <w:shd w:val="clear" w:color="auto" w:fill="auto"/>
            <w:vAlign w:val="center"/>
            <w:hideMark/>
          </w:tcPr>
          <w:p w14:paraId="538DE786" w14:textId="77777777" w:rsidR="003F2227" w:rsidRPr="00B0658A" w:rsidRDefault="003F2227" w:rsidP="00004A41">
            <w:pPr>
              <w:spacing w:after="0" w:line="240" w:lineRule="auto"/>
              <w:jc w:val="center"/>
              <w:rPr>
                <w:rFonts w:ascii="Times New Roman" w:hAnsi="Times New Roman"/>
                <w:sz w:val="18"/>
                <w:szCs w:val="18"/>
              </w:rPr>
            </w:pPr>
            <w:r w:rsidRPr="00B0658A">
              <w:rPr>
                <w:rFonts w:ascii="Times New Roman" w:hAnsi="Times New Roman"/>
                <w:sz w:val="18"/>
                <w:szCs w:val="18"/>
              </w:rPr>
              <w:t>50%</w:t>
            </w:r>
          </w:p>
        </w:tc>
        <w:tc>
          <w:tcPr>
            <w:tcW w:w="313" w:type="pct"/>
            <w:vAlign w:val="center"/>
          </w:tcPr>
          <w:p w14:paraId="05F7D2A1" w14:textId="77777777" w:rsidR="003F2227" w:rsidRPr="00B0658A" w:rsidRDefault="003F2227" w:rsidP="00004A41">
            <w:pPr>
              <w:spacing w:after="0" w:line="240" w:lineRule="auto"/>
              <w:jc w:val="center"/>
              <w:rPr>
                <w:rFonts w:ascii="Times New Roman" w:hAnsi="Times New Roman"/>
                <w:sz w:val="18"/>
                <w:szCs w:val="18"/>
              </w:rPr>
            </w:pPr>
            <w:r w:rsidRPr="00B0658A">
              <w:rPr>
                <w:rFonts w:ascii="Times New Roman" w:hAnsi="Times New Roman"/>
                <w:sz w:val="18"/>
                <w:szCs w:val="18"/>
              </w:rPr>
              <w:t>100%</w:t>
            </w:r>
          </w:p>
        </w:tc>
        <w:tc>
          <w:tcPr>
            <w:tcW w:w="303" w:type="pct"/>
            <w:shd w:val="clear" w:color="auto" w:fill="auto"/>
            <w:vAlign w:val="center"/>
            <w:hideMark/>
          </w:tcPr>
          <w:p w14:paraId="0F5820E4" w14:textId="77777777" w:rsidR="003F2227" w:rsidRPr="00B0658A" w:rsidRDefault="003F2227" w:rsidP="00004A41">
            <w:pPr>
              <w:spacing w:after="0" w:line="240" w:lineRule="auto"/>
              <w:jc w:val="center"/>
              <w:rPr>
                <w:rFonts w:ascii="Times New Roman" w:hAnsi="Times New Roman"/>
                <w:sz w:val="18"/>
                <w:szCs w:val="18"/>
              </w:rPr>
            </w:pPr>
            <w:r w:rsidRPr="00B0658A">
              <w:rPr>
                <w:rFonts w:ascii="Times New Roman" w:hAnsi="Times New Roman"/>
                <w:sz w:val="18"/>
                <w:szCs w:val="18"/>
              </w:rPr>
              <w:t>60%</w:t>
            </w:r>
          </w:p>
        </w:tc>
        <w:tc>
          <w:tcPr>
            <w:tcW w:w="303" w:type="pct"/>
            <w:shd w:val="clear" w:color="auto" w:fill="auto"/>
            <w:vAlign w:val="center"/>
            <w:hideMark/>
          </w:tcPr>
          <w:p w14:paraId="42F2795C" w14:textId="77777777" w:rsidR="003F2227" w:rsidRPr="00B0658A" w:rsidRDefault="003F2227" w:rsidP="00004A41">
            <w:pPr>
              <w:spacing w:after="0" w:line="240" w:lineRule="auto"/>
              <w:jc w:val="center"/>
              <w:rPr>
                <w:rFonts w:ascii="Times New Roman" w:hAnsi="Times New Roman"/>
                <w:sz w:val="18"/>
                <w:szCs w:val="18"/>
              </w:rPr>
            </w:pPr>
            <w:r w:rsidRPr="00B0658A">
              <w:rPr>
                <w:rFonts w:ascii="Times New Roman" w:hAnsi="Times New Roman"/>
                <w:sz w:val="18"/>
                <w:szCs w:val="18"/>
              </w:rPr>
              <w:t>70%</w:t>
            </w:r>
          </w:p>
        </w:tc>
        <w:tc>
          <w:tcPr>
            <w:tcW w:w="303" w:type="pct"/>
            <w:shd w:val="clear" w:color="auto" w:fill="auto"/>
            <w:vAlign w:val="center"/>
            <w:hideMark/>
          </w:tcPr>
          <w:p w14:paraId="6B26908A" w14:textId="77777777" w:rsidR="003F2227" w:rsidRPr="00B0658A" w:rsidRDefault="003F2227" w:rsidP="00004A41">
            <w:pPr>
              <w:spacing w:after="0" w:line="240" w:lineRule="auto"/>
              <w:jc w:val="center"/>
              <w:rPr>
                <w:rFonts w:ascii="Times New Roman" w:hAnsi="Times New Roman"/>
                <w:sz w:val="18"/>
                <w:szCs w:val="18"/>
              </w:rPr>
            </w:pPr>
            <w:r w:rsidRPr="00B0658A">
              <w:rPr>
                <w:rFonts w:ascii="Times New Roman" w:hAnsi="Times New Roman"/>
                <w:sz w:val="18"/>
                <w:szCs w:val="18"/>
              </w:rPr>
              <w:t>80%</w:t>
            </w:r>
          </w:p>
        </w:tc>
        <w:tc>
          <w:tcPr>
            <w:tcW w:w="272" w:type="pct"/>
            <w:vAlign w:val="center"/>
          </w:tcPr>
          <w:p w14:paraId="41840155" w14:textId="77777777" w:rsidR="003F2227" w:rsidRPr="00B0658A" w:rsidRDefault="003F2227" w:rsidP="00004A41">
            <w:pPr>
              <w:spacing w:after="0" w:line="240" w:lineRule="auto"/>
              <w:jc w:val="center"/>
              <w:rPr>
                <w:rFonts w:ascii="Times New Roman" w:hAnsi="Times New Roman"/>
                <w:sz w:val="18"/>
                <w:szCs w:val="18"/>
              </w:rPr>
            </w:pPr>
            <w:r w:rsidRPr="00B0658A">
              <w:rPr>
                <w:rFonts w:ascii="Times New Roman" w:hAnsi="Times New Roman"/>
                <w:sz w:val="18"/>
                <w:szCs w:val="18"/>
              </w:rPr>
              <w:t>90%</w:t>
            </w:r>
          </w:p>
        </w:tc>
        <w:tc>
          <w:tcPr>
            <w:tcW w:w="299" w:type="pct"/>
            <w:vAlign w:val="center"/>
          </w:tcPr>
          <w:p w14:paraId="0033F5D2" w14:textId="77777777" w:rsidR="003F2227" w:rsidRPr="00B0658A" w:rsidRDefault="003F2227" w:rsidP="00004A41">
            <w:pPr>
              <w:spacing w:after="0" w:line="240" w:lineRule="auto"/>
              <w:jc w:val="center"/>
              <w:rPr>
                <w:rFonts w:ascii="Times New Roman" w:hAnsi="Times New Roman"/>
                <w:sz w:val="18"/>
                <w:szCs w:val="18"/>
              </w:rPr>
            </w:pPr>
            <w:r w:rsidRPr="00B0658A">
              <w:rPr>
                <w:rFonts w:ascii="Times New Roman" w:hAnsi="Times New Roman"/>
                <w:sz w:val="18"/>
                <w:szCs w:val="18"/>
              </w:rPr>
              <w:t>100%</w:t>
            </w:r>
          </w:p>
        </w:tc>
        <w:tc>
          <w:tcPr>
            <w:tcW w:w="297" w:type="pct"/>
            <w:vAlign w:val="center"/>
          </w:tcPr>
          <w:p w14:paraId="646A27E4" w14:textId="77777777" w:rsidR="003F2227" w:rsidRPr="00B0658A" w:rsidRDefault="003F2227" w:rsidP="00004A41">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766F9E" w:rsidRPr="00B0658A" w14:paraId="533B3EF8" w14:textId="77777777" w:rsidTr="00FE71B1">
        <w:trPr>
          <w:trHeight w:val="20"/>
        </w:trPr>
        <w:tc>
          <w:tcPr>
            <w:tcW w:w="283" w:type="pct"/>
            <w:shd w:val="clear" w:color="000000" w:fill="FFFFFF"/>
            <w:vAlign w:val="center"/>
          </w:tcPr>
          <w:p w14:paraId="4A999242" w14:textId="77777777" w:rsidR="00766F9E" w:rsidRPr="00B0658A" w:rsidRDefault="00766F9E" w:rsidP="00FE71B1">
            <w:pPr>
              <w:spacing w:after="0" w:line="240" w:lineRule="auto"/>
              <w:jc w:val="center"/>
              <w:rPr>
                <w:rFonts w:ascii="Times New Roman" w:hAnsi="Times New Roman"/>
                <w:sz w:val="18"/>
                <w:szCs w:val="18"/>
              </w:rPr>
            </w:pPr>
            <w:r w:rsidRPr="00B0658A">
              <w:rPr>
                <w:rFonts w:ascii="Times New Roman" w:hAnsi="Times New Roman"/>
                <w:sz w:val="18"/>
                <w:szCs w:val="18"/>
              </w:rPr>
              <w:t>3.1</w:t>
            </w:r>
          </w:p>
        </w:tc>
        <w:tc>
          <w:tcPr>
            <w:tcW w:w="1013" w:type="pct"/>
            <w:shd w:val="clear" w:color="auto" w:fill="auto"/>
            <w:vAlign w:val="center"/>
            <w:hideMark/>
          </w:tcPr>
          <w:p w14:paraId="008CC56C" w14:textId="77777777" w:rsidR="00766F9E" w:rsidRPr="00B0658A" w:rsidRDefault="00766F9E" w:rsidP="00766F9E">
            <w:pPr>
              <w:spacing w:after="0" w:line="240" w:lineRule="auto"/>
              <w:rPr>
                <w:rFonts w:ascii="Times New Roman" w:hAnsi="Times New Roman"/>
                <w:sz w:val="18"/>
                <w:szCs w:val="18"/>
              </w:rPr>
            </w:pPr>
            <w:r w:rsidRPr="00B0658A">
              <w:rPr>
                <w:rFonts w:ascii="Times New Roman" w:hAnsi="Times New Roman"/>
                <w:sz w:val="18"/>
                <w:szCs w:val="18"/>
              </w:rPr>
              <w:t>Средства обеспечения информационной безопасности/ Средства защиты от несанкционированного доступа к информации</w:t>
            </w:r>
          </w:p>
        </w:tc>
        <w:tc>
          <w:tcPr>
            <w:tcW w:w="704" w:type="pct"/>
            <w:shd w:val="clear" w:color="000000" w:fill="FFFFFF"/>
            <w:hideMark/>
          </w:tcPr>
          <w:p w14:paraId="337E72BD" w14:textId="77777777" w:rsidR="00766F9E" w:rsidRPr="00B0658A" w:rsidRDefault="00766F9E" w:rsidP="00766F9E">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03" w:type="pct"/>
            <w:shd w:val="clear" w:color="auto" w:fill="auto"/>
            <w:vAlign w:val="center"/>
            <w:hideMark/>
          </w:tcPr>
          <w:p w14:paraId="15048079" w14:textId="77777777" w:rsidR="00766F9E" w:rsidRPr="00B0658A" w:rsidRDefault="00766F9E" w:rsidP="00766F9E">
            <w:pPr>
              <w:spacing w:after="0" w:line="240" w:lineRule="auto"/>
              <w:jc w:val="center"/>
              <w:rPr>
                <w:rFonts w:ascii="Times New Roman" w:hAnsi="Times New Roman"/>
                <w:sz w:val="18"/>
                <w:szCs w:val="18"/>
              </w:rPr>
            </w:pPr>
            <w:r>
              <w:rPr>
                <w:rFonts w:ascii="Times New Roman" w:hAnsi="Times New Roman"/>
                <w:sz w:val="18"/>
                <w:szCs w:val="18"/>
              </w:rPr>
              <w:t>60</w:t>
            </w:r>
            <w:r w:rsidRPr="00B0658A">
              <w:rPr>
                <w:rFonts w:ascii="Times New Roman" w:hAnsi="Times New Roman"/>
                <w:sz w:val="18"/>
                <w:szCs w:val="18"/>
                <w:lang w:val="en-US"/>
              </w:rPr>
              <w:t>%</w:t>
            </w:r>
          </w:p>
        </w:tc>
        <w:tc>
          <w:tcPr>
            <w:tcW w:w="303" w:type="pct"/>
            <w:shd w:val="clear" w:color="auto" w:fill="auto"/>
            <w:vAlign w:val="center"/>
            <w:hideMark/>
          </w:tcPr>
          <w:p w14:paraId="68C16FB1" w14:textId="77777777" w:rsidR="00766F9E" w:rsidRPr="00B0658A" w:rsidRDefault="00766F9E" w:rsidP="00766F9E">
            <w:pPr>
              <w:spacing w:after="0" w:line="240" w:lineRule="auto"/>
              <w:jc w:val="center"/>
              <w:rPr>
                <w:rFonts w:ascii="Times New Roman" w:hAnsi="Times New Roman"/>
                <w:sz w:val="18"/>
                <w:szCs w:val="18"/>
              </w:rPr>
            </w:pPr>
            <w:r>
              <w:rPr>
                <w:rFonts w:ascii="Times New Roman" w:hAnsi="Times New Roman"/>
                <w:sz w:val="18"/>
                <w:szCs w:val="18"/>
              </w:rPr>
              <w:t>8</w:t>
            </w:r>
            <w:r w:rsidRPr="00B0658A">
              <w:rPr>
                <w:rFonts w:ascii="Times New Roman" w:hAnsi="Times New Roman"/>
                <w:sz w:val="18"/>
                <w:szCs w:val="18"/>
                <w:lang w:val="en-US"/>
              </w:rPr>
              <w:t>0%</w:t>
            </w:r>
          </w:p>
        </w:tc>
        <w:tc>
          <w:tcPr>
            <w:tcW w:w="303" w:type="pct"/>
            <w:shd w:val="clear" w:color="auto" w:fill="auto"/>
            <w:vAlign w:val="center"/>
            <w:hideMark/>
          </w:tcPr>
          <w:p w14:paraId="5FE6D7AA"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13" w:type="pct"/>
            <w:vAlign w:val="center"/>
          </w:tcPr>
          <w:p w14:paraId="35EC8EBE" w14:textId="77777777" w:rsidR="00766F9E" w:rsidRPr="00B0658A" w:rsidRDefault="00766F9E" w:rsidP="00766F9E">
            <w:pPr>
              <w:spacing w:after="0" w:line="240" w:lineRule="auto"/>
              <w:jc w:val="center"/>
              <w:rPr>
                <w:rFonts w:ascii="Times New Roman" w:hAnsi="Times New Roman"/>
                <w:sz w:val="18"/>
                <w:szCs w:val="18"/>
                <w:lang w:val="en-US"/>
              </w:rPr>
            </w:pPr>
            <w:r w:rsidRPr="00B0658A">
              <w:rPr>
                <w:rFonts w:ascii="Times New Roman" w:hAnsi="Times New Roman"/>
                <w:sz w:val="18"/>
                <w:szCs w:val="18"/>
              </w:rPr>
              <w:t>100%</w:t>
            </w:r>
          </w:p>
        </w:tc>
        <w:tc>
          <w:tcPr>
            <w:tcW w:w="303" w:type="pct"/>
            <w:shd w:val="clear" w:color="auto" w:fill="auto"/>
            <w:vAlign w:val="center"/>
            <w:hideMark/>
          </w:tcPr>
          <w:p w14:paraId="4F2CDDC6"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03" w:type="pct"/>
            <w:shd w:val="clear" w:color="auto" w:fill="auto"/>
            <w:vAlign w:val="center"/>
            <w:hideMark/>
          </w:tcPr>
          <w:p w14:paraId="0744CB1A"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03" w:type="pct"/>
            <w:shd w:val="clear" w:color="auto" w:fill="auto"/>
            <w:vAlign w:val="center"/>
            <w:hideMark/>
          </w:tcPr>
          <w:p w14:paraId="75305393"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rPr>
              <w:t>100%</w:t>
            </w:r>
          </w:p>
        </w:tc>
        <w:tc>
          <w:tcPr>
            <w:tcW w:w="272" w:type="pct"/>
            <w:vAlign w:val="center"/>
          </w:tcPr>
          <w:p w14:paraId="5A0311E8"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299" w:type="pct"/>
            <w:vAlign w:val="center"/>
          </w:tcPr>
          <w:p w14:paraId="42D2D383"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297" w:type="pct"/>
            <w:vAlign w:val="center"/>
          </w:tcPr>
          <w:p w14:paraId="2D092773"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766F9E" w:rsidRPr="00B0658A" w14:paraId="1703FE50" w14:textId="77777777" w:rsidTr="00FE71B1">
        <w:trPr>
          <w:trHeight w:val="20"/>
        </w:trPr>
        <w:tc>
          <w:tcPr>
            <w:tcW w:w="283" w:type="pct"/>
            <w:shd w:val="clear" w:color="000000" w:fill="FFFFFF"/>
            <w:vAlign w:val="center"/>
          </w:tcPr>
          <w:p w14:paraId="22EB81EB" w14:textId="77777777" w:rsidR="00766F9E" w:rsidRPr="00B0658A" w:rsidRDefault="00766F9E" w:rsidP="00FE71B1">
            <w:pPr>
              <w:spacing w:after="0" w:line="240" w:lineRule="auto"/>
              <w:jc w:val="center"/>
              <w:rPr>
                <w:rFonts w:ascii="Times New Roman" w:hAnsi="Times New Roman"/>
                <w:sz w:val="18"/>
                <w:szCs w:val="18"/>
              </w:rPr>
            </w:pPr>
            <w:r w:rsidRPr="00B0658A">
              <w:rPr>
                <w:rFonts w:ascii="Times New Roman" w:hAnsi="Times New Roman"/>
                <w:sz w:val="18"/>
                <w:szCs w:val="18"/>
              </w:rPr>
              <w:t>3.2</w:t>
            </w:r>
          </w:p>
        </w:tc>
        <w:tc>
          <w:tcPr>
            <w:tcW w:w="1013" w:type="pct"/>
            <w:shd w:val="clear" w:color="auto" w:fill="auto"/>
            <w:vAlign w:val="center"/>
            <w:hideMark/>
          </w:tcPr>
          <w:p w14:paraId="3FE3D556" w14:textId="77777777" w:rsidR="00766F9E" w:rsidRPr="00B0658A" w:rsidRDefault="00766F9E" w:rsidP="00766F9E">
            <w:pPr>
              <w:spacing w:after="0" w:line="240" w:lineRule="auto"/>
              <w:rPr>
                <w:rFonts w:ascii="Times New Roman" w:hAnsi="Times New Roman"/>
                <w:sz w:val="18"/>
                <w:szCs w:val="18"/>
              </w:rPr>
            </w:pPr>
            <w:r w:rsidRPr="00B0658A">
              <w:rPr>
                <w:rFonts w:ascii="Times New Roman" w:hAnsi="Times New Roman"/>
                <w:sz w:val="18"/>
                <w:szCs w:val="18"/>
              </w:rPr>
              <w:t>Средства обеспечения информационной безопасности/ Средства управления событиями информационной безопасности</w:t>
            </w:r>
          </w:p>
        </w:tc>
        <w:tc>
          <w:tcPr>
            <w:tcW w:w="704" w:type="pct"/>
            <w:shd w:val="clear" w:color="000000" w:fill="FFFFFF"/>
            <w:hideMark/>
          </w:tcPr>
          <w:p w14:paraId="227C0A3A" w14:textId="77777777" w:rsidR="00766F9E" w:rsidRPr="00B0658A" w:rsidRDefault="00766F9E" w:rsidP="00766F9E">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03" w:type="pct"/>
            <w:shd w:val="clear" w:color="auto" w:fill="auto"/>
            <w:vAlign w:val="center"/>
            <w:hideMark/>
          </w:tcPr>
          <w:p w14:paraId="0BA11F93" w14:textId="77777777" w:rsidR="00766F9E" w:rsidRPr="00B0658A" w:rsidRDefault="00766F9E" w:rsidP="00766F9E">
            <w:pPr>
              <w:spacing w:after="0" w:line="240" w:lineRule="auto"/>
              <w:jc w:val="center"/>
              <w:rPr>
                <w:rFonts w:ascii="Times New Roman" w:hAnsi="Times New Roman"/>
                <w:sz w:val="18"/>
                <w:szCs w:val="18"/>
              </w:rPr>
            </w:pPr>
            <w:r>
              <w:rPr>
                <w:rFonts w:ascii="Times New Roman" w:hAnsi="Times New Roman"/>
                <w:sz w:val="18"/>
                <w:szCs w:val="18"/>
              </w:rPr>
              <w:t>60</w:t>
            </w:r>
            <w:r w:rsidRPr="00B0658A">
              <w:rPr>
                <w:rFonts w:ascii="Times New Roman" w:hAnsi="Times New Roman"/>
                <w:sz w:val="18"/>
                <w:szCs w:val="18"/>
                <w:lang w:val="en-US"/>
              </w:rPr>
              <w:t>%</w:t>
            </w:r>
          </w:p>
        </w:tc>
        <w:tc>
          <w:tcPr>
            <w:tcW w:w="303" w:type="pct"/>
            <w:shd w:val="clear" w:color="auto" w:fill="auto"/>
            <w:vAlign w:val="center"/>
            <w:hideMark/>
          </w:tcPr>
          <w:p w14:paraId="3F450F56" w14:textId="77777777" w:rsidR="00766F9E" w:rsidRPr="00B0658A" w:rsidRDefault="00766F9E" w:rsidP="00766F9E">
            <w:pPr>
              <w:spacing w:after="0" w:line="240" w:lineRule="auto"/>
              <w:jc w:val="center"/>
              <w:rPr>
                <w:rFonts w:ascii="Times New Roman" w:hAnsi="Times New Roman"/>
                <w:sz w:val="18"/>
                <w:szCs w:val="18"/>
              </w:rPr>
            </w:pPr>
            <w:r>
              <w:rPr>
                <w:rFonts w:ascii="Times New Roman" w:hAnsi="Times New Roman"/>
                <w:sz w:val="18"/>
                <w:szCs w:val="18"/>
              </w:rPr>
              <w:t>8</w:t>
            </w:r>
            <w:r w:rsidRPr="00B0658A">
              <w:rPr>
                <w:rFonts w:ascii="Times New Roman" w:hAnsi="Times New Roman"/>
                <w:sz w:val="18"/>
                <w:szCs w:val="18"/>
                <w:lang w:val="en-US"/>
              </w:rPr>
              <w:t>0%</w:t>
            </w:r>
          </w:p>
        </w:tc>
        <w:tc>
          <w:tcPr>
            <w:tcW w:w="303" w:type="pct"/>
            <w:shd w:val="clear" w:color="auto" w:fill="auto"/>
            <w:vAlign w:val="center"/>
            <w:hideMark/>
          </w:tcPr>
          <w:p w14:paraId="576A3447"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13" w:type="pct"/>
            <w:vAlign w:val="center"/>
          </w:tcPr>
          <w:p w14:paraId="20646010" w14:textId="77777777" w:rsidR="00766F9E" w:rsidRPr="00B0658A" w:rsidRDefault="00766F9E" w:rsidP="00766F9E">
            <w:pPr>
              <w:spacing w:after="0" w:line="240" w:lineRule="auto"/>
              <w:jc w:val="center"/>
              <w:rPr>
                <w:rFonts w:ascii="Times New Roman" w:hAnsi="Times New Roman"/>
                <w:sz w:val="18"/>
                <w:szCs w:val="18"/>
                <w:lang w:val="en-US"/>
              </w:rPr>
            </w:pPr>
            <w:r w:rsidRPr="00B0658A">
              <w:rPr>
                <w:rFonts w:ascii="Times New Roman" w:hAnsi="Times New Roman"/>
                <w:sz w:val="18"/>
                <w:szCs w:val="18"/>
              </w:rPr>
              <w:t>100%</w:t>
            </w:r>
          </w:p>
        </w:tc>
        <w:tc>
          <w:tcPr>
            <w:tcW w:w="303" w:type="pct"/>
            <w:shd w:val="clear" w:color="auto" w:fill="auto"/>
            <w:vAlign w:val="center"/>
            <w:hideMark/>
          </w:tcPr>
          <w:p w14:paraId="45C5F83D"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03" w:type="pct"/>
            <w:shd w:val="clear" w:color="auto" w:fill="auto"/>
            <w:vAlign w:val="center"/>
            <w:hideMark/>
          </w:tcPr>
          <w:p w14:paraId="56D11F5D"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03" w:type="pct"/>
            <w:shd w:val="clear" w:color="auto" w:fill="auto"/>
            <w:vAlign w:val="center"/>
            <w:hideMark/>
          </w:tcPr>
          <w:p w14:paraId="2FAD1F82"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rPr>
              <w:t>100%</w:t>
            </w:r>
          </w:p>
        </w:tc>
        <w:tc>
          <w:tcPr>
            <w:tcW w:w="272" w:type="pct"/>
            <w:vAlign w:val="center"/>
          </w:tcPr>
          <w:p w14:paraId="1F9E8736"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299" w:type="pct"/>
            <w:vAlign w:val="center"/>
          </w:tcPr>
          <w:p w14:paraId="1FB5D2F3"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297" w:type="pct"/>
            <w:vAlign w:val="center"/>
          </w:tcPr>
          <w:p w14:paraId="1D6A6DD3"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F52FED" w:rsidRPr="00B0658A" w14:paraId="5B023007" w14:textId="77777777" w:rsidTr="00FE71B1">
        <w:trPr>
          <w:trHeight w:val="20"/>
        </w:trPr>
        <w:tc>
          <w:tcPr>
            <w:tcW w:w="283" w:type="pct"/>
            <w:shd w:val="clear" w:color="000000" w:fill="FFFFFF"/>
            <w:vAlign w:val="center"/>
          </w:tcPr>
          <w:p w14:paraId="0F40018E" w14:textId="77777777" w:rsidR="003F2227" w:rsidRPr="00B0658A" w:rsidRDefault="003F2227" w:rsidP="00FE71B1">
            <w:pPr>
              <w:spacing w:after="0" w:line="240" w:lineRule="auto"/>
              <w:jc w:val="center"/>
              <w:rPr>
                <w:rFonts w:ascii="Times New Roman" w:hAnsi="Times New Roman"/>
                <w:sz w:val="18"/>
                <w:szCs w:val="18"/>
              </w:rPr>
            </w:pPr>
            <w:r w:rsidRPr="00B0658A">
              <w:rPr>
                <w:rFonts w:ascii="Times New Roman" w:hAnsi="Times New Roman"/>
                <w:sz w:val="18"/>
                <w:szCs w:val="18"/>
              </w:rPr>
              <w:t>3.3</w:t>
            </w:r>
          </w:p>
        </w:tc>
        <w:tc>
          <w:tcPr>
            <w:tcW w:w="1013" w:type="pct"/>
            <w:shd w:val="clear" w:color="auto" w:fill="auto"/>
            <w:vAlign w:val="center"/>
            <w:hideMark/>
          </w:tcPr>
          <w:p w14:paraId="25886ACC" w14:textId="77777777" w:rsidR="003F2227" w:rsidRPr="00B0658A" w:rsidRDefault="003F2227" w:rsidP="00004A41">
            <w:pPr>
              <w:spacing w:after="0" w:line="240" w:lineRule="auto"/>
              <w:rPr>
                <w:rFonts w:ascii="Times New Roman" w:hAnsi="Times New Roman"/>
                <w:sz w:val="18"/>
                <w:szCs w:val="18"/>
              </w:rPr>
            </w:pPr>
            <w:r w:rsidRPr="00B0658A">
              <w:rPr>
                <w:rFonts w:ascii="Times New Roman" w:hAnsi="Times New Roman"/>
                <w:sz w:val="18"/>
                <w:szCs w:val="18"/>
              </w:rPr>
              <w:t>Средства обеспечения информационной безопасности/ Межсетевые экраны</w:t>
            </w:r>
          </w:p>
        </w:tc>
        <w:tc>
          <w:tcPr>
            <w:tcW w:w="704" w:type="pct"/>
            <w:shd w:val="clear" w:color="000000" w:fill="FFFFFF"/>
            <w:hideMark/>
          </w:tcPr>
          <w:p w14:paraId="7D75CF26" w14:textId="77777777" w:rsidR="003F2227" w:rsidRPr="00B0658A" w:rsidRDefault="003F2227" w:rsidP="00004A41">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03" w:type="pct"/>
            <w:shd w:val="clear" w:color="auto" w:fill="auto"/>
            <w:vAlign w:val="center"/>
            <w:hideMark/>
          </w:tcPr>
          <w:p w14:paraId="2B98EA1B" w14:textId="77777777" w:rsidR="003F2227" w:rsidRPr="00B0658A" w:rsidRDefault="003F2227" w:rsidP="00004A41">
            <w:pPr>
              <w:spacing w:after="0" w:line="240" w:lineRule="auto"/>
              <w:jc w:val="center"/>
              <w:rPr>
                <w:rFonts w:ascii="Times New Roman" w:hAnsi="Times New Roman"/>
                <w:sz w:val="18"/>
                <w:szCs w:val="18"/>
              </w:rPr>
            </w:pPr>
            <w:r w:rsidRPr="00B0658A">
              <w:rPr>
                <w:rFonts w:ascii="Times New Roman" w:hAnsi="Times New Roman"/>
                <w:sz w:val="18"/>
                <w:szCs w:val="18"/>
                <w:lang w:val="en-US"/>
              </w:rPr>
              <w:t>50%</w:t>
            </w:r>
          </w:p>
        </w:tc>
        <w:tc>
          <w:tcPr>
            <w:tcW w:w="303" w:type="pct"/>
            <w:shd w:val="clear" w:color="auto" w:fill="auto"/>
            <w:vAlign w:val="center"/>
            <w:hideMark/>
          </w:tcPr>
          <w:p w14:paraId="2459C6AE" w14:textId="77777777" w:rsidR="003F2227" w:rsidRPr="00B0658A" w:rsidRDefault="00FD16E4" w:rsidP="00004A41">
            <w:pPr>
              <w:spacing w:after="0" w:line="240" w:lineRule="auto"/>
              <w:jc w:val="center"/>
              <w:rPr>
                <w:rFonts w:ascii="Times New Roman" w:hAnsi="Times New Roman"/>
                <w:sz w:val="18"/>
                <w:szCs w:val="18"/>
              </w:rPr>
            </w:pPr>
            <w:r>
              <w:rPr>
                <w:rFonts w:ascii="Times New Roman" w:hAnsi="Times New Roman"/>
                <w:sz w:val="18"/>
                <w:szCs w:val="18"/>
              </w:rPr>
              <w:t>8</w:t>
            </w:r>
            <w:r w:rsidR="003F2227" w:rsidRPr="00B0658A">
              <w:rPr>
                <w:rFonts w:ascii="Times New Roman" w:hAnsi="Times New Roman"/>
                <w:sz w:val="18"/>
                <w:szCs w:val="18"/>
                <w:lang w:val="en-US"/>
              </w:rPr>
              <w:t>0%</w:t>
            </w:r>
          </w:p>
        </w:tc>
        <w:tc>
          <w:tcPr>
            <w:tcW w:w="303" w:type="pct"/>
            <w:shd w:val="clear" w:color="auto" w:fill="auto"/>
            <w:vAlign w:val="center"/>
            <w:hideMark/>
          </w:tcPr>
          <w:p w14:paraId="2327D5E2" w14:textId="77777777" w:rsidR="003F2227" w:rsidRPr="00B0658A" w:rsidRDefault="00FD16E4" w:rsidP="00004A41">
            <w:pPr>
              <w:spacing w:after="0" w:line="240" w:lineRule="auto"/>
              <w:jc w:val="center"/>
              <w:rPr>
                <w:rFonts w:ascii="Times New Roman" w:hAnsi="Times New Roman"/>
                <w:sz w:val="18"/>
                <w:szCs w:val="18"/>
              </w:rPr>
            </w:pPr>
            <w:r>
              <w:rPr>
                <w:rFonts w:ascii="Times New Roman" w:hAnsi="Times New Roman"/>
                <w:sz w:val="18"/>
                <w:szCs w:val="18"/>
              </w:rPr>
              <w:t>9</w:t>
            </w:r>
            <w:r w:rsidR="003F2227" w:rsidRPr="00B0658A">
              <w:rPr>
                <w:rFonts w:ascii="Times New Roman" w:hAnsi="Times New Roman"/>
                <w:sz w:val="18"/>
                <w:szCs w:val="18"/>
                <w:lang w:val="en-US"/>
              </w:rPr>
              <w:t>0%</w:t>
            </w:r>
          </w:p>
        </w:tc>
        <w:tc>
          <w:tcPr>
            <w:tcW w:w="313" w:type="pct"/>
            <w:vAlign w:val="center"/>
          </w:tcPr>
          <w:p w14:paraId="4A44FC51" w14:textId="77777777" w:rsidR="003F2227" w:rsidRPr="00B0658A" w:rsidRDefault="003F2227" w:rsidP="00004A41">
            <w:pPr>
              <w:spacing w:after="0" w:line="240" w:lineRule="auto"/>
              <w:jc w:val="center"/>
              <w:rPr>
                <w:rFonts w:ascii="Times New Roman" w:hAnsi="Times New Roman"/>
                <w:sz w:val="18"/>
                <w:szCs w:val="18"/>
                <w:lang w:val="en-US"/>
              </w:rPr>
            </w:pPr>
            <w:r w:rsidRPr="00B0658A">
              <w:rPr>
                <w:rFonts w:ascii="Times New Roman" w:hAnsi="Times New Roman"/>
                <w:sz w:val="18"/>
                <w:szCs w:val="18"/>
              </w:rPr>
              <w:t>100%</w:t>
            </w:r>
          </w:p>
        </w:tc>
        <w:tc>
          <w:tcPr>
            <w:tcW w:w="303" w:type="pct"/>
            <w:shd w:val="clear" w:color="auto" w:fill="auto"/>
            <w:vAlign w:val="center"/>
            <w:hideMark/>
          </w:tcPr>
          <w:p w14:paraId="539098A0" w14:textId="77777777" w:rsidR="003F2227" w:rsidRPr="00B0658A" w:rsidRDefault="00462783" w:rsidP="00004A41">
            <w:pPr>
              <w:spacing w:after="0" w:line="240" w:lineRule="auto"/>
              <w:jc w:val="center"/>
              <w:rPr>
                <w:rFonts w:ascii="Times New Roman" w:hAnsi="Times New Roman"/>
                <w:sz w:val="18"/>
                <w:szCs w:val="18"/>
              </w:rPr>
            </w:pPr>
            <w:r>
              <w:rPr>
                <w:rFonts w:ascii="Times New Roman" w:hAnsi="Times New Roman"/>
                <w:sz w:val="18"/>
                <w:szCs w:val="18"/>
              </w:rPr>
              <w:t>100</w:t>
            </w:r>
            <w:r w:rsidR="003F2227" w:rsidRPr="00B0658A">
              <w:rPr>
                <w:rFonts w:ascii="Times New Roman" w:hAnsi="Times New Roman"/>
                <w:sz w:val="18"/>
                <w:szCs w:val="18"/>
                <w:lang w:val="en-US"/>
              </w:rPr>
              <w:t>%</w:t>
            </w:r>
          </w:p>
        </w:tc>
        <w:tc>
          <w:tcPr>
            <w:tcW w:w="303" w:type="pct"/>
            <w:shd w:val="clear" w:color="auto" w:fill="auto"/>
            <w:vAlign w:val="center"/>
            <w:hideMark/>
          </w:tcPr>
          <w:p w14:paraId="6D3C0CDC" w14:textId="77777777" w:rsidR="003F2227" w:rsidRPr="00B0658A" w:rsidRDefault="003F2227" w:rsidP="00004A41">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03" w:type="pct"/>
            <w:shd w:val="clear" w:color="auto" w:fill="auto"/>
            <w:vAlign w:val="center"/>
            <w:hideMark/>
          </w:tcPr>
          <w:p w14:paraId="33C652DA" w14:textId="77777777" w:rsidR="003F2227" w:rsidRPr="00B0658A" w:rsidRDefault="003F2227" w:rsidP="00004A41">
            <w:pPr>
              <w:spacing w:after="0" w:line="240" w:lineRule="auto"/>
              <w:jc w:val="center"/>
              <w:rPr>
                <w:rFonts w:ascii="Times New Roman" w:hAnsi="Times New Roman"/>
                <w:sz w:val="18"/>
                <w:szCs w:val="18"/>
              </w:rPr>
            </w:pPr>
            <w:r w:rsidRPr="00B0658A">
              <w:rPr>
                <w:rFonts w:ascii="Times New Roman" w:hAnsi="Times New Roman"/>
                <w:sz w:val="18"/>
                <w:szCs w:val="18"/>
              </w:rPr>
              <w:t>100%</w:t>
            </w:r>
          </w:p>
        </w:tc>
        <w:tc>
          <w:tcPr>
            <w:tcW w:w="272" w:type="pct"/>
            <w:vAlign w:val="center"/>
          </w:tcPr>
          <w:p w14:paraId="5A6543A5" w14:textId="77777777" w:rsidR="003F2227" w:rsidRPr="00B0658A" w:rsidRDefault="003F2227" w:rsidP="00004A41">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299" w:type="pct"/>
            <w:vAlign w:val="center"/>
          </w:tcPr>
          <w:p w14:paraId="79E0F198" w14:textId="77777777" w:rsidR="003F2227" w:rsidRPr="00B0658A" w:rsidRDefault="003F2227" w:rsidP="00004A41">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297" w:type="pct"/>
            <w:vAlign w:val="center"/>
          </w:tcPr>
          <w:p w14:paraId="45A1608F" w14:textId="77777777" w:rsidR="003F2227" w:rsidRPr="00B0658A" w:rsidRDefault="003F2227" w:rsidP="00004A41">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766F9E" w:rsidRPr="00B0658A" w14:paraId="5640F2EA" w14:textId="77777777" w:rsidTr="00FE71B1">
        <w:trPr>
          <w:trHeight w:val="20"/>
        </w:trPr>
        <w:tc>
          <w:tcPr>
            <w:tcW w:w="283" w:type="pct"/>
            <w:shd w:val="clear" w:color="000000" w:fill="FFFFFF"/>
            <w:vAlign w:val="center"/>
          </w:tcPr>
          <w:p w14:paraId="7DF973D3" w14:textId="77777777" w:rsidR="00766F9E" w:rsidRPr="00B0658A" w:rsidRDefault="00766F9E" w:rsidP="00FE71B1">
            <w:pPr>
              <w:spacing w:after="0" w:line="240" w:lineRule="auto"/>
              <w:jc w:val="center"/>
              <w:rPr>
                <w:rFonts w:ascii="Times New Roman" w:hAnsi="Times New Roman"/>
                <w:sz w:val="18"/>
                <w:szCs w:val="18"/>
              </w:rPr>
            </w:pPr>
            <w:r w:rsidRPr="00B0658A">
              <w:rPr>
                <w:rFonts w:ascii="Times New Roman" w:hAnsi="Times New Roman"/>
                <w:sz w:val="18"/>
                <w:szCs w:val="18"/>
              </w:rPr>
              <w:t>3.4</w:t>
            </w:r>
          </w:p>
        </w:tc>
        <w:tc>
          <w:tcPr>
            <w:tcW w:w="1013" w:type="pct"/>
            <w:shd w:val="clear" w:color="auto" w:fill="auto"/>
            <w:vAlign w:val="center"/>
            <w:hideMark/>
          </w:tcPr>
          <w:p w14:paraId="65DD6C72" w14:textId="77777777" w:rsidR="00766F9E" w:rsidRPr="00B0658A" w:rsidRDefault="00766F9E" w:rsidP="00766F9E">
            <w:pPr>
              <w:spacing w:after="0" w:line="240" w:lineRule="auto"/>
              <w:rPr>
                <w:rFonts w:ascii="Times New Roman" w:hAnsi="Times New Roman"/>
                <w:sz w:val="18"/>
                <w:szCs w:val="18"/>
              </w:rPr>
            </w:pPr>
            <w:r w:rsidRPr="00B0658A">
              <w:rPr>
                <w:rFonts w:ascii="Times New Roman" w:hAnsi="Times New Roman"/>
                <w:sz w:val="18"/>
                <w:szCs w:val="18"/>
              </w:rPr>
              <w:t>Средства обеспечения информационной безопасности/ Средства фильтрации негативного контента</w:t>
            </w:r>
          </w:p>
        </w:tc>
        <w:tc>
          <w:tcPr>
            <w:tcW w:w="704" w:type="pct"/>
            <w:shd w:val="clear" w:color="000000" w:fill="FFFFFF"/>
            <w:hideMark/>
          </w:tcPr>
          <w:p w14:paraId="7A9648EC" w14:textId="77777777" w:rsidR="00766F9E" w:rsidRPr="00B0658A" w:rsidRDefault="00766F9E" w:rsidP="00766F9E">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03" w:type="pct"/>
            <w:shd w:val="clear" w:color="auto" w:fill="auto"/>
            <w:vAlign w:val="center"/>
            <w:hideMark/>
          </w:tcPr>
          <w:p w14:paraId="72787B12" w14:textId="77777777" w:rsidR="00766F9E" w:rsidRPr="00B0658A" w:rsidRDefault="00766F9E" w:rsidP="00766F9E">
            <w:pPr>
              <w:spacing w:after="0" w:line="240" w:lineRule="auto"/>
              <w:jc w:val="center"/>
              <w:rPr>
                <w:rFonts w:ascii="Times New Roman" w:hAnsi="Times New Roman"/>
                <w:sz w:val="18"/>
                <w:szCs w:val="18"/>
              </w:rPr>
            </w:pPr>
            <w:r>
              <w:rPr>
                <w:rFonts w:ascii="Times New Roman" w:hAnsi="Times New Roman"/>
                <w:sz w:val="18"/>
                <w:szCs w:val="18"/>
              </w:rPr>
              <w:t>60</w:t>
            </w:r>
            <w:r w:rsidRPr="00B0658A">
              <w:rPr>
                <w:rFonts w:ascii="Times New Roman" w:hAnsi="Times New Roman"/>
                <w:sz w:val="18"/>
                <w:szCs w:val="18"/>
                <w:lang w:val="en-US"/>
              </w:rPr>
              <w:t>%</w:t>
            </w:r>
          </w:p>
        </w:tc>
        <w:tc>
          <w:tcPr>
            <w:tcW w:w="303" w:type="pct"/>
            <w:shd w:val="clear" w:color="auto" w:fill="auto"/>
            <w:vAlign w:val="center"/>
            <w:hideMark/>
          </w:tcPr>
          <w:p w14:paraId="13164CC4" w14:textId="77777777" w:rsidR="00766F9E" w:rsidRPr="00B0658A" w:rsidRDefault="00766F9E" w:rsidP="00766F9E">
            <w:pPr>
              <w:spacing w:after="0" w:line="240" w:lineRule="auto"/>
              <w:jc w:val="center"/>
              <w:rPr>
                <w:rFonts w:ascii="Times New Roman" w:hAnsi="Times New Roman"/>
                <w:sz w:val="18"/>
                <w:szCs w:val="18"/>
              </w:rPr>
            </w:pPr>
            <w:r>
              <w:rPr>
                <w:rFonts w:ascii="Times New Roman" w:hAnsi="Times New Roman"/>
                <w:sz w:val="18"/>
                <w:szCs w:val="18"/>
              </w:rPr>
              <w:t>8</w:t>
            </w:r>
            <w:r w:rsidRPr="00B0658A">
              <w:rPr>
                <w:rFonts w:ascii="Times New Roman" w:hAnsi="Times New Roman"/>
                <w:sz w:val="18"/>
                <w:szCs w:val="18"/>
                <w:lang w:val="en-US"/>
              </w:rPr>
              <w:t>0%</w:t>
            </w:r>
          </w:p>
        </w:tc>
        <w:tc>
          <w:tcPr>
            <w:tcW w:w="303" w:type="pct"/>
            <w:shd w:val="clear" w:color="auto" w:fill="auto"/>
            <w:vAlign w:val="center"/>
            <w:hideMark/>
          </w:tcPr>
          <w:p w14:paraId="598BABFB"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13" w:type="pct"/>
            <w:vAlign w:val="center"/>
          </w:tcPr>
          <w:p w14:paraId="5E519F89" w14:textId="77777777" w:rsidR="00766F9E" w:rsidRPr="00B0658A" w:rsidRDefault="00766F9E" w:rsidP="00766F9E">
            <w:pPr>
              <w:spacing w:after="0" w:line="240" w:lineRule="auto"/>
              <w:jc w:val="center"/>
              <w:rPr>
                <w:rFonts w:ascii="Times New Roman" w:hAnsi="Times New Roman"/>
                <w:sz w:val="18"/>
                <w:szCs w:val="18"/>
                <w:lang w:val="en-US"/>
              </w:rPr>
            </w:pPr>
            <w:r w:rsidRPr="00B0658A">
              <w:rPr>
                <w:rFonts w:ascii="Times New Roman" w:hAnsi="Times New Roman"/>
                <w:sz w:val="18"/>
                <w:szCs w:val="18"/>
              </w:rPr>
              <w:t>100%</w:t>
            </w:r>
          </w:p>
        </w:tc>
        <w:tc>
          <w:tcPr>
            <w:tcW w:w="303" w:type="pct"/>
            <w:shd w:val="clear" w:color="auto" w:fill="auto"/>
            <w:vAlign w:val="center"/>
            <w:hideMark/>
          </w:tcPr>
          <w:p w14:paraId="7C62456C"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03" w:type="pct"/>
            <w:shd w:val="clear" w:color="auto" w:fill="auto"/>
            <w:vAlign w:val="center"/>
            <w:hideMark/>
          </w:tcPr>
          <w:p w14:paraId="610E4DB3"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03" w:type="pct"/>
            <w:shd w:val="clear" w:color="auto" w:fill="auto"/>
            <w:vAlign w:val="center"/>
            <w:hideMark/>
          </w:tcPr>
          <w:p w14:paraId="7CC7A377"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rPr>
              <w:t>100%</w:t>
            </w:r>
          </w:p>
        </w:tc>
        <w:tc>
          <w:tcPr>
            <w:tcW w:w="272" w:type="pct"/>
            <w:vAlign w:val="center"/>
          </w:tcPr>
          <w:p w14:paraId="11D70B76"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299" w:type="pct"/>
            <w:vAlign w:val="center"/>
          </w:tcPr>
          <w:p w14:paraId="01DF71D5"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297" w:type="pct"/>
            <w:vAlign w:val="center"/>
          </w:tcPr>
          <w:p w14:paraId="741EA230"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766F9E" w:rsidRPr="00B0658A" w14:paraId="32B7F9C7" w14:textId="77777777" w:rsidTr="00FE71B1">
        <w:trPr>
          <w:trHeight w:val="20"/>
        </w:trPr>
        <w:tc>
          <w:tcPr>
            <w:tcW w:w="283" w:type="pct"/>
            <w:shd w:val="clear" w:color="000000" w:fill="FFFFFF"/>
            <w:vAlign w:val="center"/>
          </w:tcPr>
          <w:p w14:paraId="14B3E5EF" w14:textId="77777777" w:rsidR="00766F9E" w:rsidRPr="00B0658A" w:rsidRDefault="00766F9E" w:rsidP="00FE71B1">
            <w:pPr>
              <w:spacing w:after="0" w:line="240" w:lineRule="auto"/>
              <w:jc w:val="center"/>
              <w:rPr>
                <w:rFonts w:ascii="Times New Roman" w:hAnsi="Times New Roman"/>
                <w:sz w:val="18"/>
                <w:szCs w:val="18"/>
              </w:rPr>
            </w:pPr>
            <w:r w:rsidRPr="00B0658A">
              <w:rPr>
                <w:rFonts w:ascii="Times New Roman" w:hAnsi="Times New Roman"/>
                <w:sz w:val="18"/>
                <w:szCs w:val="18"/>
              </w:rPr>
              <w:t>3.5</w:t>
            </w:r>
          </w:p>
        </w:tc>
        <w:tc>
          <w:tcPr>
            <w:tcW w:w="1013" w:type="pct"/>
            <w:shd w:val="clear" w:color="auto" w:fill="auto"/>
            <w:vAlign w:val="center"/>
            <w:hideMark/>
          </w:tcPr>
          <w:p w14:paraId="5488BD04" w14:textId="77777777" w:rsidR="00766F9E" w:rsidRPr="00B0658A" w:rsidRDefault="00766F9E" w:rsidP="00766F9E">
            <w:pPr>
              <w:spacing w:after="0" w:line="240" w:lineRule="auto"/>
              <w:rPr>
                <w:rFonts w:ascii="Times New Roman" w:hAnsi="Times New Roman"/>
                <w:sz w:val="18"/>
                <w:szCs w:val="18"/>
              </w:rPr>
            </w:pPr>
            <w:r w:rsidRPr="00B0658A">
              <w:rPr>
                <w:rFonts w:ascii="Times New Roman" w:hAnsi="Times New Roman"/>
                <w:sz w:val="18"/>
                <w:szCs w:val="18"/>
              </w:rPr>
              <w:t>Средства обеспечения информационной безопасности/ Средства защиты сервисов онлайн-платежей и дистанционного банковского обслуживания</w:t>
            </w:r>
          </w:p>
        </w:tc>
        <w:tc>
          <w:tcPr>
            <w:tcW w:w="704" w:type="pct"/>
            <w:shd w:val="clear" w:color="000000" w:fill="FFFFFF"/>
            <w:hideMark/>
          </w:tcPr>
          <w:p w14:paraId="1CC82F54" w14:textId="77777777" w:rsidR="00766F9E" w:rsidRPr="00B0658A" w:rsidRDefault="00766F9E" w:rsidP="00766F9E">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03" w:type="pct"/>
            <w:shd w:val="clear" w:color="auto" w:fill="auto"/>
            <w:vAlign w:val="center"/>
            <w:hideMark/>
          </w:tcPr>
          <w:p w14:paraId="46CC5A12" w14:textId="77777777" w:rsidR="00766F9E" w:rsidRPr="00B0658A" w:rsidRDefault="00766F9E" w:rsidP="00766F9E">
            <w:pPr>
              <w:spacing w:after="0" w:line="240" w:lineRule="auto"/>
              <w:jc w:val="center"/>
              <w:rPr>
                <w:rFonts w:ascii="Times New Roman" w:hAnsi="Times New Roman"/>
                <w:sz w:val="18"/>
                <w:szCs w:val="18"/>
              </w:rPr>
            </w:pPr>
            <w:r>
              <w:rPr>
                <w:rFonts w:ascii="Times New Roman" w:hAnsi="Times New Roman"/>
                <w:sz w:val="18"/>
                <w:szCs w:val="18"/>
              </w:rPr>
              <w:t>60</w:t>
            </w:r>
            <w:r w:rsidRPr="00B0658A">
              <w:rPr>
                <w:rFonts w:ascii="Times New Roman" w:hAnsi="Times New Roman"/>
                <w:sz w:val="18"/>
                <w:szCs w:val="18"/>
                <w:lang w:val="en-US"/>
              </w:rPr>
              <w:t>%</w:t>
            </w:r>
          </w:p>
        </w:tc>
        <w:tc>
          <w:tcPr>
            <w:tcW w:w="303" w:type="pct"/>
            <w:shd w:val="clear" w:color="auto" w:fill="auto"/>
            <w:vAlign w:val="center"/>
            <w:hideMark/>
          </w:tcPr>
          <w:p w14:paraId="28A832FE" w14:textId="77777777" w:rsidR="00766F9E" w:rsidRPr="00B0658A" w:rsidRDefault="00766F9E" w:rsidP="00766F9E">
            <w:pPr>
              <w:spacing w:after="0" w:line="240" w:lineRule="auto"/>
              <w:jc w:val="center"/>
              <w:rPr>
                <w:rFonts w:ascii="Times New Roman" w:hAnsi="Times New Roman"/>
                <w:sz w:val="18"/>
                <w:szCs w:val="18"/>
              </w:rPr>
            </w:pPr>
            <w:r>
              <w:rPr>
                <w:rFonts w:ascii="Times New Roman" w:hAnsi="Times New Roman"/>
                <w:sz w:val="18"/>
                <w:szCs w:val="18"/>
              </w:rPr>
              <w:t>8</w:t>
            </w:r>
            <w:r w:rsidRPr="00B0658A">
              <w:rPr>
                <w:rFonts w:ascii="Times New Roman" w:hAnsi="Times New Roman"/>
                <w:sz w:val="18"/>
                <w:szCs w:val="18"/>
                <w:lang w:val="en-US"/>
              </w:rPr>
              <w:t>0%</w:t>
            </w:r>
          </w:p>
        </w:tc>
        <w:tc>
          <w:tcPr>
            <w:tcW w:w="303" w:type="pct"/>
            <w:shd w:val="clear" w:color="auto" w:fill="auto"/>
            <w:vAlign w:val="center"/>
            <w:hideMark/>
          </w:tcPr>
          <w:p w14:paraId="57B8F491"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13" w:type="pct"/>
            <w:vAlign w:val="center"/>
          </w:tcPr>
          <w:p w14:paraId="6D8B44A7" w14:textId="77777777" w:rsidR="00766F9E" w:rsidRPr="00B0658A" w:rsidRDefault="00766F9E" w:rsidP="00766F9E">
            <w:pPr>
              <w:spacing w:after="0" w:line="240" w:lineRule="auto"/>
              <w:jc w:val="center"/>
              <w:rPr>
                <w:rFonts w:ascii="Times New Roman" w:hAnsi="Times New Roman"/>
                <w:sz w:val="18"/>
                <w:szCs w:val="18"/>
                <w:lang w:val="en-US"/>
              </w:rPr>
            </w:pPr>
            <w:r w:rsidRPr="00B0658A">
              <w:rPr>
                <w:rFonts w:ascii="Times New Roman" w:hAnsi="Times New Roman"/>
                <w:sz w:val="18"/>
                <w:szCs w:val="18"/>
              </w:rPr>
              <w:t>100%</w:t>
            </w:r>
          </w:p>
        </w:tc>
        <w:tc>
          <w:tcPr>
            <w:tcW w:w="303" w:type="pct"/>
            <w:shd w:val="clear" w:color="auto" w:fill="auto"/>
            <w:vAlign w:val="center"/>
            <w:hideMark/>
          </w:tcPr>
          <w:p w14:paraId="12D59CAD"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03" w:type="pct"/>
            <w:shd w:val="clear" w:color="auto" w:fill="auto"/>
            <w:vAlign w:val="center"/>
            <w:hideMark/>
          </w:tcPr>
          <w:p w14:paraId="27E862CE"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03" w:type="pct"/>
            <w:shd w:val="clear" w:color="auto" w:fill="auto"/>
            <w:vAlign w:val="center"/>
            <w:hideMark/>
          </w:tcPr>
          <w:p w14:paraId="19233707"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rPr>
              <w:t>100%</w:t>
            </w:r>
          </w:p>
        </w:tc>
        <w:tc>
          <w:tcPr>
            <w:tcW w:w="272" w:type="pct"/>
            <w:vAlign w:val="center"/>
          </w:tcPr>
          <w:p w14:paraId="7702D83D"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299" w:type="pct"/>
            <w:vAlign w:val="center"/>
          </w:tcPr>
          <w:p w14:paraId="432E8E0D"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297" w:type="pct"/>
            <w:vAlign w:val="center"/>
          </w:tcPr>
          <w:p w14:paraId="6C0C6628"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0A73CF" w:rsidRPr="00B0658A" w14:paraId="4905C7EF" w14:textId="77777777" w:rsidTr="00FE71B1">
        <w:trPr>
          <w:trHeight w:val="20"/>
        </w:trPr>
        <w:tc>
          <w:tcPr>
            <w:tcW w:w="283" w:type="pct"/>
            <w:shd w:val="clear" w:color="000000" w:fill="FFFFFF"/>
            <w:vAlign w:val="center"/>
          </w:tcPr>
          <w:p w14:paraId="56F61AD6" w14:textId="77777777" w:rsidR="000A73CF" w:rsidRPr="00B0658A" w:rsidRDefault="000A73CF" w:rsidP="00FE71B1">
            <w:pPr>
              <w:spacing w:after="0" w:line="240" w:lineRule="auto"/>
              <w:jc w:val="center"/>
              <w:rPr>
                <w:rFonts w:ascii="Times New Roman" w:hAnsi="Times New Roman"/>
                <w:sz w:val="18"/>
                <w:szCs w:val="18"/>
              </w:rPr>
            </w:pPr>
            <w:r w:rsidRPr="00B0658A">
              <w:rPr>
                <w:rFonts w:ascii="Times New Roman" w:hAnsi="Times New Roman"/>
                <w:sz w:val="18"/>
                <w:szCs w:val="18"/>
              </w:rPr>
              <w:t>3.6</w:t>
            </w:r>
          </w:p>
        </w:tc>
        <w:tc>
          <w:tcPr>
            <w:tcW w:w="1013" w:type="pct"/>
            <w:shd w:val="clear" w:color="auto" w:fill="auto"/>
            <w:vAlign w:val="center"/>
            <w:hideMark/>
          </w:tcPr>
          <w:p w14:paraId="3A7071E3" w14:textId="77777777" w:rsidR="000A73CF" w:rsidRPr="00B0658A" w:rsidRDefault="000A73CF" w:rsidP="000A73CF">
            <w:pPr>
              <w:spacing w:after="0" w:line="240" w:lineRule="auto"/>
              <w:rPr>
                <w:rFonts w:ascii="Times New Roman" w:hAnsi="Times New Roman"/>
                <w:sz w:val="18"/>
                <w:szCs w:val="18"/>
              </w:rPr>
            </w:pPr>
            <w:r w:rsidRPr="00B0658A">
              <w:rPr>
                <w:rFonts w:ascii="Times New Roman" w:hAnsi="Times New Roman"/>
                <w:sz w:val="18"/>
                <w:szCs w:val="18"/>
              </w:rPr>
              <w:t>Средства обеспечения информационной безопасности/ Средства антивирусной защиты</w:t>
            </w:r>
          </w:p>
        </w:tc>
        <w:tc>
          <w:tcPr>
            <w:tcW w:w="704" w:type="pct"/>
            <w:shd w:val="clear" w:color="000000" w:fill="FFFFFF"/>
            <w:hideMark/>
          </w:tcPr>
          <w:p w14:paraId="06CDEBC2" w14:textId="77777777" w:rsidR="000A73CF" w:rsidRPr="00B0658A" w:rsidRDefault="000A73CF" w:rsidP="000A73CF">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03" w:type="pct"/>
            <w:shd w:val="clear" w:color="auto" w:fill="auto"/>
            <w:vAlign w:val="center"/>
            <w:hideMark/>
          </w:tcPr>
          <w:p w14:paraId="24DA203C" w14:textId="77777777" w:rsidR="000A73CF" w:rsidRPr="00B0658A" w:rsidRDefault="000A73CF" w:rsidP="000A73CF">
            <w:pPr>
              <w:spacing w:after="0" w:line="240" w:lineRule="auto"/>
              <w:jc w:val="center"/>
              <w:rPr>
                <w:rFonts w:ascii="Times New Roman" w:hAnsi="Times New Roman"/>
                <w:sz w:val="18"/>
                <w:szCs w:val="18"/>
              </w:rPr>
            </w:pPr>
            <w:r>
              <w:rPr>
                <w:rFonts w:ascii="Times New Roman" w:hAnsi="Times New Roman"/>
                <w:sz w:val="18"/>
                <w:szCs w:val="18"/>
              </w:rPr>
              <w:t>-*</w:t>
            </w:r>
          </w:p>
        </w:tc>
        <w:tc>
          <w:tcPr>
            <w:tcW w:w="303" w:type="pct"/>
            <w:shd w:val="clear" w:color="auto" w:fill="auto"/>
            <w:vAlign w:val="center"/>
            <w:hideMark/>
          </w:tcPr>
          <w:p w14:paraId="5F135E75" w14:textId="77777777" w:rsidR="000A73CF" w:rsidRPr="00B0658A" w:rsidRDefault="000A73CF" w:rsidP="000A73CF">
            <w:pPr>
              <w:spacing w:after="0" w:line="240" w:lineRule="auto"/>
              <w:jc w:val="center"/>
              <w:rPr>
                <w:rFonts w:ascii="Times New Roman" w:hAnsi="Times New Roman"/>
                <w:sz w:val="18"/>
                <w:szCs w:val="18"/>
              </w:rPr>
            </w:pPr>
            <w:r w:rsidRPr="00901DB0">
              <w:rPr>
                <w:rFonts w:ascii="Times New Roman" w:hAnsi="Times New Roman"/>
                <w:sz w:val="18"/>
                <w:szCs w:val="18"/>
              </w:rPr>
              <w:t>-*</w:t>
            </w:r>
          </w:p>
        </w:tc>
        <w:tc>
          <w:tcPr>
            <w:tcW w:w="303" w:type="pct"/>
            <w:shd w:val="clear" w:color="auto" w:fill="auto"/>
            <w:vAlign w:val="center"/>
            <w:hideMark/>
          </w:tcPr>
          <w:p w14:paraId="051BA558" w14:textId="77777777" w:rsidR="000A73CF" w:rsidRPr="00B0658A" w:rsidRDefault="000A73CF" w:rsidP="000A73CF">
            <w:pPr>
              <w:spacing w:after="0" w:line="240" w:lineRule="auto"/>
              <w:jc w:val="center"/>
              <w:rPr>
                <w:rFonts w:ascii="Times New Roman" w:hAnsi="Times New Roman"/>
                <w:sz w:val="18"/>
                <w:szCs w:val="18"/>
              </w:rPr>
            </w:pPr>
            <w:r w:rsidRPr="00901DB0">
              <w:rPr>
                <w:rFonts w:ascii="Times New Roman" w:hAnsi="Times New Roman"/>
                <w:sz w:val="18"/>
                <w:szCs w:val="18"/>
              </w:rPr>
              <w:t>-*</w:t>
            </w:r>
          </w:p>
        </w:tc>
        <w:tc>
          <w:tcPr>
            <w:tcW w:w="313" w:type="pct"/>
            <w:vAlign w:val="center"/>
          </w:tcPr>
          <w:p w14:paraId="10A2D798" w14:textId="77777777" w:rsidR="000A73CF" w:rsidRPr="00B0658A" w:rsidRDefault="000A73CF" w:rsidP="000A73CF">
            <w:pPr>
              <w:spacing w:after="0" w:line="240" w:lineRule="auto"/>
              <w:jc w:val="center"/>
              <w:rPr>
                <w:rFonts w:ascii="Times New Roman" w:hAnsi="Times New Roman"/>
                <w:sz w:val="18"/>
                <w:szCs w:val="18"/>
                <w:lang w:val="en-US"/>
              </w:rPr>
            </w:pPr>
            <w:r w:rsidRPr="00B0658A">
              <w:rPr>
                <w:rFonts w:ascii="Times New Roman" w:hAnsi="Times New Roman"/>
                <w:sz w:val="18"/>
                <w:szCs w:val="18"/>
              </w:rPr>
              <w:t>100%</w:t>
            </w:r>
          </w:p>
        </w:tc>
        <w:tc>
          <w:tcPr>
            <w:tcW w:w="303" w:type="pct"/>
            <w:shd w:val="clear" w:color="auto" w:fill="auto"/>
            <w:vAlign w:val="center"/>
            <w:hideMark/>
          </w:tcPr>
          <w:p w14:paraId="5235A5A7" w14:textId="77777777" w:rsidR="000A73CF" w:rsidRPr="00B0658A" w:rsidRDefault="000A73CF" w:rsidP="000A73CF">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03" w:type="pct"/>
            <w:shd w:val="clear" w:color="auto" w:fill="auto"/>
            <w:vAlign w:val="center"/>
            <w:hideMark/>
          </w:tcPr>
          <w:p w14:paraId="6F20E3C9" w14:textId="77777777" w:rsidR="000A73CF" w:rsidRPr="00B0658A" w:rsidRDefault="000A73CF" w:rsidP="000A73CF">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03" w:type="pct"/>
            <w:shd w:val="clear" w:color="auto" w:fill="auto"/>
            <w:vAlign w:val="center"/>
            <w:hideMark/>
          </w:tcPr>
          <w:p w14:paraId="5BCF9A57" w14:textId="77777777" w:rsidR="000A73CF" w:rsidRPr="00B0658A" w:rsidRDefault="000A73CF" w:rsidP="000A73CF">
            <w:pPr>
              <w:spacing w:after="0" w:line="240" w:lineRule="auto"/>
              <w:jc w:val="center"/>
              <w:rPr>
                <w:rFonts w:ascii="Times New Roman" w:hAnsi="Times New Roman"/>
                <w:sz w:val="18"/>
                <w:szCs w:val="18"/>
              </w:rPr>
            </w:pPr>
            <w:r w:rsidRPr="00B0658A">
              <w:rPr>
                <w:rFonts w:ascii="Times New Roman" w:hAnsi="Times New Roman"/>
                <w:sz w:val="18"/>
                <w:szCs w:val="18"/>
              </w:rPr>
              <w:t>100%</w:t>
            </w:r>
          </w:p>
        </w:tc>
        <w:tc>
          <w:tcPr>
            <w:tcW w:w="272" w:type="pct"/>
            <w:vAlign w:val="center"/>
          </w:tcPr>
          <w:p w14:paraId="4660F36A" w14:textId="77777777" w:rsidR="000A73CF" w:rsidRPr="00B0658A" w:rsidRDefault="000A73CF" w:rsidP="000A73CF">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299" w:type="pct"/>
            <w:vAlign w:val="center"/>
          </w:tcPr>
          <w:p w14:paraId="1067145C" w14:textId="77777777" w:rsidR="000A73CF" w:rsidRPr="00B0658A" w:rsidRDefault="000A73CF" w:rsidP="000A73CF">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297" w:type="pct"/>
            <w:vAlign w:val="center"/>
          </w:tcPr>
          <w:p w14:paraId="5D84C1A5" w14:textId="77777777" w:rsidR="000A73CF" w:rsidRPr="00B0658A" w:rsidRDefault="000A73CF" w:rsidP="000A73CF">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766F9E" w:rsidRPr="00B0658A" w14:paraId="09677FED" w14:textId="77777777" w:rsidTr="00FE71B1">
        <w:trPr>
          <w:trHeight w:val="20"/>
        </w:trPr>
        <w:tc>
          <w:tcPr>
            <w:tcW w:w="283" w:type="pct"/>
            <w:shd w:val="clear" w:color="000000" w:fill="FFFFFF"/>
            <w:vAlign w:val="center"/>
          </w:tcPr>
          <w:p w14:paraId="7DD3F25D" w14:textId="77777777" w:rsidR="00766F9E" w:rsidRPr="00B0658A" w:rsidRDefault="00766F9E" w:rsidP="00FE71B1">
            <w:pPr>
              <w:spacing w:after="0" w:line="240" w:lineRule="auto"/>
              <w:jc w:val="center"/>
              <w:rPr>
                <w:rFonts w:ascii="Times New Roman" w:hAnsi="Times New Roman"/>
                <w:sz w:val="18"/>
                <w:szCs w:val="18"/>
              </w:rPr>
            </w:pPr>
            <w:r w:rsidRPr="00B0658A">
              <w:rPr>
                <w:rFonts w:ascii="Times New Roman" w:hAnsi="Times New Roman"/>
                <w:sz w:val="18"/>
                <w:szCs w:val="18"/>
              </w:rPr>
              <w:lastRenderedPageBreak/>
              <w:t>3.7</w:t>
            </w:r>
          </w:p>
        </w:tc>
        <w:tc>
          <w:tcPr>
            <w:tcW w:w="1013" w:type="pct"/>
            <w:shd w:val="clear" w:color="auto" w:fill="auto"/>
            <w:vAlign w:val="center"/>
            <w:hideMark/>
          </w:tcPr>
          <w:p w14:paraId="4705D21F" w14:textId="77777777" w:rsidR="00766F9E" w:rsidRPr="00B0658A" w:rsidRDefault="00766F9E" w:rsidP="00766F9E">
            <w:pPr>
              <w:spacing w:after="0" w:line="240" w:lineRule="auto"/>
              <w:rPr>
                <w:rFonts w:ascii="Times New Roman" w:hAnsi="Times New Roman"/>
                <w:sz w:val="18"/>
                <w:szCs w:val="18"/>
              </w:rPr>
            </w:pPr>
            <w:r w:rsidRPr="00B0658A">
              <w:rPr>
                <w:rFonts w:ascii="Times New Roman" w:hAnsi="Times New Roman"/>
                <w:sz w:val="18"/>
                <w:szCs w:val="18"/>
              </w:rPr>
              <w:t>Средства обеспечения информационной безопасности/ Средства выявления целевых атак</w:t>
            </w:r>
          </w:p>
        </w:tc>
        <w:tc>
          <w:tcPr>
            <w:tcW w:w="704" w:type="pct"/>
            <w:shd w:val="clear" w:color="000000" w:fill="FFFFFF"/>
            <w:hideMark/>
          </w:tcPr>
          <w:p w14:paraId="455ABE50" w14:textId="77777777" w:rsidR="00766F9E" w:rsidRPr="00B0658A" w:rsidRDefault="00766F9E" w:rsidP="00766F9E">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03" w:type="pct"/>
            <w:shd w:val="clear" w:color="auto" w:fill="auto"/>
            <w:vAlign w:val="center"/>
            <w:hideMark/>
          </w:tcPr>
          <w:p w14:paraId="4543CEBD" w14:textId="77777777" w:rsidR="00766F9E" w:rsidRPr="00B0658A" w:rsidRDefault="00766F9E" w:rsidP="00766F9E">
            <w:pPr>
              <w:spacing w:after="0" w:line="240" w:lineRule="auto"/>
              <w:jc w:val="center"/>
              <w:rPr>
                <w:rFonts w:ascii="Times New Roman" w:hAnsi="Times New Roman"/>
                <w:sz w:val="18"/>
                <w:szCs w:val="18"/>
              </w:rPr>
            </w:pPr>
            <w:r>
              <w:rPr>
                <w:rFonts w:ascii="Times New Roman" w:hAnsi="Times New Roman"/>
                <w:sz w:val="18"/>
                <w:szCs w:val="18"/>
              </w:rPr>
              <w:t>60</w:t>
            </w:r>
            <w:r w:rsidRPr="00B0658A">
              <w:rPr>
                <w:rFonts w:ascii="Times New Roman" w:hAnsi="Times New Roman"/>
                <w:sz w:val="18"/>
                <w:szCs w:val="18"/>
                <w:lang w:val="en-US"/>
              </w:rPr>
              <w:t>%</w:t>
            </w:r>
          </w:p>
        </w:tc>
        <w:tc>
          <w:tcPr>
            <w:tcW w:w="303" w:type="pct"/>
            <w:shd w:val="clear" w:color="auto" w:fill="auto"/>
            <w:vAlign w:val="center"/>
            <w:hideMark/>
          </w:tcPr>
          <w:p w14:paraId="555F1408" w14:textId="77777777" w:rsidR="00766F9E" w:rsidRPr="00B0658A" w:rsidRDefault="00766F9E" w:rsidP="00766F9E">
            <w:pPr>
              <w:spacing w:after="0" w:line="240" w:lineRule="auto"/>
              <w:jc w:val="center"/>
              <w:rPr>
                <w:rFonts w:ascii="Times New Roman" w:hAnsi="Times New Roman"/>
                <w:sz w:val="18"/>
                <w:szCs w:val="18"/>
              </w:rPr>
            </w:pPr>
            <w:r>
              <w:rPr>
                <w:rFonts w:ascii="Times New Roman" w:hAnsi="Times New Roman"/>
                <w:sz w:val="18"/>
                <w:szCs w:val="18"/>
              </w:rPr>
              <w:t>8</w:t>
            </w:r>
            <w:r w:rsidRPr="00B0658A">
              <w:rPr>
                <w:rFonts w:ascii="Times New Roman" w:hAnsi="Times New Roman"/>
                <w:sz w:val="18"/>
                <w:szCs w:val="18"/>
                <w:lang w:val="en-US"/>
              </w:rPr>
              <w:t>0%</w:t>
            </w:r>
          </w:p>
        </w:tc>
        <w:tc>
          <w:tcPr>
            <w:tcW w:w="303" w:type="pct"/>
            <w:shd w:val="clear" w:color="auto" w:fill="auto"/>
            <w:vAlign w:val="center"/>
            <w:hideMark/>
          </w:tcPr>
          <w:p w14:paraId="3B905BE9"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13" w:type="pct"/>
            <w:vAlign w:val="center"/>
          </w:tcPr>
          <w:p w14:paraId="2C22CDCA" w14:textId="77777777" w:rsidR="00766F9E" w:rsidRPr="00B0658A" w:rsidRDefault="00766F9E" w:rsidP="00766F9E">
            <w:pPr>
              <w:spacing w:after="0" w:line="240" w:lineRule="auto"/>
              <w:jc w:val="center"/>
              <w:rPr>
                <w:rFonts w:ascii="Times New Roman" w:hAnsi="Times New Roman"/>
                <w:sz w:val="18"/>
                <w:szCs w:val="18"/>
                <w:lang w:val="en-US"/>
              </w:rPr>
            </w:pPr>
            <w:r w:rsidRPr="00B0658A">
              <w:rPr>
                <w:rFonts w:ascii="Times New Roman" w:hAnsi="Times New Roman"/>
                <w:sz w:val="18"/>
                <w:szCs w:val="18"/>
              </w:rPr>
              <w:t>100%</w:t>
            </w:r>
          </w:p>
        </w:tc>
        <w:tc>
          <w:tcPr>
            <w:tcW w:w="303" w:type="pct"/>
            <w:shd w:val="clear" w:color="auto" w:fill="auto"/>
            <w:vAlign w:val="center"/>
            <w:hideMark/>
          </w:tcPr>
          <w:p w14:paraId="4E3D978C"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03" w:type="pct"/>
            <w:shd w:val="clear" w:color="auto" w:fill="auto"/>
            <w:vAlign w:val="center"/>
            <w:hideMark/>
          </w:tcPr>
          <w:p w14:paraId="2BEBB58B"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03" w:type="pct"/>
            <w:shd w:val="clear" w:color="auto" w:fill="auto"/>
            <w:vAlign w:val="center"/>
            <w:hideMark/>
          </w:tcPr>
          <w:p w14:paraId="0CA06D9D"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rPr>
              <w:t>100%</w:t>
            </w:r>
          </w:p>
        </w:tc>
        <w:tc>
          <w:tcPr>
            <w:tcW w:w="272" w:type="pct"/>
            <w:vAlign w:val="center"/>
          </w:tcPr>
          <w:p w14:paraId="0199EAE5"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299" w:type="pct"/>
            <w:vAlign w:val="center"/>
          </w:tcPr>
          <w:p w14:paraId="08D4F1EA"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297" w:type="pct"/>
            <w:vAlign w:val="center"/>
          </w:tcPr>
          <w:p w14:paraId="6C51639D"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766F9E" w:rsidRPr="00B0658A" w14:paraId="3BD5EA2C" w14:textId="77777777" w:rsidTr="00FE71B1">
        <w:trPr>
          <w:trHeight w:val="20"/>
        </w:trPr>
        <w:tc>
          <w:tcPr>
            <w:tcW w:w="283" w:type="pct"/>
            <w:shd w:val="clear" w:color="000000" w:fill="FFFFFF"/>
            <w:vAlign w:val="center"/>
          </w:tcPr>
          <w:p w14:paraId="62A368F5" w14:textId="77777777" w:rsidR="00766F9E" w:rsidRPr="00B0658A" w:rsidRDefault="00766F9E" w:rsidP="00FE71B1">
            <w:pPr>
              <w:spacing w:after="0" w:line="240" w:lineRule="auto"/>
              <w:jc w:val="center"/>
              <w:rPr>
                <w:rFonts w:ascii="Times New Roman" w:hAnsi="Times New Roman"/>
                <w:sz w:val="18"/>
                <w:szCs w:val="18"/>
              </w:rPr>
            </w:pPr>
            <w:r w:rsidRPr="00B0658A">
              <w:rPr>
                <w:rFonts w:ascii="Times New Roman" w:hAnsi="Times New Roman"/>
                <w:sz w:val="18"/>
                <w:szCs w:val="18"/>
              </w:rPr>
              <w:t>3.8</w:t>
            </w:r>
          </w:p>
        </w:tc>
        <w:tc>
          <w:tcPr>
            <w:tcW w:w="1013" w:type="pct"/>
            <w:shd w:val="clear" w:color="auto" w:fill="auto"/>
            <w:vAlign w:val="center"/>
            <w:hideMark/>
          </w:tcPr>
          <w:p w14:paraId="31FE723F" w14:textId="77777777" w:rsidR="00766F9E" w:rsidRPr="00B0658A" w:rsidRDefault="00766F9E" w:rsidP="00766F9E">
            <w:pPr>
              <w:spacing w:after="0" w:line="240" w:lineRule="auto"/>
              <w:rPr>
                <w:rFonts w:ascii="Times New Roman" w:hAnsi="Times New Roman"/>
                <w:sz w:val="18"/>
                <w:szCs w:val="18"/>
              </w:rPr>
            </w:pPr>
            <w:r w:rsidRPr="00B0658A">
              <w:rPr>
                <w:rFonts w:ascii="Times New Roman" w:hAnsi="Times New Roman"/>
                <w:sz w:val="18"/>
                <w:szCs w:val="18"/>
              </w:rPr>
              <w:t>Средства обеспечения информационной безопасности/ Средства гарантированного уничтожения данных</w:t>
            </w:r>
          </w:p>
        </w:tc>
        <w:tc>
          <w:tcPr>
            <w:tcW w:w="704" w:type="pct"/>
            <w:shd w:val="clear" w:color="000000" w:fill="FFFFFF"/>
            <w:hideMark/>
          </w:tcPr>
          <w:p w14:paraId="09719C4E" w14:textId="77777777" w:rsidR="00766F9E" w:rsidRPr="00B0658A" w:rsidRDefault="00766F9E" w:rsidP="00766F9E">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03" w:type="pct"/>
            <w:shd w:val="clear" w:color="auto" w:fill="auto"/>
            <w:vAlign w:val="center"/>
            <w:hideMark/>
          </w:tcPr>
          <w:p w14:paraId="6685FF66" w14:textId="77777777" w:rsidR="00766F9E" w:rsidRPr="00B0658A" w:rsidRDefault="00766F9E" w:rsidP="00766F9E">
            <w:pPr>
              <w:spacing w:after="0" w:line="240" w:lineRule="auto"/>
              <w:jc w:val="center"/>
              <w:rPr>
                <w:rFonts w:ascii="Times New Roman" w:hAnsi="Times New Roman"/>
                <w:sz w:val="18"/>
                <w:szCs w:val="18"/>
              </w:rPr>
            </w:pPr>
            <w:r>
              <w:rPr>
                <w:rFonts w:ascii="Times New Roman" w:hAnsi="Times New Roman"/>
                <w:sz w:val="18"/>
                <w:szCs w:val="18"/>
              </w:rPr>
              <w:t>60</w:t>
            </w:r>
            <w:r w:rsidRPr="00B0658A">
              <w:rPr>
                <w:rFonts w:ascii="Times New Roman" w:hAnsi="Times New Roman"/>
                <w:sz w:val="18"/>
                <w:szCs w:val="18"/>
                <w:lang w:val="en-US"/>
              </w:rPr>
              <w:t>%</w:t>
            </w:r>
          </w:p>
        </w:tc>
        <w:tc>
          <w:tcPr>
            <w:tcW w:w="303" w:type="pct"/>
            <w:shd w:val="clear" w:color="auto" w:fill="auto"/>
            <w:vAlign w:val="center"/>
            <w:hideMark/>
          </w:tcPr>
          <w:p w14:paraId="3DA3EC8F" w14:textId="77777777" w:rsidR="00766F9E" w:rsidRPr="00B0658A" w:rsidRDefault="00766F9E" w:rsidP="00766F9E">
            <w:pPr>
              <w:spacing w:after="0" w:line="240" w:lineRule="auto"/>
              <w:jc w:val="center"/>
              <w:rPr>
                <w:rFonts w:ascii="Times New Roman" w:hAnsi="Times New Roman"/>
                <w:sz w:val="18"/>
                <w:szCs w:val="18"/>
              </w:rPr>
            </w:pPr>
            <w:r>
              <w:rPr>
                <w:rFonts w:ascii="Times New Roman" w:hAnsi="Times New Roman"/>
                <w:sz w:val="18"/>
                <w:szCs w:val="18"/>
              </w:rPr>
              <w:t>8</w:t>
            </w:r>
            <w:r w:rsidRPr="00B0658A">
              <w:rPr>
                <w:rFonts w:ascii="Times New Roman" w:hAnsi="Times New Roman"/>
                <w:sz w:val="18"/>
                <w:szCs w:val="18"/>
                <w:lang w:val="en-US"/>
              </w:rPr>
              <w:t>0%</w:t>
            </w:r>
          </w:p>
        </w:tc>
        <w:tc>
          <w:tcPr>
            <w:tcW w:w="303" w:type="pct"/>
            <w:shd w:val="clear" w:color="auto" w:fill="auto"/>
            <w:vAlign w:val="center"/>
            <w:hideMark/>
          </w:tcPr>
          <w:p w14:paraId="54B6F121"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13" w:type="pct"/>
            <w:vAlign w:val="center"/>
          </w:tcPr>
          <w:p w14:paraId="094D6E43" w14:textId="77777777" w:rsidR="00766F9E" w:rsidRPr="00B0658A" w:rsidRDefault="00766F9E" w:rsidP="00766F9E">
            <w:pPr>
              <w:spacing w:after="0" w:line="240" w:lineRule="auto"/>
              <w:jc w:val="center"/>
              <w:rPr>
                <w:rFonts w:ascii="Times New Roman" w:hAnsi="Times New Roman"/>
                <w:sz w:val="18"/>
                <w:szCs w:val="18"/>
                <w:lang w:val="en-US"/>
              </w:rPr>
            </w:pPr>
            <w:r w:rsidRPr="00B0658A">
              <w:rPr>
                <w:rFonts w:ascii="Times New Roman" w:hAnsi="Times New Roman"/>
                <w:sz w:val="18"/>
                <w:szCs w:val="18"/>
              </w:rPr>
              <w:t>100%</w:t>
            </w:r>
          </w:p>
        </w:tc>
        <w:tc>
          <w:tcPr>
            <w:tcW w:w="303" w:type="pct"/>
            <w:shd w:val="clear" w:color="auto" w:fill="auto"/>
            <w:vAlign w:val="center"/>
            <w:hideMark/>
          </w:tcPr>
          <w:p w14:paraId="7A8BA9B2"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03" w:type="pct"/>
            <w:shd w:val="clear" w:color="auto" w:fill="auto"/>
            <w:vAlign w:val="center"/>
            <w:hideMark/>
          </w:tcPr>
          <w:p w14:paraId="5AFA1C0E"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rPr>
              <w:t>100%</w:t>
            </w:r>
          </w:p>
        </w:tc>
        <w:tc>
          <w:tcPr>
            <w:tcW w:w="303" w:type="pct"/>
            <w:shd w:val="clear" w:color="auto" w:fill="auto"/>
            <w:vAlign w:val="center"/>
            <w:hideMark/>
          </w:tcPr>
          <w:p w14:paraId="481331CF"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rPr>
              <w:t>100%</w:t>
            </w:r>
          </w:p>
        </w:tc>
        <w:tc>
          <w:tcPr>
            <w:tcW w:w="272" w:type="pct"/>
            <w:vAlign w:val="center"/>
          </w:tcPr>
          <w:p w14:paraId="236A9B2E"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299" w:type="pct"/>
            <w:vAlign w:val="center"/>
          </w:tcPr>
          <w:p w14:paraId="4BD00A67"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297" w:type="pct"/>
            <w:vAlign w:val="center"/>
          </w:tcPr>
          <w:p w14:paraId="072BF154"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766F9E" w:rsidRPr="00B0658A" w14:paraId="16434052" w14:textId="77777777" w:rsidTr="00FE71B1">
        <w:trPr>
          <w:trHeight w:val="20"/>
        </w:trPr>
        <w:tc>
          <w:tcPr>
            <w:tcW w:w="283" w:type="pct"/>
            <w:shd w:val="clear" w:color="000000" w:fill="FFFFFF"/>
            <w:vAlign w:val="center"/>
          </w:tcPr>
          <w:p w14:paraId="18857ED7" w14:textId="77777777" w:rsidR="00766F9E" w:rsidRPr="00B0658A" w:rsidRDefault="00766F9E" w:rsidP="00FE71B1">
            <w:pPr>
              <w:spacing w:after="0" w:line="240" w:lineRule="auto"/>
              <w:jc w:val="center"/>
              <w:rPr>
                <w:rFonts w:ascii="Times New Roman" w:hAnsi="Times New Roman"/>
                <w:sz w:val="18"/>
                <w:szCs w:val="18"/>
              </w:rPr>
            </w:pPr>
            <w:r w:rsidRPr="00B0658A">
              <w:rPr>
                <w:rFonts w:ascii="Times New Roman" w:hAnsi="Times New Roman"/>
                <w:sz w:val="18"/>
                <w:szCs w:val="18"/>
              </w:rPr>
              <w:t>3.9</w:t>
            </w:r>
          </w:p>
        </w:tc>
        <w:tc>
          <w:tcPr>
            <w:tcW w:w="1013" w:type="pct"/>
            <w:shd w:val="clear" w:color="auto" w:fill="auto"/>
            <w:vAlign w:val="center"/>
            <w:hideMark/>
          </w:tcPr>
          <w:p w14:paraId="545FC450" w14:textId="77777777" w:rsidR="00766F9E" w:rsidRPr="00B0658A" w:rsidRDefault="00766F9E" w:rsidP="00766F9E">
            <w:pPr>
              <w:spacing w:after="0" w:line="240" w:lineRule="auto"/>
              <w:rPr>
                <w:rFonts w:ascii="Times New Roman" w:hAnsi="Times New Roman"/>
                <w:sz w:val="18"/>
                <w:szCs w:val="18"/>
              </w:rPr>
            </w:pPr>
            <w:r w:rsidRPr="00B0658A">
              <w:rPr>
                <w:rFonts w:ascii="Times New Roman" w:hAnsi="Times New Roman"/>
                <w:sz w:val="18"/>
                <w:szCs w:val="18"/>
              </w:rPr>
              <w:t>Средства обеспечения информационной безопасности/ Средства обнаружения и предотвращения утечек информации</w:t>
            </w:r>
          </w:p>
        </w:tc>
        <w:tc>
          <w:tcPr>
            <w:tcW w:w="704" w:type="pct"/>
            <w:shd w:val="clear" w:color="000000" w:fill="FFFFFF"/>
            <w:hideMark/>
          </w:tcPr>
          <w:p w14:paraId="78FB1277" w14:textId="77777777" w:rsidR="00766F9E" w:rsidRPr="00B0658A" w:rsidRDefault="00766F9E" w:rsidP="00766F9E">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03" w:type="pct"/>
            <w:shd w:val="clear" w:color="auto" w:fill="auto"/>
            <w:vAlign w:val="center"/>
            <w:hideMark/>
          </w:tcPr>
          <w:p w14:paraId="53006487" w14:textId="77777777" w:rsidR="00766F9E" w:rsidRPr="00B0658A" w:rsidRDefault="00766F9E" w:rsidP="00766F9E">
            <w:pPr>
              <w:spacing w:after="0" w:line="240" w:lineRule="auto"/>
              <w:jc w:val="center"/>
              <w:rPr>
                <w:rFonts w:ascii="Times New Roman" w:hAnsi="Times New Roman"/>
                <w:sz w:val="18"/>
                <w:szCs w:val="18"/>
              </w:rPr>
            </w:pPr>
            <w:r>
              <w:rPr>
                <w:rFonts w:ascii="Times New Roman" w:hAnsi="Times New Roman"/>
                <w:sz w:val="18"/>
                <w:szCs w:val="18"/>
              </w:rPr>
              <w:t>60</w:t>
            </w:r>
            <w:r w:rsidRPr="00B0658A">
              <w:rPr>
                <w:rFonts w:ascii="Times New Roman" w:hAnsi="Times New Roman"/>
                <w:sz w:val="18"/>
                <w:szCs w:val="18"/>
                <w:lang w:val="en-US"/>
              </w:rPr>
              <w:t>%</w:t>
            </w:r>
          </w:p>
        </w:tc>
        <w:tc>
          <w:tcPr>
            <w:tcW w:w="303" w:type="pct"/>
            <w:shd w:val="clear" w:color="auto" w:fill="auto"/>
            <w:vAlign w:val="center"/>
            <w:hideMark/>
          </w:tcPr>
          <w:p w14:paraId="511D6E47" w14:textId="77777777" w:rsidR="00766F9E" w:rsidRPr="00B0658A" w:rsidRDefault="00766F9E" w:rsidP="00766F9E">
            <w:pPr>
              <w:spacing w:after="0" w:line="240" w:lineRule="auto"/>
              <w:jc w:val="center"/>
              <w:rPr>
                <w:rFonts w:ascii="Times New Roman" w:hAnsi="Times New Roman"/>
                <w:sz w:val="18"/>
                <w:szCs w:val="18"/>
              </w:rPr>
            </w:pPr>
            <w:r>
              <w:rPr>
                <w:rFonts w:ascii="Times New Roman" w:hAnsi="Times New Roman"/>
                <w:sz w:val="18"/>
                <w:szCs w:val="18"/>
              </w:rPr>
              <w:t>8</w:t>
            </w:r>
            <w:r w:rsidRPr="00B0658A">
              <w:rPr>
                <w:rFonts w:ascii="Times New Roman" w:hAnsi="Times New Roman"/>
                <w:sz w:val="18"/>
                <w:szCs w:val="18"/>
                <w:lang w:val="en-US"/>
              </w:rPr>
              <w:t>0%</w:t>
            </w:r>
          </w:p>
        </w:tc>
        <w:tc>
          <w:tcPr>
            <w:tcW w:w="303" w:type="pct"/>
            <w:shd w:val="clear" w:color="auto" w:fill="auto"/>
            <w:vAlign w:val="center"/>
            <w:hideMark/>
          </w:tcPr>
          <w:p w14:paraId="711C6E76"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13" w:type="pct"/>
            <w:vAlign w:val="center"/>
          </w:tcPr>
          <w:p w14:paraId="6AC68872" w14:textId="77777777" w:rsidR="00766F9E" w:rsidRPr="00B0658A" w:rsidRDefault="00766F9E" w:rsidP="00766F9E">
            <w:pPr>
              <w:spacing w:after="0" w:line="240" w:lineRule="auto"/>
              <w:jc w:val="center"/>
              <w:rPr>
                <w:rFonts w:ascii="Times New Roman" w:hAnsi="Times New Roman"/>
                <w:sz w:val="18"/>
                <w:szCs w:val="18"/>
                <w:lang w:val="en-US"/>
              </w:rPr>
            </w:pPr>
            <w:r w:rsidRPr="00B0658A">
              <w:rPr>
                <w:rFonts w:ascii="Times New Roman" w:hAnsi="Times New Roman"/>
                <w:sz w:val="18"/>
                <w:szCs w:val="18"/>
              </w:rPr>
              <w:t>100%</w:t>
            </w:r>
          </w:p>
        </w:tc>
        <w:tc>
          <w:tcPr>
            <w:tcW w:w="303" w:type="pct"/>
            <w:shd w:val="clear" w:color="auto" w:fill="auto"/>
            <w:vAlign w:val="center"/>
            <w:hideMark/>
          </w:tcPr>
          <w:p w14:paraId="5D6D66B0"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03" w:type="pct"/>
            <w:shd w:val="clear" w:color="auto" w:fill="auto"/>
            <w:vAlign w:val="center"/>
            <w:hideMark/>
          </w:tcPr>
          <w:p w14:paraId="49094FB8"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rPr>
              <w:t>100%</w:t>
            </w:r>
          </w:p>
        </w:tc>
        <w:tc>
          <w:tcPr>
            <w:tcW w:w="303" w:type="pct"/>
            <w:shd w:val="clear" w:color="auto" w:fill="auto"/>
            <w:vAlign w:val="center"/>
            <w:hideMark/>
          </w:tcPr>
          <w:p w14:paraId="05442143"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rPr>
              <w:t>100%</w:t>
            </w:r>
          </w:p>
        </w:tc>
        <w:tc>
          <w:tcPr>
            <w:tcW w:w="272" w:type="pct"/>
            <w:vAlign w:val="center"/>
          </w:tcPr>
          <w:p w14:paraId="21BCAB88"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299" w:type="pct"/>
            <w:vAlign w:val="center"/>
          </w:tcPr>
          <w:p w14:paraId="5E0D4FFB"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297" w:type="pct"/>
            <w:vAlign w:val="center"/>
          </w:tcPr>
          <w:p w14:paraId="3FC22647"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766F9E" w:rsidRPr="00B0658A" w14:paraId="64116984" w14:textId="77777777" w:rsidTr="00FE71B1">
        <w:trPr>
          <w:trHeight w:val="20"/>
        </w:trPr>
        <w:tc>
          <w:tcPr>
            <w:tcW w:w="283" w:type="pct"/>
            <w:shd w:val="clear" w:color="000000" w:fill="FFFFFF"/>
            <w:vAlign w:val="center"/>
          </w:tcPr>
          <w:p w14:paraId="2D074B0E" w14:textId="77777777" w:rsidR="00766F9E" w:rsidRPr="00B0658A" w:rsidRDefault="00766F9E" w:rsidP="00FE71B1">
            <w:pPr>
              <w:spacing w:after="0" w:line="240" w:lineRule="auto"/>
              <w:jc w:val="center"/>
              <w:rPr>
                <w:rFonts w:ascii="Times New Roman" w:hAnsi="Times New Roman"/>
                <w:sz w:val="18"/>
                <w:szCs w:val="18"/>
              </w:rPr>
            </w:pPr>
            <w:r w:rsidRPr="00B0658A">
              <w:rPr>
                <w:rFonts w:ascii="Times New Roman" w:hAnsi="Times New Roman"/>
                <w:sz w:val="18"/>
                <w:szCs w:val="18"/>
              </w:rPr>
              <w:t>3.10</w:t>
            </w:r>
          </w:p>
        </w:tc>
        <w:tc>
          <w:tcPr>
            <w:tcW w:w="1013" w:type="pct"/>
            <w:shd w:val="clear" w:color="auto" w:fill="auto"/>
            <w:vAlign w:val="center"/>
            <w:hideMark/>
          </w:tcPr>
          <w:p w14:paraId="0BD71395" w14:textId="77777777" w:rsidR="00766F9E" w:rsidRPr="00B0658A" w:rsidRDefault="00766F9E" w:rsidP="00766F9E">
            <w:pPr>
              <w:spacing w:after="0" w:line="240" w:lineRule="auto"/>
              <w:rPr>
                <w:rFonts w:ascii="Times New Roman" w:hAnsi="Times New Roman"/>
                <w:sz w:val="18"/>
                <w:szCs w:val="18"/>
              </w:rPr>
            </w:pPr>
            <w:r w:rsidRPr="00B0658A">
              <w:rPr>
                <w:rFonts w:ascii="Times New Roman" w:hAnsi="Times New Roman"/>
                <w:sz w:val="18"/>
                <w:szCs w:val="18"/>
              </w:rPr>
              <w:t>Средства обеспечения информационной безопасности/ Средства криптографической защиты информации и электронной подписи</w:t>
            </w:r>
          </w:p>
        </w:tc>
        <w:tc>
          <w:tcPr>
            <w:tcW w:w="704" w:type="pct"/>
            <w:shd w:val="clear" w:color="000000" w:fill="FFFFFF"/>
            <w:hideMark/>
          </w:tcPr>
          <w:p w14:paraId="5516F725" w14:textId="77777777" w:rsidR="00766F9E" w:rsidRPr="00B0658A" w:rsidRDefault="00766F9E" w:rsidP="00766F9E">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03" w:type="pct"/>
            <w:shd w:val="clear" w:color="auto" w:fill="auto"/>
            <w:vAlign w:val="center"/>
            <w:hideMark/>
          </w:tcPr>
          <w:p w14:paraId="6D14333C" w14:textId="77777777" w:rsidR="00766F9E" w:rsidRPr="00B0658A" w:rsidRDefault="00766F9E" w:rsidP="00766F9E">
            <w:pPr>
              <w:spacing w:after="0" w:line="240" w:lineRule="auto"/>
              <w:jc w:val="center"/>
              <w:rPr>
                <w:rFonts w:ascii="Times New Roman" w:hAnsi="Times New Roman"/>
                <w:sz w:val="18"/>
                <w:szCs w:val="18"/>
              </w:rPr>
            </w:pPr>
            <w:r>
              <w:rPr>
                <w:rFonts w:ascii="Times New Roman" w:hAnsi="Times New Roman"/>
                <w:sz w:val="18"/>
                <w:szCs w:val="18"/>
              </w:rPr>
              <w:t>60</w:t>
            </w:r>
            <w:r w:rsidRPr="00B0658A">
              <w:rPr>
                <w:rFonts w:ascii="Times New Roman" w:hAnsi="Times New Roman"/>
                <w:sz w:val="18"/>
                <w:szCs w:val="18"/>
                <w:lang w:val="en-US"/>
              </w:rPr>
              <w:t>%</w:t>
            </w:r>
          </w:p>
        </w:tc>
        <w:tc>
          <w:tcPr>
            <w:tcW w:w="303" w:type="pct"/>
            <w:shd w:val="clear" w:color="auto" w:fill="auto"/>
            <w:vAlign w:val="center"/>
            <w:hideMark/>
          </w:tcPr>
          <w:p w14:paraId="3AFE7B1C" w14:textId="77777777" w:rsidR="00766F9E" w:rsidRPr="00B0658A" w:rsidRDefault="00766F9E" w:rsidP="00766F9E">
            <w:pPr>
              <w:spacing w:after="0" w:line="240" w:lineRule="auto"/>
              <w:jc w:val="center"/>
              <w:rPr>
                <w:rFonts w:ascii="Times New Roman" w:hAnsi="Times New Roman"/>
                <w:sz w:val="18"/>
                <w:szCs w:val="18"/>
              </w:rPr>
            </w:pPr>
            <w:r>
              <w:rPr>
                <w:rFonts w:ascii="Times New Roman" w:hAnsi="Times New Roman"/>
                <w:sz w:val="18"/>
                <w:szCs w:val="18"/>
              </w:rPr>
              <w:t>8</w:t>
            </w:r>
            <w:r w:rsidRPr="00B0658A">
              <w:rPr>
                <w:rFonts w:ascii="Times New Roman" w:hAnsi="Times New Roman"/>
                <w:sz w:val="18"/>
                <w:szCs w:val="18"/>
                <w:lang w:val="en-US"/>
              </w:rPr>
              <w:t>0%</w:t>
            </w:r>
          </w:p>
        </w:tc>
        <w:tc>
          <w:tcPr>
            <w:tcW w:w="303" w:type="pct"/>
            <w:shd w:val="clear" w:color="auto" w:fill="auto"/>
            <w:vAlign w:val="center"/>
            <w:hideMark/>
          </w:tcPr>
          <w:p w14:paraId="4FC5B3D1"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13" w:type="pct"/>
            <w:vAlign w:val="center"/>
          </w:tcPr>
          <w:p w14:paraId="6E90402D" w14:textId="77777777" w:rsidR="00766F9E" w:rsidRPr="00B0658A" w:rsidRDefault="00766F9E" w:rsidP="00766F9E">
            <w:pPr>
              <w:spacing w:after="0" w:line="240" w:lineRule="auto"/>
              <w:jc w:val="center"/>
              <w:rPr>
                <w:rFonts w:ascii="Times New Roman" w:hAnsi="Times New Roman"/>
                <w:sz w:val="18"/>
                <w:szCs w:val="18"/>
                <w:lang w:val="en-US"/>
              </w:rPr>
            </w:pPr>
            <w:r w:rsidRPr="00B0658A">
              <w:rPr>
                <w:rFonts w:ascii="Times New Roman" w:hAnsi="Times New Roman"/>
                <w:sz w:val="18"/>
                <w:szCs w:val="18"/>
              </w:rPr>
              <w:t>100%</w:t>
            </w:r>
          </w:p>
        </w:tc>
        <w:tc>
          <w:tcPr>
            <w:tcW w:w="303" w:type="pct"/>
            <w:shd w:val="clear" w:color="auto" w:fill="auto"/>
            <w:vAlign w:val="center"/>
            <w:hideMark/>
          </w:tcPr>
          <w:p w14:paraId="2EFAE3BA"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03" w:type="pct"/>
            <w:shd w:val="clear" w:color="auto" w:fill="auto"/>
            <w:vAlign w:val="center"/>
            <w:hideMark/>
          </w:tcPr>
          <w:p w14:paraId="69FF2744"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03" w:type="pct"/>
            <w:shd w:val="clear" w:color="auto" w:fill="auto"/>
            <w:vAlign w:val="center"/>
            <w:hideMark/>
          </w:tcPr>
          <w:p w14:paraId="7C924D97"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rPr>
              <w:t>100%</w:t>
            </w:r>
          </w:p>
        </w:tc>
        <w:tc>
          <w:tcPr>
            <w:tcW w:w="272" w:type="pct"/>
            <w:vAlign w:val="center"/>
          </w:tcPr>
          <w:p w14:paraId="13B79DA8"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299" w:type="pct"/>
            <w:vAlign w:val="center"/>
          </w:tcPr>
          <w:p w14:paraId="0627FCFE"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297" w:type="pct"/>
            <w:vAlign w:val="center"/>
          </w:tcPr>
          <w:p w14:paraId="47215046"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766F9E" w:rsidRPr="00B0658A" w14:paraId="169076CC" w14:textId="77777777" w:rsidTr="00FE71B1">
        <w:trPr>
          <w:trHeight w:val="20"/>
        </w:trPr>
        <w:tc>
          <w:tcPr>
            <w:tcW w:w="283" w:type="pct"/>
            <w:shd w:val="clear" w:color="000000" w:fill="FFFFFF"/>
            <w:vAlign w:val="center"/>
          </w:tcPr>
          <w:p w14:paraId="0B09CFDD" w14:textId="77777777" w:rsidR="00766F9E" w:rsidRPr="00B0658A" w:rsidRDefault="00766F9E" w:rsidP="00FE71B1">
            <w:pPr>
              <w:spacing w:after="0" w:line="240" w:lineRule="auto"/>
              <w:jc w:val="center"/>
              <w:rPr>
                <w:rFonts w:ascii="Times New Roman" w:hAnsi="Times New Roman"/>
                <w:sz w:val="18"/>
                <w:szCs w:val="18"/>
              </w:rPr>
            </w:pPr>
            <w:r w:rsidRPr="00B0658A">
              <w:rPr>
                <w:rFonts w:ascii="Times New Roman" w:hAnsi="Times New Roman"/>
                <w:sz w:val="18"/>
                <w:szCs w:val="18"/>
              </w:rPr>
              <w:t>3.11</w:t>
            </w:r>
          </w:p>
        </w:tc>
        <w:tc>
          <w:tcPr>
            <w:tcW w:w="1013" w:type="pct"/>
            <w:shd w:val="clear" w:color="auto" w:fill="auto"/>
            <w:vAlign w:val="center"/>
            <w:hideMark/>
          </w:tcPr>
          <w:p w14:paraId="1277FBC6" w14:textId="77777777" w:rsidR="00766F9E" w:rsidRPr="00B0658A" w:rsidRDefault="00766F9E" w:rsidP="00766F9E">
            <w:pPr>
              <w:spacing w:after="0" w:line="240" w:lineRule="auto"/>
              <w:rPr>
                <w:rFonts w:ascii="Times New Roman" w:hAnsi="Times New Roman"/>
                <w:sz w:val="18"/>
                <w:szCs w:val="18"/>
              </w:rPr>
            </w:pPr>
            <w:r w:rsidRPr="00B0658A">
              <w:rPr>
                <w:rFonts w:ascii="Times New Roman" w:hAnsi="Times New Roman"/>
                <w:sz w:val="18"/>
                <w:szCs w:val="18"/>
              </w:rPr>
              <w:t>Средства обеспечения информационной безопасности/ Средства защиты каналов передачи данных, в том числе криптографическими методами</w:t>
            </w:r>
          </w:p>
        </w:tc>
        <w:tc>
          <w:tcPr>
            <w:tcW w:w="704" w:type="pct"/>
            <w:shd w:val="clear" w:color="000000" w:fill="FFFFFF"/>
            <w:hideMark/>
          </w:tcPr>
          <w:p w14:paraId="20028E08" w14:textId="77777777" w:rsidR="00766F9E" w:rsidRPr="00B0658A" w:rsidRDefault="00766F9E" w:rsidP="00766F9E">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03" w:type="pct"/>
            <w:shd w:val="clear" w:color="auto" w:fill="auto"/>
            <w:vAlign w:val="center"/>
            <w:hideMark/>
          </w:tcPr>
          <w:p w14:paraId="1D0F9E1A" w14:textId="77777777" w:rsidR="00766F9E" w:rsidRPr="00B0658A" w:rsidRDefault="00766F9E" w:rsidP="00766F9E">
            <w:pPr>
              <w:spacing w:after="0" w:line="240" w:lineRule="auto"/>
              <w:jc w:val="center"/>
              <w:rPr>
                <w:rFonts w:ascii="Times New Roman" w:hAnsi="Times New Roman"/>
                <w:sz w:val="18"/>
                <w:szCs w:val="18"/>
              </w:rPr>
            </w:pPr>
            <w:r>
              <w:rPr>
                <w:rFonts w:ascii="Times New Roman" w:hAnsi="Times New Roman"/>
                <w:sz w:val="18"/>
                <w:szCs w:val="18"/>
              </w:rPr>
              <w:t>60</w:t>
            </w:r>
            <w:r w:rsidRPr="00B0658A">
              <w:rPr>
                <w:rFonts w:ascii="Times New Roman" w:hAnsi="Times New Roman"/>
                <w:sz w:val="18"/>
                <w:szCs w:val="18"/>
                <w:lang w:val="en-US"/>
              </w:rPr>
              <w:t>%</w:t>
            </w:r>
          </w:p>
        </w:tc>
        <w:tc>
          <w:tcPr>
            <w:tcW w:w="303" w:type="pct"/>
            <w:shd w:val="clear" w:color="auto" w:fill="auto"/>
            <w:vAlign w:val="center"/>
            <w:hideMark/>
          </w:tcPr>
          <w:p w14:paraId="7B311313" w14:textId="77777777" w:rsidR="00766F9E" w:rsidRPr="00B0658A" w:rsidRDefault="00766F9E" w:rsidP="00766F9E">
            <w:pPr>
              <w:spacing w:after="0" w:line="240" w:lineRule="auto"/>
              <w:jc w:val="center"/>
              <w:rPr>
                <w:rFonts w:ascii="Times New Roman" w:hAnsi="Times New Roman"/>
                <w:sz w:val="18"/>
                <w:szCs w:val="18"/>
              </w:rPr>
            </w:pPr>
            <w:r>
              <w:rPr>
                <w:rFonts w:ascii="Times New Roman" w:hAnsi="Times New Roman"/>
                <w:sz w:val="18"/>
                <w:szCs w:val="18"/>
              </w:rPr>
              <w:t>8</w:t>
            </w:r>
            <w:r w:rsidRPr="00B0658A">
              <w:rPr>
                <w:rFonts w:ascii="Times New Roman" w:hAnsi="Times New Roman"/>
                <w:sz w:val="18"/>
                <w:szCs w:val="18"/>
                <w:lang w:val="en-US"/>
              </w:rPr>
              <w:t>0%</w:t>
            </w:r>
          </w:p>
        </w:tc>
        <w:tc>
          <w:tcPr>
            <w:tcW w:w="303" w:type="pct"/>
            <w:shd w:val="clear" w:color="auto" w:fill="auto"/>
            <w:vAlign w:val="center"/>
            <w:hideMark/>
          </w:tcPr>
          <w:p w14:paraId="24B5B29F"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13" w:type="pct"/>
            <w:vAlign w:val="center"/>
          </w:tcPr>
          <w:p w14:paraId="699234D5" w14:textId="77777777" w:rsidR="00766F9E" w:rsidRPr="00B0658A" w:rsidRDefault="00766F9E" w:rsidP="00766F9E">
            <w:pPr>
              <w:spacing w:after="0" w:line="240" w:lineRule="auto"/>
              <w:jc w:val="center"/>
              <w:rPr>
                <w:rFonts w:ascii="Times New Roman" w:hAnsi="Times New Roman"/>
                <w:sz w:val="18"/>
                <w:szCs w:val="18"/>
                <w:lang w:val="en-US"/>
              </w:rPr>
            </w:pPr>
            <w:r w:rsidRPr="00B0658A">
              <w:rPr>
                <w:rFonts w:ascii="Times New Roman" w:hAnsi="Times New Roman"/>
                <w:sz w:val="18"/>
                <w:szCs w:val="18"/>
              </w:rPr>
              <w:t>100%</w:t>
            </w:r>
          </w:p>
        </w:tc>
        <w:tc>
          <w:tcPr>
            <w:tcW w:w="303" w:type="pct"/>
            <w:shd w:val="clear" w:color="auto" w:fill="auto"/>
            <w:vAlign w:val="center"/>
            <w:hideMark/>
          </w:tcPr>
          <w:p w14:paraId="2901BCA0"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03" w:type="pct"/>
            <w:shd w:val="clear" w:color="auto" w:fill="auto"/>
            <w:vAlign w:val="center"/>
            <w:hideMark/>
          </w:tcPr>
          <w:p w14:paraId="42AE1985"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03" w:type="pct"/>
            <w:shd w:val="clear" w:color="auto" w:fill="auto"/>
            <w:vAlign w:val="center"/>
            <w:hideMark/>
          </w:tcPr>
          <w:p w14:paraId="2C15E387"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rPr>
              <w:t>100%</w:t>
            </w:r>
          </w:p>
        </w:tc>
        <w:tc>
          <w:tcPr>
            <w:tcW w:w="272" w:type="pct"/>
            <w:vAlign w:val="center"/>
          </w:tcPr>
          <w:p w14:paraId="5EC66E35"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299" w:type="pct"/>
            <w:vAlign w:val="center"/>
          </w:tcPr>
          <w:p w14:paraId="7D7EE1FC"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297" w:type="pct"/>
            <w:vAlign w:val="center"/>
          </w:tcPr>
          <w:p w14:paraId="07B06E9F"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766F9E" w:rsidRPr="00B0658A" w14:paraId="617C6AAA" w14:textId="77777777" w:rsidTr="00FE71B1">
        <w:trPr>
          <w:trHeight w:val="20"/>
        </w:trPr>
        <w:tc>
          <w:tcPr>
            <w:tcW w:w="283" w:type="pct"/>
            <w:shd w:val="clear" w:color="000000" w:fill="FFFFFF"/>
            <w:vAlign w:val="center"/>
          </w:tcPr>
          <w:p w14:paraId="3F2A29F4" w14:textId="77777777" w:rsidR="00766F9E" w:rsidRPr="00B0658A" w:rsidRDefault="00766F9E" w:rsidP="00FE71B1">
            <w:pPr>
              <w:spacing w:after="0" w:line="240" w:lineRule="auto"/>
              <w:jc w:val="center"/>
              <w:rPr>
                <w:rFonts w:ascii="Times New Roman" w:hAnsi="Times New Roman"/>
                <w:sz w:val="18"/>
                <w:szCs w:val="18"/>
              </w:rPr>
            </w:pPr>
            <w:r w:rsidRPr="00B0658A">
              <w:rPr>
                <w:rFonts w:ascii="Times New Roman" w:hAnsi="Times New Roman"/>
                <w:sz w:val="18"/>
                <w:szCs w:val="18"/>
              </w:rPr>
              <w:t>3.12</w:t>
            </w:r>
          </w:p>
        </w:tc>
        <w:tc>
          <w:tcPr>
            <w:tcW w:w="1013" w:type="pct"/>
            <w:shd w:val="clear" w:color="auto" w:fill="auto"/>
            <w:vAlign w:val="center"/>
            <w:hideMark/>
          </w:tcPr>
          <w:p w14:paraId="4F98582C" w14:textId="77777777" w:rsidR="00766F9E" w:rsidRPr="00B0658A" w:rsidRDefault="00766F9E" w:rsidP="00766F9E">
            <w:pPr>
              <w:spacing w:after="0" w:line="240" w:lineRule="auto"/>
              <w:rPr>
                <w:rFonts w:ascii="Times New Roman" w:hAnsi="Times New Roman"/>
                <w:sz w:val="18"/>
                <w:szCs w:val="18"/>
              </w:rPr>
            </w:pPr>
            <w:r w:rsidRPr="00B0658A">
              <w:rPr>
                <w:rFonts w:ascii="Times New Roman" w:hAnsi="Times New Roman"/>
                <w:sz w:val="18"/>
                <w:szCs w:val="18"/>
              </w:rPr>
              <w:t>Средства обеспечения информационной безопасности/ Системы управления доступом к информационным ресурсам</w:t>
            </w:r>
          </w:p>
        </w:tc>
        <w:tc>
          <w:tcPr>
            <w:tcW w:w="704" w:type="pct"/>
            <w:shd w:val="clear" w:color="000000" w:fill="FFFFFF"/>
            <w:hideMark/>
          </w:tcPr>
          <w:p w14:paraId="227B645B" w14:textId="77777777" w:rsidR="00766F9E" w:rsidRPr="00B0658A" w:rsidRDefault="00766F9E" w:rsidP="00766F9E">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03" w:type="pct"/>
            <w:shd w:val="clear" w:color="auto" w:fill="auto"/>
            <w:vAlign w:val="center"/>
            <w:hideMark/>
          </w:tcPr>
          <w:p w14:paraId="72C5BEC3" w14:textId="77777777" w:rsidR="00766F9E" w:rsidRPr="00B0658A" w:rsidRDefault="00766F9E" w:rsidP="00766F9E">
            <w:pPr>
              <w:spacing w:after="0" w:line="240" w:lineRule="auto"/>
              <w:jc w:val="center"/>
              <w:rPr>
                <w:rFonts w:ascii="Times New Roman" w:hAnsi="Times New Roman"/>
                <w:sz w:val="18"/>
                <w:szCs w:val="18"/>
              </w:rPr>
            </w:pPr>
            <w:r>
              <w:rPr>
                <w:rFonts w:ascii="Times New Roman" w:hAnsi="Times New Roman"/>
                <w:sz w:val="18"/>
                <w:szCs w:val="18"/>
              </w:rPr>
              <w:t>60</w:t>
            </w:r>
            <w:r w:rsidRPr="00B0658A">
              <w:rPr>
                <w:rFonts w:ascii="Times New Roman" w:hAnsi="Times New Roman"/>
                <w:sz w:val="18"/>
                <w:szCs w:val="18"/>
                <w:lang w:val="en-US"/>
              </w:rPr>
              <w:t>%</w:t>
            </w:r>
          </w:p>
        </w:tc>
        <w:tc>
          <w:tcPr>
            <w:tcW w:w="303" w:type="pct"/>
            <w:shd w:val="clear" w:color="auto" w:fill="auto"/>
            <w:vAlign w:val="center"/>
            <w:hideMark/>
          </w:tcPr>
          <w:p w14:paraId="27343886" w14:textId="77777777" w:rsidR="00766F9E" w:rsidRPr="00B0658A" w:rsidRDefault="00766F9E" w:rsidP="00766F9E">
            <w:pPr>
              <w:spacing w:after="0" w:line="240" w:lineRule="auto"/>
              <w:jc w:val="center"/>
              <w:rPr>
                <w:rFonts w:ascii="Times New Roman" w:hAnsi="Times New Roman"/>
                <w:sz w:val="18"/>
                <w:szCs w:val="18"/>
              </w:rPr>
            </w:pPr>
            <w:r>
              <w:rPr>
                <w:rFonts w:ascii="Times New Roman" w:hAnsi="Times New Roman"/>
                <w:sz w:val="18"/>
                <w:szCs w:val="18"/>
              </w:rPr>
              <w:t>8</w:t>
            </w:r>
            <w:r w:rsidRPr="00B0658A">
              <w:rPr>
                <w:rFonts w:ascii="Times New Roman" w:hAnsi="Times New Roman"/>
                <w:sz w:val="18"/>
                <w:szCs w:val="18"/>
                <w:lang w:val="en-US"/>
              </w:rPr>
              <w:t>0%</w:t>
            </w:r>
          </w:p>
        </w:tc>
        <w:tc>
          <w:tcPr>
            <w:tcW w:w="303" w:type="pct"/>
            <w:shd w:val="clear" w:color="auto" w:fill="auto"/>
            <w:vAlign w:val="center"/>
            <w:hideMark/>
          </w:tcPr>
          <w:p w14:paraId="196945EC"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13" w:type="pct"/>
            <w:vAlign w:val="center"/>
          </w:tcPr>
          <w:p w14:paraId="76AC2F05" w14:textId="77777777" w:rsidR="00766F9E" w:rsidRPr="00B0658A" w:rsidRDefault="00766F9E" w:rsidP="00766F9E">
            <w:pPr>
              <w:spacing w:after="0" w:line="240" w:lineRule="auto"/>
              <w:jc w:val="center"/>
              <w:rPr>
                <w:rFonts w:ascii="Times New Roman" w:hAnsi="Times New Roman"/>
                <w:sz w:val="18"/>
                <w:szCs w:val="18"/>
                <w:lang w:val="en-US"/>
              </w:rPr>
            </w:pPr>
            <w:r w:rsidRPr="00B0658A">
              <w:rPr>
                <w:rFonts w:ascii="Times New Roman" w:hAnsi="Times New Roman"/>
                <w:sz w:val="18"/>
                <w:szCs w:val="18"/>
              </w:rPr>
              <w:t>100%</w:t>
            </w:r>
          </w:p>
        </w:tc>
        <w:tc>
          <w:tcPr>
            <w:tcW w:w="303" w:type="pct"/>
            <w:shd w:val="clear" w:color="auto" w:fill="auto"/>
            <w:vAlign w:val="center"/>
            <w:hideMark/>
          </w:tcPr>
          <w:p w14:paraId="4694CD2D" w14:textId="77777777" w:rsidR="00766F9E" w:rsidRPr="00B0658A" w:rsidRDefault="00766F9E" w:rsidP="00766F9E">
            <w:pPr>
              <w:spacing w:after="0" w:line="240" w:lineRule="auto"/>
              <w:jc w:val="center"/>
              <w:rPr>
                <w:rFonts w:ascii="Times New Roman" w:hAnsi="Times New Roman"/>
                <w:sz w:val="18"/>
                <w:szCs w:val="18"/>
              </w:rPr>
            </w:pPr>
            <w:r>
              <w:rPr>
                <w:rFonts w:ascii="Times New Roman" w:hAnsi="Times New Roman"/>
                <w:sz w:val="18"/>
                <w:szCs w:val="18"/>
              </w:rPr>
              <w:t>100</w:t>
            </w:r>
            <w:r w:rsidRPr="00B0658A">
              <w:rPr>
                <w:rFonts w:ascii="Times New Roman" w:hAnsi="Times New Roman"/>
                <w:sz w:val="18"/>
                <w:szCs w:val="18"/>
                <w:lang w:val="en-US"/>
              </w:rPr>
              <w:t>%</w:t>
            </w:r>
          </w:p>
        </w:tc>
        <w:tc>
          <w:tcPr>
            <w:tcW w:w="303" w:type="pct"/>
            <w:shd w:val="clear" w:color="auto" w:fill="auto"/>
            <w:vAlign w:val="center"/>
            <w:hideMark/>
          </w:tcPr>
          <w:p w14:paraId="559002A6"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03" w:type="pct"/>
            <w:shd w:val="clear" w:color="auto" w:fill="auto"/>
            <w:vAlign w:val="center"/>
            <w:hideMark/>
          </w:tcPr>
          <w:p w14:paraId="10C28934"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rPr>
              <w:t>100%</w:t>
            </w:r>
          </w:p>
        </w:tc>
        <w:tc>
          <w:tcPr>
            <w:tcW w:w="272" w:type="pct"/>
            <w:vAlign w:val="center"/>
          </w:tcPr>
          <w:p w14:paraId="12163CC7"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299" w:type="pct"/>
            <w:vAlign w:val="center"/>
          </w:tcPr>
          <w:p w14:paraId="7A264A33"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297" w:type="pct"/>
            <w:vAlign w:val="center"/>
          </w:tcPr>
          <w:p w14:paraId="29F9714D"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766F9E" w:rsidRPr="00B0658A" w14:paraId="57412A5C" w14:textId="77777777" w:rsidTr="00FE71B1">
        <w:trPr>
          <w:trHeight w:val="20"/>
        </w:trPr>
        <w:tc>
          <w:tcPr>
            <w:tcW w:w="283" w:type="pct"/>
            <w:shd w:val="clear" w:color="000000" w:fill="FFFFFF"/>
            <w:vAlign w:val="center"/>
          </w:tcPr>
          <w:p w14:paraId="7D14F7D6" w14:textId="77777777" w:rsidR="00766F9E" w:rsidRPr="00B0658A" w:rsidRDefault="00766F9E" w:rsidP="00FE71B1">
            <w:pPr>
              <w:spacing w:after="0" w:line="240" w:lineRule="auto"/>
              <w:jc w:val="center"/>
              <w:rPr>
                <w:rFonts w:ascii="Times New Roman" w:hAnsi="Times New Roman"/>
                <w:sz w:val="18"/>
                <w:szCs w:val="18"/>
              </w:rPr>
            </w:pPr>
            <w:r w:rsidRPr="00B0658A">
              <w:rPr>
                <w:rFonts w:ascii="Times New Roman" w:hAnsi="Times New Roman"/>
                <w:sz w:val="18"/>
                <w:szCs w:val="18"/>
              </w:rPr>
              <w:t>3.13</w:t>
            </w:r>
          </w:p>
        </w:tc>
        <w:tc>
          <w:tcPr>
            <w:tcW w:w="1013" w:type="pct"/>
            <w:shd w:val="clear" w:color="auto" w:fill="auto"/>
            <w:vAlign w:val="center"/>
            <w:hideMark/>
          </w:tcPr>
          <w:p w14:paraId="2874C527" w14:textId="77777777" w:rsidR="00766F9E" w:rsidRPr="00B0658A" w:rsidRDefault="00766F9E" w:rsidP="00766F9E">
            <w:pPr>
              <w:spacing w:after="0" w:line="240" w:lineRule="auto"/>
              <w:rPr>
                <w:rFonts w:ascii="Times New Roman" w:hAnsi="Times New Roman"/>
                <w:sz w:val="18"/>
                <w:szCs w:val="18"/>
              </w:rPr>
            </w:pPr>
            <w:r w:rsidRPr="00B0658A">
              <w:rPr>
                <w:rFonts w:ascii="Times New Roman" w:hAnsi="Times New Roman"/>
                <w:sz w:val="18"/>
                <w:szCs w:val="18"/>
              </w:rPr>
              <w:t>Средства обеспечения информационной безопасности/ Средства резервного копирования</w:t>
            </w:r>
          </w:p>
        </w:tc>
        <w:tc>
          <w:tcPr>
            <w:tcW w:w="704" w:type="pct"/>
            <w:shd w:val="clear" w:color="000000" w:fill="FFFFFF"/>
            <w:hideMark/>
          </w:tcPr>
          <w:p w14:paraId="22BC3F1D" w14:textId="77777777" w:rsidR="00766F9E" w:rsidRPr="00B0658A" w:rsidRDefault="00766F9E" w:rsidP="00766F9E">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03" w:type="pct"/>
            <w:shd w:val="clear" w:color="auto" w:fill="auto"/>
            <w:vAlign w:val="center"/>
            <w:hideMark/>
          </w:tcPr>
          <w:p w14:paraId="2ACDFC20" w14:textId="5E95F55E" w:rsidR="00766F9E" w:rsidRPr="00B0658A" w:rsidRDefault="00310168" w:rsidP="00766F9E">
            <w:pPr>
              <w:spacing w:after="0" w:line="240" w:lineRule="auto"/>
              <w:jc w:val="center"/>
              <w:rPr>
                <w:rFonts w:ascii="Times New Roman" w:hAnsi="Times New Roman"/>
                <w:sz w:val="18"/>
                <w:szCs w:val="18"/>
              </w:rPr>
            </w:pPr>
            <w:r>
              <w:rPr>
                <w:rFonts w:ascii="Times New Roman" w:hAnsi="Times New Roman"/>
                <w:sz w:val="18"/>
                <w:szCs w:val="18"/>
                <w:lang w:val="en-US"/>
              </w:rPr>
              <w:t>5</w:t>
            </w:r>
            <w:r w:rsidR="00766F9E">
              <w:rPr>
                <w:rFonts w:ascii="Times New Roman" w:hAnsi="Times New Roman"/>
                <w:sz w:val="18"/>
                <w:szCs w:val="18"/>
              </w:rPr>
              <w:t>0</w:t>
            </w:r>
            <w:r w:rsidR="00766F9E" w:rsidRPr="00B0658A">
              <w:rPr>
                <w:rFonts w:ascii="Times New Roman" w:hAnsi="Times New Roman"/>
                <w:sz w:val="18"/>
                <w:szCs w:val="18"/>
                <w:lang w:val="en-US"/>
              </w:rPr>
              <w:t>%</w:t>
            </w:r>
          </w:p>
        </w:tc>
        <w:tc>
          <w:tcPr>
            <w:tcW w:w="303" w:type="pct"/>
            <w:shd w:val="clear" w:color="auto" w:fill="auto"/>
            <w:vAlign w:val="center"/>
            <w:hideMark/>
          </w:tcPr>
          <w:p w14:paraId="3B4E2121" w14:textId="221DEC4F" w:rsidR="00766F9E" w:rsidRPr="00B0658A" w:rsidRDefault="00310168" w:rsidP="00766F9E">
            <w:pPr>
              <w:spacing w:after="0" w:line="240" w:lineRule="auto"/>
              <w:jc w:val="center"/>
              <w:rPr>
                <w:rFonts w:ascii="Times New Roman" w:hAnsi="Times New Roman"/>
                <w:sz w:val="18"/>
                <w:szCs w:val="18"/>
              </w:rPr>
            </w:pPr>
            <w:r>
              <w:rPr>
                <w:rFonts w:ascii="Times New Roman" w:hAnsi="Times New Roman"/>
                <w:sz w:val="18"/>
                <w:szCs w:val="18"/>
                <w:lang w:val="en-US"/>
              </w:rPr>
              <w:t>6</w:t>
            </w:r>
            <w:r w:rsidR="00766F9E" w:rsidRPr="00B0658A">
              <w:rPr>
                <w:rFonts w:ascii="Times New Roman" w:hAnsi="Times New Roman"/>
                <w:sz w:val="18"/>
                <w:szCs w:val="18"/>
                <w:lang w:val="en-US"/>
              </w:rPr>
              <w:t>0%</w:t>
            </w:r>
          </w:p>
        </w:tc>
        <w:tc>
          <w:tcPr>
            <w:tcW w:w="303" w:type="pct"/>
            <w:shd w:val="clear" w:color="auto" w:fill="auto"/>
            <w:vAlign w:val="center"/>
            <w:hideMark/>
          </w:tcPr>
          <w:p w14:paraId="3F59D019" w14:textId="7A612F85" w:rsidR="00766F9E" w:rsidRPr="00B0658A" w:rsidRDefault="00310168" w:rsidP="00766F9E">
            <w:pPr>
              <w:spacing w:after="0" w:line="240" w:lineRule="auto"/>
              <w:jc w:val="center"/>
              <w:rPr>
                <w:rFonts w:ascii="Times New Roman" w:hAnsi="Times New Roman"/>
                <w:sz w:val="18"/>
                <w:szCs w:val="18"/>
              </w:rPr>
            </w:pPr>
            <w:r>
              <w:rPr>
                <w:rFonts w:ascii="Times New Roman" w:hAnsi="Times New Roman"/>
                <w:sz w:val="18"/>
                <w:szCs w:val="18"/>
                <w:lang w:val="en-US"/>
              </w:rPr>
              <w:t>70</w:t>
            </w:r>
            <w:r w:rsidR="00766F9E" w:rsidRPr="00B0658A">
              <w:rPr>
                <w:rFonts w:ascii="Times New Roman" w:hAnsi="Times New Roman"/>
                <w:sz w:val="18"/>
                <w:szCs w:val="18"/>
                <w:lang w:val="en-US"/>
              </w:rPr>
              <w:t>%</w:t>
            </w:r>
          </w:p>
        </w:tc>
        <w:tc>
          <w:tcPr>
            <w:tcW w:w="313" w:type="pct"/>
            <w:vAlign w:val="center"/>
          </w:tcPr>
          <w:p w14:paraId="73911224" w14:textId="77777777" w:rsidR="00766F9E" w:rsidRPr="00B0658A" w:rsidRDefault="00766F9E" w:rsidP="00766F9E">
            <w:pPr>
              <w:spacing w:after="0" w:line="240" w:lineRule="auto"/>
              <w:jc w:val="center"/>
              <w:rPr>
                <w:rFonts w:ascii="Times New Roman" w:hAnsi="Times New Roman"/>
                <w:sz w:val="18"/>
                <w:szCs w:val="18"/>
                <w:lang w:val="en-US"/>
              </w:rPr>
            </w:pPr>
            <w:r w:rsidRPr="00B0658A">
              <w:rPr>
                <w:rFonts w:ascii="Times New Roman" w:hAnsi="Times New Roman"/>
                <w:sz w:val="18"/>
                <w:szCs w:val="18"/>
              </w:rPr>
              <w:t>100%</w:t>
            </w:r>
          </w:p>
        </w:tc>
        <w:tc>
          <w:tcPr>
            <w:tcW w:w="303" w:type="pct"/>
            <w:shd w:val="clear" w:color="auto" w:fill="auto"/>
            <w:vAlign w:val="center"/>
            <w:hideMark/>
          </w:tcPr>
          <w:p w14:paraId="1F71DEB9"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75%</w:t>
            </w:r>
          </w:p>
        </w:tc>
        <w:tc>
          <w:tcPr>
            <w:tcW w:w="303" w:type="pct"/>
            <w:shd w:val="clear" w:color="auto" w:fill="auto"/>
            <w:vAlign w:val="center"/>
            <w:hideMark/>
          </w:tcPr>
          <w:p w14:paraId="6E7A2B8E"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85%</w:t>
            </w:r>
          </w:p>
        </w:tc>
        <w:tc>
          <w:tcPr>
            <w:tcW w:w="303" w:type="pct"/>
            <w:shd w:val="clear" w:color="auto" w:fill="auto"/>
            <w:vAlign w:val="center"/>
            <w:hideMark/>
          </w:tcPr>
          <w:p w14:paraId="5FE5EA4F"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rPr>
              <w:t>100%</w:t>
            </w:r>
          </w:p>
        </w:tc>
        <w:tc>
          <w:tcPr>
            <w:tcW w:w="272" w:type="pct"/>
            <w:vAlign w:val="center"/>
          </w:tcPr>
          <w:p w14:paraId="125ABF21"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299" w:type="pct"/>
            <w:vAlign w:val="center"/>
          </w:tcPr>
          <w:p w14:paraId="3E631414"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297" w:type="pct"/>
            <w:vAlign w:val="center"/>
          </w:tcPr>
          <w:p w14:paraId="7A061ADB"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766F9E" w:rsidRPr="00B0658A" w14:paraId="72C34B87" w14:textId="77777777" w:rsidTr="00FE71B1">
        <w:trPr>
          <w:trHeight w:val="20"/>
        </w:trPr>
        <w:tc>
          <w:tcPr>
            <w:tcW w:w="283" w:type="pct"/>
            <w:shd w:val="clear" w:color="000000" w:fill="FFFFFF"/>
            <w:vAlign w:val="center"/>
          </w:tcPr>
          <w:p w14:paraId="7A02ED5A" w14:textId="77777777" w:rsidR="00766F9E" w:rsidRPr="00B0658A" w:rsidRDefault="00766F9E" w:rsidP="00FE71B1">
            <w:pPr>
              <w:spacing w:after="0" w:line="240" w:lineRule="auto"/>
              <w:jc w:val="center"/>
              <w:rPr>
                <w:rFonts w:ascii="Times New Roman" w:hAnsi="Times New Roman"/>
                <w:sz w:val="18"/>
                <w:szCs w:val="18"/>
              </w:rPr>
            </w:pPr>
            <w:r w:rsidRPr="00B0658A">
              <w:rPr>
                <w:rFonts w:ascii="Times New Roman" w:hAnsi="Times New Roman"/>
                <w:sz w:val="18"/>
                <w:szCs w:val="18"/>
              </w:rPr>
              <w:t>3.14</w:t>
            </w:r>
          </w:p>
        </w:tc>
        <w:tc>
          <w:tcPr>
            <w:tcW w:w="1013" w:type="pct"/>
            <w:shd w:val="clear" w:color="auto" w:fill="auto"/>
            <w:vAlign w:val="center"/>
            <w:hideMark/>
          </w:tcPr>
          <w:p w14:paraId="5D587F0B" w14:textId="77777777" w:rsidR="00766F9E" w:rsidRPr="00B0658A" w:rsidRDefault="00766F9E" w:rsidP="00766F9E">
            <w:pPr>
              <w:spacing w:after="0" w:line="240" w:lineRule="auto"/>
              <w:rPr>
                <w:rFonts w:ascii="Times New Roman" w:hAnsi="Times New Roman"/>
                <w:sz w:val="18"/>
                <w:szCs w:val="18"/>
              </w:rPr>
            </w:pPr>
            <w:r w:rsidRPr="00B0658A">
              <w:rPr>
                <w:rFonts w:ascii="Times New Roman" w:hAnsi="Times New Roman"/>
                <w:sz w:val="18"/>
                <w:szCs w:val="18"/>
              </w:rPr>
              <w:t>Средства обеспечения информационной безопасности/ Средства обнаружения и/или предотвращения вторжений (атак)</w:t>
            </w:r>
          </w:p>
        </w:tc>
        <w:tc>
          <w:tcPr>
            <w:tcW w:w="704" w:type="pct"/>
            <w:shd w:val="clear" w:color="000000" w:fill="FFFFFF"/>
            <w:hideMark/>
          </w:tcPr>
          <w:p w14:paraId="270EB1D3" w14:textId="77777777" w:rsidR="00766F9E" w:rsidRPr="00B0658A" w:rsidRDefault="00766F9E" w:rsidP="00766F9E">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03" w:type="pct"/>
            <w:shd w:val="clear" w:color="auto" w:fill="auto"/>
            <w:vAlign w:val="center"/>
            <w:hideMark/>
          </w:tcPr>
          <w:p w14:paraId="79C8A38C" w14:textId="77777777" w:rsidR="00766F9E" w:rsidRPr="00B0658A" w:rsidRDefault="00766F9E" w:rsidP="00766F9E">
            <w:pPr>
              <w:spacing w:after="0" w:line="240" w:lineRule="auto"/>
              <w:jc w:val="center"/>
              <w:rPr>
                <w:rFonts w:ascii="Times New Roman" w:hAnsi="Times New Roman"/>
                <w:sz w:val="18"/>
                <w:szCs w:val="18"/>
              </w:rPr>
            </w:pPr>
            <w:r>
              <w:rPr>
                <w:rFonts w:ascii="Times New Roman" w:hAnsi="Times New Roman"/>
                <w:sz w:val="18"/>
                <w:szCs w:val="18"/>
              </w:rPr>
              <w:t>60</w:t>
            </w:r>
            <w:r w:rsidRPr="00B0658A">
              <w:rPr>
                <w:rFonts w:ascii="Times New Roman" w:hAnsi="Times New Roman"/>
                <w:sz w:val="18"/>
                <w:szCs w:val="18"/>
                <w:lang w:val="en-US"/>
              </w:rPr>
              <w:t>%</w:t>
            </w:r>
          </w:p>
        </w:tc>
        <w:tc>
          <w:tcPr>
            <w:tcW w:w="303" w:type="pct"/>
            <w:shd w:val="clear" w:color="auto" w:fill="auto"/>
            <w:vAlign w:val="center"/>
            <w:hideMark/>
          </w:tcPr>
          <w:p w14:paraId="21371F08" w14:textId="77777777" w:rsidR="00766F9E" w:rsidRPr="00B0658A" w:rsidRDefault="00766F9E" w:rsidP="00766F9E">
            <w:pPr>
              <w:spacing w:after="0" w:line="240" w:lineRule="auto"/>
              <w:jc w:val="center"/>
              <w:rPr>
                <w:rFonts w:ascii="Times New Roman" w:hAnsi="Times New Roman"/>
                <w:sz w:val="18"/>
                <w:szCs w:val="18"/>
              </w:rPr>
            </w:pPr>
            <w:r>
              <w:rPr>
                <w:rFonts w:ascii="Times New Roman" w:hAnsi="Times New Roman"/>
                <w:sz w:val="18"/>
                <w:szCs w:val="18"/>
              </w:rPr>
              <w:t>8</w:t>
            </w:r>
            <w:r w:rsidRPr="00B0658A">
              <w:rPr>
                <w:rFonts w:ascii="Times New Roman" w:hAnsi="Times New Roman"/>
                <w:sz w:val="18"/>
                <w:szCs w:val="18"/>
                <w:lang w:val="en-US"/>
              </w:rPr>
              <w:t>0%</w:t>
            </w:r>
          </w:p>
        </w:tc>
        <w:tc>
          <w:tcPr>
            <w:tcW w:w="303" w:type="pct"/>
            <w:shd w:val="clear" w:color="auto" w:fill="auto"/>
            <w:vAlign w:val="center"/>
            <w:hideMark/>
          </w:tcPr>
          <w:p w14:paraId="5AAE4268"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13" w:type="pct"/>
            <w:vAlign w:val="center"/>
          </w:tcPr>
          <w:p w14:paraId="6A367B14" w14:textId="77777777" w:rsidR="00766F9E" w:rsidRPr="00B0658A" w:rsidRDefault="00766F9E" w:rsidP="00766F9E">
            <w:pPr>
              <w:spacing w:after="0" w:line="240" w:lineRule="auto"/>
              <w:jc w:val="center"/>
              <w:rPr>
                <w:rFonts w:ascii="Times New Roman" w:hAnsi="Times New Roman"/>
                <w:sz w:val="18"/>
                <w:szCs w:val="18"/>
                <w:lang w:val="en-US"/>
              </w:rPr>
            </w:pPr>
            <w:r w:rsidRPr="00B0658A">
              <w:rPr>
                <w:rFonts w:ascii="Times New Roman" w:hAnsi="Times New Roman"/>
                <w:sz w:val="18"/>
                <w:szCs w:val="18"/>
              </w:rPr>
              <w:t>100%</w:t>
            </w:r>
          </w:p>
        </w:tc>
        <w:tc>
          <w:tcPr>
            <w:tcW w:w="303" w:type="pct"/>
            <w:shd w:val="clear" w:color="auto" w:fill="auto"/>
            <w:vAlign w:val="center"/>
            <w:hideMark/>
          </w:tcPr>
          <w:p w14:paraId="471C8C4D"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03" w:type="pct"/>
            <w:shd w:val="clear" w:color="auto" w:fill="auto"/>
            <w:vAlign w:val="center"/>
            <w:hideMark/>
          </w:tcPr>
          <w:p w14:paraId="2D3F3E3D"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03" w:type="pct"/>
            <w:shd w:val="clear" w:color="auto" w:fill="auto"/>
            <w:vAlign w:val="center"/>
            <w:hideMark/>
          </w:tcPr>
          <w:p w14:paraId="6E4382F3"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rPr>
              <w:t>100%</w:t>
            </w:r>
          </w:p>
        </w:tc>
        <w:tc>
          <w:tcPr>
            <w:tcW w:w="272" w:type="pct"/>
            <w:vAlign w:val="center"/>
          </w:tcPr>
          <w:p w14:paraId="2F03877C"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299" w:type="pct"/>
            <w:vAlign w:val="center"/>
          </w:tcPr>
          <w:p w14:paraId="35716668"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297" w:type="pct"/>
            <w:vAlign w:val="center"/>
          </w:tcPr>
          <w:p w14:paraId="5A726CC3"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766F9E" w:rsidRPr="00B0658A" w14:paraId="1B6B1022" w14:textId="77777777" w:rsidTr="00FE71B1">
        <w:trPr>
          <w:trHeight w:val="20"/>
        </w:trPr>
        <w:tc>
          <w:tcPr>
            <w:tcW w:w="283" w:type="pct"/>
            <w:shd w:val="clear" w:color="000000" w:fill="FFFFFF"/>
            <w:vAlign w:val="center"/>
          </w:tcPr>
          <w:p w14:paraId="49358050" w14:textId="77777777" w:rsidR="00766F9E" w:rsidRPr="00B0658A" w:rsidRDefault="00766F9E" w:rsidP="00FE71B1">
            <w:pPr>
              <w:spacing w:after="0" w:line="240" w:lineRule="auto"/>
              <w:jc w:val="center"/>
              <w:rPr>
                <w:rFonts w:ascii="Times New Roman" w:hAnsi="Times New Roman"/>
                <w:sz w:val="18"/>
                <w:szCs w:val="18"/>
              </w:rPr>
            </w:pPr>
            <w:r w:rsidRPr="00B0658A">
              <w:rPr>
                <w:rFonts w:ascii="Times New Roman" w:hAnsi="Times New Roman"/>
                <w:sz w:val="18"/>
                <w:szCs w:val="18"/>
              </w:rPr>
              <w:t>3.15</w:t>
            </w:r>
          </w:p>
        </w:tc>
        <w:tc>
          <w:tcPr>
            <w:tcW w:w="1013" w:type="pct"/>
            <w:shd w:val="clear" w:color="auto" w:fill="auto"/>
            <w:vAlign w:val="center"/>
            <w:hideMark/>
          </w:tcPr>
          <w:p w14:paraId="24886A16" w14:textId="77777777" w:rsidR="00766F9E" w:rsidRPr="00B0658A" w:rsidRDefault="00766F9E" w:rsidP="00766F9E">
            <w:pPr>
              <w:spacing w:after="0" w:line="240" w:lineRule="auto"/>
              <w:rPr>
                <w:rFonts w:ascii="Times New Roman" w:hAnsi="Times New Roman"/>
                <w:sz w:val="18"/>
                <w:szCs w:val="18"/>
              </w:rPr>
            </w:pPr>
            <w:r w:rsidRPr="00B0658A">
              <w:rPr>
                <w:rFonts w:ascii="Times New Roman" w:hAnsi="Times New Roman"/>
                <w:sz w:val="18"/>
                <w:szCs w:val="18"/>
              </w:rPr>
              <w:t xml:space="preserve">Средства обеспечения информационной безопасности/ </w:t>
            </w:r>
            <w:r w:rsidRPr="00B0658A">
              <w:rPr>
                <w:rFonts w:ascii="Times New Roman" w:hAnsi="Times New Roman"/>
                <w:sz w:val="18"/>
                <w:szCs w:val="18"/>
              </w:rPr>
              <w:lastRenderedPageBreak/>
              <w:t>Средства обнаружения угроз и расследования сетевых инцидентов</w:t>
            </w:r>
          </w:p>
        </w:tc>
        <w:tc>
          <w:tcPr>
            <w:tcW w:w="704" w:type="pct"/>
            <w:shd w:val="clear" w:color="000000" w:fill="FFFFFF"/>
            <w:hideMark/>
          </w:tcPr>
          <w:p w14:paraId="205A8C7C" w14:textId="77777777" w:rsidR="00766F9E" w:rsidRPr="00B0658A" w:rsidRDefault="00766F9E" w:rsidP="00766F9E">
            <w:pPr>
              <w:spacing w:after="0" w:line="240" w:lineRule="auto"/>
              <w:rPr>
                <w:rFonts w:ascii="Times New Roman" w:hAnsi="Times New Roman"/>
                <w:sz w:val="18"/>
                <w:szCs w:val="18"/>
              </w:rPr>
            </w:pPr>
            <w:r w:rsidRPr="00B0658A">
              <w:rPr>
                <w:rFonts w:ascii="Times New Roman" w:hAnsi="Times New Roman"/>
                <w:sz w:val="18"/>
                <w:szCs w:val="18"/>
              </w:rPr>
              <w:lastRenderedPageBreak/>
              <w:t xml:space="preserve">Доля используемого российского ПО в </w:t>
            </w:r>
            <w:r w:rsidRPr="00B0658A">
              <w:rPr>
                <w:rFonts w:ascii="Times New Roman" w:hAnsi="Times New Roman"/>
                <w:sz w:val="18"/>
                <w:szCs w:val="18"/>
              </w:rPr>
              <w:lastRenderedPageBreak/>
              <w:t>общем объёме, используемого ПО, %</w:t>
            </w:r>
          </w:p>
        </w:tc>
        <w:tc>
          <w:tcPr>
            <w:tcW w:w="303" w:type="pct"/>
            <w:shd w:val="clear" w:color="auto" w:fill="auto"/>
            <w:vAlign w:val="center"/>
            <w:hideMark/>
          </w:tcPr>
          <w:p w14:paraId="4CCC3741" w14:textId="77777777" w:rsidR="00766F9E" w:rsidRPr="00B0658A" w:rsidRDefault="00766F9E" w:rsidP="00766F9E">
            <w:pPr>
              <w:spacing w:after="0" w:line="240" w:lineRule="auto"/>
              <w:jc w:val="center"/>
              <w:rPr>
                <w:rFonts w:ascii="Times New Roman" w:hAnsi="Times New Roman"/>
                <w:sz w:val="18"/>
                <w:szCs w:val="18"/>
              </w:rPr>
            </w:pPr>
            <w:r>
              <w:rPr>
                <w:rFonts w:ascii="Times New Roman" w:hAnsi="Times New Roman"/>
                <w:sz w:val="18"/>
                <w:szCs w:val="18"/>
              </w:rPr>
              <w:lastRenderedPageBreak/>
              <w:t>60</w:t>
            </w:r>
            <w:r w:rsidRPr="00B0658A">
              <w:rPr>
                <w:rFonts w:ascii="Times New Roman" w:hAnsi="Times New Roman"/>
                <w:sz w:val="18"/>
                <w:szCs w:val="18"/>
                <w:lang w:val="en-US"/>
              </w:rPr>
              <w:t>%</w:t>
            </w:r>
          </w:p>
        </w:tc>
        <w:tc>
          <w:tcPr>
            <w:tcW w:w="303" w:type="pct"/>
            <w:shd w:val="clear" w:color="auto" w:fill="auto"/>
            <w:vAlign w:val="center"/>
            <w:hideMark/>
          </w:tcPr>
          <w:p w14:paraId="51709A05" w14:textId="77777777" w:rsidR="00766F9E" w:rsidRPr="00B0658A" w:rsidRDefault="00766F9E" w:rsidP="00766F9E">
            <w:pPr>
              <w:spacing w:after="0" w:line="240" w:lineRule="auto"/>
              <w:jc w:val="center"/>
              <w:rPr>
                <w:rFonts w:ascii="Times New Roman" w:hAnsi="Times New Roman"/>
                <w:sz w:val="18"/>
                <w:szCs w:val="18"/>
              </w:rPr>
            </w:pPr>
            <w:r>
              <w:rPr>
                <w:rFonts w:ascii="Times New Roman" w:hAnsi="Times New Roman"/>
                <w:sz w:val="18"/>
                <w:szCs w:val="18"/>
              </w:rPr>
              <w:t>8</w:t>
            </w:r>
            <w:r w:rsidRPr="00B0658A">
              <w:rPr>
                <w:rFonts w:ascii="Times New Roman" w:hAnsi="Times New Roman"/>
                <w:sz w:val="18"/>
                <w:szCs w:val="18"/>
                <w:lang w:val="en-US"/>
              </w:rPr>
              <w:t>0%</w:t>
            </w:r>
          </w:p>
        </w:tc>
        <w:tc>
          <w:tcPr>
            <w:tcW w:w="303" w:type="pct"/>
            <w:shd w:val="clear" w:color="auto" w:fill="auto"/>
            <w:vAlign w:val="center"/>
            <w:hideMark/>
          </w:tcPr>
          <w:p w14:paraId="67D190C0"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13" w:type="pct"/>
            <w:vAlign w:val="center"/>
          </w:tcPr>
          <w:p w14:paraId="6DAAF4E8" w14:textId="77777777" w:rsidR="00766F9E" w:rsidRPr="00B0658A" w:rsidRDefault="00766F9E" w:rsidP="00766F9E">
            <w:pPr>
              <w:spacing w:after="0" w:line="240" w:lineRule="auto"/>
              <w:jc w:val="center"/>
              <w:rPr>
                <w:rFonts w:ascii="Times New Roman" w:hAnsi="Times New Roman"/>
                <w:sz w:val="18"/>
                <w:szCs w:val="18"/>
                <w:lang w:val="en-US"/>
              </w:rPr>
            </w:pPr>
            <w:r w:rsidRPr="00B0658A">
              <w:rPr>
                <w:rFonts w:ascii="Times New Roman" w:hAnsi="Times New Roman"/>
                <w:sz w:val="18"/>
                <w:szCs w:val="18"/>
              </w:rPr>
              <w:t>100%</w:t>
            </w:r>
          </w:p>
        </w:tc>
        <w:tc>
          <w:tcPr>
            <w:tcW w:w="303" w:type="pct"/>
            <w:shd w:val="clear" w:color="auto" w:fill="auto"/>
            <w:vAlign w:val="center"/>
            <w:hideMark/>
          </w:tcPr>
          <w:p w14:paraId="52825C58"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03" w:type="pct"/>
            <w:shd w:val="clear" w:color="auto" w:fill="auto"/>
            <w:vAlign w:val="center"/>
            <w:hideMark/>
          </w:tcPr>
          <w:p w14:paraId="6E1D83BE"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03" w:type="pct"/>
            <w:shd w:val="clear" w:color="auto" w:fill="auto"/>
            <w:vAlign w:val="center"/>
            <w:hideMark/>
          </w:tcPr>
          <w:p w14:paraId="7D53FFD0"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rPr>
              <w:t>100%</w:t>
            </w:r>
          </w:p>
        </w:tc>
        <w:tc>
          <w:tcPr>
            <w:tcW w:w="272" w:type="pct"/>
            <w:vAlign w:val="center"/>
          </w:tcPr>
          <w:p w14:paraId="1A89CF11"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299" w:type="pct"/>
            <w:vAlign w:val="center"/>
          </w:tcPr>
          <w:p w14:paraId="33D9866F"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297" w:type="pct"/>
            <w:vAlign w:val="center"/>
          </w:tcPr>
          <w:p w14:paraId="3B072033"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766F9E" w:rsidRPr="00B0658A" w14:paraId="5B296F0B" w14:textId="77777777" w:rsidTr="00FE71B1">
        <w:trPr>
          <w:trHeight w:val="20"/>
        </w:trPr>
        <w:tc>
          <w:tcPr>
            <w:tcW w:w="283" w:type="pct"/>
            <w:shd w:val="clear" w:color="000000" w:fill="FFFFFF"/>
            <w:vAlign w:val="center"/>
          </w:tcPr>
          <w:p w14:paraId="7556A664" w14:textId="77777777" w:rsidR="00766F9E" w:rsidRPr="00B0658A" w:rsidRDefault="00766F9E" w:rsidP="00FE71B1">
            <w:pPr>
              <w:spacing w:after="0" w:line="240" w:lineRule="auto"/>
              <w:jc w:val="center"/>
              <w:rPr>
                <w:rFonts w:ascii="Times New Roman" w:hAnsi="Times New Roman"/>
                <w:sz w:val="18"/>
                <w:szCs w:val="18"/>
              </w:rPr>
            </w:pPr>
            <w:r w:rsidRPr="00B0658A">
              <w:rPr>
                <w:rFonts w:ascii="Times New Roman" w:hAnsi="Times New Roman"/>
                <w:sz w:val="18"/>
                <w:szCs w:val="18"/>
              </w:rPr>
              <w:t>3.16</w:t>
            </w:r>
          </w:p>
        </w:tc>
        <w:tc>
          <w:tcPr>
            <w:tcW w:w="1013" w:type="pct"/>
            <w:shd w:val="clear" w:color="auto" w:fill="auto"/>
            <w:vAlign w:val="center"/>
            <w:hideMark/>
          </w:tcPr>
          <w:p w14:paraId="183A3375" w14:textId="77777777" w:rsidR="00766F9E" w:rsidRPr="00B0658A" w:rsidRDefault="00766F9E" w:rsidP="00766F9E">
            <w:pPr>
              <w:spacing w:after="0" w:line="240" w:lineRule="auto"/>
              <w:rPr>
                <w:rFonts w:ascii="Times New Roman" w:hAnsi="Times New Roman"/>
                <w:sz w:val="18"/>
                <w:szCs w:val="18"/>
              </w:rPr>
            </w:pPr>
            <w:r w:rsidRPr="00B0658A">
              <w:rPr>
                <w:rFonts w:ascii="Times New Roman" w:hAnsi="Times New Roman"/>
                <w:sz w:val="18"/>
                <w:szCs w:val="18"/>
              </w:rPr>
              <w:t>Средства обеспечения информационной безопасности/ Средства администрирования и управления жизненным циклом ключевых носителей</w:t>
            </w:r>
          </w:p>
        </w:tc>
        <w:tc>
          <w:tcPr>
            <w:tcW w:w="704" w:type="pct"/>
            <w:shd w:val="clear" w:color="000000" w:fill="FFFFFF"/>
            <w:hideMark/>
          </w:tcPr>
          <w:p w14:paraId="0BD4BCFD" w14:textId="77777777" w:rsidR="00766F9E" w:rsidRPr="00B0658A" w:rsidRDefault="00766F9E" w:rsidP="00766F9E">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03" w:type="pct"/>
            <w:shd w:val="clear" w:color="auto" w:fill="auto"/>
            <w:vAlign w:val="center"/>
            <w:hideMark/>
          </w:tcPr>
          <w:p w14:paraId="7B62F333" w14:textId="77777777" w:rsidR="00766F9E" w:rsidRPr="00B0658A" w:rsidRDefault="00766F9E" w:rsidP="00766F9E">
            <w:pPr>
              <w:spacing w:after="0" w:line="240" w:lineRule="auto"/>
              <w:jc w:val="center"/>
              <w:rPr>
                <w:rFonts w:ascii="Times New Roman" w:hAnsi="Times New Roman"/>
                <w:sz w:val="18"/>
                <w:szCs w:val="18"/>
              </w:rPr>
            </w:pPr>
            <w:r>
              <w:rPr>
                <w:rFonts w:ascii="Times New Roman" w:hAnsi="Times New Roman"/>
                <w:sz w:val="18"/>
                <w:szCs w:val="18"/>
              </w:rPr>
              <w:t>60</w:t>
            </w:r>
            <w:r w:rsidRPr="00B0658A">
              <w:rPr>
                <w:rFonts w:ascii="Times New Roman" w:hAnsi="Times New Roman"/>
                <w:sz w:val="18"/>
                <w:szCs w:val="18"/>
                <w:lang w:val="en-US"/>
              </w:rPr>
              <w:t>%</w:t>
            </w:r>
          </w:p>
        </w:tc>
        <w:tc>
          <w:tcPr>
            <w:tcW w:w="303" w:type="pct"/>
            <w:shd w:val="clear" w:color="auto" w:fill="auto"/>
            <w:vAlign w:val="center"/>
            <w:hideMark/>
          </w:tcPr>
          <w:p w14:paraId="1E18DBB3" w14:textId="77777777" w:rsidR="00766F9E" w:rsidRPr="00B0658A" w:rsidRDefault="00766F9E" w:rsidP="00766F9E">
            <w:pPr>
              <w:spacing w:after="0" w:line="240" w:lineRule="auto"/>
              <w:jc w:val="center"/>
              <w:rPr>
                <w:rFonts w:ascii="Times New Roman" w:hAnsi="Times New Roman"/>
                <w:sz w:val="18"/>
                <w:szCs w:val="18"/>
              </w:rPr>
            </w:pPr>
            <w:r>
              <w:rPr>
                <w:rFonts w:ascii="Times New Roman" w:hAnsi="Times New Roman"/>
                <w:sz w:val="18"/>
                <w:szCs w:val="18"/>
              </w:rPr>
              <w:t>8</w:t>
            </w:r>
            <w:r w:rsidRPr="00B0658A">
              <w:rPr>
                <w:rFonts w:ascii="Times New Roman" w:hAnsi="Times New Roman"/>
                <w:sz w:val="18"/>
                <w:szCs w:val="18"/>
                <w:lang w:val="en-US"/>
              </w:rPr>
              <w:t>0%</w:t>
            </w:r>
          </w:p>
        </w:tc>
        <w:tc>
          <w:tcPr>
            <w:tcW w:w="303" w:type="pct"/>
            <w:shd w:val="clear" w:color="auto" w:fill="auto"/>
            <w:vAlign w:val="center"/>
            <w:hideMark/>
          </w:tcPr>
          <w:p w14:paraId="3AB1125B"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13" w:type="pct"/>
            <w:vAlign w:val="center"/>
          </w:tcPr>
          <w:p w14:paraId="361A0CF8" w14:textId="77777777" w:rsidR="00766F9E" w:rsidRPr="00B0658A" w:rsidRDefault="00766F9E" w:rsidP="00766F9E">
            <w:pPr>
              <w:spacing w:after="0" w:line="240" w:lineRule="auto"/>
              <w:jc w:val="center"/>
              <w:rPr>
                <w:rFonts w:ascii="Times New Roman" w:hAnsi="Times New Roman"/>
                <w:sz w:val="18"/>
                <w:szCs w:val="18"/>
                <w:lang w:val="en-US"/>
              </w:rPr>
            </w:pPr>
            <w:r w:rsidRPr="00B0658A">
              <w:rPr>
                <w:rFonts w:ascii="Times New Roman" w:hAnsi="Times New Roman"/>
                <w:sz w:val="18"/>
                <w:szCs w:val="18"/>
              </w:rPr>
              <w:t>100%</w:t>
            </w:r>
          </w:p>
        </w:tc>
        <w:tc>
          <w:tcPr>
            <w:tcW w:w="303" w:type="pct"/>
            <w:shd w:val="clear" w:color="auto" w:fill="auto"/>
            <w:vAlign w:val="center"/>
            <w:hideMark/>
          </w:tcPr>
          <w:p w14:paraId="20704CC1"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03" w:type="pct"/>
            <w:shd w:val="clear" w:color="auto" w:fill="auto"/>
            <w:vAlign w:val="center"/>
            <w:hideMark/>
          </w:tcPr>
          <w:p w14:paraId="0F3D469B"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rPr>
              <w:t>100%</w:t>
            </w:r>
          </w:p>
        </w:tc>
        <w:tc>
          <w:tcPr>
            <w:tcW w:w="303" w:type="pct"/>
            <w:shd w:val="clear" w:color="auto" w:fill="auto"/>
            <w:vAlign w:val="center"/>
            <w:hideMark/>
          </w:tcPr>
          <w:p w14:paraId="3CCA6E84"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rPr>
              <w:t>100%</w:t>
            </w:r>
          </w:p>
        </w:tc>
        <w:tc>
          <w:tcPr>
            <w:tcW w:w="272" w:type="pct"/>
            <w:vAlign w:val="center"/>
          </w:tcPr>
          <w:p w14:paraId="3CFE9F5C"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299" w:type="pct"/>
            <w:vAlign w:val="center"/>
          </w:tcPr>
          <w:p w14:paraId="0F346B5C"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297" w:type="pct"/>
            <w:vAlign w:val="center"/>
          </w:tcPr>
          <w:p w14:paraId="69076137"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3A6FCD" w:rsidRPr="00B0658A" w14:paraId="319AC852" w14:textId="77777777" w:rsidTr="00FE71B1">
        <w:trPr>
          <w:trHeight w:val="20"/>
        </w:trPr>
        <w:tc>
          <w:tcPr>
            <w:tcW w:w="283" w:type="pct"/>
            <w:shd w:val="clear" w:color="000000" w:fill="FFFFFF"/>
            <w:vAlign w:val="center"/>
          </w:tcPr>
          <w:p w14:paraId="5F95E0B2" w14:textId="77777777" w:rsidR="003A6FCD" w:rsidRPr="00B0658A" w:rsidRDefault="003A6FCD" w:rsidP="00FE71B1">
            <w:pPr>
              <w:spacing w:after="0" w:line="240" w:lineRule="auto"/>
              <w:jc w:val="center"/>
              <w:rPr>
                <w:rFonts w:ascii="Times New Roman" w:hAnsi="Times New Roman"/>
                <w:sz w:val="18"/>
                <w:szCs w:val="18"/>
              </w:rPr>
            </w:pPr>
            <w:r w:rsidRPr="00B0658A">
              <w:rPr>
                <w:rFonts w:ascii="Times New Roman" w:hAnsi="Times New Roman"/>
                <w:sz w:val="18"/>
                <w:szCs w:val="18"/>
              </w:rPr>
              <w:t>3.17</w:t>
            </w:r>
          </w:p>
        </w:tc>
        <w:tc>
          <w:tcPr>
            <w:tcW w:w="1013" w:type="pct"/>
            <w:shd w:val="clear" w:color="auto" w:fill="auto"/>
            <w:vAlign w:val="center"/>
            <w:hideMark/>
          </w:tcPr>
          <w:p w14:paraId="13D9F57E" w14:textId="77777777" w:rsidR="003A6FCD" w:rsidRPr="00B0658A" w:rsidRDefault="003A6FCD" w:rsidP="003A6FCD">
            <w:pPr>
              <w:spacing w:after="0" w:line="240" w:lineRule="auto"/>
              <w:rPr>
                <w:rFonts w:ascii="Times New Roman" w:hAnsi="Times New Roman"/>
                <w:sz w:val="18"/>
                <w:szCs w:val="18"/>
              </w:rPr>
            </w:pPr>
            <w:r w:rsidRPr="00B0658A">
              <w:rPr>
                <w:rFonts w:ascii="Times New Roman" w:hAnsi="Times New Roman"/>
                <w:sz w:val="18"/>
                <w:szCs w:val="18"/>
              </w:rPr>
              <w:t>Средства обеспечения информационной безопасности/ Средства автоматизации процессов информационной безопасности</w:t>
            </w:r>
          </w:p>
        </w:tc>
        <w:tc>
          <w:tcPr>
            <w:tcW w:w="704" w:type="pct"/>
            <w:shd w:val="clear" w:color="000000" w:fill="FFFFFF"/>
            <w:hideMark/>
          </w:tcPr>
          <w:p w14:paraId="2BAB9AAC" w14:textId="77777777" w:rsidR="003A6FCD" w:rsidRPr="00B0658A" w:rsidRDefault="003A6FCD" w:rsidP="003A6FCD">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03" w:type="pct"/>
            <w:shd w:val="clear" w:color="auto" w:fill="auto"/>
            <w:vAlign w:val="center"/>
            <w:hideMark/>
          </w:tcPr>
          <w:p w14:paraId="71597F4A" w14:textId="77777777" w:rsidR="003A6FCD" w:rsidRPr="00B0658A" w:rsidRDefault="003A6FCD" w:rsidP="003A6FCD">
            <w:pPr>
              <w:spacing w:after="0" w:line="240" w:lineRule="auto"/>
              <w:jc w:val="center"/>
              <w:rPr>
                <w:rFonts w:ascii="Times New Roman" w:hAnsi="Times New Roman"/>
                <w:sz w:val="18"/>
                <w:szCs w:val="18"/>
              </w:rPr>
            </w:pPr>
            <w:r w:rsidRPr="00B0658A">
              <w:rPr>
                <w:rFonts w:ascii="Times New Roman" w:hAnsi="Times New Roman"/>
                <w:sz w:val="18"/>
                <w:szCs w:val="18"/>
                <w:lang w:val="en-US"/>
              </w:rPr>
              <w:t>50%</w:t>
            </w:r>
          </w:p>
        </w:tc>
        <w:tc>
          <w:tcPr>
            <w:tcW w:w="303" w:type="pct"/>
            <w:shd w:val="clear" w:color="auto" w:fill="auto"/>
            <w:vAlign w:val="center"/>
            <w:hideMark/>
          </w:tcPr>
          <w:p w14:paraId="11752CAD" w14:textId="77777777" w:rsidR="003A6FCD" w:rsidRPr="00B0658A" w:rsidRDefault="003A6FCD" w:rsidP="003A6FCD">
            <w:pPr>
              <w:spacing w:after="0" w:line="240" w:lineRule="auto"/>
              <w:jc w:val="center"/>
              <w:rPr>
                <w:rFonts w:ascii="Times New Roman" w:hAnsi="Times New Roman"/>
                <w:sz w:val="18"/>
                <w:szCs w:val="18"/>
              </w:rPr>
            </w:pPr>
            <w:r>
              <w:rPr>
                <w:rFonts w:ascii="Times New Roman" w:hAnsi="Times New Roman"/>
                <w:sz w:val="18"/>
                <w:szCs w:val="18"/>
              </w:rPr>
              <w:t>8</w:t>
            </w:r>
            <w:r w:rsidRPr="00B0658A">
              <w:rPr>
                <w:rFonts w:ascii="Times New Roman" w:hAnsi="Times New Roman"/>
                <w:sz w:val="18"/>
                <w:szCs w:val="18"/>
                <w:lang w:val="en-US"/>
              </w:rPr>
              <w:t>0%</w:t>
            </w:r>
          </w:p>
        </w:tc>
        <w:tc>
          <w:tcPr>
            <w:tcW w:w="303" w:type="pct"/>
            <w:shd w:val="clear" w:color="auto" w:fill="auto"/>
            <w:vAlign w:val="center"/>
            <w:hideMark/>
          </w:tcPr>
          <w:p w14:paraId="573FA6D0" w14:textId="77777777" w:rsidR="003A6FCD" w:rsidRPr="00B0658A" w:rsidRDefault="003A6FCD" w:rsidP="003A6FCD">
            <w:pPr>
              <w:spacing w:after="0" w:line="240" w:lineRule="auto"/>
              <w:jc w:val="center"/>
              <w:rPr>
                <w:rFonts w:ascii="Times New Roman" w:hAnsi="Times New Roman"/>
                <w:sz w:val="18"/>
                <w:szCs w:val="18"/>
              </w:rPr>
            </w:pPr>
            <w:r>
              <w:rPr>
                <w:rFonts w:ascii="Times New Roman" w:hAnsi="Times New Roman"/>
                <w:sz w:val="18"/>
                <w:szCs w:val="18"/>
              </w:rPr>
              <w:t>100</w:t>
            </w:r>
            <w:r w:rsidRPr="00B0658A">
              <w:rPr>
                <w:rFonts w:ascii="Times New Roman" w:hAnsi="Times New Roman"/>
                <w:sz w:val="18"/>
                <w:szCs w:val="18"/>
                <w:lang w:val="en-US"/>
              </w:rPr>
              <w:t>%</w:t>
            </w:r>
          </w:p>
        </w:tc>
        <w:tc>
          <w:tcPr>
            <w:tcW w:w="313" w:type="pct"/>
            <w:vAlign w:val="center"/>
          </w:tcPr>
          <w:p w14:paraId="3FEF5BB8" w14:textId="77777777" w:rsidR="003A6FCD" w:rsidRPr="00B0658A" w:rsidRDefault="003A6FCD" w:rsidP="003A6FCD">
            <w:pPr>
              <w:spacing w:after="0" w:line="240" w:lineRule="auto"/>
              <w:jc w:val="center"/>
              <w:rPr>
                <w:rFonts w:ascii="Times New Roman" w:hAnsi="Times New Roman"/>
                <w:sz w:val="18"/>
                <w:szCs w:val="18"/>
                <w:lang w:val="en-US"/>
              </w:rPr>
            </w:pPr>
            <w:r w:rsidRPr="00B0658A">
              <w:rPr>
                <w:rFonts w:ascii="Times New Roman" w:hAnsi="Times New Roman"/>
                <w:sz w:val="18"/>
                <w:szCs w:val="18"/>
              </w:rPr>
              <w:t>100%</w:t>
            </w:r>
          </w:p>
        </w:tc>
        <w:tc>
          <w:tcPr>
            <w:tcW w:w="303" w:type="pct"/>
            <w:shd w:val="clear" w:color="auto" w:fill="auto"/>
            <w:vAlign w:val="center"/>
            <w:hideMark/>
          </w:tcPr>
          <w:p w14:paraId="5C9E79BC" w14:textId="77777777" w:rsidR="003A6FCD" w:rsidRPr="00B0658A" w:rsidRDefault="003A6FCD" w:rsidP="003A6FCD">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03" w:type="pct"/>
            <w:shd w:val="clear" w:color="auto" w:fill="auto"/>
            <w:vAlign w:val="center"/>
            <w:hideMark/>
          </w:tcPr>
          <w:p w14:paraId="46B0FD9C" w14:textId="77777777" w:rsidR="003A6FCD" w:rsidRPr="00B0658A" w:rsidRDefault="003A6FCD" w:rsidP="003A6FCD">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03" w:type="pct"/>
            <w:shd w:val="clear" w:color="auto" w:fill="auto"/>
            <w:vAlign w:val="center"/>
            <w:hideMark/>
          </w:tcPr>
          <w:p w14:paraId="0EFE1B1F" w14:textId="77777777" w:rsidR="003A6FCD" w:rsidRPr="00B0658A" w:rsidRDefault="003A6FCD" w:rsidP="003A6FCD">
            <w:pPr>
              <w:spacing w:after="0" w:line="240" w:lineRule="auto"/>
              <w:jc w:val="center"/>
              <w:rPr>
                <w:rFonts w:ascii="Times New Roman" w:hAnsi="Times New Roman"/>
                <w:sz w:val="18"/>
                <w:szCs w:val="18"/>
              </w:rPr>
            </w:pPr>
            <w:r w:rsidRPr="00B0658A">
              <w:rPr>
                <w:rFonts w:ascii="Times New Roman" w:hAnsi="Times New Roman"/>
                <w:sz w:val="18"/>
                <w:szCs w:val="18"/>
              </w:rPr>
              <w:t>100%</w:t>
            </w:r>
          </w:p>
        </w:tc>
        <w:tc>
          <w:tcPr>
            <w:tcW w:w="272" w:type="pct"/>
            <w:vAlign w:val="center"/>
          </w:tcPr>
          <w:p w14:paraId="456338BF" w14:textId="77777777" w:rsidR="003A6FCD" w:rsidRPr="00B0658A" w:rsidRDefault="003A6FCD" w:rsidP="003A6FCD">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299" w:type="pct"/>
            <w:vAlign w:val="center"/>
          </w:tcPr>
          <w:p w14:paraId="0A84D1FB" w14:textId="77777777" w:rsidR="003A6FCD" w:rsidRPr="00B0658A" w:rsidRDefault="003A6FCD" w:rsidP="003A6FCD">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297" w:type="pct"/>
            <w:vAlign w:val="center"/>
          </w:tcPr>
          <w:p w14:paraId="24782E73" w14:textId="77777777" w:rsidR="003A6FCD" w:rsidRPr="00B0658A" w:rsidRDefault="003A6FCD" w:rsidP="003A6FCD">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FD16E4" w:rsidRPr="00B0658A" w14:paraId="360F330E" w14:textId="77777777" w:rsidTr="00FE71B1">
        <w:trPr>
          <w:trHeight w:val="20"/>
        </w:trPr>
        <w:tc>
          <w:tcPr>
            <w:tcW w:w="283" w:type="pct"/>
            <w:shd w:val="clear" w:color="000000" w:fill="FFFFFF"/>
            <w:vAlign w:val="center"/>
          </w:tcPr>
          <w:p w14:paraId="1A03C3C3" w14:textId="77777777" w:rsidR="00FD16E4" w:rsidRPr="00B0658A" w:rsidRDefault="00FD16E4" w:rsidP="00FE71B1">
            <w:pPr>
              <w:spacing w:after="0" w:line="240" w:lineRule="auto"/>
              <w:jc w:val="center"/>
              <w:rPr>
                <w:rFonts w:ascii="Times New Roman" w:hAnsi="Times New Roman"/>
                <w:sz w:val="18"/>
                <w:szCs w:val="18"/>
              </w:rPr>
            </w:pPr>
            <w:r w:rsidRPr="00B0658A">
              <w:rPr>
                <w:rFonts w:ascii="Times New Roman" w:hAnsi="Times New Roman"/>
                <w:sz w:val="18"/>
                <w:szCs w:val="18"/>
              </w:rPr>
              <w:t>4.1</w:t>
            </w:r>
          </w:p>
        </w:tc>
        <w:tc>
          <w:tcPr>
            <w:tcW w:w="1013" w:type="pct"/>
            <w:shd w:val="clear" w:color="auto" w:fill="auto"/>
            <w:vAlign w:val="center"/>
            <w:hideMark/>
          </w:tcPr>
          <w:p w14:paraId="1D79DEBE" w14:textId="77777777" w:rsidR="00FD16E4" w:rsidRPr="00B0658A" w:rsidRDefault="00FD16E4" w:rsidP="00FD16E4">
            <w:pPr>
              <w:spacing w:after="0" w:line="240" w:lineRule="auto"/>
              <w:rPr>
                <w:rFonts w:ascii="Times New Roman" w:hAnsi="Times New Roman"/>
                <w:sz w:val="18"/>
                <w:szCs w:val="18"/>
              </w:rPr>
            </w:pPr>
            <w:r w:rsidRPr="00B0658A">
              <w:rPr>
                <w:rFonts w:ascii="Times New Roman" w:hAnsi="Times New Roman"/>
                <w:sz w:val="18"/>
                <w:szCs w:val="18"/>
              </w:rPr>
              <w:t>Средства разработки программного обеспечения/ Средства подготовки исполнимого кода</w:t>
            </w:r>
          </w:p>
        </w:tc>
        <w:tc>
          <w:tcPr>
            <w:tcW w:w="704" w:type="pct"/>
            <w:shd w:val="clear" w:color="000000" w:fill="FFFFFF"/>
            <w:hideMark/>
          </w:tcPr>
          <w:p w14:paraId="6762DCC3" w14:textId="77777777" w:rsidR="00FD16E4" w:rsidRPr="00B0658A" w:rsidRDefault="00FD16E4" w:rsidP="00FD16E4">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03" w:type="pct"/>
            <w:shd w:val="clear" w:color="auto" w:fill="auto"/>
            <w:vAlign w:val="center"/>
            <w:hideMark/>
          </w:tcPr>
          <w:p w14:paraId="56BC1874"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lang w:val="en-US"/>
              </w:rPr>
              <w:t>35%</w:t>
            </w:r>
          </w:p>
        </w:tc>
        <w:tc>
          <w:tcPr>
            <w:tcW w:w="303" w:type="pct"/>
            <w:shd w:val="clear" w:color="auto" w:fill="auto"/>
            <w:vAlign w:val="center"/>
            <w:hideMark/>
          </w:tcPr>
          <w:p w14:paraId="0902FE66"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lang w:val="en-US"/>
              </w:rPr>
              <w:t>45%</w:t>
            </w:r>
          </w:p>
        </w:tc>
        <w:tc>
          <w:tcPr>
            <w:tcW w:w="303" w:type="pct"/>
            <w:shd w:val="clear" w:color="auto" w:fill="auto"/>
            <w:vAlign w:val="center"/>
            <w:hideMark/>
          </w:tcPr>
          <w:p w14:paraId="52E643E1"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lang w:val="en-US"/>
              </w:rPr>
              <w:t>55%</w:t>
            </w:r>
          </w:p>
        </w:tc>
        <w:tc>
          <w:tcPr>
            <w:tcW w:w="313" w:type="pct"/>
            <w:vAlign w:val="center"/>
          </w:tcPr>
          <w:p w14:paraId="66C6EAC0"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100%</w:t>
            </w:r>
          </w:p>
        </w:tc>
        <w:tc>
          <w:tcPr>
            <w:tcW w:w="303" w:type="pct"/>
            <w:shd w:val="clear" w:color="auto" w:fill="auto"/>
            <w:vAlign w:val="center"/>
          </w:tcPr>
          <w:p w14:paraId="7828A3AF"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65%</w:t>
            </w:r>
          </w:p>
        </w:tc>
        <w:tc>
          <w:tcPr>
            <w:tcW w:w="303" w:type="pct"/>
            <w:shd w:val="clear" w:color="auto" w:fill="auto"/>
            <w:vAlign w:val="center"/>
          </w:tcPr>
          <w:p w14:paraId="4A1C6BE8"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70</w:t>
            </w:r>
            <w:r w:rsidRPr="00B0658A">
              <w:rPr>
                <w:rFonts w:ascii="Times New Roman" w:hAnsi="Times New Roman"/>
                <w:sz w:val="18"/>
                <w:szCs w:val="18"/>
                <w:lang w:val="en-US"/>
              </w:rPr>
              <w:t>%</w:t>
            </w:r>
          </w:p>
        </w:tc>
        <w:tc>
          <w:tcPr>
            <w:tcW w:w="303" w:type="pct"/>
            <w:shd w:val="clear" w:color="auto" w:fill="auto"/>
            <w:vAlign w:val="center"/>
          </w:tcPr>
          <w:p w14:paraId="3F647C85"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80</w:t>
            </w:r>
            <w:r w:rsidRPr="00B0658A">
              <w:rPr>
                <w:rFonts w:ascii="Times New Roman" w:hAnsi="Times New Roman"/>
                <w:sz w:val="18"/>
                <w:szCs w:val="18"/>
                <w:lang w:val="en-US"/>
              </w:rPr>
              <w:t>%</w:t>
            </w:r>
          </w:p>
        </w:tc>
        <w:tc>
          <w:tcPr>
            <w:tcW w:w="272" w:type="pct"/>
            <w:vAlign w:val="center"/>
          </w:tcPr>
          <w:p w14:paraId="0D09E0F9"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lang w:val="en-US"/>
              </w:rPr>
              <w:t>90%</w:t>
            </w:r>
          </w:p>
        </w:tc>
        <w:tc>
          <w:tcPr>
            <w:tcW w:w="299" w:type="pct"/>
            <w:vAlign w:val="center"/>
          </w:tcPr>
          <w:p w14:paraId="4F085E16"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100%</w:t>
            </w:r>
          </w:p>
        </w:tc>
        <w:tc>
          <w:tcPr>
            <w:tcW w:w="297" w:type="pct"/>
            <w:vAlign w:val="center"/>
          </w:tcPr>
          <w:p w14:paraId="0F0E6396"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FD16E4" w:rsidRPr="00B0658A" w14:paraId="3A45FE91" w14:textId="77777777" w:rsidTr="00FE71B1">
        <w:trPr>
          <w:trHeight w:val="20"/>
        </w:trPr>
        <w:tc>
          <w:tcPr>
            <w:tcW w:w="283" w:type="pct"/>
            <w:shd w:val="clear" w:color="000000" w:fill="FFFFFF"/>
            <w:vAlign w:val="center"/>
          </w:tcPr>
          <w:p w14:paraId="00267775" w14:textId="77777777" w:rsidR="00FD16E4" w:rsidRPr="00B0658A" w:rsidRDefault="00FD16E4" w:rsidP="00FE71B1">
            <w:pPr>
              <w:spacing w:after="0" w:line="240" w:lineRule="auto"/>
              <w:jc w:val="center"/>
              <w:rPr>
                <w:rFonts w:ascii="Times New Roman" w:hAnsi="Times New Roman"/>
                <w:sz w:val="18"/>
                <w:szCs w:val="18"/>
              </w:rPr>
            </w:pPr>
            <w:r w:rsidRPr="00B0658A">
              <w:rPr>
                <w:rFonts w:ascii="Times New Roman" w:hAnsi="Times New Roman"/>
                <w:sz w:val="18"/>
                <w:szCs w:val="18"/>
              </w:rPr>
              <w:t>4.2</w:t>
            </w:r>
          </w:p>
        </w:tc>
        <w:tc>
          <w:tcPr>
            <w:tcW w:w="1013" w:type="pct"/>
            <w:shd w:val="clear" w:color="auto" w:fill="auto"/>
            <w:vAlign w:val="center"/>
            <w:hideMark/>
          </w:tcPr>
          <w:p w14:paraId="5EC16F09" w14:textId="77777777" w:rsidR="00FD16E4" w:rsidRPr="00B0658A" w:rsidRDefault="00FD16E4" w:rsidP="00FD16E4">
            <w:pPr>
              <w:spacing w:after="0" w:line="240" w:lineRule="auto"/>
              <w:rPr>
                <w:rFonts w:ascii="Times New Roman" w:hAnsi="Times New Roman"/>
                <w:sz w:val="18"/>
                <w:szCs w:val="18"/>
              </w:rPr>
            </w:pPr>
            <w:r w:rsidRPr="00B0658A">
              <w:rPr>
                <w:rFonts w:ascii="Times New Roman" w:hAnsi="Times New Roman"/>
                <w:sz w:val="18"/>
                <w:szCs w:val="18"/>
              </w:rPr>
              <w:t>Средства разработки программного обеспечения/ Средства версионного контроля исходного кода</w:t>
            </w:r>
          </w:p>
        </w:tc>
        <w:tc>
          <w:tcPr>
            <w:tcW w:w="704" w:type="pct"/>
            <w:shd w:val="clear" w:color="000000" w:fill="FFFFFF"/>
            <w:hideMark/>
          </w:tcPr>
          <w:p w14:paraId="3DCD9A91" w14:textId="77777777" w:rsidR="00FD16E4" w:rsidRPr="00B0658A" w:rsidRDefault="00FD16E4" w:rsidP="00FD16E4">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03" w:type="pct"/>
            <w:shd w:val="clear" w:color="auto" w:fill="auto"/>
            <w:vAlign w:val="center"/>
            <w:hideMark/>
          </w:tcPr>
          <w:p w14:paraId="13AF7CED"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lang w:val="en-US"/>
              </w:rPr>
              <w:t>35%</w:t>
            </w:r>
          </w:p>
        </w:tc>
        <w:tc>
          <w:tcPr>
            <w:tcW w:w="303" w:type="pct"/>
            <w:shd w:val="clear" w:color="auto" w:fill="auto"/>
            <w:vAlign w:val="center"/>
            <w:hideMark/>
          </w:tcPr>
          <w:p w14:paraId="4E58582E"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lang w:val="en-US"/>
              </w:rPr>
              <w:t>45%</w:t>
            </w:r>
          </w:p>
        </w:tc>
        <w:tc>
          <w:tcPr>
            <w:tcW w:w="303" w:type="pct"/>
            <w:shd w:val="clear" w:color="auto" w:fill="auto"/>
            <w:vAlign w:val="center"/>
            <w:hideMark/>
          </w:tcPr>
          <w:p w14:paraId="2E3BAC83"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lang w:val="en-US"/>
              </w:rPr>
              <w:t>55%</w:t>
            </w:r>
          </w:p>
        </w:tc>
        <w:tc>
          <w:tcPr>
            <w:tcW w:w="313" w:type="pct"/>
            <w:vAlign w:val="center"/>
          </w:tcPr>
          <w:p w14:paraId="4255E239"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100%</w:t>
            </w:r>
          </w:p>
        </w:tc>
        <w:tc>
          <w:tcPr>
            <w:tcW w:w="303" w:type="pct"/>
            <w:shd w:val="clear" w:color="auto" w:fill="auto"/>
            <w:vAlign w:val="center"/>
            <w:hideMark/>
          </w:tcPr>
          <w:p w14:paraId="73D48D3B"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65%</w:t>
            </w:r>
          </w:p>
        </w:tc>
        <w:tc>
          <w:tcPr>
            <w:tcW w:w="303" w:type="pct"/>
            <w:shd w:val="clear" w:color="auto" w:fill="auto"/>
            <w:vAlign w:val="center"/>
            <w:hideMark/>
          </w:tcPr>
          <w:p w14:paraId="3C3AF92F"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70</w:t>
            </w:r>
            <w:r w:rsidRPr="00B0658A">
              <w:rPr>
                <w:rFonts w:ascii="Times New Roman" w:hAnsi="Times New Roman"/>
                <w:sz w:val="18"/>
                <w:szCs w:val="18"/>
                <w:lang w:val="en-US"/>
              </w:rPr>
              <w:t>%</w:t>
            </w:r>
          </w:p>
        </w:tc>
        <w:tc>
          <w:tcPr>
            <w:tcW w:w="303" w:type="pct"/>
            <w:shd w:val="clear" w:color="auto" w:fill="auto"/>
            <w:vAlign w:val="center"/>
            <w:hideMark/>
          </w:tcPr>
          <w:p w14:paraId="3D765784"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80</w:t>
            </w:r>
            <w:r w:rsidRPr="00B0658A">
              <w:rPr>
                <w:rFonts w:ascii="Times New Roman" w:hAnsi="Times New Roman"/>
                <w:sz w:val="18"/>
                <w:szCs w:val="18"/>
                <w:lang w:val="en-US"/>
              </w:rPr>
              <w:t>%</w:t>
            </w:r>
          </w:p>
        </w:tc>
        <w:tc>
          <w:tcPr>
            <w:tcW w:w="272" w:type="pct"/>
            <w:vAlign w:val="center"/>
          </w:tcPr>
          <w:p w14:paraId="00083BD3"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lang w:val="en-US"/>
              </w:rPr>
              <w:t>90%</w:t>
            </w:r>
          </w:p>
        </w:tc>
        <w:tc>
          <w:tcPr>
            <w:tcW w:w="299" w:type="pct"/>
            <w:vAlign w:val="center"/>
          </w:tcPr>
          <w:p w14:paraId="56EBAB19"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100%</w:t>
            </w:r>
          </w:p>
        </w:tc>
        <w:tc>
          <w:tcPr>
            <w:tcW w:w="297" w:type="pct"/>
            <w:vAlign w:val="center"/>
          </w:tcPr>
          <w:p w14:paraId="2A0FC6AF"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FD16E4" w:rsidRPr="00B0658A" w14:paraId="10EEDA66" w14:textId="77777777" w:rsidTr="00FE71B1">
        <w:trPr>
          <w:trHeight w:val="20"/>
        </w:trPr>
        <w:tc>
          <w:tcPr>
            <w:tcW w:w="283" w:type="pct"/>
            <w:shd w:val="clear" w:color="000000" w:fill="FFFFFF"/>
            <w:vAlign w:val="center"/>
          </w:tcPr>
          <w:p w14:paraId="2A43D618" w14:textId="77777777" w:rsidR="00FD16E4" w:rsidRPr="00B0658A" w:rsidRDefault="00FD16E4" w:rsidP="00FE71B1">
            <w:pPr>
              <w:spacing w:after="0" w:line="240" w:lineRule="auto"/>
              <w:jc w:val="center"/>
              <w:rPr>
                <w:rFonts w:ascii="Times New Roman" w:hAnsi="Times New Roman"/>
                <w:sz w:val="18"/>
                <w:szCs w:val="18"/>
              </w:rPr>
            </w:pPr>
            <w:r w:rsidRPr="00B0658A">
              <w:rPr>
                <w:rFonts w:ascii="Times New Roman" w:hAnsi="Times New Roman"/>
                <w:sz w:val="18"/>
                <w:szCs w:val="18"/>
              </w:rPr>
              <w:t>4.3</w:t>
            </w:r>
          </w:p>
        </w:tc>
        <w:tc>
          <w:tcPr>
            <w:tcW w:w="1013" w:type="pct"/>
            <w:shd w:val="clear" w:color="auto" w:fill="auto"/>
            <w:vAlign w:val="center"/>
            <w:hideMark/>
          </w:tcPr>
          <w:p w14:paraId="07793342" w14:textId="77777777" w:rsidR="00FD16E4" w:rsidRPr="00B0658A" w:rsidRDefault="00FD16E4" w:rsidP="00FD16E4">
            <w:pPr>
              <w:spacing w:after="0" w:line="240" w:lineRule="auto"/>
              <w:rPr>
                <w:rFonts w:ascii="Times New Roman" w:hAnsi="Times New Roman"/>
                <w:sz w:val="18"/>
                <w:szCs w:val="18"/>
              </w:rPr>
            </w:pPr>
            <w:r w:rsidRPr="00B0658A">
              <w:rPr>
                <w:rFonts w:ascii="Times New Roman" w:hAnsi="Times New Roman"/>
                <w:sz w:val="18"/>
                <w:szCs w:val="18"/>
              </w:rPr>
              <w:t>Средства разработки программного обеспечения/ Библиотеки подпрограмм (SDK)</w:t>
            </w:r>
          </w:p>
        </w:tc>
        <w:tc>
          <w:tcPr>
            <w:tcW w:w="704" w:type="pct"/>
            <w:shd w:val="clear" w:color="000000" w:fill="FFFFFF"/>
            <w:hideMark/>
          </w:tcPr>
          <w:p w14:paraId="4FB02AF7" w14:textId="77777777" w:rsidR="00FD16E4" w:rsidRPr="00B0658A" w:rsidRDefault="00FD16E4" w:rsidP="00FD16E4">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03" w:type="pct"/>
            <w:shd w:val="clear" w:color="auto" w:fill="auto"/>
            <w:vAlign w:val="center"/>
            <w:hideMark/>
          </w:tcPr>
          <w:p w14:paraId="346D2437"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lang w:val="en-US"/>
              </w:rPr>
              <w:t>35%</w:t>
            </w:r>
          </w:p>
        </w:tc>
        <w:tc>
          <w:tcPr>
            <w:tcW w:w="303" w:type="pct"/>
            <w:shd w:val="clear" w:color="auto" w:fill="auto"/>
            <w:vAlign w:val="center"/>
            <w:hideMark/>
          </w:tcPr>
          <w:p w14:paraId="5A132DB1"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lang w:val="en-US"/>
              </w:rPr>
              <w:t>45%</w:t>
            </w:r>
          </w:p>
        </w:tc>
        <w:tc>
          <w:tcPr>
            <w:tcW w:w="303" w:type="pct"/>
            <w:shd w:val="clear" w:color="auto" w:fill="auto"/>
            <w:vAlign w:val="center"/>
            <w:hideMark/>
          </w:tcPr>
          <w:p w14:paraId="2CCCC5BB"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lang w:val="en-US"/>
              </w:rPr>
              <w:t>55%</w:t>
            </w:r>
          </w:p>
        </w:tc>
        <w:tc>
          <w:tcPr>
            <w:tcW w:w="313" w:type="pct"/>
            <w:vAlign w:val="center"/>
          </w:tcPr>
          <w:p w14:paraId="46CA5606"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100%</w:t>
            </w:r>
          </w:p>
        </w:tc>
        <w:tc>
          <w:tcPr>
            <w:tcW w:w="303" w:type="pct"/>
            <w:shd w:val="clear" w:color="auto" w:fill="auto"/>
            <w:vAlign w:val="center"/>
            <w:hideMark/>
          </w:tcPr>
          <w:p w14:paraId="5B52FBC5"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65%</w:t>
            </w:r>
          </w:p>
        </w:tc>
        <w:tc>
          <w:tcPr>
            <w:tcW w:w="303" w:type="pct"/>
            <w:shd w:val="clear" w:color="auto" w:fill="auto"/>
            <w:vAlign w:val="center"/>
            <w:hideMark/>
          </w:tcPr>
          <w:p w14:paraId="19919B5F"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70</w:t>
            </w:r>
            <w:r w:rsidRPr="00B0658A">
              <w:rPr>
                <w:rFonts w:ascii="Times New Roman" w:hAnsi="Times New Roman"/>
                <w:sz w:val="18"/>
                <w:szCs w:val="18"/>
                <w:lang w:val="en-US"/>
              </w:rPr>
              <w:t>%</w:t>
            </w:r>
          </w:p>
        </w:tc>
        <w:tc>
          <w:tcPr>
            <w:tcW w:w="303" w:type="pct"/>
            <w:shd w:val="clear" w:color="auto" w:fill="auto"/>
            <w:vAlign w:val="center"/>
            <w:hideMark/>
          </w:tcPr>
          <w:p w14:paraId="02024715"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80</w:t>
            </w:r>
            <w:r w:rsidRPr="00B0658A">
              <w:rPr>
                <w:rFonts w:ascii="Times New Roman" w:hAnsi="Times New Roman"/>
                <w:sz w:val="18"/>
                <w:szCs w:val="18"/>
                <w:lang w:val="en-US"/>
              </w:rPr>
              <w:t>%</w:t>
            </w:r>
          </w:p>
        </w:tc>
        <w:tc>
          <w:tcPr>
            <w:tcW w:w="272" w:type="pct"/>
            <w:vAlign w:val="center"/>
          </w:tcPr>
          <w:p w14:paraId="2C6DB39E"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lang w:val="en-US"/>
              </w:rPr>
              <w:t>90%</w:t>
            </w:r>
          </w:p>
        </w:tc>
        <w:tc>
          <w:tcPr>
            <w:tcW w:w="299" w:type="pct"/>
            <w:vAlign w:val="center"/>
          </w:tcPr>
          <w:p w14:paraId="079076B7"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100%</w:t>
            </w:r>
          </w:p>
        </w:tc>
        <w:tc>
          <w:tcPr>
            <w:tcW w:w="297" w:type="pct"/>
            <w:vAlign w:val="center"/>
          </w:tcPr>
          <w:p w14:paraId="4C270B71"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FD16E4" w:rsidRPr="00B0658A" w14:paraId="14C2C935" w14:textId="77777777" w:rsidTr="00FE71B1">
        <w:trPr>
          <w:trHeight w:val="20"/>
        </w:trPr>
        <w:tc>
          <w:tcPr>
            <w:tcW w:w="283" w:type="pct"/>
            <w:shd w:val="clear" w:color="000000" w:fill="FFFFFF"/>
            <w:vAlign w:val="center"/>
          </w:tcPr>
          <w:p w14:paraId="363D478F" w14:textId="77777777" w:rsidR="00FD16E4" w:rsidRPr="00B0658A" w:rsidRDefault="00FD16E4" w:rsidP="00FE71B1">
            <w:pPr>
              <w:spacing w:after="0" w:line="240" w:lineRule="auto"/>
              <w:jc w:val="center"/>
              <w:rPr>
                <w:rFonts w:ascii="Times New Roman" w:hAnsi="Times New Roman"/>
                <w:sz w:val="18"/>
                <w:szCs w:val="18"/>
              </w:rPr>
            </w:pPr>
            <w:r w:rsidRPr="00B0658A">
              <w:rPr>
                <w:rFonts w:ascii="Times New Roman" w:hAnsi="Times New Roman"/>
                <w:sz w:val="18"/>
                <w:szCs w:val="18"/>
              </w:rPr>
              <w:t>4.4</w:t>
            </w:r>
          </w:p>
        </w:tc>
        <w:tc>
          <w:tcPr>
            <w:tcW w:w="1013" w:type="pct"/>
            <w:shd w:val="clear" w:color="auto" w:fill="auto"/>
            <w:vAlign w:val="center"/>
            <w:hideMark/>
          </w:tcPr>
          <w:p w14:paraId="67EEFDE2" w14:textId="77777777" w:rsidR="00FD16E4" w:rsidRPr="00B0658A" w:rsidRDefault="00FD16E4" w:rsidP="00FD16E4">
            <w:pPr>
              <w:spacing w:after="0" w:line="240" w:lineRule="auto"/>
              <w:rPr>
                <w:rFonts w:ascii="Times New Roman" w:hAnsi="Times New Roman"/>
                <w:sz w:val="18"/>
                <w:szCs w:val="18"/>
              </w:rPr>
            </w:pPr>
            <w:r w:rsidRPr="00B0658A">
              <w:rPr>
                <w:rFonts w:ascii="Times New Roman" w:hAnsi="Times New Roman"/>
                <w:sz w:val="18"/>
                <w:szCs w:val="18"/>
              </w:rPr>
              <w:t>Средства разработки программного обеспечения/ Среды разработки, тестирования и отладки</w:t>
            </w:r>
          </w:p>
        </w:tc>
        <w:tc>
          <w:tcPr>
            <w:tcW w:w="704" w:type="pct"/>
            <w:shd w:val="clear" w:color="000000" w:fill="FFFFFF"/>
            <w:hideMark/>
          </w:tcPr>
          <w:p w14:paraId="568EA523" w14:textId="77777777" w:rsidR="00FD16E4" w:rsidRPr="00B0658A" w:rsidRDefault="00FD16E4" w:rsidP="00FD16E4">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03" w:type="pct"/>
            <w:shd w:val="clear" w:color="auto" w:fill="auto"/>
            <w:vAlign w:val="center"/>
            <w:hideMark/>
          </w:tcPr>
          <w:p w14:paraId="396207FB"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lang w:val="en-US"/>
              </w:rPr>
              <w:t>35%</w:t>
            </w:r>
          </w:p>
        </w:tc>
        <w:tc>
          <w:tcPr>
            <w:tcW w:w="303" w:type="pct"/>
            <w:shd w:val="clear" w:color="auto" w:fill="auto"/>
            <w:vAlign w:val="center"/>
            <w:hideMark/>
          </w:tcPr>
          <w:p w14:paraId="00D900FA"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lang w:val="en-US"/>
              </w:rPr>
              <w:t>45%</w:t>
            </w:r>
          </w:p>
        </w:tc>
        <w:tc>
          <w:tcPr>
            <w:tcW w:w="303" w:type="pct"/>
            <w:shd w:val="clear" w:color="auto" w:fill="auto"/>
            <w:vAlign w:val="center"/>
            <w:hideMark/>
          </w:tcPr>
          <w:p w14:paraId="200733AA"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lang w:val="en-US"/>
              </w:rPr>
              <w:t>55%</w:t>
            </w:r>
          </w:p>
        </w:tc>
        <w:tc>
          <w:tcPr>
            <w:tcW w:w="313" w:type="pct"/>
            <w:vAlign w:val="center"/>
          </w:tcPr>
          <w:p w14:paraId="4F55C71E"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100%</w:t>
            </w:r>
          </w:p>
        </w:tc>
        <w:tc>
          <w:tcPr>
            <w:tcW w:w="303" w:type="pct"/>
            <w:shd w:val="clear" w:color="auto" w:fill="auto"/>
            <w:vAlign w:val="center"/>
            <w:hideMark/>
          </w:tcPr>
          <w:p w14:paraId="28C49E62"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65%</w:t>
            </w:r>
          </w:p>
        </w:tc>
        <w:tc>
          <w:tcPr>
            <w:tcW w:w="303" w:type="pct"/>
            <w:shd w:val="clear" w:color="auto" w:fill="auto"/>
            <w:vAlign w:val="center"/>
            <w:hideMark/>
          </w:tcPr>
          <w:p w14:paraId="19FCD48B"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70</w:t>
            </w:r>
            <w:r w:rsidRPr="00B0658A">
              <w:rPr>
                <w:rFonts w:ascii="Times New Roman" w:hAnsi="Times New Roman"/>
                <w:sz w:val="18"/>
                <w:szCs w:val="18"/>
                <w:lang w:val="en-US"/>
              </w:rPr>
              <w:t>%</w:t>
            </w:r>
          </w:p>
        </w:tc>
        <w:tc>
          <w:tcPr>
            <w:tcW w:w="303" w:type="pct"/>
            <w:shd w:val="clear" w:color="auto" w:fill="auto"/>
            <w:vAlign w:val="center"/>
            <w:hideMark/>
          </w:tcPr>
          <w:p w14:paraId="1372A227"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80</w:t>
            </w:r>
            <w:r w:rsidRPr="00B0658A">
              <w:rPr>
                <w:rFonts w:ascii="Times New Roman" w:hAnsi="Times New Roman"/>
                <w:sz w:val="18"/>
                <w:szCs w:val="18"/>
                <w:lang w:val="en-US"/>
              </w:rPr>
              <w:t>%</w:t>
            </w:r>
          </w:p>
        </w:tc>
        <w:tc>
          <w:tcPr>
            <w:tcW w:w="272" w:type="pct"/>
            <w:vAlign w:val="center"/>
          </w:tcPr>
          <w:p w14:paraId="2FC37ADA"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lang w:val="en-US"/>
              </w:rPr>
              <w:t>90%</w:t>
            </w:r>
          </w:p>
        </w:tc>
        <w:tc>
          <w:tcPr>
            <w:tcW w:w="299" w:type="pct"/>
            <w:vAlign w:val="center"/>
          </w:tcPr>
          <w:p w14:paraId="794CB803"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100%</w:t>
            </w:r>
          </w:p>
        </w:tc>
        <w:tc>
          <w:tcPr>
            <w:tcW w:w="297" w:type="pct"/>
            <w:vAlign w:val="center"/>
          </w:tcPr>
          <w:p w14:paraId="0F3C3B7C"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FD16E4" w:rsidRPr="00B0658A" w14:paraId="0A038610" w14:textId="77777777" w:rsidTr="00FE71B1">
        <w:trPr>
          <w:trHeight w:val="20"/>
        </w:trPr>
        <w:tc>
          <w:tcPr>
            <w:tcW w:w="283" w:type="pct"/>
            <w:shd w:val="clear" w:color="000000" w:fill="FFFFFF"/>
            <w:vAlign w:val="center"/>
          </w:tcPr>
          <w:p w14:paraId="0FADC2D5" w14:textId="77777777" w:rsidR="00FD16E4" w:rsidRPr="00B0658A" w:rsidRDefault="00FD16E4" w:rsidP="00FE71B1">
            <w:pPr>
              <w:spacing w:after="0" w:line="240" w:lineRule="auto"/>
              <w:jc w:val="center"/>
              <w:rPr>
                <w:rFonts w:ascii="Times New Roman" w:hAnsi="Times New Roman"/>
                <w:sz w:val="18"/>
                <w:szCs w:val="18"/>
              </w:rPr>
            </w:pPr>
            <w:r w:rsidRPr="00B0658A">
              <w:rPr>
                <w:rFonts w:ascii="Times New Roman" w:hAnsi="Times New Roman"/>
                <w:sz w:val="18"/>
                <w:szCs w:val="18"/>
              </w:rPr>
              <w:t>4.5</w:t>
            </w:r>
          </w:p>
        </w:tc>
        <w:tc>
          <w:tcPr>
            <w:tcW w:w="1013" w:type="pct"/>
            <w:shd w:val="clear" w:color="auto" w:fill="auto"/>
            <w:vAlign w:val="center"/>
            <w:hideMark/>
          </w:tcPr>
          <w:p w14:paraId="18183149" w14:textId="77777777" w:rsidR="00FD16E4" w:rsidRPr="00B0658A" w:rsidRDefault="00FD16E4" w:rsidP="00FD16E4">
            <w:pPr>
              <w:spacing w:after="0" w:line="240" w:lineRule="auto"/>
              <w:rPr>
                <w:rFonts w:ascii="Times New Roman" w:hAnsi="Times New Roman"/>
                <w:sz w:val="18"/>
                <w:szCs w:val="18"/>
              </w:rPr>
            </w:pPr>
            <w:r w:rsidRPr="00B0658A">
              <w:rPr>
                <w:rFonts w:ascii="Times New Roman" w:hAnsi="Times New Roman"/>
                <w:sz w:val="18"/>
                <w:szCs w:val="18"/>
              </w:rPr>
              <w:t>Средства разработки программного обеспечения/ Средства анализа исходного кода на закладки и уязвимости</w:t>
            </w:r>
          </w:p>
        </w:tc>
        <w:tc>
          <w:tcPr>
            <w:tcW w:w="704" w:type="pct"/>
            <w:shd w:val="clear" w:color="000000" w:fill="FFFFFF"/>
            <w:hideMark/>
          </w:tcPr>
          <w:p w14:paraId="73277111" w14:textId="77777777" w:rsidR="00FD16E4" w:rsidRPr="00B0658A" w:rsidRDefault="00FD16E4" w:rsidP="00FD16E4">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03" w:type="pct"/>
            <w:shd w:val="clear" w:color="auto" w:fill="auto"/>
            <w:vAlign w:val="center"/>
            <w:hideMark/>
          </w:tcPr>
          <w:p w14:paraId="4B29982E"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lang w:val="en-US"/>
              </w:rPr>
              <w:t>35%</w:t>
            </w:r>
          </w:p>
        </w:tc>
        <w:tc>
          <w:tcPr>
            <w:tcW w:w="303" w:type="pct"/>
            <w:shd w:val="clear" w:color="auto" w:fill="auto"/>
            <w:vAlign w:val="center"/>
            <w:hideMark/>
          </w:tcPr>
          <w:p w14:paraId="15BFF20F"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lang w:val="en-US"/>
              </w:rPr>
              <w:t>45%</w:t>
            </w:r>
          </w:p>
        </w:tc>
        <w:tc>
          <w:tcPr>
            <w:tcW w:w="303" w:type="pct"/>
            <w:shd w:val="clear" w:color="auto" w:fill="auto"/>
            <w:vAlign w:val="center"/>
            <w:hideMark/>
          </w:tcPr>
          <w:p w14:paraId="7FB5D8A7"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lang w:val="en-US"/>
              </w:rPr>
              <w:t>55%</w:t>
            </w:r>
          </w:p>
        </w:tc>
        <w:tc>
          <w:tcPr>
            <w:tcW w:w="313" w:type="pct"/>
            <w:vAlign w:val="center"/>
          </w:tcPr>
          <w:p w14:paraId="7E456923"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100%</w:t>
            </w:r>
          </w:p>
        </w:tc>
        <w:tc>
          <w:tcPr>
            <w:tcW w:w="303" w:type="pct"/>
            <w:shd w:val="clear" w:color="auto" w:fill="auto"/>
            <w:vAlign w:val="center"/>
            <w:hideMark/>
          </w:tcPr>
          <w:p w14:paraId="47DF6843"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65%</w:t>
            </w:r>
          </w:p>
        </w:tc>
        <w:tc>
          <w:tcPr>
            <w:tcW w:w="303" w:type="pct"/>
            <w:shd w:val="clear" w:color="auto" w:fill="auto"/>
            <w:vAlign w:val="center"/>
            <w:hideMark/>
          </w:tcPr>
          <w:p w14:paraId="60AFB89E"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70</w:t>
            </w:r>
            <w:r w:rsidRPr="00B0658A">
              <w:rPr>
                <w:rFonts w:ascii="Times New Roman" w:hAnsi="Times New Roman"/>
                <w:sz w:val="18"/>
                <w:szCs w:val="18"/>
                <w:lang w:val="en-US"/>
              </w:rPr>
              <w:t>%</w:t>
            </w:r>
          </w:p>
        </w:tc>
        <w:tc>
          <w:tcPr>
            <w:tcW w:w="303" w:type="pct"/>
            <w:shd w:val="clear" w:color="auto" w:fill="auto"/>
            <w:vAlign w:val="center"/>
            <w:hideMark/>
          </w:tcPr>
          <w:p w14:paraId="504A5CEA"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80</w:t>
            </w:r>
            <w:r w:rsidRPr="00B0658A">
              <w:rPr>
                <w:rFonts w:ascii="Times New Roman" w:hAnsi="Times New Roman"/>
                <w:sz w:val="18"/>
                <w:szCs w:val="18"/>
                <w:lang w:val="en-US"/>
              </w:rPr>
              <w:t>%</w:t>
            </w:r>
          </w:p>
        </w:tc>
        <w:tc>
          <w:tcPr>
            <w:tcW w:w="272" w:type="pct"/>
            <w:vAlign w:val="center"/>
          </w:tcPr>
          <w:p w14:paraId="4FDB5CD7"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lang w:val="en-US"/>
              </w:rPr>
              <w:t>90%</w:t>
            </w:r>
          </w:p>
        </w:tc>
        <w:tc>
          <w:tcPr>
            <w:tcW w:w="299" w:type="pct"/>
            <w:vAlign w:val="center"/>
          </w:tcPr>
          <w:p w14:paraId="2D858A29"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100%</w:t>
            </w:r>
          </w:p>
        </w:tc>
        <w:tc>
          <w:tcPr>
            <w:tcW w:w="297" w:type="pct"/>
            <w:vAlign w:val="center"/>
          </w:tcPr>
          <w:p w14:paraId="77120981"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FD16E4" w:rsidRPr="00B0658A" w14:paraId="6A85AB2D" w14:textId="77777777" w:rsidTr="00FE71B1">
        <w:trPr>
          <w:trHeight w:val="20"/>
        </w:trPr>
        <w:tc>
          <w:tcPr>
            <w:tcW w:w="283" w:type="pct"/>
            <w:shd w:val="clear" w:color="000000" w:fill="FFFFFF"/>
            <w:vAlign w:val="center"/>
          </w:tcPr>
          <w:p w14:paraId="443AD261" w14:textId="77777777" w:rsidR="00FD16E4" w:rsidRPr="00B0658A" w:rsidRDefault="00FD16E4" w:rsidP="00FE71B1">
            <w:pPr>
              <w:spacing w:after="0" w:line="240" w:lineRule="auto"/>
              <w:jc w:val="center"/>
              <w:rPr>
                <w:rFonts w:ascii="Times New Roman" w:hAnsi="Times New Roman"/>
                <w:sz w:val="18"/>
                <w:szCs w:val="18"/>
              </w:rPr>
            </w:pPr>
            <w:r w:rsidRPr="00B0658A">
              <w:rPr>
                <w:rFonts w:ascii="Times New Roman" w:hAnsi="Times New Roman"/>
                <w:sz w:val="18"/>
                <w:szCs w:val="18"/>
              </w:rPr>
              <w:t>4.6</w:t>
            </w:r>
          </w:p>
        </w:tc>
        <w:tc>
          <w:tcPr>
            <w:tcW w:w="1013" w:type="pct"/>
            <w:shd w:val="clear" w:color="auto" w:fill="auto"/>
            <w:vAlign w:val="center"/>
            <w:hideMark/>
          </w:tcPr>
          <w:p w14:paraId="1FA5A06B" w14:textId="77777777" w:rsidR="00FD16E4" w:rsidRPr="00B0658A" w:rsidRDefault="00FD16E4" w:rsidP="00FD16E4">
            <w:pPr>
              <w:spacing w:after="0" w:line="240" w:lineRule="auto"/>
              <w:rPr>
                <w:rFonts w:ascii="Times New Roman" w:hAnsi="Times New Roman"/>
                <w:sz w:val="18"/>
                <w:szCs w:val="18"/>
              </w:rPr>
            </w:pPr>
            <w:r w:rsidRPr="00B0658A">
              <w:rPr>
                <w:rFonts w:ascii="Times New Roman" w:hAnsi="Times New Roman"/>
                <w:sz w:val="18"/>
                <w:szCs w:val="18"/>
              </w:rPr>
              <w:t xml:space="preserve">Средства разработки программного обеспечения/ Средства разработки программного обеспечения на </w:t>
            </w:r>
            <w:r w:rsidRPr="00B0658A">
              <w:rPr>
                <w:rFonts w:ascii="Times New Roman" w:hAnsi="Times New Roman"/>
                <w:sz w:val="18"/>
                <w:szCs w:val="18"/>
              </w:rPr>
              <w:lastRenderedPageBreak/>
              <w:t>основе нейротехнологий и искусственного интеллекта</w:t>
            </w:r>
          </w:p>
        </w:tc>
        <w:tc>
          <w:tcPr>
            <w:tcW w:w="704" w:type="pct"/>
            <w:shd w:val="clear" w:color="000000" w:fill="FFFFFF"/>
            <w:hideMark/>
          </w:tcPr>
          <w:p w14:paraId="3007DFCB" w14:textId="77777777" w:rsidR="00FD16E4" w:rsidRPr="00B0658A" w:rsidRDefault="00FD16E4" w:rsidP="00FD16E4">
            <w:pPr>
              <w:spacing w:after="0" w:line="240" w:lineRule="auto"/>
              <w:rPr>
                <w:rFonts w:ascii="Times New Roman" w:hAnsi="Times New Roman"/>
                <w:sz w:val="18"/>
                <w:szCs w:val="18"/>
              </w:rPr>
            </w:pPr>
            <w:r w:rsidRPr="00B0658A">
              <w:rPr>
                <w:rFonts w:ascii="Times New Roman" w:hAnsi="Times New Roman"/>
                <w:sz w:val="18"/>
                <w:szCs w:val="18"/>
              </w:rPr>
              <w:lastRenderedPageBreak/>
              <w:t>Доля используемого российского ПО в общем объёме, используемого ПО, %</w:t>
            </w:r>
          </w:p>
        </w:tc>
        <w:tc>
          <w:tcPr>
            <w:tcW w:w="303" w:type="pct"/>
            <w:shd w:val="clear" w:color="000000" w:fill="FFFFFF"/>
            <w:vAlign w:val="center"/>
            <w:hideMark/>
          </w:tcPr>
          <w:p w14:paraId="39214E0E"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lang w:val="en-US"/>
              </w:rPr>
              <w:t>35%</w:t>
            </w:r>
          </w:p>
        </w:tc>
        <w:tc>
          <w:tcPr>
            <w:tcW w:w="303" w:type="pct"/>
            <w:shd w:val="clear" w:color="000000" w:fill="FFFFFF"/>
            <w:vAlign w:val="center"/>
            <w:hideMark/>
          </w:tcPr>
          <w:p w14:paraId="4DBC4AB9"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lang w:val="en-US"/>
              </w:rPr>
              <w:t>45%</w:t>
            </w:r>
          </w:p>
        </w:tc>
        <w:tc>
          <w:tcPr>
            <w:tcW w:w="303" w:type="pct"/>
            <w:shd w:val="clear" w:color="000000" w:fill="FFFFFF"/>
            <w:vAlign w:val="center"/>
            <w:hideMark/>
          </w:tcPr>
          <w:p w14:paraId="4B8B7AAA"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lang w:val="en-US"/>
              </w:rPr>
              <w:t>55%</w:t>
            </w:r>
          </w:p>
        </w:tc>
        <w:tc>
          <w:tcPr>
            <w:tcW w:w="313" w:type="pct"/>
            <w:shd w:val="clear" w:color="000000" w:fill="FFFFFF"/>
            <w:vAlign w:val="center"/>
          </w:tcPr>
          <w:p w14:paraId="40EDB555"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100%</w:t>
            </w:r>
          </w:p>
        </w:tc>
        <w:tc>
          <w:tcPr>
            <w:tcW w:w="303" w:type="pct"/>
            <w:shd w:val="clear" w:color="000000" w:fill="FFFFFF"/>
            <w:vAlign w:val="center"/>
            <w:hideMark/>
          </w:tcPr>
          <w:p w14:paraId="7A525518"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65%</w:t>
            </w:r>
          </w:p>
        </w:tc>
        <w:tc>
          <w:tcPr>
            <w:tcW w:w="303" w:type="pct"/>
            <w:shd w:val="clear" w:color="000000" w:fill="FFFFFF"/>
            <w:vAlign w:val="center"/>
            <w:hideMark/>
          </w:tcPr>
          <w:p w14:paraId="4397640B"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70</w:t>
            </w:r>
            <w:r w:rsidRPr="00B0658A">
              <w:rPr>
                <w:rFonts w:ascii="Times New Roman" w:hAnsi="Times New Roman"/>
                <w:sz w:val="18"/>
                <w:szCs w:val="18"/>
                <w:lang w:val="en-US"/>
              </w:rPr>
              <w:t>%</w:t>
            </w:r>
          </w:p>
        </w:tc>
        <w:tc>
          <w:tcPr>
            <w:tcW w:w="303" w:type="pct"/>
            <w:shd w:val="clear" w:color="000000" w:fill="FFFFFF"/>
            <w:vAlign w:val="center"/>
            <w:hideMark/>
          </w:tcPr>
          <w:p w14:paraId="21E5CA3F"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80</w:t>
            </w:r>
            <w:r w:rsidRPr="00B0658A">
              <w:rPr>
                <w:rFonts w:ascii="Times New Roman" w:hAnsi="Times New Roman"/>
                <w:sz w:val="18"/>
                <w:szCs w:val="18"/>
                <w:lang w:val="en-US"/>
              </w:rPr>
              <w:t>%</w:t>
            </w:r>
          </w:p>
        </w:tc>
        <w:tc>
          <w:tcPr>
            <w:tcW w:w="272" w:type="pct"/>
            <w:shd w:val="clear" w:color="000000" w:fill="FFFFFF"/>
            <w:vAlign w:val="center"/>
          </w:tcPr>
          <w:p w14:paraId="078C9AF9"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lang w:val="en-US"/>
              </w:rPr>
              <w:t>90%</w:t>
            </w:r>
          </w:p>
        </w:tc>
        <w:tc>
          <w:tcPr>
            <w:tcW w:w="299" w:type="pct"/>
            <w:shd w:val="clear" w:color="000000" w:fill="FFFFFF"/>
            <w:vAlign w:val="center"/>
          </w:tcPr>
          <w:p w14:paraId="3821EBE5"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100%</w:t>
            </w:r>
          </w:p>
        </w:tc>
        <w:tc>
          <w:tcPr>
            <w:tcW w:w="297" w:type="pct"/>
            <w:shd w:val="clear" w:color="000000" w:fill="FFFFFF"/>
            <w:vAlign w:val="center"/>
          </w:tcPr>
          <w:p w14:paraId="086374D4"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FD16E4" w:rsidRPr="00B0658A" w14:paraId="1E56BB67" w14:textId="77777777" w:rsidTr="00FE71B1">
        <w:trPr>
          <w:trHeight w:val="20"/>
        </w:trPr>
        <w:tc>
          <w:tcPr>
            <w:tcW w:w="283" w:type="pct"/>
            <w:shd w:val="clear" w:color="000000" w:fill="FFFFFF"/>
            <w:vAlign w:val="center"/>
          </w:tcPr>
          <w:p w14:paraId="2504C619" w14:textId="77777777" w:rsidR="00FD16E4" w:rsidRPr="00B0658A" w:rsidRDefault="00FD16E4" w:rsidP="00FE71B1">
            <w:pPr>
              <w:spacing w:after="0" w:line="240" w:lineRule="auto"/>
              <w:jc w:val="center"/>
              <w:rPr>
                <w:rFonts w:ascii="Times New Roman" w:hAnsi="Times New Roman"/>
                <w:sz w:val="18"/>
                <w:szCs w:val="18"/>
              </w:rPr>
            </w:pPr>
            <w:r w:rsidRPr="00B0658A">
              <w:rPr>
                <w:rFonts w:ascii="Times New Roman" w:hAnsi="Times New Roman"/>
                <w:sz w:val="18"/>
                <w:szCs w:val="18"/>
              </w:rPr>
              <w:t>4.7.</w:t>
            </w:r>
          </w:p>
        </w:tc>
        <w:tc>
          <w:tcPr>
            <w:tcW w:w="1013" w:type="pct"/>
            <w:shd w:val="clear" w:color="auto" w:fill="auto"/>
            <w:vAlign w:val="center"/>
          </w:tcPr>
          <w:p w14:paraId="43308460" w14:textId="77777777" w:rsidR="00FD16E4" w:rsidRPr="00B0658A" w:rsidRDefault="00FD16E4" w:rsidP="00FD16E4">
            <w:pPr>
              <w:spacing w:after="0" w:line="240" w:lineRule="auto"/>
              <w:rPr>
                <w:rFonts w:ascii="Times New Roman" w:hAnsi="Times New Roman"/>
                <w:sz w:val="18"/>
                <w:szCs w:val="18"/>
              </w:rPr>
            </w:pPr>
            <w:r w:rsidRPr="00B0658A">
              <w:rPr>
                <w:rFonts w:ascii="Times New Roman" w:hAnsi="Times New Roman"/>
                <w:sz w:val="18"/>
                <w:szCs w:val="18"/>
              </w:rPr>
              <w:t>Средства разработки программного обеспечения/ Средства разработки программного обеспечения на основе квантовых технологий</w:t>
            </w:r>
          </w:p>
        </w:tc>
        <w:tc>
          <w:tcPr>
            <w:tcW w:w="704" w:type="pct"/>
            <w:shd w:val="clear" w:color="000000" w:fill="FFFFFF"/>
          </w:tcPr>
          <w:p w14:paraId="375321CE" w14:textId="77777777" w:rsidR="00FD16E4" w:rsidRPr="00B0658A" w:rsidRDefault="00FD16E4" w:rsidP="00FD16E4">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03" w:type="pct"/>
            <w:shd w:val="clear" w:color="000000" w:fill="FFFFFF"/>
            <w:vAlign w:val="center"/>
          </w:tcPr>
          <w:p w14:paraId="0B44A7E4"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lang w:val="en-US"/>
              </w:rPr>
              <w:t>35%</w:t>
            </w:r>
          </w:p>
        </w:tc>
        <w:tc>
          <w:tcPr>
            <w:tcW w:w="303" w:type="pct"/>
            <w:shd w:val="clear" w:color="000000" w:fill="FFFFFF"/>
            <w:vAlign w:val="center"/>
          </w:tcPr>
          <w:p w14:paraId="63E99750"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lang w:val="en-US"/>
              </w:rPr>
              <w:t>45%</w:t>
            </w:r>
          </w:p>
        </w:tc>
        <w:tc>
          <w:tcPr>
            <w:tcW w:w="303" w:type="pct"/>
            <w:shd w:val="clear" w:color="000000" w:fill="FFFFFF"/>
            <w:vAlign w:val="center"/>
          </w:tcPr>
          <w:p w14:paraId="135ECED4"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lang w:val="en-US"/>
              </w:rPr>
              <w:t>55%</w:t>
            </w:r>
          </w:p>
        </w:tc>
        <w:tc>
          <w:tcPr>
            <w:tcW w:w="313" w:type="pct"/>
            <w:shd w:val="clear" w:color="000000" w:fill="FFFFFF"/>
            <w:vAlign w:val="center"/>
          </w:tcPr>
          <w:p w14:paraId="37314AAC"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100%</w:t>
            </w:r>
          </w:p>
        </w:tc>
        <w:tc>
          <w:tcPr>
            <w:tcW w:w="303" w:type="pct"/>
            <w:shd w:val="clear" w:color="000000" w:fill="FFFFFF"/>
            <w:vAlign w:val="center"/>
          </w:tcPr>
          <w:p w14:paraId="790A700A"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65%</w:t>
            </w:r>
          </w:p>
        </w:tc>
        <w:tc>
          <w:tcPr>
            <w:tcW w:w="303" w:type="pct"/>
            <w:shd w:val="clear" w:color="000000" w:fill="FFFFFF"/>
            <w:vAlign w:val="center"/>
          </w:tcPr>
          <w:p w14:paraId="20791B62" w14:textId="77777777" w:rsidR="00FD16E4" w:rsidRPr="00B0658A" w:rsidRDefault="00FD16E4" w:rsidP="00FD16E4">
            <w:pPr>
              <w:spacing w:after="0" w:line="240" w:lineRule="auto"/>
              <w:jc w:val="center"/>
              <w:rPr>
                <w:rFonts w:ascii="Times New Roman" w:hAnsi="Times New Roman"/>
                <w:sz w:val="18"/>
                <w:szCs w:val="18"/>
                <w:lang w:val="en-US"/>
              </w:rPr>
            </w:pPr>
            <w:r w:rsidRPr="00B0658A">
              <w:rPr>
                <w:rFonts w:ascii="Times New Roman" w:hAnsi="Times New Roman"/>
                <w:sz w:val="18"/>
                <w:szCs w:val="18"/>
              </w:rPr>
              <w:t>70</w:t>
            </w:r>
            <w:r w:rsidRPr="00B0658A">
              <w:rPr>
                <w:rFonts w:ascii="Times New Roman" w:hAnsi="Times New Roman"/>
                <w:sz w:val="18"/>
                <w:szCs w:val="18"/>
                <w:lang w:val="en-US"/>
              </w:rPr>
              <w:t>%</w:t>
            </w:r>
          </w:p>
        </w:tc>
        <w:tc>
          <w:tcPr>
            <w:tcW w:w="303" w:type="pct"/>
            <w:shd w:val="clear" w:color="000000" w:fill="FFFFFF"/>
            <w:vAlign w:val="center"/>
          </w:tcPr>
          <w:p w14:paraId="611C39DE"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80</w:t>
            </w:r>
            <w:r w:rsidRPr="00B0658A">
              <w:rPr>
                <w:rFonts w:ascii="Times New Roman" w:hAnsi="Times New Roman"/>
                <w:sz w:val="18"/>
                <w:szCs w:val="18"/>
                <w:lang w:val="en-US"/>
              </w:rPr>
              <w:t>%</w:t>
            </w:r>
          </w:p>
        </w:tc>
        <w:tc>
          <w:tcPr>
            <w:tcW w:w="272" w:type="pct"/>
            <w:shd w:val="clear" w:color="000000" w:fill="FFFFFF"/>
            <w:vAlign w:val="center"/>
          </w:tcPr>
          <w:p w14:paraId="12E4ED7E"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lang w:val="en-US"/>
              </w:rPr>
              <w:t>90%</w:t>
            </w:r>
          </w:p>
        </w:tc>
        <w:tc>
          <w:tcPr>
            <w:tcW w:w="299" w:type="pct"/>
            <w:shd w:val="clear" w:color="000000" w:fill="FFFFFF"/>
            <w:vAlign w:val="center"/>
          </w:tcPr>
          <w:p w14:paraId="7377A734"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100%</w:t>
            </w:r>
          </w:p>
        </w:tc>
        <w:tc>
          <w:tcPr>
            <w:tcW w:w="297" w:type="pct"/>
            <w:shd w:val="clear" w:color="000000" w:fill="FFFFFF"/>
            <w:vAlign w:val="center"/>
          </w:tcPr>
          <w:p w14:paraId="50566B14"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FD16E4" w:rsidRPr="00B0658A" w14:paraId="0E560393" w14:textId="77777777" w:rsidTr="00FE71B1">
        <w:trPr>
          <w:trHeight w:val="20"/>
        </w:trPr>
        <w:tc>
          <w:tcPr>
            <w:tcW w:w="283" w:type="pct"/>
            <w:shd w:val="clear" w:color="000000" w:fill="FFFFFF"/>
            <w:vAlign w:val="center"/>
          </w:tcPr>
          <w:p w14:paraId="00602FCB" w14:textId="77777777" w:rsidR="00FD16E4" w:rsidRPr="00B0658A" w:rsidRDefault="00FD16E4" w:rsidP="00FE71B1">
            <w:pPr>
              <w:spacing w:after="0" w:line="240" w:lineRule="auto"/>
              <w:jc w:val="center"/>
              <w:rPr>
                <w:rFonts w:ascii="Times New Roman" w:hAnsi="Times New Roman"/>
                <w:sz w:val="18"/>
                <w:szCs w:val="18"/>
              </w:rPr>
            </w:pPr>
            <w:r w:rsidRPr="00B0658A">
              <w:rPr>
                <w:rFonts w:ascii="Times New Roman" w:hAnsi="Times New Roman"/>
                <w:sz w:val="18"/>
                <w:szCs w:val="18"/>
              </w:rPr>
              <w:t>4.8.</w:t>
            </w:r>
          </w:p>
        </w:tc>
        <w:tc>
          <w:tcPr>
            <w:tcW w:w="1013" w:type="pct"/>
            <w:shd w:val="clear" w:color="auto" w:fill="auto"/>
            <w:vAlign w:val="center"/>
          </w:tcPr>
          <w:p w14:paraId="05163C44" w14:textId="77777777" w:rsidR="00FD16E4" w:rsidRPr="00B0658A" w:rsidRDefault="00FD16E4" w:rsidP="00FD16E4">
            <w:pPr>
              <w:spacing w:after="0" w:line="240" w:lineRule="auto"/>
              <w:rPr>
                <w:rFonts w:ascii="Times New Roman" w:hAnsi="Times New Roman"/>
                <w:sz w:val="18"/>
                <w:szCs w:val="18"/>
              </w:rPr>
            </w:pPr>
            <w:r w:rsidRPr="00B0658A">
              <w:rPr>
                <w:rFonts w:ascii="Times New Roman" w:hAnsi="Times New Roman"/>
                <w:sz w:val="18"/>
                <w:szCs w:val="18"/>
              </w:rPr>
              <w:t>Средства разработки программного обеспечения/ Интегрированные платформы для создания приложений</w:t>
            </w:r>
          </w:p>
        </w:tc>
        <w:tc>
          <w:tcPr>
            <w:tcW w:w="704" w:type="pct"/>
            <w:shd w:val="clear" w:color="000000" w:fill="FFFFFF"/>
          </w:tcPr>
          <w:p w14:paraId="4112B50D" w14:textId="77777777" w:rsidR="00FD16E4" w:rsidRPr="00B0658A" w:rsidRDefault="00FD16E4" w:rsidP="00FD16E4">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03" w:type="pct"/>
            <w:shd w:val="clear" w:color="000000" w:fill="FFFFFF"/>
            <w:vAlign w:val="center"/>
          </w:tcPr>
          <w:p w14:paraId="05B88C5A"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lang w:val="en-US"/>
              </w:rPr>
              <w:t>35%</w:t>
            </w:r>
          </w:p>
        </w:tc>
        <w:tc>
          <w:tcPr>
            <w:tcW w:w="303" w:type="pct"/>
            <w:shd w:val="clear" w:color="000000" w:fill="FFFFFF"/>
            <w:vAlign w:val="center"/>
          </w:tcPr>
          <w:p w14:paraId="13ED171D"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lang w:val="en-US"/>
              </w:rPr>
              <w:t>45%</w:t>
            </w:r>
          </w:p>
        </w:tc>
        <w:tc>
          <w:tcPr>
            <w:tcW w:w="303" w:type="pct"/>
            <w:shd w:val="clear" w:color="000000" w:fill="FFFFFF"/>
            <w:vAlign w:val="center"/>
          </w:tcPr>
          <w:p w14:paraId="099C72C7"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lang w:val="en-US"/>
              </w:rPr>
              <w:t>55%</w:t>
            </w:r>
          </w:p>
        </w:tc>
        <w:tc>
          <w:tcPr>
            <w:tcW w:w="313" w:type="pct"/>
            <w:shd w:val="clear" w:color="000000" w:fill="FFFFFF"/>
            <w:vAlign w:val="center"/>
          </w:tcPr>
          <w:p w14:paraId="51EBFB75"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100%</w:t>
            </w:r>
          </w:p>
        </w:tc>
        <w:tc>
          <w:tcPr>
            <w:tcW w:w="303" w:type="pct"/>
            <w:shd w:val="clear" w:color="000000" w:fill="FFFFFF"/>
            <w:vAlign w:val="center"/>
          </w:tcPr>
          <w:p w14:paraId="651A9610"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65%</w:t>
            </w:r>
          </w:p>
        </w:tc>
        <w:tc>
          <w:tcPr>
            <w:tcW w:w="303" w:type="pct"/>
            <w:shd w:val="clear" w:color="000000" w:fill="FFFFFF"/>
            <w:vAlign w:val="center"/>
          </w:tcPr>
          <w:p w14:paraId="47FBC67E" w14:textId="77777777" w:rsidR="00FD16E4" w:rsidRPr="00B0658A" w:rsidRDefault="00FD16E4" w:rsidP="00FD16E4">
            <w:pPr>
              <w:spacing w:after="0" w:line="240" w:lineRule="auto"/>
              <w:jc w:val="center"/>
              <w:rPr>
                <w:rFonts w:ascii="Times New Roman" w:hAnsi="Times New Roman"/>
                <w:sz w:val="18"/>
                <w:szCs w:val="18"/>
                <w:lang w:val="en-US"/>
              </w:rPr>
            </w:pPr>
            <w:r w:rsidRPr="00B0658A">
              <w:rPr>
                <w:rFonts w:ascii="Times New Roman" w:hAnsi="Times New Roman"/>
                <w:sz w:val="18"/>
                <w:szCs w:val="18"/>
              </w:rPr>
              <w:t>70</w:t>
            </w:r>
            <w:r w:rsidRPr="00B0658A">
              <w:rPr>
                <w:rFonts w:ascii="Times New Roman" w:hAnsi="Times New Roman"/>
                <w:sz w:val="18"/>
                <w:szCs w:val="18"/>
                <w:lang w:val="en-US"/>
              </w:rPr>
              <w:t>%</w:t>
            </w:r>
          </w:p>
        </w:tc>
        <w:tc>
          <w:tcPr>
            <w:tcW w:w="303" w:type="pct"/>
            <w:shd w:val="clear" w:color="000000" w:fill="FFFFFF"/>
            <w:vAlign w:val="center"/>
          </w:tcPr>
          <w:p w14:paraId="20FAB215"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80</w:t>
            </w:r>
            <w:r w:rsidRPr="00B0658A">
              <w:rPr>
                <w:rFonts w:ascii="Times New Roman" w:hAnsi="Times New Roman"/>
                <w:sz w:val="18"/>
                <w:szCs w:val="18"/>
                <w:lang w:val="en-US"/>
              </w:rPr>
              <w:t>%</w:t>
            </w:r>
          </w:p>
        </w:tc>
        <w:tc>
          <w:tcPr>
            <w:tcW w:w="272" w:type="pct"/>
            <w:shd w:val="clear" w:color="000000" w:fill="FFFFFF"/>
            <w:vAlign w:val="center"/>
          </w:tcPr>
          <w:p w14:paraId="4C8E8F18"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lang w:val="en-US"/>
              </w:rPr>
              <w:t>90%</w:t>
            </w:r>
          </w:p>
        </w:tc>
        <w:tc>
          <w:tcPr>
            <w:tcW w:w="299" w:type="pct"/>
            <w:shd w:val="clear" w:color="000000" w:fill="FFFFFF"/>
            <w:vAlign w:val="center"/>
          </w:tcPr>
          <w:p w14:paraId="14145FCB"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100%</w:t>
            </w:r>
          </w:p>
        </w:tc>
        <w:tc>
          <w:tcPr>
            <w:tcW w:w="297" w:type="pct"/>
            <w:shd w:val="clear" w:color="000000" w:fill="FFFFFF"/>
            <w:vAlign w:val="center"/>
          </w:tcPr>
          <w:p w14:paraId="6CAB9A94"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FD16E4" w:rsidRPr="00B0658A" w14:paraId="48D41F52" w14:textId="77777777" w:rsidTr="00FE71B1">
        <w:trPr>
          <w:trHeight w:val="20"/>
        </w:trPr>
        <w:tc>
          <w:tcPr>
            <w:tcW w:w="283" w:type="pct"/>
            <w:shd w:val="clear" w:color="000000" w:fill="FFFFFF"/>
            <w:vAlign w:val="center"/>
          </w:tcPr>
          <w:p w14:paraId="14D3CFC8" w14:textId="77777777" w:rsidR="00FD16E4" w:rsidRPr="00B0658A" w:rsidRDefault="00FD16E4" w:rsidP="00FE71B1">
            <w:pPr>
              <w:spacing w:after="0" w:line="240" w:lineRule="auto"/>
              <w:jc w:val="center"/>
              <w:rPr>
                <w:rFonts w:ascii="Times New Roman" w:hAnsi="Times New Roman"/>
                <w:sz w:val="18"/>
                <w:szCs w:val="18"/>
              </w:rPr>
            </w:pPr>
            <w:r w:rsidRPr="00B0658A">
              <w:rPr>
                <w:rFonts w:ascii="Times New Roman" w:hAnsi="Times New Roman"/>
                <w:sz w:val="18"/>
                <w:szCs w:val="18"/>
              </w:rPr>
              <w:t>4.9.</w:t>
            </w:r>
          </w:p>
        </w:tc>
        <w:tc>
          <w:tcPr>
            <w:tcW w:w="1013" w:type="pct"/>
            <w:shd w:val="clear" w:color="auto" w:fill="auto"/>
            <w:vAlign w:val="center"/>
          </w:tcPr>
          <w:p w14:paraId="1CD6FA09" w14:textId="77777777" w:rsidR="00FD16E4" w:rsidRPr="00B0658A" w:rsidRDefault="00FD16E4" w:rsidP="00FD16E4">
            <w:pPr>
              <w:spacing w:after="0" w:line="240" w:lineRule="auto"/>
              <w:rPr>
                <w:rFonts w:ascii="Times New Roman" w:hAnsi="Times New Roman"/>
                <w:sz w:val="18"/>
                <w:szCs w:val="18"/>
              </w:rPr>
            </w:pPr>
            <w:r w:rsidRPr="00B0658A">
              <w:rPr>
                <w:rFonts w:ascii="Times New Roman" w:hAnsi="Times New Roman"/>
                <w:sz w:val="18"/>
                <w:szCs w:val="18"/>
              </w:rPr>
              <w:t xml:space="preserve">Средства разработки программного обеспечения/ Системы предотвращения анализа </w:t>
            </w:r>
            <w:r w:rsidRPr="00B0658A">
              <w:rPr>
                <w:rFonts w:ascii="Times New Roman" w:hAnsi="Times New Roman"/>
                <w:sz w:val="18"/>
                <w:szCs w:val="18"/>
              </w:rPr>
              <w:br/>
              <w:t>и восстановления исполняемого кода программ</w:t>
            </w:r>
          </w:p>
        </w:tc>
        <w:tc>
          <w:tcPr>
            <w:tcW w:w="704" w:type="pct"/>
            <w:shd w:val="clear" w:color="000000" w:fill="FFFFFF"/>
          </w:tcPr>
          <w:p w14:paraId="7E42DE98" w14:textId="77777777" w:rsidR="00FD16E4" w:rsidRPr="00B0658A" w:rsidRDefault="00FD16E4" w:rsidP="00FD16E4">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03" w:type="pct"/>
            <w:shd w:val="clear" w:color="000000" w:fill="FFFFFF"/>
            <w:vAlign w:val="center"/>
          </w:tcPr>
          <w:p w14:paraId="66625751"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lang w:val="en-US"/>
              </w:rPr>
              <w:t>35%</w:t>
            </w:r>
          </w:p>
        </w:tc>
        <w:tc>
          <w:tcPr>
            <w:tcW w:w="303" w:type="pct"/>
            <w:shd w:val="clear" w:color="000000" w:fill="FFFFFF"/>
            <w:vAlign w:val="center"/>
          </w:tcPr>
          <w:p w14:paraId="65BCA00E"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lang w:val="en-US"/>
              </w:rPr>
              <w:t>45%</w:t>
            </w:r>
          </w:p>
        </w:tc>
        <w:tc>
          <w:tcPr>
            <w:tcW w:w="303" w:type="pct"/>
            <w:shd w:val="clear" w:color="000000" w:fill="FFFFFF"/>
            <w:vAlign w:val="center"/>
          </w:tcPr>
          <w:p w14:paraId="10552CEE"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lang w:val="en-US"/>
              </w:rPr>
              <w:t>55%</w:t>
            </w:r>
          </w:p>
        </w:tc>
        <w:tc>
          <w:tcPr>
            <w:tcW w:w="313" w:type="pct"/>
            <w:shd w:val="clear" w:color="000000" w:fill="FFFFFF"/>
            <w:vAlign w:val="center"/>
          </w:tcPr>
          <w:p w14:paraId="2EA952E5"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100%</w:t>
            </w:r>
          </w:p>
        </w:tc>
        <w:tc>
          <w:tcPr>
            <w:tcW w:w="303" w:type="pct"/>
            <w:shd w:val="clear" w:color="000000" w:fill="FFFFFF"/>
            <w:vAlign w:val="center"/>
          </w:tcPr>
          <w:p w14:paraId="30DDEA04"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65%</w:t>
            </w:r>
          </w:p>
        </w:tc>
        <w:tc>
          <w:tcPr>
            <w:tcW w:w="303" w:type="pct"/>
            <w:shd w:val="clear" w:color="000000" w:fill="FFFFFF"/>
            <w:vAlign w:val="center"/>
          </w:tcPr>
          <w:p w14:paraId="4C677897" w14:textId="77777777" w:rsidR="00FD16E4" w:rsidRPr="00B0658A" w:rsidRDefault="00FD16E4" w:rsidP="00FD16E4">
            <w:pPr>
              <w:spacing w:after="0" w:line="240" w:lineRule="auto"/>
              <w:jc w:val="center"/>
              <w:rPr>
                <w:rFonts w:ascii="Times New Roman" w:hAnsi="Times New Roman"/>
                <w:sz w:val="18"/>
                <w:szCs w:val="18"/>
                <w:lang w:val="en-US"/>
              </w:rPr>
            </w:pPr>
            <w:r w:rsidRPr="00B0658A">
              <w:rPr>
                <w:rFonts w:ascii="Times New Roman" w:hAnsi="Times New Roman"/>
                <w:sz w:val="18"/>
                <w:szCs w:val="18"/>
              </w:rPr>
              <w:t>70</w:t>
            </w:r>
            <w:r w:rsidRPr="00B0658A">
              <w:rPr>
                <w:rFonts w:ascii="Times New Roman" w:hAnsi="Times New Roman"/>
                <w:sz w:val="18"/>
                <w:szCs w:val="18"/>
                <w:lang w:val="en-US"/>
              </w:rPr>
              <w:t>%</w:t>
            </w:r>
          </w:p>
        </w:tc>
        <w:tc>
          <w:tcPr>
            <w:tcW w:w="303" w:type="pct"/>
            <w:shd w:val="clear" w:color="000000" w:fill="FFFFFF"/>
            <w:vAlign w:val="center"/>
          </w:tcPr>
          <w:p w14:paraId="388A0A3A"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80</w:t>
            </w:r>
            <w:r w:rsidRPr="00B0658A">
              <w:rPr>
                <w:rFonts w:ascii="Times New Roman" w:hAnsi="Times New Roman"/>
                <w:sz w:val="18"/>
                <w:szCs w:val="18"/>
                <w:lang w:val="en-US"/>
              </w:rPr>
              <w:t>%</w:t>
            </w:r>
          </w:p>
        </w:tc>
        <w:tc>
          <w:tcPr>
            <w:tcW w:w="272" w:type="pct"/>
            <w:shd w:val="clear" w:color="000000" w:fill="FFFFFF"/>
            <w:vAlign w:val="center"/>
          </w:tcPr>
          <w:p w14:paraId="22B736F4"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lang w:val="en-US"/>
              </w:rPr>
              <w:t>90%</w:t>
            </w:r>
          </w:p>
        </w:tc>
        <w:tc>
          <w:tcPr>
            <w:tcW w:w="299" w:type="pct"/>
            <w:shd w:val="clear" w:color="000000" w:fill="FFFFFF"/>
            <w:vAlign w:val="center"/>
          </w:tcPr>
          <w:p w14:paraId="69C3E6FC"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100%</w:t>
            </w:r>
          </w:p>
        </w:tc>
        <w:tc>
          <w:tcPr>
            <w:tcW w:w="297" w:type="pct"/>
            <w:shd w:val="clear" w:color="000000" w:fill="FFFFFF"/>
            <w:vAlign w:val="center"/>
          </w:tcPr>
          <w:p w14:paraId="1B81422B"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FD16E4" w:rsidRPr="00B0658A" w14:paraId="41FBF3DF" w14:textId="77777777" w:rsidTr="00FE71B1">
        <w:trPr>
          <w:trHeight w:val="20"/>
        </w:trPr>
        <w:tc>
          <w:tcPr>
            <w:tcW w:w="283" w:type="pct"/>
            <w:shd w:val="clear" w:color="000000" w:fill="FFFFFF"/>
            <w:vAlign w:val="center"/>
          </w:tcPr>
          <w:p w14:paraId="0CC2735F" w14:textId="77777777" w:rsidR="00FD16E4" w:rsidRPr="00B0658A" w:rsidRDefault="00FD16E4" w:rsidP="00FE71B1">
            <w:pPr>
              <w:spacing w:after="0" w:line="240" w:lineRule="auto"/>
              <w:jc w:val="center"/>
              <w:rPr>
                <w:rFonts w:ascii="Times New Roman" w:hAnsi="Times New Roman"/>
                <w:sz w:val="18"/>
                <w:szCs w:val="18"/>
              </w:rPr>
            </w:pPr>
            <w:r w:rsidRPr="00B0658A">
              <w:rPr>
                <w:rFonts w:ascii="Times New Roman" w:hAnsi="Times New Roman"/>
                <w:sz w:val="18"/>
                <w:szCs w:val="18"/>
              </w:rPr>
              <w:t>5.1</w:t>
            </w:r>
          </w:p>
        </w:tc>
        <w:tc>
          <w:tcPr>
            <w:tcW w:w="1013" w:type="pct"/>
            <w:shd w:val="clear" w:color="auto" w:fill="auto"/>
            <w:vAlign w:val="center"/>
          </w:tcPr>
          <w:p w14:paraId="1AD0AA2D" w14:textId="77777777" w:rsidR="00FD16E4" w:rsidRPr="00B0658A" w:rsidRDefault="00FD16E4" w:rsidP="00FD16E4">
            <w:pPr>
              <w:spacing w:after="0" w:line="240" w:lineRule="auto"/>
              <w:rPr>
                <w:rFonts w:ascii="Times New Roman" w:hAnsi="Times New Roman"/>
                <w:sz w:val="18"/>
                <w:szCs w:val="18"/>
              </w:rPr>
            </w:pPr>
            <w:r w:rsidRPr="00B0658A">
              <w:rPr>
                <w:rFonts w:ascii="Times New Roman" w:hAnsi="Times New Roman"/>
                <w:sz w:val="18"/>
                <w:szCs w:val="18"/>
              </w:rPr>
              <w:t>Прикладное программное обеспечение/ Мультимедийное программное обеспечение</w:t>
            </w:r>
          </w:p>
        </w:tc>
        <w:tc>
          <w:tcPr>
            <w:tcW w:w="704" w:type="pct"/>
            <w:shd w:val="clear" w:color="000000" w:fill="FFFFFF"/>
          </w:tcPr>
          <w:p w14:paraId="521D4FB2" w14:textId="77777777" w:rsidR="00FD16E4" w:rsidRPr="00B0658A" w:rsidRDefault="00FD16E4" w:rsidP="00FD16E4">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03" w:type="pct"/>
            <w:shd w:val="clear" w:color="000000" w:fill="FFFFFF"/>
            <w:vAlign w:val="center"/>
          </w:tcPr>
          <w:p w14:paraId="49874737"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lang w:val="en-US"/>
              </w:rPr>
              <w:t>20%</w:t>
            </w:r>
          </w:p>
        </w:tc>
        <w:tc>
          <w:tcPr>
            <w:tcW w:w="303" w:type="pct"/>
            <w:shd w:val="clear" w:color="000000" w:fill="FFFFFF"/>
            <w:vAlign w:val="center"/>
          </w:tcPr>
          <w:p w14:paraId="65C3E3DE"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lang w:val="en-US"/>
              </w:rPr>
              <w:t>30%</w:t>
            </w:r>
          </w:p>
        </w:tc>
        <w:tc>
          <w:tcPr>
            <w:tcW w:w="303" w:type="pct"/>
            <w:shd w:val="clear" w:color="000000" w:fill="FFFFFF"/>
            <w:vAlign w:val="center"/>
          </w:tcPr>
          <w:p w14:paraId="2709A227"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lang w:val="en-US"/>
              </w:rPr>
              <w:t>40%</w:t>
            </w:r>
          </w:p>
        </w:tc>
        <w:tc>
          <w:tcPr>
            <w:tcW w:w="313" w:type="pct"/>
            <w:shd w:val="clear" w:color="000000" w:fill="FFFFFF"/>
            <w:vAlign w:val="center"/>
          </w:tcPr>
          <w:p w14:paraId="379E783A"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100%</w:t>
            </w:r>
          </w:p>
        </w:tc>
        <w:tc>
          <w:tcPr>
            <w:tcW w:w="303" w:type="pct"/>
            <w:shd w:val="clear" w:color="000000" w:fill="FFFFFF"/>
            <w:vAlign w:val="center"/>
          </w:tcPr>
          <w:p w14:paraId="55771C8A"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5</w:t>
            </w:r>
            <w:r w:rsidRPr="00B0658A">
              <w:rPr>
                <w:rFonts w:ascii="Times New Roman" w:hAnsi="Times New Roman"/>
                <w:sz w:val="18"/>
                <w:szCs w:val="18"/>
                <w:lang w:val="en-US"/>
              </w:rPr>
              <w:t>0%</w:t>
            </w:r>
          </w:p>
        </w:tc>
        <w:tc>
          <w:tcPr>
            <w:tcW w:w="303" w:type="pct"/>
            <w:shd w:val="clear" w:color="000000" w:fill="FFFFFF"/>
            <w:vAlign w:val="center"/>
          </w:tcPr>
          <w:p w14:paraId="558EC14F"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6</w:t>
            </w:r>
            <w:r w:rsidRPr="00B0658A">
              <w:rPr>
                <w:rFonts w:ascii="Times New Roman" w:hAnsi="Times New Roman"/>
                <w:sz w:val="18"/>
                <w:szCs w:val="18"/>
                <w:lang w:val="en-US"/>
              </w:rPr>
              <w:t>0%</w:t>
            </w:r>
          </w:p>
        </w:tc>
        <w:tc>
          <w:tcPr>
            <w:tcW w:w="303" w:type="pct"/>
            <w:shd w:val="clear" w:color="000000" w:fill="FFFFFF"/>
            <w:vAlign w:val="center"/>
          </w:tcPr>
          <w:p w14:paraId="609AD21B"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70%</w:t>
            </w:r>
          </w:p>
        </w:tc>
        <w:tc>
          <w:tcPr>
            <w:tcW w:w="272" w:type="pct"/>
            <w:shd w:val="clear" w:color="000000" w:fill="FFFFFF"/>
            <w:vAlign w:val="center"/>
          </w:tcPr>
          <w:p w14:paraId="2E7B50EB"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80%</w:t>
            </w:r>
          </w:p>
        </w:tc>
        <w:tc>
          <w:tcPr>
            <w:tcW w:w="299" w:type="pct"/>
            <w:shd w:val="clear" w:color="000000" w:fill="FFFFFF"/>
            <w:vAlign w:val="center"/>
          </w:tcPr>
          <w:p w14:paraId="4BDC0B8E"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90%</w:t>
            </w:r>
          </w:p>
        </w:tc>
        <w:tc>
          <w:tcPr>
            <w:tcW w:w="297" w:type="pct"/>
            <w:shd w:val="clear" w:color="000000" w:fill="FFFFFF"/>
            <w:vAlign w:val="center"/>
          </w:tcPr>
          <w:p w14:paraId="53B42BAA"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FD16E4" w:rsidRPr="00B0658A" w14:paraId="650AD230" w14:textId="77777777" w:rsidTr="00FE71B1">
        <w:trPr>
          <w:trHeight w:val="20"/>
        </w:trPr>
        <w:tc>
          <w:tcPr>
            <w:tcW w:w="283" w:type="pct"/>
            <w:shd w:val="clear" w:color="000000" w:fill="FFFFFF"/>
            <w:vAlign w:val="center"/>
          </w:tcPr>
          <w:p w14:paraId="79C7870D" w14:textId="77777777" w:rsidR="00FD16E4" w:rsidRPr="00B0658A" w:rsidRDefault="00FD16E4" w:rsidP="00FE71B1">
            <w:pPr>
              <w:spacing w:after="0" w:line="240" w:lineRule="auto"/>
              <w:jc w:val="center"/>
              <w:rPr>
                <w:rFonts w:ascii="Times New Roman" w:hAnsi="Times New Roman"/>
                <w:sz w:val="18"/>
                <w:szCs w:val="18"/>
              </w:rPr>
            </w:pPr>
            <w:r w:rsidRPr="00B0658A">
              <w:rPr>
                <w:rFonts w:ascii="Times New Roman" w:hAnsi="Times New Roman"/>
                <w:sz w:val="18"/>
                <w:szCs w:val="18"/>
              </w:rPr>
              <w:t>5.2</w:t>
            </w:r>
          </w:p>
        </w:tc>
        <w:tc>
          <w:tcPr>
            <w:tcW w:w="1013" w:type="pct"/>
            <w:shd w:val="clear" w:color="auto" w:fill="auto"/>
            <w:vAlign w:val="center"/>
          </w:tcPr>
          <w:p w14:paraId="76950424" w14:textId="77777777" w:rsidR="00FD16E4" w:rsidRPr="00B0658A" w:rsidRDefault="00FD16E4" w:rsidP="00FD16E4">
            <w:pPr>
              <w:spacing w:after="0" w:line="240" w:lineRule="auto"/>
              <w:rPr>
                <w:rFonts w:ascii="Times New Roman" w:hAnsi="Times New Roman"/>
                <w:sz w:val="18"/>
                <w:szCs w:val="18"/>
              </w:rPr>
            </w:pPr>
            <w:r w:rsidRPr="00B0658A">
              <w:rPr>
                <w:rFonts w:ascii="Times New Roman" w:hAnsi="Times New Roman"/>
                <w:sz w:val="18"/>
                <w:szCs w:val="18"/>
              </w:rPr>
              <w:t>Прикладное программное обеспечение/ Дополнительные программные модули (плагины)</w:t>
            </w:r>
          </w:p>
        </w:tc>
        <w:tc>
          <w:tcPr>
            <w:tcW w:w="704" w:type="pct"/>
            <w:shd w:val="clear" w:color="000000" w:fill="FFFFFF"/>
          </w:tcPr>
          <w:p w14:paraId="4DCCD42F" w14:textId="77777777" w:rsidR="00FD16E4" w:rsidRPr="00B0658A" w:rsidRDefault="00FD16E4" w:rsidP="00FD16E4">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03" w:type="pct"/>
            <w:shd w:val="clear" w:color="000000" w:fill="FFFFFF"/>
            <w:vAlign w:val="center"/>
          </w:tcPr>
          <w:p w14:paraId="45F4F9B2"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lang w:val="en-US"/>
              </w:rPr>
              <w:t>20%</w:t>
            </w:r>
          </w:p>
        </w:tc>
        <w:tc>
          <w:tcPr>
            <w:tcW w:w="303" w:type="pct"/>
            <w:shd w:val="clear" w:color="000000" w:fill="FFFFFF"/>
            <w:vAlign w:val="center"/>
          </w:tcPr>
          <w:p w14:paraId="621C0DB5"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lang w:val="en-US"/>
              </w:rPr>
              <w:t>30%</w:t>
            </w:r>
          </w:p>
        </w:tc>
        <w:tc>
          <w:tcPr>
            <w:tcW w:w="303" w:type="pct"/>
            <w:shd w:val="clear" w:color="000000" w:fill="FFFFFF"/>
            <w:vAlign w:val="center"/>
          </w:tcPr>
          <w:p w14:paraId="6946D61B"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lang w:val="en-US"/>
              </w:rPr>
              <w:t>40%</w:t>
            </w:r>
          </w:p>
        </w:tc>
        <w:tc>
          <w:tcPr>
            <w:tcW w:w="313" w:type="pct"/>
            <w:shd w:val="clear" w:color="000000" w:fill="FFFFFF"/>
            <w:vAlign w:val="center"/>
          </w:tcPr>
          <w:p w14:paraId="5D90C597"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100%</w:t>
            </w:r>
          </w:p>
        </w:tc>
        <w:tc>
          <w:tcPr>
            <w:tcW w:w="303" w:type="pct"/>
            <w:shd w:val="clear" w:color="000000" w:fill="FFFFFF"/>
            <w:vAlign w:val="center"/>
          </w:tcPr>
          <w:p w14:paraId="15F90E65"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5</w:t>
            </w:r>
            <w:r w:rsidRPr="00B0658A">
              <w:rPr>
                <w:rFonts w:ascii="Times New Roman" w:hAnsi="Times New Roman"/>
                <w:sz w:val="18"/>
                <w:szCs w:val="18"/>
                <w:lang w:val="en-US"/>
              </w:rPr>
              <w:t>0%</w:t>
            </w:r>
          </w:p>
        </w:tc>
        <w:tc>
          <w:tcPr>
            <w:tcW w:w="303" w:type="pct"/>
            <w:shd w:val="clear" w:color="000000" w:fill="FFFFFF"/>
            <w:vAlign w:val="center"/>
          </w:tcPr>
          <w:p w14:paraId="0EA9F8AF"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6</w:t>
            </w:r>
            <w:r w:rsidRPr="00B0658A">
              <w:rPr>
                <w:rFonts w:ascii="Times New Roman" w:hAnsi="Times New Roman"/>
                <w:sz w:val="18"/>
                <w:szCs w:val="18"/>
                <w:lang w:val="en-US"/>
              </w:rPr>
              <w:t>0%</w:t>
            </w:r>
          </w:p>
        </w:tc>
        <w:tc>
          <w:tcPr>
            <w:tcW w:w="303" w:type="pct"/>
            <w:shd w:val="clear" w:color="000000" w:fill="FFFFFF"/>
            <w:vAlign w:val="center"/>
          </w:tcPr>
          <w:p w14:paraId="29B609B2"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70%</w:t>
            </w:r>
          </w:p>
        </w:tc>
        <w:tc>
          <w:tcPr>
            <w:tcW w:w="272" w:type="pct"/>
            <w:shd w:val="clear" w:color="000000" w:fill="FFFFFF"/>
            <w:vAlign w:val="center"/>
          </w:tcPr>
          <w:p w14:paraId="479ECD60"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80%</w:t>
            </w:r>
          </w:p>
        </w:tc>
        <w:tc>
          <w:tcPr>
            <w:tcW w:w="299" w:type="pct"/>
            <w:shd w:val="clear" w:color="000000" w:fill="FFFFFF"/>
            <w:vAlign w:val="center"/>
          </w:tcPr>
          <w:p w14:paraId="3239C24E"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90%</w:t>
            </w:r>
          </w:p>
        </w:tc>
        <w:tc>
          <w:tcPr>
            <w:tcW w:w="297" w:type="pct"/>
            <w:shd w:val="clear" w:color="000000" w:fill="FFFFFF"/>
            <w:vAlign w:val="center"/>
          </w:tcPr>
          <w:p w14:paraId="6CDFE96C"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FD16E4" w:rsidRPr="00B0658A" w14:paraId="3E5968D6" w14:textId="77777777" w:rsidTr="00FE71B1">
        <w:trPr>
          <w:trHeight w:val="20"/>
        </w:trPr>
        <w:tc>
          <w:tcPr>
            <w:tcW w:w="283" w:type="pct"/>
            <w:shd w:val="clear" w:color="000000" w:fill="FFFFFF"/>
            <w:vAlign w:val="center"/>
          </w:tcPr>
          <w:p w14:paraId="6B2E6250" w14:textId="77777777" w:rsidR="00FD16E4" w:rsidRPr="00B0658A" w:rsidRDefault="00FD16E4" w:rsidP="00FE71B1">
            <w:pPr>
              <w:spacing w:after="0" w:line="240" w:lineRule="auto"/>
              <w:jc w:val="center"/>
              <w:rPr>
                <w:rFonts w:ascii="Times New Roman" w:hAnsi="Times New Roman"/>
                <w:sz w:val="18"/>
                <w:szCs w:val="18"/>
              </w:rPr>
            </w:pPr>
            <w:r w:rsidRPr="00B0658A">
              <w:rPr>
                <w:rFonts w:ascii="Times New Roman" w:hAnsi="Times New Roman"/>
                <w:sz w:val="18"/>
                <w:szCs w:val="18"/>
              </w:rPr>
              <w:t>5.3</w:t>
            </w:r>
          </w:p>
        </w:tc>
        <w:tc>
          <w:tcPr>
            <w:tcW w:w="1013" w:type="pct"/>
            <w:shd w:val="clear" w:color="auto" w:fill="auto"/>
            <w:vAlign w:val="center"/>
          </w:tcPr>
          <w:p w14:paraId="6D7E7FF6" w14:textId="77777777" w:rsidR="00FD16E4" w:rsidRPr="00B0658A" w:rsidRDefault="00FD16E4" w:rsidP="00FD16E4">
            <w:pPr>
              <w:spacing w:after="0" w:line="240" w:lineRule="auto"/>
              <w:rPr>
                <w:rFonts w:ascii="Times New Roman" w:hAnsi="Times New Roman"/>
                <w:sz w:val="18"/>
                <w:szCs w:val="18"/>
              </w:rPr>
            </w:pPr>
            <w:r w:rsidRPr="00B0658A">
              <w:rPr>
                <w:rFonts w:ascii="Times New Roman" w:hAnsi="Times New Roman"/>
                <w:sz w:val="18"/>
                <w:szCs w:val="18"/>
              </w:rPr>
              <w:t>Прикладное программное обеспечение/ Игры и развлечения</w:t>
            </w:r>
          </w:p>
        </w:tc>
        <w:tc>
          <w:tcPr>
            <w:tcW w:w="704" w:type="pct"/>
            <w:shd w:val="clear" w:color="000000" w:fill="FFFFFF"/>
          </w:tcPr>
          <w:p w14:paraId="28FFE599" w14:textId="77777777" w:rsidR="00FD16E4" w:rsidRPr="00B0658A" w:rsidRDefault="00FD16E4" w:rsidP="00FD16E4">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03" w:type="pct"/>
            <w:shd w:val="clear" w:color="000000" w:fill="FFFFFF"/>
            <w:vAlign w:val="center"/>
          </w:tcPr>
          <w:p w14:paraId="7C17E157"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35</w:t>
            </w:r>
            <w:r w:rsidRPr="00B0658A">
              <w:rPr>
                <w:rFonts w:ascii="Times New Roman" w:hAnsi="Times New Roman"/>
                <w:sz w:val="18"/>
                <w:szCs w:val="18"/>
                <w:lang w:val="en-US"/>
              </w:rPr>
              <w:t>%</w:t>
            </w:r>
          </w:p>
        </w:tc>
        <w:tc>
          <w:tcPr>
            <w:tcW w:w="303" w:type="pct"/>
            <w:shd w:val="clear" w:color="000000" w:fill="FFFFFF"/>
            <w:vAlign w:val="center"/>
          </w:tcPr>
          <w:p w14:paraId="3B2CC0BD"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45</w:t>
            </w:r>
            <w:r w:rsidRPr="00B0658A">
              <w:rPr>
                <w:rFonts w:ascii="Times New Roman" w:hAnsi="Times New Roman"/>
                <w:sz w:val="18"/>
                <w:szCs w:val="18"/>
                <w:lang w:val="en-US"/>
              </w:rPr>
              <w:t>%</w:t>
            </w:r>
          </w:p>
        </w:tc>
        <w:tc>
          <w:tcPr>
            <w:tcW w:w="303" w:type="pct"/>
            <w:shd w:val="clear" w:color="000000" w:fill="FFFFFF"/>
            <w:vAlign w:val="center"/>
          </w:tcPr>
          <w:p w14:paraId="3EEAEF7F"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55</w:t>
            </w:r>
            <w:r w:rsidRPr="00B0658A">
              <w:rPr>
                <w:rFonts w:ascii="Times New Roman" w:hAnsi="Times New Roman"/>
                <w:sz w:val="18"/>
                <w:szCs w:val="18"/>
                <w:lang w:val="en-US"/>
              </w:rPr>
              <w:t>%</w:t>
            </w:r>
          </w:p>
        </w:tc>
        <w:tc>
          <w:tcPr>
            <w:tcW w:w="313" w:type="pct"/>
            <w:shd w:val="clear" w:color="000000" w:fill="FFFFFF"/>
            <w:vAlign w:val="center"/>
          </w:tcPr>
          <w:p w14:paraId="55F2B6FF"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100%</w:t>
            </w:r>
          </w:p>
        </w:tc>
        <w:tc>
          <w:tcPr>
            <w:tcW w:w="303" w:type="pct"/>
            <w:shd w:val="clear" w:color="000000" w:fill="FFFFFF"/>
            <w:vAlign w:val="center"/>
          </w:tcPr>
          <w:p w14:paraId="5B634900"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70</w:t>
            </w:r>
            <w:r w:rsidRPr="00B0658A">
              <w:rPr>
                <w:rFonts w:ascii="Times New Roman" w:hAnsi="Times New Roman"/>
                <w:sz w:val="18"/>
                <w:szCs w:val="18"/>
                <w:lang w:val="en-US"/>
              </w:rPr>
              <w:t>%</w:t>
            </w:r>
          </w:p>
        </w:tc>
        <w:tc>
          <w:tcPr>
            <w:tcW w:w="303" w:type="pct"/>
            <w:shd w:val="clear" w:color="000000" w:fill="FFFFFF"/>
            <w:vAlign w:val="center"/>
          </w:tcPr>
          <w:p w14:paraId="0AF46237"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8</w:t>
            </w:r>
            <w:r w:rsidRPr="00B0658A">
              <w:rPr>
                <w:rFonts w:ascii="Times New Roman" w:hAnsi="Times New Roman"/>
                <w:sz w:val="18"/>
                <w:szCs w:val="18"/>
                <w:lang w:val="en-US"/>
              </w:rPr>
              <w:t>0%</w:t>
            </w:r>
          </w:p>
        </w:tc>
        <w:tc>
          <w:tcPr>
            <w:tcW w:w="303" w:type="pct"/>
            <w:shd w:val="clear" w:color="000000" w:fill="FFFFFF"/>
            <w:vAlign w:val="center"/>
          </w:tcPr>
          <w:p w14:paraId="5C6889F5"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90%</w:t>
            </w:r>
          </w:p>
        </w:tc>
        <w:tc>
          <w:tcPr>
            <w:tcW w:w="272" w:type="pct"/>
            <w:shd w:val="clear" w:color="000000" w:fill="FFFFFF"/>
            <w:vAlign w:val="center"/>
          </w:tcPr>
          <w:p w14:paraId="31815BC3"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100%</w:t>
            </w:r>
          </w:p>
        </w:tc>
        <w:tc>
          <w:tcPr>
            <w:tcW w:w="299" w:type="pct"/>
            <w:shd w:val="clear" w:color="000000" w:fill="FFFFFF"/>
            <w:vAlign w:val="center"/>
          </w:tcPr>
          <w:p w14:paraId="4AAA26EC"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100%</w:t>
            </w:r>
          </w:p>
        </w:tc>
        <w:tc>
          <w:tcPr>
            <w:tcW w:w="297" w:type="pct"/>
            <w:shd w:val="clear" w:color="000000" w:fill="FFFFFF"/>
            <w:vAlign w:val="center"/>
          </w:tcPr>
          <w:p w14:paraId="7CA418D4"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FD16E4" w:rsidRPr="00B0658A" w14:paraId="313105D8" w14:textId="77777777" w:rsidTr="00FE71B1">
        <w:trPr>
          <w:trHeight w:val="20"/>
        </w:trPr>
        <w:tc>
          <w:tcPr>
            <w:tcW w:w="283" w:type="pct"/>
            <w:shd w:val="clear" w:color="000000" w:fill="FFFFFF"/>
            <w:vAlign w:val="center"/>
          </w:tcPr>
          <w:p w14:paraId="0717C245" w14:textId="77777777" w:rsidR="00FD16E4" w:rsidRPr="00B0658A" w:rsidRDefault="00FD16E4" w:rsidP="00FE71B1">
            <w:pPr>
              <w:spacing w:after="0" w:line="240" w:lineRule="auto"/>
              <w:jc w:val="center"/>
              <w:rPr>
                <w:rFonts w:ascii="Times New Roman" w:hAnsi="Times New Roman"/>
                <w:sz w:val="18"/>
                <w:szCs w:val="18"/>
              </w:rPr>
            </w:pPr>
            <w:r w:rsidRPr="00B0658A">
              <w:rPr>
                <w:rFonts w:ascii="Times New Roman" w:hAnsi="Times New Roman"/>
                <w:sz w:val="18"/>
                <w:szCs w:val="18"/>
              </w:rPr>
              <w:t>5.4</w:t>
            </w:r>
          </w:p>
        </w:tc>
        <w:tc>
          <w:tcPr>
            <w:tcW w:w="1013" w:type="pct"/>
            <w:shd w:val="clear" w:color="auto" w:fill="auto"/>
            <w:vAlign w:val="center"/>
          </w:tcPr>
          <w:p w14:paraId="35849374" w14:textId="77777777" w:rsidR="00FD16E4" w:rsidRPr="00B0658A" w:rsidRDefault="00FD16E4" w:rsidP="00FD16E4">
            <w:pPr>
              <w:spacing w:after="0" w:line="240" w:lineRule="auto"/>
              <w:rPr>
                <w:rFonts w:ascii="Times New Roman" w:hAnsi="Times New Roman"/>
                <w:sz w:val="18"/>
                <w:szCs w:val="18"/>
              </w:rPr>
            </w:pPr>
            <w:r w:rsidRPr="00B0658A">
              <w:rPr>
                <w:rFonts w:ascii="Times New Roman" w:hAnsi="Times New Roman"/>
                <w:sz w:val="18"/>
                <w:szCs w:val="18"/>
              </w:rPr>
              <w:t>Прикладное программное обеспечение/ Поисковые средства</w:t>
            </w:r>
          </w:p>
        </w:tc>
        <w:tc>
          <w:tcPr>
            <w:tcW w:w="704" w:type="pct"/>
            <w:shd w:val="clear" w:color="000000" w:fill="FFFFFF"/>
          </w:tcPr>
          <w:p w14:paraId="3A19A06F" w14:textId="77777777" w:rsidR="00FD16E4" w:rsidRPr="00B0658A" w:rsidRDefault="00FD16E4" w:rsidP="00FD16E4">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03" w:type="pct"/>
            <w:shd w:val="clear" w:color="000000" w:fill="FFFFFF"/>
            <w:vAlign w:val="center"/>
          </w:tcPr>
          <w:p w14:paraId="042C8D42"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35</w:t>
            </w:r>
            <w:r w:rsidRPr="00B0658A">
              <w:rPr>
                <w:rFonts w:ascii="Times New Roman" w:hAnsi="Times New Roman"/>
                <w:sz w:val="18"/>
                <w:szCs w:val="18"/>
                <w:lang w:val="en-US"/>
              </w:rPr>
              <w:t>%</w:t>
            </w:r>
          </w:p>
        </w:tc>
        <w:tc>
          <w:tcPr>
            <w:tcW w:w="303" w:type="pct"/>
            <w:shd w:val="clear" w:color="000000" w:fill="FFFFFF"/>
            <w:vAlign w:val="center"/>
          </w:tcPr>
          <w:p w14:paraId="3C33C2AB"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45</w:t>
            </w:r>
            <w:r w:rsidRPr="00B0658A">
              <w:rPr>
                <w:rFonts w:ascii="Times New Roman" w:hAnsi="Times New Roman"/>
                <w:sz w:val="18"/>
                <w:szCs w:val="18"/>
                <w:lang w:val="en-US"/>
              </w:rPr>
              <w:t>%</w:t>
            </w:r>
          </w:p>
        </w:tc>
        <w:tc>
          <w:tcPr>
            <w:tcW w:w="303" w:type="pct"/>
            <w:shd w:val="clear" w:color="000000" w:fill="FFFFFF"/>
            <w:vAlign w:val="center"/>
          </w:tcPr>
          <w:p w14:paraId="28BFDB9C"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55</w:t>
            </w:r>
            <w:r w:rsidRPr="00B0658A">
              <w:rPr>
                <w:rFonts w:ascii="Times New Roman" w:hAnsi="Times New Roman"/>
                <w:sz w:val="18"/>
                <w:szCs w:val="18"/>
                <w:lang w:val="en-US"/>
              </w:rPr>
              <w:t>%</w:t>
            </w:r>
          </w:p>
        </w:tc>
        <w:tc>
          <w:tcPr>
            <w:tcW w:w="313" w:type="pct"/>
            <w:shd w:val="clear" w:color="000000" w:fill="FFFFFF"/>
            <w:vAlign w:val="center"/>
          </w:tcPr>
          <w:p w14:paraId="6358C011"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100%</w:t>
            </w:r>
          </w:p>
        </w:tc>
        <w:tc>
          <w:tcPr>
            <w:tcW w:w="303" w:type="pct"/>
            <w:shd w:val="clear" w:color="000000" w:fill="FFFFFF"/>
            <w:vAlign w:val="center"/>
          </w:tcPr>
          <w:p w14:paraId="5ECD488E"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70</w:t>
            </w:r>
            <w:r w:rsidRPr="00B0658A">
              <w:rPr>
                <w:rFonts w:ascii="Times New Roman" w:hAnsi="Times New Roman"/>
                <w:sz w:val="18"/>
                <w:szCs w:val="18"/>
                <w:lang w:val="en-US"/>
              </w:rPr>
              <w:t>%</w:t>
            </w:r>
          </w:p>
        </w:tc>
        <w:tc>
          <w:tcPr>
            <w:tcW w:w="303" w:type="pct"/>
            <w:shd w:val="clear" w:color="000000" w:fill="FFFFFF"/>
            <w:vAlign w:val="center"/>
          </w:tcPr>
          <w:p w14:paraId="04655D82"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8</w:t>
            </w:r>
            <w:r w:rsidRPr="00B0658A">
              <w:rPr>
                <w:rFonts w:ascii="Times New Roman" w:hAnsi="Times New Roman"/>
                <w:sz w:val="18"/>
                <w:szCs w:val="18"/>
                <w:lang w:val="en-US"/>
              </w:rPr>
              <w:t>0%</w:t>
            </w:r>
          </w:p>
        </w:tc>
        <w:tc>
          <w:tcPr>
            <w:tcW w:w="303" w:type="pct"/>
            <w:shd w:val="clear" w:color="000000" w:fill="FFFFFF"/>
            <w:vAlign w:val="center"/>
          </w:tcPr>
          <w:p w14:paraId="3FC1099C"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90%</w:t>
            </w:r>
          </w:p>
        </w:tc>
        <w:tc>
          <w:tcPr>
            <w:tcW w:w="272" w:type="pct"/>
            <w:shd w:val="clear" w:color="000000" w:fill="FFFFFF"/>
            <w:vAlign w:val="center"/>
          </w:tcPr>
          <w:p w14:paraId="6B9A8727"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100%</w:t>
            </w:r>
          </w:p>
        </w:tc>
        <w:tc>
          <w:tcPr>
            <w:tcW w:w="299" w:type="pct"/>
            <w:shd w:val="clear" w:color="000000" w:fill="FFFFFF"/>
            <w:vAlign w:val="center"/>
          </w:tcPr>
          <w:p w14:paraId="223FC913"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100%</w:t>
            </w:r>
          </w:p>
        </w:tc>
        <w:tc>
          <w:tcPr>
            <w:tcW w:w="297" w:type="pct"/>
            <w:shd w:val="clear" w:color="000000" w:fill="FFFFFF"/>
            <w:vAlign w:val="center"/>
          </w:tcPr>
          <w:p w14:paraId="04119295"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FD16E4" w:rsidRPr="00B0658A" w14:paraId="130FFA4E" w14:textId="77777777" w:rsidTr="00FE71B1">
        <w:trPr>
          <w:trHeight w:val="20"/>
        </w:trPr>
        <w:tc>
          <w:tcPr>
            <w:tcW w:w="283" w:type="pct"/>
            <w:shd w:val="clear" w:color="000000" w:fill="FFFFFF"/>
            <w:vAlign w:val="center"/>
          </w:tcPr>
          <w:p w14:paraId="40B9ED49" w14:textId="77777777" w:rsidR="00FD16E4" w:rsidRPr="00B0658A" w:rsidRDefault="00FD16E4" w:rsidP="00FE71B1">
            <w:pPr>
              <w:spacing w:after="0" w:line="240" w:lineRule="auto"/>
              <w:jc w:val="center"/>
              <w:rPr>
                <w:rFonts w:ascii="Times New Roman" w:hAnsi="Times New Roman"/>
                <w:sz w:val="18"/>
                <w:szCs w:val="18"/>
              </w:rPr>
            </w:pPr>
            <w:r w:rsidRPr="00B0658A">
              <w:rPr>
                <w:rFonts w:ascii="Times New Roman" w:hAnsi="Times New Roman"/>
                <w:sz w:val="18"/>
                <w:szCs w:val="18"/>
              </w:rPr>
              <w:t>5.5</w:t>
            </w:r>
          </w:p>
        </w:tc>
        <w:tc>
          <w:tcPr>
            <w:tcW w:w="1013" w:type="pct"/>
            <w:shd w:val="clear" w:color="auto" w:fill="auto"/>
            <w:vAlign w:val="center"/>
          </w:tcPr>
          <w:p w14:paraId="37D0DDBD" w14:textId="77777777" w:rsidR="00FD16E4" w:rsidRPr="00B0658A" w:rsidRDefault="00FD16E4" w:rsidP="00FD16E4">
            <w:pPr>
              <w:spacing w:after="0" w:line="240" w:lineRule="auto"/>
              <w:rPr>
                <w:rFonts w:ascii="Times New Roman" w:hAnsi="Times New Roman"/>
                <w:sz w:val="18"/>
                <w:szCs w:val="18"/>
              </w:rPr>
            </w:pPr>
            <w:r w:rsidRPr="00B0658A">
              <w:rPr>
                <w:rFonts w:ascii="Times New Roman" w:hAnsi="Times New Roman"/>
                <w:sz w:val="18"/>
                <w:szCs w:val="18"/>
              </w:rPr>
              <w:t>Прикладное программное обеспечение/ Средства управления проектами</w:t>
            </w:r>
          </w:p>
        </w:tc>
        <w:tc>
          <w:tcPr>
            <w:tcW w:w="704" w:type="pct"/>
            <w:shd w:val="clear" w:color="000000" w:fill="FFFFFF"/>
          </w:tcPr>
          <w:p w14:paraId="62D77BCB" w14:textId="77777777" w:rsidR="00FD16E4" w:rsidRPr="00B0658A" w:rsidRDefault="00FD16E4" w:rsidP="00FD16E4">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03" w:type="pct"/>
            <w:shd w:val="clear" w:color="000000" w:fill="FFFFFF"/>
            <w:vAlign w:val="center"/>
          </w:tcPr>
          <w:p w14:paraId="7FB4F64E"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lang w:val="en-US"/>
              </w:rPr>
              <w:t>35%</w:t>
            </w:r>
          </w:p>
        </w:tc>
        <w:tc>
          <w:tcPr>
            <w:tcW w:w="303" w:type="pct"/>
            <w:shd w:val="clear" w:color="000000" w:fill="FFFFFF"/>
            <w:vAlign w:val="center"/>
          </w:tcPr>
          <w:p w14:paraId="5C5A0D30"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lang w:val="en-US"/>
              </w:rPr>
              <w:t>5</w:t>
            </w:r>
            <w:r w:rsidRPr="00B0658A">
              <w:rPr>
                <w:rFonts w:ascii="Times New Roman" w:hAnsi="Times New Roman"/>
                <w:sz w:val="18"/>
                <w:szCs w:val="18"/>
              </w:rPr>
              <w:t>0</w:t>
            </w:r>
            <w:r w:rsidRPr="00B0658A">
              <w:rPr>
                <w:rFonts w:ascii="Times New Roman" w:hAnsi="Times New Roman"/>
                <w:sz w:val="18"/>
                <w:szCs w:val="18"/>
                <w:lang w:val="en-US"/>
              </w:rPr>
              <w:t>%</w:t>
            </w:r>
          </w:p>
        </w:tc>
        <w:tc>
          <w:tcPr>
            <w:tcW w:w="303" w:type="pct"/>
            <w:shd w:val="clear" w:color="000000" w:fill="FFFFFF"/>
            <w:vAlign w:val="center"/>
          </w:tcPr>
          <w:p w14:paraId="05B8D836"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60</w:t>
            </w:r>
            <w:r w:rsidRPr="00B0658A">
              <w:rPr>
                <w:rFonts w:ascii="Times New Roman" w:hAnsi="Times New Roman"/>
                <w:sz w:val="18"/>
                <w:szCs w:val="18"/>
                <w:lang w:val="en-US"/>
              </w:rPr>
              <w:t>%</w:t>
            </w:r>
          </w:p>
        </w:tc>
        <w:tc>
          <w:tcPr>
            <w:tcW w:w="313" w:type="pct"/>
            <w:shd w:val="clear" w:color="000000" w:fill="FFFFFF"/>
            <w:vAlign w:val="center"/>
          </w:tcPr>
          <w:p w14:paraId="1F4B4711"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100%</w:t>
            </w:r>
          </w:p>
        </w:tc>
        <w:tc>
          <w:tcPr>
            <w:tcW w:w="303" w:type="pct"/>
            <w:shd w:val="clear" w:color="000000" w:fill="FFFFFF"/>
            <w:vAlign w:val="center"/>
          </w:tcPr>
          <w:p w14:paraId="25F21A8A"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7</w:t>
            </w:r>
            <w:r w:rsidRPr="00B0658A">
              <w:rPr>
                <w:rFonts w:ascii="Times New Roman" w:hAnsi="Times New Roman"/>
                <w:sz w:val="18"/>
                <w:szCs w:val="18"/>
                <w:lang w:val="en-US"/>
              </w:rPr>
              <w:t>0%</w:t>
            </w:r>
          </w:p>
        </w:tc>
        <w:tc>
          <w:tcPr>
            <w:tcW w:w="303" w:type="pct"/>
            <w:shd w:val="clear" w:color="000000" w:fill="FFFFFF"/>
            <w:vAlign w:val="center"/>
          </w:tcPr>
          <w:p w14:paraId="53F0DEEC"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8</w:t>
            </w:r>
            <w:r w:rsidRPr="00B0658A">
              <w:rPr>
                <w:rFonts w:ascii="Times New Roman" w:hAnsi="Times New Roman"/>
                <w:sz w:val="18"/>
                <w:szCs w:val="18"/>
                <w:lang w:val="en-US"/>
              </w:rPr>
              <w:t>0%</w:t>
            </w:r>
          </w:p>
        </w:tc>
        <w:tc>
          <w:tcPr>
            <w:tcW w:w="303" w:type="pct"/>
            <w:shd w:val="clear" w:color="000000" w:fill="FFFFFF"/>
            <w:vAlign w:val="center"/>
          </w:tcPr>
          <w:p w14:paraId="5AA4E5D0"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90%</w:t>
            </w:r>
          </w:p>
        </w:tc>
        <w:tc>
          <w:tcPr>
            <w:tcW w:w="272" w:type="pct"/>
            <w:shd w:val="clear" w:color="000000" w:fill="FFFFFF"/>
            <w:vAlign w:val="center"/>
          </w:tcPr>
          <w:p w14:paraId="031153DA"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100%</w:t>
            </w:r>
          </w:p>
        </w:tc>
        <w:tc>
          <w:tcPr>
            <w:tcW w:w="299" w:type="pct"/>
            <w:shd w:val="clear" w:color="000000" w:fill="FFFFFF"/>
            <w:vAlign w:val="center"/>
          </w:tcPr>
          <w:p w14:paraId="4ACA8C44"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100%</w:t>
            </w:r>
          </w:p>
        </w:tc>
        <w:tc>
          <w:tcPr>
            <w:tcW w:w="297" w:type="pct"/>
            <w:shd w:val="clear" w:color="000000" w:fill="FFFFFF"/>
            <w:vAlign w:val="center"/>
          </w:tcPr>
          <w:p w14:paraId="5773DDC7"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FD16E4" w:rsidRPr="00B0658A" w14:paraId="77CD8733" w14:textId="77777777" w:rsidTr="00FE71B1">
        <w:trPr>
          <w:trHeight w:val="20"/>
        </w:trPr>
        <w:tc>
          <w:tcPr>
            <w:tcW w:w="283" w:type="pct"/>
            <w:shd w:val="clear" w:color="000000" w:fill="FFFFFF"/>
            <w:vAlign w:val="center"/>
          </w:tcPr>
          <w:p w14:paraId="67024219" w14:textId="77777777" w:rsidR="00FD16E4" w:rsidRPr="00B0658A" w:rsidRDefault="00FD16E4" w:rsidP="00FE71B1">
            <w:pPr>
              <w:spacing w:after="0" w:line="240" w:lineRule="auto"/>
              <w:jc w:val="center"/>
              <w:rPr>
                <w:rFonts w:ascii="Times New Roman" w:hAnsi="Times New Roman"/>
                <w:sz w:val="18"/>
                <w:szCs w:val="18"/>
              </w:rPr>
            </w:pPr>
            <w:r w:rsidRPr="00B0658A">
              <w:rPr>
                <w:rFonts w:ascii="Times New Roman" w:hAnsi="Times New Roman"/>
                <w:sz w:val="18"/>
                <w:szCs w:val="18"/>
              </w:rPr>
              <w:lastRenderedPageBreak/>
              <w:t>5.6</w:t>
            </w:r>
          </w:p>
        </w:tc>
        <w:tc>
          <w:tcPr>
            <w:tcW w:w="1013" w:type="pct"/>
            <w:shd w:val="clear" w:color="auto" w:fill="auto"/>
            <w:vAlign w:val="center"/>
          </w:tcPr>
          <w:p w14:paraId="5CAEA906" w14:textId="77777777" w:rsidR="00FD16E4" w:rsidRPr="00B0658A" w:rsidRDefault="00FD16E4" w:rsidP="00FD16E4">
            <w:pPr>
              <w:spacing w:after="0" w:line="240" w:lineRule="auto"/>
              <w:rPr>
                <w:rFonts w:ascii="Times New Roman" w:hAnsi="Times New Roman"/>
                <w:sz w:val="18"/>
                <w:szCs w:val="18"/>
              </w:rPr>
            </w:pPr>
            <w:r w:rsidRPr="00B0658A">
              <w:rPr>
                <w:rFonts w:ascii="Times New Roman" w:hAnsi="Times New Roman"/>
                <w:sz w:val="18"/>
                <w:szCs w:val="18"/>
              </w:rPr>
              <w:t>Прикладное программное обеспечение/ Геоинформационные и навигационные средства (GIS)</w:t>
            </w:r>
          </w:p>
        </w:tc>
        <w:tc>
          <w:tcPr>
            <w:tcW w:w="704" w:type="pct"/>
            <w:shd w:val="clear" w:color="000000" w:fill="FFFFFF"/>
          </w:tcPr>
          <w:p w14:paraId="33973342" w14:textId="77777777" w:rsidR="00FD16E4" w:rsidRPr="00B0658A" w:rsidRDefault="00FD16E4" w:rsidP="00FD16E4">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03" w:type="pct"/>
            <w:shd w:val="clear" w:color="000000" w:fill="FFFFFF"/>
            <w:vAlign w:val="center"/>
          </w:tcPr>
          <w:p w14:paraId="4A9629EA"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lang w:val="en-US"/>
              </w:rPr>
              <w:t>35%</w:t>
            </w:r>
          </w:p>
        </w:tc>
        <w:tc>
          <w:tcPr>
            <w:tcW w:w="303" w:type="pct"/>
            <w:shd w:val="clear" w:color="000000" w:fill="FFFFFF"/>
            <w:vAlign w:val="center"/>
          </w:tcPr>
          <w:p w14:paraId="7DD2E606"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lang w:val="en-US"/>
              </w:rPr>
              <w:t>45%</w:t>
            </w:r>
          </w:p>
        </w:tc>
        <w:tc>
          <w:tcPr>
            <w:tcW w:w="303" w:type="pct"/>
            <w:shd w:val="clear" w:color="000000" w:fill="FFFFFF"/>
            <w:vAlign w:val="center"/>
          </w:tcPr>
          <w:p w14:paraId="1ECF633A"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lang w:val="en-US"/>
              </w:rPr>
              <w:t>55%</w:t>
            </w:r>
          </w:p>
        </w:tc>
        <w:tc>
          <w:tcPr>
            <w:tcW w:w="313" w:type="pct"/>
            <w:shd w:val="clear" w:color="000000" w:fill="FFFFFF"/>
            <w:vAlign w:val="center"/>
          </w:tcPr>
          <w:p w14:paraId="151E630B"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100%</w:t>
            </w:r>
          </w:p>
        </w:tc>
        <w:tc>
          <w:tcPr>
            <w:tcW w:w="303" w:type="pct"/>
            <w:shd w:val="clear" w:color="000000" w:fill="FFFFFF"/>
            <w:vAlign w:val="center"/>
          </w:tcPr>
          <w:p w14:paraId="49CA4E99"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65</w:t>
            </w:r>
            <w:r w:rsidRPr="00B0658A">
              <w:rPr>
                <w:rFonts w:ascii="Times New Roman" w:hAnsi="Times New Roman"/>
                <w:sz w:val="18"/>
                <w:szCs w:val="18"/>
                <w:lang w:val="en-US"/>
              </w:rPr>
              <w:t>%</w:t>
            </w:r>
          </w:p>
        </w:tc>
        <w:tc>
          <w:tcPr>
            <w:tcW w:w="303" w:type="pct"/>
            <w:shd w:val="clear" w:color="000000" w:fill="FFFFFF"/>
            <w:vAlign w:val="center"/>
          </w:tcPr>
          <w:p w14:paraId="713626DC"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75</w:t>
            </w:r>
            <w:r w:rsidRPr="00B0658A">
              <w:rPr>
                <w:rFonts w:ascii="Times New Roman" w:hAnsi="Times New Roman"/>
                <w:sz w:val="18"/>
                <w:szCs w:val="18"/>
                <w:lang w:val="en-US"/>
              </w:rPr>
              <w:t>%</w:t>
            </w:r>
          </w:p>
        </w:tc>
        <w:tc>
          <w:tcPr>
            <w:tcW w:w="303" w:type="pct"/>
            <w:shd w:val="clear" w:color="000000" w:fill="FFFFFF"/>
            <w:vAlign w:val="center"/>
          </w:tcPr>
          <w:p w14:paraId="457DB99C"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85%</w:t>
            </w:r>
          </w:p>
        </w:tc>
        <w:tc>
          <w:tcPr>
            <w:tcW w:w="272" w:type="pct"/>
            <w:shd w:val="clear" w:color="000000" w:fill="FFFFFF"/>
            <w:vAlign w:val="center"/>
          </w:tcPr>
          <w:p w14:paraId="034680E6"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95%</w:t>
            </w:r>
          </w:p>
        </w:tc>
        <w:tc>
          <w:tcPr>
            <w:tcW w:w="299" w:type="pct"/>
            <w:shd w:val="clear" w:color="000000" w:fill="FFFFFF"/>
            <w:vAlign w:val="center"/>
          </w:tcPr>
          <w:p w14:paraId="42CBA842"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100%</w:t>
            </w:r>
          </w:p>
        </w:tc>
        <w:tc>
          <w:tcPr>
            <w:tcW w:w="297" w:type="pct"/>
            <w:shd w:val="clear" w:color="000000" w:fill="FFFFFF"/>
            <w:vAlign w:val="center"/>
          </w:tcPr>
          <w:p w14:paraId="1A02C85E"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FD16E4" w:rsidRPr="00B0658A" w14:paraId="119263D4" w14:textId="77777777" w:rsidTr="00FE71B1">
        <w:trPr>
          <w:trHeight w:val="20"/>
        </w:trPr>
        <w:tc>
          <w:tcPr>
            <w:tcW w:w="283" w:type="pct"/>
            <w:shd w:val="clear" w:color="000000" w:fill="FFFFFF"/>
            <w:vAlign w:val="center"/>
          </w:tcPr>
          <w:p w14:paraId="22C8B38E" w14:textId="77777777" w:rsidR="00FD16E4" w:rsidRPr="00B0658A" w:rsidRDefault="00FD16E4" w:rsidP="00FE71B1">
            <w:pPr>
              <w:spacing w:after="0" w:line="240" w:lineRule="auto"/>
              <w:jc w:val="center"/>
              <w:rPr>
                <w:rFonts w:ascii="Times New Roman" w:hAnsi="Times New Roman"/>
                <w:sz w:val="18"/>
                <w:szCs w:val="18"/>
              </w:rPr>
            </w:pPr>
            <w:r w:rsidRPr="00B0658A">
              <w:rPr>
                <w:rFonts w:ascii="Times New Roman" w:hAnsi="Times New Roman"/>
                <w:sz w:val="18"/>
                <w:szCs w:val="18"/>
              </w:rPr>
              <w:t>5.7</w:t>
            </w:r>
          </w:p>
        </w:tc>
        <w:tc>
          <w:tcPr>
            <w:tcW w:w="1013" w:type="pct"/>
            <w:shd w:val="clear" w:color="auto" w:fill="auto"/>
            <w:vAlign w:val="center"/>
          </w:tcPr>
          <w:p w14:paraId="089D042A" w14:textId="77777777" w:rsidR="00FD16E4" w:rsidRPr="00B0658A" w:rsidRDefault="00FD16E4" w:rsidP="00FD16E4">
            <w:pPr>
              <w:spacing w:after="0" w:line="240" w:lineRule="auto"/>
              <w:rPr>
                <w:rFonts w:ascii="Times New Roman" w:hAnsi="Times New Roman"/>
                <w:sz w:val="18"/>
                <w:szCs w:val="18"/>
              </w:rPr>
            </w:pPr>
            <w:r w:rsidRPr="00B0658A">
              <w:rPr>
                <w:rFonts w:ascii="Times New Roman" w:hAnsi="Times New Roman"/>
                <w:sz w:val="18"/>
                <w:szCs w:val="18"/>
              </w:rPr>
              <w:t>Прикладное программное обеспечение/ Специализированное ПО органов исполнительной власти Российской Федерации, государственных корпораций, компаний и юридических лиц с преимущественным участием Российской Федерации для внутреннего использования</w:t>
            </w:r>
          </w:p>
        </w:tc>
        <w:tc>
          <w:tcPr>
            <w:tcW w:w="704" w:type="pct"/>
            <w:shd w:val="clear" w:color="000000" w:fill="FFFFFF"/>
          </w:tcPr>
          <w:p w14:paraId="0AB56DDE" w14:textId="77777777" w:rsidR="00FD16E4" w:rsidRPr="00B0658A" w:rsidRDefault="00FD16E4" w:rsidP="00FD16E4">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03" w:type="pct"/>
            <w:shd w:val="clear" w:color="000000" w:fill="FFFFFF"/>
            <w:vAlign w:val="center"/>
          </w:tcPr>
          <w:p w14:paraId="6D44905F"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4</w:t>
            </w:r>
            <w:r w:rsidRPr="00B0658A">
              <w:rPr>
                <w:rFonts w:ascii="Times New Roman" w:hAnsi="Times New Roman"/>
                <w:sz w:val="18"/>
                <w:szCs w:val="18"/>
                <w:lang w:val="en-US"/>
              </w:rPr>
              <w:t>0%</w:t>
            </w:r>
          </w:p>
        </w:tc>
        <w:tc>
          <w:tcPr>
            <w:tcW w:w="303" w:type="pct"/>
            <w:shd w:val="clear" w:color="000000" w:fill="FFFFFF"/>
            <w:vAlign w:val="center"/>
          </w:tcPr>
          <w:p w14:paraId="7A638B96"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5</w:t>
            </w:r>
            <w:r w:rsidRPr="00B0658A">
              <w:rPr>
                <w:rFonts w:ascii="Times New Roman" w:hAnsi="Times New Roman"/>
                <w:sz w:val="18"/>
                <w:szCs w:val="18"/>
                <w:lang w:val="en-US"/>
              </w:rPr>
              <w:t>0%</w:t>
            </w:r>
          </w:p>
        </w:tc>
        <w:tc>
          <w:tcPr>
            <w:tcW w:w="303" w:type="pct"/>
            <w:shd w:val="clear" w:color="000000" w:fill="FFFFFF"/>
            <w:vAlign w:val="center"/>
          </w:tcPr>
          <w:p w14:paraId="57EEFC17"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6</w:t>
            </w:r>
            <w:r w:rsidRPr="00B0658A">
              <w:rPr>
                <w:rFonts w:ascii="Times New Roman" w:hAnsi="Times New Roman"/>
                <w:sz w:val="18"/>
                <w:szCs w:val="18"/>
                <w:lang w:val="en-US"/>
              </w:rPr>
              <w:t>0%</w:t>
            </w:r>
          </w:p>
        </w:tc>
        <w:tc>
          <w:tcPr>
            <w:tcW w:w="313" w:type="pct"/>
            <w:shd w:val="clear" w:color="000000" w:fill="FFFFFF"/>
            <w:vAlign w:val="center"/>
          </w:tcPr>
          <w:p w14:paraId="0649EF47"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100%</w:t>
            </w:r>
          </w:p>
        </w:tc>
        <w:tc>
          <w:tcPr>
            <w:tcW w:w="303" w:type="pct"/>
            <w:shd w:val="clear" w:color="000000" w:fill="FFFFFF"/>
            <w:vAlign w:val="center"/>
          </w:tcPr>
          <w:p w14:paraId="5D6D2001"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70%</w:t>
            </w:r>
          </w:p>
        </w:tc>
        <w:tc>
          <w:tcPr>
            <w:tcW w:w="303" w:type="pct"/>
            <w:shd w:val="clear" w:color="000000" w:fill="FFFFFF"/>
            <w:vAlign w:val="center"/>
          </w:tcPr>
          <w:p w14:paraId="3E719C75"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80%</w:t>
            </w:r>
          </w:p>
        </w:tc>
        <w:tc>
          <w:tcPr>
            <w:tcW w:w="303" w:type="pct"/>
            <w:shd w:val="clear" w:color="000000" w:fill="FFFFFF"/>
            <w:vAlign w:val="center"/>
          </w:tcPr>
          <w:p w14:paraId="278C0308"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9</w:t>
            </w:r>
            <w:r w:rsidRPr="00B0658A">
              <w:rPr>
                <w:rFonts w:ascii="Times New Roman" w:hAnsi="Times New Roman"/>
                <w:sz w:val="18"/>
                <w:szCs w:val="18"/>
                <w:lang w:val="en-US"/>
              </w:rPr>
              <w:t>0%</w:t>
            </w:r>
          </w:p>
        </w:tc>
        <w:tc>
          <w:tcPr>
            <w:tcW w:w="272" w:type="pct"/>
            <w:shd w:val="clear" w:color="000000" w:fill="FFFFFF"/>
            <w:vAlign w:val="center"/>
          </w:tcPr>
          <w:p w14:paraId="415D0B2B"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299" w:type="pct"/>
            <w:shd w:val="clear" w:color="000000" w:fill="FFFFFF"/>
            <w:vAlign w:val="center"/>
          </w:tcPr>
          <w:p w14:paraId="2982527B"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297" w:type="pct"/>
            <w:shd w:val="clear" w:color="000000" w:fill="FFFFFF"/>
            <w:vAlign w:val="center"/>
          </w:tcPr>
          <w:p w14:paraId="07A2F4B4"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FD16E4" w:rsidRPr="00B0658A" w14:paraId="0435512B" w14:textId="77777777" w:rsidTr="00FE71B1">
        <w:trPr>
          <w:trHeight w:val="20"/>
        </w:trPr>
        <w:tc>
          <w:tcPr>
            <w:tcW w:w="283" w:type="pct"/>
            <w:shd w:val="clear" w:color="000000" w:fill="FFFFFF"/>
            <w:vAlign w:val="center"/>
          </w:tcPr>
          <w:p w14:paraId="380C659A" w14:textId="77777777" w:rsidR="00FD16E4" w:rsidRPr="00B0658A" w:rsidRDefault="00FD16E4" w:rsidP="00FE71B1">
            <w:pPr>
              <w:spacing w:after="0" w:line="240" w:lineRule="auto"/>
              <w:jc w:val="center"/>
              <w:rPr>
                <w:rFonts w:ascii="Times New Roman" w:hAnsi="Times New Roman"/>
                <w:sz w:val="18"/>
                <w:szCs w:val="18"/>
              </w:rPr>
            </w:pPr>
            <w:r w:rsidRPr="00B0658A">
              <w:rPr>
                <w:rFonts w:ascii="Times New Roman" w:hAnsi="Times New Roman"/>
                <w:sz w:val="18"/>
                <w:szCs w:val="18"/>
              </w:rPr>
              <w:t>5.8</w:t>
            </w:r>
          </w:p>
        </w:tc>
        <w:tc>
          <w:tcPr>
            <w:tcW w:w="1013" w:type="pct"/>
            <w:shd w:val="clear" w:color="auto" w:fill="auto"/>
            <w:vAlign w:val="center"/>
          </w:tcPr>
          <w:p w14:paraId="4EA29784" w14:textId="77777777" w:rsidR="00FD16E4" w:rsidRPr="00B0658A" w:rsidRDefault="00FD16E4" w:rsidP="00FD16E4">
            <w:pPr>
              <w:spacing w:after="0" w:line="240" w:lineRule="auto"/>
              <w:rPr>
                <w:rFonts w:ascii="Times New Roman" w:hAnsi="Times New Roman"/>
                <w:sz w:val="18"/>
                <w:szCs w:val="18"/>
              </w:rPr>
            </w:pPr>
            <w:r w:rsidRPr="00B0658A">
              <w:rPr>
                <w:rFonts w:ascii="Times New Roman" w:hAnsi="Times New Roman"/>
                <w:sz w:val="18"/>
                <w:szCs w:val="18"/>
              </w:rPr>
              <w:t>Прикладное программное обеспечение/ Средства управления контактными центрами</w:t>
            </w:r>
          </w:p>
        </w:tc>
        <w:tc>
          <w:tcPr>
            <w:tcW w:w="704" w:type="pct"/>
            <w:shd w:val="clear" w:color="000000" w:fill="FFFFFF"/>
          </w:tcPr>
          <w:p w14:paraId="4E9B833C" w14:textId="77777777" w:rsidR="00FD16E4" w:rsidRPr="00B0658A" w:rsidRDefault="00FD16E4" w:rsidP="00FD16E4">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03" w:type="pct"/>
            <w:shd w:val="clear" w:color="000000" w:fill="FFFFFF"/>
            <w:vAlign w:val="center"/>
          </w:tcPr>
          <w:p w14:paraId="3F067E4C"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lang w:val="en-US"/>
              </w:rPr>
              <w:t>35%</w:t>
            </w:r>
          </w:p>
        </w:tc>
        <w:tc>
          <w:tcPr>
            <w:tcW w:w="303" w:type="pct"/>
            <w:shd w:val="clear" w:color="000000" w:fill="FFFFFF"/>
            <w:vAlign w:val="center"/>
          </w:tcPr>
          <w:p w14:paraId="7727F9DB"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lang w:val="en-US"/>
              </w:rPr>
              <w:t>45%</w:t>
            </w:r>
          </w:p>
        </w:tc>
        <w:tc>
          <w:tcPr>
            <w:tcW w:w="303" w:type="pct"/>
            <w:shd w:val="clear" w:color="000000" w:fill="FFFFFF"/>
            <w:vAlign w:val="center"/>
          </w:tcPr>
          <w:p w14:paraId="53A93501"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lang w:val="en-US"/>
              </w:rPr>
              <w:t>55%</w:t>
            </w:r>
          </w:p>
        </w:tc>
        <w:tc>
          <w:tcPr>
            <w:tcW w:w="313" w:type="pct"/>
            <w:shd w:val="clear" w:color="000000" w:fill="FFFFFF"/>
            <w:vAlign w:val="center"/>
          </w:tcPr>
          <w:p w14:paraId="1D633750"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100%</w:t>
            </w:r>
          </w:p>
        </w:tc>
        <w:tc>
          <w:tcPr>
            <w:tcW w:w="303" w:type="pct"/>
            <w:shd w:val="clear" w:color="000000" w:fill="FFFFFF"/>
            <w:vAlign w:val="center"/>
          </w:tcPr>
          <w:p w14:paraId="024DCAA3"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65</w:t>
            </w:r>
            <w:r w:rsidRPr="00B0658A">
              <w:rPr>
                <w:rFonts w:ascii="Times New Roman" w:hAnsi="Times New Roman"/>
                <w:sz w:val="18"/>
                <w:szCs w:val="18"/>
                <w:lang w:val="en-US"/>
              </w:rPr>
              <w:t>%</w:t>
            </w:r>
          </w:p>
        </w:tc>
        <w:tc>
          <w:tcPr>
            <w:tcW w:w="303" w:type="pct"/>
            <w:shd w:val="clear" w:color="000000" w:fill="FFFFFF"/>
            <w:vAlign w:val="center"/>
          </w:tcPr>
          <w:p w14:paraId="7D638922"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75</w:t>
            </w:r>
            <w:r w:rsidRPr="00B0658A">
              <w:rPr>
                <w:rFonts w:ascii="Times New Roman" w:hAnsi="Times New Roman"/>
                <w:sz w:val="18"/>
                <w:szCs w:val="18"/>
                <w:lang w:val="en-US"/>
              </w:rPr>
              <w:t>%</w:t>
            </w:r>
          </w:p>
        </w:tc>
        <w:tc>
          <w:tcPr>
            <w:tcW w:w="303" w:type="pct"/>
            <w:shd w:val="clear" w:color="000000" w:fill="FFFFFF"/>
            <w:vAlign w:val="center"/>
          </w:tcPr>
          <w:p w14:paraId="6E90C6DA"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85%</w:t>
            </w:r>
          </w:p>
        </w:tc>
        <w:tc>
          <w:tcPr>
            <w:tcW w:w="272" w:type="pct"/>
            <w:shd w:val="clear" w:color="000000" w:fill="FFFFFF"/>
            <w:vAlign w:val="center"/>
          </w:tcPr>
          <w:p w14:paraId="43298086"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95%</w:t>
            </w:r>
          </w:p>
        </w:tc>
        <w:tc>
          <w:tcPr>
            <w:tcW w:w="299" w:type="pct"/>
            <w:shd w:val="clear" w:color="000000" w:fill="FFFFFF"/>
            <w:vAlign w:val="center"/>
          </w:tcPr>
          <w:p w14:paraId="2A345ABD"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100%</w:t>
            </w:r>
          </w:p>
        </w:tc>
        <w:tc>
          <w:tcPr>
            <w:tcW w:w="297" w:type="pct"/>
            <w:shd w:val="clear" w:color="000000" w:fill="FFFFFF"/>
            <w:vAlign w:val="center"/>
          </w:tcPr>
          <w:p w14:paraId="3589D822"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FD16E4" w:rsidRPr="00B0658A" w14:paraId="1886579A" w14:textId="77777777" w:rsidTr="00FE71B1">
        <w:trPr>
          <w:trHeight w:val="20"/>
        </w:trPr>
        <w:tc>
          <w:tcPr>
            <w:tcW w:w="283" w:type="pct"/>
            <w:shd w:val="clear" w:color="000000" w:fill="FFFFFF"/>
            <w:vAlign w:val="center"/>
          </w:tcPr>
          <w:p w14:paraId="0C7796AC" w14:textId="77777777" w:rsidR="00FD16E4" w:rsidRPr="00B0658A" w:rsidRDefault="00FD16E4" w:rsidP="00FE71B1">
            <w:pPr>
              <w:spacing w:after="0" w:line="240" w:lineRule="auto"/>
              <w:jc w:val="center"/>
              <w:rPr>
                <w:rFonts w:ascii="Times New Roman" w:hAnsi="Times New Roman"/>
                <w:sz w:val="18"/>
                <w:szCs w:val="18"/>
              </w:rPr>
            </w:pPr>
            <w:r w:rsidRPr="00B0658A">
              <w:rPr>
                <w:rFonts w:ascii="Times New Roman" w:hAnsi="Times New Roman"/>
                <w:sz w:val="18"/>
                <w:szCs w:val="18"/>
              </w:rPr>
              <w:t>5.9</w:t>
            </w:r>
          </w:p>
        </w:tc>
        <w:tc>
          <w:tcPr>
            <w:tcW w:w="1013" w:type="pct"/>
            <w:shd w:val="clear" w:color="auto" w:fill="auto"/>
            <w:vAlign w:val="center"/>
          </w:tcPr>
          <w:p w14:paraId="62DBF2DD" w14:textId="77777777" w:rsidR="00FD16E4" w:rsidRPr="00B0658A" w:rsidRDefault="00FD16E4" w:rsidP="00FD16E4">
            <w:pPr>
              <w:spacing w:after="0" w:line="240" w:lineRule="auto"/>
              <w:rPr>
                <w:rFonts w:ascii="Times New Roman" w:hAnsi="Times New Roman"/>
                <w:sz w:val="18"/>
                <w:szCs w:val="18"/>
              </w:rPr>
            </w:pPr>
            <w:r w:rsidRPr="00B0658A">
              <w:rPr>
                <w:rFonts w:ascii="Times New Roman" w:hAnsi="Times New Roman"/>
                <w:sz w:val="18"/>
                <w:szCs w:val="18"/>
              </w:rPr>
              <w:t>Прикладное программное обеспечение/ Средства управления диалоговыми роботами (чат-боты и голосовые роботы)</w:t>
            </w:r>
          </w:p>
        </w:tc>
        <w:tc>
          <w:tcPr>
            <w:tcW w:w="704" w:type="pct"/>
            <w:shd w:val="clear" w:color="000000" w:fill="FFFFFF"/>
          </w:tcPr>
          <w:p w14:paraId="2B00F2D6" w14:textId="77777777" w:rsidR="00FD16E4" w:rsidRPr="00B0658A" w:rsidRDefault="00FD16E4" w:rsidP="00FD16E4">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03" w:type="pct"/>
            <w:shd w:val="clear" w:color="000000" w:fill="FFFFFF"/>
            <w:vAlign w:val="center"/>
          </w:tcPr>
          <w:p w14:paraId="5E70BA75"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35%</w:t>
            </w:r>
          </w:p>
        </w:tc>
        <w:tc>
          <w:tcPr>
            <w:tcW w:w="303" w:type="pct"/>
            <w:shd w:val="clear" w:color="000000" w:fill="FFFFFF"/>
            <w:vAlign w:val="center"/>
          </w:tcPr>
          <w:p w14:paraId="25ADF59E"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45%</w:t>
            </w:r>
          </w:p>
        </w:tc>
        <w:tc>
          <w:tcPr>
            <w:tcW w:w="303" w:type="pct"/>
            <w:shd w:val="clear" w:color="000000" w:fill="FFFFFF"/>
            <w:vAlign w:val="center"/>
          </w:tcPr>
          <w:p w14:paraId="1DB48372"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lang w:val="en-US"/>
              </w:rPr>
              <w:t>50%</w:t>
            </w:r>
          </w:p>
        </w:tc>
        <w:tc>
          <w:tcPr>
            <w:tcW w:w="313" w:type="pct"/>
            <w:shd w:val="clear" w:color="000000" w:fill="FFFFFF"/>
            <w:vAlign w:val="center"/>
          </w:tcPr>
          <w:p w14:paraId="3123661C" w14:textId="77777777" w:rsidR="00FD16E4" w:rsidRPr="00B0658A" w:rsidRDefault="00FD16E4" w:rsidP="00FD16E4">
            <w:pPr>
              <w:spacing w:after="0" w:line="240" w:lineRule="auto"/>
              <w:jc w:val="center"/>
              <w:rPr>
                <w:rFonts w:ascii="Times New Roman" w:hAnsi="Times New Roman"/>
                <w:sz w:val="18"/>
                <w:szCs w:val="18"/>
                <w:lang w:val="en-US"/>
              </w:rPr>
            </w:pPr>
            <w:r w:rsidRPr="00B0658A">
              <w:rPr>
                <w:rFonts w:ascii="Times New Roman" w:hAnsi="Times New Roman"/>
                <w:sz w:val="18"/>
                <w:szCs w:val="18"/>
              </w:rPr>
              <w:t>100%</w:t>
            </w:r>
          </w:p>
        </w:tc>
        <w:tc>
          <w:tcPr>
            <w:tcW w:w="303" w:type="pct"/>
            <w:shd w:val="clear" w:color="000000" w:fill="FFFFFF"/>
            <w:vAlign w:val="center"/>
          </w:tcPr>
          <w:p w14:paraId="361114C4"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lang w:val="en-US"/>
              </w:rPr>
              <w:t>60%</w:t>
            </w:r>
          </w:p>
        </w:tc>
        <w:tc>
          <w:tcPr>
            <w:tcW w:w="303" w:type="pct"/>
            <w:shd w:val="clear" w:color="000000" w:fill="FFFFFF"/>
            <w:vAlign w:val="center"/>
          </w:tcPr>
          <w:p w14:paraId="48567FD0"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lang w:val="en-US"/>
              </w:rPr>
              <w:t>70%</w:t>
            </w:r>
          </w:p>
        </w:tc>
        <w:tc>
          <w:tcPr>
            <w:tcW w:w="303" w:type="pct"/>
            <w:shd w:val="clear" w:color="000000" w:fill="FFFFFF"/>
            <w:vAlign w:val="center"/>
          </w:tcPr>
          <w:p w14:paraId="39723BE2"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lang w:val="en-US"/>
              </w:rPr>
              <w:t>80%</w:t>
            </w:r>
          </w:p>
        </w:tc>
        <w:tc>
          <w:tcPr>
            <w:tcW w:w="272" w:type="pct"/>
            <w:shd w:val="clear" w:color="000000" w:fill="FFFFFF"/>
            <w:vAlign w:val="center"/>
          </w:tcPr>
          <w:p w14:paraId="6E702776"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lang w:val="en-US"/>
              </w:rPr>
              <w:t>90%</w:t>
            </w:r>
          </w:p>
        </w:tc>
        <w:tc>
          <w:tcPr>
            <w:tcW w:w="299" w:type="pct"/>
            <w:shd w:val="clear" w:color="000000" w:fill="FFFFFF"/>
            <w:vAlign w:val="center"/>
          </w:tcPr>
          <w:p w14:paraId="5FA6DC51"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100%</w:t>
            </w:r>
          </w:p>
        </w:tc>
        <w:tc>
          <w:tcPr>
            <w:tcW w:w="297" w:type="pct"/>
            <w:shd w:val="clear" w:color="000000" w:fill="FFFFFF"/>
            <w:vAlign w:val="center"/>
          </w:tcPr>
          <w:p w14:paraId="1F5EF269"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FD16E4" w:rsidRPr="00B0658A" w14:paraId="3272A247" w14:textId="77777777" w:rsidTr="00FE71B1">
        <w:trPr>
          <w:trHeight w:val="20"/>
        </w:trPr>
        <w:tc>
          <w:tcPr>
            <w:tcW w:w="283" w:type="pct"/>
            <w:shd w:val="clear" w:color="000000" w:fill="FFFFFF"/>
            <w:vAlign w:val="center"/>
          </w:tcPr>
          <w:p w14:paraId="74DB5DEC" w14:textId="77777777" w:rsidR="00FD16E4" w:rsidRPr="00B0658A" w:rsidRDefault="00FD16E4" w:rsidP="00FE71B1">
            <w:pPr>
              <w:spacing w:after="0" w:line="240" w:lineRule="auto"/>
              <w:jc w:val="center"/>
              <w:rPr>
                <w:rFonts w:ascii="Times New Roman" w:hAnsi="Times New Roman"/>
                <w:sz w:val="18"/>
                <w:szCs w:val="18"/>
              </w:rPr>
            </w:pPr>
            <w:r w:rsidRPr="00B0658A">
              <w:rPr>
                <w:rFonts w:ascii="Times New Roman" w:hAnsi="Times New Roman"/>
                <w:sz w:val="18"/>
                <w:szCs w:val="18"/>
              </w:rPr>
              <w:t>5.10</w:t>
            </w:r>
          </w:p>
        </w:tc>
        <w:tc>
          <w:tcPr>
            <w:tcW w:w="1013" w:type="pct"/>
            <w:shd w:val="clear" w:color="auto" w:fill="auto"/>
            <w:vAlign w:val="center"/>
          </w:tcPr>
          <w:p w14:paraId="1EAF22AB" w14:textId="77777777" w:rsidR="00FD16E4" w:rsidRPr="00B0658A" w:rsidRDefault="00FD16E4" w:rsidP="00FD16E4">
            <w:pPr>
              <w:spacing w:after="0" w:line="240" w:lineRule="auto"/>
              <w:rPr>
                <w:rFonts w:ascii="Times New Roman" w:hAnsi="Times New Roman"/>
                <w:sz w:val="18"/>
                <w:szCs w:val="18"/>
              </w:rPr>
            </w:pPr>
            <w:r w:rsidRPr="00B0658A">
              <w:rPr>
                <w:rFonts w:ascii="Times New Roman" w:hAnsi="Times New Roman"/>
                <w:sz w:val="18"/>
                <w:szCs w:val="18"/>
              </w:rPr>
              <w:t>Прикладное программное обеспечение/ Базы знаний</w:t>
            </w:r>
          </w:p>
        </w:tc>
        <w:tc>
          <w:tcPr>
            <w:tcW w:w="704" w:type="pct"/>
            <w:shd w:val="clear" w:color="000000" w:fill="FFFFFF"/>
          </w:tcPr>
          <w:p w14:paraId="3FD1BE62" w14:textId="77777777" w:rsidR="00FD16E4" w:rsidRPr="00B0658A" w:rsidRDefault="00FD16E4" w:rsidP="00FD16E4">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03" w:type="pct"/>
            <w:shd w:val="clear" w:color="000000" w:fill="FFFFFF"/>
            <w:vAlign w:val="center"/>
          </w:tcPr>
          <w:p w14:paraId="6C817B48"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35%</w:t>
            </w:r>
          </w:p>
        </w:tc>
        <w:tc>
          <w:tcPr>
            <w:tcW w:w="303" w:type="pct"/>
            <w:shd w:val="clear" w:color="000000" w:fill="FFFFFF"/>
            <w:vAlign w:val="center"/>
          </w:tcPr>
          <w:p w14:paraId="3E637683"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45%</w:t>
            </w:r>
          </w:p>
        </w:tc>
        <w:tc>
          <w:tcPr>
            <w:tcW w:w="303" w:type="pct"/>
            <w:shd w:val="clear" w:color="000000" w:fill="FFFFFF"/>
            <w:vAlign w:val="center"/>
          </w:tcPr>
          <w:p w14:paraId="08C65516"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lang w:val="en-US"/>
              </w:rPr>
              <w:t>50%</w:t>
            </w:r>
          </w:p>
        </w:tc>
        <w:tc>
          <w:tcPr>
            <w:tcW w:w="313" w:type="pct"/>
            <w:shd w:val="clear" w:color="000000" w:fill="FFFFFF"/>
            <w:vAlign w:val="center"/>
          </w:tcPr>
          <w:p w14:paraId="3BBAEA22" w14:textId="77777777" w:rsidR="00FD16E4" w:rsidRPr="00B0658A" w:rsidRDefault="00FD16E4" w:rsidP="00FD16E4">
            <w:pPr>
              <w:spacing w:after="0" w:line="240" w:lineRule="auto"/>
              <w:jc w:val="center"/>
              <w:rPr>
                <w:rFonts w:ascii="Times New Roman" w:hAnsi="Times New Roman"/>
                <w:sz w:val="18"/>
                <w:szCs w:val="18"/>
                <w:lang w:val="en-US"/>
              </w:rPr>
            </w:pPr>
            <w:r w:rsidRPr="00B0658A">
              <w:rPr>
                <w:rFonts w:ascii="Times New Roman" w:hAnsi="Times New Roman"/>
                <w:sz w:val="18"/>
                <w:szCs w:val="18"/>
              </w:rPr>
              <w:t>100%</w:t>
            </w:r>
          </w:p>
        </w:tc>
        <w:tc>
          <w:tcPr>
            <w:tcW w:w="303" w:type="pct"/>
            <w:shd w:val="clear" w:color="000000" w:fill="FFFFFF"/>
            <w:vAlign w:val="center"/>
          </w:tcPr>
          <w:p w14:paraId="0CB4FC96"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lang w:val="en-US"/>
              </w:rPr>
              <w:t>60%</w:t>
            </w:r>
          </w:p>
        </w:tc>
        <w:tc>
          <w:tcPr>
            <w:tcW w:w="303" w:type="pct"/>
            <w:shd w:val="clear" w:color="000000" w:fill="FFFFFF"/>
            <w:vAlign w:val="center"/>
          </w:tcPr>
          <w:p w14:paraId="164ABEFE"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lang w:val="en-US"/>
              </w:rPr>
              <w:t>70%</w:t>
            </w:r>
          </w:p>
        </w:tc>
        <w:tc>
          <w:tcPr>
            <w:tcW w:w="303" w:type="pct"/>
            <w:shd w:val="clear" w:color="000000" w:fill="FFFFFF"/>
            <w:vAlign w:val="center"/>
          </w:tcPr>
          <w:p w14:paraId="4C8DC81A"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lang w:val="en-US"/>
              </w:rPr>
              <w:t>80%</w:t>
            </w:r>
          </w:p>
        </w:tc>
        <w:tc>
          <w:tcPr>
            <w:tcW w:w="272" w:type="pct"/>
            <w:shd w:val="clear" w:color="000000" w:fill="FFFFFF"/>
            <w:vAlign w:val="center"/>
          </w:tcPr>
          <w:p w14:paraId="76425F44"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lang w:val="en-US"/>
              </w:rPr>
              <w:t>90%</w:t>
            </w:r>
          </w:p>
        </w:tc>
        <w:tc>
          <w:tcPr>
            <w:tcW w:w="299" w:type="pct"/>
            <w:shd w:val="clear" w:color="000000" w:fill="FFFFFF"/>
            <w:vAlign w:val="center"/>
          </w:tcPr>
          <w:p w14:paraId="6B4D9B07"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100%</w:t>
            </w:r>
          </w:p>
        </w:tc>
        <w:tc>
          <w:tcPr>
            <w:tcW w:w="297" w:type="pct"/>
            <w:shd w:val="clear" w:color="000000" w:fill="FFFFFF"/>
            <w:vAlign w:val="center"/>
          </w:tcPr>
          <w:p w14:paraId="1B4147F7"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FD16E4" w:rsidRPr="00B0658A" w14:paraId="526B9C40" w14:textId="77777777" w:rsidTr="00FE71B1">
        <w:trPr>
          <w:trHeight w:val="20"/>
        </w:trPr>
        <w:tc>
          <w:tcPr>
            <w:tcW w:w="283" w:type="pct"/>
            <w:shd w:val="clear" w:color="000000" w:fill="FFFFFF"/>
            <w:vAlign w:val="center"/>
          </w:tcPr>
          <w:p w14:paraId="72C84592" w14:textId="77777777" w:rsidR="00FD16E4" w:rsidRPr="00B0658A" w:rsidRDefault="00FD16E4" w:rsidP="00FE71B1">
            <w:pPr>
              <w:spacing w:after="0" w:line="240" w:lineRule="auto"/>
              <w:jc w:val="center"/>
              <w:rPr>
                <w:rFonts w:ascii="Times New Roman" w:hAnsi="Times New Roman"/>
                <w:sz w:val="18"/>
                <w:szCs w:val="18"/>
              </w:rPr>
            </w:pPr>
            <w:r w:rsidRPr="00B0658A">
              <w:rPr>
                <w:rFonts w:ascii="Times New Roman" w:hAnsi="Times New Roman"/>
                <w:sz w:val="18"/>
                <w:szCs w:val="18"/>
              </w:rPr>
              <w:t>5.11</w:t>
            </w:r>
          </w:p>
        </w:tc>
        <w:tc>
          <w:tcPr>
            <w:tcW w:w="1013" w:type="pct"/>
            <w:shd w:val="clear" w:color="auto" w:fill="auto"/>
            <w:vAlign w:val="center"/>
          </w:tcPr>
          <w:p w14:paraId="0821F2B2" w14:textId="77777777" w:rsidR="00FD16E4" w:rsidRPr="00B0658A" w:rsidRDefault="00FD16E4" w:rsidP="00FD16E4">
            <w:pPr>
              <w:spacing w:after="0" w:line="240" w:lineRule="auto"/>
              <w:rPr>
                <w:rFonts w:ascii="Times New Roman" w:hAnsi="Times New Roman"/>
                <w:sz w:val="18"/>
                <w:szCs w:val="18"/>
              </w:rPr>
            </w:pPr>
            <w:r w:rsidRPr="00B0658A">
              <w:rPr>
                <w:rFonts w:ascii="Times New Roman" w:hAnsi="Times New Roman"/>
                <w:sz w:val="18"/>
                <w:szCs w:val="18"/>
              </w:rPr>
              <w:t>Прикладное программное обеспечение/ Интеллектуальные средства управления экспертной деятельностью</w:t>
            </w:r>
          </w:p>
        </w:tc>
        <w:tc>
          <w:tcPr>
            <w:tcW w:w="704" w:type="pct"/>
            <w:shd w:val="clear" w:color="000000" w:fill="FFFFFF"/>
          </w:tcPr>
          <w:p w14:paraId="1968457F" w14:textId="77777777" w:rsidR="00FD16E4" w:rsidRPr="00B0658A" w:rsidRDefault="00FD16E4" w:rsidP="00FD16E4">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03" w:type="pct"/>
            <w:shd w:val="clear" w:color="000000" w:fill="FFFFFF"/>
            <w:vAlign w:val="center"/>
          </w:tcPr>
          <w:p w14:paraId="503EE0C4"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35%</w:t>
            </w:r>
          </w:p>
        </w:tc>
        <w:tc>
          <w:tcPr>
            <w:tcW w:w="303" w:type="pct"/>
            <w:shd w:val="clear" w:color="000000" w:fill="FFFFFF"/>
            <w:vAlign w:val="center"/>
          </w:tcPr>
          <w:p w14:paraId="1741B1EC"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45%</w:t>
            </w:r>
          </w:p>
        </w:tc>
        <w:tc>
          <w:tcPr>
            <w:tcW w:w="303" w:type="pct"/>
            <w:shd w:val="clear" w:color="000000" w:fill="FFFFFF"/>
            <w:vAlign w:val="center"/>
          </w:tcPr>
          <w:p w14:paraId="4E5361BB"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lang w:val="en-US"/>
              </w:rPr>
              <w:t>50%</w:t>
            </w:r>
          </w:p>
        </w:tc>
        <w:tc>
          <w:tcPr>
            <w:tcW w:w="313" w:type="pct"/>
            <w:shd w:val="clear" w:color="000000" w:fill="FFFFFF"/>
            <w:vAlign w:val="center"/>
          </w:tcPr>
          <w:p w14:paraId="6FD92935" w14:textId="77777777" w:rsidR="00FD16E4" w:rsidRPr="00B0658A" w:rsidRDefault="00FD16E4" w:rsidP="00FD16E4">
            <w:pPr>
              <w:spacing w:after="0" w:line="240" w:lineRule="auto"/>
              <w:jc w:val="center"/>
              <w:rPr>
                <w:rFonts w:ascii="Times New Roman" w:hAnsi="Times New Roman"/>
                <w:sz w:val="18"/>
                <w:szCs w:val="18"/>
                <w:lang w:val="en-US"/>
              </w:rPr>
            </w:pPr>
            <w:r w:rsidRPr="00B0658A">
              <w:rPr>
                <w:rFonts w:ascii="Times New Roman" w:hAnsi="Times New Roman"/>
                <w:sz w:val="18"/>
                <w:szCs w:val="18"/>
              </w:rPr>
              <w:t>100%</w:t>
            </w:r>
          </w:p>
        </w:tc>
        <w:tc>
          <w:tcPr>
            <w:tcW w:w="303" w:type="pct"/>
            <w:shd w:val="clear" w:color="000000" w:fill="FFFFFF"/>
            <w:vAlign w:val="center"/>
          </w:tcPr>
          <w:p w14:paraId="790ED421"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lang w:val="en-US"/>
              </w:rPr>
              <w:t>60%</w:t>
            </w:r>
          </w:p>
        </w:tc>
        <w:tc>
          <w:tcPr>
            <w:tcW w:w="303" w:type="pct"/>
            <w:shd w:val="clear" w:color="000000" w:fill="FFFFFF"/>
            <w:vAlign w:val="center"/>
          </w:tcPr>
          <w:p w14:paraId="48ECFC2F"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lang w:val="en-US"/>
              </w:rPr>
              <w:t>70%</w:t>
            </w:r>
          </w:p>
        </w:tc>
        <w:tc>
          <w:tcPr>
            <w:tcW w:w="303" w:type="pct"/>
            <w:shd w:val="clear" w:color="000000" w:fill="FFFFFF"/>
            <w:vAlign w:val="center"/>
          </w:tcPr>
          <w:p w14:paraId="46937D34"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lang w:val="en-US"/>
              </w:rPr>
              <w:t>80%</w:t>
            </w:r>
          </w:p>
        </w:tc>
        <w:tc>
          <w:tcPr>
            <w:tcW w:w="272" w:type="pct"/>
            <w:shd w:val="clear" w:color="000000" w:fill="FFFFFF"/>
            <w:vAlign w:val="center"/>
          </w:tcPr>
          <w:p w14:paraId="2336FD79"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lang w:val="en-US"/>
              </w:rPr>
              <w:t>90%</w:t>
            </w:r>
          </w:p>
        </w:tc>
        <w:tc>
          <w:tcPr>
            <w:tcW w:w="299" w:type="pct"/>
            <w:shd w:val="clear" w:color="000000" w:fill="FFFFFF"/>
            <w:vAlign w:val="center"/>
          </w:tcPr>
          <w:p w14:paraId="0FA6CCAC"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100%</w:t>
            </w:r>
          </w:p>
        </w:tc>
        <w:tc>
          <w:tcPr>
            <w:tcW w:w="297" w:type="pct"/>
            <w:shd w:val="clear" w:color="000000" w:fill="FFFFFF"/>
            <w:vAlign w:val="center"/>
          </w:tcPr>
          <w:p w14:paraId="0D06A16D"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FD16E4" w:rsidRPr="00B0658A" w14:paraId="78A26EA1" w14:textId="77777777" w:rsidTr="00FE71B1">
        <w:trPr>
          <w:trHeight w:val="20"/>
        </w:trPr>
        <w:tc>
          <w:tcPr>
            <w:tcW w:w="283" w:type="pct"/>
            <w:shd w:val="clear" w:color="000000" w:fill="FFFFFF"/>
            <w:vAlign w:val="center"/>
          </w:tcPr>
          <w:p w14:paraId="0556324C" w14:textId="77777777" w:rsidR="00FD16E4" w:rsidRPr="00B0658A" w:rsidRDefault="00FD16E4" w:rsidP="00FE71B1">
            <w:pPr>
              <w:spacing w:after="0" w:line="240" w:lineRule="auto"/>
              <w:jc w:val="center"/>
              <w:rPr>
                <w:rFonts w:ascii="Times New Roman" w:hAnsi="Times New Roman"/>
                <w:sz w:val="18"/>
                <w:szCs w:val="18"/>
              </w:rPr>
            </w:pPr>
            <w:r w:rsidRPr="00B0658A">
              <w:rPr>
                <w:rFonts w:ascii="Times New Roman" w:hAnsi="Times New Roman"/>
                <w:sz w:val="18"/>
                <w:szCs w:val="18"/>
              </w:rPr>
              <w:t>5.12</w:t>
            </w:r>
          </w:p>
        </w:tc>
        <w:tc>
          <w:tcPr>
            <w:tcW w:w="1013" w:type="pct"/>
            <w:shd w:val="clear" w:color="auto" w:fill="auto"/>
            <w:vAlign w:val="center"/>
          </w:tcPr>
          <w:p w14:paraId="56D4486D" w14:textId="77777777" w:rsidR="00FD16E4" w:rsidRPr="00B0658A" w:rsidRDefault="00FD16E4" w:rsidP="00FD16E4">
            <w:pPr>
              <w:spacing w:after="0" w:line="240" w:lineRule="auto"/>
              <w:rPr>
                <w:rFonts w:ascii="Times New Roman" w:hAnsi="Times New Roman"/>
                <w:sz w:val="18"/>
                <w:szCs w:val="18"/>
              </w:rPr>
            </w:pPr>
            <w:r w:rsidRPr="00B0658A">
              <w:rPr>
                <w:rFonts w:ascii="Times New Roman" w:hAnsi="Times New Roman"/>
                <w:sz w:val="18"/>
                <w:szCs w:val="18"/>
              </w:rPr>
              <w:t xml:space="preserve">Прикладное программное обеспечение/ Интеллектуальные средства разработки </w:t>
            </w:r>
            <w:r w:rsidRPr="00B0658A">
              <w:rPr>
                <w:rFonts w:ascii="Times New Roman" w:hAnsi="Times New Roman"/>
                <w:sz w:val="18"/>
                <w:szCs w:val="18"/>
              </w:rPr>
              <w:br/>
              <w:t xml:space="preserve">и управления стандартами </w:t>
            </w:r>
            <w:r w:rsidRPr="00B0658A">
              <w:rPr>
                <w:rFonts w:ascii="Times New Roman" w:hAnsi="Times New Roman"/>
                <w:sz w:val="18"/>
                <w:szCs w:val="18"/>
              </w:rPr>
              <w:br/>
              <w:t>и нормативами</w:t>
            </w:r>
          </w:p>
        </w:tc>
        <w:tc>
          <w:tcPr>
            <w:tcW w:w="704" w:type="pct"/>
            <w:shd w:val="clear" w:color="000000" w:fill="FFFFFF"/>
          </w:tcPr>
          <w:p w14:paraId="28EB6DFE" w14:textId="77777777" w:rsidR="00FD16E4" w:rsidRPr="00B0658A" w:rsidRDefault="00FD16E4" w:rsidP="00FD16E4">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03" w:type="pct"/>
            <w:shd w:val="clear" w:color="000000" w:fill="FFFFFF"/>
            <w:vAlign w:val="center"/>
          </w:tcPr>
          <w:p w14:paraId="6AE76E6E"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35%</w:t>
            </w:r>
          </w:p>
        </w:tc>
        <w:tc>
          <w:tcPr>
            <w:tcW w:w="303" w:type="pct"/>
            <w:shd w:val="clear" w:color="000000" w:fill="FFFFFF"/>
            <w:vAlign w:val="center"/>
          </w:tcPr>
          <w:p w14:paraId="4B8464E7"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45%</w:t>
            </w:r>
          </w:p>
        </w:tc>
        <w:tc>
          <w:tcPr>
            <w:tcW w:w="303" w:type="pct"/>
            <w:shd w:val="clear" w:color="000000" w:fill="FFFFFF"/>
            <w:vAlign w:val="center"/>
          </w:tcPr>
          <w:p w14:paraId="311FBDF9"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lang w:val="en-US"/>
              </w:rPr>
              <w:t>50%</w:t>
            </w:r>
          </w:p>
        </w:tc>
        <w:tc>
          <w:tcPr>
            <w:tcW w:w="313" w:type="pct"/>
            <w:shd w:val="clear" w:color="000000" w:fill="FFFFFF"/>
            <w:vAlign w:val="center"/>
          </w:tcPr>
          <w:p w14:paraId="29C7BAF2" w14:textId="77777777" w:rsidR="00FD16E4" w:rsidRPr="00B0658A" w:rsidRDefault="00FD16E4" w:rsidP="00FD16E4">
            <w:pPr>
              <w:spacing w:after="0" w:line="240" w:lineRule="auto"/>
              <w:jc w:val="center"/>
              <w:rPr>
                <w:rFonts w:ascii="Times New Roman" w:hAnsi="Times New Roman"/>
                <w:sz w:val="18"/>
                <w:szCs w:val="18"/>
                <w:lang w:val="en-US"/>
              </w:rPr>
            </w:pPr>
            <w:r w:rsidRPr="00B0658A">
              <w:rPr>
                <w:rFonts w:ascii="Times New Roman" w:hAnsi="Times New Roman"/>
                <w:sz w:val="18"/>
                <w:szCs w:val="18"/>
              </w:rPr>
              <w:t>100%</w:t>
            </w:r>
          </w:p>
        </w:tc>
        <w:tc>
          <w:tcPr>
            <w:tcW w:w="303" w:type="pct"/>
            <w:shd w:val="clear" w:color="000000" w:fill="FFFFFF"/>
            <w:vAlign w:val="center"/>
          </w:tcPr>
          <w:p w14:paraId="6E5BA64F"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lang w:val="en-US"/>
              </w:rPr>
              <w:t>60%</w:t>
            </w:r>
          </w:p>
        </w:tc>
        <w:tc>
          <w:tcPr>
            <w:tcW w:w="303" w:type="pct"/>
            <w:shd w:val="clear" w:color="000000" w:fill="FFFFFF"/>
            <w:vAlign w:val="center"/>
          </w:tcPr>
          <w:p w14:paraId="4D082114"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lang w:val="en-US"/>
              </w:rPr>
              <w:t>70%</w:t>
            </w:r>
          </w:p>
        </w:tc>
        <w:tc>
          <w:tcPr>
            <w:tcW w:w="303" w:type="pct"/>
            <w:shd w:val="clear" w:color="000000" w:fill="FFFFFF"/>
            <w:vAlign w:val="center"/>
          </w:tcPr>
          <w:p w14:paraId="4BE9EA2F"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lang w:val="en-US"/>
              </w:rPr>
              <w:t>80%</w:t>
            </w:r>
          </w:p>
        </w:tc>
        <w:tc>
          <w:tcPr>
            <w:tcW w:w="272" w:type="pct"/>
            <w:shd w:val="clear" w:color="000000" w:fill="FFFFFF"/>
            <w:vAlign w:val="center"/>
          </w:tcPr>
          <w:p w14:paraId="67C9F8D2"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lang w:val="en-US"/>
              </w:rPr>
              <w:t>90%</w:t>
            </w:r>
          </w:p>
        </w:tc>
        <w:tc>
          <w:tcPr>
            <w:tcW w:w="299" w:type="pct"/>
            <w:shd w:val="clear" w:color="000000" w:fill="FFFFFF"/>
            <w:vAlign w:val="center"/>
          </w:tcPr>
          <w:p w14:paraId="4A5B71C5"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100%</w:t>
            </w:r>
          </w:p>
        </w:tc>
        <w:tc>
          <w:tcPr>
            <w:tcW w:w="297" w:type="pct"/>
            <w:shd w:val="clear" w:color="000000" w:fill="FFFFFF"/>
            <w:vAlign w:val="center"/>
          </w:tcPr>
          <w:p w14:paraId="31287878"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FD16E4" w:rsidRPr="00B0658A" w14:paraId="679ED7FB" w14:textId="77777777" w:rsidTr="00FE71B1">
        <w:trPr>
          <w:trHeight w:val="20"/>
        </w:trPr>
        <w:tc>
          <w:tcPr>
            <w:tcW w:w="283" w:type="pct"/>
            <w:shd w:val="clear" w:color="000000" w:fill="FFFFFF"/>
            <w:vAlign w:val="center"/>
          </w:tcPr>
          <w:p w14:paraId="0A7B0AEE" w14:textId="77777777" w:rsidR="00FD16E4" w:rsidRPr="00B0658A" w:rsidRDefault="00FD16E4" w:rsidP="00FE71B1">
            <w:pPr>
              <w:spacing w:after="0" w:line="240" w:lineRule="auto"/>
              <w:jc w:val="center"/>
              <w:rPr>
                <w:rFonts w:ascii="Times New Roman" w:hAnsi="Times New Roman"/>
                <w:sz w:val="18"/>
                <w:szCs w:val="18"/>
              </w:rPr>
            </w:pPr>
            <w:r w:rsidRPr="00B0658A">
              <w:rPr>
                <w:rFonts w:ascii="Times New Roman" w:hAnsi="Times New Roman"/>
                <w:sz w:val="18"/>
                <w:szCs w:val="18"/>
              </w:rPr>
              <w:t>5.13</w:t>
            </w:r>
          </w:p>
        </w:tc>
        <w:tc>
          <w:tcPr>
            <w:tcW w:w="1013" w:type="pct"/>
            <w:shd w:val="clear" w:color="auto" w:fill="auto"/>
            <w:vAlign w:val="center"/>
          </w:tcPr>
          <w:p w14:paraId="2D5F0A6E" w14:textId="77777777" w:rsidR="00FD16E4" w:rsidRPr="00B0658A" w:rsidRDefault="00FD16E4" w:rsidP="00FD16E4">
            <w:pPr>
              <w:spacing w:after="0" w:line="240" w:lineRule="auto"/>
              <w:rPr>
                <w:rFonts w:ascii="Times New Roman" w:hAnsi="Times New Roman"/>
                <w:sz w:val="18"/>
                <w:szCs w:val="18"/>
              </w:rPr>
            </w:pPr>
            <w:r w:rsidRPr="00B0658A">
              <w:rPr>
                <w:rFonts w:ascii="Times New Roman" w:hAnsi="Times New Roman"/>
                <w:sz w:val="18"/>
                <w:szCs w:val="18"/>
              </w:rPr>
              <w:t xml:space="preserve">Прикладное программное обеспечение/ Средства интеллектуальной обработки </w:t>
            </w:r>
            <w:r w:rsidRPr="00B0658A">
              <w:rPr>
                <w:rFonts w:ascii="Times New Roman" w:hAnsi="Times New Roman"/>
                <w:sz w:val="18"/>
                <w:szCs w:val="18"/>
              </w:rPr>
              <w:lastRenderedPageBreak/>
              <w:t>информации и интеллектуального анализа бизнес-процессов</w:t>
            </w:r>
          </w:p>
        </w:tc>
        <w:tc>
          <w:tcPr>
            <w:tcW w:w="704" w:type="pct"/>
            <w:shd w:val="clear" w:color="000000" w:fill="FFFFFF"/>
          </w:tcPr>
          <w:p w14:paraId="321FD9C1" w14:textId="77777777" w:rsidR="00FD16E4" w:rsidRPr="00B0658A" w:rsidRDefault="00FD16E4" w:rsidP="00FD16E4">
            <w:pPr>
              <w:spacing w:after="0" w:line="240" w:lineRule="auto"/>
              <w:rPr>
                <w:rFonts w:ascii="Times New Roman" w:hAnsi="Times New Roman"/>
                <w:sz w:val="18"/>
                <w:szCs w:val="18"/>
              </w:rPr>
            </w:pPr>
            <w:r w:rsidRPr="00B0658A">
              <w:rPr>
                <w:rFonts w:ascii="Times New Roman" w:hAnsi="Times New Roman"/>
                <w:sz w:val="18"/>
                <w:szCs w:val="18"/>
              </w:rPr>
              <w:lastRenderedPageBreak/>
              <w:t xml:space="preserve">Доля используемого российского ПО в </w:t>
            </w:r>
            <w:r w:rsidRPr="00B0658A">
              <w:rPr>
                <w:rFonts w:ascii="Times New Roman" w:hAnsi="Times New Roman"/>
                <w:sz w:val="18"/>
                <w:szCs w:val="18"/>
              </w:rPr>
              <w:lastRenderedPageBreak/>
              <w:t>общем объёме, используемого ПО, %</w:t>
            </w:r>
          </w:p>
        </w:tc>
        <w:tc>
          <w:tcPr>
            <w:tcW w:w="303" w:type="pct"/>
            <w:shd w:val="clear" w:color="000000" w:fill="FFFFFF"/>
            <w:vAlign w:val="center"/>
          </w:tcPr>
          <w:p w14:paraId="0AF19902"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lastRenderedPageBreak/>
              <w:t>35%</w:t>
            </w:r>
          </w:p>
        </w:tc>
        <w:tc>
          <w:tcPr>
            <w:tcW w:w="303" w:type="pct"/>
            <w:shd w:val="clear" w:color="000000" w:fill="FFFFFF"/>
            <w:vAlign w:val="center"/>
          </w:tcPr>
          <w:p w14:paraId="718797AC"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45%</w:t>
            </w:r>
          </w:p>
        </w:tc>
        <w:tc>
          <w:tcPr>
            <w:tcW w:w="303" w:type="pct"/>
            <w:shd w:val="clear" w:color="000000" w:fill="FFFFFF"/>
            <w:vAlign w:val="center"/>
          </w:tcPr>
          <w:p w14:paraId="79D2994B"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lang w:val="en-US"/>
              </w:rPr>
              <w:t>50%</w:t>
            </w:r>
          </w:p>
        </w:tc>
        <w:tc>
          <w:tcPr>
            <w:tcW w:w="313" w:type="pct"/>
            <w:shd w:val="clear" w:color="000000" w:fill="FFFFFF"/>
            <w:vAlign w:val="center"/>
          </w:tcPr>
          <w:p w14:paraId="1F4FBD2C" w14:textId="77777777" w:rsidR="00FD16E4" w:rsidRPr="00B0658A" w:rsidRDefault="00FD16E4" w:rsidP="00FD16E4">
            <w:pPr>
              <w:spacing w:after="0" w:line="240" w:lineRule="auto"/>
              <w:jc w:val="center"/>
              <w:rPr>
                <w:rFonts w:ascii="Times New Roman" w:hAnsi="Times New Roman"/>
                <w:sz w:val="18"/>
                <w:szCs w:val="18"/>
                <w:lang w:val="en-US"/>
              </w:rPr>
            </w:pPr>
            <w:r w:rsidRPr="00B0658A">
              <w:rPr>
                <w:rFonts w:ascii="Times New Roman" w:hAnsi="Times New Roman"/>
                <w:sz w:val="18"/>
                <w:szCs w:val="18"/>
              </w:rPr>
              <w:t>100%</w:t>
            </w:r>
          </w:p>
        </w:tc>
        <w:tc>
          <w:tcPr>
            <w:tcW w:w="303" w:type="pct"/>
            <w:shd w:val="clear" w:color="000000" w:fill="FFFFFF"/>
            <w:vAlign w:val="center"/>
          </w:tcPr>
          <w:p w14:paraId="5118FC40"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lang w:val="en-US"/>
              </w:rPr>
              <w:t>60%</w:t>
            </w:r>
          </w:p>
        </w:tc>
        <w:tc>
          <w:tcPr>
            <w:tcW w:w="303" w:type="pct"/>
            <w:shd w:val="clear" w:color="000000" w:fill="FFFFFF"/>
            <w:vAlign w:val="center"/>
          </w:tcPr>
          <w:p w14:paraId="46921717"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lang w:val="en-US"/>
              </w:rPr>
              <w:t>70%</w:t>
            </w:r>
          </w:p>
        </w:tc>
        <w:tc>
          <w:tcPr>
            <w:tcW w:w="303" w:type="pct"/>
            <w:shd w:val="clear" w:color="000000" w:fill="FFFFFF"/>
            <w:vAlign w:val="center"/>
          </w:tcPr>
          <w:p w14:paraId="6D8CA026"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lang w:val="en-US"/>
              </w:rPr>
              <w:t>80%</w:t>
            </w:r>
          </w:p>
        </w:tc>
        <w:tc>
          <w:tcPr>
            <w:tcW w:w="272" w:type="pct"/>
            <w:shd w:val="clear" w:color="000000" w:fill="FFFFFF"/>
            <w:vAlign w:val="center"/>
          </w:tcPr>
          <w:p w14:paraId="46E8C6FE"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lang w:val="en-US"/>
              </w:rPr>
              <w:t>90%</w:t>
            </w:r>
          </w:p>
        </w:tc>
        <w:tc>
          <w:tcPr>
            <w:tcW w:w="299" w:type="pct"/>
            <w:shd w:val="clear" w:color="000000" w:fill="FFFFFF"/>
            <w:vAlign w:val="center"/>
          </w:tcPr>
          <w:p w14:paraId="6B26DB68"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100%</w:t>
            </w:r>
          </w:p>
        </w:tc>
        <w:tc>
          <w:tcPr>
            <w:tcW w:w="297" w:type="pct"/>
            <w:shd w:val="clear" w:color="000000" w:fill="FFFFFF"/>
            <w:vAlign w:val="center"/>
          </w:tcPr>
          <w:p w14:paraId="4CBC1C84"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FD16E4" w:rsidRPr="00B0658A" w14:paraId="1DCDA3F7" w14:textId="77777777" w:rsidTr="00FE71B1">
        <w:trPr>
          <w:trHeight w:val="20"/>
        </w:trPr>
        <w:tc>
          <w:tcPr>
            <w:tcW w:w="283" w:type="pct"/>
            <w:shd w:val="clear" w:color="000000" w:fill="FFFFFF"/>
            <w:vAlign w:val="center"/>
          </w:tcPr>
          <w:p w14:paraId="53D0A4D4" w14:textId="77777777" w:rsidR="00FD16E4" w:rsidRPr="00B0658A" w:rsidRDefault="00FD16E4" w:rsidP="00FE71B1">
            <w:pPr>
              <w:spacing w:after="0" w:line="240" w:lineRule="auto"/>
              <w:jc w:val="center"/>
              <w:rPr>
                <w:rFonts w:ascii="Times New Roman" w:hAnsi="Times New Roman"/>
                <w:sz w:val="18"/>
                <w:szCs w:val="18"/>
              </w:rPr>
            </w:pPr>
            <w:r w:rsidRPr="00B0658A">
              <w:rPr>
                <w:rFonts w:ascii="Times New Roman" w:hAnsi="Times New Roman"/>
                <w:sz w:val="18"/>
                <w:szCs w:val="18"/>
              </w:rPr>
              <w:t>5.14</w:t>
            </w:r>
          </w:p>
        </w:tc>
        <w:tc>
          <w:tcPr>
            <w:tcW w:w="1013" w:type="pct"/>
            <w:shd w:val="clear" w:color="auto" w:fill="auto"/>
            <w:vAlign w:val="center"/>
          </w:tcPr>
          <w:p w14:paraId="06504165" w14:textId="77777777" w:rsidR="00FD16E4" w:rsidRPr="00B0658A" w:rsidRDefault="00FD16E4" w:rsidP="00FD16E4">
            <w:pPr>
              <w:spacing w:after="0" w:line="240" w:lineRule="auto"/>
              <w:rPr>
                <w:rFonts w:ascii="Times New Roman" w:hAnsi="Times New Roman"/>
                <w:sz w:val="18"/>
                <w:szCs w:val="18"/>
              </w:rPr>
            </w:pPr>
            <w:r w:rsidRPr="00B0658A">
              <w:rPr>
                <w:rFonts w:ascii="Times New Roman" w:hAnsi="Times New Roman"/>
                <w:sz w:val="18"/>
                <w:szCs w:val="18"/>
              </w:rPr>
              <w:t>Прикладное программное обеспечение/ Справочно-правовые системы</w:t>
            </w:r>
          </w:p>
        </w:tc>
        <w:tc>
          <w:tcPr>
            <w:tcW w:w="704" w:type="pct"/>
            <w:shd w:val="clear" w:color="000000" w:fill="FFFFFF"/>
          </w:tcPr>
          <w:p w14:paraId="4FE97424" w14:textId="77777777" w:rsidR="00FD16E4" w:rsidRPr="00B0658A" w:rsidRDefault="00FD16E4" w:rsidP="00FD16E4">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03" w:type="pct"/>
            <w:shd w:val="clear" w:color="000000" w:fill="FFFFFF"/>
            <w:vAlign w:val="center"/>
          </w:tcPr>
          <w:p w14:paraId="4A19689D" w14:textId="77777777" w:rsidR="00FD16E4" w:rsidRPr="00B0658A" w:rsidRDefault="00FD16E4" w:rsidP="00FD16E4">
            <w:pPr>
              <w:spacing w:after="0" w:line="240" w:lineRule="auto"/>
              <w:jc w:val="center"/>
              <w:rPr>
                <w:rFonts w:ascii="Times New Roman" w:hAnsi="Times New Roman"/>
                <w:sz w:val="18"/>
                <w:szCs w:val="18"/>
              </w:rPr>
            </w:pPr>
            <w:r>
              <w:rPr>
                <w:rFonts w:ascii="Times New Roman" w:hAnsi="Times New Roman"/>
                <w:sz w:val="18"/>
                <w:szCs w:val="18"/>
              </w:rPr>
              <w:t>-*</w:t>
            </w:r>
          </w:p>
        </w:tc>
        <w:tc>
          <w:tcPr>
            <w:tcW w:w="303" w:type="pct"/>
            <w:shd w:val="clear" w:color="000000" w:fill="FFFFFF"/>
            <w:vAlign w:val="center"/>
          </w:tcPr>
          <w:p w14:paraId="4BCF1937" w14:textId="77777777" w:rsidR="00FD16E4" w:rsidRPr="00B0658A" w:rsidRDefault="00FD16E4" w:rsidP="00FD16E4">
            <w:pPr>
              <w:spacing w:after="0" w:line="240" w:lineRule="auto"/>
              <w:jc w:val="center"/>
              <w:rPr>
                <w:rFonts w:ascii="Times New Roman" w:hAnsi="Times New Roman"/>
                <w:sz w:val="18"/>
                <w:szCs w:val="18"/>
              </w:rPr>
            </w:pPr>
            <w:r w:rsidRPr="00901DB0">
              <w:rPr>
                <w:rFonts w:ascii="Times New Roman" w:hAnsi="Times New Roman"/>
                <w:sz w:val="18"/>
                <w:szCs w:val="18"/>
              </w:rPr>
              <w:t>-*</w:t>
            </w:r>
          </w:p>
        </w:tc>
        <w:tc>
          <w:tcPr>
            <w:tcW w:w="303" w:type="pct"/>
            <w:shd w:val="clear" w:color="000000" w:fill="FFFFFF"/>
            <w:vAlign w:val="center"/>
          </w:tcPr>
          <w:p w14:paraId="63072613" w14:textId="77777777" w:rsidR="00FD16E4" w:rsidRPr="00B0658A" w:rsidRDefault="00FD16E4" w:rsidP="00FD16E4">
            <w:pPr>
              <w:spacing w:after="0" w:line="240" w:lineRule="auto"/>
              <w:jc w:val="center"/>
              <w:rPr>
                <w:rFonts w:ascii="Times New Roman" w:hAnsi="Times New Roman"/>
                <w:sz w:val="18"/>
                <w:szCs w:val="18"/>
              </w:rPr>
            </w:pPr>
            <w:r w:rsidRPr="00901DB0">
              <w:rPr>
                <w:rFonts w:ascii="Times New Roman" w:hAnsi="Times New Roman"/>
                <w:sz w:val="18"/>
                <w:szCs w:val="18"/>
              </w:rPr>
              <w:t>-*</w:t>
            </w:r>
          </w:p>
        </w:tc>
        <w:tc>
          <w:tcPr>
            <w:tcW w:w="313" w:type="pct"/>
            <w:shd w:val="clear" w:color="000000" w:fill="FFFFFF"/>
            <w:vAlign w:val="center"/>
          </w:tcPr>
          <w:p w14:paraId="244C919A" w14:textId="77777777" w:rsidR="00FD16E4" w:rsidRPr="00B0658A" w:rsidRDefault="00FD16E4" w:rsidP="00FD16E4">
            <w:pPr>
              <w:spacing w:after="0" w:line="240" w:lineRule="auto"/>
              <w:jc w:val="center"/>
              <w:rPr>
                <w:rFonts w:ascii="Times New Roman" w:hAnsi="Times New Roman"/>
                <w:sz w:val="18"/>
                <w:szCs w:val="18"/>
                <w:lang w:val="en-US"/>
              </w:rPr>
            </w:pPr>
            <w:r w:rsidRPr="00B0658A">
              <w:rPr>
                <w:rFonts w:ascii="Times New Roman" w:hAnsi="Times New Roman"/>
                <w:sz w:val="18"/>
                <w:szCs w:val="18"/>
              </w:rPr>
              <w:t>100%</w:t>
            </w:r>
          </w:p>
        </w:tc>
        <w:tc>
          <w:tcPr>
            <w:tcW w:w="303" w:type="pct"/>
            <w:shd w:val="clear" w:color="000000" w:fill="FFFFFF"/>
            <w:vAlign w:val="center"/>
          </w:tcPr>
          <w:p w14:paraId="287A8D99"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03" w:type="pct"/>
            <w:shd w:val="clear" w:color="000000" w:fill="FFFFFF"/>
            <w:vAlign w:val="center"/>
          </w:tcPr>
          <w:p w14:paraId="0096F975"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03" w:type="pct"/>
            <w:shd w:val="clear" w:color="000000" w:fill="FFFFFF"/>
            <w:vAlign w:val="center"/>
          </w:tcPr>
          <w:p w14:paraId="3AECACEF"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100%</w:t>
            </w:r>
          </w:p>
        </w:tc>
        <w:tc>
          <w:tcPr>
            <w:tcW w:w="272" w:type="pct"/>
            <w:shd w:val="clear" w:color="000000" w:fill="FFFFFF"/>
            <w:vAlign w:val="center"/>
          </w:tcPr>
          <w:p w14:paraId="24B325D8"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100%</w:t>
            </w:r>
          </w:p>
        </w:tc>
        <w:tc>
          <w:tcPr>
            <w:tcW w:w="299" w:type="pct"/>
            <w:shd w:val="clear" w:color="000000" w:fill="FFFFFF"/>
            <w:vAlign w:val="center"/>
          </w:tcPr>
          <w:p w14:paraId="07BF8652"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100%</w:t>
            </w:r>
          </w:p>
        </w:tc>
        <w:tc>
          <w:tcPr>
            <w:tcW w:w="297" w:type="pct"/>
            <w:shd w:val="clear" w:color="000000" w:fill="FFFFFF"/>
            <w:vAlign w:val="center"/>
          </w:tcPr>
          <w:p w14:paraId="5990A9C4"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FD16E4" w:rsidRPr="00B0658A" w14:paraId="79288BA6" w14:textId="77777777" w:rsidTr="00FE71B1">
        <w:trPr>
          <w:trHeight w:val="20"/>
        </w:trPr>
        <w:tc>
          <w:tcPr>
            <w:tcW w:w="283" w:type="pct"/>
            <w:shd w:val="clear" w:color="000000" w:fill="FFFFFF"/>
            <w:vAlign w:val="center"/>
          </w:tcPr>
          <w:p w14:paraId="7517F373" w14:textId="77777777" w:rsidR="00FD16E4" w:rsidRPr="00B0658A" w:rsidRDefault="00FD16E4" w:rsidP="00FE71B1">
            <w:pPr>
              <w:spacing w:after="0" w:line="240" w:lineRule="auto"/>
              <w:jc w:val="center"/>
              <w:rPr>
                <w:rFonts w:ascii="Times New Roman" w:hAnsi="Times New Roman"/>
                <w:sz w:val="18"/>
                <w:szCs w:val="18"/>
              </w:rPr>
            </w:pPr>
            <w:r w:rsidRPr="00B0658A">
              <w:rPr>
                <w:rFonts w:ascii="Times New Roman" w:hAnsi="Times New Roman"/>
                <w:sz w:val="18"/>
                <w:szCs w:val="18"/>
              </w:rPr>
              <w:t>5.15</w:t>
            </w:r>
          </w:p>
        </w:tc>
        <w:tc>
          <w:tcPr>
            <w:tcW w:w="1013" w:type="pct"/>
            <w:shd w:val="clear" w:color="auto" w:fill="auto"/>
            <w:vAlign w:val="center"/>
          </w:tcPr>
          <w:p w14:paraId="32E36FE0" w14:textId="77777777" w:rsidR="00FD16E4" w:rsidRPr="00B0658A" w:rsidRDefault="00FD16E4" w:rsidP="00FD16E4">
            <w:pPr>
              <w:spacing w:after="0" w:line="240" w:lineRule="auto"/>
              <w:rPr>
                <w:rFonts w:ascii="Times New Roman" w:hAnsi="Times New Roman"/>
                <w:sz w:val="18"/>
                <w:szCs w:val="18"/>
              </w:rPr>
            </w:pPr>
            <w:r w:rsidRPr="00B0658A">
              <w:rPr>
                <w:rFonts w:ascii="Times New Roman" w:hAnsi="Times New Roman"/>
                <w:sz w:val="18"/>
                <w:szCs w:val="18"/>
              </w:rPr>
              <w:t>Прикладное программное обеспечение/ Информационные системы для решения специфических отраслевых задач</w:t>
            </w:r>
          </w:p>
        </w:tc>
        <w:tc>
          <w:tcPr>
            <w:tcW w:w="704" w:type="pct"/>
            <w:shd w:val="clear" w:color="000000" w:fill="FFFFFF"/>
          </w:tcPr>
          <w:p w14:paraId="5A47A9D5" w14:textId="77777777" w:rsidR="00FD16E4" w:rsidRPr="00B0658A" w:rsidRDefault="00FD16E4" w:rsidP="00FD16E4">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03" w:type="pct"/>
            <w:shd w:val="clear" w:color="000000" w:fill="FFFFFF"/>
            <w:vAlign w:val="center"/>
          </w:tcPr>
          <w:p w14:paraId="0A4B38D5"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lang w:val="en-US"/>
              </w:rPr>
              <w:t>20%</w:t>
            </w:r>
          </w:p>
        </w:tc>
        <w:tc>
          <w:tcPr>
            <w:tcW w:w="303" w:type="pct"/>
            <w:shd w:val="clear" w:color="000000" w:fill="FFFFFF"/>
            <w:vAlign w:val="center"/>
          </w:tcPr>
          <w:p w14:paraId="02CFFECD"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lang w:val="en-US"/>
              </w:rPr>
              <w:t>40%</w:t>
            </w:r>
          </w:p>
        </w:tc>
        <w:tc>
          <w:tcPr>
            <w:tcW w:w="303" w:type="pct"/>
            <w:shd w:val="clear" w:color="000000" w:fill="FFFFFF"/>
            <w:vAlign w:val="center"/>
          </w:tcPr>
          <w:p w14:paraId="006EB387"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lang w:val="en-US"/>
              </w:rPr>
              <w:t>60%</w:t>
            </w:r>
          </w:p>
        </w:tc>
        <w:tc>
          <w:tcPr>
            <w:tcW w:w="313" w:type="pct"/>
            <w:shd w:val="clear" w:color="000000" w:fill="FFFFFF"/>
            <w:vAlign w:val="center"/>
          </w:tcPr>
          <w:p w14:paraId="31E9E63D"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100%</w:t>
            </w:r>
          </w:p>
        </w:tc>
        <w:tc>
          <w:tcPr>
            <w:tcW w:w="303" w:type="pct"/>
            <w:shd w:val="clear" w:color="000000" w:fill="FFFFFF"/>
            <w:vAlign w:val="center"/>
          </w:tcPr>
          <w:p w14:paraId="7532725D"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70%</w:t>
            </w:r>
          </w:p>
        </w:tc>
        <w:tc>
          <w:tcPr>
            <w:tcW w:w="303" w:type="pct"/>
            <w:shd w:val="clear" w:color="000000" w:fill="FFFFFF"/>
            <w:vAlign w:val="center"/>
          </w:tcPr>
          <w:p w14:paraId="2B5A6065"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lang w:val="en-US"/>
              </w:rPr>
              <w:t>80%</w:t>
            </w:r>
          </w:p>
        </w:tc>
        <w:tc>
          <w:tcPr>
            <w:tcW w:w="303" w:type="pct"/>
            <w:shd w:val="clear" w:color="000000" w:fill="FFFFFF"/>
            <w:vAlign w:val="center"/>
          </w:tcPr>
          <w:p w14:paraId="4530D5A3"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90%</w:t>
            </w:r>
          </w:p>
        </w:tc>
        <w:tc>
          <w:tcPr>
            <w:tcW w:w="272" w:type="pct"/>
            <w:shd w:val="clear" w:color="000000" w:fill="FFFFFF"/>
            <w:vAlign w:val="center"/>
          </w:tcPr>
          <w:p w14:paraId="7D80AAF9"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299" w:type="pct"/>
            <w:shd w:val="clear" w:color="000000" w:fill="FFFFFF"/>
            <w:vAlign w:val="center"/>
          </w:tcPr>
          <w:p w14:paraId="4C2C0DB7"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100%</w:t>
            </w:r>
          </w:p>
        </w:tc>
        <w:tc>
          <w:tcPr>
            <w:tcW w:w="297" w:type="pct"/>
            <w:shd w:val="clear" w:color="000000" w:fill="FFFFFF"/>
            <w:vAlign w:val="center"/>
          </w:tcPr>
          <w:p w14:paraId="5116F7AD"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FD16E4" w:rsidRPr="00B0658A" w14:paraId="72E7CEAA" w14:textId="77777777" w:rsidTr="00FE71B1">
        <w:trPr>
          <w:trHeight w:val="20"/>
        </w:trPr>
        <w:tc>
          <w:tcPr>
            <w:tcW w:w="283" w:type="pct"/>
            <w:shd w:val="clear" w:color="000000" w:fill="FFFFFF"/>
            <w:vAlign w:val="center"/>
          </w:tcPr>
          <w:p w14:paraId="23825D69" w14:textId="77777777" w:rsidR="00FD16E4" w:rsidRPr="00B0658A" w:rsidRDefault="00FD16E4" w:rsidP="00FE71B1">
            <w:pPr>
              <w:spacing w:after="0" w:line="240" w:lineRule="auto"/>
              <w:jc w:val="center"/>
              <w:rPr>
                <w:rFonts w:ascii="Times New Roman" w:hAnsi="Times New Roman"/>
                <w:sz w:val="18"/>
                <w:szCs w:val="18"/>
              </w:rPr>
            </w:pPr>
            <w:r w:rsidRPr="00B0658A">
              <w:rPr>
                <w:rFonts w:ascii="Times New Roman" w:hAnsi="Times New Roman"/>
                <w:sz w:val="18"/>
                <w:szCs w:val="18"/>
              </w:rPr>
              <w:t>5.16</w:t>
            </w:r>
          </w:p>
        </w:tc>
        <w:tc>
          <w:tcPr>
            <w:tcW w:w="1013" w:type="pct"/>
            <w:shd w:val="clear" w:color="auto" w:fill="auto"/>
            <w:vAlign w:val="center"/>
          </w:tcPr>
          <w:p w14:paraId="5B465398" w14:textId="77777777" w:rsidR="00FD16E4" w:rsidRPr="00B0658A" w:rsidRDefault="00FD16E4" w:rsidP="00FD16E4">
            <w:pPr>
              <w:spacing w:after="0" w:line="240" w:lineRule="auto"/>
              <w:rPr>
                <w:rFonts w:ascii="Times New Roman" w:hAnsi="Times New Roman"/>
                <w:sz w:val="18"/>
                <w:szCs w:val="18"/>
              </w:rPr>
            </w:pPr>
            <w:r w:rsidRPr="00B0658A">
              <w:rPr>
                <w:rFonts w:ascii="Times New Roman" w:hAnsi="Times New Roman"/>
                <w:sz w:val="18"/>
                <w:szCs w:val="18"/>
              </w:rPr>
              <w:t>Прикладное программное обеспечение/ Автоматизированные информационные системы оформления воздушных перевозок</w:t>
            </w:r>
          </w:p>
        </w:tc>
        <w:tc>
          <w:tcPr>
            <w:tcW w:w="704" w:type="pct"/>
            <w:shd w:val="clear" w:color="000000" w:fill="FFFFFF"/>
          </w:tcPr>
          <w:p w14:paraId="3401CEE1" w14:textId="77777777" w:rsidR="00FD16E4" w:rsidRPr="00B0658A" w:rsidRDefault="00FD16E4" w:rsidP="00FD16E4">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03" w:type="pct"/>
            <w:shd w:val="clear" w:color="000000" w:fill="FFFFFF"/>
            <w:vAlign w:val="center"/>
          </w:tcPr>
          <w:p w14:paraId="446A4D5A"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lang w:val="en-US"/>
              </w:rPr>
              <w:t>20%</w:t>
            </w:r>
          </w:p>
        </w:tc>
        <w:tc>
          <w:tcPr>
            <w:tcW w:w="303" w:type="pct"/>
            <w:shd w:val="clear" w:color="000000" w:fill="FFFFFF"/>
            <w:vAlign w:val="center"/>
          </w:tcPr>
          <w:p w14:paraId="3D2657B4"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lang w:val="en-US"/>
              </w:rPr>
              <w:t>30%</w:t>
            </w:r>
          </w:p>
        </w:tc>
        <w:tc>
          <w:tcPr>
            <w:tcW w:w="303" w:type="pct"/>
            <w:shd w:val="clear" w:color="000000" w:fill="FFFFFF"/>
            <w:vAlign w:val="center"/>
          </w:tcPr>
          <w:p w14:paraId="02FF5E59"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lang w:val="en-US"/>
              </w:rPr>
              <w:t>45%</w:t>
            </w:r>
          </w:p>
        </w:tc>
        <w:tc>
          <w:tcPr>
            <w:tcW w:w="313" w:type="pct"/>
            <w:shd w:val="clear" w:color="000000" w:fill="FFFFFF"/>
            <w:vAlign w:val="center"/>
          </w:tcPr>
          <w:p w14:paraId="19D33A86"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100%</w:t>
            </w:r>
          </w:p>
        </w:tc>
        <w:tc>
          <w:tcPr>
            <w:tcW w:w="303" w:type="pct"/>
            <w:shd w:val="clear" w:color="000000" w:fill="FFFFFF"/>
            <w:vAlign w:val="center"/>
          </w:tcPr>
          <w:p w14:paraId="5778F761"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55</w:t>
            </w:r>
            <w:r w:rsidRPr="00B0658A">
              <w:rPr>
                <w:rFonts w:ascii="Times New Roman" w:hAnsi="Times New Roman"/>
                <w:sz w:val="18"/>
                <w:szCs w:val="18"/>
                <w:lang w:val="en-US"/>
              </w:rPr>
              <w:t>%</w:t>
            </w:r>
          </w:p>
        </w:tc>
        <w:tc>
          <w:tcPr>
            <w:tcW w:w="303" w:type="pct"/>
            <w:shd w:val="clear" w:color="000000" w:fill="FFFFFF"/>
            <w:vAlign w:val="center"/>
          </w:tcPr>
          <w:p w14:paraId="56B726C5"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65</w:t>
            </w:r>
            <w:r w:rsidRPr="00B0658A">
              <w:rPr>
                <w:rFonts w:ascii="Times New Roman" w:hAnsi="Times New Roman"/>
                <w:sz w:val="18"/>
                <w:szCs w:val="18"/>
                <w:lang w:val="en-US"/>
              </w:rPr>
              <w:t>%</w:t>
            </w:r>
          </w:p>
        </w:tc>
        <w:tc>
          <w:tcPr>
            <w:tcW w:w="303" w:type="pct"/>
            <w:shd w:val="clear" w:color="000000" w:fill="FFFFFF"/>
            <w:vAlign w:val="center"/>
          </w:tcPr>
          <w:p w14:paraId="4B5727EF"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75%</w:t>
            </w:r>
          </w:p>
        </w:tc>
        <w:tc>
          <w:tcPr>
            <w:tcW w:w="272" w:type="pct"/>
            <w:shd w:val="clear" w:color="000000" w:fill="FFFFFF"/>
            <w:vAlign w:val="center"/>
          </w:tcPr>
          <w:p w14:paraId="69A3E9E4"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85%</w:t>
            </w:r>
          </w:p>
        </w:tc>
        <w:tc>
          <w:tcPr>
            <w:tcW w:w="299" w:type="pct"/>
            <w:shd w:val="clear" w:color="000000" w:fill="FFFFFF"/>
            <w:vAlign w:val="center"/>
          </w:tcPr>
          <w:p w14:paraId="5050C983"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100%</w:t>
            </w:r>
          </w:p>
        </w:tc>
        <w:tc>
          <w:tcPr>
            <w:tcW w:w="297" w:type="pct"/>
            <w:shd w:val="clear" w:color="000000" w:fill="FFFFFF"/>
            <w:vAlign w:val="center"/>
          </w:tcPr>
          <w:p w14:paraId="464F7FD4"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FD16E4" w:rsidRPr="00B0658A" w14:paraId="4C401F17" w14:textId="77777777" w:rsidTr="00FE71B1">
        <w:trPr>
          <w:trHeight w:val="20"/>
        </w:trPr>
        <w:tc>
          <w:tcPr>
            <w:tcW w:w="283" w:type="pct"/>
            <w:shd w:val="clear" w:color="000000" w:fill="FFFFFF"/>
            <w:vAlign w:val="center"/>
          </w:tcPr>
          <w:p w14:paraId="41F04A1E" w14:textId="77777777" w:rsidR="00FD16E4" w:rsidRPr="00B0658A" w:rsidRDefault="00FD16E4" w:rsidP="00FE71B1">
            <w:pPr>
              <w:spacing w:after="0" w:line="240" w:lineRule="auto"/>
              <w:jc w:val="center"/>
              <w:rPr>
                <w:rFonts w:ascii="Times New Roman" w:hAnsi="Times New Roman"/>
                <w:sz w:val="18"/>
                <w:szCs w:val="18"/>
              </w:rPr>
            </w:pPr>
            <w:r w:rsidRPr="00B0658A">
              <w:rPr>
                <w:rFonts w:ascii="Times New Roman" w:hAnsi="Times New Roman"/>
                <w:sz w:val="18"/>
                <w:szCs w:val="18"/>
              </w:rPr>
              <w:t>6.1</w:t>
            </w:r>
          </w:p>
        </w:tc>
        <w:tc>
          <w:tcPr>
            <w:tcW w:w="1013" w:type="pct"/>
            <w:shd w:val="clear" w:color="auto" w:fill="auto"/>
            <w:vAlign w:val="center"/>
          </w:tcPr>
          <w:p w14:paraId="3A582C34" w14:textId="77777777" w:rsidR="00FD16E4" w:rsidRPr="00B0658A" w:rsidRDefault="00FD16E4" w:rsidP="00FD16E4">
            <w:pPr>
              <w:spacing w:after="0" w:line="240" w:lineRule="auto"/>
              <w:rPr>
                <w:rFonts w:ascii="Times New Roman" w:hAnsi="Times New Roman"/>
                <w:sz w:val="18"/>
                <w:szCs w:val="18"/>
              </w:rPr>
            </w:pPr>
            <w:r w:rsidRPr="00B0658A">
              <w:rPr>
                <w:rFonts w:ascii="Times New Roman" w:hAnsi="Times New Roman"/>
                <w:sz w:val="18"/>
                <w:szCs w:val="18"/>
              </w:rPr>
              <w:t>Офисные приложения/ Файловые менеджеры</w:t>
            </w:r>
          </w:p>
        </w:tc>
        <w:tc>
          <w:tcPr>
            <w:tcW w:w="704" w:type="pct"/>
            <w:shd w:val="clear" w:color="000000" w:fill="FFFFFF"/>
          </w:tcPr>
          <w:p w14:paraId="63A48F6B" w14:textId="77777777" w:rsidR="00FD16E4" w:rsidRPr="00B0658A" w:rsidRDefault="00FD16E4" w:rsidP="00FD16E4">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03" w:type="pct"/>
            <w:shd w:val="clear" w:color="000000" w:fill="FFFFFF"/>
            <w:vAlign w:val="center"/>
          </w:tcPr>
          <w:p w14:paraId="3B1EF57B" w14:textId="77777777" w:rsidR="00FD16E4" w:rsidRPr="00B0658A" w:rsidRDefault="00FD16E4" w:rsidP="00FD16E4">
            <w:pPr>
              <w:spacing w:after="0" w:line="240" w:lineRule="auto"/>
              <w:jc w:val="center"/>
              <w:rPr>
                <w:rFonts w:ascii="Times New Roman" w:hAnsi="Times New Roman"/>
                <w:sz w:val="18"/>
                <w:szCs w:val="18"/>
              </w:rPr>
            </w:pPr>
            <w:r>
              <w:rPr>
                <w:rFonts w:ascii="Times New Roman" w:hAnsi="Times New Roman"/>
                <w:sz w:val="18"/>
                <w:szCs w:val="18"/>
              </w:rPr>
              <w:t>-*</w:t>
            </w:r>
          </w:p>
        </w:tc>
        <w:tc>
          <w:tcPr>
            <w:tcW w:w="303" w:type="pct"/>
            <w:shd w:val="clear" w:color="000000" w:fill="FFFFFF"/>
            <w:vAlign w:val="center"/>
          </w:tcPr>
          <w:p w14:paraId="2DBC41F5" w14:textId="77777777" w:rsidR="00FD16E4" w:rsidRPr="00B0658A" w:rsidRDefault="00FD16E4" w:rsidP="00FD16E4">
            <w:pPr>
              <w:spacing w:after="0" w:line="240" w:lineRule="auto"/>
              <w:jc w:val="center"/>
              <w:rPr>
                <w:rFonts w:ascii="Times New Roman" w:hAnsi="Times New Roman"/>
                <w:sz w:val="18"/>
                <w:szCs w:val="18"/>
              </w:rPr>
            </w:pPr>
            <w:r w:rsidRPr="00901DB0">
              <w:rPr>
                <w:rFonts w:ascii="Times New Roman" w:hAnsi="Times New Roman"/>
                <w:sz w:val="18"/>
                <w:szCs w:val="18"/>
              </w:rPr>
              <w:t>-*</w:t>
            </w:r>
          </w:p>
        </w:tc>
        <w:tc>
          <w:tcPr>
            <w:tcW w:w="303" w:type="pct"/>
            <w:shd w:val="clear" w:color="000000" w:fill="FFFFFF"/>
            <w:vAlign w:val="center"/>
          </w:tcPr>
          <w:p w14:paraId="2A3B186A" w14:textId="77777777" w:rsidR="00FD16E4" w:rsidRPr="00B0658A" w:rsidRDefault="00FD16E4" w:rsidP="00FD16E4">
            <w:pPr>
              <w:spacing w:after="0" w:line="240" w:lineRule="auto"/>
              <w:jc w:val="center"/>
              <w:rPr>
                <w:rFonts w:ascii="Times New Roman" w:hAnsi="Times New Roman"/>
                <w:sz w:val="18"/>
                <w:szCs w:val="18"/>
              </w:rPr>
            </w:pPr>
            <w:r w:rsidRPr="00901DB0">
              <w:rPr>
                <w:rFonts w:ascii="Times New Roman" w:hAnsi="Times New Roman"/>
                <w:sz w:val="18"/>
                <w:szCs w:val="18"/>
              </w:rPr>
              <w:t>-*</w:t>
            </w:r>
          </w:p>
        </w:tc>
        <w:tc>
          <w:tcPr>
            <w:tcW w:w="313" w:type="pct"/>
            <w:shd w:val="clear" w:color="000000" w:fill="FFFFFF"/>
            <w:vAlign w:val="center"/>
          </w:tcPr>
          <w:p w14:paraId="38246E21"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100%</w:t>
            </w:r>
          </w:p>
        </w:tc>
        <w:tc>
          <w:tcPr>
            <w:tcW w:w="303" w:type="pct"/>
            <w:shd w:val="clear" w:color="000000" w:fill="FFFFFF"/>
            <w:vAlign w:val="center"/>
          </w:tcPr>
          <w:p w14:paraId="68A1B6BC"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100%</w:t>
            </w:r>
          </w:p>
        </w:tc>
        <w:tc>
          <w:tcPr>
            <w:tcW w:w="303" w:type="pct"/>
            <w:shd w:val="clear" w:color="000000" w:fill="FFFFFF"/>
            <w:vAlign w:val="center"/>
          </w:tcPr>
          <w:p w14:paraId="1EEC46D4"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100%</w:t>
            </w:r>
          </w:p>
        </w:tc>
        <w:tc>
          <w:tcPr>
            <w:tcW w:w="303" w:type="pct"/>
            <w:shd w:val="clear" w:color="000000" w:fill="FFFFFF"/>
            <w:vAlign w:val="center"/>
          </w:tcPr>
          <w:p w14:paraId="69660882"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100%</w:t>
            </w:r>
          </w:p>
        </w:tc>
        <w:tc>
          <w:tcPr>
            <w:tcW w:w="272" w:type="pct"/>
            <w:shd w:val="clear" w:color="000000" w:fill="FFFFFF"/>
            <w:vAlign w:val="center"/>
          </w:tcPr>
          <w:p w14:paraId="0A6146BC"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100%</w:t>
            </w:r>
          </w:p>
        </w:tc>
        <w:tc>
          <w:tcPr>
            <w:tcW w:w="299" w:type="pct"/>
            <w:shd w:val="clear" w:color="000000" w:fill="FFFFFF"/>
            <w:vAlign w:val="center"/>
          </w:tcPr>
          <w:p w14:paraId="50E3562A"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100%</w:t>
            </w:r>
          </w:p>
        </w:tc>
        <w:tc>
          <w:tcPr>
            <w:tcW w:w="297" w:type="pct"/>
            <w:shd w:val="clear" w:color="000000" w:fill="FFFFFF"/>
            <w:vAlign w:val="center"/>
          </w:tcPr>
          <w:p w14:paraId="3C6D681E"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FD16E4" w:rsidRPr="00B0658A" w14:paraId="381D1414" w14:textId="77777777" w:rsidTr="00FE71B1">
        <w:trPr>
          <w:trHeight w:val="20"/>
        </w:trPr>
        <w:tc>
          <w:tcPr>
            <w:tcW w:w="283" w:type="pct"/>
            <w:shd w:val="clear" w:color="000000" w:fill="FFFFFF"/>
            <w:vAlign w:val="center"/>
          </w:tcPr>
          <w:p w14:paraId="52F5872D" w14:textId="77777777" w:rsidR="00FD16E4" w:rsidRPr="00B0658A" w:rsidRDefault="00FD16E4" w:rsidP="00FE71B1">
            <w:pPr>
              <w:spacing w:after="0" w:line="240" w:lineRule="auto"/>
              <w:jc w:val="center"/>
              <w:rPr>
                <w:rFonts w:ascii="Times New Roman" w:hAnsi="Times New Roman"/>
                <w:sz w:val="18"/>
                <w:szCs w:val="18"/>
              </w:rPr>
            </w:pPr>
            <w:r w:rsidRPr="00B0658A">
              <w:rPr>
                <w:rFonts w:ascii="Times New Roman" w:hAnsi="Times New Roman"/>
                <w:sz w:val="18"/>
                <w:szCs w:val="18"/>
              </w:rPr>
              <w:t>6.2</w:t>
            </w:r>
          </w:p>
        </w:tc>
        <w:tc>
          <w:tcPr>
            <w:tcW w:w="1013" w:type="pct"/>
            <w:shd w:val="clear" w:color="auto" w:fill="auto"/>
            <w:vAlign w:val="center"/>
          </w:tcPr>
          <w:p w14:paraId="304FB0AD" w14:textId="77777777" w:rsidR="00FD16E4" w:rsidRPr="00B0658A" w:rsidRDefault="00FD16E4" w:rsidP="00FD16E4">
            <w:pPr>
              <w:spacing w:after="0" w:line="240" w:lineRule="auto"/>
              <w:rPr>
                <w:rFonts w:ascii="Times New Roman" w:hAnsi="Times New Roman"/>
                <w:sz w:val="18"/>
                <w:szCs w:val="18"/>
              </w:rPr>
            </w:pPr>
            <w:r w:rsidRPr="00B0658A">
              <w:rPr>
                <w:rFonts w:ascii="Times New Roman" w:hAnsi="Times New Roman"/>
                <w:sz w:val="18"/>
                <w:szCs w:val="18"/>
              </w:rPr>
              <w:t>Офисные приложения/ Коммуникационное программное обеспечение</w:t>
            </w:r>
          </w:p>
        </w:tc>
        <w:tc>
          <w:tcPr>
            <w:tcW w:w="704" w:type="pct"/>
            <w:shd w:val="clear" w:color="000000" w:fill="FFFFFF"/>
          </w:tcPr>
          <w:p w14:paraId="7C39A2D4" w14:textId="77777777" w:rsidR="00FD16E4" w:rsidRPr="00B0658A" w:rsidRDefault="00FD16E4" w:rsidP="00FD16E4">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03" w:type="pct"/>
            <w:shd w:val="clear" w:color="000000" w:fill="FFFFFF"/>
            <w:vAlign w:val="center"/>
          </w:tcPr>
          <w:p w14:paraId="4A2891E1" w14:textId="77777777" w:rsidR="00FD16E4" w:rsidRPr="00B0658A" w:rsidRDefault="00FD16E4" w:rsidP="00FD16E4">
            <w:pPr>
              <w:spacing w:after="0" w:line="240" w:lineRule="auto"/>
              <w:jc w:val="center"/>
              <w:rPr>
                <w:rFonts w:ascii="Times New Roman" w:hAnsi="Times New Roman"/>
                <w:sz w:val="18"/>
                <w:szCs w:val="18"/>
              </w:rPr>
            </w:pPr>
            <w:r>
              <w:rPr>
                <w:rFonts w:ascii="Times New Roman" w:hAnsi="Times New Roman"/>
                <w:sz w:val="18"/>
                <w:szCs w:val="18"/>
              </w:rPr>
              <w:t>-*</w:t>
            </w:r>
          </w:p>
        </w:tc>
        <w:tc>
          <w:tcPr>
            <w:tcW w:w="303" w:type="pct"/>
            <w:shd w:val="clear" w:color="000000" w:fill="FFFFFF"/>
            <w:vAlign w:val="center"/>
          </w:tcPr>
          <w:p w14:paraId="1171501D" w14:textId="77777777" w:rsidR="00FD16E4" w:rsidRPr="00B0658A" w:rsidRDefault="00FD16E4" w:rsidP="00FD16E4">
            <w:pPr>
              <w:spacing w:after="0" w:line="240" w:lineRule="auto"/>
              <w:jc w:val="center"/>
              <w:rPr>
                <w:rFonts w:ascii="Times New Roman" w:hAnsi="Times New Roman"/>
                <w:sz w:val="18"/>
                <w:szCs w:val="18"/>
              </w:rPr>
            </w:pPr>
            <w:r w:rsidRPr="00901DB0">
              <w:rPr>
                <w:rFonts w:ascii="Times New Roman" w:hAnsi="Times New Roman"/>
                <w:sz w:val="18"/>
                <w:szCs w:val="18"/>
              </w:rPr>
              <w:t>-*</w:t>
            </w:r>
          </w:p>
        </w:tc>
        <w:tc>
          <w:tcPr>
            <w:tcW w:w="303" w:type="pct"/>
            <w:shd w:val="clear" w:color="000000" w:fill="FFFFFF"/>
            <w:vAlign w:val="center"/>
          </w:tcPr>
          <w:p w14:paraId="431B272D" w14:textId="77777777" w:rsidR="00FD16E4" w:rsidRPr="00B0658A" w:rsidRDefault="00FD16E4" w:rsidP="00FD16E4">
            <w:pPr>
              <w:spacing w:after="0" w:line="240" w:lineRule="auto"/>
              <w:jc w:val="center"/>
              <w:rPr>
                <w:rFonts w:ascii="Times New Roman" w:hAnsi="Times New Roman"/>
                <w:sz w:val="18"/>
                <w:szCs w:val="18"/>
              </w:rPr>
            </w:pPr>
            <w:r w:rsidRPr="00901DB0">
              <w:rPr>
                <w:rFonts w:ascii="Times New Roman" w:hAnsi="Times New Roman"/>
                <w:sz w:val="18"/>
                <w:szCs w:val="18"/>
              </w:rPr>
              <w:t>-*</w:t>
            </w:r>
          </w:p>
        </w:tc>
        <w:tc>
          <w:tcPr>
            <w:tcW w:w="313" w:type="pct"/>
            <w:shd w:val="clear" w:color="000000" w:fill="FFFFFF"/>
            <w:vAlign w:val="center"/>
          </w:tcPr>
          <w:p w14:paraId="03BABD7F"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100%</w:t>
            </w:r>
          </w:p>
        </w:tc>
        <w:tc>
          <w:tcPr>
            <w:tcW w:w="303" w:type="pct"/>
            <w:shd w:val="clear" w:color="000000" w:fill="FFFFFF"/>
            <w:vAlign w:val="center"/>
          </w:tcPr>
          <w:p w14:paraId="2E0463F1"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100%</w:t>
            </w:r>
          </w:p>
        </w:tc>
        <w:tc>
          <w:tcPr>
            <w:tcW w:w="303" w:type="pct"/>
            <w:shd w:val="clear" w:color="000000" w:fill="FFFFFF"/>
            <w:vAlign w:val="center"/>
          </w:tcPr>
          <w:p w14:paraId="797ACDDE"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100%</w:t>
            </w:r>
          </w:p>
        </w:tc>
        <w:tc>
          <w:tcPr>
            <w:tcW w:w="303" w:type="pct"/>
            <w:shd w:val="clear" w:color="000000" w:fill="FFFFFF"/>
            <w:vAlign w:val="center"/>
          </w:tcPr>
          <w:p w14:paraId="7738BC20"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100%</w:t>
            </w:r>
          </w:p>
        </w:tc>
        <w:tc>
          <w:tcPr>
            <w:tcW w:w="272" w:type="pct"/>
            <w:shd w:val="clear" w:color="000000" w:fill="FFFFFF"/>
            <w:vAlign w:val="center"/>
          </w:tcPr>
          <w:p w14:paraId="569608D7"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100%</w:t>
            </w:r>
          </w:p>
        </w:tc>
        <w:tc>
          <w:tcPr>
            <w:tcW w:w="299" w:type="pct"/>
            <w:shd w:val="clear" w:color="000000" w:fill="FFFFFF"/>
            <w:vAlign w:val="center"/>
          </w:tcPr>
          <w:p w14:paraId="54DE0BA0"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100%</w:t>
            </w:r>
          </w:p>
        </w:tc>
        <w:tc>
          <w:tcPr>
            <w:tcW w:w="297" w:type="pct"/>
            <w:shd w:val="clear" w:color="000000" w:fill="FFFFFF"/>
            <w:vAlign w:val="center"/>
          </w:tcPr>
          <w:p w14:paraId="6570EC10"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FD16E4" w:rsidRPr="00B0658A" w14:paraId="5E9235CC" w14:textId="77777777" w:rsidTr="00FE71B1">
        <w:trPr>
          <w:trHeight w:val="20"/>
        </w:trPr>
        <w:tc>
          <w:tcPr>
            <w:tcW w:w="283" w:type="pct"/>
            <w:shd w:val="clear" w:color="000000" w:fill="FFFFFF"/>
            <w:vAlign w:val="center"/>
          </w:tcPr>
          <w:p w14:paraId="4E981D2E" w14:textId="77777777" w:rsidR="00FD16E4" w:rsidRPr="00B0658A" w:rsidRDefault="00FD16E4" w:rsidP="00FE71B1">
            <w:pPr>
              <w:spacing w:after="0" w:line="240" w:lineRule="auto"/>
              <w:jc w:val="center"/>
              <w:rPr>
                <w:rFonts w:ascii="Times New Roman" w:hAnsi="Times New Roman"/>
                <w:sz w:val="18"/>
                <w:szCs w:val="18"/>
              </w:rPr>
            </w:pPr>
            <w:r w:rsidRPr="00B0658A">
              <w:rPr>
                <w:rFonts w:ascii="Times New Roman" w:hAnsi="Times New Roman"/>
                <w:sz w:val="18"/>
                <w:szCs w:val="18"/>
              </w:rPr>
              <w:t>6.3</w:t>
            </w:r>
          </w:p>
        </w:tc>
        <w:tc>
          <w:tcPr>
            <w:tcW w:w="1013" w:type="pct"/>
            <w:shd w:val="clear" w:color="auto" w:fill="auto"/>
            <w:vAlign w:val="center"/>
          </w:tcPr>
          <w:p w14:paraId="3CA4465A" w14:textId="77777777" w:rsidR="00FD16E4" w:rsidRPr="00B0658A" w:rsidRDefault="00FD16E4" w:rsidP="00FD16E4">
            <w:pPr>
              <w:spacing w:after="0" w:line="240" w:lineRule="auto"/>
              <w:rPr>
                <w:rFonts w:ascii="Times New Roman" w:hAnsi="Times New Roman"/>
                <w:sz w:val="18"/>
                <w:szCs w:val="18"/>
              </w:rPr>
            </w:pPr>
            <w:r w:rsidRPr="00B0658A">
              <w:rPr>
                <w:rFonts w:ascii="Times New Roman" w:hAnsi="Times New Roman"/>
                <w:sz w:val="18"/>
                <w:szCs w:val="18"/>
              </w:rPr>
              <w:t>Офисные приложения/ Офисные пакеты</w:t>
            </w:r>
          </w:p>
        </w:tc>
        <w:tc>
          <w:tcPr>
            <w:tcW w:w="704" w:type="pct"/>
            <w:shd w:val="clear" w:color="000000" w:fill="FFFFFF"/>
          </w:tcPr>
          <w:p w14:paraId="052BBFF8" w14:textId="77777777" w:rsidR="00FD16E4" w:rsidRPr="00B0658A" w:rsidRDefault="00FD16E4" w:rsidP="00FD16E4">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03" w:type="pct"/>
            <w:shd w:val="clear" w:color="000000" w:fill="FFFFFF"/>
            <w:vAlign w:val="center"/>
          </w:tcPr>
          <w:p w14:paraId="7A703554" w14:textId="77777777" w:rsidR="00FD16E4" w:rsidRPr="00B0658A" w:rsidRDefault="00FD16E4" w:rsidP="00FD16E4">
            <w:pPr>
              <w:spacing w:after="0" w:line="240" w:lineRule="auto"/>
              <w:jc w:val="center"/>
              <w:rPr>
                <w:rFonts w:ascii="Times New Roman" w:hAnsi="Times New Roman"/>
                <w:sz w:val="18"/>
                <w:szCs w:val="18"/>
              </w:rPr>
            </w:pPr>
            <w:r>
              <w:rPr>
                <w:rFonts w:ascii="Times New Roman" w:hAnsi="Times New Roman"/>
                <w:sz w:val="18"/>
                <w:szCs w:val="18"/>
              </w:rPr>
              <w:t>-*</w:t>
            </w:r>
          </w:p>
        </w:tc>
        <w:tc>
          <w:tcPr>
            <w:tcW w:w="303" w:type="pct"/>
            <w:shd w:val="clear" w:color="000000" w:fill="FFFFFF"/>
            <w:vAlign w:val="center"/>
          </w:tcPr>
          <w:p w14:paraId="3DBAC61C" w14:textId="77777777" w:rsidR="00FD16E4" w:rsidRPr="00B0658A" w:rsidRDefault="00FD16E4" w:rsidP="00FD16E4">
            <w:pPr>
              <w:spacing w:after="0" w:line="240" w:lineRule="auto"/>
              <w:jc w:val="center"/>
              <w:rPr>
                <w:rFonts w:ascii="Times New Roman" w:hAnsi="Times New Roman"/>
                <w:sz w:val="18"/>
                <w:szCs w:val="18"/>
              </w:rPr>
            </w:pPr>
            <w:r w:rsidRPr="00901DB0">
              <w:rPr>
                <w:rFonts w:ascii="Times New Roman" w:hAnsi="Times New Roman"/>
                <w:sz w:val="18"/>
                <w:szCs w:val="18"/>
              </w:rPr>
              <w:t>-*</w:t>
            </w:r>
          </w:p>
        </w:tc>
        <w:tc>
          <w:tcPr>
            <w:tcW w:w="303" w:type="pct"/>
            <w:shd w:val="clear" w:color="000000" w:fill="FFFFFF"/>
            <w:vAlign w:val="center"/>
          </w:tcPr>
          <w:p w14:paraId="414EFDE8" w14:textId="77777777" w:rsidR="00FD16E4" w:rsidRPr="00B0658A" w:rsidRDefault="00FD16E4" w:rsidP="00FD16E4">
            <w:pPr>
              <w:spacing w:after="0" w:line="240" w:lineRule="auto"/>
              <w:jc w:val="center"/>
              <w:rPr>
                <w:rFonts w:ascii="Times New Roman" w:hAnsi="Times New Roman"/>
                <w:sz w:val="18"/>
                <w:szCs w:val="18"/>
              </w:rPr>
            </w:pPr>
            <w:r w:rsidRPr="00901DB0">
              <w:rPr>
                <w:rFonts w:ascii="Times New Roman" w:hAnsi="Times New Roman"/>
                <w:sz w:val="18"/>
                <w:szCs w:val="18"/>
              </w:rPr>
              <w:t>-*</w:t>
            </w:r>
          </w:p>
        </w:tc>
        <w:tc>
          <w:tcPr>
            <w:tcW w:w="313" w:type="pct"/>
            <w:shd w:val="clear" w:color="000000" w:fill="FFFFFF"/>
            <w:vAlign w:val="center"/>
          </w:tcPr>
          <w:p w14:paraId="0E6F900A"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100%</w:t>
            </w:r>
          </w:p>
        </w:tc>
        <w:tc>
          <w:tcPr>
            <w:tcW w:w="303" w:type="pct"/>
            <w:shd w:val="clear" w:color="000000" w:fill="FFFFFF"/>
            <w:vAlign w:val="center"/>
          </w:tcPr>
          <w:p w14:paraId="68F5928B"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100%</w:t>
            </w:r>
          </w:p>
        </w:tc>
        <w:tc>
          <w:tcPr>
            <w:tcW w:w="303" w:type="pct"/>
            <w:shd w:val="clear" w:color="000000" w:fill="FFFFFF"/>
            <w:vAlign w:val="center"/>
          </w:tcPr>
          <w:p w14:paraId="3003C034"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100%</w:t>
            </w:r>
          </w:p>
        </w:tc>
        <w:tc>
          <w:tcPr>
            <w:tcW w:w="303" w:type="pct"/>
            <w:shd w:val="clear" w:color="000000" w:fill="FFFFFF"/>
            <w:vAlign w:val="center"/>
          </w:tcPr>
          <w:p w14:paraId="1AF15F56"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100%</w:t>
            </w:r>
          </w:p>
        </w:tc>
        <w:tc>
          <w:tcPr>
            <w:tcW w:w="272" w:type="pct"/>
            <w:shd w:val="clear" w:color="000000" w:fill="FFFFFF"/>
            <w:vAlign w:val="center"/>
          </w:tcPr>
          <w:p w14:paraId="38E334EB"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100%</w:t>
            </w:r>
          </w:p>
        </w:tc>
        <w:tc>
          <w:tcPr>
            <w:tcW w:w="299" w:type="pct"/>
            <w:shd w:val="clear" w:color="000000" w:fill="FFFFFF"/>
            <w:vAlign w:val="center"/>
          </w:tcPr>
          <w:p w14:paraId="7F71EA91"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100%</w:t>
            </w:r>
          </w:p>
        </w:tc>
        <w:tc>
          <w:tcPr>
            <w:tcW w:w="297" w:type="pct"/>
            <w:shd w:val="clear" w:color="000000" w:fill="FFFFFF"/>
            <w:vAlign w:val="center"/>
          </w:tcPr>
          <w:p w14:paraId="5040BCA7"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FD16E4" w:rsidRPr="00B0658A" w14:paraId="5B25477D" w14:textId="77777777" w:rsidTr="00FE71B1">
        <w:trPr>
          <w:trHeight w:val="20"/>
        </w:trPr>
        <w:tc>
          <w:tcPr>
            <w:tcW w:w="283" w:type="pct"/>
            <w:shd w:val="clear" w:color="000000" w:fill="FFFFFF"/>
            <w:vAlign w:val="center"/>
          </w:tcPr>
          <w:p w14:paraId="2A26B8DD" w14:textId="77777777" w:rsidR="00FD16E4" w:rsidRPr="00B0658A" w:rsidRDefault="00FD16E4" w:rsidP="00FE71B1">
            <w:pPr>
              <w:spacing w:after="0" w:line="240" w:lineRule="auto"/>
              <w:jc w:val="center"/>
              <w:rPr>
                <w:rFonts w:ascii="Times New Roman" w:hAnsi="Times New Roman"/>
                <w:sz w:val="18"/>
                <w:szCs w:val="18"/>
              </w:rPr>
            </w:pPr>
            <w:r w:rsidRPr="00B0658A">
              <w:rPr>
                <w:rFonts w:ascii="Times New Roman" w:hAnsi="Times New Roman"/>
                <w:sz w:val="18"/>
                <w:szCs w:val="18"/>
              </w:rPr>
              <w:t>6.4</w:t>
            </w:r>
          </w:p>
        </w:tc>
        <w:tc>
          <w:tcPr>
            <w:tcW w:w="1013" w:type="pct"/>
            <w:shd w:val="clear" w:color="auto" w:fill="auto"/>
            <w:vAlign w:val="center"/>
          </w:tcPr>
          <w:p w14:paraId="2A8EC363" w14:textId="77777777" w:rsidR="00FD16E4" w:rsidRPr="00B0658A" w:rsidRDefault="00FD16E4" w:rsidP="00FD16E4">
            <w:pPr>
              <w:spacing w:after="0" w:line="240" w:lineRule="auto"/>
              <w:rPr>
                <w:rFonts w:ascii="Times New Roman" w:hAnsi="Times New Roman"/>
                <w:sz w:val="18"/>
                <w:szCs w:val="18"/>
              </w:rPr>
            </w:pPr>
            <w:r w:rsidRPr="00B0658A">
              <w:rPr>
                <w:rFonts w:ascii="Times New Roman" w:hAnsi="Times New Roman"/>
                <w:sz w:val="18"/>
                <w:szCs w:val="18"/>
              </w:rPr>
              <w:t>Офисные приложения/ Почтовые приложения</w:t>
            </w:r>
          </w:p>
        </w:tc>
        <w:tc>
          <w:tcPr>
            <w:tcW w:w="704" w:type="pct"/>
            <w:shd w:val="clear" w:color="000000" w:fill="FFFFFF"/>
          </w:tcPr>
          <w:p w14:paraId="41EA8348" w14:textId="77777777" w:rsidR="00FD16E4" w:rsidRPr="00B0658A" w:rsidRDefault="00FD16E4" w:rsidP="00FD16E4">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03" w:type="pct"/>
            <w:shd w:val="clear" w:color="000000" w:fill="FFFFFF"/>
            <w:vAlign w:val="center"/>
          </w:tcPr>
          <w:p w14:paraId="5CBB4496" w14:textId="77777777" w:rsidR="00FD16E4" w:rsidRPr="00B0658A" w:rsidRDefault="00FD16E4" w:rsidP="00FD16E4">
            <w:pPr>
              <w:spacing w:after="0" w:line="240" w:lineRule="auto"/>
              <w:jc w:val="center"/>
              <w:rPr>
                <w:rFonts w:ascii="Times New Roman" w:hAnsi="Times New Roman"/>
                <w:sz w:val="18"/>
                <w:szCs w:val="18"/>
              </w:rPr>
            </w:pPr>
            <w:r>
              <w:rPr>
                <w:rFonts w:ascii="Times New Roman" w:hAnsi="Times New Roman"/>
                <w:sz w:val="18"/>
                <w:szCs w:val="18"/>
              </w:rPr>
              <w:t>-*</w:t>
            </w:r>
          </w:p>
        </w:tc>
        <w:tc>
          <w:tcPr>
            <w:tcW w:w="303" w:type="pct"/>
            <w:shd w:val="clear" w:color="000000" w:fill="FFFFFF"/>
            <w:vAlign w:val="center"/>
          </w:tcPr>
          <w:p w14:paraId="174309C2" w14:textId="77777777" w:rsidR="00FD16E4" w:rsidRPr="00B0658A" w:rsidRDefault="00FD16E4" w:rsidP="00FD16E4">
            <w:pPr>
              <w:spacing w:after="0" w:line="240" w:lineRule="auto"/>
              <w:jc w:val="center"/>
              <w:rPr>
                <w:rFonts w:ascii="Times New Roman" w:hAnsi="Times New Roman"/>
                <w:sz w:val="18"/>
                <w:szCs w:val="18"/>
              </w:rPr>
            </w:pPr>
            <w:r w:rsidRPr="00901DB0">
              <w:rPr>
                <w:rFonts w:ascii="Times New Roman" w:hAnsi="Times New Roman"/>
                <w:sz w:val="18"/>
                <w:szCs w:val="18"/>
              </w:rPr>
              <w:t>-*</w:t>
            </w:r>
          </w:p>
        </w:tc>
        <w:tc>
          <w:tcPr>
            <w:tcW w:w="303" w:type="pct"/>
            <w:shd w:val="clear" w:color="000000" w:fill="FFFFFF"/>
            <w:vAlign w:val="center"/>
          </w:tcPr>
          <w:p w14:paraId="01DA1419" w14:textId="77777777" w:rsidR="00FD16E4" w:rsidRPr="00B0658A" w:rsidRDefault="00FD16E4" w:rsidP="00FD16E4">
            <w:pPr>
              <w:spacing w:after="0" w:line="240" w:lineRule="auto"/>
              <w:jc w:val="center"/>
              <w:rPr>
                <w:rFonts w:ascii="Times New Roman" w:hAnsi="Times New Roman"/>
                <w:sz w:val="18"/>
                <w:szCs w:val="18"/>
              </w:rPr>
            </w:pPr>
            <w:r w:rsidRPr="00901DB0">
              <w:rPr>
                <w:rFonts w:ascii="Times New Roman" w:hAnsi="Times New Roman"/>
                <w:sz w:val="18"/>
                <w:szCs w:val="18"/>
              </w:rPr>
              <w:t>-*</w:t>
            </w:r>
          </w:p>
        </w:tc>
        <w:tc>
          <w:tcPr>
            <w:tcW w:w="313" w:type="pct"/>
            <w:shd w:val="clear" w:color="000000" w:fill="FFFFFF"/>
            <w:vAlign w:val="center"/>
          </w:tcPr>
          <w:p w14:paraId="2641B489"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100%</w:t>
            </w:r>
          </w:p>
        </w:tc>
        <w:tc>
          <w:tcPr>
            <w:tcW w:w="303" w:type="pct"/>
            <w:shd w:val="clear" w:color="000000" w:fill="FFFFFF"/>
            <w:vAlign w:val="center"/>
          </w:tcPr>
          <w:p w14:paraId="41B7C11E"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100%</w:t>
            </w:r>
          </w:p>
        </w:tc>
        <w:tc>
          <w:tcPr>
            <w:tcW w:w="303" w:type="pct"/>
            <w:shd w:val="clear" w:color="000000" w:fill="FFFFFF"/>
            <w:vAlign w:val="center"/>
          </w:tcPr>
          <w:p w14:paraId="4178621B"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100%</w:t>
            </w:r>
          </w:p>
        </w:tc>
        <w:tc>
          <w:tcPr>
            <w:tcW w:w="303" w:type="pct"/>
            <w:shd w:val="clear" w:color="000000" w:fill="FFFFFF"/>
            <w:vAlign w:val="center"/>
          </w:tcPr>
          <w:p w14:paraId="42588737"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100%</w:t>
            </w:r>
          </w:p>
        </w:tc>
        <w:tc>
          <w:tcPr>
            <w:tcW w:w="272" w:type="pct"/>
            <w:shd w:val="clear" w:color="000000" w:fill="FFFFFF"/>
            <w:vAlign w:val="center"/>
          </w:tcPr>
          <w:p w14:paraId="594827EA"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100%</w:t>
            </w:r>
          </w:p>
        </w:tc>
        <w:tc>
          <w:tcPr>
            <w:tcW w:w="299" w:type="pct"/>
            <w:shd w:val="clear" w:color="000000" w:fill="FFFFFF"/>
            <w:vAlign w:val="center"/>
          </w:tcPr>
          <w:p w14:paraId="40301B2B"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100%</w:t>
            </w:r>
          </w:p>
        </w:tc>
        <w:tc>
          <w:tcPr>
            <w:tcW w:w="297" w:type="pct"/>
            <w:shd w:val="clear" w:color="000000" w:fill="FFFFFF"/>
            <w:vAlign w:val="center"/>
          </w:tcPr>
          <w:p w14:paraId="108F0E53"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947DD4" w:rsidRPr="00B0658A" w14:paraId="437611D9" w14:textId="77777777" w:rsidTr="00FE71B1">
        <w:trPr>
          <w:trHeight w:val="20"/>
        </w:trPr>
        <w:tc>
          <w:tcPr>
            <w:tcW w:w="283" w:type="pct"/>
            <w:shd w:val="clear" w:color="000000" w:fill="FFFFFF"/>
            <w:vAlign w:val="center"/>
          </w:tcPr>
          <w:p w14:paraId="40346F3C" w14:textId="77777777" w:rsidR="00947DD4" w:rsidRPr="00B0658A" w:rsidRDefault="00947DD4" w:rsidP="00FE71B1">
            <w:pPr>
              <w:spacing w:after="0" w:line="240" w:lineRule="auto"/>
              <w:jc w:val="center"/>
              <w:rPr>
                <w:rFonts w:ascii="Times New Roman" w:hAnsi="Times New Roman"/>
                <w:sz w:val="18"/>
                <w:szCs w:val="18"/>
              </w:rPr>
            </w:pPr>
            <w:r w:rsidRPr="00B0658A">
              <w:rPr>
                <w:rFonts w:ascii="Times New Roman" w:hAnsi="Times New Roman"/>
                <w:sz w:val="18"/>
                <w:szCs w:val="18"/>
              </w:rPr>
              <w:t>6.5</w:t>
            </w:r>
          </w:p>
        </w:tc>
        <w:tc>
          <w:tcPr>
            <w:tcW w:w="1013" w:type="pct"/>
            <w:shd w:val="clear" w:color="auto" w:fill="auto"/>
            <w:vAlign w:val="center"/>
          </w:tcPr>
          <w:p w14:paraId="369C2F0F" w14:textId="77777777" w:rsidR="00947DD4" w:rsidRPr="00B0658A" w:rsidRDefault="00947DD4" w:rsidP="00947DD4">
            <w:pPr>
              <w:spacing w:after="0" w:line="240" w:lineRule="auto"/>
              <w:rPr>
                <w:rFonts w:ascii="Times New Roman" w:hAnsi="Times New Roman"/>
                <w:sz w:val="18"/>
                <w:szCs w:val="18"/>
              </w:rPr>
            </w:pPr>
            <w:r w:rsidRPr="00B0658A">
              <w:rPr>
                <w:rFonts w:ascii="Times New Roman" w:hAnsi="Times New Roman"/>
                <w:sz w:val="18"/>
                <w:szCs w:val="18"/>
              </w:rPr>
              <w:t>Офисные приложения/ Органайзеры</w:t>
            </w:r>
          </w:p>
        </w:tc>
        <w:tc>
          <w:tcPr>
            <w:tcW w:w="704" w:type="pct"/>
            <w:shd w:val="clear" w:color="000000" w:fill="FFFFFF"/>
          </w:tcPr>
          <w:p w14:paraId="20C61942" w14:textId="77777777" w:rsidR="00947DD4" w:rsidRPr="00B0658A" w:rsidRDefault="00947DD4" w:rsidP="00947DD4">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03" w:type="pct"/>
            <w:shd w:val="clear" w:color="000000" w:fill="FFFFFF"/>
            <w:vAlign w:val="center"/>
          </w:tcPr>
          <w:p w14:paraId="6AC3C567" w14:textId="77777777" w:rsidR="00947DD4" w:rsidRPr="00B0658A" w:rsidRDefault="00947DD4" w:rsidP="00947DD4">
            <w:pPr>
              <w:spacing w:after="0" w:line="240" w:lineRule="auto"/>
              <w:jc w:val="center"/>
              <w:rPr>
                <w:rFonts w:ascii="Times New Roman" w:hAnsi="Times New Roman"/>
                <w:sz w:val="18"/>
                <w:szCs w:val="18"/>
              </w:rPr>
            </w:pPr>
            <w:r>
              <w:rPr>
                <w:rFonts w:ascii="Times New Roman" w:hAnsi="Times New Roman"/>
                <w:sz w:val="18"/>
                <w:szCs w:val="18"/>
              </w:rPr>
              <w:t>-*</w:t>
            </w:r>
          </w:p>
        </w:tc>
        <w:tc>
          <w:tcPr>
            <w:tcW w:w="303" w:type="pct"/>
            <w:shd w:val="clear" w:color="000000" w:fill="FFFFFF"/>
            <w:vAlign w:val="center"/>
          </w:tcPr>
          <w:p w14:paraId="7378E4BE" w14:textId="77777777" w:rsidR="00947DD4" w:rsidRPr="00B0658A" w:rsidRDefault="00947DD4" w:rsidP="00947DD4">
            <w:pPr>
              <w:spacing w:after="0" w:line="240" w:lineRule="auto"/>
              <w:jc w:val="center"/>
              <w:rPr>
                <w:rFonts w:ascii="Times New Roman" w:hAnsi="Times New Roman"/>
                <w:sz w:val="18"/>
                <w:szCs w:val="18"/>
              </w:rPr>
            </w:pPr>
            <w:r w:rsidRPr="00901DB0">
              <w:rPr>
                <w:rFonts w:ascii="Times New Roman" w:hAnsi="Times New Roman"/>
                <w:sz w:val="18"/>
                <w:szCs w:val="18"/>
              </w:rPr>
              <w:t>-*</w:t>
            </w:r>
          </w:p>
        </w:tc>
        <w:tc>
          <w:tcPr>
            <w:tcW w:w="303" w:type="pct"/>
            <w:shd w:val="clear" w:color="000000" w:fill="FFFFFF"/>
            <w:vAlign w:val="center"/>
          </w:tcPr>
          <w:p w14:paraId="7FEC558A" w14:textId="77777777" w:rsidR="00947DD4" w:rsidRPr="00B0658A" w:rsidRDefault="00947DD4" w:rsidP="00947DD4">
            <w:pPr>
              <w:spacing w:after="0" w:line="240" w:lineRule="auto"/>
              <w:jc w:val="center"/>
              <w:rPr>
                <w:rFonts w:ascii="Times New Roman" w:hAnsi="Times New Roman"/>
                <w:sz w:val="18"/>
                <w:szCs w:val="18"/>
              </w:rPr>
            </w:pPr>
            <w:r w:rsidRPr="00901DB0">
              <w:rPr>
                <w:rFonts w:ascii="Times New Roman" w:hAnsi="Times New Roman"/>
                <w:sz w:val="18"/>
                <w:szCs w:val="18"/>
              </w:rPr>
              <w:t>-*</w:t>
            </w:r>
          </w:p>
        </w:tc>
        <w:tc>
          <w:tcPr>
            <w:tcW w:w="313" w:type="pct"/>
            <w:shd w:val="clear" w:color="000000" w:fill="FFFFFF"/>
            <w:vAlign w:val="center"/>
          </w:tcPr>
          <w:p w14:paraId="289A8D8A" w14:textId="77777777" w:rsidR="00947DD4" w:rsidRPr="00B0658A" w:rsidRDefault="00947DD4" w:rsidP="00947DD4">
            <w:pPr>
              <w:spacing w:after="0" w:line="240" w:lineRule="auto"/>
              <w:jc w:val="center"/>
              <w:rPr>
                <w:rFonts w:ascii="Times New Roman" w:hAnsi="Times New Roman"/>
                <w:sz w:val="18"/>
                <w:szCs w:val="18"/>
              </w:rPr>
            </w:pPr>
            <w:r w:rsidRPr="00B0658A">
              <w:rPr>
                <w:rFonts w:ascii="Times New Roman" w:hAnsi="Times New Roman"/>
                <w:sz w:val="18"/>
                <w:szCs w:val="18"/>
              </w:rPr>
              <w:t>100%</w:t>
            </w:r>
          </w:p>
        </w:tc>
        <w:tc>
          <w:tcPr>
            <w:tcW w:w="303" w:type="pct"/>
            <w:shd w:val="clear" w:color="000000" w:fill="FFFFFF"/>
            <w:vAlign w:val="center"/>
          </w:tcPr>
          <w:p w14:paraId="4C34AB18" w14:textId="77777777" w:rsidR="00947DD4" w:rsidRPr="00B0658A" w:rsidRDefault="00947DD4" w:rsidP="00947DD4">
            <w:pPr>
              <w:spacing w:after="0" w:line="240" w:lineRule="auto"/>
              <w:jc w:val="center"/>
              <w:rPr>
                <w:rFonts w:ascii="Times New Roman" w:hAnsi="Times New Roman"/>
                <w:sz w:val="18"/>
                <w:szCs w:val="18"/>
              </w:rPr>
            </w:pPr>
            <w:r w:rsidRPr="00B0658A">
              <w:rPr>
                <w:rFonts w:ascii="Times New Roman" w:hAnsi="Times New Roman"/>
                <w:sz w:val="18"/>
                <w:szCs w:val="18"/>
              </w:rPr>
              <w:t>60%</w:t>
            </w:r>
          </w:p>
        </w:tc>
        <w:tc>
          <w:tcPr>
            <w:tcW w:w="303" w:type="pct"/>
            <w:shd w:val="clear" w:color="000000" w:fill="FFFFFF"/>
            <w:vAlign w:val="center"/>
          </w:tcPr>
          <w:p w14:paraId="1B9487E5" w14:textId="49D32EA9" w:rsidR="00947DD4" w:rsidRPr="00B0658A" w:rsidRDefault="00947DD4" w:rsidP="00947DD4">
            <w:pPr>
              <w:spacing w:after="0" w:line="240" w:lineRule="auto"/>
              <w:jc w:val="center"/>
              <w:rPr>
                <w:rFonts w:ascii="Times New Roman" w:hAnsi="Times New Roman"/>
                <w:sz w:val="18"/>
                <w:szCs w:val="18"/>
              </w:rPr>
            </w:pPr>
            <w:r w:rsidRPr="00B0658A">
              <w:rPr>
                <w:rFonts w:ascii="Times New Roman" w:hAnsi="Times New Roman"/>
                <w:sz w:val="18"/>
                <w:szCs w:val="18"/>
              </w:rPr>
              <w:t>100%</w:t>
            </w:r>
          </w:p>
        </w:tc>
        <w:tc>
          <w:tcPr>
            <w:tcW w:w="303" w:type="pct"/>
            <w:shd w:val="clear" w:color="000000" w:fill="FFFFFF"/>
            <w:vAlign w:val="center"/>
          </w:tcPr>
          <w:p w14:paraId="2C2E1D4E" w14:textId="45B1EB8D" w:rsidR="00947DD4" w:rsidRPr="00B0658A" w:rsidRDefault="00947DD4" w:rsidP="00947DD4">
            <w:pPr>
              <w:spacing w:after="0" w:line="240" w:lineRule="auto"/>
              <w:jc w:val="center"/>
              <w:rPr>
                <w:rFonts w:ascii="Times New Roman" w:hAnsi="Times New Roman"/>
                <w:sz w:val="18"/>
                <w:szCs w:val="18"/>
              </w:rPr>
            </w:pPr>
            <w:r w:rsidRPr="00B0658A">
              <w:rPr>
                <w:rFonts w:ascii="Times New Roman" w:hAnsi="Times New Roman"/>
                <w:sz w:val="18"/>
                <w:szCs w:val="18"/>
              </w:rPr>
              <w:t>100%</w:t>
            </w:r>
          </w:p>
        </w:tc>
        <w:tc>
          <w:tcPr>
            <w:tcW w:w="272" w:type="pct"/>
            <w:shd w:val="clear" w:color="000000" w:fill="FFFFFF"/>
            <w:vAlign w:val="center"/>
          </w:tcPr>
          <w:p w14:paraId="00270D43" w14:textId="55A6581D" w:rsidR="00947DD4" w:rsidRPr="00B0658A" w:rsidRDefault="00947DD4" w:rsidP="00947DD4">
            <w:pPr>
              <w:spacing w:after="0" w:line="240" w:lineRule="auto"/>
              <w:jc w:val="center"/>
              <w:rPr>
                <w:rFonts w:ascii="Times New Roman" w:hAnsi="Times New Roman"/>
                <w:sz w:val="18"/>
                <w:szCs w:val="18"/>
              </w:rPr>
            </w:pPr>
            <w:r w:rsidRPr="00B0658A">
              <w:rPr>
                <w:rFonts w:ascii="Times New Roman" w:hAnsi="Times New Roman"/>
                <w:sz w:val="18"/>
                <w:szCs w:val="18"/>
              </w:rPr>
              <w:t>100%</w:t>
            </w:r>
          </w:p>
        </w:tc>
        <w:tc>
          <w:tcPr>
            <w:tcW w:w="299" w:type="pct"/>
            <w:shd w:val="clear" w:color="000000" w:fill="FFFFFF"/>
            <w:vAlign w:val="center"/>
          </w:tcPr>
          <w:p w14:paraId="7534613C" w14:textId="77777777" w:rsidR="00947DD4" w:rsidRPr="00B0658A" w:rsidRDefault="00947DD4" w:rsidP="00947DD4">
            <w:pPr>
              <w:spacing w:after="0" w:line="240" w:lineRule="auto"/>
              <w:jc w:val="center"/>
              <w:rPr>
                <w:rFonts w:ascii="Times New Roman" w:hAnsi="Times New Roman"/>
                <w:sz w:val="18"/>
                <w:szCs w:val="18"/>
              </w:rPr>
            </w:pPr>
            <w:r w:rsidRPr="00B0658A">
              <w:rPr>
                <w:rFonts w:ascii="Times New Roman" w:hAnsi="Times New Roman"/>
                <w:sz w:val="18"/>
                <w:szCs w:val="18"/>
              </w:rPr>
              <w:t>100%</w:t>
            </w:r>
          </w:p>
        </w:tc>
        <w:tc>
          <w:tcPr>
            <w:tcW w:w="297" w:type="pct"/>
            <w:shd w:val="clear" w:color="000000" w:fill="FFFFFF"/>
            <w:vAlign w:val="center"/>
          </w:tcPr>
          <w:p w14:paraId="758326D8" w14:textId="77777777" w:rsidR="00947DD4" w:rsidRPr="00B0658A" w:rsidRDefault="00947DD4" w:rsidP="00947DD4">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947DD4" w:rsidRPr="00B0658A" w14:paraId="463BE655" w14:textId="77777777" w:rsidTr="00FE71B1">
        <w:trPr>
          <w:trHeight w:val="20"/>
        </w:trPr>
        <w:tc>
          <w:tcPr>
            <w:tcW w:w="283" w:type="pct"/>
            <w:shd w:val="clear" w:color="000000" w:fill="FFFFFF"/>
            <w:vAlign w:val="center"/>
          </w:tcPr>
          <w:p w14:paraId="23978288" w14:textId="77777777" w:rsidR="00947DD4" w:rsidRPr="00B0658A" w:rsidRDefault="00947DD4" w:rsidP="00FE71B1">
            <w:pPr>
              <w:spacing w:after="0" w:line="240" w:lineRule="auto"/>
              <w:jc w:val="center"/>
              <w:rPr>
                <w:rFonts w:ascii="Times New Roman" w:hAnsi="Times New Roman"/>
                <w:sz w:val="18"/>
                <w:szCs w:val="18"/>
              </w:rPr>
            </w:pPr>
            <w:r w:rsidRPr="00B0658A">
              <w:rPr>
                <w:rFonts w:ascii="Times New Roman" w:hAnsi="Times New Roman"/>
                <w:sz w:val="18"/>
                <w:szCs w:val="18"/>
              </w:rPr>
              <w:t>6.6</w:t>
            </w:r>
          </w:p>
        </w:tc>
        <w:tc>
          <w:tcPr>
            <w:tcW w:w="1013" w:type="pct"/>
            <w:shd w:val="clear" w:color="auto" w:fill="auto"/>
            <w:vAlign w:val="center"/>
          </w:tcPr>
          <w:p w14:paraId="067766F0" w14:textId="77777777" w:rsidR="00947DD4" w:rsidRPr="00B0658A" w:rsidRDefault="00947DD4" w:rsidP="00947DD4">
            <w:pPr>
              <w:spacing w:after="0" w:line="240" w:lineRule="auto"/>
              <w:rPr>
                <w:rFonts w:ascii="Times New Roman" w:hAnsi="Times New Roman"/>
                <w:sz w:val="18"/>
                <w:szCs w:val="18"/>
              </w:rPr>
            </w:pPr>
            <w:r w:rsidRPr="00B0658A">
              <w:rPr>
                <w:rFonts w:ascii="Times New Roman" w:hAnsi="Times New Roman"/>
                <w:sz w:val="18"/>
                <w:szCs w:val="18"/>
              </w:rPr>
              <w:t>Офисные приложения/ Средства просмотра</w:t>
            </w:r>
          </w:p>
        </w:tc>
        <w:tc>
          <w:tcPr>
            <w:tcW w:w="704" w:type="pct"/>
            <w:shd w:val="clear" w:color="000000" w:fill="FFFFFF"/>
          </w:tcPr>
          <w:p w14:paraId="2DB4BC43" w14:textId="77777777" w:rsidR="00947DD4" w:rsidRPr="00B0658A" w:rsidRDefault="00947DD4" w:rsidP="00947DD4">
            <w:pPr>
              <w:spacing w:after="0" w:line="240" w:lineRule="auto"/>
              <w:rPr>
                <w:rFonts w:ascii="Times New Roman" w:hAnsi="Times New Roman"/>
                <w:sz w:val="18"/>
                <w:szCs w:val="18"/>
              </w:rPr>
            </w:pPr>
            <w:r w:rsidRPr="00B0658A">
              <w:rPr>
                <w:rFonts w:ascii="Times New Roman" w:hAnsi="Times New Roman"/>
                <w:sz w:val="18"/>
                <w:szCs w:val="18"/>
              </w:rPr>
              <w:t xml:space="preserve">Доля используемого российского ПО в </w:t>
            </w:r>
            <w:r w:rsidRPr="00B0658A">
              <w:rPr>
                <w:rFonts w:ascii="Times New Roman" w:hAnsi="Times New Roman"/>
                <w:sz w:val="18"/>
                <w:szCs w:val="18"/>
              </w:rPr>
              <w:lastRenderedPageBreak/>
              <w:t>общем объёме, используемого ПО, %</w:t>
            </w:r>
          </w:p>
        </w:tc>
        <w:tc>
          <w:tcPr>
            <w:tcW w:w="303" w:type="pct"/>
            <w:shd w:val="clear" w:color="000000" w:fill="FFFFFF"/>
            <w:vAlign w:val="center"/>
          </w:tcPr>
          <w:p w14:paraId="09A71D3A" w14:textId="77777777" w:rsidR="00947DD4" w:rsidRPr="00B0658A" w:rsidRDefault="00947DD4" w:rsidP="00947DD4">
            <w:pPr>
              <w:spacing w:after="0" w:line="240" w:lineRule="auto"/>
              <w:jc w:val="center"/>
              <w:rPr>
                <w:rFonts w:ascii="Times New Roman" w:hAnsi="Times New Roman"/>
                <w:sz w:val="18"/>
                <w:szCs w:val="18"/>
              </w:rPr>
            </w:pPr>
            <w:r>
              <w:rPr>
                <w:rFonts w:ascii="Times New Roman" w:hAnsi="Times New Roman"/>
                <w:sz w:val="18"/>
                <w:szCs w:val="18"/>
              </w:rPr>
              <w:lastRenderedPageBreak/>
              <w:t>-*</w:t>
            </w:r>
          </w:p>
        </w:tc>
        <w:tc>
          <w:tcPr>
            <w:tcW w:w="303" w:type="pct"/>
            <w:shd w:val="clear" w:color="000000" w:fill="FFFFFF"/>
            <w:vAlign w:val="center"/>
          </w:tcPr>
          <w:p w14:paraId="6B18E71A" w14:textId="77777777" w:rsidR="00947DD4" w:rsidRPr="00B0658A" w:rsidRDefault="00947DD4" w:rsidP="00947DD4">
            <w:pPr>
              <w:spacing w:after="0" w:line="240" w:lineRule="auto"/>
              <w:jc w:val="center"/>
              <w:rPr>
                <w:rFonts w:ascii="Times New Roman" w:hAnsi="Times New Roman"/>
                <w:sz w:val="18"/>
                <w:szCs w:val="18"/>
              </w:rPr>
            </w:pPr>
            <w:r w:rsidRPr="00901DB0">
              <w:rPr>
                <w:rFonts w:ascii="Times New Roman" w:hAnsi="Times New Roman"/>
                <w:sz w:val="18"/>
                <w:szCs w:val="18"/>
              </w:rPr>
              <w:t>-*</w:t>
            </w:r>
          </w:p>
        </w:tc>
        <w:tc>
          <w:tcPr>
            <w:tcW w:w="303" w:type="pct"/>
            <w:shd w:val="clear" w:color="000000" w:fill="FFFFFF"/>
            <w:vAlign w:val="center"/>
          </w:tcPr>
          <w:p w14:paraId="3566B0A7" w14:textId="77777777" w:rsidR="00947DD4" w:rsidRPr="00B0658A" w:rsidRDefault="00947DD4" w:rsidP="00947DD4">
            <w:pPr>
              <w:spacing w:after="0" w:line="240" w:lineRule="auto"/>
              <w:jc w:val="center"/>
              <w:rPr>
                <w:rFonts w:ascii="Times New Roman" w:hAnsi="Times New Roman"/>
                <w:sz w:val="18"/>
                <w:szCs w:val="18"/>
              </w:rPr>
            </w:pPr>
            <w:r w:rsidRPr="00901DB0">
              <w:rPr>
                <w:rFonts w:ascii="Times New Roman" w:hAnsi="Times New Roman"/>
                <w:sz w:val="18"/>
                <w:szCs w:val="18"/>
              </w:rPr>
              <w:t>-*</w:t>
            </w:r>
          </w:p>
        </w:tc>
        <w:tc>
          <w:tcPr>
            <w:tcW w:w="313" w:type="pct"/>
            <w:shd w:val="clear" w:color="000000" w:fill="FFFFFF"/>
            <w:vAlign w:val="center"/>
          </w:tcPr>
          <w:p w14:paraId="3F93D933" w14:textId="77777777" w:rsidR="00947DD4" w:rsidRPr="00B0658A" w:rsidRDefault="00947DD4" w:rsidP="00947DD4">
            <w:pPr>
              <w:spacing w:after="0" w:line="240" w:lineRule="auto"/>
              <w:jc w:val="center"/>
              <w:rPr>
                <w:rFonts w:ascii="Times New Roman" w:hAnsi="Times New Roman"/>
                <w:sz w:val="18"/>
                <w:szCs w:val="18"/>
              </w:rPr>
            </w:pPr>
            <w:r w:rsidRPr="00B0658A">
              <w:rPr>
                <w:rFonts w:ascii="Times New Roman" w:hAnsi="Times New Roman"/>
                <w:sz w:val="18"/>
                <w:szCs w:val="18"/>
              </w:rPr>
              <w:t>100%</w:t>
            </w:r>
          </w:p>
        </w:tc>
        <w:tc>
          <w:tcPr>
            <w:tcW w:w="303" w:type="pct"/>
            <w:shd w:val="clear" w:color="000000" w:fill="FFFFFF"/>
            <w:vAlign w:val="center"/>
          </w:tcPr>
          <w:p w14:paraId="26004DE6" w14:textId="77777777" w:rsidR="00947DD4" w:rsidRPr="00B0658A" w:rsidRDefault="00947DD4" w:rsidP="00947DD4">
            <w:pPr>
              <w:spacing w:after="0" w:line="240" w:lineRule="auto"/>
              <w:jc w:val="center"/>
              <w:rPr>
                <w:rFonts w:ascii="Times New Roman" w:hAnsi="Times New Roman"/>
                <w:sz w:val="18"/>
                <w:szCs w:val="18"/>
              </w:rPr>
            </w:pPr>
            <w:r w:rsidRPr="00B0658A">
              <w:rPr>
                <w:rFonts w:ascii="Times New Roman" w:hAnsi="Times New Roman"/>
                <w:sz w:val="18"/>
                <w:szCs w:val="18"/>
              </w:rPr>
              <w:t>60%</w:t>
            </w:r>
          </w:p>
        </w:tc>
        <w:tc>
          <w:tcPr>
            <w:tcW w:w="303" w:type="pct"/>
            <w:shd w:val="clear" w:color="000000" w:fill="FFFFFF"/>
            <w:vAlign w:val="center"/>
          </w:tcPr>
          <w:p w14:paraId="74B93842" w14:textId="2C22657F" w:rsidR="00947DD4" w:rsidRPr="00B0658A" w:rsidRDefault="00947DD4" w:rsidP="00947DD4">
            <w:pPr>
              <w:spacing w:after="0" w:line="240" w:lineRule="auto"/>
              <w:jc w:val="center"/>
              <w:rPr>
                <w:rFonts w:ascii="Times New Roman" w:hAnsi="Times New Roman"/>
                <w:sz w:val="18"/>
                <w:szCs w:val="18"/>
              </w:rPr>
            </w:pPr>
            <w:r w:rsidRPr="00B0658A">
              <w:rPr>
                <w:rFonts w:ascii="Times New Roman" w:hAnsi="Times New Roman"/>
                <w:sz w:val="18"/>
                <w:szCs w:val="18"/>
              </w:rPr>
              <w:t>100%</w:t>
            </w:r>
          </w:p>
        </w:tc>
        <w:tc>
          <w:tcPr>
            <w:tcW w:w="303" w:type="pct"/>
            <w:shd w:val="clear" w:color="000000" w:fill="FFFFFF"/>
            <w:vAlign w:val="center"/>
          </w:tcPr>
          <w:p w14:paraId="00B035AA" w14:textId="16C25DE0" w:rsidR="00947DD4" w:rsidRPr="00B0658A" w:rsidRDefault="00947DD4" w:rsidP="00947DD4">
            <w:pPr>
              <w:spacing w:after="0" w:line="240" w:lineRule="auto"/>
              <w:jc w:val="center"/>
              <w:rPr>
                <w:rFonts w:ascii="Times New Roman" w:hAnsi="Times New Roman"/>
                <w:sz w:val="18"/>
                <w:szCs w:val="18"/>
              </w:rPr>
            </w:pPr>
            <w:r w:rsidRPr="00B0658A">
              <w:rPr>
                <w:rFonts w:ascii="Times New Roman" w:hAnsi="Times New Roman"/>
                <w:sz w:val="18"/>
                <w:szCs w:val="18"/>
              </w:rPr>
              <w:t>100%</w:t>
            </w:r>
          </w:p>
        </w:tc>
        <w:tc>
          <w:tcPr>
            <w:tcW w:w="272" w:type="pct"/>
            <w:shd w:val="clear" w:color="000000" w:fill="FFFFFF"/>
            <w:vAlign w:val="center"/>
          </w:tcPr>
          <w:p w14:paraId="03076DA3" w14:textId="1BE1D8A4" w:rsidR="00947DD4" w:rsidRPr="00B0658A" w:rsidRDefault="00947DD4" w:rsidP="00947DD4">
            <w:pPr>
              <w:spacing w:after="0" w:line="240" w:lineRule="auto"/>
              <w:jc w:val="center"/>
              <w:rPr>
                <w:rFonts w:ascii="Times New Roman" w:hAnsi="Times New Roman"/>
                <w:sz w:val="18"/>
                <w:szCs w:val="18"/>
              </w:rPr>
            </w:pPr>
            <w:r w:rsidRPr="00B0658A">
              <w:rPr>
                <w:rFonts w:ascii="Times New Roman" w:hAnsi="Times New Roman"/>
                <w:sz w:val="18"/>
                <w:szCs w:val="18"/>
              </w:rPr>
              <w:t>100%</w:t>
            </w:r>
          </w:p>
        </w:tc>
        <w:tc>
          <w:tcPr>
            <w:tcW w:w="299" w:type="pct"/>
            <w:shd w:val="clear" w:color="000000" w:fill="FFFFFF"/>
            <w:vAlign w:val="center"/>
          </w:tcPr>
          <w:p w14:paraId="4F05C681" w14:textId="20B00848" w:rsidR="00947DD4" w:rsidRPr="00B0658A" w:rsidRDefault="00E42908" w:rsidP="00947DD4">
            <w:pPr>
              <w:spacing w:after="0" w:line="240" w:lineRule="auto"/>
              <w:jc w:val="center"/>
              <w:rPr>
                <w:rFonts w:ascii="Times New Roman" w:hAnsi="Times New Roman"/>
                <w:sz w:val="18"/>
                <w:szCs w:val="18"/>
              </w:rPr>
            </w:pPr>
            <w:r>
              <w:rPr>
                <w:rFonts w:ascii="Times New Roman" w:hAnsi="Times New Roman"/>
                <w:sz w:val="18"/>
                <w:szCs w:val="18"/>
                <w:lang w:val="en-US"/>
              </w:rPr>
              <w:t>100</w:t>
            </w:r>
            <w:r w:rsidR="00947DD4" w:rsidRPr="00B0658A">
              <w:rPr>
                <w:rFonts w:ascii="Times New Roman" w:hAnsi="Times New Roman"/>
                <w:sz w:val="18"/>
                <w:szCs w:val="18"/>
              </w:rPr>
              <w:t>%</w:t>
            </w:r>
          </w:p>
        </w:tc>
        <w:tc>
          <w:tcPr>
            <w:tcW w:w="297" w:type="pct"/>
            <w:shd w:val="clear" w:color="000000" w:fill="FFFFFF"/>
            <w:vAlign w:val="center"/>
          </w:tcPr>
          <w:p w14:paraId="2B9D225C" w14:textId="77777777" w:rsidR="00947DD4" w:rsidRPr="00B0658A" w:rsidRDefault="00947DD4" w:rsidP="00947DD4">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FD16E4" w:rsidRPr="00B0658A" w14:paraId="79F7F0F9" w14:textId="77777777" w:rsidTr="00FE71B1">
        <w:trPr>
          <w:trHeight w:val="20"/>
        </w:trPr>
        <w:tc>
          <w:tcPr>
            <w:tcW w:w="283" w:type="pct"/>
            <w:shd w:val="clear" w:color="000000" w:fill="FFFFFF"/>
            <w:vAlign w:val="center"/>
          </w:tcPr>
          <w:p w14:paraId="03002C97" w14:textId="77777777" w:rsidR="00FD16E4" w:rsidRPr="00B0658A" w:rsidRDefault="00FD16E4" w:rsidP="00FE71B1">
            <w:pPr>
              <w:spacing w:after="0" w:line="240" w:lineRule="auto"/>
              <w:jc w:val="center"/>
              <w:rPr>
                <w:rFonts w:ascii="Times New Roman" w:hAnsi="Times New Roman"/>
                <w:sz w:val="18"/>
                <w:szCs w:val="18"/>
              </w:rPr>
            </w:pPr>
            <w:r w:rsidRPr="00B0658A">
              <w:rPr>
                <w:rFonts w:ascii="Times New Roman" w:hAnsi="Times New Roman"/>
                <w:sz w:val="18"/>
                <w:szCs w:val="18"/>
              </w:rPr>
              <w:t>6.7</w:t>
            </w:r>
          </w:p>
        </w:tc>
        <w:tc>
          <w:tcPr>
            <w:tcW w:w="1013" w:type="pct"/>
            <w:shd w:val="clear" w:color="auto" w:fill="auto"/>
            <w:vAlign w:val="center"/>
          </w:tcPr>
          <w:p w14:paraId="38BB4AF0" w14:textId="77777777" w:rsidR="00FD16E4" w:rsidRPr="00B0658A" w:rsidRDefault="00FD16E4" w:rsidP="00FD16E4">
            <w:pPr>
              <w:spacing w:after="0" w:line="240" w:lineRule="auto"/>
              <w:rPr>
                <w:rFonts w:ascii="Times New Roman" w:hAnsi="Times New Roman"/>
                <w:sz w:val="18"/>
                <w:szCs w:val="18"/>
              </w:rPr>
            </w:pPr>
            <w:r w:rsidRPr="00B0658A">
              <w:rPr>
                <w:rFonts w:ascii="Times New Roman" w:hAnsi="Times New Roman"/>
                <w:sz w:val="18"/>
                <w:szCs w:val="18"/>
              </w:rPr>
              <w:t>Офисные приложения/ Браузеры</w:t>
            </w:r>
          </w:p>
        </w:tc>
        <w:tc>
          <w:tcPr>
            <w:tcW w:w="704" w:type="pct"/>
            <w:shd w:val="clear" w:color="000000" w:fill="FFFFFF"/>
          </w:tcPr>
          <w:p w14:paraId="0436A7DE" w14:textId="77777777" w:rsidR="00FD16E4" w:rsidRPr="00B0658A" w:rsidRDefault="00FD16E4" w:rsidP="00FD16E4">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03" w:type="pct"/>
            <w:shd w:val="clear" w:color="000000" w:fill="FFFFFF"/>
            <w:vAlign w:val="center"/>
          </w:tcPr>
          <w:p w14:paraId="3FD2AF7D" w14:textId="77777777" w:rsidR="00FD16E4" w:rsidRPr="00B0658A" w:rsidRDefault="00FD16E4" w:rsidP="00FD16E4">
            <w:pPr>
              <w:spacing w:after="0" w:line="240" w:lineRule="auto"/>
              <w:jc w:val="center"/>
              <w:rPr>
                <w:rFonts w:ascii="Times New Roman" w:hAnsi="Times New Roman"/>
                <w:sz w:val="18"/>
                <w:szCs w:val="18"/>
              </w:rPr>
            </w:pPr>
            <w:r>
              <w:rPr>
                <w:rFonts w:ascii="Times New Roman" w:hAnsi="Times New Roman"/>
                <w:sz w:val="18"/>
                <w:szCs w:val="18"/>
              </w:rPr>
              <w:t>-*</w:t>
            </w:r>
          </w:p>
        </w:tc>
        <w:tc>
          <w:tcPr>
            <w:tcW w:w="303" w:type="pct"/>
            <w:shd w:val="clear" w:color="000000" w:fill="FFFFFF"/>
            <w:vAlign w:val="center"/>
          </w:tcPr>
          <w:p w14:paraId="10A31EF6" w14:textId="77777777" w:rsidR="00FD16E4" w:rsidRPr="00B0658A" w:rsidRDefault="00FD16E4" w:rsidP="00FD16E4">
            <w:pPr>
              <w:spacing w:after="0" w:line="240" w:lineRule="auto"/>
              <w:jc w:val="center"/>
              <w:rPr>
                <w:rFonts w:ascii="Times New Roman" w:hAnsi="Times New Roman"/>
                <w:sz w:val="18"/>
                <w:szCs w:val="18"/>
              </w:rPr>
            </w:pPr>
            <w:r w:rsidRPr="00901DB0">
              <w:rPr>
                <w:rFonts w:ascii="Times New Roman" w:hAnsi="Times New Roman"/>
                <w:sz w:val="18"/>
                <w:szCs w:val="18"/>
              </w:rPr>
              <w:t>-*</w:t>
            </w:r>
          </w:p>
        </w:tc>
        <w:tc>
          <w:tcPr>
            <w:tcW w:w="303" w:type="pct"/>
            <w:shd w:val="clear" w:color="000000" w:fill="FFFFFF"/>
            <w:vAlign w:val="center"/>
          </w:tcPr>
          <w:p w14:paraId="5CE780F5" w14:textId="77777777" w:rsidR="00FD16E4" w:rsidRPr="00B0658A" w:rsidRDefault="00FD16E4" w:rsidP="00FD16E4">
            <w:pPr>
              <w:spacing w:after="0" w:line="240" w:lineRule="auto"/>
              <w:jc w:val="center"/>
              <w:rPr>
                <w:rFonts w:ascii="Times New Roman" w:hAnsi="Times New Roman"/>
                <w:sz w:val="18"/>
                <w:szCs w:val="18"/>
              </w:rPr>
            </w:pPr>
            <w:r w:rsidRPr="00901DB0">
              <w:rPr>
                <w:rFonts w:ascii="Times New Roman" w:hAnsi="Times New Roman"/>
                <w:sz w:val="18"/>
                <w:szCs w:val="18"/>
              </w:rPr>
              <w:t>-*</w:t>
            </w:r>
          </w:p>
        </w:tc>
        <w:tc>
          <w:tcPr>
            <w:tcW w:w="313" w:type="pct"/>
            <w:shd w:val="clear" w:color="000000" w:fill="FFFFFF"/>
            <w:vAlign w:val="center"/>
          </w:tcPr>
          <w:p w14:paraId="384B1CAF"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100%</w:t>
            </w:r>
          </w:p>
        </w:tc>
        <w:tc>
          <w:tcPr>
            <w:tcW w:w="303" w:type="pct"/>
            <w:shd w:val="clear" w:color="000000" w:fill="FFFFFF"/>
            <w:vAlign w:val="center"/>
          </w:tcPr>
          <w:p w14:paraId="34982BB5"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100%</w:t>
            </w:r>
          </w:p>
        </w:tc>
        <w:tc>
          <w:tcPr>
            <w:tcW w:w="303" w:type="pct"/>
            <w:shd w:val="clear" w:color="000000" w:fill="FFFFFF"/>
            <w:vAlign w:val="center"/>
          </w:tcPr>
          <w:p w14:paraId="4CD19931"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100%</w:t>
            </w:r>
          </w:p>
        </w:tc>
        <w:tc>
          <w:tcPr>
            <w:tcW w:w="303" w:type="pct"/>
            <w:shd w:val="clear" w:color="000000" w:fill="FFFFFF"/>
            <w:vAlign w:val="center"/>
          </w:tcPr>
          <w:p w14:paraId="1FEECFDC"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100%</w:t>
            </w:r>
          </w:p>
        </w:tc>
        <w:tc>
          <w:tcPr>
            <w:tcW w:w="272" w:type="pct"/>
            <w:shd w:val="clear" w:color="000000" w:fill="FFFFFF"/>
            <w:vAlign w:val="center"/>
          </w:tcPr>
          <w:p w14:paraId="27A8E358"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100%</w:t>
            </w:r>
          </w:p>
        </w:tc>
        <w:tc>
          <w:tcPr>
            <w:tcW w:w="299" w:type="pct"/>
            <w:shd w:val="clear" w:color="000000" w:fill="FFFFFF"/>
            <w:vAlign w:val="center"/>
          </w:tcPr>
          <w:p w14:paraId="15267832"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100%</w:t>
            </w:r>
          </w:p>
        </w:tc>
        <w:tc>
          <w:tcPr>
            <w:tcW w:w="297" w:type="pct"/>
            <w:shd w:val="clear" w:color="000000" w:fill="FFFFFF"/>
            <w:vAlign w:val="center"/>
          </w:tcPr>
          <w:p w14:paraId="7FDDC5BD"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FD16E4" w:rsidRPr="00B0658A" w14:paraId="63485F47" w14:textId="77777777" w:rsidTr="00FE71B1">
        <w:trPr>
          <w:trHeight w:val="20"/>
        </w:trPr>
        <w:tc>
          <w:tcPr>
            <w:tcW w:w="283" w:type="pct"/>
            <w:shd w:val="clear" w:color="000000" w:fill="FFFFFF"/>
            <w:vAlign w:val="center"/>
          </w:tcPr>
          <w:p w14:paraId="37E4707A" w14:textId="77777777" w:rsidR="00FD16E4" w:rsidRPr="00B0658A" w:rsidRDefault="00FD16E4" w:rsidP="00FE71B1">
            <w:pPr>
              <w:spacing w:after="0" w:line="240" w:lineRule="auto"/>
              <w:jc w:val="center"/>
              <w:rPr>
                <w:rFonts w:ascii="Times New Roman" w:hAnsi="Times New Roman"/>
                <w:sz w:val="18"/>
                <w:szCs w:val="18"/>
              </w:rPr>
            </w:pPr>
            <w:r w:rsidRPr="00B0658A">
              <w:rPr>
                <w:rFonts w:ascii="Times New Roman" w:hAnsi="Times New Roman"/>
                <w:sz w:val="18"/>
                <w:szCs w:val="18"/>
              </w:rPr>
              <w:t>6.8</w:t>
            </w:r>
          </w:p>
        </w:tc>
        <w:tc>
          <w:tcPr>
            <w:tcW w:w="1013" w:type="pct"/>
            <w:shd w:val="clear" w:color="auto" w:fill="auto"/>
            <w:vAlign w:val="center"/>
          </w:tcPr>
          <w:p w14:paraId="51BBC113" w14:textId="77777777" w:rsidR="00FD16E4" w:rsidRPr="00B0658A" w:rsidRDefault="00FD16E4" w:rsidP="00FD16E4">
            <w:pPr>
              <w:spacing w:after="0" w:line="240" w:lineRule="auto"/>
              <w:rPr>
                <w:rFonts w:ascii="Times New Roman" w:hAnsi="Times New Roman"/>
                <w:sz w:val="18"/>
                <w:szCs w:val="18"/>
              </w:rPr>
            </w:pPr>
            <w:r w:rsidRPr="00B0658A">
              <w:rPr>
                <w:rFonts w:ascii="Times New Roman" w:hAnsi="Times New Roman"/>
                <w:sz w:val="18"/>
                <w:szCs w:val="18"/>
              </w:rPr>
              <w:t>Офисные приложения/ Редакторы мультимедиа</w:t>
            </w:r>
          </w:p>
        </w:tc>
        <w:tc>
          <w:tcPr>
            <w:tcW w:w="704" w:type="pct"/>
            <w:shd w:val="clear" w:color="000000" w:fill="FFFFFF"/>
          </w:tcPr>
          <w:p w14:paraId="2AEADE0E" w14:textId="77777777" w:rsidR="00FD16E4" w:rsidRPr="00B0658A" w:rsidRDefault="00FD16E4" w:rsidP="00FD16E4">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03" w:type="pct"/>
            <w:shd w:val="clear" w:color="000000" w:fill="FFFFFF"/>
            <w:vAlign w:val="center"/>
          </w:tcPr>
          <w:p w14:paraId="0F5584FF" w14:textId="77777777" w:rsidR="00FD16E4" w:rsidRPr="00B0658A" w:rsidRDefault="00FD16E4" w:rsidP="00FD16E4">
            <w:pPr>
              <w:spacing w:after="0" w:line="240" w:lineRule="auto"/>
              <w:jc w:val="center"/>
              <w:rPr>
                <w:rFonts w:ascii="Times New Roman" w:hAnsi="Times New Roman"/>
                <w:sz w:val="18"/>
                <w:szCs w:val="18"/>
              </w:rPr>
            </w:pPr>
            <w:r>
              <w:rPr>
                <w:rFonts w:ascii="Times New Roman" w:hAnsi="Times New Roman"/>
                <w:sz w:val="18"/>
                <w:szCs w:val="18"/>
              </w:rPr>
              <w:t>-*</w:t>
            </w:r>
          </w:p>
        </w:tc>
        <w:tc>
          <w:tcPr>
            <w:tcW w:w="303" w:type="pct"/>
            <w:shd w:val="clear" w:color="000000" w:fill="FFFFFF"/>
            <w:vAlign w:val="center"/>
          </w:tcPr>
          <w:p w14:paraId="5EDBF02B" w14:textId="77777777" w:rsidR="00FD16E4" w:rsidRPr="00B0658A" w:rsidRDefault="00FD16E4" w:rsidP="00FD16E4">
            <w:pPr>
              <w:spacing w:after="0" w:line="240" w:lineRule="auto"/>
              <w:jc w:val="center"/>
              <w:rPr>
                <w:rFonts w:ascii="Times New Roman" w:hAnsi="Times New Roman"/>
                <w:sz w:val="18"/>
                <w:szCs w:val="18"/>
              </w:rPr>
            </w:pPr>
            <w:r w:rsidRPr="00901DB0">
              <w:rPr>
                <w:rFonts w:ascii="Times New Roman" w:hAnsi="Times New Roman"/>
                <w:sz w:val="18"/>
                <w:szCs w:val="18"/>
              </w:rPr>
              <w:t>-*</w:t>
            </w:r>
          </w:p>
        </w:tc>
        <w:tc>
          <w:tcPr>
            <w:tcW w:w="303" w:type="pct"/>
            <w:shd w:val="clear" w:color="000000" w:fill="FFFFFF"/>
            <w:vAlign w:val="center"/>
          </w:tcPr>
          <w:p w14:paraId="3699910A" w14:textId="77777777" w:rsidR="00FD16E4" w:rsidRPr="00B0658A" w:rsidRDefault="00FD16E4" w:rsidP="00FD16E4">
            <w:pPr>
              <w:spacing w:after="0" w:line="240" w:lineRule="auto"/>
              <w:jc w:val="center"/>
              <w:rPr>
                <w:rFonts w:ascii="Times New Roman" w:hAnsi="Times New Roman"/>
                <w:sz w:val="18"/>
                <w:szCs w:val="18"/>
              </w:rPr>
            </w:pPr>
            <w:r w:rsidRPr="00901DB0">
              <w:rPr>
                <w:rFonts w:ascii="Times New Roman" w:hAnsi="Times New Roman"/>
                <w:sz w:val="18"/>
                <w:szCs w:val="18"/>
              </w:rPr>
              <w:t>-*</w:t>
            </w:r>
          </w:p>
        </w:tc>
        <w:tc>
          <w:tcPr>
            <w:tcW w:w="313" w:type="pct"/>
            <w:shd w:val="clear" w:color="000000" w:fill="FFFFFF"/>
            <w:vAlign w:val="center"/>
          </w:tcPr>
          <w:p w14:paraId="3C5E0A4B"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100%</w:t>
            </w:r>
          </w:p>
        </w:tc>
        <w:tc>
          <w:tcPr>
            <w:tcW w:w="303" w:type="pct"/>
            <w:shd w:val="clear" w:color="000000" w:fill="FFFFFF"/>
            <w:vAlign w:val="center"/>
          </w:tcPr>
          <w:p w14:paraId="7EBDBB08"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100%</w:t>
            </w:r>
          </w:p>
        </w:tc>
        <w:tc>
          <w:tcPr>
            <w:tcW w:w="303" w:type="pct"/>
            <w:shd w:val="clear" w:color="000000" w:fill="FFFFFF"/>
            <w:vAlign w:val="center"/>
          </w:tcPr>
          <w:p w14:paraId="4FBD0F4D"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100%</w:t>
            </w:r>
          </w:p>
        </w:tc>
        <w:tc>
          <w:tcPr>
            <w:tcW w:w="303" w:type="pct"/>
            <w:shd w:val="clear" w:color="000000" w:fill="FFFFFF"/>
            <w:vAlign w:val="center"/>
          </w:tcPr>
          <w:p w14:paraId="2300DE4E"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100%</w:t>
            </w:r>
          </w:p>
        </w:tc>
        <w:tc>
          <w:tcPr>
            <w:tcW w:w="272" w:type="pct"/>
            <w:shd w:val="clear" w:color="000000" w:fill="FFFFFF"/>
            <w:vAlign w:val="center"/>
          </w:tcPr>
          <w:p w14:paraId="735D2E4D"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100%</w:t>
            </w:r>
          </w:p>
        </w:tc>
        <w:tc>
          <w:tcPr>
            <w:tcW w:w="299" w:type="pct"/>
            <w:shd w:val="clear" w:color="000000" w:fill="FFFFFF"/>
            <w:vAlign w:val="center"/>
          </w:tcPr>
          <w:p w14:paraId="58C62340"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100%</w:t>
            </w:r>
          </w:p>
        </w:tc>
        <w:tc>
          <w:tcPr>
            <w:tcW w:w="297" w:type="pct"/>
            <w:shd w:val="clear" w:color="000000" w:fill="FFFFFF"/>
            <w:vAlign w:val="center"/>
          </w:tcPr>
          <w:p w14:paraId="44434204"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FD16E4" w:rsidRPr="00B0658A" w14:paraId="4C0540E1" w14:textId="77777777" w:rsidTr="00FE71B1">
        <w:trPr>
          <w:trHeight w:val="20"/>
        </w:trPr>
        <w:tc>
          <w:tcPr>
            <w:tcW w:w="283" w:type="pct"/>
            <w:shd w:val="clear" w:color="000000" w:fill="FFFFFF"/>
            <w:vAlign w:val="center"/>
          </w:tcPr>
          <w:p w14:paraId="6A7C2019" w14:textId="77777777" w:rsidR="00FD16E4" w:rsidRPr="00B0658A" w:rsidRDefault="00FD16E4" w:rsidP="00FE71B1">
            <w:pPr>
              <w:spacing w:after="0" w:line="240" w:lineRule="auto"/>
              <w:jc w:val="center"/>
              <w:rPr>
                <w:rFonts w:ascii="Times New Roman" w:hAnsi="Times New Roman"/>
                <w:sz w:val="18"/>
                <w:szCs w:val="18"/>
              </w:rPr>
            </w:pPr>
            <w:r w:rsidRPr="00B0658A">
              <w:rPr>
                <w:rFonts w:ascii="Times New Roman" w:hAnsi="Times New Roman"/>
                <w:sz w:val="18"/>
                <w:szCs w:val="18"/>
              </w:rPr>
              <w:t>6.9</w:t>
            </w:r>
          </w:p>
        </w:tc>
        <w:tc>
          <w:tcPr>
            <w:tcW w:w="1013" w:type="pct"/>
            <w:shd w:val="clear" w:color="auto" w:fill="auto"/>
            <w:vAlign w:val="center"/>
          </w:tcPr>
          <w:p w14:paraId="36E86235" w14:textId="77777777" w:rsidR="00FD16E4" w:rsidRPr="00B0658A" w:rsidRDefault="00FD16E4" w:rsidP="00FD16E4">
            <w:pPr>
              <w:spacing w:after="0" w:line="240" w:lineRule="auto"/>
              <w:rPr>
                <w:rFonts w:ascii="Times New Roman" w:hAnsi="Times New Roman"/>
                <w:sz w:val="18"/>
                <w:szCs w:val="18"/>
              </w:rPr>
            </w:pPr>
            <w:r w:rsidRPr="00B0658A">
              <w:rPr>
                <w:rFonts w:ascii="Times New Roman" w:hAnsi="Times New Roman"/>
                <w:sz w:val="18"/>
                <w:szCs w:val="18"/>
              </w:rPr>
              <w:t>Офисные приложения/ Редакторы презентаций</w:t>
            </w:r>
          </w:p>
        </w:tc>
        <w:tc>
          <w:tcPr>
            <w:tcW w:w="704" w:type="pct"/>
            <w:shd w:val="clear" w:color="000000" w:fill="FFFFFF"/>
          </w:tcPr>
          <w:p w14:paraId="0C0C6027" w14:textId="77777777" w:rsidR="00FD16E4" w:rsidRPr="00B0658A" w:rsidRDefault="00FD16E4" w:rsidP="00FD16E4">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03" w:type="pct"/>
            <w:shd w:val="clear" w:color="000000" w:fill="FFFFFF"/>
            <w:vAlign w:val="center"/>
          </w:tcPr>
          <w:p w14:paraId="51D163ED" w14:textId="77777777" w:rsidR="00FD16E4" w:rsidRPr="00B0658A" w:rsidRDefault="00FD16E4" w:rsidP="00FD16E4">
            <w:pPr>
              <w:spacing w:after="0" w:line="240" w:lineRule="auto"/>
              <w:jc w:val="center"/>
              <w:rPr>
                <w:rFonts w:ascii="Times New Roman" w:hAnsi="Times New Roman"/>
                <w:sz w:val="18"/>
                <w:szCs w:val="18"/>
              </w:rPr>
            </w:pPr>
            <w:r>
              <w:rPr>
                <w:rFonts w:ascii="Times New Roman" w:hAnsi="Times New Roman"/>
                <w:sz w:val="18"/>
                <w:szCs w:val="18"/>
              </w:rPr>
              <w:t>-*</w:t>
            </w:r>
          </w:p>
        </w:tc>
        <w:tc>
          <w:tcPr>
            <w:tcW w:w="303" w:type="pct"/>
            <w:shd w:val="clear" w:color="000000" w:fill="FFFFFF"/>
            <w:vAlign w:val="center"/>
          </w:tcPr>
          <w:p w14:paraId="68F357EE" w14:textId="77777777" w:rsidR="00FD16E4" w:rsidRPr="00B0658A" w:rsidRDefault="00FD16E4" w:rsidP="00FD16E4">
            <w:pPr>
              <w:spacing w:after="0" w:line="240" w:lineRule="auto"/>
              <w:jc w:val="center"/>
              <w:rPr>
                <w:rFonts w:ascii="Times New Roman" w:hAnsi="Times New Roman"/>
                <w:sz w:val="18"/>
                <w:szCs w:val="18"/>
              </w:rPr>
            </w:pPr>
            <w:r w:rsidRPr="00901DB0">
              <w:rPr>
                <w:rFonts w:ascii="Times New Roman" w:hAnsi="Times New Roman"/>
                <w:sz w:val="18"/>
                <w:szCs w:val="18"/>
              </w:rPr>
              <w:t>-*</w:t>
            </w:r>
          </w:p>
        </w:tc>
        <w:tc>
          <w:tcPr>
            <w:tcW w:w="303" w:type="pct"/>
            <w:shd w:val="clear" w:color="000000" w:fill="FFFFFF"/>
            <w:vAlign w:val="center"/>
          </w:tcPr>
          <w:p w14:paraId="5A8147AF" w14:textId="77777777" w:rsidR="00FD16E4" w:rsidRPr="00B0658A" w:rsidRDefault="00FD16E4" w:rsidP="00FD16E4">
            <w:pPr>
              <w:spacing w:after="0" w:line="240" w:lineRule="auto"/>
              <w:jc w:val="center"/>
              <w:rPr>
                <w:rFonts w:ascii="Times New Roman" w:hAnsi="Times New Roman"/>
                <w:sz w:val="18"/>
                <w:szCs w:val="18"/>
              </w:rPr>
            </w:pPr>
            <w:r w:rsidRPr="00901DB0">
              <w:rPr>
                <w:rFonts w:ascii="Times New Roman" w:hAnsi="Times New Roman"/>
                <w:sz w:val="18"/>
                <w:szCs w:val="18"/>
              </w:rPr>
              <w:t>-*</w:t>
            </w:r>
          </w:p>
        </w:tc>
        <w:tc>
          <w:tcPr>
            <w:tcW w:w="313" w:type="pct"/>
            <w:shd w:val="clear" w:color="000000" w:fill="FFFFFF"/>
            <w:vAlign w:val="center"/>
          </w:tcPr>
          <w:p w14:paraId="2CA7F8F0"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100%</w:t>
            </w:r>
          </w:p>
        </w:tc>
        <w:tc>
          <w:tcPr>
            <w:tcW w:w="303" w:type="pct"/>
            <w:shd w:val="clear" w:color="000000" w:fill="FFFFFF"/>
            <w:vAlign w:val="center"/>
          </w:tcPr>
          <w:p w14:paraId="4305EC66"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100%</w:t>
            </w:r>
          </w:p>
        </w:tc>
        <w:tc>
          <w:tcPr>
            <w:tcW w:w="303" w:type="pct"/>
            <w:shd w:val="clear" w:color="000000" w:fill="FFFFFF"/>
            <w:vAlign w:val="center"/>
          </w:tcPr>
          <w:p w14:paraId="554ADD65"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100%</w:t>
            </w:r>
          </w:p>
        </w:tc>
        <w:tc>
          <w:tcPr>
            <w:tcW w:w="303" w:type="pct"/>
            <w:shd w:val="clear" w:color="000000" w:fill="FFFFFF"/>
            <w:vAlign w:val="center"/>
          </w:tcPr>
          <w:p w14:paraId="341C4B73"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100%</w:t>
            </w:r>
          </w:p>
        </w:tc>
        <w:tc>
          <w:tcPr>
            <w:tcW w:w="272" w:type="pct"/>
            <w:shd w:val="clear" w:color="000000" w:fill="FFFFFF"/>
            <w:vAlign w:val="center"/>
          </w:tcPr>
          <w:p w14:paraId="3C8759DD"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100%</w:t>
            </w:r>
          </w:p>
        </w:tc>
        <w:tc>
          <w:tcPr>
            <w:tcW w:w="299" w:type="pct"/>
            <w:shd w:val="clear" w:color="000000" w:fill="FFFFFF"/>
            <w:vAlign w:val="center"/>
          </w:tcPr>
          <w:p w14:paraId="2F8F3A05"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100%</w:t>
            </w:r>
          </w:p>
        </w:tc>
        <w:tc>
          <w:tcPr>
            <w:tcW w:w="297" w:type="pct"/>
            <w:shd w:val="clear" w:color="000000" w:fill="FFFFFF"/>
            <w:vAlign w:val="center"/>
          </w:tcPr>
          <w:p w14:paraId="24B19747"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FD16E4" w:rsidRPr="00B0658A" w14:paraId="48C54EEC" w14:textId="77777777" w:rsidTr="00FE71B1">
        <w:trPr>
          <w:trHeight w:val="20"/>
        </w:trPr>
        <w:tc>
          <w:tcPr>
            <w:tcW w:w="283" w:type="pct"/>
            <w:shd w:val="clear" w:color="000000" w:fill="FFFFFF"/>
            <w:vAlign w:val="center"/>
          </w:tcPr>
          <w:p w14:paraId="0096D986" w14:textId="77777777" w:rsidR="00FD16E4" w:rsidRPr="00B0658A" w:rsidRDefault="00FD16E4" w:rsidP="00FE71B1">
            <w:pPr>
              <w:spacing w:after="0" w:line="240" w:lineRule="auto"/>
              <w:jc w:val="center"/>
              <w:rPr>
                <w:rFonts w:ascii="Times New Roman" w:hAnsi="Times New Roman"/>
                <w:sz w:val="18"/>
                <w:szCs w:val="18"/>
              </w:rPr>
            </w:pPr>
            <w:r w:rsidRPr="00B0658A">
              <w:rPr>
                <w:rFonts w:ascii="Times New Roman" w:hAnsi="Times New Roman"/>
                <w:sz w:val="18"/>
                <w:szCs w:val="18"/>
              </w:rPr>
              <w:t>6.10</w:t>
            </w:r>
          </w:p>
        </w:tc>
        <w:tc>
          <w:tcPr>
            <w:tcW w:w="1013" w:type="pct"/>
            <w:shd w:val="clear" w:color="auto" w:fill="auto"/>
            <w:vAlign w:val="center"/>
          </w:tcPr>
          <w:p w14:paraId="36239EBB" w14:textId="77777777" w:rsidR="00FD16E4" w:rsidRPr="00B0658A" w:rsidRDefault="00FD16E4" w:rsidP="00FD16E4">
            <w:pPr>
              <w:spacing w:after="0" w:line="240" w:lineRule="auto"/>
              <w:rPr>
                <w:rFonts w:ascii="Times New Roman" w:hAnsi="Times New Roman"/>
                <w:sz w:val="18"/>
                <w:szCs w:val="18"/>
              </w:rPr>
            </w:pPr>
            <w:r w:rsidRPr="00B0658A">
              <w:rPr>
                <w:rFonts w:ascii="Times New Roman" w:hAnsi="Times New Roman"/>
                <w:sz w:val="18"/>
                <w:szCs w:val="18"/>
              </w:rPr>
              <w:t>Офисные приложения/ Табличные редакторы</w:t>
            </w:r>
          </w:p>
        </w:tc>
        <w:tc>
          <w:tcPr>
            <w:tcW w:w="704" w:type="pct"/>
            <w:shd w:val="clear" w:color="000000" w:fill="FFFFFF"/>
          </w:tcPr>
          <w:p w14:paraId="0F8D367E" w14:textId="77777777" w:rsidR="00FD16E4" w:rsidRPr="00B0658A" w:rsidRDefault="00FD16E4" w:rsidP="00FD16E4">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03" w:type="pct"/>
            <w:shd w:val="clear" w:color="000000" w:fill="FFFFFF"/>
            <w:vAlign w:val="center"/>
          </w:tcPr>
          <w:p w14:paraId="37703473" w14:textId="77777777" w:rsidR="00FD16E4" w:rsidRPr="00B0658A" w:rsidRDefault="00FD16E4" w:rsidP="00FD16E4">
            <w:pPr>
              <w:spacing w:after="0" w:line="240" w:lineRule="auto"/>
              <w:jc w:val="center"/>
              <w:rPr>
                <w:rFonts w:ascii="Times New Roman" w:hAnsi="Times New Roman"/>
                <w:sz w:val="18"/>
                <w:szCs w:val="18"/>
              </w:rPr>
            </w:pPr>
            <w:r>
              <w:rPr>
                <w:rFonts w:ascii="Times New Roman" w:hAnsi="Times New Roman"/>
                <w:sz w:val="18"/>
                <w:szCs w:val="18"/>
              </w:rPr>
              <w:t>-*</w:t>
            </w:r>
          </w:p>
        </w:tc>
        <w:tc>
          <w:tcPr>
            <w:tcW w:w="303" w:type="pct"/>
            <w:shd w:val="clear" w:color="000000" w:fill="FFFFFF"/>
            <w:vAlign w:val="center"/>
          </w:tcPr>
          <w:p w14:paraId="6698EDDA" w14:textId="77777777" w:rsidR="00FD16E4" w:rsidRPr="00B0658A" w:rsidRDefault="00FD16E4" w:rsidP="00FD16E4">
            <w:pPr>
              <w:spacing w:after="0" w:line="240" w:lineRule="auto"/>
              <w:jc w:val="center"/>
              <w:rPr>
                <w:rFonts w:ascii="Times New Roman" w:hAnsi="Times New Roman"/>
                <w:sz w:val="18"/>
                <w:szCs w:val="18"/>
              </w:rPr>
            </w:pPr>
            <w:r w:rsidRPr="00901DB0">
              <w:rPr>
                <w:rFonts w:ascii="Times New Roman" w:hAnsi="Times New Roman"/>
                <w:sz w:val="18"/>
                <w:szCs w:val="18"/>
              </w:rPr>
              <w:t>-*</w:t>
            </w:r>
          </w:p>
        </w:tc>
        <w:tc>
          <w:tcPr>
            <w:tcW w:w="303" w:type="pct"/>
            <w:shd w:val="clear" w:color="000000" w:fill="FFFFFF"/>
            <w:vAlign w:val="center"/>
          </w:tcPr>
          <w:p w14:paraId="13E9A861" w14:textId="77777777" w:rsidR="00FD16E4" w:rsidRPr="00B0658A" w:rsidRDefault="00FD16E4" w:rsidP="00FD16E4">
            <w:pPr>
              <w:spacing w:after="0" w:line="240" w:lineRule="auto"/>
              <w:jc w:val="center"/>
              <w:rPr>
                <w:rFonts w:ascii="Times New Roman" w:hAnsi="Times New Roman"/>
                <w:sz w:val="18"/>
                <w:szCs w:val="18"/>
              </w:rPr>
            </w:pPr>
            <w:r w:rsidRPr="00901DB0">
              <w:rPr>
                <w:rFonts w:ascii="Times New Roman" w:hAnsi="Times New Roman"/>
                <w:sz w:val="18"/>
                <w:szCs w:val="18"/>
              </w:rPr>
              <w:t>-*</w:t>
            </w:r>
          </w:p>
        </w:tc>
        <w:tc>
          <w:tcPr>
            <w:tcW w:w="313" w:type="pct"/>
            <w:shd w:val="clear" w:color="000000" w:fill="FFFFFF"/>
            <w:vAlign w:val="center"/>
          </w:tcPr>
          <w:p w14:paraId="05ED3F19"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100%</w:t>
            </w:r>
          </w:p>
        </w:tc>
        <w:tc>
          <w:tcPr>
            <w:tcW w:w="303" w:type="pct"/>
            <w:shd w:val="clear" w:color="000000" w:fill="FFFFFF"/>
            <w:vAlign w:val="center"/>
          </w:tcPr>
          <w:p w14:paraId="799A5BD9"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100%</w:t>
            </w:r>
          </w:p>
        </w:tc>
        <w:tc>
          <w:tcPr>
            <w:tcW w:w="303" w:type="pct"/>
            <w:shd w:val="clear" w:color="000000" w:fill="FFFFFF"/>
            <w:vAlign w:val="center"/>
          </w:tcPr>
          <w:p w14:paraId="31C295C2"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100%</w:t>
            </w:r>
          </w:p>
        </w:tc>
        <w:tc>
          <w:tcPr>
            <w:tcW w:w="303" w:type="pct"/>
            <w:shd w:val="clear" w:color="000000" w:fill="FFFFFF"/>
            <w:vAlign w:val="center"/>
          </w:tcPr>
          <w:p w14:paraId="10F80C1F"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100%</w:t>
            </w:r>
          </w:p>
        </w:tc>
        <w:tc>
          <w:tcPr>
            <w:tcW w:w="272" w:type="pct"/>
            <w:shd w:val="clear" w:color="000000" w:fill="FFFFFF"/>
            <w:vAlign w:val="center"/>
          </w:tcPr>
          <w:p w14:paraId="16F5B02B"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100%</w:t>
            </w:r>
          </w:p>
        </w:tc>
        <w:tc>
          <w:tcPr>
            <w:tcW w:w="299" w:type="pct"/>
            <w:shd w:val="clear" w:color="000000" w:fill="FFFFFF"/>
            <w:vAlign w:val="center"/>
          </w:tcPr>
          <w:p w14:paraId="6A743038"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100%</w:t>
            </w:r>
          </w:p>
        </w:tc>
        <w:tc>
          <w:tcPr>
            <w:tcW w:w="297" w:type="pct"/>
            <w:shd w:val="clear" w:color="000000" w:fill="FFFFFF"/>
            <w:vAlign w:val="center"/>
          </w:tcPr>
          <w:p w14:paraId="066AC2F1"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FD16E4" w:rsidRPr="00B0658A" w14:paraId="29397BFC" w14:textId="77777777" w:rsidTr="00FE71B1">
        <w:trPr>
          <w:trHeight w:val="20"/>
        </w:trPr>
        <w:tc>
          <w:tcPr>
            <w:tcW w:w="283" w:type="pct"/>
            <w:shd w:val="clear" w:color="000000" w:fill="FFFFFF"/>
            <w:vAlign w:val="center"/>
          </w:tcPr>
          <w:p w14:paraId="5471967D" w14:textId="77777777" w:rsidR="00FD16E4" w:rsidRPr="00B0658A" w:rsidRDefault="00FD16E4" w:rsidP="00FE71B1">
            <w:pPr>
              <w:spacing w:after="0" w:line="240" w:lineRule="auto"/>
              <w:jc w:val="center"/>
              <w:rPr>
                <w:rFonts w:ascii="Times New Roman" w:hAnsi="Times New Roman"/>
                <w:sz w:val="18"/>
                <w:szCs w:val="18"/>
              </w:rPr>
            </w:pPr>
            <w:r w:rsidRPr="00B0658A">
              <w:rPr>
                <w:rFonts w:ascii="Times New Roman" w:hAnsi="Times New Roman"/>
                <w:sz w:val="18"/>
                <w:szCs w:val="18"/>
              </w:rPr>
              <w:t>6.11</w:t>
            </w:r>
          </w:p>
        </w:tc>
        <w:tc>
          <w:tcPr>
            <w:tcW w:w="1013" w:type="pct"/>
            <w:shd w:val="clear" w:color="auto" w:fill="auto"/>
            <w:vAlign w:val="center"/>
          </w:tcPr>
          <w:p w14:paraId="24A722B0" w14:textId="77777777" w:rsidR="00FD16E4" w:rsidRPr="00B0658A" w:rsidRDefault="00FD16E4" w:rsidP="00FD16E4">
            <w:pPr>
              <w:spacing w:after="0" w:line="240" w:lineRule="auto"/>
              <w:rPr>
                <w:rFonts w:ascii="Times New Roman" w:hAnsi="Times New Roman"/>
                <w:sz w:val="18"/>
                <w:szCs w:val="18"/>
              </w:rPr>
            </w:pPr>
            <w:r w:rsidRPr="00B0658A">
              <w:rPr>
                <w:rFonts w:ascii="Times New Roman" w:hAnsi="Times New Roman"/>
                <w:sz w:val="18"/>
                <w:szCs w:val="18"/>
              </w:rPr>
              <w:t>Офисные приложения/ Текстовые редакторы</w:t>
            </w:r>
          </w:p>
        </w:tc>
        <w:tc>
          <w:tcPr>
            <w:tcW w:w="704" w:type="pct"/>
            <w:shd w:val="clear" w:color="000000" w:fill="FFFFFF"/>
          </w:tcPr>
          <w:p w14:paraId="3AEA7548" w14:textId="77777777" w:rsidR="00FD16E4" w:rsidRPr="00B0658A" w:rsidRDefault="00FD16E4" w:rsidP="00FD16E4">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03" w:type="pct"/>
            <w:shd w:val="clear" w:color="000000" w:fill="FFFFFF"/>
            <w:vAlign w:val="center"/>
          </w:tcPr>
          <w:p w14:paraId="4FA21F9A" w14:textId="77777777" w:rsidR="00FD16E4" w:rsidRPr="00B0658A" w:rsidRDefault="00FD16E4" w:rsidP="00FD16E4">
            <w:pPr>
              <w:spacing w:after="0" w:line="240" w:lineRule="auto"/>
              <w:jc w:val="center"/>
              <w:rPr>
                <w:rFonts w:ascii="Times New Roman" w:hAnsi="Times New Roman"/>
                <w:sz w:val="18"/>
                <w:szCs w:val="18"/>
              </w:rPr>
            </w:pPr>
            <w:r>
              <w:rPr>
                <w:rFonts w:ascii="Times New Roman" w:hAnsi="Times New Roman"/>
                <w:sz w:val="18"/>
                <w:szCs w:val="18"/>
              </w:rPr>
              <w:t>-*</w:t>
            </w:r>
          </w:p>
        </w:tc>
        <w:tc>
          <w:tcPr>
            <w:tcW w:w="303" w:type="pct"/>
            <w:shd w:val="clear" w:color="000000" w:fill="FFFFFF"/>
            <w:vAlign w:val="center"/>
          </w:tcPr>
          <w:p w14:paraId="19A3259F" w14:textId="77777777" w:rsidR="00FD16E4" w:rsidRPr="00B0658A" w:rsidRDefault="00FD16E4" w:rsidP="00FD16E4">
            <w:pPr>
              <w:spacing w:after="0" w:line="240" w:lineRule="auto"/>
              <w:jc w:val="center"/>
              <w:rPr>
                <w:rFonts w:ascii="Times New Roman" w:hAnsi="Times New Roman"/>
                <w:sz w:val="18"/>
                <w:szCs w:val="18"/>
              </w:rPr>
            </w:pPr>
            <w:r w:rsidRPr="00901DB0">
              <w:rPr>
                <w:rFonts w:ascii="Times New Roman" w:hAnsi="Times New Roman"/>
                <w:sz w:val="18"/>
                <w:szCs w:val="18"/>
              </w:rPr>
              <w:t>-*</w:t>
            </w:r>
          </w:p>
        </w:tc>
        <w:tc>
          <w:tcPr>
            <w:tcW w:w="303" w:type="pct"/>
            <w:shd w:val="clear" w:color="000000" w:fill="FFFFFF"/>
            <w:vAlign w:val="center"/>
          </w:tcPr>
          <w:p w14:paraId="22E713F7" w14:textId="77777777" w:rsidR="00FD16E4" w:rsidRPr="00B0658A" w:rsidRDefault="00FD16E4" w:rsidP="00FD16E4">
            <w:pPr>
              <w:spacing w:after="0" w:line="240" w:lineRule="auto"/>
              <w:jc w:val="center"/>
              <w:rPr>
                <w:rFonts w:ascii="Times New Roman" w:hAnsi="Times New Roman"/>
                <w:sz w:val="18"/>
                <w:szCs w:val="18"/>
              </w:rPr>
            </w:pPr>
            <w:r w:rsidRPr="00901DB0">
              <w:rPr>
                <w:rFonts w:ascii="Times New Roman" w:hAnsi="Times New Roman"/>
                <w:sz w:val="18"/>
                <w:szCs w:val="18"/>
              </w:rPr>
              <w:t>-*</w:t>
            </w:r>
          </w:p>
        </w:tc>
        <w:tc>
          <w:tcPr>
            <w:tcW w:w="313" w:type="pct"/>
            <w:shd w:val="clear" w:color="000000" w:fill="FFFFFF"/>
            <w:vAlign w:val="center"/>
          </w:tcPr>
          <w:p w14:paraId="15F59DFC"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100%</w:t>
            </w:r>
          </w:p>
        </w:tc>
        <w:tc>
          <w:tcPr>
            <w:tcW w:w="303" w:type="pct"/>
            <w:shd w:val="clear" w:color="000000" w:fill="FFFFFF"/>
            <w:vAlign w:val="center"/>
          </w:tcPr>
          <w:p w14:paraId="0ABA8951"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100%</w:t>
            </w:r>
          </w:p>
        </w:tc>
        <w:tc>
          <w:tcPr>
            <w:tcW w:w="303" w:type="pct"/>
            <w:shd w:val="clear" w:color="000000" w:fill="FFFFFF"/>
            <w:vAlign w:val="center"/>
          </w:tcPr>
          <w:p w14:paraId="3132A7D1"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100%</w:t>
            </w:r>
          </w:p>
        </w:tc>
        <w:tc>
          <w:tcPr>
            <w:tcW w:w="303" w:type="pct"/>
            <w:shd w:val="clear" w:color="000000" w:fill="FFFFFF"/>
            <w:vAlign w:val="center"/>
          </w:tcPr>
          <w:p w14:paraId="7F5CCA06"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100%</w:t>
            </w:r>
          </w:p>
        </w:tc>
        <w:tc>
          <w:tcPr>
            <w:tcW w:w="272" w:type="pct"/>
            <w:shd w:val="clear" w:color="000000" w:fill="FFFFFF"/>
            <w:vAlign w:val="center"/>
          </w:tcPr>
          <w:p w14:paraId="25BF44DD"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100%</w:t>
            </w:r>
          </w:p>
        </w:tc>
        <w:tc>
          <w:tcPr>
            <w:tcW w:w="299" w:type="pct"/>
            <w:shd w:val="clear" w:color="000000" w:fill="FFFFFF"/>
            <w:vAlign w:val="center"/>
          </w:tcPr>
          <w:p w14:paraId="35C18F5A"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100%</w:t>
            </w:r>
          </w:p>
        </w:tc>
        <w:tc>
          <w:tcPr>
            <w:tcW w:w="297" w:type="pct"/>
            <w:shd w:val="clear" w:color="000000" w:fill="FFFFFF"/>
            <w:vAlign w:val="center"/>
          </w:tcPr>
          <w:p w14:paraId="5DA54AF5"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FD16E4" w:rsidRPr="00B0658A" w14:paraId="1B7A20E9" w14:textId="77777777" w:rsidTr="00FE71B1">
        <w:trPr>
          <w:trHeight w:val="20"/>
        </w:trPr>
        <w:tc>
          <w:tcPr>
            <w:tcW w:w="283" w:type="pct"/>
            <w:shd w:val="clear" w:color="000000" w:fill="FFFFFF"/>
            <w:vAlign w:val="center"/>
          </w:tcPr>
          <w:p w14:paraId="1D564A5E" w14:textId="77777777" w:rsidR="00FD16E4" w:rsidRPr="00B0658A" w:rsidRDefault="00FD16E4" w:rsidP="00FE71B1">
            <w:pPr>
              <w:spacing w:after="0" w:line="240" w:lineRule="auto"/>
              <w:jc w:val="center"/>
              <w:rPr>
                <w:rFonts w:ascii="Times New Roman" w:hAnsi="Times New Roman"/>
                <w:sz w:val="18"/>
                <w:szCs w:val="18"/>
              </w:rPr>
            </w:pPr>
            <w:r w:rsidRPr="00B0658A">
              <w:rPr>
                <w:rFonts w:ascii="Times New Roman" w:hAnsi="Times New Roman"/>
                <w:sz w:val="18"/>
                <w:szCs w:val="18"/>
              </w:rPr>
              <w:t>6.12</w:t>
            </w:r>
          </w:p>
        </w:tc>
        <w:tc>
          <w:tcPr>
            <w:tcW w:w="1013" w:type="pct"/>
            <w:shd w:val="clear" w:color="auto" w:fill="auto"/>
            <w:vAlign w:val="center"/>
          </w:tcPr>
          <w:p w14:paraId="126FA722" w14:textId="77777777" w:rsidR="00FD16E4" w:rsidRPr="00B0658A" w:rsidRDefault="00FD16E4" w:rsidP="00FD16E4">
            <w:pPr>
              <w:spacing w:after="0" w:line="240" w:lineRule="auto"/>
              <w:rPr>
                <w:rFonts w:ascii="Times New Roman" w:hAnsi="Times New Roman"/>
                <w:sz w:val="18"/>
                <w:szCs w:val="18"/>
              </w:rPr>
            </w:pPr>
            <w:r w:rsidRPr="00B0658A">
              <w:rPr>
                <w:rFonts w:ascii="Times New Roman" w:hAnsi="Times New Roman"/>
                <w:sz w:val="18"/>
                <w:szCs w:val="18"/>
              </w:rPr>
              <w:t>Офисные приложения/ Программное обеспечение средств электронного документооборота</w:t>
            </w:r>
          </w:p>
        </w:tc>
        <w:tc>
          <w:tcPr>
            <w:tcW w:w="704" w:type="pct"/>
            <w:shd w:val="clear" w:color="000000" w:fill="FFFFFF"/>
          </w:tcPr>
          <w:p w14:paraId="606B728E" w14:textId="77777777" w:rsidR="00FD16E4" w:rsidRPr="00B0658A" w:rsidRDefault="00FD16E4" w:rsidP="00FD16E4">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03" w:type="pct"/>
            <w:shd w:val="clear" w:color="000000" w:fill="FFFFFF"/>
            <w:vAlign w:val="center"/>
          </w:tcPr>
          <w:p w14:paraId="15169C10" w14:textId="77777777" w:rsidR="00FD16E4" w:rsidRPr="00B0658A" w:rsidRDefault="00FD16E4" w:rsidP="00FD16E4">
            <w:pPr>
              <w:spacing w:after="0" w:line="240" w:lineRule="auto"/>
              <w:jc w:val="center"/>
              <w:rPr>
                <w:rFonts w:ascii="Times New Roman" w:hAnsi="Times New Roman"/>
                <w:sz w:val="18"/>
                <w:szCs w:val="18"/>
              </w:rPr>
            </w:pPr>
            <w:r>
              <w:rPr>
                <w:rFonts w:ascii="Times New Roman" w:hAnsi="Times New Roman"/>
                <w:sz w:val="18"/>
                <w:szCs w:val="18"/>
              </w:rPr>
              <w:t>-*</w:t>
            </w:r>
          </w:p>
        </w:tc>
        <w:tc>
          <w:tcPr>
            <w:tcW w:w="303" w:type="pct"/>
            <w:shd w:val="clear" w:color="000000" w:fill="FFFFFF"/>
            <w:vAlign w:val="center"/>
          </w:tcPr>
          <w:p w14:paraId="1F6DC990" w14:textId="77777777" w:rsidR="00FD16E4" w:rsidRPr="00B0658A" w:rsidRDefault="00FD16E4" w:rsidP="00FD16E4">
            <w:pPr>
              <w:spacing w:after="0" w:line="240" w:lineRule="auto"/>
              <w:jc w:val="center"/>
              <w:rPr>
                <w:rFonts w:ascii="Times New Roman" w:hAnsi="Times New Roman"/>
                <w:sz w:val="18"/>
                <w:szCs w:val="18"/>
              </w:rPr>
            </w:pPr>
            <w:r w:rsidRPr="00901DB0">
              <w:rPr>
                <w:rFonts w:ascii="Times New Roman" w:hAnsi="Times New Roman"/>
                <w:sz w:val="18"/>
                <w:szCs w:val="18"/>
              </w:rPr>
              <w:t>-*</w:t>
            </w:r>
          </w:p>
        </w:tc>
        <w:tc>
          <w:tcPr>
            <w:tcW w:w="303" w:type="pct"/>
            <w:shd w:val="clear" w:color="000000" w:fill="FFFFFF"/>
            <w:vAlign w:val="center"/>
          </w:tcPr>
          <w:p w14:paraId="51DA522F" w14:textId="77777777" w:rsidR="00FD16E4" w:rsidRPr="00B0658A" w:rsidRDefault="00FD16E4" w:rsidP="00FD16E4">
            <w:pPr>
              <w:spacing w:after="0" w:line="240" w:lineRule="auto"/>
              <w:jc w:val="center"/>
              <w:rPr>
                <w:rFonts w:ascii="Times New Roman" w:hAnsi="Times New Roman"/>
                <w:sz w:val="18"/>
                <w:szCs w:val="18"/>
              </w:rPr>
            </w:pPr>
            <w:r w:rsidRPr="00901DB0">
              <w:rPr>
                <w:rFonts w:ascii="Times New Roman" w:hAnsi="Times New Roman"/>
                <w:sz w:val="18"/>
                <w:szCs w:val="18"/>
              </w:rPr>
              <w:t>-*</w:t>
            </w:r>
          </w:p>
        </w:tc>
        <w:tc>
          <w:tcPr>
            <w:tcW w:w="313" w:type="pct"/>
            <w:shd w:val="clear" w:color="000000" w:fill="FFFFFF"/>
            <w:vAlign w:val="center"/>
          </w:tcPr>
          <w:p w14:paraId="3F8FA9BE"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100%</w:t>
            </w:r>
          </w:p>
        </w:tc>
        <w:tc>
          <w:tcPr>
            <w:tcW w:w="303" w:type="pct"/>
            <w:shd w:val="clear" w:color="000000" w:fill="FFFFFF"/>
            <w:vAlign w:val="center"/>
          </w:tcPr>
          <w:p w14:paraId="056FC19B"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100%</w:t>
            </w:r>
          </w:p>
        </w:tc>
        <w:tc>
          <w:tcPr>
            <w:tcW w:w="303" w:type="pct"/>
            <w:shd w:val="clear" w:color="000000" w:fill="FFFFFF"/>
            <w:vAlign w:val="center"/>
          </w:tcPr>
          <w:p w14:paraId="2B631A25"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100%</w:t>
            </w:r>
          </w:p>
        </w:tc>
        <w:tc>
          <w:tcPr>
            <w:tcW w:w="303" w:type="pct"/>
            <w:shd w:val="clear" w:color="000000" w:fill="FFFFFF"/>
            <w:vAlign w:val="center"/>
          </w:tcPr>
          <w:p w14:paraId="13EED82F"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100%</w:t>
            </w:r>
          </w:p>
        </w:tc>
        <w:tc>
          <w:tcPr>
            <w:tcW w:w="272" w:type="pct"/>
            <w:shd w:val="clear" w:color="000000" w:fill="FFFFFF"/>
            <w:vAlign w:val="center"/>
          </w:tcPr>
          <w:p w14:paraId="4CE83547"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100%</w:t>
            </w:r>
          </w:p>
        </w:tc>
        <w:tc>
          <w:tcPr>
            <w:tcW w:w="299" w:type="pct"/>
            <w:shd w:val="clear" w:color="000000" w:fill="FFFFFF"/>
            <w:vAlign w:val="center"/>
          </w:tcPr>
          <w:p w14:paraId="0350B319"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100%</w:t>
            </w:r>
          </w:p>
        </w:tc>
        <w:tc>
          <w:tcPr>
            <w:tcW w:w="297" w:type="pct"/>
            <w:shd w:val="clear" w:color="000000" w:fill="FFFFFF"/>
            <w:vAlign w:val="center"/>
          </w:tcPr>
          <w:p w14:paraId="49F37270"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FD16E4" w:rsidRPr="00B0658A" w14:paraId="15E7C9BD" w14:textId="77777777" w:rsidTr="00FE71B1">
        <w:trPr>
          <w:trHeight w:val="20"/>
        </w:trPr>
        <w:tc>
          <w:tcPr>
            <w:tcW w:w="283" w:type="pct"/>
            <w:shd w:val="clear" w:color="000000" w:fill="FFFFFF"/>
            <w:vAlign w:val="center"/>
          </w:tcPr>
          <w:p w14:paraId="374D5C8B" w14:textId="77777777" w:rsidR="00FD16E4" w:rsidRPr="00B0658A" w:rsidRDefault="00FD16E4" w:rsidP="00FE71B1">
            <w:pPr>
              <w:spacing w:after="0" w:line="240" w:lineRule="auto"/>
              <w:jc w:val="center"/>
              <w:rPr>
                <w:rFonts w:ascii="Times New Roman" w:hAnsi="Times New Roman"/>
                <w:sz w:val="18"/>
                <w:szCs w:val="18"/>
              </w:rPr>
            </w:pPr>
            <w:r w:rsidRPr="00B0658A">
              <w:rPr>
                <w:rFonts w:ascii="Times New Roman" w:hAnsi="Times New Roman"/>
                <w:sz w:val="18"/>
                <w:szCs w:val="18"/>
              </w:rPr>
              <w:t>7.1</w:t>
            </w:r>
          </w:p>
        </w:tc>
        <w:tc>
          <w:tcPr>
            <w:tcW w:w="1013" w:type="pct"/>
            <w:shd w:val="clear" w:color="auto" w:fill="auto"/>
            <w:vAlign w:val="center"/>
          </w:tcPr>
          <w:p w14:paraId="2DE4086E" w14:textId="77777777" w:rsidR="00FD16E4" w:rsidRPr="00B0658A" w:rsidRDefault="00FD16E4" w:rsidP="00FD16E4">
            <w:pPr>
              <w:spacing w:after="0" w:line="240" w:lineRule="auto"/>
              <w:rPr>
                <w:rFonts w:ascii="Times New Roman" w:hAnsi="Times New Roman"/>
                <w:sz w:val="18"/>
                <w:szCs w:val="18"/>
              </w:rPr>
            </w:pPr>
            <w:r w:rsidRPr="00B0658A">
              <w:rPr>
                <w:rFonts w:ascii="Times New Roman" w:hAnsi="Times New Roman"/>
                <w:sz w:val="18"/>
                <w:szCs w:val="18"/>
              </w:rPr>
              <w:t xml:space="preserve">Лингвистическое программное обеспечение/ Парсеры </w:t>
            </w:r>
            <w:r w:rsidRPr="00B0658A">
              <w:rPr>
                <w:rFonts w:ascii="Times New Roman" w:hAnsi="Times New Roman"/>
                <w:sz w:val="18"/>
                <w:szCs w:val="18"/>
              </w:rPr>
              <w:br/>
              <w:t>и семантические анализаторы</w:t>
            </w:r>
          </w:p>
        </w:tc>
        <w:tc>
          <w:tcPr>
            <w:tcW w:w="704" w:type="pct"/>
            <w:shd w:val="clear" w:color="000000" w:fill="FFFFFF"/>
          </w:tcPr>
          <w:p w14:paraId="202425D3" w14:textId="77777777" w:rsidR="00FD16E4" w:rsidRPr="00B0658A" w:rsidRDefault="00FD16E4" w:rsidP="00FD16E4">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03" w:type="pct"/>
            <w:shd w:val="clear" w:color="000000" w:fill="FFFFFF"/>
            <w:vAlign w:val="center"/>
          </w:tcPr>
          <w:p w14:paraId="25CBDC88"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50%</w:t>
            </w:r>
          </w:p>
        </w:tc>
        <w:tc>
          <w:tcPr>
            <w:tcW w:w="303" w:type="pct"/>
            <w:shd w:val="clear" w:color="000000" w:fill="FFFFFF"/>
            <w:vAlign w:val="center"/>
          </w:tcPr>
          <w:p w14:paraId="18D80ED2"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55%</w:t>
            </w:r>
          </w:p>
        </w:tc>
        <w:tc>
          <w:tcPr>
            <w:tcW w:w="303" w:type="pct"/>
            <w:shd w:val="clear" w:color="000000" w:fill="FFFFFF"/>
            <w:vAlign w:val="center"/>
          </w:tcPr>
          <w:p w14:paraId="33BD57B8"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60%</w:t>
            </w:r>
          </w:p>
        </w:tc>
        <w:tc>
          <w:tcPr>
            <w:tcW w:w="313" w:type="pct"/>
            <w:shd w:val="clear" w:color="000000" w:fill="FFFFFF"/>
            <w:vAlign w:val="center"/>
          </w:tcPr>
          <w:p w14:paraId="01DB07FD"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100%</w:t>
            </w:r>
          </w:p>
        </w:tc>
        <w:tc>
          <w:tcPr>
            <w:tcW w:w="303" w:type="pct"/>
            <w:shd w:val="clear" w:color="000000" w:fill="FFFFFF"/>
            <w:vAlign w:val="center"/>
          </w:tcPr>
          <w:p w14:paraId="4ACE15BA"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70%</w:t>
            </w:r>
          </w:p>
        </w:tc>
        <w:tc>
          <w:tcPr>
            <w:tcW w:w="303" w:type="pct"/>
            <w:shd w:val="clear" w:color="000000" w:fill="FFFFFF"/>
            <w:vAlign w:val="center"/>
          </w:tcPr>
          <w:p w14:paraId="5F246FD7"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80%</w:t>
            </w:r>
          </w:p>
        </w:tc>
        <w:tc>
          <w:tcPr>
            <w:tcW w:w="303" w:type="pct"/>
            <w:shd w:val="clear" w:color="000000" w:fill="FFFFFF"/>
            <w:vAlign w:val="center"/>
          </w:tcPr>
          <w:p w14:paraId="13E371D6"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85%</w:t>
            </w:r>
          </w:p>
        </w:tc>
        <w:tc>
          <w:tcPr>
            <w:tcW w:w="272" w:type="pct"/>
            <w:shd w:val="clear" w:color="000000" w:fill="FFFFFF"/>
            <w:vAlign w:val="center"/>
          </w:tcPr>
          <w:p w14:paraId="1792D358"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90%</w:t>
            </w:r>
          </w:p>
        </w:tc>
        <w:tc>
          <w:tcPr>
            <w:tcW w:w="299" w:type="pct"/>
            <w:shd w:val="clear" w:color="000000" w:fill="FFFFFF"/>
            <w:vAlign w:val="center"/>
          </w:tcPr>
          <w:p w14:paraId="76C29E13"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95%</w:t>
            </w:r>
          </w:p>
        </w:tc>
        <w:tc>
          <w:tcPr>
            <w:tcW w:w="297" w:type="pct"/>
            <w:shd w:val="clear" w:color="000000" w:fill="FFFFFF"/>
            <w:vAlign w:val="center"/>
          </w:tcPr>
          <w:p w14:paraId="23372734"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FD16E4" w:rsidRPr="00B0658A" w14:paraId="70C37B4F" w14:textId="77777777" w:rsidTr="00FE71B1">
        <w:trPr>
          <w:trHeight w:val="20"/>
        </w:trPr>
        <w:tc>
          <w:tcPr>
            <w:tcW w:w="283" w:type="pct"/>
            <w:shd w:val="clear" w:color="000000" w:fill="FFFFFF"/>
            <w:vAlign w:val="center"/>
          </w:tcPr>
          <w:p w14:paraId="783314F3" w14:textId="77777777" w:rsidR="00FD16E4" w:rsidRPr="00B0658A" w:rsidRDefault="00FD16E4" w:rsidP="00FE71B1">
            <w:pPr>
              <w:spacing w:after="0" w:line="240" w:lineRule="auto"/>
              <w:jc w:val="center"/>
              <w:rPr>
                <w:rFonts w:ascii="Times New Roman" w:hAnsi="Times New Roman"/>
                <w:sz w:val="18"/>
                <w:szCs w:val="18"/>
              </w:rPr>
            </w:pPr>
            <w:r w:rsidRPr="00B0658A">
              <w:rPr>
                <w:rFonts w:ascii="Times New Roman" w:hAnsi="Times New Roman"/>
                <w:sz w:val="18"/>
                <w:szCs w:val="18"/>
              </w:rPr>
              <w:t>7.2</w:t>
            </w:r>
          </w:p>
        </w:tc>
        <w:tc>
          <w:tcPr>
            <w:tcW w:w="1013" w:type="pct"/>
            <w:shd w:val="clear" w:color="auto" w:fill="auto"/>
            <w:vAlign w:val="center"/>
          </w:tcPr>
          <w:p w14:paraId="5AB79E72" w14:textId="77777777" w:rsidR="00FD16E4" w:rsidRPr="00B0658A" w:rsidRDefault="00FD16E4" w:rsidP="00FD16E4">
            <w:pPr>
              <w:spacing w:after="0" w:line="240" w:lineRule="auto"/>
              <w:rPr>
                <w:rFonts w:ascii="Times New Roman" w:hAnsi="Times New Roman"/>
                <w:sz w:val="18"/>
                <w:szCs w:val="18"/>
              </w:rPr>
            </w:pPr>
            <w:r w:rsidRPr="00B0658A">
              <w:rPr>
                <w:rFonts w:ascii="Times New Roman" w:hAnsi="Times New Roman"/>
                <w:sz w:val="18"/>
                <w:szCs w:val="18"/>
              </w:rPr>
              <w:t>Лингвистическое программное обеспечение/ Средства речевого перевода</w:t>
            </w:r>
          </w:p>
        </w:tc>
        <w:tc>
          <w:tcPr>
            <w:tcW w:w="704" w:type="pct"/>
            <w:shd w:val="clear" w:color="000000" w:fill="FFFFFF"/>
          </w:tcPr>
          <w:p w14:paraId="5146521B" w14:textId="77777777" w:rsidR="00FD16E4" w:rsidRPr="00B0658A" w:rsidRDefault="00FD16E4" w:rsidP="00FD16E4">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03" w:type="pct"/>
            <w:shd w:val="clear" w:color="000000" w:fill="FFFFFF"/>
            <w:vAlign w:val="center"/>
          </w:tcPr>
          <w:p w14:paraId="11C8B5B8"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50%</w:t>
            </w:r>
          </w:p>
        </w:tc>
        <w:tc>
          <w:tcPr>
            <w:tcW w:w="303" w:type="pct"/>
            <w:shd w:val="clear" w:color="000000" w:fill="FFFFFF"/>
            <w:vAlign w:val="center"/>
          </w:tcPr>
          <w:p w14:paraId="5BF01A80"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55%</w:t>
            </w:r>
          </w:p>
        </w:tc>
        <w:tc>
          <w:tcPr>
            <w:tcW w:w="303" w:type="pct"/>
            <w:shd w:val="clear" w:color="000000" w:fill="FFFFFF"/>
            <w:vAlign w:val="center"/>
          </w:tcPr>
          <w:p w14:paraId="2535855B"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60%</w:t>
            </w:r>
          </w:p>
        </w:tc>
        <w:tc>
          <w:tcPr>
            <w:tcW w:w="313" w:type="pct"/>
            <w:shd w:val="clear" w:color="000000" w:fill="FFFFFF"/>
            <w:vAlign w:val="center"/>
          </w:tcPr>
          <w:p w14:paraId="1149BA45"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100%</w:t>
            </w:r>
          </w:p>
        </w:tc>
        <w:tc>
          <w:tcPr>
            <w:tcW w:w="303" w:type="pct"/>
            <w:shd w:val="clear" w:color="000000" w:fill="FFFFFF"/>
            <w:vAlign w:val="center"/>
          </w:tcPr>
          <w:p w14:paraId="547BA41C"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70%</w:t>
            </w:r>
          </w:p>
        </w:tc>
        <w:tc>
          <w:tcPr>
            <w:tcW w:w="303" w:type="pct"/>
            <w:shd w:val="clear" w:color="000000" w:fill="FFFFFF"/>
            <w:vAlign w:val="center"/>
          </w:tcPr>
          <w:p w14:paraId="2653A51C"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80%</w:t>
            </w:r>
          </w:p>
        </w:tc>
        <w:tc>
          <w:tcPr>
            <w:tcW w:w="303" w:type="pct"/>
            <w:shd w:val="clear" w:color="000000" w:fill="FFFFFF"/>
            <w:vAlign w:val="center"/>
          </w:tcPr>
          <w:p w14:paraId="71F1DBF7"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85%</w:t>
            </w:r>
          </w:p>
        </w:tc>
        <w:tc>
          <w:tcPr>
            <w:tcW w:w="272" w:type="pct"/>
            <w:shd w:val="clear" w:color="000000" w:fill="FFFFFF"/>
            <w:vAlign w:val="center"/>
          </w:tcPr>
          <w:p w14:paraId="669086CB"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90%</w:t>
            </w:r>
          </w:p>
        </w:tc>
        <w:tc>
          <w:tcPr>
            <w:tcW w:w="299" w:type="pct"/>
            <w:shd w:val="clear" w:color="000000" w:fill="FFFFFF"/>
            <w:vAlign w:val="center"/>
          </w:tcPr>
          <w:p w14:paraId="51900185"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95%</w:t>
            </w:r>
          </w:p>
        </w:tc>
        <w:tc>
          <w:tcPr>
            <w:tcW w:w="297" w:type="pct"/>
            <w:shd w:val="clear" w:color="000000" w:fill="FFFFFF"/>
            <w:vAlign w:val="center"/>
          </w:tcPr>
          <w:p w14:paraId="1C973B1D"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FD16E4" w:rsidRPr="00B0658A" w14:paraId="4118B3FC" w14:textId="77777777" w:rsidTr="00FE71B1">
        <w:trPr>
          <w:trHeight w:val="20"/>
        </w:trPr>
        <w:tc>
          <w:tcPr>
            <w:tcW w:w="283" w:type="pct"/>
            <w:shd w:val="clear" w:color="000000" w:fill="FFFFFF"/>
            <w:vAlign w:val="center"/>
          </w:tcPr>
          <w:p w14:paraId="165E733F" w14:textId="77777777" w:rsidR="00FD16E4" w:rsidRPr="00B0658A" w:rsidRDefault="00FD16E4" w:rsidP="00FE71B1">
            <w:pPr>
              <w:spacing w:after="0" w:line="240" w:lineRule="auto"/>
              <w:jc w:val="center"/>
              <w:rPr>
                <w:rFonts w:ascii="Times New Roman" w:hAnsi="Times New Roman"/>
                <w:sz w:val="18"/>
                <w:szCs w:val="18"/>
              </w:rPr>
            </w:pPr>
            <w:r w:rsidRPr="00B0658A">
              <w:rPr>
                <w:rFonts w:ascii="Times New Roman" w:hAnsi="Times New Roman"/>
                <w:sz w:val="18"/>
                <w:szCs w:val="18"/>
              </w:rPr>
              <w:t>7.3</w:t>
            </w:r>
          </w:p>
        </w:tc>
        <w:tc>
          <w:tcPr>
            <w:tcW w:w="1013" w:type="pct"/>
            <w:shd w:val="clear" w:color="auto" w:fill="auto"/>
            <w:vAlign w:val="center"/>
          </w:tcPr>
          <w:p w14:paraId="407800F1" w14:textId="77777777" w:rsidR="00FD16E4" w:rsidRPr="00B0658A" w:rsidRDefault="00FD16E4" w:rsidP="00FD16E4">
            <w:pPr>
              <w:spacing w:after="0" w:line="240" w:lineRule="auto"/>
              <w:rPr>
                <w:rFonts w:ascii="Times New Roman" w:hAnsi="Times New Roman"/>
                <w:sz w:val="18"/>
                <w:szCs w:val="18"/>
              </w:rPr>
            </w:pPr>
            <w:r w:rsidRPr="00B0658A">
              <w:rPr>
                <w:rFonts w:ascii="Times New Roman" w:hAnsi="Times New Roman"/>
                <w:sz w:val="18"/>
                <w:szCs w:val="18"/>
              </w:rPr>
              <w:t>Лингвистическое программное обеспечение/ Средства распознавания символов</w:t>
            </w:r>
          </w:p>
        </w:tc>
        <w:tc>
          <w:tcPr>
            <w:tcW w:w="704" w:type="pct"/>
            <w:shd w:val="clear" w:color="000000" w:fill="FFFFFF"/>
          </w:tcPr>
          <w:p w14:paraId="56C8FB36" w14:textId="77777777" w:rsidR="00FD16E4" w:rsidRPr="00B0658A" w:rsidRDefault="00FD16E4" w:rsidP="00FD16E4">
            <w:pPr>
              <w:spacing w:after="0" w:line="240" w:lineRule="auto"/>
              <w:rPr>
                <w:rFonts w:ascii="Times New Roman" w:hAnsi="Times New Roman"/>
                <w:sz w:val="18"/>
                <w:szCs w:val="18"/>
              </w:rPr>
            </w:pPr>
            <w:r w:rsidRPr="00B0658A">
              <w:rPr>
                <w:rFonts w:ascii="Times New Roman" w:hAnsi="Times New Roman"/>
                <w:sz w:val="18"/>
                <w:szCs w:val="18"/>
              </w:rPr>
              <w:t xml:space="preserve">Доля используемого российского ПО в </w:t>
            </w:r>
            <w:r w:rsidRPr="00B0658A">
              <w:rPr>
                <w:rFonts w:ascii="Times New Roman" w:hAnsi="Times New Roman"/>
                <w:sz w:val="18"/>
                <w:szCs w:val="18"/>
              </w:rPr>
              <w:lastRenderedPageBreak/>
              <w:t>общем объёме, используемого ПО, %</w:t>
            </w:r>
          </w:p>
        </w:tc>
        <w:tc>
          <w:tcPr>
            <w:tcW w:w="303" w:type="pct"/>
            <w:shd w:val="clear" w:color="000000" w:fill="FFFFFF"/>
            <w:vAlign w:val="center"/>
          </w:tcPr>
          <w:p w14:paraId="775A2267"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lastRenderedPageBreak/>
              <w:t>50%</w:t>
            </w:r>
          </w:p>
        </w:tc>
        <w:tc>
          <w:tcPr>
            <w:tcW w:w="303" w:type="pct"/>
            <w:shd w:val="clear" w:color="000000" w:fill="FFFFFF"/>
            <w:vAlign w:val="center"/>
          </w:tcPr>
          <w:p w14:paraId="57E6B6D0"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55%</w:t>
            </w:r>
          </w:p>
        </w:tc>
        <w:tc>
          <w:tcPr>
            <w:tcW w:w="303" w:type="pct"/>
            <w:shd w:val="clear" w:color="000000" w:fill="FFFFFF"/>
            <w:vAlign w:val="center"/>
          </w:tcPr>
          <w:p w14:paraId="49002AE5"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60%</w:t>
            </w:r>
          </w:p>
        </w:tc>
        <w:tc>
          <w:tcPr>
            <w:tcW w:w="313" w:type="pct"/>
            <w:shd w:val="clear" w:color="000000" w:fill="FFFFFF"/>
            <w:vAlign w:val="center"/>
          </w:tcPr>
          <w:p w14:paraId="267A6B29"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100%</w:t>
            </w:r>
          </w:p>
        </w:tc>
        <w:tc>
          <w:tcPr>
            <w:tcW w:w="303" w:type="pct"/>
            <w:shd w:val="clear" w:color="000000" w:fill="FFFFFF"/>
            <w:vAlign w:val="center"/>
          </w:tcPr>
          <w:p w14:paraId="416DC0D0"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70%</w:t>
            </w:r>
          </w:p>
        </w:tc>
        <w:tc>
          <w:tcPr>
            <w:tcW w:w="303" w:type="pct"/>
            <w:shd w:val="clear" w:color="000000" w:fill="FFFFFF"/>
            <w:vAlign w:val="center"/>
          </w:tcPr>
          <w:p w14:paraId="2A8AB8E4"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80%</w:t>
            </w:r>
          </w:p>
        </w:tc>
        <w:tc>
          <w:tcPr>
            <w:tcW w:w="303" w:type="pct"/>
            <w:shd w:val="clear" w:color="000000" w:fill="FFFFFF"/>
            <w:vAlign w:val="center"/>
          </w:tcPr>
          <w:p w14:paraId="26E3C7B0"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85%</w:t>
            </w:r>
          </w:p>
        </w:tc>
        <w:tc>
          <w:tcPr>
            <w:tcW w:w="272" w:type="pct"/>
            <w:shd w:val="clear" w:color="000000" w:fill="FFFFFF"/>
            <w:vAlign w:val="center"/>
          </w:tcPr>
          <w:p w14:paraId="0B708202"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90%</w:t>
            </w:r>
          </w:p>
        </w:tc>
        <w:tc>
          <w:tcPr>
            <w:tcW w:w="299" w:type="pct"/>
            <w:shd w:val="clear" w:color="000000" w:fill="FFFFFF"/>
            <w:vAlign w:val="center"/>
          </w:tcPr>
          <w:p w14:paraId="76383CBF"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95%</w:t>
            </w:r>
          </w:p>
        </w:tc>
        <w:tc>
          <w:tcPr>
            <w:tcW w:w="297" w:type="pct"/>
            <w:shd w:val="clear" w:color="000000" w:fill="FFFFFF"/>
            <w:vAlign w:val="center"/>
          </w:tcPr>
          <w:p w14:paraId="667F6A2A"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FD16E4" w:rsidRPr="00B0658A" w14:paraId="52BA4361" w14:textId="77777777" w:rsidTr="00FE71B1">
        <w:trPr>
          <w:trHeight w:val="20"/>
        </w:trPr>
        <w:tc>
          <w:tcPr>
            <w:tcW w:w="283" w:type="pct"/>
            <w:shd w:val="clear" w:color="000000" w:fill="FFFFFF"/>
            <w:vAlign w:val="center"/>
          </w:tcPr>
          <w:p w14:paraId="6BBDA582" w14:textId="77777777" w:rsidR="00FD16E4" w:rsidRPr="00B0658A" w:rsidRDefault="00FD16E4" w:rsidP="00FE71B1">
            <w:pPr>
              <w:spacing w:after="0" w:line="240" w:lineRule="auto"/>
              <w:jc w:val="center"/>
              <w:rPr>
                <w:rFonts w:ascii="Times New Roman" w:hAnsi="Times New Roman"/>
                <w:sz w:val="18"/>
                <w:szCs w:val="18"/>
              </w:rPr>
            </w:pPr>
            <w:r w:rsidRPr="00B0658A">
              <w:rPr>
                <w:rFonts w:ascii="Times New Roman" w:hAnsi="Times New Roman"/>
                <w:sz w:val="18"/>
                <w:szCs w:val="18"/>
              </w:rPr>
              <w:t>7.4</w:t>
            </w:r>
          </w:p>
        </w:tc>
        <w:tc>
          <w:tcPr>
            <w:tcW w:w="1013" w:type="pct"/>
            <w:shd w:val="clear" w:color="auto" w:fill="auto"/>
            <w:vAlign w:val="center"/>
          </w:tcPr>
          <w:p w14:paraId="658359B2" w14:textId="77777777" w:rsidR="00FD16E4" w:rsidRPr="00B0658A" w:rsidRDefault="00FD16E4" w:rsidP="00FD16E4">
            <w:pPr>
              <w:spacing w:after="0" w:line="240" w:lineRule="auto"/>
              <w:rPr>
                <w:rFonts w:ascii="Times New Roman" w:hAnsi="Times New Roman"/>
                <w:sz w:val="18"/>
                <w:szCs w:val="18"/>
              </w:rPr>
            </w:pPr>
            <w:r w:rsidRPr="00B0658A">
              <w:rPr>
                <w:rFonts w:ascii="Times New Roman" w:hAnsi="Times New Roman"/>
                <w:sz w:val="18"/>
                <w:szCs w:val="18"/>
              </w:rPr>
              <w:t>Лингвистическое программное обеспечение/ Средства распознавания и синтеза речи</w:t>
            </w:r>
          </w:p>
        </w:tc>
        <w:tc>
          <w:tcPr>
            <w:tcW w:w="704" w:type="pct"/>
            <w:shd w:val="clear" w:color="000000" w:fill="FFFFFF"/>
          </w:tcPr>
          <w:p w14:paraId="7B14EA09" w14:textId="77777777" w:rsidR="00FD16E4" w:rsidRPr="00B0658A" w:rsidRDefault="00FD16E4" w:rsidP="00FD16E4">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03" w:type="pct"/>
            <w:shd w:val="clear" w:color="000000" w:fill="FFFFFF"/>
            <w:vAlign w:val="center"/>
          </w:tcPr>
          <w:p w14:paraId="6C635C72"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50%</w:t>
            </w:r>
          </w:p>
        </w:tc>
        <w:tc>
          <w:tcPr>
            <w:tcW w:w="303" w:type="pct"/>
            <w:shd w:val="clear" w:color="000000" w:fill="FFFFFF"/>
            <w:vAlign w:val="center"/>
          </w:tcPr>
          <w:p w14:paraId="3ADE60F3"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55%</w:t>
            </w:r>
          </w:p>
        </w:tc>
        <w:tc>
          <w:tcPr>
            <w:tcW w:w="303" w:type="pct"/>
            <w:shd w:val="clear" w:color="000000" w:fill="FFFFFF"/>
            <w:vAlign w:val="center"/>
          </w:tcPr>
          <w:p w14:paraId="003A1489"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60%</w:t>
            </w:r>
          </w:p>
        </w:tc>
        <w:tc>
          <w:tcPr>
            <w:tcW w:w="313" w:type="pct"/>
            <w:shd w:val="clear" w:color="000000" w:fill="FFFFFF"/>
            <w:vAlign w:val="center"/>
          </w:tcPr>
          <w:p w14:paraId="4F327F78"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100%</w:t>
            </w:r>
          </w:p>
        </w:tc>
        <w:tc>
          <w:tcPr>
            <w:tcW w:w="303" w:type="pct"/>
            <w:shd w:val="clear" w:color="000000" w:fill="FFFFFF"/>
            <w:vAlign w:val="center"/>
          </w:tcPr>
          <w:p w14:paraId="5F51052C"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70%</w:t>
            </w:r>
          </w:p>
        </w:tc>
        <w:tc>
          <w:tcPr>
            <w:tcW w:w="303" w:type="pct"/>
            <w:shd w:val="clear" w:color="000000" w:fill="FFFFFF"/>
            <w:vAlign w:val="center"/>
          </w:tcPr>
          <w:p w14:paraId="42404466"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80%</w:t>
            </w:r>
          </w:p>
        </w:tc>
        <w:tc>
          <w:tcPr>
            <w:tcW w:w="303" w:type="pct"/>
            <w:shd w:val="clear" w:color="000000" w:fill="FFFFFF"/>
            <w:vAlign w:val="center"/>
          </w:tcPr>
          <w:p w14:paraId="368CC79C"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85%</w:t>
            </w:r>
          </w:p>
        </w:tc>
        <w:tc>
          <w:tcPr>
            <w:tcW w:w="272" w:type="pct"/>
            <w:shd w:val="clear" w:color="000000" w:fill="FFFFFF"/>
            <w:vAlign w:val="center"/>
          </w:tcPr>
          <w:p w14:paraId="51D27B3F"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90%</w:t>
            </w:r>
          </w:p>
        </w:tc>
        <w:tc>
          <w:tcPr>
            <w:tcW w:w="299" w:type="pct"/>
            <w:shd w:val="clear" w:color="000000" w:fill="FFFFFF"/>
            <w:vAlign w:val="center"/>
          </w:tcPr>
          <w:p w14:paraId="12CEF5FB"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95%</w:t>
            </w:r>
          </w:p>
        </w:tc>
        <w:tc>
          <w:tcPr>
            <w:tcW w:w="297" w:type="pct"/>
            <w:shd w:val="clear" w:color="000000" w:fill="FFFFFF"/>
            <w:vAlign w:val="center"/>
          </w:tcPr>
          <w:p w14:paraId="28BF6CB6"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FD16E4" w:rsidRPr="00B0658A" w14:paraId="5C7F73BA" w14:textId="77777777" w:rsidTr="00FE71B1">
        <w:trPr>
          <w:trHeight w:val="20"/>
        </w:trPr>
        <w:tc>
          <w:tcPr>
            <w:tcW w:w="283" w:type="pct"/>
            <w:shd w:val="clear" w:color="000000" w:fill="FFFFFF"/>
            <w:vAlign w:val="center"/>
          </w:tcPr>
          <w:p w14:paraId="4EB7C218" w14:textId="77777777" w:rsidR="00FD16E4" w:rsidRPr="00B0658A" w:rsidRDefault="00FD16E4" w:rsidP="00FE71B1">
            <w:pPr>
              <w:spacing w:after="0" w:line="240" w:lineRule="auto"/>
              <w:jc w:val="center"/>
              <w:rPr>
                <w:rFonts w:ascii="Times New Roman" w:hAnsi="Times New Roman"/>
                <w:sz w:val="18"/>
                <w:szCs w:val="18"/>
              </w:rPr>
            </w:pPr>
            <w:r w:rsidRPr="00B0658A">
              <w:rPr>
                <w:rFonts w:ascii="Times New Roman" w:hAnsi="Times New Roman"/>
                <w:sz w:val="18"/>
                <w:szCs w:val="18"/>
              </w:rPr>
              <w:t>7.5</w:t>
            </w:r>
          </w:p>
        </w:tc>
        <w:tc>
          <w:tcPr>
            <w:tcW w:w="1013" w:type="pct"/>
            <w:shd w:val="clear" w:color="auto" w:fill="auto"/>
            <w:vAlign w:val="center"/>
          </w:tcPr>
          <w:p w14:paraId="7A9DF519" w14:textId="77777777" w:rsidR="00FD16E4" w:rsidRPr="00B0658A" w:rsidRDefault="00FD16E4" w:rsidP="00FD16E4">
            <w:pPr>
              <w:spacing w:after="0" w:line="240" w:lineRule="auto"/>
              <w:rPr>
                <w:rFonts w:ascii="Times New Roman" w:hAnsi="Times New Roman"/>
                <w:sz w:val="18"/>
                <w:szCs w:val="18"/>
              </w:rPr>
            </w:pPr>
            <w:r w:rsidRPr="00B0658A">
              <w:rPr>
                <w:rFonts w:ascii="Times New Roman" w:hAnsi="Times New Roman"/>
                <w:sz w:val="18"/>
                <w:szCs w:val="18"/>
              </w:rPr>
              <w:t>Лингвистическое программное обеспечение/ Средства автоматизированного перевода</w:t>
            </w:r>
          </w:p>
        </w:tc>
        <w:tc>
          <w:tcPr>
            <w:tcW w:w="704" w:type="pct"/>
            <w:shd w:val="clear" w:color="000000" w:fill="FFFFFF"/>
          </w:tcPr>
          <w:p w14:paraId="18D0ACE1" w14:textId="77777777" w:rsidR="00FD16E4" w:rsidRPr="00B0658A" w:rsidRDefault="00FD16E4" w:rsidP="00FD16E4">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03" w:type="pct"/>
            <w:shd w:val="clear" w:color="000000" w:fill="FFFFFF"/>
            <w:vAlign w:val="center"/>
          </w:tcPr>
          <w:p w14:paraId="188503B1"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50%</w:t>
            </w:r>
          </w:p>
        </w:tc>
        <w:tc>
          <w:tcPr>
            <w:tcW w:w="303" w:type="pct"/>
            <w:shd w:val="clear" w:color="000000" w:fill="FFFFFF"/>
            <w:vAlign w:val="center"/>
          </w:tcPr>
          <w:p w14:paraId="41EB4982"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55%</w:t>
            </w:r>
          </w:p>
        </w:tc>
        <w:tc>
          <w:tcPr>
            <w:tcW w:w="303" w:type="pct"/>
            <w:shd w:val="clear" w:color="000000" w:fill="FFFFFF"/>
            <w:vAlign w:val="center"/>
          </w:tcPr>
          <w:p w14:paraId="7A6FE082"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60%</w:t>
            </w:r>
          </w:p>
        </w:tc>
        <w:tc>
          <w:tcPr>
            <w:tcW w:w="313" w:type="pct"/>
            <w:shd w:val="clear" w:color="000000" w:fill="FFFFFF"/>
            <w:vAlign w:val="center"/>
          </w:tcPr>
          <w:p w14:paraId="3104C4BA"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100%</w:t>
            </w:r>
          </w:p>
        </w:tc>
        <w:tc>
          <w:tcPr>
            <w:tcW w:w="303" w:type="pct"/>
            <w:shd w:val="clear" w:color="000000" w:fill="FFFFFF"/>
            <w:vAlign w:val="center"/>
          </w:tcPr>
          <w:p w14:paraId="1EFBE3D2"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70%</w:t>
            </w:r>
          </w:p>
        </w:tc>
        <w:tc>
          <w:tcPr>
            <w:tcW w:w="303" w:type="pct"/>
            <w:shd w:val="clear" w:color="000000" w:fill="FFFFFF"/>
            <w:vAlign w:val="center"/>
          </w:tcPr>
          <w:p w14:paraId="405FB75F"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80%</w:t>
            </w:r>
          </w:p>
        </w:tc>
        <w:tc>
          <w:tcPr>
            <w:tcW w:w="303" w:type="pct"/>
            <w:shd w:val="clear" w:color="000000" w:fill="FFFFFF"/>
            <w:vAlign w:val="center"/>
          </w:tcPr>
          <w:p w14:paraId="330A8750"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85%</w:t>
            </w:r>
          </w:p>
        </w:tc>
        <w:tc>
          <w:tcPr>
            <w:tcW w:w="272" w:type="pct"/>
            <w:shd w:val="clear" w:color="000000" w:fill="FFFFFF"/>
            <w:vAlign w:val="center"/>
          </w:tcPr>
          <w:p w14:paraId="35F5CCB3"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90%</w:t>
            </w:r>
          </w:p>
        </w:tc>
        <w:tc>
          <w:tcPr>
            <w:tcW w:w="299" w:type="pct"/>
            <w:shd w:val="clear" w:color="000000" w:fill="FFFFFF"/>
            <w:vAlign w:val="center"/>
          </w:tcPr>
          <w:p w14:paraId="31BAB131"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95%</w:t>
            </w:r>
          </w:p>
        </w:tc>
        <w:tc>
          <w:tcPr>
            <w:tcW w:w="297" w:type="pct"/>
            <w:shd w:val="clear" w:color="000000" w:fill="FFFFFF"/>
            <w:vAlign w:val="center"/>
          </w:tcPr>
          <w:p w14:paraId="622C672F"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FD16E4" w:rsidRPr="00B0658A" w14:paraId="7ED10206" w14:textId="77777777" w:rsidTr="00FE71B1">
        <w:trPr>
          <w:trHeight w:val="20"/>
        </w:trPr>
        <w:tc>
          <w:tcPr>
            <w:tcW w:w="283" w:type="pct"/>
            <w:shd w:val="clear" w:color="000000" w:fill="FFFFFF"/>
            <w:vAlign w:val="center"/>
          </w:tcPr>
          <w:p w14:paraId="208797DD" w14:textId="77777777" w:rsidR="00FD16E4" w:rsidRPr="00B0658A" w:rsidRDefault="00FD16E4" w:rsidP="00FE71B1">
            <w:pPr>
              <w:spacing w:after="0" w:line="240" w:lineRule="auto"/>
              <w:jc w:val="center"/>
              <w:rPr>
                <w:rFonts w:ascii="Times New Roman" w:hAnsi="Times New Roman"/>
                <w:sz w:val="18"/>
                <w:szCs w:val="18"/>
              </w:rPr>
            </w:pPr>
            <w:r w:rsidRPr="00B0658A">
              <w:rPr>
                <w:rFonts w:ascii="Times New Roman" w:hAnsi="Times New Roman"/>
                <w:sz w:val="18"/>
                <w:szCs w:val="18"/>
              </w:rPr>
              <w:t>7.6</w:t>
            </w:r>
          </w:p>
        </w:tc>
        <w:tc>
          <w:tcPr>
            <w:tcW w:w="1013" w:type="pct"/>
            <w:shd w:val="clear" w:color="auto" w:fill="auto"/>
            <w:vAlign w:val="center"/>
          </w:tcPr>
          <w:p w14:paraId="0CD9C557" w14:textId="77777777" w:rsidR="00FD16E4" w:rsidRPr="00B0658A" w:rsidRDefault="00FD16E4" w:rsidP="00FD16E4">
            <w:pPr>
              <w:spacing w:after="0" w:line="240" w:lineRule="auto"/>
              <w:rPr>
                <w:rFonts w:ascii="Times New Roman" w:hAnsi="Times New Roman"/>
                <w:sz w:val="18"/>
                <w:szCs w:val="18"/>
              </w:rPr>
            </w:pPr>
            <w:r w:rsidRPr="00B0658A">
              <w:rPr>
                <w:rFonts w:ascii="Times New Roman" w:hAnsi="Times New Roman"/>
                <w:sz w:val="18"/>
                <w:szCs w:val="18"/>
              </w:rPr>
              <w:t>Лингвистическое программное обеспечение/ Электронные словари</w:t>
            </w:r>
          </w:p>
        </w:tc>
        <w:tc>
          <w:tcPr>
            <w:tcW w:w="704" w:type="pct"/>
            <w:shd w:val="clear" w:color="000000" w:fill="FFFFFF"/>
          </w:tcPr>
          <w:p w14:paraId="19745C18" w14:textId="77777777" w:rsidR="00FD16E4" w:rsidRPr="00B0658A" w:rsidRDefault="00FD16E4" w:rsidP="00FD16E4">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03" w:type="pct"/>
            <w:shd w:val="clear" w:color="000000" w:fill="FFFFFF"/>
            <w:vAlign w:val="center"/>
          </w:tcPr>
          <w:p w14:paraId="1FFDD51E"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50%</w:t>
            </w:r>
          </w:p>
        </w:tc>
        <w:tc>
          <w:tcPr>
            <w:tcW w:w="303" w:type="pct"/>
            <w:shd w:val="clear" w:color="000000" w:fill="FFFFFF"/>
            <w:vAlign w:val="center"/>
          </w:tcPr>
          <w:p w14:paraId="67E5B5EA"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55%</w:t>
            </w:r>
          </w:p>
        </w:tc>
        <w:tc>
          <w:tcPr>
            <w:tcW w:w="303" w:type="pct"/>
            <w:shd w:val="clear" w:color="000000" w:fill="FFFFFF"/>
            <w:vAlign w:val="center"/>
          </w:tcPr>
          <w:p w14:paraId="7280BFED"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60%</w:t>
            </w:r>
          </w:p>
        </w:tc>
        <w:tc>
          <w:tcPr>
            <w:tcW w:w="313" w:type="pct"/>
            <w:shd w:val="clear" w:color="000000" w:fill="FFFFFF"/>
            <w:vAlign w:val="center"/>
          </w:tcPr>
          <w:p w14:paraId="504FD2D8"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100%</w:t>
            </w:r>
          </w:p>
        </w:tc>
        <w:tc>
          <w:tcPr>
            <w:tcW w:w="303" w:type="pct"/>
            <w:shd w:val="clear" w:color="000000" w:fill="FFFFFF"/>
            <w:vAlign w:val="center"/>
          </w:tcPr>
          <w:p w14:paraId="21588A1A"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70%</w:t>
            </w:r>
          </w:p>
        </w:tc>
        <w:tc>
          <w:tcPr>
            <w:tcW w:w="303" w:type="pct"/>
            <w:shd w:val="clear" w:color="000000" w:fill="FFFFFF"/>
            <w:vAlign w:val="center"/>
          </w:tcPr>
          <w:p w14:paraId="5CB6D4EB"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80%</w:t>
            </w:r>
          </w:p>
        </w:tc>
        <w:tc>
          <w:tcPr>
            <w:tcW w:w="303" w:type="pct"/>
            <w:shd w:val="clear" w:color="000000" w:fill="FFFFFF"/>
            <w:vAlign w:val="center"/>
          </w:tcPr>
          <w:p w14:paraId="6D133487"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85%</w:t>
            </w:r>
          </w:p>
        </w:tc>
        <w:tc>
          <w:tcPr>
            <w:tcW w:w="272" w:type="pct"/>
            <w:shd w:val="clear" w:color="000000" w:fill="FFFFFF"/>
            <w:vAlign w:val="center"/>
          </w:tcPr>
          <w:p w14:paraId="14D3143C"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90%</w:t>
            </w:r>
          </w:p>
        </w:tc>
        <w:tc>
          <w:tcPr>
            <w:tcW w:w="299" w:type="pct"/>
            <w:shd w:val="clear" w:color="000000" w:fill="FFFFFF"/>
            <w:vAlign w:val="center"/>
          </w:tcPr>
          <w:p w14:paraId="00BBF893"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95%</w:t>
            </w:r>
          </w:p>
        </w:tc>
        <w:tc>
          <w:tcPr>
            <w:tcW w:w="297" w:type="pct"/>
            <w:shd w:val="clear" w:color="000000" w:fill="FFFFFF"/>
            <w:vAlign w:val="center"/>
          </w:tcPr>
          <w:p w14:paraId="463BCA69"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FD16E4" w:rsidRPr="00B0658A" w14:paraId="54DD9C11" w14:textId="77777777" w:rsidTr="00FE71B1">
        <w:trPr>
          <w:trHeight w:val="20"/>
        </w:trPr>
        <w:tc>
          <w:tcPr>
            <w:tcW w:w="283" w:type="pct"/>
            <w:shd w:val="clear" w:color="000000" w:fill="FFFFFF"/>
            <w:vAlign w:val="center"/>
          </w:tcPr>
          <w:p w14:paraId="33478A5B" w14:textId="77777777" w:rsidR="00FD16E4" w:rsidRPr="00B0658A" w:rsidRDefault="00FD16E4" w:rsidP="00FE71B1">
            <w:pPr>
              <w:spacing w:after="0" w:line="240" w:lineRule="auto"/>
              <w:jc w:val="center"/>
              <w:rPr>
                <w:rFonts w:ascii="Times New Roman" w:hAnsi="Times New Roman"/>
                <w:sz w:val="18"/>
                <w:szCs w:val="18"/>
              </w:rPr>
            </w:pPr>
            <w:r w:rsidRPr="00B0658A">
              <w:rPr>
                <w:rFonts w:ascii="Times New Roman" w:hAnsi="Times New Roman"/>
                <w:sz w:val="18"/>
                <w:szCs w:val="18"/>
              </w:rPr>
              <w:t>7.7</w:t>
            </w:r>
          </w:p>
        </w:tc>
        <w:tc>
          <w:tcPr>
            <w:tcW w:w="1013" w:type="pct"/>
            <w:shd w:val="clear" w:color="auto" w:fill="auto"/>
            <w:vAlign w:val="center"/>
          </w:tcPr>
          <w:p w14:paraId="5A93875E" w14:textId="77777777" w:rsidR="00FD16E4" w:rsidRPr="00B0658A" w:rsidRDefault="00FD16E4" w:rsidP="00FD16E4">
            <w:pPr>
              <w:spacing w:after="0" w:line="240" w:lineRule="auto"/>
              <w:rPr>
                <w:rFonts w:ascii="Times New Roman" w:hAnsi="Times New Roman"/>
                <w:sz w:val="18"/>
                <w:szCs w:val="18"/>
              </w:rPr>
            </w:pPr>
            <w:r w:rsidRPr="00B0658A">
              <w:rPr>
                <w:rFonts w:ascii="Times New Roman" w:hAnsi="Times New Roman"/>
                <w:sz w:val="18"/>
                <w:szCs w:val="18"/>
              </w:rPr>
              <w:t>Лингвистическое программное обеспечение/ Средства проверки правописания</w:t>
            </w:r>
          </w:p>
        </w:tc>
        <w:tc>
          <w:tcPr>
            <w:tcW w:w="704" w:type="pct"/>
            <w:shd w:val="clear" w:color="000000" w:fill="FFFFFF"/>
          </w:tcPr>
          <w:p w14:paraId="68BD17D5" w14:textId="77777777" w:rsidR="00FD16E4" w:rsidRPr="00B0658A" w:rsidRDefault="00FD16E4" w:rsidP="00FD16E4">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03" w:type="pct"/>
            <w:shd w:val="clear" w:color="000000" w:fill="FFFFFF"/>
            <w:vAlign w:val="center"/>
          </w:tcPr>
          <w:p w14:paraId="39483BCB"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50%</w:t>
            </w:r>
          </w:p>
        </w:tc>
        <w:tc>
          <w:tcPr>
            <w:tcW w:w="303" w:type="pct"/>
            <w:shd w:val="clear" w:color="000000" w:fill="FFFFFF"/>
            <w:vAlign w:val="center"/>
          </w:tcPr>
          <w:p w14:paraId="232AA66D"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55%</w:t>
            </w:r>
          </w:p>
        </w:tc>
        <w:tc>
          <w:tcPr>
            <w:tcW w:w="303" w:type="pct"/>
            <w:shd w:val="clear" w:color="000000" w:fill="FFFFFF"/>
            <w:vAlign w:val="center"/>
          </w:tcPr>
          <w:p w14:paraId="363F689C"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60%</w:t>
            </w:r>
          </w:p>
        </w:tc>
        <w:tc>
          <w:tcPr>
            <w:tcW w:w="313" w:type="pct"/>
            <w:shd w:val="clear" w:color="000000" w:fill="FFFFFF"/>
            <w:vAlign w:val="center"/>
          </w:tcPr>
          <w:p w14:paraId="399CE750"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100%</w:t>
            </w:r>
          </w:p>
        </w:tc>
        <w:tc>
          <w:tcPr>
            <w:tcW w:w="303" w:type="pct"/>
            <w:shd w:val="clear" w:color="000000" w:fill="FFFFFF"/>
            <w:vAlign w:val="center"/>
          </w:tcPr>
          <w:p w14:paraId="5362BC35"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70%</w:t>
            </w:r>
          </w:p>
        </w:tc>
        <w:tc>
          <w:tcPr>
            <w:tcW w:w="303" w:type="pct"/>
            <w:shd w:val="clear" w:color="000000" w:fill="FFFFFF"/>
            <w:vAlign w:val="center"/>
          </w:tcPr>
          <w:p w14:paraId="0DDB166C"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80%</w:t>
            </w:r>
          </w:p>
        </w:tc>
        <w:tc>
          <w:tcPr>
            <w:tcW w:w="303" w:type="pct"/>
            <w:shd w:val="clear" w:color="000000" w:fill="FFFFFF"/>
            <w:vAlign w:val="center"/>
          </w:tcPr>
          <w:p w14:paraId="28F7E68E"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85%</w:t>
            </w:r>
          </w:p>
        </w:tc>
        <w:tc>
          <w:tcPr>
            <w:tcW w:w="272" w:type="pct"/>
            <w:shd w:val="clear" w:color="000000" w:fill="FFFFFF"/>
            <w:vAlign w:val="center"/>
          </w:tcPr>
          <w:p w14:paraId="4954ADB4"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90%</w:t>
            </w:r>
          </w:p>
        </w:tc>
        <w:tc>
          <w:tcPr>
            <w:tcW w:w="299" w:type="pct"/>
            <w:shd w:val="clear" w:color="000000" w:fill="FFFFFF"/>
            <w:vAlign w:val="center"/>
          </w:tcPr>
          <w:p w14:paraId="50989D3E"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95%</w:t>
            </w:r>
          </w:p>
        </w:tc>
        <w:tc>
          <w:tcPr>
            <w:tcW w:w="297" w:type="pct"/>
            <w:shd w:val="clear" w:color="000000" w:fill="FFFFFF"/>
            <w:vAlign w:val="center"/>
          </w:tcPr>
          <w:p w14:paraId="09D53EF9"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FD16E4" w:rsidRPr="00B0658A" w14:paraId="671CA9D7" w14:textId="77777777" w:rsidTr="00FE71B1">
        <w:trPr>
          <w:trHeight w:val="20"/>
        </w:trPr>
        <w:tc>
          <w:tcPr>
            <w:tcW w:w="283" w:type="pct"/>
            <w:shd w:val="clear" w:color="000000" w:fill="FFFFFF"/>
            <w:vAlign w:val="center"/>
          </w:tcPr>
          <w:p w14:paraId="54B90833" w14:textId="77777777" w:rsidR="00FD16E4" w:rsidRPr="00B0658A" w:rsidRDefault="00FD16E4" w:rsidP="00FE71B1">
            <w:pPr>
              <w:spacing w:after="0" w:line="240" w:lineRule="auto"/>
              <w:jc w:val="center"/>
              <w:rPr>
                <w:rFonts w:ascii="Times New Roman" w:hAnsi="Times New Roman"/>
                <w:sz w:val="18"/>
                <w:szCs w:val="18"/>
              </w:rPr>
            </w:pPr>
            <w:r w:rsidRPr="00B0658A">
              <w:rPr>
                <w:rFonts w:ascii="Times New Roman" w:hAnsi="Times New Roman"/>
                <w:sz w:val="18"/>
                <w:szCs w:val="18"/>
              </w:rPr>
              <w:t>8.1</w:t>
            </w:r>
          </w:p>
        </w:tc>
        <w:tc>
          <w:tcPr>
            <w:tcW w:w="1013" w:type="pct"/>
            <w:shd w:val="clear" w:color="auto" w:fill="auto"/>
            <w:vAlign w:val="center"/>
          </w:tcPr>
          <w:p w14:paraId="597C6611" w14:textId="77777777" w:rsidR="00FD16E4" w:rsidRPr="00B0658A" w:rsidRDefault="00FD16E4" w:rsidP="00FD16E4">
            <w:pPr>
              <w:spacing w:after="0" w:line="240" w:lineRule="auto"/>
              <w:rPr>
                <w:rFonts w:ascii="Times New Roman" w:hAnsi="Times New Roman"/>
                <w:sz w:val="18"/>
                <w:szCs w:val="18"/>
              </w:rPr>
            </w:pPr>
            <w:r w:rsidRPr="00B0658A">
              <w:rPr>
                <w:rFonts w:ascii="Times New Roman" w:hAnsi="Times New Roman"/>
                <w:sz w:val="18"/>
                <w:szCs w:val="18"/>
              </w:rPr>
              <w:t xml:space="preserve">Промышленное программное обеспечение/ Средства управления жизненным циклом изделия (PLM) </w:t>
            </w:r>
          </w:p>
        </w:tc>
        <w:tc>
          <w:tcPr>
            <w:tcW w:w="704" w:type="pct"/>
            <w:shd w:val="clear" w:color="000000" w:fill="FFFFFF"/>
          </w:tcPr>
          <w:p w14:paraId="14647657" w14:textId="77777777" w:rsidR="00FD16E4" w:rsidRPr="00B0658A" w:rsidRDefault="00FD16E4" w:rsidP="00FD16E4">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03" w:type="pct"/>
            <w:shd w:val="clear" w:color="000000" w:fill="FFFFFF"/>
            <w:vAlign w:val="center"/>
          </w:tcPr>
          <w:p w14:paraId="6D1CAB1D"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20%</w:t>
            </w:r>
          </w:p>
        </w:tc>
        <w:tc>
          <w:tcPr>
            <w:tcW w:w="303" w:type="pct"/>
            <w:shd w:val="clear" w:color="000000" w:fill="FFFFFF"/>
            <w:vAlign w:val="center"/>
          </w:tcPr>
          <w:p w14:paraId="7FDD6A9F"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30%</w:t>
            </w:r>
          </w:p>
        </w:tc>
        <w:tc>
          <w:tcPr>
            <w:tcW w:w="303" w:type="pct"/>
            <w:shd w:val="clear" w:color="000000" w:fill="FFFFFF"/>
            <w:vAlign w:val="center"/>
          </w:tcPr>
          <w:p w14:paraId="6C5055F6"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40%</w:t>
            </w:r>
          </w:p>
        </w:tc>
        <w:tc>
          <w:tcPr>
            <w:tcW w:w="313" w:type="pct"/>
            <w:shd w:val="clear" w:color="000000" w:fill="FFFFFF"/>
            <w:vAlign w:val="center"/>
          </w:tcPr>
          <w:p w14:paraId="60FEB67A"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100%</w:t>
            </w:r>
          </w:p>
        </w:tc>
        <w:tc>
          <w:tcPr>
            <w:tcW w:w="303" w:type="pct"/>
            <w:shd w:val="clear" w:color="000000" w:fill="FFFFFF"/>
            <w:vAlign w:val="center"/>
          </w:tcPr>
          <w:p w14:paraId="26AB46C1"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50%</w:t>
            </w:r>
          </w:p>
        </w:tc>
        <w:tc>
          <w:tcPr>
            <w:tcW w:w="303" w:type="pct"/>
            <w:shd w:val="clear" w:color="000000" w:fill="FFFFFF"/>
            <w:vAlign w:val="center"/>
          </w:tcPr>
          <w:p w14:paraId="13C62B30"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60%</w:t>
            </w:r>
          </w:p>
        </w:tc>
        <w:tc>
          <w:tcPr>
            <w:tcW w:w="303" w:type="pct"/>
            <w:shd w:val="clear" w:color="000000" w:fill="FFFFFF"/>
            <w:vAlign w:val="center"/>
          </w:tcPr>
          <w:p w14:paraId="34739872"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70%</w:t>
            </w:r>
          </w:p>
        </w:tc>
        <w:tc>
          <w:tcPr>
            <w:tcW w:w="272" w:type="pct"/>
            <w:shd w:val="clear" w:color="000000" w:fill="FFFFFF"/>
            <w:vAlign w:val="center"/>
          </w:tcPr>
          <w:p w14:paraId="51AC163E"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80%</w:t>
            </w:r>
          </w:p>
        </w:tc>
        <w:tc>
          <w:tcPr>
            <w:tcW w:w="299" w:type="pct"/>
            <w:shd w:val="clear" w:color="000000" w:fill="FFFFFF"/>
            <w:vAlign w:val="center"/>
          </w:tcPr>
          <w:p w14:paraId="51DE37A4"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90%</w:t>
            </w:r>
          </w:p>
        </w:tc>
        <w:tc>
          <w:tcPr>
            <w:tcW w:w="297" w:type="pct"/>
            <w:shd w:val="clear" w:color="000000" w:fill="FFFFFF"/>
            <w:vAlign w:val="center"/>
          </w:tcPr>
          <w:p w14:paraId="550976BA"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FD16E4" w:rsidRPr="00B0658A" w14:paraId="559D37A6" w14:textId="77777777" w:rsidTr="00FE71B1">
        <w:trPr>
          <w:trHeight w:val="20"/>
        </w:trPr>
        <w:tc>
          <w:tcPr>
            <w:tcW w:w="283" w:type="pct"/>
            <w:shd w:val="clear" w:color="000000" w:fill="FFFFFF"/>
            <w:vAlign w:val="center"/>
          </w:tcPr>
          <w:p w14:paraId="51AC8900" w14:textId="77777777" w:rsidR="00FD16E4" w:rsidRPr="00B0658A" w:rsidRDefault="00FD16E4" w:rsidP="00FE71B1">
            <w:pPr>
              <w:spacing w:after="0" w:line="240" w:lineRule="auto"/>
              <w:jc w:val="center"/>
              <w:rPr>
                <w:rFonts w:ascii="Times New Roman" w:hAnsi="Times New Roman"/>
                <w:sz w:val="18"/>
                <w:szCs w:val="18"/>
              </w:rPr>
            </w:pPr>
            <w:r w:rsidRPr="00B0658A">
              <w:rPr>
                <w:rFonts w:ascii="Times New Roman" w:hAnsi="Times New Roman"/>
                <w:sz w:val="18"/>
                <w:szCs w:val="18"/>
              </w:rPr>
              <w:t>8.2</w:t>
            </w:r>
          </w:p>
        </w:tc>
        <w:tc>
          <w:tcPr>
            <w:tcW w:w="1013" w:type="pct"/>
            <w:shd w:val="clear" w:color="auto" w:fill="auto"/>
            <w:vAlign w:val="center"/>
          </w:tcPr>
          <w:p w14:paraId="6310B46B" w14:textId="77777777" w:rsidR="00FD16E4" w:rsidRPr="00B0658A" w:rsidRDefault="00FD16E4" w:rsidP="00FD16E4">
            <w:pPr>
              <w:spacing w:after="0" w:line="240" w:lineRule="auto"/>
              <w:rPr>
                <w:rFonts w:ascii="Times New Roman" w:hAnsi="Times New Roman"/>
                <w:sz w:val="18"/>
                <w:szCs w:val="18"/>
              </w:rPr>
            </w:pPr>
            <w:r w:rsidRPr="00B0658A">
              <w:rPr>
                <w:rFonts w:ascii="Times New Roman" w:hAnsi="Times New Roman"/>
                <w:sz w:val="18"/>
                <w:szCs w:val="18"/>
              </w:rPr>
              <w:t>Промышленное программное обеспечение/ Универсальные машиностроительные средства автоматизированного проектирования (MCAD)</w:t>
            </w:r>
          </w:p>
        </w:tc>
        <w:tc>
          <w:tcPr>
            <w:tcW w:w="704" w:type="pct"/>
            <w:shd w:val="clear" w:color="000000" w:fill="FFFFFF"/>
          </w:tcPr>
          <w:p w14:paraId="12E64A89" w14:textId="77777777" w:rsidR="00FD16E4" w:rsidRPr="00B0658A" w:rsidRDefault="00FD16E4" w:rsidP="00FD16E4">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03" w:type="pct"/>
            <w:shd w:val="clear" w:color="000000" w:fill="FFFFFF"/>
            <w:vAlign w:val="center"/>
          </w:tcPr>
          <w:p w14:paraId="27C61F32"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30%</w:t>
            </w:r>
          </w:p>
        </w:tc>
        <w:tc>
          <w:tcPr>
            <w:tcW w:w="303" w:type="pct"/>
            <w:shd w:val="clear" w:color="000000" w:fill="FFFFFF"/>
            <w:vAlign w:val="center"/>
          </w:tcPr>
          <w:p w14:paraId="76A78831"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40%</w:t>
            </w:r>
          </w:p>
        </w:tc>
        <w:tc>
          <w:tcPr>
            <w:tcW w:w="303" w:type="pct"/>
            <w:shd w:val="clear" w:color="000000" w:fill="FFFFFF"/>
            <w:vAlign w:val="center"/>
          </w:tcPr>
          <w:p w14:paraId="1420C780"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50%</w:t>
            </w:r>
          </w:p>
        </w:tc>
        <w:tc>
          <w:tcPr>
            <w:tcW w:w="313" w:type="pct"/>
            <w:shd w:val="clear" w:color="000000" w:fill="FFFFFF"/>
            <w:vAlign w:val="center"/>
          </w:tcPr>
          <w:p w14:paraId="48922B2D"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100%</w:t>
            </w:r>
          </w:p>
        </w:tc>
        <w:tc>
          <w:tcPr>
            <w:tcW w:w="303" w:type="pct"/>
            <w:shd w:val="clear" w:color="000000" w:fill="FFFFFF"/>
            <w:vAlign w:val="center"/>
          </w:tcPr>
          <w:p w14:paraId="2A8F4799"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60%</w:t>
            </w:r>
          </w:p>
        </w:tc>
        <w:tc>
          <w:tcPr>
            <w:tcW w:w="303" w:type="pct"/>
            <w:shd w:val="clear" w:color="000000" w:fill="FFFFFF"/>
            <w:vAlign w:val="center"/>
          </w:tcPr>
          <w:p w14:paraId="55BA81C9"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70%</w:t>
            </w:r>
          </w:p>
        </w:tc>
        <w:tc>
          <w:tcPr>
            <w:tcW w:w="303" w:type="pct"/>
            <w:shd w:val="clear" w:color="000000" w:fill="FFFFFF"/>
            <w:vAlign w:val="center"/>
          </w:tcPr>
          <w:p w14:paraId="6F11E79D"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80%</w:t>
            </w:r>
          </w:p>
        </w:tc>
        <w:tc>
          <w:tcPr>
            <w:tcW w:w="272" w:type="pct"/>
            <w:shd w:val="clear" w:color="000000" w:fill="FFFFFF"/>
            <w:vAlign w:val="center"/>
          </w:tcPr>
          <w:p w14:paraId="1CEF6BF2"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90%</w:t>
            </w:r>
          </w:p>
        </w:tc>
        <w:tc>
          <w:tcPr>
            <w:tcW w:w="299" w:type="pct"/>
            <w:shd w:val="clear" w:color="000000" w:fill="FFFFFF"/>
            <w:vAlign w:val="center"/>
          </w:tcPr>
          <w:p w14:paraId="280CEAC6"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100%</w:t>
            </w:r>
          </w:p>
        </w:tc>
        <w:tc>
          <w:tcPr>
            <w:tcW w:w="297" w:type="pct"/>
            <w:shd w:val="clear" w:color="000000" w:fill="FFFFFF"/>
            <w:vAlign w:val="center"/>
          </w:tcPr>
          <w:p w14:paraId="129768D4"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FD16E4" w:rsidRPr="00B0658A" w14:paraId="2330D194" w14:textId="77777777" w:rsidTr="00FE71B1">
        <w:trPr>
          <w:trHeight w:val="20"/>
        </w:trPr>
        <w:tc>
          <w:tcPr>
            <w:tcW w:w="283" w:type="pct"/>
            <w:shd w:val="clear" w:color="000000" w:fill="FFFFFF"/>
            <w:vAlign w:val="center"/>
          </w:tcPr>
          <w:p w14:paraId="0B6CC2B6" w14:textId="77777777" w:rsidR="00FD16E4" w:rsidRPr="00B0658A" w:rsidRDefault="00FD16E4" w:rsidP="00FE71B1">
            <w:pPr>
              <w:spacing w:after="0" w:line="240" w:lineRule="auto"/>
              <w:jc w:val="center"/>
              <w:rPr>
                <w:rFonts w:ascii="Times New Roman" w:hAnsi="Times New Roman"/>
                <w:sz w:val="18"/>
                <w:szCs w:val="18"/>
              </w:rPr>
            </w:pPr>
            <w:r w:rsidRPr="00B0658A">
              <w:rPr>
                <w:rFonts w:ascii="Times New Roman" w:hAnsi="Times New Roman"/>
                <w:sz w:val="18"/>
                <w:szCs w:val="18"/>
              </w:rPr>
              <w:t>8.3</w:t>
            </w:r>
          </w:p>
        </w:tc>
        <w:tc>
          <w:tcPr>
            <w:tcW w:w="1013" w:type="pct"/>
            <w:shd w:val="clear" w:color="auto" w:fill="auto"/>
            <w:vAlign w:val="center"/>
          </w:tcPr>
          <w:p w14:paraId="667666B4" w14:textId="77777777" w:rsidR="00FD16E4" w:rsidRPr="00B0658A" w:rsidRDefault="00FD16E4" w:rsidP="00FD16E4">
            <w:pPr>
              <w:spacing w:after="0" w:line="240" w:lineRule="auto"/>
              <w:rPr>
                <w:rFonts w:ascii="Times New Roman" w:hAnsi="Times New Roman"/>
                <w:sz w:val="18"/>
                <w:szCs w:val="18"/>
              </w:rPr>
            </w:pPr>
            <w:r w:rsidRPr="00B0658A">
              <w:rPr>
                <w:rFonts w:ascii="Times New Roman" w:hAnsi="Times New Roman"/>
                <w:sz w:val="18"/>
                <w:szCs w:val="18"/>
              </w:rPr>
              <w:t>Промышленное программное обеспечение/ Средства автоматизированного проектирования (CAD)</w:t>
            </w:r>
          </w:p>
        </w:tc>
        <w:tc>
          <w:tcPr>
            <w:tcW w:w="704" w:type="pct"/>
            <w:shd w:val="clear" w:color="000000" w:fill="FFFFFF"/>
          </w:tcPr>
          <w:p w14:paraId="674EF622" w14:textId="77777777" w:rsidR="00FD16E4" w:rsidRPr="00B0658A" w:rsidRDefault="00FD16E4" w:rsidP="00FD16E4">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03" w:type="pct"/>
            <w:shd w:val="clear" w:color="000000" w:fill="FFFFFF"/>
            <w:vAlign w:val="center"/>
          </w:tcPr>
          <w:p w14:paraId="5B456206"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30%</w:t>
            </w:r>
          </w:p>
        </w:tc>
        <w:tc>
          <w:tcPr>
            <w:tcW w:w="303" w:type="pct"/>
            <w:shd w:val="clear" w:color="000000" w:fill="FFFFFF"/>
            <w:vAlign w:val="center"/>
          </w:tcPr>
          <w:p w14:paraId="0FCE5AB2"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40%</w:t>
            </w:r>
          </w:p>
        </w:tc>
        <w:tc>
          <w:tcPr>
            <w:tcW w:w="303" w:type="pct"/>
            <w:shd w:val="clear" w:color="000000" w:fill="FFFFFF"/>
            <w:vAlign w:val="center"/>
          </w:tcPr>
          <w:p w14:paraId="7A7A2252"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50%</w:t>
            </w:r>
          </w:p>
        </w:tc>
        <w:tc>
          <w:tcPr>
            <w:tcW w:w="313" w:type="pct"/>
            <w:shd w:val="clear" w:color="000000" w:fill="FFFFFF"/>
            <w:vAlign w:val="center"/>
          </w:tcPr>
          <w:p w14:paraId="3A83A4D1"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100%</w:t>
            </w:r>
          </w:p>
        </w:tc>
        <w:tc>
          <w:tcPr>
            <w:tcW w:w="303" w:type="pct"/>
            <w:shd w:val="clear" w:color="000000" w:fill="FFFFFF"/>
            <w:vAlign w:val="center"/>
          </w:tcPr>
          <w:p w14:paraId="6756B7AC"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60%</w:t>
            </w:r>
          </w:p>
        </w:tc>
        <w:tc>
          <w:tcPr>
            <w:tcW w:w="303" w:type="pct"/>
            <w:shd w:val="clear" w:color="000000" w:fill="FFFFFF"/>
            <w:vAlign w:val="center"/>
          </w:tcPr>
          <w:p w14:paraId="04D121D9"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70%</w:t>
            </w:r>
          </w:p>
        </w:tc>
        <w:tc>
          <w:tcPr>
            <w:tcW w:w="303" w:type="pct"/>
            <w:shd w:val="clear" w:color="000000" w:fill="FFFFFF"/>
            <w:vAlign w:val="center"/>
          </w:tcPr>
          <w:p w14:paraId="660C2592"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80%</w:t>
            </w:r>
          </w:p>
        </w:tc>
        <w:tc>
          <w:tcPr>
            <w:tcW w:w="272" w:type="pct"/>
            <w:shd w:val="clear" w:color="000000" w:fill="FFFFFF"/>
            <w:vAlign w:val="center"/>
          </w:tcPr>
          <w:p w14:paraId="7B0A4487"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90%</w:t>
            </w:r>
          </w:p>
        </w:tc>
        <w:tc>
          <w:tcPr>
            <w:tcW w:w="299" w:type="pct"/>
            <w:shd w:val="clear" w:color="000000" w:fill="FFFFFF"/>
            <w:vAlign w:val="center"/>
          </w:tcPr>
          <w:p w14:paraId="53F3DDDC"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100%</w:t>
            </w:r>
          </w:p>
        </w:tc>
        <w:tc>
          <w:tcPr>
            <w:tcW w:w="297" w:type="pct"/>
            <w:shd w:val="clear" w:color="000000" w:fill="FFFFFF"/>
            <w:vAlign w:val="center"/>
          </w:tcPr>
          <w:p w14:paraId="4D9333A3"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FD16E4" w:rsidRPr="00B0658A" w14:paraId="0BD39FE9" w14:textId="77777777" w:rsidTr="00FE71B1">
        <w:trPr>
          <w:trHeight w:val="20"/>
        </w:trPr>
        <w:tc>
          <w:tcPr>
            <w:tcW w:w="283" w:type="pct"/>
            <w:shd w:val="clear" w:color="000000" w:fill="FFFFFF"/>
            <w:vAlign w:val="center"/>
          </w:tcPr>
          <w:p w14:paraId="22E4DAAE" w14:textId="77777777" w:rsidR="00FD16E4" w:rsidRPr="00B0658A" w:rsidRDefault="00FD16E4" w:rsidP="00FE71B1">
            <w:pPr>
              <w:spacing w:after="0" w:line="240" w:lineRule="auto"/>
              <w:jc w:val="center"/>
              <w:rPr>
                <w:rFonts w:ascii="Times New Roman" w:hAnsi="Times New Roman"/>
                <w:sz w:val="18"/>
                <w:szCs w:val="18"/>
              </w:rPr>
            </w:pPr>
            <w:r w:rsidRPr="00B0658A">
              <w:rPr>
                <w:rFonts w:ascii="Times New Roman" w:hAnsi="Times New Roman"/>
                <w:sz w:val="18"/>
                <w:szCs w:val="18"/>
              </w:rPr>
              <w:t>8.4</w:t>
            </w:r>
          </w:p>
        </w:tc>
        <w:tc>
          <w:tcPr>
            <w:tcW w:w="1013" w:type="pct"/>
            <w:shd w:val="clear" w:color="auto" w:fill="auto"/>
            <w:vAlign w:val="center"/>
          </w:tcPr>
          <w:p w14:paraId="40A61CBA" w14:textId="77777777" w:rsidR="00FD16E4" w:rsidRPr="00B0658A" w:rsidRDefault="00FD16E4" w:rsidP="00FD16E4">
            <w:pPr>
              <w:spacing w:after="0" w:line="240" w:lineRule="auto"/>
              <w:rPr>
                <w:rFonts w:ascii="Times New Roman" w:hAnsi="Times New Roman"/>
                <w:sz w:val="18"/>
                <w:szCs w:val="18"/>
              </w:rPr>
            </w:pPr>
            <w:r w:rsidRPr="00B0658A">
              <w:rPr>
                <w:rFonts w:ascii="Times New Roman" w:hAnsi="Times New Roman"/>
                <w:sz w:val="18"/>
                <w:szCs w:val="18"/>
              </w:rPr>
              <w:t xml:space="preserve">Промышленное программное обеспечение/ Средства автоматизированного проектирования для радиоэлектроники </w:t>
            </w:r>
            <w:r w:rsidRPr="00B0658A">
              <w:rPr>
                <w:rFonts w:ascii="Times New Roman" w:hAnsi="Times New Roman"/>
                <w:sz w:val="18"/>
                <w:szCs w:val="18"/>
              </w:rPr>
              <w:br/>
              <w:t>и электротехники (ECAD, EDA)</w:t>
            </w:r>
          </w:p>
        </w:tc>
        <w:tc>
          <w:tcPr>
            <w:tcW w:w="704" w:type="pct"/>
            <w:shd w:val="clear" w:color="000000" w:fill="FFFFFF"/>
          </w:tcPr>
          <w:p w14:paraId="3FA8EB67" w14:textId="77777777" w:rsidR="00FD16E4" w:rsidRPr="00B0658A" w:rsidRDefault="00FD16E4" w:rsidP="00FD16E4">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03" w:type="pct"/>
            <w:shd w:val="clear" w:color="000000" w:fill="FFFFFF"/>
            <w:vAlign w:val="center"/>
          </w:tcPr>
          <w:p w14:paraId="4E5BB478"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30%</w:t>
            </w:r>
          </w:p>
        </w:tc>
        <w:tc>
          <w:tcPr>
            <w:tcW w:w="303" w:type="pct"/>
            <w:shd w:val="clear" w:color="000000" w:fill="FFFFFF"/>
            <w:vAlign w:val="center"/>
          </w:tcPr>
          <w:p w14:paraId="2F274892"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40%</w:t>
            </w:r>
          </w:p>
        </w:tc>
        <w:tc>
          <w:tcPr>
            <w:tcW w:w="303" w:type="pct"/>
            <w:shd w:val="clear" w:color="000000" w:fill="FFFFFF"/>
            <w:vAlign w:val="center"/>
          </w:tcPr>
          <w:p w14:paraId="1117CEE0"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50%</w:t>
            </w:r>
          </w:p>
        </w:tc>
        <w:tc>
          <w:tcPr>
            <w:tcW w:w="313" w:type="pct"/>
            <w:shd w:val="clear" w:color="000000" w:fill="FFFFFF"/>
            <w:vAlign w:val="center"/>
          </w:tcPr>
          <w:p w14:paraId="596825F0"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100%</w:t>
            </w:r>
          </w:p>
        </w:tc>
        <w:tc>
          <w:tcPr>
            <w:tcW w:w="303" w:type="pct"/>
            <w:shd w:val="clear" w:color="000000" w:fill="FFFFFF"/>
            <w:vAlign w:val="center"/>
          </w:tcPr>
          <w:p w14:paraId="0B845BBB"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60%</w:t>
            </w:r>
          </w:p>
        </w:tc>
        <w:tc>
          <w:tcPr>
            <w:tcW w:w="303" w:type="pct"/>
            <w:shd w:val="clear" w:color="000000" w:fill="FFFFFF"/>
            <w:vAlign w:val="center"/>
          </w:tcPr>
          <w:p w14:paraId="6FBFCBDA"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70%</w:t>
            </w:r>
          </w:p>
        </w:tc>
        <w:tc>
          <w:tcPr>
            <w:tcW w:w="303" w:type="pct"/>
            <w:shd w:val="clear" w:color="000000" w:fill="FFFFFF"/>
            <w:vAlign w:val="center"/>
          </w:tcPr>
          <w:p w14:paraId="2BFC6FDE"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80%</w:t>
            </w:r>
          </w:p>
        </w:tc>
        <w:tc>
          <w:tcPr>
            <w:tcW w:w="272" w:type="pct"/>
            <w:shd w:val="clear" w:color="000000" w:fill="FFFFFF"/>
            <w:vAlign w:val="center"/>
          </w:tcPr>
          <w:p w14:paraId="0E5C734A"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90%</w:t>
            </w:r>
          </w:p>
        </w:tc>
        <w:tc>
          <w:tcPr>
            <w:tcW w:w="299" w:type="pct"/>
            <w:shd w:val="clear" w:color="000000" w:fill="FFFFFF"/>
            <w:vAlign w:val="center"/>
          </w:tcPr>
          <w:p w14:paraId="0BBF96FB"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100%</w:t>
            </w:r>
          </w:p>
        </w:tc>
        <w:tc>
          <w:tcPr>
            <w:tcW w:w="297" w:type="pct"/>
            <w:shd w:val="clear" w:color="000000" w:fill="FFFFFF"/>
            <w:vAlign w:val="center"/>
          </w:tcPr>
          <w:p w14:paraId="500FDE65"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FD16E4" w:rsidRPr="00B0658A" w14:paraId="376EC15A" w14:textId="77777777" w:rsidTr="00FE71B1">
        <w:trPr>
          <w:trHeight w:val="20"/>
        </w:trPr>
        <w:tc>
          <w:tcPr>
            <w:tcW w:w="283" w:type="pct"/>
            <w:shd w:val="clear" w:color="000000" w:fill="FFFFFF"/>
            <w:vAlign w:val="center"/>
          </w:tcPr>
          <w:p w14:paraId="50AA719B" w14:textId="77777777" w:rsidR="00FD16E4" w:rsidRPr="00B0658A" w:rsidRDefault="00FD16E4" w:rsidP="00FE71B1">
            <w:pPr>
              <w:spacing w:after="0" w:line="240" w:lineRule="auto"/>
              <w:jc w:val="center"/>
              <w:rPr>
                <w:rFonts w:ascii="Times New Roman" w:hAnsi="Times New Roman"/>
                <w:sz w:val="18"/>
                <w:szCs w:val="18"/>
              </w:rPr>
            </w:pPr>
            <w:r w:rsidRPr="00B0658A">
              <w:rPr>
                <w:rFonts w:ascii="Times New Roman" w:hAnsi="Times New Roman"/>
                <w:sz w:val="18"/>
                <w:szCs w:val="18"/>
              </w:rPr>
              <w:lastRenderedPageBreak/>
              <w:t>8.5</w:t>
            </w:r>
          </w:p>
        </w:tc>
        <w:tc>
          <w:tcPr>
            <w:tcW w:w="1013" w:type="pct"/>
            <w:shd w:val="clear" w:color="auto" w:fill="auto"/>
            <w:vAlign w:val="center"/>
          </w:tcPr>
          <w:p w14:paraId="35D5177C" w14:textId="77777777" w:rsidR="00FD16E4" w:rsidRPr="00B0658A" w:rsidRDefault="00FD16E4" w:rsidP="00FD16E4">
            <w:pPr>
              <w:spacing w:after="0" w:line="240" w:lineRule="auto"/>
              <w:rPr>
                <w:rFonts w:ascii="Times New Roman" w:hAnsi="Times New Roman"/>
                <w:sz w:val="18"/>
                <w:szCs w:val="18"/>
              </w:rPr>
            </w:pPr>
            <w:r w:rsidRPr="00B0658A">
              <w:rPr>
                <w:rFonts w:ascii="Times New Roman" w:hAnsi="Times New Roman"/>
                <w:sz w:val="18"/>
                <w:szCs w:val="18"/>
              </w:rPr>
              <w:t>Промышленное программное обеспечение/ Средства инженерного анализа (CAE)</w:t>
            </w:r>
          </w:p>
        </w:tc>
        <w:tc>
          <w:tcPr>
            <w:tcW w:w="704" w:type="pct"/>
            <w:shd w:val="clear" w:color="000000" w:fill="FFFFFF"/>
          </w:tcPr>
          <w:p w14:paraId="4AF2B129" w14:textId="77777777" w:rsidR="00FD16E4" w:rsidRPr="00B0658A" w:rsidRDefault="00FD16E4" w:rsidP="00FD16E4">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03" w:type="pct"/>
            <w:shd w:val="clear" w:color="000000" w:fill="FFFFFF"/>
            <w:vAlign w:val="center"/>
          </w:tcPr>
          <w:p w14:paraId="5B8345D0"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30%</w:t>
            </w:r>
          </w:p>
        </w:tc>
        <w:tc>
          <w:tcPr>
            <w:tcW w:w="303" w:type="pct"/>
            <w:shd w:val="clear" w:color="000000" w:fill="FFFFFF"/>
            <w:vAlign w:val="center"/>
          </w:tcPr>
          <w:p w14:paraId="561A272F"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40%</w:t>
            </w:r>
          </w:p>
        </w:tc>
        <w:tc>
          <w:tcPr>
            <w:tcW w:w="303" w:type="pct"/>
            <w:shd w:val="clear" w:color="000000" w:fill="FFFFFF"/>
            <w:vAlign w:val="center"/>
          </w:tcPr>
          <w:p w14:paraId="445E221F"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50%</w:t>
            </w:r>
          </w:p>
        </w:tc>
        <w:tc>
          <w:tcPr>
            <w:tcW w:w="313" w:type="pct"/>
            <w:shd w:val="clear" w:color="000000" w:fill="FFFFFF"/>
            <w:vAlign w:val="center"/>
          </w:tcPr>
          <w:p w14:paraId="6A4FD640"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100%</w:t>
            </w:r>
          </w:p>
        </w:tc>
        <w:tc>
          <w:tcPr>
            <w:tcW w:w="303" w:type="pct"/>
            <w:shd w:val="clear" w:color="000000" w:fill="FFFFFF"/>
            <w:vAlign w:val="center"/>
          </w:tcPr>
          <w:p w14:paraId="13DB5109"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60%</w:t>
            </w:r>
          </w:p>
        </w:tc>
        <w:tc>
          <w:tcPr>
            <w:tcW w:w="303" w:type="pct"/>
            <w:shd w:val="clear" w:color="000000" w:fill="FFFFFF"/>
            <w:vAlign w:val="center"/>
          </w:tcPr>
          <w:p w14:paraId="5FC07C71"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70%</w:t>
            </w:r>
          </w:p>
        </w:tc>
        <w:tc>
          <w:tcPr>
            <w:tcW w:w="303" w:type="pct"/>
            <w:shd w:val="clear" w:color="000000" w:fill="FFFFFF"/>
            <w:vAlign w:val="center"/>
          </w:tcPr>
          <w:p w14:paraId="7672E166"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80%</w:t>
            </w:r>
          </w:p>
        </w:tc>
        <w:tc>
          <w:tcPr>
            <w:tcW w:w="272" w:type="pct"/>
            <w:shd w:val="clear" w:color="000000" w:fill="FFFFFF"/>
            <w:vAlign w:val="center"/>
          </w:tcPr>
          <w:p w14:paraId="303E0AE7"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90%</w:t>
            </w:r>
          </w:p>
        </w:tc>
        <w:tc>
          <w:tcPr>
            <w:tcW w:w="299" w:type="pct"/>
            <w:shd w:val="clear" w:color="000000" w:fill="FFFFFF"/>
            <w:vAlign w:val="center"/>
          </w:tcPr>
          <w:p w14:paraId="57351BB4"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100%</w:t>
            </w:r>
          </w:p>
        </w:tc>
        <w:tc>
          <w:tcPr>
            <w:tcW w:w="297" w:type="pct"/>
            <w:shd w:val="clear" w:color="000000" w:fill="FFFFFF"/>
            <w:vAlign w:val="center"/>
          </w:tcPr>
          <w:p w14:paraId="2B74B5CA"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FD16E4" w:rsidRPr="00B0658A" w14:paraId="024AB4D4" w14:textId="77777777" w:rsidTr="00FE71B1">
        <w:trPr>
          <w:trHeight w:val="20"/>
        </w:trPr>
        <w:tc>
          <w:tcPr>
            <w:tcW w:w="283" w:type="pct"/>
            <w:shd w:val="clear" w:color="000000" w:fill="FFFFFF"/>
            <w:vAlign w:val="center"/>
          </w:tcPr>
          <w:p w14:paraId="2EFC71AA" w14:textId="77777777" w:rsidR="00FD16E4" w:rsidRPr="00B0658A" w:rsidRDefault="00FD16E4" w:rsidP="00FE71B1">
            <w:pPr>
              <w:spacing w:after="0" w:line="240" w:lineRule="auto"/>
              <w:jc w:val="center"/>
              <w:rPr>
                <w:rFonts w:ascii="Times New Roman" w:hAnsi="Times New Roman"/>
                <w:sz w:val="18"/>
                <w:szCs w:val="18"/>
              </w:rPr>
            </w:pPr>
            <w:r w:rsidRPr="00B0658A">
              <w:rPr>
                <w:rFonts w:ascii="Times New Roman" w:hAnsi="Times New Roman"/>
                <w:sz w:val="18"/>
                <w:szCs w:val="18"/>
              </w:rPr>
              <w:t>8.6</w:t>
            </w:r>
          </w:p>
        </w:tc>
        <w:tc>
          <w:tcPr>
            <w:tcW w:w="1013" w:type="pct"/>
            <w:shd w:val="clear" w:color="auto" w:fill="auto"/>
            <w:vAlign w:val="center"/>
          </w:tcPr>
          <w:p w14:paraId="25A143AD" w14:textId="77777777" w:rsidR="00FD16E4" w:rsidRPr="00B0658A" w:rsidRDefault="00FD16E4" w:rsidP="00FD16E4">
            <w:pPr>
              <w:spacing w:after="0" w:line="240" w:lineRule="auto"/>
              <w:rPr>
                <w:rFonts w:ascii="Times New Roman" w:hAnsi="Times New Roman"/>
                <w:sz w:val="18"/>
                <w:szCs w:val="18"/>
              </w:rPr>
            </w:pPr>
            <w:r w:rsidRPr="00B0658A">
              <w:rPr>
                <w:rFonts w:ascii="Times New Roman" w:hAnsi="Times New Roman"/>
                <w:sz w:val="18"/>
                <w:szCs w:val="18"/>
              </w:rPr>
              <w:t>Промышленное программное обеспечение/ Средства управления оборудованием с числовым программным управлением (CAM)</w:t>
            </w:r>
          </w:p>
        </w:tc>
        <w:tc>
          <w:tcPr>
            <w:tcW w:w="704" w:type="pct"/>
            <w:shd w:val="clear" w:color="000000" w:fill="FFFFFF"/>
          </w:tcPr>
          <w:p w14:paraId="36AE112D" w14:textId="77777777" w:rsidR="00FD16E4" w:rsidRPr="00B0658A" w:rsidRDefault="00FD16E4" w:rsidP="00FD16E4">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03" w:type="pct"/>
            <w:shd w:val="clear" w:color="000000" w:fill="FFFFFF"/>
            <w:vAlign w:val="center"/>
          </w:tcPr>
          <w:p w14:paraId="4ED5B035"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30%</w:t>
            </w:r>
          </w:p>
        </w:tc>
        <w:tc>
          <w:tcPr>
            <w:tcW w:w="303" w:type="pct"/>
            <w:shd w:val="clear" w:color="000000" w:fill="FFFFFF"/>
            <w:vAlign w:val="center"/>
          </w:tcPr>
          <w:p w14:paraId="76D5B851"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40%</w:t>
            </w:r>
          </w:p>
        </w:tc>
        <w:tc>
          <w:tcPr>
            <w:tcW w:w="303" w:type="pct"/>
            <w:shd w:val="clear" w:color="000000" w:fill="FFFFFF"/>
            <w:vAlign w:val="center"/>
          </w:tcPr>
          <w:p w14:paraId="000CFE2E"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50%</w:t>
            </w:r>
          </w:p>
        </w:tc>
        <w:tc>
          <w:tcPr>
            <w:tcW w:w="313" w:type="pct"/>
            <w:shd w:val="clear" w:color="000000" w:fill="FFFFFF"/>
            <w:vAlign w:val="center"/>
          </w:tcPr>
          <w:p w14:paraId="0D7FDCD7"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100%</w:t>
            </w:r>
          </w:p>
        </w:tc>
        <w:tc>
          <w:tcPr>
            <w:tcW w:w="303" w:type="pct"/>
            <w:shd w:val="clear" w:color="000000" w:fill="FFFFFF"/>
            <w:vAlign w:val="center"/>
          </w:tcPr>
          <w:p w14:paraId="7D47EB6F"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60%</w:t>
            </w:r>
          </w:p>
        </w:tc>
        <w:tc>
          <w:tcPr>
            <w:tcW w:w="303" w:type="pct"/>
            <w:shd w:val="clear" w:color="000000" w:fill="FFFFFF"/>
            <w:vAlign w:val="center"/>
          </w:tcPr>
          <w:p w14:paraId="4B200C2F"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70%</w:t>
            </w:r>
          </w:p>
        </w:tc>
        <w:tc>
          <w:tcPr>
            <w:tcW w:w="303" w:type="pct"/>
            <w:shd w:val="clear" w:color="000000" w:fill="FFFFFF"/>
            <w:vAlign w:val="center"/>
          </w:tcPr>
          <w:p w14:paraId="27804F73"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80%</w:t>
            </w:r>
          </w:p>
        </w:tc>
        <w:tc>
          <w:tcPr>
            <w:tcW w:w="272" w:type="pct"/>
            <w:shd w:val="clear" w:color="000000" w:fill="FFFFFF"/>
            <w:vAlign w:val="center"/>
          </w:tcPr>
          <w:p w14:paraId="0074C998"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90%</w:t>
            </w:r>
          </w:p>
        </w:tc>
        <w:tc>
          <w:tcPr>
            <w:tcW w:w="299" w:type="pct"/>
            <w:shd w:val="clear" w:color="000000" w:fill="FFFFFF"/>
            <w:vAlign w:val="center"/>
          </w:tcPr>
          <w:p w14:paraId="1B668564"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100%</w:t>
            </w:r>
          </w:p>
        </w:tc>
        <w:tc>
          <w:tcPr>
            <w:tcW w:w="297" w:type="pct"/>
            <w:shd w:val="clear" w:color="000000" w:fill="FFFFFF"/>
            <w:vAlign w:val="center"/>
          </w:tcPr>
          <w:p w14:paraId="47181782"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FD16E4" w:rsidRPr="00B0658A" w14:paraId="37EC50C3" w14:textId="77777777" w:rsidTr="00FE71B1">
        <w:trPr>
          <w:trHeight w:val="20"/>
        </w:trPr>
        <w:tc>
          <w:tcPr>
            <w:tcW w:w="283" w:type="pct"/>
            <w:shd w:val="clear" w:color="000000" w:fill="FFFFFF"/>
            <w:vAlign w:val="center"/>
          </w:tcPr>
          <w:p w14:paraId="0707D5AD" w14:textId="77777777" w:rsidR="00FD16E4" w:rsidRPr="00B0658A" w:rsidRDefault="00FD16E4" w:rsidP="00FE71B1">
            <w:pPr>
              <w:spacing w:after="0" w:line="240" w:lineRule="auto"/>
              <w:jc w:val="center"/>
              <w:rPr>
                <w:rFonts w:ascii="Times New Roman" w:hAnsi="Times New Roman"/>
                <w:sz w:val="18"/>
                <w:szCs w:val="18"/>
              </w:rPr>
            </w:pPr>
            <w:r w:rsidRPr="00B0658A">
              <w:rPr>
                <w:rFonts w:ascii="Times New Roman" w:hAnsi="Times New Roman"/>
                <w:sz w:val="18"/>
                <w:szCs w:val="18"/>
              </w:rPr>
              <w:t>8.7</w:t>
            </w:r>
          </w:p>
        </w:tc>
        <w:tc>
          <w:tcPr>
            <w:tcW w:w="1013" w:type="pct"/>
            <w:shd w:val="clear" w:color="auto" w:fill="auto"/>
            <w:vAlign w:val="center"/>
          </w:tcPr>
          <w:p w14:paraId="529D0B37" w14:textId="77777777" w:rsidR="00FD16E4" w:rsidRPr="00B0658A" w:rsidRDefault="00FD16E4" w:rsidP="00FD16E4">
            <w:pPr>
              <w:spacing w:after="0" w:line="240" w:lineRule="auto"/>
              <w:rPr>
                <w:rFonts w:ascii="Times New Roman" w:hAnsi="Times New Roman"/>
                <w:sz w:val="18"/>
                <w:szCs w:val="18"/>
              </w:rPr>
            </w:pPr>
            <w:r w:rsidRPr="00B0658A">
              <w:rPr>
                <w:rFonts w:ascii="Times New Roman" w:hAnsi="Times New Roman"/>
                <w:sz w:val="18"/>
                <w:szCs w:val="18"/>
              </w:rPr>
              <w:t>Промышленное программное обеспечение/ Средства технологической подготовки производства (CAPP)</w:t>
            </w:r>
          </w:p>
        </w:tc>
        <w:tc>
          <w:tcPr>
            <w:tcW w:w="704" w:type="pct"/>
            <w:shd w:val="clear" w:color="000000" w:fill="FFFFFF"/>
          </w:tcPr>
          <w:p w14:paraId="6DC424BF" w14:textId="77777777" w:rsidR="00FD16E4" w:rsidRPr="00B0658A" w:rsidRDefault="00FD16E4" w:rsidP="00FD16E4">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03" w:type="pct"/>
            <w:shd w:val="clear" w:color="000000" w:fill="FFFFFF"/>
            <w:vAlign w:val="center"/>
          </w:tcPr>
          <w:p w14:paraId="18C293E6"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30%</w:t>
            </w:r>
          </w:p>
        </w:tc>
        <w:tc>
          <w:tcPr>
            <w:tcW w:w="303" w:type="pct"/>
            <w:shd w:val="clear" w:color="000000" w:fill="FFFFFF"/>
            <w:vAlign w:val="center"/>
          </w:tcPr>
          <w:p w14:paraId="7BB0903B"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40%</w:t>
            </w:r>
          </w:p>
        </w:tc>
        <w:tc>
          <w:tcPr>
            <w:tcW w:w="303" w:type="pct"/>
            <w:shd w:val="clear" w:color="000000" w:fill="FFFFFF"/>
            <w:vAlign w:val="center"/>
          </w:tcPr>
          <w:p w14:paraId="3F9A11AF"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50%</w:t>
            </w:r>
          </w:p>
        </w:tc>
        <w:tc>
          <w:tcPr>
            <w:tcW w:w="313" w:type="pct"/>
            <w:shd w:val="clear" w:color="000000" w:fill="FFFFFF"/>
            <w:vAlign w:val="center"/>
          </w:tcPr>
          <w:p w14:paraId="14A52FEF"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100%</w:t>
            </w:r>
          </w:p>
        </w:tc>
        <w:tc>
          <w:tcPr>
            <w:tcW w:w="303" w:type="pct"/>
            <w:shd w:val="clear" w:color="000000" w:fill="FFFFFF"/>
            <w:vAlign w:val="center"/>
          </w:tcPr>
          <w:p w14:paraId="202C90A2"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60%</w:t>
            </w:r>
          </w:p>
        </w:tc>
        <w:tc>
          <w:tcPr>
            <w:tcW w:w="303" w:type="pct"/>
            <w:shd w:val="clear" w:color="000000" w:fill="FFFFFF"/>
            <w:vAlign w:val="center"/>
          </w:tcPr>
          <w:p w14:paraId="68B56227"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70%</w:t>
            </w:r>
          </w:p>
        </w:tc>
        <w:tc>
          <w:tcPr>
            <w:tcW w:w="303" w:type="pct"/>
            <w:shd w:val="clear" w:color="000000" w:fill="FFFFFF"/>
            <w:vAlign w:val="center"/>
          </w:tcPr>
          <w:p w14:paraId="11836111"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80%</w:t>
            </w:r>
          </w:p>
        </w:tc>
        <w:tc>
          <w:tcPr>
            <w:tcW w:w="272" w:type="pct"/>
            <w:shd w:val="clear" w:color="000000" w:fill="FFFFFF"/>
            <w:vAlign w:val="center"/>
          </w:tcPr>
          <w:p w14:paraId="782F760E"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90%</w:t>
            </w:r>
          </w:p>
        </w:tc>
        <w:tc>
          <w:tcPr>
            <w:tcW w:w="299" w:type="pct"/>
            <w:shd w:val="clear" w:color="000000" w:fill="FFFFFF"/>
            <w:vAlign w:val="center"/>
          </w:tcPr>
          <w:p w14:paraId="4FD0EFB8"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100%</w:t>
            </w:r>
          </w:p>
        </w:tc>
        <w:tc>
          <w:tcPr>
            <w:tcW w:w="297" w:type="pct"/>
            <w:shd w:val="clear" w:color="000000" w:fill="FFFFFF"/>
            <w:vAlign w:val="center"/>
          </w:tcPr>
          <w:p w14:paraId="1D8950C5"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FD16E4" w:rsidRPr="00B0658A" w14:paraId="01739FF9" w14:textId="77777777" w:rsidTr="00FE71B1">
        <w:trPr>
          <w:trHeight w:val="20"/>
        </w:trPr>
        <w:tc>
          <w:tcPr>
            <w:tcW w:w="283" w:type="pct"/>
            <w:shd w:val="clear" w:color="000000" w:fill="FFFFFF"/>
            <w:vAlign w:val="center"/>
          </w:tcPr>
          <w:p w14:paraId="7FE30F58" w14:textId="77777777" w:rsidR="00FD16E4" w:rsidRPr="00B0658A" w:rsidRDefault="00FD16E4" w:rsidP="00FE71B1">
            <w:pPr>
              <w:spacing w:after="0" w:line="240" w:lineRule="auto"/>
              <w:jc w:val="center"/>
              <w:rPr>
                <w:rFonts w:ascii="Times New Roman" w:hAnsi="Times New Roman"/>
                <w:sz w:val="18"/>
                <w:szCs w:val="18"/>
              </w:rPr>
            </w:pPr>
            <w:r w:rsidRPr="00B0658A">
              <w:rPr>
                <w:rFonts w:ascii="Times New Roman" w:hAnsi="Times New Roman"/>
                <w:sz w:val="18"/>
                <w:szCs w:val="18"/>
              </w:rPr>
              <w:t>8.8</w:t>
            </w:r>
          </w:p>
        </w:tc>
        <w:tc>
          <w:tcPr>
            <w:tcW w:w="1013" w:type="pct"/>
            <w:shd w:val="clear" w:color="auto" w:fill="auto"/>
            <w:vAlign w:val="center"/>
          </w:tcPr>
          <w:p w14:paraId="44D0A040" w14:textId="77777777" w:rsidR="00FD16E4" w:rsidRPr="00B0658A" w:rsidRDefault="00FD16E4" w:rsidP="00FD16E4">
            <w:pPr>
              <w:spacing w:after="0" w:line="240" w:lineRule="auto"/>
              <w:rPr>
                <w:rFonts w:ascii="Times New Roman" w:hAnsi="Times New Roman"/>
                <w:sz w:val="18"/>
                <w:szCs w:val="18"/>
              </w:rPr>
            </w:pPr>
            <w:r w:rsidRPr="00B0658A">
              <w:rPr>
                <w:rFonts w:ascii="Times New Roman" w:hAnsi="Times New Roman"/>
                <w:sz w:val="18"/>
                <w:szCs w:val="18"/>
              </w:rPr>
              <w:t xml:space="preserve">Промышленное программное обеспечение/ Средства управления инженерными данными </w:t>
            </w:r>
            <w:r w:rsidRPr="00B0658A">
              <w:rPr>
                <w:rFonts w:ascii="Times New Roman" w:hAnsi="Times New Roman"/>
                <w:sz w:val="18"/>
                <w:szCs w:val="18"/>
              </w:rPr>
              <w:br/>
              <w:t>об изделии (PDM)</w:t>
            </w:r>
          </w:p>
        </w:tc>
        <w:tc>
          <w:tcPr>
            <w:tcW w:w="704" w:type="pct"/>
            <w:shd w:val="clear" w:color="000000" w:fill="FFFFFF"/>
          </w:tcPr>
          <w:p w14:paraId="12A085B4" w14:textId="77777777" w:rsidR="00FD16E4" w:rsidRPr="00B0658A" w:rsidRDefault="00FD16E4" w:rsidP="00FD16E4">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03" w:type="pct"/>
            <w:shd w:val="clear" w:color="000000" w:fill="FFFFFF"/>
            <w:vAlign w:val="center"/>
          </w:tcPr>
          <w:p w14:paraId="333604B0"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30%</w:t>
            </w:r>
          </w:p>
        </w:tc>
        <w:tc>
          <w:tcPr>
            <w:tcW w:w="303" w:type="pct"/>
            <w:shd w:val="clear" w:color="000000" w:fill="FFFFFF"/>
            <w:vAlign w:val="center"/>
          </w:tcPr>
          <w:p w14:paraId="3A5E938D"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40%</w:t>
            </w:r>
          </w:p>
        </w:tc>
        <w:tc>
          <w:tcPr>
            <w:tcW w:w="303" w:type="pct"/>
            <w:shd w:val="clear" w:color="000000" w:fill="FFFFFF"/>
            <w:vAlign w:val="center"/>
          </w:tcPr>
          <w:p w14:paraId="594F6A3A"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50%</w:t>
            </w:r>
          </w:p>
        </w:tc>
        <w:tc>
          <w:tcPr>
            <w:tcW w:w="313" w:type="pct"/>
            <w:shd w:val="clear" w:color="000000" w:fill="FFFFFF"/>
            <w:vAlign w:val="center"/>
          </w:tcPr>
          <w:p w14:paraId="56AB2363"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100%</w:t>
            </w:r>
          </w:p>
        </w:tc>
        <w:tc>
          <w:tcPr>
            <w:tcW w:w="303" w:type="pct"/>
            <w:shd w:val="clear" w:color="000000" w:fill="FFFFFF"/>
            <w:vAlign w:val="center"/>
          </w:tcPr>
          <w:p w14:paraId="7E797184"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60%</w:t>
            </w:r>
          </w:p>
        </w:tc>
        <w:tc>
          <w:tcPr>
            <w:tcW w:w="303" w:type="pct"/>
            <w:shd w:val="clear" w:color="000000" w:fill="FFFFFF"/>
            <w:vAlign w:val="center"/>
          </w:tcPr>
          <w:p w14:paraId="1404CC04"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70%</w:t>
            </w:r>
          </w:p>
        </w:tc>
        <w:tc>
          <w:tcPr>
            <w:tcW w:w="303" w:type="pct"/>
            <w:shd w:val="clear" w:color="000000" w:fill="FFFFFF"/>
            <w:vAlign w:val="center"/>
          </w:tcPr>
          <w:p w14:paraId="1713810F"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80%</w:t>
            </w:r>
          </w:p>
        </w:tc>
        <w:tc>
          <w:tcPr>
            <w:tcW w:w="272" w:type="pct"/>
            <w:shd w:val="clear" w:color="000000" w:fill="FFFFFF"/>
            <w:vAlign w:val="center"/>
          </w:tcPr>
          <w:p w14:paraId="624ADA7D"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90%</w:t>
            </w:r>
          </w:p>
        </w:tc>
        <w:tc>
          <w:tcPr>
            <w:tcW w:w="299" w:type="pct"/>
            <w:shd w:val="clear" w:color="000000" w:fill="FFFFFF"/>
            <w:vAlign w:val="center"/>
          </w:tcPr>
          <w:p w14:paraId="6CACD688"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100%</w:t>
            </w:r>
          </w:p>
        </w:tc>
        <w:tc>
          <w:tcPr>
            <w:tcW w:w="297" w:type="pct"/>
            <w:shd w:val="clear" w:color="000000" w:fill="FFFFFF"/>
            <w:vAlign w:val="center"/>
          </w:tcPr>
          <w:p w14:paraId="3DAF198A"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FD16E4" w:rsidRPr="00B0658A" w14:paraId="256B8458" w14:textId="77777777" w:rsidTr="00FE71B1">
        <w:trPr>
          <w:trHeight w:val="20"/>
        </w:trPr>
        <w:tc>
          <w:tcPr>
            <w:tcW w:w="283" w:type="pct"/>
            <w:shd w:val="clear" w:color="000000" w:fill="FFFFFF"/>
            <w:vAlign w:val="center"/>
          </w:tcPr>
          <w:p w14:paraId="4BCCC8F5" w14:textId="77777777" w:rsidR="00FD16E4" w:rsidRPr="00B0658A" w:rsidRDefault="00FD16E4" w:rsidP="00FE71B1">
            <w:pPr>
              <w:spacing w:after="0" w:line="240" w:lineRule="auto"/>
              <w:jc w:val="center"/>
              <w:rPr>
                <w:rFonts w:ascii="Times New Roman" w:hAnsi="Times New Roman"/>
                <w:sz w:val="18"/>
                <w:szCs w:val="18"/>
              </w:rPr>
            </w:pPr>
            <w:r w:rsidRPr="00B0658A">
              <w:rPr>
                <w:rFonts w:ascii="Times New Roman" w:hAnsi="Times New Roman"/>
                <w:sz w:val="18"/>
                <w:szCs w:val="18"/>
              </w:rPr>
              <w:t>8.9</w:t>
            </w:r>
          </w:p>
        </w:tc>
        <w:tc>
          <w:tcPr>
            <w:tcW w:w="1013" w:type="pct"/>
            <w:shd w:val="clear" w:color="auto" w:fill="auto"/>
            <w:vAlign w:val="center"/>
          </w:tcPr>
          <w:p w14:paraId="0A462D02" w14:textId="77777777" w:rsidR="00FD16E4" w:rsidRPr="00B0658A" w:rsidRDefault="00FD16E4" w:rsidP="00FD16E4">
            <w:pPr>
              <w:spacing w:after="0" w:line="240" w:lineRule="auto"/>
              <w:rPr>
                <w:rFonts w:ascii="Times New Roman" w:hAnsi="Times New Roman"/>
                <w:sz w:val="18"/>
                <w:szCs w:val="18"/>
              </w:rPr>
            </w:pPr>
            <w:r w:rsidRPr="00B0658A">
              <w:rPr>
                <w:rFonts w:ascii="Times New Roman" w:hAnsi="Times New Roman"/>
                <w:sz w:val="18"/>
                <w:szCs w:val="18"/>
              </w:rPr>
              <w:t xml:space="preserve">Промышленное программное обеспечение / Средства информационного моделирования зданий </w:t>
            </w:r>
            <w:r w:rsidRPr="00B0658A">
              <w:rPr>
                <w:rFonts w:ascii="Times New Roman" w:hAnsi="Times New Roman"/>
                <w:sz w:val="18"/>
                <w:szCs w:val="18"/>
              </w:rPr>
              <w:br/>
              <w:t>и сооружений, архитектурно-строительного проектирования (BIM, AEC CAD)</w:t>
            </w:r>
          </w:p>
        </w:tc>
        <w:tc>
          <w:tcPr>
            <w:tcW w:w="704" w:type="pct"/>
            <w:shd w:val="clear" w:color="000000" w:fill="FFFFFF"/>
          </w:tcPr>
          <w:p w14:paraId="4139680A" w14:textId="77777777" w:rsidR="00FD16E4" w:rsidRPr="00B0658A" w:rsidRDefault="00FD16E4" w:rsidP="00FD16E4">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03" w:type="pct"/>
            <w:shd w:val="clear" w:color="000000" w:fill="FFFFFF"/>
            <w:vAlign w:val="center"/>
          </w:tcPr>
          <w:p w14:paraId="525917F5"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30%</w:t>
            </w:r>
          </w:p>
        </w:tc>
        <w:tc>
          <w:tcPr>
            <w:tcW w:w="303" w:type="pct"/>
            <w:shd w:val="clear" w:color="000000" w:fill="FFFFFF"/>
            <w:vAlign w:val="center"/>
          </w:tcPr>
          <w:p w14:paraId="3EF8E10E"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40%</w:t>
            </w:r>
          </w:p>
        </w:tc>
        <w:tc>
          <w:tcPr>
            <w:tcW w:w="303" w:type="pct"/>
            <w:shd w:val="clear" w:color="000000" w:fill="FFFFFF"/>
            <w:vAlign w:val="center"/>
          </w:tcPr>
          <w:p w14:paraId="6CDEA1C3"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50%</w:t>
            </w:r>
          </w:p>
        </w:tc>
        <w:tc>
          <w:tcPr>
            <w:tcW w:w="313" w:type="pct"/>
            <w:shd w:val="clear" w:color="000000" w:fill="FFFFFF"/>
            <w:vAlign w:val="center"/>
          </w:tcPr>
          <w:p w14:paraId="33F0A137"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100%</w:t>
            </w:r>
          </w:p>
        </w:tc>
        <w:tc>
          <w:tcPr>
            <w:tcW w:w="303" w:type="pct"/>
            <w:shd w:val="clear" w:color="000000" w:fill="FFFFFF"/>
            <w:vAlign w:val="center"/>
          </w:tcPr>
          <w:p w14:paraId="316579B2"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60%</w:t>
            </w:r>
          </w:p>
        </w:tc>
        <w:tc>
          <w:tcPr>
            <w:tcW w:w="303" w:type="pct"/>
            <w:shd w:val="clear" w:color="000000" w:fill="FFFFFF"/>
            <w:vAlign w:val="center"/>
          </w:tcPr>
          <w:p w14:paraId="1CFA7CC8"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70%</w:t>
            </w:r>
          </w:p>
        </w:tc>
        <w:tc>
          <w:tcPr>
            <w:tcW w:w="303" w:type="pct"/>
            <w:shd w:val="clear" w:color="000000" w:fill="FFFFFF"/>
            <w:vAlign w:val="center"/>
          </w:tcPr>
          <w:p w14:paraId="5091B356"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80%</w:t>
            </w:r>
          </w:p>
        </w:tc>
        <w:tc>
          <w:tcPr>
            <w:tcW w:w="272" w:type="pct"/>
            <w:shd w:val="clear" w:color="000000" w:fill="FFFFFF"/>
            <w:vAlign w:val="center"/>
          </w:tcPr>
          <w:p w14:paraId="0099CA4E"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90%</w:t>
            </w:r>
          </w:p>
        </w:tc>
        <w:tc>
          <w:tcPr>
            <w:tcW w:w="299" w:type="pct"/>
            <w:shd w:val="clear" w:color="000000" w:fill="FFFFFF"/>
            <w:vAlign w:val="center"/>
          </w:tcPr>
          <w:p w14:paraId="26F2C092"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100%</w:t>
            </w:r>
          </w:p>
        </w:tc>
        <w:tc>
          <w:tcPr>
            <w:tcW w:w="297" w:type="pct"/>
            <w:shd w:val="clear" w:color="000000" w:fill="FFFFFF"/>
            <w:vAlign w:val="center"/>
          </w:tcPr>
          <w:p w14:paraId="49D2574A"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FD16E4" w:rsidRPr="00B0658A" w14:paraId="07855AB7" w14:textId="77777777" w:rsidTr="00FE71B1">
        <w:trPr>
          <w:trHeight w:val="20"/>
        </w:trPr>
        <w:tc>
          <w:tcPr>
            <w:tcW w:w="283" w:type="pct"/>
            <w:shd w:val="clear" w:color="000000" w:fill="FFFFFF"/>
            <w:vAlign w:val="center"/>
          </w:tcPr>
          <w:p w14:paraId="28C0E6A8" w14:textId="77777777" w:rsidR="00FD16E4" w:rsidRPr="00B0658A" w:rsidRDefault="00FD16E4" w:rsidP="00FE71B1">
            <w:pPr>
              <w:spacing w:after="0" w:line="240" w:lineRule="auto"/>
              <w:jc w:val="center"/>
              <w:rPr>
                <w:rFonts w:ascii="Times New Roman" w:hAnsi="Times New Roman"/>
                <w:sz w:val="18"/>
                <w:szCs w:val="18"/>
              </w:rPr>
            </w:pPr>
            <w:r w:rsidRPr="00B0658A">
              <w:rPr>
                <w:rFonts w:ascii="Times New Roman" w:hAnsi="Times New Roman"/>
                <w:sz w:val="18"/>
                <w:szCs w:val="18"/>
              </w:rPr>
              <w:t>8.10</w:t>
            </w:r>
          </w:p>
        </w:tc>
        <w:tc>
          <w:tcPr>
            <w:tcW w:w="1013" w:type="pct"/>
            <w:shd w:val="clear" w:color="auto" w:fill="auto"/>
            <w:vAlign w:val="center"/>
          </w:tcPr>
          <w:p w14:paraId="0B5D87D6" w14:textId="77777777" w:rsidR="00FD16E4" w:rsidRPr="00B0658A" w:rsidRDefault="00FD16E4" w:rsidP="00FD16E4">
            <w:pPr>
              <w:spacing w:after="0" w:line="240" w:lineRule="auto"/>
              <w:rPr>
                <w:rFonts w:ascii="Times New Roman" w:hAnsi="Times New Roman"/>
                <w:sz w:val="18"/>
                <w:szCs w:val="18"/>
              </w:rPr>
            </w:pPr>
            <w:r w:rsidRPr="00B0658A">
              <w:rPr>
                <w:rFonts w:ascii="Times New Roman" w:hAnsi="Times New Roman"/>
                <w:sz w:val="18"/>
                <w:szCs w:val="18"/>
              </w:rPr>
              <w:t>Промышленное программное обеспечение/ Средства усовершенствованного управления технологическими процессами (APC, RTO)</w:t>
            </w:r>
          </w:p>
        </w:tc>
        <w:tc>
          <w:tcPr>
            <w:tcW w:w="704" w:type="pct"/>
            <w:shd w:val="clear" w:color="000000" w:fill="FFFFFF"/>
          </w:tcPr>
          <w:p w14:paraId="1E30D730" w14:textId="77777777" w:rsidR="00FD16E4" w:rsidRPr="00B0658A" w:rsidRDefault="00FD16E4" w:rsidP="00FD16E4">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03" w:type="pct"/>
            <w:shd w:val="clear" w:color="000000" w:fill="FFFFFF"/>
            <w:vAlign w:val="center"/>
          </w:tcPr>
          <w:p w14:paraId="52BC19FD"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30%</w:t>
            </w:r>
          </w:p>
        </w:tc>
        <w:tc>
          <w:tcPr>
            <w:tcW w:w="303" w:type="pct"/>
            <w:shd w:val="clear" w:color="000000" w:fill="FFFFFF"/>
            <w:vAlign w:val="center"/>
          </w:tcPr>
          <w:p w14:paraId="153DD8AD"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40%</w:t>
            </w:r>
          </w:p>
        </w:tc>
        <w:tc>
          <w:tcPr>
            <w:tcW w:w="303" w:type="pct"/>
            <w:shd w:val="clear" w:color="000000" w:fill="FFFFFF"/>
            <w:vAlign w:val="center"/>
          </w:tcPr>
          <w:p w14:paraId="00AE2F8E"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50%</w:t>
            </w:r>
          </w:p>
        </w:tc>
        <w:tc>
          <w:tcPr>
            <w:tcW w:w="313" w:type="pct"/>
            <w:shd w:val="clear" w:color="000000" w:fill="FFFFFF"/>
            <w:vAlign w:val="center"/>
          </w:tcPr>
          <w:p w14:paraId="356311BC"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100%</w:t>
            </w:r>
          </w:p>
        </w:tc>
        <w:tc>
          <w:tcPr>
            <w:tcW w:w="303" w:type="pct"/>
            <w:shd w:val="clear" w:color="000000" w:fill="FFFFFF"/>
            <w:vAlign w:val="center"/>
          </w:tcPr>
          <w:p w14:paraId="34AC2726"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60%</w:t>
            </w:r>
          </w:p>
        </w:tc>
        <w:tc>
          <w:tcPr>
            <w:tcW w:w="303" w:type="pct"/>
            <w:shd w:val="clear" w:color="000000" w:fill="FFFFFF"/>
            <w:vAlign w:val="center"/>
          </w:tcPr>
          <w:p w14:paraId="4B66B78B"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70%</w:t>
            </w:r>
          </w:p>
        </w:tc>
        <w:tc>
          <w:tcPr>
            <w:tcW w:w="303" w:type="pct"/>
            <w:shd w:val="clear" w:color="000000" w:fill="FFFFFF"/>
            <w:vAlign w:val="center"/>
          </w:tcPr>
          <w:p w14:paraId="3E9C2810"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80%</w:t>
            </w:r>
          </w:p>
        </w:tc>
        <w:tc>
          <w:tcPr>
            <w:tcW w:w="272" w:type="pct"/>
            <w:shd w:val="clear" w:color="000000" w:fill="FFFFFF"/>
            <w:vAlign w:val="center"/>
          </w:tcPr>
          <w:p w14:paraId="07B9BC1E"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90%</w:t>
            </w:r>
          </w:p>
        </w:tc>
        <w:tc>
          <w:tcPr>
            <w:tcW w:w="299" w:type="pct"/>
            <w:shd w:val="clear" w:color="000000" w:fill="FFFFFF"/>
            <w:vAlign w:val="center"/>
          </w:tcPr>
          <w:p w14:paraId="7B727741"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100%</w:t>
            </w:r>
          </w:p>
        </w:tc>
        <w:tc>
          <w:tcPr>
            <w:tcW w:w="297" w:type="pct"/>
            <w:shd w:val="clear" w:color="000000" w:fill="FFFFFF"/>
            <w:vAlign w:val="center"/>
          </w:tcPr>
          <w:p w14:paraId="7155E6D5"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FD16E4" w:rsidRPr="00B0658A" w14:paraId="018B5486" w14:textId="77777777" w:rsidTr="00FE71B1">
        <w:trPr>
          <w:trHeight w:val="20"/>
        </w:trPr>
        <w:tc>
          <w:tcPr>
            <w:tcW w:w="283" w:type="pct"/>
            <w:shd w:val="clear" w:color="000000" w:fill="FFFFFF"/>
            <w:vAlign w:val="center"/>
          </w:tcPr>
          <w:p w14:paraId="21F5D029" w14:textId="77777777" w:rsidR="00FD16E4" w:rsidRPr="00B0658A" w:rsidRDefault="00FD16E4" w:rsidP="00FE71B1">
            <w:pPr>
              <w:spacing w:after="0" w:line="240" w:lineRule="auto"/>
              <w:jc w:val="center"/>
              <w:rPr>
                <w:rFonts w:ascii="Times New Roman" w:hAnsi="Times New Roman"/>
                <w:sz w:val="18"/>
                <w:szCs w:val="18"/>
              </w:rPr>
            </w:pPr>
            <w:r w:rsidRPr="00B0658A">
              <w:rPr>
                <w:rFonts w:ascii="Times New Roman" w:hAnsi="Times New Roman"/>
                <w:sz w:val="18"/>
                <w:szCs w:val="18"/>
              </w:rPr>
              <w:t>8.11</w:t>
            </w:r>
          </w:p>
        </w:tc>
        <w:tc>
          <w:tcPr>
            <w:tcW w:w="1013" w:type="pct"/>
            <w:shd w:val="clear" w:color="auto" w:fill="auto"/>
            <w:vAlign w:val="center"/>
          </w:tcPr>
          <w:p w14:paraId="6E3F78C7" w14:textId="77777777" w:rsidR="00FD16E4" w:rsidRPr="00B0658A" w:rsidRDefault="00FD16E4" w:rsidP="00FD16E4">
            <w:pPr>
              <w:spacing w:after="0" w:line="240" w:lineRule="auto"/>
              <w:rPr>
                <w:rFonts w:ascii="Times New Roman" w:hAnsi="Times New Roman"/>
                <w:sz w:val="18"/>
                <w:szCs w:val="18"/>
              </w:rPr>
            </w:pPr>
            <w:r w:rsidRPr="00B0658A">
              <w:rPr>
                <w:rFonts w:ascii="Times New Roman" w:hAnsi="Times New Roman"/>
                <w:sz w:val="18"/>
                <w:szCs w:val="18"/>
              </w:rPr>
              <w:t>Промышленное программное обеспечение / Средства автоматизированного управления техникой</w:t>
            </w:r>
          </w:p>
        </w:tc>
        <w:tc>
          <w:tcPr>
            <w:tcW w:w="704" w:type="pct"/>
            <w:shd w:val="clear" w:color="000000" w:fill="FFFFFF"/>
          </w:tcPr>
          <w:p w14:paraId="140959DD" w14:textId="77777777" w:rsidR="00FD16E4" w:rsidRPr="00B0658A" w:rsidRDefault="00FD16E4" w:rsidP="00FD16E4">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03" w:type="pct"/>
            <w:shd w:val="clear" w:color="000000" w:fill="FFFFFF"/>
            <w:vAlign w:val="center"/>
          </w:tcPr>
          <w:p w14:paraId="45C93898"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20%</w:t>
            </w:r>
          </w:p>
        </w:tc>
        <w:tc>
          <w:tcPr>
            <w:tcW w:w="303" w:type="pct"/>
            <w:shd w:val="clear" w:color="000000" w:fill="FFFFFF"/>
            <w:vAlign w:val="center"/>
          </w:tcPr>
          <w:p w14:paraId="538CF9BB"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30%</w:t>
            </w:r>
          </w:p>
        </w:tc>
        <w:tc>
          <w:tcPr>
            <w:tcW w:w="303" w:type="pct"/>
            <w:shd w:val="clear" w:color="000000" w:fill="FFFFFF"/>
            <w:vAlign w:val="center"/>
          </w:tcPr>
          <w:p w14:paraId="625564F5"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40%</w:t>
            </w:r>
          </w:p>
        </w:tc>
        <w:tc>
          <w:tcPr>
            <w:tcW w:w="313" w:type="pct"/>
            <w:shd w:val="clear" w:color="000000" w:fill="FFFFFF"/>
            <w:vAlign w:val="center"/>
          </w:tcPr>
          <w:p w14:paraId="010EE5AC"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100%</w:t>
            </w:r>
          </w:p>
        </w:tc>
        <w:tc>
          <w:tcPr>
            <w:tcW w:w="303" w:type="pct"/>
            <w:shd w:val="clear" w:color="000000" w:fill="FFFFFF"/>
            <w:vAlign w:val="center"/>
          </w:tcPr>
          <w:p w14:paraId="338DA2B8"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50%</w:t>
            </w:r>
          </w:p>
        </w:tc>
        <w:tc>
          <w:tcPr>
            <w:tcW w:w="303" w:type="pct"/>
            <w:shd w:val="clear" w:color="000000" w:fill="FFFFFF"/>
            <w:vAlign w:val="center"/>
          </w:tcPr>
          <w:p w14:paraId="5BA83F44"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60%</w:t>
            </w:r>
          </w:p>
        </w:tc>
        <w:tc>
          <w:tcPr>
            <w:tcW w:w="303" w:type="pct"/>
            <w:shd w:val="clear" w:color="000000" w:fill="FFFFFF"/>
            <w:vAlign w:val="center"/>
          </w:tcPr>
          <w:p w14:paraId="608FF18D"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70%</w:t>
            </w:r>
          </w:p>
        </w:tc>
        <w:tc>
          <w:tcPr>
            <w:tcW w:w="272" w:type="pct"/>
            <w:shd w:val="clear" w:color="000000" w:fill="FFFFFF"/>
            <w:vAlign w:val="center"/>
          </w:tcPr>
          <w:p w14:paraId="0D32884A"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80%</w:t>
            </w:r>
          </w:p>
        </w:tc>
        <w:tc>
          <w:tcPr>
            <w:tcW w:w="299" w:type="pct"/>
            <w:shd w:val="clear" w:color="000000" w:fill="FFFFFF"/>
            <w:vAlign w:val="center"/>
          </w:tcPr>
          <w:p w14:paraId="66A33F18"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90%</w:t>
            </w:r>
          </w:p>
        </w:tc>
        <w:tc>
          <w:tcPr>
            <w:tcW w:w="297" w:type="pct"/>
            <w:shd w:val="clear" w:color="000000" w:fill="FFFFFF"/>
            <w:vAlign w:val="center"/>
          </w:tcPr>
          <w:p w14:paraId="1FB86F1C"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FD16E4" w:rsidRPr="00B0658A" w14:paraId="32051E74" w14:textId="77777777" w:rsidTr="00FE71B1">
        <w:trPr>
          <w:trHeight w:val="20"/>
        </w:trPr>
        <w:tc>
          <w:tcPr>
            <w:tcW w:w="283" w:type="pct"/>
            <w:shd w:val="clear" w:color="000000" w:fill="FFFFFF"/>
            <w:vAlign w:val="center"/>
          </w:tcPr>
          <w:p w14:paraId="593659DE" w14:textId="77777777" w:rsidR="00FD16E4" w:rsidRPr="00B0658A" w:rsidRDefault="00FD16E4" w:rsidP="00FE71B1">
            <w:pPr>
              <w:spacing w:after="0" w:line="240" w:lineRule="auto"/>
              <w:jc w:val="center"/>
              <w:rPr>
                <w:rFonts w:ascii="Times New Roman" w:hAnsi="Times New Roman"/>
                <w:sz w:val="18"/>
                <w:szCs w:val="18"/>
              </w:rPr>
            </w:pPr>
            <w:r w:rsidRPr="00B0658A">
              <w:rPr>
                <w:rFonts w:ascii="Times New Roman" w:hAnsi="Times New Roman"/>
                <w:sz w:val="18"/>
                <w:szCs w:val="18"/>
              </w:rPr>
              <w:t>9.1</w:t>
            </w:r>
          </w:p>
        </w:tc>
        <w:tc>
          <w:tcPr>
            <w:tcW w:w="1013" w:type="pct"/>
            <w:shd w:val="clear" w:color="auto" w:fill="auto"/>
            <w:vAlign w:val="center"/>
          </w:tcPr>
          <w:p w14:paraId="1522748A" w14:textId="77777777" w:rsidR="00FD16E4" w:rsidRPr="00B0658A" w:rsidRDefault="00FD16E4" w:rsidP="00FD16E4">
            <w:pPr>
              <w:spacing w:after="0" w:line="240" w:lineRule="auto"/>
              <w:rPr>
                <w:rFonts w:ascii="Times New Roman" w:hAnsi="Times New Roman"/>
                <w:sz w:val="18"/>
                <w:szCs w:val="18"/>
              </w:rPr>
            </w:pPr>
            <w:r w:rsidRPr="00B0658A">
              <w:rPr>
                <w:rFonts w:ascii="Times New Roman" w:hAnsi="Times New Roman"/>
                <w:sz w:val="18"/>
                <w:szCs w:val="18"/>
              </w:rPr>
              <w:t>Средства управления процессами организации / Средства управления бизнес-процессами (BPM)</w:t>
            </w:r>
          </w:p>
        </w:tc>
        <w:tc>
          <w:tcPr>
            <w:tcW w:w="704" w:type="pct"/>
            <w:shd w:val="clear" w:color="000000" w:fill="FFFFFF"/>
          </w:tcPr>
          <w:p w14:paraId="65DD9DBC" w14:textId="77777777" w:rsidR="00FD16E4" w:rsidRPr="00B0658A" w:rsidRDefault="00FD16E4" w:rsidP="00FD16E4">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03" w:type="pct"/>
            <w:shd w:val="clear" w:color="000000" w:fill="FFFFFF"/>
            <w:vAlign w:val="center"/>
          </w:tcPr>
          <w:p w14:paraId="01F919B4"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25%</w:t>
            </w:r>
          </w:p>
        </w:tc>
        <w:tc>
          <w:tcPr>
            <w:tcW w:w="303" w:type="pct"/>
            <w:shd w:val="clear" w:color="000000" w:fill="FFFFFF"/>
            <w:vAlign w:val="center"/>
          </w:tcPr>
          <w:p w14:paraId="4C5BD127"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35%</w:t>
            </w:r>
          </w:p>
        </w:tc>
        <w:tc>
          <w:tcPr>
            <w:tcW w:w="303" w:type="pct"/>
            <w:shd w:val="clear" w:color="000000" w:fill="FFFFFF"/>
            <w:vAlign w:val="center"/>
          </w:tcPr>
          <w:p w14:paraId="797398F0"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45%</w:t>
            </w:r>
          </w:p>
        </w:tc>
        <w:tc>
          <w:tcPr>
            <w:tcW w:w="313" w:type="pct"/>
            <w:shd w:val="clear" w:color="000000" w:fill="FFFFFF"/>
            <w:vAlign w:val="center"/>
          </w:tcPr>
          <w:p w14:paraId="62BF22E0"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100%</w:t>
            </w:r>
          </w:p>
        </w:tc>
        <w:tc>
          <w:tcPr>
            <w:tcW w:w="303" w:type="pct"/>
            <w:shd w:val="clear" w:color="000000" w:fill="FFFFFF"/>
            <w:vAlign w:val="center"/>
          </w:tcPr>
          <w:p w14:paraId="59A9D699"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55%</w:t>
            </w:r>
          </w:p>
        </w:tc>
        <w:tc>
          <w:tcPr>
            <w:tcW w:w="303" w:type="pct"/>
            <w:shd w:val="clear" w:color="000000" w:fill="FFFFFF"/>
            <w:vAlign w:val="center"/>
          </w:tcPr>
          <w:p w14:paraId="639A82A6"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65%</w:t>
            </w:r>
          </w:p>
        </w:tc>
        <w:tc>
          <w:tcPr>
            <w:tcW w:w="303" w:type="pct"/>
            <w:shd w:val="clear" w:color="000000" w:fill="FFFFFF"/>
            <w:vAlign w:val="center"/>
          </w:tcPr>
          <w:p w14:paraId="3992F6B1"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75%</w:t>
            </w:r>
          </w:p>
        </w:tc>
        <w:tc>
          <w:tcPr>
            <w:tcW w:w="272" w:type="pct"/>
            <w:shd w:val="clear" w:color="000000" w:fill="FFFFFF"/>
            <w:vAlign w:val="center"/>
          </w:tcPr>
          <w:p w14:paraId="560EBCB7"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85%</w:t>
            </w:r>
          </w:p>
        </w:tc>
        <w:tc>
          <w:tcPr>
            <w:tcW w:w="299" w:type="pct"/>
            <w:shd w:val="clear" w:color="000000" w:fill="FFFFFF"/>
            <w:vAlign w:val="center"/>
          </w:tcPr>
          <w:p w14:paraId="0E6A9F36"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95%</w:t>
            </w:r>
          </w:p>
        </w:tc>
        <w:tc>
          <w:tcPr>
            <w:tcW w:w="297" w:type="pct"/>
            <w:shd w:val="clear" w:color="000000" w:fill="FFFFFF"/>
            <w:vAlign w:val="center"/>
          </w:tcPr>
          <w:p w14:paraId="2B6A8F38"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FD16E4" w:rsidRPr="00B0658A" w14:paraId="737F9A58" w14:textId="77777777" w:rsidTr="00FE71B1">
        <w:trPr>
          <w:trHeight w:val="20"/>
        </w:trPr>
        <w:tc>
          <w:tcPr>
            <w:tcW w:w="283" w:type="pct"/>
            <w:shd w:val="clear" w:color="000000" w:fill="FFFFFF"/>
            <w:vAlign w:val="center"/>
          </w:tcPr>
          <w:p w14:paraId="096E0A15" w14:textId="77777777" w:rsidR="00FD16E4" w:rsidRPr="00B0658A" w:rsidRDefault="00FD16E4" w:rsidP="00FE71B1">
            <w:pPr>
              <w:spacing w:after="0" w:line="240" w:lineRule="auto"/>
              <w:jc w:val="center"/>
              <w:rPr>
                <w:rFonts w:ascii="Times New Roman" w:hAnsi="Times New Roman"/>
                <w:sz w:val="18"/>
                <w:szCs w:val="18"/>
              </w:rPr>
            </w:pPr>
            <w:r w:rsidRPr="00B0658A">
              <w:rPr>
                <w:rFonts w:ascii="Times New Roman" w:hAnsi="Times New Roman"/>
                <w:sz w:val="18"/>
                <w:szCs w:val="18"/>
              </w:rPr>
              <w:lastRenderedPageBreak/>
              <w:t>9.2</w:t>
            </w:r>
          </w:p>
        </w:tc>
        <w:tc>
          <w:tcPr>
            <w:tcW w:w="1013" w:type="pct"/>
            <w:shd w:val="clear" w:color="auto" w:fill="auto"/>
            <w:vAlign w:val="center"/>
          </w:tcPr>
          <w:p w14:paraId="5D85751C" w14:textId="77777777" w:rsidR="00FD16E4" w:rsidRPr="00B0658A" w:rsidRDefault="00FD16E4" w:rsidP="00FD16E4">
            <w:pPr>
              <w:spacing w:after="0" w:line="240" w:lineRule="auto"/>
              <w:rPr>
                <w:rFonts w:ascii="Times New Roman" w:hAnsi="Times New Roman"/>
                <w:sz w:val="18"/>
                <w:szCs w:val="18"/>
              </w:rPr>
            </w:pPr>
            <w:r w:rsidRPr="00B0658A">
              <w:rPr>
                <w:rFonts w:ascii="Times New Roman" w:hAnsi="Times New Roman"/>
                <w:sz w:val="18"/>
                <w:szCs w:val="18"/>
              </w:rPr>
              <w:t>Средства управления процессами организации/ Средства управления производственными процессами (MES)</w:t>
            </w:r>
          </w:p>
        </w:tc>
        <w:tc>
          <w:tcPr>
            <w:tcW w:w="704" w:type="pct"/>
            <w:shd w:val="clear" w:color="000000" w:fill="FFFFFF"/>
          </w:tcPr>
          <w:p w14:paraId="63EA96D3" w14:textId="77777777" w:rsidR="00FD16E4" w:rsidRPr="00B0658A" w:rsidRDefault="00FD16E4" w:rsidP="00FD16E4">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03" w:type="pct"/>
            <w:shd w:val="clear" w:color="000000" w:fill="FFFFFF"/>
            <w:vAlign w:val="center"/>
          </w:tcPr>
          <w:p w14:paraId="39A90CD2"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25%</w:t>
            </w:r>
          </w:p>
        </w:tc>
        <w:tc>
          <w:tcPr>
            <w:tcW w:w="303" w:type="pct"/>
            <w:shd w:val="clear" w:color="000000" w:fill="FFFFFF"/>
            <w:vAlign w:val="center"/>
          </w:tcPr>
          <w:p w14:paraId="255DAAE8"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35%</w:t>
            </w:r>
          </w:p>
        </w:tc>
        <w:tc>
          <w:tcPr>
            <w:tcW w:w="303" w:type="pct"/>
            <w:shd w:val="clear" w:color="000000" w:fill="FFFFFF"/>
            <w:vAlign w:val="center"/>
          </w:tcPr>
          <w:p w14:paraId="15725F39"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45%</w:t>
            </w:r>
          </w:p>
        </w:tc>
        <w:tc>
          <w:tcPr>
            <w:tcW w:w="313" w:type="pct"/>
            <w:shd w:val="clear" w:color="000000" w:fill="FFFFFF"/>
            <w:vAlign w:val="center"/>
          </w:tcPr>
          <w:p w14:paraId="5FBBD87C"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100%</w:t>
            </w:r>
          </w:p>
        </w:tc>
        <w:tc>
          <w:tcPr>
            <w:tcW w:w="303" w:type="pct"/>
            <w:shd w:val="clear" w:color="000000" w:fill="FFFFFF"/>
            <w:vAlign w:val="center"/>
          </w:tcPr>
          <w:p w14:paraId="446CF187"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55%</w:t>
            </w:r>
          </w:p>
        </w:tc>
        <w:tc>
          <w:tcPr>
            <w:tcW w:w="303" w:type="pct"/>
            <w:shd w:val="clear" w:color="000000" w:fill="FFFFFF"/>
            <w:vAlign w:val="center"/>
          </w:tcPr>
          <w:p w14:paraId="227A91C6"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65%</w:t>
            </w:r>
          </w:p>
        </w:tc>
        <w:tc>
          <w:tcPr>
            <w:tcW w:w="303" w:type="pct"/>
            <w:shd w:val="clear" w:color="000000" w:fill="FFFFFF"/>
            <w:vAlign w:val="center"/>
          </w:tcPr>
          <w:p w14:paraId="53372894"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75%</w:t>
            </w:r>
          </w:p>
        </w:tc>
        <w:tc>
          <w:tcPr>
            <w:tcW w:w="272" w:type="pct"/>
            <w:shd w:val="clear" w:color="000000" w:fill="FFFFFF"/>
            <w:vAlign w:val="center"/>
          </w:tcPr>
          <w:p w14:paraId="061C92D5"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85%</w:t>
            </w:r>
          </w:p>
        </w:tc>
        <w:tc>
          <w:tcPr>
            <w:tcW w:w="299" w:type="pct"/>
            <w:shd w:val="clear" w:color="000000" w:fill="FFFFFF"/>
            <w:vAlign w:val="center"/>
          </w:tcPr>
          <w:p w14:paraId="1139996C"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95%</w:t>
            </w:r>
          </w:p>
        </w:tc>
        <w:tc>
          <w:tcPr>
            <w:tcW w:w="297" w:type="pct"/>
            <w:shd w:val="clear" w:color="000000" w:fill="FFFFFF"/>
            <w:vAlign w:val="center"/>
          </w:tcPr>
          <w:p w14:paraId="69BF85DF"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FD16E4" w:rsidRPr="00B0658A" w14:paraId="3E5D4F87" w14:textId="77777777" w:rsidTr="00FE71B1">
        <w:trPr>
          <w:trHeight w:val="20"/>
        </w:trPr>
        <w:tc>
          <w:tcPr>
            <w:tcW w:w="283" w:type="pct"/>
            <w:shd w:val="clear" w:color="000000" w:fill="FFFFFF"/>
            <w:vAlign w:val="center"/>
          </w:tcPr>
          <w:p w14:paraId="0151161D" w14:textId="77777777" w:rsidR="00FD16E4" w:rsidRPr="00B0658A" w:rsidRDefault="00FD16E4" w:rsidP="00FE71B1">
            <w:pPr>
              <w:spacing w:after="0" w:line="240" w:lineRule="auto"/>
              <w:jc w:val="center"/>
              <w:rPr>
                <w:rFonts w:ascii="Times New Roman" w:hAnsi="Times New Roman"/>
                <w:sz w:val="18"/>
                <w:szCs w:val="18"/>
              </w:rPr>
            </w:pPr>
            <w:r w:rsidRPr="00B0658A">
              <w:rPr>
                <w:rFonts w:ascii="Times New Roman" w:hAnsi="Times New Roman"/>
                <w:sz w:val="18"/>
                <w:szCs w:val="18"/>
              </w:rPr>
              <w:t>9.3</w:t>
            </w:r>
          </w:p>
        </w:tc>
        <w:tc>
          <w:tcPr>
            <w:tcW w:w="1013" w:type="pct"/>
            <w:shd w:val="clear" w:color="auto" w:fill="auto"/>
            <w:vAlign w:val="center"/>
          </w:tcPr>
          <w:p w14:paraId="1EC9F8A1" w14:textId="77777777" w:rsidR="00FD16E4" w:rsidRPr="00B0658A" w:rsidRDefault="00FD16E4" w:rsidP="00FD16E4">
            <w:pPr>
              <w:spacing w:after="0" w:line="240" w:lineRule="auto"/>
              <w:rPr>
                <w:rFonts w:ascii="Times New Roman" w:hAnsi="Times New Roman"/>
                <w:sz w:val="18"/>
                <w:szCs w:val="18"/>
              </w:rPr>
            </w:pPr>
            <w:r w:rsidRPr="00B0658A">
              <w:rPr>
                <w:rFonts w:ascii="Times New Roman" w:hAnsi="Times New Roman"/>
                <w:sz w:val="18"/>
                <w:szCs w:val="18"/>
              </w:rPr>
              <w:t>Средства управления процессами организации / Средства управления лабораторными потоками работ и документов (LIMS)</w:t>
            </w:r>
          </w:p>
        </w:tc>
        <w:tc>
          <w:tcPr>
            <w:tcW w:w="704" w:type="pct"/>
            <w:shd w:val="clear" w:color="000000" w:fill="FFFFFF"/>
          </w:tcPr>
          <w:p w14:paraId="455404C4" w14:textId="77777777" w:rsidR="00FD16E4" w:rsidRPr="00B0658A" w:rsidRDefault="00FD16E4" w:rsidP="00FD16E4">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03" w:type="pct"/>
            <w:shd w:val="clear" w:color="000000" w:fill="FFFFFF"/>
            <w:vAlign w:val="center"/>
          </w:tcPr>
          <w:p w14:paraId="4347B519"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25%</w:t>
            </w:r>
          </w:p>
        </w:tc>
        <w:tc>
          <w:tcPr>
            <w:tcW w:w="303" w:type="pct"/>
            <w:shd w:val="clear" w:color="000000" w:fill="FFFFFF"/>
            <w:vAlign w:val="center"/>
          </w:tcPr>
          <w:p w14:paraId="30FB52CE"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35%</w:t>
            </w:r>
          </w:p>
        </w:tc>
        <w:tc>
          <w:tcPr>
            <w:tcW w:w="303" w:type="pct"/>
            <w:shd w:val="clear" w:color="000000" w:fill="FFFFFF"/>
            <w:vAlign w:val="center"/>
          </w:tcPr>
          <w:p w14:paraId="34A470B1"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45%</w:t>
            </w:r>
          </w:p>
        </w:tc>
        <w:tc>
          <w:tcPr>
            <w:tcW w:w="313" w:type="pct"/>
            <w:shd w:val="clear" w:color="000000" w:fill="FFFFFF"/>
            <w:vAlign w:val="center"/>
          </w:tcPr>
          <w:p w14:paraId="2384178F"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100%</w:t>
            </w:r>
          </w:p>
        </w:tc>
        <w:tc>
          <w:tcPr>
            <w:tcW w:w="303" w:type="pct"/>
            <w:shd w:val="clear" w:color="000000" w:fill="FFFFFF"/>
            <w:vAlign w:val="center"/>
          </w:tcPr>
          <w:p w14:paraId="1D8899F3"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55%</w:t>
            </w:r>
          </w:p>
        </w:tc>
        <w:tc>
          <w:tcPr>
            <w:tcW w:w="303" w:type="pct"/>
            <w:shd w:val="clear" w:color="000000" w:fill="FFFFFF"/>
            <w:vAlign w:val="center"/>
          </w:tcPr>
          <w:p w14:paraId="1C86C051"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65%</w:t>
            </w:r>
          </w:p>
        </w:tc>
        <w:tc>
          <w:tcPr>
            <w:tcW w:w="303" w:type="pct"/>
            <w:shd w:val="clear" w:color="000000" w:fill="FFFFFF"/>
            <w:vAlign w:val="center"/>
          </w:tcPr>
          <w:p w14:paraId="788CB060"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75%</w:t>
            </w:r>
          </w:p>
        </w:tc>
        <w:tc>
          <w:tcPr>
            <w:tcW w:w="272" w:type="pct"/>
            <w:shd w:val="clear" w:color="000000" w:fill="FFFFFF"/>
            <w:vAlign w:val="center"/>
          </w:tcPr>
          <w:p w14:paraId="4857419E"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85%</w:t>
            </w:r>
          </w:p>
        </w:tc>
        <w:tc>
          <w:tcPr>
            <w:tcW w:w="299" w:type="pct"/>
            <w:shd w:val="clear" w:color="000000" w:fill="FFFFFF"/>
            <w:vAlign w:val="center"/>
          </w:tcPr>
          <w:p w14:paraId="567D3638"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95%</w:t>
            </w:r>
          </w:p>
        </w:tc>
        <w:tc>
          <w:tcPr>
            <w:tcW w:w="297" w:type="pct"/>
            <w:shd w:val="clear" w:color="000000" w:fill="FFFFFF"/>
            <w:vAlign w:val="center"/>
          </w:tcPr>
          <w:p w14:paraId="1C95EACC"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FD16E4" w:rsidRPr="00B0658A" w14:paraId="4CE7405C" w14:textId="77777777" w:rsidTr="00FE71B1">
        <w:trPr>
          <w:trHeight w:val="20"/>
        </w:trPr>
        <w:tc>
          <w:tcPr>
            <w:tcW w:w="283" w:type="pct"/>
            <w:shd w:val="clear" w:color="000000" w:fill="FFFFFF"/>
            <w:vAlign w:val="center"/>
          </w:tcPr>
          <w:p w14:paraId="1CC0C975" w14:textId="77777777" w:rsidR="00FD16E4" w:rsidRPr="00B0658A" w:rsidRDefault="00FD16E4" w:rsidP="00FE71B1">
            <w:pPr>
              <w:spacing w:after="0" w:line="240" w:lineRule="auto"/>
              <w:jc w:val="center"/>
              <w:rPr>
                <w:rFonts w:ascii="Times New Roman" w:hAnsi="Times New Roman"/>
                <w:sz w:val="18"/>
                <w:szCs w:val="18"/>
              </w:rPr>
            </w:pPr>
            <w:r w:rsidRPr="00B0658A">
              <w:rPr>
                <w:rFonts w:ascii="Times New Roman" w:hAnsi="Times New Roman"/>
                <w:sz w:val="18"/>
                <w:szCs w:val="18"/>
              </w:rPr>
              <w:t>9.4</w:t>
            </w:r>
          </w:p>
        </w:tc>
        <w:tc>
          <w:tcPr>
            <w:tcW w:w="1013" w:type="pct"/>
            <w:shd w:val="clear" w:color="auto" w:fill="auto"/>
            <w:vAlign w:val="center"/>
          </w:tcPr>
          <w:p w14:paraId="2AFD580F" w14:textId="77777777" w:rsidR="00FD16E4" w:rsidRPr="00B0658A" w:rsidRDefault="00FD16E4" w:rsidP="00FD16E4">
            <w:pPr>
              <w:spacing w:after="0" w:line="240" w:lineRule="auto"/>
              <w:rPr>
                <w:rFonts w:ascii="Times New Roman" w:hAnsi="Times New Roman"/>
                <w:sz w:val="18"/>
                <w:szCs w:val="18"/>
              </w:rPr>
            </w:pPr>
            <w:r w:rsidRPr="00B0658A">
              <w:rPr>
                <w:rFonts w:ascii="Times New Roman" w:hAnsi="Times New Roman"/>
                <w:sz w:val="18"/>
                <w:szCs w:val="18"/>
              </w:rPr>
              <w:t>Средства управления процессами организации/ Средства управления технологическими процессами (АСУ ТП, SCADA)</w:t>
            </w:r>
          </w:p>
        </w:tc>
        <w:tc>
          <w:tcPr>
            <w:tcW w:w="704" w:type="pct"/>
            <w:shd w:val="clear" w:color="000000" w:fill="FFFFFF"/>
          </w:tcPr>
          <w:p w14:paraId="54280706" w14:textId="77777777" w:rsidR="00FD16E4" w:rsidRPr="00B0658A" w:rsidRDefault="00FD16E4" w:rsidP="00FD16E4">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03" w:type="pct"/>
            <w:shd w:val="clear" w:color="000000" w:fill="FFFFFF"/>
            <w:vAlign w:val="center"/>
          </w:tcPr>
          <w:p w14:paraId="1EA24746"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25%</w:t>
            </w:r>
          </w:p>
        </w:tc>
        <w:tc>
          <w:tcPr>
            <w:tcW w:w="303" w:type="pct"/>
            <w:shd w:val="clear" w:color="000000" w:fill="FFFFFF"/>
            <w:vAlign w:val="center"/>
          </w:tcPr>
          <w:p w14:paraId="529516F4"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35%</w:t>
            </w:r>
          </w:p>
        </w:tc>
        <w:tc>
          <w:tcPr>
            <w:tcW w:w="303" w:type="pct"/>
            <w:shd w:val="clear" w:color="000000" w:fill="FFFFFF"/>
            <w:vAlign w:val="center"/>
          </w:tcPr>
          <w:p w14:paraId="3C9E7644"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45%</w:t>
            </w:r>
          </w:p>
        </w:tc>
        <w:tc>
          <w:tcPr>
            <w:tcW w:w="313" w:type="pct"/>
            <w:shd w:val="clear" w:color="000000" w:fill="FFFFFF"/>
            <w:vAlign w:val="center"/>
          </w:tcPr>
          <w:p w14:paraId="262BF090"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100%</w:t>
            </w:r>
          </w:p>
        </w:tc>
        <w:tc>
          <w:tcPr>
            <w:tcW w:w="303" w:type="pct"/>
            <w:shd w:val="clear" w:color="000000" w:fill="FFFFFF"/>
            <w:vAlign w:val="center"/>
          </w:tcPr>
          <w:p w14:paraId="7EB88054"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55%</w:t>
            </w:r>
          </w:p>
        </w:tc>
        <w:tc>
          <w:tcPr>
            <w:tcW w:w="303" w:type="pct"/>
            <w:shd w:val="clear" w:color="000000" w:fill="FFFFFF"/>
            <w:vAlign w:val="center"/>
          </w:tcPr>
          <w:p w14:paraId="07200351"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65%</w:t>
            </w:r>
          </w:p>
        </w:tc>
        <w:tc>
          <w:tcPr>
            <w:tcW w:w="303" w:type="pct"/>
            <w:shd w:val="clear" w:color="000000" w:fill="FFFFFF"/>
            <w:vAlign w:val="center"/>
          </w:tcPr>
          <w:p w14:paraId="722BE402"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75%</w:t>
            </w:r>
          </w:p>
        </w:tc>
        <w:tc>
          <w:tcPr>
            <w:tcW w:w="272" w:type="pct"/>
            <w:shd w:val="clear" w:color="000000" w:fill="FFFFFF"/>
            <w:vAlign w:val="center"/>
          </w:tcPr>
          <w:p w14:paraId="18D719AA"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85%</w:t>
            </w:r>
          </w:p>
        </w:tc>
        <w:tc>
          <w:tcPr>
            <w:tcW w:w="299" w:type="pct"/>
            <w:shd w:val="clear" w:color="000000" w:fill="FFFFFF"/>
            <w:vAlign w:val="center"/>
          </w:tcPr>
          <w:p w14:paraId="0F0048D5"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95%</w:t>
            </w:r>
          </w:p>
        </w:tc>
        <w:tc>
          <w:tcPr>
            <w:tcW w:w="297" w:type="pct"/>
            <w:shd w:val="clear" w:color="000000" w:fill="FFFFFF"/>
            <w:vAlign w:val="center"/>
          </w:tcPr>
          <w:p w14:paraId="18F6BE17"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FD16E4" w:rsidRPr="00B0658A" w14:paraId="3A6CAD3D" w14:textId="77777777" w:rsidTr="00FE71B1">
        <w:trPr>
          <w:trHeight w:val="20"/>
        </w:trPr>
        <w:tc>
          <w:tcPr>
            <w:tcW w:w="283" w:type="pct"/>
            <w:shd w:val="clear" w:color="000000" w:fill="FFFFFF"/>
            <w:vAlign w:val="center"/>
          </w:tcPr>
          <w:p w14:paraId="5E9CF89D" w14:textId="77777777" w:rsidR="00FD16E4" w:rsidRPr="00B0658A" w:rsidRDefault="00FD16E4" w:rsidP="00FE71B1">
            <w:pPr>
              <w:spacing w:after="0" w:line="240" w:lineRule="auto"/>
              <w:jc w:val="center"/>
              <w:rPr>
                <w:rFonts w:ascii="Times New Roman" w:hAnsi="Times New Roman"/>
                <w:sz w:val="18"/>
                <w:szCs w:val="18"/>
              </w:rPr>
            </w:pPr>
            <w:r w:rsidRPr="00B0658A">
              <w:rPr>
                <w:rFonts w:ascii="Times New Roman" w:hAnsi="Times New Roman"/>
                <w:sz w:val="18"/>
                <w:szCs w:val="18"/>
              </w:rPr>
              <w:t>9.5</w:t>
            </w:r>
          </w:p>
        </w:tc>
        <w:tc>
          <w:tcPr>
            <w:tcW w:w="1013" w:type="pct"/>
            <w:shd w:val="clear" w:color="auto" w:fill="auto"/>
            <w:vAlign w:val="center"/>
          </w:tcPr>
          <w:p w14:paraId="46FA8E27" w14:textId="77777777" w:rsidR="00FD16E4" w:rsidRPr="00B0658A" w:rsidRDefault="00FD16E4" w:rsidP="00FD16E4">
            <w:pPr>
              <w:spacing w:after="0" w:line="240" w:lineRule="auto"/>
              <w:rPr>
                <w:rFonts w:ascii="Times New Roman" w:hAnsi="Times New Roman"/>
                <w:sz w:val="18"/>
                <w:szCs w:val="18"/>
              </w:rPr>
            </w:pPr>
            <w:r w:rsidRPr="00B0658A">
              <w:rPr>
                <w:rFonts w:ascii="Times New Roman" w:hAnsi="Times New Roman"/>
                <w:sz w:val="18"/>
                <w:szCs w:val="18"/>
              </w:rPr>
              <w:t>Средства управления процессами организации/ Средства управления эффективностью предприятия (CPM/EPM)</w:t>
            </w:r>
          </w:p>
        </w:tc>
        <w:tc>
          <w:tcPr>
            <w:tcW w:w="704" w:type="pct"/>
            <w:shd w:val="clear" w:color="000000" w:fill="FFFFFF"/>
          </w:tcPr>
          <w:p w14:paraId="152C5652" w14:textId="77777777" w:rsidR="00FD16E4" w:rsidRPr="00B0658A" w:rsidRDefault="00FD16E4" w:rsidP="00FD16E4">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03" w:type="pct"/>
            <w:shd w:val="clear" w:color="000000" w:fill="FFFFFF"/>
            <w:vAlign w:val="center"/>
          </w:tcPr>
          <w:p w14:paraId="60F84DB2"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35%</w:t>
            </w:r>
          </w:p>
        </w:tc>
        <w:tc>
          <w:tcPr>
            <w:tcW w:w="303" w:type="pct"/>
            <w:shd w:val="clear" w:color="000000" w:fill="FFFFFF"/>
            <w:vAlign w:val="center"/>
          </w:tcPr>
          <w:p w14:paraId="30C99190"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40%</w:t>
            </w:r>
          </w:p>
        </w:tc>
        <w:tc>
          <w:tcPr>
            <w:tcW w:w="303" w:type="pct"/>
            <w:shd w:val="clear" w:color="000000" w:fill="FFFFFF"/>
            <w:vAlign w:val="center"/>
          </w:tcPr>
          <w:p w14:paraId="3FE20A5E"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50%</w:t>
            </w:r>
          </w:p>
        </w:tc>
        <w:tc>
          <w:tcPr>
            <w:tcW w:w="313" w:type="pct"/>
            <w:shd w:val="clear" w:color="000000" w:fill="FFFFFF"/>
            <w:vAlign w:val="center"/>
          </w:tcPr>
          <w:p w14:paraId="5DB495CF"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100%</w:t>
            </w:r>
          </w:p>
        </w:tc>
        <w:tc>
          <w:tcPr>
            <w:tcW w:w="303" w:type="pct"/>
            <w:shd w:val="clear" w:color="000000" w:fill="FFFFFF"/>
            <w:vAlign w:val="center"/>
          </w:tcPr>
          <w:p w14:paraId="73E401FC"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60%</w:t>
            </w:r>
          </w:p>
        </w:tc>
        <w:tc>
          <w:tcPr>
            <w:tcW w:w="303" w:type="pct"/>
            <w:shd w:val="clear" w:color="000000" w:fill="FFFFFF"/>
            <w:vAlign w:val="center"/>
          </w:tcPr>
          <w:p w14:paraId="0D2D0DF2"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70%</w:t>
            </w:r>
          </w:p>
        </w:tc>
        <w:tc>
          <w:tcPr>
            <w:tcW w:w="303" w:type="pct"/>
            <w:shd w:val="clear" w:color="000000" w:fill="FFFFFF"/>
            <w:vAlign w:val="center"/>
          </w:tcPr>
          <w:p w14:paraId="147CB7E3"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80%</w:t>
            </w:r>
          </w:p>
        </w:tc>
        <w:tc>
          <w:tcPr>
            <w:tcW w:w="272" w:type="pct"/>
            <w:shd w:val="clear" w:color="000000" w:fill="FFFFFF"/>
            <w:vAlign w:val="center"/>
          </w:tcPr>
          <w:p w14:paraId="0FA73112"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90%</w:t>
            </w:r>
          </w:p>
        </w:tc>
        <w:tc>
          <w:tcPr>
            <w:tcW w:w="299" w:type="pct"/>
            <w:shd w:val="clear" w:color="000000" w:fill="FFFFFF"/>
            <w:vAlign w:val="center"/>
          </w:tcPr>
          <w:p w14:paraId="1C123C75"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100%</w:t>
            </w:r>
          </w:p>
        </w:tc>
        <w:tc>
          <w:tcPr>
            <w:tcW w:w="297" w:type="pct"/>
            <w:shd w:val="clear" w:color="000000" w:fill="FFFFFF"/>
            <w:vAlign w:val="center"/>
          </w:tcPr>
          <w:p w14:paraId="02A621D5"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FD16E4" w:rsidRPr="00B0658A" w14:paraId="7409AA5F" w14:textId="77777777" w:rsidTr="00FE71B1">
        <w:trPr>
          <w:trHeight w:val="20"/>
        </w:trPr>
        <w:tc>
          <w:tcPr>
            <w:tcW w:w="283" w:type="pct"/>
            <w:shd w:val="clear" w:color="000000" w:fill="FFFFFF"/>
            <w:vAlign w:val="center"/>
          </w:tcPr>
          <w:p w14:paraId="763ED43A" w14:textId="77777777" w:rsidR="00FD16E4" w:rsidRPr="00B0658A" w:rsidRDefault="00FD16E4" w:rsidP="00FE71B1">
            <w:pPr>
              <w:spacing w:after="0" w:line="240" w:lineRule="auto"/>
              <w:jc w:val="center"/>
              <w:rPr>
                <w:rFonts w:ascii="Times New Roman" w:hAnsi="Times New Roman"/>
                <w:sz w:val="18"/>
                <w:szCs w:val="18"/>
              </w:rPr>
            </w:pPr>
            <w:r w:rsidRPr="00B0658A">
              <w:rPr>
                <w:rFonts w:ascii="Times New Roman" w:hAnsi="Times New Roman"/>
                <w:sz w:val="18"/>
                <w:szCs w:val="18"/>
              </w:rPr>
              <w:t>9.6</w:t>
            </w:r>
          </w:p>
        </w:tc>
        <w:tc>
          <w:tcPr>
            <w:tcW w:w="1013" w:type="pct"/>
            <w:shd w:val="clear" w:color="auto" w:fill="auto"/>
            <w:vAlign w:val="center"/>
          </w:tcPr>
          <w:p w14:paraId="6360A875" w14:textId="77777777" w:rsidR="00FD16E4" w:rsidRPr="00B0658A" w:rsidRDefault="00FD16E4" w:rsidP="00FD16E4">
            <w:pPr>
              <w:spacing w:after="0" w:line="240" w:lineRule="auto"/>
              <w:rPr>
                <w:rFonts w:ascii="Times New Roman" w:hAnsi="Times New Roman"/>
                <w:sz w:val="18"/>
                <w:szCs w:val="18"/>
              </w:rPr>
            </w:pPr>
            <w:r w:rsidRPr="00B0658A">
              <w:rPr>
                <w:rFonts w:ascii="Times New Roman" w:hAnsi="Times New Roman"/>
                <w:sz w:val="18"/>
                <w:szCs w:val="18"/>
              </w:rPr>
              <w:t>Средства управления процессами организации/ Средства управления основными фондами предприятия (EAM)</w:t>
            </w:r>
          </w:p>
        </w:tc>
        <w:tc>
          <w:tcPr>
            <w:tcW w:w="704" w:type="pct"/>
            <w:shd w:val="clear" w:color="000000" w:fill="FFFFFF"/>
          </w:tcPr>
          <w:p w14:paraId="0E2B8638" w14:textId="77777777" w:rsidR="00FD16E4" w:rsidRPr="00B0658A" w:rsidRDefault="00FD16E4" w:rsidP="00FD16E4">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03" w:type="pct"/>
            <w:shd w:val="clear" w:color="000000" w:fill="FFFFFF"/>
            <w:vAlign w:val="center"/>
          </w:tcPr>
          <w:p w14:paraId="36C8D388"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30%</w:t>
            </w:r>
          </w:p>
        </w:tc>
        <w:tc>
          <w:tcPr>
            <w:tcW w:w="303" w:type="pct"/>
            <w:shd w:val="clear" w:color="000000" w:fill="FFFFFF"/>
            <w:vAlign w:val="center"/>
          </w:tcPr>
          <w:p w14:paraId="5167E34B"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40%</w:t>
            </w:r>
          </w:p>
        </w:tc>
        <w:tc>
          <w:tcPr>
            <w:tcW w:w="303" w:type="pct"/>
            <w:shd w:val="clear" w:color="000000" w:fill="FFFFFF"/>
            <w:vAlign w:val="center"/>
          </w:tcPr>
          <w:p w14:paraId="19879AC0"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50%</w:t>
            </w:r>
          </w:p>
        </w:tc>
        <w:tc>
          <w:tcPr>
            <w:tcW w:w="313" w:type="pct"/>
            <w:shd w:val="clear" w:color="000000" w:fill="FFFFFF"/>
            <w:vAlign w:val="center"/>
          </w:tcPr>
          <w:p w14:paraId="02487DD0"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100%</w:t>
            </w:r>
          </w:p>
        </w:tc>
        <w:tc>
          <w:tcPr>
            <w:tcW w:w="303" w:type="pct"/>
            <w:shd w:val="clear" w:color="000000" w:fill="FFFFFF"/>
            <w:vAlign w:val="center"/>
          </w:tcPr>
          <w:p w14:paraId="320F41AC"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60%</w:t>
            </w:r>
          </w:p>
        </w:tc>
        <w:tc>
          <w:tcPr>
            <w:tcW w:w="303" w:type="pct"/>
            <w:shd w:val="clear" w:color="000000" w:fill="FFFFFF"/>
            <w:vAlign w:val="center"/>
          </w:tcPr>
          <w:p w14:paraId="0E57244E"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70%</w:t>
            </w:r>
          </w:p>
        </w:tc>
        <w:tc>
          <w:tcPr>
            <w:tcW w:w="303" w:type="pct"/>
            <w:shd w:val="clear" w:color="000000" w:fill="FFFFFF"/>
            <w:vAlign w:val="center"/>
          </w:tcPr>
          <w:p w14:paraId="40186D06"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80%</w:t>
            </w:r>
          </w:p>
        </w:tc>
        <w:tc>
          <w:tcPr>
            <w:tcW w:w="272" w:type="pct"/>
            <w:shd w:val="clear" w:color="000000" w:fill="FFFFFF"/>
            <w:vAlign w:val="center"/>
          </w:tcPr>
          <w:p w14:paraId="041B4ADC"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90%</w:t>
            </w:r>
          </w:p>
        </w:tc>
        <w:tc>
          <w:tcPr>
            <w:tcW w:w="299" w:type="pct"/>
            <w:shd w:val="clear" w:color="000000" w:fill="FFFFFF"/>
            <w:vAlign w:val="center"/>
          </w:tcPr>
          <w:p w14:paraId="26139EEF"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100%</w:t>
            </w:r>
          </w:p>
        </w:tc>
        <w:tc>
          <w:tcPr>
            <w:tcW w:w="297" w:type="pct"/>
            <w:shd w:val="clear" w:color="000000" w:fill="FFFFFF"/>
            <w:vAlign w:val="center"/>
          </w:tcPr>
          <w:p w14:paraId="59C4F577"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FD16E4" w:rsidRPr="00B0658A" w14:paraId="4484B2AB" w14:textId="77777777" w:rsidTr="00FE71B1">
        <w:trPr>
          <w:trHeight w:val="20"/>
        </w:trPr>
        <w:tc>
          <w:tcPr>
            <w:tcW w:w="283" w:type="pct"/>
            <w:shd w:val="clear" w:color="000000" w:fill="FFFFFF"/>
            <w:vAlign w:val="center"/>
          </w:tcPr>
          <w:p w14:paraId="31D9FE0A" w14:textId="77777777" w:rsidR="00FD16E4" w:rsidRPr="00B0658A" w:rsidRDefault="00FD16E4" w:rsidP="00FE71B1">
            <w:pPr>
              <w:spacing w:after="0" w:line="240" w:lineRule="auto"/>
              <w:jc w:val="center"/>
              <w:rPr>
                <w:rFonts w:ascii="Times New Roman" w:hAnsi="Times New Roman"/>
                <w:sz w:val="18"/>
                <w:szCs w:val="18"/>
              </w:rPr>
            </w:pPr>
            <w:r w:rsidRPr="00B0658A">
              <w:rPr>
                <w:rFonts w:ascii="Times New Roman" w:hAnsi="Times New Roman"/>
                <w:sz w:val="18"/>
                <w:szCs w:val="18"/>
              </w:rPr>
              <w:t>9.7</w:t>
            </w:r>
          </w:p>
        </w:tc>
        <w:tc>
          <w:tcPr>
            <w:tcW w:w="1013" w:type="pct"/>
            <w:shd w:val="clear" w:color="auto" w:fill="auto"/>
            <w:vAlign w:val="center"/>
          </w:tcPr>
          <w:p w14:paraId="12F3A578" w14:textId="77777777" w:rsidR="00FD16E4" w:rsidRPr="00B0658A" w:rsidRDefault="00FD16E4" w:rsidP="00FD16E4">
            <w:pPr>
              <w:spacing w:after="0" w:line="240" w:lineRule="auto"/>
              <w:rPr>
                <w:rFonts w:ascii="Times New Roman" w:hAnsi="Times New Roman"/>
                <w:sz w:val="18"/>
                <w:szCs w:val="18"/>
              </w:rPr>
            </w:pPr>
            <w:r w:rsidRPr="00B0658A">
              <w:rPr>
                <w:rFonts w:ascii="Times New Roman" w:hAnsi="Times New Roman"/>
                <w:sz w:val="18"/>
                <w:szCs w:val="18"/>
              </w:rPr>
              <w:t>Средства управления процессами организации/ Средства финансового менеджмента, управления активами и трудовыми ресурсами (ERP)</w:t>
            </w:r>
          </w:p>
        </w:tc>
        <w:tc>
          <w:tcPr>
            <w:tcW w:w="704" w:type="pct"/>
            <w:shd w:val="clear" w:color="000000" w:fill="FFFFFF"/>
          </w:tcPr>
          <w:p w14:paraId="281FAC49" w14:textId="77777777" w:rsidR="00FD16E4" w:rsidRPr="00B0658A" w:rsidRDefault="00FD16E4" w:rsidP="00FD16E4">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03" w:type="pct"/>
            <w:shd w:val="clear" w:color="000000" w:fill="FFFFFF"/>
            <w:vAlign w:val="center"/>
          </w:tcPr>
          <w:p w14:paraId="62212F21"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30%</w:t>
            </w:r>
          </w:p>
        </w:tc>
        <w:tc>
          <w:tcPr>
            <w:tcW w:w="303" w:type="pct"/>
            <w:shd w:val="clear" w:color="000000" w:fill="FFFFFF"/>
            <w:vAlign w:val="center"/>
          </w:tcPr>
          <w:p w14:paraId="2E19F130"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40%</w:t>
            </w:r>
          </w:p>
        </w:tc>
        <w:tc>
          <w:tcPr>
            <w:tcW w:w="303" w:type="pct"/>
            <w:shd w:val="clear" w:color="000000" w:fill="FFFFFF"/>
            <w:vAlign w:val="center"/>
          </w:tcPr>
          <w:p w14:paraId="34467D01"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50%</w:t>
            </w:r>
          </w:p>
        </w:tc>
        <w:tc>
          <w:tcPr>
            <w:tcW w:w="313" w:type="pct"/>
            <w:shd w:val="clear" w:color="000000" w:fill="FFFFFF"/>
            <w:vAlign w:val="center"/>
          </w:tcPr>
          <w:p w14:paraId="0F365C8B"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100%</w:t>
            </w:r>
          </w:p>
        </w:tc>
        <w:tc>
          <w:tcPr>
            <w:tcW w:w="303" w:type="pct"/>
            <w:shd w:val="clear" w:color="000000" w:fill="FFFFFF"/>
            <w:vAlign w:val="center"/>
          </w:tcPr>
          <w:p w14:paraId="3388F76B"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60%</w:t>
            </w:r>
          </w:p>
        </w:tc>
        <w:tc>
          <w:tcPr>
            <w:tcW w:w="303" w:type="pct"/>
            <w:shd w:val="clear" w:color="000000" w:fill="FFFFFF"/>
            <w:vAlign w:val="center"/>
          </w:tcPr>
          <w:p w14:paraId="2888A32E"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70%</w:t>
            </w:r>
          </w:p>
        </w:tc>
        <w:tc>
          <w:tcPr>
            <w:tcW w:w="303" w:type="pct"/>
            <w:shd w:val="clear" w:color="000000" w:fill="FFFFFF"/>
            <w:vAlign w:val="center"/>
          </w:tcPr>
          <w:p w14:paraId="1CE8F75A"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80%</w:t>
            </w:r>
          </w:p>
        </w:tc>
        <w:tc>
          <w:tcPr>
            <w:tcW w:w="272" w:type="pct"/>
            <w:shd w:val="clear" w:color="000000" w:fill="FFFFFF"/>
            <w:vAlign w:val="center"/>
          </w:tcPr>
          <w:p w14:paraId="3065F0CB"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90%</w:t>
            </w:r>
          </w:p>
        </w:tc>
        <w:tc>
          <w:tcPr>
            <w:tcW w:w="299" w:type="pct"/>
            <w:shd w:val="clear" w:color="000000" w:fill="FFFFFF"/>
            <w:vAlign w:val="center"/>
          </w:tcPr>
          <w:p w14:paraId="51D35EF5"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100%</w:t>
            </w:r>
          </w:p>
        </w:tc>
        <w:tc>
          <w:tcPr>
            <w:tcW w:w="297" w:type="pct"/>
            <w:shd w:val="clear" w:color="000000" w:fill="FFFFFF"/>
            <w:vAlign w:val="center"/>
          </w:tcPr>
          <w:p w14:paraId="34EEB439"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FD16E4" w:rsidRPr="00B0658A" w14:paraId="546729F4" w14:textId="77777777" w:rsidTr="00FE71B1">
        <w:trPr>
          <w:trHeight w:val="20"/>
        </w:trPr>
        <w:tc>
          <w:tcPr>
            <w:tcW w:w="283" w:type="pct"/>
            <w:shd w:val="clear" w:color="000000" w:fill="FFFFFF"/>
            <w:vAlign w:val="center"/>
          </w:tcPr>
          <w:p w14:paraId="31C71A4C" w14:textId="77777777" w:rsidR="00FD16E4" w:rsidRPr="00B0658A" w:rsidRDefault="00FD16E4" w:rsidP="00FE71B1">
            <w:pPr>
              <w:spacing w:after="0" w:line="240" w:lineRule="auto"/>
              <w:jc w:val="center"/>
              <w:rPr>
                <w:rFonts w:ascii="Times New Roman" w:hAnsi="Times New Roman"/>
                <w:sz w:val="18"/>
                <w:szCs w:val="18"/>
              </w:rPr>
            </w:pPr>
            <w:r w:rsidRPr="00B0658A">
              <w:rPr>
                <w:rFonts w:ascii="Times New Roman" w:hAnsi="Times New Roman"/>
                <w:sz w:val="18"/>
                <w:szCs w:val="18"/>
              </w:rPr>
              <w:t>9.9</w:t>
            </w:r>
          </w:p>
        </w:tc>
        <w:tc>
          <w:tcPr>
            <w:tcW w:w="1013" w:type="pct"/>
            <w:shd w:val="clear" w:color="auto" w:fill="auto"/>
            <w:vAlign w:val="center"/>
          </w:tcPr>
          <w:p w14:paraId="3E4896B9" w14:textId="77777777" w:rsidR="00FD16E4" w:rsidRPr="00B0658A" w:rsidRDefault="00FD16E4" w:rsidP="00FD16E4">
            <w:pPr>
              <w:spacing w:after="0" w:line="240" w:lineRule="auto"/>
              <w:rPr>
                <w:rFonts w:ascii="Times New Roman" w:hAnsi="Times New Roman"/>
                <w:sz w:val="18"/>
                <w:szCs w:val="18"/>
              </w:rPr>
            </w:pPr>
            <w:r w:rsidRPr="00B0658A">
              <w:rPr>
                <w:rFonts w:ascii="Times New Roman" w:hAnsi="Times New Roman"/>
                <w:sz w:val="18"/>
                <w:szCs w:val="18"/>
              </w:rPr>
              <w:t>Средства управления процессами организации/ Средства управления отношениями с клиентами (CRM)</w:t>
            </w:r>
          </w:p>
        </w:tc>
        <w:tc>
          <w:tcPr>
            <w:tcW w:w="704" w:type="pct"/>
            <w:shd w:val="clear" w:color="000000" w:fill="FFFFFF"/>
          </w:tcPr>
          <w:p w14:paraId="01CB0B21" w14:textId="77777777" w:rsidR="00FD16E4" w:rsidRPr="00B0658A" w:rsidRDefault="00FD16E4" w:rsidP="00FD16E4">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03" w:type="pct"/>
            <w:shd w:val="clear" w:color="000000" w:fill="FFFFFF"/>
            <w:vAlign w:val="center"/>
          </w:tcPr>
          <w:p w14:paraId="6576B53F"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30%</w:t>
            </w:r>
          </w:p>
        </w:tc>
        <w:tc>
          <w:tcPr>
            <w:tcW w:w="303" w:type="pct"/>
            <w:shd w:val="clear" w:color="000000" w:fill="FFFFFF"/>
            <w:vAlign w:val="center"/>
          </w:tcPr>
          <w:p w14:paraId="16141DF0"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40%</w:t>
            </w:r>
          </w:p>
        </w:tc>
        <w:tc>
          <w:tcPr>
            <w:tcW w:w="303" w:type="pct"/>
            <w:shd w:val="clear" w:color="000000" w:fill="FFFFFF"/>
            <w:vAlign w:val="center"/>
          </w:tcPr>
          <w:p w14:paraId="1CCD47D2"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50%</w:t>
            </w:r>
          </w:p>
        </w:tc>
        <w:tc>
          <w:tcPr>
            <w:tcW w:w="313" w:type="pct"/>
            <w:shd w:val="clear" w:color="000000" w:fill="FFFFFF"/>
            <w:vAlign w:val="center"/>
          </w:tcPr>
          <w:p w14:paraId="0A490FA5"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100%</w:t>
            </w:r>
          </w:p>
        </w:tc>
        <w:tc>
          <w:tcPr>
            <w:tcW w:w="303" w:type="pct"/>
            <w:shd w:val="clear" w:color="000000" w:fill="FFFFFF"/>
            <w:vAlign w:val="center"/>
          </w:tcPr>
          <w:p w14:paraId="2FE9E3F1"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60%</w:t>
            </w:r>
          </w:p>
        </w:tc>
        <w:tc>
          <w:tcPr>
            <w:tcW w:w="303" w:type="pct"/>
            <w:shd w:val="clear" w:color="000000" w:fill="FFFFFF"/>
            <w:vAlign w:val="center"/>
          </w:tcPr>
          <w:p w14:paraId="3ADA5477"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70%</w:t>
            </w:r>
          </w:p>
        </w:tc>
        <w:tc>
          <w:tcPr>
            <w:tcW w:w="303" w:type="pct"/>
            <w:shd w:val="clear" w:color="000000" w:fill="FFFFFF"/>
            <w:vAlign w:val="center"/>
          </w:tcPr>
          <w:p w14:paraId="64E730BF"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80%</w:t>
            </w:r>
          </w:p>
        </w:tc>
        <w:tc>
          <w:tcPr>
            <w:tcW w:w="272" w:type="pct"/>
            <w:shd w:val="clear" w:color="000000" w:fill="FFFFFF"/>
            <w:vAlign w:val="center"/>
          </w:tcPr>
          <w:p w14:paraId="1445EF39"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90%</w:t>
            </w:r>
          </w:p>
        </w:tc>
        <w:tc>
          <w:tcPr>
            <w:tcW w:w="299" w:type="pct"/>
            <w:shd w:val="clear" w:color="000000" w:fill="FFFFFF"/>
            <w:vAlign w:val="center"/>
          </w:tcPr>
          <w:p w14:paraId="59F71D65"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100%</w:t>
            </w:r>
          </w:p>
        </w:tc>
        <w:tc>
          <w:tcPr>
            <w:tcW w:w="297" w:type="pct"/>
            <w:shd w:val="clear" w:color="000000" w:fill="FFFFFF"/>
            <w:vAlign w:val="center"/>
          </w:tcPr>
          <w:p w14:paraId="782F94AA"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FD16E4" w:rsidRPr="00B0658A" w14:paraId="4CE8FCF7" w14:textId="77777777" w:rsidTr="00FE71B1">
        <w:trPr>
          <w:trHeight w:val="20"/>
        </w:trPr>
        <w:tc>
          <w:tcPr>
            <w:tcW w:w="283" w:type="pct"/>
            <w:shd w:val="clear" w:color="000000" w:fill="FFFFFF"/>
            <w:vAlign w:val="center"/>
          </w:tcPr>
          <w:p w14:paraId="14C15A92" w14:textId="77777777" w:rsidR="00FD16E4" w:rsidRPr="00B0658A" w:rsidRDefault="00FD16E4" w:rsidP="00FE71B1">
            <w:pPr>
              <w:spacing w:after="0" w:line="240" w:lineRule="auto"/>
              <w:jc w:val="center"/>
              <w:rPr>
                <w:rFonts w:ascii="Times New Roman" w:hAnsi="Times New Roman"/>
                <w:sz w:val="18"/>
                <w:szCs w:val="18"/>
              </w:rPr>
            </w:pPr>
            <w:r w:rsidRPr="00B0658A">
              <w:rPr>
                <w:rFonts w:ascii="Times New Roman" w:hAnsi="Times New Roman"/>
                <w:sz w:val="18"/>
                <w:szCs w:val="18"/>
              </w:rPr>
              <w:t>9.10</w:t>
            </w:r>
          </w:p>
        </w:tc>
        <w:tc>
          <w:tcPr>
            <w:tcW w:w="1013" w:type="pct"/>
            <w:shd w:val="clear" w:color="auto" w:fill="auto"/>
            <w:vAlign w:val="center"/>
          </w:tcPr>
          <w:p w14:paraId="58BC6037" w14:textId="77777777" w:rsidR="00FD16E4" w:rsidRPr="00B0658A" w:rsidRDefault="00FD16E4" w:rsidP="00FD16E4">
            <w:pPr>
              <w:spacing w:after="0" w:line="240" w:lineRule="auto"/>
              <w:rPr>
                <w:rFonts w:ascii="Times New Roman" w:hAnsi="Times New Roman"/>
                <w:sz w:val="18"/>
                <w:szCs w:val="18"/>
              </w:rPr>
            </w:pPr>
            <w:r w:rsidRPr="00B0658A">
              <w:rPr>
                <w:rFonts w:ascii="Times New Roman" w:hAnsi="Times New Roman"/>
                <w:sz w:val="18"/>
                <w:szCs w:val="18"/>
              </w:rPr>
              <w:t>Средства управления процессами организации/ Средства управления ИТ-службой, ИТ-инфраструктурой и ИТ-активами (ITSM-ServiceDesk, SCCM, Asset Management)</w:t>
            </w:r>
          </w:p>
        </w:tc>
        <w:tc>
          <w:tcPr>
            <w:tcW w:w="704" w:type="pct"/>
            <w:shd w:val="clear" w:color="000000" w:fill="FFFFFF"/>
          </w:tcPr>
          <w:p w14:paraId="4DC3FB44" w14:textId="77777777" w:rsidR="00FD16E4" w:rsidRPr="00B0658A" w:rsidRDefault="00FD16E4" w:rsidP="00FD16E4">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03" w:type="pct"/>
            <w:shd w:val="clear" w:color="000000" w:fill="FFFFFF"/>
            <w:vAlign w:val="center"/>
          </w:tcPr>
          <w:p w14:paraId="728B3F02"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30%</w:t>
            </w:r>
          </w:p>
        </w:tc>
        <w:tc>
          <w:tcPr>
            <w:tcW w:w="303" w:type="pct"/>
            <w:shd w:val="clear" w:color="000000" w:fill="FFFFFF"/>
            <w:vAlign w:val="center"/>
          </w:tcPr>
          <w:p w14:paraId="62FD31BA"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40%</w:t>
            </w:r>
          </w:p>
        </w:tc>
        <w:tc>
          <w:tcPr>
            <w:tcW w:w="303" w:type="pct"/>
            <w:shd w:val="clear" w:color="000000" w:fill="FFFFFF"/>
            <w:vAlign w:val="center"/>
          </w:tcPr>
          <w:p w14:paraId="26698C1B"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50%</w:t>
            </w:r>
          </w:p>
        </w:tc>
        <w:tc>
          <w:tcPr>
            <w:tcW w:w="313" w:type="pct"/>
            <w:shd w:val="clear" w:color="000000" w:fill="FFFFFF"/>
            <w:vAlign w:val="center"/>
          </w:tcPr>
          <w:p w14:paraId="3A30B1FD"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100%</w:t>
            </w:r>
          </w:p>
        </w:tc>
        <w:tc>
          <w:tcPr>
            <w:tcW w:w="303" w:type="pct"/>
            <w:shd w:val="clear" w:color="000000" w:fill="FFFFFF"/>
            <w:vAlign w:val="center"/>
          </w:tcPr>
          <w:p w14:paraId="79290A01"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60%</w:t>
            </w:r>
          </w:p>
        </w:tc>
        <w:tc>
          <w:tcPr>
            <w:tcW w:w="303" w:type="pct"/>
            <w:shd w:val="clear" w:color="000000" w:fill="FFFFFF"/>
            <w:vAlign w:val="center"/>
          </w:tcPr>
          <w:p w14:paraId="3671B310"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70%</w:t>
            </w:r>
          </w:p>
        </w:tc>
        <w:tc>
          <w:tcPr>
            <w:tcW w:w="303" w:type="pct"/>
            <w:shd w:val="clear" w:color="000000" w:fill="FFFFFF"/>
            <w:vAlign w:val="center"/>
          </w:tcPr>
          <w:p w14:paraId="42EF3977"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80%</w:t>
            </w:r>
          </w:p>
        </w:tc>
        <w:tc>
          <w:tcPr>
            <w:tcW w:w="272" w:type="pct"/>
            <w:shd w:val="clear" w:color="000000" w:fill="FFFFFF"/>
            <w:vAlign w:val="center"/>
          </w:tcPr>
          <w:p w14:paraId="6E7C5D19"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90%</w:t>
            </w:r>
          </w:p>
        </w:tc>
        <w:tc>
          <w:tcPr>
            <w:tcW w:w="299" w:type="pct"/>
            <w:shd w:val="clear" w:color="000000" w:fill="FFFFFF"/>
            <w:vAlign w:val="center"/>
          </w:tcPr>
          <w:p w14:paraId="340C843D"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100%</w:t>
            </w:r>
          </w:p>
        </w:tc>
        <w:tc>
          <w:tcPr>
            <w:tcW w:w="297" w:type="pct"/>
            <w:shd w:val="clear" w:color="000000" w:fill="FFFFFF"/>
            <w:vAlign w:val="center"/>
          </w:tcPr>
          <w:p w14:paraId="5F39F140"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FD16E4" w:rsidRPr="00B0658A" w14:paraId="6E6F427D" w14:textId="77777777" w:rsidTr="00FE71B1">
        <w:trPr>
          <w:trHeight w:val="20"/>
        </w:trPr>
        <w:tc>
          <w:tcPr>
            <w:tcW w:w="283" w:type="pct"/>
            <w:shd w:val="clear" w:color="000000" w:fill="FFFFFF"/>
            <w:vAlign w:val="center"/>
          </w:tcPr>
          <w:p w14:paraId="213D6BF8" w14:textId="77777777" w:rsidR="00FD16E4" w:rsidRPr="00B0658A" w:rsidRDefault="00FD16E4" w:rsidP="00FE71B1">
            <w:pPr>
              <w:spacing w:after="0" w:line="240" w:lineRule="auto"/>
              <w:jc w:val="center"/>
              <w:rPr>
                <w:rFonts w:ascii="Times New Roman" w:hAnsi="Times New Roman"/>
                <w:sz w:val="18"/>
                <w:szCs w:val="18"/>
              </w:rPr>
            </w:pPr>
            <w:r w:rsidRPr="00B0658A">
              <w:rPr>
                <w:rFonts w:ascii="Times New Roman" w:hAnsi="Times New Roman"/>
                <w:sz w:val="18"/>
                <w:szCs w:val="18"/>
              </w:rPr>
              <w:lastRenderedPageBreak/>
              <w:t>9.11</w:t>
            </w:r>
          </w:p>
        </w:tc>
        <w:tc>
          <w:tcPr>
            <w:tcW w:w="1013" w:type="pct"/>
            <w:shd w:val="clear" w:color="auto" w:fill="auto"/>
            <w:vAlign w:val="center"/>
          </w:tcPr>
          <w:p w14:paraId="4C63D392" w14:textId="77777777" w:rsidR="00FD16E4" w:rsidRPr="00B0658A" w:rsidRDefault="00FD16E4" w:rsidP="00FD16E4">
            <w:pPr>
              <w:suppressAutoHyphens/>
              <w:spacing w:after="0" w:line="240" w:lineRule="auto"/>
              <w:rPr>
                <w:rFonts w:ascii="Times New Roman" w:hAnsi="Times New Roman"/>
                <w:sz w:val="18"/>
                <w:szCs w:val="18"/>
              </w:rPr>
            </w:pPr>
            <w:r w:rsidRPr="00B0658A">
              <w:rPr>
                <w:rFonts w:ascii="Times New Roman" w:hAnsi="Times New Roman"/>
                <w:sz w:val="18"/>
                <w:szCs w:val="18"/>
              </w:rPr>
              <w:t xml:space="preserve">Средства управления процессами организации/ Средства управления содержимым (CMS), сайты </w:t>
            </w:r>
          </w:p>
          <w:p w14:paraId="2CB87702" w14:textId="77777777" w:rsidR="00FD16E4" w:rsidRPr="00B0658A" w:rsidRDefault="00FD16E4" w:rsidP="00FD16E4">
            <w:pPr>
              <w:spacing w:after="0" w:line="240" w:lineRule="auto"/>
              <w:rPr>
                <w:rFonts w:ascii="Times New Roman" w:hAnsi="Times New Roman"/>
                <w:sz w:val="18"/>
                <w:szCs w:val="18"/>
              </w:rPr>
            </w:pPr>
            <w:r w:rsidRPr="00B0658A">
              <w:rPr>
                <w:rFonts w:ascii="Times New Roman" w:hAnsi="Times New Roman"/>
                <w:sz w:val="18"/>
                <w:szCs w:val="18"/>
              </w:rPr>
              <w:t>и портальные решения</w:t>
            </w:r>
          </w:p>
        </w:tc>
        <w:tc>
          <w:tcPr>
            <w:tcW w:w="704" w:type="pct"/>
            <w:shd w:val="clear" w:color="000000" w:fill="FFFFFF"/>
          </w:tcPr>
          <w:p w14:paraId="3BBA61F1" w14:textId="77777777" w:rsidR="00FD16E4" w:rsidRPr="00B0658A" w:rsidRDefault="00FD16E4" w:rsidP="00FD16E4">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03" w:type="pct"/>
            <w:shd w:val="clear" w:color="000000" w:fill="FFFFFF"/>
            <w:vAlign w:val="center"/>
          </w:tcPr>
          <w:p w14:paraId="784C28B3"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35%</w:t>
            </w:r>
          </w:p>
        </w:tc>
        <w:tc>
          <w:tcPr>
            <w:tcW w:w="303" w:type="pct"/>
            <w:shd w:val="clear" w:color="000000" w:fill="FFFFFF"/>
            <w:vAlign w:val="center"/>
          </w:tcPr>
          <w:p w14:paraId="1CC2462D"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45%</w:t>
            </w:r>
          </w:p>
        </w:tc>
        <w:tc>
          <w:tcPr>
            <w:tcW w:w="303" w:type="pct"/>
            <w:shd w:val="clear" w:color="000000" w:fill="FFFFFF"/>
            <w:vAlign w:val="center"/>
          </w:tcPr>
          <w:p w14:paraId="640AFC98"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55%</w:t>
            </w:r>
          </w:p>
        </w:tc>
        <w:tc>
          <w:tcPr>
            <w:tcW w:w="313" w:type="pct"/>
            <w:shd w:val="clear" w:color="000000" w:fill="FFFFFF"/>
            <w:vAlign w:val="center"/>
          </w:tcPr>
          <w:p w14:paraId="148941AB"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100%</w:t>
            </w:r>
          </w:p>
        </w:tc>
        <w:tc>
          <w:tcPr>
            <w:tcW w:w="303" w:type="pct"/>
            <w:shd w:val="clear" w:color="000000" w:fill="FFFFFF"/>
            <w:vAlign w:val="center"/>
          </w:tcPr>
          <w:p w14:paraId="70A8E68E"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65%</w:t>
            </w:r>
          </w:p>
        </w:tc>
        <w:tc>
          <w:tcPr>
            <w:tcW w:w="303" w:type="pct"/>
            <w:shd w:val="clear" w:color="000000" w:fill="FFFFFF"/>
            <w:vAlign w:val="center"/>
          </w:tcPr>
          <w:p w14:paraId="1AA1C096"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75%</w:t>
            </w:r>
          </w:p>
        </w:tc>
        <w:tc>
          <w:tcPr>
            <w:tcW w:w="303" w:type="pct"/>
            <w:shd w:val="clear" w:color="000000" w:fill="FFFFFF"/>
            <w:vAlign w:val="center"/>
          </w:tcPr>
          <w:p w14:paraId="4A65FCA7"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85%</w:t>
            </w:r>
          </w:p>
        </w:tc>
        <w:tc>
          <w:tcPr>
            <w:tcW w:w="272" w:type="pct"/>
            <w:shd w:val="clear" w:color="000000" w:fill="FFFFFF"/>
            <w:vAlign w:val="center"/>
          </w:tcPr>
          <w:p w14:paraId="459A7B6B"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90%</w:t>
            </w:r>
          </w:p>
        </w:tc>
        <w:tc>
          <w:tcPr>
            <w:tcW w:w="299" w:type="pct"/>
            <w:shd w:val="clear" w:color="000000" w:fill="FFFFFF"/>
            <w:vAlign w:val="center"/>
          </w:tcPr>
          <w:p w14:paraId="527D8F29"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100%</w:t>
            </w:r>
          </w:p>
        </w:tc>
        <w:tc>
          <w:tcPr>
            <w:tcW w:w="297" w:type="pct"/>
            <w:shd w:val="clear" w:color="000000" w:fill="FFFFFF"/>
            <w:vAlign w:val="center"/>
          </w:tcPr>
          <w:p w14:paraId="35EA0930"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FD16E4" w:rsidRPr="00B0658A" w14:paraId="6EBA201E" w14:textId="77777777" w:rsidTr="00FE71B1">
        <w:trPr>
          <w:trHeight w:val="20"/>
        </w:trPr>
        <w:tc>
          <w:tcPr>
            <w:tcW w:w="283" w:type="pct"/>
            <w:shd w:val="clear" w:color="000000" w:fill="FFFFFF"/>
            <w:vAlign w:val="center"/>
          </w:tcPr>
          <w:p w14:paraId="3D569D43" w14:textId="77777777" w:rsidR="00FD16E4" w:rsidRPr="00B0658A" w:rsidRDefault="00FD16E4" w:rsidP="00FE71B1">
            <w:pPr>
              <w:spacing w:after="0" w:line="240" w:lineRule="auto"/>
              <w:jc w:val="center"/>
              <w:rPr>
                <w:rFonts w:ascii="Times New Roman" w:hAnsi="Times New Roman"/>
                <w:sz w:val="18"/>
                <w:szCs w:val="18"/>
              </w:rPr>
            </w:pPr>
            <w:r w:rsidRPr="00B0658A">
              <w:rPr>
                <w:rFonts w:ascii="Times New Roman" w:hAnsi="Times New Roman"/>
                <w:sz w:val="18"/>
                <w:szCs w:val="18"/>
              </w:rPr>
              <w:t>9.12</w:t>
            </w:r>
          </w:p>
        </w:tc>
        <w:tc>
          <w:tcPr>
            <w:tcW w:w="1013" w:type="pct"/>
            <w:shd w:val="clear" w:color="auto" w:fill="auto"/>
            <w:vAlign w:val="center"/>
          </w:tcPr>
          <w:p w14:paraId="3EDBE3E3" w14:textId="77777777" w:rsidR="00FD16E4" w:rsidRPr="00B0658A" w:rsidRDefault="00FD16E4" w:rsidP="00FD16E4">
            <w:pPr>
              <w:spacing w:after="0" w:line="240" w:lineRule="auto"/>
              <w:rPr>
                <w:rFonts w:ascii="Times New Roman" w:hAnsi="Times New Roman"/>
                <w:sz w:val="18"/>
                <w:szCs w:val="18"/>
              </w:rPr>
            </w:pPr>
            <w:r w:rsidRPr="00B0658A">
              <w:rPr>
                <w:rFonts w:ascii="Times New Roman" w:hAnsi="Times New Roman"/>
                <w:sz w:val="18"/>
                <w:szCs w:val="18"/>
              </w:rPr>
              <w:t>Средства управления процессами организации/ Средства электронной коммерции (e-commerce platform)</w:t>
            </w:r>
          </w:p>
        </w:tc>
        <w:tc>
          <w:tcPr>
            <w:tcW w:w="704" w:type="pct"/>
            <w:shd w:val="clear" w:color="000000" w:fill="FFFFFF"/>
          </w:tcPr>
          <w:p w14:paraId="14C25F6C" w14:textId="77777777" w:rsidR="00FD16E4" w:rsidRPr="00B0658A" w:rsidRDefault="00FD16E4" w:rsidP="00FD16E4">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03" w:type="pct"/>
            <w:shd w:val="clear" w:color="000000" w:fill="FFFFFF"/>
            <w:vAlign w:val="center"/>
          </w:tcPr>
          <w:p w14:paraId="7FD3718C"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35%</w:t>
            </w:r>
          </w:p>
        </w:tc>
        <w:tc>
          <w:tcPr>
            <w:tcW w:w="303" w:type="pct"/>
            <w:shd w:val="clear" w:color="000000" w:fill="FFFFFF"/>
            <w:vAlign w:val="center"/>
          </w:tcPr>
          <w:p w14:paraId="6DB7F45A"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45%</w:t>
            </w:r>
          </w:p>
        </w:tc>
        <w:tc>
          <w:tcPr>
            <w:tcW w:w="303" w:type="pct"/>
            <w:shd w:val="clear" w:color="000000" w:fill="FFFFFF"/>
            <w:vAlign w:val="center"/>
          </w:tcPr>
          <w:p w14:paraId="4526217F"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55%</w:t>
            </w:r>
          </w:p>
        </w:tc>
        <w:tc>
          <w:tcPr>
            <w:tcW w:w="313" w:type="pct"/>
            <w:shd w:val="clear" w:color="000000" w:fill="FFFFFF"/>
            <w:vAlign w:val="center"/>
          </w:tcPr>
          <w:p w14:paraId="62DFE844"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100%</w:t>
            </w:r>
          </w:p>
        </w:tc>
        <w:tc>
          <w:tcPr>
            <w:tcW w:w="303" w:type="pct"/>
            <w:shd w:val="clear" w:color="000000" w:fill="FFFFFF"/>
            <w:vAlign w:val="center"/>
          </w:tcPr>
          <w:p w14:paraId="42DE5E75"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65%</w:t>
            </w:r>
          </w:p>
        </w:tc>
        <w:tc>
          <w:tcPr>
            <w:tcW w:w="303" w:type="pct"/>
            <w:shd w:val="clear" w:color="000000" w:fill="FFFFFF"/>
            <w:vAlign w:val="center"/>
          </w:tcPr>
          <w:p w14:paraId="67DA7B9A"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75%</w:t>
            </w:r>
          </w:p>
        </w:tc>
        <w:tc>
          <w:tcPr>
            <w:tcW w:w="303" w:type="pct"/>
            <w:shd w:val="clear" w:color="000000" w:fill="FFFFFF"/>
            <w:vAlign w:val="center"/>
          </w:tcPr>
          <w:p w14:paraId="43C4BFA0"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85%</w:t>
            </w:r>
          </w:p>
        </w:tc>
        <w:tc>
          <w:tcPr>
            <w:tcW w:w="272" w:type="pct"/>
            <w:shd w:val="clear" w:color="000000" w:fill="FFFFFF"/>
            <w:vAlign w:val="center"/>
          </w:tcPr>
          <w:p w14:paraId="6DF8408D"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90%</w:t>
            </w:r>
          </w:p>
        </w:tc>
        <w:tc>
          <w:tcPr>
            <w:tcW w:w="299" w:type="pct"/>
            <w:shd w:val="clear" w:color="000000" w:fill="FFFFFF"/>
            <w:vAlign w:val="center"/>
          </w:tcPr>
          <w:p w14:paraId="67D162D9"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100%</w:t>
            </w:r>
          </w:p>
        </w:tc>
        <w:tc>
          <w:tcPr>
            <w:tcW w:w="297" w:type="pct"/>
            <w:shd w:val="clear" w:color="000000" w:fill="FFFFFF"/>
            <w:vAlign w:val="center"/>
          </w:tcPr>
          <w:p w14:paraId="66CA01F6"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FD16E4" w:rsidRPr="00B0658A" w14:paraId="6F7FB6B8" w14:textId="77777777" w:rsidTr="00FE71B1">
        <w:trPr>
          <w:trHeight w:val="20"/>
        </w:trPr>
        <w:tc>
          <w:tcPr>
            <w:tcW w:w="283" w:type="pct"/>
            <w:shd w:val="clear" w:color="000000" w:fill="FFFFFF"/>
            <w:vAlign w:val="center"/>
          </w:tcPr>
          <w:p w14:paraId="756F125C" w14:textId="77777777" w:rsidR="00FD16E4" w:rsidRPr="00B0658A" w:rsidRDefault="00FD16E4" w:rsidP="00FE71B1">
            <w:pPr>
              <w:spacing w:after="0" w:line="240" w:lineRule="auto"/>
              <w:jc w:val="center"/>
              <w:rPr>
                <w:rFonts w:ascii="Times New Roman" w:hAnsi="Times New Roman"/>
                <w:sz w:val="18"/>
                <w:szCs w:val="18"/>
              </w:rPr>
            </w:pPr>
            <w:r w:rsidRPr="00B0658A">
              <w:rPr>
                <w:rFonts w:ascii="Times New Roman" w:hAnsi="Times New Roman"/>
                <w:sz w:val="18"/>
                <w:szCs w:val="18"/>
              </w:rPr>
              <w:t>9.13</w:t>
            </w:r>
          </w:p>
        </w:tc>
        <w:tc>
          <w:tcPr>
            <w:tcW w:w="1013" w:type="pct"/>
            <w:shd w:val="clear" w:color="auto" w:fill="auto"/>
            <w:vAlign w:val="center"/>
          </w:tcPr>
          <w:p w14:paraId="4120502E" w14:textId="77777777" w:rsidR="00FD16E4" w:rsidRPr="00B0658A" w:rsidRDefault="00FD16E4" w:rsidP="00FD16E4">
            <w:pPr>
              <w:spacing w:after="0" w:line="240" w:lineRule="auto"/>
              <w:rPr>
                <w:rFonts w:ascii="Times New Roman" w:hAnsi="Times New Roman"/>
                <w:sz w:val="18"/>
                <w:szCs w:val="18"/>
              </w:rPr>
            </w:pPr>
            <w:r w:rsidRPr="00B0658A">
              <w:rPr>
                <w:rFonts w:ascii="Times New Roman" w:hAnsi="Times New Roman"/>
                <w:sz w:val="18"/>
                <w:szCs w:val="18"/>
              </w:rPr>
              <w:t>Средства управления процессами организации/ Средства управления складом и цепочками поставок (WMS, SCM)</w:t>
            </w:r>
          </w:p>
        </w:tc>
        <w:tc>
          <w:tcPr>
            <w:tcW w:w="704" w:type="pct"/>
            <w:shd w:val="clear" w:color="000000" w:fill="FFFFFF"/>
          </w:tcPr>
          <w:p w14:paraId="0FB0B8D3" w14:textId="77777777" w:rsidR="00FD16E4" w:rsidRPr="00B0658A" w:rsidRDefault="00FD16E4" w:rsidP="00FD16E4">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03" w:type="pct"/>
            <w:shd w:val="clear" w:color="000000" w:fill="FFFFFF"/>
            <w:vAlign w:val="center"/>
          </w:tcPr>
          <w:p w14:paraId="09AF2E67"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35%</w:t>
            </w:r>
          </w:p>
        </w:tc>
        <w:tc>
          <w:tcPr>
            <w:tcW w:w="303" w:type="pct"/>
            <w:shd w:val="clear" w:color="000000" w:fill="FFFFFF"/>
            <w:vAlign w:val="center"/>
          </w:tcPr>
          <w:p w14:paraId="2093DE4A"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45%</w:t>
            </w:r>
          </w:p>
        </w:tc>
        <w:tc>
          <w:tcPr>
            <w:tcW w:w="303" w:type="pct"/>
            <w:shd w:val="clear" w:color="000000" w:fill="FFFFFF"/>
            <w:vAlign w:val="center"/>
          </w:tcPr>
          <w:p w14:paraId="63C3918D"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55%</w:t>
            </w:r>
          </w:p>
        </w:tc>
        <w:tc>
          <w:tcPr>
            <w:tcW w:w="313" w:type="pct"/>
            <w:shd w:val="clear" w:color="000000" w:fill="FFFFFF"/>
            <w:vAlign w:val="center"/>
          </w:tcPr>
          <w:p w14:paraId="60B3B1CD"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100%</w:t>
            </w:r>
          </w:p>
        </w:tc>
        <w:tc>
          <w:tcPr>
            <w:tcW w:w="303" w:type="pct"/>
            <w:shd w:val="clear" w:color="000000" w:fill="FFFFFF"/>
            <w:vAlign w:val="center"/>
          </w:tcPr>
          <w:p w14:paraId="68B8EEAB"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65%</w:t>
            </w:r>
          </w:p>
        </w:tc>
        <w:tc>
          <w:tcPr>
            <w:tcW w:w="303" w:type="pct"/>
            <w:shd w:val="clear" w:color="000000" w:fill="FFFFFF"/>
            <w:vAlign w:val="center"/>
          </w:tcPr>
          <w:p w14:paraId="19A9173A"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75%</w:t>
            </w:r>
          </w:p>
        </w:tc>
        <w:tc>
          <w:tcPr>
            <w:tcW w:w="303" w:type="pct"/>
            <w:shd w:val="clear" w:color="000000" w:fill="FFFFFF"/>
            <w:vAlign w:val="center"/>
          </w:tcPr>
          <w:p w14:paraId="06ECBE47"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85%</w:t>
            </w:r>
          </w:p>
        </w:tc>
        <w:tc>
          <w:tcPr>
            <w:tcW w:w="272" w:type="pct"/>
            <w:shd w:val="clear" w:color="000000" w:fill="FFFFFF"/>
            <w:vAlign w:val="center"/>
          </w:tcPr>
          <w:p w14:paraId="434C51BB"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90%</w:t>
            </w:r>
          </w:p>
        </w:tc>
        <w:tc>
          <w:tcPr>
            <w:tcW w:w="299" w:type="pct"/>
            <w:shd w:val="clear" w:color="000000" w:fill="FFFFFF"/>
            <w:vAlign w:val="center"/>
          </w:tcPr>
          <w:p w14:paraId="61E845A7"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100%</w:t>
            </w:r>
          </w:p>
        </w:tc>
        <w:tc>
          <w:tcPr>
            <w:tcW w:w="297" w:type="pct"/>
            <w:shd w:val="clear" w:color="000000" w:fill="FFFFFF"/>
            <w:vAlign w:val="center"/>
          </w:tcPr>
          <w:p w14:paraId="26C505E4"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FD16E4" w:rsidRPr="00B0658A" w14:paraId="5C1A0C21" w14:textId="77777777" w:rsidTr="00FE71B1">
        <w:trPr>
          <w:trHeight w:val="20"/>
        </w:trPr>
        <w:tc>
          <w:tcPr>
            <w:tcW w:w="283" w:type="pct"/>
            <w:shd w:val="clear" w:color="000000" w:fill="FFFFFF"/>
            <w:vAlign w:val="center"/>
          </w:tcPr>
          <w:p w14:paraId="1191A835" w14:textId="77777777" w:rsidR="00FD16E4" w:rsidRPr="00B0658A" w:rsidRDefault="00FD16E4" w:rsidP="00FE71B1">
            <w:pPr>
              <w:spacing w:after="0" w:line="240" w:lineRule="auto"/>
              <w:jc w:val="center"/>
              <w:rPr>
                <w:rFonts w:ascii="Times New Roman" w:hAnsi="Times New Roman"/>
                <w:sz w:val="18"/>
                <w:szCs w:val="18"/>
              </w:rPr>
            </w:pPr>
            <w:r w:rsidRPr="00B0658A">
              <w:rPr>
                <w:rFonts w:ascii="Times New Roman" w:hAnsi="Times New Roman"/>
                <w:sz w:val="18"/>
                <w:szCs w:val="18"/>
              </w:rPr>
              <w:t>9.14</w:t>
            </w:r>
          </w:p>
        </w:tc>
        <w:tc>
          <w:tcPr>
            <w:tcW w:w="1013" w:type="pct"/>
            <w:shd w:val="clear" w:color="auto" w:fill="auto"/>
            <w:vAlign w:val="center"/>
          </w:tcPr>
          <w:p w14:paraId="1BEEBA5E" w14:textId="77777777" w:rsidR="00FD16E4" w:rsidRPr="00B0658A" w:rsidRDefault="00FD16E4" w:rsidP="00FD16E4">
            <w:pPr>
              <w:spacing w:after="0" w:line="240" w:lineRule="auto"/>
              <w:rPr>
                <w:rFonts w:ascii="Times New Roman" w:hAnsi="Times New Roman"/>
                <w:sz w:val="18"/>
                <w:szCs w:val="18"/>
              </w:rPr>
            </w:pPr>
            <w:r w:rsidRPr="00B0658A">
              <w:rPr>
                <w:rFonts w:ascii="Times New Roman" w:hAnsi="Times New Roman"/>
                <w:sz w:val="18"/>
                <w:szCs w:val="18"/>
              </w:rPr>
              <w:t>Средства управления процессами организации/ Средства централизованного управления конечными устройствами</w:t>
            </w:r>
          </w:p>
        </w:tc>
        <w:tc>
          <w:tcPr>
            <w:tcW w:w="704" w:type="pct"/>
            <w:shd w:val="clear" w:color="000000" w:fill="FFFFFF"/>
          </w:tcPr>
          <w:p w14:paraId="30707C12" w14:textId="77777777" w:rsidR="00FD16E4" w:rsidRPr="00B0658A" w:rsidRDefault="00FD16E4" w:rsidP="00FD16E4">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03" w:type="pct"/>
            <w:shd w:val="clear" w:color="000000" w:fill="FFFFFF"/>
            <w:vAlign w:val="center"/>
          </w:tcPr>
          <w:p w14:paraId="665482CC"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25%</w:t>
            </w:r>
          </w:p>
        </w:tc>
        <w:tc>
          <w:tcPr>
            <w:tcW w:w="303" w:type="pct"/>
            <w:shd w:val="clear" w:color="000000" w:fill="FFFFFF"/>
            <w:vAlign w:val="center"/>
          </w:tcPr>
          <w:p w14:paraId="532AB828"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35%</w:t>
            </w:r>
          </w:p>
        </w:tc>
        <w:tc>
          <w:tcPr>
            <w:tcW w:w="303" w:type="pct"/>
            <w:shd w:val="clear" w:color="000000" w:fill="FFFFFF"/>
            <w:vAlign w:val="center"/>
          </w:tcPr>
          <w:p w14:paraId="28E7AD86"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45%</w:t>
            </w:r>
          </w:p>
        </w:tc>
        <w:tc>
          <w:tcPr>
            <w:tcW w:w="313" w:type="pct"/>
            <w:shd w:val="clear" w:color="000000" w:fill="FFFFFF"/>
            <w:vAlign w:val="center"/>
          </w:tcPr>
          <w:p w14:paraId="5AF8C319"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100%</w:t>
            </w:r>
          </w:p>
        </w:tc>
        <w:tc>
          <w:tcPr>
            <w:tcW w:w="303" w:type="pct"/>
            <w:shd w:val="clear" w:color="000000" w:fill="FFFFFF"/>
            <w:vAlign w:val="center"/>
          </w:tcPr>
          <w:p w14:paraId="1461729F"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55%</w:t>
            </w:r>
          </w:p>
        </w:tc>
        <w:tc>
          <w:tcPr>
            <w:tcW w:w="303" w:type="pct"/>
            <w:shd w:val="clear" w:color="000000" w:fill="FFFFFF"/>
            <w:vAlign w:val="center"/>
          </w:tcPr>
          <w:p w14:paraId="7976FDBF"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65%</w:t>
            </w:r>
          </w:p>
        </w:tc>
        <w:tc>
          <w:tcPr>
            <w:tcW w:w="303" w:type="pct"/>
            <w:shd w:val="clear" w:color="000000" w:fill="FFFFFF"/>
            <w:vAlign w:val="center"/>
          </w:tcPr>
          <w:p w14:paraId="64F18D3C"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75%</w:t>
            </w:r>
          </w:p>
        </w:tc>
        <w:tc>
          <w:tcPr>
            <w:tcW w:w="272" w:type="pct"/>
            <w:shd w:val="clear" w:color="000000" w:fill="FFFFFF"/>
            <w:vAlign w:val="center"/>
          </w:tcPr>
          <w:p w14:paraId="21C41296"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85%</w:t>
            </w:r>
          </w:p>
        </w:tc>
        <w:tc>
          <w:tcPr>
            <w:tcW w:w="299" w:type="pct"/>
            <w:shd w:val="clear" w:color="000000" w:fill="FFFFFF"/>
            <w:vAlign w:val="center"/>
          </w:tcPr>
          <w:p w14:paraId="7A09CB85"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95%</w:t>
            </w:r>
          </w:p>
        </w:tc>
        <w:tc>
          <w:tcPr>
            <w:tcW w:w="297" w:type="pct"/>
            <w:shd w:val="clear" w:color="000000" w:fill="FFFFFF"/>
            <w:vAlign w:val="center"/>
          </w:tcPr>
          <w:p w14:paraId="64D1B502"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FD16E4" w:rsidRPr="00B0658A" w14:paraId="25473D5B" w14:textId="77777777" w:rsidTr="00FE71B1">
        <w:trPr>
          <w:trHeight w:val="20"/>
        </w:trPr>
        <w:tc>
          <w:tcPr>
            <w:tcW w:w="283" w:type="pct"/>
            <w:shd w:val="clear" w:color="000000" w:fill="FFFFFF"/>
            <w:vAlign w:val="center"/>
          </w:tcPr>
          <w:p w14:paraId="6E50383C" w14:textId="77777777" w:rsidR="00FD16E4" w:rsidRPr="00B0658A" w:rsidRDefault="00FD16E4" w:rsidP="00FE71B1">
            <w:pPr>
              <w:spacing w:after="0" w:line="240" w:lineRule="auto"/>
              <w:jc w:val="center"/>
              <w:rPr>
                <w:rFonts w:ascii="Times New Roman" w:hAnsi="Times New Roman"/>
                <w:sz w:val="18"/>
                <w:szCs w:val="18"/>
              </w:rPr>
            </w:pPr>
            <w:r w:rsidRPr="00B0658A">
              <w:rPr>
                <w:rFonts w:ascii="Times New Roman" w:hAnsi="Times New Roman"/>
                <w:sz w:val="18"/>
                <w:szCs w:val="18"/>
              </w:rPr>
              <w:t>10.1</w:t>
            </w:r>
          </w:p>
        </w:tc>
        <w:tc>
          <w:tcPr>
            <w:tcW w:w="1013" w:type="pct"/>
            <w:shd w:val="clear" w:color="auto" w:fill="auto"/>
            <w:vAlign w:val="center"/>
          </w:tcPr>
          <w:p w14:paraId="168A455E" w14:textId="77777777" w:rsidR="00FD16E4" w:rsidRPr="00B0658A" w:rsidRDefault="00FD16E4" w:rsidP="00FD16E4">
            <w:pPr>
              <w:spacing w:after="0" w:line="240" w:lineRule="auto"/>
              <w:rPr>
                <w:rFonts w:ascii="Times New Roman" w:hAnsi="Times New Roman"/>
                <w:sz w:val="18"/>
                <w:szCs w:val="18"/>
              </w:rPr>
            </w:pPr>
            <w:r w:rsidRPr="00B0658A">
              <w:rPr>
                <w:rFonts w:ascii="Times New Roman" w:hAnsi="Times New Roman"/>
                <w:sz w:val="18"/>
                <w:szCs w:val="18"/>
              </w:rPr>
              <w:t>Средства обработки и визуализации массивов данных/ Средства обработки Больших Данных (BigData)</w:t>
            </w:r>
          </w:p>
        </w:tc>
        <w:tc>
          <w:tcPr>
            <w:tcW w:w="704" w:type="pct"/>
            <w:shd w:val="clear" w:color="000000" w:fill="FFFFFF"/>
          </w:tcPr>
          <w:p w14:paraId="5193EC75" w14:textId="77777777" w:rsidR="00FD16E4" w:rsidRPr="00B0658A" w:rsidRDefault="00FD16E4" w:rsidP="00FD16E4">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03" w:type="pct"/>
            <w:shd w:val="clear" w:color="000000" w:fill="FFFFFF"/>
            <w:vAlign w:val="center"/>
          </w:tcPr>
          <w:p w14:paraId="32E31F05"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35%</w:t>
            </w:r>
          </w:p>
        </w:tc>
        <w:tc>
          <w:tcPr>
            <w:tcW w:w="303" w:type="pct"/>
            <w:shd w:val="clear" w:color="000000" w:fill="FFFFFF"/>
            <w:vAlign w:val="center"/>
          </w:tcPr>
          <w:p w14:paraId="4E29C67A"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45%</w:t>
            </w:r>
          </w:p>
        </w:tc>
        <w:tc>
          <w:tcPr>
            <w:tcW w:w="303" w:type="pct"/>
            <w:shd w:val="clear" w:color="000000" w:fill="FFFFFF"/>
            <w:vAlign w:val="center"/>
          </w:tcPr>
          <w:p w14:paraId="33B010FC"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55%</w:t>
            </w:r>
          </w:p>
        </w:tc>
        <w:tc>
          <w:tcPr>
            <w:tcW w:w="313" w:type="pct"/>
            <w:shd w:val="clear" w:color="000000" w:fill="FFFFFF"/>
            <w:vAlign w:val="center"/>
          </w:tcPr>
          <w:p w14:paraId="04886526"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100%</w:t>
            </w:r>
          </w:p>
        </w:tc>
        <w:tc>
          <w:tcPr>
            <w:tcW w:w="303" w:type="pct"/>
            <w:shd w:val="clear" w:color="000000" w:fill="FFFFFF"/>
            <w:vAlign w:val="center"/>
          </w:tcPr>
          <w:p w14:paraId="7F9D0EDC"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65%</w:t>
            </w:r>
          </w:p>
        </w:tc>
        <w:tc>
          <w:tcPr>
            <w:tcW w:w="303" w:type="pct"/>
            <w:shd w:val="clear" w:color="000000" w:fill="FFFFFF"/>
            <w:vAlign w:val="center"/>
          </w:tcPr>
          <w:p w14:paraId="475006A2"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75%</w:t>
            </w:r>
          </w:p>
        </w:tc>
        <w:tc>
          <w:tcPr>
            <w:tcW w:w="303" w:type="pct"/>
            <w:shd w:val="clear" w:color="000000" w:fill="FFFFFF"/>
            <w:vAlign w:val="center"/>
          </w:tcPr>
          <w:p w14:paraId="641B404D"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85%</w:t>
            </w:r>
          </w:p>
        </w:tc>
        <w:tc>
          <w:tcPr>
            <w:tcW w:w="272" w:type="pct"/>
            <w:shd w:val="clear" w:color="000000" w:fill="FFFFFF"/>
            <w:vAlign w:val="center"/>
          </w:tcPr>
          <w:p w14:paraId="047EC6CF"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90%</w:t>
            </w:r>
          </w:p>
        </w:tc>
        <w:tc>
          <w:tcPr>
            <w:tcW w:w="299" w:type="pct"/>
            <w:shd w:val="clear" w:color="000000" w:fill="FFFFFF"/>
            <w:vAlign w:val="center"/>
          </w:tcPr>
          <w:p w14:paraId="0E9D97D8"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95%</w:t>
            </w:r>
          </w:p>
        </w:tc>
        <w:tc>
          <w:tcPr>
            <w:tcW w:w="297" w:type="pct"/>
            <w:shd w:val="clear" w:color="000000" w:fill="FFFFFF"/>
            <w:vAlign w:val="center"/>
          </w:tcPr>
          <w:p w14:paraId="4ED6E620"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FD16E4" w:rsidRPr="00B0658A" w14:paraId="4DF972E0" w14:textId="77777777" w:rsidTr="00FE71B1">
        <w:trPr>
          <w:trHeight w:val="20"/>
        </w:trPr>
        <w:tc>
          <w:tcPr>
            <w:tcW w:w="283" w:type="pct"/>
            <w:shd w:val="clear" w:color="000000" w:fill="FFFFFF"/>
            <w:vAlign w:val="center"/>
          </w:tcPr>
          <w:p w14:paraId="39099CD5" w14:textId="77777777" w:rsidR="00FD16E4" w:rsidRPr="00B0658A" w:rsidRDefault="00FD16E4" w:rsidP="00FE71B1">
            <w:pPr>
              <w:spacing w:after="0" w:line="240" w:lineRule="auto"/>
              <w:jc w:val="center"/>
              <w:rPr>
                <w:rFonts w:ascii="Times New Roman" w:hAnsi="Times New Roman"/>
                <w:sz w:val="18"/>
                <w:szCs w:val="18"/>
              </w:rPr>
            </w:pPr>
            <w:r w:rsidRPr="00B0658A">
              <w:rPr>
                <w:rFonts w:ascii="Times New Roman" w:hAnsi="Times New Roman"/>
                <w:sz w:val="18"/>
                <w:szCs w:val="18"/>
              </w:rPr>
              <w:t>10.2</w:t>
            </w:r>
          </w:p>
        </w:tc>
        <w:tc>
          <w:tcPr>
            <w:tcW w:w="1013" w:type="pct"/>
            <w:shd w:val="clear" w:color="auto" w:fill="auto"/>
            <w:vAlign w:val="center"/>
          </w:tcPr>
          <w:p w14:paraId="40D269E0" w14:textId="77777777" w:rsidR="00FD16E4" w:rsidRPr="00B0658A" w:rsidRDefault="00FD16E4" w:rsidP="00FD16E4">
            <w:pPr>
              <w:spacing w:after="0" w:line="240" w:lineRule="auto"/>
              <w:rPr>
                <w:rFonts w:ascii="Times New Roman" w:hAnsi="Times New Roman"/>
                <w:sz w:val="18"/>
                <w:szCs w:val="18"/>
              </w:rPr>
            </w:pPr>
            <w:r w:rsidRPr="00B0658A">
              <w:rPr>
                <w:rFonts w:ascii="Times New Roman" w:hAnsi="Times New Roman"/>
                <w:sz w:val="18"/>
                <w:szCs w:val="18"/>
              </w:rPr>
              <w:t>Средства обработки и визуализации массивов данных/ Средства обработки и анализа геологических и геофизических данных</w:t>
            </w:r>
          </w:p>
        </w:tc>
        <w:tc>
          <w:tcPr>
            <w:tcW w:w="704" w:type="pct"/>
            <w:shd w:val="clear" w:color="000000" w:fill="FFFFFF"/>
          </w:tcPr>
          <w:p w14:paraId="63348FB0" w14:textId="77777777" w:rsidR="00FD16E4" w:rsidRPr="00B0658A" w:rsidRDefault="00FD16E4" w:rsidP="00FD16E4">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03" w:type="pct"/>
            <w:shd w:val="clear" w:color="000000" w:fill="FFFFFF"/>
            <w:vAlign w:val="center"/>
          </w:tcPr>
          <w:p w14:paraId="7279408E"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25%</w:t>
            </w:r>
          </w:p>
        </w:tc>
        <w:tc>
          <w:tcPr>
            <w:tcW w:w="303" w:type="pct"/>
            <w:shd w:val="clear" w:color="000000" w:fill="FFFFFF"/>
            <w:vAlign w:val="center"/>
          </w:tcPr>
          <w:p w14:paraId="30AE7DD3"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35%</w:t>
            </w:r>
          </w:p>
        </w:tc>
        <w:tc>
          <w:tcPr>
            <w:tcW w:w="303" w:type="pct"/>
            <w:shd w:val="clear" w:color="000000" w:fill="FFFFFF"/>
            <w:vAlign w:val="center"/>
          </w:tcPr>
          <w:p w14:paraId="311DD368"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45%</w:t>
            </w:r>
          </w:p>
        </w:tc>
        <w:tc>
          <w:tcPr>
            <w:tcW w:w="313" w:type="pct"/>
            <w:shd w:val="clear" w:color="000000" w:fill="FFFFFF"/>
            <w:vAlign w:val="center"/>
          </w:tcPr>
          <w:p w14:paraId="604408C2"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100%</w:t>
            </w:r>
          </w:p>
        </w:tc>
        <w:tc>
          <w:tcPr>
            <w:tcW w:w="303" w:type="pct"/>
            <w:shd w:val="clear" w:color="000000" w:fill="FFFFFF"/>
            <w:vAlign w:val="center"/>
          </w:tcPr>
          <w:p w14:paraId="2D10DB5C"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55%</w:t>
            </w:r>
          </w:p>
        </w:tc>
        <w:tc>
          <w:tcPr>
            <w:tcW w:w="303" w:type="pct"/>
            <w:shd w:val="clear" w:color="000000" w:fill="FFFFFF"/>
            <w:vAlign w:val="center"/>
          </w:tcPr>
          <w:p w14:paraId="7ABC2CF0"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65%</w:t>
            </w:r>
          </w:p>
        </w:tc>
        <w:tc>
          <w:tcPr>
            <w:tcW w:w="303" w:type="pct"/>
            <w:shd w:val="clear" w:color="000000" w:fill="FFFFFF"/>
            <w:vAlign w:val="center"/>
          </w:tcPr>
          <w:p w14:paraId="2014EF32"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75%</w:t>
            </w:r>
          </w:p>
        </w:tc>
        <w:tc>
          <w:tcPr>
            <w:tcW w:w="272" w:type="pct"/>
            <w:shd w:val="clear" w:color="000000" w:fill="FFFFFF"/>
            <w:vAlign w:val="center"/>
          </w:tcPr>
          <w:p w14:paraId="5E291C51"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85%</w:t>
            </w:r>
          </w:p>
        </w:tc>
        <w:tc>
          <w:tcPr>
            <w:tcW w:w="299" w:type="pct"/>
            <w:shd w:val="clear" w:color="000000" w:fill="FFFFFF"/>
            <w:vAlign w:val="center"/>
          </w:tcPr>
          <w:p w14:paraId="6A303061"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95%</w:t>
            </w:r>
          </w:p>
        </w:tc>
        <w:tc>
          <w:tcPr>
            <w:tcW w:w="297" w:type="pct"/>
            <w:shd w:val="clear" w:color="000000" w:fill="FFFFFF"/>
            <w:vAlign w:val="center"/>
          </w:tcPr>
          <w:p w14:paraId="55BCFB17"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FD16E4" w:rsidRPr="00B0658A" w14:paraId="7DF1775D" w14:textId="77777777" w:rsidTr="00FE71B1">
        <w:trPr>
          <w:trHeight w:val="20"/>
        </w:trPr>
        <w:tc>
          <w:tcPr>
            <w:tcW w:w="283" w:type="pct"/>
            <w:shd w:val="clear" w:color="000000" w:fill="FFFFFF"/>
            <w:vAlign w:val="center"/>
          </w:tcPr>
          <w:p w14:paraId="75B8ED30" w14:textId="77777777" w:rsidR="00FD16E4" w:rsidRPr="00B0658A" w:rsidRDefault="00FD16E4" w:rsidP="00FE71B1">
            <w:pPr>
              <w:spacing w:after="0" w:line="240" w:lineRule="auto"/>
              <w:jc w:val="center"/>
              <w:rPr>
                <w:rFonts w:ascii="Times New Roman" w:hAnsi="Times New Roman"/>
                <w:sz w:val="18"/>
                <w:szCs w:val="18"/>
              </w:rPr>
            </w:pPr>
            <w:r w:rsidRPr="00B0658A">
              <w:rPr>
                <w:rFonts w:ascii="Times New Roman" w:hAnsi="Times New Roman"/>
                <w:sz w:val="18"/>
                <w:szCs w:val="18"/>
              </w:rPr>
              <w:t>10.3</w:t>
            </w:r>
          </w:p>
        </w:tc>
        <w:tc>
          <w:tcPr>
            <w:tcW w:w="1013" w:type="pct"/>
            <w:shd w:val="clear" w:color="auto" w:fill="auto"/>
            <w:vAlign w:val="center"/>
          </w:tcPr>
          <w:p w14:paraId="52704744" w14:textId="77777777" w:rsidR="00FD16E4" w:rsidRPr="00B0658A" w:rsidRDefault="00FD16E4" w:rsidP="00FD16E4">
            <w:pPr>
              <w:spacing w:after="0" w:line="240" w:lineRule="auto"/>
              <w:rPr>
                <w:rFonts w:ascii="Times New Roman" w:hAnsi="Times New Roman"/>
                <w:sz w:val="18"/>
                <w:szCs w:val="18"/>
              </w:rPr>
            </w:pPr>
            <w:r w:rsidRPr="00B0658A">
              <w:rPr>
                <w:rFonts w:ascii="Times New Roman" w:hAnsi="Times New Roman"/>
                <w:sz w:val="18"/>
                <w:szCs w:val="18"/>
              </w:rPr>
              <w:t>Средства обработки и визуализации массивов данных/ Средства математического и имитационного моделирования</w:t>
            </w:r>
          </w:p>
        </w:tc>
        <w:tc>
          <w:tcPr>
            <w:tcW w:w="704" w:type="pct"/>
            <w:shd w:val="clear" w:color="000000" w:fill="FFFFFF"/>
          </w:tcPr>
          <w:p w14:paraId="386AED38" w14:textId="77777777" w:rsidR="00FD16E4" w:rsidRPr="00B0658A" w:rsidRDefault="00FD16E4" w:rsidP="00FD16E4">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03" w:type="pct"/>
            <w:shd w:val="clear" w:color="000000" w:fill="FFFFFF"/>
            <w:vAlign w:val="center"/>
          </w:tcPr>
          <w:p w14:paraId="791B5E4C"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20%</w:t>
            </w:r>
          </w:p>
        </w:tc>
        <w:tc>
          <w:tcPr>
            <w:tcW w:w="303" w:type="pct"/>
            <w:shd w:val="clear" w:color="000000" w:fill="FFFFFF"/>
            <w:vAlign w:val="center"/>
          </w:tcPr>
          <w:p w14:paraId="29FD8B76"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30%</w:t>
            </w:r>
          </w:p>
        </w:tc>
        <w:tc>
          <w:tcPr>
            <w:tcW w:w="303" w:type="pct"/>
            <w:shd w:val="clear" w:color="000000" w:fill="FFFFFF"/>
            <w:vAlign w:val="center"/>
          </w:tcPr>
          <w:p w14:paraId="7EDBFF76"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40%</w:t>
            </w:r>
          </w:p>
        </w:tc>
        <w:tc>
          <w:tcPr>
            <w:tcW w:w="313" w:type="pct"/>
            <w:shd w:val="clear" w:color="000000" w:fill="FFFFFF"/>
            <w:vAlign w:val="center"/>
          </w:tcPr>
          <w:p w14:paraId="58E44AA7"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100%</w:t>
            </w:r>
          </w:p>
        </w:tc>
        <w:tc>
          <w:tcPr>
            <w:tcW w:w="303" w:type="pct"/>
            <w:shd w:val="clear" w:color="000000" w:fill="FFFFFF"/>
            <w:vAlign w:val="center"/>
          </w:tcPr>
          <w:p w14:paraId="4910BB04"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50%</w:t>
            </w:r>
          </w:p>
        </w:tc>
        <w:tc>
          <w:tcPr>
            <w:tcW w:w="303" w:type="pct"/>
            <w:shd w:val="clear" w:color="000000" w:fill="FFFFFF"/>
            <w:vAlign w:val="center"/>
          </w:tcPr>
          <w:p w14:paraId="21E353D5"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60%</w:t>
            </w:r>
          </w:p>
        </w:tc>
        <w:tc>
          <w:tcPr>
            <w:tcW w:w="303" w:type="pct"/>
            <w:shd w:val="clear" w:color="000000" w:fill="FFFFFF"/>
            <w:vAlign w:val="center"/>
          </w:tcPr>
          <w:p w14:paraId="2913E1E1"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70%</w:t>
            </w:r>
          </w:p>
        </w:tc>
        <w:tc>
          <w:tcPr>
            <w:tcW w:w="272" w:type="pct"/>
            <w:shd w:val="clear" w:color="000000" w:fill="FFFFFF"/>
            <w:vAlign w:val="center"/>
          </w:tcPr>
          <w:p w14:paraId="7ACD43DC"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80%</w:t>
            </w:r>
          </w:p>
        </w:tc>
        <w:tc>
          <w:tcPr>
            <w:tcW w:w="299" w:type="pct"/>
            <w:shd w:val="clear" w:color="000000" w:fill="FFFFFF"/>
            <w:vAlign w:val="center"/>
          </w:tcPr>
          <w:p w14:paraId="2FB147EF"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90%</w:t>
            </w:r>
          </w:p>
        </w:tc>
        <w:tc>
          <w:tcPr>
            <w:tcW w:w="297" w:type="pct"/>
            <w:shd w:val="clear" w:color="000000" w:fill="FFFFFF"/>
            <w:vAlign w:val="center"/>
          </w:tcPr>
          <w:p w14:paraId="3F215CCA"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FD16E4" w:rsidRPr="00B0658A" w14:paraId="2D6AD6FF" w14:textId="77777777" w:rsidTr="00FE71B1">
        <w:trPr>
          <w:trHeight w:val="20"/>
        </w:trPr>
        <w:tc>
          <w:tcPr>
            <w:tcW w:w="283" w:type="pct"/>
            <w:shd w:val="clear" w:color="000000" w:fill="FFFFFF"/>
            <w:vAlign w:val="center"/>
          </w:tcPr>
          <w:p w14:paraId="337D1DA7" w14:textId="77777777" w:rsidR="00FD16E4" w:rsidRPr="00B0658A" w:rsidRDefault="00FD16E4" w:rsidP="00FE71B1">
            <w:pPr>
              <w:spacing w:after="0" w:line="240" w:lineRule="auto"/>
              <w:jc w:val="center"/>
              <w:rPr>
                <w:rFonts w:ascii="Times New Roman" w:hAnsi="Times New Roman"/>
                <w:sz w:val="18"/>
                <w:szCs w:val="18"/>
              </w:rPr>
            </w:pPr>
            <w:r w:rsidRPr="00B0658A">
              <w:rPr>
                <w:rFonts w:ascii="Times New Roman" w:hAnsi="Times New Roman"/>
                <w:sz w:val="18"/>
                <w:szCs w:val="18"/>
              </w:rPr>
              <w:t>10.4</w:t>
            </w:r>
          </w:p>
        </w:tc>
        <w:tc>
          <w:tcPr>
            <w:tcW w:w="1013" w:type="pct"/>
            <w:shd w:val="clear" w:color="auto" w:fill="auto"/>
            <w:vAlign w:val="center"/>
          </w:tcPr>
          <w:p w14:paraId="61E754AD" w14:textId="77777777" w:rsidR="00FD16E4" w:rsidRPr="00B0658A" w:rsidRDefault="00FD16E4" w:rsidP="00FD16E4">
            <w:pPr>
              <w:spacing w:after="0" w:line="240" w:lineRule="auto"/>
              <w:rPr>
                <w:rFonts w:ascii="Times New Roman" w:hAnsi="Times New Roman"/>
                <w:sz w:val="18"/>
                <w:szCs w:val="18"/>
              </w:rPr>
            </w:pPr>
            <w:r w:rsidRPr="00B0658A">
              <w:rPr>
                <w:rFonts w:ascii="Times New Roman" w:hAnsi="Times New Roman"/>
                <w:sz w:val="18"/>
                <w:szCs w:val="18"/>
              </w:rPr>
              <w:t>Средства обработки и визуализации массивов данных/ Средства управления информационными ресурсами и средства управления основными данными (ECM, MDM)</w:t>
            </w:r>
          </w:p>
        </w:tc>
        <w:tc>
          <w:tcPr>
            <w:tcW w:w="704" w:type="pct"/>
            <w:shd w:val="clear" w:color="000000" w:fill="FFFFFF"/>
          </w:tcPr>
          <w:p w14:paraId="02A855DB" w14:textId="77777777" w:rsidR="00FD16E4" w:rsidRPr="00B0658A" w:rsidRDefault="00FD16E4" w:rsidP="00FD16E4">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03" w:type="pct"/>
            <w:shd w:val="clear" w:color="000000" w:fill="FFFFFF"/>
            <w:vAlign w:val="center"/>
          </w:tcPr>
          <w:p w14:paraId="0EF26058"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35%</w:t>
            </w:r>
          </w:p>
        </w:tc>
        <w:tc>
          <w:tcPr>
            <w:tcW w:w="303" w:type="pct"/>
            <w:shd w:val="clear" w:color="000000" w:fill="FFFFFF"/>
            <w:vAlign w:val="center"/>
          </w:tcPr>
          <w:p w14:paraId="0366C2C7"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45%</w:t>
            </w:r>
          </w:p>
        </w:tc>
        <w:tc>
          <w:tcPr>
            <w:tcW w:w="303" w:type="pct"/>
            <w:shd w:val="clear" w:color="000000" w:fill="FFFFFF"/>
            <w:vAlign w:val="center"/>
          </w:tcPr>
          <w:p w14:paraId="184AF641"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55%</w:t>
            </w:r>
          </w:p>
        </w:tc>
        <w:tc>
          <w:tcPr>
            <w:tcW w:w="313" w:type="pct"/>
            <w:shd w:val="clear" w:color="000000" w:fill="FFFFFF"/>
            <w:vAlign w:val="center"/>
          </w:tcPr>
          <w:p w14:paraId="0ED5EAAA"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100%</w:t>
            </w:r>
          </w:p>
        </w:tc>
        <w:tc>
          <w:tcPr>
            <w:tcW w:w="303" w:type="pct"/>
            <w:shd w:val="clear" w:color="000000" w:fill="FFFFFF"/>
            <w:vAlign w:val="center"/>
          </w:tcPr>
          <w:p w14:paraId="3F984770"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65%</w:t>
            </w:r>
          </w:p>
        </w:tc>
        <w:tc>
          <w:tcPr>
            <w:tcW w:w="303" w:type="pct"/>
            <w:shd w:val="clear" w:color="000000" w:fill="FFFFFF"/>
            <w:vAlign w:val="center"/>
          </w:tcPr>
          <w:p w14:paraId="4FF958B2"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75%</w:t>
            </w:r>
          </w:p>
        </w:tc>
        <w:tc>
          <w:tcPr>
            <w:tcW w:w="303" w:type="pct"/>
            <w:shd w:val="clear" w:color="000000" w:fill="FFFFFF"/>
            <w:vAlign w:val="center"/>
          </w:tcPr>
          <w:p w14:paraId="2BCC89AB"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85%</w:t>
            </w:r>
          </w:p>
        </w:tc>
        <w:tc>
          <w:tcPr>
            <w:tcW w:w="272" w:type="pct"/>
            <w:shd w:val="clear" w:color="000000" w:fill="FFFFFF"/>
            <w:vAlign w:val="center"/>
          </w:tcPr>
          <w:p w14:paraId="60CA3944"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90%</w:t>
            </w:r>
          </w:p>
        </w:tc>
        <w:tc>
          <w:tcPr>
            <w:tcW w:w="299" w:type="pct"/>
            <w:shd w:val="clear" w:color="000000" w:fill="FFFFFF"/>
            <w:vAlign w:val="center"/>
          </w:tcPr>
          <w:p w14:paraId="4903BEDE"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95%</w:t>
            </w:r>
          </w:p>
        </w:tc>
        <w:tc>
          <w:tcPr>
            <w:tcW w:w="297" w:type="pct"/>
            <w:shd w:val="clear" w:color="000000" w:fill="FFFFFF"/>
            <w:vAlign w:val="center"/>
          </w:tcPr>
          <w:p w14:paraId="2FBE2A55"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FD16E4" w:rsidRPr="00B0658A" w14:paraId="79444581" w14:textId="77777777" w:rsidTr="00FE71B1">
        <w:trPr>
          <w:trHeight w:val="20"/>
        </w:trPr>
        <w:tc>
          <w:tcPr>
            <w:tcW w:w="283" w:type="pct"/>
            <w:shd w:val="clear" w:color="000000" w:fill="FFFFFF"/>
            <w:vAlign w:val="center"/>
          </w:tcPr>
          <w:p w14:paraId="76C6BF7D" w14:textId="77777777" w:rsidR="00FD16E4" w:rsidRPr="00B0658A" w:rsidRDefault="00FD16E4" w:rsidP="00FE71B1">
            <w:pPr>
              <w:spacing w:after="0" w:line="240" w:lineRule="auto"/>
              <w:jc w:val="center"/>
              <w:rPr>
                <w:rFonts w:ascii="Times New Roman" w:hAnsi="Times New Roman"/>
                <w:sz w:val="18"/>
                <w:szCs w:val="18"/>
              </w:rPr>
            </w:pPr>
            <w:r w:rsidRPr="00B0658A">
              <w:rPr>
                <w:rFonts w:ascii="Times New Roman" w:hAnsi="Times New Roman"/>
                <w:sz w:val="18"/>
                <w:szCs w:val="18"/>
              </w:rPr>
              <w:lastRenderedPageBreak/>
              <w:t>11.1</w:t>
            </w:r>
          </w:p>
        </w:tc>
        <w:tc>
          <w:tcPr>
            <w:tcW w:w="1013" w:type="pct"/>
            <w:shd w:val="clear" w:color="auto" w:fill="auto"/>
            <w:vAlign w:val="center"/>
          </w:tcPr>
          <w:p w14:paraId="41AD09DC" w14:textId="77777777" w:rsidR="00FD16E4" w:rsidRPr="00B0658A" w:rsidRDefault="00FD16E4" w:rsidP="00FD16E4">
            <w:pPr>
              <w:spacing w:after="0" w:line="240" w:lineRule="auto"/>
              <w:rPr>
                <w:rFonts w:ascii="Times New Roman" w:hAnsi="Times New Roman"/>
                <w:sz w:val="18"/>
                <w:szCs w:val="18"/>
              </w:rPr>
            </w:pPr>
            <w:r w:rsidRPr="00B0658A">
              <w:rPr>
                <w:rFonts w:ascii="Times New Roman" w:hAnsi="Times New Roman"/>
                <w:sz w:val="18"/>
                <w:szCs w:val="18"/>
              </w:rPr>
              <w:t>Средства анализа данных/ Инструменты извлечения и трансформации данных (ETL)</w:t>
            </w:r>
          </w:p>
        </w:tc>
        <w:tc>
          <w:tcPr>
            <w:tcW w:w="704" w:type="pct"/>
            <w:shd w:val="clear" w:color="000000" w:fill="FFFFFF"/>
          </w:tcPr>
          <w:p w14:paraId="266002AF" w14:textId="77777777" w:rsidR="00FD16E4" w:rsidRPr="00B0658A" w:rsidRDefault="00FD16E4" w:rsidP="00FD16E4">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03" w:type="pct"/>
            <w:shd w:val="clear" w:color="000000" w:fill="FFFFFF"/>
            <w:vAlign w:val="center"/>
          </w:tcPr>
          <w:p w14:paraId="4C53AB2C"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25%</w:t>
            </w:r>
          </w:p>
        </w:tc>
        <w:tc>
          <w:tcPr>
            <w:tcW w:w="303" w:type="pct"/>
            <w:shd w:val="clear" w:color="000000" w:fill="FFFFFF"/>
            <w:vAlign w:val="center"/>
          </w:tcPr>
          <w:p w14:paraId="40DA8848"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35%</w:t>
            </w:r>
          </w:p>
        </w:tc>
        <w:tc>
          <w:tcPr>
            <w:tcW w:w="303" w:type="pct"/>
            <w:shd w:val="clear" w:color="000000" w:fill="FFFFFF"/>
            <w:vAlign w:val="center"/>
          </w:tcPr>
          <w:p w14:paraId="1AAB0F12"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45%</w:t>
            </w:r>
          </w:p>
        </w:tc>
        <w:tc>
          <w:tcPr>
            <w:tcW w:w="313" w:type="pct"/>
            <w:shd w:val="clear" w:color="000000" w:fill="FFFFFF"/>
            <w:vAlign w:val="center"/>
          </w:tcPr>
          <w:p w14:paraId="2F6DE202"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100%</w:t>
            </w:r>
          </w:p>
        </w:tc>
        <w:tc>
          <w:tcPr>
            <w:tcW w:w="303" w:type="pct"/>
            <w:shd w:val="clear" w:color="000000" w:fill="FFFFFF"/>
            <w:vAlign w:val="center"/>
          </w:tcPr>
          <w:p w14:paraId="2584309C"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55%</w:t>
            </w:r>
          </w:p>
        </w:tc>
        <w:tc>
          <w:tcPr>
            <w:tcW w:w="303" w:type="pct"/>
            <w:shd w:val="clear" w:color="000000" w:fill="FFFFFF"/>
            <w:vAlign w:val="center"/>
          </w:tcPr>
          <w:p w14:paraId="5B4987E5"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65%</w:t>
            </w:r>
          </w:p>
        </w:tc>
        <w:tc>
          <w:tcPr>
            <w:tcW w:w="303" w:type="pct"/>
            <w:shd w:val="clear" w:color="000000" w:fill="FFFFFF"/>
            <w:vAlign w:val="center"/>
          </w:tcPr>
          <w:p w14:paraId="2EEF3103"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75%</w:t>
            </w:r>
          </w:p>
        </w:tc>
        <w:tc>
          <w:tcPr>
            <w:tcW w:w="272" w:type="pct"/>
            <w:shd w:val="clear" w:color="000000" w:fill="FFFFFF"/>
            <w:vAlign w:val="center"/>
          </w:tcPr>
          <w:p w14:paraId="29380B3F"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85%</w:t>
            </w:r>
          </w:p>
        </w:tc>
        <w:tc>
          <w:tcPr>
            <w:tcW w:w="299" w:type="pct"/>
            <w:shd w:val="clear" w:color="000000" w:fill="FFFFFF"/>
            <w:vAlign w:val="center"/>
          </w:tcPr>
          <w:p w14:paraId="66142A7B"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95%</w:t>
            </w:r>
          </w:p>
        </w:tc>
        <w:tc>
          <w:tcPr>
            <w:tcW w:w="297" w:type="pct"/>
            <w:shd w:val="clear" w:color="000000" w:fill="FFFFFF"/>
            <w:vAlign w:val="center"/>
          </w:tcPr>
          <w:p w14:paraId="2EAE8C2C"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FD16E4" w:rsidRPr="00B0658A" w14:paraId="3BBEF54E" w14:textId="77777777" w:rsidTr="00FE71B1">
        <w:trPr>
          <w:trHeight w:val="20"/>
        </w:trPr>
        <w:tc>
          <w:tcPr>
            <w:tcW w:w="283" w:type="pct"/>
            <w:shd w:val="clear" w:color="000000" w:fill="FFFFFF"/>
            <w:vAlign w:val="center"/>
          </w:tcPr>
          <w:p w14:paraId="4B2B57AE" w14:textId="77777777" w:rsidR="00FD16E4" w:rsidRPr="00B0658A" w:rsidRDefault="00FD16E4" w:rsidP="00FE71B1">
            <w:pPr>
              <w:spacing w:after="0" w:line="240" w:lineRule="auto"/>
              <w:jc w:val="center"/>
              <w:rPr>
                <w:rFonts w:ascii="Times New Roman" w:hAnsi="Times New Roman"/>
                <w:sz w:val="18"/>
                <w:szCs w:val="18"/>
              </w:rPr>
            </w:pPr>
            <w:r w:rsidRPr="00B0658A">
              <w:rPr>
                <w:rFonts w:ascii="Times New Roman" w:hAnsi="Times New Roman"/>
                <w:sz w:val="18"/>
                <w:szCs w:val="18"/>
              </w:rPr>
              <w:t>11.2</w:t>
            </w:r>
          </w:p>
        </w:tc>
        <w:tc>
          <w:tcPr>
            <w:tcW w:w="1013" w:type="pct"/>
            <w:shd w:val="clear" w:color="auto" w:fill="auto"/>
            <w:vAlign w:val="center"/>
          </w:tcPr>
          <w:p w14:paraId="58CF84C0" w14:textId="77777777" w:rsidR="00FD16E4" w:rsidRPr="00B0658A" w:rsidRDefault="00FD16E4" w:rsidP="00FD16E4">
            <w:pPr>
              <w:spacing w:after="0" w:line="240" w:lineRule="auto"/>
              <w:rPr>
                <w:rFonts w:ascii="Times New Roman" w:hAnsi="Times New Roman"/>
                <w:sz w:val="18"/>
                <w:szCs w:val="18"/>
              </w:rPr>
            </w:pPr>
            <w:r w:rsidRPr="00B0658A">
              <w:rPr>
                <w:rFonts w:ascii="Times New Roman" w:hAnsi="Times New Roman"/>
                <w:sz w:val="18"/>
                <w:szCs w:val="18"/>
              </w:rPr>
              <w:t>Средства анализа данных/ Предметно-ориентированные информационные базы данных (EDW)</w:t>
            </w:r>
          </w:p>
        </w:tc>
        <w:tc>
          <w:tcPr>
            <w:tcW w:w="704" w:type="pct"/>
            <w:shd w:val="clear" w:color="000000" w:fill="FFFFFF"/>
          </w:tcPr>
          <w:p w14:paraId="2C24B216" w14:textId="77777777" w:rsidR="00FD16E4" w:rsidRPr="00B0658A" w:rsidRDefault="00FD16E4" w:rsidP="00FD16E4">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03" w:type="pct"/>
            <w:shd w:val="clear" w:color="000000" w:fill="FFFFFF"/>
            <w:vAlign w:val="center"/>
          </w:tcPr>
          <w:p w14:paraId="16D0C4E5"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20%</w:t>
            </w:r>
          </w:p>
        </w:tc>
        <w:tc>
          <w:tcPr>
            <w:tcW w:w="303" w:type="pct"/>
            <w:shd w:val="clear" w:color="000000" w:fill="FFFFFF"/>
            <w:vAlign w:val="center"/>
          </w:tcPr>
          <w:p w14:paraId="621E42EE"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30%</w:t>
            </w:r>
          </w:p>
        </w:tc>
        <w:tc>
          <w:tcPr>
            <w:tcW w:w="303" w:type="pct"/>
            <w:shd w:val="clear" w:color="000000" w:fill="FFFFFF"/>
            <w:vAlign w:val="center"/>
          </w:tcPr>
          <w:p w14:paraId="3DFA9813"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40%</w:t>
            </w:r>
          </w:p>
        </w:tc>
        <w:tc>
          <w:tcPr>
            <w:tcW w:w="313" w:type="pct"/>
            <w:shd w:val="clear" w:color="000000" w:fill="FFFFFF"/>
            <w:vAlign w:val="center"/>
          </w:tcPr>
          <w:p w14:paraId="51A8F528"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100%</w:t>
            </w:r>
          </w:p>
        </w:tc>
        <w:tc>
          <w:tcPr>
            <w:tcW w:w="303" w:type="pct"/>
            <w:shd w:val="clear" w:color="000000" w:fill="FFFFFF"/>
            <w:vAlign w:val="center"/>
          </w:tcPr>
          <w:p w14:paraId="59D1DAB8"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50%</w:t>
            </w:r>
          </w:p>
        </w:tc>
        <w:tc>
          <w:tcPr>
            <w:tcW w:w="303" w:type="pct"/>
            <w:shd w:val="clear" w:color="000000" w:fill="FFFFFF"/>
            <w:vAlign w:val="center"/>
          </w:tcPr>
          <w:p w14:paraId="62C0A0DB"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60%</w:t>
            </w:r>
          </w:p>
        </w:tc>
        <w:tc>
          <w:tcPr>
            <w:tcW w:w="303" w:type="pct"/>
            <w:shd w:val="clear" w:color="000000" w:fill="FFFFFF"/>
            <w:vAlign w:val="center"/>
          </w:tcPr>
          <w:p w14:paraId="12E7CD80"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70%</w:t>
            </w:r>
          </w:p>
        </w:tc>
        <w:tc>
          <w:tcPr>
            <w:tcW w:w="272" w:type="pct"/>
            <w:shd w:val="clear" w:color="000000" w:fill="FFFFFF"/>
            <w:vAlign w:val="center"/>
          </w:tcPr>
          <w:p w14:paraId="61C3561B"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80%</w:t>
            </w:r>
          </w:p>
        </w:tc>
        <w:tc>
          <w:tcPr>
            <w:tcW w:w="299" w:type="pct"/>
            <w:shd w:val="clear" w:color="000000" w:fill="FFFFFF"/>
            <w:vAlign w:val="center"/>
          </w:tcPr>
          <w:p w14:paraId="1DCB22E7"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90%</w:t>
            </w:r>
          </w:p>
        </w:tc>
        <w:tc>
          <w:tcPr>
            <w:tcW w:w="297" w:type="pct"/>
            <w:shd w:val="clear" w:color="000000" w:fill="FFFFFF"/>
            <w:vAlign w:val="center"/>
          </w:tcPr>
          <w:p w14:paraId="1506AA46"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FD16E4" w:rsidRPr="00B0658A" w14:paraId="60D850E9" w14:textId="77777777" w:rsidTr="00FE71B1">
        <w:trPr>
          <w:trHeight w:val="20"/>
        </w:trPr>
        <w:tc>
          <w:tcPr>
            <w:tcW w:w="283" w:type="pct"/>
            <w:shd w:val="clear" w:color="000000" w:fill="FFFFFF"/>
            <w:vAlign w:val="center"/>
          </w:tcPr>
          <w:p w14:paraId="27D57BD1" w14:textId="77777777" w:rsidR="00FD16E4" w:rsidRPr="00B0658A" w:rsidRDefault="00FD16E4" w:rsidP="00FE71B1">
            <w:pPr>
              <w:spacing w:after="0" w:line="240" w:lineRule="auto"/>
              <w:jc w:val="center"/>
              <w:rPr>
                <w:rFonts w:ascii="Times New Roman" w:hAnsi="Times New Roman"/>
                <w:sz w:val="18"/>
                <w:szCs w:val="18"/>
              </w:rPr>
            </w:pPr>
            <w:r w:rsidRPr="00B0658A">
              <w:rPr>
                <w:rFonts w:ascii="Times New Roman" w:hAnsi="Times New Roman"/>
                <w:sz w:val="18"/>
                <w:szCs w:val="18"/>
              </w:rPr>
              <w:t>11.3</w:t>
            </w:r>
          </w:p>
        </w:tc>
        <w:tc>
          <w:tcPr>
            <w:tcW w:w="1013" w:type="pct"/>
            <w:shd w:val="clear" w:color="auto" w:fill="auto"/>
            <w:vAlign w:val="center"/>
          </w:tcPr>
          <w:p w14:paraId="43FBC988" w14:textId="77777777" w:rsidR="00FD16E4" w:rsidRPr="00B0658A" w:rsidRDefault="00FD16E4" w:rsidP="00FD16E4">
            <w:pPr>
              <w:suppressAutoHyphens/>
              <w:spacing w:after="0" w:line="240" w:lineRule="auto"/>
              <w:rPr>
                <w:rFonts w:ascii="Times New Roman" w:hAnsi="Times New Roman"/>
                <w:sz w:val="18"/>
                <w:szCs w:val="18"/>
              </w:rPr>
            </w:pPr>
            <w:r w:rsidRPr="00B0658A">
              <w:rPr>
                <w:rFonts w:ascii="Times New Roman" w:hAnsi="Times New Roman"/>
                <w:sz w:val="18"/>
                <w:szCs w:val="18"/>
              </w:rPr>
              <w:t>Средства анализа данных/</w:t>
            </w:r>
          </w:p>
          <w:p w14:paraId="2D6F409F" w14:textId="77777777" w:rsidR="00FD16E4" w:rsidRPr="00B0658A" w:rsidRDefault="00FD16E4" w:rsidP="00FD16E4">
            <w:pPr>
              <w:suppressAutoHyphens/>
              <w:spacing w:after="0" w:line="240" w:lineRule="auto"/>
              <w:rPr>
                <w:rFonts w:ascii="Times New Roman" w:hAnsi="Times New Roman"/>
                <w:sz w:val="18"/>
                <w:szCs w:val="18"/>
              </w:rPr>
            </w:pPr>
            <w:r w:rsidRPr="00B0658A">
              <w:rPr>
                <w:rFonts w:ascii="Times New Roman" w:hAnsi="Times New Roman"/>
                <w:sz w:val="18"/>
                <w:szCs w:val="18"/>
              </w:rPr>
              <w:t>Средства аналитической обработки в реальном времени (OLAP)</w:t>
            </w:r>
          </w:p>
        </w:tc>
        <w:tc>
          <w:tcPr>
            <w:tcW w:w="704" w:type="pct"/>
            <w:shd w:val="clear" w:color="000000" w:fill="FFFFFF"/>
          </w:tcPr>
          <w:p w14:paraId="200EE1EA" w14:textId="77777777" w:rsidR="00FD16E4" w:rsidRPr="00B0658A" w:rsidRDefault="00FD16E4" w:rsidP="00FD16E4">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03" w:type="pct"/>
            <w:shd w:val="clear" w:color="000000" w:fill="FFFFFF"/>
            <w:vAlign w:val="center"/>
          </w:tcPr>
          <w:p w14:paraId="75FD92CA"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35%</w:t>
            </w:r>
          </w:p>
        </w:tc>
        <w:tc>
          <w:tcPr>
            <w:tcW w:w="303" w:type="pct"/>
            <w:shd w:val="clear" w:color="000000" w:fill="FFFFFF"/>
            <w:vAlign w:val="center"/>
          </w:tcPr>
          <w:p w14:paraId="1BF545D9"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45%</w:t>
            </w:r>
          </w:p>
        </w:tc>
        <w:tc>
          <w:tcPr>
            <w:tcW w:w="303" w:type="pct"/>
            <w:shd w:val="clear" w:color="000000" w:fill="FFFFFF"/>
            <w:vAlign w:val="center"/>
          </w:tcPr>
          <w:p w14:paraId="2B85500E"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55%</w:t>
            </w:r>
          </w:p>
        </w:tc>
        <w:tc>
          <w:tcPr>
            <w:tcW w:w="313" w:type="pct"/>
            <w:shd w:val="clear" w:color="000000" w:fill="FFFFFF"/>
            <w:vAlign w:val="center"/>
          </w:tcPr>
          <w:p w14:paraId="345CE1BC"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100%</w:t>
            </w:r>
          </w:p>
        </w:tc>
        <w:tc>
          <w:tcPr>
            <w:tcW w:w="303" w:type="pct"/>
            <w:shd w:val="clear" w:color="000000" w:fill="FFFFFF"/>
            <w:vAlign w:val="center"/>
          </w:tcPr>
          <w:p w14:paraId="6A4CA90F"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65%</w:t>
            </w:r>
          </w:p>
        </w:tc>
        <w:tc>
          <w:tcPr>
            <w:tcW w:w="303" w:type="pct"/>
            <w:shd w:val="clear" w:color="000000" w:fill="FFFFFF"/>
            <w:vAlign w:val="center"/>
          </w:tcPr>
          <w:p w14:paraId="19FE9465"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75%</w:t>
            </w:r>
          </w:p>
        </w:tc>
        <w:tc>
          <w:tcPr>
            <w:tcW w:w="303" w:type="pct"/>
            <w:shd w:val="clear" w:color="000000" w:fill="FFFFFF"/>
            <w:vAlign w:val="center"/>
          </w:tcPr>
          <w:p w14:paraId="568FA867"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85%</w:t>
            </w:r>
          </w:p>
        </w:tc>
        <w:tc>
          <w:tcPr>
            <w:tcW w:w="272" w:type="pct"/>
            <w:shd w:val="clear" w:color="000000" w:fill="FFFFFF"/>
            <w:vAlign w:val="center"/>
          </w:tcPr>
          <w:p w14:paraId="603C5CB8"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90%</w:t>
            </w:r>
          </w:p>
        </w:tc>
        <w:tc>
          <w:tcPr>
            <w:tcW w:w="299" w:type="pct"/>
            <w:shd w:val="clear" w:color="000000" w:fill="FFFFFF"/>
            <w:vAlign w:val="center"/>
          </w:tcPr>
          <w:p w14:paraId="06BDEEDE"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95%</w:t>
            </w:r>
          </w:p>
        </w:tc>
        <w:tc>
          <w:tcPr>
            <w:tcW w:w="297" w:type="pct"/>
            <w:shd w:val="clear" w:color="000000" w:fill="FFFFFF"/>
            <w:vAlign w:val="center"/>
          </w:tcPr>
          <w:p w14:paraId="3F815CF7"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FD16E4" w:rsidRPr="00B0658A" w14:paraId="114029A7" w14:textId="77777777" w:rsidTr="00FE71B1">
        <w:trPr>
          <w:trHeight w:val="20"/>
        </w:trPr>
        <w:tc>
          <w:tcPr>
            <w:tcW w:w="283" w:type="pct"/>
            <w:shd w:val="clear" w:color="000000" w:fill="FFFFFF"/>
            <w:vAlign w:val="center"/>
          </w:tcPr>
          <w:p w14:paraId="65A4EB09" w14:textId="77777777" w:rsidR="00FD16E4" w:rsidRPr="00B0658A" w:rsidRDefault="00FD16E4" w:rsidP="00FE71B1">
            <w:pPr>
              <w:spacing w:after="0" w:line="240" w:lineRule="auto"/>
              <w:jc w:val="center"/>
              <w:rPr>
                <w:rFonts w:ascii="Times New Roman" w:hAnsi="Times New Roman"/>
                <w:sz w:val="18"/>
                <w:szCs w:val="18"/>
              </w:rPr>
            </w:pPr>
            <w:r w:rsidRPr="00B0658A">
              <w:rPr>
                <w:rFonts w:ascii="Times New Roman" w:hAnsi="Times New Roman"/>
                <w:sz w:val="18"/>
                <w:szCs w:val="18"/>
              </w:rPr>
              <w:t>11.4</w:t>
            </w:r>
          </w:p>
        </w:tc>
        <w:tc>
          <w:tcPr>
            <w:tcW w:w="1013" w:type="pct"/>
            <w:shd w:val="clear" w:color="auto" w:fill="auto"/>
            <w:vAlign w:val="center"/>
          </w:tcPr>
          <w:p w14:paraId="02D9A3CC" w14:textId="77777777" w:rsidR="00FD16E4" w:rsidRPr="00B0658A" w:rsidRDefault="00FD16E4" w:rsidP="00FD16E4">
            <w:pPr>
              <w:suppressAutoHyphens/>
              <w:spacing w:after="0" w:line="240" w:lineRule="auto"/>
              <w:rPr>
                <w:rFonts w:ascii="Times New Roman" w:hAnsi="Times New Roman"/>
                <w:sz w:val="18"/>
                <w:szCs w:val="18"/>
              </w:rPr>
            </w:pPr>
            <w:r w:rsidRPr="00B0658A">
              <w:rPr>
                <w:rFonts w:ascii="Times New Roman" w:hAnsi="Times New Roman"/>
                <w:sz w:val="18"/>
                <w:szCs w:val="18"/>
              </w:rPr>
              <w:t xml:space="preserve">Средства анализа данных/ </w:t>
            </w:r>
          </w:p>
          <w:p w14:paraId="726D6F52" w14:textId="77777777" w:rsidR="00FD16E4" w:rsidRPr="00B0658A" w:rsidRDefault="00FD16E4" w:rsidP="00FD16E4">
            <w:pPr>
              <w:suppressAutoHyphens/>
              <w:spacing w:after="0" w:line="240" w:lineRule="auto"/>
              <w:rPr>
                <w:rFonts w:ascii="Times New Roman" w:hAnsi="Times New Roman"/>
                <w:sz w:val="18"/>
                <w:szCs w:val="18"/>
              </w:rPr>
            </w:pPr>
            <w:r w:rsidRPr="00B0658A">
              <w:rPr>
                <w:rFonts w:ascii="Times New Roman" w:hAnsi="Times New Roman"/>
                <w:sz w:val="18"/>
                <w:szCs w:val="18"/>
              </w:rPr>
              <w:t>Средства интеллектуального анализа данных (Data Mining)</w:t>
            </w:r>
          </w:p>
        </w:tc>
        <w:tc>
          <w:tcPr>
            <w:tcW w:w="704" w:type="pct"/>
            <w:shd w:val="clear" w:color="000000" w:fill="FFFFFF"/>
          </w:tcPr>
          <w:p w14:paraId="6B548F0E" w14:textId="77777777" w:rsidR="00FD16E4" w:rsidRPr="00B0658A" w:rsidRDefault="00FD16E4" w:rsidP="00FD16E4">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03" w:type="pct"/>
            <w:shd w:val="clear" w:color="000000" w:fill="FFFFFF"/>
            <w:vAlign w:val="center"/>
          </w:tcPr>
          <w:p w14:paraId="2600FD01"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35%</w:t>
            </w:r>
          </w:p>
        </w:tc>
        <w:tc>
          <w:tcPr>
            <w:tcW w:w="303" w:type="pct"/>
            <w:shd w:val="clear" w:color="000000" w:fill="FFFFFF"/>
            <w:vAlign w:val="center"/>
          </w:tcPr>
          <w:p w14:paraId="0EF6DF04"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45%</w:t>
            </w:r>
          </w:p>
        </w:tc>
        <w:tc>
          <w:tcPr>
            <w:tcW w:w="303" w:type="pct"/>
            <w:shd w:val="clear" w:color="000000" w:fill="FFFFFF"/>
            <w:vAlign w:val="center"/>
          </w:tcPr>
          <w:p w14:paraId="2FD65327"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55%</w:t>
            </w:r>
          </w:p>
        </w:tc>
        <w:tc>
          <w:tcPr>
            <w:tcW w:w="313" w:type="pct"/>
            <w:shd w:val="clear" w:color="000000" w:fill="FFFFFF"/>
            <w:vAlign w:val="center"/>
          </w:tcPr>
          <w:p w14:paraId="4C40C992"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100%</w:t>
            </w:r>
          </w:p>
        </w:tc>
        <w:tc>
          <w:tcPr>
            <w:tcW w:w="303" w:type="pct"/>
            <w:shd w:val="clear" w:color="000000" w:fill="FFFFFF"/>
            <w:vAlign w:val="center"/>
          </w:tcPr>
          <w:p w14:paraId="6C81CE0A"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65%</w:t>
            </w:r>
          </w:p>
        </w:tc>
        <w:tc>
          <w:tcPr>
            <w:tcW w:w="303" w:type="pct"/>
            <w:shd w:val="clear" w:color="000000" w:fill="FFFFFF"/>
            <w:vAlign w:val="center"/>
          </w:tcPr>
          <w:p w14:paraId="4ACA33F8"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75%</w:t>
            </w:r>
          </w:p>
        </w:tc>
        <w:tc>
          <w:tcPr>
            <w:tcW w:w="303" w:type="pct"/>
            <w:shd w:val="clear" w:color="000000" w:fill="FFFFFF"/>
            <w:vAlign w:val="center"/>
          </w:tcPr>
          <w:p w14:paraId="4A387EF2"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85%</w:t>
            </w:r>
          </w:p>
        </w:tc>
        <w:tc>
          <w:tcPr>
            <w:tcW w:w="272" w:type="pct"/>
            <w:shd w:val="clear" w:color="000000" w:fill="FFFFFF"/>
            <w:vAlign w:val="center"/>
          </w:tcPr>
          <w:p w14:paraId="746AD92F"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90%</w:t>
            </w:r>
          </w:p>
        </w:tc>
        <w:tc>
          <w:tcPr>
            <w:tcW w:w="299" w:type="pct"/>
            <w:shd w:val="clear" w:color="000000" w:fill="FFFFFF"/>
            <w:vAlign w:val="center"/>
          </w:tcPr>
          <w:p w14:paraId="421AE705"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95%</w:t>
            </w:r>
          </w:p>
        </w:tc>
        <w:tc>
          <w:tcPr>
            <w:tcW w:w="297" w:type="pct"/>
            <w:shd w:val="clear" w:color="000000" w:fill="FFFFFF"/>
            <w:vAlign w:val="center"/>
          </w:tcPr>
          <w:p w14:paraId="1D1D89E7"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FD16E4" w:rsidRPr="00B0658A" w14:paraId="4ED5BDEE" w14:textId="77777777" w:rsidTr="00FE71B1">
        <w:trPr>
          <w:trHeight w:val="20"/>
        </w:trPr>
        <w:tc>
          <w:tcPr>
            <w:tcW w:w="283" w:type="pct"/>
            <w:shd w:val="clear" w:color="000000" w:fill="FFFFFF"/>
            <w:vAlign w:val="center"/>
          </w:tcPr>
          <w:p w14:paraId="658AB120" w14:textId="77777777" w:rsidR="00FD16E4" w:rsidRPr="00B0658A" w:rsidRDefault="00FD16E4" w:rsidP="00FE71B1">
            <w:pPr>
              <w:spacing w:after="0" w:line="240" w:lineRule="auto"/>
              <w:jc w:val="center"/>
              <w:rPr>
                <w:rFonts w:ascii="Times New Roman" w:hAnsi="Times New Roman"/>
                <w:sz w:val="18"/>
                <w:szCs w:val="18"/>
              </w:rPr>
            </w:pPr>
            <w:r w:rsidRPr="00B0658A">
              <w:rPr>
                <w:rFonts w:ascii="Times New Roman" w:hAnsi="Times New Roman"/>
                <w:sz w:val="18"/>
                <w:szCs w:val="18"/>
              </w:rPr>
              <w:t>11.5</w:t>
            </w:r>
          </w:p>
        </w:tc>
        <w:tc>
          <w:tcPr>
            <w:tcW w:w="1013" w:type="pct"/>
            <w:shd w:val="clear" w:color="auto" w:fill="auto"/>
            <w:vAlign w:val="center"/>
          </w:tcPr>
          <w:p w14:paraId="14BA0114" w14:textId="77777777" w:rsidR="00FD16E4" w:rsidRPr="00B0658A" w:rsidRDefault="00FD16E4" w:rsidP="00FD16E4">
            <w:pPr>
              <w:suppressAutoHyphens/>
              <w:spacing w:after="0" w:line="240" w:lineRule="auto"/>
              <w:rPr>
                <w:rFonts w:ascii="Times New Roman" w:hAnsi="Times New Roman"/>
                <w:sz w:val="18"/>
                <w:szCs w:val="18"/>
              </w:rPr>
            </w:pPr>
            <w:r w:rsidRPr="00B0658A">
              <w:rPr>
                <w:rFonts w:ascii="Times New Roman" w:hAnsi="Times New Roman"/>
                <w:sz w:val="18"/>
                <w:szCs w:val="18"/>
              </w:rPr>
              <w:t xml:space="preserve">Средства анализа данных/ </w:t>
            </w:r>
          </w:p>
          <w:p w14:paraId="3EC817AF" w14:textId="77777777" w:rsidR="00FD16E4" w:rsidRPr="00B0658A" w:rsidRDefault="00FD16E4" w:rsidP="00FD16E4">
            <w:pPr>
              <w:suppressAutoHyphens/>
              <w:spacing w:after="0" w:line="240" w:lineRule="auto"/>
              <w:rPr>
                <w:rFonts w:ascii="Times New Roman" w:hAnsi="Times New Roman"/>
                <w:sz w:val="18"/>
                <w:szCs w:val="18"/>
              </w:rPr>
            </w:pPr>
            <w:r w:rsidRPr="00B0658A">
              <w:rPr>
                <w:rFonts w:ascii="Times New Roman" w:hAnsi="Times New Roman"/>
                <w:sz w:val="18"/>
                <w:szCs w:val="18"/>
              </w:rPr>
              <w:t>Средства поддержки принятия решений (DSS)</w:t>
            </w:r>
          </w:p>
        </w:tc>
        <w:tc>
          <w:tcPr>
            <w:tcW w:w="704" w:type="pct"/>
            <w:shd w:val="clear" w:color="000000" w:fill="FFFFFF"/>
          </w:tcPr>
          <w:p w14:paraId="1D416FFD" w14:textId="77777777" w:rsidR="00FD16E4" w:rsidRPr="00B0658A" w:rsidRDefault="00FD16E4" w:rsidP="00FD16E4">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03" w:type="pct"/>
            <w:shd w:val="clear" w:color="000000" w:fill="FFFFFF"/>
            <w:vAlign w:val="center"/>
          </w:tcPr>
          <w:p w14:paraId="72720776"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35%</w:t>
            </w:r>
          </w:p>
        </w:tc>
        <w:tc>
          <w:tcPr>
            <w:tcW w:w="303" w:type="pct"/>
            <w:shd w:val="clear" w:color="000000" w:fill="FFFFFF"/>
            <w:vAlign w:val="center"/>
          </w:tcPr>
          <w:p w14:paraId="1B952FCF"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45%</w:t>
            </w:r>
          </w:p>
        </w:tc>
        <w:tc>
          <w:tcPr>
            <w:tcW w:w="303" w:type="pct"/>
            <w:shd w:val="clear" w:color="000000" w:fill="FFFFFF"/>
            <w:vAlign w:val="center"/>
          </w:tcPr>
          <w:p w14:paraId="4557C814"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55%</w:t>
            </w:r>
          </w:p>
        </w:tc>
        <w:tc>
          <w:tcPr>
            <w:tcW w:w="313" w:type="pct"/>
            <w:shd w:val="clear" w:color="000000" w:fill="FFFFFF"/>
            <w:vAlign w:val="center"/>
          </w:tcPr>
          <w:p w14:paraId="53A383BA"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100%</w:t>
            </w:r>
          </w:p>
        </w:tc>
        <w:tc>
          <w:tcPr>
            <w:tcW w:w="303" w:type="pct"/>
            <w:shd w:val="clear" w:color="000000" w:fill="FFFFFF"/>
            <w:vAlign w:val="center"/>
          </w:tcPr>
          <w:p w14:paraId="430155F4"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65%</w:t>
            </w:r>
          </w:p>
        </w:tc>
        <w:tc>
          <w:tcPr>
            <w:tcW w:w="303" w:type="pct"/>
            <w:shd w:val="clear" w:color="000000" w:fill="FFFFFF"/>
            <w:vAlign w:val="center"/>
          </w:tcPr>
          <w:p w14:paraId="254B5440"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75%</w:t>
            </w:r>
          </w:p>
        </w:tc>
        <w:tc>
          <w:tcPr>
            <w:tcW w:w="303" w:type="pct"/>
            <w:shd w:val="clear" w:color="000000" w:fill="FFFFFF"/>
            <w:vAlign w:val="center"/>
          </w:tcPr>
          <w:p w14:paraId="55EBD039"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85%</w:t>
            </w:r>
          </w:p>
        </w:tc>
        <w:tc>
          <w:tcPr>
            <w:tcW w:w="272" w:type="pct"/>
            <w:shd w:val="clear" w:color="000000" w:fill="FFFFFF"/>
            <w:vAlign w:val="center"/>
          </w:tcPr>
          <w:p w14:paraId="52A004A8"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90%</w:t>
            </w:r>
          </w:p>
        </w:tc>
        <w:tc>
          <w:tcPr>
            <w:tcW w:w="299" w:type="pct"/>
            <w:shd w:val="clear" w:color="000000" w:fill="FFFFFF"/>
            <w:vAlign w:val="center"/>
          </w:tcPr>
          <w:p w14:paraId="5FDF74B9"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95%</w:t>
            </w:r>
          </w:p>
        </w:tc>
        <w:tc>
          <w:tcPr>
            <w:tcW w:w="297" w:type="pct"/>
            <w:shd w:val="clear" w:color="000000" w:fill="FFFFFF"/>
            <w:vAlign w:val="center"/>
          </w:tcPr>
          <w:p w14:paraId="1A8DD94A"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FD16E4" w:rsidRPr="00B0658A" w14:paraId="63CBA2AC" w14:textId="77777777" w:rsidTr="00FE71B1">
        <w:trPr>
          <w:trHeight w:val="535"/>
        </w:trPr>
        <w:tc>
          <w:tcPr>
            <w:tcW w:w="283" w:type="pct"/>
            <w:shd w:val="clear" w:color="000000" w:fill="FFFFFF"/>
            <w:vAlign w:val="center"/>
          </w:tcPr>
          <w:p w14:paraId="78E42953" w14:textId="77777777" w:rsidR="00FD16E4" w:rsidRPr="00B0658A" w:rsidRDefault="00FD16E4" w:rsidP="00FE71B1">
            <w:pPr>
              <w:spacing w:after="0" w:line="240" w:lineRule="auto"/>
              <w:jc w:val="center"/>
              <w:rPr>
                <w:rFonts w:ascii="Times New Roman" w:hAnsi="Times New Roman"/>
                <w:sz w:val="18"/>
                <w:szCs w:val="18"/>
              </w:rPr>
            </w:pPr>
            <w:r w:rsidRPr="00B0658A">
              <w:rPr>
                <w:rFonts w:ascii="Times New Roman" w:hAnsi="Times New Roman"/>
                <w:sz w:val="18"/>
                <w:szCs w:val="18"/>
              </w:rPr>
              <w:t>11.6</w:t>
            </w:r>
          </w:p>
        </w:tc>
        <w:tc>
          <w:tcPr>
            <w:tcW w:w="1013" w:type="pct"/>
            <w:shd w:val="clear" w:color="auto" w:fill="auto"/>
            <w:vAlign w:val="center"/>
          </w:tcPr>
          <w:p w14:paraId="64125B7F" w14:textId="77777777" w:rsidR="00FD16E4" w:rsidRPr="00B0658A" w:rsidRDefault="00FD16E4" w:rsidP="00FD16E4">
            <w:pPr>
              <w:spacing w:after="0" w:line="240" w:lineRule="auto"/>
              <w:rPr>
                <w:rFonts w:ascii="Times New Roman" w:hAnsi="Times New Roman"/>
                <w:sz w:val="18"/>
                <w:szCs w:val="18"/>
              </w:rPr>
            </w:pPr>
            <w:r w:rsidRPr="00B0658A">
              <w:rPr>
                <w:rFonts w:ascii="Times New Roman" w:hAnsi="Times New Roman"/>
                <w:sz w:val="18"/>
                <w:szCs w:val="18"/>
              </w:rPr>
              <w:t xml:space="preserve">Средства анализа данных/ Инструменты обработки, анализа </w:t>
            </w:r>
            <w:r w:rsidRPr="00B0658A">
              <w:rPr>
                <w:rFonts w:ascii="Times New Roman" w:hAnsi="Times New Roman"/>
                <w:sz w:val="18"/>
                <w:szCs w:val="18"/>
              </w:rPr>
              <w:br/>
              <w:t>и распознавания изображений</w:t>
            </w:r>
          </w:p>
        </w:tc>
        <w:tc>
          <w:tcPr>
            <w:tcW w:w="704" w:type="pct"/>
            <w:shd w:val="clear" w:color="000000" w:fill="FFFFFF"/>
          </w:tcPr>
          <w:p w14:paraId="2F4D0B34" w14:textId="77777777" w:rsidR="00FD16E4" w:rsidRPr="00B0658A" w:rsidRDefault="00FD16E4" w:rsidP="00FD16E4">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03" w:type="pct"/>
            <w:shd w:val="clear" w:color="000000" w:fill="FFFFFF"/>
            <w:vAlign w:val="center"/>
          </w:tcPr>
          <w:p w14:paraId="39B38B3B"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35%</w:t>
            </w:r>
          </w:p>
        </w:tc>
        <w:tc>
          <w:tcPr>
            <w:tcW w:w="303" w:type="pct"/>
            <w:shd w:val="clear" w:color="000000" w:fill="FFFFFF"/>
            <w:vAlign w:val="center"/>
          </w:tcPr>
          <w:p w14:paraId="37F118E5"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45%</w:t>
            </w:r>
          </w:p>
        </w:tc>
        <w:tc>
          <w:tcPr>
            <w:tcW w:w="303" w:type="pct"/>
            <w:shd w:val="clear" w:color="000000" w:fill="FFFFFF"/>
            <w:vAlign w:val="center"/>
          </w:tcPr>
          <w:p w14:paraId="3754E774"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55%</w:t>
            </w:r>
          </w:p>
        </w:tc>
        <w:tc>
          <w:tcPr>
            <w:tcW w:w="313" w:type="pct"/>
            <w:shd w:val="clear" w:color="000000" w:fill="FFFFFF"/>
            <w:vAlign w:val="center"/>
          </w:tcPr>
          <w:p w14:paraId="4F4013F2"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100%</w:t>
            </w:r>
          </w:p>
        </w:tc>
        <w:tc>
          <w:tcPr>
            <w:tcW w:w="303" w:type="pct"/>
            <w:shd w:val="clear" w:color="000000" w:fill="FFFFFF"/>
            <w:vAlign w:val="center"/>
          </w:tcPr>
          <w:p w14:paraId="684A1DB4"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65%</w:t>
            </w:r>
          </w:p>
        </w:tc>
        <w:tc>
          <w:tcPr>
            <w:tcW w:w="303" w:type="pct"/>
            <w:shd w:val="clear" w:color="000000" w:fill="FFFFFF"/>
            <w:vAlign w:val="center"/>
          </w:tcPr>
          <w:p w14:paraId="7E6266B7"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75%</w:t>
            </w:r>
          </w:p>
        </w:tc>
        <w:tc>
          <w:tcPr>
            <w:tcW w:w="303" w:type="pct"/>
            <w:shd w:val="clear" w:color="000000" w:fill="FFFFFF"/>
            <w:vAlign w:val="center"/>
          </w:tcPr>
          <w:p w14:paraId="200B8301"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85%</w:t>
            </w:r>
          </w:p>
        </w:tc>
        <w:tc>
          <w:tcPr>
            <w:tcW w:w="272" w:type="pct"/>
            <w:shd w:val="clear" w:color="000000" w:fill="FFFFFF"/>
            <w:vAlign w:val="center"/>
          </w:tcPr>
          <w:p w14:paraId="74AD6F0A"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90%</w:t>
            </w:r>
          </w:p>
        </w:tc>
        <w:tc>
          <w:tcPr>
            <w:tcW w:w="299" w:type="pct"/>
            <w:shd w:val="clear" w:color="000000" w:fill="FFFFFF"/>
            <w:vAlign w:val="center"/>
          </w:tcPr>
          <w:p w14:paraId="3C89BCE2"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95%</w:t>
            </w:r>
          </w:p>
        </w:tc>
        <w:tc>
          <w:tcPr>
            <w:tcW w:w="297" w:type="pct"/>
            <w:shd w:val="clear" w:color="000000" w:fill="FFFFFF"/>
            <w:vAlign w:val="center"/>
          </w:tcPr>
          <w:p w14:paraId="0B1FF376" w14:textId="77777777" w:rsidR="00FD16E4" w:rsidRPr="00B0658A" w:rsidRDefault="00FD16E4" w:rsidP="00FD16E4">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bl>
    <w:p w14:paraId="46EFAAB3" w14:textId="1CF39CE3" w:rsidR="006E6C8F" w:rsidRDefault="005D6577" w:rsidP="00E766E3">
      <w:pPr>
        <w:spacing w:before="120" w:after="0" w:line="240" w:lineRule="auto"/>
        <w:ind w:firstLine="142"/>
        <w:jc w:val="both"/>
        <w:rPr>
          <w:rFonts w:ascii="Times New Roman" w:hAnsi="Times New Roman"/>
          <w:sz w:val="20"/>
          <w:szCs w:val="24"/>
        </w:rPr>
      </w:pPr>
      <w:r w:rsidRPr="00216F73">
        <w:rPr>
          <w:rFonts w:ascii="Times New Roman" w:hAnsi="Times New Roman"/>
          <w:sz w:val="20"/>
          <w:szCs w:val="24"/>
        </w:rPr>
        <w:t>*</w:t>
      </w:r>
      <w:r w:rsidR="00216F73" w:rsidRPr="00216F73">
        <w:rPr>
          <w:sz w:val="16"/>
        </w:rPr>
        <w:t xml:space="preserve"> </w:t>
      </w:r>
      <w:r w:rsidR="00DB312B">
        <w:rPr>
          <w:rFonts w:ascii="Times New Roman" w:hAnsi="Times New Roman"/>
          <w:sz w:val="20"/>
          <w:szCs w:val="24"/>
        </w:rPr>
        <w:t xml:space="preserve">показатели эффективности устанавливаются в соответствии с п. 43 и п. 44 настоящих </w:t>
      </w:r>
      <w:r w:rsidR="00137ECB">
        <w:rPr>
          <w:rFonts w:ascii="Times New Roman" w:hAnsi="Times New Roman"/>
          <w:sz w:val="20"/>
          <w:szCs w:val="24"/>
        </w:rPr>
        <w:t>методических рекомендаций.</w:t>
      </w:r>
    </w:p>
    <w:p w14:paraId="6FD901EE" w14:textId="732BEDBC" w:rsidR="00137ECB" w:rsidRDefault="00137ECB" w:rsidP="00E766E3">
      <w:pPr>
        <w:spacing w:before="120" w:after="0" w:line="240" w:lineRule="auto"/>
        <w:ind w:firstLine="142"/>
        <w:jc w:val="both"/>
        <w:rPr>
          <w:rFonts w:ascii="Times New Roman" w:hAnsi="Times New Roman"/>
          <w:sz w:val="20"/>
          <w:szCs w:val="24"/>
        </w:rPr>
      </w:pPr>
    </w:p>
    <w:p w14:paraId="774C4340" w14:textId="43BCD520" w:rsidR="00137ECB" w:rsidRDefault="00137ECB" w:rsidP="00E766E3">
      <w:pPr>
        <w:spacing w:before="120" w:after="0" w:line="240" w:lineRule="auto"/>
        <w:ind w:firstLine="142"/>
        <w:jc w:val="both"/>
        <w:rPr>
          <w:rFonts w:ascii="Times New Roman" w:hAnsi="Times New Roman"/>
          <w:sz w:val="20"/>
          <w:szCs w:val="24"/>
        </w:rPr>
      </w:pPr>
    </w:p>
    <w:p w14:paraId="3E49159A" w14:textId="77777777" w:rsidR="00137ECB" w:rsidRDefault="00137ECB" w:rsidP="00E766E3">
      <w:pPr>
        <w:spacing w:before="120" w:after="0" w:line="240" w:lineRule="auto"/>
        <w:ind w:firstLine="142"/>
        <w:jc w:val="both"/>
        <w:rPr>
          <w:rFonts w:ascii="Times New Roman" w:hAnsi="Times New Roman"/>
          <w:sz w:val="20"/>
          <w:szCs w:val="24"/>
        </w:rPr>
      </w:pPr>
    </w:p>
    <w:p w14:paraId="05769500" w14:textId="77777777" w:rsidR="00E766E3" w:rsidRPr="00B0658A" w:rsidRDefault="00E766E3" w:rsidP="00E766E3">
      <w:pPr>
        <w:spacing w:before="120" w:after="0" w:line="240" w:lineRule="auto"/>
        <w:ind w:firstLine="142"/>
        <w:jc w:val="both"/>
        <w:rPr>
          <w:rFonts w:ascii="Times New Roman" w:hAnsi="Times New Roman"/>
        </w:rPr>
      </w:pPr>
    </w:p>
    <w:p w14:paraId="73746845" w14:textId="7C31ABF6" w:rsidR="008319FB" w:rsidRPr="00B0658A" w:rsidRDefault="008319FB" w:rsidP="008319FB">
      <w:pPr>
        <w:pStyle w:val="11"/>
        <w:spacing w:before="120" w:after="0" w:line="240" w:lineRule="auto"/>
        <w:jc w:val="right"/>
        <w:rPr>
          <w:rFonts w:cs="Times New Roman"/>
          <w:szCs w:val="28"/>
        </w:rPr>
      </w:pPr>
      <w:bookmarkStart w:id="19" w:name="_Toc116390896"/>
      <w:bookmarkStart w:id="20" w:name="_Toc116632270"/>
      <w:r w:rsidRPr="00B0658A">
        <w:rPr>
          <w:rFonts w:cs="Times New Roman"/>
          <w:szCs w:val="28"/>
        </w:rPr>
        <w:lastRenderedPageBreak/>
        <w:t>Приложение № 3</w:t>
      </w:r>
      <w:r w:rsidRPr="00B0658A">
        <w:rPr>
          <w:rFonts w:cs="Times New Roman"/>
          <w:szCs w:val="28"/>
        </w:rPr>
        <w:br/>
      </w:r>
      <w:r w:rsidRPr="00B0658A">
        <w:rPr>
          <w:rFonts w:cs="Times New Roman"/>
          <w:szCs w:val="24"/>
        </w:rPr>
        <w:t>Рекомендованные показатели эффективности в отношении закупок ПО и связанных с ним работ и услуг, проводимых органами государственной власти и государственными внебюджетными фондами</w:t>
      </w:r>
      <w:bookmarkEnd w:id="19"/>
      <w:bookmarkEnd w:id="20"/>
    </w:p>
    <w:p w14:paraId="53D117B3" w14:textId="77777777" w:rsidR="008319FB" w:rsidRPr="00B0658A" w:rsidRDefault="008319FB" w:rsidP="008319FB">
      <w:pPr>
        <w:rPr>
          <w:rFonts w:ascii="Times New Roman" w:hAnsi="Times New Roman"/>
        </w:rPr>
      </w:pPr>
    </w:p>
    <w:p w14:paraId="178718F4" w14:textId="77777777" w:rsidR="008319FB" w:rsidRPr="00B0658A" w:rsidRDefault="008319FB" w:rsidP="008319FB">
      <w:pPr>
        <w:pStyle w:val="ConsPlusNormal"/>
        <w:spacing w:before="120"/>
        <w:ind w:firstLine="709"/>
        <w:jc w:val="both"/>
      </w:pPr>
      <w:r w:rsidRPr="00B0658A">
        <w:rPr>
          <w:sz w:val="28"/>
        </w:rPr>
        <w:t>Ниже представлены рекомендованные показатели эффективности в отношении закупок ПО и связанных с ним работ и услуг, проводимых органами государственной власти и государственными внебюджетными фондами</w:t>
      </w:r>
    </w:p>
    <w:tbl>
      <w:tblPr>
        <w:tblW w:w="5000" w:type="pct"/>
        <w:tblCellMar>
          <w:top w:w="102" w:type="dxa"/>
          <w:left w:w="62" w:type="dxa"/>
          <w:bottom w:w="102" w:type="dxa"/>
          <w:right w:w="62" w:type="dxa"/>
        </w:tblCellMar>
        <w:tblLook w:val="0000" w:firstRow="0" w:lastRow="0" w:firstColumn="0" w:lastColumn="0" w:noHBand="0" w:noVBand="0"/>
      </w:tblPr>
      <w:tblGrid>
        <w:gridCol w:w="1591"/>
        <w:gridCol w:w="1373"/>
        <w:gridCol w:w="1373"/>
        <w:gridCol w:w="1373"/>
        <w:gridCol w:w="1373"/>
        <w:gridCol w:w="1373"/>
        <w:gridCol w:w="1372"/>
        <w:gridCol w:w="1372"/>
        <w:gridCol w:w="1372"/>
        <w:gridCol w:w="1372"/>
      </w:tblGrid>
      <w:tr w:rsidR="00F52FED" w:rsidRPr="00B0658A" w14:paraId="1566CBBF" w14:textId="77777777" w:rsidTr="00EF4CFC">
        <w:trPr>
          <w:trHeight w:val="407"/>
        </w:trPr>
        <w:tc>
          <w:tcPr>
            <w:tcW w:w="570"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4D503D6" w14:textId="77777777" w:rsidR="008319FB" w:rsidRPr="00B0658A" w:rsidRDefault="008319FB" w:rsidP="00004A41">
            <w:pPr>
              <w:spacing w:after="0" w:line="240" w:lineRule="auto"/>
              <w:jc w:val="center"/>
              <w:rPr>
                <w:rFonts w:ascii="Times New Roman" w:hAnsi="Times New Roman"/>
                <w:sz w:val="18"/>
                <w:szCs w:val="18"/>
              </w:rPr>
            </w:pPr>
            <w:r w:rsidRPr="00B0658A">
              <w:rPr>
                <w:rFonts w:ascii="Times New Roman" w:hAnsi="Times New Roman"/>
                <w:b/>
                <w:bCs/>
                <w:sz w:val="18"/>
                <w:szCs w:val="18"/>
              </w:rPr>
              <w:t>Показатель</w:t>
            </w:r>
          </w:p>
        </w:tc>
        <w:tc>
          <w:tcPr>
            <w:tcW w:w="492"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B00EF3F" w14:textId="77777777" w:rsidR="008319FB" w:rsidRPr="00B0658A" w:rsidRDefault="008319FB" w:rsidP="00004A41">
            <w:pPr>
              <w:spacing w:after="0" w:line="240" w:lineRule="auto"/>
              <w:jc w:val="center"/>
              <w:rPr>
                <w:rFonts w:ascii="Times New Roman" w:hAnsi="Times New Roman"/>
                <w:b/>
                <w:bCs/>
                <w:sz w:val="18"/>
                <w:szCs w:val="18"/>
              </w:rPr>
            </w:pPr>
            <w:r w:rsidRPr="00B0658A">
              <w:rPr>
                <w:rFonts w:ascii="Times New Roman" w:hAnsi="Times New Roman"/>
                <w:b/>
                <w:bCs/>
                <w:sz w:val="18"/>
                <w:szCs w:val="18"/>
              </w:rPr>
              <w:t>2022 г.</w:t>
            </w:r>
          </w:p>
        </w:tc>
        <w:tc>
          <w:tcPr>
            <w:tcW w:w="492"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DE7412B" w14:textId="77777777" w:rsidR="008319FB" w:rsidRPr="00B0658A" w:rsidRDefault="008319FB" w:rsidP="00004A41">
            <w:pPr>
              <w:spacing w:after="0" w:line="240" w:lineRule="auto"/>
              <w:jc w:val="center"/>
              <w:rPr>
                <w:rFonts w:ascii="Times New Roman" w:hAnsi="Times New Roman"/>
                <w:b/>
                <w:bCs/>
                <w:sz w:val="18"/>
                <w:szCs w:val="18"/>
              </w:rPr>
            </w:pPr>
            <w:r w:rsidRPr="00B0658A">
              <w:rPr>
                <w:rFonts w:ascii="Times New Roman" w:hAnsi="Times New Roman"/>
                <w:b/>
                <w:bCs/>
                <w:sz w:val="18"/>
                <w:szCs w:val="18"/>
              </w:rPr>
              <w:t>2023 г.</w:t>
            </w:r>
          </w:p>
        </w:tc>
        <w:tc>
          <w:tcPr>
            <w:tcW w:w="492"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BBBDD12" w14:textId="77777777" w:rsidR="008319FB" w:rsidRPr="00B0658A" w:rsidRDefault="008319FB" w:rsidP="00004A41">
            <w:pPr>
              <w:spacing w:after="0" w:line="240" w:lineRule="auto"/>
              <w:jc w:val="center"/>
              <w:rPr>
                <w:rFonts w:ascii="Times New Roman" w:hAnsi="Times New Roman"/>
                <w:b/>
                <w:bCs/>
                <w:sz w:val="18"/>
                <w:szCs w:val="18"/>
              </w:rPr>
            </w:pPr>
            <w:r w:rsidRPr="00B0658A">
              <w:rPr>
                <w:rFonts w:ascii="Times New Roman" w:hAnsi="Times New Roman"/>
                <w:b/>
                <w:bCs/>
                <w:sz w:val="18"/>
                <w:szCs w:val="18"/>
              </w:rPr>
              <w:t>2024 г.</w:t>
            </w:r>
          </w:p>
        </w:tc>
        <w:tc>
          <w:tcPr>
            <w:tcW w:w="492"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11CDC33" w14:textId="77777777" w:rsidR="008319FB" w:rsidRPr="00B0658A" w:rsidRDefault="008319FB" w:rsidP="00004A41">
            <w:pPr>
              <w:spacing w:after="0" w:line="240" w:lineRule="auto"/>
              <w:jc w:val="center"/>
              <w:rPr>
                <w:rFonts w:ascii="Times New Roman" w:hAnsi="Times New Roman"/>
                <w:b/>
                <w:bCs/>
                <w:sz w:val="18"/>
                <w:szCs w:val="18"/>
              </w:rPr>
            </w:pPr>
            <w:r w:rsidRPr="00B0658A">
              <w:rPr>
                <w:rFonts w:ascii="Times New Roman" w:hAnsi="Times New Roman"/>
                <w:b/>
                <w:bCs/>
                <w:sz w:val="18"/>
                <w:szCs w:val="18"/>
              </w:rPr>
              <w:t>2025 г.</w:t>
            </w:r>
          </w:p>
        </w:tc>
        <w:tc>
          <w:tcPr>
            <w:tcW w:w="492"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B385024" w14:textId="77777777" w:rsidR="008319FB" w:rsidRPr="00B0658A" w:rsidRDefault="008319FB" w:rsidP="00004A41">
            <w:pPr>
              <w:spacing w:after="0" w:line="240" w:lineRule="auto"/>
              <w:jc w:val="center"/>
              <w:rPr>
                <w:rFonts w:ascii="Times New Roman" w:hAnsi="Times New Roman"/>
                <w:b/>
                <w:bCs/>
                <w:sz w:val="18"/>
                <w:szCs w:val="18"/>
              </w:rPr>
            </w:pPr>
            <w:r w:rsidRPr="00B0658A">
              <w:rPr>
                <w:rFonts w:ascii="Times New Roman" w:hAnsi="Times New Roman"/>
                <w:b/>
                <w:bCs/>
                <w:sz w:val="18"/>
                <w:szCs w:val="18"/>
              </w:rPr>
              <w:t>2026 г.</w:t>
            </w:r>
          </w:p>
        </w:tc>
        <w:tc>
          <w:tcPr>
            <w:tcW w:w="492"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A675716" w14:textId="77777777" w:rsidR="008319FB" w:rsidRPr="00B0658A" w:rsidRDefault="008319FB" w:rsidP="00004A41">
            <w:pPr>
              <w:spacing w:after="0" w:line="240" w:lineRule="auto"/>
              <w:jc w:val="center"/>
              <w:rPr>
                <w:rFonts w:ascii="Times New Roman" w:hAnsi="Times New Roman"/>
                <w:b/>
                <w:bCs/>
                <w:sz w:val="18"/>
                <w:szCs w:val="18"/>
              </w:rPr>
            </w:pPr>
            <w:r w:rsidRPr="00B0658A">
              <w:rPr>
                <w:rFonts w:ascii="Times New Roman" w:hAnsi="Times New Roman"/>
                <w:b/>
                <w:bCs/>
                <w:sz w:val="18"/>
                <w:szCs w:val="18"/>
              </w:rPr>
              <w:t>2027 г.</w:t>
            </w:r>
          </w:p>
        </w:tc>
        <w:tc>
          <w:tcPr>
            <w:tcW w:w="492"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984BC68" w14:textId="77777777" w:rsidR="008319FB" w:rsidRPr="00B0658A" w:rsidRDefault="008319FB" w:rsidP="00004A41">
            <w:pPr>
              <w:spacing w:after="0" w:line="240" w:lineRule="auto"/>
              <w:jc w:val="center"/>
              <w:rPr>
                <w:rFonts w:ascii="Times New Roman" w:hAnsi="Times New Roman"/>
                <w:b/>
                <w:bCs/>
                <w:sz w:val="18"/>
                <w:szCs w:val="18"/>
              </w:rPr>
            </w:pPr>
            <w:r w:rsidRPr="00B0658A">
              <w:rPr>
                <w:rFonts w:ascii="Times New Roman" w:hAnsi="Times New Roman"/>
                <w:b/>
                <w:bCs/>
                <w:sz w:val="18"/>
                <w:szCs w:val="18"/>
              </w:rPr>
              <w:t>2028 г.</w:t>
            </w:r>
          </w:p>
        </w:tc>
        <w:tc>
          <w:tcPr>
            <w:tcW w:w="492"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43CE4AE" w14:textId="77777777" w:rsidR="008319FB" w:rsidRPr="00B0658A" w:rsidRDefault="008319FB" w:rsidP="00004A41">
            <w:pPr>
              <w:spacing w:after="0" w:line="240" w:lineRule="auto"/>
              <w:jc w:val="center"/>
              <w:rPr>
                <w:rFonts w:ascii="Times New Roman" w:hAnsi="Times New Roman"/>
                <w:b/>
                <w:bCs/>
                <w:sz w:val="18"/>
                <w:szCs w:val="18"/>
              </w:rPr>
            </w:pPr>
            <w:r w:rsidRPr="00B0658A">
              <w:rPr>
                <w:rFonts w:ascii="Times New Roman" w:hAnsi="Times New Roman"/>
                <w:b/>
                <w:bCs/>
                <w:sz w:val="18"/>
                <w:szCs w:val="18"/>
              </w:rPr>
              <w:t>2029 г.</w:t>
            </w:r>
          </w:p>
        </w:tc>
        <w:tc>
          <w:tcPr>
            <w:tcW w:w="492"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F1DCDA3" w14:textId="77777777" w:rsidR="008319FB" w:rsidRPr="00B0658A" w:rsidRDefault="008319FB" w:rsidP="00004A41">
            <w:pPr>
              <w:spacing w:after="0" w:line="240" w:lineRule="auto"/>
              <w:jc w:val="center"/>
              <w:rPr>
                <w:rFonts w:ascii="Times New Roman" w:hAnsi="Times New Roman"/>
                <w:b/>
                <w:bCs/>
                <w:sz w:val="18"/>
                <w:szCs w:val="18"/>
              </w:rPr>
            </w:pPr>
            <w:r w:rsidRPr="00B0658A">
              <w:rPr>
                <w:rFonts w:ascii="Times New Roman" w:hAnsi="Times New Roman"/>
                <w:b/>
                <w:bCs/>
                <w:sz w:val="18"/>
                <w:szCs w:val="18"/>
              </w:rPr>
              <w:t>2030 г.</w:t>
            </w:r>
          </w:p>
        </w:tc>
      </w:tr>
      <w:tr w:rsidR="008319FB" w:rsidRPr="00B0658A" w14:paraId="7B6A0D2B" w14:textId="77777777" w:rsidTr="00AA11F5">
        <w:trPr>
          <w:trHeight w:val="407"/>
        </w:trPr>
        <w:tc>
          <w:tcPr>
            <w:tcW w:w="570" w:type="pct"/>
            <w:tcBorders>
              <w:top w:val="single" w:sz="4" w:space="0" w:color="auto"/>
              <w:left w:val="single" w:sz="4" w:space="0" w:color="auto"/>
              <w:bottom w:val="single" w:sz="4" w:space="0" w:color="auto"/>
              <w:right w:val="single" w:sz="4" w:space="0" w:color="auto"/>
            </w:tcBorders>
          </w:tcPr>
          <w:p w14:paraId="23A31696" w14:textId="77777777" w:rsidR="008319FB" w:rsidRPr="00B0658A" w:rsidRDefault="008319FB" w:rsidP="00004A41">
            <w:pPr>
              <w:pStyle w:val="ConsPlusNormal"/>
              <w:rPr>
                <w:sz w:val="18"/>
                <w:szCs w:val="18"/>
              </w:rPr>
            </w:pPr>
            <w:r w:rsidRPr="00B0658A">
              <w:rPr>
                <w:sz w:val="18"/>
                <w:szCs w:val="18"/>
              </w:rPr>
              <w:t xml:space="preserve">Доля расходов на закупку российского </w:t>
            </w:r>
            <w:r w:rsidR="00720519" w:rsidRPr="00B0658A">
              <w:rPr>
                <w:sz w:val="18"/>
                <w:szCs w:val="18"/>
              </w:rPr>
              <w:t xml:space="preserve">ПО </w:t>
            </w:r>
            <w:r w:rsidRPr="00B0658A">
              <w:rPr>
                <w:sz w:val="18"/>
                <w:szCs w:val="18"/>
              </w:rPr>
              <w:t xml:space="preserve"> и связанных с ним работ (услуг) в общем объеме расходов на закупку </w:t>
            </w:r>
            <w:r w:rsidR="00720519" w:rsidRPr="00B0658A">
              <w:rPr>
                <w:sz w:val="18"/>
                <w:szCs w:val="18"/>
              </w:rPr>
              <w:t>ПО</w:t>
            </w:r>
            <w:r w:rsidRPr="00B0658A">
              <w:rPr>
                <w:sz w:val="18"/>
                <w:szCs w:val="18"/>
              </w:rPr>
              <w:t xml:space="preserve"> и связанных с ним работ (услуг), %</w:t>
            </w:r>
          </w:p>
        </w:tc>
        <w:tc>
          <w:tcPr>
            <w:tcW w:w="492" w:type="pct"/>
            <w:tcBorders>
              <w:top w:val="single" w:sz="4" w:space="0" w:color="auto"/>
              <w:left w:val="single" w:sz="4" w:space="0" w:color="auto"/>
              <w:bottom w:val="single" w:sz="4" w:space="0" w:color="auto"/>
              <w:right w:val="single" w:sz="4" w:space="0" w:color="auto"/>
            </w:tcBorders>
            <w:vAlign w:val="center"/>
          </w:tcPr>
          <w:p w14:paraId="42A634CF" w14:textId="77777777" w:rsidR="008319FB" w:rsidRPr="00B0658A" w:rsidRDefault="008319FB" w:rsidP="00004A41">
            <w:pPr>
              <w:pStyle w:val="ConsPlusNormal"/>
              <w:jc w:val="center"/>
              <w:rPr>
                <w:sz w:val="18"/>
                <w:szCs w:val="18"/>
              </w:rPr>
            </w:pPr>
            <w:r w:rsidRPr="00B0658A">
              <w:rPr>
                <w:sz w:val="18"/>
                <w:szCs w:val="18"/>
              </w:rPr>
              <w:t>Не менее 80%</w:t>
            </w:r>
          </w:p>
        </w:tc>
        <w:tc>
          <w:tcPr>
            <w:tcW w:w="492" w:type="pct"/>
            <w:tcBorders>
              <w:top w:val="single" w:sz="4" w:space="0" w:color="auto"/>
              <w:left w:val="single" w:sz="4" w:space="0" w:color="auto"/>
              <w:bottom w:val="single" w:sz="4" w:space="0" w:color="auto"/>
              <w:right w:val="single" w:sz="4" w:space="0" w:color="auto"/>
            </w:tcBorders>
            <w:vAlign w:val="center"/>
          </w:tcPr>
          <w:p w14:paraId="7D44CB80" w14:textId="77777777" w:rsidR="008319FB" w:rsidRPr="00B0658A" w:rsidRDefault="00837894" w:rsidP="00004A41">
            <w:pPr>
              <w:pStyle w:val="ConsPlusNormal"/>
              <w:jc w:val="center"/>
              <w:rPr>
                <w:sz w:val="18"/>
                <w:szCs w:val="18"/>
              </w:rPr>
            </w:pPr>
            <w:r w:rsidRPr="00B0658A">
              <w:rPr>
                <w:sz w:val="18"/>
                <w:szCs w:val="18"/>
              </w:rPr>
              <w:t>Не менее 80%</w:t>
            </w:r>
          </w:p>
        </w:tc>
        <w:tc>
          <w:tcPr>
            <w:tcW w:w="492" w:type="pct"/>
            <w:tcBorders>
              <w:top w:val="single" w:sz="4" w:space="0" w:color="auto"/>
              <w:left w:val="single" w:sz="4" w:space="0" w:color="auto"/>
              <w:bottom w:val="single" w:sz="4" w:space="0" w:color="auto"/>
              <w:right w:val="single" w:sz="4" w:space="0" w:color="auto"/>
            </w:tcBorders>
            <w:vAlign w:val="center"/>
          </w:tcPr>
          <w:p w14:paraId="533FF9B1" w14:textId="77777777" w:rsidR="008319FB" w:rsidRPr="00B0658A" w:rsidRDefault="00837894" w:rsidP="00004A41">
            <w:pPr>
              <w:pStyle w:val="ConsPlusNormal"/>
              <w:jc w:val="center"/>
              <w:rPr>
                <w:sz w:val="18"/>
                <w:szCs w:val="18"/>
              </w:rPr>
            </w:pPr>
            <w:r w:rsidRPr="00B0658A">
              <w:rPr>
                <w:sz w:val="18"/>
                <w:szCs w:val="18"/>
              </w:rPr>
              <w:t>Не менее 80%</w:t>
            </w:r>
          </w:p>
        </w:tc>
        <w:tc>
          <w:tcPr>
            <w:tcW w:w="492" w:type="pct"/>
            <w:tcBorders>
              <w:top w:val="single" w:sz="4" w:space="0" w:color="auto"/>
              <w:left w:val="single" w:sz="4" w:space="0" w:color="auto"/>
              <w:bottom w:val="single" w:sz="4" w:space="0" w:color="auto"/>
              <w:right w:val="single" w:sz="4" w:space="0" w:color="auto"/>
            </w:tcBorders>
            <w:vAlign w:val="center"/>
          </w:tcPr>
          <w:p w14:paraId="585ACF72" w14:textId="77777777" w:rsidR="008319FB" w:rsidRPr="00B0658A" w:rsidRDefault="00837894" w:rsidP="00004A41">
            <w:pPr>
              <w:pStyle w:val="ConsPlusNormal"/>
              <w:jc w:val="center"/>
              <w:rPr>
                <w:sz w:val="18"/>
                <w:szCs w:val="18"/>
              </w:rPr>
            </w:pPr>
            <w:r w:rsidRPr="00B0658A">
              <w:rPr>
                <w:sz w:val="18"/>
                <w:szCs w:val="18"/>
              </w:rPr>
              <w:t>Не менее 90%</w:t>
            </w:r>
          </w:p>
        </w:tc>
        <w:tc>
          <w:tcPr>
            <w:tcW w:w="492" w:type="pct"/>
            <w:tcBorders>
              <w:top w:val="single" w:sz="4" w:space="0" w:color="auto"/>
              <w:left w:val="single" w:sz="4" w:space="0" w:color="auto"/>
              <w:bottom w:val="single" w:sz="4" w:space="0" w:color="auto"/>
              <w:right w:val="single" w:sz="4" w:space="0" w:color="auto"/>
            </w:tcBorders>
            <w:vAlign w:val="center"/>
          </w:tcPr>
          <w:p w14:paraId="2ED52195" w14:textId="77777777" w:rsidR="008319FB" w:rsidRPr="00B0658A" w:rsidRDefault="00837894" w:rsidP="00004A41">
            <w:pPr>
              <w:pStyle w:val="ConsPlusNormal"/>
              <w:jc w:val="center"/>
              <w:rPr>
                <w:sz w:val="18"/>
                <w:szCs w:val="18"/>
              </w:rPr>
            </w:pPr>
            <w:r w:rsidRPr="00B0658A">
              <w:rPr>
                <w:sz w:val="18"/>
                <w:szCs w:val="18"/>
              </w:rPr>
              <w:t>Не менее 90%</w:t>
            </w:r>
          </w:p>
        </w:tc>
        <w:tc>
          <w:tcPr>
            <w:tcW w:w="492" w:type="pct"/>
            <w:tcBorders>
              <w:top w:val="single" w:sz="4" w:space="0" w:color="auto"/>
              <w:left w:val="single" w:sz="4" w:space="0" w:color="auto"/>
              <w:bottom w:val="single" w:sz="4" w:space="0" w:color="auto"/>
              <w:right w:val="single" w:sz="4" w:space="0" w:color="auto"/>
            </w:tcBorders>
            <w:vAlign w:val="center"/>
          </w:tcPr>
          <w:p w14:paraId="41760A73" w14:textId="77777777" w:rsidR="008319FB" w:rsidRPr="00B0658A" w:rsidRDefault="00837894" w:rsidP="00004A41">
            <w:pPr>
              <w:pStyle w:val="ConsPlusNormal"/>
              <w:jc w:val="center"/>
              <w:rPr>
                <w:sz w:val="18"/>
                <w:szCs w:val="18"/>
              </w:rPr>
            </w:pPr>
            <w:r w:rsidRPr="00B0658A">
              <w:rPr>
                <w:sz w:val="18"/>
                <w:szCs w:val="18"/>
              </w:rPr>
              <w:t>Не менее 90%</w:t>
            </w:r>
          </w:p>
        </w:tc>
        <w:tc>
          <w:tcPr>
            <w:tcW w:w="492" w:type="pct"/>
            <w:tcBorders>
              <w:top w:val="single" w:sz="4" w:space="0" w:color="auto"/>
              <w:left w:val="single" w:sz="4" w:space="0" w:color="auto"/>
              <w:bottom w:val="single" w:sz="4" w:space="0" w:color="auto"/>
              <w:right w:val="single" w:sz="4" w:space="0" w:color="auto"/>
            </w:tcBorders>
            <w:vAlign w:val="center"/>
          </w:tcPr>
          <w:p w14:paraId="687BB5E4" w14:textId="77777777" w:rsidR="008319FB" w:rsidRPr="00B0658A" w:rsidRDefault="00837894" w:rsidP="00004A41">
            <w:pPr>
              <w:pStyle w:val="ConsPlusNormal"/>
              <w:jc w:val="center"/>
              <w:rPr>
                <w:sz w:val="18"/>
                <w:szCs w:val="18"/>
              </w:rPr>
            </w:pPr>
            <w:r w:rsidRPr="00B0658A">
              <w:rPr>
                <w:sz w:val="18"/>
                <w:szCs w:val="18"/>
              </w:rPr>
              <w:t>Не менее 90%</w:t>
            </w:r>
          </w:p>
        </w:tc>
        <w:tc>
          <w:tcPr>
            <w:tcW w:w="492" w:type="pct"/>
            <w:tcBorders>
              <w:top w:val="single" w:sz="4" w:space="0" w:color="auto"/>
              <w:left w:val="single" w:sz="4" w:space="0" w:color="auto"/>
              <w:bottom w:val="single" w:sz="4" w:space="0" w:color="auto"/>
              <w:right w:val="single" w:sz="4" w:space="0" w:color="auto"/>
            </w:tcBorders>
            <w:vAlign w:val="center"/>
          </w:tcPr>
          <w:p w14:paraId="6CFDDD0B" w14:textId="7E16C2D2" w:rsidR="008319FB" w:rsidRPr="00B0658A" w:rsidRDefault="00837894" w:rsidP="00004A41">
            <w:pPr>
              <w:pStyle w:val="ConsPlusNormal"/>
              <w:jc w:val="center"/>
              <w:rPr>
                <w:sz w:val="18"/>
                <w:szCs w:val="18"/>
              </w:rPr>
            </w:pPr>
            <w:r w:rsidRPr="00B0658A">
              <w:rPr>
                <w:sz w:val="18"/>
                <w:szCs w:val="18"/>
              </w:rPr>
              <w:t>Не менее 9</w:t>
            </w:r>
            <w:r w:rsidR="00D7781B">
              <w:rPr>
                <w:sz w:val="18"/>
                <w:szCs w:val="18"/>
              </w:rPr>
              <w:t>5</w:t>
            </w:r>
            <w:r w:rsidRPr="00B0658A">
              <w:rPr>
                <w:sz w:val="18"/>
                <w:szCs w:val="18"/>
              </w:rPr>
              <w:t>%</w:t>
            </w:r>
          </w:p>
        </w:tc>
        <w:tc>
          <w:tcPr>
            <w:tcW w:w="492" w:type="pct"/>
            <w:tcBorders>
              <w:top w:val="single" w:sz="4" w:space="0" w:color="auto"/>
              <w:left w:val="single" w:sz="4" w:space="0" w:color="auto"/>
              <w:bottom w:val="single" w:sz="4" w:space="0" w:color="auto"/>
              <w:right w:val="single" w:sz="4" w:space="0" w:color="auto"/>
            </w:tcBorders>
            <w:vAlign w:val="center"/>
          </w:tcPr>
          <w:p w14:paraId="6215DA71" w14:textId="1D0D7618" w:rsidR="008319FB" w:rsidRPr="00B0658A" w:rsidRDefault="00837894" w:rsidP="00004A41">
            <w:pPr>
              <w:pStyle w:val="ConsPlusNormal"/>
              <w:jc w:val="center"/>
              <w:rPr>
                <w:sz w:val="18"/>
                <w:szCs w:val="18"/>
              </w:rPr>
            </w:pPr>
            <w:r w:rsidRPr="00B0658A">
              <w:rPr>
                <w:sz w:val="18"/>
                <w:szCs w:val="18"/>
              </w:rPr>
              <w:t>Не менее 9</w:t>
            </w:r>
            <w:r w:rsidR="00D7781B">
              <w:rPr>
                <w:sz w:val="18"/>
                <w:szCs w:val="18"/>
              </w:rPr>
              <w:t>5</w:t>
            </w:r>
            <w:r w:rsidRPr="00B0658A">
              <w:rPr>
                <w:sz w:val="18"/>
                <w:szCs w:val="18"/>
              </w:rPr>
              <w:t>%</w:t>
            </w:r>
          </w:p>
        </w:tc>
      </w:tr>
    </w:tbl>
    <w:p w14:paraId="2E882EF2" w14:textId="77777777" w:rsidR="00837894" w:rsidRPr="00B0658A" w:rsidRDefault="00837894" w:rsidP="008319FB">
      <w:pPr>
        <w:spacing w:before="120" w:after="0" w:line="240" w:lineRule="auto"/>
        <w:rPr>
          <w:rFonts w:ascii="Times New Roman" w:hAnsi="Times New Roman"/>
          <w:sz w:val="28"/>
          <w:szCs w:val="24"/>
        </w:rPr>
      </w:pPr>
    </w:p>
    <w:p w14:paraId="397DCB5D" w14:textId="77777777" w:rsidR="00837894" w:rsidRPr="00B0658A" w:rsidRDefault="00837894">
      <w:pPr>
        <w:spacing w:after="0" w:line="240" w:lineRule="auto"/>
        <w:rPr>
          <w:rFonts w:ascii="Times New Roman" w:hAnsi="Times New Roman"/>
          <w:sz w:val="28"/>
          <w:szCs w:val="24"/>
        </w:rPr>
      </w:pPr>
      <w:r w:rsidRPr="00B0658A">
        <w:rPr>
          <w:rFonts w:ascii="Times New Roman" w:hAnsi="Times New Roman"/>
          <w:sz w:val="28"/>
          <w:szCs w:val="24"/>
        </w:rPr>
        <w:br w:type="page"/>
      </w:r>
    </w:p>
    <w:p w14:paraId="29EF7345" w14:textId="726F24B5" w:rsidR="008319FB" w:rsidRPr="00B0658A" w:rsidRDefault="008319FB" w:rsidP="008319FB">
      <w:pPr>
        <w:pStyle w:val="11"/>
        <w:spacing w:before="120" w:after="0" w:line="240" w:lineRule="auto"/>
        <w:jc w:val="right"/>
        <w:rPr>
          <w:rFonts w:cs="Times New Roman"/>
          <w:szCs w:val="24"/>
        </w:rPr>
      </w:pPr>
      <w:bookmarkStart w:id="21" w:name="_Toc116390897"/>
      <w:bookmarkStart w:id="22" w:name="_Toc116632271"/>
      <w:r w:rsidRPr="00B0658A">
        <w:rPr>
          <w:rFonts w:cs="Times New Roman"/>
          <w:szCs w:val="28"/>
        </w:rPr>
        <w:lastRenderedPageBreak/>
        <w:t>Приложение № 4</w:t>
      </w:r>
      <w:r w:rsidRPr="00B0658A">
        <w:rPr>
          <w:rFonts w:cs="Times New Roman"/>
          <w:szCs w:val="28"/>
        </w:rPr>
        <w:br/>
      </w:r>
      <w:r w:rsidRPr="00B0658A">
        <w:rPr>
          <w:rFonts w:cs="Times New Roman"/>
          <w:szCs w:val="24"/>
        </w:rPr>
        <w:t>Рекомендованные отчетные формы для представления сведений о ходе реализации Плана перехода на использование российского ПО и достижении показателей эффективности перехода на использование российского ПО органами государственной власти и государственными внебюджетными фондами</w:t>
      </w:r>
      <w:bookmarkEnd w:id="21"/>
      <w:bookmarkEnd w:id="22"/>
    </w:p>
    <w:p w14:paraId="6225F8A7" w14:textId="77777777" w:rsidR="008319FB" w:rsidRPr="00B0658A" w:rsidRDefault="008319FB" w:rsidP="008319FB">
      <w:pPr>
        <w:rPr>
          <w:rFonts w:ascii="Times New Roman" w:hAnsi="Times New Roman"/>
        </w:rPr>
      </w:pPr>
    </w:p>
    <w:p w14:paraId="65C10FA8" w14:textId="77777777" w:rsidR="008319FB" w:rsidRPr="00B0658A" w:rsidRDefault="008319FB" w:rsidP="00FB2975">
      <w:pPr>
        <w:rPr>
          <w:rFonts w:ascii="Times New Roman" w:hAnsi="Times New Roman"/>
          <w:b/>
          <w:sz w:val="28"/>
          <w:szCs w:val="28"/>
        </w:rPr>
      </w:pPr>
      <w:bookmarkStart w:id="23" w:name="_Toc116390898"/>
      <w:r w:rsidRPr="00B0658A">
        <w:rPr>
          <w:rFonts w:ascii="Times New Roman" w:hAnsi="Times New Roman"/>
          <w:b/>
          <w:sz w:val="28"/>
          <w:szCs w:val="28"/>
        </w:rPr>
        <w:t>Форма отчетности за квартальный период</w:t>
      </w:r>
      <w:bookmarkEnd w:id="23"/>
    </w:p>
    <w:p w14:paraId="3A829CF0" w14:textId="77777777" w:rsidR="00F07AB3" w:rsidRPr="00B0658A" w:rsidRDefault="00F07AB3" w:rsidP="00FB2975">
      <w:pPr>
        <w:rPr>
          <w:rFonts w:ascii="Times New Roman" w:hAnsi="Times New Roman"/>
          <w:b/>
          <w:sz w:val="28"/>
          <w:szCs w:val="28"/>
        </w:rPr>
      </w:pPr>
    </w:p>
    <w:p w14:paraId="3FCB7529" w14:textId="77777777" w:rsidR="008319FB" w:rsidRPr="00B0658A" w:rsidRDefault="008319FB" w:rsidP="008319FB">
      <w:pPr>
        <w:pStyle w:val="ConsPlusNormal"/>
        <w:spacing w:before="120"/>
        <w:jc w:val="center"/>
        <w:rPr>
          <w:sz w:val="32"/>
          <w:szCs w:val="32"/>
        </w:rPr>
      </w:pPr>
      <w:r w:rsidRPr="00B0658A">
        <w:rPr>
          <w:sz w:val="32"/>
          <w:szCs w:val="32"/>
        </w:rPr>
        <w:t xml:space="preserve">Сведения о реализации плана перехода ______________ (полное наименование органа государственной власти или государственного внебюджетного фонда) на использование российского </w:t>
      </w:r>
      <w:r w:rsidR="006E6C8F" w:rsidRPr="00B0658A">
        <w:rPr>
          <w:sz w:val="32"/>
          <w:szCs w:val="32"/>
        </w:rPr>
        <w:t>ПО</w:t>
      </w:r>
      <w:r w:rsidRPr="00B0658A">
        <w:rPr>
          <w:sz w:val="32"/>
          <w:szCs w:val="32"/>
        </w:rPr>
        <w:t xml:space="preserve"> на период 2022-2030 годы за</w:t>
      </w:r>
      <w:r w:rsidR="00D459BC" w:rsidRPr="00B0658A">
        <w:rPr>
          <w:sz w:val="32"/>
          <w:szCs w:val="32"/>
        </w:rPr>
        <w:t xml:space="preserve"> ____</w:t>
      </w:r>
      <w:r w:rsidRPr="00B0658A">
        <w:rPr>
          <w:sz w:val="32"/>
          <w:szCs w:val="32"/>
        </w:rPr>
        <w:t>квартал _______ года.</w:t>
      </w:r>
    </w:p>
    <w:p w14:paraId="7B5A74CA" w14:textId="77777777" w:rsidR="008319FB" w:rsidRPr="00B0658A" w:rsidRDefault="008319FB" w:rsidP="008319FB">
      <w:pPr>
        <w:spacing w:line="240" w:lineRule="auto"/>
        <w:ind w:firstLine="709"/>
        <w:jc w:val="both"/>
        <w:rPr>
          <w:rFonts w:ascii="Times New Roman" w:hAnsi="Times New Roman"/>
          <w:sz w:val="28"/>
          <w:szCs w:val="28"/>
        </w:rPr>
      </w:pPr>
    </w:p>
    <w:p w14:paraId="583F73D9" w14:textId="77777777" w:rsidR="008319FB" w:rsidRPr="00B0658A" w:rsidRDefault="00F52FED" w:rsidP="00F52FED">
      <w:pPr>
        <w:spacing w:line="240" w:lineRule="auto"/>
        <w:ind w:firstLine="709"/>
        <w:jc w:val="both"/>
        <w:rPr>
          <w:rFonts w:ascii="Times New Roman" w:hAnsi="Times New Roman"/>
          <w:sz w:val="28"/>
          <w:szCs w:val="28"/>
        </w:rPr>
      </w:pPr>
      <w:r w:rsidRPr="00B0658A">
        <w:rPr>
          <w:rFonts w:ascii="Times New Roman" w:hAnsi="Times New Roman"/>
          <w:sz w:val="28"/>
          <w:szCs w:val="28"/>
        </w:rPr>
        <w:t xml:space="preserve">1. </w:t>
      </w:r>
      <w:r w:rsidR="008319FB" w:rsidRPr="00B0658A">
        <w:rPr>
          <w:rFonts w:ascii="Times New Roman" w:hAnsi="Times New Roman"/>
          <w:sz w:val="28"/>
          <w:szCs w:val="28"/>
        </w:rPr>
        <w:t xml:space="preserve">Сведения о достижении показателей эффективности в отношении закупок ПО и </w:t>
      </w:r>
      <w:r w:rsidR="00861739" w:rsidRPr="00B0658A">
        <w:rPr>
          <w:rFonts w:ascii="Times New Roman" w:hAnsi="Times New Roman"/>
          <w:sz w:val="28"/>
          <w:szCs w:val="28"/>
        </w:rPr>
        <w:t xml:space="preserve">финансового </w:t>
      </w:r>
      <w:r w:rsidR="008319FB" w:rsidRPr="00B0658A">
        <w:rPr>
          <w:rFonts w:ascii="Times New Roman" w:hAnsi="Times New Roman"/>
          <w:sz w:val="28"/>
          <w:szCs w:val="28"/>
        </w:rPr>
        <w:t>обеспечени</w:t>
      </w:r>
      <w:r w:rsidR="00861739" w:rsidRPr="00B0658A">
        <w:rPr>
          <w:rFonts w:ascii="Times New Roman" w:hAnsi="Times New Roman"/>
          <w:sz w:val="28"/>
          <w:szCs w:val="28"/>
        </w:rPr>
        <w:t>я</w:t>
      </w:r>
      <w:r w:rsidR="008319FB" w:rsidRPr="00B0658A">
        <w:rPr>
          <w:rFonts w:ascii="Times New Roman" w:hAnsi="Times New Roman"/>
          <w:sz w:val="28"/>
          <w:szCs w:val="28"/>
        </w:rPr>
        <w:t xml:space="preserve"> перехода на использование российского </w:t>
      </w:r>
      <w:r w:rsidR="000161DD" w:rsidRPr="00B0658A">
        <w:rPr>
          <w:rFonts w:ascii="Times New Roman" w:hAnsi="Times New Roman"/>
          <w:sz w:val="28"/>
          <w:szCs w:val="28"/>
        </w:rPr>
        <w:t>ПО</w:t>
      </w:r>
    </w:p>
    <w:tbl>
      <w:tblPr>
        <w:tblStyle w:val="afc"/>
        <w:tblW w:w="5000" w:type="pct"/>
        <w:tblLook w:val="04A0" w:firstRow="1" w:lastRow="0" w:firstColumn="1" w:lastColumn="0" w:noHBand="0" w:noVBand="1"/>
      </w:tblPr>
      <w:tblGrid>
        <w:gridCol w:w="522"/>
        <w:gridCol w:w="2457"/>
        <w:gridCol w:w="1054"/>
        <w:gridCol w:w="3188"/>
        <w:gridCol w:w="3190"/>
        <w:gridCol w:w="3533"/>
      </w:tblGrid>
      <w:tr w:rsidR="00F52FED" w:rsidRPr="00B0658A" w14:paraId="10D70D0F" w14:textId="77777777" w:rsidTr="00F57B1F">
        <w:trPr>
          <w:trHeight w:val="58"/>
          <w:tblHeader/>
        </w:trPr>
        <w:tc>
          <w:tcPr>
            <w:tcW w:w="187" w:type="pct"/>
            <w:vMerge w:val="restart"/>
            <w:vAlign w:val="center"/>
          </w:tcPr>
          <w:p w14:paraId="154C3F73" w14:textId="77777777" w:rsidR="008319FB" w:rsidRPr="00B0658A" w:rsidRDefault="008319FB" w:rsidP="00004A41">
            <w:pPr>
              <w:spacing w:after="0" w:line="240" w:lineRule="auto"/>
              <w:jc w:val="center"/>
              <w:rPr>
                <w:rFonts w:ascii="Times New Roman" w:hAnsi="Times New Roman"/>
                <w:b/>
                <w:bCs/>
                <w:sz w:val="20"/>
                <w:szCs w:val="20"/>
              </w:rPr>
            </w:pPr>
            <w:r w:rsidRPr="00B0658A">
              <w:rPr>
                <w:rFonts w:ascii="Times New Roman" w:hAnsi="Times New Roman"/>
                <w:b/>
                <w:bCs/>
                <w:sz w:val="20"/>
                <w:szCs w:val="20"/>
              </w:rPr>
              <w:t>№</w:t>
            </w:r>
          </w:p>
        </w:tc>
        <w:tc>
          <w:tcPr>
            <w:tcW w:w="881" w:type="pct"/>
            <w:vMerge w:val="restart"/>
            <w:vAlign w:val="center"/>
          </w:tcPr>
          <w:p w14:paraId="292ADCAB" w14:textId="77777777" w:rsidR="008319FB" w:rsidRPr="00B0658A" w:rsidRDefault="008319FB" w:rsidP="00004A41">
            <w:pPr>
              <w:spacing w:after="0" w:line="240" w:lineRule="auto"/>
              <w:jc w:val="center"/>
              <w:rPr>
                <w:rFonts w:ascii="Times New Roman" w:hAnsi="Times New Roman"/>
                <w:b/>
                <w:bCs/>
                <w:sz w:val="20"/>
                <w:szCs w:val="20"/>
              </w:rPr>
            </w:pPr>
            <w:r w:rsidRPr="00B0658A">
              <w:rPr>
                <w:rFonts w:ascii="Times New Roman" w:hAnsi="Times New Roman"/>
                <w:b/>
                <w:bCs/>
                <w:sz w:val="20"/>
                <w:szCs w:val="20"/>
              </w:rPr>
              <w:t>Наименование показателя</w:t>
            </w:r>
          </w:p>
        </w:tc>
        <w:tc>
          <w:tcPr>
            <w:tcW w:w="378" w:type="pct"/>
            <w:vMerge w:val="restart"/>
            <w:vAlign w:val="center"/>
          </w:tcPr>
          <w:p w14:paraId="6C60674E" w14:textId="77777777" w:rsidR="008319FB" w:rsidRPr="00B0658A" w:rsidRDefault="008319FB" w:rsidP="00004A41">
            <w:pPr>
              <w:spacing w:after="0" w:line="240" w:lineRule="auto"/>
              <w:jc w:val="center"/>
              <w:rPr>
                <w:rFonts w:ascii="Times New Roman" w:hAnsi="Times New Roman"/>
                <w:b/>
                <w:bCs/>
                <w:sz w:val="20"/>
                <w:szCs w:val="20"/>
              </w:rPr>
            </w:pPr>
            <w:r w:rsidRPr="00B0658A">
              <w:rPr>
                <w:rFonts w:ascii="Times New Roman" w:hAnsi="Times New Roman"/>
                <w:b/>
                <w:bCs/>
                <w:sz w:val="20"/>
                <w:szCs w:val="20"/>
              </w:rPr>
              <w:t>Ед. изм.</w:t>
            </w:r>
          </w:p>
        </w:tc>
        <w:tc>
          <w:tcPr>
            <w:tcW w:w="2287" w:type="pct"/>
            <w:gridSpan w:val="2"/>
            <w:vAlign w:val="center"/>
          </w:tcPr>
          <w:p w14:paraId="49681DB6" w14:textId="77777777" w:rsidR="008319FB" w:rsidRPr="00B0658A" w:rsidRDefault="008319FB" w:rsidP="00004A41">
            <w:pPr>
              <w:spacing w:after="0" w:line="240" w:lineRule="auto"/>
              <w:jc w:val="center"/>
              <w:rPr>
                <w:rFonts w:ascii="Times New Roman" w:hAnsi="Times New Roman"/>
                <w:b/>
                <w:bCs/>
                <w:sz w:val="20"/>
                <w:szCs w:val="20"/>
              </w:rPr>
            </w:pPr>
            <w:r w:rsidRPr="00B0658A">
              <w:rPr>
                <w:rFonts w:ascii="Times New Roman" w:hAnsi="Times New Roman"/>
                <w:b/>
                <w:bCs/>
                <w:sz w:val="20"/>
                <w:szCs w:val="20"/>
              </w:rPr>
              <w:t xml:space="preserve">Сведения о достижении показателей </w:t>
            </w:r>
            <w:r w:rsidR="008514C3" w:rsidRPr="00B0658A">
              <w:rPr>
                <w:rFonts w:ascii="Times New Roman" w:hAnsi="Times New Roman"/>
                <w:b/>
                <w:bCs/>
                <w:sz w:val="20"/>
                <w:szCs w:val="20"/>
              </w:rPr>
              <w:t xml:space="preserve">эффективности </w:t>
            </w:r>
            <w:r w:rsidRPr="00B0658A">
              <w:rPr>
                <w:rFonts w:ascii="Times New Roman" w:hAnsi="Times New Roman"/>
                <w:b/>
                <w:bCs/>
                <w:sz w:val="20"/>
                <w:szCs w:val="20"/>
              </w:rPr>
              <w:t>за ______ квартал _______ г.</w:t>
            </w:r>
          </w:p>
        </w:tc>
        <w:tc>
          <w:tcPr>
            <w:tcW w:w="1267" w:type="pct"/>
            <w:vMerge w:val="restart"/>
            <w:vAlign w:val="center"/>
          </w:tcPr>
          <w:p w14:paraId="3A48AB0E" w14:textId="77777777" w:rsidR="008319FB" w:rsidRPr="00B0658A" w:rsidRDefault="008319FB" w:rsidP="00004A41">
            <w:pPr>
              <w:spacing w:after="0" w:line="240" w:lineRule="auto"/>
              <w:jc w:val="center"/>
              <w:rPr>
                <w:rFonts w:ascii="Times New Roman" w:hAnsi="Times New Roman"/>
                <w:b/>
                <w:bCs/>
                <w:sz w:val="20"/>
                <w:szCs w:val="20"/>
              </w:rPr>
            </w:pPr>
            <w:r w:rsidRPr="00B0658A">
              <w:rPr>
                <w:rFonts w:ascii="Times New Roman" w:hAnsi="Times New Roman"/>
                <w:b/>
                <w:bCs/>
                <w:sz w:val="20"/>
                <w:szCs w:val="20"/>
              </w:rPr>
              <w:t>Комментарии</w:t>
            </w:r>
          </w:p>
        </w:tc>
      </w:tr>
      <w:tr w:rsidR="00F52FED" w:rsidRPr="00B0658A" w14:paraId="76A1E0D8" w14:textId="77777777" w:rsidTr="000161DD">
        <w:trPr>
          <w:trHeight w:val="58"/>
        </w:trPr>
        <w:tc>
          <w:tcPr>
            <w:tcW w:w="187" w:type="pct"/>
            <w:vMerge/>
            <w:vAlign w:val="center"/>
          </w:tcPr>
          <w:p w14:paraId="251CAB2D" w14:textId="77777777" w:rsidR="008319FB" w:rsidRPr="00B0658A" w:rsidRDefault="008319FB" w:rsidP="00004A41">
            <w:pPr>
              <w:spacing w:after="0" w:line="240" w:lineRule="auto"/>
              <w:jc w:val="center"/>
              <w:rPr>
                <w:rFonts w:ascii="Times New Roman" w:hAnsi="Times New Roman"/>
                <w:b/>
                <w:bCs/>
                <w:sz w:val="20"/>
                <w:szCs w:val="20"/>
              </w:rPr>
            </w:pPr>
          </w:p>
        </w:tc>
        <w:tc>
          <w:tcPr>
            <w:tcW w:w="881" w:type="pct"/>
            <w:vMerge/>
            <w:vAlign w:val="center"/>
          </w:tcPr>
          <w:p w14:paraId="57DFB610" w14:textId="77777777" w:rsidR="008319FB" w:rsidRPr="00B0658A" w:rsidRDefault="008319FB" w:rsidP="00004A41">
            <w:pPr>
              <w:spacing w:after="0" w:line="240" w:lineRule="auto"/>
              <w:jc w:val="center"/>
              <w:rPr>
                <w:rFonts w:ascii="Times New Roman" w:hAnsi="Times New Roman"/>
                <w:b/>
                <w:bCs/>
                <w:sz w:val="20"/>
                <w:szCs w:val="20"/>
              </w:rPr>
            </w:pPr>
          </w:p>
        </w:tc>
        <w:tc>
          <w:tcPr>
            <w:tcW w:w="378" w:type="pct"/>
            <w:vMerge/>
            <w:vAlign w:val="center"/>
          </w:tcPr>
          <w:p w14:paraId="3C58600D" w14:textId="77777777" w:rsidR="008319FB" w:rsidRPr="00B0658A" w:rsidRDefault="008319FB" w:rsidP="00004A41">
            <w:pPr>
              <w:spacing w:after="0" w:line="240" w:lineRule="auto"/>
              <w:jc w:val="center"/>
              <w:rPr>
                <w:rFonts w:ascii="Times New Roman" w:hAnsi="Times New Roman"/>
                <w:b/>
                <w:bCs/>
                <w:sz w:val="20"/>
                <w:szCs w:val="20"/>
              </w:rPr>
            </w:pPr>
          </w:p>
        </w:tc>
        <w:tc>
          <w:tcPr>
            <w:tcW w:w="1143" w:type="pct"/>
            <w:vAlign w:val="center"/>
          </w:tcPr>
          <w:p w14:paraId="25699D34" w14:textId="77777777" w:rsidR="008319FB" w:rsidRPr="00B0658A" w:rsidRDefault="008319FB" w:rsidP="00004A41">
            <w:pPr>
              <w:spacing w:after="0" w:line="240" w:lineRule="auto"/>
              <w:jc w:val="center"/>
              <w:rPr>
                <w:rFonts w:ascii="Times New Roman" w:hAnsi="Times New Roman"/>
                <w:b/>
                <w:bCs/>
                <w:sz w:val="20"/>
                <w:szCs w:val="20"/>
              </w:rPr>
            </w:pPr>
            <w:r w:rsidRPr="00B0658A">
              <w:rPr>
                <w:rFonts w:ascii="Times New Roman" w:hAnsi="Times New Roman"/>
                <w:b/>
                <w:bCs/>
                <w:sz w:val="20"/>
                <w:szCs w:val="20"/>
              </w:rPr>
              <w:t>Плановое значение</w:t>
            </w:r>
          </w:p>
        </w:tc>
        <w:tc>
          <w:tcPr>
            <w:tcW w:w="1144" w:type="pct"/>
            <w:vAlign w:val="center"/>
          </w:tcPr>
          <w:p w14:paraId="5FC09C7F" w14:textId="77777777" w:rsidR="008319FB" w:rsidRPr="00B0658A" w:rsidRDefault="008319FB" w:rsidP="00004A41">
            <w:pPr>
              <w:spacing w:after="0" w:line="240" w:lineRule="auto"/>
              <w:jc w:val="center"/>
              <w:rPr>
                <w:rFonts w:ascii="Times New Roman" w:hAnsi="Times New Roman"/>
                <w:b/>
                <w:bCs/>
                <w:sz w:val="20"/>
                <w:szCs w:val="20"/>
              </w:rPr>
            </w:pPr>
            <w:r w:rsidRPr="00B0658A">
              <w:rPr>
                <w:rFonts w:ascii="Times New Roman" w:hAnsi="Times New Roman"/>
                <w:b/>
                <w:bCs/>
                <w:sz w:val="20"/>
                <w:szCs w:val="20"/>
              </w:rPr>
              <w:t>Фактическое значение</w:t>
            </w:r>
          </w:p>
        </w:tc>
        <w:tc>
          <w:tcPr>
            <w:tcW w:w="1267" w:type="pct"/>
            <w:vMerge/>
            <w:vAlign w:val="center"/>
          </w:tcPr>
          <w:p w14:paraId="7B408E59" w14:textId="77777777" w:rsidR="008319FB" w:rsidRPr="00B0658A" w:rsidRDefault="008319FB" w:rsidP="00004A41">
            <w:pPr>
              <w:spacing w:after="0" w:line="240" w:lineRule="auto"/>
              <w:jc w:val="center"/>
              <w:rPr>
                <w:rFonts w:ascii="Times New Roman" w:hAnsi="Times New Roman"/>
                <w:b/>
                <w:bCs/>
                <w:sz w:val="20"/>
                <w:szCs w:val="20"/>
              </w:rPr>
            </w:pPr>
          </w:p>
        </w:tc>
      </w:tr>
      <w:tr w:rsidR="00F52FED" w:rsidRPr="00B0658A" w14:paraId="7AE9C270" w14:textId="77777777" w:rsidTr="000161DD">
        <w:trPr>
          <w:trHeight w:val="283"/>
        </w:trPr>
        <w:tc>
          <w:tcPr>
            <w:tcW w:w="5000" w:type="pct"/>
            <w:gridSpan w:val="6"/>
          </w:tcPr>
          <w:p w14:paraId="3B3BA9B1" w14:textId="77777777" w:rsidR="008319FB" w:rsidRPr="00B0658A" w:rsidRDefault="008319FB" w:rsidP="00004A41">
            <w:pPr>
              <w:spacing w:after="0" w:line="240" w:lineRule="auto"/>
              <w:jc w:val="both"/>
              <w:rPr>
                <w:rFonts w:ascii="Times New Roman" w:hAnsi="Times New Roman"/>
                <w:b/>
                <w:i/>
                <w:iCs/>
                <w:sz w:val="20"/>
                <w:szCs w:val="20"/>
              </w:rPr>
            </w:pPr>
            <w:r w:rsidRPr="00B0658A">
              <w:rPr>
                <w:rFonts w:ascii="Times New Roman" w:hAnsi="Times New Roman"/>
                <w:b/>
                <w:i/>
                <w:iCs/>
                <w:sz w:val="20"/>
                <w:szCs w:val="20"/>
              </w:rPr>
              <w:t>I. Показател</w:t>
            </w:r>
            <w:r w:rsidR="0020281A" w:rsidRPr="00B0658A">
              <w:rPr>
                <w:rFonts w:ascii="Times New Roman" w:hAnsi="Times New Roman"/>
                <w:b/>
                <w:i/>
                <w:iCs/>
                <w:sz w:val="20"/>
                <w:szCs w:val="20"/>
              </w:rPr>
              <w:t>и</w:t>
            </w:r>
            <w:r w:rsidRPr="00B0658A">
              <w:rPr>
                <w:rFonts w:ascii="Times New Roman" w:hAnsi="Times New Roman"/>
                <w:b/>
                <w:i/>
                <w:iCs/>
                <w:sz w:val="20"/>
                <w:szCs w:val="20"/>
              </w:rPr>
              <w:t xml:space="preserve"> эффективности в отношении закупок ПО</w:t>
            </w:r>
          </w:p>
        </w:tc>
      </w:tr>
      <w:tr w:rsidR="00F52FED" w:rsidRPr="00B0658A" w14:paraId="5D2B3015" w14:textId="77777777" w:rsidTr="000161DD">
        <w:trPr>
          <w:trHeight w:val="960"/>
        </w:trPr>
        <w:tc>
          <w:tcPr>
            <w:tcW w:w="187" w:type="pct"/>
          </w:tcPr>
          <w:p w14:paraId="74D54C67" w14:textId="77777777" w:rsidR="008319FB" w:rsidRPr="00B0658A" w:rsidRDefault="00115996" w:rsidP="00004A41">
            <w:pPr>
              <w:spacing w:after="0" w:line="240" w:lineRule="auto"/>
              <w:jc w:val="both"/>
              <w:rPr>
                <w:rFonts w:ascii="Times New Roman" w:hAnsi="Times New Roman"/>
                <w:sz w:val="20"/>
                <w:szCs w:val="20"/>
              </w:rPr>
            </w:pPr>
            <w:r w:rsidRPr="00B0658A">
              <w:rPr>
                <w:rFonts w:ascii="Times New Roman" w:hAnsi="Times New Roman"/>
                <w:sz w:val="20"/>
                <w:szCs w:val="20"/>
              </w:rPr>
              <w:t>1</w:t>
            </w:r>
            <w:r w:rsidR="008319FB" w:rsidRPr="00B0658A">
              <w:rPr>
                <w:rFonts w:ascii="Times New Roman" w:hAnsi="Times New Roman"/>
                <w:sz w:val="20"/>
                <w:szCs w:val="20"/>
              </w:rPr>
              <w:t>.</w:t>
            </w:r>
          </w:p>
        </w:tc>
        <w:tc>
          <w:tcPr>
            <w:tcW w:w="881" w:type="pct"/>
          </w:tcPr>
          <w:p w14:paraId="35E1063A" w14:textId="77777777" w:rsidR="008319FB" w:rsidRPr="00B0658A" w:rsidRDefault="008319FB" w:rsidP="00004A41">
            <w:pPr>
              <w:spacing w:after="0" w:line="240" w:lineRule="auto"/>
              <w:jc w:val="both"/>
              <w:rPr>
                <w:rFonts w:ascii="Times New Roman" w:hAnsi="Times New Roman"/>
                <w:sz w:val="20"/>
                <w:szCs w:val="20"/>
              </w:rPr>
            </w:pPr>
            <w:r w:rsidRPr="00B0658A">
              <w:rPr>
                <w:rFonts w:ascii="Times New Roman" w:hAnsi="Times New Roman"/>
                <w:sz w:val="20"/>
                <w:szCs w:val="20"/>
              </w:rPr>
              <w:t xml:space="preserve">Доля расходов на закупку российского </w:t>
            </w:r>
            <w:r w:rsidR="00720519" w:rsidRPr="00B0658A">
              <w:rPr>
                <w:rFonts w:ascii="Times New Roman" w:hAnsi="Times New Roman"/>
                <w:sz w:val="20"/>
                <w:szCs w:val="20"/>
              </w:rPr>
              <w:t>ПО</w:t>
            </w:r>
            <w:r w:rsidRPr="00B0658A">
              <w:rPr>
                <w:rFonts w:ascii="Times New Roman" w:hAnsi="Times New Roman"/>
                <w:sz w:val="20"/>
                <w:szCs w:val="20"/>
              </w:rPr>
              <w:t xml:space="preserve"> и связанных с ним работ (услуг) в общем объеме расходов на закупку </w:t>
            </w:r>
            <w:r w:rsidR="00386593" w:rsidRPr="00B0658A">
              <w:rPr>
                <w:rFonts w:ascii="Times New Roman" w:hAnsi="Times New Roman"/>
                <w:sz w:val="20"/>
                <w:szCs w:val="20"/>
              </w:rPr>
              <w:t>ПО</w:t>
            </w:r>
            <w:r w:rsidRPr="00B0658A">
              <w:rPr>
                <w:rFonts w:ascii="Times New Roman" w:hAnsi="Times New Roman"/>
                <w:sz w:val="20"/>
                <w:szCs w:val="20"/>
              </w:rPr>
              <w:t xml:space="preserve"> и связанных с ним работ (услуг)</w:t>
            </w:r>
          </w:p>
        </w:tc>
        <w:tc>
          <w:tcPr>
            <w:tcW w:w="378" w:type="pct"/>
          </w:tcPr>
          <w:p w14:paraId="14B8ADD3" w14:textId="77777777" w:rsidR="008319FB" w:rsidRPr="00B0658A" w:rsidRDefault="008319FB" w:rsidP="00004A41">
            <w:pPr>
              <w:spacing w:after="0" w:line="240" w:lineRule="auto"/>
              <w:jc w:val="center"/>
              <w:rPr>
                <w:rFonts w:ascii="Times New Roman" w:hAnsi="Times New Roman"/>
                <w:sz w:val="20"/>
                <w:szCs w:val="20"/>
              </w:rPr>
            </w:pPr>
            <w:r w:rsidRPr="00B0658A">
              <w:rPr>
                <w:rFonts w:ascii="Times New Roman" w:hAnsi="Times New Roman"/>
                <w:sz w:val="20"/>
                <w:szCs w:val="20"/>
              </w:rPr>
              <w:t>%</w:t>
            </w:r>
          </w:p>
        </w:tc>
        <w:tc>
          <w:tcPr>
            <w:tcW w:w="1143" w:type="pct"/>
          </w:tcPr>
          <w:p w14:paraId="0BF12776" w14:textId="77777777" w:rsidR="008319FB" w:rsidRPr="00B0658A" w:rsidRDefault="008319FB" w:rsidP="00004A41">
            <w:pPr>
              <w:spacing w:after="0" w:line="240" w:lineRule="auto"/>
              <w:jc w:val="both"/>
              <w:rPr>
                <w:rFonts w:ascii="Times New Roman" w:hAnsi="Times New Roman"/>
                <w:sz w:val="20"/>
                <w:szCs w:val="20"/>
              </w:rPr>
            </w:pPr>
            <w:r w:rsidRPr="00B0658A">
              <w:rPr>
                <w:rFonts w:ascii="Times New Roman" w:hAnsi="Times New Roman"/>
                <w:i/>
                <w:iCs/>
                <w:sz w:val="20"/>
                <w:szCs w:val="20"/>
              </w:rPr>
              <w:t>Указывается плановое значение на соответствующий год в соответствии с показателями, установленными в плане перехода органа государственной власти или государственного внебюджетного фонда на использование российского ПО</w:t>
            </w:r>
          </w:p>
        </w:tc>
        <w:tc>
          <w:tcPr>
            <w:tcW w:w="1144" w:type="pct"/>
          </w:tcPr>
          <w:p w14:paraId="3D8388FF" w14:textId="77777777" w:rsidR="008319FB" w:rsidRPr="00B0658A" w:rsidRDefault="008319FB" w:rsidP="00004A41">
            <w:pPr>
              <w:spacing w:after="0" w:line="240" w:lineRule="auto"/>
              <w:jc w:val="both"/>
              <w:rPr>
                <w:rFonts w:ascii="Times New Roman" w:hAnsi="Times New Roman"/>
                <w:i/>
                <w:iCs/>
                <w:sz w:val="20"/>
                <w:szCs w:val="20"/>
              </w:rPr>
            </w:pPr>
            <w:r w:rsidRPr="00B0658A">
              <w:rPr>
                <w:rFonts w:ascii="Times New Roman" w:hAnsi="Times New Roman"/>
                <w:i/>
                <w:iCs/>
                <w:sz w:val="20"/>
                <w:szCs w:val="20"/>
              </w:rPr>
              <w:t>Указывается фактическая доля расходов на российское ПО и связанные с ним работ (услуги) в общем объеме расходов на закупку ПО и связанные с ним работы (услуги) в соответствующем квартале соответствующего года</w:t>
            </w:r>
          </w:p>
          <w:p w14:paraId="7A2B8223" w14:textId="77777777" w:rsidR="008319FB" w:rsidRPr="00B0658A" w:rsidRDefault="008319FB" w:rsidP="00004A41">
            <w:pPr>
              <w:spacing w:after="0" w:line="240" w:lineRule="auto"/>
              <w:jc w:val="both"/>
              <w:rPr>
                <w:rFonts w:ascii="Times New Roman" w:hAnsi="Times New Roman"/>
                <w:sz w:val="20"/>
                <w:szCs w:val="20"/>
              </w:rPr>
            </w:pPr>
            <w:r w:rsidRPr="00B0658A">
              <w:rPr>
                <w:rFonts w:ascii="Times New Roman" w:hAnsi="Times New Roman"/>
                <w:i/>
                <w:iCs/>
                <w:sz w:val="20"/>
                <w:szCs w:val="20"/>
              </w:rPr>
              <w:t xml:space="preserve">Сведения по итогам </w:t>
            </w:r>
            <w:r w:rsidRPr="00B0658A">
              <w:rPr>
                <w:rFonts w:ascii="Times New Roman" w:hAnsi="Times New Roman"/>
                <w:i/>
                <w:iCs/>
                <w:sz w:val="20"/>
                <w:szCs w:val="20"/>
                <w:lang w:val="en-US"/>
              </w:rPr>
              <w:t>I</w:t>
            </w:r>
            <w:r w:rsidRPr="00B0658A">
              <w:rPr>
                <w:rFonts w:ascii="Times New Roman" w:hAnsi="Times New Roman"/>
                <w:i/>
                <w:iCs/>
                <w:sz w:val="20"/>
                <w:szCs w:val="20"/>
              </w:rPr>
              <w:t xml:space="preserve"> квартала для фактических значений предоставляются за </w:t>
            </w:r>
            <w:r w:rsidRPr="00B0658A">
              <w:rPr>
                <w:rFonts w:ascii="Times New Roman" w:hAnsi="Times New Roman"/>
                <w:i/>
                <w:iCs/>
                <w:sz w:val="20"/>
                <w:szCs w:val="20"/>
              </w:rPr>
              <w:lastRenderedPageBreak/>
              <w:t>соответствующий квартал. Далее сведения, предоставляемые по итогам последующих отчетных периодов, предоставляются накопленным итогом.</w:t>
            </w:r>
          </w:p>
        </w:tc>
        <w:tc>
          <w:tcPr>
            <w:tcW w:w="1267" w:type="pct"/>
          </w:tcPr>
          <w:p w14:paraId="722C814E" w14:textId="77777777" w:rsidR="008319FB" w:rsidRPr="00B0658A" w:rsidRDefault="008319FB" w:rsidP="00004A41">
            <w:pPr>
              <w:spacing w:after="0" w:line="240" w:lineRule="auto"/>
              <w:jc w:val="both"/>
              <w:rPr>
                <w:rFonts w:ascii="Times New Roman" w:hAnsi="Times New Roman"/>
                <w:i/>
                <w:sz w:val="20"/>
                <w:szCs w:val="20"/>
              </w:rPr>
            </w:pPr>
            <w:r w:rsidRPr="00B0658A">
              <w:rPr>
                <w:rFonts w:ascii="Times New Roman" w:hAnsi="Times New Roman"/>
                <w:i/>
                <w:iCs/>
                <w:sz w:val="20"/>
                <w:szCs w:val="20"/>
              </w:rPr>
              <w:lastRenderedPageBreak/>
              <w:t>Указывается дополнительные комментарии по достижению установленных значений (при необходимости)</w:t>
            </w:r>
          </w:p>
          <w:p w14:paraId="306992A2" w14:textId="77777777" w:rsidR="008319FB" w:rsidRPr="00B0658A" w:rsidRDefault="008319FB" w:rsidP="00004A41">
            <w:pPr>
              <w:spacing w:after="0" w:line="240" w:lineRule="auto"/>
              <w:rPr>
                <w:rFonts w:ascii="Times New Roman" w:hAnsi="Times New Roman"/>
                <w:sz w:val="20"/>
                <w:szCs w:val="20"/>
              </w:rPr>
            </w:pPr>
          </w:p>
        </w:tc>
      </w:tr>
      <w:tr w:rsidR="00F52FED" w:rsidRPr="00B0658A" w14:paraId="2E1A86FA" w14:textId="77777777" w:rsidTr="000161DD">
        <w:trPr>
          <w:trHeight w:val="283"/>
        </w:trPr>
        <w:tc>
          <w:tcPr>
            <w:tcW w:w="5000" w:type="pct"/>
            <w:gridSpan w:val="6"/>
          </w:tcPr>
          <w:p w14:paraId="5CE090A9" w14:textId="77777777" w:rsidR="008319FB" w:rsidRPr="00B0658A" w:rsidRDefault="008319FB" w:rsidP="00004A41">
            <w:pPr>
              <w:spacing w:after="0" w:line="240" w:lineRule="auto"/>
              <w:rPr>
                <w:rFonts w:ascii="Times New Roman" w:hAnsi="Times New Roman"/>
                <w:i/>
                <w:iCs/>
                <w:sz w:val="20"/>
                <w:szCs w:val="20"/>
              </w:rPr>
            </w:pPr>
            <w:r w:rsidRPr="00B0658A">
              <w:rPr>
                <w:rFonts w:ascii="Times New Roman" w:hAnsi="Times New Roman"/>
                <w:b/>
                <w:i/>
                <w:iCs/>
                <w:sz w:val="20"/>
                <w:szCs w:val="20"/>
                <w:lang w:val="en-US"/>
              </w:rPr>
              <w:t>II</w:t>
            </w:r>
            <w:r w:rsidRPr="00B0658A">
              <w:rPr>
                <w:rFonts w:ascii="Times New Roman" w:hAnsi="Times New Roman"/>
                <w:b/>
                <w:i/>
                <w:iCs/>
                <w:sz w:val="20"/>
                <w:szCs w:val="20"/>
              </w:rPr>
              <w:t xml:space="preserve">. </w:t>
            </w:r>
            <w:r w:rsidR="00D0261A" w:rsidRPr="00B0658A">
              <w:rPr>
                <w:rFonts w:ascii="Times New Roman" w:hAnsi="Times New Roman"/>
                <w:b/>
                <w:i/>
                <w:iCs/>
                <w:sz w:val="20"/>
                <w:szCs w:val="20"/>
              </w:rPr>
              <w:t>Финансово</w:t>
            </w:r>
            <w:r w:rsidR="0020281A" w:rsidRPr="00B0658A">
              <w:rPr>
                <w:rFonts w:ascii="Times New Roman" w:hAnsi="Times New Roman"/>
                <w:b/>
                <w:i/>
                <w:iCs/>
                <w:sz w:val="20"/>
                <w:szCs w:val="20"/>
              </w:rPr>
              <w:t>е</w:t>
            </w:r>
            <w:r w:rsidR="00D0261A" w:rsidRPr="00B0658A">
              <w:rPr>
                <w:rFonts w:ascii="Times New Roman" w:hAnsi="Times New Roman"/>
                <w:b/>
                <w:i/>
                <w:iCs/>
                <w:sz w:val="20"/>
                <w:szCs w:val="20"/>
              </w:rPr>
              <w:t xml:space="preserve"> обеспечени</w:t>
            </w:r>
            <w:r w:rsidR="0020281A" w:rsidRPr="00B0658A">
              <w:rPr>
                <w:rFonts w:ascii="Times New Roman" w:hAnsi="Times New Roman"/>
                <w:b/>
                <w:i/>
                <w:iCs/>
                <w:sz w:val="20"/>
                <w:szCs w:val="20"/>
              </w:rPr>
              <w:t>е</w:t>
            </w:r>
            <w:r w:rsidR="00D0261A" w:rsidRPr="00B0658A">
              <w:rPr>
                <w:rFonts w:ascii="Times New Roman" w:hAnsi="Times New Roman"/>
                <w:b/>
                <w:i/>
                <w:iCs/>
                <w:sz w:val="20"/>
                <w:szCs w:val="20"/>
              </w:rPr>
              <w:t xml:space="preserve"> </w:t>
            </w:r>
            <w:r w:rsidRPr="00B0658A">
              <w:rPr>
                <w:rFonts w:ascii="Times New Roman" w:hAnsi="Times New Roman"/>
                <w:b/>
                <w:bCs/>
                <w:i/>
                <w:iCs/>
                <w:sz w:val="20"/>
                <w:szCs w:val="20"/>
              </w:rPr>
              <w:t xml:space="preserve">перехода на использование российского </w:t>
            </w:r>
            <w:r w:rsidR="00AF2ADE" w:rsidRPr="00B0658A">
              <w:rPr>
                <w:rFonts w:ascii="Times New Roman" w:hAnsi="Times New Roman"/>
                <w:b/>
                <w:bCs/>
                <w:i/>
                <w:iCs/>
                <w:sz w:val="20"/>
                <w:szCs w:val="20"/>
              </w:rPr>
              <w:t>ПО</w:t>
            </w:r>
          </w:p>
        </w:tc>
      </w:tr>
      <w:tr w:rsidR="00F52FED" w:rsidRPr="00B0658A" w14:paraId="4B9AF0C7" w14:textId="77777777" w:rsidTr="000161DD">
        <w:trPr>
          <w:trHeight w:val="3324"/>
        </w:trPr>
        <w:tc>
          <w:tcPr>
            <w:tcW w:w="187" w:type="pct"/>
          </w:tcPr>
          <w:p w14:paraId="4AB8E7A8" w14:textId="77777777" w:rsidR="008319FB" w:rsidRPr="00B0658A" w:rsidRDefault="00115996" w:rsidP="00004A41">
            <w:pPr>
              <w:spacing w:after="0" w:line="240" w:lineRule="auto"/>
              <w:jc w:val="both"/>
              <w:rPr>
                <w:rFonts w:ascii="Times New Roman" w:hAnsi="Times New Roman"/>
                <w:sz w:val="20"/>
                <w:szCs w:val="20"/>
              </w:rPr>
            </w:pPr>
            <w:r w:rsidRPr="00B0658A">
              <w:rPr>
                <w:rFonts w:ascii="Times New Roman" w:hAnsi="Times New Roman"/>
                <w:sz w:val="20"/>
                <w:szCs w:val="20"/>
              </w:rPr>
              <w:t>2</w:t>
            </w:r>
            <w:r w:rsidR="008319FB" w:rsidRPr="00B0658A">
              <w:rPr>
                <w:rFonts w:ascii="Times New Roman" w:hAnsi="Times New Roman"/>
                <w:sz w:val="20"/>
                <w:szCs w:val="20"/>
              </w:rPr>
              <w:t>.</w:t>
            </w:r>
          </w:p>
        </w:tc>
        <w:tc>
          <w:tcPr>
            <w:tcW w:w="881" w:type="pct"/>
          </w:tcPr>
          <w:p w14:paraId="329BF2C5" w14:textId="77777777" w:rsidR="008319FB" w:rsidRPr="00B0658A" w:rsidRDefault="008319FB" w:rsidP="00004A41">
            <w:pPr>
              <w:spacing w:after="0" w:line="240" w:lineRule="auto"/>
              <w:jc w:val="both"/>
              <w:rPr>
                <w:rFonts w:ascii="Times New Roman" w:hAnsi="Times New Roman"/>
                <w:sz w:val="20"/>
                <w:szCs w:val="20"/>
              </w:rPr>
            </w:pPr>
            <w:r w:rsidRPr="00B0658A">
              <w:rPr>
                <w:rFonts w:ascii="Times New Roman" w:hAnsi="Times New Roman"/>
                <w:sz w:val="20"/>
                <w:szCs w:val="20"/>
              </w:rPr>
              <w:t xml:space="preserve">Объём финансовых ресурсов, </w:t>
            </w:r>
            <w:r w:rsidR="00D0261A" w:rsidRPr="00B0658A">
              <w:rPr>
                <w:rFonts w:ascii="Times New Roman" w:hAnsi="Times New Roman"/>
                <w:sz w:val="20"/>
                <w:szCs w:val="20"/>
              </w:rPr>
              <w:t>направленных на</w:t>
            </w:r>
            <w:r w:rsidRPr="00B0658A">
              <w:rPr>
                <w:rFonts w:ascii="Times New Roman" w:hAnsi="Times New Roman"/>
                <w:sz w:val="20"/>
                <w:szCs w:val="20"/>
              </w:rPr>
              <w:t xml:space="preserve"> переход на использование российского </w:t>
            </w:r>
            <w:r w:rsidR="00386593" w:rsidRPr="00B0658A">
              <w:rPr>
                <w:rFonts w:ascii="Times New Roman" w:hAnsi="Times New Roman"/>
                <w:sz w:val="20"/>
                <w:szCs w:val="20"/>
              </w:rPr>
              <w:t>ПО</w:t>
            </w:r>
          </w:p>
        </w:tc>
        <w:tc>
          <w:tcPr>
            <w:tcW w:w="378" w:type="pct"/>
          </w:tcPr>
          <w:p w14:paraId="23BD4822" w14:textId="77777777" w:rsidR="008319FB" w:rsidRPr="00B0658A" w:rsidRDefault="008319FB" w:rsidP="00004A41">
            <w:pPr>
              <w:spacing w:after="0" w:line="240" w:lineRule="auto"/>
              <w:jc w:val="center"/>
              <w:rPr>
                <w:rFonts w:ascii="Times New Roman" w:hAnsi="Times New Roman"/>
                <w:sz w:val="20"/>
                <w:szCs w:val="20"/>
              </w:rPr>
            </w:pPr>
            <w:r w:rsidRPr="00B0658A">
              <w:rPr>
                <w:rFonts w:ascii="Times New Roman" w:hAnsi="Times New Roman"/>
                <w:sz w:val="20"/>
                <w:szCs w:val="20"/>
              </w:rPr>
              <w:t>тыс. руб.</w:t>
            </w:r>
          </w:p>
        </w:tc>
        <w:tc>
          <w:tcPr>
            <w:tcW w:w="1143" w:type="pct"/>
          </w:tcPr>
          <w:p w14:paraId="2F850EA7" w14:textId="77777777" w:rsidR="008319FB" w:rsidRPr="00B0658A" w:rsidRDefault="008319FB" w:rsidP="00004A41">
            <w:pPr>
              <w:spacing w:after="0" w:line="240" w:lineRule="auto"/>
              <w:jc w:val="both"/>
              <w:rPr>
                <w:rFonts w:ascii="Times New Roman" w:hAnsi="Times New Roman"/>
                <w:sz w:val="20"/>
                <w:szCs w:val="20"/>
              </w:rPr>
            </w:pPr>
            <w:r w:rsidRPr="00B0658A">
              <w:rPr>
                <w:rFonts w:ascii="Times New Roman" w:hAnsi="Times New Roman"/>
                <w:i/>
                <w:iCs/>
                <w:sz w:val="20"/>
                <w:szCs w:val="20"/>
              </w:rPr>
              <w:t>Указывается плановое значение на соответствующий год в соответствии с показателями, установленными в плане перехода органа государственной власти или государственного внебюджетного фонда на использование российского ПО</w:t>
            </w:r>
          </w:p>
        </w:tc>
        <w:tc>
          <w:tcPr>
            <w:tcW w:w="1144" w:type="pct"/>
          </w:tcPr>
          <w:p w14:paraId="1E8FEF64" w14:textId="77777777" w:rsidR="008319FB" w:rsidRPr="00B0658A" w:rsidRDefault="008319FB" w:rsidP="00004A41">
            <w:pPr>
              <w:spacing w:after="0" w:line="240" w:lineRule="auto"/>
              <w:jc w:val="both"/>
              <w:rPr>
                <w:rFonts w:ascii="Times New Roman" w:hAnsi="Times New Roman"/>
                <w:i/>
                <w:iCs/>
                <w:sz w:val="20"/>
                <w:szCs w:val="20"/>
              </w:rPr>
            </w:pPr>
            <w:r w:rsidRPr="00B0658A">
              <w:rPr>
                <w:rFonts w:ascii="Times New Roman" w:hAnsi="Times New Roman"/>
                <w:i/>
                <w:iCs/>
                <w:sz w:val="20"/>
                <w:szCs w:val="20"/>
              </w:rPr>
              <w:t>Указываются фактические объемы расходов, связанных с переходом на  использование российского ПО в соответствующем квартале соответствующего года</w:t>
            </w:r>
          </w:p>
          <w:p w14:paraId="12DF9730" w14:textId="77777777" w:rsidR="008319FB" w:rsidRPr="00B0658A" w:rsidRDefault="008319FB" w:rsidP="00004A41">
            <w:pPr>
              <w:spacing w:after="0" w:line="240" w:lineRule="auto"/>
              <w:jc w:val="both"/>
              <w:rPr>
                <w:rFonts w:ascii="Times New Roman" w:hAnsi="Times New Roman"/>
                <w:sz w:val="20"/>
                <w:szCs w:val="20"/>
              </w:rPr>
            </w:pPr>
            <w:r w:rsidRPr="00B0658A">
              <w:rPr>
                <w:rFonts w:ascii="Times New Roman" w:hAnsi="Times New Roman"/>
                <w:i/>
                <w:iCs/>
                <w:sz w:val="20"/>
                <w:szCs w:val="20"/>
              </w:rPr>
              <w:t xml:space="preserve">Сведения по итогам </w:t>
            </w:r>
            <w:r w:rsidRPr="00B0658A">
              <w:rPr>
                <w:rFonts w:ascii="Times New Roman" w:hAnsi="Times New Roman"/>
                <w:i/>
                <w:iCs/>
                <w:sz w:val="20"/>
                <w:szCs w:val="20"/>
                <w:lang w:val="en-US"/>
              </w:rPr>
              <w:t>I</w:t>
            </w:r>
            <w:r w:rsidRPr="00B0658A">
              <w:rPr>
                <w:rFonts w:ascii="Times New Roman" w:hAnsi="Times New Roman"/>
                <w:i/>
                <w:iCs/>
                <w:sz w:val="20"/>
                <w:szCs w:val="20"/>
              </w:rPr>
              <w:t xml:space="preserve"> квартала для фактических значений предоставляются за соответствующий квартал. Далее сведения, предоставляемые по итогам последующих отчетных периодов, предоставляются накопленным итогом.</w:t>
            </w:r>
          </w:p>
        </w:tc>
        <w:tc>
          <w:tcPr>
            <w:tcW w:w="1267" w:type="pct"/>
          </w:tcPr>
          <w:p w14:paraId="26B7C755" w14:textId="77777777" w:rsidR="008319FB" w:rsidRPr="00B0658A" w:rsidRDefault="008319FB" w:rsidP="00004A41">
            <w:pPr>
              <w:spacing w:after="0" w:line="240" w:lineRule="auto"/>
              <w:jc w:val="both"/>
              <w:rPr>
                <w:rFonts w:ascii="Times New Roman" w:hAnsi="Times New Roman"/>
                <w:i/>
                <w:sz w:val="20"/>
                <w:szCs w:val="20"/>
              </w:rPr>
            </w:pPr>
            <w:r w:rsidRPr="00B0658A">
              <w:rPr>
                <w:rFonts w:ascii="Times New Roman" w:hAnsi="Times New Roman"/>
                <w:i/>
                <w:iCs/>
                <w:sz w:val="20"/>
                <w:szCs w:val="20"/>
              </w:rPr>
              <w:t>Указывается дополнительные комментарии по достижению установленных значений (при необходимости)</w:t>
            </w:r>
          </w:p>
          <w:p w14:paraId="7366D8E0" w14:textId="77777777" w:rsidR="008319FB" w:rsidRPr="00B0658A" w:rsidRDefault="008319FB" w:rsidP="00004A41">
            <w:pPr>
              <w:spacing w:after="0" w:line="240" w:lineRule="auto"/>
              <w:rPr>
                <w:rFonts w:ascii="Times New Roman" w:hAnsi="Times New Roman"/>
                <w:sz w:val="20"/>
                <w:szCs w:val="20"/>
              </w:rPr>
            </w:pPr>
            <w:r w:rsidRPr="00B0658A">
              <w:rPr>
                <w:rFonts w:ascii="Times New Roman" w:hAnsi="Times New Roman"/>
                <w:i/>
                <w:iCs/>
                <w:sz w:val="20"/>
                <w:szCs w:val="20"/>
              </w:rPr>
              <w:t>.</w:t>
            </w:r>
          </w:p>
        </w:tc>
      </w:tr>
    </w:tbl>
    <w:p w14:paraId="1213CF3F" w14:textId="77777777" w:rsidR="000216B3" w:rsidRDefault="000216B3" w:rsidP="00F52FED">
      <w:pPr>
        <w:ind w:firstLine="709"/>
        <w:rPr>
          <w:rFonts w:ascii="Times New Roman" w:hAnsi="Times New Roman"/>
          <w:sz w:val="28"/>
          <w:szCs w:val="28"/>
        </w:rPr>
      </w:pPr>
    </w:p>
    <w:p w14:paraId="1D026C45" w14:textId="77777777" w:rsidR="008319FB" w:rsidRPr="00B0658A" w:rsidRDefault="00F52FED" w:rsidP="00F52FED">
      <w:pPr>
        <w:ind w:firstLine="709"/>
        <w:rPr>
          <w:rFonts w:ascii="Times New Roman" w:hAnsi="Times New Roman"/>
          <w:sz w:val="28"/>
          <w:szCs w:val="28"/>
        </w:rPr>
      </w:pPr>
      <w:r w:rsidRPr="00B0658A">
        <w:rPr>
          <w:rFonts w:ascii="Times New Roman" w:hAnsi="Times New Roman"/>
          <w:sz w:val="28"/>
          <w:szCs w:val="28"/>
        </w:rPr>
        <w:t xml:space="preserve">2. Сведения об объёмах закупок российского </w:t>
      </w:r>
      <w:r w:rsidR="004A1CA0" w:rsidRPr="00B0658A">
        <w:rPr>
          <w:rFonts w:ascii="Times New Roman" w:hAnsi="Times New Roman"/>
          <w:sz w:val="28"/>
          <w:szCs w:val="28"/>
        </w:rPr>
        <w:t xml:space="preserve">и иностранного </w:t>
      </w:r>
      <w:r w:rsidRPr="00B0658A">
        <w:rPr>
          <w:rFonts w:ascii="Times New Roman" w:hAnsi="Times New Roman"/>
          <w:sz w:val="28"/>
          <w:szCs w:val="28"/>
        </w:rPr>
        <w:t>ПО и связанных с ним работ (услуг)</w:t>
      </w:r>
    </w:p>
    <w:tbl>
      <w:tblPr>
        <w:tblStyle w:val="afc"/>
        <w:tblW w:w="5000" w:type="pct"/>
        <w:tblLook w:val="04A0" w:firstRow="1" w:lastRow="0" w:firstColumn="1" w:lastColumn="0" w:noHBand="0" w:noVBand="1"/>
      </w:tblPr>
      <w:tblGrid>
        <w:gridCol w:w="681"/>
        <w:gridCol w:w="2577"/>
        <w:gridCol w:w="1274"/>
        <w:gridCol w:w="9412"/>
      </w:tblGrid>
      <w:tr w:rsidR="00020950" w:rsidRPr="00B0658A" w14:paraId="58111B24" w14:textId="77777777" w:rsidTr="00F57B1F">
        <w:trPr>
          <w:trHeight w:val="58"/>
          <w:tblHeader/>
        </w:trPr>
        <w:tc>
          <w:tcPr>
            <w:tcW w:w="244" w:type="pct"/>
            <w:vAlign w:val="center"/>
          </w:tcPr>
          <w:p w14:paraId="01005861" w14:textId="77777777" w:rsidR="00020950" w:rsidRPr="00BA2448" w:rsidRDefault="00020950" w:rsidP="00004A41">
            <w:pPr>
              <w:spacing w:after="0" w:line="240" w:lineRule="auto"/>
              <w:jc w:val="center"/>
              <w:rPr>
                <w:rFonts w:ascii="Times New Roman" w:hAnsi="Times New Roman"/>
                <w:b/>
                <w:bCs/>
                <w:sz w:val="20"/>
                <w:szCs w:val="20"/>
              </w:rPr>
            </w:pPr>
            <w:r w:rsidRPr="00BA2448">
              <w:rPr>
                <w:rFonts w:ascii="Times New Roman" w:hAnsi="Times New Roman"/>
                <w:b/>
                <w:bCs/>
                <w:sz w:val="20"/>
                <w:szCs w:val="20"/>
              </w:rPr>
              <w:t>№</w:t>
            </w:r>
          </w:p>
        </w:tc>
        <w:tc>
          <w:tcPr>
            <w:tcW w:w="924" w:type="pct"/>
            <w:vAlign w:val="center"/>
          </w:tcPr>
          <w:p w14:paraId="054B3564" w14:textId="77777777" w:rsidR="00020950" w:rsidRPr="00BA2448" w:rsidRDefault="00020950" w:rsidP="00004A41">
            <w:pPr>
              <w:spacing w:after="0" w:line="240" w:lineRule="auto"/>
              <w:jc w:val="center"/>
              <w:rPr>
                <w:rFonts w:ascii="Times New Roman" w:hAnsi="Times New Roman"/>
                <w:b/>
                <w:bCs/>
                <w:sz w:val="20"/>
                <w:szCs w:val="20"/>
              </w:rPr>
            </w:pPr>
            <w:r w:rsidRPr="00BA2448">
              <w:rPr>
                <w:rFonts w:ascii="Times New Roman" w:hAnsi="Times New Roman"/>
                <w:b/>
                <w:bCs/>
                <w:sz w:val="20"/>
                <w:szCs w:val="20"/>
              </w:rPr>
              <w:t>Наименование показателя</w:t>
            </w:r>
          </w:p>
        </w:tc>
        <w:tc>
          <w:tcPr>
            <w:tcW w:w="457" w:type="pct"/>
            <w:vAlign w:val="center"/>
          </w:tcPr>
          <w:p w14:paraId="314C00FE" w14:textId="77777777" w:rsidR="00020950" w:rsidRPr="00BA2448" w:rsidRDefault="00020950" w:rsidP="00004A41">
            <w:pPr>
              <w:spacing w:after="0" w:line="240" w:lineRule="auto"/>
              <w:jc w:val="center"/>
              <w:rPr>
                <w:rFonts w:ascii="Times New Roman" w:hAnsi="Times New Roman"/>
                <w:b/>
                <w:bCs/>
                <w:sz w:val="20"/>
                <w:szCs w:val="20"/>
              </w:rPr>
            </w:pPr>
            <w:r w:rsidRPr="00BA2448">
              <w:rPr>
                <w:rFonts w:ascii="Times New Roman" w:hAnsi="Times New Roman"/>
                <w:b/>
                <w:bCs/>
                <w:sz w:val="20"/>
                <w:szCs w:val="20"/>
              </w:rPr>
              <w:t>Ед. изм.</w:t>
            </w:r>
          </w:p>
        </w:tc>
        <w:tc>
          <w:tcPr>
            <w:tcW w:w="3375" w:type="pct"/>
            <w:vAlign w:val="center"/>
          </w:tcPr>
          <w:p w14:paraId="4BCED012" w14:textId="77777777" w:rsidR="00020950" w:rsidRPr="00BA2448" w:rsidRDefault="00020950" w:rsidP="00004A41">
            <w:pPr>
              <w:spacing w:after="0" w:line="240" w:lineRule="auto"/>
              <w:jc w:val="center"/>
              <w:rPr>
                <w:rFonts w:ascii="Times New Roman" w:hAnsi="Times New Roman"/>
                <w:b/>
                <w:bCs/>
                <w:sz w:val="20"/>
                <w:szCs w:val="20"/>
              </w:rPr>
            </w:pPr>
            <w:r w:rsidRPr="00BA2448">
              <w:rPr>
                <w:rFonts w:ascii="Times New Roman" w:hAnsi="Times New Roman"/>
                <w:b/>
                <w:bCs/>
                <w:sz w:val="20"/>
                <w:szCs w:val="20"/>
              </w:rPr>
              <w:t>Сведения об объёмах закупок российского и иностранного ПО и связанных с ним работ (услуг)</w:t>
            </w:r>
            <w:r w:rsidR="002D46C6" w:rsidRPr="00BA2448">
              <w:rPr>
                <w:rFonts w:ascii="Times New Roman" w:hAnsi="Times New Roman"/>
                <w:b/>
                <w:bCs/>
                <w:sz w:val="20"/>
                <w:szCs w:val="20"/>
              </w:rPr>
              <w:t xml:space="preserve"> </w:t>
            </w:r>
            <w:r w:rsidRPr="00BA2448">
              <w:rPr>
                <w:rFonts w:ascii="Times New Roman" w:hAnsi="Times New Roman"/>
                <w:b/>
                <w:bCs/>
                <w:sz w:val="20"/>
                <w:szCs w:val="20"/>
              </w:rPr>
              <w:t>за ______ квартал _______ г.</w:t>
            </w:r>
          </w:p>
        </w:tc>
      </w:tr>
      <w:tr w:rsidR="00020950" w:rsidRPr="00B0658A" w14:paraId="39B19289" w14:textId="77777777" w:rsidTr="00BA2448">
        <w:trPr>
          <w:trHeight w:val="960"/>
        </w:trPr>
        <w:tc>
          <w:tcPr>
            <w:tcW w:w="244" w:type="pct"/>
          </w:tcPr>
          <w:p w14:paraId="234B1915" w14:textId="77777777" w:rsidR="00020950" w:rsidRPr="00BA2448" w:rsidRDefault="00020950" w:rsidP="000216B3">
            <w:pPr>
              <w:spacing w:after="0" w:line="240" w:lineRule="auto"/>
              <w:jc w:val="both"/>
              <w:rPr>
                <w:rFonts w:ascii="Times New Roman" w:hAnsi="Times New Roman"/>
                <w:sz w:val="20"/>
                <w:szCs w:val="20"/>
              </w:rPr>
            </w:pPr>
            <w:r w:rsidRPr="00BA2448">
              <w:rPr>
                <w:rFonts w:ascii="Times New Roman" w:hAnsi="Times New Roman"/>
                <w:sz w:val="20"/>
                <w:szCs w:val="20"/>
              </w:rPr>
              <w:t>1.</w:t>
            </w:r>
          </w:p>
        </w:tc>
        <w:tc>
          <w:tcPr>
            <w:tcW w:w="924" w:type="pct"/>
          </w:tcPr>
          <w:p w14:paraId="130E0EC7" w14:textId="77777777" w:rsidR="00020950" w:rsidRPr="00BA2448" w:rsidRDefault="00020950" w:rsidP="000216B3">
            <w:pPr>
              <w:spacing w:after="0" w:line="240" w:lineRule="auto"/>
              <w:jc w:val="both"/>
              <w:rPr>
                <w:rFonts w:ascii="Times New Roman" w:hAnsi="Times New Roman"/>
                <w:sz w:val="20"/>
                <w:szCs w:val="20"/>
              </w:rPr>
            </w:pPr>
            <w:r w:rsidRPr="00BA2448">
              <w:rPr>
                <w:rFonts w:ascii="Times New Roman" w:hAnsi="Times New Roman"/>
                <w:sz w:val="20"/>
                <w:szCs w:val="20"/>
              </w:rPr>
              <w:t>Объёмы закупок российского ПО и связанных с ним работ (услуг)</w:t>
            </w:r>
          </w:p>
        </w:tc>
        <w:tc>
          <w:tcPr>
            <w:tcW w:w="457" w:type="pct"/>
          </w:tcPr>
          <w:p w14:paraId="1D599B19" w14:textId="77777777" w:rsidR="00020950" w:rsidRPr="00BA2448" w:rsidRDefault="00020950" w:rsidP="000216B3">
            <w:pPr>
              <w:spacing w:after="0" w:line="240" w:lineRule="auto"/>
              <w:jc w:val="center"/>
              <w:rPr>
                <w:rFonts w:ascii="Times New Roman" w:hAnsi="Times New Roman"/>
                <w:sz w:val="20"/>
                <w:szCs w:val="20"/>
              </w:rPr>
            </w:pPr>
            <w:r w:rsidRPr="00BA2448">
              <w:rPr>
                <w:rFonts w:ascii="Times New Roman" w:hAnsi="Times New Roman"/>
                <w:sz w:val="20"/>
                <w:szCs w:val="20"/>
              </w:rPr>
              <w:t>тыс. руб.</w:t>
            </w:r>
          </w:p>
        </w:tc>
        <w:tc>
          <w:tcPr>
            <w:tcW w:w="3375" w:type="pct"/>
          </w:tcPr>
          <w:p w14:paraId="119FC768" w14:textId="77777777" w:rsidR="00020950" w:rsidRPr="00BA2448" w:rsidRDefault="00020950" w:rsidP="00BA2448">
            <w:pPr>
              <w:spacing w:after="0" w:line="240" w:lineRule="auto"/>
              <w:jc w:val="both"/>
              <w:rPr>
                <w:rFonts w:ascii="Times New Roman" w:hAnsi="Times New Roman"/>
                <w:sz w:val="20"/>
                <w:szCs w:val="20"/>
              </w:rPr>
            </w:pPr>
            <w:r w:rsidRPr="00BA2448">
              <w:rPr>
                <w:rFonts w:ascii="Times New Roman" w:hAnsi="Times New Roman"/>
                <w:i/>
                <w:iCs/>
                <w:sz w:val="20"/>
                <w:szCs w:val="20"/>
              </w:rPr>
              <w:t>Указываются фактические объемы расходов, связанных с закупкой российского ПО и связанных с ним работ (услуг) в соответствующем квартале соответствующего года</w:t>
            </w:r>
            <w:r w:rsidR="00BA2448">
              <w:rPr>
                <w:rFonts w:ascii="Times New Roman" w:hAnsi="Times New Roman"/>
                <w:i/>
                <w:iCs/>
                <w:sz w:val="20"/>
                <w:szCs w:val="20"/>
              </w:rPr>
              <w:t xml:space="preserve">. </w:t>
            </w:r>
            <w:r w:rsidRPr="00BA2448">
              <w:rPr>
                <w:rFonts w:ascii="Times New Roman" w:hAnsi="Times New Roman"/>
                <w:i/>
                <w:iCs/>
                <w:sz w:val="20"/>
                <w:szCs w:val="20"/>
              </w:rPr>
              <w:t xml:space="preserve">Сведения по итогам </w:t>
            </w:r>
            <w:r w:rsidRPr="00BA2448">
              <w:rPr>
                <w:rFonts w:ascii="Times New Roman" w:hAnsi="Times New Roman"/>
                <w:i/>
                <w:iCs/>
                <w:sz w:val="20"/>
                <w:szCs w:val="20"/>
                <w:lang w:val="en-US"/>
              </w:rPr>
              <w:t>I</w:t>
            </w:r>
            <w:r w:rsidRPr="00BA2448">
              <w:rPr>
                <w:rFonts w:ascii="Times New Roman" w:hAnsi="Times New Roman"/>
                <w:i/>
                <w:iCs/>
                <w:sz w:val="20"/>
                <w:szCs w:val="20"/>
              </w:rPr>
              <w:t xml:space="preserve"> квартала для фактических значений предоставляются за соответствующий квартал. Далее сведения, предоставляемые по итогам последующих отчетных периодов, предоставляются накопленным итогом.</w:t>
            </w:r>
          </w:p>
        </w:tc>
      </w:tr>
      <w:tr w:rsidR="00020950" w:rsidRPr="00B0658A" w14:paraId="11DB7F0B" w14:textId="77777777" w:rsidTr="00BA2448">
        <w:trPr>
          <w:trHeight w:val="960"/>
        </w:trPr>
        <w:tc>
          <w:tcPr>
            <w:tcW w:w="244" w:type="pct"/>
          </w:tcPr>
          <w:p w14:paraId="6C4F5C9F" w14:textId="77777777" w:rsidR="00020950" w:rsidRPr="00BA2448" w:rsidRDefault="00020950" w:rsidP="000216B3">
            <w:pPr>
              <w:spacing w:after="0" w:line="240" w:lineRule="auto"/>
              <w:jc w:val="both"/>
              <w:rPr>
                <w:rFonts w:ascii="Times New Roman" w:hAnsi="Times New Roman"/>
                <w:sz w:val="20"/>
                <w:szCs w:val="20"/>
              </w:rPr>
            </w:pPr>
            <w:r w:rsidRPr="00BA2448">
              <w:rPr>
                <w:rFonts w:ascii="Times New Roman" w:hAnsi="Times New Roman"/>
                <w:sz w:val="20"/>
                <w:szCs w:val="20"/>
              </w:rPr>
              <w:lastRenderedPageBreak/>
              <w:t>2.</w:t>
            </w:r>
          </w:p>
        </w:tc>
        <w:tc>
          <w:tcPr>
            <w:tcW w:w="924" w:type="pct"/>
          </w:tcPr>
          <w:p w14:paraId="3BA12B36" w14:textId="77777777" w:rsidR="00020950" w:rsidRPr="00BA2448" w:rsidRDefault="00020950" w:rsidP="000216B3">
            <w:pPr>
              <w:spacing w:after="0" w:line="240" w:lineRule="auto"/>
              <w:jc w:val="both"/>
              <w:rPr>
                <w:rFonts w:ascii="Times New Roman" w:hAnsi="Times New Roman"/>
                <w:sz w:val="20"/>
                <w:szCs w:val="20"/>
              </w:rPr>
            </w:pPr>
            <w:r w:rsidRPr="00BA2448">
              <w:rPr>
                <w:rFonts w:ascii="Times New Roman" w:hAnsi="Times New Roman"/>
                <w:sz w:val="20"/>
                <w:szCs w:val="20"/>
              </w:rPr>
              <w:t>Объёмы закупок иностранного ПО и связанных с ним работ (услуг)</w:t>
            </w:r>
          </w:p>
        </w:tc>
        <w:tc>
          <w:tcPr>
            <w:tcW w:w="457" w:type="pct"/>
          </w:tcPr>
          <w:p w14:paraId="31037C60" w14:textId="77777777" w:rsidR="00020950" w:rsidRPr="00BA2448" w:rsidRDefault="002D46C6" w:rsidP="000216B3">
            <w:pPr>
              <w:spacing w:after="0" w:line="240" w:lineRule="auto"/>
              <w:jc w:val="center"/>
              <w:rPr>
                <w:rFonts w:ascii="Times New Roman" w:hAnsi="Times New Roman"/>
                <w:sz w:val="20"/>
                <w:szCs w:val="20"/>
              </w:rPr>
            </w:pPr>
            <w:r w:rsidRPr="00BA2448">
              <w:rPr>
                <w:rFonts w:ascii="Times New Roman" w:hAnsi="Times New Roman"/>
                <w:sz w:val="20"/>
                <w:szCs w:val="20"/>
              </w:rPr>
              <w:t>тыс. руб.</w:t>
            </w:r>
          </w:p>
        </w:tc>
        <w:tc>
          <w:tcPr>
            <w:tcW w:w="3375" w:type="pct"/>
          </w:tcPr>
          <w:p w14:paraId="6DC74CD5" w14:textId="77777777" w:rsidR="00020950" w:rsidRPr="00BA2448" w:rsidRDefault="00020950" w:rsidP="002D46C6">
            <w:pPr>
              <w:spacing w:after="0" w:line="240" w:lineRule="auto"/>
              <w:jc w:val="both"/>
              <w:rPr>
                <w:rFonts w:ascii="Times New Roman" w:hAnsi="Times New Roman"/>
                <w:i/>
                <w:iCs/>
                <w:sz w:val="20"/>
                <w:szCs w:val="20"/>
              </w:rPr>
            </w:pPr>
            <w:r w:rsidRPr="00BA2448">
              <w:rPr>
                <w:rFonts w:ascii="Times New Roman" w:hAnsi="Times New Roman"/>
                <w:i/>
                <w:iCs/>
                <w:sz w:val="20"/>
                <w:szCs w:val="20"/>
              </w:rPr>
              <w:t>Указываются фактические объемы расходов, связанных с закупкой иностранного ПО и связанных с ним работ (услуг) в соответствующем квартале соответствующего года</w:t>
            </w:r>
            <w:r w:rsidR="00BA2448">
              <w:rPr>
                <w:rFonts w:ascii="Times New Roman" w:hAnsi="Times New Roman"/>
                <w:i/>
                <w:iCs/>
                <w:sz w:val="20"/>
                <w:szCs w:val="20"/>
              </w:rPr>
              <w:t>.</w:t>
            </w:r>
            <w:r w:rsidR="002D46C6" w:rsidRPr="00BA2448">
              <w:rPr>
                <w:rFonts w:ascii="Times New Roman" w:hAnsi="Times New Roman"/>
                <w:i/>
                <w:iCs/>
                <w:sz w:val="20"/>
                <w:szCs w:val="20"/>
              </w:rPr>
              <w:t xml:space="preserve"> </w:t>
            </w:r>
            <w:r w:rsidRPr="00BA2448">
              <w:rPr>
                <w:rFonts w:ascii="Times New Roman" w:hAnsi="Times New Roman"/>
                <w:i/>
                <w:iCs/>
                <w:sz w:val="20"/>
                <w:szCs w:val="20"/>
              </w:rPr>
              <w:t xml:space="preserve">Сведения по итогам </w:t>
            </w:r>
            <w:r w:rsidRPr="00BA2448">
              <w:rPr>
                <w:rFonts w:ascii="Times New Roman" w:hAnsi="Times New Roman"/>
                <w:i/>
                <w:iCs/>
                <w:sz w:val="20"/>
                <w:szCs w:val="20"/>
                <w:lang w:val="en-US"/>
              </w:rPr>
              <w:t>I</w:t>
            </w:r>
            <w:r w:rsidRPr="00BA2448">
              <w:rPr>
                <w:rFonts w:ascii="Times New Roman" w:hAnsi="Times New Roman"/>
                <w:i/>
                <w:iCs/>
                <w:sz w:val="20"/>
                <w:szCs w:val="20"/>
              </w:rPr>
              <w:t xml:space="preserve"> квартала для фактических значений предоставляются за соответствующий квартал. Далее сведения, предоставляемые по итогам последующих отчетных периодов, предоставляются накопленным итогом.</w:t>
            </w:r>
          </w:p>
        </w:tc>
      </w:tr>
    </w:tbl>
    <w:p w14:paraId="2CA57F9F" w14:textId="77777777" w:rsidR="00A97B77" w:rsidRDefault="00A97B77">
      <w:pPr>
        <w:spacing w:after="0" w:line="240" w:lineRule="auto"/>
        <w:rPr>
          <w:rFonts w:ascii="Times New Roman" w:hAnsi="Times New Roman"/>
        </w:rPr>
      </w:pPr>
      <w:r>
        <w:rPr>
          <w:rFonts w:ascii="Times New Roman" w:hAnsi="Times New Roman"/>
        </w:rPr>
        <w:br w:type="page"/>
      </w:r>
    </w:p>
    <w:p w14:paraId="641DBA32" w14:textId="77777777" w:rsidR="008319FB" w:rsidRPr="00B0658A" w:rsidRDefault="008319FB" w:rsidP="00FB2975">
      <w:pPr>
        <w:rPr>
          <w:rFonts w:ascii="Times New Roman" w:hAnsi="Times New Roman"/>
          <w:b/>
          <w:sz w:val="28"/>
          <w:szCs w:val="28"/>
        </w:rPr>
      </w:pPr>
      <w:bookmarkStart w:id="24" w:name="_Toc116390899"/>
      <w:r w:rsidRPr="00B0658A">
        <w:rPr>
          <w:rFonts w:ascii="Times New Roman" w:hAnsi="Times New Roman"/>
          <w:b/>
          <w:sz w:val="28"/>
          <w:szCs w:val="28"/>
        </w:rPr>
        <w:lastRenderedPageBreak/>
        <w:t>Форма отчетности за полугодовой период</w:t>
      </w:r>
      <w:bookmarkEnd w:id="24"/>
    </w:p>
    <w:p w14:paraId="637CFC49" w14:textId="77777777" w:rsidR="008319FB" w:rsidRPr="00B0658A" w:rsidRDefault="008319FB" w:rsidP="008319FB">
      <w:pPr>
        <w:rPr>
          <w:rFonts w:ascii="Times New Roman" w:hAnsi="Times New Roman"/>
        </w:rPr>
      </w:pPr>
    </w:p>
    <w:p w14:paraId="4CE75A7B" w14:textId="77777777" w:rsidR="008319FB" w:rsidRPr="00B0658A" w:rsidRDefault="008319FB" w:rsidP="008319FB">
      <w:pPr>
        <w:pStyle w:val="ConsPlusNormal"/>
        <w:spacing w:before="120"/>
        <w:jc w:val="center"/>
        <w:rPr>
          <w:sz w:val="32"/>
          <w:szCs w:val="32"/>
        </w:rPr>
      </w:pPr>
      <w:r w:rsidRPr="00B0658A">
        <w:rPr>
          <w:sz w:val="32"/>
          <w:szCs w:val="32"/>
        </w:rPr>
        <w:t xml:space="preserve">Сведения о реализации плана перехода ______________ (полное наименование органа государственной власти или государственного внебюджетного фонда) на использование российского </w:t>
      </w:r>
      <w:r w:rsidR="00823FE1" w:rsidRPr="00B0658A">
        <w:rPr>
          <w:sz w:val="32"/>
          <w:szCs w:val="32"/>
        </w:rPr>
        <w:t>ПО</w:t>
      </w:r>
      <w:r w:rsidRPr="00B0658A">
        <w:rPr>
          <w:sz w:val="32"/>
          <w:szCs w:val="32"/>
        </w:rPr>
        <w:t xml:space="preserve"> на период 2022-2030 годы за ____ полугодие _______ года.</w:t>
      </w:r>
    </w:p>
    <w:p w14:paraId="6286F1FB" w14:textId="77777777" w:rsidR="008319FB" w:rsidRPr="00B0658A" w:rsidRDefault="008319FB" w:rsidP="008319FB">
      <w:pPr>
        <w:pStyle w:val="afd"/>
        <w:spacing w:line="240" w:lineRule="auto"/>
        <w:ind w:left="1069"/>
        <w:jc w:val="both"/>
        <w:rPr>
          <w:rFonts w:ascii="Times New Roman" w:hAnsi="Times New Roman"/>
          <w:sz w:val="28"/>
          <w:szCs w:val="28"/>
        </w:rPr>
      </w:pPr>
    </w:p>
    <w:p w14:paraId="6DFE0718" w14:textId="77777777" w:rsidR="008319FB" w:rsidRPr="00B0658A" w:rsidRDefault="008319FB" w:rsidP="008319FB">
      <w:pPr>
        <w:spacing w:line="240" w:lineRule="auto"/>
        <w:ind w:firstLine="709"/>
        <w:jc w:val="both"/>
        <w:rPr>
          <w:rFonts w:ascii="Times New Roman" w:hAnsi="Times New Roman"/>
        </w:rPr>
      </w:pPr>
      <w:r w:rsidRPr="00B0658A">
        <w:rPr>
          <w:rFonts w:ascii="Times New Roman" w:hAnsi="Times New Roman"/>
          <w:sz w:val="28"/>
          <w:szCs w:val="28"/>
        </w:rPr>
        <w:t xml:space="preserve">Сведения о достижении </w:t>
      </w:r>
      <w:r w:rsidRPr="00B0658A">
        <w:rPr>
          <w:rFonts w:ascii="Times New Roman" w:hAnsi="Times New Roman"/>
          <w:sz w:val="28"/>
          <w:szCs w:val="24"/>
        </w:rPr>
        <w:t xml:space="preserve">показателей эффективности перехода </w:t>
      </w:r>
      <w:r w:rsidRPr="00B0658A">
        <w:rPr>
          <w:rFonts w:ascii="Times New Roman" w:hAnsi="Times New Roman"/>
          <w:sz w:val="28"/>
          <w:szCs w:val="28"/>
        </w:rPr>
        <w:t xml:space="preserve">на использование российского </w:t>
      </w:r>
      <w:r w:rsidR="00F34E83" w:rsidRPr="00B0658A">
        <w:rPr>
          <w:rFonts w:ascii="Times New Roman" w:hAnsi="Times New Roman"/>
          <w:sz w:val="28"/>
          <w:szCs w:val="28"/>
        </w:rPr>
        <w:t>ПО</w:t>
      </w:r>
    </w:p>
    <w:tbl>
      <w:tblPr>
        <w:tblStyle w:val="afc"/>
        <w:tblW w:w="0" w:type="auto"/>
        <w:tblLook w:val="0480" w:firstRow="0" w:lastRow="0" w:firstColumn="1" w:lastColumn="0" w:noHBand="0" w:noVBand="1"/>
      </w:tblPr>
      <w:tblGrid>
        <w:gridCol w:w="531"/>
        <w:gridCol w:w="3431"/>
        <w:gridCol w:w="1581"/>
        <w:gridCol w:w="2690"/>
        <w:gridCol w:w="2587"/>
        <w:gridCol w:w="3124"/>
      </w:tblGrid>
      <w:tr w:rsidR="00F52FED" w:rsidRPr="00B0658A" w14:paraId="64C01863" w14:textId="77777777" w:rsidTr="00F57B1F">
        <w:trPr>
          <w:trHeight w:val="170"/>
          <w:tblHeader/>
        </w:trPr>
        <w:tc>
          <w:tcPr>
            <w:tcW w:w="0" w:type="auto"/>
            <w:vMerge w:val="restart"/>
            <w:shd w:val="clear" w:color="auto" w:fill="auto"/>
            <w:vAlign w:val="center"/>
          </w:tcPr>
          <w:p w14:paraId="4563068D" w14:textId="77777777" w:rsidR="008319FB" w:rsidRPr="00B0658A" w:rsidRDefault="008319FB" w:rsidP="00004A41">
            <w:pPr>
              <w:spacing w:after="0" w:line="240" w:lineRule="auto"/>
              <w:jc w:val="center"/>
              <w:rPr>
                <w:rFonts w:ascii="Times New Roman" w:hAnsi="Times New Roman"/>
                <w:b/>
                <w:bCs/>
                <w:sz w:val="20"/>
                <w:szCs w:val="20"/>
              </w:rPr>
            </w:pPr>
            <w:r w:rsidRPr="00B0658A">
              <w:rPr>
                <w:rFonts w:ascii="Times New Roman" w:hAnsi="Times New Roman"/>
                <w:b/>
                <w:bCs/>
                <w:sz w:val="20"/>
                <w:szCs w:val="20"/>
              </w:rPr>
              <w:t>№</w:t>
            </w:r>
          </w:p>
          <w:p w14:paraId="02FF192E" w14:textId="77777777" w:rsidR="008319FB" w:rsidRPr="00B0658A" w:rsidRDefault="008319FB" w:rsidP="00004A41">
            <w:pPr>
              <w:spacing w:after="0" w:line="240" w:lineRule="auto"/>
              <w:jc w:val="center"/>
              <w:rPr>
                <w:rFonts w:ascii="Times New Roman" w:hAnsi="Times New Roman"/>
                <w:b/>
                <w:bCs/>
                <w:sz w:val="20"/>
                <w:szCs w:val="20"/>
              </w:rPr>
            </w:pPr>
          </w:p>
        </w:tc>
        <w:tc>
          <w:tcPr>
            <w:tcW w:w="3432" w:type="dxa"/>
            <w:vMerge w:val="restart"/>
            <w:shd w:val="clear" w:color="auto" w:fill="auto"/>
            <w:vAlign w:val="center"/>
          </w:tcPr>
          <w:p w14:paraId="0F75B7E8" w14:textId="77777777" w:rsidR="008319FB" w:rsidRPr="00B0658A" w:rsidRDefault="008319FB" w:rsidP="00004A41">
            <w:pPr>
              <w:spacing w:after="0" w:line="240" w:lineRule="auto"/>
              <w:jc w:val="center"/>
              <w:rPr>
                <w:rFonts w:ascii="Times New Roman" w:hAnsi="Times New Roman"/>
                <w:b/>
                <w:bCs/>
                <w:sz w:val="20"/>
                <w:szCs w:val="20"/>
              </w:rPr>
            </w:pPr>
            <w:r w:rsidRPr="00B0658A">
              <w:rPr>
                <w:rFonts w:ascii="Times New Roman" w:hAnsi="Times New Roman"/>
                <w:b/>
                <w:bCs/>
                <w:sz w:val="20"/>
                <w:szCs w:val="20"/>
              </w:rPr>
              <w:t xml:space="preserve">Наименование класса </w:t>
            </w:r>
            <w:r w:rsidRPr="00B0658A">
              <w:rPr>
                <w:rFonts w:ascii="Times New Roman" w:hAnsi="Times New Roman"/>
                <w:b/>
                <w:bCs/>
                <w:sz w:val="20"/>
                <w:szCs w:val="20"/>
                <w:lang w:val="en-US"/>
              </w:rPr>
              <w:t xml:space="preserve">/ </w:t>
            </w:r>
            <w:r w:rsidRPr="00B0658A">
              <w:rPr>
                <w:rFonts w:ascii="Times New Roman" w:hAnsi="Times New Roman"/>
                <w:b/>
                <w:bCs/>
                <w:sz w:val="20"/>
                <w:szCs w:val="20"/>
              </w:rPr>
              <w:t>типа ПО</w:t>
            </w:r>
          </w:p>
        </w:tc>
        <w:tc>
          <w:tcPr>
            <w:tcW w:w="1256" w:type="dxa"/>
            <w:vMerge w:val="restart"/>
            <w:vAlign w:val="center"/>
          </w:tcPr>
          <w:p w14:paraId="321CE99F" w14:textId="77777777" w:rsidR="008319FB" w:rsidRPr="00B0658A" w:rsidRDefault="008319FB" w:rsidP="00004A41">
            <w:pPr>
              <w:spacing w:after="0" w:line="240" w:lineRule="auto"/>
              <w:jc w:val="center"/>
              <w:rPr>
                <w:rFonts w:ascii="Times New Roman" w:hAnsi="Times New Roman"/>
                <w:b/>
                <w:bCs/>
                <w:sz w:val="20"/>
                <w:szCs w:val="20"/>
              </w:rPr>
            </w:pPr>
            <w:r w:rsidRPr="00B0658A">
              <w:rPr>
                <w:rFonts w:ascii="Times New Roman" w:hAnsi="Times New Roman"/>
                <w:b/>
                <w:bCs/>
                <w:sz w:val="20"/>
                <w:szCs w:val="20"/>
              </w:rPr>
              <w:t>Единицы измерения уровня использования</w:t>
            </w:r>
          </w:p>
        </w:tc>
        <w:tc>
          <w:tcPr>
            <w:tcW w:w="0" w:type="auto"/>
            <w:gridSpan w:val="2"/>
            <w:shd w:val="clear" w:color="auto" w:fill="auto"/>
            <w:vAlign w:val="center"/>
          </w:tcPr>
          <w:p w14:paraId="1A3B34EF" w14:textId="77777777" w:rsidR="008319FB" w:rsidRPr="00B0658A" w:rsidRDefault="008319FB" w:rsidP="00004A41">
            <w:pPr>
              <w:spacing w:after="0" w:line="240" w:lineRule="auto"/>
              <w:jc w:val="center"/>
              <w:rPr>
                <w:rFonts w:ascii="Times New Roman" w:hAnsi="Times New Roman"/>
                <w:b/>
                <w:bCs/>
                <w:sz w:val="20"/>
                <w:szCs w:val="20"/>
              </w:rPr>
            </w:pPr>
            <w:r w:rsidRPr="00B0658A">
              <w:rPr>
                <w:rFonts w:ascii="Times New Roman" w:hAnsi="Times New Roman"/>
                <w:b/>
                <w:bCs/>
                <w:sz w:val="20"/>
                <w:szCs w:val="20"/>
              </w:rPr>
              <w:t xml:space="preserve">Сведения о достижении </w:t>
            </w:r>
            <w:r w:rsidR="00A230D9" w:rsidRPr="00B0658A">
              <w:rPr>
                <w:rFonts w:ascii="Times New Roman" w:hAnsi="Times New Roman"/>
                <w:b/>
                <w:bCs/>
                <w:sz w:val="20"/>
                <w:szCs w:val="20"/>
              </w:rPr>
              <w:t>показателей</w:t>
            </w:r>
            <w:r w:rsidRPr="00B0658A">
              <w:rPr>
                <w:rFonts w:ascii="Times New Roman" w:hAnsi="Times New Roman"/>
                <w:b/>
                <w:bCs/>
                <w:sz w:val="20"/>
                <w:szCs w:val="20"/>
              </w:rPr>
              <w:t xml:space="preserve"> эффективности перехода на использование российского </w:t>
            </w:r>
            <w:r w:rsidR="00F34E83" w:rsidRPr="00B0658A">
              <w:rPr>
                <w:rFonts w:ascii="Times New Roman" w:hAnsi="Times New Roman"/>
                <w:b/>
                <w:bCs/>
                <w:sz w:val="20"/>
                <w:szCs w:val="20"/>
              </w:rPr>
              <w:t>ПО</w:t>
            </w:r>
          </w:p>
          <w:p w14:paraId="6C6A62D4" w14:textId="77777777" w:rsidR="008319FB" w:rsidRPr="00B0658A" w:rsidRDefault="008319FB" w:rsidP="00004A41">
            <w:pPr>
              <w:spacing w:after="0" w:line="240" w:lineRule="auto"/>
              <w:jc w:val="center"/>
              <w:rPr>
                <w:rFonts w:ascii="Times New Roman" w:hAnsi="Times New Roman"/>
                <w:b/>
                <w:bCs/>
                <w:sz w:val="20"/>
                <w:szCs w:val="20"/>
              </w:rPr>
            </w:pPr>
            <w:r w:rsidRPr="00B0658A">
              <w:rPr>
                <w:rFonts w:ascii="Times New Roman" w:hAnsi="Times New Roman"/>
                <w:b/>
                <w:bCs/>
                <w:sz w:val="20"/>
                <w:szCs w:val="20"/>
              </w:rPr>
              <w:t>за ___ полугодие _____ года</w:t>
            </w:r>
          </w:p>
        </w:tc>
        <w:tc>
          <w:tcPr>
            <w:tcW w:w="0" w:type="auto"/>
            <w:vMerge w:val="restart"/>
            <w:shd w:val="clear" w:color="auto" w:fill="auto"/>
            <w:vAlign w:val="center"/>
          </w:tcPr>
          <w:p w14:paraId="485E4D16" w14:textId="77777777" w:rsidR="008319FB" w:rsidRPr="00B0658A" w:rsidRDefault="00E94824" w:rsidP="00004A41">
            <w:pPr>
              <w:spacing w:after="0" w:line="240" w:lineRule="auto"/>
              <w:jc w:val="center"/>
              <w:rPr>
                <w:rFonts w:ascii="Times New Roman" w:hAnsi="Times New Roman"/>
                <w:b/>
                <w:bCs/>
                <w:sz w:val="20"/>
                <w:szCs w:val="20"/>
              </w:rPr>
            </w:pPr>
            <w:r w:rsidRPr="00B0658A">
              <w:rPr>
                <w:rFonts w:ascii="Times New Roman" w:hAnsi="Times New Roman"/>
                <w:b/>
                <w:bCs/>
                <w:sz w:val="20"/>
                <w:szCs w:val="20"/>
              </w:rPr>
              <w:t>Сведения о российском/евразийском ПО, на использование которого был осуществлен переход</w:t>
            </w:r>
          </w:p>
        </w:tc>
      </w:tr>
      <w:tr w:rsidR="00F52FED" w:rsidRPr="00B0658A" w14:paraId="37725891" w14:textId="77777777" w:rsidTr="001E5E80">
        <w:trPr>
          <w:trHeight w:val="170"/>
        </w:trPr>
        <w:tc>
          <w:tcPr>
            <w:tcW w:w="0" w:type="auto"/>
            <w:vMerge/>
            <w:shd w:val="clear" w:color="auto" w:fill="auto"/>
          </w:tcPr>
          <w:p w14:paraId="38746E2C" w14:textId="77777777" w:rsidR="008319FB" w:rsidRPr="00B0658A" w:rsidRDefault="008319FB" w:rsidP="00004A41">
            <w:pPr>
              <w:spacing w:after="0" w:line="240" w:lineRule="auto"/>
              <w:rPr>
                <w:rFonts w:ascii="Times New Roman" w:hAnsi="Times New Roman"/>
                <w:b/>
                <w:bCs/>
                <w:sz w:val="20"/>
                <w:szCs w:val="20"/>
              </w:rPr>
            </w:pPr>
          </w:p>
        </w:tc>
        <w:tc>
          <w:tcPr>
            <w:tcW w:w="3432" w:type="dxa"/>
            <w:vMerge/>
            <w:shd w:val="clear" w:color="auto" w:fill="auto"/>
          </w:tcPr>
          <w:p w14:paraId="65B37083" w14:textId="77777777" w:rsidR="008319FB" w:rsidRPr="00B0658A" w:rsidRDefault="008319FB" w:rsidP="00004A41">
            <w:pPr>
              <w:spacing w:after="0" w:line="240" w:lineRule="auto"/>
              <w:rPr>
                <w:rFonts w:ascii="Times New Roman" w:hAnsi="Times New Roman"/>
                <w:b/>
                <w:bCs/>
                <w:sz w:val="20"/>
                <w:szCs w:val="20"/>
              </w:rPr>
            </w:pPr>
          </w:p>
        </w:tc>
        <w:tc>
          <w:tcPr>
            <w:tcW w:w="1256" w:type="dxa"/>
            <w:vMerge/>
          </w:tcPr>
          <w:p w14:paraId="2FF04C53" w14:textId="77777777" w:rsidR="008319FB" w:rsidRPr="00B0658A" w:rsidRDefault="008319FB" w:rsidP="00004A41">
            <w:pPr>
              <w:spacing w:after="0" w:line="240" w:lineRule="auto"/>
              <w:jc w:val="center"/>
              <w:rPr>
                <w:rFonts w:ascii="Times New Roman" w:hAnsi="Times New Roman"/>
                <w:b/>
                <w:bCs/>
                <w:sz w:val="20"/>
                <w:szCs w:val="20"/>
              </w:rPr>
            </w:pPr>
          </w:p>
        </w:tc>
        <w:tc>
          <w:tcPr>
            <w:tcW w:w="0" w:type="auto"/>
            <w:shd w:val="clear" w:color="auto" w:fill="auto"/>
            <w:vAlign w:val="center"/>
          </w:tcPr>
          <w:p w14:paraId="30ACD3DC" w14:textId="77777777" w:rsidR="008319FB" w:rsidRPr="00B0658A" w:rsidRDefault="008319FB" w:rsidP="00004A41">
            <w:pPr>
              <w:spacing w:after="0" w:line="240" w:lineRule="auto"/>
              <w:jc w:val="center"/>
              <w:rPr>
                <w:rFonts w:ascii="Times New Roman" w:hAnsi="Times New Roman"/>
                <w:b/>
                <w:bCs/>
                <w:sz w:val="20"/>
                <w:szCs w:val="20"/>
              </w:rPr>
            </w:pPr>
            <w:r w:rsidRPr="00B0658A">
              <w:rPr>
                <w:rFonts w:ascii="Times New Roman" w:hAnsi="Times New Roman"/>
                <w:b/>
                <w:bCs/>
                <w:sz w:val="20"/>
                <w:szCs w:val="20"/>
              </w:rPr>
              <w:t>План</w:t>
            </w:r>
          </w:p>
        </w:tc>
        <w:tc>
          <w:tcPr>
            <w:tcW w:w="0" w:type="auto"/>
            <w:shd w:val="clear" w:color="auto" w:fill="auto"/>
          </w:tcPr>
          <w:p w14:paraId="7148723D" w14:textId="77777777" w:rsidR="008319FB" w:rsidRPr="00B0658A" w:rsidRDefault="008319FB" w:rsidP="00004A41">
            <w:pPr>
              <w:spacing w:after="0" w:line="240" w:lineRule="auto"/>
              <w:jc w:val="center"/>
              <w:rPr>
                <w:rFonts w:ascii="Times New Roman" w:hAnsi="Times New Roman"/>
                <w:b/>
                <w:bCs/>
                <w:sz w:val="20"/>
                <w:szCs w:val="20"/>
              </w:rPr>
            </w:pPr>
            <w:r w:rsidRPr="00B0658A">
              <w:rPr>
                <w:rFonts w:ascii="Times New Roman" w:hAnsi="Times New Roman"/>
                <w:b/>
                <w:bCs/>
                <w:sz w:val="20"/>
                <w:szCs w:val="20"/>
              </w:rPr>
              <w:t>Факт</w:t>
            </w:r>
          </w:p>
        </w:tc>
        <w:tc>
          <w:tcPr>
            <w:tcW w:w="0" w:type="auto"/>
            <w:vMerge/>
            <w:shd w:val="clear" w:color="auto" w:fill="auto"/>
          </w:tcPr>
          <w:p w14:paraId="03538DC4" w14:textId="77777777" w:rsidR="008319FB" w:rsidRPr="00B0658A" w:rsidRDefault="008319FB" w:rsidP="00004A41">
            <w:pPr>
              <w:spacing w:after="0" w:line="240" w:lineRule="auto"/>
              <w:rPr>
                <w:rFonts w:ascii="Times New Roman" w:hAnsi="Times New Roman"/>
                <w:b/>
                <w:bCs/>
                <w:sz w:val="20"/>
                <w:szCs w:val="20"/>
              </w:rPr>
            </w:pPr>
          </w:p>
        </w:tc>
      </w:tr>
      <w:tr w:rsidR="00F52FED" w:rsidRPr="00B0658A" w14:paraId="3DD748EC" w14:textId="77777777" w:rsidTr="001E5E80">
        <w:trPr>
          <w:trHeight w:val="170"/>
        </w:trPr>
        <w:tc>
          <w:tcPr>
            <w:tcW w:w="0" w:type="auto"/>
            <w:shd w:val="clear" w:color="auto" w:fill="auto"/>
            <w:vAlign w:val="center"/>
          </w:tcPr>
          <w:p w14:paraId="38BC8DA4" w14:textId="77777777" w:rsidR="0070070D" w:rsidRPr="00B0658A" w:rsidRDefault="0070070D" w:rsidP="00004A41">
            <w:pPr>
              <w:spacing w:after="0" w:line="240" w:lineRule="auto"/>
              <w:rPr>
                <w:rFonts w:ascii="Times New Roman" w:hAnsi="Times New Roman"/>
                <w:sz w:val="20"/>
                <w:szCs w:val="20"/>
              </w:rPr>
            </w:pPr>
            <w:r w:rsidRPr="00B0658A">
              <w:rPr>
                <w:rFonts w:ascii="Times New Roman" w:hAnsi="Times New Roman"/>
                <w:sz w:val="18"/>
                <w:szCs w:val="18"/>
              </w:rPr>
              <w:t>1.1</w:t>
            </w:r>
          </w:p>
        </w:tc>
        <w:tc>
          <w:tcPr>
            <w:tcW w:w="3432" w:type="dxa"/>
            <w:shd w:val="clear" w:color="auto" w:fill="auto"/>
            <w:vAlign w:val="center"/>
          </w:tcPr>
          <w:p w14:paraId="3492AAB0" w14:textId="77777777" w:rsidR="0070070D" w:rsidRPr="00B0658A" w:rsidRDefault="0070070D" w:rsidP="00004A41">
            <w:pPr>
              <w:spacing w:after="0" w:line="240" w:lineRule="auto"/>
              <w:rPr>
                <w:rFonts w:ascii="Times New Roman" w:hAnsi="Times New Roman"/>
                <w:i/>
                <w:sz w:val="20"/>
                <w:szCs w:val="20"/>
              </w:rPr>
            </w:pPr>
            <w:r w:rsidRPr="00B0658A">
              <w:rPr>
                <w:rFonts w:ascii="Times New Roman" w:hAnsi="Times New Roman"/>
                <w:sz w:val="18"/>
                <w:szCs w:val="18"/>
              </w:rPr>
              <w:t>Встроенное программное обеспечение/ Встроенные системные программы: BIOS, UEFI и иные встроенные системные программы</w:t>
            </w:r>
          </w:p>
        </w:tc>
        <w:tc>
          <w:tcPr>
            <w:tcW w:w="1256" w:type="dxa"/>
          </w:tcPr>
          <w:p w14:paraId="79AB012B" w14:textId="77777777" w:rsidR="0070070D" w:rsidRPr="00B0658A" w:rsidRDefault="0070070D" w:rsidP="00004A41">
            <w:pPr>
              <w:spacing w:after="0" w:line="240" w:lineRule="auto"/>
              <w:rPr>
                <w:rFonts w:ascii="Times New Roman" w:hAnsi="Times New Roman"/>
                <w:i/>
                <w:iCs/>
                <w:sz w:val="20"/>
                <w:szCs w:val="20"/>
              </w:rPr>
            </w:pPr>
            <w:r w:rsidRPr="00B0658A">
              <w:rPr>
                <w:rFonts w:ascii="Times New Roman" w:hAnsi="Times New Roman"/>
                <w:i/>
                <w:iCs/>
                <w:sz w:val="20"/>
                <w:szCs w:val="20"/>
              </w:rPr>
              <w:t>Указывает</w:t>
            </w:r>
            <w:r w:rsidR="003D62F7" w:rsidRPr="00B0658A">
              <w:rPr>
                <w:rFonts w:ascii="Times New Roman" w:hAnsi="Times New Roman"/>
                <w:i/>
                <w:iCs/>
                <w:sz w:val="20"/>
                <w:szCs w:val="20"/>
              </w:rPr>
              <w:t xml:space="preserve">ся </w:t>
            </w:r>
            <w:r w:rsidRPr="00B0658A">
              <w:rPr>
                <w:rFonts w:ascii="Times New Roman" w:hAnsi="Times New Roman"/>
                <w:i/>
                <w:iCs/>
                <w:sz w:val="20"/>
                <w:szCs w:val="20"/>
              </w:rPr>
              <w:t>единица измерения уровня использования</w:t>
            </w:r>
          </w:p>
        </w:tc>
        <w:tc>
          <w:tcPr>
            <w:tcW w:w="0" w:type="auto"/>
            <w:shd w:val="clear" w:color="auto" w:fill="auto"/>
          </w:tcPr>
          <w:p w14:paraId="3058C9A8" w14:textId="77777777" w:rsidR="0070070D" w:rsidRPr="00B0658A" w:rsidRDefault="0070070D" w:rsidP="00004A41">
            <w:pPr>
              <w:spacing w:after="0" w:line="240" w:lineRule="auto"/>
              <w:rPr>
                <w:rFonts w:ascii="Times New Roman" w:hAnsi="Times New Roman"/>
                <w:i/>
                <w:iCs/>
                <w:sz w:val="20"/>
                <w:szCs w:val="20"/>
              </w:rPr>
            </w:pPr>
            <w:r w:rsidRPr="00B0658A">
              <w:rPr>
                <w:rFonts w:ascii="Times New Roman" w:hAnsi="Times New Roman"/>
                <w:i/>
                <w:iCs/>
                <w:sz w:val="20"/>
                <w:szCs w:val="20"/>
              </w:rPr>
              <w:t>Указывается плановое значение показателя эффективности на соответствующий год для соответствующего класса ПО в соответствии с утвержденным планом перехода органа государственной власти или государственного внебюджетного фонда на использование российского ПО.</w:t>
            </w:r>
          </w:p>
          <w:p w14:paraId="593CEF65" w14:textId="77777777" w:rsidR="0070070D" w:rsidRPr="00B0658A" w:rsidRDefault="0070070D" w:rsidP="00004A41">
            <w:pPr>
              <w:spacing w:after="0" w:line="240" w:lineRule="auto"/>
              <w:rPr>
                <w:rFonts w:ascii="Times New Roman" w:hAnsi="Times New Roman"/>
                <w:i/>
                <w:iCs/>
                <w:sz w:val="20"/>
                <w:szCs w:val="20"/>
              </w:rPr>
            </w:pPr>
            <w:r w:rsidRPr="00B0658A">
              <w:rPr>
                <w:rFonts w:ascii="Times New Roman" w:hAnsi="Times New Roman"/>
                <w:i/>
                <w:iCs/>
                <w:sz w:val="20"/>
                <w:szCs w:val="20"/>
              </w:rPr>
              <w:t>В случае, если для соответствующего показателя ранее было установлено значение «не используется» указывается «не используется»</w:t>
            </w:r>
          </w:p>
        </w:tc>
        <w:tc>
          <w:tcPr>
            <w:tcW w:w="0" w:type="auto"/>
            <w:shd w:val="clear" w:color="auto" w:fill="auto"/>
          </w:tcPr>
          <w:p w14:paraId="11B8ECD5" w14:textId="77777777" w:rsidR="0070070D" w:rsidRPr="00B0658A" w:rsidRDefault="0070070D" w:rsidP="00004A41">
            <w:pPr>
              <w:spacing w:after="0" w:line="240" w:lineRule="auto"/>
              <w:rPr>
                <w:rFonts w:ascii="Times New Roman" w:hAnsi="Times New Roman"/>
                <w:i/>
                <w:iCs/>
                <w:sz w:val="20"/>
                <w:szCs w:val="20"/>
              </w:rPr>
            </w:pPr>
            <w:r w:rsidRPr="00B0658A">
              <w:rPr>
                <w:rFonts w:ascii="Times New Roman" w:hAnsi="Times New Roman"/>
                <w:i/>
                <w:iCs/>
                <w:sz w:val="20"/>
                <w:szCs w:val="20"/>
              </w:rPr>
              <w:t>Указывается фактически достигнутое значение показателя использования российского ПО по итогам соответствующего отчетного периода. Данные устанавливаются накопленным итогом с учетом достигнутых результатов в прошлых периодах.</w:t>
            </w:r>
          </w:p>
          <w:p w14:paraId="7E625382" w14:textId="77777777" w:rsidR="0070070D" w:rsidRPr="00B0658A" w:rsidRDefault="0070070D" w:rsidP="00004A41">
            <w:pPr>
              <w:spacing w:after="0" w:line="240" w:lineRule="auto"/>
              <w:rPr>
                <w:rFonts w:ascii="Times New Roman" w:hAnsi="Times New Roman"/>
                <w:i/>
                <w:iCs/>
                <w:sz w:val="20"/>
                <w:szCs w:val="20"/>
              </w:rPr>
            </w:pPr>
            <w:r w:rsidRPr="00B0658A">
              <w:rPr>
                <w:rFonts w:ascii="Times New Roman" w:hAnsi="Times New Roman"/>
                <w:i/>
                <w:iCs/>
                <w:sz w:val="20"/>
                <w:szCs w:val="20"/>
              </w:rPr>
              <w:t>В случае, если для соответствующего показателя ранее было установлено значение «не используется» указывается «не используется»</w:t>
            </w:r>
          </w:p>
        </w:tc>
        <w:tc>
          <w:tcPr>
            <w:tcW w:w="0" w:type="auto"/>
            <w:shd w:val="clear" w:color="auto" w:fill="auto"/>
          </w:tcPr>
          <w:p w14:paraId="1D2AA1E8" w14:textId="77777777" w:rsidR="0070070D" w:rsidRPr="00B0658A" w:rsidRDefault="0070070D" w:rsidP="00004A41">
            <w:pPr>
              <w:spacing w:after="0" w:line="240" w:lineRule="auto"/>
              <w:jc w:val="both"/>
              <w:rPr>
                <w:rFonts w:ascii="Times New Roman" w:hAnsi="Times New Roman"/>
                <w:i/>
                <w:iCs/>
                <w:sz w:val="20"/>
                <w:szCs w:val="20"/>
              </w:rPr>
            </w:pPr>
            <w:r w:rsidRPr="00B0658A">
              <w:rPr>
                <w:rFonts w:ascii="Times New Roman" w:hAnsi="Times New Roman"/>
                <w:i/>
                <w:iCs/>
                <w:sz w:val="20"/>
                <w:szCs w:val="20"/>
              </w:rPr>
              <w:t>Указывается следующая информация:</w:t>
            </w:r>
          </w:p>
          <w:p w14:paraId="0792088B" w14:textId="77777777" w:rsidR="0070070D" w:rsidRPr="00B0658A" w:rsidRDefault="0070070D" w:rsidP="00004A41">
            <w:pPr>
              <w:spacing w:after="0" w:line="240" w:lineRule="auto"/>
              <w:jc w:val="both"/>
              <w:rPr>
                <w:rFonts w:ascii="Times New Roman" w:hAnsi="Times New Roman"/>
                <w:i/>
                <w:iCs/>
                <w:sz w:val="20"/>
                <w:szCs w:val="20"/>
              </w:rPr>
            </w:pPr>
            <w:r w:rsidRPr="00B0658A">
              <w:rPr>
                <w:rFonts w:ascii="Times New Roman" w:hAnsi="Times New Roman"/>
                <w:i/>
                <w:iCs/>
                <w:sz w:val="20"/>
                <w:szCs w:val="20"/>
              </w:rPr>
              <w:t>1. Наименование иностранного ПО, которое было замещено;</w:t>
            </w:r>
          </w:p>
          <w:p w14:paraId="085E6603" w14:textId="77777777" w:rsidR="0070070D" w:rsidRPr="00B0658A" w:rsidRDefault="0070070D" w:rsidP="00004A41">
            <w:pPr>
              <w:spacing w:after="0" w:line="240" w:lineRule="auto"/>
              <w:jc w:val="both"/>
              <w:rPr>
                <w:rFonts w:ascii="Times New Roman" w:hAnsi="Times New Roman"/>
                <w:i/>
                <w:iCs/>
                <w:sz w:val="20"/>
                <w:szCs w:val="20"/>
              </w:rPr>
            </w:pPr>
            <w:r w:rsidRPr="00B0658A">
              <w:rPr>
                <w:rFonts w:ascii="Times New Roman" w:hAnsi="Times New Roman"/>
                <w:i/>
                <w:iCs/>
                <w:sz w:val="20"/>
                <w:szCs w:val="20"/>
              </w:rPr>
              <w:t>2. Наименование российского ПО и евразийского ПО (</w:t>
            </w:r>
            <w:r w:rsidR="0020281A" w:rsidRPr="00B0658A">
              <w:rPr>
                <w:rFonts w:ascii="Times New Roman" w:hAnsi="Times New Roman"/>
                <w:i/>
                <w:iCs/>
                <w:sz w:val="20"/>
                <w:szCs w:val="20"/>
              </w:rPr>
              <w:t xml:space="preserve">на </w:t>
            </w:r>
            <w:r w:rsidRPr="00B0658A">
              <w:rPr>
                <w:rFonts w:ascii="Times New Roman" w:hAnsi="Times New Roman"/>
                <w:i/>
                <w:iCs/>
                <w:sz w:val="20"/>
                <w:szCs w:val="20"/>
              </w:rPr>
              <w:t>значимых объект</w:t>
            </w:r>
            <w:r w:rsidR="00815605" w:rsidRPr="00B0658A">
              <w:rPr>
                <w:rFonts w:ascii="Times New Roman" w:hAnsi="Times New Roman"/>
                <w:i/>
                <w:iCs/>
                <w:sz w:val="20"/>
                <w:szCs w:val="20"/>
              </w:rPr>
              <w:t>ах</w:t>
            </w:r>
            <w:r w:rsidRPr="00B0658A">
              <w:rPr>
                <w:rFonts w:ascii="Times New Roman" w:hAnsi="Times New Roman"/>
                <w:i/>
                <w:iCs/>
                <w:sz w:val="20"/>
                <w:szCs w:val="20"/>
              </w:rPr>
              <w:t xml:space="preserve"> КИИ), на которое был осуществлен переход, с указанием сведений о номерах записей в едином реестре российского ПО и в едином реестре евразийского ПО соответственно.</w:t>
            </w:r>
          </w:p>
          <w:p w14:paraId="287C2655" w14:textId="77777777" w:rsidR="0070070D" w:rsidRPr="00B0658A" w:rsidRDefault="0070070D" w:rsidP="00004A41">
            <w:pPr>
              <w:spacing w:after="0" w:line="240" w:lineRule="auto"/>
              <w:jc w:val="both"/>
              <w:rPr>
                <w:rFonts w:ascii="Times New Roman" w:hAnsi="Times New Roman"/>
                <w:i/>
                <w:iCs/>
                <w:sz w:val="20"/>
                <w:szCs w:val="20"/>
              </w:rPr>
            </w:pPr>
          </w:p>
        </w:tc>
      </w:tr>
      <w:tr w:rsidR="00F52FED" w:rsidRPr="00B0658A" w14:paraId="70F89E07" w14:textId="77777777" w:rsidTr="001E5E80">
        <w:trPr>
          <w:trHeight w:val="170"/>
        </w:trPr>
        <w:tc>
          <w:tcPr>
            <w:tcW w:w="0" w:type="auto"/>
            <w:shd w:val="clear" w:color="auto" w:fill="auto"/>
            <w:vAlign w:val="center"/>
          </w:tcPr>
          <w:p w14:paraId="07154880" w14:textId="77777777" w:rsidR="0070070D" w:rsidRPr="00B0658A" w:rsidRDefault="0070070D" w:rsidP="00004A41">
            <w:pPr>
              <w:spacing w:after="0" w:line="240" w:lineRule="auto"/>
              <w:rPr>
                <w:rFonts w:ascii="Times New Roman" w:hAnsi="Times New Roman"/>
                <w:sz w:val="20"/>
                <w:szCs w:val="20"/>
              </w:rPr>
            </w:pPr>
            <w:r w:rsidRPr="00B0658A">
              <w:rPr>
                <w:rFonts w:ascii="Times New Roman" w:hAnsi="Times New Roman"/>
                <w:sz w:val="18"/>
                <w:szCs w:val="18"/>
              </w:rPr>
              <w:lastRenderedPageBreak/>
              <w:t>1.2</w:t>
            </w:r>
          </w:p>
        </w:tc>
        <w:tc>
          <w:tcPr>
            <w:tcW w:w="3432" w:type="dxa"/>
            <w:shd w:val="clear" w:color="auto" w:fill="auto"/>
            <w:vAlign w:val="center"/>
          </w:tcPr>
          <w:p w14:paraId="568B03E8" w14:textId="77777777" w:rsidR="0070070D" w:rsidRPr="00B0658A" w:rsidRDefault="0070070D" w:rsidP="00004A41">
            <w:pPr>
              <w:spacing w:after="0" w:line="240" w:lineRule="auto"/>
              <w:rPr>
                <w:rFonts w:ascii="Times New Roman" w:hAnsi="Times New Roman"/>
                <w:i/>
                <w:iCs/>
                <w:sz w:val="20"/>
                <w:szCs w:val="20"/>
              </w:rPr>
            </w:pPr>
            <w:r w:rsidRPr="00B0658A">
              <w:rPr>
                <w:rFonts w:ascii="Times New Roman" w:hAnsi="Times New Roman"/>
                <w:sz w:val="18"/>
                <w:szCs w:val="18"/>
              </w:rPr>
              <w:t>Встроенное программное обеспечение/ Встроенные системные программы – операционные системы</w:t>
            </w:r>
          </w:p>
        </w:tc>
        <w:tc>
          <w:tcPr>
            <w:tcW w:w="1256" w:type="dxa"/>
          </w:tcPr>
          <w:p w14:paraId="2E21B7F8"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5E9B7305"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0C985D10"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4C36E4E9" w14:textId="77777777" w:rsidR="0070070D" w:rsidRPr="00B0658A" w:rsidRDefault="0070070D" w:rsidP="00004A41">
            <w:pPr>
              <w:spacing w:after="0" w:line="240" w:lineRule="auto"/>
              <w:jc w:val="both"/>
              <w:rPr>
                <w:rFonts w:ascii="Times New Roman" w:hAnsi="Times New Roman"/>
                <w:i/>
                <w:iCs/>
                <w:sz w:val="20"/>
                <w:szCs w:val="20"/>
              </w:rPr>
            </w:pPr>
          </w:p>
        </w:tc>
      </w:tr>
      <w:tr w:rsidR="00F52FED" w:rsidRPr="00B0658A" w14:paraId="21EAEFE4" w14:textId="77777777" w:rsidTr="001E5E80">
        <w:trPr>
          <w:trHeight w:val="170"/>
        </w:trPr>
        <w:tc>
          <w:tcPr>
            <w:tcW w:w="0" w:type="auto"/>
            <w:shd w:val="clear" w:color="auto" w:fill="auto"/>
            <w:vAlign w:val="center"/>
          </w:tcPr>
          <w:p w14:paraId="0CD35527" w14:textId="77777777" w:rsidR="0070070D" w:rsidRPr="00B0658A" w:rsidRDefault="0070070D" w:rsidP="00004A41">
            <w:pPr>
              <w:spacing w:after="0" w:line="240" w:lineRule="auto"/>
              <w:rPr>
                <w:rFonts w:ascii="Times New Roman" w:hAnsi="Times New Roman"/>
                <w:sz w:val="20"/>
                <w:szCs w:val="20"/>
              </w:rPr>
            </w:pPr>
            <w:r w:rsidRPr="00B0658A">
              <w:rPr>
                <w:rFonts w:ascii="Times New Roman" w:hAnsi="Times New Roman"/>
                <w:sz w:val="18"/>
                <w:szCs w:val="18"/>
              </w:rPr>
              <w:t>1.3</w:t>
            </w:r>
          </w:p>
        </w:tc>
        <w:tc>
          <w:tcPr>
            <w:tcW w:w="3432" w:type="dxa"/>
            <w:shd w:val="clear" w:color="auto" w:fill="auto"/>
            <w:vAlign w:val="center"/>
          </w:tcPr>
          <w:p w14:paraId="22766E25" w14:textId="77777777" w:rsidR="0070070D" w:rsidRPr="00B0658A" w:rsidRDefault="0070070D" w:rsidP="00004A41">
            <w:pPr>
              <w:spacing w:after="0" w:line="240" w:lineRule="auto"/>
              <w:rPr>
                <w:rFonts w:ascii="Times New Roman" w:hAnsi="Times New Roman"/>
                <w:i/>
                <w:iCs/>
                <w:sz w:val="20"/>
                <w:szCs w:val="20"/>
              </w:rPr>
            </w:pPr>
            <w:r w:rsidRPr="00B0658A">
              <w:rPr>
                <w:rFonts w:ascii="Times New Roman" w:hAnsi="Times New Roman"/>
                <w:sz w:val="18"/>
                <w:szCs w:val="18"/>
              </w:rPr>
              <w:t>Встроенное программное обеспечение/ Встроенные прикладные программы</w:t>
            </w:r>
          </w:p>
        </w:tc>
        <w:tc>
          <w:tcPr>
            <w:tcW w:w="1256" w:type="dxa"/>
          </w:tcPr>
          <w:p w14:paraId="346C4507"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38A0F13D"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115386E2"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4C6A37C9" w14:textId="77777777" w:rsidR="0070070D" w:rsidRPr="00B0658A" w:rsidRDefault="0070070D" w:rsidP="00004A41">
            <w:pPr>
              <w:spacing w:after="0" w:line="240" w:lineRule="auto"/>
              <w:jc w:val="both"/>
              <w:rPr>
                <w:rFonts w:ascii="Times New Roman" w:hAnsi="Times New Roman"/>
                <w:i/>
                <w:iCs/>
                <w:sz w:val="20"/>
                <w:szCs w:val="20"/>
              </w:rPr>
            </w:pPr>
          </w:p>
        </w:tc>
      </w:tr>
      <w:tr w:rsidR="00F52FED" w:rsidRPr="00B0658A" w14:paraId="43384587" w14:textId="77777777" w:rsidTr="001E5E80">
        <w:trPr>
          <w:trHeight w:val="170"/>
        </w:trPr>
        <w:tc>
          <w:tcPr>
            <w:tcW w:w="0" w:type="auto"/>
            <w:shd w:val="clear" w:color="auto" w:fill="auto"/>
            <w:vAlign w:val="center"/>
          </w:tcPr>
          <w:p w14:paraId="4D01B773" w14:textId="77777777" w:rsidR="0070070D" w:rsidRPr="00B0658A" w:rsidRDefault="0070070D" w:rsidP="00004A41">
            <w:pPr>
              <w:spacing w:after="0" w:line="240" w:lineRule="auto"/>
              <w:rPr>
                <w:rFonts w:ascii="Times New Roman" w:hAnsi="Times New Roman"/>
                <w:sz w:val="20"/>
                <w:szCs w:val="20"/>
              </w:rPr>
            </w:pPr>
            <w:r w:rsidRPr="00B0658A">
              <w:rPr>
                <w:rFonts w:ascii="Times New Roman" w:hAnsi="Times New Roman"/>
                <w:sz w:val="18"/>
                <w:szCs w:val="18"/>
              </w:rPr>
              <w:t>1.4</w:t>
            </w:r>
          </w:p>
        </w:tc>
        <w:tc>
          <w:tcPr>
            <w:tcW w:w="3432" w:type="dxa"/>
            <w:shd w:val="clear" w:color="auto" w:fill="auto"/>
            <w:vAlign w:val="center"/>
          </w:tcPr>
          <w:p w14:paraId="55E78467" w14:textId="77777777" w:rsidR="0070070D" w:rsidRPr="00B0658A" w:rsidRDefault="0070070D" w:rsidP="00004A41">
            <w:pPr>
              <w:spacing w:after="0" w:line="240" w:lineRule="auto"/>
              <w:rPr>
                <w:rFonts w:ascii="Times New Roman" w:hAnsi="Times New Roman"/>
                <w:i/>
                <w:iCs/>
                <w:sz w:val="20"/>
                <w:szCs w:val="20"/>
              </w:rPr>
            </w:pPr>
            <w:r w:rsidRPr="00B0658A">
              <w:rPr>
                <w:rFonts w:ascii="Times New Roman" w:hAnsi="Times New Roman"/>
                <w:sz w:val="18"/>
                <w:szCs w:val="18"/>
              </w:rPr>
              <w:t>Встроенное программное обеспечение/ Программное обеспечение интернета вещей, робототехники и сенсорики</w:t>
            </w:r>
          </w:p>
        </w:tc>
        <w:tc>
          <w:tcPr>
            <w:tcW w:w="1256" w:type="dxa"/>
          </w:tcPr>
          <w:p w14:paraId="2DCF4427"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037652C1"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6D516DA2"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67E7D08B" w14:textId="77777777" w:rsidR="0070070D" w:rsidRPr="00B0658A" w:rsidRDefault="0070070D" w:rsidP="00004A41">
            <w:pPr>
              <w:spacing w:after="0" w:line="240" w:lineRule="auto"/>
              <w:jc w:val="both"/>
              <w:rPr>
                <w:rFonts w:ascii="Times New Roman" w:hAnsi="Times New Roman"/>
                <w:i/>
                <w:iCs/>
                <w:sz w:val="20"/>
                <w:szCs w:val="20"/>
              </w:rPr>
            </w:pPr>
          </w:p>
        </w:tc>
      </w:tr>
      <w:tr w:rsidR="00F52FED" w:rsidRPr="00B0658A" w14:paraId="4FAAAD14" w14:textId="77777777" w:rsidTr="001E5E80">
        <w:trPr>
          <w:trHeight w:val="170"/>
        </w:trPr>
        <w:tc>
          <w:tcPr>
            <w:tcW w:w="0" w:type="auto"/>
            <w:shd w:val="clear" w:color="auto" w:fill="auto"/>
            <w:vAlign w:val="center"/>
          </w:tcPr>
          <w:p w14:paraId="60D02E7F" w14:textId="77777777" w:rsidR="0070070D" w:rsidRPr="00B0658A" w:rsidRDefault="0070070D" w:rsidP="00004A41">
            <w:pPr>
              <w:spacing w:after="0" w:line="240" w:lineRule="auto"/>
              <w:rPr>
                <w:rFonts w:ascii="Times New Roman" w:hAnsi="Times New Roman"/>
                <w:sz w:val="20"/>
                <w:szCs w:val="20"/>
              </w:rPr>
            </w:pPr>
            <w:r w:rsidRPr="00B0658A">
              <w:rPr>
                <w:rFonts w:ascii="Times New Roman" w:hAnsi="Times New Roman"/>
                <w:sz w:val="18"/>
                <w:szCs w:val="18"/>
              </w:rPr>
              <w:t>2.1</w:t>
            </w:r>
          </w:p>
        </w:tc>
        <w:tc>
          <w:tcPr>
            <w:tcW w:w="3432" w:type="dxa"/>
            <w:shd w:val="clear" w:color="auto" w:fill="auto"/>
            <w:vAlign w:val="center"/>
          </w:tcPr>
          <w:p w14:paraId="2D94B1E7" w14:textId="77777777" w:rsidR="0070070D" w:rsidRPr="00B0658A" w:rsidRDefault="0070070D" w:rsidP="00004A41">
            <w:pPr>
              <w:spacing w:after="0" w:line="240" w:lineRule="auto"/>
              <w:rPr>
                <w:rFonts w:ascii="Times New Roman" w:hAnsi="Times New Roman"/>
                <w:i/>
                <w:iCs/>
                <w:sz w:val="20"/>
                <w:szCs w:val="20"/>
              </w:rPr>
            </w:pPr>
            <w:r w:rsidRPr="00B0658A">
              <w:rPr>
                <w:rFonts w:ascii="Times New Roman" w:hAnsi="Times New Roman"/>
                <w:sz w:val="18"/>
                <w:szCs w:val="18"/>
              </w:rPr>
              <w:t>Системное программное обеспечение/ Драйверы</w:t>
            </w:r>
          </w:p>
        </w:tc>
        <w:tc>
          <w:tcPr>
            <w:tcW w:w="1256" w:type="dxa"/>
          </w:tcPr>
          <w:p w14:paraId="3C79B6BF"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24649056"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4101E9A4"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016D0D7A" w14:textId="77777777" w:rsidR="0070070D" w:rsidRPr="00B0658A" w:rsidRDefault="0070070D" w:rsidP="00004A41">
            <w:pPr>
              <w:spacing w:after="0" w:line="240" w:lineRule="auto"/>
              <w:jc w:val="both"/>
              <w:rPr>
                <w:rFonts w:ascii="Times New Roman" w:hAnsi="Times New Roman"/>
                <w:i/>
                <w:iCs/>
                <w:sz w:val="20"/>
                <w:szCs w:val="20"/>
              </w:rPr>
            </w:pPr>
          </w:p>
        </w:tc>
      </w:tr>
      <w:tr w:rsidR="00F52FED" w:rsidRPr="00B0658A" w14:paraId="3B240027" w14:textId="77777777" w:rsidTr="001E5E80">
        <w:trPr>
          <w:trHeight w:val="170"/>
        </w:trPr>
        <w:tc>
          <w:tcPr>
            <w:tcW w:w="0" w:type="auto"/>
            <w:shd w:val="clear" w:color="auto" w:fill="auto"/>
            <w:vAlign w:val="center"/>
          </w:tcPr>
          <w:p w14:paraId="61BEB51A" w14:textId="77777777" w:rsidR="0070070D" w:rsidRPr="00B0658A" w:rsidRDefault="0070070D" w:rsidP="00004A41">
            <w:pPr>
              <w:spacing w:after="0" w:line="240" w:lineRule="auto"/>
              <w:rPr>
                <w:rFonts w:ascii="Times New Roman" w:hAnsi="Times New Roman"/>
                <w:sz w:val="20"/>
                <w:szCs w:val="20"/>
              </w:rPr>
            </w:pPr>
            <w:r w:rsidRPr="00B0658A">
              <w:rPr>
                <w:rFonts w:ascii="Times New Roman" w:hAnsi="Times New Roman"/>
                <w:sz w:val="18"/>
                <w:szCs w:val="18"/>
              </w:rPr>
              <w:t>2.2</w:t>
            </w:r>
          </w:p>
        </w:tc>
        <w:tc>
          <w:tcPr>
            <w:tcW w:w="3432" w:type="dxa"/>
            <w:shd w:val="clear" w:color="auto" w:fill="auto"/>
            <w:vAlign w:val="center"/>
          </w:tcPr>
          <w:p w14:paraId="6C368DC5" w14:textId="77777777" w:rsidR="0070070D" w:rsidRPr="00B0658A" w:rsidRDefault="0070070D" w:rsidP="00004A41">
            <w:pPr>
              <w:spacing w:after="0" w:line="240" w:lineRule="auto"/>
              <w:rPr>
                <w:rFonts w:ascii="Times New Roman" w:hAnsi="Times New Roman"/>
                <w:i/>
                <w:iCs/>
                <w:sz w:val="20"/>
                <w:szCs w:val="20"/>
              </w:rPr>
            </w:pPr>
            <w:r w:rsidRPr="00B0658A">
              <w:rPr>
                <w:rFonts w:ascii="Times New Roman" w:hAnsi="Times New Roman"/>
                <w:sz w:val="18"/>
                <w:szCs w:val="18"/>
              </w:rPr>
              <w:t>Системное программное обеспечение/ Программы обслуживания</w:t>
            </w:r>
          </w:p>
        </w:tc>
        <w:tc>
          <w:tcPr>
            <w:tcW w:w="1256" w:type="dxa"/>
          </w:tcPr>
          <w:p w14:paraId="03E9AAEB"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364E9FA9"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014FE945"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71B4AB7E" w14:textId="77777777" w:rsidR="0070070D" w:rsidRPr="00B0658A" w:rsidRDefault="0070070D" w:rsidP="00004A41">
            <w:pPr>
              <w:spacing w:after="0" w:line="240" w:lineRule="auto"/>
              <w:jc w:val="both"/>
              <w:rPr>
                <w:rFonts w:ascii="Times New Roman" w:hAnsi="Times New Roman"/>
                <w:i/>
                <w:iCs/>
                <w:sz w:val="20"/>
                <w:szCs w:val="20"/>
              </w:rPr>
            </w:pPr>
          </w:p>
        </w:tc>
      </w:tr>
      <w:tr w:rsidR="00F52FED" w:rsidRPr="00B0658A" w14:paraId="2800918C" w14:textId="77777777" w:rsidTr="001E5E80">
        <w:trPr>
          <w:trHeight w:val="170"/>
        </w:trPr>
        <w:tc>
          <w:tcPr>
            <w:tcW w:w="0" w:type="auto"/>
            <w:shd w:val="clear" w:color="auto" w:fill="auto"/>
            <w:vAlign w:val="center"/>
          </w:tcPr>
          <w:p w14:paraId="6F26B573" w14:textId="77777777" w:rsidR="0070070D" w:rsidRPr="00B0658A" w:rsidRDefault="0070070D" w:rsidP="00004A41">
            <w:pPr>
              <w:spacing w:after="0" w:line="240" w:lineRule="auto"/>
              <w:rPr>
                <w:rFonts w:ascii="Times New Roman" w:hAnsi="Times New Roman"/>
                <w:sz w:val="20"/>
                <w:szCs w:val="20"/>
              </w:rPr>
            </w:pPr>
            <w:r w:rsidRPr="00B0658A">
              <w:rPr>
                <w:rFonts w:ascii="Times New Roman" w:hAnsi="Times New Roman"/>
                <w:sz w:val="18"/>
                <w:szCs w:val="18"/>
                <w:lang w:val="en-US"/>
              </w:rPr>
              <w:t>2.3</w:t>
            </w:r>
          </w:p>
        </w:tc>
        <w:tc>
          <w:tcPr>
            <w:tcW w:w="3432" w:type="dxa"/>
            <w:shd w:val="clear" w:color="auto" w:fill="auto"/>
            <w:vAlign w:val="center"/>
          </w:tcPr>
          <w:p w14:paraId="3B0C0273" w14:textId="77777777" w:rsidR="0070070D" w:rsidRPr="00B0658A" w:rsidRDefault="0070070D" w:rsidP="00004A41">
            <w:pPr>
              <w:spacing w:after="0" w:line="240" w:lineRule="auto"/>
              <w:rPr>
                <w:rFonts w:ascii="Times New Roman" w:hAnsi="Times New Roman"/>
                <w:i/>
                <w:iCs/>
                <w:sz w:val="20"/>
                <w:szCs w:val="20"/>
              </w:rPr>
            </w:pPr>
            <w:r w:rsidRPr="00B0658A">
              <w:rPr>
                <w:rFonts w:ascii="Times New Roman" w:hAnsi="Times New Roman"/>
                <w:sz w:val="18"/>
                <w:szCs w:val="18"/>
              </w:rPr>
              <w:t>Средства обеспечения облачных и распределенных вычислений</w:t>
            </w:r>
          </w:p>
        </w:tc>
        <w:tc>
          <w:tcPr>
            <w:tcW w:w="1256" w:type="dxa"/>
          </w:tcPr>
          <w:p w14:paraId="56C6D16A"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245CAEF8"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12B1234F"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30A43E8E" w14:textId="77777777" w:rsidR="0070070D" w:rsidRPr="00B0658A" w:rsidRDefault="0070070D" w:rsidP="00004A41">
            <w:pPr>
              <w:spacing w:after="0" w:line="240" w:lineRule="auto"/>
              <w:jc w:val="both"/>
              <w:rPr>
                <w:rFonts w:ascii="Times New Roman" w:hAnsi="Times New Roman"/>
                <w:i/>
                <w:iCs/>
                <w:sz w:val="20"/>
                <w:szCs w:val="20"/>
              </w:rPr>
            </w:pPr>
          </w:p>
        </w:tc>
      </w:tr>
      <w:tr w:rsidR="00F52FED" w:rsidRPr="00B0658A" w14:paraId="518DB8B1" w14:textId="77777777" w:rsidTr="001E5E80">
        <w:trPr>
          <w:trHeight w:val="170"/>
        </w:trPr>
        <w:tc>
          <w:tcPr>
            <w:tcW w:w="0" w:type="auto"/>
            <w:shd w:val="clear" w:color="auto" w:fill="auto"/>
            <w:vAlign w:val="center"/>
          </w:tcPr>
          <w:p w14:paraId="38DC7809" w14:textId="77777777" w:rsidR="0070070D" w:rsidRPr="00B0658A" w:rsidRDefault="0070070D" w:rsidP="00004A41">
            <w:pPr>
              <w:spacing w:after="0" w:line="240" w:lineRule="auto"/>
              <w:rPr>
                <w:rFonts w:ascii="Times New Roman" w:hAnsi="Times New Roman"/>
                <w:sz w:val="20"/>
                <w:szCs w:val="20"/>
              </w:rPr>
            </w:pPr>
            <w:r w:rsidRPr="00B0658A">
              <w:rPr>
                <w:rFonts w:ascii="Times New Roman" w:hAnsi="Times New Roman"/>
                <w:sz w:val="18"/>
                <w:szCs w:val="18"/>
              </w:rPr>
              <w:t>2.4</w:t>
            </w:r>
          </w:p>
        </w:tc>
        <w:tc>
          <w:tcPr>
            <w:tcW w:w="3432" w:type="dxa"/>
            <w:shd w:val="clear" w:color="auto" w:fill="auto"/>
            <w:vAlign w:val="center"/>
          </w:tcPr>
          <w:p w14:paraId="7CF5B261" w14:textId="77777777" w:rsidR="0070070D" w:rsidRPr="00B0658A" w:rsidRDefault="0070070D" w:rsidP="00004A41">
            <w:pPr>
              <w:spacing w:after="0" w:line="240" w:lineRule="auto"/>
              <w:rPr>
                <w:rFonts w:ascii="Times New Roman" w:hAnsi="Times New Roman"/>
                <w:i/>
                <w:iCs/>
                <w:sz w:val="20"/>
                <w:szCs w:val="20"/>
              </w:rPr>
            </w:pPr>
            <w:r w:rsidRPr="00B0658A">
              <w:rPr>
                <w:rFonts w:ascii="Times New Roman" w:hAnsi="Times New Roman"/>
                <w:sz w:val="18"/>
                <w:szCs w:val="18"/>
              </w:rPr>
              <w:t>Системное программное обеспечение / Средства виртуализации</w:t>
            </w:r>
          </w:p>
        </w:tc>
        <w:tc>
          <w:tcPr>
            <w:tcW w:w="1256" w:type="dxa"/>
          </w:tcPr>
          <w:p w14:paraId="78C92D85"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58E431F0"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455CB04F"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0FE4A4AA" w14:textId="77777777" w:rsidR="0070070D" w:rsidRPr="00B0658A" w:rsidRDefault="0070070D" w:rsidP="00004A41">
            <w:pPr>
              <w:spacing w:after="0" w:line="240" w:lineRule="auto"/>
              <w:jc w:val="both"/>
              <w:rPr>
                <w:rFonts w:ascii="Times New Roman" w:hAnsi="Times New Roman"/>
                <w:i/>
                <w:iCs/>
                <w:sz w:val="20"/>
                <w:szCs w:val="20"/>
              </w:rPr>
            </w:pPr>
          </w:p>
        </w:tc>
      </w:tr>
      <w:tr w:rsidR="00F52FED" w:rsidRPr="00B0658A" w14:paraId="16378A19" w14:textId="77777777" w:rsidTr="001E5E80">
        <w:trPr>
          <w:trHeight w:val="170"/>
        </w:trPr>
        <w:tc>
          <w:tcPr>
            <w:tcW w:w="0" w:type="auto"/>
            <w:shd w:val="clear" w:color="auto" w:fill="auto"/>
            <w:vAlign w:val="center"/>
          </w:tcPr>
          <w:p w14:paraId="44F33B36" w14:textId="77777777" w:rsidR="0070070D" w:rsidRPr="00B0658A" w:rsidRDefault="0070070D" w:rsidP="00004A41">
            <w:pPr>
              <w:spacing w:after="0" w:line="240" w:lineRule="auto"/>
              <w:rPr>
                <w:rFonts w:ascii="Times New Roman" w:hAnsi="Times New Roman"/>
                <w:sz w:val="20"/>
                <w:szCs w:val="20"/>
              </w:rPr>
            </w:pPr>
            <w:r w:rsidRPr="00B0658A">
              <w:rPr>
                <w:rFonts w:ascii="Times New Roman" w:hAnsi="Times New Roman"/>
                <w:sz w:val="18"/>
                <w:szCs w:val="18"/>
              </w:rPr>
              <w:t>2.5</w:t>
            </w:r>
          </w:p>
        </w:tc>
        <w:tc>
          <w:tcPr>
            <w:tcW w:w="3432" w:type="dxa"/>
            <w:shd w:val="clear" w:color="auto" w:fill="auto"/>
            <w:vAlign w:val="center"/>
          </w:tcPr>
          <w:p w14:paraId="42336973" w14:textId="77777777" w:rsidR="0070070D" w:rsidRPr="00B0658A" w:rsidRDefault="0070070D" w:rsidP="00004A41">
            <w:pPr>
              <w:spacing w:after="0" w:line="240" w:lineRule="auto"/>
              <w:rPr>
                <w:rFonts w:ascii="Times New Roman" w:hAnsi="Times New Roman"/>
                <w:i/>
                <w:iCs/>
                <w:sz w:val="20"/>
                <w:szCs w:val="20"/>
              </w:rPr>
            </w:pPr>
            <w:r w:rsidRPr="00B0658A">
              <w:rPr>
                <w:rFonts w:ascii="Times New Roman" w:hAnsi="Times New Roman"/>
                <w:sz w:val="18"/>
                <w:szCs w:val="18"/>
              </w:rPr>
              <w:t>Системное программное обеспечение/ Средства хранения данных</w:t>
            </w:r>
          </w:p>
        </w:tc>
        <w:tc>
          <w:tcPr>
            <w:tcW w:w="1256" w:type="dxa"/>
          </w:tcPr>
          <w:p w14:paraId="49612AA8"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2FAE4C9E"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4CBE1E38"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349A157F" w14:textId="77777777" w:rsidR="0070070D" w:rsidRPr="00B0658A" w:rsidRDefault="0070070D" w:rsidP="00004A41">
            <w:pPr>
              <w:spacing w:after="0" w:line="240" w:lineRule="auto"/>
              <w:jc w:val="both"/>
              <w:rPr>
                <w:rFonts w:ascii="Times New Roman" w:hAnsi="Times New Roman"/>
                <w:i/>
                <w:iCs/>
                <w:sz w:val="20"/>
                <w:szCs w:val="20"/>
              </w:rPr>
            </w:pPr>
          </w:p>
        </w:tc>
      </w:tr>
      <w:tr w:rsidR="00F52FED" w:rsidRPr="00B0658A" w14:paraId="2FBA3D9C" w14:textId="77777777" w:rsidTr="001E5E80">
        <w:trPr>
          <w:trHeight w:val="170"/>
        </w:trPr>
        <w:tc>
          <w:tcPr>
            <w:tcW w:w="0" w:type="auto"/>
            <w:shd w:val="clear" w:color="auto" w:fill="auto"/>
            <w:vAlign w:val="center"/>
          </w:tcPr>
          <w:p w14:paraId="6BB99634" w14:textId="77777777" w:rsidR="0070070D" w:rsidRPr="00B0658A" w:rsidRDefault="0070070D" w:rsidP="00004A41">
            <w:pPr>
              <w:spacing w:after="0" w:line="240" w:lineRule="auto"/>
              <w:rPr>
                <w:rFonts w:ascii="Times New Roman" w:hAnsi="Times New Roman"/>
                <w:sz w:val="20"/>
                <w:szCs w:val="20"/>
              </w:rPr>
            </w:pPr>
            <w:r w:rsidRPr="00B0658A">
              <w:rPr>
                <w:rFonts w:ascii="Times New Roman" w:hAnsi="Times New Roman"/>
                <w:sz w:val="18"/>
                <w:szCs w:val="18"/>
              </w:rPr>
              <w:t>2.6</w:t>
            </w:r>
          </w:p>
        </w:tc>
        <w:tc>
          <w:tcPr>
            <w:tcW w:w="3432" w:type="dxa"/>
            <w:shd w:val="clear" w:color="auto" w:fill="auto"/>
            <w:vAlign w:val="center"/>
          </w:tcPr>
          <w:p w14:paraId="49C440C7" w14:textId="77777777" w:rsidR="0070070D" w:rsidRPr="00B0658A" w:rsidRDefault="0070070D" w:rsidP="00004A41">
            <w:pPr>
              <w:spacing w:after="0" w:line="240" w:lineRule="auto"/>
              <w:rPr>
                <w:rFonts w:ascii="Times New Roman" w:hAnsi="Times New Roman"/>
                <w:i/>
                <w:iCs/>
                <w:sz w:val="20"/>
                <w:szCs w:val="20"/>
              </w:rPr>
            </w:pPr>
            <w:r w:rsidRPr="00B0658A">
              <w:rPr>
                <w:rFonts w:ascii="Times New Roman" w:hAnsi="Times New Roman"/>
                <w:sz w:val="18"/>
                <w:szCs w:val="18"/>
              </w:rPr>
              <w:t>Системное программное обеспечение / Серверное и связующее программное обеспечение</w:t>
            </w:r>
          </w:p>
        </w:tc>
        <w:tc>
          <w:tcPr>
            <w:tcW w:w="1256" w:type="dxa"/>
          </w:tcPr>
          <w:p w14:paraId="08F5DDC0"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5B48BEDA"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10CEA291"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623F4155" w14:textId="77777777" w:rsidR="0070070D" w:rsidRPr="00B0658A" w:rsidRDefault="0070070D" w:rsidP="00004A41">
            <w:pPr>
              <w:spacing w:after="0" w:line="240" w:lineRule="auto"/>
              <w:jc w:val="both"/>
              <w:rPr>
                <w:rFonts w:ascii="Times New Roman" w:hAnsi="Times New Roman"/>
                <w:i/>
                <w:iCs/>
                <w:sz w:val="20"/>
                <w:szCs w:val="20"/>
              </w:rPr>
            </w:pPr>
          </w:p>
        </w:tc>
      </w:tr>
      <w:tr w:rsidR="00F52FED" w:rsidRPr="00B0658A" w14:paraId="42416B10" w14:textId="77777777" w:rsidTr="001E5E80">
        <w:trPr>
          <w:trHeight w:val="170"/>
        </w:trPr>
        <w:tc>
          <w:tcPr>
            <w:tcW w:w="0" w:type="auto"/>
            <w:shd w:val="clear" w:color="auto" w:fill="auto"/>
            <w:vAlign w:val="center"/>
          </w:tcPr>
          <w:p w14:paraId="16DA5A73" w14:textId="77777777" w:rsidR="0070070D" w:rsidRPr="00B0658A" w:rsidRDefault="0070070D" w:rsidP="00004A41">
            <w:pPr>
              <w:spacing w:after="0" w:line="240" w:lineRule="auto"/>
              <w:rPr>
                <w:rFonts w:ascii="Times New Roman" w:hAnsi="Times New Roman"/>
                <w:sz w:val="20"/>
                <w:szCs w:val="20"/>
              </w:rPr>
            </w:pPr>
            <w:r w:rsidRPr="00B0658A">
              <w:rPr>
                <w:rFonts w:ascii="Times New Roman" w:hAnsi="Times New Roman"/>
                <w:sz w:val="18"/>
                <w:szCs w:val="18"/>
              </w:rPr>
              <w:t>2.7</w:t>
            </w:r>
          </w:p>
        </w:tc>
        <w:tc>
          <w:tcPr>
            <w:tcW w:w="3432" w:type="dxa"/>
            <w:shd w:val="clear" w:color="auto" w:fill="auto"/>
            <w:vAlign w:val="center"/>
          </w:tcPr>
          <w:p w14:paraId="51CC99E9" w14:textId="77777777" w:rsidR="0070070D" w:rsidRPr="00B0658A" w:rsidRDefault="0070070D" w:rsidP="00004A41">
            <w:pPr>
              <w:spacing w:after="0" w:line="240" w:lineRule="auto"/>
              <w:rPr>
                <w:rFonts w:ascii="Times New Roman" w:hAnsi="Times New Roman"/>
                <w:i/>
                <w:iCs/>
                <w:sz w:val="20"/>
                <w:szCs w:val="20"/>
              </w:rPr>
            </w:pPr>
            <w:r w:rsidRPr="00B0658A">
              <w:rPr>
                <w:rFonts w:ascii="Times New Roman" w:hAnsi="Times New Roman"/>
                <w:sz w:val="18"/>
                <w:szCs w:val="18"/>
              </w:rPr>
              <w:t>Системное программное обеспечение/ Средства управления базами данных</w:t>
            </w:r>
          </w:p>
        </w:tc>
        <w:tc>
          <w:tcPr>
            <w:tcW w:w="1256" w:type="dxa"/>
          </w:tcPr>
          <w:p w14:paraId="313958F6"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00169CA1"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7E8375FF"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1452A99B" w14:textId="77777777" w:rsidR="0070070D" w:rsidRPr="00B0658A" w:rsidRDefault="0070070D" w:rsidP="00004A41">
            <w:pPr>
              <w:spacing w:after="0" w:line="240" w:lineRule="auto"/>
              <w:jc w:val="both"/>
              <w:rPr>
                <w:rFonts w:ascii="Times New Roman" w:hAnsi="Times New Roman"/>
                <w:i/>
                <w:iCs/>
                <w:sz w:val="20"/>
                <w:szCs w:val="20"/>
              </w:rPr>
            </w:pPr>
          </w:p>
        </w:tc>
      </w:tr>
      <w:tr w:rsidR="00F52FED" w:rsidRPr="00B0658A" w14:paraId="757823BD" w14:textId="77777777" w:rsidTr="001E5E80">
        <w:trPr>
          <w:trHeight w:val="170"/>
        </w:trPr>
        <w:tc>
          <w:tcPr>
            <w:tcW w:w="0" w:type="auto"/>
            <w:shd w:val="clear" w:color="auto" w:fill="auto"/>
            <w:vAlign w:val="center"/>
          </w:tcPr>
          <w:p w14:paraId="62B510CA" w14:textId="77777777" w:rsidR="0070070D" w:rsidRPr="00B0658A" w:rsidRDefault="0070070D" w:rsidP="00004A41">
            <w:pPr>
              <w:spacing w:after="0" w:line="240" w:lineRule="auto"/>
              <w:rPr>
                <w:rFonts w:ascii="Times New Roman" w:hAnsi="Times New Roman"/>
                <w:sz w:val="20"/>
                <w:szCs w:val="20"/>
              </w:rPr>
            </w:pPr>
            <w:r w:rsidRPr="00B0658A">
              <w:rPr>
                <w:rFonts w:ascii="Times New Roman" w:hAnsi="Times New Roman"/>
                <w:sz w:val="18"/>
                <w:szCs w:val="18"/>
              </w:rPr>
              <w:t>2.8</w:t>
            </w:r>
          </w:p>
        </w:tc>
        <w:tc>
          <w:tcPr>
            <w:tcW w:w="3432" w:type="dxa"/>
            <w:shd w:val="clear" w:color="auto" w:fill="auto"/>
            <w:vAlign w:val="center"/>
          </w:tcPr>
          <w:p w14:paraId="5751F644" w14:textId="77777777" w:rsidR="0070070D" w:rsidRPr="00B0658A" w:rsidRDefault="0070070D" w:rsidP="00004A41">
            <w:pPr>
              <w:spacing w:after="0" w:line="240" w:lineRule="auto"/>
              <w:rPr>
                <w:rFonts w:ascii="Times New Roman" w:hAnsi="Times New Roman"/>
                <w:i/>
                <w:iCs/>
                <w:sz w:val="20"/>
                <w:szCs w:val="20"/>
              </w:rPr>
            </w:pPr>
            <w:r w:rsidRPr="00B0658A">
              <w:rPr>
                <w:rFonts w:ascii="Times New Roman" w:hAnsi="Times New Roman"/>
                <w:sz w:val="18"/>
                <w:szCs w:val="18"/>
              </w:rPr>
              <w:t>Системное программное обеспечение/ Средства мониторинга и управления</w:t>
            </w:r>
          </w:p>
        </w:tc>
        <w:tc>
          <w:tcPr>
            <w:tcW w:w="1256" w:type="dxa"/>
          </w:tcPr>
          <w:p w14:paraId="7E616338"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79285759"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1BABE2DA"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2C2A7FDE" w14:textId="77777777" w:rsidR="0070070D" w:rsidRPr="00B0658A" w:rsidRDefault="0070070D" w:rsidP="00004A41">
            <w:pPr>
              <w:spacing w:after="0" w:line="240" w:lineRule="auto"/>
              <w:jc w:val="both"/>
              <w:rPr>
                <w:rFonts w:ascii="Times New Roman" w:hAnsi="Times New Roman"/>
                <w:i/>
                <w:iCs/>
                <w:sz w:val="20"/>
                <w:szCs w:val="20"/>
              </w:rPr>
            </w:pPr>
          </w:p>
        </w:tc>
      </w:tr>
      <w:tr w:rsidR="00F52FED" w:rsidRPr="00B0658A" w14:paraId="3D9A3818" w14:textId="77777777" w:rsidTr="001E5E80">
        <w:trPr>
          <w:trHeight w:val="170"/>
        </w:trPr>
        <w:tc>
          <w:tcPr>
            <w:tcW w:w="0" w:type="auto"/>
            <w:shd w:val="clear" w:color="auto" w:fill="auto"/>
            <w:vAlign w:val="center"/>
          </w:tcPr>
          <w:p w14:paraId="1CFFFD6D" w14:textId="77777777" w:rsidR="0070070D" w:rsidRPr="00B0658A" w:rsidRDefault="0070070D" w:rsidP="00004A41">
            <w:pPr>
              <w:spacing w:after="0" w:line="240" w:lineRule="auto"/>
              <w:rPr>
                <w:rFonts w:ascii="Times New Roman" w:hAnsi="Times New Roman"/>
                <w:sz w:val="20"/>
                <w:szCs w:val="20"/>
              </w:rPr>
            </w:pPr>
            <w:r w:rsidRPr="00B0658A">
              <w:rPr>
                <w:rFonts w:ascii="Times New Roman" w:hAnsi="Times New Roman"/>
                <w:sz w:val="18"/>
                <w:szCs w:val="18"/>
              </w:rPr>
              <w:t>2.9</w:t>
            </w:r>
          </w:p>
        </w:tc>
        <w:tc>
          <w:tcPr>
            <w:tcW w:w="3432" w:type="dxa"/>
            <w:shd w:val="clear" w:color="auto" w:fill="auto"/>
            <w:vAlign w:val="center"/>
          </w:tcPr>
          <w:p w14:paraId="23AA0A81" w14:textId="77777777" w:rsidR="0070070D" w:rsidRPr="00B0658A" w:rsidRDefault="0070070D" w:rsidP="00004A41">
            <w:pPr>
              <w:spacing w:after="0" w:line="240" w:lineRule="auto"/>
              <w:rPr>
                <w:rFonts w:ascii="Times New Roman" w:hAnsi="Times New Roman"/>
                <w:i/>
                <w:iCs/>
                <w:sz w:val="20"/>
                <w:szCs w:val="20"/>
              </w:rPr>
            </w:pPr>
            <w:r w:rsidRPr="00B0658A">
              <w:rPr>
                <w:rFonts w:ascii="Times New Roman" w:hAnsi="Times New Roman"/>
                <w:sz w:val="18"/>
                <w:szCs w:val="18"/>
              </w:rPr>
              <w:t>Системное программное обеспечение/ Операционные системы общего назначения</w:t>
            </w:r>
          </w:p>
        </w:tc>
        <w:tc>
          <w:tcPr>
            <w:tcW w:w="1256" w:type="dxa"/>
          </w:tcPr>
          <w:p w14:paraId="4D61AA6A"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36D37D26"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6A74F012"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232AD781" w14:textId="77777777" w:rsidR="0070070D" w:rsidRPr="00B0658A" w:rsidRDefault="0070070D" w:rsidP="00004A41">
            <w:pPr>
              <w:spacing w:after="0" w:line="240" w:lineRule="auto"/>
              <w:jc w:val="both"/>
              <w:rPr>
                <w:rFonts w:ascii="Times New Roman" w:hAnsi="Times New Roman"/>
                <w:i/>
                <w:iCs/>
                <w:sz w:val="20"/>
                <w:szCs w:val="20"/>
              </w:rPr>
            </w:pPr>
          </w:p>
        </w:tc>
      </w:tr>
      <w:tr w:rsidR="00F52FED" w:rsidRPr="00B0658A" w14:paraId="4AF3083E" w14:textId="77777777" w:rsidTr="001E5E80">
        <w:trPr>
          <w:trHeight w:val="170"/>
        </w:trPr>
        <w:tc>
          <w:tcPr>
            <w:tcW w:w="0" w:type="auto"/>
            <w:shd w:val="clear" w:color="auto" w:fill="auto"/>
            <w:vAlign w:val="center"/>
          </w:tcPr>
          <w:p w14:paraId="6066CE74" w14:textId="77777777" w:rsidR="0070070D" w:rsidRPr="00B0658A" w:rsidRDefault="0070070D" w:rsidP="00004A41">
            <w:pPr>
              <w:spacing w:after="0" w:line="240" w:lineRule="auto"/>
              <w:rPr>
                <w:rFonts w:ascii="Times New Roman" w:hAnsi="Times New Roman"/>
                <w:sz w:val="20"/>
                <w:szCs w:val="20"/>
              </w:rPr>
            </w:pPr>
            <w:r w:rsidRPr="00B0658A">
              <w:rPr>
                <w:rFonts w:ascii="Times New Roman" w:hAnsi="Times New Roman"/>
                <w:sz w:val="18"/>
                <w:szCs w:val="18"/>
              </w:rPr>
              <w:t>2.10</w:t>
            </w:r>
          </w:p>
        </w:tc>
        <w:tc>
          <w:tcPr>
            <w:tcW w:w="3432" w:type="dxa"/>
            <w:shd w:val="clear" w:color="auto" w:fill="auto"/>
            <w:vAlign w:val="center"/>
          </w:tcPr>
          <w:p w14:paraId="630B1AE5" w14:textId="77777777" w:rsidR="0070070D" w:rsidRPr="00B0658A" w:rsidRDefault="0070070D" w:rsidP="00004A41">
            <w:pPr>
              <w:spacing w:after="0" w:line="240" w:lineRule="auto"/>
              <w:rPr>
                <w:rFonts w:ascii="Times New Roman" w:hAnsi="Times New Roman"/>
                <w:i/>
                <w:iCs/>
                <w:sz w:val="20"/>
                <w:szCs w:val="20"/>
              </w:rPr>
            </w:pPr>
            <w:r w:rsidRPr="00B0658A">
              <w:rPr>
                <w:rFonts w:ascii="Times New Roman" w:hAnsi="Times New Roman"/>
                <w:sz w:val="18"/>
                <w:szCs w:val="18"/>
              </w:rPr>
              <w:t>Системное программное обеспечение/ Операционные системы реального времени</w:t>
            </w:r>
          </w:p>
        </w:tc>
        <w:tc>
          <w:tcPr>
            <w:tcW w:w="1256" w:type="dxa"/>
          </w:tcPr>
          <w:p w14:paraId="3C13AC77"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59CC32F0"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09CAF5A3"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4A3E1687" w14:textId="77777777" w:rsidR="0070070D" w:rsidRPr="00B0658A" w:rsidRDefault="0070070D" w:rsidP="00004A41">
            <w:pPr>
              <w:spacing w:after="0" w:line="240" w:lineRule="auto"/>
              <w:jc w:val="both"/>
              <w:rPr>
                <w:rFonts w:ascii="Times New Roman" w:hAnsi="Times New Roman"/>
                <w:i/>
                <w:iCs/>
                <w:sz w:val="20"/>
                <w:szCs w:val="20"/>
              </w:rPr>
            </w:pPr>
          </w:p>
        </w:tc>
      </w:tr>
      <w:tr w:rsidR="00F52FED" w:rsidRPr="00B0658A" w14:paraId="09A0ED04" w14:textId="77777777" w:rsidTr="001E5E80">
        <w:trPr>
          <w:trHeight w:val="170"/>
        </w:trPr>
        <w:tc>
          <w:tcPr>
            <w:tcW w:w="0" w:type="auto"/>
            <w:shd w:val="clear" w:color="auto" w:fill="auto"/>
            <w:vAlign w:val="center"/>
          </w:tcPr>
          <w:p w14:paraId="68900C23" w14:textId="77777777" w:rsidR="0070070D" w:rsidRPr="00B0658A" w:rsidRDefault="0070070D" w:rsidP="00004A41">
            <w:pPr>
              <w:spacing w:after="0" w:line="240" w:lineRule="auto"/>
              <w:rPr>
                <w:rFonts w:ascii="Times New Roman" w:hAnsi="Times New Roman"/>
                <w:sz w:val="20"/>
                <w:szCs w:val="20"/>
              </w:rPr>
            </w:pPr>
            <w:r w:rsidRPr="00B0658A">
              <w:rPr>
                <w:rFonts w:ascii="Times New Roman" w:hAnsi="Times New Roman"/>
                <w:sz w:val="18"/>
                <w:szCs w:val="18"/>
              </w:rPr>
              <w:t>2.11</w:t>
            </w:r>
          </w:p>
        </w:tc>
        <w:tc>
          <w:tcPr>
            <w:tcW w:w="3432" w:type="dxa"/>
            <w:shd w:val="clear" w:color="auto" w:fill="auto"/>
            <w:vAlign w:val="center"/>
          </w:tcPr>
          <w:p w14:paraId="792E7DD8" w14:textId="77777777" w:rsidR="0070070D" w:rsidRPr="00B0658A" w:rsidRDefault="0070070D" w:rsidP="00004A41">
            <w:pPr>
              <w:spacing w:after="0" w:line="240" w:lineRule="auto"/>
              <w:rPr>
                <w:rFonts w:ascii="Times New Roman" w:hAnsi="Times New Roman"/>
                <w:i/>
                <w:iCs/>
                <w:sz w:val="20"/>
                <w:szCs w:val="20"/>
              </w:rPr>
            </w:pPr>
            <w:r w:rsidRPr="00B0658A">
              <w:rPr>
                <w:rFonts w:ascii="Times New Roman" w:hAnsi="Times New Roman"/>
                <w:sz w:val="18"/>
                <w:szCs w:val="18"/>
              </w:rPr>
              <w:t>Системное программное обеспечение/ Мобильная операционная система</w:t>
            </w:r>
          </w:p>
        </w:tc>
        <w:tc>
          <w:tcPr>
            <w:tcW w:w="1256" w:type="dxa"/>
          </w:tcPr>
          <w:p w14:paraId="079EAD3A"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6D6830F5"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512B0B42"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7B5BBE50" w14:textId="77777777" w:rsidR="0070070D" w:rsidRPr="00B0658A" w:rsidRDefault="0070070D" w:rsidP="00004A41">
            <w:pPr>
              <w:spacing w:after="0" w:line="240" w:lineRule="auto"/>
              <w:jc w:val="both"/>
              <w:rPr>
                <w:rFonts w:ascii="Times New Roman" w:hAnsi="Times New Roman"/>
                <w:i/>
                <w:iCs/>
                <w:sz w:val="20"/>
                <w:szCs w:val="20"/>
              </w:rPr>
            </w:pPr>
          </w:p>
        </w:tc>
      </w:tr>
      <w:tr w:rsidR="00F52FED" w:rsidRPr="00B0658A" w14:paraId="4862FEDE" w14:textId="77777777" w:rsidTr="001E5E80">
        <w:trPr>
          <w:trHeight w:val="170"/>
        </w:trPr>
        <w:tc>
          <w:tcPr>
            <w:tcW w:w="0" w:type="auto"/>
            <w:shd w:val="clear" w:color="auto" w:fill="auto"/>
            <w:vAlign w:val="center"/>
          </w:tcPr>
          <w:p w14:paraId="7DB15FEE" w14:textId="77777777" w:rsidR="0070070D" w:rsidRPr="00B0658A" w:rsidRDefault="0070070D" w:rsidP="00004A41">
            <w:pPr>
              <w:spacing w:after="0" w:line="240" w:lineRule="auto"/>
              <w:rPr>
                <w:rFonts w:ascii="Times New Roman" w:hAnsi="Times New Roman"/>
                <w:sz w:val="20"/>
                <w:szCs w:val="20"/>
              </w:rPr>
            </w:pPr>
            <w:r w:rsidRPr="00B0658A">
              <w:rPr>
                <w:rFonts w:ascii="Times New Roman" w:hAnsi="Times New Roman"/>
                <w:sz w:val="18"/>
                <w:szCs w:val="18"/>
              </w:rPr>
              <w:t>2.12</w:t>
            </w:r>
          </w:p>
        </w:tc>
        <w:tc>
          <w:tcPr>
            <w:tcW w:w="3432" w:type="dxa"/>
            <w:shd w:val="clear" w:color="auto" w:fill="auto"/>
            <w:vAlign w:val="center"/>
          </w:tcPr>
          <w:p w14:paraId="18BA377B" w14:textId="77777777" w:rsidR="0070070D" w:rsidRPr="00B0658A" w:rsidRDefault="0070070D" w:rsidP="00004A41">
            <w:pPr>
              <w:spacing w:after="0" w:line="240" w:lineRule="auto"/>
              <w:rPr>
                <w:rFonts w:ascii="Times New Roman" w:hAnsi="Times New Roman"/>
                <w:i/>
                <w:iCs/>
                <w:sz w:val="20"/>
                <w:szCs w:val="20"/>
              </w:rPr>
            </w:pPr>
            <w:r w:rsidRPr="00B0658A">
              <w:rPr>
                <w:rFonts w:ascii="Times New Roman" w:hAnsi="Times New Roman"/>
                <w:sz w:val="18"/>
                <w:szCs w:val="18"/>
              </w:rPr>
              <w:t>Системное программное обеспечение / Системы контейнеризации и контейнеры</w:t>
            </w:r>
          </w:p>
        </w:tc>
        <w:tc>
          <w:tcPr>
            <w:tcW w:w="1256" w:type="dxa"/>
          </w:tcPr>
          <w:p w14:paraId="3AEF33A3"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059CD8C6"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6D34CE43"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1DD9D23C" w14:textId="77777777" w:rsidR="0070070D" w:rsidRPr="00B0658A" w:rsidRDefault="0070070D" w:rsidP="00004A41">
            <w:pPr>
              <w:spacing w:after="0" w:line="240" w:lineRule="auto"/>
              <w:jc w:val="both"/>
              <w:rPr>
                <w:rFonts w:ascii="Times New Roman" w:hAnsi="Times New Roman"/>
                <w:i/>
                <w:iCs/>
                <w:sz w:val="20"/>
                <w:szCs w:val="20"/>
              </w:rPr>
            </w:pPr>
          </w:p>
        </w:tc>
      </w:tr>
      <w:tr w:rsidR="00F52FED" w:rsidRPr="00B0658A" w14:paraId="4189D075" w14:textId="77777777" w:rsidTr="001E5E80">
        <w:trPr>
          <w:trHeight w:val="170"/>
        </w:trPr>
        <w:tc>
          <w:tcPr>
            <w:tcW w:w="0" w:type="auto"/>
            <w:shd w:val="clear" w:color="auto" w:fill="auto"/>
            <w:vAlign w:val="center"/>
          </w:tcPr>
          <w:p w14:paraId="18D877E6" w14:textId="77777777" w:rsidR="0070070D" w:rsidRPr="00B0658A" w:rsidRDefault="0070070D" w:rsidP="00004A41">
            <w:pPr>
              <w:spacing w:after="0" w:line="240" w:lineRule="auto"/>
              <w:rPr>
                <w:rFonts w:ascii="Times New Roman" w:hAnsi="Times New Roman"/>
                <w:sz w:val="20"/>
                <w:szCs w:val="20"/>
              </w:rPr>
            </w:pPr>
            <w:r w:rsidRPr="00B0658A">
              <w:rPr>
                <w:rFonts w:ascii="Times New Roman" w:hAnsi="Times New Roman"/>
                <w:sz w:val="18"/>
                <w:szCs w:val="18"/>
              </w:rPr>
              <w:t>3.1</w:t>
            </w:r>
          </w:p>
        </w:tc>
        <w:tc>
          <w:tcPr>
            <w:tcW w:w="3432" w:type="dxa"/>
            <w:shd w:val="clear" w:color="auto" w:fill="auto"/>
            <w:vAlign w:val="center"/>
          </w:tcPr>
          <w:p w14:paraId="437C5F96" w14:textId="77777777" w:rsidR="0070070D" w:rsidRPr="00B0658A" w:rsidRDefault="0070070D" w:rsidP="00004A41">
            <w:pPr>
              <w:spacing w:after="0" w:line="240" w:lineRule="auto"/>
              <w:rPr>
                <w:rFonts w:ascii="Times New Roman" w:hAnsi="Times New Roman"/>
                <w:sz w:val="20"/>
                <w:szCs w:val="20"/>
              </w:rPr>
            </w:pPr>
            <w:r w:rsidRPr="00B0658A">
              <w:rPr>
                <w:rFonts w:ascii="Times New Roman" w:hAnsi="Times New Roman"/>
                <w:sz w:val="18"/>
                <w:szCs w:val="18"/>
              </w:rPr>
              <w:t xml:space="preserve">Средства обеспечения информационной безопасности/ Средства защиты от </w:t>
            </w:r>
            <w:r w:rsidRPr="00B0658A">
              <w:rPr>
                <w:rFonts w:ascii="Times New Roman" w:hAnsi="Times New Roman"/>
                <w:sz w:val="18"/>
                <w:szCs w:val="18"/>
              </w:rPr>
              <w:lastRenderedPageBreak/>
              <w:t>несанкционированного доступа к информации</w:t>
            </w:r>
          </w:p>
        </w:tc>
        <w:tc>
          <w:tcPr>
            <w:tcW w:w="1256" w:type="dxa"/>
          </w:tcPr>
          <w:p w14:paraId="156BDDB4"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6624FE8E"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34468852"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10E87980" w14:textId="77777777" w:rsidR="0070070D" w:rsidRPr="00B0658A" w:rsidRDefault="0070070D" w:rsidP="00004A41">
            <w:pPr>
              <w:spacing w:after="0" w:line="240" w:lineRule="auto"/>
              <w:jc w:val="both"/>
              <w:rPr>
                <w:rFonts w:ascii="Times New Roman" w:hAnsi="Times New Roman"/>
                <w:i/>
                <w:iCs/>
                <w:sz w:val="20"/>
                <w:szCs w:val="20"/>
              </w:rPr>
            </w:pPr>
          </w:p>
        </w:tc>
      </w:tr>
      <w:tr w:rsidR="00F52FED" w:rsidRPr="00B0658A" w14:paraId="4842319A" w14:textId="77777777" w:rsidTr="001E5E80">
        <w:trPr>
          <w:trHeight w:val="170"/>
        </w:trPr>
        <w:tc>
          <w:tcPr>
            <w:tcW w:w="0" w:type="auto"/>
            <w:shd w:val="clear" w:color="auto" w:fill="auto"/>
            <w:vAlign w:val="center"/>
          </w:tcPr>
          <w:p w14:paraId="5F0EF1BE" w14:textId="77777777" w:rsidR="0070070D" w:rsidRPr="00B0658A" w:rsidRDefault="0070070D" w:rsidP="00004A41">
            <w:pPr>
              <w:spacing w:after="0" w:line="240" w:lineRule="auto"/>
              <w:rPr>
                <w:rFonts w:ascii="Times New Roman" w:hAnsi="Times New Roman"/>
                <w:sz w:val="20"/>
                <w:szCs w:val="20"/>
              </w:rPr>
            </w:pPr>
            <w:r w:rsidRPr="00B0658A">
              <w:rPr>
                <w:rFonts w:ascii="Times New Roman" w:hAnsi="Times New Roman"/>
                <w:sz w:val="18"/>
                <w:szCs w:val="18"/>
              </w:rPr>
              <w:t>3.2</w:t>
            </w:r>
          </w:p>
        </w:tc>
        <w:tc>
          <w:tcPr>
            <w:tcW w:w="3432" w:type="dxa"/>
            <w:shd w:val="clear" w:color="auto" w:fill="auto"/>
            <w:vAlign w:val="center"/>
          </w:tcPr>
          <w:p w14:paraId="5B5CECAD" w14:textId="77777777" w:rsidR="0070070D" w:rsidRPr="00B0658A" w:rsidRDefault="0070070D" w:rsidP="00004A41">
            <w:pPr>
              <w:spacing w:after="0" w:line="240" w:lineRule="auto"/>
              <w:rPr>
                <w:rFonts w:ascii="Times New Roman" w:hAnsi="Times New Roman"/>
                <w:sz w:val="20"/>
                <w:szCs w:val="20"/>
              </w:rPr>
            </w:pPr>
            <w:r w:rsidRPr="00B0658A">
              <w:rPr>
                <w:rFonts w:ascii="Times New Roman" w:hAnsi="Times New Roman"/>
                <w:sz w:val="18"/>
                <w:szCs w:val="18"/>
              </w:rPr>
              <w:t>Средства обеспечения информационной безопасности/ Средства управления событиями информационной безопасности</w:t>
            </w:r>
          </w:p>
        </w:tc>
        <w:tc>
          <w:tcPr>
            <w:tcW w:w="1256" w:type="dxa"/>
          </w:tcPr>
          <w:p w14:paraId="16F07CD8"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22F235B3"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4102D597"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24C8D939" w14:textId="77777777" w:rsidR="0070070D" w:rsidRPr="00B0658A" w:rsidRDefault="0070070D" w:rsidP="00004A41">
            <w:pPr>
              <w:spacing w:after="0" w:line="240" w:lineRule="auto"/>
              <w:jc w:val="both"/>
              <w:rPr>
                <w:rFonts w:ascii="Times New Roman" w:hAnsi="Times New Roman"/>
                <w:i/>
                <w:iCs/>
                <w:sz w:val="20"/>
                <w:szCs w:val="20"/>
              </w:rPr>
            </w:pPr>
          </w:p>
        </w:tc>
      </w:tr>
      <w:tr w:rsidR="00F52FED" w:rsidRPr="00B0658A" w14:paraId="5B3C2072" w14:textId="77777777" w:rsidTr="001E5E80">
        <w:trPr>
          <w:trHeight w:val="170"/>
        </w:trPr>
        <w:tc>
          <w:tcPr>
            <w:tcW w:w="0" w:type="auto"/>
            <w:shd w:val="clear" w:color="auto" w:fill="auto"/>
            <w:vAlign w:val="center"/>
          </w:tcPr>
          <w:p w14:paraId="2E75CF3E" w14:textId="77777777" w:rsidR="0070070D" w:rsidRPr="00B0658A" w:rsidRDefault="0070070D" w:rsidP="00004A41">
            <w:pPr>
              <w:spacing w:after="0" w:line="240" w:lineRule="auto"/>
              <w:rPr>
                <w:rFonts w:ascii="Times New Roman" w:hAnsi="Times New Roman"/>
                <w:sz w:val="20"/>
                <w:szCs w:val="20"/>
              </w:rPr>
            </w:pPr>
            <w:r w:rsidRPr="00B0658A">
              <w:rPr>
                <w:rFonts w:ascii="Times New Roman" w:hAnsi="Times New Roman"/>
                <w:sz w:val="18"/>
                <w:szCs w:val="18"/>
              </w:rPr>
              <w:t>3.3</w:t>
            </w:r>
          </w:p>
        </w:tc>
        <w:tc>
          <w:tcPr>
            <w:tcW w:w="3432" w:type="dxa"/>
            <w:shd w:val="clear" w:color="auto" w:fill="auto"/>
            <w:vAlign w:val="center"/>
          </w:tcPr>
          <w:p w14:paraId="789C3F62" w14:textId="77777777" w:rsidR="0070070D" w:rsidRPr="00B0658A" w:rsidRDefault="0070070D" w:rsidP="00004A41">
            <w:pPr>
              <w:spacing w:after="0" w:line="240" w:lineRule="auto"/>
              <w:rPr>
                <w:rFonts w:ascii="Times New Roman" w:hAnsi="Times New Roman"/>
                <w:sz w:val="20"/>
                <w:szCs w:val="20"/>
              </w:rPr>
            </w:pPr>
            <w:r w:rsidRPr="00B0658A">
              <w:rPr>
                <w:rFonts w:ascii="Times New Roman" w:hAnsi="Times New Roman"/>
                <w:sz w:val="18"/>
                <w:szCs w:val="18"/>
              </w:rPr>
              <w:t>Средства обеспечения информационной безопасности/ Межсетевые экраны</w:t>
            </w:r>
          </w:p>
        </w:tc>
        <w:tc>
          <w:tcPr>
            <w:tcW w:w="1256" w:type="dxa"/>
          </w:tcPr>
          <w:p w14:paraId="1D3885D8"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1C737109"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13C41747"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64BDAA53" w14:textId="77777777" w:rsidR="0070070D" w:rsidRPr="00B0658A" w:rsidRDefault="0070070D" w:rsidP="00004A41">
            <w:pPr>
              <w:spacing w:after="0" w:line="240" w:lineRule="auto"/>
              <w:jc w:val="both"/>
              <w:rPr>
                <w:rFonts w:ascii="Times New Roman" w:hAnsi="Times New Roman"/>
                <w:i/>
                <w:iCs/>
                <w:sz w:val="20"/>
                <w:szCs w:val="20"/>
              </w:rPr>
            </w:pPr>
          </w:p>
        </w:tc>
      </w:tr>
      <w:tr w:rsidR="00F52FED" w:rsidRPr="00B0658A" w14:paraId="1647F340" w14:textId="77777777" w:rsidTr="001E5E80">
        <w:trPr>
          <w:trHeight w:val="170"/>
        </w:trPr>
        <w:tc>
          <w:tcPr>
            <w:tcW w:w="0" w:type="auto"/>
            <w:shd w:val="clear" w:color="auto" w:fill="auto"/>
            <w:vAlign w:val="center"/>
          </w:tcPr>
          <w:p w14:paraId="2CB59DA4" w14:textId="77777777" w:rsidR="0070070D" w:rsidRPr="00B0658A" w:rsidRDefault="0070070D" w:rsidP="00004A41">
            <w:pPr>
              <w:spacing w:after="0" w:line="240" w:lineRule="auto"/>
              <w:rPr>
                <w:rFonts w:ascii="Times New Roman" w:hAnsi="Times New Roman"/>
                <w:sz w:val="20"/>
                <w:szCs w:val="20"/>
              </w:rPr>
            </w:pPr>
            <w:r w:rsidRPr="00B0658A">
              <w:rPr>
                <w:rFonts w:ascii="Times New Roman" w:hAnsi="Times New Roman"/>
                <w:sz w:val="18"/>
                <w:szCs w:val="18"/>
              </w:rPr>
              <w:t>3.4</w:t>
            </w:r>
          </w:p>
        </w:tc>
        <w:tc>
          <w:tcPr>
            <w:tcW w:w="3432" w:type="dxa"/>
            <w:shd w:val="clear" w:color="auto" w:fill="auto"/>
            <w:vAlign w:val="center"/>
          </w:tcPr>
          <w:p w14:paraId="4E6D6974" w14:textId="77777777" w:rsidR="0070070D" w:rsidRPr="00B0658A" w:rsidRDefault="0070070D" w:rsidP="00004A41">
            <w:pPr>
              <w:spacing w:after="0" w:line="240" w:lineRule="auto"/>
              <w:rPr>
                <w:rFonts w:ascii="Times New Roman" w:hAnsi="Times New Roman"/>
                <w:sz w:val="20"/>
                <w:szCs w:val="20"/>
              </w:rPr>
            </w:pPr>
            <w:r w:rsidRPr="00B0658A">
              <w:rPr>
                <w:rFonts w:ascii="Times New Roman" w:hAnsi="Times New Roman"/>
                <w:sz w:val="18"/>
                <w:szCs w:val="18"/>
              </w:rPr>
              <w:t>Средства обеспечения информационной безопасности/ Средства фильтрации негативного контента</w:t>
            </w:r>
          </w:p>
        </w:tc>
        <w:tc>
          <w:tcPr>
            <w:tcW w:w="1256" w:type="dxa"/>
          </w:tcPr>
          <w:p w14:paraId="56736EEA"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2572F6CE"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4672F09C"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42857E38" w14:textId="77777777" w:rsidR="0070070D" w:rsidRPr="00B0658A" w:rsidRDefault="0070070D" w:rsidP="00004A41">
            <w:pPr>
              <w:spacing w:after="0" w:line="240" w:lineRule="auto"/>
              <w:jc w:val="both"/>
              <w:rPr>
                <w:rFonts w:ascii="Times New Roman" w:hAnsi="Times New Roman"/>
                <w:i/>
                <w:iCs/>
                <w:sz w:val="20"/>
                <w:szCs w:val="20"/>
              </w:rPr>
            </w:pPr>
          </w:p>
        </w:tc>
      </w:tr>
      <w:tr w:rsidR="00F52FED" w:rsidRPr="00B0658A" w14:paraId="41CC5DA4" w14:textId="77777777" w:rsidTr="001E5E80">
        <w:trPr>
          <w:trHeight w:val="170"/>
        </w:trPr>
        <w:tc>
          <w:tcPr>
            <w:tcW w:w="0" w:type="auto"/>
            <w:shd w:val="clear" w:color="auto" w:fill="auto"/>
            <w:vAlign w:val="center"/>
          </w:tcPr>
          <w:p w14:paraId="614BADF9" w14:textId="77777777" w:rsidR="0070070D" w:rsidRPr="00B0658A" w:rsidRDefault="0070070D" w:rsidP="00004A41">
            <w:pPr>
              <w:spacing w:after="0" w:line="240" w:lineRule="auto"/>
              <w:rPr>
                <w:rFonts w:ascii="Times New Roman" w:hAnsi="Times New Roman"/>
                <w:sz w:val="20"/>
                <w:szCs w:val="20"/>
              </w:rPr>
            </w:pPr>
            <w:r w:rsidRPr="00B0658A">
              <w:rPr>
                <w:rFonts w:ascii="Times New Roman" w:hAnsi="Times New Roman"/>
                <w:sz w:val="18"/>
                <w:szCs w:val="18"/>
              </w:rPr>
              <w:t>3.5</w:t>
            </w:r>
          </w:p>
        </w:tc>
        <w:tc>
          <w:tcPr>
            <w:tcW w:w="3432" w:type="dxa"/>
            <w:shd w:val="clear" w:color="auto" w:fill="auto"/>
            <w:vAlign w:val="center"/>
          </w:tcPr>
          <w:p w14:paraId="2F5E0D7D" w14:textId="77777777" w:rsidR="0070070D" w:rsidRPr="00B0658A" w:rsidRDefault="0070070D" w:rsidP="00004A41">
            <w:pPr>
              <w:spacing w:after="0" w:line="240" w:lineRule="auto"/>
              <w:rPr>
                <w:rFonts w:ascii="Times New Roman" w:hAnsi="Times New Roman"/>
                <w:sz w:val="20"/>
                <w:szCs w:val="20"/>
              </w:rPr>
            </w:pPr>
            <w:r w:rsidRPr="00B0658A">
              <w:rPr>
                <w:rFonts w:ascii="Times New Roman" w:hAnsi="Times New Roman"/>
                <w:sz w:val="18"/>
                <w:szCs w:val="18"/>
              </w:rPr>
              <w:t>Средства обеспечения информационной безопасности/ Средства защиты сервисов онлайн-платежей и дистанционного банковского обслуживания</w:t>
            </w:r>
          </w:p>
        </w:tc>
        <w:tc>
          <w:tcPr>
            <w:tcW w:w="1256" w:type="dxa"/>
          </w:tcPr>
          <w:p w14:paraId="46383AB1"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763080AC"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3DC547A9"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545AFDED" w14:textId="77777777" w:rsidR="0070070D" w:rsidRPr="00B0658A" w:rsidRDefault="0070070D" w:rsidP="00004A41">
            <w:pPr>
              <w:spacing w:after="0" w:line="240" w:lineRule="auto"/>
              <w:jc w:val="both"/>
              <w:rPr>
                <w:rFonts w:ascii="Times New Roman" w:hAnsi="Times New Roman"/>
                <w:i/>
                <w:iCs/>
                <w:sz w:val="20"/>
                <w:szCs w:val="20"/>
              </w:rPr>
            </w:pPr>
          </w:p>
        </w:tc>
      </w:tr>
      <w:tr w:rsidR="00F52FED" w:rsidRPr="00B0658A" w14:paraId="0C700B00" w14:textId="77777777" w:rsidTr="001E5E80">
        <w:trPr>
          <w:trHeight w:val="170"/>
        </w:trPr>
        <w:tc>
          <w:tcPr>
            <w:tcW w:w="0" w:type="auto"/>
            <w:shd w:val="clear" w:color="auto" w:fill="auto"/>
            <w:vAlign w:val="center"/>
          </w:tcPr>
          <w:p w14:paraId="58312FAC" w14:textId="77777777" w:rsidR="0070070D" w:rsidRPr="00B0658A" w:rsidRDefault="0070070D" w:rsidP="00004A41">
            <w:pPr>
              <w:spacing w:after="0" w:line="240" w:lineRule="auto"/>
              <w:rPr>
                <w:rFonts w:ascii="Times New Roman" w:hAnsi="Times New Roman"/>
                <w:sz w:val="20"/>
                <w:szCs w:val="20"/>
              </w:rPr>
            </w:pPr>
            <w:r w:rsidRPr="00B0658A">
              <w:rPr>
                <w:rFonts w:ascii="Times New Roman" w:hAnsi="Times New Roman"/>
                <w:sz w:val="18"/>
                <w:szCs w:val="18"/>
              </w:rPr>
              <w:t>3.6</w:t>
            </w:r>
          </w:p>
        </w:tc>
        <w:tc>
          <w:tcPr>
            <w:tcW w:w="3432" w:type="dxa"/>
            <w:shd w:val="clear" w:color="auto" w:fill="auto"/>
            <w:vAlign w:val="center"/>
          </w:tcPr>
          <w:p w14:paraId="71FEC42E" w14:textId="77777777" w:rsidR="0070070D" w:rsidRPr="00B0658A" w:rsidRDefault="0070070D" w:rsidP="00004A41">
            <w:pPr>
              <w:spacing w:after="0" w:line="240" w:lineRule="auto"/>
              <w:rPr>
                <w:rFonts w:ascii="Times New Roman" w:hAnsi="Times New Roman"/>
                <w:sz w:val="20"/>
                <w:szCs w:val="20"/>
              </w:rPr>
            </w:pPr>
            <w:r w:rsidRPr="00B0658A">
              <w:rPr>
                <w:rFonts w:ascii="Times New Roman" w:hAnsi="Times New Roman"/>
                <w:sz w:val="18"/>
                <w:szCs w:val="18"/>
              </w:rPr>
              <w:t>Средства обеспечения информационной безопасности/ Средства антивирусной защиты</w:t>
            </w:r>
          </w:p>
        </w:tc>
        <w:tc>
          <w:tcPr>
            <w:tcW w:w="1256" w:type="dxa"/>
          </w:tcPr>
          <w:p w14:paraId="55B90BBA"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3703B184"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23BDF1B7"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48EECE60" w14:textId="77777777" w:rsidR="0070070D" w:rsidRPr="00B0658A" w:rsidRDefault="0070070D" w:rsidP="00004A41">
            <w:pPr>
              <w:spacing w:after="0" w:line="240" w:lineRule="auto"/>
              <w:jc w:val="both"/>
              <w:rPr>
                <w:rFonts w:ascii="Times New Roman" w:hAnsi="Times New Roman"/>
                <w:i/>
                <w:iCs/>
                <w:sz w:val="20"/>
                <w:szCs w:val="20"/>
              </w:rPr>
            </w:pPr>
          </w:p>
        </w:tc>
      </w:tr>
      <w:tr w:rsidR="00F52FED" w:rsidRPr="00B0658A" w14:paraId="2A8A98C6" w14:textId="77777777" w:rsidTr="001E5E80">
        <w:trPr>
          <w:trHeight w:val="170"/>
        </w:trPr>
        <w:tc>
          <w:tcPr>
            <w:tcW w:w="0" w:type="auto"/>
            <w:shd w:val="clear" w:color="auto" w:fill="auto"/>
            <w:vAlign w:val="center"/>
          </w:tcPr>
          <w:p w14:paraId="4162B579" w14:textId="77777777" w:rsidR="0070070D" w:rsidRPr="00B0658A" w:rsidRDefault="0070070D" w:rsidP="00004A41">
            <w:pPr>
              <w:spacing w:after="0" w:line="240" w:lineRule="auto"/>
              <w:rPr>
                <w:rFonts w:ascii="Times New Roman" w:hAnsi="Times New Roman"/>
                <w:sz w:val="20"/>
                <w:szCs w:val="20"/>
              </w:rPr>
            </w:pPr>
            <w:r w:rsidRPr="00B0658A">
              <w:rPr>
                <w:rFonts w:ascii="Times New Roman" w:hAnsi="Times New Roman"/>
                <w:sz w:val="18"/>
                <w:szCs w:val="18"/>
              </w:rPr>
              <w:t>3.7</w:t>
            </w:r>
          </w:p>
        </w:tc>
        <w:tc>
          <w:tcPr>
            <w:tcW w:w="3432" w:type="dxa"/>
            <w:shd w:val="clear" w:color="auto" w:fill="auto"/>
            <w:vAlign w:val="center"/>
          </w:tcPr>
          <w:p w14:paraId="02D8BED3" w14:textId="77777777" w:rsidR="0070070D" w:rsidRPr="00B0658A" w:rsidRDefault="0070070D" w:rsidP="00004A41">
            <w:pPr>
              <w:spacing w:after="0" w:line="240" w:lineRule="auto"/>
              <w:rPr>
                <w:rFonts w:ascii="Times New Roman" w:hAnsi="Times New Roman"/>
                <w:sz w:val="20"/>
                <w:szCs w:val="20"/>
              </w:rPr>
            </w:pPr>
            <w:r w:rsidRPr="00B0658A">
              <w:rPr>
                <w:rFonts w:ascii="Times New Roman" w:hAnsi="Times New Roman"/>
                <w:sz w:val="18"/>
                <w:szCs w:val="18"/>
              </w:rPr>
              <w:t>Средства обеспечения информационной безопасности/ Средства выявления целевых атак</w:t>
            </w:r>
          </w:p>
        </w:tc>
        <w:tc>
          <w:tcPr>
            <w:tcW w:w="1256" w:type="dxa"/>
          </w:tcPr>
          <w:p w14:paraId="501D4C4A"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0F049019"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3D18D810"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7D25B480" w14:textId="77777777" w:rsidR="0070070D" w:rsidRPr="00B0658A" w:rsidRDefault="0070070D" w:rsidP="00004A41">
            <w:pPr>
              <w:spacing w:after="0" w:line="240" w:lineRule="auto"/>
              <w:jc w:val="both"/>
              <w:rPr>
                <w:rFonts w:ascii="Times New Roman" w:hAnsi="Times New Roman"/>
                <w:i/>
                <w:iCs/>
                <w:sz w:val="20"/>
                <w:szCs w:val="20"/>
              </w:rPr>
            </w:pPr>
          </w:p>
        </w:tc>
      </w:tr>
      <w:tr w:rsidR="00F52FED" w:rsidRPr="00B0658A" w14:paraId="088978F2" w14:textId="77777777" w:rsidTr="001E5E80">
        <w:trPr>
          <w:trHeight w:val="170"/>
        </w:trPr>
        <w:tc>
          <w:tcPr>
            <w:tcW w:w="0" w:type="auto"/>
            <w:shd w:val="clear" w:color="auto" w:fill="auto"/>
            <w:vAlign w:val="center"/>
          </w:tcPr>
          <w:p w14:paraId="2213AA97" w14:textId="77777777" w:rsidR="0070070D" w:rsidRPr="00B0658A" w:rsidRDefault="0070070D" w:rsidP="00004A41">
            <w:pPr>
              <w:spacing w:after="0" w:line="240" w:lineRule="auto"/>
              <w:rPr>
                <w:rFonts w:ascii="Times New Roman" w:hAnsi="Times New Roman"/>
                <w:sz w:val="20"/>
                <w:szCs w:val="20"/>
              </w:rPr>
            </w:pPr>
            <w:r w:rsidRPr="00B0658A">
              <w:rPr>
                <w:rFonts w:ascii="Times New Roman" w:hAnsi="Times New Roman"/>
                <w:sz w:val="18"/>
                <w:szCs w:val="18"/>
              </w:rPr>
              <w:t>3.8</w:t>
            </w:r>
          </w:p>
        </w:tc>
        <w:tc>
          <w:tcPr>
            <w:tcW w:w="3432" w:type="dxa"/>
            <w:shd w:val="clear" w:color="auto" w:fill="auto"/>
            <w:vAlign w:val="center"/>
          </w:tcPr>
          <w:p w14:paraId="67842158" w14:textId="77777777" w:rsidR="0070070D" w:rsidRPr="00B0658A" w:rsidRDefault="0070070D" w:rsidP="00004A41">
            <w:pPr>
              <w:spacing w:after="0" w:line="240" w:lineRule="auto"/>
              <w:rPr>
                <w:rFonts w:ascii="Times New Roman" w:hAnsi="Times New Roman"/>
                <w:sz w:val="20"/>
                <w:szCs w:val="20"/>
              </w:rPr>
            </w:pPr>
            <w:r w:rsidRPr="00B0658A">
              <w:rPr>
                <w:rFonts w:ascii="Times New Roman" w:hAnsi="Times New Roman"/>
                <w:sz w:val="18"/>
                <w:szCs w:val="18"/>
              </w:rPr>
              <w:t>Средства обеспечения информационной безопасности/ Средства гарантированного уничтожения данных</w:t>
            </w:r>
          </w:p>
        </w:tc>
        <w:tc>
          <w:tcPr>
            <w:tcW w:w="1256" w:type="dxa"/>
          </w:tcPr>
          <w:p w14:paraId="5300198A"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45E0A48A"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56152111"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03A26857" w14:textId="77777777" w:rsidR="0070070D" w:rsidRPr="00B0658A" w:rsidRDefault="0070070D" w:rsidP="00004A41">
            <w:pPr>
              <w:spacing w:after="0" w:line="240" w:lineRule="auto"/>
              <w:jc w:val="both"/>
              <w:rPr>
                <w:rFonts w:ascii="Times New Roman" w:hAnsi="Times New Roman"/>
                <w:i/>
                <w:iCs/>
                <w:sz w:val="20"/>
                <w:szCs w:val="20"/>
              </w:rPr>
            </w:pPr>
          </w:p>
        </w:tc>
      </w:tr>
      <w:tr w:rsidR="00F52FED" w:rsidRPr="00B0658A" w14:paraId="6B76C5FD" w14:textId="77777777" w:rsidTr="001E5E80">
        <w:trPr>
          <w:trHeight w:val="170"/>
        </w:trPr>
        <w:tc>
          <w:tcPr>
            <w:tcW w:w="0" w:type="auto"/>
            <w:shd w:val="clear" w:color="auto" w:fill="auto"/>
            <w:vAlign w:val="center"/>
          </w:tcPr>
          <w:p w14:paraId="1CF19D41" w14:textId="77777777" w:rsidR="0070070D" w:rsidRPr="00B0658A" w:rsidRDefault="0070070D" w:rsidP="00004A41">
            <w:pPr>
              <w:spacing w:after="0" w:line="240" w:lineRule="auto"/>
              <w:rPr>
                <w:rFonts w:ascii="Times New Roman" w:hAnsi="Times New Roman"/>
                <w:sz w:val="20"/>
                <w:szCs w:val="20"/>
              </w:rPr>
            </w:pPr>
            <w:r w:rsidRPr="00B0658A">
              <w:rPr>
                <w:rFonts w:ascii="Times New Roman" w:hAnsi="Times New Roman"/>
                <w:sz w:val="18"/>
                <w:szCs w:val="18"/>
              </w:rPr>
              <w:t>3.9</w:t>
            </w:r>
          </w:p>
        </w:tc>
        <w:tc>
          <w:tcPr>
            <w:tcW w:w="3432" w:type="dxa"/>
            <w:shd w:val="clear" w:color="auto" w:fill="auto"/>
            <w:vAlign w:val="center"/>
          </w:tcPr>
          <w:p w14:paraId="7C2A8912" w14:textId="77777777" w:rsidR="0070070D" w:rsidRPr="00B0658A" w:rsidRDefault="0070070D" w:rsidP="00004A41">
            <w:pPr>
              <w:spacing w:after="0" w:line="240" w:lineRule="auto"/>
              <w:rPr>
                <w:rFonts w:ascii="Times New Roman" w:hAnsi="Times New Roman"/>
                <w:sz w:val="20"/>
                <w:szCs w:val="20"/>
              </w:rPr>
            </w:pPr>
            <w:r w:rsidRPr="00B0658A">
              <w:rPr>
                <w:rFonts w:ascii="Times New Roman" w:hAnsi="Times New Roman"/>
                <w:sz w:val="18"/>
                <w:szCs w:val="18"/>
              </w:rPr>
              <w:t>Средства обеспечения информационной безопасности/ Средства обнаружения и предотвращения утечек информации</w:t>
            </w:r>
          </w:p>
        </w:tc>
        <w:tc>
          <w:tcPr>
            <w:tcW w:w="1256" w:type="dxa"/>
          </w:tcPr>
          <w:p w14:paraId="06D97C2A"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607D1E37"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3AFCFE58"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16B6520F" w14:textId="77777777" w:rsidR="0070070D" w:rsidRPr="00B0658A" w:rsidRDefault="0070070D" w:rsidP="00004A41">
            <w:pPr>
              <w:spacing w:after="0" w:line="240" w:lineRule="auto"/>
              <w:jc w:val="both"/>
              <w:rPr>
                <w:rFonts w:ascii="Times New Roman" w:hAnsi="Times New Roman"/>
                <w:i/>
                <w:iCs/>
                <w:sz w:val="20"/>
                <w:szCs w:val="20"/>
              </w:rPr>
            </w:pPr>
          </w:p>
        </w:tc>
      </w:tr>
      <w:tr w:rsidR="00F52FED" w:rsidRPr="00B0658A" w14:paraId="7D49CE72" w14:textId="77777777" w:rsidTr="001E5E80">
        <w:trPr>
          <w:trHeight w:val="170"/>
        </w:trPr>
        <w:tc>
          <w:tcPr>
            <w:tcW w:w="0" w:type="auto"/>
            <w:shd w:val="clear" w:color="auto" w:fill="auto"/>
            <w:vAlign w:val="center"/>
          </w:tcPr>
          <w:p w14:paraId="4696721F" w14:textId="77777777" w:rsidR="0070070D" w:rsidRPr="00B0658A" w:rsidRDefault="0070070D" w:rsidP="00004A41">
            <w:pPr>
              <w:spacing w:after="0" w:line="240" w:lineRule="auto"/>
              <w:rPr>
                <w:rFonts w:ascii="Times New Roman" w:hAnsi="Times New Roman"/>
                <w:sz w:val="20"/>
                <w:szCs w:val="20"/>
              </w:rPr>
            </w:pPr>
            <w:r w:rsidRPr="00B0658A">
              <w:rPr>
                <w:rFonts w:ascii="Times New Roman" w:hAnsi="Times New Roman"/>
                <w:sz w:val="18"/>
                <w:szCs w:val="18"/>
              </w:rPr>
              <w:t>3.10</w:t>
            </w:r>
          </w:p>
        </w:tc>
        <w:tc>
          <w:tcPr>
            <w:tcW w:w="3432" w:type="dxa"/>
            <w:shd w:val="clear" w:color="auto" w:fill="auto"/>
            <w:vAlign w:val="center"/>
          </w:tcPr>
          <w:p w14:paraId="14A4E8CE" w14:textId="77777777" w:rsidR="0070070D" w:rsidRPr="00B0658A" w:rsidRDefault="0070070D" w:rsidP="00004A41">
            <w:pPr>
              <w:spacing w:after="0" w:line="240" w:lineRule="auto"/>
              <w:rPr>
                <w:rFonts w:ascii="Times New Roman" w:hAnsi="Times New Roman"/>
                <w:sz w:val="20"/>
                <w:szCs w:val="20"/>
              </w:rPr>
            </w:pPr>
            <w:r w:rsidRPr="00B0658A">
              <w:rPr>
                <w:rFonts w:ascii="Times New Roman" w:hAnsi="Times New Roman"/>
                <w:sz w:val="18"/>
                <w:szCs w:val="18"/>
              </w:rPr>
              <w:t>Средства обеспечения информационной безопасности/ Средства криптографической защиты информации и электронной подписи</w:t>
            </w:r>
          </w:p>
        </w:tc>
        <w:tc>
          <w:tcPr>
            <w:tcW w:w="1256" w:type="dxa"/>
          </w:tcPr>
          <w:p w14:paraId="1583DCA3"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7EB41CB9"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5EBED84C"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5A7CB572" w14:textId="77777777" w:rsidR="0070070D" w:rsidRPr="00B0658A" w:rsidRDefault="0070070D" w:rsidP="00004A41">
            <w:pPr>
              <w:spacing w:after="0" w:line="240" w:lineRule="auto"/>
              <w:jc w:val="both"/>
              <w:rPr>
                <w:rFonts w:ascii="Times New Roman" w:hAnsi="Times New Roman"/>
                <w:i/>
                <w:iCs/>
                <w:sz w:val="20"/>
                <w:szCs w:val="20"/>
              </w:rPr>
            </w:pPr>
          </w:p>
        </w:tc>
      </w:tr>
      <w:tr w:rsidR="00F52FED" w:rsidRPr="00B0658A" w14:paraId="59F32CA7" w14:textId="77777777" w:rsidTr="001E5E80">
        <w:trPr>
          <w:trHeight w:val="170"/>
        </w:trPr>
        <w:tc>
          <w:tcPr>
            <w:tcW w:w="0" w:type="auto"/>
            <w:shd w:val="clear" w:color="auto" w:fill="auto"/>
            <w:vAlign w:val="center"/>
          </w:tcPr>
          <w:p w14:paraId="1381EB2B" w14:textId="77777777" w:rsidR="0070070D" w:rsidRPr="00B0658A" w:rsidRDefault="0070070D" w:rsidP="00004A41">
            <w:pPr>
              <w:spacing w:after="0" w:line="240" w:lineRule="auto"/>
              <w:rPr>
                <w:rFonts w:ascii="Times New Roman" w:hAnsi="Times New Roman"/>
                <w:sz w:val="20"/>
                <w:szCs w:val="20"/>
              </w:rPr>
            </w:pPr>
            <w:r w:rsidRPr="00B0658A">
              <w:rPr>
                <w:rFonts w:ascii="Times New Roman" w:hAnsi="Times New Roman"/>
                <w:sz w:val="18"/>
                <w:szCs w:val="18"/>
              </w:rPr>
              <w:t>3.11</w:t>
            </w:r>
          </w:p>
        </w:tc>
        <w:tc>
          <w:tcPr>
            <w:tcW w:w="3432" w:type="dxa"/>
            <w:shd w:val="clear" w:color="auto" w:fill="auto"/>
            <w:vAlign w:val="center"/>
          </w:tcPr>
          <w:p w14:paraId="7A279EEB" w14:textId="77777777" w:rsidR="0070070D" w:rsidRPr="00B0658A" w:rsidRDefault="0070070D" w:rsidP="00004A41">
            <w:pPr>
              <w:spacing w:after="0" w:line="240" w:lineRule="auto"/>
              <w:rPr>
                <w:rFonts w:ascii="Times New Roman" w:hAnsi="Times New Roman"/>
                <w:sz w:val="20"/>
                <w:szCs w:val="20"/>
              </w:rPr>
            </w:pPr>
            <w:r w:rsidRPr="00B0658A">
              <w:rPr>
                <w:rFonts w:ascii="Times New Roman" w:hAnsi="Times New Roman"/>
                <w:sz w:val="18"/>
                <w:szCs w:val="18"/>
              </w:rPr>
              <w:t>Средства обеспечения информационной безопасности/ Средства защиты каналов передачи данных, в том числе криптографическими методами</w:t>
            </w:r>
          </w:p>
        </w:tc>
        <w:tc>
          <w:tcPr>
            <w:tcW w:w="1256" w:type="dxa"/>
          </w:tcPr>
          <w:p w14:paraId="5D089674"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2D80CE5D"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417980AE"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6D4A6435" w14:textId="77777777" w:rsidR="0070070D" w:rsidRPr="00B0658A" w:rsidRDefault="0070070D" w:rsidP="00004A41">
            <w:pPr>
              <w:spacing w:after="0" w:line="240" w:lineRule="auto"/>
              <w:jc w:val="both"/>
              <w:rPr>
                <w:rFonts w:ascii="Times New Roman" w:hAnsi="Times New Roman"/>
                <w:i/>
                <w:iCs/>
                <w:sz w:val="20"/>
                <w:szCs w:val="20"/>
              </w:rPr>
            </w:pPr>
          </w:p>
        </w:tc>
      </w:tr>
      <w:tr w:rsidR="00F52FED" w:rsidRPr="00B0658A" w14:paraId="378F6575" w14:textId="77777777" w:rsidTr="001E5E80">
        <w:trPr>
          <w:trHeight w:val="170"/>
        </w:trPr>
        <w:tc>
          <w:tcPr>
            <w:tcW w:w="0" w:type="auto"/>
            <w:shd w:val="clear" w:color="auto" w:fill="auto"/>
            <w:vAlign w:val="center"/>
          </w:tcPr>
          <w:p w14:paraId="6104F5FB" w14:textId="77777777" w:rsidR="0070070D" w:rsidRPr="00B0658A" w:rsidRDefault="0070070D" w:rsidP="00004A41">
            <w:pPr>
              <w:spacing w:after="0" w:line="240" w:lineRule="auto"/>
              <w:rPr>
                <w:rFonts w:ascii="Times New Roman" w:hAnsi="Times New Roman"/>
                <w:sz w:val="20"/>
                <w:szCs w:val="20"/>
              </w:rPr>
            </w:pPr>
            <w:r w:rsidRPr="00B0658A">
              <w:rPr>
                <w:rFonts w:ascii="Times New Roman" w:hAnsi="Times New Roman"/>
                <w:sz w:val="18"/>
                <w:szCs w:val="18"/>
              </w:rPr>
              <w:lastRenderedPageBreak/>
              <w:t>3.12</w:t>
            </w:r>
          </w:p>
        </w:tc>
        <w:tc>
          <w:tcPr>
            <w:tcW w:w="3432" w:type="dxa"/>
            <w:shd w:val="clear" w:color="auto" w:fill="auto"/>
            <w:vAlign w:val="center"/>
          </w:tcPr>
          <w:p w14:paraId="165D8CEE" w14:textId="77777777" w:rsidR="0070070D" w:rsidRPr="00B0658A" w:rsidRDefault="0070070D" w:rsidP="00004A41">
            <w:pPr>
              <w:spacing w:after="0" w:line="240" w:lineRule="auto"/>
              <w:rPr>
                <w:rFonts w:ascii="Times New Roman" w:hAnsi="Times New Roman"/>
                <w:sz w:val="20"/>
                <w:szCs w:val="20"/>
              </w:rPr>
            </w:pPr>
            <w:r w:rsidRPr="00B0658A">
              <w:rPr>
                <w:rFonts w:ascii="Times New Roman" w:hAnsi="Times New Roman"/>
                <w:sz w:val="18"/>
                <w:szCs w:val="18"/>
              </w:rPr>
              <w:t>Средства обеспечения информационной безопасности/ Системы управления доступом к информационным ресурсам</w:t>
            </w:r>
          </w:p>
        </w:tc>
        <w:tc>
          <w:tcPr>
            <w:tcW w:w="1256" w:type="dxa"/>
          </w:tcPr>
          <w:p w14:paraId="1DF44BC6"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400B9F15"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18E2AC4B"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4AF86D8C" w14:textId="77777777" w:rsidR="0070070D" w:rsidRPr="00B0658A" w:rsidRDefault="0070070D" w:rsidP="00004A41">
            <w:pPr>
              <w:spacing w:after="0" w:line="240" w:lineRule="auto"/>
              <w:jc w:val="both"/>
              <w:rPr>
                <w:rFonts w:ascii="Times New Roman" w:hAnsi="Times New Roman"/>
                <w:i/>
                <w:iCs/>
                <w:sz w:val="20"/>
                <w:szCs w:val="20"/>
              </w:rPr>
            </w:pPr>
          </w:p>
        </w:tc>
      </w:tr>
      <w:tr w:rsidR="00F52FED" w:rsidRPr="00B0658A" w14:paraId="6F521C8C" w14:textId="77777777" w:rsidTr="001E5E80">
        <w:trPr>
          <w:trHeight w:val="170"/>
        </w:trPr>
        <w:tc>
          <w:tcPr>
            <w:tcW w:w="0" w:type="auto"/>
            <w:shd w:val="clear" w:color="auto" w:fill="auto"/>
            <w:vAlign w:val="center"/>
          </w:tcPr>
          <w:p w14:paraId="13340BEE" w14:textId="77777777" w:rsidR="0070070D" w:rsidRPr="00B0658A" w:rsidRDefault="0070070D" w:rsidP="00004A41">
            <w:pPr>
              <w:spacing w:after="0" w:line="240" w:lineRule="auto"/>
              <w:rPr>
                <w:rFonts w:ascii="Times New Roman" w:hAnsi="Times New Roman"/>
                <w:sz w:val="20"/>
                <w:szCs w:val="20"/>
              </w:rPr>
            </w:pPr>
            <w:r w:rsidRPr="00B0658A">
              <w:rPr>
                <w:rFonts w:ascii="Times New Roman" w:hAnsi="Times New Roman"/>
                <w:sz w:val="18"/>
                <w:szCs w:val="18"/>
              </w:rPr>
              <w:t>3.13</w:t>
            </w:r>
          </w:p>
        </w:tc>
        <w:tc>
          <w:tcPr>
            <w:tcW w:w="3432" w:type="dxa"/>
            <w:shd w:val="clear" w:color="auto" w:fill="auto"/>
            <w:vAlign w:val="center"/>
          </w:tcPr>
          <w:p w14:paraId="4EBA5571" w14:textId="77777777" w:rsidR="0070070D" w:rsidRPr="00B0658A" w:rsidRDefault="0070070D" w:rsidP="00004A41">
            <w:pPr>
              <w:spacing w:after="0" w:line="240" w:lineRule="auto"/>
              <w:rPr>
                <w:rFonts w:ascii="Times New Roman" w:hAnsi="Times New Roman"/>
                <w:sz w:val="20"/>
                <w:szCs w:val="20"/>
              </w:rPr>
            </w:pPr>
            <w:r w:rsidRPr="00B0658A">
              <w:rPr>
                <w:rFonts w:ascii="Times New Roman" w:hAnsi="Times New Roman"/>
                <w:sz w:val="18"/>
                <w:szCs w:val="18"/>
              </w:rPr>
              <w:t>Средства обеспечения информационной безопасности/ Средства резервного копирования</w:t>
            </w:r>
          </w:p>
        </w:tc>
        <w:tc>
          <w:tcPr>
            <w:tcW w:w="1256" w:type="dxa"/>
          </w:tcPr>
          <w:p w14:paraId="5D6CC1CA"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3053583F"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086D3804"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610A9DBC" w14:textId="77777777" w:rsidR="0070070D" w:rsidRPr="00B0658A" w:rsidRDefault="0070070D" w:rsidP="00004A41">
            <w:pPr>
              <w:spacing w:after="0" w:line="240" w:lineRule="auto"/>
              <w:jc w:val="both"/>
              <w:rPr>
                <w:rFonts w:ascii="Times New Roman" w:hAnsi="Times New Roman"/>
                <w:i/>
                <w:iCs/>
                <w:sz w:val="20"/>
                <w:szCs w:val="20"/>
              </w:rPr>
            </w:pPr>
          </w:p>
        </w:tc>
      </w:tr>
      <w:tr w:rsidR="00F52FED" w:rsidRPr="00B0658A" w14:paraId="3F33647F" w14:textId="77777777" w:rsidTr="001E5E80">
        <w:trPr>
          <w:trHeight w:val="170"/>
        </w:trPr>
        <w:tc>
          <w:tcPr>
            <w:tcW w:w="0" w:type="auto"/>
            <w:shd w:val="clear" w:color="auto" w:fill="auto"/>
            <w:vAlign w:val="center"/>
          </w:tcPr>
          <w:p w14:paraId="3C1E0C3D" w14:textId="77777777" w:rsidR="0070070D" w:rsidRPr="00B0658A" w:rsidRDefault="0070070D" w:rsidP="00004A41">
            <w:pPr>
              <w:spacing w:after="0" w:line="240" w:lineRule="auto"/>
              <w:rPr>
                <w:rFonts w:ascii="Times New Roman" w:hAnsi="Times New Roman"/>
                <w:sz w:val="20"/>
                <w:szCs w:val="20"/>
              </w:rPr>
            </w:pPr>
            <w:r w:rsidRPr="00B0658A">
              <w:rPr>
                <w:rFonts w:ascii="Times New Roman" w:hAnsi="Times New Roman"/>
                <w:sz w:val="18"/>
                <w:szCs w:val="18"/>
              </w:rPr>
              <w:t>3.14</w:t>
            </w:r>
          </w:p>
        </w:tc>
        <w:tc>
          <w:tcPr>
            <w:tcW w:w="3432" w:type="dxa"/>
            <w:shd w:val="clear" w:color="auto" w:fill="auto"/>
            <w:vAlign w:val="center"/>
          </w:tcPr>
          <w:p w14:paraId="67C850DB" w14:textId="77777777" w:rsidR="0070070D" w:rsidRPr="00B0658A" w:rsidRDefault="0070070D" w:rsidP="00004A41">
            <w:pPr>
              <w:spacing w:after="0" w:line="240" w:lineRule="auto"/>
              <w:rPr>
                <w:rFonts w:ascii="Times New Roman" w:hAnsi="Times New Roman"/>
                <w:sz w:val="20"/>
                <w:szCs w:val="20"/>
              </w:rPr>
            </w:pPr>
            <w:r w:rsidRPr="00B0658A">
              <w:rPr>
                <w:rFonts w:ascii="Times New Roman" w:hAnsi="Times New Roman"/>
                <w:sz w:val="18"/>
                <w:szCs w:val="18"/>
              </w:rPr>
              <w:t>Средства обеспечения информационной безопасности/ Средства обнаружения и/или предотвращения вторжений (атак)</w:t>
            </w:r>
          </w:p>
        </w:tc>
        <w:tc>
          <w:tcPr>
            <w:tcW w:w="1256" w:type="dxa"/>
          </w:tcPr>
          <w:p w14:paraId="0AD2D374"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5506C036"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7F08C4DC"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0E7525AF" w14:textId="77777777" w:rsidR="0070070D" w:rsidRPr="00B0658A" w:rsidRDefault="0070070D" w:rsidP="00004A41">
            <w:pPr>
              <w:spacing w:after="0" w:line="240" w:lineRule="auto"/>
              <w:jc w:val="both"/>
              <w:rPr>
                <w:rFonts w:ascii="Times New Roman" w:hAnsi="Times New Roman"/>
                <w:i/>
                <w:iCs/>
                <w:sz w:val="20"/>
                <w:szCs w:val="20"/>
              </w:rPr>
            </w:pPr>
          </w:p>
        </w:tc>
      </w:tr>
      <w:tr w:rsidR="00F52FED" w:rsidRPr="00B0658A" w14:paraId="243768C0" w14:textId="77777777" w:rsidTr="001E5E80">
        <w:trPr>
          <w:trHeight w:val="170"/>
        </w:trPr>
        <w:tc>
          <w:tcPr>
            <w:tcW w:w="0" w:type="auto"/>
            <w:shd w:val="clear" w:color="auto" w:fill="auto"/>
            <w:vAlign w:val="center"/>
          </w:tcPr>
          <w:p w14:paraId="31A31F46" w14:textId="77777777" w:rsidR="0070070D" w:rsidRPr="00B0658A" w:rsidRDefault="0070070D" w:rsidP="00004A41">
            <w:pPr>
              <w:spacing w:after="0" w:line="240" w:lineRule="auto"/>
              <w:rPr>
                <w:rFonts w:ascii="Times New Roman" w:hAnsi="Times New Roman"/>
                <w:sz w:val="20"/>
                <w:szCs w:val="20"/>
              </w:rPr>
            </w:pPr>
            <w:r w:rsidRPr="00B0658A">
              <w:rPr>
                <w:rFonts w:ascii="Times New Roman" w:hAnsi="Times New Roman"/>
                <w:sz w:val="18"/>
                <w:szCs w:val="18"/>
              </w:rPr>
              <w:t>3.15</w:t>
            </w:r>
          </w:p>
        </w:tc>
        <w:tc>
          <w:tcPr>
            <w:tcW w:w="3432" w:type="dxa"/>
            <w:shd w:val="clear" w:color="auto" w:fill="auto"/>
            <w:vAlign w:val="center"/>
          </w:tcPr>
          <w:p w14:paraId="59F390AD" w14:textId="77777777" w:rsidR="0070070D" w:rsidRPr="00B0658A" w:rsidRDefault="0070070D" w:rsidP="00004A41">
            <w:pPr>
              <w:spacing w:after="0" w:line="240" w:lineRule="auto"/>
              <w:rPr>
                <w:rFonts w:ascii="Times New Roman" w:hAnsi="Times New Roman"/>
                <w:sz w:val="20"/>
                <w:szCs w:val="20"/>
              </w:rPr>
            </w:pPr>
            <w:r w:rsidRPr="00B0658A">
              <w:rPr>
                <w:rFonts w:ascii="Times New Roman" w:hAnsi="Times New Roman"/>
                <w:sz w:val="18"/>
                <w:szCs w:val="18"/>
              </w:rPr>
              <w:t>Средства обеспечения информационной безопасности/ Средства обнаружения угроз и расследования сетевых инцидентов</w:t>
            </w:r>
          </w:p>
        </w:tc>
        <w:tc>
          <w:tcPr>
            <w:tcW w:w="1256" w:type="dxa"/>
          </w:tcPr>
          <w:p w14:paraId="70022B4A"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1E43AC0C"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252C0D12"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25FE34AC" w14:textId="77777777" w:rsidR="0070070D" w:rsidRPr="00B0658A" w:rsidRDefault="0070070D" w:rsidP="00004A41">
            <w:pPr>
              <w:spacing w:after="0" w:line="240" w:lineRule="auto"/>
              <w:jc w:val="both"/>
              <w:rPr>
                <w:rFonts w:ascii="Times New Roman" w:hAnsi="Times New Roman"/>
                <w:i/>
                <w:iCs/>
                <w:sz w:val="20"/>
                <w:szCs w:val="20"/>
              </w:rPr>
            </w:pPr>
          </w:p>
        </w:tc>
      </w:tr>
      <w:tr w:rsidR="00F52FED" w:rsidRPr="00B0658A" w14:paraId="08EEC8C1" w14:textId="77777777" w:rsidTr="001E5E80">
        <w:trPr>
          <w:trHeight w:val="170"/>
        </w:trPr>
        <w:tc>
          <w:tcPr>
            <w:tcW w:w="0" w:type="auto"/>
            <w:shd w:val="clear" w:color="auto" w:fill="auto"/>
            <w:vAlign w:val="center"/>
          </w:tcPr>
          <w:p w14:paraId="7CBA656A" w14:textId="77777777" w:rsidR="0070070D" w:rsidRPr="00B0658A" w:rsidRDefault="0070070D" w:rsidP="00004A41">
            <w:pPr>
              <w:spacing w:after="0" w:line="240" w:lineRule="auto"/>
              <w:rPr>
                <w:rFonts w:ascii="Times New Roman" w:hAnsi="Times New Roman"/>
                <w:sz w:val="20"/>
                <w:szCs w:val="20"/>
              </w:rPr>
            </w:pPr>
            <w:r w:rsidRPr="00B0658A">
              <w:rPr>
                <w:rFonts w:ascii="Times New Roman" w:hAnsi="Times New Roman"/>
                <w:sz w:val="18"/>
                <w:szCs w:val="18"/>
              </w:rPr>
              <w:t>3.16</w:t>
            </w:r>
          </w:p>
        </w:tc>
        <w:tc>
          <w:tcPr>
            <w:tcW w:w="3432" w:type="dxa"/>
            <w:shd w:val="clear" w:color="auto" w:fill="auto"/>
            <w:vAlign w:val="center"/>
          </w:tcPr>
          <w:p w14:paraId="15D18148" w14:textId="77777777" w:rsidR="0070070D" w:rsidRPr="00B0658A" w:rsidRDefault="0070070D" w:rsidP="00004A41">
            <w:pPr>
              <w:spacing w:after="0" w:line="240" w:lineRule="auto"/>
              <w:rPr>
                <w:rFonts w:ascii="Times New Roman" w:hAnsi="Times New Roman"/>
                <w:sz w:val="20"/>
                <w:szCs w:val="20"/>
              </w:rPr>
            </w:pPr>
            <w:r w:rsidRPr="00B0658A">
              <w:rPr>
                <w:rFonts w:ascii="Times New Roman" w:hAnsi="Times New Roman"/>
                <w:sz w:val="18"/>
                <w:szCs w:val="18"/>
              </w:rPr>
              <w:t>Средства обеспечения информационной безопасности/ Средства администрирования и управления жизненным циклом ключевых носителей</w:t>
            </w:r>
          </w:p>
        </w:tc>
        <w:tc>
          <w:tcPr>
            <w:tcW w:w="1256" w:type="dxa"/>
          </w:tcPr>
          <w:p w14:paraId="21595EAE"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7C920389"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089EA62B"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49597BCA" w14:textId="77777777" w:rsidR="0070070D" w:rsidRPr="00B0658A" w:rsidRDefault="0070070D" w:rsidP="00004A41">
            <w:pPr>
              <w:spacing w:after="0" w:line="240" w:lineRule="auto"/>
              <w:jc w:val="both"/>
              <w:rPr>
                <w:rFonts w:ascii="Times New Roman" w:hAnsi="Times New Roman"/>
                <w:i/>
                <w:iCs/>
                <w:sz w:val="20"/>
                <w:szCs w:val="20"/>
              </w:rPr>
            </w:pPr>
          </w:p>
        </w:tc>
      </w:tr>
      <w:tr w:rsidR="00F52FED" w:rsidRPr="00B0658A" w14:paraId="1D325FB3" w14:textId="77777777" w:rsidTr="001E5E80">
        <w:trPr>
          <w:trHeight w:val="170"/>
        </w:trPr>
        <w:tc>
          <w:tcPr>
            <w:tcW w:w="0" w:type="auto"/>
            <w:shd w:val="clear" w:color="auto" w:fill="auto"/>
            <w:vAlign w:val="center"/>
          </w:tcPr>
          <w:p w14:paraId="4B985BD2" w14:textId="77777777" w:rsidR="0070070D" w:rsidRPr="00B0658A" w:rsidRDefault="0070070D" w:rsidP="00004A41">
            <w:pPr>
              <w:spacing w:after="0" w:line="240" w:lineRule="auto"/>
              <w:rPr>
                <w:rFonts w:ascii="Times New Roman" w:hAnsi="Times New Roman"/>
                <w:sz w:val="20"/>
                <w:szCs w:val="20"/>
              </w:rPr>
            </w:pPr>
            <w:r w:rsidRPr="00B0658A">
              <w:rPr>
                <w:rFonts w:ascii="Times New Roman" w:hAnsi="Times New Roman"/>
                <w:sz w:val="18"/>
                <w:szCs w:val="18"/>
              </w:rPr>
              <w:t>3.17</w:t>
            </w:r>
          </w:p>
        </w:tc>
        <w:tc>
          <w:tcPr>
            <w:tcW w:w="3432" w:type="dxa"/>
            <w:shd w:val="clear" w:color="auto" w:fill="auto"/>
            <w:vAlign w:val="center"/>
          </w:tcPr>
          <w:p w14:paraId="2F075A9C" w14:textId="77777777" w:rsidR="0070070D" w:rsidRPr="00B0658A" w:rsidRDefault="0070070D" w:rsidP="00004A41">
            <w:pPr>
              <w:spacing w:after="0" w:line="240" w:lineRule="auto"/>
              <w:rPr>
                <w:rFonts w:ascii="Times New Roman" w:hAnsi="Times New Roman"/>
                <w:sz w:val="20"/>
                <w:szCs w:val="20"/>
              </w:rPr>
            </w:pPr>
            <w:r w:rsidRPr="00B0658A">
              <w:rPr>
                <w:rFonts w:ascii="Times New Roman" w:hAnsi="Times New Roman"/>
                <w:sz w:val="18"/>
                <w:szCs w:val="18"/>
              </w:rPr>
              <w:t>Средства обеспечения информационной безопасности/ Средства автоматизации процессов информационной безопасности</w:t>
            </w:r>
          </w:p>
        </w:tc>
        <w:tc>
          <w:tcPr>
            <w:tcW w:w="1256" w:type="dxa"/>
          </w:tcPr>
          <w:p w14:paraId="482BEBE9"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5806304C"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0077A79C"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0965B08A" w14:textId="77777777" w:rsidR="0070070D" w:rsidRPr="00B0658A" w:rsidRDefault="0070070D" w:rsidP="00004A41">
            <w:pPr>
              <w:spacing w:after="0" w:line="240" w:lineRule="auto"/>
              <w:jc w:val="both"/>
              <w:rPr>
                <w:rFonts w:ascii="Times New Roman" w:hAnsi="Times New Roman"/>
                <w:i/>
                <w:iCs/>
                <w:sz w:val="20"/>
                <w:szCs w:val="20"/>
              </w:rPr>
            </w:pPr>
          </w:p>
        </w:tc>
      </w:tr>
      <w:tr w:rsidR="00F52FED" w:rsidRPr="00B0658A" w14:paraId="3B10F03A" w14:textId="77777777" w:rsidTr="001E5E80">
        <w:trPr>
          <w:trHeight w:val="170"/>
        </w:trPr>
        <w:tc>
          <w:tcPr>
            <w:tcW w:w="0" w:type="auto"/>
            <w:shd w:val="clear" w:color="auto" w:fill="auto"/>
            <w:vAlign w:val="center"/>
          </w:tcPr>
          <w:p w14:paraId="308E1289" w14:textId="77777777" w:rsidR="0070070D" w:rsidRPr="00B0658A" w:rsidRDefault="0070070D" w:rsidP="00004A41">
            <w:pPr>
              <w:spacing w:after="0" w:line="240" w:lineRule="auto"/>
              <w:rPr>
                <w:rFonts w:ascii="Times New Roman" w:hAnsi="Times New Roman"/>
                <w:sz w:val="20"/>
                <w:szCs w:val="20"/>
              </w:rPr>
            </w:pPr>
            <w:r w:rsidRPr="00B0658A">
              <w:rPr>
                <w:rFonts w:ascii="Times New Roman" w:hAnsi="Times New Roman"/>
                <w:sz w:val="18"/>
                <w:szCs w:val="18"/>
              </w:rPr>
              <w:t>4.1</w:t>
            </w:r>
          </w:p>
        </w:tc>
        <w:tc>
          <w:tcPr>
            <w:tcW w:w="3432" w:type="dxa"/>
            <w:shd w:val="clear" w:color="auto" w:fill="auto"/>
            <w:vAlign w:val="center"/>
          </w:tcPr>
          <w:p w14:paraId="5569CBF3" w14:textId="77777777" w:rsidR="0070070D" w:rsidRPr="00B0658A" w:rsidRDefault="0070070D" w:rsidP="00004A41">
            <w:pPr>
              <w:spacing w:after="0" w:line="240" w:lineRule="auto"/>
              <w:rPr>
                <w:rFonts w:ascii="Times New Roman" w:hAnsi="Times New Roman"/>
                <w:sz w:val="20"/>
                <w:szCs w:val="20"/>
              </w:rPr>
            </w:pPr>
            <w:r w:rsidRPr="00B0658A">
              <w:rPr>
                <w:rFonts w:ascii="Times New Roman" w:hAnsi="Times New Roman"/>
                <w:sz w:val="18"/>
                <w:szCs w:val="18"/>
              </w:rPr>
              <w:t>Средства разработки программного обеспечения/ Средства подготовки исполнимого кода</w:t>
            </w:r>
          </w:p>
        </w:tc>
        <w:tc>
          <w:tcPr>
            <w:tcW w:w="1256" w:type="dxa"/>
          </w:tcPr>
          <w:p w14:paraId="56C217FC"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6F1EF383"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1170E80C"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3382C6CA" w14:textId="77777777" w:rsidR="0070070D" w:rsidRPr="00B0658A" w:rsidRDefault="0070070D" w:rsidP="00004A41">
            <w:pPr>
              <w:spacing w:after="0" w:line="240" w:lineRule="auto"/>
              <w:jc w:val="both"/>
              <w:rPr>
                <w:rFonts w:ascii="Times New Roman" w:hAnsi="Times New Roman"/>
                <w:i/>
                <w:iCs/>
                <w:sz w:val="20"/>
                <w:szCs w:val="20"/>
              </w:rPr>
            </w:pPr>
          </w:p>
        </w:tc>
      </w:tr>
      <w:tr w:rsidR="00F52FED" w:rsidRPr="00B0658A" w14:paraId="3A3870D7" w14:textId="77777777" w:rsidTr="001E5E80">
        <w:trPr>
          <w:trHeight w:val="170"/>
        </w:trPr>
        <w:tc>
          <w:tcPr>
            <w:tcW w:w="0" w:type="auto"/>
            <w:shd w:val="clear" w:color="auto" w:fill="auto"/>
            <w:vAlign w:val="center"/>
          </w:tcPr>
          <w:p w14:paraId="13DCA76E" w14:textId="77777777" w:rsidR="0070070D" w:rsidRPr="00B0658A" w:rsidDel="00EC4B3C" w:rsidRDefault="0070070D" w:rsidP="00004A41">
            <w:pPr>
              <w:spacing w:after="0" w:line="240" w:lineRule="auto"/>
              <w:rPr>
                <w:rFonts w:ascii="Times New Roman" w:hAnsi="Times New Roman"/>
                <w:b/>
                <w:sz w:val="20"/>
                <w:szCs w:val="20"/>
              </w:rPr>
            </w:pPr>
            <w:r w:rsidRPr="00B0658A">
              <w:rPr>
                <w:rFonts w:ascii="Times New Roman" w:hAnsi="Times New Roman"/>
                <w:sz w:val="18"/>
                <w:szCs w:val="18"/>
              </w:rPr>
              <w:t>4.2</w:t>
            </w:r>
          </w:p>
        </w:tc>
        <w:tc>
          <w:tcPr>
            <w:tcW w:w="3432" w:type="dxa"/>
            <w:shd w:val="clear" w:color="auto" w:fill="auto"/>
            <w:vAlign w:val="center"/>
          </w:tcPr>
          <w:p w14:paraId="130FEFF2" w14:textId="77777777" w:rsidR="0070070D" w:rsidRPr="00B0658A" w:rsidRDefault="0070070D" w:rsidP="00004A41">
            <w:pPr>
              <w:spacing w:after="0" w:line="240" w:lineRule="auto"/>
              <w:rPr>
                <w:rFonts w:ascii="Times New Roman" w:hAnsi="Times New Roman"/>
                <w:b/>
                <w:sz w:val="20"/>
                <w:szCs w:val="20"/>
              </w:rPr>
            </w:pPr>
            <w:r w:rsidRPr="00B0658A">
              <w:rPr>
                <w:rFonts w:ascii="Times New Roman" w:hAnsi="Times New Roman"/>
                <w:sz w:val="18"/>
                <w:szCs w:val="18"/>
              </w:rPr>
              <w:t>Средства разработки программного обеспечения/ Средства версионного контроля исходного кода</w:t>
            </w:r>
          </w:p>
        </w:tc>
        <w:tc>
          <w:tcPr>
            <w:tcW w:w="1256" w:type="dxa"/>
          </w:tcPr>
          <w:p w14:paraId="6574C73E"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4C0C756E"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1501E9FC"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057A270A" w14:textId="77777777" w:rsidR="0070070D" w:rsidRPr="00B0658A" w:rsidRDefault="0070070D" w:rsidP="00004A41">
            <w:pPr>
              <w:spacing w:after="0" w:line="240" w:lineRule="auto"/>
              <w:jc w:val="both"/>
              <w:rPr>
                <w:rFonts w:ascii="Times New Roman" w:hAnsi="Times New Roman"/>
                <w:i/>
                <w:iCs/>
                <w:sz w:val="20"/>
                <w:szCs w:val="20"/>
              </w:rPr>
            </w:pPr>
          </w:p>
        </w:tc>
      </w:tr>
      <w:tr w:rsidR="00F52FED" w:rsidRPr="00B0658A" w14:paraId="5CE9688D" w14:textId="77777777" w:rsidTr="001E5E80">
        <w:trPr>
          <w:trHeight w:val="170"/>
        </w:trPr>
        <w:tc>
          <w:tcPr>
            <w:tcW w:w="0" w:type="auto"/>
            <w:shd w:val="clear" w:color="auto" w:fill="auto"/>
            <w:vAlign w:val="center"/>
          </w:tcPr>
          <w:p w14:paraId="224DC984" w14:textId="77777777" w:rsidR="0070070D" w:rsidRPr="00B0658A" w:rsidDel="00EC4B3C" w:rsidRDefault="0070070D" w:rsidP="00004A41">
            <w:pPr>
              <w:spacing w:after="0" w:line="240" w:lineRule="auto"/>
              <w:rPr>
                <w:rFonts w:ascii="Times New Roman" w:hAnsi="Times New Roman"/>
                <w:b/>
                <w:sz w:val="20"/>
                <w:szCs w:val="20"/>
              </w:rPr>
            </w:pPr>
            <w:r w:rsidRPr="00B0658A">
              <w:rPr>
                <w:rFonts w:ascii="Times New Roman" w:hAnsi="Times New Roman"/>
                <w:sz w:val="18"/>
                <w:szCs w:val="18"/>
              </w:rPr>
              <w:t>4.3</w:t>
            </w:r>
          </w:p>
        </w:tc>
        <w:tc>
          <w:tcPr>
            <w:tcW w:w="3432" w:type="dxa"/>
            <w:shd w:val="clear" w:color="auto" w:fill="auto"/>
            <w:vAlign w:val="center"/>
          </w:tcPr>
          <w:p w14:paraId="1D388587" w14:textId="77777777" w:rsidR="0070070D" w:rsidRPr="00B0658A" w:rsidRDefault="0070070D" w:rsidP="00004A41">
            <w:pPr>
              <w:spacing w:after="0" w:line="240" w:lineRule="auto"/>
              <w:rPr>
                <w:rFonts w:ascii="Times New Roman" w:hAnsi="Times New Roman"/>
                <w:b/>
                <w:sz w:val="20"/>
                <w:szCs w:val="20"/>
              </w:rPr>
            </w:pPr>
            <w:r w:rsidRPr="00B0658A">
              <w:rPr>
                <w:rFonts w:ascii="Times New Roman" w:hAnsi="Times New Roman"/>
                <w:sz w:val="18"/>
                <w:szCs w:val="18"/>
              </w:rPr>
              <w:t>Средства разработки программного обеспечения/ Библиотеки подпрограмм (SDK)</w:t>
            </w:r>
          </w:p>
        </w:tc>
        <w:tc>
          <w:tcPr>
            <w:tcW w:w="1256" w:type="dxa"/>
          </w:tcPr>
          <w:p w14:paraId="1C6744D7"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40C8B9CE"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6F8CFB89"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0E9A9F99" w14:textId="77777777" w:rsidR="0070070D" w:rsidRPr="00B0658A" w:rsidRDefault="0070070D" w:rsidP="00004A41">
            <w:pPr>
              <w:spacing w:after="0" w:line="240" w:lineRule="auto"/>
              <w:jc w:val="both"/>
              <w:rPr>
                <w:rFonts w:ascii="Times New Roman" w:hAnsi="Times New Roman"/>
                <w:i/>
                <w:iCs/>
                <w:sz w:val="20"/>
                <w:szCs w:val="20"/>
              </w:rPr>
            </w:pPr>
          </w:p>
        </w:tc>
      </w:tr>
      <w:tr w:rsidR="00F52FED" w:rsidRPr="00B0658A" w14:paraId="7DBE7A0B" w14:textId="77777777" w:rsidTr="001E5E80">
        <w:trPr>
          <w:trHeight w:val="170"/>
        </w:trPr>
        <w:tc>
          <w:tcPr>
            <w:tcW w:w="0" w:type="auto"/>
            <w:shd w:val="clear" w:color="auto" w:fill="auto"/>
            <w:vAlign w:val="center"/>
          </w:tcPr>
          <w:p w14:paraId="015CDD5E" w14:textId="77777777" w:rsidR="0070070D" w:rsidRPr="00B0658A" w:rsidDel="00EC4B3C" w:rsidRDefault="0070070D" w:rsidP="00004A41">
            <w:pPr>
              <w:spacing w:after="0" w:line="240" w:lineRule="auto"/>
              <w:rPr>
                <w:rFonts w:ascii="Times New Roman" w:hAnsi="Times New Roman"/>
                <w:b/>
                <w:sz w:val="20"/>
                <w:szCs w:val="20"/>
              </w:rPr>
            </w:pPr>
            <w:r w:rsidRPr="00B0658A">
              <w:rPr>
                <w:rFonts w:ascii="Times New Roman" w:hAnsi="Times New Roman"/>
                <w:sz w:val="18"/>
                <w:szCs w:val="18"/>
              </w:rPr>
              <w:t>4.4</w:t>
            </w:r>
          </w:p>
        </w:tc>
        <w:tc>
          <w:tcPr>
            <w:tcW w:w="3432" w:type="dxa"/>
            <w:shd w:val="clear" w:color="auto" w:fill="auto"/>
            <w:vAlign w:val="center"/>
          </w:tcPr>
          <w:p w14:paraId="62A50117" w14:textId="77777777" w:rsidR="0070070D" w:rsidRPr="00B0658A" w:rsidRDefault="0070070D" w:rsidP="00004A41">
            <w:pPr>
              <w:spacing w:after="0" w:line="240" w:lineRule="auto"/>
              <w:rPr>
                <w:rFonts w:ascii="Times New Roman" w:hAnsi="Times New Roman"/>
                <w:b/>
                <w:sz w:val="20"/>
                <w:szCs w:val="20"/>
              </w:rPr>
            </w:pPr>
            <w:r w:rsidRPr="00B0658A">
              <w:rPr>
                <w:rFonts w:ascii="Times New Roman" w:hAnsi="Times New Roman"/>
                <w:sz w:val="18"/>
                <w:szCs w:val="18"/>
              </w:rPr>
              <w:t>Средства разработки программного обеспечения/ Среды разработки, тестирования и отладки</w:t>
            </w:r>
          </w:p>
        </w:tc>
        <w:tc>
          <w:tcPr>
            <w:tcW w:w="1256" w:type="dxa"/>
          </w:tcPr>
          <w:p w14:paraId="6F27B40F"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61338D8C"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11CA157E"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10A75041" w14:textId="77777777" w:rsidR="0070070D" w:rsidRPr="00B0658A" w:rsidRDefault="0070070D" w:rsidP="00004A41">
            <w:pPr>
              <w:spacing w:after="0" w:line="240" w:lineRule="auto"/>
              <w:jc w:val="both"/>
              <w:rPr>
                <w:rFonts w:ascii="Times New Roman" w:hAnsi="Times New Roman"/>
                <w:i/>
                <w:iCs/>
                <w:sz w:val="20"/>
                <w:szCs w:val="20"/>
              </w:rPr>
            </w:pPr>
          </w:p>
        </w:tc>
      </w:tr>
      <w:tr w:rsidR="00F52FED" w:rsidRPr="00B0658A" w14:paraId="25BDFEEE" w14:textId="77777777" w:rsidTr="001E5E80">
        <w:trPr>
          <w:trHeight w:val="170"/>
        </w:trPr>
        <w:tc>
          <w:tcPr>
            <w:tcW w:w="0" w:type="auto"/>
            <w:shd w:val="clear" w:color="auto" w:fill="auto"/>
            <w:vAlign w:val="center"/>
          </w:tcPr>
          <w:p w14:paraId="0F5CED30" w14:textId="77777777" w:rsidR="0070070D" w:rsidRPr="00B0658A" w:rsidDel="00EC4B3C" w:rsidRDefault="0070070D" w:rsidP="00004A41">
            <w:pPr>
              <w:spacing w:after="0" w:line="240" w:lineRule="auto"/>
              <w:rPr>
                <w:rFonts w:ascii="Times New Roman" w:hAnsi="Times New Roman"/>
                <w:b/>
                <w:sz w:val="20"/>
                <w:szCs w:val="20"/>
              </w:rPr>
            </w:pPr>
            <w:r w:rsidRPr="00B0658A">
              <w:rPr>
                <w:rFonts w:ascii="Times New Roman" w:hAnsi="Times New Roman"/>
                <w:sz w:val="18"/>
                <w:szCs w:val="18"/>
              </w:rPr>
              <w:t>4.5</w:t>
            </w:r>
          </w:p>
        </w:tc>
        <w:tc>
          <w:tcPr>
            <w:tcW w:w="3432" w:type="dxa"/>
            <w:shd w:val="clear" w:color="auto" w:fill="auto"/>
            <w:vAlign w:val="center"/>
          </w:tcPr>
          <w:p w14:paraId="7B040135" w14:textId="77777777" w:rsidR="0070070D" w:rsidRPr="00B0658A" w:rsidRDefault="0070070D" w:rsidP="00004A41">
            <w:pPr>
              <w:spacing w:after="0" w:line="240" w:lineRule="auto"/>
              <w:rPr>
                <w:rFonts w:ascii="Times New Roman" w:hAnsi="Times New Roman"/>
                <w:b/>
                <w:sz w:val="20"/>
                <w:szCs w:val="20"/>
              </w:rPr>
            </w:pPr>
            <w:r w:rsidRPr="00B0658A">
              <w:rPr>
                <w:rFonts w:ascii="Times New Roman" w:hAnsi="Times New Roman"/>
                <w:sz w:val="18"/>
                <w:szCs w:val="18"/>
              </w:rPr>
              <w:t>Средства разработки программного обеспечения/ Средства анализа исходного кода на закладки и уязвимости</w:t>
            </w:r>
          </w:p>
        </w:tc>
        <w:tc>
          <w:tcPr>
            <w:tcW w:w="1256" w:type="dxa"/>
          </w:tcPr>
          <w:p w14:paraId="63AF45FD"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561CDEF0"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2CA189D6"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4C3198C1" w14:textId="77777777" w:rsidR="0070070D" w:rsidRPr="00B0658A" w:rsidRDefault="0070070D" w:rsidP="00004A41">
            <w:pPr>
              <w:spacing w:after="0" w:line="240" w:lineRule="auto"/>
              <w:jc w:val="both"/>
              <w:rPr>
                <w:rFonts w:ascii="Times New Roman" w:hAnsi="Times New Roman"/>
                <w:i/>
                <w:iCs/>
                <w:sz w:val="20"/>
                <w:szCs w:val="20"/>
              </w:rPr>
            </w:pPr>
          </w:p>
        </w:tc>
      </w:tr>
      <w:tr w:rsidR="00F52FED" w:rsidRPr="00B0658A" w14:paraId="71B0166B" w14:textId="77777777" w:rsidTr="001E5E80">
        <w:trPr>
          <w:trHeight w:val="170"/>
        </w:trPr>
        <w:tc>
          <w:tcPr>
            <w:tcW w:w="0" w:type="auto"/>
            <w:shd w:val="clear" w:color="auto" w:fill="auto"/>
            <w:vAlign w:val="center"/>
          </w:tcPr>
          <w:p w14:paraId="04E9A9A3" w14:textId="77777777" w:rsidR="0070070D" w:rsidRPr="00B0658A" w:rsidDel="00EC4B3C" w:rsidRDefault="0070070D" w:rsidP="00004A41">
            <w:pPr>
              <w:spacing w:after="0" w:line="240" w:lineRule="auto"/>
              <w:rPr>
                <w:rFonts w:ascii="Times New Roman" w:hAnsi="Times New Roman"/>
                <w:b/>
                <w:sz w:val="20"/>
                <w:szCs w:val="20"/>
              </w:rPr>
            </w:pPr>
            <w:r w:rsidRPr="00B0658A">
              <w:rPr>
                <w:rFonts w:ascii="Times New Roman" w:hAnsi="Times New Roman"/>
                <w:sz w:val="18"/>
                <w:szCs w:val="18"/>
              </w:rPr>
              <w:lastRenderedPageBreak/>
              <w:t>4.6</w:t>
            </w:r>
          </w:p>
        </w:tc>
        <w:tc>
          <w:tcPr>
            <w:tcW w:w="3432" w:type="dxa"/>
            <w:shd w:val="clear" w:color="auto" w:fill="auto"/>
            <w:vAlign w:val="center"/>
          </w:tcPr>
          <w:p w14:paraId="131D7609" w14:textId="77777777" w:rsidR="0070070D" w:rsidRPr="00B0658A" w:rsidRDefault="0070070D" w:rsidP="00004A41">
            <w:pPr>
              <w:spacing w:after="0" w:line="240" w:lineRule="auto"/>
              <w:rPr>
                <w:rFonts w:ascii="Times New Roman" w:hAnsi="Times New Roman"/>
                <w:b/>
                <w:sz w:val="20"/>
                <w:szCs w:val="20"/>
              </w:rPr>
            </w:pPr>
            <w:r w:rsidRPr="00B0658A">
              <w:rPr>
                <w:rFonts w:ascii="Times New Roman" w:hAnsi="Times New Roman"/>
                <w:sz w:val="18"/>
                <w:szCs w:val="18"/>
              </w:rPr>
              <w:t>Средства разработки программного обеспечения/ Средства разработки программного обеспечения на основе нейротехнологий и искусственного интеллекта</w:t>
            </w:r>
          </w:p>
        </w:tc>
        <w:tc>
          <w:tcPr>
            <w:tcW w:w="1256" w:type="dxa"/>
          </w:tcPr>
          <w:p w14:paraId="6C45E400"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5048BEB2"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11C8A5AF"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5988D715" w14:textId="77777777" w:rsidR="0070070D" w:rsidRPr="00B0658A" w:rsidRDefault="0070070D" w:rsidP="00004A41">
            <w:pPr>
              <w:spacing w:after="0" w:line="240" w:lineRule="auto"/>
              <w:jc w:val="both"/>
              <w:rPr>
                <w:rFonts w:ascii="Times New Roman" w:hAnsi="Times New Roman"/>
                <w:i/>
                <w:iCs/>
                <w:sz w:val="20"/>
                <w:szCs w:val="20"/>
              </w:rPr>
            </w:pPr>
          </w:p>
        </w:tc>
      </w:tr>
      <w:tr w:rsidR="00F52FED" w:rsidRPr="00B0658A" w14:paraId="2AD787CF" w14:textId="77777777" w:rsidTr="001E5E80">
        <w:trPr>
          <w:trHeight w:val="170"/>
        </w:trPr>
        <w:tc>
          <w:tcPr>
            <w:tcW w:w="0" w:type="auto"/>
            <w:shd w:val="clear" w:color="auto" w:fill="auto"/>
            <w:vAlign w:val="center"/>
          </w:tcPr>
          <w:p w14:paraId="0B590641" w14:textId="77777777" w:rsidR="0070070D" w:rsidRPr="00B0658A" w:rsidDel="00EC4B3C" w:rsidRDefault="0070070D" w:rsidP="00004A41">
            <w:pPr>
              <w:spacing w:after="0" w:line="240" w:lineRule="auto"/>
              <w:rPr>
                <w:rFonts w:ascii="Times New Roman" w:hAnsi="Times New Roman"/>
                <w:b/>
                <w:sz w:val="20"/>
                <w:szCs w:val="20"/>
              </w:rPr>
            </w:pPr>
            <w:r w:rsidRPr="00B0658A">
              <w:rPr>
                <w:rFonts w:ascii="Times New Roman" w:hAnsi="Times New Roman"/>
                <w:sz w:val="18"/>
                <w:szCs w:val="18"/>
              </w:rPr>
              <w:t>4.7.</w:t>
            </w:r>
          </w:p>
        </w:tc>
        <w:tc>
          <w:tcPr>
            <w:tcW w:w="3432" w:type="dxa"/>
            <w:shd w:val="clear" w:color="auto" w:fill="auto"/>
            <w:vAlign w:val="center"/>
          </w:tcPr>
          <w:p w14:paraId="715196FE" w14:textId="77777777" w:rsidR="0070070D" w:rsidRPr="00B0658A" w:rsidRDefault="0070070D" w:rsidP="00004A41">
            <w:pPr>
              <w:spacing w:after="0" w:line="240" w:lineRule="auto"/>
              <w:rPr>
                <w:rFonts w:ascii="Times New Roman" w:hAnsi="Times New Roman"/>
                <w:b/>
                <w:sz w:val="20"/>
                <w:szCs w:val="20"/>
              </w:rPr>
            </w:pPr>
            <w:r w:rsidRPr="00B0658A">
              <w:rPr>
                <w:rFonts w:ascii="Times New Roman" w:hAnsi="Times New Roman"/>
                <w:sz w:val="18"/>
                <w:szCs w:val="18"/>
              </w:rPr>
              <w:t>Средства разработки программного обеспечения/ Средства разработки программного обеспечения на основе квантовых технологий</w:t>
            </w:r>
          </w:p>
        </w:tc>
        <w:tc>
          <w:tcPr>
            <w:tcW w:w="1256" w:type="dxa"/>
          </w:tcPr>
          <w:p w14:paraId="621A94FE"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30D2C4E4"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20D838E5"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220B6968" w14:textId="77777777" w:rsidR="0070070D" w:rsidRPr="00B0658A" w:rsidRDefault="0070070D" w:rsidP="00004A41">
            <w:pPr>
              <w:spacing w:after="0" w:line="240" w:lineRule="auto"/>
              <w:jc w:val="both"/>
              <w:rPr>
                <w:rFonts w:ascii="Times New Roman" w:hAnsi="Times New Roman"/>
                <w:i/>
                <w:iCs/>
                <w:sz w:val="20"/>
                <w:szCs w:val="20"/>
              </w:rPr>
            </w:pPr>
          </w:p>
        </w:tc>
      </w:tr>
      <w:tr w:rsidR="00F52FED" w:rsidRPr="00B0658A" w14:paraId="0AD03DCE" w14:textId="77777777" w:rsidTr="001E5E80">
        <w:trPr>
          <w:trHeight w:val="170"/>
        </w:trPr>
        <w:tc>
          <w:tcPr>
            <w:tcW w:w="0" w:type="auto"/>
            <w:shd w:val="clear" w:color="auto" w:fill="auto"/>
            <w:vAlign w:val="center"/>
          </w:tcPr>
          <w:p w14:paraId="2981DF8D" w14:textId="77777777" w:rsidR="0070070D" w:rsidRPr="00B0658A" w:rsidDel="00EC4B3C" w:rsidRDefault="0070070D" w:rsidP="00004A41">
            <w:pPr>
              <w:spacing w:after="0" w:line="240" w:lineRule="auto"/>
              <w:rPr>
                <w:rFonts w:ascii="Times New Roman" w:hAnsi="Times New Roman"/>
                <w:b/>
                <w:sz w:val="20"/>
                <w:szCs w:val="20"/>
              </w:rPr>
            </w:pPr>
            <w:r w:rsidRPr="00B0658A">
              <w:rPr>
                <w:rFonts w:ascii="Times New Roman" w:hAnsi="Times New Roman"/>
                <w:sz w:val="18"/>
                <w:szCs w:val="18"/>
              </w:rPr>
              <w:t>4.8.</w:t>
            </w:r>
          </w:p>
        </w:tc>
        <w:tc>
          <w:tcPr>
            <w:tcW w:w="3432" w:type="dxa"/>
            <w:shd w:val="clear" w:color="auto" w:fill="auto"/>
            <w:vAlign w:val="center"/>
          </w:tcPr>
          <w:p w14:paraId="7669E568" w14:textId="77777777" w:rsidR="0070070D" w:rsidRPr="00B0658A" w:rsidRDefault="0070070D" w:rsidP="00004A41">
            <w:pPr>
              <w:spacing w:after="0" w:line="240" w:lineRule="auto"/>
              <w:rPr>
                <w:rFonts w:ascii="Times New Roman" w:hAnsi="Times New Roman"/>
                <w:b/>
                <w:sz w:val="20"/>
                <w:szCs w:val="20"/>
              </w:rPr>
            </w:pPr>
            <w:r w:rsidRPr="00B0658A">
              <w:rPr>
                <w:rFonts w:ascii="Times New Roman" w:hAnsi="Times New Roman"/>
                <w:sz w:val="18"/>
                <w:szCs w:val="18"/>
              </w:rPr>
              <w:t>Средства разработки программного обеспечения/ Интегрированные платформы для создания приложений</w:t>
            </w:r>
          </w:p>
        </w:tc>
        <w:tc>
          <w:tcPr>
            <w:tcW w:w="1256" w:type="dxa"/>
          </w:tcPr>
          <w:p w14:paraId="5792C808"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3510C17C"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5EDB7F12"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25A6CB41" w14:textId="77777777" w:rsidR="0070070D" w:rsidRPr="00B0658A" w:rsidRDefault="0070070D" w:rsidP="00004A41">
            <w:pPr>
              <w:spacing w:after="0" w:line="240" w:lineRule="auto"/>
              <w:jc w:val="both"/>
              <w:rPr>
                <w:rFonts w:ascii="Times New Roman" w:hAnsi="Times New Roman"/>
                <w:i/>
                <w:iCs/>
                <w:sz w:val="20"/>
                <w:szCs w:val="20"/>
              </w:rPr>
            </w:pPr>
          </w:p>
        </w:tc>
      </w:tr>
      <w:tr w:rsidR="00F52FED" w:rsidRPr="00B0658A" w14:paraId="5E8FD538" w14:textId="77777777" w:rsidTr="001E5E80">
        <w:trPr>
          <w:trHeight w:val="170"/>
        </w:trPr>
        <w:tc>
          <w:tcPr>
            <w:tcW w:w="0" w:type="auto"/>
            <w:shd w:val="clear" w:color="auto" w:fill="auto"/>
            <w:vAlign w:val="center"/>
          </w:tcPr>
          <w:p w14:paraId="71DFBC5C" w14:textId="77777777" w:rsidR="0070070D" w:rsidRPr="00B0658A" w:rsidDel="00EC4B3C" w:rsidRDefault="0070070D" w:rsidP="00004A41">
            <w:pPr>
              <w:spacing w:after="0" w:line="240" w:lineRule="auto"/>
              <w:rPr>
                <w:rFonts w:ascii="Times New Roman" w:hAnsi="Times New Roman"/>
                <w:b/>
                <w:sz w:val="20"/>
                <w:szCs w:val="20"/>
              </w:rPr>
            </w:pPr>
            <w:r w:rsidRPr="00B0658A">
              <w:rPr>
                <w:rFonts w:ascii="Times New Roman" w:hAnsi="Times New Roman"/>
                <w:sz w:val="18"/>
                <w:szCs w:val="18"/>
              </w:rPr>
              <w:t>4.9.</w:t>
            </w:r>
          </w:p>
        </w:tc>
        <w:tc>
          <w:tcPr>
            <w:tcW w:w="3432" w:type="dxa"/>
            <w:shd w:val="clear" w:color="auto" w:fill="auto"/>
            <w:vAlign w:val="center"/>
          </w:tcPr>
          <w:p w14:paraId="2F49FBED" w14:textId="77777777" w:rsidR="0070070D" w:rsidRPr="00B0658A" w:rsidRDefault="0070070D" w:rsidP="00004A41">
            <w:pPr>
              <w:spacing w:after="0" w:line="240" w:lineRule="auto"/>
              <w:rPr>
                <w:rFonts w:ascii="Times New Roman" w:hAnsi="Times New Roman"/>
                <w:b/>
                <w:sz w:val="20"/>
                <w:szCs w:val="20"/>
              </w:rPr>
            </w:pPr>
            <w:r w:rsidRPr="00B0658A">
              <w:rPr>
                <w:rFonts w:ascii="Times New Roman" w:hAnsi="Times New Roman"/>
                <w:sz w:val="18"/>
                <w:szCs w:val="18"/>
              </w:rPr>
              <w:t xml:space="preserve">Средства разработки программного обеспечения/ Системы предотвращения анализа </w:t>
            </w:r>
            <w:r w:rsidRPr="00B0658A">
              <w:rPr>
                <w:rFonts w:ascii="Times New Roman" w:hAnsi="Times New Roman"/>
                <w:sz w:val="18"/>
                <w:szCs w:val="18"/>
              </w:rPr>
              <w:br/>
              <w:t>и восстановления исполняемого кода программ</w:t>
            </w:r>
          </w:p>
        </w:tc>
        <w:tc>
          <w:tcPr>
            <w:tcW w:w="1256" w:type="dxa"/>
          </w:tcPr>
          <w:p w14:paraId="44527928"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2AFEC701"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0B25322E"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2D02C6C2" w14:textId="77777777" w:rsidR="0070070D" w:rsidRPr="00B0658A" w:rsidRDefault="0070070D" w:rsidP="00004A41">
            <w:pPr>
              <w:spacing w:after="0" w:line="240" w:lineRule="auto"/>
              <w:jc w:val="both"/>
              <w:rPr>
                <w:rFonts w:ascii="Times New Roman" w:hAnsi="Times New Roman"/>
                <w:i/>
                <w:iCs/>
                <w:sz w:val="20"/>
                <w:szCs w:val="20"/>
              </w:rPr>
            </w:pPr>
          </w:p>
        </w:tc>
      </w:tr>
      <w:tr w:rsidR="00F52FED" w:rsidRPr="00B0658A" w14:paraId="1FBB700B" w14:textId="77777777" w:rsidTr="001E5E80">
        <w:trPr>
          <w:trHeight w:val="170"/>
        </w:trPr>
        <w:tc>
          <w:tcPr>
            <w:tcW w:w="0" w:type="auto"/>
            <w:shd w:val="clear" w:color="auto" w:fill="auto"/>
          </w:tcPr>
          <w:p w14:paraId="4EF3AFE4" w14:textId="77777777" w:rsidR="0070070D" w:rsidRPr="00B0658A" w:rsidDel="00EC4B3C" w:rsidRDefault="0070070D" w:rsidP="00004A41">
            <w:pPr>
              <w:spacing w:after="0" w:line="240" w:lineRule="auto"/>
              <w:rPr>
                <w:rFonts w:ascii="Times New Roman" w:hAnsi="Times New Roman"/>
                <w:b/>
                <w:sz w:val="20"/>
                <w:szCs w:val="20"/>
              </w:rPr>
            </w:pPr>
            <w:r w:rsidRPr="00B0658A">
              <w:rPr>
                <w:rFonts w:ascii="Times New Roman" w:hAnsi="Times New Roman"/>
                <w:sz w:val="18"/>
                <w:szCs w:val="18"/>
              </w:rPr>
              <w:t>5.1</w:t>
            </w:r>
          </w:p>
        </w:tc>
        <w:tc>
          <w:tcPr>
            <w:tcW w:w="3432" w:type="dxa"/>
            <w:shd w:val="clear" w:color="auto" w:fill="auto"/>
            <w:vAlign w:val="center"/>
          </w:tcPr>
          <w:p w14:paraId="75AFA2E7" w14:textId="77777777" w:rsidR="0070070D" w:rsidRPr="00B0658A" w:rsidRDefault="0070070D" w:rsidP="00004A41">
            <w:pPr>
              <w:spacing w:after="0" w:line="240" w:lineRule="auto"/>
              <w:rPr>
                <w:rFonts w:ascii="Times New Roman" w:hAnsi="Times New Roman"/>
                <w:b/>
                <w:sz w:val="20"/>
                <w:szCs w:val="20"/>
              </w:rPr>
            </w:pPr>
            <w:r w:rsidRPr="00B0658A">
              <w:rPr>
                <w:rFonts w:ascii="Times New Roman" w:hAnsi="Times New Roman"/>
                <w:sz w:val="18"/>
                <w:szCs w:val="18"/>
              </w:rPr>
              <w:t>Прикладное программное обеспечение/ Мультимедийное программное обеспечение</w:t>
            </w:r>
          </w:p>
        </w:tc>
        <w:tc>
          <w:tcPr>
            <w:tcW w:w="1256" w:type="dxa"/>
          </w:tcPr>
          <w:p w14:paraId="6E097964"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7C82ECBB"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45C0C86E"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0FD5FF9A" w14:textId="77777777" w:rsidR="0070070D" w:rsidRPr="00B0658A" w:rsidRDefault="0070070D" w:rsidP="00004A41">
            <w:pPr>
              <w:spacing w:after="0" w:line="240" w:lineRule="auto"/>
              <w:jc w:val="both"/>
              <w:rPr>
                <w:rFonts w:ascii="Times New Roman" w:hAnsi="Times New Roman"/>
                <w:i/>
                <w:iCs/>
                <w:sz w:val="20"/>
                <w:szCs w:val="20"/>
              </w:rPr>
            </w:pPr>
          </w:p>
        </w:tc>
      </w:tr>
      <w:tr w:rsidR="00F52FED" w:rsidRPr="00B0658A" w14:paraId="4D0B35B3" w14:textId="77777777" w:rsidTr="001E5E80">
        <w:trPr>
          <w:trHeight w:val="170"/>
        </w:trPr>
        <w:tc>
          <w:tcPr>
            <w:tcW w:w="0" w:type="auto"/>
            <w:shd w:val="clear" w:color="auto" w:fill="auto"/>
          </w:tcPr>
          <w:p w14:paraId="74C61934" w14:textId="77777777" w:rsidR="0070070D" w:rsidRPr="00B0658A" w:rsidDel="00EC4B3C" w:rsidRDefault="0070070D" w:rsidP="00004A41">
            <w:pPr>
              <w:spacing w:after="0" w:line="240" w:lineRule="auto"/>
              <w:rPr>
                <w:rFonts w:ascii="Times New Roman" w:hAnsi="Times New Roman"/>
                <w:b/>
                <w:sz w:val="20"/>
                <w:szCs w:val="20"/>
              </w:rPr>
            </w:pPr>
            <w:r w:rsidRPr="00B0658A">
              <w:rPr>
                <w:rFonts w:ascii="Times New Roman" w:hAnsi="Times New Roman"/>
                <w:sz w:val="18"/>
                <w:szCs w:val="18"/>
              </w:rPr>
              <w:t>5.2</w:t>
            </w:r>
          </w:p>
        </w:tc>
        <w:tc>
          <w:tcPr>
            <w:tcW w:w="3432" w:type="dxa"/>
            <w:shd w:val="clear" w:color="auto" w:fill="auto"/>
            <w:vAlign w:val="center"/>
          </w:tcPr>
          <w:p w14:paraId="6EC1DD78" w14:textId="77777777" w:rsidR="0070070D" w:rsidRPr="00B0658A" w:rsidRDefault="0070070D" w:rsidP="00004A41">
            <w:pPr>
              <w:spacing w:after="0" w:line="240" w:lineRule="auto"/>
              <w:rPr>
                <w:rFonts w:ascii="Times New Roman" w:hAnsi="Times New Roman"/>
                <w:b/>
                <w:sz w:val="20"/>
                <w:szCs w:val="20"/>
              </w:rPr>
            </w:pPr>
            <w:r w:rsidRPr="00B0658A">
              <w:rPr>
                <w:rFonts w:ascii="Times New Roman" w:hAnsi="Times New Roman"/>
                <w:sz w:val="18"/>
                <w:szCs w:val="18"/>
              </w:rPr>
              <w:t>Прикладное программное обеспечение/ Дополнительные программные модули (плагины)</w:t>
            </w:r>
          </w:p>
        </w:tc>
        <w:tc>
          <w:tcPr>
            <w:tcW w:w="1256" w:type="dxa"/>
          </w:tcPr>
          <w:p w14:paraId="1E5A2EEB"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04C6BDA0"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576544D7"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630EE244" w14:textId="77777777" w:rsidR="0070070D" w:rsidRPr="00B0658A" w:rsidRDefault="0070070D" w:rsidP="00004A41">
            <w:pPr>
              <w:spacing w:after="0" w:line="240" w:lineRule="auto"/>
              <w:jc w:val="both"/>
              <w:rPr>
                <w:rFonts w:ascii="Times New Roman" w:hAnsi="Times New Roman"/>
                <w:i/>
                <w:iCs/>
                <w:sz w:val="20"/>
                <w:szCs w:val="20"/>
              </w:rPr>
            </w:pPr>
          </w:p>
        </w:tc>
      </w:tr>
      <w:tr w:rsidR="00F52FED" w:rsidRPr="00B0658A" w14:paraId="49A6C133" w14:textId="77777777" w:rsidTr="001E5E80">
        <w:trPr>
          <w:trHeight w:val="170"/>
        </w:trPr>
        <w:tc>
          <w:tcPr>
            <w:tcW w:w="0" w:type="auto"/>
            <w:shd w:val="clear" w:color="auto" w:fill="auto"/>
          </w:tcPr>
          <w:p w14:paraId="4217FC8D" w14:textId="77777777" w:rsidR="0070070D" w:rsidRPr="00B0658A" w:rsidDel="00EC4B3C" w:rsidRDefault="0070070D" w:rsidP="00004A41">
            <w:pPr>
              <w:spacing w:after="0" w:line="240" w:lineRule="auto"/>
              <w:rPr>
                <w:rFonts w:ascii="Times New Roman" w:hAnsi="Times New Roman"/>
                <w:b/>
                <w:sz w:val="20"/>
                <w:szCs w:val="20"/>
              </w:rPr>
            </w:pPr>
            <w:r w:rsidRPr="00B0658A">
              <w:rPr>
                <w:rFonts w:ascii="Times New Roman" w:hAnsi="Times New Roman"/>
                <w:sz w:val="18"/>
                <w:szCs w:val="18"/>
              </w:rPr>
              <w:t>5.3</w:t>
            </w:r>
          </w:p>
        </w:tc>
        <w:tc>
          <w:tcPr>
            <w:tcW w:w="3432" w:type="dxa"/>
            <w:shd w:val="clear" w:color="auto" w:fill="auto"/>
            <w:vAlign w:val="center"/>
          </w:tcPr>
          <w:p w14:paraId="2D4095F9" w14:textId="77777777" w:rsidR="0070070D" w:rsidRPr="00B0658A" w:rsidRDefault="0070070D" w:rsidP="00004A41">
            <w:pPr>
              <w:spacing w:after="0" w:line="240" w:lineRule="auto"/>
              <w:rPr>
                <w:rFonts w:ascii="Times New Roman" w:hAnsi="Times New Roman"/>
                <w:b/>
                <w:sz w:val="20"/>
                <w:szCs w:val="20"/>
              </w:rPr>
            </w:pPr>
            <w:r w:rsidRPr="00B0658A">
              <w:rPr>
                <w:rFonts w:ascii="Times New Roman" w:hAnsi="Times New Roman"/>
                <w:sz w:val="18"/>
                <w:szCs w:val="18"/>
              </w:rPr>
              <w:t>Прикладное программное обеспечение/ Игры и развлечения</w:t>
            </w:r>
          </w:p>
        </w:tc>
        <w:tc>
          <w:tcPr>
            <w:tcW w:w="1256" w:type="dxa"/>
          </w:tcPr>
          <w:p w14:paraId="21C648C0"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4EE1B8AD"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4476B743"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19616D31" w14:textId="77777777" w:rsidR="0070070D" w:rsidRPr="00B0658A" w:rsidRDefault="0070070D" w:rsidP="00004A41">
            <w:pPr>
              <w:spacing w:after="0" w:line="240" w:lineRule="auto"/>
              <w:jc w:val="both"/>
              <w:rPr>
                <w:rFonts w:ascii="Times New Roman" w:hAnsi="Times New Roman"/>
                <w:i/>
                <w:iCs/>
                <w:sz w:val="20"/>
                <w:szCs w:val="20"/>
              </w:rPr>
            </w:pPr>
          </w:p>
        </w:tc>
      </w:tr>
      <w:tr w:rsidR="00F52FED" w:rsidRPr="00B0658A" w14:paraId="0808ECF5" w14:textId="77777777" w:rsidTr="001E5E80">
        <w:trPr>
          <w:trHeight w:val="170"/>
        </w:trPr>
        <w:tc>
          <w:tcPr>
            <w:tcW w:w="0" w:type="auto"/>
            <w:shd w:val="clear" w:color="auto" w:fill="auto"/>
          </w:tcPr>
          <w:p w14:paraId="1D4E978C" w14:textId="77777777" w:rsidR="0070070D" w:rsidRPr="00B0658A" w:rsidDel="00EC4B3C" w:rsidRDefault="0070070D" w:rsidP="00004A41">
            <w:pPr>
              <w:spacing w:after="0" w:line="240" w:lineRule="auto"/>
              <w:rPr>
                <w:rFonts w:ascii="Times New Roman" w:hAnsi="Times New Roman"/>
                <w:b/>
                <w:sz w:val="20"/>
                <w:szCs w:val="20"/>
              </w:rPr>
            </w:pPr>
            <w:r w:rsidRPr="00B0658A">
              <w:rPr>
                <w:rFonts w:ascii="Times New Roman" w:hAnsi="Times New Roman"/>
                <w:sz w:val="18"/>
                <w:szCs w:val="18"/>
              </w:rPr>
              <w:t>5.4</w:t>
            </w:r>
          </w:p>
        </w:tc>
        <w:tc>
          <w:tcPr>
            <w:tcW w:w="3432" w:type="dxa"/>
            <w:shd w:val="clear" w:color="auto" w:fill="auto"/>
            <w:vAlign w:val="center"/>
          </w:tcPr>
          <w:p w14:paraId="6B189D6A" w14:textId="77777777" w:rsidR="0070070D" w:rsidRPr="00B0658A" w:rsidRDefault="0070070D" w:rsidP="00004A41">
            <w:pPr>
              <w:spacing w:after="0" w:line="240" w:lineRule="auto"/>
              <w:rPr>
                <w:rFonts w:ascii="Times New Roman" w:hAnsi="Times New Roman"/>
                <w:b/>
                <w:sz w:val="20"/>
                <w:szCs w:val="20"/>
              </w:rPr>
            </w:pPr>
            <w:r w:rsidRPr="00B0658A">
              <w:rPr>
                <w:rFonts w:ascii="Times New Roman" w:hAnsi="Times New Roman"/>
                <w:sz w:val="18"/>
                <w:szCs w:val="18"/>
              </w:rPr>
              <w:t>Прикладное программное обеспечение/ Поисковые средства</w:t>
            </w:r>
          </w:p>
        </w:tc>
        <w:tc>
          <w:tcPr>
            <w:tcW w:w="1256" w:type="dxa"/>
          </w:tcPr>
          <w:p w14:paraId="2A5BD742"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205DBA3F"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46BED05D"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214C5295" w14:textId="77777777" w:rsidR="0070070D" w:rsidRPr="00B0658A" w:rsidRDefault="0070070D" w:rsidP="00004A41">
            <w:pPr>
              <w:spacing w:after="0" w:line="240" w:lineRule="auto"/>
              <w:jc w:val="both"/>
              <w:rPr>
                <w:rFonts w:ascii="Times New Roman" w:hAnsi="Times New Roman"/>
                <w:i/>
                <w:iCs/>
                <w:sz w:val="20"/>
                <w:szCs w:val="20"/>
              </w:rPr>
            </w:pPr>
          </w:p>
        </w:tc>
      </w:tr>
      <w:tr w:rsidR="00F52FED" w:rsidRPr="00B0658A" w14:paraId="6131C10D" w14:textId="77777777" w:rsidTr="001E5E80">
        <w:trPr>
          <w:trHeight w:val="170"/>
        </w:trPr>
        <w:tc>
          <w:tcPr>
            <w:tcW w:w="0" w:type="auto"/>
            <w:shd w:val="clear" w:color="auto" w:fill="auto"/>
          </w:tcPr>
          <w:p w14:paraId="597729C6" w14:textId="77777777" w:rsidR="0070070D" w:rsidRPr="00B0658A" w:rsidDel="00EC4B3C" w:rsidRDefault="0070070D" w:rsidP="00004A41">
            <w:pPr>
              <w:spacing w:after="0" w:line="240" w:lineRule="auto"/>
              <w:rPr>
                <w:rFonts w:ascii="Times New Roman" w:hAnsi="Times New Roman"/>
                <w:b/>
                <w:sz w:val="20"/>
                <w:szCs w:val="20"/>
              </w:rPr>
            </w:pPr>
            <w:r w:rsidRPr="00B0658A">
              <w:rPr>
                <w:rFonts w:ascii="Times New Roman" w:hAnsi="Times New Roman"/>
                <w:sz w:val="18"/>
                <w:szCs w:val="18"/>
              </w:rPr>
              <w:t>5.5</w:t>
            </w:r>
          </w:p>
        </w:tc>
        <w:tc>
          <w:tcPr>
            <w:tcW w:w="3432" w:type="dxa"/>
            <w:shd w:val="clear" w:color="auto" w:fill="auto"/>
            <w:vAlign w:val="center"/>
          </w:tcPr>
          <w:p w14:paraId="4B8A88AA" w14:textId="77777777" w:rsidR="0070070D" w:rsidRPr="00B0658A" w:rsidRDefault="0070070D" w:rsidP="00004A41">
            <w:pPr>
              <w:spacing w:after="0" w:line="240" w:lineRule="auto"/>
              <w:rPr>
                <w:rFonts w:ascii="Times New Roman" w:hAnsi="Times New Roman"/>
                <w:b/>
                <w:sz w:val="20"/>
                <w:szCs w:val="20"/>
              </w:rPr>
            </w:pPr>
            <w:r w:rsidRPr="00B0658A">
              <w:rPr>
                <w:rFonts w:ascii="Times New Roman" w:hAnsi="Times New Roman"/>
                <w:sz w:val="18"/>
                <w:szCs w:val="18"/>
              </w:rPr>
              <w:t>Прикладное программное обеспечение/ Средства управления проектами</w:t>
            </w:r>
          </w:p>
        </w:tc>
        <w:tc>
          <w:tcPr>
            <w:tcW w:w="1256" w:type="dxa"/>
          </w:tcPr>
          <w:p w14:paraId="1CA9C5A4"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380FDCED"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539B3A5A"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051A68C3" w14:textId="77777777" w:rsidR="0070070D" w:rsidRPr="00B0658A" w:rsidRDefault="0070070D" w:rsidP="00004A41">
            <w:pPr>
              <w:spacing w:after="0" w:line="240" w:lineRule="auto"/>
              <w:jc w:val="both"/>
              <w:rPr>
                <w:rFonts w:ascii="Times New Roman" w:hAnsi="Times New Roman"/>
                <w:i/>
                <w:iCs/>
                <w:sz w:val="20"/>
                <w:szCs w:val="20"/>
              </w:rPr>
            </w:pPr>
          </w:p>
        </w:tc>
      </w:tr>
      <w:tr w:rsidR="00F52FED" w:rsidRPr="00B0658A" w14:paraId="2391CBFB" w14:textId="77777777" w:rsidTr="001E5E80">
        <w:trPr>
          <w:trHeight w:val="170"/>
        </w:trPr>
        <w:tc>
          <w:tcPr>
            <w:tcW w:w="0" w:type="auto"/>
            <w:shd w:val="clear" w:color="auto" w:fill="auto"/>
          </w:tcPr>
          <w:p w14:paraId="4CC8031D" w14:textId="77777777" w:rsidR="0070070D" w:rsidRPr="00B0658A" w:rsidDel="00EC4B3C" w:rsidRDefault="0070070D" w:rsidP="00004A41">
            <w:pPr>
              <w:spacing w:after="0" w:line="240" w:lineRule="auto"/>
              <w:rPr>
                <w:rFonts w:ascii="Times New Roman" w:hAnsi="Times New Roman"/>
                <w:b/>
                <w:sz w:val="20"/>
                <w:szCs w:val="20"/>
              </w:rPr>
            </w:pPr>
            <w:r w:rsidRPr="00B0658A">
              <w:rPr>
                <w:rFonts w:ascii="Times New Roman" w:hAnsi="Times New Roman"/>
                <w:sz w:val="18"/>
                <w:szCs w:val="18"/>
              </w:rPr>
              <w:t>5.6</w:t>
            </w:r>
          </w:p>
        </w:tc>
        <w:tc>
          <w:tcPr>
            <w:tcW w:w="3432" w:type="dxa"/>
            <w:shd w:val="clear" w:color="auto" w:fill="auto"/>
            <w:vAlign w:val="center"/>
          </w:tcPr>
          <w:p w14:paraId="302C3EE3" w14:textId="77777777" w:rsidR="0070070D" w:rsidRPr="00B0658A" w:rsidRDefault="0070070D" w:rsidP="00004A41">
            <w:pPr>
              <w:spacing w:after="0" w:line="240" w:lineRule="auto"/>
              <w:rPr>
                <w:rFonts w:ascii="Times New Roman" w:hAnsi="Times New Roman"/>
                <w:b/>
                <w:sz w:val="20"/>
                <w:szCs w:val="20"/>
              </w:rPr>
            </w:pPr>
            <w:r w:rsidRPr="00B0658A">
              <w:rPr>
                <w:rFonts w:ascii="Times New Roman" w:hAnsi="Times New Roman"/>
                <w:sz w:val="18"/>
                <w:szCs w:val="18"/>
              </w:rPr>
              <w:t>Прикладное программное обеспечение/ Геоинформационные и навигационные средства (GIS)</w:t>
            </w:r>
          </w:p>
        </w:tc>
        <w:tc>
          <w:tcPr>
            <w:tcW w:w="1256" w:type="dxa"/>
          </w:tcPr>
          <w:p w14:paraId="2C754BA7"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2AE4208F"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0CC1CE17"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020C0E6B" w14:textId="77777777" w:rsidR="0070070D" w:rsidRPr="00B0658A" w:rsidRDefault="0070070D" w:rsidP="00004A41">
            <w:pPr>
              <w:spacing w:after="0" w:line="240" w:lineRule="auto"/>
              <w:jc w:val="both"/>
              <w:rPr>
                <w:rFonts w:ascii="Times New Roman" w:hAnsi="Times New Roman"/>
                <w:i/>
                <w:iCs/>
                <w:sz w:val="20"/>
                <w:szCs w:val="20"/>
              </w:rPr>
            </w:pPr>
          </w:p>
        </w:tc>
      </w:tr>
      <w:tr w:rsidR="00F52FED" w:rsidRPr="00B0658A" w14:paraId="0D9CC1D2" w14:textId="77777777" w:rsidTr="001E5E80">
        <w:trPr>
          <w:trHeight w:val="170"/>
        </w:trPr>
        <w:tc>
          <w:tcPr>
            <w:tcW w:w="0" w:type="auto"/>
            <w:shd w:val="clear" w:color="auto" w:fill="auto"/>
          </w:tcPr>
          <w:p w14:paraId="2B4B1D00" w14:textId="77777777" w:rsidR="0070070D" w:rsidRPr="00B0658A" w:rsidDel="00EC4B3C" w:rsidRDefault="0070070D" w:rsidP="00004A41">
            <w:pPr>
              <w:spacing w:after="0" w:line="240" w:lineRule="auto"/>
              <w:rPr>
                <w:rFonts w:ascii="Times New Roman" w:hAnsi="Times New Roman"/>
                <w:b/>
                <w:sz w:val="20"/>
                <w:szCs w:val="20"/>
              </w:rPr>
            </w:pPr>
            <w:r w:rsidRPr="00B0658A">
              <w:rPr>
                <w:rFonts w:ascii="Times New Roman" w:hAnsi="Times New Roman"/>
                <w:sz w:val="18"/>
                <w:szCs w:val="18"/>
              </w:rPr>
              <w:t>5.7</w:t>
            </w:r>
          </w:p>
        </w:tc>
        <w:tc>
          <w:tcPr>
            <w:tcW w:w="3432" w:type="dxa"/>
            <w:shd w:val="clear" w:color="auto" w:fill="auto"/>
            <w:vAlign w:val="center"/>
          </w:tcPr>
          <w:p w14:paraId="7BA4580C" w14:textId="77777777" w:rsidR="0070070D" w:rsidRPr="00B0658A" w:rsidRDefault="0070070D" w:rsidP="00004A41">
            <w:pPr>
              <w:spacing w:after="0" w:line="240" w:lineRule="auto"/>
              <w:rPr>
                <w:rFonts w:ascii="Times New Roman" w:hAnsi="Times New Roman"/>
                <w:b/>
                <w:sz w:val="20"/>
                <w:szCs w:val="20"/>
              </w:rPr>
            </w:pPr>
            <w:r w:rsidRPr="00B0658A">
              <w:rPr>
                <w:rFonts w:ascii="Times New Roman" w:hAnsi="Times New Roman"/>
                <w:sz w:val="18"/>
                <w:szCs w:val="18"/>
              </w:rPr>
              <w:t xml:space="preserve">Прикладное программное обеспечение/ Специализированное ПО органов исполнительной власти Российской Федерации, государственных корпораций, компаний и юридических </w:t>
            </w:r>
            <w:r w:rsidRPr="00B0658A">
              <w:rPr>
                <w:rFonts w:ascii="Times New Roman" w:hAnsi="Times New Roman"/>
                <w:sz w:val="18"/>
                <w:szCs w:val="18"/>
              </w:rPr>
              <w:lastRenderedPageBreak/>
              <w:t>лиц с преимущественным участием Российской Федерации для внутреннего использования</w:t>
            </w:r>
          </w:p>
        </w:tc>
        <w:tc>
          <w:tcPr>
            <w:tcW w:w="1256" w:type="dxa"/>
          </w:tcPr>
          <w:p w14:paraId="6AD2B666"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30AC5294"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5DE8C46A"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45C40FBE" w14:textId="77777777" w:rsidR="0070070D" w:rsidRPr="00B0658A" w:rsidRDefault="0070070D" w:rsidP="00004A41">
            <w:pPr>
              <w:spacing w:after="0" w:line="240" w:lineRule="auto"/>
              <w:jc w:val="both"/>
              <w:rPr>
                <w:rFonts w:ascii="Times New Roman" w:hAnsi="Times New Roman"/>
                <w:i/>
                <w:iCs/>
                <w:sz w:val="20"/>
                <w:szCs w:val="20"/>
              </w:rPr>
            </w:pPr>
          </w:p>
        </w:tc>
      </w:tr>
      <w:tr w:rsidR="00F52FED" w:rsidRPr="00B0658A" w14:paraId="5DA5C22B" w14:textId="77777777" w:rsidTr="001E5E80">
        <w:trPr>
          <w:trHeight w:val="170"/>
        </w:trPr>
        <w:tc>
          <w:tcPr>
            <w:tcW w:w="0" w:type="auto"/>
            <w:shd w:val="clear" w:color="auto" w:fill="auto"/>
          </w:tcPr>
          <w:p w14:paraId="51C447F1" w14:textId="77777777" w:rsidR="0070070D" w:rsidRPr="00B0658A" w:rsidDel="00EC4B3C" w:rsidRDefault="0070070D" w:rsidP="00004A41">
            <w:pPr>
              <w:spacing w:after="0" w:line="240" w:lineRule="auto"/>
              <w:rPr>
                <w:rFonts w:ascii="Times New Roman" w:hAnsi="Times New Roman"/>
                <w:b/>
                <w:sz w:val="20"/>
                <w:szCs w:val="20"/>
              </w:rPr>
            </w:pPr>
            <w:r w:rsidRPr="00B0658A">
              <w:rPr>
                <w:rFonts w:ascii="Times New Roman" w:hAnsi="Times New Roman"/>
                <w:sz w:val="18"/>
                <w:szCs w:val="18"/>
              </w:rPr>
              <w:t>5.8</w:t>
            </w:r>
          </w:p>
        </w:tc>
        <w:tc>
          <w:tcPr>
            <w:tcW w:w="3432" w:type="dxa"/>
            <w:shd w:val="clear" w:color="auto" w:fill="auto"/>
            <w:vAlign w:val="center"/>
          </w:tcPr>
          <w:p w14:paraId="7208BA4B" w14:textId="77777777" w:rsidR="0070070D" w:rsidRPr="00B0658A" w:rsidRDefault="0070070D" w:rsidP="00004A41">
            <w:pPr>
              <w:spacing w:after="0" w:line="240" w:lineRule="auto"/>
              <w:rPr>
                <w:rFonts w:ascii="Times New Roman" w:hAnsi="Times New Roman"/>
                <w:b/>
                <w:sz w:val="20"/>
                <w:szCs w:val="20"/>
              </w:rPr>
            </w:pPr>
            <w:r w:rsidRPr="00B0658A">
              <w:rPr>
                <w:rFonts w:ascii="Times New Roman" w:hAnsi="Times New Roman"/>
                <w:sz w:val="18"/>
                <w:szCs w:val="18"/>
              </w:rPr>
              <w:t>Прикладное программное обеспечение/ Средства управления контактными центрами</w:t>
            </w:r>
          </w:p>
        </w:tc>
        <w:tc>
          <w:tcPr>
            <w:tcW w:w="1256" w:type="dxa"/>
          </w:tcPr>
          <w:p w14:paraId="53DFD5F7"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4D205559"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6C771165"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2EE33645" w14:textId="77777777" w:rsidR="0070070D" w:rsidRPr="00B0658A" w:rsidRDefault="0070070D" w:rsidP="00004A41">
            <w:pPr>
              <w:spacing w:after="0" w:line="240" w:lineRule="auto"/>
              <w:jc w:val="both"/>
              <w:rPr>
                <w:rFonts w:ascii="Times New Roman" w:hAnsi="Times New Roman"/>
                <w:i/>
                <w:iCs/>
                <w:sz w:val="20"/>
                <w:szCs w:val="20"/>
              </w:rPr>
            </w:pPr>
          </w:p>
        </w:tc>
      </w:tr>
      <w:tr w:rsidR="00F52FED" w:rsidRPr="00B0658A" w14:paraId="6BDCD3AD" w14:textId="77777777" w:rsidTr="001E5E80">
        <w:trPr>
          <w:trHeight w:val="170"/>
        </w:trPr>
        <w:tc>
          <w:tcPr>
            <w:tcW w:w="0" w:type="auto"/>
            <w:shd w:val="clear" w:color="auto" w:fill="auto"/>
          </w:tcPr>
          <w:p w14:paraId="3B16C1F0" w14:textId="77777777" w:rsidR="0070070D" w:rsidRPr="00B0658A" w:rsidDel="00EC4B3C" w:rsidRDefault="0070070D" w:rsidP="00004A41">
            <w:pPr>
              <w:spacing w:after="0" w:line="240" w:lineRule="auto"/>
              <w:rPr>
                <w:rFonts w:ascii="Times New Roman" w:hAnsi="Times New Roman"/>
                <w:b/>
                <w:sz w:val="20"/>
                <w:szCs w:val="20"/>
              </w:rPr>
            </w:pPr>
            <w:r w:rsidRPr="00B0658A">
              <w:rPr>
                <w:rFonts w:ascii="Times New Roman" w:hAnsi="Times New Roman"/>
                <w:sz w:val="18"/>
                <w:szCs w:val="18"/>
              </w:rPr>
              <w:t>5.9</w:t>
            </w:r>
          </w:p>
        </w:tc>
        <w:tc>
          <w:tcPr>
            <w:tcW w:w="3432" w:type="dxa"/>
            <w:shd w:val="clear" w:color="auto" w:fill="auto"/>
            <w:vAlign w:val="center"/>
          </w:tcPr>
          <w:p w14:paraId="731AF79D" w14:textId="77777777" w:rsidR="0070070D" w:rsidRPr="00B0658A" w:rsidRDefault="0070070D" w:rsidP="00004A41">
            <w:pPr>
              <w:spacing w:after="0" w:line="240" w:lineRule="auto"/>
              <w:rPr>
                <w:rFonts w:ascii="Times New Roman" w:hAnsi="Times New Roman"/>
                <w:b/>
                <w:sz w:val="20"/>
                <w:szCs w:val="20"/>
              </w:rPr>
            </w:pPr>
            <w:r w:rsidRPr="00B0658A">
              <w:rPr>
                <w:rFonts w:ascii="Times New Roman" w:hAnsi="Times New Roman"/>
                <w:sz w:val="18"/>
                <w:szCs w:val="18"/>
              </w:rPr>
              <w:t>Прикладное программное обеспечение/ Средства управления диалоговыми роботами (чат-боты и голосовые роботы)</w:t>
            </w:r>
          </w:p>
        </w:tc>
        <w:tc>
          <w:tcPr>
            <w:tcW w:w="1256" w:type="dxa"/>
          </w:tcPr>
          <w:p w14:paraId="6C9A43A9"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75228D86"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499C3382"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0870D660" w14:textId="77777777" w:rsidR="0070070D" w:rsidRPr="00B0658A" w:rsidRDefault="0070070D" w:rsidP="00004A41">
            <w:pPr>
              <w:spacing w:after="0" w:line="240" w:lineRule="auto"/>
              <w:jc w:val="both"/>
              <w:rPr>
                <w:rFonts w:ascii="Times New Roman" w:hAnsi="Times New Roman"/>
                <w:i/>
                <w:iCs/>
                <w:sz w:val="20"/>
                <w:szCs w:val="20"/>
              </w:rPr>
            </w:pPr>
          </w:p>
        </w:tc>
      </w:tr>
      <w:tr w:rsidR="00F52FED" w:rsidRPr="00B0658A" w14:paraId="146E8D64" w14:textId="77777777" w:rsidTr="001E5E80">
        <w:trPr>
          <w:trHeight w:val="170"/>
        </w:trPr>
        <w:tc>
          <w:tcPr>
            <w:tcW w:w="0" w:type="auto"/>
            <w:shd w:val="clear" w:color="auto" w:fill="auto"/>
          </w:tcPr>
          <w:p w14:paraId="11B17389" w14:textId="77777777" w:rsidR="0070070D" w:rsidRPr="00B0658A" w:rsidDel="00EC4B3C" w:rsidRDefault="0070070D" w:rsidP="00004A41">
            <w:pPr>
              <w:spacing w:after="0" w:line="240" w:lineRule="auto"/>
              <w:rPr>
                <w:rFonts w:ascii="Times New Roman" w:hAnsi="Times New Roman"/>
                <w:b/>
                <w:sz w:val="20"/>
                <w:szCs w:val="20"/>
              </w:rPr>
            </w:pPr>
            <w:r w:rsidRPr="00B0658A">
              <w:rPr>
                <w:rFonts w:ascii="Times New Roman" w:hAnsi="Times New Roman"/>
                <w:sz w:val="18"/>
                <w:szCs w:val="18"/>
              </w:rPr>
              <w:t>5.10</w:t>
            </w:r>
          </w:p>
        </w:tc>
        <w:tc>
          <w:tcPr>
            <w:tcW w:w="3432" w:type="dxa"/>
            <w:shd w:val="clear" w:color="auto" w:fill="auto"/>
            <w:vAlign w:val="center"/>
          </w:tcPr>
          <w:p w14:paraId="5FAA0098" w14:textId="77777777" w:rsidR="0070070D" w:rsidRPr="00B0658A" w:rsidRDefault="0070070D" w:rsidP="00004A41">
            <w:pPr>
              <w:spacing w:after="0" w:line="240" w:lineRule="auto"/>
              <w:rPr>
                <w:rFonts w:ascii="Times New Roman" w:hAnsi="Times New Roman"/>
                <w:b/>
                <w:sz w:val="20"/>
                <w:szCs w:val="20"/>
              </w:rPr>
            </w:pPr>
            <w:r w:rsidRPr="00B0658A">
              <w:rPr>
                <w:rFonts w:ascii="Times New Roman" w:hAnsi="Times New Roman"/>
                <w:sz w:val="18"/>
                <w:szCs w:val="18"/>
              </w:rPr>
              <w:t>Прикладное программное обеспечение/ Базы знаний</w:t>
            </w:r>
          </w:p>
        </w:tc>
        <w:tc>
          <w:tcPr>
            <w:tcW w:w="1256" w:type="dxa"/>
          </w:tcPr>
          <w:p w14:paraId="17E5BF68"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63ECB9BE"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0B9E9A60"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5E94FB03" w14:textId="77777777" w:rsidR="0070070D" w:rsidRPr="00B0658A" w:rsidRDefault="0070070D" w:rsidP="00004A41">
            <w:pPr>
              <w:spacing w:after="0" w:line="240" w:lineRule="auto"/>
              <w:jc w:val="both"/>
              <w:rPr>
                <w:rFonts w:ascii="Times New Roman" w:hAnsi="Times New Roman"/>
                <w:i/>
                <w:iCs/>
                <w:sz w:val="20"/>
                <w:szCs w:val="20"/>
              </w:rPr>
            </w:pPr>
          </w:p>
        </w:tc>
      </w:tr>
      <w:tr w:rsidR="00F52FED" w:rsidRPr="00B0658A" w14:paraId="16112BF5" w14:textId="77777777" w:rsidTr="001E5E80">
        <w:trPr>
          <w:trHeight w:val="170"/>
        </w:trPr>
        <w:tc>
          <w:tcPr>
            <w:tcW w:w="0" w:type="auto"/>
            <w:shd w:val="clear" w:color="auto" w:fill="auto"/>
          </w:tcPr>
          <w:p w14:paraId="7032ECFF" w14:textId="77777777" w:rsidR="0070070D" w:rsidRPr="00B0658A" w:rsidDel="00EC4B3C" w:rsidRDefault="0070070D" w:rsidP="00004A41">
            <w:pPr>
              <w:spacing w:after="0" w:line="240" w:lineRule="auto"/>
              <w:rPr>
                <w:rFonts w:ascii="Times New Roman" w:hAnsi="Times New Roman"/>
                <w:b/>
                <w:sz w:val="20"/>
                <w:szCs w:val="20"/>
              </w:rPr>
            </w:pPr>
            <w:r w:rsidRPr="00B0658A">
              <w:rPr>
                <w:rFonts w:ascii="Times New Roman" w:hAnsi="Times New Roman"/>
                <w:sz w:val="18"/>
                <w:szCs w:val="18"/>
              </w:rPr>
              <w:t>5.11</w:t>
            </w:r>
          </w:p>
        </w:tc>
        <w:tc>
          <w:tcPr>
            <w:tcW w:w="3432" w:type="dxa"/>
            <w:shd w:val="clear" w:color="auto" w:fill="auto"/>
            <w:vAlign w:val="center"/>
          </w:tcPr>
          <w:p w14:paraId="6CBAF143" w14:textId="77777777" w:rsidR="0070070D" w:rsidRPr="00B0658A" w:rsidRDefault="0070070D" w:rsidP="00004A41">
            <w:pPr>
              <w:spacing w:after="0" w:line="240" w:lineRule="auto"/>
              <w:rPr>
                <w:rFonts w:ascii="Times New Roman" w:hAnsi="Times New Roman"/>
                <w:b/>
                <w:sz w:val="20"/>
                <w:szCs w:val="20"/>
              </w:rPr>
            </w:pPr>
            <w:r w:rsidRPr="00B0658A">
              <w:rPr>
                <w:rFonts w:ascii="Times New Roman" w:hAnsi="Times New Roman"/>
                <w:sz w:val="18"/>
                <w:szCs w:val="18"/>
              </w:rPr>
              <w:t>Прикладное программное обеспечение/ Интеллектуальные средства управления экспертной деятельностью</w:t>
            </w:r>
          </w:p>
        </w:tc>
        <w:tc>
          <w:tcPr>
            <w:tcW w:w="1256" w:type="dxa"/>
          </w:tcPr>
          <w:p w14:paraId="5AC696A4"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0F8E02CC"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560E1131"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74B670C5" w14:textId="77777777" w:rsidR="0070070D" w:rsidRPr="00B0658A" w:rsidRDefault="0070070D" w:rsidP="00004A41">
            <w:pPr>
              <w:spacing w:after="0" w:line="240" w:lineRule="auto"/>
              <w:jc w:val="both"/>
              <w:rPr>
                <w:rFonts w:ascii="Times New Roman" w:hAnsi="Times New Roman"/>
                <w:i/>
                <w:iCs/>
                <w:sz w:val="20"/>
                <w:szCs w:val="20"/>
              </w:rPr>
            </w:pPr>
          </w:p>
        </w:tc>
      </w:tr>
      <w:tr w:rsidR="00F52FED" w:rsidRPr="00B0658A" w14:paraId="7F6BE4C9" w14:textId="77777777" w:rsidTr="001E5E80">
        <w:trPr>
          <w:trHeight w:val="170"/>
        </w:trPr>
        <w:tc>
          <w:tcPr>
            <w:tcW w:w="0" w:type="auto"/>
            <w:shd w:val="clear" w:color="auto" w:fill="auto"/>
          </w:tcPr>
          <w:p w14:paraId="2BD0092E" w14:textId="77777777" w:rsidR="0070070D" w:rsidRPr="00B0658A" w:rsidDel="00EC4B3C" w:rsidRDefault="0070070D" w:rsidP="00004A41">
            <w:pPr>
              <w:spacing w:after="0" w:line="240" w:lineRule="auto"/>
              <w:rPr>
                <w:rFonts w:ascii="Times New Roman" w:hAnsi="Times New Roman"/>
                <w:b/>
                <w:sz w:val="20"/>
                <w:szCs w:val="20"/>
              </w:rPr>
            </w:pPr>
            <w:r w:rsidRPr="00B0658A">
              <w:rPr>
                <w:rFonts w:ascii="Times New Roman" w:hAnsi="Times New Roman"/>
                <w:sz w:val="18"/>
                <w:szCs w:val="18"/>
              </w:rPr>
              <w:t>5.12</w:t>
            </w:r>
          </w:p>
        </w:tc>
        <w:tc>
          <w:tcPr>
            <w:tcW w:w="3432" w:type="dxa"/>
            <w:shd w:val="clear" w:color="auto" w:fill="auto"/>
            <w:vAlign w:val="center"/>
          </w:tcPr>
          <w:p w14:paraId="66FD05DF" w14:textId="77777777" w:rsidR="0070070D" w:rsidRPr="00B0658A" w:rsidRDefault="0070070D" w:rsidP="00004A41">
            <w:pPr>
              <w:spacing w:after="0" w:line="240" w:lineRule="auto"/>
              <w:rPr>
                <w:rFonts w:ascii="Times New Roman" w:hAnsi="Times New Roman"/>
                <w:b/>
                <w:sz w:val="20"/>
                <w:szCs w:val="20"/>
              </w:rPr>
            </w:pPr>
            <w:r w:rsidRPr="00B0658A">
              <w:rPr>
                <w:rFonts w:ascii="Times New Roman" w:hAnsi="Times New Roman"/>
                <w:sz w:val="18"/>
                <w:szCs w:val="18"/>
              </w:rPr>
              <w:t xml:space="preserve">Прикладное программное обеспечение/ Интеллектуальные средства разработки </w:t>
            </w:r>
            <w:r w:rsidRPr="00B0658A">
              <w:rPr>
                <w:rFonts w:ascii="Times New Roman" w:hAnsi="Times New Roman"/>
                <w:sz w:val="18"/>
                <w:szCs w:val="18"/>
              </w:rPr>
              <w:br/>
              <w:t xml:space="preserve">и управления стандартами </w:t>
            </w:r>
            <w:r w:rsidRPr="00B0658A">
              <w:rPr>
                <w:rFonts w:ascii="Times New Roman" w:hAnsi="Times New Roman"/>
                <w:sz w:val="18"/>
                <w:szCs w:val="18"/>
              </w:rPr>
              <w:br/>
              <w:t>и нормативами</w:t>
            </w:r>
          </w:p>
        </w:tc>
        <w:tc>
          <w:tcPr>
            <w:tcW w:w="1256" w:type="dxa"/>
          </w:tcPr>
          <w:p w14:paraId="13D725E3"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3FD54231"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73592BA3"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3EEC0440" w14:textId="77777777" w:rsidR="0070070D" w:rsidRPr="00B0658A" w:rsidRDefault="0070070D" w:rsidP="00004A41">
            <w:pPr>
              <w:spacing w:after="0" w:line="240" w:lineRule="auto"/>
              <w:jc w:val="both"/>
              <w:rPr>
                <w:rFonts w:ascii="Times New Roman" w:hAnsi="Times New Roman"/>
                <w:i/>
                <w:iCs/>
                <w:sz w:val="20"/>
                <w:szCs w:val="20"/>
              </w:rPr>
            </w:pPr>
          </w:p>
        </w:tc>
      </w:tr>
      <w:tr w:rsidR="00F52FED" w:rsidRPr="00B0658A" w14:paraId="26D04D4F" w14:textId="77777777" w:rsidTr="001E5E80">
        <w:trPr>
          <w:trHeight w:val="170"/>
        </w:trPr>
        <w:tc>
          <w:tcPr>
            <w:tcW w:w="0" w:type="auto"/>
            <w:shd w:val="clear" w:color="auto" w:fill="auto"/>
          </w:tcPr>
          <w:p w14:paraId="6934F58B" w14:textId="77777777" w:rsidR="0070070D" w:rsidRPr="00B0658A" w:rsidDel="00EC4B3C" w:rsidRDefault="0070070D" w:rsidP="00004A41">
            <w:pPr>
              <w:spacing w:after="0" w:line="240" w:lineRule="auto"/>
              <w:rPr>
                <w:rFonts w:ascii="Times New Roman" w:hAnsi="Times New Roman"/>
                <w:b/>
                <w:sz w:val="20"/>
                <w:szCs w:val="20"/>
              </w:rPr>
            </w:pPr>
            <w:r w:rsidRPr="00B0658A">
              <w:rPr>
                <w:rFonts w:ascii="Times New Roman" w:hAnsi="Times New Roman"/>
                <w:sz w:val="18"/>
                <w:szCs w:val="18"/>
              </w:rPr>
              <w:t>5.13</w:t>
            </w:r>
          </w:p>
        </w:tc>
        <w:tc>
          <w:tcPr>
            <w:tcW w:w="3432" w:type="dxa"/>
            <w:shd w:val="clear" w:color="auto" w:fill="auto"/>
            <w:vAlign w:val="center"/>
          </w:tcPr>
          <w:p w14:paraId="2FBCBF85" w14:textId="77777777" w:rsidR="0070070D" w:rsidRPr="00B0658A" w:rsidRDefault="0070070D" w:rsidP="00004A41">
            <w:pPr>
              <w:spacing w:after="0" w:line="240" w:lineRule="auto"/>
              <w:rPr>
                <w:rFonts w:ascii="Times New Roman" w:hAnsi="Times New Roman"/>
                <w:b/>
                <w:sz w:val="20"/>
                <w:szCs w:val="20"/>
              </w:rPr>
            </w:pPr>
            <w:r w:rsidRPr="00B0658A">
              <w:rPr>
                <w:rFonts w:ascii="Times New Roman" w:hAnsi="Times New Roman"/>
                <w:sz w:val="18"/>
                <w:szCs w:val="18"/>
              </w:rPr>
              <w:t>Прикладное программное обеспечение/ Средства интеллектуальной обработки информации и интеллектуального анализа бизнес-процессов</w:t>
            </w:r>
          </w:p>
        </w:tc>
        <w:tc>
          <w:tcPr>
            <w:tcW w:w="1256" w:type="dxa"/>
          </w:tcPr>
          <w:p w14:paraId="770C2BFA"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29000DC8"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021D8428"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4163A57C" w14:textId="77777777" w:rsidR="0070070D" w:rsidRPr="00B0658A" w:rsidRDefault="0070070D" w:rsidP="00004A41">
            <w:pPr>
              <w:spacing w:after="0" w:line="240" w:lineRule="auto"/>
              <w:jc w:val="both"/>
              <w:rPr>
                <w:rFonts w:ascii="Times New Roman" w:hAnsi="Times New Roman"/>
                <w:i/>
                <w:iCs/>
                <w:sz w:val="20"/>
                <w:szCs w:val="20"/>
              </w:rPr>
            </w:pPr>
          </w:p>
        </w:tc>
      </w:tr>
      <w:tr w:rsidR="00F52FED" w:rsidRPr="00B0658A" w14:paraId="05D20285" w14:textId="77777777" w:rsidTr="001E5E80">
        <w:trPr>
          <w:trHeight w:val="170"/>
        </w:trPr>
        <w:tc>
          <w:tcPr>
            <w:tcW w:w="0" w:type="auto"/>
            <w:shd w:val="clear" w:color="auto" w:fill="auto"/>
          </w:tcPr>
          <w:p w14:paraId="20329037" w14:textId="77777777" w:rsidR="0070070D" w:rsidRPr="00B0658A" w:rsidDel="00EC4B3C" w:rsidRDefault="0070070D" w:rsidP="00004A41">
            <w:pPr>
              <w:spacing w:after="0" w:line="240" w:lineRule="auto"/>
              <w:rPr>
                <w:rFonts w:ascii="Times New Roman" w:hAnsi="Times New Roman"/>
                <w:b/>
                <w:sz w:val="20"/>
                <w:szCs w:val="20"/>
              </w:rPr>
            </w:pPr>
            <w:r w:rsidRPr="00B0658A">
              <w:rPr>
                <w:rFonts w:ascii="Times New Roman" w:hAnsi="Times New Roman"/>
                <w:sz w:val="18"/>
                <w:szCs w:val="18"/>
              </w:rPr>
              <w:t>5.14</w:t>
            </w:r>
          </w:p>
        </w:tc>
        <w:tc>
          <w:tcPr>
            <w:tcW w:w="3432" w:type="dxa"/>
            <w:shd w:val="clear" w:color="auto" w:fill="auto"/>
            <w:vAlign w:val="center"/>
          </w:tcPr>
          <w:p w14:paraId="4ED35084" w14:textId="77777777" w:rsidR="0070070D" w:rsidRPr="00B0658A" w:rsidRDefault="0070070D" w:rsidP="00004A41">
            <w:pPr>
              <w:spacing w:after="0" w:line="240" w:lineRule="auto"/>
              <w:rPr>
                <w:rFonts w:ascii="Times New Roman" w:hAnsi="Times New Roman"/>
                <w:b/>
                <w:sz w:val="20"/>
                <w:szCs w:val="20"/>
              </w:rPr>
            </w:pPr>
            <w:r w:rsidRPr="00B0658A">
              <w:rPr>
                <w:rFonts w:ascii="Times New Roman" w:hAnsi="Times New Roman"/>
                <w:sz w:val="18"/>
                <w:szCs w:val="18"/>
              </w:rPr>
              <w:t>Прикладное программное обеспечение/ Справочно-правовые системы</w:t>
            </w:r>
          </w:p>
        </w:tc>
        <w:tc>
          <w:tcPr>
            <w:tcW w:w="1256" w:type="dxa"/>
          </w:tcPr>
          <w:p w14:paraId="1BC4BD2F"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659A76C2"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71CAE3A3"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0F8BEB64" w14:textId="77777777" w:rsidR="0070070D" w:rsidRPr="00B0658A" w:rsidRDefault="0070070D" w:rsidP="00004A41">
            <w:pPr>
              <w:spacing w:after="0" w:line="240" w:lineRule="auto"/>
              <w:jc w:val="both"/>
              <w:rPr>
                <w:rFonts w:ascii="Times New Roman" w:hAnsi="Times New Roman"/>
                <w:i/>
                <w:iCs/>
                <w:sz w:val="20"/>
                <w:szCs w:val="20"/>
              </w:rPr>
            </w:pPr>
          </w:p>
        </w:tc>
      </w:tr>
      <w:tr w:rsidR="00F52FED" w:rsidRPr="00B0658A" w14:paraId="75B22EEA" w14:textId="77777777" w:rsidTr="001E5E80">
        <w:trPr>
          <w:trHeight w:val="170"/>
        </w:trPr>
        <w:tc>
          <w:tcPr>
            <w:tcW w:w="0" w:type="auto"/>
            <w:shd w:val="clear" w:color="auto" w:fill="auto"/>
          </w:tcPr>
          <w:p w14:paraId="64B75BB7" w14:textId="77777777" w:rsidR="0070070D" w:rsidRPr="00B0658A" w:rsidDel="00EC4B3C" w:rsidRDefault="0070070D" w:rsidP="00004A41">
            <w:pPr>
              <w:spacing w:after="0" w:line="240" w:lineRule="auto"/>
              <w:rPr>
                <w:rFonts w:ascii="Times New Roman" w:hAnsi="Times New Roman"/>
                <w:b/>
                <w:sz w:val="20"/>
                <w:szCs w:val="20"/>
              </w:rPr>
            </w:pPr>
            <w:r w:rsidRPr="00B0658A">
              <w:rPr>
                <w:rFonts w:ascii="Times New Roman" w:hAnsi="Times New Roman"/>
                <w:sz w:val="18"/>
                <w:szCs w:val="18"/>
              </w:rPr>
              <w:t>5.15</w:t>
            </w:r>
          </w:p>
        </w:tc>
        <w:tc>
          <w:tcPr>
            <w:tcW w:w="3432" w:type="dxa"/>
            <w:shd w:val="clear" w:color="auto" w:fill="auto"/>
            <w:vAlign w:val="center"/>
          </w:tcPr>
          <w:p w14:paraId="69466C8C" w14:textId="77777777" w:rsidR="0070070D" w:rsidRPr="00B0658A" w:rsidRDefault="0070070D" w:rsidP="00004A41">
            <w:pPr>
              <w:spacing w:after="0" w:line="240" w:lineRule="auto"/>
              <w:rPr>
                <w:rFonts w:ascii="Times New Roman" w:hAnsi="Times New Roman"/>
                <w:b/>
                <w:sz w:val="20"/>
                <w:szCs w:val="20"/>
              </w:rPr>
            </w:pPr>
            <w:r w:rsidRPr="00B0658A">
              <w:rPr>
                <w:rFonts w:ascii="Times New Roman" w:hAnsi="Times New Roman"/>
                <w:sz w:val="18"/>
                <w:szCs w:val="18"/>
              </w:rPr>
              <w:t>Прикладное программное обеспечение/ Информационные системы для решения специфических отраслевых задач</w:t>
            </w:r>
          </w:p>
        </w:tc>
        <w:tc>
          <w:tcPr>
            <w:tcW w:w="1256" w:type="dxa"/>
          </w:tcPr>
          <w:p w14:paraId="4DBF145F"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367D4E5D"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00341510"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6918C108" w14:textId="77777777" w:rsidR="0070070D" w:rsidRPr="00B0658A" w:rsidRDefault="0070070D" w:rsidP="00004A41">
            <w:pPr>
              <w:spacing w:after="0" w:line="240" w:lineRule="auto"/>
              <w:jc w:val="both"/>
              <w:rPr>
                <w:rFonts w:ascii="Times New Roman" w:hAnsi="Times New Roman"/>
                <w:i/>
                <w:iCs/>
                <w:sz w:val="20"/>
                <w:szCs w:val="20"/>
              </w:rPr>
            </w:pPr>
          </w:p>
        </w:tc>
      </w:tr>
      <w:tr w:rsidR="00F52FED" w:rsidRPr="00B0658A" w14:paraId="461F8755" w14:textId="77777777" w:rsidTr="001E5E80">
        <w:trPr>
          <w:trHeight w:val="170"/>
        </w:trPr>
        <w:tc>
          <w:tcPr>
            <w:tcW w:w="0" w:type="auto"/>
            <w:shd w:val="clear" w:color="auto" w:fill="auto"/>
          </w:tcPr>
          <w:p w14:paraId="4FBEBB85" w14:textId="77777777" w:rsidR="0070070D" w:rsidRPr="00B0658A" w:rsidDel="00EC4B3C" w:rsidRDefault="0070070D" w:rsidP="00004A41">
            <w:pPr>
              <w:spacing w:after="0" w:line="240" w:lineRule="auto"/>
              <w:rPr>
                <w:rFonts w:ascii="Times New Roman" w:hAnsi="Times New Roman"/>
                <w:b/>
                <w:sz w:val="20"/>
                <w:szCs w:val="20"/>
              </w:rPr>
            </w:pPr>
            <w:r w:rsidRPr="00B0658A">
              <w:rPr>
                <w:rFonts w:ascii="Times New Roman" w:hAnsi="Times New Roman"/>
                <w:sz w:val="18"/>
                <w:szCs w:val="18"/>
              </w:rPr>
              <w:t>5.16</w:t>
            </w:r>
          </w:p>
        </w:tc>
        <w:tc>
          <w:tcPr>
            <w:tcW w:w="3432" w:type="dxa"/>
            <w:shd w:val="clear" w:color="auto" w:fill="auto"/>
            <w:vAlign w:val="center"/>
          </w:tcPr>
          <w:p w14:paraId="632CC889" w14:textId="77777777" w:rsidR="0070070D" w:rsidRPr="00B0658A" w:rsidRDefault="0070070D" w:rsidP="00004A41">
            <w:pPr>
              <w:spacing w:after="0" w:line="240" w:lineRule="auto"/>
              <w:rPr>
                <w:rFonts w:ascii="Times New Roman" w:hAnsi="Times New Roman"/>
                <w:b/>
                <w:sz w:val="20"/>
                <w:szCs w:val="20"/>
              </w:rPr>
            </w:pPr>
            <w:r w:rsidRPr="00B0658A">
              <w:rPr>
                <w:rFonts w:ascii="Times New Roman" w:hAnsi="Times New Roman"/>
                <w:sz w:val="18"/>
                <w:szCs w:val="18"/>
              </w:rPr>
              <w:t>Прикладное программное обеспечение/ Автоматизированные информационные системы оформления воздушных перевозок</w:t>
            </w:r>
          </w:p>
        </w:tc>
        <w:tc>
          <w:tcPr>
            <w:tcW w:w="1256" w:type="dxa"/>
          </w:tcPr>
          <w:p w14:paraId="48162D33"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15D0D9EB"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0844BE6D"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504A1BF6" w14:textId="77777777" w:rsidR="0070070D" w:rsidRPr="00B0658A" w:rsidRDefault="0070070D" w:rsidP="00004A41">
            <w:pPr>
              <w:spacing w:after="0" w:line="240" w:lineRule="auto"/>
              <w:jc w:val="both"/>
              <w:rPr>
                <w:rFonts w:ascii="Times New Roman" w:hAnsi="Times New Roman"/>
                <w:i/>
                <w:iCs/>
                <w:sz w:val="20"/>
                <w:szCs w:val="20"/>
              </w:rPr>
            </w:pPr>
          </w:p>
        </w:tc>
      </w:tr>
      <w:tr w:rsidR="00F52FED" w:rsidRPr="00B0658A" w14:paraId="525BAC99" w14:textId="77777777" w:rsidTr="001E5E80">
        <w:trPr>
          <w:trHeight w:val="170"/>
        </w:trPr>
        <w:tc>
          <w:tcPr>
            <w:tcW w:w="0" w:type="auto"/>
            <w:shd w:val="clear" w:color="auto" w:fill="auto"/>
          </w:tcPr>
          <w:p w14:paraId="42978EFC" w14:textId="77777777" w:rsidR="0070070D" w:rsidRPr="00B0658A" w:rsidRDefault="0070070D" w:rsidP="00004A41">
            <w:pPr>
              <w:spacing w:after="0" w:line="240" w:lineRule="auto"/>
              <w:rPr>
                <w:rFonts w:ascii="Times New Roman" w:hAnsi="Times New Roman"/>
                <w:sz w:val="20"/>
                <w:szCs w:val="20"/>
              </w:rPr>
            </w:pPr>
            <w:r w:rsidRPr="00B0658A">
              <w:rPr>
                <w:rFonts w:ascii="Times New Roman" w:hAnsi="Times New Roman"/>
                <w:sz w:val="18"/>
                <w:szCs w:val="18"/>
              </w:rPr>
              <w:t>6.1</w:t>
            </w:r>
          </w:p>
        </w:tc>
        <w:tc>
          <w:tcPr>
            <w:tcW w:w="3432" w:type="dxa"/>
            <w:shd w:val="clear" w:color="auto" w:fill="auto"/>
            <w:vAlign w:val="center"/>
          </w:tcPr>
          <w:p w14:paraId="4B5541D9" w14:textId="77777777" w:rsidR="0070070D" w:rsidRPr="00B0658A" w:rsidRDefault="0070070D" w:rsidP="00004A41">
            <w:pPr>
              <w:spacing w:after="0" w:line="240" w:lineRule="auto"/>
              <w:rPr>
                <w:rFonts w:ascii="Times New Roman" w:hAnsi="Times New Roman"/>
                <w:sz w:val="20"/>
                <w:szCs w:val="20"/>
              </w:rPr>
            </w:pPr>
            <w:r w:rsidRPr="00B0658A">
              <w:rPr>
                <w:rFonts w:ascii="Times New Roman" w:hAnsi="Times New Roman"/>
                <w:sz w:val="18"/>
                <w:szCs w:val="18"/>
              </w:rPr>
              <w:t>Офисные приложения/ Файловые менеджеры</w:t>
            </w:r>
          </w:p>
        </w:tc>
        <w:tc>
          <w:tcPr>
            <w:tcW w:w="1256" w:type="dxa"/>
          </w:tcPr>
          <w:p w14:paraId="20CBF5AE"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4B9CD180"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5A1E0BAB"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4DB275BD" w14:textId="77777777" w:rsidR="0070070D" w:rsidRPr="00B0658A" w:rsidRDefault="0070070D" w:rsidP="00004A41">
            <w:pPr>
              <w:spacing w:after="0" w:line="240" w:lineRule="auto"/>
              <w:jc w:val="both"/>
              <w:rPr>
                <w:rFonts w:ascii="Times New Roman" w:hAnsi="Times New Roman"/>
                <w:i/>
                <w:iCs/>
                <w:sz w:val="20"/>
                <w:szCs w:val="20"/>
              </w:rPr>
            </w:pPr>
          </w:p>
        </w:tc>
      </w:tr>
      <w:tr w:rsidR="00F52FED" w:rsidRPr="00B0658A" w14:paraId="2143CDE8" w14:textId="77777777" w:rsidTr="001E5E80">
        <w:trPr>
          <w:trHeight w:val="170"/>
        </w:trPr>
        <w:tc>
          <w:tcPr>
            <w:tcW w:w="0" w:type="auto"/>
            <w:shd w:val="clear" w:color="auto" w:fill="auto"/>
          </w:tcPr>
          <w:p w14:paraId="21F95ABA" w14:textId="77777777" w:rsidR="0070070D" w:rsidRPr="00B0658A" w:rsidRDefault="0070070D" w:rsidP="00004A41">
            <w:pPr>
              <w:spacing w:after="0" w:line="240" w:lineRule="auto"/>
              <w:rPr>
                <w:rFonts w:ascii="Times New Roman" w:hAnsi="Times New Roman"/>
                <w:sz w:val="20"/>
                <w:szCs w:val="20"/>
              </w:rPr>
            </w:pPr>
            <w:r w:rsidRPr="00B0658A">
              <w:rPr>
                <w:rFonts w:ascii="Times New Roman" w:hAnsi="Times New Roman"/>
                <w:sz w:val="18"/>
                <w:szCs w:val="18"/>
              </w:rPr>
              <w:t>6.2</w:t>
            </w:r>
          </w:p>
        </w:tc>
        <w:tc>
          <w:tcPr>
            <w:tcW w:w="3432" w:type="dxa"/>
            <w:shd w:val="clear" w:color="auto" w:fill="auto"/>
            <w:vAlign w:val="center"/>
          </w:tcPr>
          <w:p w14:paraId="761A4FAF" w14:textId="77777777" w:rsidR="0070070D" w:rsidRPr="00B0658A" w:rsidRDefault="0070070D" w:rsidP="00004A41">
            <w:pPr>
              <w:spacing w:after="0" w:line="240" w:lineRule="auto"/>
              <w:rPr>
                <w:rFonts w:ascii="Times New Roman" w:hAnsi="Times New Roman"/>
                <w:sz w:val="20"/>
                <w:szCs w:val="20"/>
              </w:rPr>
            </w:pPr>
            <w:r w:rsidRPr="00B0658A">
              <w:rPr>
                <w:rFonts w:ascii="Times New Roman" w:hAnsi="Times New Roman"/>
                <w:sz w:val="18"/>
                <w:szCs w:val="18"/>
              </w:rPr>
              <w:t>Офисные приложения/ Коммуникационное программное обеспечение</w:t>
            </w:r>
          </w:p>
        </w:tc>
        <w:tc>
          <w:tcPr>
            <w:tcW w:w="1256" w:type="dxa"/>
          </w:tcPr>
          <w:p w14:paraId="6A6FDCAA"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60715BC5"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77DA71A0"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1245F7E5" w14:textId="77777777" w:rsidR="0070070D" w:rsidRPr="00B0658A" w:rsidRDefault="0070070D" w:rsidP="00004A41">
            <w:pPr>
              <w:spacing w:after="0" w:line="240" w:lineRule="auto"/>
              <w:jc w:val="both"/>
              <w:rPr>
                <w:rFonts w:ascii="Times New Roman" w:hAnsi="Times New Roman"/>
                <w:i/>
                <w:iCs/>
                <w:sz w:val="20"/>
                <w:szCs w:val="20"/>
              </w:rPr>
            </w:pPr>
          </w:p>
        </w:tc>
      </w:tr>
      <w:tr w:rsidR="00F52FED" w:rsidRPr="00B0658A" w14:paraId="6AC702D2" w14:textId="77777777" w:rsidTr="001E5E80">
        <w:trPr>
          <w:trHeight w:val="170"/>
        </w:trPr>
        <w:tc>
          <w:tcPr>
            <w:tcW w:w="0" w:type="auto"/>
            <w:shd w:val="clear" w:color="auto" w:fill="auto"/>
          </w:tcPr>
          <w:p w14:paraId="413EFC39" w14:textId="77777777" w:rsidR="0070070D" w:rsidRPr="00B0658A" w:rsidRDefault="0070070D" w:rsidP="00004A41">
            <w:pPr>
              <w:spacing w:after="0" w:line="240" w:lineRule="auto"/>
              <w:rPr>
                <w:rFonts w:ascii="Times New Roman" w:hAnsi="Times New Roman"/>
                <w:sz w:val="20"/>
                <w:szCs w:val="20"/>
              </w:rPr>
            </w:pPr>
            <w:r w:rsidRPr="00B0658A">
              <w:rPr>
                <w:rFonts w:ascii="Times New Roman" w:hAnsi="Times New Roman"/>
                <w:sz w:val="18"/>
                <w:szCs w:val="18"/>
              </w:rPr>
              <w:t>6.3</w:t>
            </w:r>
          </w:p>
        </w:tc>
        <w:tc>
          <w:tcPr>
            <w:tcW w:w="3432" w:type="dxa"/>
            <w:shd w:val="clear" w:color="auto" w:fill="auto"/>
            <w:vAlign w:val="center"/>
          </w:tcPr>
          <w:p w14:paraId="285EE05D" w14:textId="77777777" w:rsidR="0070070D" w:rsidRPr="00B0658A" w:rsidRDefault="0070070D" w:rsidP="00004A41">
            <w:pPr>
              <w:spacing w:after="0" w:line="240" w:lineRule="auto"/>
              <w:rPr>
                <w:rFonts w:ascii="Times New Roman" w:hAnsi="Times New Roman"/>
                <w:sz w:val="20"/>
                <w:szCs w:val="20"/>
              </w:rPr>
            </w:pPr>
            <w:r w:rsidRPr="00B0658A">
              <w:rPr>
                <w:rFonts w:ascii="Times New Roman" w:hAnsi="Times New Roman"/>
                <w:sz w:val="18"/>
                <w:szCs w:val="18"/>
              </w:rPr>
              <w:t>Офисные приложения/ Офисные пакеты</w:t>
            </w:r>
          </w:p>
        </w:tc>
        <w:tc>
          <w:tcPr>
            <w:tcW w:w="1256" w:type="dxa"/>
          </w:tcPr>
          <w:p w14:paraId="5AD21877"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49016E6A"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56F5A289"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28694D4B" w14:textId="77777777" w:rsidR="0070070D" w:rsidRPr="00B0658A" w:rsidRDefault="0070070D" w:rsidP="00004A41">
            <w:pPr>
              <w:spacing w:after="0" w:line="240" w:lineRule="auto"/>
              <w:jc w:val="both"/>
              <w:rPr>
                <w:rFonts w:ascii="Times New Roman" w:hAnsi="Times New Roman"/>
                <w:i/>
                <w:iCs/>
                <w:sz w:val="20"/>
                <w:szCs w:val="20"/>
              </w:rPr>
            </w:pPr>
          </w:p>
        </w:tc>
      </w:tr>
      <w:tr w:rsidR="00F52FED" w:rsidRPr="00B0658A" w14:paraId="046BD41A" w14:textId="77777777" w:rsidTr="001E5E80">
        <w:trPr>
          <w:trHeight w:val="170"/>
        </w:trPr>
        <w:tc>
          <w:tcPr>
            <w:tcW w:w="0" w:type="auto"/>
            <w:shd w:val="clear" w:color="auto" w:fill="auto"/>
          </w:tcPr>
          <w:p w14:paraId="6FC4248D" w14:textId="77777777" w:rsidR="0070070D" w:rsidRPr="00B0658A" w:rsidRDefault="0070070D" w:rsidP="00004A41">
            <w:pPr>
              <w:spacing w:after="0" w:line="240" w:lineRule="auto"/>
              <w:rPr>
                <w:rFonts w:ascii="Times New Roman" w:hAnsi="Times New Roman"/>
                <w:sz w:val="20"/>
                <w:szCs w:val="20"/>
              </w:rPr>
            </w:pPr>
            <w:r w:rsidRPr="00B0658A">
              <w:rPr>
                <w:rFonts w:ascii="Times New Roman" w:hAnsi="Times New Roman"/>
                <w:sz w:val="18"/>
                <w:szCs w:val="18"/>
              </w:rPr>
              <w:lastRenderedPageBreak/>
              <w:t>6.4</w:t>
            </w:r>
          </w:p>
        </w:tc>
        <w:tc>
          <w:tcPr>
            <w:tcW w:w="3432" w:type="dxa"/>
            <w:shd w:val="clear" w:color="auto" w:fill="auto"/>
            <w:vAlign w:val="center"/>
          </w:tcPr>
          <w:p w14:paraId="52BB3593" w14:textId="77777777" w:rsidR="0070070D" w:rsidRPr="00B0658A" w:rsidRDefault="0070070D" w:rsidP="00004A41">
            <w:pPr>
              <w:spacing w:after="0" w:line="240" w:lineRule="auto"/>
              <w:rPr>
                <w:rFonts w:ascii="Times New Roman" w:hAnsi="Times New Roman"/>
                <w:sz w:val="20"/>
                <w:szCs w:val="20"/>
              </w:rPr>
            </w:pPr>
            <w:r w:rsidRPr="00B0658A">
              <w:rPr>
                <w:rFonts w:ascii="Times New Roman" w:hAnsi="Times New Roman"/>
                <w:sz w:val="18"/>
                <w:szCs w:val="18"/>
              </w:rPr>
              <w:t>Офисные приложения/ Почтовые приложения</w:t>
            </w:r>
          </w:p>
        </w:tc>
        <w:tc>
          <w:tcPr>
            <w:tcW w:w="1256" w:type="dxa"/>
          </w:tcPr>
          <w:p w14:paraId="73032815"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5B25AC1B"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4F487906"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2A57C6A1" w14:textId="77777777" w:rsidR="0070070D" w:rsidRPr="00B0658A" w:rsidRDefault="0070070D" w:rsidP="00004A41">
            <w:pPr>
              <w:spacing w:after="0" w:line="240" w:lineRule="auto"/>
              <w:jc w:val="both"/>
              <w:rPr>
                <w:rFonts w:ascii="Times New Roman" w:hAnsi="Times New Roman"/>
                <w:i/>
                <w:iCs/>
                <w:sz w:val="20"/>
                <w:szCs w:val="20"/>
              </w:rPr>
            </w:pPr>
          </w:p>
        </w:tc>
      </w:tr>
      <w:tr w:rsidR="00F52FED" w:rsidRPr="00B0658A" w14:paraId="76F3C70E" w14:textId="77777777" w:rsidTr="001E5E80">
        <w:trPr>
          <w:trHeight w:val="170"/>
        </w:trPr>
        <w:tc>
          <w:tcPr>
            <w:tcW w:w="0" w:type="auto"/>
            <w:shd w:val="clear" w:color="auto" w:fill="auto"/>
          </w:tcPr>
          <w:p w14:paraId="37B4931B" w14:textId="77777777" w:rsidR="0070070D" w:rsidRPr="00B0658A" w:rsidRDefault="0070070D" w:rsidP="00004A41">
            <w:pPr>
              <w:spacing w:after="0" w:line="240" w:lineRule="auto"/>
              <w:rPr>
                <w:rFonts w:ascii="Times New Roman" w:hAnsi="Times New Roman"/>
                <w:sz w:val="20"/>
                <w:szCs w:val="20"/>
              </w:rPr>
            </w:pPr>
            <w:r w:rsidRPr="00B0658A">
              <w:rPr>
                <w:rFonts w:ascii="Times New Roman" w:hAnsi="Times New Roman"/>
                <w:sz w:val="18"/>
                <w:szCs w:val="18"/>
              </w:rPr>
              <w:t>6.5</w:t>
            </w:r>
          </w:p>
        </w:tc>
        <w:tc>
          <w:tcPr>
            <w:tcW w:w="3432" w:type="dxa"/>
            <w:shd w:val="clear" w:color="auto" w:fill="auto"/>
            <w:vAlign w:val="center"/>
          </w:tcPr>
          <w:p w14:paraId="257C4C5A" w14:textId="77777777" w:rsidR="0070070D" w:rsidRPr="00B0658A" w:rsidRDefault="0070070D" w:rsidP="00004A41">
            <w:pPr>
              <w:spacing w:after="0" w:line="240" w:lineRule="auto"/>
              <w:rPr>
                <w:rFonts w:ascii="Times New Roman" w:hAnsi="Times New Roman"/>
                <w:sz w:val="20"/>
                <w:szCs w:val="20"/>
              </w:rPr>
            </w:pPr>
            <w:r w:rsidRPr="00B0658A">
              <w:rPr>
                <w:rFonts w:ascii="Times New Roman" w:hAnsi="Times New Roman"/>
                <w:sz w:val="18"/>
                <w:szCs w:val="18"/>
              </w:rPr>
              <w:t>Офисные приложения/ Органайзеры</w:t>
            </w:r>
          </w:p>
        </w:tc>
        <w:tc>
          <w:tcPr>
            <w:tcW w:w="1256" w:type="dxa"/>
          </w:tcPr>
          <w:p w14:paraId="2C89CE7F"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3DC3A1A6"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151D2A09"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1AE24EBF" w14:textId="77777777" w:rsidR="0070070D" w:rsidRPr="00B0658A" w:rsidRDefault="0070070D" w:rsidP="00004A41">
            <w:pPr>
              <w:spacing w:after="0" w:line="240" w:lineRule="auto"/>
              <w:jc w:val="both"/>
              <w:rPr>
                <w:rFonts w:ascii="Times New Roman" w:hAnsi="Times New Roman"/>
                <w:i/>
                <w:iCs/>
                <w:sz w:val="20"/>
                <w:szCs w:val="20"/>
              </w:rPr>
            </w:pPr>
          </w:p>
        </w:tc>
      </w:tr>
      <w:tr w:rsidR="00F52FED" w:rsidRPr="00B0658A" w14:paraId="072008A9" w14:textId="77777777" w:rsidTr="001E5E80">
        <w:trPr>
          <w:trHeight w:val="170"/>
        </w:trPr>
        <w:tc>
          <w:tcPr>
            <w:tcW w:w="0" w:type="auto"/>
            <w:shd w:val="clear" w:color="auto" w:fill="auto"/>
          </w:tcPr>
          <w:p w14:paraId="012863D8" w14:textId="77777777" w:rsidR="0070070D" w:rsidRPr="00B0658A" w:rsidRDefault="0070070D" w:rsidP="00004A41">
            <w:pPr>
              <w:spacing w:after="0" w:line="240" w:lineRule="auto"/>
              <w:rPr>
                <w:rFonts w:ascii="Times New Roman" w:hAnsi="Times New Roman"/>
                <w:sz w:val="20"/>
                <w:szCs w:val="20"/>
              </w:rPr>
            </w:pPr>
            <w:r w:rsidRPr="00B0658A">
              <w:rPr>
                <w:rFonts w:ascii="Times New Roman" w:hAnsi="Times New Roman"/>
                <w:sz w:val="18"/>
                <w:szCs w:val="18"/>
              </w:rPr>
              <w:t>6.6</w:t>
            </w:r>
          </w:p>
        </w:tc>
        <w:tc>
          <w:tcPr>
            <w:tcW w:w="3432" w:type="dxa"/>
            <w:shd w:val="clear" w:color="auto" w:fill="auto"/>
            <w:vAlign w:val="center"/>
          </w:tcPr>
          <w:p w14:paraId="058AFD69" w14:textId="77777777" w:rsidR="0070070D" w:rsidRPr="00B0658A" w:rsidRDefault="0070070D" w:rsidP="00004A41">
            <w:pPr>
              <w:spacing w:after="0" w:line="240" w:lineRule="auto"/>
              <w:rPr>
                <w:rFonts w:ascii="Times New Roman" w:hAnsi="Times New Roman"/>
                <w:sz w:val="20"/>
                <w:szCs w:val="20"/>
              </w:rPr>
            </w:pPr>
            <w:r w:rsidRPr="00B0658A">
              <w:rPr>
                <w:rFonts w:ascii="Times New Roman" w:hAnsi="Times New Roman"/>
                <w:sz w:val="18"/>
                <w:szCs w:val="18"/>
              </w:rPr>
              <w:t>Офисные приложения/ Средства просмотра</w:t>
            </w:r>
          </w:p>
        </w:tc>
        <w:tc>
          <w:tcPr>
            <w:tcW w:w="1256" w:type="dxa"/>
          </w:tcPr>
          <w:p w14:paraId="40285181"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65CB9537"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4E284748"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7A4368FF" w14:textId="77777777" w:rsidR="0070070D" w:rsidRPr="00B0658A" w:rsidRDefault="0070070D" w:rsidP="00004A41">
            <w:pPr>
              <w:spacing w:after="0" w:line="240" w:lineRule="auto"/>
              <w:jc w:val="both"/>
              <w:rPr>
                <w:rFonts w:ascii="Times New Roman" w:hAnsi="Times New Roman"/>
                <w:i/>
                <w:iCs/>
                <w:sz w:val="20"/>
                <w:szCs w:val="20"/>
              </w:rPr>
            </w:pPr>
          </w:p>
        </w:tc>
      </w:tr>
      <w:tr w:rsidR="00F52FED" w:rsidRPr="00B0658A" w14:paraId="16251A05" w14:textId="77777777" w:rsidTr="001E5E80">
        <w:trPr>
          <w:trHeight w:val="170"/>
        </w:trPr>
        <w:tc>
          <w:tcPr>
            <w:tcW w:w="0" w:type="auto"/>
            <w:shd w:val="clear" w:color="auto" w:fill="auto"/>
          </w:tcPr>
          <w:p w14:paraId="72F8DEFC" w14:textId="77777777" w:rsidR="0070070D" w:rsidRPr="00B0658A" w:rsidRDefault="0070070D" w:rsidP="00004A41">
            <w:pPr>
              <w:spacing w:after="0" w:line="240" w:lineRule="auto"/>
              <w:rPr>
                <w:rFonts w:ascii="Times New Roman" w:hAnsi="Times New Roman"/>
                <w:sz w:val="20"/>
                <w:szCs w:val="20"/>
              </w:rPr>
            </w:pPr>
            <w:r w:rsidRPr="00B0658A">
              <w:rPr>
                <w:rFonts w:ascii="Times New Roman" w:hAnsi="Times New Roman"/>
                <w:sz w:val="18"/>
                <w:szCs w:val="18"/>
              </w:rPr>
              <w:t>6.7</w:t>
            </w:r>
          </w:p>
        </w:tc>
        <w:tc>
          <w:tcPr>
            <w:tcW w:w="3432" w:type="dxa"/>
            <w:shd w:val="clear" w:color="auto" w:fill="auto"/>
            <w:vAlign w:val="center"/>
          </w:tcPr>
          <w:p w14:paraId="508F4E1A" w14:textId="77777777" w:rsidR="0070070D" w:rsidRPr="00B0658A" w:rsidRDefault="0070070D" w:rsidP="00004A41">
            <w:pPr>
              <w:spacing w:after="0" w:line="240" w:lineRule="auto"/>
              <w:rPr>
                <w:rFonts w:ascii="Times New Roman" w:hAnsi="Times New Roman"/>
                <w:sz w:val="20"/>
                <w:szCs w:val="20"/>
              </w:rPr>
            </w:pPr>
            <w:r w:rsidRPr="00B0658A">
              <w:rPr>
                <w:rFonts w:ascii="Times New Roman" w:hAnsi="Times New Roman"/>
                <w:sz w:val="18"/>
                <w:szCs w:val="18"/>
              </w:rPr>
              <w:t>Офисные приложения/ Браузеры</w:t>
            </w:r>
          </w:p>
        </w:tc>
        <w:tc>
          <w:tcPr>
            <w:tcW w:w="1256" w:type="dxa"/>
          </w:tcPr>
          <w:p w14:paraId="24B40C4C"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2A4872B6"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38658550"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29B815B2" w14:textId="77777777" w:rsidR="0070070D" w:rsidRPr="00B0658A" w:rsidRDefault="0070070D" w:rsidP="00004A41">
            <w:pPr>
              <w:spacing w:after="0" w:line="240" w:lineRule="auto"/>
              <w:jc w:val="both"/>
              <w:rPr>
                <w:rFonts w:ascii="Times New Roman" w:hAnsi="Times New Roman"/>
                <w:i/>
                <w:iCs/>
                <w:sz w:val="20"/>
                <w:szCs w:val="20"/>
              </w:rPr>
            </w:pPr>
          </w:p>
        </w:tc>
      </w:tr>
      <w:tr w:rsidR="00F52FED" w:rsidRPr="00B0658A" w14:paraId="44A7A3D4" w14:textId="77777777" w:rsidTr="001E5E80">
        <w:trPr>
          <w:trHeight w:val="170"/>
        </w:trPr>
        <w:tc>
          <w:tcPr>
            <w:tcW w:w="0" w:type="auto"/>
            <w:shd w:val="clear" w:color="auto" w:fill="auto"/>
          </w:tcPr>
          <w:p w14:paraId="2863E8D1" w14:textId="77777777" w:rsidR="0070070D" w:rsidRPr="00B0658A" w:rsidRDefault="0070070D" w:rsidP="00004A41">
            <w:pPr>
              <w:spacing w:after="0" w:line="240" w:lineRule="auto"/>
              <w:rPr>
                <w:rFonts w:ascii="Times New Roman" w:hAnsi="Times New Roman"/>
                <w:sz w:val="20"/>
                <w:szCs w:val="20"/>
              </w:rPr>
            </w:pPr>
            <w:r w:rsidRPr="00B0658A">
              <w:rPr>
                <w:rFonts w:ascii="Times New Roman" w:hAnsi="Times New Roman"/>
                <w:sz w:val="18"/>
                <w:szCs w:val="18"/>
              </w:rPr>
              <w:t>6.8</w:t>
            </w:r>
          </w:p>
        </w:tc>
        <w:tc>
          <w:tcPr>
            <w:tcW w:w="3432" w:type="dxa"/>
            <w:shd w:val="clear" w:color="auto" w:fill="auto"/>
            <w:vAlign w:val="center"/>
          </w:tcPr>
          <w:p w14:paraId="1BE759D8" w14:textId="77777777" w:rsidR="0070070D" w:rsidRPr="00B0658A" w:rsidRDefault="0070070D" w:rsidP="00004A41">
            <w:pPr>
              <w:spacing w:after="0" w:line="240" w:lineRule="auto"/>
              <w:rPr>
                <w:rFonts w:ascii="Times New Roman" w:hAnsi="Times New Roman"/>
                <w:sz w:val="20"/>
                <w:szCs w:val="20"/>
              </w:rPr>
            </w:pPr>
            <w:r w:rsidRPr="00B0658A">
              <w:rPr>
                <w:rFonts w:ascii="Times New Roman" w:hAnsi="Times New Roman"/>
                <w:sz w:val="18"/>
                <w:szCs w:val="18"/>
              </w:rPr>
              <w:t>Офисные приложения/ Редакторы мультимедиа</w:t>
            </w:r>
          </w:p>
        </w:tc>
        <w:tc>
          <w:tcPr>
            <w:tcW w:w="1256" w:type="dxa"/>
          </w:tcPr>
          <w:p w14:paraId="156E64A0"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47170798"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598B3845"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4CFA980A" w14:textId="77777777" w:rsidR="0070070D" w:rsidRPr="00B0658A" w:rsidRDefault="0070070D" w:rsidP="00004A41">
            <w:pPr>
              <w:spacing w:after="0" w:line="240" w:lineRule="auto"/>
              <w:jc w:val="both"/>
              <w:rPr>
                <w:rFonts w:ascii="Times New Roman" w:hAnsi="Times New Roman"/>
                <w:i/>
                <w:iCs/>
                <w:sz w:val="20"/>
                <w:szCs w:val="20"/>
              </w:rPr>
            </w:pPr>
          </w:p>
        </w:tc>
      </w:tr>
      <w:tr w:rsidR="00F52FED" w:rsidRPr="00B0658A" w14:paraId="3255A03B" w14:textId="77777777" w:rsidTr="001E5E80">
        <w:trPr>
          <w:trHeight w:val="170"/>
        </w:trPr>
        <w:tc>
          <w:tcPr>
            <w:tcW w:w="0" w:type="auto"/>
            <w:shd w:val="clear" w:color="auto" w:fill="auto"/>
          </w:tcPr>
          <w:p w14:paraId="6E44E0F1" w14:textId="77777777" w:rsidR="0070070D" w:rsidRPr="00B0658A" w:rsidRDefault="0070070D" w:rsidP="00004A41">
            <w:pPr>
              <w:spacing w:after="0" w:line="240" w:lineRule="auto"/>
              <w:rPr>
                <w:rFonts w:ascii="Times New Roman" w:hAnsi="Times New Roman"/>
                <w:sz w:val="20"/>
                <w:szCs w:val="20"/>
              </w:rPr>
            </w:pPr>
            <w:r w:rsidRPr="00B0658A">
              <w:rPr>
                <w:rFonts w:ascii="Times New Roman" w:hAnsi="Times New Roman"/>
                <w:sz w:val="18"/>
                <w:szCs w:val="18"/>
              </w:rPr>
              <w:t>6.9</w:t>
            </w:r>
          </w:p>
        </w:tc>
        <w:tc>
          <w:tcPr>
            <w:tcW w:w="3432" w:type="dxa"/>
            <w:shd w:val="clear" w:color="auto" w:fill="auto"/>
            <w:vAlign w:val="center"/>
          </w:tcPr>
          <w:p w14:paraId="63767117" w14:textId="77777777" w:rsidR="0070070D" w:rsidRPr="00B0658A" w:rsidRDefault="0070070D" w:rsidP="00004A41">
            <w:pPr>
              <w:spacing w:after="0" w:line="240" w:lineRule="auto"/>
              <w:rPr>
                <w:rFonts w:ascii="Times New Roman" w:hAnsi="Times New Roman"/>
                <w:sz w:val="20"/>
                <w:szCs w:val="20"/>
              </w:rPr>
            </w:pPr>
            <w:r w:rsidRPr="00B0658A">
              <w:rPr>
                <w:rFonts w:ascii="Times New Roman" w:hAnsi="Times New Roman"/>
                <w:sz w:val="18"/>
                <w:szCs w:val="18"/>
              </w:rPr>
              <w:t>Офисные приложения/ Редакторы презентаций</w:t>
            </w:r>
          </w:p>
        </w:tc>
        <w:tc>
          <w:tcPr>
            <w:tcW w:w="1256" w:type="dxa"/>
          </w:tcPr>
          <w:p w14:paraId="51DD5CCA"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343D9EA1"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3AFB59E2"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57B4134F" w14:textId="77777777" w:rsidR="0070070D" w:rsidRPr="00B0658A" w:rsidRDefault="0070070D" w:rsidP="00004A41">
            <w:pPr>
              <w:spacing w:after="0" w:line="240" w:lineRule="auto"/>
              <w:jc w:val="both"/>
              <w:rPr>
                <w:rFonts w:ascii="Times New Roman" w:hAnsi="Times New Roman"/>
                <w:i/>
                <w:iCs/>
                <w:sz w:val="20"/>
                <w:szCs w:val="20"/>
              </w:rPr>
            </w:pPr>
          </w:p>
        </w:tc>
      </w:tr>
      <w:tr w:rsidR="00F52FED" w:rsidRPr="00B0658A" w14:paraId="46D38CCE" w14:textId="77777777" w:rsidTr="001E5E80">
        <w:trPr>
          <w:trHeight w:val="170"/>
        </w:trPr>
        <w:tc>
          <w:tcPr>
            <w:tcW w:w="0" w:type="auto"/>
            <w:shd w:val="clear" w:color="auto" w:fill="auto"/>
          </w:tcPr>
          <w:p w14:paraId="19F0CBCE" w14:textId="77777777" w:rsidR="0070070D" w:rsidRPr="00B0658A" w:rsidRDefault="0070070D" w:rsidP="00004A41">
            <w:pPr>
              <w:spacing w:after="0" w:line="240" w:lineRule="auto"/>
              <w:rPr>
                <w:rFonts w:ascii="Times New Roman" w:hAnsi="Times New Roman"/>
                <w:sz w:val="20"/>
                <w:szCs w:val="20"/>
              </w:rPr>
            </w:pPr>
            <w:r w:rsidRPr="00B0658A">
              <w:rPr>
                <w:rFonts w:ascii="Times New Roman" w:hAnsi="Times New Roman"/>
                <w:sz w:val="18"/>
                <w:szCs w:val="18"/>
              </w:rPr>
              <w:t>6.10</w:t>
            </w:r>
          </w:p>
        </w:tc>
        <w:tc>
          <w:tcPr>
            <w:tcW w:w="3432" w:type="dxa"/>
            <w:shd w:val="clear" w:color="auto" w:fill="auto"/>
            <w:vAlign w:val="center"/>
          </w:tcPr>
          <w:p w14:paraId="45C7658B" w14:textId="77777777" w:rsidR="0070070D" w:rsidRPr="00B0658A" w:rsidRDefault="0070070D" w:rsidP="00004A41">
            <w:pPr>
              <w:spacing w:after="0" w:line="240" w:lineRule="auto"/>
              <w:rPr>
                <w:rFonts w:ascii="Times New Roman" w:hAnsi="Times New Roman"/>
                <w:sz w:val="20"/>
                <w:szCs w:val="20"/>
              </w:rPr>
            </w:pPr>
            <w:r w:rsidRPr="00B0658A">
              <w:rPr>
                <w:rFonts w:ascii="Times New Roman" w:hAnsi="Times New Roman"/>
                <w:sz w:val="18"/>
                <w:szCs w:val="18"/>
              </w:rPr>
              <w:t>Офисные приложения/ Табличные редакторы</w:t>
            </w:r>
          </w:p>
        </w:tc>
        <w:tc>
          <w:tcPr>
            <w:tcW w:w="1256" w:type="dxa"/>
          </w:tcPr>
          <w:p w14:paraId="0D8F58D2"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4F4F232A"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2A04E8E9"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196806A4" w14:textId="77777777" w:rsidR="0070070D" w:rsidRPr="00B0658A" w:rsidRDefault="0070070D" w:rsidP="00004A41">
            <w:pPr>
              <w:spacing w:after="0" w:line="240" w:lineRule="auto"/>
              <w:jc w:val="both"/>
              <w:rPr>
                <w:rFonts w:ascii="Times New Roman" w:hAnsi="Times New Roman"/>
                <w:i/>
                <w:iCs/>
                <w:sz w:val="20"/>
                <w:szCs w:val="20"/>
              </w:rPr>
            </w:pPr>
          </w:p>
        </w:tc>
      </w:tr>
      <w:tr w:rsidR="00F52FED" w:rsidRPr="00B0658A" w14:paraId="21D13A54" w14:textId="77777777" w:rsidTr="001E5E80">
        <w:trPr>
          <w:trHeight w:val="170"/>
        </w:trPr>
        <w:tc>
          <w:tcPr>
            <w:tcW w:w="0" w:type="auto"/>
            <w:shd w:val="clear" w:color="auto" w:fill="auto"/>
          </w:tcPr>
          <w:p w14:paraId="3CCDA2C3" w14:textId="77777777" w:rsidR="0070070D" w:rsidRPr="00B0658A" w:rsidRDefault="0070070D" w:rsidP="00004A41">
            <w:pPr>
              <w:spacing w:after="0" w:line="240" w:lineRule="auto"/>
              <w:rPr>
                <w:rFonts w:ascii="Times New Roman" w:hAnsi="Times New Roman"/>
                <w:sz w:val="20"/>
                <w:szCs w:val="20"/>
              </w:rPr>
            </w:pPr>
            <w:r w:rsidRPr="00B0658A">
              <w:rPr>
                <w:rFonts w:ascii="Times New Roman" w:hAnsi="Times New Roman"/>
                <w:sz w:val="18"/>
                <w:szCs w:val="18"/>
              </w:rPr>
              <w:t>6.11</w:t>
            </w:r>
          </w:p>
        </w:tc>
        <w:tc>
          <w:tcPr>
            <w:tcW w:w="3432" w:type="dxa"/>
            <w:shd w:val="clear" w:color="auto" w:fill="auto"/>
            <w:vAlign w:val="center"/>
          </w:tcPr>
          <w:p w14:paraId="37E9EA35" w14:textId="77777777" w:rsidR="0070070D" w:rsidRPr="00B0658A" w:rsidRDefault="0070070D" w:rsidP="00004A41">
            <w:pPr>
              <w:spacing w:after="0" w:line="240" w:lineRule="auto"/>
              <w:rPr>
                <w:rFonts w:ascii="Times New Roman" w:hAnsi="Times New Roman"/>
                <w:sz w:val="20"/>
                <w:szCs w:val="20"/>
              </w:rPr>
            </w:pPr>
            <w:r w:rsidRPr="00B0658A">
              <w:rPr>
                <w:rFonts w:ascii="Times New Roman" w:hAnsi="Times New Roman"/>
                <w:sz w:val="18"/>
                <w:szCs w:val="18"/>
              </w:rPr>
              <w:t>Офисные приложения/ Текстовые редакторы</w:t>
            </w:r>
          </w:p>
        </w:tc>
        <w:tc>
          <w:tcPr>
            <w:tcW w:w="1256" w:type="dxa"/>
          </w:tcPr>
          <w:p w14:paraId="23CAC527"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34FA311A"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7D3A744E"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468CC793" w14:textId="77777777" w:rsidR="0070070D" w:rsidRPr="00B0658A" w:rsidRDefault="0070070D" w:rsidP="00004A41">
            <w:pPr>
              <w:spacing w:after="0" w:line="240" w:lineRule="auto"/>
              <w:jc w:val="both"/>
              <w:rPr>
                <w:rFonts w:ascii="Times New Roman" w:hAnsi="Times New Roman"/>
                <w:i/>
                <w:iCs/>
                <w:sz w:val="20"/>
                <w:szCs w:val="20"/>
              </w:rPr>
            </w:pPr>
          </w:p>
        </w:tc>
      </w:tr>
      <w:tr w:rsidR="00F52FED" w:rsidRPr="00B0658A" w14:paraId="5FE3C567" w14:textId="77777777" w:rsidTr="001E5E80">
        <w:trPr>
          <w:trHeight w:val="170"/>
        </w:trPr>
        <w:tc>
          <w:tcPr>
            <w:tcW w:w="0" w:type="auto"/>
            <w:shd w:val="clear" w:color="auto" w:fill="auto"/>
          </w:tcPr>
          <w:p w14:paraId="72B77FE1" w14:textId="77777777" w:rsidR="0070070D" w:rsidRPr="00B0658A" w:rsidRDefault="0070070D" w:rsidP="00004A41">
            <w:pPr>
              <w:spacing w:after="0" w:line="240" w:lineRule="auto"/>
              <w:rPr>
                <w:rFonts w:ascii="Times New Roman" w:hAnsi="Times New Roman"/>
                <w:sz w:val="20"/>
                <w:szCs w:val="20"/>
              </w:rPr>
            </w:pPr>
            <w:r w:rsidRPr="00B0658A">
              <w:rPr>
                <w:rFonts w:ascii="Times New Roman" w:hAnsi="Times New Roman"/>
                <w:sz w:val="18"/>
                <w:szCs w:val="18"/>
              </w:rPr>
              <w:t>6.12</w:t>
            </w:r>
          </w:p>
        </w:tc>
        <w:tc>
          <w:tcPr>
            <w:tcW w:w="3432" w:type="dxa"/>
            <w:shd w:val="clear" w:color="auto" w:fill="auto"/>
            <w:vAlign w:val="center"/>
          </w:tcPr>
          <w:p w14:paraId="04B1D301" w14:textId="77777777" w:rsidR="0070070D" w:rsidRPr="00B0658A" w:rsidRDefault="0070070D" w:rsidP="00004A41">
            <w:pPr>
              <w:spacing w:after="0" w:line="240" w:lineRule="auto"/>
              <w:rPr>
                <w:rFonts w:ascii="Times New Roman" w:hAnsi="Times New Roman"/>
                <w:sz w:val="20"/>
                <w:szCs w:val="20"/>
              </w:rPr>
            </w:pPr>
            <w:r w:rsidRPr="00B0658A">
              <w:rPr>
                <w:rFonts w:ascii="Times New Roman" w:hAnsi="Times New Roman"/>
                <w:sz w:val="18"/>
                <w:szCs w:val="18"/>
              </w:rPr>
              <w:t>Офисные приложения/ Программное обеспечение средств электронного документооборота</w:t>
            </w:r>
          </w:p>
        </w:tc>
        <w:tc>
          <w:tcPr>
            <w:tcW w:w="1256" w:type="dxa"/>
          </w:tcPr>
          <w:p w14:paraId="34F86F02"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39C7688F"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3202FEB5"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37F2278B" w14:textId="77777777" w:rsidR="0070070D" w:rsidRPr="00B0658A" w:rsidRDefault="0070070D" w:rsidP="00004A41">
            <w:pPr>
              <w:spacing w:after="0" w:line="240" w:lineRule="auto"/>
              <w:jc w:val="both"/>
              <w:rPr>
                <w:rFonts w:ascii="Times New Roman" w:hAnsi="Times New Roman"/>
                <w:i/>
                <w:iCs/>
                <w:sz w:val="20"/>
                <w:szCs w:val="20"/>
              </w:rPr>
            </w:pPr>
          </w:p>
        </w:tc>
      </w:tr>
      <w:tr w:rsidR="00F52FED" w:rsidRPr="00B0658A" w14:paraId="68AF47CE" w14:textId="77777777" w:rsidTr="001E5E80">
        <w:trPr>
          <w:trHeight w:val="170"/>
        </w:trPr>
        <w:tc>
          <w:tcPr>
            <w:tcW w:w="0" w:type="auto"/>
            <w:shd w:val="clear" w:color="auto" w:fill="auto"/>
          </w:tcPr>
          <w:p w14:paraId="4018EC51" w14:textId="77777777" w:rsidR="0070070D" w:rsidRPr="00B0658A" w:rsidRDefault="0070070D" w:rsidP="00004A41">
            <w:pPr>
              <w:spacing w:after="0" w:line="240" w:lineRule="auto"/>
              <w:rPr>
                <w:rFonts w:ascii="Times New Roman" w:hAnsi="Times New Roman"/>
                <w:sz w:val="20"/>
                <w:szCs w:val="20"/>
              </w:rPr>
            </w:pPr>
            <w:r w:rsidRPr="00B0658A">
              <w:rPr>
                <w:rFonts w:ascii="Times New Roman" w:hAnsi="Times New Roman"/>
                <w:sz w:val="18"/>
                <w:szCs w:val="18"/>
              </w:rPr>
              <w:t>7.1</w:t>
            </w:r>
          </w:p>
        </w:tc>
        <w:tc>
          <w:tcPr>
            <w:tcW w:w="3432" w:type="dxa"/>
            <w:shd w:val="clear" w:color="auto" w:fill="auto"/>
            <w:vAlign w:val="center"/>
          </w:tcPr>
          <w:p w14:paraId="172EA87C" w14:textId="77777777" w:rsidR="0070070D" w:rsidRPr="00B0658A" w:rsidRDefault="0070070D" w:rsidP="00004A41">
            <w:pPr>
              <w:spacing w:after="0" w:line="240" w:lineRule="auto"/>
              <w:rPr>
                <w:rFonts w:ascii="Times New Roman" w:hAnsi="Times New Roman"/>
                <w:sz w:val="20"/>
                <w:szCs w:val="20"/>
              </w:rPr>
            </w:pPr>
            <w:r w:rsidRPr="00B0658A">
              <w:rPr>
                <w:rFonts w:ascii="Times New Roman" w:hAnsi="Times New Roman"/>
                <w:sz w:val="18"/>
                <w:szCs w:val="18"/>
              </w:rPr>
              <w:t xml:space="preserve">Лингвистическое программное обеспечение/ Парсеры </w:t>
            </w:r>
            <w:r w:rsidRPr="00B0658A">
              <w:rPr>
                <w:rFonts w:ascii="Times New Roman" w:hAnsi="Times New Roman"/>
                <w:sz w:val="18"/>
                <w:szCs w:val="18"/>
              </w:rPr>
              <w:br/>
              <w:t>и семантические анализаторы</w:t>
            </w:r>
          </w:p>
        </w:tc>
        <w:tc>
          <w:tcPr>
            <w:tcW w:w="1256" w:type="dxa"/>
          </w:tcPr>
          <w:p w14:paraId="74025457"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186A8FC2"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4B19CC95"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37CA586E" w14:textId="77777777" w:rsidR="0070070D" w:rsidRPr="00B0658A" w:rsidRDefault="0070070D" w:rsidP="00004A41">
            <w:pPr>
              <w:spacing w:after="0" w:line="240" w:lineRule="auto"/>
              <w:jc w:val="both"/>
              <w:rPr>
                <w:rFonts w:ascii="Times New Roman" w:hAnsi="Times New Roman"/>
                <w:i/>
                <w:iCs/>
                <w:sz w:val="20"/>
                <w:szCs w:val="20"/>
              </w:rPr>
            </w:pPr>
          </w:p>
        </w:tc>
      </w:tr>
      <w:tr w:rsidR="00F52FED" w:rsidRPr="00B0658A" w14:paraId="4FEDC860" w14:textId="77777777" w:rsidTr="001E5E80">
        <w:trPr>
          <w:trHeight w:val="170"/>
        </w:trPr>
        <w:tc>
          <w:tcPr>
            <w:tcW w:w="0" w:type="auto"/>
            <w:shd w:val="clear" w:color="auto" w:fill="auto"/>
          </w:tcPr>
          <w:p w14:paraId="27628D7E" w14:textId="77777777" w:rsidR="0070070D" w:rsidRPr="00B0658A" w:rsidRDefault="0070070D" w:rsidP="00004A41">
            <w:pPr>
              <w:spacing w:after="0" w:line="240" w:lineRule="auto"/>
              <w:rPr>
                <w:rFonts w:ascii="Times New Roman" w:hAnsi="Times New Roman"/>
                <w:sz w:val="20"/>
                <w:szCs w:val="20"/>
              </w:rPr>
            </w:pPr>
            <w:r w:rsidRPr="00B0658A">
              <w:rPr>
                <w:rFonts w:ascii="Times New Roman" w:hAnsi="Times New Roman"/>
                <w:sz w:val="18"/>
                <w:szCs w:val="18"/>
              </w:rPr>
              <w:t>7.2</w:t>
            </w:r>
          </w:p>
        </w:tc>
        <w:tc>
          <w:tcPr>
            <w:tcW w:w="3432" w:type="dxa"/>
            <w:shd w:val="clear" w:color="auto" w:fill="auto"/>
            <w:vAlign w:val="center"/>
          </w:tcPr>
          <w:p w14:paraId="0ADAE495" w14:textId="77777777" w:rsidR="0070070D" w:rsidRPr="00B0658A" w:rsidRDefault="0070070D" w:rsidP="00004A41">
            <w:pPr>
              <w:spacing w:after="0" w:line="240" w:lineRule="auto"/>
              <w:rPr>
                <w:rFonts w:ascii="Times New Roman" w:hAnsi="Times New Roman"/>
                <w:sz w:val="20"/>
                <w:szCs w:val="20"/>
              </w:rPr>
            </w:pPr>
            <w:r w:rsidRPr="00B0658A">
              <w:rPr>
                <w:rFonts w:ascii="Times New Roman" w:hAnsi="Times New Roman"/>
                <w:sz w:val="18"/>
                <w:szCs w:val="18"/>
              </w:rPr>
              <w:t>Лингвистическое программное обеспечение/ Средства речевого перевода</w:t>
            </w:r>
          </w:p>
        </w:tc>
        <w:tc>
          <w:tcPr>
            <w:tcW w:w="1256" w:type="dxa"/>
          </w:tcPr>
          <w:p w14:paraId="0A7FD863"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659D008A"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532A9F46"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252D24E9" w14:textId="77777777" w:rsidR="0070070D" w:rsidRPr="00B0658A" w:rsidRDefault="0070070D" w:rsidP="00004A41">
            <w:pPr>
              <w:spacing w:after="0" w:line="240" w:lineRule="auto"/>
              <w:jc w:val="both"/>
              <w:rPr>
                <w:rFonts w:ascii="Times New Roman" w:hAnsi="Times New Roman"/>
                <w:i/>
                <w:iCs/>
                <w:sz w:val="20"/>
                <w:szCs w:val="20"/>
              </w:rPr>
            </w:pPr>
          </w:p>
        </w:tc>
      </w:tr>
      <w:tr w:rsidR="00F52FED" w:rsidRPr="00B0658A" w14:paraId="6B5B87B8" w14:textId="77777777" w:rsidTr="001E5E80">
        <w:trPr>
          <w:trHeight w:val="170"/>
        </w:trPr>
        <w:tc>
          <w:tcPr>
            <w:tcW w:w="0" w:type="auto"/>
            <w:shd w:val="clear" w:color="auto" w:fill="auto"/>
          </w:tcPr>
          <w:p w14:paraId="702CDA85" w14:textId="77777777" w:rsidR="0070070D" w:rsidRPr="00B0658A" w:rsidRDefault="0070070D" w:rsidP="00004A41">
            <w:pPr>
              <w:spacing w:after="0" w:line="240" w:lineRule="auto"/>
              <w:rPr>
                <w:rFonts w:ascii="Times New Roman" w:hAnsi="Times New Roman"/>
                <w:sz w:val="20"/>
                <w:szCs w:val="20"/>
              </w:rPr>
            </w:pPr>
            <w:r w:rsidRPr="00B0658A">
              <w:rPr>
                <w:rFonts w:ascii="Times New Roman" w:hAnsi="Times New Roman"/>
                <w:sz w:val="18"/>
                <w:szCs w:val="18"/>
              </w:rPr>
              <w:t>7.3</w:t>
            </w:r>
          </w:p>
        </w:tc>
        <w:tc>
          <w:tcPr>
            <w:tcW w:w="3432" w:type="dxa"/>
            <w:shd w:val="clear" w:color="auto" w:fill="auto"/>
            <w:vAlign w:val="center"/>
          </w:tcPr>
          <w:p w14:paraId="03C823BF" w14:textId="77777777" w:rsidR="0070070D" w:rsidRPr="00B0658A" w:rsidRDefault="0070070D" w:rsidP="00004A41">
            <w:pPr>
              <w:spacing w:after="0" w:line="240" w:lineRule="auto"/>
              <w:rPr>
                <w:rFonts w:ascii="Times New Roman" w:hAnsi="Times New Roman"/>
                <w:sz w:val="20"/>
                <w:szCs w:val="20"/>
              </w:rPr>
            </w:pPr>
            <w:r w:rsidRPr="00B0658A">
              <w:rPr>
                <w:rFonts w:ascii="Times New Roman" w:hAnsi="Times New Roman"/>
                <w:sz w:val="18"/>
                <w:szCs w:val="18"/>
              </w:rPr>
              <w:t>Лингвистическое программное обеспечение/ Средства распознавания символов</w:t>
            </w:r>
          </w:p>
        </w:tc>
        <w:tc>
          <w:tcPr>
            <w:tcW w:w="1256" w:type="dxa"/>
          </w:tcPr>
          <w:p w14:paraId="300FFA94"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700CCF56"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367B12B3"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2A892BA1" w14:textId="77777777" w:rsidR="0070070D" w:rsidRPr="00B0658A" w:rsidRDefault="0070070D" w:rsidP="00004A41">
            <w:pPr>
              <w:spacing w:after="0" w:line="240" w:lineRule="auto"/>
              <w:jc w:val="both"/>
              <w:rPr>
                <w:rFonts w:ascii="Times New Roman" w:hAnsi="Times New Roman"/>
                <w:i/>
                <w:iCs/>
                <w:sz w:val="20"/>
                <w:szCs w:val="20"/>
              </w:rPr>
            </w:pPr>
          </w:p>
        </w:tc>
      </w:tr>
      <w:tr w:rsidR="00F52FED" w:rsidRPr="00B0658A" w14:paraId="6BC73345" w14:textId="77777777" w:rsidTr="001E5E80">
        <w:trPr>
          <w:trHeight w:val="170"/>
        </w:trPr>
        <w:tc>
          <w:tcPr>
            <w:tcW w:w="0" w:type="auto"/>
            <w:shd w:val="clear" w:color="auto" w:fill="auto"/>
          </w:tcPr>
          <w:p w14:paraId="31727B95" w14:textId="77777777" w:rsidR="0070070D" w:rsidRPr="00B0658A" w:rsidRDefault="0070070D" w:rsidP="00004A41">
            <w:pPr>
              <w:spacing w:after="0" w:line="240" w:lineRule="auto"/>
              <w:rPr>
                <w:rFonts w:ascii="Times New Roman" w:hAnsi="Times New Roman"/>
                <w:sz w:val="20"/>
                <w:szCs w:val="20"/>
              </w:rPr>
            </w:pPr>
            <w:r w:rsidRPr="00B0658A">
              <w:rPr>
                <w:rFonts w:ascii="Times New Roman" w:hAnsi="Times New Roman"/>
                <w:sz w:val="18"/>
                <w:szCs w:val="18"/>
              </w:rPr>
              <w:t>7.4</w:t>
            </w:r>
          </w:p>
        </w:tc>
        <w:tc>
          <w:tcPr>
            <w:tcW w:w="3432" w:type="dxa"/>
            <w:shd w:val="clear" w:color="auto" w:fill="auto"/>
            <w:vAlign w:val="center"/>
          </w:tcPr>
          <w:p w14:paraId="0FFBBF99" w14:textId="77777777" w:rsidR="0070070D" w:rsidRPr="00B0658A" w:rsidRDefault="0070070D" w:rsidP="00004A41">
            <w:pPr>
              <w:spacing w:after="0" w:line="240" w:lineRule="auto"/>
              <w:rPr>
                <w:rFonts w:ascii="Times New Roman" w:hAnsi="Times New Roman"/>
                <w:sz w:val="20"/>
                <w:szCs w:val="20"/>
              </w:rPr>
            </w:pPr>
            <w:r w:rsidRPr="00B0658A">
              <w:rPr>
                <w:rFonts w:ascii="Times New Roman" w:hAnsi="Times New Roman"/>
                <w:sz w:val="18"/>
                <w:szCs w:val="18"/>
              </w:rPr>
              <w:t>Лингвистическое программное обеспечение/ Средства распознавания и синтеза речи</w:t>
            </w:r>
          </w:p>
        </w:tc>
        <w:tc>
          <w:tcPr>
            <w:tcW w:w="1256" w:type="dxa"/>
          </w:tcPr>
          <w:p w14:paraId="47F21A76"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2DEDFE74"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1E477CF6"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3791B485" w14:textId="77777777" w:rsidR="0070070D" w:rsidRPr="00B0658A" w:rsidRDefault="0070070D" w:rsidP="00004A41">
            <w:pPr>
              <w:spacing w:after="0" w:line="240" w:lineRule="auto"/>
              <w:jc w:val="both"/>
              <w:rPr>
                <w:rFonts w:ascii="Times New Roman" w:hAnsi="Times New Roman"/>
                <w:i/>
                <w:iCs/>
                <w:sz w:val="20"/>
                <w:szCs w:val="20"/>
              </w:rPr>
            </w:pPr>
          </w:p>
        </w:tc>
      </w:tr>
      <w:tr w:rsidR="00F52FED" w:rsidRPr="00B0658A" w14:paraId="4724531B" w14:textId="77777777" w:rsidTr="001E5E80">
        <w:trPr>
          <w:trHeight w:val="170"/>
        </w:trPr>
        <w:tc>
          <w:tcPr>
            <w:tcW w:w="0" w:type="auto"/>
            <w:shd w:val="clear" w:color="auto" w:fill="auto"/>
          </w:tcPr>
          <w:p w14:paraId="5406DFEB" w14:textId="77777777" w:rsidR="0070070D" w:rsidRPr="00B0658A" w:rsidRDefault="0070070D" w:rsidP="00004A41">
            <w:pPr>
              <w:spacing w:after="0" w:line="240" w:lineRule="auto"/>
              <w:rPr>
                <w:rFonts w:ascii="Times New Roman" w:hAnsi="Times New Roman"/>
                <w:sz w:val="20"/>
                <w:szCs w:val="20"/>
              </w:rPr>
            </w:pPr>
            <w:r w:rsidRPr="00B0658A">
              <w:rPr>
                <w:rFonts w:ascii="Times New Roman" w:hAnsi="Times New Roman"/>
                <w:sz w:val="18"/>
                <w:szCs w:val="18"/>
              </w:rPr>
              <w:t>7.5</w:t>
            </w:r>
          </w:p>
        </w:tc>
        <w:tc>
          <w:tcPr>
            <w:tcW w:w="3432" w:type="dxa"/>
            <w:shd w:val="clear" w:color="auto" w:fill="auto"/>
            <w:vAlign w:val="center"/>
          </w:tcPr>
          <w:p w14:paraId="26C90BF8" w14:textId="77777777" w:rsidR="0070070D" w:rsidRPr="00B0658A" w:rsidRDefault="0070070D" w:rsidP="00004A41">
            <w:pPr>
              <w:spacing w:after="0" w:line="240" w:lineRule="auto"/>
              <w:rPr>
                <w:rFonts w:ascii="Times New Roman" w:hAnsi="Times New Roman"/>
                <w:sz w:val="20"/>
                <w:szCs w:val="20"/>
              </w:rPr>
            </w:pPr>
            <w:r w:rsidRPr="00B0658A">
              <w:rPr>
                <w:rFonts w:ascii="Times New Roman" w:hAnsi="Times New Roman"/>
                <w:sz w:val="18"/>
                <w:szCs w:val="18"/>
              </w:rPr>
              <w:t>Лингвистическое программное обеспечение/ Средства автоматизированного перевода</w:t>
            </w:r>
          </w:p>
        </w:tc>
        <w:tc>
          <w:tcPr>
            <w:tcW w:w="1256" w:type="dxa"/>
          </w:tcPr>
          <w:p w14:paraId="09DCFB85"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7DA9C94C"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759C5A59"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0A42FE59" w14:textId="77777777" w:rsidR="0070070D" w:rsidRPr="00B0658A" w:rsidRDefault="0070070D" w:rsidP="00004A41">
            <w:pPr>
              <w:spacing w:after="0" w:line="240" w:lineRule="auto"/>
              <w:jc w:val="both"/>
              <w:rPr>
                <w:rFonts w:ascii="Times New Roman" w:hAnsi="Times New Roman"/>
                <w:i/>
                <w:iCs/>
                <w:sz w:val="20"/>
                <w:szCs w:val="20"/>
              </w:rPr>
            </w:pPr>
          </w:p>
        </w:tc>
      </w:tr>
      <w:tr w:rsidR="00F52FED" w:rsidRPr="00B0658A" w14:paraId="59BD5300" w14:textId="77777777" w:rsidTr="001E5E80">
        <w:trPr>
          <w:trHeight w:val="170"/>
        </w:trPr>
        <w:tc>
          <w:tcPr>
            <w:tcW w:w="0" w:type="auto"/>
            <w:shd w:val="clear" w:color="auto" w:fill="auto"/>
          </w:tcPr>
          <w:p w14:paraId="5795042E" w14:textId="77777777" w:rsidR="0070070D" w:rsidRPr="00B0658A" w:rsidRDefault="0070070D" w:rsidP="00004A41">
            <w:pPr>
              <w:spacing w:after="0" w:line="240" w:lineRule="auto"/>
              <w:rPr>
                <w:rFonts w:ascii="Times New Roman" w:hAnsi="Times New Roman"/>
                <w:sz w:val="20"/>
                <w:szCs w:val="20"/>
              </w:rPr>
            </w:pPr>
            <w:r w:rsidRPr="00B0658A">
              <w:rPr>
                <w:rFonts w:ascii="Times New Roman" w:hAnsi="Times New Roman"/>
                <w:sz w:val="18"/>
                <w:szCs w:val="18"/>
              </w:rPr>
              <w:t>7.6</w:t>
            </w:r>
          </w:p>
        </w:tc>
        <w:tc>
          <w:tcPr>
            <w:tcW w:w="3432" w:type="dxa"/>
            <w:shd w:val="clear" w:color="auto" w:fill="auto"/>
            <w:vAlign w:val="center"/>
          </w:tcPr>
          <w:p w14:paraId="0ACE3C98" w14:textId="77777777" w:rsidR="0070070D" w:rsidRPr="00B0658A" w:rsidRDefault="0070070D" w:rsidP="00004A41">
            <w:pPr>
              <w:spacing w:after="0" w:line="240" w:lineRule="auto"/>
              <w:rPr>
                <w:rFonts w:ascii="Times New Roman" w:hAnsi="Times New Roman"/>
                <w:sz w:val="20"/>
                <w:szCs w:val="20"/>
              </w:rPr>
            </w:pPr>
            <w:r w:rsidRPr="00B0658A">
              <w:rPr>
                <w:rFonts w:ascii="Times New Roman" w:hAnsi="Times New Roman"/>
                <w:sz w:val="18"/>
                <w:szCs w:val="18"/>
              </w:rPr>
              <w:t>Лингвистическое программное обеспечение/ Электронные словари</w:t>
            </w:r>
          </w:p>
        </w:tc>
        <w:tc>
          <w:tcPr>
            <w:tcW w:w="1256" w:type="dxa"/>
          </w:tcPr>
          <w:p w14:paraId="24F74B91"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3E1AC3EE"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23DB5B87"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31530A42" w14:textId="77777777" w:rsidR="0070070D" w:rsidRPr="00B0658A" w:rsidRDefault="0070070D" w:rsidP="00004A41">
            <w:pPr>
              <w:spacing w:after="0" w:line="240" w:lineRule="auto"/>
              <w:jc w:val="both"/>
              <w:rPr>
                <w:rFonts w:ascii="Times New Roman" w:hAnsi="Times New Roman"/>
                <w:i/>
                <w:iCs/>
                <w:sz w:val="20"/>
                <w:szCs w:val="20"/>
              </w:rPr>
            </w:pPr>
          </w:p>
        </w:tc>
      </w:tr>
      <w:tr w:rsidR="00F52FED" w:rsidRPr="00B0658A" w14:paraId="651206B3" w14:textId="77777777" w:rsidTr="001E5E80">
        <w:trPr>
          <w:trHeight w:val="170"/>
        </w:trPr>
        <w:tc>
          <w:tcPr>
            <w:tcW w:w="0" w:type="auto"/>
            <w:shd w:val="clear" w:color="auto" w:fill="auto"/>
          </w:tcPr>
          <w:p w14:paraId="4F261CB6" w14:textId="77777777" w:rsidR="0070070D" w:rsidRPr="00B0658A" w:rsidRDefault="0070070D" w:rsidP="00004A41">
            <w:pPr>
              <w:spacing w:after="0" w:line="240" w:lineRule="auto"/>
              <w:rPr>
                <w:rFonts w:ascii="Times New Roman" w:hAnsi="Times New Roman"/>
                <w:sz w:val="20"/>
                <w:szCs w:val="20"/>
              </w:rPr>
            </w:pPr>
            <w:r w:rsidRPr="00B0658A">
              <w:rPr>
                <w:rFonts w:ascii="Times New Roman" w:hAnsi="Times New Roman"/>
                <w:sz w:val="18"/>
                <w:szCs w:val="18"/>
              </w:rPr>
              <w:t>7.7</w:t>
            </w:r>
          </w:p>
        </w:tc>
        <w:tc>
          <w:tcPr>
            <w:tcW w:w="3432" w:type="dxa"/>
            <w:shd w:val="clear" w:color="auto" w:fill="auto"/>
            <w:vAlign w:val="center"/>
          </w:tcPr>
          <w:p w14:paraId="042859AC" w14:textId="77777777" w:rsidR="0070070D" w:rsidRPr="00B0658A" w:rsidRDefault="0070070D" w:rsidP="00004A41">
            <w:pPr>
              <w:spacing w:after="0" w:line="240" w:lineRule="auto"/>
              <w:rPr>
                <w:rFonts w:ascii="Times New Roman" w:hAnsi="Times New Roman"/>
                <w:sz w:val="20"/>
                <w:szCs w:val="20"/>
              </w:rPr>
            </w:pPr>
            <w:r w:rsidRPr="00B0658A">
              <w:rPr>
                <w:rFonts w:ascii="Times New Roman" w:hAnsi="Times New Roman"/>
                <w:sz w:val="18"/>
                <w:szCs w:val="18"/>
              </w:rPr>
              <w:t>Лингвистическое программное обеспечение/ Средства проверки правописания</w:t>
            </w:r>
          </w:p>
        </w:tc>
        <w:tc>
          <w:tcPr>
            <w:tcW w:w="1256" w:type="dxa"/>
          </w:tcPr>
          <w:p w14:paraId="1B04D003"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22ACC33B"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58CA747E"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69E3D93E" w14:textId="77777777" w:rsidR="0070070D" w:rsidRPr="00B0658A" w:rsidRDefault="0070070D" w:rsidP="00004A41">
            <w:pPr>
              <w:spacing w:after="0" w:line="240" w:lineRule="auto"/>
              <w:jc w:val="both"/>
              <w:rPr>
                <w:rFonts w:ascii="Times New Roman" w:hAnsi="Times New Roman"/>
                <w:i/>
                <w:iCs/>
                <w:sz w:val="20"/>
                <w:szCs w:val="20"/>
              </w:rPr>
            </w:pPr>
          </w:p>
        </w:tc>
      </w:tr>
      <w:tr w:rsidR="00F52FED" w:rsidRPr="00B0658A" w14:paraId="226B067E" w14:textId="77777777" w:rsidTr="001E5E80">
        <w:trPr>
          <w:trHeight w:val="170"/>
        </w:trPr>
        <w:tc>
          <w:tcPr>
            <w:tcW w:w="0" w:type="auto"/>
            <w:shd w:val="clear" w:color="auto" w:fill="auto"/>
          </w:tcPr>
          <w:p w14:paraId="7F97DF6F" w14:textId="77777777" w:rsidR="0070070D" w:rsidRPr="00B0658A" w:rsidRDefault="0070070D" w:rsidP="00004A41">
            <w:pPr>
              <w:spacing w:after="0" w:line="240" w:lineRule="auto"/>
              <w:rPr>
                <w:rFonts w:ascii="Times New Roman" w:hAnsi="Times New Roman"/>
                <w:sz w:val="20"/>
                <w:szCs w:val="20"/>
              </w:rPr>
            </w:pPr>
            <w:r w:rsidRPr="00B0658A">
              <w:rPr>
                <w:rFonts w:ascii="Times New Roman" w:hAnsi="Times New Roman"/>
                <w:sz w:val="18"/>
                <w:szCs w:val="18"/>
              </w:rPr>
              <w:lastRenderedPageBreak/>
              <w:t>8.1</w:t>
            </w:r>
          </w:p>
        </w:tc>
        <w:tc>
          <w:tcPr>
            <w:tcW w:w="3432" w:type="dxa"/>
            <w:shd w:val="clear" w:color="auto" w:fill="auto"/>
            <w:vAlign w:val="center"/>
          </w:tcPr>
          <w:p w14:paraId="0063A070" w14:textId="77777777" w:rsidR="0070070D" w:rsidRPr="00B0658A" w:rsidRDefault="0070070D" w:rsidP="00004A41">
            <w:pPr>
              <w:spacing w:after="0" w:line="240" w:lineRule="auto"/>
              <w:rPr>
                <w:rFonts w:ascii="Times New Roman" w:hAnsi="Times New Roman"/>
                <w:sz w:val="20"/>
                <w:szCs w:val="20"/>
              </w:rPr>
            </w:pPr>
            <w:r w:rsidRPr="00B0658A">
              <w:rPr>
                <w:rFonts w:ascii="Times New Roman" w:hAnsi="Times New Roman"/>
                <w:sz w:val="18"/>
                <w:szCs w:val="18"/>
              </w:rPr>
              <w:t xml:space="preserve">Промышленное программное обеспечение/ Средства управления жизненным циклом изделия (PLM) </w:t>
            </w:r>
          </w:p>
        </w:tc>
        <w:tc>
          <w:tcPr>
            <w:tcW w:w="1256" w:type="dxa"/>
          </w:tcPr>
          <w:p w14:paraId="090E8696"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0D4DEE2E"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01B719B8"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68626935" w14:textId="77777777" w:rsidR="0070070D" w:rsidRPr="00B0658A" w:rsidRDefault="0070070D" w:rsidP="00004A41">
            <w:pPr>
              <w:spacing w:after="0" w:line="240" w:lineRule="auto"/>
              <w:jc w:val="both"/>
              <w:rPr>
                <w:rFonts w:ascii="Times New Roman" w:hAnsi="Times New Roman"/>
                <w:i/>
                <w:iCs/>
                <w:sz w:val="20"/>
                <w:szCs w:val="20"/>
              </w:rPr>
            </w:pPr>
          </w:p>
        </w:tc>
      </w:tr>
      <w:tr w:rsidR="00F52FED" w:rsidRPr="00B0658A" w14:paraId="7518A85D" w14:textId="77777777" w:rsidTr="001E5E80">
        <w:trPr>
          <w:trHeight w:val="170"/>
        </w:trPr>
        <w:tc>
          <w:tcPr>
            <w:tcW w:w="0" w:type="auto"/>
            <w:shd w:val="clear" w:color="auto" w:fill="auto"/>
          </w:tcPr>
          <w:p w14:paraId="7EE4CEB6" w14:textId="77777777" w:rsidR="0070070D" w:rsidRPr="00B0658A" w:rsidRDefault="0070070D" w:rsidP="00004A41">
            <w:pPr>
              <w:spacing w:after="0" w:line="240" w:lineRule="auto"/>
              <w:rPr>
                <w:rFonts w:ascii="Times New Roman" w:hAnsi="Times New Roman"/>
                <w:sz w:val="20"/>
                <w:szCs w:val="20"/>
              </w:rPr>
            </w:pPr>
            <w:r w:rsidRPr="00B0658A">
              <w:rPr>
                <w:rFonts w:ascii="Times New Roman" w:hAnsi="Times New Roman"/>
                <w:sz w:val="18"/>
                <w:szCs w:val="18"/>
              </w:rPr>
              <w:t>8.2</w:t>
            </w:r>
          </w:p>
        </w:tc>
        <w:tc>
          <w:tcPr>
            <w:tcW w:w="3432" w:type="dxa"/>
            <w:shd w:val="clear" w:color="auto" w:fill="auto"/>
            <w:vAlign w:val="center"/>
          </w:tcPr>
          <w:p w14:paraId="2ADB0C23" w14:textId="77777777" w:rsidR="0070070D" w:rsidRPr="00B0658A" w:rsidRDefault="0070070D" w:rsidP="00004A41">
            <w:pPr>
              <w:spacing w:after="0" w:line="240" w:lineRule="auto"/>
              <w:rPr>
                <w:rFonts w:ascii="Times New Roman" w:hAnsi="Times New Roman"/>
                <w:sz w:val="20"/>
                <w:szCs w:val="20"/>
              </w:rPr>
            </w:pPr>
            <w:r w:rsidRPr="00B0658A">
              <w:rPr>
                <w:rFonts w:ascii="Times New Roman" w:hAnsi="Times New Roman"/>
                <w:sz w:val="18"/>
                <w:szCs w:val="18"/>
              </w:rPr>
              <w:t>Промышленное программное обеспечение/ Универсальные машиностроительные средства автоматизированного проектирования (MCAD)</w:t>
            </w:r>
          </w:p>
        </w:tc>
        <w:tc>
          <w:tcPr>
            <w:tcW w:w="1256" w:type="dxa"/>
          </w:tcPr>
          <w:p w14:paraId="306D6379"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6F8DDABE"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300D974C"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14720439" w14:textId="77777777" w:rsidR="0070070D" w:rsidRPr="00B0658A" w:rsidRDefault="0070070D" w:rsidP="00004A41">
            <w:pPr>
              <w:spacing w:after="0" w:line="240" w:lineRule="auto"/>
              <w:jc w:val="both"/>
              <w:rPr>
                <w:rFonts w:ascii="Times New Roman" w:hAnsi="Times New Roman"/>
                <w:i/>
                <w:iCs/>
                <w:sz w:val="20"/>
                <w:szCs w:val="20"/>
              </w:rPr>
            </w:pPr>
          </w:p>
        </w:tc>
      </w:tr>
      <w:tr w:rsidR="00F52FED" w:rsidRPr="00B0658A" w14:paraId="18727264" w14:textId="77777777" w:rsidTr="001E5E80">
        <w:trPr>
          <w:trHeight w:val="170"/>
        </w:trPr>
        <w:tc>
          <w:tcPr>
            <w:tcW w:w="0" w:type="auto"/>
            <w:shd w:val="clear" w:color="auto" w:fill="auto"/>
          </w:tcPr>
          <w:p w14:paraId="4DFFF7B0" w14:textId="77777777" w:rsidR="0070070D" w:rsidRPr="00B0658A" w:rsidRDefault="0070070D" w:rsidP="00004A41">
            <w:pPr>
              <w:spacing w:after="0" w:line="240" w:lineRule="auto"/>
              <w:rPr>
                <w:rFonts w:ascii="Times New Roman" w:hAnsi="Times New Roman"/>
                <w:sz w:val="20"/>
                <w:szCs w:val="20"/>
              </w:rPr>
            </w:pPr>
            <w:r w:rsidRPr="00B0658A">
              <w:rPr>
                <w:rFonts w:ascii="Times New Roman" w:hAnsi="Times New Roman"/>
                <w:sz w:val="18"/>
                <w:szCs w:val="18"/>
              </w:rPr>
              <w:t>8.3</w:t>
            </w:r>
          </w:p>
        </w:tc>
        <w:tc>
          <w:tcPr>
            <w:tcW w:w="3432" w:type="dxa"/>
            <w:shd w:val="clear" w:color="auto" w:fill="auto"/>
            <w:vAlign w:val="center"/>
          </w:tcPr>
          <w:p w14:paraId="6FCDF72C" w14:textId="77777777" w:rsidR="0070070D" w:rsidRPr="00B0658A" w:rsidRDefault="0070070D" w:rsidP="00004A41">
            <w:pPr>
              <w:spacing w:after="0" w:line="240" w:lineRule="auto"/>
              <w:rPr>
                <w:rFonts w:ascii="Times New Roman" w:hAnsi="Times New Roman"/>
                <w:sz w:val="20"/>
                <w:szCs w:val="20"/>
              </w:rPr>
            </w:pPr>
            <w:r w:rsidRPr="00B0658A">
              <w:rPr>
                <w:rFonts w:ascii="Times New Roman" w:hAnsi="Times New Roman"/>
                <w:sz w:val="18"/>
                <w:szCs w:val="18"/>
              </w:rPr>
              <w:t>Промышленное программное обеспечение/ Средства автоматизированного проектирования (CAD)</w:t>
            </w:r>
          </w:p>
        </w:tc>
        <w:tc>
          <w:tcPr>
            <w:tcW w:w="1256" w:type="dxa"/>
          </w:tcPr>
          <w:p w14:paraId="4B9043D3"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7886E4C5"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6A0341B7"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19FCF5E8" w14:textId="77777777" w:rsidR="0070070D" w:rsidRPr="00B0658A" w:rsidRDefault="0070070D" w:rsidP="00004A41">
            <w:pPr>
              <w:spacing w:after="0" w:line="240" w:lineRule="auto"/>
              <w:jc w:val="both"/>
              <w:rPr>
                <w:rFonts w:ascii="Times New Roman" w:hAnsi="Times New Roman"/>
                <w:i/>
                <w:iCs/>
                <w:sz w:val="20"/>
                <w:szCs w:val="20"/>
              </w:rPr>
            </w:pPr>
          </w:p>
        </w:tc>
      </w:tr>
      <w:tr w:rsidR="00F52FED" w:rsidRPr="00B0658A" w14:paraId="356388DB" w14:textId="77777777" w:rsidTr="001E5E80">
        <w:trPr>
          <w:trHeight w:val="170"/>
        </w:trPr>
        <w:tc>
          <w:tcPr>
            <w:tcW w:w="0" w:type="auto"/>
            <w:shd w:val="clear" w:color="auto" w:fill="auto"/>
          </w:tcPr>
          <w:p w14:paraId="799B2723" w14:textId="77777777" w:rsidR="0070070D" w:rsidRPr="00B0658A" w:rsidRDefault="0070070D" w:rsidP="00004A41">
            <w:pPr>
              <w:spacing w:after="0" w:line="240" w:lineRule="auto"/>
              <w:rPr>
                <w:rFonts w:ascii="Times New Roman" w:hAnsi="Times New Roman"/>
                <w:sz w:val="20"/>
                <w:szCs w:val="20"/>
              </w:rPr>
            </w:pPr>
            <w:r w:rsidRPr="00B0658A">
              <w:rPr>
                <w:rFonts w:ascii="Times New Roman" w:hAnsi="Times New Roman"/>
                <w:sz w:val="18"/>
                <w:szCs w:val="18"/>
              </w:rPr>
              <w:t>8.4</w:t>
            </w:r>
          </w:p>
        </w:tc>
        <w:tc>
          <w:tcPr>
            <w:tcW w:w="3432" w:type="dxa"/>
            <w:shd w:val="clear" w:color="auto" w:fill="auto"/>
            <w:vAlign w:val="center"/>
          </w:tcPr>
          <w:p w14:paraId="50396E7D" w14:textId="77777777" w:rsidR="0070070D" w:rsidRPr="00B0658A" w:rsidRDefault="0070070D" w:rsidP="00004A41">
            <w:pPr>
              <w:spacing w:after="0" w:line="240" w:lineRule="auto"/>
              <w:rPr>
                <w:rFonts w:ascii="Times New Roman" w:hAnsi="Times New Roman"/>
                <w:sz w:val="20"/>
                <w:szCs w:val="20"/>
              </w:rPr>
            </w:pPr>
            <w:r w:rsidRPr="00B0658A">
              <w:rPr>
                <w:rFonts w:ascii="Times New Roman" w:hAnsi="Times New Roman"/>
                <w:sz w:val="18"/>
                <w:szCs w:val="18"/>
              </w:rPr>
              <w:t xml:space="preserve">Промышленное программное обеспечение/ Средства автоматизированного проектирования для радиоэлектроники </w:t>
            </w:r>
            <w:r w:rsidRPr="00B0658A">
              <w:rPr>
                <w:rFonts w:ascii="Times New Roman" w:hAnsi="Times New Roman"/>
                <w:sz w:val="18"/>
                <w:szCs w:val="18"/>
              </w:rPr>
              <w:br/>
              <w:t>и электротехники (ECAD, EDA)</w:t>
            </w:r>
          </w:p>
        </w:tc>
        <w:tc>
          <w:tcPr>
            <w:tcW w:w="1256" w:type="dxa"/>
          </w:tcPr>
          <w:p w14:paraId="46508627"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1A3770B8"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5BEC018F"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0804A611" w14:textId="77777777" w:rsidR="0070070D" w:rsidRPr="00B0658A" w:rsidRDefault="0070070D" w:rsidP="00004A41">
            <w:pPr>
              <w:spacing w:after="0" w:line="240" w:lineRule="auto"/>
              <w:jc w:val="both"/>
              <w:rPr>
                <w:rFonts w:ascii="Times New Roman" w:hAnsi="Times New Roman"/>
                <w:i/>
                <w:iCs/>
                <w:sz w:val="20"/>
                <w:szCs w:val="20"/>
              </w:rPr>
            </w:pPr>
          </w:p>
        </w:tc>
      </w:tr>
      <w:tr w:rsidR="00F52FED" w:rsidRPr="00B0658A" w14:paraId="42661A1A" w14:textId="77777777" w:rsidTr="001E5E80">
        <w:trPr>
          <w:trHeight w:val="170"/>
        </w:trPr>
        <w:tc>
          <w:tcPr>
            <w:tcW w:w="0" w:type="auto"/>
            <w:shd w:val="clear" w:color="auto" w:fill="auto"/>
          </w:tcPr>
          <w:p w14:paraId="4686199E" w14:textId="77777777" w:rsidR="0070070D" w:rsidRPr="00B0658A" w:rsidRDefault="0070070D" w:rsidP="00004A41">
            <w:pPr>
              <w:spacing w:after="0" w:line="240" w:lineRule="auto"/>
              <w:rPr>
                <w:rFonts w:ascii="Times New Roman" w:hAnsi="Times New Roman"/>
                <w:sz w:val="20"/>
                <w:szCs w:val="20"/>
              </w:rPr>
            </w:pPr>
            <w:r w:rsidRPr="00B0658A">
              <w:rPr>
                <w:rFonts w:ascii="Times New Roman" w:hAnsi="Times New Roman"/>
                <w:sz w:val="18"/>
                <w:szCs w:val="18"/>
              </w:rPr>
              <w:t>8.5</w:t>
            </w:r>
          </w:p>
        </w:tc>
        <w:tc>
          <w:tcPr>
            <w:tcW w:w="3432" w:type="dxa"/>
            <w:shd w:val="clear" w:color="auto" w:fill="auto"/>
            <w:vAlign w:val="center"/>
          </w:tcPr>
          <w:p w14:paraId="219196FF" w14:textId="77777777" w:rsidR="0070070D" w:rsidRPr="00B0658A" w:rsidRDefault="0070070D" w:rsidP="00004A41">
            <w:pPr>
              <w:spacing w:after="0" w:line="240" w:lineRule="auto"/>
              <w:rPr>
                <w:rFonts w:ascii="Times New Roman" w:hAnsi="Times New Roman"/>
                <w:sz w:val="20"/>
                <w:szCs w:val="20"/>
              </w:rPr>
            </w:pPr>
            <w:r w:rsidRPr="00B0658A">
              <w:rPr>
                <w:rFonts w:ascii="Times New Roman" w:hAnsi="Times New Roman"/>
                <w:sz w:val="18"/>
                <w:szCs w:val="18"/>
              </w:rPr>
              <w:t>Промышленное программное обеспечение/ Средства инженерного анализа (CAE)</w:t>
            </w:r>
          </w:p>
        </w:tc>
        <w:tc>
          <w:tcPr>
            <w:tcW w:w="1256" w:type="dxa"/>
          </w:tcPr>
          <w:p w14:paraId="695A6AE2"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4CC34D6C"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7B7E0298"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2C3683AC" w14:textId="77777777" w:rsidR="0070070D" w:rsidRPr="00B0658A" w:rsidRDefault="0070070D" w:rsidP="00004A41">
            <w:pPr>
              <w:spacing w:after="0" w:line="240" w:lineRule="auto"/>
              <w:jc w:val="both"/>
              <w:rPr>
                <w:rFonts w:ascii="Times New Roman" w:hAnsi="Times New Roman"/>
                <w:i/>
                <w:iCs/>
                <w:sz w:val="20"/>
                <w:szCs w:val="20"/>
              </w:rPr>
            </w:pPr>
          </w:p>
        </w:tc>
      </w:tr>
      <w:tr w:rsidR="00F52FED" w:rsidRPr="00B0658A" w14:paraId="604A4E18" w14:textId="77777777" w:rsidTr="001E5E80">
        <w:trPr>
          <w:trHeight w:val="170"/>
        </w:trPr>
        <w:tc>
          <w:tcPr>
            <w:tcW w:w="0" w:type="auto"/>
            <w:shd w:val="clear" w:color="auto" w:fill="auto"/>
          </w:tcPr>
          <w:p w14:paraId="62042F42" w14:textId="77777777" w:rsidR="0070070D" w:rsidRPr="00B0658A" w:rsidRDefault="0070070D" w:rsidP="00004A41">
            <w:pPr>
              <w:spacing w:after="0" w:line="240" w:lineRule="auto"/>
              <w:rPr>
                <w:rFonts w:ascii="Times New Roman" w:hAnsi="Times New Roman"/>
                <w:sz w:val="20"/>
                <w:szCs w:val="20"/>
              </w:rPr>
            </w:pPr>
            <w:r w:rsidRPr="00B0658A">
              <w:rPr>
                <w:rFonts w:ascii="Times New Roman" w:hAnsi="Times New Roman"/>
                <w:sz w:val="18"/>
                <w:szCs w:val="18"/>
              </w:rPr>
              <w:t>8.6</w:t>
            </w:r>
          </w:p>
        </w:tc>
        <w:tc>
          <w:tcPr>
            <w:tcW w:w="3432" w:type="dxa"/>
            <w:shd w:val="clear" w:color="auto" w:fill="auto"/>
            <w:vAlign w:val="center"/>
          </w:tcPr>
          <w:p w14:paraId="5595F2AF" w14:textId="77777777" w:rsidR="0070070D" w:rsidRPr="00B0658A" w:rsidRDefault="0070070D" w:rsidP="00004A41">
            <w:pPr>
              <w:spacing w:after="0" w:line="240" w:lineRule="auto"/>
              <w:rPr>
                <w:rFonts w:ascii="Times New Roman" w:hAnsi="Times New Roman"/>
                <w:sz w:val="20"/>
                <w:szCs w:val="20"/>
              </w:rPr>
            </w:pPr>
            <w:r w:rsidRPr="00B0658A">
              <w:rPr>
                <w:rFonts w:ascii="Times New Roman" w:hAnsi="Times New Roman"/>
                <w:sz w:val="18"/>
                <w:szCs w:val="18"/>
              </w:rPr>
              <w:t>Промышленное программное обеспечение/ Средства управления оборудованием с числовым программным управлением (CAM)</w:t>
            </w:r>
          </w:p>
        </w:tc>
        <w:tc>
          <w:tcPr>
            <w:tcW w:w="1256" w:type="dxa"/>
          </w:tcPr>
          <w:p w14:paraId="748BF924"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38E1C48D"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483E3368"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154702FD" w14:textId="77777777" w:rsidR="0070070D" w:rsidRPr="00B0658A" w:rsidRDefault="0070070D" w:rsidP="00004A41">
            <w:pPr>
              <w:spacing w:after="0" w:line="240" w:lineRule="auto"/>
              <w:jc w:val="both"/>
              <w:rPr>
                <w:rFonts w:ascii="Times New Roman" w:hAnsi="Times New Roman"/>
                <w:i/>
                <w:iCs/>
                <w:sz w:val="20"/>
                <w:szCs w:val="20"/>
              </w:rPr>
            </w:pPr>
          </w:p>
        </w:tc>
      </w:tr>
      <w:tr w:rsidR="00F52FED" w:rsidRPr="00B0658A" w14:paraId="61E9230F" w14:textId="77777777" w:rsidTr="001E5E80">
        <w:trPr>
          <w:trHeight w:val="170"/>
        </w:trPr>
        <w:tc>
          <w:tcPr>
            <w:tcW w:w="0" w:type="auto"/>
            <w:shd w:val="clear" w:color="auto" w:fill="auto"/>
          </w:tcPr>
          <w:p w14:paraId="1DA2D2AD" w14:textId="77777777" w:rsidR="0070070D" w:rsidRPr="00B0658A" w:rsidRDefault="0070070D" w:rsidP="00004A41">
            <w:pPr>
              <w:spacing w:after="0" w:line="240" w:lineRule="auto"/>
              <w:rPr>
                <w:rFonts w:ascii="Times New Roman" w:hAnsi="Times New Roman"/>
                <w:sz w:val="20"/>
                <w:szCs w:val="20"/>
              </w:rPr>
            </w:pPr>
            <w:r w:rsidRPr="00B0658A">
              <w:rPr>
                <w:rFonts w:ascii="Times New Roman" w:hAnsi="Times New Roman"/>
                <w:sz w:val="18"/>
                <w:szCs w:val="18"/>
              </w:rPr>
              <w:t>8.7</w:t>
            </w:r>
          </w:p>
        </w:tc>
        <w:tc>
          <w:tcPr>
            <w:tcW w:w="3432" w:type="dxa"/>
            <w:shd w:val="clear" w:color="auto" w:fill="auto"/>
            <w:vAlign w:val="center"/>
          </w:tcPr>
          <w:p w14:paraId="0A78F62A" w14:textId="77777777" w:rsidR="0070070D" w:rsidRPr="00B0658A" w:rsidRDefault="0070070D" w:rsidP="00004A41">
            <w:pPr>
              <w:spacing w:after="0" w:line="240" w:lineRule="auto"/>
              <w:rPr>
                <w:rFonts w:ascii="Times New Roman" w:hAnsi="Times New Roman"/>
                <w:sz w:val="20"/>
                <w:szCs w:val="20"/>
              </w:rPr>
            </w:pPr>
            <w:r w:rsidRPr="00B0658A">
              <w:rPr>
                <w:rFonts w:ascii="Times New Roman" w:hAnsi="Times New Roman"/>
                <w:sz w:val="18"/>
                <w:szCs w:val="18"/>
              </w:rPr>
              <w:t>Промышленное программное обеспечение/ Средства технологической подготовки производства (CAPP)</w:t>
            </w:r>
          </w:p>
        </w:tc>
        <w:tc>
          <w:tcPr>
            <w:tcW w:w="1256" w:type="dxa"/>
          </w:tcPr>
          <w:p w14:paraId="5D886F64"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562629C4"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111D2743"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2677EDC3" w14:textId="77777777" w:rsidR="0070070D" w:rsidRPr="00B0658A" w:rsidRDefault="0070070D" w:rsidP="00004A41">
            <w:pPr>
              <w:spacing w:after="0" w:line="240" w:lineRule="auto"/>
              <w:jc w:val="both"/>
              <w:rPr>
                <w:rFonts w:ascii="Times New Roman" w:hAnsi="Times New Roman"/>
                <w:i/>
                <w:iCs/>
                <w:sz w:val="20"/>
                <w:szCs w:val="20"/>
              </w:rPr>
            </w:pPr>
          </w:p>
        </w:tc>
      </w:tr>
      <w:tr w:rsidR="00F52FED" w:rsidRPr="00B0658A" w14:paraId="5380DD86" w14:textId="77777777" w:rsidTr="001E5E80">
        <w:trPr>
          <w:trHeight w:val="170"/>
        </w:trPr>
        <w:tc>
          <w:tcPr>
            <w:tcW w:w="0" w:type="auto"/>
            <w:shd w:val="clear" w:color="auto" w:fill="auto"/>
          </w:tcPr>
          <w:p w14:paraId="47F2F2C1" w14:textId="77777777" w:rsidR="0070070D" w:rsidRPr="00B0658A" w:rsidRDefault="0070070D" w:rsidP="00004A41">
            <w:pPr>
              <w:spacing w:after="0" w:line="240" w:lineRule="auto"/>
              <w:rPr>
                <w:rFonts w:ascii="Times New Roman" w:hAnsi="Times New Roman"/>
                <w:sz w:val="20"/>
                <w:szCs w:val="20"/>
              </w:rPr>
            </w:pPr>
            <w:r w:rsidRPr="00B0658A">
              <w:rPr>
                <w:rFonts w:ascii="Times New Roman" w:hAnsi="Times New Roman"/>
                <w:sz w:val="18"/>
                <w:szCs w:val="18"/>
              </w:rPr>
              <w:t>8.8</w:t>
            </w:r>
          </w:p>
        </w:tc>
        <w:tc>
          <w:tcPr>
            <w:tcW w:w="3432" w:type="dxa"/>
            <w:shd w:val="clear" w:color="auto" w:fill="auto"/>
            <w:vAlign w:val="center"/>
          </w:tcPr>
          <w:p w14:paraId="4E57BD10" w14:textId="77777777" w:rsidR="0070070D" w:rsidRPr="00B0658A" w:rsidRDefault="0070070D" w:rsidP="00004A41">
            <w:pPr>
              <w:spacing w:after="0" w:line="240" w:lineRule="auto"/>
              <w:rPr>
                <w:rFonts w:ascii="Times New Roman" w:hAnsi="Times New Roman"/>
                <w:sz w:val="20"/>
                <w:szCs w:val="20"/>
              </w:rPr>
            </w:pPr>
            <w:r w:rsidRPr="00B0658A">
              <w:rPr>
                <w:rFonts w:ascii="Times New Roman" w:hAnsi="Times New Roman"/>
                <w:sz w:val="18"/>
                <w:szCs w:val="18"/>
              </w:rPr>
              <w:t xml:space="preserve">Промышленное программное обеспечение/ Средства управления инженерными данными </w:t>
            </w:r>
            <w:r w:rsidRPr="00B0658A">
              <w:rPr>
                <w:rFonts w:ascii="Times New Roman" w:hAnsi="Times New Roman"/>
                <w:sz w:val="18"/>
                <w:szCs w:val="18"/>
              </w:rPr>
              <w:br/>
              <w:t>об изделии (PDM)</w:t>
            </w:r>
          </w:p>
        </w:tc>
        <w:tc>
          <w:tcPr>
            <w:tcW w:w="1256" w:type="dxa"/>
          </w:tcPr>
          <w:p w14:paraId="16FCFEAF"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02C33A52"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16A11EDA"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3E295A7A" w14:textId="77777777" w:rsidR="0070070D" w:rsidRPr="00B0658A" w:rsidRDefault="0070070D" w:rsidP="00004A41">
            <w:pPr>
              <w:spacing w:after="0" w:line="240" w:lineRule="auto"/>
              <w:jc w:val="both"/>
              <w:rPr>
                <w:rFonts w:ascii="Times New Roman" w:hAnsi="Times New Roman"/>
                <w:i/>
                <w:iCs/>
                <w:sz w:val="20"/>
                <w:szCs w:val="20"/>
              </w:rPr>
            </w:pPr>
          </w:p>
        </w:tc>
      </w:tr>
      <w:tr w:rsidR="00F52FED" w:rsidRPr="00B0658A" w14:paraId="446DFB5C" w14:textId="77777777" w:rsidTr="001E5E80">
        <w:trPr>
          <w:trHeight w:val="170"/>
        </w:trPr>
        <w:tc>
          <w:tcPr>
            <w:tcW w:w="0" w:type="auto"/>
            <w:shd w:val="clear" w:color="auto" w:fill="auto"/>
          </w:tcPr>
          <w:p w14:paraId="11BF4A67" w14:textId="77777777" w:rsidR="0070070D" w:rsidRPr="00B0658A" w:rsidRDefault="0070070D" w:rsidP="00004A41">
            <w:pPr>
              <w:spacing w:after="0" w:line="240" w:lineRule="auto"/>
              <w:rPr>
                <w:rFonts w:ascii="Times New Roman" w:hAnsi="Times New Roman"/>
                <w:sz w:val="20"/>
                <w:szCs w:val="20"/>
              </w:rPr>
            </w:pPr>
            <w:r w:rsidRPr="00B0658A">
              <w:rPr>
                <w:rFonts w:ascii="Times New Roman" w:hAnsi="Times New Roman"/>
                <w:sz w:val="18"/>
                <w:szCs w:val="18"/>
              </w:rPr>
              <w:t>8.9</w:t>
            </w:r>
          </w:p>
        </w:tc>
        <w:tc>
          <w:tcPr>
            <w:tcW w:w="3432" w:type="dxa"/>
            <w:shd w:val="clear" w:color="auto" w:fill="auto"/>
            <w:vAlign w:val="center"/>
          </w:tcPr>
          <w:p w14:paraId="72961A65" w14:textId="77777777" w:rsidR="0070070D" w:rsidRPr="00B0658A" w:rsidRDefault="0070070D" w:rsidP="00004A41">
            <w:pPr>
              <w:spacing w:after="0" w:line="240" w:lineRule="auto"/>
              <w:rPr>
                <w:rFonts w:ascii="Times New Roman" w:hAnsi="Times New Roman"/>
                <w:sz w:val="20"/>
                <w:szCs w:val="20"/>
              </w:rPr>
            </w:pPr>
            <w:r w:rsidRPr="00B0658A">
              <w:rPr>
                <w:rFonts w:ascii="Times New Roman" w:hAnsi="Times New Roman"/>
                <w:sz w:val="18"/>
                <w:szCs w:val="18"/>
              </w:rPr>
              <w:t xml:space="preserve">Промышленное программное обеспечение / Средства информационного моделирования зданий </w:t>
            </w:r>
            <w:r w:rsidRPr="00B0658A">
              <w:rPr>
                <w:rFonts w:ascii="Times New Roman" w:hAnsi="Times New Roman"/>
                <w:sz w:val="18"/>
                <w:szCs w:val="18"/>
              </w:rPr>
              <w:br/>
              <w:t>и сооружений, архитектурно-</w:t>
            </w:r>
            <w:r w:rsidRPr="00B0658A">
              <w:rPr>
                <w:rFonts w:ascii="Times New Roman" w:hAnsi="Times New Roman"/>
                <w:sz w:val="18"/>
                <w:szCs w:val="18"/>
              </w:rPr>
              <w:lastRenderedPageBreak/>
              <w:t>строительного проектирования (BIM, AEC CAD)</w:t>
            </w:r>
          </w:p>
        </w:tc>
        <w:tc>
          <w:tcPr>
            <w:tcW w:w="1256" w:type="dxa"/>
          </w:tcPr>
          <w:p w14:paraId="037F91C0"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50072C5F"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3E3E0623"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6C7E4D72" w14:textId="77777777" w:rsidR="0070070D" w:rsidRPr="00B0658A" w:rsidRDefault="0070070D" w:rsidP="00004A41">
            <w:pPr>
              <w:spacing w:after="0" w:line="240" w:lineRule="auto"/>
              <w:jc w:val="both"/>
              <w:rPr>
                <w:rFonts w:ascii="Times New Roman" w:hAnsi="Times New Roman"/>
                <w:i/>
                <w:iCs/>
                <w:sz w:val="20"/>
                <w:szCs w:val="20"/>
              </w:rPr>
            </w:pPr>
          </w:p>
        </w:tc>
      </w:tr>
      <w:tr w:rsidR="00F52FED" w:rsidRPr="00B0658A" w14:paraId="25E70997" w14:textId="77777777" w:rsidTr="001E5E80">
        <w:trPr>
          <w:trHeight w:val="170"/>
        </w:trPr>
        <w:tc>
          <w:tcPr>
            <w:tcW w:w="0" w:type="auto"/>
            <w:shd w:val="clear" w:color="auto" w:fill="auto"/>
          </w:tcPr>
          <w:p w14:paraId="4A50D675" w14:textId="77777777" w:rsidR="0070070D" w:rsidRPr="00B0658A" w:rsidRDefault="0070070D" w:rsidP="00004A41">
            <w:pPr>
              <w:spacing w:after="0" w:line="240" w:lineRule="auto"/>
              <w:rPr>
                <w:rFonts w:ascii="Times New Roman" w:hAnsi="Times New Roman"/>
                <w:sz w:val="20"/>
                <w:szCs w:val="20"/>
              </w:rPr>
            </w:pPr>
            <w:r w:rsidRPr="00B0658A">
              <w:rPr>
                <w:rFonts w:ascii="Times New Roman" w:hAnsi="Times New Roman"/>
                <w:sz w:val="18"/>
                <w:szCs w:val="18"/>
              </w:rPr>
              <w:t>8.10</w:t>
            </w:r>
          </w:p>
        </w:tc>
        <w:tc>
          <w:tcPr>
            <w:tcW w:w="3432" w:type="dxa"/>
            <w:shd w:val="clear" w:color="auto" w:fill="auto"/>
            <w:vAlign w:val="center"/>
          </w:tcPr>
          <w:p w14:paraId="1A401EC6" w14:textId="77777777" w:rsidR="0070070D" w:rsidRPr="00B0658A" w:rsidRDefault="0070070D" w:rsidP="00004A41">
            <w:pPr>
              <w:spacing w:after="0" w:line="240" w:lineRule="auto"/>
              <w:rPr>
                <w:rFonts w:ascii="Times New Roman" w:hAnsi="Times New Roman"/>
                <w:sz w:val="20"/>
                <w:szCs w:val="20"/>
              </w:rPr>
            </w:pPr>
            <w:r w:rsidRPr="00B0658A">
              <w:rPr>
                <w:rFonts w:ascii="Times New Roman" w:hAnsi="Times New Roman"/>
                <w:sz w:val="18"/>
                <w:szCs w:val="18"/>
              </w:rPr>
              <w:t>Промышленное программное обеспечение/ Средства усовершенствованного управления технологическими процессами (APC, RTO)</w:t>
            </w:r>
          </w:p>
        </w:tc>
        <w:tc>
          <w:tcPr>
            <w:tcW w:w="1256" w:type="dxa"/>
          </w:tcPr>
          <w:p w14:paraId="28E9445C"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17F03A44"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75F8090F"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478073CB" w14:textId="77777777" w:rsidR="0070070D" w:rsidRPr="00B0658A" w:rsidRDefault="0070070D" w:rsidP="00004A41">
            <w:pPr>
              <w:spacing w:after="0" w:line="240" w:lineRule="auto"/>
              <w:jc w:val="both"/>
              <w:rPr>
                <w:rFonts w:ascii="Times New Roman" w:hAnsi="Times New Roman"/>
                <w:i/>
                <w:iCs/>
                <w:sz w:val="20"/>
                <w:szCs w:val="20"/>
              </w:rPr>
            </w:pPr>
          </w:p>
        </w:tc>
      </w:tr>
      <w:tr w:rsidR="00F52FED" w:rsidRPr="00B0658A" w14:paraId="479CC49F" w14:textId="77777777" w:rsidTr="001E5E80">
        <w:trPr>
          <w:trHeight w:val="170"/>
        </w:trPr>
        <w:tc>
          <w:tcPr>
            <w:tcW w:w="0" w:type="auto"/>
            <w:shd w:val="clear" w:color="auto" w:fill="auto"/>
          </w:tcPr>
          <w:p w14:paraId="2B67AD57" w14:textId="77777777" w:rsidR="0070070D" w:rsidRPr="00B0658A" w:rsidRDefault="0070070D" w:rsidP="00004A41">
            <w:pPr>
              <w:spacing w:after="0" w:line="240" w:lineRule="auto"/>
              <w:rPr>
                <w:rFonts w:ascii="Times New Roman" w:hAnsi="Times New Roman"/>
                <w:sz w:val="20"/>
                <w:szCs w:val="20"/>
              </w:rPr>
            </w:pPr>
            <w:r w:rsidRPr="00B0658A">
              <w:rPr>
                <w:rFonts w:ascii="Times New Roman" w:hAnsi="Times New Roman"/>
                <w:sz w:val="18"/>
                <w:szCs w:val="18"/>
              </w:rPr>
              <w:t>8.11</w:t>
            </w:r>
          </w:p>
        </w:tc>
        <w:tc>
          <w:tcPr>
            <w:tcW w:w="3432" w:type="dxa"/>
            <w:shd w:val="clear" w:color="auto" w:fill="auto"/>
            <w:vAlign w:val="center"/>
          </w:tcPr>
          <w:p w14:paraId="4371A105" w14:textId="77777777" w:rsidR="0070070D" w:rsidRPr="00B0658A" w:rsidRDefault="0070070D" w:rsidP="00004A41">
            <w:pPr>
              <w:spacing w:after="0" w:line="240" w:lineRule="auto"/>
              <w:rPr>
                <w:rFonts w:ascii="Times New Roman" w:hAnsi="Times New Roman"/>
                <w:sz w:val="20"/>
                <w:szCs w:val="20"/>
              </w:rPr>
            </w:pPr>
            <w:r w:rsidRPr="00B0658A">
              <w:rPr>
                <w:rFonts w:ascii="Times New Roman" w:hAnsi="Times New Roman"/>
                <w:sz w:val="18"/>
                <w:szCs w:val="18"/>
              </w:rPr>
              <w:t>Промышленное программное обеспечение / Средства автоматизированного управления техникой</w:t>
            </w:r>
          </w:p>
        </w:tc>
        <w:tc>
          <w:tcPr>
            <w:tcW w:w="1256" w:type="dxa"/>
          </w:tcPr>
          <w:p w14:paraId="793B226A"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6CA44866"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757A4FB0"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704FFCA9" w14:textId="77777777" w:rsidR="0070070D" w:rsidRPr="00B0658A" w:rsidRDefault="0070070D" w:rsidP="00004A41">
            <w:pPr>
              <w:spacing w:after="0" w:line="240" w:lineRule="auto"/>
              <w:jc w:val="both"/>
              <w:rPr>
                <w:rFonts w:ascii="Times New Roman" w:hAnsi="Times New Roman"/>
                <w:i/>
                <w:iCs/>
                <w:sz w:val="20"/>
                <w:szCs w:val="20"/>
              </w:rPr>
            </w:pPr>
          </w:p>
        </w:tc>
      </w:tr>
      <w:tr w:rsidR="00F52FED" w:rsidRPr="00B0658A" w14:paraId="5D5B2FAA" w14:textId="77777777" w:rsidTr="001E5E80">
        <w:trPr>
          <w:trHeight w:val="170"/>
        </w:trPr>
        <w:tc>
          <w:tcPr>
            <w:tcW w:w="0" w:type="auto"/>
            <w:shd w:val="clear" w:color="auto" w:fill="auto"/>
          </w:tcPr>
          <w:p w14:paraId="642FF0E2" w14:textId="77777777" w:rsidR="0070070D" w:rsidRPr="00B0658A" w:rsidRDefault="0070070D" w:rsidP="00004A41">
            <w:pPr>
              <w:spacing w:after="0" w:line="240" w:lineRule="auto"/>
              <w:rPr>
                <w:rFonts w:ascii="Times New Roman" w:hAnsi="Times New Roman"/>
                <w:sz w:val="20"/>
                <w:szCs w:val="20"/>
              </w:rPr>
            </w:pPr>
            <w:r w:rsidRPr="00B0658A">
              <w:rPr>
                <w:rFonts w:ascii="Times New Roman" w:hAnsi="Times New Roman"/>
                <w:sz w:val="18"/>
                <w:szCs w:val="18"/>
              </w:rPr>
              <w:t>9.1</w:t>
            </w:r>
          </w:p>
        </w:tc>
        <w:tc>
          <w:tcPr>
            <w:tcW w:w="3432" w:type="dxa"/>
            <w:shd w:val="clear" w:color="auto" w:fill="auto"/>
            <w:vAlign w:val="center"/>
          </w:tcPr>
          <w:p w14:paraId="1E39083D" w14:textId="77777777" w:rsidR="0070070D" w:rsidRPr="00B0658A" w:rsidRDefault="0070070D" w:rsidP="00004A41">
            <w:pPr>
              <w:spacing w:after="0" w:line="240" w:lineRule="auto"/>
              <w:rPr>
                <w:rFonts w:ascii="Times New Roman" w:hAnsi="Times New Roman"/>
                <w:sz w:val="20"/>
                <w:szCs w:val="20"/>
              </w:rPr>
            </w:pPr>
            <w:r w:rsidRPr="00B0658A">
              <w:rPr>
                <w:rFonts w:ascii="Times New Roman" w:hAnsi="Times New Roman"/>
                <w:sz w:val="18"/>
                <w:szCs w:val="18"/>
              </w:rPr>
              <w:t>Средства управления процессами организации / Средства управления бизнес-процессами (BPM)</w:t>
            </w:r>
          </w:p>
        </w:tc>
        <w:tc>
          <w:tcPr>
            <w:tcW w:w="1256" w:type="dxa"/>
          </w:tcPr>
          <w:p w14:paraId="0CFDC27D"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7E1ADCF8"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679C12B3"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69863990" w14:textId="77777777" w:rsidR="0070070D" w:rsidRPr="00B0658A" w:rsidRDefault="0070070D" w:rsidP="00004A41">
            <w:pPr>
              <w:spacing w:after="0" w:line="240" w:lineRule="auto"/>
              <w:jc w:val="both"/>
              <w:rPr>
                <w:rFonts w:ascii="Times New Roman" w:hAnsi="Times New Roman"/>
                <w:i/>
                <w:iCs/>
                <w:sz w:val="20"/>
                <w:szCs w:val="20"/>
              </w:rPr>
            </w:pPr>
          </w:p>
        </w:tc>
      </w:tr>
      <w:tr w:rsidR="00F52FED" w:rsidRPr="00B0658A" w14:paraId="6BFFC6A2" w14:textId="77777777" w:rsidTr="001E5E80">
        <w:trPr>
          <w:trHeight w:val="170"/>
        </w:trPr>
        <w:tc>
          <w:tcPr>
            <w:tcW w:w="0" w:type="auto"/>
            <w:shd w:val="clear" w:color="auto" w:fill="auto"/>
          </w:tcPr>
          <w:p w14:paraId="0E406B3F" w14:textId="77777777" w:rsidR="0070070D" w:rsidRPr="00B0658A" w:rsidRDefault="0070070D" w:rsidP="00004A41">
            <w:pPr>
              <w:spacing w:after="0" w:line="240" w:lineRule="auto"/>
              <w:rPr>
                <w:rFonts w:ascii="Times New Roman" w:hAnsi="Times New Roman"/>
                <w:sz w:val="20"/>
                <w:szCs w:val="20"/>
              </w:rPr>
            </w:pPr>
            <w:r w:rsidRPr="00B0658A">
              <w:rPr>
                <w:rFonts w:ascii="Times New Roman" w:hAnsi="Times New Roman"/>
                <w:sz w:val="18"/>
                <w:szCs w:val="18"/>
              </w:rPr>
              <w:t>9.2</w:t>
            </w:r>
          </w:p>
        </w:tc>
        <w:tc>
          <w:tcPr>
            <w:tcW w:w="3432" w:type="dxa"/>
            <w:shd w:val="clear" w:color="auto" w:fill="auto"/>
            <w:vAlign w:val="center"/>
          </w:tcPr>
          <w:p w14:paraId="585F053C" w14:textId="77777777" w:rsidR="0070070D" w:rsidRPr="00B0658A" w:rsidRDefault="0070070D" w:rsidP="00004A41">
            <w:pPr>
              <w:spacing w:after="0" w:line="240" w:lineRule="auto"/>
              <w:rPr>
                <w:rFonts w:ascii="Times New Roman" w:hAnsi="Times New Roman"/>
                <w:sz w:val="20"/>
                <w:szCs w:val="20"/>
              </w:rPr>
            </w:pPr>
            <w:r w:rsidRPr="00B0658A">
              <w:rPr>
                <w:rFonts w:ascii="Times New Roman" w:hAnsi="Times New Roman"/>
                <w:sz w:val="18"/>
                <w:szCs w:val="18"/>
              </w:rPr>
              <w:t>Средства управления процессами организации/ Средства управления производственными процессами (MES)</w:t>
            </w:r>
          </w:p>
        </w:tc>
        <w:tc>
          <w:tcPr>
            <w:tcW w:w="1256" w:type="dxa"/>
          </w:tcPr>
          <w:p w14:paraId="5058B539"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762D3128"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3EC3C97C"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781580EC" w14:textId="77777777" w:rsidR="0070070D" w:rsidRPr="00B0658A" w:rsidRDefault="0070070D" w:rsidP="00004A41">
            <w:pPr>
              <w:spacing w:after="0" w:line="240" w:lineRule="auto"/>
              <w:jc w:val="both"/>
              <w:rPr>
                <w:rFonts w:ascii="Times New Roman" w:hAnsi="Times New Roman"/>
                <w:i/>
                <w:iCs/>
                <w:sz w:val="20"/>
                <w:szCs w:val="20"/>
              </w:rPr>
            </w:pPr>
          </w:p>
        </w:tc>
      </w:tr>
      <w:tr w:rsidR="00F52FED" w:rsidRPr="00B0658A" w14:paraId="2F381A37" w14:textId="77777777" w:rsidTr="001E5E80">
        <w:trPr>
          <w:trHeight w:val="170"/>
        </w:trPr>
        <w:tc>
          <w:tcPr>
            <w:tcW w:w="0" w:type="auto"/>
            <w:shd w:val="clear" w:color="auto" w:fill="auto"/>
          </w:tcPr>
          <w:p w14:paraId="4E741A14" w14:textId="77777777" w:rsidR="0070070D" w:rsidRPr="00B0658A" w:rsidRDefault="0070070D" w:rsidP="00004A41">
            <w:pPr>
              <w:spacing w:after="0" w:line="240" w:lineRule="auto"/>
              <w:rPr>
                <w:rFonts w:ascii="Times New Roman" w:hAnsi="Times New Roman"/>
                <w:sz w:val="20"/>
                <w:szCs w:val="20"/>
              </w:rPr>
            </w:pPr>
            <w:r w:rsidRPr="00B0658A">
              <w:rPr>
                <w:rFonts w:ascii="Times New Roman" w:hAnsi="Times New Roman"/>
                <w:sz w:val="18"/>
                <w:szCs w:val="18"/>
              </w:rPr>
              <w:t>9.3</w:t>
            </w:r>
          </w:p>
        </w:tc>
        <w:tc>
          <w:tcPr>
            <w:tcW w:w="3432" w:type="dxa"/>
            <w:shd w:val="clear" w:color="auto" w:fill="auto"/>
            <w:vAlign w:val="center"/>
          </w:tcPr>
          <w:p w14:paraId="57195A64" w14:textId="77777777" w:rsidR="0070070D" w:rsidRPr="00B0658A" w:rsidRDefault="0070070D" w:rsidP="00004A41">
            <w:pPr>
              <w:spacing w:after="0" w:line="240" w:lineRule="auto"/>
              <w:rPr>
                <w:rFonts w:ascii="Times New Roman" w:hAnsi="Times New Roman"/>
                <w:sz w:val="20"/>
                <w:szCs w:val="20"/>
              </w:rPr>
            </w:pPr>
            <w:r w:rsidRPr="00B0658A">
              <w:rPr>
                <w:rFonts w:ascii="Times New Roman" w:hAnsi="Times New Roman"/>
                <w:sz w:val="18"/>
                <w:szCs w:val="18"/>
              </w:rPr>
              <w:t>Средства управления процессами организации / Средства управления лабораторными потоками работ и документов (LIMS)</w:t>
            </w:r>
          </w:p>
        </w:tc>
        <w:tc>
          <w:tcPr>
            <w:tcW w:w="1256" w:type="dxa"/>
          </w:tcPr>
          <w:p w14:paraId="02AD821A"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5564D5C4"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1869B47F"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2A3E3305" w14:textId="77777777" w:rsidR="0070070D" w:rsidRPr="00B0658A" w:rsidRDefault="0070070D" w:rsidP="00004A41">
            <w:pPr>
              <w:spacing w:after="0" w:line="240" w:lineRule="auto"/>
              <w:jc w:val="both"/>
              <w:rPr>
                <w:rFonts w:ascii="Times New Roman" w:hAnsi="Times New Roman"/>
                <w:i/>
                <w:iCs/>
                <w:sz w:val="20"/>
                <w:szCs w:val="20"/>
              </w:rPr>
            </w:pPr>
          </w:p>
        </w:tc>
      </w:tr>
      <w:tr w:rsidR="00F52FED" w:rsidRPr="00B0658A" w14:paraId="16F33C35" w14:textId="77777777" w:rsidTr="001E5E80">
        <w:trPr>
          <w:trHeight w:val="170"/>
        </w:trPr>
        <w:tc>
          <w:tcPr>
            <w:tcW w:w="0" w:type="auto"/>
            <w:shd w:val="clear" w:color="auto" w:fill="auto"/>
          </w:tcPr>
          <w:p w14:paraId="165269D4" w14:textId="77777777" w:rsidR="0070070D" w:rsidRPr="00B0658A" w:rsidRDefault="0070070D" w:rsidP="00004A41">
            <w:pPr>
              <w:spacing w:after="0" w:line="240" w:lineRule="auto"/>
              <w:rPr>
                <w:rFonts w:ascii="Times New Roman" w:hAnsi="Times New Roman"/>
                <w:sz w:val="20"/>
                <w:szCs w:val="20"/>
              </w:rPr>
            </w:pPr>
            <w:r w:rsidRPr="00B0658A">
              <w:rPr>
                <w:rFonts w:ascii="Times New Roman" w:hAnsi="Times New Roman"/>
                <w:sz w:val="18"/>
                <w:szCs w:val="18"/>
              </w:rPr>
              <w:t>9.4</w:t>
            </w:r>
          </w:p>
        </w:tc>
        <w:tc>
          <w:tcPr>
            <w:tcW w:w="3432" w:type="dxa"/>
            <w:shd w:val="clear" w:color="auto" w:fill="auto"/>
            <w:vAlign w:val="center"/>
          </w:tcPr>
          <w:p w14:paraId="72B2A62E" w14:textId="77777777" w:rsidR="0070070D" w:rsidRPr="00B0658A" w:rsidRDefault="0070070D" w:rsidP="00004A41">
            <w:pPr>
              <w:spacing w:after="0" w:line="240" w:lineRule="auto"/>
              <w:rPr>
                <w:rFonts w:ascii="Times New Roman" w:hAnsi="Times New Roman"/>
                <w:sz w:val="20"/>
                <w:szCs w:val="20"/>
              </w:rPr>
            </w:pPr>
            <w:r w:rsidRPr="00B0658A">
              <w:rPr>
                <w:rFonts w:ascii="Times New Roman" w:hAnsi="Times New Roman"/>
                <w:sz w:val="18"/>
                <w:szCs w:val="18"/>
              </w:rPr>
              <w:t>Средства управления процессами организации/ Средства управления технологическими процессами (АСУ ТП, SCADA)</w:t>
            </w:r>
          </w:p>
        </w:tc>
        <w:tc>
          <w:tcPr>
            <w:tcW w:w="1256" w:type="dxa"/>
          </w:tcPr>
          <w:p w14:paraId="4A9E2D71"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31423646"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5428D653"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3DB2FF26" w14:textId="77777777" w:rsidR="0070070D" w:rsidRPr="00B0658A" w:rsidRDefault="0070070D" w:rsidP="00004A41">
            <w:pPr>
              <w:spacing w:after="0" w:line="240" w:lineRule="auto"/>
              <w:jc w:val="both"/>
              <w:rPr>
                <w:rFonts w:ascii="Times New Roman" w:hAnsi="Times New Roman"/>
                <w:i/>
                <w:iCs/>
                <w:sz w:val="20"/>
                <w:szCs w:val="20"/>
              </w:rPr>
            </w:pPr>
          </w:p>
        </w:tc>
      </w:tr>
      <w:tr w:rsidR="00F52FED" w:rsidRPr="00B0658A" w14:paraId="18DD2F2D" w14:textId="77777777" w:rsidTr="001E5E80">
        <w:trPr>
          <w:trHeight w:val="170"/>
        </w:trPr>
        <w:tc>
          <w:tcPr>
            <w:tcW w:w="0" w:type="auto"/>
            <w:shd w:val="clear" w:color="auto" w:fill="auto"/>
          </w:tcPr>
          <w:p w14:paraId="0C598A35" w14:textId="77777777" w:rsidR="0070070D" w:rsidRPr="00B0658A" w:rsidRDefault="0070070D" w:rsidP="00004A41">
            <w:pPr>
              <w:spacing w:after="0" w:line="240" w:lineRule="auto"/>
              <w:rPr>
                <w:rFonts w:ascii="Times New Roman" w:hAnsi="Times New Roman"/>
                <w:sz w:val="20"/>
                <w:szCs w:val="20"/>
              </w:rPr>
            </w:pPr>
            <w:r w:rsidRPr="00B0658A">
              <w:rPr>
                <w:rFonts w:ascii="Times New Roman" w:hAnsi="Times New Roman"/>
                <w:sz w:val="18"/>
                <w:szCs w:val="18"/>
              </w:rPr>
              <w:t>9.5</w:t>
            </w:r>
          </w:p>
        </w:tc>
        <w:tc>
          <w:tcPr>
            <w:tcW w:w="3432" w:type="dxa"/>
            <w:shd w:val="clear" w:color="auto" w:fill="auto"/>
            <w:vAlign w:val="center"/>
          </w:tcPr>
          <w:p w14:paraId="6217DBA2" w14:textId="77777777" w:rsidR="0070070D" w:rsidRPr="00B0658A" w:rsidRDefault="0070070D" w:rsidP="00004A41">
            <w:pPr>
              <w:spacing w:after="0" w:line="240" w:lineRule="auto"/>
              <w:rPr>
                <w:rFonts w:ascii="Times New Roman" w:hAnsi="Times New Roman"/>
                <w:sz w:val="20"/>
                <w:szCs w:val="20"/>
              </w:rPr>
            </w:pPr>
            <w:r w:rsidRPr="00B0658A">
              <w:rPr>
                <w:rFonts w:ascii="Times New Roman" w:hAnsi="Times New Roman"/>
                <w:sz w:val="18"/>
                <w:szCs w:val="18"/>
              </w:rPr>
              <w:t>Средства управления процессами организации/ Средства управления эффективностью предприятия (CPM/EPM)</w:t>
            </w:r>
          </w:p>
        </w:tc>
        <w:tc>
          <w:tcPr>
            <w:tcW w:w="1256" w:type="dxa"/>
          </w:tcPr>
          <w:p w14:paraId="4851C186"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037A0C32"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7C329DD2"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3CDD8251" w14:textId="77777777" w:rsidR="0070070D" w:rsidRPr="00B0658A" w:rsidRDefault="0070070D" w:rsidP="00004A41">
            <w:pPr>
              <w:spacing w:after="0" w:line="240" w:lineRule="auto"/>
              <w:jc w:val="both"/>
              <w:rPr>
                <w:rFonts w:ascii="Times New Roman" w:hAnsi="Times New Roman"/>
                <w:i/>
                <w:iCs/>
                <w:sz w:val="20"/>
                <w:szCs w:val="20"/>
              </w:rPr>
            </w:pPr>
          </w:p>
        </w:tc>
      </w:tr>
      <w:tr w:rsidR="00F52FED" w:rsidRPr="00B0658A" w14:paraId="0A2795A9" w14:textId="77777777" w:rsidTr="001E5E80">
        <w:trPr>
          <w:trHeight w:val="170"/>
        </w:trPr>
        <w:tc>
          <w:tcPr>
            <w:tcW w:w="0" w:type="auto"/>
            <w:shd w:val="clear" w:color="auto" w:fill="auto"/>
          </w:tcPr>
          <w:p w14:paraId="78678B57" w14:textId="77777777" w:rsidR="0070070D" w:rsidRPr="00B0658A" w:rsidRDefault="0070070D" w:rsidP="00004A41">
            <w:pPr>
              <w:spacing w:after="0" w:line="240" w:lineRule="auto"/>
              <w:rPr>
                <w:rFonts w:ascii="Times New Roman" w:hAnsi="Times New Roman"/>
                <w:sz w:val="20"/>
                <w:szCs w:val="20"/>
              </w:rPr>
            </w:pPr>
            <w:r w:rsidRPr="00B0658A">
              <w:rPr>
                <w:rFonts w:ascii="Times New Roman" w:hAnsi="Times New Roman"/>
                <w:sz w:val="18"/>
                <w:szCs w:val="18"/>
              </w:rPr>
              <w:t>9.6</w:t>
            </w:r>
          </w:p>
        </w:tc>
        <w:tc>
          <w:tcPr>
            <w:tcW w:w="3432" w:type="dxa"/>
            <w:shd w:val="clear" w:color="auto" w:fill="auto"/>
            <w:vAlign w:val="center"/>
          </w:tcPr>
          <w:p w14:paraId="37597913" w14:textId="77777777" w:rsidR="0070070D" w:rsidRPr="00B0658A" w:rsidRDefault="0070070D" w:rsidP="00004A41">
            <w:pPr>
              <w:spacing w:after="0" w:line="240" w:lineRule="auto"/>
              <w:rPr>
                <w:rFonts w:ascii="Times New Roman" w:hAnsi="Times New Roman"/>
                <w:sz w:val="20"/>
                <w:szCs w:val="20"/>
              </w:rPr>
            </w:pPr>
            <w:r w:rsidRPr="00B0658A">
              <w:rPr>
                <w:rFonts w:ascii="Times New Roman" w:hAnsi="Times New Roman"/>
                <w:sz w:val="18"/>
                <w:szCs w:val="18"/>
              </w:rPr>
              <w:t>Средства управления процессами организации/ Средства управления основными фондами предприятия (EAM)</w:t>
            </w:r>
          </w:p>
        </w:tc>
        <w:tc>
          <w:tcPr>
            <w:tcW w:w="1256" w:type="dxa"/>
          </w:tcPr>
          <w:p w14:paraId="7E869A1A"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0CD2CD3C"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0E183EF5"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5333ED68" w14:textId="77777777" w:rsidR="0070070D" w:rsidRPr="00B0658A" w:rsidRDefault="0070070D" w:rsidP="00004A41">
            <w:pPr>
              <w:spacing w:after="0" w:line="240" w:lineRule="auto"/>
              <w:jc w:val="both"/>
              <w:rPr>
                <w:rFonts w:ascii="Times New Roman" w:hAnsi="Times New Roman"/>
                <w:i/>
                <w:iCs/>
                <w:sz w:val="20"/>
                <w:szCs w:val="20"/>
              </w:rPr>
            </w:pPr>
          </w:p>
        </w:tc>
      </w:tr>
      <w:tr w:rsidR="00F52FED" w:rsidRPr="00B0658A" w14:paraId="34179C7A" w14:textId="77777777" w:rsidTr="001E5E80">
        <w:trPr>
          <w:trHeight w:val="170"/>
        </w:trPr>
        <w:tc>
          <w:tcPr>
            <w:tcW w:w="0" w:type="auto"/>
            <w:shd w:val="clear" w:color="auto" w:fill="auto"/>
          </w:tcPr>
          <w:p w14:paraId="2BA536EF" w14:textId="77777777" w:rsidR="0070070D" w:rsidRPr="00B0658A" w:rsidRDefault="0070070D" w:rsidP="00004A41">
            <w:pPr>
              <w:spacing w:after="0" w:line="240" w:lineRule="auto"/>
              <w:rPr>
                <w:rFonts w:ascii="Times New Roman" w:hAnsi="Times New Roman"/>
                <w:sz w:val="20"/>
                <w:szCs w:val="20"/>
              </w:rPr>
            </w:pPr>
            <w:r w:rsidRPr="00B0658A">
              <w:rPr>
                <w:rFonts w:ascii="Times New Roman" w:hAnsi="Times New Roman"/>
                <w:sz w:val="18"/>
                <w:szCs w:val="18"/>
              </w:rPr>
              <w:t>9.7</w:t>
            </w:r>
          </w:p>
        </w:tc>
        <w:tc>
          <w:tcPr>
            <w:tcW w:w="3432" w:type="dxa"/>
            <w:shd w:val="clear" w:color="auto" w:fill="auto"/>
            <w:vAlign w:val="center"/>
          </w:tcPr>
          <w:p w14:paraId="7C392DB0" w14:textId="77777777" w:rsidR="0070070D" w:rsidRPr="00B0658A" w:rsidRDefault="0070070D" w:rsidP="00004A41">
            <w:pPr>
              <w:spacing w:after="0" w:line="240" w:lineRule="auto"/>
              <w:rPr>
                <w:rFonts w:ascii="Times New Roman" w:hAnsi="Times New Roman"/>
                <w:sz w:val="20"/>
                <w:szCs w:val="20"/>
              </w:rPr>
            </w:pPr>
            <w:r w:rsidRPr="00B0658A">
              <w:rPr>
                <w:rFonts w:ascii="Times New Roman" w:hAnsi="Times New Roman"/>
                <w:sz w:val="18"/>
                <w:szCs w:val="18"/>
              </w:rPr>
              <w:t>Средства управления процессами организации/ Средства финансового менеджмента, управления активами и трудовыми ресурсами (ERP)</w:t>
            </w:r>
          </w:p>
        </w:tc>
        <w:tc>
          <w:tcPr>
            <w:tcW w:w="1256" w:type="dxa"/>
          </w:tcPr>
          <w:p w14:paraId="389AA1FD"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1F4533DD"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3CE36DAB"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7BF2FE6D" w14:textId="77777777" w:rsidR="0070070D" w:rsidRPr="00B0658A" w:rsidRDefault="0070070D" w:rsidP="00004A41">
            <w:pPr>
              <w:spacing w:after="0" w:line="240" w:lineRule="auto"/>
              <w:jc w:val="both"/>
              <w:rPr>
                <w:rFonts w:ascii="Times New Roman" w:hAnsi="Times New Roman"/>
                <w:i/>
                <w:iCs/>
                <w:sz w:val="20"/>
                <w:szCs w:val="20"/>
              </w:rPr>
            </w:pPr>
          </w:p>
        </w:tc>
      </w:tr>
      <w:tr w:rsidR="00F52FED" w:rsidRPr="00B0658A" w14:paraId="48042C7A" w14:textId="77777777" w:rsidTr="001E5E80">
        <w:trPr>
          <w:trHeight w:val="170"/>
        </w:trPr>
        <w:tc>
          <w:tcPr>
            <w:tcW w:w="0" w:type="auto"/>
            <w:shd w:val="clear" w:color="auto" w:fill="auto"/>
          </w:tcPr>
          <w:p w14:paraId="08DAB7FC" w14:textId="77777777" w:rsidR="0070070D" w:rsidRPr="00B0658A" w:rsidRDefault="0070070D" w:rsidP="00004A41">
            <w:pPr>
              <w:spacing w:after="0" w:line="240" w:lineRule="auto"/>
              <w:rPr>
                <w:rFonts w:ascii="Times New Roman" w:hAnsi="Times New Roman"/>
                <w:sz w:val="20"/>
                <w:szCs w:val="20"/>
              </w:rPr>
            </w:pPr>
            <w:r w:rsidRPr="00B0658A">
              <w:rPr>
                <w:rFonts w:ascii="Times New Roman" w:hAnsi="Times New Roman"/>
                <w:sz w:val="18"/>
                <w:szCs w:val="18"/>
              </w:rPr>
              <w:lastRenderedPageBreak/>
              <w:t>9.9</w:t>
            </w:r>
          </w:p>
        </w:tc>
        <w:tc>
          <w:tcPr>
            <w:tcW w:w="3432" w:type="dxa"/>
            <w:shd w:val="clear" w:color="auto" w:fill="auto"/>
            <w:vAlign w:val="center"/>
          </w:tcPr>
          <w:p w14:paraId="49D0F2D9" w14:textId="77777777" w:rsidR="0070070D" w:rsidRPr="00B0658A" w:rsidRDefault="0070070D" w:rsidP="00004A41">
            <w:pPr>
              <w:spacing w:after="0" w:line="240" w:lineRule="auto"/>
              <w:rPr>
                <w:rFonts w:ascii="Times New Roman" w:hAnsi="Times New Roman"/>
                <w:sz w:val="20"/>
                <w:szCs w:val="20"/>
              </w:rPr>
            </w:pPr>
            <w:r w:rsidRPr="00B0658A">
              <w:rPr>
                <w:rFonts w:ascii="Times New Roman" w:hAnsi="Times New Roman"/>
                <w:sz w:val="18"/>
                <w:szCs w:val="18"/>
              </w:rPr>
              <w:t>Средства управления процессами организации/ Средства управления отношениями с клиентами (CRM)</w:t>
            </w:r>
          </w:p>
        </w:tc>
        <w:tc>
          <w:tcPr>
            <w:tcW w:w="1256" w:type="dxa"/>
          </w:tcPr>
          <w:p w14:paraId="7001406D"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7B118E61"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6B9017F2"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11F390BC" w14:textId="77777777" w:rsidR="0070070D" w:rsidRPr="00B0658A" w:rsidRDefault="0070070D" w:rsidP="00004A41">
            <w:pPr>
              <w:spacing w:after="0" w:line="240" w:lineRule="auto"/>
              <w:jc w:val="both"/>
              <w:rPr>
                <w:rFonts w:ascii="Times New Roman" w:hAnsi="Times New Roman"/>
                <w:i/>
                <w:iCs/>
                <w:sz w:val="20"/>
                <w:szCs w:val="20"/>
              </w:rPr>
            </w:pPr>
          </w:p>
        </w:tc>
      </w:tr>
      <w:tr w:rsidR="00F52FED" w:rsidRPr="00B0658A" w14:paraId="3F547A08" w14:textId="77777777" w:rsidTr="001E5E80">
        <w:trPr>
          <w:trHeight w:val="170"/>
        </w:trPr>
        <w:tc>
          <w:tcPr>
            <w:tcW w:w="0" w:type="auto"/>
            <w:shd w:val="clear" w:color="auto" w:fill="auto"/>
          </w:tcPr>
          <w:p w14:paraId="632B164A" w14:textId="77777777" w:rsidR="0070070D" w:rsidRPr="00B0658A" w:rsidRDefault="0070070D" w:rsidP="00004A41">
            <w:pPr>
              <w:spacing w:after="0" w:line="240" w:lineRule="auto"/>
              <w:rPr>
                <w:rFonts w:ascii="Times New Roman" w:hAnsi="Times New Roman"/>
                <w:sz w:val="20"/>
                <w:szCs w:val="20"/>
              </w:rPr>
            </w:pPr>
            <w:r w:rsidRPr="00B0658A">
              <w:rPr>
                <w:rFonts w:ascii="Times New Roman" w:hAnsi="Times New Roman"/>
                <w:sz w:val="18"/>
                <w:szCs w:val="18"/>
              </w:rPr>
              <w:t>9.10</w:t>
            </w:r>
          </w:p>
        </w:tc>
        <w:tc>
          <w:tcPr>
            <w:tcW w:w="3432" w:type="dxa"/>
            <w:shd w:val="clear" w:color="auto" w:fill="auto"/>
            <w:vAlign w:val="center"/>
          </w:tcPr>
          <w:p w14:paraId="07030A26" w14:textId="77777777" w:rsidR="0070070D" w:rsidRPr="00B0658A" w:rsidRDefault="0070070D" w:rsidP="00004A41">
            <w:pPr>
              <w:spacing w:after="0" w:line="240" w:lineRule="auto"/>
              <w:rPr>
                <w:rFonts w:ascii="Times New Roman" w:hAnsi="Times New Roman"/>
                <w:sz w:val="20"/>
                <w:szCs w:val="20"/>
              </w:rPr>
            </w:pPr>
            <w:r w:rsidRPr="00B0658A">
              <w:rPr>
                <w:rFonts w:ascii="Times New Roman" w:hAnsi="Times New Roman"/>
                <w:sz w:val="18"/>
                <w:szCs w:val="18"/>
              </w:rPr>
              <w:t>Средства управления процессами организации/ Средства управления ИТ-службой, ИТ-инфраструктурой и ИТ-активами (ITSM-ServiceDesk, SCCM, Asset Management)</w:t>
            </w:r>
          </w:p>
        </w:tc>
        <w:tc>
          <w:tcPr>
            <w:tcW w:w="1256" w:type="dxa"/>
          </w:tcPr>
          <w:p w14:paraId="1AA9118C"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6312F51C"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6952176C"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0D598BCA" w14:textId="77777777" w:rsidR="0070070D" w:rsidRPr="00B0658A" w:rsidRDefault="0070070D" w:rsidP="00004A41">
            <w:pPr>
              <w:spacing w:after="0" w:line="240" w:lineRule="auto"/>
              <w:jc w:val="both"/>
              <w:rPr>
                <w:rFonts w:ascii="Times New Roman" w:hAnsi="Times New Roman"/>
                <w:i/>
                <w:iCs/>
                <w:sz w:val="20"/>
                <w:szCs w:val="20"/>
              </w:rPr>
            </w:pPr>
          </w:p>
        </w:tc>
      </w:tr>
      <w:tr w:rsidR="00F52FED" w:rsidRPr="00B0658A" w14:paraId="194DCDED" w14:textId="77777777" w:rsidTr="001E5E80">
        <w:trPr>
          <w:trHeight w:val="170"/>
        </w:trPr>
        <w:tc>
          <w:tcPr>
            <w:tcW w:w="0" w:type="auto"/>
            <w:shd w:val="clear" w:color="auto" w:fill="auto"/>
          </w:tcPr>
          <w:p w14:paraId="26DA60D8" w14:textId="77777777" w:rsidR="0070070D" w:rsidRPr="00B0658A" w:rsidRDefault="0070070D" w:rsidP="00004A41">
            <w:pPr>
              <w:spacing w:after="0" w:line="240" w:lineRule="auto"/>
              <w:rPr>
                <w:rFonts w:ascii="Times New Roman" w:hAnsi="Times New Roman"/>
                <w:sz w:val="20"/>
                <w:szCs w:val="20"/>
              </w:rPr>
            </w:pPr>
            <w:r w:rsidRPr="00B0658A">
              <w:rPr>
                <w:rFonts w:ascii="Times New Roman" w:hAnsi="Times New Roman"/>
                <w:sz w:val="18"/>
                <w:szCs w:val="18"/>
              </w:rPr>
              <w:t>9.11</w:t>
            </w:r>
          </w:p>
        </w:tc>
        <w:tc>
          <w:tcPr>
            <w:tcW w:w="3432" w:type="dxa"/>
            <w:shd w:val="clear" w:color="auto" w:fill="auto"/>
            <w:vAlign w:val="center"/>
          </w:tcPr>
          <w:p w14:paraId="22C21371" w14:textId="77777777" w:rsidR="0070070D" w:rsidRPr="00B0658A" w:rsidRDefault="0070070D" w:rsidP="00004A41">
            <w:pPr>
              <w:suppressAutoHyphens/>
              <w:spacing w:after="0" w:line="240" w:lineRule="auto"/>
              <w:rPr>
                <w:rFonts w:ascii="Times New Roman" w:hAnsi="Times New Roman"/>
                <w:sz w:val="18"/>
                <w:szCs w:val="18"/>
              </w:rPr>
            </w:pPr>
            <w:r w:rsidRPr="00B0658A">
              <w:rPr>
                <w:rFonts w:ascii="Times New Roman" w:hAnsi="Times New Roman"/>
                <w:sz w:val="18"/>
                <w:szCs w:val="18"/>
              </w:rPr>
              <w:t xml:space="preserve">Средства управления процессами организации/ Средства управления содержимым (CMS), сайты </w:t>
            </w:r>
          </w:p>
          <w:p w14:paraId="0A7088C8" w14:textId="77777777" w:rsidR="0070070D" w:rsidRPr="00B0658A" w:rsidRDefault="0070070D" w:rsidP="00004A41">
            <w:pPr>
              <w:suppressAutoHyphens/>
              <w:spacing w:after="0" w:line="240" w:lineRule="auto"/>
              <w:rPr>
                <w:rFonts w:ascii="Times New Roman" w:hAnsi="Times New Roman"/>
                <w:sz w:val="20"/>
                <w:szCs w:val="20"/>
              </w:rPr>
            </w:pPr>
            <w:r w:rsidRPr="00B0658A">
              <w:rPr>
                <w:rFonts w:ascii="Times New Roman" w:hAnsi="Times New Roman"/>
                <w:sz w:val="18"/>
                <w:szCs w:val="18"/>
              </w:rPr>
              <w:t>и портальные решения</w:t>
            </w:r>
          </w:p>
        </w:tc>
        <w:tc>
          <w:tcPr>
            <w:tcW w:w="1256" w:type="dxa"/>
          </w:tcPr>
          <w:p w14:paraId="1A3C1303"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0DB20FF7"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031B4137"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47A17D39" w14:textId="77777777" w:rsidR="0070070D" w:rsidRPr="00B0658A" w:rsidRDefault="0070070D" w:rsidP="00004A41">
            <w:pPr>
              <w:spacing w:after="0" w:line="240" w:lineRule="auto"/>
              <w:jc w:val="both"/>
              <w:rPr>
                <w:rFonts w:ascii="Times New Roman" w:hAnsi="Times New Roman"/>
                <w:i/>
                <w:iCs/>
                <w:sz w:val="20"/>
                <w:szCs w:val="20"/>
              </w:rPr>
            </w:pPr>
          </w:p>
        </w:tc>
      </w:tr>
      <w:tr w:rsidR="00F52FED" w:rsidRPr="00B0658A" w14:paraId="32F10DED" w14:textId="77777777" w:rsidTr="001E5E80">
        <w:trPr>
          <w:trHeight w:val="170"/>
        </w:trPr>
        <w:tc>
          <w:tcPr>
            <w:tcW w:w="0" w:type="auto"/>
            <w:shd w:val="clear" w:color="auto" w:fill="auto"/>
          </w:tcPr>
          <w:p w14:paraId="58E1BBE3" w14:textId="77777777" w:rsidR="0070070D" w:rsidRPr="00B0658A" w:rsidRDefault="0070070D" w:rsidP="00004A41">
            <w:pPr>
              <w:spacing w:after="0" w:line="240" w:lineRule="auto"/>
              <w:rPr>
                <w:rFonts w:ascii="Times New Roman" w:hAnsi="Times New Roman"/>
                <w:sz w:val="20"/>
                <w:szCs w:val="20"/>
              </w:rPr>
            </w:pPr>
            <w:r w:rsidRPr="00B0658A">
              <w:rPr>
                <w:rFonts w:ascii="Times New Roman" w:hAnsi="Times New Roman"/>
                <w:sz w:val="18"/>
                <w:szCs w:val="18"/>
              </w:rPr>
              <w:t>9.12</w:t>
            </w:r>
          </w:p>
        </w:tc>
        <w:tc>
          <w:tcPr>
            <w:tcW w:w="3432" w:type="dxa"/>
            <w:shd w:val="clear" w:color="auto" w:fill="auto"/>
            <w:vAlign w:val="center"/>
          </w:tcPr>
          <w:p w14:paraId="66F1D58B" w14:textId="77777777" w:rsidR="0070070D" w:rsidRPr="00B0658A" w:rsidRDefault="0070070D" w:rsidP="00004A41">
            <w:pPr>
              <w:spacing w:after="0" w:line="240" w:lineRule="auto"/>
              <w:rPr>
                <w:rFonts w:ascii="Times New Roman" w:hAnsi="Times New Roman"/>
                <w:sz w:val="20"/>
                <w:szCs w:val="20"/>
              </w:rPr>
            </w:pPr>
            <w:r w:rsidRPr="00B0658A">
              <w:rPr>
                <w:rFonts w:ascii="Times New Roman" w:hAnsi="Times New Roman"/>
                <w:sz w:val="18"/>
                <w:szCs w:val="18"/>
              </w:rPr>
              <w:t>Средства управления процессами организации/ Средства электронной коммерции (e-commerce platform)</w:t>
            </w:r>
          </w:p>
        </w:tc>
        <w:tc>
          <w:tcPr>
            <w:tcW w:w="1256" w:type="dxa"/>
          </w:tcPr>
          <w:p w14:paraId="669A2CC8"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43B4D517"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0B5FA46E"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6F33D7F7" w14:textId="77777777" w:rsidR="0070070D" w:rsidRPr="00B0658A" w:rsidRDefault="0070070D" w:rsidP="00004A41">
            <w:pPr>
              <w:spacing w:after="0" w:line="240" w:lineRule="auto"/>
              <w:jc w:val="both"/>
              <w:rPr>
                <w:rFonts w:ascii="Times New Roman" w:hAnsi="Times New Roman"/>
                <w:i/>
                <w:iCs/>
                <w:sz w:val="20"/>
                <w:szCs w:val="20"/>
              </w:rPr>
            </w:pPr>
          </w:p>
        </w:tc>
      </w:tr>
      <w:tr w:rsidR="00F52FED" w:rsidRPr="00B0658A" w14:paraId="1FDD2278" w14:textId="77777777" w:rsidTr="001E5E80">
        <w:trPr>
          <w:trHeight w:val="170"/>
        </w:trPr>
        <w:tc>
          <w:tcPr>
            <w:tcW w:w="0" w:type="auto"/>
            <w:shd w:val="clear" w:color="auto" w:fill="auto"/>
          </w:tcPr>
          <w:p w14:paraId="64B005DA" w14:textId="77777777" w:rsidR="0070070D" w:rsidRPr="00B0658A" w:rsidRDefault="0070070D" w:rsidP="00004A41">
            <w:pPr>
              <w:spacing w:after="0" w:line="240" w:lineRule="auto"/>
              <w:rPr>
                <w:rFonts w:ascii="Times New Roman" w:hAnsi="Times New Roman"/>
                <w:sz w:val="20"/>
                <w:szCs w:val="20"/>
              </w:rPr>
            </w:pPr>
            <w:r w:rsidRPr="00B0658A">
              <w:rPr>
                <w:rFonts w:ascii="Times New Roman" w:hAnsi="Times New Roman"/>
                <w:sz w:val="18"/>
                <w:szCs w:val="18"/>
              </w:rPr>
              <w:t>9.13</w:t>
            </w:r>
          </w:p>
        </w:tc>
        <w:tc>
          <w:tcPr>
            <w:tcW w:w="3432" w:type="dxa"/>
            <w:shd w:val="clear" w:color="auto" w:fill="auto"/>
            <w:vAlign w:val="center"/>
          </w:tcPr>
          <w:p w14:paraId="4FDD6458" w14:textId="77777777" w:rsidR="0070070D" w:rsidRPr="00B0658A" w:rsidRDefault="0070070D" w:rsidP="00004A41">
            <w:pPr>
              <w:spacing w:after="0" w:line="240" w:lineRule="auto"/>
              <w:rPr>
                <w:rFonts w:ascii="Times New Roman" w:hAnsi="Times New Roman"/>
                <w:sz w:val="20"/>
                <w:szCs w:val="20"/>
              </w:rPr>
            </w:pPr>
            <w:r w:rsidRPr="00B0658A">
              <w:rPr>
                <w:rFonts w:ascii="Times New Roman" w:hAnsi="Times New Roman"/>
                <w:sz w:val="18"/>
                <w:szCs w:val="18"/>
              </w:rPr>
              <w:t>Средства управления процессами организации/ Средства управления складом и цепочками поставок (WMS, SCM)</w:t>
            </w:r>
          </w:p>
        </w:tc>
        <w:tc>
          <w:tcPr>
            <w:tcW w:w="1256" w:type="dxa"/>
          </w:tcPr>
          <w:p w14:paraId="7B5F703D"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1761C00F"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1C11C882"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7145DA85" w14:textId="77777777" w:rsidR="0070070D" w:rsidRPr="00B0658A" w:rsidRDefault="0070070D" w:rsidP="00004A41">
            <w:pPr>
              <w:spacing w:after="0" w:line="240" w:lineRule="auto"/>
              <w:jc w:val="both"/>
              <w:rPr>
                <w:rFonts w:ascii="Times New Roman" w:hAnsi="Times New Roman"/>
                <w:i/>
                <w:iCs/>
                <w:sz w:val="20"/>
                <w:szCs w:val="20"/>
              </w:rPr>
            </w:pPr>
          </w:p>
        </w:tc>
      </w:tr>
      <w:tr w:rsidR="00F52FED" w:rsidRPr="00B0658A" w14:paraId="188B4A9A" w14:textId="77777777" w:rsidTr="001E5E80">
        <w:trPr>
          <w:trHeight w:val="170"/>
        </w:trPr>
        <w:tc>
          <w:tcPr>
            <w:tcW w:w="0" w:type="auto"/>
            <w:shd w:val="clear" w:color="auto" w:fill="auto"/>
          </w:tcPr>
          <w:p w14:paraId="01801CB4" w14:textId="77777777" w:rsidR="0070070D" w:rsidRPr="00B0658A" w:rsidRDefault="0070070D" w:rsidP="00004A41">
            <w:pPr>
              <w:spacing w:after="0" w:line="240" w:lineRule="auto"/>
              <w:rPr>
                <w:rFonts w:ascii="Times New Roman" w:hAnsi="Times New Roman"/>
                <w:sz w:val="20"/>
                <w:szCs w:val="20"/>
              </w:rPr>
            </w:pPr>
            <w:r w:rsidRPr="00B0658A">
              <w:rPr>
                <w:rFonts w:ascii="Times New Roman" w:hAnsi="Times New Roman"/>
                <w:sz w:val="18"/>
                <w:szCs w:val="18"/>
              </w:rPr>
              <w:t>9.14</w:t>
            </w:r>
          </w:p>
        </w:tc>
        <w:tc>
          <w:tcPr>
            <w:tcW w:w="3432" w:type="dxa"/>
            <w:shd w:val="clear" w:color="auto" w:fill="auto"/>
            <w:vAlign w:val="center"/>
          </w:tcPr>
          <w:p w14:paraId="2AD9E754" w14:textId="77777777" w:rsidR="0070070D" w:rsidRPr="00B0658A" w:rsidRDefault="0070070D" w:rsidP="00004A41">
            <w:pPr>
              <w:spacing w:after="0" w:line="240" w:lineRule="auto"/>
              <w:rPr>
                <w:rFonts w:ascii="Times New Roman" w:hAnsi="Times New Roman"/>
                <w:sz w:val="20"/>
                <w:szCs w:val="20"/>
              </w:rPr>
            </w:pPr>
            <w:r w:rsidRPr="00B0658A">
              <w:rPr>
                <w:rFonts w:ascii="Times New Roman" w:hAnsi="Times New Roman"/>
                <w:sz w:val="18"/>
                <w:szCs w:val="18"/>
              </w:rPr>
              <w:t>Средства управления процессами организации/ Средства централизованного управления конечными устройствами</w:t>
            </w:r>
          </w:p>
        </w:tc>
        <w:tc>
          <w:tcPr>
            <w:tcW w:w="1256" w:type="dxa"/>
          </w:tcPr>
          <w:p w14:paraId="048C555E"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16B39995"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03179B39"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3BAA8A60" w14:textId="77777777" w:rsidR="0070070D" w:rsidRPr="00B0658A" w:rsidRDefault="0070070D" w:rsidP="00004A41">
            <w:pPr>
              <w:spacing w:after="0" w:line="240" w:lineRule="auto"/>
              <w:jc w:val="both"/>
              <w:rPr>
                <w:rFonts w:ascii="Times New Roman" w:hAnsi="Times New Roman"/>
                <w:i/>
                <w:iCs/>
                <w:sz w:val="20"/>
                <w:szCs w:val="20"/>
              </w:rPr>
            </w:pPr>
          </w:p>
        </w:tc>
      </w:tr>
      <w:tr w:rsidR="00F52FED" w:rsidRPr="00B0658A" w14:paraId="6C809CE7" w14:textId="77777777" w:rsidTr="001E5E80">
        <w:trPr>
          <w:trHeight w:val="170"/>
        </w:trPr>
        <w:tc>
          <w:tcPr>
            <w:tcW w:w="0" w:type="auto"/>
            <w:shd w:val="clear" w:color="auto" w:fill="auto"/>
          </w:tcPr>
          <w:p w14:paraId="32B9ADD8" w14:textId="77777777" w:rsidR="0070070D" w:rsidRPr="00B0658A" w:rsidRDefault="0070070D" w:rsidP="00004A41">
            <w:pPr>
              <w:spacing w:after="0" w:line="240" w:lineRule="auto"/>
              <w:rPr>
                <w:rFonts w:ascii="Times New Roman" w:hAnsi="Times New Roman"/>
                <w:sz w:val="20"/>
                <w:szCs w:val="20"/>
              </w:rPr>
            </w:pPr>
            <w:r w:rsidRPr="00B0658A">
              <w:rPr>
                <w:rFonts w:ascii="Times New Roman" w:hAnsi="Times New Roman"/>
                <w:sz w:val="18"/>
                <w:szCs w:val="18"/>
              </w:rPr>
              <w:t>10.1</w:t>
            </w:r>
          </w:p>
        </w:tc>
        <w:tc>
          <w:tcPr>
            <w:tcW w:w="3432" w:type="dxa"/>
            <w:shd w:val="clear" w:color="auto" w:fill="auto"/>
            <w:vAlign w:val="center"/>
          </w:tcPr>
          <w:p w14:paraId="184EFE47" w14:textId="77777777" w:rsidR="0070070D" w:rsidRPr="00B0658A" w:rsidRDefault="0070070D" w:rsidP="00004A41">
            <w:pPr>
              <w:spacing w:after="0" w:line="240" w:lineRule="auto"/>
              <w:rPr>
                <w:rFonts w:ascii="Times New Roman" w:hAnsi="Times New Roman"/>
                <w:sz w:val="20"/>
                <w:szCs w:val="20"/>
              </w:rPr>
            </w:pPr>
            <w:r w:rsidRPr="00B0658A">
              <w:rPr>
                <w:rFonts w:ascii="Times New Roman" w:hAnsi="Times New Roman"/>
                <w:sz w:val="18"/>
                <w:szCs w:val="18"/>
              </w:rPr>
              <w:t>Средства обработки и визуализации массивов данных/ Средства обработки Больших Данных (BigData)</w:t>
            </w:r>
          </w:p>
        </w:tc>
        <w:tc>
          <w:tcPr>
            <w:tcW w:w="1256" w:type="dxa"/>
          </w:tcPr>
          <w:p w14:paraId="297DB639"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56C466AC"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47A3B6A4"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6EA28977" w14:textId="77777777" w:rsidR="0070070D" w:rsidRPr="00B0658A" w:rsidRDefault="0070070D" w:rsidP="00004A41">
            <w:pPr>
              <w:spacing w:after="0" w:line="240" w:lineRule="auto"/>
              <w:jc w:val="both"/>
              <w:rPr>
                <w:rFonts w:ascii="Times New Roman" w:hAnsi="Times New Roman"/>
                <w:i/>
                <w:iCs/>
                <w:sz w:val="20"/>
                <w:szCs w:val="20"/>
              </w:rPr>
            </w:pPr>
          </w:p>
        </w:tc>
      </w:tr>
      <w:tr w:rsidR="00F52FED" w:rsidRPr="00B0658A" w14:paraId="6410A6E1" w14:textId="77777777" w:rsidTr="001E5E80">
        <w:trPr>
          <w:trHeight w:val="170"/>
        </w:trPr>
        <w:tc>
          <w:tcPr>
            <w:tcW w:w="0" w:type="auto"/>
            <w:shd w:val="clear" w:color="auto" w:fill="auto"/>
          </w:tcPr>
          <w:p w14:paraId="1D1041BB" w14:textId="77777777" w:rsidR="0070070D" w:rsidRPr="00B0658A" w:rsidRDefault="0070070D" w:rsidP="00004A41">
            <w:pPr>
              <w:spacing w:after="0" w:line="240" w:lineRule="auto"/>
              <w:rPr>
                <w:rFonts w:ascii="Times New Roman" w:hAnsi="Times New Roman"/>
                <w:sz w:val="20"/>
                <w:szCs w:val="20"/>
              </w:rPr>
            </w:pPr>
            <w:r w:rsidRPr="00B0658A">
              <w:rPr>
                <w:rFonts w:ascii="Times New Roman" w:hAnsi="Times New Roman"/>
                <w:sz w:val="18"/>
                <w:szCs w:val="18"/>
              </w:rPr>
              <w:t>10.2</w:t>
            </w:r>
          </w:p>
        </w:tc>
        <w:tc>
          <w:tcPr>
            <w:tcW w:w="3432" w:type="dxa"/>
            <w:shd w:val="clear" w:color="auto" w:fill="auto"/>
            <w:vAlign w:val="center"/>
          </w:tcPr>
          <w:p w14:paraId="13B6677F" w14:textId="77777777" w:rsidR="0070070D" w:rsidRPr="00B0658A" w:rsidRDefault="0070070D" w:rsidP="00004A41">
            <w:pPr>
              <w:spacing w:after="0" w:line="240" w:lineRule="auto"/>
              <w:rPr>
                <w:rFonts w:ascii="Times New Roman" w:hAnsi="Times New Roman"/>
                <w:sz w:val="20"/>
                <w:szCs w:val="20"/>
              </w:rPr>
            </w:pPr>
            <w:r w:rsidRPr="00B0658A">
              <w:rPr>
                <w:rFonts w:ascii="Times New Roman" w:hAnsi="Times New Roman"/>
                <w:sz w:val="18"/>
                <w:szCs w:val="18"/>
              </w:rPr>
              <w:t>Средства обработки и визуализации массивов данных/ Средства обработки и анализа геологических и геофизических данных</w:t>
            </w:r>
          </w:p>
        </w:tc>
        <w:tc>
          <w:tcPr>
            <w:tcW w:w="1256" w:type="dxa"/>
          </w:tcPr>
          <w:p w14:paraId="57AD2E54"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29D73963"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40C161E2"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55D4E98D" w14:textId="77777777" w:rsidR="0070070D" w:rsidRPr="00B0658A" w:rsidRDefault="0070070D" w:rsidP="00004A41">
            <w:pPr>
              <w:spacing w:after="0" w:line="240" w:lineRule="auto"/>
              <w:jc w:val="both"/>
              <w:rPr>
                <w:rFonts w:ascii="Times New Roman" w:hAnsi="Times New Roman"/>
                <w:i/>
                <w:iCs/>
                <w:sz w:val="20"/>
                <w:szCs w:val="20"/>
              </w:rPr>
            </w:pPr>
          </w:p>
        </w:tc>
      </w:tr>
      <w:tr w:rsidR="00F52FED" w:rsidRPr="00B0658A" w14:paraId="7744B6B8" w14:textId="77777777" w:rsidTr="001E5E80">
        <w:trPr>
          <w:trHeight w:val="170"/>
        </w:trPr>
        <w:tc>
          <w:tcPr>
            <w:tcW w:w="0" w:type="auto"/>
            <w:shd w:val="clear" w:color="auto" w:fill="auto"/>
          </w:tcPr>
          <w:p w14:paraId="6DDEEBB7" w14:textId="77777777" w:rsidR="0070070D" w:rsidRPr="00B0658A" w:rsidRDefault="0070070D" w:rsidP="00004A41">
            <w:pPr>
              <w:spacing w:after="0" w:line="240" w:lineRule="auto"/>
              <w:rPr>
                <w:rFonts w:ascii="Times New Roman" w:hAnsi="Times New Roman"/>
                <w:sz w:val="20"/>
                <w:szCs w:val="20"/>
              </w:rPr>
            </w:pPr>
            <w:r w:rsidRPr="00B0658A">
              <w:rPr>
                <w:rFonts w:ascii="Times New Roman" w:hAnsi="Times New Roman"/>
                <w:sz w:val="18"/>
                <w:szCs w:val="18"/>
              </w:rPr>
              <w:t>10.3</w:t>
            </w:r>
          </w:p>
        </w:tc>
        <w:tc>
          <w:tcPr>
            <w:tcW w:w="3432" w:type="dxa"/>
            <w:shd w:val="clear" w:color="auto" w:fill="auto"/>
            <w:vAlign w:val="center"/>
          </w:tcPr>
          <w:p w14:paraId="1C05AD7D" w14:textId="77777777" w:rsidR="0070070D" w:rsidRPr="00B0658A" w:rsidRDefault="0070070D" w:rsidP="00004A41">
            <w:pPr>
              <w:spacing w:after="0" w:line="240" w:lineRule="auto"/>
              <w:rPr>
                <w:rFonts w:ascii="Times New Roman" w:hAnsi="Times New Roman"/>
                <w:sz w:val="20"/>
                <w:szCs w:val="20"/>
              </w:rPr>
            </w:pPr>
            <w:r w:rsidRPr="00B0658A">
              <w:rPr>
                <w:rFonts w:ascii="Times New Roman" w:hAnsi="Times New Roman"/>
                <w:sz w:val="18"/>
                <w:szCs w:val="18"/>
              </w:rPr>
              <w:t>Средства обработки и визуализации массивов данных/ Средства математического и имитационного моделирования</w:t>
            </w:r>
          </w:p>
        </w:tc>
        <w:tc>
          <w:tcPr>
            <w:tcW w:w="1256" w:type="dxa"/>
          </w:tcPr>
          <w:p w14:paraId="20DD5E5E"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6779FA56"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4D85AC4E"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1C2FF7DE" w14:textId="77777777" w:rsidR="0070070D" w:rsidRPr="00B0658A" w:rsidRDefault="0070070D" w:rsidP="00004A41">
            <w:pPr>
              <w:spacing w:after="0" w:line="240" w:lineRule="auto"/>
              <w:jc w:val="both"/>
              <w:rPr>
                <w:rFonts w:ascii="Times New Roman" w:hAnsi="Times New Roman"/>
                <w:i/>
                <w:iCs/>
                <w:sz w:val="20"/>
                <w:szCs w:val="20"/>
              </w:rPr>
            </w:pPr>
          </w:p>
        </w:tc>
      </w:tr>
      <w:tr w:rsidR="00F52FED" w:rsidRPr="00B0658A" w14:paraId="2996B128" w14:textId="77777777" w:rsidTr="001E5E80">
        <w:trPr>
          <w:trHeight w:val="170"/>
        </w:trPr>
        <w:tc>
          <w:tcPr>
            <w:tcW w:w="0" w:type="auto"/>
            <w:shd w:val="clear" w:color="auto" w:fill="auto"/>
          </w:tcPr>
          <w:p w14:paraId="22229E17" w14:textId="77777777" w:rsidR="0070070D" w:rsidRPr="00B0658A" w:rsidRDefault="0070070D" w:rsidP="00004A41">
            <w:pPr>
              <w:spacing w:after="0" w:line="240" w:lineRule="auto"/>
              <w:rPr>
                <w:rFonts w:ascii="Times New Roman" w:hAnsi="Times New Roman"/>
                <w:sz w:val="20"/>
                <w:szCs w:val="20"/>
              </w:rPr>
            </w:pPr>
            <w:r w:rsidRPr="00B0658A">
              <w:rPr>
                <w:rFonts w:ascii="Times New Roman" w:hAnsi="Times New Roman"/>
                <w:sz w:val="18"/>
                <w:szCs w:val="18"/>
              </w:rPr>
              <w:t>10.4</w:t>
            </w:r>
          </w:p>
        </w:tc>
        <w:tc>
          <w:tcPr>
            <w:tcW w:w="3432" w:type="dxa"/>
            <w:shd w:val="clear" w:color="auto" w:fill="auto"/>
            <w:vAlign w:val="center"/>
          </w:tcPr>
          <w:p w14:paraId="2517ABE7" w14:textId="77777777" w:rsidR="0070070D" w:rsidRPr="00B0658A" w:rsidRDefault="0070070D" w:rsidP="00004A41">
            <w:pPr>
              <w:spacing w:after="0" w:line="240" w:lineRule="auto"/>
              <w:rPr>
                <w:rFonts w:ascii="Times New Roman" w:hAnsi="Times New Roman"/>
                <w:sz w:val="20"/>
                <w:szCs w:val="20"/>
              </w:rPr>
            </w:pPr>
            <w:r w:rsidRPr="00B0658A">
              <w:rPr>
                <w:rFonts w:ascii="Times New Roman" w:hAnsi="Times New Roman"/>
                <w:sz w:val="18"/>
                <w:szCs w:val="18"/>
              </w:rPr>
              <w:t xml:space="preserve">Средства обработки и визуализации массивов данных/ Средства управления информационными ресурсами и средства </w:t>
            </w:r>
            <w:r w:rsidRPr="00B0658A">
              <w:rPr>
                <w:rFonts w:ascii="Times New Roman" w:hAnsi="Times New Roman"/>
                <w:sz w:val="18"/>
                <w:szCs w:val="18"/>
              </w:rPr>
              <w:lastRenderedPageBreak/>
              <w:t>управления основными данными (ECM, MDM)</w:t>
            </w:r>
          </w:p>
        </w:tc>
        <w:tc>
          <w:tcPr>
            <w:tcW w:w="1256" w:type="dxa"/>
          </w:tcPr>
          <w:p w14:paraId="182A84B4"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3231A151"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3506758C"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53D83C86" w14:textId="77777777" w:rsidR="0070070D" w:rsidRPr="00B0658A" w:rsidRDefault="0070070D" w:rsidP="00004A41">
            <w:pPr>
              <w:spacing w:after="0" w:line="240" w:lineRule="auto"/>
              <w:jc w:val="both"/>
              <w:rPr>
                <w:rFonts w:ascii="Times New Roman" w:hAnsi="Times New Roman"/>
                <w:i/>
                <w:iCs/>
                <w:sz w:val="20"/>
                <w:szCs w:val="20"/>
              </w:rPr>
            </w:pPr>
          </w:p>
        </w:tc>
      </w:tr>
      <w:tr w:rsidR="00F52FED" w:rsidRPr="00B0658A" w14:paraId="2FB515EE" w14:textId="77777777" w:rsidTr="001E5E80">
        <w:trPr>
          <w:trHeight w:val="170"/>
        </w:trPr>
        <w:tc>
          <w:tcPr>
            <w:tcW w:w="0" w:type="auto"/>
            <w:shd w:val="clear" w:color="auto" w:fill="auto"/>
          </w:tcPr>
          <w:p w14:paraId="15170228" w14:textId="77777777" w:rsidR="0070070D" w:rsidRPr="00B0658A" w:rsidRDefault="0070070D" w:rsidP="00004A41">
            <w:pPr>
              <w:spacing w:after="0" w:line="240" w:lineRule="auto"/>
              <w:rPr>
                <w:rFonts w:ascii="Times New Roman" w:hAnsi="Times New Roman"/>
                <w:sz w:val="20"/>
                <w:szCs w:val="20"/>
              </w:rPr>
            </w:pPr>
            <w:r w:rsidRPr="00B0658A">
              <w:rPr>
                <w:rFonts w:ascii="Times New Roman" w:hAnsi="Times New Roman"/>
                <w:sz w:val="18"/>
                <w:szCs w:val="18"/>
              </w:rPr>
              <w:t>11.1</w:t>
            </w:r>
          </w:p>
        </w:tc>
        <w:tc>
          <w:tcPr>
            <w:tcW w:w="3432" w:type="dxa"/>
            <w:shd w:val="clear" w:color="auto" w:fill="auto"/>
            <w:vAlign w:val="center"/>
          </w:tcPr>
          <w:p w14:paraId="2EBA7BF8" w14:textId="77777777" w:rsidR="0070070D" w:rsidRPr="00B0658A" w:rsidRDefault="0070070D" w:rsidP="00004A41">
            <w:pPr>
              <w:spacing w:after="0" w:line="240" w:lineRule="auto"/>
              <w:rPr>
                <w:rFonts w:ascii="Times New Roman" w:hAnsi="Times New Roman"/>
                <w:sz w:val="20"/>
                <w:szCs w:val="20"/>
              </w:rPr>
            </w:pPr>
            <w:r w:rsidRPr="00B0658A">
              <w:rPr>
                <w:rFonts w:ascii="Times New Roman" w:hAnsi="Times New Roman"/>
                <w:sz w:val="18"/>
                <w:szCs w:val="18"/>
              </w:rPr>
              <w:t>Средства анализа данных/ Инструменты извлечения и трансформации данных (ETL)</w:t>
            </w:r>
          </w:p>
        </w:tc>
        <w:tc>
          <w:tcPr>
            <w:tcW w:w="1256" w:type="dxa"/>
          </w:tcPr>
          <w:p w14:paraId="43329EDA"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0804EF29"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4057A2D4"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7D0E7BEC" w14:textId="77777777" w:rsidR="0070070D" w:rsidRPr="00B0658A" w:rsidRDefault="0070070D" w:rsidP="00004A41">
            <w:pPr>
              <w:spacing w:after="0" w:line="240" w:lineRule="auto"/>
              <w:jc w:val="both"/>
              <w:rPr>
                <w:rFonts w:ascii="Times New Roman" w:hAnsi="Times New Roman"/>
                <w:i/>
                <w:iCs/>
                <w:sz w:val="20"/>
                <w:szCs w:val="20"/>
              </w:rPr>
            </w:pPr>
          </w:p>
        </w:tc>
      </w:tr>
      <w:tr w:rsidR="00F52FED" w:rsidRPr="00B0658A" w14:paraId="38826C39" w14:textId="77777777" w:rsidTr="001E5E80">
        <w:trPr>
          <w:trHeight w:val="170"/>
        </w:trPr>
        <w:tc>
          <w:tcPr>
            <w:tcW w:w="0" w:type="auto"/>
            <w:shd w:val="clear" w:color="auto" w:fill="auto"/>
          </w:tcPr>
          <w:p w14:paraId="5117156A" w14:textId="77777777" w:rsidR="0070070D" w:rsidRPr="00B0658A" w:rsidRDefault="0070070D" w:rsidP="00004A41">
            <w:pPr>
              <w:spacing w:after="0" w:line="240" w:lineRule="auto"/>
              <w:rPr>
                <w:rFonts w:ascii="Times New Roman" w:hAnsi="Times New Roman"/>
                <w:sz w:val="20"/>
                <w:szCs w:val="20"/>
              </w:rPr>
            </w:pPr>
            <w:r w:rsidRPr="00B0658A">
              <w:rPr>
                <w:rFonts w:ascii="Times New Roman" w:hAnsi="Times New Roman"/>
                <w:sz w:val="18"/>
                <w:szCs w:val="18"/>
              </w:rPr>
              <w:t>11.2</w:t>
            </w:r>
          </w:p>
        </w:tc>
        <w:tc>
          <w:tcPr>
            <w:tcW w:w="3432" w:type="dxa"/>
            <w:shd w:val="clear" w:color="auto" w:fill="auto"/>
            <w:vAlign w:val="center"/>
          </w:tcPr>
          <w:p w14:paraId="7D9D680F" w14:textId="77777777" w:rsidR="0070070D" w:rsidRPr="00B0658A" w:rsidRDefault="0070070D" w:rsidP="00004A41">
            <w:pPr>
              <w:spacing w:after="0" w:line="240" w:lineRule="auto"/>
              <w:rPr>
                <w:rFonts w:ascii="Times New Roman" w:hAnsi="Times New Roman"/>
                <w:sz w:val="20"/>
                <w:szCs w:val="20"/>
              </w:rPr>
            </w:pPr>
            <w:r w:rsidRPr="00B0658A">
              <w:rPr>
                <w:rFonts w:ascii="Times New Roman" w:hAnsi="Times New Roman"/>
                <w:sz w:val="18"/>
                <w:szCs w:val="18"/>
              </w:rPr>
              <w:t>Средства анализа данных/ Предметно-ориентированные информационные базы данных (EDW)</w:t>
            </w:r>
          </w:p>
        </w:tc>
        <w:tc>
          <w:tcPr>
            <w:tcW w:w="1256" w:type="dxa"/>
          </w:tcPr>
          <w:p w14:paraId="1AADFE83"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2009B332"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2F2C4335"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501B0B04" w14:textId="77777777" w:rsidR="0070070D" w:rsidRPr="00B0658A" w:rsidRDefault="0070070D" w:rsidP="00004A41">
            <w:pPr>
              <w:spacing w:after="0" w:line="240" w:lineRule="auto"/>
              <w:jc w:val="both"/>
              <w:rPr>
                <w:rFonts w:ascii="Times New Roman" w:hAnsi="Times New Roman"/>
                <w:i/>
                <w:iCs/>
                <w:sz w:val="20"/>
                <w:szCs w:val="20"/>
              </w:rPr>
            </w:pPr>
          </w:p>
        </w:tc>
      </w:tr>
      <w:tr w:rsidR="00F52FED" w:rsidRPr="00B0658A" w14:paraId="243237F8" w14:textId="77777777" w:rsidTr="001E5E80">
        <w:trPr>
          <w:trHeight w:val="170"/>
        </w:trPr>
        <w:tc>
          <w:tcPr>
            <w:tcW w:w="0" w:type="auto"/>
            <w:shd w:val="clear" w:color="auto" w:fill="auto"/>
          </w:tcPr>
          <w:p w14:paraId="7E7EA364" w14:textId="77777777" w:rsidR="0070070D" w:rsidRPr="00B0658A" w:rsidRDefault="0070070D" w:rsidP="00004A41">
            <w:pPr>
              <w:spacing w:after="0" w:line="240" w:lineRule="auto"/>
              <w:rPr>
                <w:rFonts w:ascii="Times New Roman" w:hAnsi="Times New Roman"/>
                <w:sz w:val="20"/>
                <w:szCs w:val="20"/>
              </w:rPr>
            </w:pPr>
            <w:r w:rsidRPr="00B0658A">
              <w:rPr>
                <w:rFonts w:ascii="Times New Roman" w:hAnsi="Times New Roman"/>
                <w:sz w:val="18"/>
                <w:szCs w:val="18"/>
              </w:rPr>
              <w:t>11.3</w:t>
            </w:r>
          </w:p>
        </w:tc>
        <w:tc>
          <w:tcPr>
            <w:tcW w:w="3432" w:type="dxa"/>
            <w:shd w:val="clear" w:color="auto" w:fill="auto"/>
            <w:vAlign w:val="center"/>
          </w:tcPr>
          <w:p w14:paraId="5B4F279E" w14:textId="77777777" w:rsidR="0070070D" w:rsidRPr="00B0658A" w:rsidRDefault="0070070D" w:rsidP="00004A41">
            <w:pPr>
              <w:suppressAutoHyphens/>
              <w:spacing w:after="0" w:line="240" w:lineRule="auto"/>
              <w:rPr>
                <w:rFonts w:ascii="Times New Roman" w:hAnsi="Times New Roman"/>
                <w:sz w:val="18"/>
                <w:szCs w:val="18"/>
              </w:rPr>
            </w:pPr>
            <w:r w:rsidRPr="00B0658A">
              <w:rPr>
                <w:rFonts w:ascii="Times New Roman" w:hAnsi="Times New Roman"/>
                <w:sz w:val="18"/>
                <w:szCs w:val="18"/>
              </w:rPr>
              <w:t>Средства анализа данных/</w:t>
            </w:r>
          </w:p>
          <w:p w14:paraId="06AFAEA5" w14:textId="77777777" w:rsidR="0070070D" w:rsidRPr="00B0658A" w:rsidRDefault="0070070D" w:rsidP="00004A41">
            <w:pPr>
              <w:spacing w:after="0" w:line="240" w:lineRule="auto"/>
              <w:rPr>
                <w:rFonts w:ascii="Times New Roman" w:hAnsi="Times New Roman"/>
                <w:sz w:val="20"/>
                <w:szCs w:val="20"/>
              </w:rPr>
            </w:pPr>
            <w:r w:rsidRPr="00B0658A">
              <w:rPr>
                <w:rFonts w:ascii="Times New Roman" w:hAnsi="Times New Roman"/>
                <w:sz w:val="18"/>
                <w:szCs w:val="18"/>
              </w:rPr>
              <w:t>Средства аналитической обработки в реальном времени (OLAP)</w:t>
            </w:r>
          </w:p>
        </w:tc>
        <w:tc>
          <w:tcPr>
            <w:tcW w:w="1256" w:type="dxa"/>
          </w:tcPr>
          <w:p w14:paraId="1CCBA60B"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4BADAD04"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60D3550F"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2672FBCA" w14:textId="77777777" w:rsidR="0070070D" w:rsidRPr="00B0658A" w:rsidRDefault="0070070D" w:rsidP="00004A41">
            <w:pPr>
              <w:spacing w:after="0" w:line="240" w:lineRule="auto"/>
              <w:jc w:val="both"/>
              <w:rPr>
                <w:rFonts w:ascii="Times New Roman" w:hAnsi="Times New Roman"/>
                <w:i/>
                <w:iCs/>
                <w:sz w:val="20"/>
                <w:szCs w:val="20"/>
              </w:rPr>
            </w:pPr>
          </w:p>
        </w:tc>
      </w:tr>
      <w:tr w:rsidR="00F52FED" w:rsidRPr="00B0658A" w14:paraId="5BE8FF56" w14:textId="77777777" w:rsidTr="001E5E80">
        <w:trPr>
          <w:trHeight w:val="170"/>
        </w:trPr>
        <w:tc>
          <w:tcPr>
            <w:tcW w:w="0" w:type="auto"/>
            <w:shd w:val="clear" w:color="auto" w:fill="auto"/>
          </w:tcPr>
          <w:p w14:paraId="3599F8CA" w14:textId="77777777" w:rsidR="0070070D" w:rsidRPr="00B0658A" w:rsidRDefault="0070070D" w:rsidP="00004A41">
            <w:pPr>
              <w:spacing w:after="0" w:line="240" w:lineRule="auto"/>
              <w:rPr>
                <w:rFonts w:ascii="Times New Roman" w:hAnsi="Times New Roman"/>
                <w:sz w:val="20"/>
                <w:szCs w:val="20"/>
              </w:rPr>
            </w:pPr>
            <w:r w:rsidRPr="00B0658A">
              <w:rPr>
                <w:rFonts w:ascii="Times New Roman" w:hAnsi="Times New Roman"/>
                <w:sz w:val="18"/>
                <w:szCs w:val="18"/>
              </w:rPr>
              <w:t>11.4</w:t>
            </w:r>
          </w:p>
        </w:tc>
        <w:tc>
          <w:tcPr>
            <w:tcW w:w="3432" w:type="dxa"/>
            <w:shd w:val="clear" w:color="auto" w:fill="auto"/>
            <w:vAlign w:val="center"/>
          </w:tcPr>
          <w:p w14:paraId="6EEA3319" w14:textId="77777777" w:rsidR="0070070D" w:rsidRPr="00B0658A" w:rsidRDefault="0070070D" w:rsidP="00004A41">
            <w:pPr>
              <w:suppressAutoHyphens/>
              <w:spacing w:after="0" w:line="240" w:lineRule="auto"/>
              <w:rPr>
                <w:rFonts w:ascii="Times New Roman" w:hAnsi="Times New Roman"/>
                <w:sz w:val="18"/>
                <w:szCs w:val="18"/>
              </w:rPr>
            </w:pPr>
            <w:r w:rsidRPr="00B0658A">
              <w:rPr>
                <w:rFonts w:ascii="Times New Roman" w:hAnsi="Times New Roman"/>
                <w:sz w:val="18"/>
                <w:szCs w:val="18"/>
              </w:rPr>
              <w:t xml:space="preserve">Средства анализа данных/ </w:t>
            </w:r>
          </w:p>
          <w:p w14:paraId="29B73E7E" w14:textId="77777777" w:rsidR="0070070D" w:rsidRPr="00B0658A" w:rsidRDefault="0070070D" w:rsidP="00004A41">
            <w:pPr>
              <w:suppressAutoHyphens/>
              <w:spacing w:after="0" w:line="240" w:lineRule="auto"/>
              <w:rPr>
                <w:rFonts w:ascii="Times New Roman" w:hAnsi="Times New Roman"/>
                <w:sz w:val="20"/>
                <w:szCs w:val="20"/>
              </w:rPr>
            </w:pPr>
            <w:r w:rsidRPr="00B0658A">
              <w:rPr>
                <w:rFonts w:ascii="Times New Roman" w:hAnsi="Times New Roman"/>
                <w:sz w:val="18"/>
                <w:szCs w:val="18"/>
              </w:rPr>
              <w:t>Средства интеллектуального анализа данных (Data Mining)</w:t>
            </w:r>
          </w:p>
        </w:tc>
        <w:tc>
          <w:tcPr>
            <w:tcW w:w="1256" w:type="dxa"/>
          </w:tcPr>
          <w:p w14:paraId="75E53DB7"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767D7C6E"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471B77FB"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03D6A0F1" w14:textId="77777777" w:rsidR="0070070D" w:rsidRPr="00B0658A" w:rsidRDefault="0070070D" w:rsidP="00004A41">
            <w:pPr>
              <w:spacing w:after="0" w:line="240" w:lineRule="auto"/>
              <w:jc w:val="both"/>
              <w:rPr>
                <w:rFonts w:ascii="Times New Roman" w:hAnsi="Times New Roman"/>
                <w:i/>
                <w:iCs/>
                <w:sz w:val="20"/>
                <w:szCs w:val="20"/>
              </w:rPr>
            </w:pPr>
          </w:p>
        </w:tc>
      </w:tr>
      <w:tr w:rsidR="00F52FED" w:rsidRPr="00B0658A" w14:paraId="18A6B537" w14:textId="77777777" w:rsidTr="001E5E80">
        <w:trPr>
          <w:trHeight w:val="170"/>
        </w:trPr>
        <w:tc>
          <w:tcPr>
            <w:tcW w:w="0" w:type="auto"/>
            <w:shd w:val="clear" w:color="auto" w:fill="auto"/>
          </w:tcPr>
          <w:p w14:paraId="14987284" w14:textId="77777777" w:rsidR="0070070D" w:rsidRPr="00B0658A" w:rsidRDefault="0070070D" w:rsidP="00004A41">
            <w:pPr>
              <w:spacing w:after="0" w:line="240" w:lineRule="auto"/>
              <w:rPr>
                <w:rFonts w:ascii="Times New Roman" w:hAnsi="Times New Roman"/>
                <w:b/>
                <w:sz w:val="20"/>
                <w:szCs w:val="20"/>
              </w:rPr>
            </w:pPr>
            <w:r w:rsidRPr="00B0658A">
              <w:rPr>
                <w:rFonts w:ascii="Times New Roman" w:hAnsi="Times New Roman"/>
                <w:sz w:val="18"/>
                <w:szCs w:val="18"/>
              </w:rPr>
              <w:t>11.5</w:t>
            </w:r>
          </w:p>
        </w:tc>
        <w:tc>
          <w:tcPr>
            <w:tcW w:w="3432" w:type="dxa"/>
            <w:shd w:val="clear" w:color="auto" w:fill="auto"/>
            <w:vAlign w:val="center"/>
          </w:tcPr>
          <w:p w14:paraId="376DF77D" w14:textId="77777777" w:rsidR="0070070D" w:rsidRPr="00B0658A" w:rsidRDefault="0070070D" w:rsidP="00004A41">
            <w:pPr>
              <w:suppressAutoHyphens/>
              <w:spacing w:after="0" w:line="240" w:lineRule="auto"/>
              <w:rPr>
                <w:rFonts w:ascii="Times New Roman" w:hAnsi="Times New Roman"/>
                <w:sz w:val="18"/>
                <w:szCs w:val="18"/>
              </w:rPr>
            </w:pPr>
            <w:r w:rsidRPr="00B0658A">
              <w:rPr>
                <w:rFonts w:ascii="Times New Roman" w:hAnsi="Times New Roman"/>
                <w:sz w:val="18"/>
                <w:szCs w:val="18"/>
              </w:rPr>
              <w:t xml:space="preserve">Средства анализа данных/ </w:t>
            </w:r>
          </w:p>
          <w:p w14:paraId="10BC3F78" w14:textId="77777777" w:rsidR="0070070D" w:rsidRPr="00B0658A" w:rsidRDefault="0070070D" w:rsidP="00004A41">
            <w:pPr>
              <w:suppressAutoHyphens/>
              <w:spacing w:after="0" w:line="240" w:lineRule="auto"/>
              <w:rPr>
                <w:rFonts w:ascii="Times New Roman" w:hAnsi="Times New Roman"/>
                <w:b/>
                <w:sz w:val="20"/>
                <w:szCs w:val="20"/>
              </w:rPr>
            </w:pPr>
            <w:r w:rsidRPr="00B0658A">
              <w:rPr>
                <w:rFonts w:ascii="Times New Roman" w:hAnsi="Times New Roman"/>
                <w:sz w:val="18"/>
                <w:szCs w:val="18"/>
              </w:rPr>
              <w:t>Средства поддержки принятия решений (DSS)</w:t>
            </w:r>
          </w:p>
        </w:tc>
        <w:tc>
          <w:tcPr>
            <w:tcW w:w="1256" w:type="dxa"/>
          </w:tcPr>
          <w:p w14:paraId="20DB95E5"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2312279E"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0A869F6F"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699F204A" w14:textId="77777777" w:rsidR="0070070D" w:rsidRPr="00B0658A" w:rsidRDefault="0070070D" w:rsidP="00004A41">
            <w:pPr>
              <w:spacing w:after="0" w:line="240" w:lineRule="auto"/>
              <w:jc w:val="both"/>
              <w:rPr>
                <w:rFonts w:ascii="Times New Roman" w:hAnsi="Times New Roman"/>
                <w:i/>
                <w:iCs/>
                <w:sz w:val="20"/>
                <w:szCs w:val="20"/>
              </w:rPr>
            </w:pPr>
          </w:p>
        </w:tc>
      </w:tr>
      <w:tr w:rsidR="0070070D" w:rsidRPr="00B0658A" w14:paraId="0E951923" w14:textId="77777777" w:rsidTr="001E5E80">
        <w:trPr>
          <w:trHeight w:val="170"/>
        </w:trPr>
        <w:tc>
          <w:tcPr>
            <w:tcW w:w="0" w:type="auto"/>
            <w:shd w:val="clear" w:color="auto" w:fill="auto"/>
          </w:tcPr>
          <w:p w14:paraId="4E82BBE6" w14:textId="77777777" w:rsidR="0070070D" w:rsidRPr="00B0658A" w:rsidRDefault="0070070D" w:rsidP="00004A41">
            <w:pPr>
              <w:spacing w:after="0" w:line="240" w:lineRule="auto"/>
              <w:rPr>
                <w:rFonts w:ascii="Times New Roman" w:hAnsi="Times New Roman"/>
                <w:b/>
                <w:sz w:val="20"/>
                <w:szCs w:val="20"/>
              </w:rPr>
            </w:pPr>
            <w:r w:rsidRPr="00B0658A">
              <w:rPr>
                <w:rFonts w:ascii="Times New Roman" w:hAnsi="Times New Roman"/>
                <w:sz w:val="18"/>
                <w:szCs w:val="18"/>
              </w:rPr>
              <w:t>11.6</w:t>
            </w:r>
          </w:p>
        </w:tc>
        <w:tc>
          <w:tcPr>
            <w:tcW w:w="3432" w:type="dxa"/>
            <w:shd w:val="clear" w:color="auto" w:fill="auto"/>
            <w:vAlign w:val="center"/>
          </w:tcPr>
          <w:p w14:paraId="086F33E2" w14:textId="77777777" w:rsidR="0070070D" w:rsidRPr="00B0658A" w:rsidRDefault="0070070D" w:rsidP="00004A41">
            <w:pPr>
              <w:spacing w:after="0" w:line="240" w:lineRule="auto"/>
              <w:rPr>
                <w:rFonts w:ascii="Times New Roman" w:hAnsi="Times New Roman"/>
                <w:b/>
                <w:sz w:val="20"/>
                <w:szCs w:val="20"/>
              </w:rPr>
            </w:pPr>
            <w:r w:rsidRPr="00B0658A">
              <w:rPr>
                <w:rFonts w:ascii="Times New Roman" w:hAnsi="Times New Roman"/>
                <w:sz w:val="18"/>
                <w:szCs w:val="18"/>
              </w:rPr>
              <w:t xml:space="preserve">Средства анализа данных/ Инструменты обработки, анализа </w:t>
            </w:r>
            <w:r w:rsidRPr="00B0658A">
              <w:rPr>
                <w:rFonts w:ascii="Times New Roman" w:hAnsi="Times New Roman"/>
                <w:sz w:val="18"/>
                <w:szCs w:val="18"/>
              </w:rPr>
              <w:br/>
              <w:t>и распознавания изображений</w:t>
            </w:r>
          </w:p>
        </w:tc>
        <w:tc>
          <w:tcPr>
            <w:tcW w:w="1256" w:type="dxa"/>
          </w:tcPr>
          <w:p w14:paraId="2D2629F6"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2C24996F"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131F13B7" w14:textId="77777777" w:rsidR="0070070D" w:rsidRPr="00B0658A" w:rsidRDefault="0070070D" w:rsidP="00004A41">
            <w:pPr>
              <w:spacing w:after="0" w:line="240" w:lineRule="auto"/>
              <w:rPr>
                <w:rFonts w:ascii="Times New Roman" w:hAnsi="Times New Roman"/>
                <w:i/>
                <w:iCs/>
                <w:sz w:val="20"/>
                <w:szCs w:val="20"/>
              </w:rPr>
            </w:pPr>
          </w:p>
        </w:tc>
        <w:tc>
          <w:tcPr>
            <w:tcW w:w="0" w:type="auto"/>
            <w:shd w:val="clear" w:color="auto" w:fill="auto"/>
          </w:tcPr>
          <w:p w14:paraId="2A440589" w14:textId="77777777" w:rsidR="0070070D" w:rsidRPr="00B0658A" w:rsidRDefault="0070070D" w:rsidP="00004A41">
            <w:pPr>
              <w:spacing w:after="0" w:line="240" w:lineRule="auto"/>
              <w:jc w:val="both"/>
              <w:rPr>
                <w:rFonts w:ascii="Times New Roman" w:hAnsi="Times New Roman"/>
                <w:i/>
                <w:iCs/>
                <w:sz w:val="20"/>
                <w:szCs w:val="20"/>
              </w:rPr>
            </w:pPr>
          </w:p>
        </w:tc>
      </w:tr>
    </w:tbl>
    <w:p w14:paraId="08F20851" w14:textId="77777777" w:rsidR="00375CEF" w:rsidRDefault="00375CEF" w:rsidP="008319FB">
      <w:pPr>
        <w:pStyle w:val="ConsPlusNormal"/>
        <w:spacing w:before="120"/>
        <w:jc w:val="center"/>
        <w:rPr>
          <w:sz w:val="32"/>
        </w:rPr>
      </w:pPr>
    </w:p>
    <w:p w14:paraId="4835D288" w14:textId="77777777" w:rsidR="00375CEF" w:rsidRDefault="00375CEF">
      <w:pPr>
        <w:spacing w:after="0" w:line="240" w:lineRule="auto"/>
        <w:rPr>
          <w:rFonts w:ascii="Times New Roman" w:hAnsi="Times New Roman"/>
          <w:sz w:val="32"/>
          <w:szCs w:val="24"/>
        </w:rPr>
      </w:pPr>
      <w:r>
        <w:rPr>
          <w:sz w:val="32"/>
        </w:rPr>
        <w:br w:type="page"/>
      </w:r>
    </w:p>
    <w:p w14:paraId="53DA93B5" w14:textId="77777777" w:rsidR="00466876" w:rsidRPr="00B0658A" w:rsidRDefault="00466876" w:rsidP="00466876">
      <w:pPr>
        <w:pStyle w:val="ConsPlusNormal"/>
        <w:spacing w:before="120"/>
        <w:jc w:val="center"/>
        <w:rPr>
          <w:sz w:val="32"/>
        </w:rPr>
      </w:pPr>
      <w:r w:rsidRPr="00B0658A">
        <w:rPr>
          <w:sz w:val="32"/>
        </w:rPr>
        <w:lastRenderedPageBreak/>
        <w:t xml:space="preserve">Сведения о реализации детализированного плана перехода ______________ (полное наименование </w:t>
      </w:r>
      <w:r w:rsidRPr="00B0658A">
        <w:rPr>
          <w:sz w:val="32"/>
          <w:szCs w:val="28"/>
        </w:rPr>
        <w:t xml:space="preserve">органа государственной власти или государственного внебюджетного фонда) на использование российского </w:t>
      </w:r>
      <w:r w:rsidRPr="00B0658A">
        <w:rPr>
          <w:sz w:val="32"/>
        </w:rPr>
        <w:t>ПО на принадлежащих органу государственной власти или государственному внебюджетному фонду значимых объектах КИИ</w:t>
      </w:r>
      <w:r w:rsidRPr="00B0658A">
        <w:rPr>
          <w:sz w:val="32"/>
          <w:szCs w:val="28"/>
        </w:rPr>
        <w:t xml:space="preserve"> </w:t>
      </w:r>
      <w:r w:rsidRPr="00B0658A">
        <w:rPr>
          <w:sz w:val="32"/>
        </w:rPr>
        <w:t xml:space="preserve">на период 2022-2024 годы за </w:t>
      </w:r>
      <w:r w:rsidRPr="00B0658A">
        <w:rPr>
          <w:sz w:val="32"/>
          <w:szCs w:val="28"/>
        </w:rPr>
        <w:t xml:space="preserve"> ____ полугодие _______ года</w:t>
      </w:r>
    </w:p>
    <w:p w14:paraId="03615A9A" w14:textId="77777777" w:rsidR="008319FB" w:rsidRPr="00B0658A" w:rsidRDefault="008319FB" w:rsidP="008319FB">
      <w:pPr>
        <w:rPr>
          <w:rFonts w:ascii="Times New Roman" w:hAnsi="Times New Roman"/>
        </w:rPr>
      </w:pPr>
    </w:p>
    <w:p w14:paraId="48DD833D" w14:textId="77777777" w:rsidR="008319FB" w:rsidRPr="00B0658A" w:rsidRDefault="008319FB" w:rsidP="008319FB">
      <w:pPr>
        <w:spacing w:line="240" w:lineRule="auto"/>
        <w:ind w:firstLine="709"/>
        <w:jc w:val="both"/>
        <w:rPr>
          <w:rFonts w:ascii="Times New Roman" w:hAnsi="Times New Roman"/>
          <w:sz w:val="28"/>
          <w:szCs w:val="28"/>
        </w:rPr>
      </w:pPr>
      <w:r w:rsidRPr="00B0658A">
        <w:rPr>
          <w:rFonts w:ascii="Times New Roman" w:hAnsi="Times New Roman"/>
          <w:sz w:val="28"/>
          <w:szCs w:val="28"/>
        </w:rPr>
        <w:t xml:space="preserve">Сведения о реализации </w:t>
      </w:r>
      <w:r w:rsidR="0027600A" w:rsidRPr="00B0658A">
        <w:rPr>
          <w:rFonts w:ascii="Times New Roman" w:hAnsi="Times New Roman"/>
          <w:sz w:val="28"/>
          <w:szCs w:val="28"/>
        </w:rPr>
        <w:t xml:space="preserve">мероприятий </w:t>
      </w:r>
      <w:r w:rsidR="00454331" w:rsidRPr="00B0658A">
        <w:rPr>
          <w:rFonts w:ascii="Times New Roman" w:hAnsi="Times New Roman"/>
          <w:sz w:val="28"/>
          <w:szCs w:val="28"/>
        </w:rPr>
        <w:t xml:space="preserve">по </w:t>
      </w:r>
      <w:r w:rsidR="0027600A" w:rsidRPr="00B0658A">
        <w:rPr>
          <w:rFonts w:ascii="Times New Roman" w:hAnsi="Times New Roman"/>
          <w:sz w:val="28"/>
          <w:szCs w:val="28"/>
        </w:rPr>
        <w:t>переход</w:t>
      </w:r>
      <w:r w:rsidR="00454331" w:rsidRPr="00B0658A">
        <w:rPr>
          <w:rFonts w:ascii="Times New Roman" w:hAnsi="Times New Roman"/>
          <w:sz w:val="28"/>
          <w:szCs w:val="28"/>
        </w:rPr>
        <w:t>у</w:t>
      </w:r>
      <w:r w:rsidR="0027600A" w:rsidRPr="00B0658A">
        <w:rPr>
          <w:rFonts w:ascii="Times New Roman" w:hAnsi="Times New Roman"/>
          <w:sz w:val="28"/>
          <w:szCs w:val="28"/>
        </w:rPr>
        <w:t xml:space="preserve"> на использование российского </w:t>
      </w:r>
      <w:r w:rsidR="00C066DC" w:rsidRPr="00B0658A">
        <w:rPr>
          <w:rFonts w:ascii="Times New Roman" w:hAnsi="Times New Roman"/>
          <w:sz w:val="28"/>
          <w:szCs w:val="28"/>
        </w:rPr>
        <w:t>ПО</w:t>
      </w:r>
      <w:r w:rsidR="0027600A" w:rsidRPr="00B0658A">
        <w:rPr>
          <w:rFonts w:ascii="Times New Roman" w:hAnsi="Times New Roman"/>
          <w:sz w:val="28"/>
          <w:szCs w:val="28"/>
        </w:rPr>
        <w:t xml:space="preserve"> на принадлежащих _______ (полное наименование органа государственной власти или государственного внебюджетного фонда) значимых объектах КИИ</w:t>
      </w:r>
    </w:p>
    <w:tbl>
      <w:tblPr>
        <w:tblStyle w:val="32"/>
        <w:tblW w:w="5000" w:type="pct"/>
        <w:tblLook w:val="04A0" w:firstRow="1" w:lastRow="0" w:firstColumn="1" w:lastColumn="0" w:noHBand="0" w:noVBand="1"/>
      </w:tblPr>
      <w:tblGrid>
        <w:gridCol w:w="513"/>
        <w:gridCol w:w="2853"/>
        <w:gridCol w:w="2471"/>
        <w:gridCol w:w="2496"/>
        <w:gridCol w:w="2435"/>
        <w:gridCol w:w="3176"/>
      </w:tblGrid>
      <w:tr w:rsidR="00F52FED" w:rsidRPr="00B0658A" w14:paraId="1798F432" w14:textId="77777777" w:rsidTr="00F57B1F">
        <w:trPr>
          <w:tblHeader/>
        </w:trPr>
        <w:tc>
          <w:tcPr>
            <w:tcW w:w="184" w:type="pct"/>
          </w:tcPr>
          <w:p w14:paraId="750084F6" w14:textId="77777777" w:rsidR="008319FB" w:rsidRPr="00B0658A" w:rsidRDefault="008319FB" w:rsidP="00004A41">
            <w:pPr>
              <w:spacing w:after="0" w:line="240" w:lineRule="auto"/>
              <w:jc w:val="center"/>
              <w:rPr>
                <w:rFonts w:ascii="Times New Roman"/>
                <w:b/>
                <w:bCs/>
                <w:color w:val="auto"/>
                <w:sz w:val="20"/>
                <w:szCs w:val="20"/>
              </w:rPr>
            </w:pPr>
            <w:r w:rsidRPr="00B0658A">
              <w:rPr>
                <w:rFonts w:ascii="Times New Roman"/>
                <w:b/>
                <w:bCs/>
                <w:color w:val="auto"/>
                <w:sz w:val="20"/>
                <w:szCs w:val="20"/>
              </w:rPr>
              <w:t>№</w:t>
            </w:r>
          </w:p>
        </w:tc>
        <w:tc>
          <w:tcPr>
            <w:tcW w:w="1023" w:type="pct"/>
          </w:tcPr>
          <w:p w14:paraId="2FF9CE59" w14:textId="77777777" w:rsidR="008319FB" w:rsidRPr="00B0658A" w:rsidRDefault="008319FB" w:rsidP="00004A41">
            <w:pPr>
              <w:spacing w:after="0" w:line="240" w:lineRule="auto"/>
              <w:jc w:val="center"/>
              <w:rPr>
                <w:rFonts w:ascii="Times New Roman"/>
                <w:b/>
                <w:bCs/>
                <w:color w:val="auto"/>
                <w:sz w:val="20"/>
                <w:szCs w:val="20"/>
              </w:rPr>
            </w:pPr>
            <w:r w:rsidRPr="00B0658A">
              <w:rPr>
                <w:rFonts w:ascii="Times New Roman"/>
                <w:b/>
                <w:bCs/>
                <w:color w:val="auto"/>
                <w:sz w:val="20"/>
                <w:szCs w:val="20"/>
              </w:rPr>
              <w:t>Наименование мероприяти</w:t>
            </w:r>
            <w:r w:rsidR="00775A43" w:rsidRPr="00B0658A">
              <w:rPr>
                <w:rFonts w:ascii="Times New Roman"/>
                <w:b/>
                <w:bCs/>
                <w:color w:val="auto"/>
                <w:sz w:val="20"/>
                <w:szCs w:val="20"/>
              </w:rPr>
              <w:t>я</w:t>
            </w:r>
            <w:r w:rsidRPr="00B0658A">
              <w:rPr>
                <w:rFonts w:ascii="Times New Roman"/>
                <w:b/>
                <w:bCs/>
                <w:color w:val="auto"/>
                <w:sz w:val="20"/>
                <w:szCs w:val="20"/>
              </w:rPr>
              <w:t xml:space="preserve"> в соответствии с утвержденным </w:t>
            </w:r>
            <w:r w:rsidR="0020281A" w:rsidRPr="00B0658A">
              <w:rPr>
                <w:rFonts w:ascii="Times New Roman"/>
                <w:b/>
                <w:bCs/>
                <w:color w:val="auto"/>
                <w:sz w:val="20"/>
                <w:szCs w:val="20"/>
              </w:rPr>
              <w:t xml:space="preserve">детализированным </w:t>
            </w:r>
            <w:r w:rsidRPr="00B0658A">
              <w:rPr>
                <w:rFonts w:ascii="Times New Roman"/>
                <w:b/>
                <w:bCs/>
                <w:color w:val="auto"/>
                <w:sz w:val="20"/>
                <w:szCs w:val="20"/>
              </w:rPr>
              <w:t xml:space="preserve">планом </w:t>
            </w:r>
          </w:p>
        </w:tc>
        <w:tc>
          <w:tcPr>
            <w:tcW w:w="886" w:type="pct"/>
          </w:tcPr>
          <w:p w14:paraId="1D6E0546" w14:textId="77777777" w:rsidR="008319FB" w:rsidRPr="00B0658A" w:rsidRDefault="008319FB" w:rsidP="00004A41">
            <w:pPr>
              <w:spacing w:after="0" w:line="240" w:lineRule="auto"/>
              <w:jc w:val="center"/>
              <w:rPr>
                <w:rFonts w:ascii="Times New Roman"/>
                <w:b/>
                <w:bCs/>
                <w:color w:val="auto"/>
                <w:sz w:val="20"/>
                <w:szCs w:val="20"/>
              </w:rPr>
            </w:pPr>
            <w:r w:rsidRPr="00B0658A">
              <w:rPr>
                <w:rFonts w:ascii="Times New Roman"/>
                <w:b/>
                <w:bCs/>
                <w:color w:val="auto"/>
                <w:sz w:val="20"/>
                <w:szCs w:val="20"/>
              </w:rPr>
              <w:t xml:space="preserve">Планируемый результат в соответствии с утвержденным </w:t>
            </w:r>
            <w:r w:rsidR="0020281A" w:rsidRPr="00B0658A">
              <w:rPr>
                <w:rFonts w:ascii="Times New Roman"/>
                <w:b/>
                <w:bCs/>
                <w:color w:val="auto"/>
                <w:sz w:val="20"/>
                <w:szCs w:val="20"/>
              </w:rPr>
              <w:t xml:space="preserve">детализированным </w:t>
            </w:r>
            <w:r w:rsidRPr="00B0658A">
              <w:rPr>
                <w:rFonts w:ascii="Times New Roman"/>
                <w:b/>
                <w:bCs/>
                <w:color w:val="auto"/>
                <w:sz w:val="20"/>
                <w:szCs w:val="20"/>
              </w:rPr>
              <w:t xml:space="preserve">планом </w:t>
            </w:r>
          </w:p>
        </w:tc>
        <w:tc>
          <w:tcPr>
            <w:tcW w:w="895" w:type="pct"/>
          </w:tcPr>
          <w:p w14:paraId="20CD1936" w14:textId="77777777" w:rsidR="008319FB" w:rsidRPr="00B0658A" w:rsidRDefault="008319FB" w:rsidP="00004A41">
            <w:pPr>
              <w:spacing w:after="0" w:line="240" w:lineRule="auto"/>
              <w:jc w:val="center"/>
              <w:rPr>
                <w:rFonts w:ascii="Times New Roman"/>
                <w:b/>
                <w:bCs/>
                <w:color w:val="auto"/>
                <w:sz w:val="20"/>
                <w:szCs w:val="20"/>
              </w:rPr>
            </w:pPr>
            <w:r w:rsidRPr="00B0658A">
              <w:rPr>
                <w:rFonts w:ascii="Times New Roman"/>
                <w:b/>
                <w:bCs/>
                <w:color w:val="auto"/>
                <w:sz w:val="20"/>
                <w:szCs w:val="20"/>
              </w:rPr>
              <w:t xml:space="preserve">Сроки реализации запланированного мероприятия в соответствии с </w:t>
            </w:r>
            <w:r w:rsidR="0020281A" w:rsidRPr="00B0658A">
              <w:rPr>
                <w:rFonts w:ascii="Times New Roman"/>
                <w:b/>
                <w:bCs/>
                <w:color w:val="auto"/>
                <w:sz w:val="20"/>
                <w:szCs w:val="20"/>
              </w:rPr>
              <w:t xml:space="preserve">детализированным </w:t>
            </w:r>
            <w:r w:rsidRPr="00B0658A">
              <w:rPr>
                <w:rFonts w:ascii="Times New Roman"/>
                <w:b/>
                <w:bCs/>
                <w:color w:val="auto"/>
                <w:sz w:val="20"/>
                <w:szCs w:val="20"/>
              </w:rPr>
              <w:t>планом</w:t>
            </w:r>
          </w:p>
        </w:tc>
        <w:tc>
          <w:tcPr>
            <w:tcW w:w="873" w:type="pct"/>
          </w:tcPr>
          <w:p w14:paraId="774CEABB" w14:textId="77777777" w:rsidR="008319FB" w:rsidRPr="00B0658A" w:rsidRDefault="008319FB" w:rsidP="00004A41">
            <w:pPr>
              <w:spacing w:after="0" w:line="240" w:lineRule="auto"/>
              <w:jc w:val="center"/>
              <w:rPr>
                <w:rFonts w:ascii="Times New Roman"/>
                <w:b/>
                <w:bCs/>
                <w:color w:val="auto"/>
                <w:sz w:val="20"/>
                <w:szCs w:val="20"/>
              </w:rPr>
            </w:pPr>
            <w:r w:rsidRPr="00B0658A">
              <w:rPr>
                <w:rFonts w:ascii="Times New Roman"/>
                <w:b/>
                <w:bCs/>
                <w:color w:val="auto"/>
                <w:sz w:val="20"/>
                <w:szCs w:val="20"/>
              </w:rPr>
              <w:t>Статус выполнения мероприятия</w:t>
            </w:r>
          </w:p>
        </w:tc>
        <w:tc>
          <w:tcPr>
            <w:tcW w:w="1139" w:type="pct"/>
          </w:tcPr>
          <w:p w14:paraId="5CD5F806" w14:textId="77777777" w:rsidR="008319FB" w:rsidRPr="00B0658A" w:rsidRDefault="008319FB" w:rsidP="00004A41">
            <w:pPr>
              <w:spacing w:after="0" w:line="240" w:lineRule="auto"/>
              <w:jc w:val="center"/>
              <w:rPr>
                <w:rFonts w:ascii="Times New Roman"/>
                <w:b/>
                <w:bCs/>
                <w:color w:val="auto"/>
                <w:sz w:val="20"/>
                <w:szCs w:val="20"/>
              </w:rPr>
            </w:pPr>
            <w:r w:rsidRPr="00B0658A">
              <w:rPr>
                <w:rFonts w:ascii="Times New Roman"/>
                <w:b/>
                <w:bCs/>
                <w:color w:val="auto"/>
                <w:sz w:val="20"/>
                <w:szCs w:val="20"/>
              </w:rPr>
              <w:t>Описание достигнутого фактического результата</w:t>
            </w:r>
          </w:p>
        </w:tc>
      </w:tr>
      <w:tr w:rsidR="00F52FED" w:rsidRPr="00B0658A" w14:paraId="707860B0" w14:textId="77777777" w:rsidTr="006204A7">
        <w:tc>
          <w:tcPr>
            <w:tcW w:w="5000" w:type="pct"/>
            <w:gridSpan w:val="6"/>
            <w:vAlign w:val="center"/>
          </w:tcPr>
          <w:p w14:paraId="61DCD8DC" w14:textId="77777777" w:rsidR="008319FB" w:rsidRPr="00B0658A" w:rsidRDefault="008319FB" w:rsidP="00004A41">
            <w:pPr>
              <w:spacing w:after="0" w:line="240" w:lineRule="auto"/>
              <w:rPr>
                <w:rFonts w:ascii="Times New Roman"/>
                <w:b/>
                <w:i/>
                <w:iCs/>
                <w:color w:val="auto"/>
                <w:sz w:val="20"/>
                <w:szCs w:val="20"/>
              </w:rPr>
            </w:pPr>
            <w:r w:rsidRPr="00B0658A">
              <w:rPr>
                <w:rFonts w:ascii="Times New Roman"/>
                <w:b/>
                <w:color w:val="auto"/>
                <w:sz w:val="20"/>
                <w:szCs w:val="20"/>
              </w:rPr>
              <w:t>1. Мероприятия в отношении ________ (наименование значимого объекта КИИ №1)</w:t>
            </w:r>
          </w:p>
        </w:tc>
      </w:tr>
      <w:tr w:rsidR="00F52FED" w:rsidRPr="00B0658A" w14:paraId="6C8A716E" w14:textId="77777777" w:rsidTr="006204A7">
        <w:tc>
          <w:tcPr>
            <w:tcW w:w="184" w:type="pct"/>
          </w:tcPr>
          <w:p w14:paraId="552227F0" w14:textId="77777777" w:rsidR="008319FB" w:rsidRPr="00B0658A" w:rsidRDefault="008319FB" w:rsidP="00004A41">
            <w:pPr>
              <w:spacing w:after="0" w:line="240" w:lineRule="auto"/>
              <w:jc w:val="both"/>
              <w:rPr>
                <w:rFonts w:ascii="Times New Roman"/>
                <w:color w:val="auto"/>
                <w:sz w:val="20"/>
                <w:szCs w:val="20"/>
              </w:rPr>
            </w:pPr>
            <w:r w:rsidRPr="00B0658A">
              <w:rPr>
                <w:rFonts w:ascii="Times New Roman"/>
                <w:color w:val="auto"/>
                <w:sz w:val="20"/>
                <w:szCs w:val="20"/>
              </w:rPr>
              <w:t>1.1</w:t>
            </w:r>
          </w:p>
        </w:tc>
        <w:tc>
          <w:tcPr>
            <w:tcW w:w="1023" w:type="pct"/>
          </w:tcPr>
          <w:p w14:paraId="1A630086" w14:textId="77777777" w:rsidR="008319FB" w:rsidRPr="00B0658A" w:rsidRDefault="008319FB" w:rsidP="00004A41">
            <w:pPr>
              <w:spacing w:after="0" w:line="240" w:lineRule="auto"/>
              <w:jc w:val="both"/>
              <w:rPr>
                <w:rFonts w:ascii="Times New Roman"/>
                <w:i/>
                <w:iCs/>
                <w:color w:val="auto"/>
                <w:sz w:val="20"/>
                <w:szCs w:val="20"/>
              </w:rPr>
            </w:pPr>
            <w:r w:rsidRPr="00B0658A">
              <w:rPr>
                <w:rFonts w:ascii="Times New Roman"/>
                <w:i/>
                <w:iCs/>
                <w:color w:val="auto"/>
                <w:sz w:val="20"/>
                <w:szCs w:val="20"/>
              </w:rPr>
              <w:t xml:space="preserve">Указывается наименование мероприятия в соответствии с утвержденным </w:t>
            </w:r>
            <w:r w:rsidR="00861739" w:rsidRPr="00B0658A">
              <w:rPr>
                <w:rFonts w:ascii="Times New Roman"/>
                <w:i/>
                <w:iCs/>
                <w:color w:val="auto"/>
                <w:sz w:val="20"/>
                <w:szCs w:val="20"/>
              </w:rPr>
              <w:t>детализированным планом</w:t>
            </w:r>
            <w:r w:rsidRPr="00B0658A">
              <w:rPr>
                <w:rFonts w:ascii="Times New Roman"/>
                <w:i/>
                <w:iCs/>
                <w:color w:val="auto"/>
                <w:sz w:val="20"/>
                <w:szCs w:val="20"/>
              </w:rPr>
              <w:t xml:space="preserve"> перехода на использование российского </w:t>
            </w:r>
            <w:r w:rsidR="00C066DC" w:rsidRPr="00B0658A">
              <w:rPr>
                <w:rFonts w:ascii="Times New Roman"/>
                <w:i/>
                <w:iCs/>
                <w:color w:val="auto"/>
                <w:sz w:val="20"/>
                <w:szCs w:val="20"/>
              </w:rPr>
              <w:t>ПО</w:t>
            </w:r>
            <w:r w:rsidRPr="00B0658A">
              <w:rPr>
                <w:rFonts w:ascii="Times New Roman"/>
                <w:i/>
                <w:iCs/>
                <w:color w:val="auto"/>
                <w:sz w:val="20"/>
                <w:szCs w:val="20"/>
              </w:rPr>
              <w:t xml:space="preserve"> на принадлежащих органу государственной власти или государственному внебюджетному фонду значимых объектах КИИ</w:t>
            </w:r>
          </w:p>
          <w:p w14:paraId="6317E274" w14:textId="77777777" w:rsidR="008319FB" w:rsidRPr="00B0658A" w:rsidRDefault="008319FB" w:rsidP="00004A41">
            <w:pPr>
              <w:pStyle w:val="ConsPlusNormal"/>
              <w:jc w:val="both"/>
              <w:rPr>
                <w:color w:val="auto"/>
                <w:sz w:val="20"/>
                <w:szCs w:val="20"/>
              </w:rPr>
            </w:pPr>
          </w:p>
          <w:p w14:paraId="26576AD0" w14:textId="77777777" w:rsidR="008319FB" w:rsidRPr="00B0658A" w:rsidRDefault="008319FB" w:rsidP="00004A41">
            <w:pPr>
              <w:spacing w:after="0" w:line="240" w:lineRule="auto"/>
              <w:jc w:val="both"/>
              <w:rPr>
                <w:rFonts w:ascii="Times New Roman"/>
                <w:i/>
                <w:iCs/>
                <w:color w:val="auto"/>
                <w:sz w:val="20"/>
                <w:szCs w:val="20"/>
              </w:rPr>
            </w:pPr>
          </w:p>
        </w:tc>
        <w:tc>
          <w:tcPr>
            <w:tcW w:w="886" w:type="pct"/>
          </w:tcPr>
          <w:p w14:paraId="02A96BE8" w14:textId="77777777" w:rsidR="008319FB" w:rsidRPr="00B0658A" w:rsidRDefault="008319FB" w:rsidP="00004A41">
            <w:pPr>
              <w:spacing w:after="0" w:line="240" w:lineRule="auto"/>
              <w:jc w:val="both"/>
              <w:rPr>
                <w:rFonts w:ascii="Times New Roman"/>
                <w:i/>
                <w:iCs/>
                <w:color w:val="auto"/>
                <w:sz w:val="20"/>
                <w:szCs w:val="20"/>
              </w:rPr>
            </w:pPr>
            <w:r w:rsidRPr="00B0658A">
              <w:rPr>
                <w:rFonts w:ascii="Times New Roman"/>
                <w:i/>
                <w:iCs/>
                <w:color w:val="auto"/>
                <w:sz w:val="20"/>
                <w:szCs w:val="20"/>
              </w:rPr>
              <w:t xml:space="preserve">Указывается запланированный результат в соответствии с утвержденным </w:t>
            </w:r>
            <w:r w:rsidR="00861739" w:rsidRPr="00B0658A">
              <w:rPr>
                <w:rFonts w:ascii="Times New Roman"/>
                <w:i/>
                <w:iCs/>
                <w:color w:val="auto"/>
                <w:sz w:val="20"/>
                <w:szCs w:val="20"/>
              </w:rPr>
              <w:t xml:space="preserve">детализированным планом </w:t>
            </w:r>
            <w:r w:rsidRPr="00B0658A">
              <w:rPr>
                <w:rFonts w:ascii="Times New Roman"/>
                <w:i/>
                <w:iCs/>
                <w:color w:val="auto"/>
                <w:sz w:val="20"/>
                <w:szCs w:val="20"/>
              </w:rPr>
              <w:t xml:space="preserve">перехода на использование российского </w:t>
            </w:r>
            <w:r w:rsidR="00C066DC" w:rsidRPr="00B0658A">
              <w:rPr>
                <w:rFonts w:ascii="Times New Roman"/>
                <w:i/>
                <w:iCs/>
                <w:color w:val="auto"/>
                <w:sz w:val="20"/>
                <w:szCs w:val="20"/>
              </w:rPr>
              <w:t>ПО</w:t>
            </w:r>
            <w:r w:rsidRPr="00B0658A">
              <w:rPr>
                <w:rFonts w:ascii="Times New Roman"/>
                <w:i/>
                <w:iCs/>
                <w:color w:val="auto"/>
                <w:sz w:val="20"/>
                <w:szCs w:val="20"/>
              </w:rPr>
              <w:t xml:space="preserve"> на принадлежащих органу государственной власти или государственному внебюджетному фонду значимых объектах КИИ</w:t>
            </w:r>
          </w:p>
          <w:p w14:paraId="389D5B8E" w14:textId="77777777" w:rsidR="008319FB" w:rsidRPr="00B0658A" w:rsidRDefault="008319FB" w:rsidP="00004A41">
            <w:pPr>
              <w:spacing w:after="0" w:line="240" w:lineRule="auto"/>
              <w:jc w:val="both"/>
              <w:rPr>
                <w:rFonts w:ascii="Times New Roman"/>
                <w:color w:val="auto"/>
                <w:sz w:val="20"/>
                <w:szCs w:val="20"/>
              </w:rPr>
            </w:pPr>
          </w:p>
        </w:tc>
        <w:tc>
          <w:tcPr>
            <w:tcW w:w="895" w:type="pct"/>
          </w:tcPr>
          <w:p w14:paraId="07CE19E1" w14:textId="77777777" w:rsidR="008319FB" w:rsidRPr="00B0658A" w:rsidRDefault="008319FB" w:rsidP="00004A41">
            <w:pPr>
              <w:spacing w:after="0" w:line="240" w:lineRule="auto"/>
              <w:jc w:val="both"/>
              <w:rPr>
                <w:rFonts w:ascii="Times New Roman"/>
                <w:i/>
                <w:iCs/>
                <w:color w:val="auto"/>
                <w:sz w:val="20"/>
                <w:szCs w:val="20"/>
              </w:rPr>
            </w:pPr>
            <w:r w:rsidRPr="00B0658A">
              <w:rPr>
                <w:rFonts w:ascii="Times New Roman"/>
                <w:i/>
                <w:iCs/>
                <w:color w:val="auto"/>
                <w:sz w:val="20"/>
                <w:szCs w:val="20"/>
              </w:rPr>
              <w:t xml:space="preserve">Указывается срок реализации (период выполнения) в соответствии с утвержденным </w:t>
            </w:r>
            <w:r w:rsidR="00861739" w:rsidRPr="00B0658A">
              <w:rPr>
                <w:rFonts w:ascii="Times New Roman"/>
                <w:i/>
                <w:iCs/>
                <w:color w:val="auto"/>
                <w:sz w:val="20"/>
                <w:szCs w:val="20"/>
              </w:rPr>
              <w:t xml:space="preserve">детализированным планом </w:t>
            </w:r>
            <w:r w:rsidRPr="00B0658A">
              <w:rPr>
                <w:rFonts w:ascii="Times New Roman"/>
                <w:i/>
                <w:iCs/>
                <w:color w:val="auto"/>
                <w:sz w:val="20"/>
                <w:szCs w:val="20"/>
              </w:rPr>
              <w:t>переход</w:t>
            </w:r>
            <w:r w:rsidR="00775A43" w:rsidRPr="00B0658A">
              <w:rPr>
                <w:rFonts w:ascii="Times New Roman"/>
                <w:i/>
                <w:iCs/>
                <w:color w:val="auto"/>
                <w:sz w:val="20"/>
                <w:szCs w:val="20"/>
              </w:rPr>
              <w:t>а</w:t>
            </w:r>
            <w:r w:rsidRPr="00B0658A">
              <w:rPr>
                <w:rFonts w:ascii="Times New Roman"/>
                <w:i/>
                <w:iCs/>
                <w:color w:val="auto"/>
                <w:sz w:val="20"/>
                <w:szCs w:val="20"/>
              </w:rPr>
              <w:t xml:space="preserve"> на использование российского </w:t>
            </w:r>
            <w:r w:rsidR="00C066DC" w:rsidRPr="00B0658A">
              <w:rPr>
                <w:rFonts w:ascii="Times New Roman"/>
                <w:i/>
                <w:iCs/>
                <w:color w:val="auto"/>
                <w:sz w:val="20"/>
                <w:szCs w:val="20"/>
              </w:rPr>
              <w:t>ПО</w:t>
            </w:r>
            <w:r w:rsidRPr="00B0658A">
              <w:rPr>
                <w:rFonts w:ascii="Times New Roman"/>
                <w:i/>
                <w:iCs/>
                <w:color w:val="auto"/>
                <w:sz w:val="20"/>
                <w:szCs w:val="20"/>
              </w:rPr>
              <w:t xml:space="preserve"> на принадлежащих органу государственной власти или государственному внебюджетному фонду значимых объектах КИИ</w:t>
            </w:r>
          </w:p>
          <w:p w14:paraId="08C37534" w14:textId="77777777" w:rsidR="008319FB" w:rsidRPr="00B0658A" w:rsidRDefault="008319FB" w:rsidP="00004A41">
            <w:pPr>
              <w:spacing w:after="0" w:line="240" w:lineRule="auto"/>
              <w:jc w:val="both"/>
              <w:rPr>
                <w:rFonts w:ascii="Times New Roman"/>
                <w:i/>
                <w:iCs/>
                <w:color w:val="auto"/>
                <w:sz w:val="20"/>
                <w:szCs w:val="20"/>
              </w:rPr>
            </w:pPr>
          </w:p>
        </w:tc>
        <w:tc>
          <w:tcPr>
            <w:tcW w:w="873" w:type="pct"/>
          </w:tcPr>
          <w:p w14:paraId="4D7402AA" w14:textId="77777777" w:rsidR="008319FB" w:rsidRPr="00B0658A" w:rsidRDefault="008319FB" w:rsidP="00004A41">
            <w:pPr>
              <w:spacing w:after="0" w:line="240" w:lineRule="auto"/>
              <w:jc w:val="both"/>
              <w:rPr>
                <w:rFonts w:ascii="Times New Roman"/>
                <w:i/>
                <w:iCs/>
                <w:color w:val="auto"/>
                <w:sz w:val="20"/>
                <w:szCs w:val="20"/>
              </w:rPr>
            </w:pPr>
            <w:r w:rsidRPr="00B0658A">
              <w:rPr>
                <w:rFonts w:ascii="Times New Roman"/>
                <w:i/>
                <w:iCs/>
                <w:color w:val="auto"/>
                <w:sz w:val="20"/>
                <w:szCs w:val="20"/>
              </w:rPr>
              <w:t>Указывается статус: «выполнено» / «не выполнено».</w:t>
            </w:r>
          </w:p>
          <w:p w14:paraId="76970520" w14:textId="77777777" w:rsidR="008319FB" w:rsidRPr="00B0658A" w:rsidRDefault="008319FB" w:rsidP="00004A41">
            <w:pPr>
              <w:spacing w:after="0" w:line="240" w:lineRule="auto"/>
              <w:jc w:val="both"/>
              <w:rPr>
                <w:rFonts w:ascii="Times New Roman"/>
                <w:color w:val="auto"/>
                <w:sz w:val="20"/>
                <w:szCs w:val="20"/>
              </w:rPr>
            </w:pPr>
            <w:r w:rsidRPr="00B0658A">
              <w:rPr>
                <w:rFonts w:ascii="Times New Roman"/>
                <w:i/>
                <w:iCs/>
                <w:color w:val="auto"/>
                <w:sz w:val="20"/>
                <w:szCs w:val="20"/>
              </w:rPr>
              <w:t>Если мероприятие выполнено частично, то указывается статус «не выполнено»</w:t>
            </w:r>
          </w:p>
        </w:tc>
        <w:tc>
          <w:tcPr>
            <w:tcW w:w="1139" w:type="pct"/>
          </w:tcPr>
          <w:p w14:paraId="1AACA6DF" w14:textId="77777777" w:rsidR="008319FB" w:rsidRPr="00B0658A" w:rsidRDefault="008319FB" w:rsidP="00004A41">
            <w:pPr>
              <w:spacing w:after="0" w:line="240" w:lineRule="auto"/>
              <w:jc w:val="both"/>
              <w:rPr>
                <w:rFonts w:ascii="Times New Roman"/>
                <w:i/>
                <w:iCs/>
                <w:color w:val="auto"/>
                <w:sz w:val="20"/>
                <w:szCs w:val="20"/>
              </w:rPr>
            </w:pPr>
            <w:r w:rsidRPr="00B0658A">
              <w:rPr>
                <w:rFonts w:ascii="Times New Roman"/>
                <w:i/>
                <w:iCs/>
                <w:color w:val="auto"/>
                <w:sz w:val="20"/>
                <w:szCs w:val="20"/>
              </w:rPr>
              <w:t>Указывается достигнутый результат. В случае если мероприятие не было выполнено</w:t>
            </w:r>
            <w:r w:rsidR="00775A43" w:rsidRPr="00B0658A">
              <w:rPr>
                <w:rFonts w:ascii="Times New Roman"/>
                <w:i/>
                <w:iCs/>
                <w:color w:val="auto"/>
                <w:sz w:val="20"/>
                <w:szCs w:val="20"/>
              </w:rPr>
              <w:t>,</w:t>
            </w:r>
            <w:r w:rsidRPr="00B0658A">
              <w:rPr>
                <w:rFonts w:ascii="Times New Roman"/>
                <w:i/>
                <w:iCs/>
                <w:color w:val="auto"/>
                <w:sz w:val="20"/>
                <w:szCs w:val="20"/>
              </w:rPr>
              <w:t xml:space="preserve"> либо результат выполнения мероприятия был достигнут не полностью, указываются причины невыполнения мероприятия (частичного выполнения мероприятия), а также срок, в который мероприятие будет реализовано и достигнут запланированный результат</w:t>
            </w:r>
          </w:p>
        </w:tc>
      </w:tr>
      <w:tr w:rsidR="00F52FED" w:rsidRPr="00B0658A" w14:paraId="16503B96" w14:textId="77777777" w:rsidTr="006204A7">
        <w:tc>
          <w:tcPr>
            <w:tcW w:w="184" w:type="pct"/>
          </w:tcPr>
          <w:p w14:paraId="162E808D" w14:textId="77777777" w:rsidR="008319FB" w:rsidRPr="00B0658A" w:rsidRDefault="008319FB" w:rsidP="00004A41">
            <w:pPr>
              <w:spacing w:after="0" w:line="240" w:lineRule="auto"/>
              <w:jc w:val="both"/>
              <w:rPr>
                <w:rFonts w:ascii="Times New Roman"/>
                <w:color w:val="auto"/>
                <w:sz w:val="20"/>
                <w:szCs w:val="20"/>
              </w:rPr>
            </w:pPr>
            <w:r w:rsidRPr="00B0658A">
              <w:rPr>
                <w:rFonts w:ascii="Times New Roman"/>
                <w:color w:val="auto"/>
                <w:sz w:val="20"/>
                <w:szCs w:val="20"/>
              </w:rPr>
              <w:t>1.2</w:t>
            </w:r>
          </w:p>
        </w:tc>
        <w:tc>
          <w:tcPr>
            <w:tcW w:w="1023" w:type="pct"/>
          </w:tcPr>
          <w:p w14:paraId="110650CE" w14:textId="77777777" w:rsidR="008319FB" w:rsidRPr="00B0658A" w:rsidRDefault="008319FB" w:rsidP="00004A41">
            <w:pPr>
              <w:spacing w:after="0" w:line="240" w:lineRule="auto"/>
              <w:jc w:val="both"/>
              <w:rPr>
                <w:rFonts w:ascii="Times New Roman"/>
                <w:color w:val="auto"/>
                <w:sz w:val="20"/>
                <w:szCs w:val="20"/>
              </w:rPr>
            </w:pPr>
          </w:p>
        </w:tc>
        <w:tc>
          <w:tcPr>
            <w:tcW w:w="886" w:type="pct"/>
          </w:tcPr>
          <w:p w14:paraId="3A56AF6D" w14:textId="77777777" w:rsidR="008319FB" w:rsidRPr="00B0658A" w:rsidRDefault="008319FB" w:rsidP="00004A41">
            <w:pPr>
              <w:spacing w:after="0" w:line="240" w:lineRule="auto"/>
              <w:jc w:val="both"/>
              <w:rPr>
                <w:rFonts w:ascii="Times New Roman"/>
                <w:color w:val="auto"/>
                <w:sz w:val="20"/>
                <w:szCs w:val="20"/>
              </w:rPr>
            </w:pPr>
          </w:p>
        </w:tc>
        <w:tc>
          <w:tcPr>
            <w:tcW w:w="895" w:type="pct"/>
          </w:tcPr>
          <w:p w14:paraId="2A94B21B" w14:textId="77777777" w:rsidR="008319FB" w:rsidRPr="00B0658A" w:rsidRDefault="008319FB" w:rsidP="00004A41">
            <w:pPr>
              <w:spacing w:after="0" w:line="240" w:lineRule="auto"/>
              <w:jc w:val="both"/>
              <w:rPr>
                <w:rFonts w:ascii="Times New Roman"/>
                <w:color w:val="auto"/>
                <w:sz w:val="20"/>
                <w:szCs w:val="20"/>
              </w:rPr>
            </w:pPr>
          </w:p>
        </w:tc>
        <w:tc>
          <w:tcPr>
            <w:tcW w:w="873" w:type="pct"/>
          </w:tcPr>
          <w:p w14:paraId="2581708E" w14:textId="77777777" w:rsidR="008319FB" w:rsidRPr="00B0658A" w:rsidRDefault="008319FB" w:rsidP="00004A41">
            <w:pPr>
              <w:spacing w:after="0" w:line="240" w:lineRule="auto"/>
              <w:jc w:val="both"/>
              <w:rPr>
                <w:rFonts w:ascii="Times New Roman"/>
                <w:color w:val="auto"/>
                <w:sz w:val="20"/>
                <w:szCs w:val="20"/>
              </w:rPr>
            </w:pPr>
          </w:p>
        </w:tc>
        <w:tc>
          <w:tcPr>
            <w:tcW w:w="1139" w:type="pct"/>
          </w:tcPr>
          <w:p w14:paraId="71C7BAA5" w14:textId="77777777" w:rsidR="008319FB" w:rsidRPr="00B0658A" w:rsidRDefault="008319FB" w:rsidP="00004A41">
            <w:pPr>
              <w:spacing w:after="0" w:line="240" w:lineRule="auto"/>
              <w:jc w:val="both"/>
              <w:rPr>
                <w:rFonts w:ascii="Times New Roman"/>
                <w:color w:val="auto"/>
                <w:sz w:val="20"/>
                <w:szCs w:val="20"/>
              </w:rPr>
            </w:pPr>
          </w:p>
        </w:tc>
      </w:tr>
      <w:tr w:rsidR="00F52FED" w:rsidRPr="00B0658A" w14:paraId="22735FF3" w14:textId="77777777" w:rsidTr="006204A7">
        <w:tc>
          <w:tcPr>
            <w:tcW w:w="184" w:type="pct"/>
          </w:tcPr>
          <w:p w14:paraId="1F0AB5D9" w14:textId="77777777" w:rsidR="008319FB" w:rsidRPr="00B0658A" w:rsidRDefault="008319FB" w:rsidP="00004A41">
            <w:pPr>
              <w:spacing w:after="0" w:line="240" w:lineRule="auto"/>
              <w:jc w:val="both"/>
              <w:rPr>
                <w:rFonts w:ascii="Times New Roman"/>
                <w:color w:val="auto"/>
                <w:sz w:val="20"/>
                <w:szCs w:val="20"/>
              </w:rPr>
            </w:pPr>
            <w:r w:rsidRPr="00B0658A">
              <w:rPr>
                <w:rFonts w:ascii="Times New Roman"/>
                <w:color w:val="auto"/>
                <w:sz w:val="20"/>
                <w:szCs w:val="20"/>
              </w:rPr>
              <w:lastRenderedPageBreak/>
              <w:t>…</w:t>
            </w:r>
          </w:p>
        </w:tc>
        <w:tc>
          <w:tcPr>
            <w:tcW w:w="1023" w:type="pct"/>
          </w:tcPr>
          <w:p w14:paraId="78EEFCD4" w14:textId="77777777" w:rsidR="008319FB" w:rsidRPr="00B0658A" w:rsidRDefault="008319FB" w:rsidP="00004A41">
            <w:pPr>
              <w:spacing w:after="0" w:line="240" w:lineRule="auto"/>
              <w:jc w:val="both"/>
              <w:rPr>
                <w:rFonts w:ascii="Times New Roman"/>
                <w:color w:val="auto"/>
                <w:sz w:val="20"/>
                <w:szCs w:val="20"/>
              </w:rPr>
            </w:pPr>
          </w:p>
        </w:tc>
        <w:tc>
          <w:tcPr>
            <w:tcW w:w="886" w:type="pct"/>
          </w:tcPr>
          <w:p w14:paraId="0366374C" w14:textId="77777777" w:rsidR="008319FB" w:rsidRPr="00B0658A" w:rsidRDefault="008319FB" w:rsidP="00004A41">
            <w:pPr>
              <w:spacing w:after="0" w:line="240" w:lineRule="auto"/>
              <w:jc w:val="both"/>
              <w:rPr>
                <w:rFonts w:ascii="Times New Roman"/>
                <w:color w:val="auto"/>
                <w:sz w:val="20"/>
                <w:szCs w:val="20"/>
              </w:rPr>
            </w:pPr>
          </w:p>
        </w:tc>
        <w:tc>
          <w:tcPr>
            <w:tcW w:w="895" w:type="pct"/>
          </w:tcPr>
          <w:p w14:paraId="03640FD7" w14:textId="77777777" w:rsidR="008319FB" w:rsidRPr="00B0658A" w:rsidRDefault="008319FB" w:rsidP="00004A41">
            <w:pPr>
              <w:spacing w:after="0" w:line="240" w:lineRule="auto"/>
              <w:jc w:val="both"/>
              <w:rPr>
                <w:rFonts w:ascii="Times New Roman"/>
                <w:color w:val="auto"/>
                <w:sz w:val="20"/>
                <w:szCs w:val="20"/>
              </w:rPr>
            </w:pPr>
          </w:p>
        </w:tc>
        <w:tc>
          <w:tcPr>
            <w:tcW w:w="873" w:type="pct"/>
          </w:tcPr>
          <w:p w14:paraId="30C06B8C" w14:textId="77777777" w:rsidR="008319FB" w:rsidRPr="00B0658A" w:rsidRDefault="008319FB" w:rsidP="00004A41">
            <w:pPr>
              <w:spacing w:after="0" w:line="240" w:lineRule="auto"/>
              <w:jc w:val="both"/>
              <w:rPr>
                <w:rFonts w:ascii="Times New Roman"/>
                <w:color w:val="auto"/>
                <w:sz w:val="20"/>
                <w:szCs w:val="20"/>
              </w:rPr>
            </w:pPr>
          </w:p>
        </w:tc>
        <w:tc>
          <w:tcPr>
            <w:tcW w:w="1139" w:type="pct"/>
          </w:tcPr>
          <w:p w14:paraId="60EA956D" w14:textId="77777777" w:rsidR="008319FB" w:rsidRPr="00B0658A" w:rsidRDefault="008319FB" w:rsidP="00004A41">
            <w:pPr>
              <w:spacing w:after="0" w:line="240" w:lineRule="auto"/>
              <w:jc w:val="both"/>
              <w:rPr>
                <w:rFonts w:ascii="Times New Roman"/>
                <w:color w:val="auto"/>
                <w:sz w:val="20"/>
                <w:szCs w:val="20"/>
              </w:rPr>
            </w:pPr>
          </w:p>
        </w:tc>
      </w:tr>
      <w:tr w:rsidR="00F52FED" w:rsidRPr="00B0658A" w14:paraId="1CE529AE" w14:textId="77777777" w:rsidTr="006204A7">
        <w:tc>
          <w:tcPr>
            <w:tcW w:w="184" w:type="pct"/>
          </w:tcPr>
          <w:p w14:paraId="3F34AF97" w14:textId="77777777" w:rsidR="008319FB" w:rsidRPr="00B0658A" w:rsidRDefault="008319FB" w:rsidP="00004A41">
            <w:pPr>
              <w:spacing w:after="0" w:line="240" w:lineRule="auto"/>
              <w:jc w:val="both"/>
              <w:rPr>
                <w:rFonts w:ascii="Times New Roman"/>
                <w:color w:val="auto"/>
                <w:sz w:val="20"/>
                <w:szCs w:val="20"/>
              </w:rPr>
            </w:pPr>
            <w:r w:rsidRPr="00B0658A">
              <w:rPr>
                <w:rFonts w:ascii="Times New Roman"/>
                <w:color w:val="auto"/>
                <w:sz w:val="20"/>
                <w:szCs w:val="20"/>
                <w:lang w:val="en-US"/>
              </w:rPr>
              <w:t>1.n</w:t>
            </w:r>
          </w:p>
        </w:tc>
        <w:tc>
          <w:tcPr>
            <w:tcW w:w="1023" w:type="pct"/>
          </w:tcPr>
          <w:p w14:paraId="6341042D" w14:textId="77777777" w:rsidR="008319FB" w:rsidRPr="00B0658A" w:rsidRDefault="008319FB" w:rsidP="00004A41">
            <w:pPr>
              <w:spacing w:after="0" w:line="240" w:lineRule="auto"/>
              <w:jc w:val="both"/>
              <w:rPr>
                <w:rFonts w:ascii="Times New Roman"/>
                <w:color w:val="auto"/>
                <w:sz w:val="20"/>
                <w:szCs w:val="20"/>
              </w:rPr>
            </w:pPr>
          </w:p>
        </w:tc>
        <w:tc>
          <w:tcPr>
            <w:tcW w:w="886" w:type="pct"/>
          </w:tcPr>
          <w:p w14:paraId="504A27C2" w14:textId="77777777" w:rsidR="008319FB" w:rsidRPr="00B0658A" w:rsidRDefault="008319FB" w:rsidP="00004A41">
            <w:pPr>
              <w:spacing w:after="0" w:line="240" w:lineRule="auto"/>
              <w:jc w:val="both"/>
              <w:rPr>
                <w:rFonts w:ascii="Times New Roman"/>
                <w:color w:val="auto"/>
                <w:sz w:val="20"/>
                <w:szCs w:val="20"/>
              </w:rPr>
            </w:pPr>
          </w:p>
        </w:tc>
        <w:tc>
          <w:tcPr>
            <w:tcW w:w="895" w:type="pct"/>
          </w:tcPr>
          <w:p w14:paraId="47E42F84" w14:textId="77777777" w:rsidR="008319FB" w:rsidRPr="00B0658A" w:rsidRDefault="008319FB" w:rsidP="00004A41">
            <w:pPr>
              <w:spacing w:after="0" w:line="240" w:lineRule="auto"/>
              <w:jc w:val="both"/>
              <w:rPr>
                <w:rFonts w:ascii="Times New Roman"/>
                <w:color w:val="auto"/>
                <w:sz w:val="20"/>
                <w:szCs w:val="20"/>
              </w:rPr>
            </w:pPr>
          </w:p>
        </w:tc>
        <w:tc>
          <w:tcPr>
            <w:tcW w:w="873" w:type="pct"/>
          </w:tcPr>
          <w:p w14:paraId="17FFC654" w14:textId="77777777" w:rsidR="008319FB" w:rsidRPr="00B0658A" w:rsidRDefault="008319FB" w:rsidP="00004A41">
            <w:pPr>
              <w:spacing w:after="0" w:line="240" w:lineRule="auto"/>
              <w:jc w:val="both"/>
              <w:rPr>
                <w:rFonts w:ascii="Times New Roman"/>
                <w:color w:val="auto"/>
                <w:sz w:val="20"/>
                <w:szCs w:val="20"/>
              </w:rPr>
            </w:pPr>
          </w:p>
        </w:tc>
        <w:tc>
          <w:tcPr>
            <w:tcW w:w="1139" w:type="pct"/>
          </w:tcPr>
          <w:p w14:paraId="4A684328" w14:textId="77777777" w:rsidR="008319FB" w:rsidRPr="00B0658A" w:rsidRDefault="008319FB" w:rsidP="00004A41">
            <w:pPr>
              <w:spacing w:after="0" w:line="240" w:lineRule="auto"/>
              <w:jc w:val="both"/>
              <w:rPr>
                <w:rFonts w:ascii="Times New Roman"/>
                <w:color w:val="auto"/>
                <w:sz w:val="20"/>
                <w:szCs w:val="20"/>
              </w:rPr>
            </w:pPr>
          </w:p>
        </w:tc>
      </w:tr>
      <w:tr w:rsidR="00F52FED" w:rsidRPr="00B0658A" w14:paraId="2FB971C6" w14:textId="77777777" w:rsidTr="006204A7">
        <w:tc>
          <w:tcPr>
            <w:tcW w:w="5000" w:type="pct"/>
            <w:gridSpan w:val="6"/>
          </w:tcPr>
          <w:p w14:paraId="1E7CAB04" w14:textId="77777777" w:rsidR="008319FB" w:rsidRPr="00B0658A" w:rsidRDefault="008319FB" w:rsidP="00004A41">
            <w:pPr>
              <w:spacing w:after="0" w:line="240" w:lineRule="auto"/>
              <w:rPr>
                <w:rFonts w:ascii="Times New Roman"/>
                <w:color w:val="auto"/>
                <w:sz w:val="20"/>
                <w:szCs w:val="20"/>
              </w:rPr>
            </w:pPr>
            <w:r w:rsidRPr="00B0658A">
              <w:rPr>
                <w:rFonts w:ascii="Times New Roman"/>
                <w:b/>
                <w:color w:val="auto"/>
                <w:sz w:val="20"/>
                <w:szCs w:val="20"/>
              </w:rPr>
              <w:t>2. Мероприятия в отношении ________ (наименование значимого объекта КИИ №2)</w:t>
            </w:r>
          </w:p>
        </w:tc>
      </w:tr>
      <w:tr w:rsidR="00F52FED" w:rsidRPr="00B0658A" w14:paraId="7A2E1151" w14:textId="77777777" w:rsidTr="006204A7">
        <w:tc>
          <w:tcPr>
            <w:tcW w:w="184" w:type="pct"/>
          </w:tcPr>
          <w:p w14:paraId="784E910B" w14:textId="77777777" w:rsidR="008319FB" w:rsidRPr="00B0658A" w:rsidRDefault="008319FB" w:rsidP="00004A41">
            <w:pPr>
              <w:spacing w:after="0" w:line="240" w:lineRule="auto"/>
              <w:jc w:val="both"/>
              <w:rPr>
                <w:rFonts w:ascii="Times New Roman"/>
                <w:color w:val="auto"/>
                <w:sz w:val="20"/>
                <w:szCs w:val="20"/>
                <w:lang w:val="en-US"/>
              </w:rPr>
            </w:pPr>
            <w:r w:rsidRPr="00B0658A">
              <w:rPr>
                <w:rFonts w:ascii="Times New Roman"/>
                <w:color w:val="auto"/>
                <w:sz w:val="20"/>
                <w:szCs w:val="20"/>
                <w:lang w:val="en-US"/>
              </w:rPr>
              <w:t>2.1</w:t>
            </w:r>
          </w:p>
        </w:tc>
        <w:tc>
          <w:tcPr>
            <w:tcW w:w="1023" w:type="pct"/>
          </w:tcPr>
          <w:p w14:paraId="791F4436" w14:textId="77777777" w:rsidR="008319FB" w:rsidRPr="00B0658A" w:rsidRDefault="008319FB" w:rsidP="00004A41">
            <w:pPr>
              <w:spacing w:after="0" w:line="240" w:lineRule="auto"/>
              <w:jc w:val="both"/>
              <w:rPr>
                <w:rFonts w:ascii="Times New Roman"/>
                <w:color w:val="auto"/>
                <w:sz w:val="20"/>
                <w:szCs w:val="20"/>
              </w:rPr>
            </w:pPr>
          </w:p>
        </w:tc>
        <w:tc>
          <w:tcPr>
            <w:tcW w:w="886" w:type="pct"/>
          </w:tcPr>
          <w:p w14:paraId="3F88B724" w14:textId="77777777" w:rsidR="008319FB" w:rsidRPr="00B0658A" w:rsidRDefault="008319FB" w:rsidP="00004A41">
            <w:pPr>
              <w:spacing w:after="0" w:line="240" w:lineRule="auto"/>
              <w:jc w:val="both"/>
              <w:rPr>
                <w:rFonts w:ascii="Times New Roman"/>
                <w:color w:val="auto"/>
                <w:sz w:val="20"/>
                <w:szCs w:val="20"/>
              </w:rPr>
            </w:pPr>
          </w:p>
        </w:tc>
        <w:tc>
          <w:tcPr>
            <w:tcW w:w="895" w:type="pct"/>
          </w:tcPr>
          <w:p w14:paraId="7AE6ACBA" w14:textId="77777777" w:rsidR="008319FB" w:rsidRPr="00B0658A" w:rsidRDefault="008319FB" w:rsidP="00004A41">
            <w:pPr>
              <w:spacing w:after="0" w:line="240" w:lineRule="auto"/>
              <w:jc w:val="both"/>
              <w:rPr>
                <w:rFonts w:ascii="Times New Roman"/>
                <w:color w:val="auto"/>
                <w:sz w:val="20"/>
                <w:szCs w:val="20"/>
              </w:rPr>
            </w:pPr>
          </w:p>
        </w:tc>
        <w:tc>
          <w:tcPr>
            <w:tcW w:w="873" w:type="pct"/>
          </w:tcPr>
          <w:p w14:paraId="7E7D54CD" w14:textId="77777777" w:rsidR="008319FB" w:rsidRPr="00B0658A" w:rsidRDefault="008319FB" w:rsidP="00004A41">
            <w:pPr>
              <w:spacing w:after="0" w:line="240" w:lineRule="auto"/>
              <w:jc w:val="both"/>
              <w:rPr>
                <w:rFonts w:ascii="Times New Roman"/>
                <w:color w:val="auto"/>
                <w:sz w:val="20"/>
                <w:szCs w:val="20"/>
              </w:rPr>
            </w:pPr>
          </w:p>
        </w:tc>
        <w:tc>
          <w:tcPr>
            <w:tcW w:w="1139" w:type="pct"/>
          </w:tcPr>
          <w:p w14:paraId="292B38C8" w14:textId="77777777" w:rsidR="008319FB" w:rsidRPr="00B0658A" w:rsidRDefault="008319FB" w:rsidP="00004A41">
            <w:pPr>
              <w:spacing w:after="0" w:line="240" w:lineRule="auto"/>
              <w:jc w:val="both"/>
              <w:rPr>
                <w:rFonts w:ascii="Times New Roman"/>
                <w:color w:val="auto"/>
                <w:sz w:val="20"/>
                <w:szCs w:val="20"/>
              </w:rPr>
            </w:pPr>
          </w:p>
        </w:tc>
      </w:tr>
      <w:tr w:rsidR="00F52FED" w:rsidRPr="00B0658A" w14:paraId="2FD6D45E" w14:textId="77777777" w:rsidTr="006204A7">
        <w:tc>
          <w:tcPr>
            <w:tcW w:w="184" w:type="pct"/>
          </w:tcPr>
          <w:p w14:paraId="545B4743" w14:textId="77777777" w:rsidR="008319FB" w:rsidRPr="00B0658A" w:rsidRDefault="008319FB" w:rsidP="00004A41">
            <w:pPr>
              <w:spacing w:after="0" w:line="240" w:lineRule="auto"/>
              <w:jc w:val="both"/>
              <w:rPr>
                <w:rFonts w:ascii="Times New Roman"/>
                <w:color w:val="auto"/>
                <w:sz w:val="20"/>
                <w:szCs w:val="20"/>
                <w:lang w:val="en-US"/>
              </w:rPr>
            </w:pPr>
            <w:r w:rsidRPr="00B0658A">
              <w:rPr>
                <w:rFonts w:ascii="Times New Roman"/>
                <w:color w:val="auto"/>
                <w:sz w:val="20"/>
                <w:szCs w:val="20"/>
                <w:lang w:val="en-US"/>
              </w:rPr>
              <w:t>2.2</w:t>
            </w:r>
          </w:p>
        </w:tc>
        <w:tc>
          <w:tcPr>
            <w:tcW w:w="1023" w:type="pct"/>
          </w:tcPr>
          <w:p w14:paraId="4CC9B27A" w14:textId="77777777" w:rsidR="008319FB" w:rsidRPr="00B0658A" w:rsidRDefault="008319FB" w:rsidP="00004A41">
            <w:pPr>
              <w:spacing w:after="0" w:line="240" w:lineRule="auto"/>
              <w:jc w:val="both"/>
              <w:rPr>
                <w:rFonts w:ascii="Times New Roman"/>
                <w:color w:val="auto"/>
                <w:sz w:val="20"/>
                <w:szCs w:val="20"/>
              </w:rPr>
            </w:pPr>
          </w:p>
        </w:tc>
        <w:tc>
          <w:tcPr>
            <w:tcW w:w="886" w:type="pct"/>
          </w:tcPr>
          <w:p w14:paraId="70D0C3B1" w14:textId="77777777" w:rsidR="008319FB" w:rsidRPr="00B0658A" w:rsidRDefault="008319FB" w:rsidP="00004A41">
            <w:pPr>
              <w:spacing w:after="0" w:line="240" w:lineRule="auto"/>
              <w:jc w:val="both"/>
              <w:rPr>
                <w:rFonts w:ascii="Times New Roman"/>
                <w:color w:val="auto"/>
                <w:sz w:val="20"/>
                <w:szCs w:val="20"/>
              </w:rPr>
            </w:pPr>
          </w:p>
        </w:tc>
        <w:tc>
          <w:tcPr>
            <w:tcW w:w="895" w:type="pct"/>
          </w:tcPr>
          <w:p w14:paraId="13F0412F" w14:textId="77777777" w:rsidR="008319FB" w:rsidRPr="00B0658A" w:rsidRDefault="008319FB" w:rsidP="00004A41">
            <w:pPr>
              <w:spacing w:after="0" w:line="240" w:lineRule="auto"/>
              <w:jc w:val="both"/>
              <w:rPr>
                <w:rFonts w:ascii="Times New Roman"/>
                <w:color w:val="auto"/>
                <w:sz w:val="20"/>
                <w:szCs w:val="20"/>
              </w:rPr>
            </w:pPr>
          </w:p>
        </w:tc>
        <w:tc>
          <w:tcPr>
            <w:tcW w:w="873" w:type="pct"/>
          </w:tcPr>
          <w:p w14:paraId="03016080" w14:textId="77777777" w:rsidR="008319FB" w:rsidRPr="00B0658A" w:rsidRDefault="008319FB" w:rsidP="00004A41">
            <w:pPr>
              <w:spacing w:after="0" w:line="240" w:lineRule="auto"/>
              <w:jc w:val="both"/>
              <w:rPr>
                <w:rFonts w:ascii="Times New Roman"/>
                <w:color w:val="auto"/>
                <w:sz w:val="20"/>
                <w:szCs w:val="20"/>
              </w:rPr>
            </w:pPr>
          </w:p>
        </w:tc>
        <w:tc>
          <w:tcPr>
            <w:tcW w:w="1139" w:type="pct"/>
          </w:tcPr>
          <w:p w14:paraId="66DFB95B" w14:textId="77777777" w:rsidR="008319FB" w:rsidRPr="00B0658A" w:rsidRDefault="008319FB" w:rsidP="00004A41">
            <w:pPr>
              <w:spacing w:after="0" w:line="240" w:lineRule="auto"/>
              <w:jc w:val="both"/>
              <w:rPr>
                <w:rFonts w:ascii="Times New Roman"/>
                <w:color w:val="auto"/>
                <w:sz w:val="20"/>
                <w:szCs w:val="20"/>
              </w:rPr>
            </w:pPr>
          </w:p>
        </w:tc>
      </w:tr>
      <w:tr w:rsidR="00F52FED" w:rsidRPr="00B0658A" w14:paraId="4A7FE752" w14:textId="77777777" w:rsidTr="006204A7">
        <w:tc>
          <w:tcPr>
            <w:tcW w:w="184" w:type="pct"/>
          </w:tcPr>
          <w:p w14:paraId="5F9DF1BD" w14:textId="77777777" w:rsidR="008319FB" w:rsidRPr="00B0658A" w:rsidRDefault="008319FB" w:rsidP="00004A41">
            <w:pPr>
              <w:spacing w:after="0" w:line="240" w:lineRule="auto"/>
              <w:jc w:val="both"/>
              <w:rPr>
                <w:rFonts w:ascii="Times New Roman"/>
                <w:color w:val="auto"/>
                <w:sz w:val="20"/>
                <w:szCs w:val="20"/>
                <w:lang w:val="en-US"/>
              </w:rPr>
            </w:pPr>
            <w:r w:rsidRPr="00B0658A">
              <w:rPr>
                <w:rFonts w:ascii="Times New Roman"/>
                <w:color w:val="auto"/>
                <w:sz w:val="20"/>
                <w:szCs w:val="20"/>
                <w:lang w:val="en-US"/>
              </w:rPr>
              <w:t>…</w:t>
            </w:r>
          </w:p>
        </w:tc>
        <w:tc>
          <w:tcPr>
            <w:tcW w:w="1023" w:type="pct"/>
          </w:tcPr>
          <w:p w14:paraId="494FC676" w14:textId="77777777" w:rsidR="008319FB" w:rsidRPr="00B0658A" w:rsidRDefault="008319FB" w:rsidP="00004A41">
            <w:pPr>
              <w:spacing w:after="0" w:line="240" w:lineRule="auto"/>
              <w:jc w:val="both"/>
              <w:rPr>
                <w:rFonts w:ascii="Times New Roman"/>
                <w:color w:val="auto"/>
                <w:sz w:val="20"/>
                <w:szCs w:val="20"/>
              </w:rPr>
            </w:pPr>
          </w:p>
        </w:tc>
        <w:tc>
          <w:tcPr>
            <w:tcW w:w="886" w:type="pct"/>
          </w:tcPr>
          <w:p w14:paraId="147D7ECD" w14:textId="77777777" w:rsidR="008319FB" w:rsidRPr="00B0658A" w:rsidRDefault="008319FB" w:rsidP="00004A41">
            <w:pPr>
              <w:spacing w:after="0" w:line="240" w:lineRule="auto"/>
              <w:jc w:val="both"/>
              <w:rPr>
                <w:rFonts w:ascii="Times New Roman"/>
                <w:color w:val="auto"/>
                <w:sz w:val="20"/>
                <w:szCs w:val="20"/>
              </w:rPr>
            </w:pPr>
          </w:p>
        </w:tc>
        <w:tc>
          <w:tcPr>
            <w:tcW w:w="895" w:type="pct"/>
          </w:tcPr>
          <w:p w14:paraId="2D764176" w14:textId="77777777" w:rsidR="008319FB" w:rsidRPr="00B0658A" w:rsidRDefault="008319FB" w:rsidP="00004A41">
            <w:pPr>
              <w:spacing w:after="0" w:line="240" w:lineRule="auto"/>
              <w:jc w:val="both"/>
              <w:rPr>
                <w:rFonts w:ascii="Times New Roman"/>
                <w:color w:val="auto"/>
                <w:sz w:val="20"/>
                <w:szCs w:val="20"/>
              </w:rPr>
            </w:pPr>
          </w:p>
        </w:tc>
        <w:tc>
          <w:tcPr>
            <w:tcW w:w="873" w:type="pct"/>
          </w:tcPr>
          <w:p w14:paraId="2CBA0E2E" w14:textId="77777777" w:rsidR="008319FB" w:rsidRPr="00B0658A" w:rsidRDefault="008319FB" w:rsidP="00004A41">
            <w:pPr>
              <w:spacing w:after="0" w:line="240" w:lineRule="auto"/>
              <w:jc w:val="both"/>
              <w:rPr>
                <w:rFonts w:ascii="Times New Roman"/>
                <w:color w:val="auto"/>
                <w:sz w:val="20"/>
                <w:szCs w:val="20"/>
              </w:rPr>
            </w:pPr>
          </w:p>
        </w:tc>
        <w:tc>
          <w:tcPr>
            <w:tcW w:w="1139" w:type="pct"/>
          </w:tcPr>
          <w:p w14:paraId="78BECB08" w14:textId="77777777" w:rsidR="008319FB" w:rsidRPr="00B0658A" w:rsidRDefault="008319FB" w:rsidP="00004A41">
            <w:pPr>
              <w:spacing w:after="0" w:line="240" w:lineRule="auto"/>
              <w:jc w:val="both"/>
              <w:rPr>
                <w:rFonts w:ascii="Times New Roman"/>
                <w:color w:val="auto"/>
                <w:sz w:val="20"/>
                <w:szCs w:val="20"/>
              </w:rPr>
            </w:pPr>
          </w:p>
        </w:tc>
      </w:tr>
      <w:tr w:rsidR="00F52FED" w:rsidRPr="00B0658A" w14:paraId="41B57922" w14:textId="77777777" w:rsidTr="006204A7">
        <w:tc>
          <w:tcPr>
            <w:tcW w:w="184" w:type="pct"/>
          </w:tcPr>
          <w:p w14:paraId="27DA008B" w14:textId="77777777" w:rsidR="008319FB" w:rsidRPr="00B0658A" w:rsidRDefault="008319FB" w:rsidP="00004A41">
            <w:pPr>
              <w:spacing w:after="0" w:line="240" w:lineRule="auto"/>
              <w:jc w:val="both"/>
              <w:rPr>
                <w:rFonts w:ascii="Times New Roman"/>
                <w:color w:val="auto"/>
                <w:sz w:val="20"/>
                <w:szCs w:val="20"/>
                <w:lang w:val="en-US"/>
              </w:rPr>
            </w:pPr>
            <w:r w:rsidRPr="00B0658A">
              <w:rPr>
                <w:rFonts w:ascii="Times New Roman"/>
                <w:color w:val="auto"/>
                <w:sz w:val="20"/>
                <w:szCs w:val="20"/>
                <w:lang w:val="en-US"/>
              </w:rPr>
              <w:t>2.n</w:t>
            </w:r>
          </w:p>
        </w:tc>
        <w:tc>
          <w:tcPr>
            <w:tcW w:w="1023" w:type="pct"/>
          </w:tcPr>
          <w:p w14:paraId="7153A078" w14:textId="77777777" w:rsidR="008319FB" w:rsidRPr="00B0658A" w:rsidRDefault="008319FB" w:rsidP="00004A41">
            <w:pPr>
              <w:spacing w:after="0" w:line="240" w:lineRule="auto"/>
              <w:jc w:val="both"/>
              <w:rPr>
                <w:rFonts w:ascii="Times New Roman"/>
                <w:color w:val="auto"/>
                <w:sz w:val="20"/>
                <w:szCs w:val="20"/>
              </w:rPr>
            </w:pPr>
          </w:p>
        </w:tc>
        <w:tc>
          <w:tcPr>
            <w:tcW w:w="886" w:type="pct"/>
          </w:tcPr>
          <w:p w14:paraId="304022D7" w14:textId="77777777" w:rsidR="008319FB" w:rsidRPr="00B0658A" w:rsidRDefault="008319FB" w:rsidP="00004A41">
            <w:pPr>
              <w:spacing w:after="0" w:line="240" w:lineRule="auto"/>
              <w:jc w:val="both"/>
              <w:rPr>
                <w:rFonts w:ascii="Times New Roman"/>
                <w:color w:val="auto"/>
                <w:sz w:val="20"/>
                <w:szCs w:val="20"/>
              </w:rPr>
            </w:pPr>
          </w:p>
        </w:tc>
        <w:tc>
          <w:tcPr>
            <w:tcW w:w="895" w:type="pct"/>
          </w:tcPr>
          <w:p w14:paraId="278566B4" w14:textId="77777777" w:rsidR="008319FB" w:rsidRPr="00B0658A" w:rsidRDefault="008319FB" w:rsidP="00004A41">
            <w:pPr>
              <w:spacing w:after="0" w:line="240" w:lineRule="auto"/>
              <w:jc w:val="both"/>
              <w:rPr>
                <w:rFonts w:ascii="Times New Roman"/>
                <w:color w:val="auto"/>
                <w:sz w:val="20"/>
                <w:szCs w:val="20"/>
              </w:rPr>
            </w:pPr>
          </w:p>
        </w:tc>
        <w:tc>
          <w:tcPr>
            <w:tcW w:w="873" w:type="pct"/>
          </w:tcPr>
          <w:p w14:paraId="43C1BDA4" w14:textId="77777777" w:rsidR="008319FB" w:rsidRPr="00B0658A" w:rsidRDefault="008319FB" w:rsidP="00004A41">
            <w:pPr>
              <w:spacing w:after="0" w:line="240" w:lineRule="auto"/>
              <w:jc w:val="both"/>
              <w:rPr>
                <w:rFonts w:ascii="Times New Roman"/>
                <w:color w:val="auto"/>
                <w:sz w:val="20"/>
                <w:szCs w:val="20"/>
              </w:rPr>
            </w:pPr>
          </w:p>
        </w:tc>
        <w:tc>
          <w:tcPr>
            <w:tcW w:w="1139" w:type="pct"/>
          </w:tcPr>
          <w:p w14:paraId="7A950388" w14:textId="77777777" w:rsidR="008319FB" w:rsidRPr="00B0658A" w:rsidRDefault="008319FB" w:rsidP="00004A41">
            <w:pPr>
              <w:spacing w:after="0" w:line="240" w:lineRule="auto"/>
              <w:jc w:val="both"/>
              <w:rPr>
                <w:rFonts w:ascii="Times New Roman"/>
                <w:color w:val="auto"/>
                <w:sz w:val="20"/>
                <w:szCs w:val="20"/>
              </w:rPr>
            </w:pPr>
          </w:p>
        </w:tc>
      </w:tr>
      <w:tr w:rsidR="00F52FED" w:rsidRPr="00B0658A" w14:paraId="0EEEC12E" w14:textId="77777777" w:rsidTr="006204A7">
        <w:tc>
          <w:tcPr>
            <w:tcW w:w="184" w:type="pct"/>
          </w:tcPr>
          <w:p w14:paraId="69F4E996" w14:textId="77777777" w:rsidR="008319FB" w:rsidRPr="00B0658A" w:rsidRDefault="008319FB" w:rsidP="00004A41">
            <w:pPr>
              <w:spacing w:after="0" w:line="240" w:lineRule="auto"/>
              <w:jc w:val="both"/>
              <w:rPr>
                <w:rFonts w:ascii="Times New Roman"/>
                <w:color w:val="auto"/>
                <w:sz w:val="20"/>
                <w:szCs w:val="20"/>
                <w:lang w:val="en-US"/>
              </w:rPr>
            </w:pPr>
          </w:p>
        </w:tc>
        <w:tc>
          <w:tcPr>
            <w:tcW w:w="1023" w:type="pct"/>
          </w:tcPr>
          <w:p w14:paraId="73B21055" w14:textId="77777777" w:rsidR="008319FB" w:rsidRPr="00B0658A" w:rsidRDefault="008319FB" w:rsidP="00004A41">
            <w:pPr>
              <w:spacing w:after="0" w:line="240" w:lineRule="auto"/>
              <w:jc w:val="both"/>
              <w:rPr>
                <w:rFonts w:ascii="Times New Roman"/>
                <w:color w:val="auto"/>
                <w:sz w:val="20"/>
                <w:szCs w:val="20"/>
              </w:rPr>
            </w:pPr>
          </w:p>
        </w:tc>
        <w:tc>
          <w:tcPr>
            <w:tcW w:w="886" w:type="pct"/>
          </w:tcPr>
          <w:p w14:paraId="11297BDA" w14:textId="77777777" w:rsidR="008319FB" w:rsidRPr="00B0658A" w:rsidRDefault="008319FB" w:rsidP="00004A41">
            <w:pPr>
              <w:spacing w:after="0" w:line="240" w:lineRule="auto"/>
              <w:jc w:val="both"/>
              <w:rPr>
                <w:rFonts w:ascii="Times New Roman"/>
                <w:color w:val="auto"/>
                <w:sz w:val="20"/>
                <w:szCs w:val="20"/>
              </w:rPr>
            </w:pPr>
          </w:p>
        </w:tc>
        <w:tc>
          <w:tcPr>
            <w:tcW w:w="895" w:type="pct"/>
          </w:tcPr>
          <w:p w14:paraId="7F810E1E" w14:textId="77777777" w:rsidR="008319FB" w:rsidRPr="00B0658A" w:rsidRDefault="008319FB" w:rsidP="00004A41">
            <w:pPr>
              <w:spacing w:after="0" w:line="240" w:lineRule="auto"/>
              <w:jc w:val="both"/>
              <w:rPr>
                <w:rFonts w:ascii="Times New Roman"/>
                <w:color w:val="auto"/>
                <w:sz w:val="20"/>
                <w:szCs w:val="20"/>
              </w:rPr>
            </w:pPr>
          </w:p>
        </w:tc>
        <w:tc>
          <w:tcPr>
            <w:tcW w:w="873" w:type="pct"/>
          </w:tcPr>
          <w:p w14:paraId="15079062" w14:textId="77777777" w:rsidR="008319FB" w:rsidRPr="00B0658A" w:rsidRDefault="008319FB" w:rsidP="00004A41">
            <w:pPr>
              <w:spacing w:after="0" w:line="240" w:lineRule="auto"/>
              <w:jc w:val="both"/>
              <w:rPr>
                <w:rFonts w:ascii="Times New Roman"/>
                <w:color w:val="auto"/>
                <w:sz w:val="20"/>
                <w:szCs w:val="20"/>
              </w:rPr>
            </w:pPr>
          </w:p>
        </w:tc>
        <w:tc>
          <w:tcPr>
            <w:tcW w:w="1139" w:type="pct"/>
          </w:tcPr>
          <w:p w14:paraId="5E3AC043" w14:textId="77777777" w:rsidR="008319FB" w:rsidRPr="00B0658A" w:rsidRDefault="008319FB" w:rsidP="00004A41">
            <w:pPr>
              <w:spacing w:after="0" w:line="240" w:lineRule="auto"/>
              <w:jc w:val="both"/>
              <w:rPr>
                <w:rFonts w:ascii="Times New Roman"/>
                <w:color w:val="auto"/>
                <w:sz w:val="20"/>
                <w:szCs w:val="20"/>
              </w:rPr>
            </w:pPr>
          </w:p>
        </w:tc>
      </w:tr>
      <w:tr w:rsidR="00F52FED" w:rsidRPr="00B0658A" w14:paraId="572D7EAD" w14:textId="77777777" w:rsidTr="006204A7">
        <w:tc>
          <w:tcPr>
            <w:tcW w:w="5000" w:type="pct"/>
            <w:gridSpan w:val="6"/>
          </w:tcPr>
          <w:p w14:paraId="7875B855" w14:textId="77777777" w:rsidR="008319FB" w:rsidRPr="00B0658A" w:rsidRDefault="008319FB" w:rsidP="00004A41">
            <w:pPr>
              <w:spacing w:after="0" w:line="240" w:lineRule="auto"/>
              <w:rPr>
                <w:rFonts w:ascii="Times New Roman"/>
                <w:color w:val="auto"/>
                <w:sz w:val="20"/>
                <w:szCs w:val="20"/>
              </w:rPr>
            </w:pPr>
            <w:r w:rsidRPr="00B0658A">
              <w:rPr>
                <w:rFonts w:ascii="Times New Roman"/>
                <w:b/>
                <w:color w:val="auto"/>
                <w:sz w:val="20"/>
                <w:szCs w:val="20"/>
              </w:rPr>
              <w:t>N. Мероприятия в отношении ________ (наименование значимого объекта КИИ №N)</w:t>
            </w:r>
          </w:p>
        </w:tc>
      </w:tr>
      <w:tr w:rsidR="00F52FED" w:rsidRPr="00B0658A" w14:paraId="4DDFEB1F" w14:textId="77777777" w:rsidTr="006204A7">
        <w:tc>
          <w:tcPr>
            <w:tcW w:w="184" w:type="pct"/>
          </w:tcPr>
          <w:p w14:paraId="07619EF9" w14:textId="77777777" w:rsidR="008319FB" w:rsidRPr="00B0658A" w:rsidRDefault="008319FB" w:rsidP="00004A41">
            <w:pPr>
              <w:spacing w:after="0" w:line="240" w:lineRule="auto"/>
              <w:jc w:val="both"/>
              <w:rPr>
                <w:rFonts w:ascii="Times New Roman"/>
                <w:color w:val="auto"/>
                <w:sz w:val="20"/>
                <w:szCs w:val="20"/>
                <w:lang w:val="en-US"/>
              </w:rPr>
            </w:pPr>
            <w:r w:rsidRPr="00B0658A">
              <w:rPr>
                <w:rFonts w:ascii="Times New Roman"/>
                <w:color w:val="auto"/>
                <w:sz w:val="20"/>
                <w:szCs w:val="20"/>
                <w:lang w:val="en-US"/>
              </w:rPr>
              <w:t>N.1</w:t>
            </w:r>
          </w:p>
        </w:tc>
        <w:tc>
          <w:tcPr>
            <w:tcW w:w="1023" w:type="pct"/>
          </w:tcPr>
          <w:p w14:paraId="471C6E0E" w14:textId="77777777" w:rsidR="008319FB" w:rsidRPr="00B0658A" w:rsidRDefault="008319FB" w:rsidP="00004A41">
            <w:pPr>
              <w:spacing w:after="0" w:line="240" w:lineRule="auto"/>
              <w:jc w:val="both"/>
              <w:rPr>
                <w:rFonts w:ascii="Times New Roman"/>
                <w:color w:val="auto"/>
                <w:sz w:val="20"/>
                <w:szCs w:val="20"/>
              </w:rPr>
            </w:pPr>
          </w:p>
        </w:tc>
        <w:tc>
          <w:tcPr>
            <w:tcW w:w="886" w:type="pct"/>
          </w:tcPr>
          <w:p w14:paraId="28B6E063" w14:textId="77777777" w:rsidR="008319FB" w:rsidRPr="00B0658A" w:rsidRDefault="008319FB" w:rsidP="00004A41">
            <w:pPr>
              <w:spacing w:after="0" w:line="240" w:lineRule="auto"/>
              <w:jc w:val="both"/>
              <w:rPr>
                <w:rFonts w:ascii="Times New Roman"/>
                <w:color w:val="auto"/>
                <w:sz w:val="20"/>
                <w:szCs w:val="20"/>
              </w:rPr>
            </w:pPr>
          </w:p>
        </w:tc>
        <w:tc>
          <w:tcPr>
            <w:tcW w:w="895" w:type="pct"/>
          </w:tcPr>
          <w:p w14:paraId="0ACAEC84" w14:textId="77777777" w:rsidR="008319FB" w:rsidRPr="00B0658A" w:rsidRDefault="008319FB" w:rsidP="00004A41">
            <w:pPr>
              <w:spacing w:after="0" w:line="240" w:lineRule="auto"/>
              <w:jc w:val="both"/>
              <w:rPr>
                <w:rFonts w:ascii="Times New Roman"/>
                <w:color w:val="auto"/>
                <w:sz w:val="20"/>
                <w:szCs w:val="20"/>
              </w:rPr>
            </w:pPr>
          </w:p>
        </w:tc>
        <w:tc>
          <w:tcPr>
            <w:tcW w:w="873" w:type="pct"/>
          </w:tcPr>
          <w:p w14:paraId="25E0406C" w14:textId="77777777" w:rsidR="008319FB" w:rsidRPr="00B0658A" w:rsidRDefault="008319FB" w:rsidP="00004A41">
            <w:pPr>
              <w:spacing w:after="0" w:line="240" w:lineRule="auto"/>
              <w:jc w:val="both"/>
              <w:rPr>
                <w:rFonts w:ascii="Times New Roman"/>
                <w:color w:val="auto"/>
                <w:sz w:val="20"/>
                <w:szCs w:val="20"/>
              </w:rPr>
            </w:pPr>
          </w:p>
        </w:tc>
        <w:tc>
          <w:tcPr>
            <w:tcW w:w="1139" w:type="pct"/>
          </w:tcPr>
          <w:p w14:paraId="2714391E" w14:textId="77777777" w:rsidR="008319FB" w:rsidRPr="00B0658A" w:rsidRDefault="008319FB" w:rsidP="00004A41">
            <w:pPr>
              <w:spacing w:after="0" w:line="240" w:lineRule="auto"/>
              <w:jc w:val="both"/>
              <w:rPr>
                <w:rFonts w:ascii="Times New Roman"/>
                <w:color w:val="auto"/>
                <w:sz w:val="20"/>
                <w:szCs w:val="20"/>
              </w:rPr>
            </w:pPr>
          </w:p>
        </w:tc>
      </w:tr>
      <w:tr w:rsidR="00F52FED" w:rsidRPr="00B0658A" w14:paraId="0EC48E70" w14:textId="77777777" w:rsidTr="006204A7">
        <w:tc>
          <w:tcPr>
            <w:tcW w:w="184" w:type="pct"/>
          </w:tcPr>
          <w:p w14:paraId="224BD915" w14:textId="77777777" w:rsidR="008319FB" w:rsidRPr="00B0658A" w:rsidRDefault="008319FB" w:rsidP="00004A41">
            <w:pPr>
              <w:spacing w:after="0" w:line="240" w:lineRule="auto"/>
              <w:jc w:val="both"/>
              <w:rPr>
                <w:rFonts w:ascii="Times New Roman"/>
                <w:color w:val="auto"/>
                <w:sz w:val="20"/>
                <w:szCs w:val="20"/>
                <w:lang w:val="en-US"/>
              </w:rPr>
            </w:pPr>
            <w:r w:rsidRPr="00B0658A">
              <w:rPr>
                <w:rFonts w:ascii="Times New Roman"/>
                <w:color w:val="auto"/>
                <w:sz w:val="20"/>
                <w:szCs w:val="20"/>
                <w:lang w:val="en-US"/>
              </w:rPr>
              <w:t>N.2</w:t>
            </w:r>
          </w:p>
        </w:tc>
        <w:tc>
          <w:tcPr>
            <w:tcW w:w="1023" w:type="pct"/>
          </w:tcPr>
          <w:p w14:paraId="52D3C5C8" w14:textId="77777777" w:rsidR="008319FB" w:rsidRPr="00B0658A" w:rsidRDefault="008319FB" w:rsidP="00004A41">
            <w:pPr>
              <w:spacing w:after="0" w:line="240" w:lineRule="auto"/>
              <w:jc w:val="both"/>
              <w:rPr>
                <w:rFonts w:ascii="Times New Roman"/>
                <w:color w:val="auto"/>
                <w:sz w:val="20"/>
                <w:szCs w:val="20"/>
              </w:rPr>
            </w:pPr>
          </w:p>
        </w:tc>
        <w:tc>
          <w:tcPr>
            <w:tcW w:w="886" w:type="pct"/>
          </w:tcPr>
          <w:p w14:paraId="21576A9E" w14:textId="77777777" w:rsidR="008319FB" w:rsidRPr="00B0658A" w:rsidRDefault="008319FB" w:rsidP="00004A41">
            <w:pPr>
              <w:spacing w:after="0" w:line="240" w:lineRule="auto"/>
              <w:jc w:val="both"/>
              <w:rPr>
                <w:rFonts w:ascii="Times New Roman"/>
                <w:color w:val="auto"/>
                <w:sz w:val="20"/>
                <w:szCs w:val="20"/>
              </w:rPr>
            </w:pPr>
          </w:p>
        </w:tc>
        <w:tc>
          <w:tcPr>
            <w:tcW w:w="895" w:type="pct"/>
          </w:tcPr>
          <w:p w14:paraId="31A1E486" w14:textId="77777777" w:rsidR="008319FB" w:rsidRPr="00B0658A" w:rsidRDefault="008319FB" w:rsidP="00004A41">
            <w:pPr>
              <w:spacing w:after="0" w:line="240" w:lineRule="auto"/>
              <w:jc w:val="both"/>
              <w:rPr>
                <w:rFonts w:ascii="Times New Roman"/>
                <w:color w:val="auto"/>
                <w:sz w:val="20"/>
                <w:szCs w:val="20"/>
              </w:rPr>
            </w:pPr>
          </w:p>
        </w:tc>
        <w:tc>
          <w:tcPr>
            <w:tcW w:w="873" w:type="pct"/>
          </w:tcPr>
          <w:p w14:paraId="2AC8BA34" w14:textId="77777777" w:rsidR="008319FB" w:rsidRPr="00B0658A" w:rsidRDefault="008319FB" w:rsidP="00004A41">
            <w:pPr>
              <w:spacing w:after="0" w:line="240" w:lineRule="auto"/>
              <w:jc w:val="both"/>
              <w:rPr>
                <w:rFonts w:ascii="Times New Roman"/>
                <w:color w:val="auto"/>
                <w:sz w:val="20"/>
                <w:szCs w:val="20"/>
              </w:rPr>
            </w:pPr>
          </w:p>
        </w:tc>
        <w:tc>
          <w:tcPr>
            <w:tcW w:w="1139" w:type="pct"/>
          </w:tcPr>
          <w:p w14:paraId="719C2857" w14:textId="77777777" w:rsidR="008319FB" w:rsidRPr="00B0658A" w:rsidRDefault="008319FB" w:rsidP="00004A41">
            <w:pPr>
              <w:spacing w:after="0" w:line="240" w:lineRule="auto"/>
              <w:jc w:val="both"/>
              <w:rPr>
                <w:rFonts w:ascii="Times New Roman"/>
                <w:color w:val="auto"/>
                <w:sz w:val="20"/>
                <w:szCs w:val="20"/>
              </w:rPr>
            </w:pPr>
          </w:p>
        </w:tc>
      </w:tr>
      <w:tr w:rsidR="00F52FED" w:rsidRPr="00B0658A" w14:paraId="0F436F5D" w14:textId="77777777" w:rsidTr="006204A7">
        <w:tc>
          <w:tcPr>
            <w:tcW w:w="184" w:type="pct"/>
          </w:tcPr>
          <w:p w14:paraId="259929D8" w14:textId="77777777" w:rsidR="008319FB" w:rsidRPr="00B0658A" w:rsidRDefault="008319FB" w:rsidP="00004A41">
            <w:pPr>
              <w:spacing w:after="0" w:line="240" w:lineRule="auto"/>
              <w:jc w:val="both"/>
              <w:rPr>
                <w:rFonts w:ascii="Times New Roman"/>
                <w:color w:val="auto"/>
                <w:sz w:val="20"/>
                <w:szCs w:val="20"/>
                <w:lang w:val="en-US"/>
              </w:rPr>
            </w:pPr>
            <w:r w:rsidRPr="00B0658A">
              <w:rPr>
                <w:rFonts w:ascii="Times New Roman"/>
                <w:color w:val="auto"/>
                <w:sz w:val="20"/>
                <w:szCs w:val="20"/>
                <w:lang w:val="en-US"/>
              </w:rPr>
              <w:t>…</w:t>
            </w:r>
          </w:p>
        </w:tc>
        <w:tc>
          <w:tcPr>
            <w:tcW w:w="1023" w:type="pct"/>
          </w:tcPr>
          <w:p w14:paraId="7FE6FE0F" w14:textId="77777777" w:rsidR="008319FB" w:rsidRPr="00B0658A" w:rsidRDefault="008319FB" w:rsidP="00004A41">
            <w:pPr>
              <w:spacing w:after="0" w:line="240" w:lineRule="auto"/>
              <w:jc w:val="both"/>
              <w:rPr>
                <w:rFonts w:ascii="Times New Roman"/>
                <w:color w:val="auto"/>
                <w:sz w:val="20"/>
                <w:szCs w:val="20"/>
              </w:rPr>
            </w:pPr>
          </w:p>
        </w:tc>
        <w:tc>
          <w:tcPr>
            <w:tcW w:w="886" w:type="pct"/>
          </w:tcPr>
          <w:p w14:paraId="5BAD874C" w14:textId="77777777" w:rsidR="008319FB" w:rsidRPr="00B0658A" w:rsidRDefault="008319FB" w:rsidP="00004A41">
            <w:pPr>
              <w:spacing w:after="0" w:line="240" w:lineRule="auto"/>
              <w:jc w:val="both"/>
              <w:rPr>
                <w:rFonts w:ascii="Times New Roman"/>
                <w:color w:val="auto"/>
                <w:sz w:val="20"/>
                <w:szCs w:val="20"/>
              </w:rPr>
            </w:pPr>
          </w:p>
        </w:tc>
        <w:tc>
          <w:tcPr>
            <w:tcW w:w="895" w:type="pct"/>
          </w:tcPr>
          <w:p w14:paraId="2B2C6692" w14:textId="77777777" w:rsidR="008319FB" w:rsidRPr="00B0658A" w:rsidRDefault="008319FB" w:rsidP="00004A41">
            <w:pPr>
              <w:spacing w:after="0" w:line="240" w:lineRule="auto"/>
              <w:jc w:val="both"/>
              <w:rPr>
                <w:rFonts w:ascii="Times New Roman"/>
                <w:color w:val="auto"/>
                <w:sz w:val="20"/>
                <w:szCs w:val="20"/>
              </w:rPr>
            </w:pPr>
          </w:p>
        </w:tc>
        <w:tc>
          <w:tcPr>
            <w:tcW w:w="873" w:type="pct"/>
          </w:tcPr>
          <w:p w14:paraId="6167C175" w14:textId="77777777" w:rsidR="008319FB" w:rsidRPr="00B0658A" w:rsidRDefault="008319FB" w:rsidP="00004A41">
            <w:pPr>
              <w:spacing w:after="0" w:line="240" w:lineRule="auto"/>
              <w:jc w:val="both"/>
              <w:rPr>
                <w:rFonts w:ascii="Times New Roman"/>
                <w:color w:val="auto"/>
                <w:sz w:val="20"/>
                <w:szCs w:val="20"/>
              </w:rPr>
            </w:pPr>
          </w:p>
        </w:tc>
        <w:tc>
          <w:tcPr>
            <w:tcW w:w="1139" w:type="pct"/>
          </w:tcPr>
          <w:p w14:paraId="64759E36" w14:textId="77777777" w:rsidR="008319FB" w:rsidRPr="00B0658A" w:rsidRDefault="008319FB" w:rsidP="00004A41">
            <w:pPr>
              <w:spacing w:after="0" w:line="240" w:lineRule="auto"/>
              <w:jc w:val="both"/>
              <w:rPr>
                <w:rFonts w:ascii="Times New Roman"/>
                <w:color w:val="auto"/>
                <w:sz w:val="20"/>
                <w:szCs w:val="20"/>
              </w:rPr>
            </w:pPr>
          </w:p>
        </w:tc>
      </w:tr>
      <w:tr w:rsidR="008319FB" w:rsidRPr="00B0658A" w14:paraId="540EA991" w14:textId="77777777" w:rsidTr="006204A7">
        <w:tc>
          <w:tcPr>
            <w:tcW w:w="184" w:type="pct"/>
          </w:tcPr>
          <w:p w14:paraId="2913EBEC" w14:textId="77777777" w:rsidR="008319FB" w:rsidRPr="00B0658A" w:rsidRDefault="008319FB" w:rsidP="00004A41">
            <w:pPr>
              <w:spacing w:after="0" w:line="240" w:lineRule="auto"/>
              <w:jc w:val="both"/>
              <w:rPr>
                <w:rFonts w:ascii="Times New Roman"/>
                <w:color w:val="auto"/>
                <w:sz w:val="20"/>
                <w:szCs w:val="20"/>
                <w:lang w:val="en-US"/>
              </w:rPr>
            </w:pPr>
            <w:r w:rsidRPr="00B0658A">
              <w:rPr>
                <w:rFonts w:ascii="Times New Roman"/>
                <w:color w:val="auto"/>
                <w:sz w:val="20"/>
                <w:szCs w:val="20"/>
                <w:lang w:val="en-US"/>
              </w:rPr>
              <w:t>N.n</w:t>
            </w:r>
          </w:p>
        </w:tc>
        <w:tc>
          <w:tcPr>
            <w:tcW w:w="1023" w:type="pct"/>
          </w:tcPr>
          <w:p w14:paraId="7C4E8BDB" w14:textId="77777777" w:rsidR="008319FB" w:rsidRPr="00B0658A" w:rsidRDefault="008319FB" w:rsidP="00004A41">
            <w:pPr>
              <w:spacing w:after="0" w:line="240" w:lineRule="auto"/>
              <w:jc w:val="both"/>
              <w:rPr>
                <w:rFonts w:ascii="Times New Roman"/>
                <w:color w:val="auto"/>
                <w:sz w:val="20"/>
                <w:szCs w:val="20"/>
              </w:rPr>
            </w:pPr>
          </w:p>
        </w:tc>
        <w:tc>
          <w:tcPr>
            <w:tcW w:w="886" w:type="pct"/>
          </w:tcPr>
          <w:p w14:paraId="6C584991" w14:textId="77777777" w:rsidR="008319FB" w:rsidRPr="00B0658A" w:rsidRDefault="008319FB" w:rsidP="00004A41">
            <w:pPr>
              <w:spacing w:after="0" w:line="240" w:lineRule="auto"/>
              <w:jc w:val="both"/>
              <w:rPr>
                <w:rFonts w:ascii="Times New Roman"/>
                <w:color w:val="auto"/>
                <w:sz w:val="20"/>
                <w:szCs w:val="20"/>
              </w:rPr>
            </w:pPr>
          </w:p>
        </w:tc>
        <w:tc>
          <w:tcPr>
            <w:tcW w:w="895" w:type="pct"/>
          </w:tcPr>
          <w:p w14:paraId="120B2701" w14:textId="77777777" w:rsidR="008319FB" w:rsidRPr="00B0658A" w:rsidRDefault="008319FB" w:rsidP="00004A41">
            <w:pPr>
              <w:spacing w:after="0" w:line="240" w:lineRule="auto"/>
              <w:jc w:val="both"/>
              <w:rPr>
                <w:rFonts w:ascii="Times New Roman"/>
                <w:color w:val="auto"/>
                <w:sz w:val="20"/>
                <w:szCs w:val="20"/>
              </w:rPr>
            </w:pPr>
          </w:p>
        </w:tc>
        <w:tc>
          <w:tcPr>
            <w:tcW w:w="873" w:type="pct"/>
          </w:tcPr>
          <w:p w14:paraId="50E4176C" w14:textId="77777777" w:rsidR="008319FB" w:rsidRPr="00B0658A" w:rsidRDefault="008319FB" w:rsidP="00004A41">
            <w:pPr>
              <w:spacing w:after="0" w:line="240" w:lineRule="auto"/>
              <w:jc w:val="both"/>
              <w:rPr>
                <w:rFonts w:ascii="Times New Roman"/>
                <w:color w:val="auto"/>
                <w:sz w:val="20"/>
                <w:szCs w:val="20"/>
              </w:rPr>
            </w:pPr>
          </w:p>
        </w:tc>
        <w:tc>
          <w:tcPr>
            <w:tcW w:w="1139" w:type="pct"/>
          </w:tcPr>
          <w:p w14:paraId="59635DB4" w14:textId="77777777" w:rsidR="008319FB" w:rsidRPr="00B0658A" w:rsidRDefault="008319FB" w:rsidP="00004A41">
            <w:pPr>
              <w:spacing w:after="0" w:line="240" w:lineRule="auto"/>
              <w:jc w:val="both"/>
              <w:rPr>
                <w:rFonts w:ascii="Times New Roman"/>
                <w:color w:val="auto"/>
                <w:sz w:val="20"/>
                <w:szCs w:val="20"/>
              </w:rPr>
            </w:pPr>
          </w:p>
        </w:tc>
      </w:tr>
    </w:tbl>
    <w:p w14:paraId="518BFE16" w14:textId="77777777" w:rsidR="00375CEF" w:rsidRDefault="00375CEF" w:rsidP="008319FB">
      <w:pPr>
        <w:pStyle w:val="afd"/>
        <w:spacing w:line="240" w:lineRule="auto"/>
        <w:ind w:left="709"/>
        <w:jc w:val="both"/>
        <w:rPr>
          <w:rFonts w:ascii="Times New Roman" w:hAnsi="Times New Roman"/>
          <w:sz w:val="28"/>
          <w:szCs w:val="28"/>
        </w:rPr>
      </w:pPr>
    </w:p>
    <w:p w14:paraId="029F66BD" w14:textId="77777777" w:rsidR="00375CEF" w:rsidRDefault="00375CEF">
      <w:pPr>
        <w:spacing w:after="0" w:line="240" w:lineRule="auto"/>
        <w:rPr>
          <w:rFonts w:ascii="Times New Roman" w:hAnsi="Times New Roman"/>
          <w:sz w:val="28"/>
          <w:szCs w:val="28"/>
        </w:rPr>
      </w:pPr>
      <w:r>
        <w:rPr>
          <w:rFonts w:ascii="Times New Roman" w:hAnsi="Times New Roman"/>
          <w:sz w:val="28"/>
          <w:szCs w:val="28"/>
        </w:rPr>
        <w:br w:type="page"/>
      </w:r>
    </w:p>
    <w:p w14:paraId="383524D9" w14:textId="77777777" w:rsidR="008319FB" w:rsidRPr="00B0658A" w:rsidRDefault="008319FB" w:rsidP="008319FB">
      <w:pPr>
        <w:pStyle w:val="ConsPlusNormal"/>
        <w:spacing w:before="120"/>
        <w:jc w:val="center"/>
        <w:rPr>
          <w:sz w:val="32"/>
          <w:szCs w:val="32"/>
        </w:rPr>
      </w:pPr>
      <w:r w:rsidRPr="00B0658A">
        <w:rPr>
          <w:sz w:val="32"/>
          <w:szCs w:val="32"/>
        </w:rPr>
        <w:lastRenderedPageBreak/>
        <w:t xml:space="preserve">Сведения о реализации </w:t>
      </w:r>
      <w:r w:rsidR="00861739" w:rsidRPr="00B0658A">
        <w:rPr>
          <w:sz w:val="32"/>
          <w:szCs w:val="32"/>
        </w:rPr>
        <w:t xml:space="preserve">детализированного </w:t>
      </w:r>
      <w:r w:rsidRPr="00B0658A">
        <w:rPr>
          <w:sz w:val="32"/>
          <w:szCs w:val="32"/>
        </w:rPr>
        <w:t xml:space="preserve">плана </w:t>
      </w:r>
      <w:r w:rsidR="00861739" w:rsidRPr="00B0658A">
        <w:rPr>
          <w:sz w:val="32"/>
          <w:szCs w:val="32"/>
        </w:rPr>
        <w:t xml:space="preserve">перевода используемых </w:t>
      </w:r>
      <w:r w:rsidRPr="00B0658A">
        <w:rPr>
          <w:sz w:val="32"/>
          <w:szCs w:val="32"/>
        </w:rPr>
        <w:t>______________ (полное наименование органа государственной власти или государственного внебюджетного фонда) государственных и ведомственных информационных систем на использование российского ПО на период 2022-2030 годы за  ____ полугодие _______ года</w:t>
      </w:r>
    </w:p>
    <w:p w14:paraId="69D3578C" w14:textId="77777777" w:rsidR="008319FB" w:rsidRPr="00B0658A" w:rsidRDefault="008319FB" w:rsidP="008319FB">
      <w:pPr>
        <w:pStyle w:val="afd"/>
        <w:spacing w:line="240" w:lineRule="auto"/>
        <w:ind w:left="709"/>
        <w:jc w:val="both"/>
        <w:rPr>
          <w:rFonts w:ascii="Times New Roman" w:hAnsi="Times New Roman"/>
          <w:sz w:val="28"/>
          <w:szCs w:val="28"/>
        </w:rPr>
      </w:pPr>
    </w:p>
    <w:p w14:paraId="6BD287F9" w14:textId="77777777" w:rsidR="004F5DF5" w:rsidRPr="00B0658A" w:rsidRDefault="004F5DF5" w:rsidP="004F5DF5">
      <w:pPr>
        <w:pStyle w:val="afd"/>
        <w:spacing w:line="240" w:lineRule="auto"/>
        <w:ind w:left="0" w:firstLine="709"/>
        <w:jc w:val="both"/>
        <w:rPr>
          <w:rFonts w:ascii="Times New Roman" w:hAnsi="Times New Roman"/>
          <w:sz w:val="28"/>
          <w:szCs w:val="28"/>
        </w:rPr>
      </w:pPr>
      <w:r w:rsidRPr="00B0658A">
        <w:rPr>
          <w:rFonts w:ascii="Times New Roman" w:hAnsi="Times New Roman"/>
          <w:sz w:val="28"/>
          <w:szCs w:val="28"/>
        </w:rPr>
        <w:t>Сведения о реализации мероприятий по переводу государственных и ведомственных информационных систем на использование российского ПО</w:t>
      </w:r>
    </w:p>
    <w:tbl>
      <w:tblPr>
        <w:tblStyle w:val="32"/>
        <w:tblW w:w="5000" w:type="pct"/>
        <w:tblLook w:val="04A0" w:firstRow="1" w:lastRow="0" w:firstColumn="1" w:lastColumn="0" w:noHBand="0" w:noVBand="1"/>
      </w:tblPr>
      <w:tblGrid>
        <w:gridCol w:w="511"/>
        <w:gridCol w:w="2482"/>
        <w:gridCol w:w="2541"/>
        <w:gridCol w:w="2357"/>
        <w:gridCol w:w="2742"/>
        <w:gridCol w:w="3311"/>
      </w:tblGrid>
      <w:tr w:rsidR="00F52FED" w:rsidRPr="00B0658A" w14:paraId="26155EE1" w14:textId="77777777" w:rsidTr="00F57B1F">
        <w:trPr>
          <w:trHeight w:val="20"/>
          <w:tblHeader/>
        </w:trPr>
        <w:tc>
          <w:tcPr>
            <w:tcW w:w="174" w:type="pct"/>
          </w:tcPr>
          <w:p w14:paraId="06B74DCD" w14:textId="77777777" w:rsidR="004F5DF5" w:rsidRPr="00B0658A" w:rsidRDefault="004F5DF5" w:rsidP="00004A41">
            <w:pPr>
              <w:spacing w:after="0" w:line="240" w:lineRule="auto"/>
              <w:jc w:val="center"/>
              <w:rPr>
                <w:rFonts w:ascii="Times New Roman"/>
                <w:b/>
                <w:bCs/>
                <w:color w:val="auto"/>
                <w:sz w:val="20"/>
                <w:szCs w:val="20"/>
              </w:rPr>
            </w:pPr>
            <w:r w:rsidRPr="00B0658A">
              <w:rPr>
                <w:rFonts w:ascii="Times New Roman"/>
                <w:b/>
                <w:bCs/>
                <w:color w:val="auto"/>
                <w:sz w:val="20"/>
                <w:szCs w:val="20"/>
              </w:rPr>
              <w:t>№</w:t>
            </w:r>
          </w:p>
        </w:tc>
        <w:tc>
          <w:tcPr>
            <w:tcW w:w="892" w:type="pct"/>
          </w:tcPr>
          <w:p w14:paraId="41306C24" w14:textId="77777777" w:rsidR="004F5DF5" w:rsidRPr="00B0658A" w:rsidRDefault="004F5DF5" w:rsidP="00004A41">
            <w:pPr>
              <w:spacing w:after="0" w:line="240" w:lineRule="auto"/>
              <w:jc w:val="center"/>
              <w:rPr>
                <w:rFonts w:ascii="Times New Roman"/>
                <w:b/>
                <w:bCs/>
                <w:color w:val="auto"/>
                <w:sz w:val="20"/>
                <w:szCs w:val="20"/>
              </w:rPr>
            </w:pPr>
            <w:r w:rsidRPr="00B0658A">
              <w:rPr>
                <w:rFonts w:ascii="Times New Roman"/>
                <w:b/>
                <w:bCs/>
                <w:color w:val="auto"/>
                <w:sz w:val="20"/>
                <w:szCs w:val="20"/>
              </w:rPr>
              <w:t xml:space="preserve">Наименование мероприятий в соответствии с утвержденным детализированным планом </w:t>
            </w:r>
          </w:p>
        </w:tc>
        <w:tc>
          <w:tcPr>
            <w:tcW w:w="913" w:type="pct"/>
          </w:tcPr>
          <w:p w14:paraId="79B18388" w14:textId="77777777" w:rsidR="004F5DF5" w:rsidRPr="00B0658A" w:rsidRDefault="004F5DF5" w:rsidP="00004A41">
            <w:pPr>
              <w:spacing w:after="0" w:line="240" w:lineRule="auto"/>
              <w:jc w:val="center"/>
              <w:rPr>
                <w:rFonts w:ascii="Times New Roman"/>
                <w:b/>
                <w:bCs/>
                <w:color w:val="auto"/>
                <w:sz w:val="20"/>
                <w:szCs w:val="20"/>
              </w:rPr>
            </w:pPr>
            <w:r w:rsidRPr="00B0658A">
              <w:rPr>
                <w:rFonts w:ascii="Times New Roman"/>
                <w:b/>
                <w:bCs/>
                <w:color w:val="auto"/>
                <w:sz w:val="20"/>
                <w:szCs w:val="20"/>
              </w:rPr>
              <w:t>Планируемый результат в соответствии с детализированным планом</w:t>
            </w:r>
          </w:p>
        </w:tc>
        <w:tc>
          <w:tcPr>
            <w:tcW w:w="847" w:type="pct"/>
          </w:tcPr>
          <w:p w14:paraId="2A0FEC2C" w14:textId="77777777" w:rsidR="004F5DF5" w:rsidRPr="00B0658A" w:rsidRDefault="004F5DF5" w:rsidP="00004A41">
            <w:pPr>
              <w:spacing w:after="0" w:line="240" w:lineRule="auto"/>
              <w:jc w:val="center"/>
              <w:rPr>
                <w:rFonts w:ascii="Times New Roman"/>
                <w:b/>
                <w:bCs/>
                <w:color w:val="auto"/>
                <w:sz w:val="20"/>
                <w:szCs w:val="20"/>
              </w:rPr>
            </w:pPr>
            <w:r w:rsidRPr="00B0658A">
              <w:rPr>
                <w:rFonts w:ascii="Times New Roman"/>
                <w:b/>
                <w:bCs/>
                <w:color w:val="auto"/>
                <w:sz w:val="20"/>
                <w:szCs w:val="20"/>
              </w:rPr>
              <w:t>Сроки реализации запланированного мероприятия в соответствии с детализированным планом</w:t>
            </w:r>
          </w:p>
        </w:tc>
        <w:tc>
          <w:tcPr>
            <w:tcW w:w="985" w:type="pct"/>
          </w:tcPr>
          <w:p w14:paraId="3FE41FE3" w14:textId="77777777" w:rsidR="004F5DF5" w:rsidRPr="00B0658A" w:rsidRDefault="004F5DF5" w:rsidP="00004A41">
            <w:pPr>
              <w:spacing w:after="0" w:line="240" w:lineRule="auto"/>
              <w:jc w:val="center"/>
              <w:rPr>
                <w:rFonts w:ascii="Times New Roman"/>
                <w:b/>
                <w:bCs/>
                <w:color w:val="auto"/>
                <w:sz w:val="20"/>
                <w:szCs w:val="20"/>
              </w:rPr>
            </w:pPr>
            <w:r w:rsidRPr="00B0658A">
              <w:rPr>
                <w:rFonts w:ascii="Times New Roman"/>
                <w:b/>
                <w:bCs/>
                <w:color w:val="auto"/>
                <w:sz w:val="20"/>
                <w:szCs w:val="20"/>
              </w:rPr>
              <w:t>Статус выполнения мероприятия</w:t>
            </w:r>
          </w:p>
        </w:tc>
        <w:tc>
          <w:tcPr>
            <w:tcW w:w="1189" w:type="pct"/>
          </w:tcPr>
          <w:p w14:paraId="2DA82161" w14:textId="77777777" w:rsidR="004F5DF5" w:rsidRPr="00B0658A" w:rsidRDefault="004F5DF5" w:rsidP="00004A41">
            <w:pPr>
              <w:spacing w:after="0" w:line="240" w:lineRule="auto"/>
              <w:jc w:val="center"/>
              <w:rPr>
                <w:rFonts w:ascii="Times New Roman"/>
                <w:b/>
                <w:bCs/>
                <w:color w:val="auto"/>
                <w:sz w:val="20"/>
                <w:szCs w:val="20"/>
              </w:rPr>
            </w:pPr>
            <w:r w:rsidRPr="00B0658A">
              <w:rPr>
                <w:rFonts w:ascii="Times New Roman"/>
                <w:b/>
                <w:bCs/>
                <w:color w:val="auto"/>
                <w:sz w:val="20"/>
                <w:szCs w:val="20"/>
              </w:rPr>
              <w:t>Описание достигнутого фактического результата</w:t>
            </w:r>
          </w:p>
        </w:tc>
      </w:tr>
      <w:tr w:rsidR="00F52FED" w:rsidRPr="00B0658A" w14:paraId="33112254" w14:textId="77777777" w:rsidTr="004F5DF5">
        <w:trPr>
          <w:trHeight w:val="20"/>
        </w:trPr>
        <w:tc>
          <w:tcPr>
            <w:tcW w:w="5000" w:type="pct"/>
            <w:gridSpan w:val="6"/>
            <w:shd w:val="clear" w:color="auto" w:fill="D9E2F3" w:themeFill="accent1" w:themeFillTint="33"/>
            <w:vAlign w:val="center"/>
          </w:tcPr>
          <w:p w14:paraId="1CE5B302" w14:textId="77777777" w:rsidR="004F5DF5" w:rsidRPr="00B0658A" w:rsidRDefault="004F5DF5" w:rsidP="00004A41">
            <w:pPr>
              <w:spacing w:after="0" w:line="240" w:lineRule="auto"/>
              <w:jc w:val="center"/>
              <w:rPr>
                <w:rFonts w:ascii="Times New Roman"/>
                <w:b/>
                <w:color w:val="auto"/>
                <w:sz w:val="20"/>
                <w:szCs w:val="20"/>
              </w:rPr>
            </w:pPr>
            <w:r w:rsidRPr="00B0658A">
              <w:rPr>
                <w:rFonts w:ascii="Times New Roman"/>
                <w:b/>
                <w:color w:val="auto"/>
                <w:sz w:val="20"/>
                <w:szCs w:val="20"/>
              </w:rPr>
              <w:t>Государственные и ведомственные информационные системы, подлежащие переводу на использование российского ПО до 31.12.2024 г.</w:t>
            </w:r>
          </w:p>
        </w:tc>
      </w:tr>
      <w:tr w:rsidR="00F52FED" w:rsidRPr="00B0658A" w14:paraId="53E2551F" w14:textId="77777777" w:rsidTr="004F5DF5">
        <w:trPr>
          <w:trHeight w:val="20"/>
        </w:trPr>
        <w:tc>
          <w:tcPr>
            <w:tcW w:w="5000" w:type="pct"/>
            <w:gridSpan w:val="6"/>
          </w:tcPr>
          <w:p w14:paraId="335EB8BF" w14:textId="77777777" w:rsidR="004F5DF5" w:rsidRPr="00B0658A" w:rsidRDefault="004F5DF5" w:rsidP="00004A41">
            <w:pPr>
              <w:spacing w:after="0" w:line="240" w:lineRule="auto"/>
              <w:jc w:val="both"/>
              <w:rPr>
                <w:rFonts w:ascii="Times New Roman"/>
                <w:i/>
                <w:iCs/>
                <w:color w:val="auto"/>
                <w:sz w:val="20"/>
                <w:szCs w:val="20"/>
              </w:rPr>
            </w:pPr>
            <w:r w:rsidRPr="00B0658A">
              <w:rPr>
                <w:rFonts w:ascii="Times New Roman"/>
                <w:color w:val="auto"/>
                <w:sz w:val="20"/>
                <w:szCs w:val="20"/>
              </w:rPr>
              <w:t>1. Мероприятия по переводу ________ (наименование государственной или ведомственной информационной системы № 1) на использование российское ПО</w:t>
            </w:r>
          </w:p>
        </w:tc>
      </w:tr>
      <w:tr w:rsidR="00F52FED" w:rsidRPr="00B0658A" w14:paraId="3979C33B" w14:textId="77777777" w:rsidTr="004F5DF5">
        <w:trPr>
          <w:trHeight w:val="20"/>
        </w:trPr>
        <w:tc>
          <w:tcPr>
            <w:tcW w:w="174" w:type="pct"/>
          </w:tcPr>
          <w:p w14:paraId="2CE86905" w14:textId="77777777" w:rsidR="004F5DF5" w:rsidRPr="00B0658A" w:rsidRDefault="004F5DF5" w:rsidP="00004A41">
            <w:pPr>
              <w:spacing w:after="0" w:line="240" w:lineRule="auto"/>
              <w:jc w:val="both"/>
              <w:rPr>
                <w:rFonts w:ascii="Times New Roman"/>
                <w:color w:val="auto"/>
                <w:sz w:val="20"/>
                <w:szCs w:val="20"/>
              </w:rPr>
            </w:pPr>
            <w:r w:rsidRPr="00B0658A">
              <w:rPr>
                <w:rFonts w:ascii="Times New Roman"/>
                <w:color w:val="auto"/>
                <w:sz w:val="20"/>
                <w:szCs w:val="20"/>
              </w:rPr>
              <w:t>1.1</w:t>
            </w:r>
          </w:p>
        </w:tc>
        <w:tc>
          <w:tcPr>
            <w:tcW w:w="892" w:type="pct"/>
          </w:tcPr>
          <w:p w14:paraId="6B11A7BA" w14:textId="77777777" w:rsidR="004F5DF5" w:rsidRPr="00B0658A" w:rsidRDefault="004F5DF5" w:rsidP="00004A41">
            <w:pPr>
              <w:spacing w:after="0" w:line="240" w:lineRule="auto"/>
              <w:jc w:val="both"/>
              <w:rPr>
                <w:rFonts w:ascii="Times New Roman"/>
                <w:i/>
                <w:iCs/>
                <w:color w:val="auto"/>
                <w:sz w:val="20"/>
                <w:szCs w:val="20"/>
              </w:rPr>
            </w:pPr>
            <w:r w:rsidRPr="00B0658A">
              <w:rPr>
                <w:rFonts w:ascii="Times New Roman"/>
                <w:i/>
                <w:iCs/>
                <w:color w:val="auto"/>
                <w:sz w:val="20"/>
                <w:szCs w:val="20"/>
              </w:rPr>
              <w:t>Указывается наименование мероприятия в соответствии с утвержденным детализированным планом перевода государственных и ведомственных информационных систем на использование российского ПО</w:t>
            </w:r>
          </w:p>
          <w:p w14:paraId="1F5C6C47" w14:textId="77777777" w:rsidR="004F5DF5" w:rsidRPr="00B0658A" w:rsidRDefault="004F5DF5" w:rsidP="00004A41">
            <w:pPr>
              <w:pStyle w:val="ConsPlusNormal"/>
              <w:jc w:val="both"/>
              <w:rPr>
                <w:color w:val="auto"/>
                <w:sz w:val="20"/>
                <w:szCs w:val="20"/>
              </w:rPr>
            </w:pPr>
          </w:p>
          <w:p w14:paraId="37B2B43D" w14:textId="77777777" w:rsidR="004F5DF5" w:rsidRPr="00B0658A" w:rsidRDefault="004F5DF5" w:rsidP="00004A41">
            <w:pPr>
              <w:spacing w:after="0" w:line="240" w:lineRule="auto"/>
              <w:jc w:val="both"/>
              <w:rPr>
                <w:rFonts w:ascii="Times New Roman"/>
                <w:i/>
                <w:iCs/>
                <w:color w:val="auto"/>
                <w:sz w:val="20"/>
                <w:szCs w:val="20"/>
              </w:rPr>
            </w:pPr>
          </w:p>
        </w:tc>
        <w:tc>
          <w:tcPr>
            <w:tcW w:w="913" w:type="pct"/>
          </w:tcPr>
          <w:p w14:paraId="5DB956D5" w14:textId="77777777" w:rsidR="004F5DF5" w:rsidRPr="00B0658A" w:rsidRDefault="004F5DF5" w:rsidP="00004A41">
            <w:pPr>
              <w:spacing w:after="0" w:line="240" w:lineRule="auto"/>
              <w:jc w:val="both"/>
              <w:rPr>
                <w:rFonts w:ascii="Times New Roman"/>
                <w:color w:val="auto"/>
                <w:sz w:val="20"/>
                <w:szCs w:val="20"/>
              </w:rPr>
            </w:pPr>
            <w:r w:rsidRPr="00B0658A">
              <w:rPr>
                <w:rFonts w:ascii="Times New Roman"/>
                <w:i/>
                <w:iCs/>
                <w:color w:val="auto"/>
                <w:sz w:val="20"/>
                <w:szCs w:val="20"/>
              </w:rPr>
              <w:t>Указывается запланированный результат в соответствии с утвержденным детализированным планом перевода государственных и ведомственных информационных систем на использование российского ПО</w:t>
            </w:r>
            <w:r w:rsidRPr="00B0658A">
              <w:rPr>
                <w:rFonts w:ascii="Times New Roman"/>
                <w:color w:val="auto"/>
                <w:sz w:val="20"/>
                <w:szCs w:val="20"/>
              </w:rPr>
              <w:t xml:space="preserve"> </w:t>
            </w:r>
          </w:p>
        </w:tc>
        <w:tc>
          <w:tcPr>
            <w:tcW w:w="847" w:type="pct"/>
          </w:tcPr>
          <w:p w14:paraId="2A451EF1" w14:textId="77777777" w:rsidR="004F5DF5" w:rsidRPr="00B0658A" w:rsidRDefault="004F5DF5" w:rsidP="00004A41">
            <w:pPr>
              <w:spacing w:after="0" w:line="240" w:lineRule="auto"/>
              <w:jc w:val="both"/>
              <w:rPr>
                <w:rFonts w:ascii="Times New Roman"/>
                <w:i/>
                <w:iCs/>
                <w:color w:val="auto"/>
                <w:sz w:val="20"/>
                <w:szCs w:val="20"/>
              </w:rPr>
            </w:pPr>
            <w:r w:rsidRPr="00B0658A">
              <w:rPr>
                <w:rFonts w:ascii="Times New Roman"/>
                <w:i/>
                <w:iCs/>
                <w:color w:val="auto"/>
                <w:sz w:val="20"/>
                <w:szCs w:val="20"/>
              </w:rPr>
              <w:t>Указывается срок реализации (период выполнения) в соответствии с утвержденным детализированным планом перевода государственных и ведомственных информационных систем на использование российского ПО</w:t>
            </w:r>
          </w:p>
          <w:p w14:paraId="38C0DD2A" w14:textId="77777777" w:rsidR="004F5DF5" w:rsidRPr="00B0658A" w:rsidRDefault="004F5DF5" w:rsidP="00004A41">
            <w:pPr>
              <w:spacing w:after="0" w:line="240" w:lineRule="auto"/>
              <w:jc w:val="both"/>
              <w:rPr>
                <w:rFonts w:ascii="Times New Roman"/>
                <w:i/>
                <w:iCs/>
                <w:color w:val="auto"/>
                <w:sz w:val="20"/>
                <w:szCs w:val="20"/>
              </w:rPr>
            </w:pPr>
          </w:p>
        </w:tc>
        <w:tc>
          <w:tcPr>
            <w:tcW w:w="985" w:type="pct"/>
          </w:tcPr>
          <w:p w14:paraId="59F17763" w14:textId="77777777" w:rsidR="004F5DF5" w:rsidRPr="00B0658A" w:rsidRDefault="004F5DF5" w:rsidP="00004A41">
            <w:pPr>
              <w:spacing w:after="0" w:line="240" w:lineRule="auto"/>
              <w:jc w:val="both"/>
              <w:rPr>
                <w:rFonts w:ascii="Times New Roman"/>
                <w:i/>
                <w:iCs/>
                <w:color w:val="auto"/>
                <w:sz w:val="20"/>
                <w:szCs w:val="20"/>
              </w:rPr>
            </w:pPr>
            <w:r w:rsidRPr="00B0658A">
              <w:rPr>
                <w:rFonts w:ascii="Times New Roman"/>
                <w:i/>
                <w:iCs/>
                <w:color w:val="auto"/>
                <w:sz w:val="20"/>
                <w:szCs w:val="20"/>
              </w:rPr>
              <w:t>Указывается статус: «выполнено» / «не выполнено».</w:t>
            </w:r>
          </w:p>
          <w:p w14:paraId="1F7DF6B8" w14:textId="77777777" w:rsidR="004F5DF5" w:rsidRPr="00B0658A" w:rsidRDefault="004F5DF5" w:rsidP="00004A41">
            <w:pPr>
              <w:spacing w:after="0" w:line="240" w:lineRule="auto"/>
              <w:jc w:val="both"/>
              <w:rPr>
                <w:rFonts w:ascii="Times New Roman"/>
                <w:color w:val="auto"/>
                <w:sz w:val="20"/>
                <w:szCs w:val="20"/>
              </w:rPr>
            </w:pPr>
            <w:r w:rsidRPr="00B0658A">
              <w:rPr>
                <w:rFonts w:ascii="Times New Roman"/>
                <w:i/>
                <w:iCs/>
                <w:color w:val="auto"/>
                <w:sz w:val="20"/>
                <w:szCs w:val="20"/>
              </w:rPr>
              <w:t>Если мероприятие выполнено частично, то указывается статус «не выполнено»</w:t>
            </w:r>
          </w:p>
        </w:tc>
        <w:tc>
          <w:tcPr>
            <w:tcW w:w="1189" w:type="pct"/>
          </w:tcPr>
          <w:p w14:paraId="3E6EBDF2" w14:textId="77777777" w:rsidR="004F5DF5" w:rsidRPr="00B0658A" w:rsidRDefault="004F5DF5" w:rsidP="00004A41">
            <w:pPr>
              <w:spacing w:after="0" w:line="240" w:lineRule="auto"/>
              <w:jc w:val="both"/>
              <w:rPr>
                <w:rFonts w:ascii="Times New Roman"/>
                <w:i/>
                <w:iCs/>
                <w:color w:val="auto"/>
                <w:sz w:val="20"/>
                <w:szCs w:val="20"/>
              </w:rPr>
            </w:pPr>
            <w:r w:rsidRPr="00B0658A">
              <w:rPr>
                <w:rFonts w:ascii="Times New Roman"/>
                <w:i/>
                <w:iCs/>
                <w:color w:val="auto"/>
                <w:sz w:val="20"/>
                <w:szCs w:val="20"/>
              </w:rPr>
              <w:t>Указывается достигнутый результат. В случае если мероприятие не было выполнено, либо результат выполнения мероприятия был достигнут не полностью, указываются причины невыполнения мероприятия (частичного выполнения мероприятия), а также срок, в который мероприятие будет реализовано и достигнут запланированный результат</w:t>
            </w:r>
          </w:p>
        </w:tc>
      </w:tr>
      <w:tr w:rsidR="00F52FED" w:rsidRPr="00B0658A" w14:paraId="26E24ADB" w14:textId="77777777" w:rsidTr="004F5DF5">
        <w:trPr>
          <w:trHeight w:val="20"/>
        </w:trPr>
        <w:tc>
          <w:tcPr>
            <w:tcW w:w="174" w:type="pct"/>
          </w:tcPr>
          <w:p w14:paraId="0F4391DE" w14:textId="77777777" w:rsidR="004F5DF5" w:rsidRPr="00B0658A" w:rsidRDefault="004F5DF5" w:rsidP="00004A41">
            <w:pPr>
              <w:spacing w:after="0" w:line="240" w:lineRule="auto"/>
              <w:jc w:val="both"/>
              <w:rPr>
                <w:rFonts w:ascii="Times New Roman"/>
                <w:color w:val="auto"/>
                <w:sz w:val="20"/>
                <w:szCs w:val="20"/>
              </w:rPr>
            </w:pPr>
            <w:r w:rsidRPr="00B0658A">
              <w:rPr>
                <w:rFonts w:ascii="Times New Roman"/>
                <w:color w:val="auto"/>
                <w:sz w:val="20"/>
                <w:szCs w:val="20"/>
              </w:rPr>
              <w:t>1.2</w:t>
            </w:r>
          </w:p>
        </w:tc>
        <w:tc>
          <w:tcPr>
            <w:tcW w:w="892" w:type="pct"/>
          </w:tcPr>
          <w:p w14:paraId="2E3FA68D" w14:textId="77777777" w:rsidR="004F5DF5" w:rsidRPr="00B0658A" w:rsidRDefault="004F5DF5" w:rsidP="00004A41">
            <w:pPr>
              <w:spacing w:after="0" w:line="240" w:lineRule="auto"/>
              <w:jc w:val="both"/>
              <w:rPr>
                <w:rFonts w:ascii="Times New Roman"/>
                <w:color w:val="auto"/>
                <w:sz w:val="20"/>
                <w:szCs w:val="20"/>
              </w:rPr>
            </w:pPr>
          </w:p>
        </w:tc>
        <w:tc>
          <w:tcPr>
            <w:tcW w:w="913" w:type="pct"/>
          </w:tcPr>
          <w:p w14:paraId="5AE52BD7" w14:textId="77777777" w:rsidR="004F5DF5" w:rsidRPr="00B0658A" w:rsidRDefault="004F5DF5" w:rsidP="00004A41">
            <w:pPr>
              <w:spacing w:after="0" w:line="240" w:lineRule="auto"/>
              <w:jc w:val="both"/>
              <w:rPr>
                <w:rFonts w:ascii="Times New Roman"/>
                <w:color w:val="auto"/>
                <w:sz w:val="20"/>
                <w:szCs w:val="20"/>
              </w:rPr>
            </w:pPr>
          </w:p>
        </w:tc>
        <w:tc>
          <w:tcPr>
            <w:tcW w:w="847" w:type="pct"/>
          </w:tcPr>
          <w:p w14:paraId="24CFAEEC" w14:textId="77777777" w:rsidR="004F5DF5" w:rsidRPr="00B0658A" w:rsidRDefault="004F5DF5" w:rsidP="00004A41">
            <w:pPr>
              <w:spacing w:after="0" w:line="240" w:lineRule="auto"/>
              <w:jc w:val="both"/>
              <w:rPr>
                <w:rFonts w:ascii="Times New Roman"/>
                <w:color w:val="auto"/>
                <w:sz w:val="20"/>
                <w:szCs w:val="20"/>
              </w:rPr>
            </w:pPr>
          </w:p>
        </w:tc>
        <w:tc>
          <w:tcPr>
            <w:tcW w:w="985" w:type="pct"/>
          </w:tcPr>
          <w:p w14:paraId="4E766914" w14:textId="77777777" w:rsidR="004F5DF5" w:rsidRPr="00B0658A" w:rsidRDefault="004F5DF5" w:rsidP="00004A41">
            <w:pPr>
              <w:spacing w:after="0" w:line="240" w:lineRule="auto"/>
              <w:jc w:val="both"/>
              <w:rPr>
                <w:rFonts w:ascii="Times New Roman"/>
                <w:color w:val="auto"/>
                <w:sz w:val="20"/>
                <w:szCs w:val="20"/>
              </w:rPr>
            </w:pPr>
          </w:p>
        </w:tc>
        <w:tc>
          <w:tcPr>
            <w:tcW w:w="1189" w:type="pct"/>
          </w:tcPr>
          <w:p w14:paraId="2FA9F9D6" w14:textId="77777777" w:rsidR="004F5DF5" w:rsidRPr="00B0658A" w:rsidRDefault="004F5DF5" w:rsidP="00004A41">
            <w:pPr>
              <w:spacing w:after="0" w:line="240" w:lineRule="auto"/>
              <w:jc w:val="both"/>
              <w:rPr>
                <w:rFonts w:ascii="Times New Roman"/>
                <w:color w:val="auto"/>
                <w:sz w:val="20"/>
                <w:szCs w:val="20"/>
              </w:rPr>
            </w:pPr>
          </w:p>
        </w:tc>
      </w:tr>
      <w:tr w:rsidR="00F52FED" w:rsidRPr="00B0658A" w14:paraId="060E30EF" w14:textId="77777777" w:rsidTr="004F5DF5">
        <w:trPr>
          <w:trHeight w:val="20"/>
        </w:trPr>
        <w:tc>
          <w:tcPr>
            <w:tcW w:w="174" w:type="pct"/>
          </w:tcPr>
          <w:p w14:paraId="525E6B4E" w14:textId="77777777" w:rsidR="004F5DF5" w:rsidRPr="00B0658A" w:rsidRDefault="004F5DF5" w:rsidP="00004A41">
            <w:pPr>
              <w:spacing w:after="0" w:line="240" w:lineRule="auto"/>
              <w:jc w:val="both"/>
              <w:rPr>
                <w:rFonts w:ascii="Times New Roman"/>
                <w:color w:val="auto"/>
                <w:sz w:val="20"/>
                <w:szCs w:val="20"/>
              </w:rPr>
            </w:pPr>
            <w:r w:rsidRPr="00B0658A">
              <w:rPr>
                <w:rFonts w:ascii="Times New Roman"/>
                <w:color w:val="auto"/>
                <w:sz w:val="20"/>
                <w:szCs w:val="20"/>
              </w:rPr>
              <w:t>…</w:t>
            </w:r>
          </w:p>
        </w:tc>
        <w:tc>
          <w:tcPr>
            <w:tcW w:w="892" w:type="pct"/>
          </w:tcPr>
          <w:p w14:paraId="0B476E93" w14:textId="77777777" w:rsidR="004F5DF5" w:rsidRPr="00B0658A" w:rsidRDefault="004F5DF5" w:rsidP="00004A41">
            <w:pPr>
              <w:spacing w:after="0" w:line="240" w:lineRule="auto"/>
              <w:jc w:val="both"/>
              <w:rPr>
                <w:rFonts w:ascii="Times New Roman"/>
                <w:color w:val="auto"/>
                <w:sz w:val="20"/>
                <w:szCs w:val="20"/>
              </w:rPr>
            </w:pPr>
          </w:p>
        </w:tc>
        <w:tc>
          <w:tcPr>
            <w:tcW w:w="913" w:type="pct"/>
          </w:tcPr>
          <w:p w14:paraId="4E69ABB5" w14:textId="77777777" w:rsidR="004F5DF5" w:rsidRPr="00B0658A" w:rsidRDefault="004F5DF5" w:rsidP="00004A41">
            <w:pPr>
              <w:spacing w:after="0" w:line="240" w:lineRule="auto"/>
              <w:jc w:val="both"/>
              <w:rPr>
                <w:rFonts w:ascii="Times New Roman"/>
                <w:color w:val="auto"/>
                <w:sz w:val="20"/>
                <w:szCs w:val="20"/>
              </w:rPr>
            </w:pPr>
          </w:p>
        </w:tc>
        <w:tc>
          <w:tcPr>
            <w:tcW w:w="847" w:type="pct"/>
          </w:tcPr>
          <w:p w14:paraId="46ED2255" w14:textId="77777777" w:rsidR="004F5DF5" w:rsidRPr="00B0658A" w:rsidRDefault="004F5DF5" w:rsidP="00004A41">
            <w:pPr>
              <w:spacing w:after="0" w:line="240" w:lineRule="auto"/>
              <w:jc w:val="both"/>
              <w:rPr>
                <w:rFonts w:ascii="Times New Roman"/>
                <w:color w:val="auto"/>
                <w:sz w:val="20"/>
                <w:szCs w:val="20"/>
              </w:rPr>
            </w:pPr>
          </w:p>
        </w:tc>
        <w:tc>
          <w:tcPr>
            <w:tcW w:w="985" w:type="pct"/>
          </w:tcPr>
          <w:p w14:paraId="124B0015" w14:textId="77777777" w:rsidR="004F5DF5" w:rsidRPr="00B0658A" w:rsidRDefault="004F5DF5" w:rsidP="00004A41">
            <w:pPr>
              <w:spacing w:after="0" w:line="240" w:lineRule="auto"/>
              <w:jc w:val="both"/>
              <w:rPr>
                <w:rFonts w:ascii="Times New Roman"/>
                <w:color w:val="auto"/>
                <w:sz w:val="20"/>
                <w:szCs w:val="20"/>
              </w:rPr>
            </w:pPr>
          </w:p>
        </w:tc>
        <w:tc>
          <w:tcPr>
            <w:tcW w:w="1189" w:type="pct"/>
          </w:tcPr>
          <w:p w14:paraId="624EDA01" w14:textId="77777777" w:rsidR="004F5DF5" w:rsidRPr="00B0658A" w:rsidRDefault="004F5DF5" w:rsidP="00004A41">
            <w:pPr>
              <w:spacing w:after="0" w:line="240" w:lineRule="auto"/>
              <w:jc w:val="both"/>
              <w:rPr>
                <w:rFonts w:ascii="Times New Roman"/>
                <w:color w:val="auto"/>
                <w:sz w:val="20"/>
                <w:szCs w:val="20"/>
              </w:rPr>
            </w:pPr>
          </w:p>
        </w:tc>
      </w:tr>
      <w:tr w:rsidR="00F52FED" w:rsidRPr="00B0658A" w14:paraId="38295390" w14:textId="77777777" w:rsidTr="004F5DF5">
        <w:trPr>
          <w:trHeight w:val="20"/>
        </w:trPr>
        <w:tc>
          <w:tcPr>
            <w:tcW w:w="5000" w:type="pct"/>
            <w:gridSpan w:val="6"/>
          </w:tcPr>
          <w:p w14:paraId="6977E8C2" w14:textId="77777777" w:rsidR="004F5DF5" w:rsidRPr="00B0658A" w:rsidRDefault="00940BF0" w:rsidP="00004A41">
            <w:pPr>
              <w:spacing w:after="0" w:line="240" w:lineRule="auto"/>
              <w:jc w:val="both"/>
              <w:rPr>
                <w:rFonts w:ascii="Times New Roman"/>
                <w:color w:val="auto"/>
                <w:sz w:val="20"/>
                <w:szCs w:val="20"/>
              </w:rPr>
            </w:pPr>
            <w:r w:rsidRPr="00B0658A">
              <w:rPr>
                <w:rFonts w:ascii="Times New Roman"/>
                <w:color w:val="auto"/>
                <w:sz w:val="20"/>
                <w:szCs w:val="20"/>
              </w:rPr>
              <w:t>2</w:t>
            </w:r>
            <w:r w:rsidR="004F5DF5" w:rsidRPr="00B0658A">
              <w:rPr>
                <w:rFonts w:ascii="Times New Roman"/>
                <w:color w:val="auto"/>
                <w:sz w:val="20"/>
                <w:szCs w:val="20"/>
              </w:rPr>
              <w:t>. Мероприятия по переводу ________ (наименование государственной или ведомственной информационной системы № 2) на использование российское ПО</w:t>
            </w:r>
          </w:p>
        </w:tc>
      </w:tr>
      <w:tr w:rsidR="00F52FED" w:rsidRPr="00B0658A" w14:paraId="127F23FD" w14:textId="77777777" w:rsidTr="004F5DF5">
        <w:trPr>
          <w:trHeight w:val="20"/>
        </w:trPr>
        <w:tc>
          <w:tcPr>
            <w:tcW w:w="174" w:type="pct"/>
          </w:tcPr>
          <w:p w14:paraId="2477832C" w14:textId="77777777" w:rsidR="004F5DF5" w:rsidRPr="00B0658A" w:rsidRDefault="004F5DF5" w:rsidP="00004A41">
            <w:pPr>
              <w:spacing w:after="0" w:line="240" w:lineRule="auto"/>
              <w:jc w:val="both"/>
              <w:rPr>
                <w:rFonts w:ascii="Times New Roman"/>
                <w:color w:val="auto"/>
                <w:sz w:val="20"/>
                <w:szCs w:val="20"/>
                <w:lang w:val="en-US"/>
              </w:rPr>
            </w:pPr>
            <w:r w:rsidRPr="00B0658A">
              <w:rPr>
                <w:rFonts w:ascii="Times New Roman"/>
                <w:color w:val="auto"/>
                <w:sz w:val="20"/>
                <w:szCs w:val="20"/>
                <w:lang w:val="en-US"/>
              </w:rPr>
              <w:t>2.1</w:t>
            </w:r>
          </w:p>
        </w:tc>
        <w:tc>
          <w:tcPr>
            <w:tcW w:w="892" w:type="pct"/>
          </w:tcPr>
          <w:p w14:paraId="17EFE9E1" w14:textId="77777777" w:rsidR="004F5DF5" w:rsidRPr="00B0658A" w:rsidRDefault="004F5DF5" w:rsidP="00004A41">
            <w:pPr>
              <w:spacing w:after="0" w:line="240" w:lineRule="auto"/>
              <w:jc w:val="both"/>
              <w:rPr>
                <w:rFonts w:ascii="Times New Roman"/>
                <w:color w:val="auto"/>
                <w:sz w:val="20"/>
                <w:szCs w:val="20"/>
              </w:rPr>
            </w:pPr>
          </w:p>
        </w:tc>
        <w:tc>
          <w:tcPr>
            <w:tcW w:w="913" w:type="pct"/>
          </w:tcPr>
          <w:p w14:paraId="69EC2DBC" w14:textId="77777777" w:rsidR="004F5DF5" w:rsidRPr="00B0658A" w:rsidRDefault="004F5DF5" w:rsidP="00004A41">
            <w:pPr>
              <w:spacing w:after="0" w:line="240" w:lineRule="auto"/>
              <w:jc w:val="both"/>
              <w:rPr>
                <w:rFonts w:ascii="Times New Roman"/>
                <w:color w:val="auto"/>
                <w:sz w:val="20"/>
                <w:szCs w:val="20"/>
              </w:rPr>
            </w:pPr>
          </w:p>
        </w:tc>
        <w:tc>
          <w:tcPr>
            <w:tcW w:w="847" w:type="pct"/>
          </w:tcPr>
          <w:p w14:paraId="24A36CB3" w14:textId="77777777" w:rsidR="004F5DF5" w:rsidRPr="00B0658A" w:rsidRDefault="004F5DF5" w:rsidP="00004A41">
            <w:pPr>
              <w:spacing w:after="0" w:line="240" w:lineRule="auto"/>
              <w:jc w:val="both"/>
              <w:rPr>
                <w:rFonts w:ascii="Times New Roman"/>
                <w:color w:val="auto"/>
                <w:sz w:val="20"/>
                <w:szCs w:val="20"/>
              </w:rPr>
            </w:pPr>
          </w:p>
        </w:tc>
        <w:tc>
          <w:tcPr>
            <w:tcW w:w="985" w:type="pct"/>
          </w:tcPr>
          <w:p w14:paraId="2C8DDBFB" w14:textId="77777777" w:rsidR="004F5DF5" w:rsidRPr="00B0658A" w:rsidRDefault="004F5DF5" w:rsidP="00004A41">
            <w:pPr>
              <w:spacing w:after="0" w:line="240" w:lineRule="auto"/>
              <w:jc w:val="both"/>
              <w:rPr>
                <w:rFonts w:ascii="Times New Roman"/>
                <w:color w:val="auto"/>
                <w:sz w:val="20"/>
                <w:szCs w:val="20"/>
              </w:rPr>
            </w:pPr>
          </w:p>
        </w:tc>
        <w:tc>
          <w:tcPr>
            <w:tcW w:w="1189" w:type="pct"/>
          </w:tcPr>
          <w:p w14:paraId="593CF490" w14:textId="77777777" w:rsidR="004F5DF5" w:rsidRPr="00B0658A" w:rsidRDefault="004F5DF5" w:rsidP="00004A41">
            <w:pPr>
              <w:spacing w:after="0" w:line="240" w:lineRule="auto"/>
              <w:jc w:val="both"/>
              <w:rPr>
                <w:rFonts w:ascii="Times New Roman"/>
                <w:color w:val="auto"/>
                <w:sz w:val="20"/>
                <w:szCs w:val="20"/>
              </w:rPr>
            </w:pPr>
          </w:p>
        </w:tc>
      </w:tr>
      <w:tr w:rsidR="00F52FED" w:rsidRPr="00B0658A" w14:paraId="36A217B6" w14:textId="77777777" w:rsidTr="004F5DF5">
        <w:trPr>
          <w:trHeight w:val="20"/>
        </w:trPr>
        <w:tc>
          <w:tcPr>
            <w:tcW w:w="174" w:type="pct"/>
          </w:tcPr>
          <w:p w14:paraId="32945510" w14:textId="77777777" w:rsidR="004F5DF5" w:rsidRPr="00B0658A" w:rsidRDefault="004F5DF5" w:rsidP="00004A41">
            <w:pPr>
              <w:spacing w:after="0" w:line="240" w:lineRule="auto"/>
              <w:jc w:val="both"/>
              <w:rPr>
                <w:rFonts w:ascii="Times New Roman"/>
                <w:color w:val="auto"/>
                <w:sz w:val="20"/>
                <w:szCs w:val="20"/>
                <w:lang w:val="en-US"/>
              </w:rPr>
            </w:pPr>
            <w:r w:rsidRPr="00B0658A">
              <w:rPr>
                <w:rFonts w:ascii="Times New Roman"/>
                <w:color w:val="auto"/>
                <w:sz w:val="20"/>
                <w:szCs w:val="20"/>
                <w:lang w:val="en-US"/>
              </w:rPr>
              <w:lastRenderedPageBreak/>
              <w:t>2.2</w:t>
            </w:r>
          </w:p>
        </w:tc>
        <w:tc>
          <w:tcPr>
            <w:tcW w:w="892" w:type="pct"/>
          </w:tcPr>
          <w:p w14:paraId="7F900A78" w14:textId="77777777" w:rsidR="004F5DF5" w:rsidRPr="00B0658A" w:rsidRDefault="004F5DF5" w:rsidP="00004A41">
            <w:pPr>
              <w:spacing w:after="0" w:line="240" w:lineRule="auto"/>
              <w:jc w:val="both"/>
              <w:rPr>
                <w:rFonts w:ascii="Times New Roman"/>
                <w:color w:val="auto"/>
                <w:sz w:val="20"/>
                <w:szCs w:val="20"/>
              </w:rPr>
            </w:pPr>
          </w:p>
        </w:tc>
        <w:tc>
          <w:tcPr>
            <w:tcW w:w="913" w:type="pct"/>
          </w:tcPr>
          <w:p w14:paraId="53EE9E9F" w14:textId="77777777" w:rsidR="004F5DF5" w:rsidRPr="00B0658A" w:rsidRDefault="004F5DF5" w:rsidP="00004A41">
            <w:pPr>
              <w:spacing w:after="0" w:line="240" w:lineRule="auto"/>
              <w:jc w:val="both"/>
              <w:rPr>
                <w:rFonts w:ascii="Times New Roman"/>
                <w:color w:val="auto"/>
                <w:sz w:val="20"/>
                <w:szCs w:val="20"/>
              </w:rPr>
            </w:pPr>
          </w:p>
        </w:tc>
        <w:tc>
          <w:tcPr>
            <w:tcW w:w="847" w:type="pct"/>
          </w:tcPr>
          <w:p w14:paraId="04480B83" w14:textId="77777777" w:rsidR="004F5DF5" w:rsidRPr="00B0658A" w:rsidRDefault="004F5DF5" w:rsidP="00004A41">
            <w:pPr>
              <w:spacing w:after="0" w:line="240" w:lineRule="auto"/>
              <w:jc w:val="both"/>
              <w:rPr>
                <w:rFonts w:ascii="Times New Roman"/>
                <w:color w:val="auto"/>
                <w:sz w:val="20"/>
                <w:szCs w:val="20"/>
              </w:rPr>
            </w:pPr>
          </w:p>
        </w:tc>
        <w:tc>
          <w:tcPr>
            <w:tcW w:w="985" w:type="pct"/>
          </w:tcPr>
          <w:p w14:paraId="5AEE5A95" w14:textId="77777777" w:rsidR="004F5DF5" w:rsidRPr="00B0658A" w:rsidRDefault="004F5DF5" w:rsidP="00004A41">
            <w:pPr>
              <w:spacing w:after="0" w:line="240" w:lineRule="auto"/>
              <w:jc w:val="both"/>
              <w:rPr>
                <w:rFonts w:ascii="Times New Roman"/>
                <w:color w:val="auto"/>
                <w:sz w:val="20"/>
                <w:szCs w:val="20"/>
              </w:rPr>
            </w:pPr>
          </w:p>
        </w:tc>
        <w:tc>
          <w:tcPr>
            <w:tcW w:w="1189" w:type="pct"/>
          </w:tcPr>
          <w:p w14:paraId="0515F69A" w14:textId="77777777" w:rsidR="004F5DF5" w:rsidRPr="00B0658A" w:rsidRDefault="004F5DF5" w:rsidP="00004A41">
            <w:pPr>
              <w:spacing w:after="0" w:line="240" w:lineRule="auto"/>
              <w:jc w:val="both"/>
              <w:rPr>
                <w:rFonts w:ascii="Times New Roman"/>
                <w:color w:val="auto"/>
                <w:sz w:val="20"/>
                <w:szCs w:val="20"/>
              </w:rPr>
            </w:pPr>
          </w:p>
        </w:tc>
      </w:tr>
      <w:tr w:rsidR="00F52FED" w:rsidRPr="00B0658A" w14:paraId="3894F657" w14:textId="77777777" w:rsidTr="004F5DF5">
        <w:trPr>
          <w:trHeight w:val="20"/>
        </w:trPr>
        <w:tc>
          <w:tcPr>
            <w:tcW w:w="174" w:type="pct"/>
          </w:tcPr>
          <w:p w14:paraId="03746994" w14:textId="77777777" w:rsidR="004F5DF5" w:rsidRPr="00B0658A" w:rsidRDefault="004F5DF5" w:rsidP="00004A41">
            <w:pPr>
              <w:spacing w:after="0" w:line="240" w:lineRule="auto"/>
              <w:jc w:val="both"/>
              <w:rPr>
                <w:rFonts w:ascii="Times New Roman"/>
                <w:color w:val="auto"/>
                <w:sz w:val="20"/>
                <w:szCs w:val="20"/>
                <w:lang w:val="en-US"/>
              </w:rPr>
            </w:pPr>
            <w:r w:rsidRPr="00B0658A">
              <w:rPr>
                <w:rFonts w:ascii="Times New Roman"/>
                <w:color w:val="auto"/>
                <w:sz w:val="20"/>
                <w:szCs w:val="20"/>
                <w:lang w:val="en-US"/>
              </w:rPr>
              <w:t>…</w:t>
            </w:r>
          </w:p>
        </w:tc>
        <w:tc>
          <w:tcPr>
            <w:tcW w:w="892" w:type="pct"/>
          </w:tcPr>
          <w:p w14:paraId="2402F8AE" w14:textId="77777777" w:rsidR="004F5DF5" w:rsidRPr="00B0658A" w:rsidRDefault="004F5DF5" w:rsidP="00004A41">
            <w:pPr>
              <w:spacing w:after="0" w:line="240" w:lineRule="auto"/>
              <w:jc w:val="both"/>
              <w:rPr>
                <w:rFonts w:ascii="Times New Roman"/>
                <w:color w:val="auto"/>
                <w:sz w:val="20"/>
                <w:szCs w:val="20"/>
              </w:rPr>
            </w:pPr>
          </w:p>
        </w:tc>
        <w:tc>
          <w:tcPr>
            <w:tcW w:w="913" w:type="pct"/>
          </w:tcPr>
          <w:p w14:paraId="210B019B" w14:textId="77777777" w:rsidR="004F5DF5" w:rsidRPr="00B0658A" w:rsidRDefault="004F5DF5" w:rsidP="00004A41">
            <w:pPr>
              <w:spacing w:after="0" w:line="240" w:lineRule="auto"/>
              <w:jc w:val="both"/>
              <w:rPr>
                <w:rFonts w:ascii="Times New Roman"/>
                <w:color w:val="auto"/>
                <w:sz w:val="20"/>
                <w:szCs w:val="20"/>
              </w:rPr>
            </w:pPr>
          </w:p>
        </w:tc>
        <w:tc>
          <w:tcPr>
            <w:tcW w:w="847" w:type="pct"/>
          </w:tcPr>
          <w:p w14:paraId="3E495B58" w14:textId="77777777" w:rsidR="004F5DF5" w:rsidRPr="00B0658A" w:rsidRDefault="004F5DF5" w:rsidP="00004A41">
            <w:pPr>
              <w:spacing w:after="0" w:line="240" w:lineRule="auto"/>
              <w:jc w:val="both"/>
              <w:rPr>
                <w:rFonts w:ascii="Times New Roman"/>
                <w:color w:val="auto"/>
                <w:sz w:val="20"/>
                <w:szCs w:val="20"/>
              </w:rPr>
            </w:pPr>
          </w:p>
        </w:tc>
        <w:tc>
          <w:tcPr>
            <w:tcW w:w="985" w:type="pct"/>
          </w:tcPr>
          <w:p w14:paraId="1F42161D" w14:textId="77777777" w:rsidR="004F5DF5" w:rsidRPr="00B0658A" w:rsidRDefault="004F5DF5" w:rsidP="00004A41">
            <w:pPr>
              <w:spacing w:after="0" w:line="240" w:lineRule="auto"/>
              <w:jc w:val="both"/>
              <w:rPr>
                <w:rFonts w:ascii="Times New Roman"/>
                <w:color w:val="auto"/>
                <w:sz w:val="20"/>
                <w:szCs w:val="20"/>
              </w:rPr>
            </w:pPr>
          </w:p>
        </w:tc>
        <w:tc>
          <w:tcPr>
            <w:tcW w:w="1189" w:type="pct"/>
          </w:tcPr>
          <w:p w14:paraId="45571387" w14:textId="77777777" w:rsidR="004F5DF5" w:rsidRPr="00B0658A" w:rsidRDefault="004F5DF5" w:rsidP="00004A41">
            <w:pPr>
              <w:spacing w:after="0" w:line="240" w:lineRule="auto"/>
              <w:jc w:val="both"/>
              <w:rPr>
                <w:rFonts w:ascii="Times New Roman"/>
                <w:color w:val="auto"/>
                <w:sz w:val="20"/>
                <w:szCs w:val="20"/>
              </w:rPr>
            </w:pPr>
          </w:p>
        </w:tc>
      </w:tr>
      <w:tr w:rsidR="00F52FED" w:rsidRPr="00B0658A" w14:paraId="38078F69" w14:textId="77777777" w:rsidTr="004F5DF5">
        <w:trPr>
          <w:trHeight w:val="20"/>
        </w:trPr>
        <w:tc>
          <w:tcPr>
            <w:tcW w:w="5000" w:type="pct"/>
            <w:gridSpan w:val="6"/>
            <w:shd w:val="clear" w:color="auto" w:fill="D9E2F3" w:themeFill="accent1" w:themeFillTint="33"/>
            <w:vAlign w:val="center"/>
          </w:tcPr>
          <w:p w14:paraId="45BB2858" w14:textId="77777777" w:rsidR="004F5DF5" w:rsidRPr="00B0658A" w:rsidRDefault="004F5DF5" w:rsidP="00004A41">
            <w:pPr>
              <w:spacing w:after="0" w:line="240" w:lineRule="auto"/>
              <w:jc w:val="center"/>
              <w:rPr>
                <w:rFonts w:ascii="Times New Roman"/>
                <w:color w:val="auto"/>
                <w:sz w:val="20"/>
                <w:szCs w:val="20"/>
              </w:rPr>
            </w:pPr>
            <w:r w:rsidRPr="00B0658A">
              <w:rPr>
                <w:rFonts w:ascii="Times New Roman"/>
                <w:b/>
                <w:color w:val="auto"/>
                <w:sz w:val="20"/>
                <w:szCs w:val="20"/>
              </w:rPr>
              <w:t>Государственные и ведомственные информационные системы, подлежащие переводу на использование российского ПО до 31.12.2027 г.</w:t>
            </w:r>
          </w:p>
        </w:tc>
      </w:tr>
      <w:tr w:rsidR="00F52FED" w:rsidRPr="00B0658A" w14:paraId="760F9EE6" w14:textId="77777777" w:rsidTr="004F5DF5">
        <w:trPr>
          <w:trHeight w:val="20"/>
        </w:trPr>
        <w:tc>
          <w:tcPr>
            <w:tcW w:w="5000" w:type="pct"/>
            <w:gridSpan w:val="6"/>
          </w:tcPr>
          <w:p w14:paraId="15158803" w14:textId="77777777" w:rsidR="004F5DF5" w:rsidRPr="00B0658A" w:rsidRDefault="00940BF0" w:rsidP="00004A41">
            <w:pPr>
              <w:spacing w:after="0" w:line="240" w:lineRule="auto"/>
              <w:jc w:val="both"/>
              <w:rPr>
                <w:rFonts w:ascii="Times New Roman"/>
                <w:color w:val="auto"/>
                <w:sz w:val="20"/>
                <w:szCs w:val="20"/>
              </w:rPr>
            </w:pPr>
            <w:r w:rsidRPr="00B0658A">
              <w:rPr>
                <w:rFonts w:ascii="Times New Roman"/>
                <w:color w:val="auto"/>
                <w:sz w:val="20"/>
                <w:szCs w:val="20"/>
              </w:rPr>
              <w:t>3</w:t>
            </w:r>
            <w:r w:rsidR="004F5DF5" w:rsidRPr="00B0658A">
              <w:rPr>
                <w:rFonts w:ascii="Times New Roman"/>
                <w:color w:val="auto"/>
                <w:sz w:val="20"/>
                <w:szCs w:val="20"/>
              </w:rPr>
              <w:t xml:space="preserve">. Мероприятия по переводу ________ (наименование государственной или ведомственной информационной системы № </w:t>
            </w:r>
            <w:r w:rsidRPr="00B0658A">
              <w:rPr>
                <w:rFonts w:ascii="Times New Roman"/>
                <w:color w:val="auto"/>
                <w:sz w:val="20"/>
                <w:szCs w:val="20"/>
              </w:rPr>
              <w:t>3</w:t>
            </w:r>
            <w:r w:rsidR="004F5DF5" w:rsidRPr="00B0658A">
              <w:rPr>
                <w:rFonts w:ascii="Times New Roman"/>
                <w:color w:val="auto"/>
                <w:sz w:val="20"/>
                <w:szCs w:val="20"/>
              </w:rPr>
              <w:t>) на использование российское ПО</w:t>
            </w:r>
          </w:p>
        </w:tc>
      </w:tr>
      <w:tr w:rsidR="00F52FED" w:rsidRPr="00B0658A" w14:paraId="430EDF9D" w14:textId="77777777" w:rsidTr="004F5DF5">
        <w:trPr>
          <w:trHeight w:val="20"/>
        </w:trPr>
        <w:tc>
          <w:tcPr>
            <w:tcW w:w="174" w:type="pct"/>
          </w:tcPr>
          <w:p w14:paraId="504FC627" w14:textId="77777777" w:rsidR="004F5DF5" w:rsidRPr="00B0658A" w:rsidRDefault="00940BF0" w:rsidP="00004A41">
            <w:pPr>
              <w:spacing w:after="0" w:line="240" w:lineRule="auto"/>
              <w:jc w:val="both"/>
              <w:rPr>
                <w:rFonts w:ascii="Times New Roman"/>
                <w:color w:val="auto"/>
                <w:sz w:val="20"/>
                <w:szCs w:val="20"/>
              </w:rPr>
            </w:pPr>
            <w:r w:rsidRPr="00B0658A">
              <w:rPr>
                <w:rFonts w:ascii="Times New Roman"/>
                <w:color w:val="auto"/>
                <w:sz w:val="20"/>
                <w:szCs w:val="20"/>
                <w:lang w:val="en-US"/>
              </w:rPr>
              <w:t>3</w:t>
            </w:r>
            <w:r w:rsidR="004F5DF5" w:rsidRPr="00B0658A">
              <w:rPr>
                <w:rFonts w:ascii="Times New Roman"/>
                <w:color w:val="auto"/>
                <w:sz w:val="20"/>
                <w:szCs w:val="20"/>
                <w:lang w:val="en-US"/>
              </w:rPr>
              <w:t>.1</w:t>
            </w:r>
          </w:p>
        </w:tc>
        <w:tc>
          <w:tcPr>
            <w:tcW w:w="892" w:type="pct"/>
          </w:tcPr>
          <w:p w14:paraId="1F71B5E3" w14:textId="77777777" w:rsidR="004F5DF5" w:rsidRPr="00B0658A" w:rsidRDefault="004F5DF5" w:rsidP="00004A41">
            <w:pPr>
              <w:spacing w:after="0" w:line="240" w:lineRule="auto"/>
              <w:jc w:val="both"/>
              <w:rPr>
                <w:rFonts w:ascii="Times New Roman"/>
                <w:color w:val="auto"/>
                <w:sz w:val="20"/>
                <w:szCs w:val="20"/>
              </w:rPr>
            </w:pPr>
          </w:p>
        </w:tc>
        <w:tc>
          <w:tcPr>
            <w:tcW w:w="913" w:type="pct"/>
          </w:tcPr>
          <w:p w14:paraId="685B98A2" w14:textId="77777777" w:rsidR="004F5DF5" w:rsidRPr="00B0658A" w:rsidRDefault="004F5DF5" w:rsidP="00004A41">
            <w:pPr>
              <w:spacing w:after="0" w:line="240" w:lineRule="auto"/>
              <w:jc w:val="both"/>
              <w:rPr>
                <w:rFonts w:ascii="Times New Roman"/>
                <w:color w:val="auto"/>
                <w:sz w:val="20"/>
                <w:szCs w:val="20"/>
              </w:rPr>
            </w:pPr>
          </w:p>
        </w:tc>
        <w:tc>
          <w:tcPr>
            <w:tcW w:w="847" w:type="pct"/>
          </w:tcPr>
          <w:p w14:paraId="1CFB7085" w14:textId="77777777" w:rsidR="004F5DF5" w:rsidRPr="00B0658A" w:rsidRDefault="004F5DF5" w:rsidP="00004A41">
            <w:pPr>
              <w:spacing w:after="0" w:line="240" w:lineRule="auto"/>
              <w:jc w:val="both"/>
              <w:rPr>
                <w:rFonts w:ascii="Times New Roman"/>
                <w:color w:val="auto"/>
                <w:sz w:val="20"/>
                <w:szCs w:val="20"/>
              </w:rPr>
            </w:pPr>
          </w:p>
        </w:tc>
        <w:tc>
          <w:tcPr>
            <w:tcW w:w="985" w:type="pct"/>
          </w:tcPr>
          <w:p w14:paraId="751866D8" w14:textId="77777777" w:rsidR="004F5DF5" w:rsidRPr="00B0658A" w:rsidRDefault="004F5DF5" w:rsidP="00004A41">
            <w:pPr>
              <w:spacing w:after="0" w:line="240" w:lineRule="auto"/>
              <w:jc w:val="both"/>
              <w:rPr>
                <w:rFonts w:ascii="Times New Roman"/>
                <w:color w:val="auto"/>
                <w:sz w:val="20"/>
                <w:szCs w:val="20"/>
              </w:rPr>
            </w:pPr>
          </w:p>
        </w:tc>
        <w:tc>
          <w:tcPr>
            <w:tcW w:w="1189" w:type="pct"/>
          </w:tcPr>
          <w:p w14:paraId="442E6614" w14:textId="77777777" w:rsidR="004F5DF5" w:rsidRPr="00B0658A" w:rsidRDefault="004F5DF5" w:rsidP="00004A41">
            <w:pPr>
              <w:spacing w:after="0" w:line="240" w:lineRule="auto"/>
              <w:jc w:val="both"/>
              <w:rPr>
                <w:rFonts w:ascii="Times New Roman"/>
                <w:color w:val="auto"/>
                <w:sz w:val="20"/>
                <w:szCs w:val="20"/>
              </w:rPr>
            </w:pPr>
          </w:p>
        </w:tc>
      </w:tr>
      <w:tr w:rsidR="00F52FED" w:rsidRPr="00B0658A" w14:paraId="01DAEB51" w14:textId="77777777" w:rsidTr="004F5DF5">
        <w:trPr>
          <w:trHeight w:val="20"/>
        </w:trPr>
        <w:tc>
          <w:tcPr>
            <w:tcW w:w="174" w:type="pct"/>
          </w:tcPr>
          <w:p w14:paraId="2CA5556A" w14:textId="77777777" w:rsidR="004F5DF5" w:rsidRPr="00B0658A" w:rsidRDefault="00940BF0" w:rsidP="00004A41">
            <w:pPr>
              <w:spacing w:after="0" w:line="240" w:lineRule="auto"/>
              <w:jc w:val="both"/>
              <w:rPr>
                <w:rFonts w:ascii="Times New Roman"/>
                <w:color w:val="auto"/>
                <w:sz w:val="20"/>
                <w:szCs w:val="20"/>
              </w:rPr>
            </w:pPr>
            <w:r w:rsidRPr="00B0658A">
              <w:rPr>
                <w:rFonts w:ascii="Times New Roman"/>
                <w:color w:val="auto"/>
                <w:sz w:val="20"/>
                <w:szCs w:val="20"/>
                <w:lang w:val="en-US"/>
              </w:rPr>
              <w:t>3</w:t>
            </w:r>
            <w:r w:rsidR="004F5DF5" w:rsidRPr="00B0658A">
              <w:rPr>
                <w:rFonts w:ascii="Times New Roman"/>
                <w:color w:val="auto"/>
                <w:sz w:val="20"/>
                <w:szCs w:val="20"/>
                <w:lang w:val="en-US"/>
              </w:rPr>
              <w:t>.2</w:t>
            </w:r>
          </w:p>
        </w:tc>
        <w:tc>
          <w:tcPr>
            <w:tcW w:w="892" w:type="pct"/>
          </w:tcPr>
          <w:p w14:paraId="5DCA9301" w14:textId="77777777" w:rsidR="004F5DF5" w:rsidRPr="00B0658A" w:rsidRDefault="004F5DF5" w:rsidP="00004A41">
            <w:pPr>
              <w:spacing w:after="0" w:line="240" w:lineRule="auto"/>
              <w:jc w:val="both"/>
              <w:rPr>
                <w:rFonts w:ascii="Times New Roman"/>
                <w:color w:val="auto"/>
                <w:sz w:val="20"/>
                <w:szCs w:val="20"/>
              </w:rPr>
            </w:pPr>
          </w:p>
        </w:tc>
        <w:tc>
          <w:tcPr>
            <w:tcW w:w="913" w:type="pct"/>
          </w:tcPr>
          <w:p w14:paraId="3F7682DA" w14:textId="77777777" w:rsidR="004F5DF5" w:rsidRPr="00B0658A" w:rsidRDefault="004F5DF5" w:rsidP="00004A41">
            <w:pPr>
              <w:spacing w:after="0" w:line="240" w:lineRule="auto"/>
              <w:jc w:val="both"/>
              <w:rPr>
                <w:rFonts w:ascii="Times New Roman"/>
                <w:color w:val="auto"/>
                <w:sz w:val="20"/>
                <w:szCs w:val="20"/>
              </w:rPr>
            </w:pPr>
          </w:p>
        </w:tc>
        <w:tc>
          <w:tcPr>
            <w:tcW w:w="847" w:type="pct"/>
          </w:tcPr>
          <w:p w14:paraId="4086B7D7" w14:textId="77777777" w:rsidR="004F5DF5" w:rsidRPr="00B0658A" w:rsidRDefault="004F5DF5" w:rsidP="00004A41">
            <w:pPr>
              <w:spacing w:after="0" w:line="240" w:lineRule="auto"/>
              <w:jc w:val="both"/>
              <w:rPr>
                <w:rFonts w:ascii="Times New Roman"/>
                <w:color w:val="auto"/>
                <w:sz w:val="20"/>
                <w:szCs w:val="20"/>
              </w:rPr>
            </w:pPr>
          </w:p>
        </w:tc>
        <w:tc>
          <w:tcPr>
            <w:tcW w:w="985" w:type="pct"/>
          </w:tcPr>
          <w:p w14:paraId="0B479A5C" w14:textId="77777777" w:rsidR="004F5DF5" w:rsidRPr="00B0658A" w:rsidRDefault="004F5DF5" w:rsidP="00004A41">
            <w:pPr>
              <w:spacing w:after="0" w:line="240" w:lineRule="auto"/>
              <w:jc w:val="both"/>
              <w:rPr>
                <w:rFonts w:ascii="Times New Roman"/>
                <w:color w:val="auto"/>
                <w:sz w:val="20"/>
                <w:szCs w:val="20"/>
              </w:rPr>
            </w:pPr>
          </w:p>
        </w:tc>
        <w:tc>
          <w:tcPr>
            <w:tcW w:w="1189" w:type="pct"/>
          </w:tcPr>
          <w:p w14:paraId="54F97A70" w14:textId="77777777" w:rsidR="004F5DF5" w:rsidRPr="00B0658A" w:rsidRDefault="004F5DF5" w:rsidP="00004A41">
            <w:pPr>
              <w:spacing w:after="0" w:line="240" w:lineRule="auto"/>
              <w:jc w:val="both"/>
              <w:rPr>
                <w:rFonts w:ascii="Times New Roman"/>
                <w:color w:val="auto"/>
                <w:sz w:val="20"/>
                <w:szCs w:val="20"/>
              </w:rPr>
            </w:pPr>
          </w:p>
        </w:tc>
      </w:tr>
      <w:tr w:rsidR="00F52FED" w:rsidRPr="00B0658A" w14:paraId="57361638" w14:textId="77777777" w:rsidTr="004F5DF5">
        <w:trPr>
          <w:trHeight w:val="20"/>
        </w:trPr>
        <w:tc>
          <w:tcPr>
            <w:tcW w:w="174" w:type="pct"/>
          </w:tcPr>
          <w:p w14:paraId="4682209F" w14:textId="77777777" w:rsidR="004F5DF5" w:rsidRPr="00B0658A" w:rsidRDefault="004F5DF5" w:rsidP="00004A41">
            <w:pPr>
              <w:spacing w:after="0" w:line="240" w:lineRule="auto"/>
              <w:jc w:val="both"/>
              <w:rPr>
                <w:rFonts w:ascii="Times New Roman"/>
                <w:color w:val="auto"/>
                <w:sz w:val="20"/>
                <w:szCs w:val="20"/>
              </w:rPr>
            </w:pPr>
            <w:r w:rsidRPr="00B0658A">
              <w:rPr>
                <w:rFonts w:ascii="Times New Roman"/>
                <w:color w:val="auto"/>
                <w:sz w:val="20"/>
                <w:szCs w:val="20"/>
                <w:lang w:val="en-US"/>
              </w:rPr>
              <w:t>…</w:t>
            </w:r>
          </w:p>
        </w:tc>
        <w:tc>
          <w:tcPr>
            <w:tcW w:w="892" w:type="pct"/>
          </w:tcPr>
          <w:p w14:paraId="092A5553" w14:textId="77777777" w:rsidR="004F5DF5" w:rsidRPr="00B0658A" w:rsidRDefault="004F5DF5" w:rsidP="00004A41">
            <w:pPr>
              <w:spacing w:after="0" w:line="240" w:lineRule="auto"/>
              <w:jc w:val="both"/>
              <w:rPr>
                <w:rFonts w:ascii="Times New Roman"/>
                <w:color w:val="auto"/>
                <w:sz w:val="20"/>
                <w:szCs w:val="20"/>
              </w:rPr>
            </w:pPr>
          </w:p>
        </w:tc>
        <w:tc>
          <w:tcPr>
            <w:tcW w:w="913" w:type="pct"/>
          </w:tcPr>
          <w:p w14:paraId="3818084D" w14:textId="77777777" w:rsidR="004F5DF5" w:rsidRPr="00B0658A" w:rsidRDefault="004F5DF5" w:rsidP="00004A41">
            <w:pPr>
              <w:spacing w:after="0" w:line="240" w:lineRule="auto"/>
              <w:jc w:val="both"/>
              <w:rPr>
                <w:rFonts w:ascii="Times New Roman"/>
                <w:color w:val="auto"/>
                <w:sz w:val="20"/>
                <w:szCs w:val="20"/>
              </w:rPr>
            </w:pPr>
          </w:p>
        </w:tc>
        <w:tc>
          <w:tcPr>
            <w:tcW w:w="847" w:type="pct"/>
          </w:tcPr>
          <w:p w14:paraId="0D033FD4" w14:textId="77777777" w:rsidR="004F5DF5" w:rsidRPr="00B0658A" w:rsidRDefault="004F5DF5" w:rsidP="00004A41">
            <w:pPr>
              <w:spacing w:after="0" w:line="240" w:lineRule="auto"/>
              <w:jc w:val="both"/>
              <w:rPr>
                <w:rFonts w:ascii="Times New Roman"/>
                <w:color w:val="auto"/>
                <w:sz w:val="20"/>
                <w:szCs w:val="20"/>
              </w:rPr>
            </w:pPr>
          </w:p>
        </w:tc>
        <w:tc>
          <w:tcPr>
            <w:tcW w:w="985" w:type="pct"/>
          </w:tcPr>
          <w:p w14:paraId="50B450ED" w14:textId="77777777" w:rsidR="004F5DF5" w:rsidRPr="00B0658A" w:rsidRDefault="004F5DF5" w:rsidP="00004A41">
            <w:pPr>
              <w:spacing w:after="0" w:line="240" w:lineRule="auto"/>
              <w:jc w:val="both"/>
              <w:rPr>
                <w:rFonts w:ascii="Times New Roman"/>
                <w:color w:val="auto"/>
                <w:sz w:val="20"/>
                <w:szCs w:val="20"/>
              </w:rPr>
            </w:pPr>
          </w:p>
        </w:tc>
        <w:tc>
          <w:tcPr>
            <w:tcW w:w="1189" w:type="pct"/>
          </w:tcPr>
          <w:p w14:paraId="309174AE" w14:textId="77777777" w:rsidR="004F5DF5" w:rsidRPr="00B0658A" w:rsidRDefault="004F5DF5" w:rsidP="00004A41">
            <w:pPr>
              <w:spacing w:after="0" w:line="240" w:lineRule="auto"/>
              <w:jc w:val="both"/>
              <w:rPr>
                <w:rFonts w:ascii="Times New Roman"/>
                <w:color w:val="auto"/>
                <w:sz w:val="20"/>
                <w:szCs w:val="20"/>
              </w:rPr>
            </w:pPr>
          </w:p>
        </w:tc>
      </w:tr>
      <w:tr w:rsidR="00F52FED" w:rsidRPr="00B0658A" w14:paraId="6C8C1389" w14:textId="77777777" w:rsidTr="004F5DF5">
        <w:trPr>
          <w:trHeight w:val="20"/>
        </w:trPr>
        <w:tc>
          <w:tcPr>
            <w:tcW w:w="5000" w:type="pct"/>
            <w:gridSpan w:val="6"/>
          </w:tcPr>
          <w:p w14:paraId="50FF4878" w14:textId="77777777" w:rsidR="004F5DF5" w:rsidRPr="00B0658A" w:rsidRDefault="00940BF0" w:rsidP="00004A41">
            <w:pPr>
              <w:spacing w:after="0" w:line="240" w:lineRule="auto"/>
              <w:jc w:val="both"/>
              <w:rPr>
                <w:rFonts w:ascii="Times New Roman"/>
                <w:color w:val="auto"/>
                <w:sz w:val="20"/>
                <w:szCs w:val="20"/>
              </w:rPr>
            </w:pPr>
            <w:r w:rsidRPr="00B0658A">
              <w:rPr>
                <w:rFonts w:ascii="Times New Roman"/>
                <w:color w:val="auto"/>
                <w:sz w:val="20"/>
                <w:szCs w:val="20"/>
              </w:rPr>
              <w:t>4</w:t>
            </w:r>
            <w:r w:rsidR="004F5DF5" w:rsidRPr="00B0658A">
              <w:rPr>
                <w:rFonts w:ascii="Times New Roman"/>
                <w:color w:val="auto"/>
                <w:sz w:val="20"/>
                <w:szCs w:val="20"/>
              </w:rPr>
              <w:t xml:space="preserve">. Мероприятия по переводу ________ (наименование государственной или ведомственной информационной системы № </w:t>
            </w:r>
            <w:r w:rsidRPr="00B0658A">
              <w:rPr>
                <w:rFonts w:ascii="Times New Roman"/>
                <w:color w:val="auto"/>
                <w:sz w:val="20"/>
                <w:szCs w:val="20"/>
              </w:rPr>
              <w:t>4</w:t>
            </w:r>
            <w:r w:rsidR="004F5DF5" w:rsidRPr="00B0658A">
              <w:rPr>
                <w:rFonts w:ascii="Times New Roman"/>
                <w:color w:val="auto"/>
                <w:sz w:val="20"/>
                <w:szCs w:val="20"/>
              </w:rPr>
              <w:t>) на использование российское ПО</w:t>
            </w:r>
          </w:p>
        </w:tc>
      </w:tr>
      <w:tr w:rsidR="00F52FED" w:rsidRPr="00B0658A" w14:paraId="3A9D7F7A" w14:textId="77777777" w:rsidTr="004F5DF5">
        <w:trPr>
          <w:trHeight w:val="20"/>
        </w:trPr>
        <w:tc>
          <w:tcPr>
            <w:tcW w:w="174" w:type="pct"/>
          </w:tcPr>
          <w:p w14:paraId="54D656D8" w14:textId="77777777" w:rsidR="004F5DF5" w:rsidRPr="00B0658A" w:rsidRDefault="00940BF0" w:rsidP="00004A41">
            <w:pPr>
              <w:spacing w:after="0" w:line="240" w:lineRule="auto"/>
              <w:jc w:val="both"/>
              <w:rPr>
                <w:rFonts w:ascii="Times New Roman"/>
                <w:color w:val="auto"/>
                <w:sz w:val="20"/>
                <w:szCs w:val="20"/>
              </w:rPr>
            </w:pPr>
            <w:r w:rsidRPr="00B0658A">
              <w:rPr>
                <w:rFonts w:ascii="Times New Roman"/>
                <w:color w:val="auto"/>
                <w:sz w:val="20"/>
                <w:szCs w:val="20"/>
                <w:lang w:val="en-US"/>
              </w:rPr>
              <w:t>4</w:t>
            </w:r>
            <w:r w:rsidR="004F5DF5" w:rsidRPr="00B0658A">
              <w:rPr>
                <w:rFonts w:ascii="Times New Roman"/>
                <w:color w:val="auto"/>
                <w:sz w:val="20"/>
                <w:szCs w:val="20"/>
                <w:lang w:val="en-US"/>
              </w:rPr>
              <w:t>.1</w:t>
            </w:r>
          </w:p>
        </w:tc>
        <w:tc>
          <w:tcPr>
            <w:tcW w:w="892" w:type="pct"/>
          </w:tcPr>
          <w:p w14:paraId="3DCE81D9" w14:textId="77777777" w:rsidR="004F5DF5" w:rsidRPr="00B0658A" w:rsidRDefault="004F5DF5" w:rsidP="00004A41">
            <w:pPr>
              <w:spacing w:after="0" w:line="240" w:lineRule="auto"/>
              <w:jc w:val="both"/>
              <w:rPr>
                <w:rFonts w:ascii="Times New Roman"/>
                <w:color w:val="auto"/>
                <w:sz w:val="20"/>
                <w:szCs w:val="20"/>
              </w:rPr>
            </w:pPr>
          </w:p>
        </w:tc>
        <w:tc>
          <w:tcPr>
            <w:tcW w:w="913" w:type="pct"/>
          </w:tcPr>
          <w:p w14:paraId="36583275" w14:textId="77777777" w:rsidR="004F5DF5" w:rsidRPr="00B0658A" w:rsidRDefault="004F5DF5" w:rsidP="00004A41">
            <w:pPr>
              <w:spacing w:after="0" w:line="240" w:lineRule="auto"/>
              <w:jc w:val="both"/>
              <w:rPr>
                <w:rFonts w:ascii="Times New Roman"/>
                <w:color w:val="auto"/>
                <w:sz w:val="20"/>
                <w:szCs w:val="20"/>
              </w:rPr>
            </w:pPr>
          </w:p>
        </w:tc>
        <w:tc>
          <w:tcPr>
            <w:tcW w:w="847" w:type="pct"/>
          </w:tcPr>
          <w:p w14:paraId="70947710" w14:textId="77777777" w:rsidR="004F5DF5" w:rsidRPr="00B0658A" w:rsidRDefault="004F5DF5" w:rsidP="00004A41">
            <w:pPr>
              <w:spacing w:after="0" w:line="240" w:lineRule="auto"/>
              <w:jc w:val="both"/>
              <w:rPr>
                <w:rFonts w:ascii="Times New Roman"/>
                <w:color w:val="auto"/>
                <w:sz w:val="20"/>
                <w:szCs w:val="20"/>
              </w:rPr>
            </w:pPr>
          </w:p>
        </w:tc>
        <w:tc>
          <w:tcPr>
            <w:tcW w:w="985" w:type="pct"/>
          </w:tcPr>
          <w:p w14:paraId="0AA8825F" w14:textId="77777777" w:rsidR="004F5DF5" w:rsidRPr="00B0658A" w:rsidRDefault="004F5DF5" w:rsidP="00004A41">
            <w:pPr>
              <w:spacing w:after="0" w:line="240" w:lineRule="auto"/>
              <w:jc w:val="both"/>
              <w:rPr>
                <w:rFonts w:ascii="Times New Roman"/>
                <w:color w:val="auto"/>
                <w:sz w:val="20"/>
                <w:szCs w:val="20"/>
              </w:rPr>
            </w:pPr>
          </w:p>
        </w:tc>
        <w:tc>
          <w:tcPr>
            <w:tcW w:w="1189" w:type="pct"/>
          </w:tcPr>
          <w:p w14:paraId="7D9E3D2A" w14:textId="77777777" w:rsidR="004F5DF5" w:rsidRPr="00B0658A" w:rsidRDefault="004F5DF5" w:rsidP="00004A41">
            <w:pPr>
              <w:spacing w:after="0" w:line="240" w:lineRule="auto"/>
              <w:jc w:val="both"/>
              <w:rPr>
                <w:rFonts w:ascii="Times New Roman"/>
                <w:color w:val="auto"/>
                <w:sz w:val="20"/>
                <w:szCs w:val="20"/>
              </w:rPr>
            </w:pPr>
          </w:p>
        </w:tc>
      </w:tr>
      <w:tr w:rsidR="00F52FED" w:rsidRPr="00B0658A" w14:paraId="70F4F117" w14:textId="77777777" w:rsidTr="004F5DF5">
        <w:trPr>
          <w:trHeight w:val="20"/>
        </w:trPr>
        <w:tc>
          <w:tcPr>
            <w:tcW w:w="174" w:type="pct"/>
          </w:tcPr>
          <w:p w14:paraId="473031AE" w14:textId="77777777" w:rsidR="004F5DF5" w:rsidRPr="00B0658A" w:rsidRDefault="00940BF0" w:rsidP="00004A41">
            <w:pPr>
              <w:spacing w:after="0" w:line="240" w:lineRule="auto"/>
              <w:jc w:val="both"/>
              <w:rPr>
                <w:rFonts w:ascii="Times New Roman"/>
                <w:color w:val="auto"/>
                <w:sz w:val="20"/>
                <w:szCs w:val="20"/>
              </w:rPr>
            </w:pPr>
            <w:r w:rsidRPr="00B0658A">
              <w:rPr>
                <w:rFonts w:ascii="Times New Roman"/>
                <w:color w:val="auto"/>
                <w:sz w:val="20"/>
                <w:szCs w:val="20"/>
                <w:lang w:val="en-US"/>
              </w:rPr>
              <w:t>4</w:t>
            </w:r>
            <w:r w:rsidR="004F5DF5" w:rsidRPr="00B0658A">
              <w:rPr>
                <w:rFonts w:ascii="Times New Roman"/>
                <w:color w:val="auto"/>
                <w:sz w:val="20"/>
                <w:szCs w:val="20"/>
                <w:lang w:val="en-US"/>
              </w:rPr>
              <w:t>.2</w:t>
            </w:r>
          </w:p>
        </w:tc>
        <w:tc>
          <w:tcPr>
            <w:tcW w:w="892" w:type="pct"/>
          </w:tcPr>
          <w:p w14:paraId="1EEEA932" w14:textId="77777777" w:rsidR="004F5DF5" w:rsidRPr="00B0658A" w:rsidRDefault="004F5DF5" w:rsidP="00004A41">
            <w:pPr>
              <w:spacing w:after="0" w:line="240" w:lineRule="auto"/>
              <w:jc w:val="both"/>
              <w:rPr>
                <w:rFonts w:ascii="Times New Roman"/>
                <w:color w:val="auto"/>
                <w:sz w:val="20"/>
                <w:szCs w:val="20"/>
              </w:rPr>
            </w:pPr>
          </w:p>
        </w:tc>
        <w:tc>
          <w:tcPr>
            <w:tcW w:w="913" w:type="pct"/>
          </w:tcPr>
          <w:p w14:paraId="44DD937E" w14:textId="77777777" w:rsidR="004F5DF5" w:rsidRPr="00B0658A" w:rsidRDefault="004F5DF5" w:rsidP="00004A41">
            <w:pPr>
              <w:spacing w:after="0" w:line="240" w:lineRule="auto"/>
              <w:jc w:val="both"/>
              <w:rPr>
                <w:rFonts w:ascii="Times New Roman"/>
                <w:color w:val="auto"/>
                <w:sz w:val="20"/>
                <w:szCs w:val="20"/>
              </w:rPr>
            </w:pPr>
          </w:p>
        </w:tc>
        <w:tc>
          <w:tcPr>
            <w:tcW w:w="847" w:type="pct"/>
          </w:tcPr>
          <w:p w14:paraId="037028B0" w14:textId="77777777" w:rsidR="004F5DF5" w:rsidRPr="00B0658A" w:rsidRDefault="004F5DF5" w:rsidP="00004A41">
            <w:pPr>
              <w:spacing w:after="0" w:line="240" w:lineRule="auto"/>
              <w:jc w:val="both"/>
              <w:rPr>
                <w:rFonts w:ascii="Times New Roman"/>
                <w:color w:val="auto"/>
                <w:sz w:val="20"/>
                <w:szCs w:val="20"/>
              </w:rPr>
            </w:pPr>
          </w:p>
        </w:tc>
        <w:tc>
          <w:tcPr>
            <w:tcW w:w="985" w:type="pct"/>
          </w:tcPr>
          <w:p w14:paraId="00D5883C" w14:textId="77777777" w:rsidR="004F5DF5" w:rsidRPr="00B0658A" w:rsidRDefault="004F5DF5" w:rsidP="00004A41">
            <w:pPr>
              <w:spacing w:after="0" w:line="240" w:lineRule="auto"/>
              <w:jc w:val="both"/>
              <w:rPr>
                <w:rFonts w:ascii="Times New Roman"/>
                <w:color w:val="auto"/>
                <w:sz w:val="20"/>
                <w:szCs w:val="20"/>
              </w:rPr>
            </w:pPr>
          </w:p>
        </w:tc>
        <w:tc>
          <w:tcPr>
            <w:tcW w:w="1189" w:type="pct"/>
          </w:tcPr>
          <w:p w14:paraId="1AD8244A" w14:textId="77777777" w:rsidR="004F5DF5" w:rsidRPr="00B0658A" w:rsidRDefault="004F5DF5" w:rsidP="00004A41">
            <w:pPr>
              <w:spacing w:after="0" w:line="240" w:lineRule="auto"/>
              <w:jc w:val="both"/>
              <w:rPr>
                <w:rFonts w:ascii="Times New Roman"/>
                <w:color w:val="auto"/>
                <w:sz w:val="20"/>
                <w:szCs w:val="20"/>
              </w:rPr>
            </w:pPr>
          </w:p>
        </w:tc>
      </w:tr>
      <w:tr w:rsidR="00F52FED" w:rsidRPr="00B0658A" w14:paraId="5DB8DE42" w14:textId="77777777" w:rsidTr="004F5DF5">
        <w:trPr>
          <w:trHeight w:val="20"/>
        </w:trPr>
        <w:tc>
          <w:tcPr>
            <w:tcW w:w="174" w:type="pct"/>
          </w:tcPr>
          <w:p w14:paraId="7FD1EC43" w14:textId="77777777" w:rsidR="004F5DF5" w:rsidRPr="00B0658A" w:rsidRDefault="004F5DF5" w:rsidP="00004A41">
            <w:pPr>
              <w:spacing w:after="0" w:line="240" w:lineRule="auto"/>
              <w:jc w:val="both"/>
              <w:rPr>
                <w:rFonts w:ascii="Times New Roman"/>
                <w:color w:val="auto"/>
                <w:sz w:val="20"/>
                <w:szCs w:val="20"/>
              </w:rPr>
            </w:pPr>
            <w:r w:rsidRPr="00B0658A">
              <w:rPr>
                <w:rFonts w:ascii="Times New Roman"/>
                <w:color w:val="auto"/>
                <w:sz w:val="20"/>
                <w:szCs w:val="20"/>
                <w:lang w:val="en-US"/>
              </w:rPr>
              <w:t>…</w:t>
            </w:r>
          </w:p>
        </w:tc>
        <w:tc>
          <w:tcPr>
            <w:tcW w:w="892" w:type="pct"/>
          </w:tcPr>
          <w:p w14:paraId="3361B3F6" w14:textId="77777777" w:rsidR="004F5DF5" w:rsidRPr="00B0658A" w:rsidRDefault="004F5DF5" w:rsidP="00004A41">
            <w:pPr>
              <w:spacing w:after="0" w:line="240" w:lineRule="auto"/>
              <w:jc w:val="both"/>
              <w:rPr>
                <w:rFonts w:ascii="Times New Roman"/>
                <w:color w:val="auto"/>
                <w:sz w:val="20"/>
                <w:szCs w:val="20"/>
              </w:rPr>
            </w:pPr>
          </w:p>
        </w:tc>
        <w:tc>
          <w:tcPr>
            <w:tcW w:w="913" w:type="pct"/>
          </w:tcPr>
          <w:p w14:paraId="4641B451" w14:textId="77777777" w:rsidR="004F5DF5" w:rsidRPr="00B0658A" w:rsidRDefault="004F5DF5" w:rsidP="00004A41">
            <w:pPr>
              <w:spacing w:after="0" w:line="240" w:lineRule="auto"/>
              <w:jc w:val="both"/>
              <w:rPr>
                <w:rFonts w:ascii="Times New Roman"/>
                <w:color w:val="auto"/>
                <w:sz w:val="20"/>
                <w:szCs w:val="20"/>
              </w:rPr>
            </w:pPr>
          </w:p>
        </w:tc>
        <w:tc>
          <w:tcPr>
            <w:tcW w:w="847" w:type="pct"/>
          </w:tcPr>
          <w:p w14:paraId="61AF59FF" w14:textId="77777777" w:rsidR="004F5DF5" w:rsidRPr="00B0658A" w:rsidRDefault="004F5DF5" w:rsidP="00004A41">
            <w:pPr>
              <w:spacing w:after="0" w:line="240" w:lineRule="auto"/>
              <w:jc w:val="both"/>
              <w:rPr>
                <w:rFonts w:ascii="Times New Roman"/>
                <w:color w:val="auto"/>
                <w:sz w:val="20"/>
                <w:szCs w:val="20"/>
              </w:rPr>
            </w:pPr>
          </w:p>
        </w:tc>
        <w:tc>
          <w:tcPr>
            <w:tcW w:w="985" w:type="pct"/>
          </w:tcPr>
          <w:p w14:paraId="1F1C6BEC" w14:textId="77777777" w:rsidR="004F5DF5" w:rsidRPr="00B0658A" w:rsidRDefault="004F5DF5" w:rsidP="00004A41">
            <w:pPr>
              <w:spacing w:after="0" w:line="240" w:lineRule="auto"/>
              <w:jc w:val="both"/>
              <w:rPr>
                <w:rFonts w:ascii="Times New Roman"/>
                <w:color w:val="auto"/>
                <w:sz w:val="20"/>
                <w:szCs w:val="20"/>
              </w:rPr>
            </w:pPr>
          </w:p>
        </w:tc>
        <w:tc>
          <w:tcPr>
            <w:tcW w:w="1189" w:type="pct"/>
          </w:tcPr>
          <w:p w14:paraId="2064FFDF" w14:textId="77777777" w:rsidR="004F5DF5" w:rsidRPr="00B0658A" w:rsidRDefault="004F5DF5" w:rsidP="00004A41">
            <w:pPr>
              <w:spacing w:after="0" w:line="240" w:lineRule="auto"/>
              <w:jc w:val="both"/>
              <w:rPr>
                <w:rFonts w:ascii="Times New Roman"/>
                <w:color w:val="auto"/>
                <w:sz w:val="20"/>
                <w:szCs w:val="20"/>
              </w:rPr>
            </w:pPr>
          </w:p>
        </w:tc>
      </w:tr>
      <w:tr w:rsidR="00F52FED" w:rsidRPr="00B0658A" w14:paraId="099F9709" w14:textId="77777777" w:rsidTr="004F5DF5">
        <w:trPr>
          <w:trHeight w:val="20"/>
        </w:trPr>
        <w:tc>
          <w:tcPr>
            <w:tcW w:w="5000" w:type="pct"/>
            <w:gridSpan w:val="6"/>
            <w:shd w:val="clear" w:color="auto" w:fill="D9E2F3" w:themeFill="accent1" w:themeFillTint="33"/>
            <w:vAlign w:val="center"/>
          </w:tcPr>
          <w:p w14:paraId="1833786C" w14:textId="77777777" w:rsidR="004F5DF5" w:rsidRPr="00B0658A" w:rsidRDefault="004F5DF5" w:rsidP="00004A41">
            <w:pPr>
              <w:spacing w:after="0" w:line="240" w:lineRule="auto"/>
              <w:jc w:val="center"/>
              <w:rPr>
                <w:rFonts w:ascii="Times New Roman"/>
                <w:color w:val="auto"/>
                <w:sz w:val="20"/>
                <w:szCs w:val="20"/>
              </w:rPr>
            </w:pPr>
            <w:r w:rsidRPr="00B0658A">
              <w:rPr>
                <w:rFonts w:ascii="Times New Roman"/>
                <w:b/>
                <w:color w:val="auto"/>
                <w:sz w:val="20"/>
                <w:szCs w:val="20"/>
              </w:rPr>
              <w:t>Иные государственные и ведомственные информационные системы, подлежащие переводу на использование российского ПО до 31.12.2030 г.</w:t>
            </w:r>
          </w:p>
        </w:tc>
      </w:tr>
      <w:tr w:rsidR="00F52FED" w:rsidRPr="00B0658A" w14:paraId="11669E72" w14:textId="77777777" w:rsidTr="004F5DF5">
        <w:trPr>
          <w:trHeight w:val="20"/>
        </w:trPr>
        <w:tc>
          <w:tcPr>
            <w:tcW w:w="5000" w:type="pct"/>
            <w:gridSpan w:val="6"/>
          </w:tcPr>
          <w:p w14:paraId="4A71F8E7" w14:textId="77777777" w:rsidR="004F5DF5" w:rsidRPr="00B0658A" w:rsidRDefault="00AE26D3" w:rsidP="00004A41">
            <w:pPr>
              <w:spacing w:after="0" w:line="240" w:lineRule="auto"/>
              <w:jc w:val="both"/>
              <w:rPr>
                <w:rFonts w:ascii="Times New Roman"/>
                <w:color w:val="auto"/>
                <w:sz w:val="20"/>
                <w:szCs w:val="20"/>
              </w:rPr>
            </w:pPr>
            <w:r w:rsidRPr="00B0658A">
              <w:rPr>
                <w:rFonts w:ascii="Times New Roman"/>
                <w:color w:val="auto"/>
                <w:sz w:val="20"/>
                <w:szCs w:val="20"/>
              </w:rPr>
              <w:t>5</w:t>
            </w:r>
            <w:r w:rsidR="004F5DF5" w:rsidRPr="00B0658A">
              <w:rPr>
                <w:rFonts w:ascii="Times New Roman"/>
                <w:color w:val="auto"/>
                <w:sz w:val="20"/>
                <w:szCs w:val="20"/>
              </w:rPr>
              <w:t xml:space="preserve">. Мероприятия по переводу ________ (наименование государственной или ведомственной информационной системы № </w:t>
            </w:r>
            <w:r w:rsidRPr="00B0658A">
              <w:rPr>
                <w:rFonts w:ascii="Times New Roman"/>
                <w:color w:val="auto"/>
                <w:sz w:val="20"/>
                <w:szCs w:val="20"/>
              </w:rPr>
              <w:t>5</w:t>
            </w:r>
            <w:r w:rsidR="004F5DF5" w:rsidRPr="00B0658A">
              <w:rPr>
                <w:rFonts w:ascii="Times New Roman"/>
                <w:color w:val="auto"/>
                <w:sz w:val="20"/>
                <w:szCs w:val="20"/>
              </w:rPr>
              <w:t>) на использование российское ПО</w:t>
            </w:r>
          </w:p>
        </w:tc>
      </w:tr>
      <w:tr w:rsidR="00F52FED" w:rsidRPr="00B0658A" w14:paraId="58B73B3F" w14:textId="77777777" w:rsidTr="004F5DF5">
        <w:trPr>
          <w:trHeight w:val="20"/>
        </w:trPr>
        <w:tc>
          <w:tcPr>
            <w:tcW w:w="174" w:type="pct"/>
          </w:tcPr>
          <w:p w14:paraId="28D93DCD" w14:textId="77777777" w:rsidR="004F5DF5" w:rsidRPr="00B0658A" w:rsidRDefault="00AE26D3" w:rsidP="00004A41">
            <w:pPr>
              <w:spacing w:after="0" w:line="240" w:lineRule="auto"/>
              <w:jc w:val="both"/>
              <w:rPr>
                <w:rFonts w:ascii="Times New Roman"/>
                <w:color w:val="auto"/>
                <w:sz w:val="20"/>
                <w:szCs w:val="20"/>
              </w:rPr>
            </w:pPr>
            <w:r w:rsidRPr="00B0658A">
              <w:rPr>
                <w:rFonts w:ascii="Times New Roman"/>
                <w:color w:val="auto"/>
                <w:sz w:val="20"/>
                <w:szCs w:val="20"/>
                <w:lang w:val="en-US"/>
              </w:rPr>
              <w:t>5</w:t>
            </w:r>
            <w:r w:rsidR="004F5DF5" w:rsidRPr="00B0658A">
              <w:rPr>
                <w:rFonts w:ascii="Times New Roman"/>
                <w:color w:val="auto"/>
                <w:sz w:val="20"/>
                <w:szCs w:val="20"/>
                <w:lang w:val="en-US"/>
              </w:rPr>
              <w:t>.1</w:t>
            </w:r>
          </w:p>
        </w:tc>
        <w:tc>
          <w:tcPr>
            <w:tcW w:w="892" w:type="pct"/>
          </w:tcPr>
          <w:p w14:paraId="3124B8C4" w14:textId="77777777" w:rsidR="004F5DF5" w:rsidRPr="00B0658A" w:rsidRDefault="004F5DF5" w:rsidP="00004A41">
            <w:pPr>
              <w:spacing w:after="0" w:line="240" w:lineRule="auto"/>
              <w:jc w:val="both"/>
              <w:rPr>
                <w:rFonts w:ascii="Times New Roman"/>
                <w:color w:val="auto"/>
                <w:sz w:val="20"/>
                <w:szCs w:val="20"/>
              </w:rPr>
            </w:pPr>
          </w:p>
        </w:tc>
        <w:tc>
          <w:tcPr>
            <w:tcW w:w="913" w:type="pct"/>
          </w:tcPr>
          <w:p w14:paraId="68D10221" w14:textId="77777777" w:rsidR="004F5DF5" w:rsidRPr="00B0658A" w:rsidRDefault="004F5DF5" w:rsidP="00004A41">
            <w:pPr>
              <w:spacing w:after="0" w:line="240" w:lineRule="auto"/>
              <w:jc w:val="both"/>
              <w:rPr>
                <w:rFonts w:ascii="Times New Roman"/>
                <w:color w:val="auto"/>
                <w:sz w:val="20"/>
                <w:szCs w:val="20"/>
              </w:rPr>
            </w:pPr>
          </w:p>
        </w:tc>
        <w:tc>
          <w:tcPr>
            <w:tcW w:w="847" w:type="pct"/>
          </w:tcPr>
          <w:p w14:paraId="354B9E68" w14:textId="77777777" w:rsidR="004F5DF5" w:rsidRPr="00B0658A" w:rsidRDefault="004F5DF5" w:rsidP="00004A41">
            <w:pPr>
              <w:spacing w:after="0" w:line="240" w:lineRule="auto"/>
              <w:jc w:val="both"/>
              <w:rPr>
                <w:rFonts w:ascii="Times New Roman"/>
                <w:color w:val="auto"/>
                <w:sz w:val="20"/>
                <w:szCs w:val="20"/>
              </w:rPr>
            </w:pPr>
          </w:p>
        </w:tc>
        <w:tc>
          <w:tcPr>
            <w:tcW w:w="985" w:type="pct"/>
          </w:tcPr>
          <w:p w14:paraId="3108BD45" w14:textId="77777777" w:rsidR="004F5DF5" w:rsidRPr="00B0658A" w:rsidRDefault="004F5DF5" w:rsidP="00004A41">
            <w:pPr>
              <w:spacing w:after="0" w:line="240" w:lineRule="auto"/>
              <w:jc w:val="both"/>
              <w:rPr>
                <w:rFonts w:ascii="Times New Roman"/>
                <w:color w:val="auto"/>
                <w:sz w:val="20"/>
                <w:szCs w:val="20"/>
              </w:rPr>
            </w:pPr>
          </w:p>
        </w:tc>
        <w:tc>
          <w:tcPr>
            <w:tcW w:w="1189" w:type="pct"/>
          </w:tcPr>
          <w:p w14:paraId="3751D077" w14:textId="77777777" w:rsidR="004F5DF5" w:rsidRPr="00B0658A" w:rsidRDefault="004F5DF5" w:rsidP="00004A41">
            <w:pPr>
              <w:spacing w:after="0" w:line="240" w:lineRule="auto"/>
              <w:jc w:val="both"/>
              <w:rPr>
                <w:rFonts w:ascii="Times New Roman"/>
                <w:color w:val="auto"/>
                <w:sz w:val="20"/>
                <w:szCs w:val="20"/>
              </w:rPr>
            </w:pPr>
          </w:p>
        </w:tc>
      </w:tr>
      <w:tr w:rsidR="00F52FED" w:rsidRPr="00B0658A" w14:paraId="244F74CE" w14:textId="77777777" w:rsidTr="004F5DF5">
        <w:trPr>
          <w:trHeight w:val="20"/>
        </w:trPr>
        <w:tc>
          <w:tcPr>
            <w:tcW w:w="174" w:type="pct"/>
          </w:tcPr>
          <w:p w14:paraId="0868CDCF" w14:textId="77777777" w:rsidR="004F5DF5" w:rsidRPr="00B0658A" w:rsidRDefault="00AE26D3" w:rsidP="00004A41">
            <w:pPr>
              <w:spacing w:after="0" w:line="240" w:lineRule="auto"/>
              <w:jc w:val="both"/>
              <w:rPr>
                <w:rFonts w:ascii="Times New Roman"/>
                <w:color w:val="auto"/>
                <w:sz w:val="20"/>
                <w:szCs w:val="20"/>
              </w:rPr>
            </w:pPr>
            <w:r w:rsidRPr="00B0658A">
              <w:rPr>
                <w:rFonts w:ascii="Times New Roman"/>
                <w:color w:val="auto"/>
                <w:sz w:val="20"/>
                <w:szCs w:val="20"/>
                <w:lang w:val="en-US"/>
              </w:rPr>
              <w:t>5</w:t>
            </w:r>
            <w:r w:rsidR="004F5DF5" w:rsidRPr="00B0658A">
              <w:rPr>
                <w:rFonts w:ascii="Times New Roman"/>
                <w:color w:val="auto"/>
                <w:sz w:val="20"/>
                <w:szCs w:val="20"/>
                <w:lang w:val="en-US"/>
              </w:rPr>
              <w:t>.2</w:t>
            </w:r>
          </w:p>
        </w:tc>
        <w:tc>
          <w:tcPr>
            <w:tcW w:w="892" w:type="pct"/>
          </w:tcPr>
          <w:p w14:paraId="37AC4395" w14:textId="77777777" w:rsidR="004F5DF5" w:rsidRPr="00B0658A" w:rsidRDefault="004F5DF5" w:rsidP="00004A41">
            <w:pPr>
              <w:spacing w:after="0" w:line="240" w:lineRule="auto"/>
              <w:jc w:val="both"/>
              <w:rPr>
                <w:rFonts w:ascii="Times New Roman"/>
                <w:color w:val="auto"/>
                <w:sz w:val="20"/>
                <w:szCs w:val="20"/>
              </w:rPr>
            </w:pPr>
          </w:p>
        </w:tc>
        <w:tc>
          <w:tcPr>
            <w:tcW w:w="913" w:type="pct"/>
          </w:tcPr>
          <w:p w14:paraId="66A98C9C" w14:textId="77777777" w:rsidR="004F5DF5" w:rsidRPr="00B0658A" w:rsidRDefault="004F5DF5" w:rsidP="00004A41">
            <w:pPr>
              <w:spacing w:after="0" w:line="240" w:lineRule="auto"/>
              <w:jc w:val="both"/>
              <w:rPr>
                <w:rFonts w:ascii="Times New Roman"/>
                <w:color w:val="auto"/>
                <w:sz w:val="20"/>
                <w:szCs w:val="20"/>
              </w:rPr>
            </w:pPr>
          </w:p>
        </w:tc>
        <w:tc>
          <w:tcPr>
            <w:tcW w:w="847" w:type="pct"/>
          </w:tcPr>
          <w:p w14:paraId="11842294" w14:textId="77777777" w:rsidR="004F5DF5" w:rsidRPr="00B0658A" w:rsidRDefault="004F5DF5" w:rsidP="00004A41">
            <w:pPr>
              <w:spacing w:after="0" w:line="240" w:lineRule="auto"/>
              <w:jc w:val="both"/>
              <w:rPr>
                <w:rFonts w:ascii="Times New Roman"/>
                <w:color w:val="auto"/>
                <w:sz w:val="20"/>
                <w:szCs w:val="20"/>
              </w:rPr>
            </w:pPr>
          </w:p>
        </w:tc>
        <w:tc>
          <w:tcPr>
            <w:tcW w:w="985" w:type="pct"/>
          </w:tcPr>
          <w:p w14:paraId="152F3C71" w14:textId="77777777" w:rsidR="004F5DF5" w:rsidRPr="00B0658A" w:rsidRDefault="004F5DF5" w:rsidP="00004A41">
            <w:pPr>
              <w:spacing w:after="0" w:line="240" w:lineRule="auto"/>
              <w:jc w:val="both"/>
              <w:rPr>
                <w:rFonts w:ascii="Times New Roman"/>
                <w:color w:val="auto"/>
                <w:sz w:val="20"/>
                <w:szCs w:val="20"/>
              </w:rPr>
            </w:pPr>
          </w:p>
        </w:tc>
        <w:tc>
          <w:tcPr>
            <w:tcW w:w="1189" w:type="pct"/>
          </w:tcPr>
          <w:p w14:paraId="502E8920" w14:textId="77777777" w:rsidR="004F5DF5" w:rsidRPr="00B0658A" w:rsidRDefault="004F5DF5" w:rsidP="00004A41">
            <w:pPr>
              <w:spacing w:after="0" w:line="240" w:lineRule="auto"/>
              <w:jc w:val="both"/>
              <w:rPr>
                <w:rFonts w:ascii="Times New Roman"/>
                <w:color w:val="auto"/>
                <w:sz w:val="20"/>
                <w:szCs w:val="20"/>
              </w:rPr>
            </w:pPr>
          </w:p>
        </w:tc>
      </w:tr>
      <w:tr w:rsidR="00F52FED" w:rsidRPr="00B0658A" w14:paraId="1741D98F" w14:textId="77777777" w:rsidTr="004F5DF5">
        <w:trPr>
          <w:trHeight w:val="20"/>
        </w:trPr>
        <w:tc>
          <w:tcPr>
            <w:tcW w:w="174" w:type="pct"/>
          </w:tcPr>
          <w:p w14:paraId="1740D70F" w14:textId="77777777" w:rsidR="004F5DF5" w:rsidRPr="00B0658A" w:rsidRDefault="004F5DF5" w:rsidP="00004A41">
            <w:pPr>
              <w:spacing w:after="0" w:line="240" w:lineRule="auto"/>
              <w:jc w:val="both"/>
              <w:rPr>
                <w:rFonts w:ascii="Times New Roman"/>
                <w:color w:val="auto"/>
                <w:sz w:val="20"/>
                <w:szCs w:val="20"/>
              </w:rPr>
            </w:pPr>
            <w:r w:rsidRPr="00B0658A">
              <w:rPr>
                <w:rFonts w:ascii="Times New Roman"/>
                <w:color w:val="auto"/>
                <w:sz w:val="20"/>
                <w:szCs w:val="20"/>
                <w:lang w:val="en-US"/>
              </w:rPr>
              <w:t>…</w:t>
            </w:r>
          </w:p>
        </w:tc>
        <w:tc>
          <w:tcPr>
            <w:tcW w:w="892" w:type="pct"/>
          </w:tcPr>
          <w:p w14:paraId="2D871438" w14:textId="77777777" w:rsidR="004F5DF5" w:rsidRPr="00B0658A" w:rsidRDefault="004F5DF5" w:rsidP="00004A41">
            <w:pPr>
              <w:spacing w:after="0" w:line="240" w:lineRule="auto"/>
              <w:jc w:val="both"/>
              <w:rPr>
                <w:rFonts w:ascii="Times New Roman"/>
                <w:color w:val="auto"/>
                <w:sz w:val="20"/>
                <w:szCs w:val="20"/>
              </w:rPr>
            </w:pPr>
          </w:p>
        </w:tc>
        <w:tc>
          <w:tcPr>
            <w:tcW w:w="913" w:type="pct"/>
          </w:tcPr>
          <w:p w14:paraId="321F83E8" w14:textId="77777777" w:rsidR="004F5DF5" w:rsidRPr="00B0658A" w:rsidRDefault="004F5DF5" w:rsidP="00004A41">
            <w:pPr>
              <w:spacing w:after="0" w:line="240" w:lineRule="auto"/>
              <w:jc w:val="both"/>
              <w:rPr>
                <w:rFonts w:ascii="Times New Roman"/>
                <w:color w:val="auto"/>
                <w:sz w:val="20"/>
                <w:szCs w:val="20"/>
              </w:rPr>
            </w:pPr>
          </w:p>
        </w:tc>
        <w:tc>
          <w:tcPr>
            <w:tcW w:w="847" w:type="pct"/>
          </w:tcPr>
          <w:p w14:paraId="7E1433C5" w14:textId="77777777" w:rsidR="004F5DF5" w:rsidRPr="00B0658A" w:rsidRDefault="004F5DF5" w:rsidP="00004A41">
            <w:pPr>
              <w:spacing w:after="0" w:line="240" w:lineRule="auto"/>
              <w:jc w:val="both"/>
              <w:rPr>
                <w:rFonts w:ascii="Times New Roman"/>
                <w:color w:val="auto"/>
                <w:sz w:val="20"/>
                <w:szCs w:val="20"/>
              </w:rPr>
            </w:pPr>
          </w:p>
        </w:tc>
        <w:tc>
          <w:tcPr>
            <w:tcW w:w="985" w:type="pct"/>
          </w:tcPr>
          <w:p w14:paraId="6812FA42" w14:textId="77777777" w:rsidR="004F5DF5" w:rsidRPr="00B0658A" w:rsidRDefault="004F5DF5" w:rsidP="00004A41">
            <w:pPr>
              <w:spacing w:after="0" w:line="240" w:lineRule="auto"/>
              <w:jc w:val="both"/>
              <w:rPr>
                <w:rFonts w:ascii="Times New Roman"/>
                <w:color w:val="auto"/>
                <w:sz w:val="20"/>
                <w:szCs w:val="20"/>
              </w:rPr>
            </w:pPr>
          </w:p>
        </w:tc>
        <w:tc>
          <w:tcPr>
            <w:tcW w:w="1189" w:type="pct"/>
          </w:tcPr>
          <w:p w14:paraId="3B17B32F" w14:textId="77777777" w:rsidR="004F5DF5" w:rsidRPr="00B0658A" w:rsidRDefault="004F5DF5" w:rsidP="00004A41">
            <w:pPr>
              <w:spacing w:after="0" w:line="240" w:lineRule="auto"/>
              <w:jc w:val="both"/>
              <w:rPr>
                <w:rFonts w:ascii="Times New Roman"/>
                <w:color w:val="auto"/>
                <w:sz w:val="20"/>
                <w:szCs w:val="20"/>
              </w:rPr>
            </w:pPr>
          </w:p>
        </w:tc>
      </w:tr>
      <w:tr w:rsidR="00F52FED" w:rsidRPr="00B0658A" w14:paraId="4FF53263" w14:textId="77777777" w:rsidTr="004F5DF5">
        <w:trPr>
          <w:trHeight w:val="20"/>
        </w:trPr>
        <w:tc>
          <w:tcPr>
            <w:tcW w:w="5000" w:type="pct"/>
            <w:gridSpan w:val="6"/>
          </w:tcPr>
          <w:p w14:paraId="5444015D" w14:textId="77777777" w:rsidR="004F5DF5" w:rsidRPr="00B0658A" w:rsidRDefault="00AE26D3" w:rsidP="00004A41">
            <w:pPr>
              <w:spacing w:after="0" w:line="240" w:lineRule="auto"/>
              <w:jc w:val="both"/>
              <w:rPr>
                <w:rFonts w:ascii="Times New Roman"/>
                <w:color w:val="auto"/>
                <w:sz w:val="20"/>
                <w:szCs w:val="20"/>
              </w:rPr>
            </w:pPr>
            <w:r w:rsidRPr="00B0658A">
              <w:rPr>
                <w:rFonts w:ascii="Times New Roman"/>
                <w:color w:val="auto"/>
                <w:sz w:val="20"/>
                <w:szCs w:val="20"/>
                <w:lang w:val="en-US"/>
              </w:rPr>
              <w:t>N</w:t>
            </w:r>
            <w:r w:rsidR="004F5DF5" w:rsidRPr="00B0658A">
              <w:rPr>
                <w:rFonts w:ascii="Times New Roman"/>
                <w:color w:val="auto"/>
                <w:sz w:val="20"/>
                <w:szCs w:val="20"/>
              </w:rPr>
              <w:t xml:space="preserve">. Мероприятия по переводу ________ (наименование государственной или ведомственной информационной системы № </w:t>
            </w:r>
            <w:r w:rsidRPr="00B0658A">
              <w:rPr>
                <w:rFonts w:ascii="Times New Roman"/>
                <w:color w:val="auto"/>
                <w:sz w:val="20"/>
                <w:szCs w:val="20"/>
                <w:lang w:val="en-US"/>
              </w:rPr>
              <w:t>N</w:t>
            </w:r>
            <w:r w:rsidR="004F5DF5" w:rsidRPr="00B0658A">
              <w:rPr>
                <w:rFonts w:ascii="Times New Roman"/>
                <w:color w:val="auto"/>
                <w:sz w:val="20"/>
                <w:szCs w:val="20"/>
              </w:rPr>
              <w:t>) на использование российское ПО</w:t>
            </w:r>
          </w:p>
        </w:tc>
      </w:tr>
      <w:tr w:rsidR="00F52FED" w:rsidRPr="00B0658A" w14:paraId="0894C576" w14:textId="77777777" w:rsidTr="004F5DF5">
        <w:trPr>
          <w:trHeight w:val="20"/>
        </w:trPr>
        <w:tc>
          <w:tcPr>
            <w:tcW w:w="174" w:type="pct"/>
          </w:tcPr>
          <w:p w14:paraId="0C9AE57F" w14:textId="77777777" w:rsidR="004F5DF5" w:rsidRPr="00B0658A" w:rsidRDefault="00AE26D3" w:rsidP="00004A41">
            <w:pPr>
              <w:spacing w:after="0" w:line="240" w:lineRule="auto"/>
              <w:jc w:val="both"/>
              <w:rPr>
                <w:rFonts w:ascii="Times New Roman"/>
                <w:color w:val="auto"/>
                <w:sz w:val="20"/>
                <w:szCs w:val="20"/>
              </w:rPr>
            </w:pPr>
            <w:r w:rsidRPr="00B0658A">
              <w:rPr>
                <w:rFonts w:ascii="Times New Roman"/>
                <w:color w:val="auto"/>
                <w:sz w:val="20"/>
                <w:szCs w:val="20"/>
                <w:lang w:val="en-US"/>
              </w:rPr>
              <w:t>N</w:t>
            </w:r>
            <w:r w:rsidR="004F5DF5" w:rsidRPr="00B0658A">
              <w:rPr>
                <w:rFonts w:ascii="Times New Roman"/>
                <w:color w:val="auto"/>
                <w:sz w:val="20"/>
                <w:szCs w:val="20"/>
                <w:lang w:val="en-US"/>
              </w:rPr>
              <w:t>.1</w:t>
            </w:r>
          </w:p>
        </w:tc>
        <w:tc>
          <w:tcPr>
            <w:tcW w:w="892" w:type="pct"/>
          </w:tcPr>
          <w:p w14:paraId="2D62F156" w14:textId="77777777" w:rsidR="004F5DF5" w:rsidRPr="00B0658A" w:rsidRDefault="004F5DF5" w:rsidP="00004A41">
            <w:pPr>
              <w:spacing w:after="0" w:line="240" w:lineRule="auto"/>
              <w:jc w:val="both"/>
              <w:rPr>
                <w:rFonts w:ascii="Times New Roman"/>
                <w:color w:val="auto"/>
                <w:sz w:val="20"/>
                <w:szCs w:val="20"/>
              </w:rPr>
            </w:pPr>
          </w:p>
        </w:tc>
        <w:tc>
          <w:tcPr>
            <w:tcW w:w="913" w:type="pct"/>
          </w:tcPr>
          <w:p w14:paraId="47D12C8F" w14:textId="77777777" w:rsidR="004F5DF5" w:rsidRPr="00B0658A" w:rsidRDefault="004F5DF5" w:rsidP="00004A41">
            <w:pPr>
              <w:spacing w:after="0" w:line="240" w:lineRule="auto"/>
              <w:jc w:val="both"/>
              <w:rPr>
                <w:rFonts w:ascii="Times New Roman"/>
                <w:color w:val="auto"/>
                <w:sz w:val="20"/>
                <w:szCs w:val="20"/>
              </w:rPr>
            </w:pPr>
          </w:p>
        </w:tc>
        <w:tc>
          <w:tcPr>
            <w:tcW w:w="847" w:type="pct"/>
          </w:tcPr>
          <w:p w14:paraId="3EA74C41" w14:textId="77777777" w:rsidR="004F5DF5" w:rsidRPr="00B0658A" w:rsidRDefault="004F5DF5" w:rsidP="00004A41">
            <w:pPr>
              <w:spacing w:after="0" w:line="240" w:lineRule="auto"/>
              <w:jc w:val="both"/>
              <w:rPr>
                <w:rFonts w:ascii="Times New Roman"/>
                <w:color w:val="auto"/>
                <w:sz w:val="20"/>
                <w:szCs w:val="20"/>
              </w:rPr>
            </w:pPr>
          </w:p>
        </w:tc>
        <w:tc>
          <w:tcPr>
            <w:tcW w:w="985" w:type="pct"/>
          </w:tcPr>
          <w:p w14:paraId="33253F71" w14:textId="77777777" w:rsidR="004F5DF5" w:rsidRPr="00B0658A" w:rsidRDefault="004F5DF5" w:rsidP="00004A41">
            <w:pPr>
              <w:spacing w:after="0" w:line="240" w:lineRule="auto"/>
              <w:jc w:val="both"/>
              <w:rPr>
                <w:rFonts w:ascii="Times New Roman"/>
                <w:color w:val="auto"/>
                <w:sz w:val="20"/>
                <w:szCs w:val="20"/>
              </w:rPr>
            </w:pPr>
          </w:p>
        </w:tc>
        <w:tc>
          <w:tcPr>
            <w:tcW w:w="1189" w:type="pct"/>
          </w:tcPr>
          <w:p w14:paraId="36FFA61F" w14:textId="77777777" w:rsidR="004F5DF5" w:rsidRPr="00B0658A" w:rsidRDefault="004F5DF5" w:rsidP="00004A41">
            <w:pPr>
              <w:spacing w:after="0" w:line="240" w:lineRule="auto"/>
              <w:jc w:val="both"/>
              <w:rPr>
                <w:rFonts w:ascii="Times New Roman"/>
                <w:color w:val="auto"/>
                <w:sz w:val="20"/>
                <w:szCs w:val="20"/>
              </w:rPr>
            </w:pPr>
          </w:p>
        </w:tc>
      </w:tr>
      <w:tr w:rsidR="00F52FED" w:rsidRPr="00B0658A" w14:paraId="48312062" w14:textId="77777777" w:rsidTr="004F5DF5">
        <w:trPr>
          <w:trHeight w:val="20"/>
        </w:trPr>
        <w:tc>
          <w:tcPr>
            <w:tcW w:w="174" w:type="pct"/>
          </w:tcPr>
          <w:p w14:paraId="4E67FD4F" w14:textId="77777777" w:rsidR="004F5DF5" w:rsidRPr="00B0658A" w:rsidRDefault="00AE26D3" w:rsidP="00004A41">
            <w:pPr>
              <w:spacing w:after="0" w:line="240" w:lineRule="auto"/>
              <w:jc w:val="both"/>
              <w:rPr>
                <w:rFonts w:ascii="Times New Roman"/>
                <w:color w:val="auto"/>
                <w:sz w:val="20"/>
                <w:szCs w:val="20"/>
              </w:rPr>
            </w:pPr>
            <w:r w:rsidRPr="00B0658A">
              <w:rPr>
                <w:rFonts w:ascii="Times New Roman"/>
                <w:color w:val="auto"/>
                <w:sz w:val="20"/>
                <w:szCs w:val="20"/>
                <w:lang w:val="en-US"/>
              </w:rPr>
              <w:t>N</w:t>
            </w:r>
            <w:r w:rsidR="004F5DF5" w:rsidRPr="00B0658A">
              <w:rPr>
                <w:rFonts w:ascii="Times New Roman"/>
                <w:color w:val="auto"/>
                <w:sz w:val="20"/>
                <w:szCs w:val="20"/>
                <w:lang w:val="en-US"/>
              </w:rPr>
              <w:t>.2</w:t>
            </w:r>
          </w:p>
        </w:tc>
        <w:tc>
          <w:tcPr>
            <w:tcW w:w="892" w:type="pct"/>
          </w:tcPr>
          <w:p w14:paraId="066D9772" w14:textId="77777777" w:rsidR="004F5DF5" w:rsidRPr="00B0658A" w:rsidRDefault="004F5DF5" w:rsidP="00004A41">
            <w:pPr>
              <w:spacing w:after="0" w:line="240" w:lineRule="auto"/>
              <w:jc w:val="both"/>
              <w:rPr>
                <w:rFonts w:ascii="Times New Roman"/>
                <w:color w:val="auto"/>
                <w:sz w:val="20"/>
                <w:szCs w:val="20"/>
              </w:rPr>
            </w:pPr>
          </w:p>
        </w:tc>
        <w:tc>
          <w:tcPr>
            <w:tcW w:w="913" w:type="pct"/>
          </w:tcPr>
          <w:p w14:paraId="3557986D" w14:textId="77777777" w:rsidR="004F5DF5" w:rsidRPr="00B0658A" w:rsidRDefault="004F5DF5" w:rsidP="00004A41">
            <w:pPr>
              <w:spacing w:after="0" w:line="240" w:lineRule="auto"/>
              <w:jc w:val="both"/>
              <w:rPr>
                <w:rFonts w:ascii="Times New Roman"/>
                <w:color w:val="auto"/>
                <w:sz w:val="20"/>
                <w:szCs w:val="20"/>
              </w:rPr>
            </w:pPr>
          </w:p>
        </w:tc>
        <w:tc>
          <w:tcPr>
            <w:tcW w:w="847" w:type="pct"/>
          </w:tcPr>
          <w:p w14:paraId="7C7F6749" w14:textId="77777777" w:rsidR="004F5DF5" w:rsidRPr="00B0658A" w:rsidRDefault="004F5DF5" w:rsidP="00004A41">
            <w:pPr>
              <w:spacing w:after="0" w:line="240" w:lineRule="auto"/>
              <w:jc w:val="both"/>
              <w:rPr>
                <w:rFonts w:ascii="Times New Roman"/>
                <w:color w:val="auto"/>
                <w:sz w:val="20"/>
                <w:szCs w:val="20"/>
              </w:rPr>
            </w:pPr>
          </w:p>
        </w:tc>
        <w:tc>
          <w:tcPr>
            <w:tcW w:w="985" w:type="pct"/>
          </w:tcPr>
          <w:p w14:paraId="3EAA459E" w14:textId="77777777" w:rsidR="004F5DF5" w:rsidRPr="00B0658A" w:rsidRDefault="004F5DF5" w:rsidP="00004A41">
            <w:pPr>
              <w:spacing w:after="0" w:line="240" w:lineRule="auto"/>
              <w:jc w:val="both"/>
              <w:rPr>
                <w:rFonts w:ascii="Times New Roman"/>
                <w:color w:val="auto"/>
                <w:sz w:val="20"/>
                <w:szCs w:val="20"/>
              </w:rPr>
            </w:pPr>
          </w:p>
        </w:tc>
        <w:tc>
          <w:tcPr>
            <w:tcW w:w="1189" w:type="pct"/>
          </w:tcPr>
          <w:p w14:paraId="253DA008" w14:textId="77777777" w:rsidR="004F5DF5" w:rsidRPr="00B0658A" w:rsidRDefault="004F5DF5" w:rsidP="00004A41">
            <w:pPr>
              <w:spacing w:after="0" w:line="240" w:lineRule="auto"/>
              <w:jc w:val="both"/>
              <w:rPr>
                <w:rFonts w:ascii="Times New Roman"/>
                <w:color w:val="auto"/>
                <w:sz w:val="20"/>
                <w:szCs w:val="20"/>
              </w:rPr>
            </w:pPr>
          </w:p>
        </w:tc>
      </w:tr>
      <w:tr w:rsidR="004F5DF5" w:rsidRPr="00B0658A" w14:paraId="083035A3" w14:textId="77777777" w:rsidTr="004F5DF5">
        <w:trPr>
          <w:trHeight w:val="20"/>
        </w:trPr>
        <w:tc>
          <w:tcPr>
            <w:tcW w:w="174" w:type="pct"/>
          </w:tcPr>
          <w:p w14:paraId="1FB42266" w14:textId="77777777" w:rsidR="004F5DF5" w:rsidRPr="00B0658A" w:rsidRDefault="004F5DF5" w:rsidP="00004A41">
            <w:pPr>
              <w:spacing w:after="0" w:line="240" w:lineRule="auto"/>
              <w:jc w:val="both"/>
              <w:rPr>
                <w:rFonts w:ascii="Times New Roman"/>
                <w:color w:val="auto"/>
                <w:sz w:val="20"/>
                <w:szCs w:val="20"/>
              </w:rPr>
            </w:pPr>
            <w:r w:rsidRPr="00B0658A">
              <w:rPr>
                <w:rFonts w:ascii="Times New Roman"/>
                <w:color w:val="auto"/>
                <w:sz w:val="20"/>
                <w:szCs w:val="20"/>
                <w:lang w:val="en-US"/>
              </w:rPr>
              <w:t>…</w:t>
            </w:r>
          </w:p>
        </w:tc>
        <w:tc>
          <w:tcPr>
            <w:tcW w:w="892" w:type="pct"/>
          </w:tcPr>
          <w:p w14:paraId="5C9871E1" w14:textId="77777777" w:rsidR="004F5DF5" w:rsidRPr="00B0658A" w:rsidRDefault="004F5DF5" w:rsidP="00004A41">
            <w:pPr>
              <w:spacing w:after="0" w:line="240" w:lineRule="auto"/>
              <w:jc w:val="both"/>
              <w:rPr>
                <w:rFonts w:ascii="Times New Roman"/>
                <w:color w:val="auto"/>
                <w:sz w:val="20"/>
                <w:szCs w:val="20"/>
              </w:rPr>
            </w:pPr>
          </w:p>
        </w:tc>
        <w:tc>
          <w:tcPr>
            <w:tcW w:w="913" w:type="pct"/>
          </w:tcPr>
          <w:p w14:paraId="5F55A1DF" w14:textId="77777777" w:rsidR="004F5DF5" w:rsidRPr="00B0658A" w:rsidRDefault="004F5DF5" w:rsidP="00004A41">
            <w:pPr>
              <w:spacing w:after="0" w:line="240" w:lineRule="auto"/>
              <w:jc w:val="both"/>
              <w:rPr>
                <w:rFonts w:ascii="Times New Roman"/>
                <w:color w:val="auto"/>
                <w:sz w:val="20"/>
                <w:szCs w:val="20"/>
              </w:rPr>
            </w:pPr>
          </w:p>
        </w:tc>
        <w:tc>
          <w:tcPr>
            <w:tcW w:w="847" w:type="pct"/>
          </w:tcPr>
          <w:p w14:paraId="732FDFBF" w14:textId="77777777" w:rsidR="004F5DF5" w:rsidRPr="00B0658A" w:rsidRDefault="004F5DF5" w:rsidP="00004A41">
            <w:pPr>
              <w:spacing w:after="0" w:line="240" w:lineRule="auto"/>
              <w:jc w:val="both"/>
              <w:rPr>
                <w:rFonts w:ascii="Times New Roman"/>
                <w:color w:val="auto"/>
                <w:sz w:val="20"/>
                <w:szCs w:val="20"/>
              </w:rPr>
            </w:pPr>
          </w:p>
        </w:tc>
        <w:tc>
          <w:tcPr>
            <w:tcW w:w="985" w:type="pct"/>
          </w:tcPr>
          <w:p w14:paraId="0EA78645" w14:textId="77777777" w:rsidR="004F5DF5" w:rsidRPr="00B0658A" w:rsidRDefault="004F5DF5" w:rsidP="00004A41">
            <w:pPr>
              <w:spacing w:after="0" w:line="240" w:lineRule="auto"/>
              <w:jc w:val="both"/>
              <w:rPr>
                <w:rFonts w:ascii="Times New Roman"/>
                <w:color w:val="auto"/>
                <w:sz w:val="20"/>
                <w:szCs w:val="20"/>
              </w:rPr>
            </w:pPr>
          </w:p>
        </w:tc>
        <w:tc>
          <w:tcPr>
            <w:tcW w:w="1189" w:type="pct"/>
          </w:tcPr>
          <w:p w14:paraId="4BD6BD7D" w14:textId="77777777" w:rsidR="004F5DF5" w:rsidRPr="00B0658A" w:rsidRDefault="004F5DF5" w:rsidP="00004A41">
            <w:pPr>
              <w:spacing w:after="0" w:line="240" w:lineRule="auto"/>
              <w:jc w:val="both"/>
              <w:rPr>
                <w:rFonts w:ascii="Times New Roman"/>
                <w:color w:val="auto"/>
                <w:sz w:val="20"/>
                <w:szCs w:val="20"/>
              </w:rPr>
            </w:pPr>
          </w:p>
        </w:tc>
      </w:tr>
    </w:tbl>
    <w:p w14:paraId="3C865DCB" w14:textId="77777777" w:rsidR="00A97B77" w:rsidRDefault="00A97B77" w:rsidP="00AF35BB">
      <w:pPr>
        <w:rPr>
          <w:rFonts w:ascii="Times New Roman" w:hAnsi="Times New Roman"/>
        </w:rPr>
      </w:pPr>
      <w:bookmarkStart w:id="25" w:name="_Toc116390900"/>
    </w:p>
    <w:p w14:paraId="09C91BB4" w14:textId="77777777" w:rsidR="00A97B77" w:rsidRDefault="00A97B77">
      <w:pPr>
        <w:spacing w:after="0" w:line="240" w:lineRule="auto"/>
        <w:rPr>
          <w:rFonts w:ascii="Times New Roman" w:hAnsi="Times New Roman"/>
        </w:rPr>
      </w:pPr>
      <w:r>
        <w:rPr>
          <w:rFonts w:ascii="Times New Roman" w:hAnsi="Times New Roman"/>
        </w:rPr>
        <w:br w:type="page"/>
      </w:r>
    </w:p>
    <w:p w14:paraId="03386B89" w14:textId="77777777" w:rsidR="008319FB" w:rsidRPr="00B0658A" w:rsidRDefault="008319FB" w:rsidP="00FB2975">
      <w:pPr>
        <w:rPr>
          <w:rFonts w:ascii="Times New Roman" w:hAnsi="Times New Roman"/>
          <w:b/>
          <w:sz w:val="28"/>
          <w:szCs w:val="28"/>
        </w:rPr>
      </w:pPr>
      <w:r w:rsidRPr="00B0658A">
        <w:rPr>
          <w:rFonts w:ascii="Times New Roman" w:hAnsi="Times New Roman"/>
          <w:b/>
          <w:sz w:val="28"/>
          <w:szCs w:val="28"/>
        </w:rPr>
        <w:lastRenderedPageBreak/>
        <w:t>Форма отчетности за годовой период</w:t>
      </w:r>
      <w:bookmarkEnd w:id="25"/>
    </w:p>
    <w:p w14:paraId="26822184" w14:textId="77777777" w:rsidR="008319FB" w:rsidRPr="00B0658A" w:rsidRDefault="008319FB" w:rsidP="008319FB">
      <w:pPr>
        <w:spacing w:before="120" w:after="0" w:line="240" w:lineRule="auto"/>
        <w:rPr>
          <w:rFonts w:ascii="Times New Roman" w:hAnsi="Times New Roman"/>
          <w:sz w:val="28"/>
          <w:szCs w:val="24"/>
        </w:rPr>
      </w:pPr>
    </w:p>
    <w:p w14:paraId="694C8804" w14:textId="77777777" w:rsidR="008319FB" w:rsidRPr="00B0658A" w:rsidRDefault="008319FB" w:rsidP="008319FB">
      <w:pPr>
        <w:pStyle w:val="ConsPlusNormal"/>
        <w:spacing w:before="120"/>
        <w:jc w:val="center"/>
        <w:rPr>
          <w:sz w:val="32"/>
        </w:rPr>
      </w:pPr>
      <w:r w:rsidRPr="00B0658A">
        <w:rPr>
          <w:sz w:val="32"/>
        </w:rPr>
        <w:t xml:space="preserve">Сведения о реализации плана перехода ______________ (полное наименование </w:t>
      </w:r>
      <w:r w:rsidRPr="00B0658A">
        <w:rPr>
          <w:sz w:val="32"/>
          <w:szCs w:val="28"/>
        </w:rPr>
        <w:t xml:space="preserve">органа государственной власти или государственного внебюджетного фонда) на использование российского </w:t>
      </w:r>
      <w:r w:rsidR="00386593" w:rsidRPr="00B0658A">
        <w:rPr>
          <w:sz w:val="32"/>
        </w:rPr>
        <w:t>ПО</w:t>
      </w:r>
      <w:r w:rsidRPr="00B0658A">
        <w:rPr>
          <w:sz w:val="32"/>
          <w:szCs w:val="28"/>
        </w:rPr>
        <w:t xml:space="preserve"> </w:t>
      </w:r>
      <w:r w:rsidRPr="00B0658A">
        <w:rPr>
          <w:sz w:val="32"/>
        </w:rPr>
        <w:t xml:space="preserve">на период 2022-2030 годы </w:t>
      </w:r>
      <w:r w:rsidRPr="00B0658A">
        <w:rPr>
          <w:sz w:val="32"/>
          <w:szCs w:val="28"/>
        </w:rPr>
        <w:t>за _______ год.</w:t>
      </w:r>
    </w:p>
    <w:p w14:paraId="380AE1BD" w14:textId="77777777" w:rsidR="008319FB" w:rsidRPr="00B0658A" w:rsidRDefault="008319FB" w:rsidP="008319FB">
      <w:pPr>
        <w:spacing w:line="240" w:lineRule="auto"/>
        <w:ind w:firstLine="709"/>
        <w:jc w:val="both"/>
        <w:rPr>
          <w:rFonts w:ascii="Times New Roman" w:hAnsi="Times New Roman"/>
          <w:sz w:val="28"/>
          <w:szCs w:val="28"/>
        </w:rPr>
      </w:pPr>
    </w:p>
    <w:p w14:paraId="1482D2CD" w14:textId="77777777" w:rsidR="008319FB" w:rsidRPr="00B0658A" w:rsidRDefault="008319FB" w:rsidP="00AA0FDE">
      <w:pPr>
        <w:pStyle w:val="afd"/>
        <w:numPr>
          <w:ilvl w:val="0"/>
          <w:numId w:val="6"/>
        </w:numPr>
        <w:spacing w:line="240" w:lineRule="auto"/>
        <w:ind w:left="0" w:firstLine="709"/>
        <w:jc w:val="both"/>
        <w:rPr>
          <w:rFonts w:ascii="Times New Roman" w:hAnsi="Times New Roman"/>
          <w:sz w:val="28"/>
          <w:szCs w:val="28"/>
        </w:rPr>
      </w:pPr>
      <w:r w:rsidRPr="00B0658A">
        <w:rPr>
          <w:rFonts w:ascii="Times New Roman" w:hAnsi="Times New Roman"/>
          <w:sz w:val="28"/>
          <w:szCs w:val="28"/>
        </w:rPr>
        <w:t>Сведения о реализации организационно</w:t>
      </w:r>
      <w:r w:rsidRPr="00B0658A">
        <w:rPr>
          <w:rFonts w:ascii="Times New Roman" w:hAnsi="Times New Roman"/>
          <w:sz w:val="28"/>
        </w:rPr>
        <w:t xml:space="preserve">-технических мероприятий по переходу на использование российского </w:t>
      </w:r>
      <w:r w:rsidR="00F728F5" w:rsidRPr="00B0658A">
        <w:rPr>
          <w:rFonts w:ascii="Times New Roman" w:hAnsi="Times New Roman"/>
          <w:sz w:val="28"/>
        </w:rPr>
        <w:t>ПО</w:t>
      </w:r>
    </w:p>
    <w:tbl>
      <w:tblPr>
        <w:tblStyle w:val="32"/>
        <w:tblW w:w="5000" w:type="pct"/>
        <w:tblLook w:val="04A0" w:firstRow="1" w:lastRow="0" w:firstColumn="1" w:lastColumn="0" w:noHBand="0" w:noVBand="1"/>
      </w:tblPr>
      <w:tblGrid>
        <w:gridCol w:w="424"/>
        <w:gridCol w:w="2872"/>
        <w:gridCol w:w="2482"/>
        <w:gridCol w:w="2507"/>
        <w:gridCol w:w="2449"/>
        <w:gridCol w:w="3210"/>
      </w:tblGrid>
      <w:tr w:rsidR="00F52FED" w:rsidRPr="00B0658A" w14:paraId="646FD7F1" w14:textId="77777777" w:rsidTr="00F728F5">
        <w:tc>
          <w:tcPr>
            <w:tcW w:w="152" w:type="pct"/>
          </w:tcPr>
          <w:p w14:paraId="79DDAC5B" w14:textId="77777777" w:rsidR="008319FB" w:rsidRPr="00B0658A" w:rsidRDefault="008319FB" w:rsidP="00004A41">
            <w:pPr>
              <w:spacing w:after="0" w:line="240" w:lineRule="auto"/>
              <w:jc w:val="center"/>
              <w:rPr>
                <w:rFonts w:ascii="Times New Roman"/>
                <w:b/>
                <w:bCs/>
                <w:color w:val="auto"/>
                <w:sz w:val="20"/>
              </w:rPr>
            </w:pPr>
            <w:r w:rsidRPr="00B0658A">
              <w:rPr>
                <w:rFonts w:ascii="Times New Roman"/>
                <w:b/>
                <w:bCs/>
                <w:color w:val="auto"/>
                <w:sz w:val="20"/>
              </w:rPr>
              <w:t>№</w:t>
            </w:r>
          </w:p>
        </w:tc>
        <w:tc>
          <w:tcPr>
            <w:tcW w:w="1030" w:type="pct"/>
          </w:tcPr>
          <w:p w14:paraId="482A0D81" w14:textId="77777777" w:rsidR="008319FB" w:rsidRPr="00B0658A" w:rsidRDefault="008319FB" w:rsidP="00004A41">
            <w:pPr>
              <w:spacing w:after="0" w:line="240" w:lineRule="auto"/>
              <w:jc w:val="center"/>
              <w:rPr>
                <w:rFonts w:ascii="Times New Roman"/>
                <w:b/>
                <w:bCs/>
                <w:color w:val="auto"/>
                <w:sz w:val="20"/>
              </w:rPr>
            </w:pPr>
            <w:r w:rsidRPr="00B0658A">
              <w:rPr>
                <w:rFonts w:ascii="Times New Roman"/>
                <w:b/>
                <w:bCs/>
                <w:color w:val="auto"/>
                <w:sz w:val="20"/>
              </w:rPr>
              <w:t xml:space="preserve">Наименование мероприятий в соответствии с утвержденным планом </w:t>
            </w:r>
          </w:p>
        </w:tc>
        <w:tc>
          <w:tcPr>
            <w:tcW w:w="890" w:type="pct"/>
          </w:tcPr>
          <w:p w14:paraId="1054DDD1" w14:textId="77777777" w:rsidR="008319FB" w:rsidRPr="00B0658A" w:rsidRDefault="008319FB" w:rsidP="00004A41">
            <w:pPr>
              <w:spacing w:after="0" w:line="240" w:lineRule="auto"/>
              <w:jc w:val="center"/>
              <w:rPr>
                <w:rFonts w:ascii="Times New Roman"/>
                <w:b/>
                <w:bCs/>
                <w:color w:val="auto"/>
                <w:sz w:val="20"/>
              </w:rPr>
            </w:pPr>
            <w:r w:rsidRPr="00B0658A">
              <w:rPr>
                <w:rFonts w:ascii="Times New Roman"/>
                <w:b/>
                <w:bCs/>
                <w:color w:val="auto"/>
                <w:sz w:val="20"/>
              </w:rPr>
              <w:t xml:space="preserve">Планируемый результат в соответствии с утвержденным планом </w:t>
            </w:r>
          </w:p>
        </w:tc>
        <w:tc>
          <w:tcPr>
            <w:tcW w:w="899" w:type="pct"/>
          </w:tcPr>
          <w:p w14:paraId="22CE4723" w14:textId="77777777" w:rsidR="008319FB" w:rsidRPr="00B0658A" w:rsidRDefault="008319FB" w:rsidP="00004A41">
            <w:pPr>
              <w:spacing w:after="0" w:line="240" w:lineRule="auto"/>
              <w:jc w:val="center"/>
              <w:rPr>
                <w:rFonts w:ascii="Times New Roman"/>
                <w:b/>
                <w:bCs/>
                <w:color w:val="auto"/>
                <w:sz w:val="20"/>
              </w:rPr>
            </w:pPr>
            <w:r w:rsidRPr="00B0658A">
              <w:rPr>
                <w:rFonts w:ascii="Times New Roman"/>
                <w:b/>
                <w:bCs/>
                <w:color w:val="auto"/>
                <w:sz w:val="20"/>
              </w:rPr>
              <w:t>Сроки реализации запланированного мероприятия в соответствии с планом</w:t>
            </w:r>
          </w:p>
        </w:tc>
        <w:tc>
          <w:tcPr>
            <w:tcW w:w="878" w:type="pct"/>
          </w:tcPr>
          <w:p w14:paraId="5E8BC3A2" w14:textId="77777777" w:rsidR="008319FB" w:rsidRPr="00B0658A" w:rsidRDefault="008319FB" w:rsidP="00004A41">
            <w:pPr>
              <w:spacing w:after="0" w:line="240" w:lineRule="auto"/>
              <w:jc w:val="center"/>
              <w:rPr>
                <w:rFonts w:ascii="Times New Roman"/>
                <w:b/>
                <w:bCs/>
                <w:color w:val="auto"/>
                <w:sz w:val="20"/>
              </w:rPr>
            </w:pPr>
            <w:r w:rsidRPr="00B0658A">
              <w:rPr>
                <w:rFonts w:ascii="Times New Roman"/>
                <w:b/>
                <w:bCs/>
                <w:color w:val="auto"/>
                <w:sz w:val="20"/>
              </w:rPr>
              <w:t>Статус выполнения мероприятия</w:t>
            </w:r>
          </w:p>
        </w:tc>
        <w:tc>
          <w:tcPr>
            <w:tcW w:w="1151" w:type="pct"/>
          </w:tcPr>
          <w:p w14:paraId="32DD075A" w14:textId="77777777" w:rsidR="008319FB" w:rsidRPr="00B0658A" w:rsidRDefault="008319FB" w:rsidP="00004A41">
            <w:pPr>
              <w:spacing w:after="0" w:line="240" w:lineRule="auto"/>
              <w:jc w:val="center"/>
              <w:rPr>
                <w:rFonts w:ascii="Times New Roman"/>
                <w:b/>
                <w:bCs/>
                <w:color w:val="auto"/>
                <w:sz w:val="20"/>
              </w:rPr>
            </w:pPr>
            <w:r w:rsidRPr="00B0658A">
              <w:rPr>
                <w:rFonts w:ascii="Times New Roman"/>
                <w:b/>
                <w:bCs/>
                <w:color w:val="auto"/>
                <w:sz w:val="20"/>
              </w:rPr>
              <w:t>Описание достигнутого фактического результата</w:t>
            </w:r>
          </w:p>
        </w:tc>
      </w:tr>
      <w:tr w:rsidR="00F52FED" w:rsidRPr="00B0658A" w14:paraId="0047563F" w14:textId="77777777" w:rsidTr="00F728F5">
        <w:tc>
          <w:tcPr>
            <w:tcW w:w="152" w:type="pct"/>
          </w:tcPr>
          <w:p w14:paraId="31BC26FF" w14:textId="77777777" w:rsidR="008319FB" w:rsidRPr="00B0658A" w:rsidRDefault="008319FB" w:rsidP="00004A41">
            <w:pPr>
              <w:spacing w:after="0" w:line="240" w:lineRule="auto"/>
              <w:jc w:val="both"/>
              <w:rPr>
                <w:rFonts w:ascii="Times New Roman"/>
                <w:color w:val="auto"/>
                <w:sz w:val="20"/>
              </w:rPr>
            </w:pPr>
            <w:r w:rsidRPr="00B0658A">
              <w:rPr>
                <w:rFonts w:ascii="Times New Roman"/>
                <w:color w:val="auto"/>
                <w:sz w:val="20"/>
              </w:rPr>
              <w:t>1.</w:t>
            </w:r>
          </w:p>
        </w:tc>
        <w:tc>
          <w:tcPr>
            <w:tcW w:w="1030" w:type="pct"/>
          </w:tcPr>
          <w:p w14:paraId="1A30D470" w14:textId="77777777" w:rsidR="008319FB" w:rsidRPr="00B0658A" w:rsidRDefault="008319FB" w:rsidP="00004A41">
            <w:pPr>
              <w:spacing w:after="0" w:line="240" w:lineRule="auto"/>
              <w:jc w:val="both"/>
              <w:rPr>
                <w:rFonts w:ascii="Times New Roman"/>
                <w:i/>
                <w:iCs/>
                <w:color w:val="auto"/>
                <w:sz w:val="20"/>
              </w:rPr>
            </w:pPr>
            <w:r w:rsidRPr="00B0658A">
              <w:rPr>
                <w:rFonts w:ascii="Times New Roman"/>
                <w:i/>
                <w:iCs/>
                <w:color w:val="auto"/>
                <w:sz w:val="20"/>
              </w:rPr>
              <w:t xml:space="preserve">Указывается наименование мероприятия в соответствии с утвержденным </w:t>
            </w:r>
            <w:r w:rsidRPr="00B0658A">
              <w:rPr>
                <w:rFonts w:ascii="Times New Roman"/>
                <w:i/>
                <w:iCs/>
                <w:color w:val="auto"/>
                <w:sz w:val="20"/>
                <w:szCs w:val="20"/>
              </w:rPr>
              <w:t>план</w:t>
            </w:r>
            <w:r w:rsidR="00861739" w:rsidRPr="00B0658A">
              <w:rPr>
                <w:rFonts w:ascii="Times New Roman"/>
                <w:i/>
                <w:iCs/>
                <w:color w:val="auto"/>
                <w:sz w:val="20"/>
                <w:szCs w:val="20"/>
              </w:rPr>
              <w:t>ом</w:t>
            </w:r>
            <w:r w:rsidRPr="00B0658A">
              <w:rPr>
                <w:rFonts w:ascii="Times New Roman"/>
                <w:i/>
                <w:iCs/>
                <w:color w:val="auto"/>
                <w:sz w:val="20"/>
                <w:szCs w:val="20"/>
              </w:rPr>
              <w:t xml:space="preserve"> перехода органа государственной власти или государственного внебюджетного фонда на использование российского ПО</w:t>
            </w:r>
          </w:p>
          <w:p w14:paraId="5E529152" w14:textId="77777777" w:rsidR="008319FB" w:rsidRPr="00B0658A" w:rsidRDefault="008319FB" w:rsidP="00004A41">
            <w:pPr>
              <w:pStyle w:val="ConsPlusNormal"/>
              <w:jc w:val="both"/>
              <w:rPr>
                <w:color w:val="auto"/>
                <w:sz w:val="28"/>
              </w:rPr>
            </w:pPr>
          </w:p>
          <w:p w14:paraId="209DDF51" w14:textId="77777777" w:rsidR="008319FB" w:rsidRPr="00B0658A" w:rsidRDefault="008319FB" w:rsidP="00004A41">
            <w:pPr>
              <w:spacing w:after="0" w:line="240" w:lineRule="auto"/>
              <w:jc w:val="both"/>
              <w:rPr>
                <w:rFonts w:ascii="Times New Roman"/>
                <w:i/>
                <w:iCs/>
                <w:color w:val="auto"/>
                <w:sz w:val="20"/>
              </w:rPr>
            </w:pPr>
          </w:p>
        </w:tc>
        <w:tc>
          <w:tcPr>
            <w:tcW w:w="890" w:type="pct"/>
          </w:tcPr>
          <w:p w14:paraId="638CE8CF" w14:textId="77777777" w:rsidR="008319FB" w:rsidRPr="00B0658A" w:rsidRDefault="008319FB" w:rsidP="00004A41">
            <w:pPr>
              <w:spacing w:after="0" w:line="240" w:lineRule="auto"/>
              <w:jc w:val="both"/>
              <w:rPr>
                <w:rFonts w:ascii="Times New Roman"/>
                <w:color w:val="auto"/>
                <w:sz w:val="20"/>
              </w:rPr>
            </w:pPr>
            <w:r w:rsidRPr="00B0658A">
              <w:rPr>
                <w:rFonts w:ascii="Times New Roman"/>
                <w:i/>
                <w:iCs/>
                <w:color w:val="auto"/>
                <w:sz w:val="20"/>
              </w:rPr>
              <w:t xml:space="preserve">Указывается запланированный результат в соответствии с утвержденным </w:t>
            </w:r>
            <w:r w:rsidRPr="00B0658A">
              <w:rPr>
                <w:rFonts w:ascii="Times New Roman"/>
                <w:i/>
                <w:iCs/>
                <w:color w:val="auto"/>
                <w:sz w:val="20"/>
                <w:szCs w:val="20"/>
              </w:rPr>
              <w:t>план</w:t>
            </w:r>
            <w:r w:rsidR="00861739" w:rsidRPr="00B0658A">
              <w:rPr>
                <w:rFonts w:ascii="Times New Roman"/>
                <w:i/>
                <w:iCs/>
                <w:color w:val="auto"/>
                <w:sz w:val="20"/>
                <w:szCs w:val="20"/>
              </w:rPr>
              <w:t>ом</w:t>
            </w:r>
            <w:r w:rsidRPr="00B0658A">
              <w:rPr>
                <w:rFonts w:ascii="Times New Roman"/>
                <w:i/>
                <w:iCs/>
                <w:color w:val="auto"/>
                <w:sz w:val="20"/>
                <w:szCs w:val="20"/>
              </w:rPr>
              <w:t xml:space="preserve"> перехода органа государственной власти или государственного внебюджетного фонда на использование российского ПО</w:t>
            </w:r>
          </w:p>
        </w:tc>
        <w:tc>
          <w:tcPr>
            <w:tcW w:w="899" w:type="pct"/>
          </w:tcPr>
          <w:p w14:paraId="2FCC4ADB" w14:textId="77777777" w:rsidR="008319FB" w:rsidRPr="00B0658A" w:rsidRDefault="008319FB" w:rsidP="00004A41">
            <w:pPr>
              <w:spacing w:after="0" w:line="240" w:lineRule="auto"/>
              <w:jc w:val="both"/>
              <w:rPr>
                <w:rFonts w:ascii="Times New Roman"/>
                <w:i/>
                <w:iCs/>
                <w:color w:val="auto"/>
                <w:sz w:val="20"/>
              </w:rPr>
            </w:pPr>
            <w:r w:rsidRPr="00B0658A">
              <w:rPr>
                <w:rFonts w:ascii="Times New Roman"/>
                <w:i/>
                <w:iCs/>
                <w:color w:val="auto"/>
                <w:sz w:val="20"/>
              </w:rPr>
              <w:t xml:space="preserve">Указывается срок реализации (период выполнения) в соответствии с утвержденным </w:t>
            </w:r>
            <w:r w:rsidRPr="00B0658A">
              <w:rPr>
                <w:rFonts w:ascii="Times New Roman"/>
                <w:i/>
                <w:iCs/>
                <w:color w:val="auto"/>
                <w:sz w:val="20"/>
                <w:szCs w:val="20"/>
              </w:rPr>
              <w:t>план</w:t>
            </w:r>
            <w:r w:rsidR="00861739" w:rsidRPr="00B0658A">
              <w:rPr>
                <w:rFonts w:ascii="Times New Roman"/>
                <w:i/>
                <w:iCs/>
                <w:color w:val="auto"/>
                <w:sz w:val="20"/>
                <w:szCs w:val="20"/>
              </w:rPr>
              <w:t>ом</w:t>
            </w:r>
            <w:r w:rsidRPr="00B0658A">
              <w:rPr>
                <w:rFonts w:ascii="Times New Roman"/>
                <w:i/>
                <w:iCs/>
                <w:color w:val="auto"/>
                <w:sz w:val="20"/>
                <w:szCs w:val="20"/>
              </w:rPr>
              <w:t xml:space="preserve"> перехода органа государственной власти или государственного внебюджетного фонда на использование российского ПО</w:t>
            </w:r>
          </w:p>
        </w:tc>
        <w:tc>
          <w:tcPr>
            <w:tcW w:w="878" w:type="pct"/>
          </w:tcPr>
          <w:p w14:paraId="4B607E7D" w14:textId="77777777" w:rsidR="008319FB" w:rsidRPr="00B0658A" w:rsidRDefault="008319FB" w:rsidP="00004A41">
            <w:pPr>
              <w:spacing w:after="0" w:line="240" w:lineRule="auto"/>
              <w:jc w:val="both"/>
              <w:rPr>
                <w:rFonts w:ascii="Times New Roman"/>
                <w:i/>
                <w:iCs/>
                <w:color w:val="auto"/>
                <w:sz w:val="20"/>
              </w:rPr>
            </w:pPr>
            <w:r w:rsidRPr="00B0658A">
              <w:rPr>
                <w:rFonts w:ascii="Times New Roman"/>
                <w:i/>
                <w:iCs/>
                <w:color w:val="auto"/>
                <w:sz w:val="20"/>
              </w:rPr>
              <w:t>Указывается статус: «выполнено» / «не выполнено».</w:t>
            </w:r>
          </w:p>
          <w:p w14:paraId="4FE14D76" w14:textId="77777777" w:rsidR="008319FB" w:rsidRPr="00B0658A" w:rsidRDefault="008319FB" w:rsidP="00004A41">
            <w:pPr>
              <w:spacing w:after="0" w:line="240" w:lineRule="auto"/>
              <w:jc w:val="both"/>
              <w:rPr>
                <w:rFonts w:ascii="Times New Roman"/>
                <w:color w:val="auto"/>
                <w:sz w:val="20"/>
              </w:rPr>
            </w:pPr>
            <w:r w:rsidRPr="00B0658A">
              <w:rPr>
                <w:rFonts w:ascii="Times New Roman"/>
                <w:i/>
                <w:iCs/>
                <w:color w:val="auto"/>
                <w:sz w:val="20"/>
              </w:rPr>
              <w:t>Если мероприятие выполнено частично, то указывается статус «не выполнено»</w:t>
            </w:r>
          </w:p>
        </w:tc>
        <w:tc>
          <w:tcPr>
            <w:tcW w:w="1151" w:type="pct"/>
          </w:tcPr>
          <w:p w14:paraId="11658FB9" w14:textId="77777777" w:rsidR="008319FB" w:rsidRPr="00B0658A" w:rsidRDefault="008319FB" w:rsidP="00004A41">
            <w:pPr>
              <w:spacing w:after="0" w:line="240" w:lineRule="auto"/>
              <w:jc w:val="both"/>
              <w:rPr>
                <w:rFonts w:ascii="Times New Roman"/>
                <w:i/>
                <w:iCs/>
                <w:color w:val="auto"/>
                <w:sz w:val="20"/>
              </w:rPr>
            </w:pPr>
            <w:r w:rsidRPr="00B0658A">
              <w:rPr>
                <w:rFonts w:ascii="Times New Roman"/>
                <w:i/>
                <w:iCs/>
                <w:color w:val="auto"/>
                <w:sz w:val="20"/>
              </w:rPr>
              <w:t>Указывается достигнутый результат. В случае если мероприятие не было выполнено, либо результат выполнения мероприятия был достигнут не полностью, указываются причины невыполнения мероприятия (частичного выполнения мероприятия), а также срок, в который мероприятие будет реализовано и достигнут запланированный результат</w:t>
            </w:r>
          </w:p>
        </w:tc>
      </w:tr>
      <w:tr w:rsidR="00F52FED" w:rsidRPr="00B0658A" w14:paraId="4BBC724C" w14:textId="77777777" w:rsidTr="00F728F5">
        <w:tc>
          <w:tcPr>
            <w:tcW w:w="152" w:type="pct"/>
          </w:tcPr>
          <w:p w14:paraId="4BC45E8A" w14:textId="77777777" w:rsidR="008319FB" w:rsidRPr="00B0658A" w:rsidRDefault="008319FB" w:rsidP="00004A41">
            <w:pPr>
              <w:spacing w:after="0" w:line="240" w:lineRule="auto"/>
              <w:jc w:val="both"/>
              <w:rPr>
                <w:rFonts w:ascii="Times New Roman"/>
                <w:color w:val="auto"/>
                <w:sz w:val="20"/>
              </w:rPr>
            </w:pPr>
            <w:r w:rsidRPr="00B0658A">
              <w:rPr>
                <w:rFonts w:ascii="Times New Roman"/>
                <w:color w:val="auto"/>
                <w:sz w:val="20"/>
              </w:rPr>
              <w:t>2.</w:t>
            </w:r>
          </w:p>
        </w:tc>
        <w:tc>
          <w:tcPr>
            <w:tcW w:w="1030" w:type="pct"/>
          </w:tcPr>
          <w:p w14:paraId="476BC20E" w14:textId="77777777" w:rsidR="008319FB" w:rsidRPr="00B0658A" w:rsidRDefault="008319FB" w:rsidP="00004A41">
            <w:pPr>
              <w:spacing w:after="0" w:line="240" w:lineRule="auto"/>
              <w:jc w:val="both"/>
              <w:rPr>
                <w:rFonts w:ascii="Times New Roman"/>
                <w:color w:val="auto"/>
                <w:sz w:val="20"/>
              </w:rPr>
            </w:pPr>
          </w:p>
        </w:tc>
        <w:tc>
          <w:tcPr>
            <w:tcW w:w="890" w:type="pct"/>
          </w:tcPr>
          <w:p w14:paraId="0C0066DC" w14:textId="77777777" w:rsidR="008319FB" w:rsidRPr="00B0658A" w:rsidRDefault="008319FB" w:rsidP="00004A41">
            <w:pPr>
              <w:spacing w:after="0" w:line="240" w:lineRule="auto"/>
              <w:jc w:val="both"/>
              <w:rPr>
                <w:rFonts w:ascii="Times New Roman"/>
                <w:color w:val="auto"/>
                <w:sz w:val="20"/>
              </w:rPr>
            </w:pPr>
          </w:p>
        </w:tc>
        <w:tc>
          <w:tcPr>
            <w:tcW w:w="899" w:type="pct"/>
          </w:tcPr>
          <w:p w14:paraId="0676BC40" w14:textId="77777777" w:rsidR="008319FB" w:rsidRPr="00B0658A" w:rsidRDefault="008319FB" w:rsidP="00004A41">
            <w:pPr>
              <w:spacing w:after="0" w:line="240" w:lineRule="auto"/>
              <w:jc w:val="both"/>
              <w:rPr>
                <w:rFonts w:ascii="Times New Roman"/>
                <w:color w:val="auto"/>
                <w:sz w:val="20"/>
              </w:rPr>
            </w:pPr>
          </w:p>
        </w:tc>
        <w:tc>
          <w:tcPr>
            <w:tcW w:w="878" w:type="pct"/>
          </w:tcPr>
          <w:p w14:paraId="14208AD1" w14:textId="77777777" w:rsidR="008319FB" w:rsidRPr="00B0658A" w:rsidRDefault="008319FB" w:rsidP="00004A41">
            <w:pPr>
              <w:spacing w:after="0" w:line="240" w:lineRule="auto"/>
              <w:jc w:val="both"/>
              <w:rPr>
                <w:rFonts w:ascii="Times New Roman"/>
                <w:color w:val="auto"/>
                <w:sz w:val="20"/>
              </w:rPr>
            </w:pPr>
          </w:p>
        </w:tc>
        <w:tc>
          <w:tcPr>
            <w:tcW w:w="1151" w:type="pct"/>
          </w:tcPr>
          <w:p w14:paraId="3F7A23CE" w14:textId="77777777" w:rsidR="008319FB" w:rsidRPr="00B0658A" w:rsidRDefault="008319FB" w:rsidP="00004A41">
            <w:pPr>
              <w:spacing w:after="0" w:line="240" w:lineRule="auto"/>
              <w:jc w:val="both"/>
              <w:rPr>
                <w:rFonts w:ascii="Times New Roman"/>
                <w:color w:val="auto"/>
                <w:sz w:val="20"/>
              </w:rPr>
            </w:pPr>
          </w:p>
        </w:tc>
      </w:tr>
      <w:tr w:rsidR="00F52FED" w:rsidRPr="00B0658A" w14:paraId="05805DE9" w14:textId="77777777" w:rsidTr="00F728F5">
        <w:tc>
          <w:tcPr>
            <w:tcW w:w="152" w:type="pct"/>
          </w:tcPr>
          <w:p w14:paraId="1779ACFF" w14:textId="77777777" w:rsidR="008319FB" w:rsidRPr="00B0658A" w:rsidRDefault="008319FB" w:rsidP="00004A41">
            <w:pPr>
              <w:spacing w:after="0" w:line="240" w:lineRule="auto"/>
              <w:jc w:val="both"/>
              <w:rPr>
                <w:rFonts w:ascii="Times New Roman"/>
                <w:color w:val="auto"/>
                <w:sz w:val="20"/>
              </w:rPr>
            </w:pPr>
            <w:r w:rsidRPr="00B0658A">
              <w:rPr>
                <w:rFonts w:ascii="Times New Roman"/>
                <w:color w:val="auto"/>
                <w:sz w:val="20"/>
              </w:rPr>
              <w:t>…</w:t>
            </w:r>
          </w:p>
        </w:tc>
        <w:tc>
          <w:tcPr>
            <w:tcW w:w="1030" w:type="pct"/>
          </w:tcPr>
          <w:p w14:paraId="31EE6EE1" w14:textId="77777777" w:rsidR="008319FB" w:rsidRPr="00B0658A" w:rsidRDefault="008319FB" w:rsidP="00004A41">
            <w:pPr>
              <w:spacing w:after="0" w:line="240" w:lineRule="auto"/>
              <w:jc w:val="both"/>
              <w:rPr>
                <w:rFonts w:ascii="Times New Roman"/>
                <w:color w:val="auto"/>
                <w:sz w:val="20"/>
              </w:rPr>
            </w:pPr>
          </w:p>
        </w:tc>
        <w:tc>
          <w:tcPr>
            <w:tcW w:w="890" w:type="pct"/>
          </w:tcPr>
          <w:p w14:paraId="23208914" w14:textId="77777777" w:rsidR="008319FB" w:rsidRPr="00B0658A" w:rsidRDefault="008319FB" w:rsidP="00004A41">
            <w:pPr>
              <w:spacing w:after="0" w:line="240" w:lineRule="auto"/>
              <w:jc w:val="both"/>
              <w:rPr>
                <w:rFonts w:ascii="Times New Roman"/>
                <w:color w:val="auto"/>
                <w:sz w:val="20"/>
              </w:rPr>
            </w:pPr>
          </w:p>
        </w:tc>
        <w:tc>
          <w:tcPr>
            <w:tcW w:w="899" w:type="pct"/>
          </w:tcPr>
          <w:p w14:paraId="323787DA" w14:textId="77777777" w:rsidR="008319FB" w:rsidRPr="00B0658A" w:rsidRDefault="008319FB" w:rsidP="00004A41">
            <w:pPr>
              <w:spacing w:after="0" w:line="240" w:lineRule="auto"/>
              <w:jc w:val="both"/>
              <w:rPr>
                <w:rFonts w:ascii="Times New Roman"/>
                <w:color w:val="auto"/>
                <w:sz w:val="20"/>
              </w:rPr>
            </w:pPr>
          </w:p>
        </w:tc>
        <w:tc>
          <w:tcPr>
            <w:tcW w:w="878" w:type="pct"/>
          </w:tcPr>
          <w:p w14:paraId="176389E5" w14:textId="77777777" w:rsidR="008319FB" w:rsidRPr="00B0658A" w:rsidRDefault="008319FB" w:rsidP="00004A41">
            <w:pPr>
              <w:spacing w:after="0" w:line="240" w:lineRule="auto"/>
              <w:jc w:val="both"/>
              <w:rPr>
                <w:rFonts w:ascii="Times New Roman"/>
                <w:color w:val="auto"/>
                <w:sz w:val="20"/>
              </w:rPr>
            </w:pPr>
          </w:p>
        </w:tc>
        <w:tc>
          <w:tcPr>
            <w:tcW w:w="1151" w:type="pct"/>
          </w:tcPr>
          <w:p w14:paraId="60ADC58B" w14:textId="77777777" w:rsidR="008319FB" w:rsidRPr="00B0658A" w:rsidRDefault="008319FB" w:rsidP="00004A41">
            <w:pPr>
              <w:spacing w:after="0" w:line="240" w:lineRule="auto"/>
              <w:jc w:val="both"/>
              <w:rPr>
                <w:rFonts w:ascii="Times New Roman"/>
                <w:color w:val="auto"/>
                <w:sz w:val="20"/>
              </w:rPr>
            </w:pPr>
          </w:p>
        </w:tc>
      </w:tr>
      <w:tr w:rsidR="008319FB" w:rsidRPr="00B0658A" w14:paraId="730241D3" w14:textId="77777777" w:rsidTr="00F728F5">
        <w:tc>
          <w:tcPr>
            <w:tcW w:w="152" w:type="pct"/>
          </w:tcPr>
          <w:p w14:paraId="289F6327" w14:textId="77777777" w:rsidR="008319FB" w:rsidRPr="00B0658A" w:rsidRDefault="008319FB" w:rsidP="00004A41">
            <w:pPr>
              <w:spacing w:after="0" w:line="240" w:lineRule="auto"/>
              <w:jc w:val="both"/>
              <w:rPr>
                <w:rFonts w:ascii="Times New Roman"/>
                <w:color w:val="auto"/>
                <w:sz w:val="20"/>
              </w:rPr>
            </w:pPr>
            <w:r w:rsidRPr="00B0658A">
              <w:rPr>
                <w:rFonts w:ascii="Times New Roman"/>
                <w:color w:val="auto"/>
                <w:sz w:val="20"/>
                <w:lang w:val="en-US"/>
              </w:rPr>
              <w:t>N</w:t>
            </w:r>
          </w:p>
        </w:tc>
        <w:tc>
          <w:tcPr>
            <w:tcW w:w="1030" w:type="pct"/>
          </w:tcPr>
          <w:p w14:paraId="05AB88CB" w14:textId="77777777" w:rsidR="008319FB" w:rsidRPr="00B0658A" w:rsidRDefault="008319FB" w:rsidP="00004A41">
            <w:pPr>
              <w:spacing w:after="0" w:line="240" w:lineRule="auto"/>
              <w:jc w:val="both"/>
              <w:rPr>
                <w:rFonts w:ascii="Times New Roman"/>
                <w:color w:val="auto"/>
                <w:sz w:val="20"/>
              </w:rPr>
            </w:pPr>
          </w:p>
        </w:tc>
        <w:tc>
          <w:tcPr>
            <w:tcW w:w="890" w:type="pct"/>
          </w:tcPr>
          <w:p w14:paraId="20AB7B03" w14:textId="77777777" w:rsidR="008319FB" w:rsidRPr="00B0658A" w:rsidRDefault="008319FB" w:rsidP="00004A41">
            <w:pPr>
              <w:spacing w:after="0" w:line="240" w:lineRule="auto"/>
              <w:jc w:val="both"/>
              <w:rPr>
                <w:rFonts w:ascii="Times New Roman"/>
                <w:color w:val="auto"/>
                <w:sz w:val="20"/>
              </w:rPr>
            </w:pPr>
          </w:p>
        </w:tc>
        <w:tc>
          <w:tcPr>
            <w:tcW w:w="899" w:type="pct"/>
          </w:tcPr>
          <w:p w14:paraId="6D9ADC75" w14:textId="77777777" w:rsidR="008319FB" w:rsidRPr="00B0658A" w:rsidRDefault="008319FB" w:rsidP="00004A41">
            <w:pPr>
              <w:spacing w:after="0" w:line="240" w:lineRule="auto"/>
              <w:jc w:val="both"/>
              <w:rPr>
                <w:rFonts w:ascii="Times New Roman"/>
                <w:color w:val="auto"/>
                <w:sz w:val="20"/>
              </w:rPr>
            </w:pPr>
          </w:p>
        </w:tc>
        <w:tc>
          <w:tcPr>
            <w:tcW w:w="878" w:type="pct"/>
          </w:tcPr>
          <w:p w14:paraId="69086173" w14:textId="77777777" w:rsidR="008319FB" w:rsidRPr="00B0658A" w:rsidRDefault="008319FB" w:rsidP="00004A41">
            <w:pPr>
              <w:spacing w:after="0" w:line="240" w:lineRule="auto"/>
              <w:jc w:val="both"/>
              <w:rPr>
                <w:rFonts w:ascii="Times New Roman"/>
                <w:color w:val="auto"/>
                <w:sz w:val="20"/>
              </w:rPr>
            </w:pPr>
          </w:p>
        </w:tc>
        <w:tc>
          <w:tcPr>
            <w:tcW w:w="1151" w:type="pct"/>
          </w:tcPr>
          <w:p w14:paraId="018F56D1" w14:textId="77777777" w:rsidR="008319FB" w:rsidRPr="00B0658A" w:rsidRDefault="008319FB" w:rsidP="00004A41">
            <w:pPr>
              <w:spacing w:after="0" w:line="240" w:lineRule="auto"/>
              <w:jc w:val="both"/>
              <w:rPr>
                <w:rFonts w:ascii="Times New Roman"/>
                <w:color w:val="auto"/>
                <w:sz w:val="20"/>
              </w:rPr>
            </w:pPr>
          </w:p>
        </w:tc>
      </w:tr>
    </w:tbl>
    <w:p w14:paraId="38A43ACF" w14:textId="77777777" w:rsidR="007358C5" w:rsidRPr="00B0658A" w:rsidRDefault="007358C5" w:rsidP="007358C5">
      <w:pPr>
        <w:pStyle w:val="afd"/>
        <w:spacing w:line="240" w:lineRule="auto"/>
        <w:ind w:left="709"/>
        <w:jc w:val="both"/>
        <w:rPr>
          <w:rFonts w:ascii="Times New Roman" w:hAnsi="Times New Roman"/>
          <w:sz w:val="28"/>
          <w:szCs w:val="28"/>
        </w:rPr>
      </w:pPr>
    </w:p>
    <w:p w14:paraId="0F70DFA8" w14:textId="77777777" w:rsidR="008319FB" w:rsidRPr="00B0658A" w:rsidRDefault="001E5E80" w:rsidP="00AA0FDE">
      <w:pPr>
        <w:pStyle w:val="afd"/>
        <w:numPr>
          <w:ilvl w:val="0"/>
          <w:numId w:val="6"/>
        </w:numPr>
        <w:spacing w:line="240" w:lineRule="auto"/>
        <w:ind w:left="0" w:firstLine="709"/>
        <w:jc w:val="both"/>
        <w:rPr>
          <w:rFonts w:ascii="Times New Roman" w:hAnsi="Times New Roman"/>
          <w:sz w:val="28"/>
          <w:szCs w:val="28"/>
        </w:rPr>
      </w:pPr>
      <w:r w:rsidRPr="00B0658A">
        <w:rPr>
          <w:rFonts w:ascii="Times New Roman" w:hAnsi="Times New Roman"/>
          <w:sz w:val="28"/>
          <w:szCs w:val="28"/>
        </w:rPr>
        <w:lastRenderedPageBreak/>
        <w:t>Сведения о достижении показателей эффективности в отношении закупок ПО и финансового обеспечения перехода на использование российского ПО</w:t>
      </w:r>
    </w:p>
    <w:tbl>
      <w:tblPr>
        <w:tblStyle w:val="afc"/>
        <w:tblW w:w="13887" w:type="dxa"/>
        <w:tblLayout w:type="fixed"/>
        <w:tblLook w:val="04A0" w:firstRow="1" w:lastRow="0" w:firstColumn="1" w:lastColumn="0" w:noHBand="0" w:noVBand="1"/>
      </w:tblPr>
      <w:tblGrid>
        <w:gridCol w:w="546"/>
        <w:gridCol w:w="2575"/>
        <w:gridCol w:w="1104"/>
        <w:gridCol w:w="3342"/>
        <w:gridCol w:w="3343"/>
        <w:gridCol w:w="2977"/>
      </w:tblGrid>
      <w:tr w:rsidR="00F52FED" w:rsidRPr="00B0658A" w14:paraId="0AA9487C" w14:textId="77777777" w:rsidTr="006565E6">
        <w:trPr>
          <w:trHeight w:val="58"/>
        </w:trPr>
        <w:tc>
          <w:tcPr>
            <w:tcW w:w="546" w:type="dxa"/>
            <w:vMerge w:val="restart"/>
            <w:vAlign w:val="center"/>
          </w:tcPr>
          <w:p w14:paraId="7840FC4E" w14:textId="77777777" w:rsidR="008319FB" w:rsidRPr="00B0658A" w:rsidRDefault="008319FB" w:rsidP="00004A41">
            <w:pPr>
              <w:spacing w:after="0" w:line="240" w:lineRule="auto"/>
              <w:jc w:val="center"/>
              <w:rPr>
                <w:rFonts w:ascii="Times New Roman" w:hAnsi="Times New Roman"/>
                <w:b/>
                <w:bCs/>
                <w:sz w:val="20"/>
                <w:szCs w:val="20"/>
              </w:rPr>
            </w:pPr>
            <w:r w:rsidRPr="00B0658A">
              <w:rPr>
                <w:rFonts w:ascii="Times New Roman" w:hAnsi="Times New Roman"/>
                <w:b/>
                <w:bCs/>
                <w:sz w:val="20"/>
                <w:szCs w:val="20"/>
              </w:rPr>
              <w:t>№</w:t>
            </w:r>
          </w:p>
        </w:tc>
        <w:tc>
          <w:tcPr>
            <w:tcW w:w="2575" w:type="dxa"/>
            <w:vMerge w:val="restart"/>
            <w:vAlign w:val="center"/>
          </w:tcPr>
          <w:p w14:paraId="701C3917" w14:textId="77777777" w:rsidR="008319FB" w:rsidRPr="00B0658A" w:rsidRDefault="008319FB" w:rsidP="00004A41">
            <w:pPr>
              <w:spacing w:after="0" w:line="240" w:lineRule="auto"/>
              <w:jc w:val="center"/>
              <w:rPr>
                <w:rFonts w:ascii="Times New Roman" w:hAnsi="Times New Roman"/>
                <w:b/>
                <w:bCs/>
                <w:sz w:val="20"/>
                <w:szCs w:val="20"/>
              </w:rPr>
            </w:pPr>
            <w:r w:rsidRPr="00B0658A">
              <w:rPr>
                <w:rFonts w:ascii="Times New Roman" w:hAnsi="Times New Roman"/>
                <w:b/>
                <w:bCs/>
                <w:sz w:val="20"/>
                <w:szCs w:val="20"/>
              </w:rPr>
              <w:t>Наименование показателя</w:t>
            </w:r>
          </w:p>
        </w:tc>
        <w:tc>
          <w:tcPr>
            <w:tcW w:w="1104" w:type="dxa"/>
            <w:vMerge w:val="restart"/>
            <w:vAlign w:val="center"/>
          </w:tcPr>
          <w:p w14:paraId="05C711D5" w14:textId="77777777" w:rsidR="008319FB" w:rsidRPr="00B0658A" w:rsidRDefault="008319FB" w:rsidP="00004A41">
            <w:pPr>
              <w:spacing w:after="0" w:line="240" w:lineRule="auto"/>
              <w:jc w:val="center"/>
              <w:rPr>
                <w:rFonts w:ascii="Times New Roman" w:hAnsi="Times New Roman"/>
                <w:b/>
                <w:bCs/>
                <w:sz w:val="20"/>
                <w:szCs w:val="20"/>
              </w:rPr>
            </w:pPr>
            <w:r w:rsidRPr="00B0658A">
              <w:rPr>
                <w:rFonts w:ascii="Times New Roman" w:hAnsi="Times New Roman"/>
                <w:b/>
                <w:bCs/>
                <w:sz w:val="20"/>
                <w:szCs w:val="20"/>
              </w:rPr>
              <w:t>Ед. изм.</w:t>
            </w:r>
          </w:p>
        </w:tc>
        <w:tc>
          <w:tcPr>
            <w:tcW w:w="6685" w:type="dxa"/>
            <w:gridSpan w:val="2"/>
            <w:vAlign w:val="center"/>
          </w:tcPr>
          <w:p w14:paraId="4103D033" w14:textId="77777777" w:rsidR="008319FB" w:rsidRPr="00B0658A" w:rsidRDefault="008319FB" w:rsidP="00004A41">
            <w:pPr>
              <w:spacing w:after="0" w:line="240" w:lineRule="auto"/>
              <w:jc w:val="center"/>
              <w:rPr>
                <w:rFonts w:ascii="Times New Roman" w:hAnsi="Times New Roman"/>
                <w:b/>
                <w:bCs/>
                <w:sz w:val="20"/>
                <w:szCs w:val="20"/>
              </w:rPr>
            </w:pPr>
            <w:r w:rsidRPr="00B0658A">
              <w:rPr>
                <w:rFonts w:ascii="Times New Roman" w:hAnsi="Times New Roman"/>
                <w:b/>
                <w:bCs/>
                <w:sz w:val="20"/>
                <w:szCs w:val="20"/>
              </w:rPr>
              <w:t xml:space="preserve">Сведения о достижении показателей </w:t>
            </w:r>
            <w:r w:rsidR="00861739" w:rsidRPr="00B0658A">
              <w:rPr>
                <w:rFonts w:ascii="Times New Roman" w:hAnsi="Times New Roman"/>
                <w:b/>
                <w:bCs/>
                <w:sz w:val="20"/>
                <w:szCs w:val="20"/>
              </w:rPr>
              <w:t xml:space="preserve">эффективности </w:t>
            </w:r>
            <w:r w:rsidRPr="00B0658A">
              <w:rPr>
                <w:rFonts w:ascii="Times New Roman" w:hAnsi="Times New Roman"/>
                <w:b/>
                <w:bCs/>
                <w:sz w:val="20"/>
                <w:szCs w:val="20"/>
              </w:rPr>
              <w:t>за _______ г.</w:t>
            </w:r>
          </w:p>
        </w:tc>
        <w:tc>
          <w:tcPr>
            <w:tcW w:w="2977" w:type="dxa"/>
            <w:vMerge w:val="restart"/>
            <w:vAlign w:val="center"/>
          </w:tcPr>
          <w:p w14:paraId="4A571ABB" w14:textId="77777777" w:rsidR="008319FB" w:rsidRPr="00B0658A" w:rsidRDefault="008319FB" w:rsidP="00004A41">
            <w:pPr>
              <w:spacing w:after="0" w:line="240" w:lineRule="auto"/>
              <w:jc w:val="center"/>
              <w:rPr>
                <w:rFonts w:ascii="Times New Roman" w:hAnsi="Times New Roman"/>
                <w:b/>
                <w:bCs/>
                <w:sz w:val="20"/>
                <w:szCs w:val="20"/>
              </w:rPr>
            </w:pPr>
            <w:r w:rsidRPr="00B0658A">
              <w:rPr>
                <w:rFonts w:ascii="Times New Roman" w:hAnsi="Times New Roman"/>
                <w:b/>
                <w:bCs/>
                <w:sz w:val="20"/>
                <w:szCs w:val="20"/>
              </w:rPr>
              <w:t>Комментарии</w:t>
            </w:r>
          </w:p>
        </w:tc>
      </w:tr>
      <w:tr w:rsidR="00F52FED" w:rsidRPr="00B0658A" w14:paraId="37783A2F" w14:textId="77777777" w:rsidTr="006565E6">
        <w:trPr>
          <w:trHeight w:val="58"/>
        </w:trPr>
        <w:tc>
          <w:tcPr>
            <w:tcW w:w="546" w:type="dxa"/>
            <w:vMerge/>
            <w:vAlign w:val="center"/>
          </w:tcPr>
          <w:p w14:paraId="1B4E7AA4" w14:textId="77777777" w:rsidR="008319FB" w:rsidRPr="00B0658A" w:rsidRDefault="008319FB" w:rsidP="00004A41">
            <w:pPr>
              <w:spacing w:after="0" w:line="240" w:lineRule="auto"/>
              <w:jc w:val="center"/>
              <w:rPr>
                <w:rFonts w:ascii="Times New Roman" w:hAnsi="Times New Roman"/>
                <w:b/>
                <w:bCs/>
                <w:sz w:val="20"/>
                <w:szCs w:val="20"/>
              </w:rPr>
            </w:pPr>
          </w:p>
        </w:tc>
        <w:tc>
          <w:tcPr>
            <w:tcW w:w="2575" w:type="dxa"/>
            <w:vMerge/>
            <w:vAlign w:val="center"/>
          </w:tcPr>
          <w:p w14:paraId="2CC3A4E5" w14:textId="77777777" w:rsidR="008319FB" w:rsidRPr="00B0658A" w:rsidRDefault="008319FB" w:rsidP="00004A41">
            <w:pPr>
              <w:spacing w:after="0" w:line="240" w:lineRule="auto"/>
              <w:jc w:val="center"/>
              <w:rPr>
                <w:rFonts w:ascii="Times New Roman" w:hAnsi="Times New Roman"/>
                <w:b/>
                <w:bCs/>
                <w:sz w:val="20"/>
                <w:szCs w:val="20"/>
              </w:rPr>
            </w:pPr>
          </w:p>
        </w:tc>
        <w:tc>
          <w:tcPr>
            <w:tcW w:w="1104" w:type="dxa"/>
            <w:vMerge/>
            <w:vAlign w:val="center"/>
          </w:tcPr>
          <w:p w14:paraId="6899AB52" w14:textId="77777777" w:rsidR="008319FB" w:rsidRPr="00B0658A" w:rsidRDefault="008319FB" w:rsidP="00004A41">
            <w:pPr>
              <w:spacing w:after="0" w:line="240" w:lineRule="auto"/>
              <w:jc w:val="center"/>
              <w:rPr>
                <w:rFonts w:ascii="Times New Roman" w:hAnsi="Times New Roman"/>
                <w:b/>
                <w:bCs/>
                <w:sz w:val="20"/>
                <w:szCs w:val="20"/>
              </w:rPr>
            </w:pPr>
          </w:p>
        </w:tc>
        <w:tc>
          <w:tcPr>
            <w:tcW w:w="3342" w:type="dxa"/>
            <w:vAlign w:val="center"/>
          </w:tcPr>
          <w:p w14:paraId="6A4E6997" w14:textId="77777777" w:rsidR="008319FB" w:rsidRPr="00B0658A" w:rsidRDefault="008319FB" w:rsidP="00004A41">
            <w:pPr>
              <w:spacing w:after="0" w:line="240" w:lineRule="auto"/>
              <w:jc w:val="center"/>
              <w:rPr>
                <w:rFonts w:ascii="Times New Roman" w:hAnsi="Times New Roman"/>
                <w:b/>
                <w:bCs/>
                <w:sz w:val="20"/>
                <w:szCs w:val="20"/>
              </w:rPr>
            </w:pPr>
            <w:r w:rsidRPr="00B0658A">
              <w:rPr>
                <w:rFonts w:ascii="Times New Roman" w:hAnsi="Times New Roman"/>
                <w:b/>
                <w:bCs/>
                <w:sz w:val="20"/>
                <w:szCs w:val="20"/>
              </w:rPr>
              <w:t>Плановое значение</w:t>
            </w:r>
          </w:p>
        </w:tc>
        <w:tc>
          <w:tcPr>
            <w:tcW w:w="3343" w:type="dxa"/>
            <w:vAlign w:val="center"/>
          </w:tcPr>
          <w:p w14:paraId="5D35A8E9" w14:textId="77777777" w:rsidR="008319FB" w:rsidRPr="00B0658A" w:rsidRDefault="008319FB" w:rsidP="00004A41">
            <w:pPr>
              <w:spacing w:after="0" w:line="240" w:lineRule="auto"/>
              <w:jc w:val="center"/>
              <w:rPr>
                <w:rFonts w:ascii="Times New Roman" w:hAnsi="Times New Roman"/>
                <w:b/>
                <w:bCs/>
                <w:sz w:val="20"/>
                <w:szCs w:val="20"/>
              </w:rPr>
            </w:pPr>
            <w:r w:rsidRPr="00B0658A">
              <w:rPr>
                <w:rFonts w:ascii="Times New Roman" w:hAnsi="Times New Roman"/>
                <w:b/>
                <w:bCs/>
                <w:sz w:val="20"/>
                <w:szCs w:val="20"/>
              </w:rPr>
              <w:t>Фактическое значение</w:t>
            </w:r>
          </w:p>
        </w:tc>
        <w:tc>
          <w:tcPr>
            <w:tcW w:w="2977" w:type="dxa"/>
            <w:vMerge/>
            <w:vAlign w:val="center"/>
          </w:tcPr>
          <w:p w14:paraId="6E9DD16D" w14:textId="77777777" w:rsidR="008319FB" w:rsidRPr="00B0658A" w:rsidRDefault="008319FB" w:rsidP="00004A41">
            <w:pPr>
              <w:spacing w:after="0" w:line="240" w:lineRule="auto"/>
              <w:jc w:val="center"/>
              <w:rPr>
                <w:rFonts w:ascii="Times New Roman" w:hAnsi="Times New Roman"/>
                <w:b/>
                <w:bCs/>
                <w:sz w:val="20"/>
                <w:szCs w:val="20"/>
              </w:rPr>
            </w:pPr>
          </w:p>
        </w:tc>
      </w:tr>
      <w:tr w:rsidR="00F52FED" w:rsidRPr="00B0658A" w14:paraId="7AE3C767" w14:textId="77777777" w:rsidTr="006565E6">
        <w:trPr>
          <w:trHeight w:val="283"/>
        </w:trPr>
        <w:tc>
          <w:tcPr>
            <w:tcW w:w="13887" w:type="dxa"/>
            <w:gridSpan w:val="6"/>
          </w:tcPr>
          <w:p w14:paraId="1A5CF305" w14:textId="77777777" w:rsidR="008319FB" w:rsidRPr="00B0658A" w:rsidRDefault="008319FB" w:rsidP="00004A41">
            <w:pPr>
              <w:spacing w:after="0" w:line="240" w:lineRule="auto"/>
              <w:jc w:val="both"/>
              <w:rPr>
                <w:rFonts w:ascii="Times New Roman" w:hAnsi="Times New Roman"/>
                <w:b/>
                <w:i/>
                <w:iCs/>
                <w:sz w:val="20"/>
                <w:szCs w:val="20"/>
              </w:rPr>
            </w:pPr>
            <w:r w:rsidRPr="00B0658A">
              <w:rPr>
                <w:rFonts w:ascii="Times New Roman" w:hAnsi="Times New Roman"/>
                <w:b/>
                <w:i/>
                <w:iCs/>
                <w:sz w:val="20"/>
                <w:szCs w:val="20"/>
              </w:rPr>
              <w:t>I. Показател</w:t>
            </w:r>
            <w:r w:rsidR="00952B74" w:rsidRPr="00B0658A">
              <w:rPr>
                <w:rFonts w:ascii="Times New Roman" w:hAnsi="Times New Roman"/>
                <w:b/>
                <w:i/>
                <w:iCs/>
                <w:sz w:val="20"/>
                <w:szCs w:val="20"/>
              </w:rPr>
              <w:t>и</w:t>
            </w:r>
            <w:r w:rsidRPr="00B0658A">
              <w:rPr>
                <w:rFonts w:ascii="Times New Roman" w:hAnsi="Times New Roman"/>
                <w:b/>
                <w:i/>
                <w:iCs/>
                <w:sz w:val="20"/>
                <w:szCs w:val="20"/>
              </w:rPr>
              <w:t xml:space="preserve"> эффективности в отношении закупок ПО</w:t>
            </w:r>
          </w:p>
        </w:tc>
      </w:tr>
      <w:tr w:rsidR="00F52FED" w:rsidRPr="00B0658A" w14:paraId="5D2098C1" w14:textId="77777777" w:rsidTr="006565E6">
        <w:trPr>
          <w:trHeight w:val="960"/>
        </w:trPr>
        <w:tc>
          <w:tcPr>
            <w:tcW w:w="546" w:type="dxa"/>
          </w:tcPr>
          <w:p w14:paraId="0F65AA4A" w14:textId="77777777" w:rsidR="008319FB" w:rsidRPr="00B0658A" w:rsidRDefault="0014439B" w:rsidP="00004A41">
            <w:pPr>
              <w:spacing w:after="0" w:line="240" w:lineRule="auto"/>
              <w:jc w:val="both"/>
              <w:rPr>
                <w:rFonts w:ascii="Times New Roman" w:hAnsi="Times New Roman"/>
                <w:sz w:val="20"/>
                <w:szCs w:val="20"/>
              </w:rPr>
            </w:pPr>
            <w:r w:rsidRPr="00B0658A">
              <w:rPr>
                <w:rFonts w:ascii="Times New Roman" w:hAnsi="Times New Roman"/>
                <w:sz w:val="20"/>
                <w:szCs w:val="20"/>
              </w:rPr>
              <w:t>1</w:t>
            </w:r>
            <w:r w:rsidR="008319FB" w:rsidRPr="00B0658A">
              <w:rPr>
                <w:rFonts w:ascii="Times New Roman" w:hAnsi="Times New Roman"/>
                <w:sz w:val="20"/>
                <w:szCs w:val="20"/>
              </w:rPr>
              <w:t>.</w:t>
            </w:r>
          </w:p>
        </w:tc>
        <w:tc>
          <w:tcPr>
            <w:tcW w:w="2575" w:type="dxa"/>
          </w:tcPr>
          <w:p w14:paraId="4A4293B4" w14:textId="77777777" w:rsidR="008319FB" w:rsidRPr="00B0658A" w:rsidRDefault="008319FB" w:rsidP="00004A41">
            <w:pPr>
              <w:spacing w:after="0" w:line="240" w:lineRule="auto"/>
              <w:jc w:val="both"/>
              <w:rPr>
                <w:rFonts w:ascii="Times New Roman" w:hAnsi="Times New Roman"/>
                <w:sz w:val="20"/>
                <w:szCs w:val="20"/>
              </w:rPr>
            </w:pPr>
            <w:r w:rsidRPr="00B0658A">
              <w:rPr>
                <w:rFonts w:ascii="Times New Roman" w:hAnsi="Times New Roman"/>
                <w:sz w:val="20"/>
                <w:szCs w:val="20"/>
              </w:rPr>
              <w:t xml:space="preserve">Доля расходов на закупку российского </w:t>
            </w:r>
            <w:r w:rsidR="00386593" w:rsidRPr="00B0658A">
              <w:rPr>
                <w:rFonts w:ascii="Times New Roman" w:hAnsi="Times New Roman"/>
                <w:sz w:val="20"/>
                <w:szCs w:val="20"/>
              </w:rPr>
              <w:t>ПО</w:t>
            </w:r>
            <w:r w:rsidRPr="00B0658A">
              <w:rPr>
                <w:rFonts w:ascii="Times New Roman" w:hAnsi="Times New Roman"/>
                <w:sz w:val="20"/>
                <w:szCs w:val="20"/>
              </w:rPr>
              <w:t xml:space="preserve"> и связанных с ним работ (услуг) в общем объеме расходов на закупку </w:t>
            </w:r>
            <w:r w:rsidR="00C57355" w:rsidRPr="00B0658A">
              <w:rPr>
                <w:rFonts w:ascii="Times New Roman" w:hAnsi="Times New Roman"/>
                <w:sz w:val="20"/>
                <w:szCs w:val="20"/>
              </w:rPr>
              <w:t>ПО</w:t>
            </w:r>
            <w:r w:rsidRPr="00B0658A">
              <w:rPr>
                <w:rFonts w:ascii="Times New Roman" w:hAnsi="Times New Roman"/>
                <w:sz w:val="20"/>
                <w:szCs w:val="20"/>
              </w:rPr>
              <w:t xml:space="preserve"> и связанных с ним работ (услуг)</w:t>
            </w:r>
          </w:p>
        </w:tc>
        <w:tc>
          <w:tcPr>
            <w:tcW w:w="1104" w:type="dxa"/>
          </w:tcPr>
          <w:p w14:paraId="77292A6B" w14:textId="77777777" w:rsidR="008319FB" w:rsidRPr="00B0658A" w:rsidRDefault="008319FB" w:rsidP="00004A41">
            <w:pPr>
              <w:spacing w:after="0" w:line="240" w:lineRule="auto"/>
              <w:jc w:val="center"/>
              <w:rPr>
                <w:rFonts w:ascii="Times New Roman" w:hAnsi="Times New Roman"/>
                <w:sz w:val="20"/>
                <w:szCs w:val="20"/>
              </w:rPr>
            </w:pPr>
            <w:r w:rsidRPr="00B0658A">
              <w:rPr>
                <w:rFonts w:ascii="Times New Roman" w:hAnsi="Times New Roman"/>
                <w:sz w:val="20"/>
                <w:szCs w:val="20"/>
              </w:rPr>
              <w:t>%</w:t>
            </w:r>
          </w:p>
        </w:tc>
        <w:tc>
          <w:tcPr>
            <w:tcW w:w="3342" w:type="dxa"/>
          </w:tcPr>
          <w:p w14:paraId="014D3666" w14:textId="77777777" w:rsidR="008319FB" w:rsidRPr="00B0658A" w:rsidRDefault="008319FB" w:rsidP="00004A41">
            <w:pPr>
              <w:spacing w:after="0" w:line="240" w:lineRule="auto"/>
              <w:jc w:val="both"/>
              <w:rPr>
                <w:rFonts w:ascii="Times New Roman" w:hAnsi="Times New Roman"/>
                <w:sz w:val="20"/>
                <w:szCs w:val="20"/>
              </w:rPr>
            </w:pPr>
            <w:r w:rsidRPr="00B0658A">
              <w:rPr>
                <w:rFonts w:ascii="Times New Roman" w:hAnsi="Times New Roman"/>
                <w:i/>
                <w:iCs/>
                <w:sz w:val="20"/>
                <w:szCs w:val="20"/>
              </w:rPr>
              <w:t>Указывается плановое значение на соответствующий год в соответствии с показателями, установленными в плане перехода органа государственной власти или государственного внебюджетного фонда на использование российского ПО</w:t>
            </w:r>
          </w:p>
        </w:tc>
        <w:tc>
          <w:tcPr>
            <w:tcW w:w="3343" w:type="dxa"/>
          </w:tcPr>
          <w:p w14:paraId="0A2C8D59" w14:textId="77777777" w:rsidR="008319FB" w:rsidRPr="00B0658A" w:rsidRDefault="008319FB" w:rsidP="00004A41">
            <w:pPr>
              <w:spacing w:after="0" w:line="240" w:lineRule="auto"/>
              <w:jc w:val="both"/>
              <w:rPr>
                <w:rFonts w:ascii="Times New Roman" w:hAnsi="Times New Roman"/>
                <w:i/>
                <w:iCs/>
                <w:sz w:val="20"/>
                <w:szCs w:val="20"/>
              </w:rPr>
            </w:pPr>
            <w:r w:rsidRPr="00B0658A">
              <w:rPr>
                <w:rFonts w:ascii="Times New Roman" w:hAnsi="Times New Roman"/>
                <w:i/>
                <w:iCs/>
                <w:sz w:val="20"/>
                <w:szCs w:val="20"/>
              </w:rPr>
              <w:t xml:space="preserve">Указывается фактическая доля расходов на российское ПО и связанные с ним работ (услуги) в общем объеме расходов на закупку ПО и связанные с ним работы (услуги) </w:t>
            </w:r>
            <w:r w:rsidR="006565E6" w:rsidRPr="00B0658A">
              <w:rPr>
                <w:rFonts w:ascii="Times New Roman" w:hAnsi="Times New Roman"/>
                <w:i/>
                <w:iCs/>
                <w:sz w:val="20"/>
                <w:szCs w:val="20"/>
              </w:rPr>
              <w:t xml:space="preserve">за </w:t>
            </w:r>
            <w:r w:rsidRPr="00B0658A">
              <w:rPr>
                <w:rFonts w:ascii="Times New Roman" w:hAnsi="Times New Roman"/>
                <w:i/>
                <w:iCs/>
                <w:sz w:val="20"/>
                <w:szCs w:val="20"/>
              </w:rPr>
              <w:t>соответствующ</w:t>
            </w:r>
            <w:r w:rsidR="006565E6" w:rsidRPr="00B0658A">
              <w:rPr>
                <w:rFonts w:ascii="Times New Roman" w:hAnsi="Times New Roman"/>
                <w:i/>
                <w:iCs/>
                <w:sz w:val="20"/>
                <w:szCs w:val="20"/>
              </w:rPr>
              <w:t>ий</w:t>
            </w:r>
            <w:r w:rsidRPr="00B0658A">
              <w:rPr>
                <w:rFonts w:ascii="Times New Roman" w:hAnsi="Times New Roman"/>
                <w:i/>
                <w:iCs/>
                <w:sz w:val="20"/>
                <w:szCs w:val="20"/>
              </w:rPr>
              <w:t xml:space="preserve"> год</w:t>
            </w:r>
            <w:r w:rsidR="006565E6" w:rsidRPr="00B0658A">
              <w:rPr>
                <w:rFonts w:ascii="Times New Roman" w:hAnsi="Times New Roman"/>
                <w:i/>
                <w:iCs/>
                <w:sz w:val="20"/>
                <w:szCs w:val="20"/>
              </w:rPr>
              <w:t>.</w:t>
            </w:r>
          </w:p>
        </w:tc>
        <w:tc>
          <w:tcPr>
            <w:tcW w:w="2977" w:type="dxa"/>
          </w:tcPr>
          <w:p w14:paraId="6A373BD7" w14:textId="77777777" w:rsidR="008319FB" w:rsidRPr="00B0658A" w:rsidRDefault="008319FB" w:rsidP="00004A41">
            <w:pPr>
              <w:spacing w:after="0" w:line="240" w:lineRule="auto"/>
              <w:jc w:val="both"/>
              <w:rPr>
                <w:rFonts w:ascii="Times New Roman" w:hAnsi="Times New Roman"/>
                <w:i/>
                <w:sz w:val="20"/>
                <w:szCs w:val="20"/>
              </w:rPr>
            </w:pPr>
            <w:r w:rsidRPr="00B0658A">
              <w:rPr>
                <w:rFonts w:ascii="Times New Roman" w:hAnsi="Times New Roman"/>
                <w:i/>
                <w:iCs/>
                <w:sz w:val="20"/>
                <w:szCs w:val="20"/>
              </w:rPr>
              <w:t>Указывается дополнительные комментарии по достижению установленных значений (при необходимости)</w:t>
            </w:r>
          </w:p>
          <w:p w14:paraId="63FF8866" w14:textId="77777777" w:rsidR="008319FB" w:rsidRPr="00B0658A" w:rsidRDefault="008319FB" w:rsidP="00004A41">
            <w:pPr>
              <w:spacing w:after="0" w:line="240" w:lineRule="auto"/>
              <w:rPr>
                <w:rFonts w:ascii="Times New Roman" w:hAnsi="Times New Roman"/>
                <w:sz w:val="20"/>
                <w:szCs w:val="20"/>
              </w:rPr>
            </w:pPr>
          </w:p>
        </w:tc>
      </w:tr>
      <w:tr w:rsidR="00F52FED" w:rsidRPr="00B0658A" w14:paraId="45AA3173" w14:textId="77777777" w:rsidTr="006565E6">
        <w:trPr>
          <w:trHeight w:val="283"/>
        </w:trPr>
        <w:tc>
          <w:tcPr>
            <w:tcW w:w="13887" w:type="dxa"/>
            <w:gridSpan w:val="6"/>
          </w:tcPr>
          <w:p w14:paraId="46910CF0" w14:textId="77777777" w:rsidR="008319FB" w:rsidRPr="00B0658A" w:rsidRDefault="008319FB" w:rsidP="00004A41">
            <w:pPr>
              <w:spacing w:after="0" w:line="240" w:lineRule="auto"/>
              <w:rPr>
                <w:rFonts w:ascii="Times New Roman" w:hAnsi="Times New Roman"/>
                <w:i/>
                <w:iCs/>
                <w:sz w:val="20"/>
                <w:szCs w:val="20"/>
              </w:rPr>
            </w:pPr>
            <w:r w:rsidRPr="00B0658A">
              <w:rPr>
                <w:rFonts w:ascii="Times New Roman" w:hAnsi="Times New Roman"/>
                <w:b/>
                <w:i/>
                <w:iCs/>
                <w:sz w:val="20"/>
                <w:szCs w:val="20"/>
                <w:lang w:val="en-US"/>
              </w:rPr>
              <w:t>II</w:t>
            </w:r>
            <w:r w:rsidRPr="00B0658A">
              <w:rPr>
                <w:rFonts w:ascii="Times New Roman" w:hAnsi="Times New Roman"/>
                <w:b/>
                <w:i/>
                <w:iCs/>
                <w:sz w:val="20"/>
                <w:szCs w:val="20"/>
              </w:rPr>
              <w:t xml:space="preserve">. </w:t>
            </w:r>
            <w:r w:rsidR="00861739" w:rsidRPr="00B0658A">
              <w:rPr>
                <w:rFonts w:ascii="Times New Roman" w:hAnsi="Times New Roman"/>
                <w:b/>
                <w:i/>
                <w:iCs/>
                <w:sz w:val="20"/>
                <w:szCs w:val="20"/>
              </w:rPr>
              <w:t>Финансов</w:t>
            </w:r>
            <w:r w:rsidR="00760F24" w:rsidRPr="00B0658A">
              <w:rPr>
                <w:rFonts w:ascii="Times New Roman" w:hAnsi="Times New Roman"/>
                <w:b/>
                <w:i/>
                <w:iCs/>
                <w:sz w:val="20"/>
                <w:szCs w:val="20"/>
              </w:rPr>
              <w:t xml:space="preserve">ое </w:t>
            </w:r>
            <w:r w:rsidR="00861739" w:rsidRPr="00B0658A">
              <w:rPr>
                <w:rFonts w:ascii="Times New Roman" w:hAnsi="Times New Roman"/>
                <w:b/>
                <w:bCs/>
                <w:i/>
                <w:iCs/>
                <w:sz w:val="20"/>
                <w:szCs w:val="20"/>
              </w:rPr>
              <w:t>о</w:t>
            </w:r>
            <w:r w:rsidRPr="00B0658A">
              <w:rPr>
                <w:rFonts w:ascii="Times New Roman" w:hAnsi="Times New Roman"/>
                <w:b/>
                <w:bCs/>
                <w:i/>
                <w:iCs/>
                <w:sz w:val="20"/>
                <w:szCs w:val="20"/>
              </w:rPr>
              <w:t>беспечени</w:t>
            </w:r>
            <w:r w:rsidR="00861739" w:rsidRPr="00B0658A">
              <w:rPr>
                <w:rFonts w:ascii="Times New Roman" w:hAnsi="Times New Roman"/>
                <w:b/>
                <w:bCs/>
                <w:i/>
                <w:iCs/>
                <w:sz w:val="20"/>
                <w:szCs w:val="20"/>
              </w:rPr>
              <w:t>я</w:t>
            </w:r>
            <w:r w:rsidRPr="00B0658A">
              <w:rPr>
                <w:rFonts w:ascii="Times New Roman" w:hAnsi="Times New Roman"/>
                <w:b/>
                <w:bCs/>
                <w:i/>
                <w:iCs/>
                <w:sz w:val="20"/>
                <w:szCs w:val="20"/>
              </w:rPr>
              <w:t xml:space="preserve"> перехода на использование российского </w:t>
            </w:r>
            <w:r w:rsidR="00861739" w:rsidRPr="00B0658A">
              <w:rPr>
                <w:rFonts w:ascii="Times New Roman" w:hAnsi="Times New Roman"/>
                <w:b/>
                <w:bCs/>
                <w:i/>
                <w:iCs/>
                <w:sz w:val="20"/>
                <w:szCs w:val="20"/>
              </w:rPr>
              <w:t>ПО</w:t>
            </w:r>
          </w:p>
        </w:tc>
      </w:tr>
      <w:tr w:rsidR="00F52FED" w:rsidRPr="00B0658A" w14:paraId="71E6F3E5" w14:textId="77777777" w:rsidTr="006565E6">
        <w:trPr>
          <w:trHeight w:val="376"/>
        </w:trPr>
        <w:tc>
          <w:tcPr>
            <w:tcW w:w="546" w:type="dxa"/>
          </w:tcPr>
          <w:p w14:paraId="2D37CF96" w14:textId="77777777" w:rsidR="008319FB" w:rsidRPr="00B0658A" w:rsidRDefault="0014439B" w:rsidP="00004A41">
            <w:pPr>
              <w:spacing w:after="0" w:line="240" w:lineRule="auto"/>
              <w:jc w:val="both"/>
              <w:rPr>
                <w:rFonts w:ascii="Times New Roman" w:hAnsi="Times New Roman"/>
                <w:sz w:val="20"/>
                <w:szCs w:val="20"/>
              </w:rPr>
            </w:pPr>
            <w:r w:rsidRPr="00B0658A">
              <w:rPr>
                <w:rFonts w:ascii="Times New Roman" w:hAnsi="Times New Roman"/>
                <w:sz w:val="20"/>
                <w:szCs w:val="20"/>
              </w:rPr>
              <w:t>2</w:t>
            </w:r>
            <w:r w:rsidR="008319FB" w:rsidRPr="00B0658A">
              <w:rPr>
                <w:rFonts w:ascii="Times New Roman" w:hAnsi="Times New Roman"/>
                <w:sz w:val="20"/>
                <w:szCs w:val="20"/>
              </w:rPr>
              <w:t>.</w:t>
            </w:r>
          </w:p>
        </w:tc>
        <w:tc>
          <w:tcPr>
            <w:tcW w:w="2575" w:type="dxa"/>
          </w:tcPr>
          <w:p w14:paraId="512379EB" w14:textId="77777777" w:rsidR="008319FB" w:rsidRPr="00B0658A" w:rsidRDefault="00861739" w:rsidP="00004A41">
            <w:pPr>
              <w:spacing w:after="0" w:line="240" w:lineRule="auto"/>
              <w:jc w:val="both"/>
              <w:rPr>
                <w:rFonts w:ascii="Times New Roman" w:hAnsi="Times New Roman"/>
                <w:sz w:val="20"/>
                <w:szCs w:val="20"/>
              </w:rPr>
            </w:pPr>
            <w:r w:rsidRPr="00B0658A">
              <w:rPr>
                <w:rFonts w:ascii="Times New Roman" w:hAnsi="Times New Roman"/>
                <w:sz w:val="20"/>
                <w:szCs w:val="20"/>
              </w:rPr>
              <w:t xml:space="preserve">Объём финансовых ресурсов, направленных на переход на использование российского </w:t>
            </w:r>
            <w:r w:rsidR="00C57355" w:rsidRPr="00B0658A">
              <w:rPr>
                <w:rFonts w:ascii="Times New Roman" w:hAnsi="Times New Roman"/>
                <w:sz w:val="20"/>
                <w:szCs w:val="20"/>
              </w:rPr>
              <w:t>ПО</w:t>
            </w:r>
          </w:p>
        </w:tc>
        <w:tc>
          <w:tcPr>
            <w:tcW w:w="1104" w:type="dxa"/>
          </w:tcPr>
          <w:p w14:paraId="590910B3" w14:textId="77777777" w:rsidR="008319FB" w:rsidRPr="00B0658A" w:rsidRDefault="008319FB" w:rsidP="00004A41">
            <w:pPr>
              <w:spacing w:after="0" w:line="240" w:lineRule="auto"/>
              <w:jc w:val="center"/>
              <w:rPr>
                <w:rFonts w:ascii="Times New Roman" w:hAnsi="Times New Roman"/>
                <w:sz w:val="20"/>
                <w:szCs w:val="20"/>
              </w:rPr>
            </w:pPr>
            <w:r w:rsidRPr="00B0658A">
              <w:rPr>
                <w:rFonts w:ascii="Times New Roman" w:hAnsi="Times New Roman"/>
                <w:sz w:val="20"/>
                <w:szCs w:val="20"/>
              </w:rPr>
              <w:t>тыс. руб.</w:t>
            </w:r>
          </w:p>
        </w:tc>
        <w:tc>
          <w:tcPr>
            <w:tcW w:w="3342" w:type="dxa"/>
          </w:tcPr>
          <w:p w14:paraId="4BD2852F" w14:textId="77777777" w:rsidR="008319FB" w:rsidRPr="00B0658A" w:rsidRDefault="008319FB" w:rsidP="00004A41">
            <w:pPr>
              <w:spacing w:after="0" w:line="240" w:lineRule="auto"/>
              <w:jc w:val="both"/>
              <w:rPr>
                <w:rFonts w:ascii="Times New Roman" w:hAnsi="Times New Roman"/>
                <w:sz w:val="20"/>
                <w:szCs w:val="20"/>
              </w:rPr>
            </w:pPr>
            <w:r w:rsidRPr="00B0658A">
              <w:rPr>
                <w:rFonts w:ascii="Times New Roman" w:hAnsi="Times New Roman"/>
                <w:i/>
                <w:iCs/>
                <w:sz w:val="20"/>
                <w:szCs w:val="20"/>
              </w:rPr>
              <w:t>Указывается плановое значение на соответствующий год в соответствии с показателями, установленными в плане перехода органа государственной власти или государственного внебюджетного фонда на использование российского ПО</w:t>
            </w:r>
          </w:p>
        </w:tc>
        <w:tc>
          <w:tcPr>
            <w:tcW w:w="3343" w:type="dxa"/>
          </w:tcPr>
          <w:p w14:paraId="664C33F7" w14:textId="77777777" w:rsidR="008319FB" w:rsidRPr="00B0658A" w:rsidRDefault="008319FB" w:rsidP="00004A41">
            <w:pPr>
              <w:spacing w:after="0" w:line="240" w:lineRule="auto"/>
              <w:jc w:val="both"/>
              <w:rPr>
                <w:rFonts w:ascii="Times New Roman" w:hAnsi="Times New Roman"/>
                <w:i/>
                <w:iCs/>
                <w:sz w:val="20"/>
                <w:szCs w:val="20"/>
              </w:rPr>
            </w:pPr>
            <w:r w:rsidRPr="00B0658A">
              <w:rPr>
                <w:rFonts w:ascii="Times New Roman" w:hAnsi="Times New Roman"/>
                <w:i/>
                <w:iCs/>
                <w:sz w:val="20"/>
                <w:szCs w:val="20"/>
              </w:rPr>
              <w:t xml:space="preserve">Указываются фактические объемы расходов, связанных с переходом на  использование российского ПО </w:t>
            </w:r>
            <w:r w:rsidR="006565E6" w:rsidRPr="00B0658A">
              <w:rPr>
                <w:rFonts w:ascii="Times New Roman" w:hAnsi="Times New Roman"/>
                <w:i/>
                <w:iCs/>
                <w:sz w:val="20"/>
                <w:szCs w:val="20"/>
              </w:rPr>
              <w:t>за соответствующий год.</w:t>
            </w:r>
          </w:p>
        </w:tc>
        <w:tc>
          <w:tcPr>
            <w:tcW w:w="2977" w:type="dxa"/>
          </w:tcPr>
          <w:p w14:paraId="1472670C" w14:textId="77777777" w:rsidR="008319FB" w:rsidRPr="00B0658A" w:rsidRDefault="008319FB" w:rsidP="00004A41">
            <w:pPr>
              <w:spacing w:after="0" w:line="240" w:lineRule="auto"/>
              <w:jc w:val="both"/>
              <w:rPr>
                <w:rFonts w:ascii="Times New Roman" w:hAnsi="Times New Roman"/>
                <w:i/>
                <w:sz w:val="20"/>
                <w:szCs w:val="20"/>
              </w:rPr>
            </w:pPr>
            <w:r w:rsidRPr="00B0658A">
              <w:rPr>
                <w:rFonts w:ascii="Times New Roman" w:hAnsi="Times New Roman"/>
                <w:i/>
                <w:iCs/>
                <w:sz w:val="20"/>
                <w:szCs w:val="20"/>
              </w:rPr>
              <w:t>Указывается дополнительные комментарии по достижению установленных значений (при необходимости)</w:t>
            </w:r>
          </w:p>
          <w:p w14:paraId="03E7E272" w14:textId="77777777" w:rsidR="008319FB" w:rsidRPr="00B0658A" w:rsidRDefault="008319FB" w:rsidP="00004A41">
            <w:pPr>
              <w:spacing w:after="0" w:line="240" w:lineRule="auto"/>
              <w:rPr>
                <w:rFonts w:ascii="Times New Roman" w:hAnsi="Times New Roman"/>
                <w:sz w:val="20"/>
                <w:szCs w:val="20"/>
              </w:rPr>
            </w:pPr>
            <w:r w:rsidRPr="00B0658A">
              <w:rPr>
                <w:rFonts w:ascii="Times New Roman" w:hAnsi="Times New Roman"/>
                <w:i/>
                <w:iCs/>
                <w:sz w:val="20"/>
                <w:szCs w:val="20"/>
              </w:rPr>
              <w:t>.</w:t>
            </w:r>
          </w:p>
        </w:tc>
      </w:tr>
    </w:tbl>
    <w:p w14:paraId="44279925" w14:textId="77777777" w:rsidR="005D599E" w:rsidRPr="00B0658A" w:rsidRDefault="005D599E" w:rsidP="006565E6">
      <w:pPr>
        <w:rPr>
          <w:rFonts w:ascii="Times New Roman" w:hAnsi="Times New Roman"/>
        </w:rPr>
      </w:pPr>
    </w:p>
    <w:p w14:paraId="3E2AEB25" w14:textId="77777777" w:rsidR="00EB5F7D" w:rsidRPr="00B0658A" w:rsidRDefault="0008219B" w:rsidP="00EB5F7D">
      <w:pPr>
        <w:ind w:firstLine="709"/>
        <w:rPr>
          <w:rFonts w:ascii="Times New Roman" w:hAnsi="Times New Roman"/>
          <w:sz w:val="28"/>
          <w:szCs w:val="28"/>
        </w:rPr>
      </w:pPr>
      <w:r w:rsidRPr="00B0658A">
        <w:rPr>
          <w:rFonts w:ascii="Times New Roman" w:hAnsi="Times New Roman"/>
          <w:sz w:val="28"/>
          <w:szCs w:val="28"/>
        </w:rPr>
        <w:t>3. Сведения об объёмах закупок российского и иностранного ПО и связанных с ним работ (услуг)</w:t>
      </w:r>
      <w:r w:rsidR="00EB5F7D" w:rsidRPr="00EB5F7D">
        <w:rPr>
          <w:rFonts w:ascii="Times New Roman" w:hAnsi="Times New Roman"/>
          <w:sz w:val="28"/>
          <w:szCs w:val="28"/>
        </w:rPr>
        <w:t xml:space="preserve"> </w:t>
      </w:r>
    </w:p>
    <w:tbl>
      <w:tblPr>
        <w:tblStyle w:val="afc"/>
        <w:tblW w:w="5000" w:type="pct"/>
        <w:tblLook w:val="04A0" w:firstRow="1" w:lastRow="0" w:firstColumn="1" w:lastColumn="0" w:noHBand="0" w:noVBand="1"/>
      </w:tblPr>
      <w:tblGrid>
        <w:gridCol w:w="680"/>
        <w:gridCol w:w="3567"/>
        <w:gridCol w:w="993"/>
        <w:gridCol w:w="8704"/>
      </w:tblGrid>
      <w:tr w:rsidR="00EB5F7D" w:rsidRPr="00B0658A" w14:paraId="3F31CA10" w14:textId="77777777" w:rsidTr="00293D6A">
        <w:trPr>
          <w:trHeight w:val="170"/>
        </w:trPr>
        <w:tc>
          <w:tcPr>
            <w:tcW w:w="244" w:type="pct"/>
            <w:vAlign w:val="center"/>
          </w:tcPr>
          <w:p w14:paraId="0F8BC7F5" w14:textId="77777777" w:rsidR="00EB5F7D" w:rsidRPr="00BA2448" w:rsidRDefault="00EB5F7D" w:rsidP="003A11B0">
            <w:pPr>
              <w:spacing w:after="0" w:line="240" w:lineRule="auto"/>
              <w:jc w:val="center"/>
              <w:rPr>
                <w:rFonts w:ascii="Times New Roman" w:hAnsi="Times New Roman"/>
                <w:b/>
                <w:bCs/>
                <w:sz w:val="20"/>
                <w:szCs w:val="20"/>
              </w:rPr>
            </w:pPr>
            <w:r w:rsidRPr="00BA2448">
              <w:rPr>
                <w:rFonts w:ascii="Times New Roman" w:hAnsi="Times New Roman"/>
                <w:b/>
                <w:bCs/>
                <w:sz w:val="20"/>
                <w:szCs w:val="20"/>
              </w:rPr>
              <w:t>№</w:t>
            </w:r>
          </w:p>
        </w:tc>
        <w:tc>
          <w:tcPr>
            <w:tcW w:w="1279" w:type="pct"/>
            <w:vAlign w:val="center"/>
          </w:tcPr>
          <w:p w14:paraId="0082A97F" w14:textId="77777777" w:rsidR="00EB5F7D" w:rsidRPr="00BA2448" w:rsidRDefault="00EB5F7D" w:rsidP="003A11B0">
            <w:pPr>
              <w:spacing w:after="0" w:line="240" w:lineRule="auto"/>
              <w:jc w:val="center"/>
              <w:rPr>
                <w:rFonts w:ascii="Times New Roman" w:hAnsi="Times New Roman"/>
                <w:b/>
                <w:bCs/>
                <w:sz w:val="20"/>
                <w:szCs w:val="20"/>
              </w:rPr>
            </w:pPr>
            <w:r w:rsidRPr="00BA2448">
              <w:rPr>
                <w:rFonts w:ascii="Times New Roman" w:hAnsi="Times New Roman"/>
                <w:b/>
                <w:bCs/>
                <w:sz w:val="20"/>
                <w:szCs w:val="20"/>
              </w:rPr>
              <w:t>Наименование показателя</w:t>
            </w:r>
          </w:p>
        </w:tc>
        <w:tc>
          <w:tcPr>
            <w:tcW w:w="356" w:type="pct"/>
            <w:vAlign w:val="center"/>
          </w:tcPr>
          <w:p w14:paraId="2FAD160D" w14:textId="77777777" w:rsidR="00EB5F7D" w:rsidRPr="00BA2448" w:rsidRDefault="00EB5F7D" w:rsidP="003A11B0">
            <w:pPr>
              <w:spacing w:after="0" w:line="240" w:lineRule="auto"/>
              <w:jc w:val="center"/>
              <w:rPr>
                <w:rFonts w:ascii="Times New Roman" w:hAnsi="Times New Roman"/>
                <w:b/>
                <w:bCs/>
                <w:sz w:val="20"/>
                <w:szCs w:val="20"/>
              </w:rPr>
            </w:pPr>
            <w:r w:rsidRPr="00BA2448">
              <w:rPr>
                <w:rFonts w:ascii="Times New Roman" w:hAnsi="Times New Roman"/>
                <w:b/>
                <w:bCs/>
                <w:sz w:val="20"/>
                <w:szCs w:val="20"/>
              </w:rPr>
              <w:t>Ед. изм.</w:t>
            </w:r>
          </w:p>
        </w:tc>
        <w:tc>
          <w:tcPr>
            <w:tcW w:w="3121" w:type="pct"/>
            <w:vAlign w:val="center"/>
          </w:tcPr>
          <w:p w14:paraId="1E33AAF2" w14:textId="77777777" w:rsidR="00EB5F7D" w:rsidRPr="00BA2448" w:rsidRDefault="00EB5F7D" w:rsidP="003A11B0">
            <w:pPr>
              <w:spacing w:after="0" w:line="240" w:lineRule="auto"/>
              <w:jc w:val="center"/>
              <w:rPr>
                <w:rFonts w:ascii="Times New Roman" w:hAnsi="Times New Roman"/>
                <w:b/>
                <w:bCs/>
                <w:sz w:val="20"/>
                <w:szCs w:val="20"/>
              </w:rPr>
            </w:pPr>
            <w:r w:rsidRPr="00BA2448">
              <w:rPr>
                <w:rFonts w:ascii="Times New Roman" w:hAnsi="Times New Roman"/>
                <w:b/>
                <w:bCs/>
                <w:sz w:val="20"/>
                <w:szCs w:val="20"/>
              </w:rPr>
              <w:t>Сведения об объёмах закупок российского и иностранного ПО и связанных с ним работ (услуг) за _______ г.</w:t>
            </w:r>
          </w:p>
        </w:tc>
      </w:tr>
      <w:tr w:rsidR="00EB5F7D" w:rsidRPr="00B0658A" w14:paraId="7709555D" w14:textId="77777777" w:rsidTr="00293D6A">
        <w:trPr>
          <w:trHeight w:val="170"/>
        </w:trPr>
        <w:tc>
          <w:tcPr>
            <w:tcW w:w="244" w:type="pct"/>
          </w:tcPr>
          <w:p w14:paraId="74219639" w14:textId="77777777" w:rsidR="00EB5F7D" w:rsidRPr="00BA2448" w:rsidRDefault="00EB5F7D" w:rsidP="003A11B0">
            <w:pPr>
              <w:spacing w:after="0" w:line="240" w:lineRule="auto"/>
              <w:jc w:val="both"/>
              <w:rPr>
                <w:rFonts w:ascii="Times New Roman" w:hAnsi="Times New Roman"/>
                <w:sz w:val="20"/>
                <w:szCs w:val="20"/>
              </w:rPr>
            </w:pPr>
            <w:r w:rsidRPr="00BA2448">
              <w:rPr>
                <w:rFonts w:ascii="Times New Roman" w:hAnsi="Times New Roman"/>
                <w:sz w:val="20"/>
                <w:szCs w:val="20"/>
              </w:rPr>
              <w:t>1.</w:t>
            </w:r>
          </w:p>
        </w:tc>
        <w:tc>
          <w:tcPr>
            <w:tcW w:w="1279" w:type="pct"/>
          </w:tcPr>
          <w:p w14:paraId="478CF919" w14:textId="77777777" w:rsidR="00EB5F7D" w:rsidRPr="00BA2448" w:rsidRDefault="00EB5F7D" w:rsidP="003A11B0">
            <w:pPr>
              <w:spacing w:after="0" w:line="240" w:lineRule="auto"/>
              <w:jc w:val="both"/>
              <w:rPr>
                <w:rFonts w:ascii="Times New Roman" w:hAnsi="Times New Roman"/>
                <w:sz w:val="20"/>
                <w:szCs w:val="20"/>
              </w:rPr>
            </w:pPr>
            <w:r w:rsidRPr="00BA2448">
              <w:rPr>
                <w:rFonts w:ascii="Times New Roman" w:hAnsi="Times New Roman"/>
                <w:sz w:val="20"/>
                <w:szCs w:val="20"/>
              </w:rPr>
              <w:t>Объёмы закупок российского ПО и связанных с ним работ (услуг)</w:t>
            </w:r>
          </w:p>
        </w:tc>
        <w:tc>
          <w:tcPr>
            <w:tcW w:w="356" w:type="pct"/>
          </w:tcPr>
          <w:p w14:paraId="063D1F9C" w14:textId="77777777" w:rsidR="00EB5F7D" w:rsidRPr="00BA2448" w:rsidRDefault="00EB5F7D" w:rsidP="003A11B0">
            <w:pPr>
              <w:spacing w:after="0" w:line="240" w:lineRule="auto"/>
              <w:jc w:val="center"/>
              <w:rPr>
                <w:rFonts w:ascii="Times New Roman" w:hAnsi="Times New Roman"/>
                <w:sz w:val="20"/>
                <w:szCs w:val="20"/>
              </w:rPr>
            </w:pPr>
            <w:r w:rsidRPr="00BA2448">
              <w:rPr>
                <w:rFonts w:ascii="Times New Roman" w:hAnsi="Times New Roman"/>
                <w:sz w:val="20"/>
                <w:szCs w:val="20"/>
              </w:rPr>
              <w:t>тыс. руб.</w:t>
            </w:r>
          </w:p>
        </w:tc>
        <w:tc>
          <w:tcPr>
            <w:tcW w:w="3121" w:type="pct"/>
          </w:tcPr>
          <w:p w14:paraId="71F249E2" w14:textId="77777777" w:rsidR="00EB5F7D" w:rsidRPr="00BA2448" w:rsidRDefault="00EB5F7D" w:rsidP="003A11B0">
            <w:pPr>
              <w:spacing w:after="0" w:line="240" w:lineRule="auto"/>
              <w:jc w:val="both"/>
              <w:rPr>
                <w:rFonts w:ascii="Times New Roman" w:hAnsi="Times New Roman"/>
                <w:sz w:val="20"/>
                <w:szCs w:val="20"/>
              </w:rPr>
            </w:pPr>
            <w:r w:rsidRPr="00BA2448">
              <w:rPr>
                <w:rFonts w:ascii="Times New Roman" w:hAnsi="Times New Roman"/>
                <w:i/>
                <w:iCs/>
                <w:sz w:val="20"/>
                <w:szCs w:val="20"/>
              </w:rPr>
              <w:t xml:space="preserve">Указываются фактические объемы расходов, связанных с закупкой российского ПО и связанных с ним работ (услуг) </w:t>
            </w:r>
            <w:r>
              <w:rPr>
                <w:rFonts w:ascii="Times New Roman" w:hAnsi="Times New Roman"/>
                <w:i/>
                <w:iCs/>
                <w:sz w:val="20"/>
                <w:szCs w:val="20"/>
              </w:rPr>
              <w:t xml:space="preserve">за соответствующий год. </w:t>
            </w:r>
          </w:p>
        </w:tc>
      </w:tr>
      <w:tr w:rsidR="00EB5F7D" w:rsidRPr="00B0658A" w14:paraId="329EB731" w14:textId="77777777" w:rsidTr="00293D6A">
        <w:trPr>
          <w:trHeight w:val="170"/>
        </w:trPr>
        <w:tc>
          <w:tcPr>
            <w:tcW w:w="244" w:type="pct"/>
          </w:tcPr>
          <w:p w14:paraId="3C1CD123" w14:textId="77777777" w:rsidR="00EB5F7D" w:rsidRPr="00BA2448" w:rsidRDefault="00EB5F7D" w:rsidP="003A11B0">
            <w:pPr>
              <w:spacing w:after="0" w:line="240" w:lineRule="auto"/>
              <w:jc w:val="both"/>
              <w:rPr>
                <w:rFonts w:ascii="Times New Roman" w:hAnsi="Times New Roman"/>
                <w:sz w:val="20"/>
                <w:szCs w:val="20"/>
              </w:rPr>
            </w:pPr>
            <w:r w:rsidRPr="00BA2448">
              <w:rPr>
                <w:rFonts w:ascii="Times New Roman" w:hAnsi="Times New Roman"/>
                <w:sz w:val="20"/>
                <w:szCs w:val="20"/>
              </w:rPr>
              <w:t>2.</w:t>
            </w:r>
          </w:p>
        </w:tc>
        <w:tc>
          <w:tcPr>
            <w:tcW w:w="1279" w:type="pct"/>
          </w:tcPr>
          <w:p w14:paraId="38900B66" w14:textId="77777777" w:rsidR="00EB5F7D" w:rsidRPr="00BA2448" w:rsidRDefault="00EB5F7D" w:rsidP="003A11B0">
            <w:pPr>
              <w:spacing w:after="0" w:line="240" w:lineRule="auto"/>
              <w:jc w:val="both"/>
              <w:rPr>
                <w:rFonts w:ascii="Times New Roman" w:hAnsi="Times New Roman"/>
                <w:sz w:val="20"/>
                <w:szCs w:val="20"/>
              </w:rPr>
            </w:pPr>
            <w:r w:rsidRPr="00BA2448">
              <w:rPr>
                <w:rFonts w:ascii="Times New Roman" w:hAnsi="Times New Roman"/>
                <w:sz w:val="20"/>
                <w:szCs w:val="20"/>
              </w:rPr>
              <w:t>Объёмы закупок иностранного ПО и связанных с ним работ (услуг)</w:t>
            </w:r>
          </w:p>
        </w:tc>
        <w:tc>
          <w:tcPr>
            <w:tcW w:w="356" w:type="pct"/>
          </w:tcPr>
          <w:p w14:paraId="0912202D" w14:textId="77777777" w:rsidR="00EB5F7D" w:rsidRPr="00BA2448" w:rsidRDefault="00EB5F7D" w:rsidP="003A11B0">
            <w:pPr>
              <w:spacing w:after="0" w:line="240" w:lineRule="auto"/>
              <w:jc w:val="center"/>
              <w:rPr>
                <w:rFonts w:ascii="Times New Roman" w:hAnsi="Times New Roman"/>
                <w:sz w:val="20"/>
                <w:szCs w:val="20"/>
              </w:rPr>
            </w:pPr>
            <w:r w:rsidRPr="00BA2448">
              <w:rPr>
                <w:rFonts w:ascii="Times New Roman" w:hAnsi="Times New Roman"/>
                <w:sz w:val="20"/>
                <w:szCs w:val="20"/>
              </w:rPr>
              <w:t>тыс. руб.</w:t>
            </w:r>
          </w:p>
        </w:tc>
        <w:tc>
          <w:tcPr>
            <w:tcW w:w="3121" w:type="pct"/>
          </w:tcPr>
          <w:p w14:paraId="176902D7" w14:textId="77777777" w:rsidR="00EB5F7D" w:rsidRPr="00BA2448" w:rsidRDefault="00EB5F7D" w:rsidP="003A11B0">
            <w:pPr>
              <w:spacing w:after="0" w:line="240" w:lineRule="auto"/>
              <w:jc w:val="both"/>
              <w:rPr>
                <w:rFonts w:ascii="Times New Roman" w:hAnsi="Times New Roman"/>
                <w:i/>
                <w:iCs/>
                <w:sz w:val="20"/>
                <w:szCs w:val="20"/>
              </w:rPr>
            </w:pPr>
            <w:r w:rsidRPr="00BA2448">
              <w:rPr>
                <w:rFonts w:ascii="Times New Roman" w:hAnsi="Times New Roman"/>
                <w:i/>
                <w:iCs/>
                <w:sz w:val="20"/>
                <w:szCs w:val="20"/>
              </w:rPr>
              <w:t xml:space="preserve">Указываются фактические объемы расходов, связанных с закупкой иностранного ПО и связанных с ним работ (услуг) </w:t>
            </w:r>
            <w:r>
              <w:rPr>
                <w:rFonts w:ascii="Times New Roman" w:hAnsi="Times New Roman"/>
                <w:i/>
                <w:iCs/>
                <w:sz w:val="20"/>
                <w:szCs w:val="20"/>
              </w:rPr>
              <w:t>за соответствующий год.</w:t>
            </w:r>
          </w:p>
        </w:tc>
      </w:tr>
    </w:tbl>
    <w:p w14:paraId="0DE6986A" w14:textId="77777777" w:rsidR="00EB5F7D" w:rsidRDefault="00EB5F7D" w:rsidP="00EB5F7D">
      <w:pPr>
        <w:spacing w:after="0" w:line="240" w:lineRule="auto"/>
        <w:rPr>
          <w:rFonts w:ascii="Times New Roman" w:hAnsi="Times New Roman"/>
        </w:rPr>
      </w:pPr>
      <w:r>
        <w:rPr>
          <w:rFonts w:ascii="Times New Roman" w:hAnsi="Times New Roman"/>
        </w:rPr>
        <w:br w:type="page"/>
      </w:r>
    </w:p>
    <w:p w14:paraId="6271C42B" w14:textId="77777777" w:rsidR="0008219B" w:rsidRPr="00B0658A" w:rsidRDefault="0008219B" w:rsidP="00EB5F7D">
      <w:pPr>
        <w:ind w:firstLine="709"/>
        <w:rPr>
          <w:rFonts w:ascii="Times New Roman" w:hAnsi="Times New Roman"/>
        </w:rPr>
      </w:pPr>
    </w:p>
    <w:p w14:paraId="417F7F29" w14:textId="77777777" w:rsidR="008319FB" w:rsidRPr="00B0658A" w:rsidRDefault="0008219B" w:rsidP="0008219B">
      <w:pPr>
        <w:spacing w:line="240" w:lineRule="auto"/>
        <w:ind w:firstLine="709"/>
        <w:jc w:val="both"/>
        <w:rPr>
          <w:rFonts w:ascii="Times New Roman" w:hAnsi="Times New Roman"/>
          <w:sz w:val="28"/>
        </w:rPr>
      </w:pPr>
      <w:r w:rsidRPr="00B0658A">
        <w:rPr>
          <w:rFonts w:ascii="Times New Roman" w:hAnsi="Times New Roman"/>
          <w:sz w:val="28"/>
          <w:szCs w:val="28"/>
        </w:rPr>
        <w:t xml:space="preserve">4. </w:t>
      </w:r>
      <w:r w:rsidR="008319FB" w:rsidRPr="00B0658A">
        <w:rPr>
          <w:rFonts w:ascii="Times New Roman" w:hAnsi="Times New Roman"/>
          <w:sz w:val="28"/>
          <w:szCs w:val="24"/>
        </w:rPr>
        <w:t xml:space="preserve">Сведения о достижении показателей эффективности перехода </w:t>
      </w:r>
      <w:r w:rsidR="008319FB" w:rsidRPr="00B0658A">
        <w:rPr>
          <w:rFonts w:ascii="Times New Roman" w:hAnsi="Times New Roman"/>
          <w:sz w:val="28"/>
          <w:szCs w:val="28"/>
        </w:rPr>
        <w:t xml:space="preserve">на использование российского </w:t>
      </w:r>
      <w:r w:rsidR="00FF6101" w:rsidRPr="00B0658A">
        <w:rPr>
          <w:rFonts w:ascii="Times New Roman" w:hAnsi="Times New Roman"/>
          <w:sz w:val="28"/>
          <w:szCs w:val="28"/>
        </w:rPr>
        <w:t>ПО</w:t>
      </w:r>
      <w:r w:rsidR="008319FB" w:rsidRPr="00B0658A">
        <w:rPr>
          <w:rFonts w:ascii="Times New Roman" w:hAnsi="Times New Roman"/>
          <w:sz w:val="28"/>
          <w:szCs w:val="28"/>
        </w:rPr>
        <w:t>.</w:t>
      </w:r>
    </w:p>
    <w:tbl>
      <w:tblPr>
        <w:tblStyle w:val="afc"/>
        <w:tblW w:w="5000" w:type="pct"/>
        <w:tblLook w:val="0480" w:firstRow="0" w:lastRow="0" w:firstColumn="1" w:lastColumn="0" w:noHBand="0" w:noVBand="1"/>
      </w:tblPr>
      <w:tblGrid>
        <w:gridCol w:w="567"/>
        <w:gridCol w:w="3215"/>
        <w:gridCol w:w="1740"/>
        <w:gridCol w:w="3040"/>
        <w:gridCol w:w="2889"/>
        <w:gridCol w:w="2493"/>
      </w:tblGrid>
      <w:tr w:rsidR="00F52FED" w:rsidRPr="00B0658A" w14:paraId="6B57E671" w14:textId="77777777" w:rsidTr="00F57B1F">
        <w:trPr>
          <w:trHeight w:val="170"/>
          <w:tblHeader/>
        </w:trPr>
        <w:tc>
          <w:tcPr>
            <w:tcW w:w="203" w:type="pct"/>
            <w:vMerge w:val="restart"/>
            <w:shd w:val="clear" w:color="auto" w:fill="auto"/>
            <w:vAlign w:val="center"/>
          </w:tcPr>
          <w:p w14:paraId="533E240E" w14:textId="77777777" w:rsidR="008319FB" w:rsidRPr="00B0658A" w:rsidRDefault="008319FB" w:rsidP="00004A41">
            <w:pPr>
              <w:spacing w:after="0" w:line="240" w:lineRule="auto"/>
              <w:jc w:val="center"/>
              <w:rPr>
                <w:rFonts w:ascii="Times New Roman" w:hAnsi="Times New Roman"/>
                <w:b/>
                <w:bCs/>
                <w:sz w:val="20"/>
                <w:szCs w:val="20"/>
              </w:rPr>
            </w:pPr>
            <w:r w:rsidRPr="00B0658A">
              <w:rPr>
                <w:rFonts w:ascii="Times New Roman" w:hAnsi="Times New Roman"/>
                <w:b/>
                <w:bCs/>
                <w:sz w:val="20"/>
                <w:szCs w:val="20"/>
              </w:rPr>
              <w:t>№</w:t>
            </w:r>
          </w:p>
          <w:p w14:paraId="11FA16F6" w14:textId="77777777" w:rsidR="008319FB" w:rsidRPr="00B0658A" w:rsidRDefault="008319FB" w:rsidP="00004A41">
            <w:pPr>
              <w:spacing w:after="0" w:line="240" w:lineRule="auto"/>
              <w:jc w:val="center"/>
              <w:rPr>
                <w:rFonts w:ascii="Times New Roman" w:hAnsi="Times New Roman"/>
                <w:b/>
                <w:bCs/>
                <w:sz w:val="20"/>
                <w:szCs w:val="20"/>
              </w:rPr>
            </w:pPr>
          </w:p>
        </w:tc>
        <w:tc>
          <w:tcPr>
            <w:tcW w:w="1153" w:type="pct"/>
            <w:vMerge w:val="restart"/>
            <w:shd w:val="clear" w:color="auto" w:fill="auto"/>
            <w:vAlign w:val="center"/>
          </w:tcPr>
          <w:p w14:paraId="424FA818" w14:textId="77777777" w:rsidR="008319FB" w:rsidRPr="00B0658A" w:rsidRDefault="008319FB" w:rsidP="00004A41">
            <w:pPr>
              <w:spacing w:after="0" w:line="240" w:lineRule="auto"/>
              <w:jc w:val="center"/>
              <w:rPr>
                <w:rFonts w:ascii="Times New Roman" w:hAnsi="Times New Roman"/>
                <w:b/>
                <w:bCs/>
                <w:sz w:val="20"/>
                <w:szCs w:val="20"/>
              </w:rPr>
            </w:pPr>
            <w:r w:rsidRPr="00B0658A">
              <w:rPr>
                <w:rFonts w:ascii="Times New Roman" w:hAnsi="Times New Roman"/>
                <w:b/>
                <w:bCs/>
                <w:sz w:val="20"/>
                <w:szCs w:val="20"/>
              </w:rPr>
              <w:t xml:space="preserve">Наименование класса </w:t>
            </w:r>
            <w:r w:rsidRPr="00B0658A">
              <w:rPr>
                <w:rFonts w:ascii="Times New Roman" w:hAnsi="Times New Roman"/>
                <w:b/>
                <w:bCs/>
                <w:sz w:val="20"/>
                <w:szCs w:val="20"/>
                <w:lang w:val="en-US"/>
              </w:rPr>
              <w:t xml:space="preserve">/ </w:t>
            </w:r>
            <w:r w:rsidRPr="00B0658A">
              <w:rPr>
                <w:rFonts w:ascii="Times New Roman" w:hAnsi="Times New Roman"/>
                <w:b/>
                <w:bCs/>
                <w:sz w:val="20"/>
                <w:szCs w:val="20"/>
              </w:rPr>
              <w:t>типа ПО</w:t>
            </w:r>
          </w:p>
        </w:tc>
        <w:tc>
          <w:tcPr>
            <w:tcW w:w="624" w:type="pct"/>
            <w:vMerge w:val="restart"/>
          </w:tcPr>
          <w:p w14:paraId="04F07A90" w14:textId="77777777" w:rsidR="008319FB" w:rsidRPr="00B0658A" w:rsidRDefault="008319FB" w:rsidP="00004A41">
            <w:pPr>
              <w:spacing w:after="0" w:line="240" w:lineRule="auto"/>
              <w:jc w:val="center"/>
              <w:rPr>
                <w:rFonts w:ascii="Times New Roman" w:hAnsi="Times New Roman"/>
                <w:b/>
                <w:bCs/>
                <w:sz w:val="20"/>
                <w:szCs w:val="20"/>
              </w:rPr>
            </w:pPr>
            <w:r w:rsidRPr="00B0658A">
              <w:rPr>
                <w:rFonts w:ascii="Times New Roman" w:hAnsi="Times New Roman"/>
                <w:b/>
                <w:bCs/>
                <w:sz w:val="20"/>
                <w:szCs w:val="20"/>
              </w:rPr>
              <w:t>Единицы измерения уровня использования</w:t>
            </w:r>
          </w:p>
        </w:tc>
        <w:tc>
          <w:tcPr>
            <w:tcW w:w="2126" w:type="pct"/>
            <w:gridSpan w:val="2"/>
            <w:shd w:val="clear" w:color="auto" w:fill="auto"/>
            <w:vAlign w:val="center"/>
          </w:tcPr>
          <w:p w14:paraId="189A91A0" w14:textId="77777777" w:rsidR="005558FF" w:rsidRPr="00B0658A" w:rsidRDefault="005558FF" w:rsidP="00004A41">
            <w:pPr>
              <w:spacing w:after="0" w:line="240" w:lineRule="auto"/>
              <w:jc w:val="center"/>
              <w:rPr>
                <w:rFonts w:ascii="Times New Roman" w:hAnsi="Times New Roman"/>
                <w:b/>
                <w:bCs/>
                <w:sz w:val="20"/>
                <w:szCs w:val="20"/>
              </w:rPr>
            </w:pPr>
            <w:r w:rsidRPr="00B0658A">
              <w:rPr>
                <w:rFonts w:ascii="Times New Roman" w:hAnsi="Times New Roman"/>
                <w:b/>
                <w:bCs/>
                <w:sz w:val="20"/>
                <w:szCs w:val="20"/>
              </w:rPr>
              <w:t>Сведения о достижении показателей эффективности перехода на использование российского ПО</w:t>
            </w:r>
          </w:p>
          <w:p w14:paraId="7CD15A26" w14:textId="77777777" w:rsidR="008319FB" w:rsidRPr="00B0658A" w:rsidRDefault="008319FB" w:rsidP="00004A41">
            <w:pPr>
              <w:spacing w:after="0" w:line="240" w:lineRule="auto"/>
              <w:jc w:val="center"/>
              <w:rPr>
                <w:rFonts w:ascii="Times New Roman" w:hAnsi="Times New Roman"/>
                <w:b/>
                <w:bCs/>
                <w:sz w:val="20"/>
                <w:szCs w:val="20"/>
              </w:rPr>
            </w:pPr>
            <w:r w:rsidRPr="00B0658A">
              <w:rPr>
                <w:rFonts w:ascii="Times New Roman" w:hAnsi="Times New Roman"/>
                <w:b/>
                <w:bCs/>
                <w:sz w:val="20"/>
                <w:szCs w:val="20"/>
              </w:rPr>
              <w:t>за _____ год</w:t>
            </w:r>
          </w:p>
        </w:tc>
        <w:tc>
          <w:tcPr>
            <w:tcW w:w="894" w:type="pct"/>
            <w:vMerge w:val="restart"/>
            <w:shd w:val="clear" w:color="auto" w:fill="auto"/>
            <w:vAlign w:val="center"/>
          </w:tcPr>
          <w:p w14:paraId="067C5866" w14:textId="77777777" w:rsidR="008319FB" w:rsidRPr="00B0658A" w:rsidRDefault="00E94824" w:rsidP="00004A41">
            <w:pPr>
              <w:spacing w:after="0" w:line="240" w:lineRule="auto"/>
              <w:jc w:val="center"/>
              <w:rPr>
                <w:rFonts w:ascii="Times New Roman" w:hAnsi="Times New Roman"/>
                <w:b/>
                <w:bCs/>
                <w:sz w:val="20"/>
                <w:szCs w:val="20"/>
              </w:rPr>
            </w:pPr>
            <w:r w:rsidRPr="00B0658A">
              <w:rPr>
                <w:rFonts w:ascii="Times New Roman" w:hAnsi="Times New Roman"/>
                <w:b/>
                <w:bCs/>
                <w:sz w:val="20"/>
                <w:szCs w:val="20"/>
              </w:rPr>
              <w:t>Сведения о российском/евразийском ПО, на использование которого был осуществлен переход</w:t>
            </w:r>
          </w:p>
        </w:tc>
      </w:tr>
      <w:tr w:rsidR="00F52FED" w:rsidRPr="00B0658A" w14:paraId="49E6BCE8" w14:textId="77777777" w:rsidTr="00FF6101">
        <w:trPr>
          <w:trHeight w:val="170"/>
        </w:trPr>
        <w:tc>
          <w:tcPr>
            <w:tcW w:w="203" w:type="pct"/>
            <w:vMerge/>
            <w:shd w:val="clear" w:color="auto" w:fill="auto"/>
          </w:tcPr>
          <w:p w14:paraId="26306F65" w14:textId="77777777" w:rsidR="008319FB" w:rsidRPr="00B0658A" w:rsidRDefault="008319FB" w:rsidP="00004A41">
            <w:pPr>
              <w:spacing w:after="0" w:line="240" w:lineRule="auto"/>
              <w:rPr>
                <w:rFonts w:ascii="Times New Roman" w:hAnsi="Times New Roman"/>
                <w:b/>
                <w:bCs/>
                <w:sz w:val="20"/>
                <w:szCs w:val="20"/>
              </w:rPr>
            </w:pPr>
          </w:p>
        </w:tc>
        <w:tc>
          <w:tcPr>
            <w:tcW w:w="1153" w:type="pct"/>
            <w:vMerge/>
            <w:shd w:val="clear" w:color="auto" w:fill="auto"/>
          </w:tcPr>
          <w:p w14:paraId="2B2E305D" w14:textId="77777777" w:rsidR="008319FB" w:rsidRPr="00B0658A" w:rsidRDefault="008319FB" w:rsidP="00004A41">
            <w:pPr>
              <w:spacing w:after="0" w:line="240" w:lineRule="auto"/>
              <w:rPr>
                <w:rFonts w:ascii="Times New Roman" w:hAnsi="Times New Roman"/>
                <w:b/>
                <w:bCs/>
                <w:sz w:val="20"/>
                <w:szCs w:val="20"/>
              </w:rPr>
            </w:pPr>
          </w:p>
        </w:tc>
        <w:tc>
          <w:tcPr>
            <w:tcW w:w="624" w:type="pct"/>
            <w:vMerge/>
          </w:tcPr>
          <w:p w14:paraId="26021BE1" w14:textId="77777777" w:rsidR="008319FB" w:rsidRPr="00B0658A" w:rsidRDefault="008319FB" w:rsidP="00004A41">
            <w:pPr>
              <w:spacing w:after="0" w:line="240" w:lineRule="auto"/>
              <w:jc w:val="center"/>
              <w:rPr>
                <w:rFonts w:ascii="Times New Roman" w:hAnsi="Times New Roman"/>
                <w:b/>
                <w:bCs/>
                <w:sz w:val="20"/>
                <w:szCs w:val="20"/>
              </w:rPr>
            </w:pPr>
          </w:p>
        </w:tc>
        <w:tc>
          <w:tcPr>
            <w:tcW w:w="1090" w:type="pct"/>
            <w:shd w:val="clear" w:color="auto" w:fill="auto"/>
            <w:vAlign w:val="center"/>
          </w:tcPr>
          <w:p w14:paraId="39F45424" w14:textId="77777777" w:rsidR="008319FB" w:rsidRPr="00B0658A" w:rsidRDefault="008319FB" w:rsidP="00004A41">
            <w:pPr>
              <w:spacing w:after="0" w:line="240" w:lineRule="auto"/>
              <w:jc w:val="center"/>
              <w:rPr>
                <w:rFonts w:ascii="Times New Roman" w:hAnsi="Times New Roman"/>
                <w:b/>
                <w:bCs/>
                <w:sz w:val="20"/>
                <w:szCs w:val="20"/>
              </w:rPr>
            </w:pPr>
            <w:r w:rsidRPr="00B0658A">
              <w:rPr>
                <w:rFonts w:ascii="Times New Roman" w:hAnsi="Times New Roman"/>
                <w:b/>
                <w:bCs/>
                <w:sz w:val="20"/>
                <w:szCs w:val="20"/>
              </w:rPr>
              <w:t>План</w:t>
            </w:r>
          </w:p>
        </w:tc>
        <w:tc>
          <w:tcPr>
            <w:tcW w:w="1036" w:type="pct"/>
            <w:shd w:val="clear" w:color="auto" w:fill="auto"/>
          </w:tcPr>
          <w:p w14:paraId="6D4CB4E7" w14:textId="77777777" w:rsidR="008319FB" w:rsidRPr="00B0658A" w:rsidRDefault="008319FB" w:rsidP="00004A41">
            <w:pPr>
              <w:spacing w:after="0" w:line="240" w:lineRule="auto"/>
              <w:jc w:val="center"/>
              <w:rPr>
                <w:rFonts w:ascii="Times New Roman" w:hAnsi="Times New Roman"/>
                <w:b/>
                <w:bCs/>
                <w:sz w:val="20"/>
                <w:szCs w:val="20"/>
              </w:rPr>
            </w:pPr>
            <w:r w:rsidRPr="00B0658A">
              <w:rPr>
                <w:rFonts w:ascii="Times New Roman" w:hAnsi="Times New Roman"/>
                <w:b/>
                <w:bCs/>
                <w:sz w:val="20"/>
                <w:szCs w:val="20"/>
              </w:rPr>
              <w:t>Факт</w:t>
            </w:r>
          </w:p>
        </w:tc>
        <w:tc>
          <w:tcPr>
            <w:tcW w:w="894" w:type="pct"/>
            <w:vMerge/>
            <w:shd w:val="clear" w:color="auto" w:fill="auto"/>
          </w:tcPr>
          <w:p w14:paraId="32C4FB3A" w14:textId="77777777" w:rsidR="008319FB" w:rsidRPr="00B0658A" w:rsidRDefault="008319FB" w:rsidP="00004A41">
            <w:pPr>
              <w:spacing w:after="0" w:line="240" w:lineRule="auto"/>
              <w:rPr>
                <w:rFonts w:ascii="Times New Roman" w:hAnsi="Times New Roman"/>
                <w:b/>
                <w:bCs/>
                <w:sz w:val="20"/>
                <w:szCs w:val="20"/>
              </w:rPr>
            </w:pPr>
          </w:p>
        </w:tc>
      </w:tr>
      <w:tr w:rsidR="00F52FED" w:rsidRPr="00B0658A" w14:paraId="7EA221B7" w14:textId="77777777" w:rsidTr="00FF6101">
        <w:trPr>
          <w:trHeight w:val="170"/>
        </w:trPr>
        <w:tc>
          <w:tcPr>
            <w:tcW w:w="203" w:type="pct"/>
            <w:shd w:val="clear" w:color="auto" w:fill="auto"/>
            <w:vAlign w:val="center"/>
          </w:tcPr>
          <w:p w14:paraId="33E9EC25" w14:textId="77777777" w:rsidR="00FF6101" w:rsidRPr="00B0658A" w:rsidRDefault="00FF6101" w:rsidP="00004A41">
            <w:pPr>
              <w:spacing w:after="0" w:line="240" w:lineRule="auto"/>
              <w:rPr>
                <w:rFonts w:ascii="Times New Roman" w:hAnsi="Times New Roman"/>
                <w:sz w:val="20"/>
                <w:szCs w:val="20"/>
              </w:rPr>
            </w:pPr>
            <w:r w:rsidRPr="00B0658A">
              <w:rPr>
                <w:rFonts w:ascii="Times New Roman" w:hAnsi="Times New Roman"/>
                <w:sz w:val="20"/>
                <w:szCs w:val="20"/>
              </w:rPr>
              <w:t>1.1</w:t>
            </w:r>
          </w:p>
        </w:tc>
        <w:tc>
          <w:tcPr>
            <w:tcW w:w="1153" w:type="pct"/>
            <w:shd w:val="clear" w:color="auto" w:fill="auto"/>
            <w:vAlign w:val="center"/>
          </w:tcPr>
          <w:p w14:paraId="30151571" w14:textId="77777777" w:rsidR="00FF6101" w:rsidRPr="00B0658A" w:rsidRDefault="00FF6101" w:rsidP="00004A41">
            <w:pPr>
              <w:spacing w:after="0" w:line="240" w:lineRule="auto"/>
              <w:rPr>
                <w:rFonts w:ascii="Times New Roman" w:hAnsi="Times New Roman"/>
                <w:i/>
                <w:sz w:val="20"/>
                <w:szCs w:val="20"/>
              </w:rPr>
            </w:pPr>
            <w:r w:rsidRPr="00B0658A">
              <w:rPr>
                <w:rFonts w:ascii="Times New Roman" w:hAnsi="Times New Roman"/>
                <w:sz w:val="20"/>
                <w:szCs w:val="20"/>
              </w:rPr>
              <w:t>Встроенное программное обеспечение/ Встроенные системные программы: BIOS, UEFI и иные встроенные системные программы</w:t>
            </w:r>
          </w:p>
        </w:tc>
        <w:tc>
          <w:tcPr>
            <w:tcW w:w="624" w:type="pct"/>
          </w:tcPr>
          <w:p w14:paraId="33E46D43" w14:textId="77777777" w:rsidR="00FF6101" w:rsidRPr="00B0658A" w:rsidRDefault="00FF6101" w:rsidP="00004A41">
            <w:pPr>
              <w:spacing w:after="0" w:line="240" w:lineRule="auto"/>
              <w:rPr>
                <w:rFonts w:ascii="Times New Roman" w:hAnsi="Times New Roman"/>
                <w:i/>
                <w:iCs/>
                <w:sz w:val="20"/>
                <w:szCs w:val="20"/>
              </w:rPr>
            </w:pPr>
            <w:r w:rsidRPr="00B0658A">
              <w:rPr>
                <w:rFonts w:ascii="Times New Roman" w:hAnsi="Times New Roman"/>
                <w:i/>
                <w:iCs/>
                <w:sz w:val="20"/>
                <w:szCs w:val="20"/>
              </w:rPr>
              <w:t xml:space="preserve">Указывается единица измерения уровня использования </w:t>
            </w:r>
          </w:p>
        </w:tc>
        <w:tc>
          <w:tcPr>
            <w:tcW w:w="1090" w:type="pct"/>
            <w:shd w:val="clear" w:color="auto" w:fill="auto"/>
          </w:tcPr>
          <w:p w14:paraId="5D407BAE" w14:textId="77777777" w:rsidR="00FF6101" w:rsidRPr="00B0658A" w:rsidRDefault="00FF6101" w:rsidP="00004A41">
            <w:pPr>
              <w:spacing w:after="0" w:line="240" w:lineRule="auto"/>
              <w:rPr>
                <w:rFonts w:ascii="Times New Roman" w:hAnsi="Times New Roman"/>
                <w:i/>
                <w:iCs/>
                <w:sz w:val="20"/>
                <w:szCs w:val="20"/>
              </w:rPr>
            </w:pPr>
            <w:r w:rsidRPr="00B0658A">
              <w:rPr>
                <w:rFonts w:ascii="Times New Roman" w:hAnsi="Times New Roman"/>
                <w:i/>
                <w:iCs/>
                <w:sz w:val="20"/>
                <w:szCs w:val="20"/>
              </w:rPr>
              <w:t>Указывается плановое значение показателя эффективности на соответствующий год для соответствующего класса ПО в соответствии с утвержденным планом перехода органа государственной власти или государственного внебюджетного фонда на использование российского ПО.</w:t>
            </w:r>
          </w:p>
          <w:p w14:paraId="0DD5A1F9" w14:textId="77777777" w:rsidR="00FF6101" w:rsidRPr="00B0658A" w:rsidRDefault="00FF6101" w:rsidP="00004A41">
            <w:pPr>
              <w:spacing w:after="0" w:line="240" w:lineRule="auto"/>
              <w:rPr>
                <w:rFonts w:ascii="Times New Roman" w:hAnsi="Times New Roman"/>
                <w:i/>
                <w:iCs/>
                <w:sz w:val="20"/>
                <w:szCs w:val="20"/>
              </w:rPr>
            </w:pPr>
            <w:r w:rsidRPr="00B0658A">
              <w:rPr>
                <w:rFonts w:ascii="Times New Roman" w:hAnsi="Times New Roman"/>
                <w:i/>
                <w:iCs/>
                <w:sz w:val="20"/>
                <w:szCs w:val="20"/>
              </w:rPr>
              <w:t>В случае, если для соответствующего показателя ранее было установлено значение «не используется» указывается «не используется»</w:t>
            </w:r>
          </w:p>
        </w:tc>
        <w:tc>
          <w:tcPr>
            <w:tcW w:w="1036" w:type="pct"/>
            <w:shd w:val="clear" w:color="auto" w:fill="auto"/>
          </w:tcPr>
          <w:p w14:paraId="57B3862D" w14:textId="77777777" w:rsidR="00FF6101" w:rsidRPr="00B0658A" w:rsidRDefault="00FF6101" w:rsidP="00004A41">
            <w:pPr>
              <w:spacing w:after="0" w:line="240" w:lineRule="auto"/>
              <w:rPr>
                <w:rFonts w:ascii="Times New Roman" w:hAnsi="Times New Roman"/>
                <w:i/>
                <w:iCs/>
                <w:sz w:val="20"/>
                <w:szCs w:val="20"/>
              </w:rPr>
            </w:pPr>
            <w:r w:rsidRPr="00B0658A">
              <w:rPr>
                <w:rFonts w:ascii="Times New Roman" w:hAnsi="Times New Roman"/>
                <w:i/>
                <w:iCs/>
                <w:sz w:val="20"/>
                <w:szCs w:val="20"/>
              </w:rPr>
              <w:t>Указывается фактически достигнутое значение показателя использования российского ПО по итогам соответствующего отчетного периода. Данные устанавливаются накопленным итогом с учетом достигнутых результатов в прошлых периодах.</w:t>
            </w:r>
          </w:p>
          <w:p w14:paraId="1D2F5972" w14:textId="77777777" w:rsidR="00FF6101" w:rsidRPr="00B0658A" w:rsidRDefault="00FF6101" w:rsidP="00004A41">
            <w:pPr>
              <w:spacing w:after="0" w:line="240" w:lineRule="auto"/>
              <w:rPr>
                <w:rFonts w:ascii="Times New Roman" w:hAnsi="Times New Roman"/>
                <w:i/>
                <w:iCs/>
                <w:sz w:val="20"/>
                <w:szCs w:val="20"/>
              </w:rPr>
            </w:pPr>
            <w:r w:rsidRPr="00B0658A">
              <w:rPr>
                <w:rFonts w:ascii="Times New Roman" w:hAnsi="Times New Roman"/>
                <w:i/>
                <w:iCs/>
                <w:sz w:val="20"/>
                <w:szCs w:val="20"/>
              </w:rPr>
              <w:t>В случае, если для соответствующего показателя ранее было установлено значение «не используется» указывается «не используется»</w:t>
            </w:r>
          </w:p>
        </w:tc>
        <w:tc>
          <w:tcPr>
            <w:tcW w:w="894" w:type="pct"/>
            <w:shd w:val="clear" w:color="auto" w:fill="auto"/>
          </w:tcPr>
          <w:p w14:paraId="3C872FE0" w14:textId="77777777" w:rsidR="005558FF" w:rsidRPr="00B0658A" w:rsidRDefault="005558FF" w:rsidP="00004A41">
            <w:pPr>
              <w:spacing w:after="0" w:line="240" w:lineRule="auto"/>
              <w:jc w:val="both"/>
              <w:rPr>
                <w:rFonts w:ascii="Times New Roman" w:hAnsi="Times New Roman"/>
                <w:i/>
                <w:iCs/>
                <w:sz w:val="20"/>
                <w:szCs w:val="20"/>
              </w:rPr>
            </w:pPr>
            <w:r w:rsidRPr="00B0658A">
              <w:rPr>
                <w:rFonts w:ascii="Times New Roman" w:hAnsi="Times New Roman"/>
                <w:i/>
                <w:iCs/>
                <w:sz w:val="20"/>
                <w:szCs w:val="20"/>
              </w:rPr>
              <w:t>Указывается следующая информация:</w:t>
            </w:r>
          </w:p>
          <w:p w14:paraId="29446677" w14:textId="77777777" w:rsidR="005558FF" w:rsidRPr="00B0658A" w:rsidRDefault="005558FF" w:rsidP="00004A41">
            <w:pPr>
              <w:spacing w:after="0" w:line="240" w:lineRule="auto"/>
              <w:jc w:val="both"/>
              <w:rPr>
                <w:rFonts w:ascii="Times New Roman" w:hAnsi="Times New Roman"/>
                <w:i/>
                <w:iCs/>
                <w:sz w:val="20"/>
                <w:szCs w:val="20"/>
              </w:rPr>
            </w:pPr>
            <w:r w:rsidRPr="00B0658A">
              <w:rPr>
                <w:rFonts w:ascii="Times New Roman" w:hAnsi="Times New Roman"/>
                <w:i/>
                <w:iCs/>
                <w:sz w:val="20"/>
                <w:szCs w:val="20"/>
              </w:rPr>
              <w:t>1. Наименование иностранного ПО, которое было замещено;</w:t>
            </w:r>
          </w:p>
          <w:p w14:paraId="401B9EA6" w14:textId="77777777" w:rsidR="00FF6101" w:rsidRPr="00B0658A" w:rsidRDefault="005558FF" w:rsidP="00004A41">
            <w:pPr>
              <w:spacing w:after="0" w:line="240" w:lineRule="auto"/>
              <w:jc w:val="both"/>
              <w:rPr>
                <w:rFonts w:ascii="Times New Roman" w:hAnsi="Times New Roman"/>
                <w:i/>
                <w:iCs/>
                <w:sz w:val="20"/>
                <w:szCs w:val="20"/>
              </w:rPr>
            </w:pPr>
            <w:r w:rsidRPr="00B0658A">
              <w:rPr>
                <w:rFonts w:ascii="Times New Roman" w:hAnsi="Times New Roman"/>
                <w:i/>
                <w:iCs/>
                <w:sz w:val="20"/>
                <w:szCs w:val="20"/>
              </w:rPr>
              <w:t>2. Наименование российского ПО и евразийского ПО (на значимых объект</w:t>
            </w:r>
            <w:r w:rsidR="00815605" w:rsidRPr="00B0658A">
              <w:rPr>
                <w:rFonts w:ascii="Times New Roman" w:hAnsi="Times New Roman"/>
                <w:i/>
                <w:iCs/>
                <w:sz w:val="20"/>
                <w:szCs w:val="20"/>
              </w:rPr>
              <w:t>ах</w:t>
            </w:r>
            <w:r w:rsidRPr="00B0658A">
              <w:rPr>
                <w:rFonts w:ascii="Times New Roman" w:hAnsi="Times New Roman"/>
                <w:i/>
                <w:iCs/>
                <w:sz w:val="20"/>
                <w:szCs w:val="20"/>
              </w:rPr>
              <w:t xml:space="preserve"> КИИ), на которое был осуществлен переход, с указанием сведений о номерах записей в едином реестре российского ПО и в едином реестре евразийского ПО соответственно.</w:t>
            </w:r>
          </w:p>
        </w:tc>
      </w:tr>
      <w:tr w:rsidR="00F52FED" w:rsidRPr="00B0658A" w14:paraId="239E17A0" w14:textId="77777777" w:rsidTr="00FF6101">
        <w:trPr>
          <w:trHeight w:val="170"/>
        </w:trPr>
        <w:tc>
          <w:tcPr>
            <w:tcW w:w="203" w:type="pct"/>
            <w:shd w:val="clear" w:color="auto" w:fill="auto"/>
            <w:vAlign w:val="center"/>
          </w:tcPr>
          <w:p w14:paraId="2CF45A66" w14:textId="77777777" w:rsidR="00FF6101" w:rsidRPr="00B0658A" w:rsidRDefault="00FF6101" w:rsidP="00004A41">
            <w:pPr>
              <w:spacing w:after="0" w:line="240" w:lineRule="auto"/>
              <w:rPr>
                <w:rFonts w:ascii="Times New Roman" w:hAnsi="Times New Roman"/>
                <w:sz w:val="20"/>
                <w:szCs w:val="20"/>
              </w:rPr>
            </w:pPr>
            <w:r w:rsidRPr="00B0658A">
              <w:rPr>
                <w:rFonts w:ascii="Times New Roman" w:hAnsi="Times New Roman"/>
                <w:sz w:val="20"/>
                <w:szCs w:val="20"/>
              </w:rPr>
              <w:t>1.2</w:t>
            </w:r>
          </w:p>
        </w:tc>
        <w:tc>
          <w:tcPr>
            <w:tcW w:w="1153" w:type="pct"/>
            <w:shd w:val="clear" w:color="auto" w:fill="auto"/>
            <w:vAlign w:val="center"/>
          </w:tcPr>
          <w:p w14:paraId="353CCAB4" w14:textId="77777777" w:rsidR="00FF6101" w:rsidRPr="00B0658A" w:rsidRDefault="00FF6101" w:rsidP="00004A41">
            <w:pPr>
              <w:spacing w:after="0" w:line="240" w:lineRule="auto"/>
              <w:rPr>
                <w:rFonts w:ascii="Times New Roman" w:hAnsi="Times New Roman"/>
                <w:i/>
                <w:iCs/>
                <w:sz w:val="20"/>
                <w:szCs w:val="20"/>
              </w:rPr>
            </w:pPr>
            <w:r w:rsidRPr="00B0658A">
              <w:rPr>
                <w:rFonts w:ascii="Times New Roman" w:hAnsi="Times New Roman"/>
                <w:sz w:val="20"/>
                <w:szCs w:val="20"/>
              </w:rPr>
              <w:t>Встроенное программное обеспечение/ Встроенные системные программы – операционные системы</w:t>
            </w:r>
          </w:p>
        </w:tc>
        <w:tc>
          <w:tcPr>
            <w:tcW w:w="624" w:type="pct"/>
          </w:tcPr>
          <w:p w14:paraId="78393873" w14:textId="77777777" w:rsidR="00FF6101" w:rsidRPr="00B0658A" w:rsidRDefault="00FF6101" w:rsidP="00004A41">
            <w:pPr>
              <w:spacing w:after="0" w:line="240" w:lineRule="auto"/>
              <w:rPr>
                <w:rFonts w:ascii="Times New Roman" w:hAnsi="Times New Roman"/>
                <w:i/>
                <w:iCs/>
                <w:sz w:val="20"/>
                <w:szCs w:val="20"/>
              </w:rPr>
            </w:pPr>
          </w:p>
        </w:tc>
        <w:tc>
          <w:tcPr>
            <w:tcW w:w="1090" w:type="pct"/>
            <w:shd w:val="clear" w:color="auto" w:fill="auto"/>
          </w:tcPr>
          <w:p w14:paraId="4637848B" w14:textId="77777777" w:rsidR="00FF6101" w:rsidRPr="00B0658A" w:rsidRDefault="00FF6101" w:rsidP="00004A41">
            <w:pPr>
              <w:spacing w:after="0" w:line="240" w:lineRule="auto"/>
              <w:rPr>
                <w:rFonts w:ascii="Times New Roman" w:hAnsi="Times New Roman"/>
                <w:i/>
                <w:iCs/>
                <w:sz w:val="20"/>
                <w:szCs w:val="20"/>
              </w:rPr>
            </w:pPr>
          </w:p>
        </w:tc>
        <w:tc>
          <w:tcPr>
            <w:tcW w:w="1036" w:type="pct"/>
            <w:shd w:val="clear" w:color="auto" w:fill="auto"/>
          </w:tcPr>
          <w:p w14:paraId="5AE4B092" w14:textId="77777777" w:rsidR="00FF6101" w:rsidRPr="00B0658A" w:rsidRDefault="00FF6101" w:rsidP="00004A41">
            <w:pPr>
              <w:spacing w:after="0" w:line="240" w:lineRule="auto"/>
              <w:rPr>
                <w:rFonts w:ascii="Times New Roman" w:hAnsi="Times New Roman"/>
                <w:i/>
                <w:iCs/>
                <w:sz w:val="20"/>
                <w:szCs w:val="20"/>
              </w:rPr>
            </w:pPr>
          </w:p>
        </w:tc>
        <w:tc>
          <w:tcPr>
            <w:tcW w:w="894" w:type="pct"/>
            <w:shd w:val="clear" w:color="auto" w:fill="auto"/>
          </w:tcPr>
          <w:p w14:paraId="1256B658" w14:textId="77777777" w:rsidR="00FF6101" w:rsidRPr="00B0658A" w:rsidRDefault="00FF6101" w:rsidP="00004A41">
            <w:pPr>
              <w:spacing w:after="0" w:line="240" w:lineRule="auto"/>
              <w:jc w:val="both"/>
              <w:rPr>
                <w:rFonts w:ascii="Times New Roman" w:hAnsi="Times New Roman"/>
                <w:i/>
                <w:iCs/>
                <w:sz w:val="20"/>
                <w:szCs w:val="20"/>
              </w:rPr>
            </w:pPr>
          </w:p>
        </w:tc>
      </w:tr>
      <w:tr w:rsidR="00F52FED" w:rsidRPr="00B0658A" w14:paraId="41FC993F" w14:textId="77777777" w:rsidTr="00FF6101">
        <w:trPr>
          <w:trHeight w:val="170"/>
        </w:trPr>
        <w:tc>
          <w:tcPr>
            <w:tcW w:w="203" w:type="pct"/>
            <w:shd w:val="clear" w:color="auto" w:fill="auto"/>
            <w:vAlign w:val="center"/>
          </w:tcPr>
          <w:p w14:paraId="02FD1DCF" w14:textId="77777777" w:rsidR="00FF6101" w:rsidRPr="00B0658A" w:rsidRDefault="00FF6101" w:rsidP="00004A41">
            <w:pPr>
              <w:spacing w:after="0" w:line="240" w:lineRule="auto"/>
              <w:rPr>
                <w:rFonts w:ascii="Times New Roman" w:hAnsi="Times New Roman"/>
                <w:sz w:val="20"/>
                <w:szCs w:val="20"/>
              </w:rPr>
            </w:pPr>
            <w:r w:rsidRPr="00B0658A">
              <w:rPr>
                <w:rFonts w:ascii="Times New Roman" w:hAnsi="Times New Roman"/>
                <w:sz w:val="20"/>
                <w:szCs w:val="20"/>
              </w:rPr>
              <w:t>1.3</w:t>
            </w:r>
          </w:p>
        </w:tc>
        <w:tc>
          <w:tcPr>
            <w:tcW w:w="1153" w:type="pct"/>
            <w:shd w:val="clear" w:color="auto" w:fill="auto"/>
            <w:vAlign w:val="center"/>
          </w:tcPr>
          <w:p w14:paraId="436D4905" w14:textId="77777777" w:rsidR="00FF6101" w:rsidRPr="00B0658A" w:rsidRDefault="00FF6101" w:rsidP="00004A41">
            <w:pPr>
              <w:spacing w:after="0" w:line="240" w:lineRule="auto"/>
              <w:rPr>
                <w:rFonts w:ascii="Times New Roman" w:hAnsi="Times New Roman"/>
                <w:i/>
                <w:iCs/>
                <w:sz w:val="20"/>
                <w:szCs w:val="20"/>
              </w:rPr>
            </w:pPr>
            <w:r w:rsidRPr="00B0658A">
              <w:rPr>
                <w:rFonts w:ascii="Times New Roman" w:hAnsi="Times New Roman"/>
                <w:sz w:val="20"/>
                <w:szCs w:val="20"/>
              </w:rPr>
              <w:t>Встроенное программное обеспечение/ Встроенные прикладные программы</w:t>
            </w:r>
          </w:p>
        </w:tc>
        <w:tc>
          <w:tcPr>
            <w:tcW w:w="624" w:type="pct"/>
          </w:tcPr>
          <w:p w14:paraId="52970ED9" w14:textId="77777777" w:rsidR="00FF6101" w:rsidRPr="00B0658A" w:rsidRDefault="00FF6101" w:rsidP="00004A41">
            <w:pPr>
              <w:spacing w:after="0" w:line="240" w:lineRule="auto"/>
              <w:rPr>
                <w:rFonts w:ascii="Times New Roman" w:hAnsi="Times New Roman"/>
                <w:i/>
                <w:iCs/>
                <w:sz w:val="20"/>
                <w:szCs w:val="20"/>
              </w:rPr>
            </w:pPr>
          </w:p>
        </w:tc>
        <w:tc>
          <w:tcPr>
            <w:tcW w:w="1090" w:type="pct"/>
            <w:shd w:val="clear" w:color="auto" w:fill="auto"/>
          </w:tcPr>
          <w:p w14:paraId="082176FF" w14:textId="77777777" w:rsidR="00FF6101" w:rsidRPr="00B0658A" w:rsidRDefault="00FF6101" w:rsidP="00004A41">
            <w:pPr>
              <w:spacing w:after="0" w:line="240" w:lineRule="auto"/>
              <w:rPr>
                <w:rFonts w:ascii="Times New Roman" w:hAnsi="Times New Roman"/>
                <w:i/>
                <w:iCs/>
                <w:sz w:val="20"/>
                <w:szCs w:val="20"/>
              </w:rPr>
            </w:pPr>
          </w:p>
        </w:tc>
        <w:tc>
          <w:tcPr>
            <w:tcW w:w="1036" w:type="pct"/>
            <w:shd w:val="clear" w:color="auto" w:fill="auto"/>
          </w:tcPr>
          <w:p w14:paraId="06DED827" w14:textId="77777777" w:rsidR="00FF6101" w:rsidRPr="00B0658A" w:rsidRDefault="00FF6101" w:rsidP="00004A41">
            <w:pPr>
              <w:spacing w:after="0" w:line="240" w:lineRule="auto"/>
              <w:rPr>
                <w:rFonts w:ascii="Times New Roman" w:hAnsi="Times New Roman"/>
                <w:i/>
                <w:iCs/>
                <w:sz w:val="20"/>
                <w:szCs w:val="20"/>
              </w:rPr>
            </w:pPr>
          </w:p>
        </w:tc>
        <w:tc>
          <w:tcPr>
            <w:tcW w:w="894" w:type="pct"/>
            <w:shd w:val="clear" w:color="auto" w:fill="auto"/>
          </w:tcPr>
          <w:p w14:paraId="2E16F688" w14:textId="77777777" w:rsidR="00FF6101" w:rsidRPr="00B0658A" w:rsidRDefault="00FF6101" w:rsidP="00004A41">
            <w:pPr>
              <w:spacing w:after="0" w:line="240" w:lineRule="auto"/>
              <w:jc w:val="both"/>
              <w:rPr>
                <w:rFonts w:ascii="Times New Roman" w:hAnsi="Times New Roman"/>
                <w:i/>
                <w:iCs/>
                <w:sz w:val="20"/>
                <w:szCs w:val="20"/>
              </w:rPr>
            </w:pPr>
          </w:p>
        </w:tc>
      </w:tr>
      <w:tr w:rsidR="00F52FED" w:rsidRPr="00B0658A" w14:paraId="6D733092" w14:textId="77777777" w:rsidTr="00FF6101">
        <w:trPr>
          <w:trHeight w:val="170"/>
        </w:trPr>
        <w:tc>
          <w:tcPr>
            <w:tcW w:w="203" w:type="pct"/>
            <w:shd w:val="clear" w:color="auto" w:fill="auto"/>
            <w:vAlign w:val="center"/>
          </w:tcPr>
          <w:p w14:paraId="128FD790" w14:textId="77777777" w:rsidR="00FF6101" w:rsidRPr="00B0658A" w:rsidRDefault="00FF6101" w:rsidP="00004A41">
            <w:pPr>
              <w:spacing w:after="0" w:line="240" w:lineRule="auto"/>
              <w:rPr>
                <w:rFonts w:ascii="Times New Roman" w:hAnsi="Times New Roman"/>
                <w:sz w:val="20"/>
                <w:szCs w:val="20"/>
              </w:rPr>
            </w:pPr>
            <w:r w:rsidRPr="00B0658A">
              <w:rPr>
                <w:rFonts w:ascii="Times New Roman" w:hAnsi="Times New Roman"/>
                <w:sz w:val="20"/>
                <w:szCs w:val="20"/>
              </w:rPr>
              <w:t>1.4</w:t>
            </w:r>
          </w:p>
        </w:tc>
        <w:tc>
          <w:tcPr>
            <w:tcW w:w="1153" w:type="pct"/>
            <w:shd w:val="clear" w:color="auto" w:fill="auto"/>
            <w:vAlign w:val="center"/>
          </w:tcPr>
          <w:p w14:paraId="334D6257" w14:textId="77777777" w:rsidR="00FF6101" w:rsidRPr="00B0658A" w:rsidRDefault="00FF6101" w:rsidP="00004A41">
            <w:pPr>
              <w:spacing w:after="0" w:line="240" w:lineRule="auto"/>
              <w:rPr>
                <w:rFonts w:ascii="Times New Roman" w:hAnsi="Times New Roman"/>
                <w:i/>
                <w:iCs/>
                <w:sz w:val="20"/>
                <w:szCs w:val="20"/>
              </w:rPr>
            </w:pPr>
            <w:r w:rsidRPr="00B0658A">
              <w:rPr>
                <w:rFonts w:ascii="Times New Roman" w:hAnsi="Times New Roman"/>
                <w:sz w:val="20"/>
                <w:szCs w:val="20"/>
              </w:rPr>
              <w:t>Встроенное программное обеспечение/ Программное обеспечение интернета вещей, робототехники и сенсорики</w:t>
            </w:r>
          </w:p>
        </w:tc>
        <w:tc>
          <w:tcPr>
            <w:tcW w:w="624" w:type="pct"/>
          </w:tcPr>
          <w:p w14:paraId="3AC271D5" w14:textId="77777777" w:rsidR="00FF6101" w:rsidRPr="00B0658A" w:rsidRDefault="00FF6101" w:rsidP="00004A41">
            <w:pPr>
              <w:spacing w:after="0" w:line="240" w:lineRule="auto"/>
              <w:rPr>
                <w:rFonts w:ascii="Times New Roman" w:hAnsi="Times New Roman"/>
                <w:i/>
                <w:iCs/>
                <w:sz w:val="20"/>
                <w:szCs w:val="20"/>
              </w:rPr>
            </w:pPr>
          </w:p>
        </w:tc>
        <w:tc>
          <w:tcPr>
            <w:tcW w:w="1090" w:type="pct"/>
            <w:shd w:val="clear" w:color="auto" w:fill="auto"/>
          </w:tcPr>
          <w:p w14:paraId="5095C421" w14:textId="77777777" w:rsidR="00FF6101" w:rsidRPr="00B0658A" w:rsidRDefault="00FF6101" w:rsidP="00004A41">
            <w:pPr>
              <w:spacing w:after="0" w:line="240" w:lineRule="auto"/>
              <w:rPr>
                <w:rFonts w:ascii="Times New Roman" w:hAnsi="Times New Roman"/>
                <w:i/>
                <w:iCs/>
                <w:sz w:val="20"/>
                <w:szCs w:val="20"/>
              </w:rPr>
            </w:pPr>
          </w:p>
        </w:tc>
        <w:tc>
          <w:tcPr>
            <w:tcW w:w="1036" w:type="pct"/>
            <w:shd w:val="clear" w:color="auto" w:fill="auto"/>
          </w:tcPr>
          <w:p w14:paraId="1C921855" w14:textId="77777777" w:rsidR="00FF6101" w:rsidRPr="00B0658A" w:rsidRDefault="00FF6101" w:rsidP="00004A41">
            <w:pPr>
              <w:spacing w:after="0" w:line="240" w:lineRule="auto"/>
              <w:rPr>
                <w:rFonts w:ascii="Times New Roman" w:hAnsi="Times New Roman"/>
                <w:i/>
                <w:iCs/>
                <w:sz w:val="20"/>
                <w:szCs w:val="20"/>
              </w:rPr>
            </w:pPr>
          </w:p>
        </w:tc>
        <w:tc>
          <w:tcPr>
            <w:tcW w:w="894" w:type="pct"/>
            <w:shd w:val="clear" w:color="auto" w:fill="auto"/>
          </w:tcPr>
          <w:p w14:paraId="2BBC2F66" w14:textId="77777777" w:rsidR="00FF6101" w:rsidRPr="00B0658A" w:rsidRDefault="00FF6101" w:rsidP="00004A41">
            <w:pPr>
              <w:spacing w:after="0" w:line="240" w:lineRule="auto"/>
              <w:jc w:val="both"/>
              <w:rPr>
                <w:rFonts w:ascii="Times New Roman" w:hAnsi="Times New Roman"/>
                <w:i/>
                <w:iCs/>
                <w:sz w:val="20"/>
                <w:szCs w:val="20"/>
              </w:rPr>
            </w:pPr>
          </w:p>
        </w:tc>
      </w:tr>
      <w:tr w:rsidR="00F52FED" w:rsidRPr="00B0658A" w14:paraId="027FB935" w14:textId="77777777" w:rsidTr="00FF6101">
        <w:trPr>
          <w:trHeight w:val="170"/>
        </w:trPr>
        <w:tc>
          <w:tcPr>
            <w:tcW w:w="203" w:type="pct"/>
            <w:shd w:val="clear" w:color="auto" w:fill="auto"/>
            <w:vAlign w:val="center"/>
          </w:tcPr>
          <w:p w14:paraId="771B4D0B" w14:textId="77777777" w:rsidR="00FF6101" w:rsidRPr="00B0658A" w:rsidRDefault="00FF6101" w:rsidP="00004A41">
            <w:pPr>
              <w:spacing w:after="0" w:line="240" w:lineRule="auto"/>
              <w:rPr>
                <w:rFonts w:ascii="Times New Roman" w:hAnsi="Times New Roman"/>
                <w:sz w:val="20"/>
                <w:szCs w:val="20"/>
              </w:rPr>
            </w:pPr>
            <w:r w:rsidRPr="00B0658A">
              <w:rPr>
                <w:rFonts w:ascii="Times New Roman" w:hAnsi="Times New Roman"/>
                <w:sz w:val="20"/>
                <w:szCs w:val="20"/>
              </w:rPr>
              <w:lastRenderedPageBreak/>
              <w:t>2.1</w:t>
            </w:r>
          </w:p>
        </w:tc>
        <w:tc>
          <w:tcPr>
            <w:tcW w:w="1153" w:type="pct"/>
            <w:shd w:val="clear" w:color="auto" w:fill="auto"/>
            <w:vAlign w:val="center"/>
          </w:tcPr>
          <w:p w14:paraId="6D679083" w14:textId="77777777" w:rsidR="00FF6101" w:rsidRPr="00B0658A" w:rsidRDefault="00FF6101" w:rsidP="00004A41">
            <w:pPr>
              <w:spacing w:after="0" w:line="240" w:lineRule="auto"/>
              <w:rPr>
                <w:rFonts w:ascii="Times New Roman" w:hAnsi="Times New Roman"/>
                <w:i/>
                <w:iCs/>
                <w:sz w:val="20"/>
                <w:szCs w:val="20"/>
              </w:rPr>
            </w:pPr>
            <w:r w:rsidRPr="00B0658A">
              <w:rPr>
                <w:rFonts w:ascii="Times New Roman" w:hAnsi="Times New Roman"/>
                <w:sz w:val="20"/>
                <w:szCs w:val="20"/>
              </w:rPr>
              <w:t>Системное программное обеспечение/ Драйверы</w:t>
            </w:r>
          </w:p>
        </w:tc>
        <w:tc>
          <w:tcPr>
            <w:tcW w:w="624" w:type="pct"/>
          </w:tcPr>
          <w:p w14:paraId="391FD29F" w14:textId="77777777" w:rsidR="00FF6101" w:rsidRPr="00B0658A" w:rsidRDefault="00FF6101" w:rsidP="00004A41">
            <w:pPr>
              <w:spacing w:after="0" w:line="240" w:lineRule="auto"/>
              <w:rPr>
                <w:rFonts w:ascii="Times New Roman" w:hAnsi="Times New Roman"/>
                <w:i/>
                <w:iCs/>
                <w:sz w:val="20"/>
                <w:szCs w:val="20"/>
              </w:rPr>
            </w:pPr>
          </w:p>
        </w:tc>
        <w:tc>
          <w:tcPr>
            <w:tcW w:w="1090" w:type="pct"/>
            <w:shd w:val="clear" w:color="auto" w:fill="auto"/>
          </w:tcPr>
          <w:p w14:paraId="14E0004C" w14:textId="77777777" w:rsidR="00FF6101" w:rsidRPr="00B0658A" w:rsidRDefault="00FF6101" w:rsidP="00004A41">
            <w:pPr>
              <w:spacing w:after="0" w:line="240" w:lineRule="auto"/>
              <w:rPr>
                <w:rFonts w:ascii="Times New Roman" w:hAnsi="Times New Roman"/>
                <w:i/>
                <w:iCs/>
                <w:sz w:val="20"/>
                <w:szCs w:val="20"/>
              </w:rPr>
            </w:pPr>
          </w:p>
        </w:tc>
        <w:tc>
          <w:tcPr>
            <w:tcW w:w="1036" w:type="pct"/>
            <w:shd w:val="clear" w:color="auto" w:fill="auto"/>
          </w:tcPr>
          <w:p w14:paraId="7078119D" w14:textId="77777777" w:rsidR="00FF6101" w:rsidRPr="00B0658A" w:rsidRDefault="00FF6101" w:rsidP="00004A41">
            <w:pPr>
              <w:spacing w:after="0" w:line="240" w:lineRule="auto"/>
              <w:rPr>
                <w:rFonts w:ascii="Times New Roman" w:hAnsi="Times New Roman"/>
                <w:i/>
                <w:iCs/>
                <w:sz w:val="20"/>
                <w:szCs w:val="20"/>
              </w:rPr>
            </w:pPr>
          </w:p>
        </w:tc>
        <w:tc>
          <w:tcPr>
            <w:tcW w:w="894" w:type="pct"/>
            <w:shd w:val="clear" w:color="auto" w:fill="auto"/>
          </w:tcPr>
          <w:p w14:paraId="4948A21B" w14:textId="77777777" w:rsidR="00FF6101" w:rsidRPr="00B0658A" w:rsidRDefault="00FF6101" w:rsidP="00004A41">
            <w:pPr>
              <w:spacing w:after="0" w:line="240" w:lineRule="auto"/>
              <w:jc w:val="both"/>
              <w:rPr>
                <w:rFonts w:ascii="Times New Roman" w:hAnsi="Times New Roman"/>
                <w:i/>
                <w:iCs/>
                <w:sz w:val="20"/>
                <w:szCs w:val="20"/>
              </w:rPr>
            </w:pPr>
          </w:p>
        </w:tc>
      </w:tr>
      <w:tr w:rsidR="00F52FED" w:rsidRPr="00B0658A" w14:paraId="1F2D4EEC" w14:textId="77777777" w:rsidTr="00FF6101">
        <w:trPr>
          <w:trHeight w:val="170"/>
        </w:trPr>
        <w:tc>
          <w:tcPr>
            <w:tcW w:w="203" w:type="pct"/>
            <w:shd w:val="clear" w:color="auto" w:fill="auto"/>
            <w:vAlign w:val="center"/>
          </w:tcPr>
          <w:p w14:paraId="78F0E018" w14:textId="77777777" w:rsidR="00FF6101" w:rsidRPr="00B0658A" w:rsidRDefault="00FF6101" w:rsidP="00004A41">
            <w:pPr>
              <w:spacing w:after="0" w:line="240" w:lineRule="auto"/>
              <w:rPr>
                <w:rFonts w:ascii="Times New Roman" w:hAnsi="Times New Roman"/>
                <w:sz w:val="20"/>
                <w:szCs w:val="20"/>
              </w:rPr>
            </w:pPr>
            <w:r w:rsidRPr="00B0658A">
              <w:rPr>
                <w:rFonts w:ascii="Times New Roman" w:hAnsi="Times New Roman"/>
                <w:sz w:val="20"/>
                <w:szCs w:val="20"/>
              </w:rPr>
              <w:t>2.2</w:t>
            </w:r>
          </w:p>
        </w:tc>
        <w:tc>
          <w:tcPr>
            <w:tcW w:w="1153" w:type="pct"/>
            <w:shd w:val="clear" w:color="auto" w:fill="auto"/>
            <w:vAlign w:val="center"/>
          </w:tcPr>
          <w:p w14:paraId="4BD2019D" w14:textId="77777777" w:rsidR="00FF6101" w:rsidRPr="00B0658A" w:rsidRDefault="00FF6101" w:rsidP="00004A41">
            <w:pPr>
              <w:spacing w:after="0" w:line="240" w:lineRule="auto"/>
              <w:rPr>
                <w:rFonts w:ascii="Times New Roman" w:hAnsi="Times New Roman"/>
                <w:i/>
                <w:iCs/>
                <w:sz w:val="20"/>
                <w:szCs w:val="20"/>
              </w:rPr>
            </w:pPr>
            <w:r w:rsidRPr="00B0658A">
              <w:rPr>
                <w:rFonts w:ascii="Times New Roman" w:hAnsi="Times New Roman"/>
                <w:sz w:val="20"/>
                <w:szCs w:val="20"/>
              </w:rPr>
              <w:t>Системное программное обеспечение/ Программы обслуживания</w:t>
            </w:r>
          </w:p>
        </w:tc>
        <w:tc>
          <w:tcPr>
            <w:tcW w:w="624" w:type="pct"/>
          </w:tcPr>
          <w:p w14:paraId="5294CF68" w14:textId="77777777" w:rsidR="00FF6101" w:rsidRPr="00B0658A" w:rsidRDefault="00FF6101" w:rsidP="00004A41">
            <w:pPr>
              <w:spacing w:after="0" w:line="240" w:lineRule="auto"/>
              <w:rPr>
                <w:rFonts w:ascii="Times New Roman" w:hAnsi="Times New Roman"/>
                <w:i/>
                <w:iCs/>
                <w:sz w:val="20"/>
                <w:szCs w:val="20"/>
              </w:rPr>
            </w:pPr>
          </w:p>
        </w:tc>
        <w:tc>
          <w:tcPr>
            <w:tcW w:w="1090" w:type="pct"/>
            <w:shd w:val="clear" w:color="auto" w:fill="auto"/>
          </w:tcPr>
          <w:p w14:paraId="31E5ADC9" w14:textId="77777777" w:rsidR="00FF6101" w:rsidRPr="00B0658A" w:rsidRDefault="00FF6101" w:rsidP="00004A41">
            <w:pPr>
              <w:spacing w:after="0" w:line="240" w:lineRule="auto"/>
              <w:rPr>
                <w:rFonts w:ascii="Times New Roman" w:hAnsi="Times New Roman"/>
                <w:i/>
                <w:iCs/>
                <w:sz w:val="20"/>
                <w:szCs w:val="20"/>
              </w:rPr>
            </w:pPr>
          </w:p>
        </w:tc>
        <w:tc>
          <w:tcPr>
            <w:tcW w:w="1036" w:type="pct"/>
            <w:shd w:val="clear" w:color="auto" w:fill="auto"/>
          </w:tcPr>
          <w:p w14:paraId="5348CC2A" w14:textId="77777777" w:rsidR="00FF6101" w:rsidRPr="00B0658A" w:rsidRDefault="00FF6101" w:rsidP="00004A41">
            <w:pPr>
              <w:spacing w:after="0" w:line="240" w:lineRule="auto"/>
              <w:rPr>
                <w:rFonts w:ascii="Times New Roman" w:hAnsi="Times New Roman"/>
                <w:i/>
                <w:iCs/>
                <w:sz w:val="20"/>
                <w:szCs w:val="20"/>
              </w:rPr>
            </w:pPr>
          </w:p>
        </w:tc>
        <w:tc>
          <w:tcPr>
            <w:tcW w:w="894" w:type="pct"/>
            <w:shd w:val="clear" w:color="auto" w:fill="auto"/>
          </w:tcPr>
          <w:p w14:paraId="2ACD406D" w14:textId="77777777" w:rsidR="00FF6101" w:rsidRPr="00B0658A" w:rsidRDefault="00FF6101" w:rsidP="00004A41">
            <w:pPr>
              <w:spacing w:after="0" w:line="240" w:lineRule="auto"/>
              <w:jc w:val="both"/>
              <w:rPr>
                <w:rFonts w:ascii="Times New Roman" w:hAnsi="Times New Roman"/>
                <w:i/>
                <w:iCs/>
                <w:sz w:val="20"/>
                <w:szCs w:val="20"/>
              </w:rPr>
            </w:pPr>
          </w:p>
        </w:tc>
      </w:tr>
      <w:tr w:rsidR="00F52FED" w:rsidRPr="00B0658A" w14:paraId="43C122DB" w14:textId="77777777" w:rsidTr="00FF6101">
        <w:trPr>
          <w:trHeight w:val="170"/>
        </w:trPr>
        <w:tc>
          <w:tcPr>
            <w:tcW w:w="203" w:type="pct"/>
            <w:shd w:val="clear" w:color="auto" w:fill="auto"/>
            <w:vAlign w:val="center"/>
          </w:tcPr>
          <w:p w14:paraId="2839657D" w14:textId="77777777" w:rsidR="00FF6101" w:rsidRPr="00B0658A" w:rsidRDefault="00FF6101" w:rsidP="00004A41">
            <w:pPr>
              <w:spacing w:after="0" w:line="240" w:lineRule="auto"/>
              <w:rPr>
                <w:rFonts w:ascii="Times New Roman" w:hAnsi="Times New Roman"/>
                <w:sz w:val="20"/>
                <w:szCs w:val="20"/>
              </w:rPr>
            </w:pPr>
            <w:r w:rsidRPr="00B0658A">
              <w:rPr>
                <w:rFonts w:ascii="Times New Roman" w:hAnsi="Times New Roman"/>
                <w:sz w:val="20"/>
                <w:szCs w:val="20"/>
                <w:lang w:val="en-US"/>
              </w:rPr>
              <w:t>2.3</w:t>
            </w:r>
          </w:p>
        </w:tc>
        <w:tc>
          <w:tcPr>
            <w:tcW w:w="1153" w:type="pct"/>
            <w:shd w:val="clear" w:color="auto" w:fill="auto"/>
            <w:vAlign w:val="center"/>
          </w:tcPr>
          <w:p w14:paraId="3CF73744" w14:textId="77777777" w:rsidR="00FF6101" w:rsidRPr="00B0658A" w:rsidRDefault="00FF6101" w:rsidP="00004A41">
            <w:pPr>
              <w:spacing w:after="0" w:line="240" w:lineRule="auto"/>
              <w:rPr>
                <w:rFonts w:ascii="Times New Roman" w:hAnsi="Times New Roman"/>
                <w:i/>
                <w:iCs/>
                <w:sz w:val="20"/>
                <w:szCs w:val="20"/>
              </w:rPr>
            </w:pPr>
            <w:r w:rsidRPr="00B0658A">
              <w:rPr>
                <w:rFonts w:ascii="Times New Roman" w:hAnsi="Times New Roman"/>
                <w:sz w:val="20"/>
                <w:szCs w:val="20"/>
              </w:rPr>
              <w:t>Средства обеспечения облачных и распределенных вычислений</w:t>
            </w:r>
          </w:p>
        </w:tc>
        <w:tc>
          <w:tcPr>
            <w:tcW w:w="624" w:type="pct"/>
          </w:tcPr>
          <w:p w14:paraId="730FF0C9" w14:textId="77777777" w:rsidR="00FF6101" w:rsidRPr="00B0658A" w:rsidRDefault="00FF6101" w:rsidP="00004A41">
            <w:pPr>
              <w:spacing w:after="0" w:line="240" w:lineRule="auto"/>
              <w:rPr>
                <w:rFonts w:ascii="Times New Roman" w:hAnsi="Times New Roman"/>
                <w:i/>
                <w:iCs/>
                <w:sz w:val="20"/>
                <w:szCs w:val="20"/>
              </w:rPr>
            </w:pPr>
          </w:p>
        </w:tc>
        <w:tc>
          <w:tcPr>
            <w:tcW w:w="1090" w:type="pct"/>
            <w:shd w:val="clear" w:color="auto" w:fill="auto"/>
          </w:tcPr>
          <w:p w14:paraId="45953AFE" w14:textId="77777777" w:rsidR="00FF6101" w:rsidRPr="00B0658A" w:rsidRDefault="00FF6101" w:rsidP="00004A41">
            <w:pPr>
              <w:spacing w:after="0" w:line="240" w:lineRule="auto"/>
              <w:rPr>
                <w:rFonts w:ascii="Times New Roman" w:hAnsi="Times New Roman"/>
                <w:i/>
                <w:iCs/>
                <w:sz w:val="20"/>
                <w:szCs w:val="20"/>
              </w:rPr>
            </w:pPr>
          </w:p>
        </w:tc>
        <w:tc>
          <w:tcPr>
            <w:tcW w:w="1036" w:type="pct"/>
            <w:shd w:val="clear" w:color="auto" w:fill="auto"/>
          </w:tcPr>
          <w:p w14:paraId="0904F260" w14:textId="77777777" w:rsidR="00FF6101" w:rsidRPr="00B0658A" w:rsidRDefault="00FF6101" w:rsidP="00004A41">
            <w:pPr>
              <w:spacing w:after="0" w:line="240" w:lineRule="auto"/>
              <w:rPr>
                <w:rFonts w:ascii="Times New Roman" w:hAnsi="Times New Roman"/>
                <w:i/>
                <w:iCs/>
                <w:sz w:val="20"/>
                <w:szCs w:val="20"/>
              </w:rPr>
            </w:pPr>
          </w:p>
        </w:tc>
        <w:tc>
          <w:tcPr>
            <w:tcW w:w="894" w:type="pct"/>
            <w:shd w:val="clear" w:color="auto" w:fill="auto"/>
          </w:tcPr>
          <w:p w14:paraId="1DD30706" w14:textId="77777777" w:rsidR="00FF6101" w:rsidRPr="00B0658A" w:rsidRDefault="00FF6101" w:rsidP="00004A41">
            <w:pPr>
              <w:spacing w:after="0" w:line="240" w:lineRule="auto"/>
              <w:jc w:val="both"/>
              <w:rPr>
                <w:rFonts w:ascii="Times New Roman" w:hAnsi="Times New Roman"/>
                <w:i/>
                <w:iCs/>
                <w:sz w:val="20"/>
                <w:szCs w:val="20"/>
              </w:rPr>
            </w:pPr>
          </w:p>
        </w:tc>
      </w:tr>
      <w:tr w:rsidR="00F52FED" w:rsidRPr="00B0658A" w14:paraId="359FD109" w14:textId="77777777" w:rsidTr="00FF6101">
        <w:trPr>
          <w:trHeight w:val="170"/>
        </w:trPr>
        <w:tc>
          <w:tcPr>
            <w:tcW w:w="203" w:type="pct"/>
            <w:shd w:val="clear" w:color="auto" w:fill="auto"/>
            <w:vAlign w:val="center"/>
          </w:tcPr>
          <w:p w14:paraId="636315CE" w14:textId="77777777" w:rsidR="00FF6101" w:rsidRPr="00B0658A" w:rsidRDefault="00FF6101" w:rsidP="00004A41">
            <w:pPr>
              <w:spacing w:after="0" w:line="240" w:lineRule="auto"/>
              <w:rPr>
                <w:rFonts w:ascii="Times New Roman" w:hAnsi="Times New Roman"/>
                <w:sz w:val="20"/>
                <w:szCs w:val="20"/>
              </w:rPr>
            </w:pPr>
            <w:r w:rsidRPr="00B0658A">
              <w:rPr>
                <w:rFonts w:ascii="Times New Roman" w:hAnsi="Times New Roman"/>
                <w:sz w:val="20"/>
                <w:szCs w:val="20"/>
              </w:rPr>
              <w:t>2.4</w:t>
            </w:r>
          </w:p>
        </w:tc>
        <w:tc>
          <w:tcPr>
            <w:tcW w:w="1153" w:type="pct"/>
            <w:shd w:val="clear" w:color="auto" w:fill="auto"/>
            <w:vAlign w:val="center"/>
          </w:tcPr>
          <w:p w14:paraId="6B486F67" w14:textId="77777777" w:rsidR="00FF6101" w:rsidRPr="00B0658A" w:rsidRDefault="00FF6101" w:rsidP="00004A41">
            <w:pPr>
              <w:spacing w:after="0" w:line="240" w:lineRule="auto"/>
              <w:rPr>
                <w:rFonts w:ascii="Times New Roman" w:hAnsi="Times New Roman"/>
                <w:i/>
                <w:iCs/>
                <w:sz w:val="20"/>
                <w:szCs w:val="20"/>
              </w:rPr>
            </w:pPr>
            <w:r w:rsidRPr="00B0658A">
              <w:rPr>
                <w:rFonts w:ascii="Times New Roman" w:hAnsi="Times New Roman"/>
                <w:sz w:val="20"/>
                <w:szCs w:val="20"/>
              </w:rPr>
              <w:t>Системное программное обеспечение / Средства виртуализации</w:t>
            </w:r>
          </w:p>
        </w:tc>
        <w:tc>
          <w:tcPr>
            <w:tcW w:w="624" w:type="pct"/>
          </w:tcPr>
          <w:p w14:paraId="54E6AE04" w14:textId="77777777" w:rsidR="00FF6101" w:rsidRPr="00B0658A" w:rsidRDefault="00FF6101" w:rsidP="00004A41">
            <w:pPr>
              <w:spacing w:after="0" w:line="240" w:lineRule="auto"/>
              <w:rPr>
                <w:rFonts w:ascii="Times New Roman" w:hAnsi="Times New Roman"/>
                <w:i/>
                <w:iCs/>
                <w:sz w:val="20"/>
                <w:szCs w:val="20"/>
              </w:rPr>
            </w:pPr>
          </w:p>
        </w:tc>
        <w:tc>
          <w:tcPr>
            <w:tcW w:w="1090" w:type="pct"/>
            <w:shd w:val="clear" w:color="auto" w:fill="auto"/>
          </w:tcPr>
          <w:p w14:paraId="30AEA300" w14:textId="77777777" w:rsidR="00FF6101" w:rsidRPr="00B0658A" w:rsidRDefault="00FF6101" w:rsidP="00004A41">
            <w:pPr>
              <w:spacing w:after="0" w:line="240" w:lineRule="auto"/>
              <w:rPr>
                <w:rFonts w:ascii="Times New Roman" w:hAnsi="Times New Roman"/>
                <w:i/>
                <w:iCs/>
                <w:sz w:val="20"/>
                <w:szCs w:val="20"/>
              </w:rPr>
            </w:pPr>
          </w:p>
        </w:tc>
        <w:tc>
          <w:tcPr>
            <w:tcW w:w="1036" w:type="pct"/>
            <w:shd w:val="clear" w:color="auto" w:fill="auto"/>
          </w:tcPr>
          <w:p w14:paraId="36AFFEC8" w14:textId="77777777" w:rsidR="00FF6101" w:rsidRPr="00B0658A" w:rsidRDefault="00FF6101" w:rsidP="00004A41">
            <w:pPr>
              <w:spacing w:after="0" w:line="240" w:lineRule="auto"/>
              <w:rPr>
                <w:rFonts w:ascii="Times New Roman" w:hAnsi="Times New Roman"/>
                <w:i/>
                <w:iCs/>
                <w:sz w:val="20"/>
                <w:szCs w:val="20"/>
              </w:rPr>
            </w:pPr>
          </w:p>
        </w:tc>
        <w:tc>
          <w:tcPr>
            <w:tcW w:w="894" w:type="pct"/>
            <w:shd w:val="clear" w:color="auto" w:fill="auto"/>
          </w:tcPr>
          <w:p w14:paraId="18CE18F3" w14:textId="77777777" w:rsidR="00FF6101" w:rsidRPr="00B0658A" w:rsidRDefault="00FF6101" w:rsidP="00004A41">
            <w:pPr>
              <w:spacing w:after="0" w:line="240" w:lineRule="auto"/>
              <w:jc w:val="both"/>
              <w:rPr>
                <w:rFonts w:ascii="Times New Roman" w:hAnsi="Times New Roman"/>
                <w:i/>
                <w:iCs/>
                <w:sz w:val="20"/>
                <w:szCs w:val="20"/>
              </w:rPr>
            </w:pPr>
          </w:p>
        </w:tc>
      </w:tr>
      <w:tr w:rsidR="00F52FED" w:rsidRPr="00B0658A" w14:paraId="63A7B715" w14:textId="77777777" w:rsidTr="00FF6101">
        <w:trPr>
          <w:trHeight w:val="170"/>
        </w:trPr>
        <w:tc>
          <w:tcPr>
            <w:tcW w:w="203" w:type="pct"/>
            <w:shd w:val="clear" w:color="auto" w:fill="auto"/>
            <w:vAlign w:val="center"/>
          </w:tcPr>
          <w:p w14:paraId="4F2306EF" w14:textId="77777777" w:rsidR="00FF6101" w:rsidRPr="00B0658A" w:rsidRDefault="00FF6101" w:rsidP="00004A41">
            <w:pPr>
              <w:spacing w:after="0" w:line="240" w:lineRule="auto"/>
              <w:rPr>
                <w:rFonts w:ascii="Times New Roman" w:hAnsi="Times New Roman"/>
                <w:sz w:val="20"/>
                <w:szCs w:val="20"/>
              </w:rPr>
            </w:pPr>
            <w:r w:rsidRPr="00B0658A">
              <w:rPr>
                <w:rFonts w:ascii="Times New Roman" w:hAnsi="Times New Roman"/>
                <w:sz w:val="20"/>
                <w:szCs w:val="20"/>
              </w:rPr>
              <w:t>2.5</w:t>
            </w:r>
          </w:p>
        </w:tc>
        <w:tc>
          <w:tcPr>
            <w:tcW w:w="1153" w:type="pct"/>
            <w:shd w:val="clear" w:color="auto" w:fill="auto"/>
            <w:vAlign w:val="center"/>
          </w:tcPr>
          <w:p w14:paraId="0DCDCF4D" w14:textId="77777777" w:rsidR="00FF6101" w:rsidRPr="00B0658A" w:rsidRDefault="00FF6101" w:rsidP="00004A41">
            <w:pPr>
              <w:spacing w:after="0" w:line="240" w:lineRule="auto"/>
              <w:rPr>
                <w:rFonts w:ascii="Times New Roman" w:hAnsi="Times New Roman"/>
                <w:i/>
                <w:iCs/>
                <w:sz w:val="20"/>
                <w:szCs w:val="20"/>
              </w:rPr>
            </w:pPr>
            <w:r w:rsidRPr="00B0658A">
              <w:rPr>
                <w:rFonts w:ascii="Times New Roman" w:hAnsi="Times New Roman"/>
                <w:sz w:val="20"/>
                <w:szCs w:val="20"/>
              </w:rPr>
              <w:t>Системное программное обеспечение/ Средства хранения данных</w:t>
            </w:r>
          </w:p>
        </w:tc>
        <w:tc>
          <w:tcPr>
            <w:tcW w:w="624" w:type="pct"/>
          </w:tcPr>
          <w:p w14:paraId="2B967399" w14:textId="77777777" w:rsidR="00FF6101" w:rsidRPr="00B0658A" w:rsidRDefault="00FF6101" w:rsidP="00004A41">
            <w:pPr>
              <w:spacing w:after="0" w:line="240" w:lineRule="auto"/>
              <w:rPr>
                <w:rFonts w:ascii="Times New Roman" w:hAnsi="Times New Roman"/>
                <w:i/>
                <w:iCs/>
                <w:sz w:val="20"/>
                <w:szCs w:val="20"/>
              </w:rPr>
            </w:pPr>
          </w:p>
        </w:tc>
        <w:tc>
          <w:tcPr>
            <w:tcW w:w="1090" w:type="pct"/>
            <w:shd w:val="clear" w:color="auto" w:fill="auto"/>
          </w:tcPr>
          <w:p w14:paraId="45DD7804" w14:textId="77777777" w:rsidR="00FF6101" w:rsidRPr="00B0658A" w:rsidRDefault="00FF6101" w:rsidP="00004A41">
            <w:pPr>
              <w:spacing w:after="0" w:line="240" w:lineRule="auto"/>
              <w:rPr>
                <w:rFonts w:ascii="Times New Roman" w:hAnsi="Times New Roman"/>
                <w:i/>
                <w:iCs/>
                <w:sz w:val="20"/>
                <w:szCs w:val="20"/>
              </w:rPr>
            </w:pPr>
          </w:p>
        </w:tc>
        <w:tc>
          <w:tcPr>
            <w:tcW w:w="1036" w:type="pct"/>
            <w:shd w:val="clear" w:color="auto" w:fill="auto"/>
          </w:tcPr>
          <w:p w14:paraId="5C521D93" w14:textId="77777777" w:rsidR="00FF6101" w:rsidRPr="00B0658A" w:rsidRDefault="00FF6101" w:rsidP="00004A41">
            <w:pPr>
              <w:spacing w:after="0" w:line="240" w:lineRule="auto"/>
              <w:rPr>
                <w:rFonts w:ascii="Times New Roman" w:hAnsi="Times New Roman"/>
                <w:i/>
                <w:iCs/>
                <w:sz w:val="20"/>
                <w:szCs w:val="20"/>
              </w:rPr>
            </w:pPr>
          </w:p>
        </w:tc>
        <w:tc>
          <w:tcPr>
            <w:tcW w:w="894" w:type="pct"/>
            <w:shd w:val="clear" w:color="auto" w:fill="auto"/>
          </w:tcPr>
          <w:p w14:paraId="55456E5D" w14:textId="77777777" w:rsidR="00FF6101" w:rsidRPr="00B0658A" w:rsidRDefault="00FF6101" w:rsidP="00004A41">
            <w:pPr>
              <w:spacing w:after="0" w:line="240" w:lineRule="auto"/>
              <w:jc w:val="both"/>
              <w:rPr>
                <w:rFonts w:ascii="Times New Roman" w:hAnsi="Times New Roman"/>
                <w:i/>
                <w:iCs/>
                <w:sz w:val="20"/>
                <w:szCs w:val="20"/>
              </w:rPr>
            </w:pPr>
          </w:p>
        </w:tc>
      </w:tr>
      <w:tr w:rsidR="00F52FED" w:rsidRPr="00B0658A" w14:paraId="4DDA445F" w14:textId="77777777" w:rsidTr="00FF6101">
        <w:trPr>
          <w:trHeight w:val="170"/>
        </w:trPr>
        <w:tc>
          <w:tcPr>
            <w:tcW w:w="203" w:type="pct"/>
            <w:shd w:val="clear" w:color="auto" w:fill="auto"/>
            <w:vAlign w:val="center"/>
          </w:tcPr>
          <w:p w14:paraId="34277D8B" w14:textId="77777777" w:rsidR="00FF6101" w:rsidRPr="00B0658A" w:rsidRDefault="00FF6101" w:rsidP="00004A41">
            <w:pPr>
              <w:spacing w:after="0" w:line="240" w:lineRule="auto"/>
              <w:rPr>
                <w:rFonts w:ascii="Times New Roman" w:hAnsi="Times New Roman"/>
                <w:sz w:val="20"/>
                <w:szCs w:val="20"/>
              </w:rPr>
            </w:pPr>
            <w:r w:rsidRPr="00B0658A">
              <w:rPr>
                <w:rFonts w:ascii="Times New Roman" w:hAnsi="Times New Roman"/>
                <w:sz w:val="20"/>
                <w:szCs w:val="20"/>
              </w:rPr>
              <w:t>2.6</w:t>
            </w:r>
          </w:p>
        </w:tc>
        <w:tc>
          <w:tcPr>
            <w:tcW w:w="1153" w:type="pct"/>
            <w:shd w:val="clear" w:color="auto" w:fill="auto"/>
            <w:vAlign w:val="center"/>
          </w:tcPr>
          <w:p w14:paraId="6A07F9F6" w14:textId="77777777" w:rsidR="00FF6101" w:rsidRPr="00B0658A" w:rsidRDefault="00FF6101" w:rsidP="00004A41">
            <w:pPr>
              <w:spacing w:after="0" w:line="240" w:lineRule="auto"/>
              <w:rPr>
                <w:rFonts w:ascii="Times New Roman" w:hAnsi="Times New Roman"/>
                <w:i/>
                <w:iCs/>
                <w:sz w:val="20"/>
                <w:szCs w:val="20"/>
              </w:rPr>
            </w:pPr>
            <w:r w:rsidRPr="00B0658A">
              <w:rPr>
                <w:rFonts w:ascii="Times New Roman" w:hAnsi="Times New Roman"/>
                <w:sz w:val="20"/>
                <w:szCs w:val="20"/>
              </w:rPr>
              <w:t>Системное программное обеспечение / Серверное и связующее программное обеспечение</w:t>
            </w:r>
          </w:p>
        </w:tc>
        <w:tc>
          <w:tcPr>
            <w:tcW w:w="624" w:type="pct"/>
          </w:tcPr>
          <w:p w14:paraId="4F0D429C" w14:textId="77777777" w:rsidR="00FF6101" w:rsidRPr="00B0658A" w:rsidRDefault="00FF6101" w:rsidP="00004A41">
            <w:pPr>
              <w:spacing w:after="0" w:line="240" w:lineRule="auto"/>
              <w:rPr>
                <w:rFonts w:ascii="Times New Roman" w:hAnsi="Times New Roman"/>
                <w:i/>
                <w:iCs/>
                <w:sz w:val="20"/>
                <w:szCs w:val="20"/>
              </w:rPr>
            </w:pPr>
          </w:p>
        </w:tc>
        <w:tc>
          <w:tcPr>
            <w:tcW w:w="1090" w:type="pct"/>
            <w:shd w:val="clear" w:color="auto" w:fill="auto"/>
          </w:tcPr>
          <w:p w14:paraId="4AC13842" w14:textId="77777777" w:rsidR="00FF6101" w:rsidRPr="00B0658A" w:rsidRDefault="00FF6101" w:rsidP="00004A41">
            <w:pPr>
              <w:spacing w:after="0" w:line="240" w:lineRule="auto"/>
              <w:rPr>
                <w:rFonts w:ascii="Times New Roman" w:hAnsi="Times New Roman"/>
                <w:i/>
                <w:iCs/>
                <w:sz w:val="20"/>
                <w:szCs w:val="20"/>
              </w:rPr>
            </w:pPr>
          </w:p>
        </w:tc>
        <w:tc>
          <w:tcPr>
            <w:tcW w:w="1036" w:type="pct"/>
            <w:shd w:val="clear" w:color="auto" w:fill="auto"/>
          </w:tcPr>
          <w:p w14:paraId="719810CB" w14:textId="77777777" w:rsidR="00FF6101" w:rsidRPr="00B0658A" w:rsidRDefault="00FF6101" w:rsidP="00004A41">
            <w:pPr>
              <w:spacing w:after="0" w:line="240" w:lineRule="auto"/>
              <w:rPr>
                <w:rFonts w:ascii="Times New Roman" w:hAnsi="Times New Roman"/>
                <w:i/>
                <w:iCs/>
                <w:sz w:val="20"/>
                <w:szCs w:val="20"/>
              </w:rPr>
            </w:pPr>
          </w:p>
        </w:tc>
        <w:tc>
          <w:tcPr>
            <w:tcW w:w="894" w:type="pct"/>
            <w:shd w:val="clear" w:color="auto" w:fill="auto"/>
          </w:tcPr>
          <w:p w14:paraId="71C92D42" w14:textId="77777777" w:rsidR="00FF6101" w:rsidRPr="00B0658A" w:rsidRDefault="00FF6101" w:rsidP="00004A41">
            <w:pPr>
              <w:spacing w:after="0" w:line="240" w:lineRule="auto"/>
              <w:jc w:val="both"/>
              <w:rPr>
                <w:rFonts w:ascii="Times New Roman" w:hAnsi="Times New Roman"/>
                <w:i/>
                <w:iCs/>
                <w:sz w:val="20"/>
                <w:szCs w:val="20"/>
              </w:rPr>
            </w:pPr>
          </w:p>
        </w:tc>
      </w:tr>
      <w:tr w:rsidR="00F52FED" w:rsidRPr="00B0658A" w14:paraId="2EFA4D28" w14:textId="77777777" w:rsidTr="00FF6101">
        <w:trPr>
          <w:trHeight w:val="170"/>
        </w:trPr>
        <w:tc>
          <w:tcPr>
            <w:tcW w:w="203" w:type="pct"/>
            <w:shd w:val="clear" w:color="auto" w:fill="auto"/>
            <w:vAlign w:val="center"/>
          </w:tcPr>
          <w:p w14:paraId="497DD30B" w14:textId="77777777" w:rsidR="00FF6101" w:rsidRPr="00B0658A" w:rsidRDefault="00FF6101" w:rsidP="00004A41">
            <w:pPr>
              <w:spacing w:after="0" w:line="240" w:lineRule="auto"/>
              <w:rPr>
                <w:rFonts w:ascii="Times New Roman" w:hAnsi="Times New Roman"/>
                <w:sz w:val="20"/>
                <w:szCs w:val="20"/>
              </w:rPr>
            </w:pPr>
            <w:r w:rsidRPr="00B0658A">
              <w:rPr>
                <w:rFonts w:ascii="Times New Roman" w:hAnsi="Times New Roman"/>
                <w:sz w:val="20"/>
                <w:szCs w:val="20"/>
              </w:rPr>
              <w:t>2.7</w:t>
            </w:r>
          </w:p>
        </w:tc>
        <w:tc>
          <w:tcPr>
            <w:tcW w:w="1153" w:type="pct"/>
            <w:shd w:val="clear" w:color="auto" w:fill="auto"/>
            <w:vAlign w:val="center"/>
          </w:tcPr>
          <w:p w14:paraId="7B16215D" w14:textId="77777777" w:rsidR="00FF6101" w:rsidRPr="00B0658A" w:rsidRDefault="00FF6101" w:rsidP="00004A41">
            <w:pPr>
              <w:spacing w:after="0" w:line="240" w:lineRule="auto"/>
              <w:rPr>
                <w:rFonts w:ascii="Times New Roman" w:hAnsi="Times New Roman"/>
                <w:i/>
                <w:iCs/>
                <w:sz w:val="20"/>
                <w:szCs w:val="20"/>
              </w:rPr>
            </w:pPr>
            <w:r w:rsidRPr="00B0658A">
              <w:rPr>
                <w:rFonts w:ascii="Times New Roman" w:hAnsi="Times New Roman"/>
                <w:sz w:val="20"/>
                <w:szCs w:val="20"/>
              </w:rPr>
              <w:t>Системное программное обеспечение/ Средства управления базами данных</w:t>
            </w:r>
          </w:p>
        </w:tc>
        <w:tc>
          <w:tcPr>
            <w:tcW w:w="624" w:type="pct"/>
          </w:tcPr>
          <w:p w14:paraId="1B0ADADB" w14:textId="77777777" w:rsidR="00FF6101" w:rsidRPr="00B0658A" w:rsidRDefault="00FF6101" w:rsidP="00004A41">
            <w:pPr>
              <w:spacing w:after="0" w:line="240" w:lineRule="auto"/>
              <w:rPr>
                <w:rFonts w:ascii="Times New Roman" w:hAnsi="Times New Roman"/>
                <w:i/>
                <w:iCs/>
                <w:sz w:val="20"/>
                <w:szCs w:val="20"/>
              </w:rPr>
            </w:pPr>
          </w:p>
        </w:tc>
        <w:tc>
          <w:tcPr>
            <w:tcW w:w="1090" w:type="pct"/>
            <w:shd w:val="clear" w:color="auto" w:fill="auto"/>
          </w:tcPr>
          <w:p w14:paraId="0A7AD6F5" w14:textId="77777777" w:rsidR="00FF6101" w:rsidRPr="00B0658A" w:rsidRDefault="00FF6101" w:rsidP="00004A41">
            <w:pPr>
              <w:spacing w:after="0" w:line="240" w:lineRule="auto"/>
              <w:rPr>
                <w:rFonts w:ascii="Times New Roman" w:hAnsi="Times New Roman"/>
                <w:i/>
                <w:iCs/>
                <w:sz w:val="20"/>
                <w:szCs w:val="20"/>
              </w:rPr>
            </w:pPr>
          </w:p>
        </w:tc>
        <w:tc>
          <w:tcPr>
            <w:tcW w:w="1036" w:type="pct"/>
            <w:shd w:val="clear" w:color="auto" w:fill="auto"/>
          </w:tcPr>
          <w:p w14:paraId="25952EDA" w14:textId="77777777" w:rsidR="00FF6101" w:rsidRPr="00B0658A" w:rsidRDefault="00FF6101" w:rsidP="00004A41">
            <w:pPr>
              <w:spacing w:after="0" w:line="240" w:lineRule="auto"/>
              <w:rPr>
                <w:rFonts w:ascii="Times New Roman" w:hAnsi="Times New Roman"/>
                <w:i/>
                <w:iCs/>
                <w:sz w:val="20"/>
                <w:szCs w:val="20"/>
              </w:rPr>
            </w:pPr>
          </w:p>
        </w:tc>
        <w:tc>
          <w:tcPr>
            <w:tcW w:w="894" w:type="pct"/>
            <w:shd w:val="clear" w:color="auto" w:fill="auto"/>
          </w:tcPr>
          <w:p w14:paraId="67331D5C" w14:textId="77777777" w:rsidR="00FF6101" w:rsidRPr="00B0658A" w:rsidRDefault="00FF6101" w:rsidP="00004A41">
            <w:pPr>
              <w:spacing w:after="0" w:line="240" w:lineRule="auto"/>
              <w:jc w:val="both"/>
              <w:rPr>
                <w:rFonts w:ascii="Times New Roman" w:hAnsi="Times New Roman"/>
                <w:i/>
                <w:iCs/>
                <w:sz w:val="20"/>
                <w:szCs w:val="20"/>
              </w:rPr>
            </w:pPr>
          </w:p>
        </w:tc>
      </w:tr>
      <w:tr w:rsidR="00F52FED" w:rsidRPr="00B0658A" w14:paraId="590FB8CC" w14:textId="77777777" w:rsidTr="00FF6101">
        <w:trPr>
          <w:trHeight w:val="170"/>
        </w:trPr>
        <w:tc>
          <w:tcPr>
            <w:tcW w:w="203" w:type="pct"/>
            <w:shd w:val="clear" w:color="auto" w:fill="auto"/>
            <w:vAlign w:val="center"/>
          </w:tcPr>
          <w:p w14:paraId="536EBF3D" w14:textId="77777777" w:rsidR="00FF6101" w:rsidRPr="00B0658A" w:rsidRDefault="00FF6101" w:rsidP="00004A41">
            <w:pPr>
              <w:spacing w:after="0" w:line="240" w:lineRule="auto"/>
              <w:rPr>
                <w:rFonts w:ascii="Times New Roman" w:hAnsi="Times New Roman"/>
                <w:sz w:val="20"/>
                <w:szCs w:val="20"/>
              </w:rPr>
            </w:pPr>
            <w:r w:rsidRPr="00B0658A">
              <w:rPr>
                <w:rFonts w:ascii="Times New Roman" w:hAnsi="Times New Roman"/>
                <w:sz w:val="20"/>
                <w:szCs w:val="20"/>
              </w:rPr>
              <w:t>2.8</w:t>
            </w:r>
          </w:p>
        </w:tc>
        <w:tc>
          <w:tcPr>
            <w:tcW w:w="1153" w:type="pct"/>
            <w:shd w:val="clear" w:color="auto" w:fill="auto"/>
            <w:vAlign w:val="center"/>
          </w:tcPr>
          <w:p w14:paraId="5AAB5A7B" w14:textId="77777777" w:rsidR="00FF6101" w:rsidRPr="00B0658A" w:rsidRDefault="00FF6101" w:rsidP="00004A41">
            <w:pPr>
              <w:spacing w:after="0" w:line="240" w:lineRule="auto"/>
              <w:rPr>
                <w:rFonts w:ascii="Times New Roman" w:hAnsi="Times New Roman"/>
                <w:i/>
                <w:iCs/>
                <w:sz w:val="20"/>
                <w:szCs w:val="20"/>
              </w:rPr>
            </w:pPr>
            <w:r w:rsidRPr="00B0658A">
              <w:rPr>
                <w:rFonts w:ascii="Times New Roman" w:hAnsi="Times New Roman"/>
                <w:sz w:val="20"/>
                <w:szCs w:val="20"/>
              </w:rPr>
              <w:t>Системное программное обеспечение/ Средства мониторинга и управления</w:t>
            </w:r>
          </w:p>
        </w:tc>
        <w:tc>
          <w:tcPr>
            <w:tcW w:w="624" w:type="pct"/>
          </w:tcPr>
          <w:p w14:paraId="7ABAF9EC" w14:textId="77777777" w:rsidR="00FF6101" w:rsidRPr="00B0658A" w:rsidRDefault="00FF6101" w:rsidP="00004A41">
            <w:pPr>
              <w:spacing w:after="0" w:line="240" w:lineRule="auto"/>
              <w:rPr>
                <w:rFonts w:ascii="Times New Roman" w:hAnsi="Times New Roman"/>
                <w:i/>
                <w:iCs/>
                <w:sz w:val="20"/>
                <w:szCs w:val="20"/>
              </w:rPr>
            </w:pPr>
          </w:p>
        </w:tc>
        <w:tc>
          <w:tcPr>
            <w:tcW w:w="1090" w:type="pct"/>
            <w:shd w:val="clear" w:color="auto" w:fill="auto"/>
          </w:tcPr>
          <w:p w14:paraId="7212B962" w14:textId="77777777" w:rsidR="00FF6101" w:rsidRPr="00B0658A" w:rsidRDefault="00FF6101" w:rsidP="00004A41">
            <w:pPr>
              <w:spacing w:after="0" w:line="240" w:lineRule="auto"/>
              <w:rPr>
                <w:rFonts w:ascii="Times New Roman" w:hAnsi="Times New Roman"/>
                <w:i/>
                <w:iCs/>
                <w:sz w:val="20"/>
                <w:szCs w:val="20"/>
              </w:rPr>
            </w:pPr>
          </w:p>
        </w:tc>
        <w:tc>
          <w:tcPr>
            <w:tcW w:w="1036" w:type="pct"/>
            <w:shd w:val="clear" w:color="auto" w:fill="auto"/>
          </w:tcPr>
          <w:p w14:paraId="535EDF1C" w14:textId="77777777" w:rsidR="00FF6101" w:rsidRPr="00B0658A" w:rsidRDefault="00FF6101" w:rsidP="00004A41">
            <w:pPr>
              <w:spacing w:after="0" w:line="240" w:lineRule="auto"/>
              <w:rPr>
                <w:rFonts w:ascii="Times New Roman" w:hAnsi="Times New Roman"/>
                <w:i/>
                <w:iCs/>
                <w:sz w:val="20"/>
                <w:szCs w:val="20"/>
              </w:rPr>
            </w:pPr>
          </w:p>
        </w:tc>
        <w:tc>
          <w:tcPr>
            <w:tcW w:w="894" w:type="pct"/>
            <w:shd w:val="clear" w:color="auto" w:fill="auto"/>
          </w:tcPr>
          <w:p w14:paraId="79A20E69" w14:textId="77777777" w:rsidR="00FF6101" w:rsidRPr="00B0658A" w:rsidRDefault="00FF6101" w:rsidP="00004A41">
            <w:pPr>
              <w:spacing w:after="0" w:line="240" w:lineRule="auto"/>
              <w:jc w:val="both"/>
              <w:rPr>
                <w:rFonts w:ascii="Times New Roman" w:hAnsi="Times New Roman"/>
                <w:i/>
                <w:iCs/>
                <w:sz w:val="20"/>
                <w:szCs w:val="20"/>
              </w:rPr>
            </w:pPr>
          </w:p>
        </w:tc>
      </w:tr>
      <w:tr w:rsidR="00F52FED" w:rsidRPr="00B0658A" w14:paraId="71EE0F3C" w14:textId="77777777" w:rsidTr="00FF6101">
        <w:trPr>
          <w:trHeight w:val="170"/>
        </w:trPr>
        <w:tc>
          <w:tcPr>
            <w:tcW w:w="203" w:type="pct"/>
            <w:shd w:val="clear" w:color="auto" w:fill="auto"/>
            <w:vAlign w:val="center"/>
          </w:tcPr>
          <w:p w14:paraId="4B313E41" w14:textId="77777777" w:rsidR="00FF6101" w:rsidRPr="00B0658A" w:rsidRDefault="00FF6101" w:rsidP="00004A41">
            <w:pPr>
              <w:spacing w:after="0" w:line="240" w:lineRule="auto"/>
              <w:rPr>
                <w:rFonts w:ascii="Times New Roman" w:hAnsi="Times New Roman"/>
                <w:sz w:val="20"/>
                <w:szCs w:val="20"/>
              </w:rPr>
            </w:pPr>
            <w:r w:rsidRPr="00B0658A">
              <w:rPr>
                <w:rFonts w:ascii="Times New Roman" w:hAnsi="Times New Roman"/>
                <w:sz w:val="20"/>
                <w:szCs w:val="20"/>
              </w:rPr>
              <w:t>2.9</w:t>
            </w:r>
          </w:p>
        </w:tc>
        <w:tc>
          <w:tcPr>
            <w:tcW w:w="1153" w:type="pct"/>
            <w:shd w:val="clear" w:color="auto" w:fill="auto"/>
            <w:vAlign w:val="center"/>
          </w:tcPr>
          <w:p w14:paraId="3B2E1CC7" w14:textId="77777777" w:rsidR="00FF6101" w:rsidRPr="00B0658A" w:rsidRDefault="00FF6101" w:rsidP="00004A41">
            <w:pPr>
              <w:spacing w:after="0" w:line="240" w:lineRule="auto"/>
              <w:rPr>
                <w:rFonts w:ascii="Times New Roman" w:hAnsi="Times New Roman"/>
                <w:i/>
                <w:iCs/>
                <w:sz w:val="20"/>
                <w:szCs w:val="20"/>
              </w:rPr>
            </w:pPr>
            <w:r w:rsidRPr="00B0658A">
              <w:rPr>
                <w:rFonts w:ascii="Times New Roman" w:hAnsi="Times New Roman"/>
                <w:sz w:val="20"/>
                <w:szCs w:val="20"/>
              </w:rPr>
              <w:t>Системное программное обеспечение/ Операционные системы общего назначения</w:t>
            </w:r>
          </w:p>
        </w:tc>
        <w:tc>
          <w:tcPr>
            <w:tcW w:w="624" w:type="pct"/>
          </w:tcPr>
          <w:p w14:paraId="7312DDF9" w14:textId="77777777" w:rsidR="00FF6101" w:rsidRPr="00B0658A" w:rsidRDefault="00FF6101" w:rsidP="00004A41">
            <w:pPr>
              <w:spacing w:after="0" w:line="240" w:lineRule="auto"/>
              <w:rPr>
                <w:rFonts w:ascii="Times New Roman" w:hAnsi="Times New Roman"/>
                <w:i/>
                <w:iCs/>
                <w:sz w:val="20"/>
                <w:szCs w:val="20"/>
              </w:rPr>
            </w:pPr>
          </w:p>
        </w:tc>
        <w:tc>
          <w:tcPr>
            <w:tcW w:w="1090" w:type="pct"/>
            <w:shd w:val="clear" w:color="auto" w:fill="auto"/>
          </w:tcPr>
          <w:p w14:paraId="35DA97F0" w14:textId="77777777" w:rsidR="00FF6101" w:rsidRPr="00B0658A" w:rsidRDefault="00FF6101" w:rsidP="00004A41">
            <w:pPr>
              <w:spacing w:after="0" w:line="240" w:lineRule="auto"/>
              <w:rPr>
                <w:rFonts w:ascii="Times New Roman" w:hAnsi="Times New Roman"/>
                <w:i/>
                <w:iCs/>
                <w:sz w:val="20"/>
                <w:szCs w:val="20"/>
              </w:rPr>
            </w:pPr>
          </w:p>
        </w:tc>
        <w:tc>
          <w:tcPr>
            <w:tcW w:w="1036" w:type="pct"/>
            <w:shd w:val="clear" w:color="auto" w:fill="auto"/>
          </w:tcPr>
          <w:p w14:paraId="1E039D0B" w14:textId="77777777" w:rsidR="00FF6101" w:rsidRPr="00B0658A" w:rsidRDefault="00FF6101" w:rsidP="00004A41">
            <w:pPr>
              <w:spacing w:after="0" w:line="240" w:lineRule="auto"/>
              <w:rPr>
                <w:rFonts w:ascii="Times New Roman" w:hAnsi="Times New Roman"/>
                <w:i/>
                <w:iCs/>
                <w:sz w:val="20"/>
                <w:szCs w:val="20"/>
              </w:rPr>
            </w:pPr>
          </w:p>
        </w:tc>
        <w:tc>
          <w:tcPr>
            <w:tcW w:w="894" w:type="pct"/>
            <w:shd w:val="clear" w:color="auto" w:fill="auto"/>
          </w:tcPr>
          <w:p w14:paraId="0BAC7415" w14:textId="77777777" w:rsidR="00FF6101" w:rsidRPr="00B0658A" w:rsidRDefault="00FF6101" w:rsidP="00004A41">
            <w:pPr>
              <w:spacing w:after="0" w:line="240" w:lineRule="auto"/>
              <w:jc w:val="both"/>
              <w:rPr>
                <w:rFonts w:ascii="Times New Roman" w:hAnsi="Times New Roman"/>
                <w:i/>
                <w:iCs/>
                <w:sz w:val="20"/>
                <w:szCs w:val="20"/>
              </w:rPr>
            </w:pPr>
          </w:p>
        </w:tc>
      </w:tr>
      <w:tr w:rsidR="00F52FED" w:rsidRPr="00B0658A" w14:paraId="672926E6" w14:textId="77777777" w:rsidTr="00FF6101">
        <w:trPr>
          <w:trHeight w:val="170"/>
        </w:trPr>
        <w:tc>
          <w:tcPr>
            <w:tcW w:w="203" w:type="pct"/>
            <w:shd w:val="clear" w:color="auto" w:fill="auto"/>
            <w:vAlign w:val="center"/>
          </w:tcPr>
          <w:p w14:paraId="54CB672F" w14:textId="77777777" w:rsidR="00FF6101" w:rsidRPr="00B0658A" w:rsidRDefault="00FF6101" w:rsidP="00004A41">
            <w:pPr>
              <w:spacing w:after="0" w:line="240" w:lineRule="auto"/>
              <w:rPr>
                <w:rFonts w:ascii="Times New Roman" w:hAnsi="Times New Roman"/>
                <w:sz w:val="20"/>
                <w:szCs w:val="20"/>
              </w:rPr>
            </w:pPr>
            <w:r w:rsidRPr="00B0658A">
              <w:rPr>
                <w:rFonts w:ascii="Times New Roman" w:hAnsi="Times New Roman"/>
                <w:sz w:val="20"/>
                <w:szCs w:val="20"/>
              </w:rPr>
              <w:t>2.10</w:t>
            </w:r>
          </w:p>
        </w:tc>
        <w:tc>
          <w:tcPr>
            <w:tcW w:w="1153" w:type="pct"/>
            <w:shd w:val="clear" w:color="auto" w:fill="auto"/>
            <w:vAlign w:val="center"/>
          </w:tcPr>
          <w:p w14:paraId="1A424F9E" w14:textId="77777777" w:rsidR="00FF6101" w:rsidRPr="00B0658A" w:rsidRDefault="00FF6101" w:rsidP="00004A41">
            <w:pPr>
              <w:spacing w:after="0" w:line="240" w:lineRule="auto"/>
              <w:rPr>
                <w:rFonts w:ascii="Times New Roman" w:hAnsi="Times New Roman"/>
                <w:i/>
                <w:iCs/>
                <w:sz w:val="20"/>
                <w:szCs w:val="20"/>
              </w:rPr>
            </w:pPr>
            <w:r w:rsidRPr="00B0658A">
              <w:rPr>
                <w:rFonts w:ascii="Times New Roman" w:hAnsi="Times New Roman"/>
                <w:sz w:val="20"/>
                <w:szCs w:val="20"/>
              </w:rPr>
              <w:t>Системное программное обеспечение/ Операционные системы реального времени</w:t>
            </w:r>
          </w:p>
        </w:tc>
        <w:tc>
          <w:tcPr>
            <w:tcW w:w="624" w:type="pct"/>
          </w:tcPr>
          <w:p w14:paraId="7CF51632" w14:textId="77777777" w:rsidR="00FF6101" w:rsidRPr="00B0658A" w:rsidRDefault="00FF6101" w:rsidP="00004A41">
            <w:pPr>
              <w:spacing w:after="0" w:line="240" w:lineRule="auto"/>
              <w:rPr>
                <w:rFonts w:ascii="Times New Roman" w:hAnsi="Times New Roman"/>
                <w:i/>
                <w:iCs/>
                <w:sz w:val="20"/>
                <w:szCs w:val="20"/>
              </w:rPr>
            </w:pPr>
          </w:p>
        </w:tc>
        <w:tc>
          <w:tcPr>
            <w:tcW w:w="1090" w:type="pct"/>
            <w:shd w:val="clear" w:color="auto" w:fill="auto"/>
          </w:tcPr>
          <w:p w14:paraId="61616609" w14:textId="77777777" w:rsidR="00FF6101" w:rsidRPr="00B0658A" w:rsidRDefault="00FF6101" w:rsidP="00004A41">
            <w:pPr>
              <w:spacing w:after="0" w:line="240" w:lineRule="auto"/>
              <w:rPr>
                <w:rFonts w:ascii="Times New Roman" w:hAnsi="Times New Roman"/>
                <w:i/>
                <w:iCs/>
                <w:sz w:val="20"/>
                <w:szCs w:val="20"/>
              </w:rPr>
            </w:pPr>
          </w:p>
        </w:tc>
        <w:tc>
          <w:tcPr>
            <w:tcW w:w="1036" w:type="pct"/>
            <w:shd w:val="clear" w:color="auto" w:fill="auto"/>
          </w:tcPr>
          <w:p w14:paraId="70945A6F" w14:textId="77777777" w:rsidR="00FF6101" w:rsidRPr="00B0658A" w:rsidRDefault="00FF6101" w:rsidP="00004A41">
            <w:pPr>
              <w:spacing w:after="0" w:line="240" w:lineRule="auto"/>
              <w:rPr>
                <w:rFonts w:ascii="Times New Roman" w:hAnsi="Times New Roman"/>
                <w:i/>
                <w:iCs/>
                <w:sz w:val="20"/>
                <w:szCs w:val="20"/>
              </w:rPr>
            </w:pPr>
          </w:p>
        </w:tc>
        <w:tc>
          <w:tcPr>
            <w:tcW w:w="894" w:type="pct"/>
            <w:shd w:val="clear" w:color="auto" w:fill="auto"/>
          </w:tcPr>
          <w:p w14:paraId="065E3523" w14:textId="77777777" w:rsidR="00FF6101" w:rsidRPr="00B0658A" w:rsidRDefault="00FF6101" w:rsidP="00004A41">
            <w:pPr>
              <w:spacing w:after="0" w:line="240" w:lineRule="auto"/>
              <w:jc w:val="both"/>
              <w:rPr>
                <w:rFonts w:ascii="Times New Roman" w:hAnsi="Times New Roman"/>
                <w:i/>
                <w:iCs/>
                <w:sz w:val="20"/>
                <w:szCs w:val="20"/>
              </w:rPr>
            </w:pPr>
          </w:p>
        </w:tc>
      </w:tr>
      <w:tr w:rsidR="00F52FED" w:rsidRPr="00B0658A" w14:paraId="6292B81C" w14:textId="77777777" w:rsidTr="00FF6101">
        <w:trPr>
          <w:trHeight w:val="170"/>
        </w:trPr>
        <w:tc>
          <w:tcPr>
            <w:tcW w:w="203" w:type="pct"/>
            <w:shd w:val="clear" w:color="auto" w:fill="auto"/>
            <w:vAlign w:val="center"/>
          </w:tcPr>
          <w:p w14:paraId="30C645AF" w14:textId="77777777" w:rsidR="00FF6101" w:rsidRPr="00B0658A" w:rsidRDefault="00FF6101" w:rsidP="00004A41">
            <w:pPr>
              <w:spacing w:after="0" w:line="240" w:lineRule="auto"/>
              <w:rPr>
                <w:rFonts w:ascii="Times New Roman" w:hAnsi="Times New Roman"/>
                <w:sz w:val="20"/>
                <w:szCs w:val="20"/>
              </w:rPr>
            </w:pPr>
            <w:r w:rsidRPr="00B0658A">
              <w:rPr>
                <w:rFonts w:ascii="Times New Roman" w:hAnsi="Times New Roman"/>
                <w:sz w:val="20"/>
                <w:szCs w:val="20"/>
              </w:rPr>
              <w:t>2.11</w:t>
            </w:r>
          </w:p>
        </w:tc>
        <w:tc>
          <w:tcPr>
            <w:tcW w:w="1153" w:type="pct"/>
            <w:shd w:val="clear" w:color="auto" w:fill="auto"/>
            <w:vAlign w:val="center"/>
          </w:tcPr>
          <w:p w14:paraId="416C1547" w14:textId="77777777" w:rsidR="00FF6101" w:rsidRPr="00B0658A" w:rsidRDefault="00FF6101" w:rsidP="00004A41">
            <w:pPr>
              <w:spacing w:after="0" w:line="240" w:lineRule="auto"/>
              <w:rPr>
                <w:rFonts w:ascii="Times New Roman" w:hAnsi="Times New Roman"/>
                <w:i/>
                <w:iCs/>
                <w:sz w:val="20"/>
                <w:szCs w:val="20"/>
              </w:rPr>
            </w:pPr>
            <w:r w:rsidRPr="00B0658A">
              <w:rPr>
                <w:rFonts w:ascii="Times New Roman" w:hAnsi="Times New Roman"/>
                <w:sz w:val="20"/>
                <w:szCs w:val="20"/>
              </w:rPr>
              <w:t>Системное программное обеспечение/ Мобильная операционная система</w:t>
            </w:r>
          </w:p>
        </w:tc>
        <w:tc>
          <w:tcPr>
            <w:tcW w:w="624" w:type="pct"/>
          </w:tcPr>
          <w:p w14:paraId="6A79224D" w14:textId="77777777" w:rsidR="00FF6101" w:rsidRPr="00B0658A" w:rsidRDefault="00FF6101" w:rsidP="00004A41">
            <w:pPr>
              <w:spacing w:after="0" w:line="240" w:lineRule="auto"/>
              <w:rPr>
                <w:rFonts w:ascii="Times New Roman" w:hAnsi="Times New Roman"/>
                <w:i/>
                <w:iCs/>
                <w:sz w:val="20"/>
                <w:szCs w:val="20"/>
              </w:rPr>
            </w:pPr>
          </w:p>
        </w:tc>
        <w:tc>
          <w:tcPr>
            <w:tcW w:w="1090" w:type="pct"/>
            <w:shd w:val="clear" w:color="auto" w:fill="auto"/>
          </w:tcPr>
          <w:p w14:paraId="4425D830" w14:textId="77777777" w:rsidR="00FF6101" w:rsidRPr="00B0658A" w:rsidRDefault="00FF6101" w:rsidP="00004A41">
            <w:pPr>
              <w:spacing w:after="0" w:line="240" w:lineRule="auto"/>
              <w:rPr>
                <w:rFonts w:ascii="Times New Roman" w:hAnsi="Times New Roman"/>
                <w:i/>
                <w:iCs/>
                <w:sz w:val="20"/>
                <w:szCs w:val="20"/>
              </w:rPr>
            </w:pPr>
          </w:p>
        </w:tc>
        <w:tc>
          <w:tcPr>
            <w:tcW w:w="1036" w:type="pct"/>
            <w:shd w:val="clear" w:color="auto" w:fill="auto"/>
          </w:tcPr>
          <w:p w14:paraId="7AE378B5" w14:textId="77777777" w:rsidR="00FF6101" w:rsidRPr="00B0658A" w:rsidRDefault="00FF6101" w:rsidP="00004A41">
            <w:pPr>
              <w:spacing w:after="0" w:line="240" w:lineRule="auto"/>
              <w:rPr>
                <w:rFonts w:ascii="Times New Roman" w:hAnsi="Times New Roman"/>
                <w:i/>
                <w:iCs/>
                <w:sz w:val="20"/>
                <w:szCs w:val="20"/>
              </w:rPr>
            </w:pPr>
          </w:p>
        </w:tc>
        <w:tc>
          <w:tcPr>
            <w:tcW w:w="894" w:type="pct"/>
            <w:shd w:val="clear" w:color="auto" w:fill="auto"/>
          </w:tcPr>
          <w:p w14:paraId="039ABEB4" w14:textId="77777777" w:rsidR="00FF6101" w:rsidRPr="00B0658A" w:rsidRDefault="00FF6101" w:rsidP="00004A41">
            <w:pPr>
              <w:spacing w:after="0" w:line="240" w:lineRule="auto"/>
              <w:jc w:val="both"/>
              <w:rPr>
                <w:rFonts w:ascii="Times New Roman" w:hAnsi="Times New Roman"/>
                <w:i/>
                <w:iCs/>
                <w:sz w:val="20"/>
                <w:szCs w:val="20"/>
              </w:rPr>
            </w:pPr>
          </w:p>
        </w:tc>
      </w:tr>
      <w:tr w:rsidR="00F52FED" w:rsidRPr="00B0658A" w14:paraId="3F0D44A4" w14:textId="77777777" w:rsidTr="00FF6101">
        <w:trPr>
          <w:trHeight w:val="170"/>
        </w:trPr>
        <w:tc>
          <w:tcPr>
            <w:tcW w:w="203" w:type="pct"/>
            <w:shd w:val="clear" w:color="auto" w:fill="auto"/>
            <w:vAlign w:val="center"/>
          </w:tcPr>
          <w:p w14:paraId="31ADF745" w14:textId="77777777" w:rsidR="00FF6101" w:rsidRPr="00B0658A" w:rsidRDefault="00FF6101" w:rsidP="00004A41">
            <w:pPr>
              <w:spacing w:after="0" w:line="240" w:lineRule="auto"/>
              <w:rPr>
                <w:rFonts w:ascii="Times New Roman" w:hAnsi="Times New Roman"/>
                <w:sz w:val="20"/>
                <w:szCs w:val="20"/>
              </w:rPr>
            </w:pPr>
            <w:r w:rsidRPr="00B0658A">
              <w:rPr>
                <w:rFonts w:ascii="Times New Roman" w:hAnsi="Times New Roman"/>
                <w:sz w:val="20"/>
                <w:szCs w:val="20"/>
              </w:rPr>
              <w:lastRenderedPageBreak/>
              <w:t>2.12</w:t>
            </w:r>
          </w:p>
        </w:tc>
        <w:tc>
          <w:tcPr>
            <w:tcW w:w="1153" w:type="pct"/>
            <w:shd w:val="clear" w:color="auto" w:fill="auto"/>
            <w:vAlign w:val="center"/>
          </w:tcPr>
          <w:p w14:paraId="79F3D786" w14:textId="77777777" w:rsidR="00FF6101" w:rsidRPr="00B0658A" w:rsidRDefault="00FF6101" w:rsidP="00004A41">
            <w:pPr>
              <w:spacing w:after="0" w:line="240" w:lineRule="auto"/>
              <w:rPr>
                <w:rFonts w:ascii="Times New Roman" w:hAnsi="Times New Roman"/>
                <w:i/>
                <w:iCs/>
                <w:sz w:val="20"/>
                <w:szCs w:val="20"/>
              </w:rPr>
            </w:pPr>
            <w:r w:rsidRPr="00B0658A">
              <w:rPr>
                <w:rFonts w:ascii="Times New Roman" w:hAnsi="Times New Roman"/>
                <w:sz w:val="20"/>
                <w:szCs w:val="20"/>
              </w:rPr>
              <w:t>Системное программное обеспечение / Системы контейнеризации и контейнеры</w:t>
            </w:r>
          </w:p>
        </w:tc>
        <w:tc>
          <w:tcPr>
            <w:tcW w:w="624" w:type="pct"/>
          </w:tcPr>
          <w:p w14:paraId="1AA01822" w14:textId="77777777" w:rsidR="00FF6101" w:rsidRPr="00B0658A" w:rsidRDefault="00FF6101" w:rsidP="00004A41">
            <w:pPr>
              <w:spacing w:after="0" w:line="240" w:lineRule="auto"/>
              <w:rPr>
                <w:rFonts w:ascii="Times New Roman" w:hAnsi="Times New Roman"/>
                <w:i/>
                <w:iCs/>
                <w:sz w:val="20"/>
                <w:szCs w:val="20"/>
              </w:rPr>
            </w:pPr>
          </w:p>
        </w:tc>
        <w:tc>
          <w:tcPr>
            <w:tcW w:w="1090" w:type="pct"/>
            <w:shd w:val="clear" w:color="auto" w:fill="auto"/>
          </w:tcPr>
          <w:p w14:paraId="0ACA8BEC" w14:textId="77777777" w:rsidR="00FF6101" w:rsidRPr="00B0658A" w:rsidRDefault="00FF6101" w:rsidP="00004A41">
            <w:pPr>
              <w:spacing w:after="0" w:line="240" w:lineRule="auto"/>
              <w:rPr>
                <w:rFonts w:ascii="Times New Roman" w:hAnsi="Times New Roman"/>
                <w:i/>
                <w:iCs/>
                <w:sz w:val="20"/>
                <w:szCs w:val="20"/>
              </w:rPr>
            </w:pPr>
          </w:p>
        </w:tc>
        <w:tc>
          <w:tcPr>
            <w:tcW w:w="1036" w:type="pct"/>
            <w:shd w:val="clear" w:color="auto" w:fill="auto"/>
          </w:tcPr>
          <w:p w14:paraId="17669FB9" w14:textId="77777777" w:rsidR="00FF6101" w:rsidRPr="00B0658A" w:rsidRDefault="00FF6101" w:rsidP="00004A41">
            <w:pPr>
              <w:spacing w:after="0" w:line="240" w:lineRule="auto"/>
              <w:rPr>
                <w:rFonts w:ascii="Times New Roman" w:hAnsi="Times New Roman"/>
                <w:i/>
                <w:iCs/>
                <w:sz w:val="20"/>
                <w:szCs w:val="20"/>
              </w:rPr>
            </w:pPr>
          </w:p>
        </w:tc>
        <w:tc>
          <w:tcPr>
            <w:tcW w:w="894" w:type="pct"/>
            <w:shd w:val="clear" w:color="auto" w:fill="auto"/>
          </w:tcPr>
          <w:p w14:paraId="570A3E84" w14:textId="77777777" w:rsidR="00FF6101" w:rsidRPr="00B0658A" w:rsidRDefault="00FF6101" w:rsidP="00004A41">
            <w:pPr>
              <w:spacing w:after="0" w:line="240" w:lineRule="auto"/>
              <w:jc w:val="both"/>
              <w:rPr>
                <w:rFonts w:ascii="Times New Roman" w:hAnsi="Times New Roman"/>
                <w:i/>
                <w:iCs/>
                <w:sz w:val="20"/>
                <w:szCs w:val="20"/>
              </w:rPr>
            </w:pPr>
          </w:p>
        </w:tc>
      </w:tr>
      <w:tr w:rsidR="00F52FED" w:rsidRPr="00B0658A" w14:paraId="6DA0D430" w14:textId="77777777" w:rsidTr="00FF6101">
        <w:trPr>
          <w:trHeight w:val="170"/>
        </w:trPr>
        <w:tc>
          <w:tcPr>
            <w:tcW w:w="203" w:type="pct"/>
            <w:shd w:val="clear" w:color="auto" w:fill="auto"/>
            <w:vAlign w:val="center"/>
          </w:tcPr>
          <w:p w14:paraId="7B0F16A0" w14:textId="77777777" w:rsidR="00FF6101" w:rsidRPr="00B0658A" w:rsidRDefault="00FF6101" w:rsidP="00004A41">
            <w:pPr>
              <w:spacing w:after="0" w:line="240" w:lineRule="auto"/>
              <w:rPr>
                <w:rFonts w:ascii="Times New Roman" w:hAnsi="Times New Roman"/>
                <w:sz w:val="20"/>
                <w:szCs w:val="20"/>
              </w:rPr>
            </w:pPr>
            <w:r w:rsidRPr="00B0658A">
              <w:rPr>
                <w:rFonts w:ascii="Times New Roman" w:hAnsi="Times New Roman"/>
                <w:sz w:val="20"/>
                <w:szCs w:val="20"/>
              </w:rPr>
              <w:t>3.1</w:t>
            </w:r>
          </w:p>
        </w:tc>
        <w:tc>
          <w:tcPr>
            <w:tcW w:w="1153" w:type="pct"/>
            <w:shd w:val="clear" w:color="auto" w:fill="auto"/>
            <w:vAlign w:val="center"/>
          </w:tcPr>
          <w:p w14:paraId="0CE3EA2B" w14:textId="77777777" w:rsidR="00FF6101" w:rsidRPr="00B0658A" w:rsidRDefault="00FF6101" w:rsidP="00004A41">
            <w:pPr>
              <w:spacing w:after="0" w:line="240" w:lineRule="auto"/>
              <w:rPr>
                <w:rFonts w:ascii="Times New Roman" w:hAnsi="Times New Roman"/>
                <w:sz w:val="20"/>
                <w:szCs w:val="20"/>
              </w:rPr>
            </w:pPr>
            <w:r w:rsidRPr="00B0658A">
              <w:rPr>
                <w:rFonts w:ascii="Times New Roman" w:hAnsi="Times New Roman"/>
                <w:sz w:val="20"/>
                <w:szCs w:val="20"/>
              </w:rPr>
              <w:t>Средства обеспечения информационной безопасности/ Средства защиты от несанкционированного доступа к информации</w:t>
            </w:r>
          </w:p>
        </w:tc>
        <w:tc>
          <w:tcPr>
            <w:tcW w:w="624" w:type="pct"/>
          </w:tcPr>
          <w:p w14:paraId="1E9B38C8" w14:textId="77777777" w:rsidR="00FF6101" w:rsidRPr="00B0658A" w:rsidRDefault="00FF6101" w:rsidP="00004A41">
            <w:pPr>
              <w:spacing w:after="0" w:line="240" w:lineRule="auto"/>
              <w:rPr>
                <w:rFonts w:ascii="Times New Roman" w:hAnsi="Times New Roman"/>
                <w:i/>
                <w:iCs/>
                <w:sz w:val="20"/>
                <w:szCs w:val="20"/>
              </w:rPr>
            </w:pPr>
          </w:p>
        </w:tc>
        <w:tc>
          <w:tcPr>
            <w:tcW w:w="1090" w:type="pct"/>
            <w:shd w:val="clear" w:color="auto" w:fill="auto"/>
          </w:tcPr>
          <w:p w14:paraId="43DE1D3C" w14:textId="77777777" w:rsidR="00FF6101" w:rsidRPr="00B0658A" w:rsidRDefault="00FF6101" w:rsidP="00004A41">
            <w:pPr>
              <w:spacing w:after="0" w:line="240" w:lineRule="auto"/>
              <w:rPr>
                <w:rFonts w:ascii="Times New Roman" w:hAnsi="Times New Roman"/>
                <w:i/>
                <w:iCs/>
                <w:sz w:val="20"/>
                <w:szCs w:val="20"/>
              </w:rPr>
            </w:pPr>
          </w:p>
        </w:tc>
        <w:tc>
          <w:tcPr>
            <w:tcW w:w="1036" w:type="pct"/>
            <w:shd w:val="clear" w:color="auto" w:fill="auto"/>
          </w:tcPr>
          <w:p w14:paraId="3B1452B3" w14:textId="77777777" w:rsidR="00FF6101" w:rsidRPr="00B0658A" w:rsidRDefault="00FF6101" w:rsidP="00004A41">
            <w:pPr>
              <w:spacing w:after="0" w:line="240" w:lineRule="auto"/>
              <w:rPr>
                <w:rFonts w:ascii="Times New Roman" w:hAnsi="Times New Roman"/>
                <w:i/>
                <w:iCs/>
                <w:sz w:val="20"/>
                <w:szCs w:val="20"/>
              </w:rPr>
            </w:pPr>
          </w:p>
        </w:tc>
        <w:tc>
          <w:tcPr>
            <w:tcW w:w="894" w:type="pct"/>
            <w:shd w:val="clear" w:color="auto" w:fill="auto"/>
          </w:tcPr>
          <w:p w14:paraId="15B576F2" w14:textId="77777777" w:rsidR="00FF6101" w:rsidRPr="00B0658A" w:rsidRDefault="00FF6101" w:rsidP="00004A41">
            <w:pPr>
              <w:spacing w:after="0" w:line="240" w:lineRule="auto"/>
              <w:jc w:val="both"/>
              <w:rPr>
                <w:rFonts w:ascii="Times New Roman" w:hAnsi="Times New Roman"/>
                <w:i/>
                <w:iCs/>
                <w:sz w:val="20"/>
                <w:szCs w:val="20"/>
              </w:rPr>
            </w:pPr>
          </w:p>
        </w:tc>
      </w:tr>
      <w:tr w:rsidR="00F52FED" w:rsidRPr="00B0658A" w14:paraId="04AC4BF4" w14:textId="77777777" w:rsidTr="00FF6101">
        <w:trPr>
          <w:trHeight w:val="170"/>
        </w:trPr>
        <w:tc>
          <w:tcPr>
            <w:tcW w:w="203" w:type="pct"/>
            <w:shd w:val="clear" w:color="auto" w:fill="auto"/>
            <w:vAlign w:val="center"/>
          </w:tcPr>
          <w:p w14:paraId="4DF93112" w14:textId="77777777" w:rsidR="00FF6101" w:rsidRPr="00B0658A" w:rsidRDefault="00FF6101" w:rsidP="00004A41">
            <w:pPr>
              <w:spacing w:after="0" w:line="240" w:lineRule="auto"/>
              <w:rPr>
                <w:rFonts w:ascii="Times New Roman" w:hAnsi="Times New Roman"/>
                <w:sz w:val="20"/>
                <w:szCs w:val="20"/>
              </w:rPr>
            </w:pPr>
            <w:r w:rsidRPr="00B0658A">
              <w:rPr>
                <w:rFonts w:ascii="Times New Roman" w:hAnsi="Times New Roman"/>
                <w:sz w:val="20"/>
                <w:szCs w:val="20"/>
              </w:rPr>
              <w:t>3.2</w:t>
            </w:r>
          </w:p>
        </w:tc>
        <w:tc>
          <w:tcPr>
            <w:tcW w:w="1153" w:type="pct"/>
            <w:shd w:val="clear" w:color="auto" w:fill="auto"/>
            <w:vAlign w:val="center"/>
          </w:tcPr>
          <w:p w14:paraId="6BDC4E49" w14:textId="77777777" w:rsidR="00FF6101" w:rsidRPr="00B0658A" w:rsidRDefault="00FF6101" w:rsidP="00004A41">
            <w:pPr>
              <w:spacing w:after="0" w:line="240" w:lineRule="auto"/>
              <w:rPr>
                <w:rFonts w:ascii="Times New Roman" w:hAnsi="Times New Roman"/>
                <w:sz w:val="20"/>
                <w:szCs w:val="20"/>
              </w:rPr>
            </w:pPr>
            <w:r w:rsidRPr="00B0658A">
              <w:rPr>
                <w:rFonts w:ascii="Times New Roman" w:hAnsi="Times New Roman"/>
                <w:sz w:val="20"/>
                <w:szCs w:val="20"/>
              </w:rPr>
              <w:t>Средства обеспечения информационной безопасности/ Средства управления событиями информационной безопасности</w:t>
            </w:r>
          </w:p>
        </w:tc>
        <w:tc>
          <w:tcPr>
            <w:tcW w:w="624" w:type="pct"/>
          </w:tcPr>
          <w:p w14:paraId="7DB4430C" w14:textId="77777777" w:rsidR="00FF6101" w:rsidRPr="00B0658A" w:rsidRDefault="00FF6101" w:rsidP="00004A41">
            <w:pPr>
              <w:spacing w:after="0" w:line="240" w:lineRule="auto"/>
              <w:rPr>
                <w:rFonts w:ascii="Times New Roman" w:hAnsi="Times New Roman"/>
                <w:i/>
                <w:iCs/>
                <w:sz w:val="20"/>
                <w:szCs w:val="20"/>
              </w:rPr>
            </w:pPr>
          </w:p>
        </w:tc>
        <w:tc>
          <w:tcPr>
            <w:tcW w:w="1090" w:type="pct"/>
            <w:shd w:val="clear" w:color="auto" w:fill="auto"/>
          </w:tcPr>
          <w:p w14:paraId="077D1F5F" w14:textId="77777777" w:rsidR="00FF6101" w:rsidRPr="00B0658A" w:rsidRDefault="00FF6101" w:rsidP="00004A41">
            <w:pPr>
              <w:spacing w:after="0" w:line="240" w:lineRule="auto"/>
              <w:rPr>
                <w:rFonts w:ascii="Times New Roman" w:hAnsi="Times New Roman"/>
                <w:i/>
                <w:iCs/>
                <w:sz w:val="20"/>
                <w:szCs w:val="20"/>
              </w:rPr>
            </w:pPr>
          </w:p>
        </w:tc>
        <w:tc>
          <w:tcPr>
            <w:tcW w:w="1036" w:type="pct"/>
            <w:shd w:val="clear" w:color="auto" w:fill="auto"/>
          </w:tcPr>
          <w:p w14:paraId="6629244D" w14:textId="77777777" w:rsidR="00FF6101" w:rsidRPr="00B0658A" w:rsidRDefault="00FF6101" w:rsidP="00004A41">
            <w:pPr>
              <w:spacing w:after="0" w:line="240" w:lineRule="auto"/>
              <w:rPr>
                <w:rFonts w:ascii="Times New Roman" w:hAnsi="Times New Roman"/>
                <w:i/>
                <w:iCs/>
                <w:sz w:val="20"/>
                <w:szCs w:val="20"/>
              </w:rPr>
            </w:pPr>
          </w:p>
        </w:tc>
        <w:tc>
          <w:tcPr>
            <w:tcW w:w="894" w:type="pct"/>
            <w:shd w:val="clear" w:color="auto" w:fill="auto"/>
          </w:tcPr>
          <w:p w14:paraId="53627EEE" w14:textId="77777777" w:rsidR="00FF6101" w:rsidRPr="00B0658A" w:rsidRDefault="00FF6101" w:rsidP="00004A41">
            <w:pPr>
              <w:spacing w:after="0" w:line="240" w:lineRule="auto"/>
              <w:jc w:val="both"/>
              <w:rPr>
                <w:rFonts w:ascii="Times New Roman" w:hAnsi="Times New Roman"/>
                <w:i/>
                <w:iCs/>
                <w:sz w:val="20"/>
                <w:szCs w:val="20"/>
              </w:rPr>
            </w:pPr>
          </w:p>
        </w:tc>
      </w:tr>
      <w:tr w:rsidR="00F52FED" w:rsidRPr="00B0658A" w14:paraId="55D8E51B" w14:textId="77777777" w:rsidTr="00FF6101">
        <w:trPr>
          <w:trHeight w:val="170"/>
        </w:trPr>
        <w:tc>
          <w:tcPr>
            <w:tcW w:w="203" w:type="pct"/>
            <w:shd w:val="clear" w:color="auto" w:fill="auto"/>
            <w:vAlign w:val="center"/>
          </w:tcPr>
          <w:p w14:paraId="60EA7ACC" w14:textId="77777777" w:rsidR="00FF6101" w:rsidRPr="00B0658A" w:rsidRDefault="00FF6101" w:rsidP="00004A41">
            <w:pPr>
              <w:spacing w:after="0" w:line="240" w:lineRule="auto"/>
              <w:rPr>
                <w:rFonts w:ascii="Times New Roman" w:hAnsi="Times New Roman"/>
                <w:sz w:val="20"/>
                <w:szCs w:val="20"/>
              </w:rPr>
            </w:pPr>
            <w:r w:rsidRPr="00B0658A">
              <w:rPr>
                <w:rFonts w:ascii="Times New Roman" w:hAnsi="Times New Roman"/>
                <w:sz w:val="20"/>
                <w:szCs w:val="20"/>
              </w:rPr>
              <w:t>3.3</w:t>
            </w:r>
          </w:p>
        </w:tc>
        <w:tc>
          <w:tcPr>
            <w:tcW w:w="1153" w:type="pct"/>
            <w:shd w:val="clear" w:color="auto" w:fill="auto"/>
            <w:vAlign w:val="center"/>
          </w:tcPr>
          <w:p w14:paraId="1E75D5EE" w14:textId="77777777" w:rsidR="00FF6101" w:rsidRPr="00B0658A" w:rsidRDefault="00FF6101" w:rsidP="00004A41">
            <w:pPr>
              <w:spacing w:after="0" w:line="240" w:lineRule="auto"/>
              <w:rPr>
                <w:rFonts w:ascii="Times New Roman" w:hAnsi="Times New Roman"/>
                <w:sz w:val="20"/>
                <w:szCs w:val="20"/>
              </w:rPr>
            </w:pPr>
            <w:r w:rsidRPr="00B0658A">
              <w:rPr>
                <w:rFonts w:ascii="Times New Roman" w:hAnsi="Times New Roman"/>
                <w:sz w:val="20"/>
                <w:szCs w:val="20"/>
              </w:rPr>
              <w:t>Средства обеспечения информационной безопасности/ Межсетевые экраны</w:t>
            </w:r>
          </w:p>
        </w:tc>
        <w:tc>
          <w:tcPr>
            <w:tcW w:w="624" w:type="pct"/>
          </w:tcPr>
          <w:p w14:paraId="299CBB91" w14:textId="77777777" w:rsidR="00FF6101" w:rsidRPr="00B0658A" w:rsidRDefault="00FF6101" w:rsidP="00004A41">
            <w:pPr>
              <w:spacing w:after="0" w:line="240" w:lineRule="auto"/>
              <w:rPr>
                <w:rFonts w:ascii="Times New Roman" w:hAnsi="Times New Roman"/>
                <w:i/>
                <w:iCs/>
                <w:sz w:val="20"/>
                <w:szCs w:val="20"/>
              </w:rPr>
            </w:pPr>
          </w:p>
        </w:tc>
        <w:tc>
          <w:tcPr>
            <w:tcW w:w="1090" w:type="pct"/>
            <w:shd w:val="clear" w:color="auto" w:fill="auto"/>
          </w:tcPr>
          <w:p w14:paraId="7CD474AD" w14:textId="77777777" w:rsidR="00FF6101" w:rsidRPr="00B0658A" w:rsidRDefault="00FF6101" w:rsidP="00004A41">
            <w:pPr>
              <w:spacing w:after="0" w:line="240" w:lineRule="auto"/>
              <w:rPr>
                <w:rFonts w:ascii="Times New Roman" w:hAnsi="Times New Roman"/>
                <w:i/>
                <w:iCs/>
                <w:sz w:val="20"/>
                <w:szCs w:val="20"/>
              </w:rPr>
            </w:pPr>
          </w:p>
        </w:tc>
        <w:tc>
          <w:tcPr>
            <w:tcW w:w="1036" w:type="pct"/>
            <w:shd w:val="clear" w:color="auto" w:fill="auto"/>
          </w:tcPr>
          <w:p w14:paraId="7D8D0A3A" w14:textId="77777777" w:rsidR="00FF6101" w:rsidRPr="00B0658A" w:rsidRDefault="00FF6101" w:rsidP="00004A41">
            <w:pPr>
              <w:spacing w:after="0" w:line="240" w:lineRule="auto"/>
              <w:rPr>
                <w:rFonts w:ascii="Times New Roman" w:hAnsi="Times New Roman"/>
                <w:i/>
                <w:iCs/>
                <w:sz w:val="20"/>
                <w:szCs w:val="20"/>
              </w:rPr>
            </w:pPr>
          </w:p>
        </w:tc>
        <w:tc>
          <w:tcPr>
            <w:tcW w:w="894" w:type="pct"/>
            <w:shd w:val="clear" w:color="auto" w:fill="auto"/>
          </w:tcPr>
          <w:p w14:paraId="26CE5D2A" w14:textId="77777777" w:rsidR="00FF6101" w:rsidRPr="00B0658A" w:rsidRDefault="00FF6101" w:rsidP="00004A41">
            <w:pPr>
              <w:spacing w:after="0" w:line="240" w:lineRule="auto"/>
              <w:jc w:val="both"/>
              <w:rPr>
                <w:rFonts w:ascii="Times New Roman" w:hAnsi="Times New Roman"/>
                <w:i/>
                <w:iCs/>
                <w:sz w:val="20"/>
                <w:szCs w:val="20"/>
              </w:rPr>
            </w:pPr>
          </w:p>
        </w:tc>
      </w:tr>
      <w:tr w:rsidR="00F52FED" w:rsidRPr="00B0658A" w14:paraId="3AFD350E" w14:textId="77777777" w:rsidTr="00FF6101">
        <w:trPr>
          <w:trHeight w:val="170"/>
        </w:trPr>
        <w:tc>
          <w:tcPr>
            <w:tcW w:w="203" w:type="pct"/>
            <w:shd w:val="clear" w:color="auto" w:fill="auto"/>
            <w:vAlign w:val="center"/>
          </w:tcPr>
          <w:p w14:paraId="7CDA1645" w14:textId="77777777" w:rsidR="00FF6101" w:rsidRPr="00B0658A" w:rsidRDefault="00FF6101" w:rsidP="00004A41">
            <w:pPr>
              <w:spacing w:after="0" w:line="240" w:lineRule="auto"/>
              <w:rPr>
                <w:rFonts w:ascii="Times New Roman" w:hAnsi="Times New Roman"/>
                <w:sz w:val="20"/>
                <w:szCs w:val="20"/>
              </w:rPr>
            </w:pPr>
            <w:r w:rsidRPr="00B0658A">
              <w:rPr>
                <w:rFonts w:ascii="Times New Roman" w:hAnsi="Times New Roman"/>
                <w:sz w:val="20"/>
                <w:szCs w:val="20"/>
              </w:rPr>
              <w:t>3.4</w:t>
            </w:r>
          </w:p>
        </w:tc>
        <w:tc>
          <w:tcPr>
            <w:tcW w:w="1153" w:type="pct"/>
            <w:shd w:val="clear" w:color="auto" w:fill="auto"/>
            <w:vAlign w:val="center"/>
          </w:tcPr>
          <w:p w14:paraId="5595509F" w14:textId="77777777" w:rsidR="00FF6101" w:rsidRPr="00B0658A" w:rsidRDefault="00FF6101" w:rsidP="00004A41">
            <w:pPr>
              <w:spacing w:after="0" w:line="240" w:lineRule="auto"/>
              <w:rPr>
                <w:rFonts w:ascii="Times New Roman" w:hAnsi="Times New Roman"/>
                <w:sz w:val="20"/>
                <w:szCs w:val="20"/>
              </w:rPr>
            </w:pPr>
            <w:r w:rsidRPr="00B0658A">
              <w:rPr>
                <w:rFonts w:ascii="Times New Roman" w:hAnsi="Times New Roman"/>
                <w:sz w:val="20"/>
                <w:szCs w:val="20"/>
              </w:rPr>
              <w:t>Средства обеспечения информационной безопасности/ Средства фильтрации негативного контента</w:t>
            </w:r>
          </w:p>
        </w:tc>
        <w:tc>
          <w:tcPr>
            <w:tcW w:w="624" w:type="pct"/>
          </w:tcPr>
          <w:p w14:paraId="5C42D1D4" w14:textId="77777777" w:rsidR="00FF6101" w:rsidRPr="00B0658A" w:rsidRDefault="00FF6101" w:rsidP="00004A41">
            <w:pPr>
              <w:spacing w:after="0" w:line="240" w:lineRule="auto"/>
              <w:rPr>
                <w:rFonts w:ascii="Times New Roman" w:hAnsi="Times New Roman"/>
                <w:i/>
                <w:iCs/>
                <w:sz w:val="20"/>
                <w:szCs w:val="20"/>
              </w:rPr>
            </w:pPr>
          </w:p>
        </w:tc>
        <w:tc>
          <w:tcPr>
            <w:tcW w:w="1090" w:type="pct"/>
            <w:shd w:val="clear" w:color="auto" w:fill="auto"/>
          </w:tcPr>
          <w:p w14:paraId="0A78ABB4" w14:textId="77777777" w:rsidR="00FF6101" w:rsidRPr="00B0658A" w:rsidRDefault="00FF6101" w:rsidP="00004A41">
            <w:pPr>
              <w:spacing w:after="0" w:line="240" w:lineRule="auto"/>
              <w:rPr>
                <w:rFonts w:ascii="Times New Roman" w:hAnsi="Times New Roman"/>
                <w:i/>
                <w:iCs/>
                <w:sz w:val="20"/>
                <w:szCs w:val="20"/>
              </w:rPr>
            </w:pPr>
          </w:p>
        </w:tc>
        <w:tc>
          <w:tcPr>
            <w:tcW w:w="1036" w:type="pct"/>
            <w:shd w:val="clear" w:color="auto" w:fill="auto"/>
          </w:tcPr>
          <w:p w14:paraId="525FCB44" w14:textId="77777777" w:rsidR="00FF6101" w:rsidRPr="00B0658A" w:rsidRDefault="00FF6101" w:rsidP="00004A41">
            <w:pPr>
              <w:spacing w:after="0" w:line="240" w:lineRule="auto"/>
              <w:rPr>
                <w:rFonts w:ascii="Times New Roman" w:hAnsi="Times New Roman"/>
                <w:i/>
                <w:iCs/>
                <w:sz w:val="20"/>
                <w:szCs w:val="20"/>
              </w:rPr>
            </w:pPr>
          </w:p>
        </w:tc>
        <w:tc>
          <w:tcPr>
            <w:tcW w:w="894" w:type="pct"/>
            <w:shd w:val="clear" w:color="auto" w:fill="auto"/>
          </w:tcPr>
          <w:p w14:paraId="4005D65B" w14:textId="77777777" w:rsidR="00FF6101" w:rsidRPr="00B0658A" w:rsidRDefault="00FF6101" w:rsidP="00004A41">
            <w:pPr>
              <w:spacing w:after="0" w:line="240" w:lineRule="auto"/>
              <w:jc w:val="both"/>
              <w:rPr>
                <w:rFonts w:ascii="Times New Roman" w:hAnsi="Times New Roman"/>
                <w:i/>
                <w:iCs/>
                <w:sz w:val="20"/>
                <w:szCs w:val="20"/>
              </w:rPr>
            </w:pPr>
          </w:p>
        </w:tc>
      </w:tr>
      <w:tr w:rsidR="00F52FED" w:rsidRPr="00B0658A" w14:paraId="46B4ECAD" w14:textId="77777777" w:rsidTr="00FF6101">
        <w:trPr>
          <w:trHeight w:val="170"/>
        </w:trPr>
        <w:tc>
          <w:tcPr>
            <w:tcW w:w="203" w:type="pct"/>
            <w:shd w:val="clear" w:color="auto" w:fill="auto"/>
            <w:vAlign w:val="center"/>
          </w:tcPr>
          <w:p w14:paraId="1EE92551" w14:textId="77777777" w:rsidR="00FF6101" w:rsidRPr="00B0658A" w:rsidRDefault="00FF6101" w:rsidP="00004A41">
            <w:pPr>
              <w:spacing w:after="0" w:line="240" w:lineRule="auto"/>
              <w:rPr>
                <w:rFonts w:ascii="Times New Roman" w:hAnsi="Times New Roman"/>
                <w:sz w:val="20"/>
                <w:szCs w:val="20"/>
              </w:rPr>
            </w:pPr>
            <w:r w:rsidRPr="00B0658A">
              <w:rPr>
                <w:rFonts w:ascii="Times New Roman" w:hAnsi="Times New Roman"/>
                <w:sz w:val="20"/>
                <w:szCs w:val="20"/>
              </w:rPr>
              <w:t>3.5</w:t>
            </w:r>
          </w:p>
        </w:tc>
        <w:tc>
          <w:tcPr>
            <w:tcW w:w="1153" w:type="pct"/>
            <w:shd w:val="clear" w:color="auto" w:fill="auto"/>
            <w:vAlign w:val="center"/>
          </w:tcPr>
          <w:p w14:paraId="714955FC" w14:textId="77777777" w:rsidR="00FF6101" w:rsidRPr="00B0658A" w:rsidRDefault="00FF6101" w:rsidP="00004A41">
            <w:pPr>
              <w:spacing w:after="0" w:line="240" w:lineRule="auto"/>
              <w:rPr>
                <w:rFonts w:ascii="Times New Roman" w:hAnsi="Times New Roman"/>
                <w:sz w:val="20"/>
                <w:szCs w:val="20"/>
              </w:rPr>
            </w:pPr>
            <w:r w:rsidRPr="00B0658A">
              <w:rPr>
                <w:rFonts w:ascii="Times New Roman" w:hAnsi="Times New Roman"/>
                <w:sz w:val="20"/>
                <w:szCs w:val="20"/>
              </w:rPr>
              <w:t>Средства обеспечения информационной безопасности/ Средства защиты сервисов онлайн-платежей и дистанционного банковского обслуживания</w:t>
            </w:r>
          </w:p>
        </w:tc>
        <w:tc>
          <w:tcPr>
            <w:tcW w:w="624" w:type="pct"/>
          </w:tcPr>
          <w:p w14:paraId="2574A247" w14:textId="77777777" w:rsidR="00FF6101" w:rsidRPr="00B0658A" w:rsidRDefault="00FF6101" w:rsidP="00004A41">
            <w:pPr>
              <w:spacing w:after="0" w:line="240" w:lineRule="auto"/>
              <w:rPr>
                <w:rFonts w:ascii="Times New Roman" w:hAnsi="Times New Roman"/>
                <w:i/>
                <w:iCs/>
                <w:sz w:val="20"/>
                <w:szCs w:val="20"/>
              </w:rPr>
            </w:pPr>
          </w:p>
        </w:tc>
        <w:tc>
          <w:tcPr>
            <w:tcW w:w="1090" w:type="pct"/>
            <w:shd w:val="clear" w:color="auto" w:fill="auto"/>
          </w:tcPr>
          <w:p w14:paraId="06824FD8" w14:textId="77777777" w:rsidR="00FF6101" w:rsidRPr="00B0658A" w:rsidRDefault="00FF6101" w:rsidP="00004A41">
            <w:pPr>
              <w:spacing w:after="0" w:line="240" w:lineRule="auto"/>
              <w:rPr>
                <w:rFonts w:ascii="Times New Roman" w:hAnsi="Times New Roman"/>
                <w:i/>
                <w:iCs/>
                <w:sz w:val="20"/>
                <w:szCs w:val="20"/>
              </w:rPr>
            </w:pPr>
          </w:p>
        </w:tc>
        <w:tc>
          <w:tcPr>
            <w:tcW w:w="1036" w:type="pct"/>
            <w:shd w:val="clear" w:color="auto" w:fill="auto"/>
          </w:tcPr>
          <w:p w14:paraId="503DC0F9" w14:textId="77777777" w:rsidR="00FF6101" w:rsidRPr="00B0658A" w:rsidRDefault="00FF6101" w:rsidP="00004A41">
            <w:pPr>
              <w:spacing w:after="0" w:line="240" w:lineRule="auto"/>
              <w:rPr>
                <w:rFonts w:ascii="Times New Roman" w:hAnsi="Times New Roman"/>
                <w:i/>
                <w:iCs/>
                <w:sz w:val="20"/>
                <w:szCs w:val="20"/>
              </w:rPr>
            </w:pPr>
          </w:p>
        </w:tc>
        <w:tc>
          <w:tcPr>
            <w:tcW w:w="894" w:type="pct"/>
            <w:shd w:val="clear" w:color="auto" w:fill="auto"/>
          </w:tcPr>
          <w:p w14:paraId="6C20F070" w14:textId="77777777" w:rsidR="00FF6101" w:rsidRPr="00B0658A" w:rsidRDefault="00FF6101" w:rsidP="00004A41">
            <w:pPr>
              <w:spacing w:after="0" w:line="240" w:lineRule="auto"/>
              <w:jc w:val="both"/>
              <w:rPr>
                <w:rFonts w:ascii="Times New Roman" w:hAnsi="Times New Roman"/>
                <w:i/>
                <w:iCs/>
                <w:sz w:val="20"/>
                <w:szCs w:val="20"/>
              </w:rPr>
            </w:pPr>
          </w:p>
        </w:tc>
      </w:tr>
      <w:tr w:rsidR="00F52FED" w:rsidRPr="00B0658A" w14:paraId="2A9BD9A5" w14:textId="77777777" w:rsidTr="00FF6101">
        <w:trPr>
          <w:trHeight w:val="170"/>
        </w:trPr>
        <w:tc>
          <w:tcPr>
            <w:tcW w:w="203" w:type="pct"/>
            <w:shd w:val="clear" w:color="auto" w:fill="auto"/>
            <w:vAlign w:val="center"/>
          </w:tcPr>
          <w:p w14:paraId="25E88995" w14:textId="77777777" w:rsidR="00FF6101" w:rsidRPr="00B0658A" w:rsidRDefault="00FF6101" w:rsidP="00004A41">
            <w:pPr>
              <w:spacing w:after="0" w:line="240" w:lineRule="auto"/>
              <w:rPr>
                <w:rFonts w:ascii="Times New Roman" w:hAnsi="Times New Roman"/>
                <w:sz w:val="20"/>
                <w:szCs w:val="20"/>
              </w:rPr>
            </w:pPr>
            <w:r w:rsidRPr="00B0658A">
              <w:rPr>
                <w:rFonts w:ascii="Times New Roman" w:hAnsi="Times New Roman"/>
                <w:sz w:val="20"/>
                <w:szCs w:val="20"/>
              </w:rPr>
              <w:t>3.6</w:t>
            </w:r>
          </w:p>
        </w:tc>
        <w:tc>
          <w:tcPr>
            <w:tcW w:w="1153" w:type="pct"/>
            <w:shd w:val="clear" w:color="auto" w:fill="auto"/>
            <w:vAlign w:val="center"/>
          </w:tcPr>
          <w:p w14:paraId="64F2DFB6" w14:textId="77777777" w:rsidR="00FF6101" w:rsidRPr="00B0658A" w:rsidRDefault="00FF6101" w:rsidP="00004A41">
            <w:pPr>
              <w:spacing w:after="0" w:line="240" w:lineRule="auto"/>
              <w:rPr>
                <w:rFonts w:ascii="Times New Roman" w:hAnsi="Times New Roman"/>
                <w:sz w:val="20"/>
                <w:szCs w:val="20"/>
              </w:rPr>
            </w:pPr>
            <w:r w:rsidRPr="00B0658A">
              <w:rPr>
                <w:rFonts w:ascii="Times New Roman" w:hAnsi="Times New Roman"/>
                <w:sz w:val="20"/>
                <w:szCs w:val="20"/>
              </w:rPr>
              <w:t>Средства обеспечения информационной безопасности/ Средства антивирусной защиты</w:t>
            </w:r>
          </w:p>
        </w:tc>
        <w:tc>
          <w:tcPr>
            <w:tcW w:w="624" w:type="pct"/>
          </w:tcPr>
          <w:p w14:paraId="547D2700" w14:textId="77777777" w:rsidR="00FF6101" w:rsidRPr="00B0658A" w:rsidRDefault="00FF6101" w:rsidP="00004A41">
            <w:pPr>
              <w:spacing w:after="0" w:line="240" w:lineRule="auto"/>
              <w:rPr>
                <w:rFonts w:ascii="Times New Roman" w:hAnsi="Times New Roman"/>
                <w:i/>
                <w:iCs/>
                <w:sz w:val="20"/>
                <w:szCs w:val="20"/>
              </w:rPr>
            </w:pPr>
          </w:p>
        </w:tc>
        <w:tc>
          <w:tcPr>
            <w:tcW w:w="1090" w:type="pct"/>
            <w:shd w:val="clear" w:color="auto" w:fill="auto"/>
          </w:tcPr>
          <w:p w14:paraId="604E1BB1" w14:textId="77777777" w:rsidR="00FF6101" w:rsidRPr="00B0658A" w:rsidRDefault="00FF6101" w:rsidP="00004A41">
            <w:pPr>
              <w:spacing w:after="0" w:line="240" w:lineRule="auto"/>
              <w:rPr>
                <w:rFonts w:ascii="Times New Roman" w:hAnsi="Times New Roman"/>
                <w:i/>
                <w:iCs/>
                <w:sz w:val="20"/>
                <w:szCs w:val="20"/>
              </w:rPr>
            </w:pPr>
          </w:p>
        </w:tc>
        <w:tc>
          <w:tcPr>
            <w:tcW w:w="1036" w:type="pct"/>
            <w:shd w:val="clear" w:color="auto" w:fill="auto"/>
          </w:tcPr>
          <w:p w14:paraId="2F893656" w14:textId="77777777" w:rsidR="00FF6101" w:rsidRPr="00B0658A" w:rsidRDefault="00FF6101" w:rsidP="00004A41">
            <w:pPr>
              <w:spacing w:after="0" w:line="240" w:lineRule="auto"/>
              <w:rPr>
                <w:rFonts w:ascii="Times New Roman" w:hAnsi="Times New Roman"/>
                <w:i/>
                <w:iCs/>
                <w:sz w:val="20"/>
                <w:szCs w:val="20"/>
              </w:rPr>
            </w:pPr>
          </w:p>
        </w:tc>
        <w:tc>
          <w:tcPr>
            <w:tcW w:w="894" w:type="pct"/>
            <w:shd w:val="clear" w:color="auto" w:fill="auto"/>
          </w:tcPr>
          <w:p w14:paraId="3DF63D56" w14:textId="77777777" w:rsidR="00FF6101" w:rsidRPr="00B0658A" w:rsidRDefault="00FF6101" w:rsidP="00004A41">
            <w:pPr>
              <w:spacing w:after="0" w:line="240" w:lineRule="auto"/>
              <w:jc w:val="both"/>
              <w:rPr>
                <w:rFonts w:ascii="Times New Roman" w:hAnsi="Times New Roman"/>
                <w:i/>
                <w:iCs/>
                <w:sz w:val="20"/>
                <w:szCs w:val="20"/>
              </w:rPr>
            </w:pPr>
          </w:p>
        </w:tc>
      </w:tr>
      <w:tr w:rsidR="00F52FED" w:rsidRPr="00B0658A" w14:paraId="24EF7131" w14:textId="77777777" w:rsidTr="00FF6101">
        <w:trPr>
          <w:trHeight w:val="170"/>
        </w:trPr>
        <w:tc>
          <w:tcPr>
            <w:tcW w:w="203" w:type="pct"/>
            <w:shd w:val="clear" w:color="auto" w:fill="auto"/>
            <w:vAlign w:val="center"/>
          </w:tcPr>
          <w:p w14:paraId="37F95AC5" w14:textId="77777777" w:rsidR="00FF6101" w:rsidRPr="00B0658A" w:rsidRDefault="00FF6101" w:rsidP="00004A41">
            <w:pPr>
              <w:spacing w:after="0" w:line="240" w:lineRule="auto"/>
              <w:rPr>
                <w:rFonts w:ascii="Times New Roman" w:hAnsi="Times New Roman"/>
                <w:sz w:val="20"/>
                <w:szCs w:val="20"/>
              </w:rPr>
            </w:pPr>
            <w:r w:rsidRPr="00B0658A">
              <w:rPr>
                <w:rFonts w:ascii="Times New Roman" w:hAnsi="Times New Roman"/>
                <w:sz w:val="20"/>
                <w:szCs w:val="20"/>
              </w:rPr>
              <w:t>3.7</w:t>
            </w:r>
          </w:p>
        </w:tc>
        <w:tc>
          <w:tcPr>
            <w:tcW w:w="1153" w:type="pct"/>
            <w:shd w:val="clear" w:color="auto" w:fill="auto"/>
            <w:vAlign w:val="center"/>
          </w:tcPr>
          <w:p w14:paraId="741C0A82" w14:textId="77777777" w:rsidR="00FF6101" w:rsidRPr="00B0658A" w:rsidRDefault="00FF6101" w:rsidP="00004A41">
            <w:pPr>
              <w:spacing w:after="0" w:line="240" w:lineRule="auto"/>
              <w:rPr>
                <w:rFonts w:ascii="Times New Roman" w:hAnsi="Times New Roman"/>
                <w:sz w:val="20"/>
                <w:szCs w:val="20"/>
              </w:rPr>
            </w:pPr>
            <w:r w:rsidRPr="00B0658A">
              <w:rPr>
                <w:rFonts w:ascii="Times New Roman" w:hAnsi="Times New Roman"/>
                <w:sz w:val="20"/>
                <w:szCs w:val="20"/>
              </w:rPr>
              <w:t>Средства обеспечения информационной безопасности/ Средства выявления целевых атак</w:t>
            </w:r>
          </w:p>
        </w:tc>
        <w:tc>
          <w:tcPr>
            <w:tcW w:w="624" w:type="pct"/>
          </w:tcPr>
          <w:p w14:paraId="72CC2059" w14:textId="77777777" w:rsidR="00FF6101" w:rsidRPr="00B0658A" w:rsidRDefault="00FF6101" w:rsidP="00004A41">
            <w:pPr>
              <w:spacing w:after="0" w:line="240" w:lineRule="auto"/>
              <w:rPr>
                <w:rFonts w:ascii="Times New Roman" w:hAnsi="Times New Roman"/>
                <w:i/>
                <w:iCs/>
                <w:sz w:val="20"/>
                <w:szCs w:val="20"/>
              </w:rPr>
            </w:pPr>
          </w:p>
        </w:tc>
        <w:tc>
          <w:tcPr>
            <w:tcW w:w="1090" w:type="pct"/>
            <w:shd w:val="clear" w:color="auto" w:fill="auto"/>
          </w:tcPr>
          <w:p w14:paraId="1C01F1BE" w14:textId="77777777" w:rsidR="00FF6101" w:rsidRPr="00B0658A" w:rsidRDefault="00FF6101" w:rsidP="00004A41">
            <w:pPr>
              <w:spacing w:after="0" w:line="240" w:lineRule="auto"/>
              <w:rPr>
                <w:rFonts w:ascii="Times New Roman" w:hAnsi="Times New Roman"/>
                <w:i/>
                <w:iCs/>
                <w:sz w:val="20"/>
                <w:szCs w:val="20"/>
              </w:rPr>
            </w:pPr>
          </w:p>
        </w:tc>
        <w:tc>
          <w:tcPr>
            <w:tcW w:w="1036" w:type="pct"/>
            <w:shd w:val="clear" w:color="auto" w:fill="auto"/>
          </w:tcPr>
          <w:p w14:paraId="11A3BFCC" w14:textId="77777777" w:rsidR="00FF6101" w:rsidRPr="00B0658A" w:rsidRDefault="00FF6101" w:rsidP="00004A41">
            <w:pPr>
              <w:spacing w:after="0" w:line="240" w:lineRule="auto"/>
              <w:rPr>
                <w:rFonts w:ascii="Times New Roman" w:hAnsi="Times New Roman"/>
                <w:i/>
                <w:iCs/>
                <w:sz w:val="20"/>
                <w:szCs w:val="20"/>
              </w:rPr>
            </w:pPr>
          </w:p>
        </w:tc>
        <w:tc>
          <w:tcPr>
            <w:tcW w:w="894" w:type="pct"/>
            <w:shd w:val="clear" w:color="auto" w:fill="auto"/>
          </w:tcPr>
          <w:p w14:paraId="5201AA4F" w14:textId="77777777" w:rsidR="00FF6101" w:rsidRPr="00B0658A" w:rsidRDefault="00FF6101" w:rsidP="00004A41">
            <w:pPr>
              <w:spacing w:after="0" w:line="240" w:lineRule="auto"/>
              <w:jc w:val="both"/>
              <w:rPr>
                <w:rFonts w:ascii="Times New Roman" w:hAnsi="Times New Roman"/>
                <w:i/>
                <w:iCs/>
                <w:sz w:val="20"/>
                <w:szCs w:val="20"/>
              </w:rPr>
            </w:pPr>
          </w:p>
        </w:tc>
      </w:tr>
      <w:tr w:rsidR="00F52FED" w:rsidRPr="00B0658A" w14:paraId="5DD3001C" w14:textId="77777777" w:rsidTr="00FF6101">
        <w:trPr>
          <w:trHeight w:val="170"/>
        </w:trPr>
        <w:tc>
          <w:tcPr>
            <w:tcW w:w="203" w:type="pct"/>
            <w:shd w:val="clear" w:color="auto" w:fill="auto"/>
            <w:vAlign w:val="center"/>
          </w:tcPr>
          <w:p w14:paraId="10D62C23" w14:textId="77777777" w:rsidR="00FF6101" w:rsidRPr="00B0658A" w:rsidRDefault="00FF6101" w:rsidP="00004A41">
            <w:pPr>
              <w:spacing w:after="0" w:line="240" w:lineRule="auto"/>
              <w:rPr>
                <w:rFonts w:ascii="Times New Roman" w:hAnsi="Times New Roman"/>
                <w:sz w:val="20"/>
                <w:szCs w:val="20"/>
              </w:rPr>
            </w:pPr>
            <w:r w:rsidRPr="00B0658A">
              <w:rPr>
                <w:rFonts w:ascii="Times New Roman" w:hAnsi="Times New Roman"/>
                <w:sz w:val="20"/>
                <w:szCs w:val="20"/>
              </w:rPr>
              <w:t>3.8</w:t>
            </w:r>
          </w:p>
        </w:tc>
        <w:tc>
          <w:tcPr>
            <w:tcW w:w="1153" w:type="pct"/>
            <w:shd w:val="clear" w:color="auto" w:fill="auto"/>
            <w:vAlign w:val="center"/>
          </w:tcPr>
          <w:p w14:paraId="0367EB33" w14:textId="77777777" w:rsidR="00FF6101" w:rsidRPr="00B0658A" w:rsidRDefault="00FF6101" w:rsidP="00004A41">
            <w:pPr>
              <w:spacing w:after="0" w:line="240" w:lineRule="auto"/>
              <w:rPr>
                <w:rFonts w:ascii="Times New Roman" w:hAnsi="Times New Roman"/>
                <w:sz w:val="20"/>
                <w:szCs w:val="20"/>
              </w:rPr>
            </w:pPr>
            <w:r w:rsidRPr="00B0658A">
              <w:rPr>
                <w:rFonts w:ascii="Times New Roman" w:hAnsi="Times New Roman"/>
                <w:sz w:val="20"/>
                <w:szCs w:val="20"/>
              </w:rPr>
              <w:t xml:space="preserve">Средства обеспечения информационной безопасности/ </w:t>
            </w:r>
            <w:r w:rsidRPr="00B0658A">
              <w:rPr>
                <w:rFonts w:ascii="Times New Roman" w:hAnsi="Times New Roman"/>
                <w:sz w:val="20"/>
                <w:szCs w:val="20"/>
              </w:rPr>
              <w:lastRenderedPageBreak/>
              <w:t>Средства гарантированного уничтожения данных</w:t>
            </w:r>
          </w:p>
        </w:tc>
        <w:tc>
          <w:tcPr>
            <w:tcW w:w="624" w:type="pct"/>
          </w:tcPr>
          <w:p w14:paraId="44B6A4A5" w14:textId="77777777" w:rsidR="00FF6101" w:rsidRPr="00B0658A" w:rsidRDefault="00FF6101" w:rsidP="00004A41">
            <w:pPr>
              <w:spacing w:after="0" w:line="240" w:lineRule="auto"/>
              <w:rPr>
                <w:rFonts w:ascii="Times New Roman" w:hAnsi="Times New Roman"/>
                <w:i/>
                <w:iCs/>
                <w:sz w:val="20"/>
                <w:szCs w:val="20"/>
              </w:rPr>
            </w:pPr>
          </w:p>
        </w:tc>
        <w:tc>
          <w:tcPr>
            <w:tcW w:w="1090" w:type="pct"/>
            <w:shd w:val="clear" w:color="auto" w:fill="auto"/>
          </w:tcPr>
          <w:p w14:paraId="2DD732B9" w14:textId="77777777" w:rsidR="00FF6101" w:rsidRPr="00B0658A" w:rsidRDefault="00FF6101" w:rsidP="00004A41">
            <w:pPr>
              <w:spacing w:after="0" w:line="240" w:lineRule="auto"/>
              <w:rPr>
                <w:rFonts w:ascii="Times New Roman" w:hAnsi="Times New Roman"/>
                <w:i/>
                <w:iCs/>
                <w:sz w:val="20"/>
                <w:szCs w:val="20"/>
              </w:rPr>
            </w:pPr>
          </w:p>
        </w:tc>
        <w:tc>
          <w:tcPr>
            <w:tcW w:w="1036" w:type="pct"/>
            <w:shd w:val="clear" w:color="auto" w:fill="auto"/>
          </w:tcPr>
          <w:p w14:paraId="33C1A273" w14:textId="77777777" w:rsidR="00FF6101" w:rsidRPr="00B0658A" w:rsidRDefault="00FF6101" w:rsidP="00004A41">
            <w:pPr>
              <w:spacing w:after="0" w:line="240" w:lineRule="auto"/>
              <w:rPr>
                <w:rFonts w:ascii="Times New Roman" w:hAnsi="Times New Roman"/>
                <w:i/>
                <w:iCs/>
                <w:sz w:val="20"/>
                <w:szCs w:val="20"/>
              </w:rPr>
            </w:pPr>
          </w:p>
        </w:tc>
        <w:tc>
          <w:tcPr>
            <w:tcW w:w="894" w:type="pct"/>
            <w:shd w:val="clear" w:color="auto" w:fill="auto"/>
          </w:tcPr>
          <w:p w14:paraId="2681D4F2" w14:textId="77777777" w:rsidR="00FF6101" w:rsidRPr="00B0658A" w:rsidRDefault="00FF6101" w:rsidP="00004A41">
            <w:pPr>
              <w:spacing w:after="0" w:line="240" w:lineRule="auto"/>
              <w:jc w:val="both"/>
              <w:rPr>
                <w:rFonts w:ascii="Times New Roman" w:hAnsi="Times New Roman"/>
                <w:i/>
                <w:iCs/>
                <w:sz w:val="20"/>
                <w:szCs w:val="20"/>
              </w:rPr>
            </w:pPr>
          </w:p>
        </w:tc>
      </w:tr>
      <w:tr w:rsidR="00F52FED" w:rsidRPr="00B0658A" w14:paraId="4B326503" w14:textId="77777777" w:rsidTr="00FF6101">
        <w:trPr>
          <w:trHeight w:val="170"/>
        </w:trPr>
        <w:tc>
          <w:tcPr>
            <w:tcW w:w="203" w:type="pct"/>
            <w:shd w:val="clear" w:color="auto" w:fill="auto"/>
            <w:vAlign w:val="center"/>
          </w:tcPr>
          <w:p w14:paraId="02B814DB" w14:textId="77777777" w:rsidR="00FF6101" w:rsidRPr="00B0658A" w:rsidRDefault="00FF6101" w:rsidP="00004A41">
            <w:pPr>
              <w:spacing w:after="0" w:line="240" w:lineRule="auto"/>
              <w:rPr>
                <w:rFonts w:ascii="Times New Roman" w:hAnsi="Times New Roman"/>
                <w:sz w:val="20"/>
                <w:szCs w:val="20"/>
              </w:rPr>
            </w:pPr>
            <w:r w:rsidRPr="00B0658A">
              <w:rPr>
                <w:rFonts w:ascii="Times New Roman" w:hAnsi="Times New Roman"/>
                <w:sz w:val="20"/>
                <w:szCs w:val="20"/>
              </w:rPr>
              <w:t>3.9</w:t>
            </w:r>
          </w:p>
        </w:tc>
        <w:tc>
          <w:tcPr>
            <w:tcW w:w="1153" w:type="pct"/>
            <w:shd w:val="clear" w:color="auto" w:fill="auto"/>
            <w:vAlign w:val="center"/>
          </w:tcPr>
          <w:p w14:paraId="6B04D180" w14:textId="77777777" w:rsidR="00FF6101" w:rsidRPr="00B0658A" w:rsidRDefault="00FF6101" w:rsidP="00004A41">
            <w:pPr>
              <w:spacing w:after="0" w:line="240" w:lineRule="auto"/>
              <w:rPr>
                <w:rFonts w:ascii="Times New Roman" w:hAnsi="Times New Roman"/>
                <w:sz w:val="20"/>
                <w:szCs w:val="20"/>
              </w:rPr>
            </w:pPr>
            <w:r w:rsidRPr="00B0658A">
              <w:rPr>
                <w:rFonts w:ascii="Times New Roman" w:hAnsi="Times New Roman"/>
                <w:sz w:val="20"/>
                <w:szCs w:val="20"/>
              </w:rPr>
              <w:t>Средства обеспечения информационной безопасности/ Средства обнаружения и предотвращения утечек информации</w:t>
            </w:r>
          </w:p>
        </w:tc>
        <w:tc>
          <w:tcPr>
            <w:tcW w:w="624" w:type="pct"/>
          </w:tcPr>
          <w:p w14:paraId="32E60155" w14:textId="77777777" w:rsidR="00FF6101" w:rsidRPr="00B0658A" w:rsidRDefault="00FF6101" w:rsidP="00004A41">
            <w:pPr>
              <w:spacing w:after="0" w:line="240" w:lineRule="auto"/>
              <w:rPr>
                <w:rFonts w:ascii="Times New Roman" w:hAnsi="Times New Roman"/>
                <w:i/>
                <w:iCs/>
                <w:sz w:val="20"/>
                <w:szCs w:val="20"/>
              </w:rPr>
            </w:pPr>
          </w:p>
        </w:tc>
        <w:tc>
          <w:tcPr>
            <w:tcW w:w="1090" w:type="pct"/>
            <w:shd w:val="clear" w:color="auto" w:fill="auto"/>
          </w:tcPr>
          <w:p w14:paraId="3CCDDE97" w14:textId="77777777" w:rsidR="00FF6101" w:rsidRPr="00B0658A" w:rsidRDefault="00FF6101" w:rsidP="00004A41">
            <w:pPr>
              <w:spacing w:after="0" w:line="240" w:lineRule="auto"/>
              <w:rPr>
                <w:rFonts w:ascii="Times New Roman" w:hAnsi="Times New Roman"/>
                <w:i/>
                <w:iCs/>
                <w:sz w:val="20"/>
                <w:szCs w:val="20"/>
              </w:rPr>
            </w:pPr>
          </w:p>
        </w:tc>
        <w:tc>
          <w:tcPr>
            <w:tcW w:w="1036" w:type="pct"/>
            <w:shd w:val="clear" w:color="auto" w:fill="auto"/>
          </w:tcPr>
          <w:p w14:paraId="40E10FFC" w14:textId="77777777" w:rsidR="00FF6101" w:rsidRPr="00B0658A" w:rsidRDefault="00FF6101" w:rsidP="00004A41">
            <w:pPr>
              <w:spacing w:after="0" w:line="240" w:lineRule="auto"/>
              <w:rPr>
                <w:rFonts w:ascii="Times New Roman" w:hAnsi="Times New Roman"/>
                <w:i/>
                <w:iCs/>
                <w:sz w:val="20"/>
                <w:szCs w:val="20"/>
              </w:rPr>
            </w:pPr>
          </w:p>
        </w:tc>
        <w:tc>
          <w:tcPr>
            <w:tcW w:w="894" w:type="pct"/>
            <w:shd w:val="clear" w:color="auto" w:fill="auto"/>
          </w:tcPr>
          <w:p w14:paraId="152F1B2E" w14:textId="77777777" w:rsidR="00FF6101" w:rsidRPr="00B0658A" w:rsidRDefault="00FF6101" w:rsidP="00004A41">
            <w:pPr>
              <w:spacing w:after="0" w:line="240" w:lineRule="auto"/>
              <w:jc w:val="both"/>
              <w:rPr>
                <w:rFonts w:ascii="Times New Roman" w:hAnsi="Times New Roman"/>
                <w:i/>
                <w:iCs/>
                <w:sz w:val="20"/>
                <w:szCs w:val="20"/>
              </w:rPr>
            </w:pPr>
          </w:p>
        </w:tc>
      </w:tr>
      <w:tr w:rsidR="00F52FED" w:rsidRPr="00B0658A" w14:paraId="5A23DD92" w14:textId="77777777" w:rsidTr="00FF6101">
        <w:trPr>
          <w:trHeight w:val="170"/>
        </w:trPr>
        <w:tc>
          <w:tcPr>
            <w:tcW w:w="203" w:type="pct"/>
            <w:shd w:val="clear" w:color="auto" w:fill="auto"/>
            <w:vAlign w:val="center"/>
          </w:tcPr>
          <w:p w14:paraId="675A11DC" w14:textId="77777777" w:rsidR="00FF6101" w:rsidRPr="00B0658A" w:rsidRDefault="00FF6101" w:rsidP="00004A41">
            <w:pPr>
              <w:spacing w:after="0" w:line="240" w:lineRule="auto"/>
              <w:rPr>
                <w:rFonts w:ascii="Times New Roman" w:hAnsi="Times New Roman"/>
                <w:sz w:val="20"/>
                <w:szCs w:val="20"/>
              </w:rPr>
            </w:pPr>
            <w:r w:rsidRPr="00B0658A">
              <w:rPr>
                <w:rFonts w:ascii="Times New Roman" w:hAnsi="Times New Roman"/>
                <w:sz w:val="20"/>
                <w:szCs w:val="20"/>
              </w:rPr>
              <w:t>3.10</w:t>
            </w:r>
          </w:p>
        </w:tc>
        <w:tc>
          <w:tcPr>
            <w:tcW w:w="1153" w:type="pct"/>
            <w:shd w:val="clear" w:color="auto" w:fill="auto"/>
            <w:vAlign w:val="center"/>
          </w:tcPr>
          <w:p w14:paraId="056C02BC" w14:textId="77777777" w:rsidR="00FF6101" w:rsidRPr="00B0658A" w:rsidRDefault="00FF6101" w:rsidP="00004A41">
            <w:pPr>
              <w:spacing w:after="0" w:line="240" w:lineRule="auto"/>
              <w:rPr>
                <w:rFonts w:ascii="Times New Roman" w:hAnsi="Times New Roman"/>
                <w:sz w:val="20"/>
                <w:szCs w:val="20"/>
              </w:rPr>
            </w:pPr>
            <w:r w:rsidRPr="00B0658A">
              <w:rPr>
                <w:rFonts w:ascii="Times New Roman" w:hAnsi="Times New Roman"/>
                <w:sz w:val="20"/>
                <w:szCs w:val="20"/>
              </w:rPr>
              <w:t>Средства обеспечения информационной безопасности/ Средства криптографической защиты информации и электронной подписи</w:t>
            </w:r>
          </w:p>
        </w:tc>
        <w:tc>
          <w:tcPr>
            <w:tcW w:w="624" w:type="pct"/>
          </w:tcPr>
          <w:p w14:paraId="1BB1A9A9" w14:textId="77777777" w:rsidR="00FF6101" w:rsidRPr="00B0658A" w:rsidRDefault="00FF6101" w:rsidP="00004A41">
            <w:pPr>
              <w:spacing w:after="0" w:line="240" w:lineRule="auto"/>
              <w:rPr>
                <w:rFonts w:ascii="Times New Roman" w:hAnsi="Times New Roman"/>
                <w:i/>
                <w:iCs/>
                <w:sz w:val="20"/>
                <w:szCs w:val="20"/>
              </w:rPr>
            </w:pPr>
          </w:p>
        </w:tc>
        <w:tc>
          <w:tcPr>
            <w:tcW w:w="1090" w:type="pct"/>
            <w:shd w:val="clear" w:color="auto" w:fill="auto"/>
          </w:tcPr>
          <w:p w14:paraId="09C67730" w14:textId="77777777" w:rsidR="00FF6101" w:rsidRPr="00B0658A" w:rsidRDefault="00FF6101" w:rsidP="00004A41">
            <w:pPr>
              <w:spacing w:after="0" w:line="240" w:lineRule="auto"/>
              <w:rPr>
                <w:rFonts w:ascii="Times New Roman" w:hAnsi="Times New Roman"/>
                <w:i/>
                <w:iCs/>
                <w:sz w:val="20"/>
                <w:szCs w:val="20"/>
              </w:rPr>
            </w:pPr>
          </w:p>
        </w:tc>
        <w:tc>
          <w:tcPr>
            <w:tcW w:w="1036" w:type="pct"/>
            <w:shd w:val="clear" w:color="auto" w:fill="auto"/>
          </w:tcPr>
          <w:p w14:paraId="1DD72828" w14:textId="77777777" w:rsidR="00FF6101" w:rsidRPr="00B0658A" w:rsidRDefault="00FF6101" w:rsidP="00004A41">
            <w:pPr>
              <w:spacing w:after="0" w:line="240" w:lineRule="auto"/>
              <w:rPr>
                <w:rFonts w:ascii="Times New Roman" w:hAnsi="Times New Roman"/>
                <w:i/>
                <w:iCs/>
                <w:sz w:val="20"/>
                <w:szCs w:val="20"/>
              </w:rPr>
            </w:pPr>
          </w:p>
        </w:tc>
        <w:tc>
          <w:tcPr>
            <w:tcW w:w="894" w:type="pct"/>
            <w:shd w:val="clear" w:color="auto" w:fill="auto"/>
          </w:tcPr>
          <w:p w14:paraId="622C5774" w14:textId="77777777" w:rsidR="00FF6101" w:rsidRPr="00B0658A" w:rsidRDefault="00FF6101" w:rsidP="00004A41">
            <w:pPr>
              <w:spacing w:after="0" w:line="240" w:lineRule="auto"/>
              <w:jc w:val="both"/>
              <w:rPr>
                <w:rFonts w:ascii="Times New Roman" w:hAnsi="Times New Roman"/>
                <w:i/>
                <w:iCs/>
                <w:sz w:val="20"/>
                <w:szCs w:val="20"/>
              </w:rPr>
            </w:pPr>
          </w:p>
        </w:tc>
      </w:tr>
      <w:tr w:rsidR="00F52FED" w:rsidRPr="00B0658A" w14:paraId="4C1BB63A" w14:textId="77777777" w:rsidTr="00FF6101">
        <w:trPr>
          <w:trHeight w:val="170"/>
        </w:trPr>
        <w:tc>
          <w:tcPr>
            <w:tcW w:w="203" w:type="pct"/>
            <w:shd w:val="clear" w:color="auto" w:fill="auto"/>
            <w:vAlign w:val="center"/>
          </w:tcPr>
          <w:p w14:paraId="2CF8217A" w14:textId="77777777" w:rsidR="00FF6101" w:rsidRPr="00B0658A" w:rsidRDefault="00FF6101" w:rsidP="00004A41">
            <w:pPr>
              <w:spacing w:after="0" w:line="240" w:lineRule="auto"/>
              <w:rPr>
                <w:rFonts w:ascii="Times New Roman" w:hAnsi="Times New Roman"/>
                <w:sz w:val="20"/>
                <w:szCs w:val="20"/>
              </w:rPr>
            </w:pPr>
            <w:r w:rsidRPr="00B0658A">
              <w:rPr>
                <w:rFonts w:ascii="Times New Roman" w:hAnsi="Times New Roman"/>
                <w:sz w:val="20"/>
                <w:szCs w:val="20"/>
              </w:rPr>
              <w:t>3.11</w:t>
            </w:r>
          </w:p>
        </w:tc>
        <w:tc>
          <w:tcPr>
            <w:tcW w:w="1153" w:type="pct"/>
            <w:shd w:val="clear" w:color="auto" w:fill="auto"/>
            <w:vAlign w:val="center"/>
          </w:tcPr>
          <w:p w14:paraId="46290D54" w14:textId="77777777" w:rsidR="00FF6101" w:rsidRPr="00B0658A" w:rsidRDefault="00FF6101" w:rsidP="00004A41">
            <w:pPr>
              <w:spacing w:after="0" w:line="240" w:lineRule="auto"/>
              <w:rPr>
                <w:rFonts w:ascii="Times New Roman" w:hAnsi="Times New Roman"/>
                <w:sz w:val="20"/>
                <w:szCs w:val="20"/>
              </w:rPr>
            </w:pPr>
            <w:r w:rsidRPr="00B0658A">
              <w:rPr>
                <w:rFonts w:ascii="Times New Roman" w:hAnsi="Times New Roman"/>
                <w:sz w:val="20"/>
                <w:szCs w:val="20"/>
              </w:rPr>
              <w:t>Средства обеспечения информационной безопасности/ Средства защиты каналов передачи данных, в том числе криптографическими методами</w:t>
            </w:r>
          </w:p>
        </w:tc>
        <w:tc>
          <w:tcPr>
            <w:tcW w:w="624" w:type="pct"/>
          </w:tcPr>
          <w:p w14:paraId="2FF11859" w14:textId="77777777" w:rsidR="00FF6101" w:rsidRPr="00B0658A" w:rsidRDefault="00FF6101" w:rsidP="00004A41">
            <w:pPr>
              <w:spacing w:after="0" w:line="240" w:lineRule="auto"/>
              <w:rPr>
                <w:rFonts w:ascii="Times New Roman" w:hAnsi="Times New Roman"/>
                <w:i/>
                <w:iCs/>
                <w:sz w:val="20"/>
                <w:szCs w:val="20"/>
              </w:rPr>
            </w:pPr>
          </w:p>
        </w:tc>
        <w:tc>
          <w:tcPr>
            <w:tcW w:w="1090" w:type="pct"/>
            <w:shd w:val="clear" w:color="auto" w:fill="auto"/>
          </w:tcPr>
          <w:p w14:paraId="4F3FD716" w14:textId="77777777" w:rsidR="00FF6101" w:rsidRPr="00B0658A" w:rsidRDefault="00FF6101" w:rsidP="00004A41">
            <w:pPr>
              <w:spacing w:after="0" w:line="240" w:lineRule="auto"/>
              <w:rPr>
                <w:rFonts w:ascii="Times New Roman" w:hAnsi="Times New Roman"/>
                <w:i/>
                <w:iCs/>
                <w:sz w:val="20"/>
                <w:szCs w:val="20"/>
              </w:rPr>
            </w:pPr>
          </w:p>
        </w:tc>
        <w:tc>
          <w:tcPr>
            <w:tcW w:w="1036" w:type="pct"/>
            <w:shd w:val="clear" w:color="auto" w:fill="auto"/>
          </w:tcPr>
          <w:p w14:paraId="5F2B4F24" w14:textId="77777777" w:rsidR="00FF6101" w:rsidRPr="00B0658A" w:rsidRDefault="00FF6101" w:rsidP="00004A41">
            <w:pPr>
              <w:spacing w:after="0" w:line="240" w:lineRule="auto"/>
              <w:rPr>
                <w:rFonts w:ascii="Times New Roman" w:hAnsi="Times New Roman"/>
                <w:i/>
                <w:iCs/>
                <w:sz w:val="20"/>
                <w:szCs w:val="20"/>
              </w:rPr>
            </w:pPr>
          </w:p>
        </w:tc>
        <w:tc>
          <w:tcPr>
            <w:tcW w:w="894" w:type="pct"/>
            <w:shd w:val="clear" w:color="auto" w:fill="auto"/>
          </w:tcPr>
          <w:p w14:paraId="1B88045A" w14:textId="77777777" w:rsidR="00FF6101" w:rsidRPr="00B0658A" w:rsidRDefault="00FF6101" w:rsidP="00004A41">
            <w:pPr>
              <w:spacing w:after="0" w:line="240" w:lineRule="auto"/>
              <w:jc w:val="both"/>
              <w:rPr>
                <w:rFonts w:ascii="Times New Roman" w:hAnsi="Times New Roman"/>
                <w:i/>
                <w:iCs/>
                <w:sz w:val="20"/>
                <w:szCs w:val="20"/>
              </w:rPr>
            </w:pPr>
          </w:p>
        </w:tc>
      </w:tr>
      <w:tr w:rsidR="00F52FED" w:rsidRPr="00B0658A" w14:paraId="6BA0037B" w14:textId="77777777" w:rsidTr="00FF6101">
        <w:trPr>
          <w:trHeight w:val="170"/>
        </w:trPr>
        <w:tc>
          <w:tcPr>
            <w:tcW w:w="203" w:type="pct"/>
            <w:shd w:val="clear" w:color="auto" w:fill="auto"/>
            <w:vAlign w:val="center"/>
          </w:tcPr>
          <w:p w14:paraId="5E2ABE7D" w14:textId="77777777" w:rsidR="00FF6101" w:rsidRPr="00B0658A" w:rsidRDefault="00FF6101" w:rsidP="00004A41">
            <w:pPr>
              <w:spacing w:after="0" w:line="240" w:lineRule="auto"/>
              <w:rPr>
                <w:rFonts w:ascii="Times New Roman" w:hAnsi="Times New Roman"/>
                <w:sz w:val="20"/>
                <w:szCs w:val="20"/>
              </w:rPr>
            </w:pPr>
            <w:r w:rsidRPr="00B0658A">
              <w:rPr>
                <w:rFonts w:ascii="Times New Roman" w:hAnsi="Times New Roman"/>
                <w:sz w:val="20"/>
                <w:szCs w:val="20"/>
              </w:rPr>
              <w:t>3.12</w:t>
            </w:r>
          </w:p>
        </w:tc>
        <w:tc>
          <w:tcPr>
            <w:tcW w:w="1153" w:type="pct"/>
            <w:shd w:val="clear" w:color="auto" w:fill="auto"/>
            <w:vAlign w:val="center"/>
          </w:tcPr>
          <w:p w14:paraId="28DA9F12" w14:textId="77777777" w:rsidR="00FF6101" w:rsidRPr="00B0658A" w:rsidRDefault="00FF6101" w:rsidP="00004A41">
            <w:pPr>
              <w:spacing w:after="0" w:line="240" w:lineRule="auto"/>
              <w:rPr>
                <w:rFonts w:ascii="Times New Roman" w:hAnsi="Times New Roman"/>
                <w:sz w:val="20"/>
                <w:szCs w:val="20"/>
              </w:rPr>
            </w:pPr>
            <w:r w:rsidRPr="00B0658A">
              <w:rPr>
                <w:rFonts w:ascii="Times New Roman" w:hAnsi="Times New Roman"/>
                <w:sz w:val="20"/>
                <w:szCs w:val="20"/>
              </w:rPr>
              <w:t>Средства обеспечения информационной безопасности/ Системы управления доступом к информационным ресурсам</w:t>
            </w:r>
          </w:p>
        </w:tc>
        <w:tc>
          <w:tcPr>
            <w:tcW w:w="624" w:type="pct"/>
          </w:tcPr>
          <w:p w14:paraId="66155153" w14:textId="77777777" w:rsidR="00FF6101" w:rsidRPr="00B0658A" w:rsidRDefault="00FF6101" w:rsidP="00004A41">
            <w:pPr>
              <w:spacing w:after="0" w:line="240" w:lineRule="auto"/>
              <w:rPr>
                <w:rFonts w:ascii="Times New Roman" w:hAnsi="Times New Roman"/>
                <w:i/>
                <w:iCs/>
                <w:sz w:val="20"/>
                <w:szCs w:val="20"/>
              </w:rPr>
            </w:pPr>
          </w:p>
        </w:tc>
        <w:tc>
          <w:tcPr>
            <w:tcW w:w="1090" w:type="pct"/>
            <w:shd w:val="clear" w:color="auto" w:fill="auto"/>
          </w:tcPr>
          <w:p w14:paraId="5ADDCA8C" w14:textId="77777777" w:rsidR="00FF6101" w:rsidRPr="00B0658A" w:rsidRDefault="00FF6101" w:rsidP="00004A41">
            <w:pPr>
              <w:spacing w:after="0" w:line="240" w:lineRule="auto"/>
              <w:rPr>
                <w:rFonts w:ascii="Times New Roman" w:hAnsi="Times New Roman"/>
                <w:i/>
                <w:iCs/>
                <w:sz w:val="20"/>
                <w:szCs w:val="20"/>
              </w:rPr>
            </w:pPr>
          </w:p>
        </w:tc>
        <w:tc>
          <w:tcPr>
            <w:tcW w:w="1036" w:type="pct"/>
            <w:shd w:val="clear" w:color="auto" w:fill="auto"/>
          </w:tcPr>
          <w:p w14:paraId="09B03E32" w14:textId="77777777" w:rsidR="00FF6101" w:rsidRPr="00B0658A" w:rsidRDefault="00FF6101" w:rsidP="00004A41">
            <w:pPr>
              <w:spacing w:after="0" w:line="240" w:lineRule="auto"/>
              <w:rPr>
                <w:rFonts w:ascii="Times New Roman" w:hAnsi="Times New Roman"/>
                <w:i/>
                <w:iCs/>
                <w:sz w:val="20"/>
                <w:szCs w:val="20"/>
              </w:rPr>
            </w:pPr>
          </w:p>
        </w:tc>
        <w:tc>
          <w:tcPr>
            <w:tcW w:w="894" w:type="pct"/>
            <w:shd w:val="clear" w:color="auto" w:fill="auto"/>
          </w:tcPr>
          <w:p w14:paraId="494EB5C4" w14:textId="77777777" w:rsidR="00FF6101" w:rsidRPr="00B0658A" w:rsidRDefault="00FF6101" w:rsidP="00004A41">
            <w:pPr>
              <w:spacing w:after="0" w:line="240" w:lineRule="auto"/>
              <w:jc w:val="both"/>
              <w:rPr>
                <w:rFonts w:ascii="Times New Roman" w:hAnsi="Times New Roman"/>
                <w:i/>
                <w:iCs/>
                <w:sz w:val="20"/>
                <w:szCs w:val="20"/>
              </w:rPr>
            </w:pPr>
          </w:p>
        </w:tc>
      </w:tr>
      <w:tr w:rsidR="00F52FED" w:rsidRPr="00B0658A" w14:paraId="506318EE" w14:textId="77777777" w:rsidTr="00FF6101">
        <w:trPr>
          <w:trHeight w:val="170"/>
        </w:trPr>
        <w:tc>
          <w:tcPr>
            <w:tcW w:w="203" w:type="pct"/>
            <w:shd w:val="clear" w:color="auto" w:fill="auto"/>
            <w:vAlign w:val="center"/>
          </w:tcPr>
          <w:p w14:paraId="74B2795F" w14:textId="77777777" w:rsidR="00FF6101" w:rsidRPr="00B0658A" w:rsidRDefault="00FF6101" w:rsidP="00004A41">
            <w:pPr>
              <w:spacing w:after="0" w:line="240" w:lineRule="auto"/>
              <w:rPr>
                <w:rFonts w:ascii="Times New Roman" w:hAnsi="Times New Roman"/>
                <w:sz w:val="20"/>
                <w:szCs w:val="20"/>
              </w:rPr>
            </w:pPr>
            <w:r w:rsidRPr="00B0658A">
              <w:rPr>
                <w:rFonts w:ascii="Times New Roman" w:hAnsi="Times New Roman"/>
                <w:sz w:val="20"/>
                <w:szCs w:val="20"/>
              </w:rPr>
              <w:t>3.13</w:t>
            </w:r>
          </w:p>
        </w:tc>
        <w:tc>
          <w:tcPr>
            <w:tcW w:w="1153" w:type="pct"/>
            <w:shd w:val="clear" w:color="auto" w:fill="auto"/>
            <w:vAlign w:val="center"/>
          </w:tcPr>
          <w:p w14:paraId="7DE71CBB" w14:textId="77777777" w:rsidR="00FF6101" w:rsidRPr="00B0658A" w:rsidRDefault="00FF6101" w:rsidP="00004A41">
            <w:pPr>
              <w:spacing w:after="0" w:line="240" w:lineRule="auto"/>
              <w:rPr>
                <w:rFonts w:ascii="Times New Roman" w:hAnsi="Times New Roman"/>
                <w:sz w:val="20"/>
                <w:szCs w:val="20"/>
              </w:rPr>
            </w:pPr>
            <w:r w:rsidRPr="00B0658A">
              <w:rPr>
                <w:rFonts w:ascii="Times New Roman" w:hAnsi="Times New Roman"/>
                <w:sz w:val="20"/>
                <w:szCs w:val="20"/>
              </w:rPr>
              <w:t>Средства обеспечения информационной безопасности/ Средства резервного копирования</w:t>
            </w:r>
          </w:p>
        </w:tc>
        <w:tc>
          <w:tcPr>
            <w:tcW w:w="624" w:type="pct"/>
          </w:tcPr>
          <w:p w14:paraId="26462F71" w14:textId="77777777" w:rsidR="00FF6101" w:rsidRPr="00B0658A" w:rsidRDefault="00FF6101" w:rsidP="00004A41">
            <w:pPr>
              <w:spacing w:after="0" w:line="240" w:lineRule="auto"/>
              <w:rPr>
                <w:rFonts w:ascii="Times New Roman" w:hAnsi="Times New Roman"/>
                <w:i/>
                <w:iCs/>
                <w:sz w:val="20"/>
                <w:szCs w:val="20"/>
              </w:rPr>
            </w:pPr>
          </w:p>
        </w:tc>
        <w:tc>
          <w:tcPr>
            <w:tcW w:w="1090" w:type="pct"/>
            <w:shd w:val="clear" w:color="auto" w:fill="auto"/>
          </w:tcPr>
          <w:p w14:paraId="6D96BF1D" w14:textId="77777777" w:rsidR="00FF6101" w:rsidRPr="00B0658A" w:rsidRDefault="00FF6101" w:rsidP="00004A41">
            <w:pPr>
              <w:spacing w:after="0" w:line="240" w:lineRule="auto"/>
              <w:rPr>
                <w:rFonts w:ascii="Times New Roman" w:hAnsi="Times New Roman"/>
                <w:i/>
                <w:iCs/>
                <w:sz w:val="20"/>
                <w:szCs w:val="20"/>
              </w:rPr>
            </w:pPr>
          </w:p>
        </w:tc>
        <w:tc>
          <w:tcPr>
            <w:tcW w:w="1036" w:type="pct"/>
            <w:shd w:val="clear" w:color="auto" w:fill="auto"/>
          </w:tcPr>
          <w:p w14:paraId="4B2EBD29" w14:textId="77777777" w:rsidR="00FF6101" w:rsidRPr="00B0658A" w:rsidRDefault="00FF6101" w:rsidP="00004A41">
            <w:pPr>
              <w:spacing w:after="0" w:line="240" w:lineRule="auto"/>
              <w:rPr>
                <w:rFonts w:ascii="Times New Roman" w:hAnsi="Times New Roman"/>
                <w:i/>
                <w:iCs/>
                <w:sz w:val="20"/>
                <w:szCs w:val="20"/>
              </w:rPr>
            </w:pPr>
          </w:p>
        </w:tc>
        <w:tc>
          <w:tcPr>
            <w:tcW w:w="894" w:type="pct"/>
            <w:shd w:val="clear" w:color="auto" w:fill="auto"/>
          </w:tcPr>
          <w:p w14:paraId="5B1BB106" w14:textId="77777777" w:rsidR="00FF6101" w:rsidRPr="00B0658A" w:rsidRDefault="00FF6101" w:rsidP="00004A41">
            <w:pPr>
              <w:spacing w:after="0" w:line="240" w:lineRule="auto"/>
              <w:jc w:val="both"/>
              <w:rPr>
                <w:rFonts w:ascii="Times New Roman" w:hAnsi="Times New Roman"/>
                <w:i/>
                <w:iCs/>
                <w:sz w:val="20"/>
                <w:szCs w:val="20"/>
              </w:rPr>
            </w:pPr>
          </w:p>
        </w:tc>
      </w:tr>
      <w:tr w:rsidR="00F52FED" w:rsidRPr="00B0658A" w14:paraId="71513096" w14:textId="77777777" w:rsidTr="00FF6101">
        <w:trPr>
          <w:trHeight w:val="170"/>
        </w:trPr>
        <w:tc>
          <w:tcPr>
            <w:tcW w:w="203" w:type="pct"/>
            <w:shd w:val="clear" w:color="auto" w:fill="auto"/>
            <w:vAlign w:val="center"/>
          </w:tcPr>
          <w:p w14:paraId="04C055EE" w14:textId="77777777" w:rsidR="00FF6101" w:rsidRPr="00B0658A" w:rsidRDefault="00FF6101" w:rsidP="00004A41">
            <w:pPr>
              <w:spacing w:after="0" w:line="240" w:lineRule="auto"/>
              <w:rPr>
                <w:rFonts w:ascii="Times New Roman" w:hAnsi="Times New Roman"/>
                <w:sz w:val="20"/>
                <w:szCs w:val="20"/>
              </w:rPr>
            </w:pPr>
            <w:r w:rsidRPr="00B0658A">
              <w:rPr>
                <w:rFonts w:ascii="Times New Roman" w:hAnsi="Times New Roman"/>
                <w:sz w:val="20"/>
                <w:szCs w:val="20"/>
              </w:rPr>
              <w:t>3.14</w:t>
            </w:r>
          </w:p>
        </w:tc>
        <w:tc>
          <w:tcPr>
            <w:tcW w:w="1153" w:type="pct"/>
            <w:shd w:val="clear" w:color="auto" w:fill="auto"/>
            <w:vAlign w:val="center"/>
          </w:tcPr>
          <w:p w14:paraId="61AD3B6A" w14:textId="77777777" w:rsidR="00FF6101" w:rsidRPr="00B0658A" w:rsidRDefault="00FF6101" w:rsidP="00004A41">
            <w:pPr>
              <w:spacing w:after="0" w:line="240" w:lineRule="auto"/>
              <w:rPr>
                <w:rFonts w:ascii="Times New Roman" w:hAnsi="Times New Roman"/>
                <w:sz w:val="20"/>
                <w:szCs w:val="20"/>
              </w:rPr>
            </w:pPr>
            <w:r w:rsidRPr="00B0658A">
              <w:rPr>
                <w:rFonts w:ascii="Times New Roman" w:hAnsi="Times New Roman"/>
                <w:sz w:val="20"/>
                <w:szCs w:val="20"/>
              </w:rPr>
              <w:t>Средства обеспечения информационной безопасности/ Средства обнаружения и/или предотвращения вторжений (атак)</w:t>
            </w:r>
          </w:p>
        </w:tc>
        <w:tc>
          <w:tcPr>
            <w:tcW w:w="624" w:type="pct"/>
          </w:tcPr>
          <w:p w14:paraId="4DCD34F0" w14:textId="77777777" w:rsidR="00FF6101" w:rsidRPr="00B0658A" w:rsidRDefault="00FF6101" w:rsidP="00004A41">
            <w:pPr>
              <w:spacing w:after="0" w:line="240" w:lineRule="auto"/>
              <w:rPr>
                <w:rFonts w:ascii="Times New Roman" w:hAnsi="Times New Roman"/>
                <w:i/>
                <w:iCs/>
                <w:sz w:val="20"/>
                <w:szCs w:val="20"/>
              </w:rPr>
            </w:pPr>
          </w:p>
        </w:tc>
        <w:tc>
          <w:tcPr>
            <w:tcW w:w="1090" w:type="pct"/>
            <w:shd w:val="clear" w:color="auto" w:fill="auto"/>
          </w:tcPr>
          <w:p w14:paraId="5474B673" w14:textId="77777777" w:rsidR="00FF6101" w:rsidRPr="00B0658A" w:rsidRDefault="00FF6101" w:rsidP="00004A41">
            <w:pPr>
              <w:spacing w:after="0" w:line="240" w:lineRule="auto"/>
              <w:rPr>
                <w:rFonts w:ascii="Times New Roman" w:hAnsi="Times New Roman"/>
                <w:i/>
                <w:iCs/>
                <w:sz w:val="20"/>
                <w:szCs w:val="20"/>
              </w:rPr>
            </w:pPr>
          </w:p>
        </w:tc>
        <w:tc>
          <w:tcPr>
            <w:tcW w:w="1036" w:type="pct"/>
            <w:shd w:val="clear" w:color="auto" w:fill="auto"/>
          </w:tcPr>
          <w:p w14:paraId="1C883CC3" w14:textId="77777777" w:rsidR="00FF6101" w:rsidRPr="00B0658A" w:rsidRDefault="00FF6101" w:rsidP="00004A41">
            <w:pPr>
              <w:spacing w:after="0" w:line="240" w:lineRule="auto"/>
              <w:rPr>
                <w:rFonts w:ascii="Times New Roman" w:hAnsi="Times New Roman"/>
                <w:i/>
                <w:iCs/>
                <w:sz w:val="20"/>
                <w:szCs w:val="20"/>
              </w:rPr>
            </w:pPr>
          </w:p>
        </w:tc>
        <w:tc>
          <w:tcPr>
            <w:tcW w:w="894" w:type="pct"/>
            <w:shd w:val="clear" w:color="auto" w:fill="auto"/>
          </w:tcPr>
          <w:p w14:paraId="318FB64B" w14:textId="77777777" w:rsidR="00FF6101" w:rsidRPr="00B0658A" w:rsidRDefault="00FF6101" w:rsidP="00004A41">
            <w:pPr>
              <w:spacing w:after="0" w:line="240" w:lineRule="auto"/>
              <w:jc w:val="both"/>
              <w:rPr>
                <w:rFonts w:ascii="Times New Roman" w:hAnsi="Times New Roman"/>
                <w:i/>
                <w:iCs/>
                <w:sz w:val="20"/>
                <w:szCs w:val="20"/>
              </w:rPr>
            </w:pPr>
          </w:p>
        </w:tc>
      </w:tr>
      <w:tr w:rsidR="00F52FED" w:rsidRPr="00B0658A" w14:paraId="476BBD41" w14:textId="77777777" w:rsidTr="00FF6101">
        <w:trPr>
          <w:trHeight w:val="170"/>
        </w:trPr>
        <w:tc>
          <w:tcPr>
            <w:tcW w:w="203" w:type="pct"/>
            <w:shd w:val="clear" w:color="auto" w:fill="auto"/>
            <w:vAlign w:val="center"/>
          </w:tcPr>
          <w:p w14:paraId="52C1E66C" w14:textId="77777777" w:rsidR="00FF6101" w:rsidRPr="00B0658A" w:rsidRDefault="00FF6101" w:rsidP="00004A41">
            <w:pPr>
              <w:spacing w:after="0" w:line="240" w:lineRule="auto"/>
              <w:rPr>
                <w:rFonts w:ascii="Times New Roman" w:hAnsi="Times New Roman"/>
                <w:sz w:val="20"/>
                <w:szCs w:val="20"/>
              </w:rPr>
            </w:pPr>
            <w:r w:rsidRPr="00B0658A">
              <w:rPr>
                <w:rFonts w:ascii="Times New Roman" w:hAnsi="Times New Roman"/>
                <w:sz w:val="20"/>
                <w:szCs w:val="20"/>
              </w:rPr>
              <w:t>3.15</w:t>
            </w:r>
          </w:p>
        </w:tc>
        <w:tc>
          <w:tcPr>
            <w:tcW w:w="1153" w:type="pct"/>
            <w:shd w:val="clear" w:color="auto" w:fill="auto"/>
            <w:vAlign w:val="center"/>
          </w:tcPr>
          <w:p w14:paraId="73B1A7DB" w14:textId="77777777" w:rsidR="00FF6101" w:rsidRPr="00B0658A" w:rsidRDefault="00FF6101" w:rsidP="00004A41">
            <w:pPr>
              <w:spacing w:after="0" w:line="240" w:lineRule="auto"/>
              <w:rPr>
                <w:rFonts w:ascii="Times New Roman" w:hAnsi="Times New Roman"/>
                <w:sz w:val="20"/>
                <w:szCs w:val="20"/>
              </w:rPr>
            </w:pPr>
            <w:r w:rsidRPr="00B0658A">
              <w:rPr>
                <w:rFonts w:ascii="Times New Roman" w:hAnsi="Times New Roman"/>
                <w:sz w:val="20"/>
                <w:szCs w:val="20"/>
              </w:rPr>
              <w:t>Средства обеспечения информационной безопасности/ Средства обнаружения угроз и расследования сетевых инцидентов</w:t>
            </w:r>
          </w:p>
        </w:tc>
        <w:tc>
          <w:tcPr>
            <w:tcW w:w="624" w:type="pct"/>
          </w:tcPr>
          <w:p w14:paraId="0181689C" w14:textId="77777777" w:rsidR="00FF6101" w:rsidRPr="00B0658A" w:rsidRDefault="00FF6101" w:rsidP="00004A41">
            <w:pPr>
              <w:spacing w:after="0" w:line="240" w:lineRule="auto"/>
              <w:rPr>
                <w:rFonts w:ascii="Times New Roman" w:hAnsi="Times New Roman"/>
                <w:i/>
                <w:iCs/>
                <w:sz w:val="20"/>
                <w:szCs w:val="20"/>
              </w:rPr>
            </w:pPr>
          </w:p>
        </w:tc>
        <w:tc>
          <w:tcPr>
            <w:tcW w:w="1090" w:type="pct"/>
            <w:shd w:val="clear" w:color="auto" w:fill="auto"/>
          </w:tcPr>
          <w:p w14:paraId="5C96D973" w14:textId="77777777" w:rsidR="00FF6101" w:rsidRPr="00B0658A" w:rsidRDefault="00FF6101" w:rsidP="00004A41">
            <w:pPr>
              <w:spacing w:after="0" w:line="240" w:lineRule="auto"/>
              <w:rPr>
                <w:rFonts w:ascii="Times New Roman" w:hAnsi="Times New Roman"/>
                <w:i/>
                <w:iCs/>
                <w:sz w:val="20"/>
                <w:szCs w:val="20"/>
              </w:rPr>
            </w:pPr>
          </w:p>
        </w:tc>
        <w:tc>
          <w:tcPr>
            <w:tcW w:w="1036" w:type="pct"/>
            <w:shd w:val="clear" w:color="auto" w:fill="auto"/>
          </w:tcPr>
          <w:p w14:paraId="2220F423" w14:textId="77777777" w:rsidR="00FF6101" w:rsidRPr="00B0658A" w:rsidRDefault="00FF6101" w:rsidP="00004A41">
            <w:pPr>
              <w:spacing w:after="0" w:line="240" w:lineRule="auto"/>
              <w:rPr>
                <w:rFonts w:ascii="Times New Roman" w:hAnsi="Times New Roman"/>
                <w:i/>
                <w:iCs/>
                <w:sz w:val="20"/>
                <w:szCs w:val="20"/>
              </w:rPr>
            </w:pPr>
          </w:p>
        </w:tc>
        <w:tc>
          <w:tcPr>
            <w:tcW w:w="894" w:type="pct"/>
            <w:shd w:val="clear" w:color="auto" w:fill="auto"/>
          </w:tcPr>
          <w:p w14:paraId="65429C1C" w14:textId="77777777" w:rsidR="00FF6101" w:rsidRPr="00B0658A" w:rsidRDefault="00FF6101" w:rsidP="00004A41">
            <w:pPr>
              <w:spacing w:after="0" w:line="240" w:lineRule="auto"/>
              <w:jc w:val="both"/>
              <w:rPr>
                <w:rFonts w:ascii="Times New Roman" w:hAnsi="Times New Roman"/>
                <w:i/>
                <w:iCs/>
                <w:sz w:val="20"/>
                <w:szCs w:val="20"/>
              </w:rPr>
            </w:pPr>
          </w:p>
        </w:tc>
      </w:tr>
      <w:tr w:rsidR="00F52FED" w:rsidRPr="00B0658A" w14:paraId="7CF11BAC" w14:textId="77777777" w:rsidTr="00FF6101">
        <w:trPr>
          <w:trHeight w:val="170"/>
        </w:trPr>
        <w:tc>
          <w:tcPr>
            <w:tcW w:w="203" w:type="pct"/>
            <w:shd w:val="clear" w:color="auto" w:fill="auto"/>
            <w:vAlign w:val="center"/>
          </w:tcPr>
          <w:p w14:paraId="0B4853B6" w14:textId="77777777" w:rsidR="00FF6101" w:rsidRPr="00B0658A" w:rsidRDefault="00FF6101" w:rsidP="00004A41">
            <w:pPr>
              <w:spacing w:after="0" w:line="240" w:lineRule="auto"/>
              <w:rPr>
                <w:rFonts w:ascii="Times New Roman" w:hAnsi="Times New Roman"/>
                <w:sz w:val="20"/>
                <w:szCs w:val="20"/>
              </w:rPr>
            </w:pPr>
            <w:r w:rsidRPr="00B0658A">
              <w:rPr>
                <w:rFonts w:ascii="Times New Roman" w:hAnsi="Times New Roman"/>
                <w:sz w:val="20"/>
                <w:szCs w:val="20"/>
              </w:rPr>
              <w:lastRenderedPageBreak/>
              <w:t>3.16</w:t>
            </w:r>
          </w:p>
        </w:tc>
        <w:tc>
          <w:tcPr>
            <w:tcW w:w="1153" w:type="pct"/>
            <w:shd w:val="clear" w:color="auto" w:fill="auto"/>
            <w:vAlign w:val="center"/>
          </w:tcPr>
          <w:p w14:paraId="70C03293" w14:textId="77777777" w:rsidR="00FF6101" w:rsidRPr="00B0658A" w:rsidRDefault="00FF6101" w:rsidP="00004A41">
            <w:pPr>
              <w:spacing w:after="0" w:line="240" w:lineRule="auto"/>
              <w:rPr>
                <w:rFonts w:ascii="Times New Roman" w:hAnsi="Times New Roman"/>
                <w:sz w:val="20"/>
                <w:szCs w:val="20"/>
              </w:rPr>
            </w:pPr>
            <w:r w:rsidRPr="00B0658A">
              <w:rPr>
                <w:rFonts w:ascii="Times New Roman" w:hAnsi="Times New Roman"/>
                <w:sz w:val="20"/>
                <w:szCs w:val="20"/>
              </w:rPr>
              <w:t>Средства обеспечения информационной безопасности/ Средства администрирования и управления жизненным циклом ключевых носителей</w:t>
            </w:r>
          </w:p>
        </w:tc>
        <w:tc>
          <w:tcPr>
            <w:tcW w:w="624" w:type="pct"/>
          </w:tcPr>
          <w:p w14:paraId="186119DB" w14:textId="77777777" w:rsidR="00FF6101" w:rsidRPr="00B0658A" w:rsidRDefault="00FF6101" w:rsidP="00004A41">
            <w:pPr>
              <w:spacing w:after="0" w:line="240" w:lineRule="auto"/>
              <w:rPr>
                <w:rFonts w:ascii="Times New Roman" w:hAnsi="Times New Roman"/>
                <w:i/>
                <w:iCs/>
                <w:sz w:val="20"/>
                <w:szCs w:val="20"/>
              </w:rPr>
            </w:pPr>
          </w:p>
        </w:tc>
        <w:tc>
          <w:tcPr>
            <w:tcW w:w="1090" w:type="pct"/>
            <w:shd w:val="clear" w:color="auto" w:fill="auto"/>
          </w:tcPr>
          <w:p w14:paraId="6029A220" w14:textId="77777777" w:rsidR="00FF6101" w:rsidRPr="00B0658A" w:rsidRDefault="00FF6101" w:rsidP="00004A41">
            <w:pPr>
              <w:spacing w:after="0" w:line="240" w:lineRule="auto"/>
              <w:rPr>
                <w:rFonts w:ascii="Times New Roman" w:hAnsi="Times New Roman"/>
                <w:i/>
                <w:iCs/>
                <w:sz w:val="20"/>
                <w:szCs w:val="20"/>
              </w:rPr>
            </w:pPr>
          </w:p>
        </w:tc>
        <w:tc>
          <w:tcPr>
            <w:tcW w:w="1036" w:type="pct"/>
            <w:shd w:val="clear" w:color="auto" w:fill="auto"/>
          </w:tcPr>
          <w:p w14:paraId="383D8EFA" w14:textId="77777777" w:rsidR="00FF6101" w:rsidRPr="00B0658A" w:rsidRDefault="00FF6101" w:rsidP="00004A41">
            <w:pPr>
              <w:spacing w:after="0" w:line="240" w:lineRule="auto"/>
              <w:rPr>
                <w:rFonts w:ascii="Times New Roman" w:hAnsi="Times New Roman"/>
                <w:i/>
                <w:iCs/>
                <w:sz w:val="20"/>
                <w:szCs w:val="20"/>
              </w:rPr>
            </w:pPr>
          </w:p>
        </w:tc>
        <w:tc>
          <w:tcPr>
            <w:tcW w:w="894" w:type="pct"/>
            <w:shd w:val="clear" w:color="auto" w:fill="auto"/>
          </w:tcPr>
          <w:p w14:paraId="2CA2CF22" w14:textId="77777777" w:rsidR="00FF6101" w:rsidRPr="00B0658A" w:rsidRDefault="00FF6101" w:rsidP="00004A41">
            <w:pPr>
              <w:spacing w:after="0" w:line="240" w:lineRule="auto"/>
              <w:jc w:val="both"/>
              <w:rPr>
                <w:rFonts w:ascii="Times New Roman" w:hAnsi="Times New Roman"/>
                <w:i/>
                <w:iCs/>
                <w:sz w:val="20"/>
                <w:szCs w:val="20"/>
              </w:rPr>
            </w:pPr>
          </w:p>
        </w:tc>
      </w:tr>
      <w:tr w:rsidR="00F52FED" w:rsidRPr="00B0658A" w14:paraId="7630DD8A" w14:textId="77777777" w:rsidTr="00FF6101">
        <w:trPr>
          <w:trHeight w:val="170"/>
        </w:trPr>
        <w:tc>
          <w:tcPr>
            <w:tcW w:w="203" w:type="pct"/>
            <w:shd w:val="clear" w:color="auto" w:fill="auto"/>
            <w:vAlign w:val="center"/>
          </w:tcPr>
          <w:p w14:paraId="48BF8AE6" w14:textId="77777777" w:rsidR="00FF6101" w:rsidRPr="00B0658A" w:rsidRDefault="00FF6101" w:rsidP="00004A41">
            <w:pPr>
              <w:spacing w:after="0" w:line="240" w:lineRule="auto"/>
              <w:rPr>
                <w:rFonts w:ascii="Times New Roman" w:hAnsi="Times New Roman"/>
                <w:sz w:val="20"/>
                <w:szCs w:val="20"/>
              </w:rPr>
            </w:pPr>
            <w:r w:rsidRPr="00B0658A">
              <w:rPr>
                <w:rFonts w:ascii="Times New Roman" w:hAnsi="Times New Roman"/>
                <w:sz w:val="20"/>
                <w:szCs w:val="20"/>
              </w:rPr>
              <w:t>3.17</w:t>
            </w:r>
          </w:p>
        </w:tc>
        <w:tc>
          <w:tcPr>
            <w:tcW w:w="1153" w:type="pct"/>
            <w:shd w:val="clear" w:color="auto" w:fill="auto"/>
            <w:vAlign w:val="center"/>
          </w:tcPr>
          <w:p w14:paraId="7740654E" w14:textId="77777777" w:rsidR="00FF6101" w:rsidRPr="00B0658A" w:rsidRDefault="00FF6101" w:rsidP="00004A41">
            <w:pPr>
              <w:spacing w:after="0" w:line="240" w:lineRule="auto"/>
              <w:rPr>
                <w:rFonts w:ascii="Times New Roman" w:hAnsi="Times New Roman"/>
                <w:sz w:val="20"/>
                <w:szCs w:val="20"/>
              </w:rPr>
            </w:pPr>
            <w:r w:rsidRPr="00B0658A">
              <w:rPr>
                <w:rFonts w:ascii="Times New Roman" w:hAnsi="Times New Roman"/>
                <w:sz w:val="20"/>
                <w:szCs w:val="20"/>
              </w:rPr>
              <w:t>Средства обеспечения информационной безопасности/ Средства автоматизации процессов информационной безопасности</w:t>
            </w:r>
          </w:p>
        </w:tc>
        <w:tc>
          <w:tcPr>
            <w:tcW w:w="624" w:type="pct"/>
          </w:tcPr>
          <w:p w14:paraId="7C7B53AC" w14:textId="77777777" w:rsidR="00FF6101" w:rsidRPr="00B0658A" w:rsidRDefault="00FF6101" w:rsidP="00004A41">
            <w:pPr>
              <w:spacing w:after="0" w:line="240" w:lineRule="auto"/>
              <w:rPr>
                <w:rFonts w:ascii="Times New Roman" w:hAnsi="Times New Roman"/>
                <w:i/>
                <w:iCs/>
                <w:sz w:val="20"/>
                <w:szCs w:val="20"/>
              </w:rPr>
            </w:pPr>
          </w:p>
        </w:tc>
        <w:tc>
          <w:tcPr>
            <w:tcW w:w="1090" w:type="pct"/>
            <w:shd w:val="clear" w:color="auto" w:fill="auto"/>
          </w:tcPr>
          <w:p w14:paraId="2245F4E2" w14:textId="77777777" w:rsidR="00FF6101" w:rsidRPr="00B0658A" w:rsidRDefault="00FF6101" w:rsidP="00004A41">
            <w:pPr>
              <w:spacing w:after="0" w:line="240" w:lineRule="auto"/>
              <w:rPr>
                <w:rFonts w:ascii="Times New Roman" w:hAnsi="Times New Roman"/>
                <w:i/>
                <w:iCs/>
                <w:sz w:val="20"/>
                <w:szCs w:val="20"/>
              </w:rPr>
            </w:pPr>
          </w:p>
        </w:tc>
        <w:tc>
          <w:tcPr>
            <w:tcW w:w="1036" w:type="pct"/>
            <w:shd w:val="clear" w:color="auto" w:fill="auto"/>
          </w:tcPr>
          <w:p w14:paraId="70D03E44" w14:textId="77777777" w:rsidR="00FF6101" w:rsidRPr="00B0658A" w:rsidRDefault="00FF6101" w:rsidP="00004A41">
            <w:pPr>
              <w:spacing w:after="0" w:line="240" w:lineRule="auto"/>
              <w:rPr>
                <w:rFonts w:ascii="Times New Roman" w:hAnsi="Times New Roman"/>
                <w:i/>
                <w:iCs/>
                <w:sz w:val="20"/>
                <w:szCs w:val="20"/>
              </w:rPr>
            </w:pPr>
          </w:p>
        </w:tc>
        <w:tc>
          <w:tcPr>
            <w:tcW w:w="894" w:type="pct"/>
            <w:shd w:val="clear" w:color="auto" w:fill="auto"/>
          </w:tcPr>
          <w:p w14:paraId="7FF1B16F" w14:textId="77777777" w:rsidR="00FF6101" w:rsidRPr="00B0658A" w:rsidRDefault="00FF6101" w:rsidP="00004A41">
            <w:pPr>
              <w:spacing w:after="0" w:line="240" w:lineRule="auto"/>
              <w:jc w:val="both"/>
              <w:rPr>
                <w:rFonts w:ascii="Times New Roman" w:hAnsi="Times New Roman"/>
                <w:i/>
                <w:iCs/>
                <w:sz w:val="20"/>
                <w:szCs w:val="20"/>
              </w:rPr>
            </w:pPr>
          </w:p>
        </w:tc>
      </w:tr>
      <w:tr w:rsidR="00F52FED" w:rsidRPr="00B0658A" w14:paraId="5B6DCBE3" w14:textId="77777777" w:rsidTr="00FF6101">
        <w:trPr>
          <w:trHeight w:val="170"/>
        </w:trPr>
        <w:tc>
          <w:tcPr>
            <w:tcW w:w="203" w:type="pct"/>
            <w:shd w:val="clear" w:color="auto" w:fill="auto"/>
            <w:vAlign w:val="center"/>
          </w:tcPr>
          <w:p w14:paraId="4BAFFED4" w14:textId="77777777" w:rsidR="00FF6101" w:rsidRPr="00B0658A" w:rsidRDefault="00FF6101" w:rsidP="00004A41">
            <w:pPr>
              <w:spacing w:after="0" w:line="240" w:lineRule="auto"/>
              <w:rPr>
                <w:rFonts w:ascii="Times New Roman" w:hAnsi="Times New Roman"/>
                <w:sz w:val="20"/>
                <w:szCs w:val="20"/>
              </w:rPr>
            </w:pPr>
            <w:r w:rsidRPr="00B0658A">
              <w:rPr>
                <w:rFonts w:ascii="Times New Roman" w:hAnsi="Times New Roman"/>
                <w:sz w:val="20"/>
                <w:szCs w:val="20"/>
              </w:rPr>
              <w:t>4.1</w:t>
            </w:r>
          </w:p>
        </w:tc>
        <w:tc>
          <w:tcPr>
            <w:tcW w:w="1153" w:type="pct"/>
            <w:shd w:val="clear" w:color="auto" w:fill="auto"/>
            <w:vAlign w:val="center"/>
          </w:tcPr>
          <w:p w14:paraId="39CFE30F" w14:textId="77777777" w:rsidR="00FF6101" w:rsidRPr="00B0658A" w:rsidRDefault="00FF6101" w:rsidP="00004A41">
            <w:pPr>
              <w:spacing w:after="0" w:line="240" w:lineRule="auto"/>
              <w:rPr>
                <w:rFonts w:ascii="Times New Roman" w:hAnsi="Times New Roman"/>
                <w:sz w:val="20"/>
                <w:szCs w:val="20"/>
              </w:rPr>
            </w:pPr>
            <w:r w:rsidRPr="00B0658A">
              <w:rPr>
                <w:rFonts w:ascii="Times New Roman" w:hAnsi="Times New Roman"/>
                <w:sz w:val="20"/>
                <w:szCs w:val="20"/>
              </w:rPr>
              <w:t>Средства разработки программного обеспечения/ Средства подготовки исполнимого кода</w:t>
            </w:r>
          </w:p>
        </w:tc>
        <w:tc>
          <w:tcPr>
            <w:tcW w:w="624" w:type="pct"/>
          </w:tcPr>
          <w:p w14:paraId="77467A55" w14:textId="77777777" w:rsidR="00FF6101" w:rsidRPr="00B0658A" w:rsidRDefault="00FF6101" w:rsidP="00004A41">
            <w:pPr>
              <w:spacing w:after="0" w:line="240" w:lineRule="auto"/>
              <w:rPr>
                <w:rFonts w:ascii="Times New Roman" w:hAnsi="Times New Roman"/>
                <w:i/>
                <w:iCs/>
                <w:sz w:val="20"/>
                <w:szCs w:val="20"/>
              </w:rPr>
            </w:pPr>
          </w:p>
        </w:tc>
        <w:tc>
          <w:tcPr>
            <w:tcW w:w="1090" w:type="pct"/>
            <w:shd w:val="clear" w:color="auto" w:fill="auto"/>
          </w:tcPr>
          <w:p w14:paraId="65CFFE72" w14:textId="77777777" w:rsidR="00FF6101" w:rsidRPr="00B0658A" w:rsidRDefault="00FF6101" w:rsidP="00004A41">
            <w:pPr>
              <w:spacing w:after="0" w:line="240" w:lineRule="auto"/>
              <w:rPr>
                <w:rFonts w:ascii="Times New Roman" w:hAnsi="Times New Roman"/>
                <w:i/>
                <w:iCs/>
                <w:sz w:val="20"/>
                <w:szCs w:val="20"/>
              </w:rPr>
            </w:pPr>
          </w:p>
        </w:tc>
        <w:tc>
          <w:tcPr>
            <w:tcW w:w="1036" w:type="pct"/>
            <w:shd w:val="clear" w:color="auto" w:fill="auto"/>
          </w:tcPr>
          <w:p w14:paraId="77614715" w14:textId="77777777" w:rsidR="00FF6101" w:rsidRPr="00B0658A" w:rsidRDefault="00FF6101" w:rsidP="00004A41">
            <w:pPr>
              <w:spacing w:after="0" w:line="240" w:lineRule="auto"/>
              <w:rPr>
                <w:rFonts w:ascii="Times New Roman" w:hAnsi="Times New Roman"/>
                <w:i/>
                <w:iCs/>
                <w:sz w:val="20"/>
                <w:szCs w:val="20"/>
              </w:rPr>
            </w:pPr>
          </w:p>
        </w:tc>
        <w:tc>
          <w:tcPr>
            <w:tcW w:w="894" w:type="pct"/>
            <w:shd w:val="clear" w:color="auto" w:fill="auto"/>
          </w:tcPr>
          <w:p w14:paraId="69F0F181" w14:textId="77777777" w:rsidR="00FF6101" w:rsidRPr="00B0658A" w:rsidRDefault="00FF6101" w:rsidP="00004A41">
            <w:pPr>
              <w:spacing w:after="0" w:line="240" w:lineRule="auto"/>
              <w:jc w:val="both"/>
              <w:rPr>
                <w:rFonts w:ascii="Times New Roman" w:hAnsi="Times New Roman"/>
                <w:i/>
                <w:iCs/>
                <w:sz w:val="20"/>
                <w:szCs w:val="20"/>
              </w:rPr>
            </w:pPr>
          </w:p>
        </w:tc>
      </w:tr>
      <w:tr w:rsidR="00F52FED" w:rsidRPr="00B0658A" w14:paraId="3A1706A3" w14:textId="77777777" w:rsidTr="00FF6101">
        <w:trPr>
          <w:trHeight w:val="170"/>
        </w:trPr>
        <w:tc>
          <w:tcPr>
            <w:tcW w:w="203" w:type="pct"/>
            <w:shd w:val="clear" w:color="auto" w:fill="auto"/>
            <w:vAlign w:val="center"/>
          </w:tcPr>
          <w:p w14:paraId="1E339E21" w14:textId="77777777" w:rsidR="00FF6101" w:rsidRPr="00B0658A" w:rsidDel="00EC4B3C" w:rsidRDefault="00FF6101" w:rsidP="00004A41">
            <w:pPr>
              <w:spacing w:after="0" w:line="240" w:lineRule="auto"/>
              <w:rPr>
                <w:rFonts w:ascii="Times New Roman" w:hAnsi="Times New Roman"/>
                <w:b/>
                <w:sz w:val="20"/>
                <w:szCs w:val="20"/>
              </w:rPr>
            </w:pPr>
            <w:r w:rsidRPr="00B0658A">
              <w:rPr>
                <w:rFonts w:ascii="Times New Roman" w:hAnsi="Times New Roman"/>
                <w:sz w:val="20"/>
                <w:szCs w:val="20"/>
              </w:rPr>
              <w:t>4.2</w:t>
            </w:r>
          </w:p>
        </w:tc>
        <w:tc>
          <w:tcPr>
            <w:tcW w:w="1153" w:type="pct"/>
            <w:shd w:val="clear" w:color="auto" w:fill="auto"/>
            <w:vAlign w:val="center"/>
          </w:tcPr>
          <w:p w14:paraId="3D462996" w14:textId="77777777" w:rsidR="00FF6101" w:rsidRPr="00B0658A" w:rsidRDefault="00FF6101" w:rsidP="00004A41">
            <w:pPr>
              <w:spacing w:after="0" w:line="240" w:lineRule="auto"/>
              <w:rPr>
                <w:rFonts w:ascii="Times New Roman" w:hAnsi="Times New Roman"/>
                <w:b/>
                <w:sz w:val="20"/>
                <w:szCs w:val="20"/>
              </w:rPr>
            </w:pPr>
            <w:r w:rsidRPr="00B0658A">
              <w:rPr>
                <w:rFonts w:ascii="Times New Roman" w:hAnsi="Times New Roman"/>
                <w:sz w:val="20"/>
                <w:szCs w:val="20"/>
              </w:rPr>
              <w:t>Средства разработки программного обеспечения/ Средства версионного контроля исходного кода</w:t>
            </w:r>
          </w:p>
        </w:tc>
        <w:tc>
          <w:tcPr>
            <w:tcW w:w="624" w:type="pct"/>
          </w:tcPr>
          <w:p w14:paraId="47B631EA" w14:textId="77777777" w:rsidR="00FF6101" w:rsidRPr="00B0658A" w:rsidRDefault="00FF6101" w:rsidP="00004A41">
            <w:pPr>
              <w:spacing w:after="0" w:line="240" w:lineRule="auto"/>
              <w:rPr>
                <w:rFonts w:ascii="Times New Roman" w:hAnsi="Times New Roman"/>
                <w:i/>
                <w:iCs/>
                <w:sz w:val="20"/>
                <w:szCs w:val="20"/>
              </w:rPr>
            </w:pPr>
          </w:p>
        </w:tc>
        <w:tc>
          <w:tcPr>
            <w:tcW w:w="1090" w:type="pct"/>
            <w:shd w:val="clear" w:color="auto" w:fill="auto"/>
          </w:tcPr>
          <w:p w14:paraId="33A5B05B" w14:textId="77777777" w:rsidR="00FF6101" w:rsidRPr="00B0658A" w:rsidRDefault="00FF6101" w:rsidP="00004A41">
            <w:pPr>
              <w:spacing w:after="0" w:line="240" w:lineRule="auto"/>
              <w:rPr>
                <w:rFonts w:ascii="Times New Roman" w:hAnsi="Times New Roman"/>
                <w:i/>
                <w:iCs/>
                <w:sz w:val="20"/>
                <w:szCs w:val="20"/>
              </w:rPr>
            </w:pPr>
          </w:p>
        </w:tc>
        <w:tc>
          <w:tcPr>
            <w:tcW w:w="1036" w:type="pct"/>
            <w:shd w:val="clear" w:color="auto" w:fill="auto"/>
          </w:tcPr>
          <w:p w14:paraId="766B5E6F" w14:textId="77777777" w:rsidR="00FF6101" w:rsidRPr="00B0658A" w:rsidRDefault="00FF6101" w:rsidP="00004A41">
            <w:pPr>
              <w:spacing w:after="0" w:line="240" w:lineRule="auto"/>
              <w:rPr>
                <w:rFonts w:ascii="Times New Roman" w:hAnsi="Times New Roman"/>
                <w:i/>
                <w:iCs/>
                <w:sz w:val="20"/>
                <w:szCs w:val="20"/>
              </w:rPr>
            </w:pPr>
          </w:p>
        </w:tc>
        <w:tc>
          <w:tcPr>
            <w:tcW w:w="894" w:type="pct"/>
            <w:shd w:val="clear" w:color="auto" w:fill="auto"/>
          </w:tcPr>
          <w:p w14:paraId="1012BE31" w14:textId="77777777" w:rsidR="00FF6101" w:rsidRPr="00B0658A" w:rsidRDefault="00FF6101" w:rsidP="00004A41">
            <w:pPr>
              <w:spacing w:after="0" w:line="240" w:lineRule="auto"/>
              <w:jc w:val="both"/>
              <w:rPr>
                <w:rFonts w:ascii="Times New Roman" w:hAnsi="Times New Roman"/>
                <w:i/>
                <w:iCs/>
                <w:sz w:val="20"/>
                <w:szCs w:val="20"/>
              </w:rPr>
            </w:pPr>
          </w:p>
        </w:tc>
      </w:tr>
      <w:tr w:rsidR="00F52FED" w:rsidRPr="00B0658A" w14:paraId="1BF79627" w14:textId="77777777" w:rsidTr="00FF6101">
        <w:trPr>
          <w:trHeight w:val="170"/>
        </w:trPr>
        <w:tc>
          <w:tcPr>
            <w:tcW w:w="203" w:type="pct"/>
            <w:shd w:val="clear" w:color="auto" w:fill="auto"/>
            <w:vAlign w:val="center"/>
          </w:tcPr>
          <w:p w14:paraId="206674D5" w14:textId="77777777" w:rsidR="00FF6101" w:rsidRPr="00B0658A" w:rsidDel="00EC4B3C" w:rsidRDefault="00FF6101" w:rsidP="00004A41">
            <w:pPr>
              <w:spacing w:after="0" w:line="240" w:lineRule="auto"/>
              <w:rPr>
                <w:rFonts w:ascii="Times New Roman" w:hAnsi="Times New Roman"/>
                <w:b/>
                <w:sz w:val="20"/>
                <w:szCs w:val="20"/>
              </w:rPr>
            </w:pPr>
            <w:r w:rsidRPr="00B0658A">
              <w:rPr>
                <w:rFonts w:ascii="Times New Roman" w:hAnsi="Times New Roman"/>
                <w:sz w:val="20"/>
                <w:szCs w:val="20"/>
              </w:rPr>
              <w:t>4.3</w:t>
            </w:r>
          </w:p>
        </w:tc>
        <w:tc>
          <w:tcPr>
            <w:tcW w:w="1153" w:type="pct"/>
            <w:shd w:val="clear" w:color="auto" w:fill="auto"/>
            <w:vAlign w:val="center"/>
          </w:tcPr>
          <w:p w14:paraId="159CCC26" w14:textId="77777777" w:rsidR="00FF6101" w:rsidRPr="00B0658A" w:rsidRDefault="00FF6101" w:rsidP="00004A41">
            <w:pPr>
              <w:spacing w:after="0" w:line="240" w:lineRule="auto"/>
              <w:rPr>
                <w:rFonts w:ascii="Times New Roman" w:hAnsi="Times New Roman"/>
                <w:b/>
                <w:sz w:val="20"/>
                <w:szCs w:val="20"/>
              </w:rPr>
            </w:pPr>
            <w:r w:rsidRPr="00B0658A">
              <w:rPr>
                <w:rFonts w:ascii="Times New Roman" w:hAnsi="Times New Roman"/>
                <w:sz w:val="20"/>
                <w:szCs w:val="20"/>
              </w:rPr>
              <w:t>Средства разработки программного обеспечения/ Библиотеки подпрограмм (SDK)</w:t>
            </w:r>
          </w:p>
        </w:tc>
        <w:tc>
          <w:tcPr>
            <w:tcW w:w="624" w:type="pct"/>
          </w:tcPr>
          <w:p w14:paraId="3B508D32" w14:textId="77777777" w:rsidR="00FF6101" w:rsidRPr="00B0658A" w:rsidRDefault="00FF6101" w:rsidP="00004A41">
            <w:pPr>
              <w:spacing w:after="0" w:line="240" w:lineRule="auto"/>
              <w:rPr>
                <w:rFonts w:ascii="Times New Roman" w:hAnsi="Times New Roman"/>
                <w:i/>
                <w:iCs/>
                <w:sz w:val="20"/>
                <w:szCs w:val="20"/>
              </w:rPr>
            </w:pPr>
          </w:p>
        </w:tc>
        <w:tc>
          <w:tcPr>
            <w:tcW w:w="1090" w:type="pct"/>
            <w:shd w:val="clear" w:color="auto" w:fill="auto"/>
          </w:tcPr>
          <w:p w14:paraId="1C458445" w14:textId="77777777" w:rsidR="00FF6101" w:rsidRPr="00B0658A" w:rsidRDefault="00FF6101" w:rsidP="00004A41">
            <w:pPr>
              <w:spacing w:after="0" w:line="240" w:lineRule="auto"/>
              <w:rPr>
                <w:rFonts w:ascii="Times New Roman" w:hAnsi="Times New Roman"/>
                <w:i/>
                <w:iCs/>
                <w:sz w:val="20"/>
                <w:szCs w:val="20"/>
              </w:rPr>
            </w:pPr>
          </w:p>
        </w:tc>
        <w:tc>
          <w:tcPr>
            <w:tcW w:w="1036" w:type="pct"/>
            <w:shd w:val="clear" w:color="auto" w:fill="auto"/>
          </w:tcPr>
          <w:p w14:paraId="31EFFB06" w14:textId="77777777" w:rsidR="00FF6101" w:rsidRPr="00B0658A" w:rsidRDefault="00FF6101" w:rsidP="00004A41">
            <w:pPr>
              <w:spacing w:after="0" w:line="240" w:lineRule="auto"/>
              <w:rPr>
                <w:rFonts w:ascii="Times New Roman" w:hAnsi="Times New Roman"/>
                <w:i/>
                <w:iCs/>
                <w:sz w:val="20"/>
                <w:szCs w:val="20"/>
              </w:rPr>
            </w:pPr>
          </w:p>
        </w:tc>
        <w:tc>
          <w:tcPr>
            <w:tcW w:w="894" w:type="pct"/>
            <w:shd w:val="clear" w:color="auto" w:fill="auto"/>
          </w:tcPr>
          <w:p w14:paraId="5E7DD23F" w14:textId="77777777" w:rsidR="00FF6101" w:rsidRPr="00B0658A" w:rsidRDefault="00FF6101" w:rsidP="00004A41">
            <w:pPr>
              <w:spacing w:after="0" w:line="240" w:lineRule="auto"/>
              <w:jc w:val="both"/>
              <w:rPr>
                <w:rFonts w:ascii="Times New Roman" w:hAnsi="Times New Roman"/>
                <w:i/>
                <w:iCs/>
                <w:sz w:val="20"/>
                <w:szCs w:val="20"/>
              </w:rPr>
            </w:pPr>
          </w:p>
        </w:tc>
      </w:tr>
      <w:tr w:rsidR="00F52FED" w:rsidRPr="00B0658A" w14:paraId="45517C13" w14:textId="77777777" w:rsidTr="00FF6101">
        <w:trPr>
          <w:trHeight w:val="170"/>
        </w:trPr>
        <w:tc>
          <w:tcPr>
            <w:tcW w:w="203" w:type="pct"/>
            <w:shd w:val="clear" w:color="auto" w:fill="auto"/>
            <w:vAlign w:val="center"/>
          </w:tcPr>
          <w:p w14:paraId="044812CA" w14:textId="77777777" w:rsidR="00FF6101" w:rsidRPr="00B0658A" w:rsidDel="00EC4B3C" w:rsidRDefault="00FF6101" w:rsidP="00004A41">
            <w:pPr>
              <w:spacing w:after="0" w:line="240" w:lineRule="auto"/>
              <w:rPr>
                <w:rFonts w:ascii="Times New Roman" w:hAnsi="Times New Roman"/>
                <w:b/>
                <w:sz w:val="20"/>
                <w:szCs w:val="20"/>
              </w:rPr>
            </w:pPr>
            <w:r w:rsidRPr="00B0658A">
              <w:rPr>
                <w:rFonts w:ascii="Times New Roman" w:hAnsi="Times New Roman"/>
                <w:sz w:val="20"/>
                <w:szCs w:val="20"/>
              </w:rPr>
              <w:t>4.4</w:t>
            </w:r>
          </w:p>
        </w:tc>
        <w:tc>
          <w:tcPr>
            <w:tcW w:w="1153" w:type="pct"/>
            <w:shd w:val="clear" w:color="auto" w:fill="auto"/>
            <w:vAlign w:val="center"/>
          </w:tcPr>
          <w:p w14:paraId="5C0580D6" w14:textId="77777777" w:rsidR="00FF6101" w:rsidRPr="00B0658A" w:rsidRDefault="00FF6101" w:rsidP="00004A41">
            <w:pPr>
              <w:spacing w:after="0" w:line="240" w:lineRule="auto"/>
              <w:rPr>
                <w:rFonts w:ascii="Times New Roman" w:hAnsi="Times New Roman"/>
                <w:b/>
                <w:sz w:val="20"/>
                <w:szCs w:val="20"/>
              </w:rPr>
            </w:pPr>
            <w:r w:rsidRPr="00B0658A">
              <w:rPr>
                <w:rFonts w:ascii="Times New Roman" w:hAnsi="Times New Roman"/>
                <w:sz w:val="20"/>
                <w:szCs w:val="20"/>
              </w:rPr>
              <w:t>Средства разработки программного обеспечения/ Среды разработки, тестирования и отладки</w:t>
            </w:r>
          </w:p>
        </w:tc>
        <w:tc>
          <w:tcPr>
            <w:tcW w:w="624" w:type="pct"/>
          </w:tcPr>
          <w:p w14:paraId="5A2C6716" w14:textId="77777777" w:rsidR="00FF6101" w:rsidRPr="00B0658A" w:rsidRDefault="00FF6101" w:rsidP="00004A41">
            <w:pPr>
              <w:spacing w:after="0" w:line="240" w:lineRule="auto"/>
              <w:rPr>
                <w:rFonts w:ascii="Times New Roman" w:hAnsi="Times New Roman"/>
                <w:i/>
                <w:iCs/>
                <w:sz w:val="20"/>
                <w:szCs w:val="20"/>
              </w:rPr>
            </w:pPr>
          </w:p>
        </w:tc>
        <w:tc>
          <w:tcPr>
            <w:tcW w:w="1090" w:type="pct"/>
            <w:shd w:val="clear" w:color="auto" w:fill="auto"/>
          </w:tcPr>
          <w:p w14:paraId="747B8C8F" w14:textId="77777777" w:rsidR="00FF6101" w:rsidRPr="00B0658A" w:rsidRDefault="00FF6101" w:rsidP="00004A41">
            <w:pPr>
              <w:spacing w:after="0" w:line="240" w:lineRule="auto"/>
              <w:rPr>
                <w:rFonts w:ascii="Times New Roman" w:hAnsi="Times New Roman"/>
                <w:i/>
                <w:iCs/>
                <w:sz w:val="20"/>
                <w:szCs w:val="20"/>
              </w:rPr>
            </w:pPr>
          </w:p>
        </w:tc>
        <w:tc>
          <w:tcPr>
            <w:tcW w:w="1036" w:type="pct"/>
            <w:shd w:val="clear" w:color="auto" w:fill="auto"/>
          </w:tcPr>
          <w:p w14:paraId="42CC346C" w14:textId="77777777" w:rsidR="00FF6101" w:rsidRPr="00B0658A" w:rsidRDefault="00FF6101" w:rsidP="00004A41">
            <w:pPr>
              <w:spacing w:after="0" w:line="240" w:lineRule="auto"/>
              <w:rPr>
                <w:rFonts w:ascii="Times New Roman" w:hAnsi="Times New Roman"/>
                <w:i/>
                <w:iCs/>
                <w:sz w:val="20"/>
                <w:szCs w:val="20"/>
              </w:rPr>
            </w:pPr>
          </w:p>
        </w:tc>
        <w:tc>
          <w:tcPr>
            <w:tcW w:w="894" w:type="pct"/>
            <w:shd w:val="clear" w:color="auto" w:fill="auto"/>
          </w:tcPr>
          <w:p w14:paraId="2F03F16C" w14:textId="77777777" w:rsidR="00FF6101" w:rsidRPr="00B0658A" w:rsidRDefault="00FF6101" w:rsidP="00004A41">
            <w:pPr>
              <w:spacing w:after="0" w:line="240" w:lineRule="auto"/>
              <w:jc w:val="both"/>
              <w:rPr>
                <w:rFonts w:ascii="Times New Roman" w:hAnsi="Times New Roman"/>
                <w:i/>
                <w:iCs/>
                <w:sz w:val="20"/>
                <w:szCs w:val="20"/>
              </w:rPr>
            </w:pPr>
          </w:p>
        </w:tc>
      </w:tr>
      <w:tr w:rsidR="00F52FED" w:rsidRPr="00B0658A" w14:paraId="0D31F5A7" w14:textId="77777777" w:rsidTr="00FF6101">
        <w:trPr>
          <w:trHeight w:val="170"/>
        </w:trPr>
        <w:tc>
          <w:tcPr>
            <w:tcW w:w="203" w:type="pct"/>
            <w:shd w:val="clear" w:color="auto" w:fill="auto"/>
            <w:vAlign w:val="center"/>
          </w:tcPr>
          <w:p w14:paraId="6211B573" w14:textId="77777777" w:rsidR="00FF6101" w:rsidRPr="00B0658A" w:rsidDel="00EC4B3C" w:rsidRDefault="00FF6101" w:rsidP="00004A41">
            <w:pPr>
              <w:spacing w:after="0" w:line="240" w:lineRule="auto"/>
              <w:rPr>
                <w:rFonts w:ascii="Times New Roman" w:hAnsi="Times New Roman"/>
                <w:b/>
                <w:sz w:val="20"/>
                <w:szCs w:val="20"/>
              </w:rPr>
            </w:pPr>
            <w:r w:rsidRPr="00B0658A">
              <w:rPr>
                <w:rFonts w:ascii="Times New Roman" w:hAnsi="Times New Roman"/>
                <w:sz w:val="20"/>
                <w:szCs w:val="20"/>
              </w:rPr>
              <w:t>4.5</w:t>
            </w:r>
          </w:p>
        </w:tc>
        <w:tc>
          <w:tcPr>
            <w:tcW w:w="1153" w:type="pct"/>
            <w:shd w:val="clear" w:color="auto" w:fill="auto"/>
            <w:vAlign w:val="center"/>
          </w:tcPr>
          <w:p w14:paraId="5C6AE0BB" w14:textId="77777777" w:rsidR="00FF6101" w:rsidRPr="00B0658A" w:rsidRDefault="00FF6101" w:rsidP="00004A41">
            <w:pPr>
              <w:spacing w:after="0" w:line="240" w:lineRule="auto"/>
              <w:rPr>
                <w:rFonts w:ascii="Times New Roman" w:hAnsi="Times New Roman"/>
                <w:b/>
                <w:sz w:val="20"/>
                <w:szCs w:val="20"/>
              </w:rPr>
            </w:pPr>
            <w:r w:rsidRPr="00B0658A">
              <w:rPr>
                <w:rFonts w:ascii="Times New Roman" w:hAnsi="Times New Roman"/>
                <w:sz w:val="20"/>
                <w:szCs w:val="20"/>
              </w:rPr>
              <w:t>Средства разработки программного обеспечения/ Средства анализа исходного кода на закладки и уязвимости</w:t>
            </w:r>
          </w:p>
        </w:tc>
        <w:tc>
          <w:tcPr>
            <w:tcW w:w="624" w:type="pct"/>
          </w:tcPr>
          <w:p w14:paraId="0B3C4B9D" w14:textId="77777777" w:rsidR="00FF6101" w:rsidRPr="00B0658A" w:rsidRDefault="00FF6101" w:rsidP="00004A41">
            <w:pPr>
              <w:spacing w:after="0" w:line="240" w:lineRule="auto"/>
              <w:rPr>
                <w:rFonts w:ascii="Times New Roman" w:hAnsi="Times New Roman"/>
                <w:i/>
                <w:iCs/>
                <w:sz w:val="20"/>
                <w:szCs w:val="20"/>
              </w:rPr>
            </w:pPr>
          </w:p>
        </w:tc>
        <w:tc>
          <w:tcPr>
            <w:tcW w:w="1090" w:type="pct"/>
            <w:shd w:val="clear" w:color="auto" w:fill="auto"/>
          </w:tcPr>
          <w:p w14:paraId="232D8C2C" w14:textId="77777777" w:rsidR="00FF6101" w:rsidRPr="00B0658A" w:rsidRDefault="00FF6101" w:rsidP="00004A41">
            <w:pPr>
              <w:spacing w:after="0" w:line="240" w:lineRule="auto"/>
              <w:rPr>
                <w:rFonts w:ascii="Times New Roman" w:hAnsi="Times New Roman"/>
                <w:i/>
                <w:iCs/>
                <w:sz w:val="20"/>
                <w:szCs w:val="20"/>
              </w:rPr>
            </w:pPr>
          </w:p>
        </w:tc>
        <w:tc>
          <w:tcPr>
            <w:tcW w:w="1036" w:type="pct"/>
            <w:shd w:val="clear" w:color="auto" w:fill="auto"/>
          </w:tcPr>
          <w:p w14:paraId="25672810" w14:textId="77777777" w:rsidR="00FF6101" w:rsidRPr="00B0658A" w:rsidRDefault="00FF6101" w:rsidP="00004A41">
            <w:pPr>
              <w:spacing w:after="0" w:line="240" w:lineRule="auto"/>
              <w:rPr>
                <w:rFonts w:ascii="Times New Roman" w:hAnsi="Times New Roman"/>
                <w:i/>
                <w:iCs/>
                <w:sz w:val="20"/>
                <w:szCs w:val="20"/>
              </w:rPr>
            </w:pPr>
          </w:p>
        </w:tc>
        <w:tc>
          <w:tcPr>
            <w:tcW w:w="894" w:type="pct"/>
            <w:shd w:val="clear" w:color="auto" w:fill="auto"/>
          </w:tcPr>
          <w:p w14:paraId="0178AA82" w14:textId="77777777" w:rsidR="00FF6101" w:rsidRPr="00B0658A" w:rsidRDefault="00FF6101" w:rsidP="00004A41">
            <w:pPr>
              <w:spacing w:after="0" w:line="240" w:lineRule="auto"/>
              <w:jc w:val="both"/>
              <w:rPr>
                <w:rFonts w:ascii="Times New Roman" w:hAnsi="Times New Roman"/>
                <w:i/>
                <w:iCs/>
                <w:sz w:val="20"/>
                <w:szCs w:val="20"/>
              </w:rPr>
            </w:pPr>
          </w:p>
        </w:tc>
      </w:tr>
      <w:tr w:rsidR="00F52FED" w:rsidRPr="00B0658A" w14:paraId="4CFC96EB" w14:textId="77777777" w:rsidTr="00FF6101">
        <w:trPr>
          <w:trHeight w:val="170"/>
        </w:trPr>
        <w:tc>
          <w:tcPr>
            <w:tcW w:w="203" w:type="pct"/>
            <w:shd w:val="clear" w:color="auto" w:fill="auto"/>
            <w:vAlign w:val="center"/>
          </w:tcPr>
          <w:p w14:paraId="50A9B287" w14:textId="77777777" w:rsidR="00FF6101" w:rsidRPr="00B0658A" w:rsidDel="00EC4B3C" w:rsidRDefault="00FF6101" w:rsidP="00004A41">
            <w:pPr>
              <w:spacing w:after="0" w:line="240" w:lineRule="auto"/>
              <w:rPr>
                <w:rFonts w:ascii="Times New Roman" w:hAnsi="Times New Roman"/>
                <w:b/>
                <w:sz w:val="20"/>
                <w:szCs w:val="20"/>
              </w:rPr>
            </w:pPr>
            <w:r w:rsidRPr="00B0658A">
              <w:rPr>
                <w:rFonts w:ascii="Times New Roman" w:hAnsi="Times New Roman"/>
                <w:sz w:val="20"/>
                <w:szCs w:val="20"/>
              </w:rPr>
              <w:t>4.6</w:t>
            </w:r>
          </w:p>
        </w:tc>
        <w:tc>
          <w:tcPr>
            <w:tcW w:w="1153" w:type="pct"/>
            <w:shd w:val="clear" w:color="auto" w:fill="auto"/>
            <w:vAlign w:val="center"/>
          </w:tcPr>
          <w:p w14:paraId="1932C67D" w14:textId="77777777" w:rsidR="00FF6101" w:rsidRPr="00B0658A" w:rsidRDefault="00FF6101" w:rsidP="00004A41">
            <w:pPr>
              <w:spacing w:after="0" w:line="240" w:lineRule="auto"/>
              <w:rPr>
                <w:rFonts w:ascii="Times New Roman" w:hAnsi="Times New Roman"/>
                <w:b/>
                <w:sz w:val="20"/>
                <w:szCs w:val="20"/>
              </w:rPr>
            </w:pPr>
            <w:r w:rsidRPr="00B0658A">
              <w:rPr>
                <w:rFonts w:ascii="Times New Roman" w:hAnsi="Times New Roman"/>
                <w:sz w:val="20"/>
                <w:szCs w:val="20"/>
              </w:rPr>
              <w:t xml:space="preserve">Средства разработки программного обеспечения/ Средства разработки программного обеспечения на </w:t>
            </w:r>
            <w:r w:rsidRPr="00B0658A">
              <w:rPr>
                <w:rFonts w:ascii="Times New Roman" w:hAnsi="Times New Roman"/>
                <w:sz w:val="20"/>
                <w:szCs w:val="20"/>
              </w:rPr>
              <w:lastRenderedPageBreak/>
              <w:t>основе нейротехнологий и искусственного интеллекта</w:t>
            </w:r>
          </w:p>
        </w:tc>
        <w:tc>
          <w:tcPr>
            <w:tcW w:w="624" w:type="pct"/>
          </w:tcPr>
          <w:p w14:paraId="4BF578AF" w14:textId="77777777" w:rsidR="00FF6101" w:rsidRPr="00B0658A" w:rsidRDefault="00FF6101" w:rsidP="00004A41">
            <w:pPr>
              <w:spacing w:after="0" w:line="240" w:lineRule="auto"/>
              <w:rPr>
                <w:rFonts w:ascii="Times New Roman" w:hAnsi="Times New Roman"/>
                <w:i/>
                <w:iCs/>
                <w:sz w:val="20"/>
                <w:szCs w:val="20"/>
              </w:rPr>
            </w:pPr>
          </w:p>
        </w:tc>
        <w:tc>
          <w:tcPr>
            <w:tcW w:w="1090" w:type="pct"/>
            <w:shd w:val="clear" w:color="auto" w:fill="auto"/>
          </w:tcPr>
          <w:p w14:paraId="2323B229" w14:textId="77777777" w:rsidR="00FF6101" w:rsidRPr="00B0658A" w:rsidRDefault="00FF6101" w:rsidP="00004A41">
            <w:pPr>
              <w:spacing w:after="0" w:line="240" w:lineRule="auto"/>
              <w:rPr>
                <w:rFonts w:ascii="Times New Roman" w:hAnsi="Times New Roman"/>
                <w:i/>
                <w:iCs/>
                <w:sz w:val="20"/>
                <w:szCs w:val="20"/>
              </w:rPr>
            </w:pPr>
          </w:p>
        </w:tc>
        <w:tc>
          <w:tcPr>
            <w:tcW w:w="1036" w:type="pct"/>
            <w:shd w:val="clear" w:color="auto" w:fill="auto"/>
          </w:tcPr>
          <w:p w14:paraId="2B76878B" w14:textId="77777777" w:rsidR="00FF6101" w:rsidRPr="00B0658A" w:rsidRDefault="00FF6101" w:rsidP="00004A41">
            <w:pPr>
              <w:spacing w:after="0" w:line="240" w:lineRule="auto"/>
              <w:rPr>
                <w:rFonts w:ascii="Times New Roman" w:hAnsi="Times New Roman"/>
                <w:i/>
                <w:iCs/>
                <w:sz w:val="20"/>
                <w:szCs w:val="20"/>
              </w:rPr>
            </w:pPr>
          </w:p>
        </w:tc>
        <w:tc>
          <w:tcPr>
            <w:tcW w:w="894" w:type="pct"/>
            <w:shd w:val="clear" w:color="auto" w:fill="auto"/>
          </w:tcPr>
          <w:p w14:paraId="7D3A9F42" w14:textId="77777777" w:rsidR="00FF6101" w:rsidRPr="00B0658A" w:rsidRDefault="00FF6101" w:rsidP="00004A41">
            <w:pPr>
              <w:spacing w:after="0" w:line="240" w:lineRule="auto"/>
              <w:jc w:val="both"/>
              <w:rPr>
                <w:rFonts w:ascii="Times New Roman" w:hAnsi="Times New Roman"/>
                <w:i/>
                <w:iCs/>
                <w:sz w:val="20"/>
                <w:szCs w:val="20"/>
              </w:rPr>
            </w:pPr>
          </w:p>
        </w:tc>
      </w:tr>
      <w:tr w:rsidR="00F52FED" w:rsidRPr="00B0658A" w14:paraId="706D5260" w14:textId="77777777" w:rsidTr="00FF6101">
        <w:trPr>
          <w:trHeight w:val="170"/>
        </w:trPr>
        <w:tc>
          <w:tcPr>
            <w:tcW w:w="203" w:type="pct"/>
            <w:shd w:val="clear" w:color="auto" w:fill="auto"/>
            <w:vAlign w:val="center"/>
          </w:tcPr>
          <w:p w14:paraId="11369D99" w14:textId="77777777" w:rsidR="00FF6101" w:rsidRPr="00B0658A" w:rsidDel="00EC4B3C" w:rsidRDefault="00FF6101" w:rsidP="00004A41">
            <w:pPr>
              <w:spacing w:after="0" w:line="240" w:lineRule="auto"/>
              <w:rPr>
                <w:rFonts w:ascii="Times New Roman" w:hAnsi="Times New Roman"/>
                <w:b/>
                <w:sz w:val="20"/>
                <w:szCs w:val="20"/>
              </w:rPr>
            </w:pPr>
            <w:r w:rsidRPr="00B0658A">
              <w:rPr>
                <w:rFonts w:ascii="Times New Roman" w:hAnsi="Times New Roman"/>
                <w:sz w:val="20"/>
                <w:szCs w:val="20"/>
              </w:rPr>
              <w:t>4.7.</w:t>
            </w:r>
          </w:p>
        </w:tc>
        <w:tc>
          <w:tcPr>
            <w:tcW w:w="1153" w:type="pct"/>
            <w:shd w:val="clear" w:color="auto" w:fill="auto"/>
            <w:vAlign w:val="center"/>
          </w:tcPr>
          <w:p w14:paraId="7748C375" w14:textId="77777777" w:rsidR="00FF6101" w:rsidRPr="00B0658A" w:rsidRDefault="00FF6101" w:rsidP="00004A41">
            <w:pPr>
              <w:spacing w:after="0" w:line="240" w:lineRule="auto"/>
              <w:rPr>
                <w:rFonts w:ascii="Times New Roman" w:hAnsi="Times New Roman"/>
                <w:b/>
                <w:sz w:val="20"/>
                <w:szCs w:val="20"/>
              </w:rPr>
            </w:pPr>
            <w:r w:rsidRPr="00B0658A">
              <w:rPr>
                <w:rFonts w:ascii="Times New Roman" w:hAnsi="Times New Roman"/>
                <w:sz w:val="20"/>
                <w:szCs w:val="20"/>
              </w:rPr>
              <w:t>Средства разработки программного обеспечения/ Средства разработки программного обеспечения на основе квантовых технологий</w:t>
            </w:r>
          </w:p>
        </w:tc>
        <w:tc>
          <w:tcPr>
            <w:tcW w:w="624" w:type="pct"/>
          </w:tcPr>
          <w:p w14:paraId="3D7F4748" w14:textId="77777777" w:rsidR="00FF6101" w:rsidRPr="00B0658A" w:rsidRDefault="00FF6101" w:rsidP="00004A41">
            <w:pPr>
              <w:spacing w:after="0" w:line="240" w:lineRule="auto"/>
              <w:rPr>
                <w:rFonts w:ascii="Times New Roman" w:hAnsi="Times New Roman"/>
                <w:i/>
                <w:iCs/>
                <w:sz w:val="20"/>
                <w:szCs w:val="20"/>
              </w:rPr>
            </w:pPr>
          </w:p>
        </w:tc>
        <w:tc>
          <w:tcPr>
            <w:tcW w:w="1090" w:type="pct"/>
            <w:shd w:val="clear" w:color="auto" w:fill="auto"/>
          </w:tcPr>
          <w:p w14:paraId="56DE5EA9" w14:textId="77777777" w:rsidR="00FF6101" w:rsidRPr="00B0658A" w:rsidRDefault="00FF6101" w:rsidP="00004A41">
            <w:pPr>
              <w:spacing w:after="0" w:line="240" w:lineRule="auto"/>
              <w:rPr>
                <w:rFonts w:ascii="Times New Roman" w:hAnsi="Times New Roman"/>
                <w:i/>
                <w:iCs/>
                <w:sz w:val="20"/>
                <w:szCs w:val="20"/>
              </w:rPr>
            </w:pPr>
          </w:p>
        </w:tc>
        <w:tc>
          <w:tcPr>
            <w:tcW w:w="1036" w:type="pct"/>
            <w:shd w:val="clear" w:color="auto" w:fill="auto"/>
          </w:tcPr>
          <w:p w14:paraId="2BE25A81" w14:textId="77777777" w:rsidR="00FF6101" w:rsidRPr="00B0658A" w:rsidRDefault="00FF6101" w:rsidP="00004A41">
            <w:pPr>
              <w:spacing w:after="0" w:line="240" w:lineRule="auto"/>
              <w:rPr>
                <w:rFonts w:ascii="Times New Roman" w:hAnsi="Times New Roman"/>
                <w:i/>
                <w:iCs/>
                <w:sz w:val="20"/>
                <w:szCs w:val="20"/>
              </w:rPr>
            </w:pPr>
          </w:p>
        </w:tc>
        <w:tc>
          <w:tcPr>
            <w:tcW w:w="894" w:type="pct"/>
            <w:shd w:val="clear" w:color="auto" w:fill="auto"/>
          </w:tcPr>
          <w:p w14:paraId="25B6C9ED" w14:textId="77777777" w:rsidR="00FF6101" w:rsidRPr="00B0658A" w:rsidRDefault="00FF6101" w:rsidP="00004A41">
            <w:pPr>
              <w:spacing w:after="0" w:line="240" w:lineRule="auto"/>
              <w:jc w:val="both"/>
              <w:rPr>
                <w:rFonts w:ascii="Times New Roman" w:hAnsi="Times New Roman"/>
                <w:i/>
                <w:iCs/>
                <w:sz w:val="20"/>
                <w:szCs w:val="20"/>
              </w:rPr>
            </w:pPr>
          </w:p>
        </w:tc>
      </w:tr>
      <w:tr w:rsidR="00F52FED" w:rsidRPr="00B0658A" w14:paraId="26989FD5" w14:textId="77777777" w:rsidTr="00FF6101">
        <w:trPr>
          <w:trHeight w:val="170"/>
        </w:trPr>
        <w:tc>
          <w:tcPr>
            <w:tcW w:w="203" w:type="pct"/>
            <w:shd w:val="clear" w:color="auto" w:fill="auto"/>
            <w:vAlign w:val="center"/>
          </w:tcPr>
          <w:p w14:paraId="2CFE1F71" w14:textId="77777777" w:rsidR="00FF6101" w:rsidRPr="00B0658A" w:rsidDel="00EC4B3C" w:rsidRDefault="00FF6101" w:rsidP="00004A41">
            <w:pPr>
              <w:spacing w:after="0" w:line="240" w:lineRule="auto"/>
              <w:rPr>
                <w:rFonts w:ascii="Times New Roman" w:hAnsi="Times New Roman"/>
                <w:b/>
                <w:sz w:val="20"/>
                <w:szCs w:val="20"/>
              </w:rPr>
            </w:pPr>
            <w:r w:rsidRPr="00B0658A">
              <w:rPr>
                <w:rFonts w:ascii="Times New Roman" w:hAnsi="Times New Roman"/>
                <w:sz w:val="20"/>
                <w:szCs w:val="20"/>
              </w:rPr>
              <w:t>4.8.</w:t>
            </w:r>
          </w:p>
        </w:tc>
        <w:tc>
          <w:tcPr>
            <w:tcW w:w="1153" w:type="pct"/>
            <w:shd w:val="clear" w:color="auto" w:fill="auto"/>
            <w:vAlign w:val="center"/>
          </w:tcPr>
          <w:p w14:paraId="2C09018D" w14:textId="77777777" w:rsidR="00FF6101" w:rsidRPr="00B0658A" w:rsidRDefault="00FF6101" w:rsidP="00004A41">
            <w:pPr>
              <w:spacing w:after="0" w:line="240" w:lineRule="auto"/>
              <w:rPr>
                <w:rFonts w:ascii="Times New Roman" w:hAnsi="Times New Roman"/>
                <w:b/>
                <w:sz w:val="20"/>
                <w:szCs w:val="20"/>
              </w:rPr>
            </w:pPr>
            <w:r w:rsidRPr="00B0658A">
              <w:rPr>
                <w:rFonts w:ascii="Times New Roman" w:hAnsi="Times New Roman"/>
                <w:sz w:val="20"/>
                <w:szCs w:val="20"/>
              </w:rPr>
              <w:t>Средства разработки программного обеспечения/ Интегрированные платформы для создания приложений</w:t>
            </w:r>
          </w:p>
        </w:tc>
        <w:tc>
          <w:tcPr>
            <w:tcW w:w="624" w:type="pct"/>
          </w:tcPr>
          <w:p w14:paraId="708D4D58" w14:textId="77777777" w:rsidR="00FF6101" w:rsidRPr="00B0658A" w:rsidRDefault="00FF6101" w:rsidP="00004A41">
            <w:pPr>
              <w:spacing w:after="0" w:line="240" w:lineRule="auto"/>
              <w:rPr>
                <w:rFonts w:ascii="Times New Roman" w:hAnsi="Times New Roman"/>
                <w:i/>
                <w:iCs/>
                <w:sz w:val="20"/>
                <w:szCs w:val="20"/>
              </w:rPr>
            </w:pPr>
          </w:p>
        </w:tc>
        <w:tc>
          <w:tcPr>
            <w:tcW w:w="1090" w:type="pct"/>
            <w:shd w:val="clear" w:color="auto" w:fill="auto"/>
          </w:tcPr>
          <w:p w14:paraId="77DD21FA" w14:textId="77777777" w:rsidR="00FF6101" w:rsidRPr="00B0658A" w:rsidRDefault="00FF6101" w:rsidP="00004A41">
            <w:pPr>
              <w:spacing w:after="0" w:line="240" w:lineRule="auto"/>
              <w:rPr>
                <w:rFonts w:ascii="Times New Roman" w:hAnsi="Times New Roman"/>
                <w:i/>
                <w:iCs/>
                <w:sz w:val="20"/>
                <w:szCs w:val="20"/>
              </w:rPr>
            </w:pPr>
          </w:p>
        </w:tc>
        <w:tc>
          <w:tcPr>
            <w:tcW w:w="1036" w:type="pct"/>
            <w:shd w:val="clear" w:color="auto" w:fill="auto"/>
          </w:tcPr>
          <w:p w14:paraId="796D5B25" w14:textId="77777777" w:rsidR="00FF6101" w:rsidRPr="00B0658A" w:rsidRDefault="00FF6101" w:rsidP="00004A41">
            <w:pPr>
              <w:spacing w:after="0" w:line="240" w:lineRule="auto"/>
              <w:rPr>
                <w:rFonts w:ascii="Times New Roman" w:hAnsi="Times New Roman"/>
                <w:i/>
                <w:iCs/>
                <w:sz w:val="20"/>
                <w:szCs w:val="20"/>
              </w:rPr>
            </w:pPr>
          </w:p>
        </w:tc>
        <w:tc>
          <w:tcPr>
            <w:tcW w:w="894" w:type="pct"/>
            <w:shd w:val="clear" w:color="auto" w:fill="auto"/>
          </w:tcPr>
          <w:p w14:paraId="734E86DC" w14:textId="77777777" w:rsidR="00FF6101" w:rsidRPr="00B0658A" w:rsidRDefault="00FF6101" w:rsidP="00004A41">
            <w:pPr>
              <w:spacing w:after="0" w:line="240" w:lineRule="auto"/>
              <w:jc w:val="both"/>
              <w:rPr>
                <w:rFonts w:ascii="Times New Roman" w:hAnsi="Times New Roman"/>
                <w:i/>
                <w:iCs/>
                <w:sz w:val="20"/>
                <w:szCs w:val="20"/>
              </w:rPr>
            </w:pPr>
          </w:p>
        </w:tc>
      </w:tr>
      <w:tr w:rsidR="00F52FED" w:rsidRPr="00B0658A" w14:paraId="29A9B0A6" w14:textId="77777777" w:rsidTr="00FF6101">
        <w:trPr>
          <w:trHeight w:val="170"/>
        </w:trPr>
        <w:tc>
          <w:tcPr>
            <w:tcW w:w="203" w:type="pct"/>
            <w:shd w:val="clear" w:color="auto" w:fill="auto"/>
            <w:vAlign w:val="center"/>
          </w:tcPr>
          <w:p w14:paraId="4838763C" w14:textId="77777777" w:rsidR="00FF6101" w:rsidRPr="00B0658A" w:rsidDel="00EC4B3C" w:rsidRDefault="00FF6101" w:rsidP="00004A41">
            <w:pPr>
              <w:spacing w:after="0" w:line="240" w:lineRule="auto"/>
              <w:rPr>
                <w:rFonts w:ascii="Times New Roman" w:hAnsi="Times New Roman"/>
                <w:b/>
                <w:sz w:val="20"/>
                <w:szCs w:val="20"/>
              </w:rPr>
            </w:pPr>
            <w:r w:rsidRPr="00B0658A">
              <w:rPr>
                <w:rFonts w:ascii="Times New Roman" w:hAnsi="Times New Roman"/>
                <w:sz w:val="20"/>
                <w:szCs w:val="20"/>
              </w:rPr>
              <w:t>4.9.</w:t>
            </w:r>
          </w:p>
        </w:tc>
        <w:tc>
          <w:tcPr>
            <w:tcW w:w="1153" w:type="pct"/>
            <w:shd w:val="clear" w:color="auto" w:fill="auto"/>
            <w:vAlign w:val="center"/>
          </w:tcPr>
          <w:p w14:paraId="391CBD0E" w14:textId="77777777" w:rsidR="00FF6101" w:rsidRPr="00B0658A" w:rsidRDefault="00FF6101" w:rsidP="00004A41">
            <w:pPr>
              <w:spacing w:after="0" w:line="240" w:lineRule="auto"/>
              <w:rPr>
                <w:rFonts w:ascii="Times New Roman" w:hAnsi="Times New Roman"/>
                <w:b/>
                <w:sz w:val="20"/>
                <w:szCs w:val="20"/>
              </w:rPr>
            </w:pPr>
            <w:r w:rsidRPr="00B0658A">
              <w:rPr>
                <w:rFonts w:ascii="Times New Roman" w:hAnsi="Times New Roman"/>
                <w:sz w:val="20"/>
                <w:szCs w:val="20"/>
              </w:rPr>
              <w:t xml:space="preserve">Средства разработки программного обеспечения/ Системы предотвращения анализа </w:t>
            </w:r>
            <w:r w:rsidRPr="00B0658A">
              <w:rPr>
                <w:rFonts w:ascii="Times New Roman" w:hAnsi="Times New Roman"/>
                <w:sz w:val="20"/>
                <w:szCs w:val="20"/>
              </w:rPr>
              <w:br/>
              <w:t>и восстановления исполняемого кода программ</w:t>
            </w:r>
          </w:p>
        </w:tc>
        <w:tc>
          <w:tcPr>
            <w:tcW w:w="624" w:type="pct"/>
          </w:tcPr>
          <w:p w14:paraId="1E8D9316" w14:textId="77777777" w:rsidR="00FF6101" w:rsidRPr="00B0658A" w:rsidRDefault="00FF6101" w:rsidP="00004A41">
            <w:pPr>
              <w:spacing w:after="0" w:line="240" w:lineRule="auto"/>
              <w:rPr>
                <w:rFonts w:ascii="Times New Roman" w:hAnsi="Times New Roman"/>
                <w:i/>
                <w:iCs/>
                <w:sz w:val="20"/>
                <w:szCs w:val="20"/>
              </w:rPr>
            </w:pPr>
          </w:p>
        </w:tc>
        <w:tc>
          <w:tcPr>
            <w:tcW w:w="1090" w:type="pct"/>
            <w:shd w:val="clear" w:color="auto" w:fill="auto"/>
          </w:tcPr>
          <w:p w14:paraId="38507408" w14:textId="77777777" w:rsidR="00FF6101" w:rsidRPr="00B0658A" w:rsidRDefault="00FF6101" w:rsidP="00004A41">
            <w:pPr>
              <w:spacing w:after="0" w:line="240" w:lineRule="auto"/>
              <w:rPr>
                <w:rFonts w:ascii="Times New Roman" w:hAnsi="Times New Roman"/>
                <w:i/>
                <w:iCs/>
                <w:sz w:val="20"/>
                <w:szCs w:val="20"/>
              </w:rPr>
            </w:pPr>
          </w:p>
        </w:tc>
        <w:tc>
          <w:tcPr>
            <w:tcW w:w="1036" w:type="pct"/>
            <w:shd w:val="clear" w:color="auto" w:fill="auto"/>
          </w:tcPr>
          <w:p w14:paraId="018023DD" w14:textId="77777777" w:rsidR="00FF6101" w:rsidRPr="00B0658A" w:rsidRDefault="00FF6101" w:rsidP="00004A41">
            <w:pPr>
              <w:spacing w:after="0" w:line="240" w:lineRule="auto"/>
              <w:rPr>
                <w:rFonts w:ascii="Times New Roman" w:hAnsi="Times New Roman"/>
                <w:i/>
                <w:iCs/>
                <w:sz w:val="20"/>
                <w:szCs w:val="20"/>
              </w:rPr>
            </w:pPr>
          </w:p>
        </w:tc>
        <w:tc>
          <w:tcPr>
            <w:tcW w:w="894" w:type="pct"/>
            <w:shd w:val="clear" w:color="auto" w:fill="auto"/>
          </w:tcPr>
          <w:p w14:paraId="2BEC774E" w14:textId="77777777" w:rsidR="00FF6101" w:rsidRPr="00B0658A" w:rsidRDefault="00FF6101" w:rsidP="00004A41">
            <w:pPr>
              <w:spacing w:after="0" w:line="240" w:lineRule="auto"/>
              <w:jc w:val="both"/>
              <w:rPr>
                <w:rFonts w:ascii="Times New Roman" w:hAnsi="Times New Roman"/>
                <w:i/>
                <w:iCs/>
                <w:sz w:val="20"/>
                <w:szCs w:val="20"/>
              </w:rPr>
            </w:pPr>
          </w:p>
        </w:tc>
      </w:tr>
      <w:tr w:rsidR="00F52FED" w:rsidRPr="00B0658A" w14:paraId="76792E1F" w14:textId="77777777" w:rsidTr="00FF6101">
        <w:trPr>
          <w:trHeight w:val="170"/>
        </w:trPr>
        <w:tc>
          <w:tcPr>
            <w:tcW w:w="203" w:type="pct"/>
            <w:shd w:val="clear" w:color="auto" w:fill="auto"/>
          </w:tcPr>
          <w:p w14:paraId="6DEA8FF4" w14:textId="77777777" w:rsidR="00FF6101" w:rsidRPr="00B0658A" w:rsidDel="00EC4B3C" w:rsidRDefault="00FF6101" w:rsidP="00004A41">
            <w:pPr>
              <w:spacing w:after="0" w:line="240" w:lineRule="auto"/>
              <w:rPr>
                <w:rFonts w:ascii="Times New Roman" w:hAnsi="Times New Roman"/>
                <w:b/>
                <w:sz w:val="20"/>
                <w:szCs w:val="20"/>
              </w:rPr>
            </w:pPr>
            <w:r w:rsidRPr="00B0658A">
              <w:rPr>
                <w:rFonts w:ascii="Times New Roman" w:hAnsi="Times New Roman"/>
                <w:sz w:val="20"/>
                <w:szCs w:val="20"/>
              </w:rPr>
              <w:t>5.1</w:t>
            </w:r>
          </w:p>
        </w:tc>
        <w:tc>
          <w:tcPr>
            <w:tcW w:w="1153" w:type="pct"/>
            <w:shd w:val="clear" w:color="auto" w:fill="auto"/>
            <w:vAlign w:val="center"/>
          </w:tcPr>
          <w:p w14:paraId="5AA17C50" w14:textId="77777777" w:rsidR="00FF6101" w:rsidRPr="00B0658A" w:rsidRDefault="00FF6101" w:rsidP="00004A41">
            <w:pPr>
              <w:spacing w:after="0" w:line="240" w:lineRule="auto"/>
              <w:rPr>
                <w:rFonts w:ascii="Times New Roman" w:hAnsi="Times New Roman"/>
                <w:b/>
                <w:sz w:val="20"/>
                <w:szCs w:val="20"/>
              </w:rPr>
            </w:pPr>
            <w:r w:rsidRPr="00B0658A">
              <w:rPr>
                <w:rFonts w:ascii="Times New Roman" w:hAnsi="Times New Roman"/>
                <w:sz w:val="20"/>
                <w:szCs w:val="20"/>
              </w:rPr>
              <w:t>Прикладное программное обеспечение/ Мультимедийное программное обеспечение</w:t>
            </w:r>
          </w:p>
        </w:tc>
        <w:tc>
          <w:tcPr>
            <w:tcW w:w="624" w:type="pct"/>
          </w:tcPr>
          <w:p w14:paraId="002AE441" w14:textId="77777777" w:rsidR="00FF6101" w:rsidRPr="00B0658A" w:rsidRDefault="00FF6101" w:rsidP="00004A41">
            <w:pPr>
              <w:spacing w:after="0" w:line="240" w:lineRule="auto"/>
              <w:rPr>
                <w:rFonts w:ascii="Times New Roman" w:hAnsi="Times New Roman"/>
                <w:i/>
                <w:iCs/>
                <w:sz w:val="20"/>
                <w:szCs w:val="20"/>
              </w:rPr>
            </w:pPr>
          </w:p>
        </w:tc>
        <w:tc>
          <w:tcPr>
            <w:tcW w:w="1090" w:type="pct"/>
            <w:shd w:val="clear" w:color="auto" w:fill="auto"/>
          </w:tcPr>
          <w:p w14:paraId="08834744" w14:textId="77777777" w:rsidR="00FF6101" w:rsidRPr="00B0658A" w:rsidRDefault="00FF6101" w:rsidP="00004A41">
            <w:pPr>
              <w:spacing w:after="0" w:line="240" w:lineRule="auto"/>
              <w:rPr>
                <w:rFonts w:ascii="Times New Roman" w:hAnsi="Times New Roman"/>
                <w:i/>
                <w:iCs/>
                <w:sz w:val="20"/>
                <w:szCs w:val="20"/>
              </w:rPr>
            </w:pPr>
          </w:p>
        </w:tc>
        <w:tc>
          <w:tcPr>
            <w:tcW w:w="1036" w:type="pct"/>
            <w:shd w:val="clear" w:color="auto" w:fill="auto"/>
          </w:tcPr>
          <w:p w14:paraId="2F51B148" w14:textId="77777777" w:rsidR="00FF6101" w:rsidRPr="00B0658A" w:rsidRDefault="00FF6101" w:rsidP="00004A41">
            <w:pPr>
              <w:spacing w:after="0" w:line="240" w:lineRule="auto"/>
              <w:rPr>
                <w:rFonts w:ascii="Times New Roman" w:hAnsi="Times New Roman"/>
                <w:i/>
                <w:iCs/>
                <w:sz w:val="20"/>
                <w:szCs w:val="20"/>
              </w:rPr>
            </w:pPr>
          </w:p>
        </w:tc>
        <w:tc>
          <w:tcPr>
            <w:tcW w:w="894" w:type="pct"/>
            <w:shd w:val="clear" w:color="auto" w:fill="auto"/>
          </w:tcPr>
          <w:p w14:paraId="6C0AD423" w14:textId="77777777" w:rsidR="00FF6101" w:rsidRPr="00B0658A" w:rsidRDefault="00FF6101" w:rsidP="00004A41">
            <w:pPr>
              <w:spacing w:after="0" w:line="240" w:lineRule="auto"/>
              <w:jc w:val="both"/>
              <w:rPr>
                <w:rFonts w:ascii="Times New Roman" w:hAnsi="Times New Roman"/>
                <w:i/>
                <w:iCs/>
                <w:sz w:val="20"/>
                <w:szCs w:val="20"/>
              </w:rPr>
            </w:pPr>
          </w:p>
        </w:tc>
      </w:tr>
      <w:tr w:rsidR="00F52FED" w:rsidRPr="00B0658A" w14:paraId="6CC52A44" w14:textId="77777777" w:rsidTr="00FF6101">
        <w:trPr>
          <w:trHeight w:val="170"/>
        </w:trPr>
        <w:tc>
          <w:tcPr>
            <w:tcW w:w="203" w:type="pct"/>
            <w:shd w:val="clear" w:color="auto" w:fill="auto"/>
          </w:tcPr>
          <w:p w14:paraId="21EB56F8" w14:textId="77777777" w:rsidR="00FF6101" w:rsidRPr="00B0658A" w:rsidDel="00EC4B3C" w:rsidRDefault="00FF6101" w:rsidP="00004A41">
            <w:pPr>
              <w:spacing w:after="0" w:line="240" w:lineRule="auto"/>
              <w:rPr>
                <w:rFonts w:ascii="Times New Roman" w:hAnsi="Times New Roman"/>
                <w:b/>
                <w:sz w:val="20"/>
                <w:szCs w:val="20"/>
              </w:rPr>
            </w:pPr>
            <w:r w:rsidRPr="00B0658A">
              <w:rPr>
                <w:rFonts w:ascii="Times New Roman" w:hAnsi="Times New Roman"/>
                <w:sz w:val="20"/>
                <w:szCs w:val="20"/>
              </w:rPr>
              <w:t>5.2</w:t>
            </w:r>
          </w:p>
        </w:tc>
        <w:tc>
          <w:tcPr>
            <w:tcW w:w="1153" w:type="pct"/>
            <w:shd w:val="clear" w:color="auto" w:fill="auto"/>
            <w:vAlign w:val="center"/>
          </w:tcPr>
          <w:p w14:paraId="5C743DBC" w14:textId="77777777" w:rsidR="00FF6101" w:rsidRPr="00B0658A" w:rsidRDefault="00FF6101" w:rsidP="00004A41">
            <w:pPr>
              <w:spacing w:after="0" w:line="240" w:lineRule="auto"/>
              <w:rPr>
                <w:rFonts w:ascii="Times New Roman" w:hAnsi="Times New Roman"/>
                <w:b/>
                <w:sz w:val="20"/>
                <w:szCs w:val="20"/>
              </w:rPr>
            </w:pPr>
            <w:r w:rsidRPr="00B0658A">
              <w:rPr>
                <w:rFonts w:ascii="Times New Roman" w:hAnsi="Times New Roman"/>
                <w:sz w:val="20"/>
                <w:szCs w:val="20"/>
              </w:rPr>
              <w:t>Прикладное программное обеспечение/ Дополнительные программные модули (плагины)</w:t>
            </w:r>
          </w:p>
        </w:tc>
        <w:tc>
          <w:tcPr>
            <w:tcW w:w="624" w:type="pct"/>
          </w:tcPr>
          <w:p w14:paraId="727146BC" w14:textId="77777777" w:rsidR="00FF6101" w:rsidRPr="00B0658A" w:rsidRDefault="00FF6101" w:rsidP="00004A41">
            <w:pPr>
              <w:spacing w:after="0" w:line="240" w:lineRule="auto"/>
              <w:rPr>
                <w:rFonts w:ascii="Times New Roman" w:hAnsi="Times New Roman"/>
                <w:i/>
                <w:iCs/>
                <w:sz w:val="20"/>
                <w:szCs w:val="20"/>
              </w:rPr>
            </w:pPr>
          </w:p>
        </w:tc>
        <w:tc>
          <w:tcPr>
            <w:tcW w:w="1090" w:type="pct"/>
            <w:shd w:val="clear" w:color="auto" w:fill="auto"/>
          </w:tcPr>
          <w:p w14:paraId="7EB39AA5" w14:textId="77777777" w:rsidR="00FF6101" w:rsidRPr="00B0658A" w:rsidRDefault="00FF6101" w:rsidP="00004A41">
            <w:pPr>
              <w:spacing w:after="0" w:line="240" w:lineRule="auto"/>
              <w:rPr>
                <w:rFonts w:ascii="Times New Roman" w:hAnsi="Times New Roman"/>
                <w:i/>
                <w:iCs/>
                <w:sz w:val="20"/>
                <w:szCs w:val="20"/>
              </w:rPr>
            </w:pPr>
          </w:p>
        </w:tc>
        <w:tc>
          <w:tcPr>
            <w:tcW w:w="1036" w:type="pct"/>
            <w:shd w:val="clear" w:color="auto" w:fill="auto"/>
          </w:tcPr>
          <w:p w14:paraId="4B40B1FD" w14:textId="77777777" w:rsidR="00FF6101" w:rsidRPr="00B0658A" w:rsidRDefault="00FF6101" w:rsidP="00004A41">
            <w:pPr>
              <w:spacing w:after="0" w:line="240" w:lineRule="auto"/>
              <w:rPr>
                <w:rFonts w:ascii="Times New Roman" w:hAnsi="Times New Roman"/>
                <w:i/>
                <w:iCs/>
                <w:sz w:val="20"/>
                <w:szCs w:val="20"/>
              </w:rPr>
            </w:pPr>
          </w:p>
        </w:tc>
        <w:tc>
          <w:tcPr>
            <w:tcW w:w="894" w:type="pct"/>
            <w:shd w:val="clear" w:color="auto" w:fill="auto"/>
          </w:tcPr>
          <w:p w14:paraId="0BF90F1B" w14:textId="77777777" w:rsidR="00FF6101" w:rsidRPr="00B0658A" w:rsidRDefault="00FF6101" w:rsidP="00004A41">
            <w:pPr>
              <w:spacing w:after="0" w:line="240" w:lineRule="auto"/>
              <w:jc w:val="both"/>
              <w:rPr>
                <w:rFonts w:ascii="Times New Roman" w:hAnsi="Times New Roman"/>
                <w:i/>
                <w:iCs/>
                <w:sz w:val="20"/>
                <w:szCs w:val="20"/>
              </w:rPr>
            </w:pPr>
          </w:p>
        </w:tc>
      </w:tr>
      <w:tr w:rsidR="00F52FED" w:rsidRPr="00B0658A" w14:paraId="626D48D3" w14:textId="77777777" w:rsidTr="00FF6101">
        <w:trPr>
          <w:trHeight w:val="170"/>
        </w:trPr>
        <w:tc>
          <w:tcPr>
            <w:tcW w:w="203" w:type="pct"/>
            <w:shd w:val="clear" w:color="auto" w:fill="auto"/>
          </w:tcPr>
          <w:p w14:paraId="62F35A07" w14:textId="77777777" w:rsidR="00FF6101" w:rsidRPr="00B0658A" w:rsidDel="00EC4B3C" w:rsidRDefault="00FF6101" w:rsidP="00004A41">
            <w:pPr>
              <w:spacing w:after="0" w:line="240" w:lineRule="auto"/>
              <w:rPr>
                <w:rFonts w:ascii="Times New Roman" w:hAnsi="Times New Roman"/>
                <w:b/>
                <w:sz w:val="20"/>
                <w:szCs w:val="20"/>
              </w:rPr>
            </w:pPr>
            <w:r w:rsidRPr="00B0658A">
              <w:rPr>
                <w:rFonts w:ascii="Times New Roman" w:hAnsi="Times New Roman"/>
                <w:sz w:val="20"/>
                <w:szCs w:val="20"/>
              </w:rPr>
              <w:t>5.3</w:t>
            </w:r>
          </w:p>
        </w:tc>
        <w:tc>
          <w:tcPr>
            <w:tcW w:w="1153" w:type="pct"/>
            <w:shd w:val="clear" w:color="auto" w:fill="auto"/>
            <w:vAlign w:val="center"/>
          </w:tcPr>
          <w:p w14:paraId="2CD1AAF7" w14:textId="77777777" w:rsidR="00FF6101" w:rsidRPr="00B0658A" w:rsidRDefault="00FF6101" w:rsidP="00004A41">
            <w:pPr>
              <w:spacing w:after="0" w:line="240" w:lineRule="auto"/>
              <w:rPr>
                <w:rFonts w:ascii="Times New Roman" w:hAnsi="Times New Roman"/>
                <w:b/>
                <w:sz w:val="20"/>
                <w:szCs w:val="20"/>
              </w:rPr>
            </w:pPr>
            <w:r w:rsidRPr="00B0658A">
              <w:rPr>
                <w:rFonts w:ascii="Times New Roman" w:hAnsi="Times New Roman"/>
                <w:sz w:val="20"/>
                <w:szCs w:val="20"/>
              </w:rPr>
              <w:t>Прикладное программное обеспечение/ Игры и развлечения</w:t>
            </w:r>
          </w:p>
        </w:tc>
        <w:tc>
          <w:tcPr>
            <w:tcW w:w="624" w:type="pct"/>
          </w:tcPr>
          <w:p w14:paraId="02989934" w14:textId="77777777" w:rsidR="00FF6101" w:rsidRPr="00B0658A" w:rsidRDefault="00FF6101" w:rsidP="00004A41">
            <w:pPr>
              <w:spacing w:after="0" w:line="240" w:lineRule="auto"/>
              <w:rPr>
                <w:rFonts w:ascii="Times New Roman" w:hAnsi="Times New Roman"/>
                <w:i/>
                <w:iCs/>
                <w:sz w:val="20"/>
                <w:szCs w:val="20"/>
              </w:rPr>
            </w:pPr>
          </w:p>
        </w:tc>
        <w:tc>
          <w:tcPr>
            <w:tcW w:w="1090" w:type="pct"/>
            <w:shd w:val="clear" w:color="auto" w:fill="auto"/>
          </w:tcPr>
          <w:p w14:paraId="333A20B4" w14:textId="77777777" w:rsidR="00FF6101" w:rsidRPr="00B0658A" w:rsidRDefault="00FF6101" w:rsidP="00004A41">
            <w:pPr>
              <w:spacing w:after="0" w:line="240" w:lineRule="auto"/>
              <w:rPr>
                <w:rFonts w:ascii="Times New Roman" w:hAnsi="Times New Roman"/>
                <w:i/>
                <w:iCs/>
                <w:sz w:val="20"/>
                <w:szCs w:val="20"/>
              </w:rPr>
            </w:pPr>
          </w:p>
        </w:tc>
        <w:tc>
          <w:tcPr>
            <w:tcW w:w="1036" w:type="pct"/>
            <w:shd w:val="clear" w:color="auto" w:fill="auto"/>
          </w:tcPr>
          <w:p w14:paraId="580577CD" w14:textId="77777777" w:rsidR="00FF6101" w:rsidRPr="00B0658A" w:rsidRDefault="00FF6101" w:rsidP="00004A41">
            <w:pPr>
              <w:spacing w:after="0" w:line="240" w:lineRule="auto"/>
              <w:rPr>
                <w:rFonts w:ascii="Times New Roman" w:hAnsi="Times New Roman"/>
                <w:i/>
                <w:iCs/>
                <w:sz w:val="20"/>
                <w:szCs w:val="20"/>
              </w:rPr>
            </w:pPr>
          </w:p>
        </w:tc>
        <w:tc>
          <w:tcPr>
            <w:tcW w:w="894" w:type="pct"/>
            <w:shd w:val="clear" w:color="auto" w:fill="auto"/>
          </w:tcPr>
          <w:p w14:paraId="64D1DF38" w14:textId="77777777" w:rsidR="00FF6101" w:rsidRPr="00B0658A" w:rsidRDefault="00FF6101" w:rsidP="00004A41">
            <w:pPr>
              <w:spacing w:after="0" w:line="240" w:lineRule="auto"/>
              <w:jc w:val="both"/>
              <w:rPr>
                <w:rFonts w:ascii="Times New Roman" w:hAnsi="Times New Roman"/>
                <w:i/>
                <w:iCs/>
                <w:sz w:val="20"/>
                <w:szCs w:val="20"/>
              </w:rPr>
            </w:pPr>
          </w:p>
        </w:tc>
      </w:tr>
      <w:tr w:rsidR="00F52FED" w:rsidRPr="00B0658A" w14:paraId="2AC2ED6B" w14:textId="77777777" w:rsidTr="00FF6101">
        <w:trPr>
          <w:trHeight w:val="170"/>
        </w:trPr>
        <w:tc>
          <w:tcPr>
            <w:tcW w:w="203" w:type="pct"/>
            <w:shd w:val="clear" w:color="auto" w:fill="auto"/>
          </w:tcPr>
          <w:p w14:paraId="158FAC8F" w14:textId="77777777" w:rsidR="00FF6101" w:rsidRPr="00B0658A" w:rsidDel="00EC4B3C" w:rsidRDefault="00FF6101" w:rsidP="00004A41">
            <w:pPr>
              <w:spacing w:after="0" w:line="240" w:lineRule="auto"/>
              <w:rPr>
                <w:rFonts w:ascii="Times New Roman" w:hAnsi="Times New Roman"/>
                <w:b/>
                <w:sz w:val="20"/>
                <w:szCs w:val="20"/>
              </w:rPr>
            </w:pPr>
            <w:r w:rsidRPr="00B0658A">
              <w:rPr>
                <w:rFonts w:ascii="Times New Roman" w:hAnsi="Times New Roman"/>
                <w:sz w:val="20"/>
                <w:szCs w:val="20"/>
              </w:rPr>
              <w:t>5.4</w:t>
            </w:r>
          </w:p>
        </w:tc>
        <w:tc>
          <w:tcPr>
            <w:tcW w:w="1153" w:type="pct"/>
            <w:shd w:val="clear" w:color="auto" w:fill="auto"/>
            <w:vAlign w:val="center"/>
          </w:tcPr>
          <w:p w14:paraId="43DB9EA0" w14:textId="77777777" w:rsidR="00FF6101" w:rsidRPr="00B0658A" w:rsidRDefault="00FF6101" w:rsidP="00004A41">
            <w:pPr>
              <w:spacing w:after="0" w:line="240" w:lineRule="auto"/>
              <w:rPr>
                <w:rFonts w:ascii="Times New Roman" w:hAnsi="Times New Roman"/>
                <w:b/>
                <w:sz w:val="20"/>
                <w:szCs w:val="20"/>
              </w:rPr>
            </w:pPr>
            <w:r w:rsidRPr="00B0658A">
              <w:rPr>
                <w:rFonts w:ascii="Times New Roman" w:hAnsi="Times New Roman"/>
                <w:sz w:val="20"/>
                <w:szCs w:val="20"/>
              </w:rPr>
              <w:t>Прикладное программное обеспечение/ Поисковые средства</w:t>
            </w:r>
          </w:p>
        </w:tc>
        <w:tc>
          <w:tcPr>
            <w:tcW w:w="624" w:type="pct"/>
          </w:tcPr>
          <w:p w14:paraId="5B612E33" w14:textId="77777777" w:rsidR="00FF6101" w:rsidRPr="00B0658A" w:rsidRDefault="00FF6101" w:rsidP="00004A41">
            <w:pPr>
              <w:spacing w:after="0" w:line="240" w:lineRule="auto"/>
              <w:rPr>
                <w:rFonts w:ascii="Times New Roman" w:hAnsi="Times New Roman"/>
                <w:i/>
                <w:iCs/>
                <w:sz w:val="20"/>
                <w:szCs w:val="20"/>
              </w:rPr>
            </w:pPr>
          </w:p>
        </w:tc>
        <w:tc>
          <w:tcPr>
            <w:tcW w:w="1090" w:type="pct"/>
            <w:shd w:val="clear" w:color="auto" w:fill="auto"/>
          </w:tcPr>
          <w:p w14:paraId="3A363EB5" w14:textId="77777777" w:rsidR="00FF6101" w:rsidRPr="00B0658A" w:rsidRDefault="00FF6101" w:rsidP="00004A41">
            <w:pPr>
              <w:spacing w:after="0" w:line="240" w:lineRule="auto"/>
              <w:rPr>
                <w:rFonts w:ascii="Times New Roman" w:hAnsi="Times New Roman"/>
                <w:i/>
                <w:iCs/>
                <w:sz w:val="20"/>
                <w:szCs w:val="20"/>
              </w:rPr>
            </w:pPr>
          </w:p>
        </w:tc>
        <w:tc>
          <w:tcPr>
            <w:tcW w:w="1036" w:type="pct"/>
            <w:shd w:val="clear" w:color="auto" w:fill="auto"/>
          </w:tcPr>
          <w:p w14:paraId="4E1079F9" w14:textId="77777777" w:rsidR="00FF6101" w:rsidRPr="00B0658A" w:rsidRDefault="00FF6101" w:rsidP="00004A41">
            <w:pPr>
              <w:spacing w:after="0" w:line="240" w:lineRule="auto"/>
              <w:rPr>
                <w:rFonts w:ascii="Times New Roman" w:hAnsi="Times New Roman"/>
                <w:i/>
                <w:iCs/>
                <w:sz w:val="20"/>
                <w:szCs w:val="20"/>
              </w:rPr>
            </w:pPr>
          </w:p>
        </w:tc>
        <w:tc>
          <w:tcPr>
            <w:tcW w:w="894" w:type="pct"/>
            <w:shd w:val="clear" w:color="auto" w:fill="auto"/>
          </w:tcPr>
          <w:p w14:paraId="69242596" w14:textId="77777777" w:rsidR="00FF6101" w:rsidRPr="00B0658A" w:rsidRDefault="00FF6101" w:rsidP="00004A41">
            <w:pPr>
              <w:spacing w:after="0" w:line="240" w:lineRule="auto"/>
              <w:jc w:val="both"/>
              <w:rPr>
                <w:rFonts w:ascii="Times New Roman" w:hAnsi="Times New Roman"/>
                <w:i/>
                <w:iCs/>
                <w:sz w:val="20"/>
                <w:szCs w:val="20"/>
              </w:rPr>
            </w:pPr>
          </w:p>
        </w:tc>
      </w:tr>
      <w:tr w:rsidR="00F52FED" w:rsidRPr="00B0658A" w14:paraId="1C11FA3E" w14:textId="77777777" w:rsidTr="00FF6101">
        <w:trPr>
          <w:trHeight w:val="170"/>
        </w:trPr>
        <w:tc>
          <w:tcPr>
            <w:tcW w:w="203" w:type="pct"/>
            <w:shd w:val="clear" w:color="auto" w:fill="auto"/>
          </w:tcPr>
          <w:p w14:paraId="131AFA5D" w14:textId="77777777" w:rsidR="00FF6101" w:rsidRPr="00B0658A" w:rsidDel="00EC4B3C" w:rsidRDefault="00FF6101" w:rsidP="00004A41">
            <w:pPr>
              <w:spacing w:after="0" w:line="240" w:lineRule="auto"/>
              <w:rPr>
                <w:rFonts w:ascii="Times New Roman" w:hAnsi="Times New Roman"/>
                <w:b/>
                <w:sz w:val="20"/>
                <w:szCs w:val="20"/>
              </w:rPr>
            </w:pPr>
            <w:r w:rsidRPr="00B0658A">
              <w:rPr>
                <w:rFonts w:ascii="Times New Roman" w:hAnsi="Times New Roman"/>
                <w:sz w:val="20"/>
                <w:szCs w:val="20"/>
              </w:rPr>
              <w:t>5.5</w:t>
            </w:r>
          </w:p>
        </w:tc>
        <w:tc>
          <w:tcPr>
            <w:tcW w:w="1153" w:type="pct"/>
            <w:shd w:val="clear" w:color="auto" w:fill="auto"/>
            <w:vAlign w:val="center"/>
          </w:tcPr>
          <w:p w14:paraId="0D03891F" w14:textId="77777777" w:rsidR="00FF6101" w:rsidRPr="00B0658A" w:rsidRDefault="00FF6101" w:rsidP="00004A41">
            <w:pPr>
              <w:spacing w:after="0" w:line="240" w:lineRule="auto"/>
              <w:rPr>
                <w:rFonts w:ascii="Times New Roman" w:hAnsi="Times New Roman"/>
                <w:b/>
                <w:sz w:val="20"/>
                <w:szCs w:val="20"/>
              </w:rPr>
            </w:pPr>
            <w:r w:rsidRPr="00B0658A">
              <w:rPr>
                <w:rFonts w:ascii="Times New Roman" w:hAnsi="Times New Roman"/>
                <w:sz w:val="20"/>
                <w:szCs w:val="20"/>
              </w:rPr>
              <w:t>Прикладное программное обеспечение/ Средства управления проектами</w:t>
            </w:r>
          </w:p>
        </w:tc>
        <w:tc>
          <w:tcPr>
            <w:tcW w:w="624" w:type="pct"/>
          </w:tcPr>
          <w:p w14:paraId="5BB01ABD" w14:textId="77777777" w:rsidR="00FF6101" w:rsidRPr="00B0658A" w:rsidRDefault="00FF6101" w:rsidP="00004A41">
            <w:pPr>
              <w:spacing w:after="0" w:line="240" w:lineRule="auto"/>
              <w:rPr>
                <w:rFonts w:ascii="Times New Roman" w:hAnsi="Times New Roman"/>
                <w:i/>
                <w:iCs/>
                <w:sz w:val="20"/>
                <w:szCs w:val="20"/>
              </w:rPr>
            </w:pPr>
          </w:p>
        </w:tc>
        <w:tc>
          <w:tcPr>
            <w:tcW w:w="1090" w:type="pct"/>
            <w:shd w:val="clear" w:color="auto" w:fill="auto"/>
          </w:tcPr>
          <w:p w14:paraId="0DFEB282" w14:textId="77777777" w:rsidR="00FF6101" w:rsidRPr="00B0658A" w:rsidRDefault="00FF6101" w:rsidP="00004A41">
            <w:pPr>
              <w:spacing w:after="0" w:line="240" w:lineRule="auto"/>
              <w:rPr>
                <w:rFonts w:ascii="Times New Roman" w:hAnsi="Times New Roman"/>
                <w:i/>
                <w:iCs/>
                <w:sz w:val="20"/>
                <w:szCs w:val="20"/>
              </w:rPr>
            </w:pPr>
          </w:p>
        </w:tc>
        <w:tc>
          <w:tcPr>
            <w:tcW w:w="1036" w:type="pct"/>
            <w:shd w:val="clear" w:color="auto" w:fill="auto"/>
          </w:tcPr>
          <w:p w14:paraId="7F12E3A3" w14:textId="77777777" w:rsidR="00FF6101" w:rsidRPr="00B0658A" w:rsidRDefault="00FF6101" w:rsidP="00004A41">
            <w:pPr>
              <w:spacing w:after="0" w:line="240" w:lineRule="auto"/>
              <w:rPr>
                <w:rFonts w:ascii="Times New Roman" w:hAnsi="Times New Roman"/>
                <w:i/>
                <w:iCs/>
                <w:sz w:val="20"/>
                <w:szCs w:val="20"/>
              </w:rPr>
            </w:pPr>
          </w:p>
        </w:tc>
        <w:tc>
          <w:tcPr>
            <w:tcW w:w="894" w:type="pct"/>
            <w:shd w:val="clear" w:color="auto" w:fill="auto"/>
          </w:tcPr>
          <w:p w14:paraId="12B3F02F" w14:textId="77777777" w:rsidR="00FF6101" w:rsidRPr="00B0658A" w:rsidRDefault="00FF6101" w:rsidP="00004A41">
            <w:pPr>
              <w:spacing w:after="0" w:line="240" w:lineRule="auto"/>
              <w:jc w:val="both"/>
              <w:rPr>
                <w:rFonts w:ascii="Times New Roman" w:hAnsi="Times New Roman"/>
                <w:i/>
                <w:iCs/>
                <w:sz w:val="20"/>
                <w:szCs w:val="20"/>
              </w:rPr>
            </w:pPr>
          </w:p>
        </w:tc>
      </w:tr>
      <w:tr w:rsidR="00F52FED" w:rsidRPr="00B0658A" w14:paraId="4FB47959" w14:textId="77777777" w:rsidTr="00FF6101">
        <w:trPr>
          <w:trHeight w:val="170"/>
        </w:trPr>
        <w:tc>
          <w:tcPr>
            <w:tcW w:w="203" w:type="pct"/>
            <w:shd w:val="clear" w:color="auto" w:fill="auto"/>
          </w:tcPr>
          <w:p w14:paraId="78B9D4B7" w14:textId="77777777" w:rsidR="00FF6101" w:rsidRPr="00B0658A" w:rsidDel="00EC4B3C" w:rsidRDefault="00FF6101" w:rsidP="00004A41">
            <w:pPr>
              <w:spacing w:after="0" w:line="240" w:lineRule="auto"/>
              <w:rPr>
                <w:rFonts w:ascii="Times New Roman" w:hAnsi="Times New Roman"/>
                <w:b/>
                <w:sz w:val="20"/>
                <w:szCs w:val="20"/>
              </w:rPr>
            </w:pPr>
            <w:r w:rsidRPr="00B0658A">
              <w:rPr>
                <w:rFonts w:ascii="Times New Roman" w:hAnsi="Times New Roman"/>
                <w:sz w:val="20"/>
                <w:szCs w:val="20"/>
              </w:rPr>
              <w:t>5.6</w:t>
            </w:r>
          </w:p>
        </w:tc>
        <w:tc>
          <w:tcPr>
            <w:tcW w:w="1153" w:type="pct"/>
            <w:shd w:val="clear" w:color="auto" w:fill="auto"/>
            <w:vAlign w:val="center"/>
          </w:tcPr>
          <w:p w14:paraId="0C227987" w14:textId="77777777" w:rsidR="00FF6101" w:rsidRPr="00B0658A" w:rsidRDefault="00FF6101" w:rsidP="00004A41">
            <w:pPr>
              <w:spacing w:after="0" w:line="240" w:lineRule="auto"/>
              <w:rPr>
                <w:rFonts w:ascii="Times New Roman" w:hAnsi="Times New Roman"/>
                <w:b/>
                <w:sz w:val="20"/>
                <w:szCs w:val="20"/>
              </w:rPr>
            </w:pPr>
            <w:r w:rsidRPr="00B0658A">
              <w:rPr>
                <w:rFonts w:ascii="Times New Roman" w:hAnsi="Times New Roman"/>
                <w:sz w:val="20"/>
                <w:szCs w:val="20"/>
              </w:rPr>
              <w:t>Прикладное программное обеспечение/ Геоинформационные и навигационные средства (GIS)</w:t>
            </w:r>
          </w:p>
        </w:tc>
        <w:tc>
          <w:tcPr>
            <w:tcW w:w="624" w:type="pct"/>
          </w:tcPr>
          <w:p w14:paraId="219CEC10" w14:textId="77777777" w:rsidR="00FF6101" w:rsidRPr="00B0658A" w:rsidRDefault="00FF6101" w:rsidP="00004A41">
            <w:pPr>
              <w:spacing w:after="0" w:line="240" w:lineRule="auto"/>
              <w:rPr>
                <w:rFonts w:ascii="Times New Roman" w:hAnsi="Times New Roman"/>
                <w:i/>
                <w:iCs/>
                <w:sz w:val="20"/>
                <w:szCs w:val="20"/>
              </w:rPr>
            </w:pPr>
          </w:p>
        </w:tc>
        <w:tc>
          <w:tcPr>
            <w:tcW w:w="1090" w:type="pct"/>
            <w:shd w:val="clear" w:color="auto" w:fill="auto"/>
          </w:tcPr>
          <w:p w14:paraId="1C18E83F" w14:textId="77777777" w:rsidR="00FF6101" w:rsidRPr="00B0658A" w:rsidRDefault="00FF6101" w:rsidP="00004A41">
            <w:pPr>
              <w:spacing w:after="0" w:line="240" w:lineRule="auto"/>
              <w:rPr>
                <w:rFonts w:ascii="Times New Roman" w:hAnsi="Times New Roman"/>
                <w:i/>
                <w:iCs/>
                <w:sz w:val="20"/>
                <w:szCs w:val="20"/>
              </w:rPr>
            </w:pPr>
          </w:p>
        </w:tc>
        <w:tc>
          <w:tcPr>
            <w:tcW w:w="1036" w:type="pct"/>
            <w:shd w:val="clear" w:color="auto" w:fill="auto"/>
          </w:tcPr>
          <w:p w14:paraId="029288D7" w14:textId="77777777" w:rsidR="00FF6101" w:rsidRPr="00B0658A" w:rsidRDefault="00FF6101" w:rsidP="00004A41">
            <w:pPr>
              <w:spacing w:after="0" w:line="240" w:lineRule="auto"/>
              <w:rPr>
                <w:rFonts w:ascii="Times New Roman" w:hAnsi="Times New Roman"/>
                <w:i/>
                <w:iCs/>
                <w:sz w:val="20"/>
                <w:szCs w:val="20"/>
              </w:rPr>
            </w:pPr>
          </w:p>
        </w:tc>
        <w:tc>
          <w:tcPr>
            <w:tcW w:w="894" w:type="pct"/>
            <w:shd w:val="clear" w:color="auto" w:fill="auto"/>
          </w:tcPr>
          <w:p w14:paraId="4A984C50" w14:textId="77777777" w:rsidR="00FF6101" w:rsidRPr="00B0658A" w:rsidRDefault="00FF6101" w:rsidP="00004A41">
            <w:pPr>
              <w:spacing w:after="0" w:line="240" w:lineRule="auto"/>
              <w:jc w:val="both"/>
              <w:rPr>
                <w:rFonts w:ascii="Times New Roman" w:hAnsi="Times New Roman"/>
                <w:i/>
                <w:iCs/>
                <w:sz w:val="20"/>
                <w:szCs w:val="20"/>
              </w:rPr>
            </w:pPr>
          </w:p>
        </w:tc>
      </w:tr>
      <w:tr w:rsidR="00F52FED" w:rsidRPr="00B0658A" w14:paraId="5A25BA5D" w14:textId="77777777" w:rsidTr="00FF6101">
        <w:trPr>
          <w:trHeight w:val="170"/>
        </w:trPr>
        <w:tc>
          <w:tcPr>
            <w:tcW w:w="203" w:type="pct"/>
            <w:shd w:val="clear" w:color="auto" w:fill="auto"/>
          </w:tcPr>
          <w:p w14:paraId="59A02578" w14:textId="77777777" w:rsidR="00FF6101" w:rsidRPr="00B0658A" w:rsidDel="00EC4B3C" w:rsidRDefault="00FF6101" w:rsidP="00004A41">
            <w:pPr>
              <w:spacing w:after="0" w:line="240" w:lineRule="auto"/>
              <w:rPr>
                <w:rFonts w:ascii="Times New Roman" w:hAnsi="Times New Roman"/>
                <w:b/>
                <w:sz w:val="20"/>
                <w:szCs w:val="20"/>
              </w:rPr>
            </w:pPr>
            <w:r w:rsidRPr="00B0658A">
              <w:rPr>
                <w:rFonts w:ascii="Times New Roman" w:hAnsi="Times New Roman"/>
                <w:sz w:val="20"/>
                <w:szCs w:val="20"/>
              </w:rPr>
              <w:lastRenderedPageBreak/>
              <w:t>5.7</w:t>
            </w:r>
          </w:p>
        </w:tc>
        <w:tc>
          <w:tcPr>
            <w:tcW w:w="1153" w:type="pct"/>
            <w:shd w:val="clear" w:color="auto" w:fill="auto"/>
            <w:vAlign w:val="center"/>
          </w:tcPr>
          <w:p w14:paraId="6FCA5A23" w14:textId="77777777" w:rsidR="00FF6101" w:rsidRPr="00B0658A" w:rsidRDefault="00FF6101" w:rsidP="00004A41">
            <w:pPr>
              <w:spacing w:after="0" w:line="240" w:lineRule="auto"/>
              <w:rPr>
                <w:rFonts w:ascii="Times New Roman" w:hAnsi="Times New Roman"/>
                <w:b/>
                <w:sz w:val="20"/>
                <w:szCs w:val="20"/>
              </w:rPr>
            </w:pPr>
            <w:r w:rsidRPr="00B0658A">
              <w:rPr>
                <w:rFonts w:ascii="Times New Roman" w:hAnsi="Times New Roman"/>
                <w:sz w:val="20"/>
                <w:szCs w:val="20"/>
              </w:rPr>
              <w:t>Прикладное программное обеспечение/ Специализированное ПО органов исполнительной власти Российской Федерации, государственных корпораций, компаний и юридических лиц с преимущественным участием Российской Федерации для внутреннего использования</w:t>
            </w:r>
          </w:p>
        </w:tc>
        <w:tc>
          <w:tcPr>
            <w:tcW w:w="624" w:type="pct"/>
          </w:tcPr>
          <w:p w14:paraId="40F0DFFC" w14:textId="77777777" w:rsidR="00FF6101" w:rsidRPr="00B0658A" w:rsidRDefault="00FF6101" w:rsidP="00004A41">
            <w:pPr>
              <w:spacing w:after="0" w:line="240" w:lineRule="auto"/>
              <w:rPr>
                <w:rFonts w:ascii="Times New Roman" w:hAnsi="Times New Roman"/>
                <w:i/>
                <w:iCs/>
                <w:sz w:val="20"/>
                <w:szCs w:val="20"/>
              </w:rPr>
            </w:pPr>
          </w:p>
        </w:tc>
        <w:tc>
          <w:tcPr>
            <w:tcW w:w="1090" w:type="pct"/>
            <w:shd w:val="clear" w:color="auto" w:fill="auto"/>
          </w:tcPr>
          <w:p w14:paraId="73CD9658" w14:textId="77777777" w:rsidR="00FF6101" w:rsidRPr="00B0658A" w:rsidRDefault="00FF6101" w:rsidP="00004A41">
            <w:pPr>
              <w:spacing w:after="0" w:line="240" w:lineRule="auto"/>
              <w:rPr>
                <w:rFonts w:ascii="Times New Roman" w:hAnsi="Times New Roman"/>
                <w:i/>
                <w:iCs/>
                <w:sz w:val="20"/>
                <w:szCs w:val="20"/>
              </w:rPr>
            </w:pPr>
          </w:p>
        </w:tc>
        <w:tc>
          <w:tcPr>
            <w:tcW w:w="1036" w:type="pct"/>
            <w:shd w:val="clear" w:color="auto" w:fill="auto"/>
          </w:tcPr>
          <w:p w14:paraId="310D98F8" w14:textId="77777777" w:rsidR="00FF6101" w:rsidRPr="00B0658A" w:rsidRDefault="00FF6101" w:rsidP="00004A41">
            <w:pPr>
              <w:spacing w:after="0" w:line="240" w:lineRule="auto"/>
              <w:rPr>
                <w:rFonts w:ascii="Times New Roman" w:hAnsi="Times New Roman"/>
                <w:i/>
                <w:iCs/>
                <w:sz w:val="20"/>
                <w:szCs w:val="20"/>
              </w:rPr>
            </w:pPr>
          </w:p>
        </w:tc>
        <w:tc>
          <w:tcPr>
            <w:tcW w:w="894" w:type="pct"/>
            <w:shd w:val="clear" w:color="auto" w:fill="auto"/>
          </w:tcPr>
          <w:p w14:paraId="71B22441" w14:textId="77777777" w:rsidR="00FF6101" w:rsidRPr="00B0658A" w:rsidRDefault="00FF6101" w:rsidP="00004A41">
            <w:pPr>
              <w:spacing w:after="0" w:line="240" w:lineRule="auto"/>
              <w:jc w:val="both"/>
              <w:rPr>
                <w:rFonts w:ascii="Times New Roman" w:hAnsi="Times New Roman"/>
                <w:i/>
                <w:iCs/>
                <w:sz w:val="20"/>
                <w:szCs w:val="20"/>
              </w:rPr>
            </w:pPr>
          </w:p>
        </w:tc>
      </w:tr>
      <w:tr w:rsidR="00F52FED" w:rsidRPr="00B0658A" w14:paraId="098AA4AB" w14:textId="77777777" w:rsidTr="00FF6101">
        <w:trPr>
          <w:trHeight w:val="170"/>
        </w:trPr>
        <w:tc>
          <w:tcPr>
            <w:tcW w:w="203" w:type="pct"/>
            <w:shd w:val="clear" w:color="auto" w:fill="auto"/>
          </w:tcPr>
          <w:p w14:paraId="746B5939" w14:textId="77777777" w:rsidR="00FF6101" w:rsidRPr="00B0658A" w:rsidDel="00EC4B3C" w:rsidRDefault="00FF6101" w:rsidP="00004A41">
            <w:pPr>
              <w:spacing w:after="0" w:line="240" w:lineRule="auto"/>
              <w:rPr>
                <w:rFonts w:ascii="Times New Roman" w:hAnsi="Times New Roman"/>
                <w:b/>
                <w:sz w:val="20"/>
                <w:szCs w:val="20"/>
              </w:rPr>
            </w:pPr>
            <w:r w:rsidRPr="00B0658A">
              <w:rPr>
                <w:rFonts w:ascii="Times New Roman" w:hAnsi="Times New Roman"/>
                <w:sz w:val="20"/>
                <w:szCs w:val="20"/>
              </w:rPr>
              <w:t>5.8</w:t>
            </w:r>
          </w:p>
        </w:tc>
        <w:tc>
          <w:tcPr>
            <w:tcW w:w="1153" w:type="pct"/>
            <w:shd w:val="clear" w:color="auto" w:fill="auto"/>
            <w:vAlign w:val="center"/>
          </w:tcPr>
          <w:p w14:paraId="554ADEEF" w14:textId="77777777" w:rsidR="00FF6101" w:rsidRPr="00B0658A" w:rsidRDefault="00FF6101" w:rsidP="00004A41">
            <w:pPr>
              <w:spacing w:after="0" w:line="240" w:lineRule="auto"/>
              <w:rPr>
                <w:rFonts w:ascii="Times New Roman" w:hAnsi="Times New Roman"/>
                <w:b/>
                <w:sz w:val="20"/>
                <w:szCs w:val="20"/>
              </w:rPr>
            </w:pPr>
            <w:r w:rsidRPr="00B0658A">
              <w:rPr>
                <w:rFonts w:ascii="Times New Roman" w:hAnsi="Times New Roman"/>
                <w:sz w:val="20"/>
                <w:szCs w:val="20"/>
              </w:rPr>
              <w:t>Прикладное программное обеспечение/ Средства управления контактными центрами</w:t>
            </w:r>
          </w:p>
        </w:tc>
        <w:tc>
          <w:tcPr>
            <w:tcW w:w="624" w:type="pct"/>
          </w:tcPr>
          <w:p w14:paraId="34576126" w14:textId="77777777" w:rsidR="00FF6101" w:rsidRPr="00B0658A" w:rsidRDefault="00FF6101" w:rsidP="00004A41">
            <w:pPr>
              <w:spacing w:after="0" w:line="240" w:lineRule="auto"/>
              <w:rPr>
                <w:rFonts w:ascii="Times New Roman" w:hAnsi="Times New Roman"/>
                <w:i/>
                <w:iCs/>
                <w:sz w:val="20"/>
                <w:szCs w:val="20"/>
              </w:rPr>
            </w:pPr>
          </w:p>
        </w:tc>
        <w:tc>
          <w:tcPr>
            <w:tcW w:w="1090" w:type="pct"/>
            <w:shd w:val="clear" w:color="auto" w:fill="auto"/>
          </w:tcPr>
          <w:p w14:paraId="1736BEFB" w14:textId="77777777" w:rsidR="00FF6101" w:rsidRPr="00B0658A" w:rsidRDefault="00FF6101" w:rsidP="00004A41">
            <w:pPr>
              <w:spacing w:after="0" w:line="240" w:lineRule="auto"/>
              <w:rPr>
                <w:rFonts w:ascii="Times New Roman" w:hAnsi="Times New Roman"/>
                <w:i/>
                <w:iCs/>
                <w:sz w:val="20"/>
                <w:szCs w:val="20"/>
              </w:rPr>
            </w:pPr>
          </w:p>
        </w:tc>
        <w:tc>
          <w:tcPr>
            <w:tcW w:w="1036" w:type="pct"/>
            <w:shd w:val="clear" w:color="auto" w:fill="auto"/>
          </w:tcPr>
          <w:p w14:paraId="2A49644C" w14:textId="77777777" w:rsidR="00FF6101" w:rsidRPr="00B0658A" w:rsidRDefault="00FF6101" w:rsidP="00004A41">
            <w:pPr>
              <w:spacing w:after="0" w:line="240" w:lineRule="auto"/>
              <w:rPr>
                <w:rFonts w:ascii="Times New Roman" w:hAnsi="Times New Roman"/>
                <w:i/>
                <w:iCs/>
                <w:sz w:val="20"/>
                <w:szCs w:val="20"/>
              </w:rPr>
            </w:pPr>
          </w:p>
        </w:tc>
        <w:tc>
          <w:tcPr>
            <w:tcW w:w="894" w:type="pct"/>
            <w:shd w:val="clear" w:color="auto" w:fill="auto"/>
          </w:tcPr>
          <w:p w14:paraId="5C998B87" w14:textId="77777777" w:rsidR="00FF6101" w:rsidRPr="00B0658A" w:rsidRDefault="00FF6101" w:rsidP="00004A41">
            <w:pPr>
              <w:spacing w:after="0" w:line="240" w:lineRule="auto"/>
              <w:jc w:val="both"/>
              <w:rPr>
                <w:rFonts w:ascii="Times New Roman" w:hAnsi="Times New Roman"/>
                <w:i/>
                <w:iCs/>
                <w:sz w:val="20"/>
                <w:szCs w:val="20"/>
              </w:rPr>
            </w:pPr>
          </w:p>
        </w:tc>
      </w:tr>
      <w:tr w:rsidR="00F52FED" w:rsidRPr="00B0658A" w14:paraId="36A85BB9" w14:textId="77777777" w:rsidTr="00FF6101">
        <w:trPr>
          <w:trHeight w:val="170"/>
        </w:trPr>
        <w:tc>
          <w:tcPr>
            <w:tcW w:w="203" w:type="pct"/>
            <w:shd w:val="clear" w:color="auto" w:fill="auto"/>
          </w:tcPr>
          <w:p w14:paraId="26DBF9CE" w14:textId="77777777" w:rsidR="00FF6101" w:rsidRPr="00B0658A" w:rsidDel="00EC4B3C" w:rsidRDefault="00FF6101" w:rsidP="00004A41">
            <w:pPr>
              <w:spacing w:after="0" w:line="240" w:lineRule="auto"/>
              <w:rPr>
                <w:rFonts w:ascii="Times New Roman" w:hAnsi="Times New Roman"/>
                <w:b/>
                <w:sz w:val="20"/>
                <w:szCs w:val="20"/>
              </w:rPr>
            </w:pPr>
            <w:r w:rsidRPr="00B0658A">
              <w:rPr>
                <w:rFonts w:ascii="Times New Roman" w:hAnsi="Times New Roman"/>
                <w:sz w:val="20"/>
                <w:szCs w:val="20"/>
              </w:rPr>
              <w:t>5.9</w:t>
            </w:r>
          </w:p>
        </w:tc>
        <w:tc>
          <w:tcPr>
            <w:tcW w:w="1153" w:type="pct"/>
            <w:shd w:val="clear" w:color="auto" w:fill="auto"/>
            <w:vAlign w:val="center"/>
          </w:tcPr>
          <w:p w14:paraId="600B2AD3" w14:textId="77777777" w:rsidR="00FF6101" w:rsidRPr="00B0658A" w:rsidRDefault="00FF6101" w:rsidP="00004A41">
            <w:pPr>
              <w:spacing w:after="0" w:line="240" w:lineRule="auto"/>
              <w:rPr>
                <w:rFonts w:ascii="Times New Roman" w:hAnsi="Times New Roman"/>
                <w:b/>
                <w:sz w:val="20"/>
                <w:szCs w:val="20"/>
              </w:rPr>
            </w:pPr>
            <w:r w:rsidRPr="00B0658A">
              <w:rPr>
                <w:rFonts w:ascii="Times New Roman" w:hAnsi="Times New Roman"/>
                <w:sz w:val="20"/>
                <w:szCs w:val="20"/>
              </w:rPr>
              <w:t>Прикладное программное обеспечение/ Средства управления диалоговыми роботами (чат-боты и голосовые роботы)</w:t>
            </w:r>
          </w:p>
        </w:tc>
        <w:tc>
          <w:tcPr>
            <w:tcW w:w="624" w:type="pct"/>
          </w:tcPr>
          <w:p w14:paraId="2776DC70" w14:textId="77777777" w:rsidR="00FF6101" w:rsidRPr="00B0658A" w:rsidRDefault="00FF6101" w:rsidP="00004A41">
            <w:pPr>
              <w:spacing w:after="0" w:line="240" w:lineRule="auto"/>
              <w:rPr>
                <w:rFonts w:ascii="Times New Roman" w:hAnsi="Times New Roman"/>
                <w:i/>
                <w:iCs/>
                <w:sz w:val="20"/>
                <w:szCs w:val="20"/>
              </w:rPr>
            </w:pPr>
          </w:p>
        </w:tc>
        <w:tc>
          <w:tcPr>
            <w:tcW w:w="1090" w:type="pct"/>
            <w:shd w:val="clear" w:color="auto" w:fill="auto"/>
          </w:tcPr>
          <w:p w14:paraId="15F36ADD" w14:textId="77777777" w:rsidR="00FF6101" w:rsidRPr="00B0658A" w:rsidRDefault="00FF6101" w:rsidP="00004A41">
            <w:pPr>
              <w:spacing w:after="0" w:line="240" w:lineRule="auto"/>
              <w:rPr>
                <w:rFonts w:ascii="Times New Roman" w:hAnsi="Times New Roman"/>
                <w:i/>
                <w:iCs/>
                <w:sz w:val="20"/>
                <w:szCs w:val="20"/>
              </w:rPr>
            </w:pPr>
          </w:p>
        </w:tc>
        <w:tc>
          <w:tcPr>
            <w:tcW w:w="1036" w:type="pct"/>
            <w:shd w:val="clear" w:color="auto" w:fill="auto"/>
          </w:tcPr>
          <w:p w14:paraId="36576046" w14:textId="77777777" w:rsidR="00FF6101" w:rsidRPr="00B0658A" w:rsidRDefault="00FF6101" w:rsidP="00004A41">
            <w:pPr>
              <w:spacing w:after="0" w:line="240" w:lineRule="auto"/>
              <w:rPr>
                <w:rFonts w:ascii="Times New Roman" w:hAnsi="Times New Roman"/>
                <w:i/>
                <w:iCs/>
                <w:sz w:val="20"/>
                <w:szCs w:val="20"/>
              </w:rPr>
            </w:pPr>
          </w:p>
        </w:tc>
        <w:tc>
          <w:tcPr>
            <w:tcW w:w="894" w:type="pct"/>
            <w:shd w:val="clear" w:color="auto" w:fill="auto"/>
          </w:tcPr>
          <w:p w14:paraId="51153BEA" w14:textId="77777777" w:rsidR="00FF6101" w:rsidRPr="00B0658A" w:rsidRDefault="00FF6101" w:rsidP="00004A41">
            <w:pPr>
              <w:spacing w:after="0" w:line="240" w:lineRule="auto"/>
              <w:jc w:val="both"/>
              <w:rPr>
                <w:rFonts w:ascii="Times New Roman" w:hAnsi="Times New Roman"/>
                <w:i/>
                <w:iCs/>
                <w:sz w:val="20"/>
                <w:szCs w:val="20"/>
              </w:rPr>
            </w:pPr>
          </w:p>
        </w:tc>
      </w:tr>
      <w:tr w:rsidR="00F52FED" w:rsidRPr="00B0658A" w14:paraId="354FE8CE" w14:textId="77777777" w:rsidTr="00FF6101">
        <w:trPr>
          <w:trHeight w:val="170"/>
        </w:trPr>
        <w:tc>
          <w:tcPr>
            <w:tcW w:w="203" w:type="pct"/>
            <w:shd w:val="clear" w:color="auto" w:fill="auto"/>
          </w:tcPr>
          <w:p w14:paraId="73D38845" w14:textId="77777777" w:rsidR="00FF6101" w:rsidRPr="00B0658A" w:rsidDel="00EC4B3C" w:rsidRDefault="00FF6101" w:rsidP="00004A41">
            <w:pPr>
              <w:spacing w:after="0" w:line="240" w:lineRule="auto"/>
              <w:rPr>
                <w:rFonts w:ascii="Times New Roman" w:hAnsi="Times New Roman"/>
                <w:b/>
                <w:sz w:val="20"/>
                <w:szCs w:val="20"/>
              </w:rPr>
            </w:pPr>
            <w:r w:rsidRPr="00B0658A">
              <w:rPr>
                <w:rFonts w:ascii="Times New Roman" w:hAnsi="Times New Roman"/>
                <w:sz w:val="20"/>
                <w:szCs w:val="20"/>
              </w:rPr>
              <w:t>5.10</w:t>
            </w:r>
          </w:p>
        </w:tc>
        <w:tc>
          <w:tcPr>
            <w:tcW w:w="1153" w:type="pct"/>
            <w:shd w:val="clear" w:color="auto" w:fill="auto"/>
            <w:vAlign w:val="center"/>
          </w:tcPr>
          <w:p w14:paraId="151FA486" w14:textId="77777777" w:rsidR="00FF6101" w:rsidRPr="00B0658A" w:rsidRDefault="00FF6101" w:rsidP="00004A41">
            <w:pPr>
              <w:spacing w:after="0" w:line="240" w:lineRule="auto"/>
              <w:rPr>
                <w:rFonts w:ascii="Times New Roman" w:hAnsi="Times New Roman"/>
                <w:b/>
                <w:sz w:val="20"/>
                <w:szCs w:val="20"/>
              </w:rPr>
            </w:pPr>
            <w:r w:rsidRPr="00B0658A">
              <w:rPr>
                <w:rFonts w:ascii="Times New Roman" w:hAnsi="Times New Roman"/>
                <w:sz w:val="20"/>
                <w:szCs w:val="20"/>
              </w:rPr>
              <w:t>Прикладное программное обеспечение/ Базы знаний</w:t>
            </w:r>
          </w:p>
        </w:tc>
        <w:tc>
          <w:tcPr>
            <w:tcW w:w="624" w:type="pct"/>
          </w:tcPr>
          <w:p w14:paraId="79F75A0E" w14:textId="77777777" w:rsidR="00FF6101" w:rsidRPr="00B0658A" w:rsidRDefault="00FF6101" w:rsidP="00004A41">
            <w:pPr>
              <w:spacing w:after="0" w:line="240" w:lineRule="auto"/>
              <w:rPr>
                <w:rFonts w:ascii="Times New Roman" w:hAnsi="Times New Roman"/>
                <w:i/>
                <w:iCs/>
                <w:sz w:val="20"/>
                <w:szCs w:val="20"/>
              </w:rPr>
            </w:pPr>
          </w:p>
        </w:tc>
        <w:tc>
          <w:tcPr>
            <w:tcW w:w="1090" w:type="pct"/>
            <w:shd w:val="clear" w:color="auto" w:fill="auto"/>
          </w:tcPr>
          <w:p w14:paraId="2146BFD4" w14:textId="77777777" w:rsidR="00FF6101" w:rsidRPr="00B0658A" w:rsidRDefault="00FF6101" w:rsidP="00004A41">
            <w:pPr>
              <w:spacing w:after="0" w:line="240" w:lineRule="auto"/>
              <w:rPr>
                <w:rFonts w:ascii="Times New Roman" w:hAnsi="Times New Roman"/>
                <w:i/>
                <w:iCs/>
                <w:sz w:val="20"/>
                <w:szCs w:val="20"/>
              </w:rPr>
            </w:pPr>
          </w:p>
        </w:tc>
        <w:tc>
          <w:tcPr>
            <w:tcW w:w="1036" w:type="pct"/>
            <w:shd w:val="clear" w:color="auto" w:fill="auto"/>
          </w:tcPr>
          <w:p w14:paraId="3239DB7E" w14:textId="77777777" w:rsidR="00FF6101" w:rsidRPr="00B0658A" w:rsidRDefault="00FF6101" w:rsidP="00004A41">
            <w:pPr>
              <w:spacing w:after="0" w:line="240" w:lineRule="auto"/>
              <w:rPr>
                <w:rFonts w:ascii="Times New Roman" w:hAnsi="Times New Roman"/>
                <w:i/>
                <w:iCs/>
                <w:sz w:val="20"/>
                <w:szCs w:val="20"/>
              </w:rPr>
            </w:pPr>
          </w:p>
        </w:tc>
        <w:tc>
          <w:tcPr>
            <w:tcW w:w="894" w:type="pct"/>
            <w:shd w:val="clear" w:color="auto" w:fill="auto"/>
          </w:tcPr>
          <w:p w14:paraId="70A64271" w14:textId="77777777" w:rsidR="00FF6101" w:rsidRPr="00B0658A" w:rsidRDefault="00FF6101" w:rsidP="00004A41">
            <w:pPr>
              <w:spacing w:after="0" w:line="240" w:lineRule="auto"/>
              <w:jc w:val="both"/>
              <w:rPr>
                <w:rFonts w:ascii="Times New Roman" w:hAnsi="Times New Roman"/>
                <w:i/>
                <w:iCs/>
                <w:sz w:val="20"/>
                <w:szCs w:val="20"/>
              </w:rPr>
            </w:pPr>
          </w:p>
        </w:tc>
      </w:tr>
      <w:tr w:rsidR="00F52FED" w:rsidRPr="00B0658A" w14:paraId="013CE524" w14:textId="77777777" w:rsidTr="00FF6101">
        <w:trPr>
          <w:trHeight w:val="170"/>
        </w:trPr>
        <w:tc>
          <w:tcPr>
            <w:tcW w:w="203" w:type="pct"/>
            <w:shd w:val="clear" w:color="auto" w:fill="auto"/>
          </w:tcPr>
          <w:p w14:paraId="55A2F523" w14:textId="77777777" w:rsidR="00FF6101" w:rsidRPr="00B0658A" w:rsidDel="00EC4B3C" w:rsidRDefault="00FF6101" w:rsidP="00004A41">
            <w:pPr>
              <w:spacing w:after="0" w:line="240" w:lineRule="auto"/>
              <w:rPr>
                <w:rFonts w:ascii="Times New Roman" w:hAnsi="Times New Roman"/>
                <w:b/>
                <w:sz w:val="20"/>
                <w:szCs w:val="20"/>
              </w:rPr>
            </w:pPr>
            <w:r w:rsidRPr="00B0658A">
              <w:rPr>
                <w:rFonts w:ascii="Times New Roman" w:hAnsi="Times New Roman"/>
                <w:sz w:val="20"/>
                <w:szCs w:val="20"/>
              </w:rPr>
              <w:t>5.11</w:t>
            </w:r>
          </w:p>
        </w:tc>
        <w:tc>
          <w:tcPr>
            <w:tcW w:w="1153" w:type="pct"/>
            <w:shd w:val="clear" w:color="auto" w:fill="auto"/>
            <w:vAlign w:val="center"/>
          </w:tcPr>
          <w:p w14:paraId="67A3126F" w14:textId="77777777" w:rsidR="00FF6101" w:rsidRPr="00B0658A" w:rsidRDefault="00FF6101" w:rsidP="00004A41">
            <w:pPr>
              <w:spacing w:after="0" w:line="240" w:lineRule="auto"/>
              <w:rPr>
                <w:rFonts w:ascii="Times New Roman" w:hAnsi="Times New Roman"/>
                <w:b/>
                <w:sz w:val="20"/>
                <w:szCs w:val="20"/>
              </w:rPr>
            </w:pPr>
            <w:r w:rsidRPr="00B0658A">
              <w:rPr>
                <w:rFonts w:ascii="Times New Roman" w:hAnsi="Times New Roman"/>
                <w:sz w:val="20"/>
                <w:szCs w:val="20"/>
              </w:rPr>
              <w:t>Прикладное программное обеспечение/ Интеллектуальные средства управления экспертной деятельностью</w:t>
            </w:r>
          </w:p>
        </w:tc>
        <w:tc>
          <w:tcPr>
            <w:tcW w:w="624" w:type="pct"/>
          </w:tcPr>
          <w:p w14:paraId="76071A8A" w14:textId="77777777" w:rsidR="00FF6101" w:rsidRPr="00B0658A" w:rsidRDefault="00FF6101" w:rsidP="00004A41">
            <w:pPr>
              <w:spacing w:after="0" w:line="240" w:lineRule="auto"/>
              <w:rPr>
                <w:rFonts w:ascii="Times New Roman" w:hAnsi="Times New Roman"/>
                <w:i/>
                <w:iCs/>
                <w:sz w:val="20"/>
                <w:szCs w:val="20"/>
              </w:rPr>
            </w:pPr>
          </w:p>
        </w:tc>
        <w:tc>
          <w:tcPr>
            <w:tcW w:w="1090" w:type="pct"/>
            <w:shd w:val="clear" w:color="auto" w:fill="auto"/>
          </w:tcPr>
          <w:p w14:paraId="099227C2" w14:textId="77777777" w:rsidR="00FF6101" w:rsidRPr="00B0658A" w:rsidRDefault="00FF6101" w:rsidP="00004A41">
            <w:pPr>
              <w:spacing w:after="0" w:line="240" w:lineRule="auto"/>
              <w:rPr>
                <w:rFonts w:ascii="Times New Roman" w:hAnsi="Times New Roman"/>
                <w:i/>
                <w:iCs/>
                <w:sz w:val="20"/>
                <w:szCs w:val="20"/>
              </w:rPr>
            </w:pPr>
          </w:p>
        </w:tc>
        <w:tc>
          <w:tcPr>
            <w:tcW w:w="1036" w:type="pct"/>
            <w:shd w:val="clear" w:color="auto" w:fill="auto"/>
          </w:tcPr>
          <w:p w14:paraId="470BE843" w14:textId="77777777" w:rsidR="00FF6101" w:rsidRPr="00B0658A" w:rsidRDefault="00FF6101" w:rsidP="00004A41">
            <w:pPr>
              <w:spacing w:after="0" w:line="240" w:lineRule="auto"/>
              <w:rPr>
                <w:rFonts w:ascii="Times New Roman" w:hAnsi="Times New Roman"/>
                <w:i/>
                <w:iCs/>
                <w:sz w:val="20"/>
                <w:szCs w:val="20"/>
              </w:rPr>
            </w:pPr>
          </w:p>
        </w:tc>
        <w:tc>
          <w:tcPr>
            <w:tcW w:w="894" w:type="pct"/>
            <w:shd w:val="clear" w:color="auto" w:fill="auto"/>
          </w:tcPr>
          <w:p w14:paraId="2EDA2151" w14:textId="77777777" w:rsidR="00FF6101" w:rsidRPr="00B0658A" w:rsidRDefault="00FF6101" w:rsidP="00004A41">
            <w:pPr>
              <w:spacing w:after="0" w:line="240" w:lineRule="auto"/>
              <w:jc w:val="both"/>
              <w:rPr>
                <w:rFonts w:ascii="Times New Roman" w:hAnsi="Times New Roman"/>
                <w:i/>
                <w:iCs/>
                <w:sz w:val="20"/>
                <w:szCs w:val="20"/>
              </w:rPr>
            </w:pPr>
          </w:p>
        </w:tc>
      </w:tr>
      <w:tr w:rsidR="00F52FED" w:rsidRPr="00B0658A" w14:paraId="53B22FB5" w14:textId="77777777" w:rsidTr="00FF6101">
        <w:trPr>
          <w:trHeight w:val="170"/>
        </w:trPr>
        <w:tc>
          <w:tcPr>
            <w:tcW w:w="203" w:type="pct"/>
            <w:shd w:val="clear" w:color="auto" w:fill="auto"/>
          </w:tcPr>
          <w:p w14:paraId="182F38D9" w14:textId="77777777" w:rsidR="00FF6101" w:rsidRPr="00B0658A" w:rsidDel="00EC4B3C" w:rsidRDefault="00FF6101" w:rsidP="00004A41">
            <w:pPr>
              <w:spacing w:after="0" w:line="240" w:lineRule="auto"/>
              <w:rPr>
                <w:rFonts w:ascii="Times New Roman" w:hAnsi="Times New Roman"/>
                <w:b/>
                <w:sz w:val="20"/>
                <w:szCs w:val="20"/>
              </w:rPr>
            </w:pPr>
            <w:r w:rsidRPr="00B0658A">
              <w:rPr>
                <w:rFonts w:ascii="Times New Roman" w:hAnsi="Times New Roman"/>
                <w:sz w:val="20"/>
                <w:szCs w:val="20"/>
              </w:rPr>
              <w:t>5.12</w:t>
            </w:r>
          </w:p>
        </w:tc>
        <w:tc>
          <w:tcPr>
            <w:tcW w:w="1153" w:type="pct"/>
            <w:shd w:val="clear" w:color="auto" w:fill="auto"/>
            <w:vAlign w:val="center"/>
          </w:tcPr>
          <w:p w14:paraId="66A49B19" w14:textId="77777777" w:rsidR="00FF6101" w:rsidRPr="00B0658A" w:rsidRDefault="00FF6101" w:rsidP="00004A41">
            <w:pPr>
              <w:spacing w:after="0" w:line="240" w:lineRule="auto"/>
              <w:rPr>
                <w:rFonts w:ascii="Times New Roman" w:hAnsi="Times New Roman"/>
                <w:b/>
                <w:sz w:val="20"/>
                <w:szCs w:val="20"/>
              </w:rPr>
            </w:pPr>
            <w:r w:rsidRPr="00B0658A">
              <w:rPr>
                <w:rFonts w:ascii="Times New Roman" w:hAnsi="Times New Roman"/>
                <w:sz w:val="20"/>
                <w:szCs w:val="20"/>
              </w:rPr>
              <w:t xml:space="preserve">Прикладное программное обеспечение/ Интеллектуальные средства разработки </w:t>
            </w:r>
            <w:r w:rsidRPr="00B0658A">
              <w:rPr>
                <w:rFonts w:ascii="Times New Roman" w:hAnsi="Times New Roman"/>
                <w:sz w:val="20"/>
                <w:szCs w:val="20"/>
              </w:rPr>
              <w:br/>
              <w:t xml:space="preserve">и управления стандартами </w:t>
            </w:r>
            <w:r w:rsidRPr="00B0658A">
              <w:rPr>
                <w:rFonts w:ascii="Times New Roman" w:hAnsi="Times New Roman"/>
                <w:sz w:val="20"/>
                <w:szCs w:val="20"/>
              </w:rPr>
              <w:br/>
              <w:t>и нормативами</w:t>
            </w:r>
          </w:p>
        </w:tc>
        <w:tc>
          <w:tcPr>
            <w:tcW w:w="624" w:type="pct"/>
          </w:tcPr>
          <w:p w14:paraId="53DEF140" w14:textId="77777777" w:rsidR="00FF6101" w:rsidRPr="00B0658A" w:rsidRDefault="00FF6101" w:rsidP="00004A41">
            <w:pPr>
              <w:spacing w:after="0" w:line="240" w:lineRule="auto"/>
              <w:rPr>
                <w:rFonts w:ascii="Times New Roman" w:hAnsi="Times New Roman"/>
                <w:i/>
                <w:iCs/>
                <w:sz w:val="20"/>
                <w:szCs w:val="20"/>
              </w:rPr>
            </w:pPr>
          </w:p>
        </w:tc>
        <w:tc>
          <w:tcPr>
            <w:tcW w:w="1090" w:type="pct"/>
            <w:shd w:val="clear" w:color="auto" w:fill="auto"/>
          </w:tcPr>
          <w:p w14:paraId="2AD9FA45" w14:textId="77777777" w:rsidR="00FF6101" w:rsidRPr="00B0658A" w:rsidRDefault="00FF6101" w:rsidP="00004A41">
            <w:pPr>
              <w:spacing w:after="0" w:line="240" w:lineRule="auto"/>
              <w:rPr>
                <w:rFonts w:ascii="Times New Roman" w:hAnsi="Times New Roman"/>
                <w:i/>
                <w:iCs/>
                <w:sz w:val="20"/>
                <w:szCs w:val="20"/>
              </w:rPr>
            </w:pPr>
          </w:p>
        </w:tc>
        <w:tc>
          <w:tcPr>
            <w:tcW w:w="1036" w:type="pct"/>
            <w:shd w:val="clear" w:color="auto" w:fill="auto"/>
          </w:tcPr>
          <w:p w14:paraId="0762F0A0" w14:textId="77777777" w:rsidR="00FF6101" w:rsidRPr="00B0658A" w:rsidRDefault="00FF6101" w:rsidP="00004A41">
            <w:pPr>
              <w:spacing w:after="0" w:line="240" w:lineRule="auto"/>
              <w:rPr>
                <w:rFonts w:ascii="Times New Roman" w:hAnsi="Times New Roman"/>
                <w:i/>
                <w:iCs/>
                <w:sz w:val="20"/>
                <w:szCs w:val="20"/>
              </w:rPr>
            </w:pPr>
          </w:p>
        </w:tc>
        <w:tc>
          <w:tcPr>
            <w:tcW w:w="894" w:type="pct"/>
            <w:shd w:val="clear" w:color="auto" w:fill="auto"/>
          </w:tcPr>
          <w:p w14:paraId="79B5EF81" w14:textId="77777777" w:rsidR="00FF6101" w:rsidRPr="00B0658A" w:rsidRDefault="00FF6101" w:rsidP="00004A41">
            <w:pPr>
              <w:spacing w:after="0" w:line="240" w:lineRule="auto"/>
              <w:jc w:val="both"/>
              <w:rPr>
                <w:rFonts w:ascii="Times New Roman" w:hAnsi="Times New Roman"/>
                <w:i/>
                <w:iCs/>
                <w:sz w:val="20"/>
                <w:szCs w:val="20"/>
              </w:rPr>
            </w:pPr>
          </w:p>
        </w:tc>
      </w:tr>
      <w:tr w:rsidR="00F52FED" w:rsidRPr="00B0658A" w14:paraId="56C13BFB" w14:textId="77777777" w:rsidTr="00FF6101">
        <w:trPr>
          <w:trHeight w:val="170"/>
        </w:trPr>
        <w:tc>
          <w:tcPr>
            <w:tcW w:w="203" w:type="pct"/>
            <w:shd w:val="clear" w:color="auto" w:fill="auto"/>
          </w:tcPr>
          <w:p w14:paraId="75DD18BA" w14:textId="77777777" w:rsidR="00FF6101" w:rsidRPr="00B0658A" w:rsidDel="00EC4B3C" w:rsidRDefault="00FF6101" w:rsidP="00004A41">
            <w:pPr>
              <w:spacing w:after="0" w:line="240" w:lineRule="auto"/>
              <w:rPr>
                <w:rFonts w:ascii="Times New Roman" w:hAnsi="Times New Roman"/>
                <w:b/>
                <w:sz w:val="20"/>
                <w:szCs w:val="20"/>
              </w:rPr>
            </w:pPr>
            <w:r w:rsidRPr="00B0658A">
              <w:rPr>
                <w:rFonts w:ascii="Times New Roman" w:hAnsi="Times New Roman"/>
                <w:sz w:val="20"/>
                <w:szCs w:val="20"/>
              </w:rPr>
              <w:t>5.13</w:t>
            </w:r>
          </w:p>
        </w:tc>
        <w:tc>
          <w:tcPr>
            <w:tcW w:w="1153" w:type="pct"/>
            <w:shd w:val="clear" w:color="auto" w:fill="auto"/>
            <w:vAlign w:val="center"/>
          </w:tcPr>
          <w:p w14:paraId="3E0A9FF1" w14:textId="77777777" w:rsidR="00FF6101" w:rsidRPr="00B0658A" w:rsidRDefault="00FF6101" w:rsidP="00004A41">
            <w:pPr>
              <w:spacing w:after="0" w:line="240" w:lineRule="auto"/>
              <w:rPr>
                <w:rFonts w:ascii="Times New Roman" w:hAnsi="Times New Roman"/>
                <w:b/>
                <w:sz w:val="20"/>
                <w:szCs w:val="20"/>
              </w:rPr>
            </w:pPr>
            <w:r w:rsidRPr="00B0658A">
              <w:rPr>
                <w:rFonts w:ascii="Times New Roman" w:hAnsi="Times New Roman"/>
                <w:sz w:val="20"/>
                <w:szCs w:val="20"/>
              </w:rPr>
              <w:t>Прикладное программное обеспечение/ Средства интеллектуальной обработки информации и интеллектуального анализа бизнес-процессов</w:t>
            </w:r>
          </w:p>
        </w:tc>
        <w:tc>
          <w:tcPr>
            <w:tcW w:w="624" w:type="pct"/>
          </w:tcPr>
          <w:p w14:paraId="38A6AA81" w14:textId="77777777" w:rsidR="00FF6101" w:rsidRPr="00B0658A" w:rsidRDefault="00FF6101" w:rsidP="00004A41">
            <w:pPr>
              <w:spacing w:after="0" w:line="240" w:lineRule="auto"/>
              <w:rPr>
                <w:rFonts w:ascii="Times New Roman" w:hAnsi="Times New Roman"/>
                <w:i/>
                <w:iCs/>
                <w:sz w:val="20"/>
                <w:szCs w:val="20"/>
              </w:rPr>
            </w:pPr>
          </w:p>
        </w:tc>
        <w:tc>
          <w:tcPr>
            <w:tcW w:w="1090" w:type="pct"/>
            <w:shd w:val="clear" w:color="auto" w:fill="auto"/>
          </w:tcPr>
          <w:p w14:paraId="6CE7FB6A" w14:textId="77777777" w:rsidR="00FF6101" w:rsidRPr="00B0658A" w:rsidRDefault="00FF6101" w:rsidP="00004A41">
            <w:pPr>
              <w:spacing w:after="0" w:line="240" w:lineRule="auto"/>
              <w:rPr>
                <w:rFonts w:ascii="Times New Roman" w:hAnsi="Times New Roman"/>
                <w:i/>
                <w:iCs/>
                <w:sz w:val="20"/>
                <w:szCs w:val="20"/>
              </w:rPr>
            </w:pPr>
          </w:p>
        </w:tc>
        <w:tc>
          <w:tcPr>
            <w:tcW w:w="1036" w:type="pct"/>
            <w:shd w:val="clear" w:color="auto" w:fill="auto"/>
          </w:tcPr>
          <w:p w14:paraId="1AA50892" w14:textId="77777777" w:rsidR="00FF6101" w:rsidRPr="00B0658A" w:rsidRDefault="00FF6101" w:rsidP="00004A41">
            <w:pPr>
              <w:spacing w:after="0" w:line="240" w:lineRule="auto"/>
              <w:rPr>
                <w:rFonts w:ascii="Times New Roman" w:hAnsi="Times New Roman"/>
                <w:i/>
                <w:iCs/>
                <w:sz w:val="20"/>
                <w:szCs w:val="20"/>
              </w:rPr>
            </w:pPr>
          </w:p>
        </w:tc>
        <w:tc>
          <w:tcPr>
            <w:tcW w:w="894" w:type="pct"/>
            <w:shd w:val="clear" w:color="auto" w:fill="auto"/>
          </w:tcPr>
          <w:p w14:paraId="484694A4" w14:textId="77777777" w:rsidR="00FF6101" w:rsidRPr="00B0658A" w:rsidRDefault="00FF6101" w:rsidP="00004A41">
            <w:pPr>
              <w:spacing w:after="0" w:line="240" w:lineRule="auto"/>
              <w:jc w:val="both"/>
              <w:rPr>
                <w:rFonts w:ascii="Times New Roman" w:hAnsi="Times New Roman"/>
                <w:i/>
                <w:iCs/>
                <w:sz w:val="20"/>
                <w:szCs w:val="20"/>
              </w:rPr>
            </w:pPr>
          </w:p>
        </w:tc>
      </w:tr>
      <w:tr w:rsidR="00F52FED" w:rsidRPr="00B0658A" w14:paraId="462B7E57" w14:textId="77777777" w:rsidTr="00FF6101">
        <w:trPr>
          <w:trHeight w:val="170"/>
        </w:trPr>
        <w:tc>
          <w:tcPr>
            <w:tcW w:w="203" w:type="pct"/>
            <w:shd w:val="clear" w:color="auto" w:fill="auto"/>
          </w:tcPr>
          <w:p w14:paraId="4E26F54F" w14:textId="77777777" w:rsidR="00FF6101" w:rsidRPr="00B0658A" w:rsidDel="00EC4B3C" w:rsidRDefault="00FF6101" w:rsidP="00004A41">
            <w:pPr>
              <w:spacing w:after="0" w:line="240" w:lineRule="auto"/>
              <w:rPr>
                <w:rFonts w:ascii="Times New Roman" w:hAnsi="Times New Roman"/>
                <w:b/>
                <w:sz w:val="20"/>
                <w:szCs w:val="20"/>
              </w:rPr>
            </w:pPr>
            <w:r w:rsidRPr="00B0658A">
              <w:rPr>
                <w:rFonts w:ascii="Times New Roman" w:hAnsi="Times New Roman"/>
                <w:sz w:val="20"/>
                <w:szCs w:val="20"/>
              </w:rPr>
              <w:lastRenderedPageBreak/>
              <w:t>5.14</w:t>
            </w:r>
          </w:p>
        </w:tc>
        <w:tc>
          <w:tcPr>
            <w:tcW w:w="1153" w:type="pct"/>
            <w:shd w:val="clear" w:color="auto" w:fill="auto"/>
            <w:vAlign w:val="center"/>
          </w:tcPr>
          <w:p w14:paraId="479DAB78" w14:textId="77777777" w:rsidR="00FF6101" w:rsidRPr="00B0658A" w:rsidRDefault="00FF6101" w:rsidP="00004A41">
            <w:pPr>
              <w:spacing w:after="0" w:line="240" w:lineRule="auto"/>
              <w:rPr>
                <w:rFonts w:ascii="Times New Roman" w:hAnsi="Times New Roman"/>
                <w:b/>
                <w:sz w:val="20"/>
                <w:szCs w:val="20"/>
              </w:rPr>
            </w:pPr>
            <w:r w:rsidRPr="00B0658A">
              <w:rPr>
                <w:rFonts w:ascii="Times New Roman" w:hAnsi="Times New Roman"/>
                <w:sz w:val="20"/>
                <w:szCs w:val="20"/>
              </w:rPr>
              <w:t>Прикладное программное обеспечение/ Справочно-правовые системы</w:t>
            </w:r>
          </w:p>
        </w:tc>
        <w:tc>
          <w:tcPr>
            <w:tcW w:w="624" w:type="pct"/>
          </w:tcPr>
          <w:p w14:paraId="06C7F749" w14:textId="77777777" w:rsidR="00FF6101" w:rsidRPr="00B0658A" w:rsidRDefault="00FF6101" w:rsidP="00004A41">
            <w:pPr>
              <w:spacing w:after="0" w:line="240" w:lineRule="auto"/>
              <w:rPr>
                <w:rFonts w:ascii="Times New Roman" w:hAnsi="Times New Roman"/>
                <w:i/>
                <w:iCs/>
                <w:sz w:val="20"/>
                <w:szCs w:val="20"/>
              </w:rPr>
            </w:pPr>
          </w:p>
        </w:tc>
        <w:tc>
          <w:tcPr>
            <w:tcW w:w="1090" w:type="pct"/>
            <w:shd w:val="clear" w:color="auto" w:fill="auto"/>
          </w:tcPr>
          <w:p w14:paraId="40665315" w14:textId="77777777" w:rsidR="00FF6101" w:rsidRPr="00B0658A" w:rsidRDefault="00FF6101" w:rsidP="00004A41">
            <w:pPr>
              <w:spacing w:after="0" w:line="240" w:lineRule="auto"/>
              <w:rPr>
                <w:rFonts w:ascii="Times New Roman" w:hAnsi="Times New Roman"/>
                <w:i/>
                <w:iCs/>
                <w:sz w:val="20"/>
                <w:szCs w:val="20"/>
              </w:rPr>
            </w:pPr>
          </w:p>
        </w:tc>
        <w:tc>
          <w:tcPr>
            <w:tcW w:w="1036" w:type="pct"/>
            <w:shd w:val="clear" w:color="auto" w:fill="auto"/>
          </w:tcPr>
          <w:p w14:paraId="308E22DF" w14:textId="77777777" w:rsidR="00FF6101" w:rsidRPr="00B0658A" w:rsidRDefault="00FF6101" w:rsidP="00004A41">
            <w:pPr>
              <w:spacing w:after="0" w:line="240" w:lineRule="auto"/>
              <w:rPr>
                <w:rFonts w:ascii="Times New Roman" w:hAnsi="Times New Roman"/>
                <w:i/>
                <w:iCs/>
                <w:sz w:val="20"/>
                <w:szCs w:val="20"/>
              </w:rPr>
            </w:pPr>
          </w:p>
        </w:tc>
        <w:tc>
          <w:tcPr>
            <w:tcW w:w="894" w:type="pct"/>
            <w:shd w:val="clear" w:color="auto" w:fill="auto"/>
          </w:tcPr>
          <w:p w14:paraId="57DCA179" w14:textId="77777777" w:rsidR="00FF6101" w:rsidRPr="00B0658A" w:rsidRDefault="00FF6101" w:rsidP="00004A41">
            <w:pPr>
              <w:spacing w:after="0" w:line="240" w:lineRule="auto"/>
              <w:jc w:val="both"/>
              <w:rPr>
                <w:rFonts w:ascii="Times New Roman" w:hAnsi="Times New Roman"/>
                <w:i/>
                <w:iCs/>
                <w:sz w:val="20"/>
                <w:szCs w:val="20"/>
              </w:rPr>
            </w:pPr>
          </w:p>
        </w:tc>
      </w:tr>
      <w:tr w:rsidR="00F52FED" w:rsidRPr="00B0658A" w14:paraId="08C3E2C2" w14:textId="77777777" w:rsidTr="00FF6101">
        <w:trPr>
          <w:trHeight w:val="170"/>
        </w:trPr>
        <w:tc>
          <w:tcPr>
            <w:tcW w:w="203" w:type="pct"/>
            <w:shd w:val="clear" w:color="auto" w:fill="auto"/>
          </w:tcPr>
          <w:p w14:paraId="0D9AB237" w14:textId="77777777" w:rsidR="00FF6101" w:rsidRPr="00B0658A" w:rsidDel="00EC4B3C" w:rsidRDefault="00FF6101" w:rsidP="00004A41">
            <w:pPr>
              <w:spacing w:after="0" w:line="240" w:lineRule="auto"/>
              <w:rPr>
                <w:rFonts w:ascii="Times New Roman" w:hAnsi="Times New Roman"/>
                <w:b/>
                <w:sz w:val="20"/>
                <w:szCs w:val="20"/>
              </w:rPr>
            </w:pPr>
            <w:r w:rsidRPr="00B0658A">
              <w:rPr>
                <w:rFonts w:ascii="Times New Roman" w:hAnsi="Times New Roman"/>
                <w:sz w:val="20"/>
                <w:szCs w:val="20"/>
              </w:rPr>
              <w:t>5.15</w:t>
            </w:r>
          </w:p>
        </w:tc>
        <w:tc>
          <w:tcPr>
            <w:tcW w:w="1153" w:type="pct"/>
            <w:shd w:val="clear" w:color="auto" w:fill="auto"/>
            <w:vAlign w:val="center"/>
          </w:tcPr>
          <w:p w14:paraId="02B39CF5" w14:textId="77777777" w:rsidR="00FF6101" w:rsidRPr="00B0658A" w:rsidRDefault="00FF6101" w:rsidP="00004A41">
            <w:pPr>
              <w:spacing w:after="0" w:line="240" w:lineRule="auto"/>
              <w:rPr>
                <w:rFonts w:ascii="Times New Roman" w:hAnsi="Times New Roman"/>
                <w:b/>
                <w:sz w:val="20"/>
                <w:szCs w:val="20"/>
              </w:rPr>
            </w:pPr>
            <w:r w:rsidRPr="00B0658A">
              <w:rPr>
                <w:rFonts w:ascii="Times New Roman" w:hAnsi="Times New Roman"/>
                <w:sz w:val="20"/>
                <w:szCs w:val="20"/>
              </w:rPr>
              <w:t>Прикладное программное обеспечение/ Информационные системы для решения специфических отраслевых задач</w:t>
            </w:r>
          </w:p>
        </w:tc>
        <w:tc>
          <w:tcPr>
            <w:tcW w:w="624" w:type="pct"/>
          </w:tcPr>
          <w:p w14:paraId="3F992697" w14:textId="77777777" w:rsidR="00FF6101" w:rsidRPr="00B0658A" w:rsidRDefault="00FF6101" w:rsidP="00004A41">
            <w:pPr>
              <w:spacing w:after="0" w:line="240" w:lineRule="auto"/>
              <w:rPr>
                <w:rFonts w:ascii="Times New Roman" w:hAnsi="Times New Roman"/>
                <w:i/>
                <w:iCs/>
                <w:sz w:val="20"/>
                <w:szCs w:val="20"/>
              </w:rPr>
            </w:pPr>
          </w:p>
        </w:tc>
        <w:tc>
          <w:tcPr>
            <w:tcW w:w="1090" w:type="pct"/>
            <w:shd w:val="clear" w:color="auto" w:fill="auto"/>
          </w:tcPr>
          <w:p w14:paraId="716A428D" w14:textId="77777777" w:rsidR="00FF6101" w:rsidRPr="00B0658A" w:rsidRDefault="00FF6101" w:rsidP="00004A41">
            <w:pPr>
              <w:spacing w:after="0" w:line="240" w:lineRule="auto"/>
              <w:rPr>
                <w:rFonts w:ascii="Times New Roman" w:hAnsi="Times New Roman"/>
                <w:i/>
                <w:iCs/>
                <w:sz w:val="20"/>
                <w:szCs w:val="20"/>
              </w:rPr>
            </w:pPr>
          </w:p>
        </w:tc>
        <w:tc>
          <w:tcPr>
            <w:tcW w:w="1036" w:type="pct"/>
            <w:shd w:val="clear" w:color="auto" w:fill="auto"/>
          </w:tcPr>
          <w:p w14:paraId="148807F2" w14:textId="77777777" w:rsidR="00FF6101" w:rsidRPr="00B0658A" w:rsidRDefault="00FF6101" w:rsidP="00004A41">
            <w:pPr>
              <w:spacing w:after="0" w:line="240" w:lineRule="auto"/>
              <w:rPr>
                <w:rFonts w:ascii="Times New Roman" w:hAnsi="Times New Roman"/>
                <w:i/>
                <w:iCs/>
                <w:sz w:val="20"/>
                <w:szCs w:val="20"/>
              </w:rPr>
            </w:pPr>
          </w:p>
        </w:tc>
        <w:tc>
          <w:tcPr>
            <w:tcW w:w="894" w:type="pct"/>
            <w:shd w:val="clear" w:color="auto" w:fill="auto"/>
          </w:tcPr>
          <w:p w14:paraId="41A597F8" w14:textId="77777777" w:rsidR="00FF6101" w:rsidRPr="00B0658A" w:rsidRDefault="00FF6101" w:rsidP="00004A41">
            <w:pPr>
              <w:spacing w:after="0" w:line="240" w:lineRule="auto"/>
              <w:jc w:val="both"/>
              <w:rPr>
                <w:rFonts w:ascii="Times New Roman" w:hAnsi="Times New Roman"/>
                <w:i/>
                <w:iCs/>
                <w:sz w:val="20"/>
                <w:szCs w:val="20"/>
              </w:rPr>
            </w:pPr>
          </w:p>
        </w:tc>
      </w:tr>
      <w:tr w:rsidR="00F52FED" w:rsidRPr="00B0658A" w14:paraId="366CAB17" w14:textId="77777777" w:rsidTr="00FF6101">
        <w:trPr>
          <w:trHeight w:val="170"/>
        </w:trPr>
        <w:tc>
          <w:tcPr>
            <w:tcW w:w="203" w:type="pct"/>
            <w:shd w:val="clear" w:color="auto" w:fill="auto"/>
          </w:tcPr>
          <w:p w14:paraId="5DDEE1E6" w14:textId="77777777" w:rsidR="00FF6101" w:rsidRPr="00B0658A" w:rsidDel="00EC4B3C" w:rsidRDefault="00FF6101" w:rsidP="00004A41">
            <w:pPr>
              <w:spacing w:after="0" w:line="240" w:lineRule="auto"/>
              <w:rPr>
                <w:rFonts w:ascii="Times New Roman" w:hAnsi="Times New Roman"/>
                <w:b/>
                <w:sz w:val="20"/>
                <w:szCs w:val="20"/>
              </w:rPr>
            </w:pPr>
            <w:r w:rsidRPr="00B0658A">
              <w:rPr>
                <w:rFonts w:ascii="Times New Roman" w:hAnsi="Times New Roman"/>
                <w:sz w:val="20"/>
                <w:szCs w:val="20"/>
              </w:rPr>
              <w:t>5.16</w:t>
            </w:r>
          </w:p>
        </w:tc>
        <w:tc>
          <w:tcPr>
            <w:tcW w:w="1153" w:type="pct"/>
            <w:shd w:val="clear" w:color="auto" w:fill="auto"/>
            <w:vAlign w:val="center"/>
          </w:tcPr>
          <w:p w14:paraId="4A8D21F3" w14:textId="77777777" w:rsidR="00FF6101" w:rsidRPr="00B0658A" w:rsidRDefault="00FF6101" w:rsidP="00004A41">
            <w:pPr>
              <w:spacing w:after="0" w:line="240" w:lineRule="auto"/>
              <w:rPr>
                <w:rFonts w:ascii="Times New Roman" w:hAnsi="Times New Roman"/>
                <w:b/>
                <w:sz w:val="20"/>
                <w:szCs w:val="20"/>
              </w:rPr>
            </w:pPr>
            <w:r w:rsidRPr="00B0658A">
              <w:rPr>
                <w:rFonts w:ascii="Times New Roman" w:hAnsi="Times New Roman"/>
                <w:sz w:val="20"/>
                <w:szCs w:val="20"/>
              </w:rPr>
              <w:t>Прикладное программное обеспечение/ Автоматизированные информационные системы оформления воздушных перевозок</w:t>
            </w:r>
          </w:p>
        </w:tc>
        <w:tc>
          <w:tcPr>
            <w:tcW w:w="624" w:type="pct"/>
          </w:tcPr>
          <w:p w14:paraId="235C489C" w14:textId="77777777" w:rsidR="00FF6101" w:rsidRPr="00B0658A" w:rsidRDefault="00FF6101" w:rsidP="00004A41">
            <w:pPr>
              <w:spacing w:after="0" w:line="240" w:lineRule="auto"/>
              <w:rPr>
                <w:rFonts w:ascii="Times New Roman" w:hAnsi="Times New Roman"/>
                <w:i/>
                <w:iCs/>
                <w:sz w:val="20"/>
                <w:szCs w:val="20"/>
              </w:rPr>
            </w:pPr>
          </w:p>
        </w:tc>
        <w:tc>
          <w:tcPr>
            <w:tcW w:w="1090" w:type="pct"/>
            <w:shd w:val="clear" w:color="auto" w:fill="auto"/>
          </w:tcPr>
          <w:p w14:paraId="265A60A4" w14:textId="77777777" w:rsidR="00FF6101" w:rsidRPr="00B0658A" w:rsidRDefault="00FF6101" w:rsidP="00004A41">
            <w:pPr>
              <w:spacing w:after="0" w:line="240" w:lineRule="auto"/>
              <w:rPr>
                <w:rFonts w:ascii="Times New Roman" w:hAnsi="Times New Roman"/>
                <w:i/>
                <w:iCs/>
                <w:sz w:val="20"/>
                <w:szCs w:val="20"/>
              </w:rPr>
            </w:pPr>
          </w:p>
        </w:tc>
        <w:tc>
          <w:tcPr>
            <w:tcW w:w="1036" w:type="pct"/>
            <w:shd w:val="clear" w:color="auto" w:fill="auto"/>
          </w:tcPr>
          <w:p w14:paraId="743A307E" w14:textId="77777777" w:rsidR="00FF6101" w:rsidRPr="00B0658A" w:rsidRDefault="00FF6101" w:rsidP="00004A41">
            <w:pPr>
              <w:spacing w:after="0" w:line="240" w:lineRule="auto"/>
              <w:rPr>
                <w:rFonts w:ascii="Times New Roman" w:hAnsi="Times New Roman"/>
                <w:i/>
                <w:iCs/>
                <w:sz w:val="20"/>
                <w:szCs w:val="20"/>
              </w:rPr>
            </w:pPr>
          </w:p>
        </w:tc>
        <w:tc>
          <w:tcPr>
            <w:tcW w:w="894" w:type="pct"/>
            <w:shd w:val="clear" w:color="auto" w:fill="auto"/>
          </w:tcPr>
          <w:p w14:paraId="77634576" w14:textId="77777777" w:rsidR="00FF6101" w:rsidRPr="00B0658A" w:rsidRDefault="00FF6101" w:rsidP="00004A41">
            <w:pPr>
              <w:spacing w:after="0" w:line="240" w:lineRule="auto"/>
              <w:jc w:val="both"/>
              <w:rPr>
                <w:rFonts w:ascii="Times New Roman" w:hAnsi="Times New Roman"/>
                <w:i/>
                <w:iCs/>
                <w:sz w:val="20"/>
                <w:szCs w:val="20"/>
              </w:rPr>
            </w:pPr>
          </w:p>
        </w:tc>
      </w:tr>
      <w:tr w:rsidR="00F52FED" w:rsidRPr="00B0658A" w14:paraId="219548D2" w14:textId="77777777" w:rsidTr="00FF6101">
        <w:trPr>
          <w:trHeight w:val="170"/>
        </w:trPr>
        <w:tc>
          <w:tcPr>
            <w:tcW w:w="203" w:type="pct"/>
            <w:shd w:val="clear" w:color="auto" w:fill="auto"/>
          </w:tcPr>
          <w:p w14:paraId="01EC6880" w14:textId="77777777" w:rsidR="00FF6101" w:rsidRPr="00B0658A" w:rsidRDefault="00FF6101" w:rsidP="00004A41">
            <w:pPr>
              <w:spacing w:after="0" w:line="240" w:lineRule="auto"/>
              <w:rPr>
                <w:rFonts w:ascii="Times New Roman" w:hAnsi="Times New Roman"/>
                <w:sz w:val="20"/>
                <w:szCs w:val="20"/>
              </w:rPr>
            </w:pPr>
            <w:r w:rsidRPr="00B0658A">
              <w:rPr>
                <w:rFonts w:ascii="Times New Roman" w:hAnsi="Times New Roman"/>
                <w:sz w:val="20"/>
                <w:szCs w:val="20"/>
              </w:rPr>
              <w:t>6.1</w:t>
            </w:r>
          </w:p>
        </w:tc>
        <w:tc>
          <w:tcPr>
            <w:tcW w:w="1153" w:type="pct"/>
            <w:shd w:val="clear" w:color="auto" w:fill="auto"/>
            <w:vAlign w:val="center"/>
          </w:tcPr>
          <w:p w14:paraId="6571B37D" w14:textId="77777777" w:rsidR="00FF6101" w:rsidRPr="00B0658A" w:rsidRDefault="00FF6101" w:rsidP="00004A41">
            <w:pPr>
              <w:spacing w:after="0" w:line="240" w:lineRule="auto"/>
              <w:rPr>
                <w:rFonts w:ascii="Times New Roman" w:hAnsi="Times New Roman"/>
                <w:sz w:val="20"/>
                <w:szCs w:val="20"/>
              </w:rPr>
            </w:pPr>
            <w:r w:rsidRPr="00B0658A">
              <w:rPr>
                <w:rFonts w:ascii="Times New Roman" w:hAnsi="Times New Roman"/>
                <w:sz w:val="20"/>
                <w:szCs w:val="20"/>
              </w:rPr>
              <w:t>Офисные приложения/ Файловые менеджеры</w:t>
            </w:r>
          </w:p>
        </w:tc>
        <w:tc>
          <w:tcPr>
            <w:tcW w:w="624" w:type="pct"/>
          </w:tcPr>
          <w:p w14:paraId="55FFBD12" w14:textId="77777777" w:rsidR="00FF6101" w:rsidRPr="00B0658A" w:rsidRDefault="00FF6101" w:rsidP="00004A41">
            <w:pPr>
              <w:spacing w:after="0" w:line="240" w:lineRule="auto"/>
              <w:rPr>
                <w:rFonts w:ascii="Times New Roman" w:hAnsi="Times New Roman"/>
                <w:i/>
                <w:iCs/>
                <w:sz w:val="20"/>
                <w:szCs w:val="20"/>
              </w:rPr>
            </w:pPr>
          </w:p>
        </w:tc>
        <w:tc>
          <w:tcPr>
            <w:tcW w:w="1090" w:type="pct"/>
            <w:shd w:val="clear" w:color="auto" w:fill="auto"/>
          </w:tcPr>
          <w:p w14:paraId="4F053348" w14:textId="77777777" w:rsidR="00FF6101" w:rsidRPr="00B0658A" w:rsidRDefault="00FF6101" w:rsidP="00004A41">
            <w:pPr>
              <w:spacing w:after="0" w:line="240" w:lineRule="auto"/>
              <w:rPr>
                <w:rFonts w:ascii="Times New Roman" w:hAnsi="Times New Roman"/>
                <w:i/>
                <w:iCs/>
                <w:sz w:val="20"/>
                <w:szCs w:val="20"/>
              </w:rPr>
            </w:pPr>
          </w:p>
        </w:tc>
        <w:tc>
          <w:tcPr>
            <w:tcW w:w="1036" w:type="pct"/>
            <w:shd w:val="clear" w:color="auto" w:fill="auto"/>
          </w:tcPr>
          <w:p w14:paraId="158D1F89" w14:textId="77777777" w:rsidR="00FF6101" w:rsidRPr="00B0658A" w:rsidRDefault="00FF6101" w:rsidP="00004A41">
            <w:pPr>
              <w:spacing w:after="0" w:line="240" w:lineRule="auto"/>
              <w:rPr>
                <w:rFonts w:ascii="Times New Roman" w:hAnsi="Times New Roman"/>
                <w:i/>
                <w:iCs/>
                <w:sz w:val="20"/>
                <w:szCs w:val="20"/>
              </w:rPr>
            </w:pPr>
          </w:p>
        </w:tc>
        <w:tc>
          <w:tcPr>
            <w:tcW w:w="894" w:type="pct"/>
            <w:shd w:val="clear" w:color="auto" w:fill="auto"/>
          </w:tcPr>
          <w:p w14:paraId="61FF7E18" w14:textId="77777777" w:rsidR="00FF6101" w:rsidRPr="00B0658A" w:rsidRDefault="00FF6101" w:rsidP="00004A41">
            <w:pPr>
              <w:spacing w:after="0" w:line="240" w:lineRule="auto"/>
              <w:jc w:val="both"/>
              <w:rPr>
                <w:rFonts w:ascii="Times New Roman" w:hAnsi="Times New Roman"/>
                <w:i/>
                <w:iCs/>
                <w:sz w:val="20"/>
                <w:szCs w:val="20"/>
              </w:rPr>
            </w:pPr>
          </w:p>
        </w:tc>
      </w:tr>
      <w:tr w:rsidR="00F52FED" w:rsidRPr="00B0658A" w14:paraId="03B01510" w14:textId="77777777" w:rsidTr="00FF6101">
        <w:trPr>
          <w:trHeight w:val="170"/>
        </w:trPr>
        <w:tc>
          <w:tcPr>
            <w:tcW w:w="203" w:type="pct"/>
            <w:shd w:val="clear" w:color="auto" w:fill="auto"/>
          </w:tcPr>
          <w:p w14:paraId="77175B8E" w14:textId="77777777" w:rsidR="00FF6101" w:rsidRPr="00B0658A" w:rsidRDefault="00FF6101" w:rsidP="00004A41">
            <w:pPr>
              <w:spacing w:after="0" w:line="240" w:lineRule="auto"/>
              <w:rPr>
                <w:rFonts w:ascii="Times New Roman" w:hAnsi="Times New Roman"/>
                <w:sz w:val="20"/>
                <w:szCs w:val="20"/>
              </w:rPr>
            </w:pPr>
            <w:r w:rsidRPr="00B0658A">
              <w:rPr>
                <w:rFonts w:ascii="Times New Roman" w:hAnsi="Times New Roman"/>
                <w:sz w:val="20"/>
                <w:szCs w:val="20"/>
              </w:rPr>
              <w:t>6.2</w:t>
            </w:r>
          </w:p>
        </w:tc>
        <w:tc>
          <w:tcPr>
            <w:tcW w:w="1153" w:type="pct"/>
            <w:shd w:val="clear" w:color="auto" w:fill="auto"/>
            <w:vAlign w:val="center"/>
          </w:tcPr>
          <w:p w14:paraId="56204A6D" w14:textId="77777777" w:rsidR="00FF6101" w:rsidRPr="00B0658A" w:rsidRDefault="00FF6101" w:rsidP="00004A41">
            <w:pPr>
              <w:spacing w:after="0" w:line="240" w:lineRule="auto"/>
              <w:rPr>
                <w:rFonts w:ascii="Times New Roman" w:hAnsi="Times New Roman"/>
                <w:sz w:val="20"/>
                <w:szCs w:val="20"/>
              </w:rPr>
            </w:pPr>
            <w:r w:rsidRPr="00B0658A">
              <w:rPr>
                <w:rFonts w:ascii="Times New Roman" w:hAnsi="Times New Roman"/>
                <w:sz w:val="20"/>
                <w:szCs w:val="20"/>
              </w:rPr>
              <w:t>Офисные приложения/ Коммуникационное программное обеспечение</w:t>
            </w:r>
          </w:p>
        </w:tc>
        <w:tc>
          <w:tcPr>
            <w:tcW w:w="624" w:type="pct"/>
          </w:tcPr>
          <w:p w14:paraId="2FD40A8B" w14:textId="77777777" w:rsidR="00FF6101" w:rsidRPr="00B0658A" w:rsidRDefault="00FF6101" w:rsidP="00004A41">
            <w:pPr>
              <w:spacing w:after="0" w:line="240" w:lineRule="auto"/>
              <w:rPr>
                <w:rFonts w:ascii="Times New Roman" w:hAnsi="Times New Roman"/>
                <w:i/>
                <w:iCs/>
                <w:sz w:val="20"/>
                <w:szCs w:val="20"/>
              </w:rPr>
            </w:pPr>
          </w:p>
        </w:tc>
        <w:tc>
          <w:tcPr>
            <w:tcW w:w="1090" w:type="pct"/>
            <w:shd w:val="clear" w:color="auto" w:fill="auto"/>
          </w:tcPr>
          <w:p w14:paraId="74A55341" w14:textId="77777777" w:rsidR="00FF6101" w:rsidRPr="00B0658A" w:rsidRDefault="00FF6101" w:rsidP="00004A41">
            <w:pPr>
              <w:spacing w:after="0" w:line="240" w:lineRule="auto"/>
              <w:rPr>
                <w:rFonts w:ascii="Times New Roman" w:hAnsi="Times New Roman"/>
                <w:i/>
                <w:iCs/>
                <w:sz w:val="20"/>
                <w:szCs w:val="20"/>
              </w:rPr>
            </w:pPr>
          </w:p>
        </w:tc>
        <w:tc>
          <w:tcPr>
            <w:tcW w:w="1036" w:type="pct"/>
            <w:shd w:val="clear" w:color="auto" w:fill="auto"/>
          </w:tcPr>
          <w:p w14:paraId="0577DFE0" w14:textId="77777777" w:rsidR="00FF6101" w:rsidRPr="00B0658A" w:rsidRDefault="00FF6101" w:rsidP="00004A41">
            <w:pPr>
              <w:spacing w:after="0" w:line="240" w:lineRule="auto"/>
              <w:rPr>
                <w:rFonts w:ascii="Times New Roman" w:hAnsi="Times New Roman"/>
                <w:i/>
                <w:iCs/>
                <w:sz w:val="20"/>
                <w:szCs w:val="20"/>
              </w:rPr>
            </w:pPr>
          </w:p>
        </w:tc>
        <w:tc>
          <w:tcPr>
            <w:tcW w:w="894" w:type="pct"/>
            <w:shd w:val="clear" w:color="auto" w:fill="auto"/>
          </w:tcPr>
          <w:p w14:paraId="62D44035" w14:textId="77777777" w:rsidR="00FF6101" w:rsidRPr="00B0658A" w:rsidRDefault="00FF6101" w:rsidP="00004A41">
            <w:pPr>
              <w:spacing w:after="0" w:line="240" w:lineRule="auto"/>
              <w:jc w:val="both"/>
              <w:rPr>
                <w:rFonts w:ascii="Times New Roman" w:hAnsi="Times New Roman"/>
                <w:i/>
                <w:iCs/>
                <w:sz w:val="20"/>
                <w:szCs w:val="20"/>
              </w:rPr>
            </w:pPr>
          </w:p>
        </w:tc>
      </w:tr>
      <w:tr w:rsidR="00F52FED" w:rsidRPr="00B0658A" w14:paraId="5DF25525" w14:textId="77777777" w:rsidTr="00FF6101">
        <w:trPr>
          <w:trHeight w:val="170"/>
        </w:trPr>
        <w:tc>
          <w:tcPr>
            <w:tcW w:w="203" w:type="pct"/>
            <w:shd w:val="clear" w:color="auto" w:fill="auto"/>
          </w:tcPr>
          <w:p w14:paraId="1524B831" w14:textId="77777777" w:rsidR="00FF6101" w:rsidRPr="00B0658A" w:rsidRDefault="00FF6101" w:rsidP="00004A41">
            <w:pPr>
              <w:spacing w:after="0" w:line="240" w:lineRule="auto"/>
              <w:rPr>
                <w:rFonts w:ascii="Times New Roman" w:hAnsi="Times New Roman"/>
                <w:sz w:val="20"/>
                <w:szCs w:val="20"/>
              </w:rPr>
            </w:pPr>
            <w:r w:rsidRPr="00B0658A">
              <w:rPr>
                <w:rFonts w:ascii="Times New Roman" w:hAnsi="Times New Roman"/>
                <w:sz w:val="20"/>
                <w:szCs w:val="20"/>
              </w:rPr>
              <w:t>6.3</w:t>
            </w:r>
          </w:p>
        </w:tc>
        <w:tc>
          <w:tcPr>
            <w:tcW w:w="1153" w:type="pct"/>
            <w:shd w:val="clear" w:color="auto" w:fill="auto"/>
            <w:vAlign w:val="center"/>
          </w:tcPr>
          <w:p w14:paraId="3CBAFE2D" w14:textId="77777777" w:rsidR="00FF6101" w:rsidRPr="00B0658A" w:rsidRDefault="00FF6101" w:rsidP="00004A41">
            <w:pPr>
              <w:spacing w:after="0" w:line="240" w:lineRule="auto"/>
              <w:rPr>
                <w:rFonts w:ascii="Times New Roman" w:hAnsi="Times New Roman"/>
                <w:sz w:val="20"/>
                <w:szCs w:val="20"/>
              </w:rPr>
            </w:pPr>
            <w:r w:rsidRPr="00B0658A">
              <w:rPr>
                <w:rFonts w:ascii="Times New Roman" w:hAnsi="Times New Roman"/>
                <w:sz w:val="20"/>
                <w:szCs w:val="20"/>
              </w:rPr>
              <w:t>Офисные приложения/ Офисные пакеты</w:t>
            </w:r>
          </w:p>
        </w:tc>
        <w:tc>
          <w:tcPr>
            <w:tcW w:w="624" w:type="pct"/>
          </w:tcPr>
          <w:p w14:paraId="6CB5DE09" w14:textId="77777777" w:rsidR="00FF6101" w:rsidRPr="00B0658A" w:rsidRDefault="00FF6101" w:rsidP="00004A41">
            <w:pPr>
              <w:spacing w:after="0" w:line="240" w:lineRule="auto"/>
              <w:rPr>
                <w:rFonts w:ascii="Times New Roman" w:hAnsi="Times New Roman"/>
                <w:i/>
                <w:iCs/>
                <w:sz w:val="20"/>
                <w:szCs w:val="20"/>
              </w:rPr>
            </w:pPr>
          </w:p>
        </w:tc>
        <w:tc>
          <w:tcPr>
            <w:tcW w:w="1090" w:type="pct"/>
            <w:shd w:val="clear" w:color="auto" w:fill="auto"/>
          </w:tcPr>
          <w:p w14:paraId="1813E95F" w14:textId="77777777" w:rsidR="00FF6101" w:rsidRPr="00B0658A" w:rsidRDefault="00FF6101" w:rsidP="00004A41">
            <w:pPr>
              <w:spacing w:after="0" w:line="240" w:lineRule="auto"/>
              <w:rPr>
                <w:rFonts w:ascii="Times New Roman" w:hAnsi="Times New Roman"/>
                <w:i/>
                <w:iCs/>
                <w:sz w:val="20"/>
                <w:szCs w:val="20"/>
              </w:rPr>
            </w:pPr>
          </w:p>
        </w:tc>
        <w:tc>
          <w:tcPr>
            <w:tcW w:w="1036" w:type="pct"/>
            <w:shd w:val="clear" w:color="auto" w:fill="auto"/>
          </w:tcPr>
          <w:p w14:paraId="4EEC9CC8" w14:textId="77777777" w:rsidR="00FF6101" w:rsidRPr="00B0658A" w:rsidRDefault="00FF6101" w:rsidP="00004A41">
            <w:pPr>
              <w:spacing w:after="0" w:line="240" w:lineRule="auto"/>
              <w:rPr>
                <w:rFonts w:ascii="Times New Roman" w:hAnsi="Times New Roman"/>
                <w:i/>
                <w:iCs/>
                <w:sz w:val="20"/>
                <w:szCs w:val="20"/>
              </w:rPr>
            </w:pPr>
          </w:p>
        </w:tc>
        <w:tc>
          <w:tcPr>
            <w:tcW w:w="894" w:type="pct"/>
            <w:shd w:val="clear" w:color="auto" w:fill="auto"/>
          </w:tcPr>
          <w:p w14:paraId="66477221" w14:textId="77777777" w:rsidR="00FF6101" w:rsidRPr="00B0658A" w:rsidRDefault="00FF6101" w:rsidP="00004A41">
            <w:pPr>
              <w:spacing w:after="0" w:line="240" w:lineRule="auto"/>
              <w:jc w:val="both"/>
              <w:rPr>
                <w:rFonts w:ascii="Times New Roman" w:hAnsi="Times New Roman"/>
                <w:i/>
                <w:iCs/>
                <w:sz w:val="20"/>
                <w:szCs w:val="20"/>
              </w:rPr>
            </w:pPr>
          </w:p>
        </w:tc>
      </w:tr>
      <w:tr w:rsidR="00F52FED" w:rsidRPr="00B0658A" w14:paraId="3B035DA7" w14:textId="77777777" w:rsidTr="00FF6101">
        <w:trPr>
          <w:trHeight w:val="170"/>
        </w:trPr>
        <w:tc>
          <w:tcPr>
            <w:tcW w:w="203" w:type="pct"/>
            <w:shd w:val="clear" w:color="auto" w:fill="auto"/>
          </w:tcPr>
          <w:p w14:paraId="34B961A1" w14:textId="77777777" w:rsidR="00FF6101" w:rsidRPr="00B0658A" w:rsidRDefault="00FF6101" w:rsidP="00004A41">
            <w:pPr>
              <w:spacing w:after="0" w:line="240" w:lineRule="auto"/>
              <w:rPr>
                <w:rFonts w:ascii="Times New Roman" w:hAnsi="Times New Roman"/>
                <w:sz w:val="20"/>
                <w:szCs w:val="20"/>
              </w:rPr>
            </w:pPr>
            <w:r w:rsidRPr="00B0658A">
              <w:rPr>
                <w:rFonts w:ascii="Times New Roman" w:hAnsi="Times New Roman"/>
                <w:sz w:val="20"/>
                <w:szCs w:val="20"/>
              </w:rPr>
              <w:t>6.4</w:t>
            </w:r>
          </w:p>
        </w:tc>
        <w:tc>
          <w:tcPr>
            <w:tcW w:w="1153" w:type="pct"/>
            <w:shd w:val="clear" w:color="auto" w:fill="auto"/>
            <w:vAlign w:val="center"/>
          </w:tcPr>
          <w:p w14:paraId="46E33AA0" w14:textId="77777777" w:rsidR="00FF6101" w:rsidRPr="00B0658A" w:rsidRDefault="00FF6101" w:rsidP="00004A41">
            <w:pPr>
              <w:spacing w:after="0" w:line="240" w:lineRule="auto"/>
              <w:rPr>
                <w:rFonts w:ascii="Times New Roman" w:hAnsi="Times New Roman"/>
                <w:sz w:val="20"/>
                <w:szCs w:val="20"/>
              </w:rPr>
            </w:pPr>
            <w:r w:rsidRPr="00B0658A">
              <w:rPr>
                <w:rFonts w:ascii="Times New Roman" w:hAnsi="Times New Roman"/>
                <w:sz w:val="20"/>
                <w:szCs w:val="20"/>
              </w:rPr>
              <w:t>Офисные приложения/ Почтовые приложения</w:t>
            </w:r>
          </w:p>
        </w:tc>
        <w:tc>
          <w:tcPr>
            <w:tcW w:w="624" w:type="pct"/>
          </w:tcPr>
          <w:p w14:paraId="164CDD80" w14:textId="77777777" w:rsidR="00FF6101" w:rsidRPr="00B0658A" w:rsidRDefault="00FF6101" w:rsidP="00004A41">
            <w:pPr>
              <w:spacing w:after="0" w:line="240" w:lineRule="auto"/>
              <w:rPr>
                <w:rFonts w:ascii="Times New Roman" w:hAnsi="Times New Roman"/>
                <w:i/>
                <w:iCs/>
                <w:sz w:val="20"/>
                <w:szCs w:val="20"/>
              </w:rPr>
            </w:pPr>
          </w:p>
        </w:tc>
        <w:tc>
          <w:tcPr>
            <w:tcW w:w="1090" w:type="pct"/>
            <w:shd w:val="clear" w:color="auto" w:fill="auto"/>
          </w:tcPr>
          <w:p w14:paraId="1DDA3505" w14:textId="77777777" w:rsidR="00FF6101" w:rsidRPr="00B0658A" w:rsidRDefault="00FF6101" w:rsidP="00004A41">
            <w:pPr>
              <w:spacing w:after="0" w:line="240" w:lineRule="auto"/>
              <w:rPr>
                <w:rFonts w:ascii="Times New Roman" w:hAnsi="Times New Roman"/>
                <w:i/>
                <w:iCs/>
                <w:sz w:val="20"/>
                <w:szCs w:val="20"/>
              </w:rPr>
            </w:pPr>
          </w:p>
        </w:tc>
        <w:tc>
          <w:tcPr>
            <w:tcW w:w="1036" w:type="pct"/>
            <w:shd w:val="clear" w:color="auto" w:fill="auto"/>
          </w:tcPr>
          <w:p w14:paraId="5730B929" w14:textId="77777777" w:rsidR="00FF6101" w:rsidRPr="00B0658A" w:rsidRDefault="00FF6101" w:rsidP="00004A41">
            <w:pPr>
              <w:spacing w:after="0" w:line="240" w:lineRule="auto"/>
              <w:rPr>
                <w:rFonts w:ascii="Times New Roman" w:hAnsi="Times New Roman"/>
                <w:i/>
                <w:iCs/>
                <w:sz w:val="20"/>
                <w:szCs w:val="20"/>
              </w:rPr>
            </w:pPr>
          </w:p>
        </w:tc>
        <w:tc>
          <w:tcPr>
            <w:tcW w:w="894" w:type="pct"/>
            <w:shd w:val="clear" w:color="auto" w:fill="auto"/>
          </w:tcPr>
          <w:p w14:paraId="033C4A84" w14:textId="77777777" w:rsidR="00FF6101" w:rsidRPr="00B0658A" w:rsidRDefault="00FF6101" w:rsidP="00004A41">
            <w:pPr>
              <w:spacing w:after="0" w:line="240" w:lineRule="auto"/>
              <w:jc w:val="both"/>
              <w:rPr>
                <w:rFonts w:ascii="Times New Roman" w:hAnsi="Times New Roman"/>
                <w:i/>
                <w:iCs/>
                <w:sz w:val="20"/>
                <w:szCs w:val="20"/>
              </w:rPr>
            </w:pPr>
          </w:p>
        </w:tc>
      </w:tr>
      <w:tr w:rsidR="00F52FED" w:rsidRPr="00B0658A" w14:paraId="43DD0C7A" w14:textId="77777777" w:rsidTr="00FF6101">
        <w:trPr>
          <w:trHeight w:val="170"/>
        </w:trPr>
        <w:tc>
          <w:tcPr>
            <w:tcW w:w="203" w:type="pct"/>
            <w:shd w:val="clear" w:color="auto" w:fill="auto"/>
          </w:tcPr>
          <w:p w14:paraId="0B2CB640" w14:textId="77777777" w:rsidR="00FF6101" w:rsidRPr="00B0658A" w:rsidRDefault="00FF6101" w:rsidP="00004A41">
            <w:pPr>
              <w:spacing w:after="0" w:line="240" w:lineRule="auto"/>
              <w:rPr>
                <w:rFonts w:ascii="Times New Roman" w:hAnsi="Times New Roman"/>
                <w:sz w:val="20"/>
                <w:szCs w:val="20"/>
              </w:rPr>
            </w:pPr>
            <w:r w:rsidRPr="00B0658A">
              <w:rPr>
                <w:rFonts w:ascii="Times New Roman" w:hAnsi="Times New Roman"/>
                <w:sz w:val="20"/>
                <w:szCs w:val="20"/>
              </w:rPr>
              <w:t>6.5</w:t>
            </w:r>
          </w:p>
        </w:tc>
        <w:tc>
          <w:tcPr>
            <w:tcW w:w="1153" w:type="pct"/>
            <w:shd w:val="clear" w:color="auto" w:fill="auto"/>
            <w:vAlign w:val="center"/>
          </w:tcPr>
          <w:p w14:paraId="4D5872EA" w14:textId="77777777" w:rsidR="00FF6101" w:rsidRPr="00B0658A" w:rsidRDefault="00FF6101" w:rsidP="00004A41">
            <w:pPr>
              <w:spacing w:after="0" w:line="240" w:lineRule="auto"/>
              <w:rPr>
                <w:rFonts w:ascii="Times New Roman" w:hAnsi="Times New Roman"/>
                <w:sz w:val="20"/>
                <w:szCs w:val="20"/>
              </w:rPr>
            </w:pPr>
            <w:r w:rsidRPr="00B0658A">
              <w:rPr>
                <w:rFonts w:ascii="Times New Roman" w:hAnsi="Times New Roman"/>
                <w:sz w:val="20"/>
                <w:szCs w:val="20"/>
              </w:rPr>
              <w:t>Офисные приложения/ Органайзеры</w:t>
            </w:r>
          </w:p>
        </w:tc>
        <w:tc>
          <w:tcPr>
            <w:tcW w:w="624" w:type="pct"/>
          </w:tcPr>
          <w:p w14:paraId="553D67A7" w14:textId="77777777" w:rsidR="00FF6101" w:rsidRPr="00B0658A" w:rsidRDefault="00FF6101" w:rsidP="00004A41">
            <w:pPr>
              <w:spacing w:after="0" w:line="240" w:lineRule="auto"/>
              <w:rPr>
                <w:rFonts w:ascii="Times New Roman" w:hAnsi="Times New Roman"/>
                <w:i/>
                <w:iCs/>
                <w:sz w:val="20"/>
                <w:szCs w:val="20"/>
              </w:rPr>
            </w:pPr>
          </w:p>
        </w:tc>
        <w:tc>
          <w:tcPr>
            <w:tcW w:w="1090" w:type="pct"/>
            <w:shd w:val="clear" w:color="auto" w:fill="auto"/>
          </w:tcPr>
          <w:p w14:paraId="2FBE5A0B" w14:textId="77777777" w:rsidR="00FF6101" w:rsidRPr="00B0658A" w:rsidRDefault="00FF6101" w:rsidP="00004A41">
            <w:pPr>
              <w:spacing w:after="0" w:line="240" w:lineRule="auto"/>
              <w:rPr>
                <w:rFonts w:ascii="Times New Roman" w:hAnsi="Times New Roman"/>
                <w:i/>
                <w:iCs/>
                <w:sz w:val="20"/>
                <w:szCs w:val="20"/>
              </w:rPr>
            </w:pPr>
          </w:p>
        </w:tc>
        <w:tc>
          <w:tcPr>
            <w:tcW w:w="1036" w:type="pct"/>
            <w:shd w:val="clear" w:color="auto" w:fill="auto"/>
          </w:tcPr>
          <w:p w14:paraId="349132CF" w14:textId="77777777" w:rsidR="00FF6101" w:rsidRPr="00B0658A" w:rsidRDefault="00FF6101" w:rsidP="00004A41">
            <w:pPr>
              <w:spacing w:after="0" w:line="240" w:lineRule="auto"/>
              <w:rPr>
                <w:rFonts w:ascii="Times New Roman" w:hAnsi="Times New Roman"/>
                <w:i/>
                <w:iCs/>
                <w:sz w:val="20"/>
                <w:szCs w:val="20"/>
              </w:rPr>
            </w:pPr>
          </w:p>
        </w:tc>
        <w:tc>
          <w:tcPr>
            <w:tcW w:w="894" w:type="pct"/>
            <w:shd w:val="clear" w:color="auto" w:fill="auto"/>
          </w:tcPr>
          <w:p w14:paraId="41570EBC" w14:textId="77777777" w:rsidR="00FF6101" w:rsidRPr="00B0658A" w:rsidRDefault="00FF6101" w:rsidP="00004A41">
            <w:pPr>
              <w:spacing w:after="0" w:line="240" w:lineRule="auto"/>
              <w:jc w:val="both"/>
              <w:rPr>
                <w:rFonts w:ascii="Times New Roman" w:hAnsi="Times New Roman"/>
                <w:i/>
                <w:iCs/>
                <w:sz w:val="20"/>
                <w:szCs w:val="20"/>
              </w:rPr>
            </w:pPr>
          </w:p>
        </w:tc>
      </w:tr>
      <w:tr w:rsidR="00F52FED" w:rsidRPr="00B0658A" w14:paraId="3C22F769" w14:textId="77777777" w:rsidTr="00FF6101">
        <w:trPr>
          <w:trHeight w:val="170"/>
        </w:trPr>
        <w:tc>
          <w:tcPr>
            <w:tcW w:w="203" w:type="pct"/>
            <w:shd w:val="clear" w:color="auto" w:fill="auto"/>
          </w:tcPr>
          <w:p w14:paraId="1234776B" w14:textId="77777777" w:rsidR="00FF6101" w:rsidRPr="00B0658A" w:rsidRDefault="00FF6101" w:rsidP="00004A41">
            <w:pPr>
              <w:spacing w:after="0" w:line="240" w:lineRule="auto"/>
              <w:rPr>
                <w:rFonts w:ascii="Times New Roman" w:hAnsi="Times New Roman"/>
                <w:sz w:val="20"/>
                <w:szCs w:val="20"/>
              </w:rPr>
            </w:pPr>
            <w:r w:rsidRPr="00B0658A">
              <w:rPr>
                <w:rFonts w:ascii="Times New Roman" w:hAnsi="Times New Roman"/>
                <w:sz w:val="20"/>
                <w:szCs w:val="20"/>
              </w:rPr>
              <w:t>6.6</w:t>
            </w:r>
          </w:p>
        </w:tc>
        <w:tc>
          <w:tcPr>
            <w:tcW w:w="1153" w:type="pct"/>
            <w:shd w:val="clear" w:color="auto" w:fill="auto"/>
            <w:vAlign w:val="center"/>
          </w:tcPr>
          <w:p w14:paraId="01D60836" w14:textId="77777777" w:rsidR="00FF6101" w:rsidRPr="00B0658A" w:rsidRDefault="00FF6101" w:rsidP="00004A41">
            <w:pPr>
              <w:spacing w:after="0" w:line="240" w:lineRule="auto"/>
              <w:rPr>
                <w:rFonts w:ascii="Times New Roman" w:hAnsi="Times New Roman"/>
                <w:sz w:val="20"/>
                <w:szCs w:val="20"/>
              </w:rPr>
            </w:pPr>
            <w:r w:rsidRPr="00B0658A">
              <w:rPr>
                <w:rFonts w:ascii="Times New Roman" w:hAnsi="Times New Roman"/>
                <w:sz w:val="20"/>
                <w:szCs w:val="20"/>
              </w:rPr>
              <w:t>Офисные приложения/ Средства просмотра</w:t>
            </w:r>
          </w:p>
        </w:tc>
        <w:tc>
          <w:tcPr>
            <w:tcW w:w="624" w:type="pct"/>
          </w:tcPr>
          <w:p w14:paraId="0B05A5E9" w14:textId="77777777" w:rsidR="00FF6101" w:rsidRPr="00B0658A" w:rsidRDefault="00FF6101" w:rsidP="00004A41">
            <w:pPr>
              <w:spacing w:after="0" w:line="240" w:lineRule="auto"/>
              <w:rPr>
                <w:rFonts w:ascii="Times New Roman" w:hAnsi="Times New Roman"/>
                <w:i/>
                <w:iCs/>
                <w:sz w:val="20"/>
                <w:szCs w:val="20"/>
              </w:rPr>
            </w:pPr>
          </w:p>
        </w:tc>
        <w:tc>
          <w:tcPr>
            <w:tcW w:w="1090" w:type="pct"/>
            <w:shd w:val="clear" w:color="auto" w:fill="auto"/>
          </w:tcPr>
          <w:p w14:paraId="72BA8827" w14:textId="77777777" w:rsidR="00FF6101" w:rsidRPr="00B0658A" w:rsidRDefault="00FF6101" w:rsidP="00004A41">
            <w:pPr>
              <w:spacing w:after="0" w:line="240" w:lineRule="auto"/>
              <w:rPr>
                <w:rFonts w:ascii="Times New Roman" w:hAnsi="Times New Roman"/>
                <w:i/>
                <w:iCs/>
                <w:sz w:val="20"/>
                <w:szCs w:val="20"/>
              </w:rPr>
            </w:pPr>
          </w:p>
        </w:tc>
        <w:tc>
          <w:tcPr>
            <w:tcW w:w="1036" w:type="pct"/>
            <w:shd w:val="clear" w:color="auto" w:fill="auto"/>
          </w:tcPr>
          <w:p w14:paraId="79062CF4" w14:textId="77777777" w:rsidR="00FF6101" w:rsidRPr="00B0658A" w:rsidRDefault="00FF6101" w:rsidP="00004A41">
            <w:pPr>
              <w:spacing w:after="0" w:line="240" w:lineRule="auto"/>
              <w:rPr>
                <w:rFonts w:ascii="Times New Roman" w:hAnsi="Times New Roman"/>
                <w:i/>
                <w:iCs/>
                <w:sz w:val="20"/>
                <w:szCs w:val="20"/>
              </w:rPr>
            </w:pPr>
          </w:p>
        </w:tc>
        <w:tc>
          <w:tcPr>
            <w:tcW w:w="894" w:type="pct"/>
            <w:shd w:val="clear" w:color="auto" w:fill="auto"/>
          </w:tcPr>
          <w:p w14:paraId="7CF773D0" w14:textId="77777777" w:rsidR="00FF6101" w:rsidRPr="00B0658A" w:rsidRDefault="00FF6101" w:rsidP="00004A41">
            <w:pPr>
              <w:spacing w:after="0" w:line="240" w:lineRule="auto"/>
              <w:jc w:val="both"/>
              <w:rPr>
                <w:rFonts w:ascii="Times New Roman" w:hAnsi="Times New Roman"/>
                <w:i/>
                <w:iCs/>
                <w:sz w:val="20"/>
                <w:szCs w:val="20"/>
              </w:rPr>
            </w:pPr>
          </w:p>
        </w:tc>
      </w:tr>
      <w:tr w:rsidR="00F52FED" w:rsidRPr="00B0658A" w14:paraId="00994060" w14:textId="77777777" w:rsidTr="00FF6101">
        <w:trPr>
          <w:trHeight w:val="170"/>
        </w:trPr>
        <w:tc>
          <w:tcPr>
            <w:tcW w:w="203" w:type="pct"/>
            <w:shd w:val="clear" w:color="auto" w:fill="auto"/>
          </w:tcPr>
          <w:p w14:paraId="247A52EF" w14:textId="77777777" w:rsidR="00FF6101" w:rsidRPr="00B0658A" w:rsidRDefault="00FF6101" w:rsidP="00004A41">
            <w:pPr>
              <w:spacing w:after="0" w:line="240" w:lineRule="auto"/>
              <w:rPr>
                <w:rFonts w:ascii="Times New Roman" w:hAnsi="Times New Roman"/>
                <w:sz w:val="20"/>
                <w:szCs w:val="20"/>
              </w:rPr>
            </w:pPr>
            <w:r w:rsidRPr="00B0658A">
              <w:rPr>
                <w:rFonts w:ascii="Times New Roman" w:hAnsi="Times New Roman"/>
                <w:sz w:val="20"/>
                <w:szCs w:val="20"/>
              </w:rPr>
              <w:t>6.7</w:t>
            </w:r>
          </w:p>
        </w:tc>
        <w:tc>
          <w:tcPr>
            <w:tcW w:w="1153" w:type="pct"/>
            <w:shd w:val="clear" w:color="auto" w:fill="auto"/>
            <w:vAlign w:val="center"/>
          </w:tcPr>
          <w:p w14:paraId="03CC61DC" w14:textId="77777777" w:rsidR="00FF6101" w:rsidRPr="00B0658A" w:rsidRDefault="00FF6101" w:rsidP="00004A41">
            <w:pPr>
              <w:spacing w:after="0" w:line="240" w:lineRule="auto"/>
              <w:rPr>
                <w:rFonts w:ascii="Times New Roman" w:hAnsi="Times New Roman"/>
                <w:sz w:val="20"/>
                <w:szCs w:val="20"/>
              </w:rPr>
            </w:pPr>
            <w:r w:rsidRPr="00B0658A">
              <w:rPr>
                <w:rFonts w:ascii="Times New Roman" w:hAnsi="Times New Roman"/>
                <w:sz w:val="20"/>
                <w:szCs w:val="20"/>
              </w:rPr>
              <w:t>Офисные приложения/ Браузеры</w:t>
            </w:r>
          </w:p>
        </w:tc>
        <w:tc>
          <w:tcPr>
            <w:tcW w:w="624" w:type="pct"/>
          </w:tcPr>
          <w:p w14:paraId="52D2EFE4" w14:textId="77777777" w:rsidR="00FF6101" w:rsidRPr="00B0658A" w:rsidRDefault="00FF6101" w:rsidP="00004A41">
            <w:pPr>
              <w:spacing w:after="0" w:line="240" w:lineRule="auto"/>
              <w:rPr>
                <w:rFonts w:ascii="Times New Roman" w:hAnsi="Times New Roman"/>
                <w:i/>
                <w:iCs/>
                <w:sz w:val="20"/>
                <w:szCs w:val="20"/>
              </w:rPr>
            </w:pPr>
          </w:p>
        </w:tc>
        <w:tc>
          <w:tcPr>
            <w:tcW w:w="1090" w:type="pct"/>
            <w:shd w:val="clear" w:color="auto" w:fill="auto"/>
          </w:tcPr>
          <w:p w14:paraId="0149D5CC" w14:textId="77777777" w:rsidR="00FF6101" w:rsidRPr="00B0658A" w:rsidRDefault="00FF6101" w:rsidP="00004A41">
            <w:pPr>
              <w:spacing w:after="0" w:line="240" w:lineRule="auto"/>
              <w:rPr>
                <w:rFonts w:ascii="Times New Roman" w:hAnsi="Times New Roman"/>
                <w:i/>
                <w:iCs/>
                <w:sz w:val="20"/>
                <w:szCs w:val="20"/>
              </w:rPr>
            </w:pPr>
          </w:p>
        </w:tc>
        <w:tc>
          <w:tcPr>
            <w:tcW w:w="1036" w:type="pct"/>
            <w:shd w:val="clear" w:color="auto" w:fill="auto"/>
          </w:tcPr>
          <w:p w14:paraId="089BB008" w14:textId="77777777" w:rsidR="00FF6101" w:rsidRPr="00B0658A" w:rsidRDefault="00FF6101" w:rsidP="00004A41">
            <w:pPr>
              <w:spacing w:after="0" w:line="240" w:lineRule="auto"/>
              <w:rPr>
                <w:rFonts w:ascii="Times New Roman" w:hAnsi="Times New Roman"/>
                <w:i/>
                <w:iCs/>
                <w:sz w:val="20"/>
                <w:szCs w:val="20"/>
              </w:rPr>
            </w:pPr>
          </w:p>
        </w:tc>
        <w:tc>
          <w:tcPr>
            <w:tcW w:w="894" w:type="pct"/>
            <w:shd w:val="clear" w:color="auto" w:fill="auto"/>
          </w:tcPr>
          <w:p w14:paraId="57BCC9DE" w14:textId="77777777" w:rsidR="00FF6101" w:rsidRPr="00B0658A" w:rsidRDefault="00FF6101" w:rsidP="00004A41">
            <w:pPr>
              <w:spacing w:after="0" w:line="240" w:lineRule="auto"/>
              <w:jc w:val="both"/>
              <w:rPr>
                <w:rFonts w:ascii="Times New Roman" w:hAnsi="Times New Roman"/>
                <w:i/>
                <w:iCs/>
                <w:sz w:val="20"/>
                <w:szCs w:val="20"/>
              </w:rPr>
            </w:pPr>
          </w:p>
        </w:tc>
      </w:tr>
      <w:tr w:rsidR="00F52FED" w:rsidRPr="00B0658A" w14:paraId="2963EAA2" w14:textId="77777777" w:rsidTr="00FF6101">
        <w:trPr>
          <w:trHeight w:val="170"/>
        </w:trPr>
        <w:tc>
          <w:tcPr>
            <w:tcW w:w="203" w:type="pct"/>
            <w:shd w:val="clear" w:color="auto" w:fill="auto"/>
          </w:tcPr>
          <w:p w14:paraId="12476244" w14:textId="77777777" w:rsidR="00FF6101" w:rsidRPr="00B0658A" w:rsidRDefault="00FF6101" w:rsidP="00004A41">
            <w:pPr>
              <w:spacing w:after="0" w:line="240" w:lineRule="auto"/>
              <w:rPr>
                <w:rFonts w:ascii="Times New Roman" w:hAnsi="Times New Roman"/>
                <w:sz w:val="20"/>
                <w:szCs w:val="20"/>
              </w:rPr>
            </w:pPr>
            <w:r w:rsidRPr="00B0658A">
              <w:rPr>
                <w:rFonts w:ascii="Times New Roman" w:hAnsi="Times New Roman"/>
                <w:sz w:val="20"/>
                <w:szCs w:val="20"/>
              </w:rPr>
              <w:t>6.8</w:t>
            </w:r>
          </w:p>
        </w:tc>
        <w:tc>
          <w:tcPr>
            <w:tcW w:w="1153" w:type="pct"/>
            <w:shd w:val="clear" w:color="auto" w:fill="auto"/>
            <w:vAlign w:val="center"/>
          </w:tcPr>
          <w:p w14:paraId="579197CE" w14:textId="77777777" w:rsidR="00FF6101" w:rsidRPr="00B0658A" w:rsidRDefault="00FF6101" w:rsidP="00004A41">
            <w:pPr>
              <w:spacing w:after="0" w:line="240" w:lineRule="auto"/>
              <w:rPr>
                <w:rFonts w:ascii="Times New Roman" w:hAnsi="Times New Roman"/>
                <w:sz w:val="20"/>
                <w:szCs w:val="20"/>
              </w:rPr>
            </w:pPr>
            <w:r w:rsidRPr="00B0658A">
              <w:rPr>
                <w:rFonts w:ascii="Times New Roman" w:hAnsi="Times New Roman"/>
                <w:sz w:val="20"/>
                <w:szCs w:val="20"/>
              </w:rPr>
              <w:t>Офисные приложения/ Редакторы мультимедиа</w:t>
            </w:r>
          </w:p>
        </w:tc>
        <w:tc>
          <w:tcPr>
            <w:tcW w:w="624" w:type="pct"/>
          </w:tcPr>
          <w:p w14:paraId="07799BA9" w14:textId="77777777" w:rsidR="00FF6101" w:rsidRPr="00B0658A" w:rsidRDefault="00FF6101" w:rsidP="00004A41">
            <w:pPr>
              <w:spacing w:after="0" w:line="240" w:lineRule="auto"/>
              <w:rPr>
                <w:rFonts w:ascii="Times New Roman" w:hAnsi="Times New Roman"/>
                <w:i/>
                <w:iCs/>
                <w:sz w:val="20"/>
                <w:szCs w:val="20"/>
              </w:rPr>
            </w:pPr>
          </w:p>
        </w:tc>
        <w:tc>
          <w:tcPr>
            <w:tcW w:w="1090" w:type="pct"/>
            <w:shd w:val="clear" w:color="auto" w:fill="auto"/>
          </w:tcPr>
          <w:p w14:paraId="5F5547B5" w14:textId="77777777" w:rsidR="00FF6101" w:rsidRPr="00B0658A" w:rsidRDefault="00FF6101" w:rsidP="00004A41">
            <w:pPr>
              <w:spacing w:after="0" w:line="240" w:lineRule="auto"/>
              <w:rPr>
                <w:rFonts w:ascii="Times New Roman" w:hAnsi="Times New Roman"/>
                <w:i/>
                <w:iCs/>
                <w:sz w:val="20"/>
                <w:szCs w:val="20"/>
              </w:rPr>
            </w:pPr>
          </w:p>
        </w:tc>
        <w:tc>
          <w:tcPr>
            <w:tcW w:w="1036" w:type="pct"/>
            <w:shd w:val="clear" w:color="auto" w:fill="auto"/>
          </w:tcPr>
          <w:p w14:paraId="65ACD620" w14:textId="77777777" w:rsidR="00FF6101" w:rsidRPr="00B0658A" w:rsidRDefault="00FF6101" w:rsidP="00004A41">
            <w:pPr>
              <w:spacing w:after="0" w:line="240" w:lineRule="auto"/>
              <w:rPr>
                <w:rFonts w:ascii="Times New Roman" w:hAnsi="Times New Roman"/>
                <w:i/>
                <w:iCs/>
                <w:sz w:val="20"/>
                <w:szCs w:val="20"/>
              </w:rPr>
            </w:pPr>
          </w:p>
        </w:tc>
        <w:tc>
          <w:tcPr>
            <w:tcW w:w="894" w:type="pct"/>
            <w:shd w:val="clear" w:color="auto" w:fill="auto"/>
          </w:tcPr>
          <w:p w14:paraId="329F6EA1" w14:textId="77777777" w:rsidR="00FF6101" w:rsidRPr="00B0658A" w:rsidRDefault="00FF6101" w:rsidP="00004A41">
            <w:pPr>
              <w:spacing w:after="0" w:line="240" w:lineRule="auto"/>
              <w:jc w:val="both"/>
              <w:rPr>
                <w:rFonts w:ascii="Times New Roman" w:hAnsi="Times New Roman"/>
                <w:i/>
                <w:iCs/>
                <w:sz w:val="20"/>
                <w:szCs w:val="20"/>
              </w:rPr>
            </w:pPr>
          </w:p>
        </w:tc>
      </w:tr>
      <w:tr w:rsidR="00F52FED" w:rsidRPr="00B0658A" w14:paraId="72465182" w14:textId="77777777" w:rsidTr="00FF6101">
        <w:trPr>
          <w:trHeight w:val="170"/>
        </w:trPr>
        <w:tc>
          <w:tcPr>
            <w:tcW w:w="203" w:type="pct"/>
            <w:shd w:val="clear" w:color="auto" w:fill="auto"/>
          </w:tcPr>
          <w:p w14:paraId="792D2203" w14:textId="77777777" w:rsidR="00FF6101" w:rsidRPr="00B0658A" w:rsidRDefault="00FF6101" w:rsidP="00004A41">
            <w:pPr>
              <w:spacing w:after="0" w:line="240" w:lineRule="auto"/>
              <w:rPr>
                <w:rFonts w:ascii="Times New Roman" w:hAnsi="Times New Roman"/>
                <w:sz w:val="20"/>
                <w:szCs w:val="20"/>
              </w:rPr>
            </w:pPr>
            <w:r w:rsidRPr="00B0658A">
              <w:rPr>
                <w:rFonts w:ascii="Times New Roman" w:hAnsi="Times New Roman"/>
                <w:sz w:val="20"/>
                <w:szCs w:val="20"/>
              </w:rPr>
              <w:t>6.9</w:t>
            </w:r>
          </w:p>
        </w:tc>
        <w:tc>
          <w:tcPr>
            <w:tcW w:w="1153" w:type="pct"/>
            <w:shd w:val="clear" w:color="auto" w:fill="auto"/>
            <w:vAlign w:val="center"/>
          </w:tcPr>
          <w:p w14:paraId="537ED323" w14:textId="77777777" w:rsidR="00FF6101" w:rsidRPr="00B0658A" w:rsidRDefault="00FF6101" w:rsidP="00004A41">
            <w:pPr>
              <w:spacing w:after="0" w:line="240" w:lineRule="auto"/>
              <w:rPr>
                <w:rFonts w:ascii="Times New Roman" w:hAnsi="Times New Roman"/>
                <w:sz w:val="20"/>
                <w:szCs w:val="20"/>
              </w:rPr>
            </w:pPr>
            <w:r w:rsidRPr="00B0658A">
              <w:rPr>
                <w:rFonts w:ascii="Times New Roman" w:hAnsi="Times New Roman"/>
                <w:sz w:val="20"/>
                <w:szCs w:val="20"/>
              </w:rPr>
              <w:t>Офисные приложения/ Редакторы презентаций</w:t>
            </w:r>
          </w:p>
        </w:tc>
        <w:tc>
          <w:tcPr>
            <w:tcW w:w="624" w:type="pct"/>
          </w:tcPr>
          <w:p w14:paraId="4376BDE8" w14:textId="77777777" w:rsidR="00FF6101" w:rsidRPr="00B0658A" w:rsidRDefault="00FF6101" w:rsidP="00004A41">
            <w:pPr>
              <w:spacing w:after="0" w:line="240" w:lineRule="auto"/>
              <w:rPr>
                <w:rFonts w:ascii="Times New Roman" w:hAnsi="Times New Roman"/>
                <w:i/>
                <w:iCs/>
                <w:sz w:val="20"/>
                <w:szCs w:val="20"/>
              </w:rPr>
            </w:pPr>
          </w:p>
        </w:tc>
        <w:tc>
          <w:tcPr>
            <w:tcW w:w="1090" w:type="pct"/>
            <w:shd w:val="clear" w:color="auto" w:fill="auto"/>
          </w:tcPr>
          <w:p w14:paraId="3D603F1A" w14:textId="77777777" w:rsidR="00FF6101" w:rsidRPr="00B0658A" w:rsidRDefault="00FF6101" w:rsidP="00004A41">
            <w:pPr>
              <w:spacing w:after="0" w:line="240" w:lineRule="auto"/>
              <w:rPr>
                <w:rFonts w:ascii="Times New Roman" w:hAnsi="Times New Roman"/>
                <w:i/>
                <w:iCs/>
                <w:sz w:val="20"/>
                <w:szCs w:val="20"/>
              </w:rPr>
            </w:pPr>
          </w:p>
        </w:tc>
        <w:tc>
          <w:tcPr>
            <w:tcW w:w="1036" w:type="pct"/>
            <w:shd w:val="clear" w:color="auto" w:fill="auto"/>
          </w:tcPr>
          <w:p w14:paraId="3061AFC6" w14:textId="77777777" w:rsidR="00FF6101" w:rsidRPr="00B0658A" w:rsidRDefault="00FF6101" w:rsidP="00004A41">
            <w:pPr>
              <w:spacing w:after="0" w:line="240" w:lineRule="auto"/>
              <w:rPr>
                <w:rFonts w:ascii="Times New Roman" w:hAnsi="Times New Roman"/>
                <w:i/>
                <w:iCs/>
                <w:sz w:val="20"/>
                <w:szCs w:val="20"/>
              </w:rPr>
            </w:pPr>
          </w:p>
        </w:tc>
        <w:tc>
          <w:tcPr>
            <w:tcW w:w="894" w:type="pct"/>
            <w:shd w:val="clear" w:color="auto" w:fill="auto"/>
          </w:tcPr>
          <w:p w14:paraId="2EA104EA" w14:textId="77777777" w:rsidR="00FF6101" w:rsidRPr="00B0658A" w:rsidRDefault="00FF6101" w:rsidP="00004A41">
            <w:pPr>
              <w:spacing w:after="0" w:line="240" w:lineRule="auto"/>
              <w:jc w:val="both"/>
              <w:rPr>
                <w:rFonts w:ascii="Times New Roman" w:hAnsi="Times New Roman"/>
                <w:i/>
                <w:iCs/>
                <w:sz w:val="20"/>
                <w:szCs w:val="20"/>
              </w:rPr>
            </w:pPr>
          </w:p>
        </w:tc>
      </w:tr>
      <w:tr w:rsidR="00F52FED" w:rsidRPr="00B0658A" w14:paraId="6D94AFE4" w14:textId="77777777" w:rsidTr="00FF6101">
        <w:trPr>
          <w:trHeight w:val="170"/>
        </w:trPr>
        <w:tc>
          <w:tcPr>
            <w:tcW w:w="203" w:type="pct"/>
            <w:shd w:val="clear" w:color="auto" w:fill="auto"/>
          </w:tcPr>
          <w:p w14:paraId="0EB1D387" w14:textId="77777777" w:rsidR="00FF6101" w:rsidRPr="00B0658A" w:rsidRDefault="00FF6101" w:rsidP="00004A41">
            <w:pPr>
              <w:spacing w:after="0" w:line="240" w:lineRule="auto"/>
              <w:rPr>
                <w:rFonts w:ascii="Times New Roman" w:hAnsi="Times New Roman"/>
                <w:sz w:val="20"/>
                <w:szCs w:val="20"/>
              </w:rPr>
            </w:pPr>
            <w:r w:rsidRPr="00B0658A">
              <w:rPr>
                <w:rFonts w:ascii="Times New Roman" w:hAnsi="Times New Roman"/>
                <w:sz w:val="20"/>
                <w:szCs w:val="20"/>
              </w:rPr>
              <w:t>6.10</w:t>
            </w:r>
          </w:p>
        </w:tc>
        <w:tc>
          <w:tcPr>
            <w:tcW w:w="1153" w:type="pct"/>
            <w:shd w:val="clear" w:color="auto" w:fill="auto"/>
            <w:vAlign w:val="center"/>
          </w:tcPr>
          <w:p w14:paraId="570C99B7" w14:textId="77777777" w:rsidR="00FF6101" w:rsidRPr="00B0658A" w:rsidRDefault="00FF6101" w:rsidP="00004A41">
            <w:pPr>
              <w:spacing w:after="0" w:line="240" w:lineRule="auto"/>
              <w:rPr>
                <w:rFonts w:ascii="Times New Roman" w:hAnsi="Times New Roman"/>
                <w:sz w:val="20"/>
                <w:szCs w:val="20"/>
              </w:rPr>
            </w:pPr>
            <w:r w:rsidRPr="00B0658A">
              <w:rPr>
                <w:rFonts w:ascii="Times New Roman" w:hAnsi="Times New Roman"/>
                <w:sz w:val="20"/>
                <w:szCs w:val="20"/>
              </w:rPr>
              <w:t>Офисные приложения/ Табличные редакторы</w:t>
            </w:r>
          </w:p>
        </w:tc>
        <w:tc>
          <w:tcPr>
            <w:tcW w:w="624" w:type="pct"/>
          </w:tcPr>
          <w:p w14:paraId="1971D9C0" w14:textId="77777777" w:rsidR="00FF6101" w:rsidRPr="00B0658A" w:rsidRDefault="00FF6101" w:rsidP="00004A41">
            <w:pPr>
              <w:spacing w:after="0" w:line="240" w:lineRule="auto"/>
              <w:rPr>
                <w:rFonts w:ascii="Times New Roman" w:hAnsi="Times New Roman"/>
                <w:i/>
                <w:iCs/>
                <w:sz w:val="20"/>
                <w:szCs w:val="20"/>
              </w:rPr>
            </w:pPr>
          </w:p>
        </w:tc>
        <w:tc>
          <w:tcPr>
            <w:tcW w:w="1090" w:type="pct"/>
            <w:shd w:val="clear" w:color="auto" w:fill="auto"/>
          </w:tcPr>
          <w:p w14:paraId="3FBB4D2D" w14:textId="77777777" w:rsidR="00FF6101" w:rsidRPr="00B0658A" w:rsidRDefault="00FF6101" w:rsidP="00004A41">
            <w:pPr>
              <w:spacing w:after="0" w:line="240" w:lineRule="auto"/>
              <w:rPr>
                <w:rFonts w:ascii="Times New Roman" w:hAnsi="Times New Roman"/>
                <w:i/>
                <w:iCs/>
                <w:sz w:val="20"/>
                <w:szCs w:val="20"/>
              </w:rPr>
            </w:pPr>
          </w:p>
        </w:tc>
        <w:tc>
          <w:tcPr>
            <w:tcW w:w="1036" w:type="pct"/>
            <w:shd w:val="clear" w:color="auto" w:fill="auto"/>
          </w:tcPr>
          <w:p w14:paraId="0F8C9A8E" w14:textId="77777777" w:rsidR="00FF6101" w:rsidRPr="00B0658A" w:rsidRDefault="00FF6101" w:rsidP="00004A41">
            <w:pPr>
              <w:spacing w:after="0" w:line="240" w:lineRule="auto"/>
              <w:rPr>
                <w:rFonts w:ascii="Times New Roman" w:hAnsi="Times New Roman"/>
                <w:i/>
                <w:iCs/>
                <w:sz w:val="20"/>
                <w:szCs w:val="20"/>
              </w:rPr>
            </w:pPr>
          </w:p>
        </w:tc>
        <w:tc>
          <w:tcPr>
            <w:tcW w:w="894" w:type="pct"/>
            <w:shd w:val="clear" w:color="auto" w:fill="auto"/>
          </w:tcPr>
          <w:p w14:paraId="2011FFF2" w14:textId="77777777" w:rsidR="00FF6101" w:rsidRPr="00B0658A" w:rsidRDefault="00FF6101" w:rsidP="00004A41">
            <w:pPr>
              <w:spacing w:after="0" w:line="240" w:lineRule="auto"/>
              <w:jc w:val="both"/>
              <w:rPr>
                <w:rFonts w:ascii="Times New Roman" w:hAnsi="Times New Roman"/>
                <w:i/>
                <w:iCs/>
                <w:sz w:val="20"/>
                <w:szCs w:val="20"/>
              </w:rPr>
            </w:pPr>
          </w:p>
        </w:tc>
      </w:tr>
      <w:tr w:rsidR="00F52FED" w:rsidRPr="00B0658A" w14:paraId="5E5FAAD0" w14:textId="77777777" w:rsidTr="00FF6101">
        <w:trPr>
          <w:trHeight w:val="170"/>
        </w:trPr>
        <w:tc>
          <w:tcPr>
            <w:tcW w:w="203" w:type="pct"/>
            <w:shd w:val="clear" w:color="auto" w:fill="auto"/>
          </w:tcPr>
          <w:p w14:paraId="7C2CBAE1" w14:textId="77777777" w:rsidR="00FF6101" w:rsidRPr="00B0658A" w:rsidRDefault="00FF6101" w:rsidP="00004A41">
            <w:pPr>
              <w:spacing w:after="0" w:line="240" w:lineRule="auto"/>
              <w:rPr>
                <w:rFonts w:ascii="Times New Roman" w:hAnsi="Times New Roman"/>
                <w:sz w:val="20"/>
                <w:szCs w:val="20"/>
              </w:rPr>
            </w:pPr>
            <w:r w:rsidRPr="00B0658A">
              <w:rPr>
                <w:rFonts w:ascii="Times New Roman" w:hAnsi="Times New Roman"/>
                <w:sz w:val="20"/>
                <w:szCs w:val="20"/>
              </w:rPr>
              <w:lastRenderedPageBreak/>
              <w:t>6.11</w:t>
            </w:r>
          </w:p>
        </w:tc>
        <w:tc>
          <w:tcPr>
            <w:tcW w:w="1153" w:type="pct"/>
            <w:shd w:val="clear" w:color="auto" w:fill="auto"/>
            <w:vAlign w:val="center"/>
          </w:tcPr>
          <w:p w14:paraId="5B0A5015" w14:textId="77777777" w:rsidR="00FF6101" w:rsidRPr="00B0658A" w:rsidRDefault="00FF6101" w:rsidP="00004A41">
            <w:pPr>
              <w:spacing w:after="0" w:line="240" w:lineRule="auto"/>
              <w:rPr>
                <w:rFonts w:ascii="Times New Roman" w:hAnsi="Times New Roman"/>
                <w:sz w:val="20"/>
                <w:szCs w:val="20"/>
              </w:rPr>
            </w:pPr>
            <w:r w:rsidRPr="00B0658A">
              <w:rPr>
                <w:rFonts w:ascii="Times New Roman" w:hAnsi="Times New Roman"/>
                <w:sz w:val="20"/>
                <w:szCs w:val="20"/>
              </w:rPr>
              <w:t>Офисные приложения/ Текстовые редакторы</w:t>
            </w:r>
          </w:p>
        </w:tc>
        <w:tc>
          <w:tcPr>
            <w:tcW w:w="624" w:type="pct"/>
          </w:tcPr>
          <w:p w14:paraId="35AF29B2" w14:textId="77777777" w:rsidR="00FF6101" w:rsidRPr="00B0658A" w:rsidRDefault="00FF6101" w:rsidP="00004A41">
            <w:pPr>
              <w:spacing w:after="0" w:line="240" w:lineRule="auto"/>
              <w:rPr>
                <w:rFonts w:ascii="Times New Roman" w:hAnsi="Times New Roman"/>
                <w:i/>
                <w:iCs/>
                <w:sz w:val="20"/>
                <w:szCs w:val="20"/>
              </w:rPr>
            </w:pPr>
          </w:p>
        </w:tc>
        <w:tc>
          <w:tcPr>
            <w:tcW w:w="1090" w:type="pct"/>
            <w:shd w:val="clear" w:color="auto" w:fill="auto"/>
          </w:tcPr>
          <w:p w14:paraId="1BDF5301" w14:textId="77777777" w:rsidR="00FF6101" w:rsidRPr="00B0658A" w:rsidRDefault="00FF6101" w:rsidP="00004A41">
            <w:pPr>
              <w:spacing w:after="0" w:line="240" w:lineRule="auto"/>
              <w:rPr>
                <w:rFonts w:ascii="Times New Roman" w:hAnsi="Times New Roman"/>
                <w:i/>
                <w:iCs/>
                <w:sz w:val="20"/>
                <w:szCs w:val="20"/>
              </w:rPr>
            </w:pPr>
          </w:p>
        </w:tc>
        <w:tc>
          <w:tcPr>
            <w:tcW w:w="1036" w:type="pct"/>
            <w:shd w:val="clear" w:color="auto" w:fill="auto"/>
          </w:tcPr>
          <w:p w14:paraId="61800FD3" w14:textId="77777777" w:rsidR="00FF6101" w:rsidRPr="00B0658A" w:rsidRDefault="00FF6101" w:rsidP="00004A41">
            <w:pPr>
              <w:spacing w:after="0" w:line="240" w:lineRule="auto"/>
              <w:rPr>
                <w:rFonts w:ascii="Times New Roman" w:hAnsi="Times New Roman"/>
                <w:i/>
                <w:iCs/>
                <w:sz w:val="20"/>
                <w:szCs w:val="20"/>
              </w:rPr>
            </w:pPr>
          </w:p>
        </w:tc>
        <w:tc>
          <w:tcPr>
            <w:tcW w:w="894" w:type="pct"/>
            <w:shd w:val="clear" w:color="auto" w:fill="auto"/>
          </w:tcPr>
          <w:p w14:paraId="08EBEFEA" w14:textId="77777777" w:rsidR="00FF6101" w:rsidRPr="00B0658A" w:rsidRDefault="00FF6101" w:rsidP="00004A41">
            <w:pPr>
              <w:spacing w:after="0" w:line="240" w:lineRule="auto"/>
              <w:jc w:val="both"/>
              <w:rPr>
                <w:rFonts w:ascii="Times New Roman" w:hAnsi="Times New Roman"/>
                <w:i/>
                <w:iCs/>
                <w:sz w:val="20"/>
                <w:szCs w:val="20"/>
              </w:rPr>
            </w:pPr>
          </w:p>
        </w:tc>
      </w:tr>
      <w:tr w:rsidR="00F52FED" w:rsidRPr="00B0658A" w14:paraId="575324BD" w14:textId="77777777" w:rsidTr="00FF6101">
        <w:trPr>
          <w:trHeight w:val="170"/>
        </w:trPr>
        <w:tc>
          <w:tcPr>
            <w:tcW w:w="203" w:type="pct"/>
            <w:shd w:val="clear" w:color="auto" w:fill="auto"/>
          </w:tcPr>
          <w:p w14:paraId="1728E05B" w14:textId="77777777" w:rsidR="00FF6101" w:rsidRPr="00B0658A" w:rsidRDefault="00FF6101" w:rsidP="00004A41">
            <w:pPr>
              <w:spacing w:after="0" w:line="240" w:lineRule="auto"/>
              <w:rPr>
                <w:rFonts w:ascii="Times New Roman" w:hAnsi="Times New Roman"/>
                <w:sz w:val="20"/>
                <w:szCs w:val="20"/>
              </w:rPr>
            </w:pPr>
            <w:r w:rsidRPr="00B0658A">
              <w:rPr>
                <w:rFonts w:ascii="Times New Roman" w:hAnsi="Times New Roman"/>
                <w:sz w:val="20"/>
                <w:szCs w:val="20"/>
              </w:rPr>
              <w:t>6.12</w:t>
            </w:r>
          </w:p>
        </w:tc>
        <w:tc>
          <w:tcPr>
            <w:tcW w:w="1153" w:type="pct"/>
            <w:shd w:val="clear" w:color="auto" w:fill="auto"/>
            <w:vAlign w:val="center"/>
          </w:tcPr>
          <w:p w14:paraId="1633C107" w14:textId="77777777" w:rsidR="00FF6101" w:rsidRPr="00B0658A" w:rsidRDefault="00FF6101" w:rsidP="00004A41">
            <w:pPr>
              <w:spacing w:after="0" w:line="240" w:lineRule="auto"/>
              <w:rPr>
                <w:rFonts w:ascii="Times New Roman" w:hAnsi="Times New Roman"/>
                <w:sz w:val="20"/>
                <w:szCs w:val="20"/>
              </w:rPr>
            </w:pPr>
            <w:r w:rsidRPr="00B0658A">
              <w:rPr>
                <w:rFonts w:ascii="Times New Roman" w:hAnsi="Times New Roman"/>
                <w:sz w:val="20"/>
                <w:szCs w:val="20"/>
              </w:rPr>
              <w:t>Офисные приложения/ Программное обеспечение средств электронного документооборота</w:t>
            </w:r>
          </w:p>
        </w:tc>
        <w:tc>
          <w:tcPr>
            <w:tcW w:w="624" w:type="pct"/>
          </w:tcPr>
          <w:p w14:paraId="5A80E556" w14:textId="77777777" w:rsidR="00FF6101" w:rsidRPr="00B0658A" w:rsidRDefault="00FF6101" w:rsidP="00004A41">
            <w:pPr>
              <w:spacing w:after="0" w:line="240" w:lineRule="auto"/>
              <w:rPr>
                <w:rFonts w:ascii="Times New Roman" w:hAnsi="Times New Roman"/>
                <w:i/>
                <w:iCs/>
                <w:sz w:val="20"/>
                <w:szCs w:val="20"/>
              </w:rPr>
            </w:pPr>
          </w:p>
        </w:tc>
        <w:tc>
          <w:tcPr>
            <w:tcW w:w="1090" w:type="pct"/>
            <w:shd w:val="clear" w:color="auto" w:fill="auto"/>
          </w:tcPr>
          <w:p w14:paraId="1DEAEC23" w14:textId="77777777" w:rsidR="00FF6101" w:rsidRPr="00B0658A" w:rsidRDefault="00FF6101" w:rsidP="00004A41">
            <w:pPr>
              <w:spacing w:after="0" w:line="240" w:lineRule="auto"/>
              <w:rPr>
                <w:rFonts w:ascii="Times New Roman" w:hAnsi="Times New Roman"/>
                <w:i/>
                <w:iCs/>
                <w:sz w:val="20"/>
                <w:szCs w:val="20"/>
              </w:rPr>
            </w:pPr>
          </w:p>
        </w:tc>
        <w:tc>
          <w:tcPr>
            <w:tcW w:w="1036" w:type="pct"/>
            <w:shd w:val="clear" w:color="auto" w:fill="auto"/>
          </w:tcPr>
          <w:p w14:paraId="5871B0A9" w14:textId="77777777" w:rsidR="00FF6101" w:rsidRPr="00B0658A" w:rsidRDefault="00FF6101" w:rsidP="00004A41">
            <w:pPr>
              <w:spacing w:after="0" w:line="240" w:lineRule="auto"/>
              <w:rPr>
                <w:rFonts w:ascii="Times New Roman" w:hAnsi="Times New Roman"/>
                <w:i/>
                <w:iCs/>
                <w:sz w:val="20"/>
                <w:szCs w:val="20"/>
              </w:rPr>
            </w:pPr>
          </w:p>
        </w:tc>
        <w:tc>
          <w:tcPr>
            <w:tcW w:w="894" w:type="pct"/>
            <w:shd w:val="clear" w:color="auto" w:fill="auto"/>
          </w:tcPr>
          <w:p w14:paraId="1C933B35" w14:textId="77777777" w:rsidR="00FF6101" w:rsidRPr="00B0658A" w:rsidRDefault="00FF6101" w:rsidP="00004A41">
            <w:pPr>
              <w:spacing w:after="0" w:line="240" w:lineRule="auto"/>
              <w:jc w:val="both"/>
              <w:rPr>
                <w:rFonts w:ascii="Times New Roman" w:hAnsi="Times New Roman"/>
                <w:i/>
                <w:iCs/>
                <w:sz w:val="20"/>
                <w:szCs w:val="20"/>
              </w:rPr>
            </w:pPr>
          </w:p>
        </w:tc>
      </w:tr>
      <w:tr w:rsidR="00F52FED" w:rsidRPr="00B0658A" w14:paraId="063DD64B" w14:textId="77777777" w:rsidTr="00FF6101">
        <w:trPr>
          <w:trHeight w:val="170"/>
        </w:trPr>
        <w:tc>
          <w:tcPr>
            <w:tcW w:w="203" w:type="pct"/>
            <w:shd w:val="clear" w:color="auto" w:fill="auto"/>
          </w:tcPr>
          <w:p w14:paraId="2BB54140" w14:textId="77777777" w:rsidR="00FF6101" w:rsidRPr="00B0658A" w:rsidRDefault="00FF6101" w:rsidP="00004A41">
            <w:pPr>
              <w:spacing w:after="0" w:line="240" w:lineRule="auto"/>
              <w:rPr>
                <w:rFonts w:ascii="Times New Roman" w:hAnsi="Times New Roman"/>
                <w:sz w:val="20"/>
                <w:szCs w:val="20"/>
              </w:rPr>
            </w:pPr>
            <w:r w:rsidRPr="00B0658A">
              <w:rPr>
                <w:rFonts w:ascii="Times New Roman" w:hAnsi="Times New Roman"/>
                <w:sz w:val="20"/>
                <w:szCs w:val="20"/>
              </w:rPr>
              <w:t>7.1</w:t>
            </w:r>
          </w:p>
        </w:tc>
        <w:tc>
          <w:tcPr>
            <w:tcW w:w="1153" w:type="pct"/>
            <w:shd w:val="clear" w:color="auto" w:fill="auto"/>
            <w:vAlign w:val="center"/>
          </w:tcPr>
          <w:p w14:paraId="6394FEE0" w14:textId="77777777" w:rsidR="00FF6101" w:rsidRPr="00B0658A" w:rsidRDefault="00FF6101" w:rsidP="00004A41">
            <w:pPr>
              <w:spacing w:after="0" w:line="240" w:lineRule="auto"/>
              <w:rPr>
                <w:rFonts w:ascii="Times New Roman" w:hAnsi="Times New Roman"/>
                <w:sz w:val="20"/>
                <w:szCs w:val="20"/>
              </w:rPr>
            </w:pPr>
            <w:r w:rsidRPr="00B0658A">
              <w:rPr>
                <w:rFonts w:ascii="Times New Roman" w:hAnsi="Times New Roman"/>
                <w:sz w:val="20"/>
                <w:szCs w:val="20"/>
              </w:rPr>
              <w:t xml:space="preserve">Лингвистическое программное обеспечение/ Парсеры </w:t>
            </w:r>
            <w:r w:rsidRPr="00B0658A">
              <w:rPr>
                <w:rFonts w:ascii="Times New Roman" w:hAnsi="Times New Roman"/>
                <w:sz w:val="20"/>
                <w:szCs w:val="20"/>
              </w:rPr>
              <w:br/>
              <w:t>и семантические анализаторы</w:t>
            </w:r>
          </w:p>
        </w:tc>
        <w:tc>
          <w:tcPr>
            <w:tcW w:w="624" w:type="pct"/>
          </w:tcPr>
          <w:p w14:paraId="6602D447" w14:textId="77777777" w:rsidR="00FF6101" w:rsidRPr="00B0658A" w:rsidRDefault="00FF6101" w:rsidP="00004A41">
            <w:pPr>
              <w:spacing w:after="0" w:line="240" w:lineRule="auto"/>
              <w:rPr>
                <w:rFonts w:ascii="Times New Roman" w:hAnsi="Times New Roman"/>
                <w:i/>
                <w:iCs/>
                <w:sz w:val="20"/>
                <w:szCs w:val="20"/>
              </w:rPr>
            </w:pPr>
          </w:p>
        </w:tc>
        <w:tc>
          <w:tcPr>
            <w:tcW w:w="1090" w:type="pct"/>
            <w:shd w:val="clear" w:color="auto" w:fill="auto"/>
          </w:tcPr>
          <w:p w14:paraId="1596A021" w14:textId="77777777" w:rsidR="00FF6101" w:rsidRPr="00B0658A" w:rsidRDefault="00FF6101" w:rsidP="00004A41">
            <w:pPr>
              <w:spacing w:after="0" w:line="240" w:lineRule="auto"/>
              <w:rPr>
                <w:rFonts w:ascii="Times New Roman" w:hAnsi="Times New Roman"/>
                <w:i/>
                <w:iCs/>
                <w:sz w:val="20"/>
                <w:szCs w:val="20"/>
              </w:rPr>
            </w:pPr>
          </w:p>
        </w:tc>
        <w:tc>
          <w:tcPr>
            <w:tcW w:w="1036" w:type="pct"/>
            <w:shd w:val="clear" w:color="auto" w:fill="auto"/>
          </w:tcPr>
          <w:p w14:paraId="4E89E0E3" w14:textId="77777777" w:rsidR="00FF6101" w:rsidRPr="00B0658A" w:rsidRDefault="00FF6101" w:rsidP="00004A41">
            <w:pPr>
              <w:spacing w:after="0" w:line="240" w:lineRule="auto"/>
              <w:rPr>
                <w:rFonts w:ascii="Times New Roman" w:hAnsi="Times New Roman"/>
                <w:i/>
                <w:iCs/>
                <w:sz w:val="20"/>
                <w:szCs w:val="20"/>
              </w:rPr>
            </w:pPr>
          </w:p>
        </w:tc>
        <w:tc>
          <w:tcPr>
            <w:tcW w:w="894" w:type="pct"/>
            <w:shd w:val="clear" w:color="auto" w:fill="auto"/>
          </w:tcPr>
          <w:p w14:paraId="1A854892" w14:textId="77777777" w:rsidR="00FF6101" w:rsidRPr="00B0658A" w:rsidRDefault="00FF6101" w:rsidP="00004A41">
            <w:pPr>
              <w:spacing w:after="0" w:line="240" w:lineRule="auto"/>
              <w:jc w:val="both"/>
              <w:rPr>
                <w:rFonts w:ascii="Times New Roman" w:hAnsi="Times New Roman"/>
                <w:i/>
                <w:iCs/>
                <w:sz w:val="20"/>
                <w:szCs w:val="20"/>
              </w:rPr>
            </w:pPr>
          </w:p>
        </w:tc>
      </w:tr>
      <w:tr w:rsidR="00F52FED" w:rsidRPr="00B0658A" w14:paraId="2D3DBDC8" w14:textId="77777777" w:rsidTr="00FF6101">
        <w:trPr>
          <w:trHeight w:val="170"/>
        </w:trPr>
        <w:tc>
          <w:tcPr>
            <w:tcW w:w="203" w:type="pct"/>
            <w:shd w:val="clear" w:color="auto" w:fill="auto"/>
          </w:tcPr>
          <w:p w14:paraId="0D52B924" w14:textId="77777777" w:rsidR="00FF6101" w:rsidRPr="00B0658A" w:rsidRDefault="00FF6101" w:rsidP="00004A41">
            <w:pPr>
              <w:spacing w:after="0" w:line="240" w:lineRule="auto"/>
              <w:rPr>
                <w:rFonts w:ascii="Times New Roman" w:hAnsi="Times New Roman"/>
                <w:sz w:val="20"/>
                <w:szCs w:val="20"/>
              </w:rPr>
            </w:pPr>
            <w:r w:rsidRPr="00B0658A">
              <w:rPr>
                <w:rFonts w:ascii="Times New Roman" w:hAnsi="Times New Roman"/>
                <w:sz w:val="20"/>
                <w:szCs w:val="20"/>
              </w:rPr>
              <w:t>7.2</w:t>
            </w:r>
          </w:p>
        </w:tc>
        <w:tc>
          <w:tcPr>
            <w:tcW w:w="1153" w:type="pct"/>
            <w:shd w:val="clear" w:color="auto" w:fill="auto"/>
            <w:vAlign w:val="center"/>
          </w:tcPr>
          <w:p w14:paraId="39954EE7" w14:textId="77777777" w:rsidR="00FF6101" w:rsidRPr="00B0658A" w:rsidRDefault="00FF6101" w:rsidP="00004A41">
            <w:pPr>
              <w:spacing w:after="0" w:line="240" w:lineRule="auto"/>
              <w:rPr>
                <w:rFonts w:ascii="Times New Roman" w:hAnsi="Times New Roman"/>
                <w:sz w:val="20"/>
                <w:szCs w:val="20"/>
              </w:rPr>
            </w:pPr>
            <w:r w:rsidRPr="00B0658A">
              <w:rPr>
                <w:rFonts w:ascii="Times New Roman" w:hAnsi="Times New Roman"/>
                <w:sz w:val="20"/>
                <w:szCs w:val="20"/>
              </w:rPr>
              <w:t>Лингвистическое программное обеспечение/ Средства речевого перевода</w:t>
            </w:r>
          </w:p>
        </w:tc>
        <w:tc>
          <w:tcPr>
            <w:tcW w:w="624" w:type="pct"/>
          </w:tcPr>
          <w:p w14:paraId="3000CFEE" w14:textId="77777777" w:rsidR="00FF6101" w:rsidRPr="00B0658A" w:rsidRDefault="00FF6101" w:rsidP="00004A41">
            <w:pPr>
              <w:spacing w:after="0" w:line="240" w:lineRule="auto"/>
              <w:rPr>
                <w:rFonts w:ascii="Times New Roman" w:hAnsi="Times New Roman"/>
                <w:i/>
                <w:iCs/>
                <w:sz w:val="20"/>
                <w:szCs w:val="20"/>
              </w:rPr>
            </w:pPr>
          </w:p>
        </w:tc>
        <w:tc>
          <w:tcPr>
            <w:tcW w:w="1090" w:type="pct"/>
            <w:shd w:val="clear" w:color="auto" w:fill="auto"/>
          </w:tcPr>
          <w:p w14:paraId="2A35B966" w14:textId="77777777" w:rsidR="00FF6101" w:rsidRPr="00B0658A" w:rsidRDefault="00FF6101" w:rsidP="00004A41">
            <w:pPr>
              <w:spacing w:after="0" w:line="240" w:lineRule="auto"/>
              <w:rPr>
                <w:rFonts w:ascii="Times New Roman" w:hAnsi="Times New Roman"/>
                <w:i/>
                <w:iCs/>
                <w:sz w:val="20"/>
                <w:szCs w:val="20"/>
              </w:rPr>
            </w:pPr>
          </w:p>
        </w:tc>
        <w:tc>
          <w:tcPr>
            <w:tcW w:w="1036" w:type="pct"/>
            <w:shd w:val="clear" w:color="auto" w:fill="auto"/>
          </w:tcPr>
          <w:p w14:paraId="6A165305" w14:textId="77777777" w:rsidR="00FF6101" w:rsidRPr="00B0658A" w:rsidRDefault="00FF6101" w:rsidP="00004A41">
            <w:pPr>
              <w:spacing w:after="0" w:line="240" w:lineRule="auto"/>
              <w:rPr>
                <w:rFonts w:ascii="Times New Roman" w:hAnsi="Times New Roman"/>
                <w:i/>
                <w:iCs/>
                <w:sz w:val="20"/>
                <w:szCs w:val="20"/>
              </w:rPr>
            </w:pPr>
          </w:p>
        </w:tc>
        <w:tc>
          <w:tcPr>
            <w:tcW w:w="894" w:type="pct"/>
            <w:shd w:val="clear" w:color="auto" w:fill="auto"/>
          </w:tcPr>
          <w:p w14:paraId="757BE644" w14:textId="77777777" w:rsidR="00FF6101" w:rsidRPr="00B0658A" w:rsidRDefault="00FF6101" w:rsidP="00004A41">
            <w:pPr>
              <w:spacing w:after="0" w:line="240" w:lineRule="auto"/>
              <w:jc w:val="both"/>
              <w:rPr>
                <w:rFonts w:ascii="Times New Roman" w:hAnsi="Times New Roman"/>
                <w:i/>
                <w:iCs/>
                <w:sz w:val="20"/>
                <w:szCs w:val="20"/>
              </w:rPr>
            </w:pPr>
          </w:p>
        </w:tc>
      </w:tr>
      <w:tr w:rsidR="00F52FED" w:rsidRPr="00B0658A" w14:paraId="459206AF" w14:textId="77777777" w:rsidTr="00FF6101">
        <w:trPr>
          <w:trHeight w:val="170"/>
        </w:trPr>
        <w:tc>
          <w:tcPr>
            <w:tcW w:w="203" w:type="pct"/>
            <w:shd w:val="clear" w:color="auto" w:fill="auto"/>
          </w:tcPr>
          <w:p w14:paraId="34A67DE5" w14:textId="77777777" w:rsidR="00FF6101" w:rsidRPr="00B0658A" w:rsidRDefault="00FF6101" w:rsidP="00004A41">
            <w:pPr>
              <w:spacing w:after="0" w:line="240" w:lineRule="auto"/>
              <w:rPr>
                <w:rFonts w:ascii="Times New Roman" w:hAnsi="Times New Roman"/>
                <w:sz w:val="20"/>
                <w:szCs w:val="20"/>
              </w:rPr>
            </w:pPr>
            <w:r w:rsidRPr="00B0658A">
              <w:rPr>
                <w:rFonts w:ascii="Times New Roman" w:hAnsi="Times New Roman"/>
                <w:sz w:val="20"/>
                <w:szCs w:val="20"/>
              </w:rPr>
              <w:t>7.3</w:t>
            </w:r>
          </w:p>
        </w:tc>
        <w:tc>
          <w:tcPr>
            <w:tcW w:w="1153" w:type="pct"/>
            <w:shd w:val="clear" w:color="auto" w:fill="auto"/>
            <w:vAlign w:val="center"/>
          </w:tcPr>
          <w:p w14:paraId="723884AB" w14:textId="77777777" w:rsidR="00FF6101" w:rsidRPr="00B0658A" w:rsidRDefault="00FF6101" w:rsidP="00004A41">
            <w:pPr>
              <w:spacing w:after="0" w:line="240" w:lineRule="auto"/>
              <w:rPr>
                <w:rFonts w:ascii="Times New Roman" w:hAnsi="Times New Roman"/>
                <w:sz w:val="20"/>
                <w:szCs w:val="20"/>
              </w:rPr>
            </w:pPr>
            <w:r w:rsidRPr="00B0658A">
              <w:rPr>
                <w:rFonts w:ascii="Times New Roman" w:hAnsi="Times New Roman"/>
                <w:sz w:val="20"/>
                <w:szCs w:val="20"/>
              </w:rPr>
              <w:t>Лингвистическое программное обеспечение/ Средства распознавания символов</w:t>
            </w:r>
          </w:p>
        </w:tc>
        <w:tc>
          <w:tcPr>
            <w:tcW w:w="624" w:type="pct"/>
          </w:tcPr>
          <w:p w14:paraId="7D468316" w14:textId="77777777" w:rsidR="00FF6101" w:rsidRPr="00B0658A" w:rsidRDefault="00FF6101" w:rsidP="00004A41">
            <w:pPr>
              <w:spacing w:after="0" w:line="240" w:lineRule="auto"/>
              <w:rPr>
                <w:rFonts w:ascii="Times New Roman" w:hAnsi="Times New Roman"/>
                <w:i/>
                <w:iCs/>
                <w:sz w:val="20"/>
                <w:szCs w:val="20"/>
              </w:rPr>
            </w:pPr>
          </w:p>
        </w:tc>
        <w:tc>
          <w:tcPr>
            <w:tcW w:w="1090" w:type="pct"/>
            <w:shd w:val="clear" w:color="auto" w:fill="auto"/>
          </w:tcPr>
          <w:p w14:paraId="151FE3A6" w14:textId="77777777" w:rsidR="00FF6101" w:rsidRPr="00B0658A" w:rsidRDefault="00FF6101" w:rsidP="00004A41">
            <w:pPr>
              <w:spacing w:after="0" w:line="240" w:lineRule="auto"/>
              <w:rPr>
                <w:rFonts w:ascii="Times New Roman" w:hAnsi="Times New Roman"/>
                <w:i/>
                <w:iCs/>
                <w:sz w:val="20"/>
                <w:szCs w:val="20"/>
              </w:rPr>
            </w:pPr>
          </w:p>
        </w:tc>
        <w:tc>
          <w:tcPr>
            <w:tcW w:w="1036" w:type="pct"/>
            <w:shd w:val="clear" w:color="auto" w:fill="auto"/>
          </w:tcPr>
          <w:p w14:paraId="036D0624" w14:textId="77777777" w:rsidR="00FF6101" w:rsidRPr="00B0658A" w:rsidRDefault="00FF6101" w:rsidP="00004A41">
            <w:pPr>
              <w:spacing w:after="0" w:line="240" w:lineRule="auto"/>
              <w:rPr>
                <w:rFonts w:ascii="Times New Roman" w:hAnsi="Times New Roman"/>
                <w:i/>
                <w:iCs/>
                <w:sz w:val="20"/>
                <w:szCs w:val="20"/>
              </w:rPr>
            </w:pPr>
          </w:p>
        </w:tc>
        <w:tc>
          <w:tcPr>
            <w:tcW w:w="894" w:type="pct"/>
            <w:shd w:val="clear" w:color="auto" w:fill="auto"/>
          </w:tcPr>
          <w:p w14:paraId="0891345A" w14:textId="77777777" w:rsidR="00FF6101" w:rsidRPr="00B0658A" w:rsidRDefault="00FF6101" w:rsidP="00004A41">
            <w:pPr>
              <w:spacing w:after="0" w:line="240" w:lineRule="auto"/>
              <w:jc w:val="both"/>
              <w:rPr>
                <w:rFonts w:ascii="Times New Roman" w:hAnsi="Times New Roman"/>
                <w:i/>
                <w:iCs/>
                <w:sz w:val="20"/>
                <w:szCs w:val="20"/>
              </w:rPr>
            </w:pPr>
          </w:p>
        </w:tc>
      </w:tr>
      <w:tr w:rsidR="00F52FED" w:rsidRPr="00B0658A" w14:paraId="7E1FD2DA" w14:textId="77777777" w:rsidTr="00FF6101">
        <w:trPr>
          <w:trHeight w:val="170"/>
        </w:trPr>
        <w:tc>
          <w:tcPr>
            <w:tcW w:w="203" w:type="pct"/>
            <w:shd w:val="clear" w:color="auto" w:fill="auto"/>
          </w:tcPr>
          <w:p w14:paraId="0E1744F0" w14:textId="77777777" w:rsidR="00FF6101" w:rsidRPr="00B0658A" w:rsidRDefault="00FF6101" w:rsidP="00004A41">
            <w:pPr>
              <w:spacing w:after="0" w:line="240" w:lineRule="auto"/>
              <w:rPr>
                <w:rFonts w:ascii="Times New Roman" w:hAnsi="Times New Roman"/>
                <w:sz w:val="20"/>
                <w:szCs w:val="20"/>
              </w:rPr>
            </w:pPr>
            <w:r w:rsidRPr="00B0658A">
              <w:rPr>
                <w:rFonts w:ascii="Times New Roman" w:hAnsi="Times New Roman"/>
                <w:sz w:val="20"/>
                <w:szCs w:val="20"/>
              </w:rPr>
              <w:t>7.4</w:t>
            </w:r>
          </w:p>
        </w:tc>
        <w:tc>
          <w:tcPr>
            <w:tcW w:w="1153" w:type="pct"/>
            <w:shd w:val="clear" w:color="auto" w:fill="auto"/>
            <w:vAlign w:val="center"/>
          </w:tcPr>
          <w:p w14:paraId="2DBC6B1A" w14:textId="77777777" w:rsidR="00FF6101" w:rsidRPr="00B0658A" w:rsidRDefault="00FF6101" w:rsidP="00004A41">
            <w:pPr>
              <w:spacing w:after="0" w:line="240" w:lineRule="auto"/>
              <w:rPr>
                <w:rFonts w:ascii="Times New Roman" w:hAnsi="Times New Roman"/>
                <w:sz w:val="20"/>
                <w:szCs w:val="20"/>
              </w:rPr>
            </w:pPr>
            <w:r w:rsidRPr="00B0658A">
              <w:rPr>
                <w:rFonts w:ascii="Times New Roman" w:hAnsi="Times New Roman"/>
                <w:sz w:val="20"/>
                <w:szCs w:val="20"/>
              </w:rPr>
              <w:t>Лингвистическое программное обеспечение/ Средства распознавания и синтеза речи</w:t>
            </w:r>
          </w:p>
        </w:tc>
        <w:tc>
          <w:tcPr>
            <w:tcW w:w="624" w:type="pct"/>
          </w:tcPr>
          <w:p w14:paraId="30659BF6" w14:textId="77777777" w:rsidR="00FF6101" w:rsidRPr="00B0658A" w:rsidRDefault="00FF6101" w:rsidP="00004A41">
            <w:pPr>
              <w:spacing w:after="0" w:line="240" w:lineRule="auto"/>
              <w:rPr>
                <w:rFonts w:ascii="Times New Roman" w:hAnsi="Times New Roman"/>
                <w:i/>
                <w:iCs/>
                <w:sz w:val="20"/>
                <w:szCs w:val="20"/>
              </w:rPr>
            </w:pPr>
          </w:p>
        </w:tc>
        <w:tc>
          <w:tcPr>
            <w:tcW w:w="1090" w:type="pct"/>
            <w:shd w:val="clear" w:color="auto" w:fill="auto"/>
          </w:tcPr>
          <w:p w14:paraId="451D0C33" w14:textId="77777777" w:rsidR="00FF6101" w:rsidRPr="00B0658A" w:rsidRDefault="00FF6101" w:rsidP="00004A41">
            <w:pPr>
              <w:spacing w:after="0" w:line="240" w:lineRule="auto"/>
              <w:rPr>
                <w:rFonts w:ascii="Times New Roman" w:hAnsi="Times New Roman"/>
                <w:i/>
                <w:iCs/>
                <w:sz w:val="20"/>
                <w:szCs w:val="20"/>
              </w:rPr>
            </w:pPr>
          </w:p>
        </w:tc>
        <w:tc>
          <w:tcPr>
            <w:tcW w:w="1036" w:type="pct"/>
            <w:shd w:val="clear" w:color="auto" w:fill="auto"/>
          </w:tcPr>
          <w:p w14:paraId="0669E695" w14:textId="77777777" w:rsidR="00FF6101" w:rsidRPr="00B0658A" w:rsidRDefault="00FF6101" w:rsidP="00004A41">
            <w:pPr>
              <w:spacing w:after="0" w:line="240" w:lineRule="auto"/>
              <w:rPr>
                <w:rFonts w:ascii="Times New Roman" w:hAnsi="Times New Roman"/>
                <w:i/>
                <w:iCs/>
                <w:sz w:val="20"/>
                <w:szCs w:val="20"/>
              </w:rPr>
            </w:pPr>
          </w:p>
        </w:tc>
        <w:tc>
          <w:tcPr>
            <w:tcW w:w="894" w:type="pct"/>
            <w:shd w:val="clear" w:color="auto" w:fill="auto"/>
          </w:tcPr>
          <w:p w14:paraId="27BFA4BE" w14:textId="77777777" w:rsidR="00FF6101" w:rsidRPr="00B0658A" w:rsidRDefault="00FF6101" w:rsidP="00004A41">
            <w:pPr>
              <w:spacing w:after="0" w:line="240" w:lineRule="auto"/>
              <w:jc w:val="both"/>
              <w:rPr>
                <w:rFonts w:ascii="Times New Roman" w:hAnsi="Times New Roman"/>
                <w:i/>
                <w:iCs/>
                <w:sz w:val="20"/>
                <w:szCs w:val="20"/>
              </w:rPr>
            </w:pPr>
          </w:p>
        </w:tc>
      </w:tr>
      <w:tr w:rsidR="00F52FED" w:rsidRPr="00B0658A" w14:paraId="523B2324" w14:textId="77777777" w:rsidTr="00FF6101">
        <w:trPr>
          <w:trHeight w:val="170"/>
        </w:trPr>
        <w:tc>
          <w:tcPr>
            <w:tcW w:w="203" w:type="pct"/>
            <w:shd w:val="clear" w:color="auto" w:fill="auto"/>
          </w:tcPr>
          <w:p w14:paraId="25E9007D" w14:textId="77777777" w:rsidR="00FF6101" w:rsidRPr="00B0658A" w:rsidRDefault="00FF6101" w:rsidP="00004A41">
            <w:pPr>
              <w:spacing w:after="0" w:line="240" w:lineRule="auto"/>
              <w:rPr>
                <w:rFonts w:ascii="Times New Roman" w:hAnsi="Times New Roman"/>
                <w:sz w:val="20"/>
                <w:szCs w:val="20"/>
              </w:rPr>
            </w:pPr>
            <w:r w:rsidRPr="00B0658A">
              <w:rPr>
                <w:rFonts w:ascii="Times New Roman" w:hAnsi="Times New Roman"/>
                <w:sz w:val="20"/>
                <w:szCs w:val="20"/>
              </w:rPr>
              <w:t>7.5</w:t>
            </w:r>
          </w:p>
        </w:tc>
        <w:tc>
          <w:tcPr>
            <w:tcW w:w="1153" w:type="pct"/>
            <w:shd w:val="clear" w:color="auto" w:fill="auto"/>
            <w:vAlign w:val="center"/>
          </w:tcPr>
          <w:p w14:paraId="76C488A9" w14:textId="77777777" w:rsidR="00FF6101" w:rsidRPr="00B0658A" w:rsidRDefault="00FF6101" w:rsidP="00004A41">
            <w:pPr>
              <w:spacing w:after="0" w:line="240" w:lineRule="auto"/>
              <w:rPr>
                <w:rFonts w:ascii="Times New Roman" w:hAnsi="Times New Roman"/>
                <w:sz w:val="20"/>
                <w:szCs w:val="20"/>
              </w:rPr>
            </w:pPr>
            <w:r w:rsidRPr="00B0658A">
              <w:rPr>
                <w:rFonts w:ascii="Times New Roman" w:hAnsi="Times New Roman"/>
                <w:sz w:val="20"/>
                <w:szCs w:val="20"/>
              </w:rPr>
              <w:t>Лингвистическое программное обеспечение/ Средства автоматизированного перевода</w:t>
            </w:r>
          </w:p>
        </w:tc>
        <w:tc>
          <w:tcPr>
            <w:tcW w:w="624" w:type="pct"/>
          </w:tcPr>
          <w:p w14:paraId="6CBB9FA5" w14:textId="77777777" w:rsidR="00FF6101" w:rsidRPr="00B0658A" w:rsidRDefault="00FF6101" w:rsidP="00004A41">
            <w:pPr>
              <w:spacing w:after="0" w:line="240" w:lineRule="auto"/>
              <w:rPr>
                <w:rFonts w:ascii="Times New Roman" w:hAnsi="Times New Roman"/>
                <w:i/>
                <w:iCs/>
                <w:sz w:val="20"/>
                <w:szCs w:val="20"/>
              </w:rPr>
            </w:pPr>
          </w:p>
        </w:tc>
        <w:tc>
          <w:tcPr>
            <w:tcW w:w="1090" w:type="pct"/>
            <w:shd w:val="clear" w:color="auto" w:fill="auto"/>
          </w:tcPr>
          <w:p w14:paraId="74E87EA4" w14:textId="77777777" w:rsidR="00FF6101" w:rsidRPr="00B0658A" w:rsidRDefault="00FF6101" w:rsidP="00004A41">
            <w:pPr>
              <w:spacing w:after="0" w:line="240" w:lineRule="auto"/>
              <w:rPr>
                <w:rFonts w:ascii="Times New Roman" w:hAnsi="Times New Roman"/>
                <w:i/>
                <w:iCs/>
                <w:sz w:val="20"/>
                <w:szCs w:val="20"/>
              </w:rPr>
            </w:pPr>
          </w:p>
        </w:tc>
        <w:tc>
          <w:tcPr>
            <w:tcW w:w="1036" w:type="pct"/>
            <w:shd w:val="clear" w:color="auto" w:fill="auto"/>
          </w:tcPr>
          <w:p w14:paraId="164F439B" w14:textId="77777777" w:rsidR="00FF6101" w:rsidRPr="00B0658A" w:rsidRDefault="00FF6101" w:rsidP="00004A41">
            <w:pPr>
              <w:spacing w:after="0" w:line="240" w:lineRule="auto"/>
              <w:rPr>
                <w:rFonts w:ascii="Times New Roman" w:hAnsi="Times New Roman"/>
                <w:i/>
                <w:iCs/>
                <w:sz w:val="20"/>
                <w:szCs w:val="20"/>
              </w:rPr>
            </w:pPr>
          </w:p>
        </w:tc>
        <w:tc>
          <w:tcPr>
            <w:tcW w:w="894" w:type="pct"/>
            <w:shd w:val="clear" w:color="auto" w:fill="auto"/>
          </w:tcPr>
          <w:p w14:paraId="79E145AE" w14:textId="77777777" w:rsidR="00FF6101" w:rsidRPr="00B0658A" w:rsidRDefault="00FF6101" w:rsidP="00004A41">
            <w:pPr>
              <w:spacing w:after="0" w:line="240" w:lineRule="auto"/>
              <w:jc w:val="both"/>
              <w:rPr>
                <w:rFonts w:ascii="Times New Roman" w:hAnsi="Times New Roman"/>
                <w:i/>
                <w:iCs/>
                <w:sz w:val="20"/>
                <w:szCs w:val="20"/>
              </w:rPr>
            </w:pPr>
          </w:p>
        </w:tc>
      </w:tr>
      <w:tr w:rsidR="00F52FED" w:rsidRPr="00B0658A" w14:paraId="057234ED" w14:textId="77777777" w:rsidTr="00FF6101">
        <w:trPr>
          <w:trHeight w:val="170"/>
        </w:trPr>
        <w:tc>
          <w:tcPr>
            <w:tcW w:w="203" w:type="pct"/>
            <w:shd w:val="clear" w:color="auto" w:fill="auto"/>
          </w:tcPr>
          <w:p w14:paraId="41BFEA87" w14:textId="77777777" w:rsidR="00FF6101" w:rsidRPr="00B0658A" w:rsidRDefault="00FF6101" w:rsidP="00004A41">
            <w:pPr>
              <w:spacing w:after="0" w:line="240" w:lineRule="auto"/>
              <w:rPr>
                <w:rFonts w:ascii="Times New Roman" w:hAnsi="Times New Roman"/>
                <w:sz w:val="20"/>
                <w:szCs w:val="20"/>
              </w:rPr>
            </w:pPr>
            <w:r w:rsidRPr="00B0658A">
              <w:rPr>
                <w:rFonts w:ascii="Times New Roman" w:hAnsi="Times New Roman"/>
                <w:sz w:val="20"/>
                <w:szCs w:val="20"/>
              </w:rPr>
              <w:t>7.6</w:t>
            </w:r>
          </w:p>
        </w:tc>
        <w:tc>
          <w:tcPr>
            <w:tcW w:w="1153" w:type="pct"/>
            <w:shd w:val="clear" w:color="auto" w:fill="auto"/>
            <w:vAlign w:val="center"/>
          </w:tcPr>
          <w:p w14:paraId="7A951DB2" w14:textId="77777777" w:rsidR="00FF6101" w:rsidRPr="00B0658A" w:rsidRDefault="00FF6101" w:rsidP="00004A41">
            <w:pPr>
              <w:spacing w:after="0" w:line="240" w:lineRule="auto"/>
              <w:rPr>
                <w:rFonts w:ascii="Times New Roman" w:hAnsi="Times New Roman"/>
                <w:sz w:val="20"/>
                <w:szCs w:val="20"/>
              </w:rPr>
            </w:pPr>
            <w:r w:rsidRPr="00B0658A">
              <w:rPr>
                <w:rFonts w:ascii="Times New Roman" w:hAnsi="Times New Roman"/>
                <w:sz w:val="20"/>
                <w:szCs w:val="20"/>
              </w:rPr>
              <w:t>Лингвистическое программное обеспечение/ Электронные словари</w:t>
            </w:r>
          </w:p>
        </w:tc>
        <w:tc>
          <w:tcPr>
            <w:tcW w:w="624" w:type="pct"/>
          </w:tcPr>
          <w:p w14:paraId="45A14201" w14:textId="77777777" w:rsidR="00FF6101" w:rsidRPr="00B0658A" w:rsidRDefault="00FF6101" w:rsidP="00004A41">
            <w:pPr>
              <w:spacing w:after="0" w:line="240" w:lineRule="auto"/>
              <w:rPr>
                <w:rFonts w:ascii="Times New Roman" w:hAnsi="Times New Roman"/>
                <w:i/>
                <w:iCs/>
                <w:sz w:val="20"/>
                <w:szCs w:val="20"/>
              </w:rPr>
            </w:pPr>
          </w:p>
        </w:tc>
        <w:tc>
          <w:tcPr>
            <w:tcW w:w="1090" w:type="pct"/>
            <w:shd w:val="clear" w:color="auto" w:fill="auto"/>
          </w:tcPr>
          <w:p w14:paraId="566E0272" w14:textId="77777777" w:rsidR="00FF6101" w:rsidRPr="00B0658A" w:rsidRDefault="00FF6101" w:rsidP="00004A41">
            <w:pPr>
              <w:spacing w:after="0" w:line="240" w:lineRule="auto"/>
              <w:rPr>
                <w:rFonts w:ascii="Times New Roman" w:hAnsi="Times New Roman"/>
                <w:i/>
                <w:iCs/>
                <w:sz w:val="20"/>
                <w:szCs w:val="20"/>
              </w:rPr>
            </w:pPr>
          </w:p>
        </w:tc>
        <w:tc>
          <w:tcPr>
            <w:tcW w:w="1036" w:type="pct"/>
            <w:shd w:val="clear" w:color="auto" w:fill="auto"/>
          </w:tcPr>
          <w:p w14:paraId="5560A056" w14:textId="77777777" w:rsidR="00FF6101" w:rsidRPr="00B0658A" w:rsidRDefault="00FF6101" w:rsidP="00004A41">
            <w:pPr>
              <w:spacing w:after="0" w:line="240" w:lineRule="auto"/>
              <w:rPr>
                <w:rFonts w:ascii="Times New Roman" w:hAnsi="Times New Roman"/>
                <w:i/>
                <w:iCs/>
                <w:sz w:val="20"/>
                <w:szCs w:val="20"/>
              </w:rPr>
            </w:pPr>
          </w:p>
        </w:tc>
        <w:tc>
          <w:tcPr>
            <w:tcW w:w="894" w:type="pct"/>
            <w:shd w:val="clear" w:color="auto" w:fill="auto"/>
          </w:tcPr>
          <w:p w14:paraId="76F3E3AC" w14:textId="77777777" w:rsidR="00FF6101" w:rsidRPr="00B0658A" w:rsidRDefault="00FF6101" w:rsidP="00004A41">
            <w:pPr>
              <w:spacing w:after="0" w:line="240" w:lineRule="auto"/>
              <w:jc w:val="both"/>
              <w:rPr>
                <w:rFonts w:ascii="Times New Roman" w:hAnsi="Times New Roman"/>
                <w:i/>
                <w:iCs/>
                <w:sz w:val="20"/>
                <w:szCs w:val="20"/>
              </w:rPr>
            </w:pPr>
          </w:p>
        </w:tc>
      </w:tr>
      <w:tr w:rsidR="00F52FED" w:rsidRPr="00B0658A" w14:paraId="3D580526" w14:textId="77777777" w:rsidTr="00FF6101">
        <w:trPr>
          <w:trHeight w:val="170"/>
        </w:trPr>
        <w:tc>
          <w:tcPr>
            <w:tcW w:w="203" w:type="pct"/>
            <w:shd w:val="clear" w:color="auto" w:fill="auto"/>
          </w:tcPr>
          <w:p w14:paraId="096509E5" w14:textId="77777777" w:rsidR="00FF6101" w:rsidRPr="00B0658A" w:rsidRDefault="00FF6101" w:rsidP="00004A41">
            <w:pPr>
              <w:spacing w:after="0" w:line="240" w:lineRule="auto"/>
              <w:rPr>
                <w:rFonts w:ascii="Times New Roman" w:hAnsi="Times New Roman"/>
                <w:sz w:val="20"/>
                <w:szCs w:val="20"/>
              </w:rPr>
            </w:pPr>
            <w:r w:rsidRPr="00B0658A">
              <w:rPr>
                <w:rFonts w:ascii="Times New Roman" w:hAnsi="Times New Roman"/>
                <w:sz w:val="20"/>
                <w:szCs w:val="20"/>
              </w:rPr>
              <w:t>7.7</w:t>
            </w:r>
          </w:p>
        </w:tc>
        <w:tc>
          <w:tcPr>
            <w:tcW w:w="1153" w:type="pct"/>
            <w:shd w:val="clear" w:color="auto" w:fill="auto"/>
            <w:vAlign w:val="center"/>
          </w:tcPr>
          <w:p w14:paraId="04394699" w14:textId="77777777" w:rsidR="00FF6101" w:rsidRPr="00B0658A" w:rsidRDefault="00FF6101" w:rsidP="00004A41">
            <w:pPr>
              <w:spacing w:after="0" w:line="240" w:lineRule="auto"/>
              <w:rPr>
                <w:rFonts w:ascii="Times New Roman" w:hAnsi="Times New Roman"/>
                <w:sz w:val="20"/>
                <w:szCs w:val="20"/>
              </w:rPr>
            </w:pPr>
            <w:r w:rsidRPr="00B0658A">
              <w:rPr>
                <w:rFonts w:ascii="Times New Roman" w:hAnsi="Times New Roman"/>
                <w:sz w:val="20"/>
                <w:szCs w:val="20"/>
              </w:rPr>
              <w:t>Лингвистическое программное обеспечение/ Средства проверки правописания</w:t>
            </w:r>
          </w:p>
        </w:tc>
        <w:tc>
          <w:tcPr>
            <w:tcW w:w="624" w:type="pct"/>
          </w:tcPr>
          <w:p w14:paraId="24561C19" w14:textId="77777777" w:rsidR="00FF6101" w:rsidRPr="00B0658A" w:rsidRDefault="00FF6101" w:rsidP="00004A41">
            <w:pPr>
              <w:spacing w:after="0" w:line="240" w:lineRule="auto"/>
              <w:rPr>
                <w:rFonts w:ascii="Times New Roman" w:hAnsi="Times New Roman"/>
                <w:i/>
                <w:iCs/>
                <w:sz w:val="20"/>
                <w:szCs w:val="20"/>
              </w:rPr>
            </w:pPr>
          </w:p>
        </w:tc>
        <w:tc>
          <w:tcPr>
            <w:tcW w:w="1090" w:type="pct"/>
            <w:shd w:val="clear" w:color="auto" w:fill="auto"/>
          </w:tcPr>
          <w:p w14:paraId="1680AD9F" w14:textId="77777777" w:rsidR="00FF6101" w:rsidRPr="00B0658A" w:rsidRDefault="00FF6101" w:rsidP="00004A41">
            <w:pPr>
              <w:spacing w:after="0" w:line="240" w:lineRule="auto"/>
              <w:rPr>
                <w:rFonts w:ascii="Times New Roman" w:hAnsi="Times New Roman"/>
                <w:i/>
                <w:iCs/>
                <w:sz w:val="20"/>
                <w:szCs w:val="20"/>
              </w:rPr>
            </w:pPr>
          </w:p>
        </w:tc>
        <w:tc>
          <w:tcPr>
            <w:tcW w:w="1036" w:type="pct"/>
            <w:shd w:val="clear" w:color="auto" w:fill="auto"/>
          </w:tcPr>
          <w:p w14:paraId="61916BA0" w14:textId="77777777" w:rsidR="00FF6101" w:rsidRPr="00B0658A" w:rsidRDefault="00FF6101" w:rsidP="00004A41">
            <w:pPr>
              <w:spacing w:after="0" w:line="240" w:lineRule="auto"/>
              <w:rPr>
                <w:rFonts w:ascii="Times New Roman" w:hAnsi="Times New Roman"/>
                <w:i/>
                <w:iCs/>
                <w:sz w:val="20"/>
                <w:szCs w:val="20"/>
              </w:rPr>
            </w:pPr>
          </w:p>
        </w:tc>
        <w:tc>
          <w:tcPr>
            <w:tcW w:w="894" w:type="pct"/>
            <w:shd w:val="clear" w:color="auto" w:fill="auto"/>
          </w:tcPr>
          <w:p w14:paraId="22DAC22D" w14:textId="77777777" w:rsidR="00FF6101" w:rsidRPr="00B0658A" w:rsidRDefault="00FF6101" w:rsidP="00004A41">
            <w:pPr>
              <w:spacing w:after="0" w:line="240" w:lineRule="auto"/>
              <w:jc w:val="both"/>
              <w:rPr>
                <w:rFonts w:ascii="Times New Roman" w:hAnsi="Times New Roman"/>
                <w:i/>
                <w:iCs/>
                <w:sz w:val="20"/>
                <w:szCs w:val="20"/>
              </w:rPr>
            </w:pPr>
          </w:p>
        </w:tc>
      </w:tr>
      <w:tr w:rsidR="00F52FED" w:rsidRPr="00B0658A" w14:paraId="59BFD598" w14:textId="77777777" w:rsidTr="00FF6101">
        <w:trPr>
          <w:trHeight w:val="170"/>
        </w:trPr>
        <w:tc>
          <w:tcPr>
            <w:tcW w:w="203" w:type="pct"/>
            <w:shd w:val="clear" w:color="auto" w:fill="auto"/>
          </w:tcPr>
          <w:p w14:paraId="74CA639C" w14:textId="77777777" w:rsidR="00FF6101" w:rsidRPr="00B0658A" w:rsidRDefault="00FF6101" w:rsidP="00004A41">
            <w:pPr>
              <w:spacing w:after="0" w:line="240" w:lineRule="auto"/>
              <w:rPr>
                <w:rFonts w:ascii="Times New Roman" w:hAnsi="Times New Roman"/>
                <w:sz w:val="20"/>
                <w:szCs w:val="20"/>
              </w:rPr>
            </w:pPr>
            <w:r w:rsidRPr="00B0658A">
              <w:rPr>
                <w:rFonts w:ascii="Times New Roman" w:hAnsi="Times New Roman"/>
                <w:sz w:val="20"/>
                <w:szCs w:val="20"/>
              </w:rPr>
              <w:t>8.1</w:t>
            </w:r>
          </w:p>
        </w:tc>
        <w:tc>
          <w:tcPr>
            <w:tcW w:w="1153" w:type="pct"/>
            <w:shd w:val="clear" w:color="auto" w:fill="auto"/>
            <w:vAlign w:val="center"/>
          </w:tcPr>
          <w:p w14:paraId="135C4B97" w14:textId="77777777" w:rsidR="00FF6101" w:rsidRPr="00B0658A" w:rsidRDefault="00FF6101" w:rsidP="00004A41">
            <w:pPr>
              <w:spacing w:after="0" w:line="240" w:lineRule="auto"/>
              <w:rPr>
                <w:rFonts w:ascii="Times New Roman" w:hAnsi="Times New Roman"/>
                <w:sz w:val="20"/>
                <w:szCs w:val="20"/>
              </w:rPr>
            </w:pPr>
            <w:r w:rsidRPr="00B0658A">
              <w:rPr>
                <w:rFonts w:ascii="Times New Roman" w:hAnsi="Times New Roman"/>
                <w:sz w:val="20"/>
                <w:szCs w:val="20"/>
              </w:rPr>
              <w:t xml:space="preserve">Промышленное программное обеспечение/ Средства управления жизненным циклом изделия (PLM) </w:t>
            </w:r>
          </w:p>
        </w:tc>
        <w:tc>
          <w:tcPr>
            <w:tcW w:w="624" w:type="pct"/>
          </w:tcPr>
          <w:p w14:paraId="56CC9355" w14:textId="77777777" w:rsidR="00FF6101" w:rsidRPr="00B0658A" w:rsidRDefault="00FF6101" w:rsidP="00004A41">
            <w:pPr>
              <w:spacing w:after="0" w:line="240" w:lineRule="auto"/>
              <w:rPr>
                <w:rFonts w:ascii="Times New Roman" w:hAnsi="Times New Roman"/>
                <w:i/>
                <w:iCs/>
                <w:sz w:val="20"/>
                <w:szCs w:val="20"/>
              </w:rPr>
            </w:pPr>
          </w:p>
        </w:tc>
        <w:tc>
          <w:tcPr>
            <w:tcW w:w="1090" w:type="pct"/>
            <w:shd w:val="clear" w:color="auto" w:fill="auto"/>
          </w:tcPr>
          <w:p w14:paraId="013CF58E" w14:textId="77777777" w:rsidR="00FF6101" w:rsidRPr="00B0658A" w:rsidRDefault="00FF6101" w:rsidP="00004A41">
            <w:pPr>
              <w:spacing w:after="0" w:line="240" w:lineRule="auto"/>
              <w:rPr>
                <w:rFonts w:ascii="Times New Roman" w:hAnsi="Times New Roman"/>
                <w:i/>
                <w:iCs/>
                <w:sz w:val="20"/>
                <w:szCs w:val="20"/>
              </w:rPr>
            </w:pPr>
          </w:p>
        </w:tc>
        <w:tc>
          <w:tcPr>
            <w:tcW w:w="1036" w:type="pct"/>
            <w:shd w:val="clear" w:color="auto" w:fill="auto"/>
          </w:tcPr>
          <w:p w14:paraId="1AA4FB9D" w14:textId="77777777" w:rsidR="00FF6101" w:rsidRPr="00B0658A" w:rsidRDefault="00FF6101" w:rsidP="00004A41">
            <w:pPr>
              <w:spacing w:after="0" w:line="240" w:lineRule="auto"/>
              <w:rPr>
                <w:rFonts w:ascii="Times New Roman" w:hAnsi="Times New Roman"/>
                <w:i/>
                <w:iCs/>
                <w:sz w:val="20"/>
                <w:szCs w:val="20"/>
              </w:rPr>
            </w:pPr>
          </w:p>
        </w:tc>
        <w:tc>
          <w:tcPr>
            <w:tcW w:w="894" w:type="pct"/>
            <w:shd w:val="clear" w:color="auto" w:fill="auto"/>
          </w:tcPr>
          <w:p w14:paraId="46558443" w14:textId="77777777" w:rsidR="00FF6101" w:rsidRPr="00B0658A" w:rsidRDefault="00FF6101" w:rsidP="00004A41">
            <w:pPr>
              <w:spacing w:after="0" w:line="240" w:lineRule="auto"/>
              <w:jc w:val="both"/>
              <w:rPr>
                <w:rFonts w:ascii="Times New Roman" w:hAnsi="Times New Roman"/>
                <w:i/>
                <w:iCs/>
                <w:sz w:val="20"/>
                <w:szCs w:val="20"/>
              </w:rPr>
            </w:pPr>
          </w:p>
        </w:tc>
      </w:tr>
      <w:tr w:rsidR="00F52FED" w:rsidRPr="00B0658A" w14:paraId="3F50AD69" w14:textId="77777777" w:rsidTr="00FF6101">
        <w:trPr>
          <w:trHeight w:val="170"/>
        </w:trPr>
        <w:tc>
          <w:tcPr>
            <w:tcW w:w="203" w:type="pct"/>
            <w:shd w:val="clear" w:color="auto" w:fill="auto"/>
          </w:tcPr>
          <w:p w14:paraId="2F7202E2" w14:textId="77777777" w:rsidR="00FF6101" w:rsidRPr="00B0658A" w:rsidRDefault="00FF6101" w:rsidP="00004A41">
            <w:pPr>
              <w:spacing w:after="0" w:line="240" w:lineRule="auto"/>
              <w:rPr>
                <w:rFonts w:ascii="Times New Roman" w:hAnsi="Times New Roman"/>
                <w:sz w:val="20"/>
                <w:szCs w:val="20"/>
              </w:rPr>
            </w:pPr>
            <w:r w:rsidRPr="00B0658A">
              <w:rPr>
                <w:rFonts w:ascii="Times New Roman" w:hAnsi="Times New Roman"/>
                <w:sz w:val="20"/>
                <w:szCs w:val="20"/>
              </w:rPr>
              <w:t>8.2</w:t>
            </w:r>
          </w:p>
        </w:tc>
        <w:tc>
          <w:tcPr>
            <w:tcW w:w="1153" w:type="pct"/>
            <w:shd w:val="clear" w:color="auto" w:fill="auto"/>
            <w:vAlign w:val="center"/>
          </w:tcPr>
          <w:p w14:paraId="43E569B3" w14:textId="77777777" w:rsidR="00FF6101" w:rsidRPr="00B0658A" w:rsidRDefault="00FF6101" w:rsidP="00004A41">
            <w:pPr>
              <w:spacing w:after="0" w:line="240" w:lineRule="auto"/>
              <w:rPr>
                <w:rFonts w:ascii="Times New Roman" w:hAnsi="Times New Roman"/>
                <w:sz w:val="20"/>
                <w:szCs w:val="20"/>
              </w:rPr>
            </w:pPr>
            <w:r w:rsidRPr="00B0658A">
              <w:rPr>
                <w:rFonts w:ascii="Times New Roman" w:hAnsi="Times New Roman"/>
                <w:sz w:val="20"/>
                <w:szCs w:val="20"/>
              </w:rPr>
              <w:t xml:space="preserve">Промышленное программное обеспечение/ Универсальные </w:t>
            </w:r>
            <w:r w:rsidRPr="00B0658A">
              <w:rPr>
                <w:rFonts w:ascii="Times New Roman" w:hAnsi="Times New Roman"/>
                <w:sz w:val="20"/>
                <w:szCs w:val="20"/>
              </w:rPr>
              <w:lastRenderedPageBreak/>
              <w:t>машиностроительные средства автоматизированного проектирования (MCAD)</w:t>
            </w:r>
          </w:p>
        </w:tc>
        <w:tc>
          <w:tcPr>
            <w:tcW w:w="624" w:type="pct"/>
          </w:tcPr>
          <w:p w14:paraId="5314CA73" w14:textId="77777777" w:rsidR="00FF6101" w:rsidRPr="00B0658A" w:rsidRDefault="00FF6101" w:rsidP="00004A41">
            <w:pPr>
              <w:spacing w:after="0" w:line="240" w:lineRule="auto"/>
              <w:rPr>
                <w:rFonts w:ascii="Times New Roman" w:hAnsi="Times New Roman"/>
                <w:i/>
                <w:iCs/>
                <w:sz w:val="20"/>
                <w:szCs w:val="20"/>
              </w:rPr>
            </w:pPr>
          </w:p>
        </w:tc>
        <w:tc>
          <w:tcPr>
            <w:tcW w:w="1090" w:type="pct"/>
            <w:shd w:val="clear" w:color="auto" w:fill="auto"/>
          </w:tcPr>
          <w:p w14:paraId="5FA7701F" w14:textId="77777777" w:rsidR="00FF6101" w:rsidRPr="00B0658A" w:rsidRDefault="00FF6101" w:rsidP="00004A41">
            <w:pPr>
              <w:spacing w:after="0" w:line="240" w:lineRule="auto"/>
              <w:rPr>
                <w:rFonts w:ascii="Times New Roman" w:hAnsi="Times New Roman"/>
                <w:i/>
                <w:iCs/>
                <w:sz w:val="20"/>
                <w:szCs w:val="20"/>
              </w:rPr>
            </w:pPr>
          </w:p>
        </w:tc>
        <w:tc>
          <w:tcPr>
            <w:tcW w:w="1036" w:type="pct"/>
            <w:shd w:val="clear" w:color="auto" w:fill="auto"/>
          </w:tcPr>
          <w:p w14:paraId="35854701" w14:textId="77777777" w:rsidR="00FF6101" w:rsidRPr="00B0658A" w:rsidRDefault="00FF6101" w:rsidP="00004A41">
            <w:pPr>
              <w:spacing w:after="0" w:line="240" w:lineRule="auto"/>
              <w:rPr>
                <w:rFonts w:ascii="Times New Roman" w:hAnsi="Times New Roman"/>
                <w:i/>
                <w:iCs/>
                <w:sz w:val="20"/>
                <w:szCs w:val="20"/>
              </w:rPr>
            </w:pPr>
          </w:p>
        </w:tc>
        <w:tc>
          <w:tcPr>
            <w:tcW w:w="894" w:type="pct"/>
            <w:shd w:val="clear" w:color="auto" w:fill="auto"/>
          </w:tcPr>
          <w:p w14:paraId="5501C0DC" w14:textId="77777777" w:rsidR="00FF6101" w:rsidRPr="00B0658A" w:rsidRDefault="00FF6101" w:rsidP="00004A41">
            <w:pPr>
              <w:spacing w:after="0" w:line="240" w:lineRule="auto"/>
              <w:jc w:val="both"/>
              <w:rPr>
                <w:rFonts w:ascii="Times New Roman" w:hAnsi="Times New Roman"/>
                <w:i/>
                <w:iCs/>
                <w:sz w:val="20"/>
                <w:szCs w:val="20"/>
              </w:rPr>
            </w:pPr>
          </w:p>
        </w:tc>
      </w:tr>
      <w:tr w:rsidR="00F52FED" w:rsidRPr="00B0658A" w14:paraId="369F9007" w14:textId="77777777" w:rsidTr="00FF6101">
        <w:trPr>
          <w:trHeight w:val="170"/>
        </w:trPr>
        <w:tc>
          <w:tcPr>
            <w:tcW w:w="203" w:type="pct"/>
            <w:shd w:val="clear" w:color="auto" w:fill="auto"/>
          </w:tcPr>
          <w:p w14:paraId="151967CB" w14:textId="77777777" w:rsidR="00FF6101" w:rsidRPr="00B0658A" w:rsidRDefault="00FF6101" w:rsidP="00004A41">
            <w:pPr>
              <w:spacing w:after="0" w:line="240" w:lineRule="auto"/>
              <w:rPr>
                <w:rFonts w:ascii="Times New Roman" w:hAnsi="Times New Roman"/>
                <w:sz w:val="20"/>
                <w:szCs w:val="20"/>
              </w:rPr>
            </w:pPr>
            <w:r w:rsidRPr="00B0658A">
              <w:rPr>
                <w:rFonts w:ascii="Times New Roman" w:hAnsi="Times New Roman"/>
                <w:sz w:val="20"/>
                <w:szCs w:val="20"/>
              </w:rPr>
              <w:t>8.3</w:t>
            </w:r>
          </w:p>
        </w:tc>
        <w:tc>
          <w:tcPr>
            <w:tcW w:w="1153" w:type="pct"/>
            <w:shd w:val="clear" w:color="auto" w:fill="auto"/>
            <w:vAlign w:val="center"/>
          </w:tcPr>
          <w:p w14:paraId="0AAF97A3" w14:textId="77777777" w:rsidR="00FF6101" w:rsidRPr="00B0658A" w:rsidRDefault="00FF6101" w:rsidP="00004A41">
            <w:pPr>
              <w:spacing w:after="0" w:line="240" w:lineRule="auto"/>
              <w:rPr>
                <w:rFonts w:ascii="Times New Roman" w:hAnsi="Times New Roman"/>
                <w:sz w:val="20"/>
                <w:szCs w:val="20"/>
              </w:rPr>
            </w:pPr>
            <w:r w:rsidRPr="00B0658A">
              <w:rPr>
                <w:rFonts w:ascii="Times New Roman" w:hAnsi="Times New Roman"/>
                <w:sz w:val="20"/>
                <w:szCs w:val="20"/>
              </w:rPr>
              <w:t>Промышленное программное обеспечение/ Средства автоматизированного проектирования (CAD)</w:t>
            </w:r>
          </w:p>
        </w:tc>
        <w:tc>
          <w:tcPr>
            <w:tcW w:w="624" w:type="pct"/>
          </w:tcPr>
          <w:p w14:paraId="0D59073C" w14:textId="77777777" w:rsidR="00FF6101" w:rsidRPr="00B0658A" w:rsidRDefault="00FF6101" w:rsidP="00004A41">
            <w:pPr>
              <w:spacing w:after="0" w:line="240" w:lineRule="auto"/>
              <w:rPr>
                <w:rFonts w:ascii="Times New Roman" w:hAnsi="Times New Roman"/>
                <w:i/>
                <w:iCs/>
                <w:sz w:val="20"/>
                <w:szCs w:val="20"/>
              </w:rPr>
            </w:pPr>
          </w:p>
        </w:tc>
        <w:tc>
          <w:tcPr>
            <w:tcW w:w="1090" w:type="pct"/>
            <w:shd w:val="clear" w:color="auto" w:fill="auto"/>
          </w:tcPr>
          <w:p w14:paraId="2B77330F" w14:textId="77777777" w:rsidR="00FF6101" w:rsidRPr="00B0658A" w:rsidRDefault="00FF6101" w:rsidP="00004A41">
            <w:pPr>
              <w:spacing w:after="0" w:line="240" w:lineRule="auto"/>
              <w:rPr>
                <w:rFonts w:ascii="Times New Roman" w:hAnsi="Times New Roman"/>
                <w:i/>
                <w:iCs/>
                <w:sz w:val="20"/>
                <w:szCs w:val="20"/>
              </w:rPr>
            </w:pPr>
          </w:p>
        </w:tc>
        <w:tc>
          <w:tcPr>
            <w:tcW w:w="1036" w:type="pct"/>
            <w:shd w:val="clear" w:color="auto" w:fill="auto"/>
          </w:tcPr>
          <w:p w14:paraId="16EE8B03" w14:textId="77777777" w:rsidR="00FF6101" w:rsidRPr="00B0658A" w:rsidRDefault="00FF6101" w:rsidP="00004A41">
            <w:pPr>
              <w:spacing w:after="0" w:line="240" w:lineRule="auto"/>
              <w:rPr>
                <w:rFonts w:ascii="Times New Roman" w:hAnsi="Times New Roman"/>
                <w:i/>
                <w:iCs/>
                <w:sz w:val="20"/>
                <w:szCs w:val="20"/>
              </w:rPr>
            </w:pPr>
          </w:p>
        </w:tc>
        <w:tc>
          <w:tcPr>
            <w:tcW w:w="894" w:type="pct"/>
            <w:shd w:val="clear" w:color="auto" w:fill="auto"/>
          </w:tcPr>
          <w:p w14:paraId="5857AD48" w14:textId="77777777" w:rsidR="00FF6101" w:rsidRPr="00B0658A" w:rsidRDefault="00FF6101" w:rsidP="00004A41">
            <w:pPr>
              <w:spacing w:after="0" w:line="240" w:lineRule="auto"/>
              <w:jc w:val="both"/>
              <w:rPr>
                <w:rFonts w:ascii="Times New Roman" w:hAnsi="Times New Roman"/>
                <w:i/>
                <w:iCs/>
                <w:sz w:val="20"/>
                <w:szCs w:val="20"/>
              </w:rPr>
            </w:pPr>
          </w:p>
        </w:tc>
      </w:tr>
      <w:tr w:rsidR="00F52FED" w:rsidRPr="00B0658A" w14:paraId="5CA5B1CA" w14:textId="77777777" w:rsidTr="00FF6101">
        <w:trPr>
          <w:trHeight w:val="170"/>
        </w:trPr>
        <w:tc>
          <w:tcPr>
            <w:tcW w:w="203" w:type="pct"/>
            <w:shd w:val="clear" w:color="auto" w:fill="auto"/>
          </w:tcPr>
          <w:p w14:paraId="22653376" w14:textId="77777777" w:rsidR="00FF6101" w:rsidRPr="00B0658A" w:rsidRDefault="00FF6101" w:rsidP="00004A41">
            <w:pPr>
              <w:spacing w:after="0" w:line="240" w:lineRule="auto"/>
              <w:rPr>
                <w:rFonts w:ascii="Times New Roman" w:hAnsi="Times New Roman"/>
                <w:sz w:val="20"/>
                <w:szCs w:val="20"/>
              </w:rPr>
            </w:pPr>
            <w:r w:rsidRPr="00B0658A">
              <w:rPr>
                <w:rFonts w:ascii="Times New Roman" w:hAnsi="Times New Roman"/>
                <w:sz w:val="20"/>
                <w:szCs w:val="20"/>
              </w:rPr>
              <w:t>8.4</w:t>
            </w:r>
          </w:p>
        </w:tc>
        <w:tc>
          <w:tcPr>
            <w:tcW w:w="1153" w:type="pct"/>
            <w:shd w:val="clear" w:color="auto" w:fill="auto"/>
            <w:vAlign w:val="center"/>
          </w:tcPr>
          <w:p w14:paraId="1F740452" w14:textId="77777777" w:rsidR="00FF6101" w:rsidRPr="00B0658A" w:rsidRDefault="00FF6101" w:rsidP="00004A41">
            <w:pPr>
              <w:spacing w:after="0" w:line="240" w:lineRule="auto"/>
              <w:rPr>
                <w:rFonts w:ascii="Times New Roman" w:hAnsi="Times New Roman"/>
                <w:sz w:val="20"/>
                <w:szCs w:val="20"/>
              </w:rPr>
            </w:pPr>
            <w:r w:rsidRPr="00B0658A">
              <w:rPr>
                <w:rFonts w:ascii="Times New Roman" w:hAnsi="Times New Roman"/>
                <w:sz w:val="20"/>
                <w:szCs w:val="20"/>
              </w:rPr>
              <w:t xml:space="preserve">Промышленное программное обеспечение/ Средства автоматизированного проектирования для радиоэлектроники </w:t>
            </w:r>
            <w:r w:rsidRPr="00B0658A">
              <w:rPr>
                <w:rFonts w:ascii="Times New Roman" w:hAnsi="Times New Roman"/>
                <w:sz w:val="20"/>
                <w:szCs w:val="20"/>
              </w:rPr>
              <w:br/>
              <w:t>и электротехники (ECAD, EDA)</w:t>
            </w:r>
          </w:p>
        </w:tc>
        <w:tc>
          <w:tcPr>
            <w:tcW w:w="624" w:type="pct"/>
          </w:tcPr>
          <w:p w14:paraId="40D67815" w14:textId="77777777" w:rsidR="00FF6101" w:rsidRPr="00B0658A" w:rsidRDefault="00FF6101" w:rsidP="00004A41">
            <w:pPr>
              <w:spacing w:after="0" w:line="240" w:lineRule="auto"/>
              <w:rPr>
                <w:rFonts w:ascii="Times New Roman" w:hAnsi="Times New Roman"/>
                <w:i/>
                <w:iCs/>
                <w:sz w:val="20"/>
                <w:szCs w:val="20"/>
              </w:rPr>
            </w:pPr>
          </w:p>
        </w:tc>
        <w:tc>
          <w:tcPr>
            <w:tcW w:w="1090" w:type="pct"/>
            <w:shd w:val="clear" w:color="auto" w:fill="auto"/>
          </w:tcPr>
          <w:p w14:paraId="7EC9A39A" w14:textId="77777777" w:rsidR="00FF6101" w:rsidRPr="00B0658A" w:rsidRDefault="00FF6101" w:rsidP="00004A41">
            <w:pPr>
              <w:spacing w:after="0" w:line="240" w:lineRule="auto"/>
              <w:rPr>
                <w:rFonts w:ascii="Times New Roman" w:hAnsi="Times New Roman"/>
                <w:i/>
                <w:iCs/>
                <w:sz w:val="20"/>
                <w:szCs w:val="20"/>
              </w:rPr>
            </w:pPr>
          </w:p>
        </w:tc>
        <w:tc>
          <w:tcPr>
            <w:tcW w:w="1036" w:type="pct"/>
            <w:shd w:val="clear" w:color="auto" w:fill="auto"/>
          </w:tcPr>
          <w:p w14:paraId="18965351" w14:textId="77777777" w:rsidR="00FF6101" w:rsidRPr="00B0658A" w:rsidRDefault="00FF6101" w:rsidP="00004A41">
            <w:pPr>
              <w:spacing w:after="0" w:line="240" w:lineRule="auto"/>
              <w:rPr>
                <w:rFonts w:ascii="Times New Roman" w:hAnsi="Times New Roman"/>
                <w:i/>
                <w:iCs/>
                <w:sz w:val="20"/>
                <w:szCs w:val="20"/>
              </w:rPr>
            </w:pPr>
          </w:p>
        </w:tc>
        <w:tc>
          <w:tcPr>
            <w:tcW w:w="894" w:type="pct"/>
            <w:shd w:val="clear" w:color="auto" w:fill="auto"/>
          </w:tcPr>
          <w:p w14:paraId="5A071461" w14:textId="77777777" w:rsidR="00FF6101" w:rsidRPr="00B0658A" w:rsidRDefault="00FF6101" w:rsidP="00004A41">
            <w:pPr>
              <w:spacing w:after="0" w:line="240" w:lineRule="auto"/>
              <w:jc w:val="both"/>
              <w:rPr>
                <w:rFonts w:ascii="Times New Roman" w:hAnsi="Times New Roman"/>
                <w:i/>
                <w:iCs/>
                <w:sz w:val="20"/>
                <w:szCs w:val="20"/>
              </w:rPr>
            </w:pPr>
          </w:p>
        </w:tc>
      </w:tr>
      <w:tr w:rsidR="00F52FED" w:rsidRPr="00B0658A" w14:paraId="3DD7A60D" w14:textId="77777777" w:rsidTr="00FF6101">
        <w:trPr>
          <w:trHeight w:val="170"/>
        </w:trPr>
        <w:tc>
          <w:tcPr>
            <w:tcW w:w="203" w:type="pct"/>
            <w:shd w:val="clear" w:color="auto" w:fill="auto"/>
          </w:tcPr>
          <w:p w14:paraId="5BA28971" w14:textId="77777777" w:rsidR="00FF6101" w:rsidRPr="00B0658A" w:rsidRDefault="00FF6101" w:rsidP="00004A41">
            <w:pPr>
              <w:spacing w:after="0" w:line="240" w:lineRule="auto"/>
              <w:rPr>
                <w:rFonts w:ascii="Times New Roman" w:hAnsi="Times New Roman"/>
                <w:sz w:val="20"/>
                <w:szCs w:val="20"/>
              </w:rPr>
            </w:pPr>
            <w:r w:rsidRPr="00B0658A">
              <w:rPr>
                <w:rFonts w:ascii="Times New Roman" w:hAnsi="Times New Roman"/>
                <w:sz w:val="20"/>
                <w:szCs w:val="20"/>
              </w:rPr>
              <w:t>8.5</w:t>
            </w:r>
          </w:p>
        </w:tc>
        <w:tc>
          <w:tcPr>
            <w:tcW w:w="1153" w:type="pct"/>
            <w:shd w:val="clear" w:color="auto" w:fill="auto"/>
            <w:vAlign w:val="center"/>
          </w:tcPr>
          <w:p w14:paraId="057FA5F2" w14:textId="77777777" w:rsidR="00FF6101" w:rsidRPr="00B0658A" w:rsidRDefault="00FF6101" w:rsidP="00004A41">
            <w:pPr>
              <w:spacing w:after="0" w:line="240" w:lineRule="auto"/>
              <w:rPr>
                <w:rFonts w:ascii="Times New Roman" w:hAnsi="Times New Roman"/>
                <w:sz w:val="20"/>
                <w:szCs w:val="20"/>
              </w:rPr>
            </w:pPr>
            <w:r w:rsidRPr="00B0658A">
              <w:rPr>
                <w:rFonts w:ascii="Times New Roman" w:hAnsi="Times New Roman"/>
                <w:sz w:val="20"/>
                <w:szCs w:val="20"/>
              </w:rPr>
              <w:t>Промышленное программное обеспечение/ Средства инженерного анализа (CAE)</w:t>
            </w:r>
          </w:p>
        </w:tc>
        <w:tc>
          <w:tcPr>
            <w:tcW w:w="624" w:type="pct"/>
          </w:tcPr>
          <w:p w14:paraId="0D0DEBFD" w14:textId="77777777" w:rsidR="00FF6101" w:rsidRPr="00B0658A" w:rsidRDefault="00FF6101" w:rsidP="00004A41">
            <w:pPr>
              <w:spacing w:after="0" w:line="240" w:lineRule="auto"/>
              <w:rPr>
                <w:rFonts w:ascii="Times New Roman" w:hAnsi="Times New Roman"/>
                <w:i/>
                <w:iCs/>
                <w:sz w:val="20"/>
                <w:szCs w:val="20"/>
              </w:rPr>
            </w:pPr>
          </w:p>
        </w:tc>
        <w:tc>
          <w:tcPr>
            <w:tcW w:w="1090" w:type="pct"/>
            <w:shd w:val="clear" w:color="auto" w:fill="auto"/>
          </w:tcPr>
          <w:p w14:paraId="6A230FCA" w14:textId="77777777" w:rsidR="00FF6101" w:rsidRPr="00B0658A" w:rsidRDefault="00FF6101" w:rsidP="00004A41">
            <w:pPr>
              <w:spacing w:after="0" w:line="240" w:lineRule="auto"/>
              <w:rPr>
                <w:rFonts w:ascii="Times New Roman" w:hAnsi="Times New Roman"/>
                <w:i/>
                <w:iCs/>
                <w:sz w:val="20"/>
                <w:szCs w:val="20"/>
              </w:rPr>
            </w:pPr>
          </w:p>
        </w:tc>
        <w:tc>
          <w:tcPr>
            <w:tcW w:w="1036" w:type="pct"/>
            <w:shd w:val="clear" w:color="auto" w:fill="auto"/>
          </w:tcPr>
          <w:p w14:paraId="5E21B224" w14:textId="77777777" w:rsidR="00FF6101" w:rsidRPr="00B0658A" w:rsidRDefault="00FF6101" w:rsidP="00004A41">
            <w:pPr>
              <w:spacing w:after="0" w:line="240" w:lineRule="auto"/>
              <w:rPr>
                <w:rFonts w:ascii="Times New Roman" w:hAnsi="Times New Roman"/>
                <w:i/>
                <w:iCs/>
                <w:sz w:val="20"/>
                <w:szCs w:val="20"/>
              </w:rPr>
            </w:pPr>
          </w:p>
        </w:tc>
        <w:tc>
          <w:tcPr>
            <w:tcW w:w="894" w:type="pct"/>
            <w:shd w:val="clear" w:color="auto" w:fill="auto"/>
          </w:tcPr>
          <w:p w14:paraId="4DBBEF49" w14:textId="77777777" w:rsidR="00FF6101" w:rsidRPr="00B0658A" w:rsidRDefault="00FF6101" w:rsidP="00004A41">
            <w:pPr>
              <w:spacing w:after="0" w:line="240" w:lineRule="auto"/>
              <w:jc w:val="both"/>
              <w:rPr>
                <w:rFonts w:ascii="Times New Roman" w:hAnsi="Times New Roman"/>
                <w:i/>
                <w:iCs/>
                <w:sz w:val="20"/>
                <w:szCs w:val="20"/>
              </w:rPr>
            </w:pPr>
          </w:p>
        </w:tc>
      </w:tr>
      <w:tr w:rsidR="00F52FED" w:rsidRPr="00B0658A" w14:paraId="51903EEC" w14:textId="77777777" w:rsidTr="00FF6101">
        <w:trPr>
          <w:trHeight w:val="170"/>
        </w:trPr>
        <w:tc>
          <w:tcPr>
            <w:tcW w:w="203" w:type="pct"/>
            <w:shd w:val="clear" w:color="auto" w:fill="auto"/>
          </w:tcPr>
          <w:p w14:paraId="150A1518" w14:textId="77777777" w:rsidR="00FF6101" w:rsidRPr="00B0658A" w:rsidRDefault="00FF6101" w:rsidP="00004A41">
            <w:pPr>
              <w:spacing w:after="0" w:line="240" w:lineRule="auto"/>
              <w:rPr>
                <w:rFonts w:ascii="Times New Roman" w:hAnsi="Times New Roman"/>
                <w:sz w:val="20"/>
                <w:szCs w:val="20"/>
              </w:rPr>
            </w:pPr>
            <w:r w:rsidRPr="00B0658A">
              <w:rPr>
                <w:rFonts w:ascii="Times New Roman" w:hAnsi="Times New Roman"/>
                <w:sz w:val="20"/>
                <w:szCs w:val="20"/>
              </w:rPr>
              <w:t>8.6</w:t>
            </w:r>
          </w:p>
        </w:tc>
        <w:tc>
          <w:tcPr>
            <w:tcW w:w="1153" w:type="pct"/>
            <w:shd w:val="clear" w:color="auto" w:fill="auto"/>
            <w:vAlign w:val="center"/>
          </w:tcPr>
          <w:p w14:paraId="3ED8016D" w14:textId="77777777" w:rsidR="00FF6101" w:rsidRPr="00B0658A" w:rsidRDefault="00FF6101" w:rsidP="00004A41">
            <w:pPr>
              <w:spacing w:after="0" w:line="240" w:lineRule="auto"/>
              <w:rPr>
                <w:rFonts w:ascii="Times New Roman" w:hAnsi="Times New Roman"/>
                <w:sz w:val="20"/>
                <w:szCs w:val="20"/>
              </w:rPr>
            </w:pPr>
            <w:r w:rsidRPr="00B0658A">
              <w:rPr>
                <w:rFonts w:ascii="Times New Roman" w:hAnsi="Times New Roman"/>
                <w:sz w:val="20"/>
                <w:szCs w:val="20"/>
              </w:rPr>
              <w:t>Промышленное программное обеспечение/ Средства управления оборудованием с числовым программным управлением (CAM)</w:t>
            </w:r>
          </w:p>
        </w:tc>
        <w:tc>
          <w:tcPr>
            <w:tcW w:w="624" w:type="pct"/>
          </w:tcPr>
          <w:p w14:paraId="7FBB85EA" w14:textId="77777777" w:rsidR="00FF6101" w:rsidRPr="00B0658A" w:rsidRDefault="00FF6101" w:rsidP="00004A41">
            <w:pPr>
              <w:spacing w:after="0" w:line="240" w:lineRule="auto"/>
              <w:rPr>
                <w:rFonts w:ascii="Times New Roman" w:hAnsi="Times New Roman"/>
                <w:i/>
                <w:iCs/>
                <w:sz w:val="20"/>
                <w:szCs w:val="20"/>
              </w:rPr>
            </w:pPr>
          </w:p>
        </w:tc>
        <w:tc>
          <w:tcPr>
            <w:tcW w:w="1090" w:type="pct"/>
            <w:shd w:val="clear" w:color="auto" w:fill="auto"/>
          </w:tcPr>
          <w:p w14:paraId="580D619C" w14:textId="77777777" w:rsidR="00FF6101" w:rsidRPr="00B0658A" w:rsidRDefault="00FF6101" w:rsidP="00004A41">
            <w:pPr>
              <w:spacing w:after="0" w:line="240" w:lineRule="auto"/>
              <w:rPr>
                <w:rFonts w:ascii="Times New Roman" w:hAnsi="Times New Roman"/>
                <w:i/>
                <w:iCs/>
                <w:sz w:val="20"/>
                <w:szCs w:val="20"/>
              </w:rPr>
            </w:pPr>
          </w:p>
        </w:tc>
        <w:tc>
          <w:tcPr>
            <w:tcW w:w="1036" w:type="pct"/>
            <w:shd w:val="clear" w:color="auto" w:fill="auto"/>
          </w:tcPr>
          <w:p w14:paraId="14668467" w14:textId="77777777" w:rsidR="00FF6101" w:rsidRPr="00B0658A" w:rsidRDefault="00FF6101" w:rsidP="00004A41">
            <w:pPr>
              <w:spacing w:after="0" w:line="240" w:lineRule="auto"/>
              <w:rPr>
                <w:rFonts w:ascii="Times New Roman" w:hAnsi="Times New Roman"/>
                <w:i/>
                <w:iCs/>
                <w:sz w:val="20"/>
                <w:szCs w:val="20"/>
              </w:rPr>
            </w:pPr>
          </w:p>
        </w:tc>
        <w:tc>
          <w:tcPr>
            <w:tcW w:w="894" w:type="pct"/>
            <w:shd w:val="clear" w:color="auto" w:fill="auto"/>
          </w:tcPr>
          <w:p w14:paraId="3BF21805" w14:textId="77777777" w:rsidR="00FF6101" w:rsidRPr="00B0658A" w:rsidRDefault="00FF6101" w:rsidP="00004A41">
            <w:pPr>
              <w:spacing w:after="0" w:line="240" w:lineRule="auto"/>
              <w:jc w:val="both"/>
              <w:rPr>
                <w:rFonts w:ascii="Times New Roman" w:hAnsi="Times New Roman"/>
                <w:i/>
                <w:iCs/>
                <w:sz w:val="20"/>
                <w:szCs w:val="20"/>
              </w:rPr>
            </w:pPr>
          </w:p>
        </w:tc>
      </w:tr>
      <w:tr w:rsidR="00F52FED" w:rsidRPr="00B0658A" w14:paraId="094379D2" w14:textId="77777777" w:rsidTr="00FF6101">
        <w:trPr>
          <w:trHeight w:val="170"/>
        </w:trPr>
        <w:tc>
          <w:tcPr>
            <w:tcW w:w="203" w:type="pct"/>
            <w:shd w:val="clear" w:color="auto" w:fill="auto"/>
          </w:tcPr>
          <w:p w14:paraId="25CACC09" w14:textId="77777777" w:rsidR="00FF6101" w:rsidRPr="00B0658A" w:rsidRDefault="00FF6101" w:rsidP="00004A41">
            <w:pPr>
              <w:spacing w:after="0" w:line="240" w:lineRule="auto"/>
              <w:rPr>
                <w:rFonts w:ascii="Times New Roman" w:hAnsi="Times New Roman"/>
                <w:sz w:val="20"/>
                <w:szCs w:val="20"/>
              </w:rPr>
            </w:pPr>
            <w:r w:rsidRPr="00B0658A">
              <w:rPr>
                <w:rFonts w:ascii="Times New Roman" w:hAnsi="Times New Roman"/>
                <w:sz w:val="20"/>
                <w:szCs w:val="20"/>
              </w:rPr>
              <w:t>8.7</w:t>
            </w:r>
          </w:p>
        </w:tc>
        <w:tc>
          <w:tcPr>
            <w:tcW w:w="1153" w:type="pct"/>
            <w:shd w:val="clear" w:color="auto" w:fill="auto"/>
            <w:vAlign w:val="center"/>
          </w:tcPr>
          <w:p w14:paraId="7002491D" w14:textId="77777777" w:rsidR="00FF6101" w:rsidRPr="00B0658A" w:rsidRDefault="00FF6101" w:rsidP="00004A41">
            <w:pPr>
              <w:spacing w:after="0" w:line="240" w:lineRule="auto"/>
              <w:rPr>
                <w:rFonts w:ascii="Times New Roman" w:hAnsi="Times New Roman"/>
                <w:sz w:val="20"/>
                <w:szCs w:val="20"/>
              </w:rPr>
            </w:pPr>
            <w:r w:rsidRPr="00B0658A">
              <w:rPr>
                <w:rFonts w:ascii="Times New Roman" w:hAnsi="Times New Roman"/>
                <w:sz w:val="20"/>
                <w:szCs w:val="20"/>
              </w:rPr>
              <w:t>Промышленное программное обеспечение/ Средства технологической подготовки производства (CAPP)</w:t>
            </w:r>
          </w:p>
        </w:tc>
        <w:tc>
          <w:tcPr>
            <w:tcW w:w="624" w:type="pct"/>
          </w:tcPr>
          <w:p w14:paraId="22BBC131" w14:textId="77777777" w:rsidR="00FF6101" w:rsidRPr="00B0658A" w:rsidRDefault="00FF6101" w:rsidP="00004A41">
            <w:pPr>
              <w:spacing w:after="0" w:line="240" w:lineRule="auto"/>
              <w:rPr>
                <w:rFonts w:ascii="Times New Roman" w:hAnsi="Times New Roman"/>
                <w:i/>
                <w:iCs/>
                <w:sz w:val="20"/>
                <w:szCs w:val="20"/>
              </w:rPr>
            </w:pPr>
          </w:p>
        </w:tc>
        <w:tc>
          <w:tcPr>
            <w:tcW w:w="1090" w:type="pct"/>
            <w:shd w:val="clear" w:color="auto" w:fill="auto"/>
          </w:tcPr>
          <w:p w14:paraId="17EF3EC2" w14:textId="77777777" w:rsidR="00FF6101" w:rsidRPr="00B0658A" w:rsidRDefault="00FF6101" w:rsidP="00004A41">
            <w:pPr>
              <w:spacing w:after="0" w:line="240" w:lineRule="auto"/>
              <w:rPr>
                <w:rFonts w:ascii="Times New Roman" w:hAnsi="Times New Roman"/>
                <w:i/>
                <w:iCs/>
                <w:sz w:val="20"/>
                <w:szCs w:val="20"/>
              </w:rPr>
            </w:pPr>
          </w:p>
        </w:tc>
        <w:tc>
          <w:tcPr>
            <w:tcW w:w="1036" w:type="pct"/>
            <w:shd w:val="clear" w:color="auto" w:fill="auto"/>
          </w:tcPr>
          <w:p w14:paraId="504756AB" w14:textId="77777777" w:rsidR="00FF6101" w:rsidRPr="00B0658A" w:rsidRDefault="00FF6101" w:rsidP="00004A41">
            <w:pPr>
              <w:spacing w:after="0" w:line="240" w:lineRule="auto"/>
              <w:rPr>
                <w:rFonts w:ascii="Times New Roman" w:hAnsi="Times New Roman"/>
                <w:i/>
                <w:iCs/>
                <w:sz w:val="20"/>
                <w:szCs w:val="20"/>
              </w:rPr>
            </w:pPr>
          </w:p>
        </w:tc>
        <w:tc>
          <w:tcPr>
            <w:tcW w:w="894" w:type="pct"/>
            <w:shd w:val="clear" w:color="auto" w:fill="auto"/>
          </w:tcPr>
          <w:p w14:paraId="5BD4AED1" w14:textId="77777777" w:rsidR="00FF6101" w:rsidRPr="00B0658A" w:rsidRDefault="00FF6101" w:rsidP="00004A41">
            <w:pPr>
              <w:spacing w:after="0" w:line="240" w:lineRule="auto"/>
              <w:jc w:val="both"/>
              <w:rPr>
                <w:rFonts w:ascii="Times New Roman" w:hAnsi="Times New Roman"/>
                <w:i/>
                <w:iCs/>
                <w:sz w:val="20"/>
                <w:szCs w:val="20"/>
              </w:rPr>
            </w:pPr>
          </w:p>
        </w:tc>
      </w:tr>
      <w:tr w:rsidR="00F52FED" w:rsidRPr="00B0658A" w14:paraId="598C3189" w14:textId="77777777" w:rsidTr="00FF6101">
        <w:trPr>
          <w:trHeight w:val="170"/>
        </w:trPr>
        <w:tc>
          <w:tcPr>
            <w:tcW w:w="203" w:type="pct"/>
            <w:shd w:val="clear" w:color="auto" w:fill="auto"/>
          </w:tcPr>
          <w:p w14:paraId="7CA5245C" w14:textId="77777777" w:rsidR="00FF6101" w:rsidRPr="00B0658A" w:rsidRDefault="00FF6101" w:rsidP="00004A41">
            <w:pPr>
              <w:spacing w:after="0" w:line="240" w:lineRule="auto"/>
              <w:rPr>
                <w:rFonts w:ascii="Times New Roman" w:hAnsi="Times New Roman"/>
                <w:sz w:val="20"/>
                <w:szCs w:val="20"/>
              </w:rPr>
            </w:pPr>
            <w:r w:rsidRPr="00B0658A">
              <w:rPr>
                <w:rFonts w:ascii="Times New Roman" w:hAnsi="Times New Roman"/>
                <w:sz w:val="20"/>
                <w:szCs w:val="20"/>
              </w:rPr>
              <w:t>8.8</w:t>
            </w:r>
          </w:p>
        </w:tc>
        <w:tc>
          <w:tcPr>
            <w:tcW w:w="1153" w:type="pct"/>
            <w:shd w:val="clear" w:color="auto" w:fill="auto"/>
            <w:vAlign w:val="center"/>
          </w:tcPr>
          <w:p w14:paraId="6670CAAA" w14:textId="77777777" w:rsidR="00FF6101" w:rsidRPr="00B0658A" w:rsidRDefault="00FF6101" w:rsidP="00004A41">
            <w:pPr>
              <w:spacing w:after="0" w:line="240" w:lineRule="auto"/>
              <w:rPr>
                <w:rFonts w:ascii="Times New Roman" w:hAnsi="Times New Roman"/>
                <w:sz w:val="20"/>
                <w:szCs w:val="20"/>
              </w:rPr>
            </w:pPr>
            <w:r w:rsidRPr="00B0658A">
              <w:rPr>
                <w:rFonts w:ascii="Times New Roman" w:hAnsi="Times New Roman"/>
                <w:sz w:val="20"/>
                <w:szCs w:val="20"/>
              </w:rPr>
              <w:t xml:space="preserve">Промышленное программное обеспечение/ Средства управления инженерными данными </w:t>
            </w:r>
            <w:r w:rsidRPr="00B0658A">
              <w:rPr>
                <w:rFonts w:ascii="Times New Roman" w:hAnsi="Times New Roman"/>
                <w:sz w:val="20"/>
                <w:szCs w:val="20"/>
              </w:rPr>
              <w:br/>
              <w:t>об изделии (PDM)</w:t>
            </w:r>
          </w:p>
        </w:tc>
        <w:tc>
          <w:tcPr>
            <w:tcW w:w="624" w:type="pct"/>
          </w:tcPr>
          <w:p w14:paraId="101BD5AB" w14:textId="77777777" w:rsidR="00FF6101" w:rsidRPr="00B0658A" w:rsidRDefault="00FF6101" w:rsidP="00004A41">
            <w:pPr>
              <w:spacing w:after="0" w:line="240" w:lineRule="auto"/>
              <w:rPr>
                <w:rFonts w:ascii="Times New Roman" w:hAnsi="Times New Roman"/>
                <w:i/>
                <w:iCs/>
                <w:sz w:val="20"/>
                <w:szCs w:val="20"/>
              </w:rPr>
            </w:pPr>
          </w:p>
        </w:tc>
        <w:tc>
          <w:tcPr>
            <w:tcW w:w="1090" w:type="pct"/>
            <w:shd w:val="clear" w:color="auto" w:fill="auto"/>
          </w:tcPr>
          <w:p w14:paraId="16E0C8E8" w14:textId="77777777" w:rsidR="00FF6101" w:rsidRPr="00B0658A" w:rsidRDefault="00FF6101" w:rsidP="00004A41">
            <w:pPr>
              <w:spacing w:after="0" w:line="240" w:lineRule="auto"/>
              <w:rPr>
                <w:rFonts w:ascii="Times New Roman" w:hAnsi="Times New Roman"/>
                <w:i/>
                <w:iCs/>
                <w:sz w:val="20"/>
                <w:szCs w:val="20"/>
              </w:rPr>
            </w:pPr>
          </w:p>
        </w:tc>
        <w:tc>
          <w:tcPr>
            <w:tcW w:w="1036" w:type="pct"/>
            <w:shd w:val="clear" w:color="auto" w:fill="auto"/>
          </w:tcPr>
          <w:p w14:paraId="48882035" w14:textId="77777777" w:rsidR="00FF6101" w:rsidRPr="00B0658A" w:rsidRDefault="00FF6101" w:rsidP="00004A41">
            <w:pPr>
              <w:spacing w:after="0" w:line="240" w:lineRule="auto"/>
              <w:rPr>
                <w:rFonts w:ascii="Times New Roman" w:hAnsi="Times New Roman"/>
                <w:i/>
                <w:iCs/>
                <w:sz w:val="20"/>
                <w:szCs w:val="20"/>
              </w:rPr>
            </w:pPr>
          </w:p>
        </w:tc>
        <w:tc>
          <w:tcPr>
            <w:tcW w:w="894" w:type="pct"/>
            <w:shd w:val="clear" w:color="auto" w:fill="auto"/>
          </w:tcPr>
          <w:p w14:paraId="29486660" w14:textId="77777777" w:rsidR="00FF6101" w:rsidRPr="00B0658A" w:rsidRDefault="00FF6101" w:rsidP="00004A41">
            <w:pPr>
              <w:spacing w:after="0" w:line="240" w:lineRule="auto"/>
              <w:jc w:val="both"/>
              <w:rPr>
                <w:rFonts w:ascii="Times New Roman" w:hAnsi="Times New Roman"/>
                <w:i/>
                <w:iCs/>
                <w:sz w:val="20"/>
                <w:szCs w:val="20"/>
              </w:rPr>
            </w:pPr>
          </w:p>
        </w:tc>
      </w:tr>
      <w:tr w:rsidR="00F52FED" w:rsidRPr="00B0658A" w14:paraId="2A0EA8C6" w14:textId="77777777" w:rsidTr="00FF6101">
        <w:trPr>
          <w:trHeight w:val="170"/>
        </w:trPr>
        <w:tc>
          <w:tcPr>
            <w:tcW w:w="203" w:type="pct"/>
            <w:shd w:val="clear" w:color="auto" w:fill="auto"/>
          </w:tcPr>
          <w:p w14:paraId="72554B9A" w14:textId="77777777" w:rsidR="00FF6101" w:rsidRPr="00B0658A" w:rsidRDefault="00FF6101" w:rsidP="00004A41">
            <w:pPr>
              <w:spacing w:after="0" w:line="240" w:lineRule="auto"/>
              <w:rPr>
                <w:rFonts w:ascii="Times New Roman" w:hAnsi="Times New Roman"/>
                <w:sz w:val="20"/>
                <w:szCs w:val="20"/>
              </w:rPr>
            </w:pPr>
            <w:r w:rsidRPr="00B0658A">
              <w:rPr>
                <w:rFonts w:ascii="Times New Roman" w:hAnsi="Times New Roman"/>
                <w:sz w:val="20"/>
                <w:szCs w:val="20"/>
              </w:rPr>
              <w:t>8.9</w:t>
            </w:r>
          </w:p>
        </w:tc>
        <w:tc>
          <w:tcPr>
            <w:tcW w:w="1153" w:type="pct"/>
            <w:shd w:val="clear" w:color="auto" w:fill="auto"/>
            <w:vAlign w:val="center"/>
          </w:tcPr>
          <w:p w14:paraId="4D42564B" w14:textId="77777777" w:rsidR="00FF6101" w:rsidRPr="00B0658A" w:rsidRDefault="00FF6101" w:rsidP="00004A41">
            <w:pPr>
              <w:spacing w:after="0" w:line="240" w:lineRule="auto"/>
              <w:rPr>
                <w:rFonts w:ascii="Times New Roman" w:hAnsi="Times New Roman"/>
                <w:sz w:val="20"/>
                <w:szCs w:val="20"/>
              </w:rPr>
            </w:pPr>
            <w:r w:rsidRPr="00B0658A">
              <w:rPr>
                <w:rFonts w:ascii="Times New Roman" w:hAnsi="Times New Roman"/>
                <w:sz w:val="20"/>
                <w:szCs w:val="20"/>
              </w:rPr>
              <w:t xml:space="preserve">Промышленное программное обеспечение / Средства информационного моделирования зданий </w:t>
            </w:r>
            <w:r w:rsidRPr="00B0658A">
              <w:rPr>
                <w:rFonts w:ascii="Times New Roman" w:hAnsi="Times New Roman"/>
                <w:sz w:val="20"/>
                <w:szCs w:val="20"/>
              </w:rPr>
              <w:br/>
              <w:t>и сооружений, архитектурно-</w:t>
            </w:r>
            <w:r w:rsidRPr="00B0658A">
              <w:rPr>
                <w:rFonts w:ascii="Times New Roman" w:hAnsi="Times New Roman"/>
                <w:sz w:val="20"/>
                <w:szCs w:val="20"/>
              </w:rPr>
              <w:lastRenderedPageBreak/>
              <w:t>строительного проектирования (BIM, AEC CAD)</w:t>
            </w:r>
          </w:p>
        </w:tc>
        <w:tc>
          <w:tcPr>
            <w:tcW w:w="624" w:type="pct"/>
          </w:tcPr>
          <w:p w14:paraId="04F56520" w14:textId="77777777" w:rsidR="00FF6101" w:rsidRPr="00B0658A" w:rsidRDefault="00FF6101" w:rsidP="00004A41">
            <w:pPr>
              <w:spacing w:after="0" w:line="240" w:lineRule="auto"/>
              <w:rPr>
                <w:rFonts w:ascii="Times New Roman" w:hAnsi="Times New Roman"/>
                <w:i/>
                <w:iCs/>
                <w:sz w:val="20"/>
                <w:szCs w:val="20"/>
              </w:rPr>
            </w:pPr>
          </w:p>
        </w:tc>
        <w:tc>
          <w:tcPr>
            <w:tcW w:w="1090" w:type="pct"/>
            <w:shd w:val="clear" w:color="auto" w:fill="auto"/>
          </w:tcPr>
          <w:p w14:paraId="553522FD" w14:textId="77777777" w:rsidR="00FF6101" w:rsidRPr="00B0658A" w:rsidRDefault="00FF6101" w:rsidP="00004A41">
            <w:pPr>
              <w:spacing w:after="0" w:line="240" w:lineRule="auto"/>
              <w:rPr>
                <w:rFonts w:ascii="Times New Roman" w:hAnsi="Times New Roman"/>
                <w:i/>
                <w:iCs/>
                <w:sz w:val="20"/>
                <w:szCs w:val="20"/>
              </w:rPr>
            </w:pPr>
          </w:p>
        </w:tc>
        <w:tc>
          <w:tcPr>
            <w:tcW w:w="1036" w:type="pct"/>
            <w:shd w:val="clear" w:color="auto" w:fill="auto"/>
          </w:tcPr>
          <w:p w14:paraId="728C1DBF" w14:textId="77777777" w:rsidR="00FF6101" w:rsidRPr="00B0658A" w:rsidRDefault="00FF6101" w:rsidP="00004A41">
            <w:pPr>
              <w:spacing w:after="0" w:line="240" w:lineRule="auto"/>
              <w:rPr>
                <w:rFonts w:ascii="Times New Roman" w:hAnsi="Times New Roman"/>
                <w:i/>
                <w:iCs/>
                <w:sz w:val="20"/>
                <w:szCs w:val="20"/>
              </w:rPr>
            </w:pPr>
          </w:p>
        </w:tc>
        <w:tc>
          <w:tcPr>
            <w:tcW w:w="894" w:type="pct"/>
            <w:shd w:val="clear" w:color="auto" w:fill="auto"/>
          </w:tcPr>
          <w:p w14:paraId="045E206D" w14:textId="77777777" w:rsidR="00FF6101" w:rsidRPr="00B0658A" w:rsidRDefault="00FF6101" w:rsidP="00004A41">
            <w:pPr>
              <w:spacing w:after="0" w:line="240" w:lineRule="auto"/>
              <w:jc w:val="both"/>
              <w:rPr>
                <w:rFonts w:ascii="Times New Roman" w:hAnsi="Times New Roman"/>
                <w:i/>
                <w:iCs/>
                <w:sz w:val="20"/>
                <w:szCs w:val="20"/>
              </w:rPr>
            </w:pPr>
          </w:p>
        </w:tc>
      </w:tr>
      <w:tr w:rsidR="00F52FED" w:rsidRPr="00B0658A" w14:paraId="3B923546" w14:textId="77777777" w:rsidTr="00FF6101">
        <w:trPr>
          <w:trHeight w:val="170"/>
        </w:trPr>
        <w:tc>
          <w:tcPr>
            <w:tcW w:w="203" w:type="pct"/>
            <w:shd w:val="clear" w:color="auto" w:fill="auto"/>
          </w:tcPr>
          <w:p w14:paraId="0F6D9018" w14:textId="77777777" w:rsidR="00FF6101" w:rsidRPr="00B0658A" w:rsidRDefault="00FF6101" w:rsidP="00004A41">
            <w:pPr>
              <w:spacing w:after="0" w:line="240" w:lineRule="auto"/>
              <w:rPr>
                <w:rFonts w:ascii="Times New Roman" w:hAnsi="Times New Roman"/>
                <w:sz w:val="20"/>
                <w:szCs w:val="20"/>
              </w:rPr>
            </w:pPr>
            <w:r w:rsidRPr="00B0658A">
              <w:rPr>
                <w:rFonts w:ascii="Times New Roman" w:hAnsi="Times New Roman"/>
                <w:sz w:val="20"/>
                <w:szCs w:val="20"/>
              </w:rPr>
              <w:t>8.10</w:t>
            </w:r>
          </w:p>
        </w:tc>
        <w:tc>
          <w:tcPr>
            <w:tcW w:w="1153" w:type="pct"/>
            <w:shd w:val="clear" w:color="auto" w:fill="auto"/>
            <w:vAlign w:val="center"/>
          </w:tcPr>
          <w:p w14:paraId="793DAC3A" w14:textId="77777777" w:rsidR="00FF6101" w:rsidRPr="00B0658A" w:rsidRDefault="00FF6101" w:rsidP="00004A41">
            <w:pPr>
              <w:spacing w:after="0" w:line="240" w:lineRule="auto"/>
              <w:rPr>
                <w:rFonts w:ascii="Times New Roman" w:hAnsi="Times New Roman"/>
                <w:sz w:val="20"/>
                <w:szCs w:val="20"/>
              </w:rPr>
            </w:pPr>
            <w:r w:rsidRPr="00B0658A">
              <w:rPr>
                <w:rFonts w:ascii="Times New Roman" w:hAnsi="Times New Roman"/>
                <w:sz w:val="20"/>
                <w:szCs w:val="20"/>
              </w:rPr>
              <w:t>Промышленное программное обеспечение/ Средства усовершенствованного управления технологическими процессами (APC, RTO)</w:t>
            </w:r>
          </w:p>
        </w:tc>
        <w:tc>
          <w:tcPr>
            <w:tcW w:w="624" w:type="pct"/>
          </w:tcPr>
          <w:p w14:paraId="4E052029" w14:textId="77777777" w:rsidR="00FF6101" w:rsidRPr="00B0658A" w:rsidRDefault="00FF6101" w:rsidP="00004A41">
            <w:pPr>
              <w:spacing w:after="0" w:line="240" w:lineRule="auto"/>
              <w:rPr>
                <w:rFonts w:ascii="Times New Roman" w:hAnsi="Times New Roman"/>
                <w:i/>
                <w:iCs/>
                <w:sz w:val="20"/>
                <w:szCs w:val="20"/>
              </w:rPr>
            </w:pPr>
          </w:p>
        </w:tc>
        <w:tc>
          <w:tcPr>
            <w:tcW w:w="1090" w:type="pct"/>
            <w:shd w:val="clear" w:color="auto" w:fill="auto"/>
          </w:tcPr>
          <w:p w14:paraId="35AF9EBC" w14:textId="77777777" w:rsidR="00FF6101" w:rsidRPr="00B0658A" w:rsidRDefault="00FF6101" w:rsidP="00004A41">
            <w:pPr>
              <w:spacing w:after="0" w:line="240" w:lineRule="auto"/>
              <w:rPr>
                <w:rFonts w:ascii="Times New Roman" w:hAnsi="Times New Roman"/>
                <w:i/>
                <w:iCs/>
                <w:sz w:val="20"/>
                <w:szCs w:val="20"/>
              </w:rPr>
            </w:pPr>
          </w:p>
        </w:tc>
        <w:tc>
          <w:tcPr>
            <w:tcW w:w="1036" w:type="pct"/>
            <w:shd w:val="clear" w:color="auto" w:fill="auto"/>
          </w:tcPr>
          <w:p w14:paraId="2D6963F8" w14:textId="77777777" w:rsidR="00FF6101" w:rsidRPr="00B0658A" w:rsidRDefault="00FF6101" w:rsidP="00004A41">
            <w:pPr>
              <w:spacing w:after="0" w:line="240" w:lineRule="auto"/>
              <w:rPr>
                <w:rFonts w:ascii="Times New Roman" w:hAnsi="Times New Roman"/>
                <w:i/>
                <w:iCs/>
                <w:sz w:val="20"/>
                <w:szCs w:val="20"/>
              </w:rPr>
            </w:pPr>
          </w:p>
        </w:tc>
        <w:tc>
          <w:tcPr>
            <w:tcW w:w="894" w:type="pct"/>
            <w:shd w:val="clear" w:color="auto" w:fill="auto"/>
          </w:tcPr>
          <w:p w14:paraId="3F2CFA7C" w14:textId="77777777" w:rsidR="00FF6101" w:rsidRPr="00B0658A" w:rsidRDefault="00FF6101" w:rsidP="00004A41">
            <w:pPr>
              <w:spacing w:after="0" w:line="240" w:lineRule="auto"/>
              <w:jc w:val="both"/>
              <w:rPr>
                <w:rFonts w:ascii="Times New Roman" w:hAnsi="Times New Roman"/>
                <w:i/>
                <w:iCs/>
                <w:sz w:val="20"/>
                <w:szCs w:val="20"/>
              </w:rPr>
            </w:pPr>
          </w:p>
        </w:tc>
      </w:tr>
      <w:tr w:rsidR="00F52FED" w:rsidRPr="00B0658A" w14:paraId="463C688E" w14:textId="77777777" w:rsidTr="00FF6101">
        <w:trPr>
          <w:trHeight w:val="170"/>
        </w:trPr>
        <w:tc>
          <w:tcPr>
            <w:tcW w:w="203" w:type="pct"/>
            <w:shd w:val="clear" w:color="auto" w:fill="auto"/>
          </w:tcPr>
          <w:p w14:paraId="73128A2E" w14:textId="77777777" w:rsidR="00FF6101" w:rsidRPr="00B0658A" w:rsidRDefault="00FF6101" w:rsidP="00004A41">
            <w:pPr>
              <w:spacing w:after="0" w:line="240" w:lineRule="auto"/>
              <w:rPr>
                <w:rFonts w:ascii="Times New Roman" w:hAnsi="Times New Roman"/>
                <w:sz w:val="20"/>
                <w:szCs w:val="20"/>
              </w:rPr>
            </w:pPr>
            <w:r w:rsidRPr="00B0658A">
              <w:rPr>
                <w:rFonts w:ascii="Times New Roman" w:hAnsi="Times New Roman"/>
                <w:sz w:val="20"/>
                <w:szCs w:val="20"/>
              </w:rPr>
              <w:t>8.11</w:t>
            </w:r>
          </w:p>
        </w:tc>
        <w:tc>
          <w:tcPr>
            <w:tcW w:w="1153" w:type="pct"/>
            <w:shd w:val="clear" w:color="auto" w:fill="auto"/>
            <w:vAlign w:val="center"/>
          </w:tcPr>
          <w:p w14:paraId="294BF90E" w14:textId="77777777" w:rsidR="00FF6101" w:rsidRPr="00B0658A" w:rsidRDefault="00FF6101" w:rsidP="00004A41">
            <w:pPr>
              <w:spacing w:after="0" w:line="240" w:lineRule="auto"/>
              <w:rPr>
                <w:rFonts w:ascii="Times New Roman" w:hAnsi="Times New Roman"/>
                <w:sz w:val="20"/>
                <w:szCs w:val="20"/>
              </w:rPr>
            </w:pPr>
            <w:r w:rsidRPr="00B0658A">
              <w:rPr>
                <w:rFonts w:ascii="Times New Roman" w:hAnsi="Times New Roman"/>
                <w:sz w:val="20"/>
                <w:szCs w:val="20"/>
              </w:rPr>
              <w:t>Промышленное программное обеспечение / Средства автоматизированного управления техникой</w:t>
            </w:r>
          </w:p>
        </w:tc>
        <w:tc>
          <w:tcPr>
            <w:tcW w:w="624" w:type="pct"/>
          </w:tcPr>
          <w:p w14:paraId="629E48C1" w14:textId="77777777" w:rsidR="00FF6101" w:rsidRPr="00B0658A" w:rsidRDefault="00FF6101" w:rsidP="00004A41">
            <w:pPr>
              <w:spacing w:after="0" w:line="240" w:lineRule="auto"/>
              <w:rPr>
                <w:rFonts w:ascii="Times New Roman" w:hAnsi="Times New Roman"/>
                <w:i/>
                <w:iCs/>
                <w:sz w:val="20"/>
                <w:szCs w:val="20"/>
              </w:rPr>
            </w:pPr>
          </w:p>
        </w:tc>
        <w:tc>
          <w:tcPr>
            <w:tcW w:w="1090" w:type="pct"/>
            <w:shd w:val="clear" w:color="auto" w:fill="auto"/>
          </w:tcPr>
          <w:p w14:paraId="6D59F691" w14:textId="77777777" w:rsidR="00FF6101" w:rsidRPr="00B0658A" w:rsidRDefault="00FF6101" w:rsidP="00004A41">
            <w:pPr>
              <w:spacing w:after="0" w:line="240" w:lineRule="auto"/>
              <w:rPr>
                <w:rFonts w:ascii="Times New Roman" w:hAnsi="Times New Roman"/>
                <w:i/>
                <w:iCs/>
                <w:sz w:val="20"/>
                <w:szCs w:val="20"/>
              </w:rPr>
            </w:pPr>
          </w:p>
        </w:tc>
        <w:tc>
          <w:tcPr>
            <w:tcW w:w="1036" w:type="pct"/>
            <w:shd w:val="clear" w:color="auto" w:fill="auto"/>
          </w:tcPr>
          <w:p w14:paraId="2F550C71" w14:textId="77777777" w:rsidR="00FF6101" w:rsidRPr="00B0658A" w:rsidRDefault="00FF6101" w:rsidP="00004A41">
            <w:pPr>
              <w:spacing w:after="0" w:line="240" w:lineRule="auto"/>
              <w:rPr>
                <w:rFonts w:ascii="Times New Roman" w:hAnsi="Times New Roman"/>
                <w:i/>
                <w:iCs/>
                <w:sz w:val="20"/>
                <w:szCs w:val="20"/>
              </w:rPr>
            </w:pPr>
          </w:p>
        </w:tc>
        <w:tc>
          <w:tcPr>
            <w:tcW w:w="894" w:type="pct"/>
            <w:shd w:val="clear" w:color="auto" w:fill="auto"/>
          </w:tcPr>
          <w:p w14:paraId="6CCB16F3" w14:textId="77777777" w:rsidR="00FF6101" w:rsidRPr="00B0658A" w:rsidRDefault="00FF6101" w:rsidP="00004A41">
            <w:pPr>
              <w:spacing w:after="0" w:line="240" w:lineRule="auto"/>
              <w:jc w:val="both"/>
              <w:rPr>
                <w:rFonts w:ascii="Times New Roman" w:hAnsi="Times New Roman"/>
                <w:i/>
                <w:iCs/>
                <w:sz w:val="20"/>
                <w:szCs w:val="20"/>
              </w:rPr>
            </w:pPr>
          </w:p>
        </w:tc>
      </w:tr>
      <w:tr w:rsidR="00F52FED" w:rsidRPr="00B0658A" w14:paraId="7CB2616A" w14:textId="77777777" w:rsidTr="00FF6101">
        <w:trPr>
          <w:trHeight w:val="170"/>
        </w:trPr>
        <w:tc>
          <w:tcPr>
            <w:tcW w:w="203" w:type="pct"/>
            <w:shd w:val="clear" w:color="auto" w:fill="auto"/>
          </w:tcPr>
          <w:p w14:paraId="1683E83B" w14:textId="77777777" w:rsidR="00FF6101" w:rsidRPr="00B0658A" w:rsidRDefault="00FF6101" w:rsidP="00004A41">
            <w:pPr>
              <w:spacing w:after="0" w:line="240" w:lineRule="auto"/>
              <w:rPr>
                <w:rFonts w:ascii="Times New Roman" w:hAnsi="Times New Roman"/>
                <w:sz w:val="20"/>
                <w:szCs w:val="20"/>
              </w:rPr>
            </w:pPr>
            <w:r w:rsidRPr="00B0658A">
              <w:rPr>
                <w:rFonts w:ascii="Times New Roman" w:hAnsi="Times New Roman"/>
                <w:sz w:val="20"/>
                <w:szCs w:val="20"/>
              </w:rPr>
              <w:t>9.1</w:t>
            </w:r>
          </w:p>
        </w:tc>
        <w:tc>
          <w:tcPr>
            <w:tcW w:w="1153" w:type="pct"/>
            <w:shd w:val="clear" w:color="auto" w:fill="auto"/>
            <w:vAlign w:val="center"/>
          </w:tcPr>
          <w:p w14:paraId="5D70CE56" w14:textId="77777777" w:rsidR="00FF6101" w:rsidRPr="00B0658A" w:rsidRDefault="00FF6101" w:rsidP="00004A41">
            <w:pPr>
              <w:spacing w:after="0" w:line="240" w:lineRule="auto"/>
              <w:rPr>
                <w:rFonts w:ascii="Times New Roman" w:hAnsi="Times New Roman"/>
                <w:sz w:val="20"/>
                <w:szCs w:val="20"/>
              </w:rPr>
            </w:pPr>
            <w:r w:rsidRPr="00B0658A">
              <w:rPr>
                <w:rFonts w:ascii="Times New Roman" w:hAnsi="Times New Roman"/>
                <w:sz w:val="20"/>
                <w:szCs w:val="20"/>
              </w:rPr>
              <w:t>Средства управления процессами организации / Средства управления бизнес-процессами (BPM)</w:t>
            </w:r>
          </w:p>
        </w:tc>
        <w:tc>
          <w:tcPr>
            <w:tcW w:w="624" w:type="pct"/>
          </w:tcPr>
          <w:p w14:paraId="4BA8AE34" w14:textId="77777777" w:rsidR="00FF6101" w:rsidRPr="00B0658A" w:rsidRDefault="00FF6101" w:rsidP="00004A41">
            <w:pPr>
              <w:spacing w:after="0" w:line="240" w:lineRule="auto"/>
              <w:rPr>
                <w:rFonts w:ascii="Times New Roman" w:hAnsi="Times New Roman"/>
                <w:i/>
                <w:iCs/>
                <w:sz w:val="20"/>
                <w:szCs w:val="20"/>
              </w:rPr>
            </w:pPr>
          </w:p>
        </w:tc>
        <w:tc>
          <w:tcPr>
            <w:tcW w:w="1090" w:type="pct"/>
            <w:shd w:val="clear" w:color="auto" w:fill="auto"/>
          </w:tcPr>
          <w:p w14:paraId="212FEF7D" w14:textId="77777777" w:rsidR="00FF6101" w:rsidRPr="00B0658A" w:rsidRDefault="00FF6101" w:rsidP="00004A41">
            <w:pPr>
              <w:spacing w:after="0" w:line="240" w:lineRule="auto"/>
              <w:rPr>
                <w:rFonts w:ascii="Times New Roman" w:hAnsi="Times New Roman"/>
                <w:i/>
                <w:iCs/>
                <w:sz w:val="20"/>
                <w:szCs w:val="20"/>
              </w:rPr>
            </w:pPr>
          </w:p>
        </w:tc>
        <w:tc>
          <w:tcPr>
            <w:tcW w:w="1036" w:type="pct"/>
            <w:shd w:val="clear" w:color="auto" w:fill="auto"/>
          </w:tcPr>
          <w:p w14:paraId="470345C8" w14:textId="77777777" w:rsidR="00FF6101" w:rsidRPr="00B0658A" w:rsidRDefault="00FF6101" w:rsidP="00004A41">
            <w:pPr>
              <w:spacing w:after="0" w:line="240" w:lineRule="auto"/>
              <w:rPr>
                <w:rFonts w:ascii="Times New Roman" w:hAnsi="Times New Roman"/>
                <w:i/>
                <w:iCs/>
                <w:sz w:val="20"/>
                <w:szCs w:val="20"/>
              </w:rPr>
            </w:pPr>
          </w:p>
        </w:tc>
        <w:tc>
          <w:tcPr>
            <w:tcW w:w="894" w:type="pct"/>
            <w:shd w:val="clear" w:color="auto" w:fill="auto"/>
          </w:tcPr>
          <w:p w14:paraId="6398EC69" w14:textId="77777777" w:rsidR="00FF6101" w:rsidRPr="00B0658A" w:rsidRDefault="00FF6101" w:rsidP="00004A41">
            <w:pPr>
              <w:spacing w:after="0" w:line="240" w:lineRule="auto"/>
              <w:jc w:val="both"/>
              <w:rPr>
                <w:rFonts w:ascii="Times New Roman" w:hAnsi="Times New Roman"/>
                <w:i/>
                <w:iCs/>
                <w:sz w:val="20"/>
                <w:szCs w:val="20"/>
              </w:rPr>
            </w:pPr>
          </w:p>
        </w:tc>
      </w:tr>
      <w:tr w:rsidR="00F52FED" w:rsidRPr="00B0658A" w14:paraId="5C7AD13C" w14:textId="77777777" w:rsidTr="00FF6101">
        <w:trPr>
          <w:trHeight w:val="170"/>
        </w:trPr>
        <w:tc>
          <w:tcPr>
            <w:tcW w:w="203" w:type="pct"/>
            <w:shd w:val="clear" w:color="auto" w:fill="auto"/>
          </w:tcPr>
          <w:p w14:paraId="62502793" w14:textId="77777777" w:rsidR="00FF6101" w:rsidRPr="00B0658A" w:rsidRDefault="00FF6101" w:rsidP="00004A41">
            <w:pPr>
              <w:spacing w:after="0" w:line="240" w:lineRule="auto"/>
              <w:rPr>
                <w:rFonts w:ascii="Times New Roman" w:hAnsi="Times New Roman"/>
                <w:sz w:val="20"/>
                <w:szCs w:val="20"/>
              </w:rPr>
            </w:pPr>
            <w:r w:rsidRPr="00B0658A">
              <w:rPr>
                <w:rFonts w:ascii="Times New Roman" w:hAnsi="Times New Roman"/>
                <w:sz w:val="20"/>
                <w:szCs w:val="20"/>
              </w:rPr>
              <w:t>9.2</w:t>
            </w:r>
          </w:p>
        </w:tc>
        <w:tc>
          <w:tcPr>
            <w:tcW w:w="1153" w:type="pct"/>
            <w:shd w:val="clear" w:color="auto" w:fill="auto"/>
            <w:vAlign w:val="center"/>
          </w:tcPr>
          <w:p w14:paraId="380B2D36" w14:textId="77777777" w:rsidR="00FF6101" w:rsidRPr="00B0658A" w:rsidRDefault="00FF6101" w:rsidP="00004A41">
            <w:pPr>
              <w:spacing w:after="0" w:line="240" w:lineRule="auto"/>
              <w:rPr>
                <w:rFonts w:ascii="Times New Roman" w:hAnsi="Times New Roman"/>
                <w:sz w:val="20"/>
                <w:szCs w:val="20"/>
              </w:rPr>
            </w:pPr>
            <w:r w:rsidRPr="00B0658A">
              <w:rPr>
                <w:rFonts w:ascii="Times New Roman" w:hAnsi="Times New Roman"/>
                <w:sz w:val="20"/>
                <w:szCs w:val="20"/>
              </w:rPr>
              <w:t>Средства управления процессами организации/ Средства управления производственными процессами (MES)</w:t>
            </w:r>
          </w:p>
        </w:tc>
        <w:tc>
          <w:tcPr>
            <w:tcW w:w="624" w:type="pct"/>
          </w:tcPr>
          <w:p w14:paraId="1FD23F4B" w14:textId="77777777" w:rsidR="00FF6101" w:rsidRPr="00B0658A" w:rsidRDefault="00FF6101" w:rsidP="00004A41">
            <w:pPr>
              <w:spacing w:after="0" w:line="240" w:lineRule="auto"/>
              <w:rPr>
                <w:rFonts w:ascii="Times New Roman" w:hAnsi="Times New Roman"/>
                <w:i/>
                <w:iCs/>
                <w:sz w:val="20"/>
                <w:szCs w:val="20"/>
              </w:rPr>
            </w:pPr>
          </w:p>
        </w:tc>
        <w:tc>
          <w:tcPr>
            <w:tcW w:w="1090" w:type="pct"/>
            <w:shd w:val="clear" w:color="auto" w:fill="auto"/>
          </w:tcPr>
          <w:p w14:paraId="5FD2EF72" w14:textId="77777777" w:rsidR="00FF6101" w:rsidRPr="00B0658A" w:rsidRDefault="00FF6101" w:rsidP="00004A41">
            <w:pPr>
              <w:spacing w:after="0" w:line="240" w:lineRule="auto"/>
              <w:rPr>
                <w:rFonts w:ascii="Times New Roman" w:hAnsi="Times New Roman"/>
                <w:i/>
                <w:iCs/>
                <w:sz w:val="20"/>
                <w:szCs w:val="20"/>
              </w:rPr>
            </w:pPr>
          </w:p>
        </w:tc>
        <w:tc>
          <w:tcPr>
            <w:tcW w:w="1036" w:type="pct"/>
            <w:shd w:val="clear" w:color="auto" w:fill="auto"/>
          </w:tcPr>
          <w:p w14:paraId="3A38C207" w14:textId="77777777" w:rsidR="00FF6101" w:rsidRPr="00B0658A" w:rsidRDefault="00FF6101" w:rsidP="00004A41">
            <w:pPr>
              <w:spacing w:after="0" w:line="240" w:lineRule="auto"/>
              <w:rPr>
                <w:rFonts w:ascii="Times New Roman" w:hAnsi="Times New Roman"/>
                <w:i/>
                <w:iCs/>
                <w:sz w:val="20"/>
                <w:szCs w:val="20"/>
              </w:rPr>
            </w:pPr>
          </w:p>
        </w:tc>
        <w:tc>
          <w:tcPr>
            <w:tcW w:w="894" w:type="pct"/>
            <w:shd w:val="clear" w:color="auto" w:fill="auto"/>
          </w:tcPr>
          <w:p w14:paraId="2E7869AD" w14:textId="77777777" w:rsidR="00FF6101" w:rsidRPr="00B0658A" w:rsidRDefault="00FF6101" w:rsidP="00004A41">
            <w:pPr>
              <w:spacing w:after="0" w:line="240" w:lineRule="auto"/>
              <w:jc w:val="both"/>
              <w:rPr>
                <w:rFonts w:ascii="Times New Roman" w:hAnsi="Times New Roman"/>
                <w:i/>
                <w:iCs/>
                <w:sz w:val="20"/>
                <w:szCs w:val="20"/>
              </w:rPr>
            </w:pPr>
          </w:p>
        </w:tc>
      </w:tr>
      <w:tr w:rsidR="00F52FED" w:rsidRPr="00B0658A" w14:paraId="696FB130" w14:textId="77777777" w:rsidTr="00FF6101">
        <w:trPr>
          <w:trHeight w:val="170"/>
        </w:trPr>
        <w:tc>
          <w:tcPr>
            <w:tcW w:w="203" w:type="pct"/>
            <w:shd w:val="clear" w:color="auto" w:fill="auto"/>
          </w:tcPr>
          <w:p w14:paraId="6EB9DE42" w14:textId="77777777" w:rsidR="00FF6101" w:rsidRPr="00B0658A" w:rsidRDefault="00FF6101" w:rsidP="00004A41">
            <w:pPr>
              <w:spacing w:after="0" w:line="240" w:lineRule="auto"/>
              <w:rPr>
                <w:rFonts w:ascii="Times New Roman" w:hAnsi="Times New Roman"/>
                <w:sz w:val="20"/>
                <w:szCs w:val="20"/>
              </w:rPr>
            </w:pPr>
            <w:r w:rsidRPr="00B0658A">
              <w:rPr>
                <w:rFonts w:ascii="Times New Roman" w:hAnsi="Times New Roman"/>
                <w:sz w:val="20"/>
                <w:szCs w:val="20"/>
              </w:rPr>
              <w:t>9.3</w:t>
            </w:r>
          </w:p>
        </w:tc>
        <w:tc>
          <w:tcPr>
            <w:tcW w:w="1153" w:type="pct"/>
            <w:shd w:val="clear" w:color="auto" w:fill="auto"/>
            <w:vAlign w:val="center"/>
          </w:tcPr>
          <w:p w14:paraId="6B9086A8" w14:textId="77777777" w:rsidR="00FF6101" w:rsidRPr="00B0658A" w:rsidRDefault="00FF6101" w:rsidP="00004A41">
            <w:pPr>
              <w:spacing w:after="0" w:line="240" w:lineRule="auto"/>
              <w:rPr>
                <w:rFonts w:ascii="Times New Roman" w:hAnsi="Times New Roman"/>
                <w:sz w:val="20"/>
                <w:szCs w:val="20"/>
              </w:rPr>
            </w:pPr>
            <w:r w:rsidRPr="00B0658A">
              <w:rPr>
                <w:rFonts w:ascii="Times New Roman" w:hAnsi="Times New Roman"/>
                <w:sz w:val="20"/>
                <w:szCs w:val="20"/>
              </w:rPr>
              <w:t>Средства управления процессами организации / Средства управления лабораторными потоками работ и документов (LIMS)</w:t>
            </w:r>
          </w:p>
        </w:tc>
        <w:tc>
          <w:tcPr>
            <w:tcW w:w="624" w:type="pct"/>
          </w:tcPr>
          <w:p w14:paraId="228ABE77" w14:textId="77777777" w:rsidR="00FF6101" w:rsidRPr="00B0658A" w:rsidRDefault="00FF6101" w:rsidP="00004A41">
            <w:pPr>
              <w:spacing w:after="0" w:line="240" w:lineRule="auto"/>
              <w:rPr>
                <w:rFonts w:ascii="Times New Roman" w:hAnsi="Times New Roman"/>
                <w:i/>
                <w:iCs/>
                <w:sz w:val="20"/>
                <w:szCs w:val="20"/>
              </w:rPr>
            </w:pPr>
          </w:p>
        </w:tc>
        <w:tc>
          <w:tcPr>
            <w:tcW w:w="1090" w:type="pct"/>
            <w:shd w:val="clear" w:color="auto" w:fill="auto"/>
          </w:tcPr>
          <w:p w14:paraId="3FB99035" w14:textId="77777777" w:rsidR="00FF6101" w:rsidRPr="00B0658A" w:rsidRDefault="00FF6101" w:rsidP="00004A41">
            <w:pPr>
              <w:spacing w:after="0" w:line="240" w:lineRule="auto"/>
              <w:rPr>
                <w:rFonts w:ascii="Times New Roman" w:hAnsi="Times New Roman"/>
                <w:i/>
                <w:iCs/>
                <w:sz w:val="20"/>
                <w:szCs w:val="20"/>
              </w:rPr>
            </w:pPr>
          </w:p>
        </w:tc>
        <w:tc>
          <w:tcPr>
            <w:tcW w:w="1036" w:type="pct"/>
            <w:shd w:val="clear" w:color="auto" w:fill="auto"/>
          </w:tcPr>
          <w:p w14:paraId="4CDE04D7" w14:textId="77777777" w:rsidR="00FF6101" w:rsidRPr="00B0658A" w:rsidRDefault="00FF6101" w:rsidP="00004A41">
            <w:pPr>
              <w:spacing w:after="0" w:line="240" w:lineRule="auto"/>
              <w:rPr>
                <w:rFonts w:ascii="Times New Roman" w:hAnsi="Times New Roman"/>
                <w:i/>
                <w:iCs/>
                <w:sz w:val="20"/>
                <w:szCs w:val="20"/>
              </w:rPr>
            </w:pPr>
          </w:p>
        </w:tc>
        <w:tc>
          <w:tcPr>
            <w:tcW w:w="894" w:type="pct"/>
            <w:shd w:val="clear" w:color="auto" w:fill="auto"/>
          </w:tcPr>
          <w:p w14:paraId="7C6C7FCC" w14:textId="77777777" w:rsidR="00FF6101" w:rsidRPr="00B0658A" w:rsidRDefault="00FF6101" w:rsidP="00004A41">
            <w:pPr>
              <w:spacing w:after="0" w:line="240" w:lineRule="auto"/>
              <w:jc w:val="both"/>
              <w:rPr>
                <w:rFonts w:ascii="Times New Roman" w:hAnsi="Times New Roman"/>
                <w:i/>
                <w:iCs/>
                <w:sz w:val="20"/>
                <w:szCs w:val="20"/>
              </w:rPr>
            </w:pPr>
          </w:p>
        </w:tc>
      </w:tr>
      <w:tr w:rsidR="00F52FED" w:rsidRPr="00B0658A" w14:paraId="5DF144EF" w14:textId="77777777" w:rsidTr="00FF6101">
        <w:trPr>
          <w:trHeight w:val="170"/>
        </w:trPr>
        <w:tc>
          <w:tcPr>
            <w:tcW w:w="203" w:type="pct"/>
            <w:shd w:val="clear" w:color="auto" w:fill="auto"/>
          </w:tcPr>
          <w:p w14:paraId="7CED76D8" w14:textId="77777777" w:rsidR="00FF6101" w:rsidRPr="00B0658A" w:rsidRDefault="00FF6101" w:rsidP="00004A41">
            <w:pPr>
              <w:spacing w:after="0" w:line="240" w:lineRule="auto"/>
              <w:rPr>
                <w:rFonts w:ascii="Times New Roman" w:hAnsi="Times New Roman"/>
                <w:sz w:val="20"/>
                <w:szCs w:val="20"/>
              </w:rPr>
            </w:pPr>
            <w:r w:rsidRPr="00B0658A">
              <w:rPr>
                <w:rFonts w:ascii="Times New Roman" w:hAnsi="Times New Roman"/>
                <w:sz w:val="20"/>
                <w:szCs w:val="20"/>
              </w:rPr>
              <w:t>9.4</w:t>
            </w:r>
          </w:p>
        </w:tc>
        <w:tc>
          <w:tcPr>
            <w:tcW w:w="1153" w:type="pct"/>
            <w:shd w:val="clear" w:color="auto" w:fill="auto"/>
            <w:vAlign w:val="center"/>
          </w:tcPr>
          <w:p w14:paraId="3CF538B3" w14:textId="77777777" w:rsidR="00FF6101" w:rsidRPr="00B0658A" w:rsidRDefault="00FF6101" w:rsidP="00004A41">
            <w:pPr>
              <w:spacing w:after="0" w:line="240" w:lineRule="auto"/>
              <w:rPr>
                <w:rFonts w:ascii="Times New Roman" w:hAnsi="Times New Roman"/>
                <w:sz w:val="20"/>
                <w:szCs w:val="20"/>
              </w:rPr>
            </w:pPr>
            <w:r w:rsidRPr="00B0658A">
              <w:rPr>
                <w:rFonts w:ascii="Times New Roman" w:hAnsi="Times New Roman"/>
                <w:sz w:val="20"/>
                <w:szCs w:val="20"/>
              </w:rPr>
              <w:t>Средства управления процессами организации/ Средства управления технологическими процессами (АСУ ТП, SCADA)</w:t>
            </w:r>
          </w:p>
        </w:tc>
        <w:tc>
          <w:tcPr>
            <w:tcW w:w="624" w:type="pct"/>
          </w:tcPr>
          <w:p w14:paraId="268D0B2A" w14:textId="77777777" w:rsidR="00FF6101" w:rsidRPr="00B0658A" w:rsidRDefault="00FF6101" w:rsidP="00004A41">
            <w:pPr>
              <w:spacing w:after="0" w:line="240" w:lineRule="auto"/>
              <w:rPr>
                <w:rFonts w:ascii="Times New Roman" w:hAnsi="Times New Roman"/>
                <w:i/>
                <w:iCs/>
                <w:sz w:val="20"/>
                <w:szCs w:val="20"/>
              </w:rPr>
            </w:pPr>
          </w:p>
        </w:tc>
        <w:tc>
          <w:tcPr>
            <w:tcW w:w="1090" w:type="pct"/>
            <w:shd w:val="clear" w:color="auto" w:fill="auto"/>
          </w:tcPr>
          <w:p w14:paraId="0BF1FF76" w14:textId="77777777" w:rsidR="00FF6101" w:rsidRPr="00B0658A" w:rsidRDefault="00FF6101" w:rsidP="00004A41">
            <w:pPr>
              <w:spacing w:after="0" w:line="240" w:lineRule="auto"/>
              <w:rPr>
                <w:rFonts w:ascii="Times New Roman" w:hAnsi="Times New Roman"/>
                <w:i/>
                <w:iCs/>
                <w:sz w:val="20"/>
                <w:szCs w:val="20"/>
              </w:rPr>
            </w:pPr>
          </w:p>
        </w:tc>
        <w:tc>
          <w:tcPr>
            <w:tcW w:w="1036" w:type="pct"/>
            <w:shd w:val="clear" w:color="auto" w:fill="auto"/>
          </w:tcPr>
          <w:p w14:paraId="5DE203FE" w14:textId="77777777" w:rsidR="00FF6101" w:rsidRPr="00B0658A" w:rsidRDefault="00FF6101" w:rsidP="00004A41">
            <w:pPr>
              <w:spacing w:after="0" w:line="240" w:lineRule="auto"/>
              <w:rPr>
                <w:rFonts w:ascii="Times New Roman" w:hAnsi="Times New Roman"/>
                <w:i/>
                <w:iCs/>
                <w:sz w:val="20"/>
                <w:szCs w:val="20"/>
              </w:rPr>
            </w:pPr>
          </w:p>
        </w:tc>
        <w:tc>
          <w:tcPr>
            <w:tcW w:w="894" w:type="pct"/>
            <w:shd w:val="clear" w:color="auto" w:fill="auto"/>
          </w:tcPr>
          <w:p w14:paraId="42C014F8" w14:textId="77777777" w:rsidR="00FF6101" w:rsidRPr="00B0658A" w:rsidRDefault="00FF6101" w:rsidP="00004A41">
            <w:pPr>
              <w:spacing w:after="0" w:line="240" w:lineRule="auto"/>
              <w:jc w:val="both"/>
              <w:rPr>
                <w:rFonts w:ascii="Times New Roman" w:hAnsi="Times New Roman"/>
                <w:i/>
                <w:iCs/>
                <w:sz w:val="20"/>
                <w:szCs w:val="20"/>
              </w:rPr>
            </w:pPr>
          </w:p>
        </w:tc>
      </w:tr>
      <w:tr w:rsidR="00F52FED" w:rsidRPr="00B0658A" w14:paraId="07FAD017" w14:textId="77777777" w:rsidTr="00FF6101">
        <w:trPr>
          <w:trHeight w:val="170"/>
        </w:trPr>
        <w:tc>
          <w:tcPr>
            <w:tcW w:w="203" w:type="pct"/>
            <w:shd w:val="clear" w:color="auto" w:fill="auto"/>
          </w:tcPr>
          <w:p w14:paraId="0BEE72AC" w14:textId="77777777" w:rsidR="00FF6101" w:rsidRPr="00B0658A" w:rsidRDefault="00FF6101" w:rsidP="00004A41">
            <w:pPr>
              <w:spacing w:after="0" w:line="240" w:lineRule="auto"/>
              <w:rPr>
                <w:rFonts w:ascii="Times New Roman" w:hAnsi="Times New Roman"/>
                <w:sz w:val="20"/>
                <w:szCs w:val="20"/>
              </w:rPr>
            </w:pPr>
            <w:r w:rsidRPr="00B0658A">
              <w:rPr>
                <w:rFonts w:ascii="Times New Roman" w:hAnsi="Times New Roman"/>
                <w:sz w:val="20"/>
                <w:szCs w:val="20"/>
              </w:rPr>
              <w:t>9.5</w:t>
            </w:r>
          </w:p>
        </w:tc>
        <w:tc>
          <w:tcPr>
            <w:tcW w:w="1153" w:type="pct"/>
            <w:shd w:val="clear" w:color="auto" w:fill="auto"/>
            <w:vAlign w:val="center"/>
          </w:tcPr>
          <w:p w14:paraId="55B1EEE6" w14:textId="77777777" w:rsidR="00FF6101" w:rsidRPr="00B0658A" w:rsidRDefault="00FF6101" w:rsidP="00004A41">
            <w:pPr>
              <w:spacing w:after="0" w:line="240" w:lineRule="auto"/>
              <w:rPr>
                <w:rFonts w:ascii="Times New Roman" w:hAnsi="Times New Roman"/>
                <w:sz w:val="20"/>
                <w:szCs w:val="20"/>
              </w:rPr>
            </w:pPr>
            <w:r w:rsidRPr="00B0658A">
              <w:rPr>
                <w:rFonts w:ascii="Times New Roman" w:hAnsi="Times New Roman"/>
                <w:sz w:val="20"/>
                <w:szCs w:val="20"/>
              </w:rPr>
              <w:t>Средства управления процессами организации/ Средства управления эффективностью предприятия (CPM/EPM)</w:t>
            </w:r>
          </w:p>
        </w:tc>
        <w:tc>
          <w:tcPr>
            <w:tcW w:w="624" w:type="pct"/>
          </w:tcPr>
          <w:p w14:paraId="2626D329" w14:textId="77777777" w:rsidR="00FF6101" w:rsidRPr="00B0658A" w:rsidRDefault="00FF6101" w:rsidP="00004A41">
            <w:pPr>
              <w:spacing w:after="0" w:line="240" w:lineRule="auto"/>
              <w:rPr>
                <w:rFonts w:ascii="Times New Roman" w:hAnsi="Times New Roman"/>
                <w:i/>
                <w:iCs/>
                <w:sz w:val="20"/>
                <w:szCs w:val="20"/>
              </w:rPr>
            </w:pPr>
          </w:p>
        </w:tc>
        <w:tc>
          <w:tcPr>
            <w:tcW w:w="1090" w:type="pct"/>
            <w:shd w:val="clear" w:color="auto" w:fill="auto"/>
          </w:tcPr>
          <w:p w14:paraId="3A7F8B0F" w14:textId="77777777" w:rsidR="00FF6101" w:rsidRPr="00B0658A" w:rsidRDefault="00FF6101" w:rsidP="00004A41">
            <w:pPr>
              <w:spacing w:after="0" w:line="240" w:lineRule="auto"/>
              <w:rPr>
                <w:rFonts w:ascii="Times New Roman" w:hAnsi="Times New Roman"/>
                <w:i/>
                <w:iCs/>
                <w:sz w:val="20"/>
                <w:szCs w:val="20"/>
              </w:rPr>
            </w:pPr>
          </w:p>
        </w:tc>
        <w:tc>
          <w:tcPr>
            <w:tcW w:w="1036" w:type="pct"/>
            <w:shd w:val="clear" w:color="auto" w:fill="auto"/>
          </w:tcPr>
          <w:p w14:paraId="4A069D02" w14:textId="77777777" w:rsidR="00FF6101" w:rsidRPr="00B0658A" w:rsidRDefault="00FF6101" w:rsidP="00004A41">
            <w:pPr>
              <w:spacing w:after="0" w:line="240" w:lineRule="auto"/>
              <w:rPr>
                <w:rFonts w:ascii="Times New Roman" w:hAnsi="Times New Roman"/>
                <w:i/>
                <w:iCs/>
                <w:sz w:val="20"/>
                <w:szCs w:val="20"/>
              </w:rPr>
            </w:pPr>
          </w:p>
        </w:tc>
        <w:tc>
          <w:tcPr>
            <w:tcW w:w="894" w:type="pct"/>
            <w:shd w:val="clear" w:color="auto" w:fill="auto"/>
          </w:tcPr>
          <w:p w14:paraId="7AC23867" w14:textId="77777777" w:rsidR="00FF6101" w:rsidRPr="00B0658A" w:rsidRDefault="00FF6101" w:rsidP="00004A41">
            <w:pPr>
              <w:spacing w:after="0" w:line="240" w:lineRule="auto"/>
              <w:jc w:val="both"/>
              <w:rPr>
                <w:rFonts w:ascii="Times New Roman" w:hAnsi="Times New Roman"/>
                <w:i/>
                <w:iCs/>
                <w:sz w:val="20"/>
                <w:szCs w:val="20"/>
              </w:rPr>
            </w:pPr>
          </w:p>
        </w:tc>
      </w:tr>
      <w:tr w:rsidR="00F52FED" w:rsidRPr="00B0658A" w14:paraId="50D44309" w14:textId="77777777" w:rsidTr="00FF6101">
        <w:trPr>
          <w:trHeight w:val="170"/>
        </w:trPr>
        <w:tc>
          <w:tcPr>
            <w:tcW w:w="203" w:type="pct"/>
            <w:shd w:val="clear" w:color="auto" w:fill="auto"/>
          </w:tcPr>
          <w:p w14:paraId="3C0DC1D2" w14:textId="77777777" w:rsidR="00FF6101" w:rsidRPr="00B0658A" w:rsidRDefault="00FF6101" w:rsidP="00004A41">
            <w:pPr>
              <w:spacing w:after="0" w:line="240" w:lineRule="auto"/>
              <w:rPr>
                <w:rFonts w:ascii="Times New Roman" w:hAnsi="Times New Roman"/>
                <w:sz w:val="20"/>
                <w:szCs w:val="20"/>
              </w:rPr>
            </w:pPr>
            <w:r w:rsidRPr="00B0658A">
              <w:rPr>
                <w:rFonts w:ascii="Times New Roman" w:hAnsi="Times New Roman"/>
                <w:sz w:val="20"/>
                <w:szCs w:val="20"/>
              </w:rPr>
              <w:lastRenderedPageBreak/>
              <w:t>9.6</w:t>
            </w:r>
          </w:p>
        </w:tc>
        <w:tc>
          <w:tcPr>
            <w:tcW w:w="1153" w:type="pct"/>
            <w:shd w:val="clear" w:color="auto" w:fill="auto"/>
            <w:vAlign w:val="center"/>
          </w:tcPr>
          <w:p w14:paraId="76D1695B" w14:textId="77777777" w:rsidR="00FF6101" w:rsidRPr="00B0658A" w:rsidRDefault="00FF6101" w:rsidP="00004A41">
            <w:pPr>
              <w:spacing w:after="0" w:line="240" w:lineRule="auto"/>
              <w:rPr>
                <w:rFonts w:ascii="Times New Roman" w:hAnsi="Times New Roman"/>
                <w:sz w:val="20"/>
                <w:szCs w:val="20"/>
              </w:rPr>
            </w:pPr>
            <w:r w:rsidRPr="00B0658A">
              <w:rPr>
                <w:rFonts w:ascii="Times New Roman" w:hAnsi="Times New Roman"/>
                <w:sz w:val="20"/>
                <w:szCs w:val="20"/>
              </w:rPr>
              <w:t>Средства управления процессами организации/ Средства управления основными фондами предприятия (EAM)</w:t>
            </w:r>
          </w:p>
        </w:tc>
        <w:tc>
          <w:tcPr>
            <w:tcW w:w="624" w:type="pct"/>
          </w:tcPr>
          <w:p w14:paraId="5AC3C09E" w14:textId="77777777" w:rsidR="00FF6101" w:rsidRPr="00B0658A" w:rsidRDefault="00FF6101" w:rsidP="00004A41">
            <w:pPr>
              <w:spacing w:after="0" w:line="240" w:lineRule="auto"/>
              <w:rPr>
                <w:rFonts w:ascii="Times New Roman" w:hAnsi="Times New Roman"/>
                <w:i/>
                <w:iCs/>
                <w:sz w:val="20"/>
                <w:szCs w:val="20"/>
              </w:rPr>
            </w:pPr>
          </w:p>
        </w:tc>
        <w:tc>
          <w:tcPr>
            <w:tcW w:w="1090" w:type="pct"/>
            <w:shd w:val="clear" w:color="auto" w:fill="auto"/>
          </w:tcPr>
          <w:p w14:paraId="22C15148" w14:textId="77777777" w:rsidR="00FF6101" w:rsidRPr="00B0658A" w:rsidRDefault="00FF6101" w:rsidP="00004A41">
            <w:pPr>
              <w:spacing w:after="0" w:line="240" w:lineRule="auto"/>
              <w:rPr>
                <w:rFonts w:ascii="Times New Roman" w:hAnsi="Times New Roman"/>
                <w:i/>
                <w:iCs/>
                <w:sz w:val="20"/>
                <w:szCs w:val="20"/>
              </w:rPr>
            </w:pPr>
          </w:p>
        </w:tc>
        <w:tc>
          <w:tcPr>
            <w:tcW w:w="1036" w:type="pct"/>
            <w:shd w:val="clear" w:color="auto" w:fill="auto"/>
          </w:tcPr>
          <w:p w14:paraId="6D57EF80" w14:textId="77777777" w:rsidR="00FF6101" w:rsidRPr="00B0658A" w:rsidRDefault="00FF6101" w:rsidP="00004A41">
            <w:pPr>
              <w:spacing w:after="0" w:line="240" w:lineRule="auto"/>
              <w:rPr>
                <w:rFonts w:ascii="Times New Roman" w:hAnsi="Times New Roman"/>
                <w:i/>
                <w:iCs/>
                <w:sz w:val="20"/>
                <w:szCs w:val="20"/>
              </w:rPr>
            </w:pPr>
          </w:p>
        </w:tc>
        <w:tc>
          <w:tcPr>
            <w:tcW w:w="894" w:type="pct"/>
            <w:shd w:val="clear" w:color="auto" w:fill="auto"/>
          </w:tcPr>
          <w:p w14:paraId="618BF21E" w14:textId="77777777" w:rsidR="00FF6101" w:rsidRPr="00B0658A" w:rsidRDefault="00FF6101" w:rsidP="00004A41">
            <w:pPr>
              <w:spacing w:after="0" w:line="240" w:lineRule="auto"/>
              <w:jc w:val="both"/>
              <w:rPr>
                <w:rFonts w:ascii="Times New Roman" w:hAnsi="Times New Roman"/>
                <w:i/>
                <w:iCs/>
                <w:sz w:val="20"/>
                <w:szCs w:val="20"/>
              </w:rPr>
            </w:pPr>
          </w:p>
        </w:tc>
      </w:tr>
      <w:tr w:rsidR="00F52FED" w:rsidRPr="00B0658A" w14:paraId="5251851F" w14:textId="77777777" w:rsidTr="00FF6101">
        <w:trPr>
          <w:trHeight w:val="170"/>
        </w:trPr>
        <w:tc>
          <w:tcPr>
            <w:tcW w:w="203" w:type="pct"/>
            <w:shd w:val="clear" w:color="auto" w:fill="auto"/>
          </w:tcPr>
          <w:p w14:paraId="7A1C9DD0" w14:textId="77777777" w:rsidR="00FF6101" w:rsidRPr="00B0658A" w:rsidRDefault="00FF6101" w:rsidP="00004A41">
            <w:pPr>
              <w:spacing w:after="0" w:line="240" w:lineRule="auto"/>
              <w:rPr>
                <w:rFonts w:ascii="Times New Roman" w:hAnsi="Times New Roman"/>
                <w:sz w:val="20"/>
                <w:szCs w:val="20"/>
              </w:rPr>
            </w:pPr>
            <w:r w:rsidRPr="00B0658A">
              <w:rPr>
                <w:rFonts w:ascii="Times New Roman" w:hAnsi="Times New Roman"/>
                <w:sz w:val="20"/>
                <w:szCs w:val="20"/>
              </w:rPr>
              <w:t>9.7</w:t>
            </w:r>
          </w:p>
        </w:tc>
        <w:tc>
          <w:tcPr>
            <w:tcW w:w="1153" w:type="pct"/>
            <w:shd w:val="clear" w:color="auto" w:fill="auto"/>
            <w:vAlign w:val="center"/>
          </w:tcPr>
          <w:p w14:paraId="36DF23D5" w14:textId="77777777" w:rsidR="00FF6101" w:rsidRPr="00B0658A" w:rsidRDefault="00FF6101" w:rsidP="00004A41">
            <w:pPr>
              <w:spacing w:after="0" w:line="240" w:lineRule="auto"/>
              <w:rPr>
                <w:rFonts w:ascii="Times New Roman" w:hAnsi="Times New Roman"/>
                <w:sz w:val="20"/>
                <w:szCs w:val="20"/>
              </w:rPr>
            </w:pPr>
            <w:r w:rsidRPr="00B0658A">
              <w:rPr>
                <w:rFonts w:ascii="Times New Roman" w:hAnsi="Times New Roman"/>
                <w:sz w:val="20"/>
                <w:szCs w:val="20"/>
              </w:rPr>
              <w:t>Средства управления процессами организации/ Средства финансового менеджмента, управления активами и трудовыми ресурсами (ERP)</w:t>
            </w:r>
          </w:p>
        </w:tc>
        <w:tc>
          <w:tcPr>
            <w:tcW w:w="624" w:type="pct"/>
          </w:tcPr>
          <w:p w14:paraId="296E722E" w14:textId="77777777" w:rsidR="00FF6101" w:rsidRPr="00B0658A" w:rsidRDefault="00FF6101" w:rsidP="00004A41">
            <w:pPr>
              <w:spacing w:after="0" w:line="240" w:lineRule="auto"/>
              <w:rPr>
                <w:rFonts w:ascii="Times New Roman" w:hAnsi="Times New Roman"/>
                <w:i/>
                <w:iCs/>
                <w:sz w:val="20"/>
                <w:szCs w:val="20"/>
              </w:rPr>
            </w:pPr>
          </w:p>
        </w:tc>
        <w:tc>
          <w:tcPr>
            <w:tcW w:w="1090" w:type="pct"/>
            <w:shd w:val="clear" w:color="auto" w:fill="auto"/>
          </w:tcPr>
          <w:p w14:paraId="0D1F1359" w14:textId="77777777" w:rsidR="00FF6101" w:rsidRPr="00B0658A" w:rsidRDefault="00FF6101" w:rsidP="00004A41">
            <w:pPr>
              <w:spacing w:after="0" w:line="240" w:lineRule="auto"/>
              <w:rPr>
                <w:rFonts w:ascii="Times New Roman" w:hAnsi="Times New Roman"/>
                <w:i/>
                <w:iCs/>
                <w:sz w:val="20"/>
                <w:szCs w:val="20"/>
              </w:rPr>
            </w:pPr>
          </w:p>
        </w:tc>
        <w:tc>
          <w:tcPr>
            <w:tcW w:w="1036" w:type="pct"/>
            <w:shd w:val="clear" w:color="auto" w:fill="auto"/>
          </w:tcPr>
          <w:p w14:paraId="7C35FF7E" w14:textId="77777777" w:rsidR="00FF6101" w:rsidRPr="00B0658A" w:rsidRDefault="00FF6101" w:rsidP="00004A41">
            <w:pPr>
              <w:spacing w:after="0" w:line="240" w:lineRule="auto"/>
              <w:rPr>
                <w:rFonts w:ascii="Times New Roman" w:hAnsi="Times New Roman"/>
                <w:i/>
                <w:iCs/>
                <w:sz w:val="20"/>
                <w:szCs w:val="20"/>
              </w:rPr>
            </w:pPr>
          </w:p>
        </w:tc>
        <w:tc>
          <w:tcPr>
            <w:tcW w:w="894" w:type="pct"/>
            <w:shd w:val="clear" w:color="auto" w:fill="auto"/>
          </w:tcPr>
          <w:p w14:paraId="3E976D86" w14:textId="77777777" w:rsidR="00FF6101" w:rsidRPr="00B0658A" w:rsidRDefault="00FF6101" w:rsidP="00004A41">
            <w:pPr>
              <w:spacing w:after="0" w:line="240" w:lineRule="auto"/>
              <w:jc w:val="both"/>
              <w:rPr>
                <w:rFonts w:ascii="Times New Roman" w:hAnsi="Times New Roman"/>
                <w:i/>
                <w:iCs/>
                <w:sz w:val="20"/>
                <w:szCs w:val="20"/>
              </w:rPr>
            </w:pPr>
          </w:p>
        </w:tc>
      </w:tr>
      <w:tr w:rsidR="00F52FED" w:rsidRPr="00B0658A" w14:paraId="71027884" w14:textId="77777777" w:rsidTr="00FF6101">
        <w:trPr>
          <w:trHeight w:val="170"/>
        </w:trPr>
        <w:tc>
          <w:tcPr>
            <w:tcW w:w="203" w:type="pct"/>
            <w:shd w:val="clear" w:color="auto" w:fill="auto"/>
          </w:tcPr>
          <w:p w14:paraId="1C6CCF21" w14:textId="77777777" w:rsidR="00FF6101" w:rsidRPr="00B0658A" w:rsidRDefault="00FF6101" w:rsidP="00004A41">
            <w:pPr>
              <w:spacing w:after="0" w:line="240" w:lineRule="auto"/>
              <w:rPr>
                <w:rFonts w:ascii="Times New Roman" w:hAnsi="Times New Roman"/>
                <w:sz w:val="20"/>
                <w:szCs w:val="20"/>
              </w:rPr>
            </w:pPr>
            <w:r w:rsidRPr="00B0658A">
              <w:rPr>
                <w:rFonts w:ascii="Times New Roman" w:hAnsi="Times New Roman"/>
                <w:sz w:val="20"/>
                <w:szCs w:val="20"/>
              </w:rPr>
              <w:t>9.9</w:t>
            </w:r>
          </w:p>
        </w:tc>
        <w:tc>
          <w:tcPr>
            <w:tcW w:w="1153" w:type="pct"/>
            <w:shd w:val="clear" w:color="auto" w:fill="auto"/>
            <w:vAlign w:val="center"/>
          </w:tcPr>
          <w:p w14:paraId="1552E8CD" w14:textId="77777777" w:rsidR="00FF6101" w:rsidRPr="00B0658A" w:rsidRDefault="00FF6101" w:rsidP="00004A41">
            <w:pPr>
              <w:spacing w:after="0" w:line="240" w:lineRule="auto"/>
              <w:rPr>
                <w:rFonts w:ascii="Times New Roman" w:hAnsi="Times New Roman"/>
                <w:sz w:val="20"/>
                <w:szCs w:val="20"/>
              </w:rPr>
            </w:pPr>
            <w:r w:rsidRPr="00B0658A">
              <w:rPr>
                <w:rFonts w:ascii="Times New Roman" w:hAnsi="Times New Roman"/>
                <w:sz w:val="20"/>
                <w:szCs w:val="20"/>
              </w:rPr>
              <w:t>Средства управления процессами организации/ Средства управления отношениями с клиентами (CRM)</w:t>
            </w:r>
          </w:p>
        </w:tc>
        <w:tc>
          <w:tcPr>
            <w:tcW w:w="624" w:type="pct"/>
          </w:tcPr>
          <w:p w14:paraId="28B9C2B6" w14:textId="77777777" w:rsidR="00FF6101" w:rsidRPr="00B0658A" w:rsidRDefault="00FF6101" w:rsidP="00004A41">
            <w:pPr>
              <w:spacing w:after="0" w:line="240" w:lineRule="auto"/>
              <w:rPr>
                <w:rFonts w:ascii="Times New Roman" w:hAnsi="Times New Roman"/>
                <w:i/>
                <w:iCs/>
                <w:sz w:val="20"/>
                <w:szCs w:val="20"/>
              </w:rPr>
            </w:pPr>
          </w:p>
        </w:tc>
        <w:tc>
          <w:tcPr>
            <w:tcW w:w="1090" w:type="pct"/>
            <w:shd w:val="clear" w:color="auto" w:fill="auto"/>
          </w:tcPr>
          <w:p w14:paraId="796F8978" w14:textId="77777777" w:rsidR="00FF6101" w:rsidRPr="00B0658A" w:rsidRDefault="00FF6101" w:rsidP="00004A41">
            <w:pPr>
              <w:spacing w:after="0" w:line="240" w:lineRule="auto"/>
              <w:rPr>
                <w:rFonts w:ascii="Times New Roman" w:hAnsi="Times New Roman"/>
                <w:i/>
                <w:iCs/>
                <w:sz w:val="20"/>
                <w:szCs w:val="20"/>
              </w:rPr>
            </w:pPr>
          </w:p>
        </w:tc>
        <w:tc>
          <w:tcPr>
            <w:tcW w:w="1036" w:type="pct"/>
            <w:shd w:val="clear" w:color="auto" w:fill="auto"/>
          </w:tcPr>
          <w:p w14:paraId="46F9BA21" w14:textId="77777777" w:rsidR="00FF6101" w:rsidRPr="00B0658A" w:rsidRDefault="00FF6101" w:rsidP="00004A41">
            <w:pPr>
              <w:spacing w:after="0" w:line="240" w:lineRule="auto"/>
              <w:rPr>
                <w:rFonts w:ascii="Times New Roman" w:hAnsi="Times New Roman"/>
                <w:i/>
                <w:iCs/>
                <w:sz w:val="20"/>
                <w:szCs w:val="20"/>
              </w:rPr>
            </w:pPr>
          </w:p>
        </w:tc>
        <w:tc>
          <w:tcPr>
            <w:tcW w:w="894" w:type="pct"/>
            <w:shd w:val="clear" w:color="auto" w:fill="auto"/>
          </w:tcPr>
          <w:p w14:paraId="75664F70" w14:textId="77777777" w:rsidR="00FF6101" w:rsidRPr="00B0658A" w:rsidRDefault="00FF6101" w:rsidP="00004A41">
            <w:pPr>
              <w:spacing w:after="0" w:line="240" w:lineRule="auto"/>
              <w:jc w:val="both"/>
              <w:rPr>
                <w:rFonts w:ascii="Times New Roman" w:hAnsi="Times New Roman"/>
                <w:i/>
                <w:iCs/>
                <w:sz w:val="20"/>
                <w:szCs w:val="20"/>
              </w:rPr>
            </w:pPr>
          </w:p>
        </w:tc>
      </w:tr>
      <w:tr w:rsidR="00F52FED" w:rsidRPr="00B0658A" w14:paraId="662E10C8" w14:textId="77777777" w:rsidTr="00FF6101">
        <w:trPr>
          <w:trHeight w:val="170"/>
        </w:trPr>
        <w:tc>
          <w:tcPr>
            <w:tcW w:w="203" w:type="pct"/>
            <w:shd w:val="clear" w:color="auto" w:fill="auto"/>
          </w:tcPr>
          <w:p w14:paraId="06D65179" w14:textId="77777777" w:rsidR="00FF6101" w:rsidRPr="00B0658A" w:rsidRDefault="00FF6101" w:rsidP="00004A41">
            <w:pPr>
              <w:spacing w:after="0" w:line="240" w:lineRule="auto"/>
              <w:rPr>
                <w:rFonts w:ascii="Times New Roman" w:hAnsi="Times New Roman"/>
                <w:sz w:val="20"/>
                <w:szCs w:val="20"/>
              </w:rPr>
            </w:pPr>
            <w:r w:rsidRPr="00B0658A">
              <w:rPr>
                <w:rFonts w:ascii="Times New Roman" w:hAnsi="Times New Roman"/>
                <w:sz w:val="20"/>
                <w:szCs w:val="20"/>
              </w:rPr>
              <w:t>9.10</w:t>
            </w:r>
          </w:p>
        </w:tc>
        <w:tc>
          <w:tcPr>
            <w:tcW w:w="1153" w:type="pct"/>
            <w:shd w:val="clear" w:color="auto" w:fill="auto"/>
            <w:vAlign w:val="center"/>
          </w:tcPr>
          <w:p w14:paraId="670049A0" w14:textId="77777777" w:rsidR="00FF6101" w:rsidRPr="00B0658A" w:rsidRDefault="00FF6101" w:rsidP="00004A41">
            <w:pPr>
              <w:spacing w:after="0" w:line="240" w:lineRule="auto"/>
              <w:rPr>
                <w:rFonts w:ascii="Times New Roman" w:hAnsi="Times New Roman"/>
                <w:sz w:val="20"/>
                <w:szCs w:val="20"/>
              </w:rPr>
            </w:pPr>
            <w:r w:rsidRPr="00B0658A">
              <w:rPr>
                <w:rFonts w:ascii="Times New Roman" w:hAnsi="Times New Roman"/>
                <w:sz w:val="20"/>
                <w:szCs w:val="20"/>
              </w:rPr>
              <w:t>Средства управления процессами организации/ Средства управления ИТ-службой, ИТ-инфраструктурой и ИТ-активами (ITSM-ServiceDesk, SCCM, Asset Management)</w:t>
            </w:r>
          </w:p>
        </w:tc>
        <w:tc>
          <w:tcPr>
            <w:tcW w:w="624" w:type="pct"/>
          </w:tcPr>
          <w:p w14:paraId="11156195" w14:textId="77777777" w:rsidR="00FF6101" w:rsidRPr="00B0658A" w:rsidRDefault="00FF6101" w:rsidP="00004A41">
            <w:pPr>
              <w:spacing w:after="0" w:line="240" w:lineRule="auto"/>
              <w:rPr>
                <w:rFonts w:ascii="Times New Roman" w:hAnsi="Times New Roman"/>
                <w:i/>
                <w:iCs/>
                <w:sz w:val="20"/>
                <w:szCs w:val="20"/>
              </w:rPr>
            </w:pPr>
          </w:p>
        </w:tc>
        <w:tc>
          <w:tcPr>
            <w:tcW w:w="1090" w:type="pct"/>
            <w:shd w:val="clear" w:color="auto" w:fill="auto"/>
          </w:tcPr>
          <w:p w14:paraId="7C4D5E87" w14:textId="77777777" w:rsidR="00FF6101" w:rsidRPr="00B0658A" w:rsidRDefault="00FF6101" w:rsidP="00004A41">
            <w:pPr>
              <w:spacing w:after="0" w:line="240" w:lineRule="auto"/>
              <w:rPr>
                <w:rFonts w:ascii="Times New Roman" w:hAnsi="Times New Roman"/>
                <w:i/>
                <w:iCs/>
                <w:sz w:val="20"/>
                <w:szCs w:val="20"/>
              </w:rPr>
            </w:pPr>
          </w:p>
        </w:tc>
        <w:tc>
          <w:tcPr>
            <w:tcW w:w="1036" w:type="pct"/>
            <w:shd w:val="clear" w:color="auto" w:fill="auto"/>
          </w:tcPr>
          <w:p w14:paraId="3F30533C" w14:textId="77777777" w:rsidR="00FF6101" w:rsidRPr="00B0658A" w:rsidRDefault="00FF6101" w:rsidP="00004A41">
            <w:pPr>
              <w:spacing w:after="0" w:line="240" w:lineRule="auto"/>
              <w:rPr>
                <w:rFonts w:ascii="Times New Roman" w:hAnsi="Times New Roman"/>
                <w:i/>
                <w:iCs/>
                <w:sz w:val="20"/>
                <w:szCs w:val="20"/>
              </w:rPr>
            </w:pPr>
          </w:p>
        </w:tc>
        <w:tc>
          <w:tcPr>
            <w:tcW w:w="894" w:type="pct"/>
            <w:shd w:val="clear" w:color="auto" w:fill="auto"/>
          </w:tcPr>
          <w:p w14:paraId="3BF5F7BE" w14:textId="77777777" w:rsidR="00FF6101" w:rsidRPr="00B0658A" w:rsidRDefault="00FF6101" w:rsidP="00004A41">
            <w:pPr>
              <w:spacing w:after="0" w:line="240" w:lineRule="auto"/>
              <w:jc w:val="both"/>
              <w:rPr>
                <w:rFonts w:ascii="Times New Roman" w:hAnsi="Times New Roman"/>
                <w:i/>
                <w:iCs/>
                <w:sz w:val="20"/>
                <w:szCs w:val="20"/>
              </w:rPr>
            </w:pPr>
          </w:p>
        </w:tc>
      </w:tr>
      <w:tr w:rsidR="00F52FED" w:rsidRPr="00B0658A" w14:paraId="45F6606B" w14:textId="77777777" w:rsidTr="00FF6101">
        <w:trPr>
          <w:trHeight w:val="170"/>
        </w:trPr>
        <w:tc>
          <w:tcPr>
            <w:tcW w:w="203" w:type="pct"/>
            <w:shd w:val="clear" w:color="auto" w:fill="auto"/>
          </w:tcPr>
          <w:p w14:paraId="1046C3EB" w14:textId="77777777" w:rsidR="00FF6101" w:rsidRPr="00B0658A" w:rsidRDefault="00FF6101" w:rsidP="00004A41">
            <w:pPr>
              <w:spacing w:after="0" w:line="240" w:lineRule="auto"/>
              <w:rPr>
                <w:rFonts w:ascii="Times New Roman" w:hAnsi="Times New Roman"/>
                <w:sz w:val="20"/>
                <w:szCs w:val="20"/>
              </w:rPr>
            </w:pPr>
            <w:r w:rsidRPr="00B0658A">
              <w:rPr>
                <w:rFonts w:ascii="Times New Roman" w:hAnsi="Times New Roman"/>
                <w:sz w:val="20"/>
                <w:szCs w:val="20"/>
              </w:rPr>
              <w:t>9.11</w:t>
            </w:r>
          </w:p>
        </w:tc>
        <w:tc>
          <w:tcPr>
            <w:tcW w:w="1153" w:type="pct"/>
            <w:shd w:val="clear" w:color="auto" w:fill="auto"/>
            <w:vAlign w:val="center"/>
          </w:tcPr>
          <w:p w14:paraId="05D6BA22" w14:textId="77777777" w:rsidR="00FF6101" w:rsidRPr="00B0658A" w:rsidRDefault="00FF6101" w:rsidP="00004A41">
            <w:pPr>
              <w:suppressAutoHyphens/>
              <w:spacing w:after="0" w:line="240" w:lineRule="auto"/>
              <w:rPr>
                <w:rFonts w:ascii="Times New Roman" w:hAnsi="Times New Roman"/>
                <w:sz w:val="20"/>
                <w:szCs w:val="20"/>
              </w:rPr>
            </w:pPr>
            <w:r w:rsidRPr="00B0658A">
              <w:rPr>
                <w:rFonts w:ascii="Times New Roman" w:hAnsi="Times New Roman"/>
                <w:sz w:val="20"/>
                <w:szCs w:val="20"/>
              </w:rPr>
              <w:t xml:space="preserve">Средства управления процессами организации/ Средства управления содержимым (CMS), сайты </w:t>
            </w:r>
          </w:p>
          <w:p w14:paraId="19AF60D4" w14:textId="77777777" w:rsidR="00FF6101" w:rsidRPr="00B0658A" w:rsidRDefault="00FF6101" w:rsidP="00004A41">
            <w:pPr>
              <w:suppressAutoHyphens/>
              <w:spacing w:after="0" w:line="240" w:lineRule="auto"/>
              <w:rPr>
                <w:rFonts w:ascii="Times New Roman" w:hAnsi="Times New Roman"/>
                <w:sz w:val="20"/>
                <w:szCs w:val="20"/>
              </w:rPr>
            </w:pPr>
            <w:r w:rsidRPr="00B0658A">
              <w:rPr>
                <w:rFonts w:ascii="Times New Roman" w:hAnsi="Times New Roman"/>
                <w:sz w:val="20"/>
                <w:szCs w:val="20"/>
              </w:rPr>
              <w:t>и портальные решения</w:t>
            </w:r>
          </w:p>
        </w:tc>
        <w:tc>
          <w:tcPr>
            <w:tcW w:w="624" w:type="pct"/>
          </w:tcPr>
          <w:p w14:paraId="78225A83" w14:textId="77777777" w:rsidR="00FF6101" w:rsidRPr="00B0658A" w:rsidRDefault="00FF6101" w:rsidP="00004A41">
            <w:pPr>
              <w:spacing w:after="0" w:line="240" w:lineRule="auto"/>
              <w:rPr>
                <w:rFonts w:ascii="Times New Roman" w:hAnsi="Times New Roman"/>
                <w:i/>
                <w:iCs/>
                <w:sz w:val="20"/>
                <w:szCs w:val="20"/>
              </w:rPr>
            </w:pPr>
          </w:p>
        </w:tc>
        <w:tc>
          <w:tcPr>
            <w:tcW w:w="1090" w:type="pct"/>
            <w:shd w:val="clear" w:color="auto" w:fill="auto"/>
          </w:tcPr>
          <w:p w14:paraId="58F747F4" w14:textId="77777777" w:rsidR="00FF6101" w:rsidRPr="00B0658A" w:rsidRDefault="00FF6101" w:rsidP="00004A41">
            <w:pPr>
              <w:spacing w:after="0" w:line="240" w:lineRule="auto"/>
              <w:rPr>
                <w:rFonts w:ascii="Times New Roman" w:hAnsi="Times New Roman"/>
                <w:i/>
                <w:iCs/>
                <w:sz w:val="20"/>
                <w:szCs w:val="20"/>
              </w:rPr>
            </w:pPr>
          </w:p>
        </w:tc>
        <w:tc>
          <w:tcPr>
            <w:tcW w:w="1036" w:type="pct"/>
            <w:shd w:val="clear" w:color="auto" w:fill="auto"/>
          </w:tcPr>
          <w:p w14:paraId="219038EE" w14:textId="77777777" w:rsidR="00FF6101" w:rsidRPr="00B0658A" w:rsidRDefault="00FF6101" w:rsidP="00004A41">
            <w:pPr>
              <w:spacing w:after="0" w:line="240" w:lineRule="auto"/>
              <w:rPr>
                <w:rFonts w:ascii="Times New Roman" w:hAnsi="Times New Roman"/>
                <w:i/>
                <w:iCs/>
                <w:sz w:val="20"/>
                <w:szCs w:val="20"/>
              </w:rPr>
            </w:pPr>
          </w:p>
        </w:tc>
        <w:tc>
          <w:tcPr>
            <w:tcW w:w="894" w:type="pct"/>
            <w:shd w:val="clear" w:color="auto" w:fill="auto"/>
          </w:tcPr>
          <w:p w14:paraId="34E4BB68" w14:textId="77777777" w:rsidR="00FF6101" w:rsidRPr="00B0658A" w:rsidRDefault="00FF6101" w:rsidP="00004A41">
            <w:pPr>
              <w:spacing w:after="0" w:line="240" w:lineRule="auto"/>
              <w:jc w:val="both"/>
              <w:rPr>
                <w:rFonts w:ascii="Times New Roman" w:hAnsi="Times New Roman"/>
                <w:i/>
                <w:iCs/>
                <w:sz w:val="20"/>
                <w:szCs w:val="20"/>
              </w:rPr>
            </w:pPr>
          </w:p>
        </w:tc>
      </w:tr>
      <w:tr w:rsidR="00F52FED" w:rsidRPr="00B0658A" w14:paraId="5C97A17E" w14:textId="77777777" w:rsidTr="00FF6101">
        <w:trPr>
          <w:trHeight w:val="170"/>
        </w:trPr>
        <w:tc>
          <w:tcPr>
            <w:tcW w:w="203" w:type="pct"/>
            <w:shd w:val="clear" w:color="auto" w:fill="auto"/>
          </w:tcPr>
          <w:p w14:paraId="17DDC855" w14:textId="77777777" w:rsidR="00FF6101" w:rsidRPr="00B0658A" w:rsidRDefault="00FF6101" w:rsidP="00004A41">
            <w:pPr>
              <w:spacing w:after="0" w:line="240" w:lineRule="auto"/>
              <w:rPr>
                <w:rFonts w:ascii="Times New Roman" w:hAnsi="Times New Roman"/>
                <w:sz w:val="20"/>
                <w:szCs w:val="20"/>
              </w:rPr>
            </w:pPr>
            <w:r w:rsidRPr="00B0658A">
              <w:rPr>
                <w:rFonts w:ascii="Times New Roman" w:hAnsi="Times New Roman"/>
                <w:sz w:val="20"/>
                <w:szCs w:val="20"/>
              </w:rPr>
              <w:t>9.12</w:t>
            </w:r>
          </w:p>
        </w:tc>
        <w:tc>
          <w:tcPr>
            <w:tcW w:w="1153" w:type="pct"/>
            <w:shd w:val="clear" w:color="auto" w:fill="auto"/>
            <w:vAlign w:val="center"/>
          </w:tcPr>
          <w:p w14:paraId="325B2817" w14:textId="77777777" w:rsidR="00FF6101" w:rsidRPr="00B0658A" w:rsidRDefault="00FF6101" w:rsidP="00004A41">
            <w:pPr>
              <w:spacing w:after="0" w:line="240" w:lineRule="auto"/>
              <w:rPr>
                <w:rFonts w:ascii="Times New Roman" w:hAnsi="Times New Roman"/>
                <w:sz w:val="20"/>
                <w:szCs w:val="20"/>
              </w:rPr>
            </w:pPr>
            <w:r w:rsidRPr="00B0658A">
              <w:rPr>
                <w:rFonts w:ascii="Times New Roman" w:hAnsi="Times New Roman"/>
                <w:sz w:val="20"/>
                <w:szCs w:val="20"/>
              </w:rPr>
              <w:t>Средства управления процессами организации/ Средства электронной коммерции (e-commerce platform)</w:t>
            </w:r>
          </w:p>
        </w:tc>
        <w:tc>
          <w:tcPr>
            <w:tcW w:w="624" w:type="pct"/>
          </w:tcPr>
          <w:p w14:paraId="6E1DD192" w14:textId="77777777" w:rsidR="00FF6101" w:rsidRPr="00B0658A" w:rsidRDefault="00FF6101" w:rsidP="00004A41">
            <w:pPr>
              <w:spacing w:after="0" w:line="240" w:lineRule="auto"/>
              <w:rPr>
                <w:rFonts w:ascii="Times New Roman" w:hAnsi="Times New Roman"/>
                <w:i/>
                <w:iCs/>
                <w:sz w:val="20"/>
                <w:szCs w:val="20"/>
              </w:rPr>
            </w:pPr>
          </w:p>
        </w:tc>
        <w:tc>
          <w:tcPr>
            <w:tcW w:w="1090" w:type="pct"/>
            <w:shd w:val="clear" w:color="auto" w:fill="auto"/>
          </w:tcPr>
          <w:p w14:paraId="08FDB85E" w14:textId="77777777" w:rsidR="00FF6101" w:rsidRPr="00B0658A" w:rsidRDefault="00FF6101" w:rsidP="00004A41">
            <w:pPr>
              <w:spacing w:after="0" w:line="240" w:lineRule="auto"/>
              <w:rPr>
                <w:rFonts w:ascii="Times New Roman" w:hAnsi="Times New Roman"/>
                <w:i/>
                <w:iCs/>
                <w:sz w:val="20"/>
                <w:szCs w:val="20"/>
              </w:rPr>
            </w:pPr>
          </w:p>
        </w:tc>
        <w:tc>
          <w:tcPr>
            <w:tcW w:w="1036" w:type="pct"/>
            <w:shd w:val="clear" w:color="auto" w:fill="auto"/>
          </w:tcPr>
          <w:p w14:paraId="08969809" w14:textId="77777777" w:rsidR="00FF6101" w:rsidRPr="00B0658A" w:rsidRDefault="00FF6101" w:rsidP="00004A41">
            <w:pPr>
              <w:spacing w:after="0" w:line="240" w:lineRule="auto"/>
              <w:rPr>
                <w:rFonts w:ascii="Times New Roman" w:hAnsi="Times New Roman"/>
                <w:i/>
                <w:iCs/>
                <w:sz w:val="20"/>
                <w:szCs w:val="20"/>
              </w:rPr>
            </w:pPr>
          </w:p>
        </w:tc>
        <w:tc>
          <w:tcPr>
            <w:tcW w:w="894" w:type="pct"/>
            <w:shd w:val="clear" w:color="auto" w:fill="auto"/>
          </w:tcPr>
          <w:p w14:paraId="1453595B" w14:textId="77777777" w:rsidR="00FF6101" w:rsidRPr="00B0658A" w:rsidRDefault="00FF6101" w:rsidP="00004A41">
            <w:pPr>
              <w:spacing w:after="0" w:line="240" w:lineRule="auto"/>
              <w:jc w:val="both"/>
              <w:rPr>
                <w:rFonts w:ascii="Times New Roman" w:hAnsi="Times New Roman"/>
                <w:i/>
                <w:iCs/>
                <w:sz w:val="20"/>
                <w:szCs w:val="20"/>
              </w:rPr>
            </w:pPr>
          </w:p>
        </w:tc>
      </w:tr>
      <w:tr w:rsidR="00F52FED" w:rsidRPr="00B0658A" w14:paraId="3234A36E" w14:textId="77777777" w:rsidTr="00FF6101">
        <w:trPr>
          <w:trHeight w:val="170"/>
        </w:trPr>
        <w:tc>
          <w:tcPr>
            <w:tcW w:w="203" w:type="pct"/>
            <w:shd w:val="clear" w:color="auto" w:fill="auto"/>
          </w:tcPr>
          <w:p w14:paraId="401B49C5" w14:textId="77777777" w:rsidR="00FF6101" w:rsidRPr="00B0658A" w:rsidRDefault="00FF6101" w:rsidP="00004A41">
            <w:pPr>
              <w:spacing w:after="0" w:line="240" w:lineRule="auto"/>
              <w:rPr>
                <w:rFonts w:ascii="Times New Roman" w:hAnsi="Times New Roman"/>
                <w:sz w:val="20"/>
                <w:szCs w:val="20"/>
              </w:rPr>
            </w:pPr>
            <w:r w:rsidRPr="00B0658A">
              <w:rPr>
                <w:rFonts w:ascii="Times New Roman" w:hAnsi="Times New Roman"/>
                <w:sz w:val="20"/>
                <w:szCs w:val="20"/>
              </w:rPr>
              <w:t>9.13</w:t>
            </w:r>
          </w:p>
        </w:tc>
        <w:tc>
          <w:tcPr>
            <w:tcW w:w="1153" w:type="pct"/>
            <w:shd w:val="clear" w:color="auto" w:fill="auto"/>
            <w:vAlign w:val="center"/>
          </w:tcPr>
          <w:p w14:paraId="71E9F317" w14:textId="77777777" w:rsidR="00FF6101" w:rsidRPr="00B0658A" w:rsidRDefault="00FF6101" w:rsidP="00004A41">
            <w:pPr>
              <w:spacing w:after="0" w:line="240" w:lineRule="auto"/>
              <w:rPr>
                <w:rFonts w:ascii="Times New Roman" w:hAnsi="Times New Roman"/>
                <w:sz w:val="20"/>
                <w:szCs w:val="20"/>
              </w:rPr>
            </w:pPr>
            <w:r w:rsidRPr="00B0658A">
              <w:rPr>
                <w:rFonts w:ascii="Times New Roman" w:hAnsi="Times New Roman"/>
                <w:sz w:val="20"/>
                <w:szCs w:val="20"/>
              </w:rPr>
              <w:t>Средства управления процессами организации/ Средства управления складом и цепочками поставок (WMS, SCM)</w:t>
            </w:r>
          </w:p>
        </w:tc>
        <w:tc>
          <w:tcPr>
            <w:tcW w:w="624" w:type="pct"/>
          </w:tcPr>
          <w:p w14:paraId="371FA21B" w14:textId="77777777" w:rsidR="00FF6101" w:rsidRPr="00B0658A" w:rsidRDefault="00FF6101" w:rsidP="00004A41">
            <w:pPr>
              <w:spacing w:after="0" w:line="240" w:lineRule="auto"/>
              <w:rPr>
                <w:rFonts w:ascii="Times New Roman" w:hAnsi="Times New Roman"/>
                <w:i/>
                <w:iCs/>
                <w:sz w:val="20"/>
                <w:szCs w:val="20"/>
              </w:rPr>
            </w:pPr>
          </w:p>
        </w:tc>
        <w:tc>
          <w:tcPr>
            <w:tcW w:w="1090" w:type="pct"/>
            <w:shd w:val="clear" w:color="auto" w:fill="auto"/>
          </w:tcPr>
          <w:p w14:paraId="539ABD40" w14:textId="77777777" w:rsidR="00FF6101" w:rsidRPr="00B0658A" w:rsidRDefault="00FF6101" w:rsidP="00004A41">
            <w:pPr>
              <w:spacing w:after="0" w:line="240" w:lineRule="auto"/>
              <w:rPr>
                <w:rFonts w:ascii="Times New Roman" w:hAnsi="Times New Roman"/>
                <w:i/>
                <w:iCs/>
                <w:sz w:val="20"/>
                <w:szCs w:val="20"/>
              </w:rPr>
            </w:pPr>
          </w:p>
        </w:tc>
        <w:tc>
          <w:tcPr>
            <w:tcW w:w="1036" w:type="pct"/>
            <w:shd w:val="clear" w:color="auto" w:fill="auto"/>
          </w:tcPr>
          <w:p w14:paraId="725B191D" w14:textId="77777777" w:rsidR="00FF6101" w:rsidRPr="00B0658A" w:rsidRDefault="00FF6101" w:rsidP="00004A41">
            <w:pPr>
              <w:spacing w:after="0" w:line="240" w:lineRule="auto"/>
              <w:rPr>
                <w:rFonts w:ascii="Times New Roman" w:hAnsi="Times New Roman"/>
                <w:i/>
                <w:iCs/>
                <w:sz w:val="20"/>
                <w:szCs w:val="20"/>
              </w:rPr>
            </w:pPr>
          </w:p>
        </w:tc>
        <w:tc>
          <w:tcPr>
            <w:tcW w:w="894" w:type="pct"/>
            <w:shd w:val="clear" w:color="auto" w:fill="auto"/>
          </w:tcPr>
          <w:p w14:paraId="2BDF57B6" w14:textId="77777777" w:rsidR="00FF6101" w:rsidRPr="00B0658A" w:rsidRDefault="00FF6101" w:rsidP="00004A41">
            <w:pPr>
              <w:spacing w:after="0" w:line="240" w:lineRule="auto"/>
              <w:jc w:val="both"/>
              <w:rPr>
                <w:rFonts w:ascii="Times New Roman" w:hAnsi="Times New Roman"/>
                <w:i/>
                <w:iCs/>
                <w:sz w:val="20"/>
                <w:szCs w:val="20"/>
              </w:rPr>
            </w:pPr>
          </w:p>
        </w:tc>
      </w:tr>
      <w:tr w:rsidR="00F52FED" w:rsidRPr="00B0658A" w14:paraId="643B04A6" w14:textId="77777777" w:rsidTr="00FF6101">
        <w:trPr>
          <w:trHeight w:val="170"/>
        </w:trPr>
        <w:tc>
          <w:tcPr>
            <w:tcW w:w="203" w:type="pct"/>
            <w:shd w:val="clear" w:color="auto" w:fill="auto"/>
          </w:tcPr>
          <w:p w14:paraId="286E8349" w14:textId="77777777" w:rsidR="00FF6101" w:rsidRPr="00B0658A" w:rsidRDefault="00FF6101" w:rsidP="00004A41">
            <w:pPr>
              <w:spacing w:after="0" w:line="240" w:lineRule="auto"/>
              <w:rPr>
                <w:rFonts w:ascii="Times New Roman" w:hAnsi="Times New Roman"/>
                <w:sz w:val="20"/>
                <w:szCs w:val="20"/>
              </w:rPr>
            </w:pPr>
            <w:r w:rsidRPr="00B0658A">
              <w:rPr>
                <w:rFonts w:ascii="Times New Roman" w:hAnsi="Times New Roman"/>
                <w:sz w:val="20"/>
                <w:szCs w:val="20"/>
              </w:rPr>
              <w:t>9.14</w:t>
            </w:r>
          </w:p>
        </w:tc>
        <w:tc>
          <w:tcPr>
            <w:tcW w:w="1153" w:type="pct"/>
            <w:shd w:val="clear" w:color="auto" w:fill="auto"/>
            <w:vAlign w:val="center"/>
          </w:tcPr>
          <w:p w14:paraId="32AF5692" w14:textId="77777777" w:rsidR="00FF6101" w:rsidRPr="00B0658A" w:rsidRDefault="00FF6101" w:rsidP="00004A41">
            <w:pPr>
              <w:spacing w:after="0" w:line="240" w:lineRule="auto"/>
              <w:rPr>
                <w:rFonts w:ascii="Times New Roman" w:hAnsi="Times New Roman"/>
                <w:sz w:val="20"/>
                <w:szCs w:val="20"/>
              </w:rPr>
            </w:pPr>
            <w:r w:rsidRPr="00B0658A">
              <w:rPr>
                <w:rFonts w:ascii="Times New Roman" w:hAnsi="Times New Roman"/>
                <w:sz w:val="20"/>
                <w:szCs w:val="20"/>
              </w:rPr>
              <w:t xml:space="preserve">Средства управления процессами организации/ Средства </w:t>
            </w:r>
            <w:r w:rsidRPr="00B0658A">
              <w:rPr>
                <w:rFonts w:ascii="Times New Roman" w:hAnsi="Times New Roman"/>
                <w:sz w:val="20"/>
                <w:szCs w:val="20"/>
              </w:rPr>
              <w:lastRenderedPageBreak/>
              <w:t>централизованного управления конечными устройствами</w:t>
            </w:r>
          </w:p>
        </w:tc>
        <w:tc>
          <w:tcPr>
            <w:tcW w:w="624" w:type="pct"/>
          </w:tcPr>
          <w:p w14:paraId="0B98EAB8" w14:textId="77777777" w:rsidR="00FF6101" w:rsidRPr="00B0658A" w:rsidRDefault="00FF6101" w:rsidP="00004A41">
            <w:pPr>
              <w:spacing w:after="0" w:line="240" w:lineRule="auto"/>
              <w:rPr>
                <w:rFonts w:ascii="Times New Roman" w:hAnsi="Times New Roman"/>
                <w:i/>
                <w:iCs/>
                <w:sz w:val="20"/>
                <w:szCs w:val="20"/>
              </w:rPr>
            </w:pPr>
          </w:p>
        </w:tc>
        <w:tc>
          <w:tcPr>
            <w:tcW w:w="1090" w:type="pct"/>
            <w:shd w:val="clear" w:color="auto" w:fill="auto"/>
          </w:tcPr>
          <w:p w14:paraId="047159DB" w14:textId="77777777" w:rsidR="00FF6101" w:rsidRPr="00B0658A" w:rsidRDefault="00FF6101" w:rsidP="00004A41">
            <w:pPr>
              <w:spacing w:after="0" w:line="240" w:lineRule="auto"/>
              <w:rPr>
                <w:rFonts w:ascii="Times New Roman" w:hAnsi="Times New Roman"/>
                <w:i/>
                <w:iCs/>
                <w:sz w:val="20"/>
                <w:szCs w:val="20"/>
              </w:rPr>
            </w:pPr>
          </w:p>
        </w:tc>
        <w:tc>
          <w:tcPr>
            <w:tcW w:w="1036" w:type="pct"/>
            <w:shd w:val="clear" w:color="auto" w:fill="auto"/>
          </w:tcPr>
          <w:p w14:paraId="0B90E534" w14:textId="77777777" w:rsidR="00FF6101" w:rsidRPr="00B0658A" w:rsidRDefault="00FF6101" w:rsidP="00004A41">
            <w:pPr>
              <w:spacing w:after="0" w:line="240" w:lineRule="auto"/>
              <w:rPr>
                <w:rFonts w:ascii="Times New Roman" w:hAnsi="Times New Roman"/>
                <w:i/>
                <w:iCs/>
                <w:sz w:val="20"/>
                <w:szCs w:val="20"/>
              </w:rPr>
            </w:pPr>
          </w:p>
        </w:tc>
        <w:tc>
          <w:tcPr>
            <w:tcW w:w="894" w:type="pct"/>
            <w:shd w:val="clear" w:color="auto" w:fill="auto"/>
          </w:tcPr>
          <w:p w14:paraId="50B5A9AC" w14:textId="77777777" w:rsidR="00FF6101" w:rsidRPr="00B0658A" w:rsidRDefault="00FF6101" w:rsidP="00004A41">
            <w:pPr>
              <w:spacing w:after="0" w:line="240" w:lineRule="auto"/>
              <w:jc w:val="both"/>
              <w:rPr>
                <w:rFonts w:ascii="Times New Roman" w:hAnsi="Times New Roman"/>
                <w:i/>
                <w:iCs/>
                <w:sz w:val="20"/>
                <w:szCs w:val="20"/>
              </w:rPr>
            </w:pPr>
          </w:p>
        </w:tc>
      </w:tr>
      <w:tr w:rsidR="00F52FED" w:rsidRPr="00B0658A" w14:paraId="1A5F25E9" w14:textId="77777777" w:rsidTr="00FF6101">
        <w:trPr>
          <w:trHeight w:val="170"/>
        </w:trPr>
        <w:tc>
          <w:tcPr>
            <w:tcW w:w="203" w:type="pct"/>
            <w:shd w:val="clear" w:color="auto" w:fill="auto"/>
          </w:tcPr>
          <w:p w14:paraId="472E33FD" w14:textId="77777777" w:rsidR="00FF6101" w:rsidRPr="00B0658A" w:rsidRDefault="00FF6101" w:rsidP="00004A41">
            <w:pPr>
              <w:spacing w:after="0" w:line="240" w:lineRule="auto"/>
              <w:rPr>
                <w:rFonts w:ascii="Times New Roman" w:hAnsi="Times New Roman"/>
                <w:sz w:val="20"/>
                <w:szCs w:val="20"/>
              </w:rPr>
            </w:pPr>
            <w:r w:rsidRPr="00B0658A">
              <w:rPr>
                <w:rFonts w:ascii="Times New Roman" w:hAnsi="Times New Roman"/>
                <w:sz w:val="20"/>
                <w:szCs w:val="20"/>
              </w:rPr>
              <w:t>10.1</w:t>
            </w:r>
          </w:p>
        </w:tc>
        <w:tc>
          <w:tcPr>
            <w:tcW w:w="1153" w:type="pct"/>
            <w:shd w:val="clear" w:color="auto" w:fill="auto"/>
            <w:vAlign w:val="center"/>
          </w:tcPr>
          <w:p w14:paraId="528D4906" w14:textId="77777777" w:rsidR="00FF6101" w:rsidRPr="00B0658A" w:rsidRDefault="00FF6101" w:rsidP="00004A41">
            <w:pPr>
              <w:spacing w:after="0" w:line="240" w:lineRule="auto"/>
              <w:rPr>
                <w:rFonts w:ascii="Times New Roman" w:hAnsi="Times New Roman"/>
                <w:sz w:val="20"/>
                <w:szCs w:val="20"/>
              </w:rPr>
            </w:pPr>
            <w:r w:rsidRPr="00B0658A">
              <w:rPr>
                <w:rFonts w:ascii="Times New Roman" w:hAnsi="Times New Roman"/>
                <w:sz w:val="20"/>
                <w:szCs w:val="20"/>
              </w:rPr>
              <w:t>Средства обработки и визуализации массивов данных/ Средства обработки Больших Данных (BigData)</w:t>
            </w:r>
          </w:p>
        </w:tc>
        <w:tc>
          <w:tcPr>
            <w:tcW w:w="624" w:type="pct"/>
          </w:tcPr>
          <w:p w14:paraId="11375C66" w14:textId="77777777" w:rsidR="00FF6101" w:rsidRPr="00B0658A" w:rsidRDefault="00FF6101" w:rsidP="00004A41">
            <w:pPr>
              <w:spacing w:after="0" w:line="240" w:lineRule="auto"/>
              <w:rPr>
                <w:rFonts w:ascii="Times New Roman" w:hAnsi="Times New Roman"/>
                <w:i/>
                <w:iCs/>
                <w:sz w:val="20"/>
                <w:szCs w:val="20"/>
              </w:rPr>
            </w:pPr>
          </w:p>
        </w:tc>
        <w:tc>
          <w:tcPr>
            <w:tcW w:w="1090" w:type="pct"/>
            <w:shd w:val="clear" w:color="auto" w:fill="auto"/>
          </w:tcPr>
          <w:p w14:paraId="13E07A24" w14:textId="77777777" w:rsidR="00FF6101" w:rsidRPr="00B0658A" w:rsidRDefault="00FF6101" w:rsidP="00004A41">
            <w:pPr>
              <w:spacing w:after="0" w:line="240" w:lineRule="auto"/>
              <w:rPr>
                <w:rFonts w:ascii="Times New Roman" w:hAnsi="Times New Roman"/>
                <w:i/>
                <w:iCs/>
                <w:sz w:val="20"/>
                <w:szCs w:val="20"/>
              </w:rPr>
            </w:pPr>
          </w:p>
        </w:tc>
        <w:tc>
          <w:tcPr>
            <w:tcW w:w="1036" w:type="pct"/>
            <w:shd w:val="clear" w:color="auto" w:fill="auto"/>
          </w:tcPr>
          <w:p w14:paraId="25BA7CB0" w14:textId="77777777" w:rsidR="00FF6101" w:rsidRPr="00B0658A" w:rsidRDefault="00FF6101" w:rsidP="00004A41">
            <w:pPr>
              <w:spacing w:after="0" w:line="240" w:lineRule="auto"/>
              <w:rPr>
                <w:rFonts w:ascii="Times New Roman" w:hAnsi="Times New Roman"/>
                <w:i/>
                <w:iCs/>
                <w:sz w:val="20"/>
                <w:szCs w:val="20"/>
              </w:rPr>
            </w:pPr>
          </w:p>
        </w:tc>
        <w:tc>
          <w:tcPr>
            <w:tcW w:w="894" w:type="pct"/>
            <w:shd w:val="clear" w:color="auto" w:fill="auto"/>
          </w:tcPr>
          <w:p w14:paraId="7E4E3BF5" w14:textId="77777777" w:rsidR="00FF6101" w:rsidRPr="00B0658A" w:rsidRDefault="00FF6101" w:rsidP="00004A41">
            <w:pPr>
              <w:spacing w:after="0" w:line="240" w:lineRule="auto"/>
              <w:jc w:val="both"/>
              <w:rPr>
                <w:rFonts w:ascii="Times New Roman" w:hAnsi="Times New Roman"/>
                <w:i/>
                <w:iCs/>
                <w:sz w:val="20"/>
                <w:szCs w:val="20"/>
              </w:rPr>
            </w:pPr>
          </w:p>
        </w:tc>
      </w:tr>
      <w:tr w:rsidR="00F52FED" w:rsidRPr="00B0658A" w14:paraId="46DEB75E" w14:textId="77777777" w:rsidTr="00FF6101">
        <w:trPr>
          <w:trHeight w:val="170"/>
        </w:trPr>
        <w:tc>
          <w:tcPr>
            <w:tcW w:w="203" w:type="pct"/>
            <w:shd w:val="clear" w:color="auto" w:fill="auto"/>
          </w:tcPr>
          <w:p w14:paraId="4F3E1184" w14:textId="77777777" w:rsidR="00FF6101" w:rsidRPr="00B0658A" w:rsidRDefault="00FF6101" w:rsidP="00004A41">
            <w:pPr>
              <w:spacing w:after="0" w:line="240" w:lineRule="auto"/>
              <w:rPr>
                <w:rFonts w:ascii="Times New Roman" w:hAnsi="Times New Roman"/>
                <w:sz w:val="20"/>
                <w:szCs w:val="20"/>
              </w:rPr>
            </w:pPr>
            <w:r w:rsidRPr="00B0658A">
              <w:rPr>
                <w:rFonts w:ascii="Times New Roman" w:hAnsi="Times New Roman"/>
                <w:sz w:val="20"/>
                <w:szCs w:val="20"/>
              </w:rPr>
              <w:t>10.2</w:t>
            </w:r>
          </w:p>
        </w:tc>
        <w:tc>
          <w:tcPr>
            <w:tcW w:w="1153" w:type="pct"/>
            <w:shd w:val="clear" w:color="auto" w:fill="auto"/>
            <w:vAlign w:val="center"/>
          </w:tcPr>
          <w:p w14:paraId="1B32E5CC" w14:textId="77777777" w:rsidR="00FF6101" w:rsidRPr="00B0658A" w:rsidRDefault="00FF6101" w:rsidP="00004A41">
            <w:pPr>
              <w:spacing w:after="0" w:line="240" w:lineRule="auto"/>
              <w:rPr>
                <w:rFonts w:ascii="Times New Roman" w:hAnsi="Times New Roman"/>
                <w:sz w:val="20"/>
                <w:szCs w:val="20"/>
              </w:rPr>
            </w:pPr>
            <w:r w:rsidRPr="00B0658A">
              <w:rPr>
                <w:rFonts w:ascii="Times New Roman" w:hAnsi="Times New Roman"/>
                <w:sz w:val="20"/>
                <w:szCs w:val="20"/>
              </w:rPr>
              <w:t>Средства обработки и визуализации массивов данных/ Средства обработки и анализа геологических и геофизических данных</w:t>
            </w:r>
          </w:p>
        </w:tc>
        <w:tc>
          <w:tcPr>
            <w:tcW w:w="624" w:type="pct"/>
          </w:tcPr>
          <w:p w14:paraId="0AA68BB8" w14:textId="77777777" w:rsidR="00FF6101" w:rsidRPr="00B0658A" w:rsidRDefault="00FF6101" w:rsidP="00004A41">
            <w:pPr>
              <w:spacing w:after="0" w:line="240" w:lineRule="auto"/>
              <w:rPr>
                <w:rFonts w:ascii="Times New Roman" w:hAnsi="Times New Roman"/>
                <w:i/>
                <w:iCs/>
                <w:sz w:val="20"/>
                <w:szCs w:val="20"/>
              </w:rPr>
            </w:pPr>
          </w:p>
        </w:tc>
        <w:tc>
          <w:tcPr>
            <w:tcW w:w="1090" w:type="pct"/>
            <w:shd w:val="clear" w:color="auto" w:fill="auto"/>
          </w:tcPr>
          <w:p w14:paraId="324AC5B2" w14:textId="77777777" w:rsidR="00FF6101" w:rsidRPr="00B0658A" w:rsidRDefault="00FF6101" w:rsidP="00004A41">
            <w:pPr>
              <w:spacing w:after="0" w:line="240" w:lineRule="auto"/>
              <w:rPr>
                <w:rFonts w:ascii="Times New Roman" w:hAnsi="Times New Roman"/>
                <w:i/>
                <w:iCs/>
                <w:sz w:val="20"/>
                <w:szCs w:val="20"/>
              </w:rPr>
            </w:pPr>
          </w:p>
        </w:tc>
        <w:tc>
          <w:tcPr>
            <w:tcW w:w="1036" w:type="pct"/>
            <w:shd w:val="clear" w:color="auto" w:fill="auto"/>
          </w:tcPr>
          <w:p w14:paraId="798F0BD0" w14:textId="77777777" w:rsidR="00FF6101" w:rsidRPr="00B0658A" w:rsidRDefault="00FF6101" w:rsidP="00004A41">
            <w:pPr>
              <w:spacing w:after="0" w:line="240" w:lineRule="auto"/>
              <w:rPr>
                <w:rFonts w:ascii="Times New Roman" w:hAnsi="Times New Roman"/>
                <w:i/>
                <w:iCs/>
                <w:sz w:val="20"/>
                <w:szCs w:val="20"/>
              </w:rPr>
            </w:pPr>
          </w:p>
        </w:tc>
        <w:tc>
          <w:tcPr>
            <w:tcW w:w="894" w:type="pct"/>
            <w:shd w:val="clear" w:color="auto" w:fill="auto"/>
          </w:tcPr>
          <w:p w14:paraId="7FC515B5" w14:textId="77777777" w:rsidR="00FF6101" w:rsidRPr="00B0658A" w:rsidRDefault="00FF6101" w:rsidP="00004A41">
            <w:pPr>
              <w:spacing w:after="0" w:line="240" w:lineRule="auto"/>
              <w:jc w:val="both"/>
              <w:rPr>
                <w:rFonts w:ascii="Times New Roman" w:hAnsi="Times New Roman"/>
                <w:i/>
                <w:iCs/>
                <w:sz w:val="20"/>
                <w:szCs w:val="20"/>
              </w:rPr>
            </w:pPr>
          </w:p>
        </w:tc>
      </w:tr>
      <w:tr w:rsidR="00F52FED" w:rsidRPr="00B0658A" w14:paraId="127FE681" w14:textId="77777777" w:rsidTr="00FF6101">
        <w:trPr>
          <w:trHeight w:val="170"/>
        </w:trPr>
        <w:tc>
          <w:tcPr>
            <w:tcW w:w="203" w:type="pct"/>
            <w:shd w:val="clear" w:color="auto" w:fill="auto"/>
          </w:tcPr>
          <w:p w14:paraId="692D594D" w14:textId="77777777" w:rsidR="00FF6101" w:rsidRPr="00B0658A" w:rsidRDefault="00FF6101" w:rsidP="00004A41">
            <w:pPr>
              <w:spacing w:after="0" w:line="240" w:lineRule="auto"/>
              <w:rPr>
                <w:rFonts w:ascii="Times New Roman" w:hAnsi="Times New Roman"/>
                <w:sz w:val="20"/>
                <w:szCs w:val="20"/>
              </w:rPr>
            </w:pPr>
            <w:r w:rsidRPr="00B0658A">
              <w:rPr>
                <w:rFonts w:ascii="Times New Roman" w:hAnsi="Times New Roman"/>
                <w:sz w:val="20"/>
                <w:szCs w:val="20"/>
              </w:rPr>
              <w:t>10.3</w:t>
            </w:r>
          </w:p>
        </w:tc>
        <w:tc>
          <w:tcPr>
            <w:tcW w:w="1153" w:type="pct"/>
            <w:shd w:val="clear" w:color="auto" w:fill="auto"/>
            <w:vAlign w:val="center"/>
          </w:tcPr>
          <w:p w14:paraId="0BC7DC1B" w14:textId="77777777" w:rsidR="00FF6101" w:rsidRPr="00B0658A" w:rsidRDefault="00FF6101" w:rsidP="00004A41">
            <w:pPr>
              <w:spacing w:after="0" w:line="240" w:lineRule="auto"/>
              <w:rPr>
                <w:rFonts w:ascii="Times New Roman" w:hAnsi="Times New Roman"/>
                <w:sz w:val="20"/>
                <w:szCs w:val="20"/>
              </w:rPr>
            </w:pPr>
            <w:r w:rsidRPr="00B0658A">
              <w:rPr>
                <w:rFonts w:ascii="Times New Roman" w:hAnsi="Times New Roman"/>
                <w:sz w:val="20"/>
                <w:szCs w:val="20"/>
              </w:rPr>
              <w:t>Средства обработки и визуализации массивов данных/ Средства математического и имитационного моделирования</w:t>
            </w:r>
          </w:p>
        </w:tc>
        <w:tc>
          <w:tcPr>
            <w:tcW w:w="624" w:type="pct"/>
          </w:tcPr>
          <w:p w14:paraId="0D53B853" w14:textId="77777777" w:rsidR="00FF6101" w:rsidRPr="00B0658A" w:rsidRDefault="00FF6101" w:rsidP="00004A41">
            <w:pPr>
              <w:spacing w:after="0" w:line="240" w:lineRule="auto"/>
              <w:rPr>
                <w:rFonts w:ascii="Times New Roman" w:hAnsi="Times New Roman"/>
                <w:i/>
                <w:iCs/>
                <w:sz w:val="20"/>
                <w:szCs w:val="20"/>
              </w:rPr>
            </w:pPr>
          </w:p>
        </w:tc>
        <w:tc>
          <w:tcPr>
            <w:tcW w:w="1090" w:type="pct"/>
            <w:shd w:val="clear" w:color="auto" w:fill="auto"/>
          </w:tcPr>
          <w:p w14:paraId="5FD30AB0" w14:textId="77777777" w:rsidR="00FF6101" w:rsidRPr="00B0658A" w:rsidRDefault="00FF6101" w:rsidP="00004A41">
            <w:pPr>
              <w:spacing w:after="0" w:line="240" w:lineRule="auto"/>
              <w:rPr>
                <w:rFonts w:ascii="Times New Roman" w:hAnsi="Times New Roman"/>
                <w:i/>
                <w:iCs/>
                <w:sz w:val="20"/>
                <w:szCs w:val="20"/>
              </w:rPr>
            </w:pPr>
          </w:p>
        </w:tc>
        <w:tc>
          <w:tcPr>
            <w:tcW w:w="1036" w:type="pct"/>
            <w:shd w:val="clear" w:color="auto" w:fill="auto"/>
          </w:tcPr>
          <w:p w14:paraId="3E4DE72B" w14:textId="77777777" w:rsidR="00FF6101" w:rsidRPr="00B0658A" w:rsidRDefault="00FF6101" w:rsidP="00004A41">
            <w:pPr>
              <w:spacing w:after="0" w:line="240" w:lineRule="auto"/>
              <w:rPr>
                <w:rFonts w:ascii="Times New Roman" w:hAnsi="Times New Roman"/>
                <w:i/>
                <w:iCs/>
                <w:sz w:val="20"/>
                <w:szCs w:val="20"/>
              </w:rPr>
            </w:pPr>
          </w:p>
        </w:tc>
        <w:tc>
          <w:tcPr>
            <w:tcW w:w="894" w:type="pct"/>
            <w:shd w:val="clear" w:color="auto" w:fill="auto"/>
          </w:tcPr>
          <w:p w14:paraId="4DAA1F4F" w14:textId="77777777" w:rsidR="00FF6101" w:rsidRPr="00B0658A" w:rsidRDefault="00FF6101" w:rsidP="00004A41">
            <w:pPr>
              <w:spacing w:after="0" w:line="240" w:lineRule="auto"/>
              <w:jc w:val="both"/>
              <w:rPr>
                <w:rFonts w:ascii="Times New Roman" w:hAnsi="Times New Roman"/>
                <w:i/>
                <w:iCs/>
                <w:sz w:val="20"/>
                <w:szCs w:val="20"/>
              </w:rPr>
            </w:pPr>
          </w:p>
        </w:tc>
      </w:tr>
      <w:tr w:rsidR="00F52FED" w:rsidRPr="00B0658A" w14:paraId="34EF351B" w14:textId="77777777" w:rsidTr="00FF6101">
        <w:trPr>
          <w:trHeight w:val="170"/>
        </w:trPr>
        <w:tc>
          <w:tcPr>
            <w:tcW w:w="203" w:type="pct"/>
            <w:shd w:val="clear" w:color="auto" w:fill="auto"/>
          </w:tcPr>
          <w:p w14:paraId="4FBA9D4F" w14:textId="77777777" w:rsidR="00FF6101" w:rsidRPr="00B0658A" w:rsidRDefault="00FF6101" w:rsidP="00004A41">
            <w:pPr>
              <w:spacing w:after="0" w:line="240" w:lineRule="auto"/>
              <w:rPr>
                <w:rFonts w:ascii="Times New Roman" w:hAnsi="Times New Roman"/>
                <w:sz w:val="20"/>
                <w:szCs w:val="20"/>
              </w:rPr>
            </w:pPr>
            <w:r w:rsidRPr="00B0658A">
              <w:rPr>
                <w:rFonts w:ascii="Times New Roman" w:hAnsi="Times New Roman"/>
                <w:sz w:val="20"/>
                <w:szCs w:val="20"/>
              </w:rPr>
              <w:t>10.4</w:t>
            </w:r>
          </w:p>
        </w:tc>
        <w:tc>
          <w:tcPr>
            <w:tcW w:w="1153" w:type="pct"/>
            <w:shd w:val="clear" w:color="auto" w:fill="auto"/>
            <w:vAlign w:val="center"/>
          </w:tcPr>
          <w:p w14:paraId="4531AD40" w14:textId="77777777" w:rsidR="00FF6101" w:rsidRPr="00B0658A" w:rsidRDefault="00FF6101" w:rsidP="00004A41">
            <w:pPr>
              <w:spacing w:after="0" w:line="240" w:lineRule="auto"/>
              <w:rPr>
                <w:rFonts w:ascii="Times New Roman" w:hAnsi="Times New Roman"/>
                <w:sz w:val="20"/>
                <w:szCs w:val="20"/>
              </w:rPr>
            </w:pPr>
            <w:r w:rsidRPr="00B0658A">
              <w:rPr>
                <w:rFonts w:ascii="Times New Roman" w:hAnsi="Times New Roman"/>
                <w:sz w:val="20"/>
                <w:szCs w:val="20"/>
              </w:rPr>
              <w:t>Средства обработки и визуализации массивов данных/ Средства управления информационными ресурсами и средства управления основными данными (ECM, MDM)</w:t>
            </w:r>
          </w:p>
        </w:tc>
        <w:tc>
          <w:tcPr>
            <w:tcW w:w="624" w:type="pct"/>
          </w:tcPr>
          <w:p w14:paraId="1DD04A04" w14:textId="77777777" w:rsidR="00FF6101" w:rsidRPr="00B0658A" w:rsidRDefault="00FF6101" w:rsidP="00004A41">
            <w:pPr>
              <w:spacing w:after="0" w:line="240" w:lineRule="auto"/>
              <w:rPr>
                <w:rFonts w:ascii="Times New Roman" w:hAnsi="Times New Roman"/>
                <w:i/>
                <w:iCs/>
                <w:sz w:val="20"/>
                <w:szCs w:val="20"/>
              </w:rPr>
            </w:pPr>
          </w:p>
        </w:tc>
        <w:tc>
          <w:tcPr>
            <w:tcW w:w="1090" w:type="pct"/>
            <w:shd w:val="clear" w:color="auto" w:fill="auto"/>
          </w:tcPr>
          <w:p w14:paraId="5AB44628" w14:textId="77777777" w:rsidR="00FF6101" w:rsidRPr="00B0658A" w:rsidRDefault="00FF6101" w:rsidP="00004A41">
            <w:pPr>
              <w:spacing w:after="0" w:line="240" w:lineRule="auto"/>
              <w:rPr>
                <w:rFonts w:ascii="Times New Roman" w:hAnsi="Times New Roman"/>
                <w:i/>
                <w:iCs/>
                <w:sz w:val="20"/>
                <w:szCs w:val="20"/>
              </w:rPr>
            </w:pPr>
          </w:p>
        </w:tc>
        <w:tc>
          <w:tcPr>
            <w:tcW w:w="1036" w:type="pct"/>
            <w:shd w:val="clear" w:color="auto" w:fill="auto"/>
          </w:tcPr>
          <w:p w14:paraId="50F44A0B" w14:textId="77777777" w:rsidR="00FF6101" w:rsidRPr="00B0658A" w:rsidRDefault="00FF6101" w:rsidP="00004A41">
            <w:pPr>
              <w:spacing w:after="0" w:line="240" w:lineRule="auto"/>
              <w:rPr>
                <w:rFonts w:ascii="Times New Roman" w:hAnsi="Times New Roman"/>
                <w:i/>
                <w:iCs/>
                <w:sz w:val="20"/>
                <w:szCs w:val="20"/>
              </w:rPr>
            </w:pPr>
          </w:p>
        </w:tc>
        <w:tc>
          <w:tcPr>
            <w:tcW w:w="894" w:type="pct"/>
            <w:shd w:val="clear" w:color="auto" w:fill="auto"/>
          </w:tcPr>
          <w:p w14:paraId="46C955D9" w14:textId="77777777" w:rsidR="00FF6101" w:rsidRPr="00B0658A" w:rsidRDefault="00FF6101" w:rsidP="00004A41">
            <w:pPr>
              <w:spacing w:after="0" w:line="240" w:lineRule="auto"/>
              <w:jc w:val="both"/>
              <w:rPr>
                <w:rFonts w:ascii="Times New Roman" w:hAnsi="Times New Roman"/>
                <w:i/>
                <w:iCs/>
                <w:sz w:val="20"/>
                <w:szCs w:val="20"/>
              </w:rPr>
            </w:pPr>
          </w:p>
        </w:tc>
      </w:tr>
      <w:tr w:rsidR="00F52FED" w:rsidRPr="00B0658A" w14:paraId="1406B4A8" w14:textId="77777777" w:rsidTr="00FF6101">
        <w:trPr>
          <w:trHeight w:val="170"/>
        </w:trPr>
        <w:tc>
          <w:tcPr>
            <w:tcW w:w="203" w:type="pct"/>
            <w:shd w:val="clear" w:color="auto" w:fill="auto"/>
          </w:tcPr>
          <w:p w14:paraId="57D52D64" w14:textId="77777777" w:rsidR="00FF6101" w:rsidRPr="00B0658A" w:rsidRDefault="00FF6101" w:rsidP="00004A41">
            <w:pPr>
              <w:spacing w:after="0" w:line="240" w:lineRule="auto"/>
              <w:rPr>
                <w:rFonts w:ascii="Times New Roman" w:hAnsi="Times New Roman"/>
                <w:sz w:val="20"/>
                <w:szCs w:val="20"/>
              </w:rPr>
            </w:pPr>
            <w:r w:rsidRPr="00B0658A">
              <w:rPr>
                <w:rFonts w:ascii="Times New Roman" w:hAnsi="Times New Roman"/>
                <w:sz w:val="20"/>
                <w:szCs w:val="20"/>
              </w:rPr>
              <w:t>11.1</w:t>
            </w:r>
          </w:p>
        </w:tc>
        <w:tc>
          <w:tcPr>
            <w:tcW w:w="1153" w:type="pct"/>
            <w:shd w:val="clear" w:color="auto" w:fill="auto"/>
            <w:vAlign w:val="center"/>
          </w:tcPr>
          <w:p w14:paraId="283B3457" w14:textId="77777777" w:rsidR="00FF6101" w:rsidRPr="00B0658A" w:rsidRDefault="00FF6101" w:rsidP="00004A41">
            <w:pPr>
              <w:spacing w:after="0" w:line="240" w:lineRule="auto"/>
              <w:rPr>
                <w:rFonts w:ascii="Times New Roman" w:hAnsi="Times New Roman"/>
                <w:sz w:val="20"/>
                <w:szCs w:val="20"/>
              </w:rPr>
            </w:pPr>
            <w:r w:rsidRPr="00B0658A">
              <w:rPr>
                <w:rFonts w:ascii="Times New Roman" w:hAnsi="Times New Roman"/>
                <w:sz w:val="20"/>
                <w:szCs w:val="20"/>
              </w:rPr>
              <w:t>Средства анализа данных/ Инструменты извлечения и трансформации данных (ETL)</w:t>
            </w:r>
          </w:p>
        </w:tc>
        <w:tc>
          <w:tcPr>
            <w:tcW w:w="624" w:type="pct"/>
          </w:tcPr>
          <w:p w14:paraId="0253AD60" w14:textId="77777777" w:rsidR="00FF6101" w:rsidRPr="00B0658A" w:rsidRDefault="00FF6101" w:rsidP="00004A41">
            <w:pPr>
              <w:spacing w:after="0" w:line="240" w:lineRule="auto"/>
              <w:rPr>
                <w:rFonts w:ascii="Times New Roman" w:hAnsi="Times New Roman"/>
                <w:i/>
                <w:iCs/>
                <w:sz w:val="20"/>
                <w:szCs w:val="20"/>
              </w:rPr>
            </w:pPr>
          </w:p>
        </w:tc>
        <w:tc>
          <w:tcPr>
            <w:tcW w:w="1090" w:type="pct"/>
            <w:shd w:val="clear" w:color="auto" w:fill="auto"/>
          </w:tcPr>
          <w:p w14:paraId="5F2EDF17" w14:textId="77777777" w:rsidR="00FF6101" w:rsidRPr="00B0658A" w:rsidRDefault="00FF6101" w:rsidP="00004A41">
            <w:pPr>
              <w:spacing w:after="0" w:line="240" w:lineRule="auto"/>
              <w:rPr>
                <w:rFonts w:ascii="Times New Roman" w:hAnsi="Times New Roman"/>
                <w:i/>
                <w:iCs/>
                <w:sz w:val="20"/>
                <w:szCs w:val="20"/>
              </w:rPr>
            </w:pPr>
          </w:p>
        </w:tc>
        <w:tc>
          <w:tcPr>
            <w:tcW w:w="1036" w:type="pct"/>
            <w:shd w:val="clear" w:color="auto" w:fill="auto"/>
          </w:tcPr>
          <w:p w14:paraId="24315D6F" w14:textId="77777777" w:rsidR="00FF6101" w:rsidRPr="00B0658A" w:rsidRDefault="00FF6101" w:rsidP="00004A41">
            <w:pPr>
              <w:spacing w:after="0" w:line="240" w:lineRule="auto"/>
              <w:rPr>
                <w:rFonts w:ascii="Times New Roman" w:hAnsi="Times New Roman"/>
                <w:i/>
                <w:iCs/>
                <w:sz w:val="20"/>
                <w:szCs w:val="20"/>
              </w:rPr>
            </w:pPr>
          </w:p>
        </w:tc>
        <w:tc>
          <w:tcPr>
            <w:tcW w:w="894" w:type="pct"/>
            <w:shd w:val="clear" w:color="auto" w:fill="auto"/>
          </w:tcPr>
          <w:p w14:paraId="14DA4145" w14:textId="77777777" w:rsidR="00FF6101" w:rsidRPr="00B0658A" w:rsidRDefault="00FF6101" w:rsidP="00004A41">
            <w:pPr>
              <w:spacing w:after="0" w:line="240" w:lineRule="auto"/>
              <w:jc w:val="both"/>
              <w:rPr>
                <w:rFonts w:ascii="Times New Roman" w:hAnsi="Times New Roman"/>
                <w:i/>
                <w:iCs/>
                <w:sz w:val="20"/>
                <w:szCs w:val="20"/>
              </w:rPr>
            </w:pPr>
          </w:p>
        </w:tc>
      </w:tr>
      <w:tr w:rsidR="00F52FED" w:rsidRPr="00B0658A" w14:paraId="6469E64C" w14:textId="77777777" w:rsidTr="00FF6101">
        <w:trPr>
          <w:trHeight w:val="170"/>
        </w:trPr>
        <w:tc>
          <w:tcPr>
            <w:tcW w:w="203" w:type="pct"/>
            <w:shd w:val="clear" w:color="auto" w:fill="auto"/>
          </w:tcPr>
          <w:p w14:paraId="604D5A89" w14:textId="77777777" w:rsidR="00FF6101" w:rsidRPr="00B0658A" w:rsidRDefault="00FF6101" w:rsidP="00004A41">
            <w:pPr>
              <w:spacing w:after="0" w:line="240" w:lineRule="auto"/>
              <w:rPr>
                <w:rFonts w:ascii="Times New Roman" w:hAnsi="Times New Roman"/>
                <w:sz w:val="20"/>
                <w:szCs w:val="20"/>
              </w:rPr>
            </w:pPr>
            <w:r w:rsidRPr="00B0658A">
              <w:rPr>
                <w:rFonts w:ascii="Times New Roman" w:hAnsi="Times New Roman"/>
                <w:sz w:val="20"/>
                <w:szCs w:val="20"/>
              </w:rPr>
              <w:t>11.2</w:t>
            </w:r>
          </w:p>
        </w:tc>
        <w:tc>
          <w:tcPr>
            <w:tcW w:w="1153" w:type="pct"/>
            <w:shd w:val="clear" w:color="auto" w:fill="auto"/>
            <w:vAlign w:val="center"/>
          </w:tcPr>
          <w:p w14:paraId="12971AE1" w14:textId="77777777" w:rsidR="00FF6101" w:rsidRPr="00B0658A" w:rsidRDefault="00FF6101" w:rsidP="00004A41">
            <w:pPr>
              <w:spacing w:after="0" w:line="240" w:lineRule="auto"/>
              <w:rPr>
                <w:rFonts w:ascii="Times New Roman" w:hAnsi="Times New Roman"/>
                <w:sz w:val="20"/>
                <w:szCs w:val="20"/>
              </w:rPr>
            </w:pPr>
            <w:r w:rsidRPr="00B0658A">
              <w:rPr>
                <w:rFonts w:ascii="Times New Roman" w:hAnsi="Times New Roman"/>
                <w:sz w:val="20"/>
                <w:szCs w:val="20"/>
              </w:rPr>
              <w:t>Средства анализа данных/ Предметно-ориентированные информационные базы данных (EDW)</w:t>
            </w:r>
          </w:p>
        </w:tc>
        <w:tc>
          <w:tcPr>
            <w:tcW w:w="624" w:type="pct"/>
          </w:tcPr>
          <w:p w14:paraId="49EEECCC" w14:textId="77777777" w:rsidR="00FF6101" w:rsidRPr="00B0658A" w:rsidRDefault="00FF6101" w:rsidP="00004A41">
            <w:pPr>
              <w:spacing w:after="0" w:line="240" w:lineRule="auto"/>
              <w:rPr>
                <w:rFonts w:ascii="Times New Roman" w:hAnsi="Times New Roman"/>
                <w:i/>
                <w:iCs/>
                <w:sz w:val="20"/>
                <w:szCs w:val="20"/>
              </w:rPr>
            </w:pPr>
          </w:p>
        </w:tc>
        <w:tc>
          <w:tcPr>
            <w:tcW w:w="1090" w:type="pct"/>
            <w:shd w:val="clear" w:color="auto" w:fill="auto"/>
          </w:tcPr>
          <w:p w14:paraId="6DFF3DC0" w14:textId="77777777" w:rsidR="00FF6101" w:rsidRPr="00B0658A" w:rsidRDefault="00FF6101" w:rsidP="00004A41">
            <w:pPr>
              <w:spacing w:after="0" w:line="240" w:lineRule="auto"/>
              <w:rPr>
                <w:rFonts w:ascii="Times New Roman" w:hAnsi="Times New Roman"/>
                <w:i/>
                <w:iCs/>
                <w:sz w:val="20"/>
                <w:szCs w:val="20"/>
              </w:rPr>
            </w:pPr>
          </w:p>
        </w:tc>
        <w:tc>
          <w:tcPr>
            <w:tcW w:w="1036" w:type="pct"/>
            <w:shd w:val="clear" w:color="auto" w:fill="auto"/>
          </w:tcPr>
          <w:p w14:paraId="73F0E150" w14:textId="77777777" w:rsidR="00FF6101" w:rsidRPr="00B0658A" w:rsidRDefault="00FF6101" w:rsidP="00004A41">
            <w:pPr>
              <w:spacing w:after="0" w:line="240" w:lineRule="auto"/>
              <w:rPr>
                <w:rFonts w:ascii="Times New Roman" w:hAnsi="Times New Roman"/>
                <w:i/>
                <w:iCs/>
                <w:sz w:val="20"/>
                <w:szCs w:val="20"/>
              </w:rPr>
            </w:pPr>
          </w:p>
        </w:tc>
        <w:tc>
          <w:tcPr>
            <w:tcW w:w="894" w:type="pct"/>
            <w:shd w:val="clear" w:color="auto" w:fill="auto"/>
          </w:tcPr>
          <w:p w14:paraId="7B00AFEC" w14:textId="77777777" w:rsidR="00FF6101" w:rsidRPr="00B0658A" w:rsidRDefault="00FF6101" w:rsidP="00004A41">
            <w:pPr>
              <w:spacing w:after="0" w:line="240" w:lineRule="auto"/>
              <w:jc w:val="both"/>
              <w:rPr>
                <w:rFonts w:ascii="Times New Roman" w:hAnsi="Times New Roman"/>
                <w:i/>
                <w:iCs/>
                <w:sz w:val="20"/>
                <w:szCs w:val="20"/>
              </w:rPr>
            </w:pPr>
          </w:p>
        </w:tc>
      </w:tr>
      <w:tr w:rsidR="00F52FED" w:rsidRPr="00B0658A" w14:paraId="47BD6C13" w14:textId="77777777" w:rsidTr="00FF6101">
        <w:trPr>
          <w:trHeight w:val="170"/>
        </w:trPr>
        <w:tc>
          <w:tcPr>
            <w:tcW w:w="203" w:type="pct"/>
            <w:shd w:val="clear" w:color="auto" w:fill="auto"/>
          </w:tcPr>
          <w:p w14:paraId="4DB4CB4C" w14:textId="77777777" w:rsidR="00FF6101" w:rsidRPr="00B0658A" w:rsidRDefault="00FF6101" w:rsidP="00004A41">
            <w:pPr>
              <w:spacing w:after="0" w:line="240" w:lineRule="auto"/>
              <w:rPr>
                <w:rFonts w:ascii="Times New Roman" w:hAnsi="Times New Roman"/>
                <w:sz w:val="20"/>
                <w:szCs w:val="20"/>
              </w:rPr>
            </w:pPr>
            <w:r w:rsidRPr="00B0658A">
              <w:rPr>
                <w:rFonts w:ascii="Times New Roman" w:hAnsi="Times New Roman"/>
                <w:sz w:val="20"/>
                <w:szCs w:val="20"/>
              </w:rPr>
              <w:t>11.3</w:t>
            </w:r>
          </w:p>
        </w:tc>
        <w:tc>
          <w:tcPr>
            <w:tcW w:w="1153" w:type="pct"/>
            <w:shd w:val="clear" w:color="auto" w:fill="auto"/>
            <w:vAlign w:val="center"/>
          </w:tcPr>
          <w:p w14:paraId="2BE80CB6" w14:textId="77777777" w:rsidR="00FF6101" w:rsidRPr="00B0658A" w:rsidRDefault="00FF6101" w:rsidP="00004A41">
            <w:pPr>
              <w:suppressAutoHyphens/>
              <w:spacing w:after="0" w:line="240" w:lineRule="auto"/>
              <w:rPr>
                <w:rFonts w:ascii="Times New Roman" w:hAnsi="Times New Roman"/>
                <w:sz w:val="20"/>
                <w:szCs w:val="20"/>
              </w:rPr>
            </w:pPr>
            <w:r w:rsidRPr="00B0658A">
              <w:rPr>
                <w:rFonts w:ascii="Times New Roman" w:hAnsi="Times New Roman"/>
                <w:sz w:val="20"/>
                <w:szCs w:val="20"/>
              </w:rPr>
              <w:t>Средства анализа данных/</w:t>
            </w:r>
          </w:p>
          <w:p w14:paraId="003C5D64" w14:textId="77777777" w:rsidR="00FF6101" w:rsidRPr="00B0658A" w:rsidRDefault="00FF6101" w:rsidP="00004A41">
            <w:pPr>
              <w:spacing w:after="0" w:line="240" w:lineRule="auto"/>
              <w:rPr>
                <w:rFonts w:ascii="Times New Roman" w:hAnsi="Times New Roman"/>
                <w:sz w:val="20"/>
                <w:szCs w:val="20"/>
              </w:rPr>
            </w:pPr>
            <w:r w:rsidRPr="00B0658A">
              <w:rPr>
                <w:rFonts w:ascii="Times New Roman" w:hAnsi="Times New Roman"/>
                <w:sz w:val="20"/>
                <w:szCs w:val="20"/>
              </w:rPr>
              <w:t>Средства аналитической обработки в реальном времени (OLAP)</w:t>
            </w:r>
          </w:p>
        </w:tc>
        <w:tc>
          <w:tcPr>
            <w:tcW w:w="624" w:type="pct"/>
          </w:tcPr>
          <w:p w14:paraId="26D76C71" w14:textId="77777777" w:rsidR="00FF6101" w:rsidRPr="00B0658A" w:rsidRDefault="00FF6101" w:rsidP="00004A41">
            <w:pPr>
              <w:spacing w:after="0" w:line="240" w:lineRule="auto"/>
              <w:rPr>
                <w:rFonts w:ascii="Times New Roman" w:hAnsi="Times New Roman"/>
                <w:i/>
                <w:iCs/>
                <w:sz w:val="20"/>
                <w:szCs w:val="20"/>
              </w:rPr>
            </w:pPr>
          </w:p>
        </w:tc>
        <w:tc>
          <w:tcPr>
            <w:tcW w:w="1090" w:type="pct"/>
            <w:shd w:val="clear" w:color="auto" w:fill="auto"/>
          </w:tcPr>
          <w:p w14:paraId="3167FDD9" w14:textId="77777777" w:rsidR="00FF6101" w:rsidRPr="00B0658A" w:rsidRDefault="00FF6101" w:rsidP="00004A41">
            <w:pPr>
              <w:spacing w:after="0" w:line="240" w:lineRule="auto"/>
              <w:rPr>
                <w:rFonts w:ascii="Times New Roman" w:hAnsi="Times New Roman"/>
                <w:i/>
                <w:iCs/>
                <w:sz w:val="20"/>
                <w:szCs w:val="20"/>
              </w:rPr>
            </w:pPr>
          </w:p>
        </w:tc>
        <w:tc>
          <w:tcPr>
            <w:tcW w:w="1036" w:type="pct"/>
            <w:shd w:val="clear" w:color="auto" w:fill="auto"/>
          </w:tcPr>
          <w:p w14:paraId="7D824B0A" w14:textId="77777777" w:rsidR="00FF6101" w:rsidRPr="00B0658A" w:rsidRDefault="00FF6101" w:rsidP="00004A41">
            <w:pPr>
              <w:spacing w:after="0" w:line="240" w:lineRule="auto"/>
              <w:rPr>
                <w:rFonts w:ascii="Times New Roman" w:hAnsi="Times New Roman"/>
                <w:i/>
                <w:iCs/>
                <w:sz w:val="20"/>
                <w:szCs w:val="20"/>
              </w:rPr>
            </w:pPr>
          </w:p>
        </w:tc>
        <w:tc>
          <w:tcPr>
            <w:tcW w:w="894" w:type="pct"/>
            <w:shd w:val="clear" w:color="auto" w:fill="auto"/>
          </w:tcPr>
          <w:p w14:paraId="0A85BD57" w14:textId="77777777" w:rsidR="00FF6101" w:rsidRPr="00B0658A" w:rsidRDefault="00FF6101" w:rsidP="00004A41">
            <w:pPr>
              <w:spacing w:after="0" w:line="240" w:lineRule="auto"/>
              <w:jc w:val="both"/>
              <w:rPr>
                <w:rFonts w:ascii="Times New Roman" w:hAnsi="Times New Roman"/>
                <w:i/>
                <w:iCs/>
                <w:sz w:val="20"/>
                <w:szCs w:val="20"/>
              </w:rPr>
            </w:pPr>
          </w:p>
        </w:tc>
      </w:tr>
      <w:tr w:rsidR="00F52FED" w:rsidRPr="00B0658A" w14:paraId="7F9E7F74" w14:textId="77777777" w:rsidTr="00FF6101">
        <w:trPr>
          <w:trHeight w:val="170"/>
        </w:trPr>
        <w:tc>
          <w:tcPr>
            <w:tcW w:w="203" w:type="pct"/>
            <w:shd w:val="clear" w:color="auto" w:fill="auto"/>
          </w:tcPr>
          <w:p w14:paraId="48E7FAF4" w14:textId="77777777" w:rsidR="00FF6101" w:rsidRPr="00B0658A" w:rsidRDefault="00FF6101" w:rsidP="00004A41">
            <w:pPr>
              <w:spacing w:after="0" w:line="240" w:lineRule="auto"/>
              <w:rPr>
                <w:rFonts w:ascii="Times New Roman" w:hAnsi="Times New Roman"/>
                <w:sz w:val="20"/>
                <w:szCs w:val="20"/>
              </w:rPr>
            </w:pPr>
            <w:r w:rsidRPr="00B0658A">
              <w:rPr>
                <w:rFonts w:ascii="Times New Roman" w:hAnsi="Times New Roman"/>
                <w:sz w:val="20"/>
                <w:szCs w:val="20"/>
              </w:rPr>
              <w:t>11.4</w:t>
            </w:r>
          </w:p>
        </w:tc>
        <w:tc>
          <w:tcPr>
            <w:tcW w:w="1153" w:type="pct"/>
            <w:shd w:val="clear" w:color="auto" w:fill="auto"/>
            <w:vAlign w:val="center"/>
          </w:tcPr>
          <w:p w14:paraId="06934B9E" w14:textId="77777777" w:rsidR="00FF6101" w:rsidRPr="00B0658A" w:rsidRDefault="00FF6101" w:rsidP="00004A41">
            <w:pPr>
              <w:suppressAutoHyphens/>
              <w:spacing w:after="0" w:line="240" w:lineRule="auto"/>
              <w:rPr>
                <w:rFonts w:ascii="Times New Roman" w:hAnsi="Times New Roman"/>
                <w:sz w:val="20"/>
                <w:szCs w:val="20"/>
              </w:rPr>
            </w:pPr>
            <w:r w:rsidRPr="00B0658A">
              <w:rPr>
                <w:rFonts w:ascii="Times New Roman" w:hAnsi="Times New Roman"/>
                <w:sz w:val="20"/>
                <w:szCs w:val="20"/>
              </w:rPr>
              <w:t xml:space="preserve">Средства анализа данных/ </w:t>
            </w:r>
          </w:p>
          <w:p w14:paraId="5BC8B23B" w14:textId="77777777" w:rsidR="00FF6101" w:rsidRPr="00B0658A" w:rsidRDefault="00FF6101" w:rsidP="00004A41">
            <w:pPr>
              <w:suppressAutoHyphens/>
              <w:spacing w:after="0" w:line="240" w:lineRule="auto"/>
              <w:rPr>
                <w:rFonts w:ascii="Times New Roman" w:hAnsi="Times New Roman"/>
                <w:sz w:val="20"/>
                <w:szCs w:val="20"/>
              </w:rPr>
            </w:pPr>
            <w:r w:rsidRPr="00B0658A">
              <w:rPr>
                <w:rFonts w:ascii="Times New Roman" w:hAnsi="Times New Roman"/>
                <w:sz w:val="20"/>
                <w:szCs w:val="20"/>
              </w:rPr>
              <w:lastRenderedPageBreak/>
              <w:t>Средства интеллектуального анализа данных (Data Mining)</w:t>
            </w:r>
          </w:p>
        </w:tc>
        <w:tc>
          <w:tcPr>
            <w:tcW w:w="624" w:type="pct"/>
          </w:tcPr>
          <w:p w14:paraId="3D6A665D" w14:textId="77777777" w:rsidR="00FF6101" w:rsidRPr="00B0658A" w:rsidRDefault="00FF6101" w:rsidP="00004A41">
            <w:pPr>
              <w:spacing w:after="0" w:line="240" w:lineRule="auto"/>
              <w:rPr>
                <w:rFonts w:ascii="Times New Roman" w:hAnsi="Times New Roman"/>
                <w:i/>
                <w:iCs/>
                <w:sz w:val="20"/>
                <w:szCs w:val="20"/>
              </w:rPr>
            </w:pPr>
          </w:p>
        </w:tc>
        <w:tc>
          <w:tcPr>
            <w:tcW w:w="1090" w:type="pct"/>
            <w:shd w:val="clear" w:color="auto" w:fill="auto"/>
          </w:tcPr>
          <w:p w14:paraId="35E5CAF6" w14:textId="77777777" w:rsidR="00FF6101" w:rsidRPr="00B0658A" w:rsidRDefault="00FF6101" w:rsidP="00004A41">
            <w:pPr>
              <w:spacing w:after="0" w:line="240" w:lineRule="auto"/>
              <w:rPr>
                <w:rFonts w:ascii="Times New Roman" w:hAnsi="Times New Roman"/>
                <w:i/>
                <w:iCs/>
                <w:sz w:val="20"/>
                <w:szCs w:val="20"/>
              </w:rPr>
            </w:pPr>
          </w:p>
        </w:tc>
        <w:tc>
          <w:tcPr>
            <w:tcW w:w="1036" w:type="pct"/>
            <w:shd w:val="clear" w:color="auto" w:fill="auto"/>
          </w:tcPr>
          <w:p w14:paraId="4BA81CA7" w14:textId="77777777" w:rsidR="00FF6101" w:rsidRPr="00B0658A" w:rsidRDefault="00FF6101" w:rsidP="00004A41">
            <w:pPr>
              <w:spacing w:after="0" w:line="240" w:lineRule="auto"/>
              <w:rPr>
                <w:rFonts w:ascii="Times New Roman" w:hAnsi="Times New Roman"/>
                <w:i/>
                <w:iCs/>
                <w:sz w:val="20"/>
                <w:szCs w:val="20"/>
              </w:rPr>
            </w:pPr>
          </w:p>
        </w:tc>
        <w:tc>
          <w:tcPr>
            <w:tcW w:w="894" w:type="pct"/>
            <w:shd w:val="clear" w:color="auto" w:fill="auto"/>
          </w:tcPr>
          <w:p w14:paraId="0B6011FB" w14:textId="77777777" w:rsidR="00FF6101" w:rsidRPr="00B0658A" w:rsidRDefault="00FF6101" w:rsidP="00004A41">
            <w:pPr>
              <w:spacing w:after="0" w:line="240" w:lineRule="auto"/>
              <w:jc w:val="both"/>
              <w:rPr>
                <w:rFonts w:ascii="Times New Roman" w:hAnsi="Times New Roman"/>
                <w:i/>
                <w:iCs/>
                <w:sz w:val="20"/>
                <w:szCs w:val="20"/>
              </w:rPr>
            </w:pPr>
          </w:p>
        </w:tc>
      </w:tr>
      <w:tr w:rsidR="00F52FED" w:rsidRPr="00B0658A" w14:paraId="10FB2369" w14:textId="77777777" w:rsidTr="00FF6101">
        <w:trPr>
          <w:trHeight w:val="170"/>
        </w:trPr>
        <w:tc>
          <w:tcPr>
            <w:tcW w:w="203" w:type="pct"/>
            <w:shd w:val="clear" w:color="auto" w:fill="auto"/>
          </w:tcPr>
          <w:p w14:paraId="7E8C8AF6" w14:textId="77777777" w:rsidR="00FF6101" w:rsidRPr="00B0658A" w:rsidRDefault="00FF6101" w:rsidP="00004A41">
            <w:pPr>
              <w:spacing w:after="0" w:line="240" w:lineRule="auto"/>
              <w:rPr>
                <w:rFonts w:ascii="Times New Roman" w:hAnsi="Times New Roman"/>
                <w:b/>
                <w:sz w:val="20"/>
                <w:szCs w:val="20"/>
              </w:rPr>
            </w:pPr>
            <w:r w:rsidRPr="00B0658A">
              <w:rPr>
                <w:rFonts w:ascii="Times New Roman" w:hAnsi="Times New Roman"/>
                <w:sz w:val="20"/>
                <w:szCs w:val="20"/>
              </w:rPr>
              <w:t>11.5</w:t>
            </w:r>
          </w:p>
        </w:tc>
        <w:tc>
          <w:tcPr>
            <w:tcW w:w="1153" w:type="pct"/>
            <w:shd w:val="clear" w:color="auto" w:fill="auto"/>
            <w:vAlign w:val="center"/>
          </w:tcPr>
          <w:p w14:paraId="70BBE917" w14:textId="77777777" w:rsidR="00FF6101" w:rsidRPr="00B0658A" w:rsidRDefault="00FF6101" w:rsidP="00004A41">
            <w:pPr>
              <w:suppressAutoHyphens/>
              <w:spacing w:after="0" w:line="240" w:lineRule="auto"/>
              <w:rPr>
                <w:rFonts w:ascii="Times New Roman" w:hAnsi="Times New Roman"/>
                <w:sz w:val="20"/>
                <w:szCs w:val="20"/>
              </w:rPr>
            </w:pPr>
            <w:r w:rsidRPr="00B0658A">
              <w:rPr>
                <w:rFonts w:ascii="Times New Roman" w:hAnsi="Times New Roman"/>
                <w:sz w:val="20"/>
                <w:szCs w:val="20"/>
              </w:rPr>
              <w:t xml:space="preserve">Средства анализа данных/ </w:t>
            </w:r>
          </w:p>
          <w:p w14:paraId="73E9FC95" w14:textId="77777777" w:rsidR="00FF6101" w:rsidRPr="00B0658A" w:rsidRDefault="00FF6101" w:rsidP="00004A41">
            <w:pPr>
              <w:suppressAutoHyphens/>
              <w:spacing w:after="0" w:line="240" w:lineRule="auto"/>
              <w:rPr>
                <w:rFonts w:ascii="Times New Roman" w:hAnsi="Times New Roman"/>
                <w:b/>
                <w:sz w:val="20"/>
                <w:szCs w:val="20"/>
              </w:rPr>
            </w:pPr>
            <w:r w:rsidRPr="00B0658A">
              <w:rPr>
                <w:rFonts w:ascii="Times New Roman" w:hAnsi="Times New Roman"/>
                <w:sz w:val="20"/>
                <w:szCs w:val="20"/>
              </w:rPr>
              <w:t>Средства поддержки принятия решений (DSS)</w:t>
            </w:r>
          </w:p>
        </w:tc>
        <w:tc>
          <w:tcPr>
            <w:tcW w:w="624" w:type="pct"/>
          </w:tcPr>
          <w:p w14:paraId="728BC940" w14:textId="77777777" w:rsidR="00FF6101" w:rsidRPr="00B0658A" w:rsidRDefault="00FF6101" w:rsidP="00004A41">
            <w:pPr>
              <w:spacing w:after="0" w:line="240" w:lineRule="auto"/>
              <w:rPr>
                <w:rFonts w:ascii="Times New Roman" w:hAnsi="Times New Roman"/>
                <w:i/>
                <w:iCs/>
                <w:sz w:val="20"/>
                <w:szCs w:val="20"/>
              </w:rPr>
            </w:pPr>
          </w:p>
        </w:tc>
        <w:tc>
          <w:tcPr>
            <w:tcW w:w="1090" w:type="pct"/>
            <w:shd w:val="clear" w:color="auto" w:fill="auto"/>
          </w:tcPr>
          <w:p w14:paraId="77B49674" w14:textId="77777777" w:rsidR="00FF6101" w:rsidRPr="00B0658A" w:rsidRDefault="00FF6101" w:rsidP="00004A41">
            <w:pPr>
              <w:spacing w:after="0" w:line="240" w:lineRule="auto"/>
              <w:rPr>
                <w:rFonts w:ascii="Times New Roman" w:hAnsi="Times New Roman"/>
                <w:i/>
                <w:iCs/>
                <w:sz w:val="20"/>
                <w:szCs w:val="20"/>
              </w:rPr>
            </w:pPr>
          </w:p>
        </w:tc>
        <w:tc>
          <w:tcPr>
            <w:tcW w:w="1036" w:type="pct"/>
            <w:shd w:val="clear" w:color="auto" w:fill="auto"/>
          </w:tcPr>
          <w:p w14:paraId="65FCEA3B" w14:textId="77777777" w:rsidR="00FF6101" w:rsidRPr="00B0658A" w:rsidRDefault="00FF6101" w:rsidP="00004A41">
            <w:pPr>
              <w:spacing w:after="0" w:line="240" w:lineRule="auto"/>
              <w:rPr>
                <w:rFonts w:ascii="Times New Roman" w:hAnsi="Times New Roman"/>
                <w:i/>
                <w:iCs/>
                <w:sz w:val="20"/>
                <w:szCs w:val="20"/>
              </w:rPr>
            </w:pPr>
          </w:p>
        </w:tc>
        <w:tc>
          <w:tcPr>
            <w:tcW w:w="894" w:type="pct"/>
            <w:shd w:val="clear" w:color="auto" w:fill="auto"/>
          </w:tcPr>
          <w:p w14:paraId="32B2D0A5" w14:textId="77777777" w:rsidR="00FF6101" w:rsidRPr="00B0658A" w:rsidRDefault="00FF6101" w:rsidP="00004A41">
            <w:pPr>
              <w:spacing w:after="0" w:line="240" w:lineRule="auto"/>
              <w:jc w:val="both"/>
              <w:rPr>
                <w:rFonts w:ascii="Times New Roman" w:hAnsi="Times New Roman"/>
                <w:i/>
                <w:iCs/>
                <w:sz w:val="20"/>
                <w:szCs w:val="20"/>
              </w:rPr>
            </w:pPr>
          </w:p>
        </w:tc>
      </w:tr>
      <w:tr w:rsidR="00FF6101" w:rsidRPr="00B0658A" w14:paraId="33467433" w14:textId="77777777" w:rsidTr="00FF6101">
        <w:trPr>
          <w:trHeight w:val="170"/>
        </w:trPr>
        <w:tc>
          <w:tcPr>
            <w:tcW w:w="203" w:type="pct"/>
            <w:shd w:val="clear" w:color="auto" w:fill="auto"/>
          </w:tcPr>
          <w:p w14:paraId="0D8A21FA" w14:textId="77777777" w:rsidR="00FF6101" w:rsidRPr="00B0658A" w:rsidRDefault="00FF6101" w:rsidP="00004A41">
            <w:pPr>
              <w:spacing w:after="0" w:line="240" w:lineRule="auto"/>
              <w:rPr>
                <w:rFonts w:ascii="Times New Roman" w:hAnsi="Times New Roman"/>
                <w:b/>
                <w:sz w:val="20"/>
                <w:szCs w:val="20"/>
              </w:rPr>
            </w:pPr>
            <w:r w:rsidRPr="00B0658A">
              <w:rPr>
                <w:rFonts w:ascii="Times New Roman" w:hAnsi="Times New Roman"/>
                <w:sz w:val="20"/>
                <w:szCs w:val="20"/>
              </w:rPr>
              <w:t>11.6</w:t>
            </w:r>
          </w:p>
        </w:tc>
        <w:tc>
          <w:tcPr>
            <w:tcW w:w="1153" w:type="pct"/>
            <w:shd w:val="clear" w:color="auto" w:fill="auto"/>
            <w:vAlign w:val="center"/>
          </w:tcPr>
          <w:p w14:paraId="07463B75" w14:textId="77777777" w:rsidR="00FF6101" w:rsidRPr="00B0658A" w:rsidRDefault="00FF6101" w:rsidP="00004A41">
            <w:pPr>
              <w:spacing w:after="0" w:line="240" w:lineRule="auto"/>
              <w:rPr>
                <w:rFonts w:ascii="Times New Roman" w:hAnsi="Times New Roman"/>
                <w:b/>
                <w:sz w:val="20"/>
                <w:szCs w:val="20"/>
              </w:rPr>
            </w:pPr>
            <w:r w:rsidRPr="00B0658A">
              <w:rPr>
                <w:rFonts w:ascii="Times New Roman" w:hAnsi="Times New Roman"/>
                <w:sz w:val="20"/>
                <w:szCs w:val="20"/>
              </w:rPr>
              <w:t xml:space="preserve">Средства анализа данных/ Инструменты обработки, анализа </w:t>
            </w:r>
            <w:r w:rsidRPr="00B0658A">
              <w:rPr>
                <w:rFonts w:ascii="Times New Roman" w:hAnsi="Times New Roman"/>
                <w:sz w:val="20"/>
                <w:szCs w:val="20"/>
              </w:rPr>
              <w:br/>
              <w:t>и распознавания изображений</w:t>
            </w:r>
          </w:p>
        </w:tc>
        <w:tc>
          <w:tcPr>
            <w:tcW w:w="624" w:type="pct"/>
          </w:tcPr>
          <w:p w14:paraId="2C639D7E" w14:textId="77777777" w:rsidR="00FF6101" w:rsidRPr="00B0658A" w:rsidRDefault="00FF6101" w:rsidP="00004A41">
            <w:pPr>
              <w:spacing w:after="0" w:line="240" w:lineRule="auto"/>
              <w:rPr>
                <w:rFonts w:ascii="Times New Roman" w:hAnsi="Times New Roman"/>
                <w:i/>
                <w:iCs/>
                <w:sz w:val="20"/>
                <w:szCs w:val="20"/>
              </w:rPr>
            </w:pPr>
          </w:p>
        </w:tc>
        <w:tc>
          <w:tcPr>
            <w:tcW w:w="1090" w:type="pct"/>
            <w:shd w:val="clear" w:color="auto" w:fill="auto"/>
          </w:tcPr>
          <w:p w14:paraId="049DC823" w14:textId="77777777" w:rsidR="00FF6101" w:rsidRPr="00B0658A" w:rsidRDefault="00FF6101" w:rsidP="00004A41">
            <w:pPr>
              <w:spacing w:after="0" w:line="240" w:lineRule="auto"/>
              <w:rPr>
                <w:rFonts w:ascii="Times New Roman" w:hAnsi="Times New Roman"/>
                <w:i/>
                <w:iCs/>
                <w:sz w:val="20"/>
                <w:szCs w:val="20"/>
              </w:rPr>
            </w:pPr>
          </w:p>
        </w:tc>
        <w:tc>
          <w:tcPr>
            <w:tcW w:w="1036" w:type="pct"/>
            <w:shd w:val="clear" w:color="auto" w:fill="auto"/>
          </w:tcPr>
          <w:p w14:paraId="3413A6A1" w14:textId="77777777" w:rsidR="00FF6101" w:rsidRPr="00B0658A" w:rsidRDefault="00FF6101" w:rsidP="00004A41">
            <w:pPr>
              <w:spacing w:after="0" w:line="240" w:lineRule="auto"/>
              <w:rPr>
                <w:rFonts w:ascii="Times New Roman" w:hAnsi="Times New Roman"/>
                <w:i/>
                <w:iCs/>
                <w:sz w:val="20"/>
                <w:szCs w:val="20"/>
              </w:rPr>
            </w:pPr>
          </w:p>
        </w:tc>
        <w:tc>
          <w:tcPr>
            <w:tcW w:w="894" w:type="pct"/>
            <w:shd w:val="clear" w:color="auto" w:fill="auto"/>
          </w:tcPr>
          <w:p w14:paraId="70EC4600" w14:textId="77777777" w:rsidR="00FF6101" w:rsidRPr="00B0658A" w:rsidRDefault="00FF6101" w:rsidP="00004A41">
            <w:pPr>
              <w:spacing w:after="0" w:line="240" w:lineRule="auto"/>
              <w:jc w:val="both"/>
              <w:rPr>
                <w:rFonts w:ascii="Times New Roman" w:hAnsi="Times New Roman"/>
                <w:i/>
                <w:iCs/>
                <w:sz w:val="20"/>
                <w:szCs w:val="20"/>
              </w:rPr>
            </w:pPr>
          </w:p>
        </w:tc>
      </w:tr>
    </w:tbl>
    <w:p w14:paraId="30E4884B" w14:textId="77777777" w:rsidR="00952B74" w:rsidRPr="00B0658A" w:rsidRDefault="00952B74" w:rsidP="00A26ECA">
      <w:pPr>
        <w:pStyle w:val="ConsPlusNormal"/>
        <w:spacing w:before="120"/>
        <w:jc w:val="center"/>
        <w:rPr>
          <w:sz w:val="32"/>
        </w:rPr>
      </w:pPr>
    </w:p>
    <w:p w14:paraId="4A4D6ED3" w14:textId="77777777" w:rsidR="00952B74" w:rsidRPr="00B0658A" w:rsidRDefault="00952B74">
      <w:pPr>
        <w:spacing w:after="0" w:line="240" w:lineRule="auto"/>
        <w:rPr>
          <w:rFonts w:ascii="Times New Roman" w:hAnsi="Times New Roman"/>
          <w:sz w:val="32"/>
          <w:szCs w:val="24"/>
        </w:rPr>
      </w:pPr>
      <w:r w:rsidRPr="00B0658A">
        <w:rPr>
          <w:rFonts w:ascii="Times New Roman" w:hAnsi="Times New Roman"/>
          <w:sz w:val="32"/>
        </w:rPr>
        <w:br w:type="page"/>
      </w:r>
    </w:p>
    <w:p w14:paraId="17A17CBB" w14:textId="77777777" w:rsidR="00A26ECA" w:rsidRPr="00B0658A" w:rsidRDefault="00A26ECA" w:rsidP="00A26ECA">
      <w:pPr>
        <w:pStyle w:val="ConsPlusNormal"/>
        <w:spacing w:before="120"/>
        <w:jc w:val="center"/>
        <w:rPr>
          <w:sz w:val="32"/>
        </w:rPr>
      </w:pPr>
      <w:r w:rsidRPr="00B0658A">
        <w:rPr>
          <w:sz w:val="32"/>
        </w:rPr>
        <w:lastRenderedPageBreak/>
        <w:t xml:space="preserve">Сведения о реализации детализированного плана перехода ______________ (полное наименование </w:t>
      </w:r>
      <w:r w:rsidRPr="00B0658A">
        <w:rPr>
          <w:sz w:val="32"/>
          <w:szCs w:val="28"/>
        </w:rPr>
        <w:t xml:space="preserve">органа государственной власти или государственного внебюджетного фонда) на использование российского </w:t>
      </w:r>
      <w:r w:rsidRPr="00B0658A">
        <w:rPr>
          <w:sz w:val="32"/>
        </w:rPr>
        <w:t>ПО на принадлежащих органу государственной власти или государственному внебюджетному фонду значимых объектах КИИ</w:t>
      </w:r>
      <w:r w:rsidRPr="00B0658A">
        <w:rPr>
          <w:sz w:val="32"/>
          <w:szCs w:val="28"/>
        </w:rPr>
        <w:t xml:space="preserve"> </w:t>
      </w:r>
      <w:r w:rsidRPr="00B0658A">
        <w:rPr>
          <w:sz w:val="32"/>
        </w:rPr>
        <w:t xml:space="preserve">на период 2022-2024 годы за </w:t>
      </w:r>
      <w:r w:rsidRPr="00B0658A">
        <w:rPr>
          <w:sz w:val="32"/>
          <w:szCs w:val="28"/>
        </w:rPr>
        <w:t xml:space="preserve"> ______ год</w:t>
      </w:r>
    </w:p>
    <w:p w14:paraId="293AD0E0" w14:textId="77777777" w:rsidR="008319FB" w:rsidRPr="00B0658A" w:rsidRDefault="008319FB" w:rsidP="008319FB">
      <w:pPr>
        <w:spacing w:before="120" w:after="0" w:line="240" w:lineRule="auto"/>
        <w:rPr>
          <w:rFonts w:ascii="Times New Roman" w:hAnsi="Times New Roman"/>
          <w:sz w:val="28"/>
          <w:szCs w:val="24"/>
        </w:rPr>
      </w:pPr>
    </w:p>
    <w:p w14:paraId="506BEB07" w14:textId="77777777" w:rsidR="008319FB" w:rsidRPr="00B0658A" w:rsidRDefault="008319FB" w:rsidP="008319FB">
      <w:pPr>
        <w:spacing w:before="120" w:after="0" w:line="240" w:lineRule="auto"/>
        <w:rPr>
          <w:rFonts w:ascii="Times New Roman" w:hAnsi="Times New Roman"/>
          <w:sz w:val="28"/>
          <w:szCs w:val="24"/>
        </w:rPr>
      </w:pPr>
    </w:p>
    <w:p w14:paraId="57245A96" w14:textId="77777777" w:rsidR="00933CFE" w:rsidRPr="00B0658A" w:rsidRDefault="00933CFE" w:rsidP="00933CFE">
      <w:pPr>
        <w:pStyle w:val="afd"/>
        <w:numPr>
          <w:ilvl w:val="0"/>
          <w:numId w:val="18"/>
        </w:numPr>
        <w:spacing w:line="240" w:lineRule="auto"/>
        <w:ind w:left="0" w:firstLine="709"/>
        <w:jc w:val="both"/>
        <w:rPr>
          <w:rFonts w:ascii="Times New Roman" w:hAnsi="Times New Roman"/>
          <w:sz w:val="28"/>
          <w:szCs w:val="28"/>
        </w:rPr>
      </w:pPr>
      <w:r w:rsidRPr="00B0658A">
        <w:rPr>
          <w:rFonts w:ascii="Times New Roman" w:hAnsi="Times New Roman"/>
          <w:sz w:val="28"/>
          <w:szCs w:val="28"/>
        </w:rPr>
        <w:t>Сведения о реализации мероприятий по переходу на использование российского ПО на принадлежащих _______ (полное наименование органа государственной власти или государственного внебюджетного фонда) значимых объектах КИИ</w:t>
      </w:r>
    </w:p>
    <w:tbl>
      <w:tblPr>
        <w:tblStyle w:val="32"/>
        <w:tblW w:w="5000" w:type="pct"/>
        <w:tblLook w:val="04A0" w:firstRow="1" w:lastRow="0" w:firstColumn="1" w:lastColumn="0" w:noHBand="0" w:noVBand="1"/>
      </w:tblPr>
      <w:tblGrid>
        <w:gridCol w:w="513"/>
        <w:gridCol w:w="2853"/>
        <w:gridCol w:w="2471"/>
        <w:gridCol w:w="2496"/>
        <w:gridCol w:w="2435"/>
        <w:gridCol w:w="3176"/>
      </w:tblGrid>
      <w:tr w:rsidR="00F52FED" w:rsidRPr="00B0658A" w14:paraId="0EA745B0" w14:textId="77777777" w:rsidTr="00F57B1F">
        <w:trPr>
          <w:tblHeader/>
        </w:trPr>
        <w:tc>
          <w:tcPr>
            <w:tcW w:w="184" w:type="pct"/>
          </w:tcPr>
          <w:p w14:paraId="28B40DAD" w14:textId="77777777" w:rsidR="00933CFE" w:rsidRPr="00B0658A" w:rsidRDefault="00933CFE" w:rsidP="00004A41">
            <w:pPr>
              <w:spacing w:after="0" w:line="240" w:lineRule="auto"/>
              <w:jc w:val="center"/>
              <w:rPr>
                <w:rFonts w:ascii="Times New Roman"/>
                <w:b/>
                <w:bCs/>
                <w:color w:val="auto"/>
                <w:sz w:val="20"/>
                <w:szCs w:val="20"/>
              </w:rPr>
            </w:pPr>
            <w:r w:rsidRPr="00B0658A">
              <w:rPr>
                <w:rFonts w:ascii="Times New Roman"/>
                <w:b/>
                <w:bCs/>
                <w:color w:val="auto"/>
                <w:sz w:val="20"/>
                <w:szCs w:val="20"/>
              </w:rPr>
              <w:t>№</w:t>
            </w:r>
          </w:p>
        </w:tc>
        <w:tc>
          <w:tcPr>
            <w:tcW w:w="1023" w:type="pct"/>
          </w:tcPr>
          <w:p w14:paraId="1E7D6FE1" w14:textId="77777777" w:rsidR="00933CFE" w:rsidRPr="00B0658A" w:rsidRDefault="00933CFE" w:rsidP="00004A41">
            <w:pPr>
              <w:spacing w:after="0" w:line="240" w:lineRule="auto"/>
              <w:jc w:val="center"/>
              <w:rPr>
                <w:rFonts w:ascii="Times New Roman"/>
                <w:b/>
                <w:bCs/>
                <w:color w:val="auto"/>
                <w:sz w:val="20"/>
                <w:szCs w:val="20"/>
              </w:rPr>
            </w:pPr>
            <w:r w:rsidRPr="00B0658A">
              <w:rPr>
                <w:rFonts w:ascii="Times New Roman"/>
                <w:b/>
                <w:bCs/>
                <w:color w:val="auto"/>
                <w:sz w:val="20"/>
                <w:szCs w:val="20"/>
              </w:rPr>
              <w:t xml:space="preserve">Наименование мероприятия в соответствии с утвержденным </w:t>
            </w:r>
            <w:r w:rsidR="00952B74" w:rsidRPr="00B0658A">
              <w:rPr>
                <w:rFonts w:ascii="Times New Roman"/>
                <w:b/>
                <w:bCs/>
                <w:color w:val="auto"/>
                <w:sz w:val="20"/>
                <w:szCs w:val="20"/>
              </w:rPr>
              <w:t xml:space="preserve">детализированным </w:t>
            </w:r>
            <w:r w:rsidRPr="00B0658A">
              <w:rPr>
                <w:rFonts w:ascii="Times New Roman"/>
                <w:b/>
                <w:bCs/>
                <w:color w:val="auto"/>
                <w:sz w:val="20"/>
                <w:szCs w:val="20"/>
              </w:rPr>
              <w:t xml:space="preserve">планом </w:t>
            </w:r>
          </w:p>
        </w:tc>
        <w:tc>
          <w:tcPr>
            <w:tcW w:w="886" w:type="pct"/>
          </w:tcPr>
          <w:p w14:paraId="4D39CFE6" w14:textId="77777777" w:rsidR="00933CFE" w:rsidRPr="00B0658A" w:rsidRDefault="00933CFE" w:rsidP="00004A41">
            <w:pPr>
              <w:spacing w:after="0" w:line="240" w:lineRule="auto"/>
              <w:jc w:val="center"/>
              <w:rPr>
                <w:rFonts w:ascii="Times New Roman"/>
                <w:b/>
                <w:bCs/>
                <w:color w:val="auto"/>
                <w:sz w:val="20"/>
                <w:szCs w:val="20"/>
              </w:rPr>
            </w:pPr>
            <w:r w:rsidRPr="00B0658A">
              <w:rPr>
                <w:rFonts w:ascii="Times New Roman"/>
                <w:b/>
                <w:bCs/>
                <w:color w:val="auto"/>
                <w:sz w:val="20"/>
                <w:szCs w:val="20"/>
              </w:rPr>
              <w:t xml:space="preserve">Планируемый результат в соответствии с утвержденным </w:t>
            </w:r>
            <w:r w:rsidR="00952B74" w:rsidRPr="00B0658A">
              <w:rPr>
                <w:rFonts w:ascii="Times New Roman"/>
                <w:b/>
                <w:bCs/>
                <w:color w:val="auto"/>
                <w:sz w:val="20"/>
                <w:szCs w:val="20"/>
              </w:rPr>
              <w:t xml:space="preserve">детализированным </w:t>
            </w:r>
            <w:r w:rsidRPr="00B0658A">
              <w:rPr>
                <w:rFonts w:ascii="Times New Roman"/>
                <w:b/>
                <w:bCs/>
                <w:color w:val="auto"/>
                <w:sz w:val="20"/>
                <w:szCs w:val="20"/>
              </w:rPr>
              <w:t xml:space="preserve">планом </w:t>
            </w:r>
          </w:p>
        </w:tc>
        <w:tc>
          <w:tcPr>
            <w:tcW w:w="895" w:type="pct"/>
          </w:tcPr>
          <w:p w14:paraId="3DE97722" w14:textId="77777777" w:rsidR="00933CFE" w:rsidRPr="00B0658A" w:rsidRDefault="00933CFE" w:rsidP="00004A41">
            <w:pPr>
              <w:spacing w:after="0" w:line="240" w:lineRule="auto"/>
              <w:jc w:val="center"/>
              <w:rPr>
                <w:rFonts w:ascii="Times New Roman"/>
                <w:b/>
                <w:bCs/>
                <w:color w:val="auto"/>
                <w:sz w:val="20"/>
                <w:szCs w:val="20"/>
              </w:rPr>
            </w:pPr>
            <w:r w:rsidRPr="00B0658A">
              <w:rPr>
                <w:rFonts w:ascii="Times New Roman"/>
                <w:b/>
                <w:bCs/>
                <w:color w:val="auto"/>
                <w:sz w:val="20"/>
                <w:szCs w:val="20"/>
              </w:rPr>
              <w:t xml:space="preserve">Сроки реализации запланированного мероприятия в соответствии с </w:t>
            </w:r>
            <w:r w:rsidR="00952B74" w:rsidRPr="00B0658A">
              <w:rPr>
                <w:rFonts w:ascii="Times New Roman"/>
                <w:b/>
                <w:bCs/>
                <w:color w:val="auto"/>
                <w:sz w:val="20"/>
                <w:szCs w:val="20"/>
              </w:rPr>
              <w:t xml:space="preserve">детализированным </w:t>
            </w:r>
            <w:r w:rsidRPr="00B0658A">
              <w:rPr>
                <w:rFonts w:ascii="Times New Roman"/>
                <w:b/>
                <w:bCs/>
                <w:color w:val="auto"/>
                <w:sz w:val="20"/>
                <w:szCs w:val="20"/>
              </w:rPr>
              <w:t>планом</w:t>
            </w:r>
          </w:p>
        </w:tc>
        <w:tc>
          <w:tcPr>
            <w:tcW w:w="873" w:type="pct"/>
          </w:tcPr>
          <w:p w14:paraId="408C1F41" w14:textId="77777777" w:rsidR="00933CFE" w:rsidRPr="00B0658A" w:rsidRDefault="00933CFE" w:rsidP="00004A41">
            <w:pPr>
              <w:spacing w:after="0" w:line="240" w:lineRule="auto"/>
              <w:jc w:val="center"/>
              <w:rPr>
                <w:rFonts w:ascii="Times New Roman"/>
                <w:b/>
                <w:bCs/>
                <w:color w:val="auto"/>
                <w:sz w:val="20"/>
                <w:szCs w:val="20"/>
              </w:rPr>
            </w:pPr>
            <w:r w:rsidRPr="00B0658A">
              <w:rPr>
                <w:rFonts w:ascii="Times New Roman"/>
                <w:b/>
                <w:bCs/>
                <w:color w:val="auto"/>
                <w:sz w:val="20"/>
                <w:szCs w:val="20"/>
              </w:rPr>
              <w:t>Статус выполнения мероприятия</w:t>
            </w:r>
          </w:p>
        </w:tc>
        <w:tc>
          <w:tcPr>
            <w:tcW w:w="1139" w:type="pct"/>
          </w:tcPr>
          <w:p w14:paraId="5A97DA87" w14:textId="77777777" w:rsidR="00933CFE" w:rsidRPr="00B0658A" w:rsidRDefault="00933CFE" w:rsidP="00004A41">
            <w:pPr>
              <w:spacing w:after="0" w:line="240" w:lineRule="auto"/>
              <w:jc w:val="center"/>
              <w:rPr>
                <w:rFonts w:ascii="Times New Roman"/>
                <w:b/>
                <w:bCs/>
                <w:color w:val="auto"/>
                <w:sz w:val="20"/>
                <w:szCs w:val="20"/>
              </w:rPr>
            </w:pPr>
            <w:r w:rsidRPr="00B0658A">
              <w:rPr>
                <w:rFonts w:ascii="Times New Roman"/>
                <w:b/>
                <w:bCs/>
                <w:color w:val="auto"/>
                <w:sz w:val="20"/>
                <w:szCs w:val="20"/>
              </w:rPr>
              <w:t>Описание достигнутого фактического результата</w:t>
            </w:r>
          </w:p>
        </w:tc>
      </w:tr>
      <w:tr w:rsidR="00F52FED" w:rsidRPr="00B0658A" w14:paraId="3EB77012" w14:textId="77777777" w:rsidTr="004F5DF5">
        <w:tc>
          <w:tcPr>
            <w:tcW w:w="5000" w:type="pct"/>
            <w:gridSpan w:val="6"/>
            <w:vAlign w:val="center"/>
          </w:tcPr>
          <w:p w14:paraId="42291FD8" w14:textId="77777777" w:rsidR="00933CFE" w:rsidRPr="00B0658A" w:rsidRDefault="00933CFE" w:rsidP="00004A41">
            <w:pPr>
              <w:spacing w:after="0" w:line="240" w:lineRule="auto"/>
              <w:rPr>
                <w:rFonts w:ascii="Times New Roman"/>
                <w:b/>
                <w:i/>
                <w:iCs/>
                <w:color w:val="auto"/>
                <w:sz w:val="20"/>
                <w:szCs w:val="20"/>
              </w:rPr>
            </w:pPr>
            <w:r w:rsidRPr="00B0658A">
              <w:rPr>
                <w:rFonts w:ascii="Times New Roman"/>
                <w:b/>
                <w:color w:val="auto"/>
                <w:sz w:val="20"/>
                <w:szCs w:val="20"/>
              </w:rPr>
              <w:t>1. Мероприятия в отношении ________ (наименование значимого объекта КИИ №1)</w:t>
            </w:r>
          </w:p>
        </w:tc>
      </w:tr>
      <w:tr w:rsidR="00F52FED" w:rsidRPr="00B0658A" w14:paraId="714B66AF" w14:textId="77777777" w:rsidTr="004F5DF5">
        <w:tc>
          <w:tcPr>
            <w:tcW w:w="184" w:type="pct"/>
          </w:tcPr>
          <w:p w14:paraId="1E532AC6" w14:textId="77777777" w:rsidR="00933CFE" w:rsidRPr="00B0658A" w:rsidRDefault="00933CFE" w:rsidP="00004A41">
            <w:pPr>
              <w:spacing w:after="0" w:line="240" w:lineRule="auto"/>
              <w:jc w:val="both"/>
              <w:rPr>
                <w:rFonts w:ascii="Times New Roman"/>
                <w:color w:val="auto"/>
                <w:sz w:val="20"/>
                <w:szCs w:val="20"/>
              </w:rPr>
            </w:pPr>
            <w:r w:rsidRPr="00B0658A">
              <w:rPr>
                <w:rFonts w:ascii="Times New Roman"/>
                <w:color w:val="auto"/>
                <w:sz w:val="20"/>
                <w:szCs w:val="20"/>
              </w:rPr>
              <w:t>1.1</w:t>
            </w:r>
          </w:p>
        </w:tc>
        <w:tc>
          <w:tcPr>
            <w:tcW w:w="1023" w:type="pct"/>
          </w:tcPr>
          <w:p w14:paraId="779CA54C" w14:textId="77777777" w:rsidR="00933CFE" w:rsidRPr="00B0658A" w:rsidRDefault="00933CFE" w:rsidP="00004A41">
            <w:pPr>
              <w:spacing w:after="0" w:line="240" w:lineRule="auto"/>
              <w:jc w:val="both"/>
              <w:rPr>
                <w:rFonts w:ascii="Times New Roman"/>
                <w:i/>
                <w:iCs/>
                <w:color w:val="auto"/>
                <w:sz w:val="20"/>
                <w:szCs w:val="20"/>
              </w:rPr>
            </w:pPr>
            <w:r w:rsidRPr="00B0658A">
              <w:rPr>
                <w:rFonts w:ascii="Times New Roman"/>
                <w:i/>
                <w:iCs/>
                <w:color w:val="auto"/>
                <w:sz w:val="20"/>
                <w:szCs w:val="20"/>
              </w:rPr>
              <w:t>Указывается наименование мероприятия в соответствии с утвержденным детализированным планом перехода на использование российского ПО на принадлежащих органу государственной власти или государственному внебюджетному фонду значимых объектах КИИ</w:t>
            </w:r>
          </w:p>
          <w:p w14:paraId="4F7E5DBA" w14:textId="77777777" w:rsidR="00933CFE" w:rsidRPr="00B0658A" w:rsidRDefault="00933CFE" w:rsidP="00004A41">
            <w:pPr>
              <w:pStyle w:val="ConsPlusNormal"/>
              <w:jc w:val="both"/>
              <w:rPr>
                <w:color w:val="auto"/>
                <w:sz w:val="20"/>
                <w:szCs w:val="20"/>
              </w:rPr>
            </w:pPr>
          </w:p>
          <w:p w14:paraId="3DDE91FF" w14:textId="77777777" w:rsidR="00933CFE" w:rsidRPr="00B0658A" w:rsidRDefault="00933CFE" w:rsidP="00004A41">
            <w:pPr>
              <w:spacing w:after="0" w:line="240" w:lineRule="auto"/>
              <w:jc w:val="both"/>
              <w:rPr>
                <w:rFonts w:ascii="Times New Roman"/>
                <w:i/>
                <w:iCs/>
                <w:color w:val="auto"/>
                <w:sz w:val="20"/>
                <w:szCs w:val="20"/>
              </w:rPr>
            </w:pPr>
          </w:p>
        </w:tc>
        <w:tc>
          <w:tcPr>
            <w:tcW w:w="886" w:type="pct"/>
          </w:tcPr>
          <w:p w14:paraId="1E93ACEB" w14:textId="77777777" w:rsidR="00933CFE" w:rsidRPr="00B0658A" w:rsidRDefault="00933CFE" w:rsidP="00004A41">
            <w:pPr>
              <w:spacing w:after="0" w:line="240" w:lineRule="auto"/>
              <w:jc w:val="both"/>
              <w:rPr>
                <w:rFonts w:ascii="Times New Roman"/>
                <w:i/>
                <w:iCs/>
                <w:color w:val="auto"/>
                <w:sz w:val="20"/>
                <w:szCs w:val="20"/>
              </w:rPr>
            </w:pPr>
            <w:r w:rsidRPr="00B0658A">
              <w:rPr>
                <w:rFonts w:ascii="Times New Roman"/>
                <w:i/>
                <w:iCs/>
                <w:color w:val="auto"/>
                <w:sz w:val="20"/>
                <w:szCs w:val="20"/>
              </w:rPr>
              <w:t>Указывается запланированный результат в соответствии с утвержденным детализированным планом перехода на использование российского ПО на принадлежащих органу государственной власти или государственному внебюджетному фонду значимых объектах КИИ</w:t>
            </w:r>
          </w:p>
          <w:p w14:paraId="225D7F93" w14:textId="77777777" w:rsidR="00933CFE" w:rsidRPr="00B0658A" w:rsidRDefault="00933CFE" w:rsidP="00004A41">
            <w:pPr>
              <w:spacing w:after="0" w:line="240" w:lineRule="auto"/>
              <w:jc w:val="both"/>
              <w:rPr>
                <w:rFonts w:ascii="Times New Roman"/>
                <w:color w:val="auto"/>
                <w:sz w:val="20"/>
                <w:szCs w:val="20"/>
              </w:rPr>
            </w:pPr>
          </w:p>
        </w:tc>
        <w:tc>
          <w:tcPr>
            <w:tcW w:w="895" w:type="pct"/>
          </w:tcPr>
          <w:p w14:paraId="77F3F9D3" w14:textId="77777777" w:rsidR="00933CFE" w:rsidRPr="00B0658A" w:rsidRDefault="00933CFE" w:rsidP="00004A41">
            <w:pPr>
              <w:spacing w:after="0" w:line="240" w:lineRule="auto"/>
              <w:jc w:val="both"/>
              <w:rPr>
                <w:rFonts w:ascii="Times New Roman"/>
                <w:i/>
                <w:iCs/>
                <w:color w:val="auto"/>
                <w:sz w:val="20"/>
                <w:szCs w:val="20"/>
              </w:rPr>
            </w:pPr>
            <w:r w:rsidRPr="00B0658A">
              <w:rPr>
                <w:rFonts w:ascii="Times New Roman"/>
                <w:i/>
                <w:iCs/>
                <w:color w:val="auto"/>
                <w:sz w:val="20"/>
                <w:szCs w:val="20"/>
              </w:rPr>
              <w:t>Указывается срок реализации (период выполнения) в соответствии с утвержденным детализированным планом перехода на использование российского ПО на принадлежащих органу государственной власти или государственному внебюджетному фонду значимых объектах КИИ</w:t>
            </w:r>
          </w:p>
          <w:p w14:paraId="65C4022B" w14:textId="77777777" w:rsidR="00933CFE" w:rsidRPr="00B0658A" w:rsidRDefault="00933CFE" w:rsidP="00004A41">
            <w:pPr>
              <w:spacing w:after="0" w:line="240" w:lineRule="auto"/>
              <w:jc w:val="both"/>
              <w:rPr>
                <w:rFonts w:ascii="Times New Roman"/>
                <w:i/>
                <w:iCs/>
                <w:color w:val="auto"/>
                <w:sz w:val="20"/>
                <w:szCs w:val="20"/>
              </w:rPr>
            </w:pPr>
          </w:p>
        </w:tc>
        <w:tc>
          <w:tcPr>
            <w:tcW w:w="873" w:type="pct"/>
          </w:tcPr>
          <w:p w14:paraId="2B9428D4" w14:textId="77777777" w:rsidR="00933CFE" w:rsidRPr="00B0658A" w:rsidRDefault="00933CFE" w:rsidP="00004A41">
            <w:pPr>
              <w:spacing w:after="0" w:line="240" w:lineRule="auto"/>
              <w:jc w:val="both"/>
              <w:rPr>
                <w:rFonts w:ascii="Times New Roman"/>
                <w:i/>
                <w:iCs/>
                <w:color w:val="auto"/>
                <w:sz w:val="20"/>
                <w:szCs w:val="20"/>
              </w:rPr>
            </w:pPr>
            <w:r w:rsidRPr="00B0658A">
              <w:rPr>
                <w:rFonts w:ascii="Times New Roman"/>
                <w:i/>
                <w:iCs/>
                <w:color w:val="auto"/>
                <w:sz w:val="20"/>
                <w:szCs w:val="20"/>
              </w:rPr>
              <w:t>Указывается статус: «выполнено» / «не выполнено».</w:t>
            </w:r>
          </w:p>
          <w:p w14:paraId="6DEF147F" w14:textId="77777777" w:rsidR="00933CFE" w:rsidRPr="00B0658A" w:rsidRDefault="00933CFE" w:rsidP="00004A41">
            <w:pPr>
              <w:spacing w:after="0" w:line="240" w:lineRule="auto"/>
              <w:jc w:val="both"/>
              <w:rPr>
                <w:rFonts w:ascii="Times New Roman"/>
                <w:color w:val="auto"/>
                <w:sz w:val="20"/>
                <w:szCs w:val="20"/>
              </w:rPr>
            </w:pPr>
            <w:r w:rsidRPr="00B0658A">
              <w:rPr>
                <w:rFonts w:ascii="Times New Roman"/>
                <w:i/>
                <w:iCs/>
                <w:color w:val="auto"/>
                <w:sz w:val="20"/>
                <w:szCs w:val="20"/>
              </w:rPr>
              <w:t>Если мероприятие выполнено частично, то указывается статус «не выполнено»</w:t>
            </w:r>
          </w:p>
        </w:tc>
        <w:tc>
          <w:tcPr>
            <w:tcW w:w="1139" w:type="pct"/>
          </w:tcPr>
          <w:p w14:paraId="07F230EB" w14:textId="77777777" w:rsidR="00933CFE" w:rsidRPr="00B0658A" w:rsidRDefault="00933CFE" w:rsidP="00004A41">
            <w:pPr>
              <w:spacing w:after="0" w:line="240" w:lineRule="auto"/>
              <w:jc w:val="both"/>
              <w:rPr>
                <w:rFonts w:ascii="Times New Roman"/>
                <w:i/>
                <w:iCs/>
                <w:color w:val="auto"/>
                <w:sz w:val="20"/>
                <w:szCs w:val="20"/>
              </w:rPr>
            </w:pPr>
            <w:r w:rsidRPr="00B0658A">
              <w:rPr>
                <w:rFonts w:ascii="Times New Roman"/>
                <w:i/>
                <w:iCs/>
                <w:color w:val="auto"/>
                <w:sz w:val="20"/>
                <w:szCs w:val="20"/>
              </w:rPr>
              <w:t>Указывается достигнутый результат. В случае если мероприятие не было выполнено, либо результат выполнения мероприятия был достигнут не полностью, указываются причины невыполнения мероприятия (частичного выполнения мероприятия), а также срок, в который мероприятие будет реализовано и достигнут запланированный результат</w:t>
            </w:r>
          </w:p>
        </w:tc>
      </w:tr>
      <w:tr w:rsidR="00F52FED" w:rsidRPr="00B0658A" w14:paraId="09BB2F59" w14:textId="77777777" w:rsidTr="004F5DF5">
        <w:tc>
          <w:tcPr>
            <w:tcW w:w="184" w:type="pct"/>
          </w:tcPr>
          <w:p w14:paraId="74AF3411" w14:textId="77777777" w:rsidR="00933CFE" w:rsidRPr="00B0658A" w:rsidRDefault="00933CFE" w:rsidP="00004A41">
            <w:pPr>
              <w:spacing w:after="0" w:line="240" w:lineRule="auto"/>
              <w:jc w:val="both"/>
              <w:rPr>
                <w:rFonts w:ascii="Times New Roman"/>
                <w:color w:val="auto"/>
                <w:sz w:val="20"/>
                <w:szCs w:val="20"/>
              </w:rPr>
            </w:pPr>
            <w:r w:rsidRPr="00B0658A">
              <w:rPr>
                <w:rFonts w:ascii="Times New Roman"/>
                <w:color w:val="auto"/>
                <w:sz w:val="20"/>
                <w:szCs w:val="20"/>
              </w:rPr>
              <w:t>1.2</w:t>
            </w:r>
          </w:p>
        </w:tc>
        <w:tc>
          <w:tcPr>
            <w:tcW w:w="1023" w:type="pct"/>
          </w:tcPr>
          <w:p w14:paraId="006D70FB" w14:textId="77777777" w:rsidR="00933CFE" w:rsidRPr="00B0658A" w:rsidRDefault="00933CFE" w:rsidP="00004A41">
            <w:pPr>
              <w:spacing w:after="0" w:line="240" w:lineRule="auto"/>
              <w:jc w:val="both"/>
              <w:rPr>
                <w:rFonts w:ascii="Times New Roman"/>
                <w:color w:val="auto"/>
                <w:sz w:val="20"/>
                <w:szCs w:val="20"/>
              </w:rPr>
            </w:pPr>
          </w:p>
        </w:tc>
        <w:tc>
          <w:tcPr>
            <w:tcW w:w="886" w:type="pct"/>
          </w:tcPr>
          <w:p w14:paraId="019409F4" w14:textId="77777777" w:rsidR="00933CFE" w:rsidRPr="00B0658A" w:rsidRDefault="00933CFE" w:rsidP="00004A41">
            <w:pPr>
              <w:spacing w:after="0" w:line="240" w:lineRule="auto"/>
              <w:jc w:val="both"/>
              <w:rPr>
                <w:rFonts w:ascii="Times New Roman"/>
                <w:color w:val="auto"/>
                <w:sz w:val="20"/>
                <w:szCs w:val="20"/>
              </w:rPr>
            </w:pPr>
          </w:p>
        </w:tc>
        <w:tc>
          <w:tcPr>
            <w:tcW w:w="895" w:type="pct"/>
          </w:tcPr>
          <w:p w14:paraId="274E9508" w14:textId="77777777" w:rsidR="00933CFE" w:rsidRPr="00B0658A" w:rsidRDefault="00933CFE" w:rsidP="00004A41">
            <w:pPr>
              <w:spacing w:after="0" w:line="240" w:lineRule="auto"/>
              <w:jc w:val="both"/>
              <w:rPr>
                <w:rFonts w:ascii="Times New Roman"/>
                <w:color w:val="auto"/>
                <w:sz w:val="20"/>
                <w:szCs w:val="20"/>
              </w:rPr>
            </w:pPr>
          </w:p>
        </w:tc>
        <w:tc>
          <w:tcPr>
            <w:tcW w:w="873" w:type="pct"/>
          </w:tcPr>
          <w:p w14:paraId="0CB82C83" w14:textId="77777777" w:rsidR="00933CFE" w:rsidRPr="00B0658A" w:rsidRDefault="00933CFE" w:rsidP="00004A41">
            <w:pPr>
              <w:spacing w:after="0" w:line="240" w:lineRule="auto"/>
              <w:jc w:val="both"/>
              <w:rPr>
                <w:rFonts w:ascii="Times New Roman"/>
                <w:color w:val="auto"/>
                <w:sz w:val="20"/>
                <w:szCs w:val="20"/>
              </w:rPr>
            </w:pPr>
          </w:p>
        </w:tc>
        <w:tc>
          <w:tcPr>
            <w:tcW w:w="1139" w:type="pct"/>
          </w:tcPr>
          <w:p w14:paraId="10904531" w14:textId="77777777" w:rsidR="00933CFE" w:rsidRPr="00B0658A" w:rsidRDefault="00933CFE" w:rsidP="00004A41">
            <w:pPr>
              <w:spacing w:after="0" w:line="240" w:lineRule="auto"/>
              <w:jc w:val="both"/>
              <w:rPr>
                <w:rFonts w:ascii="Times New Roman"/>
                <w:color w:val="auto"/>
                <w:sz w:val="20"/>
                <w:szCs w:val="20"/>
              </w:rPr>
            </w:pPr>
          </w:p>
        </w:tc>
      </w:tr>
      <w:tr w:rsidR="00F52FED" w:rsidRPr="00B0658A" w14:paraId="48E93CD8" w14:textId="77777777" w:rsidTr="004F5DF5">
        <w:tc>
          <w:tcPr>
            <w:tcW w:w="184" w:type="pct"/>
          </w:tcPr>
          <w:p w14:paraId="6D14308D" w14:textId="77777777" w:rsidR="00933CFE" w:rsidRPr="00B0658A" w:rsidRDefault="00933CFE" w:rsidP="00004A41">
            <w:pPr>
              <w:spacing w:after="0" w:line="240" w:lineRule="auto"/>
              <w:jc w:val="both"/>
              <w:rPr>
                <w:rFonts w:ascii="Times New Roman"/>
                <w:color w:val="auto"/>
                <w:sz w:val="20"/>
                <w:szCs w:val="20"/>
              </w:rPr>
            </w:pPr>
            <w:r w:rsidRPr="00B0658A">
              <w:rPr>
                <w:rFonts w:ascii="Times New Roman"/>
                <w:color w:val="auto"/>
                <w:sz w:val="20"/>
                <w:szCs w:val="20"/>
              </w:rPr>
              <w:lastRenderedPageBreak/>
              <w:t>…</w:t>
            </w:r>
          </w:p>
        </w:tc>
        <w:tc>
          <w:tcPr>
            <w:tcW w:w="1023" w:type="pct"/>
          </w:tcPr>
          <w:p w14:paraId="3A9770CB" w14:textId="77777777" w:rsidR="00933CFE" w:rsidRPr="00B0658A" w:rsidRDefault="00933CFE" w:rsidP="00004A41">
            <w:pPr>
              <w:spacing w:after="0" w:line="240" w:lineRule="auto"/>
              <w:jc w:val="both"/>
              <w:rPr>
                <w:rFonts w:ascii="Times New Roman"/>
                <w:color w:val="auto"/>
                <w:sz w:val="20"/>
                <w:szCs w:val="20"/>
              </w:rPr>
            </w:pPr>
          </w:p>
        </w:tc>
        <w:tc>
          <w:tcPr>
            <w:tcW w:w="886" w:type="pct"/>
          </w:tcPr>
          <w:p w14:paraId="5ECEFCA0" w14:textId="77777777" w:rsidR="00933CFE" w:rsidRPr="00B0658A" w:rsidRDefault="00933CFE" w:rsidP="00004A41">
            <w:pPr>
              <w:spacing w:after="0" w:line="240" w:lineRule="auto"/>
              <w:jc w:val="both"/>
              <w:rPr>
                <w:rFonts w:ascii="Times New Roman"/>
                <w:color w:val="auto"/>
                <w:sz w:val="20"/>
                <w:szCs w:val="20"/>
              </w:rPr>
            </w:pPr>
          </w:p>
        </w:tc>
        <w:tc>
          <w:tcPr>
            <w:tcW w:w="895" w:type="pct"/>
          </w:tcPr>
          <w:p w14:paraId="45BE8102" w14:textId="77777777" w:rsidR="00933CFE" w:rsidRPr="00B0658A" w:rsidRDefault="00933CFE" w:rsidP="00004A41">
            <w:pPr>
              <w:spacing w:after="0" w:line="240" w:lineRule="auto"/>
              <w:jc w:val="both"/>
              <w:rPr>
                <w:rFonts w:ascii="Times New Roman"/>
                <w:color w:val="auto"/>
                <w:sz w:val="20"/>
                <w:szCs w:val="20"/>
              </w:rPr>
            </w:pPr>
          </w:p>
        </w:tc>
        <w:tc>
          <w:tcPr>
            <w:tcW w:w="873" w:type="pct"/>
          </w:tcPr>
          <w:p w14:paraId="3867FF5F" w14:textId="77777777" w:rsidR="00933CFE" w:rsidRPr="00B0658A" w:rsidRDefault="00933CFE" w:rsidP="00004A41">
            <w:pPr>
              <w:spacing w:after="0" w:line="240" w:lineRule="auto"/>
              <w:jc w:val="both"/>
              <w:rPr>
                <w:rFonts w:ascii="Times New Roman"/>
                <w:color w:val="auto"/>
                <w:sz w:val="20"/>
                <w:szCs w:val="20"/>
              </w:rPr>
            </w:pPr>
          </w:p>
        </w:tc>
        <w:tc>
          <w:tcPr>
            <w:tcW w:w="1139" w:type="pct"/>
          </w:tcPr>
          <w:p w14:paraId="08BCAA98" w14:textId="77777777" w:rsidR="00933CFE" w:rsidRPr="00B0658A" w:rsidRDefault="00933CFE" w:rsidP="00004A41">
            <w:pPr>
              <w:spacing w:after="0" w:line="240" w:lineRule="auto"/>
              <w:jc w:val="both"/>
              <w:rPr>
                <w:rFonts w:ascii="Times New Roman"/>
                <w:color w:val="auto"/>
                <w:sz w:val="20"/>
                <w:szCs w:val="20"/>
              </w:rPr>
            </w:pPr>
          </w:p>
        </w:tc>
      </w:tr>
      <w:tr w:rsidR="00F52FED" w:rsidRPr="00B0658A" w14:paraId="3FEC6FDB" w14:textId="77777777" w:rsidTr="004F5DF5">
        <w:tc>
          <w:tcPr>
            <w:tcW w:w="184" w:type="pct"/>
          </w:tcPr>
          <w:p w14:paraId="36D00A14" w14:textId="77777777" w:rsidR="00933CFE" w:rsidRPr="00B0658A" w:rsidRDefault="00933CFE" w:rsidP="00004A41">
            <w:pPr>
              <w:spacing w:after="0" w:line="240" w:lineRule="auto"/>
              <w:jc w:val="both"/>
              <w:rPr>
                <w:rFonts w:ascii="Times New Roman"/>
                <w:color w:val="auto"/>
                <w:sz w:val="20"/>
                <w:szCs w:val="20"/>
              </w:rPr>
            </w:pPr>
            <w:r w:rsidRPr="00B0658A">
              <w:rPr>
                <w:rFonts w:ascii="Times New Roman"/>
                <w:color w:val="auto"/>
                <w:sz w:val="20"/>
                <w:szCs w:val="20"/>
                <w:lang w:val="en-US"/>
              </w:rPr>
              <w:t>1.n</w:t>
            </w:r>
          </w:p>
        </w:tc>
        <w:tc>
          <w:tcPr>
            <w:tcW w:w="1023" w:type="pct"/>
          </w:tcPr>
          <w:p w14:paraId="661F7269" w14:textId="77777777" w:rsidR="00933CFE" w:rsidRPr="00B0658A" w:rsidRDefault="00933CFE" w:rsidP="00004A41">
            <w:pPr>
              <w:spacing w:after="0" w:line="240" w:lineRule="auto"/>
              <w:jc w:val="both"/>
              <w:rPr>
                <w:rFonts w:ascii="Times New Roman"/>
                <w:color w:val="auto"/>
                <w:sz w:val="20"/>
                <w:szCs w:val="20"/>
              </w:rPr>
            </w:pPr>
          </w:p>
        </w:tc>
        <w:tc>
          <w:tcPr>
            <w:tcW w:w="886" w:type="pct"/>
          </w:tcPr>
          <w:p w14:paraId="5F751B7B" w14:textId="77777777" w:rsidR="00933CFE" w:rsidRPr="00B0658A" w:rsidRDefault="00933CFE" w:rsidP="00004A41">
            <w:pPr>
              <w:spacing w:after="0" w:line="240" w:lineRule="auto"/>
              <w:jc w:val="both"/>
              <w:rPr>
                <w:rFonts w:ascii="Times New Roman"/>
                <w:color w:val="auto"/>
                <w:sz w:val="20"/>
                <w:szCs w:val="20"/>
              </w:rPr>
            </w:pPr>
          </w:p>
        </w:tc>
        <w:tc>
          <w:tcPr>
            <w:tcW w:w="895" w:type="pct"/>
          </w:tcPr>
          <w:p w14:paraId="2AAC28C2" w14:textId="77777777" w:rsidR="00933CFE" w:rsidRPr="00B0658A" w:rsidRDefault="00933CFE" w:rsidP="00004A41">
            <w:pPr>
              <w:spacing w:after="0" w:line="240" w:lineRule="auto"/>
              <w:jc w:val="both"/>
              <w:rPr>
                <w:rFonts w:ascii="Times New Roman"/>
                <w:color w:val="auto"/>
                <w:sz w:val="20"/>
                <w:szCs w:val="20"/>
              </w:rPr>
            </w:pPr>
          </w:p>
        </w:tc>
        <w:tc>
          <w:tcPr>
            <w:tcW w:w="873" w:type="pct"/>
          </w:tcPr>
          <w:p w14:paraId="29A4639C" w14:textId="77777777" w:rsidR="00933CFE" w:rsidRPr="00B0658A" w:rsidRDefault="00933CFE" w:rsidP="00004A41">
            <w:pPr>
              <w:spacing w:after="0" w:line="240" w:lineRule="auto"/>
              <w:jc w:val="both"/>
              <w:rPr>
                <w:rFonts w:ascii="Times New Roman"/>
                <w:color w:val="auto"/>
                <w:sz w:val="20"/>
                <w:szCs w:val="20"/>
              </w:rPr>
            </w:pPr>
          </w:p>
        </w:tc>
        <w:tc>
          <w:tcPr>
            <w:tcW w:w="1139" w:type="pct"/>
          </w:tcPr>
          <w:p w14:paraId="228E15F0" w14:textId="77777777" w:rsidR="00933CFE" w:rsidRPr="00B0658A" w:rsidRDefault="00933CFE" w:rsidP="00004A41">
            <w:pPr>
              <w:spacing w:after="0" w:line="240" w:lineRule="auto"/>
              <w:jc w:val="both"/>
              <w:rPr>
                <w:rFonts w:ascii="Times New Roman"/>
                <w:color w:val="auto"/>
                <w:sz w:val="20"/>
                <w:szCs w:val="20"/>
              </w:rPr>
            </w:pPr>
          </w:p>
        </w:tc>
      </w:tr>
      <w:tr w:rsidR="00F52FED" w:rsidRPr="00B0658A" w14:paraId="4EE8408A" w14:textId="77777777" w:rsidTr="004F5DF5">
        <w:tc>
          <w:tcPr>
            <w:tcW w:w="5000" w:type="pct"/>
            <w:gridSpan w:val="6"/>
          </w:tcPr>
          <w:p w14:paraId="6C8BEBF6" w14:textId="77777777" w:rsidR="00933CFE" w:rsidRPr="00B0658A" w:rsidRDefault="00933CFE" w:rsidP="00004A41">
            <w:pPr>
              <w:spacing w:after="0" w:line="240" w:lineRule="auto"/>
              <w:rPr>
                <w:rFonts w:ascii="Times New Roman"/>
                <w:color w:val="auto"/>
                <w:sz w:val="20"/>
                <w:szCs w:val="20"/>
              </w:rPr>
            </w:pPr>
            <w:r w:rsidRPr="00B0658A">
              <w:rPr>
                <w:rFonts w:ascii="Times New Roman"/>
                <w:b/>
                <w:color w:val="auto"/>
                <w:sz w:val="20"/>
                <w:szCs w:val="20"/>
              </w:rPr>
              <w:t>2. Мероприятия в отношении ________ (наименование значимого объекта КИИ №2)</w:t>
            </w:r>
          </w:p>
        </w:tc>
      </w:tr>
      <w:tr w:rsidR="00F52FED" w:rsidRPr="00B0658A" w14:paraId="32ED004F" w14:textId="77777777" w:rsidTr="004F5DF5">
        <w:tc>
          <w:tcPr>
            <w:tcW w:w="184" w:type="pct"/>
          </w:tcPr>
          <w:p w14:paraId="3F00D7DB" w14:textId="77777777" w:rsidR="00933CFE" w:rsidRPr="00B0658A" w:rsidRDefault="00933CFE" w:rsidP="00004A41">
            <w:pPr>
              <w:spacing w:after="0" w:line="240" w:lineRule="auto"/>
              <w:jc w:val="both"/>
              <w:rPr>
                <w:rFonts w:ascii="Times New Roman"/>
                <w:color w:val="auto"/>
                <w:sz w:val="20"/>
                <w:szCs w:val="20"/>
                <w:lang w:val="en-US"/>
              </w:rPr>
            </w:pPr>
            <w:r w:rsidRPr="00B0658A">
              <w:rPr>
                <w:rFonts w:ascii="Times New Roman"/>
                <w:color w:val="auto"/>
                <w:sz w:val="20"/>
                <w:szCs w:val="20"/>
                <w:lang w:val="en-US"/>
              </w:rPr>
              <w:t>2.1</w:t>
            </w:r>
          </w:p>
        </w:tc>
        <w:tc>
          <w:tcPr>
            <w:tcW w:w="1023" w:type="pct"/>
          </w:tcPr>
          <w:p w14:paraId="1E65D1B7" w14:textId="77777777" w:rsidR="00933CFE" w:rsidRPr="00B0658A" w:rsidRDefault="00933CFE" w:rsidP="00004A41">
            <w:pPr>
              <w:spacing w:after="0" w:line="240" w:lineRule="auto"/>
              <w:jc w:val="both"/>
              <w:rPr>
                <w:rFonts w:ascii="Times New Roman"/>
                <w:color w:val="auto"/>
                <w:sz w:val="20"/>
                <w:szCs w:val="20"/>
              </w:rPr>
            </w:pPr>
          </w:p>
        </w:tc>
        <w:tc>
          <w:tcPr>
            <w:tcW w:w="886" w:type="pct"/>
          </w:tcPr>
          <w:p w14:paraId="432B1533" w14:textId="77777777" w:rsidR="00933CFE" w:rsidRPr="00B0658A" w:rsidRDefault="00933CFE" w:rsidP="00004A41">
            <w:pPr>
              <w:spacing w:after="0" w:line="240" w:lineRule="auto"/>
              <w:jc w:val="both"/>
              <w:rPr>
                <w:rFonts w:ascii="Times New Roman"/>
                <w:color w:val="auto"/>
                <w:sz w:val="20"/>
                <w:szCs w:val="20"/>
              </w:rPr>
            </w:pPr>
          </w:p>
        </w:tc>
        <w:tc>
          <w:tcPr>
            <w:tcW w:w="895" w:type="pct"/>
          </w:tcPr>
          <w:p w14:paraId="66D91673" w14:textId="77777777" w:rsidR="00933CFE" w:rsidRPr="00B0658A" w:rsidRDefault="00933CFE" w:rsidP="00004A41">
            <w:pPr>
              <w:spacing w:after="0" w:line="240" w:lineRule="auto"/>
              <w:jc w:val="both"/>
              <w:rPr>
                <w:rFonts w:ascii="Times New Roman"/>
                <w:color w:val="auto"/>
                <w:sz w:val="20"/>
                <w:szCs w:val="20"/>
              </w:rPr>
            </w:pPr>
          </w:p>
        </w:tc>
        <w:tc>
          <w:tcPr>
            <w:tcW w:w="873" w:type="pct"/>
          </w:tcPr>
          <w:p w14:paraId="313F1A36" w14:textId="77777777" w:rsidR="00933CFE" w:rsidRPr="00B0658A" w:rsidRDefault="00933CFE" w:rsidP="00004A41">
            <w:pPr>
              <w:spacing w:after="0" w:line="240" w:lineRule="auto"/>
              <w:jc w:val="both"/>
              <w:rPr>
                <w:rFonts w:ascii="Times New Roman"/>
                <w:color w:val="auto"/>
                <w:sz w:val="20"/>
                <w:szCs w:val="20"/>
              </w:rPr>
            </w:pPr>
          </w:p>
        </w:tc>
        <w:tc>
          <w:tcPr>
            <w:tcW w:w="1139" w:type="pct"/>
          </w:tcPr>
          <w:p w14:paraId="5CDD5AB0" w14:textId="77777777" w:rsidR="00933CFE" w:rsidRPr="00B0658A" w:rsidRDefault="00933CFE" w:rsidP="00004A41">
            <w:pPr>
              <w:spacing w:after="0" w:line="240" w:lineRule="auto"/>
              <w:jc w:val="both"/>
              <w:rPr>
                <w:rFonts w:ascii="Times New Roman"/>
                <w:color w:val="auto"/>
                <w:sz w:val="20"/>
                <w:szCs w:val="20"/>
              </w:rPr>
            </w:pPr>
          </w:p>
        </w:tc>
      </w:tr>
      <w:tr w:rsidR="00F52FED" w:rsidRPr="00B0658A" w14:paraId="3D6902A9" w14:textId="77777777" w:rsidTr="004F5DF5">
        <w:tc>
          <w:tcPr>
            <w:tcW w:w="184" w:type="pct"/>
          </w:tcPr>
          <w:p w14:paraId="49319F87" w14:textId="77777777" w:rsidR="00933CFE" w:rsidRPr="00B0658A" w:rsidRDefault="00933CFE" w:rsidP="00004A41">
            <w:pPr>
              <w:spacing w:after="0" w:line="240" w:lineRule="auto"/>
              <w:jc w:val="both"/>
              <w:rPr>
                <w:rFonts w:ascii="Times New Roman"/>
                <w:color w:val="auto"/>
                <w:sz w:val="20"/>
                <w:szCs w:val="20"/>
                <w:lang w:val="en-US"/>
              </w:rPr>
            </w:pPr>
            <w:r w:rsidRPr="00B0658A">
              <w:rPr>
                <w:rFonts w:ascii="Times New Roman"/>
                <w:color w:val="auto"/>
                <w:sz w:val="20"/>
                <w:szCs w:val="20"/>
                <w:lang w:val="en-US"/>
              </w:rPr>
              <w:t>2.2</w:t>
            </w:r>
          </w:p>
        </w:tc>
        <w:tc>
          <w:tcPr>
            <w:tcW w:w="1023" w:type="pct"/>
          </w:tcPr>
          <w:p w14:paraId="0FC1ED2A" w14:textId="77777777" w:rsidR="00933CFE" w:rsidRPr="00B0658A" w:rsidRDefault="00933CFE" w:rsidP="00004A41">
            <w:pPr>
              <w:spacing w:after="0" w:line="240" w:lineRule="auto"/>
              <w:jc w:val="both"/>
              <w:rPr>
                <w:rFonts w:ascii="Times New Roman"/>
                <w:color w:val="auto"/>
                <w:sz w:val="20"/>
                <w:szCs w:val="20"/>
              </w:rPr>
            </w:pPr>
          </w:p>
        </w:tc>
        <w:tc>
          <w:tcPr>
            <w:tcW w:w="886" w:type="pct"/>
          </w:tcPr>
          <w:p w14:paraId="1DB4260C" w14:textId="77777777" w:rsidR="00933CFE" w:rsidRPr="00B0658A" w:rsidRDefault="00933CFE" w:rsidP="00004A41">
            <w:pPr>
              <w:spacing w:after="0" w:line="240" w:lineRule="auto"/>
              <w:jc w:val="both"/>
              <w:rPr>
                <w:rFonts w:ascii="Times New Roman"/>
                <w:color w:val="auto"/>
                <w:sz w:val="20"/>
                <w:szCs w:val="20"/>
              </w:rPr>
            </w:pPr>
          </w:p>
        </w:tc>
        <w:tc>
          <w:tcPr>
            <w:tcW w:w="895" w:type="pct"/>
          </w:tcPr>
          <w:p w14:paraId="23246045" w14:textId="77777777" w:rsidR="00933CFE" w:rsidRPr="00B0658A" w:rsidRDefault="00933CFE" w:rsidP="00004A41">
            <w:pPr>
              <w:spacing w:after="0" w:line="240" w:lineRule="auto"/>
              <w:jc w:val="both"/>
              <w:rPr>
                <w:rFonts w:ascii="Times New Roman"/>
                <w:color w:val="auto"/>
                <w:sz w:val="20"/>
                <w:szCs w:val="20"/>
              </w:rPr>
            </w:pPr>
          </w:p>
        </w:tc>
        <w:tc>
          <w:tcPr>
            <w:tcW w:w="873" w:type="pct"/>
          </w:tcPr>
          <w:p w14:paraId="458DFC9A" w14:textId="77777777" w:rsidR="00933CFE" w:rsidRPr="00B0658A" w:rsidRDefault="00933CFE" w:rsidP="00004A41">
            <w:pPr>
              <w:spacing w:after="0" w:line="240" w:lineRule="auto"/>
              <w:jc w:val="both"/>
              <w:rPr>
                <w:rFonts w:ascii="Times New Roman"/>
                <w:color w:val="auto"/>
                <w:sz w:val="20"/>
                <w:szCs w:val="20"/>
              </w:rPr>
            </w:pPr>
          </w:p>
        </w:tc>
        <w:tc>
          <w:tcPr>
            <w:tcW w:w="1139" w:type="pct"/>
          </w:tcPr>
          <w:p w14:paraId="732068FF" w14:textId="77777777" w:rsidR="00933CFE" w:rsidRPr="00B0658A" w:rsidRDefault="00933CFE" w:rsidP="00004A41">
            <w:pPr>
              <w:spacing w:after="0" w:line="240" w:lineRule="auto"/>
              <w:jc w:val="both"/>
              <w:rPr>
                <w:rFonts w:ascii="Times New Roman"/>
                <w:color w:val="auto"/>
                <w:sz w:val="20"/>
                <w:szCs w:val="20"/>
              </w:rPr>
            </w:pPr>
          </w:p>
        </w:tc>
      </w:tr>
      <w:tr w:rsidR="00F52FED" w:rsidRPr="00B0658A" w14:paraId="07965075" w14:textId="77777777" w:rsidTr="004F5DF5">
        <w:tc>
          <w:tcPr>
            <w:tcW w:w="184" w:type="pct"/>
          </w:tcPr>
          <w:p w14:paraId="0097E956" w14:textId="77777777" w:rsidR="00933CFE" w:rsidRPr="00B0658A" w:rsidRDefault="00933CFE" w:rsidP="00004A41">
            <w:pPr>
              <w:spacing w:after="0" w:line="240" w:lineRule="auto"/>
              <w:jc w:val="both"/>
              <w:rPr>
                <w:rFonts w:ascii="Times New Roman"/>
                <w:color w:val="auto"/>
                <w:sz w:val="20"/>
                <w:szCs w:val="20"/>
                <w:lang w:val="en-US"/>
              </w:rPr>
            </w:pPr>
            <w:r w:rsidRPr="00B0658A">
              <w:rPr>
                <w:rFonts w:ascii="Times New Roman"/>
                <w:color w:val="auto"/>
                <w:sz w:val="20"/>
                <w:szCs w:val="20"/>
                <w:lang w:val="en-US"/>
              </w:rPr>
              <w:t>…</w:t>
            </w:r>
          </w:p>
        </w:tc>
        <w:tc>
          <w:tcPr>
            <w:tcW w:w="1023" w:type="pct"/>
          </w:tcPr>
          <w:p w14:paraId="5EDF36D9" w14:textId="77777777" w:rsidR="00933CFE" w:rsidRPr="00B0658A" w:rsidRDefault="00933CFE" w:rsidP="00004A41">
            <w:pPr>
              <w:spacing w:after="0" w:line="240" w:lineRule="auto"/>
              <w:jc w:val="both"/>
              <w:rPr>
                <w:rFonts w:ascii="Times New Roman"/>
                <w:color w:val="auto"/>
                <w:sz w:val="20"/>
                <w:szCs w:val="20"/>
              </w:rPr>
            </w:pPr>
          </w:p>
        </w:tc>
        <w:tc>
          <w:tcPr>
            <w:tcW w:w="886" w:type="pct"/>
          </w:tcPr>
          <w:p w14:paraId="3447FBED" w14:textId="77777777" w:rsidR="00933CFE" w:rsidRPr="00B0658A" w:rsidRDefault="00933CFE" w:rsidP="00004A41">
            <w:pPr>
              <w:spacing w:after="0" w:line="240" w:lineRule="auto"/>
              <w:jc w:val="both"/>
              <w:rPr>
                <w:rFonts w:ascii="Times New Roman"/>
                <w:color w:val="auto"/>
                <w:sz w:val="20"/>
                <w:szCs w:val="20"/>
              </w:rPr>
            </w:pPr>
          </w:p>
        </w:tc>
        <w:tc>
          <w:tcPr>
            <w:tcW w:w="895" w:type="pct"/>
          </w:tcPr>
          <w:p w14:paraId="489870EA" w14:textId="77777777" w:rsidR="00933CFE" w:rsidRPr="00B0658A" w:rsidRDefault="00933CFE" w:rsidP="00004A41">
            <w:pPr>
              <w:spacing w:after="0" w:line="240" w:lineRule="auto"/>
              <w:jc w:val="both"/>
              <w:rPr>
                <w:rFonts w:ascii="Times New Roman"/>
                <w:color w:val="auto"/>
                <w:sz w:val="20"/>
                <w:szCs w:val="20"/>
              </w:rPr>
            </w:pPr>
          </w:p>
        </w:tc>
        <w:tc>
          <w:tcPr>
            <w:tcW w:w="873" w:type="pct"/>
          </w:tcPr>
          <w:p w14:paraId="1B30953B" w14:textId="77777777" w:rsidR="00933CFE" w:rsidRPr="00B0658A" w:rsidRDefault="00933CFE" w:rsidP="00004A41">
            <w:pPr>
              <w:spacing w:after="0" w:line="240" w:lineRule="auto"/>
              <w:jc w:val="both"/>
              <w:rPr>
                <w:rFonts w:ascii="Times New Roman"/>
                <w:color w:val="auto"/>
                <w:sz w:val="20"/>
                <w:szCs w:val="20"/>
              </w:rPr>
            </w:pPr>
          </w:p>
        </w:tc>
        <w:tc>
          <w:tcPr>
            <w:tcW w:w="1139" w:type="pct"/>
          </w:tcPr>
          <w:p w14:paraId="31D9B234" w14:textId="77777777" w:rsidR="00933CFE" w:rsidRPr="00B0658A" w:rsidRDefault="00933CFE" w:rsidP="00004A41">
            <w:pPr>
              <w:spacing w:after="0" w:line="240" w:lineRule="auto"/>
              <w:jc w:val="both"/>
              <w:rPr>
                <w:rFonts w:ascii="Times New Roman"/>
                <w:color w:val="auto"/>
                <w:sz w:val="20"/>
                <w:szCs w:val="20"/>
              </w:rPr>
            </w:pPr>
          </w:p>
        </w:tc>
      </w:tr>
      <w:tr w:rsidR="00F52FED" w:rsidRPr="00B0658A" w14:paraId="6A78E0FA" w14:textId="77777777" w:rsidTr="004F5DF5">
        <w:tc>
          <w:tcPr>
            <w:tcW w:w="184" w:type="pct"/>
          </w:tcPr>
          <w:p w14:paraId="2C994AA2" w14:textId="77777777" w:rsidR="00933CFE" w:rsidRPr="00B0658A" w:rsidRDefault="00933CFE" w:rsidP="00004A41">
            <w:pPr>
              <w:spacing w:after="0" w:line="240" w:lineRule="auto"/>
              <w:jc w:val="both"/>
              <w:rPr>
                <w:rFonts w:ascii="Times New Roman"/>
                <w:color w:val="auto"/>
                <w:sz w:val="20"/>
                <w:szCs w:val="20"/>
                <w:lang w:val="en-US"/>
              </w:rPr>
            </w:pPr>
            <w:r w:rsidRPr="00B0658A">
              <w:rPr>
                <w:rFonts w:ascii="Times New Roman"/>
                <w:color w:val="auto"/>
                <w:sz w:val="20"/>
                <w:szCs w:val="20"/>
                <w:lang w:val="en-US"/>
              </w:rPr>
              <w:t>2.n</w:t>
            </w:r>
          </w:p>
        </w:tc>
        <w:tc>
          <w:tcPr>
            <w:tcW w:w="1023" w:type="pct"/>
          </w:tcPr>
          <w:p w14:paraId="0FD0F030" w14:textId="77777777" w:rsidR="00933CFE" w:rsidRPr="00B0658A" w:rsidRDefault="00933CFE" w:rsidP="00004A41">
            <w:pPr>
              <w:spacing w:after="0" w:line="240" w:lineRule="auto"/>
              <w:jc w:val="both"/>
              <w:rPr>
                <w:rFonts w:ascii="Times New Roman"/>
                <w:color w:val="auto"/>
                <w:sz w:val="20"/>
                <w:szCs w:val="20"/>
              </w:rPr>
            </w:pPr>
          </w:p>
        </w:tc>
        <w:tc>
          <w:tcPr>
            <w:tcW w:w="886" w:type="pct"/>
          </w:tcPr>
          <w:p w14:paraId="5D9B11EA" w14:textId="77777777" w:rsidR="00933CFE" w:rsidRPr="00B0658A" w:rsidRDefault="00933CFE" w:rsidP="00004A41">
            <w:pPr>
              <w:spacing w:after="0" w:line="240" w:lineRule="auto"/>
              <w:jc w:val="both"/>
              <w:rPr>
                <w:rFonts w:ascii="Times New Roman"/>
                <w:color w:val="auto"/>
                <w:sz w:val="20"/>
                <w:szCs w:val="20"/>
              </w:rPr>
            </w:pPr>
          </w:p>
        </w:tc>
        <w:tc>
          <w:tcPr>
            <w:tcW w:w="895" w:type="pct"/>
          </w:tcPr>
          <w:p w14:paraId="210B2BDB" w14:textId="77777777" w:rsidR="00933CFE" w:rsidRPr="00B0658A" w:rsidRDefault="00933CFE" w:rsidP="00004A41">
            <w:pPr>
              <w:spacing w:after="0" w:line="240" w:lineRule="auto"/>
              <w:jc w:val="both"/>
              <w:rPr>
                <w:rFonts w:ascii="Times New Roman"/>
                <w:color w:val="auto"/>
                <w:sz w:val="20"/>
                <w:szCs w:val="20"/>
              </w:rPr>
            </w:pPr>
          </w:p>
        </w:tc>
        <w:tc>
          <w:tcPr>
            <w:tcW w:w="873" w:type="pct"/>
          </w:tcPr>
          <w:p w14:paraId="449E2EF9" w14:textId="77777777" w:rsidR="00933CFE" w:rsidRPr="00B0658A" w:rsidRDefault="00933CFE" w:rsidP="00004A41">
            <w:pPr>
              <w:spacing w:after="0" w:line="240" w:lineRule="auto"/>
              <w:jc w:val="both"/>
              <w:rPr>
                <w:rFonts w:ascii="Times New Roman"/>
                <w:color w:val="auto"/>
                <w:sz w:val="20"/>
                <w:szCs w:val="20"/>
              </w:rPr>
            </w:pPr>
          </w:p>
        </w:tc>
        <w:tc>
          <w:tcPr>
            <w:tcW w:w="1139" w:type="pct"/>
          </w:tcPr>
          <w:p w14:paraId="037CEC10" w14:textId="77777777" w:rsidR="00933CFE" w:rsidRPr="00B0658A" w:rsidRDefault="00933CFE" w:rsidP="00004A41">
            <w:pPr>
              <w:spacing w:after="0" w:line="240" w:lineRule="auto"/>
              <w:jc w:val="both"/>
              <w:rPr>
                <w:rFonts w:ascii="Times New Roman"/>
                <w:color w:val="auto"/>
                <w:sz w:val="20"/>
                <w:szCs w:val="20"/>
              </w:rPr>
            </w:pPr>
          </w:p>
        </w:tc>
      </w:tr>
      <w:tr w:rsidR="00F52FED" w:rsidRPr="00B0658A" w14:paraId="1C3EA239" w14:textId="77777777" w:rsidTr="004F5DF5">
        <w:tc>
          <w:tcPr>
            <w:tcW w:w="184" w:type="pct"/>
          </w:tcPr>
          <w:p w14:paraId="3A5BB561" w14:textId="77777777" w:rsidR="00933CFE" w:rsidRPr="00B0658A" w:rsidRDefault="00933CFE" w:rsidP="00004A41">
            <w:pPr>
              <w:spacing w:after="0" w:line="240" w:lineRule="auto"/>
              <w:jc w:val="both"/>
              <w:rPr>
                <w:rFonts w:ascii="Times New Roman"/>
                <w:color w:val="auto"/>
                <w:sz w:val="20"/>
                <w:szCs w:val="20"/>
                <w:lang w:val="en-US"/>
              </w:rPr>
            </w:pPr>
          </w:p>
        </w:tc>
        <w:tc>
          <w:tcPr>
            <w:tcW w:w="1023" w:type="pct"/>
          </w:tcPr>
          <w:p w14:paraId="6B4A2CEB" w14:textId="77777777" w:rsidR="00933CFE" w:rsidRPr="00B0658A" w:rsidRDefault="00933CFE" w:rsidP="00004A41">
            <w:pPr>
              <w:spacing w:after="0" w:line="240" w:lineRule="auto"/>
              <w:jc w:val="both"/>
              <w:rPr>
                <w:rFonts w:ascii="Times New Roman"/>
                <w:color w:val="auto"/>
                <w:sz w:val="20"/>
                <w:szCs w:val="20"/>
              </w:rPr>
            </w:pPr>
          </w:p>
        </w:tc>
        <w:tc>
          <w:tcPr>
            <w:tcW w:w="886" w:type="pct"/>
          </w:tcPr>
          <w:p w14:paraId="17AA15AE" w14:textId="77777777" w:rsidR="00933CFE" w:rsidRPr="00B0658A" w:rsidRDefault="00933CFE" w:rsidP="00004A41">
            <w:pPr>
              <w:spacing w:after="0" w:line="240" w:lineRule="auto"/>
              <w:jc w:val="both"/>
              <w:rPr>
                <w:rFonts w:ascii="Times New Roman"/>
                <w:color w:val="auto"/>
                <w:sz w:val="20"/>
                <w:szCs w:val="20"/>
              </w:rPr>
            </w:pPr>
          </w:p>
        </w:tc>
        <w:tc>
          <w:tcPr>
            <w:tcW w:w="895" w:type="pct"/>
          </w:tcPr>
          <w:p w14:paraId="730E73AC" w14:textId="77777777" w:rsidR="00933CFE" w:rsidRPr="00B0658A" w:rsidRDefault="00933CFE" w:rsidP="00004A41">
            <w:pPr>
              <w:spacing w:after="0" w:line="240" w:lineRule="auto"/>
              <w:jc w:val="both"/>
              <w:rPr>
                <w:rFonts w:ascii="Times New Roman"/>
                <w:color w:val="auto"/>
                <w:sz w:val="20"/>
                <w:szCs w:val="20"/>
              </w:rPr>
            </w:pPr>
          </w:p>
        </w:tc>
        <w:tc>
          <w:tcPr>
            <w:tcW w:w="873" w:type="pct"/>
          </w:tcPr>
          <w:p w14:paraId="0C7887EC" w14:textId="77777777" w:rsidR="00933CFE" w:rsidRPr="00B0658A" w:rsidRDefault="00933CFE" w:rsidP="00004A41">
            <w:pPr>
              <w:spacing w:after="0" w:line="240" w:lineRule="auto"/>
              <w:jc w:val="both"/>
              <w:rPr>
                <w:rFonts w:ascii="Times New Roman"/>
                <w:color w:val="auto"/>
                <w:sz w:val="20"/>
                <w:szCs w:val="20"/>
              </w:rPr>
            </w:pPr>
          </w:p>
        </w:tc>
        <w:tc>
          <w:tcPr>
            <w:tcW w:w="1139" w:type="pct"/>
          </w:tcPr>
          <w:p w14:paraId="070314B9" w14:textId="77777777" w:rsidR="00933CFE" w:rsidRPr="00B0658A" w:rsidRDefault="00933CFE" w:rsidP="00004A41">
            <w:pPr>
              <w:spacing w:after="0" w:line="240" w:lineRule="auto"/>
              <w:jc w:val="both"/>
              <w:rPr>
                <w:rFonts w:ascii="Times New Roman"/>
                <w:color w:val="auto"/>
                <w:sz w:val="20"/>
                <w:szCs w:val="20"/>
              </w:rPr>
            </w:pPr>
          </w:p>
        </w:tc>
      </w:tr>
      <w:tr w:rsidR="00F52FED" w:rsidRPr="00B0658A" w14:paraId="65F9A460" w14:textId="77777777" w:rsidTr="004F5DF5">
        <w:tc>
          <w:tcPr>
            <w:tcW w:w="5000" w:type="pct"/>
            <w:gridSpan w:val="6"/>
          </w:tcPr>
          <w:p w14:paraId="29E23435" w14:textId="77777777" w:rsidR="00933CFE" w:rsidRPr="00B0658A" w:rsidRDefault="00933CFE" w:rsidP="00004A41">
            <w:pPr>
              <w:spacing w:after="0" w:line="240" w:lineRule="auto"/>
              <w:rPr>
                <w:rFonts w:ascii="Times New Roman"/>
                <w:color w:val="auto"/>
                <w:sz w:val="20"/>
                <w:szCs w:val="20"/>
              </w:rPr>
            </w:pPr>
            <w:r w:rsidRPr="00B0658A">
              <w:rPr>
                <w:rFonts w:ascii="Times New Roman"/>
                <w:b/>
                <w:color w:val="auto"/>
                <w:sz w:val="20"/>
                <w:szCs w:val="20"/>
              </w:rPr>
              <w:t>N. Мероприятия в отношении ________ (наименование значимого объекта КИИ №N)</w:t>
            </w:r>
          </w:p>
        </w:tc>
      </w:tr>
      <w:tr w:rsidR="00F52FED" w:rsidRPr="00B0658A" w14:paraId="3AB25A5F" w14:textId="77777777" w:rsidTr="004F5DF5">
        <w:tc>
          <w:tcPr>
            <w:tcW w:w="184" w:type="pct"/>
          </w:tcPr>
          <w:p w14:paraId="3523EFE3" w14:textId="77777777" w:rsidR="00933CFE" w:rsidRPr="00B0658A" w:rsidRDefault="00933CFE" w:rsidP="00004A41">
            <w:pPr>
              <w:spacing w:after="0" w:line="240" w:lineRule="auto"/>
              <w:jc w:val="both"/>
              <w:rPr>
                <w:rFonts w:ascii="Times New Roman"/>
                <w:color w:val="auto"/>
                <w:sz w:val="20"/>
                <w:szCs w:val="20"/>
                <w:lang w:val="en-US"/>
              </w:rPr>
            </w:pPr>
            <w:r w:rsidRPr="00B0658A">
              <w:rPr>
                <w:rFonts w:ascii="Times New Roman"/>
                <w:color w:val="auto"/>
                <w:sz w:val="20"/>
                <w:szCs w:val="20"/>
                <w:lang w:val="en-US"/>
              </w:rPr>
              <w:t>N.1</w:t>
            </w:r>
          </w:p>
        </w:tc>
        <w:tc>
          <w:tcPr>
            <w:tcW w:w="1023" w:type="pct"/>
          </w:tcPr>
          <w:p w14:paraId="3EB6985A" w14:textId="77777777" w:rsidR="00933CFE" w:rsidRPr="00B0658A" w:rsidRDefault="00933CFE" w:rsidP="00004A41">
            <w:pPr>
              <w:spacing w:after="0" w:line="240" w:lineRule="auto"/>
              <w:jc w:val="both"/>
              <w:rPr>
                <w:rFonts w:ascii="Times New Roman"/>
                <w:color w:val="auto"/>
                <w:sz w:val="20"/>
                <w:szCs w:val="20"/>
              </w:rPr>
            </w:pPr>
          </w:p>
        </w:tc>
        <w:tc>
          <w:tcPr>
            <w:tcW w:w="886" w:type="pct"/>
          </w:tcPr>
          <w:p w14:paraId="7DFF9A12" w14:textId="77777777" w:rsidR="00933CFE" w:rsidRPr="00B0658A" w:rsidRDefault="00933CFE" w:rsidP="00004A41">
            <w:pPr>
              <w:spacing w:after="0" w:line="240" w:lineRule="auto"/>
              <w:jc w:val="both"/>
              <w:rPr>
                <w:rFonts w:ascii="Times New Roman"/>
                <w:color w:val="auto"/>
                <w:sz w:val="20"/>
                <w:szCs w:val="20"/>
              </w:rPr>
            </w:pPr>
          </w:p>
        </w:tc>
        <w:tc>
          <w:tcPr>
            <w:tcW w:w="895" w:type="pct"/>
          </w:tcPr>
          <w:p w14:paraId="51C69B86" w14:textId="77777777" w:rsidR="00933CFE" w:rsidRPr="00B0658A" w:rsidRDefault="00933CFE" w:rsidP="00004A41">
            <w:pPr>
              <w:spacing w:after="0" w:line="240" w:lineRule="auto"/>
              <w:jc w:val="both"/>
              <w:rPr>
                <w:rFonts w:ascii="Times New Roman"/>
                <w:color w:val="auto"/>
                <w:sz w:val="20"/>
                <w:szCs w:val="20"/>
              </w:rPr>
            </w:pPr>
          </w:p>
        </w:tc>
        <w:tc>
          <w:tcPr>
            <w:tcW w:w="873" w:type="pct"/>
          </w:tcPr>
          <w:p w14:paraId="4B494E9A" w14:textId="77777777" w:rsidR="00933CFE" w:rsidRPr="00B0658A" w:rsidRDefault="00933CFE" w:rsidP="00004A41">
            <w:pPr>
              <w:spacing w:after="0" w:line="240" w:lineRule="auto"/>
              <w:jc w:val="both"/>
              <w:rPr>
                <w:rFonts w:ascii="Times New Roman"/>
                <w:color w:val="auto"/>
                <w:sz w:val="20"/>
                <w:szCs w:val="20"/>
              </w:rPr>
            </w:pPr>
          </w:p>
        </w:tc>
        <w:tc>
          <w:tcPr>
            <w:tcW w:w="1139" w:type="pct"/>
          </w:tcPr>
          <w:p w14:paraId="56594B80" w14:textId="77777777" w:rsidR="00933CFE" w:rsidRPr="00B0658A" w:rsidRDefault="00933CFE" w:rsidP="00004A41">
            <w:pPr>
              <w:spacing w:after="0" w:line="240" w:lineRule="auto"/>
              <w:jc w:val="both"/>
              <w:rPr>
                <w:rFonts w:ascii="Times New Roman"/>
                <w:color w:val="auto"/>
                <w:sz w:val="20"/>
                <w:szCs w:val="20"/>
              </w:rPr>
            </w:pPr>
          </w:p>
        </w:tc>
      </w:tr>
      <w:tr w:rsidR="00F52FED" w:rsidRPr="00B0658A" w14:paraId="42A17303" w14:textId="77777777" w:rsidTr="004F5DF5">
        <w:tc>
          <w:tcPr>
            <w:tcW w:w="184" w:type="pct"/>
          </w:tcPr>
          <w:p w14:paraId="6741C56D" w14:textId="77777777" w:rsidR="00933CFE" w:rsidRPr="00B0658A" w:rsidRDefault="00933CFE" w:rsidP="00004A41">
            <w:pPr>
              <w:spacing w:after="0" w:line="240" w:lineRule="auto"/>
              <w:jc w:val="both"/>
              <w:rPr>
                <w:rFonts w:ascii="Times New Roman"/>
                <w:color w:val="auto"/>
                <w:sz w:val="20"/>
                <w:szCs w:val="20"/>
                <w:lang w:val="en-US"/>
              </w:rPr>
            </w:pPr>
            <w:r w:rsidRPr="00B0658A">
              <w:rPr>
                <w:rFonts w:ascii="Times New Roman"/>
                <w:color w:val="auto"/>
                <w:sz w:val="20"/>
                <w:szCs w:val="20"/>
                <w:lang w:val="en-US"/>
              </w:rPr>
              <w:t>N.2</w:t>
            </w:r>
          </w:p>
        </w:tc>
        <w:tc>
          <w:tcPr>
            <w:tcW w:w="1023" w:type="pct"/>
          </w:tcPr>
          <w:p w14:paraId="613FDB69" w14:textId="77777777" w:rsidR="00933CFE" w:rsidRPr="00B0658A" w:rsidRDefault="00933CFE" w:rsidP="00004A41">
            <w:pPr>
              <w:spacing w:after="0" w:line="240" w:lineRule="auto"/>
              <w:jc w:val="both"/>
              <w:rPr>
                <w:rFonts w:ascii="Times New Roman"/>
                <w:color w:val="auto"/>
                <w:sz w:val="20"/>
                <w:szCs w:val="20"/>
              </w:rPr>
            </w:pPr>
          </w:p>
        </w:tc>
        <w:tc>
          <w:tcPr>
            <w:tcW w:w="886" w:type="pct"/>
          </w:tcPr>
          <w:p w14:paraId="69D12BCD" w14:textId="77777777" w:rsidR="00933CFE" w:rsidRPr="00B0658A" w:rsidRDefault="00933CFE" w:rsidP="00004A41">
            <w:pPr>
              <w:spacing w:after="0" w:line="240" w:lineRule="auto"/>
              <w:jc w:val="both"/>
              <w:rPr>
                <w:rFonts w:ascii="Times New Roman"/>
                <w:color w:val="auto"/>
                <w:sz w:val="20"/>
                <w:szCs w:val="20"/>
              </w:rPr>
            </w:pPr>
          </w:p>
        </w:tc>
        <w:tc>
          <w:tcPr>
            <w:tcW w:w="895" w:type="pct"/>
          </w:tcPr>
          <w:p w14:paraId="188A3D74" w14:textId="77777777" w:rsidR="00933CFE" w:rsidRPr="00B0658A" w:rsidRDefault="00933CFE" w:rsidP="00004A41">
            <w:pPr>
              <w:spacing w:after="0" w:line="240" w:lineRule="auto"/>
              <w:jc w:val="both"/>
              <w:rPr>
                <w:rFonts w:ascii="Times New Roman"/>
                <w:color w:val="auto"/>
                <w:sz w:val="20"/>
                <w:szCs w:val="20"/>
              </w:rPr>
            </w:pPr>
          </w:p>
        </w:tc>
        <w:tc>
          <w:tcPr>
            <w:tcW w:w="873" w:type="pct"/>
          </w:tcPr>
          <w:p w14:paraId="0A6446CA" w14:textId="77777777" w:rsidR="00933CFE" w:rsidRPr="00B0658A" w:rsidRDefault="00933CFE" w:rsidP="00004A41">
            <w:pPr>
              <w:spacing w:after="0" w:line="240" w:lineRule="auto"/>
              <w:jc w:val="both"/>
              <w:rPr>
                <w:rFonts w:ascii="Times New Roman"/>
                <w:color w:val="auto"/>
                <w:sz w:val="20"/>
                <w:szCs w:val="20"/>
              </w:rPr>
            </w:pPr>
          </w:p>
        </w:tc>
        <w:tc>
          <w:tcPr>
            <w:tcW w:w="1139" w:type="pct"/>
          </w:tcPr>
          <w:p w14:paraId="43FC56F9" w14:textId="77777777" w:rsidR="00933CFE" w:rsidRPr="00B0658A" w:rsidRDefault="00933CFE" w:rsidP="00004A41">
            <w:pPr>
              <w:spacing w:after="0" w:line="240" w:lineRule="auto"/>
              <w:jc w:val="both"/>
              <w:rPr>
                <w:rFonts w:ascii="Times New Roman"/>
                <w:color w:val="auto"/>
                <w:sz w:val="20"/>
                <w:szCs w:val="20"/>
              </w:rPr>
            </w:pPr>
          </w:p>
        </w:tc>
      </w:tr>
      <w:tr w:rsidR="00F52FED" w:rsidRPr="00B0658A" w14:paraId="6021A783" w14:textId="77777777" w:rsidTr="004F5DF5">
        <w:tc>
          <w:tcPr>
            <w:tcW w:w="184" w:type="pct"/>
          </w:tcPr>
          <w:p w14:paraId="46C60ACA" w14:textId="77777777" w:rsidR="00933CFE" w:rsidRPr="00B0658A" w:rsidRDefault="00933CFE" w:rsidP="00004A41">
            <w:pPr>
              <w:spacing w:after="0" w:line="240" w:lineRule="auto"/>
              <w:jc w:val="both"/>
              <w:rPr>
                <w:rFonts w:ascii="Times New Roman"/>
                <w:color w:val="auto"/>
                <w:sz w:val="20"/>
                <w:szCs w:val="20"/>
                <w:lang w:val="en-US"/>
              </w:rPr>
            </w:pPr>
            <w:r w:rsidRPr="00B0658A">
              <w:rPr>
                <w:rFonts w:ascii="Times New Roman"/>
                <w:color w:val="auto"/>
                <w:sz w:val="20"/>
                <w:szCs w:val="20"/>
                <w:lang w:val="en-US"/>
              </w:rPr>
              <w:t>…</w:t>
            </w:r>
          </w:p>
        </w:tc>
        <w:tc>
          <w:tcPr>
            <w:tcW w:w="1023" w:type="pct"/>
          </w:tcPr>
          <w:p w14:paraId="3698B2E9" w14:textId="77777777" w:rsidR="00933CFE" w:rsidRPr="00B0658A" w:rsidRDefault="00933CFE" w:rsidP="00004A41">
            <w:pPr>
              <w:spacing w:after="0" w:line="240" w:lineRule="auto"/>
              <w:jc w:val="both"/>
              <w:rPr>
                <w:rFonts w:ascii="Times New Roman"/>
                <w:color w:val="auto"/>
                <w:sz w:val="20"/>
                <w:szCs w:val="20"/>
              </w:rPr>
            </w:pPr>
          </w:p>
        </w:tc>
        <w:tc>
          <w:tcPr>
            <w:tcW w:w="886" w:type="pct"/>
          </w:tcPr>
          <w:p w14:paraId="1B147215" w14:textId="77777777" w:rsidR="00933CFE" w:rsidRPr="00B0658A" w:rsidRDefault="00933CFE" w:rsidP="00004A41">
            <w:pPr>
              <w:spacing w:after="0" w:line="240" w:lineRule="auto"/>
              <w:jc w:val="both"/>
              <w:rPr>
                <w:rFonts w:ascii="Times New Roman"/>
                <w:color w:val="auto"/>
                <w:sz w:val="20"/>
                <w:szCs w:val="20"/>
              </w:rPr>
            </w:pPr>
          </w:p>
        </w:tc>
        <w:tc>
          <w:tcPr>
            <w:tcW w:w="895" w:type="pct"/>
          </w:tcPr>
          <w:p w14:paraId="7A695682" w14:textId="77777777" w:rsidR="00933CFE" w:rsidRPr="00B0658A" w:rsidRDefault="00933CFE" w:rsidP="00004A41">
            <w:pPr>
              <w:spacing w:after="0" w:line="240" w:lineRule="auto"/>
              <w:jc w:val="both"/>
              <w:rPr>
                <w:rFonts w:ascii="Times New Roman"/>
                <w:color w:val="auto"/>
                <w:sz w:val="20"/>
                <w:szCs w:val="20"/>
              </w:rPr>
            </w:pPr>
          </w:p>
        </w:tc>
        <w:tc>
          <w:tcPr>
            <w:tcW w:w="873" w:type="pct"/>
          </w:tcPr>
          <w:p w14:paraId="3628B2FC" w14:textId="77777777" w:rsidR="00933CFE" w:rsidRPr="00B0658A" w:rsidRDefault="00933CFE" w:rsidP="00004A41">
            <w:pPr>
              <w:spacing w:after="0" w:line="240" w:lineRule="auto"/>
              <w:jc w:val="both"/>
              <w:rPr>
                <w:rFonts w:ascii="Times New Roman"/>
                <w:color w:val="auto"/>
                <w:sz w:val="20"/>
                <w:szCs w:val="20"/>
              </w:rPr>
            </w:pPr>
          </w:p>
        </w:tc>
        <w:tc>
          <w:tcPr>
            <w:tcW w:w="1139" w:type="pct"/>
          </w:tcPr>
          <w:p w14:paraId="52674DD4" w14:textId="77777777" w:rsidR="00933CFE" w:rsidRPr="00B0658A" w:rsidRDefault="00933CFE" w:rsidP="00004A41">
            <w:pPr>
              <w:spacing w:after="0" w:line="240" w:lineRule="auto"/>
              <w:jc w:val="both"/>
              <w:rPr>
                <w:rFonts w:ascii="Times New Roman"/>
                <w:color w:val="auto"/>
                <w:sz w:val="20"/>
                <w:szCs w:val="20"/>
              </w:rPr>
            </w:pPr>
          </w:p>
        </w:tc>
      </w:tr>
      <w:tr w:rsidR="00933CFE" w:rsidRPr="00B0658A" w14:paraId="62DD443E" w14:textId="77777777" w:rsidTr="004F5DF5">
        <w:tc>
          <w:tcPr>
            <w:tcW w:w="184" w:type="pct"/>
          </w:tcPr>
          <w:p w14:paraId="06244335" w14:textId="77777777" w:rsidR="00933CFE" w:rsidRPr="00B0658A" w:rsidRDefault="00933CFE" w:rsidP="00004A41">
            <w:pPr>
              <w:spacing w:after="0" w:line="240" w:lineRule="auto"/>
              <w:jc w:val="both"/>
              <w:rPr>
                <w:rFonts w:ascii="Times New Roman"/>
                <w:color w:val="auto"/>
                <w:sz w:val="20"/>
                <w:szCs w:val="20"/>
                <w:lang w:val="en-US"/>
              </w:rPr>
            </w:pPr>
            <w:r w:rsidRPr="00B0658A">
              <w:rPr>
                <w:rFonts w:ascii="Times New Roman"/>
                <w:color w:val="auto"/>
                <w:sz w:val="20"/>
                <w:szCs w:val="20"/>
                <w:lang w:val="en-US"/>
              </w:rPr>
              <w:t>N.n</w:t>
            </w:r>
          </w:p>
        </w:tc>
        <w:tc>
          <w:tcPr>
            <w:tcW w:w="1023" w:type="pct"/>
          </w:tcPr>
          <w:p w14:paraId="3832E9F9" w14:textId="77777777" w:rsidR="00933CFE" w:rsidRPr="00B0658A" w:rsidRDefault="00933CFE" w:rsidP="00004A41">
            <w:pPr>
              <w:spacing w:after="0" w:line="240" w:lineRule="auto"/>
              <w:jc w:val="both"/>
              <w:rPr>
                <w:rFonts w:ascii="Times New Roman"/>
                <w:color w:val="auto"/>
                <w:sz w:val="20"/>
                <w:szCs w:val="20"/>
              </w:rPr>
            </w:pPr>
          </w:p>
        </w:tc>
        <w:tc>
          <w:tcPr>
            <w:tcW w:w="886" w:type="pct"/>
          </w:tcPr>
          <w:p w14:paraId="1446C542" w14:textId="77777777" w:rsidR="00933CFE" w:rsidRPr="00B0658A" w:rsidRDefault="00933CFE" w:rsidP="00004A41">
            <w:pPr>
              <w:spacing w:after="0" w:line="240" w:lineRule="auto"/>
              <w:jc w:val="both"/>
              <w:rPr>
                <w:rFonts w:ascii="Times New Roman"/>
                <w:color w:val="auto"/>
                <w:sz w:val="20"/>
                <w:szCs w:val="20"/>
              </w:rPr>
            </w:pPr>
          </w:p>
        </w:tc>
        <w:tc>
          <w:tcPr>
            <w:tcW w:w="895" w:type="pct"/>
          </w:tcPr>
          <w:p w14:paraId="7A0A399C" w14:textId="77777777" w:rsidR="00933CFE" w:rsidRPr="00B0658A" w:rsidRDefault="00933CFE" w:rsidP="00004A41">
            <w:pPr>
              <w:spacing w:after="0" w:line="240" w:lineRule="auto"/>
              <w:jc w:val="both"/>
              <w:rPr>
                <w:rFonts w:ascii="Times New Roman"/>
                <w:color w:val="auto"/>
                <w:sz w:val="20"/>
                <w:szCs w:val="20"/>
              </w:rPr>
            </w:pPr>
          </w:p>
        </w:tc>
        <w:tc>
          <w:tcPr>
            <w:tcW w:w="873" w:type="pct"/>
          </w:tcPr>
          <w:p w14:paraId="7550FE32" w14:textId="77777777" w:rsidR="00933CFE" w:rsidRPr="00B0658A" w:rsidRDefault="00933CFE" w:rsidP="00004A41">
            <w:pPr>
              <w:spacing w:after="0" w:line="240" w:lineRule="auto"/>
              <w:jc w:val="both"/>
              <w:rPr>
                <w:rFonts w:ascii="Times New Roman"/>
                <w:color w:val="auto"/>
                <w:sz w:val="20"/>
                <w:szCs w:val="20"/>
              </w:rPr>
            </w:pPr>
          </w:p>
        </w:tc>
        <w:tc>
          <w:tcPr>
            <w:tcW w:w="1139" w:type="pct"/>
          </w:tcPr>
          <w:p w14:paraId="3F34ACFD" w14:textId="77777777" w:rsidR="00933CFE" w:rsidRPr="00B0658A" w:rsidRDefault="00933CFE" w:rsidP="00004A41">
            <w:pPr>
              <w:spacing w:after="0" w:line="240" w:lineRule="auto"/>
              <w:jc w:val="both"/>
              <w:rPr>
                <w:rFonts w:ascii="Times New Roman"/>
                <w:color w:val="auto"/>
                <w:sz w:val="20"/>
                <w:szCs w:val="20"/>
              </w:rPr>
            </w:pPr>
          </w:p>
        </w:tc>
      </w:tr>
    </w:tbl>
    <w:p w14:paraId="5D8FF2A9" w14:textId="77777777" w:rsidR="00F66034" w:rsidRDefault="00F66034">
      <w:pPr>
        <w:spacing w:after="0" w:line="240" w:lineRule="auto"/>
        <w:rPr>
          <w:rFonts w:ascii="Times New Roman" w:hAnsi="Times New Roman"/>
          <w:sz w:val="28"/>
          <w:szCs w:val="28"/>
        </w:rPr>
      </w:pPr>
    </w:p>
    <w:p w14:paraId="765D2C10" w14:textId="77777777" w:rsidR="00F66034" w:rsidRDefault="00F66034">
      <w:pPr>
        <w:spacing w:after="0" w:line="240" w:lineRule="auto"/>
        <w:rPr>
          <w:rFonts w:ascii="Times New Roman" w:hAnsi="Times New Roman"/>
          <w:sz w:val="28"/>
          <w:szCs w:val="28"/>
        </w:rPr>
      </w:pPr>
      <w:r>
        <w:rPr>
          <w:rFonts w:ascii="Times New Roman" w:hAnsi="Times New Roman"/>
          <w:sz w:val="28"/>
          <w:szCs w:val="28"/>
        </w:rPr>
        <w:br w:type="page"/>
      </w:r>
    </w:p>
    <w:p w14:paraId="6F704683" w14:textId="77777777" w:rsidR="008319FB" w:rsidRPr="00B0658A" w:rsidRDefault="008319FB" w:rsidP="00933CFE">
      <w:pPr>
        <w:pStyle w:val="afd"/>
        <w:numPr>
          <w:ilvl w:val="0"/>
          <w:numId w:val="18"/>
        </w:numPr>
        <w:spacing w:line="240" w:lineRule="auto"/>
        <w:ind w:left="0" w:firstLine="709"/>
        <w:jc w:val="both"/>
        <w:rPr>
          <w:rFonts w:ascii="Times New Roman" w:hAnsi="Times New Roman"/>
          <w:sz w:val="28"/>
          <w:szCs w:val="28"/>
        </w:rPr>
      </w:pPr>
      <w:r w:rsidRPr="00B0658A">
        <w:rPr>
          <w:rFonts w:ascii="Times New Roman" w:hAnsi="Times New Roman"/>
          <w:sz w:val="28"/>
          <w:szCs w:val="24"/>
        </w:rPr>
        <w:lastRenderedPageBreak/>
        <w:t xml:space="preserve">Сведения о достижении показателей эффективности перехода на использование российского ПО </w:t>
      </w:r>
      <w:r w:rsidR="00A828A8" w:rsidRPr="00B0658A">
        <w:rPr>
          <w:rFonts w:ascii="Times New Roman" w:hAnsi="Times New Roman"/>
          <w:sz w:val="28"/>
          <w:szCs w:val="24"/>
        </w:rPr>
        <w:t>на</w:t>
      </w:r>
      <w:r w:rsidRPr="00B0658A">
        <w:rPr>
          <w:rFonts w:ascii="Times New Roman" w:hAnsi="Times New Roman"/>
          <w:sz w:val="28"/>
          <w:szCs w:val="24"/>
        </w:rPr>
        <w:t xml:space="preserve"> значимых объектов КИИ</w:t>
      </w:r>
    </w:p>
    <w:tbl>
      <w:tblPr>
        <w:tblStyle w:val="afc"/>
        <w:tblW w:w="5000" w:type="pct"/>
        <w:tblLook w:val="0480" w:firstRow="0" w:lastRow="0" w:firstColumn="1" w:lastColumn="0" w:noHBand="0" w:noVBand="1"/>
      </w:tblPr>
      <w:tblGrid>
        <w:gridCol w:w="516"/>
        <w:gridCol w:w="3241"/>
        <w:gridCol w:w="1581"/>
        <w:gridCol w:w="3085"/>
        <w:gridCol w:w="2929"/>
        <w:gridCol w:w="2592"/>
      </w:tblGrid>
      <w:tr w:rsidR="00F52FED" w:rsidRPr="00B0658A" w14:paraId="05ED7059" w14:textId="77777777" w:rsidTr="00F57B1F">
        <w:trPr>
          <w:trHeight w:val="1309"/>
          <w:tblHeader/>
        </w:trPr>
        <w:tc>
          <w:tcPr>
            <w:tcW w:w="197" w:type="pct"/>
            <w:vMerge w:val="restart"/>
            <w:shd w:val="clear" w:color="auto" w:fill="auto"/>
            <w:vAlign w:val="center"/>
          </w:tcPr>
          <w:p w14:paraId="414E1496" w14:textId="77777777" w:rsidR="008279FA" w:rsidRPr="00B0658A" w:rsidRDefault="008279FA" w:rsidP="00004A41">
            <w:pPr>
              <w:spacing w:after="0" w:line="240" w:lineRule="auto"/>
              <w:jc w:val="center"/>
              <w:rPr>
                <w:rFonts w:ascii="Times New Roman" w:hAnsi="Times New Roman"/>
                <w:b/>
                <w:bCs/>
                <w:sz w:val="20"/>
                <w:szCs w:val="20"/>
              </w:rPr>
            </w:pPr>
            <w:r w:rsidRPr="00B0658A">
              <w:rPr>
                <w:rFonts w:ascii="Times New Roman" w:hAnsi="Times New Roman"/>
                <w:b/>
                <w:bCs/>
                <w:sz w:val="20"/>
                <w:szCs w:val="20"/>
              </w:rPr>
              <w:t>№</w:t>
            </w:r>
          </w:p>
          <w:p w14:paraId="6B78A837" w14:textId="77777777" w:rsidR="008279FA" w:rsidRPr="00B0658A" w:rsidRDefault="008279FA" w:rsidP="00004A41">
            <w:pPr>
              <w:spacing w:after="0" w:line="240" w:lineRule="auto"/>
              <w:jc w:val="center"/>
              <w:rPr>
                <w:rFonts w:ascii="Times New Roman" w:hAnsi="Times New Roman"/>
                <w:b/>
                <w:bCs/>
                <w:sz w:val="20"/>
                <w:szCs w:val="20"/>
              </w:rPr>
            </w:pPr>
          </w:p>
        </w:tc>
        <w:tc>
          <w:tcPr>
            <w:tcW w:w="1174" w:type="pct"/>
            <w:vMerge w:val="restart"/>
            <w:shd w:val="clear" w:color="auto" w:fill="auto"/>
            <w:vAlign w:val="center"/>
          </w:tcPr>
          <w:p w14:paraId="0EDA2B23" w14:textId="77777777" w:rsidR="008279FA" w:rsidRPr="00B0658A" w:rsidRDefault="008279FA" w:rsidP="00004A41">
            <w:pPr>
              <w:spacing w:after="0" w:line="240" w:lineRule="auto"/>
              <w:jc w:val="center"/>
              <w:rPr>
                <w:rFonts w:ascii="Times New Roman" w:hAnsi="Times New Roman"/>
                <w:b/>
                <w:bCs/>
                <w:sz w:val="20"/>
                <w:szCs w:val="20"/>
              </w:rPr>
            </w:pPr>
            <w:r w:rsidRPr="00B0658A">
              <w:rPr>
                <w:rFonts w:ascii="Times New Roman" w:hAnsi="Times New Roman"/>
                <w:b/>
                <w:bCs/>
                <w:sz w:val="20"/>
                <w:szCs w:val="20"/>
              </w:rPr>
              <w:t xml:space="preserve">Наименование класса </w:t>
            </w:r>
            <w:r w:rsidRPr="00B0658A">
              <w:rPr>
                <w:rFonts w:ascii="Times New Roman" w:hAnsi="Times New Roman"/>
                <w:b/>
                <w:bCs/>
                <w:sz w:val="20"/>
                <w:szCs w:val="20"/>
                <w:lang w:val="en-US"/>
              </w:rPr>
              <w:t xml:space="preserve">/ </w:t>
            </w:r>
            <w:r w:rsidRPr="00B0658A">
              <w:rPr>
                <w:rFonts w:ascii="Times New Roman" w:hAnsi="Times New Roman"/>
                <w:b/>
                <w:bCs/>
                <w:sz w:val="20"/>
                <w:szCs w:val="20"/>
              </w:rPr>
              <w:t>типа ПО</w:t>
            </w:r>
          </w:p>
        </w:tc>
        <w:tc>
          <w:tcPr>
            <w:tcW w:w="508" w:type="pct"/>
            <w:vMerge w:val="restart"/>
            <w:vAlign w:val="center"/>
          </w:tcPr>
          <w:p w14:paraId="62B59995" w14:textId="77777777" w:rsidR="008279FA" w:rsidRPr="00B0658A" w:rsidRDefault="008279FA" w:rsidP="00004A41">
            <w:pPr>
              <w:spacing w:after="0" w:line="240" w:lineRule="auto"/>
              <w:jc w:val="center"/>
              <w:rPr>
                <w:rFonts w:ascii="Times New Roman" w:hAnsi="Times New Roman"/>
                <w:b/>
                <w:bCs/>
                <w:sz w:val="20"/>
                <w:szCs w:val="20"/>
              </w:rPr>
            </w:pPr>
            <w:r w:rsidRPr="00B0658A">
              <w:rPr>
                <w:rFonts w:ascii="Times New Roman" w:hAnsi="Times New Roman"/>
                <w:b/>
                <w:bCs/>
                <w:sz w:val="20"/>
                <w:szCs w:val="20"/>
              </w:rPr>
              <w:t>Единицы измерения уровня использования</w:t>
            </w:r>
          </w:p>
        </w:tc>
        <w:tc>
          <w:tcPr>
            <w:tcW w:w="2180" w:type="pct"/>
            <w:gridSpan w:val="2"/>
            <w:shd w:val="clear" w:color="auto" w:fill="auto"/>
            <w:vAlign w:val="center"/>
          </w:tcPr>
          <w:p w14:paraId="6BD1C7FC" w14:textId="77777777" w:rsidR="008279FA" w:rsidRPr="00B0658A" w:rsidRDefault="008279FA" w:rsidP="00004A41">
            <w:pPr>
              <w:spacing w:after="0" w:line="240" w:lineRule="auto"/>
              <w:jc w:val="center"/>
              <w:rPr>
                <w:rFonts w:ascii="Times New Roman" w:hAnsi="Times New Roman"/>
                <w:b/>
                <w:bCs/>
                <w:sz w:val="20"/>
                <w:szCs w:val="20"/>
              </w:rPr>
            </w:pPr>
            <w:r w:rsidRPr="00B0658A">
              <w:rPr>
                <w:rFonts w:ascii="Times New Roman" w:hAnsi="Times New Roman"/>
                <w:b/>
                <w:bCs/>
                <w:sz w:val="20"/>
                <w:szCs w:val="20"/>
              </w:rPr>
              <w:t xml:space="preserve">Сведения о достижении </w:t>
            </w:r>
            <w:r w:rsidR="001F10DB" w:rsidRPr="00B0658A">
              <w:rPr>
                <w:rFonts w:ascii="Times New Roman" w:hAnsi="Times New Roman"/>
                <w:b/>
                <w:bCs/>
                <w:sz w:val="20"/>
                <w:szCs w:val="20"/>
              </w:rPr>
              <w:t>показателей</w:t>
            </w:r>
            <w:r w:rsidRPr="00B0658A">
              <w:rPr>
                <w:rFonts w:ascii="Times New Roman" w:hAnsi="Times New Roman"/>
                <w:b/>
                <w:bCs/>
                <w:sz w:val="20"/>
                <w:szCs w:val="20"/>
              </w:rPr>
              <w:t xml:space="preserve"> эффективности перехода на использование российского </w:t>
            </w:r>
            <w:r w:rsidR="00E94824" w:rsidRPr="00B0658A">
              <w:rPr>
                <w:rFonts w:ascii="Times New Roman" w:hAnsi="Times New Roman"/>
                <w:b/>
                <w:bCs/>
                <w:sz w:val="20"/>
                <w:szCs w:val="20"/>
              </w:rPr>
              <w:t>ПО</w:t>
            </w:r>
            <w:r w:rsidRPr="00B0658A">
              <w:rPr>
                <w:rFonts w:ascii="Times New Roman" w:hAnsi="Times New Roman"/>
                <w:b/>
                <w:bCs/>
                <w:sz w:val="20"/>
                <w:szCs w:val="20"/>
              </w:rPr>
              <w:t xml:space="preserve"> на значимых объектах </w:t>
            </w:r>
            <w:r w:rsidR="00E94824" w:rsidRPr="00B0658A">
              <w:rPr>
                <w:rFonts w:ascii="Times New Roman" w:hAnsi="Times New Roman"/>
                <w:b/>
                <w:bCs/>
                <w:sz w:val="20"/>
                <w:szCs w:val="20"/>
              </w:rPr>
              <w:t>КИИ</w:t>
            </w:r>
            <w:r w:rsidR="00E94824" w:rsidRPr="00B0658A">
              <w:rPr>
                <w:rFonts w:ascii="Times New Roman" w:hAnsi="Times New Roman"/>
                <w:b/>
                <w:bCs/>
                <w:sz w:val="20"/>
                <w:szCs w:val="20"/>
              </w:rPr>
              <w:br/>
            </w:r>
            <w:r w:rsidRPr="00B0658A">
              <w:rPr>
                <w:rFonts w:ascii="Times New Roman" w:hAnsi="Times New Roman"/>
                <w:b/>
                <w:bCs/>
                <w:sz w:val="20"/>
                <w:szCs w:val="20"/>
              </w:rPr>
              <w:t>за _____ год</w:t>
            </w:r>
          </w:p>
        </w:tc>
        <w:tc>
          <w:tcPr>
            <w:tcW w:w="941" w:type="pct"/>
            <w:vMerge w:val="restart"/>
            <w:shd w:val="clear" w:color="auto" w:fill="auto"/>
            <w:vAlign w:val="center"/>
          </w:tcPr>
          <w:p w14:paraId="69F20D19" w14:textId="77777777" w:rsidR="008279FA" w:rsidRPr="00B0658A" w:rsidRDefault="008279FA" w:rsidP="00004A41">
            <w:pPr>
              <w:spacing w:after="0" w:line="240" w:lineRule="auto"/>
              <w:jc w:val="center"/>
              <w:rPr>
                <w:rFonts w:ascii="Times New Roman" w:hAnsi="Times New Roman"/>
                <w:b/>
                <w:bCs/>
                <w:sz w:val="20"/>
                <w:szCs w:val="20"/>
              </w:rPr>
            </w:pPr>
            <w:r w:rsidRPr="00B0658A">
              <w:rPr>
                <w:rFonts w:ascii="Times New Roman" w:hAnsi="Times New Roman"/>
                <w:b/>
                <w:bCs/>
                <w:sz w:val="20"/>
                <w:szCs w:val="20"/>
              </w:rPr>
              <w:t>Сведения о российском</w:t>
            </w:r>
            <w:r w:rsidR="001F10DB" w:rsidRPr="00B0658A">
              <w:rPr>
                <w:rFonts w:ascii="Times New Roman" w:hAnsi="Times New Roman"/>
                <w:b/>
                <w:bCs/>
                <w:sz w:val="20"/>
                <w:szCs w:val="20"/>
              </w:rPr>
              <w:t>/евразийском</w:t>
            </w:r>
            <w:r w:rsidRPr="00B0658A">
              <w:rPr>
                <w:rFonts w:ascii="Times New Roman" w:hAnsi="Times New Roman"/>
                <w:b/>
                <w:bCs/>
                <w:sz w:val="20"/>
                <w:szCs w:val="20"/>
              </w:rPr>
              <w:t xml:space="preserve"> ПО, на использование которого был осуществлен переход </w:t>
            </w:r>
          </w:p>
        </w:tc>
      </w:tr>
      <w:tr w:rsidR="00F52FED" w:rsidRPr="00B0658A" w14:paraId="5827E791" w14:textId="77777777" w:rsidTr="003B269F">
        <w:trPr>
          <w:trHeight w:val="170"/>
        </w:trPr>
        <w:tc>
          <w:tcPr>
            <w:tcW w:w="197" w:type="pct"/>
            <w:vMerge/>
            <w:shd w:val="clear" w:color="auto" w:fill="auto"/>
          </w:tcPr>
          <w:p w14:paraId="00FBA7E7" w14:textId="77777777" w:rsidR="008279FA" w:rsidRPr="00B0658A" w:rsidRDefault="008279FA" w:rsidP="00004A41">
            <w:pPr>
              <w:spacing w:after="0" w:line="240" w:lineRule="auto"/>
              <w:rPr>
                <w:rFonts w:ascii="Times New Roman" w:hAnsi="Times New Roman"/>
                <w:b/>
                <w:bCs/>
                <w:sz w:val="20"/>
                <w:szCs w:val="20"/>
              </w:rPr>
            </w:pPr>
          </w:p>
        </w:tc>
        <w:tc>
          <w:tcPr>
            <w:tcW w:w="1174" w:type="pct"/>
            <w:vMerge/>
            <w:shd w:val="clear" w:color="auto" w:fill="auto"/>
          </w:tcPr>
          <w:p w14:paraId="51650AC7" w14:textId="77777777" w:rsidR="008279FA" w:rsidRPr="00B0658A" w:rsidRDefault="008279FA" w:rsidP="00004A41">
            <w:pPr>
              <w:spacing w:after="0" w:line="240" w:lineRule="auto"/>
              <w:rPr>
                <w:rFonts w:ascii="Times New Roman" w:hAnsi="Times New Roman"/>
                <w:b/>
                <w:bCs/>
                <w:sz w:val="20"/>
                <w:szCs w:val="20"/>
              </w:rPr>
            </w:pPr>
          </w:p>
        </w:tc>
        <w:tc>
          <w:tcPr>
            <w:tcW w:w="508" w:type="pct"/>
            <w:vMerge/>
          </w:tcPr>
          <w:p w14:paraId="2C5B6789" w14:textId="77777777" w:rsidR="008279FA" w:rsidRPr="00B0658A" w:rsidRDefault="008279FA" w:rsidP="00004A41">
            <w:pPr>
              <w:spacing w:after="0" w:line="240" w:lineRule="auto"/>
              <w:jc w:val="center"/>
              <w:rPr>
                <w:rFonts w:ascii="Times New Roman" w:hAnsi="Times New Roman"/>
                <w:b/>
                <w:bCs/>
                <w:sz w:val="20"/>
                <w:szCs w:val="20"/>
              </w:rPr>
            </w:pPr>
          </w:p>
        </w:tc>
        <w:tc>
          <w:tcPr>
            <w:tcW w:w="1118" w:type="pct"/>
            <w:shd w:val="clear" w:color="auto" w:fill="auto"/>
            <w:vAlign w:val="center"/>
          </w:tcPr>
          <w:p w14:paraId="499FBFA5" w14:textId="77777777" w:rsidR="008279FA" w:rsidRPr="00B0658A" w:rsidRDefault="008279FA" w:rsidP="00004A41">
            <w:pPr>
              <w:spacing w:after="0" w:line="240" w:lineRule="auto"/>
              <w:jc w:val="center"/>
              <w:rPr>
                <w:rFonts w:ascii="Times New Roman" w:hAnsi="Times New Roman"/>
                <w:b/>
                <w:bCs/>
                <w:sz w:val="20"/>
                <w:szCs w:val="20"/>
              </w:rPr>
            </w:pPr>
            <w:r w:rsidRPr="00B0658A">
              <w:rPr>
                <w:rFonts w:ascii="Times New Roman" w:hAnsi="Times New Roman"/>
                <w:b/>
                <w:bCs/>
                <w:sz w:val="20"/>
                <w:szCs w:val="20"/>
              </w:rPr>
              <w:t>План</w:t>
            </w:r>
          </w:p>
        </w:tc>
        <w:tc>
          <w:tcPr>
            <w:tcW w:w="1062" w:type="pct"/>
            <w:shd w:val="clear" w:color="auto" w:fill="auto"/>
          </w:tcPr>
          <w:p w14:paraId="108804B8" w14:textId="77777777" w:rsidR="008279FA" w:rsidRPr="00B0658A" w:rsidRDefault="008279FA" w:rsidP="00004A41">
            <w:pPr>
              <w:spacing w:after="0" w:line="240" w:lineRule="auto"/>
              <w:jc w:val="center"/>
              <w:rPr>
                <w:rFonts w:ascii="Times New Roman" w:hAnsi="Times New Roman"/>
                <w:b/>
                <w:bCs/>
                <w:sz w:val="20"/>
                <w:szCs w:val="20"/>
              </w:rPr>
            </w:pPr>
            <w:r w:rsidRPr="00B0658A">
              <w:rPr>
                <w:rFonts w:ascii="Times New Roman" w:hAnsi="Times New Roman"/>
                <w:b/>
                <w:bCs/>
                <w:sz w:val="20"/>
                <w:szCs w:val="20"/>
              </w:rPr>
              <w:t>Факт</w:t>
            </w:r>
          </w:p>
        </w:tc>
        <w:tc>
          <w:tcPr>
            <w:tcW w:w="941" w:type="pct"/>
            <w:vMerge/>
            <w:shd w:val="clear" w:color="auto" w:fill="auto"/>
          </w:tcPr>
          <w:p w14:paraId="4D29D046" w14:textId="77777777" w:rsidR="008279FA" w:rsidRPr="00B0658A" w:rsidRDefault="008279FA" w:rsidP="00004A41">
            <w:pPr>
              <w:spacing w:after="0" w:line="240" w:lineRule="auto"/>
              <w:rPr>
                <w:rFonts w:ascii="Times New Roman" w:hAnsi="Times New Roman"/>
                <w:b/>
                <w:bCs/>
                <w:sz w:val="20"/>
                <w:szCs w:val="20"/>
              </w:rPr>
            </w:pPr>
          </w:p>
        </w:tc>
      </w:tr>
      <w:tr w:rsidR="00F52FED" w:rsidRPr="00B0658A" w14:paraId="217BBA9D" w14:textId="77777777" w:rsidTr="008279FA">
        <w:trPr>
          <w:trHeight w:val="57"/>
        </w:trPr>
        <w:tc>
          <w:tcPr>
            <w:tcW w:w="5000" w:type="pct"/>
            <w:gridSpan w:val="6"/>
            <w:shd w:val="clear" w:color="auto" w:fill="auto"/>
            <w:vAlign w:val="center"/>
          </w:tcPr>
          <w:p w14:paraId="0DEB9339" w14:textId="77777777" w:rsidR="008279FA" w:rsidRPr="00B0658A" w:rsidRDefault="008279FA" w:rsidP="00004A41">
            <w:pPr>
              <w:pStyle w:val="afd"/>
              <w:numPr>
                <w:ilvl w:val="0"/>
                <w:numId w:val="17"/>
              </w:numPr>
              <w:spacing w:after="0" w:line="240" w:lineRule="auto"/>
              <w:ind w:left="318" w:hanging="318"/>
              <w:jc w:val="both"/>
              <w:rPr>
                <w:rFonts w:ascii="Times New Roman" w:hAnsi="Times New Roman"/>
                <w:i/>
                <w:iCs/>
                <w:sz w:val="20"/>
                <w:szCs w:val="20"/>
              </w:rPr>
            </w:pPr>
            <w:r w:rsidRPr="00B0658A">
              <w:rPr>
                <w:rFonts w:ascii="Times New Roman" w:hAnsi="Times New Roman"/>
                <w:b/>
                <w:sz w:val="20"/>
                <w:szCs w:val="20"/>
              </w:rPr>
              <w:t xml:space="preserve">Сведения о достижении </w:t>
            </w:r>
            <w:r w:rsidR="001F10DB" w:rsidRPr="00B0658A">
              <w:rPr>
                <w:rFonts w:ascii="Times New Roman" w:hAnsi="Times New Roman"/>
                <w:b/>
                <w:sz w:val="20"/>
                <w:szCs w:val="20"/>
              </w:rPr>
              <w:t>показателей</w:t>
            </w:r>
            <w:r w:rsidRPr="00B0658A">
              <w:rPr>
                <w:rFonts w:ascii="Times New Roman" w:hAnsi="Times New Roman"/>
                <w:b/>
                <w:sz w:val="20"/>
                <w:szCs w:val="20"/>
              </w:rPr>
              <w:t xml:space="preserve"> эффективности перехода в отношении ________ (наименование значимого объекта КИИ №1)</w:t>
            </w:r>
          </w:p>
        </w:tc>
      </w:tr>
      <w:tr w:rsidR="00F52FED" w:rsidRPr="00B0658A" w14:paraId="6E6B17DE" w14:textId="77777777" w:rsidTr="003B269F">
        <w:trPr>
          <w:trHeight w:val="3225"/>
        </w:trPr>
        <w:tc>
          <w:tcPr>
            <w:tcW w:w="197" w:type="pct"/>
            <w:shd w:val="clear" w:color="auto" w:fill="auto"/>
            <w:vAlign w:val="center"/>
          </w:tcPr>
          <w:p w14:paraId="22B2E8C3" w14:textId="77777777" w:rsidR="008279FA" w:rsidRPr="00B0658A" w:rsidRDefault="008279FA" w:rsidP="00004A41">
            <w:pPr>
              <w:spacing w:after="0" w:line="240" w:lineRule="auto"/>
              <w:rPr>
                <w:rFonts w:ascii="Times New Roman" w:hAnsi="Times New Roman"/>
                <w:sz w:val="20"/>
                <w:szCs w:val="20"/>
              </w:rPr>
            </w:pPr>
            <w:r w:rsidRPr="00B0658A">
              <w:rPr>
                <w:rFonts w:ascii="Times New Roman" w:hAnsi="Times New Roman"/>
                <w:sz w:val="20"/>
                <w:szCs w:val="20"/>
              </w:rPr>
              <w:t>1.1</w:t>
            </w:r>
          </w:p>
        </w:tc>
        <w:tc>
          <w:tcPr>
            <w:tcW w:w="1174" w:type="pct"/>
            <w:shd w:val="clear" w:color="auto" w:fill="auto"/>
          </w:tcPr>
          <w:p w14:paraId="44983E82" w14:textId="77777777" w:rsidR="008279FA" w:rsidRPr="00B0658A" w:rsidRDefault="008279FA" w:rsidP="00004A41">
            <w:pPr>
              <w:spacing w:after="0" w:line="240" w:lineRule="auto"/>
              <w:rPr>
                <w:rFonts w:ascii="Times New Roman" w:hAnsi="Times New Roman"/>
                <w:i/>
                <w:sz w:val="20"/>
                <w:szCs w:val="20"/>
              </w:rPr>
            </w:pPr>
            <w:r w:rsidRPr="00B0658A">
              <w:rPr>
                <w:rFonts w:ascii="Times New Roman" w:hAnsi="Times New Roman"/>
                <w:i/>
                <w:sz w:val="20"/>
                <w:szCs w:val="20"/>
              </w:rPr>
              <w:t xml:space="preserve">Указывается класс (тип) №1 </w:t>
            </w:r>
            <w:r w:rsidR="00C57355" w:rsidRPr="00B0658A">
              <w:rPr>
                <w:rFonts w:ascii="Times New Roman" w:hAnsi="Times New Roman"/>
                <w:i/>
                <w:sz w:val="20"/>
                <w:szCs w:val="20"/>
              </w:rPr>
              <w:t>ПО</w:t>
            </w:r>
            <w:r w:rsidRPr="00B0658A">
              <w:rPr>
                <w:rFonts w:ascii="Times New Roman" w:hAnsi="Times New Roman"/>
                <w:i/>
                <w:sz w:val="20"/>
                <w:szCs w:val="20"/>
              </w:rPr>
              <w:t>, используемого на значимом объекте КИИ №1 в соответствии с утвержденным</w:t>
            </w:r>
            <w:r w:rsidR="001F10DB" w:rsidRPr="00B0658A">
              <w:rPr>
                <w:rFonts w:ascii="Times New Roman" w:hAnsi="Times New Roman"/>
                <w:i/>
                <w:sz w:val="20"/>
                <w:szCs w:val="20"/>
              </w:rPr>
              <w:t xml:space="preserve"> детализированным</w:t>
            </w:r>
            <w:r w:rsidRPr="00B0658A">
              <w:rPr>
                <w:rFonts w:ascii="Times New Roman" w:hAnsi="Times New Roman"/>
                <w:i/>
                <w:sz w:val="20"/>
                <w:szCs w:val="20"/>
              </w:rPr>
              <w:t xml:space="preserve"> планом перехода органа государственной власти или государственного внебюджетного фонда на использование российского ПО</w:t>
            </w:r>
            <w:r w:rsidR="001F10DB" w:rsidRPr="00B0658A">
              <w:rPr>
                <w:rFonts w:ascii="Times New Roman" w:hAnsi="Times New Roman"/>
                <w:i/>
                <w:sz w:val="20"/>
                <w:szCs w:val="20"/>
              </w:rPr>
              <w:t xml:space="preserve"> на значимых объектах КИИ</w:t>
            </w:r>
          </w:p>
        </w:tc>
        <w:tc>
          <w:tcPr>
            <w:tcW w:w="508" w:type="pct"/>
          </w:tcPr>
          <w:p w14:paraId="1FA2C783" w14:textId="77777777" w:rsidR="008279FA" w:rsidRPr="00B0658A" w:rsidRDefault="008279FA" w:rsidP="00004A41">
            <w:pPr>
              <w:spacing w:after="0" w:line="240" w:lineRule="auto"/>
              <w:rPr>
                <w:rFonts w:ascii="Times New Roman" w:hAnsi="Times New Roman"/>
                <w:i/>
                <w:iCs/>
                <w:sz w:val="20"/>
                <w:szCs w:val="20"/>
              </w:rPr>
            </w:pPr>
            <w:r w:rsidRPr="00B0658A">
              <w:rPr>
                <w:rFonts w:ascii="Times New Roman" w:hAnsi="Times New Roman"/>
                <w:i/>
                <w:iCs/>
                <w:sz w:val="20"/>
                <w:szCs w:val="20"/>
              </w:rPr>
              <w:t>Указывает</w:t>
            </w:r>
            <w:r w:rsidR="001F10DB" w:rsidRPr="00B0658A">
              <w:rPr>
                <w:rFonts w:ascii="Times New Roman" w:hAnsi="Times New Roman"/>
                <w:i/>
                <w:iCs/>
                <w:sz w:val="20"/>
                <w:szCs w:val="20"/>
              </w:rPr>
              <w:t>ся</w:t>
            </w:r>
            <w:r w:rsidRPr="00B0658A">
              <w:rPr>
                <w:rFonts w:ascii="Times New Roman" w:hAnsi="Times New Roman"/>
                <w:i/>
                <w:iCs/>
                <w:sz w:val="20"/>
                <w:szCs w:val="20"/>
              </w:rPr>
              <w:t xml:space="preserve"> единица измерения уровня использования </w:t>
            </w:r>
          </w:p>
        </w:tc>
        <w:tc>
          <w:tcPr>
            <w:tcW w:w="1118" w:type="pct"/>
            <w:shd w:val="clear" w:color="auto" w:fill="auto"/>
          </w:tcPr>
          <w:p w14:paraId="42CCAE9A" w14:textId="77777777" w:rsidR="008279FA" w:rsidRPr="00B0658A" w:rsidRDefault="008279FA" w:rsidP="00004A41">
            <w:pPr>
              <w:spacing w:after="0" w:line="240" w:lineRule="auto"/>
              <w:rPr>
                <w:rFonts w:ascii="Times New Roman" w:hAnsi="Times New Roman"/>
                <w:i/>
                <w:iCs/>
                <w:sz w:val="20"/>
                <w:szCs w:val="20"/>
              </w:rPr>
            </w:pPr>
            <w:r w:rsidRPr="00B0658A">
              <w:rPr>
                <w:rFonts w:ascii="Times New Roman" w:hAnsi="Times New Roman"/>
                <w:i/>
                <w:iCs/>
                <w:sz w:val="20"/>
                <w:szCs w:val="20"/>
              </w:rPr>
              <w:t xml:space="preserve">Указывается плановое значение показателя эффективности на соответствующий год для соответствующего класса ПО, используемого на значимом объекте КИИ, в соответствии с утвержденным </w:t>
            </w:r>
            <w:r w:rsidR="001F10DB" w:rsidRPr="00B0658A">
              <w:rPr>
                <w:rFonts w:ascii="Times New Roman" w:hAnsi="Times New Roman"/>
                <w:i/>
                <w:sz w:val="20"/>
                <w:szCs w:val="20"/>
              </w:rPr>
              <w:t>детализированным</w:t>
            </w:r>
            <w:r w:rsidR="001F10DB" w:rsidRPr="00B0658A">
              <w:rPr>
                <w:rFonts w:ascii="Times New Roman" w:hAnsi="Times New Roman"/>
                <w:i/>
                <w:iCs/>
                <w:sz w:val="20"/>
                <w:szCs w:val="20"/>
              </w:rPr>
              <w:t xml:space="preserve"> </w:t>
            </w:r>
            <w:r w:rsidRPr="00B0658A">
              <w:rPr>
                <w:rFonts w:ascii="Times New Roman" w:hAnsi="Times New Roman"/>
                <w:i/>
                <w:iCs/>
                <w:sz w:val="20"/>
                <w:szCs w:val="20"/>
              </w:rPr>
              <w:t>планом перехода органа государственной власти или государственного внебюджетного фонда на использование российского ПО</w:t>
            </w:r>
            <w:r w:rsidR="001F10DB" w:rsidRPr="00B0658A">
              <w:rPr>
                <w:rFonts w:ascii="Times New Roman" w:hAnsi="Times New Roman"/>
                <w:i/>
                <w:iCs/>
                <w:sz w:val="20"/>
                <w:szCs w:val="20"/>
              </w:rPr>
              <w:t xml:space="preserve"> на значимых объектах КИИ</w:t>
            </w:r>
          </w:p>
        </w:tc>
        <w:tc>
          <w:tcPr>
            <w:tcW w:w="1062" w:type="pct"/>
            <w:shd w:val="clear" w:color="auto" w:fill="auto"/>
          </w:tcPr>
          <w:p w14:paraId="415324C2" w14:textId="77777777" w:rsidR="008279FA" w:rsidRPr="00B0658A" w:rsidRDefault="008279FA" w:rsidP="00004A41">
            <w:pPr>
              <w:spacing w:after="0" w:line="240" w:lineRule="auto"/>
              <w:rPr>
                <w:rFonts w:ascii="Times New Roman" w:hAnsi="Times New Roman"/>
                <w:i/>
                <w:iCs/>
                <w:sz w:val="20"/>
                <w:szCs w:val="20"/>
              </w:rPr>
            </w:pPr>
            <w:r w:rsidRPr="00B0658A">
              <w:rPr>
                <w:rFonts w:ascii="Times New Roman" w:hAnsi="Times New Roman"/>
                <w:i/>
                <w:iCs/>
                <w:sz w:val="20"/>
                <w:szCs w:val="20"/>
              </w:rPr>
              <w:t xml:space="preserve">Указывается фактически достигнутое значение показателя использования российского </w:t>
            </w:r>
            <w:r w:rsidR="00952B74" w:rsidRPr="00B0658A">
              <w:rPr>
                <w:rFonts w:ascii="Times New Roman" w:hAnsi="Times New Roman"/>
                <w:i/>
                <w:iCs/>
                <w:sz w:val="20"/>
                <w:szCs w:val="20"/>
              </w:rPr>
              <w:t xml:space="preserve">и евразийского </w:t>
            </w:r>
            <w:r w:rsidRPr="00B0658A">
              <w:rPr>
                <w:rFonts w:ascii="Times New Roman" w:hAnsi="Times New Roman"/>
                <w:i/>
                <w:iCs/>
                <w:sz w:val="20"/>
                <w:szCs w:val="20"/>
              </w:rPr>
              <w:t>ПО, используемого на значимом объекте КИИ, по итогам соответствующего отчетного периода.</w:t>
            </w:r>
          </w:p>
          <w:p w14:paraId="2DB60603" w14:textId="77777777" w:rsidR="008279FA" w:rsidRPr="00B0658A" w:rsidRDefault="008279FA" w:rsidP="00004A41">
            <w:pPr>
              <w:spacing w:after="0" w:line="240" w:lineRule="auto"/>
              <w:rPr>
                <w:rFonts w:ascii="Times New Roman" w:hAnsi="Times New Roman"/>
                <w:i/>
                <w:iCs/>
                <w:sz w:val="20"/>
                <w:szCs w:val="20"/>
              </w:rPr>
            </w:pPr>
          </w:p>
        </w:tc>
        <w:tc>
          <w:tcPr>
            <w:tcW w:w="941" w:type="pct"/>
            <w:shd w:val="clear" w:color="auto" w:fill="auto"/>
          </w:tcPr>
          <w:p w14:paraId="3B116B45" w14:textId="77777777" w:rsidR="008279FA" w:rsidRPr="00B0658A" w:rsidRDefault="008279FA" w:rsidP="00004A41">
            <w:pPr>
              <w:spacing w:after="0" w:line="240" w:lineRule="auto"/>
              <w:jc w:val="both"/>
              <w:rPr>
                <w:rFonts w:ascii="Times New Roman" w:hAnsi="Times New Roman"/>
                <w:i/>
                <w:iCs/>
                <w:sz w:val="20"/>
                <w:szCs w:val="20"/>
              </w:rPr>
            </w:pPr>
            <w:r w:rsidRPr="00B0658A">
              <w:rPr>
                <w:rFonts w:ascii="Times New Roman" w:hAnsi="Times New Roman"/>
                <w:i/>
                <w:iCs/>
                <w:sz w:val="20"/>
                <w:szCs w:val="20"/>
              </w:rPr>
              <w:t>Указывается следующая информация:</w:t>
            </w:r>
          </w:p>
          <w:p w14:paraId="264D092A" w14:textId="77777777" w:rsidR="008279FA" w:rsidRPr="00B0658A" w:rsidRDefault="008279FA" w:rsidP="00004A41">
            <w:pPr>
              <w:spacing w:after="0" w:line="240" w:lineRule="auto"/>
              <w:jc w:val="both"/>
              <w:rPr>
                <w:rFonts w:ascii="Times New Roman" w:hAnsi="Times New Roman"/>
                <w:i/>
                <w:iCs/>
                <w:sz w:val="20"/>
                <w:szCs w:val="20"/>
              </w:rPr>
            </w:pPr>
            <w:r w:rsidRPr="00B0658A">
              <w:rPr>
                <w:rFonts w:ascii="Times New Roman" w:hAnsi="Times New Roman"/>
                <w:i/>
                <w:iCs/>
                <w:sz w:val="20"/>
                <w:szCs w:val="20"/>
              </w:rPr>
              <w:t>1. Наименование иностранного ПО, которое было замещено;</w:t>
            </w:r>
          </w:p>
          <w:p w14:paraId="74655497" w14:textId="77777777" w:rsidR="008279FA" w:rsidRPr="00B0658A" w:rsidRDefault="008279FA" w:rsidP="00004A41">
            <w:pPr>
              <w:spacing w:after="0" w:line="240" w:lineRule="auto"/>
              <w:jc w:val="both"/>
              <w:rPr>
                <w:rFonts w:ascii="Times New Roman" w:hAnsi="Times New Roman"/>
                <w:i/>
                <w:iCs/>
                <w:sz w:val="20"/>
                <w:szCs w:val="20"/>
              </w:rPr>
            </w:pPr>
            <w:r w:rsidRPr="00B0658A">
              <w:rPr>
                <w:rFonts w:ascii="Times New Roman" w:hAnsi="Times New Roman"/>
                <w:i/>
                <w:iCs/>
                <w:sz w:val="20"/>
                <w:szCs w:val="20"/>
              </w:rPr>
              <w:t xml:space="preserve">2. Наименование российского ПО и евразийского ПО, на которое был осуществлен переход, с указанием сведений о номерах записей в едином реестре российского ПО или едином реестре евразийского ПО </w:t>
            </w:r>
            <w:r w:rsidR="00A55C4A" w:rsidRPr="00B0658A">
              <w:rPr>
                <w:rFonts w:ascii="Times New Roman" w:hAnsi="Times New Roman"/>
                <w:i/>
                <w:iCs/>
                <w:sz w:val="20"/>
                <w:szCs w:val="20"/>
              </w:rPr>
              <w:t>соответственно</w:t>
            </w:r>
            <w:r w:rsidRPr="00B0658A">
              <w:rPr>
                <w:rFonts w:ascii="Times New Roman" w:hAnsi="Times New Roman"/>
                <w:i/>
                <w:iCs/>
                <w:sz w:val="20"/>
                <w:szCs w:val="20"/>
              </w:rPr>
              <w:t>.</w:t>
            </w:r>
          </w:p>
        </w:tc>
      </w:tr>
      <w:tr w:rsidR="00F52FED" w:rsidRPr="00B0658A" w14:paraId="105DF93C" w14:textId="77777777" w:rsidTr="003B269F">
        <w:trPr>
          <w:trHeight w:val="170"/>
        </w:trPr>
        <w:tc>
          <w:tcPr>
            <w:tcW w:w="197" w:type="pct"/>
            <w:shd w:val="clear" w:color="auto" w:fill="auto"/>
            <w:vAlign w:val="center"/>
          </w:tcPr>
          <w:p w14:paraId="1D7F98F6" w14:textId="77777777" w:rsidR="008279FA" w:rsidRPr="00B0658A" w:rsidRDefault="008279FA" w:rsidP="00004A41">
            <w:pPr>
              <w:spacing w:after="0" w:line="240" w:lineRule="auto"/>
              <w:rPr>
                <w:rFonts w:ascii="Times New Roman" w:hAnsi="Times New Roman"/>
                <w:sz w:val="20"/>
                <w:szCs w:val="20"/>
              </w:rPr>
            </w:pPr>
            <w:r w:rsidRPr="00B0658A">
              <w:rPr>
                <w:rFonts w:ascii="Times New Roman" w:hAnsi="Times New Roman"/>
                <w:sz w:val="20"/>
                <w:szCs w:val="20"/>
              </w:rPr>
              <w:t>1.2</w:t>
            </w:r>
          </w:p>
        </w:tc>
        <w:tc>
          <w:tcPr>
            <w:tcW w:w="1174" w:type="pct"/>
            <w:shd w:val="clear" w:color="auto" w:fill="auto"/>
            <w:vAlign w:val="center"/>
          </w:tcPr>
          <w:p w14:paraId="431BCBD7" w14:textId="77777777" w:rsidR="008279FA" w:rsidRPr="00B0658A" w:rsidRDefault="008279FA" w:rsidP="00004A41">
            <w:pPr>
              <w:spacing w:after="0" w:line="240" w:lineRule="auto"/>
              <w:rPr>
                <w:rFonts w:ascii="Times New Roman" w:hAnsi="Times New Roman"/>
                <w:i/>
                <w:iCs/>
                <w:sz w:val="20"/>
                <w:szCs w:val="20"/>
              </w:rPr>
            </w:pPr>
            <w:r w:rsidRPr="00B0658A">
              <w:rPr>
                <w:rFonts w:ascii="Times New Roman" w:hAnsi="Times New Roman"/>
                <w:i/>
                <w:sz w:val="20"/>
                <w:szCs w:val="20"/>
              </w:rPr>
              <w:t xml:space="preserve">Указывается класс (тип) №2 </w:t>
            </w:r>
            <w:r w:rsidR="00C57355" w:rsidRPr="00B0658A">
              <w:rPr>
                <w:rFonts w:ascii="Times New Roman" w:hAnsi="Times New Roman"/>
                <w:i/>
                <w:sz w:val="20"/>
                <w:szCs w:val="20"/>
              </w:rPr>
              <w:t>ПО</w:t>
            </w:r>
            <w:r w:rsidRPr="00B0658A">
              <w:rPr>
                <w:rFonts w:ascii="Times New Roman" w:hAnsi="Times New Roman"/>
                <w:i/>
                <w:sz w:val="20"/>
                <w:szCs w:val="20"/>
              </w:rPr>
              <w:t xml:space="preserve">, используемого на значимом объекте КИИ №1 в соответствии с утвержденным </w:t>
            </w:r>
            <w:r w:rsidR="001F10DB" w:rsidRPr="00B0658A">
              <w:rPr>
                <w:rFonts w:ascii="Times New Roman" w:hAnsi="Times New Roman"/>
                <w:i/>
                <w:sz w:val="20"/>
                <w:szCs w:val="20"/>
              </w:rPr>
              <w:t>детализированным</w:t>
            </w:r>
            <w:r w:rsidR="001F10DB" w:rsidRPr="00B0658A">
              <w:rPr>
                <w:rFonts w:ascii="Times New Roman" w:hAnsi="Times New Roman"/>
                <w:i/>
                <w:iCs/>
                <w:sz w:val="20"/>
                <w:szCs w:val="20"/>
              </w:rPr>
              <w:t xml:space="preserve"> </w:t>
            </w:r>
            <w:r w:rsidRPr="00B0658A">
              <w:rPr>
                <w:rFonts w:ascii="Times New Roman" w:hAnsi="Times New Roman"/>
                <w:i/>
                <w:iCs/>
                <w:sz w:val="20"/>
                <w:szCs w:val="20"/>
              </w:rPr>
              <w:t>планом перехода органа государственной власти или государственного внебюджетного фонда на использование российского ПО</w:t>
            </w:r>
            <w:r w:rsidR="001F10DB" w:rsidRPr="00B0658A">
              <w:rPr>
                <w:rFonts w:ascii="Times New Roman" w:hAnsi="Times New Roman"/>
                <w:i/>
                <w:iCs/>
                <w:sz w:val="20"/>
                <w:szCs w:val="20"/>
              </w:rPr>
              <w:t xml:space="preserve"> на значимых объектах КИИ</w:t>
            </w:r>
          </w:p>
        </w:tc>
        <w:tc>
          <w:tcPr>
            <w:tcW w:w="508" w:type="pct"/>
          </w:tcPr>
          <w:p w14:paraId="1C67D2F8" w14:textId="77777777" w:rsidR="008279FA" w:rsidRPr="00B0658A" w:rsidRDefault="008279FA" w:rsidP="00004A41">
            <w:pPr>
              <w:spacing w:after="0" w:line="240" w:lineRule="auto"/>
              <w:rPr>
                <w:rFonts w:ascii="Times New Roman" w:hAnsi="Times New Roman"/>
                <w:i/>
                <w:iCs/>
                <w:sz w:val="20"/>
                <w:szCs w:val="20"/>
              </w:rPr>
            </w:pPr>
          </w:p>
        </w:tc>
        <w:tc>
          <w:tcPr>
            <w:tcW w:w="1118" w:type="pct"/>
            <w:shd w:val="clear" w:color="auto" w:fill="auto"/>
          </w:tcPr>
          <w:p w14:paraId="56154218" w14:textId="77777777" w:rsidR="008279FA" w:rsidRPr="00B0658A" w:rsidRDefault="008279FA" w:rsidP="00004A41">
            <w:pPr>
              <w:spacing w:after="0" w:line="240" w:lineRule="auto"/>
              <w:rPr>
                <w:rFonts w:ascii="Times New Roman" w:hAnsi="Times New Roman"/>
                <w:i/>
                <w:iCs/>
                <w:sz w:val="20"/>
                <w:szCs w:val="20"/>
              </w:rPr>
            </w:pPr>
          </w:p>
        </w:tc>
        <w:tc>
          <w:tcPr>
            <w:tcW w:w="1062" w:type="pct"/>
            <w:shd w:val="clear" w:color="auto" w:fill="auto"/>
          </w:tcPr>
          <w:p w14:paraId="08956FEF" w14:textId="77777777" w:rsidR="008279FA" w:rsidRPr="00B0658A" w:rsidRDefault="008279FA" w:rsidP="00004A41">
            <w:pPr>
              <w:spacing w:after="0" w:line="240" w:lineRule="auto"/>
              <w:rPr>
                <w:rFonts w:ascii="Times New Roman" w:hAnsi="Times New Roman"/>
                <w:i/>
                <w:iCs/>
                <w:sz w:val="20"/>
                <w:szCs w:val="20"/>
              </w:rPr>
            </w:pPr>
          </w:p>
        </w:tc>
        <w:tc>
          <w:tcPr>
            <w:tcW w:w="941" w:type="pct"/>
            <w:shd w:val="clear" w:color="auto" w:fill="auto"/>
          </w:tcPr>
          <w:p w14:paraId="67F3D5CD" w14:textId="77777777" w:rsidR="008279FA" w:rsidRPr="00B0658A" w:rsidRDefault="008279FA" w:rsidP="00004A41">
            <w:pPr>
              <w:spacing w:after="0" w:line="240" w:lineRule="auto"/>
              <w:jc w:val="both"/>
              <w:rPr>
                <w:rFonts w:ascii="Times New Roman" w:hAnsi="Times New Roman"/>
                <w:i/>
                <w:iCs/>
                <w:sz w:val="20"/>
                <w:szCs w:val="20"/>
              </w:rPr>
            </w:pPr>
          </w:p>
        </w:tc>
      </w:tr>
      <w:tr w:rsidR="00F52FED" w:rsidRPr="00B0658A" w14:paraId="4ACD56D3" w14:textId="77777777" w:rsidTr="003B269F">
        <w:trPr>
          <w:trHeight w:val="170"/>
        </w:trPr>
        <w:tc>
          <w:tcPr>
            <w:tcW w:w="197" w:type="pct"/>
            <w:shd w:val="clear" w:color="auto" w:fill="auto"/>
            <w:vAlign w:val="center"/>
          </w:tcPr>
          <w:p w14:paraId="002F2B86" w14:textId="77777777" w:rsidR="008279FA" w:rsidRPr="00B0658A" w:rsidRDefault="008279FA" w:rsidP="00004A41">
            <w:pPr>
              <w:spacing w:after="0" w:line="240" w:lineRule="auto"/>
              <w:rPr>
                <w:rFonts w:ascii="Times New Roman" w:hAnsi="Times New Roman"/>
                <w:sz w:val="20"/>
                <w:szCs w:val="20"/>
                <w:lang w:val="en-US"/>
              </w:rPr>
            </w:pPr>
            <w:r w:rsidRPr="00B0658A">
              <w:rPr>
                <w:rFonts w:ascii="Times New Roman" w:hAnsi="Times New Roman"/>
                <w:sz w:val="20"/>
                <w:szCs w:val="20"/>
                <w:lang w:val="en-US"/>
              </w:rPr>
              <w:t>..</w:t>
            </w:r>
          </w:p>
        </w:tc>
        <w:tc>
          <w:tcPr>
            <w:tcW w:w="1174" w:type="pct"/>
            <w:shd w:val="clear" w:color="auto" w:fill="auto"/>
            <w:vAlign w:val="center"/>
          </w:tcPr>
          <w:p w14:paraId="2CA5540D" w14:textId="77777777" w:rsidR="008279FA" w:rsidRPr="00B0658A" w:rsidRDefault="008279FA" w:rsidP="00004A41">
            <w:pPr>
              <w:spacing w:after="0" w:line="240" w:lineRule="auto"/>
              <w:rPr>
                <w:rFonts w:ascii="Times New Roman" w:hAnsi="Times New Roman"/>
                <w:i/>
                <w:iCs/>
                <w:sz w:val="20"/>
                <w:szCs w:val="20"/>
                <w:lang w:val="en-US"/>
              </w:rPr>
            </w:pPr>
            <w:r w:rsidRPr="00B0658A">
              <w:rPr>
                <w:rFonts w:ascii="Times New Roman" w:hAnsi="Times New Roman"/>
                <w:i/>
                <w:iCs/>
                <w:sz w:val="20"/>
                <w:szCs w:val="20"/>
                <w:lang w:val="en-US"/>
              </w:rPr>
              <w:t>….</w:t>
            </w:r>
          </w:p>
        </w:tc>
        <w:tc>
          <w:tcPr>
            <w:tcW w:w="508" w:type="pct"/>
          </w:tcPr>
          <w:p w14:paraId="5D963C2E" w14:textId="77777777" w:rsidR="008279FA" w:rsidRPr="00B0658A" w:rsidRDefault="008279FA" w:rsidP="00004A41">
            <w:pPr>
              <w:spacing w:after="0" w:line="240" w:lineRule="auto"/>
              <w:rPr>
                <w:rFonts w:ascii="Times New Roman" w:hAnsi="Times New Roman"/>
                <w:i/>
                <w:iCs/>
                <w:sz w:val="20"/>
                <w:szCs w:val="20"/>
              </w:rPr>
            </w:pPr>
          </w:p>
        </w:tc>
        <w:tc>
          <w:tcPr>
            <w:tcW w:w="1118" w:type="pct"/>
            <w:shd w:val="clear" w:color="auto" w:fill="auto"/>
          </w:tcPr>
          <w:p w14:paraId="678FA78C" w14:textId="77777777" w:rsidR="008279FA" w:rsidRPr="00B0658A" w:rsidRDefault="008279FA" w:rsidP="00004A41">
            <w:pPr>
              <w:spacing w:after="0" w:line="240" w:lineRule="auto"/>
              <w:rPr>
                <w:rFonts w:ascii="Times New Roman" w:hAnsi="Times New Roman"/>
                <w:i/>
                <w:iCs/>
                <w:sz w:val="20"/>
                <w:szCs w:val="20"/>
              </w:rPr>
            </w:pPr>
          </w:p>
        </w:tc>
        <w:tc>
          <w:tcPr>
            <w:tcW w:w="1062" w:type="pct"/>
            <w:shd w:val="clear" w:color="auto" w:fill="auto"/>
          </w:tcPr>
          <w:p w14:paraId="0D1B82D9" w14:textId="77777777" w:rsidR="008279FA" w:rsidRPr="00B0658A" w:rsidRDefault="008279FA" w:rsidP="00004A41">
            <w:pPr>
              <w:spacing w:after="0" w:line="240" w:lineRule="auto"/>
              <w:rPr>
                <w:rFonts w:ascii="Times New Roman" w:hAnsi="Times New Roman"/>
                <w:i/>
                <w:iCs/>
                <w:sz w:val="20"/>
                <w:szCs w:val="20"/>
              </w:rPr>
            </w:pPr>
          </w:p>
        </w:tc>
        <w:tc>
          <w:tcPr>
            <w:tcW w:w="941" w:type="pct"/>
            <w:shd w:val="clear" w:color="auto" w:fill="auto"/>
          </w:tcPr>
          <w:p w14:paraId="73778244" w14:textId="77777777" w:rsidR="008279FA" w:rsidRPr="00B0658A" w:rsidRDefault="008279FA" w:rsidP="00004A41">
            <w:pPr>
              <w:spacing w:after="0" w:line="240" w:lineRule="auto"/>
              <w:jc w:val="both"/>
              <w:rPr>
                <w:rFonts w:ascii="Times New Roman" w:hAnsi="Times New Roman"/>
                <w:i/>
                <w:iCs/>
                <w:sz w:val="20"/>
                <w:szCs w:val="20"/>
              </w:rPr>
            </w:pPr>
          </w:p>
        </w:tc>
      </w:tr>
      <w:tr w:rsidR="00F52FED" w:rsidRPr="00B0658A" w14:paraId="63762312" w14:textId="77777777" w:rsidTr="003B269F">
        <w:trPr>
          <w:trHeight w:val="170"/>
        </w:trPr>
        <w:tc>
          <w:tcPr>
            <w:tcW w:w="197" w:type="pct"/>
            <w:shd w:val="clear" w:color="auto" w:fill="auto"/>
            <w:vAlign w:val="center"/>
          </w:tcPr>
          <w:p w14:paraId="4288BAB0" w14:textId="77777777" w:rsidR="008279FA" w:rsidRPr="00B0658A" w:rsidRDefault="008279FA" w:rsidP="00004A41">
            <w:pPr>
              <w:spacing w:after="0" w:line="240" w:lineRule="auto"/>
              <w:rPr>
                <w:rFonts w:ascii="Times New Roman" w:hAnsi="Times New Roman"/>
                <w:sz w:val="20"/>
                <w:szCs w:val="20"/>
                <w:lang w:val="en-US"/>
              </w:rPr>
            </w:pPr>
            <w:r w:rsidRPr="00B0658A">
              <w:rPr>
                <w:rFonts w:ascii="Times New Roman" w:hAnsi="Times New Roman"/>
                <w:sz w:val="20"/>
                <w:szCs w:val="20"/>
                <w:lang w:val="en-US"/>
              </w:rPr>
              <w:lastRenderedPageBreak/>
              <w:t>1</w:t>
            </w:r>
            <w:r w:rsidRPr="00B0658A">
              <w:rPr>
                <w:rFonts w:ascii="Times New Roman" w:hAnsi="Times New Roman"/>
                <w:sz w:val="20"/>
                <w:szCs w:val="20"/>
              </w:rPr>
              <w:t>.</w:t>
            </w:r>
            <w:r w:rsidRPr="00B0658A">
              <w:rPr>
                <w:rFonts w:ascii="Times New Roman" w:hAnsi="Times New Roman"/>
                <w:sz w:val="20"/>
                <w:szCs w:val="20"/>
                <w:lang w:val="en-US"/>
              </w:rPr>
              <w:t>n</w:t>
            </w:r>
          </w:p>
        </w:tc>
        <w:tc>
          <w:tcPr>
            <w:tcW w:w="1174" w:type="pct"/>
            <w:shd w:val="clear" w:color="auto" w:fill="auto"/>
            <w:vAlign w:val="center"/>
          </w:tcPr>
          <w:p w14:paraId="126ECA35" w14:textId="77777777" w:rsidR="008279FA" w:rsidRPr="00B0658A" w:rsidRDefault="008279FA" w:rsidP="00004A41">
            <w:pPr>
              <w:spacing w:after="0" w:line="240" w:lineRule="auto"/>
              <w:rPr>
                <w:rFonts w:ascii="Times New Roman" w:hAnsi="Times New Roman"/>
                <w:i/>
                <w:iCs/>
                <w:sz w:val="20"/>
                <w:szCs w:val="20"/>
              </w:rPr>
            </w:pPr>
            <w:r w:rsidRPr="00B0658A">
              <w:rPr>
                <w:rFonts w:ascii="Times New Roman" w:hAnsi="Times New Roman"/>
                <w:i/>
                <w:sz w:val="20"/>
                <w:szCs w:val="20"/>
              </w:rPr>
              <w:t>Указывается класс (тип) №</w:t>
            </w:r>
            <w:r w:rsidRPr="00B0658A">
              <w:rPr>
                <w:rFonts w:ascii="Times New Roman" w:hAnsi="Times New Roman"/>
                <w:i/>
                <w:sz w:val="20"/>
                <w:szCs w:val="20"/>
                <w:lang w:val="en-US"/>
              </w:rPr>
              <w:t>n</w:t>
            </w:r>
            <w:r w:rsidRPr="00B0658A">
              <w:rPr>
                <w:rFonts w:ascii="Times New Roman" w:hAnsi="Times New Roman"/>
                <w:i/>
                <w:sz w:val="20"/>
                <w:szCs w:val="20"/>
              </w:rPr>
              <w:t xml:space="preserve"> </w:t>
            </w:r>
            <w:r w:rsidR="00C57355" w:rsidRPr="00B0658A">
              <w:rPr>
                <w:rFonts w:ascii="Times New Roman" w:hAnsi="Times New Roman"/>
                <w:i/>
                <w:sz w:val="20"/>
                <w:szCs w:val="20"/>
              </w:rPr>
              <w:t>ПО</w:t>
            </w:r>
            <w:r w:rsidRPr="00B0658A">
              <w:rPr>
                <w:rFonts w:ascii="Times New Roman" w:hAnsi="Times New Roman"/>
                <w:i/>
                <w:sz w:val="20"/>
                <w:szCs w:val="20"/>
              </w:rPr>
              <w:t xml:space="preserve">, используемого на значимом объекте КИИ №1 в соответствии с утвержденным </w:t>
            </w:r>
            <w:r w:rsidR="001F10DB" w:rsidRPr="00B0658A">
              <w:rPr>
                <w:rFonts w:ascii="Times New Roman" w:hAnsi="Times New Roman"/>
                <w:i/>
                <w:sz w:val="20"/>
                <w:szCs w:val="20"/>
              </w:rPr>
              <w:t>детализированным</w:t>
            </w:r>
            <w:r w:rsidR="001F10DB" w:rsidRPr="00B0658A">
              <w:rPr>
                <w:rFonts w:ascii="Times New Roman" w:hAnsi="Times New Roman"/>
                <w:i/>
                <w:iCs/>
                <w:sz w:val="20"/>
                <w:szCs w:val="20"/>
              </w:rPr>
              <w:t xml:space="preserve"> </w:t>
            </w:r>
            <w:r w:rsidRPr="00B0658A">
              <w:rPr>
                <w:rFonts w:ascii="Times New Roman" w:hAnsi="Times New Roman"/>
                <w:i/>
                <w:iCs/>
                <w:sz w:val="20"/>
                <w:szCs w:val="20"/>
              </w:rPr>
              <w:t>планом перехода органа государственной власти или государственного внебюджетного фонда на использование российского ПО</w:t>
            </w:r>
            <w:r w:rsidR="001F10DB" w:rsidRPr="00B0658A">
              <w:rPr>
                <w:rFonts w:ascii="Times New Roman" w:hAnsi="Times New Roman"/>
                <w:i/>
                <w:iCs/>
                <w:sz w:val="20"/>
                <w:szCs w:val="20"/>
              </w:rPr>
              <w:t xml:space="preserve"> на значимых объектах КИИ</w:t>
            </w:r>
          </w:p>
        </w:tc>
        <w:tc>
          <w:tcPr>
            <w:tcW w:w="508" w:type="pct"/>
          </w:tcPr>
          <w:p w14:paraId="3F5005AE" w14:textId="77777777" w:rsidR="008279FA" w:rsidRPr="00B0658A" w:rsidRDefault="008279FA" w:rsidP="00004A41">
            <w:pPr>
              <w:spacing w:after="0" w:line="240" w:lineRule="auto"/>
              <w:rPr>
                <w:rFonts w:ascii="Times New Roman" w:hAnsi="Times New Roman"/>
                <w:i/>
                <w:iCs/>
                <w:sz w:val="20"/>
                <w:szCs w:val="20"/>
              </w:rPr>
            </w:pPr>
          </w:p>
        </w:tc>
        <w:tc>
          <w:tcPr>
            <w:tcW w:w="1118" w:type="pct"/>
            <w:shd w:val="clear" w:color="auto" w:fill="auto"/>
          </w:tcPr>
          <w:p w14:paraId="7BF6C76A" w14:textId="77777777" w:rsidR="008279FA" w:rsidRPr="00B0658A" w:rsidRDefault="008279FA" w:rsidP="00004A41">
            <w:pPr>
              <w:spacing w:after="0" w:line="240" w:lineRule="auto"/>
              <w:rPr>
                <w:rFonts w:ascii="Times New Roman" w:hAnsi="Times New Roman"/>
                <w:i/>
                <w:iCs/>
                <w:sz w:val="20"/>
                <w:szCs w:val="20"/>
              </w:rPr>
            </w:pPr>
          </w:p>
        </w:tc>
        <w:tc>
          <w:tcPr>
            <w:tcW w:w="1062" w:type="pct"/>
            <w:shd w:val="clear" w:color="auto" w:fill="auto"/>
          </w:tcPr>
          <w:p w14:paraId="454D1A3B" w14:textId="77777777" w:rsidR="008279FA" w:rsidRPr="00B0658A" w:rsidRDefault="008279FA" w:rsidP="00004A41">
            <w:pPr>
              <w:spacing w:after="0" w:line="240" w:lineRule="auto"/>
              <w:rPr>
                <w:rFonts w:ascii="Times New Roman" w:hAnsi="Times New Roman"/>
                <w:i/>
                <w:iCs/>
                <w:sz w:val="20"/>
                <w:szCs w:val="20"/>
              </w:rPr>
            </w:pPr>
          </w:p>
        </w:tc>
        <w:tc>
          <w:tcPr>
            <w:tcW w:w="941" w:type="pct"/>
            <w:shd w:val="clear" w:color="auto" w:fill="auto"/>
          </w:tcPr>
          <w:p w14:paraId="39F4127D" w14:textId="77777777" w:rsidR="008279FA" w:rsidRPr="00B0658A" w:rsidRDefault="008279FA" w:rsidP="00004A41">
            <w:pPr>
              <w:spacing w:after="0" w:line="240" w:lineRule="auto"/>
              <w:jc w:val="both"/>
              <w:rPr>
                <w:rFonts w:ascii="Times New Roman" w:hAnsi="Times New Roman"/>
                <w:i/>
                <w:iCs/>
                <w:sz w:val="20"/>
                <w:szCs w:val="20"/>
              </w:rPr>
            </w:pPr>
          </w:p>
        </w:tc>
      </w:tr>
      <w:tr w:rsidR="00F52FED" w:rsidRPr="00B0658A" w14:paraId="2B6C6E8D" w14:textId="77777777" w:rsidTr="00501AB2">
        <w:trPr>
          <w:trHeight w:val="170"/>
        </w:trPr>
        <w:tc>
          <w:tcPr>
            <w:tcW w:w="5000" w:type="pct"/>
            <w:gridSpan w:val="6"/>
            <w:shd w:val="clear" w:color="auto" w:fill="auto"/>
            <w:vAlign w:val="center"/>
          </w:tcPr>
          <w:p w14:paraId="462C4553" w14:textId="77777777" w:rsidR="00473D42" w:rsidRPr="00B0658A" w:rsidRDefault="00473D42" w:rsidP="00004A41">
            <w:pPr>
              <w:pStyle w:val="afd"/>
              <w:numPr>
                <w:ilvl w:val="0"/>
                <w:numId w:val="17"/>
              </w:numPr>
              <w:spacing w:after="0" w:line="240" w:lineRule="auto"/>
              <w:ind w:left="318" w:hanging="284"/>
              <w:rPr>
                <w:rFonts w:ascii="Times New Roman" w:hAnsi="Times New Roman"/>
                <w:i/>
                <w:iCs/>
                <w:sz w:val="20"/>
                <w:szCs w:val="20"/>
              </w:rPr>
            </w:pPr>
            <w:r w:rsidRPr="00B0658A">
              <w:rPr>
                <w:rFonts w:ascii="Times New Roman" w:hAnsi="Times New Roman"/>
                <w:b/>
                <w:sz w:val="20"/>
                <w:szCs w:val="20"/>
              </w:rPr>
              <w:t>Сведения о достижении показателей эффективности перехода в отношении ________ (наименование значимого объекта КИИ №2)</w:t>
            </w:r>
          </w:p>
        </w:tc>
      </w:tr>
      <w:tr w:rsidR="00F52FED" w:rsidRPr="00B0658A" w14:paraId="1B2501EA" w14:textId="77777777" w:rsidTr="003B269F">
        <w:trPr>
          <w:trHeight w:val="170"/>
        </w:trPr>
        <w:tc>
          <w:tcPr>
            <w:tcW w:w="197" w:type="pct"/>
            <w:shd w:val="clear" w:color="auto" w:fill="auto"/>
            <w:vAlign w:val="center"/>
          </w:tcPr>
          <w:p w14:paraId="79D9D230" w14:textId="77777777" w:rsidR="00473D42" w:rsidRPr="00B0658A" w:rsidRDefault="00473D42" w:rsidP="00004A41">
            <w:pPr>
              <w:spacing w:after="0" w:line="240" w:lineRule="auto"/>
              <w:rPr>
                <w:rFonts w:ascii="Times New Roman" w:hAnsi="Times New Roman"/>
                <w:sz w:val="20"/>
                <w:szCs w:val="20"/>
              </w:rPr>
            </w:pPr>
            <w:r w:rsidRPr="00B0658A">
              <w:rPr>
                <w:rFonts w:ascii="Times New Roman" w:hAnsi="Times New Roman"/>
                <w:sz w:val="20"/>
                <w:szCs w:val="20"/>
                <w:lang w:val="en-US"/>
              </w:rPr>
              <w:t>2</w:t>
            </w:r>
            <w:r w:rsidRPr="00B0658A">
              <w:rPr>
                <w:rFonts w:ascii="Times New Roman" w:hAnsi="Times New Roman"/>
                <w:sz w:val="20"/>
                <w:szCs w:val="20"/>
              </w:rPr>
              <w:t>.1</w:t>
            </w:r>
          </w:p>
        </w:tc>
        <w:tc>
          <w:tcPr>
            <w:tcW w:w="1174" w:type="pct"/>
            <w:shd w:val="clear" w:color="auto" w:fill="auto"/>
            <w:vAlign w:val="center"/>
          </w:tcPr>
          <w:p w14:paraId="346179C5" w14:textId="77777777" w:rsidR="00473D42" w:rsidRPr="00B0658A" w:rsidRDefault="00473D42" w:rsidP="00004A41">
            <w:pPr>
              <w:spacing w:after="0" w:line="240" w:lineRule="auto"/>
              <w:rPr>
                <w:rFonts w:ascii="Times New Roman" w:hAnsi="Times New Roman"/>
                <w:i/>
                <w:iCs/>
                <w:sz w:val="20"/>
                <w:szCs w:val="20"/>
              </w:rPr>
            </w:pPr>
            <w:r w:rsidRPr="00B0658A">
              <w:rPr>
                <w:rFonts w:ascii="Times New Roman" w:hAnsi="Times New Roman"/>
                <w:i/>
                <w:sz w:val="20"/>
                <w:szCs w:val="20"/>
              </w:rPr>
              <w:t xml:space="preserve">Указывается класс (тип) №1 </w:t>
            </w:r>
            <w:r w:rsidR="00C57355" w:rsidRPr="00B0658A">
              <w:rPr>
                <w:rFonts w:ascii="Times New Roman" w:hAnsi="Times New Roman"/>
                <w:i/>
                <w:sz w:val="20"/>
                <w:szCs w:val="20"/>
              </w:rPr>
              <w:t>ПО</w:t>
            </w:r>
            <w:r w:rsidRPr="00B0658A">
              <w:rPr>
                <w:rFonts w:ascii="Times New Roman" w:hAnsi="Times New Roman"/>
                <w:i/>
                <w:sz w:val="20"/>
                <w:szCs w:val="20"/>
              </w:rPr>
              <w:t>, используемого на значимом объекте КИИ №2 в соответствии с утвержденным детализированным</w:t>
            </w:r>
            <w:r w:rsidRPr="00B0658A">
              <w:rPr>
                <w:rFonts w:ascii="Times New Roman" w:hAnsi="Times New Roman"/>
                <w:i/>
                <w:iCs/>
                <w:sz w:val="20"/>
                <w:szCs w:val="20"/>
              </w:rPr>
              <w:t xml:space="preserve"> планом перехода органа государственной власти или государственного внебюджетного фонда на использование российского ПО на значимых объектах КИИ</w:t>
            </w:r>
          </w:p>
        </w:tc>
        <w:tc>
          <w:tcPr>
            <w:tcW w:w="508" w:type="pct"/>
          </w:tcPr>
          <w:p w14:paraId="1A8937A3" w14:textId="77777777" w:rsidR="00473D42" w:rsidRPr="00B0658A" w:rsidRDefault="00473D42" w:rsidP="00004A41">
            <w:pPr>
              <w:spacing w:after="0" w:line="240" w:lineRule="auto"/>
              <w:rPr>
                <w:rFonts w:ascii="Times New Roman" w:hAnsi="Times New Roman"/>
                <w:i/>
                <w:iCs/>
                <w:sz w:val="20"/>
                <w:szCs w:val="20"/>
              </w:rPr>
            </w:pPr>
          </w:p>
        </w:tc>
        <w:tc>
          <w:tcPr>
            <w:tcW w:w="1118" w:type="pct"/>
            <w:shd w:val="clear" w:color="auto" w:fill="auto"/>
          </w:tcPr>
          <w:p w14:paraId="1D281D1E" w14:textId="77777777" w:rsidR="00473D42" w:rsidRPr="00B0658A" w:rsidRDefault="00473D42" w:rsidP="00004A41">
            <w:pPr>
              <w:spacing w:after="0" w:line="240" w:lineRule="auto"/>
              <w:rPr>
                <w:rFonts w:ascii="Times New Roman" w:hAnsi="Times New Roman"/>
                <w:i/>
                <w:iCs/>
                <w:sz w:val="20"/>
                <w:szCs w:val="20"/>
              </w:rPr>
            </w:pPr>
          </w:p>
        </w:tc>
        <w:tc>
          <w:tcPr>
            <w:tcW w:w="1062" w:type="pct"/>
            <w:shd w:val="clear" w:color="auto" w:fill="auto"/>
          </w:tcPr>
          <w:p w14:paraId="26F1C484" w14:textId="77777777" w:rsidR="00473D42" w:rsidRPr="00B0658A" w:rsidRDefault="00473D42" w:rsidP="00004A41">
            <w:pPr>
              <w:spacing w:after="0" w:line="240" w:lineRule="auto"/>
              <w:rPr>
                <w:rFonts w:ascii="Times New Roman" w:hAnsi="Times New Roman"/>
                <w:i/>
                <w:iCs/>
                <w:sz w:val="20"/>
                <w:szCs w:val="20"/>
              </w:rPr>
            </w:pPr>
          </w:p>
        </w:tc>
        <w:tc>
          <w:tcPr>
            <w:tcW w:w="941" w:type="pct"/>
            <w:shd w:val="clear" w:color="auto" w:fill="auto"/>
          </w:tcPr>
          <w:p w14:paraId="240CD3C5" w14:textId="77777777" w:rsidR="00473D42" w:rsidRPr="00B0658A" w:rsidRDefault="00473D42" w:rsidP="00004A41">
            <w:pPr>
              <w:spacing w:after="0" w:line="240" w:lineRule="auto"/>
              <w:jc w:val="both"/>
              <w:rPr>
                <w:rFonts w:ascii="Times New Roman" w:hAnsi="Times New Roman"/>
                <w:i/>
                <w:iCs/>
                <w:sz w:val="20"/>
                <w:szCs w:val="20"/>
              </w:rPr>
            </w:pPr>
          </w:p>
        </w:tc>
      </w:tr>
      <w:tr w:rsidR="00F52FED" w:rsidRPr="00B0658A" w14:paraId="4F346C1F" w14:textId="77777777" w:rsidTr="003B269F">
        <w:trPr>
          <w:trHeight w:val="170"/>
        </w:trPr>
        <w:tc>
          <w:tcPr>
            <w:tcW w:w="197" w:type="pct"/>
            <w:shd w:val="clear" w:color="auto" w:fill="auto"/>
            <w:vAlign w:val="center"/>
          </w:tcPr>
          <w:p w14:paraId="75C71D36" w14:textId="77777777" w:rsidR="00473D42" w:rsidRPr="00B0658A" w:rsidRDefault="00473D42" w:rsidP="00004A41">
            <w:pPr>
              <w:spacing w:after="0" w:line="240" w:lineRule="auto"/>
              <w:rPr>
                <w:rFonts w:ascii="Times New Roman" w:hAnsi="Times New Roman"/>
                <w:sz w:val="20"/>
                <w:szCs w:val="20"/>
                <w:lang w:val="en-US"/>
              </w:rPr>
            </w:pPr>
            <w:r w:rsidRPr="00B0658A">
              <w:rPr>
                <w:rFonts w:ascii="Times New Roman" w:hAnsi="Times New Roman"/>
                <w:sz w:val="20"/>
                <w:szCs w:val="20"/>
                <w:lang w:val="en-US"/>
              </w:rPr>
              <w:t>2</w:t>
            </w:r>
            <w:r w:rsidRPr="00B0658A">
              <w:rPr>
                <w:rFonts w:ascii="Times New Roman" w:hAnsi="Times New Roman"/>
                <w:sz w:val="20"/>
                <w:szCs w:val="20"/>
              </w:rPr>
              <w:t>.</w:t>
            </w:r>
            <w:r w:rsidRPr="00B0658A">
              <w:rPr>
                <w:rFonts w:ascii="Times New Roman" w:hAnsi="Times New Roman"/>
                <w:sz w:val="20"/>
                <w:szCs w:val="20"/>
                <w:lang w:val="en-US"/>
              </w:rPr>
              <w:t>2</w:t>
            </w:r>
          </w:p>
        </w:tc>
        <w:tc>
          <w:tcPr>
            <w:tcW w:w="1174" w:type="pct"/>
            <w:shd w:val="clear" w:color="auto" w:fill="auto"/>
            <w:vAlign w:val="center"/>
          </w:tcPr>
          <w:p w14:paraId="72B88B16" w14:textId="77777777" w:rsidR="00473D42" w:rsidRPr="00B0658A" w:rsidRDefault="00473D42" w:rsidP="00004A41">
            <w:pPr>
              <w:spacing w:after="0" w:line="240" w:lineRule="auto"/>
              <w:rPr>
                <w:rFonts w:ascii="Times New Roman" w:hAnsi="Times New Roman"/>
                <w:i/>
                <w:iCs/>
                <w:sz w:val="20"/>
                <w:szCs w:val="20"/>
              </w:rPr>
            </w:pPr>
            <w:r w:rsidRPr="00B0658A">
              <w:rPr>
                <w:rFonts w:ascii="Times New Roman" w:hAnsi="Times New Roman"/>
                <w:i/>
                <w:sz w:val="20"/>
                <w:szCs w:val="20"/>
              </w:rPr>
              <w:t xml:space="preserve">Указывается класс (тип) №2 </w:t>
            </w:r>
            <w:r w:rsidR="00C57355" w:rsidRPr="00B0658A">
              <w:rPr>
                <w:rFonts w:ascii="Times New Roman" w:hAnsi="Times New Roman"/>
                <w:i/>
                <w:sz w:val="20"/>
                <w:szCs w:val="20"/>
              </w:rPr>
              <w:t>ПО</w:t>
            </w:r>
            <w:r w:rsidRPr="00B0658A">
              <w:rPr>
                <w:rFonts w:ascii="Times New Roman" w:hAnsi="Times New Roman"/>
                <w:i/>
                <w:sz w:val="20"/>
                <w:szCs w:val="20"/>
              </w:rPr>
              <w:t xml:space="preserve">, используемого на значимом объекте КИИ №2 в соответствии с утвержденным детализированным </w:t>
            </w:r>
            <w:r w:rsidRPr="00B0658A">
              <w:rPr>
                <w:rFonts w:ascii="Times New Roman" w:hAnsi="Times New Roman"/>
                <w:i/>
                <w:iCs/>
                <w:sz w:val="20"/>
                <w:szCs w:val="20"/>
              </w:rPr>
              <w:t>планом перехода органа государственной власти или государственного внебюджетного фонда на использование российского ПО на значимых объектах КИИ</w:t>
            </w:r>
          </w:p>
        </w:tc>
        <w:tc>
          <w:tcPr>
            <w:tcW w:w="508" w:type="pct"/>
          </w:tcPr>
          <w:p w14:paraId="2CBCCF8B" w14:textId="77777777" w:rsidR="00473D42" w:rsidRPr="00B0658A" w:rsidRDefault="00473D42" w:rsidP="00004A41">
            <w:pPr>
              <w:spacing w:after="0" w:line="240" w:lineRule="auto"/>
              <w:rPr>
                <w:rFonts w:ascii="Times New Roman" w:hAnsi="Times New Roman"/>
                <w:i/>
                <w:iCs/>
                <w:sz w:val="20"/>
                <w:szCs w:val="20"/>
              </w:rPr>
            </w:pPr>
          </w:p>
        </w:tc>
        <w:tc>
          <w:tcPr>
            <w:tcW w:w="1118" w:type="pct"/>
            <w:shd w:val="clear" w:color="auto" w:fill="auto"/>
          </w:tcPr>
          <w:p w14:paraId="6272C768" w14:textId="77777777" w:rsidR="00473D42" w:rsidRPr="00B0658A" w:rsidRDefault="00473D42" w:rsidP="00004A41">
            <w:pPr>
              <w:spacing w:after="0" w:line="240" w:lineRule="auto"/>
              <w:rPr>
                <w:rFonts w:ascii="Times New Roman" w:hAnsi="Times New Roman"/>
                <w:i/>
                <w:iCs/>
                <w:sz w:val="20"/>
                <w:szCs w:val="20"/>
              </w:rPr>
            </w:pPr>
          </w:p>
        </w:tc>
        <w:tc>
          <w:tcPr>
            <w:tcW w:w="1062" w:type="pct"/>
            <w:shd w:val="clear" w:color="auto" w:fill="auto"/>
          </w:tcPr>
          <w:p w14:paraId="6858DEA9" w14:textId="77777777" w:rsidR="00473D42" w:rsidRPr="00B0658A" w:rsidRDefault="00473D42" w:rsidP="00004A41">
            <w:pPr>
              <w:spacing w:after="0" w:line="240" w:lineRule="auto"/>
              <w:rPr>
                <w:rFonts w:ascii="Times New Roman" w:hAnsi="Times New Roman"/>
                <w:i/>
                <w:iCs/>
                <w:sz w:val="20"/>
                <w:szCs w:val="20"/>
              </w:rPr>
            </w:pPr>
          </w:p>
        </w:tc>
        <w:tc>
          <w:tcPr>
            <w:tcW w:w="941" w:type="pct"/>
            <w:shd w:val="clear" w:color="auto" w:fill="auto"/>
          </w:tcPr>
          <w:p w14:paraId="3462D93B" w14:textId="77777777" w:rsidR="00473D42" w:rsidRPr="00B0658A" w:rsidRDefault="00473D42" w:rsidP="00004A41">
            <w:pPr>
              <w:spacing w:after="0" w:line="240" w:lineRule="auto"/>
              <w:jc w:val="both"/>
              <w:rPr>
                <w:rFonts w:ascii="Times New Roman" w:hAnsi="Times New Roman"/>
                <w:i/>
                <w:iCs/>
                <w:sz w:val="20"/>
                <w:szCs w:val="20"/>
              </w:rPr>
            </w:pPr>
          </w:p>
        </w:tc>
      </w:tr>
      <w:tr w:rsidR="00F52FED" w:rsidRPr="00B0658A" w14:paraId="13500CFD" w14:textId="77777777" w:rsidTr="003B269F">
        <w:trPr>
          <w:trHeight w:val="170"/>
        </w:trPr>
        <w:tc>
          <w:tcPr>
            <w:tcW w:w="197" w:type="pct"/>
            <w:shd w:val="clear" w:color="auto" w:fill="auto"/>
            <w:vAlign w:val="center"/>
          </w:tcPr>
          <w:p w14:paraId="2924CA3D" w14:textId="77777777" w:rsidR="00473D42" w:rsidRPr="00B0658A" w:rsidRDefault="00473D42" w:rsidP="00004A41">
            <w:pPr>
              <w:spacing w:after="0" w:line="240" w:lineRule="auto"/>
              <w:rPr>
                <w:rFonts w:ascii="Times New Roman" w:hAnsi="Times New Roman"/>
                <w:sz w:val="20"/>
                <w:szCs w:val="20"/>
                <w:lang w:val="en-US"/>
              </w:rPr>
            </w:pPr>
            <w:r w:rsidRPr="00B0658A">
              <w:rPr>
                <w:rFonts w:ascii="Times New Roman" w:hAnsi="Times New Roman"/>
                <w:sz w:val="20"/>
                <w:szCs w:val="20"/>
                <w:lang w:val="en-US"/>
              </w:rPr>
              <w:lastRenderedPageBreak/>
              <w:t>..</w:t>
            </w:r>
          </w:p>
        </w:tc>
        <w:tc>
          <w:tcPr>
            <w:tcW w:w="1174" w:type="pct"/>
            <w:shd w:val="clear" w:color="auto" w:fill="auto"/>
            <w:vAlign w:val="center"/>
          </w:tcPr>
          <w:p w14:paraId="036F4BFF" w14:textId="77777777" w:rsidR="00473D42" w:rsidRPr="00B0658A" w:rsidRDefault="00473D42" w:rsidP="00004A41">
            <w:pPr>
              <w:spacing w:after="0" w:line="240" w:lineRule="auto"/>
              <w:rPr>
                <w:rFonts w:ascii="Times New Roman" w:hAnsi="Times New Roman"/>
                <w:i/>
                <w:iCs/>
                <w:sz w:val="20"/>
                <w:szCs w:val="20"/>
              </w:rPr>
            </w:pPr>
          </w:p>
        </w:tc>
        <w:tc>
          <w:tcPr>
            <w:tcW w:w="508" w:type="pct"/>
          </w:tcPr>
          <w:p w14:paraId="5FC33433" w14:textId="77777777" w:rsidR="00473D42" w:rsidRPr="00B0658A" w:rsidRDefault="00473D42" w:rsidP="00004A41">
            <w:pPr>
              <w:spacing w:after="0" w:line="240" w:lineRule="auto"/>
              <w:rPr>
                <w:rFonts w:ascii="Times New Roman" w:hAnsi="Times New Roman"/>
                <w:i/>
                <w:iCs/>
                <w:sz w:val="20"/>
                <w:szCs w:val="20"/>
              </w:rPr>
            </w:pPr>
          </w:p>
        </w:tc>
        <w:tc>
          <w:tcPr>
            <w:tcW w:w="1118" w:type="pct"/>
            <w:shd w:val="clear" w:color="auto" w:fill="auto"/>
          </w:tcPr>
          <w:p w14:paraId="5EB67C11" w14:textId="77777777" w:rsidR="00473D42" w:rsidRPr="00B0658A" w:rsidRDefault="00473D42" w:rsidP="00004A41">
            <w:pPr>
              <w:spacing w:after="0" w:line="240" w:lineRule="auto"/>
              <w:rPr>
                <w:rFonts w:ascii="Times New Roman" w:hAnsi="Times New Roman"/>
                <w:i/>
                <w:iCs/>
                <w:sz w:val="20"/>
                <w:szCs w:val="20"/>
              </w:rPr>
            </w:pPr>
          </w:p>
        </w:tc>
        <w:tc>
          <w:tcPr>
            <w:tcW w:w="1062" w:type="pct"/>
            <w:shd w:val="clear" w:color="auto" w:fill="auto"/>
          </w:tcPr>
          <w:p w14:paraId="19C27577" w14:textId="77777777" w:rsidR="00473D42" w:rsidRPr="00B0658A" w:rsidRDefault="00473D42" w:rsidP="00004A41">
            <w:pPr>
              <w:spacing w:after="0" w:line="240" w:lineRule="auto"/>
              <w:rPr>
                <w:rFonts w:ascii="Times New Roman" w:hAnsi="Times New Roman"/>
                <w:i/>
                <w:iCs/>
                <w:sz w:val="20"/>
                <w:szCs w:val="20"/>
              </w:rPr>
            </w:pPr>
          </w:p>
        </w:tc>
        <w:tc>
          <w:tcPr>
            <w:tcW w:w="941" w:type="pct"/>
            <w:shd w:val="clear" w:color="auto" w:fill="auto"/>
          </w:tcPr>
          <w:p w14:paraId="54210F2D" w14:textId="77777777" w:rsidR="00473D42" w:rsidRPr="00B0658A" w:rsidRDefault="00473D42" w:rsidP="00004A41">
            <w:pPr>
              <w:spacing w:after="0" w:line="240" w:lineRule="auto"/>
              <w:jc w:val="both"/>
              <w:rPr>
                <w:rFonts w:ascii="Times New Roman" w:hAnsi="Times New Roman"/>
                <w:i/>
                <w:iCs/>
                <w:sz w:val="20"/>
                <w:szCs w:val="20"/>
              </w:rPr>
            </w:pPr>
          </w:p>
        </w:tc>
      </w:tr>
      <w:tr w:rsidR="00F52FED" w:rsidRPr="00B0658A" w14:paraId="6D090D85" w14:textId="77777777" w:rsidTr="003B269F">
        <w:trPr>
          <w:trHeight w:val="170"/>
        </w:trPr>
        <w:tc>
          <w:tcPr>
            <w:tcW w:w="197" w:type="pct"/>
            <w:shd w:val="clear" w:color="auto" w:fill="auto"/>
            <w:vAlign w:val="center"/>
          </w:tcPr>
          <w:p w14:paraId="010EFF02" w14:textId="77777777" w:rsidR="00473D42" w:rsidRPr="00B0658A" w:rsidRDefault="00473D42" w:rsidP="00004A41">
            <w:pPr>
              <w:spacing w:after="0" w:line="240" w:lineRule="auto"/>
              <w:rPr>
                <w:rFonts w:ascii="Times New Roman" w:hAnsi="Times New Roman"/>
                <w:sz w:val="20"/>
                <w:szCs w:val="20"/>
              </w:rPr>
            </w:pPr>
            <w:r w:rsidRPr="00B0658A">
              <w:rPr>
                <w:rFonts w:ascii="Times New Roman" w:hAnsi="Times New Roman"/>
                <w:sz w:val="20"/>
                <w:szCs w:val="20"/>
                <w:lang w:val="en-US"/>
              </w:rPr>
              <w:t>2</w:t>
            </w:r>
            <w:r w:rsidRPr="00B0658A">
              <w:rPr>
                <w:rFonts w:ascii="Times New Roman" w:hAnsi="Times New Roman"/>
                <w:sz w:val="20"/>
                <w:szCs w:val="20"/>
              </w:rPr>
              <w:t>.</w:t>
            </w:r>
            <w:r w:rsidRPr="00B0658A">
              <w:rPr>
                <w:rFonts w:ascii="Times New Roman" w:hAnsi="Times New Roman"/>
                <w:sz w:val="20"/>
                <w:szCs w:val="20"/>
                <w:lang w:val="en-US"/>
              </w:rPr>
              <w:t>n</w:t>
            </w:r>
          </w:p>
        </w:tc>
        <w:tc>
          <w:tcPr>
            <w:tcW w:w="1174" w:type="pct"/>
            <w:shd w:val="clear" w:color="auto" w:fill="auto"/>
            <w:vAlign w:val="center"/>
          </w:tcPr>
          <w:p w14:paraId="3759B2F0" w14:textId="77777777" w:rsidR="00473D42" w:rsidRPr="00B0658A" w:rsidRDefault="00473D42" w:rsidP="00004A41">
            <w:pPr>
              <w:spacing w:after="0" w:line="240" w:lineRule="auto"/>
              <w:rPr>
                <w:rFonts w:ascii="Times New Roman" w:hAnsi="Times New Roman"/>
                <w:i/>
                <w:iCs/>
                <w:sz w:val="20"/>
                <w:szCs w:val="20"/>
              </w:rPr>
            </w:pPr>
            <w:r w:rsidRPr="00B0658A">
              <w:rPr>
                <w:rFonts w:ascii="Times New Roman" w:hAnsi="Times New Roman"/>
                <w:i/>
                <w:sz w:val="20"/>
                <w:szCs w:val="20"/>
              </w:rPr>
              <w:t xml:space="preserve">Указывается класс (тип) № </w:t>
            </w:r>
            <w:r w:rsidRPr="00B0658A">
              <w:rPr>
                <w:rFonts w:ascii="Times New Roman" w:hAnsi="Times New Roman"/>
                <w:i/>
                <w:sz w:val="20"/>
                <w:szCs w:val="20"/>
                <w:lang w:val="en-US"/>
              </w:rPr>
              <w:t>n</w:t>
            </w:r>
            <w:r w:rsidRPr="00B0658A">
              <w:rPr>
                <w:rFonts w:ascii="Times New Roman" w:hAnsi="Times New Roman"/>
                <w:i/>
                <w:sz w:val="20"/>
                <w:szCs w:val="20"/>
              </w:rPr>
              <w:t xml:space="preserve"> </w:t>
            </w:r>
            <w:r w:rsidR="00C57355" w:rsidRPr="00B0658A">
              <w:rPr>
                <w:rFonts w:ascii="Times New Roman" w:hAnsi="Times New Roman"/>
                <w:i/>
                <w:sz w:val="20"/>
                <w:szCs w:val="20"/>
              </w:rPr>
              <w:t>ПО</w:t>
            </w:r>
            <w:r w:rsidRPr="00B0658A">
              <w:rPr>
                <w:rFonts w:ascii="Times New Roman" w:hAnsi="Times New Roman"/>
                <w:i/>
                <w:sz w:val="20"/>
                <w:szCs w:val="20"/>
              </w:rPr>
              <w:t xml:space="preserve">, используемого на значимом объекте КИИ №2 в соответствии с утвержденным детализированным </w:t>
            </w:r>
            <w:r w:rsidRPr="00B0658A">
              <w:rPr>
                <w:rFonts w:ascii="Times New Roman" w:hAnsi="Times New Roman"/>
                <w:i/>
                <w:iCs/>
                <w:sz w:val="20"/>
                <w:szCs w:val="20"/>
              </w:rPr>
              <w:t>планом перехода органа государственной власти или государственного внебюджетного фонда на использование российского ПО на значимых объектах КИИ</w:t>
            </w:r>
          </w:p>
        </w:tc>
        <w:tc>
          <w:tcPr>
            <w:tcW w:w="508" w:type="pct"/>
          </w:tcPr>
          <w:p w14:paraId="07327869" w14:textId="77777777" w:rsidR="00473D42" w:rsidRPr="00B0658A" w:rsidRDefault="00473D42" w:rsidP="00004A41">
            <w:pPr>
              <w:spacing w:after="0" w:line="240" w:lineRule="auto"/>
              <w:rPr>
                <w:rFonts w:ascii="Times New Roman" w:hAnsi="Times New Roman"/>
                <w:i/>
                <w:iCs/>
                <w:sz w:val="20"/>
                <w:szCs w:val="20"/>
              </w:rPr>
            </w:pPr>
          </w:p>
        </w:tc>
        <w:tc>
          <w:tcPr>
            <w:tcW w:w="1118" w:type="pct"/>
            <w:shd w:val="clear" w:color="auto" w:fill="auto"/>
          </w:tcPr>
          <w:p w14:paraId="3641FD35" w14:textId="77777777" w:rsidR="00473D42" w:rsidRPr="00B0658A" w:rsidRDefault="00473D42" w:rsidP="00004A41">
            <w:pPr>
              <w:spacing w:after="0" w:line="240" w:lineRule="auto"/>
              <w:rPr>
                <w:rFonts w:ascii="Times New Roman" w:hAnsi="Times New Roman"/>
                <w:i/>
                <w:iCs/>
                <w:sz w:val="20"/>
                <w:szCs w:val="20"/>
              </w:rPr>
            </w:pPr>
          </w:p>
        </w:tc>
        <w:tc>
          <w:tcPr>
            <w:tcW w:w="1062" w:type="pct"/>
            <w:shd w:val="clear" w:color="auto" w:fill="auto"/>
          </w:tcPr>
          <w:p w14:paraId="1C9BA26A" w14:textId="77777777" w:rsidR="00473D42" w:rsidRPr="00B0658A" w:rsidRDefault="00473D42" w:rsidP="00004A41">
            <w:pPr>
              <w:spacing w:after="0" w:line="240" w:lineRule="auto"/>
              <w:rPr>
                <w:rFonts w:ascii="Times New Roman" w:hAnsi="Times New Roman"/>
                <w:i/>
                <w:iCs/>
                <w:sz w:val="20"/>
                <w:szCs w:val="20"/>
              </w:rPr>
            </w:pPr>
          </w:p>
        </w:tc>
        <w:tc>
          <w:tcPr>
            <w:tcW w:w="941" w:type="pct"/>
            <w:shd w:val="clear" w:color="auto" w:fill="auto"/>
          </w:tcPr>
          <w:p w14:paraId="19B26CEA" w14:textId="77777777" w:rsidR="00473D42" w:rsidRPr="00B0658A" w:rsidRDefault="00473D42" w:rsidP="00004A41">
            <w:pPr>
              <w:spacing w:after="0" w:line="240" w:lineRule="auto"/>
              <w:jc w:val="both"/>
              <w:rPr>
                <w:rFonts w:ascii="Times New Roman" w:hAnsi="Times New Roman"/>
                <w:i/>
                <w:iCs/>
                <w:sz w:val="20"/>
                <w:szCs w:val="20"/>
              </w:rPr>
            </w:pPr>
          </w:p>
        </w:tc>
      </w:tr>
      <w:tr w:rsidR="00F52FED" w:rsidRPr="00B0658A" w14:paraId="1FC16E17" w14:textId="77777777" w:rsidTr="003B269F">
        <w:trPr>
          <w:trHeight w:val="170"/>
        </w:trPr>
        <w:tc>
          <w:tcPr>
            <w:tcW w:w="197" w:type="pct"/>
            <w:shd w:val="clear" w:color="auto" w:fill="auto"/>
            <w:vAlign w:val="center"/>
          </w:tcPr>
          <w:p w14:paraId="0F589038" w14:textId="77777777" w:rsidR="00473D42" w:rsidRPr="00B0658A" w:rsidRDefault="00473D42" w:rsidP="00004A41">
            <w:pPr>
              <w:spacing w:after="0" w:line="240" w:lineRule="auto"/>
              <w:rPr>
                <w:rFonts w:ascii="Times New Roman" w:hAnsi="Times New Roman"/>
                <w:sz w:val="20"/>
                <w:szCs w:val="20"/>
                <w:lang w:val="en-US"/>
              </w:rPr>
            </w:pPr>
            <w:r w:rsidRPr="00B0658A">
              <w:rPr>
                <w:rFonts w:ascii="Times New Roman" w:hAnsi="Times New Roman"/>
                <w:sz w:val="20"/>
                <w:szCs w:val="20"/>
                <w:lang w:val="en-US"/>
              </w:rPr>
              <w:t>…</w:t>
            </w:r>
          </w:p>
        </w:tc>
        <w:tc>
          <w:tcPr>
            <w:tcW w:w="1174" w:type="pct"/>
            <w:shd w:val="clear" w:color="auto" w:fill="auto"/>
            <w:vAlign w:val="center"/>
          </w:tcPr>
          <w:p w14:paraId="53A17335" w14:textId="77777777" w:rsidR="00473D42" w:rsidRPr="00B0658A" w:rsidRDefault="00473D42" w:rsidP="00004A41">
            <w:pPr>
              <w:spacing w:after="0" w:line="240" w:lineRule="auto"/>
              <w:rPr>
                <w:rFonts w:ascii="Times New Roman" w:hAnsi="Times New Roman"/>
                <w:i/>
                <w:iCs/>
                <w:sz w:val="20"/>
                <w:szCs w:val="20"/>
              </w:rPr>
            </w:pPr>
          </w:p>
        </w:tc>
        <w:tc>
          <w:tcPr>
            <w:tcW w:w="508" w:type="pct"/>
          </w:tcPr>
          <w:p w14:paraId="73CDA14D" w14:textId="77777777" w:rsidR="00473D42" w:rsidRPr="00B0658A" w:rsidRDefault="00473D42" w:rsidP="00004A41">
            <w:pPr>
              <w:spacing w:after="0" w:line="240" w:lineRule="auto"/>
              <w:rPr>
                <w:rFonts w:ascii="Times New Roman" w:hAnsi="Times New Roman"/>
                <w:i/>
                <w:iCs/>
                <w:sz w:val="20"/>
                <w:szCs w:val="20"/>
              </w:rPr>
            </w:pPr>
          </w:p>
        </w:tc>
        <w:tc>
          <w:tcPr>
            <w:tcW w:w="1118" w:type="pct"/>
            <w:shd w:val="clear" w:color="auto" w:fill="auto"/>
          </w:tcPr>
          <w:p w14:paraId="32B1FA23" w14:textId="77777777" w:rsidR="00473D42" w:rsidRPr="00B0658A" w:rsidRDefault="00473D42" w:rsidP="00004A41">
            <w:pPr>
              <w:spacing w:after="0" w:line="240" w:lineRule="auto"/>
              <w:rPr>
                <w:rFonts w:ascii="Times New Roman" w:hAnsi="Times New Roman"/>
                <w:i/>
                <w:iCs/>
                <w:sz w:val="20"/>
                <w:szCs w:val="20"/>
              </w:rPr>
            </w:pPr>
          </w:p>
        </w:tc>
        <w:tc>
          <w:tcPr>
            <w:tcW w:w="1062" w:type="pct"/>
            <w:shd w:val="clear" w:color="auto" w:fill="auto"/>
          </w:tcPr>
          <w:p w14:paraId="70D5F198" w14:textId="77777777" w:rsidR="00473D42" w:rsidRPr="00B0658A" w:rsidRDefault="00473D42" w:rsidP="00004A41">
            <w:pPr>
              <w:spacing w:after="0" w:line="240" w:lineRule="auto"/>
              <w:rPr>
                <w:rFonts w:ascii="Times New Roman" w:hAnsi="Times New Roman"/>
                <w:i/>
                <w:iCs/>
                <w:sz w:val="20"/>
                <w:szCs w:val="20"/>
              </w:rPr>
            </w:pPr>
          </w:p>
        </w:tc>
        <w:tc>
          <w:tcPr>
            <w:tcW w:w="941" w:type="pct"/>
            <w:shd w:val="clear" w:color="auto" w:fill="auto"/>
          </w:tcPr>
          <w:p w14:paraId="5AA24F1A" w14:textId="77777777" w:rsidR="00473D42" w:rsidRPr="00B0658A" w:rsidRDefault="00473D42" w:rsidP="00004A41">
            <w:pPr>
              <w:spacing w:after="0" w:line="240" w:lineRule="auto"/>
              <w:jc w:val="both"/>
              <w:rPr>
                <w:rFonts w:ascii="Times New Roman" w:hAnsi="Times New Roman"/>
                <w:i/>
                <w:iCs/>
                <w:sz w:val="20"/>
                <w:szCs w:val="20"/>
              </w:rPr>
            </w:pPr>
          </w:p>
        </w:tc>
      </w:tr>
      <w:tr w:rsidR="00F52FED" w:rsidRPr="00B0658A" w14:paraId="28270351" w14:textId="77777777" w:rsidTr="00501AB2">
        <w:trPr>
          <w:trHeight w:val="170"/>
        </w:trPr>
        <w:tc>
          <w:tcPr>
            <w:tcW w:w="5000" w:type="pct"/>
            <w:gridSpan w:val="6"/>
            <w:shd w:val="clear" w:color="auto" w:fill="auto"/>
            <w:vAlign w:val="center"/>
          </w:tcPr>
          <w:p w14:paraId="5AA9336F" w14:textId="77777777" w:rsidR="00473D42" w:rsidRPr="00B0658A" w:rsidRDefault="00473D42" w:rsidP="00004A41">
            <w:pPr>
              <w:spacing w:after="0" w:line="240" w:lineRule="auto"/>
              <w:rPr>
                <w:rFonts w:ascii="Times New Roman" w:hAnsi="Times New Roman"/>
                <w:i/>
                <w:iCs/>
                <w:sz w:val="20"/>
                <w:szCs w:val="20"/>
              </w:rPr>
            </w:pPr>
            <w:r w:rsidRPr="00B0658A">
              <w:rPr>
                <w:rFonts w:ascii="Times New Roman" w:hAnsi="Times New Roman"/>
                <w:b/>
                <w:sz w:val="20"/>
                <w:szCs w:val="20"/>
                <w:lang w:val="en-US"/>
              </w:rPr>
              <w:t>N</w:t>
            </w:r>
            <w:r w:rsidRPr="00B0658A">
              <w:rPr>
                <w:rFonts w:ascii="Times New Roman" w:hAnsi="Times New Roman"/>
                <w:b/>
                <w:sz w:val="20"/>
                <w:szCs w:val="20"/>
              </w:rPr>
              <w:t>. Сведения о достижении показателей эффективности перехода в отношении ________ (наименование значимого объекта КИИ №</w:t>
            </w:r>
            <w:r w:rsidRPr="00B0658A">
              <w:rPr>
                <w:rFonts w:ascii="Times New Roman" w:hAnsi="Times New Roman"/>
                <w:b/>
                <w:sz w:val="20"/>
                <w:szCs w:val="20"/>
                <w:lang w:val="en-US"/>
              </w:rPr>
              <w:t>N</w:t>
            </w:r>
            <w:r w:rsidRPr="00B0658A">
              <w:rPr>
                <w:rFonts w:ascii="Times New Roman" w:hAnsi="Times New Roman"/>
                <w:b/>
                <w:sz w:val="20"/>
                <w:szCs w:val="20"/>
              </w:rPr>
              <w:t>)</w:t>
            </w:r>
          </w:p>
        </w:tc>
      </w:tr>
      <w:tr w:rsidR="00F52FED" w:rsidRPr="00B0658A" w14:paraId="1ADD9712" w14:textId="77777777" w:rsidTr="003B269F">
        <w:trPr>
          <w:trHeight w:val="170"/>
        </w:trPr>
        <w:tc>
          <w:tcPr>
            <w:tcW w:w="197" w:type="pct"/>
            <w:shd w:val="clear" w:color="auto" w:fill="auto"/>
            <w:vAlign w:val="center"/>
          </w:tcPr>
          <w:p w14:paraId="7BB6F3AB" w14:textId="77777777" w:rsidR="00473D42" w:rsidRPr="00B0658A" w:rsidRDefault="00473D42" w:rsidP="00004A41">
            <w:pPr>
              <w:spacing w:after="0" w:line="240" w:lineRule="auto"/>
              <w:rPr>
                <w:rFonts w:ascii="Times New Roman" w:hAnsi="Times New Roman"/>
                <w:sz w:val="20"/>
                <w:szCs w:val="20"/>
              </w:rPr>
            </w:pPr>
            <w:r w:rsidRPr="00B0658A">
              <w:rPr>
                <w:rFonts w:ascii="Times New Roman" w:hAnsi="Times New Roman"/>
                <w:sz w:val="20"/>
                <w:szCs w:val="20"/>
                <w:lang w:val="en-US"/>
              </w:rPr>
              <w:t>N</w:t>
            </w:r>
            <w:r w:rsidRPr="00B0658A">
              <w:rPr>
                <w:rFonts w:ascii="Times New Roman" w:hAnsi="Times New Roman"/>
                <w:sz w:val="20"/>
                <w:szCs w:val="20"/>
              </w:rPr>
              <w:t>.1</w:t>
            </w:r>
          </w:p>
        </w:tc>
        <w:tc>
          <w:tcPr>
            <w:tcW w:w="1174" w:type="pct"/>
            <w:shd w:val="clear" w:color="auto" w:fill="auto"/>
            <w:vAlign w:val="center"/>
          </w:tcPr>
          <w:p w14:paraId="34AEDEA2" w14:textId="77777777" w:rsidR="00473D42" w:rsidRPr="00B0658A" w:rsidRDefault="00473D42" w:rsidP="00004A41">
            <w:pPr>
              <w:spacing w:after="0" w:line="240" w:lineRule="auto"/>
              <w:rPr>
                <w:rFonts w:ascii="Times New Roman" w:hAnsi="Times New Roman"/>
                <w:i/>
                <w:iCs/>
                <w:sz w:val="20"/>
                <w:szCs w:val="20"/>
              </w:rPr>
            </w:pPr>
            <w:r w:rsidRPr="00B0658A">
              <w:rPr>
                <w:rFonts w:ascii="Times New Roman" w:hAnsi="Times New Roman"/>
                <w:i/>
                <w:sz w:val="20"/>
                <w:szCs w:val="20"/>
              </w:rPr>
              <w:t xml:space="preserve">Указывается класс (тип) №1 </w:t>
            </w:r>
            <w:r w:rsidR="00C57355" w:rsidRPr="00B0658A">
              <w:rPr>
                <w:rFonts w:ascii="Times New Roman" w:hAnsi="Times New Roman"/>
                <w:i/>
                <w:sz w:val="20"/>
                <w:szCs w:val="20"/>
              </w:rPr>
              <w:t>ПО</w:t>
            </w:r>
            <w:r w:rsidRPr="00B0658A">
              <w:rPr>
                <w:rFonts w:ascii="Times New Roman" w:hAnsi="Times New Roman"/>
                <w:i/>
                <w:sz w:val="20"/>
                <w:szCs w:val="20"/>
              </w:rPr>
              <w:t>, используемого на значимом объекте КИИ №</w:t>
            </w:r>
            <w:r w:rsidRPr="00B0658A">
              <w:rPr>
                <w:rFonts w:ascii="Times New Roman" w:hAnsi="Times New Roman"/>
                <w:i/>
                <w:sz w:val="20"/>
                <w:szCs w:val="20"/>
                <w:lang w:val="en-US"/>
              </w:rPr>
              <w:t>N</w:t>
            </w:r>
            <w:r w:rsidRPr="00B0658A">
              <w:rPr>
                <w:rFonts w:ascii="Times New Roman" w:hAnsi="Times New Roman"/>
                <w:i/>
                <w:sz w:val="20"/>
                <w:szCs w:val="20"/>
              </w:rPr>
              <w:t xml:space="preserve"> в соответствии с утвержденным</w:t>
            </w:r>
            <w:r w:rsidRPr="00B0658A">
              <w:rPr>
                <w:rFonts w:ascii="Times New Roman" w:hAnsi="Times New Roman"/>
                <w:i/>
                <w:iCs/>
                <w:sz w:val="20"/>
                <w:szCs w:val="20"/>
              </w:rPr>
              <w:t xml:space="preserve"> детализированным планом перехода органа государственной власти или государственного внебюджетного фонда на использование российского ПО на значимых объектах КИИ</w:t>
            </w:r>
          </w:p>
        </w:tc>
        <w:tc>
          <w:tcPr>
            <w:tcW w:w="508" w:type="pct"/>
          </w:tcPr>
          <w:p w14:paraId="339FBBE7" w14:textId="77777777" w:rsidR="00473D42" w:rsidRPr="00B0658A" w:rsidRDefault="00473D42" w:rsidP="00004A41">
            <w:pPr>
              <w:spacing w:after="0" w:line="240" w:lineRule="auto"/>
              <w:rPr>
                <w:rFonts w:ascii="Times New Roman" w:hAnsi="Times New Roman"/>
                <w:i/>
                <w:iCs/>
                <w:sz w:val="20"/>
                <w:szCs w:val="20"/>
              </w:rPr>
            </w:pPr>
          </w:p>
        </w:tc>
        <w:tc>
          <w:tcPr>
            <w:tcW w:w="1118" w:type="pct"/>
            <w:shd w:val="clear" w:color="auto" w:fill="auto"/>
          </w:tcPr>
          <w:p w14:paraId="11F85899" w14:textId="77777777" w:rsidR="00473D42" w:rsidRPr="00B0658A" w:rsidRDefault="00473D42" w:rsidP="00004A41">
            <w:pPr>
              <w:spacing w:after="0" w:line="240" w:lineRule="auto"/>
              <w:rPr>
                <w:rFonts w:ascii="Times New Roman" w:hAnsi="Times New Roman"/>
                <w:i/>
                <w:iCs/>
                <w:sz w:val="20"/>
                <w:szCs w:val="20"/>
              </w:rPr>
            </w:pPr>
          </w:p>
        </w:tc>
        <w:tc>
          <w:tcPr>
            <w:tcW w:w="1062" w:type="pct"/>
            <w:shd w:val="clear" w:color="auto" w:fill="auto"/>
          </w:tcPr>
          <w:p w14:paraId="7F6BAA96" w14:textId="77777777" w:rsidR="00473D42" w:rsidRPr="00B0658A" w:rsidRDefault="00473D42" w:rsidP="00004A41">
            <w:pPr>
              <w:spacing w:after="0" w:line="240" w:lineRule="auto"/>
              <w:rPr>
                <w:rFonts w:ascii="Times New Roman" w:hAnsi="Times New Roman"/>
                <w:i/>
                <w:iCs/>
                <w:sz w:val="20"/>
                <w:szCs w:val="20"/>
              </w:rPr>
            </w:pPr>
          </w:p>
        </w:tc>
        <w:tc>
          <w:tcPr>
            <w:tcW w:w="941" w:type="pct"/>
            <w:shd w:val="clear" w:color="auto" w:fill="auto"/>
          </w:tcPr>
          <w:p w14:paraId="607C47DB" w14:textId="77777777" w:rsidR="00473D42" w:rsidRPr="00B0658A" w:rsidRDefault="00473D42" w:rsidP="00004A41">
            <w:pPr>
              <w:spacing w:after="0" w:line="240" w:lineRule="auto"/>
              <w:jc w:val="both"/>
              <w:rPr>
                <w:rFonts w:ascii="Times New Roman" w:hAnsi="Times New Roman"/>
                <w:i/>
                <w:iCs/>
                <w:sz w:val="20"/>
                <w:szCs w:val="20"/>
              </w:rPr>
            </w:pPr>
          </w:p>
        </w:tc>
      </w:tr>
      <w:tr w:rsidR="00F52FED" w:rsidRPr="00B0658A" w14:paraId="4556E03F" w14:textId="77777777" w:rsidTr="003B269F">
        <w:trPr>
          <w:trHeight w:val="170"/>
        </w:trPr>
        <w:tc>
          <w:tcPr>
            <w:tcW w:w="197" w:type="pct"/>
            <w:shd w:val="clear" w:color="auto" w:fill="auto"/>
            <w:vAlign w:val="center"/>
          </w:tcPr>
          <w:p w14:paraId="41F94057" w14:textId="77777777" w:rsidR="00473D42" w:rsidRPr="00B0658A" w:rsidRDefault="00473D42" w:rsidP="00004A41">
            <w:pPr>
              <w:spacing w:after="0" w:line="240" w:lineRule="auto"/>
              <w:rPr>
                <w:rFonts w:ascii="Times New Roman" w:hAnsi="Times New Roman"/>
                <w:sz w:val="20"/>
                <w:szCs w:val="20"/>
              </w:rPr>
            </w:pPr>
            <w:r w:rsidRPr="00B0658A">
              <w:rPr>
                <w:rFonts w:ascii="Times New Roman" w:hAnsi="Times New Roman"/>
                <w:sz w:val="20"/>
                <w:szCs w:val="20"/>
              </w:rPr>
              <w:t>N.</w:t>
            </w:r>
            <w:r w:rsidRPr="00B0658A">
              <w:rPr>
                <w:rFonts w:ascii="Times New Roman" w:hAnsi="Times New Roman"/>
                <w:sz w:val="20"/>
                <w:szCs w:val="20"/>
                <w:lang w:val="en-US"/>
              </w:rPr>
              <w:t>2</w:t>
            </w:r>
          </w:p>
        </w:tc>
        <w:tc>
          <w:tcPr>
            <w:tcW w:w="1174" w:type="pct"/>
            <w:shd w:val="clear" w:color="auto" w:fill="auto"/>
            <w:vAlign w:val="center"/>
          </w:tcPr>
          <w:p w14:paraId="1226294B" w14:textId="77777777" w:rsidR="00473D42" w:rsidRPr="00B0658A" w:rsidRDefault="00473D42" w:rsidP="00004A41">
            <w:pPr>
              <w:spacing w:after="0" w:line="240" w:lineRule="auto"/>
              <w:rPr>
                <w:rFonts w:ascii="Times New Roman" w:hAnsi="Times New Roman"/>
                <w:i/>
                <w:iCs/>
                <w:sz w:val="20"/>
                <w:szCs w:val="20"/>
              </w:rPr>
            </w:pPr>
            <w:r w:rsidRPr="00B0658A">
              <w:rPr>
                <w:rFonts w:ascii="Times New Roman" w:hAnsi="Times New Roman"/>
                <w:i/>
                <w:sz w:val="20"/>
                <w:szCs w:val="20"/>
              </w:rPr>
              <w:t xml:space="preserve">Указывается класс (тип) №2 </w:t>
            </w:r>
            <w:r w:rsidR="00C57355" w:rsidRPr="00B0658A">
              <w:rPr>
                <w:rFonts w:ascii="Times New Roman" w:hAnsi="Times New Roman"/>
                <w:i/>
                <w:sz w:val="20"/>
                <w:szCs w:val="20"/>
              </w:rPr>
              <w:t>ПО</w:t>
            </w:r>
            <w:r w:rsidRPr="00B0658A">
              <w:rPr>
                <w:rFonts w:ascii="Times New Roman" w:hAnsi="Times New Roman"/>
                <w:i/>
                <w:sz w:val="20"/>
                <w:szCs w:val="20"/>
              </w:rPr>
              <w:t>, используемого на значимом объекте КИИ №</w:t>
            </w:r>
            <w:r w:rsidRPr="00B0658A">
              <w:rPr>
                <w:rFonts w:ascii="Times New Roman" w:hAnsi="Times New Roman"/>
                <w:i/>
                <w:sz w:val="20"/>
                <w:szCs w:val="20"/>
                <w:lang w:val="en-US"/>
              </w:rPr>
              <w:t>N</w:t>
            </w:r>
            <w:r w:rsidRPr="00B0658A">
              <w:rPr>
                <w:rFonts w:ascii="Times New Roman" w:hAnsi="Times New Roman"/>
                <w:i/>
                <w:sz w:val="20"/>
                <w:szCs w:val="20"/>
              </w:rPr>
              <w:t xml:space="preserve"> в соответствии с утвержденным детализированным </w:t>
            </w:r>
            <w:r w:rsidRPr="00B0658A">
              <w:rPr>
                <w:rFonts w:ascii="Times New Roman" w:hAnsi="Times New Roman"/>
                <w:i/>
                <w:iCs/>
                <w:sz w:val="20"/>
                <w:szCs w:val="20"/>
              </w:rPr>
              <w:t>планом перехода органа государственной власти или государственного внебюджетного фонда на использование российского ПО на значимых объектах КИИ</w:t>
            </w:r>
          </w:p>
        </w:tc>
        <w:tc>
          <w:tcPr>
            <w:tcW w:w="508" w:type="pct"/>
          </w:tcPr>
          <w:p w14:paraId="5D0AD3FF" w14:textId="77777777" w:rsidR="00473D42" w:rsidRPr="00B0658A" w:rsidRDefault="00473D42" w:rsidP="00004A41">
            <w:pPr>
              <w:spacing w:after="0" w:line="240" w:lineRule="auto"/>
              <w:rPr>
                <w:rFonts w:ascii="Times New Roman" w:hAnsi="Times New Roman"/>
                <w:i/>
                <w:iCs/>
                <w:sz w:val="20"/>
                <w:szCs w:val="20"/>
              </w:rPr>
            </w:pPr>
          </w:p>
        </w:tc>
        <w:tc>
          <w:tcPr>
            <w:tcW w:w="1118" w:type="pct"/>
            <w:shd w:val="clear" w:color="auto" w:fill="auto"/>
          </w:tcPr>
          <w:p w14:paraId="0373CEDB" w14:textId="77777777" w:rsidR="00473D42" w:rsidRPr="00B0658A" w:rsidRDefault="00473D42" w:rsidP="00004A41">
            <w:pPr>
              <w:spacing w:after="0" w:line="240" w:lineRule="auto"/>
              <w:rPr>
                <w:rFonts w:ascii="Times New Roman" w:hAnsi="Times New Roman"/>
                <w:i/>
                <w:iCs/>
                <w:sz w:val="20"/>
                <w:szCs w:val="20"/>
              </w:rPr>
            </w:pPr>
          </w:p>
        </w:tc>
        <w:tc>
          <w:tcPr>
            <w:tcW w:w="1062" w:type="pct"/>
            <w:shd w:val="clear" w:color="auto" w:fill="auto"/>
          </w:tcPr>
          <w:p w14:paraId="0CD36CA5" w14:textId="77777777" w:rsidR="00473D42" w:rsidRPr="00B0658A" w:rsidRDefault="00473D42" w:rsidP="00004A41">
            <w:pPr>
              <w:spacing w:after="0" w:line="240" w:lineRule="auto"/>
              <w:rPr>
                <w:rFonts w:ascii="Times New Roman" w:hAnsi="Times New Roman"/>
                <w:i/>
                <w:iCs/>
                <w:sz w:val="20"/>
                <w:szCs w:val="20"/>
              </w:rPr>
            </w:pPr>
          </w:p>
        </w:tc>
        <w:tc>
          <w:tcPr>
            <w:tcW w:w="941" w:type="pct"/>
            <w:shd w:val="clear" w:color="auto" w:fill="auto"/>
          </w:tcPr>
          <w:p w14:paraId="25FBBB8D" w14:textId="77777777" w:rsidR="00473D42" w:rsidRPr="00B0658A" w:rsidRDefault="00473D42" w:rsidP="00004A41">
            <w:pPr>
              <w:spacing w:after="0" w:line="240" w:lineRule="auto"/>
              <w:jc w:val="both"/>
              <w:rPr>
                <w:rFonts w:ascii="Times New Roman" w:hAnsi="Times New Roman"/>
                <w:i/>
                <w:iCs/>
                <w:sz w:val="20"/>
                <w:szCs w:val="20"/>
              </w:rPr>
            </w:pPr>
          </w:p>
        </w:tc>
      </w:tr>
      <w:tr w:rsidR="00F52FED" w:rsidRPr="00B0658A" w14:paraId="0E932413" w14:textId="77777777" w:rsidTr="003B269F">
        <w:trPr>
          <w:trHeight w:val="170"/>
        </w:trPr>
        <w:tc>
          <w:tcPr>
            <w:tcW w:w="197" w:type="pct"/>
            <w:shd w:val="clear" w:color="auto" w:fill="auto"/>
            <w:vAlign w:val="center"/>
          </w:tcPr>
          <w:p w14:paraId="30E5AA6D" w14:textId="77777777" w:rsidR="00473D42" w:rsidRPr="00B0658A" w:rsidRDefault="00473D42" w:rsidP="00004A41">
            <w:pPr>
              <w:spacing w:after="0" w:line="240" w:lineRule="auto"/>
              <w:rPr>
                <w:rFonts w:ascii="Times New Roman" w:hAnsi="Times New Roman"/>
                <w:sz w:val="20"/>
                <w:szCs w:val="20"/>
              </w:rPr>
            </w:pPr>
            <w:r w:rsidRPr="00B0658A">
              <w:rPr>
                <w:rFonts w:ascii="Times New Roman" w:hAnsi="Times New Roman"/>
                <w:sz w:val="20"/>
                <w:szCs w:val="20"/>
                <w:lang w:val="en-US"/>
              </w:rPr>
              <w:t>..</w:t>
            </w:r>
          </w:p>
        </w:tc>
        <w:tc>
          <w:tcPr>
            <w:tcW w:w="1174" w:type="pct"/>
            <w:shd w:val="clear" w:color="auto" w:fill="auto"/>
            <w:vAlign w:val="center"/>
          </w:tcPr>
          <w:p w14:paraId="75C7F3C2" w14:textId="77777777" w:rsidR="00473D42" w:rsidRPr="00B0658A" w:rsidRDefault="00473D42" w:rsidP="00004A41">
            <w:pPr>
              <w:spacing w:after="0" w:line="240" w:lineRule="auto"/>
              <w:rPr>
                <w:rFonts w:ascii="Times New Roman" w:hAnsi="Times New Roman"/>
                <w:i/>
                <w:iCs/>
                <w:sz w:val="20"/>
                <w:szCs w:val="20"/>
              </w:rPr>
            </w:pPr>
          </w:p>
        </w:tc>
        <w:tc>
          <w:tcPr>
            <w:tcW w:w="508" w:type="pct"/>
          </w:tcPr>
          <w:p w14:paraId="12DF435A" w14:textId="77777777" w:rsidR="00473D42" w:rsidRPr="00B0658A" w:rsidRDefault="00473D42" w:rsidP="00004A41">
            <w:pPr>
              <w:spacing w:after="0" w:line="240" w:lineRule="auto"/>
              <w:rPr>
                <w:rFonts w:ascii="Times New Roman" w:hAnsi="Times New Roman"/>
                <w:i/>
                <w:iCs/>
                <w:sz w:val="20"/>
                <w:szCs w:val="20"/>
              </w:rPr>
            </w:pPr>
          </w:p>
        </w:tc>
        <w:tc>
          <w:tcPr>
            <w:tcW w:w="1118" w:type="pct"/>
            <w:shd w:val="clear" w:color="auto" w:fill="auto"/>
          </w:tcPr>
          <w:p w14:paraId="1A27A080" w14:textId="77777777" w:rsidR="00473D42" w:rsidRPr="00B0658A" w:rsidRDefault="00473D42" w:rsidP="00004A41">
            <w:pPr>
              <w:spacing w:after="0" w:line="240" w:lineRule="auto"/>
              <w:rPr>
                <w:rFonts w:ascii="Times New Roman" w:hAnsi="Times New Roman"/>
                <w:i/>
                <w:iCs/>
                <w:sz w:val="20"/>
                <w:szCs w:val="20"/>
              </w:rPr>
            </w:pPr>
          </w:p>
        </w:tc>
        <w:tc>
          <w:tcPr>
            <w:tcW w:w="1062" w:type="pct"/>
            <w:shd w:val="clear" w:color="auto" w:fill="auto"/>
          </w:tcPr>
          <w:p w14:paraId="7D4508F1" w14:textId="77777777" w:rsidR="00473D42" w:rsidRPr="00B0658A" w:rsidRDefault="00473D42" w:rsidP="00004A41">
            <w:pPr>
              <w:spacing w:after="0" w:line="240" w:lineRule="auto"/>
              <w:rPr>
                <w:rFonts w:ascii="Times New Roman" w:hAnsi="Times New Roman"/>
                <w:i/>
                <w:iCs/>
                <w:sz w:val="20"/>
                <w:szCs w:val="20"/>
              </w:rPr>
            </w:pPr>
          </w:p>
        </w:tc>
        <w:tc>
          <w:tcPr>
            <w:tcW w:w="941" w:type="pct"/>
            <w:shd w:val="clear" w:color="auto" w:fill="auto"/>
          </w:tcPr>
          <w:p w14:paraId="5C74F977" w14:textId="77777777" w:rsidR="00473D42" w:rsidRPr="00B0658A" w:rsidRDefault="00473D42" w:rsidP="00004A41">
            <w:pPr>
              <w:spacing w:after="0" w:line="240" w:lineRule="auto"/>
              <w:jc w:val="both"/>
              <w:rPr>
                <w:rFonts w:ascii="Times New Roman" w:hAnsi="Times New Roman"/>
                <w:i/>
                <w:iCs/>
                <w:sz w:val="20"/>
                <w:szCs w:val="20"/>
              </w:rPr>
            </w:pPr>
          </w:p>
        </w:tc>
      </w:tr>
      <w:tr w:rsidR="00473D42" w:rsidRPr="00B0658A" w14:paraId="5F2970A0" w14:textId="77777777" w:rsidTr="003B269F">
        <w:trPr>
          <w:trHeight w:val="170"/>
        </w:trPr>
        <w:tc>
          <w:tcPr>
            <w:tcW w:w="197" w:type="pct"/>
            <w:shd w:val="clear" w:color="auto" w:fill="auto"/>
            <w:vAlign w:val="center"/>
          </w:tcPr>
          <w:p w14:paraId="3DDB9836" w14:textId="77777777" w:rsidR="00473D42" w:rsidRPr="00B0658A" w:rsidRDefault="00473D42" w:rsidP="00004A41">
            <w:pPr>
              <w:spacing w:after="0" w:line="240" w:lineRule="auto"/>
              <w:rPr>
                <w:rFonts w:ascii="Times New Roman" w:hAnsi="Times New Roman"/>
                <w:sz w:val="20"/>
                <w:szCs w:val="20"/>
              </w:rPr>
            </w:pPr>
            <w:r w:rsidRPr="00B0658A">
              <w:rPr>
                <w:rFonts w:ascii="Times New Roman" w:hAnsi="Times New Roman"/>
                <w:sz w:val="20"/>
                <w:szCs w:val="20"/>
              </w:rPr>
              <w:t>N.</w:t>
            </w:r>
            <w:r w:rsidRPr="00B0658A">
              <w:rPr>
                <w:rFonts w:ascii="Times New Roman" w:hAnsi="Times New Roman"/>
                <w:sz w:val="20"/>
                <w:szCs w:val="20"/>
                <w:lang w:val="en-US"/>
              </w:rPr>
              <w:t>n</w:t>
            </w:r>
          </w:p>
        </w:tc>
        <w:tc>
          <w:tcPr>
            <w:tcW w:w="1174" w:type="pct"/>
            <w:shd w:val="clear" w:color="auto" w:fill="auto"/>
            <w:vAlign w:val="center"/>
          </w:tcPr>
          <w:p w14:paraId="2C6B2902" w14:textId="77777777" w:rsidR="00473D42" w:rsidRPr="00B0658A" w:rsidRDefault="00473D42" w:rsidP="00004A41">
            <w:pPr>
              <w:spacing w:after="0" w:line="240" w:lineRule="auto"/>
              <w:rPr>
                <w:rFonts w:ascii="Times New Roman" w:hAnsi="Times New Roman"/>
                <w:i/>
                <w:iCs/>
                <w:sz w:val="20"/>
                <w:szCs w:val="20"/>
              </w:rPr>
            </w:pPr>
            <w:r w:rsidRPr="00B0658A">
              <w:rPr>
                <w:rFonts w:ascii="Times New Roman" w:hAnsi="Times New Roman"/>
                <w:i/>
                <w:sz w:val="20"/>
                <w:szCs w:val="20"/>
              </w:rPr>
              <w:t xml:space="preserve">Указывается класс (тип) № </w:t>
            </w:r>
            <w:r w:rsidRPr="00B0658A">
              <w:rPr>
                <w:rFonts w:ascii="Times New Roman" w:hAnsi="Times New Roman"/>
                <w:i/>
                <w:sz w:val="20"/>
                <w:szCs w:val="20"/>
                <w:lang w:val="en-US"/>
              </w:rPr>
              <w:t>n</w:t>
            </w:r>
            <w:r w:rsidRPr="00B0658A">
              <w:rPr>
                <w:rFonts w:ascii="Times New Roman" w:hAnsi="Times New Roman"/>
                <w:i/>
                <w:sz w:val="20"/>
                <w:szCs w:val="20"/>
              </w:rPr>
              <w:t xml:space="preserve"> </w:t>
            </w:r>
            <w:r w:rsidR="00C57355" w:rsidRPr="00B0658A">
              <w:rPr>
                <w:rFonts w:ascii="Times New Roman" w:hAnsi="Times New Roman"/>
                <w:i/>
                <w:sz w:val="20"/>
                <w:szCs w:val="20"/>
              </w:rPr>
              <w:t>ПО</w:t>
            </w:r>
            <w:r w:rsidRPr="00B0658A">
              <w:rPr>
                <w:rFonts w:ascii="Times New Roman" w:hAnsi="Times New Roman"/>
                <w:i/>
                <w:sz w:val="20"/>
                <w:szCs w:val="20"/>
              </w:rPr>
              <w:t>, используемого на значимом объекте КИИ №</w:t>
            </w:r>
            <w:r w:rsidRPr="00B0658A">
              <w:rPr>
                <w:rFonts w:ascii="Times New Roman" w:hAnsi="Times New Roman"/>
                <w:i/>
                <w:sz w:val="20"/>
                <w:szCs w:val="20"/>
                <w:lang w:val="en-US"/>
              </w:rPr>
              <w:t>N</w:t>
            </w:r>
            <w:r w:rsidRPr="00B0658A">
              <w:rPr>
                <w:rFonts w:ascii="Times New Roman" w:hAnsi="Times New Roman"/>
                <w:i/>
                <w:sz w:val="20"/>
                <w:szCs w:val="20"/>
              </w:rPr>
              <w:t xml:space="preserve"> в соответствии с утвержденным детализированным </w:t>
            </w:r>
            <w:r w:rsidRPr="00B0658A">
              <w:rPr>
                <w:rFonts w:ascii="Times New Roman" w:hAnsi="Times New Roman"/>
                <w:i/>
                <w:iCs/>
                <w:sz w:val="20"/>
                <w:szCs w:val="20"/>
              </w:rPr>
              <w:t>планом перехода органа государственной власти или государственного внебюджетного фонда на использование российского ПО на значимых объектах КИИ</w:t>
            </w:r>
          </w:p>
        </w:tc>
        <w:tc>
          <w:tcPr>
            <w:tcW w:w="508" w:type="pct"/>
          </w:tcPr>
          <w:p w14:paraId="2610FFF4" w14:textId="77777777" w:rsidR="00473D42" w:rsidRPr="00B0658A" w:rsidRDefault="00473D42" w:rsidP="00004A41">
            <w:pPr>
              <w:spacing w:after="0" w:line="240" w:lineRule="auto"/>
              <w:rPr>
                <w:rFonts w:ascii="Times New Roman" w:hAnsi="Times New Roman"/>
                <w:i/>
                <w:iCs/>
                <w:sz w:val="20"/>
                <w:szCs w:val="20"/>
              </w:rPr>
            </w:pPr>
          </w:p>
        </w:tc>
        <w:tc>
          <w:tcPr>
            <w:tcW w:w="1118" w:type="pct"/>
            <w:shd w:val="clear" w:color="auto" w:fill="auto"/>
          </w:tcPr>
          <w:p w14:paraId="7537FF64" w14:textId="77777777" w:rsidR="00473D42" w:rsidRPr="00B0658A" w:rsidRDefault="00473D42" w:rsidP="00004A41">
            <w:pPr>
              <w:spacing w:after="0" w:line="240" w:lineRule="auto"/>
              <w:rPr>
                <w:rFonts w:ascii="Times New Roman" w:hAnsi="Times New Roman"/>
                <w:i/>
                <w:iCs/>
                <w:sz w:val="20"/>
                <w:szCs w:val="20"/>
              </w:rPr>
            </w:pPr>
          </w:p>
        </w:tc>
        <w:tc>
          <w:tcPr>
            <w:tcW w:w="1062" w:type="pct"/>
            <w:shd w:val="clear" w:color="auto" w:fill="auto"/>
          </w:tcPr>
          <w:p w14:paraId="004D91AC" w14:textId="77777777" w:rsidR="00473D42" w:rsidRPr="00B0658A" w:rsidRDefault="00473D42" w:rsidP="00004A41">
            <w:pPr>
              <w:spacing w:after="0" w:line="240" w:lineRule="auto"/>
              <w:rPr>
                <w:rFonts w:ascii="Times New Roman" w:hAnsi="Times New Roman"/>
                <w:i/>
                <w:iCs/>
                <w:sz w:val="20"/>
                <w:szCs w:val="20"/>
              </w:rPr>
            </w:pPr>
          </w:p>
        </w:tc>
        <w:tc>
          <w:tcPr>
            <w:tcW w:w="941" w:type="pct"/>
            <w:shd w:val="clear" w:color="auto" w:fill="auto"/>
          </w:tcPr>
          <w:p w14:paraId="3ADA2E27" w14:textId="77777777" w:rsidR="00473D42" w:rsidRPr="00B0658A" w:rsidRDefault="00473D42" w:rsidP="00004A41">
            <w:pPr>
              <w:spacing w:after="0" w:line="240" w:lineRule="auto"/>
              <w:jc w:val="both"/>
              <w:rPr>
                <w:rFonts w:ascii="Times New Roman" w:hAnsi="Times New Roman"/>
                <w:i/>
                <w:iCs/>
                <w:sz w:val="20"/>
                <w:szCs w:val="20"/>
              </w:rPr>
            </w:pPr>
          </w:p>
        </w:tc>
      </w:tr>
    </w:tbl>
    <w:p w14:paraId="53D285E9" w14:textId="77777777" w:rsidR="003D6F9E" w:rsidRPr="00B0658A" w:rsidRDefault="00A97B77" w:rsidP="00A97B77">
      <w:pPr>
        <w:spacing w:after="0" w:line="240" w:lineRule="auto"/>
        <w:rPr>
          <w:rFonts w:ascii="Times New Roman" w:hAnsi="Times New Roman"/>
        </w:rPr>
      </w:pPr>
      <w:r>
        <w:rPr>
          <w:rFonts w:ascii="Times New Roman" w:hAnsi="Times New Roman"/>
        </w:rPr>
        <w:br w:type="page"/>
      </w:r>
    </w:p>
    <w:p w14:paraId="4E68290A" w14:textId="77777777" w:rsidR="003D6F9E" w:rsidRPr="00B0658A" w:rsidRDefault="003D6F9E" w:rsidP="003D6F9E">
      <w:pPr>
        <w:pStyle w:val="ConsPlusNormal"/>
        <w:spacing w:before="120"/>
        <w:jc w:val="center"/>
        <w:rPr>
          <w:sz w:val="32"/>
          <w:szCs w:val="32"/>
        </w:rPr>
      </w:pPr>
      <w:r w:rsidRPr="00B0658A">
        <w:rPr>
          <w:sz w:val="32"/>
          <w:szCs w:val="32"/>
        </w:rPr>
        <w:t>Сведения о реализации детализированного плана перевода используемых ______________ (полное наименование органа государственной власти или государственного внебюджетного фонда) государственных и ведомственных информационных систем на использование российского ПО на период 2022-2030 годы за  _______ год</w:t>
      </w:r>
    </w:p>
    <w:p w14:paraId="0CFB45F8" w14:textId="77777777" w:rsidR="008319FB" w:rsidRPr="00B0658A" w:rsidRDefault="008319FB" w:rsidP="008319FB">
      <w:pPr>
        <w:pStyle w:val="afd"/>
        <w:spacing w:line="240" w:lineRule="auto"/>
        <w:ind w:left="709"/>
        <w:jc w:val="both"/>
        <w:rPr>
          <w:rFonts w:ascii="Times New Roman" w:hAnsi="Times New Roman"/>
          <w:sz w:val="28"/>
          <w:szCs w:val="28"/>
        </w:rPr>
      </w:pPr>
    </w:p>
    <w:p w14:paraId="1EB7ECB3" w14:textId="77777777" w:rsidR="008319FB" w:rsidRPr="00B0658A" w:rsidRDefault="008319FB" w:rsidP="00AE26D3">
      <w:pPr>
        <w:pStyle w:val="afd"/>
        <w:numPr>
          <w:ilvl w:val="0"/>
          <w:numId w:val="19"/>
        </w:numPr>
        <w:spacing w:line="240" w:lineRule="auto"/>
        <w:ind w:left="0" w:firstLine="709"/>
        <w:jc w:val="both"/>
        <w:rPr>
          <w:rFonts w:ascii="Times New Roman" w:hAnsi="Times New Roman"/>
          <w:sz w:val="28"/>
          <w:szCs w:val="28"/>
        </w:rPr>
      </w:pPr>
      <w:r w:rsidRPr="00B0658A">
        <w:rPr>
          <w:rFonts w:ascii="Times New Roman" w:hAnsi="Times New Roman"/>
          <w:sz w:val="28"/>
          <w:szCs w:val="28"/>
        </w:rPr>
        <w:t xml:space="preserve">Сведения о реализации мероприятий по </w:t>
      </w:r>
      <w:r w:rsidR="001F10DB" w:rsidRPr="00B0658A">
        <w:rPr>
          <w:rFonts w:ascii="Times New Roman" w:hAnsi="Times New Roman"/>
          <w:sz w:val="28"/>
          <w:szCs w:val="28"/>
        </w:rPr>
        <w:t>переводу</w:t>
      </w:r>
      <w:r w:rsidRPr="00B0658A">
        <w:rPr>
          <w:rFonts w:ascii="Times New Roman" w:hAnsi="Times New Roman"/>
          <w:sz w:val="28"/>
          <w:szCs w:val="28"/>
        </w:rPr>
        <w:t xml:space="preserve"> государственных и ведомственных информационных систем на использование российского ПО</w:t>
      </w:r>
    </w:p>
    <w:tbl>
      <w:tblPr>
        <w:tblStyle w:val="32"/>
        <w:tblW w:w="5000" w:type="pct"/>
        <w:tblLook w:val="04A0" w:firstRow="1" w:lastRow="0" w:firstColumn="1" w:lastColumn="0" w:noHBand="0" w:noVBand="1"/>
      </w:tblPr>
      <w:tblGrid>
        <w:gridCol w:w="511"/>
        <w:gridCol w:w="2482"/>
        <w:gridCol w:w="2541"/>
        <w:gridCol w:w="2357"/>
        <w:gridCol w:w="2742"/>
        <w:gridCol w:w="3311"/>
      </w:tblGrid>
      <w:tr w:rsidR="00F52FED" w:rsidRPr="00B0658A" w14:paraId="781DEA4D" w14:textId="77777777" w:rsidTr="00F57B1F">
        <w:trPr>
          <w:trHeight w:val="20"/>
          <w:tblHeader/>
        </w:trPr>
        <w:tc>
          <w:tcPr>
            <w:tcW w:w="174" w:type="pct"/>
          </w:tcPr>
          <w:p w14:paraId="11004BF2" w14:textId="77777777" w:rsidR="00AE26D3" w:rsidRPr="00B0658A" w:rsidRDefault="00AE26D3" w:rsidP="00004A41">
            <w:pPr>
              <w:spacing w:after="0" w:line="240" w:lineRule="auto"/>
              <w:jc w:val="center"/>
              <w:rPr>
                <w:rFonts w:ascii="Times New Roman"/>
                <w:b/>
                <w:bCs/>
                <w:color w:val="auto"/>
                <w:sz w:val="20"/>
                <w:szCs w:val="20"/>
              </w:rPr>
            </w:pPr>
            <w:r w:rsidRPr="00B0658A">
              <w:rPr>
                <w:rFonts w:ascii="Times New Roman"/>
                <w:b/>
                <w:bCs/>
                <w:color w:val="auto"/>
                <w:sz w:val="20"/>
                <w:szCs w:val="20"/>
              </w:rPr>
              <w:t>№</w:t>
            </w:r>
          </w:p>
        </w:tc>
        <w:tc>
          <w:tcPr>
            <w:tcW w:w="892" w:type="pct"/>
          </w:tcPr>
          <w:p w14:paraId="536E503D" w14:textId="77777777" w:rsidR="00AE26D3" w:rsidRPr="00B0658A" w:rsidRDefault="00AE26D3" w:rsidP="00004A41">
            <w:pPr>
              <w:spacing w:after="0" w:line="240" w:lineRule="auto"/>
              <w:jc w:val="center"/>
              <w:rPr>
                <w:rFonts w:ascii="Times New Roman"/>
                <w:b/>
                <w:bCs/>
                <w:color w:val="auto"/>
                <w:sz w:val="20"/>
                <w:szCs w:val="20"/>
              </w:rPr>
            </w:pPr>
            <w:r w:rsidRPr="00B0658A">
              <w:rPr>
                <w:rFonts w:ascii="Times New Roman"/>
                <w:b/>
                <w:bCs/>
                <w:color w:val="auto"/>
                <w:sz w:val="20"/>
                <w:szCs w:val="20"/>
              </w:rPr>
              <w:t xml:space="preserve">Наименование мероприятий в соответствии с утвержденным детализированным планом </w:t>
            </w:r>
          </w:p>
        </w:tc>
        <w:tc>
          <w:tcPr>
            <w:tcW w:w="913" w:type="pct"/>
          </w:tcPr>
          <w:p w14:paraId="4A091F62" w14:textId="77777777" w:rsidR="00AE26D3" w:rsidRPr="00B0658A" w:rsidRDefault="00AE26D3" w:rsidP="00004A41">
            <w:pPr>
              <w:spacing w:after="0" w:line="240" w:lineRule="auto"/>
              <w:jc w:val="center"/>
              <w:rPr>
                <w:rFonts w:ascii="Times New Roman"/>
                <w:b/>
                <w:bCs/>
                <w:color w:val="auto"/>
                <w:sz w:val="20"/>
                <w:szCs w:val="20"/>
              </w:rPr>
            </w:pPr>
            <w:r w:rsidRPr="00B0658A">
              <w:rPr>
                <w:rFonts w:ascii="Times New Roman"/>
                <w:b/>
                <w:bCs/>
                <w:color w:val="auto"/>
                <w:sz w:val="20"/>
                <w:szCs w:val="20"/>
              </w:rPr>
              <w:t>Планируемый результат в соответствии с детализированным планом</w:t>
            </w:r>
          </w:p>
        </w:tc>
        <w:tc>
          <w:tcPr>
            <w:tcW w:w="847" w:type="pct"/>
          </w:tcPr>
          <w:p w14:paraId="5B05C9AB" w14:textId="77777777" w:rsidR="00AE26D3" w:rsidRPr="00B0658A" w:rsidRDefault="00AE26D3" w:rsidP="00004A41">
            <w:pPr>
              <w:spacing w:after="0" w:line="240" w:lineRule="auto"/>
              <w:jc w:val="center"/>
              <w:rPr>
                <w:rFonts w:ascii="Times New Roman"/>
                <w:b/>
                <w:bCs/>
                <w:color w:val="auto"/>
                <w:sz w:val="20"/>
                <w:szCs w:val="20"/>
              </w:rPr>
            </w:pPr>
            <w:r w:rsidRPr="00B0658A">
              <w:rPr>
                <w:rFonts w:ascii="Times New Roman"/>
                <w:b/>
                <w:bCs/>
                <w:color w:val="auto"/>
                <w:sz w:val="20"/>
                <w:szCs w:val="20"/>
              </w:rPr>
              <w:t>Сроки реализации запланированного мероприятия в соответствии с детализированным планом</w:t>
            </w:r>
          </w:p>
        </w:tc>
        <w:tc>
          <w:tcPr>
            <w:tcW w:w="985" w:type="pct"/>
          </w:tcPr>
          <w:p w14:paraId="08168183" w14:textId="77777777" w:rsidR="00AE26D3" w:rsidRPr="00B0658A" w:rsidRDefault="00AE26D3" w:rsidP="00004A41">
            <w:pPr>
              <w:spacing w:after="0" w:line="240" w:lineRule="auto"/>
              <w:jc w:val="center"/>
              <w:rPr>
                <w:rFonts w:ascii="Times New Roman"/>
                <w:b/>
                <w:bCs/>
                <w:color w:val="auto"/>
                <w:sz w:val="20"/>
                <w:szCs w:val="20"/>
              </w:rPr>
            </w:pPr>
            <w:r w:rsidRPr="00B0658A">
              <w:rPr>
                <w:rFonts w:ascii="Times New Roman"/>
                <w:b/>
                <w:bCs/>
                <w:color w:val="auto"/>
                <w:sz w:val="20"/>
                <w:szCs w:val="20"/>
              </w:rPr>
              <w:t>Статус выполнения мероприятия</w:t>
            </w:r>
          </w:p>
        </w:tc>
        <w:tc>
          <w:tcPr>
            <w:tcW w:w="1189" w:type="pct"/>
          </w:tcPr>
          <w:p w14:paraId="627330A4" w14:textId="77777777" w:rsidR="00AE26D3" w:rsidRPr="00B0658A" w:rsidRDefault="00AE26D3" w:rsidP="00004A41">
            <w:pPr>
              <w:spacing w:after="0" w:line="240" w:lineRule="auto"/>
              <w:jc w:val="center"/>
              <w:rPr>
                <w:rFonts w:ascii="Times New Roman"/>
                <w:b/>
                <w:bCs/>
                <w:color w:val="auto"/>
                <w:sz w:val="20"/>
                <w:szCs w:val="20"/>
              </w:rPr>
            </w:pPr>
            <w:r w:rsidRPr="00B0658A">
              <w:rPr>
                <w:rFonts w:ascii="Times New Roman"/>
                <w:b/>
                <w:bCs/>
                <w:color w:val="auto"/>
                <w:sz w:val="20"/>
                <w:szCs w:val="20"/>
              </w:rPr>
              <w:t>Описание достигнутого фактического результата</w:t>
            </w:r>
          </w:p>
        </w:tc>
      </w:tr>
      <w:tr w:rsidR="00F52FED" w:rsidRPr="00B0658A" w14:paraId="12E38A3C" w14:textId="77777777" w:rsidTr="00AF35BB">
        <w:trPr>
          <w:trHeight w:val="20"/>
        </w:trPr>
        <w:tc>
          <w:tcPr>
            <w:tcW w:w="5000" w:type="pct"/>
            <w:gridSpan w:val="6"/>
            <w:shd w:val="clear" w:color="auto" w:fill="D9E2F3" w:themeFill="accent1" w:themeFillTint="33"/>
            <w:vAlign w:val="center"/>
          </w:tcPr>
          <w:p w14:paraId="2EB28D4D" w14:textId="77777777" w:rsidR="00AE26D3" w:rsidRPr="00B0658A" w:rsidRDefault="00AE26D3" w:rsidP="00004A41">
            <w:pPr>
              <w:spacing w:after="0" w:line="240" w:lineRule="auto"/>
              <w:jc w:val="center"/>
              <w:rPr>
                <w:rFonts w:ascii="Times New Roman"/>
                <w:b/>
                <w:color w:val="auto"/>
                <w:sz w:val="20"/>
                <w:szCs w:val="20"/>
              </w:rPr>
            </w:pPr>
            <w:r w:rsidRPr="00B0658A">
              <w:rPr>
                <w:rFonts w:ascii="Times New Roman"/>
                <w:b/>
                <w:color w:val="auto"/>
                <w:sz w:val="20"/>
                <w:szCs w:val="20"/>
              </w:rPr>
              <w:t>Государственные и ведомственные информационные системы, подлежащие переводу на использование российского ПО до 31.12.2024 г.</w:t>
            </w:r>
          </w:p>
        </w:tc>
      </w:tr>
      <w:tr w:rsidR="00F52FED" w:rsidRPr="00B0658A" w14:paraId="7049A74D" w14:textId="77777777" w:rsidTr="00AF35BB">
        <w:trPr>
          <w:trHeight w:val="20"/>
        </w:trPr>
        <w:tc>
          <w:tcPr>
            <w:tcW w:w="5000" w:type="pct"/>
            <w:gridSpan w:val="6"/>
          </w:tcPr>
          <w:p w14:paraId="3E3AC94F" w14:textId="77777777" w:rsidR="00AE26D3" w:rsidRPr="00B0658A" w:rsidRDefault="00AE26D3" w:rsidP="00004A41">
            <w:pPr>
              <w:spacing w:after="0" w:line="240" w:lineRule="auto"/>
              <w:jc w:val="both"/>
              <w:rPr>
                <w:rFonts w:ascii="Times New Roman"/>
                <w:i/>
                <w:iCs/>
                <w:color w:val="auto"/>
                <w:sz w:val="20"/>
                <w:szCs w:val="20"/>
              </w:rPr>
            </w:pPr>
            <w:r w:rsidRPr="00B0658A">
              <w:rPr>
                <w:rFonts w:ascii="Times New Roman"/>
                <w:color w:val="auto"/>
                <w:sz w:val="20"/>
                <w:szCs w:val="20"/>
              </w:rPr>
              <w:t>1. Мероприятия по переводу ________ (наименование государственной или ведомственной информационной системы № 1) на использование российское ПО</w:t>
            </w:r>
          </w:p>
        </w:tc>
      </w:tr>
      <w:tr w:rsidR="00F52FED" w:rsidRPr="00B0658A" w14:paraId="55A6BE2E" w14:textId="77777777" w:rsidTr="00AF35BB">
        <w:trPr>
          <w:trHeight w:val="20"/>
        </w:trPr>
        <w:tc>
          <w:tcPr>
            <w:tcW w:w="174" w:type="pct"/>
          </w:tcPr>
          <w:p w14:paraId="54A41960" w14:textId="77777777" w:rsidR="00AE26D3" w:rsidRPr="00B0658A" w:rsidRDefault="00AE26D3" w:rsidP="00004A41">
            <w:pPr>
              <w:spacing w:after="0" w:line="240" w:lineRule="auto"/>
              <w:jc w:val="both"/>
              <w:rPr>
                <w:rFonts w:ascii="Times New Roman"/>
                <w:color w:val="auto"/>
                <w:sz w:val="20"/>
                <w:szCs w:val="20"/>
              </w:rPr>
            </w:pPr>
            <w:r w:rsidRPr="00B0658A">
              <w:rPr>
                <w:rFonts w:ascii="Times New Roman"/>
                <w:color w:val="auto"/>
                <w:sz w:val="20"/>
                <w:szCs w:val="20"/>
              </w:rPr>
              <w:t>1.1</w:t>
            </w:r>
          </w:p>
        </w:tc>
        <w:tc>
          <w:tcPr>
            <w:tcW w:w="892" w:type="pct"/>
          </w:tcPr>
          <w:p w14:paraId="366E6100" w14:textId="77777777" w:rsidR="00AE26D3" w:rsidRPr="00B0658A" w:rsidRDefault="00AE26D3" w:rsidP="00004A41">
            <w:pPr>
              <w:spacing w:after="0" w:line="240" w:lineRule="auto"/>
              <w:jc w:val="both"/>
              <w:rPr>
                <w:rFonts w:ascii="Times New Roman"/>
                <w:i/>
                <w:iCs/>
                <w:color w:val="auto"/>
                <w:sz w:val="20"/>
                <w:szCs w:val="20"/>
              </w:rPr>
            </w:pPr>
            <w:r w:rsidRPr="00B0658A">
              <w:rPr>
                <w:rFonts w:ascii="Times New Roman"/>
                <w:i/>
                <w:iCs/>
                <w:color w:val="auto"/>
                <w:sz w:val="20"/>
                <w:szCs w:val="20"/>
              </w:rPr>
              <w:t>Указывается наименование мероприятия в соответствии с утвержденным детализированным планом перевода государственных и ведомственных информационных систем на использование российского ПО</w:t>
            </w:r>
          </w:p>
          <w:p w14:paraId="438C10C5" w14:textId="77777777" w:rsidR="00AE26D3" w:rsidRPr="00B0658A" w:rsidRDefault="00AE26D3" w:rsidP="00004A41">
            <w:pPr>
              <w:pStyle w:val="ConsPlusNormal"/>
              <w:jc w:val="both"/>
              <w:rPr>
                <w:color w:val="auto"/>
                <w:sz w:val="20"/>
                <w:szCs w:val="20"/>
              </w:rPr>
            </w:pPr>
          </w:p>
          <w:p w14:paraId="6F6C3240" w14:textId="77777777" w:rsidR="00AE26D3" w:rsidRPr="00B0658A" w:rsidRDefault="00AE26D3" w:rsidP="00004A41">
            <w:pPr>
              <w:spacing w:after="0" w:line="240" w:lineRule="auto"/>
              <w:jc w:val="both"/>
              <w:rPr>
                <w:rFonts w:ascii="Times New Roman"/>
                <w:i/>
                <w:iCs/>
                <w:color w:val="auto"/>
                <w:sz w:val="20"/>
                <w:szCs w:val="20"/>
              </w:rPr>
            </w:pPr>
          </w:p>
        </w:tc>
        <w:tc>
          <w:tcPr>
            <w:tcW w:w="913" w:type="pct"/>
          </w:tcPr>
          <w:p w14:paraId="24D0B58A" w14:textId="77777777" w:rsidR="00AE26D3" w:rsidRPr="00B0658A" w:rsidRDefault="00AE26D3" w:rsidP="00004A41">
            <w:pPr>
              <w:spacing w:after="0" w:line="240" w:lineRule="auto"/>
              <w:jc w:val="both"/>
              <w:rPr>
                <w:rFonts w:ascii="Times New Roman"/>
                <w:color w:val="auto"/>
                <w:sz w:val="20"/>
                <w:szCs w:val="20"/>
              </w:rPr>
            </w:pPr>
            <w:r w:rsidRPr="00B0658A">
              <w:rPr>
                <w:rFonts w:ascii="Times New Roman"/>
                <w:i/>
                <w:iCs/>
                <w:color w:val="auto"/>
                <w:sz w:val="20"/>
                <w:szCs w:val="20"/>
              </w:rPr>
              <w:t>Указывается запланированный результат в соответствии с утвержденным детализированным планом перевода государственных и ведомственных информационных систем на использование российского ПО</w:t>
            </w:r>
            <w:r w:rsidRPr="00B0658A">
              <w:rPr>
                <w:rFonts w:ascii="Times New Roman"/>
                <w:color w:val="auto"/>
                <w:sz w:val="20"/>
                <w:szCs w:val="20"/>
              </w:rPr>
              <w:t xml:space="preserve"> </w:t>
            </w:r>
          </w:p>
        </w:tc>
        <w:tc>
          <w:tcPr>
            <w:tcW w:w="847" w:type="pct"/>
          </w:tcPr>
          <w:p w14:paraId="75D1455F" w14:textId="77777777" w:rsidR="00AE26D3" w:rsidRPr="00B0658A" w:rsidRDefault="00AE26D3" w:rsidP="00004A41">
            <w:pPr>
              <w:spacing w:after="0" w:line="240" w:lineRule="auto"/>
              <w:jc w:val="both"/>
              <w:rPr>
                <w:rFonts w:ascii="Times New Roman"/>
                <w:i/>
                <w:iCs/>
                <w:color w:val="auto"/>
                <w:sz w:val="20"/>
                <w:szCs w:val="20"/>
              </w:rPr>
            </w:pPr>
            <w:r w:rsidRPr="00B0658A">
              <w:rPr>
                <w:rFonts w:ascii="Times New Roman"/>
                <w:i/>
                <w:iCs/>
                <w:color w:val="auto"/>
                <w:sz w:val="20"/>
                <w:szCs w:val="20"/>
              </w:rPr>
              <w:t>Указывается срок реализации (период выполнения) в соответствии с утвержденным детализированным планом перевода государственных и ведомственных информационных систем на использование российского ПО</w:t>
            </w:r>
          </w:p>
          <w:p w14:paraId="785F5055" w14:textId="77777777" w:rsidR="00AE26D3" w:rsidRPr="00B0658A" w:rsidRDefault="00AE26D3" w:rsidP="00004A41">
            <w:pPr>
              <w:spacing w:after="0" w:line="240" w:lineRule="auto"/>
              <w:jc w:val="both"/>
              <w:rPr>
                <w:rFonts w:ascii="Times New Roman"/>
                <w:i/>
                <w:iCs/>
                <w:color w:val="auto"/>
                <w:sz w:val="20"/>
                <w:szCs w:val="20"/>
              </w:rPr>
            </w:pPr>
          </w:p>
        </w:tc>
        <w:tc>
          <w:tcPr>
            <w:tcW w:w="985" w:type="pct"/>
          </w:tcPr>
          <w:p w14:paraId="7B99D2C6" w14:textId="77777777" w:rsidR="00AE26D3" w:rsidRPr="00B0658A" w:rsidRDefault="00AE26D3" w:rsidP="00004A41">
            <w:pPr>
              <w:spacing w:after="0" w:line="240" w:lineRule="auto"/>
              <w:jc w:val="both"/>
              <w:rPr>
                <w:rFonts w:ascii="Times New Roman"/>
                <w:i/>
                <w:iCs/>
                <w:color w:val="auto"/>
                <w:sz w:val="20"/>
                <w:szCs w:val="20"/>
              </w:rPr>
            </w:pPr>
            <w:r w:rsidRPr="00B0658A">
              <w:rPr>
                <w:rFonts w:ascii="Times New Roman"/>
                <w:i/>
                <w:iCs/>
                <w:color w:val="auto"/>
                <w:sz w:val="20"/>
                <w:szCs w:val="20"/>
              </w:rPr>
              <w:t>Указывается статус: «выполнено» / «не выполнено».</w:t>
            </w:r>
          </w:p>
          <w:p w14:paraId="5737E68C" w14:textId="77777777" w:rsidR="00AE26D3" w:rsidRPr="00B0658A" w:rsidRDefault="00AE26D3" w:rsidP="00004A41">
            <w:pPr>
              <w:spacing w:after="0" w:line="240" w:lineRule="auto"/>
              <w:jc w:val="both"/>
              <w:rPr>
                <w:rFonts w:ascii="Times New Roman"/>
                <w:color w:val="auto"/>
                <w:sz w:val="20"/>
                <w:szCs w:val="20"/>
              </w:rPr>
            </w:pPr>
            <w:r w:rsidRPr="00B0658A">
              <w:rPr>
                <w:rFonts w:ascii="Times New Roman"/>
                <w:i/>
                <w:iCs/>
                <w:color w:val="auto"/>
                <w:sz w:val="20"/>
                <w:szCs w:val="20"/>
              </w:rPr>
              <w:t>Если мероприятие выполнено частично, то указывается статус «не выполнено»</w:t>
            </w:r>
          </w:p>
        </w:tc>
        <w:tc>
          <w:tcPr>
            <w:tcW w:w="1189" w:type="pct"/>
          </w:tcPr>
          <w:p w14:paraId="16946300" w14:textId="77777777" w:rsidR="00AE26D3" w:rsidRPr="00B0658A" w:rsidRDefault="00AE26D3" w:rsidP="00004A41">
            <w:pPr>
              <w:spacing w:after="0" w:line="240" w:lineRule="auto"/>
              <w:jc w:val="both"/>
              <w:rPr>
                <w:rFonts w:ascii="Times New Roman"/>
                <w:i/>
                <w:iCs/>
                <w:color w:val="auto"/>
                <w:sz w:val="20"/>
                <w:szCs w:val="20"/>
              </w:rPr>
            </w:pPr>
            <w:r w:rsidRPr="00B0658A">
              <w:rPr>
                <w:rFonts w:ascii="Times New Roman"/>
                <w:i/>
                <w:iCs/>
                <w:color w:val="auto"/>
                <w:sz w:val="20"/>
                <w:szCs w:val="20"/>
              </w:rPr>
              <w:t>Указывается достигнутый результат. В случае если мероприятие не было выполнено, либо результат выполнения мероприятия был достигнут не полностью, указываются причины невыполнения мероприятия (частичного выполнения мероприятия), а также срок, в который мероприятие будет реализовано и достигнут запланированный результат</w:t>
            </w:r>
          </w:p>
        </w:tc>
      </w:tr>
      <w:tr w:rsidR="00F52FED" w:rsidRPr="00B0658A" w14:paraId="369EC665" w14:textId="77777777" w:rsidTr="00AF35BB">
        <w:trPr>
          <w:trHeight w:val="20"/>
        </w:trPr>
        <w:tc>
          <w:tcPr>
            <w:tcW w:w="174" w:type="pct"/>
          </w:tcPr>
          <w:p w14:paraId="78DAD9FA" w14:textId="77777777" w:rsidR="00AE26D3" w:rsidRPr="00B0658A" w:rsidRDefault="00AE26D3" w:rsidP="00004A41">
            <w:pPr>
              <w:spacing w:after="0" w:line="240" w:lineRule="auto"/>
              <w:jc w:val="both"/>
              <w:rPr>
                <w:rFonts w:ascii="Times New Roman"/>
                <w:color w:val="auto"/>
                <w:sz w:val="20"/>
                <w:szCs w:val="20"/>
              </w:rPr>
            </w:pPr>
            <w:r w:rsidRPr="00B0658A">
              <w:rPr>
                <w:rFonts w:ascii="Times New Roman"/>
                <w:color w:val="auto"/>
                <w:sz w:val="20"/>
                <w:szCs w:val="20"/>
              </w:rPr>
              <w:t>1.2</w:t>
            </w:r>
          </w:p>
        </w:tc>
        <w:tc>
          <w:tcPr>
            <w:tcW w:w="892" w:type="pct"/>
          </w:tcPr>
          <w:p w14:paraId="7EE941E7" w14:textId="77777777" w:rsidR="00AE26D3" w:rsidRPr="00B0658A" w:rsidRDefault="00AE26D3" w:rsidP="00004A41">
            <w:pPr>
              <w:spacing w:after="0" w:line="240" w:lineRule="auto"/>
              <w:jc w:val="both"/>
              <w:rPr>
                <w:rFonts w:ascii="Times New Roman"/>
                <w:color w:val="auto"/>
                <w:sz w:val="20"/>
                <w:szCs w:val="20"/>
              </w:rPr>
            </w:pPr>
          </w:p>
        </w:tc>
        <w:tc>
          <w:tcPr>
            <w:tcW w:w="913" w:type="pct"/>
          </w:tcPr>
          <w:p w14:paraId="5592454F" w14:textId="77777777" w:rsidR="00AE26D3" w:rsidRPr="00B0658A" w:rsidRDefault="00AE26D3" w:rsidP="00004A41">
            <w:pPr>
              <w:spacing w:after="0" w:line="240" w:lineRule="auto"/>
              <w:jc w:val="both"/>
              <w:rPr>
                <w:rFonts w:ascii="Times New Roman"/>
                <w:color w:val="auto"/>
                <w:sz w:val="20"/>
                <w:szCs w:val="20"/>
              </w:rPr>
            </w:pPr>
          </w:p>
        </w:tc>
        <w:tc>
          <w:tcPr>
            <w:tcW w:w="847" w:type="pct"/>
          </w:tcPr>
          <w:p w14:paraId="6779D46B" w14:textId="77777777" w:rsidR="00AE26D3" w:rsidRPr="00B0658A" w:rsidRDefault="00AE26D3" w:rsidP="00004A41">
            <w:pPr>
              <w:spacing w:after="0" w:line="240" w:lineRule="auto"/>
              <w:jc w:val="both"/>
              <w:rPr>
                <w:rFonts w:ascii="Times New Roman"/>
                <w:color w:val="auto"/>
                <w:sz w:val="20"/>
                <w:szCs w:val="20"/>
              </w:rPr>
            </w:pPr>
          </w:p>
        </w:tc>
        <w:tc>
          <w:tcPr>
            <w:tcW w:w="985" w:type="pct"/>
          </w:tcPr>
          <w:p w14:paraId="47D6FC37" w14:textId="77777777" w:rsidR="00AE26D3" w:rsidRPr="00B0658A" w:rsidRDefault="00AE26D3" w:rsidP="00004A41">
            <w:pPr>
              <w:spacing w:after="0" w:line="240" w:lineRule="auto"/>
              <w:jc w:val="both"/>
              <w:rPr>
                <w:rFonts w:ascii="Times New Roman"/>
                <w:color w:val="auto"/>
                <w:sz w:val="20"/>
                <w:szCs w:val="20"/>
              </w:rPr>
            </w:pPr>
          </w:p>
        </w:tc>
        <w:tc>
          <w:tcPr>
            <w:tcW w:w="1189" w:type="pct"/>
          </w:tcPr>
          <w:p w14:paraId="1D96A0AD" w14:textId="77777777" w:rsidR="00AE26D3" w:rsidRPr="00B0658A" w:rsidRDefault="00AE26D3" w:rsidP="00004A41">
            <w:pPr>
              <w:spacing w:after="0" w:line="240" w:lineRule="auto"/>
              <w:jc w:val="both"/>
              <w:rPr>
                <w:rFonts w:ascii="Times New Roman"/>
                <w:color w:val="auto"/>
                <w:sz w:val="20"/>
                <w:szCs w:val="20"/>
              </w:rPr>
            </w:pPr>
          </w:p>
        </w:tc>
      </w:tr>
      <w:tr w:rsidR="00F52FED" w:rsidRPr="00B0658A" w14:paraId="0A119831" w14:textId="77777777" w:rsidTr="00AF35BB">
        <w:trPr>
          <w:trHeight w:val="20"/>
        </w:trPr>
        <w:tc>
          <w:tcPr>
            <w:tcW w:w="174" w:type="pct"/>
          </w:tcPr>
          <w:p w14:paraId="042DD75A" w14:textId="77777777" w:rsidR="00AE26D3" w:rsidRPr="00B0658A" w:rsidRDefault="00AE26D3" w:rsidP="00004A41">
            <w:pPr>
              <w:spacing w:after="0" w:line="240" w:lineRule="auto"/>
              <w:jc w:val="both"/>
              <w:rPr>
                <w:rFonts w:ascii="Times New Roman"/>
                <w:color w:val="auto"/>
                <w:sz w:val="20"/>
                <w:szCs w:val="20"/>
              </w:rPr>
            </w:pPr>
            <w:r w:rsidRPr="00B0658A">
              <w:rPr>
                <w:rFonts w:ascii="Times New Roman"/>
                <w:color w:val="auto"/>
                <w:sz w:val="20"/>
                <w:szCs w:val="20"/>
              </w:rPr>
              <w:t>…</w:t>
            </w:r>
          </w:p>
        </w:tc>
        <w:tc>
          <w:tcPr>
            <w:tcW w:w="892" w:type="pct"/>
          </w:tcPr>
          <w:p w14:paraId="6DAB562F" w14:textId="77777777" w:rsidR="00AE26D3" w:rsidRPr="00B0658A" w:rsidRDefault="00AE26D3" w:rsidP="00004A41">
            <w:pPr>
              <w:spacing w:after="0" w:line="240" w:lineRule="auto"/>
              <w:jc w:val="both"/>
              <w:rPr>
                <w:rFonts w:ascii="Times New Roman"/>
                <w:color w:val="auto"/>
                <w:sz w:val="20"/>
                <w:szCs w:val="20"/>
              </w:rPr>
            </w:pPr>
          </w:p>
        </w:tc>
        <w:tc>
          <w:tcPr>
            <w:tcW w:w="913" w:type="pct"/>
          </w:tcPr>
          <w:p w14:paraId="611635A5" w14:textId="77777777" w:rsidR="00AE26D3" w:rsidRPr="00B0658A" w:rsidRDefault="00AE26D3" w:rsidP="00004A41">
            <w:pPr>
              <w:spacing w:after="0" w:line="240" w:lineRule="auto"/>
              <w:jc w:val="both"/>
              <w:rPr>
                <w:rFonts w:ascii="Times New Roman"/>
                <w:color w:val="auto"/>
                <w:sz w:val="20"/>
                <w:szCs w:val="20"/>
              </w:rPr>
            </w:pPr>
          </w:p>
        </w:tc>
        <w:tc>
          <w:tcPr>
            <w:tcW w:w="847" w:type="pct"/>
          </w:tcPr>
          <w:p w14:paraId="2C14DC6D" w14:textId="77777777" w:rsidR="00AE26D3" w:rsidRPr="00B0658A" w:rsidRDefault="00AE26D3" w:rsidP="00004A41">
            <w:pPr>
              <w:spacing w:after="0" w:line="240" w:lineRule="auto"/>
              <w:jc w:val="both"/>
              <w:rPr>
                <w:rFonts w:ascii="Times New Roman"/>
                <w:color w:val="auto"/>
                <w:sz w:val="20"/>
                <w:szCs w:val="20"/>
              </w:rPr>
            </w:pPr>
          </w:p>
        </w:tc>
        <w:tc>
          <w:tcPr>
            <w:tcW w:w="985" w:type="pct"/>
          </w:tcPr>
          <w:p w14:paraId="37590123" w14:textId="77777777" w:rsidR="00AE26D3" w:rsidRPr="00B0658A" w:rsidRDefault="00AE26D3" w:rsidP="00004A41">
            <w:pPr>
              <w:spacing w:after="0" w:line="240" w:lineRule="auto"/>
              <w:jc w:val="both"/>
              <w:rPr>
                <w:rFonts w:ascii="Times New Roman"/>
                <w:color w:val="auto"/>
                <w:sz w:val="20"/>
                <w:szCs w:val="20"/>
              </w:rPr>
            </w:pPr>
          </w:p>
        </w:tc>
        <w:tc>
          <w:tcPr>
            <w:tcW w:w="1189" w:type="pct"/>
          </w:tcPr>
          <w:p w14:paraId="6C8D76C0" w14:textId="77777777" w:rsidR="00AE26D3" w:rsidRPr="00B0658A" w:rsidRDefault="00AE26D3" w:rsidP="00004A41">
            <w:pPr>
              <w:spacing w:after="0" w:line="240" w:lineRule="auto"/>
              <w:jc w:val="both"/>
              <w:rPr>
                <w:rFonts w:ascii="Times New Roman"/>
                <w:color w:val="auto"/>
                <w:sz w:val="20"/>
                <w:szCs w:val="20"/>
              </w:rPr>
            </w:pPr>
          </w:p>
        </w:tc>
      </w:tr>
      <w:tr w:rsidR="00F52FED" w:rsidRPr="00B0658A" w14:paraId="399C3A5C" w14:textId="77777777" w:rsidTr="00AF35BB">
        <w:trPr>
          <w:trHeight w:val="20"/>
        </w:trPr>
        <w:tc>
          <w:tcPr>
            <w:tcW w:w="5000" w:type="pct"/>
            <w:gridSpan w:val="6"/>
          </w:tcPr>
          <w:p w14:paraId="60084DC4" w14:textId="77777777" w:rsidR="00AE26D3" w:rsidRPr="00B0658A" w:rsidRDefault="00AE26D3" w:rsidP="00004A41">
            <w:pPr>
              <w:spacing w:after="0" w:line="240" w:lineRule="auto"/>
              <w:jc w:val="both"/>
              <w:rPr>
                <w:rFonts w:ascii="Times New Roman"/>
                <w:color w:val="auto"/>
                <w:sz w:val="20"/>
                <w:szCs w:val="20"/>
              </w:rPr>
            </w:pPr>
            <w:r w:rsidRPr="00B0658A">
              <w:rPr>
                <w:rFonts w:ascii="Times New Roman"/>
                <w:color w:val="auto"/>
                <w:sz w:val="20"/>
                <w:szCs w:val="20"/>
              </w:rPr>
              <w:t>2. Мероприятия по переводу ________ (наименование государственной или ведомственной информационной системы № 2) на использование российское ПО</w:t>
            </w:r>
          </w:p>
        </w:tc>
      </w:tr>
      <w:tr w:rsidR="00F52FED" w:rsidRPr="00B0658A" w14:paraId="1B7DA7C6" w14:textId="77777777" w:rsidTr="00AF35BB">
        <w:trPr>
          <w:trHeight w:val="20"/>
        </w:trPr>
        <w:tc>
          <w:tcPr>
            <w:tcW w:w="174" w:type="pct"/>
          </w:tcPr>
          <w:p w14:paraId="3977B350" w14:textId="77777777" w:rsidR="00AE26D3" w:rsidRPr="00B0658A" w:rsidRDefault="00AE26D3" w:rsidP="00004A41">
            <w:pPr>
              <w:spacing w:after="0" w:line="240" w:lineRule="auto"/>
              <w:jc w:val="both"/>
              <w:rPr>
                <w:rFonts w:ascii="Times New Roman"/>
                <w:color w:val="auto"/>
                <w:sz w:val="20"/>
                <w:szCs w:val="20"/>
                <w:lang w:val="en-US"/>
              </w:rPr>
            </w:pPr>
            <w:r w:rsidRPr="00B0658A">
              <w:rPr>
                <w:rFonts w:ascii="Times New Roman"/>
                <w:color w:val="auto"/>
                <w:sz w:val="20"/>
                <w:szCs w:val="20"/>
                <w:lang w:val="en-US"/>
              </w:rPr>
              <w:t>2.1</w:t>
            </w:r>
          </w:p>
        </w:tc>
        <w:tc>
          <w:tcPr>
            <w:tcW w:w="892" w:type="pct"/>
          </w:tcPr>
          <w:p w14:paraId="4026E060" w14:textId="77777777" w:rsidR="00AE26D3" w:rsidRPr="00B0658A" w:rsidRDefault="00AE26D3" w:rsidP="00004A41">
            <w:pPr>
              <w:spacing w:after="0" w:line="240" w:lineRule="auto"/>
              <w:jc w:val="both"/>
              <w:rPr>
                <w:rFonts w:ascii="Times New Roman"/>
                <w:color w:val="auto"/>
                <w:sz w:val="20"/>
                <w:szCs w:val="20"/>
              </w:rPr>
            </w:pPr>
          </w:p>
        </w:tc>
        <w:tc>
          <w:tcPr>
            <w:tcW w:w="913" w:type="pct"/>
          </w:tcPr>
          <w:p w14:paraId="2E7A9453" w14:textId="77777777" w:rsidR="00AE26D3" w:rsidRPr="00B0658A" w:rsidRDefault="00AE26D3" w:rsidP="00004A41">
            <w:pPr>
              <w:spacing w:after="0" w:line="240" w:lineRule="auto"/>
              <w:jc w:val="both"/>
              <w:rPr>
                <w:rFonts w:ascii="Times New Roman"/>
                <w:color w:val="auto"/>
                <w:sz w:val="20"/>
                <w:szCs w:val="20"/>
              </w:rPr>
            </w:pPr>
          </w:p>
        </w:tc>
        <w:tc>
          <w:tcPr>
            <w:tcW w:w="847" w:type="pct"/>
          </w:tcPr>
          <w:p w14:paraId="2F98F8A3" w14:textId="77777777" w:rsidR="00AE26D3" w:rsidRPr="00B0658A" w:rsidRDefault="00AE26D3" w:rsidP="00004A41">
            <w:pPr>
              <w:spacing w:after="0" w:line="240" w:lineRule="auto"/>
              <w:jc w:val="both"/>
              <w:rPr>
                <w:rFonts w:ascii="Times New Roman"/>
                <w:color w:val="auto"/>
                <w:sz w:val="20"/>
                <w:szCs w:val="20"/>
              </w:rPr>
            </w:pPr>
          </w:p>
        </w:tc>
        <w:tc>
          <w:tcPr>
            <w:tcW w:w="985" w:type="pct"/>
          </w:tcPr>
          <w:p w14:paraId="1A875FCE" w14:textId="77777777" w:rsidR="00AE26D3" w:rsidRPr="00B0658A" w:rsidRDefault="00AE26D3" w:rsidP="00004A41">
            <w:pPr>
              <w:spacing w:after="0" w:line="240" w:lineRule="auto"/>
              <w:jc w:val="both"/>
              <w:rPr>
                <w:rFonts w:ascii="Times New Roman"/>
                <w:color w:val="auto"/>
                <w:sz w:val="20"/>
                <w:szCs w:val="20"/>
              </w:rPr>
            </w:pPr>
          </w:p>
        </w:tc>
        <w:tc>
          <w:tcPr>
            <w:tcW w:w="1189" w:type="pct"/>
          </w:tcPr>
          <w:p w14:paraId="56732C77" w14:textId="77777777" w:rsidR="00AE26D3" w:rsidRPr="00B0658A" w:rsidRDefault="00AE26D3" w:rsidP="00004A41">
            <w:pPr>
              <w:spacing w:after="0" w:line="240" w:lineRule="auto"/>
              <w:jc w:val="both"/>
              <w:rPr>
                <w:rFonts w:ascii="Times New Roman"/>
                <w:color w:val="auto"/>
                <w:sz w:val="20"/>
                <w:szCs w:val="20"/>
              </w:rPr>
            </w:pPr>
          </w:p>
        </w:tc>
      </w:tr>
      <w:tr w:rsidR="00F52FED" w:rsidRPr="00B0658A" w14:paraId="67580B44" w14:textId="77777777" w:rsidTr="00AF35BB">
        <w:trPr>
          <w:trHeight w:val="20"/>
        </w:trPr>
        <w:tc>
          <w:tcPr>
            <w:tcW w:w="174" w:type="pct"/>
          </w:tcPr>
          <w:p w14:paraId="3E9A28E7" w14:textId="77777777" w:rsidR="00AE26D3" w:rsidRPr="00B0658A" w:rsidRDefault="00AE26D3" w:rsidP="00004A41">
            <w:pPr>
              <w:spacing w:after="0" w:line="240" w:lineRule="auto"/>
              <w:jc w:val="both"/>
              <w:rPr>
                <w:rFonts w:ascii="Times New Roman"/>
                <w:color w:val="auto"/>
                <w:sz w:val="20"/>
                <w:szCs w:val="20"/>
                <w:lang w:val="en-US"/>
              </w:rPr>
            </w:pPr>
            <w:r w:rsidRPr="00B0658A">
              <w:rPr>
                <w:rFonts w:ascii="Times New Roman"/>
                <w:color w:val="auto"/>
                <w:sz w:val="20"/>
                <w:szCs w:val="20"/>
                <w:lang w:val="en-US"/>
              </w:rPr>
              <w:t>2.2</w:t>
            </w:r>
          </w:p>
        </w:tc>
        <w:tc>
          <w:tcPr>
            <w:tcW w:w="892" w:type="pct"/>
          </w:tcPr>
          <w:p w14:paraId="3B1FF4D1" w14:textId="77777777" w:rsidR="00AE26D3" w:rsidRPr="00B0658A" w:rsidRDefault="00AE26D3" w:rsidP="00004A41">
            <w:pPr>
              <w:spacing w:after="0" w:line="240" w:lineRule="auto"/>
              <w:jc w:val="both"/>
              <w:rPr>
                <w:rFonts w:ascii="Times New Roman"/>
                <w:color w:val="auto"/>
                <w:sz w:val="20"/>
                <w:szCs w:val="20"/>
              </w:rPr>
            </w:pPr>
          </w:p>
        </w:tc>
        <w:tc>
          <w:tcPr>
            <w:tcW w:w="913" w:type="pct"/>
          </w:tcPr>
          <w:p w14:paraId="53FFDA07" w14:textId="77777777" w:rsidR="00AE26D3" w:rsidRPr="00B0658A" w:rsidRDefault="00AE26D3" w:rsidP="00004A41">
            <w:pPr>
              <w:spacing w:after="0" w:line="240" w:lineRule="auto"/>
              <w:jc w:val="both"/>
              <w:rPr>
                <w:rFonts w:ascii="Times New Roman"/>
                <w:color w:val="auto"/>
                <w:sz w:val="20"/>
                <w:szCs w:val="20"/>
              </w:rPr>
            </w:pPr>
          </w:p>
        </w:tc>
        <w:tc>
          <w:tcPr>
            <w:tcW w:w="847" w:type="pct"/>
          </w:tcPr>
          <w:p w14:paraId="195C3229" w14:textId="77777777" w:rsidR="00AE26D3" w:rsidRPr="00B0658A" w:rsidRDefault="00AE26D3" w:rsidP="00004A41">
            <w:pPr>
              <w:spacing w:after="0" w:line="240" w:lineRule="auto"/>
              <w:jc w:val="both"/>
              <w:rPr>
                <w:rFonts w:ascii="Times New Roman"/>
                <w:color w:val="auto"/>
                <w:sz w:val="20"/>
                <w:szCs w:val="20"/>
              </w:rPr>
            </w:pPr>
          </w:p>
        </w:tc>
        <w:tc>
          <w:tcPr>
            <w:tcW w:w="985" w:type="pct"/>
          </w:tcPr>
          <w:p w14:paraId="00FD0CCA" w14:textId="77777777" w:rsidR="00AE26D3" w:rsidRPr="00B0658A" w:rsidRDefault="00AE26D3" w:rsidP="00004A41">
            <w:pPr>
              <w:spacing w:after="0" w:line="240" w:lineRule="auto"/>
              <w:jc w:val="both"/>
              <w:rPr>
                <w:rFonts w:ascii="Times New Roman"/>
                <w:color w:val="auto"/>
                <w:sz w:val="20"/>
                <w:szCs w:val="20"/>
              </w:rPr>
            </w:pPr>
          </w:p>
        </w:tc>
        <w:tc>
          <w:tcPr>
            <w:tcW w:w="1189" w:type="pct"/>
          </w:tcPr>
          <w:p w14:paraId="06E05636" w14:textId="77777777" w:rsidR="00AE26D3" w:rsidRPr="00B0658A" w:rsidRDefault="00AE26D3" w:rsidP="00004A41">
            <w:pPr>
              <w:spacing w:after="0" w:line="240" w:lineRule="auto"/>
              <w:jc w:val="both"/>
              <w:rPr>
                <w:rFonts w:ascii="Times New Roman"/>
                <w:color w:val="auto"/>
                <w:sz w:val="20"/>
                <w:szCs w:val="20"/>
              </w:rPr>
            </w:pPr>
          </w:p>
        </w:tc>
      </w:tr>
      <w:tr w:rsidR="00F52FED" w:rsidRPr="00B0658A" w14:paraId="54E2444E" w14:textId="77777777" w:rsidTr="00AF35BB">
        <w:trPr>
          <w:trHeight w:val="20"/>
        </w:trPr>
        <w:tc>
          <w:tcPr>
            <w:tcW w:w="174" w:type="pct"/>
          </w:tcPr>
          <w:p w14:paraId="37B51724" w14:textId="77777777" w:rsidR="00AE26D3" w:rsidRPr="00B0658A" w:rsidRDefault="00AE26D3" w:rsidP="00004A41">
            <w:pPr>
              <w:spacing w:after="0" w:line="240" w:lineRule="auto"/>
              <w:jc w:val="both"/>
              <w:rPr>
                <w:rFonts w:ascii="Times New Roman"/>
                <w:color w:val="auto"/>
                <w:sz w:val="20"/>
                <w:szCs w:val="20"/>
                <w:lang w:val="en-US"/>
              </w:rPr>
            </w:pPr>
            <w:r w:rsidRPr="00B0658A">
              <w:rPr>
                <w:rFonts w:ascii="Times New Roman"/>
                <w:color w:val="auto"/>
                <w:sz w:val="20"/>
                <w:szCs w:val="20"/>
                <w:lang w:val="en-US"/>
              </w:rPr>
              <w:t>…</w:t>
            </w:r>
          </w:p>
        </w:tc>
        <w:tc>
          <w:tcPr>
            <w:tcW w:w="892" w:type="pct"/>
          </w:tcPr>
          <w:p w14:paraId="3945A3BC" w14:textId="77777777" w:rsidR="00AE26D3" w:rsidRPr="00B0658A" w:rsidRDefault="00AE26D3" w:rsidP="00004A41">
            <w:pPr>
              <w:spacing w:after="0" w:line="240" w:lineRule="auto"/>
              <w:jc w:val="both"/>
              <w:rPr>
                <w:rFonts w:ascii="Times New Roman"/>
                <w:color w:val="auto"/>
                <w:sz w:val="20"/>
                <w:szCs w:val="20"/>
              </w:rPr>
            </w:pPr>
          </w:p>
        </w:tc>
        <w:tc>
          <w:tcPr>
            <w:tcW w:w="913" w:type="pct"/>
          </w:tcPr>
          <w:p w14:paraId="3FA72D1A" w14:textId="77777777" w:rsidR="00AE26D3" w:rsidRPr="00B0658A" w:rsidRDefault="00AE26D3" w:rsidP="00004A41">
            <w:pPr>
              <w:spacing w:after="0" w:line="240" w:lineRule="auto"/>
              <w:jc w:val="both"/>
              <w:rPr>
                <w:rFonts w:ascii="Times New Roman"/>
                <w:color w:val="auto"/>
                <w:sz w:val="20"/>
                <w:szCs w:val="20"/>
              </w:rPr>
            </w:pPr>
          </w:p>
        </w:tc>
        <w:tc>
          <w:tcPr>
            <w:tcW w:w="847" w:type="pct"/>
          </w:tcPr>
          <w:p w14:paraId="0B7A1511" w14:textId="77777777" w:rsidR="00AE26D3" w:rsidRPr="00B0658A" w:rsidRDefault="00AE26D3" w:rsidP="00004A41">
            <w:pPr>
              <w:spacing w:after="0" w:line="240" w:lineRule="auto"/>
              <w:jc w:val="both"/>
              <w:rPr>
                <w:rFonts w:ascii="Times New Roman"/>
                <w:color w:val="auto"/>
                <w:sz w:val="20"/>
                <w:szCs w:val="20"/>
              </w:rPr>
            </w:pPr>
          </w:p>
        </w:tc>
        <w:tc>
          <w:tcPr>
            <w:tcW w:w="985" w:type="pct"/>
          </w:tcPr>
          <w:p w14:paraId="6586DFC0" w14:textId="77777777" w:rsidR="00AE26D3" w:rsidRPr="00B0658A" w:rsidRDefault="00AE26D3" w:rsidP="00004A41">
            <w:pPr>
              <w:spacing w:after="0" w:line="240" w:lineRule="auto"/>
              <w:jc w:val="both"/>
              <w:rPr>
                <w:rFonts w:ascii="Times New Roman"/>
                <w:color w:val="auto"/>
                <w:sz w:val="20"/>
                <w:szCs w:val="20"/>
              </w:rPr>
            </w:pPr>
          </w:p>
        </w:tc>
        <w:tc>
          <w:tcPr>
            <w:tcW w:w="1189" w:type="pct"/>
          </w:tcPr>
          <w:p w14:paraId="0242B9E5" w14:textId="77777777" w:rsidR="00AE26D3" w:rsidRPr="00B0658A" w:rsidRDefault="00AE26D3" w:rsidP="00004A41">
            <w:pPr>
              <w:spacing w:after="0" w:line="240" w:lineRule="auto"/>
              <w:jc w:val="both"/>
              <w:rPr>
                <w:rFonts w:ascii="Times New Roman"/>
                <w:color w:val="auto"/>
                <w:sz w:val="20"/>
                <w:szCs w:val="20"/>
              </w:rPr>
            </w:pPr>
          </w:p>
        </w:tc>
      </w:tr>
      <w:tr w:rsidR="00F52FED" w:rsidRPr="00B0658A" w14:paraId="08AAE69E" w14:textId="77777777" w:rsidTr="00AF35BB">
        <w:trPr>
          <w:trHeight w:val="20"/>
        </w:trPr>
        <w:tc>
          <w:tcPr>
            <w:tcW w:w="5000" w:type="pct"/>
            <w:gridSpan w:val="6"/>
            <w:shd w:val="clear" w:color="auto" w:fill="D9E2F3" w:themeFill="accent1" w:themeFillTint="33"/>
            <w:vAlign w:val="center"/>
          </w:tcPr>
          <w:p w14:paraId="0763546F" w14:textId="77777777" w:rsidR="00AE26D3" w:rsidRPr="00B0658A" w:rsidRDefault="00AE26D3" w:rsidP="00004A41">
            <w:pPr>
              <w:spacing w:after="0" w:line="240" w:lineRule="auto"/>
              <w:jc w:val="center"/>
              <w:rPr>
                <w:rFonts w:ascii="Times New Roman"/>
                <w:color w:val="auto"/>
                <w:sz w:val="20"/>
                <w:szCs w:val="20"/>
              </w:rPr>
            </w:pPr>
            <w:r w:rsidRPr="00B0658A">
              <w:rPr>
                <w:rFonts w:ascii="Times New Roman"/>
                <w:b/>
                <w:color w:val="auto"/>
                <w:sz w:val="20"/>
                <w:szCs w:val="20"/>
              </w:rPr>
              <w:t>Государственные и ведомственные информационные системы, подлежащие переводу на использование российского ПО до 31.12.2027 г.</w:t>
            </w:r>
          </w:p>
        </w:tc>
      </w:tr>
      <w:tr w:rsidR="00F52FED" w:rsidRPr="00B0658A" w14:paraId="70C1A322" w14:textId="77777777" w:rsidTr="00AF35BB">
        <w:trPr>
          <w:trHeight w:val="20"/>
        </w:trPr>
        <w:tc>
          <w:tcPr>
            <w:tcW w:w="5000" w:type="pct"/>
            <w:gridSpan w:val="6"/>
          </w:tcPr>
          <w:p w14:paraId="1F5DE908" w14:textId="77777777" w:rsidR="00AE26D3" w:rsidRPr="00B0658A" w:rsidRDefault="00AE26D3" w:rsidP="00004A41">
            <w:pPr>
              <w:spacing w:after="0" w:line="240" w:lineRule="auto"/>
              <w:jc w:val="both"/>
              <w:rPr>
                <w:rFonts w:ascii="Times New Roman"/>
                <w:color w:val="auto"/>
                <w:sz w:val="20"/>
                <w:szCs w:val="20"/>
              </w:rPr>
            </w:pPr>
            <w:r w:rsidRPr="00B0658A">
              <w:rPr>
                <w:rFonts w:ascii="Times New Roman"/>
                <w:color w:val="auto"/>
                <w:sz w:val="20"/>
                <w:szCs w:val="20"/>
              </w:rPr>
              <w:t>3. Мероприятия по переводу ________ (наименование государственной или ведомственной информационной системы № 3) на использование российское ПО</w:t>
            </w:r>
          </w:p>
        </w:tc>
      </w:tr>
      <w:tr w:rsidR="00F52FED" w:rsidRPr="00B0658A" w14:paraId="71A33DF9" w14:textId="77777777" w:rsidTr="00AF35BB">
        <w:trPr>
          <w:trHeight w:val="20"/>
        </w:trPr>
        <w:tc>
          <w:tcPr>
            <w:tcW w:w="174" w:type="pct"/>
          </w:tcPr>
          <w:p w14:paraId="4F9C3747" w14:textId="77777777" w:rsidR="00AE26D3" w:rsidRPr="00B0658A" w:rsidRDefault="00AE26D3" w:rsidP="00004A41">
            <w:pPr>
              <w:spacing w:after="0" w:line="240" w:lineRule="auto"/>
              <w:jc w:val="both"/>
              <w:rPr>
                <w:rFonts w:ascii="Times New Roman"/>
                <w:color w:val="auto"/>
                <w:sz w:val="20"/>
                <w:szCs w:val="20"/>
              </w:rPr>
            </w:pPr>
            <w:r w:rsidRPr="00B0658A">
              <w:rPr>
                <w:rFonts w:ascii="Times New Roman"/>
                <w:color w:val="auto"/>
                <w:sz w:val="20"/>
                <w:szCs w:val="20"/>
                <w:lang w:val="en-US"/>
              </w:rPr>
              <w:t>3.1</w:t>
            </w:r>
          </w:p>
        </w:tc>
        <w:tc>
          <w:tcPr>
            <w:tcW w:w="892" w:type="pct"/>
          </w:tcPr>
          <w:p w14:paraId="3701763C" w14:textId="77777777" w:rsidR="00AE26D3" w:rsidRPr="00B0658A" w:rsidRDefault="00AE26D3" w:rsidP="00004A41">
            <w:pPr>
              <w:spacing w:after="0" w:line="240" w:lineRule="auto"/>
              <w:jc w:val="both"/>
              <w:rPr>
                <w:rFonts w:ascii="Times New Roman"/>
                <w:color w:val="auto"/>
                <w:sz w:val="20"/>
                <w:szCs w:val="20"/>
              </w:rPr>
            </w:pPr>
          </w:p>
        </w:tc>
        <w:tc>
          <w:tcPr>
            <w:tcW w:w="913" w:type="pct"/>
          </w:tcPr>
          <w:p w14:paraId="4E21B4A9" w14:textId="77777777" w:rsidR="00AE26D3" w:rsidRPr="00B0658A" w:rsidRDefault="00AE26D3" w:rsidP="00004A41">
            <w:pPr>
              <w:spacing w:after="0" w:line="240" w:lineRule="auto"/>
              <w:jc w:val="both"/>
              <w:rPr>
                <w:rFonts w:ascii="Times New Roman"/>
                <w:color w:val="auto"/>
                <w:sz w:val="20"/>
                <w:szCs w:val="20"/>
              </w:rPr>
            </w:pPr>
          </w:p>
        </w:tc>
        <w:tc>
          <w:tcPr>
            <w:tcW w:w="847" w:type="pct"/>
          </w:tcPr>
          <w:p w14:paraId="7E1CA191" w14:textId="77777777" w:rsidR="00AE26D3" w:rsidRPr="00B0658A" w:rsidRDefault="00AE26D3" w:rsidP="00004A41">
            <w:pPr>
              <w:spacing w:after="0" w:line="240" w:lineRule="auto"/>
              <w:jc w:val="both"/>
              <w:rPr>
                <w:rFonts w:ascii="Times New Roman"/>
                <w:color w:val="auto"/>
                <w:sz w:val="20"/>
                <w:szCs w:val="20"/>
              </w:rPr>
            </w:pPr>
          </w:p>
        </w:tc>
        <w:tc>
          <w:tcPr>
            <w:tcW w:w="985" w:type="pct"/>
          </w:tcPr>
          <w:p w14:paraId="2B6F2047" w14:textId="77777777" w:rsidR="00AE26D3" w:rsidRPr="00B0658A" w:rsidRDefault="00AE26D3" w:rsidP="00004A41">
            <w:pPr>
              <w:spacing w:after="0" w:line="240" w:lineRule="auto"/>
              <w:jc w:val="both"/>
              <w:rPr>
                <w:rFonts w:ascii="Times New Roman"/>
                <w:color w:val="auto"/>
                <w:sz w:val="20"/>
                <w:szCs w:val="20"/>
              </w:rPr>
            </w:pPr>
          </w:p>
        </w:tc>
        <w:tc>
          <w:tcPr>
            <w:tcW w:w="1189" w:type="pct"/>
          </w:tcPr>
          <w:p w14:paraId="61360D25" w14:textId="77777777" w:rsidR="00AE26D3" w:rsidRPr="00B0658A" w:rsidRDefault="00AE26D3" w:rsidP="00004A41">
            <w:pPr>
              <w:spacing w:after="0" w:line="240" w:lineRule="auto"/>
              <w:jc w:val="both"/>
              <w:rPr>
                <w:rFonts w:ascii="Times New Roman"/>
                <w:color w:val="auto"/>
                <w:sz w:val="20"/>
                <w:szCs w:val="20"/>
              </w:rPr>
            </w:pPr>
          </w:p>
        </w:tc>
      </w:tr>
      <w:tr w:rsidR="00F52FED" w:rsidRPr="00B0658A" w14:paraId="7DF6DEB0" w14:textId="77777777" w:rsidTr="00AF35BB">
        <w:trPr>
          <w:trHeight w:val="20"/>
        </w:trPr>
        <w:tc>
          <w:tcPr>
            <w:tcW w:w="174" w:type="pct"/>
          </w:tcPr>
          <w:p w14:paraId="1E8D6B20" w14:textId="77777777" w:rsidR="00AE26D3" w:rsidRPr="00B0658A" w:rsidRDefault="00AE26D3" w:rsidP="00004A41">
            <w:pPr>
              <w:spacing w:after="0" w:line="240" w:lineRule="auto"/>
              <w:jc w:val="both"/>
              <w:rPr>
                <w:rFonts w:ascii="Times New Roman"/>
                <w:color w:val="auto"/>
                <w:sz w:val="20"/>
                <w:szCs w:val="20"/>
              </w:rPr>
            </w:pPr>
            <w:r w:rsidRPr="00B0658A">
              <w:rPr>
                <w:rFonts w:ascii="Times New Roman"/>
                <w:color w:val="auto"/>
                <w:sz w:val="20"/>
                <w:szCs w:val="20"/>
                <w:lang w:val="en-US"/>
              </w:rPr>
              <w:t>3.2</w:t>
            </w:r>
          </w:p>
        </w:tc>
        <w:tc>
          <w:tcPr>
            <w:tcW w:w="892" w:type="pct"/>
          </w:tcPr>
          <w:p w14:paraId="3253733B" w14:textId="77777777" w:rsidR="00AE26D3" w:rsidRPr="00B0658A" w:rsidRDefault="00AE26D3" w:rsidP="00004A41">
            <w:pPr>
              <w:spacing w:after="0" w:line="240" w:lineRule="auto"/>
              <w:jc w:val="both"/>
              <w:rPr>
                <w:rFonts w:ascii="Times New Roman"/>
                <w:color w:val="auto"/>
                <w:sz w:val="20"/>
                <w:szCs w:val="20"/>
              </w:rPr>
            </w:pPr>
          </w:p>
        </w:tc>
        <w:tc>
          <w:tcPr>
            <w:tcW w:w="913" w:type="pct"/>
          </w:tcPr>
          <w:p w14:paraId="467878A6" w14:textId="77777777" w:rsidR="00AE26D3" w:rsidRPr="00B0658A" w:rsidRDefault="00AE26D3" w:rsidP="00004A41">
            <w:pPr>
              <w:spacing w:after="0" w:line="240" w:lineRule="auto"/>
              <w:jc w:val="both"/>
              <w:rPr>
                <w:rFonts w:ascii="Times New Roman"/>
                <w:color w:val="auto"/>
                <w:sz w:val="20"/>
                <w:szCs w:val="20"/>
              </w:rPr>
            </w:pPr>
          </w:p>
        </w:tc>
        <w:tc>
          <w:tcPr>
            <w:tcW w:w="847" w:type="pct"/>
          </w:tcPr>
          <w:p w14:paraId="16B94675" w14:textId="77777777" w:rsidR="00AE26D3" w:rsidRPr="00B0658A" w:rsidRDefault="00AE26D3" w:rsidP="00004A41">
            <w:pPr>
              <w:spacing w:after="0" w:line="240" w:lineRule="auto"/>
              <w:jc w:val="both"/>
              <w:rPr>
                <w:rFonts w:ascii="Times New Roman"/>
                <w:color w:val="auto"/>
                <w:sz w:val="20"/>
                <w:szCs w:val="20"/>
              </w:rPr>
            </w:pPr>
          </w:p>
        </w:tc>
        <w:tc>
          <w:tcPr>
            <w:tcW w:w="985" w:type="pct"/>
          </w:tcPr>
          <w:p w14:paraId="5CD0BB49" w14:textId="77777777" w:rsidR="00AE26D3" w:rsidRPr="00B0658A" w:rsidRDefault="00AE26D3" w:rsidP="00004A41">
            <w:pPr>
              <w:spacing w:after="0" w:line="240" w:lineRule="auto"/>
              <w:jc w:val="both"/>
              <w:rPr>
                <w:rFonts w:ascii="Times New Roman"/>
                <w:color w:val="auto"/>
                <w:sz w:val="20"/>
                <w:szCs w:val="20"/>
              </w:rPr>
            </w:pPr>
          </w:p>
        </w:tc>
        <w:tc>
          <w:tcPr>
            <w:tcW w:w="1189" w:type="pct"/>
          </w:tcPr>
          <w:p w14:paraId="4EADD5FB" w14:textId="77777777" w:rsidR="00AE26D3" w:rsidRPr="00B0658A" w:rsidRDefault="00AE26D3" w:rsidP="00004A41">
            <w:pPr>
              <w:spacing w:after="0" w:line="240" w:lineRule="auto"/>
              <w:jc w:val="both"/>
              <w:rPr>
                <w:rFonts w:ascii="Times New Roman"/>
                <w:color w:val="auto"/>
                <w:sz w:val="20"/>
                <w:szCs w:val="20"/>
              </w:rPr>
            </w:pPr>
          </w:p>
        </w:tc>
      </w:tr>
      <w:tr w:rsidR="00F52FED" w:rsidRPr="00B0658A" w14:paraId="2A374F36" w14:textId="77777777" w:rsidTr="00AF35BB">
        <w:trPr>
          <w:trHeight w:val="20"/>
        </w:trPr>
        <w:tc>
          <w:tcPr>
            <w:tcW w:w="174" w:type="pct"/>
          </w:tcPr>
          <w:p w14:paraId="02CA0458" w14:textId="77777777" w:rsidR="00AE26D3" w:rsidRPr="00B0658A" w:rsidRDefault="00AE26D3" w:rsidP="00004A41">
            <w:pPr>
              <w:spacing w:after="0" w:line="240" w:lineRule="auto"/>
              <w:jc w:val="both"/>
              <w:rPr>
                <w:rFonts w:ascii="Times New Roman"/>
                <w:color w:val="auto"/>
                <w:sz w:val="20"/>
                <w:szCs w:val="20"/>
              </w:rPr>
            </w:pPr>
            <w:r w:rsidRPr="00B0658A">
              <w:rPr>
                <w:rFonts w:ascii="Times New Roman"/>
                <w:color w:val="auto"/>
                <w:sz w:val="20"/>
                <w:szCs w:val="20"/>
                <w:lang w:val="en-US"/>
              </w:rPr>
              <w:t>…</w:t>
            </w:r>
          </w:p>
        </w:tc>
        <w:tc>
          <w:tcPr>
            <w:tcW w:w="892" w:type="pct"/>
          </w:tcPr>
          <w:p w14:paraId="1B1567EE" w14:textId="77777777" w:rsidR="00AE26D3" w:rsidRPr="00B0658A" w:rsidRDefault="00AE26D3" w:rsidP="00004A41">
            <w:pPr>
              <w:spacing w:after="0" w:line="240" w:lineRule="auto"/>
              <w:jc w:val="both"/>
              <w:rPr>
                <w:rFonts w:ascii="Times New Roman"/>
                <w:color w:val="auto"/>
                <w:sz w:val="20"/>
                <w:szCs w:val="20"/>
              </w:rPr>
            </w:pPr>
          </w:p>
        </w:tc>
        <w:tc>
          <w:tcPr>
            <w:tcW w:w="913" w:type="pct"/>
          </w:tcPr>
          <w:p w14:paraId="1F40E5A4" w14:textId="77777777" w:rsidR="00AE26D3" w:rsidRPr="00B0658A" w:rsidRDefault="00AE26D3" w:rsidP="00004A41">
            <w:pPr>
              <w:spacing w:after="0" w:line="240" w:lineRule="auto"/>
              <w:jc w:val="both"/>
              <w:rPr>
                <w:rFonts w:ascii="Times New Roman"/>
                <w:color w:val="auto"/>
                <w:sz w:val="20"/>
                <w:szCs w:val="20"/>
              </w:rPr>
            </w:pPr>
          </w:p>
        </w:tc>
        <w:tc>
          <w:tcPr>
            <w:tcW w:w="847" w:type="pct"/>
          </w:tcPr>
          <w:p w14:paraId="17B67655" w14:textId="77777777" w:rsidR="00AE26D3" w:rsidRPr="00B0658A" w:rsidRDefault="00AE26D3" w:rsidP="00004A41">
            <w:pPr>
              <w:spacing w:after="0" w:line="240" w:lineRule="auto"/>
              <w:jc w:val="both"/>
              <w:rPr>
                <w:rFonts w:ascii="Times New Roman"/>
                <w:color w:val="auto"/>
                <w:sz w:val="20"/>
                <w:szCs w:val="20"/>
              </w:rPr>
            </w:pPr>
          </w:p>
        </w:tc>
        <w:tc>
          <w:tcPr>
            <w:tcW w:w="985" w:type="pct"/>
          </w:tcPr>
          <w:p w14:paraId="4DE665BB" w14:textId="77777777" w:rsidR="00AE26D3" w:rsidRPr="00B0658A" w:rsidRDefault="00AE26D3" w:rsidP="00004A41">
            <w:pPr>
              <w:spacing w:after="0" w:line="240" w:lineRule="auto"/>
              <w:jc w:val="both"/>
              <w:rPr>
                <w:rFonts w:ascii="Times New Roman"/>
                <w:color w:val="auto"/>
                <w:sz w:val="20"/>
                <w:szCs w:val="20"/>
              </w:rPr>
            </w:pPr>
          </w:p>
        </w:tc>
        <w:tc>
          <w:tcPr>
            <w:tcW w:w="1189" w:type="pct"/>
          </w:tcPr>
          <w:p w14:paraId="1AD9A262" w14:textId="77777777" w:rsidR="00AE26D3" w:rsidRPr="00B0658A" w:rsidRDefault="00AE26D3" w:rsidP="00004A41">
            <w:pPr>
              <w:spacing w:after="0" w:line="240" w:lineRule="auto"/>
              <w:jc w:val="both"/>
              <w:rPr>
                <w:rFonts w:ascii="Times New Roman"/>
                <w:color w:val="auto"/>
                <w:sz w:val="20"/>
                <w:szCs w:val="20"/>
              </w:rPr>
            </w:pPr>
          </w:p>
        </w:tc>
      </w:tr>
      <w:tr w:rsidR="00F52FED" w:rsidRPr="00B0658A" w14:paraId="77C75F1D" w14:textId="77777777" w:rsidTr="00AF35BB">
        <w:trPr>
          <w:trHeight w:val="20"/>
        </w:trPr>
        <w:tc>
          <w:tcPr>
            <w:tcW w:w="5000" w:type="pct"/>
            <w:gridSpan w:val="6"/>
          </w:tcPr>
          <w:p w14:paraId="26E69AA4" w14:textId="77777777" w:rsidR="00AE26D3" w:rsidRPr="00B0658A" w:rsidRDefault="00AE26D3" w:rsidP="00004A41">
            <w:pPr>
              <w:spacing w:after="0" w:line="240" w:lineRule="auto"/>
              <w:jc w:val="both"/>
              <w:rPr>
                <w:rFonts w:ascii="Times New Roman"/>
                <w:color w:val="auto"/>
                <w:sz w:val="20"/>
                <w:szCs w:val="20"/>
              </w:rPr>
            </w:pPr>
            <w:r w:rsidRPr="00B0658A">
              <w:rPr>
                <w:rFonts w:ascii="Times New Roman"/>
                <w:color w:val="auto"/>
                <w:sz w:val="20"/>
                <w:szCs w:val="20"/>
              </w:rPr>
              <w:t>4. Мероприятия по переводу ________ (наименование государственной или ведомственной информационной системы № 4) на использование российское ПО</w:t>
            </w:r>
          </w:p>
        </w:tc>
      </w:tr>
      <w:tr w:rsidR="00F52FED" w:rsidRPr="00B0658A" w14:paraId="70CAD84D" w14:textId="77777777" w:rsidTr="00AF35BB">
        <w:trPr>
          <w:trHeight w:val="20"/>
        </w:trPr>
        <w:tc>
          <w:tcPr>
            <w:tcW w:w="174" w:type="pct"/>
          </w:tcPr>
          <w:p w14:paraId="3698DE10" w14:textId="77777777" w:rsidR="00AE26D3" w:rsidRPr="00B0658A" w:rsidRDefault="00AE26D3" w:rsidP="00004A41">
            <w:pPr>
              <w:spacing w:after="0" w:line="240" w:lineRule="auto"/>
              <w:jc w:val="both"/>
              <w:rPr>
                <w:rFonts w:ascii="Times New Roman"/>
                <w:color w:val="auto"/>
                <w:sz w:val="20"/>
                <w:szCs w:val="20"/>
              </w:rPr>
            </w:pPr>
            <w:r w:rsidRPr="00B0658A">
              <w:rPr>
                <w:rFonts w:ascii="Times New Roman"/>
                <w:color w:val="auto"/>
                <w:sz w:val="20"/>
                <w:szCs w:val="20"/>
                <w:lang w:val="en-US"/>
              </w:rPr>
              <w:t>4.1</w:t>
            </w:r>
          </w:p>
        </w:tc>
        <w:tc>
          <w:tcPr>
            <w:tcW w:w="892" w:type="pct"/>
          </w:tcPr>
          <w:p w14:paraId="218BCF7A" w14:textId="77777777" w:rsidR="00AE26D3" w:rsidRPr="00B0658A" w:rsidRDefault="00AE26D3" w:rsidP="00004A41">
            <w:pPr>
              <w:spacing w:after="0" w:line="240" w:lineRule="auto"/>
              <w:jc w:val="both"/>
              <w:rPr>
                <w:rFonts w:ascii="Times New Roman"/>
                <w:color w:val="auto"/>
                <w:sz w:val="20"/>
                <w:szCs w:val="20"/>
              </w:rPr>
            </w:pPr>
          </w:p>
        </w:tc>
        <w:tc>
          <w:tcPr>
            <w:tcW w:w="913" w:type="pct"/>
          </w:tcPr>
          <w:p w14:paraId="0BA32FA0" w14:textId="77777777" w:rsidR="00AE26D3" w:rsidRPr="00B0658A" w:rsidRDefault="00AE26D3" w:rsidP="00004A41">
            <w:pPr>
              <w:spacing w:after="0" w:line="240" w:lineRule="auto"/>
              <w:jc w:val="both"/>
              <w:rPr>
                <w:rFonts w:ascii="Times New Roman"/>
                <w:color w:val="auto"/>
                <w:sz w:val="20"/>
                <w:szCs w:val="20"/>
              </w:rPr>
            </w:pPr>
          </w:p>
        </w:tc>
        <w:tc>
          <w:tcPr>
            <w:tcW w:w="847" w:type="pct"/>
          </w:tcPr>
          <w:p w14:paraId="0E66B85D" w14:textId="77777777" w:rsidR="00AE26D3" w:rsidRPr="00B0658A" w:rsidRDefault="00AE26D3" w:rsidP="00004A41">
            <w:pPr>
              <w:spacing w:after="0" w:line="240" w:lineRule="auto"/>
              <w:jc w:val="both"/>
              <w:rPr>
                <w:rFonts w:ascii="Times New Roman"/>
                <w:color w:val="auto"/>
                <w:sz w:val="20"/>
                <w:szCs w:val="20"/>
              </w:rPr>
            </w:pPr>
          </w:p>
        </w:tc>
        <w:tc>
          <w:tcPr>
            <w:tcW w:w="985" w:type="pct"/>
          </w:tcPr>
          <w:p w14:paraId="15BB73D9" w14:textId="77777777" w:rsidR="00AE26D3" w:rsidRPr="00B0658A" w:rsidRDefault="00AE26D3" w:rsidP="00004A41">
            <w:pPr>
              <w:spacing w:after="0" w:line="240" w:lineRule="auto"/>
              <w:jc w:val="both"/>
              <w:rPr>
                <w:rFonts w:ascii="Times New Roman"/>
                <w:color w:val="auto"/>
                <w:sz w:val="20"/>
                <w:szCs w:val="20"/>
              </w:rPr>
            </w:pPr>
          </w:p>
        </w:tc>
        <w:tc>
          <w:tcPr>
            <w:tcW w:w="1189" w:type="pct"/>
          </w:tcPr>
          <w:p w14:paraId="5357F7D0" w14:textId="77777777" w:rsidR="00AE26D3" w:rsidRPr="00B0658A" w:rsidRDefault="00AE26D3" w:rsidP="00004A41">
            <w:pPr>
              <w:spacing w:after="0" w:line="240" w:lineRule="auto"/>
              <w:jc w:val="both"/>
              <w:rPr>
                <w:rFonts w:ascii="Times New Roman"/>
                <w:color w:val="auto"/>
                <w:sz w:val="20"/>
                <w:szCs w:val="20"/>
              </w:rPr>
            </w:pPr>
          </w:p>
        </w:tc>
      </w:tr>
      <w:tr w:rsidR="00F52FED" w:rsidRPr="00B0658A" w14:paraId="1DA6E620" w14:textId="77777777" w:rsidTr="00AF35BB">
        <w:trPr>
          <w:trHeight w:val="20"/>
        </w:trPr>
        <w:tc>
          <w:tcPr>
            <w:tcW w:w="174" w:type="pct"/>
          </w:tcPr>
          <w:p w14:paraId="30D8F7D6" w14:textId="77777777" w:rsidR="00AE26D3" w:rsidRPr="00B0658A" w:rsidRDefault="00AE26D3" w:rsidP="00004A41">
            <w:pPr>
              <w:spacing w:after="0" w:line="240" w:lineRule="auto"/>
              <w:jc w:val="both"/>
              <w:rPr>
                <w:rFonts w:ascii="Times New Roman"/>
                <w:color w:val="auto"/>
                <w:sz w:val="20"/>
                <w:szCs w:val="20"/>
              </w:rPr>
            </w:pPr>
            <w:r w:rsidRPr="00B0658A">
              <w:rPr>
                <w:rFonts w:ascii="Times New Roman"/>
                <w:color w:val="auto"/>
                <w:sz w:val="20"/>
                <w:szCs w:val="20"/>
                <w:lang w:val="en-US"/>
              </w:rPr>
              <w:t>4.2</w:t>
            </w:r>
          </w:p>
        </w:tc>
        <w:tc>
          <w:tcPr>
            <w:tcW w:w="892" w:type="pct"/>
          </w:tcPr>
          <w:p w14:paraId="0EA89BF2" w14:textId="77777777" w:rsidR="00AE26D3" w:rsidRPr="00B0658A" w:rsidRDefault="00AE26D3" w:rsidP="00004A41">
            <w:pPr>
              <w:spacing w:after="0" w:line="240" w:lineRule="auto"/>
              <w:jc w:val="both"/>
              <w:rPr>
                <w:rFonts w:ascii="Times New Roman"/>
                <w:color w:val="auto"/>
                <w:sz w:val="20"/>
                <w:szCs w:val="20"/>
              </w:rPr>
            </w:pPr>
          </w:p>
        </w:tc>
        <w:tc>
          <w:tcPr>
            <w:tcW w:w="913" w:type="pct"/>
          </w:tcPr>
          <w:p w14:paraId="75734629" w14:textId="77777777" w:rsidR="00AE26D3" w:rsidRPr="00B0658A" w:rsidRDefault="00AE26D3" w:rsidP="00004A41">
            <w:pPr>
              <w:spacing w:after="0" w:line="240" w:lineRule="auto"/>
              <w:jc w:val="both"/>
              <w:rPr>
                <w:rFonts w:ascii="Times New Roman"/>
                <w:color w:val="auto"/>
                <w:sz w:val="20"/>
                <w:szCs w:val="20"/>
              </w:rPr>
            </w:pPr>
          </w:p>
        </w:tc>
        <w:tc>
          <w:tcPr>
            <w:tcW w:w="847" w:type="pct"/>
          </w:tcPr>
          <w:p w14:paraId="62579C63" w14:textId="77777777" w:rsidR="00AE26D3" w:rsidRPr="00B0658A" w:rsidRDefault="00AE26D3" w:rsidP="00004A41">
            <w:pPr>
              <w:spacing w:after="0" w:line="240" w:lineRule="auto"/>
              <w:jc w:val="both"/>
              <w:rPr>
                <w:rFonts w:ascii="Times New Roman"/>
                <w:color w:val="auto"/>
                <w:sz w:val="20"/>
                <w:szCs w:val="20"/>
              </w:rPr>
            </w:pPr>
          </w:p>
        </w:tc>
        <w:tc>
          <w:tcPr>
            <w:tcW w:w="985" w:type="pct"/>
          </w:tcPr>
          <w:p w14:paraId="561767CB" w14:textId="77777777" w:rsidR="00AE26D3" w:rsidRPr="00B0658A" w:rsidRDefault="00AE26D3" w:rsidP="00004A41">
            <w:pPr>
              <w:spacing w:after="0" w:line="240" w:lineRule="auto"/>
              <w:jc w:val="both"/>
              <w:rPr>
                <w:rFonts w:ascii="Times New Roman"/>
                <w:color w:val="auto"/>
                <w:sz w:val="20"/>
                <w:szCs w:val="20"/>
              </w:rPr>
            </w:pPr>
          </w:p>
        </w:tc>
        <w:tc>
          <w:tcPr>
            <w:tcW w:w="1189" w:type="pct"/>
          </w:tcPr>
          <w:p w14:paraId="5AF5AAD0" w14:textId="77777777" w:rsidR="00AE26D3" w:rsidRPr="00B0658A" w:rsidRDefault="00AE26D3" w:rsidP="00004A41">
            <w:pPr>
              <w:spacing w:after="0" w:line="240" w:lineRule="auto"/>
              <w:jc w:val="both"/>
              <w:rPr>
                <w:rFonts w:ascii="Times New Roman"/>
                <w:color w:val="auto"/>
                <w:sz w:val="20"/>
                <w:szCs w:val="20"/>
              </w:rPr>
            </w:pPr>
          </w:p>
        </w:tc>
      </w:tr>
      <w:tr w:rsidR="00F52FED" w:rsidRPr="00B0658A" w14:paraId="29C24467" w14:textId="77777777" w:rsidTr="00AF35BB">
        <w:trPr>
          <w:trHeight w:val="20"/>
        </w:trPr>
        <w:tc>
          <w:tcPr>
            <w:tcW w:w="174" w:type="pct"/>
          </w:tcPr>
          <w:p w14:paraId="26D71711" w14:textId="77777777" w:rsidR="00AE26D3" w:rsidRPr="00B0658A" w:rsidRDefault="00AE26D3" w:rsidP="00004A41">
            <w:pPr>
              <w:spacing w:after="0" w:line="240" w:lineRule="auto"/>
              <w:jc w:val="both"/>
              <w:rPr>
                <w:rFonts w:ascii="Times New Roman"/>
                <w:color w:val="auto"/>
                <w:sz w:val="20"/>
                <w:szCs w:val="20"/>
              </w:rPr>
            </w:pPr>
            <w:r w:rsidRPr="00B0658A">
              <w:rPr>
                <w:rFonts w:ascii="Times New Roman"/>
                <w:color w:val="auto"/>
                <w:sz w:val="20"/>
                <w:szCs w:val="20"/>
                <w:lang w:val="en-US"/>
              </w:rPr>
              <w:t>…</w:t>
            </w:r>
          </w:p>
        </w:tc>
        <w:tc>
          <w:tcPr>
            <w:tcW w:w="892" w:type="pct"/>
          </w:tcPr>
          <w:p w14:paraId="249CBEEB" w14:textId="77777777" w:rsidR="00AE26D3" w:rsidRPr="00B0658A" w:rsidRDefault="00AE26D3" w:rsidP="00004A41">
            <w:pPr>
              <w:spacing w:after="0" w:line="240" w:lineRule="auto"/>
              <w:jc w:val="both"/>
              <w:rPr>
                <w:rFonts w:ascii="Times New Roman"/>
                <w:color w:val="auto"/>
                <w:sz w:val="20"/>
                <w:szCs w:val="20"/>
              </w:rPr>
            </w:pPr>
          </w:p>
        </w:tc>
        <w:tc>
          <w:tcPr>
            <w:tcW w:w="913" w:type="pct"/>
          </w:tcPr>
          <w:p w14:paraId="2C550BBF" w14:textId="77777777" w:rsidR="00AE26D3" w:rsidRPr="00B0658A" w:rsidRDefault="00AE26D3" w:rsidP="00004A41">
            <w:pPr>
              <w:spacing w:after="0" w:line="240" w:lineRule="auto"/>
              <w:jc w:val="both"/>
              <w:rPr>
                <w:rFonts w:ascii="Times New Roman"/>
                <w:color w:val="auto"/>
                <w:sz w:val="20"/>
                <w:szCs w:val="20"/>
              </w:rPr>
            </w:pPr>
          </w:p>
        </w:tc>
        <w:tc>
          <w:tcPr>
            <w:tcW w:w="847" w:type="pct"/>
          </w:tcPr>
          <w:p w14:paraId="55B07813" w14:textId="77777777" w:rsidR="00AE26D3" w:rsidRPr="00B0658A" w:rsidRDefault="00AE26D3" w:rsidP="00004A41">
            <w:pPr>
              <w:spacing w:after="0" w:line="240" w:lineRule="auto"/>
              <w:jc w:val="both"/>
              <w:rPr>
                <w:rFonts w:ascii="Times New Roman"/>
                <w:color w:val="auto"/>
                <w:sz w:val="20"/>
                <w:szCs w:val="20"/>
              </w:rPr>
            </w:pPr>
          </w:p>
        </w:tc>
        <w:tc>
          <w:tcPr>
            <w:tcW w:w="985" w:type="pct"/>
          </w:tcPr>
          <w:p w14:paraId="6DFB5B00" w14:textId="77777777" w:rsidR="00AE26D3" w:rsidRPr="00B0658A" w:rsidRDefault="00AE26D3" w:rsidP="00004A41">
            <w:pPr>
              <w:spacing w:after="0" w:line="240" w:lineRule="auto"/>
              <w:jc w:val="both"/>
              <w:rPr>
                <w:rFonts w:ascii="Times New Roman"/>
                <w:color w:val="auto"/>
                <w:sz w:val="20"/>
                <w:szCs w:val="20"/>
              </w:rPr>
            </w:pPr>
          </w:p>
        </w:tc>
        <w:tc>
          <w:tcPr>
            <w:tcW w:w="1189" w:type="pct"/>
          </w:tcPr>
          <w:p w14:paraId="5EDEF0A1" w14:textId="77777777" w:rsidR="00AE26D3" w:rsidRPr="00B0658A" w:rsidRDefault="00AE26D3" w:rsidP="00004A41">
            <w:pPr>
              <w:spacing w:after="0" w:line="240" w:lineRule="auto"/>
              <w:jc w:val="both"/>
              <w:rPr>
                <w:rFonts w:ascii="Times New Roman"/>
                <w:color w:val="auto"/>
                <w:sz w:val="20"/>
                <w:szCs w:val="20"/>
              </w:rPr>
            </w:pPr>
          </w:p>
        </w:tc>
      </w:tr>
      <w:tr w:rsidR="00F52FED" w:rsidRPr="00B0658A" w14:paraId="18EBBEC8" w14:textId="77777777" w:rsidTr="00AF35BB">
        <w:trPr>
          <w:trHeight w:val="20"/>
        </w:trPr>
        <w:tc>
          <w:tcPr>
            <w:tcW w:w="5000" w:type="pct"/>
            <w:gridSpan w:val="6"/>
            <w:shd w:val="clear" w:color="auto" w:fill="D9E2F3" w:themeFill="accent1" w:themeFillTint="33"/>
            <w:vAlign w:val="center"/>
          </w:tcPr>
          <w:p w14:paraId="1CC6FD2F" w14:textId="77777777" w:rsidR="00AE26D3" w:rsidRPr="00B0658A" w:rsidRDefault="00AE26D3" w:rsidP="00004A41">
            <w:pPr>
              <w:spacing w:after="0" w:line="240" w:lineRule="auto"/>
              <w:jc w:val="center"/>
              <w:rPr>
                <w:rFonts w:ascii="Times New Roman"/>
                <w:color w:val="auto"/>
                <w:sz w:val="20"/>
                <w:szCs w:val="20"/>
              </w:rPr>
            </w:pPr>
            <w:r w:rsidRPr="00B0658A">
              <w:rPr>
                <w:rFonts w:ascii="Times New Roman"/>
                <w:b/>
                <w:color w:val="auto"/>
                <w:sz w:val="20"/>
                <w:szCs w:val="20"/>
              </w:rPr>
              <w:t>Иные государственные и ведомственные информационные системы, подлежащие переводу на использование российского ПО до 31.12.2030 г.</w:t>
            </w:r>
          </w:p>
        </w:tc>
      </w:tr>
      <w:tr w:rsidR="00F52FED" w:rsidRPr="00B0658A" w14:paraId="2E056DB0" w14:textId="77777777" w:rsidTr="00AF35BB">
        <w:trPr>
          <w:trHeight w:val="20"/>
        </w:trPr>
        <w:tc>
          <w:tcPr>
            <w:tcW w:w="5000" w:type="pct"/>
            <w:gridSpan w:val="6"/>
          </w:tcPr>
          <w:p w14:paraId="2702B5CE" w14:textId="77777777" w:rsidR="00AE26D3" w:rsidRPr="00B0658A" w:rsidRDefault="00AE26D3" w:rsidP="00004A41">
            <w:pPr>
              <w:spacing w:after="0" w:line="240" w:lineRule="auto"/>
              <w:jc w:val="both"/>
              <w:rPr>
                <w:rFonts w:ascii="Times New Roman"/>
                <w:color w:val="auto"/>
                <w:sz w:val="20"/>
                <w:szCs w:val="20"/>
              </w:rPr>
            </w:pPr>
            <w:r w:rsidRPr="00B0658A">
              <w:rPr>
                <w:rFonts w:ascii="Times New Roman"/>
                <w:color w:val="auto"/>
                <w:sz w:val="20"/>
                <w:szCs w:val="20"/>
              </w:rPr>
              <w:t>5. Мероприятия по переводу ________ (наименование государственной или ведомственной информационной системы № 5) на использование российское ПО</w:t>
            </w:r>
          </w:p>
        </w:tc>
      </w:tr>
      <w:tr w:rsidR="00F52FED" w:rsidRPr="00B0658A" w14:paraId="72A377E6" w14:textId="77777777" w:rsidTr="00AF35BB">
        <w:trPr>
          <w:trHeight w:val="20"/>
        </w:trPr>
        <w:tc>
          <w:tcPr>
            <w:tcW w:w="174" w:type="pct"/>
          </w:tcPr>
          <w:p w14:paraId="214DC837" w14:textId="77777777" w:rsidR="00AE26D3" w:rsidRPr="00B0658A" w:rsidRDefault="00AE26D3" w:rsidP="00004A41">
            <w:pPr>
              <w:spacing w:after="0" w:line="240" w:lineRule="auto"/>
              <w:jc w:val="both"/>
              <w:rPr>
                <w:rFonts w:ascii="Times New Roman"/>
                <w:color w:val="auto"/>
                <w:sz w:val="20"/>
                <w:szCs w:val="20"/>
              </w:rPr>
            </w:pPr>
            <w:r w:rsidRPr="00B0658A">
              <w:rPr>
                <w:rFonts w:ascii="Times New Roman"/>
                <w:color w:val="auto"/>
                <w:sz w:val="20"/>
                <w:szCs w:val="20"/>
                <w:lang w:val="en-US"/>
              </w:rPr>
              <w:t>5.1</w:t>
            </w:r>
          </w:p>
        </w:tc>
        <w:tc>
          <w:tcPr>
            <w:tcW w:w="892" w:type="pct"/>
          </w:tcPr>
          <w:p w14:paraId="4006A033" w14:textId="77777777" w:rsidR="00AE26D3" w:rsidRPr="00B0658A" w:rsidRDefault="00AE26D3" w:rsidP="00004A41">
            <w:pPr>
              <w:spacing w:after="0" w:line="240" w:lineRule="auto"/>
              <w:jc w:val="both"/>
              <w:rPr>
                <w:rFonts w:ascii="Times New Roman"/>
                <w:color w:val="auto"/>
                <w:sz w:val="20"/>
                <w:szCs w:val="20"/>
              </w:rPr>
            </w:pPr>
          </w:p>
        </w:tc>
        <w:tc>
          <w:tcPr>
            <w:tcW w:w="913" w:type="pct"/>
          </w:tcPr>
          <w:p w14:paraId="593CA389" w14:textId="77777777" w:rsidR="00AE26D3" w:rsidRPr="00B0658A" w:rsidRDefault="00AE26D3" w:rsidP="00004A41">
            <w:pPr>
              <w:spacing w:after="0" w:line="240" w:lineRule="auto"/>
              <w:jc w:val="both"/>
              <w:rPr>
                <w:rFonts w:ascii="Times New Roman"/>
                <w:color w:val="auto"/>
                <w:sz w:val="20"/>
                <w:szCs w:val="20"/>
              </w:rPr>
            </w:pPr>
          </w:p>
        </w:tc>
        <w:tc>
          <w:tcPr>
            <w:tcW w:w="847" w:type="pct"/>
          </w:tcPr>
          <w:p w14:paraId="065AA4E7" w14:textId="77777777" w:rsidR="00AE26D3" w:rsidRPr="00B0658A" w:rsidRDefault="00AE26D3" w:rsidP="00004A41">
            <w:pPr>
              <w:spacing w:after="0" w:line="240" w:lineRule="auto"/>
              <w:jc w:val="both"/>
              <w:rPr>
                <w:rFonts w:ascii="Times New Roman"/>
                <w:color w:val="auto"/>
                <w:sz w:val="20"/>
                <w:szCs w:val="20"/>
              </w:rPr>
            </w:pPr>
          </w:p>
        </w:tc>
        <w:tc>
          <w:tcPr>
            <w:tcW w:w="985" w:type="pct"/>
          </w:tcPr>
          <w:p w14:paraId="5E74D522" w14:textId="77777777" w:rsidR="00AE26D3" w:rsidRPr="00B0658A" w:rsidRDefault="00AE26D3" w:rsidP="00004A41">
            <w:pPr>
              <w:spacing w:after="0" w:line="240" w:lineRule="auto"/>
              <w:jc w:val="both"/>
              <w:rPr>
                <w:rFonts w:ascii="Times New Roman"/>
                <w:color w:val="auto"/>
                <w:sz w:val="20"/>
                <w:szCs w:val="20"/>
              </w:rPr>
            </w:pPr>
          </w:p>
        </w:tc>
        <w:tc>
          <w:tcPr>
            <w:tcW w:w="1189" w:type="pct"/>
          </w:tcPr>
          <w:p w14:paraId="4321616D" w14:textId="77777777" w:rsidR="00AE26D3" w:rsidRPr="00B0658A" w:rsidRDefault="00AE26D3" w:rsidP="00004A41">
            <w:pPr>
              <w:spacing w:after="0" w:line="240" w:lineRule="auto"/>
              <w:jc w:val="both"/>
              <w:rPr>
                <w:rFonts w:ascii="Times New Roman"/>
                <w:color w:val="auto"/>
                <w:sz w:val="20"/>
                <w:szCs w:val="20"/>
              </w:rPr>
            </w:pPr>
          </w:p>
        </w:tc>
      </w:tr>
      <w:tr w:rsidR="00F52FED" w:rsidRPr="00B0658A" w14:paraId="032BDF38" w14:textId="77777777" w:rsidTr="00AF35BB">
        <w:trPr>
          <w:trHeight w:val="20"/>
        </w:trPr>
        <w:tc>
          <w:tcPr>
            <w:tcW w:w="174" w:type="pct"/>
          </w:tcPr>
          <w:p w14:paraId="043BA294" w14:textId="77777777" w:rsidR="00AE26D3" w:rsidRPr="00B0658A" w:rsidRDefault="00AE26D3" w:rsidP="00004A41">
            <w:pPr>
              <w:spacing w:after="0" w:line="240" w:lineRule="auto"/>
              <w:jc w:val="both"/>
              <w:rPr>
                <w:rFonts w:ascii="Times New Roman"/>
                <w:color w:val="auto"/>
                <w:sz w:val="20"/>
                <w:szCs w:val="20"/>
              </w:rPr>
            </w:pPr>
            <w:r w:rsidRPr="00B0658A">
              <w:rPr>
                <w:rFonts w:ascii="Times New Roman"/>
                <w:color w:val="auto"/>
                <w:sz w:val="20"/>
                <w:szCs w:val="20"/>
                <w:lang w:val="en-US"/>
              </w:rPr>
              <w:t>5.2</w:t>
            </w:r>
          </w:p>
        </w:tc>
        <w:tc>
          <w:tcPr>
            <w:tcW w:w="892" w:type="pct"/>
          </w:tcPr>
          <w:p w14:paraId="7ED8AA27" w14:textId="77777777" w:rsidR="00AE26D3" w:rsidRPr="00B0658A" w:rsidRDefault="00AE26D3" w:rsidP="00004A41">
            <w:pPr>
              <w:spacing w:after="0" w:line="240" w:lineRule="auto"/>
              <w:jc w:val="both"/>
              <w:rPr>
                <w:rFonts w:ascii="Times New Roman"/>
                <w:color w:val="auto"/>
                <w:sz w:val="20"/>
                <w:szCs w:val="20"/>
              </w:rPr>
            </w:pPr>
          </w:p>
        </w:tc>
        <w:tc>
          <w:tcPr>
            <w:tcW w:w="913" w:type="pct"/>
          </w:tcPr>
          <w:p w14:paraId="5904A8AE" w14:textId="77777777" w:rsidR="00AE26D3" w:rsidRPr="00B0658A" w:rsidRDefault="00AE26D3" w:rsidP="00004A41">
            <w:pPr>
              <w:spacing w:after="0" w:line="240" w:lineRule="auto"/>
              <w:jc w:val="both"/>
              <w:rPr>
                <w:rFonts w:ascii="Times New Roman"/>
                <w:color w:val="auto"/>
                <w:sz w:val="20"/>
                <w:szCs w:val="20"/>
              </w:rPr>
            </w:pPr>
          </w:p>
        </w:tc>
        <w:tc>
          <w:tcPr>
            <w:tcW w:w="847" w:type="pct"/>
          </w:tcPr>
          <w:p w14:paraId="22C807A2" w14:textId="77777777" w:rsidR="00AE26D3" w:rsidRPr="00B0658A" w:rsidRDefault="00AE26D3" w:rsidP="00004A41">
            <w:pPr>
              <w:spacing w:after="0" w:line="240" w:lineRule="auto"/>
              <w:jc w:val="both"/>
              <w:rPr>
                <w:rFonts w:ascii="Times New Roman"/>
                <w:color w:val="auto"/>
                <w:sz w:val="20"/>
                <w:szCs w:val="20"/>
              </w:rPr>
            </w:pPr>
          </w:p>
        </w:tc>
        <w:tc>
          <w:tcPr>
            <w:tcW w:w="985" w:type="pct"/>
          </w:tcPr>
          <w:p w14:paraId="6ED9A552" w14:textId="77777777" w:rsidR="00AE26D3" w:rsidRPr="00B0658A" w:rsidRDefault="00AE26D3" w:rsidP="00004A41">
            <w:pPr>
              <w:spacing w:after="0" w:line="240" w:lineRule="auto"/>
              <w:jc w:val="both"/>
              <w:rPr>
                <w:rFonts w:ascii="Times New Roman"/>
                <w:color w:val="auto"/>
                <w:sz w:val="20"/>
                <w:szCs w:val="20"/>
              </w:rPr>
            </w:pPr>
          </w:p>
        </w:tc>
        <w:tc>
          <w:tcPr>
            <w:tcW w:w="1189" w:type="pct"/>
          </w:tcPr>
          <w:p w14:paraId="2EA821F7" w14:textId="77777777" w:rsidR="00AE26D3" w:rsidRPr="00B0658A" w:rsidRDefault="00AE26D3" w:rsidP="00004A41">
            <w:pPr>
              <w:spacing w:after="0" w:line="240" w:lineRule="auto"/>
              <w:jc w:val="both"/>
              <w:rPr>
                <w:rFonts w:ascii="Times New Roman"/>
                <w:color w:val="auto"/>
                <w:sz w:val="20"/>
                <w:szCs w:val="20"/>
              </w:rPr>
            </w:pPr>
          </w:p>
        </w:tc>
      </w:tr>
      <w:tr w:rsidR="00F52FED" w:rsidRPr="00B0658A" w14:paraId="70AA50E5" w14:textId="77777777" w:rsidTr="00AF35BB">
        <w:trPr>
          <w:trHeight w:val="20"/>
        </w:trPr>
        <w:tc>
          <w:tcPr>
            <w:tcW w:w="174" w:type="pct"/>
          </w:tcPr>
          <w:p w14:paraId="451F1CB1" w14:textId="77777777" w:rsidR="00AE26D3" w:rsidRPr="00B0658A" w:rsidRDefault="00AE26D3" w:rsidP="00004A41">
            <w:pPr>
              <w:spacing w:after="0" w:line="240" w:lineRule="auto"/>
              <w:jc w:val="both"/>
              <w:rPr>
                <w:rFonts w:ascii="Times New Roman"/>
                <w:color w:val="auto"/>
                <w:sz w:val="20"/>
                <w:szCs w:val="20"/>
              </w:rPr>
            </w:pPr>
            <w:r w:rsidRPr="00B0658A">
              <w:rPr>
                <w:rFonts w:ascii="Times New Roman"/>
                <w:color w:val="auto"/>
                <w:sz w:val="20"/>
                <w:szCs w:val="20"/>
                <w:lang w:val="en-US"/>
              </w:rPr>
              <w:t>…</w:t>
            </w:r>
          </w:p>
        </w:tc>
        <w:tc>
          <w:tcPr>
            <w:tcW w:w="892" w:type="pct"/>
          </w:tcPr>
          <w:p w14:paraId="559C98BB" w14:textId="77777777" w:rsidR="00AE26D3" w:rsidRPr="00B0658A" w:rsidRDefault="00AE26D3" w:rsidP="00004A41">
            <w:pPr>
              <w:spacing w:after="0" w:line="240" w:lineRule="auto"/>
              <w:jc w:val="both"/>
              <w:rPr>
                <w:rFonts w:ascii="Times New Roman"/>
                <w:color w:val="auto"/>
                <w:sz w:val="20"/>
                <w:szCs w:val="20"/>
              </w:rPr>
            </w:pPr>
          </w:p>
        </w:tc>
        <w:tc>
          <w:tcPr>
            <w:tcW w:w="913" w:type="pct"/>
          </w:tcPr>
          <w:p w14:paraId="739C1406" w14:textId="77777777" w:rsidR="00AE26D3" w:rsidRPr="00B0658A" w:rsidRDefault="00AE26D3" w:rsidP="00004A41">
            <w:pPr>
              <w:spacing w:after="0" w:line="240" w:lineRule="auto"/>
              <w:jc w:val="both"/>
              <w:rPr>
                <w:rFonts w:ascii="Times New Roman"/>
                <w:color w:val="auto"/>
                <w:sz w:val="20"/>
                <w:szCs w:val="20"/>
              </w:rPr>
            </w:pPr>
          </w:p>
        </w:tc>
        <w:tc>
          <w:tcPr>
            <w:tcW w:w="847" w:type="pct"/>
          </w:tcPr>
          <w:p w14:paraId="45B91F11" w14:textId="77777777" w:rsidR="00AE26D3" w:rsidRPr="00B0658A" w:rsidRDefault="00AE26D3" w:rsidP="00004A41">
            <w:pPr>
              <w:spacing w:after="0" w:line="240" w:lineRule="auto"/>
              <w:jc w:val="both"/>
              <w:rPr>
                <w:rFonts w:ascii="Times New Roman"/>
                <w:color w:val="auto"/>
                <w:sz w:val="20"/>
                <w:szCs w:val="20"/>
              </w:rPr>
            </w:pPr>
          </w:p>
        </w:tc>
        <w:tc>
          <w:tcPr>
            <w:tcW w:w="985" w:type="pct"/>
          </w:tcPr>
          <w:p w14:paraId="69E9B6CD" w14:textId="77777777" w:rsidR="00AE26D3" w:rsidRPr="00B0658A" w:rsidRDefault="00AE26D3" w:rsidP="00004A41">
            <w:pPr>
              <w:spacing w:after="0" w:line="240" w:lineRule="auto"/>
              <w:jc w:val="both"/>
              <w:rPr>
                <w:rFonts w:ascii="Times New Roman"/>
                <w:color w:val="auto"/>
                <w:sz w:val="20"/>
                <w:szCs w:val="20"/>
              </w:rPr>
            </w:pPr>
          </w:p>
        </w:tc>
        <w:tc>
          <w:tcPr>
            <w:tcW w:w="1189" w:type="pct"/>
          </w:tcPr>
          <w:p w14:paraId="4616B854" w14:textId="77777777" w:rsidR="00AE26D3" w:rsidRPr="00B0658A" w:rsidRDefault="00AE26D3" w:rsidP="00004A41">
            <w:pPr>
              <w:spacing w:after="0" w:line="240" w:lineRule="auto"/>
              <w:jc w:val="both"/>
              <w:rPr>
                <w:rFonts w:ascii="Times New Roman"/>
                <w:color w:val="auto"/>
                <w:sz w:val="20"/>
                <w:szCs w:val="20"/>
              </w:rPr>
            </w:pPr>
          </w:p>
        </w:tc>
      </w:tr>
      <w:tr w:rsidR="00F52FED" w:rsidRPr="00B0658A" w14:paraId="6132B2DB" w14:textId="77777777" w:rsidTr="00AF35BB">
        <w:trPr>
          <w:trHeight w:val="20"/>
        </w:trPr>
        <w:tc>
          <w:tcPr>
            <w:tcW w:w="5000" w:type="pct"/>
            <w:gridSpan w:val="6"/>
          </w:tcPr>
          <w:p w14:paraId="50EE4DFD" w14:textId="77777777" w:rsidR="00AE26D3" w:rsidRPr="00B0658A" w:rsidRDefault="00AE26D3" w:rsidP="00004A41">
            <w:pPr>
              <w:spacing w:after="0" w:line="240" w:lineRule="auto"/>
              <w:jc w:val="both"/>
              <w:rPr>
                <w:rFonts w:ascii="Times New Roman"/>
                <w:color w:val="auto"/>
                <w:sz w:val="20"/>
                <w:szCs w:val="20"/>
              </w:rPr>
            </w:pPr>
            <w:r w:rsidRPr="00B0658A">
              <w:rPr>
                <w:rFonts w:ascii="Times New Roman"/>
                <w:color w:val="auto"/>
                <w:sz w:val="20"/>
                <w:szCs w:val="20"/>
                <w:lang w:val="en-US"/>
              </w:rPr>
              <w:t>N</w:t>
            </w:r>
            <w:r w:rsidRPr="00B0658A">
              <w:rPr>
                <w:rFonts w:ascii="Times New Roman"/>
                <w:color w:val="auto"/>
                <w:sz w:val="20"/>
                <w:szCs w:val="20"/>
              </w:rPr>
              <w:t xml:space="preserve">. Мероприятия по переводу ________ (наименование государственной или ведомственной информационной системы № </w:t>
            </w:r>
            <w:r w:rsidRPr="00B0658A">
              <w:rPr>
                <w:rFonts w:ascii="Times New Roman"/>
                <w:color w:val="auto"/>
                <w:sz w:val="20"/>
                <w:szCs w:val="20"/>
                <w:lang w:val="en-US"/>
              </w:rPr>
              <w:t>N</w:t>
            </w:r>
            <w:r w:rsidRPr="00B0658A">
              <w:rPr>
                <w:rFonts w:ascii="Times New Roman"/>
                <w:color w:val="auto"/>
                <w:sz w:val="20"/>
                <w:szCs w:val="20"/>
              </w:rPr>
              <w:t>) на использование российское ПО</w:t>
            </w:r>
          </w:p>
        </w:tc>
      </w:tr>
      <w:tr w:rsidR="00F52FED" w:rsidRPr="00B0658A" w14:paraId="6DE7768B" w14:textId="77777777" w:rsidTr="00AF35BB">
        <w:trPr>
          <w:trHeight w:val="20"/>
        </w:trPr>
        <w:tc>
          <w:tcPr>
            <w:tcW w:w="174" w:type="pct"/>
          </w:tcPr>
          <w:p w14:paraId="7104747D" w14:textId="77777777" w:rsidR="00AE26D3" w:rsidRPr="00B0658A" w:rsidRDefault="00AE26D3" w:rsidP="00004A41">
            <w:pPr>
              <w:spacing w:after="0" w:line="240" w:lineRule="auto"/>
              <w:jc w:val="both"/>
              <w:rPr>
                <w:rFonts w:ascii="Times New Roman"/>
                <w:color w:val="auto"/>
                <w:sz w:val="20"/>
                <w:szCs w:val="20"/>
              </w:rPr>
            </w:pPr>
            <w:r w:rsidRPr="00B0658A">
              <w:rPr>
                <w:rFonts w:ascii="Times New Roman"/>
                <w:color w:val="auto"/>
                <w:sz w:val="20"/>
                <w:szCs w:val="20"/>
                <w:lang w:val="en-US"/>
              </w:rPr>
              <w:t>N.1</w:t>
            </w:r>
          </w:p>
        </w:tc>
        <w:tc>
          <w:tcPr>
            <w:tcW w:w="892" w:type="pct"/>
          </w:tcPr>
          <w:p w14:paraId="52F5E60E" w14:textId="77777777" w:rsidR="00AE26D3" w:rsidRPr="00B0658A" w:rsidRDefault="00AE26D3" w:rsidP="00004A41">
            <w:pPr>
              <w:spacing w:after="0" w:line="240" w:lineRule="auto"/>
              <w:jc w:val="both"/>
              <w:rPr>
                <w:rFonts w:ascii="Times New Roman"/>
                <w:color w:val="auto"/>
                <w:sz w:val="20"/>
                <w:szCs w:val="20"/>
              </w:rPr>
            </w:pPr>
          </w:p>
        </w:tc>
        <w:tc>
          <w:tcPr>
            <w:tcW w:w="913" w:type="pct"/>
          </w:tcPr>
          <w:p w14:paraId="3E8790A9" w14:textId="77777777" w:rsidR="00AE26D3" w:rsidRPr="00B0658A" w:rsidRDefault="00AE26D3" w:rsidP="00004A41">
            <w:pPr>
              <w:spacing w:after="0" w:line="240" w:lineRule="auto"/>
              <w:jc w:val="both"/>
              <w:rPr>
                <w:rFonts w:ascii="Times New Roman"/>
                <w:color w:val="auto"/>
                <w:sz w:val="20"/>
                <w:szCs w:val="20"/>
              </w:rPr>
            </w:pPr>
          </w:p>
        </w:tc>
        <w:tc>
          <w:tcPr>
            <w:tcW w:w="847" w:type="pct"/>
          </w:tcPr>
          <w:p w14:paraId="71C57A9C" w14:textId="77777777" w:rsidR="00AE26D3" w:rsidRPr="00B0658A" w:rsidRDefault="00AE26D3" w:rsidP="00004A41">
            <w:pPr>
              <w:spacing w:after="0" w:line="240" w:lineRule="auto"/>
              <w:jc w:val="both"/>
              <w:rPr>
                <w:rFonts w:ascii="Times New Roman"/>
                <w:color w:val="auto"/>
                <w:sz w:val="20"/>
                <w:szCs w:val="20"/>
              </w:rPr>
            </w:pPr>
          </w:p>
        </w:tc>
        <w:tc>
          <w:tcPr>
            <w:tcW w:w="985" w:type="pct"/>
          </w:tcPr>
          <w:p w14:paraId="3FFD9CFF" w14:textId="77777777" w:rsidR="00AE26D3" w:rsidRPr="00B0658A" w:rsidRDefault="00AE26D3" w:rsidP="00004A41">
            <w:pPr>
              <w:spacing w:after="0" w:line="240" w:lineRule="auto"/>
              <w:jc w:val="both"/>
              <w:rPr>
                <w:rFonts w:ascii="Times New Roman"/>
                <w:color w:val="auto"/>
                <w:sz w:val="20"/>
                <w:szCs w:val="20"/>
              </w:rPr>
            </w:pPr>
          </w:p>
        </w:tc>
        <w:tc>
          <w:tcPr>
            <w:tcW w:w="1189" w:type="pct"/>
          </w:tcPr>
          <w:p w14:paraId="7F7CB2E2" w14:textId="77777777" w:rsidR="00AE26D3" w:rsidRPr="00B0658A" w:rsidRDefault="00AE26D3" w:rsidP="00004A41">
            <w:pPr>
              <w:spacing w:after="0" w:line="240" w:lineRule="auto"/>
              <w:jc w:val="both"/>
              <w:rPr>
                <w:rFonts w:ascii="Times New Roman"/>
                <w:color w:val="auto"/>
                <w:sz w:val="20"/>
                <w:szCs w:val="20"/>
              </w:rPr>
            </w:pPr>
          </w:p>
        </w:tc>
      </w:tr>
      <w:tr w:rsidR="00F52FED" w:rsidRPr="00B0658A" w14:paraId="370B1A3F" w14:textId="77777777" w:rsidTr="00AF35BB">
        <w:trPr>
          <w:trHeight w:val="20"/>
        </w:trPr>
        <w:tc>
          <w:tcPr>
            <w:tcW w:w="174" w:type="pct"/>
          </w:tcPr>
          <w:p w14:paraId="63BBA8CE" w14:textId="77777777" w:rsidR="00AE26D3" w:rsidRPr="00B0658A" w:rsidRDefault="00AE26D3" w:rsidP="00004A41">
            <w:pPr>
              <w:spacing w:after="0" w:line="240" w:lineRule="auto"/>
              <w:jc w:val="both"/>
              <w:rPr>
                <w:rFonts w:ascii="Times New Roman"/>
                <w:color w:val="auto"/>
                <w:sz w:val="20"/>
                <w:szCs w:val="20"/>
              </w:rPr>
            </w:pPr>
            <w:r w:rsidRPr="00B0658A">
              <w:rPr>
                <w:rFonts w:ascii="Times New Roman"/>
                <w:color w:val="auto"/>
                <w:sz w:val="20"/>
                <w:szCs w:val="20"/>
                <w:lang w:val="en-US"/>
              </w:rPr>
              <w:t>N.2</w:t>
            </w:r>
          </w:p>
        </w:tc>
        <w:tc>
          <w:tcPr>
            <w:tcW w:w="892" w:type="pct"/>
          </w:tcPr>
          <w:p w14:paraId="3147DFD9" w14:textId="77777777" w:rsidR="00AE26D3" w:rsidRPr="00B0658A" w:rsidRDefault="00AE26D3" w:rsidP="00004A41">
            <w:pPr>
              <w:spacing w:after="0" w:line="240" w:lineRule="auto"/>
              <w:jc w:val="both"/>
              <w:rPr>
                <w:rFonts w:ascii="Times New Roman"/>
                <w:color w:val="auto"/>
                <w:sz w:val="20"/>
                <w:szCs w:val="20"/>
              </w:rPr>
            </w:pPr>
          </w:p>
        </w:tc>
        <w:tc>
          <w:tcPr>
            <w:tcW w:w="913" w:type="pct"/>
          </w:tcPr>
          <w:p w14:paraId="2D6348B9" w14:textId="77777777" w:rsidR="00AE26D3" w:rsidRPr="00B0658A" w:rsidRDefault="00AE26D3" w:rsidP="00004A41">
            <w:pPr>
              <w:spacing w:after="0" w:line="240" w:lineRule="auto"/>
              <w:jc w:val="both"/>
              <w:rPr>
                <w:rFonts w:ascii="Times New Roman"/>
                <w:color w:val="auto"/>
                <w:sz w:val="20"/>
                <w:szCs w:val="20"/>
              </w:rPr>
            </w:pPr>
          </w:p>
        </w:tc>
        <w:tc>
          <w:tcPr>
            <w:tcW w:w="847" w:type="pct"/>
          </w:tcPr>
          <w:p w14:paraId="54E9A039" w14:textId="77777777" w:rsidR="00AE26D3" w:rsidRPr="00B0658A" w:rsidRDefault="00AE26D3" w:rsidP="00004A41">
            <w:pPr>
              <w:spacing w:after="0" w:line="240" w:lineRule="auto"/>
              <w:jc w:val="both"/>
              <w:rPr>
                <w:rFonts w:ascii="Times New Roman"/>
                <w:color w:val="auto"/>
                <w:sz w:val="20"/>
                <w:szCs w:val="20"/>
              </w:rPr>
            </w:pPr>
          </w:p>
        </w:tc>
        <w:tc>
          <w:tcPr>
            <w:tcW w:w="985" w:type="pct"/>
          </w:tcPr>
          <w:p w14:paraId="21B47B55" w14:textId="77777777" w:rsidR="00AE26D3" w:rsidRPr="00B0658A" w:rsidRDefault="00AE26D3" w:rsidP="00004A41">
            <w:pPr>
              <w:spacing w:after="0" w:line="240" w:lineRule="auto"/>
              <w:jc w:val="both"/>
              <w:rPr>
                <w:rFonts w:ascii="Times New Roman"/>
                <w:color w:val="auto"/>
                <w:sz w:val="20"/>
                <w:szCs w:val="20"/>
              </w:rPr>
            </w:pPr>
          </w:p>
        </w:tc>
        <w:tc>
          <w:tcPr>
            <w:tcW w:w="1189" w:type="pct"/>
          </w:tcPr>
          <w:p w14:paraId="23EC3071" w14:textId="77777777" w:rsidR="00AE26D3" w:rsidRPr="00B0658A" w:rsidRDefault="00AE26D3" w:rsidP="00004A41">
            <w:pPr>
              <w:spacing w:after="0" w:line="240" w:lineRule="auto"/>
              <w:jc w:val="both"/>
              <w:rPr>
                <w:rFonts w:ascii="Times New Roman"/>
                <w:color w:val="auto"/>
                <w:sz w:val="20"/>
                <w:szCs w:val="20"/>
              </w:rPr>
            </w:pPr>
          </w:p>
        </w:tc>
      </w:tr>
      <w:tr w:rsidR="00AE26D3" w:rsidRPr="00B0658A" w14:paraId="3AEEA24A" w14:textId="77777777" w:rsidTr="00AF35BB">
        <w:trPr>
          <w:trHeight w:val="20"/>
        </w:trPr>
        <w:tc>
          <w:tcPr>
            <w:tcW w:w="174" w:type="pct"/>
          </w:tcPr>
          <w:p w14:paraId="3FFAA965" w14:textId="77777777" w:rsidR="00AE26D3" w:rsidRPr="00B0658A" w:rsidRDefault="00AE26D3" w:rsidP="00004A41">
            <w:pPr>
              <w:spacing w:after="0" w:line="240" w:lineRule="auto"/>
              <w:jc w:val="both"/>
              <w:rPr>
                <w:rFonts w:ascii="Times New Roman"/>
                <w:color w:val="auto"/>
                <w:sz w:val="20"/>
                <w:szCs w:val="20"/>
              </w:rPr>
            </w:pPr>
            <w:r w:rsidRPr="00B0658A">
              <w:rPr>
                <w:rFonts w:ascii="Times New Roman"/>
                <w:color w:val="auto"/>
                <w:sz w:val="20"/>
                <w:szCs w:val="20"/>
                <w:lang w:val="en-US"/>
              </w:rPr>
              <w:t>…</w:t>
            </w:r>
          </w:p>
        </w:tc>
        <w:tc>
          <w:tcPr>
            <w:tcW w:w="892" w:type="pct"/>
          </w:tcPr>
          <w:p w14:paraId="0E415E9D" w14:textId="77777777" w:rsidR="00AE26D3" w:rsidRPr="00B0658A" w:rsidRDefault="00AE26D3" w:rsidP="00004A41">
            <w:pPr>
              <w:spacing w:after="0" w:line="240" w:lineRule="auto"/>
              <w:jc w:val="both"/>
              <w:rPr>
                <w:rFonts w:ascii="Times New Roman"/>
                <w:color w:val="auto"/>
                <w:sz w:val="20"/>
                <w:szCs w:val="20"/>
              </w:rPr>
            </w:pPr>
          </w:p>
        </w:tc>
        <w:tc>
          <w:tcPr>
            <w:tcW w:w="913" w:type="pct"/>
          </w:tcPr>
          <w:p w14:paraId="7CD7551E" w14:textId="77777777" w:rsidR="00AE26D3" w:rsidRPr="00B0658A" w:rsidRDefault="00AE26D3" w:rsidP="00004A41">
            <w:pPr>
              <w:spacing w:after="0" w:line="240" w:lineRule="auto"/>
              <w:jc w:val="both"/>
              <w:rPr>
                <w:rFonts w:ascii="Times New Roman"/>
                <w:color w:val="auto"/>
                <w:sz w:val="20"/>
                <w:szCs w:val="20"/>
              </w:rPr>
            </w:pPr>
          </w:p>
        </w:tc>
        <w:tc>
          <w:tcPr>
            <w:tcW w:w="847" w:type="pct"/>
          </w:tcPr>
          <w:p w14:paraId="6BE966EB" w14:textId="77777777" w:rsidR="00AE26D3" w:rsidRPr="00B0658A" w:rsidRDefault="00AE26D3" w:rsidP="00004A41">
            <w:pPr>
              <w:spacing w:after="0" w:line="240" w:lineRule="auto"/>
              <w:jc w:val="both"/>
              <w:rPr>
                <w:rFonts w:ascii="Times New Roman"/>
                <w:color w:val="auto"/>
                <w:sz w:val="20"/>
                <w:szCs w:val="20"/>
              </w:rPr>
            </w:pPr>
          </w:p>
        </w:tc>
        <w:tc>
          <w:tcPr>
            <w:tcW w:w="985" w:type="pct"/>
          </w:tcPr>
          <w:p w14:paraId="741E2B7F" w14:textId="77777777" w:rsidR="00AE26D3" w:rsidRPr="00B0658A" w:rsidRDefault="00AE26D3" w:rsidP="00004A41">
            <w:pPr>
              <w:spacing w:after="0" w:line="240" w:lineRule="auto"/>
              <w:jc w:val="both"/>
              <w:rPr>
                <w:rFonts w:ascii="Times New Roman"/>
                <w:color w:val="auto"/>
                <w:sz w:val="20"/>
                <w:szCs w:val="20"/>
              </w:rPr>
            </w:pPr>
          </w:p>
        </w:tc>
        <w:tc>
          <w:tcPr>
            <w:tcW w:w="1189" w:type="pct"/>
          </w:tcPr>
          <w:p w14:paraId="44779728" w14:textId="77777777" w:rsidR="00AE26D3" w:rsidRPr="00B0658A" w:rsidRDefault="00AE26D3" w:rsidP="00004A41">
            <w:pPr>
              <w:spacing w:after="0" w:line="240" w:lineRule="auto"/>
              <w:jc w:val="both"/>
              <w:rPr>
                <w:rFonts w:ascii="Times New Roman"/>
                <w:color w:val="auto"/>
                <w:sz w:val="20"/>
                <w:szCs w:val="20"/>
              </w:rPr>
            </w:pPr>
          </w:p>
        </w:tc>
      </w:tr>
    </w:tbl>
    <w:p w14:paraId="6FD4B2AB" w14:textId="77777777" w:rsidR="00AE26D3" w:rsidRPr="00B0658A" w:rsidRDefault="00AE26D3" w:rsidP="00AE26D3">
      <w:pPr>
        <w:pStyle w:val="afd"/>
        <w:spacing w:line="240" w:lineRule="auto"/>
        <w:ind w:left="1069"/>
        <w:jc w:val="both"/>
        <w:rPr>
          <w:rFonts w:ascii="Times New Roman" w:hAnsi="Times New Roman"/>
        </w:rPr>
      </w:pPr>
    </w:p>
    <w:p w14:paraId="4DD73664" w14:textId="77777777" w:rsidR="00B71F3F" w:rsidRPr="00B0658A" w:rsidRDefault="00B71F3F" w:rsidP="00B71F3F">
      <w:pPr>
        <w:spacing w:line="240" w:lineRule="auto"/>
        <w:ind w:firstLine="709"/>
        <w:jc w:val="both"/>
        <w:rPr>
          <w:rFonts w:ascii="Times New Roman" w:hAnsi="Times New Roman"/>
          <w:sz w:val="28"/>
          <w:szCs w:val="28"/>
        </w:rPr>
      </w:pPr>
      <w:r w:rsidRPr="00B0658A">
        <w:rPr>
          <w:rFonts w:ascii="Times New Roman" w:hAnsi="Times New Roman"/>
          <w:sz w:val="28"/>
          <w:szCs w:val="28"/>
        </w:rPr>
        <w:t>2. Сведения о</w:t>
      </w:r>
      <w:r w:rsidR="00C56F1C" w:rsidRPr="00B0658A">
        <w:rPr>
          <w:rFonts w:ascii="Times New Roman" w:hAnsi="Times New Roman"/>
          <w:sz w:val="28"/>
          <w:szCs w:val="28"/>
        </w:rPr>
        <w:t>б объемах финансов</w:t>
      </w:r>
      <w:r w:rsidR="00815605" w:rsidRPr="00B0658A">
        <w:rPr>
          <w:rFonts w:ascii="Times New Roman" w:hAnsi="Times New Roman"/>
          <w:sz w:val="28"/>
          <w:szCs w:val="28"/>
        </w:rPr>
        <w:t>ых ресурсов, направленных на</w:t>
      </w:r>
      <w:r w:rsidR="00C56F1C" w:rsidRPr="00B0658A">
        <w:rPr>
          <w:rFonts w:ascii="Times New Roman" w:hAnsi="Times New Roman"/>
          <w:sz w:val="28"/>
          <w:szCs w:val="28"/>
        </w:rPr>
        <w:t xml:space="preserve"> обеспечени</w:t>
      </w:r>
      <w:r w:rsidR="00815605" w:rsidRPr="00B0658A">
        <w:rPr>
          <w:rFonts w:ascii="Times New Roman" w:hAnsi="Times New Roman"/>
          <w:sz w:val="28"/>
          <w:szCs w:val="28"/>
        </w:rPr>
        <w:t>е</w:t>
      </w:r>
      <w:r w:rsidR="00C56F1C" w:rsidRPr="00B0658A">
        <w:rPr>
          <w:rFonts w:ascii="Times New Roman" w:hAnsi="Times New Roman"/>
          <w:sz w:val="28"/>
          <w:szCs w:val="28"/>
        </w:rPr>
        <w:t xml:space="preserve"> перевода государственных и </w:t>
      </w:r>
      <w:r w:rsidR="00E45D98" w:rsidRPr="00B0658A">
        <w:rPr>
          <w:rFonts w:ascii="Times New Roman" w:hAnsi="Times New Roman"/>
          <w:sz w:val="28"/>
          <w:szCs w:val="28"/>
        </w:rPr>
        <w:t xml:space="preserve">ведомственных </w:t>
      </w:r>
      <w:r w:rsidR="00C56F1C" w:rsidRPr="00B0658A">
        <w:rPr>
          <w:rFonts w:ascii="Times New Roman" w:hAnsi="Times New Roman"/>
          <w:sz w:val="28"/>
          <w:szCs w:val="28"/>
        </w:rPr>
        <w:t>информационных систем на использование российского ПО</w:t>
      </w:r>
    </w:p>
    <w:tbl>
      <w:tblPr>
        <w:tblStyle w:val="afc"/>
        <w:tblW w:w="5000" w:type="pct"/>
        <w:tblLook w:val="04A0" w:firstRow="1" w:lastRow="0" w:firstColumn="1" w:lastColumn="0" w:noHBand="0" w:noVBand="1"/>
      </w:tblPr>
      <w:tblGrid>
        <w:gridCol w:w="563"/>
        <w:gridCol w:w="4111"/>
        <w:gridCol w:w="3684"/>
        <w:gridCol w:w="3829"/>
        <w:gridCol w:w="1757"/>
      </w:tblGrid>
      <w:tr w:rsidR="00F52FED" w:rsidRPr="00B0658A" w14:paraId="6C0A0A19" w14:textId="77777777" w:rsidTr="00385271">
        <w:trPr>
          <w:trHeight w:val="20"/>
        </w:trPr>
        <w:tc>
          <w:tcPr>
            <w:tcW w:w="202" w:type="pct"/>
            <w:vMerge w:val="restart"/>
            <w:vAlign w:val="center"/>
          </w:tcPr>
          <w:p w14:paraId="544E864D" w14:textId="77777777" w:rsidR="00FF6C7E" w:rsidRPr="00B0658A" w:rsidRDefault="00FF6C7E" w:rsidP="00004A41">
            <w:pPr>
              <w:spacing w:after="0" w:line="240" w:lineRule="auto"/>
              <w:jc w:val="center"/>
              <w:rPr>
                <w:rFonts w:ascii="Times New Roman" w:hAnsi="Times New Roman"/>
                <w:b/>
                <w:bCs/>
                <w:sz w:val="20"/>
                <w:szCs w:val="20"/>
              </w:rPr>
            </w:pPr>
            <w:r w:rsidRPr="00B0658A">
              <w:rPr>
                <w:rFonts w:ascii="Times New Roman" w:hAnsi="Times New Roman"/>
                <w:b/>
                <w:bCs/>
                <w:sz w:val="20"/>
                <w:szCs w:val="20"/>
              </w:rPr>
              <w:t>№</w:t>
            </w:r>
          </w:p>
        </w:tc>
        <w:tc>
          <w:tcPr>
            <w:tcW w:w="1474" w:type="pct"/>
            <w:vMerge w:val="restart"/>
            <w:vAlign w:val="center"/>
          </w:tcPr>
          <w:p w14:paraId="638307FF" w14:textId="77777777" w:rsidR="00FF6C7E" w:rsidRPr="00B0658A" w:rsidRDefault="00FF6C7E" w:rsidP="00004A41">
            <w:pPr>
              <w:spacing w:after="0" w:line="240" w:lineRule="auto"/>
              <w:jc w:val="center"/>
              <w:rPr>
                <w:rFonts w:ascii="Times New Roman" w:hAnsi="Times New Roman"/>
                <w:b/>
                <w:bCs/>
                <w:sz w:val="20"/>
                <w:szCs w:val="20"/>
              </w:rPr>
            </w:pPr>
            <w:r w:rsidRPr="00B0658A">
              <w:rPr>
                <w:rFonts w:ascii="Times New Roman" w:hAnsi="Times New Roman"/>
                <w:b/>
                <w:bCs/>
                <w:sz w:val="20"/>
                <w:szCs w:val="20"/>
              </w:rPr>
              <w:t>Наименование государственной или ведомственной информационной системы</w:t>
            </w:r>
          </w:p>
        </w:tc>
        <w:tc>
          <w:tcPr>
            <w:tcW w:w="2694" w:type="pct"/>
            <w:gridSpan w:val="2"/>
            <w:vAlign w:val="center"/>
          </w:tcPr>
          <w:p w14:paraId="34D69B2D" w14:textId="77777777" w:rsidR="00FF6C7E" w:rsidRPr="00B0658A" w:rsidRDefault="00FF6C7E" w:rsidP="00004A41">
            <w:pPr>
              <w:spacing w:after="0" w:line="240" w:lineRule="auto"/>
              <w:jc w:val="center"/>
              <w:rPr>
                <w:rFonts w:ascii="Times New Roman" w:hAnsi="Times New Roman"/>
                <w:b/>
                <w:bCs/>
                <w:sz w:val="20"/>
                <w:szCs w:val="20"/>
              </w:rPr>
            </w:pPr>
            <w:r w:rsidRPr="00B0658A">
              <w:rPr>
                <w:rFonts w:ascii="Times New Roman" w:hAnsi="Times New Roman"/>
                <w:b/>
                <w:bCs/>
                <w:sz w:val="20"/>
                <w:szCs w:val="20"/>
              </w:rPr>
              <w:t>Сведения об объём</w:t>
            </w:r>
            <w:r w:rsidR="00AF2ADE" w:rsidRPr="00B0658A">
              <w:rPr>
                <w:rFonts w:ascii="Times New Roman" w:hAnsi="Times New Roman"/>
                <w:b/>
                <w:bCs/>
                <w:sz w:val="20"/>
                <w:szCs w:val="20"/>
              </w:rPr>
              <w:t>ах</w:t>
            </w:r>
            <w:r w:rsidRPr="00B0658A">
              <w:rPr>
                <w:rFonts w:ascii="Times New Roman" w:hAnsi="Times New Roman"/>
                <w:b/>
                <w:bCs/>
                <w:sz w:val="20"/>
                <w:szCs w:val="20"/>
              </w:rPr>
              <w:t xml:space="preserve"> финансовых ресурсов, направленных на обеспечение пере</w:t>
            </w:r>
            <w:r w:rsidR="00AF2ADE" w:rsidRPr="00B0658A">
              <w:rPr>
                <w:rFonts w:ascii="Times New Roman" w:hAnsi="Times New Roman"/>
                <w:b/>
                <w:bCs/>
                <w:sz w:val="20"/>
                <w:szCs w:val="20"/>
              </w:rPr>
              <w:t>в</w:t>
            </w:r>
            <w:r w:rsidRPr="00B0658A">
              <w:rPr>
                <w:rFonts w:ascii="Times New Roman" w:hAnsi="Times New Roman"/>
                <w:b/>
                <w:bCs/>
                <w:sz w:val="20"/>
                <w:szCs w:val="20"/>
              </w:rPr>
              <w:t xml:space="preserve">ода государственных и ведомственных информационных систем на использование российского </w:t>
            </w:r>
            <w:r w:rsidR="00AF2ADE" w:rsidRPr="00B0658A">
              <w:rPr>
                <w:rFonts w:ascii="Times New Roman" w:hAnsi="Times New Roman"/>
                <w:b/>
                <w:bCs/>
                <w:sz w:val="20"/>
                <w:szCs w:val="20"/>
              </w:rPr>
              <w:t>ПО</w:t>
            </w:r>
            <w:r w:rsidRPr="00B0658A">
              <w:rPr>
                <w:rFonts w:ascii="Times New Roman" w:hAnsi="Times New Roman"/>
                <w:b/>
                <w:bCs/>
                <w:sz w:val="20"/>
                <w:szCs w:val="20"/>
              </w:rPr>
              <w:t xml:space="preserve"> за _______ г.</w:t>
            </w:r>
          </w:p>
        </w:tc>
        <w:tc>
          <w:tcPr>
            <w:tcW w:w="630" w:type="pct"/>
            <w:vMerge w:val="restart"/>
            <w:vAlign w:val="center"/>
          </w:tcPr>
          <w:p w14:paraId="280BE983" w14:textId="77777777" w:rsidR="00FF6C7E" w:rsidRPr="00B0658A" w:rsidRDefault="00FF6C7E" w:rsidP="00004A41">
            <w:pPr>
              <w:spacing w:after="0" w:line="240" w:lineRule="auto"/>
              <w:jc w:val="center"/>
              <w:rPr>
                <w:rFonts w:ascii="Times New Roman" w:hAnsi="Times New Roman"/>
                <w:b/>
                <w:bCs/>
                <w:sz w:val="20"/>
                <w:szCs w:val="20"/>
              </w:rPr>
            </w:pPr>
            <w:r w:rsidRPr="00B0658A">
              <w:rPr>
                <w:rFonts w:ascii="Times New Roman" w:hAnsi="Times New Roman"/>
                <w:b/>
                <w:bCs/>
                <w:sz w:val="20"/>
                <w:szCs w:val="20"/>
              </w:rPr>
              <w:t>Комментарии</w:t>
            </w:r>
          </w:p>
        </w:tc>
      </w:tr>
      <w:tr w:rsidR="00F52FED" w:rsidRPr="00B0658A" w14:paraId="2E27E4F6" w14:textId="77777777" w:rsidTr="00385271">
        <w:trPr>
          <w:trHeight w:val="20"/>
        </w:trPr>
        <w:tc>
          <w:tcPr>
            <w:tcW w:w="202" w:type="pct"/>
            <w:vMerge/>
            <w:vAlign w:val="center"/>
          </w:tcPr>
          <w:p w14:paraId="5832542C" w14:textId="77777777" w:rsidR="00FF6C7E" w:rsidRPr="00B0658A" w:rsidRDefault="00FF6C7E" w:rsidP="00004A41">
            <w:pPr>
              <w:spacing w:after="0" w:line="240" w:lineRule="auto"/>
              <w:jc w:val="center"/>
              <w:rPr>
                <w:rFonts w:ascii="Times New Roman" w:hAnsi="Times New Roman"/>
                <w:b/>
                <w:bCs/>
                <w:sz w:val="20"/>
                <w:szCs w:val="20"/>
              </w:rPr>
            </w:pPr>
          </w:p>
        </w:tc>
        <w:tc>
          <w:tcPr>
            <w:tcW w:w="1474" w:type="pct"/>
            <w:vMerge/>
            <w:vAlign w:val="center"/>
          </w:tcPr>
          <w:p w14:paraId="1DD3F5D3" w14:textId="77777777" w:rsidR="00FF6C7E" w:rsidRPr="00B0658A" w:rsidRDefault="00FF6C7E" w:rsidP="00004A41">
            <w:pPr>
              <w:spacing w:after="0" w:line="240" w:lineRule="auto"/>
              <w:jc w:val="center"/>
              <w:rPr>
                <w:rFonts w:ascii="Times New Roman" w:hAnsi="Times New Roman"/>
                <w:b/>
                <w:bCs/>
                <w:sz w:val="20"/>
                <w:szCs w:val="20"/>
              </w:rPr>
            </w:pPr>
          </w:p>
        </w:tc>
        <w:tc>
          <w:tcPr>
            <w:tcW w:w="1321" w:type="pct"/>
            <w:vAlign w:val="center"/>
          </w:tcPr>
          <w:p w14:paraId="678A7152" w14:textId="77777777" w:rsidR="00FF6C7E" w:rsidRPr="00B0658A" w:rsidRDefault="00FF6C7E" w:rsidP="00004A41">
            <w:pPr>
              <w:spacing w:after="0" w:line="240" w:lineRule="auto"/>
              <w:jc w:val="center"/>
              <w:rPr>
                <w:rFonts w:ascii="Times New Roman" w:hAnsi="Times New Roman"/>
                <w:b/>
                <w:bCs/>
                <w:sz w:val="20"/>
                <w:szCs w:val="20"/>
              </w:rPr>
            </w:pPr>
            <w:r w:rsidRPr="00B0658A">
              <w:rPr>
                <w:rFonts w:ascii="Times New Roman" w:hAnsi="Times New Roman"/>
                <w:b/>
                <w:bCs/>
                <w:sz w:val="20"/>
                <w:szCs w:val="20"/>
              </w:rPr>
              <w:t>Плановое значение, тыс. руб.</w:t>
            </w:r>
          </w:p>
        </w:tc>
        <w:tc>
          <w:tcPr>
            <w:tcW w:w="1373" w:type="pct"/>
            <w:vAlign w:val="center"/>
          </w:tcPr>
          <w:p w14:paraId="452A568B" w14:textId="77777777" w:rsidR="00FF6C7E" w:rsidRPr="00B0658A" w:rsidRDefault="00FF6C7E" w:rsidP="00004A41">
            <w:pPr>
              <w:spacing w:after="0" w:line="240" w:lineRule="auto"/>
              <w:jc w:val="center"/>
              <w:rPr>
                <w:rFonts w:ascii="Times New Roman" w:hAnsi="Times New Roman"/>
                <w:b/>
                <w:bCs/>
                <w:sz w:val="20"/>
                <w:szCs w:val="20"/>
              </w:rPr>
            </w:pPr>
            <w:r w:rsidRPr="00B0658A">
              <w:rPr>
                <w:rFonts w:ascii="Times New Roman" w:hAnsi="Times New Roman"/>
                <w:b/>
                <w:bCs/>
                <w:sz w:val="20"/>
                <w:szCs w:val="20"/>
              </w:rPr>
              <w:t>Фактическое значение, тыс. руб.</w:t>
            </w:r>
          </w:p>
        </w:tc>
        <w:tc>
          <w:tcPr>
            <w:tcW w:w="630" w:type="pct"/>
            <w:vMerge/>
            <w:vAlign w:val="center"/>
          </w:tcPr>
          <w:p w14:paraId="0446E0BA" w14:textId="77777777" w:rsidR="00FF6C7E" w:rsidRPr="00B0658A" w:rsidRDefault="00FF6C7E" w:rsidP="00004A41">
            <w:pPr>
              <w:spacing w:after="0" w:line="240" w:lineRule="auto"/>
              <w:jc w:val="center"/>
              <w:rPr>
                <w:rFonts w:ascii="Times New Roman" w:hAnsi="Times New Roman"/>
                <w:b/>
                <w:bCs/>
                <w:sz w:val="20"/>
                <w:szCs w:val="20"/>
              </w:rPr>
            </w:pPr>
          </w:p>
        </w:tc>
      </w:tr>
      <w:tr w:rsidR="00F52FED" w:rsidRPr="00B0658A" w14:paraId="27E079DA" w14:textId="77777777" w:rsidTr="00385271">
        <w:trPr>
          <w:trHeight w:val="20"/>
        </w:trPr>
        <w:tc>
          <w:tcPr>
            <w:tcW w:w="5000" w:type="pct"/>
            <w:gridSpan w:val="5"/>
            <w:vAlign w:val="center"/>
          </w:tcPr>
          <w:p w14:paraId="4B877D58" w14:textId="77777777" w:rsidR="00FF6C7E" w:rsidRPr="00B0658A" w:rsidRDefault="00FF6C7E" w:rsidP="00004A41">
            <w:pPr>
              <w:spacing w:after="0" w:line="240" w:lineRule="auto"/>
              <w:jc w:val="center"/>
              <w:rPr>
                <w:rFonts w:ascii="Times New Roman" w:hAnsi="Times New Roman"/>
                <w:i/>
                <w:iCs/>
                <w:sz w:val="20"/>
                <w:szCs w:val="20"/>
              </w:rPr>
            </w:pPr>
            <w:r w:rsidRPr="00B0658A">
              <w:rPr>
                <w:rFonts w:ascii="Times New Roman" w:hAnsi="Times New Roman"/>
                <w:b/>
                <w:sz w:val="20"/>
                <w:szCs w:val="20"/>
              </w:rPr>
              <w:t>Государственные и ведомственные информационные системы, подлежащие переводу на использование российского ПО до 31.12.2024</w:t>
            </w:r>
            <w:r w:rsidR="0016071D" w:rsidRPr="00B0658A">
              <w:rPr>
                <w:rFonts w:ascii="Times New Roman" w:hAnsi="Times New Roman"/>
                <w:b/>
                <w:sz w:val="20"/>
                <w:szCs w:val="20"/>
              </w:rPr>
              <w:t xml:space="preserve"> г.</w:t>
            </w:r>
          </w:p>
        </w:tc>
      </w:tr>
      <w:tr w:rsidR="00F52FED" w:rsidRPr="00B0658A" w14:paraId="047B7075" w14:textId="77777777" w:rsidTr="00385271">
        <w:trPr>
          <w:trHeight w:val="20"/>
        </w:trPr>
        <w:tc>
          <w:tcPr>
            <w:tcW w:w="202" w:type="pct"/>
          </w:tcPr>
          <w:p w14:paraId="69AF74B6" w14:textId="77777777" w:rsidR="00FF6C7E" w:rsidRPr="00B0658A" w:rsidRDefault="00FF6C7E" w:rsidP="00004A41">
            <w:pPr>
              <w:spacing w:after="0" w:line="240" w:lineRule="auto"/>
              <w:jc w:val="both"/>
              <w:rPr>
                <w:rFonts w:ascii="Times New Roman" w:hAnsi="Times New Roman"/>
                <w:sz w:val="20"/>
                <w:szCs w:val="20"/>
              </w:rPr>
            </w:pPr>
            <w:r w:rsidRPr="00B0658A">
              <w:rPr>
                <w:rFonts w:ascii="Times New Roman" w:hAnsi="Times New Roman"/>
                <w:sz w:val="20"/>
                <w:szCs w:val="20"/>
              </w:rPr>
              <w:t>1.</w:t>
            </w:r>
          </w:p>
        </w:tc>
        <w:tc>
          <w:tcPr>
            <w:tcW w:w="1474" w:type="pct"/>
          </w:tcPr>
          <w:p w14:paraId="0B1D6621" w14:textId="77777777" w:rsidR="00FF6C7E" w:rsidRPr="00B0658A" w:rsidRDefault="00FF6C7E" w:rsidP="00004A41">
            <w:pPr>
              <w:spacing w:after="0" w:line="240" w:lineRule="auto"/>
              <w:jc w:val="both"/>
              <w:rPr>
                <w:rFonts w:ascii="Times New Roman" w:hAnsi="Times New Roman"/>
                <w:sz w:val="20"/>
                <w:szCs w:val="20"/>
              </w:rPr>
            </w:pPr>
            <w:r w:rsidRPr="00B0658A">
              <w:rPr>
                <w:rFonts w:ascii="Times New Roman" w:hAnsi="Times New Roman"/>
                <w:i/>
                <w:sz w:val="20"/>
                <w:szCs w:val="20"/>
              </w:rPr>
              <w:t>Указывается наименование государственной или ведомственной информационной №1</w:t>
            </w:r>
          </w:p>
        </w:tc>
        <w:tc>
          <w:tcPr>
            <w:tcW w:w="1321" w:type="pct"/>
          </w:tcPr>
          <w:p w14:paraId="01E3A4B5" w14:textId="77777777" w:rsidR="00FF6C7E" w:rsidRPr="00B0658A" w:rsidRDefault="00FF6C7E" w:rsidP="00004A41">
            <w:pPr>
              <w:spacing w:after="0" w:line="240" w:lineRule="auto"/>
              <w:jc w:val="both"/>
              <w:rPr>
                <w:rFonts w:ascii="Times New Roman" w:hAnsi="Times New Roman"/>
                <w:sz w:val="20"/>
                <w:szCs w:val="20"/>
              </w:rPr>
            </w:pPr>
            <w:r w:rsidRPr="00B0658A">
              <w:rPr>
                <w:rFonts w:ascii="Times New Roman" w:hAnsi="Times New Roman"/>
                <w:i/>
                <w:iCs/>
                <w:sz w:val="20"/>
                <w:szCs w:val="20"/>
              </w:rPr>
              <w:t>Указывается плановое значение на соответствующий год в соответствии с показателями, установленными в детализированном плане перевода государственных и информационных систем на</w:t>
            </w:r>
            <w:r w:rsidR="00CF779C" w:rsidRPr="00B0658A">
              <w:rPr>
                <w:rFonts w:ascii="Times New Roman" w:hAnsi="Times New Roman"/>
                <w:i/>
                <w:iCs/>
                <w:sz w:val="20"/>
                <w:szCs w:val="20"/>
              </w:rPr>
              <w:t xml:space="preserve"> использование</w:t>
            </w:r>
            <w:r w:rsidRPr="00B0658A">
              <w:rPr>
                <w:rFonts w:ascii="Times New Roman" w:hAnsi="Times New Roman"/>
                <w:i/>
                <w:iCs/>
                <w:sz w:val="20"/>
                <w:szCs w:val="20"/>
              </w:rPr>
              <w:t xml:space="preserve"> российское ПО</w:t>
            </w:r>
          </w:p>
        </w:tc>
        <w:tc>
          <w:tcPr>
            <w:tcW w:w="1373" w:type="pct"/>
          </w:tcPr>
          <w:p w14:paraId="15326762" w14:textId="77777777" w:rsidR="00FF6C7E" w:rsidRPr="00B0658A" w:rsidRDefault="00FF6C7E" w:rsidP="00004A41">
            <w:pPr>
              <w:spacing w:after="0" w:line="240" w:lineRule="auto"/>
              <w:jc w:val="both"/>
              <w:rPr>
                <w:rFonts w:ascii="Times New Roman" w:hAnsi="Times New Roman"/>
                <w:i/>
                <w:iCs/>
                <w:sz w:val="20"/>
                <w:szCs w:val="20"/>
              </w:rPr>
            </w:pPr>
            <w:r w:rsidRPr="00B0658A">
              <w:rPr>
                <w:rFonts w:ascii="Times New Roman" w:hAnsi="Times New Roman"/>
                <w:i/>
                <w:iCs/>
                <w:sz w:val="20"/>
                <w:szCs w:val="20"/>
              </w:rPr>
              <w:t xml:space="preserve">Указываются фактические объемы финансовых ресурсов, направленных на перевод государственных и </w:t>
            </w:r>
            <w:r w:rsidR="00E45D98" w:rsidRPr="00B0658A">
              <w:rPr>
                <w:rFonts w:ascii="Times New Roman" w:hAnsi="Times New Roman"/>
                <w:i/>
                <w:iCs/>
                <w:sz w:val="20"/>
                <w:szCs w:val="20"/>
              </w:rPr>
              <w:t xml:space="preserve">ведомственных </w:t>
            </w:r>
            <w:r w:rsidRPr="00B0658A">
              <w:rPr>
                <w:rFonts w:ascii="Times New Roman" w:hAnsi="Times New Roman"/>
                <w:i/>
                <w:iCs/>
                <w:sz w:val="20"/>
                <w:szCs w:val="20"/>
              </w:rPr>
              <w:t>информационных систем на использование российского ПО за соответствующий отчетный период.</w:t>
            </w:r>
          </w:p>
        </w:tc>
        <w:tc>
          <w:tcPr>
            <w:tcW w:w="630" w:type="pct"/>
          </w:tcPr>
          <w:p w14:paraId="49B4D3D9" w14:textId="77777777" w:rsidR="00FF6C7E" w:rsidRPr="00B0658A" w:rsidRDefault="00FF6C7E" w:rsidP="00004A41">
            <w:pPr>
              <w:spacing w:after="0" w:line="240" w:lineRule="auto"/>
              <w:jc w:val="both"/>
              <w:rPr>
                <w:rFonts w:ascii="Times New Roman" w:hAnsi="Times New Roman"/>
                <w:i/>
                <w:sz w:val="20"/>
                <w:szCs w:val="20"/>
              </w:rPr>
            </w:pPr>
            <w:r w:rsidRPr="00B0658A">
              <w:rPr>
                <w:rFonts w:ascii="Times New Roman" w:hAnsi="Times New Roman"/>
                <w:i/>
                <w:iCs/>
                <w:sz w:val="20"/>
                <w:szCs w:val="20"/>
              </w:rPr>
              <w:t>Указывается дополнительные комментарии (при необходимости)</w:t>
            </w:r>
          </w:p>
          <w:p w14:paraId="393013FC" w14:textId="77777777" w:rsidR="00FF6C7E" w:rsidRPr="00B0658A" w:rsidRDefault="00FF6C7E" w:rsidP="00004A41">
            <w:pPr>
              <w:spacing w:after="0" w:line="240" w:lineRule="auto"/>
              <w:rPr>
                <w:rFonts w:ascii="Times New Roman" w:hAnsi="Times New Roman"/>
                <w:sz w:val="20"/>
                <w:szCs w:val="20"/>
              </w:rPr>
            </w:pPr>
            <w:r w:rsidRPr="00B0658A">
              <w:rPr>
                <w:rFonts w:ascii="Times New Roman" w:hAnsi="Times New Roman"/>
                <w:i/>
                <w:iCs/>
                <w:sz w:val="20"/>
                <w:szCs w:val="20"/>
              </w:rPr>
              <w:t>.</w:t>
            </w:r>
          </w:p>
        </w:tc>
      </w:tr>
      <w:tr w:rsidR="00F52FED" w:rsidRPr="00B0658A" w14:paraId="3F52BCD4" w14:textId="77777777" w:rsidTr="00385271">
        <w:trPr>
          <w:trHeight w:val="20"/>
        </w:trPr>
        <w:tc>
          <w:tcPr>
            <w:tcW w:w="202" w:type="pct"/>
          </w:tcPr>
          <w:p w14:paraId="0E95FE0A" w14:textId="77777777" w:rsidR="00967C97" w:rsidRPr="00B0658A" w:rsidRDefault="00967C97" w:rsidP="00004A41">
            <w:pPr>
              <w:spacing w:after="0" w:line="240" w:lineRule="auto"/>
              <w:jc w:val="both"/>
              <w:rPr>
                <w:rFonts w:ascii="Times New Roman" w:hAnsi="Times New Roman"/>
                <w:sz w:val="20"/>
                <w:szCs w:val="20"/>
              </w:rPr>
            </w:pPr>
            <w:r w:rsidRPr="00B0658A">
              <w:rPr>
                <w:rFonts w:ascii="Times New Roman" w:hAnsi="Times New Roman"/>
                <w:sz w:val="20"/>
                <w:szCs w:val="20"/>
                <w:lang w:val="en-US"/>
              </w:rPr>
              <w:t>2</w:t>
            </w:r>
            <w:r w:rsidRPr="00B0658A">
              <w:rPr>
                <w:rFonts w:ascii="Times New Roman" w:hAnsi="Times New Roman"/>
                <w:sz w:val="20"/>
                <w:szCs w:val="20"/>
              </w:rPr>
              <w:t>.</w:t>
            </w:r>
          </w:p>
        </w:tc>
        <w:tc>
          <w:tcPr>
            <w:tcW w:w="1474" w:type="pct"/>
          </w:tcPr>
          <w:p w14:paraId="2B3F8EB1" w14:textId="77777777" w:rsidR="00967C97" w:rsidRPr="00B0658A" w:rsidRDefault="00967C97" w:rsidP="00004A41">
            <w:pPr>
              <w:spacing w:after="0" w:line="240" w:lineRule="auto"/>
              <w:jc w:val="both"/>
              <w:rPr>
                <w:rFonts w:ascii="Times New Roman" w:hAnsi="Times New Roman"/>
                <w:sz w:val="20"/>
                <w:szCs w:val="20"/>
              </w:rPr>
            </w:pPr>
            <w:r w:rsidRPr="00B0658A">
              <w:rPr>
                <w:rFonts w:ascii="Times New Roman" w:hAnsi="Times New Roman"/>
                <w:i/>
                <w:sz w:val="20"/>
                <w:szCs w:val="20"/>
              </w:rPr>
              <w:t>Указывается наименование государственной или ведомственной информационной №2</w:t>
            </w:r>
          </w:p>
        </w:tc>
        <w:tc>
          <w:tcPr>
            <w:tcW w:w="1321" w:type="pct"/>
          </w:tcPr>
          <w:p w14:paraId="4051D399" w14:textId="77777777" w:rsidR="00967C97" w:rsidRPr="00B0658A" w:rsidRDefault="00967C97" w:rsidP="00004A41">
            <w:pPr>
              <w:spacing w:after="0" w:line="240" w:lineRule="auto"/>
              <w:jc w:val="both"/>
              <w:rPr>
                <w:rFonts w:ascii="Times New Roman" w:hAnsi="Times New Roman"/>
                <w:i/>
                <w:iCs/>
                <w:sz w:val="20"/>
                <w:szCs w:val="20"/>
              </w:rPr>
            </w:pPr>
          </w:p>
        </w:tc>
        <w:tc>
          <w:tcPr>
            <w:tcW w:w="1373" w:type="pct"/>
          </w:tcPr>
          <w:p w14:paraId="1E2F705F" w14:textId="77777777" w:rsidR="00967C97" w:rsidRPr="00B0658A" w:rsidRDefault="00967C97" w:rsidP="00004A41">
            <w:pPr>
              <w:spacing w:after="0" w:line="240" w:lineRule="auto"/>
              <w:jc w:val="both"/>
              <w:rPr>
                <w:rFonts w:ascii="Times New Roman" w:hAnsi="Times New Roman"/>
                <w:i/>
                <w:iCs/>
                <w:sz w:val="20"/>
                <w:szCs w:val="20"/>
              </w:rPr>
            </w:pPr>
          </w:p>
        </w:tc>
        <w:tc>
          <w:tcPr>
            <w:tcW w:w="630" w:type="pct"/>
          </w:tcPr>
          <w:p w14:paraId="1CF6B38C" w14:textId="77777777" w:rsidR="00967C97" w:rsidRPr="00B0658A" w:rsidRDefault="00967C97" w:rsidP="00004A41">
            <w:pPr>
              <w:spacing w:after="0" w:line="240" w:lineRule="auto"/>
              <w:jc w:val="both"/>
              <w:rPr>
                <w:rFonts w:ascii="Times New Roman" w:hAnsi="Times New Roman"/>
                <w:i/>
                <w:iCs/>
                <w:sz w:val="20"/>
                <w:szCs w:val="20"/>
              </w:rPr>
            </w:pPr>
          </w:p>
        </w:tc>
      </w:tr>
      <w:tr w:rsidR="00F52FED" w:rsidRPr="00B0658A" w14:paraId="60088CF5" w14:textId="77777777" w:rsidTr="00385271">
        <w:trPr>
          <w:trHeight w:val="20"/>
        </w:trPr>
        <w:tc>
          <w:tcPr>
            <w:tcW w:w="202" w:type="pct"/>
          </w:tcPr>
          <w:p w14:paraId="6422E8FB" w14:textId="77777777" w:rsidR="00967C97" w:rsidRPr="00B0658A" w:rsidRDefault="00967C97" w:rsidP="00004A41">
            <w:pPr>
              <w:spacing w:after="0" w:line="240" w:lineRule="auto"/>
              <w:jc w:val="both"/>
              <w:rPr>
                <w:rFonts w:ascii="Times New Roman" w:hAnsi="Times New Roman"/>
                <w:sz w:val="20"/>
                <w:szCs w:val="20"/>
                <w:lang w:val="en-US"/>
              </w:rPr>
            </w:pPr>
            <w:r w:rsidRPr="00B0658A">
              <w:rPr>
                <w:rFonts w:ascii="Times New Roman" w:hAnsi="Times New Roman"/>
                <w:sz w:val="20"/>
                <w:szCs w:val="20"/>
                <w:lang w:val="en-US"/>
              </w:rPr>
              <w:t>….</w:t>
            </w:r>
          </w:p>
        </w:tc>
        <w:tc>
          <w:tcPr>
            <w:tcW w:w="1474" w:type="pct"/>
          </w:tcPr>
          <w:p w14:paraId="2A50C877" w14:textId="77777777" w:rsidR="00967C97" w:rsidRPr="00B0658A" w:rsidRDefault="00967C97" w:rsidP="00004A41">
            <w:pPr>
              <w:spacing w:after="0" w:line="240" w:lineRule="auto"/>
              <w:jc w:val="both"/>
              <w:rPr>
                <w:rFonts w:ascii="Times New Roman" w:hAnsi="Times New Roman"/>
                <w:i/>
                <w:sz w:val="20"/>
                <w:szCs w:val="20"/>
              </w:rPr>
            </w:pPr>
          </w:p>
        </w:tc>
        <w:tc>
          <w:tcPr>
            <w:tcW w:w="1321" w:type="pct"/>
          </w:tcPr>
          <w:p w14:paraId="78274A8E" w14:textId="77777777" w:rsidR="00967C97" w:rsidRPr="00B0658A" w:rsidRDefault="00967C97" w:rsidP="00004A41">
            <w:pPr>
              <w:spacing w:after="0" w:line="240" w:lineRule="auto"/>
              <w:jc w:val="both"/>
              <w:rPr>
                <w:rFonts w:ascii="Times New Roman" w:hAnsi="Times New Roman"/>
                <w:i/>
                <w:iCs/>
                <w:sz w:val="20"/>
                <w:szCs w:val="20"/>
              </w:rPr>
            </w:pPr>
          </w:p>
        </w:tc>
        <w:tc>
          <w:tcPr>
            <w:tcW w:w="1373" w:type="pct"/>
          </w:tcPr>
          <w:p w14:paraId="166414D0" w14:textId="77777777" w:rsidR="00967C97" w:rsidRPr="00B0658A" w:rsidRDefault="00967C97" w:rsidP="00004A41">
            <w:pPr>
              <w:spacing w:after="0" w:line="240" w:lineRule="auto"/>
              <w:jc w:val="both"/>
              <w:rPr>
                <w:rFonts w:ascii="Times New Roman" w:hAnsi="Times New Roman"/>
                <w:i/>
                <w:iCs/>
                <w:sz w:val="20"/>
                <w:szCs w:val="20"/>
              </w:rPr>
            </w:pPr>
          </w:p>
        </w:tc>
        <w:tc>
          <w:tcPr>
            <w:tcW w:w="630" w:type="pct"/>
          </w:tcPr>
          <w:p w14:paraId="187F2058" w14:textId="77777777" w:rsidR="00967C97" w:rsidRPr="00B0658A" w:rsidRDefault="00967C97" w:rsidP="00004A41">
            <w:pPr>
              <w:spacing w:after="0" w:line="240" w:lineRule="auto"/>
              <w:jc w:val="both"/>
              <w:rPr>
                <w:rFonts w:ascii="Times New Roman" w:hAnsi="Times New Roman"/>
                <w:i/>
                <w:iCs/>
                <w:sz w:val="20"/>
                <w:szCs w:val="20"/>
              </w:rPr>
            </w:pPr>
          </w:p>
        </w:tc>
      </w:tr>
      <w:tr w:rsidR="00F52FED" w:rsidRPr="00B0658A" w14:paraId="068B7380" w14:textId="77777777" w:rsidTr="00385271">
        <w:trPr>
          <w:trHeight w:val="20"/>
        </w:trPr>
        <w:tc>
          <w:tcPr>
            <w:tcW w:w="5000" w:type="pct"/>
            <w:gridSpan w:val="5"/>
          </w:tcPr>
          <w:p w14:paraId="43148DA9" w14:textId="77777777" w:rsidR="00967C97" w:rsidRPr="00B0658A" w:rsidRDefault="00967C97" w:rsidP="00004A41">
            <w:pPr>
              <w:spacing w:after="0" w:line="240" w:lineRule="auto"/>
              <w:jc w:val="center"/>
              <w:rPr>
                <w:rFonts w:ascii="Times New Roman" w:hAnsi="Times New Roman"/>
                <w:i/>
                <w:iCs/>
                <w:sz w:val="20"/>
                <w:szCs w:val="20"/>
              </w:rPr>
            </w:pPr>
            <w:r w:rsidRPr="00B0658A">
              <w:rPr>
                <w:rFonts w:ascii="Times New Roman" w:hAnsi="Times New Roman"/>
                <w:b/>
                <w:sz w:val="20"/>
                <w:szCs w:val="20"/>
              </w:rPr>
              <w:t>Государственные и ведомственные информационные системы, подлежащие переводу на использование российского ПО до 31.12.202</w:t>
            </w:r>
            <w:r w:rsidR="00A819E4" w:rsidRPr="00B0658A">
              <w:rPr>
                <w:rFonts w:ascii="Times New Roman" w:hAnsi="Times New Roman"/>
                <w:b/>
                <w:sz w:val="20"/>
                <w:szCs w:val="20"/>
              </w:rPr>
              <w:t>7</w:t>
            </w:r>
            <w:r w:rsidR="0016071D" w:rsidRPr="00B0658A">
              <w:rPr>
                <w:rFonts w:ascii="Times New Roman" w:hAnsi="Times New Roman"/>
                <w:b/>
                <w:sz w:val="20"/>
                <w:szCs w:val="20"/>
              </w:rPr>
              <w:t xml:space="preserve"> г.</w:t>
            </w:r>
          </w:p>
        </w:tc>
      </w:tr>
      <w:tr w:rsidR="00F52FED" w:rsidRPr="00B0658A" w14:paraId="19059F72" w14:textId="77777777" w:rsidTr="00385271">
        <w:trPr>
          <w:trHeight w:val="20"/>
        </w:trPr>
        <w:tc>
          <w:tcPr>
            <w:tcW w:w="202" w:type="pct"/>
          </w:tcPr>
          <w:p w14:paraId="2EDAA694" w14:textId="77777777" w:rsidR="00A819E4" w:rsidRPr="00B0658A" w:rsidRDefault="00E45D98" w:rsidP="00004A41">
            <w:pPr>
              <w:spacing w:after="0" w:line="240" w:lineRule="auto"/>
              <w:jc w:val="both"/>
              <w:rPr>
                <w:rFonts w:ascii="Times New Roman" w:hAnsi="Times New Roman"/>
                <w:sz w:val="20"/>
                <w:szCs w:val="20"/>
              </w:rPr>
            </w:pPr>
            <w:r w:rsidRPr="00B0658A">
              <w:rPr>
                <w:rFonts w:ascii="Times New Roman" w:hAnsi="Times New Roman"/>
                <w:sz w:val="20"/>
                <w:szCs w:val="20"/>
              </w:rPr>
              <w:t>3. </w:t>
            </w:r>
          </w:p>
        </w:tc>
        <w:tc>
          <w:tcPr>
            <w:tcW w:w="1474" w:type="pct"/>
          </w:tcPr>
          <w:p w14:paraId="153554A2" w14:textId="77777777" w:rsidR="00A819E4" w:rsidRPr="00B0658A" w:rsidRDefault="00A819E4" w:rsidP="00004A41">
            <w:pPr>
              <w:spacing w:after="0" w:line="240" w:lineRule="auto"/>
              <w:jc w:val="both"/>
              <w:rPr>
                <w:rFonts w:ascii="Times New Roman" w:hAnsi="Times New Roman"/>
                <w:i/>
                <w:sz w:val="20"/>
                <w:szCs w:val="20"/>
              </w:rPr>
            </w:pPr>
            <w:r w:rsidRPr="00B0658A">
              <w:rPr>
                <w:rFonts w:ascii="Times New Roman" w:hAnsi="Times New Roman"/>
                <w:i/>
                <w:sz w:val="20"/>
                <w:szCs w:val="20"/>
              </w:rPr>
              <w:t xml:space="preserve">Указывается наименование государственной или ведомственной информационной № </w:t>
            </w:r>
            <w:r w:rsidR="00334232" w:rsidRPr="00B0658A">
              <w:rPr>
                <w:rFonts w:ascii="Times New Roman" w:hAnsi="Times New Roman"/>
                <w:i/>
                <w:sz w:val="20"/>
                <w:szCs w:val="20"/>
              </w:rPr>
              <w:t>3</w:t>
            </w:r>
          </w:p>
        </w:tc>
        <w:tc>
          <w:tcPr>
            <w:tcW w:w="1321" w:type="pct"/>
          </w:tcPr>
          <w:p w14:paraId="39FC8EAA" w14:textId="77777777" w:rsidR="00A819E4" w:rsidRPr="00B0658A" w:rsidRDefault="00A819E4" w:rsidP="00004A41">
            <w:pPr>
              <w:spacing w:after="0" w:line="240" w:lineRule="auto"/>
              <w:jc w:val="both"/>
              <w:rPr>
                <w:rFonts w:ascii="Times New Roman" w:hAnsi="Times New Roman"/>
                <w:i/>
                <w:iCs/>
                <w:sz w:val="20"/>
                <w:szCs w:val="20"/>
              </w:rPr>
            </w:pPr>
          </w:p>
        </w:tc>
        <w:tc>
          <w:tcPr>
            <w:tcW w:w="1373" w:type="pct"/>
          </w:tcPr>
          <w:p w14:paraId="28F9D1FF" w14:textId="77777777" w:rsidR="00A819E4" w:rsidRPr="00B0658A" w:rsidRDefault="00A819E4" w:rsidP="00004A41">
            <w:pPr>
              <w:spacing w:after="0" w:line="240" w:lineRule="auto"/>
              <w:jc w:val="both"/>
              <w:rPr>
                <w:rFonts w:ascii="Times New Roman" w:hAnsi="Times New Roman"/>
                <w:i/>
                <w:iCs/>
                <w:sz w:val="20"/>
                <w:szCs w:val="20"/>
              </w:rPr>
            </w:pPr>
          </w:p>
        </w:tc>
        <w:tc>
          <w:tcPr>
            <w:tcW w:w="630" w:type="pct"/>
          </w:tcPr>
          <w:p w14:paraId="12F9ECFF" w14:textId="77777777" w:rsidR="00A819E4" w:rsidRPr="00B0658A" w:rsidRDefault="00A819E4" w:rsidP="00004A41">
            <w:pPr>
              <w:spacing w:after="0" w:line="240" w:lineRule="auto"/>
              <w:jc w:val="both"/>
              <w:rPr>
                <w:rFonts w:ascii="Times New Roman" w:hAnsi="Times New Roman"/>
                <w:i/>
                <w:iCs/>
                <w:sz w:val="20"/>
                <w:szCs w:val="20"/>
              </w:rPr>
            </w:pPr>
          </w:p>
        </w:tc>
      </w:tr>
      <w:tr w:rsidR="00F52FED" w:rsidRPr="00B0658A" w14:paraId="53320354" w14:textId="77777777" w:rsidTr="00385271">
        <w:trPr>
          <w:trHeight w:val="20"/>
        </w:trPr>
        <w:tc>
          <w:tcPr>
            <w:tcW w:w="202" w:type="pct"/>
          </w:tcPr>
          <w:p w14:paraId="07C2A3B9" w14:textId="77777777" w:rsidR="00A819E4" w:rsidRPr="00B0658A" w:rsidRDefault="00E45D98" w:rsidP="00004A41">
            <w:pPr>
              <w:spacing w:after="0" w:line="240" w:lineRule="auto"/>
              <w:jc w:val="both"/>
              <w:rPr>
                <w:rFonts w:ascii="Times New Roman" w:hAnsi="Times New Roman"/>
                <w:sz w:val="20"/>
                <w:szCs w:val="20"/>
              </w:rPr>
            </w:pPr>
            <w:r w:rsidRPr="00B0658A">
              <w:rPr>
                <w:rFonts w:ascii="Times New Roman" w:hAnsi="Times New Roman"/>
                <w:sz w:val="20"/>
                <w:szCs w:val="20"/>
              </w:rPr>
              <w:t>4. </w:t>
            </w:r>
          </w:p>
        </w:tc>
        <w:tc>
          <w:tcPr>
            <w:tcW w:w="1474" w:type="pct"/>
          </w:tcPr>
          <w:p w14:paraId="510F9260" w14:textId="77777777" w:rsidR="00A819E4" w:rsidRPr="00B0658A" w:rsidRDefault="00A819E4" w:rsidP="00004A41">
            <w:pPr>
              <w:spacing w:after="0" w:line="240" w:lineRule="auto"/>
              <w:jc w:val="both"/>
              <w:rPr>
                <w:rFonts w:ascii="Times New Roman" w:hAnsi="Times New Roman"/>
                <w:sz w:val="20"/>
                <w:szCs w:val="20"/>
              </w:rPr>
            </w:pPr>
            <w:r w:rsidRPr="00B0658A">
              <w:rPr>
                <w:rFonts w:ascii="Times New Roman" w:hAnsi="Times New Roman"/>
                <w:i/>
                <w:sz w:val="20"/>
                <w:szCs w:val="20"/>
              </w:rPr>
              <w:t xml:space="preserve">Указывается наименование государственной или ведомственной информационной № </w:t>
            </w:r>
            <w:r w:rsidR="00334232" w:rsidRPr="00B0658A">
              <w:rPr>
                <w:rFonts w:ascii="Times New Roman" w:hAnsi="Times New Roman"/>
                <w:i/>
                <w:sz w:val="20"/>
                <w:szCs w:val="20"/>
              </w:rPr>
              <w:t>4</w:t>
            </w:r>
          </w:p>
        </w:tc>
        <w:tc>
          <w:tcPr>
            <w:tcW w:w="1321" w:type="pct"/>
          </w:tcPr>
          <w:p w14:paraId="5D6F401E" w14:textId="77777777" w:rsidR="00A819E4" w:rsidRPr="00B0658A" w:rsidRDefault="00A819E4" w:rsidP="00004A41">
            <w:pPr>
              <w:spacing w:after="0" w:line="240" w:lineRule="auto"/>
              <w:jc w:val="both"/>
              <w:rPr>
                <w:rFonts w:ascii="Times New Roman" w:hAnsi="Times New Roman"/>
                <w:i/>
                <w:iCs/>
                <w:sz w:val="20"/>
                <w:szCs w:val="20"/>
              </w:rPr>
            </w:pPr>
          </w:p>
        </w:tc>
        <w:tc>
          <w:tcPr>
            <w:tcW w:w="1373" w:type="pct"/>
          </w:tcPr>
          <w:p w14:paraId="0FFBB789" w14:textId="77777777" w:rsidR="00A819E4" w:rsidRPr="00B0658A" w:rsidRDefault="00A819E4" w:rsidP="00004A41">
            <w:pPr>
              <w:spacing w:after="0" w:line="240" w:lineRule="auto"/>
              <w:jc w:val="both"/>
              <w:rPr>
                <w:rFonts w:ascii="Times New Roman" w:hAnsi="Times New Roman"/>
                <w:i/>
                <w:iCs/>
                <w:sz w:val="20"/>
                <w:szCs w:val="20"/>
              </w:rPr>
            </w:pPr>
          </w:p>
        </w:tc>
        <w:tc>
          <w:tcPr>
            <w:tcW w:w="630" w:type="pct"/>
          </w:tcPr>
          <w:p w14:paraId="46BCC72E" w14:textId="77777777" w:rsidR="00A819E4" w:rsidRPr="00B0658A" w:rsidRDefault="00A819E4" w:rsidP="00004A41">
            <w:pPr>
              <w:spacing w:after="0" w:line="240" w:lineRule="auto"/>
              <w:jc w:val="both"/>
              <w:rPr>
                <w:rFonts w:ascii="Times New Roman" w:hAnsi="Times New Roman"/>
                <w:i/>
                <w:iCs/>
                <w:sz w:val="20"/>
                <w:szCs w:val="20"/>
              </w:rPr>
            </w:pPr>
          </w:p>
        </w:tc>
      </w:tr>
      <w:tr w:rsidR="00F52FED" w:rsidRPr="00B0658A" w14:paraId="5DFF3A32" w14:textId="77777777" w:rsidTr="00385271">
        <w:trPr>
          <w:trHeight w:val="20"/>
        </w:trPr>
        <w:tc>
          <w:tcPr>
            <w:tcW w:w="202" w:type="pct"/>
          </w:tcPr>
          <w:p w14:paraId="40B6A2A1" w14:textId="77777777" w:rsidR="00A819E4" w:rsidRPr="00B0658A" w:rsidRDefault="00A819E4" w:rsidP="00004A41">
            <w:pPr>
              <w:spacing w:after="0" w:line="240" w:lineRule="auto"/>
              <w:jc w:val="both"/>
              <w:rPr>
                <w:rFonts w:ascii="Times New Roman" w:hAnsi="Times New Roman"/>
                <w:sz w:val="20"/>
                <w:szCs w:val="20"/>
                <w:lang w:val="en-US"/>
              </w:rPr>
            </w:pPr>
            <w:r w:rsidRPr="00B0658A">
              <w:rPr>
                <w:rFonts w:ascii="Times New Roman" w:hAnsi="Times New Roman"/>
                <w:sz w:val="20"/>
                <w:szCs w:val="20"/>
                <w:lang w:val="en-US"/>
              </w:rPr>
              <w:t>….</w:t>
            </w:r>
          </w:p>
        </w:tc>
        <w:tc>
          <w:tcPr>
            <w:tcW w:w="1474" w:type="pct"/>
          </w:tcPr>
          <w:p w14:paraId="3989D0A8" w14:textId="77777777" w:rsidR="00A819E4" w:rsidRPr="00B0658A" w:rsidRDefault="00A819E4" w:rsidP="00004A41">
            <w:pPr>
              <w:spacing w:after="0" w:line="240" w:lineRule="auto"/>
              <w:jc w:val="both"/>
              <w:rPr>
                <w:rFonts w:ascii="Times New Roman" w:hAnsi="Times New Roman"/>
                <w:sz w:val="20"/>
                <w:szCs w:val="20"/>
              </w:rPr>
            </w:pPr>
          </w:p>
        </w:tc>
        <w:tc>
          <w:tcPr>
            <w:tcW w:w="1321" w:type="pct"/>
          </w:tcPr>
          <w:p w14:paraId="77169285" w14:textId="77777777" w:rsidR="00A819E4" w:rsidRPr="00B0658A" w:rsidRDefault="00A819E4" w:rsidP="00004A41">
            <w:pPr>
              <w:spacing w:after="0" w:line="240" w:lineRule="auto"/>
              <w:jc w:val="both"/>
              <w:rPr>
                <w:rFonts w:ascii="Times New Roman" w:hAnsi="Times New Roman"/>
                <w:i/>
                <w:iCs/>
                <w:sz w:val="20"/>
                <w:szCs w:val="20"/>
              </w:rPr>
            </w:pPr>
          </w:p>
        </w:tc>
        <w:tc>
          <w:tcPr>
            <w:tcW w:w="1373" w:type="pct"/>
          </w:tcPr>
          <w:p w14:paraId="3800022F" w14:textId="77777777" w:rsidR="00A819E4" w:rsidRPr="00B0658A" w:rsidRDefault="00A819E4" w:rsidP="00004A41">
            <w:pPr>
              <w:spacing w:after="0" w:line="240" w:lineRule="auto"/>
              <w:jc w:val="both"/>
              <w:rPr>
                <w:rFonts w:ascii="Times New Roman" w:hAnsi="Times New Roman"/>
                <w:i/>
                <w:iCs/>
                <w:sz w:val="20"/>
                <w:szCs w:val="20"/>
              </w:rPr>
            </w:pPr>
          </w:p>
        </w:tc>
        <w:tc>
          <w:tcPr>
            <w:tcW w:w="630" w:type="pct"/>
          </w:tcPr>
          <w:p w14:paraId="7360A74D" w14:textId="77777777" w:rsidR="00A819E4" w:rsidRPr="00B0658A" w:rsidRDefault="00A819E4" w:rsidP="00004A41">
            <w:pPr>
              <w:spacing w:after="0" w:line="240" w:lineRule="auto"/>
              <w:jc w:val="both"/>
              <w:rPr>
                <w:rFonts w:ascii="Times New Roman" w:hAnsi="Times New Roman"/>
                <w:i/>
                <w:iCs/>
                <w:sz w:val="20"/>
                <w:szCs w:val="20"/>
              </w:rPr>
            </w:pPr>
          </w:p>
        </w:tc>
      </w:tr>
      <w:tr w:rsidR="00F52FED" w:rsidRPr="00B0658A" w14:paraId="777DFC9E" w14:textId="77777777" w:rsidTr="00385271">
        <w:trPr>
          <w:trHeight w:val="20"/>
        </w:trPr>
        <w:tc>
          <w:tcPr>
            <w:tcW w:w="5000" w:type="pct"/>
            <w:gridSpan w:val="5"/>
          </w:tcPr>
          <w:p w14:paraId="23686882" w14:textId="77777777" w:rsidR="00A819E4" w:rsidRPr="00B0658A" w:rsidRDefault="00443BE3" w:rsidP="00004A41">
            <w:pPr>
              <w:spacing w:after="0" w:line="240" w:lineRule="auto"/>
              <w:jc w:val="center"/>
              <w:rPr>
                <w:rFonts w:ascii="Times New Roman" w:hAnsi="Times New Roman"/>
                <w:i/>
                <w:iCs/>
                <w:sz w:val="20"/>
                <w:szCs w:val="20"/>
              </w:rPr>
            </w:pPr>
            <w:r w:rsidRPr="00B0658A">
              <w:rPr>
                <w:rFonts w:ascii="Times New Roman" w:hAnsi="Times New Roman"/>
                <w:b/>
                <w:sz w:val="20"/>
                <w:szCs w:val="20"/>
              </w:rPr>
              <w:t>Иные г</w:t>
            </w:r>
            <w:r w:rsidR="00A819E4" w:rsidRPr="00B0658A">
              <w:rPr>
                <w:rFonts w:ascii="Times New Roman" w:hAnsi="Times New Roman"/>
                <w:b/>
                <w:sz w:val="20"/>
                <w:szCs w:val="20"/>
              </w:rPr>
              <w:t>осударственные и ведомственные информационные системы, подлежащие переводу на использование российского ПО до 31.12.20</w:t>
            </w:r>
            <w:r w:rsidR="0016071D" w:rsidRPr="00B0658A">
              <w:rPr>
                <w:rFonts w:ascii="Times New Roman" w:hAnsi="Times New Roman"/>
                <w:b/>
                <w:sz w:val="20"/>
                <w:szCs w:val="20"/>
              </w:rPr>
              <w:t>30 г.</w:t>
            </w:r>
          </w:p>
        </w:tc>
      </w:tr>
      <w:tr w:rsidR="00F52FED" w:rsidRPr="00B0658A" w14:paraId="4D1E8365" w14:textId="77777777" w:rsidTr="00385271">
        <w:trPr>
          <w:trHeight w:val="20"/>
        </w:trPr>
        <w:tc>
          <w:tcPr>
            <w:tcW w:w="202" w:type="pct"/>
          </w:tcPr>
          <w:p w14:paraId="37513ED9" w14:textId="77777777" w:rsidR="00385271" w:rsidRPr="00B0658A" w:rsidRDefault="00E45D98" w:rsidP="00004A41">
            <w:pPr>
              <w:spacing w:after="0" w:line="240" w:lineRule="auto"/>
              <w:jc w:val="both"/>
              <w:rPr>
                <w:rFonts w:ascii="Times New Roman" w:hAnsi="Times New Roman"/>
                <w:sz w:val="20"/>
                <w:szCs w:val="20"/>
              </w:rPr>
            </w:pPr>
            <w:r w:rsidRPr="00B0658A">
              <w:rPr>
                <w:rFonts w:ascii="Times New Roman" w:hAnsi="Times New Roman"/>
                <w:sz w:val="20"/>
                <w:szCs w:val="20"/>
              </w:rPr>
              <w:t>5. </w:t>
            </w:r>
          </w:p>
        </w:tc>
        <w:tc>
          <w:tcPr>
            <w:tcW w:w="1474" w:type="pct"/>
          </w:tcPr>
          <w:p w14:paraId="42E4D1A4" w14:textId="77777777" w:rsidR="00385271" w:rsidRPr="00B0658A" w:rsidRDefault="00385271" w:rsidP="00004A41">
            <w:pPr>
              <w:spacing w:after="0" w:line="240" w:lineRule="auto"/>
              <w:jc w:val="both"/>
              <w:rPr>
                <w:rFonts w:ascii="Times New Roman" w:hAnsi="Times New Roman"/>
                <w:sz w:val="20"/>
                <w:szCs w:val="20"/>
              </w:rPr>
            </w:pPr>
            <w:r w:rsidRPr="00B0658A">
              <w:rPr>
                <w:rFonts w:ascii="Times New Roman" w:hAnsi="Times New Roman"/>
                <w:i/>
                <w:sz w:val="20"/>
                <w:szCs w:val="20"/>
              </w:rPr>
              <w:t xml:space="preserve">Указывается наименование государственной или ведомственной информационной № </w:t>
            </w:r>
            <w:r w:rsidR="00334232" w:rsidRPr="00B0658A">
              <w:rPr>
                <w:rFonts w:ascii="Times New Roman" w:hAnsi="Times New Roman"/>
                <w:i/>
                <w:sz w:val="20"/>
                <w:szCs w:val="20"/>
              </w:rPr>
              <w:t>5</w:t>
            </w:r>
          </w:p>
        </w:tc>
        <w:tc>
          <w:tcPr>
            <w:tcW w:w="1321" w:type="pct"/>
          </w:tcPr>
          <w:p w14:paraId="5F4B4D01" w14:textId="77777777" w:rsidR="00385271" w:rsidRPr="00B0658A" w:rsidRDefault="00385271" w:rsidP="00004A41">
            <w:pPr>
              <w:spacing w:after="0" w:line="240" w:lineRule="auto"/>
              <w:jc w:val="both"/>
              <w:rPr>
                <w:rFonts w:ascii="Times New Roman" w:hAnsi="Times New Roman"/>
                <w:i/>
                <w:iCs/>
                <w:sz w:val="20"/>
                <w:szCs w:val="20"/>
              </w:rPr>
            </w:pPr>
          </w:p>
        </w:tc>
        <w:tc>
          <w:tcPr>
            <w:tcW w:w="1373" w:type="pct"/>
          </w:tcPr>
          <w:p w14:paraId="66D603B1" w14:textId="77777777" w:rsidR="00385271" w:rsidRPr="00B0658A" w:rsidRDefault="00385271" w:rsidP="00004A41">
            <w:pPr>
              <w:spacing w:after="0" w:line="240" w:lineRule="auto"/>
              <w:jc w:val="both"/>
              <w:rPr>
                <w:rFonts w:ascii="Times New Roman" w:hAnsi="Times New Roman"/>
                <w:i/>
                <w:iCs/>
                <w:sz w:val="20"/>
                <w:szCs w:val="20"/>
              </w:rPr>
            </w:pPr>
          </w:p>
        </w:tc>
        <w:tc>
          <w:tcPr>
            <w:tcW w:w="630" w:type="pct"/>
          </w:tcPr>
          <w:p w14:paraId="3B587F75" w14:textId="77777777" w:rsidR="00385271" w:rsidRPr="00B0658A" w:rsidRDefault="00385271" w:rsidP="00004A41">
            <w:pPr>
              <w:spacing w:after="0" w:line="240" w:lineRule="auto"/>
              <w:jc w:val="both"/>
              <w:rPr>
                <w:rFonts w:ascii="Times New Roman" w:hAnsi="Times New Roman"/>
                <w:i/>
                <w:iCs/>
                <w:sz w:val="20"/>
                <w:szCs w:val="20"/>
              </w:rPr>
            </w:pPr>
          </w:p>
        </w:tc>
      </w:tr>
      <w:tr w:rsidR="00F52FED" w:rsidRPr="00B0658A" w14:paraId="434EDD9B" w14:textId="77777777" w:rsidTr="00385271">
        <w:trPr>
          <w:trHeight w:val="20"/>
        </w:trPr>
        <w:tc>
          <w:tcPr>
            <w:tcW w:w="202" w:type="pct"/>
          </w:tcPr>
          <w:p w14:paraId="26A39601" w14:textId="77777777" w:rsidR="00385271" w:rsidRPr="00B0658A" w:rsidRDefault="00E45D98" w:rsidP="00004A41">
            <w:pPr>
              <w:spacing w:after="0" w:line="240" w:lineRule="auto"/>
              <w:jc w:val="both"/>
              <w:rPr>
                <w:rFonts w:ascii="Times New Roman" w:hAnsi="Times New Roman"/>
                <w:sz w:val="20"/>
                <w:szCs w:val="20"/>
                <w:lang w:val="en-US"/>
              </w:rPr>
            </w:pPr>
            <w:r w:rsidRPr="00B0658A">
              <w:rPr>
                <w:rFonts w:ascii="Times New Roman" w:hAnsi="Times New Roman"/>
                <w:sz w:val="20"/>
                <w:szCs w:val="20"/>
                <w:lang w:val="en-US"/>
              </w:rPr>
              <w:t>N.</w:t>
            </w:r>
          </w:p>
        </w:tc>
        <w:tc>
          <w:tcPr>
            <w:tcW w:w="1474" w:type="pct"/>
          </w:tcPr>
          <w:p w14:paraId="6CBE75CF" w14:textId="77777777" w:rsidR="00385271" w:rsidRPr="00B0658A" w:rsidRDefault="00385271" w:rsidP="00004A41">
            <w:pPr>
              <w:spacing w:after="0" w:line="240" w:lineRule="auto"/>
              <w:jc w:val="both"/>
              <w:rPr>
                <w:rFonts w:ascii="Times New Roman" w:hAnsi="Times New Roman"/>
                <w:sz w:val="20"/>
                <w:szCs w:val="20"/>
              </w:rPr>
            </w:pPr>
            <w:r w:rsidRPr="00B0658A">
              <w:rPr>
                <w:rFonts w:ascii="Times New Roman" w:hAnsi="Times New Roman"/>
                <w:i/>
                <w:sz w:val="20"/>
                <w:szCs w:val="20"/>
              </w:rPr>
              <w:t xml:space="preserve">Указывается наименование государственной или ведомственной информационной № </w:t>
            </w:r>
            <w:r w:rsidR="00334232" w:rsidRPr="00B0658A">
              <w:rPr>
                <w:rFonts w:ascii="Times New Roman" w:hAnsi="Times New Roman"/>
                <w:i/>
                <w:sz w:val="20"/>
                <w:szCs w:val="20"/>
                <w:lang w:val="en-US"/>
              </w:rPr>
              <w:t>N</w:t>
            </w:r>
          </w:p>
        </w:tc>
        <w:tc>
          <w:tcPr>
            <w:tcW w:w="1321" w:type="pct"/>
          </w:tcPr>
          <w:p w14:paraId="61BA710C" w14:textId="77777777" w:rsidR="00385271" w:rsidRPr="00B0658A" w:rsidRDefault="00385271" w:rsidP="00004A41">
            <w:pPr>
              <w:spacing w:after="0" w:line="240" w:lineRule="auto"/>
              <w:jc w:val="both"/>
              <w:rPr>
                <w:rFonts w:ascii="Times New Roman" w:hAnsi="Times New Roman"/>
                <w:i/>
                <w:iCs/>
                <w:sz w:val="20"/>
                <w:szCs w:val="20"/>
              </w:rPr>
            </w:pPr>
          </w:p>
        </w:tc>
        <w:tc>
          <w:tcPr>
            <w:tcW w:w="1373" w:type="pct"/>
          </w:tcPr>
          <w:p w14:paraId="488FB419" w14:textId="77777777" w:rsidR="00385271" w:rsidRPr="00B0658A" w:rsidRDefault="00385271" w:rsidP="00004A41">
            <w:pPr>
              <w:spacing w:after="0" w:line="240" w:lineRule="auto"/>
              <w:jc w:val="both"/>
              <w:rPr>
                <w:rFonts w:ascii="Times New Roman" w:hAnsi="Times New Roman"/>
                <w:i/>
                <w:iCs/>
                <w:sz w:val="20"/>
                <w:szCs w:val="20"/>
              </w:rPr>
            </w:pPr>
          </w:p>
        </w:tc>
        <w:tc>
          <w:tcPr>
            <w:tcW w:w="630" w:type="pct"/>
          </w:tcPr>
          <w:p w14:paraId="4BFCFBA6" w14:textId="77777777" w:rsidR="00385271" w:rsidRPr="00B0658A" w:rsidRDefault="00385271" w:rsidP="00004A41">
            <w:pPr>
              <w:spacing w:after="0" w:line="240" w:lineRule="auto"/>
              <w:jc w:val="both"/>
              <w:rPr>
                <w:rFonts w:ascii="Times New Roman" w:hAnsi="Times New Roman"/>
                <w:i/>
                <w:iCs/>
                <w:sz w:val="20"/>
                <w:szCs w:val="20"/>
              </w:rPr>
            </w:pPr>
          </w:p>
        </w:tc>
      </w:tr>
      <w:tr w:rsidR="00F52FED" w:rsidRPr="00B0658A" w14:paraId="6DB34512" w14:textId="77777777" w:rsidTr="00385271">
        <w:trPr>
          <w:trHeight w:val="20"/>
        </w:trPr>
        <w:tc>
          <w:tcPr>
            <w:tcW w:w="202" w:type="pct"/>
          </w:tcPr>
          <w:p w14:paraId="43985608" w14:textId="77777777" w:rsidR="00385271" w:rsidRPr="00B0658A" w:rsidRDefault="00385271" w:rsidP="00004A41">
            <w:pPr>
              <w:spacing w:after="0" w:line="240" w:lineRule="auto"/>
              <w:jc w:val="both"/>
              <w:rPr>
                <w:rFonts w:ascii="Times New Roman" w:hAnsi="Times New Roman"/>
                <w:sz w:val="20"/>
                <w:szCs w:val="20"/>
              </w:rPr>
            </w:pPr>
            <w:r w:rsidRPr="00B0658A">
              <w:rPr>
                <w:rFonts w:ascii="Times New Roman" w:hAnsi="Times New Roman"/>
                <w:sz w:val="20"/>
                <w:szCs w:val="20"/>
                <w:lang w:val="en-US"/>
              </w:rPr>
              <w:t>….</w:t>
            </w:r>
          </w:p>
        </w:tc>
        <w:tc>
          <w:tcPr>
            <w:tcW w:w="1474" w:type="pct"/>
          </w:tcPr>
          <w:p w14:paraId="462938C3" w14:textId="77777777" w:rsidR="00385271" w:rsidRPr="00B0658A" w:rsidRDefault="00385271" w:rsidP="00004A41">
            <w:pPr>
              <w:spacing w:after="0" w:line="240" w:lineRule="auto"/>
              <w:jc w:val="both"/>
              <w:rPr>
                <w:rFonts w:ascii="Times New Roman" w:hAnsi="Times New Roman"/>
                <w:sz w:val="20"/>
                <w:szCs w:val="20"/>
              </w:rPr>
            </w:pPr>
          </w:p>
        </w:tc>
        <w:tc>
          <w:tcPr>
            <w:tcW w:w="1321" w:type="pct"/>
          </w:tcPr>
          <w:p w14:paraId="36737219" w14:textId="77777777" w:rsidR="00385271" w:rsidRPr="00B0658A" w:rsidRDefault="00385271" w:rsidP="00004A41">
            <w:pPr>
              <w:spacing w:after="0" w:line="240" w:lineRule="auto"/>
              <w:jc w:val="both"/>
              <w:rPr>
                <w:rFonts w:ascii="Times New Roman" w:hAnsi="Times New Roman"/>
                <w:i/>
                <w:iCs/>
                <w:sz w:val="20"/>
                <w:szCs w:val="20"/>
              </w:rPr>
            </w:pPr>
          </w:p>
        </w:tc>
        <w:tc>
          <w:tcPr>
            <w:tcW w:w="1373" w:type="pct"/>
          </w:tcPr>
          <w:p w14:paraId="05ECFA15" w14:textId="77777777" w:rsidR="00385271" w:rsidRPr="00B0658A" w:rsidRDefault="00385271" w:rsidP="00004A41">
            <w:pPr>
              <w:spacing w:after="0" w:line="240" w:lineRule="auto"/>
              <w:jc w:val="both"/>
              <w:rPr>
                <w:rFonts w:ascii="Times New Roman" w:hAnsi="Times New Roman"/>
                <w:i/>
                <w:iCs/>
                <w:sz w:val="20"/>
                <w:szCs w:val="20"/>
              </w:rPr>
            </w:pPr>
          </w:p>
        </w:tc>
        <w:tc>
          <w:tcPr>
            <w:tcW w:w="630" w:type="pct"/>
          </w:tcPr>
          <w:p w14:paraId="6F42B8AA" w14:textId="77777777" w:rsidR="00385271" w:rsidRPr="00B0658A" w:rsidRDefault="00385271" w:rsidP="00004A41">
            <w:pPr>
              <w:spacing w:after="0" w:line="240" w:lineRule="auto"/>
              <w:jc w:val="both"/>
              <w:rPr>
                <w:rFonts w:ascii="Times New Roman" w:hAnsi="Times New Roman"/>
                <w:i/>
                <w:iCs/>
                <w:sz w:val="20"/>
                <w:szCs w:val="20"/>
              </w:rPr>
            </w:pPr>
          </w:p>
        </w:tc>
      </w:tr>
    </w:tbl>
    <w:p w14:paraId="116DB25C" w14:textId="77777777" w:rsidR="00B71F3F" w:rsidRPr="00B0658A" w:rsidRDefault="00B71F3F" w:rsidP="00B71F3F">
      <w:pPr>
        <w:rPr>
          <w:rFonts w:ascii="Times New Roman" w:hAnsi="Times New Roman"/>
        </w:rPr>
      </w:pPr>
      <w:r w:rsidRPr="00B0658A">
        <w:rPr>
          <w:rFonts w:ascii="Times New Roman" w:hAnsi="Times New Roman"/>
        </w:rPr>
        <w:t xml:space="preserve"> </w:t>
      </w:r>
    </w:p>
    <w:p w14:paraId="38603FC6" w14:textId="77777777" w:rsidR="00C56F1C" w:rsidRPr="00B0658A" w:rsidRDefault="00C56F1C">
      <w:pPr>
        <w:spacing w:after="0" w:line="240" w:lineRule="auto"/>
        <w:rPr>
          <w:rFonts w:ascii="Times New Roman" w:hAnsi="Times New Roman"/>
          <w:sz w:val="28"/>
          <w:szCs w:val="24"/>
        </w:rPr>
      </w:pPr>
      <w:r w:rsidRPr="00B0658A">
        <w:rPr>
          <w:rFonts w:ascii="Times New Roman" w:hAnsi="Times New Roman"/>
          <w:sz w:val="28"/>
          <w:szCs w:val="24"/>
        </w:rPr>
        <w:br w:type="page"/>
      </w:r>
    </w:p>
    <w:p w14:paraId="5F7B6C4A" w14:textId="782C4632" w:rsidR="008319FB" w:rsidRPr="00B0658A" w:rsidRDefault="008319FB" w:rsidP="008319FB">
      <w:pPr>
        <w:pStyle w:val="11"/>
        <w:spacing w:before="120" w:after="0" w:line="240" w:lineRule="auto"/>
        <w:jc w:val="right"/>
        <w:rPr>
          <w:rFonts w:cs="Times New Roman"/>
          <w:szCs w:val="28"/>
        </w:rPr>
      </w:pPr>
      <w:bookmarkStart w:id="26" w:name="_Toc116390901"/>
      <w:bookmarkStart w:id="27" w:name="_Toc116632272"/>
      <w:bookmarkStart w:id="28" w:name="_Hlk116557532"/>
      <w:r w:rsidRPr="00B0658A">
        <w:rPr>
          <w:rFonts w:cs="Times New Roman"/>
          <w:szCs w:val="28"/>
        </w:rPr>
        <w:t>Приложение № 5</w:t>
      </w:r>
      <w:r w:rsidRPr="00B0658A">
        <w:rPr>
          <w:rFonts w:cs="Times New Roman"/>
          <w:szCs w:val="28"/>
        </w:rPr>
        <w:br/>
        <w:t xml:space="preserve">Рекомендованная форма плана перехода </w:t>
      </w:r>
      <w:r w:rsidR="00060E4E" w:rsidRPr="00B0658A">
        <w:rPr>
          <w:rFonts w:cs="Times New Roman"/>
          <w:szCs w:val="28"/>
        </w:rPr>
        <w:t xml:space="preserve">подведомственных органам государственной власти и государственным внебюджетным фондам </w:t>
      </w:r>
      <w:r w:rsidR="002D0B4D" w:rsidRPr="00B0658A">
        <w:rPr>
          <w:rFonts w:cs="Times New Roman"/>
          <w:szCs w:val="28"/>
        </w:rPr>
        <w:t xml:space="preserve">организаций </w:t>
      </w:r>
      <w:r w:rsidRPr="00B0658A">
        <w:rPr>
          <w:rFonts w:cs="Times New Roman"/>
          <w:szCs w:val="28"/>
        </w:rPr>
        <w:t>на использование российского ПО</w:t>
      </w:r>
      <w:bookmarkEnd w:id="26"/>
      <w:bookmarkEnd w:id="27"/>
    </w:p>
    <w:p w14:paraId="1CF6392A" w14:textId="77777777" w:rsidR="008319FB" w:rsidRPr="00B0658A" w:rsidRDefault="008319FB" w:rsidP="008319FB">
      <w:pPr>
        <w:pStyle w:val="ConsPlusNormal"/>
        <w:spacing w:before="120"/>
        <w:jc w:val="both"/>
        <w:rPr>
          <w:sz w:val="28"/>
        </w:rPr>
      </w:pPr>
    </w:p>
    <w:p w14:paraId="2CFBB16A" w14:textId="77777777" w:rsidR="007B3F4E" w:rsidRPr="00B0658A" w:rsidRDefault="007B3F4E" w:rsidP="007B3F4E">
      <w:pPr>
        <w:pStyle w:val="ConsPlusNormal"/>
        <w:spacing w:before="120"/>
        <w:jc w:val="center"/>
        <w:rPr>
          <w:sz w:val="32"/>
        </w:rPr>
      </w:pPr>
      <w:r w:rsidRPr="00B0658A">
        <w:rPr>
          <w:sz w:val="32"/>
        </w:rPr>
        <w:t>План перехода ______________ (полное наименование п</w:t>
      </w:r>
      <w:r w:rsidRPr="00B0658A">
        <w:rPr>
          <w:sz w:val="32"/>
          <w:szCs w:val="28"/>
        </w:rPr>
        <w:t xml:space="preserve">одведомственной организации) на использование российского </w:t>
      </w:r>
      <w:r w:rsidRPr="00B0658A">
        <w:rPr>
          <w:sz w:val="32"/>
        </w:rPr>
        <w:t>ПО</w:t>
      </w:r>
      <w:r w:rsidRPr="00B0658A">
        <w:rPr>
          <w:sz w:val="32"/>
          <w:szCs w:val="28"/>
        </w:rPr>
        <w:t xml:space="preserve"> </w:t>
      </w:r>
      <w:r w:rsidRPr="00B0658A">
        <w:rPr>
          <w:sz w:val="32"/>
        </w:rPr>
        <w:t>на период 2022-20</w:t>
      </w:r>
      <w:r w:rsidR="00626001" w:rsidRPr="00B0658A">
        <w:rPr>
          <w:sz w:val="32"/>
        </w:rPr>
        <w:t>27</w:t>
      </w:r>
      <w:r w:rsidRPr="00B0658A">
        <w:rPr>
          <w:sz w:val="32"/>
        </w:rPr>
        <w:t xml:space="preserve"> годы</w:t>
      </w:r>
    </w:p>
    <w:p w14:paraId="4ED1E8FA" w14:textId="77777777" w:rsidR="007B3F4E" w:rsidRPr="00B0658A" w:rsidRDefault="007B3F4E" w:rsidP="008319FB">
      <w:pPr>
        <w:pStyle w:val="ConsPlusNormal"/>
        <w:spacing w:before="120"/>
        <w:jc w:val="both"/>
        <w:rPr>
          <w:sz w:val="28"/>
        </w:rPr>
      </w:pPr>
    </w:p>
    <w:p w14:paraId="65E3A4DF" w14:textId="77777777" w:rsidR="002D30BD" w:rsidRPr="00B0658A" w:rsidRDefault="002D30BD" w:rsidP="002D30BD">
      <w:pPr>
        <w:pStyle w:val="ConsPlusNormal"/>
        <w:spacing w:before="120"/>
        <w:jc w:val="both"/>
      </w:pPr>
      <w:r w:rsidRPr="00B0658A">
        <w:rPr>
          <w:sz w:val="28"/>
        </w:rPr>
        <w:t>Раздел 1. «Организационно-технические мероприятия по переходу на использование российского ПО»</w:t>
      </w:r>
    </w:p>
    <w:tbl>
      <w:tblPr>
        <w:tblW w:w="5000" w:type="pct"/>
        <w:tblCellMar>
          <w:top w:w="102" w:type="dxa"/>
          <w:left w:w="62" w:type="dxa"/>
          <w:bottom w:w="102" w:type="dxa"/>
          <w:right w:w="62" w:type="dxa"/>
        </w:tblCellMar>
        <w:tblLook w:val="0000" w:firstRow="0" w:lastRow="0" w:firstColumn="0" w:lastColumn="0" w:noHBand="0" w:noVBand="0"/>
      </w:tblPr>
      <w:tblGrid>
        <w:gridCol w:w="568"/>
        <w:gridCol w:w="2312"/>
        <w:gridCol w:w="3160"/>
        <w:gridCol w:w="3313"/>
        <w:gridCol w:w="1735"/>
        <w:gridCol w:w="2856"/>
      </w:tblGrid>
      <w:tr w:rsidR="00F52FED" w:rsidRPr="00B0658A" w14:paraId="7EBFC883" w14:textId="77777777" w:rsidTr="00F57B1F">
        <w:trPr>
          <w:tblHeader/>
        </w:trPr>
        <w:tc>
          <w:tcPr>
            <w:tcW w:w="204" w:type="pct"/>
            <w:tcBorders>
              <w:top w:val="single" w:sz="4" w:space="0" w:color="auto"/>
              <w:left w:val="single" w:sz="4" w:space="0" w:color="auto"/>
              <w:bottom w:val="single" w:sz="4" w:space="0" w:color="auto"/>
              <w:right w:val="single" w:sz="4" w:space="0" w:color="auto"/>
            </w:tcBorders>
            <w:shd w:val="clear" w:color="auto" w:fill="E7E6E6" w:themeFill="background2"/>
          </w:tcPr>
          <w:p w14:paraId="6938E7FC" w14:textId="77777777" w:rsidR="002D30BD" w:rsidRPr="00B0658A" w:rsidRDefault="002D30BD" w:rsidP="00004A41">
            <w:pPr>
              <w:pStyle w:val="ConsPlusNormal"/>
              <w:jc w:val="center"/>
            </w:pPr>
            <w:r w:rsidRPr="00B0658A">
              <w:t>N п.п.</w:t>
            </w:r>
          </w:p>
        </w:tc>
        <w:tc>
          <w:tcPr>
            <w:tcW w:w="829" w:type="pct"/>
            <w:tcBorders>
              <w:top w:val="single" w:sz="4" w:space="0" w:color="auto"/>
              <w:left w:val="single" w:sz="4" w:space="0" w:color="auto"/>
              <w:bottom w:val="single" w:sz="4" w:space="0" w:color="auto"/>
              <w:right w:val="single" w:sz="4" w:space="0" w:color="auto"/>
            </w:tcBorders>
            <w:shd w:val="clear" w:color="auto" w:fill="E7E6E6" w:themeFill="background2"/>
          </w:tcPr>
          <w:p w14:paraId="47289ABE" w14:textId="77777777" w:rsidR="002D30BD" w:rsidRPr="00B0658A" w:rsidRDefault="002D30BD" w:rsidP="00004A41">
            <w:pPr>
              <w:pStyle w:val="ConsPlusNormal"/>
              <w:jc w:val="center"/>
            </w:pPr>
            <w:r w:rsidRPr="00B0658A">
              <w:t>Наименование мероприятия</w:t>
            </w:r>
          </w:p>
        </w:tc>
        <w:tc>
          <w:tcPr>
            <w:tcW w:w="1133" w:type="pct"/>
            <w:tcBorders>
              <w:top w:val="single" w:sz="4" w:space="0" w:color="auto"/>
              <w:left w:val="single" w:sz="4" w:space="0" w:color="auto"/>
              <w:bottom w:val="single" w:sz="4" w:space="0" w:color="auto"/>
              <w:right w:val="single" w:sz="4" w:space="0" w:color="auto"/>
            </w:tcBorders>
            <w:shd w:val="clear" w:color="auto" w:fill="E7E6E6" w:themeFill="background2"/>
          </w:tcPr>
          <w:p w14:paraId="7BC54FF3" w14:textId="77777777" w:rsidR="002D30BD" w:rsidRPr="00B0658A" w:rsidRDefault="002D30BD" w:rsidP="00004A41">
            <w:pPr>
              <w:pStyle w:val="ConsPlusNormal"/>
              <w:jc w:val="center"/>
            </w:pPr>
            <w:r w:rsidRPr="00B0658A">
              <w:t>Краткое описание состава и содержания запланированного мероприятия</w:t>
            </w:r>
          </w:p>
        </w:tc>
        <w:tc>
          <w:tcPr>
            <w:tcW w:w="1188" w:type="pct"/>
            <w:tcBorders>
              <w:top w:val="single" w:sz="4" w:space="0" w:color="auto"/>
              <w:left w:val="single" w:sz="4" w:space="0" w:color="auto"/>
              <w:bottom w:val="single" w:sz="4" w:space="0" w:color="auto"/>
              <w:right w:val="single" w:sz="4" w:space="0" w:color="auto"/>
            </w:tcBorders>
            <w:shd w:val="clear" w:color="auto" w:fill="E7E6E6" w:themeFill="background2"/>
          </w:tcPr>
          <w:p w14:paraId="5B9910D1" w14:textId="77777777" w:rsidR="002D30BD" w:rsidRPr="00B0658A" w:rsidRDefault="002D30BD" w:rsidP="00004A41">
            <w:pPr>
              <w:pStyle w:val="ConsPlusNormal"/>
              <w:jc w:val="center"/>
            </w:pPr>
            <w:r w:rsidRPr="00B0658A">
              <w:t>Наименование ответственного исполнителя/ ответственного структурного подразделения</w:t>
            </w:r>
          </w:p>
        </w:tc>
        <w:tc>
          <w:tcPr>
            <w:tcW w:w="622" w:type="pct"/>
            <w:tcBorders>
              <w:top w:val="single" w:sz="4" w:space="0" w:color="auto"/>
              <w:left w:val="single" w:sz="4" w:space="0" w:color="auto"/>
              <w:bottom w:val="single" w:sz="4" w:space="0" w:color="auto"/>
              <w:right w:val="single" w:sz="4" w:space="0" w:color="auto"/>
            </w:tcBorders>
            <w:shd w:val="clear" w:color="auto" w:fill="E7E6E6" w:themeFill="background2"/>
          </w:tcPr>
          <w:p w14:paraId="1A26FF5D" w14:textId="77777777" w:rsidR="002D30BD" w:rsidRPr="00B0658A" w:rsidRDefault="002D30BD" w:rsidP="00004A41">
            <w:pPr>
              <w:pStyle w:val="ConsPlusNormal"/>
              <w:jc w:val="center"/>
            </w:pPr>
            <w:r w:rsidRPr="00B0658A">
              <w:t>Срок /периодичность выполнения</w:t>
            </w:r>
          </w:p>
        </w:tc>
        <w:tc>
          <w:tcPr>
            <w:tcW w:w="1024" w:type="pct"/>
            <w:tcBorders>
              <w:top w:val="single" w:sz="4" w:space="0" w:color="auto"/>
              <w:left w:val="single" w:sz="4" w:space="0" w:color="auto"/>
              <w:bottom w:val="single" w:sz="4" w:space="0" w:color="auto"/>
              <w:right w:val="single" w:sz="4" w:space="0" w:color="auto"/>
            </w:tcBorders>
            <w:shd w:val="clear" w:color="auto" w:fill="E7E6E6" w:themeFill="background2"/>
          </w:tcPr>
          <w:p w14:paraId="651F59AA" w14:textId="77777777" w:rsidR="002D30BD" w:rsidRPr="00B0658A" w:rsidRDefault="002D30BD" w:rsidP="00004A41">
            <w:pPr>
              <w:pStyle w:val="ConsPlusNormal"/>
              <w:jc w:val="center"/>
            </w:pPr>
            <w:r w:rsidRPr="00B0658A">
              <w:t>Ожидаемый результат</w:t>
            </w:r>
          </w:p>
        </w:tc>
      </w:tr>
      <w:tr w:rsidR="00F52FED" w:rsidRPr="00B0658A" w14:paraId="221C176D" w14:textId="77777777" w:rsidTr="002D30BD">
        <w:tc>
          <w:tcPr>
            <w:tcW w:w="5000" w:type="pct"/>
            <w:gridSpan w:val="6"/>
            <w:tcBorders>
              <w:top w:val="single" w:sz="4" w:space="0" w:color="auto"/>
              <w:left w:val="single" w:sz="4" w:space="0" w:color="auto"/>
              <w:bottom w:val="single" w:sz="4" w:space="0" w:color="auto"/>
              <w:right w:val="single" w:sz="4" w:space="0" w:color="auto"/>
            </w:tcBorders>
          </w:tcPr>
          <w:p w14:paraId="1E7C502A" w14:textId="77777777" w:rsidR="002D30BD" w:rsidRPr="00B0658A" w:rsidRDefault="002D30BD" w:rsidP="00004A41">
            <w:pPr>
              <w:pStyle w:val="ConsPlusNormal"/>
              <w:numPr>
                <w:ilvl w:val="0"/>
                <w:numId w:val="26"/>
              </w:numPr>
              <w:ind w:left="354"/>
            </w:pPr>
            <w:r w:rsidRPr="00B0658A">
              <w:t>Организационные мероприятия, направленные на подготовку к переходу на использование российского ПО</w:t>
            </w:r>
          </w:p>
        </w:tc>
      </w:tr>
      <w:tr w:rsidR="00F52FED" w:rsidRPr="00B0658A" w14:paraId="4BE3C1E8" w14:textId="77777777" w:rsidTr="002D30BD">
        <w:tc>
          <w:tcPr>
            <w:tcW w:w="204" w:type="pct"/>
            <w:tcBorders>
              <w:top w:val="single" w:sz="4" w:space="0" w:color="auto"/>
              <w:left w:val="single" w:sz="4" w:space="0" w:color="auto"/>
              <w:bottom w:val="single" w:sz="4" w:space="0" w:color="auto"/>
              <w:right w:val="single" w:sz="4" w:space="0" w:color="auto"/>
            </w:tcBorders>
          </w:tcPr>
          <w:p w14:paraId="2ABB84F8" w14:textId="77777777" w:rsidR="002D30BD" w:rsidRPr="00B0658A" w:rsidRDefault="002D30BD" w:rsidP="00004A41">
            <w:pPr>
              <w:pStyle w:val="ConsPlusNormal"/>
            </w:pPr>
          </w:p>
        </w:tc>
        <w:tc>
          <w:tcPr>
            <w:tcW w:w="829" w:type="pct"/>
            <w:tcBorders>
              <w:top w:val="single" w:sz="4" w:space="0" w:color="auto"/>
              <w:left w:val="single" w:sz="4" w:space="0" w:color="auto"/>
              <w:bottom w:val="single" w:sz="4" w:space="0" w:color="auto"/>
              <w:right w:val="single" w:sz="4" w:space="0" w:color="auto"/>
            </w:tcBorders>
          </w:tcPr>
          <w:p w14:paraId="76E8E5CC" w14:textId="77777777" w:rsidR="002D30BD" w:rsidRPr="00B0658A" w:rsidRDefault="002D30BD" w:rsidP="00004A41">
            <w:pPr>
              <w:pStyle w:val="ConsPlusNormal"/>
            </w:pPr>
          </w:p>
        </w:tc>
        <w:tc>
          <w:tcPr>
            <w:tcW w:w="1133" w:type="pct"/>
            <w:tcBorders>
              <w:top w:val="single" w:sz="4" w:space="0" w:color="auto"/>
              <w:left w:val="single" w:sz="4" w:space="0" w:color="auto"/>
              <w:bottom w:val="single" w:sz="4" w:space="0" w:color="auto"/>
              <w:right w:val="single" w:sz="4" w:space="0" w:color="auto"/>
            </w:tcBorders>
          </w:tcPr>
          <w:p w14:paraId="5FC4BCCB" w14:textId="77777777" w:rsidR="002D30BD" w:rsidRPr="00B0658A" w:rsidRDefault="002D30BD" w:rsidP="00004A41">
            <w:pPr>
              <w:pStyle w:val="ConsPlusNormal"/>
            </w:pPr>
          </w:p>
        </w:tc>
        <w:tc>
          <w:tcPr>
            <w:tcW w:w="1188" w:type="pct"/>
            <w:tcBorders>
              <w:top w:val="single" w:sz="4" w:space="0" w:color="auto"/>
              <w:left w:val="single" w:sz="4" w:space="0" w:color="auto"/>
              <w:bottom w:val="single" w:sz="4" w:space="0" w:color="auto"/>
              <w:right w:val="single" w:sz="4" w:space="0" w:color="auto"/>
            </w:tcBorders>
          </w:tcPr>
          <w:p w14:paraId="198B90FD" w14:textId="77777777" w:rsidR="002D30BD" w:rsidRPr="00B0658A" w:rsidRDefault="002D30BD" w:rsidP="00004A41">
            <w:pPr>
              <w:pStyle w:val="ConsPlusNormal"/>
            </w:pPr>
          </w:p>
        </w:tc>
        <w:tc>
          <w:tcPr>
            <w:tcW w:w="622" w:type="pct"/>
            <w:tcBorders>
              <w:top w:val="single" w:sz="4" w:space="0" w:color="auto"/>
              <w:left w:val="single" w:sz="4" w:space="0" w:color="auto"/>
              <w:bottom w:val="single" w:sz="4" w:space="0" w:color="auto"/>
              <w:right w:val="single" w:sz="4" w:space="0" w:color="auto"/>
            </w:tcBorders>
          </w:tcPr>
          <w:p w14:paraId="1A45FA34" w14:textId="77777777" w:rsidR="002D30BD" w:rsidRPr="00B0658A" w:rsidRDefault="002D30BD" w:rsidP="00004A41">
            <w:pPr>
              <w:pStyle w:val="ConsPlusNormal"/>
            </w:pPr>
          </w:p>
        </w:tc>
        <w:tc>
          <w:tcPr>
            <w:tcW w:w="1024" w:type="pct"/>
            <w:tcBorders>
              <w:top w:val="single" w:sz="4" w:space="0" w:color="auto"/>
              <w:left w:val="single" w:sz="4" w:space="0" w:color="auto"/>
              <w:bottom w:val="single" w:sz="4" w:space="0" w:color="auto"/>
              <w:right w:val="single" w:sz="4" w:space="0" w:color="auto"/>
            </w:tcBorders>
          </w:tcPr>
          <w:p w14:paraId="099C4A87" w14:textId="77777777" w:rsidR="002D30BD" w:rsidRPr="00B0658A" w:rsidRDefault="002D30BD" w:rsidP="00004A41">
            <w:pPr>
              <w:pStyle w:val="ConsPlusNormal"/>
            </w:pPr>
          </w:p>
        </w:tc>
      </w:tr>
      <w:tr w:rsidR="00F52FED" w:rsidRPr="00B0658A" w14:paraId="50CD29EB" w14:textId="77777777" w:rsidTr="002D30BD">
        <w:tc>
          <w:tcPr>
            <w:tcW w:w="204" w:type="pct"/>
            <w:tcBorders>
              <w:top w:val="single" w:sz="4" w:space="0" w:color="auto"/>
              <w:left w:val="single" w:sz="4" w:space="0" w:color="auto"/>
              <w:bottom w:val="single" w:sz="4" w:space="0" w:color="auto"/>
              <w:right w:val="single" w:sz="4" w:space="0" w:color="auto"/>
            </w:tcBorders>
          </w:tcPr>
          <w:p w14:paraId="7B92C934" w14:textId="77777777" w:rsidR="002D30BD" w:rsidRPr="00B0658A" w:rsidRDefault="002D30BD" w:rsidP="00004A41">
            <w:pPr>
              <w:pStyle w:val="ConsPlusNormal"/>
            </w:pPr>
          </w:p>
        </w:tc>
        <w:tc>
          <w:tcPr>
            <w:tcW w:w="829" w:type="pct"/>
            <w:tcBorders>
              <w:top w:val="single" w:sz="4" w:space="0" w:color="auto"/>
              <w:left w:val="single" w:sz="4" w:space="0" w:color="auto"/>
              <w:bottom w:val="single" w:sz="4" w:space="0" w:color="auto"/>
              <w:right w:val="single" w:sz="4" w:space="0" w:color="auto"/>
            </w:tcBorders>
          </w:tcPr>
          <w:p w14:paraId="493DCD9F" w14:textId="77777777" w:rsidR="002D30BD" w:rsidRPr="00B0658A" w:rsidRDefault="002D30BD" w:rsidP="00004A41">
            <w:pPr>
              <w:pStyle w:val="ConsPlusNormal"/>
            </w:pPr>
          </w:p>
        </w:tc>
        <w:tc>
          <w:tcPr>
            <w:tcW w:w="1133" w:type="pct"/>
            <w:tcBorders>
              <w:top w:val="single" w:sz="4" w:space="0" w:color="auto"/>
              <w:left w:val="single" w:sz="4" w:space="0" w:color="auto"/>
              <w:bottom w:val="single" w:sz="4" w:space="0" w:color="auto"/>
              <w:right w:val="single" w:sz="4" w:space="0" w:color="auto"/>
            </w:tcBorders>
          </w:tcPr>
          <w:p w14:paraId="63061ECE" w14:textId="77777777" w:rsidR="002D30BD" w:rsidRPr="00B0658A" w:rsidRDefault="002D30BD" w:rsidP="00004A41">
            <w:pPr>
              <w:pStyle w:val="ConsPlusNormal"/>
            </w:pPr>
          </w:p>
        </w:tc>
        <w:tc>
          <w:tcPr>
            <w:tcW w:w="1188" w:type="pct"/>
            <w:tcBorders>
              <w:top w:val="single" w:sz="4" w:space="0" w:color="auto"/>
              <w:left w:val="single" w:sz="4" w:space="0" w:color="auto"/>
              <w:bottom w:val="single" w:sz="4" w:space="0" w:color="auto"/>
              <w:right w:val="single" w:sz="4" w:space="0" w:color="auto"/>
            </w:tcBorders>
          </w:tcPr>
          <w:p w14:paraId="7CD8C110" w14:textId="77777777" w:rsidR="002D30BD" w:rsidRPr="00B0658A" w:rsidRDefault="002D30BD" w:rsidP="00004A41">
            <w:pPr>
              <w:pStyle w:val="ConsPlusNormal"/>
            </w:pPr>
          </w:p>
        </w:tc>
        <w:tc>
          <w:tcPr>
            <w:tcW w:w="622" w:type="pct"/>
            <w:tcBorders>
              <w:top w:val="single" w:sz="4" w:space="0" w:color="auto"/>
              <w:left w:val="single" w:sz="4" w:space="0" w:color="auto"/>
              <w:bottom w:val="single" w:sz="4" w:space="0" w:color="auto"/>
              <w:right w:val="single" w:sz="4" w:space="0" w:color="auto"/>
            </w:tcBorders>
          </w:tcPr>
          <w:p w14:paraId="22738929" w14:textId="77777777" w:rsidR="002D30BD" w:rsidRPr="00B0658A" w:rsidRDefault="002D30BD" w:rsidP="00004A41">
            <w:pPr>
              <w:pStyle w:val="ConsPlusNormal"/>
            </w:pPr>
          </w:p>
        </w:tc>
        <w:tc>
          <w:tcPr>
            <w:tcW w:w="1024" w:type="pct"/>
            <w:tcBorders>
              <w:top w:val="single" w:sz="4" w:space="0" w:color="auto"/>
              <w:left w:val="single" w:sz="4" w:space="0" w:color="auto"/>
              <w:bottom w:val="single" w:sz="4" w:space="0" w:color="auto"/>
              <w:right w:val="single" w:sz="4" w:space="0" w:color="auto"/>
            </w:tcBorders>
          </w:tcPr>
          <w:p w14:paraId="4561B798" w14:textId="77777777" w:rsidR="002D30BD" w:rsidRPr="00B0658A" w:rsidRDefault="002D30BD" w:rsidP="00004A41">
            <w:pPr>
              <w:pStyle w:val="ConsPlusNormal"/>
            </w:pPr>
          </w:p>
        </w:tc>
      </w:tr>
      <w:tr w:rsidR="00F52FED" w:rsidRPr="00B0658A" w14:paraId="7340128F" w14:textId="77777777" w:rsidTr="002D30BD">
        <w:tc>
          <w:tcPr>
            <w:tcW w:w="204" w:type="pct"/>
            <w:tcBorders>
              <w:top w:val="single" w:sz="4" w:space="0" w:color="auto"/>
              <w:left w:val="single" w:sz="4" w:space="0" w:color="auto"/>
              <w:bottom w:val="single" w:sz="4" w:space="0" w:color="auto"/>
              <w:right w:val="single" w:sz="4" w:space="0" w:color="auto"/>
            </w:tcBorders>
          </w:tcPr>
          <w:p w14:paraId="69CE0532" w14:textId="77777777" w:rsidR="002D30BD" w:rsidRPr="00B0658A" w:rsidRDefault="002D30BD" w:rsidP="00004A41">
            <w:pPr>
              <w:pStyle w:val="ConsPlusNormal"/>
            </w:pPr>
          </w:p>
        </w:tc>
        <w:tc>
          <w:tcPr>
            <w:tcW w:w="829" w:type="pct"/>
            <w:tcBorders>
              <w:top w:val="single" w:sz="4" w:space="0" w:color="auto"/>
              <w:left w:val="single" w:sz="4" w:space="0" w:color="auto"/>
              <w:bottom w:val="single" w:sz="4" w:space="0" w:color="auto"/>
              <w:right w:val="single" w:sz="4" w:space="0" w:color="auto"/>
            </w:tcBorders>
          </w:tcPr>
          <w:p w14:paraId="1FAA2D6D" w14:textId="77777777" w:rsidR="002D30BD" w:rsidRPr="00B0658A" w:rsidRDefault="002D30BD" w:rsidP="00004A41">
            <w:pPr>
              <w:pStyle w:val="ConsPlusNormal"/>
            </w:pPr>
          </w:p>
        </w:tc>
        <w:tc>
          <w:tcPr>
            <w:tcW w:w="1133" w:type="pct"/>
            <w:tcBorders>
              <w:top w:val="single" w:sz="4" w:space="0" w:color="auto"/>
              <w:left w:val="single" w:sz="4" w:space="0" w:color="auto"/>
              <w:bottom w:val="single" w:sz="4" w:space="0" w:color="auto"/>
              <w:right w:val="single" w:sz="4" w:space="0" w:color="auto"/>
            </w:tcBorders>
          </w:tcPr>
          <w:p w14:paraId="5E9D7567" w14:textId="77777777" w:rsidR="002D30BD" w:rsidRPr="00B0658A" w:rsidRDefault="002D30BD" w:rsidP="00004A41">
            <w:pPr>
              <w:pStyle w:val="ConsPlusNormal"/>
            </w:pPr>
          </w:p>
        </w:tc>
        <w:tc>
          <w:tcPr>
            <w:tcW w:w="1188" w:type="pct"/>
            <w:tcBorders>
              <w:top w:val="single" w:sz="4" w:space="0" w:color="auto"/>
              <w:left w:val="single" w:sz="4" w:space="0" w:color="auto"/>
              <w:bottom w:val="single" w:sz="4" w:space="0" w:color="auto"/>
              <w:right w:val="single" w:sz="4" w:space="0" w:color="auto"/>
            </w:tcBorders>
          </w:tcPr>
          <w:p w14:paraId="59ADE335" w14:textId="77777777" w:rsidR="002D30BD" w:rsidRPr="00B0658A" w:rsidRDefault="002D30BD" w:rsidP="00004A41">
            <w:pPr>
              <w:pStyle w:val="ConsPlusNormal"/>
            </w:pPr>
          </w:p>
        </w:tc>
        <w:tc>
          <w:tcPr>
            <w:tcW w:w="622" w:type="pct"/>
            <w:tcBorders>
              <w:top w:val="single" w:sz="4" w:space="0" w:color="auto"/>
              <w:left w:val="single" w:sz="4" w:space="0" w:color="auto"/>
              <w:bottom w:val="single" w:sz="4" w:space="0" w:color="auto"/>
              <w:right w:val="single" w:sz="4" w:space="0" w:color="auto"/>
            </w:tcBorders>
          </w:tcPr>
          <w:p w14:paraId="7EF24C94" w14:textId="77777777" w:rsidR="002D30BD" w:rsidRPr="00B0658A" w:rsidRDefault="002D30BD" w:rsidP="00004A41">
            <w:pPr>
              <w:pStyle w:val="ConsPlusNormal"/>
            </w:pPr>
          </w:p>
        </w:tc>
        <w:tc>
          <w:tcPr>
            <w:tcW w:w="1024" w:type="pct"/>
            <w:tcBorders>
              <w:top w:val="single" w:sz="4" w:space="0" w:color="auto"/>
              <w:left w:val="single" w:sz="4" w:space="0" w:color="auto"/>
              <w:bottom w:val="single" w:sz="4" w:space="0" w:color="auto"/>
              <w:right w:val="single" w:sz="4" w:space="0" w:color="auto"/>
            </w:tcBorders>
          </w:tcPr>
          <w:p w14:paraId="3070D249" w14:textId="77777777" w:rsidR="002D30BD" w:rsidRPr="00B0658A" w:rsidRDefault="002D30BD" w:rsidP="00004A41">
            <w:pPr>
              <w:pStyle w:val="ConsPlusNormal"/>
            </w:pPr>
          </w:p>
        </w:tc>
      </w:tr>
      <w:tr w:rsidR="00F52FED" w:rsidRPr="00B0658A" w14:paraId="68FC37E9" w14:textId="77777777" w:rsidTr="002D30BD">
        <w:tc>
          <w:tcPr>
            <w:tcW w:w="204" w:type="pct"/>
            <w:tcBorders>
              <w:top w:val="single" w:sz="4" w:space="0" w:color="auto"/>
              <w:left w:val="single" w:sz="4" w:space="0" w:color="auto"/>
              <w:bottom w:val="single" w:sz="4" w:space="0" w:color="auto"/>
              <w:right w:val="single" w:sz="4" w:space="0" w:color="auto"/>
            </w:tcBorders>
          </w:tcPr>
          <w:p w14:paraId="7C14E232" w14:textId="77777777" w:rsidR="002D30BD" w:rsidRPr="00B0658A" w:rsidRDefault="002D30BD" w:rsidP="00004A41">
            <w:pPr>
              <w:pStyle w:val="ConsPlusNormal"/>
            </w:pPr>
          </w:p>
        </w:tc>
        <w:tc>
          <w:tcPr>
            <w:tcW w:w="829" w:type="pct"/>
            <w:tcBorders>
              <w:top w:val="single" w:sz="4" w:space="0" w:color="auto"/>
              <w:left w:val="single" w:sz="4" w:space="0" w:color="auto"/>
              <w:bottom w:val="single" w:sz="4" w:space="0" w:color="auto"/>
              <w:right w:val="single" w:sz="4" w:space="0" w:color="auto"/>
            </w:tcBorders>
          </w:tcPr>
          <w:p w14:paraId="483687E2" w14:textId="77777777" w:rsidR="002D30BD" w:rsidRPr="00B0658A" w:rsidRDefault="002D30BD" w:rsidP="00004A41">
            <w:pPr>
              <w:pStyle w:val="ConsPlusNormal"/>
            </w:pPr>
          </w:p>
        </w:tc>
        <w:tc>
          <w:tcPr>
            <w:tcW w:w="1133" w:type="pct"/>
            <w:tcBorders>
              <w:top w:val="single" w:sz="4" w:space="0" w:color="auto"/>
              <w:left w:val="single" w:sz="4" w:space="0" w:color="auto"/>
              <w:bottom w:val="single" w:sz="4" w:space="0" w:color="auto"/>
              <w:right w:val="single" w:sz="4" w:space="0" w:color="auto"/>
            </w:tcBorders>
          </w:tcPr>
          <w:p w14:paraId="6F07BC58" w14:textId="77777777" w:rsidR="002D30BD" w:rsidRPr="00B0658A" w:rsidRDefault="002D30BD" w:rsidP="00004A41">
            <w:pPr>
              <w:pStyle w:val="ConsPlusNormal"/>
            </w:pPr>
          </w:p>
        </w:tc>
        <w:tc>
          <w:tcPr>
            <w:tcW w:w="1188" w:type="pct"/>
            <w:tcBorders>
              <w:top w:val="single" w:sz="4" w:space="0" w:color="auto"/>
              <w:left w:val="single" w:sz="4" w:space="0" w:color="auto"/>
              <w:bottom w:val="single" w:sz="4" w:space="0" w:color="auto"/>
              <w:right w:val="single" w:sz="4" w:space="0" w:color="auto"/>
            </w:tcBorders>
          </w:tcPr>
          <w:p w14:paraId="16D1749B" w14:textId="77777777" w:rsidR="002D30BD" w:rsidRPr="00B0658A" w:rsidRDefault="002D30BD" w:rsidP="00004A41">
            <w:pPr>
              <w:pStyle w:val="ConsPlusNormal"/>
            </w:pPr>
          </w:p>
        </w:tc>
        <w:tc>
          <w:tcPr>
            <w:tcW w:w="622" w:type="pct"/>
            <w:tcBorders>
              <w:top w:val="single" w:sz="4" w:space="0" w:color="auto"/>
              <w:left w:val="single" w:sz="4" w:space="0" w:color="auto"/>
              <w:bottom w:val="single" w:sz="4" w:space="0" w:color="auto"/>
              <w:right w:val="single" w:sz="4" w:space="0" w:color="auto"/>
            </w:tcBorders>
          </w:tcPr>
          <w:p w14:paraId="7C7322DD" w14:textId="77777777" w:rsidR="002D30BD" w:rsidRPr="00B0658A" w:rsidRDefault="002D30BD" w:rsidP="00004A41">
            <w:pPr>
              <w:pStyle w:val="ConsPlusNormal"/>
            </w:pPr>
          </w:p>
        </w:tc>
        <w:tc>
          <w:tcPr>
            <w:tcW w:w="1024" w:type="pct"/>
            <w:tcBorders>
              <w:top w:val="single" w:sz="4" w:space="0" w:color="auto"/>
              <w:left w:val="single" w:sz="4" w:space="0" w:color="auto"/>
              <w:bottom w:val="single" w:sz="4" w:space="0" w:color="auto"/>
              <w:right w:val="single" w:sz="4" w:space="0" w:color="auto"/>
            </w:tcBorders>
          </w:tcPr>
          <w:p w14:paraId="680D8034" w14:textId="77777777" w:rsidR="002D30BD" w:rsidRPr="00B0658A" w:rsidRDefault="002D30BD" w:rsidP="00004A41">
            <w:pPr>
              <w:pStyle w:val="ConsPlusNormal"/>
            </w:pPr>
          </w:p>
        </w:tc>
      </w:tr>
      <w:tr w:rsidR="00F52FED" w:rsidRPr="00B0658A" w14:paraId="3FDA56B5" w14:textId="77777777" w:rsidTr="002D30BD">
        <w:tc>
          <w:tcPr>
            <w:tcW w:w="5000" w:type="pct"/>
            <w:gridSpan w:val="6"/>
            <w:tcBorders>
              <w:top w:val="single" w:sz="4" w:space="0" w:color="auto"/>
              <w:left w:val="single" w:sz="4" w:space="0" w:color="auto"/>
              <w:bottom w:val="single" w:sz="4" w:space="0" w:color="auto"/>
              <w:right w:val="single" w:sz="4" w:space="0" w:color="auto"/>
            </w:tcBorders>
          </w:tcPr>
          <w:p w14:paraId="2EF9CA80" w14:textId="77777777" w:rsidR="002D30BD" w:rsidRPr="00B0658A" w:rsidRDefault="002D30BD" w:rsidP="00004A41">
            <w:pPr>
              <w:pStyle w:val="ConsPlusNormal"/>
              <w:numPr>
                <w:ilvl w:val="0"/>
                <w:numId w:val="26"/>
              </w:numPr>
              <w:ind w:left="357" w:hanging="357"/>
            </w:pPr>
            <w:r w:rsidRPr="00B0658A">
              <w:t>Технические мероприятия, направленные на подготовку к переходу на использование российского ПО</w:t>
            </w:r>
          </w:p>
        </w:tc>
      </w:tr>
      <w:tr w:rsidR="00F52FED" w:rsidRPr="00B0658A" w14:paraId="4620C5B0" w14:textId="77777777" w:rsidTr="002D30BD">
        <w:tc>
          <w:tcPr>
            <w:tcW w:w="204" w:type="pct"/>
            <w:tcBorders>
              <w:top w:val="single" w:sz="4" w:space="0" w:color="auto"/>
              <w:left w:val="single" w:sz="4" w:space="0" w:color="auto"/>
              <w:bottom w:val="single" w:sz="4" w:space="0" w:color="auto"/>
              <w:right w:val="single" w:sz="4" w:space="0" w:color="auto"/>
            </w:tcBorders>
          </w:tcPr>
          <w:p w14:paraId="363D3F29" w14:textId="77777777" w:rsidR="002D30BD" w:rsidRPr="00B0658A" w:rsidRDefault="002D30BD" w:rsidP="00004A41">
            <w:pPr>
              <w:pStyle w:val="ConsPlusNormal"/>
            </w:pPr>
          </w:p>
        </w:tc>
        <w:tc>
          <w:tcPr>
            <w:tcW w:w="829" w:type="pct"/>
            <w:tcBorders>
              <w:top w:val="single" w:sz="4" w:space="0" w:color="auto"/>
              <w:left w:val="single" w:sz="4" w:space="0" w:color="auto"/>
              <w:bottom w:val="single" w:sz="4" w:space="0" w:color="auto"/>
              <w:right w:val="single" w:sz="4" w:space="0" w:color="auto"/>
            </w:tcBorders>
          </w:tcPr>
          <w:p w14:paraId="66ACE6D4" w14:textId="77777777" w:rsidR="002D30BD" w:rsidRPr="00B0658A" w:rsidRDefault="002D30BD" w:rsidP="00004A41">
            <w:pPr>
              <w:pStyle w:val="ConsPlusNormal"/>
            </w:pPr>
          </w:p>
        </w:tc>
        <w:tc>
          <w:tcPr>
            <w:tcW w:w="1133" w:type="pct"/>
            <w:tcBorders>
              <w:top w:val="single" w:sz="4" w:space="0" w:color="auto"/>
              <w:left w:val="single" w:sz="4" w:space="0" w:color="auto"/>
              <w:bottom w:val="single" w:sz="4" w:space="0" w:color="auto"/>
              <w:right w:val="single" w:sz="4" w:space="0" w:color="auto"/>
            </w:tcBorders>
          </w:tcPr>
          <w:p w14:paraId="1220322D" w14:textId="77777777" w:rsidR="002D30BD" w:rsidRPr="00B0658A" w:rsidRDefault="002D30BD" w:rsidP="00004A41">
            <w:pPr>
              <w:pStyle w:val="ConsPlusNormal"/>
            </w:pPr>
          </w:p>
        </w:tc>
        <w:tc>
          <w:tcPr>
            <w:tcW w:w="1188" w:type="pct"/>
            <w:tcBorders>
              <w:top w:val="single" w:sz="4" w:space="0" w:color="auto"/>
              <w:left w:val="single" w:sz="4" w:space="0" w:color="auto"/>
              <w:bottom w:val="single" w:sz="4" w:space="0" w:color="auto"/>
              <w:right w:val="single" w:sz="4" w:space="0" w:color="auto"/>
            </w:tcBorders>
          </w:tcPr>
          <w:p w14:paraId="7831B60C" w14:textId="77777777" w:rsidR="002D30BD" w:rsidRPr="00B0658A" w:rsidRDefault="002D30BD" w:rsidP="00004A41">
            <w:pPr>
              <w:pStyle w:val="ConsPlusNormal"/>
            </w:pPr>
          </w:p>
        </w:tc>
        <w:tc>
          <w:tcPr>
            <w:tcW w:w="622" w:type="pct"/>
            <w:tcBorders>
              <w:top w:val="single" w:sz="4" w:space="0" w:color="auto"/>
              <w:left w:val="single" w:sz="4" w:space="0" w:color="auto"/>
              <w:bottom w:val="single" w:sz="4" w:space="0" w:color="auto"/>
              <w:right w:val="single" w:sz="4" w:space="0" w:color="auto"/>
            </w:tcBorders>
          </w:tcPr>
          <w:p w14:paraId="2621D210" w14:textId="77777777" w:rsidR="002D30BD" w:rsidRPr="00B0658A" w:rsidRDefault="002D30BD" w:rsidP="00004A41">
            <w:pPr>
              <w:pStyle w:val="ConsPlusNormal"/>
            </w:pPr>
          </w:p>
        </w:tc>
        <w:tc>
          <w:tcPr>
            <w:tcW w:w="1024" w:type="pct"/>
            <w:tcBorders>
              <w:top w:val="single" w:sz="4" w:space="0" w:color="auto"/>
              <w:left w:val="single" w:sz="4" w:space="0" w:color="auto"/>
              <w:bottom w:val="single" w:sz="4" w:space="0" w:color="auto"/>
              <w:right w:val="single" w:sz="4" w:space="0" w:color="auto"/>
            </w:tcBorders>
          </w:tcPr>
          <w:p w14:paraId="7A847245" w14:textId="77777777" w:rsidR="002D30BD" w:rsidRPr="00B0658A" w:rsidRDefault="002D30BD" w:rsidP="00004A41">
            <w:pPr>
              <w:pStyle w:val="ConsPlusNormal"/>
            </w:pPr>
          </w:p>
        </w:tc>
      </w:tr>
      <w:tr w:rsidR="00F52FED" w:rsidRPr="00B0658A" w14:paraId="1259305C" w14:textId="77777777" w:rsidTr="002D30BD">
        <w:tc>
          <w:tcPr>
            <w:tcW w:w="204" w:type="pct"/>
            <w:tcBorders>
              <w:top w:val="single" w:sz="4" w:space="0" w:color="auto"/>
              <w:left w:val="single" w:sz="4" w:space="0" w:color="auto"/>
              <w:bottom w:val="single" w:sz="4" w:space="0" w:color="auto"/>
              <w:right w:val="single" w:sz="4" w:space="0" w:color="auto"/>
            </w:tcBorders>
          </w:tcPr>
          <w:p w14:paraId="724CDE41" w14:textId="77777777" w:rsidR="002D30BD" w:rsidRPr="00B0658A" w:rsidRDefault="002D30BD" w:rsidP="00004A41">
            <w:pPr>
              <w:pStyle w:val="ConsPlusNormal"/>
            </w:pPr>
          </w:p>
        </w:tc>
        <w:tc>
          <w:tcPr>
            <w:tcW w:w="829" w:type="pct"/>
            <w:tcBorders>
              <w:top w:val="single" w:sz="4" w:space="0" w:color="auto"/>
              <w:left w:val="single" w:sz="4" w:space="0" w:color="auto"/>
              <w:bottom w:val="single" w:sz="4" w:space="0" w:color="auto"/>
              <w:right w:val="single" w:sz="4" w:space="0" w:color="auto"/>
            </w:tcBorders>
          </w:tcPr>
          <w:p w14:paraId="09F76458" w14:textId="77777777" w:rsidR="002D30BD" w:rsidRPr="00B0658A" w:rsidRDefault="002D30BD" w:rsidP="00004A41">
            <w:pPr>
              <w:pStyle w:val="ConsPlusNormal"/>
            </w:pPr>
          </w:p>
        </w:tc>
        <w:tc>
          <w:tcPr>
            <w:tcW w:w="1133" w:type="pct"/>
            <w:tcBorders>
              <w:top w:val="single" w:sz="4" w:space="0" w:color="auto"/>
              <w:left w:val="single" w:sz="4" w:space="0" w:color="auto"/>
              <w:bottom w:val="single" w:sz="4" w:space="0" w:color="auto"/>
              <w:right w:val="single" w:sz="4" w:space="0" w:color="auto"/>
            </w:tcBorders>
          </w:tcPr>
          <w:p w14:paraId="72D139D7" w14:textId="77777777" w:rsidR="002D30BD" w:rsidRPr="00B0658A" w:rsidRDefault="002D30BD" w:rsidP="00004A41">
            <w:pPr>
              <w:pStyle w:val="ConsPlusNormal"/>
            </w:pPr>
          </w:p>
        </w:tc>
        <w:tc>
          <w:tcPr>
            <w:tcW w:w="1188" w:type="pct"/>
            <w:tcBorders>
              <w:top w:val="single" w:sz="4" w:space="0" w:color="auto"/>
              <w:left w:val="single" w:sz="4" w:space="0" w:color="auto"/>
              <w:bottom w:val="single" w:sz="4" w:space="0" w:color="auto"/>
              <w:right w:val="single" w:sz="4" w:space="0" w:color="auto"/>
            </w:tcBorders>
          </w:tcPr>
          <w:p w14:paraId="5FA4DDF2" w14:textId="77777777" w:rsidR="002D30BD" w:rsidRPr="00B0658A" w:rsidRDefault="002D30BD" w:rsidP="00004A41">
            <w:pPr>
              <w:pStyle w:val="ConsPlusNormal"/>
            </w:pPr>
          </w:p>
        </w:tc>
        <w:tc>
          <w:tcPr>
            <w:tcW w:w="622" w:type="pct"/>
            <w:tcBorders>
              <w:top w:val="single" w:sz="4" w:space="0" w:color="auto"/>
              <w:left w:val="single" w:sz="4" w:space="0" w:color="auto"/>
              <w:bottom w:val="single" w:sz="4" w:space="0" w:color="auto"/>
              <w:right w:val="single" w:sz="4" w:space="0" w:color="auto"/>
            </w:tcBorders>
          </w:tcPr>
          <w:p w14:paraId="52E37C08" w14:textId="77777777" w:rsidR="002D30BD" w:rsidRPr="00B0658A" w:rsidRDefault="002D30BD" w:rsidP="00004A41">
            <w:pPr>
              <w:pStyle w:val="ConsPlusNormal"/>
            </w:pPr>
          </w:p>
        </w:tc>
        <w:tc>
          <w:tcPr>
            <w:tcW w:w="1024" w:type="pct"/>
            <w:tcBorders>
              <w:top w:val="single" w:sz="4" w:space="0" w:color="auto"/>
              <w:left w:val="single" w:sz="4" w:space="0" w:color="auto"/>
              <w:bottom w:val="single" w:sz="4" w:space="0" w:color="auto"/>
              <w:right w:val="single" w:sz="4" w:space="0" w:color="auto"/>
            </w:tcBorders>
          </w:tcPr>
          <w:p w14:paraId="7C1A270E" w14:textId="77777777" w:rsidR="002D30BD" w:rsidRPr="00B0658A" w:rsidRDefault="002D30BD" w:rsidP="00004A41">
            <w:pPr>
              <w:pStyle w:val="ConsPlusNormal"/>
            </w:pPr>
          </w:p>
        </w:tc>
      </w:tr>
      <w:tr w:rsidR="00F52FED" w:rsidRPr="00B0658A" w14:paraId="57A4DE69" w14:textId="77777777" w:rsidTr="002D30BD">
        <w:tc>
          <w:tcPr>
            <w:tcW w:w="204" w:type="pct"/>
            <w:tcBorders>
              <w:top w:val="single" w:sz="4" w:space="0" w:color="auto"/>
              <w:left w:val="single" w:sz="4" w:space="0" w:color="auto"/>
              <w:bottom w:val="single" w:sz="4" w:space="0" w:color="auto"/>
              <w:right w:val="single" w:sz="4" w:space="0" w:color="auto"/>
            </w:tcBorders>
          </w:tcPr>
          <w:p w14:paraId="02A0FF09" w14:textId="77777777" w:rsidR="002D30BD" w:rsidRPr="00B0658A" w:rsidRDefault="002D30BD" w:rsidP="00004A41">
            <w:pPr>
              <w:pStyle w:val="ConsPlusNormal"/>
            </w:pPr>
          </w:p>
        </w:tc>
        <w:tc>
          <w:tcPr>
            <w:tcW w:w="829" w:type="pct"/>
            <w:tcBorders>
              <w:top w:val="single" w:sz="4" w:space="0" w:color="auto"/>
              <w:left w:val="single" w:sz="4" w:space="0" w:color="auto"/>
              <w:bottom w:val="single" w:sz="4" w:space="0" w:color="auto"/>
              <w:right w:val="single" w:sz="4" w:space="0" w:color="auto"/>
            </w:tcBorders>
          </w:tcPr>
          <w:p w14:paraId="7564A5ED" w14:textId="77777777" w:rsidR="002D30BD" w:rsidRPr="00B0658A" w:rsidRDefault="002D30BD" w:rsidP="00004A41">
            <w:pPr>
              <w:pStyle w:val="ConsPlusNormal"/>
            </w:pPr>
          </w:p>
        </w:tc>
        <w:tc>
          <w:tcPr>
            <w:tcW w:w="1133" w:type="pct"/>
            <w:tcBorders>
              <w:top w:val="single" w:sz="4" w:space="0" w:color="auto"/>
              <w:left w:val="single" w:sz="4" w:space="0" w:color="auto"/>
              <w:bottom w:val="single" w:sz="4" w:space="0" w:color="auto"/>
              <w:right w:val="single" w:sz="4" w:space="0" w:color="auto"/>
            </w:tcBorders>
          </w:tcPr>
          <w:p w14:paraId="313E7501" w14:textId="77777777" w:rsidR="002D30BD" w:rsidRPr="00B0658A" w:rsidRDefault="002D30BD" w:rsidP="00004A41">
            <w:pPr>
              <w:pStyle w:val="ConsPlusNormal"/>
            </w:pPr>
          </w:p>
        </w:tc>
        <w:tc>
          <w:tcPr>
            <w:tcW w:w="1188" w:type="pct"/>
            <w:tcBorders>
              <w:top w:val="single" w:sz="4" w:space="0" w:color="auto"/>
              <w:left w:val="single" w:sz="4" w:space="0" w:color="auto"/>
              <w:bottom w:val="single" w:sz="4" w:space="0" w:color="auto"/>
              <w:right w:val="single" w:sz="4" w:space="0" w:color="auto"/>
            </w:tcBorders>
          </w:tcPr>
          <w:p w14:paraId="441B742A" w14:textId="77777777" w:rsidR="002D30BD" w:rsidRPr="00B0658A" w:rsidRDefault="002D30BD" w:rsidP="00004A41">
            <w:pPr>
              <w:pStyle w:val="ConsPlusNormal"/>
            </w:pPr>
          </w:p>
        </w:tc>
        <w:tc>
          <w:tcPr>
            <w:tcW w:w="622" w:type="pct"/>
            <w:tcBorders>
              <w:top w:val="single" w:sz="4" w:space="0" w:color="auto"/>
              <w:left w:val="single" w:sz="4" w:space="0" w:color="auto"/>
              <w:bottom w:val="single" w:sz="4" w:space="0" w:color="auto"/>
              <w:right w:val="single" w:sz="4" w:space="0" w:color="auto"/>
            </w:tcBorders>
          </w:tcPr>
          <w:p w14:paraId="6C445010" w14:textId="77777777" w:rsidR="002D30BD" w:rsidRPr="00B0658A" w:rsidRDefault="002D30BD" w:rsidP="00004A41">
            <w:pPr>
              <w:pStyle w:val="ConsPlusNormal"/>
            </w:pPr>
          </w:p>
        </w:tc>
        <w:tc>
          <w:tcPr>
            <w:tcW w:w="1024" w:type="pct"/>
            <w:tcBorders>
              <w:top w:val="single" w:sz="4" w:space="0" w:color="auto"/>
              <w:left w:val="single" w:sz="4" w:space="0" w:color="auto"/>
              <w:bottom w:val="single" w:sz="4" w:space="0" w:color="auto"/>
              <w:right w:val="single" w:sz="4" w:space="0" w:color="auto"/>
            </w:tcBorders>
          </w:tcPr>
          <w:p w14:paraId="13C069BB" w14:textId="77777777" w:rsidR="002D30BD" w:rsidRPr="00B0658A" w:rsidRDefault="002D30BD" w:rsidP="00004A41">
            <w:pPr>
              <w:pStyle w:val="ConsPlusNormal"/>
            </w:pPr>
          </w:p>
        </w:tc>
      </w:tr>
      <w:tr w:rsidR="00F52FED" w:rsidRPr="00B0658A" w14:paraId="7739AA63" w14:textId="77777777" w:rsidTr="002D30BD">
        <w:tc>
          <w:tcPr>
            <w:tcW w:w="204" w:type="pct"/>
            <w:tcBorders>
              <w:top w:val="single" w:sz="4" w:space="0" w:color="auto"/>
              <w:left w:val="single" w:sz="4" w:space="0" w:color="auto"/>
              <w:bottom w:val="single" w:sz="4" w:space="0" w:color="auto"/>
              <w:right w:val="single" w:sz="4" w:space="0" w:color="auto"/>
            </w:tcBorders>
          </w:tcPr>
          <w:p w14:paraId="6AF533D0" w14:textId="77777777" w:rsidR="002D30BD" w:rsidRPr="00B0658A" w:rsidRDefault="002D30BD" w:rsidP="00004A41">
            <w:pPr>
              <w:pStyle w:val="ConsPlusNormal"/>
            </w:pPr>
          </w:p>
        </w:tc>
        <w:tc>
          <w:tcPr>
            <w:tcW w:w="829" w:type="pct"/>
            <w:tcBorders>
              <w:top w:val="single" w:sz="4" w:space="0" w:color="auto"/>
              <w:left w:val="single" w:sz="4" w:space="0" w:color="auto"/>
              <w:bottom w:val="single" w:sz="4" w:space="0" w:color="auto"/>
              <w:right w:val="single" w:sz="4" w:space="0" w:color="auto"/>
            </w:tcBorders>
          </w:tcPr>
          <w:p w14:paraId="5BD1B250" w14:textId="77777777" w:rsidR="002D30BD" w:rsidRPr="00B0658A" w:rsidRDefault="002D30BD" w:rsidP="00004A41">
            <w:pPr>
              <w:pStyle w:val="ConsPlusNormal"/>
            </w:pPr>
          </w:p>
        </w:tc>
        <w:tc>
          <w:tcPr>
            <w:tcW w:w="1133" w:type="pct"/>
            <w:tcBorders>
              <w:top w:val="single" w:sz="4" w:space="0" w:color="auto"/>
              <w:left w:val="single" w:sz="4" w:space="0" w:color="auto"/>
              <w:bottom w:val="single" w:sz="4" w:space="0" w:color="auto"/>
              <w:right w:val="single" w:sz="4" w:space="0" w:color="auto"/>
            </w:tcBorders>
          </w:tcPr>
          <w:p w14:paraId="16B29BBB" w14:textId="77777777" w:rsidR="002D30BD" w:rsidRPr="00B0658A" w:rsidRDefault="002D30BD" w:rsidP="00004A41">
            <w:pPr>
              <w:pStyle w:val="ConsPlusNormal"/>
            </w:pPr>
          </w:p>
        </w:tc>
        <w:tc>
          <w:tcPr>
            <w:tcW w:w="1188" w:type="pct"/>
            <w:tcBorders>
              <w:top w:val="single" w:sz="4" w:space="0" w:color="auto"/>
              <w:left w:val="single" w:sz="4" w:space="0" w:color="auto"/>
              <w:bottom w:val="single" w:sz="4" w:space="0" w:color="auto"/>
              <w:right w:val="single" w:sz="4" w:space="0" w:color="auto"/>
            </w:tcBorders>
          </w:tcPr>
          <w:p w14:paraId="5D0D014A" w14:textId="77777777" w:rsidR="002D30BD" w:rsidRPr="00B0658A" w:rsidRDefault="002D30BD" w:rsidP="00004A41">
            <w:pPr>
              <w:pStyle w:val="ConsPlusNormal"/>
            </w:pPr>
          </w:p>
        </w:tc>
        <w:tc>
          <w:tcPr>
            <w:tcW w:w="622" w:type="pct"/>
            <w:tcBorders>
              <w:top w:val="single" w:sz="4" w:space="0" w:color="auto"/>
              <w:left w:val="single" w:sz="4" w:space="0" w:color="auto"/>
              <w:bottom w:val="single" w:sz="4" w:space="0" w:color="auto"/>
              <w:right w:val="single" w:sz="4" w:space="0" w:color="auto"/>
            </w:tcBorders>
          </w:tcPr>
          <w:p w14:paraId="56F7621A" w14:textId="77777777" w:rsidR="002D30BD" w:rsidRPr="00B0658A" w:rsidRDefault="002D30BD" w:rsidP="00004A41">
            <w:pPr>
              <w:pStyle w:val="ConsPlusNormal"/>
            </w:pPr>
          </w:p>
        </w:tc>
        <w:tc>
          <w:tcPr>
            <w:tcW w:w="1024" w:type="pct"/>
            <w:tcBorders>
              <w:top w:val="single" w:sz="4" w:space="0" w:color="auto"/>
              <w:left w:val="single" w:sz="4" w:space="0" w:color="auto"/>
              <w:bottom w:val="single" w:sz="4" w:space="0" w:color="auto"/>
              <w:right w:val="single" w:sz="4" w:space="0" w:color="auto"/>
            </w:tcBorders>
          </w:tcPr>
          <w:p w14:paraId="6B7B60B3" w14:textId="77777777" w:rsidR="002D30BD" w:rsidRPr="00B0658A" w:rsidRDefault="002D30BD" w:rsidP="00004A41">
            <w:pPr>
              <w:pStyle w:val="ConsPlusNormal"/>
            </w:pPr>
          </w:p>
        </w:tc>
      </w:tr>
      <w:tr w:rsidR="00F52FED" w:rsidRPr="00B0658A" w14:paraId="1707E60C" w14:textId="77777777" w:rsidTr="002D30BD">
        <w:tc>
          <w:tcPr>
            <w:tcW w:w="5000" w:type="pct"/>
            <w:gridSpan w:val="6"/>
            <w:tcBorders>
              <w:top w:val="single" w:sz="4" w:space="0" w:color="auto"/>
              <w:left w:val="single" w:sz="4" w:space="0" w:color="auto"/>
              <w:bottom w:val="single" w:sz="4" w:space="0" w:color="auto"/>
              <w:right w:val="single" w:sz="4" w:space="0" w:color="auto"/>
            </w:tcBorders>
          </w:tcPr>
          <w:p w14:paraId="7A4A7F70" w14:textId="77777777" w:rsidR="002D30BD" w:rsidRPr="00B0658A" w:rsidRDefault="002D30BD" w:rsidP="00004A41">
            <w:pPr>
              <w:pStyle w:val="ConsPlusNormal"/>
              <w:numPr>
                <w:ilvl w:val="0"/>
                <w:numId w:val="26"/>
              </w:numPr>
              <w:ind w:left="357" w:hanging="357"/>
            </w:pPr>
            <w:r w:rsidRPr="00B0658A">
              <w:t>Мероприятия, направленные на обеспечение перехода на использование российского ПО</w:t>
            </w:r>
          </w:p>
        </w:tc>
      </w:tr>
      <w:tr w:rsidR="00F52FED" w:rsidRPr="00B0658A" w14:paraId="41AFF343" w14:textId="77777777" w:rsidTr="002D30BD">
        <w:tc>
          <w:tcPr>
            <w:tcW w:w="204" w:type="pct"/>
            <w:tcBorders>
              <w:top w:val="single" w:sz="4" w:space="0" w:color="auto"/>
              <w:left w:val="single" w:sz="4" w:space="0" w:color="auto"/>
              <w:bottom w:val="single" w:sz="4" w:space="0" w:color="auto"/>
              <w:right w:val="single" w:sz="4" w:space="0" w:color="auto"/>
            </w:tcBorders>
          </w:tcPr>
          <w:p w14:paraId="251125AA" w14:textId="77777777" w:rsidR="002D30BD" w:rsidRPr="00B0658A" w:rsidRDefault="002D30BD" w:rsidP="00004A41">
            <w:pPr>
              <w:pStyle w:val="ConsPlusNormal"/>
            </w:pPr>
          </w:p>
        </w:tc>
        <w:tc>
          <w:tcPr>
            <w:tcW w:w="829" w:type="pct"/>
            <w:tcBorders>
              <w:top w:val="single" w:sz="4" w:space="0" w:color="auto"/>
              <w:left w:val="single" w:sz="4" w:space="0" w:color="auto"/>
              <w:bottom w:val="single" w:sz="4" w:space="0" w:color="auto"/>
              <w:right w:val="single" w:sz="4" w:space="0" w:color="auto"/>
            </w:tcBorders>
          </w:tcPr>
          <w:p w14:paraId="1DDEB34A" w14:textId="77777777" w:rsidR="002D30BD" w:rsidRPr="00B0658A" w:rsidRDefault="002D30BD" w:rsidP="00004A41">
            <w:pPr>
              <w:pStyle w:val="ConsPlusNormal"/>
            </w:pPr>
          </w:p>
        </w:tc>
        <w:tc>
          <w:tcPr>
            <w:tcW w:w="1133" w:type="pct"/>
            <w:tcBorders>
              <w:top w:val="single" w:sz="4" w:space="0" w:color="auto"/>
              <w:left w:val="single" w:sz="4" w:space="0" w:color="auto"/>
              <w:bottom w:val="single" w:sz="4" w:space="0" w:color="auto"/>
              <w:right w:val="single" w:sz="4" w:space="0" w:color="auto"/>
            </w:tcBorders>
          </w:tcPr>
          <w:p w14:paraId="0390F122" w14:textId="77777777" w:rsidR="002D30BD" w:rsidRPr="00B0658A" w:rsidRDefault="002D30BD" w:rsidP="00004A41">
            <w:pPr>
              <w:pStyle w:val="ConsPlusNormal"/>
            </w:pPr>
          </w:p>
        </w:tc>
        <w:tc>
          <w:tcPr>
            <w:tcW w:w="1188" w:type="pct"/>
            <w:tcBorders>
              <w:top w:val="single" w:sz="4" w:space="0" w:color="auto"/>
              <w:left w:val="single" w:sz="4" w:space="0" w:color="auto"/>
              <w:bottom w:val="single" w:sz="4" w:space="0" w:color="auto"/>
              <w:right w:val="single" w:sz="4" w:space="0" w:color="auto"/>
            </w:tcBorders>
          </w:tcPr>
          <w:p w14:paraId="6A7F5142" w14:textId="77777777" w:rsidR="002D30BD" w:rsidRPr="00B0658A" w:rsidRDefault="002D30BD" w:rsidP="00004A41">
            <w:pPr>
              <w:pStyle w:val="ConsPlusNormal"/>
            </w:pPr>
          </w:p>
        </w:tc>
        <w:tc>
          <w:tcPr>
            <w:tcW w:w="622" w:type="pct"/>
            <w:tcBorders>
              <w:top w:val="single" w:sz="4" w:space="0" w:color="auto"/>
              <w:left w:val="single" w:sz="4" w:space="0" w:color="auto"/>
              <w:bottom w:val="single" w:sz="4" w:space="0" w:color="auto"/>
              <w:right w:val="single" w:sz="4" w:space="0" w:color="auto"/>
            </w:tcBorders>
          </w:tcPr>
          <w:p w14:paraId="315D3BC0" w14:textId="77777777" w:rsidR="002D30BD" w:rsidRPr="00B0658A" w:rsidRDefault="002D30BD" w:rsidP="00004A41">
            <w:pPr>
              <w:pStyle w:val="ConsPlusNormal"/>
            </w:pPr>
          </w:p>
        </w:tc>
        <w:tc>
          <w:tcPr>
            <w:tcW w:w="1024" w:type="pct"/>
            <w:tcBorders>
              <w:top w:val="single" w:sz="4" w:space="0" w:color="auto"/>
              <w:left w:val="single" w:sz="4" w:space="0" w:color="auto"/>
              <w:bottom w:val="single" w:sz="4" w:space="0" w:color="auto"/>
              <w:right w:val="single" w:sz="4" w:space="0" w:color="auto"/>
            </w:tcBorders>
          </w:tcPr>
          <w:p w14:paraId="60CA085E" w14:textId="77777777" w:rsidR="002D30BD" w:rsidRPr="00B0658A" w:rsidRDefault="002D30BD" w:rsidP="00004A41">
            <w:pPr>
              <w:pStyle w:val="ConsPlusNormal"/>
            </w:pPr>
          </w:p>
        </w:tc>
      </w:tr>
      <w:tr w:rsidR="00F52FED" w:rsidRPr="00B0658A" w14:paraId="3ECDD82B" w14:textId="77777777" w:rsidTr="002D30BD">
        <w:tc>
          <w:tcPr>
            <w:tcW w:w="204" w:type="pct"/>
            <w:tcBorders>
              <w:top w:val="single" w:sz="4" w:space="0" w:color="auto"/>
              <w:left w:val="single" w:sz="4" w:space="0" w:color="auto"/>
              <w:bottom w:val="single" w:sz="4" w:space="0" w:color="auto"/>
              <w:right w:val="single" w:sz="4" w:space="0" w:color="auto"/>
            </w:tcBorders>
          </w:tcPr>
          <w:p w14:paraId="16142783" w14:textId="77777777" w:rsidR="002D30BD" w:rsidRPr="00B0658A" w:rsidRDefault="002D30BD" w:rsidP="00004A41">
            <w:pPr>
              <w:pStyle w:val="ConsPlusNormal"/>
            </w:pPr>
          </w:p>
        </w:tc>
        <w:tc>
          <w:tcPr>
            <w:tcW w:w="829" w:type="pct"/>
            <w:tcBorders>
              <w:top w:val="single" w:sz="4" w:space="0" w:color="auto"/>
              <w:left w:val="single" w:sz="4" w:space="0" w:color="auto"/>
              <w:bottom w:val="single" w:sz="4" w:space="0" w:color="auto"/>
              <w:right w:val="single" w:sz="4" w:space="0" w:color="auto"/>
            </w:tcBorders>
          </w:tcPr>
          <w:p w14:paraId="1E3C7BB9" w14:textId="77777777" w:rsidR="002D30BD" w:rsidRPr="00B0658A" w:rsidRDefault="002D30BD" w:rsidP="00004A41">
            <w:pPr>
              <w:pStyle w:val="ConsPlusNormal"/>
            </w:pPr>
          </w:p>
        </w:tc>
        <w:tc>
          <w:tcPr>
            <w:tcW w:w="1133" w:type="pct"/>
            <w:tcBorders>
              <w:top w:val="single" w:sz="4" w:space="0" w:color="auto"/>
              <w:left w:val="single" w:sz="4" w:space="0" w:color="auto"/>
              <w:bottom w:val="single" w:sz="4" w:space="0" w:color="auto"/>
              <w:right w:val="single" w:sz="4" w:space="0" w:color="auto"/>
            </w:tcBorders>
          </w:tcPr>
          <w:p w14:paraId="1163255A" w14:textId="77777777" w:rsidR="002D30BD" w:rsidRPr="00B0658A" w:rsidRDefault="002D30BD" w:rsidP="00004A41">
            <w:pPr>
              <w:pStyle w:val="ConsPlusNormal"/>
            </w:pPr>
          </w:p>
        </w:tc>
        <w:tc>
          <w:tcPr>
            <w:tcW w:w="1188" w:type="pct"/>
            <w:tcBorders>
              <w:top w:val="single" w:sz="4" w:space="0" w:color="auto"/>
              <w:left w:val="single" w:sz="4" w:space="0" w:color="auto"/>
              <w:bottom w:val="single" w:sz="4" w:space="0" w:color="auto"/>
              <w:right w:val="single" w:sz="4" w:space="0" w:color="auto"/>
            </w:tcBorders>
          </w:tcPr>
          <w:p w14:paraId="239CA991" w14:textId="77777777" w:rsidR="002D30BD" w:rsidRPr="00B0658A" w:rsidRDefault="002D30BD" w:rsidP="00004A41">
            <w:pPr>
              <w:pStyle w:val="ConsPlusNormal"/>
            </w:pPr>
          </w:p>
        </w:tc>
        <w:tc>
          <w:tcPr>
            <w:tcW w:w="622" w:type="pct"/>
            <w:tcBorders>
              <w:top w:val="single" w:sz="4" w:space="0" w:color="auto"/>
              <w:left w:val="single" w:sz="4" w:space="0" w:color="auto"/>
              <w:bottom w:val="single" w:sz="4" w:space="0" w:color="auto"/>
              <w:right w:val="single" w:sz="4" w:space="0" w:color="auto"/>
            </w:tcBorders>
          </w:tcPr>
          <w:p w14:paraId="4C21D82C" w14:textId="77777777" w:rsidR="002D30BD" w:rsidRPr="00B0658A" w:rsidRDefault="002D30BD" w:rsidP="00004A41">
            <w:pPr>
              <w:pStyle w:val="ConsPlusNormal"/>
            </w:pPr>
          </w:p>
        </w:tc>
        <w:tc>
          <w:tcPr>
            <w:tcW w:w="1024" w:type="pct"/>
            <w:tcBorders>
              <w:top w:val="single" w:sz="4" w:space="0" w:color="auto"/>
              <w:left w:val="single" w:sz="4" w:space="0" w:color="auto"/>
              <w:bottom w:val="single" w:sz="4" w:space="0" w:color="auto"/>
              <w:right w:val="single" w:sz="4" w:space="0" w:color="auto"/>
            </w:tcBorders>
          </w:tcPr>
          <w:p w14:paraId="496EE82D" w14:textId="77777777" w:rsidR="002D30BD" w:rsidRPr="00B0658A" w:rsidRDefault="002D30BD" w:rsidP="00004A41">
            <w:pPr>
              <w:pStyle w:val="ConsPlusNormal"/>
            </w:pPr>
          </w:p>
        </w:tc>
      </w:tr>
      <w:tr w:rsidR="00F52FED" w:rsidRPr="00B0658A" w14:paraId="7EB6C94E" w14:textId="77777777" w:rsidTr="002D30BD">
        <w:tc>
          <w:tcPr>
            <w:tcW w:w="204" w:type="pct"/>
            <w:tcBorders>
              <w:top w:val="single" w:sz="4" w:space="0" w:color="auto"/>
              <w:left w:val="single" w:sz="4" w:space="0" w:color="auto"/>
              <w:bottom w:val="single" w:sz="4" w:space="0" w:color="auto"/>
              <w:right w:val="single" w:sz="4" w:space="0" w:color="auto"/>
            </w:tcBorders>
          </w:tcPr>
          <w:p w14:paraId="79EAD0F2" w14:textId="77777777" w:rsidR="002D30BD" w:rsidRPr="00B0658A" w:rsidRDefault="002D30BD" w:rsidP="00004A41">
            <w:pPr>
              <w:pStyle w:val="ConsPlusNormal"/>
            </w:pPr>
          </w:p>
        </w:tc>
        <w:tc>
          <w:tcPr>
            <w:tcW w:w="829" w:type="pct"/>
            <w:tcBorders>
              <w:top w:val="single" w:sz="4" w:space="0" w:color="auto"/>
              <w:left w:val="single" w:sz="4" w:space="0" w:color="auto"/>
              <w:bottom w:val="single" w:sz="4" w:space="0" w:color="auto"/>
              <w:right w:val="single" w:sz="4" w:space="0" w:color="auto"/>
            </w:tcBorders>
          </w:tcPr>
          <w:p w14:paraId="405EC043" w14:textId="77777777" w:rsidR="002D30BD" w:rsidRPr="00B0658A" w:rsidRDefault="002D30BD" w:rsidP="00004A41">
            <w:pPr>
              <w:pStyle w:val="ConsPlusNormal"/>
            </w:pPr>
          </w:p>
        </w:tc>
        <w:tc>
          <w:tcPr>
            <w:tcW w:w="1133" w:type="pct"/>
            <w:tcBorders>
              <w:top w:val="single" w:sz="4" w:space="0" w:color="auto"/>
              <w:left w:val="single" w:sz="4" w:space="0" w:color="auto"/>
              <w:bottom w:val="single" w:sz="4" w:space="0" w:color="auto"/>
              <w:right w:val="single" w:sz="4" w:space="0" w:color="auto"/>
            </w:tcBorders>
          </w:tcPr>
          <w:p w14:paraId="0E0296FF" w14:textId="77777777" w:rsidR="002D30BD" w:rsidRPr="00B0658A" w:rsidRDefault="002D30BD" w:rsidP="00004A41">
            <w:pPr>
              <w:pStyle w:val="ConsPlusNormal"/>
            </w:pPr>
          </w:p>
        </w:tc>
        <w:tc>
          <w:tcPr>
            <w:tcW w:w="1188" w:type="pct"/>
            <w:tcBorders>
              <w:top w:val="single" w:sz="4" w:space="0" w:color="auto"/>
              <w:left w:val="single" w:sz="4" w:space="0" w:color="auto"/>
              <w:bottom w:val="single" w:sz="4" w:space="0" w:color="auto"/>
              <w:right w:val="single" w:sz="4" w:space="0" w:color="auto"/>
            </w:tcBorders>
          </w:tcPr>
          <w:p w14:paraId="14676126" w14:textId="77777777" w:rsidR="002D30BD" w:rsidRPr="00B0658A" w:rsidRDefault="002D30BD" w:rsidP="00004A41">
            <w:pPr>
              <w:pStyle w:val="ConsPlusNormal"/>
            </w:pPr>
          </w:p>
        </w:tc>
        <w:tc>
          <w:tcPr>
            <w:tcW w:w="622" w:type="pct"/>
            <w:tcBorders>
              <w:top w:val="single" w:sz="4" w:space="0" w:color="auto"/>
              <w:left w:val="single" w:sz="4" w:space="0" w:color="auto"/>
              <w:bottom w:val="single" w:sz="4" w:space="0" w:color="auto"/>
              <w:right w:val="single" w:sz="4" w:space="0" w:color="auto"/>
            </w:tcBorders>
          </w:tcPr>
          <w:p w14:paraId="5D069E3C" w14:textId="77777777" w:rsidR="002D30BD" w:rsidRPr="00B0658A" w:rsidRDefault="002D30BD" w:rsidP="00004A41">
            <w:pPr>
              <w:pStyle w:val="ConsPlusNormal"/>
            </w:pPr>
          </w:p>
        </w:tc>
        <w:tc>
          <w:tcPr>
            <w:tcW w:w="1024" w:type="pct"/>
            <w:tcBorders>
              <w:top w:val="single" w:sz="4" w:space="0" w:color="auto"/>
              <w:left w:val="single" w:sz="4" w:space="0" w:color="auto"/>
              <w:bottom w:val="single" w:sz="4" w:space="0" w:color="auto"/>
              <w:right w:val="single" w:sz="4" w:space="0" w:color="auto"/>
            </w:tcBorders>
          </w:tcPr>
          <w:p w14:paraId="61F13CCF" w14:textId="77777777" w:rsidR="002D30BD" w:rsidRPr="00B0658A" w:rsidRDefault="002D30BD" w:rsidP="00004A41">
            <w:pPr>
              <w:pStyle w:val="ConsPlusNormal"/>
            </w:pPr>
          </w:p>
        </w:tc>
      </w:tr>
      <w:tr w:rsidR="00F52FED" w:rsidRPr="00B0658A" w14:paraId="423DB5F9" w14:textId="77777777" w:rsidTr="002D30BD">
        <w:tc>
          <w:tcPr>
            <w:tcW w:w="204" w:type="pct"/>
            <w:tcBorders>
              <w:top w:val="single" w:sz="4" w:space="0" w:color="auto"/>
              <w:left w:val="single" w:sz="4" w:space="0" w:color="auto"/>
              <w:bottom w:val="single" w:sz="4" w:space="0" w:color="auto"/>
              <w:right w:val="single" w:sz="4" w:space="0" w:color="auto"/>
            </w:tcBorders>
          </w:tcPr>
          <w:p w14:paraId="4555BC0F" w14:textId="77777777" w:rsidR="002D30BD" w:rsidRPr="00B0658A" w:rsidRDefault="002D30BD" w:rsidP="00004A41">
            <w:pPr>
              <w:pStyle w:val="ConsPlusNormal"/>
            </w:pPr>
          </w:p>
        </w:tc>
        <w:tc>
          <w:tcPr>
            <w:tcW w:w="829" w:type="pct"/>
            <w:tcBorders>
              <w:top w:val="single" w:sz="4" w:space="0" w:color="auto"/>
              <w:left w:val="single" w:sz="4" w:space="0" w:color="auto"/>
              <w:bottom w:val="single" w:sz="4" w:space="0" w:color="auto"/>
              <w:right w:val="single" w:sz="4" w:space="0" w:color="auto"/>
            </w:tcBorders>
          </w:tcPr>
          <w:p w14:paraId="051C55B5" w14:textId="77777777" w:rsidR="002D30BD" w:rsidRPr="00B0658A" w:rsidRDefault="002D30BD" w:rsidP="00004A41">
            <w:pPr>
              <w:pStyle w:val="ConsPlusNormal"/>
            </w:pPr>
          </w:p>
        </w:tc>
        <w:tc>
          <w:tcPr>
            <w:tcW w:w="1133" w:type="pct"/>
            <w:tcBorders>
              <w:top w:val="single" w:sz="4" w:space="0" w:color="auto"/>
              <w:left w:val="single" w:sz="4" w:space="0" w:color="auto"/>
              <w:bottom w:val="single" w:sz="4" w:space="0" w:color="auto"/>
              <w:right w:val="single" w:sz="4" w:space="0" w:color="auto"/>
            </w:tcBorders>
          </w:tcPr>
          <w:p w14:paraId="2B10B475" w14:textId="77777777" w:rsidR="002D30BD" w:rsidRPr="00B0658A" w:rsidRDefault="002D30BD" w:rsidP="00004A41">
            <w:pPr>
              <w:pStyle w:val="ConsPlusNormal"/>
            </w:pPr>
          </w:p>
        </w:tc>
        <w:tc>
          <w:tcPr>
            <w:tcW w:w="1188" w:type="pct"/>
            <w:tcBorders>
              <w:top w:val="single" w:sz="4" w:space="0" w:color="auto"/>
              <w:left w:val="single" w:sz="4" w:space="0" w:color="auto"/>
              <w:bottom w:val="single" w:sz="4" w:space="0" w:color="auto"/>
              <w:right w:val="single" w:sz="4" w:space="0" w:color="auto"/>
            </w:tcBorders>
          </w:tcPr>
          <w:p w14:paraId="3AE7ACB8" w14:textId="77777777" w:rsidR="002D30BD" w:rsidRPr="00B0658A" w:rsidRDefault="002D30BD" w:rsidP="00004A41">
            <w:pPr>
              <w:pStyle w:val="ConsPlusNormal"/>
            </w:pPr>
          </w:p>
        </w:tc>
        <w:tc>
          <w:tcPr>
            <w:tcW w:w="622" w:type="pct"/>
            <w:tcBorders>
              <w:top w:val="single" w:sz="4" w:space="0" w:color="auto"/>
              <w:left w:val="single" w:sz="4" w:space="0" w:color="auto"/>
              <w:bottom w:val="single" w:sz="4" w:space="0" w:color="auto"/>
              <w:right w:val="single" w:sz="4" w:space="0" w:color="auto"/>
            </w:tcBorders>
          </w:tcPr>
          <w:p w14:paraId="64D9DBDE" w14:textId="77777777" w:rsidR="002D30BD" w:rsidRPr="00B0658A" w:rsidRDefault="002D30BD" w:rsidP="00004A41">
            <w:pPr>
              <w:pStyle w:val="ConsPlusNormal"/>
            </w:pPr>
          </w:p>
        </w:tc>
        <w:tc>
          <w:tcPr>
            <w:tcW w:w="1024" w:type="pct"/>
            <w:tcBorders>
              <w:top w:val="single" w:sz="4" w:space="0" w:color="auto"/>
              <w:left w:val="single" w:sz="4" w:space="0" w:color="auto"/>
              <w:bottom w:val="single" w:sz="4" w:space="0" w:color="auto"/>
              <w:right w:val="single" w:sz="4" w:space="0" w:color="auto"/>
            </w:tcBorders>
          </w:tcPr>
          <w:p w14:paraId="14D4C95D" w14:textId="77777777" w:rsidR="002D30BD" w:rsidRPr="00B0658A" w:rsidRDefault="002D30BD" w:rsidP="00004A41">
            <w:pPr>
              <w:pStyle w:val="ConsPlusNormal"/>
            </w:pPr>
          </w:p>
        </w:tc>
      </w:tr>
      <w:tr w:rsidR="00F52FED" w:rsidRPr="00B0658A" w14:paraId="0AC9D279" w14:textId="77777777" w:rsidTr="002D30BD">
        <w:tc>
          <w:tcPr>
            <w:tcW w:w="5000" w:type="pct"/>
            <w:gridSpan w:val="6"/>
            <w:tcBorders>
              <w:top w:val="single" w:sz="4" w:space="0" w:color="auto"/>
              <w:left w:val="single" w:sz="4" w:space="0" w:color="auto"/>
              <w:bottom w:val="single" w:sz="4" w:space="0" w:color="auto"/>
              <w:right w:val="single" w:sz="4" w:space="0" w:color="auto"/>
            </w:tcBorders>
          </w:tcPr>
          <w:p w14:paraId="547AEC58" w14:textId="77777777" w:rsidR="002D30BD" w:rsidRPr="00B0658A" w:rsidRDefault="002D30BD" w:rsidP="00004A41">
            <w:pPr>
              <w:pStyle w:val="ConsPlusNormal"/>
              <w:numPr>
                <w:ilvl w:val="0"/>
                <w:numId w:val="26"/>
              </w:numPr>
              <w:ind w:left="357" w:hanging="357"/>
            </w:pPr>
            <w:r w:rsidRPr="00B0658A">
              <w:t>Иные организационно-технические мероприятия</w:t>
            </w:r>
          </w:p>
        </w:tc>
      </w:tr>
      <w:tr w:rsidR="00F52FED" w:rsidRPr="00B0658A" w14:paraId="29A31F21" w14:textId="77777777" w:rsidTr="002D30BD">
        <w:tc>
          <w:tcPr>
            <w:tcW w:w="204" w:type="pct"/>
            <w:tcBorders>
              <w:top w:val="single" w:sz="4" w:space="0" w:color="auto"/>
              <w:left w:val="single" w:sz="4" w:space="0" w:color="auto"/>
              <w:bottom w:val="single" w:sz="4" w:space="0" w:color="auto"/>
              <w:right w:val="single" w:sz="4" w:space="0" w:color="auto"/>
            </w:tcBorders>
          </w:tcPr>
          <w:p w14:paraId="7B9C3203" w14:textId="77777777" w:rsidR="002D30BD" w:rsidRPr="00B0658A" w:rsidRDefault="002D30BD" w:rsidP="00004A41">
            <w:pPr>
              <w:pStyle w:val="ConsPlusNormal"/>
            </w:pPr>
          </w:p>
        </w:tc>
        <w:tc>
          <w:tcPr>
            <w:tcW w:w="829" w:type="pct"/>
            <w:tcBorders>
              <w:top w:val="single" w:sz="4" w:space="0" w:color="auto"/>
              <w:left w:val="single" w:sz="4" w:space="0" w:color="auto"/>
              <w:bottom w:val="single" w:sz="4" w:space="0" w:color="auto"/>
              <w:right w:val="single" w:sz="4" w:space="0" w:color="auto"/>
            </w:tcBorders>
          </w:tcPr>
          <w:p w14:paraId="323796ED" w14:textId="77777777" w:rsidR="002D30BD" w:rsidRPr="00B0658A" w:rsidRDefault="002D30BD" w:rsidP="00004A41">
            <w:pPr>
              <w:pStyle w:val="ConsPlusNormal"/>
            </w:pPr>
          </w:p>
        </w:tc>
        <w:tc>
          <w:tcPr>
            <w:tcW w:w="1133" w:type="pct"/>
            <w:tcBorders>
              <w:top w:val="single" w:sz="4" w:space="0" w:color="auto"/>
              <w:left w:val="single" w:sz="4" w:space="0" w:color="auto"/>
              <w:bottom w:val="single" w:sz="4" w:space="0" w:color="auto"/>
              <w:right w:val="single" w:sz="4" w:space="0" w:color="auto"/>
            </w:tcBorders>
          </w:tcPr>
          <w:p w14:paraId="19A5C310" w14:textId="77777777" w:rsidR="002D30BD" w:rsidRPr="00B0658A" w:rsidRDefault="002D30BD" w:rsidP="00004A41">
            <w:pPr>
              <w:pStyle w:val="ConsPlusNormal"/>
            </w:pPr>
          </w:p>
        </w:tc>
        <w:tc>
          <w:tcPr>
            <w:tcW w:w="1188" w:type="pct"/>
            <w:tcBorders>
              <w:top w:val="single" w:sz="4" w:space="0" w:color="auto"/>
              <w:left w:val="single" w:sz="4" w:space="0" w:color="auto"/>
              <w:bottom w:val="single" w:sz="4" w:space="0" w:color="auto"/>
              <w:right w:val="single" w:sz="4" w:space="0" w:color="auto"/>
            </w:tcBorders>
          </w:tcPr>
          <w:p w14:paraId="073902CD" w14:textId="77777777" w:rsidR="002D30BD" w:rsidRPr="00B0658A" w:rsidRDefault="002D30BD" w:rsidP="00004A41">
            <w:pPr>
              <w:pStyle w:val="ConsPlusNormal"/>
            </w:pPr>
          </w:p>
        </w:tc>
        <w:tc>
          <w:tcPr>
            <w:tcW w:w="622" w:type="pct"/>
            <w:tcBorders>
              <w:top w:val="single" w:sz="4" w:space="0" w:color="auto"/>
              <w:left w:val="single" w:sz="4" w:space="0" w:color="auto"/>
              <w:bottom w:val="single" w:sz="4" w:space="0" w:color="auto"/>
              <w:right w:val="single" w:sz="4" w:space="0" w:color="auto"/>
            </w:tcBorders>
          </w:tcPr>
          <w:p w14:paraId="312D189D" w14:textId="77777777" w:rsidR="002D30BD" w:rsidRPr="00B0658A" w:rsidRDefault="002D30BD" w:rsidP="00004A41">
            <w:pPr>
              <w:pStyle w:val="ConsPlusNormal"/>
            </w:pPr>
          </w:p>
        </w:tc>
        <w:tc>
          <w:tcPr>
            <w:tcW w:w="1024" w:type="pct"/>
            <w:tcBorders>
              <w:top w:val="single" w:sz="4" w:space="0" w:color="auto"/>
              <w:left w:val="single" w:sz="4" w:space="0" w:color="auto"/>
              <w:bottom w:val="single" w:sz="4" w:space="0" w:color="auto"/>
              <w:right w:val="single" w:sz="4" w:space="0" w:color="auto"/>
            </w:tcBorders>
          </w:tcPr>
          <w:p w14:paraId="2A1603F9" w14:textId="77777777" w:rsidR="002D30BD" w:rsidRPr="00B0658A" w:rsidRDefault="002D30BD" w:rsidP="00004A41">
            <w:pPr>
              <w:pStyle w:val="ConsPlusNormal"/>
            </w:pPr>
          </w:p>
        </w:tc>
      </w:tr>
      <w:tr w:rsidR="00F52FED" w:rsidRPr="00B0658A" w14:paraId="4A32AF05" w14:textId="77777777" w:rsidTr="002D30BD">
        <w:tc>
          <w:tcPr>
            <w:tcW w:w="204" w:type="pct"/>
            <w:tcBorders>
              <w:top w:val="single" w:sz="4" w:space="0" w:color="auto"/>
              <w:left w:val="single" w:sz="4" w:space="0" w:color="auto"/>
              <w:bottom w:val="single" w:sz="4" w:space="0" w:color="auto"/>
              <w:right w:val="single" w:sz="4" w:space="0" w:color="auto"/>
            </w:tcBorders>
          </w:tcPr>
          <w:p w14:paraId="71EE0D40" w14:textId="77777777" w:rsidR="002D30BD" w:rsidRPr="00B0658A" w:rsidRDefault="002D30BD" w:rsidP="00004A41">
            <w:pPr>
              <w:pStyle w:val="ConsPlusNormal"/>
            </w:pPr>
          </w:p>
        </w:tc>
        <w:tc>
          <w:tcPr>
            <w:tcW w:w="829" w:type="pct"/>
            <w:tcBorders>
              <w:top w:val="single" w:sz="4" w:space="0" w:color="auto"/>
              <w:left w:val="single" w:sz="4" w:space="0" w:color="auto"/>
              <w:bottom w:val="single" w:sz="4" w:space="0" w:color="auto"/>
              <w:right w:val="single" w:sz="4" w:space="0" w:color="auto"/>
            </w:tcBorders>
          </w:tcPr>
          <w:p w14:paraId="547F4F67" w14:textId="77777777" w:rsidR="002D30BD" w:rsidRPr="00B0658A" w:rsidRDefault="002D30BD" w:rsidP="00004A41">
            <w:pPr>
              <w:pStyle w:val="ConsPlusNormal"/>
            </w:pPr>
          </w:p>
        </w:tc>
        <w:tc>
          <w:tcPr>
            <w:tcW w:w="1133" w:type="pct"/>
            <w:tcBorders>
              <w:top w:val="single" w:sz="4" w:space="0" w:color="auto"/>
              <w:left w:val="single" w:sz="4" w:space="0" w:color="auto"/>
              <w:bottom w:val="single" w:sz="4" w:space="0" w:color="auto"/>
              <w:right w:val="single" w:sz="4" w:space="0" w:color="auto"/>
            </w:tcBorders>
          </w:tcPr>
          <w:p w14:paraId="331605B3" w14:textId="77777777" w:rsidR="002D30BD" w:rsidRPr="00B0658A" w:rsidRDefault="002D30BD" w:rsidP="00004A41">
            <w:pPr>
              <w:pStyle w:val="ConsPlusNormal"/>
            </w:pPr>
          </w:p>
        </w:tc>
        <w:tc>
          <w:tcPr>
            <w:tcW w:w="1188" w:type="pct"/>
            <w:tcBorders>
              <w:top w:val="single" w:sz="4" w:space="0" w:color="auto"/>
              <w:left w:val="single" w:sz="4" w:space="0" w:color="auto"/>
              <w:bottom w:val="single" w:sz="4" w:space="0" w:color="auto"/>
              <w:right w:val="single" w:sz="4" w:space="0" w:color="auto"/>
            </w:tcBorders>
          </w:tcPr>
          <w:p w14:paraId="6EE5715A" w14:textId="77777777" w:rsidR="002D30BD" w:rsidRPr="00B0658A" w:rsidRDefault="002D30BD" w:rsidP="00004A41">
            <w:pPr>
              <w:pStyle w:val="ConsPlusNormal"/>
            </w:pPr>
          </w:p>
        </w:tc>
        <w:tc>
          <w:tcPr>
            <w:tcW w:w="622" w:type="pct"/>
            <w:tcBorders>
              <w:top w:val="single" w:sz="4" w:space="0" w:color="auto"/>
              <w:left w:val="single" w:sz="4" w:space="0" w:color="auto"/>
              <w:bottom w:val="single" w:sz="4" w:space="0" w:color="auto"/>
              <w:right w:val="single" w:sz="4" w:space="0" w:color="auto"/>
            </w:tcBorders>
          </w:tcPr>
          <w:p w14:paraId="733A74EA" w14:textId="77777777" w:rsidR="002D30BD" w:rsidRPr="00B0658A" w:rsidRDefault="002D30BD" w:rsidP="00004A41">
            <w:pPr>
              <w:pStyle w:val="ConsPlusNormal"/>
            </w:pPr>
          </w:p>
        </w:tc>
        <w:tc>
          <w:tcPr>
            <w:tcW w:w="1024" w:type="pct"/>
            <w:tcBorders>
              <w:top w:val="single" w:sz="4" w:space="0" w:color="auto"/>
              <w:left w:val="single" w:sz="4" w:space="0" w:color="auto"/>
              <w:bottom w:val="single" w:sz="4" w:space="0" w:color="auto"/>
              <w:right w:val="single" w:sz="4" w:space="0" w:color="auto"/>
            </w:tcBorders>
          </w:tcPr>
          <w:p w14:paraId="24A43284" w14:textId="77777777" w:rsidR="002D30BD" w:rsidRPr="00B0658A" w:rsidRDefault="002D30BD" w:rsidP="00004A41">
            <w:pPr>
              <w:pStyle w:val="ConsPlusNormal"/>
            </w:pPr>
          </w:p>
        </w:tc>
      </w:tr>
      <w:tr w:rsidR="00F52FED" w:rsidRPr="00B0658A" w14:paraId="716D9FE1" w14:textId="77777777" w:rsidTr="002D30BD">
        <w:tc>
          <w:tcPr>
            <w:tcW w:w="204" w:type="pct"/>
            <w:tcBorders>
              <w:top w:val="single" w:sz="4" w:space="0" w:color="auto"/>
              <w:left w:val="single" w:sz="4" w:space="0" w:color="auto"/>
              <w:bottom w:val="single" w:sz="4" w:space="0" w:color="auto"/>
              <w:right w:val="single" w:sz="4" w:space="0" w:color="auto"/>
            </w:tcBorders>
          </w:tcPr>
          <w:p w14:paraId="15712E15" w14:textId="77777777" w:rsidR="002D30BD" w:rsidRPr="00B0658A" w:rsidRDefault="002D30BD" w:rsidP="00004A41">
            <w:pPr>
              <w:pStyle w:val="ConsPlusNormal"/>
            </w:pPr>
          </w:p>
        </w:tc>
        <w:tc>
          <w:tcPr>
            <w:tcW w:w="829" w:type="pct"/>
            <w:tcBorders>
              <w:top w:val="single" w:sz="4" w:space="0" w:color="auto"/>
              <w:left w:val="single" w:sz="4" w:space="0" w:color="auto"/>
              <w:bottom w:val="single" w:sz="4" w:space="0" w:color="auto"/>
              <w:right w:val="single" w:sz="4" w:space="0" w:color="auto"/>
            </w:tcBorders>
          </w:tcPr>
          <w:p w14:paraId="3201983F" w14:textId="77777777" w:rsidR="002D30BD" w:rsidRPr="00B0658A" w:rsidRDefault="002D30BD" w:rsidP="00004A41">
            <w:pPr>
              <w:pStyle w:val="ConsPlusNormal"/>
            </w:pPr>
          </w:p>
        </w:tc>
        <w:tc>
          <w:tcPr>
            <w:tcW w:w="1133" w:type="pct"/>
            <w:tcBorders>
              <w:top w:val="single" w:sz="4" w:space="0" w:color="auto"/>
              <w:left w:val="single" w:sz="4" w:space="0" w:color="auto"/>
              <w:bottom w:val="single" w:sz="4" w:space="0" w:color="auto"/>
              <w:right w:val="single" w:sz="4" w:space="0" w:color="auto"/>
            </w:tcBorders>
          </w:tcPr>
          <w:p w14:paraId="023A80B5" w14:textId="77777777" w:rsidR="002D30BD" w:rsidRPr="00B0658A" w:rsidRDefault="002D30BD" w:rsidP="00004A41">
            <w:pPr>
              <w:pStyle w:val="ConsPlusNormal"/>
            </w:pPr>
          </w:p>
        </w:tc>
        <w:tc>
          <w:tcPr>
            <w:tcW w:w="1188" w:type="pct"/>
            <w:tcBorders>
              <w:top w:val="single" w:sz="4" w:space="0" w:color="auto"/>
              <w:left w:val="single" w:sz="4" w:space="0" w:color="auto"/>
              <w:bottom w:val="single" w:sz="4" w:space="0" w:color="auto"/>
              <w:right w:val="single" w:sz="4" w:space="0" w:color="auto"/>
            </w:tcBorders>
          </w:tcPr>
          <w:p w14:paraId="19684EBD" w14:textId="77777777" w:rsidR="002D30BD" w:rsidRPr="00B0658A" w:rsidRDefault="002D30BD" w:rsidP="00004A41">
            <w:pPr>
              <w:pStyle w:val="ConsPlusNormal"/>
            </w:pPr>
          </w:p>
        </w:tc>
        <w:tc>
          <w:tcPr>
            <w:tcW w:w="622" w:type="pct"/>
            <w:tcBorders>
              <w:top w:val="single" w:sz="4" w:space="0" w:color="auto"/>
              <w:left w:val="single" w:sz="4" w:space="0" w:color="auto"/>
              <w:bottom w:val="single" w:sz="4" w:space="0" w:color="auto"/>
              <w:right w:val="single" w:sz="4" w:space="0" w:color="auto"/>
            </w:tcBorders>
          </w:tcPr>
          <w:p w14:paraId="51A157DE" w14:textId="77777777" w:rsidR="002D30BD" w:rsidRPr="00B0658A" w:rsidRDefault="002D30BD" w:rsidP="00004A41">
            <w:pPr>
              <w:pStyle w:val="ConsPlusNormal"/>
            </w:pPr>
          </w:p>
        </w:tc>
        <w:tc>
          <w:tcPr>
            <w:tcW w:w="1024" w:type="pct"/>
            <w:tcBorders>
              <w:top w:val="single" w:sz="4" w:space="0" w:color="auto"/>
              <w:left w:val="single" w:sz="4" w:space="0" w:color="auto"/>
              <w:bottom w:val="single" w:sz="4" w:space="0" w:color="auto"/>
              <w:right w:val="single" w:sz="4" w:space="0" w:color="auto"/>
            </w:tcBorders>
          </w:tcPr>
          <w:p w14:paraId="35B4BAC3" w14:textId="77777777" w:rsidR="002D30BD" w:rsidRPr="00B0658A" w:rsidRDefault="002D30BD" w:rsidP="00004A41">
            <w:pPr>
              <w:pStyle w:val="ConsPlusNormal"/>
            </w:pPr>
          </w:p>
        </w:tc>
      </w:tr>
      <w:tr w:rsidR="002D30BD" w:rsidRPr="00B0658A" w14:paraId="7FA1AC7C" w14:textId="77777777" w:rsidTr="002D30BD">
        <w:tc>
          <w:tcPr>
            <w:tcW w:w="204" w:type="pct"/>
            <w:tcBorders>
              <w:top w:val="single" w:sz="4" w:space="0" w:color="auto"/>
              <w:left w:val="single" w:sz="4" w:space="0" w:color="auto"/>
              <w:bottom w:val="single" w:sz="4" w:space="0" w:color="auto"/>
              <w:right w:val="single" w:sz="4" w:space="0" w:color="auto"/>
            </w:tcBorders>
          </w:tcPr>
          <w:p w14:paraId="159B812A" w14:textId="77777777" w:rsidR="002D30BD" w:rsidRPr="00B0658A" w:rsidRDefault="002D30BD" w:rsidP="00004A41">
            <w:pPr>
              <w:pStyle w:val="ConsPlusNormal"/>
            </w:pPr>
          </w:p>
        </w:tc>
        <w:tc>
          <w:tcPr>
            <w:tcW w:w="829" w:type="pct"/>
            <w:tcBorders>
              <w:top w:val="single" w:sz="4" w:space="0" w:color="auto"/>
              <w:left w:val="single" w:sz="4" w:space="0" w:color="auto"/>
              <w:bottom w:val="single" w:sz="4" w:space="0" w:color="auto"/>
              <w:right w:val="single" w:sz="4" w:space="0" w:color="auto"/>
            </w:tcBorders>
          </w:tcPr>
          <w:p w14:paraId="09B6D6A4" w14:textId="77777777" w:rsidR="002D30BD" w:rsidRPr="00B0658A" w:rsidRDefault="002D30BD" w:rsidP="00004A41">
            <w:pPr>
              <w:pStyle w:val="ConsPlusNormal"/>
            </w:pPr>
          </w:p>
        </w:tc>
        <w:tc>
          <w:tcPr>
            <w:tcW w:w="1133" w:type="pct"/>
            <w:tcBorders>
              <w:top w:val="single" w:sz="4" w:space="0" w:color="auto"/>
              <w:left w:val="single" w:sz="4" w:space="0" w:color="auto"/>
              <w:bottom w:val="single" w:sz="4" w:space="0" w:color="auto"/>
              <w:right w:val="single" w:sz="4" w:space="0" w:color="auto"/>
            </w:tcBorders>
          </w:tcPr>
          <w:p w14:paraId="465515C3" w14:textId="77777777" w:rsidR="002D30BD" w:rsidRPr="00B0658A" w:rsidRDefault="002D30BD" w:rsidP="00004A41">
            <w:pPr>
              <w:pStyle w:val="ConsPlusNormal"/>
            </w:pPr>
          </w:p>
        </w:tc>
        <w:tc>
          <w:tcPr>
            <w:tcW w:w="1188" w:type="pct"/>
            <w:tcBorders>
              <w:top w:val="single" w:sz="4" w:space="0" w:color="auto"/>
              <w:left w:val="single" w:sz="4" w:space="0" w:color="auto"/>
              <w:bottom w:val="single" w:sz="4" w:space="0" w:color="auto"/>
              <w:right w:val="single" w:sz="4" w:space="0" w:color="auto"/>
            </w:tcBorders>
          </w:tcPr>
          <w:p w14:paraId="4930BEEB" w14:textId="77777777" w:rsidR="002D30BD" w:rsidRPr="00B0658A" w:rsidRDefault="002D30BD" w:rsidP="00004A41">
            <w:pPr>
              <w:pStyle w:val="ConsPlusNormal"/>
            </w:pPr>
          </w:p>
        </w:tc>
        <w:tc>
          <w:tcPr>
            <w:tcW w:w="622" w:type="pct"/>
            <w:tcBorders>
              <w:top w:val="single" w:sz="4" w:space="0" w:color="auto"/>
              <w:left w:val="single" w:sz="4" w:space="0" w:color="auto"/>
              <w:bottom w:val="single" w:sz="4" w:space="0" w:color="auto"/>
              <w:right w:val="single" w:sz="4" w:space="0" w:color="auto"/>
            </w:tcBorders>
          </w:tcPr>
          <w:p w14:paraId="6E19187B" w14:textId="77777777" w:rsidR="002D30BD" w:rsidRPr="00B0658A" w:rsidRDefault="002D30BD" w:rsidP="00004A41">
            <w:pPr>
              <w:pStyle w:val="ConsPlusNormal"/>
            </w:pPr>
          </w:p>
        </w:tc>
        <w:tc>
          <w:tcPr>
            <w:tcW w:w="1024" w:type="pct"/>
            <w:tcBorders>
              <w:top w:val="single" w:sz="4" w:space="0" w:color="auto"/>
              <w:left w:val="single" w:sz="4" w:space="0" w:color="auto"/>
              <w:bottom w:val="single" w:sz="4" w:space="0" w:color="auto"/>
              <w:right w:val="single" w:sz="4" w:space="0" w:color="auto"/>
            </w:tcBorders>
          </w:tcPr>
          <w:p w14:paraId="53CD2217" w14:textId="77777777" w:rsidR="002D30BD" w:rsidRPr="00B0658A" w:rsidRDefault="002D30BD" w:rsidP="00004A41">
            <w:pPr>
              <w:pStyle w:val="ConsPlusNormal"/>
            </w:pPr>
          </w:p>
        </w:tc>
      </w:tr>
    </w:tbl>
    <w:p w14:paraId="786312F8" w14:textId="77777777" w:rsidR="002D30BD" w:rsidRPr="00B0658A" w:rsidRDefault="002D30BD" w:rsidP="002D30BD">
      <w:pPr>
        <w:spacing w:before="120" w:after="0" w:line="240" w:lineRule="auto"/>
        <w:rPr>
          <w:rFonts w:ascii="Times New Roman" w:hAnsi="Times New Roman"/>
          <w:sz w:val="28"/>
          <w:szCs w:val="24"/>
        </w:rPr>
      </w:pPr>
    </w:p>
    <w:p w14:paraId="0BDBB31A" w14:textId="77777777" w:rsidR="007B3F4E" w:rsidRPr="00B0658A" w:rsidRDefault="007B3F4E" w:rsidP="007B3F4E">
      <w:pPr>
        <w:spacing w:before="120" w:after="0" w:line="240" w:lineRule="auto"/>
        <w:jc w:val="both"/>
        <w:rPr>
          <w:rFonts w:ascii="Times New Roman" w:hAnsi="Times New Roman"/>
          <w:sz w:val="28"/>
          <w:szCs w:val="24"/>
        </w:rPr>
      </w:pPr>
      <w:r w:rsidRPr="00B0658A">
        <w:rPr>
          <w:rFonts w:ascii="Times New Roman" w:hAnsi="Times New Roman"/>
          <w:sz w:val="28"/>
          <w:szCs w:val="24"/>
        </w:rPr>
        <w:t>Раздел 2. «Показатели эффективности и соответствующие им значения индикаторов эффективности перехода на использование российского ПО»</w:t>
      </w: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78"/>
        <w:gridCol w:w="3812"/>
        <w:gridCol w:w="1842"/>
        <w:gridCol w:w="779"/>
        <w:gridCol w:w="780"/>
        <w:gridCol w:w="780"/>
        <w:gridCol w:w="780"/>
        <w:gridCol w:w="992"/>
        <w:gridCol w:w="803"/>
        <w:gridCol w:w="803"/>
        <w:gridCol w:w="804"/>
        <w:gridCol w:w="1530"/>
      </w:tblGrid>
      <w:tr w:rsidR="00F52FED" w:rsidRPr="00B0658A" w14:paraId="5EDB2A35" w14:textId="77777777" w:rsidTr="000103BB">
        <w:trPr>
          <w:trHeight w:val="20"/>
          <w:tblHeader/>
        </w:trPr>
        <w:tc>
          <w:tcPr>
            <w:tcW w:w="578" w:type="dxa"/>
            <w:shd w:val="clear" w:color="000000" w:fill="E7E6E6"/>
            <w:vAlign w:val="center"/>
            <w:hideMark/>
          </w:tcPr>
          <w:p w14:paraId="06729B6E" w14:textId="77777777" w:rsidR="00626001" w:rsidRPr="00B0658A" w:rsidRDefault="00626001" w:rsidP="00004A41">
            <w:pPr>
              <w:spacing w:after="0" w:line="240" w:lineRule="auto"/>
              <w:jc w:val="center"/>
              <w:rPr>
                <w:rFonts w:ascii="Times New Roman" w:hAnsi="Times New Roman"/>
                <w:b/>
                <w:bCs/>
                <w:sz w:val="18"/>
                <w:szCs w:val="18"/>
              </w:rPr>
            </w:pPr>
            <w:r w:rsidRPr="00B0658A">
              <w:rPr>
                <w:rFonts w:ascii="Times New Roman" w:hAnsi="Times New Roman"/>
                <w:b/>
                <w:bCs/>
                <w:sz w:val="18"/>
                <w:szCs w:val="18"/>
              </w:rPr>
              <w:t>№ раздела/ класса</w:t>
            </w:r>
          </w:p>
        </w:tc>
        <w:tc>
          <w:tcPr>
            <w:tcW w:w="3812" w:type="dxa"/>
            <w:shd w:val="clear" w:color="000000" w:fill="E7E6E6"/>
            <w:vAlign w:val="center"/>
            <w:hideMark/>
          </w:tcPr>
          <w:p w14:paraId="75C17A2A" w14:textId="77777777" w:rsidR="00626001" w:rsidRPr="00B0658A" w:rsidRDefault="00626001" w:rsidP="00004A41">
            <w:pPr>
              <w:spacing w:after="0" w:line="240" w:lineRule="auto"/>
              <w:jc w:val="center"/>
              <w:rPr>
                <w:rFonts w:ascii="Times New Roman" w:hAnsi="Times New Roman"/>
                <w:b/>
                <w:bCs/>
                <w:sz w:val="18"/>
                <w:szCs w:val="18"/>
              </w:rPr>
            </w:pPr>
            <w:r w:rsidRPr="00B0658A">
              <w:rPr>
                <w:rFonts w:ascii="Times New Roman" w:hAnsi="Times New Roman"/>
                <w:b/>
                <w:bCs/>
                <w:sz w:val="18"/>
                <w:szCs w:val="18"/>
              </w:rPr>
              <w:t>Наименование класса (типа) ПО</w:t>
            </w:r>
          </w:p>
        </w:tc>
        <w:tc>
          <w:tcPr>
            <w:tcW w:w="1842" w:type="dxa"/>
            <w:shd w:val="clear" w:color="000000" w:fill="E7E6E6"/>
            <w:vAlign w:val="center"/>
            <w:hideMark/>
          </w:tcPr>
          <w:p w14:paraId="1A7887BC" w14:textId="77777777" w:rsidR="00626001" w:rsidRPr="00B0658A" w:rsidRDefault="00626001" w:rsidP="00004A41">
            <w:pPr>
              <w:spacing w:after="0" w:line="240" w:lineRule="auto"/>
              <w:jc w:val="center"/>
              <w:rPr>
                <w:rFonts w:ascii="Times New Roman" w:hAnsi="Times New Roman"/>
                <w:b/>
                <w:bCs/>
                <w:sz w:val="18"/>
                <w:szCs w:val="18"/>
              </w:rPr>
            </w:pPr>
            <w:r w:rsidRPr="00B0658A">
              <w:rPr>
                <w:rFonts w:ascii="Times New Roman" w:hAnsi="Times New Roman"/>
                <w:b/>
                <w:bCs/>
                <w:sz w:val="18"/>
                <w:szCs w:val="18"/>
              </w:rPr>
              <w:t>Наименование целевого показателя</w:t>
            </w:r>
          </w:p>
        </w:tc>
        <w:tc>
          <w:tcPr>
            <w:tcW w:w="779" w:type="dxa"/>
            <w:shd w:val="clear" w:color="000000" w:fill="E7E6E6"/>
            <w:vAlign w:val="center"/>
          </w:tcPr>
          <w:p w14:paraId="1CFBEF1F" w14:textId="77777777" w:rsidR="00626001" w:rsidRPr="00B0658A" w:rsidRDefault="00626001" w:rsidP="00004A41">
            <w:pPr>
              <w:spacing w:after="0" w:line="240" w:lineRule="auto"/>
              <w:jc w:val="center"/>
              <w:rPr>
                <w:rFonts w:ascii="Times New Roman" w:hAnsi="Times New Roman"/>
                <w:b/>
                <w:bCs/>
                <w:sz w:val="18"/>
                <w:szCs w:val="18"/>
              </w:rPr>
            </w:pPr>
            <w:r w:rsidRPr="00B0658A">
              <w:rPr>
                <w:rFonts w:ascii="Times New Roman" w:hAnsi="Times New Roman"/>
                <w:b/>
                <w:bCs/>
                <w:sz w:val="18"/>
                <w:szCs w:val="18"/>
              </w:rPr>
              <w:t>2021 г.</w:t>
            </w:r>
          </w:p>
          <w:p w14:paraId="0811381B" w14:textId="77777777" w:rsidR="00626001" w:rsidRPr="00B0658A" w:rsidRDefault="00626001" w:rsidP="00004A41">
            <w:pPr>
              <w:spacing w:after="0" w:line="240" w:lineRule="auto"/>
              <w:jc w:val="center"/>
              <w:rPr>
                <w:rFonts w:ascii="Times New Roman" w:hAnsi="Times New Roman"/>
                <w:b/>
                <w:bCs/>
                <w:sz w:val="18"/>
                <w:szCs w:val="18"/>
              </w:rPr>
            </w:pPr>
            <w:r w:rsidRPr="00B0658A">
              <w:rPr>
                <w:rFonts w:ascii="Times New Roman" w:hAnsi="Times New Roman"/>
                <w:b/>
                <w:bCs/>
                <w:sz w:val="18"/>
                <w:szCs w:val="18"/>
              </w:rPr>
              <w:t>(факт)</w:t>
            </w:r>
          </w:p>
        </w:tc>
        <w:tc>
          <w:tcPr>
            <w:tcW w:w="780" w:type="dxa"/>
            <w:shd w:val="clear" w:color="000000" w:fill="E7E6E6"/>
            <w:noWrap/>
            <w:vAlign w:val="center"/>
            <w:hideMark/>
          </w:tcPr>
          <w:p w14:paraId="17A20DFF" w14:textId="77777777" w:rsidR="00626001" w:rsidRPr="00B0658A" w:rsidRDefault="00626001" w:rsidP="00004A41">
            <w:pPr>
              <w:spacing w:after="0" w:line="240" w:lineRule="auto"/>
              <w:jc w:val="center"/>
              <w:rPr>
                <w:rFonts w:ascii="Times New Roman" w:hAnsi="Times New Roman"/>
                <w:b/>
                <w:bCs/>
                <w:sz w:val="18"/>
                <w:szCs w:val="18"/>
              </w:rPr>
            </w:pPr>
            <w:r w:rsidRPr="00B0658A">
              <w:rPr>
                <w:rFonts w:ascii="Times New Roman" w:hAnsi="Times New Roman"/>
                <w:b/>
                <w:bCs/>
                <w:sz w:val="18"/>
                <w:szCs w:val="18"/>
              </w:rPr>
              <w:t>2022 г.</w:t>
            </w:r>
          </w:p>
          <w:p w14:paraId="3EFFAD3A" w14:textId="77777777" w:rsidR="00626001" w:rsidRPr="00B0658A" w:rsidRDefault="00626001" w:rsidP="00004A41">
            <w:pPr>
              <w:spacing w:after="0" w:line="240" w:lineRule="auto"/>
              <w:jc w:val="center"/>
              <w:rPr>
                <w:rFonts w:ascii="Times New Roman" w:hAnsi="Times New Roman"/>
                <w:b/>
                <w:bCs/>
                <w:sz w:val="18"/>
                <w:szCs w:val="18"/>
              </w:rPr>
            </w:pPr>
            <w:r w:rsidRPr="00B0658A">
              <w:rPr>
                <w:rFonts w:ascii="Times New Roman" w:hAnsi="Times New Roman"/>
                <w:b/>
                <w:bCs/>
                <w:sz w:val="18"/>
                <w:szCs w:val="18"/>
              </w:rPr>
              <w:t>(план)</w:t>
            </w:r>
          </w:p>
        </w:tc>
        <w:tc>
          <w:tcPr>
            <w:tcW w:w="780" w:type="dxa"/>
            <w:shd w:val="clear" w:color="000000" w:fill="E7E6E6"/>
            <w:vAlign w:val="center"/>
            <w:hideMark/>
          </w:tcPr>
          <w:p w14:paraId="71A56FBF" w14:textId="77777777" w:rsidR="00626001" w:rsidRPr="00B0658A" w:rsidRDefault="00626001" w:rsidP="00004A41">
            <w:pPr>
              <w:spacing w:after="0" w:line="240" w:lineRule="auto"/>
              <w:jc w:val="center"/>
              <w:rPr>
                <w:rFonts w:ascii="Times New Roman" w:hAnsi="Times New Roman"/>
                <w:b/>
                <w:bCs/>
                <w:sz w:val="18"/>
                <w:szCs w:val="18"/>
              </w:rPr>
            </w:pPr>
            <w:r w:rsidRPr="00B0658A">
              <w:rPr>
                <w:rFonts w:ascii="Times New Roman" w:hAnsi="Times New Roman"/>
                <w:b/>
                <w:bCs/>
                <w:sz w:val="18"/>
                <w:szCs w:val="18"/>
              </w:rPr>
              <w:t>2023 г.</w:t>
            </w:r>
          </w:p>
          <w:p w14:paraId="72BCDEE1" w14:textId="77777777" w:rsidR="00626001" w:rsidRPr="00B0658A" w:rsidRDefault="00626001" w:rsidP="00004A41">
            <w:pPr>
              <w:spacing w:after="0" w:line="240" w:lineRule="auto"/>
              <w:jc w:val="center"/>
              <w:rPr>
                <w:rFonts w:ascii="Times New Roman" w:hAnsi="Times New Roman"/>
                <w:b/>
                <w:bCs/>
                <w:sz w:val="18"/>
                <w:szCs w:val="18"/>
              </w:rPr>
            </w:pPr>
            <w:r w:rsidRPr="00B0658A">
              <w:rPr>
                <w:rFonts w:ascii="Times New Roman" w:hAnsi="Times New Roman"/>
                <w:b/>
                <w:bCs/>
                <w:sz w:val="18"/>
                <w:szCs w:val="18"/>
              </w:rPr>
              <w:t>(план)</w:t>
            </w:r>
          </w:p>
        </w:tc>
        <w:tc>
          <w:tcPr>
            <w:tcW w:w="780" w:type="dxa"/>
            <w:shd w:val="clear" w:color="000000" w:fill="E7E6E6"/>
            <w:noWrap/>
            <w:vAlign w:val="center"/>
            <w:hideMark/>
          </w:tcPr>
          <w:p w14:paraId="52BF5E8A" w14:textId="77777777" w:rsidR="00626001" w:rsidRPr="00B0658A" w:rsidRDefault="00626001" w:rsidP="00004A41">
            <w:pPr>
              <w:spacing w:after="0" w:line="240" w:lineRule="auto"/>
              <w:jc w:val="center"/>
              <w:rPr>
                <w:rFonts w:ascii="Times New Roman" w:hAnsi="Times New Roman"/>
                <w:b/>
                <w:bCs/>
                <w:sz w:val="18"/>
                <w:szCs w:val="18"/>
              </w:rPr>
            </w:pPr>
            <w:r w:rsidRPr="00B0658A">
              <w:rPr>
                <w:rFonts w:ascii="Times New Roman" w:hAnsi="Times New Roman"/>
                <w:b/>
                <w:bCs/>
                <w:sz w:val="18"/>
                <w:szCs w:val="18"/>
              </w:rPr>
              <w:t>2024 г.</w:t>
            </w:r>
          </w:p>
          <w:p w14:paraId="129AB744" w14:textId="77777777" w:rsidR="00626001" w:rsidRPr="00B0658A" w:rsidRDefault="00626001" w:rsidP="00004A41">
            <w:pPr>
              <w:spacing w:after="0" w:line="240" w:lineRule="auto"/>
              <w:jc w:val="center"/>
              <w:rPr>
                <w:rFonts w:ascii="Times New Roman" w:hAnsi="Times New Roman"/>
                <w:b/>
                <w:bCs/>
                <w:sz w:val="18"/>
                <w:szCs w:val="18"/>
              </w:rPr>
            </w:pPr>
            <w:r w:rsidRPr="00B0658A">
              <w:rPr>
                <w:rFonts w:ascii="Times New Roman" w:hAnsi="Times New Roman"/>
                <w:b/>
                <w:bCs/>
                <w:sz w:val="18"/>
                <w:szCs w:val="18"/>
              </w:rPr>
              <w:t>(план)</w:t>
            </w:r>
          </w:p>
        </w:tc>
        <w:tc>
          <w:tcPr>
            <w:tcW w:w="992" w:type="dxa"/>
            <w:shd w:val="clear" w:color="auto" w:fill="E7E6E6" w:themeFill="background2"/>
            <w:vAlign w:val="center"/>
          </w:tcPr>
          <w:p w14:paraId="54756B17" w14:textId="77777777" w:rsidR="00626001" w:rsidRPr="00B0658A" w:rsidRDefault="00626001" w:rsidP="00004A41">
            <w:pPr>
              <w:spacing w:after="0" w:line="240" w:lineRule="auto"/>
              <w:jc w:val="center"/>
              <w:rPr>
                <w:rFonts w:ascii="Times New Roman" w:hAnsi="Times New Roman"/>
                <w:b/>
                <w:bCs/>
                <w:sz w:val="18"/>
                <w:szCs w:val="18"/>
              </w:rPr>
            </w:pPr>
            <w:r w:rsidRPr="00B0658A">
              <w:rPr>
                <w:rFonts w:ascii="Times New Roman" w:hAnsi="Times New Roman"/>
                <w:b/>
                <w:bCs/>
                <w:sz w:val="18"/>
                <w:szCs w:val="18"/>
              </w:rPr>
              <w:t>2024 г.</w:t>
            </w:r>
            <w:r w:rsidRPr="00B0658A">
              <w:rPr>
                <w:rFonts w:ascii="Times New Roman" w:hAnsi="Times New Roman"/>
                <w:b/>
                <w:bCs/>
                <w:sz w:val="18"/>
                <w:szCs w:val="18"/>
              </w:rPr>
              <w:br/>
            </w:r>
            <w:r w:rsidRPr="00B0658A">
              <w:rPr>
                <w:rFonts w:ascii="Times New Roman" w:hAnsi="Times New Roman"/>
                <w:bCs/>
                <w:sz w:val="18"/>
                <w:szCs w:val="18"/>
              </w:rPr>
              <w:t>(для значимых объектов КИИ)</w:t>
            </w:r>
          </w:p>
        </w:tc>
        <w:tc>
          <w:tcPr>
            <w:tcW w:w="803" w:type="dxa"/>
            <w:shd w:val="clear" w:color="000000" w:fill="E7E6E6"/>
            <w:vAlign w:val="center"/>
            <w:hideMark/>
          </w:tcPr>
          <w:p w14:paraId="379A44D2" w14:textId="77777777" w:rsidR="00626001" w:rsidRPr="00B0658A" w:rsidRDefault="00626001" w:rsidP="00004A41">
            <w:pPr>
              <w:spacing w:after="0" w:line="240" w:lineRule="auto"/>
              <w:jc w:val="center"/>
              <w:rPr>
                <w:rFonts w:ascii="Times New Roman" w:hAnsi="Times New Roman"/>
                <w:b/>
                <w:bCs/>
                <w:sz w:val="18"/>
                <w:szCs w:val="18"/>
              </w:rPr>
            </w:pPr>
            <w:r w:rsidRPr="00B0658A">
              <w:rPr>
                <w:rFonts w:ascii="Times New Roman" w:hAnsi="Times New Roman"/>
                <w:b/>
                <w:bCs/>
                <w:sz w:val="18"/>
                <w:szCs w:val="18"/>
              </w:rPr>
              <w:t>2025 г.</w:t>
            </w:r>
          </w:p>
          <w:p w14:paraId="344F029C" w14:textId="77777777" w:rsidR="00626001" w:rsidRPr="00B0658A" w:rsidRDefault="00626001" w:rsidP="00004A41">
            <w:pPr>
              <w:spacing w:after="0" w:line="240" w:lineRule="auto"/>
              <w:jc w:val="center"/>
              <w:rPr>
                <w:rFonts w:ascii="Times New Roman" w:hAnsi="Times New Roman"/>
                <w:b/>
                <w:bCs/>
                <w:sz w:val="18"/>
                <w:szCs w:val="18"/>
              </w:rPr>
            </w:pPr>
            <w:r w:rsidRPr="00B0658A">
              <w:rPr>
                <w:rFonts w:ascii="Times New Roman" w:hAnsi="Times New Roman"/>
                <w:b/>
                <w:bCs/>
                <w:sz w:val="18"/>
                <w:szCs w:val="18"/>
              </w:rPr>
              <w:t>(план)</w:t>
            </w:r>
          </w:p>
        </w:tc>
        <w:tc>
          <w:tcPr>
            <w:tcW w:w="803" w:type="dxa"/>
            <w:shd w:val="clear" w:color="000000" w:fill="E7E6E6"/>
            <w:vAlign w:val="center"/>
            <w:hideMark/>
          </w:tcPr>
          <w:p w14:paraId="5623D7BD" w14:textId="77777777" w:rsidR="00626001" w:rsidRPr="00B0658A" w:rsidRDefault="00626001" w:rsidP="00004A41">
            <w:pPr>
              <w:spacing w:after="0" w:line="240" w:lineRule="auto"/>
              <w:jc w:val="center"/>
              <w:rPr>
                <w:rFonts w:ascii="Times New Roman" w:hAnsi="Times New Roman"/>
                <w:b/>
                <w:bCs/>
                <w:sz w:val="18"/>
                <w:szCs w:val="18"/>
              </w:rPr>
            </w:pPr>
            <w:r w:rsidRPr="00B0658A">
              <w:rPr>
                <w:rFonts w:ascii="Times New Roman" w:hAnsi="Times New Roman"/>
                <w:b/>
                <w:bCs/>
                <w:sz w:val="18"/>
                <w:szCs w:val="18"/>
              </w:rPr>
              <w:t>2026 г.</w:t>
            </w:r>
          </w:p>
          <w:p w14:paraId="381848EC" w14:textId="77777777" w:rsidR="00626001" w:rsidRPr="00B0658A" w:rsidRDefault="00626001" w:rsidP="00004A41">
            <w:pPr>
              <w:spacing w:after="0" w:line="240" w:lineRule="auto"/>
              <w:jc w:val="center"/>
              <w:rPr>
                <w:rFonts w:ascii="Times New Roman" w:hAnsi="Times New Roman"/>
                <w:b/>
                <w:bCs/>
                <w:sz w:val="18"/>
                <w:szCs w:val="18"/>
              </w:rPr>
            </w:pPr>
            <w:r w:rsidRPr="00B0658A">
              <w:rPr>
                <w:rFonts w:ascii="Times New Roman" w:hAnsi="Times New Roman"/>
                <w:b/>
                <w:bCs/>
                <w:sz w:val="18"/>
                <w:szCs w:val="18"/>
              </w:rPr>
              <w:t>(план)</w:t>
            </w:r>
          </w:p>
        </w:tc>
        <w:tc>
          <w:tcPr>
            <w:tcW w:w="804" w:type="dxa"/>
            <w:shd w:val="clear" w:color="000000" w:fill="E7E6E6"/>
            <w:vAlign w:val="center"/>
            <w:hideMark/>
          </w:tcPr>
          <w:p w14:paraId="16B268B8" w14:textId="77777777" w:rsidR="00626001" w:rsidRPr="00B0658A" w:rsidRDefault="00626001" w:rsidP="00004A41">
            <w:pPr>
              <w:spacing w:after="0" w:line="240" w:lineRule="auto"/>
              <w:jc w:val="center"/>
              <w:rPr>
                <w:rFonts w:ascii="Times New Roman" w:hAnsi="Times New Roman"/>
                <w:b/>
                <w:bCs/>
                <w:sz w:val="18"/>
                <w:szCs w:val="18"/>
              </w:rPr>
            </w:pPr>
            <w:r w:rsidRPr="00B0658A">
              <w:rPr>
                <w:rFonts w:ascii="Times New Roman" w:hAnsi="Times New Roman"/>
                <w:b/>
                <w:bCs/>
                <w:sz w:val="18"/>
                <w:szCs w:val="18"/>
              </w:rPr>
              <w:t>2027 г.</w:t>
            </w:r>
          </w:p>
          <w:p w14:paraId="55680C4C" w14:textId="77777777" w:rsidR="00626001" w:rsidRPr="00B0658A" w:rsidRDefault="00626001" w:rsidP="00004A41">
            <w:pPr>
              <w:spacing w:after="0" w:line="240" w:lineRule="auto"/>
              <w:jc w:val="center"/>
              <w:rPr>
                <w:rFonts w:ascii="Times New Roman" w:hAnsi="Times New Roman"/>
                <w:b/>
                <w:bCs/>
                <w:sz w:val="18"/>
                <w:szCs w:val="18"/>
              </w:rPr>
            </w:pPr>
            <w:r w:rsidRPr="00B0658A">
              <w:rPr>
                <w:rFonts w:ascii="Times New Roman" w:hAnsi="Times New Roman"/>
                <w:b/>
                <w:bCs/>
                <w:sz w:val="18"/>
                <w:szCs w:val="18"/>
              </w:rPr>
              <w:t>(план)</w:t>
            </w:r>
          </w:p>
        </w:tc>
        <w:tc>
          <w:tcPr>
            <w:tcW w:w="1530" w:type="dxa"/>
            <w:shd w:val="clear" w:color="000000" w:fill="E7E6E6"/>
            <w:vAlign w:val="center"/>
          </w:tcPr>
          <w:p w14:paraId="13AC94F5" w14:textId="77777777" w:rsidR="00626001" w:rsidRPr="00B0658A" w:rsidRDefault="00626001" w:rsidP="00004A41">
            <w:pPr>
              <w:spacing w:after="0" w:line="240" w:lineRule="auto"/>
              <w:jc w:val="center"/>
              <w:rPr>
                <w:rFonts w:ascii="Times New Roman" w:hAnsi="Times New Roman"/>
                <w:b/>
                <w:bCs/>
                <w:sz w:val="18"/>
                <w:szCs w:val="18"/>
              </w:rPr>
            </w:pPr>
            <w:r w:rsidRPr="00B0658A">
              <w:rPr>
                <w:rFonts w:ascii="Times New Roman" w:hAnsi="Times New Roman"/>
                <w:b/>
                <w:bCs/>
                <w:sz w:val="18"/>
                <w:szCs w:val="18"/>
              </w:rPr>
              <w:t>Единицы измерения уровня использования</w:t>
            </w:r>
          </w:p>
        </w:tc>
      </w:tr>
      <w:tr w:rsidR="00F52FED" w:rsidRPr="00B0658A" w14:paraId="0E08B15A" w14:textId="77777777" w:rsidTr="000103BB">
        <w:trPr>
          <w:trHeight w:val="20"/>
        </w:trPr>
        <w:tc>
          <w:tcPr>
            <w:tcW w:w="578" w:type="dxa"/>
            <w:shd w:val="clear" w:color="000000" w:fill="FFFFFF"/>
            <w:vAlign w:val="center"/>
          </w:tcPr>
          <w:p w14:paraId="18EF1DBB" w14:textId="77777777" w:rsidR="00626001" w:rsidRPr="00B0658A" w:rsidRDefault="00626001" w:rsidP="00004A41">
            <w:pPr>
              <w:spacing w:after="0" w:line="240" w:lineRule="auto"/>
              <w:jc w:val="center"/>
              <w:rPr>
                <w:rFonts w:ascii="Times New Roman" w:hAnsi="Times New Roman"/>
                <w:sz w:val="18"/>
                <w:szCs w:val="18"/>
              </w:rPr>
            </w:pPr>
            <w:r w:rsidRPr="00B0658A">
              <w:rPr>
                <w:rFonts w:ascii="Times New Roman" w:hAnsi="Times New Roman"/>
                <w:sz w:val="18"/>
                <w:szCs w:val="18"/>
              </w:rPr>
              <w:t>1.1</w:t>
            </w:r>
          </w:p>
        </w:tc>
        <w:tc>
          <w:tcPr>
            <w:tcW w:w="3812" w:type="dxa"/>
            <w:shd w:val="clear" w:color="auto" w:fill="auto"/>
            <w:vAlign w:val="center"/>
            <w:hideMark/>
          </w:tcPr>
          <w:p w14:paraId="285446AF" w14:textId="77777777" w:rsidR="00626001" w:rsidRPr="00B0658A" w:rsidRDefault="00626001" w:rsidP="00004A41">
            <w:pPr>
              <w:spacing w:after="0" w:line="240" w:lineRule="auto"/>
              <w:rPr>
                <w:rFonts w:ascii="Times New Roman" w:hAnsi="Times New Roman"/>
                <w:sz w:val="18"/>
                <w:szCs w:val="18"/>
              </w:rPr>
            </w:pPr>
            <w:r w:rsidRPr="00B0658A">
              <w:rPr>
                <w:rFonts w:ascii="Times New Roman" w:hAnsi="Times New Roman"/>
                <w:sz w:val="18"/>
                <w:szCs w:val="18"/>
              </w:rPr>
              <w:t>Встроенное программное обеспечение/ Встроенные системные программы: BIOS, UEFI и иные встроенные системные программы</w:t>
            </w:r>
          </w:p>
        </w:tc>
        <w:tc>
          <w:tcPr>
            <w:tcW w:w="1842" w:type="dxa"/>
            <w:shd w:val="clear" w:color="000000" w:fill="FFFFFF"/>
            <w:hideMark/>
          </w:tcPr>
          <w:p w14:paraId="44286072" w14:textId="77777777" w:rsidR="00626001" w:rsidRPr="00B0658A" w:rsidRDefault="00626001" w:rsidP="00004A41">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79" w:type="dxa"/>
            <w:shd w:val="clear" w:color="000000" w:fill="FFFFFF"/>
            <w:vAlign w:val="center"/>
          </w:tcPr>
          <w:p w14:paraId="5C08CA15"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000000" w:fill="FFFFFF"/>
            <w:vAlign w:val="center"/>
            <w:hideMark/>
          </w:tcPr>
          <w:p w14:paraId="583D6B35"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000000" w:fill="FFFFFF"/>
            <w:vAlign w:val="center"/>
            <w:hideMark/>
          </w:tcPr>
          <w:p w14:paraId="4746B974"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000000" w:fill="FFFFFF"/>
            <w:vAlign w:val="center"/>
            <w:hideMark/>
          </w:tcPr>
          <w:p w14:paraId="7F4571E0" w14:textId="77777777" w:rsidR="00626001" w:rsidRPr="00B0658A" w:rsidRDefault="00626001" w:rsidP="00004A41">
            <w:pPr>
              <w:spacing w:after="0" w:line="240" w:lineRule="auto"/>
              <w:jc w:val="center"/>
              <w:rPr>
                <w:rFonts w:ascii="Times New Roman" w:hAnsi="Times New Roman"/>
                <w:sz w:val="18"/>
                <w:szCs w:val="18"/>
              </w:rPr>
            </w:pPr>
          </w:p>
        </w:tc>
        <w:tc>
          <w:tcPr>
            <w:tcW w:w="992" w:type="dxa"/>
            <w:shd w:val="clear" w:color="000000" w:fill="FFFFFF"/>
            <w:vAlign w:val="center"/>
          </w:tcPr>
          <w:p w14:paraId="262E9D4E" w14:textId="77777777" w:rsidR="00626001" w:rsidRPr="00B0658A" w:rsidRDefault="00626001" w:rsidP="00004A41">
            <w:pPr>
              <w:spacing w:after="0" w:line="240" w:lineRule="auto"/>
              <w:jc w:val="center"/>
              <w:rPr>
                <w:rFonts w:ascii="Times New Roman" w:hAnsi="Times New Roman"/>
                <w:sz w:val="18"/>
                <w:szCs w:val="18"/>
              </w:rPr>
            </w:pPr>
          </w:p>
        </w:tc>
        <w:tc>
          <w:tcPr>
            <w:tcW w:w="803" w:type="dxa"/>
            <w:shd w:val="clear" w:color="000000" w:fill="FFFFFF"/>
            <w:vAlign w:val="center"/>
            <w:hideMark/>
          </w:tcPr>
          <w:p w14:paraId="655587C9" w14:textId="77777777" w:rsidR="00626001" w:rsidRPr="00B0658A" w:rsidRDefault="00626001" w:rsidP="00004A41">
            <w:pPr>
              <w:spacing w:after="0" w:line="240" w:lineRule="auto"/>
              <w:jc w:val="center"/>
              <w:rPr>
                <w:rFonts w:ascii="Times New Roman" w:hAnsi="Times New Roman"/>
                <w:sz w:val="18"/>
                <w:szCs w:val="18"/>
              </w:rPr>
            </w:pPr>
          </w:p>
        </w:tc>
        <w:tc>
          <w:tcPr>
            <w:tcW w:w="803" w:type="dxa"/>
            <w:shd w:val="clear" w:color="000000" w:fill="FFFFFF"/>
            <w:vAlign w:val="center"/>
            <w:hideMark/>
          </w:tcPr>
          <w:p w14:paraId="1D470AAE" w14:textId="77777777" w:rsidR="00626001" w:rsidRPr="00B0658A" w:rsidRDefault="00626001" w:rsidP="00004A41">
            <w:pPr>
              <w:spacing w:after="0" w:line="240" w:lineRule="auto"/>
              <w:jc w:val="center"/>
              <w:rPr>
                <w:rFonts w:ascii="Times New Roman" w:hAnsi="Times New Roman"/>
                <w:sz w:val="18"/>
                <w:szCs w:val="18"/>
              </w:rPr>
            </w:pPr>
          </w:p>
        </w:tc>
        <w:tc>
          <w:tcPr>
            <w:tcW w:w="804" w:type="dxa"/>
            <w:shd w:val="clear" w:color="000000" w:fill="FFFFFF"/>
            <w:vAlign w:val="center"/>
            <w:hideMark/>
          </w:tcPr>
          <w:p w14:paraId="497174D3" w14:textId="77777777" w:rsidR="00626001" w:rsidRPr="00B0658A" w:rsidRDefault="00626001" w:rsidP="00004A41">
            <w:pPr>
              <w:spacing w:after="0" w:line="240" w:lineRule="auto"/>
              <w:jc w:val="center"/>
              <w:rPr>
                <w:rFonts w:ascii="Times New Roman" w:hAnsi="Times New Roman"/>
                <w:sz w:val="18"/>
                <w:szCs w:val="18"/>
              </w:rPr>
            </w:pPr>
          </w:p>
        </w:tc>
        <w:tc>
          <w:tcPr>
            <w:tcW w:w="1530" w:type="dxa"/>
            <w:shd w:val="clear" w:color="000000" w:fill="FFFFFF"/>
            <w:vAlign w:val="center"/>
          </w:tcPr>
          <w:p w14:paraId="209BA4A9" w14:textId="77777777" w:rsidR="00626001" w:rsidRPr="00B0658A" w:rsidRDefault="00626001" w:rsidP="00004A41">
            <w:pPr>
              <w:spacing w:after="0" w:line="240" w:lineRule="auto"/>
              <w:jc w:val="center"/>
              <w:rPr>
                <w:rFonts w:ascii="Times New Roman" w:hAnsi="Times New Roman"/>
                <w:i/>
                <w:sz w:val="18"/>
                <w:szCs w:val="18"/>
              </w:rPr>
            </w:pPr>
            <w:r w:rsidRPr="00B0658A">
              <w:rPr>
                <w:rFonts w:ascii="Times New Roman" w:hAnsi="Times New Roman"/>
                <w:i/>
                <w:sz w:val="18"/>
                <w:szCs w:val="18"/>
              </w:rPr>
              <w:t>Указывается единица измерения уровня использования, применяемая при расчете относительной доли использования</w:t>
            </w:r>
          </w:p>
        </w:tc>
      </w:tr>
      <w:tr w:rsidR="00F52FED" w:rsidRPr="00B0658A" w14:paraId="7BCBD0D4" w14:textId="77777777" w:rsidTr="000103BB">
        <w:trPr>
          <w:trHeight w:val="20"/>
        </w:trPr>
        <w:tc>
          <w:tcPr>
            <w:tcW w:w="578" w:type="dxa"/>
            <w:shd w:val="clear" w:color="000000" w:fill="FFFFFF"/>
            <w:vAlign w:val="center"/>
          </w:tcPr>
          <w:p w14:paraId="7E8887E2" w14:textId="77777777" w:rsidR="00626001" w:rsidRPr="00B0658A" w:rsidRDefault="00626001" w:rsidP="00004A41">
            <w:pPr>
              <w:spacing w:after="0" w:line="240" w:lineRule="auto"/>
              <w:jc w:val="center"/>
              <w:rPr>
                <w:rFonts w:ascii="Times New Roman" w:hAnsi="Times New Roman"/>
                <w:sz w:val="18"/>
                <w:szCs w:val="18"/>
              </w:rPr>
            </w:pPr>
            <w:r w:rsidRPr="00B0658A">
              <w:rPr>
                <w:rFonts w:ascii="Times New Roman" w:hAnsi="Times New Roman"/>
                <w:sz w:val="18"/>
                <w:szCs w:val="18"/>
              </w:rPr>
              <w:t>1.2</w:t>
            </w:r>
          </w:p>
        </w:tc>
        <w:tc>
          <w:tcPr>
            <w:tcW w:w="3812" w:type="dxa"/>
            <w:shd w:val="clear" w:color="auto" w:fill="auto"/>
            <w:vAlign w:val="center"/>
            <w:hideMark/>
          </w:tcPr>
          <w:p w14:paraId="56D1E029" w14:textId="77777777" w:rsidR="00626001" w:rsidRPr="00B0658A" w:rsidRDefault="00626001" w:rsidP="00004A41">
            <w:pPr>
              <w:spacing w:after="0" w:line="240" w:lineRule="auto"/>
              <w:rPr>
                <w:rFonts w:ascii="Times New Roman" w:hAnsi="Times New Roman"/>
                <w:sz w:val="18"/>
                <w:szCs w:val="18"/>
              </w:rPr>
            </w:pPr>
            <w:r w:rsidRPr="00B0658A">
              <w:rPr>
                <w:rFonts w:ascii="Times New Roman" w:hAnsi="Times New Roman"/>
                <w:sz w:val="18"/>
                <w:szCs w:val="18"/>
              </w:rPr>
              <w:t>Встроенное программное обеспечение/ Встроенные системные программы – операционные системы</w:t>
            </w:r>
          </w:p>
        </w:tc>
        <w:tc>
          <w:tcPr>
            <w:tcW w:w="1842" w:type="dxa"/>
            <w:shd w:val="clear" w:color="000000" w:fill="FFFFFF"/>
            <w:hideMark/>
          </w:tcPr>
          <w:p w14:paraId="4C9176DC" w14:textId="77777777" w:rsidR="00626001" w:rsidRPr="00B0658A" w:rsidRDefault="00626001" w:rsidP="00004A41">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79" w:type="dxa"/>
            <w:shd w:val="clear" w:color="000000" w:fill="FFFFFF"/>
            <w:vAlign w:val="center"/>
          </w:tcPr>
          <w:p w14:paraId="0389BA54"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000000" w:fill="FFFFFF"/>
            <w:vAlign w:val="center"/>
            <w:hideMark/>
          </w:tcPr>
          <w:p w14:paraId="55BDEB47"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000000" w:fill="FFFFFF"/>
            <w:vAlign w:val="center"/>
            <w:hideMark/>
          </w:tcPr>
          <w:p w14:paraId="71F7D68F"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000000" w:fill="FFFFFF"/>
            <w:vAlign w:val="center"/>
            <w:hideMark/>
          </w:tcPr>
          <w:p w14:paraId="4BEF2F00" w14:textId="77777777" w:rsidR="00626001" w:rsidRPr="00B0658A" w:rsidRDefault="00626001" w:rsidP="00004A41">
            <w:pPr>
              <w:spacing w:after="0" w:line="240" w:lineRule="auto"/>
              <w:jc w:val="center"/>
              <w:rPr>
                <w:rFonts w:ascii="Times New Roman" w:hAnsi="Times New Roman"/>
                <w:sz w:val="18"/>
                <w:szCs w:val="18"/>
              </w:rPr>
            </w:pPr>
          </w:p>
        </w:tc>
        <w:tc>
          <w:tcPr>
            <w:tcW w:w="992" w:type="dxa"/>
            <w:shd w:val="clear" w:color="000000" w:fill="FFFFFF"/>
            <w:vAlign w:val="center"/>
          </w:tcPr>
          <w:p w14:paraId="31EAE100" w14:textId="77777777" w:rsidR="00626001" w:rsidRPr="00B0658A" w:rsidRDefault="00626001" w:rsidP="00004A41">
            <w:pPr>
              <w:spacing w:after="0" w:line="240" w:lineRule="auto"/>
              <w:jc w:val="center"/>
              <w:rPr>
                <w:rFonts w:ascii="Times New Roman" w:hAnsi="Times New Roman"/>
                <w:sz w:val="18"/>
                <w:szCs w:val="18"/>
              </w:rPr>
            </w:pPr>
          </w:p>
        </w:tc>
        <w:tc>
          <w:tcPr>
            <w:tcW w:w="803" w:type="dxa"/>
            <w:shd w:val="clear" w:color="000000" w:fill="FFFFFF"/>
            <w:vAlign w:val="center"/>
            <w:hideMark/>
          </w:tcPr>
          <w:p w14:paraId="1AC69A37" w14:textId="77777777" w:rsidR="00626001" w:rsidRPr="00B0658A" w:rsidRDefault="00626001" w:rsidP="00004A41">
            <w:pPr>
              <w:spacing w:after="0" w:line="240" w:lineRule="auto"/>
              <w:jc w:val="center"/>
              <w:rPr>
                <w:rFonts w:ascii="Times New Roman" w:hAnsi="Times New Roman"/>
                <w:sz w:val="18"/>
                <w:szCs w:val="18"/>
              </w:rPr>
            </w:pPr>
          </w:p>
        </w:tc>
        <w:tc>
          <w:tcPr>
            <w:tcW w:w="803" w:type="dxa"/>
            <w:shd w:val="clear" w:color="000000" w:fill="FFFFFF"/>
            <w:vAlign w:val="center"/>
            <w:hideMark/>
          </w:tcPr>
          <w:p w14:paraId="5016E1F5" w14:textId="77777777" w:rsidR="00626001" w:rsidRPr="00B0658A" w:rsidRDefault="00626001" w:rsidP="00004A41">
            <w:pPr>
              <w:spacing w:after="0" w:line="240" w:lineRule="auto"/>
              <w:jc w:val="center"/>
              <w:rPr>
                <w:rFonts w:ascii="Times New Roman" w:hAnsi="Times New Roman"/>
                <w:sz w:val="18"/>
                <w:szCs w:val="18"/>
              </w:rPr>
            </w:pPr>
          </w:p>
        </w:tc>
        <w:tc>
          <w:tcPr>
            <w:tcW w:w="804" w:type="dxa"/>
            <w:shd w:val="clear" w:color="000000" w:fill="FFFFFF"/>
            <w:vAlign w:val="center"/>
            <w:hideMark/>
          </w:tcPr>
          <w:p w14:paraId="18E753C4" w14:textId="77777777" w:rsidR="00626001" w:rsidRPr="00B0658A" w:rsidRDefault="00626001" w:rsidP="00004A41">
            <w:pPr>
              <w:spacing w:after="0" w:line="240" w:lineRule="auto"/>
              <w:jc w:val="center"/>
              <w:rPr>
                <w:rFonts w:ascii="Times New Roman" w:hAnsi="Times New Roman"/>
                <w:sz w:val="18"/>
                <w:szCs w:val="18"/>
              </w:rPr>
            </w:pPr>
          </w:p>
        </w:tc>
        <w:tc>
          <w:tcPr>
            <w:tcW w:w="1530" w:type="dxa"/>
            <w:shd w:val="clear" w:color="000000" w:fill="FFFFFF"/>
            <w:vAlign w:val="center"/>
          </w:tcPr>
          <w:p w14:paraId="7D853EEC" w14:textId="77777777" w:rsidR="00626001" w:rsidRPr="00B0658A" w:rsidRDefault="00626001" w:rsidP="00004A41">
            <w:pPr>
              <w:spacing w:after="0" w:line="240" w:lineRule="auto"/>
              <w:jc w:val="center"/>
              <w:rPr>
                <w:rFonts w:ascii="Times New Roman" w:hAnsi="Times New Roman"/>
                <w:sz w:val="18"/>
                <w:szCs w:val="18"/>
              </w:rPr>
            </w:pPr>
          </w:p>
        </w:tc>
      </w:tr>
      <w:tr w:rsidR="00F52FED" w:rsidRPr="00B0658A" w14:paraId="1E154DF6" w14:textId="77777777" w:rsidTr="000103BB">
        <w:trPr>
          <w:trHeight w:val="20"/>
        </w:trPr>
        <w:tc>
          <w:tcPr>
            <w:tcW w:w="578" w:type="dxa"/>
            <w:shd w:val="clear" w:color="000000" w:fill="FFFFFF"/>
            <w:vAlign w:val="center"/>
          </w:tcPr>
          <w:p w14:paraId="551740D6" w14:textId="77777777" w:rsidR="00626001" w:rsidRPr="00B0658A" w:rsidRDefault="00626001" w:rsidP="00004A41">
            <w:pPr>
              <w:spacing w:after="0" w:line="240" w:lineRule="auto"/>
              <w:jc w:val="center"/>
              <w:rPr>
                <w:rFonts w:ascii="Times New Roman" w:hAnsi="Times New Roman"/>
                <w:sz w:val="18"/>
                <w:szCs w:val="18"/>
              </w:rPr>
            </w:pPr>
            <w:r w:rsidRPr="00B0658A">
              <w:rPr>
                <w:rFonts w:ascii="Times New Roman" w:hAnsi="Times New Roman"/>
                <w:sz w:val="18"/>
                <w:szCs w:val="18"/>
              </w:rPr>
              <w:t>1.3</w:t>
            </w:r>
          </w:p>
        </w:tc>
        <w:tc>
          <w:tcPr>
            <w:tcW w:w="3812" w:type="dxa"/>
            <w:shd w:val="clear" w:color="auto" w:fill="auto"/>
            <w:vAlign w:val="center"/>
            <w:hideMark/>
          </w:tcPr>
          <w:p w14:paraId="781F3A44" w14:textId="77777777" w:rsidR="00626001" w:rsidRPr="00B0658A" w:rsidRDefault="00626001" w:rsidP="00004A41">
            <w:pPr>
              <w:spacing w:after="0" w:line="240" w:lineRule="auto"/>
              <w:rPr>
                <w:rFonts w:ascii="Times New Roman" w:hAnsi="Times New Roman"/>
                <w:sz w:val="18"/>
                <w:szCs w:val="18"/>
              </w:rPr>
            </w:pPr>
            <w:r w:rsidRPr="00B0658A">
              <w:rPr>
                <w:rFonts w:ascii="Times New Roman" w:hAnsi="Times New Roman"/>
                <w:sz w:val="18"/>
                <w:szCs w:val="18"/>
              </w:rPr>
              <w:t>Встроенное программное обеспечение/ Встроенные прикладные программы</w:t>
            </w:r>
          </w:p>
        </w:tc>
        <w:tc>
          <w:tcPr>
            <w:tcW w:w="1842" w:type="dxa"/>
            <w:shd w:val="clear" w:color="000000" w:fill="FFFFFF"/>
            <w:hideMark/>
          </w:tcPr>
          <w:p w14:paraId="610B2B74" w14:textId="77777777" w:rsidR="00626001" w:rsidRPr="00B0658A" w:rsidRDefault="00626001" w:rsidP="00004A41">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79" w:type="dxa"/>
            <w:shd w:val="clear" w:color="000000" w:fill="FFFFFF"/>
            <w:vAlign w:val="center"/>
          </w:tcPr>
          <w:p w14:paraId="048ED896"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000000" w:fill="FFFFFF"/>
            <w:vAlign w:val="center"/>
            <w:hideMark/>
          </w:tcPr>
          <w:p w14:paraId="7717A4FE"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000000" w:fill="FFFFFF"/>
            <w:vAlign w:val="center"/>
            <w:hideMark/>
          </w:tcPr>
          <w:p w14:paraId="61218E72"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000000" w:fill="FFFFFF"/>
            <w:vAlign w:val="center"/>
            <w:hideMark/>
          </w:tcPr>
          <w:p w14:paraId="5F629416" w14:textId="77777777" w:rsidR="00626001" w:rsidRPr="00B0658A" w:rsidRDefault="00626001" w:rsidP="00004A41">
            <w:pPr>
              <w:spacing w:after="0" w:line="240" w:lineRule="auto"/>
              <w:jc w:val="center"/>
              <w:rPr>
                <w:rFonts w:ascii="Times New Roman" w:hAnsi="Times New Roman"/>
                <w:sz w:val="18"/>
                <w:szCs w:val="18"/>
              </w:rPr>
            </w:pPr>
          </w:p>
        </w:tc>
        <w:tc>
          <w:tcPr>
            <w:tcW w:w="992" w:type="dxa"/>
            <w:shd w:val="clear" w:color="000000" w:fill="FFFFFF"/>
            <w:vAlign w:val="center"/>
          </w:tcPr>
          <w:p w14:paraId="63D806AD" w14:textId="77777777" w:rsidR="00626001" w:rsidRPr="00B0658A" w:rsidRDefault="00626001" w:rsidP="00004A41">
            <w:pPr>
              <w:spacing w:after="0" w:line="240" w:lineRule="auto"/>
              <w:jc w:val="center"/>
              <w:rPr>
                <w:rFonts w:ascii="Times New Roman" w:hAnsi="Times New Roman"/>
                <w:sz w:val="18"/>
                <w:szCs w:val="18"/>
              </w:rPr>
            </w:pPr>
          </w:p>
        </w:tc>
        <w:tc>
          <w:tcPr>
            <w:tcW w:w="803" w:type="dxa"/>
            <w:shd w:val="clear" w:color="000000" w:fill="FFFFFF"/>
            <w:vAlign w:val="center"/>
            <w:hideMark/>
          </w:tcPr>
          <w:p w14:paraId="71851042" w14:textId="77777777" w:rsidR="00626001" w:rsidRPr="00B0658A" w:rsidRDefault="00626001" w:rsidP="00004A41">
            <w:pPr>
              <w:spacing w:after="0" w:line="240" w:lineRule="auto"/>
              <w:jc w:val="center"/>
              <w:rPr>
                <w:rFonts w:ascii="Times New Roman" w:hAnsi="Times New Roman"/>
                <w:sz w:val="18"/>
                <w:szCs w:val="18"/>
              </w:rPr>
            </w:pPr>
          </w:p>
        </w:tc>
        <w:tc>
          <w:tcPr>
            <w:tcW w:w="803" w:type="dxa"/>
            <w:shd w:val="clear" w:color="000000" w:fill="FFFFFF"/>
            <w:vAlign w:val="center"/>
            <w:hideMark/>
          </w:tcPr>
          <w:p w14:paraId="18CDA605" w14:textId="77777777" w:rsidR="00626001" w:rsidRPr="00B0658A" w:rsidRDefault="00626001" w:rsidP="00004A41">
            <w:pPr>
              <w:spacing w:after="0" w:line="240" w:lineRule="auto"/>
              <w:jc w:val="center"/>
              <w:rPr>
                <w:rFonts w:ascii="Times New Roman" w:hAnsi="Times New Roman"/>
                <w:sz w:val="18"/>
                <w:szCs w:val="18"/>
              </w:rPr>
            </w:pPr>
          </w:p>
        </w:tc>
        <w:tc>
          <w:tcPr>
            <w:tcW w:w="804" w:type="dxa"/>
            <w:shd w:val="clear" w:color="000000" w:fill="FFFFFF"/>
            <w:vAlign w:val="center"/>
            <w:hideMark/>
          </w:tcPr>
          <w:p w14:paraId="2466D2FA" w14:textId="77777777" w:rsidR="00626001" w:rsidRPr="00B0658A" w:rsidRDefault="00626001" w:rsidP="00004A41">
            <w:pPr>
              <w:spacing w:after="0" w:line="240" w:lineRule="auto"/>
              <w:jc w:val="center"/>
              <w:rPr>
                <w:rFonts w:ascii="Times New Roman" w:hAnsi="Times New Roman"/>
                <w:sz w:val="18"/>
                <w:szCs w:val="18"/>
              </w:rPr>
            </w:pPr>
          </w:p>
        </w:tc>
        <w:tc>
          <w:tcPr>
            <w:tcW w:w="1530" w:type="dxa"/>
            <w:shd w:val="clear" w:color="000000" w:fill="FFFFFF"/>
            <w:vAlign w:val="center"/>
          </w:tcPr>
          <w:p w14:paraId="17B88D66" w14:textId="77777777" w:rsidR="00626001" w:rsidRPr="00B0658A" w:rsidRDefault="00626001" w:rsidP="00004A41">
            <w:pPr>
              <w:spacing w:after="0" w:line="240" w:lineRule="auto"/>
              <w:jc w:val="center"/>
              <w:rPr>
                <w:rFonts w:ascii="Times New Roman" w:hAnsi="Times New Roman"/>
                <w:sz w:val="18"/>
                <w:szCs w:val="18"/>
              </w:rPr>
            </w:pPr>
          </w:p>
        </w:tc>
      </w:tr>
      <w:tr w:rsidR="00F52FED" w:rsidRPr="00B0658A" w14:paraId="2D7F2D73" w14:textId="77777777" w:rsidTr="000103BB">
        <w:trPr>
          <w:trHeight w:val="20"/>
        </w:trPr>
        <w:tc>
          <w:tcPr>
            <w:tcW w:w="578" w:type="dxa"/>
            <w:shd w:val="clear" w:color="000000" w:fill="FFFFFF"/>
            <w:vAlign w:val="center"/>
          </w:tcPr>
          <w:p w14:paraId="325C89EB" w14:textId="77777777" w:rsidR="00626001" w:rsidRPr="00B0658A" w:rsidRDefault="00626001" w:rsidP="00004A41">
            <w:pPr>
              <w:spacing w:after="0" w:line="240" w:lineRule="auto"/>
              <w:jc w:val="center"/>
              <w:rPr>
                <w:rFonts w:ascii="Times New Roman" w:hAnsi="Times New Roman"/>
                <w:sz w:val="18"/>
                <w:szCs w:val="18"/>
              </w:rPr>
            </w:pPr>
            <w:r w:rsidRPr="00B0658A">
              <w:rPr>
                <w:rFonts w:ascii="Times New Roman" w:hAnsi="Times New Roman"/>
                <w:sz w:val="18"/>
                <w:szCs w:val="18"/>
              </w:rPr>
              <w:t>1.4</w:t>
            </w:r>
          </w:p>
        </w:tc>
        <w:tc>
          <w:tcPr>
            <w:tcW w:w="3812" w:type="dxa"/>
            <w:shd w:val="clear" w:color="auto" w:fill="auto"/>
            <w:vAlign w:val="center"/>
            <w:hideMark/>
          </w:tcPr>
          <w:p w14:paraId="2323D503" w14:textId="77777777" w:rsidR="00626001" w:rsidRPr="00B0658A" w:rsidRDefault="00626001" w:rsidP="00004A41">
            <w:pPr>
              <w:spacing w:after="0" w:line="240" w:lineRule="auto"/>
              <w:rPr>
                <w:rFonts w:ascii="Times New Roman" w:hAnsi="Times New Roman"/>
                <w:sz w:val="18"/>
                <w:szCs w:val="18"/>
              </w:rPr>
            </w:pPr>
            <w:r w:rsidRPr="00B0658A">
              <w:rPr>
                <w:rFonts w:ascii="Times New Roman" w:hAnsi="Times New Roman"/>
                <w:sz w:val="18"/>
                <w:szCs w:val="18"/>
              </w:rPr>
              <w:t>Встроенное программное обеспечение/ Программное обеспечение интернета вещей, робототехники и сенсорики</w:t>
            </w:r>
          </w:p>
        </w:tc>
        <w:tc>
          <w:tcPr>
            <w:tcW w:w="1842" w:type="dxa"/>
            <w:shd w:val="clear" w:color="000000" w:fill="FFFFFF"/>
            <w:hideMark/>
          </w:tcPr>
          <w:p w14:paraId="30AFA95C" w14:textId="77777777" w:rsidR="00626001" w:rsidRPr="00B0658A" w:rsidRDefault="00626001" w:rsidP="00004A41">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79" w:type="dxa"/>
            <w:shd w:val="clear" w:color="000000" w:fill="FFFFFF"/>
            <w:vAlign w:val="center"/>
          </w:tcPr>
          <w:p w14:paraId="5E00FD05"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000000" w:fill="FFFFFF"/>
            <w:vAlign w:val="center"/>
            <w:hideMark/>
          </w:tcPr>
          <w:p w14:paraId="66F79769"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000000" w:fill="FFFFFF"/>
            <w:vAlign w:val="center"/>
            <w:hideMark/>
          </w:tcPr>
          <w:p w14:paraId="437874E1"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000000" w:fill="FFFFFF"/>
            <w:vAlign w:val="center"/>
            <w:hideMark/>
          </w:tcPr>
          <w:p w14:paraId="7F28BE7E" w14:textId="77777777" w:rsidR="00626001" w:rsidRPr="00B0658A" w:rsidRDefault="00626001" w:rsidP="00004A41">
            <w:pPr>
              <w:spacing w:after="0" w:line="240" w:lineRule="auto"/>
              <w:jc w:val="center"/>
              <w:rPr>
                <w:rFonts w:ascii="Times New Roman" w:hAnsi="Times New Roman"/>
                <w:sz w:val="18"/>
                <w:szCs w:val="18"/>
              </w:rPr>
            </w:pPr>
          </w:p>
        </w:tc>
        <w:tc>
          <w:tcPr>
            <w:tcW w:w="992" w:type="dxa"/>
            <w:shd w:val="clear" w:color="000000" w:fill="FFFFFF"/>
            <w:vAlign w:val="center"/>
          </w:tcPr>
          <w:p w14:paraId="5920D10C" w14:textId="77777777" w:rsidR="00626001" w:rsidRPr="00B0658A" w:rsidRDefault="00626001" w:rsidP="00004A41">
            <w:pPr>
              <w:spacing w:after="0" w:line="240" w:lineRule="auto"/>
              <w:jc w:val="center"/>
              <w:rPr>
                <w:rFonts w:ascii="Times New Roman" w:hAnsi="Times New Roman"/>
                <w:sz w:val="18"/>
                <w:szCs w:val="18"/>
              </w:rPr>
            </w:pPr>
          </w:p>
        </w:tc>
        <w:tc>
          <w:tcPr>
            <w:tcW w:w="803" w:type="dxa"/>
            <w:shd w:val="clear" w:color="000000" w:fill="FFFFFF"/>
            <w:vAlign w:val="center"/>
            <w:hideMark/>
          </w:tcPr>
          <w:p w14:paraId="5B009B24" w14:textId="77777777" w:rsidR="00626001" w:rsidRPr="00B0658A" w:rsidRDefault="00626001" w:rsidP="00004A41">
            <w:pPr>
              <w:spacing w:after="0" w:line="240" w:lineRule="auto"/>
              <w:jc w:val="center"/>
              <w:rPr>
                <w:rFonts w:ascii="Times New Roman" w:hAnsi="Times New Roman"/>
                <w:sz w:val="18"/>
                <w:szCs w:val="18"/>
              </w:rPr>
            </w:pPr>
          </w:p>
        </w:tc>
        <w:tc>
          <w:tcPr>
            <w:tcW w:w="803" w:type="dxa"/>
            <w:shd w:val="clear" w:color="000000" w:fill="FFFFFF"/>
            <w:vAlign w:val="center"/>
            <w:hideMark/>
          </w:tcPr>
          <w:p w14:paraId="414C8F7E" w14:textId="77777777" w:rsidR="00626001" w:rsidRPr="00B0658A" w:rsidRDefault="00626001" w:rsidP="00004A41">
            <w:pPr>
              <w:spacing w:after="0" w:line="240" w:lineRule="auto"/>
              <w:jc w:val="center"/>
              <w:rPr>
                <w:rFonts w:ascii="Times New Roman" w:hAnsi="Times New Roman"/>
                <w:sz w:val="18"/>
                <w:szCs w:val="18"/>
              </w:rPr>
            </w:pPr>
          </w:p>
        </w:tc>
        <w:tc>
          <w:tcPr>
            <w:tcW w:w="804" w:type="dxa"/>
            <w:shd w:val="clear" w:color="000000" w:fill="FFFFFF"/>
            <w:vAlign w:val="center"/>
            <w:hideMark/>
          </w:tcPr>
          <w:p w14:paraId="31299F54" w14:textId="77777777" w:rsidR="00626001" w:rsidRPr="00B0658A" w:rsidRDefault="00626001" w:rsidP="00004A41">
            <w:pPr>
              <w:spacing w:after="0" w:line="240" w:lineRule="auto"/>
              <w:jc w:val="center"/>
              <w:rPr>
                <w:rFonts w:ascii="Times New Roman" w:hAnsi="Times New Roman"/>
                <w:sz w:val="18"/>
                <w:szCs w:val="18"/>
              </w:rPr>
            </w:pPr>
          </w:p>
        </w:tc>
        <w:tc>
          <w:tcPr>
            <w:tcW w:w="1530" w:type="dxa"/>
            <w:shd w:val="clear" w:color="000000" w:fill="FFFFFF"/>
            <w:vAlign w:val="center"/>
          </w:tcPr>
          <w:p w14:paraId="24D22917" w14:textId="77777777" w:rsidR="00626001" w:rsidRPr="00B0658A" w:rsidRDefault="00626001" w:rsidP="00004A41">
            <w:pPr>
              <w:spacing w:after="0" w:line="240" w:lineRule="auto"/>
              <w:jc w:val="center"/>
              <w:rPr>
                <w:rFonts w:ascii="Times New Roman" w:hAnsi="Times New Roman"/>
                <w:sz w:val="18"/>
                <w:szCs w:val="18"/>
              </w:rPr>
            </w:pPr>
          </w:p>
        </w:tc>
      </w:tr>
      <w:tr w:rsidR="00F52FED" w:rsidRPr="00B0658A" w14:paraId="4F040BBE" w14:textId="77777777" w:rsidTr="000103BB">
        <w:trPr>
          <w:trHeight w:val="20"/>
        </w:trPr>
        <w:tc>
          <w:tcPr>
            <w:tcW w:w="578" w:type="dxa"/>
            <w:shd w:val="clear" w:color="auto" w:fill="auto"/>
            <w:vAlign w:val="center"/>
          </w:tcPr>
          <w:p w14:paraId="02FF634E" w14:textId="77777777" w:rsidR="00626001" w:rsidRPr="00B0658A" w:rsidRDefault="00626001" w:rsidP="00004A41">
            <w:pPr>
              <w:spacing w:after="0" w:line="240" w:lineRule="auto"/>
              <w:jc w:val="center"/>
              <w:rPr>
                <w:rFonts w:ascii="Times New Roman" w:hAnsi="Times New Roman"/>
                <w:sz w:val="18"/>
                <w:szCs w:val="18"/>
              </w:rPr>
            </w:pPr>
            <w:r w:rsidRPr="00B0658A">
              <w:rPr>
                <w:rFonts w:ascii="Times New Roman" w:hAnsi="Times New Roman"/>
                <w:sz w:val="18"/>
                <w:szCs w:val="18"/>
              </w:rPr>
              <w:t>2.1</w:t>
            </w:r>
          </w:p>
        </w:tc>
        <w:tc>
          <w:tcPr>
            <w:tcW w:w="3812" w:type="dxa"/>
            <w:shd w:val="clear" w:color="auto" w:fill="auto"/>
            <w:vAlign w:val="center"/>
            <w:hideMark/>
          </w:tcPr>
          <w:p w14:paraId="1A91689A" w14:textId="77777777" w:rsidR="00626001" w:rsidRPr="00B0658A" w:rsidRDefault="00626001" w:rsidP="00004A41">
            <w:pPr>
              <w:spacing w:after="0" w:line="240" w:lineRule="auto"/>
              <w:rPr>
                <w:rFonts w:ascii="Times New Roman" w:hAnsi="Times New Roman"/>
                <w:sz w:val="18"/>
                <w:szCs w:val="18"/>
              </w:rPr>
            </w:pPr>
            <w:r w:rsidRPr="00B0658A">
              <w:rPr>
                <w:rFonts w:ascii="Times New Roman" w:hAnsi="Times New Roman"/>
                <w:sz w:val="18"/>
                <w:szCs w:val="18"/>
              </w:rPr>
              <w:t>Системное программное обеспечение/ Драйверы</w:t>
            </w:r>
          </w:p>
        </w:tc>
        <w:tc>
          <w:tcPr>
            <w:tcW w:w="1842" w:type="dxa"/>
            <w:shd w:val="clear" w:color="000000" w:fill="FFFFFF"/>
            <w:hideMark/>
          </w:tcPr>
          <w:p w14:paraId="57669771" w14:textId="77777777" w:rsidR="00626001" w:rsidRPr="00B0658A" w:rsidRDefault="00626001" w:rsidP="00004A41">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79" w:type="dxa"/>
            <w:shd w:val="clear" w:color="000000" w:fill="FFFFFF"/>
            <w:vAlign w:val="center"/>
          </w:tcPr>
          <w:p w14:paraId="15CC9D13"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000000" w:fill="FFFFFF"/>
            <w:vAlign w:val="center"/>
            <w:hideMark/>
          </w:tcPr>
          <w:p w14:paraId="65B29F44"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000000" w:fill="FFFFFF"/>
            <w:vAlign w:val="center"/>
            <w:hideMark/>
          </w:tcPr>
          <w:p w14:paraId="1094EAD8"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000000" w:fill="FFFFFF"/>
            <w:vAlign w:val="center"/>
            <w:hideMark/>
          </w:tcPr>
          <w:p w14:paraId="3C020C9A" w14:textId="77777777" w:rsidR="00626001" w:rsidRPr="00B0658A" w:rsidRDefault="00626001" w:rsidP="00004A41">
            <w:pPr>
              <w:spacing w:after="0" w:line="240" w:lineRule="auto"/>
              <w:jc w:val="center"/>
              <w:rPr>
                <w:rFonts w:ascii="Times New Roman" w:hAnsi="Times New Roman"/>
                <w:sz w:val="18"/>
                <w:szCs w:val="18"/>
              </w:rPr>
            </w:pPr>
          </w:p>
        </w:tc>
        <w:tc>
          <w:tcPr>
            <w:tcW w:w="992" w:type="dxa"/>
            <w:shd w:val="clear" w:color="000000" w:fill="FFFFFF"/>
            <w:vAlign w:val="center"/>
          </w:tcPr>
          <w:p w14:paraId="35AA4943" w14:textId="77777777" w:rsidR="00626001" w:rsidRPr="00B0658A" w:rsidRDefault="00626001" w:rsidP="00004A41">
            <w:pPr>
              <w:spacing w:after="0" w:line="240" w:lineRule="auto"/>
              <w:jc w:val="center"/>
              <w:rPr>
                <w:rFonts w:ascii="Times New Roman" w:hAnsi="Times New Roman"/>
                <w:sz w:val="18"/>
                <w:szCs w:val="18"/>
              </w:rPr>
            </w:pPr>
          </w:p>
        </w:tc>
        <w:tc>
          <w:tcPr>
            <w:tcW w:w="803" w:type="dxa"/>
            <w:shd w:val="clear" w:color="000000" w:fill="FFFFFF"/>
            <w:vAlign w:val="center"/>
            <w:hideMark/>
          </w:tcPr>
          <w:p w14:paraId="60C95698" w14:textId="77777777" w:rsidR="00626001" w:rsidRPr="00B0658A" w:rsidRDefault="00626001" w:rsidP="00004A41">
            <w:pPr>
              <w:spacing w:after="0" w:line="240" w:lineRule="auto"/>
              <w:jc w:val="center"/>
              <w:rPr>
                <w:rFonts w:ascii="Times New Roman" w:hAnsi="Times New Roman"/>
                <w:sz w:val="18"/>
                <w:szCs w:val="18"/>
              </w:rPr>
            </w:pPr>
          </w:p>
        </w:tc>
        <w:tc>
          <w:tcPr>
            <w:tcW w:w="803" w:type="dxa"/>
            <w:shd w:val="clear" w:color="000000" w:fill="FFFFFF"/>
            <w:vAlign w:val="center"/>
            <w:hideMark/>
          </w:tcPr>
          <w:p w14:paraId="270BFB75" w14:textId="77777777" w:rsidR="00626001" w:rsidRPr="00B0658A" w:rsidRDefault="00626001" w:rsidP="00004A41">
            <w:pPr>
              <w:spacing w:after="0" w:line="240" w:lineRule="auto"/>
              <w:jc w:val="center"/>
              <w:rPr>
                <w:rFonts w:ascii="Times New Roman" w:hAnsi="Times New Roman"/>
                <w:sz w:val="18"/>
                <w:szCs w:val="18"/>
              </w:rPr>
            </w:pPr>
          </w:p>
        </w:tc>
        <w:tc>
          <w:tcPr>
            <w:tcW w:w="804" w:type="dxa"/>
            <w:shd w:val="clear" w:color="000000" w:fill="FFFFFF"/>
            <w:vAlign w:val="center"/>
            <w:hideMark/>
          </w:tcPr>
          <w:p w14:paraId="11BA831C" w14:textId="77777777" w:rsidR="00626001" w:rsidRPr="00B0658A" w:rsidRDefault="00626001" w:rsidP="00004A41">
            <w:pPr>
              <w:spacing w:after="0" w:line="240" w:lineRule="auto"/>
              <w:jc w:val="center"/>
              <w:rPr>
                <w:rFonts w:ascii="Times New Roman" w:hAnsi="Times New Roman"/>
                <w:sz w:val="18"/>
                <w:szCs w:val="18"/>
              </w:rPr>
            </w:pPr>
          </w:p>
        </w:tc>
        <w:tc>
          <w:tcPr>
            <w:tcW w:w="1530" w:type="dxa"/>
            <w:shd w:val="clear" w:color="000000" w:fill="FFFFFF"/>
            <w:vAlign w:val="center"/>
          </w:tcPr>
          <w:p w14:paraId="3B448737" w14:textId="77777777" w:rsidR="00626001" w:rsidRPr="00B0658A" w:rsidRDefault="00626001" w:rsidP="00004A41">
            <w:pPr>
              <w:spacing w:after="0" w:line="240" w:lineRule="auto"/>
              <w:jc w:val="center"/>
              <w:rPr>
                <w:rFonts w:ascii="Times New Roman" w:hAnsi="Times New Roman"/>
                <w:sz w:val="18"/>
                <w:szCs w:val="18"/>
              </w:rPr>
            </w:pPr>
          </w:p>
        </w:tc>
      </w:tr>
      <w:tr w:rsidR="00F52FED" w:rsidRPr="00B0658A" w14:paraId="5AFB113D" w14:textId="77777777" w:rsidTr="000103BB">
        <w:trPr>
          <w:trHeight w:val="20"/>
        </w:trPr>
        <w:tc>
          <w:tcPr>
            <w:tcW w:w="578" w:type="dxa"/>
            <w:shd w:val="clear" w:color="auto" w:fill="auto"/>
            <w:vAlign w:val="center"/>
          </w:tcPr>
          <w:p w14:paraId="69434BCB" w14:textId="77777777" w:rsidR="00626001" w:rsidRPr="00B0658A" w:rsidRDefault="00626001" w:rsidP="00004A41">
            <w:pPr>
              <w:spacing w:after="0" w:line="240" w:lineRule="auto"/>
              <w:jc w:val="center"/>
              <w:rPr>
                <w:rFonts w:ascii="Times New Roman" w:hAnsi="Times New Roman"/>
                <w:sz w:val="18"/>
                <w:szCs w:val="18"/>
              </w:rPr>
            </w:pPr>
            <w:r w:rsidRPr="00B0658A">
              <w:rPr>
                <w:rFonts w:ascii="Times New Roman" w:hAnsi="Times New Roman"/>
                <w:sz w:val="18"/>
                <w:szCs w:val="18"/>
              </w:rPr>
              <w:t>2.2</w:t>
            </w:r>
          </w:p>
        </w:tc>
        <w:tc>
          <w:tcPr>
            <w:tcW w:w="3812" w:type="dxa"/>
            <w:shd w:val="clear" w:color="auto" w:fill="auto"/>
            <w:vAlign w:val="center"/>
            <w:hideMark/>
          </w:tcPr>
          <w:p w14:paraId="55BF876E" w14:textId="77777777" w:rsidR="00626001" w:rsidRPr="00B0658A" w:rsidRDefault="00626001" w:rsidP="00004A41">
            <w:pPr>
              <w:spacing w:after="0" w:line="240" w:lineRule="auto"/>
              <w:rPr>
                <w:rFonts w:ascii="Times New Roman" w:hAnsi="Times New Roman"/>
                <w:sz w:val="18"/>
                <w:szCs w:val="18"/>
              </w:rPr>
            </w:pPr>
            <w:r w:rsidRPr="00B0658A">
              <w:rPr>
                <w:rFonts w:ascii="Times New Roman" w:hAnsi="Times New Roman"/>
                <w:sz w:val="18"/>
                <w:szCs w:val="18"/>
              </w:rPr>
              <w:t>Системное программное обеспечение/ Программы обслуживания</w:t>
            </w:r>
          </w:p>
        </w:tc>
        <w:tc>
          <w:tcPr>
            <w:tcW w:w="1842" w:type="dxa"/>
            <w:shd w:val="clear" w:color="000000" w:fill="FFFFFF"/>
            <w:hideMark/>
          </w:tcPr>
          <w:p w14:paraId="2FBB7B40" w14:textId="77777777" w:rsidR="00626001" w:rsidRPr="00B0658A" w:rsidRDefault="00626001" w:rsidP="00004A41">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79" w:type="dxa"/>
            <w:shd w:val="clear" w:color="000000" w:fill="FFFFFF"/>
            <w:vAlign w:val="center"/>
          </w:tcPr>
          <w:p w14:paraId="46741C7E"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000000" w:fill="FFFFFF"/>
            <w:vAlign w:val="center"/>
            <w:hideMark/>
          </w:tcPr>
          <w:p w14:paraId="6F75EA3B"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000000" w:fill="FFFFFF"/>
            <w:vAlign w:val="center"/>
            <w:hideMark/>
          </w:tcPr>
          <w:p w14:paraId="19A7DF2F"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000000" w:fill="FFFFFF"/>
            <w:vAlign w:val="center"/>
            <w:hideMark/>
          </w:tcPr>
          <w:p w14:paraId="5829CA64" w14:textId="77777777" w:rsidR="00626001" w:rsidRPr="00B0658A" w:rsidRDefault="00626001" w:rsidP="00004A41">
            <w:pPr>
              <w:spacing w:after="0" w:line="240" w:lineRule="auto"/>
              <w:jc w:val="center"/>
              <w:rPr>
                <w:rFonts w:ascii="Times New Roman" w:hAnsi="Times New Roman"/>
                <w:sz w:val="18"/>
                <w:szCs w:val="18"/>
              </w:rPr>
            </w:pPr>
          </w:p>
        </w:tc>
        <w:tc>
          <w:tcPr>
            <w:tcW w:w="992" w:type="dxa"/>
            <w:shd w:val="clear" w:color="000000" w:fill="FFFFFF"/>
            <w:vAlign w:val="center"/>
          </w:tcPr>
          <w:p w14:paraId="564640A2" w14:textId="77777777" w:rsidR="00626001" w:rsidRPr="00B0658A" w:rsidRDefault="00626001" w:rsidP="00004A41">
            <w:pPr>
              <w:spacing w:after="0" w:line="240" w:lineRule="auto"/>
              <w:jc w:val="center"/>
              <w:rPr>
                <w:rFonts w:ascii="Times New Roman" w:hAnsi="Times New Roman"/>
                <w:sz w:val="18"/>
                <w:szCs w:val="18"/>
              </w:rPr>
            </w:pPr>
          </w:p>
        </w:tc>
        <w:tc>
          <w:tcPr>
            <w:tcW w:w="803" w:type="dxa"/>
            <w:shd w:val="clear" w:color="000000" w:fill="FFFFFF"/>
            <w:vAlign w:val="center"/>
            <w:hideMark/>
          </w:tcPr>
          <w:p w14:paraId="602A6CAD" w14:textId="77777777" w:rsidR="00626001" w:rsidRPr="00B0658A" w:rsidRDefault="00626001" w:rsidP="00004A41">
            <w:pPr>
              <w:spacing w:after="0" w:line="240" w:lineRule="auto"/>
              <w:jc w:val="center"/>
              <w:rPr>
                <w:rFonts w:ascii="Times New Roman" w:hAnsi="Times New Roman"/>
                <w:sz w:val="18"/>
                <w:szCs w:val="18"/>
              </w:rPr>
            </w:pPr>
          </w:p>
        </w:tc>
        <w:tc>
          <w:tcPr>
            <w:tcW w:w="803" w:type="dxa"/>
            <w:shd w:val="clear" w:color="000000" w:fill="FFFFFF"/>
            <w:vAlign w:val="center"/>
            <w:hideMark/>
          </w:tcPr>
          <w:p w14:paraId="56982348" w14:textId="77777777" w:rsidR="00626001" w:rsidRPr="00B0658A" w:rsidRDefault="00626001" w:rsidP="00004A41">
            <w:pPr>
              <w:spacing w:after="0" w:line="240" w:lineRule="auto"/>
              <w:jc w:val="center"/>
              <w:rPr>
                <w:rFonts w:ascii="Times New Roman" w:hAnsi="Times New Roman"/>
                <w:sz w:val="18"/>
                <w:szCs w:val="18"/>
              </w:rPr>
            </w:pPr>
          </w:p>
        </w:tc>
        <w:tc>
          <w:tcPr>
            <w:tcW w:w="804" w:type="dxa"/>
            <w:shd w:val="clear" w:color="000000" w:fill="FFFFFF"/>
            <w:vAlign w:val="center"/>
            <w:hideMark/>
          </w:tcPr>
          <w:p w14:paraId="258E535B" w14:textId="77777777" w:rsidR="00626001" w:rsidRPr="00B0658A" w:rsidRDefault="00626001" w:rsidP="00004A41">
            <w:pPr>
              <w:spacing w:after="0" w:line="240" w:lineRule="auto"/>
              <w:jc w:val="center"/>
              <w:rPr>
                <w:rFonts w:ascii="Times New Roman" w:hAnsi="Times New Roman"/>
                <w:sz w:val="18"/>
                <w:szCs w:val="18"/>
              </w:rPr>
            </w:pPr>
          </w:p>
        </w:tc>
        <w:tc>
          <w:tcPr>
            <w:tcW w:w="1530" w:type="dxa"/>
            <w:shd w:val="clear" w:color="000000" w:fill="FFFFFF"/>
            <w:vAlign w:val="center"/>
          </w:tcPr>
          <w:p w14:paraId="60208780" w14:textId="77777777" w:rsidR="00626001" w:rsidRPr="00B0658A" w:rsidRDefault="00626001" w:rsidP="00004A41">
            <w:pPr>
              <w:spacing w:after="0" w:line="240" w:lineRule="auto"/>
              <w:jc w:val="center"/>
              <w:rPr>
                <w:rFonts w:ascii="Times New Roman" w:hAnsi="Times New Roman"/>
                <w:sz w:val="18"/>
                <w:szCs w:val="18"/>
              </w:rPr>
            </w:pPr>
          </w:p>
        </w:tc>
      </w:tr>
      <w:tr w:rsidR="00F52FED" w:rsidRPr="00B0658A" w14:paraId="29240DF3" w14:textId="77777777" w:rsidTr="000103BB">
        <w:trPr>
          <w:trHeight w:val="20"/>
        </w:trPr>
        <w:tc>
          <w:tcPr>
            <w:tcW w:w="578" w:type="dxa"/>
            <w:shd w:val="clear" w:color="000000" w:fill="FFFFFF"/>
            <w:vAlign w:val="center"/>
          </w:tcPr>
          <w:p w14:paraId="6CD145E5" w14:textId="77777777" w:rsidR="00626001" w:rsidRPr="00B0658A" w:rsidRDefault="00626001" w:rsidP="00004A41">
            <w:pPr>
              <w:spacing w:after="0" w:line="240" w:lineRule="auto"/>
              <w:jc w:val="center"/>
              <w:rPr>
                <w:rFonts w:ascii="Times New Roman" w:hAnsi="Times New Roman"/>
                <w:sz w:val="18"/>
                <w:szCs w:val="18"/>
                <w:lang w:val="en-US"/>
              </w:rPr>
            </w:pPr>
            <w:r w:rsidRPr="00B0658A">
              <w:rPr>
                <w:rFonts w:ascii="Times New Roman" w:hAnsi="Times New Roman"/>
                <w:sz w:val="18"/>
                <w:szCs w:val="18"/>
                <w:lang w:val="en-US"/>
              </w:rPr>
              <w:t>2.3</w:t>
            </w:r>
          </w:p>
        </w:tc>
        <w:tc>
          <w:tcPr>
            <w:tcW w:w="3812" w:type="dxa"/>
            <w:shd w:val="clear" w:color="auto" w:fill="auto"/>
            <w:vAlign w:val="center"/>
            <w:hideMark/>
          </w:tcPr>
          <w:p w14:paraId="3373623F" w14:textId="77777777" w:rsidR="00626001" w:rsidRPr="00B0658A" w:rsidRDefault="00626001" w:rsidP="00004A41">
            <w:pPr>
              <w:spacing w:after="0" w:line="240" w:lineRule="auto"/>
              <w:rPr>
                <w:rFonts w:ascii="Times New Roman" w:hAnsi="Times New Roman"/>
                <w:sz w:val="18"/>
                <w:szCs w:val="18"/>
              </w:rPr>
            </w:pPr>
            <w:r w:rsidRPr="00B0658A">
              <w:rPr>
                <w:rFonts w:ascii="Times New Roman" w:hAnsi="Times New Roman"/>
                <w:sz w:val="18"/>
                <w:szCs w:val="18"/>
              </w:rPr>
              <w:t>Средства обеспечения облачных и распределенных вычислений</w:t>
            </w:r>
          </w:p>
        </w:tc>
        <w:tc>
          <w:tcPr>
            <w:tcW w:w="1842" w:type="dxa"/>
            <w:shd w:val="clear" w:color="000000" w:fill="FFFFFF"/>
            <w:hideMark/>
          </w:tcPr>
          <w:p w14:paraId="6C8CCEB2" w14:textId="77777777" w:rsidR="00626001" w:rsidRPr="00B0658A" w:rsidRDefault="00626001" w:rsidP="00004A41">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79" w:type="dxa"/>
            <w:shd w:val="clear" w:color="000000" w:fill="FFFFFF"/>
            <w:vAlign w:val="center"/>
          </w:tcPr>
          <w:p w14:paraId="70E26B43"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000000" w:fill="FFFFFF"/>
            <w:vAlign w:val="center"/>
            <w:hideMark/>
          </w:tcPr>
          <w:p w14:paraId="3939D90F"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000000" w:fill="FFFFFF"/>
            <w:vAlign w:val="center"/>
            <w:hideMark/>
          </w:tcPr>
          <w:p w14:paraId="7B48E7B1"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000000" w:fill="FFFFFF"/>
            <w:vAlign w:val="center"/>
            <w:hideMark/>
          </w:tcPr>
          <w:p w14:paraId="36ED69F0" w14:textId="77777777" w:rsidR="00626001" w:rsidRPr="00B0658A" w:rsidRDefault="00626001" w:rsidP="00004A41">
            <w:pPr>
              <w:spacing w:after="0" w:line="240" w:lineRule="auto"/>
              <w:jc w:val="center"/>
              <w:rPr>
                <w:rFonts w:ascii="Times New Roman" w:hAnsi="Times New Roman"/>
                <w:sz w:val="18"/>
                <w:szCs w:val="18"/>
              </w:rPr>
            </w:pPr>
          </w:p>
        </w:tc>
        <w:tc>
          <w:tcPr>
            <w:tcW w:w="992" w:type="dxa"/>
            <w:shd w:val="clear" w:color="000000" w:fill="FFFFFF"/>
            <w:vAlign w:val="center"/>
          </w:tcPr>
          <w:p w14:paraId="4D05E0BF" w14:textId="77777777" w:rsidR="00626001" w:rsidRPr="00B0658A" w:rsidRDefault="00626001" w:rsidP="00004A41">
            <w:pPr>
              <w:spacing w:after="0" w:line="240" w:lineRule="auto"/>
              <w:jc w:val="center"/>
              <w:rPr>
                <w:rFonts w:ascii="Times New Roman" w:hAnsi="Times New Roman"/>
                <w:sz w:val="18"/>
                <w:szCs w:val="18"/>
              </w:rPr>
            </w:pPr>
          </w:p>
        </w:tc>
        <w:tc>
          <w:tcPr>
            <w:tcW w:w="803" w:type="dxa"/>
            <w:shd w:val="clear" w:color="000000" w:fill="FFFFFF"/>
            <w:vAlign w:val="center"/>
            <w:hideMark/>
          </w:tcPr>
          <w:p w14:paraId="758BE0F1" w14:textId="77777777" w:rsidR="00626001" w:rsidRPr="00B0658A" w:rsidRDefault="00626001" w:rsidP="00004A41">
            <w:pPr>
              <w:spacing w:after="0" w:line="240" w:lineRule="auto"/>
              <w:jc w:val="center"/>
              <w:rPr>
                <w:rFonts w:ascii="Times New Roman" w:hAnsi="Times New Roman"/>
                <w:sz w:val="18"/>
                <w:szCs w:val="18"/>
              </w:rPr>
            </w:pPr>
          </w:p>
        </w:tc>
        <w:tc>
          <w:tcPr>
            <w:tcW w:w="803" w:type="dxa"/>
            <w:shd w:val="clear" w:color="000000" w:fill="FFFFFF"/>
            <w:vAlign w:val="center"/>
            <w:hideMark/>
          </w:tcPr>
          <w:p w14:paraId="12416A6D" w14:textId="77777777" w:rsidR="00626001" w:rsidRPr="00B0658A" w:rsidRDefault="00626001" w:rsidP="00004A41">
            <w:pPr>
              <w:spacing w:after="0" w:line="240" w:lineRule="auto"/>
              <w:jc w:val="center"/>
              <w:rPr>
                <w:rFonts w:ascii="Times New Roman" w:hAnsi="Times New Roman"/>
                <w:sz w:val="18"/>
                <w:szCs w:val="18"/>
              </w:rPr>
            </w:pPr>
          </w:p>
        </w:tc>
        <w:tc>
          <w:tcPr>
            <w:tcW w:w="804" w:type="dxa"/>
            <w:shd w:val="clear" w:color="000000" w:fill="FFFFFF"/>
            <w:vAlign w:val="center"/>
            <w:hideMark/>
          </w:tcPr>
          <w:p w14:paraId="729C8839" w14:textId="77777777" w:rsidR="00626001" w:rsidRPr="00B0658A" w:rsidRDefault="00626001" w:rsidP="00004A41">
            <w:pPr>
              <w:spacing w:after="0" w:line="240" w:lineRule="auto"/>
              <w:jc w:val="center"/>
              <w:rPr>
                <w:rFonts w:ascii="Times New Roman" w:hAnsi="Times New Roman"/>
                <w:sz w:val="18"/>
                <w:szCs w:val="18"/>
              </w:rPr>
            </w:pPr>
          </w:p>
        </w:tc>
        <w:tc>
          <w:tcPr>
            <w:tcW w:w="1530" w:type="dxa"/>
            <w:shd w:val="clear" w:color="000000" w:fill="FFFFFF"/>
            <w:vAlign w:val="center"/>
          </w:tcPr>
          <w:p w14:paraId="7A22EE7C" w14:textId="77777777" w:rsidR="00626001" w:rsidRPr="00B0658A" w:rsidRDefault="00626001" w:rsidP="00004A41">
            <w:pPr>
              <w:spacing w:after="0" w:line="240" w:lineRule="auto"/>
              <w:jc w:val="center"/>
              <w:rPr>
                <w:rFonts w:ascii="Times New Roman" w:hAnsi="Times New Roman"/>
                <w:sz w:val="18"/>
                <w:szCs w:val="18"/>
              </w:rPr>
            </w:pPr>
          </w:p>
        </w:tc>
      </w:tr>
      <w:tr w:rsidR="00F52FED" w:rsidRPr="00B0658A" w14:paraId="732C0BC8" w14:textId="77777777" w:rsidTr="000103BB">
        <w:trPr>
          <w:trHeight w:val="20"/>
        </w:trPr>
        <w:tc>
          <w:tcPr>
            <w:tcW w:w="578" w:type="dxa"/>
            <w:shd w:val="clear" w:color="000000" w:fill="FFFFFF"/>
            <w:vAlign w:val="center"/>
          </w:tcPr>
          <w:p w14:paraId="6737E357" w14:textId="77777777" w:rsidR="00626001" w:rsidRPr="00B0658A" w:rsidRDefault="00626001" w:rsidP="00004A41">
            <w:pPr>
              <w:spacing w:after="0" w:line="240" w:lineRule="auto"/>
              <w:jc w:val="center"/>
              <w:rPr>
                <w:rFonts w:ascii="Times New Roman" w:hAnsi="Times New Roman"/>
                <w:sz w:val="18"/>
                <w:szCs w:val="18"/>
              </w:rPr>
            </w:pPr>
            <w:r w:rsidRPr="00B0658A">
              <w:rPr>
                <w:rFonts w:ascii="Times New Roman" w:hAnsi="Times New Roman"/>
                <w:sz w:val="18"/>
                <w:szCs w:val="18"/>
              </w:rPr>
              <w:t>2.4</w:t>
            </w:r>
          </w:p>
        </w:tc>
        <w:tc>
          <w:tcPr>
            <w:tcW w:w="3812" w:type="dxa"/>
            <w:shd w:val="clear" w:color="auto" w:fill="auto"/>
            <w:vAlign w:val="center"/>
            <w:hideMark/>
          </w:tcPr>
          <w:p w14:paraId="6619660E" w14:textId="77777777" w:rsidR="00626001" w:rsidRPr="00B0658A" w:rsidRDefault="00626001" w:rsidP="00004A41">
            <w:pPr>
              <w:spacing w:after="0" w:line="240" w:lineRule="auto"/>
              <w:rPr>
                <w:rFonts w:ascii="Times New Roman" w:hAnsi="Times New Roman"/>
                <w:sz w:val="18"/>
                <w:szCs w:val="18"/>
              </w:rPr>
            </w:pPr>
            <w:r w:rsidRPr="00B0658A">
              <w:rPr>
                <w:rFonts w:ascii="Times New Roman" w:hAnsi="Times New Roman"/>
                <w:sz w:val="18"/>
                <w:szCs w:val="18"/>
              </w:rPr>
              <w:t>Системное программное обеспечение / Средства виртуализации</w:t>
            </w:r>
          </w:p>
        </w:tc>
        <w:tc>
          <w:tcPr>
            <w:tcW w:w="1842" w:type="dxa"/>
            <w:shd w:val="clear" w:color="000000" w:fill="FFFFFF"/>
            <w:hideMark/>
          </w:tcPr>
          <w:p w14:paraId="776D250A" w14:textId="77777777" w:rsidR="00626001" w:rsidRPr="00B0658A" w:rsidRDefault="00626001" w:rsidP="00004A41">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79" w:type="dxa"/>
            <w:shd w:val="clear" w:color="000000" w:fill="FFFFFF"/>
            <w:vAlign w:val="center"/>
          </w:tcPr>
          <w:p w14:paraId="3132D770"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000000" w:fill="FFFFFF"/>
            <w:vAlign w:val="center"/>
            <w:hideMark/>
          </w:tcPr>
          <w:p w14:paraId="067F9F42"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000000" w:fill="FFFFFF"/>
            <w:vAlign w:val="center"/>
            <w:hideMark/>
          </w:tcPr>
          <w:p w14:paraId="690D69F6"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000000" w:fill="FFFFFF"/>
            <w:vAlign w:val="center"/>
            <w:hideMark/>
          </w:tcPr>
          <w:p w14:paraId="42A6EB0B" w14:textId="77777777" w:rsidR="00626001" w:rsidRPr="00B0658A" w:rsidRDefault="00626001" w:rsidP="00004A41">
            <w:pPr>
              <w:spacing w:after="0" w:line="240" w:lineRule="auto"/>
              <w:jc w:val="center"/>
              <w:rPr>
                <w:rFonts w:ascii="Times New Roman" w:hAnsi="Times New Roman"/>
                <w:sz w:val="18"/>
                <w:szCs w:val="18"/>
              </w:rPr>
            </w:pPr>
          </w:p>
        </w:tc>
        <w:tc>
          <w:tcPr>
            <w:tcW w:w="992" w:type="dxa"/>
            <w:shd w:val="clear" w:color="000000" w:fill="FFFFFF"/>
            <w:vAlign w:val="center"/>
          </w:tcPr>
          <w:p w14:paraId="1893D552" w14:textId="77777777" w:rsidR="00626001" w:rsidRPr="00B0658A" w:rsidRDefault="00626001" w:rsidP="00004A41">
            <w:pPr>
              <w:spacing w:after="0" w:line="240" w:lineRule="auto"/>
              <w:jc w:val="center"/>
              <w:rPr>
                <w:rFonts w:ascii="Times New Roman" w:hAnsi="Times New Roman"/>
                <w:sz w:val="18"/>
                <w:szCs w:val="18"/>
              </w:rPr>
            </w:pPr>
          </w:p>
        </w:tc>
        <w:tc>
          <w:tcPr>
            <w:tcW w:w="803" w:type="dxa"/>
            <w:shd w:val="clear" w:color="000000" w:fill="FFFFFF"/>
            <w:vAlign w:val="center"/>
            <w:hideMark/>
          </w:tcPr>
          <w:p w14:paraId="7A6B79D6" w14:textId="77777777" w:rsidR="00626001" w:rsidRPr="00B0658A" w:rsidRDefault="00626001" w:rsidP="00004A41">
            <w:pPr>
              <w:spacing w:after="0" w:line="240" w:lineRule="auto"/>
              <w:jc w:val="center"/>
              <w:rPr>
                <w:rFonts w:ascii="Times New Roman" w:hAnsi="Times New Roman"/>
                <w:sz w:val="18"/>
                <w:szCs w:val="18"/>
              </w:rPr>
            </w:pPr>
          </w:p>
        </w:tc>
        <w:tc>
          <w:tcPr>
            <w:tcW w:w="803" w:type="dxa"/>
            <w:shd w:val="clear" w:color="000000" w:fill="FFFFFF"/>
            <w:vAlign w:val="center"/>
            <w:hideMark/>
          </w:tcPr>
          <w:p w14:paraId="082DF8C9" w14:textId="77777777" w:rsidR="00626001" w:rsidRPr="00B0658A" w:rsidRDefault="00626001" w:rsidP="00004A41">
            <w:pPr>
              <w:spacing w:after="0" w:line="240" w:lineRule="auto"/>
              <w:jc w:val="center"/>
              <w:rPr>
                <w:rFonts w:ascii="Times New Roman" w:hAnsi="Times New Roman"/>
                <w:sz w:val="18"/>
                <w:szCs w:val="18"/>
              </w:rPr>
            </w:pPr>
          </w:p>
        </w:tc>
        <w:tc>
          <w:tcPr>
            <w:tcW w:w="804" w:type="dxa"/>
            <w:shd w:val="clear" w:color="000000" w:fill="FFFFFF"/>
            <w:vAlign w:val="center"/>
            <w:hideMark/>
          </w:tcPr>
          <w:p w14:paraId="66ADFC2D" w14:textId="77777777" w:rsidR="00626001" w:rsidRPr="00B0658A" w:rsidRDefault="00626001" w:rsidP="00004A41">
            <w:pPr>
              <w:spacing w:after="0" w:line="240" w:lineRule="auto"/>
              <w:jc w:val="center"/>
              <w:rPr>
                <w:rFonts w:ascii="Times New Roman" w:hAnsi="Times New Roman"/>
                <w:sz w:val="18"/>
                <w:szCs w:val="18"/>
              </w:rPr>
            </w:pPr>
          </w:p>
        </w:tc>
        <w:tc>
          <w:tcPr>
            <w:tcW w:w="1530" w:type="dxa"/>
            <w:shd w:val="clear" w:color="000000" w:fill="FFFFFF"/>
            <w:vAlign w:val="center"/>
          </w:tcPr>
          <w:p w14:paraId="3BB03D4A" w14:textId="77777777" w:rsidR="00626001" w:rsidRPr="00B0658A" w:rsidRDefault="00626001" w:rsidP="00004A41">
            <w:pPr>
              <w:spacing w:after="0" w:line="240" w:lineRule="auto"/>
              <w:jc w:val="center"/>
              <w:rPr>
                <w:rFonts w:ascii="Times New Roman" w:hAnsi="Times New Roman"/>
                <w:sz w:val="18"/>
                <w:szCs w:val="18"/>
              </w:rPr>
            </w:pPr>
          </w:p>
        </w:tc>
      </w:tr>
      <w:tr w:rsidR="00F52FED" w:rsidRPr="00B0658A" w14:paraId="2F9AA03B" w14:textId="77777777" w:rsidTr="000103BB">
        <w:trPr>
          <w:trHeight w:val="20"/>
        </w:trPr>
        <w:tc>
          <w:tcPr>
            <w:tcW w:w="578" w:type="dxa"/>
            <w:shd w:val="clear" w:color="000000" w:fill="FFFFFF"/>
            <w:vAlign w:val="center"/>
          </w:tcPr>
          <w:p w14:paraId="7BCCF7EE" w14:textId="77777777" w:rsidR="00626001" w:rsidRPr="00B0658A" w:rsidRDefault="00626001" w:rsidP="00004A41">
            <w:pPr>
              <w:spacing w:after="0" w:line="240" w:lineRule="auto"/>
              <w:jc w:val="center"/>
              <w:rPr>
                <w:rFonts w:ascii="Times New Roman" w:hAnsi="Times New Roman"/>
                <w:sz w:val="18"/>
                <w:szCs w:val="18"/>
              </w:rPr>
            </w:pPr>
            <w:r w:rsidRPr="00B0658A">
              <w:rPr>
                <w:rFonts w:ascii="Times New Roman" w:hAnsi="Times New Roman"/>
                <w:sz w:val="18"/>
                <w:szCs w:val="18"/>
              </w:rPr>
              <w:t>2.5</w:t>
            </w:r>
          </w:p>
        </w:tc>
        <w:tc>
          <w:tcPr>
            <w:tcW w:w="3812" w:type="dxa"/>
            <w:shd w:val="clear" w:color="auto" w:fill="auto"/>
            <w:vAlign w:val="center"/>
            <w:hideMark/>
          </w:tcPr>
          <w:p w14:paraId="01506478" w14:textId="77777777" w:rsidR="00626001" w:rsidRPr="00B0658A" w:rsidRDefault="00626001" w:rsidP="00004A41">
            <w:pPr>
              <w:spacing w:after="0" w:line="240" w:lineRule="auto"/>
              <w:rPr>
                <w:rFonts w:ascii="Times New Roman" w:hAnsi="Times New Roman"/>
                <w:sz w:val="18"/>
                <w:szCs w:val="18"/>
              </w:rPr>
            </w:pPr>
            <w:r w:rsidRPr="00B0658A">
              <w:rPr>
                <w:rFonts w:ascii="Times New Roman" w:hAnsi="Times New Roman"/>
                <w:sz w:val="18"/>
                <w:szCs w:val="18"/>
              </w:rPr>
              <w:t>Системное программное обеспечение/ Средства хранения данных</w:t>
            </w:r>
          </w:p>
        </w:tc>
        <w:tc>
          <w:tcPr>
            <w:tcW w:w="1842" w:type="dxa"/>
            <w:shd w:val="clear" w:color="000000" w:fill="FFFFFF"/>
            <w:hideMark/>
          </w:tcPr>
          <w:p w14:paraId="042AFE94" w14:textId="77777777" w:rsidR="00626001" w:rsidRPr="00B0658A" w:rsidRDefault="00626001" w:rsidP="00004A41">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79" w:type="dxa"/>
            <w:shd w:val="clear" w:color="000000" w:fill="FFFFFF"/>
            <w:vAlign w:val="center"/>
          </w:tcPr>
          <w:p w14:paraId="007522FA"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000000" w:fill="FFFFFF"/>
            <w:vAlign w:val="center"/>
            <w:hideMark/>
          </w:tcPr>
          <w:p w14:paraId="28CB7A11"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000000" w:fill="FFFFFF"/>
            <w:vAlign w:val="center"/>
            <w:hideMark/>
          </w:tcPr>
          <w:p w14:paraId="21169CF2"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000000" w:fill="FFFFFF"/>
            <w:vAlign w:val="center"/>
            <w:hideMark/>
          </w:tcPr>
          <w:p w14:paraId="7B8FB75B" w14:textId="77777777" w:rsidR="00626001" w:rsidRPr="00B0658A" w:rsidRDefault="00626001" w:rsidP="00004A41">
            <w:pPr>
              <w:spacing w:after="0" w:line="240" w:lineRule="auto"/>
              <w:jc w:val="center"/>
              <w:rPr>
                <w:rFonts w:ascii="Times New Roman" w:hAnsi="Times New Roman"/>
                <w:sz w:val="18"/>
                <w:szCs w:val="18"/>
              </w:rPr>
            </w:pPr>
          </w:p>
        </w:tc>
        <w:tc>
          <w:tcPr>
            <w:tcW w:w="992" w:type="dxa"/>
            <w:shd w:val="clear" w:color="000000" w:fill="FFFFFF"/>
            <w:vAlign w:val="center"/>
          </w:tcPr>
          <w:p w14:paraId="537A1289" w14:textId="77777777" w:rsidR="00626001" w:rsidRPr="00B0658A" w:rsidRDefault="00626001" w:rsidP="00004A41">
            <w:pPr>
              <w:spacing w:after="0" w:line="240" w:lineRule="auto"/>
              <w:jc w:val="center"/>
              <w:rPr>
                <w:rFonts w:ascii="Times New Roman" w:hAnsi="Times New Roman"/>
                <w:sz w:val="18"/>
                <w:szCs w:val="18"/>
              </w:rPr>
            </w:pPr>
          </w:p>
        </w:tc>
        <w:tc>
          <w:tcPr>
            <w:tcW w:w="803" w:type="dxa"/>
            <w:shd w:val="clear" w:color="000000" w:fill="FFFFFF"/>
            <w:vAlign w:val="center"/>
            <w:hideMark/>
          </w:tcPr>
          <w:p w14:paraId="0D25E65E" w14:textId="77777777" w:rsidR="00626001" w:rsidRPr="00B0658A" w:rsidRDefault="00626001" w:rsidP="00004A41">
            <w:pPr>
              <w:spacing w:after="0" w:line="240" w:lineRule="auto"/>
              <w:jc w:val="center"/>
              <w:rPr>
                <w:rFonts w:ascii="Times New Roman" w:hAnsi="Times New Roman"/>
                <w:sz w:val="18"/>
                <w:szCs w:val="18"/>
              </w:rPr>
            </w:pPr>
          </w:p>
        </w:tc>
        <w:tc>
          <w:tcPr>
            <w:tcW w:w="803" w:type="dxa"/>
            <w:shd w:val="clear" w:color="000000" w:fill="FFFFFF"/>
            <w:vAlign w:val="center"/>
            <w:hideMark/>
          </w:tcPr>
          <w:p w14:paraId="02035A67" w14:textId="77777777" w:rsidR="00626001" w:rsidRPr="00B0658A" w:rsidRDefault="00626001" w:rsidP="00004A41">
            <w:pPr>
              <w:spacing w:after="0" w:line="240" w:lineRule="auto"/>
              <w:jc w:val="center"/>
              <w:rPr>
                <w:rFonts w:ascii="Times New Roman" w:hAnsi="Times New Roman"/>
                <w:sz w:val="18"/>
                <w:szCs w:val="18"/>
              </w:rPr>
            </w:pPr>
          </w:p>
        </w:tc>
        <w:tc>
          <w:tcPr>
            <w:tcW w:w="804" w:type="dxa"/>
            <w:shd w:val="clear" w:color="000000" w:fill="FFFFFF"/>
            <w:vAlign w:val="center"/>
            <w:hideMark/>
          </w:tcPr>
          <w:p w14:paraId="55AFC203" w14:textId="77777777" w:rsidR="00626001" w:rsidRPr="00B0658A" w:rsidRDefault="00626001" w:rsidP="00004A41">
            <w:pPr>
              <w:spacing w:after="0" w:line="240" w:lineRule="auto"/>
              <w:jc w:val="center"/>
              <w:rPr>
                <w:rFonts w:ascii="Times New Roman" w:hAnsi="Times New Roman"/>
                <w:sz w:val="18"/>
                <w:szCs w:val="18"/>
              </w:rPr>
            </w:pPr>
          </w:p>
        </w:tc>
        <w:tc>
          <w:tcPr>
            <w:tcW w:w="1530" w:type="dxa"/>
            <w:shd w:val="clear" w:color="000000" w:fill="FFFFFF"/>
            <w:vAlign w:val="center"/>
          </w:tcPr>
          <w:p w14:paraId="52B2C774" w14:textId="77777777" w:rsidR="00626001" w:rsidRPr="00B0658A" w:rsidRDefault="00626001" w:rsidP="00004A41">
            <w:pPr>
              <w:spacing w:after="0" w:line="240" w:lineRule="auto"/>
              <w:jc w:val="center"/>
              <w:rPr>
                <w:rFonts w:ascii="Times New Roman" w:hAnsi="Times New Roman"/>
                <w:sz w:val="18"/>
                <w:szCs w:val="18"/>
              </w:rPr>
            </w:pPr>
          </w:p>
        </w:tc>
      </w:tr>
      <w:tr w:rsidR="00F52FED" w:rsidRPr="00B0658A" w14:paraId="7492A0BD" w14:textId="77777777" w:rsidTr="000103BB">
        <w:trPr>
          <w:trHeight w:val="20"/>
        </w:trPr>
        <w:tc>
          <w:tcPr>
            <w:tcW w:w="578" w:type="dxa"/>
            <w:shd w:val="clear" w:color="000000" w:fill="FFFFFF"/>
            <w:vAlign w:val="center"/>
          </w:tcPr>
          <w:p w14:paraId="5A01D145" w14:textId="77777777" w:rsidR="00626001" w:rsidRPr="00B0658A" w:rsidRDefault="00626001" w:rsidP="00004A41">
            <w:pPr>
              <w:spacing w:after="0" w:line="240" w:lineRule="auto"/>
              <w:jc w:val="center"/>
              <w:rPr>
                <w:rFonts w:ascii="Times New Roman" w:hAnsi="Times New Roman"/>
                <w:sz w:val="18"/>
                <w:szCs w:val="18"/>
              </w:rPr>
            </w:pPr>
            <w:r w:rsidRPr="00B0658A">
              <w:rPr>
                <w:rFonts w:ascii="Times New Roman" w:hAnsi="Times New Roman"/>
                <w:sz w:val="18"/>
                <w:szCs w:val="18"/>
              </w:rPr>
              <w:t>2.6</w:t>
            </w:r>
          </w:p>
        </w:tc>
        <w:tc>
          <w:tcPr>
            <w:tcW w:w="3812" w:type="dxa"/>
            <w:shd w:val="clear" w:color="auto" w:fill="auto"/>
            <w:vAlign w:val="center"/>
            <w:hideMark/>
          </w:tcPr>
          <w:p w14:paraId="12C63C1B" w14:textId="77777777" w:rsidR="00626001" w:rsidRPr="00B0658A" w:rsidRDefault="00626001" w:rsidP="00004A41">
            <w:pPr>
              <w:spacing w:after="0" w:line="240" w:lineRule="auto"/>
              <w:rPr>
                <w:rFonts w:ascii="Times New Roman" w:hAnsi="Times New Roman"/>
                <w:sz w:val="18"/>
                <w:szCs w:val="18"/>
              </w:rPr>
            </w:pPr>
            <w:r w:rsidRPr="00B0658A">
              <w:rPr>
                <w:rFonts w:ascii="Times New Roman" w:hAnsi="Times New Roman"/>
                <w:sz w:val="18"/>
                <w:szCs w:val="18"/>
              </w:rPr>
              <w:t>Системное программное обеспечение / Серверное и связующее программное обеспечение</w:t>
            </w:r>
          </w:p>
        </w:tc>
        <w:tc>
          <w:tcPr>
            <w:tcW w:w="1842" w:type="dxa"/>
            <w:shd w:val="clear" w:color="000000" w:fill="FFFFFF"/>
            <w:hideMark/>
          </w:tcPr>
          <w:p w14:paraId="59FC8AD5" w14:textId="77777777" w:rsidR="00626001" w:rsidRPr="00B0658A" w:rsidRDefault="00626001" w:rsidP="00004A41">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79" w:type="dxa"/>
            <w:shd w:val="clear" w:color="000000" w:fill="FFFFFF"/>
            <w:vAlign w:val="center"/>
          </w:tcPr>
          <w:p w14:paraId="486701F8"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000000" w:fill="FFFFFF"/>
            <w:vAlign w:val="center"/>
            <w:hideMark/>
          </w:tcPr>
          <w:p w14:paraId="32C352D9"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000000" w:fill="FFFFFF"/>
            <w:vAlign w:val="center"/>
            <w:hideMark/>
          </w:tcPr>
          <w:p w14:paraId="0A4E1AD0"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000000" w:fill="FFFFFF"/>
            <w:vAlign w:val="center"/>
            <w:hideMark/>
          </w:tcPr>
          <w:p w14:paraId="71675814" w14:textId="77777777" w:rsidR="00626001" w:rsidRPr="00B0658A" w:rsidRDefault="00626001" w:rsidP="00004A41">
            <w:pPr>
              <w:spacing w:after="0" w:line="240" w:lineRule="auto"/>
              <w:jc w:val="center"/>
              <w:rPr>
                <w:rFonts w:ascii="Times New Roman" w:hAnsi="Times New Roman"/>
                <w:sz w:val="18"/>
                <w:szCs w:val="18"/>
              </w:rPr>
            </w:pPr>
          </w:p>
        </w:tc>
        <w:tc>
          <w:tcPr>
            <w:tcW w:w="992" w:type="dxa"/>
            <w:shd w:val="clear" w:color="000000" w:fill="FFFFFF"/>
            <w:vAlign w:val="center"/>
          </w:tcPr>
          <w:p w14:paraId="24AAF226" w14:textId="77777777" w:rsidR="00626001" w:rsidRPr="00B0658A" w:rsidRDefault="00626001" w:rsidP="00004A41">
            <w:pPr>
              <w:spacing w:after="0" w:line="240" w:lineRule="auto"/>
              <w:jc w:val="center"/>
              <w:rPr>
                <w:rFonts w:ascii="Times New Roman" w:hAnsi="Times New Roman"/>
                <w:sz w:val="18"/>
                <w:szCs w:val="18"/>
              </w:rPr>
            </w:pPr>
          </w:p>
        </w:tc>
        <w:tc>
          <w:tcPr>
            <w:tcW w:w="803" w:type="dxa"/>
            <w:shd w:val="clear" w:color="000000" w:fill="FFFFFF"/>
            <w:vAlign w:val="center"/>
            <w:hideMark/>
          </w:tcPr>
          <w:p w14:paraId="4D187172" w14:textId="77777777" w:rsidR="00626001" w:rsidRPr="00B0658A" w:rsidRDefault="00626001" w:rsidP="00004A41">
            <w:pPr>
              <w:spacing w:after="0" w:line="240" w:lineRule="auto"/>
              <w:jc w:val="center"/>
              <w:rPr>
                <w:rFonts w:ascii="Times New Roman" w:hAnsi="Times New Roman"/>
                <w:sz w:val="18"/>
                <w:szCs w:val="18"/>
              </w:rPr>
            </w:pPr>
          </w:p>
        </w:tc>
        <w:tc>
          <w:tcPr>
            <w:tcW w:w="803" w:type="dxa"/>
            <w:shd w:val="clear" w:color="000000" w:fill="FFFFFF"/>
            <w:vAlign w:val="center"/>
            <w:hideMark/>
          </w:tcPr>
          <w:p w14:paraId="3DC513DB" w14:textId="77777777" w:rsidR="00626001" w:rsidRPr="00B0658A" w:rsidRDefault="00626001" w:rsidP="00004A41">
            <w:pPr>
              <w:spacing w:after="0" w:line="240" w:lineRule="auto"/>
              <w:jc w:val="center"/>
              <w:rPr>
                <w:rFonts w:ascii="Times New Roman" w:hAnsi="Times New Roman"/>
                <w:sz w:val="18"/>
                <w:szCs w:val="18"/>
              </w:rPr>
            </w:pPr>
          </w:p>
        </w:tc>
        <w:tc>
          <w:tcPr>
            <w:tcW w:w="804" w:type="dxa"/>
            <w:shd w:val="clear" w:color="000000" w:fill="FFFFFF"/>
            <w:vAlign w:val="center"/>
            <w:hideMark/>
          </w:tcPr>
          <w:p w14:paraId="4C97928C" w14:textId="77777777" w:rsidR="00626001" w:rsidRPr="00B0658A" w:rsidRDefault="00626001" w:rsidP="00004A41">
            <w:pPr>
              <w:spacing w:after="0" w:line="240" w:lineRule="auto"/>
              <w:jc w:val="center"/>
              <w:rPr>
                <w:rFonts w:ascii="Times New Roman" w:hAnsi="Times New Roman"/>
                <w:sz w:val="18"/>
                <w:szCs w:val="18"/>
              </w:rPr>
            </w:pPr>
          </w:p>
        </w:tc>
        <w:tc>
          <w:tcPr>
            <w:tcW w:w="1530" w:type="dxa"/>
            <w:shd w:val="clear" w:color="000000" w:fill="FFFFFF"/>
            <w:vAlign w:val="center"/>
          </w:tcPr>
          <w:p w14:paraId="6DDDE477" w14:textId="77777777" w:rsidR="00626001" w:rsidRPr="00B0658A" w:rsidRDefault="00626001" w:rsidP="00004A41">
            <w:pPr>
              <w:spacing w:after="0" w:line="240" w:lineRule="auto"/>
              <w:jc w:val="center"/>
              <w:rPr>
                <w:rFonts w:ascii="Times New Roman" w:hAnsi="Times New Roman"/>
                <w:sz w:val="18"/>
                <w:szCs w:val="18"/>
              </w:rPr>
            </w:pPr>
          </w:p>
        </w:tc>
      </w:tr>
      <w:tr w:rsidR="00F52FED" w:rsidRPr="00B0658A" w14:paraId="5174F8F6" w14:textId="77777777" w:rsidTr="000103BB">
        <w:trPr>
          <w:trHeight w:val="20"/>
        </w:trPr>
        <w:tc>
          <w:tcPr>
            <w:tcW w:w="578" w:type="dxa"/>
            <w:shd w:val="clear" w:color="000000" w:fill="FFFFFF"/>
            <w:vAlign w:val="center"/>
          </w:tcPr>
          <w:p w14:paraId="382D6813" w14:textId="77777777" w:rsidR="00626001" w:rsidRPr="00B0658A" w:rsidRDefault="00626001" w:rsidP="00004A41">
            <w:pPr>
              <w:spacing w:after="0" w:line="240" w:lineRule="auto"/>
              <w:jc w:val="center"/>
              <w:rPr>
                <w:rFonts w:ascii="Times New Roman" w:hAnsi="Times New Roman"/>
                <w:sz w:val="18"/>
                <w:szCs w:val="18"/>
              </w:rPr>
            </w:pPr>
            <w:r w:rsidRPr="00B0658A">
              <w:rPr>
                <w:rFonts w:ascii="Times New Roman" w:hAnsi="Times New Roman"/>
                <w:sz w:val="18"/>
                <w:szCs w:val="18"/>
              </w:rPr>
              <w:t>2.7</w:t>
            </w:r>
          </w:p>
        </w:tc>
        <w:tc>
          <w:tcPr>
            <w:tcW w:w="3812" w:type="dxa"/>
            <w:shd w:val="clear" w:color="auto" w:fill="auto"/>
            <w:vAlign w:val="center"/>
            <w:hideMark/>
          </w:tcPr>
          <w:p w14:paraId="40FE6CA8" w14:textId="77777777" w:rsidR="00626001" w:rsidRPr="00B0658A" w:rsidRDefault="00626001" w:rsidP="00004A41">
            <w:pPr>
              <w:spacing w:after="0" w:line="240" w:lineRule="auto"/>
              <w:rPr>
                <w:rFonts w:ascii="Times New Roman" w:hAnsi="Times New Roman"/>
                <w:sz w:val="18"/>
                <w:szCs w:val="18"/>
              </w:rPr>
            </w:pPr>
            <w:r w:rsidRPr="00B0658A">
              <w:rPr>
                <w:rFonts w:ascii="Times New Roman" w:hAnsi="Times New Roman"/>
                <w:sz w:val="18"/>
                <w:szCs w:val="18"/>
              </w:rPr>
              <w:t>Системное программное обеспечение/ Средства управления базами данных</w:t>
            </w:r>
          </w:p>
        </w:tc>
        <w:tc>
          <w:tcPr>
            <w:tcW w:w="1842" w:type="dxa"/>
            <w:shd w:val="clear" w:color="000000" w:fill="FFFFFF"/>
            <w:hideMark/>
          </w:tcPr>
          <w:p w14:paraId="7B9B3501" w14:textId="77777777" w:rsidR="00626001" w:rsidRPr="00B0658A" w:rsidRDefault="00626001" w:rsidP="00004A41">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79" w:type="dxa"/>
            <w:vAlign w:val="center"/>
          </w:tcPr>
          <w:p w14:paraId="0C4D6E9D"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auto" w:fill="auto"/>
            <w:vAlign w:val="center"/>
            <w:hideMark/>
          </w:tcPr>
          <w:p w14:paraId="11992B45"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auto" w:fill="auto"/>
            <w:vAlign w:val="center"/>
            <w:hideMark/>
          </w:tcPr>
          <w:p w14:paraId="3C1DAC51"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auto" w:fill="auto"/>
            <w:vAlign w:val="center"/>
            <w:hideMark/>
          </w:tcPr>
          <w:p w14:paraId="59686662" w14:textId="77777777" w:rsidR="00626001" w:rsidRPr="00B0658A" w:rsidRDefault="00626001" w:rsidP="00004A41">
            <w:pPr>
              <w:spacing w:after="0" w:line="240" w:lineRule="auto"/>
              <w:jc w:val="center"/>
              <w:rPr>
                <w:rFonts w:ascii="Times New Roman" w:hAnsi="Times New Roman"/>
                <w:sz w:val="18"/>
                <w:szCs w:val="18"/>
              </w:rPr>
            </w:pPr>
          </w:p>
        </w:tc>
        <w:tc>
          <w:tcPr>
            <w:tcW w:w="992" w:type="dxa"/>
            <w:vAlign w:val="center"/>
          </w:tcPr>
          <w:p w14:paraId="152C97F8" w14:textId="77777777" w:rsidR="00626001" w:rsidRPr="00B0658A" w:rsidRDefault="00626001" w:rsidP="00004A41">
            <w:pPr>
              <w:spacing w:after="0" w:line="240" w:lineRule="auto"/>
              <w:jc w:val="center"/>
              <w:rPr>
                <w:rFonts w:ascii="Times New Roman" w:hAnsi="Times New Roman"/>
                <w:sz w:val="18"/>
                <w:szCs w:val="18"/>
              </w:rPr>
            </w:pPr>
          </w:p>
        </w:tc>
        <w:tc>
          <w:tcPr>
            <w:tcW w:w="803" w:type="dxa"/>
            <w:shd w:val="clear" w:color="auto" w:fill="auto"/>
            <w:vAlign w:val="center"/>
            <w:hideMark/>
          </w:tcPr>
          <w:p w14:paraId="6ACEBAD1" w14:textId="77777777" w:rsidR="00626001" w:rsidRPr="00B0658A" w:rsidRDefault="00626001" w:rsidP="00004A41">
            <w:pPr>
              <w:spacing w:after="0" w:line="240" w:lineRule="auto"/>
              <w:jc w:val="center"/>
              <w:rPr>
                <w:rFonts w:ascii="Times New Roman" w:hAnsi="Times New Roman"/>
                <w:sz w:val="18"/>
                <w:szCs w:val="18"/>
              </w:rPr>
            </w:pPr>
          </w:p>
        </w:tc>
        <w:tc>
          <w:tcPr>
            <w:tcW w:w="803" w:type="dxa"/>
            <w:shd w:val="clear" w:color="auto" w:fill="auto"/>
            <w:vAlign w:val="center"/>
            <w:hideMark/>
          </w:tcPr>
          <w:p w14:paraId="17E1C6D5" w14:textId="77777777" w:rsidR="00626001" w:rsidRPr="00B0658A" w:rsidRDefault="00626001" w:rsidP="00004A41">
            <w:pPr>
              <w:spacing w:after="0" w:line="240" w:lineRule="auto"/>
              <w:jc w:val="center"/>
              <w:rPr>
                <w:rFonts w:ascii="Times New Roman" w:hAnsi="Times New Roman"/>
                <w:sz w:val="18"/>
                <w:szCs w:val="18"/>
              </w:rPr>
            </w:pPr>
          </w:p>
        </w:tc>
        <w:tc>
          <w:tcPr>
            <w:tcW w:w="804" w:type="dxa"/>
            <w:shd w:val="clear" w:color="auto" w:fill="auto"/>
            <w:vAlign w:val="center"/>
            <w:hideMark/>
          </w:tcPr>
          <w:p w14:paraId="4B95AA3A" w14:textId="77777777" w:rsidR="00626001" w:rsidRPr="00B0658A" w:rsidRDefault="00626001" w:rsidP="00004A41">
            <w:pPr>
              <w:spacing w:after="0" w:line="240" w:lineRule="auto"/>
              <w:jc w:val="center"/>
              <w:rPr>
                <w:rFonts w:ascii="Times New Roman" w:hAnsi="Times New Roman"/>
                <w:sz w:val="18"/>
                <w:szCs w:val="18"/>
              </w:rPr>
            </w:pPr>
          </w:p>
        </w:tc>
        <w:tc>
          <w:tcPr>
            <w:tcW w:w="1530" w:type="dxa"/>
            <w:vAlign w:val="center"/>
          </w:tcPr>
          <w:p w14:paraId="47B04C89" w14:textId="77777777" w:rsidR="00626001" w:rsidRPr="00B0658A" w:rsidRDefault="00626001" w:rsidP="00004A41">
            <w:pPr>
              <w:spacing w:after="0" w:line="240" w:lineRule="auto"/>
              <w:jc w:val="center"/>
              <w:rPr>
                <w:rFonts w:ascii="Times New Roman" w:hAnsi="Times New Roman"/>
                <w:sz w:val="18"/>
                <w:szCs w:val="18"/>
              </w:rPr>
            </w:pPr>
          </w:p>
        </w:tc>
      </w:tr>
      <w:tr w:rsidR="00F52FED" w:rsidRPr="00B0658A" w14:paraId="5C12632E" w14:textId="77777777" w:rsidTr="000103BB">
        <w:trPr>
          <w:trHeight w:val="20"/>
        </w:trPr>
        <w:tc>
          <w:tcPr>
            <w:tcW w:w="578" w:type="dxa"/>
            <w:shd w:val="clear" w:color="000000" w:fill="FFFFFF"/>
            <w:vAlign w:val="center"/>
          </w:tcPr>
          <w:p w14:paraId="0F7FE35D" w14:textId="77777777" w:rsidR="00626001" w:rsidRPr="00B0658A" w:rsidRDefault="00626001" w:rsidP="00004A41">
            <w:pPr>
              <w:spacing w:after="0" w:line="240" w:lineRule="auto"/>
              <w:jc w:val="center"/>
              <w:rPr>
                <w:rFonts w:ascii="Times New Roman" w:hAnsi="Times New Roman"/>
                <w:sz w:val="18"/>
                <w:szCs w:val="18"/>
              </w:rPr>
            </w:pPr>
            <w:r w:rsidRPr="00B0658A">
              <w:rPr>
                <w:rFonts w:ascii="Times New Roman" w:hAnsi="Times New Roman"/>
                <w:sz w:val="18"/>
                <w:szCs w:val="18"/>
              </w:rPr>
              <w:t>2.8</w:t>
            </w:r>
          </w:p>
        </w:tc>
        <w:tc>
          <w:tcPr>
            <w:tcW w:w="3812" w:type="dxa"/>
            <w:shd w:val="clear" w:color="auto" w:fill="auto"/>
            <w:vAlign w:val="center"/>
            <w:hideMark/>
          </w:tcPr>
          <w:p w14:paraId="38423323" w14:textId="77777777" w:rsidR="00626001" w:rsidRPr="00B0658A" w:rsidRDefault="00626001" w:rsidP="00004A41">
            <w:pPr>
              <w:spacing w:after="0" w:line="240" w:lineRule="auto"/>
              <w:rPr>
                <w:rFonts w:ascii="Times New Roman" w:hAnsi="Times New Roman"/>
                <w:sz w:val="18"/>
                <w:szCs w:val="18"/>
              </w:rPr>
            </w:pPr>
            <w:r w:rsidRPr="00B0658A">
              <w:rPr>
                <w:rFonts w:ascii="Times New Roman" w:hAnsi="Times New Roman"/>
                <w:sz w:val="18"/>
                <w:szCs w:val="18"/>
              </w:rPr>
              <w:t>Системное программное обеспечение/ Средства мониторинга и управления</w:t>
            </w:r>
          </w:p>
        </w:tc>
        <w:tc>
          <w:tcPr>
            <w:tcW w:w="1842" w:type="dxa"/>
            <w:shd w:val="clear" w:color="000000" w:fill="FFFFFF"/>
            <w:hideMark/>
          </w:tcPr>
          <w:p w14:paraId="5EB0A313" w14:textId="77777777" w:rsidR="00626001" w:rsidRPr="00B0658A" w:rsidRDefault="00626001" w:rsidP="00004A41">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79" w:type="dxa"/>
            <w:vAlign w:val="center"/>
          </w:tcPr>
          <w:p w14:paraId="396CF62E"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auto" w:fill="auto"/>
            <w:vAlign w:val="center"/>
            <w:hideMark/>
          </w:tcPr>
          <w:p w14:paraId="242D1A3B"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auto" w:fill="auto"/>
            <w:vAlign w:val="center"/>
            <w:hideMark/>
          </w:tcPr>
          <w:p w14:paraId="715402E7"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auto" w:fill="auto"/>
            <w:vAlign w:val="center"/>
            <w:hideMark/>
          </w:tcPr>
          <w:p w14:paraId="3F003DF8" w14:textId="77777777" w:rsidR="00626001" w:rsidRPr="00B0658A" w:rsidRDefault="00626001" w:rsidP="00004A41">
            <w:pPr>
              <w:spacing w:after="0" w:line="240" w:lineRule="auto"/>
              <w:jc w:val="center"/>
              <w:rPr>
                <w:rFonts w:ascii="Times New Roman" w:hAnsi="Times New Roman"/>
                <w:sz w:val="18"/>
                <w:szCs w:val="18"/>
              </w:rPr>
            </w:pPr>
          </w:p>
        </w:tc>
        <w:tc>
          <w:tcPr>
            <w:tcW w:w="992" w:type="dxa"/>
            <w:vAlign w:val="center"/>
          </w:tcPr>
          <w:p w14:paraId="07563C39" w14:textId="77777777" w:rsidR="00626001" w:rsidRPr="00B0658A" w:rsidRDefault="00626001" w:rsidP="00004A41">
            <w:pPr>
              <w:spacing w:after="0" w:line="240" w:lineRule="auto"/>
              <w:jc w:val="center"/>
              <w:rPr>
                <w:rFonts w:ascii="Times New Roman" w:hAnsi="Times New Roman"/>
                <w:sz w:val="18"/>
                <w:szCs w:val="18"/>
              </w:rPr>
            </w:pPr>
          </w:p>
        </w:tc>
        <w:tc>
          <w:tcPr>
            <w:tcW w:w="803" w:type="dxa"/>
            <w:shd w:val="clear" w:color="auto" w:fill="auto"/>
            <w:vAlign w:val="center"/>
            <w:hideMark/>
          </w:tcPr>
          <w:p w14:paraId="1251041E" w14:textId="77777777" w:rsidR="00626001" w:rsidRPr="00B0658A" w:rsidRDefault="00626001" w:rsidP="00004A41">
            <w:pPr>
              <w:spacing w:after="0" w:line="240" w:lineRule="auto"/>
              <w:jc w:val="center"/>
              <w:rPr>
                <w:rFonts w:ascii="Times New Roman" w:hAnsi="Times New Roman"/>
                <w:sz w:val="18"/>
                <w:szCs w:val="18"/>
              </w:rPr>
            </w:pPr>
          </w:p>
        </w:tc>
        <w:tc>
          <w:tcPr>
            <w:tcW w:w="803" w:type="dxa"/>
            <w:shd w:val="clear" w:color="auto" w:fill="auto"/>
            <w:vAlign w:val="center"/>
            <w:hideMark/>
          </w:tcPr>
          <w:p w14:paraId="4917A939" w14:textId="77777777" w:rsidR="00626001" w:rsidRPr="00B0658A" w:rsidRDefault="00626001" w:rsidP="00004A41">
            <w:pPr>
              <w:spacing w:after="0" w:line="240" w:lineRule="auto"/>
              <w:jc w:val="center"/>
              <w:rPr>
                <w:rFonts w:ascii="Times New Roman" w:hAnsi="Times New Roman"/>
                <w:sz w:val="18"/>
                <w:szCs w:val="18"/>
              </w:rPr>
            </w:pPr>
          </w:p>
        </w:tc>
        <w:tc>
          <w:tcPr>
            <w:tcW w:w="804" w:type="dxa"/>
            <w:shd w:val="clear" w:color="auto" w:fill="auto"/>
            <w:vAlign w:val="center"/>
            <w:hideMark/>
          </w:tcPr>
          <w:p w14:paraId="2BC3BDA2" w14:textId="77777777" w:rsidR="00626001" w:rsidRPr="00B0658A" w:rsidRDefault="00626001" w:rsidP="00004A41">
            <w:pPr>
              <w:spacing w:after="0" w:line="240" w:lineRule="auto"/>
              <w:jc w:val="center"/>
              <w:rPr>
                <w:rFonts w:ascii="Times New Roman" w:hAnsi="Times New Roman"/>
                <w:sz w:val="18"/>
                <w:szCs w:val="18"/>
              </w:rPr>
            </w:pPr>
          </w:p>
        </w:tc>
        <w:tc>
          <w:tcPr>
            <w:tcW w:w="1530" w:type="dxa"/>
            <w:vAlign w:val="center"/>
          </w:tcPr>
          <w:p w14:paraId="0F4EC619" w14:textId="77777777" w:rsidR="00626001" w:rsidRPr="00B0658A" w:rsidRDefault="00626001" w:rsidP="00004A41">
            <w:pPr>
              <w:spacing w:after="0" w:line="240" w:lineRule="auto"/>
              <w:jc w:val="center"/>
              <w:rPr>
                <w:rFonts w:ascii="Times New Roman" w:hAnsi="Times New Roman"/>
                <w:sz w:val="18"/>
                <w:szCs w:val="18"/>
              </w:rPr>
            </w:pPr>
          </w:p>
        </w:tc>
      </w:tr>
      <w:tr w:rsidR="00F52FED" w:rsidRPr="00B0658A" w14:paraId="3A52E403" w14:textId="77777777" w:rsidTr="000103BB">
        <w:trPr>
          <w:trHeight w:val="20"/>
        </w:trPr>
        <w:tc>
          <w:tcPr>
            <w:tcW w:w="578" w:type="dxa"/>
            <w:shd w:val="clear" w:color="auto" w:fill="auto"/>
            <w:vAlign w:val="center"/>
          </w:tcPr>
          <w:p w14:paraId="4873BB18" w14:textId="77777777" w:rsidR="00626001" w:rsidRPr="00B0658A" w:rsidRDefault="00626001" w:rsidP="00004A41">
            <w:pPr>
              <w:spacing w:after="0" w:line="240" w:lineRule="auto"/>
              <w:jc w:val="center"/>
              <w:rPr>
                <w:rFonts w:ascii="Times New Roman" w:hAnsi="Times New Roman"/>
                <w:sz w:val="18"/>
                <w:szCs w:val="18"/>
              </w:rPr>
            </w:pPr>
            <w:r w:rsidRPr="00B0658A">
              <w:rPr>
                <w:rFonts w:ascii="Times New Roman" w:hAnsi="Times New Roman"/>
                <w:sz w:val="18"/>
                <w:szCs w:val="18"/>
              </w:rPr>
              <w:t>2.9</w:t>
            </w:r>
          </w:p>
        </w:tc>
        <w:tc>
          <w:tcPr>
            <w:tcW w:w="3812" w:type="dxa"/>
            <w:shd w:val="clear" w:color="auto" w:fill="auto"/>
            <w:vAlign w:val="center"/>
            <w:hideMark/>
          </w:tcPr>
          <w:p w14:paraId="1ADD6A54" w14:textId="77777777" w:rsidR="00626001" w:rsidRPr="00B0658A" w:rsidRDefault="00626001" w:rsidP="00004A41">
            <w:pPr>
              <w:spacing w:after="0" w:line="240" w:lineRule="auto"/>
              <w:rPr>
                <w:rFonts w:ascii="Times New Roman" w:hAnsi="Times New Roman"/>
                <w:sz w:val="18"/>
                <w:szCs w:val="18"/>
              </w:rPr>
            </w:pPr>
            <w:r w:rsidRPr="00B0658A">
              <w:rPr>
                <w:rFonts w:ascii="Times New Roman" w:hAnsi="Times New Roman"/>
                <w:sz w:val="18"/>
                <w:szCs w:val="18"/>
              </w:rPr>
              <w:t>Системное программное обеспечение/ Операционные системы общего назначения</w:t>
            </w:r>
          </w:p>
        </w:tc>
        <w:tc>
          <w:tcPr>
            <w:tcW w:w="1842" w:type="dxa"/>
            <w:shd w:val="clear" w:color="000000" w:fill="FFFFFF"/>
            <w:hideMark/>
          </w:tcPr>
          <w:p w14:paraId="3B44CD7E" w14:textId="77777777" w:rsidR="00626001" w:rsidRPr="00B0658A" w:rsidRDefault="00626001" w:rsidP="00004A41">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79" w:type="dxa"/>
            <w:vAlign w:val="center"/>
          </w:tcPr>
          <w:p w14:paraId="598C1E5C"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auto" w:fill="auto"/>
            <w:vAlign w:val="center"/>
            <w:hideMark/>
          </w:tcPr>
          <w:p w14:paraId="6F75831D"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auto" w:fill="auto"/>
            <w:vAlign w:val="center"/>
            <w:hideMark/>
          </w:tcPr>
          <w:p w14:paraId="0A33EB9F"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auto" w:fill="auto"/>
            <w:vAlign w:val="center"/>
            <w:hideMark/>
          </w:tcPr>
          <w:p w14:paraId="04E2DE73" w14:textId="77777777" w:rsidR="00626001" w:rsidRPr="00B0658A" w:rsidRDefault="00626001" w:rsidP="00004A41">
            <w:pPr>
              <w:spacing w:after="0" w:line="240" w:lineRule="auto"/>
              <w:jc w:val="center"/>
              <w:rPr>
                <w:rFonts w:ascii="Times New Roman" w:hAnsi="Times New Roman"/>
                <w:sz w:val="18"/>
                <w:szCs w:val="18"/>
              </w:rPr>
            </w:pPr>
          </w:p>
        </w:tc>
        <w:tc>
          <w:tcPr>
            <w:tcW w:w="992" w:type="dxa"/>
            <w:vAlign w:val="center"/>
          </w:tcPr>
          <w:p w14:paraId="0E7C9149" w14:textId="77777777" w:rsidR="00626001" w:rsidRPr="00B0658A" w:rsidRDefault="00626001" w:rsidP="00004A41">
            <w:pPr>
              <w:spacing w:after="0" w:line="240" w:lineRule="auto"/>
              <w:jc w:val="center"/>
              <w:rPr>
                <w:rFonts w:ascii="Times New Roman" w:hAnsi="Times New Roman"/>
                <w:sz w:val="18"/>
                <w:szCs w:val="18"/>
              </w:rPr>
            </w:pPr>
          </w:p>
        </w:tc>
        <w:tc>
          <w:tcPr>
            <w:tcW w:w="803" w:type="dxa"/>
            <w:shd w:val="clear" w:color="auto" w:fill="auto"/>
            <w:vAlign w:val="center"/>
            <w:hideMark/>
          </w:tcPr>
          <w:p w14:paraId="5BDE5723" w14:textId="77777777" w:rsidR="00626001" w:rsidRPr="00B0658A" w:rsidRDefault="00626001" w:rsidP="00004A41">
            <w:pPr>
              <w:spacing w:after="0" w:line="240" w:lineRule="auto"/>
              <w:jc w:val="center"/>
              <w:rPr>
                <w:rFonts w:ascii="Times New Roman" w:hAnsi="Times New Roman"/>
                <w:sz w:val="18"/>
                <w:szCs w:val="18"/>
              </w:rPr>
            </w:pPr>
          </w:p>
        </w:tc>
        <w:tc>
          <w:tcPr>
            <w:tcW w:w="803" w:type="dxa"/>
            <w:shd w:val="clear" w:color="auto" w:fill="auto"/>
            <w:vAlign w:val="center"/>
            <w:hideMark/>
          </w:tcPr>
          <w:p w14:paraId="7BC1CDB3" w14:textId="77777777" w:rsidR="00626001" w:rsidRPr="00B0658A" w:rsidRDefault="00626001" w:rsidP="00004A41">
            <w:pPr>
              <w:spacing w:after="0" w:line="240" w:lineRule="auto"/>
              <w:jc w:val="center"/>
              <w:rPr>
                <w:rFonts w:ascii="Times New Roman" w:hAnsi="Times New Roman"/>
                <w:sz w:val="18"/>
                <w:szCs w:val="18"/>
              </w:rPr>
            </w:pPr>
          </w:p>
        </w:tc>
        <w:tc>
          <w:tcPr>
            <w:tcW w:w="804" w:type="dxa"/>
            <w:shd w:val="clear" w:color="auto" w:fill="auto"/>
            <w:vAlign w:val="center"/>
            <w:hideMark/>
          </w:tcPr>
          <w:p w14:paraId="54FD531F" w14:textId="77777777" w:rsidR="00626001" w:rsidRPr="00B0658A" w:rsidRDefault="00626001" w:rsidP="00004A41">
            <w:pPr>
              <w:spacing w:after="0" w:line="240" w:lineRule="auto"/>
              <w:jc w:val="center"/>
              <w:rPr>
                <w:rFonts w:ascii="Times New Roman" w:hAnsi="Times New Roman"/>
                <w:sz w:val="18"/>
                <w:szCs w:val="18"/>
              </w:rPr>
            </w:pPr>
          </w:p>
        </w:tc>
        <w:tc>
          <w:tcPr>
            <w:tcW w:w="1530" w:type="dxa"/>
            <w:vAlign w:val="center"/>
          </w:tcPr>
          <w:p w14:paraId="156AB949" w14:textId="77777777" w:rsidR="00626001" w:rsidRPr="00B0658A" w:rsidRDefault="00626001" w:rsidP="00004A41">
            <w:pPr>
              <w:spacing w:after="0" w:line="240" w:lineRule="auto"/>
              <w:jc w:val="center"/>
              <w:rPr>
                <w:rFonts w:ascii="Times New Roman" w:hAnsi="Times New Roman"/>
                <w:sz w:val="18"/>
                <w:szCs w:val="18"/>
              </w:rPr>
            </w:pPr>
          </w:p>
        </w:tc>
      </w:tr>
      <w:tr w:rsidR="00F52FED" w:rsidRPr="00B0658A" w14:paraId="68B428EB" w14:textId="77777777" w:rsidTr="000103BB">
        <w:trPr>
          <w:trHeight w:val="20"/>
        </w:trPr>
        <w:tc>
          <w:tcPr>
            <w:tcW w:w="578" w:type="dxa"/>
            <w:shd w:val="clear" w:color="000000" w:fill="FFFFFF"/>
            <w:vAlign w:val="center"/>
          </w:tcPr>
          <w:p w14:paraId="19020D4D" w14:textId="77777777" w:rsidR="00626001" w:rsidRPr="00B0658A" w:rsidRDefault="00626001" w:rsidP="00004A41">
            <w:pPr>
              <w:spacing w:after="0" w:line="240" w:lineRule="auto"/>
              <w:jc w:val="center"/>
              <w:rPr>
                <w:rFonts w:ascii="Times New Roman" w:hAnsi="Times New Roman"/>
                <w:sz w:val="18"/>
                <w:szCs w:val="18"/>
              </w:rPr>
            </w:pPr>
            <w:r w:rsidRPr="00B0658A">
              <w:rPr>
                <w:rFonts w:ascii="Times New Roman" w:hAnsi="Times New Roman"/>
                <w:sz w:val="18"/>
                <w:szCs w:val="18"/>
              </w:rPr>
              <w:t>2.10</w:t>
            </w:r>
          </w:p>
        </w:tc>
        <w:tc>
          <w:tcPr>
            <w:tcW w:w="3812" w:type="dxa"/>
            <w:shd w:val="clear" w:color="auto" w:fill="auto"/>
            <w:vAlign w:val="center"/>
            <w:hideMark/>
          </w:tcPr>
          <w:p w14:paraId="7EC4FE03" w14:textId="77777777" w:rsidR="00626001" w:rsidRPr="00B0658A" w:rsidRDefault="00626001" w:rsidP="00004A41">
            <w:pPr>
              <w:spacing w:after="0" w:line="240" w:lineRule="auto"/>
              <w:rPr>
                <w:rFonts w:ascii="Times New Roman" w:hAnsi="Times New Roman"/>
                <w:sz w:val="18"/>
                <w:szCs w:val="18"/>
              </w:rPr>
            </w:pPr>
            <w:r w:rsidRPr="00B0658A">
              <w:rPr>
                <w:rFonts w:ascii="Times New Roman" w:hAnsi="Times New Roman"/>
                <w:sz w:val="18"/>
                <w:szCs w:val="18"/>
              </w:rPr>
              <w:t>Системное программное обеспечение/ Операционные системы реального времени</w:t>
            </w:r>
          </w:p>
        </w:tc>
        <w:tc>
          <w:tcPr>
            <w:tcW w:w="1842" w:type="dxa"/>
            <w:shd w:val="clear" w:color="000000" w:fill="FFFFFF"/>
            <w:hideMark/>
          </w:tcPr>
          <w:p w14:paraId="6651BE63" w14:textId="77777777" w:rsidR="00626001" w:rsidRPr="00B0658A" w:rsidRDefault="00626001" w:rsidP="00004A41">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79" w:type="dxa"/>
            <w:vAlign w:val="center"/>
          </w:tcPr>
          <w:p w14:paraId="6901BB32"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auto" w:fill="auto"/>
            <w:vAlign w:val="center"/>
            <w:hideMark/>
          </w:tcPr>
          <w:p w14:paraId="02776833"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auto" w:fill="auto"/>
            <w:vAlign w:val="center"/>
            <w:hideMark/>
          </w:tcPr>
          <w:p w14:paraId="39E529BF"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auto" w:fill="auto"/>
            <w:vAlign w:val="center"/>
            <w:hideMark/>
          </w:tcPr>
          <w:p w14:paraId="277F473A" w14:textId="77777777" w:rsidR="00626001" w:rsidRPr="00B0658A" w:rsidRDefault="00626001" w:rsidP="00004A41">
            <w:pPr>
              <w:spacing w:after="0" w:line="240" w:lineRule="auto"/>
              <w:jc w:val="center"/>
              <w:rPr>
                <w:rFonts w:ascii="Times New Roman" w:hAnsi="Times New Roman"/>
                <w:sz w:val="18"/>
                <w:szCs w:val="18"/>
              </w:rPr>
            </w:pPr>
          </w:p>
        </w:tc>
        <w:tc>
          <w:tcPr>
            <w:tcW w:w="992" w:type="dxa"/>
            <w:vAlign w:val="center"/>
          </w:tcPr>
          <w:p w14:paraId="58DC4772" w14:textId="77777777" w:rsidR="00626001" w:rsidRPr="00B0658A" w:rsidRDefault="00626001" w:rsidP="00004A41">
            <w:pPr>
              <w:spacing w:after="0" w:line="240" w:lineRule="auto"/>
              <w:jc w:val="center"/>
              <w:rPr>
                <w:rFonts w:ascii="Times New Roman" w:hAnsi="Times New Roman"/>
                <w:sz w:val="18"/>
                <w:szCs w:val="18"/>
              </w:rPr>
            </w:pPr>
          </w:p>
        </w:tc>
        <w:tc>
          <w:tcPr>
            <w:tcW w:w="803" w:type="dxa"/>
            <w:shd w:val="clear" w:color="auto" w:fill="auto"/>
            <w:vAlign w:val="center"/>
            <w:hideMark/>
          </w:tcPr>
          <w:p w14:paraId="15ADD647" w14:textId="77777777" w:rsidR="00626001" w:rsidRPr="00B0658A" w:rsidRDefault="00626001" w:rsidP="00004A41">
            <w:pPr>
              <w:spacing w:after="0" w:line="240" w:lineRule="auto"/>
              <w:jc w:val="center"/>
              <w:rPr>
                <w:rFonts w:ascii="Times New Roman" w:hAnsi="Times New Roman"/>
                <w:sz w:val="18"/>
                <w:szCs w:val="18"/>
              </w:rPr>
            </w:pPr>
          </w:p>
        </w:tc>
        <w:tc>
          <w:tcPr>
            <w:tcW w:w="803" w:type="dxa"/>
            <w:shd w:val="clear" w:color="auto" w:fill="auto"/>
            <w:vAlign w:val="center"/>
            <w:hideMark/>
          </w:tcPr>
          <w:p w14:paraId="490230EB" w14:textId="77777777" w:rsidR="00626001" w:rsidRPr="00B0658A" w:rsidRDefault="00626001" w:rsidP="00004A41">
            <w:pPr>
              <w:spacing w:after="0" w:line="240" w:lineRule="auto"/>
              <w:jc w:val="center"/>
              <w:rPr>
                <w:rFonts w:ascii="Times New Roman" w:hAnsi="Times New Roman"/>
                <w:sz w:val="18"/>
                <w:szCs w:val="18"/>
              </w:rPr>
            </w:pPr>
          </w:p>
        </w:tc>
        <w:tc>
          <w:tcPr>
            <w:tcW w:w="804" w:type="dxa"/>
            <w:shd w:val="clear" w:color="auto" w:fill="auto"/>
            <w:vAlign w:val="center"/>
            <w:hideMark/>
          </w:tcPr>
          <w:p w14:paraId="741B7A04" w14:textId="77777777" w:rsidR="00626001" w:rsidRPr="00B0658A" w:rsidRDefault="00626001" w:rsidP="00004A41">
            <w:pPr>
              <w:spacing w:after="0" w:line="240" w:lineRule="auto"/>
              <w:jc w:val="center"/>
              <w:rPr>
                <w:rFonts w:ascii="Times New Roman" w:hAnsi="Times New Roman"/>
                <w:sz w:val="18"/>
                <w:szCs w:val="18"/>
              </w:rPr>
            </w:pPr>
          </w:p>
        </w:tc>
        <w:tc>
          <w:tcPr>
            <w:tcW w:w="1530" w:type="dxa"/>
            <w:vAlign w:val="center"/>
          </w:tcPr>
          <w:p w14:paraId="5D24D2B4" w14:textId="77777777" w:rsidR="00626001" w:rsidRPr="00B0658A" w:rsidRDefault="00626001" w:rsidP="00004A41">
            <w:pPr>
              <w:spacing w:after="0" w:line="240" w:lineRule="auto"/>
              <w:jc w:val="center"/>
              <w:rPr>
                <w:rFonts w:ascii="Times New Roman" w:hAnsi="Times New Roman"/>
                <w:sz w:val="18"/>
                <w:szCs w:val="18"/>
              </w:rPr>
            </w:pPr>
          </w:p>
        </w:tc>
      </w:tr>
      <w:tr w:rsidR="00F52FED" w:rsidRPr="00B0658A" w14:paraId="6BD0B483" w14:textId="77777777" w:rsidTr="000103BB">
        <w:trPr>
          <w:trHeight w:val="20"/>
        </w:trPr>
        <w:tc>
          <w:tcPr>
            <w:tcW w:w="578" w:type="dxa"/>
            <w:shd w:val="clear" w:color="000000" w:fill="FFFFFF"/>
            <w:vAlign w:val="center"/>
          </w:tcPr>
          <w:p w14:paraId="62929DEE" w14:textId="77777777" w:rsidR="00626001" w:rsidRPr="00B0658A" w:rsidRDefault="00626001" w:rsidP="00004A41">
            <w:pPr>
              <w:spacing w:after="0" w:line="240" w:lineRule="auto"/>
              <w:jc w:val="center"/>
              <w:rPr>
                <w:rFonts w:ascii="Times New Roman" w:hAnsi="Times New Roman"/>
                <w:sz w:val="18"/>
                <w:szCs w:val="18"/>
              </w:rPr>
            </w:pPr>
            <w:r w:rsidRPr="00B0658A">
              <w:rPr>
                <w:rFonts w:ascii="Times New Roman" w:hAnsi="Times New Roman"/>
                <w:sz w:val="18"/>
                <w:szCs w:val="18"/>
              </w:rPr>
              <w:t>2.11</w:t>
            </w:r>
          </w:p>
        </w:tc>
        <w:tc>
          <w:tcPr>
            <w:tcW w:w="3812" w:type="dxa"/>
            <w:shd w:val="clear" w:color="auto" w:fill="auto"/>
            <w:vAlign w:val="center"/>
            <w:hideMark/>
          </w:tcPr>
          <w:p w14:paraId="2DC19625" w14:textId="77777777" w:rsidR="00626001" w:rsidRPr="00B0658A" w:rsidRDefault="00626001" w:rsidP="00004A41">
            <w:pPr>
              <w:spacing w:after="0" w:line="240" w:lineRule="auto"/>
              <w:rPr>
                <w:rFonts w:ascii="Times New Roman" w:hAnsi="Times New Roman"/>
                <w:sz w:val="18"/>
                <w:szCs w:val="18"/>
              </w:rPr>
            </w:pPr>
            <w:r w:rsidRPr="00B0658A">
              <w:rPr>
                <w:rFonts w:ascii="Times New Roman" w:hAnsi="Times New Roman"/>
                <w:sz w:val="18"/>
                <w:szCs w:val="18"/>
              </w:rPr>
              <w:t>Системное программное обеспечение/ Мобильная операционная система</w:t>
            </w:r>
          </w:p>
        </w:tc>
        <w:tc>
          <w:tcPr>
            <w:tcW w:w="1842" w:type="dxa"/>
            <w:shd w:val="clear" w:color="000000" w:fill="FFFFFF"/>
            <w:hideMark/>
          </w:tcPr>
          <w:p w14:paraId="76A9C562" w14:textId="77777777" w:rsidR="00626001" w:rsidRPr="00B0658A" w:rsidRDefault="00626001" w:rsidP="00004A41">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79" w:type="dxa"/>
            <w:vAlign w:val="center"/>
          </w:tcPr>
          <w:p w14:paraId="6A06266D"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auto" w:fill="auto"/>
            <w:vAlign w:val="center"/>
            <w:hideMark/>
          </w:tcPr>
          <w:p w14:paraId="08FD1E1C"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auto" w:fill="auto"/>
            <w:vAlign w:val="center"/>
            <w:hideMark/>
          </w:tcPr>
          <w:p w14:paraId="7178CAF8"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auto" w:fill="auto"/>
            <w:vAlign w:val="center"/>
            <w:hideMark/>
          </w:tcPr>
          <w:p w14:paraId="420F9224" w14:textId="77777777" w:rsidR="00626001" w:rsidRPr="00B0658A" w:rsidRDefault="00626001" w:rsidP="00004A41">
            <w:pPr>
              <w:spacing w:after="0" w:line="240" w:lineRule="auto"/>
              <w:jc w:val="center"/>
              <w:rPr>
                <w:rFonts w:ascii="Times New Roman" w:hAnsi="Times New Roman"/>
                <w:sz w:val="18"/>
                <w:szCs w:val="18"/>
              </w:rPr>
            </w:pPr>
          </w:p>
        </w:tc>
        <w:tc>
          <w:tcPr>
            <w:tcW w:w="992" w:type="dxa"/>
            <w:vAlign w:val="center"/>
          </w:tcPr>
          <w:p w14:paraId="6A664744" w14:textId="77777777" w:rsidR="00626001" w:rsidRPr="00B0658A" w:rsidRDefault="00626001" w:rsidP="00004A41">
            <w:pPr>
              <w:spacing w:after="0" w:line="240" w:lineRule="auto"/>
              <w:jc w:val="center"/>
              <w:rPr>
                <w:rFonts w:ascii="Times New Roman" w:hAnsi="Times New Roman"/>
                <w:sz w:val="18"/>
                <w:szCs w:val="18"/>
              </w:rPr>
            </w:pPr>
          </w:p>
        </w:tc>
        <w:tc>
          <w:tcPr>
            <w:tcW w:w="803" w:type="dxa"/>
            <w:shd w:val="clear" w:color="auto" w:fill="auto"/>
            <w:vAlign w:val="center"/>
            <w:hideMark/>
          </w:tcPr>
          <w:p w14:paraId="70C8F3E3" w14:textId="77777777" w:rsidR="00626001" w:rsidRPr="00B0658A" w:rsidRDefault="00626001" w:rsidP="00004A41">
            <w:pPr>
              <w:spacing w:after="0" w:line="240" w:lineRule="auto"/>
              <w:jc w:val="center"/>
              <w:rPr>
                <w:rFonts w:ascii="Times New Roman" w:hAnsi="Times New Roman"/>
                <w:sz w:val="18"/>
                <w:szCs w:val="18"/>
              </w:rPr>
            </w:pPr>
          </w:p>
        </w:tc>
        <w:tc>
          <w:tcPr>
            <w:tcW w:w="803" w:type="dxa"/>
            <w:shd w:val="clear" w:color="auto" w:fill="auto"/>
            <w:vAlign w:val="center"/>
            <w:hideMark/>
          </w:tcPr>
          <w:p w14:paraId="684132CA" w14:textId="77777777" w:rsidR="00626001" w:rsidRPr="00B0658A" w:rsidRDefault="00626001" w:rsidP="00004A41">
            <w:pPr>
              <w:spacing w:after="0" w:line="240" w:lineRule="auto"/>
              <w:jc w:val="center"/>
              <w:rPr>
                <w:rFonts w:ascii="Times New Roman" w:hAnsi="Times New Roman"/>
                <w:sz w:val="18"/>
                <w:szCs w:val="18"/>
              </w:rPr>
            </w:pPr>
          </w:p>
        </w:tc>
        <w:tc>
          <w:tcPr>
            <w:tcW w:w="804" w:type="dxa"/>
            <w:shd w:val="clear" w:color="auto" w:fill="auto"/>
            <w:vAlign w:val="center"/>
            <w:hideMark/>
          </w:tcPr>
          <w:p w14:paraId="28465BCE" w14:textId="77777777" w:rsidR="00626001" w:rsidRPr="00B0658A" w:rsidRDefault="00626001" w:rsidP="00004A41">
            <w:pPr>
              <w:spacing w:after="0" w:line="240" w:lineRule="auto"/>
              <w:jc w:val="center"/>
              <w:rPr>
                <w:rFonts w:ascii="Times New Roman" w:hAnsi="Times New Roman"/>
                <w:sz w:val="18"/>
                <w:szCs w:val="18"/>
              </w:rPr>
            </w:pPr>
          </w:p>
        </w:tc>
        <w:tc>
          <w:tcPr>
            <w:tcW w:w="1530" w:type="dxa"/>
            <w:vAlign w:val="center"/>
          </w:tcPr>
          <w:p w14:paraId="2E3CC14F" w14:textId="77777777" w:rsidR="00626001" w:rsidRPr="00B0658A" w:rsidRDefault="00626001" w:rsidP="00004A41">
            <w:pPr>
              <w:spacing w:after="0" w:line="240" w:lineRule="auto"/>
              <w:jc w:val="center"/>
              <w:rPr>
                <w:rFonts w:ascii="Times New Roman" w:hAnsi="Times New Roman"/>
                <w:sz w:val="18"/>
                <w:szCs w:val="18"/>
              </w:rPr>
            </w:pPr>
          </w:p>
        </w:tc>
      </w:tr>
      <w:tr w:rsidR="00F52FED" w:rsidRPr="00B0658A" w14:paraId="5ACCDED9" w14:textId="77777777" w:rsidTr="000103BB">
        <w:trPr>
          <w:trHeight w:val="20"/>
        </w:trPr>
        <w:tc>
          <w:tcPr>
            <w:tcW w:w="578" w:type="dxa"/>
            <w:shd w:val="clear" w:color="000000" w:fill="FFFFFF"/>
            <w:vAlign w:val="center"/>
          </w:tcPr>
          <w:p w14:paraId="40A9E400" w14:textId="77777777" w:rsidR="00626001" w:rsidRPr="00B0658A" w:rsidRDefault="00626001" w:rsidP="00004A41">
            <w:pPr>
              <w:spacing w:after="0" w:line="240" w:lineRule="auto"/>
              <w:jc w:val="center"/>
              <w:rPr>
                <w:rFonts w:ascii="Times New Roman" w:hAnsi="Times New Roman"/>
                <w:sz w:val="18"/>
                <w:szCs w:val="18"/>
              </w:rPr>
            </w:pPr>
            <w:r w:rsidRPr="00B0658A">
              <w:rPr>
                <w:rFonts w:ascii="Times New Roman" w:hAnsi="Times New Roman"/>
                <w:sz w:val="18"/>
                <w:szCs w:val="18"/>
              </w:rPr>
              <w:t>2.12</w:t>
            </w:r>
          </w:p>
        </w:tc>
        <w:tc>
          <w:tcPr>
            <w:tcW w:w="3812" w:type="dxa"/>
            <w:shd w:val="clear" w:color="auto" w:fill="auto"/>
            <w:vAlign w:val="center"/>
            <w:hideMark/>
          </w:tcPr>
          <w:p w14:paraId="509CA8BE" w14:textId="77777777" w:rsidR="00626001" w:rsidRPr="00B0658A" w:rsidRDefault="00626001" w:rsidP="00004A41">
            <w:pPr>
              <w:spacing w:after="0" w:line="240" w:lineRule="auto"/>
              <w:rPr>
                <w:rFonts w:ascii="Times New Roman" w:hAnsi="Times New Roman"/>
                <w:sz w:val="18"/>
                <w:szCs w:val="18"/>
              </w:rPr>
            </w:pPr>
            <w:r w:rsidRPr="00B0658A">
              <w:rPr>
                <w:rFonts w:ascii="Times New Roman" w:hAnsi="Times New Roman"/>
                <w:sz w:val="18"/>
                <w:szCs w:val="18"/>
              </w:rPr>
              <w:t>Системное программное обеспечение / Системы контейнеризации и контейнеры</w:t>
            </w:r>
          </w:p>
        </w:tc>
        <w:tc>
          <w:tcPr>
            <w:tcW w:w="1842" w:type="dxa"/>
            <w:shd w:val="clear" w:color="000000" w:fill="FFFFFF"/>
            <w:hideMark/>
          </w:tcPr>
          <w:p w14:paraId="25026B93" w14:textId="77777777" w:rsidR="00626001" w:rsidRPr="00B0658A" w:rsidRDefault="00626001" w:rsidP="00004A41">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79" w:type="dxa"/>
            <w:vAlign w:val="center"/>
          </w:tcPr>
          <w:p w14:paraId="68E5A51D"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auto" w:fill="auto"/>
            <w:vAlign w:val="center"/>
            <w:hideMark/>
          </w:tcPr>
          <w:p w14:paraId="4CFC4B03"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auto" w:fill="auto"/>
            <w:vAlign w:val="center"/>
            <w:hideMark/>
          </w:tcPr>
          <w:p w14:paraId="05D68723"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auto" w:fill="auto"/>
            <w:vAlign w:val="center"/>
            <w:hideMark/>
          </w:tcPr>
          <w:p w14:paraId="120B036A" w14:textId="77777777" w:rsidR="00626001" w:rsidRPr="00B0658A" w:rsidRDefault="00626001" w:rsidP="00004A41">
            <w:pPr>
              <w:spacing w:after="0" w:line="240" w:lineRule="auto"/>
              <w:jc w:val="center"/>
              <w:rPr>
                <w:rFonts w:ascii="Times New Roman" w:hAnsi="Times New Roman"/>
                <w:sz w:val="18"/>
                <w:szCs w:val="18"/>
              </w:rPr>
            </w:pPr>
          </w:p>
        </w:tc>
        <w:tc>
          <w:tcPr>
            <w:tcW w:w="992" w:type="dxa"/>
            <w:vAlign w:val="center"/>
          </w:tcPr>
          <w:p w14:paraId="4B8EA7BD" w14:textId="77777777" w:rsidR="00626001" w:rsidRPr="00B0658A" w:rsidRDefault="00626001" w:rsidP="00004A41">
            <w:pPr>
              <w:spacing w:after="0" w:line="240" w:lineRule="auto"/>
              <w:jc w:val="center"/>
              <w:rPr>
                <w:rFonts w:ascii="Times New Roman" w:hAnsi="Times New Roman"/>
                <w:sz w:val="18"/>
                <w:szCs w:val="18"/>
              </w:rPr>
            </w:pPr>
          </w:p>
        </w:tc>
        <w:tc>
          <w:tcPr>
            <w:tcW w:w="803" w:type="dxa"/>
            <w:shd w:val="clear" w:color="auto" w:fill="auto"/>
            <w:vAlign w:val="center"/>
            <w:hideMark/>
          </w:tcPr>
          <w:p w14:paraId="3AC5DA46" w14:textId="77777777" w:rsidR="00626001" w:rsidRPr="00B0658A" w:rsidRDefault="00626001" w:rsidP="00004A41">
            <w:pPr>
              <w:spacing w:after="0" w:line="240" w:lineRule="auto"/>
              <w:jc w:val="center"/>
              <w:rPr>
                <w:rFonts w:ascii="Times New Roman" w:hAnsi="Times New Roman"/>
                <w:sz w:val="18"/>
                <w:szCs w:val="18"/>
              </w:rPr>
            </w:pPr>
          </w:p>
        </w:tc>
        <w:tc>
          <w:tcPr>
            <w:tcW w:w="803" w:type="dxa"/>
            <w:shd w:val="clear" w:color="auto" w:fill="auto"/>
            <w:vAlign w:val="center"/>
            <w:hideMark/>
          </w:tcPr>
          <w:p w14:paraId="53537663" w14:textId="77777777" w:rsidR="00626001" w:rsidRPr="00B0658A" w:rsidRDefault="00626001" w:rsidP="00004A41">
            <w:pPr>
              <w:spacing w:after="0" w:line="240" w:lineRule="auto"/>
              <w:jc w:val="center"/>
              <w:rPr>
                <w:rFonts w:ascii="Times New Roman" w:hAnsi="Times New Roman"/>
                <w:sz w:val="18"/>
                <w:szCs w:val="18"/>
              </w:rPr>
            </w:pPr>
          </w:p>
        </w:tc>
        <w:tc>
          <w:tcPr>
            <w:tcW w:w="804" w:type="dxa"/>
            <w:shd w:val="clear" w:color="auto" w:fill="auto"/>
            <w:vAlign w:val="center"/>
            <w:hideMark/>
          </w:tcPr>
          <w:p w14:paraId="43F18E54" w14:textId="77777777" w:rsidR="00626001" w:rsidRPr="00B0658A" w:rsidRDefault="00626001" w:rsidP="00004A41">
            <w:pPr>
              <w:spacing w:after="0" w:line="240" w:lineRule="auto"/>
              <w:jc w:val="center"/>
              <w:rPr>
                <w:rFonts w:ascii="Times New Roman" w:hAnsi="Times New Roman"/>
                <w:sz w:val="18"/>
                <w:szCs w:val="18"/>
              </w:rPr>
            </w:pPr>
          </w:p>
        </w:tc>
        <w:tc>
          <w:tcPr>
            <w:tcW w:w="1530" w:type="dxa"/>
            <w:vAlign w:val="center"/>
          </w:tcPr>
          <w:p w14:paraId="24EE089B" w14:textId="77777777" w:rsidR="00626001" w:rsidRPr="00B0658A" w:rsidRDefault="00626001" w:rsidP="00004A41">
            <w:pPr>
              <w:spacing w:after="0" w:line="240" w:lineRule="auto"/>
              <w:jc w:val="center"/>
              <w:rPr>
                <w:rFonts w:ascii="Times New Roman" w:hAnsi="Times New Roman"/>
                <w:sz w:val="18"/>
                <w:szCs w:val="18"/>
              </w:rPr>
            </w:pPr>
          </w:p>
        </w:tc>
      </w:tr>
      <w:tr w:rsidR="00F52FED" w:rsidRPr="00B0658A" w14:paraId="2777DDBE" w14:textId="77777777" w:rsidTr="000103BB">
        <w:trPr>
          <w:trHeight w:val="20"/>
        </w:trPr>
        <w:tc>
          <w:tcPr>
            <w:tcW w:w="578" w:type="dxa"/>
            <w:shd w:val="clear" w:color="000000" w:fill="FFFFFF"/>
            <w:vAlign w:val="center"/>
          </w:tcPr>
          <w:p w14:paraId="008E220C" w14:textId="77777777" w:rsidR="00626001" w:rsidRPr="00B0658A" w:rsidRDefault="00626001" w:rsidP="00004A41">
            <w:pPr>
              <w:spacing w:after="0" w:line="240" w:lineRule="auto"/>
              <w:jc w:val="center"/>
              <w:rPr>
                <w:rFonts w:ascii="Times New Roman" w:hAnsi="Times New Roman"/>
                <w:sz w:val="18"/>
                <w:szCs w:val="18"/>
              </w:rPr>
            </w:pPr>
            <w:r w:rsidRPr="00B0658A">
              <w:rPr>
                <w:rFonts w:ascii="Times New Roman" w:hAnsi="Times New Roman"/>
                <w:sz w:val="18"/>
                <w:szCs w:val="18"/>
              </w:rPr>
              <w:t>3.1</w:t>
            </w:r>
          </w:p>
        </w:tc>
        <w:tc>
          <w:tcPr>
            <w:tcW w:w="3812" w:type="dxa"/>
            <w:shd w:val="clear" w:color="auto" w:fill="auto"/>
            <w:vAlign w:val="center"/>
            <w:hideMark/>
          </w:tcPr>
          <w:p w14:paraId="67BCD975" w14:textId="77777777" w:rsidR="00626001" w:rsidRPr="00B0658A" w:rsidRDefault="00626001" w:rsidP="00004A41">
            <w:pPr>
              <w:spacing w:after="0" w:line="240" w:lineRule="auto"/>
              <w:rPr>
                <w:rFonts w:ascii="Times New Roman" w:hAnsi="Times New Roman"/>
                <w:sz w:val="18"/>
                <w:szCs w:val="18"/>
              </w:rPr>
            </w:pPr>
            <w:r w:rsidRPr="00B0658A">
              <w:rPr>
                <w:rFonts w:ascii="Times New Roman" w:hAnsi="Times New Roman"/>
                <w:sz w:val="18"/>
                <w:szCs w:val="18"/>
              </w:rPr>
              <w:t>Средства обеспечения информационной безопасности/ Средства защиты от несанкционированного доступа к информации</w:t>
            </w:r>
          </w:p>
        </w:tc>
        <w:tc>
          <w:tcPr>
            <w:tcW w:w="1842" w:type="dxa"/>
            <w:shd w:val="clear" w:color="000000" w:fill="FFFFFF"/>
            <w:hideMark/>
          </w:tcPr>
          <w:p w14:paraId="52EF5910" w14:textId="77777777" w:rsidR="00626001" w:rsidRPr="00B0658A" w:rsidRDefault="00626001" w:rsidP="00004A41">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79" w:type="dxa"/>
            <w:vAlign w:val="center"/>
          </w:tcPr>
          <w:p w14:paraId="43388DE8"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auto" w:fill="auto"/>
            <w:vAlign w:val="center"/>
            <w:hideMark/>
          </w:tcPr>
          <w:p w14:paraId="6BA8E7FA"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auto" w:fill="auto"/>
            <w:vAlign w:val="center"/>
            <w:hideMark/>
          </w:tcPr>
          <w:p w14:paraId="49D854D6"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auto" w:fill="auto"/>
            <w:vAlign w:val="center"/>
            <w:hideMark/>
          </w:tcPr>
          <w:p w14:paraId="0B3B68B1" w14:textId="77777777" w:rsidR="00626001" w:rsidRPr="00B0658A" w:rsidRDefault="00626001" w:rsidP="00004A41">
            <w:pPr>
              <w:spacing w:after="0" w:line="240" w:lineRule="auto"/>
              <w:jc w:val="center"/>
              <w:rPr>
                <w:rFonts w:ascii="Times New Roman" w:hAnsi="Times New Roman"/>
                <w:sz w:val="18"/>
                <w:szCs w:val="18"/>
              </w:rPr>
            </w:pPr>
          </w:p>
        </w:tc>
        <w:tc>
          <w:tcPr>
            <w:tcW w:w="992" w:type="dxa"/>
            <w:vAlign w:val="center"/>
          </w:tcPr>
          <w:p w14:paraId="012C04B4" w14:textId="77777777" w:rsidR="00626001" w:rsidRPr="00B0658A" w:rsidRDefault="00626001" w:rsidP="00004A41">
            <w:pPr>
              <w:spacing w:after="0" w:line="240" w:lineRule="auto"/>
              <w:jc w:val="center"/>
              <w:rPr>
                <w:rFonts w:ascii="Times New Roman" w:hAnsi="Times New Roman"/>
                <w:sz w:val="18"/>
                <w:szCs w:val="18"/>
              </w:rPr>
            </w:pPr>
          </w:p>
        </w:tc>
        <w:tc>
          <w:tcPr>
            <w:tcW w:w="803" w:type="dxa"/>
            <w:shd w:val="clear" w:color="auto" w:fill="auto"/>
            <w:vAlign w:val="center"/>
            <w:hideMark/>
          </w:tcPr>
          <w:p w14:paraId="10BD1BED" w14:textId="77777777" w:rsidR="00626001" w:rsidRPr="00B0658A" w:rsidRDefault="00626001" w:rsidP="00004A41">
            <w:pPr>
              <w:spacing w:after="0" w:line="240" w:lineRule="auto"/>
              <w:jc w:val="center"/>
              <w:rPr>
                <w:rFonts w:ascii="Times New Roman" w:hAnsi="Times New Roman"/>
                <w:sz w:val="18"/>
                <w:szCs w:val="18"/>
              </w:rPr>
            </w:pPr>
          </w:p>
        </w:tc>
        <w:tc>
          <w:tcPr>
            <w:tcW w:w="803" w:type="dxa"/>
            <w:shd w:val="clear" w:color="auto" w:fill="auto"/>
            <w:vAlign w:val="center"/>
            <w:hideMark/>
          </w:tcPr>
          <w:p w14:paraId="41E4FEDB" w14:textId="77777777" w:rsidR="00626001" w:rsidRPr="00B0658A" w:rsidRDefault="00626001" w:rsidP="00004A41">
            <w:pPr>
              <w:spacing w:after="0" w:line="240" w:lineRule="auto"/>
              <w:jc w:val="center"/>
              <w:rPr>
                <w:rFonts w:ascii="Times New Roman" w:hAnsi="Times New Roman"/>
                <w:sz w:val="18"/>
                <w:szCs w:val="18"/>
              </w:rPr>
            </w:pPr>
          </w:p>
        </w:tc>
        <w:tc>
          <w:tcPr>
            <w:tcW w:w="804" w:type="dxa"/>
            <w:shd w:val="clear" w:color="auto" w:fill="auto"/>
            <w:vAlign w:val="center"/>
            <w:hideMark/>
          </w:tcPr>
          <w:p w14:paraId="0911FFE6" w14:textId="77777777" w:rsidR="00626001" w:rsidRPr="00B0658A" w:rsidRDefault="00626001" w:rsidP="00004A41">
            <w:pPr>
              <w:spacing w:after="0" w:line="240" w:lineRule="auto"/>
              <w:jc w:val="center"/>
              <w:rPr>
                <w:rFonts w:ascii="Times New Roman" w:hAnsi="Times New Roman"/>
                <w:sz w:val="18"/>
                <w:szCs w:val="18"/>
              </w:rPr>
            </w:pPr>
          </w:p>
        </w:tc>
        <w:tc>
          <w:tcPr>
            <w:tcW w:w="1530" w:type="dxa"/>
            <w:vAlign w:val="center"/>
          </w:tcPr>
          <w:p w14:paraId="1292DEBE" w14:textId="77777777" w:rsidR="00626001" w:rsidRPr="00B0658A" w:rsidRDefault="00626001" w:rsidP="00004A41">
            <w:pPr>
              <w:spacing w:after="0" w:line="240" w:lineRule="auto"/>
              <w:jc w:val="center"/>
              <w:rPr>
                <w:rFonts w:ascii="Times New Roman" w:hAnsi="Times New Roman"/>
                <w:sz w:val="18"/>
                <w:szCs w:val="18"/>
              </w:rPr>
            </w:pPr>
          </w:p>
        </w:tc>
      </w:tr>
      <w:tr w:rsidR="00F52FED" w:rsidRPr="00B0658A" w14:paraId="59B47E08" w14:textId="77777777" w:rsidTr="000103BB">
        <w:trPr>
          <w:trHeight w:val="20"/>
        </w:trPr>
        <w:tc>
          <w:tcPr>
            <w:tcW w:w="578" w:type="dxa"/>
            <w:shd w:val="clear" w:color="000000" w:fill="FFFFFF"/>
            <w:vAlign w:val="center"/>
          </w:tcPr>
          <w:p w14:paraId="3C8276C6" w14:textId="77777777" w:rsidR="00626001" w:rsidRPr="00B0658A" w:rsidRDefault="00626001" w:rsidP="00004A41">
            <w:pPr>
              <w:spacing w:after="0" w:line="240" w:lineRule="auto"/>
              <w:jc w:val="center"/>
              <w:rPr>
                <w:rFonts w:ascii="Times New Roman" w:hAnsi="Times New Roman"/>
                <w:sz w:val="18"/>
                <w:szCs w:val="18"/>
              </w:rPr>
            </w:pPr>
            <w:r w:rsidRPr="00B0658A">
              <w:rPr>
                <w:rFonts w:ascii="Times New Roman" w:hAnsi="Times New Roman"/>
                <w:sz w:val="18"/>
                <w:szCs w:val="18"/>
              </w:rPr>
              <w:t>3.2</w:t>
            </w:r>
          </w:p>
        </w:tc>
        <w:tc>
          <w:tcPr>
            <w:tcW w:w="3812" w:type="dxa"/>
            <w:shd w:val="clear" w:color="auto" w:fill="auto"/>
            <w:vAlign w:val="center"/>
            <w:hideMark/>
          </w:tcPr>
          <w:p w14:paraId="74135EF8" w14:textId="77777777" w:rsidR="00626001" w:rsidRPr="00B0658A" w:rsidRDefault="00626001" w:rsidP="00004A41">
            <w:pPr>
              <w:spacing w:after="0" w:line="240" w:lineRule="auto"/>
              <w:rPr>
                <w:rFonts w:ascii="Times New Roman" w:hAnsi="Times New Roman"/>
                <w:sz w:val="18"/>
                <w:szCs w:val="18"/>
              </w:rPr>
            </w:pPr>
            <w:r w:rsidRPr="00B0658A">
              <w:rPr>
                <w:rFonts w:ascii="Times New Roman" w:hAnsi="Times New Roman"/>
                <w:sz w:val="18"/>
                <w:szCs w:val="18"/>
              </w:rPr>
              <w:t>Средства обеспечения информационной безопасности/ Средства управления событиями информационной безопасности</w:t>
            </w:r>
          </w:p>
        </w:tc>
        <w:tc>
          <w:tcPr>
            <w:tcW w:w="1842" w:type="dxa"/>
            <w:shd w:val="clear" w:color="000000" w:fill="FFFFFF"/>
            <w:hideMark/>
          </w:tcPr>
          <w:p w14:paraId="262F5684" w14:textId="77777777" w:rsidR="00626001" w:rsidRPr="00B0658A" w:rsidRDefault="00626001" w:rsidP="00004A41">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79" w:type="dxa"/>
            <w:vAlign w:val="center"/>
          </w:tcPr>
          <w:p w14:paraId="0116DAB4"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auto" w:fill="auto"/>
            <w:vAlign w:val="center"/>
            <w:hideMark/>
          </w:tcPr>
          <w:p w14:paraId="64D0C936"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auto" w:fill="auto"/>
            <w:vAlign w:val="center"/>
            <w:hideMark/>
          </w:tcPr>
          <w:p w14:paraId="38C401B3"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auto" w:fill="auto"/>
            <w:vAlign w:val="center"/>
            <w:hideMark/>
          </w:tcPr>
          <w:p w14:paraId="5281F03D" w14:textId="77777777" w:rsidR="00626001" w:rsidRPr="00B0658A" w:rsidRDefault="00626001" w:rsidP="00004A41">
            <w:pPr>
              <w:spacing w:after="0" w:line="240" w:lineRule="auto"/>
              <w:jc w:val="center"/>
              <w:rPr>
                <w:rFonts w:ascii="Times New Roman" w:hAnsi="Times New Roman"/>
                <w:sz w:val="18"/>
                <w:szCs w:val="18"/>
              </w:rPr>
            </w:pPr>
          </w:p>
        </w:tc>
        <w:tc>
          <w:tcPr>
            <w:tcW w:w="992" w:type="dxa"/>
            <w:vAlign w:val="center"/>
          </w:tcPr>
          <w:p w14:paraId="5DEA478C" w14:textId="77777777" w:rsidR="00626001" w:rsidRPr="00B0658A" w:rsidRDefault="00626001" w:rsidP="00004A41">
            <w:pPr>
              <w:spacing w:after="0" w:line="240" w:lineRule="auto"/>
              <w:jc w:val="center"/>
              <w:rPr>
                <w:rFonts w:ascii="Times New Roman" w:hAnsi="Times New Roman"/>
                <w:sz w:val="18"/>
                <w:szCs w:val="18"/>
              </w:rPr>
            </w:pPr>
          </w:p>
        </w:tc>
        <w:tc>
          <w:tcPr>
            <w:tcW w:w="803" w:type="dxa"/>
            <w:shd w:val="clear" w:color="auto" w:fill="auto"/>
            <w:vAlign w:val="center"/>
            <w:hideMark/>
          </w:tcPr>
          <w:p w14:paraId="7FC7BB91" w14:textId="77777777" w:rsidR="00626001" w:rsidRPr="00B0658A" w:rsidRDefault="00626001" w:rsidP="00004A41">
            <w:pPr>
              <w:spacing w:after="0" w:line="240" w:lineRule="auto"/>
              <w:jc w:val="center"/>
              <w:rPr>
                <w:rFonts w:ascii="Times New Roman" w:hAnsi="Times New Roman"/>
                <w:sz w:val="18"/>
                <w:szCs w:val="18"/>
              </w:rPr>
            </w:pPr>
          </w:p>
        </w:tc>
        <w:tc>
          <w:tcPr>
            <w:tcW w:w="803" w:type="dxa"/>
            <w:shd w:val="clear" w:color="auto" w:fill="auto"/>
            <w:vAlign w:val="center"/>
            <w:hideMark/>
          </w:tcPr>
          <w:p w14:paraId="2C73B797" w14:textId="77777777" w:rsidR="00626001" w:rsidRPr="00B0658A" w:rsidRDefault="00626001" w:rsidP="00004A41">
            <w:pPr>
              <w:spacing w:after="0" w:line="240" w:lineRule="auto"/>
              <w:jc w:val="center"/>
              <w:rPr>
                <w:rFonts w:ascii="Times New Roman" w:hAnsi="Times New Roman"/>
                <w:sz w:val="18"/>
                <w:szCs w:val="18"/>
              </w:rPr>
            </w:pPr>
          </w:p>
        </w:tc>
        <w:tc>
          <w:tcPr>
            <w:tcW w:w="804" w:type="dxa"/>
            <w:shd w:val="clear" w:color="auto" w:fill="auto"/>
            <w:vAlign w:val="center"/>
            <w:hideMark/>
          </w:tcPr>
          <w:p w14:paraId="6E56F6E4" w14:textId="77777777" w:rsidR="00626001" w:rsidRPr="00B0658A" w:rsidRDefault="00626001" w:rsidP="00004A41">
            <w:pPr>
              <w:spacing w:after="0" w:line="240" w:lineRule="auto"/>
              <w:jc w:val="center"/>
              <w:rPr>
                <w:rFonts w:ascii="Times New Roman" w:hAnsi="Times New Roman"/>
                <w:sz w:val="18"/>
                <w:szCs w:val="18"/>
              </w:rPr>
            </w:pPr>
          </w:p>
        </w:tc>
        <w:tc>
          <w:tcPr>
            <w:tcW w:w="1530" w:type="dxa"/>
            <w:vAlign w:val="center"/>
          </w:tcPr>
          <w:p w14:paraId="194A7D45" w14:textId="77777777" w:rsidR="00626001" w:rsidRPr="00B0658A" w:rsidRDefault="00626001" w:rsidP="00004A41">
            <w:pPr>
              <w:spacing w:after="0" w:line="240" w:lineRule="auto"/>
              <w:jc w:val="center"/>
              <w:rPr>
                <w:rFonts w:ascii="Times New Roman" w:hAnsi="Times New Roman"/>
                <w:sz w:val="18"/>
                <w:szCs w:val="18"/>
              </w:rPr>
            </w:pPr>
          </w:p>
        </w:tc>
      </w:tr>
      <w:tr w:rsidR="00F52FED" w:rsidRPr="00B0658A" w14:paraId="1B742C45" w14:textId="77777777" w:rsidTr="000103BB">
        <w:trPr>
          <w:trHeight w:val="20"/>
        </w:trPr>
        <w:tc>
          <w:tcPr>
            <w:tcW w:w="578" w:type="dxa"/>
            <w:shd w:val="clear" w:color="000000" w:fill="FFFFFF"/>
            <w:vAlign w:val="center"/>
          </w:tcPr>
          <w:p w14:paraId="7C53DB0F" w14:textId="77777777" w:rsidR="00626001" w:rsidRPr="00B0658A" w:rsidRDefault="00626001" w:rsidP="00004A41">
            <w:pPr>
              <w:spacing w:after="0" w:line="240" w:lineRule="auto"/>
              <w:jc w:val="center"/>
              <w:rPr>
                <w:rFonts w:ascii="Times New Roman" w:hAnsi="Times New Roman"/>
                <w:sz w:val="18"/>
                <w:szCs w:val="18"/>
              </w:rPr>
            </w:pPr>
            <w:r w:rsidRPr="00B0658A">
              <w:rPr>
                <w:rFonts w:ascii="Times New Roman" w:hAnsi="Times New Roman"/>
                <w:sz w:val="18"/>
                <w:szCs w:val="18"/>
              </w:rPr>
              <w:t>3.3</w:t>
            </w:r>
          </w:p>
        </w:tc>
        <w:tc>
          <w:tcPr>
            <w:tcW w:w="3812" w:type="dxa"/>
            <w:shd w:val="clear" w:color="auto" w:fill="auto"/>
            <w:vAlign w:val="center"/>
            <w:hideMark/>
          </w:tcPr>
          <w:p w14:paraId="3807CCB4" w14:textId="77777777" w:rsidR="00626001" w:rsidRPr="00B0658A" w:rsidRDefault="00626001" w:rsidP="00004A41">
            <w:pPr>
              <w:spacing w:after="0" w:line="240" w:lineRule="auto"/>
              <w:rPr>
                <w:rFonts w:ascii="Times New Roman" w:hAnsi="Times New Roman"/>
                <w:sz w:val="18"/>
                <w:szCs w:val="18"/>
              </w:rPr>
            </w:pPr>
            <w:r w:rsidRPr="00B0658A">
              <w:rPr>
                <w:rFonts w:ascii="Times New Roman" w:hAnsi="Times New Roman"/>
                <w:sz w:val="18"/>
                <w:szCs w:val="18"/>
              </w:rPr>
              <w:t>Средства обеспечения информационной безопасности/ Межсетевые экраны</w:t>
            </w:r>
          </w:p>
        </w:tc>
        <w:tc>
          <w:tcPr>
            <w:tcW w:w="1842" w:type="dxa"/>
            <w:shd w:val="clear" w:color="000000" w:fill="FFFFFF"/>
            <w:hideMark/>
          </w:tcPr>
          <w:p w14:paraId="1E44F1C8" w14:textId="77777777" w:rsidR="00626001" w:rsidRPr="00B0658A" w:rsidRDefault="00626001" w:rsidP="00004A41">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79" w:type="dxa"/>
            <w:vAlign w:val="center"/>
          </w:tcPr>
          <w:p w14:paraId="55FC37B5"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auto" w:fill="auto"/>
            <w:vAlign w:val="center"/>
            <w:hideMark/>
          </w:tcPr>
          <w:p w14:paraId="47F2017B"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auto" w:fill="auto"/>
            <w:vAlign w:val="center"/>
            <w:hideMark/>
          </w:tcPr>
          <w:p w14:paraId="2A2FA6A6"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auto" w:fill="auto"/>
            <w:vAlign w:val="center"/>
            <w:hideMark/>
          </w:tcPr>
          <w:p w14:paraId="0118F56A" w14:textId="77777777" w:rsidR="00626001" w:rsidRPr="00B0658A" w:rsidRDefault="00626001" w:rsidP="00004A41">
            <w:pPr>
              <w:spacing w:after="0" w:line="240" w:lineRule="auto"/>
              <w:jc w:val="center"/>
              <w:rPr>
                <w:rFonts w:ascii="Times New Roman" w:hAnsi="Times New Roman"/>
                <w:sz w:val="18"/>
                <w:szCs w:val="18"/>
              </w:rPr>
            </w:pPr>
          </w:p>
        </w:tc>
        <w:tc>
          <w:tcPr>
            <w:tcW w:w="992" w:type="dxa"/>
            <w:vAlign w:val="center"/>
          </w:tcPr>
          <w:p w14:paraId="358BA572" w14:textId="77777777" w:rsidR="00626001" w:rsidRPr="00B0658A" w:rsidRDefault="00626001" w:rsidP="00004A41">
            <w:pPr>
              <w:spacing w:after="0" w:line="240" w:lineRule="auto"/>
              <w:jc w:val="center"/>
              <w:rPr>
                <w:rFonts w:ascii="Times New Roman" w:hAnsi="Times New Roman"/>
                <w:sz w:val="18"/>
                <w:szCs w:val="18"/>
              </w:rPr>
            </w:pPr>
          </w:p>
        </w:tc>
        <w:tc>
          <w:tcPr>
            <w:tcW w:w="803" w:type="dxa"/>
            <w:shd w:val="clear" w:color="auto" w:fill="auto"/>
            <w:vAlign w:val="center"/>
            <w:hideMark/>
          </w:tcPr>
          <w:p w14:paraId="4956DA42" w14:textId="77777777" w:rsidR="00626001" w:rsidRPr="00B0658A" w:rsidRDefault="00626001" w:rsidP="00004A41">
            <w:pPr>
              <w:spacing w:after="0" w:line="240" w:lineRule="auto"/>
              <w:jc w:val="center"/>
              <w:rPr>
                <w:rFonts w:ascii="Times New Roman" w:hAnsi="Times New Roman"/>
                <w:sz w:val="18"/>
                <w:szCs w:val="18"/>
              </w:rPr>
            </w:pPr>
          </w:p>
        </w:tc>
        <w:tc>
          <w:tcPr>
            <w:tcW w:w="803" w:type="dxa"/>
            <w:shd w:val="clear" w:color="auto" w:fill="auto"/>
            <w:vAlign w:val="center"/>
            <w:hideMark/>
          </w:tcPr>
          <w:p w14:paraId="24000519" w14:textId="77777777" w:rsidR="00626001" w:rsidRPr="00B0658A" w:rsidRDefault="00626001" w:rsidP="00004A41">
            <w:pPr>
              <w:spacing w:after="0" w:line="240" w:lineRule="auto"/>
              <w:jc w:val="center"/>
              <w:rPr>
                <w:rFonts w:ascii="Times New Roman" w:hAnsi="Times New Roman"/>
                <w:sz w:val="18"/>
                <w:szCs w:val="18"/>
              </w:rPr>
            </w:pPr>
          </w:p>
        </w:tc>
        <w:tc>
          <w:tcPr>
            <w:tcW w:w="804" w:type="dxa"/>
            <w:shd w:val="clear" w:color="auto" w:fill="auto"/>
            <w:vAlign w:val="center"/>
            <w:hideMark/>
          </w:tcPr>
          <w:p w14:paraId="2FD051DF" w14:textId="77777777" w:rsidR="00626001" w:rsidRPr="00B0658A" w:rsidRDefault="00626001" w:rsidP="00004A41">
            <w:pPr>
              <w:spacing w:after="0" w:line="240" w:lineRule="auto"/>
              <w:jc w:val="center"/>
              <w:rPr>
                <w:rFonts w:ascii="Times New Roman" w:hAnsi="Times New Roman"/>
                <w:sz w:val="18"/>
                <w:szCs w:val="18"/>
              </w:rPr>
            </w:pPr>
          </w:p>
        </w:tc>
        <w:tc>
          <w:tcPr>
            <w:tcW w:w="1530" w:type="dxa"/>
            <w:vAlign w:val="center"/>
          </w:tcPr>
          <w:p w14:paraId="65E19DEB" w14:textId="77777777" w:rsidR="00626001" w:rsidRPr="00B0658A" w:rsidRDefault="00626001" w:rsidP="00004A41">
            <w:pPr>
              <w:spacing w:after="0" w:line="240" w:lineRule="auto"/>
              <w:jc w:val="center"/>
              <w:rPr>
                <w:rFonts w:ascii="Times New Roman" w:hAnsi="Times New Roman"/>
                <w:sz w:val="18"/>
                <w:szCs w:val="18"/>
              </w:rPr>
            </w:pPr>
          </w:p>
        </w:tc>
      </w:tr>
      <w:tr w:rsidR="00F52FED" w:rsidRPr="00B0658A" w14:paraId="03B43BF5" w14:textId="77777777" w:rsidTr="000103BB">
        <w:trPr>
          <w:trHeight w:val="20"/>
        </w:trPr>
        <w:tc>
          <w:tcPr>
            <w:tcW w:w="578" w:type="dxa"/>
            <w:shd w:val="clear" w:color="000000" w:fill="FFFFFF"/>
            <w:vAlign w:val="center"/>
          </w:tcPr>
          <w:p w14:paraId="52D31C1F" w14:textId="77777777" w:rsidR="00626001" w:rsidRPr="00B0658A" w:rsidRDefault="00626001" w:rsidP="00004A41">
            <w:pPr>
              <w:spacing w:after="0" w:line="240" w:lineRule="auto"/>
              <w:jc w:val="center"/>
              <w:rPr>
                <w:rFonts w:ascii="Times New Roman" w:hAnsi="Times New Roman"/>
                <w:sz w:val="18"/>
                <w:szCs w:val="18"/>
              </w:rPr>
            </w:pPr>
            <w:r w:rsidRPr="00B0658A">
              <w:rPr>
                <w:rFonts w:ascii="Times New Roman" w:hAnsi="Times New Roman"/>
                <w:sz w:val="18"/>
                <w:szCs w:val="18"/>
              </w:rPr>
              <w:t>3.4</w:t>
            </w:r>
          </w:p>
        </w:tc>
        <w:tc>
          <w:tcPr>
            <w:tcW w:w="3812" w:type="dxa"/>
            <w:shd w:val="clear" w:color="auto" w:fill="auto"/>
            <w:vAlign w:val="center"/>
            <w:hideMark/>
          </w:tcPr>
          <w:p w14:paraId="07EAAEED" w14:textId="77777777" w:rsidR="00626001" w:rsidRPr="00B0658A" w:rsidRDefault="00626001" w:rsidP="00004A41">
            <w:pPr>
              <w:spacing w:after="0" w:line="240" w:lineRule="auto"/>
              <w:rPr>
                <w:rFonts w:ascii="Times New Roman" w:hAnsi="Times New Roman"/>
                <w:sz w:val="18"/>
                <w:szCs w:val="18"/>
              </w:rPr>
            </w:pPr>
            <w:r w:rsidRPr="00B0658A">
              <w:rPr>
                <w:rFonts w:ascii="Times New Roman" w:hAnsi="Times New Roman"/>
                <w:sz w:val="18"/>
                <w:szCs w:val="18"/>
              </w:rPr>
              <w:t>Средства обеспечения информационной безопасности/ Средства фильтрации негативного контента</w:t>
            </w:r>
          </w:p>
        </w:tc>
        <w:tc>
          <w:tcPr>
            <w:tcW w:w="1842" w:type="dxa"/>
            <w:shd w:val="clear" w:color="000000" w:fill="FFFFFF"/>
            <w:hideMark/>
          </w:tcPr>
          <w:p w14:paraId="51456F85" w14:textId="77777777" w:rsidR="00626001" w:rsidRPr="00B0658A" w:rsidRDefault="00626001" w:rsidP="00004A41">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79" w:type="dxa"/>
            <w:vAlign w:val="center"/>
          </w:tcPr>
          <w:p w14:paraId="6FD42EB6"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auto" w:fill="auto"/>
            <w:vAlign w:val="center"/>
            <w:hideMark/>
          </w:tcPr>
          <w:p w14:paraId="3A10DD73"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auto" w:fill="auto"/>
            <w:vAlign w:val="center"/>
            <w:hideMark/>
          </w:tcPr>
          <w:p w14:paraId="340C5CD2"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auto" w:fill="auto"/>
            <w:vAlign w:val="center"/>
            <w:hideMark/>
          </w:tcPr>
          <w:p w14:paraId="5951A82C" w14:textId="77777777" w:rsidR="00626001" w:rsidRPr="00B0658A" w:rsidRDefault="00626001" w:rsidP="00004A41">
            <w:pPr>
              <w:spacing w:after="0" w:line="240" w:lineRule="auto"/>
              <w:jc w:val="center"/>
              <w:rPr>
                <w:rFonts w:ascii="Times New Roman" w:hAnsi="Times New Roman"/>
                <w:sz w:val="18"/>
                <w:szCs w:val="18"/>
              </w:rPr>
            </w:pPr>
          </w:p>
        </w:tc>
        <w:tc>
          <w:tcPr>
            <w:tcW w:w="992" w:type="dxa"/>
            <w:vAlign w:val="center"/>
          </w:tcPr>
          <w:p w14:paraId="2CAD8F8E" w14:textId="77777777" w:rsidR="00626001" w:rsidRPr="00B0658A" w:rsidRDefault="00626001" w:rsidP="00004A41">
            <w:pPr>
              <w:spacing w:after="0" w:line="240" w:lineRule="auto"/>
              <w:jc w:val="center"/>
              <w:rPr>
                <w:rFonts w:ascii="Times New Roman" w:hAnsi="Times New Roman"/>
                <w:sz w:val="18"/>
                <w:szCs w:val="18"/>
              </w:rPr>
            </w:pPr>
          </w:p>
        </w:tc>
        <w:tc>
          <w:tcPr>
            <w:tcW w:w="803" w:type="dxa"/>
            <w:shd w:val="clear" w:color="auto" w:fill="auto"/>
            <w:vAlign w:val="center"/>
            <w:hideMark/>
          </w:tcPr>
          <w:p w14:paraId="1968FFD3" w14:textId="77777777" w:rsidR="00626001" w:rsidRPr="00B0658A" w:rsidRDefault="00626001" w:rsidP="00004A41">
            <w:pPr>
              <w:spacing w:after="0" w:line="240" w:lineRule="auto"/>
              <w:jc w:val="center"/>
              <w:rPr>
                <w:rFonts w:ascii="Times New Roman" w:hAnsi="Times New Roman"/>
                <w:sz w:val="18"/>
                <w:szCs w:val="18"/>
              </w:rPr>
            </w:pPr>
          </w:p>
        </w:tc>
        <w:tc>
          <w:tcPr>
            <w:tcW w:w="803" w:type="dxa"/>
            <w:shd w:val="clear" w:color="auto" w:fill="auto"/>
            <w:vAlign w:val="center"/>
            <w:hideMark/>
          </w:tcPr>
          <w:p w14:paraId="6C2AEED5" w14:textId="77777777" w:rsidR="00626001" w:rsidRPr="00B0658A" w:rsidRDefault="00626001" w:rsidP="00004A41">
            <w:pPr>
              <w:spacing w:after="0" w:line="240" w:lineRule="auto"/>
              <w:jc w:val="center"/>
              <w:rPr>
                <w:rFonts w:ascii="Times New Roman" w:hAnsi="Times New Roman"/>
                <w:sz w:val="18"/>
                <w:szCs w:val="18"/>
              </w:rPr>
            </w:pPr>
          </w:p>
        </w:tc>
        <w:tc>
          <w:tcPr>
            <w:tcW w:w="804" w:type="dxa"/>
            <w:shd w:val="clear" w:color="auto" w:fill="auto"/>
            <w:vAlign w:val="center"/>
            <w:hideMark/>
          </w:tcPr>
          <w:p w14:paraId="46194F86" w14:textId="77777777" w:rsidR="00626001" w:rsidRPr="00B0658A" w:rsidRDefault="00626001" w:rsidP="00004A41">
            <w:pPr>
              <w:spacing w:after="0" w:line="240" w:lineRule="auto"/>
              <w:jc w:val="center"/>
              <w:rPr>
                <w:rFonts w:ascii="Times New Roman" w:hAnsi="Times New Roman"/>
                <w:sz w:val="18"/>
                <w:szCs w:val="18"/>
              </w:rPr>
            </w:pPr>
          </w:p>
        </w:tc>
        <w:tc>
          <w:tcPr>
            <w:tcW w:w="1530" w:type="dxa"/>
            <w:vAlign w:val="center"/>
          </w:tcPr>
          <w:p w14:paraId="540CA21E" w14:textId="77777777" w:rsidR="00626001" w:rsidRPr="00B0658A" w:rsidRDefault="00626001" w:rsidP="00004A41">
            <w:pPr>
              <w:spacing w:after="0" w:line="240" w:lineRule="auto"/>
              <w:jc w:val="center"/>
              <w:rPr>
                <w:rFonts w:ascii="Times New Roman" w:hAnsi="Times New Roman"/>
                <w:sz w:val="18"/>
                <w:szCs w:val="18"/>
              </w:rPr>
            </w:pPr>
          </w:p>
        </w:tc>
      </w:tr>
      <w:tr w:rsidR="00F52FED" w:rsidRPr="00B0658A" w14:paraId="5BDC80A6" w14:textId="77777777" w:rsidTr="000103BB">
        <w:trPr>
          <w:trHeight w:val="20"/>
        </w:trPr>
        <w:tc>
          <w:tcPr>
            <w:tcW w:w="578" w:type="dxa"/>
            <w:shd w:val="clear" w:color="000000" w:fill="FFFFFF"/>
            <w:vAlign w:val="center"/>
          </w:tcPr>
          <w:p w14:paraId="346CDE6D" w14:textId="77777777" w:rsidR="00626001" w:rsidRPr="00B0658A" w:rsidRDefault="00626001" w:rsidP="00004A41">
            <w:pPr>
              <w:spacing w:after="0" w:line="240" w:lineRule="auto"/>
              <w:jc w:val="center"/>
              <w:rPr>
                <w:rFonts w:ascii="Times New Roman" w:hAnsi="Times New Roman"/>
                <w:sz w:val="18"/>
                <w:szCs w:val="18"/>
              </w:rPr>
            </w:pPr>
            <w:r w:rsidRPr="00B0658A">
              <w:rPr>
                <w:rFonts w:ascii="Times New Roman" w:hAnsi="Times New Roman"/>
                <w:sz w:val="18"/>
                <w:szCs w:val="18"/>
              </w:rPr>
              <w:t>3.5</w:t>
            </w:r>
          </w:p>
        </w:tc>
        <w:tc>
          <w:tcPr>
            <w:tcW w:w="3812" w:type="dxa"/>
            <w:shd w:val="clear" w:color="auto" w:fill="auto"/>
            <w:vAlign w:val="center"/>
            <w:hideMark/>
          </w:tcPr>
          <w:p w14:paraId="4F9DCCD2" w14:textId="77777777" w:rsidR="00626001" w:rsidRPr="00B0658A" w:rsidRDefault="00626001" w:rsidP="00004A41">
            <w:pPr>
              <w:spacing w:after="0" w:line="240" w:lineRule="auto"/>
              <w:rPr>
                <w:rFonts w:ascii="Times New Roman" w:hAnsi="Times New Roman"/>
                <w:sz w:val="18"/>
                <w:szCs w:val="18"/>
              </w:rPr>
            </w:pPr>
            <w:r w:rsidRPr="00B0658A">
              <w:rPr>
                <w:rFonts w:ascii="Times New Roman" w:hAnsi="Times New Roman"/>
                <w:sz w:val="18"/>
                <w:szCs w:val="18"/>
              </w:rPr>
              <w:t>Средства обеспечения информационной безопасности/ Средства защиты сервисов онлайн-платежей и дистанционного банковского обслуживания</w:t>
            </w:r>
          </w:p>
        </w:tc>
        <w:tc>
          <w:tcPr>
            <w:tcW w:w="1842" w:type="dxa"/>
            <w:shd w:val="clear" w:color="000000" w:fill="FFFFFF"/>
            <w:hideMark/>
          </w:tcPr>
          <w:p w14:paraId="73C76A3B" w14:textId="77777777" w:rsidR="00626001" w:rsidRPr="00B0658A" w:rsidRDefault="00626001" w:rsidP="00004A41">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79" w:type="dxa"/>
            <w:vAlign w:val="center"/>
          </w:tcPr>
          <w:p w14:paraId="44434063"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auto" w:fill="auto"/>
            <w:vAlign w:val="center"/>
            <w:hideMark/>
          </w:tcPr>
          <w:p w14:paraId="6309DF9E"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auto" w:fill="auto"/>
            <w:vAlign w:val="center"/>
            <w:hideMark/>
          </w:tcPr>
          <w:p w14:paraId="0CD49F72"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auto" w:fill="auto"/>
            <w:vAlign w:val="center"/>
            <w:hideMark/>
          </w:tcPr>
          <w:p w14:paraId="53F5933B" w14:textId="77777777" w:rsidR="00626001" w:rsidRPr="00B0658A" w:rsidRDefault="00626001" w:rsidP="00004A41">
            <w:pPr>
              <w:spacing w:after="0" w:line="240" w:lineRule="auto"/>
              <w:jc w:val="center"/>
              <w:rPr>
                <w:rFonts w:ascii="Times New Roman" w:hAnsi="Times New Roman"/>
                <w:sz w:val="18"/>
                <w:szCs w:val="18"/>
              </w:rPr>
            </w:pPr>
          </w:p>
        </w:tc>
        <w:tc>
          <w:tcPr>
            <w:tcW w:w="992" w:type="dxa"/>
            <w:vAlign w:val="center"/>
          </w:tcPr>
          <w:p w14:paraId="0F1E2ED4" w14:textId="77777777" w:rsidR="00626001" w:rsidRPr="00B0658A" w:rsidRDefault="00626001" w:rsidP="00004A41">
            <w:pPr>
              <w:spacing w:after="0" w:line="240" w:lineRule="auto"/>
              <w:jc w:val="center"/>
              <w:rPr>
                <w:rFonts w:ascii="Times New Roman" w:hAnsi="Times New Roman"/>
                <w:sz w:val="18"/>
                <w:szCs w:val="18"/>
              </w:rPr>
            </w:pPr>
          </w:p>
        </w:tc>
        <w:tc>
          <w:tcPr>
            <w:tcW w:w="803" w:type="dxa"/>
            <w:shd w:val="clear" w:color="auto" w:fill="auto"/>
            <w:vAlign w:val="center"/>
            <w:hideMark/>
          </w:tcPr>
          <w:p w14:paraId="13F7402D" w14:textId="77777777" w:rsidR="00626001" w:rsidRPr="00B0658A" w:rsidRDefault="00626001" w:rsidP="00004A41">
            <w:pPr>
              <w:spacing w:after="0" w:line="240" w:lineRule="auto"/>
              <w:jc w:val="center"/>
              <w:rPr>
                <w:rFonts w:ascii="Times New Roman" w:hAnsi="Times New Roman"/>
                <w:sz w:val="18"/>
                <w:szCs w:val="18"/>
              </w:rPr>
            </w:pPr>
          </w:p>
        </w:tc>
        <w:tc>
          <w:tcPr>
            <w:tcW w:w="803" w:type="dxa"/>
            <w:shd w:val="clear" w:color="auto" w:fill="auto"/>
            <w:vAlign w:val="center"/>
            <w:hideMark/>
          </w:tcPr>
          <w:p w14:paraId="0F65CAED" w14:textId="77777777" w:rsidR="00626001" w:rsidRPr="00B0658A" w:rsidRDefault="00626001" w:rsidP="00004A41">
            <w:pPr>
              <w:spacing w:after="0" w:line="240" w:lineRule="auto"/>
              <w:jc w:val="center"/>
              <w:rPr>
                <w:rFonts w:ascii="Times New Roman" w:hAnsi="Times New Roman"/>
                <w:sz w:val="18"/>
                <w:szCs w:val="18"/>
              </w:rPr>
            </w:pPr>
          </w:p>
        </w:tc>
        <w:tc>
          <w:tcPr>
            <w:tcW w:w="804" w:type="dxa"/>
            <w:shd w:val="clear" w:color="auto" w:fill="auto"/>
            <w:vAlign w:val="center"/>
            <w:hideMark/>
          </w:tcPr>
          <w:p w14:paraId="4F26B200" w14:textId="77777777" w:rsidR="00626001" w:rsidRPr="00B0658A" w:rsidRDefault="00626001" w:rsidP="00004A41">
            <w:pPr>
              <w:spacing w:after="0" w:line="240" w:lineRule="auto"/>
              <w:jc w:val="center"/>
              <w:rPr>
                <w:rFonts w:ascii="Times New Roman" w:hAnsi="Times New Roman"/>
                <w:sz w:val="18"/>
                <w:szCs w:val="18"/>
              </w:rPr>
            </w:pPr>
          </w:p>
        </w:tc>
        <w:tc>
          <w:tcPr>
            <w:tcW w:w="1530" w:type="dxa"/>
            <w:vAlign w:val="center"/>
          </w:tcPr>
          <w:p w14:paraId="1A8783EB" w14:textId="77777777" w:rsidR="00626001" w:rsidRPr="00B0658A" w:rsidRDefault="00626001" w:rsidP="00004A41">
            <w:pPr>
              <w:spacing w:after="0" w:line="240" w:lineRule="auto"/>
              <w:jc w:val="center"/>
              <w:rPr>
                <w:rFonts w:ascii="Times New Roman" w:hAnsi="Times New Roman"/>
                <w:sz w:val="18"/>
                <w:szCs w:val="18"/>
              </w:rPr>
            </w:pPr>
          </w:p>
        </w:tc>
      </w:tr>
      <w:tr w:rsidR="00F52FED" w:rsidRPr="00B0658A" w14:paraId="15E011C1" w14:textId="77777777" w:rsidTr="000103BB">
        <w:trPr>
          <w:trHeight w:val="20"/>
        </w:trPr>
        <w:tc>
          <w:tcPr>
            <w:tcW w:w="578" w:type="dxa"/>
            <w:shd w:val="clear" w:color="000000" w:fill="FFFFFF"/>
            <w:vAlign w:val="center"/>
          </w:tcPr>
          <w:p w14:paraId="35403593" w14:textId="77777777" w:rsidR="00626001" w:rsidRPr="00B0658A" w:rsidRDefault="00626001" w:rsidP="00004A41">
            <w:pPr>
              <w:spacing w:after="0" w:line="240" w:lineRule="auto"/>
              <w:jc w:val="center"/>
              <w:rPr>
                <w:rFonts w:ascii="Times New Roman" w:hAnsi="Times New Roman"/>
                <w:sz w:val="18"/>
                <w:szCs w:val="18"/>
              </w:rPr>
            </w:pPr>
            <w:r w:rsidRPr="00B0658A">
              <w:rPr>
                <w:rFonts w:ascii="Times New Roman" w:hAnsi="Times New Roman"/>
                <w:sz w:val="18"/>
                <w:szCs w:val="18"/>
              </w:rPr>
              <w:t>3.6</w:t>
            </w:r>
          </w:p>
        </w:tc>
        <w:tc>
          <w:tcPr>
            <w:tcW w:w="3812" w:type="dxa"/>
            <w:shd w:val="clear" w:color="auto" w:fill="auto"/>
            <w:vAlign w:val="center"/>
            <w:hideMark/>
          </w:tcPr>
          <w:p w14:paraId="7B541700" w14:textId="77777777" w:rsidR="00626001" w:rsidRPr="00B0658A" w:rsidRDefault="00626001" w:rsidP="00004A41">
            <w:pPr>
              <w:spacing w:after="0" w:line="240" w:lineRule="auto"/>
              <w:rPr>
                <w:rFonts w:ascii="Times New Roman" w:hAnsi="Times New Roman"/>
                <w:sz w:val="18"/>
                <w:szCs w:val="18"/>
              </w:rPr>
            </w:pPr>
            <w:r w:rsidRPr="00B0658A">
              <w:rPr>
                <w:rFonts w:ascii="Times New Roman" w:hAnsi="Times New Roman"/>
                <w:sz w:val="18"/>
                <w:szCs w:val="18"/>
              </w:rPr>
              <w:t>Средства обеспечения информационной безопасности/ Средства антивирусной защиты</w:t>
            </w:r>
          </w:p>
        </w:tc>
        <w:tc>
          <w:tcPr>
            <w:tcW w:w="1842" w:type="dxa"/>
            <w:shd w:val="clear" w:color="000000" w:fill="FFFFFF"/>
            <w:hideMark/>
          </w:tcPr>
          <w:p w14:paraId="64034998" w14:textId="77777777" w:rsidR="00626001" w:rsidRPr="00B0658A" w:rsidRDefault="00626001" w:rsidP="00004A41">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79" w:type="dxa"/>
            <w:vAlign w:val="center"/>
          </w:tcPr>
          <w:p w14:paraId="6D2B29F4"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auto" w:fill="auto"/>
            <w:vAlign w:val="center"/>
            <w:hideMark/>
          </w:tcPr>
          <w:p w14:paraId="2BF55866"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auto" w:fill="auto"/>
            <w:vAlign w:val="center"/>
            <w:hideMark/>
          </w:tcPr>
          <w:p w14:paraId="7E4D041D"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auto" w:fill="auto"/>
            <w:vAlign w:val="center"/>
            <w:hideMark/>
          </w:tcPr>
          <w:p w14:paraId="6BA3BC2D" w14:textId="77777777" w:rsidR="00626001" w:rsidRPr="00B0658A" w:rsidRDefault="00626001" w:rsidP="00004A41">
            <w:pPr>
              <w:spacing w:after="0" w:line="240" w:lineRule="auto"/>
              <w:jc w:val="center"/>
              <w:rPr>
                <w:rFonts w:ascii="Times New Roman" w:hAnsi="Times New Roman"/>
                <w:sz w:val="18"/>
                <w:szCs w:val="18"/>
              </w:rPr>
            </w:pPr>
          </w:p>
        </w:tc>
        <w:tc>
          <w:tcPr>
            <w:tcW w:w="992" w:type="dxa"/>
            <w:vAlign w:val="center"/>
          </w:tcPr>
          <w:p w14:paraId="0376FD11" w14:textId="77777777" w:rsidR="00626001" w:rsidRPr="00B0658A" w:rsidRDefault="00626001" w:rsidP="00004A41">
            <w:pPr>
              <w:spacing w:after="0" w:line="240" w:lineRule="auto"/>
              <w:jc w:val="center"/>
              <w:rPr>
                <w:rFonts w:ascii="Times New Roman" w:hAnsi="Times New Roman"/>
                <w:sz w:val="18"/>
                <w:szCs w:val="18"/>
              </w:rPr>
            </w:pPr>
          </w:p>
        </w:tc>
        <w:tc>
          <w:tcPr>
            <w:tcW w:w="803" w:type="dxa"/>
            <w:shd w:val="clear" w:color="auto" w:fill="auto"/>
            <w:vAlign w:val="center"/>
            <w:hideMark/>
          </w:tcPr>
          <w:p w14:paraId="06D72C40" w14:textId="77777777" w:rsidR="00626001" w:rsidRPr="00B0658A" w:rsidRDefault="00626001" w:rsidP="00004A41">
            <w:pPr>
              <w:spacing w:after="0" w:line="240" w:lineRule="auto"/>
              <w:jc w:val="center"/>
              <w:rPr>
                <w:rFonts w:ascii="Times New Roman" w:hAnsi="Times New Roman"/>
                <w:sz w:val="18"/>
                <w:szCs w:val="18"/>
              </w:rPr>
            </w:pPr>
          </w:p>
        </w:tc>
        <w:tc>
          <w:tcPr>
            <w:tcW w:w="803" w:type="dxa"/>
            <w:shd w:val="clear" w:color="auto" w:fill="auto"/>
            <w:vAlign w:val="center"/>
            <w:hideMark/>
          </w:tcPr>
          <w:p w14:paraId="07C95A23" w14:textId="77777777" w:rsidR="00626001" w:rsidRPr="00B0658A" w:rsidRDefault="00626001" w:rsidP="00004A41">
            <w:pPr>
              <w:spacing w:after="0" w:line="240" w:lineRule="auto"/>
              <w:jc w:val="center"/>
              <w:rPr>
                <w:rFonts w:ascii="Times New Roman" w:hAnsi="Times New Roman"/>
                <w:sz w:val="18"/>
                <w:szCs w:val="18"/>
              </w:rPr>
            </w:pPr>
          </w:p>
        </w:tc>
        <w:tc>
          <w:tcPr>
            <w:tcW w:w="804" w:type="dxa"/>
            <w:shd w:val="clear" w:color="auto" w:fill="auto"/>
            <w:vAlign w:val="center"/>
            <w:hideMark/>
          </w:tcPr>
          <w:p w14:paraId="52939DBF" w14:textId="77777777" w:rsidR="00626001" w:rsidRPr="00B0658A" w:rsidRDefault="00626001" w:rsidP="00004A41">
            <w:pPr>
              <w:spacing w:after="0" w:line="240" w:lineRule="auto"/>
              <w:jc w:val="center"/>
              <w:rPr>
                <w:rFonts w:ascii="Times New Roman" w:hAnsi="Times New Roman"/>
                <w:sz w:val="18"/>
                <w:szCs w:val="18"/>
              </w:rPr>
            </w:pPr>
          </w:p>
        </w:tc>
        <w:tc>
          <w:tcPr>
            <w:tcW w:w="1530" w:type="dxa"/>
            <w:vAlign w:val="center"/>
          </w:tcPr>
          <w:p w14:paraId="04178899" w14:textId="77777777" w:rsidR="00626001" w:rsidRPr="00B0658A" w:rsidRDefault="00626001" w:rsidP="00004A41">
            <w:pPr>
              <w:spacing w:after="0" w:line="240" w:lineRule="auto"/>
              <w:jc w:val="center"/>
              <w:rPr>
                <w:rFonts w:ascii="Times New Roman" w:hAnsi="Times New Roman"/>
                <w:sz w:val="18"/>
                <w:szCs w:val="18"/>
              </w:rPr>
            </w:pPr>
          </w:p>
        </w:tc>
      </w:tr>
      <w:tr w:rsidR="00F52FED" w:rsidRPr="00B0658A" w14:paraId="3807DE21" w14:textId="77777777" w:rsidTr="000103BB">
        <w:trPr>
          <w:trHeight w:val="20"/>
        </w:trPr>
        <w:tc>
          <w:tcPr>
            <w:tcW w:w="578" w:type="dxa"/>
            <w:shd w:val="clear" w:color="000000" w:fill="FFFFFF"/>
            <w:vAlign w:val="center"/>
          </w:tcPr>
          <w:p w14:paraId="5015C71E" w14:textId="77777777" w:rsidR="00626001" w:rsidRPr="00B0658A" w:rsidRDefault="00626001" w:rsidP="00004A41">
            <w:pPr>
              <w:spacing w:after="0" w:line="240" w:lineRule="auto"/>
              <w:jc w:val="center"/>
              <w:rPr>
                <w:rFonts w:ascii="Times New Roman" w:hAnsi="Times New Roman"/>
                <w:sz w:val="18"/>
                <w:szCs w:val="18"/>
              </w:rPr>
            </w:pPr>
            <w:r w:rsidRPr="00B0658A">
              <w:rPr>
                <w:rFonts w:ascii="Times New Roman" w:hAnsi="Times New Roman"/>
                <w:sz w:val="18"/>
                <w:szCs w:val="18"/>
              </w:rPr>
              <w:t>3.7</w:t>
            </w:r>
          </w:p>
        </w:tc>
        <w:tc>
          <w:tcPr>
            <w:tcW w:w="3812" w:type="dxa"/>
            <w:shd w:val="clear" w:color="auto" w:fill="auto"/>
            <w:vAlign w:val="center"/>
            <w:hideMark/>
          </w:tcPr>
          <w:p w14:paraId="6E84B7F7" w14:textId="77777777" w:rsidR="00626001" w:rsidRPr="00B0658A" w:rsidRDefault="00626001" w:rsidP="00004A41">
            <w:pPr>
              <w:spacing w:after="0" w:line="240" w:lineRule="auto"/>
              <w:rPr>
                <w:rFonts w:ascii="Times New Roman" w:hAnsi="Times New Roman"/>
                <w:sz w:val="18"/>
                <w:szCs w:val="18"/>
              </w:rPr>
            </w:pPr>
            <w:r w:rsidRPr="00B0658A">
              <w:rPr>
                <w:rFonts w:ascii="Times New Roman" w:hAnsi="Times New Roman"/>
                <w:sz w:val="18"/>
                <w:szCs w:val="18"/>
              </w:rPr>
              <w:t>Средства обеспечения информационной безопасности/ Средства выявления целевых атак</w:t>
            </w:r>
          </w:p>
        </w:tc>
        <w:tc>
          <w:tcPr>
            <w:tcW w:w="1842" w:type="dxa"/>
            <w:shd w:val="clear" w:color="000000" w:fill="FFFFFF"/>
            <w:hideMark/>
          </w:tcPr>
          <w:p w14:paraId="74927869" w14:textId="77777777" w:rsidR="00626001" w:rsidRPr="00B0658A" w:rsidRDefault="00626001" w:rsidP="00004A41">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79" w:type="dxa"/>
            <w:vAlign w:val="center"/>
          </w:tcPr>
          <w:p w14:paraId="322253C0"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auto" w:fill="auto"/>
            <w:vAlign w:val="center"/>
            <w:hideMark/>
          </w:tcPr>
          <w:p w14:paraId="69F3AD1C"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auto" w:fill="auto"/>
            <w:vAlign w:val="center"/>
            <w:hideMark/>
          </w:tcPr>
          <w:p w14:paraId="44450C80"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auto" w:fill="auto"/>
            <w:vAlign w:val="center"/>
            <w:hideMark/>
          </w:tcPr>
          <w:p w14:paraId="27FD519C" w14:textId="77777777" w:rsidR="00626001" w:rsidRPr="00B0658A" w:rsidRDefault="00626001" w:rsidP="00004A41">
            <w:pPr>
              <w:spacing w:after="0" w:line="240" w:lineRule="auto"/>
              <w:jc w:val="center"/>
              <w:rPr>
                <w:rFonts w:ascii="Times New Roman" w:hAnsi="Times New Roman"/>
                <w:sz w:val="18"/>
                <w:szCs w:val="18"/>
              </w:rPr>
            </w:pPr>
          </w:p>
        </w:tc>
        <w:tc>
          <w:tcPr>
            <w:tcW w:w="992" w:type="dxa"/>
            <w:vAlign w:val="center"/>
          </w:tcPr>
          <w:p w14:paraId="3C308F9C" w14:textId="77777777" w:rsidR="00626001" w:rsidRPr="00B0658A" w:rsidRDefault="00626001" w:rsidP="00004A41">
            <w:pPr>
              <w:spacing w:after="0" w:line="240" w:lineRule="auto"/>
              <w:jc w:val="center"/>
              <w:rPr>
                <w:rFonts w:ascii="Times New Roman" w:hAnsi="Times New Roman"/>
                <w:sz w:val="18"/>
                <w:szCs w:val="18"/>
              </w:rPr>
            </w:pPr>
          </w:p>
        </w:tc>
        <w:tc>
          <w:tcPr>
            <w:tcW w:w="803" w:type="dxa"/>
            <w:shd w:val="clear" w:color="auto" w:fill="auto"/>
            <w:vAlign w:val="center"/>
            <w:hideMark/>
          </w:tcPr>
          <w:p w14:paraId="2E022785" w14:textId="77777777" w:rsidR="00626001" w:rsidRPr="00B0658A" w:rsidRDefault="00626001" w:rsidP="00004A41">
            <w:pPr>
              <w:spacing w:after="0" w:line="240" w:lineRule="auto"/>
              <w:jc w:val="center"/>
              <w:rPr>
                <w:rFonts w:ascii="Times New Roman" w:hAnsi="Times New Roman"/>
                <w:sz w:val="18"/>
                <w:szCs w:val="18"/>
              </w:rPr>
            </w:pPr>
          </w:p>
        </w:tc>
        <w:tc>
          <w:tcPr>
            <w:tcW w:w="803" w:type="dxa"/>
            <w:shd w:val="clear" w:color="auto" w:fill="auto"/>
            <w:vAlign w:val="center"/>
            <w:hideMark/>
          </w:tcPr>
          <w:p w14:paraId="23B2D69C" w14:textId="77777777" w:rsidR="00626001" w:rsidRPr="00B0658A" w:rsidRDefault="00626001" w:rsidP="00004A41">
            <w:pPr>
              <w:spacing w:after="0" w:line="240" w:lineRule="auto"/>
              <w:jc w:val="center"/>
              <w:rPr>
                <w:rFonts w:ascii="Times New Roman" w:hAnsi="Times New Roman"/>
                <w:sz w:val="18"/>
                <w:szCs w:val="18"/>
              </w:rPr>
            </w:pPr>
          </w:p>
        </w:tc>
        <w:tc>
          <w:tcPr>
            <w:tcW w:w="804" w:type="dxa"/>
            <w:shd w:val="clear" w:color="auto" w:fill="auto"/>
            <w:vAlign w:val="center"/>
            <w:hideMark/>
          </w:tcPr>
          <w:p w14:paraId="1EDFE87B" w14:textId="77777777" w:rsidR="00626001" w:rsidRPr="00B0658A" w:rsidRDefault="00626001" w:rsidP="00004A41">
            <w:pPr>
              <w:spacing w:after="0" w:line="240" w:lineRule="auto"/>
              <w:jc w:val="center"/>
              <w:rPr>
                <w:rFonts w:ascii="Times New Roman" w:hAnsi="Times New Roman"/>
                <w:sz w:val="18"/>
                <w:szCs w:val="18"/>
              </w:rPr>
            </w:pPr>
          </w:p>
        </w:tc>
        <w:tc>
          <w:tcPr>
            <w:tcW w:w="1530" w:type="dxa"/>
            <w:vAlign w:val="center"/>
          </w:tcPr>
          <w:p w14:paraId="0EE666F1" w14:textId="77777777" w:rsidR="00626001" w:rsidRPr="00B0658A" w:rsidRDefault="00626001" w:rsidP="00004A41">
            <w:pPr>
              <w:spacing w:after="0" w:line="240" w:lineRule="auto"/>
              <w:jc w:val="center"/>
              <w:rPr>
                <w:rFonts w:ascii="Times New Roman" w:hAnsi="Times New Roman"/>
                <w:sz w:val="18"/>
                <w:szCs w:val="18"/>
              </w:rPr>
            </w:pPr>
          </w:p>
        </w:tc>
      </w:tr>
      <w:tr w:rsidR="00F52FED" w:rsidRPr="00B0658A" w14:paraId="5779037F" w14:textId="77777777" w:rsidTr="000103BB">
        <w:trPr>
          <w:trHeight w:val="20"/>
        </w:trPr>
        <w:tc>
          <w:tcPr>
            <w:tcW w:w="578" w:type="dxa"/>
            <w:shd w:val="clear" w:color="000000" w:fill="FFFFFF"/>
            <w:vAlign w:val="center"/>
          </w:tcPr>
          <w:p w14:paraId="20E162C5" w14:textId="77777777" w:rsidR="00626001" w:rsidRPr="00B0658A" w:rsidRDefault="00626001" w:rsidP="00004A41">
            <w:pPr>
              <w:spacing w:after="0" w:line="240" w:lineRule="auto"/>
              <w:jc w:val="center"/>
              <w:rPr>
                <w:rFonts w:ascii="Times New Roman" w:hAnsi="Times New Roman"/>
                <w:sz w:val="18"/>
                <w:szCs w:val="18"/>
              </w:rPr>
            </w:pPr>
            <w:r w:rsidRPr="00B0658A">
              <w:rPr>
                <w:rFonts w:ascii="Times New Roman" w:hAnsi="Times New Roman"/>
                <w:sz w:val="18"/>
                <w:szCs w:val="18"/>
              </w:rPr>
              <w:t>3.8</w:t>
            </w:r>
          </w:p>
        </w:tc>
        <w:tc>
          <w:tcPr>
            <w:tcW w:w="3812" w:type="dxa"/>
            <w:shd w:val="clear" w:color="auto" w:fill="auto"/>
            <w:vAlign w:val="center"/>
            <w:hideMark/>
          </w:tcPr>
          <w:p w14:paraId="0196DDB0" w14:textId="77777777" w:rsidR="00626001" w:rsidRPr="00B0658A" w:rsidRDefault="00626001" w:rsidP="00004A41">
            <w:pPr>
              <w:spacing w:after="0" w:line="240" w:lineRule="auto"/>
              <w:rPr>
                <w:rFonts w:ascii="Times New Roman" w:hAnsi="Times New Roman"/>
                <w:sz w:val="18"/>
                <w:szCs w:val="18"/>
              </w:rPr>
            </w:pPr>
            <w:r w:rsidRPr="00B0658A">
              <w:rPr>
                <w:rFonts w:ascii="Times New Roman" w:hAnsi="Times New Roman"/>
                <w:sz w:val="18"/>
                <w:szCs w:val="18"/>
              </w:rPr>
              <w:t>Средства обеспечения информационной безопасности/ Средства гарантированного уничтожения данных</w:t>
            </w:r>
          </w:p>
        </w:tc>
        <w:tc>
          <w:tcPr>
            <w:tcW w:w="1842" w:type="dxa"/>
            <w:shd w:val="clear" w:color="000000" w:fill="FFFFFF"/>
            <w:hideMark/>
          </w:tcPr>
          <w:p w14:paraId="13C34C4F" w14:textId="77777777" w:rsidR="00626001" w:rsidRPr="00B0658A" w:rsidRDefault="00626001" w:rsidP="00004A41">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79" w:type="dxa"/>
            <w:vAlign w:val="center"/>
          </w:tcPr>
          <w:p w14:paraId="46531BFC"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auto" w:fill="auto"/>
            <w:vAlign w:val="center"/>
            <w:hideMark/>
          </w:tcPr>
          <w:p w14:paraId="7D657B1B"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auto" w:fill="auto"/>
            <w:vAlign w:val="center"/>
            <w:hideMark/>
          </w:tcPr>
          <w:p w14:paraId="3930BA30"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auto" w:fill="auto"/>
            <w:vAlign w:val="center"/>
            <w:hideMark/>
          </w:tcPr>
          <w:p w14:paraId="1D639530" w14:textId="77777777" w:rsidR="00626001" w:rsidRPr="00B0658A" w:rsidRDefault="00626001" w:rsidP="00004A41">
            <w:pPr>
              <w:spacing w:after="0" w:line="240" w:lineRule="auto"/>
              <w:jc w:val="center"/>
              <w:rPr>
                <w:rFonts w:ascii="Times New Roman" w:hAnsi="Times New Roman"/>
                <w:sz w:val="18"/>
                <w:szCs w:val="18"/>
              </w:rPr>
            </w:pPr>
          </w:p>
        </w:tc>
        <w:tc>
          <w:tcPr>
            <w:tcW w:w="992" w:type="dxa"/>
            <w:vAlign w:val="center"/>
          </w:tcPr>
          <w:p w14:paraId="105F0C6F" w14:textId="77777777" w:rsidR="00626001" w:rsidRPr="00B0658A" w:rsidRDefault="00626001" w:rsidP="00004A41">
            <w:pPr>
              <w:spacing w:after="0" w:line="240" w:lineRule="auto"/>
              <w:jc w:val="center"/>
              <w:rPr>
                <w:rFonts w:ascii="Times New Roman" w:hAnsi="Times New Roman"/>
                <w:sz w:val="18"/>
                <w:szCs w:val="18"/>
              </w:rPr>
            </w:pPr>
          </w:p>
        </w:tc>
        <w:tc>
          <w:tcPr>
            <w:tcW w:w="803" w:type="dxa"/>
            <w:shd w:val="clear" w:color="auto" w:fill="auto"/>
            <w:vAlign w:val="center"/>
            <w:hideMark/>
          </w:tcPr>
          <w:p w14:paraId="296CC86E" w14:textId="77777777" w:rsidR="00626001" w:rsidRPr="00B0658A" w:rsidRDefault="00626001" w:rsidP="00004A41">
            <w:pPr>
              <w:spacing w:after="0" w:line="240" w:lineRule="auto"/>
              <w:jc w:val="center"/>
              <w:rPr>
                <w:rFonts w:ascii="Times New Roman" w:hAnsi="Times New Roman"/>
                <w:sz w:val="18"/>
                <w:szCs w:val="18"/>
              </w:rPr>
            </w:pPr>
          </w:p>
        </w:tc>
        <w:tc>
          <w:tcPr>
            <w:tcW w:w="803" w:type="dxa"/>
            <w:shd w:val="clear" w:color="auto" w:fill="auto"/>
            <w:vAlign w:val="center"/>
            <w:hideMark/>
          </w:tcPr>
          <w:p w14:paraId="4D51F016" w14:textId="77777777" w:rsidR="00626001" w:rsidRPr="00B0658A" w:rsidRDefault="00626001" w:rsidP="00004A41">
            <w:pPr>
              <w:spacing w:after="0" w:line="240" w:lineRule="auto"/>
              <w:jc w:val="center"/>
              <w:rPr>
                <w:rFonts w:ascii="Times New Roman" w:hAnsi="Times New Roman"/>
                <w:sz w:val="18"/>
                <w:szCs w:val="18"/>
              </w:rPr>
            </w:pPr>
          </w:p>
        </w:tc>
        <w:tc>
          <w:tcPr>
            <w:tcW w:w="804" w:type="dxa"/>
            <w:shd w:val="clear" w:color="auto" w:fill="auto"/>
            <w:vAlign w:val="center"/>
            <w:hideMark/>
          </w:tcPr>
          <w:p w14:paraId="5B746ACF" w14:textId="77777777" w:rsidR="00626001" w:rsidRPr="00B0658A" w:rsidRDefault="00626001" w:rsidP="00004A41">
            <w:pPr>
              <w:spacing w:after="0" w:line="240" w:lineRule="auto"/>
              <w:jc w:val="center"/>
              <w:rPr>
                <w:rFonts w:ascii="Times New Roman" w:hAnsi="Times New Roman"/>
                <w:sz w:val="18"/>
                <w:szCs w:val="18"/>
              </w:rPr>
            </w:pPr>
          </w:p>
        </w:tc>
        <w:tc>
          <w:tcPr>
            <w:tcW w:w="1530" w:type="dxa"/>
            <w:vAlign w:val="center"/>
          </w:tcPr>
          <w:p w14:paraId="1C3279D8" w14:textId="77777777" w:rsidR="00626001" w:rsidRPr="00B0658A" w:rsidRDefault="00626001" w:rsidP="00004A41">
            <w:pPr>
              <w:spacing w:after="0" w:line="240" w:lineRule="auto"/>
              <w:jc w:val="center"/>
              <w:rPr>
                <w:rFonts w:ascii="Times New Roman" w:hAnsi="Times New Roman"/>
                <w:sz w:val="18"/>
                <w:szCs w:val="18"/>
              </w:rPr>
            </w:pPr>
          </w:p>
        </w:tc>
      </w:tr>
      <w:tr w:rsidR="00F52FED" w:rsidRPr="00B0658A" w14:paraId="70D085D4" w14:textId="77777777" w:rsidTr="000103BB">
        <w:trPr>
          <w:trHeight w:val="20"/>
        </w:trPr>
        <w:tc>
          <w:tcPr>
            <w:tcW w:w="578" w:type="dxa"/>
            <w:shd w:val="clear" w:color="000000" w:fill="FFFFFF"/>
            <w:vAlign w:val="center"/>
          </w:tcPr>
          <w:p w14:paraId="58880989" w14:textId="77777777" w:rsidR="00626001" w:rsidRPr="00B0658A" w:rsidRDefault="00626001" w:rsidP="00004A41">
            <w:pPr>
              <w:spacing w:after="0" w:line="240" w:lineRule="auto"/>
              <w:jc w:val="center"/>
              <w:rPr>
                <w:rFonts w:ascii="Times New Roman" w:hAnsi="Times New Roman"/>
                <w:sz w:val="18"/>
                <w:szCs w:val="18"/>
              </w:rPr>
            </w:pPr>
            <w:r w:rsidRPr="00B0658A">
              <w:rPr>
                <w:rFonts w:ascii="Times New Roman" w:hAnsi="Times New Roman"/>
                <w:sz w:val="18"/>
                <w:szCs w:val="18"/>
              </w:rPr>
              <w:t>3.9</w:t>
            </w:r>
          </w:p>
        </w:tc>
        <w:tc>
          <w:tcPr>
            <w:tcW w:w="3812" w:type="dxa"/>
            <w:shd w:val="clear" w:color="auto" w:fill="auto"/>
            <w:vAlign w:val="center"/>
            <w:hideMark/>
          </w:tcPr>
          <w:p w14:paraId="75E2A3E8" w14:textId="77777777" w:rsidR="00626001" w:rsidRPr="00B0658A" w:rsidRDefault="00626001" w:rsidP="00004A41">
            <w:pPr>
              <w:spacing w:after="0" w:line="240" w:lineRule="auto"/>
              <w:rPr>
                <w:rFonts w:ascii="Times New Roman" w:hAnsi="Times New Roman"/>
                <w:sz w:val="18"/>
                <w:szCs w:val="18"/>
              </w:rPr>
            </w:pPr>
            <w:r w:rsidRPr="00B0658A">
              <w:rPr>
                <w:rFonts w:ascii="Times New Roman" w:hAnsi="Times New Roman"/>
                <w:sz w:val="18"/>
                <w:szCs w:val="18"/>
              </w:rPr>
              <w:t>Средства обеспечения информационной безопасности/ Средства обнаружения и предотвращения утечек информации</w:t>
            </w:r>
          </w:p>
        </w:tc>
        <w:tc>
          <w:tcPr>
            <w:tcW w:w="1842" w:type="dxa"/>
            <w:shd w:val="clear" w:color="000000" w:fill="FFFFFF"/>
            <w:hideMark/>
          </w:tcPr>
          <w:p w14:paraId="12B70501" w14:textId="77777777" w:rsidR="00626001" w:rsidRPr="00B0658A" w:rsidRDefault="00626001" w:rsidP="00004A41">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79" w:type="dxa"/>
            <w:vAlign w:val="center"/>
          </w:tcPr>
          <w:p w14:paraId="1247A573"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auto" w:fill="auto"/>
            <w:vAlign w:val="center"/>
            <w:hideMark/>
          </w:tcPr>
          <w:p w14:paraId="61A2D516"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auto" w:fill="auto"/>
            <w:vAlign w:val="center"/>
            <w:hideMark/>
          </w:tcPr>
          <w:p w14:paraId="3ED5A28E"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auto" w:fill="auto"/>
            <w:vAlign w:val="center"/>
            <w:hideMark/>
          </w:tcPr>
          <w:p w14:paraId="24C9FB34" w14:textId="77777777" w:rsidR="00626001" w:rsidRPr="00B0658A" w:rsidRDefault="00626001" w:rsidP="00004A41">
            <w:pPr>
              <w:spacing w:after="0" w:line="240" w:lineRule="auto"/>
              <w:jc w:val="center"/>
              <w:rPr>
                <w:rFonts w:ascii="Times New Roman" w:hAnsi="Times New Roman"/>
                <w:sz w:val="18"/>
                <w:szCs w:val="18"/>
              </w:rPr>
            </w:pPr>
          </w:p>
        </w:tc>
        <w:tc>
          <w:tcPr>
            <w:tcW w:w="992" w:type="dxa"/>
            <w:vAlign w:val="center"/>
          </w:tcPr>
          <w:p w14:paraId="73B6B6A8" w14:textId="77777777" w:rsidR="00626001" w:rsidRPr="00B0658A" w:rsidRDefault="00626001" w:rsidP="00004A41">
            <w:pPr>
              <w:spacing w:after="0" w:line="240" w:lineRule="auto"/>
              <w:jc w:val="center"/>
              <w:rPr>
                <w:rFonts w:ascii="Times New Roman" w:hAnsi="Times New Roman"/>
                <w:sz w:val="18"/>
                <w:szCs w:val="18"/>
              </w:rPr>
            </w:pPr>
          </w:p>
        </w:tc>
        <w:tc>
          <w:tcPr>
            <w:tcW w:w="803" w:type="dxa"/>
            <w:shd w:val="clear" w:color="auto" w:fill="auto"/>
            <w:vAlign w:val="center"/>
            <w:hideMark/>
          </w:tcPr>
          <w:p w14:paraId="438A30C9" w14:textId="77777777" w:rsidR="00626001" w:rsidRPr="00B0658A" w:rsidRDefault="00626001" w:rsidP="00004A41">
            <w:pPr>
              <w:spacing w:after="0" w:line="240" w:lineRule="auto"/>
              <w:jc w:val="center"/>
              <w:rPr>
                <w:rFonts w:ascii="Times New Roman" w:hAnsi="Times New Roman"/>
                <w:sz w:val="18"/>
                <w:szCs w:val="18"/>
              </w:rPr>
            </w:pPr>
          </w:p>
        </w:tc>
        <w:tc>
          <w:tcPr>
            <w:tcW w:w="803" w:type="dxa"/>
            <w:shd w:val="clear" w:color="auto" w:fill="auto"/>
            <w:vAlign w:val="center"/>
            <w:hideMark/>
          </w:tcPr>
          <w:p w14:paraId="277E5C46" w14:textId="77777777" w:rsidR="00626001" w:rsidRPr="00B0658A" w:rsidRDefault="00626001" w:rsidP="00004A41">
            <w:pPr>
              <w:spacing w:after="0" w:line="240" w:lineRule="auto"/>
              <w:jc w:val="center"/>
              <w:rPr>
                <w:rFonts w:ascii="Times New Roman" w:hAnsi="Times New Roman"/>
                <w:sz w:val="18"/>
                <w:szCs w:val="18"/>
              </w:rPr>
            </w:pPr>
          </w:p>
        </w:tc>
        <w:tc>
          <w:tcPr>
            <w:tcW w:w="804" w:type="dxa"/>
            <w:shd w:val="clear" w:color="auto" w:fill="auto"/>
            <w:vAlign w:val="center"/>
            <w:hideMark/>
          </w:tcPr>
          <w:p w14:paraId="35A6A752" w14:textId="77777777" w:rsidR="00626001" w:rsidRPr="00B0658A" w:rsidRDefault="00626001" w:rsidP="00004A41">
            <w:pPr>
              <w:spacing w:after="0" w:line="240" w:lineRule="auto"/>
              <w:jc w:val="center"/>
              <w:rPr>
                <w:rFonts w:ascii="Times New Roman" w:hAnsi="Times New Roman"/>
                <w:sz w:val="18"/>
                <w:szCs w:val="18"/>
              </w:rPr>
            </w:pPr>
          </w:p>
        </w:tc>
        <w:tc>
          <w:tcPr>
            <w:tcW w:w="1530" w:type="dxa"/>
            <w:vAlign w:val="center"/>
          </w:tcPr>
          <w:p w14:paraId="556DCFFA" w14:textId="77777777" w:rsidR="00626001" w:rsidRPr="00B0658A" w:rsidRDefault="00626001" w:rsidP="00004A41">
            <w:pPr>
              <w:spacing w:after="0" w:line="240" w:lineRule="auto"/>
              <w:jc w:val="center"/>
              <w:rPr>
                <w:rFonts w:ascii="Times New Roman" w:hAnsi="Times New Roman"/>
                <w:sz w:val="18"/>
                <w:szCs w:val="18"/>
              </w:rPr>
            </w:pPr>
          </w:p>
        </w:tc>
      </w:tr>
      <w:tr w:rsidR="00F52FED" w:rsidRPr="00B0658A" w14:paraId="47EEE7C4" w14:textId="77777777" w:rsidTr="000103BB">
        <w:trPr>
          <w:trHeight w:val="20"/>
        </w:trPr>
        <w:tc>
          <w:tcPr>
            <w:tcW w:w="578" w:type="dxa"/>
            <w:shd w:val="clear" w:color="000000" w:fill="FFFFFF"/>
            <w:vAlign w:val="center"/>
          </w:tcPr>
          <w:p w14:paraId="0AAB1852" w14:textId="77777777" w:rsidR="00626001" w:rsidRPr="00B0658A" w:rsidRDefault="00626001" w:rsidP="00004A41">
            <w:pPr>
              <w:spacing w:after="0" w:line="240" w:lineRule="auto"/>
              <w:jc w:val="center"/>
              <w:rPr>
                <w:rFonts w:ascii="Times New Roman" w:hAnsi="Times New Roman"/>
                <w:sz w:val="18"/>
                <w:szCs w:val="18"/>
              </w:rPr>
            </w:pPr>
            <w:r w:rsidRPr="00B0658A">
              <w:rPr>
                <w:rFonts w:ascii="Times New Roman" w:hAnsi="Times New Roman"/>
                <w:sz w:val="18"/>
                <w:szCs w:val="18"/>
              </w:rPr>
              <w:t>3.10</w:t>
            </w:r>
          </w:p>
        </w:tc>
        <w:tc>
          <w:tcPr>
            <w:tcW w:w="3812" w:type="dxa"/>
            <w:shd w:val="clear" w:color="auto" w:fill="auto"/>
            <w:vAlign w:val="center"/>
            <w:hideMark/>
          </w:tcPr>
          <w:p w14:paraId="60D0B078" w14:textId="77777777" w:rsidR="00626001" w:rsidRPr="00B0658A" w:rsidRDefault="00626001" w:rsidP="00004A41">
            <w:pPr>
              <w:spacing w:after="0" w:line="240" w:lineRule="auto"/>
              <w:rPr>
                <w:rFonts w:ascii="Times New Roman" w:hAnsi="Times New Roman"/>
                <w:sz w:val="18"/>
                <w:szCs w:val="18"/>
              </w:rPr>
            </w:pPr>
            <w:r w:rsidRPr="00B0658A">
              <w:rPr>
                <w:rFonts w:ascii="Times New Roman" w:hAnsi="Times New Roman"/>
                <w:sz w:val="18"/>
                <w:szCs w:val="18"/>
              </w:rPr>
              <w:t>Средства обеспечения информационной безопасности/ Средства криптографической защиты информации и электронной подписи</w:t>
            </w:r>
          </w:p>
        </w:tc>
        <w:tc>
          <w:tcPr>
            <w:tcW w:w="1842" w:type="dxa"/>
            <w:shd w:val="clear" w:color="000000" w:fill="FFFFFF"/>
            <w:hideMark/>
          </w:tcPr>
          <w:p w14:paraId="410ECBA7" w14:textId="77777777" w:rsidR="00626001" w:rsidRPr="00B0658A" w:rsidRDefault="00626001" w:rsidP="00004A41">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79" w:type="dxa"/>
            <w:vAlign w:val="center"/>
          </w:tcPr>
          <w:p w14:paraId="6FA79A42"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auto" w:fill="auto"/>
            <w:vAlign w:val="center"/>
            <w:hideMark/>
          </w:tcPr>
          <w:p w14:paraId="0BD5D8F4"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auto" w:fill="auto"/>
            <w:vAlign w:val="center"/>
            <w:hideMark/>
          </w:tcPr>
          <w:p w14:paraId="25F0CF9A"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auto" w:fill="auto"/>
            <w:vAlign w:val="center"/>
            <w:hideMark/>
          </w:tcPr>
          <w:p w14:paraId="2258FAF3" w14:textId="77777777" w:rsidR="00626001" w:rsidRPr="00B0658A" w:rsidRDefault="00626001" w:rsidP="00004A41">
            <w:pPr>
              <w:spacing w:after="0" w:line="240" w:lineRule="auto"/>
              <w:jc w:val="center"/>
              <w:rPr>
                <w:rFonts w:ascii="Times New Roman" w:hAnsi="Times New Roman"/>
                <w:sz w:val="18"/>
                <w:szCs w:val="18"/>
              </w:rPr>
            </w:pPr>
          </w:p>
        </w:tc>
        <w:tc>
          <w:tcPr>
            <w:tcW w:w="992" w:type="dxa"/>
            <w:vAlign w:val="center"/>
          </w:tcPr>
          <w:p w14:paraId="4A9FF200" w14:textId="77777777" w:rsidR="00626001" w:rsidRPr="00B0658A" w:rsidRDefault="00626001" w:rsidP="00004A41">
            <w:pPr>
              <w:spacing w:after="0" w:line="240" w:lineRule="auto"/>
              <w:jc w:val="center"/>
              <w:rPr>
                <w:rFonts w:ascii="Times New Roman" w:hAnsi="Times New Roman"/>
                <w:sz w:val="18"/>
                <w:szCs w:val="18"/>
              </w:rPr>
            </w:pPr>
          </w:p>
        </w:tc>
        <w:tc>
          <w:tcPr>
            <w:tcW w:w="803" w:type="dxa"/>
            <w:shd w:val="clear" w:color="auto" w:fill="auto"/>
            <w:vAlign w:val="center"/>
            <w:hideMark/>
          </w:tcPr>
          <w:p w14:paraId="7513CCE7" w14:textId="77777777" w:rsidR="00626001" w:rsidRPr="00B0658A" w:rsidRDefault="00626001" w:rsidP="00004A41">
            <w:pPr>
              <w:spacing w:after="0" w:line="240" w:lineRule="auto"/>
              <w:jc w:val="center"/>
              <w:rPr>
                <w:rFonts w:ascii="Times New Roman" w:hAnsi="Times New Roman"/>
                <w:sz w:val="18"/>
                <w:szCs w:val="18"/>
              </w:rPr>
            </w:pPr>
          </w:p>
        </w:tc>
        <w:tc>
          <w:tcPr>
            <w:tcW w:w="803" w:type="dxa"/>
            <w:shd w:val="clear" w:color="auto" w:fill="auto"/>
            <w:vAlign w:val="center"/>
            <w:hideMark/>
          </w:tcPr>
          <w:p w14:paraId="13A8B122" w14:textId="77777777" w:rsidR="00626001" w:rsidRPr="00B0658A" w:rsidRDefault="00626001" w:rsidP="00004A41">
            <w:pPr>
              <w:spacing w:after="0" w:line="240" w:lineRule="auto"/>
              <w:jc w:val="center"/>
              <w:rPr>
                <w:rFonts w:ascii="Times New Roman" w:hAnsi="Times New Roman"/>
                <w:sz w:val="18"/>
                <w:szCs w:val="18"/>
              </w:rPr>
            </w:pPr>
          </w:p>
        </w:tc>
        <w:tc>
          <w:tcPr>
            <w:tcW w:w="804" w:type="dxa"/>
            <w:shd w:val="clear" w:color="auto" w:fill="auto"/>
            <w:vAlign w:val="center"/>
            <w:hideMark/>
          </w:tcPr>
          <w:p w14:paraId="49A01887" w14:textId="77777777" w:rsidR="00626001" w:rsidRPr="00B0658A" w:rsidRDefault="00626001" w:rsidP="00004A41">
            <w:pPr>
              <w:spacing w:after="0" w:line="240" w:lineRule="auto"/>
              <w:jc w:val="center"/>
              <w:rPr>
                <w:rFonts w:ascii="Times New Roman" w:hAnsi="Times New Roman"/>
                <w:sz w:val="18"/>
                <w:szCs w:val="18"/>
              </w:rPr>
            </w:pPr>
          </w:p>
        </w:tc>
        <w:tc>
          <w:tcPr>
            <w:tcW w:w="1530" w:type="dxa"/>
            <w:vAlign w:val="center"/>
          </w:tcPr>
          <w:p w14:paraId="1DD9CF35" w14:textId="77777777" w:rsidR="00626001" w:rsidRPr="00B0658A" w:rsidRDefault="00626001" w:rsidP="00004A41">
            <w:pPr>
              <w:spacing w:after="0" w:line="240" w:lineRule="auto"/>
              <w:jc w:val="center"/>
              <w:rPr>
                <w:rFonts w:ascii="Times New Roman" w:hAnsi="Times New Roman"/>
                <w:sz w:val="18"/>
                <w:szCs w:val="18"/>
              </w:rPr>
            </w:pPr>
          </w:p>
        </w:tc>
      </w:tr>
      <w:tr w:rsidR="00F52FED" w:rsidRPr="00B0658A" w14:paraId="41B4E896" w14:textId="77777777" w:rsidTr="000103BB">
        <w:trPr>
          <w:trHeight w:val="20"/>
        </w:trPr>
        <w:tc>
          <w:tcPr>
            <w:tcW w:w="578" w:type="dxa"/>
            <w:shd w:val="clear" w:color="000000" w:fill="FFFFFF"/>
            <w:vAlign w:val="center"/>
          </w:tcPr>
          <w:p w14:paraId="333E16EE" w14:textId="77777777" w:rsidR="00626001" w:rsidRPr="00B0658A" w:rsidRDefault="00626001" w:rsidP="00004A41">
            <w:pPr>
              <w:spacing w:after="0" w:line="240" w:lineRule="auto"/>
              <w:jc w:val="center"/>
              <w:rPr>
                <w:rFonts w:ascii="Times New Roman" w:hAnsi="Times New Roman"/>
                <w:sz w:val="18"/>
                <w:szCs w:val="18"/>
              </w:rPr>
            </w:pPr>
            <w:r w:rsidRPr="00B0658A">
              <w:rPr>
                <w:rFonts w:ascii="Times New Roman" w:hAnsi="Times New Roman"/>
                <w:sz w:val="18"/>
                <w:szCs w:val="18"/>
              </w:rPr>
              <w:t>3.11</w:t>
            </w:r>
          </w:p>
        </w:tc>
        <w:tc>
          <w:tcPr>
            <w:tcW w:w="3812" w:type="dxa"/>
            <w:shd w:val="clear" w:color="auto" w:fill="auto"/>
            <w:vAlign w:val="center"/>
            <w:hideMark/>
          </w:tcPr>
          <w:p w14:paraId="7002824C" w14:textId="77777777" w:rsidR="00626001" w:rsidRPr="00B0658A" w:rsidRDefault="00626001" w:rsidP="00004A41">
            <w:pPr>
              <w:spacing w:after="0" w:line="240" w:lineRule="auto"/>
              <w:rPr>
                <w:rFonts w:ascii="Times New Roman" w:hAnsi="Times New Roman"/>
                <w:sz w:val="18"/>
                <w:szCs w:val="18"/>
              </w:rPr>
            </w:pPr>
            <w:r w:rsidRPr="00B0658A">
              <w:rPr>
                <w:rFonts w:ascii="Times New Roman" w:hAnsi="Times New Roman"/>
                <w:sz w:val="18"/>
                <w:szCs w:val="18"/>
              </w:rPr>
              <w:t>Средства обеспечения информационной безопасности/ Средства защиты каналов передачи данных, в том числе криптографическими методами</w:t>
            </w:r>
          </w:p>
        </w:tc>
        <w:tc>
          <w:tcPr>
            <w:tcW w:w="1842" w:type="dxa"/>
            <w:shd w:val="clear" w:color="000000" w:fill="FFFFFF"/>
            <w:hideMark/>
          </w:tcPr>
          <w:p w14:paraId="2B4D95A5" w14:textId="77777777" w:rsidR="00626001" w:rsidRPr="00B0658A" w:rsidRDefault="00626001" w:rsidP="00004A41">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79" w:type="dxa"/>
            <w:vAlign w:val="center"/>
          </w:tcPr>
          <w:p w14:paraId="5A72B47B"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auto" w:fill="auto"/>
            <w:vAlign w:val="center"/>
            <w:hideMark/>
          </w:tcPr>
          <w:p w14:paraId="7D82AED8"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auto" w:fill="auto"/>
            <w:vAlign w:val="center"/>
            <w:hideMark/>
          </w:tcPr>
          <w:p w14:paraId="197A7E58"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auto" w:fill="auto"/>
            <w:vAlign w:val="center"/>
            <w:hideMark/>
          </w:tcPr>
          <w:p w14:paraId="0B4DC2C6" w14:textId="77777777" w:rsidR="00626001" w:rsidRPr="00B0658A" w:rsidRDefault="00626001" w:rsidP="00004A41">
            <w:pPr>
              <w:spacing w:after="0" w:line="240" w:lineRule="auto"/>
              <w:jc w:val="center"/>
              <w:rPr>
                <w:rFonts w:ascii="Times New Roman" w:hAnsi="Times New Roman"/>
                <w:sz w:val="18"/>
                <w:szCs w:val="18"/>
              </w:rPr>
            </w:pPr>
          </w:p>
        </w:tc>
        <w:tc>
          <w:tcPr>
            <w:tcW w:w="992" w:type="dxa"/>
            <w:vAlign w:val="center"/>
          </w:tcPr>
          <w:p w14:paraId="4135E060" w14:textId="77777777" w:rsidR="00626001" w:rsidRPr="00B0658A" w:rsidRDefault="00626001" w:rsidP="00004A41">
            <w:pPr>
              <w:spacing w:after="0" w:line="240" w:lineRule="auto"/>
              <w:jc w:val="center"/>
              <w:rPr>
                <w:rFonts w:ascii="Times New Roman" w:hAnsi="Times New Roman"/>
                <w:sz w:val="18"/>
                <w:szCs w:val="18"/>
              </w:rPr>
            </w:pPr>
          </w:p>
        </w:tc>
        <w:tc>
          <w:tcPr>
            <w:tcW w:w="803" w:type="dxa"/>
            <w:shd w:val="clear" w:color="auto" w:fill="auto"/>
            <w:vAlign w:val="center"/>
            <w:hideMark/>
          </w:tcPr>
          <w:p w14:paraId="4AED906D" w14:textId="77777777" w:rsidR="00626001" w:rsidRPr="00B0658A" w:rsidRDefault="00626001" w:rsidP="00004A41">
            <w:pPr>
              <w:spacing w:after="0" w:line="240" w:lineRule="auto"/>
              <w:jc w:val="center"/>
              <w:rPr>
                <w:rFonts w:ascii="Times New Roman" w:hAnsi="Times New Roman"/>
                <w:sz w:val="18"/>
                <w:szCs w:val="18"/>
              </w:rPr>
            </w:pPr>
          </w:p>
        </w:tc>
        <w:tc>
          <w:tcPr>
            <w:tcW w:w="803" w:type="dxa"/>
            <w:shd w:val="clear" w:color="auto" w:fill="auto"/>
            <w:vAlign w:val="center"/>
            <w:hideMark/>
          </w:tcPr>
          <w:p w14:paraId="16CA7F5D" w14:textId="77777777" w:rsidR="00626001" w:rsidRPr="00B0658A" w:rsidRDefault="00626001" w:rsidP="00004A41">
            <w:pPr>
              <w:spacing w:after="0" w:line="240" w:lineRule="auto"/>
              <w:jc w:val="center"/>
              <w:rPr>
                <w:rFonts w:ascii="Times New Roman" w:hAnsi="Times New Roman"/>
                <w:sz w:val="18"/>
                <w:szCs w:val="18"/>
              </w:rPr>
            </w:pPr>
          </w:p>
        </w:tc>
        <w:tc>
          <w:tcPr>
            <w:tcW w:w="804" w:type="dxa"/>
            <w:shd w:val="clear" w:color="auto" w:fill="auto"/>
            <w:vAlign w:val="center"/>
            <w:hideMark/>
          </w:tcPr>
          <w:p w14:paraId="7184DD7C" w14:textId="77777777" w:rsidR="00626001" w:rsidRPr="00B0658A" w:rsidRDefault="00626001" w:rsidP="00004A41">
            <w:pPr>
              <w:spacing w:after="0" w:line="240" w:lineRule="auto"/>
              <w:jc w:val="center"/>
              <w:rPr>
                <w:rFonts w:ascii="Times New Roman" w:hAnsi="Times New Roman"/>
                <w:sz w:val="18"/>
                <w:szCs w:val="18"/>
              </w:rPr>
            </w:pPr>
          </w:p>
        </w:tc>
        <w:tc>
          <w:tcPr>
            <w:tcW w:w="1530" w:type="dxa"/>
            <w:vAlign w:val="center"/>
          </w:tcPr>
          <w:p w14:paraId="1131E1ED" w14:textId="77777777" w:rsidR="00626001" w:rsidRPr="00B0658A" w:rsidRDefault="00626001" w:rsidP="00004A41">
            <w:pPr>
              <w:spacing w:after="0" w:line="240" w:lineRule="auto"/>
              <w:jc w:val="center"/>
              <w:rPr>
                <w:rFonts w:ascii="Times New Roman" w:hAnsi="Times New Roman"/>
                <w:sz w:val="18"/>
                <w:szCs w:val="18"/>
              </w:rPr>
            </w:pPr>
          </w:p>
        </w:tc>
      </w:tr>
      <w:tr w:rsidR="00F52FED" w:rsidRPr="00B0658A" w14:paraId="4915F5A5" w14:textId="77777777" w:rsidTr="000103BB">
        <w:trPr>
          <w:trHeight w:val="20"/>
        </w:trPr>
        <w:tc>
          <w:tcPr>
            <w:tcW w:w="578" w:type="dxa"/>
            <w:shd w:val="clear" w:color="000000" w:fill="FFFFFF"/>
            <w:vAlign w:val="center"/>
          </w:tcPr>
          <w:p w14:paraId="544B91C4" w14:textId="77777777" w:rsidR="00626001" w:rsidRPr="00B0658A" w:rsidRDefault="00626001" w:rsidP="00004A41">
            <w:pPr>
              <w:spacing w:after="0" w:line="240" w:lineRule="auto"/>
              <w:jc w:val="center"/>
              <w:rPr>
                <w:rFonts w:ascii="Times New Roman" w:hAnsi="Times New Roman"/>
                <w:sz w:val="18"/>
                <w:szCs w:val="18"/>
              </w:rPr>
            </w:pPr>
            <w:r w:rsidRPr="00B0658A">
              <w:rPr>
                <w:rFonts w:ascii="Times New Roman" w:hAnsi="Times New Roman"/>
                <w:sz w:val="18"/>
                <w:szCs w:val="18"/>
              </w:rPr>
              <w:t>3.12</w:t>
            </w:r>
          </w:p>
        </w:tc>
        <w:tc>
          <w:tcPr>
            <w:tcW w:w="3812" w:type="dxa"/>
            <w:shd w:val="clear" w:color="auto" w:fill="auto"/>
            <w:vAlign w:val="center"/>
            <w:hideMark/>
          </w:tcPr>
          <w:p w14:paraId="7223ECC8" w14:textId="77777777" w:rsidR="00626001" w:rsidRPr="00B0658A" w:rsidRDefault="00626001" w:rsidP="00004A41">
            <w:pPr>
              <w:spacing w:after="0" w:line="240" w:lineRule="auto"/>
              <w:rPr>
                <w:rFonts w:ascii="Times New Roman" w:hAnsi="Times New Roman"/>
                <w:sz w:val="18"/>
                <w:szCs w:val="18"/>
              </w:rPr>
            </w:pPr>
            <w:r w:rsidRPr="00B0658A">
              <w:rPr>
                <w:rFonts w:ascii="Times New Roman" w:hAnsi="Times New Roman"/>
                <w:sz w:val="18"/>
                <w:szCs w:val="18"/>
              </w:rPr>
              <w:t>Средства обеспечения информационной безопасности/ Системы управления доступом к информационным ресурсам</w:t>
            </w:r>
          </w:p>
        </w:tc>
        <w:tc>
          <w:tcPr>
            <w:tcW w:w="1842" w:type="dxa"/>
            <w:shd w:val="clear" w:color="000000" w:fill="FFFFFF"/>
            <w:hideMark/>
          </w:tcPr>
          <w:p w14:paraId="673FBA07" w14:textId="77777777" w:rsidR="00626001" w:rsidRPr="00B0658A" w:rsidRDefault="00626001" w:rsidP="00004A41">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79" w:type="dxa"/>
            <w:vAlign w:val="center"/>
          </w:tcPr>
          <w:p w14:paraId="12D084AC"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auto" w:fill="auto"/>
            <w:vAlign w:val="center"/>
            <w:hideMark/>
          </w:tcPr>
          <w:p w14:paraId="647E8410"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auto" w:fill="auto"/>
            <w:vAlign w:val="center"/>
            <w:hideMark/>
          </w:tcPr>
          <w:p w14:paraId="649D41E3"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auto" w:fill="auto"/>
            <w:vAlign w:val="center"/>
            <w:hideMark/>
          </w:tcPr>
          <w:p w14:paraId="7FF586C4" w14:textId="77777777" w:rsidR="00626001" w:rsidRPr="00B0658A" w:rsidRDefault="00626001" w:rsidP="00004A41">
            <w:pPr>
              <w:spacing w:after="0" w:line="240" w:lineRule="auto"/>
              <w:jc w:val="center"/>
              <w:rPr>
                <w:rFonts w:ascii="Times New Roman" w:hAnsi="Times New Roman"/>
                <w:sz w:val="18"/>
                <w:szCs w:val="18"/>
              </w:rPr>
            </w:pPr>
          </w:p>
        </w:tc>
        <w:tc>
          <w:tcPr>
            <w:tcW w:w="992" w:type="dxa"/>
            <w:vAlign w:val="center"/>
          </w:tcPr>
          <w:p w14:paraId="093FFD39" w14:textId="77777777" w:rsidR="00626001" w:rsidRPr="00B0658A" w:rsidRDefault="00626001" w:rsidP="00004A41">
            <w:pPr>
              <w:spacing w:after="0" w:line="240" w:lineRule="auto"/>
              <w:jc w:val="center"/>
              <w:rPr>
                <w:rFonts w:ascii="Times New Roman" w:hAnsi="Times New Roman"/>
                <w:sz w:val="18"/>
                <w:szCs w:val="18"/>
              </w:rPr>
            </w:pPr>
          </w:p>
        </w:tc>
        <w:tc>
          <w:tcPr>
            <w:tcW w:w="803" w:type="dxa"/>
            <w:shd w:val="clear" w:color="auto" w:fill="auto"/>
            <w:vAlign w:val="center"/>
            <w:hideMark/>
          </w:tcPr>
          <w:p w14:paraId="76E23C76" w14:textId="77777777" w:rsidR="00626001" w:rsidRPr="00B0658A" w:rsidRDefault="00626001" w:rsidP="00004A41">
            <w:pPr>
              <w:spacing w:after="0" w:line="240" w:lineRule="auto"/>
              <w:jc w:val="center"/>
              <w:rPr>
                <w:rFonts w:ascii="Times New Roman" w:hAnsi="Times New Roman"/>
                <w:sz w:val="18"/>
                <w:szCs w:val="18"/>
              </w:rPr>
            </w:pPr>
          </w:p>
        </w:tc>
        <w:tc>
          <w:tcPr>
            <w:tcW w:w="803" w:type="dxa"/>
            <w:shd w:val="clear" w:color="auto" w:fill="auto"/>
            <w:vAlign w:val="center"/>
            <w:hideMark/>
          </w:tcPr>
          <w:p w14:paraId="60366304" w14:textId="77777777" w:rsidR="00626001" w:rsidRPr="00B0658A" w:rsidRDefault="00626001" w:rsidP="00004A41">
            <w:pPr>
              <w:spacing w:after="0" w:line="240" w:lineRule="auto"/>
              <w:jc w:val="center"/>
              <w:rPr>
                <w:rFonts w:ascii="Times New Roman" w:hAnsi="Times New Roman"/>
                <w:sz w:val="18"/>
                <w:szCs w:val="18"/>
              </w:rPr>
            </w:pPr>
          </w:p>
        </w:tc>
        <w:tc>
          <w:tcPr>
            <w:tcW w:w="804" w:type="dxa"/>
            <w:shd w:val="clear" w:color="auto" w:fill="auto"/>
            <w:vAlign w:val="center"/>
            <w:hideMark/>
          </w:tcPr>
          <w:p w14:paraId="21817CE0" w14:textId="77777777" w:rsidR="00626001" w:rsidRPr="00B0658A" w:rsidRDefault="00626001" w:rsidP="00004A41">
            <w:pPr>
              <w:spacing w:after="0" w:line="240" w:lineRule="auto"/>
              <w:jc w:val="center"/>
              <w:rPr>
                <w:rFonts w:ascii="Times New Roman" w:hAnsi="Times New Roman"/>
                <w:sz w:val="18"/>
                <w:szCs w:val="18"/>
              </w:rPr>
            </w:pPr>
          </w:p>
        </w:tc>
        <w:tc>
          <w:tcPr>
            <w:tcW w:w="1530" w:type="dxa"/>
            <w:vAlign w:val="center"/>
          </w:tcPr>
          <w:p w14:paraId="7FA070D7" w14:textId="77777777" w:rsidR="00626001" w:rsidRPr="00B0658A" w:rsidRDefault="00626001" w:rsidP="00004A41">
            <w:pPr>
              <w:spacing w:after="0" w:line="240" w:lineRule="auto"/>
              <w:jc w:val="center"/>
              <w:rPr>
                <w:rFonts w:ascii="Times New Roman" w:hAnsi="Times New Roman"/>
                <w:sz w:val="18"/>
                <w:szCs w:val="18"/>
              </w:rPr>
            </w:pPr>
          </w:p>
        </w:tc>
      </w:tr>
      <w:tr w:rsidR="00F52FED" w:rsidRPr="00B0658A" w14:paraId="4E8CDF10" w14:textId="77777777" w:rsidTr="000103BB">
        <w:trPr>
          <w:trHeight w:val="20"/>
        </w:trPr>
        <w:tc>
          <w:tcPr>
            <w:tcW w:w="578" w:type="dxa"/>
            <w:shd w:val="clear" w:color="000000" w:fill="FFFFFF"/>
            <w:vAlign w:val="center"/>
          </w:tcPr>
          <w:p w14:paraId="6A7D996C" w14:textId="77777777" w:rsidR="00626001" w:rsidRPr="00B0658A" w:rsidRDefault="00626001" w:rsidP="00004A41">
            <w:pPr>
              <w:spacing w:after="0" w:line="240" w:lineRule="auto"/>
              <w:jc w:val="center"/>
              <w:rPr>
                <w:rFonts w:ascii="Times New Roman" w:hAnsi="Times New Roman"/>
                <w:sz w:val="18"/>
                <w:szCs w:val="18"/>
              </w:rPr>
            </w:pPr>
            <w:r w:rsidRPr="00B0658A">
              <w:rPr>
                <w:rFonts w:ascii="Times New Roman" w:hAnsi="Times New Roman"/>
                <w:sz w:val="18"/>
                <w:szCs w:val="18"/>
              </w:rPr>
              <w:t>3.13</w:t>
            </w:r>
          </w:p>
        </w:tc>
        <w:tc>
          <w:tcPr>
            <w:tcW w:w="3812" w:type="dxa"/>
            <w:shd w:val="clear" w:color="auto" w:fill="auto"/>
            <w:vAlign w:val="center"/>
            <w:hideMark/>
          </w:tcPr>
          <w:p w14:paraId="6F73C64F" w14:textId="77777777" w:rsidR="00626001" w:rsidRPr="00B0658A" w:rsidRDefault="00626001" w:rsidP="00004A41">
            <w:pPr>
              <w:spacing w:after="0" w:line="240" w:lineRule="auto"/>
              <w:rPr>
                <w:rFonts w:ascii="Times New Roman" w:hAnsi="Times New Roman"/>
                <w:sz w:val="18"/>
                <w:szCs w:val="18"/>
              </w:rPr>
            </w:pPr>
            <w:r w:rsidRPr="00B0658A">
              <w:rPr>
                <w:rFonts w:ascii="Times New Roman" w:hAnsi="Times New Roman"/>
                <w:sz w:val="18"/>
                <w:szCs w:val="18"/>
              </w:rPr>
              <w:t>Средства обеспечения информационной безопасности/ Средства резервного копирования</w:t>
            </w:r>
          </w:p>
        </w:tc>
        <w:tc>
          <w:tcPr>
            <w:tcW w:w="1842" w:type="dxa"/>
            <w:shd w:val="clear" w:color="000000" w:fill="FFFFFF"/>
            <w:hideMark/>
          </w:tcPr>
          <w:p w14:paraId="478BAB20" w14:textId="77777777" w:rsidR="00626001" w:rsidRPr="00B0658A" w:rsidRDefault="00626001" w:rsidP="00004A41">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79" w:type="dxa"/>
            <w:vAlign w:val="center"/>
          </w:tcPr>
          <w:p w14:paraId="5430D027"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auto" w:fill="auto"/>
            <w:vAlign w:val="center"/>
            <w:hideMark/>
          </w:tcPr>
          <w:p w14:paraId="6FAE46BA"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auto" w:fill="auto"/>
            <w:vAlign w:val="center"/>
            <w:hideMark/>
          </w:tcPr>
          <w:p w14:paraId="0BDC3041"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auto" w:fill="auto"/>
            <w:vAlign w:val="center"/>
            <w:hideMark/>
          </w:tcPr>
          <w:p w14:paraId="1933E9A2" w14:textId="77777777" w:rsidR="00626001" w:rsidRPr="00B0658A" w:rsidRDefault="00626001" w:rsidP="00004A41">
            <w:pPr>
              <w:spacing w:after="0" w:line="240" w:lineRule="auto"/>
              <w:jc w:val="center"/>
              <w:rPr>
                <w:rFonts w:ascii="Times New Roman" w:hAnsi="Times New Roman"/>
                <w:sz w:val="18"/>
                <w:szCs w:val="18"/>
              </w:rPr>
            </w:pPr>
          </w:p>
        </w:tc>
        <w:tc>
          <w:tcPr>
            <w:tcW w:w="992" w:type="dxa"/>
            <w:vAlign w:val="center"/>
          </w:tcPr>
          <w:p w14:paraId="7796B248" w14:textId="77777777" w:rsidR="00626001" w:rsidRPr="00B0658A" w:rsidRDefault="00626001" w:rsidP="00004A41">
            <w:pPr>
              <w:spacing w:after="0" w:line="240" w:lineRule="auto"/>
              <w:jc w:val="center"/>
              <w:rPr>
                <w:rFonts w:ascii="Times New Roman" w:hAnsi="Times New Roman"/>
                <w:sz w:val="18"/>
                <w:szCs w:val="18"/>
              </w:rPr>
            </w:pPr>
          </w:p>
        </w:tc>
        <w:tc>
          <w:tcPr>
            <w:tcW w:w="803" w:type="dxa"/>
            <w:shd w:val="clear" w:color="auto" w:fill="auto"/>
            <w:vAlign w:val="center"/>
            <w:hideMark/>
          </w:tcPr>
          <w:p w14:paraId="6B426A77" w14:textId="77777777" w:rsidR="00626001" w:rsidRPr="00B0658A" w:rsidRDefault="00626001" w:rsidP="00004A41">
            <w:pPr>
              <w:spacing w:after="0" w:line="240" w:lineRule="auto"/>
              <w:jc w:val="center"/>
              <w:rPr>
                <w:rFonts w:ascii="Times New Roman" w:hAnsi="Times New Roman"/>
                <w:sz w:val="18"/>
                <w:szCs w:val="18"/>
              </w:rPr>
            </w:pPr>
          </w:p>
        </w:tc>
        <w:tc>
          <w:tcPr>
            <w:tcW w:w="803" w:type="dxa"/>
            <w:shd w:val="clear" w:color="auto" w:fill="auto"/>
            <w:vAlign w:val="center"/>
            <w:hideMark/>
          </w:tcPr>
          <w:p w14:paraId="6DFB503D" w14:textId="77777777" w:rsidR="00626001" w:rsidRPr="00B0658A" w:rsidRDefault="00626001" w:rsidP="00004A41">
            <w:pPr>
              <w:spacing w:after="0" w:line="240" w:lineRule="auto"/>
              <w:jc w:val="center"/>
              <w:rPr>
                <w:rFonts w:ascii="Times New Roman" w:hAnsi="Times New Roman"/>
                <w:sz w:val="18"/>
                <w:szCs w:val="18"/>
              </w:rPr>
            </w:pPr>
          </w:p>
        </w:tc>
        <w:tc>
          <w:tcPr>
            <w:tcW w:w="804" w:type="dxa"/>
            <w:shd w:val="clear" w:color="auto" w:fill="auto"/>
            <w:vAlign w:val="center"/>
            <w:hideMark/>
          </w:tcPr>
          <w:p w14:paraId="5D421B7C" w14:textId="77777777" w:rsidR="00626001" w:rsidRPr="00B0658A" w:rsidRDefault="00626001" w:rsidP="00004A41">
            <w:pPr>
              <w:spacing w:after="0" w:line="240" w:lineRule="auto"/>
              <w:jc w:val="center"/>
              <w:rPr>
                <w:rFonts w:ascii="Times New Roman" w:hAnsi="Times New Roman"/>
                <w:sz w:val="18"/>
                <w:szCs w:val="18"/>
              </w:rPr>
            </w:pPr>
          </w:p>
        </w:tc>
        <w:tc>
          <w:tcPr>
            <w:tcW w:w="1530" w:type="dxa"/>
            <w:vAlign w:val="center"/>
          </w:tcPr>
          <w:p w14:paraId="4C255078" w14:textId="77777777" w:rsidR="00626001" w:rsidRPr="00B0658A" w:rsidRDefault="00626001" w:rsidP="00004A41">
            <w:pPr>
              <w:spacing w:after="0" w:line="240" w:lineRule="auto"/>
              <w:jc w:val="center"/>
              <w:rPr>
                <w:rFonts w:ascii="Times New Roman" w:hAnsi="Times New Roman"/>
                <w:sz w:val="18"/>
                <w:szCs w:val="18"/>
              </w:rPr>
            </w:pPr>
          </w:p>
        </w:tc>
      </w:tr>
      <w:tr w:rsidR="00F52FED" w:rsidRPr="00B0658A" w14:paraId="417EDD9B" w14:textId="77777777" w:rsidTr="000103BB">
        <w:trPr>
          <w:trHeight w:val="20"/>
        </w:trPr>
        <w:tc>
          <w:tcPr>
            <w:tcW w:w="578" w:type="dxa"/>
            <w:shd w:val="clear" w:color="000000" w:fill="FFFFFF"/>
            <w:vAlign w:val="center"/>
          </w:tcPr>
          <w:p w14:paraId="0D564FFE" w14:textId="77777777" w:rsidR="00626001" w:rsidRPr="00B0658A" w:rsidRDefault="00626001" w:rsidP="00004A41">
            <w:pPr>
              <w:spacing w:after="0" w:line="240" w:lineRule="auto"/>
              <w:jc w:val="center"/>
              <w:rPr>
                <w:rFonts w:ascii="Times New Roman" w:hAnsi="Times New Roman"/>
                <w:sz w:val="18"/>
                <w:szCs w:val="18"/>
              </w:rPr>
            </w:pPr>
            <w:r w:rsidRPr="00B0658A">
              <w:rPr>
                <w:rFonts w:ascii="Times New Roman" w:hAnsi="Times New Roman"/>
                <w:sz w:val="18"/>
                <w:szCs w:val="18"/>
              </w:rPr>
              <w:t>3.14</w:t>
            </w:r>
          </w:p>
        </w:tc>
        <w:tc>
          <w:tcPr>
            <w:tcW w:w="3812" w:type="dxa"/>
            <w:shd w:val="clear" w:color="auto" w:fill="auto"/>
            <w:vAlign w:val="center"/>
            <w:hideMark/>
          </w:tcPr>
          <w:p w14:paraId="43477B52" w14:textId="77777777" w:rsidR="00626001" w:rsidRPr="00B0658A" w:rsidRDefault="00626001" w:rsidP="00004A41">
            <w:pPr>
              <w:spacing w:after="0" w:line="240" w:lineRule="auto"/>
              <w:rPr>
                <w:rFonts w:ascii="Times New Roman" w:hAnsi="Times New Roman"/>
                <w:sz w:val="18"/>
                <w:szCs w:val="18"/>
              </w:rPr>
            </w:pPr>
            <w:r w:rsidRPr="00B0658A">
              <w:rPr>
                <w:rFonts w:ascii="Times New Roman" w:hAnsi="Times New Roman"/>
                <w:sz w:val="18"/>
                <w:szCs w:val="18"/>
              </w:rPr>
              <w:t>Средства обеспечения информационной безопасности/ Средства обнаружения и/или предотвращения вторжений (атак)</w:t>
            </w:r>
          </w:p>
        </w:tc>
        <w:tc>
          <w:tcPr>
            <w:tcW w:w="1842" w:type="dxa"/>
            <w:shd w:val="clear" w:color="000000" w:fill="FFFFFF"/>
            <w:hideMark/>
          </w:tcPr>
          <w:p w14:paraId="2852CD89" w14:textId="77777777" w:rsidR="00626001" w:rsidRPr="00B0658A" w:rsidRDefault="00626001" w:rsidP="00004A41">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79" w:type="dxa"/>
            <w:vAlign w:val="center"/>
          </w:tcPr>
          <w:p w14:paraId="0BA3C4F5"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auto" w:fill="auto"/>
            <w:vAlign w:val="center"/>
            <w:hideMark/>
          </w:tcPr>
          <w:p w14:paraId="24C7A9B9"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auto" w:fill="auto"/>
            <w:vAlign w:val="center"/>
            <w:hideMark/>
          </w:tcPr>
          <w:p w14:paraId="1AC6D2F6"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auto" w:fill="auto"/>
            <w:vAlign w:val="center"/>
            <w:hideMark/>
          </w:tcPr>
          <w:p w14:paraId="5897D60C" w14:textId="77777777" w:rsidR="00626001" w:rsidRPr="00B0658A" w:rsidRDefault="00626001" w:rsidP="00004A41">
            <w:pPr>
              <w:spacing w:after="0" w:line="240" w:lineRule="auto"/>
              <w:jc w:val="center"/>
              <w:rPr>
                <w:rFonts w:ascii="Times New Roman" w:hAnsi="Times New Roman"/>
                <w:sz w:val="18"/>
                <w:szCs w:val="18"/>
              </w:rPr>
            </w:pPr>
          </w:p>
        </w:tc>
        <w:tc>
          <w:tcPr>
            <w:tcW w:w="992" w:type="dxa"/>
            <w:vAlign w:val="center"/>
          </w:tcPr>
          <w:p w14:paraId="53FB6A6B" w14:textId="77777777" w:rsidR="00626001" w:rsidRPr="00B0658A" w:rsidRDefault="00626001" w:rsidP="00004A41">
            <w:pPr>
              <w:spacing w:after="0" w:line="240" w:lineRule="auto"/>
              <w:jc w:val="center"/>
              <w:rPr>
                <w:rFonts w:ascii="Times New Roman" w:hAnsi="Times New Roman"/>
                <w:sz w:val="18"/>
                <w:szCs w:val="18"/>
              </w:rPr>
            </w:pPr>
          </w:p>
        </w:tc>
        <w:tc>
          <w:tcPr>
            <w:tcW w:w="803" w:type="dxa"/>
            <w:shd w:val="clear" w:color="auto" w:fill="auto"/>
            <w:vAlign w:val="center"/>
            <w:hideMark/>
          </w:tcPr>
          <w:p w14:paraId="6F2E5F76" w14:textId="77777777" w:rsidR="00626001" w:rsidRPr="00B0658A" w:rsidRDefault="00626001" w:rsidP="00004A41">
            <w:pPr>
              <w:spacing w:after="0" w:line="240" w:lineRule="auto"/>
              <w:jc w:val="center"/>
              <w:rPr>
                <w:rFonts w:ascii="Times New Roman" w:hAnsi="Times New Roman"/>
                <w:sz w:val="18"/>
                <w:szCs w:val="18"/>
              </w:rPr>
            </w:pPr>
          </w:p>
        </w:tc>
        <w:tc>
          <w:tcPr>
            <w:tcW w:w="803" w:type="dxa"/>
            <w:shd w:val="clear" w:color="auto" w:fill="auto"/>
            <w:vAlign w:val="center"/>
            <w:hideMark/>
          </w:tcPr>
          <w:p w14:paraId="611134D7" w14:textId="77777777" w:rsidR="00626001" w:rsidRPr="00B0658A" w:rsidRDefault="00626001" w:rsidP="00004A41">
            <w:pPr>
              <w:spacing w:after="0" w:line="240" w:lineRule="auto"/>
              <w:jc w:val="center"/>
              <w:rPr>
                <w:rFonts w:ascii="Times New Roman" w:hAnsi="Times New Roman"/>
                <w:sz w:val="18"/>
                <w:szCs w:val="18"/>
              </w:rPr>
            </w:pPr>
          </w:p>
        </w:tc>
        <w:tc>
          <w:tcPr>
            <w:tcW w:w="804" w:type="dxa"/>
            <w:shd w:val="clear" w:color="auto" w:fill="auto"/>
            <w:vAlign w:val="center"/>
            <w:hideMark/>
          </w:tcPr>
          <w:p w14:paraId="6C25096C" w14:textId="77777777" w:rsidR="00626001" w:rsidRPr="00B0658A" w:rsidRDefault="00626001" w:rsidP="00004A41">
            <w:pPr>
              <w:spacing w:after="0" w:line="240" w:lineRule="auto"/>
              <w:jc w:val="center"/>
              <w:rPr>
                <w:rFonts w:ascii="Times New Roman" w:hAnsi="Times New Roman"/>
                <w:sz w:val="18"/>
                <w:szCs w:val="18"/>
              </w:rPr>
            </w:pPr>
          </w:p>
        </w:tc>
        <w:tc>
          <w:tcPr>
            <w:tcW w:w="1530" w:type="dxa"/>
            <w:vAlign w:val="center"/>
          </w:tcPr>
          <w:p w14:paraId="63E774F6" w14:textId="77777777" w:rsidR="00626001" w:rsidRPr="00B0658A" w:rsidRDefault="00626001" w:rsidP="00004A41">
            <w:pPr>
              <w:spacing w:after="0" w:line="240" w:lineRule="auto"/>
              <w:jc w:val="center"/>
              <w:rPr>
                <w:rFonts w:ascii="Times New Roman" w:hAnsi="Times New Roman"/>
                <w:sz w:val="18"/>
                <w:szCs w:val="18"/>
              </w:rPr>
            </w:pPr>
          </w:p>
        </w:tc>
      </w:tr>
      <w:tr w:rsidR="00F52FED" w:rsidRPr="00B0658A" w14:paraId="0A28C978" w14:textId="77777777" w:rsidTr="000103BB">
        <w:trPr>
          <w:trHeight w:val="20"/>
        </w:trPr>
        <w:tc>
          <w:tcPr>
            <w:tcW w:w="578" w:type="dxa"/>
            <w:shd w:val="clear" w:color="000000" w:fill="FFFFFF"/>
            <w:vAlign w:val="center"/>
          </w:tcPr>
          <w:p w14:paraId="3B084DCA" w14:textId="77777777" w:rsidR="00626001" w:rsidRPr="00B0658A" w:rsidRDefault="00626001" w:rsidP="00004A41">
            <w:pPr>
              <w:spacing w:after="0" w:line="240" w:lineRule="auto"/>
              <w:jc w:val="center"/>
              <w:rPr>
                <w:rFonts w:ascii="Times New Roman" w:hAnsi="Times New Roman"/>
                <w:sz w:val="18"/>
                <w:szCs w:val="18"/>
              </w:rPr>
            </w:pPr>
            <w:r w:rsidRPr="00B0658A">
              <w:rPr>
                <w:rFonts w:ascii="Times New Roman" w:hAnsi="Times New Roman"/>
                <w:sz w:val="18"/>
                <w:szCs w:val="18"/>
              </w:rPr>
              <w:t>3.15</w:t>
            </w:r>
          </w:p>
        </w:tc>
        <w:tc>
          <w:tcPr>
            <w:tcW w:w="3812" w:type="dxa"/>
            <w:shd w:val="clear" w:color="auto" w:fill="auto"/>
            <w:vAlign w:val="center"/>
            <w:hideMark/>
          </w:tcPr>
          <w:p w14:paraId="489D06FD" w14:textId="77777777" w:rsidR="00626001" w:rsidRPr="00B0658A" w:rsidRDefault="00626001" w:rsidP="00004A41">
            <w:pPr>
              <w:spacing w:after="0" w:line="240" w:lineRule="auto"/>
              <w:rPr>
                <w:rFonts w:ascii="Times New Roman" w:hAnsi="Times New Roman"/>
                <w:sz w:val="18"/>
                <w:szCs w:val="18"/>
              </w:rPr>
            </w:pPr>
            <w:r w:rsidRPr="00B0658A">
              <w:rPr>
                <w:rFonts w:ascii="Times New Roman" w:hAnsi="Times New Roman"/>
                <w:sz w:val="18"/>
                <w:szCs w:val="18"/>
              </w:rPr>
              <w:t>Средства обеспечения информационной безопасности/ Средства обнаружения угроз и расследования сетевых инцидентов</w:t>
            </w:r>
          </w:p>
        </w:tc>
        <w:tc>
          <w:tcPr>
            <w:tcW w:w="1842" w:type="dxa"/>
            <w:shd w:val="clear" w:color="000000" w:fill="FFFFFF"/>
            <w:hideMark/>
          </w:tcPr>
          <w:p w14:paraId="4B21F220" w14:textId="77777777" w:rsidR="00626001" w:rsidRPr="00B0658A" w:rsidRDefault="00626001" w:rsidP="00004A41">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79" w:type="dxa"/>
            <w:vAlign w:val="center"/>
          </w:tcPr>
          <w:p w14:paraId="705283C6"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auto" w:fill="auto"/>
            <w:vAlign w:val="center"/>
            <w:hideMark/>
          </w:tcPr>
          <w:p w14:paraId="28962E14"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auto" w:fill="auto"/>
            <w:vAlign w:val="center"/>
            <w:hideMark/>
          </w:tcPr>
          <w:p w14:paraId="24728584"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auto" w:fill="auto"/>
            <w:vAlign w:val="center"/>
            <w:hideMark/>
          </w:tcPr>
          <w:p w14:paraId="5878E108" w14:textId="77777777" w:rsidR="00626001" w:rsidRPr="00B0658A" w:rsidRDefault="00626001" w:rsidP="00004A41">
            <w:pPr>
              <w:spacing w:after="0" w:line="240" w:lineRule="auto"/>
              <w:jc w:val="center"/>
              <w:rPr>
                <w:rFonts w:ascii="Times New Roman" w:hAnsi="Times New Roman"/>
                <w:sz w:val="18"/>
                <w:szCs w:val="18"/>
              </w:rPr>
            </w:pPr>
          </w:p>
        </w:tc>
        <w:tc>
          <w:tcPr>
            <w:tcW w:w="992" w:type="dxa"/>
            <w:vAlign w:val="center"/>
          </w:tcPr>
          <w:p w14:paraId="305DE612" w14:textId="77777777" w:rsidR="00626001" w:rsidRPr="00B0658A" w:rsidRDefault="00626001" w:rsidP="00004A41">
            <w:pPr>
              <w:spacing w:after="0" w:line="240" w:lineRule="auto"/>
              <w:jc w:val="center"/>
              <w:rPr>
                <w:rFonts w:ascii="Times New Roman" w:hAnsi="Times New Roman"/>
                <w:sz w:val="18"/>
                <w:szCs w:val="18"/>
              </w:rPr>
            </w:pPr>
          </w:p>
        </w:tc>
        <w:tc>
          <w:tcPr>
            <w:tcW w:w="803" w:type="dxa"/>
            <w:shd w:val="clear" w:color="auto" w:fill="auto"/>
            <w:vAlign w:val="center"/>
            <w:hideMark/>
          </w:tcPr>
          <w:p w14:paraId="1D50052D" w14:textId="77777777" w:rsidR="00626001" w:rsidRPr="00B0658A" w:rsidRDefault="00626001" w:rsidP="00004A41">
            <w:pPr>
              <w:spacing w:after="0" w:line="240" w:lineRule="auto"/>
              <w:jc w:val="center"/>
              <w:rPr>
                <w:rFonts w:ascii="Times New Roman" w:hAnsi="Times New Roman"/>
                <w:sz w:val="18"/>
                <w:szCs w:val="18"/>
              </w:rPr>
            </w:pPr>
          </w:p>
        </w:tc>
        <w:tc>
          <w:tcPr>
            <w:tcW w:w="803" w:type="dxa"/>
            <w:shd w:val="clear" w:color="auto" w:fill="auto"/>
            <w:vAlign w:val="center"/>
            <w:hideMark/>
          </w:tcPr>
          <w:p w14:paraId="21E35183" w14:textId="77777777" w:rsidR="00626001" w:rsidRPr="00B0658A" w:rsidRDefault="00626001" w:rsidP="00004A41">
            <w:pPr>
              <w:spacing w:after="0" w:line="240" w:lineRule="auto"/>
              <w:jc w:val="center"/>
              <w:rPr>
                <w:rFonts w:ascii="Times New Roman" w:hAnsi="Times New Roman"/>
                <w:sz w:val="18"/>
                <w:szCs w:val="18"/>
              </w:rPr>
            </w:pPr>
          </w:p>
        </w:tc>
        <w:tc>
          <w:tcPr>
            <w:tcW w:w="804" w:type="dxa"/>
            <w:shd w:val="clear" w:color="auto" w:fill="auto"/>
            <w:vAlign w:val="center"/>
            <w:hideMark/>
          </w:tcPr>
          <w:p w14:paraId="28BAD0FA" w14:textId="77777777" w:rsidR="00626001" w:rsidRPr="00B0658A" w:rsidRDefault="00626001" w:rsidP="00004A41">
            <w:pPr>
              <w:spacing w:after="0" w:line="240" w:lineRule="auto"/>
              <w:jc w:val="center"/>
              <w:rPr>
                <w:rFonts w:ascii="Times New Roman" w:hAnsi="Times New Roman"/>
                <w:sz w:val="18"/>
                <w:szCs w:val="18"/>
              </w:rPr>
            </w:pPr>
          </w:p>
        </w:tc>
        <w:tc>
          <w:tcPr>
            <w:tcW w:w="1530" w:type="dxa"/>
            <w:vAlign w:val="center"/>
          </w:tcPr>
          <w:p w14:paraId="21EFDE1D" w14:textId="77777777" w:rsidR="00626001" w:rsidRPr="00B0658A" w:rsidRDefault="00626001" w:rsidP="00004A41">
            <w:pPr>
              <w:spacing w:after="0" w:line="240" w:lineRule="auto"/>
              <w:jc w:val="center"/>
              <w:rPr>
                <w:rFonts w:ascii="Times New Roman" w:hAnsi="Times New Roman"/>
                <w:sz w:val="18"/>
                <w:szCs w:val="18"/>
              </w:rPr>
            </w:pPr>
          </w:p>
        </w:tc>
      </w:tr>
      <w:tr w:rsidR="00F52FED" w:rsidRPr="00B0658A" w14:paraId="308BFF89" w14:textId="77777777" w:rsidTr="000103BB">
        <w:trPr>
          <w:trHeight w:val="20"/>
        </w:trPr>
        <w:tc>
          <w:tcPr>
            <w:tcW w:w="578" w:type="dxa"/>
            <w:shd w:val="clear" w:color="000000" w:fill="FFFFFF"/>
            <w:vAlign w:val="center"/>
          </w:tcPr>
          <w:p w14:paraId="59C5A648" w14:textId="77777777" w:rsidR="00626001" w:rsidRPr="00B0658A" w:rsidRDefault="00626001" w:rsidP="00004A41">
            <w:pPr>
              <w:spacing w:after="0" w:line="240" w:lineRule="auto"/>
              <w:jc w:val="center"/>
              <w:rPr>
                <w:rFonts w:ascii="Times New Roman" w:hAnsi="Times New Roman"/>
                <w:sz w:val="18"/>
                <w:szCs w:val="18"/>
              </w:rPr>
            </w:pPr>
            <w:r w:rsidRPr="00B0658A">
              <w:rPr>
                <w:rFonts w:ascii="Times New Roman" w:hAnsi="Times New Roman"/>
                <w:sz w:val="18"/>
                <w:szCs w:val="18"/>
              </w:rPr>
              <w:t>3.16</w:t>
            </w:r>
          </w:p>
        </w:tc>
        <w:tc>
          <w:tcPr>
            <w:tcW w:w="3812" w:type="dxa"/>
            <w:shd w:val="clear" w:color="auto" w:fill="auto"/>
            <w:vAlign w:val="center"/>
            <w:hideMark/>
          </w:tcPr>
          <w:p w14:paraId="0E890003" w14:textId="77777777" w:rsidR="00626001" w:rsidRPr="00B0658A" w:rsidRDefault="00626001" w:rsidP="00004A41">
            <w:pPr>
              <w:spacing w:after="0" w:line="240" w:lineRule="auto"/>
              <w:rPr>
                <w:rFonts w:ascii="Times New Roman" w:hAnsi="Times New Roman"/>
                <w:sz w:val="18"/>
                <w:szCs w:val="18"/>
              </w:rPr>
            </w:pPr>
            <w:r w:rsidRPr="00B0658A">
              <w:rPr>
                <w:rFonts w:ascii="Times New Roman" w:hAnsi="Times New Roman"/>
                <w:sz w:val="18"/>
                <w:szCs w:val="18"/>
              </w:rPr>
              <w:t>Средства обеспечения информационной безопасности/ Средства администрирования и управления жизненным циклом ключевых носителей</w:t>
            </w:r>
          </w:p>
        </w:tc>
        <w:tc>
          <w:tcPr>
            <w:tcW w:w="1842" w:type="dxa"/>
            <w:shd w:val="clear" w:color="000000" w:fill="FFFFFF"/>
            <w:hideMark/>
          </w:tcPr>
          <w:p w14:paraId="38D21D20" w14:textId="77777777" w:rsidR="00626001" w:rsidRPr="00B0658A" w:rsidRDefault="00626001" w:rsidP="00004A41">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79" w:type="dxa"/>
            <w:vAlign w:val="center"/>
          </w:tcPr>
          <w:p w14:paraId="6FB42AA4"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auto" w:fill="auto"/>
            <w:vAlign w:val="center"/>
            <w:hideMark/>
          </w:tcPr>
          <w:p w14:paraId="6DD4C37F"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auto" w:fill="auto"/>
            <w:vAlign w:val="center"/>
            <w:hideMark/>
          </w:tcPr>
          <w:p w14:paraId="165CCAF6"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auto" w:fill="auto"/>
            <w:vAlign w:val="center"/>
            <w:hideMark/>
          </w:tcPr>
          <w:p w14:paraId="00E30188" w14:textId="77777777" w:rsidR="00626001" w:rsidRPr="00B0658A" w:rsidRDefault="00626001" w:rsidP="00004A41">
            <w:pPr>
              <w:spacing w:after="0" w:line="240" w:lineRule="auto"/>
              <w:jc w:val="center"/>
              <w:rPr>
                <w:rFonts w:ascii="Times New Roman" w:hAnsi="Times New Roman"/>
                <w:sz w:val="18"/>
                <w:szCs w:val="18"/>
              </w:rPr>
            </w:pPr>
          </w:p>
        </w:tc>
        <w:tc>
          <w:tcPr>
            <w:tcW w:w="992" w:type="dxa"/>
            <w:vAlign w:val="center"/>
          </w:tcPr>
          <w:p w14:paraId="1FBE80CC" w14:textId="77777777" w:rsidR="00626001" w:rsidRPr="00B0658A" w:rsidRDefault="00626001" w:rsidP="00004A41">
            <w:pPr>
              <w:spacing w:after="0" w:line="240" w:lineRule="auto"/>
              <w:jc w:val="center"/>
              <w:rPr>
                <w:rFonts w:ascii="Times New Roman" w:hAnsi="Times New Roman"/>
                <w:sz w:val="18"/>
                <w:szCs w:val="18"/>
              </w:rPr>
            </w:pPr>
          </w:p>
        </w:tc>
        <w:tc>
          <w:tcPr>
            <w:tcW w:w="803" w:type="dxa"/>
            <w:shd w:val="clear" w:color="auto" w:fill="auto"/>
            <w:vAlign w:val="center"/>
            <w:hideMark/>
          </w:tcPr>
          <w:p w14:paraId="6A5FC309" w14:textId="77777777" w:rsidR="00626001" w:rsidRPr="00B0658A" w:rsidRDefault="00626001" w:rsidP="00004A41">
            <w:pPr>
              <w:spacing w:after="0" w:line="240" w:lineRule="auto"/>
              <w:jc w:val="center"/>
              <w:rPr>
                <w:rFonts w:ascii="Times New Roman" w:hAnsi="Times New Roman"/>
                <w:sz w:val="18"/>
                <w:szCs w:val="18"/>
              </w:rPr>
            </w:pPr>
          </w:p>
        </w:tc>
        <w:tc>
          <w:tcPr>
            <w:tcW w:w="803" w:type="dxa"/>
            <w:shd w:val="clear" w:color="auto" w:fill="auto"/>
            <w:vAlign w:val="center"/>
            <w:hideMark/>
          </w:tcPr>
          <w:p w14:paraId="76CA2D0F" w14:textId="77777777" w:rsidR="00626001" w:rsidRPr="00B0658A" w:rsidRDefault="00626001" w:rsidP="00004A41">
            <w:pPr>
              <w:spacing w:after="0" w:line="240" w:lineRule="auto"/>
              <w:jc w:val="center"/>
              <w:rPr>
                <w:rFonts w:ascii="Times New Roman" w:hAnsi="Times New Roman"/>
                <w:sz w:val="18"/>
                <w:szCs w:val="18"/>
              </w:rPr>
            </w:pPr>
          </w:p>
        </w:tc>
        <w:tc>
          <w:tcPr>
            <w:tcW w:w="804" w:type="dxa"/>
            <w:shd w:val="clear" w:color="auto" w:fill="auto"/>
            <w:vAlign w:val="center"/>
            <w:hideMark/>
          </w:tcPr>
          <w:p w14:paraId="452F997A" w14:textId="77777777" w:rsidR="00626001" w:rsidRPr="00B0658A" w:rsidRDefault="00626001" w:rsidP="00004A41">
            <w:pPr>
              <w:spacing w:after="0" w:line="240" w:lineRule="auto"/>
              <w:jc w:val="center"/>
              <w:rPr>
                <w:rFonts w:ascii="Times New Roman" w:hAnsi="Times New Roman"/>
                <w:sz w:val="18"/>
                <w:szCs w:val="18"/>
              </w:rPr>
            </w:pPr>
          </w:p>
        </w:tc>
        <w:tc>
          <w:tcPr>
            <w:tcW w:w="1530" w:type="dxa"/>
            <w:vAlign w:val="center"/>
          </w:tcPr>
          <w:p w14:paraId="4E1FAF11" w14:textId="77777777" w:rsidR="00626001" w:rsidRPr="00B0658A" w:rsidRDefault="00626001" w:rsidP="00004A41">
            <w:pPr>
              <w:spacing w:after="0" w:line="240" w:lineRule="auto"/>
              <w:jc w:val="center"/>
              <w:rPr>
                <w:rFonts w:ascii="Times New Roman" w:hAnsi="Times New Roman"/>
                <w:sz w:val="18"/>
                <w:szCs w:val="18"/>
              </w:rPr>
            </w:pPr>
          </w:p>
        </w:tc>
      </w:tr>
      <w:tr w:rsidR="00F52FED" w:rsidRPr="00B0658A" w14:paraId="0E96CA65" w14:textId="77777777" w:rsidTr="000103BB">
        <w:trPr>
          <w:trHeight w:val="20"/>
        </w:trPr>
        <w:tc>
          <w:tcPr>
            <w:tcW w:w="578" w:type="dxa"/>
            <w:shd w:val="clear" w:color="000000" w:fill="FFFFFF"/>
            <w:vAlign w:val="center"/>
          </w:tcPr>
          <w:p w14:paraId="05D6F4E1" w14:textId="77777777" w:rsidR="00626001" w:rsidRPr="00B0658A" w:rsidRDefault="00626001" w:rsidP="00004A41">
            <w:pPr>
              <w:spacing w:after="0" w:line="240" w:lineRule="auto"/>
              <w:jc w:val="center"/>
              <w:rPr>
                <w:rFonts w:ascii="Times New Roman" w:hAnsi="Times New Roman"/>
                <w:sz w:val="18"/>
                <w:szCs w:val="18"/>
              </w:rPr>
            </w:pPr>
            <w:r w:rsidRPr="00B0658A">
              <w:rPr>
                <w:rFonts w:ascii="Times New Roman" w:hAnsi="Times New Roman"/>
                <w:sz w:val="18"/>
                <w:szCs w:val="18"/>
              </w:rPr>
              <w:t>3.17</w:t>
            </w:r>
          </w:p>
        </w:tc>
        <w:tc>
          <w:tcPr>
            <w:tcW w:w="3812" w:type="dxa"/>
            <w:shd w:val="clear" w:color="auto" w:fill="auto"/>
            <w:vAlign w:val="center"/>
            <w:hideMark/>
          </w:tcPr>
          <w:p w14:paraId="227D0181" w14:textId="77777777" w:rsidR="00626001" w:rsidRPr="00B0658A" w:rsidRDefault="00626001" w:rsidP="00004A41">
            <w:pPr>
              <w:spacing w:after="0" w:line="240" w:lineRule="auto"/>
              <w:rPr>
                <w:rFonts w:ascii="Times New Roman" w:hAnsi="Times New Roman"/>
                <w:sz w:val="18"/>
                <w:szCs w:val="18"/>
              </w:rPr>
            </w:pPr>
            <w:r w:rsidRPr="00B0658A">
              <w:rPr>
                <w:rFonts w:ascii="Times New Roman" w:hAnsi="Times New Roman"/>
                <w:sz w:val="18"/>
                <w:szCs w:val="18"/>
              </w:rPr>
              <w:t>Средства обеспечения информационной безопасности/ Средства автоматизации процессов информационной безопасности</w:t>
            </w:r>
          </w:p>
        </w:tc>
        <w:tc>
          <w:tcPr>
            <w:tcW w:w="1842" w:type="dxa"/>
            <w:shd w:val="clear" w:color="000000" w:fill="FFFFFF"/>
            <w:hideMark/>
          </w:tcPr>
          <w:p w14:paraId="30AF7A52" w14:textId="77777777" w:rsidR="00626001" w:rsidRPr="00B0658A" w:rsidRDefault="00626001" w:rsidP="00004A41">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79" w:type="dxa"/>
            <w:vAlign w:val="center"/>
          </w:tcPr>
          <w:p w14:paraId="56F46811"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auto" w:fill="auto"/>
            <w:vAlign w:val="center"/>
            <w:hideMark/>
          </w:tcPr>
          <w:p w14:paraId="79492A91"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auto" w:fill="auto"/>
            <w:vAlign w:val="center"/>
            <w:hideMark/>
          </w:tcPr>
          <w:p w14:paraId="06F2E714"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auto" w:fill="auto"/>
            <w:vAlign w:val="center"/>
            <w:hideMark/>
          </w:tcPr>
          <w:p w14:paraId="2F979B0C" w14:textId="77777777" w:rsidR="00626001" w:rsidRPr="00B0658A" w:rsidRDefault="00626001" w:rsidP="00004A41">
            <w:pPr>
              <w:spacing w:after="0" w:line="240" w:lineRule="auto"/>
              <w:jc w:val="center"/>
              <w:rPr>
                <w:rFonts w:ascii="Times New Roman" w:hAnsi="Times New Roman"/>
                <w:sz w:val="18"/>
                <w:szCs w:val="18"/>
              </w:rPr>
            </w:pPr>
          </w:p>
        </w:tc>
        <w:tc>
          <w:tcPr>
            <w:tcW w:w="992" w:type="dxa"/>
            <w:vAlign w:val="center"/>
          </w:tcPr>
          <w:p w14:paraId="6623D859" w14:textId="77777777" w:rsidR="00626001" w:rsidRPr="00B0658A" w:rsidRDefault="00626001" w:rsidP="00004A41">
            <w:pPr>
              <w:spacing w:after="0" w:line="240" w:lineRule="auto"/>
              <w:jc w:val="center"/>
              <w:rPr>
                <w:rFonts w:ascii="Times New Roman" w:hAnsi="Times New Roman"/>
                <w:sz w:val="18"/>
                <w:szCs w:val="18"/>
              </w:rPr>
            </w:pPr>
          </w:p>
        </w:tc>
        <w:tc>
          <w:tcPr>
            <w:tcW w:w="803" w:type="dxa"/>
            <w:shd w:val="clear" w:color="auto" w:fill="auto"/>
            <w:vAlign w:val="center"/>
            <w:hideMark/>
          </w:tcPr>
          <w:p w14:paraId="082FC8FE" w14:textId="77777777" w:rsidR="00626001" w:rsidRPr="00B0658A" w:rsidRDefault="00626001" w:rsidP="00004A41">
            <w:pPr>
              <w:spacing w:after="0" w:line="240" w:lineRule="auto"/>
              <w:jc w:val="center"/>
              <w:rPr>
                <w:rFonts w:ascii="Times New Roman" w:hAnsi="Times New Roman"/>
                <w:sz w:val="18"/>
                <w:szCs w:val="18"/>
              </w:rPr>
            </w:pPr>
          </w:p>
        </w:tc>
        <w:tc>
          <w:tcPr>
            <w:tcW w:w="803" w:type="dxa"/>
            <w:shd w:val="clear" w:color="auto" w:fill="auto"/>
            <w:vAlign w:val="center"/>
            <w:hideMark/>
          </w:tcPr>
          <w:p w14:paraId="2C3E7903" w14:textId="77777777" w:rsidR="00626001" w:rsidRPr="00B0658A" w:rsidRDefault="00626001" w:rsidP="00004A41">
            <w:pPr>
              <w:spacing w:after="0" w:line="240" w:lineRule="auto"/>
              <w:jc w:val="center"/>
              <w:rPr>
                <w:rFonts w:ascii="Times New Roman" w:hAnsi="Times New Roman"/>
                <w:sz w:val="18"/>
                <w:szCs w:val="18"/>
              </w:rPr>
            </w:pPr>
          </w:p>
        </w:tc>
        <w:tc>
          <w:tcPr>
            <w:tcW w:w="804" w:type="dxa"/>
            <w:shd w:val="clear" w:color="auto" w:fill="auto"/>
            <w:vAlign w:val="center"/>
            <w:hideMark/>
          </w:tcPr>
          <w:p w14:paraId="73B53F87" w14:textId="77777777" w:rsidR="00626001" w:rsidRPr="00B0658A" w:rsidRDefault="00626001" w:rsidP="00004A41">
            <w:pPr>
              <w:spacing w:after="0" w:line="240" w:lineRule="auto"/>
              <w:jc w:val="center"/>
              <w:rPr>
                <w:rFonts w:ascii="Times New Roman" w:hAnsi="Times New Roman"/>
                <w:sz w:val="18"/>
                <w:szCs w:val="18"/>
              </w:rPr>
            </w:pPr>
          </w:p>
        </w:tc>
        <w:tc>
          <w:tcPr>
            <w:tcW w:w="1530" w:type="dxa"/>
            <w:vAlign w:val="center"/>
          </w:tcPr>
          <w:p w14:paraId="0B531D46" w14:textId="77777777" w:rsidR="00626001" w:rsidRPr="00B0658A" w:rsidRDefault="00626001" w:rsidP="00004A41">
            <w:pPr>
              <w:spacing w:after="0" w:line="240" w:lineRule="auto"/>
              <w:jc w:val="center"/>
              <w:rPr>
                <w:rFonts w:ascii="Times New Roman" w:hAnsi="Times New Roman"/>
                <w:sz w:val="18"/>
                <w:szCs w:val="18"/>
              </w:rPr>
            </w:pPr>
          </w:p>
        </w:tc>
      </w:tr>
      <w:tr w:rsidR="00F52FED" w:rsidRPr="00B0658A" w14:paraId="40704B13" w14:textId="77777777" w:rsidTr="000103BB">
        <w:trPr>
          <w:trHeight w:val="20"/>
        </w:trPr>
        <w:tc>
          <w:tcPr>
            <w:tcW w:w="578" w:type="dxa"/>
            <w:shd w:val="clear" w:color="000000" w:fill="FFFFFF"/>
            <w:vAlign w:val="center"/>
          </w:tcPr>
          <w:p w14:paraId="49DF2E80" w14:textId="77777777" w:rsidR="00626001" w:rsidRPr="00B0658A" w:rsidRDefault="00626001" w:rsidP="00004A41">
            <w:pPr>
              <w:spacing w:after="0" w:line="240" w:lineRule="auto"/>
              <w:jc w:val="center"/>
              <w:rPr>
                <w:rFonts w:ascii="Times New Roman" w:hAnsi="Times New Roman"/>
                <w:sz w:val="18"/>
                <w:szCs w:val="18"/>
              </w:rPr>
            </w:pPr>
            <w:r w:rsidRPr="00B0658A">
              <w:rPr>
                <w:rFonts w:ascii="Times New Roman" w:hAnsi="Times New Roman"/>
                <w:sz w:val="18"/>
                <w:szCs w:val="18"/>
              </w:rPr>
              <w:t>4.1</w:t>
            </w:r>
          </w:p>
        </w:tc>
        <w:tc>
          <w:tcPr>
            <w:tcW w:w="3812" w:type="dxa"/>
            <w:shd w:val="clear" w:color="auto" w:fill="auto"/>
            <w:vAlign w:val="center"/>
            <w:hideMark/>
          </w:tcPr>
          <w:p w14:paraId="1207CBFB" w14:textId="77777777" w:rsidR="00626001" w:rsidRPr="00B0658A" w:rsidRDefault="00626001" w:rsidP="00004A41">
            <w:pPr>
              <w:spacing w:after="0" w:line="240" w:lineRule="auto"/>
              <w:rPr>
                <w:rFonts w:ascii="Times New Roman" w:hAnsi="Times New Roman"/>
                <w:sz w:val="18"/>
                <w:szCs w:val="18"/>
              </w:rPr>
            </w:pPr>
            <w:r w:rsidRPr="00B0658A">
              <w:rPr>
                <w:rFonts w:ascii="Times New Roman" w:hAnsi="Times New Roman"/>
                <w:sz w:val="18"/>
                <w:szCs w:val="18"/>
              </w:rPr>
              <w:t>Средства разработки программного обеспечения/ Средства подготовки исполнимого кода</w:t>
            </w:r>
          </w:p>
        </w:tc>
        <w:tc>
          <w:tcPr>
            <w:tcW w:w="1842" w:type="dxa"/>
            <w:shd w:val="clear" w:color="000000" w:fill="FFFFFF"/>
            <w:hideMark/>
          </w:tcPr>
          <w:p w14:paraId="502909BD" w14:textId="77777777" w:rsidR="00626001" w:rsidRPr="00B0658A" w:rsidRDefault="00626001" w:rsidP="00004A41">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79" w:type="dxa"/>
            <w:vAlign w:val="center"/>
          </w:tcPr>
          <w:p w14:paraId="51678248"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auto" w:fill="auto"/>
            <w:vAlign w:val="center"/>
            <w:hideMark/>
          </w:tcPr>
          <w:p w14:paraId="0AFDF035"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auto" w:fill="auto"/>
            <w:vAlign w:val="center"/>
            <w:hideMark/>
          </w:tcPr>
          <w:p w14:paraId="4AF4D1E2"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auto" w:fill="auto"/>
            <w:vAlign w:val="center"/>
            <w:hideMark/>
          </w:tcPr>
          <w:p w14:paraId="2D24A085" w14:textId="77777777" w:rsidR="00626001" w:rsidRPr="00B0658A" w:rsidRDefault="00626001" w:rsidP="00004A41">
            <w:pPr>
              <w:spacing w:after="0" w:line="240" w:lineRule="auto"/>
              <w:jc w:val="center"/>
              <w:rPr>
                <w:rFonts w:ascii="Times New Roman" w:hAnsi="Times New Roman"/>
                <w:sz w:val="18"/>
                <w:szCs w:val="18"/>
              </w:rPr>
            </w:pPr>
          </w:p>
        </w:tc>
        <w:tc>
          <w:tcPr>
            <w:tcW w:w="992" w:type="dxa"/>
            <w:vAlign w:val="center"/>
          </w:tcPr>
          <w:p w14:paraId="712EEADA" w14:textId="77777777" w:rsidR="00626001" w:rsidRPr="00B0658A" w:rsidRDefault="00626001" w:rsidP="00004A41">
            <w:pPr>
              <w:spacing w:after="0" w:line="240" w:lineRule="auto"/>
              <w:jc w:val="center"/>
              <w:rPr>
                <w:rFonts w:ascii="Times New Roman" w:hAnsi="Times New Roman"/>
                <w:sz w:val="18"/>
                <w:szCs w:val="18"/>
              </w:rPr>
            </w:pPr>
          </w:p>
        </w:tc>
        <w:tc>
          <w:tcPr>
            <w:tcW w:w="803" w:type="dxa"/>
            <w:shd w:val="clear" w:color="auto" w:fill="auto"/>
            <w:vAlign w:val="center"/>
            <w:hideMark/>
          </w:tcPr>
          <w:p w14:paraId="2FF4938C" w14:textId="77777777" w:rsidR="00626001" w:rsidRPr="00B0658A" w:rsidRDefault="00626001" w:rsidP="00004A41">
            <w:pPr>
              <w:spacing w:after="0" w:line="240" w:lineRule="auto"/>
              <w:jc w:val="center"/>
              <w:rPr>
                <w:rFonts w:ascii="Times New Roman" w:hAnsi="Times New Roman"/>
                <w:sz w:val="18"/>
                <w:szCs w:val="18"/>
              </w:rPr>
            </w:pPr>
          </w:p>
        </w:tc>
        <w:tc>
          <w:tcPr>
            <w:tcW w:w="803" w:type="dxa"/>
            <w:shd w:val="clear" w:color="auto" w:fill="auto"/>
            <w:vAlign w:val="center"/>
            <w:hideMark/>
          </w:tcPr>
          <w:p w14:paraId="54CD407E" w14:textId="77777777" w:rsidR="00626001" w:rsidRPr="00B0658A" w:rsidRDefault="00626001" w:rsidP="00004A41">
            <w:pPr>
              <w:spacing w:after="0" w:line="240" w:lineRule="auto"/>
              <w:jc w:val="center"/>
              <w:rPr>
                <w:rFonts w:ascii="Times New Roman" w:hAnsi="Times New Roman"/>
                <w:sz w:val="18"/>
                <w:szCs w:val="18"/>
              </w:rPr>
            </w:pPr>
          </w:p>
        </w:tc>
        <w:tc>
          <w:tcPr>
            <w:tcW w:w="804" w:type="dxa"/>
            <w:shd w:val="clear" w:color="auto" w:fill="auto"/>
            <w:vAlign w:val="center"/>
            <w:hideMark/>
          </w:tcPr>
          <w:p w14:paraId="61300B6C" w14:textId="77777777" w:rsidR="00626001" w:rsidRPr="00B0658A" w:rsidRDefault="00626001" w:rsidP="00004A41">
            <w:pPr>
              <w:spacing w:after="0" w:line="240" w:lineRule="auto"/>
              <w:jc w:val="center"/>
              <w:rPr>
                <w:rFonts w:ascii="Times New Roman" w:hAnsi="Times New Roman"/>
                <w:sz w:val="18"/>
                <w:szCs w:val="18"/>
              </w:rPr>
            </w:pPr>
          </w:p>
        </w:tc>
        <w:tc>
          <w:tcPr>
            <w:tcW w:w="1530" w:type="dxa"/>
            <w:vAlign w:val="center"/>
          </w:tcPr>
          <w:p w14:paraId="0B330C6C" w14:textId="77777777" w:rsidR="00626001" w:rsidRPr="00B0658A" w:rsidRDefault="00626001" w:rsidP="00004A41">
            <w:pPr>
              <w:spacing w:after="0" w:line="240" w:lineRule="auto"/>
              <w:jc w:val="center"/>
              <w:rPr>
                <w:rFonts w:ascii="Times New Roman" w:hAnsi="Times New Roman"/>
                <w:sz w:val="18"/>
                <w:szCs w:val="18"/>
              </w:rPr>
            </w:pPr>
          </w:p>
        </w:tc>
      </w:tr>
      <w:tr w:rsidR="00F52FED" w:rsidRPr="00B0658A" w14:paraId="186223F8" w14:textId="77777777" w:rsidTr="000103BB">
        <w:trPr>
          <w:trHeight w:val="20"/>
        </w:trPr>
        <w:tc>
          <w:tcPr>
            <w:tcW w:w="578" w:type="dxa"/>
            <w:shd w:val="clear" w:color="000000" w:fill="FFFFFF"/>
            <w:vAlign w:val="center"/>
          </w:tcPr>
          <w:p w14:paraId="2EFCE874" w14:textId="77777777" w:rsidR="00626001" w:rsidRPr="00B0658A" w:rsidRDefault="00626001" w:rsidP="00004A41">
            <w:pPr>
              <w:spacing w:after="0" w:line="240" w:lineRule="auto"/>
              <w:jc w:val="center"/>
              <w:rPr>
                <w:rFonts w:ascii="Times New Roman" w:hAnsi="Times New Roman"/>
                <w:sz w:val="18"/>
                <w:szCs w:val="18"/>
              </w:rPr>
            </w:pPr>
            <w:r w:rsidRPr="00B0658A">
              <w:rPr>
                <w:rFonts w:ascii="Times New Roman" w:hAnsi="Times New Roman"/>
                <w:sz w:val="18"/>
                <w:szCs w:val="18"/>
              </w:rPr>
              <w:t>4.2</w:t>
            </w:r>
          </w:p>
        </w:tc>
        <w:tc>
          <w:tcPr>
            <w:tcW w:w="3812" w:type="dxa"/>
            <w:shd w:val="clear" w:color="auto" w:fill="auto"/>
            <w:vAlign w:val="center"/>
            <w:hideMark/>
          </w:tcPr>
          <w:p w14:paraId="376E67BC" w14:textId="77777777" w:rsidR="00626001" w:rsidRPr="00B0658A" w:rsidRDefault="00626001" w:rsidP="00004A41">
            <w:pPr>
              <w:spacing w:after="0" w:line="240" w:lineRule="auto"/>
              <w:rPr>
                <w:rFonts w:ascii="Times New Roman" w:hAnsi="Times New Roman"/>
                <w:sz w:val="18"/>
                <w:szCs w:val="18"/>
              </w:rPr>
            </w:pPr>
            <w:r w:rsidRPr="00B0658A">
              <w:rPr>
                <w:rFonts w:ascii="Times New Roman" w:hAnsi="Times New Roman"/>
                <w:sz w:val="18"/>
                <w:szCs w:val="18"/>
              </w:rPr>
              <w:t>Средства разработки программного обеспечения/ Средства версионного контроля исходного кода</w:t>
            </w:r>
          </w:p>
        </w:tc>
        <w:tc>
          <w:tcPr>
            <w:tcW w:w="1842" w:type="dxa"/>
            <w:shd w:val="clear" w:color="000000" w:fill="FFFFFF"/>
            <w:hideMark/>
          </w:tcPr>
          <w:p w14:paraId="218E569D" w14:textId="77777777" w:rsidR="00626001" w:rsidRPr="00B0658A" w:rsidRDefault="00626001" w:rsidP="00004A41">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79" w:type="dxa"/>
            <w:vAlign w:val="center"/>
          </w:tcPr>
          <w:p w14:paraId="6C9D8B2A"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auto" w:fill="auto"/>
            <w:vAlign w:val="center"/>
            <w:hideMark/>
          </w:tcPr>
          <w:p w14:paraId="72F0CB0F"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auto" w:fill="auto"/>
            <w:vAlign w:val="center"/>
            <w:hideMark/>
          </w:tcPr>
          <w:p w14:paraId="1AAAE195"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auto" w:fill="auto"/>
            <w:vAlign w:val="center"/>
            <w:hideMark/>
          </w:tcPr>
          <w:p w14:paraId="289CD098" w14:textId="77777777" w:rsidR="00626001" w:rsidRPr="00B0658A" w:rsidRDefault="00626001" w:rsidP="00004A41">
            <w:pPr>
              <w:spacing w:after="0" w:line="240" w:lineRule="auto"/>
              <w:jc w:val="center"/>
              <w:rPr>
                <w:rFonts w:ascii="Times New Roman" w:hAnsi="Times New Roman"/>
                <w:sz w:val="18"/>
                <w:szCs w:val="18"/>
              </w:rPr>
            </w:pPr>
          </w:p>
        </w:tc>
        <w:tc>
          <w:tcPr>
            <w:tcW w:w="992" w:type="dxa"/>
            <w:vAlign w:val="center"/>
          </w:tcPr>
          <w:p w14:paraId="22FB2B4A" w14:textId="77777777" w:rsidR="00626001" w:rsidRPr="00B0658A" w:rsidRDefault="00626001" w:rsidP="00004A41">
            <w:pPr>
              <w:spacing w:after="0" w:line="240" w:lineRule="auto"/>
              <w:jc w:val="center"/>
              <w:rPr>
                <w:rFonts w:ascii="Times New Roman" w:hAnsi="Times New Roman"/>
                <w:sz w:val="18"/>
                <w:szCs w:val="18"/>
              </w:rPr>
            </w:pPr>
          </w:p>
        </w:tc>
        <w:tc>
          <w:tcPr>
            <w:tcW w:w="803" w:type="dxa"/>
            <w:shd w:val="clear" w:color="auto" w:fill="auto"/>
            <w:vAlign w:val="center"/>
            <w:hideMark/>
          </w:tcPr>
          <w:p w14:paraId="18B88815" w14:textId="77777777" w:rsidR="00626001" w:rsidRPr="00B0658A" w:rsidRDefault="00626001" w:rsidP="00004A41">
            <w:pPr>
              <w:spacing w:after="0" w:line="240" w:lineRule="auto"/>
              <w:jc w:val="center"/>
              <w:rPr>
                <w:rFonts w:ascii="Times New Roman" w:hAnsi="Times New Roman"/>
                <w:sz w:val="18"/>
                <w:szCs w:val="18"/>
              </w:rPr>
            </w:pPr>
          </w:p>
        </w:tc>
        <w:tc>
          <w:tcPr>
            <w:tcW w:w="803" w:type="dxa"/>
            <w:shd w:val="clear" w:color="auto" w:fill="auto"/>
            <w:vAlign w:val="center"/>
            <w:hideMark/>
          </w:tcPr>
          <w:p w14:paraId="7A494B11" w14:textId="77777777" w:rsidR="00626001" w:rsidRPr="00B0658A" w:rsidRDefault="00626001" w:rsidP="00004A41">
            <w:pPr>
              <w:spacing w:after="0" w:line="240" w:lineRule="auto"/>
              <w:jc w:val="center"/>
              <w:rPr>
                <w:rFonts w:ascii="Times New Roman" w:hAnsi="Times New Roman"/>
                <w:sz w:val="18"/>
                <w:szCs w:val="18"/>
              </w:rPr>
            </w:pPr>
          </w:p>
        </w:tc>
        <w:tc>
          <w:tcPr>
            <w:tcW w:w="804" w:type="dxa"/>
            <w:shd w:val="clear" w:color="auto" w:fill="auto"/>
            <w:vAlign w:val="center"/>
            <w:hideMark/>
          </w:tcPr>
          <w:p w14:paraId="68D1C947" w14:textId="77777777" w:rsidR="00626001" w:rsidRPr="00B0658A" w:rsidRDefault="00626001" w:rsidP="00004A41">
            <w:pPr>
              <w:spacing w:after="0" w:line="240" w:lineRule="auto"/>
              <w:jc w:val="center"/>
              <w:rPr>
                <w:rFonts w:ascii="Times New Roman" w:hAnsi="Times New Roman"/>
                <w:sz w:val="18"/>
                <w:szCs w:val="18"/>
              </w:rPr>
            </w:pPr>
          </w:p>
        </w:tc>
        <w:tc>
          <w:tcPr>
            <w:tcW w:w="1530" w:type="dxa"/>
            <w:vAlign w:val="center"/>
          </w:tcPr>
          <w:p w14:paraId="53239D9B" w14:textId="77777777" w:rsidR="00626001" w:rsidRPr="00B0658A" w:rsidRDefault="00626001" w:rsidP="00004A41">
            <w:pPr>
              <w:spacing w:after="0" w:line="240" w:lineRule="auto"/>
              <w:jc w:val="center"/>
              <w:rPr>
                <w:rFonts w:ascii="Times New Roman" w:hAnsi="Times New Roman"/>
                <w:sz w:val="18"/>
                <w:szCs w:val="18"/>
              </w:rPr>
            </w:pPr>
          </w:p>
        </w:tc>
      </w:tr>
      <w:tr w:rsidR="00F52FED" w:rsidRPr="00B0658A" w14:paraId="09463C68" w14:textId="77777777" w:rsidTr="000103BB">
        <w:trPr>
          <w:trHeight w:val="20"/>
        </w:trPr>
        <w:tc>
          <w:tcPr>
            <w:tcW w:w="578" w:type="dxa"/>
            <w:shd w:val="clear" w:color="000000" w:fill="FFFFFF"/>
            <w:vAlign w:val="center"/>
          </w:tcPr>
          <w:p w14:paraId="080AA0B6" w14:textId="77777777" w:rsidR="00626001" w:rsidRPr="00B0658A" w:rsidRDefault="00626001" w:rsidP="00004A41">
            <w:pPr>
              <w:spacing w:after="0" w:line="240" w:lineRule="auto"/>
              <w:jc w:val="center"/>
              <w:rPr>
                <w:rFonts w:ascii="Times New Roman" w:hAnsi="Times New Roman"/>
                <w:sz w:val="18"/>
                <w:szCs w:val="18"/>
              </w:rPr>
            </w:pPr>
            <w:r w:rsidRPr="00B0658A">
              <w:rPr>
                <w:rFonts w:ascii="Times New Roman" w:hAnsi="Times New Roman"/>
                <w:sz w:val="18"/>
                <w:szCs w:val="18"/>
              </w:rPr>
              <w:t>4.3</w:t>
            </w:r>
          </w:p>
        </w:tc>
        <w:tc>
          <w:tcPr>
            <w:tcW w:w="3812" w:type="dxa"/>
            <w:shd w:val="clear" w:color="auto" w:fill="auto"/>
            <w:vAlign w:val="center"/>
            <w:hideMark/>
          </w:tcPr>
          <w:p w14:paraId="1AC421C3" w14:textId="77777777" w:rsidR="00626001" w:rsidRPr="00B0658A" w:rsidRDefault="00626001" w:rsidP="00004A41">
            <w:pPr>
              <w:spacing w:after="0" w:line="240" w:lineRule="auto"/>
              <w:rPr>
                <w:rFonts w:ascii="Times New Roman" w:hAnsi="Times New Roman"/>
                <w:sz w:val="18"/>
                <w:szCs w:val="18"/>
              </w:rPr>
            </w:pPr>
            <w:r w:rsidRPr="00B0658A">
              <w:rPr>
                <w:rFonts w:ascii="Times New Roman" w:hAnsi="Times New Roman"/>
                <w:sz w:val="18"/>
                <w:szCs w:val="18"/>
              </w:rPr>
              <w:t>Средства разработки программного обеспечения/ Библиотеки подпрограмм (SDK)</w:t>
            </w:r>
          </w:p>
        </w:tc>
        <w:tc>
          <w:tcPr>
            <w:tcW w:w="1842" w:type="dxa"/>
            <w:shd w:val="clear" w:color="000000" w:fill="FFFFFF"/>
            <w:hideMark/>
          </w:tcPr>
          <w:p w14:paraId="714FFFCB" w14:textId="77777777" w:rsidR="00626001" w:rsidRPr="00B0658A" w:rsidRDefault="00626001" w:rsidP="00004A41">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79" w:type="dxa"/>
            <w:vAlign w:val="center"/>
          </w:tcPr>
          <w:p w14:paraId="2514F34D"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auto" w:fill="auto"/>
            <w:vAlign w:val="center"/>
            <w:hideMark/>
          </w:tcPr>
          <w:p w14:paraId="2FC6A1D2"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auto" w:fill="auto"/>
            <w:vAlign w:val="center"/>
            <w:hideMark/>
          </w:tcPr>
          <w:p w14:paraId="723ACEC0"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auto" w:fill="auto"/>
            <w:vAlign w:val="center"/>
            <w:hideMark/>
          </w:tcPr>
          <w:p w14:paraId="551A974E" w14:textId="77777777" w:rsidR="00626001" w:rsidRPr="00B0658A" w:rsidRDefault="00626001" w:rsidP="00004A41">
            <w:pPr>
              <w:spacing w:after="0" w:line="240" w:lineRule="auto"/>
              <w:jc w:val="center"/>
              <w:rPr>
                <w:rFonts w:ascii="Times New Roman" w:hAnsi="Times New Roman"/>
                <w:sz w:val="18"/>
                <w:szCs w:val="18"/>
              </w:rPr>
            </w:pPr>
          </w:p>
        </w:tc>
        <w:tc>
          <w:tcPr>
            <w:tcW w:w="992" w:type="dxa"/>
            <w:vAlign w:val="center"/>
          </w:tcPr>
          <w:p w14:paraId="782B7967" w14:textId="77777777" w:rsidR="00626001" w:rsidRPr="00B0658A" w:rsidRDefault="00626001" w:rsidP="00004A41">
            <w:pPr>
              <w:spacing w:after="0" w:line="240" w:lineRule="auto"/>
              <w:jc w:val="center"/>
              <w:rPr>
                <w:rFonts w:ascii="Times New Roman" w:hAnsi="Times New Roman"/>
                <w:sz w:val="18"/>
                <w:szCs w:val="18"/>
              </w:rPr>
            </w:pPr>
          </w:p>
        </w:tc>
        <w:tc>
          <w:tcPr>
            <w:tcW w:w="803" w:type="dxa"/>
            <w:shd w:val="clear" w:color="auto" w:fill="auto"/>
            <w:vAlign w:val="center"/>
            <w:hideMark/>
          </w:tcPr>
          <w:p w14:paraId="36DD5E1A" w14:textId="77777777" w:rsidR="00626001" w:rsidRPr="00B0658A" w:rsidRDefault="00626001" w:rsidP="00004A41">
            <w:pPr>
              <w:spacing w:after="0" w:line="240" w:lineRule="auto"/>
              <w:jc w:val="center"/>
              <w:rPr>
                <w:rFonts w:ascii="Times New Roman" w:hAnsi="Times New Roman"/>
                <w:sz w:val="18"/>
                <w:szCs w:val="18"/>
              </w:rPr>
            </w:pPr>
          </w:p>
        </w:tc>
        <w:tc>
          <w:tcPr>
            <w:tcW w:w="803" w:type="dxa"/>
            <w:shd w:val="clear" w:color="auto" w:fill="auto"/>
            <w:vAlign w:val="center"/>
            <w:hideMark/>
          </w:tcPr>
          <w:p w14:paraId="656FE4AF" w14:textId="77777777" w:rsidR="00626001" w:rsidRPr="00B0658A" w:rsidRDefault="00626001" w:rsidP="00004A41">
            <w:pPr>
              <w:spacing w:after="0" w:line="240" w:lineRule="auto"/>
              <w:jc w:val="center"/>
              <w:rPr>
                <w:rFonts w:ascii="Times New Roman" w:hAnsi="Times New Roman"/>
                <w:sz w:val="18"/>
                <w:szCs w:val="18"/>
              </w:rPr>
            </w:pPr>
          </w:p>
        </w:tc>
        <w:tc>
          <w:tcPr>
            <w:tcW w:w="804" w:type="dxa"/>
            <w:shd w:val="clear" w:color="auto" w:fill="auto"/>
            <w:vAlign w:val="center"/>
            <w:hideMark/>
          </w:tcPr>
          <w:p w14:paraId="10A4F43B" w14:textId="77777777" w:rsidR="00626001" w:rsidRPr="00B0658A" w:rsidRDefault="00626001" w:rsidP="00004A41">
            <w:pPr>
              <w:spacing w:after="0" w:line="240" w:lineRule="auto"/>
              <w:jc w:val="center"/>
              <w:rPr>
                <w:rFonts w:ascii="Times New Roman" w:hAnsi="Times New Roman"/>
                <w:sz w:val="18"/>
                <w:szCs w:val="18"/>
              </w:rPr>
            </w:pPr>
          </w:p>
        </w:tc>
        <w:tc>
          <w:tcPr>
            <w:tcW w:w="1530" w:type="dxa"/>
            <w:vAlign w:val="center"/>
          </w:tcPr>
          <w:p w14:paraId="233A2911" w14:textId="77777777" w:rsidR="00626001" w:rsidRPr="00B0658A" w:rsidRDefault="00626001" w:rsidP="00004A41">
            <w:pPr>
              <w:spacing w:after="0" w:line="240" w:lineRule="auto"/>
              <w:jc w:val="center"/>
              <w:rPr>
                <w:rFonts w:ascii="Times New Roman" w:hAnsi="Times New Roman"/>
                <w:sz w:val="18"/>
                <w:szCs w:val="18"/>
              </w:rPr>
            </w:pPr>
          </w:p>
        </w:tc>
      </w:tr>
      <w:tr w:rsidR="00F52FED" w:rsidRPr="00B0658A" w14:paraId="1023C2FB" w14:textId="77777777" w:rsidTr="000103BB">
        <w:trPr>
          <w:trHeight w:val="20"/>
        </w:trPr>
        <w:tc>
          <w:tcPr>
            <w:tcW w:w="578" w:type="dxa"/>
            <w:shd w:val="clear" w:color="000000" w:fill="FFFFFF"/>
            <w:vAlign w:val="center"/>
          </w:tcPr>
          <w:p w14:paraId="66882357" w14:textId="77777777" w:rsidR="00626001" w:rsidRPr="00B0658A" w:rsidRDefault="00626001" w:rsidP="00004A41">
            <w:pPr>
              <w:spacing w:after="0" w:line="240" w:lineRule="auto"/>
              <w:jc w:val="center"/>
              <w:rPr>
                <w:rFonts w:ascii="Times New Roman" w:hAnsi="Times New Roman"/>
                <w:sz w:val="18"/>
                <w:szCs w:val="18"/>
              </w:rPr>
            </w:pPr>
            <w:r w:rsidRPr="00B0658A">
              <w:rPr>
                <w:rFonts w:ascii="Times New Roman" w:hAnsi="Times New Roman"/>
                <w:sz w:val="18"/>
                <w:szCs w:val="18"/>
              </w:rPr>
              <w:t>4.4</w:t>
            </w:r>
          </w:p>
        </w:tc>
        <w:tc>
          <w:tcPr>
            <w:tcW w:w="3812" w:type="dxa"/>
            <w:shd w:val="clear" w:color="auto" w:fill="auto"/>
            <w:vAlign w:val="center"/>
            <w:hideMark/>
          </w:tcPr>
          <w:p w14:paraId="0FC0BE57" w14:textId="77777777" w:rsidR="00626001" w:rsidRPr="00B0658A" w:rsidRDefault="00626001" w:rsidP="00004A41">
            <w:pPr>
              <w:spacing w:after="0" w:line="240" w:lineRule="auto"/>
              <w:rPr>
                <w:rFonts w:ascii="Times New Roman" w:hAnsi="Times New Roman"/>
                <w:sz w:val="18"/>
                <w:szCs w:val="18"/>
              </w:rPr>
            </w:pPr>
            <w:r w:rsidRPr="00B0658A">
              <w:rPr>
                <w:rFonts w:ascii="Times New Roman" w:hAnsi="Times New Roman"/>
                <w:sz w:val="18"/>
                <w:szCs w:val="18"/>
              </w:rPr>
              <w:t>Средства разработки программного обеспечения/ Среды разработки, тестирования и отладки</w:t>
            </w:r>
          </w:p>
        </w:tc>
        <w:tc>
          <w:tcPr>
            <w:tcW w:w="1842" w:type="dxa"/>
            <w:shd w:val="clear" w:color="000000" w:fill="FFFFFF"/>
            <w:hideMark/>
          </w:tcPr>
          <w:p w14:paraId="7052BB23" w14:textId="77777777" w:rsidR="00626001" w:rsidRPr="00B0658A" w:rsidRDefault="00626001" w:rsidP="00004A41">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79" w:type="dxa"/>
            <w:vAlign w:val="center"/>
          </w:tcPr>
          <w:p w14:paraId="30E21C03"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auto" w:fill="auto"/>
            <w:vAlign w:val="center"/>
            <w:hideMark/>
          </w:tcPr>
          <w:p w14:paraId="6D5960F3"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auto" w:fill="auto"/>
            <w:vAlign w:val="center"/>
            <w:hideMark/>
          </w:tcPr>
          <w:p w14:paraId="18E93D85"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auto" w:fill="auto"/>
            <w:vAlign w:val="center"/>
            <w:hideMark/>
          </w:tcPr>
          <w:p w14:paraId="46E9D8E1" w14:textId="77777777" w:rsidR="00626001" w:rsidRPr="00B0658A" w:rsidRDefault="00626001" w:rsidP="00004A41">
            <w:pPr>
              <w:spacing w:after="0" w:line="240" w:lineRule="auto"/>
              <w:jc w:val="center"/>
              <w:rPr>
                <w:rFonts w:ascii="Times New Roman" w:hAnsi="Times New Roman"/>
                <w:sz w:val="18"/>
                <w:szCs w:val="18"/>
              </w:rPr>
            </w:pPr>
          </w:p>
        </w:tc>
        <w:tc>
          <w:tcPr>
            <w:tcW w:w="992" w:type="dxa"/>
            <w:vAlign w:val="center"/>
          </w:tcPr>
          <w:p w14:paraId="1432071C" w14:textId="77777777" w:rsidR="00626001" w:rsidRPr="00B0658A" w:rsidRDefault="00626001" w:rsidP="00004A41">
            <w:pPr>
              <w:spacing w:after="0" w:line="240" w:lineRule="auto"/>
              <w:jc w:val="center"/>
              <w:rPr>
                <w:rFonts w:ascii="Times New Roman" w:hAnsi="Times New Roman"/>
                <w:sz w:val="18"/>
                <w:szCs w:val="18"/>
              </w:rPr>
            </w:pPr>
          </w:p>
        </w:tc>
        <w:tc>
          <w:tcPr>
            <w:tcW w:w="803" w:type="dxa"/>
            <w:shd w:val="clear" w:color="auto" w:fill="auto"/>
            <w:vAlign w:val="center"/>
            <w:hideMark/>
          </w:tcPr>
          <w:p w14:paraId="5E4768B4" w14:textId="77777777" w:rsidR="00626001" w:rsidRPr="00B0658A" w:rsidRDefault="00626001" w:rsidP="00004A41">
            <w:pPr>
              <w:spacing w:after="0" w:line="240" w:lineRule="auto"/>
              <w:jc w:val="center"/>
              <w:rPr>
                <w:rFonts w:ascii="Times New Roman" w:hAnsi="Times New Roman"/>
                <w:sz w:val="18"/>
                <w:szCs w:val="18"/>
              </w:rPr>
            </w:pPr>
          </w:p>
        </w:tc>
        <w:tc>
          <w:tcPr>
            <w:tcW w:w="803" w:type="dxa"/>
            <w:shd w:val="clear" w:color="auto" w:fill="auto"/>
            <w:vAlign w:val="center"/>
            <w:hideMark/>
          </w:tcPr>
          <w:p w14:paraId="7488AFAF" w14:textId="77777777" w:rsidR="00626001" w:rsidRPr="00B0658A" w:rsidRDefault="00626001" w:rsidP="00004A41">
            <w:pPr>
              <w:spacing w:after="0" w:line="240" w:lineRule="auto"/>
              <w:jc w:val="center"/>
              <w:rPr>
                <w:rFonts w:ascii="Times New Roman" w:hAnsi="Times New Roman"/>
                <w:sz w:val="18"/>
                <w:szCs w:val="18"/>
              </w:rPr>
            </w:pPr>
          </w:p>
        </w:tc>
        <w:tc>
          <w:tcPr>
            <w:tcW w:w="804" w:type="dxa"/>
            <w:shd w:val="clear" w:color="auto" w:fill="auto"/>
            <w:vAlign w:val="center"/>
            <w:hideMark/>
          </w:tcPr>
          <w:p w14:paraId="3AC8B4CD" w14:textId="77777777" w:rsidR="00626001" w:rsidRPr="00B0658A" w:rsidRDefault="00626001" w:rsidP="00004A41">
            <w:pPr>
              <w:spacing w:after="0" w:line="240" w:lineRule="auto"/>
              <w:jc w:val="center"/>
              <w:rPr>
                <w:rFonts w:ascii="Times New Roman" w:hAnsi="Times New Roman"/>
                <w:sz w:val="18"/>
                <w:szCs w:val="18"/>
              </w:rPr>
            </w:pPr>
          </w:p>
        </w:tc>
        <w:tc>
          <w:tcPr>
            <w:tcW w:w="1530" w:type="dxa"/>
            <w:vAlign w:val="center"/>
          </w:tcPr>
          <w:p w14:paraId="40CCE96D" w14:textId="77777777" w:rsidR="00626001" w:rsidRPr="00B0658A" w:rsidRDefault="00626001" w:rsidP="00004A41">
            <w:pPr>
              <w:spacing w:after="0" w:line="240" w:lineRule="auto"/>
              <w:jc w:val="center"/>
              <w:rPr>
                <w:rFonts w:ascii="Times New Roman" w:hAnsi="Times New Roman"/>
                <w:sz w:val="18"/>
                <w:szCs w:val="18"/>
              </w:rPr>
            </w:pPr>
          </w:p>
        </w:tc>
      </w:tr>
      <w:tr w:rsidR="00F52FED" w:rsidRPr="00B0658A" w14:paraId="4F43D208" w14:textId="77777777" w:rsidTr="000103BB">
        <w:trPr>
          <w:trHeight w:val="20"/>
        </w:trPr>
        <w:tc>
          <w:tcPr>
            <w:tcW w:w="578" w:type="dxa"/>
            <w:shd w:val="clear" w:color="000000" w:fill="FFFFFF"/>
            <w:vAlign w:val="center"/>
          </w:tcPr>
          <w:p w14:paraId="46FBDC7E" w14:textId="77777777" w:rsidR="00626001" w:rsidRPr="00B0658A" w:rsidRDefault="00626001" w:rsidP="00004A41">
            <w:pPr>
              <w:spacing w:after="0" w:line="240" w:lineRule="auto"/>
              <w:jc w:val="center"/>
              <w:rPr>
                <w:rFonts w:ascii="Times New Roman" w:hAnsi="Times New Roman"/>
                <w:sz w:val="18"/>
                <w:szCs w:val="18"/>
              </w:rPr>
            </w:pPr>
            <w:r w:rsidRPr="00B0658A">
              <w:rPr>
                <w:rFonts w:ascii="Times New Roman" w:hAnsi="Times New Roman"/>
                <w:sz w:val="18"/>
                <w:szCs w:val="18"/>
              </w:rPr>
              <w:t>4.5</w:t>
            </w:r>
          </w:p>
        </w:tc>
        <w:tc>
          <w:tcPr>
            <w:tcW w:w="3812" w:type="dxa"/>
            <w:shd w:val="clear" w:color="auto" w:fill="auto"/>
            <w:vAlign w:val="center"/>
            <w:hideMark/>
          </w:tcPr>
          <w:p w14:paraId="4746A849" w14:textId="77777777" w:rsidR="00626001" w:rsidRPr="00B0658A" w:rsidRDefault="00626001" w:rsidP="00004A41">
            <w:pPr>
              <w:spacing w:after="0" w:line="240" w:lineRule="auto"/>
              <w:rPr>
                <w:rFonts w:ascii="Times New Roman" w:hAnsi="Times New Roman"/>
                <w:sz w:val="18"/>
                <w:szCs w:val="18"/>
              </w:rPr>
            </w:pPr>
            <w:r w:rsidRPr="00B0658A">
              <w:rPr>
                <w:rFonts w:ascii="Times New Roman" w:hAnsi="Times New Roman"/>
                <w:sz w:val="18"/>
                <w:szCs w:val="18"/>
              </w:rPr>
              <w:t>Средства разработки программного обеспечения/ Средства анализа исходного кода на закладки и уязвимости</w:t>
            </w:r>
          </w:p>
        </w:tc>
        <w:tc>
          <w:tcPr>
            <w:tcW w:w="1842" w:type="dxa"/>
            <w:shd w:val="clear" w:color="000000" w:fill="FFFFFF"/>
            <w:hideMark/>
          </w:tcPr>
          <w:p w14:paraId="7CB2E28A" w14:textId="77777777" w:rsidR="00626001" w:rsidRPr="00B0658A" w:rsidRDefault="00626001" w:rsidP="00004A41">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79" w:type="dxa"/>
            <w:vAlign w:val="center"/>
          </w:tcPr>
          <w:p w14:paraId="75A9C928"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auto" w:fill="auto"/>
            <w:vAlign w:val="center"/>
            <w:hideMark/>
          </w:tcPr>
          <w:p w14:paraId="0D96FBA5"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auto" w:fill="auto"/>
            <w:vAlign w:val="center"/>
            <w:hideMark/>
          </w:tcPr>
          <w:p w14:paraId="7440A302"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auto" w:fill="auto"/>
            <w:vAlign w:val="center"/>
            <w:hideMark/>
          </w:tcPr>
          <w:p w14:paraId="6EBA7B29" w14:textId="77777777" w:rsidR="00626001" w:rsidRPr="00B0658A" w:rsidRDefault="00626001" w:rsidP="00004A41">
            <w:pPr>
              <w:spacing w:after="0" w:line="240" w:lineRule="auto"/>
              <w:jc w:val="center"/>
              <w:rPr>
                <w:rFonts w:ascii="Times New Roman" w:hAnsi="Times New Roman"/>
                <w:sz w:val="18"/>
                <w:szCs w:val="18"/>
              </w:rPr>
            </w:pPr>
          </w:p>
        </w:tc>
        <w:tc>
          <w:tcPr>
            <w:tcW w:w="992" w:type="dxa"/>
            <w:vAlign w:val="center"/>
          </w:tcPr>
          <w:p w14:paraId="0313C26B" w14:textId="77777777" w:rsidR="00626001" w:rsidRPr="00B0658A" w:rsidRDefault="00626001" w:rsidP="00004A41">
            <w:pPr>
              <w:spacing w:after="0" w:line="240" w:lineRule="auto"/>
              <w:jc w:val="center"/>
              <w:rPr>
                <w:rFonts w:ascii="Times New Roman" w:hAnsi="Times New Roman"/>
                <w:sz w:val="18"/>
                <w:szCs w:val="18"/>
              </w:rPr>
            </w:pPr>
          </w:p>
        </w:tc>
        <w:tc>
          <w:tcPr>
            <w:tcW w:w="803" w:type="dxa"/>
            <w:shd w:val="clear" w:color="auto" w:fill="auto"/>
            <w:vAlign w:val="center"/>
            <w:hideMark/>
          </w:tcPr>
          <w:p w14:paraId="2816335A" w14:textId="77777777" w:rsidR="00626001" w:rsidRPr="00B0658A" w:rsidRDefault="00626001" w:rsidP="00004A41">
            <w:pPr>
              <w:spacing w:after="0" w:line="240" w:lineRule="auto"/>
              <w:jc w:val="center"/>
              <w:rPr>
                <w:rFonts w:ascii="Times New Roman" w:hAnsi="Times New Roman"/>
                <w:sz w:val="18"/>
                <w:szCs w:val="18"/>
              </w:rPr>
            </w:pPr>
          </w:p>
        </w:tc>
        <w:tc>
          <w:tcPr>
            <w:tcW w:w="803" w:type="dxa"/>
            <w:shd w:val="clear" w:color="auto" w:fill="auto"/>
            <w:vAlign w:val="center"/>
            <w:hideMark/>
          </w:tcPr>
          <w:p w14:paraId="76BCCB2D" w14:textId="77777777" w:rsidR="00626001" w:rsidRPr="00B0658A" w:rsidRDefault="00626001" w:rsidP="00004A41">
            <w:pPr>
              <w:spacing w:after="0" w:line="240" w:lineRule="auto"/>
              <w:jc w:val="center"/>
              <w:rPr>
                <w:rFonts w:ascii="Times New Roman" w:hAnsi="Times New Roman"/>
                <w:sz w:val="18"/>
                <w:szCs w:val="18"/>
              </w:rPr>
            </w:pPr>
          </w:p>
        </w:tc>
        <w:tc>
          <w:tcPr>
            <w:tcW w:w="804" w:type="dxa"/>
            <w:shd w:val="clear" w:color="auto" w:fill="auto"/>
            <w:vAlign w:val="center"/>
            <w:hideMark/>
          </w:tcPr>
          <w:p w14:paraId="43CB7921" w14:textId="77777777" w:rsidR="00626001" w:rsidRPr="00B0658A" w:rsidRDefault="00626001" w:rsidP="00004A41">
            <w:pPr>
              <w:spacing w:after="0" w:line="240" w:lineRule="auto"/>
              <w:jc w:val="center"/>
              <w:rPr>
                <w:rFonts w:ascii="Times New Roman" w:hAnsi="Times New Roman"/>
                <w:sz w:val="18"/>
                <w:szCs w:val="18"/>
              </w:rPr>
            </w:pPr>
          </w:p>
        </w:tc>
        <w:tc>
          <w:tcPr>
            <w:tcW w:w="1530" w:type="dxa"/>
            <w:vAlign w:val="center"/>
          </w:tcPr>
          <w:p w14:paraId="6FF2C386" w14:textId="77777777" w:rsidR="00626001" w:rsidRPr="00B0658A" w:rsidRDefault="00626001" w:rsidP="00004A41">
            <w:pPr>
              <w:spacing w:after="0" w:line="240" w:lineRule="auto"/>
              <w:jc w:val="center"/>
              <w:rPr>
                <w:rFonts w:ascii="Times New Roman" w:hAnsi="Times New Roman"/>
                <w:sz w:val="18"/>
                <w:szCs w:val="18"/>
              </w:rPr>
            </w:pPr>
          </w:p>
        </w:tc>
      </w:tr>
      <w:tr w:rsidR="00F52FED" w:rsidRPr="00B0658A" w14:paraId="4492220B" w14:textId="77777777" w:rsidTr="000103BB">
        <w:trPr>
          <w:trHeight w:val="20"/>
        </w:trPr>
        <w:tc>
          <w:tcPr>
            <w:tcW w:w="578" w:type="dxa"/>
            <w:shd w:val="clear" w:color="000000" w:fill="FFFFFF"/>
            <w:vAlign w:val="center"/>
          </w:tcPr>
          <w:p w14:paraId="77DD5B8A" w14:textId="77777777" w:rsidR="00626001" w:rsidRPr="00B0658A" w:rsidRDefault="00626001" w:rsidP="00004A41">
            <w:pPr>
              <w:spacing w:after="0" w:line="240" w:lineRule="auto"/>
              <w:jc w:val="center"/>
              <w:rPr>
                <w:rFonts w:ascii="Times New Roman" w:hAnsi="Times New Roman"/>
                <w:sz w:val="18"/>
                <w:szCs w:val="18"/>
              </w:rPr>
            </w:pPr>
            <w:r w:rsidRPr="00B0658A">
              <w:rPr>
                <w:rFonts w:ascii="Times New Roman" w:hAnsi="Times New Roman"/>
                <w:sz w:val="18"/>
                <w:szCs w:val="18"/>
              </w:rPr>
              <w:t>4.6</w:t>
            </w:r>
          </w:p>
        </w:tc>
        <w:tc>
          <w:tcPr>
            <w:tcW w:w="3812" w:type="dxa"/>
            <w:shd w:val="clear" w:color="auto" w:fill="auto"/>
            <w:vAlign w:val="center"/>
            <w:hideMark/>
          </w:tcPr>
          <w:p w14:paraId="020DA6C9" w14:textId="77777777" w:rsidR="00626001" w:rsidRPr="00B0658A" w:rsidRDefault="00626001" w:rsidP="00004A41">
            <w:pPr>
              <w:spacing w:after="0" w:line="240" w:lineRule="auto"/>
              <w:rPr>
                <w:rFonts w:ascii="Times New Roman" w:hAnsi="Times New Roman"/>
                <w:sz w:val="18"/>
                <w:szCs w:val="18"/>
              </w:rPr>
            </w:pPr>
            <w:r w:rsidRPr="00B0658A">
              <w:rPr>
                <w:rFonts w:ascii="Times New Roman" w:hAnsi="Times New Roman"/>
                <w:sz w:val="18"/>
                <w:szCs w:val="18"/>
              </w:rPr>
              <w:t>Средства разработки программного обеспечения/ Средства разработки программного обеспечения на основе нейротехнологий и искусственного интеллекта</w:t>
            </w:r>
          </w:p>
        </w:tc>
        <w:tc>
          <w:tcPr>
            <w:tcW w:w="1842" w:type="dxa"/>
            <w:shd w:val="clear" w:color="000000" w:fill="FFFFFF"/>
            <w:hideMark/>
          </w:tcPr>
          <w:p w14:paraId="60C424FD" w14:textId="77777777" w:rsidR="00626001" w:rsidRPr="00B0658A" w:rsidRDefault="00626001" w:rsidP="00004A41">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79" w:type="dxa"/>
            <w:shd w:val="clear" w:color="000000" w:fill="FFFFFF"/>
            <w:vAlign w:val="center"/>
          </w:tcPr>
          <w:p w14:paraId="5FCBF20D"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000000" w:fill="FFFFFF"/>
            <w:vAlign w:val="center"/>
            <w:hideMark/>
          </w:tcPr>
          <w:p w14:paraId="2E11BC08"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000000" w:fill="FFFFFF"/>
            <w:vAlign w:val="center"/>
            <w:hideMark/>
          </w:tcPr>
          <w:p w14:paraId="79675A8A"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000000" w:fill="FFFFFF"/>
            <w:vAlign w:val="center"/>
            <w:hideMark/>
          </w:tcPr>
          <w:p w14:paraId="0D0965F5" w14:textId="77777777" w:rsidR="00626001" w:rsidRPr="00B0658A" w:rsidRDefault="00626001" w:rsidP="00004A41">
            <w:pPr>
              <w:spacing w:after="0" w:line="240" w:lineRule="auto"/>
              <w:jc w:val="center"/>
              <w:rPr>
                <w:rFonts w:ascii="Times New Roman" w:hAnsi="Times New Roman"/>
                <w:sz w:val="18"/>
                <w:szCs w:val="18"/>
              </w:rPr>
            </w:pPr>
          </w:p>
        </w:tc>
        <w:tc>
          <w:tcPr>
            <w:tcW w:w="992" w:type="dxa"/>
            <w:shd w:val="clear" w:color="000000" w:fill="FFFFFF"/>
            <w:vAlign w:val="center"/>
          </w:tcPr>
          <w:p w14:paraId="3C992B5D" w14:textId="77777777" w:rsidR="00626001" w:rsidRPr="00B0658A" w:rsidRDefault="00626001" w:rsidP="00004A41">
            <w:pPr>
              <w:spacing w:after="0" w:line="240" w:lineRule="auto"/>
              <w:jc w:val="center"/>
              <w:rPr>
                <w:rFonts w:ascii="Times New Roman" w:hAnsi="Times New Roman"/>
                <w:sz w:val="18"/>
                <w:szCs w:val="18"/>
              </w:rPr>
            </w:pPr>
          </w:p>
        </w:tc>
        <w:tc>
          <w:tcPr>
            <w:tcW w:w="803" w:type="dxa"/>
            <w:shd w:val="clear" w:color="000000" w:fill="FFFFFF"/>
            <w:vAlign w:val="center"/>
            <w:hideMark/>
          </w:tcPr>
          <w:p w14:paraId="5B2173F0" w14:textId="77777777" w:rsidR="00626001" w:rsidRPr="00B0658A" w:rsidRDefault="00626001" w:rsidP="00004A41">
            <w:pPr>
              <w:spacing w:after="0" w:line="240" w:lineRule="auto"/>
              <w:jc w:val="center"/>
              <w:rPr>
                <w:rFonts w:ascii="Times New Roman" w:hAnsi="Times New Roman"/>
                <w:sz w:val="18"/>
                <w:szCs w:val="18"/>
              </w:rPr>
            </w:pPr>
          </w:p>
        </w:tc>
        <w:tc>
          <w:tcPr>
            <w:tcW w:w="803" w:type="dxa"/>
            <w:shd w:val="clear" w:color="000000" w:fill="FFFFFF"/>
            <w:vAlign w:val="center"/>
            <w:hideMark/>
          </w:tcPr>
          <w:p w14:paraId="2D69A045" w14:textId="77777777" w:rsidR="00626001" w:rsidRPr="00B0658A" w:rsidRDefault="00626001" w:rsidP="00004A41">
            <w:pPr>
              <w:spacing w:after="0" w:line="240" w:lineRule="auto"/>
              <w:jc w:val="center"/>
              <w:rPr>
                <w:rFonts w:ascii="Times New Roman" w:hAnsi="Times New Roman"/>
                <w:sz w:val="18"/>
                <w:szCs w:val="18"/>
              </w:rPr>
            </w:pPr>
          </w:p>
        </w:tc>
        <w:tc>
          <w:tcPr>
            <w:tcW w:w="804" w:type="dxa"/>
            <w:shd w:val="clear" w:color="000000" w:fill="FFFFFF"/>
            <w:vAlign w:val="center"/>
            <w:hideMark/>
          </w:tcPr>
          <w:p w14:paraId="483647FD" w14:textId="77777777" w:rsidR="00626001" w:rsidRPr="00B0658A" w:rsidRDefault="00626001" w:rsidP="00004A41">
            <w:pPr>
              <w:spacing w:after="0" w:line="240" w:lineRule="auto"/>
              <w:jc w:val="center"/>
              <w:rPr>
                <w:rFonts w:ascii="Times New Roman" w:hAnsi="Times New Roman"/>
                <w:sz w:val="18"/>
                <w:szCs w:val="18"/>
              </w:rPr>
            </w:pPr>
          </w:p>
        </w:tc>
        <w:tc>
          <w:tcPr>
            <w:tcW w:w="1530" w:type="dxa"/>
            <w:shd w:val="clear" w:color="000000" w:fill="FFFFFF"/>
            <w:vAlign w:val="center"/>
          </w:tcPr>
          <w:p w14:paraId="65749557" w14:textId="77777777" w:rsidR="00626001" w:rsidRPr="00B0658A" w:rsidRDefault="00626001" w:rsidP="00004A41">
            <w:pPr>
              <w:spacing w:after="0" w:line="240" w:lineRule="auto"/>
              <w:jc w:val="center"/>
              <w:rPr>
                <w:rFonts w:ascii="Times New Roman" w:hAnsi="Times New Roman"/>
                <w:sz w:val="18"/>
                <w:szCs w:val="18"/>
              </w:rPr>
            </w:pPr>
          </w:p>
        </w:tc>
      </w:tr>
      <w:tr w:rsidR="00F52FED" w:rsidRPr="00B0658A" w14:paraId="7C24E3FE" w14:textId="77777777" w:rsidTr="000103BB">
        <w:trPr>
          <w:trHeight w:val="20"/>
        </w:trPr>
        <w:tc>
          <w:tcPr>
            <w:tcW w:w="578" w:type="dxa"/>
            <w:shd w:val="clear" w:color="000000" w:fill="FFFFFF"/>
            <w:vAlign w:val="center"/>
          </w:tcPr>
          <w:p w14:paraId="3530C801" w14:textId="77777777" w:rsidR="00626001" w:rsidRPr="00B0658A" w:rsidRDefault="00626001" w:rsidP="00004A41">
            <w:pPr>
              <w:spacing w:after="0" w:line="240" w:lineRule="auto"/>
              <w:jc w:val="center"/>
              <w:rPr>
                <w:rFonts w:ascii="Times New Roman" w:hAnsi="Times New Roman"/>
                <w:sz w:val="18"/>
                <w:szCs w:val="18"/>
              </w:rPr>
            </w:pPr>
            <w:r w:rsidRPr="00B0658A">
              <w:rPr>
                <w:rFonts w:ascii="Times New Roman" w:hAnsi="Times New Roman"/>
                <w:sz w:val="18"/>
                <w:szCs w:val="18"/>
              </w:rPr>
              <w:t>4.7</w:t>
            </w:r>
          </w:p>
        </w:tc>
        <w:tc>
          <w:tcPr>
            <w:tcW w:w="3812" w:type="dxa"/>
            <w:shd w:val="clear" w:color="auto" w:fill="auto"/>
            <w:vAlign w:val="center"/>
            <w:hideMark/>
          </w:tcPr>
          <w:p w14:paraId="2B759732" w14:textId="77777777" w:rsidR="00626001" w:rsidRPr="00B0658A" w:rsidRDefault="00626001" w:rsidP="00004A41">
            <w:pPr>
              <w:spacing w:after="0" w:line="240" w:lineRule="auto"/>
              <w:rPr>
                <w:rFonts w:ascii="Times New Roman" w:hAnsi="Times New Roman"/>
                <w:sz w:val="18"/>
                <w:szCs w:val="18"/>
              </w:rPr>
            </w:pPr>
            <w:r w:rsidRPr="00B0658A">
              <w:rPr>
                <w:rFonts w:ascii="Times New Roman" w:hAnsi="Times New Roman"/>
                <w:sz w:val="18"/>
                <w:szCs w:val="18"/>
              </w:rPr>
              <w:t>Средства разработки программного обеспечения/ Средства разработки программного обеспечения на основе квантовых технологий</w:t>
            </w:r>
          </w:p>
        </w:tc>
        <w:tc>
          <w:tcPr>
            <w:tcW w:w="1842" w:type="dxa"/>
            <w:shd w:val="clear" w:color="000000" w:fill="FFFFFF"/>
            <w:hideMark/>
          </w:tcPr>
          <w:p w14:paraId="593621EB" w14:textId="77777777" w:rsidR="00626001" w:rsidRPr="00B0658A" w:rsidRDefault="00626001" w:rsidP="00004A41">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79" w:type="dxa"/>
            <w:shd w:val="clear" w:color="000000" w:fill="FFFFFF"/>
            <w:vAlign w:val="center"/>
          </w:tcPr>
          <w:p w14:paraId="0CC01C86"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000000" w:fill="FFFFFF"/>
            <w:vAlign w:val="center"/>
            <w:hideMark/>
          </w:tcPr>
          <w:p w14:paraId="41130697"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000000" w:fill="FFFFFF"/>
            <w:vAlign w:val="center"/>
            <w:hideMark/>
          </w:tcPr>
          <w:p w14:paraId="11F09464"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000000" w:fill="FFFFFF"/>
            <w:vAlign w:val="center"/>
            <w:hideMark/>
          </w:tcPr>
          <w:p w14:paraId="55798962" w14:textId="77777777" w:rsidR="00626001" w:rsidRPr="00B0658A" w:rsidRDefault="00626001" w:rsidP="00004A41">
            <w:pPr>
              <w:spacing w:after="0" w:line="240" w:lineRule="auto"/>
              <w:jc w:val="center"/>
              <w:rPr>
                <w:rFonts w:ascii="Times New Roman" w:hAnsi="Times New Roman"/>
                <w:sz w:val="18"/>
                <w:szCs w:val="18"/>
              </w:rPr>
            </w:pPr>
          </w:p>
        </w:tc>
        <w:tc>
          <w:tcPr>
            <w:tcW w:w="992" w:type="dxa"/>
            <w:shd w:val="clear" w:color="000000" w:fill="FFFFFF"/>
            <w:vAlign w:val="center"/>
          </w:tcPr>
          <w:p w14:paraId="32985243" w14:textId="77777777" w:rsidR="00626001" w:rsidRPr="00B0658A" w:rsidRDefault="00626001" w:rsidP="00004A41">
            <w:pPr>
              <w:spacing w:after="0" w:line="240" w:lineRule="auto"/>
              <w:jc w:val="center"/>
              <w:rPr>
                <w:rFonts w:ascii="Times New Roman" w:hAnsi="Times New Roman"/>
                <w:sz w:val="18"/>
                <w:szCs w:val="18"/>
              </w:rPr>
            </w:pPr>
          </w:p>
        </w:tc>
        <w:tc>
          <w:tcPr>
            <w:tcW w:w="803" w:type="dxa"/>
            <w:shd w:val="clear" w:color="000000" w:fill="FFFFFF"/>
            <w:vAlign w:val="center"/>
            <w:hideMark/>
          </w:tcPr>
          <w:p w14:paraId="1898B021" w14:textId="77777777" w:rsidR="00626001" w:rsidRPr="00B0658A" w:rsidRDefault="00626001" w:rsidP="00004A41">
            <w:pPr>
              <w:spacing w:after="0" w:line="240" w:lineRule="auto"/>
              <w:jc w:val="center"/>
              <w:rPr>
                <w:rFonts w:ascii="Times New Roman" w:hAnsi="Times New Roman"/>
                <w:sz w:val="18"/>
                <w:szCs w:val="18"/>
              </w:rPr>
            </w:pPr>
          </w:p>
        </w:tc>
        <w:tc>
          <w:tcPr>
            <w:tcW w:w="803" w:type="dxa"/>
            <w:shd w:val="clear" w:color="000000" w:fill="FFFFFF"/>
            <w:vAlign w:val="center"/>
            <w:hideMark/>
          </w:tcPr>
          <w:p w14:paraId="34A9A905" w14:textId="77777777" w:rsidR="00626001" w:rsidRPr="00B0658A" w:rsidRDefault="00626001" w:rsidP="00004A41">
            <w:pPr>
              <w:spacing w:after="0" w:line="240" w:lineRule="auto"/>
              <w:jc w:val="center"/>
              <w:rPr>
                <w:rFonts w:ascii="Times New Roman" w:hAnsi="Times New Roman"/>
                <w:sz w:val="18"/>
                <w:szCs w:val="18"/>
              </w:rPr>
            </w:pPr>
          </w:p>
        </w:tc>
        <w:tc>
          <w:tcPr>
            <w:tcW w:w="804" w:type="dxa"/>
            <w:shd w:val="clear" w:color="000000" w:fill="FFFFFF"/>
            <w:vAlign w:val="center"/>
            <w:hideMark/>
          </w:tcPr>
          <w:p w14:paraId="6BC60625" w14:textId="77777777" w:rsidR="00626001" w:rsidRPr="00B0658A" w:rsidRDefault="00626001" w:rsidP="00004A41">
            <w:pPr>
              <w:spacing w:after="0" w:line="240" w:lineRule="auto"/>
              <w:jc w:val="center"/>
              <w:rPr>
                <w:rFonts w:ascii="Times New Roman" w:hAnsi="Times New Roman"/>
                <w:sz w:val="18"/>
                <w:szCs w:val="18"/>
              </w:rPr>
            </w:pPr>
          </w:p>
        </w:tc>
        <w:tc>
          <w:tcPr>
            <w:tcW w:w="1530" w:type="dxa"/>
            <w:shd w:val="clear" w:color="000000" w:fill="FFFFFF"/>
            <w:vAlign w:val="center"/>
          </w:tcPr>
          <w:p w14:paraId="26E6B7C6" w14:textId="77777777" w:rsidR="00626001" w:rsidRPr="00B0658A" w:rsidRDefault="00626001" w:rsidP="00004A41">
            <w:pPr>
              <w:spacing w:after="0" w:line="240" w:lineRule="auto"/>
              <w:jc w:val="center"/>
              <w:rPr>
                <w:rFonts w:ascii="Times New Roman" w:hAnsi="Times New Roman"/>
                <w:sz w:val="18"/>
                <w:szCs w:val="18"/>
              </w:rPr>
            </w:pPr>
          </w:p>
        </w:tc>
      </w:tr>
      <w:tr w:rsidR="00F52FED" w:rsidRPr="00B0658A" w14:paraId="134DF172" w14:textId="77777777" w:rsidTr="000103BB">
        <w:trPr>
          <w:trHeight w:val="20"/>
        </w:trPr>
        <w:tc>
          <w:tcPr>
            <w:tcW w:w="578" w:type="dxa"/>
            <w:shd w:val="clear" w:color="000000" w:fill="FFFFFF"/>
            <w:vAlign w:val="center"/>
          </w:tcPr>
          <w:p w14:paraId="2E4B88E7" w14:textId="77777777" w:rsidR="00626001" w:rsidRPr="00B0658A" w:rsidRDefault="00626001" w:rsidP="00004A41">
            <w:pPr>
              <w:spacing w:after="0" w:line="240" w:lineRule="auto"/>
              <w:jc w:val="center"/>
              <w:rPr>
                <w:rFonts w:ascii="Times New Roman" w:hAnsi="Times New Roman"/>
                <w:sz w:val="18"/>
                <w:szCs w:val="18"/>
              </w:rPr>
            </w:pPr>
            <w:r w:rsidRPr="00B0658A">
              <w:rPr>
                <w:rFonts w:ascii="Times New Roman" w:hAnsi="Times New Roman"/>
                <w:sz w:val="18"/>
                <w:szCs w:val="18"/>
              </w:rPr>
              <w:t>4.8</w:t>
            </w:r>
          </w:p>
        </w:tc>
        <w:tc>
          <w:tcPr>
            <w:tcW w:w="3812" w:type="dxa"/>
            <w:shd w:val="clear" w:color="auto" w:fill="auto"/>
            <w:vAlign w:val="center"/>
            <w:hideMark/>
          </w:tcPr>
          <w:p w14:paraId="22CFC2B0" w14:textId="77777777" w:rsidR="00626001" w:rsidRPr="00B0658A" w:rsidRDefault="00626001" w:rsidP="00004A41">
            <w:pPr>
              <w:spacing w:after="0" w:line="240" w:lineRule="auto"/>
              <w:rPr>
                <w:rFonts w:ascii="Times New Roman" w:hAnsi="Times New Roman"/>
                <w:sz w:val="18"/>
                <w:szCs w:val="18"/>
              </w:rPr>
            </w:pPr>
            <w:r w:rsidRPr="00B0658A">
              <w:rPr>
                <w:rFonts w:ascii="Times New Roman" w:hAnsi="Times New Roman"/>
                <w:sz w:val="18"/>
                <w:szCs w:val="18"/>
              </w:rPr>
              <w:t>Средства разработки программного обеспечения/ Интегрированные платформы для создания приложений</w:t>
            </w:r>
          </w:p>
        </w:tc>
        <w:tc>
          <w:tcPr>
            <w:tcW w:w="1842" w:type="dxa"/>
            <w:shd w:val="clear" w:color="000000" w:fill="FFFFFF"/>
            <w:hideMark/>
          </w:tcPr>
          <w:p w14:paraId="176C9954" w14:textId="77777777" w:rsidR="00626001" w:rsidRPr="00B0658A" w:rsidRDefault="00626001" w:rsidP="00004A41">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79" w:type="dxa"/>
            <w:shd w:val="clear" w:color="000000" w:fill="FFFFFF"/>
            <w:vAlign w:val="center"/>
          </w:tcPr>
          <w:p w14:paraId="3C42F89E"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000000" w:fill="FFFFFF"/>
            <w:vAlign w:val="center"/>
            <w:hideMark/>
          </w:tcPr>
          <w:p w14:paraId="70489BB7"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000000" w:fill="FFFFFF"/>
            <w:vAlign w:val="center"/>
            <w:hideMark/>
          </w:tcPr>
          <w:p w14:paraId="2C8A9EE9"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000000" w:fill="FFFFFF"/>
            <w:vAlign w:val="center"/>
            <w:hideMark/>
          </w:tcPr>
          <w:p w14:paraId="5CFF2BFB" w14:textId="77777777" w:rsidR="00626001" w:rsidRPr="00B0658A" w:rsidRDefault="00626001" w:rsidP="00004A41">
            <w:pPr>
              <w:spacing w:after="0" w:line="240" w:lineRule="auto"/>
              <w:jc w:val="center"/>
              <w:rPr>
                <w:rFonts w:ascii="Times New Roman" w:hAnsi="Times New Roman"/>
                <w:sz w:val="18"/>
                <w:szCs w:val="18"/>
              </w:rPr>
            </w:pPr>
          </w:p>
        </w:tc>
        <w:tc>
          <w:tcPr>
            <w:tcW w:w="992" w:type="dxa"/>
            <w:shd w:val="clear" w:color="000000" w:fill="FFFFFF"/>
            <w:vAlign w:val="center"/>
          </w:tcPr>
          <w:p w14:paraId="44472622" w14:textId="77777777" w:rsidR="00626001" w:rsidRPr="00B0658A" w:rsidRDefault="00626001" w:rsidP="00004A41">
            <w:pPr>
              <w:spacing w:after="0" w:line="240" w:lineRule="auto"/>
              <w:jc w:val="center"/>
              <w:rPr>
                <w:rFonts w:ascii="Times New Roman" w:hAnsi="Times New Roman"/>
                <w:sz w:val="18"/>
                <w:szCs w:val="18"/>
              </w:rPr>
            </w:pPr>
          </w:p>
        </w:tc>
        <w:tc>
          <w:tcPr>
            <w:tcW w:w="803" w:type="dxa"/>
            <w:shd w:val="clear" w:color="000000" w:fill="FFFFFF"/>
            <w:vAlign w:val="center"/>
            <w:hideMark/>
          </w:tcPr>
          <w:p w14:paraId="788EBA0B" w14:textId="77777777" w:rsidR="00626001" w:rsidRPr="00B0658A" w:rsidRDefault="00626001" w:rsidP="00004A41">
            <w:pPr>
              <w:spacing w:after="0" w:line="240" w:lineRule="auto"/>
              <w:jc w:val="center"/>
              <w:rPr>
                <w:rFonts w:ascii="Times New Roman" w:hAnsi="Times New Roman"/>
                <w:sz w:val="18"/>
                <w:szCs w:val="18"/>
              </w:rPr>
            </w:pPr>
          </w:p>
        </w:tc>
        <w:tc>
          <w:tcPr>
            <w:tcW w:w="803" w:type="dxa"/>
            <w:shd w:val="clear" w:color="000000" w:fill="FFFFFF"/>
            <w:vAlign w:val="center"/>
            <w:hideMark/>
          </w:tcPr>
          <w:p w14:paraId="16843415" w14:textId="77777777" w:rsidR="00626001" w:rsidRPr="00B0658A" w:rsidRDefault="00626001" w:rsidP="00004A41">
            <w:pPr>
              <w:spacing w:after="0" w:line="240" w:lineRule="auto"/>
              <w:jc w:val="center"/>
              <w:rPr>
                <w:rFonts w:ascii="Times New Roman" w:hAnsi="Times New Roman"/>
                <w:sz w:val="18"/>
                <w:szCs w:val="18"/>
              </w:rPr>
            </w:pPr>
          </w:p>
        </w:tc>
        <w:tc>
          <w:tcPr>
            <w:tcW w:w="804" w:type="dxa"/>
            <w:shd w:val="clear" w:color="000000" w:fill="FFFFFF"/>
            <w:vAlign w:val="center"/>
            <w:hideMark/>
          </w:tcPr>
          <w:p w14:paraId="68CEB54F" w14:textId="77777777" w:rsidR="00626001" w:rsidRPr="00B0658A" w:rsidRDefault="00626001" w:rsidP="00004A41">
            <w:pPr>
              <w:spacing w:after="0" w:line="240" w:lineRule="auto"/>
              <w:jc w:val="center"/>
              <w:rPr>
                <w:rFonts w:ascii="Times New Roman" w:hAnsi="Times New Roman"/>
                <w:sz w:val="18"/>
                <w:szCs w:val="18"/>
              </w:rPr>
            </w:pPr>
          </w:p>
        </w:tc>
        <w:tc>
          <w:tcPr>
            <w:tcW w:w="1530" w:type="dxa"/>
            <w:shd w:val="clear" w:color="000000" w:fill="FFFFFF"/>
            <w:vAlign w:val="center"/>
          </w:tcPr>
          <w:p w14:paraId="5D0E93EE" w14:textId="77777777" w:rsidR="00626001" w:rsidRPr="00B0658A" w:rsidRDefault="00626001" w:rsidP="00004A41">
            <w:pPr>
              <w:spacing w:after="0" w:line="240" w:lineRule="auto"/>
              <w:jc w:val="center"/>
              <w:rPr>
                <w:rFonts w:ascii="Times New Roman" w:hAnsi="Times New Roman"/>
                <w:sz w:val="18"/>
                <w:szCs w:val="18"/>
              </w:rPr>
            </w:pPr>
          </w:p>
        </w:tc>
      </w:tr>
      <w:tr w:rsidR="00F52FED" w:rsidRPr="00B0658A" w14:paraId="2DFDC50D" w14:textId="77777777" w:rsidTr="000103BB">
        <w:trPr>
          <w:trHeight w:val="20"/>
        </w:trPr>
        <w:tc>
          <w:tcPr>
            <w:tcW w:w="578" w:type="dxa"/>
            <w:shd w:val="clear" w:color="000000" w:fill="FFFFFF"/>
            <w:vAlign w:val="center"/>
          </w:tcPr>
          <w:p w14:paraId="3034700B" w14:textId="77777777" w:rsidR="00626001" w:rsidRPr="00B0658A" w:rsidRDefault="00626001" w:rsidP="00004A41">
            <w:pPr>
              <w:spacing w:after="0" w:line="240" w:lineRule="auto"/>
              <w:jc w:val="center"/>
              <w:rPr>
                <w:rFonts w:ascii="Times New Roman" w:hAnsi="Times New Roman"/>
                <w:sz w:val="18"/>
                <w:szCs w:val="18"/>
              </w:rPr>
            </w:pPr>
            <w:r w:rsidRPr="00B0658A">
              <w:rPr>
                <w:rFonts w:ascii="Times New Roman" w:hAnsi="Times New Roman"/>
                <w:sz w:val="18"/>
                <w:szCs w:val="18"/>
              </w:rPr>
              <w:t>4.9</w:t>
            </w:r>
          </w:p>
        </w:tc>
        <w:tc>
          <w:tcPr>
            <w:tcW w:w="3812" w:type="dxa"/>
            <w:shd w:val="clear" w:color="auto" w:fill="auto"/>
            <w:vAlign w:val="center"/>
            <w:hideMark/>
          </w:tcPr>
          <w:p w14:paraId="66BB105D" w14:textId="77777777" w:rsidR="00626001" w:rsidRPr="00B0658A" w:rsidRDefault="00626001" w:rsidP="00004A41">
            <w:pPr>
              <w:spacing w:after="0" w:line="240" w:lineRule="auto"/>
              <w:rPr>
                <w:rFonts w:ascii="Times New Roman" w:hAnsi="Times New Roman"/>
                <w:sz w:val="18"/>
                <w:szCs w:val="18"/>
              </w:rPr>
            </w:pPr>
            <w:r w:rsidRPr="00B0658A">
              <w:rPr>
                <w:rFonts w:ascii="Times New Roman" w:hAnsi="Times New Roman"/>
                <w:sz w:val="18"/>
                <w:szCs w:val="18"/>
              </w:rPr>
              <w:t>Средства разработки программного обеспечения/ Системы предотвращения анализа и восстановления исполняемого кода программ</w:t>
            </w:r>
          </w:p>
        </w:tc>
        <w:tc>
          <w:tcPr>
            <w:tcW w:w="1842" w:type="dxa"/>
            <w:shd w:val="clear" w:color="000000" w:fill="FFFFFF"/>
            <w:hideMark/>
          </w:tcPr>
          <w:p w14:paraId="316FACBB" w14:textId="77777777" w:rsidR="00626001" w:rsidRPr="00B0658A" w:rsidRDefault="00626001" w:rsidP="00004A41">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79" w:type="dxa"/>
            <w:shd w:val="clear" w:color="000000" w:fill="FFFFFF"/>
            <w:vAlign w:val="center"/>
          </w:tcPr>
          <w:p w14:paraId="24425FD2"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000000" w:fill="FFFFFF"/>
            <w:vAlign w:val="center"/>
            <w:hideMark/>
          </w:tcPr>
          <w:p w14:paraId="2162C59F"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000000" w:fill="FFFFFF"/>
            <w:vAlign w:val="center"/>
            <w:hideMark/>
          </w:tcPr>
          <w:p w14:paraId="65441F6E"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000000" w:fill="FFFFFF"/>
            <w:vAlign w:val="center"/>
            <w:hideMark/>
          </w:tcPr>
          <w:p w14:paraId="0176A16C" w14:textId="77777777" w:rsidR="00626001" w:rsidRPr="00B0658A" w:rsidRDefault="00626001" w:rsidP="00004A41">
            <w:pPr>
              <w:spacing w:after="0" w:line="240" w:lineRule="auto"/>
              <w:jc w:val="center"/>
              <w:rPr>
                <w:rFonts w:ascii="Times New Roman" w:hAnsi="Times New Roman"/>
                <w:sz w:val="18"/>
                <w:szCs w:val="18"/>
              </w:rPr>
            </w:pPr>
          </w:p>
        </w:tc>
        <w:tc>
          <w:tcPr>
            <w:tcW w:w="992" w:type="dxa"/>
            <w:shd w:val="clear" w:color="000000" w:fill="FFFFFF"/>
            <w:vAlign w:val="center"/>
          </w:tcPr>
          <w:p w14:paraId="3F1B5346" w14:textId="77777777" w:rsidR="00626001" w:rsidRPr="00B0658A" w:rsidRDefault="00626001" w:rsidP="00004A41">
            <w:pPr>
              <w:spacing w:after="0" w:line="240" w:lineRule="auto"/>
              <w:jc w:val="center"/>
              <w:rPr>
                <w:rFonts w:ascii="Times New Roman" w:hAnsi="Times New Roman"/>
                <w:sz w:val="18"/>
                <w:szCs w:val="18"/>
              </w:rPr>
            </w:pPr>
          </w:p>
        </w:tc>
        <w:tc>
          <w:tcPr>
            <w:tcW w:w="803" w:type="dxa"/>
            <w:shd w:val="clear" w:color="000000" w:fill="FFFFFF"/>
            <w:vAlign w:val="center"/>
            <w:hideMark/>
          </w:tcPr>
          <w:p w14:paraId="16567043" w14:textId="77777777" w:rsidR="00626001" w:rsidRPr="00B0658A" w:rsidRDefault="00626001" w:rsidP="00004A41">
            <w:pPr>
              <w:spacing w:after="0" w:line="240" w:lineRule="auto"/>
              <w:jc w:val="center"/>
              <w:rPr>
                <w:rFonts w:ascii="Times New Roman" w:hAnsi="Times New Roman"/>
                <w:sz w:val="18"/>
                <w:szCs w:val="18"/>
              </w:rPr>
            </w:pPr>
          </w:p>
        </w:tc>
        <w:tc>
          <w:tcPr>
            <w:tcW w:w="803" w:type="dxa"/>
            <w:shd w:val="clear" w:color="000000" w:fill="FFFFFF"/>
            <w:vAlign w:val="center"/>
            <w:hideMark/>
          </w:tcPr>
          <w:p w14:paraId="0D1D7264" w14:textId="77777777" w:rsidR="00626001" w:rsidRPr="00B0658A" w:rsidRDefault="00626001" w:rsidP="00004A41">
            <w:pPr>
              <w:spacing w:after="0" w:line="240" w:lineRule="auto"/>
              <w:jc w:val="center"/>
              <w:rPr>
                <w:rFonts w:ascii="Times New Roman" w:hAnsi="Times New Roman"/>
                <w:sz w:val="18"/>
                <w:szCs w:val="18"/>
              </w:rPr>
            </w:pPr>
          </w:p>
        </w:tc>
        <w:tc>
          <w:tcPr>
            <w:tcW w:w="804" w:type="dxa"/>
            <w:shd w:val="clear" w:color="000000" w:fill="FFFFFF"/>
            <w:vAlign w:val="center"/>
            <w:hideMark/>
          </w:tcPr>
          <w:p w14:paraId="3DBA14B6" w14:textId="77777777" w:rsidR="00626001" w:rsidRPr="00B0658A" w:rsidRDefault="00626001" w:rsidP="00004A41">
            <w:pPr>
              <w:spacing w:after="0" w:line="240" w:lineRule="auto"/>
              <w:jc w:val="center"/>
              <w:rPr>
                <w:rFonts w:ascii="Times New Roman" w:hAnsi="Times New Roman"/>
                <w:sz w:val="18"/>
                <w:szCs w:val="18"/>
              </w:rPr>
            </w:pPr>
          </w:p>
        </w:tc>
        <w:tc>
          <w:tcPr>
            <w:tcW w:w="1530" w:type="dxa"/>
            <w:shd w:val="clear" w:color="000000" w:fill="FFFFFF"/>
            <w:vAlign w:val="center"/>
          </w:tcPr>
          <w:p w14:paraId="26B94E4E" w14:textId="77777777" w:rsidR="00626001" w:rsidRPr="00B0658A" w:rsidRDefault="00626001" w:rsidP="00004A41">
            <w:pPr>
              <w:spacing w:after="0" w:line="240" w:lineRule="auto"/>
              <w:jc w:val="center"/>
              <w:rPr>
                <w:rFonts w:ascii="Times New Roman" w:hAnsi="Times New Roman"/>
                <w:sz w:val="18"/>
                <w:szCs w:val="18"/>
              </w:rPr>
            </w:pPr>
          </w:p>
        </w:tc>
      </w:tr>
      <w:tr w:rsidR="00F52FED" w:rsidRPr="00B0658A" w14:paraId="62F72196" w14:textId="77777777" w:rsidTr="000103BB">
        <w:trPr>
          <w:trHeight w:val="20"/>
        </w:trPr>
        <w:tc>
          <w:tcPr>
            <w:tcW w:w="578" w:type="dxa"/>
            <w:shd w:val="clear" w:color="000000" w:fill="FFFFFF"/>
            <w:vAlign w:val="center"/>
          </w:tcPr>
          <w:p w14:paraId="7B7D5ED5" w14:textId="77777777" w:rsidR="00626001" w:rsidRPr="00B0658A" w:rsidRDefault="00626001" w:rsidP="00004A41">
            <w:pPr>
              <w:spacing w:after="0" w:line="240" w:lineRule="auto"/>
              <w:jc w:val="center"/>
              <w:rPr>
                <w:rFonts w:ascii="Times New Roman" w:hAnsi="Times New Roman"/>
                <w:sz w:val="18"/>
                <w:szCs w:val="18"/>
              </w:rPr>
            </w:pPr>
            <w:r w:rsidRPr="00B0658A">
              <w:rPr>
                <w:rFonts w:ascii="Times New Roman" w:hAnsi="Times New Roman"/>
                <w:sz w:val="18"/>
                <w:szCs w:val="18"/>
              </w:rPr>
              <w:t>5.1</w:t>
            </w:r>
          </w:p>
        </w:tc>
        <w:tc>
          <w:tcPr>
            <w:tcW w:w="3812" w:type="dxa"/>
            <w:shd w:val="clear" w:color="auto" w:fill="auto"/>
            <w:vAlign w:val="center"/>
            <w:hideMark/>
          </w:tcPr>
          <w:p w14:paraId="13AC0CCA" w14:textId="77777777" w:rsidR="00626001" w:rsidRPr="00B0658A" w:rsidRDefault="00626001" w:rsidP="00004A41">
            <w:pPr>
              <w:spacing w:after="0" w:line="240" w:lineRule="auto"/>
              <w:rPr>
                <w:rFonts w:ascii="Times New Roman" w:hAnsi="Times New Roman"/>
                <w:sz w:val="18"/>
                <w:szCs w:val="18"/>
              </w:rPr>
            </w:pPr>
            <w:r w:rsidRPr="00B0658A">
              <w:rPr>
                <w:rFonts w:ascii="Times New Roman" w:hAnsi="Times New Roman"/>
                <w:sz w:val="18"/>
                <w:szCs w:val="18"/>
              </w:rPr>
              <w:t>Прикладное программное обеспечение/ Мультимедийное программное обеспечение</w:t>
            </w:r>
          </w:p>
        </w:tc>
        <w:tc>
          <w:tcPr>
            <w:tcW w:w="1842" w:type="dxa"/>
            <w:shd w:val="clear" w:color="000000" w:fill="FFFFFF"/>
            <w:hideMark/>
          </w:tcPr>
          <w:p w14:paraId="4A735B27" w14:textId="77777777" w:rsidR="00626001" w:rsidRPr="00B0658A" w:rsidRDefault="00626001" w:rsidP="00004A41">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79" w:type="dxa"/>
            <w:vAlign w:val="center"/>
          </w:tcPr>
          <w:p w14:paraId="467CC2BB"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auto" w:fill="auto"/>
            <w:vAlign w:val="center"/>
            <w:hideMark/>
          </w:tcPr>
          <w:p w14:paraId="3B47586D"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auto" w:fill="auto"/>
            <w:vAlign w:val="center"/>
            <w:hideMark/>
          </w:tcPr>
          <w:p w14:paraId="3B1814EE"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auto" w:fill="auto"/>
            <w:vAlign w:val="center"/>
            <w:hideMark/>
          </w:tcPr>
          <w:p w14:paraId="25E7C54E" w14:textId="77777777" w:rsidR="00626001" w:rsidRPr="00B0658A" w:rsidRDefault="00626001" w:rsidP="00004A41">
            <w:pPr>
              <w:spacing w:after="0" w:line="240" w:lineRule="auto"/>
              <w:jc w:val="center"/>
              <w:rPr>
                <w:rFonts w:ascii="Times New Roman" w:hAnsi="Times New Roman"/>
                <w:sz w:val="18"/>
                <w:szCs w:val="18"/>
              </w:rPr>
            </w:pPr>
          </w:p>
        </w:tc>
        <w:tc>
          <w:tcPr>
            <w:tcW w:w="992" w:type="dxa"/>
            <w:vAlign w:val="center"/>
          </w:tcPr>
          <w:p w14:paraId="478908D1" w14:textId="77777777" w:rsidR="00626001" w:rsidRPr="00B0658A" w:rsidRDefault="00626001" w:rsidP="00004A41">
            <w:pPr>
              <w:spacing w:after="0" w:line="240" w:lineRule="auto"/>
              <w:jc w:val="center"/>
              <w:rPr>
                <w:rFonts w:ascii="Times New Roman" w:hAnsi="Times New Roman"/>
                <w:sz w:val="18"/>
                <w:szCs w:val="18"/>
              </w:rPr>
            </w:pPr>
          </w:p>
        </w:tc>
        <w:tc>
          <w:tcPr>
            <w:tcW w:w="803" w:type="dxa"/>
            <w:shd w:val="clear" w:color="auto" w:fill="auto"/>
            <w:vAlign w:val="center"/>
            <w:hideMark/>
          </w:tcPr>
          <w:p w14:paraId="6F241EB4" w14:textId="77777777" w:rsidR="00626001" w:rsidRPr="00B0658A" w:rsidRDefault="00626001" w:rsidP="00004A41">
            <w:pPr>
              <w:spacing w:after="0" w:line="240" w:lineRule="auto"/>
              <w:jc w:val="center"/>
              <w:rPr>
                <w:rFonts w:ascii="Times New Roman" w:hAnsi="Times New Roman"/>
                <w:sz w:val="18"/>
                <w:szCs w:val="18"/>
              </w:rPr>
            </w:pPr>
          </w:p>
        </w:tc>
        <w:tc>
          <w:tcPr>
            <w:tcW w:w="803" w:type="dxa"/>
            <w:shd w:val="clear" w:color="auto" w:fill="auto"/>
            <w:vAlign w:val="center"/>
            <w:hideMark/>
          </w:tcPr>
          <w:p w14:paraId="57BAC4FE" w14:textId="77777777" w:rsidR="00626001" w:rsidRPr="00B0658A" w:rsidRDefault="00626001" w:rsidP="00004A41">
            <w:pPr>
              <w:spacing w:after="0" w:line="240" w:lineRule="auto"/>
              <w:jc w:val="center"/>
              <w:rPr>
                <w:rFonts w:ascii="Times New Roman" w:hAnsi="Times New Roman"/>
                <w:sz w:val="18"/>
                <w:szCs w:val="18"/>
              </w:rPr>
            </w:pPr>
          </w:p>
        </w:tc>
        <w:tc>
          <w:tcPr>
            <w:tcW w:w="804" w:type="dxa"/>
            <w:shd w:val="clear" w:color="auto" w:fill="auto"/>
            <w:vAlign w:val="center"/>
            <w:hideMark/>
          </w:tcPr>
          <w:p w14:paraId="332429CD" w14:textId="77777777" w:rsidR="00626001" w:rsidRPr="00B0658A" w:rsidRDefault="00626001" w:rsidP="00004A41">
            <w:pPr>
              <w:spacing w:after="0" w:line="240" w:lineRule="auto"/>
              <w:jc w:val="center"/>
              <w:rPr>
                <w:rFonts w:ascii="Times New Roman" w:hAnsi="Times New Roman"/>
                <w:sz w:val="18"/>
                <w:szCs w:val="18"/>
              </w:rPr>
            </w:pPr>
          </w:p>
        </w:tc>
        <w:tc>
          <w:tcPr>
            <w:tcW w:w="1530" w:type="dxa"/>
            <w:vAlign w:val="center"/>
          </w:tcPr>
          <w:p w14:paraId="0D647C09" w14:textId="77777777" w:rsidR="00626001" w:rsidRPr="00B0658A" w:rsidRDefault="00626001" w:rsidP="00004A41">
            <w:pPr>
              <w:spacing w:after="0" w:line="240" w:lineRule="auto"/>
              <w:jc w:val="center"/>
              <w:rPr>
                <w:rFonts w:ascii="Times New Roman" w:hAnsi="Times New Roman"/>
                <w:sz w:val="18"/>
                <w:szCs w:val="18"/>
              </w:rPr>
            </w:pPr>
          </w:p>
        </w:tc>
      </w:tr>
      <w:tr w:rsidR="00F52FED" w:rsidRPr="00B0658A" w14:paraId="03BD6515" w14:textId="77777777" w:rsidTr="000103BB">
        <w:trPr>
          <w:trHeight w:val="20"/>
        </w:trPr>
        <w:tc>
          <w:tcPr>
            <w:tcW w:w="578" w:type="dxa"/>
            <w:shd w:val="clear" w:color="000000" w:fill="FFFFFF"/>
            <w:vAlign w:val="center"/>
          </w:tcPr>
          <w:p w14:paraId="3DD059CC" w14:textId="77777777" w:rsidR="00626001" w:rsidRPr="00B0658A" w:rsidRDefault="00626001" w:rsidP="00004A41">
            <w:pPr>
              <w:spacing w:after="0" w:line="240" w:lineRule="auto"/>
              <w:jc w:val="center"/>
              <w:rPr>
                <w:rFonts w:ascii="Times New Roman" w:hAnsi="Times New Roman"/>
                <w:sz w:val="18"/>
                <w:szCs w:val="18"/>
              </w:rPr>
            </w:pPr>
            <w:r w:rsidRPr="00B0658A">
              <w:rPr>
                <w:rFonts w:ascii="Times New Roman" w:hAnsi="Times New Roman"/>
                <w:sz w:val="18"/>
                <w:szCs w:val="18"/>
              </w:rPr>
              <w:t>5.2</w:t>
            </w:r>
          </w:p>
        </w:tc>
        <w:tc>
          <w:tcPr>
            <w:tcW w:w="3812" w:type="dxa"/>
            <w:shd w:val="clear" w:color="auto" w:fill="auto"/>
            <w:vAlign w:val="center"/>
            <w:hideMark/>
          </w:tcPr>
          <w:p w14:paraId="7D11CCEF" w14:textId="77777777" w:rsidR="00626001" w:rsidRPr="00B0658A" w:rsidRDefault="00626001" w:rsidP="00004A41">
            <w:pPr>
              <w:spacing w:after="0" w:line="240" w:lineRule="auto"/>
              <w:rPr>
                <w:rFonts w:ascii="Times New Roman" w:hAnsi="Times New Roman"/>
                <w:sz w:val="18"/>
                <w:szCs w:val="18"/>
              </w:rPr>
            </w:pPr>
            <w:r w:rsidRPr="00B0658A">
              <w:rPr>
                <w:rFonts w:ascii="Times New Roman" w:hAnsi="Times New Roman"/>
                <w:sz w:val="18"/>
                <w:szCs w:val="18"/>
              </w:rPr>
              <w:t>Прикладное программное обеспечение/ Дополнительные программные модули (плагины)</w:t>
            </w:r>
          </w:p>
        </w:tc>
        <w:tc>
          <w:tcPr>
            <w:tcW w:w="1842" w:type="dxa"/>
            <w:shd w:val="clear" w:color="000000" w:fill="FFFFFF"/>
            <w:hideMark/>
          </w:tcPr>
          <w:p w14:paraId="2EEFE742" w14:textId="77777777" w:rsidR="00626001" w:rsidRPr="00B0658A" w:rsidRDefault="00626001" w:rsidP="00004A41">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79" w:type="dxa"/>
            <w:shd w:val="clear" w:color="000000" w:fill="FFFFFF"/>
            <w:vAlign w:val="center"/>
          </w:tcPr>
          <w:p w14:paraId="4487A153"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000000" w:fill="FFFFFF"/>
            <w:vAlign w:val="center"/>
            <w:hideMark/>
          </w:tcPr>
          <w:p w14:paraId="2244B888"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000000" w:fill="FFFFFF"/>
            <w:vAlign w:val="center"/>
            <w:hideMark/>
          </w:tcPr>
          <w:p w14:paraId="416808E8"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000000" w:fill="FFFFFF"/>
            <w:vAlign w:val="center"/>
            <w:hideMark/>
          </w:tcPr>
          <w:p w14:paraId="4F2A7B68" w14:textId="77777777" w:rsidR="00626001" w:rsidRPr="00B0658A" w:rsidRDefault="00626001" w:rsidP="00004A41">
            <w:pPr>
              <w:spacing w:after="0" w:line="240" w:lineRule="auto"/>
              <w:jc w:val="center"/>
              <w:rPr>
                <w:rFonts w:ascii="Times New Roman" w:hAnsi="Times New Roman"/>
                <w:sz w:val="18"/>
                <w:szCs w:val="18"/>
              </w:rPr>
            </w:pPr>
          </w:p>
        </w:tc>
        <w:tc>
          <w:tcPr>
            <w:tcW w:w="992" w:type="dxa"/>
            <w:shd w:val="clear" w:color="000000" w:fill="FFFFFF"/>
            <w:vAlign w:val="center"/>
          </w:tcPr>
          <w:p w14:paraId="2BCD176E" w14:textId="77777777" w:rsidR="00626001" w:rsidRPr="00B0658A" w:rsidRDefault="00626001" w:rsidP="00004A41">
            <w:pPr>
              <w:spacing w:after="0" w:line="240" w:lineRule="auto"/>
              <w:jc w:val="center"/>
              <w:rPr>
                <w:rFonts w:ascii="Times New Roman" w:hAnsi="Times New Roman"/>
                <w:sz w:val="18"/>
                <w:szCs w:val="18"/>
              </w:rPr>
            </w:pPr>
          </w:p>
        </w:tc>
        <w:tc>
          <w:tcPr>
            <w:tcW w:w="803" w:type="dxa"/>
            <w:shd w:val="clear" w:color="000000" w:fill="FFFFFF"/>
            <w:vAlign w:val="center"/>
            <w:hideMark/>
          </w:tcPr>
          <w:p w14:paraId="760897D9" w14:textId="77777777" w:rsidR="00626001" w:rsidRPr="00B0658A" w:rsidRDefault="00626001" w:rsidP="00004A41">
            <w:pPr>
              <w:spacing w:after="0" w:line="240" w:lineRule="auto"/>
              <w:jc w:val="center"/>
              <w:rPr>
                <w:rFonts w:ascii="Times New Roman" w:hAnsi="Times New Roman"/>
                <w:sz w:val="18"/>
                <w:szCs w:val="18"/>
              </w:rPr>
            </w:pPr>
          </w:p>
        </w:tc>
        <w:tc>
          <w:tcPr>
            <w:tcW w:w="803" w:type="dxa"/>
            <w:shd w:val="clear" w:color="000000" w:fill="FFFFFF"/>
            <w:vAlign w:val="center"/>
            <w:hideMark/>
          </w:tcPr>
          <w:p w14:paraId="42B64536" w14:textId="77777777" w:rsidR="00626001" w:rsidRPr="00B0658A" w:rsidRDefault="00626001" w:rsidP="00004A41">
            <w:pPr>
              <w:spacing w:after="0" w:line="240" w:lineRule="auto"/>
              <w:jc w:val="center"/>
              <w:rPr>
                <w:rFonts w:ascii="Times New Roman" w:hAnsi="Times New Roman"/>
                <w:sz w:val="18"/>
                <w:szCs w:val="18"/>
              </w:rPr>
            </w:pPr>
          </w:p>
        </w:tc>
        <w:tc>
          <w:tcPr>
            <w:tcW w:w="804" w:type="dxa"/>
            <w:shd w:val="clear" w:color="000000" w:fill="FFFFFF"/>
            <w:vAlign w:val="center"/>
            <w:hideMark/>
          </w:tcPr>
          <w:p w14:paraId="6589F950" w14:textId="77777777" w:rsidR="00626001" w:rsidRPr="00B0658A" w:rsidRDefault="00626001" w:rsidP="00004A41">
            <w:pPr>
              <w:spacing w:after="0" w:line="240" w:lineRule="auto"/>
              <w:jc w:val="center"/>
              <w:rPr>
                <w:rFonts w:ascii="Times New Roman" w:hAnsi="Times New Roman"/>
                <w:sz w:val="18"/>
                <w:szCs w:val="18"/>
              </w:rPr>
            </w:pPr>
          </w:p>
        </w:tc>
        <w:tc>
          <w:tcPr>
            <w:tcW w:w="1530" w:type="dxa"/>
            <w:shd w:val="clear" w:color="000000" w:fill="FFFFFF"/>
            <w:vAlign w:val="center"/>
          </w:tcPr>
          <w:p w14:paraId="792E63F3" w14:textId="77777777" w:rsidR="00626001" w:rsidRPr="00B0658A" w:rsidRDefault="00626001" w:rsidP="00004A41">
            <w:pPr>
              <w:spacing w:after="0" w:line="240" w:lineRule="auto"/>
              <w:jc w:val="center"/>
              <w:rPr>
                <w:rFonts w:ascii="Times New Roman" w:hAnsi="Times New Roman"/>
                <w:sz w:val="18"/>
                <w:szCs w:val="18"/>
              </w:rPr>
            </w:pPr>
          </w:p>
        </w:tc>
      </w:tr>
      <w:tr w:rsidR="00F52FED" w:rsidRPr="00B0658A" w14:paraId="16E44306" w14:textId="77777777" w:rsidTr="000103BB">
        <w:trPr>
          <w:trHeight w:val="20"/>
        </w:trPr>
        <w:tc>
          <w:tcPr>
            <w:tcW w:w="578" w:type="dxa"/>
            <w:shd w:val="clear" w:color="000000" w:fill="FFFFFF"/>
            <w:vAlign w:val="center"/>
          </w:tcPr>
          <w:p w14:paraId="13DB773A" w14:textId="77777777" w:rsidR="00626001" w:rsidRPr="00B0658A" w:rsidRDefault="00626001" w:rsidP="00004A41">
            <w:pPr>
              <w:spacing w:after="0" w:line="240" w:lineRule="auto"/>
              <w:jc w:val="center"/>
              <w:rPr>
                <w:rFonts w:ascii="Times New Roman" w:hAnsi="Times New Roman"/>
                <w:sz w:val="18"/>
                <w:szCs w:val="18"/>
              </w:rPr>
            </w:pPr>
            <w:r w:rsidRPr="00B0658A">
              <w:rPr>
                <w:rFonts w:ascii="Times New Roman" w:hAnsi="Times New Roman"/>
                <w:sz w:val="18"/>
                <w:szCs w:val="18"/>
              </w:rPr>
              <w:t>5.3</w:t>
            </w:r>
          </w:p>
        </w:tc>
        <w:tc>
          <w:tcPr>
            <w:tcW w:w="3812" w:type="dxa"/>
            <w:shd w:val="clear" w:color="auto" w:fill="auto"/>
            <w:vAlign w:val="center"/>
            <w:hideMark/>
          </w:tcPr>
          <w:p w14:paraId="6579A012" w14:textId="77777777" w:rsidR="00626001" w:rsidRPr="00B0658A" w:rsidRDefault="00626001" w:rsidP="00004A41">
            <w:pPr>
              <w:spacing w:after="0" w:line="240" w:lineRule="auto"/>
              <w:rPr>
                <w:rFonts w:ascii="Times New Roman" w:hAnsi="Times New Roman"/>
                <w:sz w:val="18"/>
                <w:szCs w:val="18"/>
              </w:rPr>
            </w:pPr>
            <w:r w:rsidRPr="00B0658A">
              <w:rPr>
                <w:rFonts w:ascii="Times New Roman" w:hAnsi="Times New Roman"/>
                <w:sz w:val="18"/>
                <w:szCs w:val="18"/>
              </w:rPr>
              <w:t>Прикладное программное обеспечение/ Игры и развлечения</w:t>
            </w:r>
          </w:p>
        </w:tc>
        <w:tc>
          <w:tcPr>
            <w:tcW w:w="1842" w:type="dxa"/>
            <w:shd w:val="clear" w:color="000000" w:fill="FFFFFF"/>
            <w:hideMark/>
          </w:tcPr>
          <w:p w14:paraId="05FEAEA1" w14:textId="77777777" w:rsidR="00626001" w:rsidRPr="00B0658A" w:rsidRDefault="00626001" w:rsidP="00004A41">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79" w:type="dxa"/>
            <w:shd w:val="clear" w:color="000000" w:fill="FFFFFF"/>
            <w:vAlign w:val="center"/>
          </w:tcPr>
          <w:p w14:paraId="167E1309"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000000" w:fill="FFFFFF"/>
            <w:vAlign w:val="center"/>
            <w:hideMark/>
          </w:tcPr>
          <w:p w14:paraId="7DACEAC0"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000000" w:fill="FFFFFF"/>
            <w:vAlign w:val="center"/>
            <w:hideMark/>
          </w:tcPr>
          <w:p w14:paraId="6DB6C793"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000000" w:fill="FFFFFF"/>
            <w:vAlign w:val="center"/>
            <w:hideMark/>
          </w:tcPr>
          <w:p w14:paraId="18134E1D" w14:textId="77777777" w:rsidR="00626001" w:rsidRPr="00B0658A" w:rsidRDefault="00626001" w:rsidP="00004A41">
            <w:pPr>
              <w:spacing w:after="0" w:line="240" w:lineRule="auto"/>
              <w:jc w:val="center"/>
              <w:rPr>
                <w:rFonts w:ascii="Times New Roman" w:hAnsi="Times New Roman"/>
                <w:sz w:val="18"/>
                <w:szCs w:val="18"/>
              </w:rPr>
            </w:pPr>
          </w:p>
        </w:tc>
        <w:tc>
          <w:tcPr>
            <w:tcW w:w="992" w:type="dxa"/>
            <w:shd w:val="clear" w:color="000000" w:fill="FFFFFF"/>
            <w:vAlign w:val="center"/>
          </w:tcPr>
          <w:p w14:paraId="37A85DD1" w14:textId="77777777" w:rsidR="00626001" w:rsidRPr="00B0658A" w:rsidRDefault="00626001" w:rsidP="00004A41">
            <w:pPr>
              <w:spacing w:after="0" w:line="240" w:lineRule="auto"/>
              <w:jc w:val="center"/>
              <w:rPr>
                <w:rFonts w:ascii="Times New Roman" w:hAnsi="Times New Roman"/>
                <w:sz w:val="18"/>
                <w:szCs w:val="18"/>
              </w:rPr>
            </w:pPr>
          </w:p>
        </w:tc>
        <w:tc>
          <w:tcPr>
            <w:tcW w:w="803" w:type="dxa"/>
            <w:shd w:val="clear" w:color="000000" w:fill="FFFFFF"/>
            <w:vAlign w:val="center"/>
            <w:hideMark/>
          </w:tcPr>
          <w:p w14:paraId="5123E601" w14:textId="77777777" w:rsidR="00626001" w:rsidRPr="00B0658A" w:rsidRDefault="00626001" w:rsidP="00004A41">
            <w:pPr>
              <w:spacing w:after="0" w:line="240" w:lineRule="auto"/>
              <w:jc w:val="center"/>
              <w:rPr>
                <w:rFonts w:ascii="Times New Roman" w:hAnsi="Times New Roman"/>
                <w:sz w:val="18"/>
                <w:szCs w:val="18"/>
              </w:rPr>
            </w:pPr>
          </w:p>
        </w:tc>
        <w:tc>
          <w:tcPr>
            <w:tcW w:w="803" w:type="dxa"/>
            <w:shd w:val="clear" w:color="000000" w:fill="FFFFFF"/>
            <w:vAlign w:val="center"/>
            <w:hideMark/>
          </w:tcPr>
          <w:p w14:paraId="693B8E5A" w14:textId="77777777" w:rsidR="00626001" w:rsidRPr="00B0658A" w:rsidRDefault="00626001" w:rsidP="00004A41">
            <w:pPr>
              <w:spacing w:after="0" w:line="240" w:lineRule="auto"/>
              <w:jc w:val="center"/>
              <w:rPr>
                <w:rFonts w:ascii="Times New Roman" w:hAnsi="Times New Roman"/>
                <w:sz w:val="18"/>
                <w:szCs w:val="18"/>
              </w:rPr>
            </w:pPr>
          </w:p>
        </w:tc>
        <w:tc>
          <w:tcPr>
            <w:tcW w:w="804" w:type="dxa"/>
            <w:shd w:val="clear" w:color="000000" w:fill="FFFFFF"/>
            <w:vAlign w:val="center"/>
            <w:hideMark/>
          </w:tcPr>
          <w:p w14:paraId="2CD0F24E" w14:textId="77777777" w:rsidR="00626001" w:rsidRPr="00B0658A" w:rsidRDefault="00626001" w:rsidP="00004A41">
            <w:pPr>
              <w:spacing w:after="0" w:line="240" w:lineRule="auto"/>
              <w:jc w:val="center"/>
              <w:rPr>
                <w:rFonts w:ascii="Times New Roman" w:hAnsi="Times New Roman"/>
                <w:sz w:val="18"/>
                <w:szCs w:val="18"/>
              </w:rPr>
            </w:pPr>
          </w:p>
        </w:tc>
        <w:tc>
          <w:tcPr>
            <w:tcW w:w="1530" w:type="dxa"/>
            <w:shd w:val="clear" w:color="000000" w:fill="FFFFFF"/>
            <w:vAlign w:val="center"/>
          </w:tcPr>
          <w:p w14:paraId="66EC6B7B" w14:textId="77777777" w:rsidR="00626001" w:rsidRPr="00B0658A" w:rsidRDefault="00626001" w:rsidP="00004A41">
            <w:pPr>
              <w:spacing w:after="0" w:line="240" w:lineRule="auto"/>
              <w:jc w:val="center"/>
              <w:rPr>
                <w:rFonts w:ascii="Times New Roman" w:hAnsi="Times New Roman"/>
                <w:sz w:val="18"/>
                <w:szCs w:val="18"/>
              </w:rPr>
            </w:pPr>
          </w:p>
        </w:tc>
      </w:tr>
      <w:tr w:rsidR="00F52FED" w:rsidRPr="00B0658A" w14:paraId="0084002A" w14:textId="77777777" w:rsidTr="000103BB">
        <w:trPr>
          <w:trHeight w:val="20"/>
        </w:trPr>
        <w:tc>
          <w:tcPr>
            <w:tcW w:w="578" w:type="dxa"/>
            <w:shd w:val="clear" w:color="000000" w:fill="FFFFFF"/>
            <w:vAlign w:val="center"/>
          </w:tcPr>
          <w:p w14:paraId="4DEC01E3" w14:textId="77777777" w:rsidR="00626001" w:rsidRPr="00B0658A" w:rsidRDefault="00626001" w:rsidP="00004A41">
            <w:pPr>
              <w:spacing w:after="0" w:line="240" w:lineRule="auto"/>
              <w:jc w:val="center"/>
              <w:rPr>
                <w:rFonts w:ascii="Times New Roman" w:hAnsi="Times New Roman"/>
                <w:sz w:val="18"/>
                <w:szCs w:val="18"/>
              </w:rPr>
            </w:pPr>
            <w:r w:rsidRPr="00B0658A">
              <w:rPr>
                <w:rFonts w:ascii="Times New Roman" w:hAnsi="Times New Roman"/>
                <w:sz w:val="18"/>
                <w:szCs w:val="18"/>
              </w:rPr>
              <w:t>5.4</w:t>
            </w:r>
          </w:p>
        </w:tc>
        <w:tc>
          <w:tcPr>
            <w:tcW w:w="3812" w:type="dxa"/>
            <w:shd w:val="clear" w:color="auto" w:fill="auto"/>
            <w:vAlign w:val="center"/>
            <w:hideMark/>
          </w:tcPr>
          <w:p w14:paraId="721150F5" w14:textId="77777777" w:rsidR="00626001" w:rsidRPr="00B0658A" w:rsidRDefault="00626001" w:rsidP="00004A41">
            <w:pPr>
              <w:spacing w:after="0" w:line="240" w:lineRule="auto"/>
              <w:rPr>
                <w:rFonts w:ascii="Times New Roman" w:hAnsi="Times New Roman"/>
                <w:sz w:val="18"/>
                <w:szCs w:val="18"/>
              </w:rPr>
            </w:pPr>
            <w:r w:rsidRPr="00B0658A">
              <w:rPr>
                <w:rFonts w:ascii="Times New Roman" w:hAnsi="Times New Roman"/>
                <w:sz w:val="18"/>
                <w:szCs w:val="18"/>
              </w:rPr>
              <w:t>Прикладное программное обеспечение/ Поисковые средства</w:t>
            </w:r>
          </w:p>
        </w:tc>
        <w:tc>
          <w:tcPr>
            <w:tcW w:w="1842" w:type="dxa"/>
            <w:shd w:val="clear" w:color="000000" w:fill="FFFFFF"/>
            <w:hideMark/>
          </w:tcPr>
          <w:p w14:paraId="1D5BABA3" w14:textId="77777777" w:rsidR="00626001" w:rsidRPr="00B0658A" w:rsidRDefault="00626001" w:rsidP="00004A41">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79" w:type="dxa"/>
            <w:shd w:val="clear" w:color="000000" w:fill="FFFFFF"/>
            <w:vAlign w:val="center"/>
          </w:tcPr>
          <w:p w14:paraId="60D43D97"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000000" w:fill="FFFFFF"/>
            <w:vAlign w:val="center"/>
            <w:hideMark/>
          </w:tcPr>
          <w:p w14:paraId="494BBE98"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000000" w:fill="FFFFFF"/>
            <w:vAlign w:val="center"/>
            <w:hideMark/>
          </w:tcPr>
          <w:p w14:paraId="79DBA6E8"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000000" w:fill="FFFFFF"/>
            <w:vAlign w:val="center"/>
            <w:hideMark/>
          </w:tcPr>
          <w:p w14:paraId="7A9EFC60" w14:textId="77777777" w:rsidR="00626001" w:rsidRPr="00B0658A" w:rsidRDefault="00626001" w:rsidP="00004A41">
            <w:pPr>
              <w:spacing w:after="0" w:line="240" w:lineRule="auto"/>
              <w:jc w:val="center"/>
              <w:rPr>
                <w:rFonts w:ascii="Times New Roman" w:hAnsi="Times New Roman"/>
                <w:sz w:val="18"/>
                <w:szCs w:val="18"/>
              </w:rPr>
            </w:pPr>
          </w:p>
        </w:tc>
        <w:tc>
          <w:tcPr>
            <w:tcW w:w="992" w:type="dxa"/>
            <w:shd w:val="clear" w:color="000000" w:fill="FFFFFF"/>
            <w:vAlign w:val="center"/>
          </w:tcPr>
          <w:p w14:paraId="4044F6DF" w14:textId="77777777" w:rsidR="00626001" w:rsidRPr="00B0658A" w:rsidRDefault="00626001" w:rsidP="00004A41">
            <w:pPr>
              <w:spacing w:after="0" w:line="240" w:lineRule="auto"/>
              <w:jc w:val="center"/>
              <w:rPr>
                <w:rFonts w:ascii="Times New Roman" w:hAnsi="Times New Roman"/>
                <w:sz w:val="18"/>
                <w:szCs w:val="18"/>
              </w:rPr>
            </w:pPr>
          </w:p>
        </w:tc>
        <w:tc>
          <w:tcPr>
            <w:tcW w:w="803" w:type="dxa"/>
            <w:shd w:val="clear" w:color="000000" w:fill="FFFFFF"/>
            <w:vAlign w:val="center"/>
            <w:hideMark/>
          </w:tcPr>
          <w:p w14:paraId="30BF9690" w14:textId="77777777" w:rsidR="00626001" w:rsidRPr="00B0658A" w:rsidRDefault="00626001" w:rsidP="00004A41">
            <w:pPr>
              <w:spacing w:after="0" w:line="240" w:lineRule="auto"/>
              <w:jc w:val="center"/>
              <w:rPr>
                <w:rFonts w:ascii="Times New Roman" w:hAnsi="Times New Roman"/>
                <w:sz w:val="18"/>
                <w:szCs w:val="18"/>
              </w:rPr>
            </w:pPr>
          </w:p>
        </w:tc>
        <w:tc>
          <w:tcPr>
            <w:tcW w:w="803" w:type="dxa"/>
            <w:shd w:val="clear" w:color="000000" w:fill="FFFFFF"/>
            <w:vAlign w:val="center"/>
            <w:hideMark/>
          </w:tcPr>
          <w:p w14:paraId="40FFEC14" w14:textId="77777777" w:rsidR="00626001" w:rsidRPr="00B0658A" w:rsidRDefault="00626001" w:rsidP="00004A41">
            <w:pPr>
              <w:spacing w:after="0" w:line="240" w:lineRule="auto"/>
              <w:jc w:val="center"/>
              <w:rPr>
                <w:rFonts w:ascii="Times New Roman" w:hAnsi="Times New Roman"/>
                <w:sz w:val="18"/>
                <w:szCs w:val="18"/>
              </w:rPr>
            </w:pPr>
          </w:p>
        </w:tc>
        <w:tc>
          <w:tcPr>
            <w:tcW w:w="804" w:type="dxa"/>
            <w:shd w:val="clear" w:color="000000" w:fill="FFFFFF"/>
            <w:vAlign w:val="center"/>
            <w:hideMark/>
          </w:tcPr>
          <w:p w14:paraId="351085F8" w14:textId="77777777" w:rsidR="00626001" w:rsidRPr="00B0658A" w:rsidRDefault="00626001" w:rsidP="00004A41">
            <w:pPr>
              <w:spacing w:after="0" w:line="240" w:lineRule="auto"/>
              <w:jc w:val="center"/>
              <w:rPr>
                <w:rFonts w:ascii="Times New Roman" w:hAnsi="Times New Roman"/>
                <w:sz w:val="18"/>
                <w:szCs w:val="18"/>
              </w:rPr>
            </w:pPr>
          </w:p>
        </w:tc>
        <w:tc>
          <w:tcPr>
            <w:tcW w:w="1530" w:type="dxa"/>
            <w:shd w:val="clear" w:color="000000" w:fill="FFFFFF"/>
            <w:vAlign w:val="center"/>
          </w:tcPr>
          <w:p w14:paraId="55F0589A" w14:textId="77777777" w:rsidR="00626001" w:rsidRPr="00B0658A" w:rsidRDefault="00626001" w:rsidP="00004A41">
            <w:pPr>
              <w:spacing w:after="0" w:line="240" w:lineRule="auto"/>
              <w:jc w:val="center"/>
              <w:rPr>
                <w:rFonts w:ascii="Times New Roman" w:hAnsi="Times New Roman"/>
                <w:sz w:val="18"/>
                <w:szCs w:val="18"/>
              </w:rPr>
            </w:pPr>
          </w:p>
        </w:tc>
      </w:tr>
      <w:tr w:rsidR="00F52FED" w:rsidRPr="00B0658A" w14:paraId="374219E6" w14:textId="77777777" w:rsidTr="000103BB">
        <w:trPr>
          <w:trHeight w:val="20"/>
        </w:trPr>
        <w:tc>
          <w:tcPr>
            <w:tcW w:w="578" w:type="dxa"/>
            <w:shd w:val="clear" w:color="000000" w:fill="FFFFFF"/>
            <w:vAlign w:val="center"/>
          </w:tcPr>
          <w:p w14:paraId="6306F42B" w14:textId="77777777" w:rsidR="00626001" w:rsidRPr="00B0658A" w:rsidRDefault="00626001" w:rsidP="00004A41">
            <w:pPr>
              <w:spacing w:after="0" w:line="240" w:lineRule="auto"/>
              <w:jc w:val="center"/>
              <w:rPr>
                <w:rFonts w:ascii="Times New Roman" w:hAnsi="Times New Roman"/>
                <w:sz w:val="18"/>
                <w:szCs w:val="18"/>
              </w:rPr>
            </w:pPr>
            <w:r w:rsidRPr="00B0658A">
              <w:rPr>
                <w:rFonts w:ascii="Times New Roman" w:hAnsi="Times New Roman"/>
                <w:sz w:val="18"/>
                <w:szCs w:val="18"/>
              </w:rPr>
              <w:t>5.5</w:t>
            </w:r>
          </w:p>
        </w:tc>
        <w:tc>
          <w:tcPr>
            <w:tcW w:w="3812" w:type="dxa"/>
            <w:shd w:val="clear" w:color="auto" w:fill="auto"/>
            <w:vAlign w:val="center"/>
            <w:hideMark/>
          </w:tcPr>
          <w:p w14:paraId="1CD1F635" w14:textId="77777777" w:rsidR="00626001" w:rsidRPr="00B0658A" w:rsidRDefault="00626001" w:rsidP="00004A41">
            <w:pPr>
              <w:spacing w:after="0" w:line="240" w:lineRule="auto"/>
              <w:rPr>
                <w:rFonts w:ascii="Times New Roman" w:hAnsi="Times New Roman"/>
                <w:sz w:val="18"/>
                <w:szCs w:val="18"/>
              </w:rPr>
            </w:pPr>
            <w:r w:rsidRPr="00B0658A">
              <w:rPr>
                <w:rFonts w:ascii="Times New Roman" w:hAnsi="Times New Roman"/>
                <w:sz w:val="18"/>
                <w:szCs w:val="18"/>
              </w:rPr>
              <w:t>Прикладное программное обеспечение/ Средства управления проектами</w:t>
            </w:r>
          </w:p>
        </w:tc>
        <w:tc>
          <w:tcPr>
            <w:tcW w:w="1842" w:type="dxa"/>
            <w:shd w:val="clear" w:color="000000" w:fill="FFFFFF"/>
            <w:hideMark/>
          </w:tcPr>
          <w:p w14:paraId="3DDF135D" w14:textId="77777777" w:rsidR="00626001" w:rsidRPr="00B0658A" w:rsidRDefault="00626001" w:rsidP="00004A41">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79" w:type="dxa"/>
            <w:shd w:val="clear" w:color="000000" w:fill="FFFFFF"/>
            <w:vAlign w:val="center"/>
          </w:tcPr>
          <w:p w14:paraId="31F6B4E5"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000000" w:fill="FFFFFF"/>
            <w:vAlign w:val="center"/>
            <w:hideMark/>
          </w:tcPr>
          <w:p w14:paraId="6086946C"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000000" w:fill="FFFFFF"/>
            <w:vAlign w:val="center"/>
            <w:hideMark/>
          </w:tcPr>
          <w:p w14:paraId="25F8EE45"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000000" w:fill="FFFFFF"/>
            <w:vAlign w:val="center"/>
            <w:hideMark/>
          </w:tcPr>
          <w:p w14:paraId="59D98A48" w14:textId="77777777" w:rsidR="00626001" w:rsidRPr="00B0658A" w:rsidRDefault="00626001" w:rsidP="00004A41">
            <w:pPr>
              <w:spacing w:after="0" w:line="240" w:lineRule="auto"/>
              <w:jc w:val="center"/>
              <w:rPr>
                <w:rFonts w:ascii="Times New Roman" w:hAnsi="Times New Roman"/>
                <w:sz w:val="18"/>
                <w:szCs w:val="18"/>
              </w:rPr>
            </w:pPr>
          </w:p>
        </w:tc>
        <w:tc>
          <w:tcPr>
            <w:tcW w:w="992" w:type="dxa"/>
            <w:shd w:val="clear" w:color="000000" w:fill="FFFFFF"/>
            <w:vAlign w:val="center"/>
          </w:tcPr>
          <w:p w14:paraId="099AD55C" w14:textId="77777777" w:rsidR="00626001" w:rsidRPr="00B0658A" w:rsidRDefault="00626001" w:rsidP="00004A41">
            <w:pPr>
              <w:spacing w:after="0" w:line="240" w:lineRule="auto"/>
              <w:jc w:val="center"/>
              <w:rPr>
                <w:rFonts w:ascii="Times New Roman" w:hAnsi="Times New Roman"/>
                <w:sz w:val="18"/>
                <w:szCs w:val="18"/>
              </w:rPr>
            </w:pPr>
          </w:p>
        </w:tc>
        <w:tc>
          <w:tcPr>
            <w:tcW w:w="803" w:type="dxa"/>
            <w:shd w:val="clear" w:color="000000" w:fill="FFFFFF"/>
            <w:vAlign w:val="center"/>
            <w:hideMark/>
          </w:tcPr>
          <w:p w14:paraId="13F7DECD" w14:textId="77777777" w:rsidR="00626001" w:rsidRPr="00B0658A" w:rsidRDefault="00626001" w:rsidP="00004A41">
            <w:pPr>
              <w:spacing w:after="0" w:line="240" w:lineRule="auto"/>
              <w:jc w:val="center"/>
              <w:rPr>
                <w:rFonts w:ascii="Times New Roman" w:hAnsi="Times New Roman"/>
                <w:sz w:val="18"/>
                <w:szCs w:val="18"/>
              </w:rPr>
            </w:pPr>
          </w:p>
        </w:tc>
        <w:tc>
          <w:tcPr>
            <w:tcW w:w="803" w:type="dxa"/>
            <w:shd w:val="clear" w:color="000000" w:fill="FFFFFF"/>
            <w:vAlign w:val="center"/>
            <w:hideMark/>
          </w:tcPr>
          <w:p w14:paraId="272B10AD" w14:textId="77777777" w:rsidR="00626001" w:rsidRPr="00B0658A" w:rsidRDefault="00626001" w:rsidP="00004A41">
            <w:pPr>
              <w:spacing w:after="0" w:line="240" w:lineRule="auto"/>
              <w:jc w:val="center"/>
              <w:rPr>
                <w:rFonts w:ascii="Times New Roman" w:hAnsi="Times New Roman"/>
                <w:sz w:val="18"/>
                <w:szCs w:val="18"/>
              </w:rPr>
            </w:pPr>
          </w:p>
        </w:tc>
        <w:tc>
          <w:tcPr>
            <w:tcW w:w="804" w:type="dxa"/>
            <w:shd w:val="clear" w:color="000000" w:fill="FFFFFF"/>
            <w:vAlign w:val="center"/>
            <w:hideMark/>
          </w:tcPr>
          <w:p w14:paraId="3A2B8B26" w14:textId="77777777" w:rsidR="00626001" w:rsidRPr="00B0658A" w:rsidRDefault="00626001" w:rsidP="00004A41">
            <w:pPr>
              <w:spacing w:after="0" w:line="240" w:lineRule="auto"/>
              <w:jc w:val="center"/>
              <w:rPr>
                <w:rFonts w:ascii="Times New Roman" w:hAnsi="Times New Roman"/>
                <w:sz w:val="18"/>
                <w:szCs w:val="18"/>
              </w:rPr>
            </w:pPr>
          </w:p>
        </w:tc>
        <w:tc>
          <w:tcPr>
            <w:tcW w:w="1530" w:type="dxa"/>
            <w:shd w:val="clear" w:color="000000" w:fill="FFFFFF"/>
            <w:vAlign w:val="center"/>
          </w:tcPr>
          <w:p w14:paraId="33860387" w14:textId="77777777" w:rsidR="00626001" w:rsidRPr="00B0658A" w:rsidRDefault="00626001" w:rsidP="00004A41">
            <w:pPr>
              <w:spacing w:after="0" w:line="240" w:lineRule="auto"/>
              <w:jc w:val="center"/>
              <w:rPr>
                <w:rFonts w:ascii="Times New Roman" w:hAnsi="Times New Roman"/>
                <w:sz w:val="18"/>
                <w:szCs w:val="18"/>
              </w:rPr>
            </w:pPr>
          </w:p>
        </w:tc>
      </w:tr>
      <w:tr w:rsidR="00F52FED" w:rsidRPr="00B0658A" w14:paraId="14B9FE76" w14:textId="77777777" w:rsidTr="000103BB">
        <w:trPr>
          <w:trHeight w:val="20"/>
        </w:trPr>
        <w:tc>
          <w:tcPr>
            <w:tcW w:w="578" w:type="dxa"/>
            <w:shd w:val="clear" w:color="000000" w:fill="FFFFFF"/>
            <w:vAlign w:val="center"/>
          </w:tcPr>
          <w:p w14:paraId="7DE86DCF" w14:textId="77777777" w:rsidR="00626001" w:rsidRPr="00B0658A" w:rsidRDefault="00626001" w:rsidP="00004A41">
            <w:pPr>
              <w:spacing w:after="0" w:line="240" w:lineRule="auto"/>
              <w:jc w:val="center"/>
              <w:rPr>
                <w:rFonts w:ascii="Times New Roman" w:hAnsi="Times New Roman"/>
                <w:sz w:val="18"/>
                <w:szCs w:val="18"/>
              </w:rPr>
            </w:pPr>
            <w:r w:rsidRPr="00B0658A">
              <w:rPr>
                <w:rFonts w:ascii="Times New Roman" w:hAnsi="Times New Roman"/>
                <w:sz w:val="18"/>
                <w:szCs w:val="18"/>
              </w:rPr>
              <w:t>5.6</w:t>
            </w:r>
          </w:p>
        </w:tc>
        <w:tc>
          <w:tcPr>
            <w:tcW w:w="3812" w:type="dxa"/>
            <w:shd w:val="clear" w:color="auto" w:fill="auto"/>
            <w:vAlign w:val="center"/>
            <w:hideMark/>
          </w:tcPr>
          <w:p w14:paraId="58C9958F" w14:textId="77777777" w:rsidR="00626001" w:rsidRPr="00B0658A" w:rsidRDefault="00626001" w:rsidP="00004A41">
            <w:pPr>
              <w:spacing w:after="0" w:line="240" w:lineRule="auto"/>
              <w:rPr>
                <w:rFonts w:ascii="Times New Roman" w:hAnsi="Times New Roman"/>
                <w:sz w:val="18"/>
                <w:szCs w:val="18"/>
              </w:rPr>
            </w:pPr>
            <w:r w:rsidRPr="00B0658A">
              <w:rPr>
                <w:rFonts w:ascii="Times New Roman" w:hAnsi="Times New Roman"/>
                <w:sz w:val="18"/>
                <w:szCs w:val="18"/>
              </w:rPr>
              <w:t>Прикладное программное обеспечение/ Геоинформационные и навигационные средства (GIS)</w:t>
            </w:r>
          </w:p>
        </w:tc>
        <w:tc>
          <w:tcPr>
            <w:tcW w:w="1842" w:type="dxa"/>
            <w:shd w:val="clear" w:color="000000" w:fill="FFFFFF"/>
            <w:hideMark/>
          </w:tcPr>
          <w:p w14:paraId="487B766D" w14:textId="77777777" w:rsidR="00626001" w:rsidRPr="00B0658A" w:rsidRDefault="00626001" w:rsidP="00004A41">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79" w:type="dxa"/>
            <w:shd w:val="clear" w:color="000000" w:fill="FFFFFF"/>
            <w:vAlign w:val="center"/>
          </w:tcPr>
          <w:p w14:paraId="437B0784"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000000" w:fill="FFFFFF"/>
            <w:vAlign w:val="center"/>
            <w:hideMark/>
          </w:tcPr>
          <w:p w14:paraId="61DC3D93"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000000" w:fill="FFFFFF"/>
            <w:vAlign w:val="center"/>
            <w:hideMark/>
          </w:tcPr>
          <w:p w14:paraId="59331C73"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000000" w:fill="FFFFFF"/>
            <w:vAlign w:val="center"/>
            <w:hideMark/>
          </w:tcPr>
          <w:p w14:paraId="18D73EC6" w14:textId="77777777" w:rsidR="00626001" w:rsidRPr="00B0658A" w:rsidRDefault="00626001" w:rsidP="00004A41">
            <w:pPr>
              <w:spacing w:after="0" w:line="240" w:lineRule="auto"/>
              <w:jc w:val="center"/>
              <w:rPr>
                <w:rFonts w:ascii="Times New Roman" w:hAnsi="Times New Roman"/>
                <w:sz w:val="18"/>
                <w:szCs w:val="18"/>
              </w:rPr>
            </w:pPr>
          </w:p>
        </w:tc>
        <w:tc>
          <w:tcPr>
            <w:tcW w:w="992" w:type="dxa"/>
            <w:shd w:val="clear" w:color="000000" w:fill="FFFFFF"/>
            <w:vAlign w:val="center"/>
          </w:tcPr>
          <w:p w14:paraId="148FE0FD" w14:textId="77777777" w:rsidR="00626001" w:rsidRPr="00B0658A" w:rsidRDefault="00626001" w:rsidP="00004A41">
            <w:pPr>
              <w:spacing w:after="0" w:line="240" w:lineRule="auto"/>
              <w:jc w:val="center"/>
              <w:rPr>
                <w:rFonts w:ascii="Times New Roman" w:hAnsi="Times New Roman"/>
                <w:sz w:val="18"/>
                <w:szCs w:val="18"/>
              </w:rPr>
            </w:pPr>
          </w:p>
        </w:tc>
        <w:tc>
          <w:tcPr>
            <w:tcW w:w="803" w:type="dxa"/>
            <w:shd w:val="clear" w:color="000000" w:fill="FFFFFF"/>
            <w:vAlign w:val="center"/>
            <w:hideMark/>
          </w:tcPr>
          <w:p w14:paraId="6EB70015" w14:textId="77777777" w:rsidR="00626001" w:rsidRPr="00B0658A" w:rsidRDefault="00626001" w:rsidP="00004A41">
            <w:pPr>
              <w:spacing w:after="0" w:line="240" w:lineRule="auto"/>
              <w:jc w:val="center"/>
              <w:rPr>
                <w:rFonts w:ascii="Times New Roman" w:hAnsi="Times New Roman"/>
                <w:sz w:val="18"/>
                <w:szCs w:val="18"/>
              </w:rPr>
            </w:pPr>
          </w:p>
        </w:tc>
        <w:tc>
          <w:tcPr>
            <w:tcW w:w="803" w:type="dxa"/>
            <w:shd w:val="clear" w:color="000000" w:fill="FFFFFF"/>
            <w:vAlign w:val="center"/>
            <w:hideMark/>
          </w:tcPr>
          <w:p w14:paraId="7D8B0BFA" w14:textId="77777777" w:rsidR="00626001" w:rsidRPr="00B0658A" w:rsidRDefault="00626001" w:rsidP="00004A41">
            <w:pPr>
              <w:spacing w:after="0" w:line="240" w:lineRule="auto"/>
              <w:jc w:val="center"/>
              <w:rPr>
                <w:rFonts w:ascii="Times New Roman" w:hAnsi="Times New Roman"/>
                <w:sz w:val="18"/>
                <w:szCs w:val="18"/>
              </w:rPr>
            </w:pPr>
          </w:p>
        </w:tc>
        <w:tc>
          <w:tcPr>
            <w:tcW w:w="804" w:type="dxa"/>
            <w:shd w:val="clear" w:color="000000" w:fill="FFFFFF"/>
            <w:vAlign w:val="center"/>
            <w:hideMark/>
          </w:tcPr>
          <w:p w14:paraId="5A577AD1" w14:textId="77777777" w:rsidR="00626001" w:rsidRPr="00B0658A" w:rsidRDefault="00626001" w:rsidP="00004A41">
            <w:pPr>
              <w:spacing w:after="0" w:line="240" w:lineRule="auto"/>
              <w:jc w:val="center"/>
              <w:rPr>
                <w:rFonts w:ascii="Times New Roman" w:hAnsi="Times New Roman"/>
                <w:sz w:val="18"/>
                <w:szCs w:val="18"/>
              </w:rPr>
            </w:pPr>
          </w:p>
        </w:tc>
        <w:tc>
          <w:tcPr>
            <w:tcW w:w="1530" w:type="dxa"/>
            <w:shd w:val="clear" w:color="000000" w:fill="FFFFFF"/>
            <w:vAlign w:val="center"/>
          </w:tcPr>
          <w:p w14:paraId="690F8DA6" w14:textId="77777777" w:rsidR="00626001" w:rsidRPr="00B0658A" w:rsidRDefault="00626001" w:rsidP="00004A41">
            <w:pPr>
              <w:spacing w:after="0" w:line="240" w:lineRule="auto"/>
              <w:jc w:val="center"/>
              <w:rPr>
                <w:rFonts w:ascii="Times New Roman" w:hAnsi="Times New Roman"/>
                <w:sz w:val="18"/>
                <w:szCs w:val="18"/>
              </w:rPr>
            </w:pPr>
          </w:p>
        </w:tc>
      </w:tr>
      <w:tr w:rsidR="00F52FED" w:rsidRPr="00B0658A" w14:paraId="2B0F25E2" w14:textId="77777777" w:rsidTr="000103BB">
        <w:trPr>
          <w:trHeight w:val="20"/>
        </w:trPr>
        <w:tc>
          <w:tcPr>
            <w:tcW w:w="578" w:type="dxa"/>
            <w:shd w:val="clear" w:color="000000" w:fill="FFFFFF"/>
            <w:vAlign w:val="center"/>
          </w:tcPr>
          <w:p w14:paraId="3E63B096" w14:textId="77777777" w:rsidR="00626001" w:rsidRPr="00B0658A" w:rsidRDefault="00626001" w:rsidP="00004A41">
            <w:pPr>
              <w:spacing w:after="0" w:line="240" w:lineRule="auto"/>
              <w:jc w:val="center"/>
              <w:rPr>
                <w:rFonts w:ascii="Times New Roman" w:hAnsi="Times New Roman"/>
                <w:sz w:val="18"/>
                <w:szCs w:val="18"/>
              </w:rPr>
            </w:pPr>
            <w:r w:rsidRPr="00B0658A">
              <w:rPr>
                <w:rFonts w:ascii="Times New Roman" w:hAnsi="Times New Roman"/>
                <w:sz w:val="18"/>
                <w:szCs w:val="18"/>
              </w:rPr>
              <w:t>5.7</w:t>
            </w:r>
          </w:p>
        </w:tc>
        <w:tc>
          <w:tcPr>
            <w:tcW w:w="3812" w:type="dxa"/>
            <w:shd w:val="clear" w:color="auto" w:fill="auto"/>
            <w:vAlign w:val="center"/>
            <w:hideMark/>
          </w:tcPr>
          <w:p w14:paraId="117A3B6B" w14:textId="77777777" w:rsidR="00626001" w:rsidRPr="00B0658A" w:rsidRDefault="00626001" w:rsidP="00004A41">
            <w:pPr>
              <w:spacing w:after="0" w:line="240" w:lineRule="auto"/>
              <w:rPr>
                <w:rFonts w:ascii="Times New Roman" w:hAnsi="Times New Roman"/>
                <w:sz w:val="18"/>
                <w:szCs w:val="18"/>
              </w:rPr>
            </w:pPr>
            <w:r w:rsidRPr="00B0658A">
              <w:rPr>
                <w:rFonts w:ascii="Times New Roman" w:hAnsi="Times New Roman"/>
                <w:sz w:val="18"/>
                <w:szCs w:val="18"/>
              </w:rPr>
              <w:t>Прикладное программное обеспечение/ Специализированное ПО органов исполнительной власти Российской Федерации, государственных корпораций, компаний и юридических лиц с преимущественным участием Российской Федерации для внутреннего использования</w:t>
            </w:r>
          </w:p>
        </w:tc>
        <w:tc>
          <w:tcPr>
            <w:tcW w:w="1842" w:type="dxa"/>
            <w:shd w:val="clear" w:color="000000" w:fill="FFFFFF"/>
            <w:hideMark/>
          </w:tcPr>
          <w:p w14:paraId="194631F1" w14:textId="77777777" w:rsidR="00626001" w:rsidRPr="00B0658A" w:rsidRDefault="00626001" w:rsidP="00004A41">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79" w:type="dxa"/>
            <w:shd w:val="clear" w:color="000000" w:fill="FFFFFF"/>
            <w:vAlign w:val="center"/>
          </w:tcPr>
          <w:p w14:paraId="34F6BBA0"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000000" w:fill="FFFFFF"/>
            <w:vAlign w:val="center"/>
            <w:hideMark/>
          </w:tcPr>
          <w:p w14:paraId="7888B121"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000000" w:fill="FFFFFF"/>
            <w:vAlign w:val="center"/>
            <w:hideMark/>
          </w:tcPr>
          <w:p w14:paraId="2F002E2F"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000000" w:fill="FFFFFF"/>
            <w:vAlign w:val="center"/>
            <w:hideMark/>
          </w:tcPr>
          <w:p w14:paraId="34F889D5" w14:textId="77777777" w:rsidR="00626001" w:rsidRPr="00B0658A" w:rsidRDefault="00626001" w:rsidP="00004A41">
            <w:pPr>
              <w:spacing w:after="0" w:line="240" w:lineRule="auto"/>
              <w:jc w:val="center"/>
              <w:rPr>
                <w:rFonts w:ascii="Times New Roman" w:hAnsi="Times New Roman"/>
                <w:sz w:val="18"/>
                <w:szCs w:val="18"/>
              </w:rPr>
            </w:pPr>
          </w:p>
        </w:tc>
        <w:tc>
          <w:tcPr>
            <w:tcW w:w="992" w:type="dxa"/>
            <w:shd w:val="clear" w:color="000000" w:fill="FFFFFF"/>
            <w:vAlign w:val="center"/>
          </w:tcPr>
          <w:p w14:paraId="3DCC722B" w14:textId="77777777" w:rsidR="00626001" w:rsidRPr="00B0658A" w:rsidRDefault="00626001" w:rsidP="00004A41">
            <w:pPr>
              <w:spacing w:after="0" w:line="240" w:lineRule="auto"/>
              <w:jc w:val="center"/>
              <w:rPr>
                <w:rFonts w:ascii="Times New Roman" w:hAnsi="Times New Roman"/>
                <w:sz w:val="18"/>
                <w:szCs w:val="18"/>
              </w:rPr>
            </w:pPr>
          </w:p>
        </w:tc>
        <w:tc>
          <w:tcPr>
            <w:tcW w:w="803" w:type="dxa"/>
            <w:shd w:val="clear" w:color="000000" w:fill="FFFFFF"/>
            <w:vAlign w:val="center"/>
            <w:hideMark/>
          </w:tcPr>
          <w:p w14:paraId="6744A187" w14:textId="77777777" w:rsidR="00626001" w:rsidRPr="00B0658A" w:rsidRDefault="00626001" w:rsidP="00004A41">
            <w:pPr>
              <w:spacing w:after="0" w:line="240" w:lineRule="auto"/>
              <w:jc w:val="center"/>
              <w:rPr>
                <w:rFonts w:ascii="Times New Roman" w:hAnsi="Times New Roman"/>
                <w:sz w:val="18"/>
                <w:szCs w:val="18"/>
              </w:rPr>
            </w:pPr>
          </w:p>
        </w:tc>
        <w:tc>
          <w:tcPr>
            <w:tcW w:w="803" w:type="dxa"/>
            <w:shd w:val="clear" w:color="000000" w:fill="FFFFFF"/>
            <w:vAlign w:val="center"/>
            <w:hideMark/>
          </w:tcPr>
          <w:p w14:paraId="4EF5A3F0" w14:textId="77777777" w:rsidR="00626001" w:rsidRPr="00B0658A" w:rsidRDefault="00626001" w:rsidP="00004A41">
            <w:pPr>
              <w:spacing w:after="0" w:line="240" w:lineRule="auto"/>
              <w:jc w:val="center"/>
              <w:rPr>
                <w:rFonts w:ascii="Times New Roman" w:hAnsi="Times New Roman"/>
                <w:sz w:val="18"/>
                <w:szCs w:val="18"/>
              </w:rPr>
            </w:pPr>
          </w:p>
        </w:tc>
        <w:tc>
          <w:tcPr>
            <w:tcW w:w="804" w:type="dxa"/>
            <w:shd w:val="clear" w:color="000000" w:fill="FFFFFF"/>
            <w:vAlign w:val="center"/>
            <w:hideMark/>
          </w:tcPr>
          <w:p w14:paraId="409F1D9B" w14:textId="77777777" w:rsidR="00626001" w:rsidRPr="00B0658A" w:rsidRDefault="00626001" w:rsidP="00004A41">
            <w:pPr>
              <w:spacing w:after="0" w:line="240" w:lineRule="auto"/>
              <w:jc w:val="center"/>
              <w:rPr>
                <w:rFonts w:ascii="Times New Roman" w:hAnsi="Times New Roman"/>
                <w:sz w:val="18"/>
                <w:szCs w:val="18"/>
              </w:rPr>
            </w:pPr>
          </w:p>
        </w:tc>
        <w:tc>
          <w:tcPr>
            <w:tcW w:w="1530" w:type="dxa"/>
            <w:shd w:val="clear" w:color="000000" w:fill="FFFFFF"/>
            <w:vAlign w:val="center"/>
          </w:tcPr>
          <w:p w14:paraId="333FA0F8" w14:textId="77777777" w:rsidR="00626001" w:rsidRPr="00B0658A" w:rsidRDefault="00626001" w:rsidP="00004A41">
            <w:pPr>
              <w:spacing w:after="0" w:line="240" w:lineRule="auto"/>
              <w:jc w:val="center"/>
              <w:rPr>
                <w:rFonts w:ascii="Times New Roman" w:hAnsi="Times New Roman"/>
                <w:sz w:val="18"/>
                <w:szCs w:val="18"/>
              </w:rPr>
            </w:pPr>
          </w:p>
        </w:tc>
      </w:tr>
      <w:tr w:rsidR="00F52FED" w:rsidRPr="00B0658A" w14:paraId="22202749" w14:textId="77777777" w:rsidTr="000103BB">
        <w:trPr>
          <w:trHeight w:val="20"/>
        </w:trPr>
        <w:tc>
          <w:tcPr>
            <w:tcW w:w="578" w:type="dxa"/>
            <w:shd w:val="clear" w:color="000000" w:fill="FFFFFF"/>
            <w:vAlign w:val="center"/>
          </w:tcPr>
          <w:p w14:paraId="7F2D1621" w14:textId="77777777" w:rsidR="00626001" w:rsidRPr="00B0658A" w:rsidRDefault="00626001" w:rsidP="00004A41">
            <w:pPr>
              <w:spacing w:after="0" w:line="240" w:lineRule="auto"/>
              <w:jc w:val="center"/>
              <w:rPr>
                <w:rFonts w:ascii="Times New Roman" w:hAnsi="Times New Roman"/>
                <w:sz w:val="18"/>
                <w:szCs w:val="18"/>
              </w:rPr>
            </w:pPr>
            <w:r w:rsidRPr="00B0658A">
              <w:rPr>
                <w:rFonts w:ascii="Times New Roman" w:hAnsi="Times New Roman"/>
                <w:sz w:val="18"/>
                <w:szCs w:val="18"/>
              </w:rPr>
              <w:t>5.8</w:t>
            </w:r>
          </w:p>
        </w:tc>
        <w:tc>
          <w:tcPr>
            <w:tcW w:w="3812" w:type="dxa"/>
            <w:shd w:val="clear" w:color="auto" w:fill="auto"/>
            <w:vAlign w:val="center"/>
            <w:hideMark/>
          </w:tcPr>
          <w:p w14:paraId="7FB6F7AE" w14:textId="77777777" w:rsidR="00626001" w:rsidRPr="00B0658A" w:rsidRDefault="00626001" w:rsidP="00004A41">
            <w:pPr>
              <w:spacing w:after="0" w:line="240" w:lineRule="auto"/>
              <w:rPr>
                <w:rFonts w:ascii="Times New Roman" w:hAnsi="Times New Roman"/>
                <w:sz w:val="18"/>
                <w:szCs w:val="18"/>
              </w:rPr>
            </w:pPr>
            <w:r w:rsidRPr="00B0658A">
              <w:rPr>
                <w:rFonts w:ascii="Times New Roman" w:hAnsi="Times New Roman"/>
                <w:sz w:val="18"/>
                <w:szCs w:val="18"/>
              </w:rPr>
              <w:t>Прикладное программное обеспечение/ Средства управления контактными центрами</w:t>
            </w:r>
          </w:p>
        </w:tc>
        <w:tc>
          <w:tcPr>
            <w:tcW w:w="1842" w:type="dxa"/>
            <w:shd w:val="clear" w:color="000000" w:fill="FFFFFF"/>
            <w:hideMark/>
          </w:tcPr>
          <w:p w14:paraId="2948CC9E" w14:textId="77777777" w:rsidR="00626001" w:rsidRPr="00B0658A" w:rsidRDefault="00626001" w:rsidP="00004A41">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79" w:type="dxa"/>
            <w:vAlign w:val="center"/>
          </w:tcPr>
          <w:p w14:paraId="68DE8D5B"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auto" w:fill="auto"/>
            <w:vAlign w:val="center"/>
            <w:hideMark/>
          </w:tcPr>
          <w:p w14:paraId="3CE1D298"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auto" w:fill="auto"/>
            <w:vAlign w:val="center"/>
            <w:hideMark/>
          </w:tcPr>
          <w:p w14:paraId="3E58F8B2"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auto" w:fill="auto"/>
            <w:vAlign w:val="center"/>
            <w:hideMark/>
          </w:tcPr>
          <w:p w14:paraId="76499895" w14:textId="77777777" w:rsidR="00626001" w:rsidRPr="00B0658A" w:rsidRDefault="00626001" w:rsidP="00004A41">
            <w:pPr>
              <w:spacing w:after="0" w:line="240" w:lineRule="auto"/>
              <w:jc w:val="center"/>
              <w:rPr>
                <w:rFonts w:ascii="Times New Roman" w:hAnsi="Times New Roman"/>
                <w:sz w:val="18"/>
                <w:szCs w:val="18"/>
              </w:rPr>
            </w:pPr>
          </w:p>
        </w:tc>
        <w:tc>
          <w:tcPr>
            <w:tcW w:w="992" w:type="dxa"/>
            <w:vAlign w:val="center"/>
          </w:tcPr>
          <w:p w14:paraId="006F76C2" w14:textId="77777777" w:rsidR="00626001" w:rsidRPr="00B0658A" w:rsidRDefault="00626001" w:rsidP="00004A41">
            <w:pPr>
              <w:spacing w:after="0" w:line="240" w:lineRule="auto"/>
              <w:jc w:val="center"/>
              <w:rPr>
                <w:rFonts w:ascii="Times New Roman" w:hAnsi="Times New Roman"/>
                <w:sz w:val="18"/>
                <w:szCs w:val="18"/>
              </w:rPr>
            </w:pPr>
          </w:p>
        </w:tc>
        <w:tc>
          <w:tcPr>
            <w:tcW w:w="803" w:type="dxa"/>
            <w:shd w:val="clear" w:color="auto" w:fill="auto"/>
            <w:vAlign w:val="center"/>
            <w:hideMark/>
          </w:tcPr>
          <w:p w14:paraId="4F2B8FDF" w14:textId="77777777" w:rsidR="00626001" w:rsidRPr="00B0658A" w:rsidRDefault="00626001" w:rsidP="00004A41">
            <w:pPr>
              <w:spacing w:after="0" w:line="240" w:lineRule="auto"/>
              <w:jc w:val="center"/>
              <w:rPr>
                <w:rFonts w:ascii="Times New Roman" w:hAnsi="Times New Roman"/>
                <w:sz w:val="18"/>
                <w:szCs w:val="18"/>
              </w:rPr>
            </w:pPr>
          </w:p>
        </w:tc>
        <w:tc>
          <w:tcPr>
            <w:tcW w:w="803" w:type="dxa"/>
            <w:shd w:val="clear" w:color="auto" w:fill="auto"/>
            <w:vAlign w:val="center"/>
            <w:hideMark/>
          </w:tcPr>
          <w:p w14:paraId="553B3BF9" w14:textId="77777777" w:rsidR="00626001" w:rsidRPr="00B0658A" w:rsidRDefault="00626001" w:rsidP="00004A41">
            <w:pPr>
              <w:spacing w:after="0" w:line="240" w:lineRule="auto"/>
              <w:jc w:val="center"/>
              <w:rPr>
                <w:rFonts w:ascii="Times New Roman" w:hAnsi="Times New Roman"/>
                <w:sz w:val="18"/>
                <w:szCs w:val="18"/>
              </w:rPr>
            </w:pPr>
          </w:p>
        </w:tc>
        <w:tc>
          <w:tcPr>
            <w:tcW w:w="804" w:type="dxa"/>
            <w:shd w:val="clear" w:color="auto" w:fill="auto"/>
            <w:vAlign w:val="center"/>
            <w:hideMark/>
          </w:tcPr>
          <w:p w14:paraId="5C789C38" w14:textId="77777777" w:rsidR="00626001" w:rsidRPr="00B0658A" w:rsidRDefault="00626001" w:rsidP="00004A41">
            <w:pPr>
              <w:spacing w:after="0" w:line="240" w:lineRule="auto"/>
              <w:jc w:val="center"/>
              <w:rPr>
                <w:rFonts w:ascii="Times New Roman" w:hAnsi="Times New Roman"/>
                <w:sz w:val="18"/>
                <w:szCs w:val="18"/>
              </w:rPr>
            </w:pPr>
          </w:p>
        </w:tc>
        <w:tc>
          <w:tcPr>
            <w:tcW w:w="1530" w:type="dxa"/>
            <w:vAlign w:val="center"/>
          </w:tcPr>
          <w:p w14:paraId="1A0DE53D" w14:textId="77777777" w:rsidR="00626001" w:rsidRPr="00B0658A" w:rsidRDefault="00626001" w:rsidP="00004A41">
            <w:pPr>
              <w:spacing w:after="0" w:line="240" w:lineRule="auto"/>
              <w:jc w:val="center"/>
              <w:rPr>
                <w:rFonts w:ascii="Times New Roman" w:hAnsi="Times New Roman"/>
                <w:sz w:val="18"/>
                <w:szCs w:val="18"/>
              </w:rPr>
            </w:pPr>
          </w:p>
        </w:tc>
      </w:tr>
      <w:tr w:rsidR="00F52FED" w:rsidRPr="00B0658A" w14:paraId="11DA951D" w14:textId="77777777" w:rsidTr="000103BB">
        <w:trPr>
          <w:trHeight w:val="20"/>
        </w:trPr>
        <w:tc>
          <w:tcPr>
            <w:tcW w:w="578" w:type="dxa"/>
            <w:shd w:val="clear" w:color="000000" w:fill="FFFFFF"/>
            <w:vAlign w:val="center"/>
          </w:tcPr>
          <w:p w14:paraId="468FD1FE" w14:textId="77777777" w:rsidR="00626001" w:rsidRPr="00B0658A" w:rsidRDefault="00626001" w:rsidP="00004A41">
            <w:pPr>
              <w:spacing w:after="0" w:line="240" w:lineRule="auto"/>
              <w:jc w:val="center"/>
              <w:rPr>
                <w:rFonts w:ascii="Times New Roman" w:hAnsi="Times New Roman"/>
                <w:sz w:val="18"/>
                <w:szCs w:val="18"/>
              </w:rPr>
            </w:pPr>
            <w:r w:rsidRPr="00B0658A">
              <w:rPr>
                <w:rFonts w:ascii="Times New Roman" w:hAnsi="Times New Roman"/>
                <w:sz w:val="18"/>
                <w:szCs w:val="18"/>
              </w:rPr>
              <w:t>5.9</w:t>
            </w:r>
          </w:p>
        </w:tc>
        <w:tc>
          <w:tcPr>
            <w:tcW w:w="3812" w:type="dxa"/>
            <w:shd w:val="clear" w:color="auto" w:fill="auto"/>
            <w:vAlign w:val="center"/>
            <w:hideMark/>
          </w:tcPr>
          <w:p w14:paraId="1677D923" w14:textId="77777777" w:rsidR="00626001" w:rsidRPr="00B0658A" w:rsidRDefault="00626001" w:rsidP="00004A41">
            <w:pPr>
              <w:spacing w:after="0" w:line="240" w:lineRule="auto"/>
              <w:rPr>
                <w:rFonts w:ascii="Times New Roman" w:hAnsi="Times New Roman"/>
                <w:sz w:val="18"/>
                <w:szCs w:val="18"/>
              </w:rPr>
            </w:pPr>
            <w:r w:rsidRPr="00B0658A">
              <w:rPr>
                <w:rFonts w:ascii="Times New Roman" w:hAnsi="Times New Roman"/>
                <w:sz w:val="18"/>
                <w:szCs w:val="18"/>
              </w:rPr>
              <w:t>Прикладное программное обеспечение/ Средства управления диалоговыми роботами (чат-боты и голосовые роботы)</w:t>
            </w:r>
          </w:p>
        </w:tc>
        <w:tc>
          <w:tcPr>
            <w:tcW w:w="1842" w:type="dxa"/>
            <w:shd w:val="clear" w:color="000000" w:fill="FFFFFF"/>
            <w:hideMark/>
          </w:tcPr>
          <w:p w14:paraId="0ED1E1B8" w14:textId="77777777" w:rsidR="00626001" w:rsidRPr="00B0658A" w:rsidRDefault="00626001" w:rsidP="00004A41">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79" w:type="dxa"/>
            <w:vAlign w:val="center"/>
          </w:tcPr>
          <w:p w14:paraId="24CD06B1"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auto" w:fill="auto"/>
            <w:vAlign w:val="center"/>
            <w:hideMark/>
          </w:tcPr>
          <w:p w14:paraId="68868CA4"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auto" w:fill="auto"/>
            <w:vAlign w:val="center"/>
            <w:hideMark/>
          </w:tcPr>
          <w:p w14:paraId="0CCE4F57"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auto" w:fill="auto"/>
            <w:vAlign w:val="center"/>
            <w:hideMark/>
          </w:tcPr>
          <w:p w14:paraId="61C67553" w14:textId="77777777" w:rsidR="00626001" w:rsidRPr="00B0658A" w:rsidRDefault="00626001" w:rsidP="00004A41">
            <w:pPr>
              <w:spacing w:after="0" w:line="240" w:lineRule="auto"/>
              <w:jc w:val="center"/>
              <w:rPr>
                <w:rFonts w:ascii="Times New Roman" w:hAnsi="Times New Roman"/>
                <w:sz w:val="18"/>
                <w:szCs w:val="18"/>
              </w:rPr>
            </w:pPr>
          </w:p>
        </w:tc>
        <w:tc>
          <w:tcPr>
            <w:tcW w:w="992" w:type="dxa"/>
            <w:vAlign w:val="center"/>
          </w:tcPr>
          <w:p w14:paraId="158FDE40" w14:textId="77777777" w:rsidR="00626001" w:rsidRPr="00B0658A" w:rsidRDefault="00626001" w:rsidP="00004A41">
            <w:pPr>
              <w:spacing w:after="0" w:line="240" w:lineRule="auto"/>
              <w:jc w:val="center"/>
              <w:rPr>
                <w:rFonts w:ascii="Times New Roman" w:hAnsi="Times New Roman"/>
                <w:sz w:val="18"/>
                <w:szCs w:val="18"/>
              </w:rPr>
            </w:pPr>
          </w:p>
        </w:tc>
        <w:tc>
          <w:tcPr>
            <w:tcW w:w="803" w:type="dxa"/>
            <w:shd w:val="clear" w:color="auto" w:fill="auto"/>
            <w:vAlign w:val="center"/>
            <w:hideMark/>
          </w:tcPr>
          <w:p w14:paraId="4B4E02B5" w14:textId="77777777" w:rsidR="00626001" w:rsidRPr="00B0658A" w:rsidRDefault="00626001" w:rsidP="00004A41">
            <w:pPr>
              <w:spacing w:after="0" w:line="240" w:lineRule="auto"/>
              <w:jc w:val="center"/>
              <w:rPr>
                <w:rFonts w:ascii="Times New Roman" w:hAnsi="Times New Roman"/>
                <w:sz w:val="18"/>
                <w:szCs w:val="18"/>
              </w:rPr>
            </w:pPr>
          </w:p>
        </w:tc>
        <w:tc>
          <w:tcPr>
            <w:tcW w:w="803" w:type="dxa"/>
            <w:shd w:val="clear" w:color="auto" w:fill="auto"/>
            <w:vAlign w:val="center"/>
            <w:hideMark/>
          </w:tcPr>
          <w:p w14:paraId="0ACAC235" w14:textId="77777777" w:rsidR="00626001" w:rsidRPr="00B0658A" w:rsidRDefault="00626001" w:rsidP="00004A41">
            <w:pPr>
              <w:spacing w:after="0" w:line="240" w:lineRule="auto"/>
              <w:jc w:val="center"/>
              <w:rPr>
                <w:rFonts w:ascii="Times New Roman" w:hAnsi="Times New Roman"/>
                <w:sz w:val="18"/>
                <w:szCs w:val="18"/>
              </w:rPr>
            </w:pPr>
          </w:p>
        </w:tc>
        <w:tc>
          <w:tcPr>
            <w:tcW w:w="804" w:type="dxa"/>
            <w:shd w:val="clear" w:color="auto" w:fill="auto"/>
            <w:vAlign w:val="center"/>
            <w:hideMark/>
          </w:tcPr>
          <w:p w14:paraId="1F8926AD" w14:textId="77777777" w:rsidR="00626001" w:rsidRPr="00B0658A" w:rsidRDefault="00626001" w:rsidP="00004A41">
            <w:pPr>
              <w:spacing w:after="0" w:line="240" w:lineRule="auto"/>
              <w:jc w:val="center"/>
              <w:rPr>
                <w:rFonts w:ascii="Times New Roman" w:hAnsi="Times New Roman"/>
                <w:sz w:val="18"/>
                <w:szCs w:val="18"/>
              </w:rPr>
            </w:pPr>
          </w:p>
        </w:tc>
        <w:tc>
          <w:tcPr>
            <w:tcW w:w="1530" w:type="dxa"/>
            <w:vAlign w:val="center"/>
          </w:tcPr>
          <w:p w14:paraId="6B9D6FE5" w14:textId="77777777" w:rsidR="00626001" w:rsidRPr="00B0658A" w:rsidRDefault="00626001" w:rsidP="00004A41">
            <w:pPr>
              <w:spacing w:after="0" w:line="240" w:lineRule="auto"/>
              <w:jc w:val="center"/>
              <w:rPr>
                <w:rFonts w:ascii="Times New Roman" w:hAnsi="Times New Roman"/>
                <w:sz w:val="18"/>
                <w:szCs w:val="18"/>
              </w:rPr>
            </w:pPr>
          </w:p>
        </w:tc>
      </w:tr>
      <w:tr w:rsidR="00F52FED" w:rsidRPr="00B0658A" w14:paraId="2F3F5FA3" w14:textId="77777777" w:rsidTr="000103BB">
        <w:trPr>
          <w:trHeight w:val="20"/>
        </w:trPr>
        <w:tc>
          <w:tcPr>
            <w:tcW w:w="578" w:type="dxa"/>
            <w:shd w:val="clear" w:color="000000" w:fill="FFFFFF"/>
            <w:vAlign w:val="center"/>
          </w:tcPr>
          <w:p w14:paraId="099722D3" w14:textId="77777777" w:rsidR="00626001" w:rsidRPr="00B0658A" w:rsidRDefault="00626001" w:rsidP="00004A41">
            <w:pPr>
              <w:spacing w:after="0" w:line="240" w:lineRule="auto"/>
              <w:jc w:val="center"/>
              <w:rPr>
                <w:rFonts w:ascii="Times New Roman" w:hAnsi="Times New Roman"/>
                <w:sz w:val="18"/>
                <w:szCs w:val="18"/>
              </w:rPr>
            </w:pPr>
            <w:r w:rsidRPr="00B0658A">
              <w:rPr>
                <w:rFonts w:ascii="Times New Roman" w:hAnsi="Times New Roman"/>
                <w:sz w:val="18"/>
                <w:szCs w:val="18"/>
              </w:rPr>
              <w:t>5.10</w:t>
            </w:r>
          </w:p>
        </w:tc>
        <w:tc>
          <w:tcPr>
            <w:tcW w:w="3812" w:type="dxa"/>
            <w:shd w:val="clear" w:color="auto" w:fill="auto"/>
            <w:vAlign w:val="center"/>
            <w:hideMark/>
          </w:tcPr>
          <w:p w14:paraId="061FAF5B" w14:textId="77777777" w:rsidR="00626001" w:rsidRPr="00B0658A" w:rsidRDefault="00626001" w:rsidP="00004A41">
            <w:pPr>
              <w:spacing w:after="0" w:line="240" w:lineRule="auto"/>
              <w:rPr>
                <w:rFonts w:ascii="Times New Roman" w:hAnsi="Times New Roman"/>
                <w:sz w:val="18"/>
                <w:szCs w:val="18"/>
              </w:rPr>
            </w:pPr>
            <w:r w:rsidRPr="00B0658A">
              <w:rPr>
                <w:rFonts w:ascii="Times New Roman" w:hAnsi="Times New Roman"/>
                <w:sz w:val="18"/>
                <w:szCs w:val="18"/>
              </w:rPr>
              <w:t>Прикладное программное обеспечение/ Базы знаний</w:t>
            </w:r>
          </w:p>
        </w:tc>
        <w:tc>
          <w:tcPr>
            <w:tcW w:w="1842" w:type="dxa"/>
            <w:shd w:val="clear" w:color="000000" w:fill="FFFFFF"/>
            <w:hideMark/>
          </w:tcPr>
          <w:p w14:paraId="0896DA1A" w14:textId="77777777" w:rsidR="00626001" w:rsidRPr="00B0658A" w:rsidRDefault="00626001" w:rsidP="00004A41">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79" w:type="dxa"/>
            <w:shd w:val="clear" w:color="000000" w:fill="FFFFFF"/>
            <w:vAlign w:val="center"/>
          </w:tcPr>
          <w:p w14:paraId="1E39D916"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000000" w:fill="FFFFFF"/>
            <w:vAlign w:val="center"/>
            <w:hideMark/>
          </w:tcPr>
          <w:p w14:paraId="2C49D8F7"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000000" w:fill="FFFFFF"/>
            <w:vAlign w:val="center"/>
            <w:hideMark/>
          </w:tcPr>
          <w:p w14:paraId="28154982"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000000" w:fill="FFFFFF"/>
            <w:vAlign w:val="center"/>
            <w:hideMark/>
          </w:tcPr>
          <w:p w14:paraId="53B1C888" w14:textId="77777777" w:rsidR="00626001" w:rsidRPr="00B0658A" w:rsidRDefault="00626001" w:rsidP="00004A41">
            <w:pPr>
              <w:spacing w:after="0" w:line="240" w:lineRule="auto"/>
              <w:jc w:val="center"/>
              <w:rPr>
                <w:rFonts w:ascii="Times New Roman" w:hAnsi="Times New Roman"/>
                <w:sz w:val="18"/>
                <w:szCs w:val="18"/>
              </w:rPr>
            </w:pPr>
          </w:p>
        </w:tc>
        <w:tc>
          <w:tcPr>
            <w:tcW w:w="992" w:type="dxa"/>
            <w:shd w:val="clear" w:color="000000" w:fill="FFFFFF"/>
            <w:vAlign w:val="center"/>
          </w:tcPr>
          <w:p w14:paraId="6666EE1C" w14:textId="77777777" w:rsidR="00626001" w:rsidRPr="00B0658A" w:rsidRDefault="00626001" w:rsidP="00004A41">
            <w:pPr>
              <w:spacing w:after="0" w:line="240" w:lineRule="auto"/>
              <w:jc w:val="center"/>
              <w:rPr>
                <w:rFonts w:ascii="Times New Roman" w:hAnsi="Times New Roman"/>
                <w:sz w:val="18"/>
                <w:szCs w:val="18"/>
              </w:rPr>
            </w:pPr>
          </w:p>
        </w:tc>
        <w:tc>
          <w:tcPr>
            <w:tcW w:w="803" w:type="dxa"/>
            <w:shd w:val="clear" w:color="000000" w:fill="FFFFFF"/>
            <w:vAlign w:val="center"/>
            <w:hideMark/>
          </w:tcPr>
          <w:p w14:paraId="15C986CF" w14:textId="77777777" w:rsidR="00626001" w:rsidRPr="00B0658A" w:rsidRDefault="00626001" w:rsidP="00004A41">
            <w:pPr>
              <w:spacing w:after="0" w:line="240" w:lineRule="auto"/>
              <w:jc w:val="center"/>
              <w:rPr>
                <w:rFonts w:ascii="Times New Roman" w:hAnsi="Times New Roman"/>
                <w:sz w:val="18"/>
                <w:szCs w:val="18"/>
              </w:rPr>
            </w:pPr>
          </w:p>
        </w:tc>
        <w:tc>
          <w:tcPr>
            <w:tcW w:w="803" w:type="dxa"/>
            <w:shd w:val="clear" w:color="000000" w:fill="FFFFFF"/>
            <w:vAlign w:val="center"/>
            <w:hideMark/>
          </w:tcPr>
          <w:p w14:paraId="6F45767B" w14:textId="77777777" w:rsidR="00626001" w:rsidRPr="00B0658A" w:rsidRDefault="00626001" w:rsidP="00004A41">
            <w:pPr>
              <w:spacing w:after="0" w:line="240" w:lineRule="auto"/>
              <w:jc w:val="center"/>
              <w:rPr>
                <w:rFonts w:ascii="Times New Roman" w:hAnsi="Times New Roman"/>
                <w:sz w:val="18"/>
                <w:szCs w:val="18"/>
              </w:rPr>
            </w:pPr>
          </w:p>
        </w:tc>
        <w:tc>
          <w:tcPr>
            <w:tcW w:w="804" w:type="dxa"/>
            <w:shd w:val="clear" w:color="000000" w:fill="FFFFFF"/>
            <w:vAlign w:val="center"/>
            <w:hideMark/>
          </w:tcPr>
          <w:p w14:paraId="56DF513B" w14:textId="77777777" w:rsidR="00626001" w:rsidRPr="00B0658A" w:rsidRDefault="00626001" w:rsidP="00004A41">
            <w:pPr>
              <w:spacing w:after="0" w:line="240" w:lineRule="auto"/>
              <w:jc w:val="center"/>
              <w:rPr>
                <w:rFonts w:ascii="Times New Roman" w:hAnsi="Times New Roman"/>
                <w:sz w:val="18"/>
                <w:szCs w:val="18"/>
              </w:rPr>
            </w:pPr>
          </w:p>
        </w:tc>
        <w:tc>
          <w:tcPr>
            <w:tcW w:w="1530" w:type="dxa"/>
            <w:shd w:val="clear" w:color="000000" w:fill="FFFFFF"/>
            <w:vAlign w:val="center"/>
          </w:tcPr>
          <w:p w14:paraId="503C2AB6" w14:textId="77777777" w:rsidR="00626001" w:rsidRPr="00B0658A" w:rsidRDefault="00626001" w:rsidP="00004A41">
            <w:pPr>
              <w:spacing w:after="0" w:line="240" w:lineRule="auto"/>
              <w:jc w:val="center"/>
              <w:rPr>
                <w:rFonts w:ascii="Times New Roman" w:hAnsi="Times New Roman"/>
                <w:sz w:val="18"/>
                <w:szCs w:val="18"/>
              </w:rPr>
            </w:pPr>
          </w:p>
        </w:tc>
      </w:tr>
      <w:tr w:rsidR="00F52FED" w:rsidRPr="00B0658A" w14:paraId="148976A9" w14:textId="77777777" w:rsidTr="000103BB">
        <w:trPr>
          <w:trHeight w:val="20"/>
        </w:trPr>
        <w:tc>
          <w:tcPr>
            <w:tcW w:w="578" w:type="dxa"/>
            <w:shd w:val="clear" w:color="000000" w:fill="FFFFFF"/>
            <w:vAlign w:val="center"/>
          </w:tcPr>
          <w:p w14:paraId="2D44A9B0" w14:textId="77777777" w:rsidR="00626001" w:rsidRPr="00B0658A" w:rsidRDefault="00626001" w:rsidP="00004A41">
            <w:pPr>
              <w:spacing w:after="0" w:line="240" w:lineRule="auto"/>
              <w:jc w:val="center"/>
              <w:rPr>
                <w:rFonts w:ascii="Times New Roman" w:hAnsi="Times New Roman"/>
                <w:sz w:val="18"/>
                <w:szCs w:val="18"/>
              </w:rPr>
            </w:pPr>
            <w:r w:rsidRPr="00B0658A">
              <w:rPr>
                <w:rFonts w:ascii="Times New Roman" w:hAnsi="Times New Roman"/>
                <w:sz w:val="18"/>
                <w:szCs w:val="18"/>
              </w:rPr>
              <w:t>5.11</w:t>
            </w:r>
          </w:p>
        </w:tc>
        <w:tc>
          <w:tcPr>
            <w:tcW w:w="3812" w:type="dxa"/>
            <w:shd w:val="clear" w:color="auto" w:fill="auto"/>
            <w:vAlign w:val="center"/>
            <w:hideMark/>
          </w:tcPr>
          <w:p w14:paraId="3E2E84A1" w14:textId="77777777" w:rsidR="00626001" w:rsidRPr="00B0658A" w:rsidRDefault="00626001" w:rsidP="00004A41">
            <w:pPr>
              <w:spacing w:after="0" w:line="240" w:lineRule="auto"/>
              <w:rPr>
                <w:rFonts w:ascii="Times New Roman" w:hAnsi="Times New Roman"/>
                <w:sz w:val="18"/>
                <w:szCs w:val="18"/>
              </w:rPr>
            </w:pPr>
            <w:r w:rsidRPr="00B0658A">
              <w:rPr>
                <w:rFonts w:ascii="Times New Roman" w:hAnsi="Times New Roman"/>
                <w:sz w:val="18"/>
                <w:szCs w:val="18"/>
              </w:rPr>
              <w:t>Прикладное программное обеспечение/ Интеллектуальные средства управления экспертной деятельностью</w:t>
            </w:r>
          </w:p>
        </w:tc>
        <w:tc>
          <w:tcPr>
            <w:tcW w:w="1842" w:type="dxa"/>
            <w:shd w:val="clear" w:color="000000" w:fill="FFFFFF"/>
            <w:hideMark/>
          </w:tcPr>
          <w:p w14:paraId="19A2D71A" w14:textId="77777777" w:rsidR="00626001" w:rsidRPr="00B0658A" w:rsidRDefault="00626001" w:rsidP="00004A41">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79" w:type="dxa"/>
            <w:shd w:val="clear" w:color="000000" w:fill="FFFFFF"/>
            <w:vAlign w:val="center"/>
          </w:tcPr>
          <w:p w14:paraId="1722C648"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000000" w:fill="FFFFFF"/>
            <w:vAlign w:val="center"/>
            <w:hideMark/>
          </w:tcPr>
          <w:p w14:paraId="2C1D76B9"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000000" w:fill="FFFFFF"/>
            <w:vAlign w:val="center"/>
            <w:hideMark/>
          </w:tcPr>
          <w:p w14:paraId="01606463"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000000" w:fill="FFFFFF"/>
            <w:vAlign w:val="center"/>
            <w:hideMark/>
          </w:tcPr>
          <w:p w14:paraId="69F7E0E3" w14:textId="77777777" w:rsidR="00626001" w:rsidRPr="00B0658A" w:rsidRDefault="00626001" w:rsidP="00004A41">
            <w:pPr>
              <w:spacing w:after="0" w:line="240" w:lineRule="auto"/>
              <w:jc w:val="center"/>
              <w:rPr>
                <w:rFonts w:ascii="Times New Roman" w:hAnsi="Times New Roman"/>
                <w:sz w:val="18"/>
                <w:szCs w:val="18"/>
              </w:rPr>
            </w:pPr>
          </w:p>
        </w:tc>
        <w:tc>
          <w:tcPr>
            <w:tcW w:w="992" w:type="dxa"/>
            <w:shd w:val="clear" w:color="000000" w:fill="FFFFFF"/>
            <w:vAlign w:val="center"/>
          </w:tcPr>
          <w:p w14:paraId="657B43C6" w14:textId="77777777" w:rsidR="00626001" w:rsidRPr="00B0658A" w:rsidRDefault="00626001" w:rsidP="00004A41">
            <w:pPr>
              <w:spacing w:after="0" w:line="240" w:lineRule="auto"/>
              <w:jc w:val="center"/>
              <w:rPr>
                <w:rFonts w:ascii="Times New Roman" w:hAnsi="Times New Roman"/>
                <w:sz w:val="18"/>
                <w:szCs w:val="18"/>
              </w:rPr>
            </w:pPr>
          </w:p>
        </w:tc>
        <w:tc>
          <w:tcPr>
            <w:tcW w:w="803" w:type="dxa"/>
            <w:shd w:val="clear" w:color="000000" w:fill="FFFFFF"/>
            <w:vAlign w:val="center"/>
            <w:hideMark/>
          </w:tcPr>
          <w:p w14:paraId="44E3EA08" w14:textId="77777777" w:rsidR="00626001" w:rsidRPr="00B0658A" w:rsidRDefault="00626001" w:rsidP="00004A41">
            <w:pPr>
              <w:spacing w:after="0" w:line="240" w:lineRule="auto"/>
              <w:jc w:val="center"/>
              <w:rPr>
                <w:rFonts w:ascii="Times New Roman" w:hAnsi="Times New Roman"/>
                <w:sz w:val="18"/>
                <w:szCs w:val="18"/>
              </w:rPr>
            </w:pPr>
          </w:p>
        </w:tc>
        <w:tc>
          <w:tcPr>
            <w:tcW w:w="803" w:type="dxa"/>
            <w:shd w:val="clear" w:color="000000" w:fill="FFFFFF"/>
            <w:vAlign w:val="center"/>
            <w:hideMark/>
          </w:tcPr>
          <w:p w14:paraId="76960C58" w14:textId="77777777" w:rsidR="00626001" w:rsidRPr="00B0658A" w:rsidRDefault="00626001" w:rsidP="00004A41">
            <w:pPr>
              <w:spacing w:after="0" w:line="240" w:lineRule="auto"/>
              <w:jc w:val="center"/>
              <w:rPr>
                <w:rFonts w:ascii="Times New Roman" w:hAnsi="Times New Roman"/>
                <w:sz w:val="18"/>
                <w:szCs w:val="18"/>
              </w:rPr>
            </w:pPr>
          </w:p>
        </w:tc>
        <w:tc>
          <w:tcPr>
            <w:tcW w:w="804" w:type="dxa"/>
            <w:shd w:val="clear" w:color="000000" w:fill="FFFFFF"/>
            <w:vAlign w:val="center"/>
            <w:hideMark/>
          </w:tcPr>
          <w:p w14:paraId="75648B32" w14:textId="77777777" w:rsidR="00626001" w:rsidRPr="00B0658A" w:rsidRDefault="00626001" w:rsidP="00004A41">
            <w:pPr>
              <w:spacing w:after="0" w:line="240" w:lineRule="auto"/>
              <w:jc w:val="center"/>
              <w:rPr>
                <w:rFonts w:ascii="Times New Roman" w:hAnsi="Times New Roman"/>
                <w:sz w:val="18"/>
                <w:szCs w:val="18"/>
              </w:rPr>
            </w:pPr>
          </w:p>
        </w:tc>
        <w:tc>
          <w:tcPr>
            <w:tcW w:w="1530" w:type="dxa"/>
            <w:shd w:val="clear" w:color="000000" w:fill="FFFFFF"/>
            <w:vAlign w:val="center"/>
          </w:tcPr>
          <w:p w14:paraId="2D3CE77D" w14:textId="77777777" w:rsidR="00626001" w:rsidRPr="00B0658A" w:rsidRDefault="00626001" w:rsidP="00004A41">
            <w:pPr>
              <w:spacing w:after="0" w:line="240" w:lineRule="auto"/>
              <w:jc w:val="center"/>
              <w:rPr>
                <w:rFonts w:ascii="Times New Roman" w:hAnsi="Times New Roman"/>
                <w:sz w:val="18"/>
                <w:szCs w:val="18"/>
              </w:rPr>
            </w:pPr>
          </w:p>
        </w:tc>
      </w:tr>
      <w:tr w:rsidR="00F52FED" w:rsidRPr="00B0658A" w14:paraId="7D8FF243" w14:textId="77777777" w:rsidTr="000103BB">
        <w:trPr>
          <w:trHeight w:val="20"/>
        </w:trPr>
        <w:tc>
          <w:tcPr>
            <w:tcW w:w="578" w:type="dxa"/>
            <w:shd w:val="clear" w:color="000000" w:fill="FFFFFF"/>
            <w:vAlign w:val="center"/>
          </w:tcPr>
          <w:p w14:paraId="7899F979" w14:textId="77777777" w:rsidR="00626001" w:rsidRPr="00B0658A" w:rsidRDefault="00626001" w:rsidP="00004A41">
            <w:pPr>
              <w:spacing w:after="0" w:line="240" w:lineRule="auto"/>
              <w:jc w:val="center"/>
              <w:rPr>
                <w:rFonts w:ascii="Times New Roman" w:hAnsi="Times New Roman"/>
                <w:sz w:val="18"/>
                <w:szCs w:val="18"/>
              </w:rPr>
            </w:pPr>
            <w:r w:rsidRPr="00B0658A">
              <w:rPr>
                <w:rFonts w:ascii="Times New Roman" w:hAnsi="Times New Roman"/>
                <w:sz w:val="18"/>
                <w:szCs w:val="18"/>
              </w:rPr>
              <w:t>5.12</w:t>
            </w:r>
          </w:p>
        </w:tc>
        <w:tc>
          <w:tcPr>
            <w:tcW w:w="3812" w:type="dxa"/>
            <w:shd w:val="clear" w:color="auto" w:fill="auto"/>
            <w:vAlign w:val="center"/>
            <w:hideMark/>
          </w:tcPr>
          <w:p w14:paraId="46048D1E" w14:textId="77777777" w:rsidR="00626001" w:rsidRPr="00B0658A" w:rsidRDefault="00626001" w:rsidP="00004A41">
            <w:pPr>
              <w:spacing w:after="0" w:line="240" w:lineRule="auto"/>
              <w:rPr>
                <w:rFonts w:ascii="Times New Roman" w:hAnsi="Times New Roman"/>
                <w:sz w:val="18"/>
                <w:szCs w:val="18"/>
              </w:rPr>
            </w:pPr>
            <w:r w:rsidRPr="00B0658A">
              <w:rPr>
                <w:rFonts w:ascii="Times New Roman" w:hAnsi="Times New Roman"/>
                <w:sz w:val="18"/>
                <w:szCs w:val="18"/>
              </w:rPr>
              <w:t xml:space="preserve">Прикладное программное обеспечение/ Интеллектуальные средства разработки </w:t>
            </w:r>
            <w:r w:rsidRPr="00B0658A">
              <w:rPr>
                <w:rFonts w:ascii="Times New Roman" w:hAnsi="Times New Roman"/>
                <w:sz w:val="18"/>
                <w:szCs w:val="18"/>
              </w:rPr>
              <w:br/>
              <w:t xml:space="preserve">и управления стандартами </w:t>
            </w:r>
            <w:r w:rsidRPr="00B0658A">
              <w:rPr>
                <w:rFonts w:ascii="Times New Roman" w:hAnsi="Times New Roman"/>
                <w:sz w:val="18"/>
                <w:szCs w:val="18"/>
              </w:rPr>
              <w:br/>
              <w:t>и нормативами</w:t>
            </w:r>
          </w:p>
        </w:tc>
        <w:tc>
          <w:tcPr>
            <w:tcW w:w="1842" w:type="dxa"/>
            <w:shd w:val="clear" w:color="000000" w:fill="FFFFFF"/>
            <w:hideMark/>
          </w:tcPr>
          <w:p w14:paraId="37A6A2F9" w14:textId="77777777" w:rsidR="00626001" w:rsidRPr="00B0658A" w:rsidRDefault="00626001" w:rsidP="00004A41">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79" w:type="dxa"/>
            <w:vAlign w:val="center"/>
          </w:tcPr>
          <w:p w14:paraId="0EC6F397"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auto" w:fill="auto"/>
            <w:vAlign w:val="center"/>
            <w:hideMark/>
          </w:tcPr>
          <w:p w14:paraId="017BA620"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auto" w:fill="auto"/>
            <w:vAlign w:val="center"/>
            <w:hideMark/>
          </w:tcPr>
          <w:p w14:paraId="7FA0CAED"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auto" w:fill="auto"/>
            <w:vAlign w:val="center"/>
            <w:hideMark/>
          </w:tcPr>
          <w:p w14:paraId="5695D3DE" w14:textId="77777777" w:rsidR="00626001" w:rsidRPr="00B0658A" w:rsidRDefault="00626001" w:rsidP="00004A41">
            <w:pPr>
              <w:spacing w:after="0" w:line="240" w:lineRule="auto"/>
              <w:jc w:val="center"/>
              <w:rPr>
                <w:rFonts w:ascii="Times New Roman" w:hAnsi="Times New Roman"/>
                <w:sz w:val="18"/>
                <w:szCs w:val="18"/>
              </w:rPr>
            </w:pPr>
          </w:p>
        </w:tc>
        <w:tc>
          <w:tcPr>
            <w:tcW w:w="992" w:type="dxa"/>
            <w:vAlign w:val="center"/>
          </w:tcPr>
          <w:p w14:paraId="4CEDD512" w14:textId="77777777" w:rsidR="00626001" w:rsidRPr="00B0658A" w:rsidRDefault="00626001" w:rsidP="00004A41">
            <w:pPr>
              <w:spacing w:after="0" w:line="240" w:lineRule="auto"/>
              <w:jc w:val="center"/>
              <w:rPr>
                <w:rFonts w:ascii="Times New Roman" w:hAnsi="Times New Roman"/>
                <w:sz w:val="18"/>
                <w:szCs w:val="18"/>
              </w:rPr>
            </w:pPr>
          </w:p>
        </w:tc>
        <w:tc>
          <w:tcPr>
            <w:tcW w:w="803" w:type="dxa"/>
            <w:shd w:val="clear" w:color="auto" w:fill="auto"/>
            <w:vAlign w:val="center"/>
            <w:hideMark/>
          </w:tcPr>
          <w:p w14:paraId="5B14032E" w14:textId="77777777" w:rsidR="00626001" w:rsidRPr="00B0658A" w:rsidRDefault="00626001" w:rsidP="00004A41">
            <w:pPr>
              <w:spacing w:after="0" w:line="240" w:lineRule="auto"/>
              <w:jc w:val="center"/>
              <w:rPr>
                <w:rFonts w:ascii="Times New Roman" w:hAnsi="Times New Roman"/>
                <w:sz w:val="18"/>
                <w:szCs w:val="18"/>
              </w:rPr>
            </w:pPr>
          </w:p>
        </w:tc>
        <w:tc>
          <w:tcPr>
            <w:tcW w:w="803" w:type="dxa"/>
            <w:shd w:val="clear" w:color="auto" w:fill="auto"/>
            <w:vAlign w:val="center"/>
            <w:hideMark/>
          </w:tcPr>
          <w:p w14:paraId="29CAEE47" w14:textId="77777777" w:rsidR="00626001" w:rsidRPr="00B0658A" w:rsidRDefault="00626001" w:rsidP="00004A41">
            <w:pPr>
              <w:spacing w:after="0" w:line="240" w:lineRule="auto"/>
              <w:jc w:val="center"/>
              <w:rPr>
                <w:rFonts w:ascii="Times New Roman" w:hAnsi="Times New Roman"/>
                <w:sz w:val="18"/>
                <w:szCs w:val="18"/>
              </w:rPr>
            </w:pPr>
          </w:p>
        </w:tc>
        <w:tc>
          <w:tcPr>
            <w:tcW w:w="804" w:type="dxa"/>
            <w:shd w:val="clear" w:color="auto" w:fill="auto"/>
            <w:vAlign w:val="center"/>
            <w:hideMark/>
          </w:tcPr>
          <w:p w14:paraId="6923E937" w14:textId="77777777" w:rsidR="00626001" w:rsidRPr="00B0658A" w:rsidRDefault="00626001" w:rsidP="00004A41">
            <w:pPr>
              <w:spacing w:after="0" w:line="240" w:lineRule="auto"/>
              <w:jc w:val="center"/>
              <w:rPr>
                <w:rFonts w:ascii="Times New Roman" w:hAnsi="Times New Roman"/>
                <w:sz w:val="18"/>
                <w:szCs w:val="18"/>
              </w:rPr>
            </w:pPr>
          </w:p>
        </w:tc>
        <w:tc>
          <w:tcPr>
            <w:tcW w:w="1530" w:type="dxa"/>
            <w:vAlign w:val="center"/>
          </w:tcPr>
          <w:p w14:paraId="21B6D180" w14:textId="77777777" w:rsidR="00626001" w:rsidRPr="00B0658A" w:rsidRDefault="00626001" w:rsidP="00004A41">
            <w:pPr>
              <w:spacing w:after="0" w:line="240" w:lineRule="auto"/>
              <w:jc w:val="center"/>
              <w:rPr>
                <w:rFonts w:ascii="Times New Roman" w:hAnsi="Times New Roman"/>
                <w:sz w:val="18"/>
                <w:szCs w:val="18"/>
              </w:rPr>
            </w:pPr>
          </w:p>
        </w:tc>
      </w:tr>
      <w:tr w:rsidR="00F52FED" w:rsidRPr="00B0658A" w14:paraId="745B6CA9" w14:textId="77777777" w:rsidTr="000103BB">
        <w:trPr>
          <w:trHeight w:val="20"/>
        </w:trPr>
        <w:tc>
          <w:tcPr>
            <w:tcW w:w="578" w:type="dxa"/>
            <w:shd w:val="clear" w:color="000000" w:fill="FFFFFF"/>
            <w:vAlign w:val="center"/>
          </w:tcPr>
          <w:p w14:paraId="164E0195" w14:textId="77777777" w:rsidR="00626001" w:rsidRPr="00B0658A" w:rsidRDefault="00626001" w:rsidP="00004A41">
            <w:pPr>
              <w:spacing w:after="0" w:line="240" w:lineRule="auto"/>
              <w:jc w:val="center"/>
              <w:rPr>
                <w:rFonts w:ascii="Times New Roman" w:hAnsi="Times New Roman"/>
                <w:sz w:val="18"/>
                <w:szCs w:val="18"/>
              </w:rPr>
            </w:pPr>
            <w:r w:rsidRPr="00B0658A">
              <w:rPr>
                <w:rFonts w:ascii="Times New Roman" w:hAnsi="Times New Roman"/>
                <w:sz w:val="18"/>
                <w:szCs w:val="18"/>
              </w:rPr>
              <w:t>5.13</w:t>
            </w:r>
          </w:p>
        </w:tc>
        <w:tc>
          <w:tcPr>
            <w:tcW w:w="3812" w:type="dxa"/>
            <w:shd w:val="clear" w:color="auto" w:fill="auto"/>
            <w:vAlign w:val="center"/>
            <w:hideMark/>
          </w:tcPr>
          <w:p w14:paraId="499F73BD" w14:textId="77777777" w:rsidR="00626001" w:rsidRPr="00B0658A" w:rsidRDefault="00626001" w:rsidP="00004A41">
            <w:pPr>
              <w:spacing w:after="0" w:line="240" w:lineRule="auto"/>
              <w:rPr>
                <w:rFonts w:ascii="Times New Roman" w:hAnsi="Times New Roman"/>
                <w:sz w:val="18"/>
                <w:szCs w:val="18"/>
              </w:rPr>
            </w:pPr>
            <w:r w:rsidRPr="00B0658A">
              <w:rPr>
                <w:rFonts w:ascii="Times New Roman" w:hAnsi="Times New Roman"/>
                <w:sz w:val="18"/>
                <w:szCs w:val="18"/>
              </w:rPr>
              <w:t>Прикладное программное обеспечение/ Средства интеллектуальной обработки информации и интеллектуального анализа бизнес-процессов</w:t>
            </w:r>
          </w:p>
        </w:tc>
        <w:tc>
          <w:tcPr>
            <w:tcW w:w="1842" w:type="dxa"/>
            <w:shd w:val="clear" w:color="000000" w:fill="FFFFFF"/>
            <w:hideMark/>
          </w:tcPr>
          <w:p w14:paraId="052805DC" w14:textId="77777777" w:rsidR="00626001" w:rsidRPr="00B0658A" w:rsidRDefault="00626001" w:rsidP="00004A41">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79" w:type="dxa"/>
            <w:shd w:val="clear" w:color="000000" w:fill="FFFFFF"/>
            <w:vAlign w:val="center"/>
          </w:tcPr>
          <w:p w14:paraId="6B75877C"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000000" w:fill="FFFFFF"/>
            <w:vAlign w:val="center"/>
            <w:hideMark/>
          </w:tcPr>
          <w:p w14:paraId="16DB9397"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000000" w:fill="FFFFFF"/>
            <w:vAlign w:val="center"/>
            <w:hideMark/>
          </w:tcPr>
          <w:p w14:paraId="00B9BEEF"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000000" w:fill="FFFFFF"/>
            <w:vAlign w:val="center"/>
            <w:hideMark/>
          </w:tcPr>
          <w:p w14:paraId="70DE7757" w14:textId="77777777" w:rsidR="00626001" w:rsidRPr="00B0658A" w:rsidRDefault="00626001" w:rsidP="00004A41">
            <w:pPr>
              <w:spacing w:after="0" w:line="240" w:lineRule="auto"/>
              <w:jc w:val="center"/>
              <w:rPr>
                <w:rFonts w:ascii="Times New Roman" w:hAnsi="Times New Roman"/>
                <w:sz w:val="18"/>
                <w:szCs w:val="18"/>
              </w:rPr>
            </w:pPr>
          </w:p>
        </w:tc>
        <w:tc>
          <w:tcPr>
            <w:tcW w:w="992" w:type="dxa"/>
            <w:shd w:val="clear" w:color="000000" w:fill="FFFFFF"/>
            <w:vAlign w:val="center"/>
          </w:tcPr>
          <w:p w14:paraId="21953E5E" w14:textId="77777777" w:rsidR="00626001" w:rsidRPr="00B0658A" w:rsidRDefault="00626001" w:rsidP="00004A41">
            <w:pPr>
              <w:spacing w:after="0" w:line="240" w:lineRule="auto"/>
              <w:jc w:val="center"/>
              <w:rPr>
                <w:rFonts w:ascii="Times New Roman" w:hAnsi="Times New Roman"/>
                <w:sz w:val="18"/>
                <w:szCs w:val="18"/>
              </w:rPr>
            </w:pPr>
          </w:p>
        </w:tc>
        <w:tc>
          <w:tcPr>
            <w:tcW w:w="803" w:type="dxa"/>
            <w:shd w:val="clear" w:color="000000" w:fill="FFFFFF"/>
            <w:vAlign w:val="center"/>
            <w:hideMark/>
          </w:tcPr>
          <w:p w14:paraId="7586619B" w14:textId="77777777" w:rsidR="00626001" w:rsidRPr="00B0658A" w:rsidRDefault="00626001" w:rsidP="00004A41">
            <w:pPr>
              <w:spacing w:after="0" w:line="240" w:lineRule="auto"/>
              <w:jc w:val="center"/>
              <w:rPr>
                <w:rFonts w:ascii="Times New Roman" w:hAnsi="Times New Roman"/>
                <w:sz w:val="18"/>
                <w:szCs w:val="18"/>
              </w:rPr>
            </w:pPr>
          </w:p>
        </w:tc>
        <w:tc>
          <w:tcPr>
            <w:tcW w:w="803" w:type="dxa"/>
            <w:shd w:val="clear" w:color="000000" w:fill="FFFFFF"/>
            <w:vAlign w:val="center"/>
            <w:hideMark/>
          </w:tcPr>
          <w:p w14:paraId="3F5B5FC2" w14:textId="77777777" w:rsidR="00626001" w:rsidRPr="00B0658A" w:rsidRDefault="00626001" w:rsidP="00004A41">
            <w:pPr>
              <w:spacing w:after="0" w:line="240" w:lineRule="auto"/>
              <w:jc w:val="center"/>
              <w:rPr>
                <w:rFonts w:ascii="Times New Roman" w:hAnsi="Times New Roman"/>
                <w:sz w:val="18"/>
                <w:szCs w:val="18"/>
              </w:rPr>
            </w:pPr>
          </w:p>
        </w:tc>
        <w:tc>
          <w:tcPr>
            <w:tcW w:w="804" w:type="dxa"/>
            <w:shd w:val="clear" w:color="000000" w:fill="FFFFFF"/>
            <w:vAlign w:val="center"/>
            <w:hideMark/>
          </w:tcPr>
          <w:p w14:paraId="2F757769" w14:textId="77777777" w:rsidR="00626001" w:rsidRPr="00B0658A" w:rsidRDefault="00626001" w:rsidP="00004A41">
            <w:pPr>
              <w:spacing w:after="0" w:line="240" w:lineRule="auto"/>
              <w:jc w:val="center"/>
              <w:rPr>
                <w:rFonts w:ascii="Times New Roman" w:hAnsi="Times New Roman"/>
                <w:sz w:val="18"/>
                <w:szCs w:val="18"/>
              </w:rPr>
            </w:pPr>
          </w:p>
        </w:tc>
        <w:tc>
          <w:tcPr>
            <w:tcW w:w="1530" w:type="dxa"/>
            <w:shd w:val="clear" w:color="000000" w:fill="FFFFFF"/>
            <w:vAlign w:val="center"/>
          </w:tcPr>
          <w:p w14:paraId="4872BA21" w14:textId="77777777" w:rsidR="00626001" w:rsidRPr="00B0658A" w:rsidRDefault="00626001" w:rsidP="00004A41">
            <w:pPr>
              <w:spacing w:after="0" w:line="240" w:lineRule="auto"/>
              <w:jc w:val="center"/>
              <w:rPr>
                <w:rFonts w:ascii="Times New Roman" w:hAnsi="Times New Roman"/>
                <w:sz w:val="18"/>
                <w:szCs w:val="18"/>
              </w:rPr>
            </w:pPr>
          </w:p>
        </w:tc>
      </w:tr>
      <w:tr w:rsidR="00F52FED" w:rsidRPr="00B0658A" w14:paraId="5BF5E903" w14:textId="77777777" w:rsidTr="000103BB">
        <w:trPr>
          <w:trHeight w:val="20"/>
        </w:trPr>
        <w:tc>
          <w:tcPr>
            <w:tcW w:w="578" w:type="dxa"/>
            <w:shd w:val="clear" w:color="000000" w:fill="FFFFFF"/>
            <w:vAlign w:val="center"/>
          </w:tcPr>
          <w:p w14:paraId="72648614" w14:textId="77777777" w:rsidR="00626001" w:rsidRPr="00B0658A" w:rsidRDefault="00626001" w:rsidP="00004A41">
            <w:pPr>
              <w:spacing w:after="0" w:line="240" w:lineRule="auto"/>
              <w:jc w:val="center"/>
              <w:rPr>
                <w:rFonts w:ascii="Times New Roman" w:hAnsi="Times New Roman"/>
                <w:sz w:val="18"/>
                <w:szCs w:val="18"/>
              </w:rPr>
            </w:pPr>
            <w:r w:rsidRPr="00B0658A">
              <w:rPr>
                <w:rFonts w:ascii="Times New Roman" w:hAnsi="Times New Roman"/>
                <w:sz w:val="18"/>
                <w:szCs w:val="18"/>
              </w:rPr>
              <w:t>5.14</w:t>
            </w:r>
          </w:p>
        </w:tc>
        <w:tc>
          <w:tcPr>
            <w:tcW w:w="3812" w:type="dxa"/>
            <w:shd w:val="clear" w:color="auto" w:fill="auto"/>
            <w:vAlign w:val="center"/>
            <w:hideMark/>
          </w:tcPr>
          <w:p w14:paraId="1578A2AE" w14:textId="77777777" w:rsidR="00626001" w:rsidRPr="00B0658A" w:rsidRDefault="00626001" w:rsidP="00004A41">
            <w:pPr>
              <w:spacing w:after="0" w:line="240" w:lineRule="auto"/>
              <w:rPr>
                <w:rFonts w:ascii="Times New Roman" w:hAnsi="Times New Roman"/>
                <w:sz w:val="18"/>
                <w:szCs w:val="18"/>
              </w:rPr>
            </w:pPr>
            <w:r w:rsidRPr="00B0658A">
              <w:rPr>
                <w:rFonts w:ascii="Times New Roman" w:hAnsi="Times New Roman"/>
                <w:sz w:val="18"/>
                <w:szCs w:val="18"/>
              </w:rPr>
              <w:t>Прикладное программное обеспечение/ Справочно-правовые системы</w:t>
            </w:r>
          </w:p>
        </w:tc>
        <w:tc>
          <w:tcPr>
            <w:tcW w:w="1842" w:type="dxa"/>
            <w:shd w:val="clear" w:color="000000" w:fill="FFFFFF"/>
            <w:hideMark/>
          </w:tcPr>
          <w:p w14:paraId="5005B8F6" w14:textId="77777777" w:rsidR="00626001" w:rsidRPr="00B0658A" w:rsidRDefault="00626001" w:rsidP="00004A41">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79" w:type="dxa"/>
            <w:shd w:val="clear" w:color="000000" w:fill="FFFFFF"/>
            <w:vAlign w:val="center"/>
          </w:tcPr>
          <w:p w14:paraId="0695A7B6"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000000" w:fill="FFFFFF"/>
            <w:vAlign w:val="center"/>
            <w:hideMark/>
          </w:tcPr>
          <w:p w14:paraId="364FABA3"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000000" w:fill="FFFFFF"/>
            <w:vAlign w:val="center"/>
            <w:hideMark/>
          </w:tcPr>
          <w:p w14:paraId="297860BC"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000000" w:fill="FFFFFF"/>
            <w:vAlign w:val="center"/>
            <w:hideMark/>
          </w:tcPr>
          <w:p w14:paraId="0A23E1F2" w14:textId="77777777" w:rsidR="00626001" w:rsidRPr="00B0658A" w:rsidRDefault="00626001" w:rsidP="00004A41">
            <w:pPr>
              <w:spacing w:after="0" w:line="240" w:lineRule="auto"/>
              <w:jc w:val="center"/>
              <w:rPr>
                <w:rFonts w:ascii="Times New Roman" w:hAnsi="Times New Roman"/>
                <w:sz w:val="18"/>
                <w:szCs w:val="18"/>
              </w:rPr>
            </w:pPr>
          </w:p>
        </w:tc>
        <w:tc>
          <w:tcPr>
            <w:tcW w:w="992" w:type="dxa"/>
            <w:shd w:val="clear" w:color="000000" w:fill="FFFFFF"/>
            <w:vAlign w:val="center"/>
          </w:tcPr>
          <w:p w14:paraId="1D9FA5A2" w14:textId="77777777" w:rsidR="00626001" w:rsidRPr="00B0658A" w:rsidRDefault="00626001" w:rsidP="00004A41">
            <w:pPr>
              <w:spacing w:after="0" w:line="240" w:lineRule="auto"/>
              <w:jc w:val="center"/>
              <w:rPr>
                <w:rFonts w:ascii="Times New Roman" w:hAnsi="Times New Roman"/>
                <w:sz w:val="18"/>
                <w:szCs w:val="18"/>
              </w:rPr>
            </w:pPr>
          </w:p>
        </w:tc>
        <w:tc>
          <w:tcPr>
            <w:tcW w:w="803" w:type="dxa"/>
            <w:shd w:val="clear" w:color="000000" w:fill="FFFFFF"/>
            <w:vAlign w:val="center"/>
            <w:hideMark/>
          </w:tcPr>
          <w:p w14:paraId="10A1EB7B" w14:textId="77777777" w:rsidR="00626001" w:rsidRPr="00B0658A" w:rsidRDefault="00626001" w:rsidP="00004A41">
            <w:pPr>
              <w:spacing w:after="0" w:line="240" w:lineRule="auto"/>
              <w:jc w:val="center"/>
              <w:rPr>
                <w:rFonts w:ascii="Times New Roman" w:hAnsi="Times New Roman"/>
                <w:sz w:val="18"/>
                <w:szCs w:val="18"/>
              </w:rPr>
            </w:pPr>
          </w:p>
        </w:tc>
        <w:tc>
          <w:tcPr>
            <w:tcW w:w="803" w:type="dxa"/>
            <w:shd w:val="clear" w:color="000000" w:fill="FFFFFF"/>
            <w:vAlign w:val="center"/>
            <w:hideMark/>
          </w:tcPr>
          <w:p w14:paraId="2ED386EE" w14:textId="77777777" w:rsidR="00626001" w:rsidRPr="00B0658A" w:rsidRDefault="00626001" w:rsidP="00004A41">
            <w:pPr>
              <w:spacing w:after="0" w:line="240" w:lineRule="auto"/>
              <w:jc w:val="center"/>
              <w:rPr>
                <w:rFonts w:ascii="Times New Roman" w:hAnsi="Times New Roman"/>
                <w:sz w:val="18"/>
                <w:szCs w:val="18"/>
              </w:rPr>
            </w:pPr>
          </w:p>
        </w:tc>
        <w:tc>
          <w:tcPr>
            <w:tcW w:w="804" w:type="dxa"/>
            <w:shd w:val="clear" w:color="000000" w:fill="FFFFFF"/>
            <w:vAlign w:val="center"/>
            <w:hideMark/>
          </w:tcPr>
          <w:p w14:paraId="03EC299D" w14:textId="77777777" w:rsidR="00626001" w:rsidRPr="00B0658A" w:rsidRDefault="00626001" w:rsidP="00004A41">
            <w:pPr>
              <w:spacing w:after="0" w:line="240" w:lineRule="auto"/>
              <w:jc w:val="center"/>
              <w:rPr>
                <w:rFonts w:ascii="Times New Roman" w:hAnsi="Times New Roman"/>
                <w:sz w:val="18"/>
                <w:szCs w:val="18"/>
              </w:rPr>
            </w:pPr>
          </w:p>
        </w:tc>
        <w:tc>
          <w:tcPr>
            <w:tcW w:w="1530" w:type="dxa"/>
            <w:shd w:val="clear" w:color="000000" w:fill="FFFFFF"/>
            <w:vAlign w:val="center"/>
          </w:tcPr>
          <w:p w14:paraId="160514A6" w14:textId="77777777" w:rsidR="00626001" w:rsidRPr="00B0658A" w:rsidRDefault="00626001" w:rsidP="00004A41">
            <w:pPr>
              <w:spacing w:after="0" w:line="240" w:lineRule="auto"/>
              <w:jc w:val="center"/>
              <w:rPr>
                <w:rFonts w:ascii="Times New Roman" w:hAnsi="Times New Roman"/>
                <w:sz w:val="18"/>
                <w:szCs w:val="18"/>
              </w:rPr>
            </w:pPr>
          </w:p>
        </w:tc>
      </w:tr>
      <w:tr w:rsidR="00F52FED" w:rsidRPr="00B0658A" w14:paraId="2E52BAB2" w14:textId="77777777" w:rsidTr="000103BB">
        <w:trPr>
          <w:trHeight w:val="20"/>
        </w:trPr>
        <w:tc>
          <w:tcPr>
            <w:tcW w:w="578" w:type="dxa"/>
            <w:shd w:val="clear" w:color="000000" w:fill="FFFFFF"/>
            <w:vAlign w:val="center"/>
          </w:tcPr>
          <w:p w14:paraId="03F90796" w14:textId="77777777" w:rsidR="00626001" w:rsidRPr="00B0658A" w:rsidRDefault="00626001" w:rsidP="00004A41">
            <w:pPr>
              <w:spacing w:after="0" w:line="240" w:lineRule="auto"/>
              <w:jc w:val="center"/>
              <w:rPr>
                <w:rFonts w:ascii="Times New Roman" w:hAnsi="Times New Roman"/>
                <w:sz w:val="18"/>
                <w:szCs w:val="18"/>
              </w:rPr>
            </w:pPr>
            <w:r w:rsidRPr="00B0658A">
              <w:rPr>
                <w:rFonts w:ascii="Times New Roman" w:hAnsi="Times New Roman"/>
                <w:sz w:val="18"/>
                <w:szCs w:val="18"/>
              </w:rPr>
              <w:t>5.15</w:t>
            </w:r>
          </w:p>
        </w:tc>
        <w:tc>
          <w:tcPr>
            <w:tcW w:w="3812" w:type="dxa"/>
            <w:shd w:val="clear" w:color="auto" w:fill="auto"/>
            <w:vAlign w:val="center"/>
            <w:hideMark/>
          </w:tcPr>
          <w:p w14:paraId="03A4C3C3" w14:textId="77777777" w:rsidR="00626001" w:rsidRPr="00B0658A" w:rsidRDefault="00626001" w:rsidP="00004A41">
            <w:pPr>
              <w:spacing w:after="0" w:line="240" w:lineRule="auto"/>
              <w:rPr>
                <w:rFonts w:ascii="Times New Roman" w:hAnsi="Times New Roman"/>
                <w:sz w:val="18"/>
                <w:szCs w:val="18"/>
              </w:rPr>
            </w:pPr>
            <w:r w:rsidRPr="00B0658A">
              <w:rPr>
                <w:rFonts w:ascii="Times New Roman" w:hAnsi="Times New Roman"/>
                <w:sz w:val="18"/>
                <w:szCs w:val="18"/>
              </w:rPr>
              <w:t>Прикладное программное обеспечение/ Информационные системы для решения специфических отраслевых задач</w:t>
            </w:r>
          </w:p>
        </w:tc>
        <w:tc>
          <w:tcPr>
            <w:tcW w:w="1842" w:type="dxa"/>
            <w:shd w:val="clear" w:color="000000" w:fill="FFFFFF"/>
            <w:hideMark/>
          </w:tcPr>
          <w:p w14:paraId="62F6C124" w14:textId="77777777" w:rsidR="00626001" w:rsidRPr="00B0658A" w:rsidRDefault="00626001" w:rsidP="00004A41">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79" w:type="dxa"/>
            <w:shd w:val="clear" w:color="000000" w:fill="FFFFFF"/>
            <w:vAlign w:val="center"/>
          </w:tcPr>
          <w:p w14:paraId="2F5C6FD9"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000000" w:fill="FFFFFF"/>
            <w:vAlign w:val="center"/>
            <w:hideMark/>
          </w:tcPr>
          <w:p w14:paraId="083BB5A5"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000000" w:fill="FFFFFF"/>
            <w:vAlign w:val="center"/>
            <w:hideMark/>
          </w:tcPr>
          <w:p w14:paraId="75B43E4D"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000000" w:fill="FFFFFF"/>
            <w:vAlign w:val="center"/>
            <w:hideMark/>
          </w:tcPr>
          <w:p w14:paraId="1EC6F521" w14:textId="77777777" w:rsidR="00626001" w:rsidRPr="00B0658A" w:rsidRDefault="00626001" w:rsidP="00004A41">
            <w:pPr>
              <w:spacing w:after="0" w:line="240" w:lineRule="auto"/>
              <w:jc w:val="center"/>
              <w:rPr>
                <w:rFonts w:ascii="Times New Roman" w:hAnsi="Times New Roman"/>
                <w:sz w:val="18"/>
                <w:szCs w:val="18"/>
              </w:rPr>
            </w:pPr>
          </w:p>
        </w:tc>
        <w:tc>
          <w:tcPr>
            <w:tcW w:w="992" w:type="dxa"/>
            <w:shd w:val="clear" w:color="000000" w:fill="FFFFFF"/>
            <w:vAlign w:val="center"/>
          </w:tcPr>
          <w:p w14:paraId="51B6AEDB" w14:textId="77777777" w:rsidR="00626001" w:rsidRPr="00B0658A" w:rsidRDefault="00626001" w:rsidP="00004A41">
            <w:pPr>
              <w:spacing w:after="0" w:line="240" w:lineRule="auto"/>
              <w:jc w:val="center"/>
              <w:rPr>
                <w:rFonts w:ascii="Times New Roman" w:hAnsi="Times New Roman"/>
                <w:sz w:val="18"/>
                <w:szCs w:val="18"/>
              </w:rPr>
            </w:pPr>
          </w:p>
        </w:tc>
        <w:tc>
          <w:tcPr>
            <w:tcW w:w="803" w:type="dxa"/>
            <w:shd w:val="clear" w:color="000000" w:fill="FFFFFF"/>
            <w:vAlign w:val="center"/>
            <w:hideMark/>
          </w:tcPr>
          <w:p w14:paraId="685EE66A" w14:textId="77777777" w:rsidR="00626001" w:rsidRPr="00B0658A" w:rsidRDefault="00626001" w:rsidP="00004A41">
            <w:pPr>
              <w:spacing w:after="0" w:line="240" w:lineRule="auto"/>
              <w:jc w:val="center"/>
              <w:rPr>
                <w:rFonts w:ascii="Times New Roman" w:hAnsi="Times New Roman"/>
                <w:sz w:val="18"/>
                <w:szCs w:val="18"/>
              </w:rPr>
            </w:pPr>
          </w:p>
        </w:tc>
        <w:tc>
          <w:tcPr>
            <w:tcW w:w="803" w:type="dxa"/>
            <w:shd w:val="clear" w:color="000000" w:fill="FFFFFF"/>
            <w:vAlign w:val="center"/>
            <w:hideMark/>
          </w:tcPr>
          <w:p w14:paraId="1BBA6F10" w14:textId="77777777" w:rsidR="00626001" w:rsidRPr="00B0658A" w:rsidRDefault="00626001" w:rsidP="00004A41">
            <w:pPr>
              <w:spacing w:after="0" w:line="240" w:lineRule="auto"/>
              <w:jc w:val="center"/>
              <w:rPr>
                <w:rFonts w:ascii="Times New Roman" w:hAnsi="Times New Roman"/>
                <w:sz w:val="18"/>
                <w:szCs w:val="18"/>
              </w:rPr>
            </w:pPr>
          </w:p>
        </w:tc>
        <w:tc>
          <w:tcPr>
            <w:tcW w:w="804" w:type="dxa"/>
            <w:shd w:val="clear" w:color="000000" w:fill="FFFFFF"/>
            <w:vAlign w:val="center"/>
            <w:hideMark/>
          </w:tcPr>
          <w:p w14:paraId="5A438AA2" w14:textId="77777777" w:rsidR="00626001" w:rsidRPr="00B0658A" w:rsidRDefault="00626001" w:rsidP="00004A41">
            <w:pPr>
              <w:spacing w:after="0" w:line="240" w:lineRule="auto"/>
              <w:jc w:val="center"/>
              <w:rPr>
                <w:rFonts w:ascii="Times New Roman" w:hAnsi="Times New Roman"/>
                <w:sz w:val="18"/>
                <w:szCs w:val="18"/>
              </w:rPr>
            </w:pPr>
          </w:p>
        </w:tc>
        <w:tc>
          <w:tcPr>
            <w:tcW w:w="1530" w:type="dxa"/>
            <w:shd w:val="clear" w:color="000000" w:fill="FFFFFF"/>
            <w:vAlign w:val="center"/>
          </w:tcPr>
          <w:p w14:paraId="6C2A502D" w14:textId="77777777" w:rsidR="00626001" w:rsidRPr="00B0658A" w:rsidRDefault="00626001" w:rsidP="00004A41">
            <w:pPr>
              <w:spacing w:after="0" w:line="240" w:lineRule="auto"/>
              <w:jc w:val="center"/>
              <w:rPr>
                <w:rFonts w:ascii="Times New Roman" w:hAnsi="Times New Roman"/>
                <w:sz w:val="18"/>
                <w:szCs w:val="18"/>
              </w:rPr>
            </w:pPr>
          </w:p>
        </w:tc>
      </w:tr>
      <w:tr w:rsidR="00F52FED" w:rsidRPr="00B0658A" w14:paraId="1B154AAD" w14:textId="77777777" w:rsidTr="000103BB">
        <w:trPr>
          <w:trHeight w:val="20"/>
        </w:trPr>
        <w:tc>
          <w:tcPr>
            <w:tcW w:w="578" w:type="dxa"/>
            <w:shd w:val="clear" w:color="000000" w:fill="FFFFFF"/>
            <w:vAlign w:val="center"/>
          </w:tcPr>
          <w:p w14:paraId="36D10B51" w14:textId="77777777" w:rsidR="00626001" w:rsidRPr="00B0658A" w:rsidRDefault="00626001" w:rsidP="00004A41">
            <w:pPr>
              <w:spacing w:after="0" w:line="240" w:lineRule="auto"/>
              <w:jc w:val="center"/>
              <w:rPr>
                <w:rFonts w:ascii="Times New Roman" w:hAnsi="Times New Roman"/>
                <w:sz w:val="18"/>
                <w:szCs w:val="18"/>
              </w:rPr>
            </w:pPr>
            <w:r w:rsidRPr="00B0658A">
              <w:rPr>
                <w:rFonts w:ascii="Times New Roman" w:hAnsi="Times New Roman"/>
                <w:sz w:val="18"/>
                <w:szCs w:val="18"/>
              </w:rPr>
              <w:t>5.16</w:t>
            </w:r>
          </w:p>
        </w:tc>
        <w:tc>
          <w:tcPr>
            <w:tcW w:w="3812" w:type="dxa"/>
            <w:shd w:val="clear" w:color="auto" w:fill="auto"/>
            <w:vAlign w:val="center"/>
            <w:hideMark/>
          </w:tcPr>
          <w:p w14:paraId="0CABF54D" w14:textId="77777777" w:rsidR="00626001" w:rsidRPr="00B0658A" w:rsidRDefault="00626001" w:rsidP="00004A41">
            <w:pPr>
              <w:spacing w:after="0" w:line="240" w:lineRule="auto"/>
              <w:rPr>
                <w:rFonts w:ascii="Times New Roman" w:hAnsi="Times New Roman"/>
                <w:sz w:val="18"/>
                <w:szCs w:val="18"/>
              </w:rPr>
            </w:pPr>
            <w:r w:rsidRPr="00B0658A">
              <w:rPr>
                <w:rFonts w:ascii="Times New Roman" w:hAnsi="Times New Roman"/>
                <w:sz w:val="18"/>
                <w:szCs w:val="18"/>
              </w:rPr>
              <w:t>Прикладное программное обеспечение/ Автоматизированные информационные системы оформления воздушных перевозок</w:t>
            </w:r>
          </w:p>
        </w:tc>
        <w:tc>
          <w:tcPr>
            <w:tcW w:w="1842" w:type="dxa"/>
            <w:shd w:val="clear" w:color="000000" w:fill="FFFFFF"/>
            <w:hideMark/>
          </w:tcPr>
          <w:p w14:paraId="3BEE3A67" w14:textId="77777777" w:rsidR="00626001" w:rsidRPr="00B0658A" w:rsidRDefault="00626001" w:rsidP="00004A41">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79" w:type="dxa"/>
            <w:shd w:val="clear" w:color="000000" w:fill="FFFFFF"/>
            <w:vAlign w:val="center"/>
          </w:tcPr>
          <w:p w14:paraId="3D435A6F"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000000" w:fill="FFFFFF"/>
            <w:vAlign w:val="center"/>
            <w:hideMark/>
          </w:tcPr>
          <w:p w14:paraId="5BF12612"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000000" w:fill="FFFFFF"/>
            <w:vAlign w:val="center"/>
            <w:hideMark/>
          </w:tcPr>
          <w:p w14:paraId="4D4E60E5"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000000" w:fill="FFFFFF"/>
            <w:vAlign w:val="center"/>
            <w:hideMark/>
          </w:tcPr>
          <w:p w14:paraId="52E821A8" w14:textId="77777777" w:rsidR="00626001" w:rsidRPr="00B0658A" w:rsidRDefault="00626001" w:rsidP="00004A41">
            <w:pPr>
              <w:spacing w:after="0" w:line="240" w:lineRule="auto"/>
              <w:jc w:val="center"/>
              <w:rPr>
                <w:rFonts w:ascii="Times New Roman" w:hAnsi="Times New Roman"/>
                <w:sz w:val="18"/>
                <w:szCs w:val="18"/>
              </w:rPr>
            </w:pPr>
          </w:p>
        </w:tc>
        <w:tc>
          <w:tcPr>
            <w:tcW w:w="992" w:type="dxa"/>
            <w:shd w:val="clear" w:color="000000" w:fill="FFFFFF"/>
            <w:vAlign w:val="center"/>
          </w:tcPr>
          <w:p w14:paraId="2E601C86" w14:textId="77777777" w:rsidR="00626001" w:rsidRPr="00B0658A" w:rsidRDefault="00626001" w:rsidP="00004A41">
            <w:pPr>
              <w:spacing w:after="0" w:line="240" w:lineRule="auto"/>
              <w:jc w:val="center"/>
              <w:rPr>
                <w:rFonts w:ascii="Times New Roman" w:hAnsi="Times New Roman"/>
                <w:sz w:val="18"/>
                <w:szCs w:val="18"/>
              </w:rPr>
            </w:pPr>
          </w:p>
        </w:tc>
        <w:tc>
          <w:tcPr>
            <w:tcW w:w="803" w:type="dxa"/>
            <w:shd w:val="clear" w:color="000000" w:fill="FFFFFF"/>
            <w:vAlign w:val="center"/>
            <w:hideMark/>
          </w:tcPr>
          <w:p w14:paraId="38330923" w14:textId="77777777" w:rsidR="00626001" w:rsidRPr="00B0658A" w:rsidRDefault="00626001" w:rsidP="00004A41">
            <w:pPr>
              <w:spacing w:after="0" w:line="240" w:lineRule="auto"/>
              <w:jc w:val="center"/>
              <w:rPr>
                <w:rFonts w:ascii="Times New Roman" w:hAnsi="Times New Roman"/>
                <w:sz w:val="18"/>
                <w:szCs w:val="18"/>
              </w:rPr>
            </w:pPr>
          </w:p>
        </w:tc>
        <w:tc>
          <w:tcPr>
            <w:tcW w:w="803" w:type="dxa"/>
            <w:shd w:val="clear" w:color="000000" w:fill="FFFFFF"/>
            <w:vAlign w:val="center"/>
            <w:hideMark/>
          </w:tcPr>
          <w:p w14:paraId="18F24FFF" w14:textId="77777777" w:rsidR="00626001" w:rsidRPr="00B0658A" w:rsidRDefault="00626001" w:rsidP="00004A41">
            <w:pPr>
              <w:spacing w:after="0" w:line="240" w:lineRule="auto"/>
              <w:jc w:val="center"/>
              <w:rPr>
                <w:rFonts w:ascii="Times New Roman" w:hAnsi="Times New Roman"/>
                <w:sz w:val="18"/>
                <w:szCs w:val="18"/>
              </w:rPr>
            </w:pPr>
          </w:p>
        </w:tc>
        <w:tc>
          <w:tcPr>
            <w:tcW w:w="804" w:type="dxa"/>
            <w:shd w:val="clear" w:color="000000" w:fill="FFFFFF"/>
            <w:vAlign w:val="center"/>
            <w:hideMark/>
          </w:tcPr>
          <w:p w14:paraId="22F399AB" w14:textId="77777777" w:rsidR="00626001" w:rsidRPr="00B0658A" w:rsidRDefault="00626001" w:rsidP="00004A41">
            <w:pPr>
              <w:spacing w:after="0" w:line="240" w:lineRule="auto"/>
              <w:jc w:val="center"/>
              <w:rPr>
                <w:rFonts w:ascii="Times New Roman" w:hAnsi="Times New Roman"/>
                <w:sz w:val="18"/>
                <w:szCs w:val="18"/>
              </w:rPr>
            </w:pPr>
          </w:p>
        </w:tc>
        <w:tc>
          <w:tcPr>
            <w:tcW w:w="1530" w:type="dxa"/>
            <w:shd w:val="clear" w:color="000000" w:fill="FFFFFF"/>
            <w:vAlign w:val="center"/>
          </w:tcPr>
          <w:p w14:paraId="765AF927" w14:textId="77777777" w:rsidR="00626001" w:rsidRPr="00B0658A" w:rsidRDefault="00626001" w:rsidP="00004A41">
            <w:pPr>
              <w:spacing w:after="0" w:line="240" w:lineRule="auto"/>
              <w:jc w:val="center"/>
              <w:rPr>
                <w:rFonts w:ascii="Times New Roman" w:hAnsi="Times New Roman"/>
                <w:sz w:val="18"/>
                <w:szCs w:val="18"/>
              </w:rPr>
            </w:pPr>
          </w:p>
        </w:tc>
      </w:tr>
      <w:tr w:rsidR="00F52FED" w:rsidRPr="00B0658A" w14:paraId="17B48E05" w14:textId="77777777" w:rsidTr="000103BB">
        <w:trPr>
          <w:trHeight w:val="20"/>
        </w:trPr>
        <w:tc>
          <w:tcPr>
            <w:tcW w:w="578" w:type="dxa"/>
            <w:shd w:val="clear" w:color="auto" w:fill="auto"/>
            <w:vAlign w:val="center"/>
          </w:tcPr>
          <w:p w14:paraId="1ADE8BEB" w14:textId="77777777" w:rsidR="00626001" w:rsidRPr="00B0658A" w:rsidRDefault="00626001" w:rsidP="00004A41">
            <w:pPr>
              <w:spacing w:after="0" w:line="240" w:lineRule="auto"/>
              <w:jc w:val="center"/>
              <w:rPr>
                <w:rFonts w:ascii="Times New Roman" w:hAnsi="Times New Roman"/>
                <w:sz w:val="18"/>
                <w:szCs w:val="18"/>
              </w:rPr>
            </w:pPr>
            <w:r w:rsidRPr="00B0658A">
              <w:rPr>
                <w:rFonts w:ascii="Times New Roman" w:hAnsi="Times New Roman"/>
                <w:sz w:val="18"/>
                <w:szCs w:val="18"/>
              </w:rPr>
              <w:t>6.1</w:t>
            </w:r>
          </w:p>
        </w:tc>
        <w:tc>
          <w:tcPr>
            <w:tcW w:w="3812" w:type="dxa"/>
            <w:shd w:val="clear" w:color="auto" w:fill="auto"/>
            <w:vAlign w:val="center"/>
            <w:hideMark/>
          </w:tcPr>
          <w:p w14:paraId="66AA6B45" w14:textId="77777777" w:rsidR="00626001" w:rsidRPr="00B0658A" w:rsidRDefault="00626001" w:rsidP="00004A41">
            <w:pPr>
              <w:spacing w:after="0" w:line="240" w:lineRule="auto"/>
              <w:rPr>
                <w:rFonts w:ascii="Times New Roman" w:hAnsi="Times New Roman"/>
                <w:sz w:val="18"/>
                <w:szCs w:val="18"/>
              </w:rPr>
            </w:pPr>
            <w:r w:rsidRPr="00B0658A">
              <w:rPr>
                <w:rFonts w:ascii="Times New Roman" w:hAnsi="Times New Roman"/>
                <w:sz w:val="18"/>
                <w:szCs w:val="18"/>
              </w:rPr>
              <w:t>Офисные приложения/ Файловые менеджеры</w:t>
            </w:r>
          </w:p>
        </w:tc>
        <w:tc>
          <w:tcPr>
            <w:tcW w:w="1842" w:type="dxa"/>
            <w:shd w:val="clear" w:color="000000" w:fill="FFFFFF"/>
            <w:hideMark/>
          </w:tcPr>
          <w:p w14:paraId="32E2190C" w14:textId="77777777" w:rsidR="00626001" w:rsidRPr="00B0658A" w:rsidRDefault="00626001" w:rsidP="00004A41">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79" w:type="dxa"/>
            <w:shd w:val="clear" w:color="000000" w:fill="FFFFFF"/>
            <w:vAlign w:val="center"/>
          </w:tcPr>
          <w:p w14:paraId="26E7B92D"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000000" w:fill="FFFFFF"/>
            <w:vAlign w:val="center"/>
            <w:hideMark/>
          </w:tcPr>
          <w:p w14:paraId="22B7C8B1"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000000" w:fill="FFFFFF"/>
            <w:vAlign w:val="center"/>
            <w:hideMark/>
          </w:tcPr>
          <w:p w14:paraId="7F9B03DE"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000000" w:fill="FFFFFF"/>
            <w:vAlign w:val="center"/>
            <w:hideMark/>
          </w:tcPr>
          <w:p w14:paraId="78F0461E" w14:textId="77777777" w:rsidR="00626001" w:rsidRPr="00B0658A" w:rsidRDefault="00626001" w:rsidP="00004A41">
            <w:pPr>
              <w:spacing w:after="0" w:line="240" w:lineRule="auto"/>
              <w:jc w:val="center"/>
              <w:rPr>
                <w:rFonts w:ascii="Times New Roman" w:hAnsi="Times New Roman"/>
                <w:sz w:val="18"/>
                <w:szCs w:val="18"/>
              </w:rPr>
            </w:pPr>
          </w:p>
        </w:tc>
        <w:tc>
          <w:tcPr>
            <w:tcW w:w="992" w:type="dxa"/>
            <w:shd w:val="clear" w:color="000000" w:fill="FFFFFF"/>
            <w:vAlign w:val="center"/>
          </w:tcPr>
          <w:p w14:paraId="34BEF173" w14:textId="77777777" w:rsidR="00626001" w:rsidRPr="00B0658A" w:rsidRDefault="00626001" w:rsidP="00004A41">
            <w:pPr>
              <w:spacing w:after="0" w:line="240" w:lineRule="auto"/>
              <w:jc w:val="center"/>
              <w:rPr>
                <w:rFonts w:ascii="Times New Roman" w:hAnsi="Times New Roman"/>
                <w:sz w:val="18"/>
                <w:szCs w:val="18"/>
              </w:rPr>
            </w:pPr>
          </w:p>
        </w:tc>
        <w:tc>
          <w:tcPr>
            <w:tcW w:w="803" w:type="dxa"/>
            <w:shd w:val="clear" w:color="000000" w:fill="FFFFFF"/>
            <w:vAlign w:val="center"/>
            <w:hideMark/>
          </w:tcPr>
          <w:p w14:paraId="1C4188B2" w14:textId="77777777" w:rsidR="00626001" w:rsidRPr="00B0658A" w:rsidRDefault="00626001" w:rsidP="00004A41">
            <w:pPr>
              <w:spacing w:after="0" w:line="240" w:lineRule="auto"/>
              <w:jc w:val="center"/>
              <w:rPr>
                <w:rFonts w:ascii="Times New Roman" w:hAnsi="Times New Roman"/>
                <w:sz w:val="18"/>
                <w:szCs w:val="18"/>
              </w:rPr>
            </w:pPr>
          </w:p>
        </w:tc>
        <w:tc>
          <w:tcPr>
            <w:tcW w:w="803" w:type="dxa"/>
            <w:shd w:val="clear" w:color="000000" w:fill="FFFFFF"/>
            <w:vAlign w:val="center"/>
            <w:hideMark/>
          </w:tcPr>
          <w:p w14:paraId="1925C5D2" w14:textId="77777777" w:rsidR="00626001" w:rsidRPr="00B0658A" w:rsidRDefault="00626001" w:rsidP="00004A41">
            <w:pPr>
              <w:spacing w:after="0" w:line="240" w:lineRule="auto"/>
              <w:jc w:val="center"/>
              <w:rPr>
                <w:rFonts w:ascii="Times New Roman" w:hAnsi="Times New Roman"/>
                <w:sz w:val="18"/>
                <w:szCs w:val="18"/>
              </w:rPr>
            </w:pPr>
          </w:p>
        </w:tc>
        <w:tc>
          <w:tcPr>
            <w:tcW w:w="804" w:type="dxa"/>
            <w:shd w:val="clear" w:color="000000" w:fill="FFFFFF"/>
            <w:vAlign w:val="center"/>
            <w:hideMark/>
          </w:tcPr>
          <w:p w14:paraId="5922C2C2" w14:textId="77777777" w:rsidR="00626001" w:rsidRPr="00B0658A" w:rsidRDefault="00626001" w:rsidP="00004A41">
            <w:pPr>
              <w:spacing w:after="0" w:line="240" w:lineRule="auto"/>
              <w:jc w:val="center"/>
              <w:rPr>
                <w:rFonts w:ascii="Times New Roman" w:hAnsi="Times New Roman"/>
                <w:sz w:val="18"/>
                <w:szCs w:val="18"/>
              </w:rPr>
            </w:pPr>
          </w:p>
        </w:tc>
        <w:tc>
          <w:tcPr>
            <w:tcW w:w="1530" w:type="dxa"/>
            <w:shd w:val="clear" w:color="000000" w:fill="FFFFFF"/>
            <w:vAlign w:val="center"/>
          </w:tcPr>
          <w:p w14:paraId="25967288" w14:textId="77777777" w:rsidR="00626001" w:rsidRPr="00B0658A" w:rsidRDefault="00626001" w:rsidP="00004A41">
            <w:pPr>
              <w:spacing w:after="0" w:line="240" w:lineRule="auto"/>
              <w:jc w:val="center"/>
              <w:rPr>
                <w:rFonts w:ascii="Times New Roman" w:hAnsi="Times New Roman"/>
                <w:sz w:val="18"/>
                <w:szCs w:val="18"/>
              </w:rPr>
            </w:pPr>
          </w:p>
        </w:tc>
      </w:tr>
      <w:tr w:rsidR="00F52FED" w:rsidRPr="00B0658A" w14:paraId="07BA17A8" w14:textId="77777777" w:rsidTr="000103BB">
        <w:trPr>
          <w:trHeight w:val="20"/>
        </w:trPr>
        <w:tc>
          <w:tcPr>
            <w:tcW w:w="578" w:type="dxa"/>
            <w:shd w:val="clear" w:color="000000" w:fill="FFFFFF"/>
            <w:vAlign w:val="center"/>
          </w:tcPr>
          <w:p w14:paraId="04B91BA7" w14:textId="77777777" w:rsidR="00626001" w:rsidRPr="00B0658A" w:rsidRDefault="00626001" w:rsidP="00004A41">
            <w:pPr>
              <w:spacing w:after="0" w:line="240" w:lineRule="auto"/>
              <w:jc w:val="center"/>
              <w:rPr>
                <w:rFonts w:ascii="Times New Roman" w:hAnsi="Times New Roman"/>
                <w:sz w:val="18"/>
                <w:szCs w:val="18"/>
              </w:rPr>
            </w:pPr>
            <w:r w:rsidRPr="00B0658A">
              <w:rPr>
                <w:rFonts w:ascii="Times New Roman" w:hAnsi="Times New Roman"/>
                <w:sz w:val="18"/>
                <w:szCs w:val="18"/>
              </w:rPr>
              <w:t>6.2</w:t>
            </w:r>
          </w:p>
        </w:tc>
        <w:tc>
          <w:tcPr>
            <w:tcW w:w="3812" w:type="dxa"/>
            <w:shd w:val="clear" w:color="auto" w:fill="auto"/>
            <w:vAlign w:val="center"/>
            <w:hideMark/>
          </w:tcPr>
          <w:p w14:paraId="4C66943C" w14:textId="77777777" w:rsidR="00626001" w:rsidRPr="00B0658A" w:rsidRDefault="00626001" w:rsidP="00004A41">
            <w:pPr>
              <w:spacing w:after="0" w:line="240" w:lineRule="auto"/>
              <w:rPr>
                <w:rFonts w:ascii="Times New Roman" w:hAnsi="Times New Roman"/>
                <w:sz w:val="18"/>
                <w:szCs w:val="18"/>
              </w:rPr>
            </w:pPr>
            <w:r w:rsidRPr="00B0658A">
              <w:rPr>
                <w:rFonts w:ascii="Times New Roman" w:hAnsi="Times New Roman"/>
                <w:sz w:val="18"/>
                <w:szCs w:val="18"/>
              </w:rPr>
              <w:t>Офисные приложения/ Коммуникационное программное обеспечение</w:t>
            </w:r>
          </w:p>
        </w:tc>
        <w:tc>
          <w:tcPr>
            <w:tcW w:w="1842" w:type="dxa"/>
            <w:shd w:val="clear" w:color="000000" w:fill="FFFFFF"/>
            <w:hideMark/>
          </w:tcPr>
          <w:p w14:paraId="16518EFA" w14:textId="77777777" w:rsidR="00626001" w:rsidRPr="00B0658A" w:rsidRDefault="00626001" w:rsidP="00004A41">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79" w:type="dxa"/>
            <w:shd w:val="clear" w:color="000000" w:fill="FFFFFF"/>
            <w:vAlign w:val="center"/>
          </w:tcPr>
          <w:p w14:paraId="51E6C3BE"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000000" w:fill="FFFFFF"/>
            <w:vAlign w:val="center"/>
            <w:hideMark/>
          </w:tcPr>
          <w:p w14:paraId="1CF02F56"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000000" w:fill="FFFFFF"/>
            <w:vAlign w:val="center"/>
            <w:hideMark/>
          </w:tcPr>
          <w:p w14:paraId="4554AB84"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000000" w:fill="FFFFFF"/>
            <w:vAlign w:val="center"/>
            <w:hideMark/>
          </w:tcPr>
          <w:p w14:paraId="5C44C669" w14:textId="77777777" w:rsidR="00626001" w:rsidRPr="00B0658A" w:rsidRDefault="00626001" w:rsidP="00004A41">
            <w:pPr>
              <w:spacing w:after="0" w:line="240" w:lineRule="auto"/>
              <w:jc w:val="center"/>
              <w:rPr>
                <w:rFonts w:ascii="Times New Roman" w:hAnsi="Times New Roman"/>
                <w:sz w:val="18"/>
                <w:szCs w:val="18"/>
              </w:rPr>
            </w:pPr>
          </w:p>
        </w:tc>
        <w:tc>
          <w:tcPr>
            <w:tcW w:w="992" w:type="dxa"/>
            <w:shd w:val="clear" w:color="000000" w:fill="FFFFFF"/>
            <w:vAlign w:val="center"/>
          </w:tcPr>
          <w:p w14:paraId="557C93B8" w14:textId="77777777" w:rsidR="00626001" w:rsidRPr="00B0658A" w:rsidRDefault="00626001" w:rsidP="00004A41">
            <w:pPr>
              <w:spacing w:after="0" w:line="240" w:lineRule="auto"/>
              <w:jc w:val="center"/>
              <w:rPr>
                <w:rFonts w:ascii="Times New Roman" w:hAnsi="Times New Roman"/>
                <w:sz w:val="18"/>
                <w:szCs w:val="18"/>
              </w:rPr>
            </w:pPr>
          </w:p>
        </w:tc>
        <w:tc>
          <w:tcPr>
            <w:tcW w:w="803" w:type="dxa"/>
            <w:shd w:val="clear" w:color="000000" w:fill="FFFFFF"/>
            <w:vAlign w:val="center"/>
            <w:hideMark/>
          </w:tcPr>
          <w:p w14:paraId="273BD110" w14:textId="77777777" w:rsidR="00626001" w:rsidRPr="00B0658A" w:rsidRDefault="00626001" w:rsidP="00004A41">
            <w:pPr>
              <w:spacing w:after="0" w:line="240" w:lineRule="auto"/>
              <w:jc w:val="center"/>
              <w:rPr>
                <w:rFonts w:ascii="Times New Roman" w:hAnsi="Times New Roman"/>
                <w:sz w:val="18"/>
                <w:szCs w:val="18"/>
              </w:rPr>
            </w:pPr>
          </w:p>
        </w:tc>
        <w:tc>
          <w:tcPr>
            <w:tcW w:w="803" w:type="dxa"/>
            <w:shd w:val="clear" w:color="000000" w:fill="FFFFFF"/>
            <w:vAlign w:val="center"/>
            <w:hideMark/>
          </w:tcPr>
          <w:p w14:paraId="3CD016C6" w14:textId="77777777" w:rsidR="00626001" w:rsidRPr="00B0658A" w:rsidRDefault="00626001" w:rsidP="00004A41">
            <w:pPr>
              <w:spacing w:after="0" w:line="240" w:lineRule="auto"/>
              <w:jc w:val="center"/>
              <w:rPr>
                <w:rFonts w:ascii="Times New Roman" w:hAnsi="Times New Roman"/>
                <w:sz w:val="18"/>
                <w:szCs w:val="18"/>
              </w:rPr>
            </w:pPr>
          </w:p>
        </w:tc>
        <w:tc>
          <w:tcPr>
            <w:tcW w:w="804" w:type="dxa"/>
            <w:shd w:val="clear" w:color="000000" w:fill="FFFFFF"/>
            <w:vAlign w:val="center"/>
            <w:hideMark/>
          </w:tcPr>
          <w:p w14:paraId="16067A1B" w14:textId="77777777" w:rsidR="00626001" w:rsidRPr="00B0658A" w:rsidRDefault="00626001" w:rsidP="00004A41">
            <w:pPr>
              <w:spacing w:after="0" w:line="240" w:lineRule="auto"/>
              <w:jc w:val="center"/>
              <w:rPr>
                <w:rFonts w:ascii="Times New Roman" w:hAnsi="Times New Roman"/>
                <w:sz w:val="18"/>
                <w:szCs w:val="18"/>
              </w:rPr>
            </w:pPr>
          </w:p>
        </w:tc>
        <w:tc>
          <w:tcPr>
            <w:tcW w:w="1530" w:type="dxa"/>
            <w:shd w:val="clear" w:color="000000" w:fill="FFFFFF"/>
            <w:vAlign w:val="center"/>
          </w:tcPr>
          <w:p w14:paraId="11871EED" w14:textId="77777777" w:rsidR="00626001" w:rsidRPr="00B0658A" w:rsidRDefault="00626001" w:rsidP="00004A41">
            <w:pPr>
              <w:spacing w:after="0" w:line="240" w:lineRule="auto"/>
              <w:jc w:val="center"/>
              <w:rPr>
                <w:rFonts w:ascii="Times New Roman" w:hAnsi="Times New Roman"/>
                <w:sz w:val="18"/>
                <w:szCs w:val="18"/>
              </w:rPr>
            </w:pPr>
          </w:p>
        </w:tc>
      </w:tr>
      <w:tr w:rsidR="00F52FED" w:rsidRPr="00B0658A" w14:paraId="5679452F" w14:textId="77777777" w:rsidTr="000103BB">
        <w:trPr>
          <w:trHeight w:val="20"/>
        </w:trPr>
        <w:tc>
          <w:tcPr>
            <w:tcW w:w="578" w:type="dxa"/>
            <w:shd w:val="clear" w:color="000000" w:fill="FFFFFF"/>
            <w:vAlign w:val="center"/>
          </w:tcPr>
          <w:p w14:paraId="092A4C4B" w14:textId="77777777" w:rsidR="00626001" w:rsidRPr="00B0658A" w:rsidRDefault="00626001" w:rsidP="00004A41">
            <w:pPr>
              <w:spacing w:after="0" w:line="240" w:lineRule="auto"/>
              <w:jc w:val="center"/>
              <w:rPr>
                <w:rFonts w:ascii="Times New Roman" w:hAnsi="Times New Roman"/>
                <w:sz w:val="18"/>
                <w:szCs w:val="18"/>
              </w:rPr>
            </w:pPr>
            <w:r w:rsidRPr="00B0658A">
              <w:rPr>
                <w:rFonts w:ascii="Times New Roman" w:hAnsi="Times New Roman"/>
                <w:sz w:val="18"/>
                <w:szCs w:val="18"/>
              </w:rPr>
              <w:t>6.3</w:t>
            </w:r>
          </w:p>
        </w:tc>
        <w:tc>
          <w:tcPr>
            <w:tcW w:w="3812" w:type="dxa"/>
            <w:shd w:val="clear" w:color="auto" w:fill="auto"/>
            <w:vAlign w:val="center"/>
            <w:hideMark/>
          </w:tcPr>
          <w:p w14:paraId="36BD9EEE" w14:textId="77777777" w:rsidR="00626001" w:rsidRPr="00B0658A" w:rsidRDefault="00626001" w:rsidP="00004A41">
            <w:pPr>
              <w:spacing w:after="0" w:line="240" w:lineRule="auto"/>
              <w:rPr>
                <w:rFonts w:ascii="Times New Roman" w:hAnsi="Times New Roman"/>
                <w:sz w:val="18"/>
                <w:szCs w:val="18"/>
              </w:rPr>
            </w:pPr>
            <w:r w:rsidRPr="00B0658A">
              <w:rPr>
                <w:rFonts w:ascii="Times New Roman" w:hAnsi="Times New Roman"/>
                <w:sz w:val="18"/>
                <w:szCs w:val="18"/>
              </w:rPr>
              <w:t>Офисные приложения/ Офисные пакеты</w:t>
            </w:r>
          </w:p>
        </w:tc>
        <w:tc>
          <w:tcPr>
            <w:tcW w:w="1842" w:type="dxa"/>
            <w:shd w:val="clear" w:color="000000" w:fill="FFFFFF"/>
            <w:hideMark/>
          </w:tcPr>
          <w:p w14:paraId="2386E774" w14:textId="77777777" w:rsidR="00626001" w:rsidRPr="00B0658A" w:rsidRDefault="00626001" w:rsidP="00004A41">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79" w:type="dxa"/>
            <w:shd w:val="clear" w:color="000000" w:fill="FFFFFF"/>
            <w:vAlign w:val="center"/>
          </w:tcPr>
          <w:p w14:paraId="096A2290"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000000" w:fill="FFFFFF"/>
            <w:vAlign w:val="center"/>
            <w:hideMark/>
          </w:tcPr>
          <w:p w14:paraId="47BCA47C"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000000" w:fill="FFFFFF"/>
            <w:vAlign w:val="center"/>
            <w:hideMark/>
          </w:tcPr>
          <w:p w14:paraId="2AFF0F67"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000000" w:fill="FFFFFF"/>
            <w:vAlign w:val="center"/>
            <w:hideMark/>
          </w:tcPr>
          <w:p w14:paraId="15FE9A8B" w14:textId="77777777" w:rsidR="00626001" w:rsidRPr="00B0658A" w:rsidRDefault="00626001" w:rsidP="00004A41">
            <w:pPr>
              <w:spacing w:after="0" w:line="240" w:lineRule="auto"/>
              <w:jc w:val="center"/>
              <w:rPr>
                <w:rFonts w:ascii="Times New Roman" w:hAnsi="Times New Roman"/>
                <w:sz w:val="18"/>
                <w:szCs w:val="18"/>
              </w:rPr>
            </w:pPr>
          </w:p>
        </w:tc>
        <w:tc>
          <w:tcPr>
            <w:tcW w:w="992" w:type="dxa"/>
            <w:shd w:val="clear" w:color="000000" w:fill="FFFFFF"/>
            <w:vAlign w:val="center"/>
          </w:tcPr>
          <w:p w14:paraId="637B7BD8" w14:textId="77777777" w:rsidR="00626001" w:rsidRPr="00B0658A" w:rsidRDefault="00626001" w:rsidP="00004A41">
            <w:pPr>
              <w:spacing w:after="0" w:line="240" w:lineRule="auto"/>
              <w:jc w:val="center"/>
              <w:rPr>
                <w:rFonts w:ascii="Times New Roman" w:hAnsi="Times New Roman"/>
                <w:sz w:val="18"/>
                <w:szCs w:val="18"/>
              </w:rPr>
            </w:pPr>
          </w:p>
        </w:tc>
        <w:tc>
          <w:tcPr>
            <w:tcW w:w="803" w:type="dxa"/>
            <w:shd w:val="clear" w:color="000000" w:fill="FFFFFF"/>
            <w:vAlign w:val="center"/>
            <w:hideMark/>
          </w:tcPr>
          <w:p w14:paraId="134AF3E6" w14:textId="77777777" w:rsidR="00626001" w:rsidRPr="00B0658A" w:rsidRDefault="00626001" w:rsidP="00004A41">
            <w:pPr>
              <w:spacing w:after="0" w:line="240" w:lineRule="auto"/>
              <w:jc w:val="center"/>
              <w:rPr>
                <w:rFonts w:ascii="Times New Roman" w:hAnsi="Times New Roman"/>
                <w:sz w:val="18"/>
                <w:szCs w:val="18"/>
              </w:rPr>
            </w:pPr>
          </w:p>
        </w:tc>
        <w:tc>
          <w:tcPr>
            <w:tcW w:w="803" w:type="dxa"/>
            <w:shd w:val="clear" w:color="000000" w:fill="FFFFFF"/>
            <w:vAlign w:val="center"/>
            <w:hideMark/>
          </w:tcPr>
          <w:p w14:paraId="3D7B7DA5" w14:textId="77777777" w:rsidR="00626001" w:rsidRPr="00B0658A" w:rsidRDefault="00626001" w:rsidP="00004A41">
            <w:pPr>
              <w:spacing w:after="0" w:line="240" w:lineRule="auto"/>
              <w:jc w:val="center"/>
              <w:rPr>
                <w:rFonts w:ascii="Times New Roman" w:hAnsi="Times New Roman"/>
                <w:sz w:val="18"/>
                <w:szCs w:val="18"/>
              </w:rPr>
            </w:pPr>
          </w:p>
        </w:tc>
        <w:tc>
          <w:tcPr>
            <w:tcW w:w="804" w:type="dxa"/>
            <w:shd w:val="clear" w:color="000000" w:fill="FFFFFF"/>
            <w:vAlign w:val="center"/>
            <w:hideMark/>
          </w:tcPr>
          <w:p w14:paraId="458FFA88" w14:textId="77777777" w:rsidR="00626001" w:rsidRPr="00B0658A" w:rsidRDefault="00626001" w:rsidP="00004A41">
            <w:pPr>
              <w:spacing w:after="0" w:line="240" w:lineRule="auto"/>
              <w:jc w:val="center"/>
              <w:rPr>
                <w:rFonts w:ascii="Times New Roman" w:hAnsi="Times New Roman"/>
                <w:sz w:val="18"/>
                <w:szCs w:val="18"/>
              </w:rPr>
            </w:pPr>
          </w:p>
        </w:tc>
        <w:tc>
          <w:tcPr>
            <w:tcW w:w="1530" w:type="dxa"/>
            <w:shd w:val="clear" w:color="000000" w:fill="FFFFFF"/>
            <w:vAlign w:val="center"/>
          </w:tcPr>
          <w:p w14:paraId="3F8B1A35" w14:textId="77777777" w:rsidR="00626001" w:rsidRPr="00B0658A" w:rsidRDefault="00626001" w:rsidP="00004A41">
            <w:pPr>
              <w:spacing w:after="0" w:line="240" w:lineRule="auto"/>
              <w:jc w:val="center"/>
              <w:rPr>
                <w:rFonts w:ascii="Times New Roman" w:hAnsi="Times New Roman"/>
                <w:sz w:val="18"/>
                <w:szCs w:val="18"/>
              </w:rPr>
            </w:pPr>
          </w:p>
        </w:tc>
      </w:tr>
      <w:tr w:rsidR="00F52FED" w:rsidRPr="00B0658A" w14:paraId="42E8F5EB" w14:textId="77777777" w:rsidTr="000103BB">
        <w:trPr>
          <w:trHeight w:val="20"/>
        </w:trPr>
        <w:tc>
          <w:tcPr>
            <w:tcW w:w="578" w:type="dxa"/>
            <w:shd w:val="clear" w:color="000000" w:fill="FFFFFF"/>
            <w:vAlign w:val="center"/>
          </w:tcPr>
          <w:p w14:paraId="0560056D" w14:textId="77777777" w:rsidR="00626001" w:rsidRPr="00B0658A" w:rsidRDefault="00626001" w:rsidP="00004A41">
            <w:pPr>
              <w:spacing w:after="0" w:line="240" w:lineRule="auto"/>
              <w:jc w:val="center"/>
              <w:rPr>
                <w:rFonts w:ascii="Times New Roman" w:hAnsi="Times New Roman"/>
                <w:sz w:val="18"/>
                <w:szCs w:val="18"/>
              </w:rPr>
            </w:pPr>
            <w:r w:rsidRPr="00B0658A">
              <w:rPr>
                <w:rFonts w:ascii="Times New Roman" w:hAnsi="Times New Roman"/>
                <w:sz w:val="18"/>
                <w:szCs w:val="18"/>
              </w:rPr>
              <w:t>6.4</w:t>
            </w:r>
          </w:p>
        </w:tc>
        <w:tc>
          <w:tcPr>
            <w:tcW w:w="3812" w:type="dxa"/>
            <w:shd w:val="clear" w:color="auto" w:fill="auto"/>
            <w:vAlign w:val="center"/>
            <w:hideMark/>
          </w:tcPr>
          <w:p w14:paraId="4FBCE8E9" w14:textId="77777777" w:rsidR="00626001" w:rsidRPr="00B0658A" w:rsidRDefault="00626001" w:rsidP="00004A41">
            <w:pPr>
              <w:spacing w:after="0" w:line="240" w:lineRule="auto"/>
              <w:rPr>
                <w:rFonts w:ascii="Times New Roman" w:hAnsi="Times New Roman"/>
                <w:sz w:val="18"/>
                <w:szCs w:val="18"/>
              </w:rPr>
            </w:pPr>
            <w:r w:rsidRPr="00B0658A">
              <w:rPr>
                <w:rFonts w:ascii="Times New Roman" w:hAnsi="Times New Roman"/>
                <w:sz w:val="18"/>
                <w:szCs w:val="18"/>
              </w:rPr>
              <w:t>Офисные приложения/ Почтовые приложения</w:t>
            </w:r>
          </w:p>
        </w:tc>
        <w:tc>
          <w:tcPr>
            <w:tcW w:w="1842" w:type="dxa"/>
            <w:shd w:val="clear" w:color="000000" w:fill="FFFFFF"/>
            <w:hideMark/>
          </w:tcPr>
          <w:p w14:paraId="1D4002F8" w14:textId="77777777" w:rsidR="00626001" w:rsidRPr="00B0658A" w:rsidRDefault="00626001" w:rsidP="00004A41">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79" w:type="dxa"/>
            <w:shd w:val="clear" w:color="000000" w:fill="FFFFFF"/>
            <w:vAlign w:val="center"/>
          </w:tcPr>
          <w:p w14:paraId="3BBEB325"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000000" w:fill="FFFFFF"/>
            <w:vAlign w:val="center"/>
            <w:hideMark/>
          </w:tcPr>
          <w:p w14:paraId="1DEB5E1F"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000000" w:fill="FFFFFF"/>
            <w:vAlign w:val="center"/>
            <w:hideMark/>
          </w:tcPr>
          <w:p w14:paraId="69869045"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000000" w:fill="FFFFFF"/>
            <w:vAlign w:val="center"/>
            <w:hideMark/>
          </w:tcPr>
          <w:p w14:paraId="6A598C11" w14:textId="77777777" w:rsidR="00626001" w:rsidRPr="00B0658A" w:rsidRDefault="00626001" w:rsidP="00004A41">
            <w:pPr>
              <w:spacing w:after="0" w:line="240" w:lineRule="auto"/>
              <w:jc w:val="center"/>
              <w:rPr>
                <w:rFonts w:ascii="Times New Roman" w:hAnsi="Times New Roman"/>
                <w:sz w:val="18"/>
                <w:szCs w:val="18"/>
              </w:rPr>
            </w:pPr>
          </w:p>
        </w:tc>
        <w:tc>
          <w:tcPr>
            <w:tcW w:w="992" w:type="dxa"/>
            <w:shd w:val="clear" w:color="000000" w:fill="FFFFFF"/>
            <w:vAlign w:val="center"/>
          </w:tcPr>
          <w:p w14:paraId="085F62B0" w14:textId="77777777" w:rsidR="00626001" w:rsidRPr="00B0658A" w:rsidRDefault="00626001" w:rsidP="00004A41">
            <w:pPr>
              <w:spacing w:after="0" w:line="240" w:lineRule="auto"/>
              <w:jc w:val="center"/>
              <w:rPr>
                <w:rFonts w:ascii="Times New Roman" w:hAnsi="Times New Roman"/>
                <w:sz w:val="18"/>
                <w:szCs w:val="18"/>
              </w:rPr>
            </w:pPr>
          </w:p>
        </w:tc>
        <w:tc>
          <w:tcPr>
            <w:tcW w:w="803" w:type="dxa"/>
            <w:shd w:val="clear" w:color="000000" w:fill="FFFFFF"/>
            <w:vAlign w:val="center"/>
            <w:hideMark/>
          </w:tcPr>
          <w:p w14:paraId="4E59ACBD" w14:textId="77777777" w:rsidR="00626001" w:rsidRPr="00B0658A" w:rsidRDefault="00626001" w:rsidP="00004A41">
            <w:pPr>
              <w:spacing w:after="0" w:line="240" w:lineRule="auto"/>
              <w:jc w:val="center"/>
              <w:rPr>
                <w:rFonts w:ascii="Times New Roman" w:hAnsi="Times New Roman"/>
                <w:sz w:val="18"/>
                <w:szCs w:val="18"/>
              </w:rPr>
            </w:pPr>
          </w:p>
        </w:tc>
        <w:tc>
          <w:tcPr>
            <w:tcW w:w="803" w:type="dxa"/>
            <w:shd w:val="clear" w:color="000000" w:fill="FFFFFF"/>
            <w:vAlign w:val="center"/>
            <w:hideMark/>
          </w:tcPr>
          <w:p w14:paraId="6144AE58" w14:textId="77777777" w:rsidR="00626001" w:rsidRPr="00B0658A" w:rsidRDefault="00626001" w:rsidP="00004A41">
            <w:pPr>
              <w:spacing w:after="0" w:line="240" w:lineRule="auto"/>
              <w:jc w:val="center"/>
              <w:rPr>
                <w:rFonts w:ascii="Times New Roman" w:hAnsi="Times New Roman"/>
                <w:sz w:val="18"/>
                <w:szCs w:val="18"/>
              </w:rPr>
            </w:pPr>
          </w:p>
        </w:tc>
        <w:tc>
          <w:tcPr>
            <w:tcW w:w="804" w:type="dxa"/>
            <w:shd w:val="clear" w:color="000000" w:fill="FFFFFF"/>
            <w:vAlign w:val="center"/>
            <w:hideMark/>
          </w:tcPr>
          <w:p w14:paraId="22E13E16" w14:textId="77777777" w:rsidR="00626001" w:rsidRPr="00B0658A" w:rsidRDefault="00626001" w:rsidP="00004A41">
            <w:pPr>
              <w:spacing w:after="0" w:line="240" w:lineRule="auto"/>
              <w:jc w:val="center"/>
              <w:rPr>
                <w:rFonts w:ascii="Times New Roman" w:hAnsi="Times New Roman"/>
                <w:sz w:val="18"/>
                <w:szCs w:val="18"/>
              </w:rPr>
            </w:pPr>
          </w:p>
        </w:tc>
        <w:tc>
          <w:tcPr>
            <w:tcW w:w="1530" w:type="dxa"/>
            <w:shd w:val="clear" w:color="000000" w:fill="FFFFFF"/>
            <w:vAlign w:val="center"/>
          </w:tcPr>
          <w:p w14:paraId="36179CD9" w14:textId="77777777" w:rsidR="00626001" w:rsidRPr="00B0658A" w:rsidRDefault="00626001" w:rsidP="00004A41">
            <w:pPr>
              <w:spacing w:after="0" w:line="240" w:lineRule="auto"/>
              <w:jc w:val="center"/>
              <w:rPr>
                <w:rFonts w:ascii="Times New Roman" w:hAnsi="Times New Roman"/>
                <w:sz w:val="18"/>
                <w:szCs w:val="18"/>
              </w:rPr>
            </w:pPr>
          </w:p>
        </w:tc>
      </w:tr>
      <w:tr w:rsidR="00F52FED" w:rsidRPr="00B0658A" w14:paraId="4792EFB6" w14:textId="77777777" w:rsidTr="000103BB">
        <w:trPr>
          <w:trHeight w:val="20"/>
        </w:trPr>
        <w:tc>
          <w:tcPr>
            <w:tcW w:w="578" w:type="dxa"/>
            <w:shd w:val="clear" w:color="000000" w:fill="FFFFFF"/>
            <w:vAlign w:val="center"/>
          </w:tcPr>
          <w:p w14:paraId="7E2EFDFA" w14:textId="77777777" w:rsidR="00626001" w:rsidRPr="00B0658A" w:rsidRDefault="00626001" w:rsidP="00004A41">
            <w:pPr>
              <w:spacing w:after="0" w:line="240" w:lineRule="auto"/>
              <w:jc w:val="center"/>
              <w:rPr>
                <w:rFonts w:ascii="Times New Roman" w:hAnsi="Times New Roman"/>
                <w:sz w:val="18"/>
                <w:szCs w:val="18"/>
              </w:rPr>
            </w:pPr>
            <w:r w:rsidRPr="00B0658A">
              <w:rPr>
                <w:rFonts w:ascii="Times New Roman" w:hAnsi="Times New Roman"/>
                <w:sz w:val="18"/>
                <w:szCs w:val="18"/>
              </w:rPr>
              <w:t>6.5</w:t>
            </w:r>
          </w:p>
        </w:tc>
        <w:tc>
          <w:tcPr>
            <w:tcW w:w="3812" w:type="dxa"/>
            <w:shd w:val="clear" w:color="auto" w:fill="auto"/>
            <w:vAlign w:val="center"/>
            <w:hideMark/>
          </w:tcPr>
          <w:p w14:paraId="6BD25634" w14:textId="77777777" w:rsidR="00626001" w:rsidRPr="00B0658A" w:rsidRDefault="00626001" w:rsidP="00004A41">
            <w:pPr>
              <w:spacing w:after="0" w:line="240" w:lineRule="auto"/>
              <w:rPr>
                <w:rFonts w:ascii="Times New Roman" w:hAnsi="Times New Roman"/>
                <w:sz w:val="18"/>
                <w:szCs w:val="18"/>
              </w:rPr>
            </w:pPr>
            <w:r w:rsidRPr="00B0658A">
              <w:rPr>
                <w:rFonts w:ascii="Times New Roman" w:hAnsi="Times New Roman"/>
                <w:sz w:val="18"/>
                <w:szCs w:val="18"/>
              </w:rPr>
              <w:t>Офисные приложения/ Органайзеры</w:t>
            </w:r>
          </w:p>
        </w:tc>
        <w:tc>
          <w:tcPr>
            <w:tcW w:w="1842" w:type="dxa"/>
            <w:shd w:val="clear" w:color="000000" w:fill="FFFFFF"/>
            <w:hideMark/>
          </w:tcPr>
          <w:p w14:paraId="7F4208CA" w14:textId="77777777" w:rsidR="00626001" w:rsidRPr="00B0658A" w:rsidRDefault="00626001" w:rsidP="00004A41">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79" w:type="dxa"/>
            <w:shd w:val="clear" w:color="000000" w:fill="FFFFFF"/>
            <w:vAlign w:val="center"/>
          </w:tcPr>
          <w:p w14:paraId="23582FFC"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000000" w:fill="FFFFFF"/>
            <w:vAlign w:val="center"/>
            <w:hideMark/>
          </w:tcPr>
          <w:p w14:paraId="0935A11B"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000000" w:fill="FFFFFF"/>
            <w:vAlign w:val="center"/>
            <w:hideMark/>
          </w:tcPr>
          <w:p w14:paraId="69723204"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000000" w:fill="FFFFFF"/>
            <w:vAlign w:val="center"/>
            <w:hideMark/>
          </w:tcPr>
          <w:p w14:paraId="5CF5BFE8" w14:textId="77777777" w:rsidR="00626001" w:rsidRPr="00B0658A" w:rsidRDefault="00626001" w:rsidP="00004A41">
            <w:pPr>
              <w:spacing w:after="0" w:line="240" w:lineRule="auto"/>
              <w:jc w:val="center"/>
              <w:rPr>
                <w:rFonts w:ascii="Times New Roman" w:hAnsi="Times New Roman"/>
                <w:sz w:val="18"/>
                <w:szCs w:val="18"/>
              </w:rPr>
            </w:pPr>
          </w:p>
        </w:tc>
        <w:tc>
          <w:tcPr>
            <w:tcW w:w="992" w:type="dxa"/>
            <w:shd w:val="clear" w:color="000000" w:fill="FFFFFF"/>
            <w:vAlign w:val="center"/>
          </w:tcPr>
          <w:p w14:paraId="5AD01C2B" w14:textId="77777777" w:rsidR="00626001" w:rsidRPr="00B0658A" w:rsidRDefault="00626001" w:rsidP="00004A41">
            <w:pPr>
              <w:spacing w:after="0" w:line="240" w:lineRule="auto"/>
              <w:jc w:val="center"/>
              <w:rPr>
                <w:rFonts w:ascii="Times New Roman" w:hAnsi="Times New Roman"/>
                <w:sz w:val="18"/>
                <w:szCs w:val="18"/>
              </w:rPr>
            </w:pPr>
          </w:p>
        </w:tc>
        <w:tc>
          <w:tcPr>
            <w:tcW w:w="803" w:type="dxa"/>
            <w:shd w:val="clear" w:color="000000" w:fill="FFFFFF"/>
            <w:vAlign w:val="center"/>
            <w:hideMark/>
          </w:tcPr>
          <w:p w14:paraId="7CD5853E" w14:textId="77777777" w:rsidR="00626001" w:rsidRPr="00B0658A" w:rsidRDefault="00626001" w:rsidP="00004A41">
            <w:pPr>
              <w:spacing w:after="0" w:line="240" w:lineRule="auto"/>
              <w:jc w:val="center"/>
              <w:rPr>
                <w:rFonts w:ascii="Times New Roman" w:hAnsi="Times New Roman"/>
                <w:sz w:val="18"/>
                <w:szCs w:val="18"/>
              </w:rPr>
            </w:pPr>
          </w:p>
        </w:tc>
        <w:tc>
          <w:tcPr>
            <w:tcW w:w="803" w:type="dxa"/>
            <w:shd w:val="clear" w:color="000000" w:fill="FFFFFF"/>
            <w:vAlign w:val="center"/>
            <w:hideMark/>
          </w:tcPr>
          <w:p w14:paraId="2665A3BF" w14:textId="77777777" w:rsidR="00626001" w:rsidRPr="00B0658A" w:rsidRDefault="00626001" w:rsidP="00004A41">
            <w:pPr>
              <w:spacing w:after="0" w:line="240" w:lineRule="auto"/>
              <w:jc w:val="center"/>
              <w:rPr>
                <w:rFonts w:ascii="Times New Roman" w:hAnsi="Times New Roman"/>
                <w:sz w:val="18"/>
                <w:szCs w:val="18"/>
              </w:rPr>
            </w:pPr>
          </w:p>
        </w:tc>
        <w:tc>
          <w:tcPr>
            <w:tcW w:w="804" w:type="dxa"/>
            <w:shd w:val="clear" w:color="000000" w:fill="FFFFFF"/>
            <w:vAlign w:val="center"/>
            <w:hideMark/>
          </w:tcPr>
          <w:p w14:paraId="2447928E" w14:textId="77777777" w:rsidR="00626001" w:rsidRPr="00B0658A" w:rsidRDefault="00626001" w:rsidP="00004A41">
            <w:pPr>
              <w:spacing w:after="0" w:line="240" w:lineRule="auto"/>
              <w:jc w:val="center"/>
              <w:rPr>
                <w:rFonts w:ascii="Times New Roman" w:hAnsi="Times New Roman"/>
                <w:sz w:val="18"/>
                <w:szCs w:val="18"/>
              </w:rPr>
            </w:pPr>
          </w:p>
        </w:tc>
        <w:tc>
          <w:tcPr>
            <w:tcW w:w="1530" w:type="dxa"/>
            <w:shd w:val="clear" w:color="000000" w:fill="FFFFFF"/>
            <w:vAlign w:val="center"/>
          </w:tcPr>
          <w:p w14:paraId="68CE25F4" w14:textId="77777777" w:rsidR="00626001" w:rsidRPr="00B0658A" w:rsidRDefault="00626001" w:rsidP="00004A41">
            <w:pPr>
              <w:spacing w:after="0" w:line="240" w:lineRule="auto"/>
              <w:jc w:val="center"/>
              <w:rPr>
                <w:rFonts w:ascii="Times New Roman" w:hAnsi="Times New Roman"/>
                <w:sz w:val="18"/>
                <w:szCs w:val="18"/>
              </w:rPr>
            </w:pPr>
          </w:p>
        </w:tc>
      </w:tr>
      <w:tr w:rsidR="00F52FED" w:rsidRPr="00B0658A" w14:paraId="3D74C034" w14:textId="77777777" w:rsidTr="000103BB">
        <w:trPr>
          <w:trHeight w:val="20"/>
        </w:trPr>
        <w:tc>
          <w:tcPr>
            <w:tcW w:w="578" w:type="dxa"/>
            <w:shd w:val="clear" w:color="000000" w:fill="FFFFFF"/>
            <w:vAlign w:val="center"/>
          </w:tcPr>
          <w:p w14:paraId="6B02EC6F" w14:textId="77777777" w:rsidR="00626001" w:rsidRPr="00B0658A" w:rsidRDefault="00626001" w:rsidP="00004A41">
            <w:pPr>
              <w:spacing w:after="0" w:line="240" w:lineRule="auto"/>
              <w:jc w:val="center"/>
              <w:rPr>
                <w:rFonts w:ascii="Times New Roman" w:hAnsi="Times New Roman"/>
                <w:sz w:val="18"/>
                <w:szCs w:val="18"/>
              </w:rPr>
            </w:pPr>
            <w:r w:rsidRPr="00B0658A">
              <w:rPr>
                <w:rFonts w:ascii="Times New Roman" w:hAnsi="Times New Roman"/>
                <w:sz w:val="18"/>
                <w:szCs w:val="18"/>
              </w:rPr>
              <w:t>6.6</w:t>
            </w:r>
          </w:p>
        </w:tc>
        <w:tc>
          <w:tcPr>
            <w:tcW w:w="3812" w:type="dxa"/>
            <w:shd w:val="clear" w:color="auto" w:fill="auto"/>
            <w:vAlign w:val="center"/>
            <w:hideMark/>
          </w:tcPr>
          <w:p w14:paraId="6A355DED" w14:textId="77777777" w:rsidR="00626001" w:rsidRPr="00B0658A" w:rsidRDefault="00626001" w:rsidP="00004A41">
            <w:pPr>
              <w:spacing w:after="0" w:line="240" w:lineRule="auto"/>
              <w:rPr>
                <w:rFonts w:ascii="Times New Roman" w:hAnsi="Times New Roman"/>
                <w:sz w:val="18"/>
                <w:szCs w:val="18"/>
              </w:rPr>
            </w:pPr>
            <w:r w:rsidRPr="00B0658A">
              <w:rPr>
                <w:rFonts w:ascii="Times New Roman" w:hAnsi="Times New Roman"/>
                <w:sz w:val="18"/>
                <w:szCs w:val="18"/>
              </w:rPr>
              <w:t>Офисные приложения/ Средства просмотра</w:t>
            </w:r>
          </w:p>
        </w:tc>
        <w:tc>
          <w:tcPr>
            <w:tcW w:w="1842" w:type="dxa"/>
            <w:shd w:val="clear" w:color="000000" w:fill="FFFFFF"/>
            <w:hideMark/>
          </w:tcPr>
          <w:p w14:paraId="1C6133D4" w14:textId="77777777" w:rsidR="00626001" w:rsidRPr="00B0658A" w:rsidRDefault="00626001" w:rsidP="00004A41">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79" w:type="dxa"/>
            <w:shd w:val="clear" w:color="000000" w:fill="FFFFFF"/>
            <w:vAlign w:val="center"/>
          </w:tcPr>
          <w:p w14:paraId="580E009D"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000000" w:fill="FFFFFF"/>
            <w:vAlign w:val="center"/>
            <w:hideMark/>
          </w:tcPr>
          <w:p w14:paraId="2C3A7482"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000000" w:fill="FFFFFF"/>
            <w:vAlign w:val="center"/>
            <w:hideMark/>
          </w:tcPr>
          <w:p w14:paraId="5994612A"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000000" w:fill="FFFFFF"/>
            <w:vAlign w:val="center"/>
            <w:hideMark/>
          </w:tcPr>
          <w:p w14:paraId="2C605C1B" w14:textId="77777777" w:rsidR="00626001" w:rsidRPr="00B0658A" w:rsidRDefault="00626001" w:rsidP="00004A41">
            <w:pPr>
              <w:spacing w:after="0" w:line="240" w:lineRule="auto"/>
              <w:jc w:val="center"/>
              <w:rPr>
                <w:rFonts w:ascii="Times New Roman" w:hAnsi="Times New Roman"/>
                <w:sz w:val="18"/>
                <w:szCs w:val="18"/>
              </w:rPr>
            </w:pPr>
          </w:p>
        </w:tc>
        <w:tc>
          <w:tcPr>
            <w:tcW w:w="992" w:type="dxa"/>
            <w:shd w:val="clear" w:color="000000" w:fill="FFFFFF"/>
            <w:vAlign w:val="center"/>
          </w:tcPr>
          <w:p w14:paraId="07BA351B" w14:textId="77777777" w:rsidR="00626001" w:rsidRPr="00B0658A" w:rsidRDefault="00626001" w:rsidP="00004A41">
            <w:pPr>
              <w:spacing w:after="0" w:line="240" w:lineRule="auto"/>
              <w:jc w:val="center"/>
              <w:rPr>
                <w:rFonts w:ascii="Times New Roman" w:hAnsi="Times New Roman"/>
                <w:sz w:val="18"/>
                <w:szCs w:val="18"/>
              </w:rPr>
            </w:pPr>
          </w:p>
        </w:tc>
        <w:tc>
          <w:tcPr>
            <w:tcW w:w="803" w:type="dxa"/>
            <w:shd w:val="clear" w:color="000000" w:fill="FFFFFF"/>
            <w:vAlign w:val="center"/>
            <w:hideMark/>
          </w:tcPr>
          <w:p w14:paraId="0D93F041" w14:textId="77777777" w:rsidR="00626001" w:rsidRPr="00B0658A" w:rsidRDefault="00626001" w:rsidP="00004A41">
            <w:pPr>
              <w:spacing w:after="0" w:line="240" w:lineRule="auto"/>
              <w:jc w:val="center"/>
              <w:rPr>
                <w:rFonts w:ascii="Times New Roman" w:hAnsi="Times New Roman"/>
                <w:sz w:val="18"/>
                <w:szCs w:val="18"/>
              </w:rPr>
            </w:pPr>
          </w:p>
        </w:tc>
        <w:tc>
          <w:tcPr>
            <w:tcW w:w="803" w:type="dxa"/>
            <w:shd w:val="clear" w:color="000000" w:fill="FFFFFF"/>
            <w:vAlign w:val="center"/>
            <w:hideMark/>
          </w:tcPr>
          <w:p w14:paraId="7F749DDD" w14:textId="77777777" w:rsidR="00626001" w:rsidRPr="00B0658A" w:rsidRDefault="00626001" w:rsidP="00004A41">
            <w:pPr>
              <w:spacing w:after="0" w:line="240" w:lineRule="auto"/>
              <w:jc w:val="center"/>
              <w:rPr>
                <w:rFonts w:ascii="Times New Roman" w:hAnsi="Times New Roman"/>
                <w:sz w:val="18"/>
                <w:szCs w:val="18"/>
              </w:rPr>
            </w:pPr>
          </w:p>
        </w:tc>
        <w:tc>
          <w:tcPr>
            <w:tcW w:w="804" w:type="dxa"/>
            <w:shd w:val="clear" w:color="000000" w:fill="FFFFFF"/>
            <w:vAlign w:val="center"/>
            <w:hideMark/>
          </w:tcPr>
          <w:p w14:paraId="37D92697" w14:textId="77777777" w:rsidR="00626001" w:rsidRPr="00B0658A" w:rsidRDefault="00626001" w:rsidP="00004A41">
            <w:pPr>
              <w:spacing w:after="0" w:line="240" w:lineRule="auto"/>
              <w:jc w:val="center"/>
              <w:rPr>
                <w:rFonts w:ascii="Times New Roman" w:hAnsi="Times New Roman"/>
                <w:sz w:val="18"/>
                <w:szCs w:val="18"/>
              </w:rPr>
            </w:pPr>
          </w:p>
        </w:tc>
        <w:tc>
          <w:tcPr>
            <w:tcW w:w="1530" w:type="dxa"/>
            <w:shd w:val="clear" w:color="000000" w:fill="FFFFFF"/>
            <w:vAlign w:val="center"/>
          </w:tcPr>
          <w:p w14:paraId="20AA39B6" w14:textId="77777777" w:rsidR="00626001" w:rsidRPr="00B0658A" w:rsidRDefault="00626001" w:rsidP="00004A41">
            <w:pPr>
              <w:spacing w:after="0" w:line="240" w:lineRule="auto"/>
              <w:jc w:val="center"/>
              <w:rPr>
                <w:rFonts w:ascii="Times New Roman" w:hAnsi="Times New Roman"/>
                <w:sz w:val="18"/>
                <w:szCs w:val="18"/>
              </w:rPr>
            </w:pPr>
          </w:p>
        </w:tc>
      </w:tr>
      <w:tr w:rsidR="00F52FED" w:rsidRPr="00B0658A" w14:paraId="6DC0FF4D" w14:textId="77777777" w:rsidTr="000103BB">
        <w:trPr>
          <w:trHeight w:val="20"/>
        </w:trPr>
        <w:tc>
          <w:tcPr>
            <w:tcW w:w="578" w:type="dxa"/>
            <w:shd w:val="clear" w:color="000000" w:fill="FFFFFF"/>
            <w:vAlign w:val="center"/>
          </w:tcPr>
          <w:p w14:paraId="42FE5080" w14:textId="77777777" w:rsidR="00626001" w:rsidRPr="00B0658A" w:rsidRDefault="00626001" w:rsidP="00004A41">
            <w:pPr>
              <w:spacing w:after="0" w:line="240" w:lineRule="auto"/>
              <w:jc w:val="center"/>
              <w:rPr>
                <w:rFonts w:ascii="Times New Roman" w:hAnsi="Times New Roman"/>
                <w:sz w:val="18"/>
                <w:szCs w:val="18"/>
              </w:rPr>
            </w:pPr>
            <w:r w:rsidRPr="00B0658A">
              <w:rPr>
                <w:rFonts w:ascii="Times New Roman" w:hAnsi="Times New Roman"/>
                <w:sz w:val="18"/>
                <w:szCs w:val="18"/>
              </w:rPr>
              <w:t>6.7</w:t>
            </w:r>
          </w:p>
        </w:tc>
        <w:tc>
          <w:tcPr>
            <w:tcW w:w="3812" w:type="dxa"/>
            <w:shd w:val="clear" w:color="auto" w:fill="auto"/>
            <w:vAlign w:val="center"/>
            <w:hideMark/>
          </w:tcPr>
          <w:p w14:paraId="31630E86" w14:textId="77777777" w:rsidR="00626001" w:rsidRPr="00B0658A" w:rsidRDefault="00626001" w:rsidP="00004A41">
            <w:pPr>
              <w:spacing w:after="0" w:line="240" w:lineRule="auto"/>
              <w:rPr>
                <w:rFonts w:ascii="Times New Roman" w:hAnsi="Times New Roman"/>
                <w:sz w:val="18"/>
                <w:szCs w:val="18"/>
              </w:rPr>
            </w:pPr>
            <w:r w:rsidRPr="00B0658A">
              <w:rPr>
                <w:rFonts w:ascii="Times New Roman" w:hAnsi="Times New Roman"/>
                <w:sz w:val="18"/>
                <w:szCs w:val="18"/>
              </w:rPr>
              <w:t>Офисные приложения/ Браузеры</w:t>
            </w:r>
          </w:p>
        </w:tc>
        <w:tc>
          <w:tcPr>
            <w:tcW w:w="1842" w:type="dxa"/>
            <w:shd w:val="clear" w:color="000000" w:fill="FFFFFF"/>
            <w:hideMark/>
          </w:tcPr>
          <w:p w14:paraId="40310438" w14:textId="77777777" w:rsidR="00626001" w:rsidRPr="00B0658A" w:rsidRDefault="00626001" w:rsidP="00004A41">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79" w:type="dxa"/>
            <w:shd w:val="clear" w:color="000000" w:fill="FFFFFF"/>
            <w:vAlign w:val="center"/>
          </w:tcPr>
          <w:p w14:paraId="337BB482"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000000" w:fill="FFFFFF"/>
            <w:vAlign w:val="center"/>
            <w:hideMark/>
          </w:tcPr>
          <w:p w14:paraId="2BC8A2BD"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000000" w:fill="FFFFFF"/>
            <w:vAlign w:val="center"/>
            <w:hideMark/>
          </w:tcPr>
          <w:p w14:paraId="4B17F963"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000000" w:fill="FFFFFF"/>
            <w:vAlign w:val="center"/>
            <w:hideMark/>
          </w:tcPr>
          <w:p w14:paraId="71C724CD" w14:textId="77777777" w:rsidR="00626001" w:rsidRPr="00B0658A" w:rsidRDefault="00626001" w:rsidP="00004A41">
            <w:pPr>
              <w:spacing w:after="0" w:line="240" w:lineRule="auto"/>
              <w:jc w:val="center"/>
              <w:rPr>
                <w:rFonts w:ascii="Times New Roman" w:hAnsi="Times New Roman"/>
                <w:sz w:val="18"/>
                <w:szCs w:val="18"/>
              </w:rPr>
            </w:pPr>
          </w:p>
        </w:tc>
        <w:tc>
          <w:tcPr>
            <w:tcW w:w="992" w:type="dxa"/>
            <w:shd w:val="clear" w:color="000000" w:fill="FFFFFF"/>
            <w:vAlign w:val="center"/>
          </w:tcPr>
          <w:p w14:paraId="7FDBC481" w14:textId="77777777" w:rsidR="00626001" w:rsidRPr="00B0658A" w:rsidRDefault="00626001" w:rsidP="00004A41">
            <w:pPr>
              <w:spacing w:after="0" w:line="240" w:lineRule="auto"/>
              <w:jc w:val="center"/>
              <w:rPr>
                <w:rFonts w:ascii="Times New Roman" w:hAnsi="Times New Roman"/>
                <w:sz w:val="18"/>
                <w:szCs w:val="18"/>
              </w:rPr>
            </w:pPr>
          </w:p>
        </w:tc>
        <w:tc>
          <w:tcPr>
            <w:tcW w:w="803" w:type="dxa"/>
            <w:shd w:val="clear" w:color="000000" w:fill="FFFFFF"/>
            <w:vAlign w:val="center"/>
            <w:hideMark/>
          </w:tcPr>
          <w:p w14:paraId="2D0E88C4" w14:textId="77777777" w:rsidR="00626001" w:rsidRPr="00B0658A" w:rsidRDefault="00626001" w:rsidP="00004A41">
            <w:pPr>
              <w:spacing w:after="0" w:line="240" w:lineRule="auto"/>
              <w:jc w:val="center"/>
              <w:rPr>
                <w:rFonts w:ascii="Times New Roman" w:hAnsi="Times New Roman"/>
                <w:sz w:val="18"/>
                <w:szCs w:val="18"/>
              </w:rPr>
            </w:pPr>
          </w:p>
        </w:tc>
        <w:tc>
          <w:tcPr>
            <w:tcW w:w="803" w:type="dxa"/>
            <w:shd w:val="clear" w:color="000000" w:fill="FFFFFF"/>
            <w:vAlign w:val="center"/>
            <w:hideMark/>
          </w:tcPr>
          <w:p w14:paraId="21A1A371" w14:textId="77777777" w:rsidR="00626001" w:rsidRPr="00B0658A" w:rsidRDefault="00626001" w:rsidP="00004A41">
            <w:pPr>
              <w:spacing w:after="0" w:line="240" w:lineRule="auto"/>
              <w:jc w:val="center"/>
              <w:rPr>
                <w:rFonts w:ascii="Times New Roman" w:hAnsi="Times New Roman"/>
                <w:sz w:val="18"/>
                <w:szCs w:val="18"/>
              </w:rPr>
            </w:pPr>
          </w:p>
        </w:tc>
        <w:tc>
          <w:tcPr>
            <w:tcW w:w="804" w:type="dxa"/>
            <w:shd w:val="clear" w:color="000000" w:fill="FFFFFF"/>
            <w:vAlign w:val="center"/>
            <w:hideMark/>
          </w:tcPr>
          <w:p w14:paraId="5107F087" w14:textId="77777777" w:rsidR="00626001" w:rsidRPr="00B0658A" w:rsidRDefault="00626001" w:rsidP="00004A41">
            <w:pPr>
              <w:spacing w:after="0" w:line="240" w:lineRule="auto"/>
              <w:jc w:val="center"/>
              <w:rPr>
                <w:rFonts w:ascii="Times New Roman" w:hAnsi="Times New Roman"/>
                <w:sz w:val="18"/>
                <w:szCs w:val="18"/>
              </w:rPr>
            </w:pPr>
          </w:p>
        </w:tc>
        <w:tc>
          <w:tcPr>
            <w:tcW w:w="1530" w:type="dxa"/>
            <w:shd w:val="clear" w:color="000000" w:fill="FFFFFF"/>
            <w:vAlign w:val="center"/>
          </w:tcPr>
          <w:p w14:paraId="38A35A03" w14:textId="77777777" w:rsidR="00626001" w:rsidRPr="00B0658A" w:rsidRDefault="00626001" w:rsidP="00004A41">
            <w:pPr>
              <w:spacing w:after="0" w:line="240" w:lineRule="auto"/>
              <w:jc w:val="center"/>
              <w:rPr>
                <w:rFonts w:ascii="Times New Roman" w:hAnsi="Times New Roman"/>
                <w:sz w:val="18"/>
                <w:szCs w:val="18"/>
              </w:rPr>
            </w:pPr>
          </w:p>
        </w:tc>
      </w:tr>
      <w:tr w:rsidR="00F52FED" w:rsidRPr="00B0658A" w14:paraId="613B5EB7" w14:textId="77777777" w:rsidTr="000103BB">
        <w:trPr>
          <w:trHeight w:val="20"/>
        </w:trPr>
        <w:tc>
          <w:tcPr>
            <w:tcW w:w="578" w:type="dxa"/>
            <w:shd w:val="clear" w:color="000000" w:fill="FFFFFF"/>
            <w:vAlign w:val="center"/>
          </w:tcPr>
          <w:p w14:paraId="200F217D" w14:textId="77777777" w:rsidR="00626001" w:rsidRPr="00B0658A" w:rsidRDefault="00626001" w:rsidP="00004A41">
            <w:pPr>
              <w:spacing w:after="0" w:line="240" w:lineRule="auto"/>
              <w:jc w:val="center"/>
              <w:rPr>
                <w:rFonts w:ascii="Times New Roman" w:hAnsi="Times New Roman"/>
                <w:sz w:val="18"/>
                <w:szCs w:val="18"/>
              </w:rPr>
            </w:pPr>
            <w:r w:rsidRPr="00B0658A">
              <w:rPr>
                <w:rFonts w:ascii="Times New Roman" w:hAnsi="Times New Roman"/>
                <w:sz w:val="18"/>
                <w:szCs w:val="18"/>
              </w:rPr>
              <w:t>6.8</w:t>
            </w:r>
          </w:p>
        </w:tc>
        <w:tc>
          <w:tcPr>
            <w:tcW w:w="3812" w:type="dxa"/>
            <w:shd w:val="clear" w:color="auto" w:fill="auto"/>
            <w:vAlign w:val="center"/>
            <w:hideMark/>
          </w:tcPr>
          <w:p w14:paraId="7F847D44" w14:textId="77777777" w:rsidR="00626001" w:rsidRPr="00B0658A" w:rsidRDefault="00626001" w:rsidP="00004A41">
            <w:pPr>
              <w:spacing w:after="0" w:line="240" w:lineRule="auto"/>
              <w:rPr>
                <w:rFonts w:ascii="Times New Roman" w:hAnsi="Times New Roman"/>
                <w:sz w:val="18"/>
                <w:szCs w:val="18"/>
              </w:rPr>
            </w:pPr>
            <w:r w:rsidRPr="00B0658A">
              <w:rPr>
                <w:rFonts w:ascii="Times New Roman" w:hAnsi="Times New Roman"/>
                <w:sz w:val="18"/>
                <w:szCs w:val="18"/>
              </w:rPr>
              <w:t>Офисные приложения/ Редакторы мультимедиа</w:t>
            </w:r>
          </w:p>
        </w:tc>
        <w:tc>
          <w:tcPr>
            <w:tcW w:w="1842" w:type="dxa"/>
            <w:shd w:val="clear" w:color="000000" w:fill="FFFFFF"/>
            <w:hideMark/>
          </w:tcPr>
          <w:p w14:paraId="18C69723" w14:textId="77777777" w:rsidR="00626001" w:rsidRPr="00B0658A" w:rsidRDefault="00626001" w:rsidP="00004A41">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79" w:type="dxa"/>
            <w:vAlign w:val="center"/>
          </w:tcPr>
          <w:p w14:paraId="15A0CFE4"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auto" w:fill="auto"/>
            <w:vAlign w:val="center"/>
            <w:hideMark/>
          </w:tcPr>
          <w:p w14:paraId="55541DD1"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auto" w:fill="auto"/>
            <w:vAlign w:val="center"/>
            <w:hideMark/>
          </w:tcPr>
          <w:p w14:paraId="1708B96A"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auto" w:fill="auto"/>
            <w:vAlign w:val="center"/>
            <w:hideMark/>
          </w:tcPr>
          <w:p w14:paraId="44BDCCDB" w14:textId="77777777" w:rsidR="00626001" w:rsidRPr="00B0658A" w:rsidRDefault="00626001" w:rsidP="00004A41">
            <w:pPr>
              <w:spacing w:after="0" w:line="240" w:lineRule="auto"/>
              <w:jc w:val="center"/>
              <w:rPr>
                <w:rFonts w:ascii="Times New Roman" w:hAnsi="Times New Roman"/>
                <w:sz w:val="18"/>
                <w:szCs w:val="18"/>
              </w:rPr>
            </w:pPr>
          </w:p>
        </w:tc>
        <w:tc>
          <w:tcPr>
            <w:tcW w:w="992" w:type="dxa"/>
            <w:vAlign w:val="center"/>
          </w:tcPr>
          <w:p w14:paraId="4068D3FC" w14:textId="77777777" w:rsidR="00626001" w:rsidRPr="00B0658A" w:rsidRDefault="00626001" w:rsidP="00004A41">
            <w:pPr>
              <w:spacing w:after="0" w:line="240" w:lineRule="auto"/>
              <w:jc w:val="center"/>
              <w:rPr>
                <w:rFonts w:ascii="Times New Roman" w:hAnsi="Times New Roman"/>
                <w:sz w:val="18"/>
                <w:szCs w:val="18"/>
              </w:rPr>
            </w:pPr>
          </w:p>
        </w:tc>
        <w:tc>
          <w:tcPr>
            <w:tcW w:w="803" w:type="dxa"/>
            <w:shd w:val="clear" w:color="auto" w:fill="auto"/>
            <w:vAlign w:val="center"/>
            <w:hideMark/>
          </w:tcPr>
          <w:p w14:paraId="10995001" w14:textId="77777777" w:rsidR="00626001" w:rsidRPr="00B0658A" w:rsidRDefault="00626001" w:rsidP="00004A41">
            <w:pPr>
              <w:spacing w:after="0" w:line="240" w:lineRule="auto"/>
              <w:jc w:val="center"/>
              <w:rPr>
                <w:rFonts w:ascii="Times New Roman" w:hAnsi="Times New Roman"/>
                <w:sz w:val="18"/>
                <w:szCs w:val="18"/>
              </w:rPr>
            </w:pPr>
          </w:p>
        </w:tc>
        <w:tc>
          <w:tcPr>
            <w:tcW w:w="803" w:type="dxa"/>
            <w:shd w:val="clear" w:color="auto" w:fill="auto"/>
            <w:vAlign w:val="center"/>
            <w:hideMark/>
          </w:tcPr>
          <w:p w14:paraId="649EE797" w14:textId="77777777" w:rsidR="00626001" w:rsidRPr="00B0658A" w:rsidRDefault="00626001" w:rsidP="00004A41">
            <w:pPr>
              <w:spacing w:after="0" w:line="240" w:lineRule="auto"/>
              <w:jc w:val="center"/>
              <w:rPr>
                <w:rFonts w:ascii="Times New Roman" w:hAnsi="Times New Roman"/>
                <w:sz w:val="18"/>
                <w:szCs w:val="18"/>
              </w:rPr>
            </w:pPr>
          </w:p>
        </w:tc>
        <w:tc>
          <w:tcPr>
            <w:tcW w:w="804" w:type="dxa"/>
            <w:shd w:val="clear" w:color="auto" w:fill="auto"/>
            <w:vAlign w:val="center"/>
            <w:hideMark/>
          </w:tcPr>
          <w:p w14:paraId="3F2772A8" w14:textId="77777777" w:rsidR="00626001" w:rsidRPr="00B0658A" w:rsidRDefault="00626001" w:rsidP="00004A41">
            <w:pPr>
              <w:spacing w:after="0" w:line="240" w:lineRule="auto"/>
              <w:jc w:val="center"/>
              <w:rPr>
                <w:rFonts w:ascii="Times New Roman" w:hAnsi="Times New Roman"/>
                <w:sz w:val="18"/>
                <w:szCs w:val="18"/>
              </w:rPr>
            </w:pPr>
          </w:p>
        </w:tc>
        <w:tc>
          <w:tcPr>
            <w:tcW w:w="1530" w:type="dxa"/>
            <w:vAlign w:val="center"/>
          </w:tcPr>
          <w:p w14:paraId="676678F6" w14:textId="77777777" w:rsidR="00626001" w:rsidRPr="00B0658A" w:rsidRDefault="00626001" w:rsidP="00004A41">
            <w:pPr>
              <w:spacing w:after="0" w:line="240" w:lineRule="auto"/>
              <w:jc w:val="center"/>
              <w:rPr>
                <w:rFonts w:ascii="Times New Roman" w:hAnsi="Times New Roman"/>
                <w:sz w:val="18"/>
                <w:szCs w:val="18"/>
              </w:rPr>
            </w:pPr>
          </w:p>
        </w:tc>
      </w:tr>
      <w:tr w:rsidR="00F52FED" w:rsidRPr="00B0658A" w14:paraId="3E4610C7" w14:textId="77777777" w:rsidTr="000103BB">
        <w:trPr>
          <w:trHeight w:val="20"/>
        </w:trPr>
        <w:tc>
          <w:tcPr>
            <w:tcW w:w="578" w:type="dxa"/>
            <w:shd w:val="clear" w:color="000000" w:fill="FFFFFF"/>
            <w:vAlign w:val="center"/>
          </w:tcPr>
          <w:p w14:paraId="3DAD7B28" w14:textId="77777777" w:rsidR="00626001" w:rsidRPr="00B0658A" w:rsidRDefault="00626001" w:rsidP="00004A41">
            <w:pPr>
              <w:spacing w:after="0" w:line="240" w:lineRule="auto"/>
              <w:jc w:val="center"/>
              <w:rPr>
                <w:rFonts w:ascii="Times New Roman" w:hAnsi="Times New Roman"/>
                <w:sz w:val="18"/>
                <w:szCs w:val="18"/>
              </w:rPr>
            </w:pPr>
            <w:r w:rsidRPr="00B0658A">
              <w:rPr>
                <w:rFonts w:ascii="Times New Roman" w:hAnsi="Times New Roman"/>
                <w:sz w:val="18"/>
                <w:szCs w:val="18"/>
              </w:rPr>
              <w:t>6.9</w:t>
            </w:r>
          </w:p>
        </w:tc>
        <w:tc>
          <w:tcPr>
            <w:tcW w:w="3812" w:type="dxa"/>
            <w:shd w:val="clear" w:color="auto" w:fill="auto"/>
            <w:vAlign w:val="center"/>
            <w:hideMark/>
          </w:tcPr>
          <w:p w14:paraId="435A7DDB" w14:textId="77777777" w:rsidR="00626001" w:rsidRPr="00B0658A" w:rsidRDefault="00626001" w:rsidP="00004A41">
            <w:pPr>
              <w:spacing w:after="0" w:line="240" w:lineRule="auto"/>
              <w:rPr>
                <w:rFonts w:ascii="Times New Roman" w:hAnsi="Times New Roman"/>
                <w:sz w:val="18"/>
                <w:szCs w:val="18"/>
              </w:rPr>
            </w:pPr>
            <w:r w:rsidRPr="00B0658A">
              <w:rPr>
                <w:rFonts w:ascii="Times New Roman" w:hAnsi="Times New Roman"/>
                <w:sz w:val="18"/>
                <w:szCs w:val="18"/>
              </w:rPr>
              <w:t>Офисные приложения/ Редакторы презентаций</w:t>
            </w:r>
          </w:p>
        </w:tc>
        <w:tc>
          <w:tcPr>
            <w:tcW w:w="1842" w:type="dxa"/>
            <w:shd w:val="clear" w:color="000000" w:fill="FFFFFF"/>
            <w:hideMark/>
          </w:tcPr>
          <w:p w14:paraId="019B099D" w14:textId="77777777" w:rsidR="00626001" w:rsidRPr="00B0658A" w:rsidRDefault="00626001" w:rsidP="00004A41">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79" w:type="dxa"/>
            <w:vAlign w:val="center"/>
          </w:tcPr>
          <w:p w14:paraId="33CC715A"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auto" w:fill="auto"/>
            <w:vAlign w:val="center"/>
            <w:hideMark/>
          </w:tcPr>
          <w:p w14:paraId="45254EB5"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auto" w:fill="auto"/>
            <w:vAlign w:val="center"/>
            <w:hideMark/>
          </w:tcPr>
          <w:p w14:paraId="43493FE5"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auto" w:fill="auto"/>
            <w:vAlign w:val="center"/>
            <w:hideMark/>
          </w:tcPr>
          <w:p w14:paraId="6C2516F2" w14:textId="77777777" w:rsidR="00626001" w:rsidRPr="00B0658A" w:rsidRDefault="00626001" w:rsidP="00004A41">
            <w:pPr>
              <w:spacing w:after="0" w:line="240" w:lineRule="auto"/>
              <w:jc w:val="center"/>
              <w:rPr>
                <w:rFonts w:ascii="Times New Roman" w:hAnsi="Times New Roman"/>
                <w:sz w:val="18"/>
                <w:szCs w:val="18"/>
              </w:rPr>
            </w:pPr>
          </w:p>
        </w:tc>
        <w:tc>
          <w:tcPr>
            <w:tcW w:w="992" w:type="dxa"/>
            <w:vAlign w:val="center"/>
          </w:tcPr>
          <w:p w14:paraId="65EE2B30" w14:textId="77777777" w:rsidR="00626001" w:rsidRPr="00B0658A" w:rsidRDefault="00626001" w:rsidP="00004A41">
            <w:pPr>
              <w:spacing w:after="0" w:line="240" w:lineRule="auto"/>
              <w:jc w:val="center"/>
              <w:rPr>
                <w:rFonts w:ascii="Times New Roman" w:hAnsi="Times New Roman"/>
                <w:sz w:val="18"/>
                <w:szCs w:val="18"/>
              </w:rPr>
            </w:pPr>
          </w:p>
        </w:tc>
        <w:tc>
          <w:tcPr>
            <w:tcW w:w="803" w:type="dxa"/>
            <w:shd w:val="clear" w:color="auto" w:fill="auto"/>
            <w:vAlign w:val="center"/>
            <w:hideMark/>
          </w:tcPr>
          <w:p w14:paraId="7CFBB237" w14:textId="77777777" w:rsidR="00626001" w:rsidRPr="00B0658A" w:rsidRDefault="00626001" w:rsidP="00004A41">
            <w:pPr>
              <w:spacing w:after="0" w:line="240" w:lineRule="auto"/>
              <w:jc w:val="center"/>
              <w:rPr>
                <w:rFonts w:ascii="Times New Roman" w:hAnsi="Times New Roman"/>
                <w:sz w:val="18"/>
                <w:szCs w:val="18"/>
              </w:rPr>
            </w:pPr>
          </w:p>
        </w:tc>
        <w:tc>
          <w:tcPr>
            <w:tcW w:w="803" w:type="dxa"/>
            <w:shd w:val="clear" w:color="auto" w:fill="auto"/>
            <w:vAlign w:val="center"/>
            <w:hideMark/>
          </w:tcPr>
          <w:p w14:paraId="5EF0E9C1" w14:textId="77777777" w:rsidR="00626001" w:rsidRPr="00B0658A" w:rsidRDefault="00626001" w:rsidP="00004A41">
            <w:pPr>
              <w:spacing w:after="0" w:line="240" w:lineRule="auto"/>
              <w:jc w:val="center"/>
              <w:rPr>
                <w:rFonts w:ascii="Times New Roman" w:hAnsi="Times New Roman"/>
                <w:sz w:val="18"/>
                <w:szCs w:val="18"/>
              </w:rPr>
            </w:pPr>
          </w:p>
        </w:tc>
        <w:tc>
          <w:tcPr>
            <w:tcW w:w="804" w:type="dxa"/>
            <w:shd w:val="clear" w:color="auto" w:fill="auto"/>
            <w:vAlign w:val="center"/>
            <w:hideMark/>
          </w:tcPr>
          <w:p w14:paraId="5B448207" w14:textId="77777777" w:rsidR="00626001" w:rsidRPr="00B0658A" w:rsidRDefault="00626001" w:rsidP="00004A41">
            <w:pPr>
              <w:spacing w:after="0" w:line="240" w:lineRule="auto"/>
              <w:jc w:val="center"/>
              <w:rPr>
                <w:rFonts w:ascii="Times New Roman" w:hAnsi="Times New Roman"/>
                <w:sz w:val="18"/>
                <w:szCs w:val="18"/>
              </w:rPr>
            </w:pPr>
          </w:p>
        </w:tc>
        <w:tc>
          <w:tcPr>
            <w:tcW w:w="1530" w:type="dxa"/>
            <w:vAlign w:val="center"/>
          </w:tcPr>
          <w:p w14:paraId="6E3D3C7A" w14:textId="77777777" w:rsidR="00626001" w:rsidRPr="00B0658A" w:rsidRDefault="00626001" w:rsidP="00004A41">
            <w:pPr>
              <w:spacing w:after="0" w:line="240" w:lineRule="auto"/>
              <w:jc w:val="center"/>
              <w:rPr>
                <w:rFonts w:ascii="Times New Roman" w:hAnsi="Times New Roman"/>
                <w:sz w:val="18"/>
                <w:szCs w:val="18"/>
              </w:rPr>
            </w:pPr>
          </w:p>
        </w:tc>
      </w:tr>
      <w:tr w:rsidR="00F52FED" w:rsidRPr="00B0658A" w14:paraId="4A282E19" w14:textId="77777777" w:rsidTr="000103BB">
        <w:trPr>
          <w:trHeight w:val="20"/>
        </w:trPr>
        <w:tc>
          <w:tcPr>
            <w:tcW w:w="578" w:type="dxa"/>
            <w:shd w:val="clear" w:color="000000" w:fill="FFFFFF"/>
            <w:vAlign w:val="center"/>
          </w:tcPr>
          <w:p w14:paraId="20FE70E5" w14:textId="77777777" w:rsidR="00626001" w:rsidRPr="00B0658A" w:rsidRDefault="00626001" w:rsidP="00004A41">
            <w:pPr>
              <w:spacing w:after="0" w:line="240" w:lineRule="auto"/>
              <w:jc w:val="center"/>
              <w:rPr>
                <w:rFonts w:ascii="Times New Roman" w:hAnsi="Times New Roman"/>
                <w:sz w:val="18"/>
                <w:szCs w:val="18"/>
              </w:rPr>
            </w:pPr>
            <w:r w:rsidRPr="00B0658A">
              <w:rPr>
                <w:rFonts w:ascii="Times New Roman" w:hAnsi="Times New Roman"/>
                <w:sz w:val="18"/>
                <w:szCs w:val="18"/>
              </w:rPr>
              <w:t>6.10</w:t>
            </w:r>
          </w:p>
        </w:tc>
        <w:tc>
          <w:tcPr>
            <w:tcW w:w="3812" w:type="dxa"/>
            <w:shd w:val="clear" w:color="auto" w:fill="auto"/>
            <w:vAlign w:val="center"/>
            <w:hideMark/>
          </w:tcPr>
          <w:p w14:paraId="5C3DC96C" w14:textId="77777777" w:rsidR="00626001" w:rsidRPr="00B0658A" w:rsidRDefault="00626001" w:rsidP="00004A41">
            <w:pPr>
              <w:spacing w:after="0" w:line="240" w:lineRule="auto"/>
              <w:rPr>
                <w:rFonts w:ascii="Times New Roman" w:hAnsi="Times New Roman"/>
                <w:sz w:val="18"/>
                <w:szCs w:val="18"/>
              </w:rPr>
            </w:pPr>
            <w:r w:rsidRPr="00B0658A">
              <w:rPr>
                <w:rFonts w:ascii="Times New Roman" w:hAnsi="Times New Roman"/>
                <w:sz w:val="18"/>
                <w:szCs w:val="18"/>
              </w:rPr>
              <w:t>Офисные приложения/ Табличные редакторы</w:t>
            </w:r>
          </w:p>
        </w:tc>
        <w:tc>
          <w:tcPr>
            <w:tcW w:w="1842" w:type="dxa"/>
            <w:shd w:val="clear" w:color="000000" w:fill="FFFFFF"/>
            <w:hideMark/>
          </w:tcPr>
          <w:p w14:paraId="496511F8" w14:textId="77777777" w:rsidR="00626001" w:rsidRPr="00B0658A" w:rsidRDefault="00626001" w:rsidP="00004A41">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79" w:type="dxa"/>
            <w:vAlign w:val="center"/>
          </w:tcPr>
          <w:p w14:paraId="456F39D9"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auto" w:fill="auto"/>
            <w:vAlign w:val="center"/>
            <w:hideMark/>
          </w:tcPr>
          <w:p w14:paraId="570B231B"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auto" w:fill="auto"/>
            <w:vAlign w:val="center"/>
            <w:hideMark/>
          </w:tcPr>
          <w:p w14:paraId="614EA483"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auto" w:fill="auto"/>
            <w:vAlign w:val="center"/>
            <w:hideMark/>
          </w:tcPr>
          <w:p w14:paraId="210A3066" w14:textId="77777777" w:rsidR="00626001" w:rsidRPr="00B0658A" w:rsidRDefault="00626001" w:rsidP="00004A41">
            <w:pPr>
              <w:spacing w:after="0" w:line="240" w:lineRule="auto"/>
              <w:jc w:val="center"/>
              <w:rPr>
                <w:rFonts w:ascii="Times New Roman" w:hAnsi="Times New Roman"/>
                <w:sz w:val="18"/>
                <w:szCs w:val="18"/>
              </w:rPr>
            </w:pPr>
          </w:p>
        </w:tc>
        <w:tc>
          <w:tcPr>
            <w:tcW w:w="992" w:type="dxa"/>
            <w:vAlign w:val="center"/>
          </w:tcPr>
          <w:p w14:paraId="1EEF87BB" w14:textId="77777777" w:rsidR="00626001" w:rsidRPr="00B0658A" w:rsidRDefault="00626001" w:rsidP="00004A41">
            <w:pPr>
              <w:spacing w:after="0" w:line="240" w:lineRule="auto"/>
              <w:jc w:val="center"/>
              <w:rPr>
                <w:rFonts w:ascii="Times New Roman" w:hAnsi="Times New Roman"/>
                <w:sz w:val="18"/>
                <w:szCs w:val="18"/>
              </w:rPr>
            </w:pPr>
          </w:p>
        </w:tc>
        <w:tc>
          <w:tcPr>
            <w:tcW w:w="803" w:type="dxa"/>
            <w:shd w:val="clear" w:color="auto" w:fill="auto"/>
            <w:vAlign w:val="center"/>
            <w:hideMark/>
          </w:tcPr>
          <w:p w14:paraId="6636E021" w14:textId="77777777" w:rsidR="00626001" w:rsidRPr="00B0658A" w:rsidRDefault="00626001" w:rsidP="00004A41">
            <w:pPr>
              <w:spacing w:after="0" w:line="240" w:lineRule="auto"/>
              <w:jc w:val="center"/>
              <w:rPr>
                <w:rFonts w:ascii="Times New Roman" w:hAnsi="Times New Roman"/>
                <w:sz w:val="18"/>
                <w:szCs w:val="18"/>
              </w:rPr>
            </w:pPr>
          </w:p>
        </w:tc>
        <w:tc>
          <w:tcPr>
            <w:tcW w:w="803" w:type="dxa"/>
            <w:shd w:val="clear" w:color="auto" w:fill="auto"/>
            <w:vAlign w:val="center"/>
            <w:hideMark/>
          </w:tcPr>
          <w:p w14:paraId="624151F7" w14:textId="77777777" w:rsidR="00626001" w:rsidRPr="00B0658A" w:rsidRDefault="00626001" w:rsidP="00004A41">
            <w:pPr>
              <w:spacing w:after="0" w:line="240" w:lineRule="auto"/>
              <w:jc w:val="center"/>
              <w:rPr>
                <w:rFonts w:ascii="Times New Roman" w:hAnsi="Times New Roman"/>
                <w:sz w:val="18"/>
                <w:szCs w:val="18"/>
              </w:rPr>
            </w:pPr>
          </w:p>
        </w:tc>
        <w:tc>
          <w:tcPr>
            <w:tcW w:w="804" w:type="dxa"/>
            <w:shd w:val="clear" w:color="auto" w:fill="auto"/>
            <w:vAlign w:val="center"/>
            <w:hideMark/>
          </w:tcPr>
          <w:p w14:paraId="7EF253DB" w14:textId="77777777" w:rsidR="00626001" w:rsidRPr="00B0658A" w:rsidRDefault="00626001" w:rsidP="00004A41">
            <w:pPr>
              <w:spacing w:after="0" w:line="240" w:lineRule="auto"/>
              <w:jc w:val="center"/>
              <w:rPr>
                <w:rFonts w:ascii="Times New Roman" w:hAnsi="Times New Roman"/>
                <w:sz w:val="18"/>
                <w:szCs w:val="18"/>
              </w:rPr>
            </w:pPr>
          </w:p>
        </w:tc>
        <w:tc>
          <w:tcPr>
            <w:tcW w:w="1530" w:type="dxa"/>
            <w:vAlign w:val="center"/>
          </w:tcPr>
          <w:p w14:paraId="318804AD" w14:textId="77777777" w:rsidR="00626001" w:rsidRPr="00B0658A" w:rsidRDefault="00626001" w:rsidP="00004A41">
            <w:pPr>
              <w:spacing w:after="0" w:line="240" w:lineRule="auto"/>
              <w:jc w:val="center"/>
              <w:rPr>
                <w:rFonts w:ascii="Times New Roman" w:hAnsi="Times New Roman"/>
                <w:sz w:val="18"/>
                <w:szCs w:val="18"/>
              </w:rPr>
            </w:pPr>
          </w:p>
        </w:tc>
      </w:tr>
      <w:tr w:rsidR="00F52FED" w:rsidRPr="00B0658A" w14:paraId="53D7FCEB" w14:textId="77777777" w:rsidTr="000103BB">
        <w:trPr>
          <w:trHeight w:val="20"/>
        </w:trPr>
        <w:tc>
          <w:tcPr>
            <w:tcW w:w="578" w:type="dxa"/>
            <w:shd w:val="clear" w:color="000000" w:fill="FFFFFF"/>
            <w:vAlign w:val="center"/>
          </w:tcPr>
          <w:p w14:paraId="027D5957" w14:textId="77777777" w:rsidR="00626001" w:rsidRPr="00B0658A" w:rsidRDefault="00626001" w:rsidP="00004A41">
            <w:pPr>
              <w:spacing w:after="0" w:line="240" w:lineRule="auto"/>
              <w:jc w:val="center"/>
              <w:rPr>
                <w:rFonts w:ascii="Times New Roman" w:hAnsi="Times New Roman"/>
                <w:sz w:val="18"/>
                <w:szCs w:val="18"/>
              </w:rPr>
            </w:pPr>
            <w:r w:rsidRPr="00B0658A">
              <w:rPr>
                <w:rFonts w:ascii="Times New Roman" w:hAnsi="Times New Roman"/>
                <w:sz w:val="18"/>
                <w:szCs w:val="18"/>
              </w:rPr>
              <w:t>6.11</w:t>
            </w:r>
          </w:p>
        </w:tc>
        <w:tc>
          <w:tcPr>
            <w:tcW w:w="3812" w:type="dxa"/>
            <w:shd w:val="clear" w:color="auto" w:fill="auto"/>
            <w:vAlign w:val="center"/>
            <w:hideMark/>
          </w:tcPr>
          <w:p w14:paraId="1DD9136F" w14:textId="77777777" w:rsidR="00626001" w:rsidRPr="00B0658A" w:rsidRDefault="00626001" w:rsidP="00004A41">
            <w:pPr>
              <w:spacing w:after="0" w:line="240" w:lineRule="auto"/>
              <w:rPr>
                <w:rFonts w:ascii="Times New Roman" w:hAnsi="Times New Roman"/>
                <w:sz w:val="18"/>
                <w:szCs w:val="18"/>
              </w:rPr>
            </w:pPr>
            <w:r w:rsidRPr="00B0658A">
              <w:rPr>
                <w:rFonts w:ascii="Times New Roman" w:hAnsi="Times New Roman"/>
                <w:sz w:val="18"/>
                <w:szCs w:val="18"/>
              </w:rPr>
              <w:t>Офисные приложения/ Текстовые редакторы</w:t>
            </w:r>
          </w:p>
        </w:tc>
        <w:tc>
          <w:tcPr>
            <w:tcW w:w="1842" w:type="dxa"/>
            <w:shd w:val="clear" w:color="000000" w:fill="FFFFFF"/>
            <w:hideMark/>
          </w:tcPr>
          <w:p w14:paraId="2BCB3EFA" w14:textId="77777777" w:rsidR="00626001" w:rsidRPr="00B0658A" w:rsidRDefault="00626001" w:rsidP="00004A41">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79" w:type="dxa"/>
            <w:vAlign w:val="center"/>
          </w:tcPr>
          <w:p w14:paraId="2F3BC966"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auto" w:fill="auto"/>
            <w:vAlign w:val="center"/>
            <w:hideMark/>
          </w:tcPr>
          <w:p w14:paraId="23AA19F6"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auto" w:fill="auto"/>
            <w:vAlign w:val="center"/>
            <w:hideMark/>
          </w:tcPr>
          <w:p w14:paraId="4FB2A5EB"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auto" w:fill="auto"/>
            <w:vAlign w:val="center"/>
            <w:hideMark/>
          </w:tcPr>
          <w:p w14:paraId="13940104" w14:textId="77777777" w:rsidR="00626001" w:rsidRPr="00B0658A" w:rsidRDefault="00626001" w:rsidP="00004A41">
            <w:pPr>
              <w:spacing w:after="0" w:line="240" w:lineRule="auto"/>
              <w:jc w:val="center"/>
              <w:rPr>
                <w:rFonts w:ascii="Times New Roman" w:hAnsi="Times New Roman"/>
                <w:sz w:val="18"/>
                <w:szCs w:val="18"/>
              </w:rPr>
            </w:pPr>
          </w:p>
        </w:tc>
        <w:tc>
          <w:tcPr>
            <w:tcW w:w="992" w:type="dxa"/>
            <w:vAlign w:val="center"/>
          </w:tcPr>
          <w:p w14:paraId="2FF7A55C" w14:textId="77777777" w:rsidR="00626001" w:rsidRPr="00B0658A" w:rsidRDefault="00626001" w:rsidP="00004A41">
            <w:pPr>
              <w:spacing w:after="0" w:line="240" w:lineRule="auto"/>
              <w:jc w:val="center"/>
              <w:rPr>
                <w:rFonts w:ascii="Times New Roman" w:hAnsi="Times New Roman"/>
                <w:sz w:val="18"/>
                <w:szCs w:val="18"/>
              </w:rPr>
            </w:pPr>
          </w:p>
        </w:tc>
        <w:tc>
          <w:tcPr>
            <w:tcW w:w="803" w:type="dxa"/>
            <w:shd w:val="clear" w:color="auto" w:fill="auto"/>
            <w:vAlign w:val="center"/>
            <w:hideMark/>
          </w:tcPr>
          <w:p w14:paraId="4A8F8905" w14:textId="77777777" w:rsidR="00626001" w:rsidRPr="00B0658A" w:rsidRDefault="00626001" w:rsidP="00004A41">
            <w:pPr>
              <w:spacing w:after="0" w:line="240" w:lineRule="auto"/>
              <w:jc w:val="center"/>
              <w:rPr>
                <w:rFonts w:ascii="Times New Roman" w:hAnsi="Times New Roman"/>
                <w:sz w:val="18"/>
                <w:szCs w:val="18"/>
              </w:rPr>
            </w:pPr>
          </w:p>
        </w:tc>
        <w:tc>
          <w:tcPr>
            <w:tcW w:w="803" w:type="dxa"/>
            <w:shd w:val="clear" w:color="auto" w:fill="auto"/>
            <w:vAlign w:val="center"/>
            <w:hideMark/>
          </w:tcPr>
          <w:p w14:paraId="7F887368" w14:textId="77777777" w:rsidR="00626001" w:rsidRPr="00B0658A" w:rsidRDefault="00626001" w:rsidP="00004A41">
            <w:pPr>
              <w:spacing w:after="0" w:line="240" w:lineRule="auto"/>
              <w:jc w:val="center"/>
              <w:rPr>
                <w:rFonts w:ascii="Times New Roman" w:hAnsi="Times New Roman"/>
                <w:sz w:val="18"/>
                <w:szCs w:val="18"/>
              </w:rPr>
            </w:pPr>
          </w:p>
        </w:tc>
        <w:tc>
          <w:tcPr>
            <w:tcW w:w="804" w:type="dxa"/>
            <w:shd w:val="clear" w:color="auto" w:fill="auto"/>
            <w:vAlign w:val="center"/>
            <w:hideMark/>
          </w:tcPr>
          <w:p w14:paraId="30C060E2" w14:textId="77777777" w:rsidR="00626001" w:rsidRPr="00B0658A" w:rsidRDefault="00626001" w:rsidP="00004A41">
            <w:pPr>
              <w:spacing w:after="0" w:line="240" w:lineRule="auto"/>
              <w:jc w:val="center"/>
              <w:rPr>
                <w:rFonts w:ascii="Times New Roman" w:hAnsi="Times New Roman"/>
                <w:sz w:val="18"/>
                <w:szCs w:val="18"/>
              </w:rPr>
            </w:pPr>
          </w:p>
        </w:tc>
        <w:tc>
          <w:tcPr>
            <w:tcW w:w="1530" w:type="dxa"/>
            <w:vAlign w:val="center"/>
          </w:tcPr>
          <w:p w14:paraId="5F517A91" w14:textId="77777777" w:rsidR="00626001" w:rsidRPr="00B0658A" w:rsidRDefault="00626001" w:rsidP="00004A41">
            <w:pPr>
              <w:spacing w:after="0" w:line="240" w:lineRule="auto"/>
              <w:jc w:val="center"/>
              <w:rPr>
                <w:rFonts w:ascii="Times New Roman" w:hAnsi="Times New Roman"/>
                <w:sz w:val="18"/>
                <w:szCs w:val="18"/>
              </w:rPr>
            </w:pPr>
          </w:p>
        </w:tc>
      </w:tr>
      <w:tr w:rsidR="00F52FED" w:rsidRPr="00B0658A" w14:paraId="5007D65C" w14:textId="77777777" w:rsidTr="000103BB">
        <w:trPr>
          <w:trHeight w:val="20"/>
        </w:trPr>
        <w:tc>
          <w:tcPr>
            <w:tcW w:w="578" w:type="dxa"/>
            <w:shd w:val="clear" w:color="000000" w:fill="FFFFFF"/>
            <w:vAlign w:val="center"/>
          </w:tcPr>
          <w:p w14:paraId="200EA0F5" w14:textId="77777777" w:rsidR="00626001" w:rsidRPr="00B0658A" w:rsidRDefault="00626001" w:rsidP="00004A41">
            <w:pPr>
              <w:spacing w:after="0" w:line="240" w:lineRule="auto"/>
              <w:jc w:val="center"/>
              <w:rPr>
                <w:rFonts w:ascii="Times New Roman" w:hAnsi="Times New Roman"/>
                <w:sz w:val="18"/>
                <w:szCs w:val="18"/>
              </w:rPr>
            </w:pPr>
            <w:r w:rsidRPr="00B0658A">
              <w:rPr>
                <w:rFonts w:ascii="Times New Roman" w:hAnsi="Times New Roman"/>
                <w:sz w:val="18"/>
                <w:szCs w:val="18"/>
              </w:rPr>
              <w:t>6.12</w:t>
            </w:r>
          </w:p>
        </w:tc>
        <w:tc>
          <w:tcPr>
            <w:tcW w:w="3812" w:type="dxa"/>
            <w:shd w:val="clear" w:color="auto" w:fill="auto"/>
            <w:vAlign w:val="center"/>
            <w:hideMark/>
          </w:tcPr>
          <w:p w14:paraId="6C41ABD2" w14:textId="77777777" w:rsidR="00626001" w:rsidRPr="00B0658A" w:rsidRDefault="00626001" w:rsidP="00004A41">
            <w:pPr>
              <w:spacing w:after="0" w:line="240" w:lineRule="auto"/>
              <w:rPr>
                <w:rFonts w:ascii="Times New Roman" w:hAnsi="Times New Roman"/>
                <w:sz w:val="18"/>
                <w:szCs w:val="18"/>
              </w:rPr>
            </w:pPr>
            <w:r w:rsidRPr="00B0658A">
              <w:rPr>
                <w:rFonts w:ascii="Times New Roman" w:hAnsi="Times New Roman"/>
                <w:sz w:val="18"/>
                <w:szCs w:val="18"/>
              </w:rPr>
              <w:t>Офисные приложения/ Программное обеспечение средств электронного документооборота</w:t>
            </w:r>
          </w:p>
        </w:tc>
        <w:tc>
          <w:tcPr>
            <w:tcW w:w="1842" w:type="dxa"/>
            <w:shd w:val="clear" w:color="000000" w:fill="FFFFFF"/>
            <w:hideMark/>
          </w:tcPr>
          <w:p w14:paraId="2E6988CF" w14:textId="77777777" w:rsidR="00626001" w:rsidRPr="00B0658A" w:rsidRDefault="00626001" w:rsidP="00004A41">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79" w:type="dxa"/>
            <w:vAlign w:val="center"/>
          </w:tcPr>
          <w:p w14:paraId="21B227DF"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auto" w:fill="auto"/>
            <w:vAlign w:val="center"/>
            <w:hideMark/>
          </w:tcPr>
          <w:p w14:paraId="4AB0521B"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auto" w:fill="auto"/>
            <w:vAlign w:val="center"/>
            <w:hideMark/>
          </w:tcPr>
          <w:p w14:paraId="694AA335"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auto" w:fill="auto"/>
            <w:vAlign w:val="center"/>
            <w:hideMark/>
          </w:tcPr>
          <w:p w14:paraId="6F641A71" w14:textId="77777777" w:rsidR="00626001" w:rsidRPr="00B0658A" w:rsidRDefault="00626001" w:rsidP="00004A41">
            <w:pPr>
              <w:spacing w:after="0" w:line="240" w:lineRule="auto"/>
              <w:jc w:val="center"/>
              <w:rPr>
                <w:rFonts w:ascii="Times New Roman" w:hAnsi="Times New Roman"/>
                <w:sz w:val="18"/>
                <w:szCs w:val="18"/>
              </w:rPr>
            </w:pPr>
          </w:p>
        </w:tc>
        <w:tc>
          <w:tcPr>
            <w:tcW w:w="992" w:type="dxa"/>
            <w:vAlign w:val="center"/>
          </w:tcPr>
          <w:p w14:paraId="6E575A5B" w14:textId="77777777" w:rsidR="00626001" w:rsidRPr="00B0658A" w:rsidRDefault="00626001" w:rsidP="00004A41">
            <w:pPr>
              <w:spacing w:after="0" w:line="240" w:lineRule="auto"/>
              <w:jc w:val="center"/>
              <w:rPr>
                <w:rFonts w:ascii="Times New Roman" w:hAnsi="Times New Roman"/>
                <w:sz w:val="18"/>
                <w:szCs w:val="18"/>
              </w:rPr>
            </w:pPr>
          </w:p>
        </w:tc>
        <w:tc>
          <w:tcPr>
            <w:tcW w:w="803" w:type="dxa"/>
            <w:shd w:val="clear" w:color="auto" w:fill="auto"/>
            <w:vAlign w:val="center"/>
            <w:hideMark/>
          </w:tcPr>
          <w:p w14:paraId="28325843" w14:textId="77777777" w:rsidR="00626001" w:rsidRPr="00B0658A" w:rsidRDefault="00626001" w:rsidP="00004A41">
            <w:pPr>
              <w:spacing w:after="0" w:line="240" w:lineRule="auto"/>
              <w:jc w:val="center"/>
              <w:rPr>
                <w:rFonts w:ascii="Times New Roman" w:hAnsi="Times New Roman"/>
                <w:sz w:val="18"/>
                <w:szCs w:val="18"/>
              </w:rPr>
            </w:pPr>
          </w:p>
        </w:tc>
        <w:tc>
          <w:tcPr>
            <w:tcW w:w="803" w:type="dxa"/>
            <w:shd w:val="clear" w:color="auto" w:fill="auto"/>
            <w:vAlign w:val="center"/>
            <w:hideMark/>
          </w:tcPr>
          <w:p w14:paraId="2E70B7EA" w14:textId="77777777" w:rsidR="00626001" w:rsidRPr="00B0658A" w:rsidRDefault="00626001" w:rsidP="00004A41">
            <w:pPr>
              <w:spacing w:after="0" w:line="240" w:lineRule="auto"/>
              <w:jc w:val="center"/>
              <w:rPr>
                <w:rFonts w:ascii="Times New Roman" w:hAnsi="Times New Roman"/>
                <w:sz w:val="18"/>
                <w:szCs w:val="18"/>
              </w:rPr>
            </w:pPr>
          </w:p>
        </w:tc>
        <w:tc>
          <w:tcPr>
            <w:tcW w:w="804" w:type="dxa"/>
            <w:shd w:val="clear" w:color="auto" w:fill="auto"/>
            <w:vAlign w:val="center"/>
            <w:hideMark/>
          </w:tcPr>
          <w:p w14:paraId="354C60FA" w14:textId="77777777" w:rsidR="00626001" w:rsidRPr="00B0658A" w:rsidRDefault="00626001" w:rsidP="00004A41">
            <w:pPr>
              <w:spacing w:after="0" w:line="240" w:lineRule="auto"/>
              <w:jc w:val="center"/>
              <w:rPr>
                <w:rFonts w:ascii="Times New Roman" w:hAnsi="Times New Roman"/>
                <w:sz w:val="18"/>
                <w:szCs w:val="18"/>
              </w:rPr>
            </w:pPr>
          </w:p>
        </w:tc>
        <w:tc>
          <w:tcPr>
            <w:tcW w:w="1530" w:type="dxa"/>
            <w:vAlign w:val="center"/>
          </w:tcPr>
          <w:p w14:paraId="4E312FE9" w14:textId="77777777" w:rsidR="00626001" w:rsidRPr="00B0658A" w:rsidRDefault="00626001" w:rsidP="00004A41">
            <w:pPr>
              <w:spacing w:after="0" w:line="240" w:lineRule="auto"/>
              <w:jc w:val="center"/>
              <w:rPr>
                <w:rFonts w:ascii="Times New Roman" w:hAnsi="Times New Roman"/>
                <w:sz w:val="18"/>
                <w:szCs w:val="18"/>
              </w:rPr>
            </w:pPr>
          </w:p>
        </w:tc>
      </w:tr>
      <w:tr w:rsidR="00F52FED" w:rsidRPr="00B0658A" w14:paraId="3D96C62A" w14:textId="77777777" w:rsidTr="000103BB">
        <w:trPr>
          <w:trHeight w:val="20"/>
        </w:trPr>
        <w:tc>
          <w:tcPr>
            <w:tcW w:w="578" w:type="dxa"/>
            <w:shd w:val="clear" w:color="000000" w:fill="FFFFFF"/>
            <w:vAlign w:val="center"/>
          </w:tcPr>
          <w:p w14:paraId="57B763A8" w14:textId="77777777" w:rsidR="00626001" w:rsidRPr="00B0658A" w:rsidRDefault="00626001" w:rsidP="00004A41">
            <w:pPr>
              <w:spacing w:after="0" w:line="240" w:lineRule="auto"/>
              <w:jc w:val="center"/>
              <w:rPr>
                <w:rFonts w:ascii="Times New Roman" w:hAnsi="Times New Roman"/>
                <w:sz w:val="18"/>
                <w:szCs w:val="18"/>
              </w:rPr>
            </w:pPr>
            <w:r w:rsidRPr="00B0658A">
              <w:rPr>
                <w:rFonts w:ascii="Times New Roman" w:hAnsi="Times New Roman"/>
                <w:sz w:val="18"/>
                <w:szCs w:val="18"/>
              </w:rPr>
              <w:t>7.1</w:t>
            </w:r>
          </w:p>
        </w:tc>
        <w:tc>
          <w:tcPr>
            <w:tcW w:w="3812" w:type="dxa"/>
            <w:shd w:val="clear" w:color="auto" w:fill="auto"/>
            <w:vAlign w:val="center"/>
            <w:hideMark/>
          </w:tcPr>
          <w:p w14:paraId="317714E0" w14:textId="77777777" w:rsidR="00626001" w:rsidRPr="00B0658A" w:rsidRDefault="00626001" w:rsidP="00004A41">
            <w:pPr>
              <w:spacing w:after="0" w:line="240" w:lineRule="auto"/>
              <w:rPr>
                <w:rFonts w:ascii="Times New Roman" w:hAnsi="Times New Roman"/>
                <w:sz w:val="18"/>
                <w:szCs w:val="18"/>
              </w:rPr>
            </w:pPr>
            <w:r w:rsidRPr="00B0658A">
              <w:rPr>
                <w:rFonts w:ascii="Times New Roman" w:hAnsi="Times New Roman"/>
                <w:sz w:val="18"/>
                <w:szCs w:val="18"/>
              </w:rPr>
              <w:t xml:space="preserve">Лингвистическое программное обеспечение/ Парсеры </w:t>
            </w:r>
            <w:r w:rsidRPr="00B0658A">
              <w:rPr>
                <w:rFonts w:ascii="Times New Roman" w:hAnsi="Times New Roman"/>
                <w:sz w:val="18"/>
                <w:szCs w:val="18"/>
              </w:rPr>
              <w:br/>
              <w:t>и семантические анализаторы</w:t>
            </w:r>
          </w:p>
        </w:tc>
        <w:tc>
          <w:tcPr>
            <w:tcW w:w="1842" w:type="dxa"/>
            <w:shd w:val="clear" w:color="000000" w:fill="FFFFFF"/>
            <w:hideMark/>
          </w:tcPr>
          <w:p w14:paraId="40689DFB" w14:textId="77777777" w:rsidR="00626001" w:rsidRPr="00B0658A" w:rsidRDefault="00626001" w:rsidP="00004A41">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79" w:type="dxa"/>
            <w:vAlign w:val="center"/>
          </w:tcPr>
          <w:p w14:paraId="08818067"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auto" w:fill="auto"/>
            <w:vAlign w:val="center"/>
            <w:hideMark/>
          </w:tcPr>
          <w:p w14:paraId="6B279734"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auto" w:fill="auto"/>
            <w:vAlign w:val="center"/>
            <w:hideMark/>
          </w:tcPr>
          <w:p w14:paraId="68E09109"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auto" w:fill="auto"/>
            <w:vAlign w:val="center"/>
            <w:hideMark/>
          </w:tcPr>
          <w:p w14:paraId="0A28FCE2" w14:textId="77777777" w:rsidR="00626001" w:rsidRPr="00B0658A" w:rsidRDefault="00626001" w:rsidP="00004A41">
            <w:pPr>
              <w:spacing w:after="0" w:line="240" w:lineRule="auto"/>
              <w:jc w:val="center"/>
              <w:rPr>
                <w:rFonts w:ascii="Times New Roman" w:hAnsi="Times New Roman"/>
                <w:sz w:val="18"/>
                <w:szCs w:val="18"/>
              </w:rPr>
            </w:pPr>
          </w:p>
        </w:tc>
        <w:tc>
          <w:tcPr>
            <w:tcW w:w="992" w:type="dxa"/>
            <w:vAlign w:val="center"/>
          </w:tcPr>
          <w:p w14:paraId="617A322E" w14:textId="77777777" w:rsidR="00626001" w:rsidRPr="00B0658A" w:rsidRDefault="00626001" w:rsidP="00004A41">
            <w:pPr>
              <w:spacing w:after="0" w:line="240" w:lineRule="auto"/>
              <w:jc w:val="center"/>
              <w:rPr>
                <w:rFonts w:ascii="Times New Roman" w:hAnsi="Times New Roman"/>
                <w:sz w:val="18"/>
                <w:szCs w:val="18"/>
              </w:rPr>
            </w:pPr>
          </w:p>
        </w:tc>
        <w:tc>
          <w:tcPr>
            <w:tcW w:w="803" w:type="dxa"/>
            <w:shd w:val="clear" w:color="auto" w:fill="auto"/>
            <w:vAlign w:val="center"/>
            <w:hideMark/>
          </w:tcPr>
          <w:p w14:paraId="27E404E0" w14:textId="77777777" w:rsidR="00626001" w:rsidRPr="00B0658A" w:rsidRDefault="00626001" w:rsidP="00004A41">
            <w:pPr>
              <w:spacing w:after="0" w:line="240" w:lineRule="auto"/>
              <w:jc w:val="center"/>
              <w:rPr>
                <w:rFonts w:ascii="Times New Roman" w:hAnsi="Times New Roman"/>
                <w:sz w:val="18"/>
                <w:szCs w:val="18"/>
              </w:rPr>
            </w:pPr>
          </w:p>
        </w:tc>
        <w:tc>
          <w:tcPr>
            <w:tcW w:w="803" w:type="dxa"/>
            <w:shd w:val="clear" w:color="auto" w:fill="auto"/>
            <w:vAlign w:val="center"/>
            <w:hideMark/>
          </w:tcPr>
          <w:p w14:paraId="719BCA02" w14:textId="77777777" w:rsidR="00626001" w:rsidRPr="00B0658A" w:rsidRDefault="00626001" w:rsidP="00004A41">
            <w:pPr>
              <w:spacing w:after="0" w:line="240" w:lineRule="auto"/>
              <w:jc w:val="center"/>
              <w:rPr>
                <w:rFonts w:ascii="Times New Roman" w:hAnsi="Times New Roman"/>
                <w:sz w:val="18"/>
                <w:szCs w:val="18"/>
              </w:rPr>
            </w:pPr>
          </w:p>
        </w:tc>
        <w:tc>
          <w:tcPr>
            <w:tcW w:w="804" w:type="dxa"/>
            <w:shd w:val="clear" w:color="auto" w:fill="auto"/>
            <w:vAlign w:val="center"/>
            <w:hideMark/>
          </w:tcPr>
          <w:p w14:paraId="00A19741" w14:textId="77777777" w:rsidR="00626001" w:rsidRPr="00B0658A" w:rsidRDefault="00626001" w:rsidP="00004A41">
            <w:pPr>
              <w:spacing w:after="0" w:line="240" w:lineRule="auto"/>
              <w:jc w:val="center"/>
              <w:rPr>
                <w:rFonts w:ascii="Times New Roman" w:hAnsi="Times New Roman"/>
                <w:sz w:val="18"/>
                <w:szCs w:val="18"/>
              </w:rPr>
            </w:pPr>
          </w:p>
        </w:tc>
        <w:tc>
          <w:tcPr>
            <w:tcW w:w="1530" w:type="dxa"/>
            <w:vAlign w:val="center"/>
          </w:tcPr>
          <w:p w14:paraId="52345B13" w14:textId="77777777" w:rsidR="00626001" w:rsidRPr="00B0658A" w:rsidRDefault="00626001" w:rsidP="00004A41">
            <w:pPr>
              <w:spacing w:after="0" w:line="240" w:lineRule="auto"/>
              <w:jc w:val="center"/>
              <w:rPr>
                <w:rFonts w:ascii="Times New Roman" w:hAnsi="Times New Roman"/>
                <w:sz w:val="18"/>
                <w:szCs w:val="18"/>
              </w:rPr>
            </w:pPr>
          </w:p>
        </w:tc>
      </w:tr>
      <w:tr w:rsidR="00F52FED" w:rsidRPr="00B0658A" w14:paraId="3F46FCA4" w14:textId="77777777" w:rsidTr="000103BB">
        <w:trPr>
          <w:trHeight w:val="20"/>
        </w:trPr>
        <w:tc>
          <w:tcPr>
            <w:tcW w:w="578" w:type="dxa"/>
            <w:shd w:val="clear" w:color="000000" w:fill="FFFFFF"/>
            <w:vAlign w:val="center"/>
          </w:tcPr>
          <w:p w14:paraId="5C3D0B87" w14:textId="77777777" w:rsidR="00626001" w:rsidRPr="00B0658A" w:rsidRDefault="00626001" w:rsidP="00004A41">
            <w:pPr>
              <w:spacing w:after="0" w:line="240" w:lineRule="auto"/>
              <w:jc w:val="center"/>
              <w:rPr>
                <w:rFonts w:ascii="Times New Roman" w:hAnsi="Times New Roman"/>
                <w:sz w:val="18"/>
                <w:szCs w:val="18"/>
              </w:rPr>
            </w:pPr>
            <w:r w:rsidRPr="00B0658A">
              <w:rPr>
                <w:rFonts w:ascii="Times New Roman" w:hAnsi="Times New Roman"/>
                <w:sz w:val="18"/>
                <w:szCs w:val="18"/>
              </w:rPr>
              <w:t>7.2</w:t>
            </w:r>
          </w:p>
        </w:tc>
        <w:tc>
          <w:tcPr>
            <w:tcW w:w="3812" w:type="dxa"/>
            <w:shd w:val="clear" w:color="auto" w:fill="auto"/>
            <w:vAlign w:val="center"/>
            <w:hideMark/>
          </w:tcPr>
          <w:p w14:paraId="2CF024D1" w14:textId="77777777" w:rsidR="00626001" w:rsidRPr="00B0658A" w:rsidRDefault="00626001" w:rsidP="00004A41">
            <w:pPr>
              <w:spacing w:after="0" w:line="240" w:lineRule="auto"/>
              <w:rPr>
                <w:rFonts w:ascii="Times New Roman" w:hAnsi="Times New Roman"/>
                <w:sz w:val="18"/>
                <w:szCs w:val="18"/>
              </w:rPr>
            </w:pPr>
            <w:r w:rsidRPr="00B0658A">
              <w:rPr>
                <w:rFonts w:ascii="Times New Roman" w:hAnsi="Times New Roman"/>
                <w:sz w:val="18"/>
                <w:szCs w:val="18"/>
              </w:rPr>
              <w:t>Лингвистическое программное обеспечение/ Средства речевого перевода</w:t>
            </w:r>
          </w:p>
        </w:tc>
        <w:tc>
          <w:tcPr>
            <w:tcW w:w="1842" w:type="dxa"/>
            <w:shd w:val="clear" w:color="000000" w:fill="FFFFFF"/>
            <w:hideMark/>
          </w:tcPr>
          <w:p w14:paraId="13C1398C" w14:textId="77777777" w:rsidR="00626001" w:rsidRPr="00B0658A" w:rsidRDefault="00626001" w:rsidP="00004A41">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79" w:type="dxa"/>
            <w:shd w:val="clear" w:color="000000" w:fill="FFFFFF"/>
            <w:vAlign w:val="center"/>
          </w:tcPr>
          <w:p w14:paraId="76C97E9B"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000000" w:fill="FFFFFF"/>
            <w:vAlign w:val="center"/>
            <w:hideMark/>
          </w:tcPr>
          <w:p w14:paraId="2B0AFCD7"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000000" w:fill="FFFFFF"/>
            <w:vAlign w:val="center"/>
            <w:hideMark/>
          </w:tcPr>
          <w:p w14:paraId="5F9299BF"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000000" w:fill="FFFFFF"/>
            <w:vAlign w:val="center"/>
            <w:hideMark/>
          </w:tcPr>
          <w:p w14:paraId="162125D5" w14:textId="77777777" w:rsidR="00626001" w:rsidRPr="00B0658A" w:rsidRDefault="00626001" w:rsidP="00004A41">
            <w:pPr>
              <w:spacing w:after="0" w:line="240" w:lineRule="auto"/>
              <w:jc w:val="center"/>
              <w:rPr>
                <w:rFonts w:ascii="Times New Roman" w:hAnsi="Times New Roman"/>
                <w:sz w:val="18"/>
                <w:szCs w:val="18"/>
              </w:rPr>
            </w:pPr>
          </w:p>
        </w:tc>
        <w:tc>
          <w:tcPr>
            <w:tcW w:w="992" w:type="dxa"/>
            <w:shd w:val="clear" w:color="000000" w:fill="FFFFFF"/>
            <w:vAlign w:val="center"/>
          </w:tcPr>
          <w:p w14:paraId="10B51002" w14:textId="77777777" w:rsidR="00626001" w:rsidRPr="00B0658A" w:rsidRDefault="00626001" w:rsidP="00004A41">
            <w:pPr>
              <w:spacing w:after="0" w:line="240" w:lineRule="auto"/>
              <w:jc w:val="center"/>
              <w:rPr>
                <w:rFonts w:ascii="Times New Roman" w:hAnsi="Times New Roman"/>
                <w:sz w:val="18"/>
                <w:szCs w:val="18"/>
              </w:rPr>
            </w:pPr>
          </w:p>
        </w:tc>
        <w:tc>
          <w:tcPr>
            <w:tcW w:w="803" w:type="dxa"/>
            <w:shd w:val="clear" w:color="000000" w:fill="FFFFFF"/>
            <w:vAlign w:val="center"/>
            <w:hideMark/>
          </w:tcPr>
          <w:p w14:paraId="0D33D5FA" w14:textId="77777777" w:rsidR="00626001" w:rsidRPr="00B0658A" w:rsidRDefault="00626001" w:rsidP="00004A41">
            <w:pPr>
              <w:spacing w:after="0" w:line="240" w:lineRule="auto"/>
              <w:jc w:val="center"/>
              <w:rPr>
                <w:rFonts w:ascii="Times New Roman" w:hAnsi="Times New Roman"/>
                <w:sz w:val="18"/>
                <w:szCs w:val="18"/>
              </w:rPr>
            </w:pPr>
          </w:p>
        </w:tc>
        <w:tc>
          <w:tcPr>
            <w:tcW w:w="803" w:type="dxa"/>
            <w:shd w:val="clear" w:color="000000" w:fill="FFFFFF"/>
            <w:vAlign w:val="center"/>
            <w:hideMark/>
          </w:tcPr>
          <w:p w14:paraId="18A4829B" w14:textId="77777777" w:rsidR="00626001" w:rsidRPr="00B0658A" w:rsidRDefault="00626001" w:rsidP="00004A41">
            <w:pPr>
              <w:spacing w:after="0" w:line="240" w:lineRule="auto"/>
              <w:jc w:val="center"/>
              <w:rPr>
                <w:rFonts w:ascii="Times New Roman" w:hAnsi="Times New Roman"/>
                <w:sz w:val="18"/>
                <w:szCs w:val="18"/>
              </w:rPr>
            </w:pPr>
          </w:p>
        </w:tc>
        <w:tc>
          <w:tcPr>
            <w:tcW w:w="804" w:type="dxa"/>
            <w:shd w:val="clear" w:color="000000" w:fill="FFFFFF"/>
            <w:vAlign w:val="center"/>
            <w:hideMark/>
          </w:tcPr>
          <w:p w14:paraId="7A334348" w14:textId="77777777" w:rsidR="00626001" w:rsidRPr="00B0658A" w:rsidRDefault="00626001" w:rsidP="00004A41">
            <w:pPr>
              <w:spacing w:after="0" w:line="240" w:lineRule="auto"/>
              <w:jc w:val="center"/>
              <w:rPr>
                <w:rFonts w:ascii="Times New Roman" w:hAnsi="Times New Roman"/>
                <w:sz w:val="18"/>
                <w:szCs w:val="18"/>
              </w:rPr>
            </w:pPr>
          </w:p>
        </w:tc>
        <w:tc>
          <w:tcPr>
            <w:tcW w:w="1530" w:type="dxa"/>
            <w:shd w:val="clear" w:color="000000" w:fill="FFFFFF"/>
            <w:vAlign w:val="center"/>
          </w:tcPr>
          <w:p w14:paraId="1BA90C3B" w14:textId="77777777" w:rsidR="00626001" w:rsidRPr="00B0658A" w:rsidRDefault="00626001" w:rsidP="00004A41">
            <w:pPr>
              <w:spacing w:after="0" w:line="240" w:lineRule="auto"/>
              <w:jc w:val="center"/>
              <w:rPr>
                <w:rFonts w:ascii="Times New Roman" w:hAnsi="Times New Roman"/>
                <w:sz w:val="18"/>
                <w:szCs w:val="18"/>
              </w:rPr>
            </w:pPr>
          </w:p>
        </w:tc>
      </w:tr>
      <w:tr w:rsidR="00F52FED" w:rsidRPr="00B0658A" w14:paraId="22E1584F" w14:textId="77777777" w:rsidTr="000103BB">
        <w:trPr>
          <w:trHeight w:val="20"/>
        </w:trPr>
        <w:tc>
          <w:tcPr>
            <w:tcW w:w="578" w:type="dxa"/>
            <w:shd w:val="clear" w:color="000000" w:fill="FFFFFF"/>
            <w:vAlign w:val="center"/>
          </w:tcPr>
          <w:p w14:paraId="2156E4D0" w14:textId="77777777" w:rsidR="00626001" w:rsidRPr="00B0658A" w:rsidRDefault="00626001" w:rsidP="00004A41">
            <w:pPr>
              <w:spacing w:after="0" w:line="240" w:lineRule="auto"/>
              <w:jc w:val="center"/>
              <w:rPr>
                <w:rFonts w:ascii="Times New Roman" w:hAnsi="Times New Roman"/>
                <w:sz w:val="18"/>
                <w:szCs w:val="18"/>
                <w:lang w:val="en-US"/>
              </w:rPr>
            </w:pPr>
            <w:r w:rsidRPr="00B0658A">
              <w:rPr>
                <w:rFonts w:ascii="Times New Roman" w:hAnsi="Times New Roman"/>
                <w:sz w:val="18"/>
                <w:szCs w:val="18"/>
                <w:lang w:val="en-US"/>
              </w:rPr>
              <w:t>7.3</w:t>
            </w:r>
          </w:p>
        </w:tc>
        <w:tc>
          <w:tcPr>
            <w:tcW w:w="3812" w:type="dxa"/>
            <w:shd w:val="clear" w:color="auto" w:fill="auto"/>
            <w:vAlign w:val="center"/>
            <w:hideMark/>
          </w:tcPr>
          <w:p w14:paraId="1D94D31C" w14:textId="77777777" w:rsidR="00626001" w:rsidRPr="00B0658A" w:rsidRDefault="00626001" w:rsidP="00004A41">
            <w:pPr>
              <w:spacing w:after="0" w:line="240" w:lineRule="auto"/>
              <w:rPr>
                <w:rFonts w:ascii="Times New Roman" w:hAnsi="Times New Roman"/>
                <w:sz w:val="18"/>
                <w:szCs w:val="18"/>
              </w:rPr>
            </w:pPr>
            <w:r w:rsidRPr="00B0658A">
              <w:rPr>
                <w:rFonts w:ascii="Times New Roman" w:hAnsi="Times New Roman"/>
                <w:sz w:val="18"/>
                <w:szCs w:val="18"/>
              </w:rPr>
              <w:t>Лингвистическое программное обеспечение/ Средства распознавания символов</w:t>
            </w:r>
          </w:p>
        </w:tc>
        <w:tc>
          <w:tcPr>
            <w:tcW w:w="1842" w:type="dxa"/>
            <w:shd w:val="clear" w:color="000000" w:fill="FFFFFF"/>
            <w:hideMark/>
          </w:tcPr>
          <w:p w14:paraId="7173A0F3" w14:textId="77777777" w:rsidR="00626001" w:rsidRPr="00B0658A" w:rsidRDefault="00626001" w:rsidP="00004A41">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79" w:type="dxa"/>
            <w:vAlign w:val="center"/>
          </w:tcPr>
          <w:p w14:paraId="7BF28AED"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auto" w:fill="auto"/>
            <w:vAlign w:val="center"/>
            <w:hideMark/>
          </w:tcPr>
          <w:p w14:paraId="22C8A1A8"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auto" w:fill="auto"/>
            <w:vAlign w:val="center"/>
            <w:hideMark/>
          </w:tcPr>
          <w:p w14:paraId="05EE71BE"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auto" w:fill="auto"/>
            <w:vAlign w:val="center"/>
            <w:hideMark/>
          </w:tcPr>
          <w:p w14:paraId="278E32FB" w14:textId="77777777" w:rsidR="00626001" w:rsidRPr="00B0658A" w:rsidRDefault="00626001" w:rsidP="00004A41">
            <w:pPr>
              <w:spacing w:after="0" w:line="240" w:lineRule="auto"/>
              <w:jc w:val="center"/>
              <w:rPr>
                <w:rFonts w:ascii="Times New Roman" w:hAnsi="Times New Roman"/>
                <w:sz w:val="18"/>
                <w:szCs w:val="18"/>
              </w:rPr>
            </w:pPr>
          </w:p>
        </w:tc>
        <w:tc>
          <w:tcPr>
            <w:tcW w:w="992" w:type="dxa"/>
            <w:vAlign w:val="center"/>
          </w:tcPr>
          <w:p w14:paraId="1546A06D" w14:textId="77777777" w:rsidR="00626001" w:rsidRPr="00B0658A" w:rsidRDefault="00626001" w:rsidP="00004A41">
            <w:pPr>
              <w:spacing w:after="0" w:line="240" w:lineRule="auto"/>
              <w:jc w:val="center"/>
              <w:rPr>
                <w:rFonts w:ascii="Times New Roman" w:hAnsi="Times New Roman"/>
                <w:sz w:val="18"/>
                <w:szCs w:val="18"/>
              </w:rPr>
            </w:pPr>
          </w:p>
        </w:tc>
        <w:tc>
          <w:tcPr>
            <w:tcW w:w="803" w:type="dxa"/>
            <w:shd w:val="clear" w:color="auto" w:fill="auto"/>
            <w:vAlign w:val="center"/>
            <w:hideMark/>
          </w:tcPr>
          <w:p w14:paraId="518535E3" w14:textId="77777777" w:rsidR="00626001" w:rsidRPr="00B0658A" w:rsidRDefault="00626001" w:rsidP="00004A41">
            <w:pPr>
              <w:spacing w:after="0" w:line="240" w:lineRule="auto"/>
              <w:jc w:val="center"/>
              <w:rPr>
                <w:rFonts w:ascii="Times New Roman" w:hAnsi="Times New Roman"/>
                <w:sz w:val="18"/>
                <w:szCs w:val="18"/>
              </w:rPr>
            </w:pPr>
          </w:p>
        </w:tc>
        <w:tc>
          <w:tcPr>
            <w:tcW w:w="803" w:type="dxa"/>
            <w:shd w:val="clear" w:color="auto" w:fill="auto"/>
            <w:vAlign w:val="center"/>
            <w:hideMark/>
          </w:tcPr>
          <w:p w14:paraId="7E711975" w14:textId="77777777" w:rsidR="00626001" w:rsidRPr="00B0658A" w:rsidRDefault="00626001" w:rsidP="00004A41">
            <w:pPr>
              <w:spacing w:after="0" w:line="240" w:lineRule="auto"/>
              <w:jc w:val="center"/>
              <w:rPr>
                <w:rFonts w:ascii="Times New Roman" w:hAnsi="Times New Roman"/>
                <w:sz w:val="18"/>
                <w:szCs w:val="18"/>
              </w:rPr>
            </w:pPr>
          </w:p>
        </w:tc>
        <w:tc>
          <w:tcPr>
            <w:tcW w:w="804" w:type="dxa"/>
            <w:shd w:val="clear" w:color="auto" w:fill="auto"/>
            <w:vAlign w:val="center"/>
            <w:hideMark/>
          </w:tcPr>
          <w:p w14:paraId="53EA8F18" w14:textId="77777777" w:rsidR="00626001" w:rsidRPr="00B0658A" w:rsidRDefault="00626001" w:rsidP="00004A41">
            <w:pPr>
              <w:spacing w:after="0" w:line="240" w:lineRule="auto"/>
              <w:jc w:val="center"/>
              <w:rPr>
                <w:rFonts w:ascii="Times New Roman" w:hAnsi="Times New Roman"/>
                <w:sz w:val="18"/>
                <w:szCs w:val="18"/>
              </w:rPr>
            </w:pPr>
          </w:p>
        </w:tc>
        <w:tc>
          <w:tcPr>
            <w:tcW w:w="1530" w:type="dxa"/>
            <w:vAlign w:val="center"/>
          </w:tcPr>
          <w:p w14:paraId="688073A4" w14:textId="77777777" w:rsidR="00626001" w:rsidRPr="00B0658A" w:rsidRDefault="00626001" w:rsidP="00004A41">
            <w:pPr>
              <w:spacing w:after="0" w:line="240" w:lineRule="auto"/>
              <w:jc w:val="center"/>
              <w:rPr>
                <w:rFonts w:ascii="Times New Roman" w:hAnsi="Times New Roman"/>
                <w:sz w:val="18"/>
                <w:szCs w:val="18"/>
              </w:rPr>
            </w:pPr>
          </w:p>
        </w:tc>
      </w:tr>
      <w:tr w:rsidR="00F52FED" w:rsidRPr="00B0658A" w14:paraId="4414C150" w14:textId="77777777" w:rsidTr="000103BB">
        <w:trPr>
          <w:trHeight w:val="20"/>
        </w:trPr>
        <w:tc>
          <w:tcPr>
            <w:tcW w:w="578" w:type="dxa"/>
            <w:shd w:val="clear" w:color="000000" w:fill="FFFFFF"/>
            <w:vAlign w:val="center"/>
          </w:tcPr>
          <w:p w14:paraId="3A05A099" w14:textId="77777777" w:rsidR="00626001" w:rsidRPr="00B0658A" w:rsidRDefault="00626001" w:rsidP="00004A41">
            <w:pPr>
              <w:spacing w:after="0" w:line="240" w:lineRule="auto"/>
              <w:jc w:val="center"/>
              <w:rPr>
                <w:rFonts w:ascii="Times New Roman" w:hAnsi="Times New Roman"/>
                <w:sz w:val="18"/>
                <w:szCs w:val="18"/>
              </w:rPr>
            </w:pPr>
            <w:r w:rsidRPr="00B0658A">
              <w:rPr>
                <w:rFonts w:ascii="Times New Roman" w:hAnsi="Times New Roman"/>
                <w:sz w:val="18"/>
                <w:szCs w:val="18"/>
              </w:rPr>
              <w:t>7.4</w:t>
            </w:r>
          </w:p>
        </w:tc>
        <w:tc>
          <w:tcPr>
            <w:tcW w:w="3812" w:type="dxa"/>
            <w:shd w:val="clear" w:color="auto" w:fill="auto"/>
            <w:vAlign w:val="center"/>
            <w:hideMark/>
          </w:tcPr>
          <w:p w14:paraId="04EED584" w14:textId="77777777" w:rsidR="00626001" w:rsidRPr="00B0658A" w:rsidRDefault="00626001" w:rsidP="00004A41">
            <w:pPr>
              <w:spacing w:after="0" w:line="240" w:lineRule="auto"/>
              <w:rPr>
                <w:rFonts w:ascii="Times New Roman" w:hAnsi="Times New Roman"/>
                <w:sz w:val="18"/>
                <w:szCs w:val="18"/>
              </w:rPr>
            </w:pPr>
            <w:r w:rsidRPr="00B0658A">
              <w:rPr>
                <w:rFonts w:ascii="Times New Roman" w:hAnsi="Times New Roman"/>
                <w:sz w:val="18"/>
                <w:szCs w:val="18"/>
              </w:rPr>
              <w:t>Лингвистическое программное обеспечение/ Средства распознавания и синтеза речи</w:t>
            </w:r>
          </w:p>
        </w:tc>
        <w:tc>
          <w:tcPr>
            <w:tcW w:w="1842" w:type="dxa"/>
            <w:shd w:val="clear" w:color="000000" w:fill="FFFFFF"/>
            <w:hideMark/>
          </w:tcPr>
          <w:p w14:paraId="5981EAD0" w14:textId="77777777" w:rsidR="00626001" w:rsidRPr="00B0658A" w:rsidRDefault="00626001" w:rsidP="00004A41">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79" w:type="dxa"/>
            <w:shd w:val="clear" w:color="000000" w:fill="FFFFFF"/>
            <w:vAlign w:val="center"/>
          </w:tcPr>
          <w:p w14:paraId="681A20CD"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000000" w:fill="FFFFFF"/>
            <w:vAlign w:val="center"/>
            <w:hideMark/>
          </w:tcPr>
          <w:p w14:paraId="4D69403F"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000000" w:fill="FFFFFF"/>
            <w:vAlign w:val="center"/>
            <w:hideMark/>
          </w:tcPr>
          <w:p w14:paraId="59D2A0AE"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000000" w:fill="FFFFFF"/>
            <w:vAlign w:val="center"/>
            <w:hideMark/>
          </w:tcPr>
          <w:p w14:paraId="006B0D5B" w14:textId="77777777" w:rsidR="00626001" w:rsidRPr="00B0658A" w:rsidRDefault="00626001" w:rsidP="00004A41">
            <w:pPr>
              <w:spacing w:after="0" w:line="240" w:lineRule="auto"/>
              <w:jc w:val="center"/>
              <w:rPr>
                <w:rFonts w:ascii="Times New Roman" w:hAnsi="Times New Roman"/>
                <w:sz w:val="18"/>
                <w:szCs w:val="18"/>
              </w:rPr>
            </w:pPr>
          </w:p>
        </w:tc>
        <w:tc>
          <w:tcPr>
            <w:tcW w:w="992" w:type="dxa"/>
            <w:shd w:val="clear" w:color="000000" w:fill="FFFFFF"/>
            <w:vAlign w:val="center"/>
          </w:tcPr>
          <w:p w14:paraId="25EBFCE1" w14:textId="77777777" w:rsidR="00626001" w:rsidRPr="00B0658A" w:rsidRDefault="00626001" w:rsidP="00004A41">
            <w:pPr>
              <w:spacing w:after="0" w:line="240" w:lineRule="auto"/>
              <w:jc w:val="center"/>
              <w:rPr>
                <w:rFonts w:ascii="Times New Roman" w:hAnsi="Times New Roman"/>
                <w:sz w:val="18"/>
                <w:szCs w:val="18"/>
              </w:rPr>
            </w:pPr>
          </w:p>
        </w:tc>
        <w:tc>
          <w:tcPr>
            <w:tcW w:w="803" w:type="dxa"/>
            <w:shd w:val="clear" w:color="000000" w:fill="FFFFFF"/>
            <w:vAlign w:val="center"/>
            <w:hideMark/>
          </w:tcPr>
          <w:p w14:paraId="69510CA4" w14:textId="77777777" w:rsidR="00626001" w:rsidRPr="00B0658A" w:rsidRDefault="00626001" w:rsidP="00004A41">
            <w:pPr>
              <w:spacing w:after="0" w:line="240" w:lineRule="auto"/>
              <w:jc w:val="center"/>
              <w:rPr>
                <w:rFonts w:ascii="Times New Roman" w:hAnsi="Times New Roman"/>
                <w:sz w:val="18"/>
                <w:szCs w:val="18"/>
              </w:rPr>
            </w:pPr>
          </w:p>
        </w:tc>
        <w:tc>
          <w:tcPr>
            <w:tcW w:w="803" w:type="dxa"/>
            <w:shd w:val="clear" w:color="000000" w:fill="FFFFFF"/>
            <w:vAlign w:val="center"/>
            <w:hideMark/>
          </w:tcPr>
          <w:p w14:paraId="655EF12A" w14:textId="77777777" w:rsidR="00626001" w:rsidRPr="00B0658A" w:rsidRDefault="00626001" w:rsidP="00004A41">
            <w:pPr>
              <w:spacing w:after="0" w:line="240" w:lineRule="auto"/>
              <w:jc w:val="center"/>
              <w:rPr>
                <w:rFonts w:ascii="Times New Roman" w:hAnsi="Times New Roman"/>
                <w:sz w:val="18"/>
                <w:szCs w:val="18"/>
              </w:rPr>
            </w:pPr>
          </w:p>
        </w:tc>
        <w:tc>
          <w:tcPr>
            <w:tcW w:w="804" w:type="dxa"/>
            <w:shd w:val="clear" w:color="000000" w:fill="FFFFFF"/>
            <w:vAlign w:val="center"/>
            <w:hideMark/>
          </w:tcPr>
          <w:p w14:paraId="0656CAE7" w14:textId="77777777" w:rsidR="00626001" w:rsidRPr="00B0658A" w:rsidRDefault="00626001" w:rsidP="00004A41">
            <w:pPr>
              <w:spacing w:after="0" w:line="240" w:lineRule="auto"/>
              <w:jc w:val="center"/>
              <w:rPr>
                <w:rFonts w:ascii="Times New Roman" w:hAnsi="Times New Roman"/>
                <w:sz w:val="18"/>
                <w:szCs w:val="18"/>
              </w:rPr>
            </w:pPr>
          </w:p>
        </w:tc>
        <w:tc>
          <w:tcPr>
            <w:tcW w:w="1530" w:type="dxa"/>
            <w:shd w:val="clear" w:color="000000" w:fill="FFFFFF"/>
            <w:vAlign w:val="center"/>
          </w:tcPr>
          <w:p w14:paraId="4AB2AFF2" w14:textId="77777777" w:rsidR="00626001" w:rsidRPr="00B0658A" w:rsidRDefault="00626001" w:rsidP="00004A41">
            <w:pPr>
              <w:spacing w:after="0" w:line="240" w:lineRule="auto"/>
              <w:jc w:val="center"/>
              <w:rPr>
                <w:rFonts w:ascii="Times New Roman" w:hAnsi="Times New Roman"/>
                <w:sz w:val="18"/>
                <w:szCs w:val="18"/>
              </w:rPr>
            </w:pPr>
          </w:p>
        </w:tc>
      </w:tr>
      <w:tr w:rsidR="00F52FED" w:rsidRPr="00B0658A" w14:paraId="26B2AC6C" w14:textId="77777777" w:rsidTr="000103BB">
        <w:trPr>
          <w:trHeight w:val="20"/>
        </w:trPr>
        <w:tc>
          <w:tcPr>
            <w:tcW w:w="578" w:type="dxa"/>
            <w:shd w:val="clear" w:color="000000" w:fill="FFFFFF"/>
            <w:vAlign w:val="center"/>
          </w:tcPr>
          <w:p w14:paraId="6B48F134" w14:textId="77777777" w:rsidR="00626001" w:rsidRPr="00B0658A" w:rsidRDefault="00626001" w:rsidP="00004A41">
            <w:pPr>
              <w:spacing w:after="0" w:line="240" w:lineRule="auto"/>
              <w:jc w:val="center"/>
              <w:rPr>
                <w:rFonts w:ascii="Times New Roman" w:hAnsi="Times New Roman"/>
                <w:sz w:val="18"/>
                <w:szCs w:val="18"/>
              </w:rPr>
            </w:pPr>
            <w:r w:rsidRPr="00B0658A">
              <w:rPr>
                <w:rFonts w:ascii="Times New Roman" w:hAnsi="Times New Roman"/>
                <w:sz w:val="18"/>
                <w:szCs w:val="18"/>
              </w:rPr>
              <w:t>7.5</w:t>
            </w:r>
          </w:p>
        </w:tc>
        <w:tc>
          <w:tcPr>
            <w:tcW w:w="3812" w:type="dxa"/>
            <w:shd w:val="clear" w:color="auto" w:fill="auto"/>
            <w:vAlign w:val="center"/>
            <w:hideMark/>
          </w:tcPr>
          <w:p w14:paraId="685A3B3E" w14:textId="77777777" w:rsidR="00626001" w:rsidRPr="00B0658A" w:rsidRDefault="00626001" w:rsidP="00004A41">
            <w:pPr>
              <w:spacing w:after="0" w:line="240" w:lineRule="auto"/>
              <w:rPr>
                <w:rFonts w:ascii="Times New Roman" w:hAnsi="Times New Roman"/>
                <w:sz w:val="18"/>
                <w:szCs w:val="18"/>
              </w:rPr>
            </w:pPr>
            <w:r w:rsidRPr="00B0658A">
              <w:rPr>
                <w:rFonts w:ascii="Times New Roman" w:hAnsi="Times New Roman"/>
                <w:sz w:val="18"/>
                <w:szCs w:val="18"/>
              </w:rPr>
              <w:t>Лингвистическое программное обеспечение/ Средства автоматизированного перевода</w:t>
            </w:r>
          </w:p>
        </w:tc>
        <w:tc>
          <w:tcPr>
            <w:tcW w:w="1842" w:type="dxa"/>
            <w:shd w:val="clear" w:color="000000" w:fill="FFFFFF"/>
            <w:hideMark/>
          </w:tcPr>
          <w:p w14:paraId="689FB454" w14:textId="77777777" w:rsidR="00626001" w:rsidRPr="00B0658A" w:rsidRDefault="00626001" w:rsidP="00004A41">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79" w:type="dxa"/>
            <w:shd w:val="clear" w:color="000000" w:fill="FFFFFF"/>
            <w:vAlign w:val="center"/>
          </w:tcPr>
          <w:p w14:paraId="51D5EF8E"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000000" w:fill="FFFFFF"/>
            <w:vAlign w:val="center"/>
            <w:hideMark/>
          </w:tcPr>
          <w:p w14:paraId="1753E9CA"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000000" w:fill="FFFFFF"/>
            <w:vAlign w:val="center"/>
            <w:hideMark/>
          </w:tcPr>
          <w:p w14:paraId="093C9DA3"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000000" w:fill="FFFFFF"/>
            <w:vAlign w:val="center"/>
            <w:hideMark/>
          </w:tcPr>
          <w:p w14:paraId="757832FB" w14:textId="77777777" w:rsidR="00626001" w:rsidRPr="00B0658A" w:rsidRDefault="00626001" w:rsidP="00004A41">
            <w:pPr>
              <w:spacing w:after="0" w:line="240" w:lineRule="auto"/>
              <w:jc w:val="center"/>
              <w:rPr>
                <w:rFonts w:ascii="Times New Roman" w:hAnsi="Times New Roman"/>
                <w:sz w:val="18"/>
                <w:szCs w:val="18"/>
              </w:rPr>
            </w:pPr>
          </w:p>
        </w:tc>
        <w:tc>
          <w:tcPr>
            <w:tcW w:w="992" w:type="dxa"/>
            <w:shd w:val="clear" w:color="000000" w:fill="FFFFFF"/>
            <w:vAlign w:val="center"/>
          </w:tcPr>
          <w:p w14:paraId="1F48ACF0" w14:textId="77777777" w:rsidR="00626001" w:rsidRPr="00B0658A" w:rsidRDefault="00626001" w:rsidP="00004A41">
            <w:pPr>
              <w:spacing w:after="0" w:line="240" w:lineRule="auto"/>
              <w:jc w:val="center"/>
              <w:rPr>
                <w:rFonts w:ascii="Times New Roman" w:hAnsi="Times New Roman"/>
                <w:sz w:val="18"/>
                <w:szCs w:val="18"/>
              </w:rPr>
            </w:pPr>
          </w:p>
        </w:tc>
        <w:tc>
          <w:tcPr>
            <w:tcW w:w="803" w:type="dxa"/>
            <w:shd w:val="clear" w:color="000000" w:fill="FFFFFF"/>
            <w:vAlign w:val="center"/>
            <w:hideMark/>
          </w:tcPr>
          <w:p w14:paraId="421F4070" w14:textId="77777777" w:rsidR="00626001" w:rsidRPr="00B0658A" w:rsidRDefault="00626001" w:rsidP="00004A41">
            <w:pPr>
              <w:spacing w:after="0" w:line="240" w:lineRule="auto"/>
              <w:jc w:val="center"/>
              <w:rPr>
                <w:rFonts w:ascii="Times New Roman" w:hAnsi="Times New Roman"/>
                <w:sz w:val="18"/>
                <w:szCs w:val="18"/>
              </w:rPr>
            </w:pPr>
          </w:p>
        </w:tc>
        <w:tc>
          <w:tcPr>
            <w:tcW w:w="803" w:type="dxa"/>
            <w:shd w:val="clear" w:color="000000" w:fill="FFFFFF"/>
            <w:vAlign w:val="center"/>
            <w:hideMark/>
          </w:tcPr>
          <w:p w14:paraId="43F7ECF1" w14:textId="77777777" w:rsidR="00626001" w:rsidRPr="00B0658A" w:rsidRDefault="00626001" w:rsidP="00004A41">
            <w:pPr>
              <w:spacing w:after="0" w:line="240" w:lineRule="auto"/>
              <w:jc w:val="center"/>
              <w:rPr>
                <w:rFonts w:ascii="Times New Roman" w:hAnsi="Times New Roman"/>
                <w:sz w:val="18"/>
                <w:szCs w:val="18"/>
              </w:rPr>
            </w:pPr>
          </w:p>
        </w:tc>
        <w:tc>
          <w:tcPr>
            <w:tcW w:w="804" w:type="dxa"/>
            <w:shd w:val="clear" w:color="000000" w:fill="FFFFFF"/>
            <w:vAlign w:val="center"/>
            <w:hideMark/>
          </w:tcPr>
          <w:p w14:paraId="1949B4BE" w14:textId="77777777" w:rsidR="00626001" w:rsidRPr="00B0658A" w:rsidRDefault="00626001" w:rsidP="00004A41">
            <w:pPr>
              <w:spacing w:after="0" w:line="240" w:lineRule="auto"/>
              <w:jc w:val="center"/>
              <w:rPr>
                <w:rFonts w:ascii="Times New Roman" w:hAnsi="Times New Roman"/>
                <w:sz w:val="18"/>
                <w:szCs w:val="18"/>
              </w:rPr>
            </w:pPr>
          </w:p>
        </w:tc>
        <w:tc>
          <w:tcPr>
            <w:tcW w:w="1530" w:type="dxa"/>
            <w:shd w:val="clear" w:color="000000" w:fill="FFFFFF"/>
            <w:vAlign w:val="center"/>
          </w:tcPr>
          <w:p w14:paraId="3BA792AC" w14:textId="77777777" w:rsidR="00626001" w:rsidRPr="00B0658A" w:rsidRDefault="00626001" w:rsidP="00004A41">
            <w:pPr>
              <w:spacing w:after="0" w:line="240" w:lineRule="auto"/>
              <w:jc w:val="center"/>
              <w:rPr>
                <w:rFonts w:ascii="Times New Roman" w:hAnsi="Times New Roman"/>
                <w:sz w:val="18"/>
                <w:szCs w:val="18"/>
              </w:rPr>
            </w:pPr>
          </w:p>
        </w:tc>
      </w:tr>
      <w:tr w:rsidR="00F52FED" w:rsidRPr="00B0658A" w14:paraId="21D1469D" w14:textId="77777777" w:rsidTr="000103BB">
        <w:trPr>
          <w:trHeight w:val="20"/>
        </w:trPr>
        <w:tc>
          <w:tcPr>
            <w:tcW w:w="578" w:type="dxa"/>
            <w:shd w:val="clear" w:color="000000" w:fill="FFFFFF"/>
            <w:vAlign w:val="center"/>
          </w:tcPr>
          <w:p w14:paraId="2F8D8034" w14:textId="77777777" w:rsidR="00626001" w:rsidRPr="00B0658A" w:rsidRDefault="00626001" w:rsidP="00004A41">
            <w:pPr>
              <w:spacing w:after="0" w:line="240" w:lineRule="auto"/>
              <w:jc w:val="center"/>
              <w:rPr>
                <w:rFonts w:ascii="Times New Roman" w:hAnsi="Times New Roman"/>
                <w:sz w:val="18"/>
                <w:szCs w:val="18"/>
              </w:rPr>
            </w:pPr>
            <w:r w:rsidRPr="00B0658A">
              <w:rPr>
                <w:rFonts w:ascii="Times New Roman" w:hAnsi="Times New Roman"/>
                <w:sz w:val="18"/>
                <w:szCs w:val="18"/>
              </w:rPr>
              <w:t>7.6</w:t>
            </w:r>
          </w:p>
        </w:tc>
        <w:tc>
          <w:tcPr>
            <w:tcW w:w="3812" w:type="dxa"/>
            <w:shd w:val="clear" w:color="auto" w:fill="auto"/>
            <w:vAlign w:val="center"/>
            <w:hideMark/>
          </w:tcPr>
          <w:p w14:paraId="627C23FB" w14:textId="77777777" w:rsidR="00626001" w:rsidRPr="00B0658A" w:rsidRDefault="00626001" w:rsidP="00004A41">
            <w:pPr>
              <w:spacing w:after="0" w:line="240" w:lineRule="auto"/>
              <w:rPr>
                <w:rFonts w:ascii="Times New Roman" w:hAnsi="Times New Roman"/>
                <w:sz w:val="18"/>
                <w:szCs w:val="18"/>
              </w:rPr>
            </w:pPr>
            <w:r w:rsidRPr="00B0658A">
              <w:rPr>
                <w:rFonts w:ascii="Times New Roman" w:hAnsi="Times New Roman"/>
                <w:sz w:val="18"/>
                <w:szCs w:val="18"/>
              </w:rPr>
              <w:t>Лингвистическое программное обеспечение/ Электронные словари</w:t>
            </w:r>
          </w:p>
        </w:tc>
        <w:tc>
          <w:tcPr>
            <w:tcW w:w="1842" w:type="dxa"/>
            <w:shd w:val="clear" w:color="000000" w:fill="FFFFFF"/>
            <w:hideMark/>
          </w:tcPr>
          <w:p w14:paraId="4F7D2CE6" w14:textId="77777777" w:rsidR="00626001" w:rsidRPr="00B0658A" w:rsidRDefault="00626001" w:rsidP="00004A41">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79" w:type="dxa"/>
            <w:shd w:val="clear" w:color="000000" w:fill="FFFFFF"/>
            <w:vAlign w:val="center"/>
          </w:tcPr>
          <w:p w14:paraId="10304FCB"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000000" w:fill="FFFFFF"/>
            <w:vAlign w:val="center"/>
            <w:hideMark/>
          </w:tcPr>
          <w:p w14:paraId="2871E93A"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000000" w:fill="FFFFFF"/>
            <w:vAlign w:val="center"/>
            <w:hideMark/>
          </w:tcPr>
          <w:p w14:paraId="350D1EAD"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000000" w:fill="FFFFFF"/>
            <w:vAlign w:val="center"/>
            <w:hideMark/>
          </w:tcPr>
          <w:p w14:paraId="535EAD0F" w14:textId="77777777" w:rsidR="00626001" w:rsidRPr="00B0658A" w:rsidRDefault="00626001" w:rsidP="00004A41">
            <w:pPr>
              <w:spacing w:after="0" w:line="240" w:lineRule="auto"/>
              <w:jc w:val="center"/>
              <w:rPr>
                <w:rFonts w:ascii="Times New Roman" w:hAnsi="Times New Roman"/>
                <w:sz w:val="18"/>
                <w:szCs w:val="18"/>
              </w:rPr>
            </w:pPr>
          </w:p>
        </w:tc>
        <w:tc>
          <w:tcPr>
            <w:tcW w:w="992" w:type="dxa"/>
            <w:shd w:val="clear" w:color="000000" w:fill="FFFFFF"/>
            <w:vAlign w:val="center"/>
          </w:tcPr>
          <w:p w14:paraId="72220CF6" w14:textId="77777777" w:rsidR="00626001" w:rsidRPr="00B0658A" w:rsidRDefault="00626001" w:rsidP="00004A41">
            <w:pPr>
              <w:spacing w:after="0" w:line="240" w:lineRule="auto"/>
              <w:jc w:val="center"/>
              <w:rPr>
                <w:rFonts w:ascii="Times New Roman" w:hAnsi="Times New Roman"/>
                <w:sz w:val="18"/>
                <w:szCs w:val="18"/>
              </w:rPr>
            </w:pPr>
          </w:p>
        </w:tc>
        <w:tc>
          <w:tcPr>
            <w:tcW w:w="803" w:type="dxa"/>
            <w:shd w:val="clear" w:color="000000" w:fill="FFFFFF"/>
            <w:vAlign w:val="center"/>
            <w:hideMark/>
          </w:tcPr>
          <w:p w14:paraId="1F582484" w14:textId="77777777" w:rsidR="00626001" w:rsidRPr="00B0658A" w:rsidRDefault="00626001" w:rsidP="00004A41">
            <w:pPr>
              <w:spacing w:after="0" w:line="240" w:lineRule="auto"/>
              <w:jc w:val="center"/>
              <w:rPr>
                <w:rFonts w:ascii="Times New Roman" w:hAnsi="Times New Roman"/>
                <w:sz w:val="18"/>
                <w:szCs w:val="18"/>
              </w:rPr>
            </w:pPr>
          </w:p>
        </w:tc>
        <w:tc>
          <w:tcPr>
            <w:tcW w:w="803" w:type="dxa"/>
            <w:shd w:val="clear" w:color="000000" w:fill="FFFFFF"/>
            <w:vAlign w:val="center"/>
            <w:hideMark/>
          </w:tcPr>
          <w:p w14:paraId="137DAC34" w14:textId="77777777" w:rsidR="00626001" w:rsidRPr="00B0658A" w:rsidRDefault="00626001" w:rsidP="00004A41">
            <w:pPr>
              <w:spacing w:after="0" w:line="240" w:lineRule="auto"/>
              <w:jc w:val="center"/>
              <w:rPr>
                <w:rFonts w:ascii="Times New Roman" w:hAnsi="Times New Roman"/>
                <w:sz w:val="18"/>
                <w:szCs w:val="18"/>
              </w:rPr>
            </w:pPr>
          </w:p>
        </w:tc>
        <w:tc>
          <w:tcPr>
            <w:tcW w:w="804" w:type="dxa"/>
            <w:shd w:val="clear" w:color="000000" w:fill="FFFFFF"/>
            <w:vAlign w:val="center"/>
            <w:hideMark/>
          </w:tcPr>
          <w:p w14:paraId="57440EF8" w14:textId="77777777" w:rsidR="00626001" w:rsidRPr="00B0658A" w:rsidRDefault="00626001" w:rsidP="00004A41">
            <w:pPr>
              <w:spacing w:after="0" w:line="240" w:lineRule="auto"/>
              <w:jc w:val="center"/>
              <w:rPr>
                <w:rFonts w:ascii="Times New Roman" w:hAnsi="Times New Roman"/>
                <w:sz w:val="18"/>
                <w:szCs w:val="18"/>
              </w:rPr>
            </w:pPr>
          </w:p>
        </w:tc>
        <w:tc>
          <w:tcPr>
            <w:tcW w:w="1530" w:type="dxa"/>
            <w:shd w:val="clear" w:color="000000" w:fill="FFFFFF"/>
            <w:vAlign w:val="center"/>
          </w:tcPr>
          <w:p w14:paraId="68FF3641" w14:textId="77777777" w:rsidR="00626001" w:rsidRPr="00B0658A" w:rsidRDefault="00626001" w:rsidP="00004A41">
            <w:pPr>
              <w:spacing w:after="0" w:line="240" w:lineRule="auto"/>
              <w:jc w:val="center"/>
              <w:rPr>
                <w:rFonts w:ascii="Times New Roman" w:hAnsi="Times New Roman"/>
                <w:sz w:val="18"/>
                <w:szCs w:val="18"/>
              </w:rPr>
            </w:pPr>
          </w:p>
        </w:tc>
      </w:tr>
      <w:tr w:rsidR="00F52FED" w:rsidRPr="00B0658A" w14:paraId="4C94FDCB" w14:textId="77777777" w:rsidTr="000103BB">
        <w:trPr>
          <w:trHeight w:val="20"/>
        </w:trPr>
        <w:tc>
          <w:tcPr>
            <w:tcW w:w="578" w:type="dxa"/>
            <w:shd w:val="clear" w:color="000000" w:fill="FFFFFF"/>
            <w:vAlign w:val="center"/>
          </w:tcPr>
          <w:p w14:paraId="748EB732" w14:textId="77777777" w:rsidR="00626001" w:rsidRPr="00B0658A" w:rsidRDefault="00626001" w:rsidP="00004A41">
            <w:pPr>
              <w:spacing w:after="0" w:line="240" w:lineRule="auto"/>
              <w:jc w:val="center"/>
              <w:rPr>
                <w:rFonts w:ascii="Times New Roman" w:hAnsi="Times New Roman"/>
                <w:sz w:val="18"/>
                <w:szCs w:val="18"/>
              </w:rPr>
            </w:pPr>
            <w:r w:rsidRPr="00B0658A">
              <w:rPr>
                <w:rFonts w:ascii="Times New Roman" w:hAnsi="Times New Roman"/>
                <w:sz w:val="18"/>
                <w:szCs w:val="18"/>
              </w:rPr>
              <w:t>7.7</w:t>
            </w:r>
          </w:p>
        </w:tc>
        <w:tc>
          <w:tcPr>
            <w:tcW w:w="3812" w:type="dxa"/>
            <w:shd w:val="clear" w:color="auto" w:fill="auto"/>
            <w:vAlign w:val="center"/>
            <w:hideMark/>
          </w:tcPr>
          <w:p w14:paraId="2216E1EA" w14:textId="77777777" w:rsidR="00626001" w:rsidRPr="00B0658A" w:rsidRDefault="00626001" w:rsidP="00004A41">
            <w:pPr>
              <w:spacing w:after="0" w:line="240" w:lineRule="auto"/>
              <w:rPr>
                <w:rFonts w:ascii="Times New Roman" w:hAnsi="Times New Roman"/>
                <w:sz w:val="18"/>
                <w:szCs w:val="18"/>
              </w:rPr>
            </w:pPr>
            <w:r w:rsidRPr="00B0658A">
              <w:rPr>
                <w:rFonts w:ascii="Times New Roman" w:hAnsi="Times New Roman"/>
                <w:sz w:val="18"/>
                <w:szCs w:val="18"/>
              </w:rPr>
              <w:t>Лингвистическое программное обеспечение/ Средства проверки правописания</w:t>
            </w:r>
          </w:p>
        </w:tc>
        <w:tc>
          <w:tcPr>
            <w:tcW w:w="1842" w:type="dxa"/>
            <w:shd w:val="clear" w:color="000000" w:fill="FFFFFF"/>
            <w:hideMark/>
          </w:tcPr>
          <w:p w14:paraId="62E5A573" w14:textId="77777777" w:rsidR="00626001" w:rsidRPr="00B0658A" w:rsidRDefault="00626001" w:rsidP="00004A41">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79" w:type="dxa"/>
            <w:shd w:val="clear" w:color="000000" w:fill="FFFFFF"/>
            <w:vAlign w:val="center"/>
          </w:tcPr>
          <w:p w14:paraId="1F0905A5"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000000" w:fill="FFFFFF"/>
            <w:vAlign w:val="center"/>
            <w:hideMark/>
          </w:tcPr>
          <w:p w14:paraId="382A4EC1"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000000" w:fill="FFFFFF"/>
            <w:vAlign w:val="center"/>
            <w:hideMark/>
          </w:tcPr>
          <w:p w14:paraId="4A1C0459"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000000" w:fill="FFFFFF"/>
            <w:vAlign w:val="center"/>
            <w:hideMark/>
          </w:tcPr>
          <w:p w14:paraId="2FDFBA0D" w14:textId="77777777" w:rsidR="00626001" w:rsidRPr="00B0658A" w:rsidRDefault="00626001" w:rsidP="00004A41">
            <w:pPr>
              <w:spacing w:after="0" w:line="240" w:lineRule="auto"/>
              <w:jc w:val="center"/>
              <w:rPr>
                <w:rFonts w:ascii="Times New Roman" w:hAnsi="Times New Roman"/>
                <w:sz w:val="18"/>
                <w:szCs w:val="18"/>
              </w:rPr>
            </w:pPr>
          </w:p>
        </w:tc>
        <w:tc>
          <w:tcPr>
            <w:tcW w:w="992" w:type="dxa"/>
            <w:shd w:val="clear" w:color="000000" w:fill="FFFFFF"/>
            <w:vAlign w:val="center"/>
          </w:tcPr>
          <w:p w14:paraId="34F157E5" w14:textId="77777777" w:rsidR="00626001" w:rsidRPr="00B0658A" w:rsidRDefault="00626001" w:rsidP="00004A41">
            <w:pPr>
              <w:spacing w:after="0" w:line="240" w:lineRule="auto"/>
              <w:jc w:val="center"/>
              <w:rPr>
                <w:rFonts w:ascii="Times New Roman" w:hAnsi="Times New Roman"/>
                <w:sz w:val="18"/>
                <w:szCs w:val="18"/>
              </w:rPr>
            </w:pPr>
          </w:p>
        </w:tc>
        <w:tc>
          <w:tcPr>
            <w:tcW w:w="803" w:type="dxa"/>
            <w:shd w:val="clear" w:color="000000" w:fill="FFFFFF"/>
            <w:vAlign w:val="center"/>
            <w:hideMark/>
          </w:tcPr>
          <w:p w14:paraId="29C5B77F" w14:textId="77777777" w:rsidR="00626001" w:rsidRPr="00B0658A" w:rsidRDefault="00626001" w:rsidP="00004A41">
            <w:pPr>
              <w:spacing w:after="0" w:line="240" w:lineRule="auto"/>
              <w:jc w:val="center"/>
              <w:rPr>
                <w:rFonts w:ascii="Times New Roman" w:hAnsi="Times New Roman"/>
                <w:sz w:val="18"/>
                <w:szCs w:val="18"/>
              </w:rPr>
            </w:pPr>
          </w:p>
        </w:tc>
        <w:tc>
          <w:tcPr>
            <w:tcW w:w="803" w:type="dxa"/>
            <w:shd w:val="clear" w:color="000000" w:fill="FFFFFF"/>
            <w:vAlign w:val="center"/>
            <w:hideMark/>
          </w:tcPr>
          <w:p w14:paraId="211D4BAB" w14:textId="77777777" w:rsidR="00626001" w:rsidRPr="00B0658A" w:rsidRDefault="00626001" w:rsidP="00004A41">
            <w:pPr>
              <w:spacing w:after="0" w:line="240" w:lineRule="auto"/>
              <w:jc w:val="center"/>
              <w:rPr>
                <w:rFonts w:ascii="Times New Roman" w:hAnsi="Times New Roman"/>
                <w:sz w:val="18"/>
                <w:szCs w:val="18"/>
              </w:rPr>
            </w:pPr>
          </w:p>
        </w:tc>
        <w:tc>
          <w:tcPr>
            <w:tcW w:w="804" w:type="dxa"/>
            <w:shd w:val="clear" w:color="000000" w:fill="FFFFFF"/>
            <w:vAlign w:val="center"/>
            <w:hideMark/>
          </w:tcPr>
          <w:p w14:paraId="7BECB25D" w14:textId="77777777" w:rsidR="00626001" w:rsidRPr="00B0658A" w:rsidRDefault="00626001" w:rsidP="00004A41">
            <w:pPr>
              <w:spacing w:after="0" w:line="240" w:lineRule="auto"/>
              <w:jc w:val="center"/>
              <w:rPr>
                <w:rFonts w:ascii="Times New Roman" w:hAnsi="Times New Roman"/>
                <w:sz w:val="18"/>
                <w:szCs w:val="18"/>
              </w:rPr>
            </w:pPr>
          </w:p>
        </w:tc>
        <w:tc>
          <w:tcPr>
            <w:tcW w:w="1530" w:type="dxa"/>
            <w:shd w:val="clear" w:color="000000" w:fill="FFFFFF"/>
            <w:vAlign w:val="center"/>
          </w:tcPr>
          <w:p w14:paraId="4283926B" w14:textId="77777777" w:rsidR="00626001" w:rsidRPr="00B0658A" w:rsidRDefault="00626001" w:rsidP="00004A41">
            <w:pPr>
              <w:spacing w:after="0" w:line="240" w:lineRule="auto"/>
              <w:jc w:val="center"/>
              <w:rPr>
                <w:rFonts w:ascii="Times New Roman" w:hAnsi="Times New Roman"/>
                <w:sz w:val="18"/>
                <w:szCs w:val="18"/>
              </w:rPr>
            </w:pPr>
          </w:p>
        </w:tc>
      </w:tr>
      <w:tr w:rsidR="00F52FED" w:rsidRPr="00B0658A" w14:paraId="246FE637" w14:textId="77777777" w:rsidTr="000103BB">
        <w:trPr>
          <w:trHeight w:val="20"/>
        </w:trPr>
        <w:tc>
          <w:tcPr>
            <w:tcW w:w="578" w:type="dxa"/>
            <w:shd w:val="clear" w:color="000000" w:fill="FFFFFF"/>
            <w:vAlign w:val="center"/>
          </w:tcPr>
          <w:p w14:paraId="0AD9364E" w14:textId="77777777" w:rsidR="00626001" w:rsidRPr="00B0658A" w:rsidRDefault="00626001" w:rsidP="00004A41">
            <w:pPr>
              <w:spacing w:after="0" w:line="240" w:lineRule="auto"/>
              <w:jc w:val="center"/>
              <w:rPr>
                <w:rFonts w:ascii="Times New Roman" w:hAnsi="Times New Roman"/>
                <w:sz w:val="18"/>
                <w:szCs w:val="18"/>
              </w:rPr>
            </w:pPr>
            <w:r w:rsidRPr="00B0658A">
              <w:rPr>
                <w:rFonts w:ascii="Times New Roman" w:hAnsi="Times New Roman"/>
                <w:sz w:val="18"/>
                <w:szCs w:val="18"/>
              </w:rPr>
              <w:t>8.1</w:t>
            </w:r>
          </w:p>
        </w:tc>
        <w:tc>
          <w:tcPr>
            <w:tcW w:w="3812" w:type="dxa"/>
            <w:shd w:val="clear" w:color="auto" w:fill="auto"/>
            <w:noWrap/>
            <w:vAlign w:val="center"/>
            <w:hideMark/>
          </w:tcPr>
          <w:p w14:paraId="4A0514D8" w14:textId="77777777" w:rsidR="00626001" w:rsidRPr="00B0658A" w:rsidRDefault="00626001" w:rsidP="00004A41">
            <w:pPr>
              <w:spacing w:after="0" w:line="240" w:lineRule="auto"/>
              <w:rPr>
                <w:rFonts w:ascii="Times New Roman" w:hAnsi="Times New Roman"/>
                <w:sz w:val="18"/>
                <w:szCs w:val="18"/>
              </w:rPr>
            </w:pPr>
            <w:r w:rsidRPr="00B0658A">
              <w:rPr>
                <w:rFonts w:ascii="Times New Roman" w:hAnsi="Times New Roman"/>
                <w:sz w:val="18"/>
                <w:szCs w:val="18"/>
              </w:rPr>
              <w:t xml:space="preserve">Промышленное программное обеспечение/ Средства управления жизненным циклом изделия (PLM) </w:t>
            </w:r>
          </w:p>
        </w:tc>
        <w:tc>
          <w:tcPr>
            <w:tcW w:w="1842" w:type="dxa"/>
            <w:shd w:val="clear" w:color="000000" w:fill="FFFFFF"/>
            <w:hideMark/>
          </w:tcPr>
          <w:p w14:paraId="3FFD7963" w14:textId="77777777" w:rsidR="00626001" w:rsidRPr="00B0658A" w:rsidRDefault="00626001" w:rsidP="00004A41">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79" w:type="dxa"/>
            <w:vAlign w:val="center"/>
          </w:tcPr>
          <w:p w14:paraId="7A269969"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auto" w:fill="auto"/>
            <w:noWrap/>
            <w:vAlign w:val="center"/>
            <w:hideMark/>
          </w:tcPr>
          <w:p w14:paraId="35D8582B"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auto" w:fill="auto"/>
            <w:noWrap/>
            <w:vAlign w:val="center"/>
            <w:hideMark/>
          </w:tcPr>
          <w:p w14:paraId="47BB2963"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auto" w:fill="auto"/>
            <w:vAlign w:val="center"/>
            <w:hideMark/>
          </w:tcPr>
          <w:p w14:paraId="722F848B" w14:textId="77777777" w:rsidR="00626001" w:rsidRPr="00B0658A" w:rsidRDefault="00626001" w:rsidP="00004A41">
            <w:pPr>
              <w:spacing w:after="0" w:line="240" w:lineRule="auto"/>
              <w:jc w:val="center"/>
              <w:rPr>
                <w:rFonts w:ascii="Times New Roman" w:hAnsi="Times New Roman"/>
                <w:sz w:val="18"/>
                <w:szCs w:val="18"/>
              </w:rPr>
            </w:pPr>
          </w:p>
        </w:tc>
        <w:tc>
          <w:tcPr>
            <w:tcW w:w="992" w:type="dxa"/>
            <w:vAlign w:val="center"/>
          </w:tcPr>
          <w:p w14:paraId="23FCB093" w14:textId="77777777" w:rsidR="00626001" w:rsidRPr="00B0658A" w:rsidRDefault="00626001" w:rsidP="00004A41">
            <w:pPr>
              <w:spacing w:after="0" w:line="240" w:lineRule="auto"/>
              <w:jc w:val="center"/>
              <w:rPr>
                <w:rFonts w:ascii="Times New Roman" w:hAnsi="Times New Roman"/>
                <w:sz w:val="18"/>
                <w:szCs w:val="18"/>
              </w:rPr>
            </w:pPr>
          </w:p>
        </w:tc>
        <w:tc>
          <w:tcPr>
            <w:tcW w:w="803" w:type="dxa"/>
            <w:shd w:val="clear" w:color="auto" w:fill="auto"/>
            <w:vAlign w:val="center"/>
            <w:hideMark/>
          </w:tcPr>
          <w:p w14:paraId="300EB66B" w14:textId="77777777" w:rsidR="00626001" w:rsidRPr="00B0658A" w:rsidRDefault="00626001" w:rsidP="00004A41">
            <w:pPr>
              <w:spacing w:after="0" w:line="240" w:lineRule="auto"/>
              <w:jc w:val="center"/>
              <w:rPr>
                <w:rFonts w:ascii="Times New Roman" w:hAnsi="Times New Roman"/>
                <w:sz w:val="18"/>
                <w:szCs w:val="18"/>
              </w:rPr>
            </w:pPr>
          </w:p>
        </w:tc>
        <w:tc>
          <w:tcPr>
            <w:tcW w:w="803" w:type="dxa"/>
            <w:shd w:val="clear" w:color="auto" w:fill="auto"/>
            <w:vAlign w:val="center"/>
            <w:hideMark/>
          </w:tcPr>
          <w:p w14:paraId="3F78F77F" w14:textId="77777777" w:rsidR="00626001" w:rsidRPr="00B0658A" w:rsidRDefault="00626001" w:rsidP="00004A41">
            <w:pPr>
              <w:spacing w:after="0" w:line="240" w:lineRule="auto"/>
              <w:jc w:val="center"/>
              <w:rPr>
                <w:rFonts w:ascii="Times New Roman" w:hAnsi="Times New Roman"/>
                <w:sz w:val="18"/>
                <w:szCs w:val="18"/>
              </w:rPr>
            </w:pPr>
          </w:p>
        </w:tc>
        <w:tc>
          <w:tcPr>
            <w:tcW w:w="804" w:type="dxa"/>
            <w:shd w:val="clear" w:color="auto" w:fill="auto"/>
            <w:noWrap/>
            <w:vAlign w:val="center"/>
            <w:hideMark/>
          </w:tcPr>
          <w:p w14:paraId="1EBB87B3" w14:textId="77777777" w:rsidR="00626001" w:rsidRPr="00B0658A" w:rsidRDefault="00626001" w:rsidP="00004A41">
            <w:pPr>
              <w:spacing w:after="0" w:line="240" w:lineRule="auto"/>
              <w:jc w:val="center"/>
              <w:rPr>
                <w:rFonts w:ascii="Times New Roman" w:hAnsi="Times New Roman"/>
                <w:sz w:val="18"/>
                <w:szCs w:val="18"/>
              </w:rPr>
            </w:pPr>
          </w:p>
        </w:tc>
        <w:tc>
          <w:tcPr>
            <w:tcW w:w="1530" w:type="dxa"/>
            <w:vAlign w:val="center"/>
          </w:tcPr>
          <w:p w14:paraId="1B519939" w14:textId="77777777" w:rsidR="00626001" w:rsidRPr="00B0658A" w:rsidRDefault="00626001" w:rsidP="00004A41">
            <w:pPr>
              <w:spacing w:after="0" w:line="240" w:lineRule="auto"/>
              <w:jc w:val="center"/>
              <w:rPr>
                <w:rFonts w:ascii="Times New Roman" w:hAnsi="Times New Roman"/>
                <w:sz w:val="18"/>
                <w:szCs w:val="18"/>
              </w:rPr>
            </w:pPr>
          </w:p>
        </w:tc>
      </w:tr>
      <w:tr w:rsidR="00F52FED" w:rsidRPr="00B0658A" w14:paraId="2A42A4A3" w14:textId="77777777" w:rsidTr="000103BB">
        <w:trPr>
          <w:trHeight w:val="20"/>
        </w:trPr>
        <w:tc>
          <w:tcPr>
            <w:tcW w:w="578" w:type="dxa"/>
            <w:shd w:val="clear" w:color="000000" w:fill="FFFFFF"/>
            <w:vAlign w:val="center"/>
          </w:tcPr>
          <w:p w14:paraId="73DFA2E5" w14:textId="77777777" w:rsidR="00626001" w:rsidRPr="00B0658A" w:rsidRDefault="00626001" w:rsidP="00004A41">
            <w:pPr>
              <w:spacing w:after="0" w:line="240" w:lineRule="auto"/>
              <w:jc w:val="center"/>
              <w:rPr>
                <w:rFonts w:ascii="Times New Roman" w:hAnsi="Times New Roman"/>
                <w:sz w:val="18"/>
                <w:szCs w:val="18"/>
              </w:rPr>
            </w:pPr>
            <w:r w:rsidRPr="00B0658A">
              <w:rPr>
                <w:rFonts w:ascii="Times New Roman" w:hAnsi="Times New Roman"/>
                <w:sz w:val="18"/>
                <w:szCs w:val="18"/>
              </w:rPr>
              <w:t>8.2</w:t>
            </w:r>
          </w:p>
        </w:tc>
        <w:tc>
          <w:tcPr>
            <w:tcW w:w="3812" w:type="dxa"/>
            <w:shd w:val="clear" w:color="auto" w:fill="auto"/>
            <w:noWrap/>
            <w:vAlign w:val="center"/>
            <w:hideMark/>
          </w:tcPr>
          <w:p w14:paraId="65792001" w14:textId="77777777" w:rsidR="00626001" w:rsidRPr="00B0658A" w:rsidRDefault="00626001" w:rsidP="00004A41">
            <w:pPr>
              <w:spacing w:after="0" w:line="240" w:lineRule="auto"/>
              <w:rPr>
                <w:rFonts w:ascii="Times New Roman" w:hAnsi="Times New Roman"/>
                <w:sz w:val="18"/>
                <w:szCs w:val="18"/>
              </w:rPr>
            </w:pPr>
            <w:r w:rsidRPr="00B0658A">
              <w:rPr>
                <w:rFonts w:ascii="Times New Roman" w:hAnsi="Times New Roman"/>
                <w:sz w:val="18"/>
                <w:szCs w:val="18"/>
              </w:rPr>
              <w:t>Промышленное программное обеспечение/ Универсальные машиностроительные средства автоматизированного проектирования (MCAD)</w:t>
            </w:r>
          </w:p>
        </w:tc>
        <w:tc>
          <w:tcPr>
            <w:tcW w:w="1842" w:type="dxa"/>
            <w:shd w:val="clear" w:color="000000" w:fill="FFFFFF"/>
            <w:hideMark/>
          </w:tcPr>
          <w:p w14:paraId="72CDA718" w14:textId="77777777" w:rsidR="00626001" w:rsidRPr="00B0658A" w:rsidRDefault="00626001" w:rsidP="00004A41">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79" w:type="dxa"/>
            <w:vAlign w:val="center"/>
          </w:tcPr>
          <w:p w14:paraId="569030AA"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auto" w:fill="auto"/>
            <w:noWrap/>
            <w:vAlign w:val="center"/>
            <w:hideMark/>
          </w:tcPr>
          <w:p w14:paraId="74A7C7CA"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auto" w:fill="auto"/>
            <w:noWrap/>
            <w:vAlign w:val="center"/>
            <w:hideMark/>
          </w:tcPr>
          <w:p w14:paraId="63A88F03"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auto" w:fill="auto"/>
            <w:vAlign w:val="center"/>
            <w:hideMark/>
          </w:tcPr>
          <w:p w14:paraId="54833F07" w14:textId="77777777" w:rsidR="00626001" w:rsidRPr="00B0658A" w:rsidRDefault="00626001" w:rsidP="00004A41">
            <w:pPr>
              <w:spacing w:after="0" w:line="240" w:lineRule="auto"/>
              <w:jc w:val="center"/>
              <w:rPr>
                <w:rFonts w:ascii="Times New Roman" w:hAnsi="Times New Roman"/>
                <w:sz w:val="18"/>
                <w:szCs w:val="18"/>
              </w:rPr>
            </w:pPr>
          </w:p>
        </w:tc>
        <w:tc>
          <w:tcPr>
            <w:tcW w:w="992" w:type="dxa"/>
            <w:vAlign w:val="center"/>
          </w:tcPr>
          <w:p w14:paraId="4A15E0AF" w14:textId="77777777" w:rsidR="00626001" w:rsidRPr="00B0658A" w:rsidRDefault="00626001" w:rsidP="00004A41">
            <w:pPr>
              <w:spacing w:after="0" w:line="240" w:lineRule="auto"/>
              <w:jc w:val="center"/>
              <w:rPr>
                <w:rFonts w:ascii="Times New Roman" w:hAnsi="Times New Roman"/>
                <w:sz w:val="18"/>
                <w:szCs w:val="18"/>
              </w:rPr>
            </w:pPr>
          </w:p>
        </w:tc>
        <w:tc>
          <w:tcPr>
            <w:tcW w:w="803" w:type="dxa"/>
            <w:shd w:val="clear" w:color="auto" w:fill="auto"/>
            <w:vAlign w:val="center"/>
            <w:hideMark/>
          </w:tcPr>
          <w:p w14:paraId="44597E0E" w14:textId="77777777" w:rsidR="00626001" w:rsidRPr="00B0658A" w:rsidRDefault="00626001" w:rsidP="00004A41">
            <w:pPr>
              <w:spacing w:after="0" w:line="240" w:lineRule="auto"/>
              <w:jc w:val="center"/>
              <w:rPr>
                <w:rFonts w:ascii="Times New Roman" w:hAnsi="Times New Roman"/>
                <w:sz w:val="18"/>
                <w:szCs w:val="18"/>
              </w:rPr>
            </w:pPr>
          </w:p>
        </w:tc>
        <w:tc>
          <w:tcPr>
            <w:tcW w:w="803" w:type="dxa"/>
            <w:shd w:val="clear" w:color="auto" w:fill="auto"/>
            <w:vAlign w:val="center"/>
            <w:hideMark/>
          </w:tcPr>
          <w:p w14:paraId="3845A8D1" w14:textId="77777777" w:rsidR="00626001" w:rsidRPr="00B0658A" w:rsidRDefault="00626001" w:rsidP="00004A41">
            <w:pPr>
              <w:spacing w:after="0" w:line="240" w:lineRule="auto"/>
              <w:jc w:val="center"/>
              <w:rPr>
                <w:rFonts w:ascii="Times New Roman" w:hAnsi="Times New Roman"/>
                <w:sz w:val="18"/>
                <w:szCs w:val="18"/>
              </w:rPr>
            </w:pPr>
          </w:p>
        </w:tc>
        <w:tc>
          <w:tcPr>
            <w:tcW w:w="804" w:type="dxa"/>
            <w:shd w:val="clear" w:color="auto" w:fill="auto"/>
            <w:noWrap/>
            <w:vAlign w:val="center"/>
            <w:hideMark/>
          </w:tcPr>
          <w:p w14:paraId="636A2993" w14:textId="77777777" w:rsidR="00626001" w:rsidRPr="00B0658A" w:rsidRDefault="00626001" w:rsidP="00004A41">
            <w:pPr>
              <w:spacing w:after="0" w:line="240" w:lineRule="auto"/>
              <w:jc w:val="center"/>
              <w:rPr>
                <w:rFonts w:ascii="Times New Roman" w:hAnsi="Times New Roman"/>
                <w:sz w:val="18"/>
                <w:szCs w:val="18"/>
              </w:rPr>
            </w:pPr>
          </w:p>
        </w:tc>
        <w:tc>
          <w:tcPr>
            <w:tcW w:w="1530" w:type="dxa"/>
            <w:vAlign w:val="center"/>
          </w:tcPr>
          <w:p w14:paraId="7AC9C976" w14:textId="77777777" w:rsidR="00626001" w:rsidRPr="00B0658A" w:rsidRDefault="00626001" w:rsidP="00004A41">
            <w:pPr>
              <w:spacing w:after="0" w:line="240" w:lineRule="auto"/>
              <w:jc w:val="center"/>
              <w:rPr>
                <w:rFonts w:ascii="Times New Roman" w:hAnsi="Times New Roman"/>
                <w:sz w:val="18"/>
                <w:szCs w:val="18"/>
              </w:rPr>
            </w:pPr>
          </w:p>
        </w:tc>
      </w:tr>
      <w:tr w:rsidR="00F52FED" w:rsidRPr="00B0658A" w14:paraId="6A89B294" w14:textId="77777777" w:rsidTr="000103BB">
        <w:trPr>
          <w:trHeight w:val="20"/>
        </w:trPr>
        <w:tc>
          <w:tcPr>
            <w:tcW w:w="578" w:type="dxa"/>
            <w:shd w:val="clear" w:color="000000" w:fill="FFFFFF"/>
            <w:vAlign w:val="center"/>
          </w:tcPr>
          <w:p w14:paraId="59B2C2ED" w14:textId="77777777" w:rsidR="00626001" w:rsidRPr="00B0658A" w:rsidRDefault="00626001" w:rsidP="00004A41">
            <w:pPr>
              <w:spacing w:after="0" w:line="240" w:lineRule="auto"/>
              <w:jc w:val="center"/>
              <w:rPr>
                <w:rFonts w:ascii="Times New Roman" w:hAnsi="Times New Roman"/>
                <w:sz w:val="18"/>
                <w:szCs w:val="18"/>
              </w:rPr>
            </w:pPr>
            <w:r w:rsidRPr="00B0658A">
              <w:rPr>
                <w:rFonts w:ascii="Times New Roman" w:hAnsi="Times New Roman"/>
                <w:sz w:val="18"/>
                <w:szCs w:val="18"/>
              </w:rPr>
              <w:t>8.3</w:t>
            </w:r>
          </w:p>
        </w:tc>
        <w:tc>
          <w:tcPr>
            <w:tcW w:w="3812" w:type="dxa"/>
            <w:shd w:val="clear" w:color="auto" w:fill="auto"/>
            <w:noWrap/>
            <w:vAlign w:val="center"/>
            <w:hideMark/>
          </w:tcPr>
          <w:p w14:paraId="39ECE367" w14:textId="77777777" w:rsidR="00626001" w:rsidRPr="00B0658A" w:rsidRDefault="00626001" w:rsidP="00004A41">
            <w:pPr>
              <w:spacing w:after="0" w:line="240" w:lineRule="auto"/>
              <w:rPr>
                <w:rFonts w:ascii="Times New Roman" w:hAnsi="Times New Roman"/>
                <w:sz w:val="18"/>
                <w:szCs w:val="18"/>
              </w:rPr>
            </w:pPr>
            <w:r w:rsidRPr="00B0658A">
              <w:rPr>
                <w:rFonts w:ascii="Times New Roman" w:hAnsi="Times New Roman"/>
                <w:sz w:val="18"/>
                <w:szCs w:val="18"/>
              </w:rPr>
              <w:t>Промышленное программное обеспечение/ Средства автоматизированного проектирования (CAD)</w:t>
            </w:r>
          </w:p>
        </w:tc>
        <w:tc>
          <w:tcPr>
            <w:tcW w:w="1842" w:type="dxa"/>
            <w:shd w:val="clear" w:color="000000" w:fill="FFFFFF"/>
            <w:hideMark/>
          </w:tcPr>
          <w:p w14:paraId="4FDCB012" w14:textId="77777777" w:rsidR="00626001" w:rsidRPr="00B0658A" w:rsidRDefault="00626001" w:rsidP="00004A41">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79" w:type="dxa"/>
            <w:vAlign w:val="center"/>
          </w:tcPr>
          <w:p w14:paraId="605B9195"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auto" w:fill="auto"/>
            <w:noWrap/>
            <w:vAlign w:val="center"/>
            <w:hideMark/>
          </w:tcPr>
          <w:p w14:paraId="33ECE250"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auto" w:fill="auto"/>
            <w:noWrap/>
            <w:vAlign w:val="center"/>
            <w:hideMark/>
          </w:tcPr>
          <w:p w14:paraId="21B2E118"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auto" w:fill="auto"/>
            <w:vAlign w:val="center"/>
            <w:hideMark/>
          </w:tcPr>
          <w:p w14:paraId="66721AE0" w14:textId="77777777" w:rsidR="00626001" w:rsidRPr="00B0658A" w:rsidRDefault="00626001" w:rsidP="00004A41">
            <w:pPr>
              <w:spacing w:after="0" w:line="240" w:lineRule="auto"/>
              <w:jc w:val="center"/>
              <w:rPr>
                <w:rFonts w:ascii="Times New Roman" w:hAnsi="Times New Roman"/>
                <w:sz w:val="18"/>
                <w:szCs w:val="18"/>
              </w:rPr>
            </w:pPr>
          </w:p>
        </w:tc>
        <w:tc>
          <w:tcPr>
            <w:tcW w:w="992" w:type="dxa"/>
            <w:vAlign w:val="center"/>
          </w:tcPr>
          <w:p w14:paraId="427DF651" w14:textId="77777777" w:rsidR="00626001" w:rsidRPr="00B0658A" w:rsidRDefault="00626001" w:rsidP="00004A41">
            <w:pPr>
              <w:spacing w:after="0" w:line="240" w:lineRule="auto"/>
              <w:jc w:val="center"/>
              <w:rPr>
                <w:rFonts w:ascii="Times New Roman" w:hAnsi="Times New Roman"/>
                <w:sz w:val="18"/>
                <w:szCs w:val="18"/>
              </w:rPr>
            </w:pPr>
          </w:p>
        </w:tc>
        <w:tc>
          <w:tcPr>
            <w:tcW w:w="803" w:type="dxa"/>
            <w:shd w:val="clear" w:color="auto" w:fill="auto"/>
            <w:vAlign w:val="center"/>
            <w:hideMark/>
          </w:tcPr>
          <w:p w14:paraId="755F4D53" w14:textId="77777777" w:rsidR="00626001" w:rsidRPr="00B0658A" w:rsidRDefault="00626001" w:rsidP="00004A41">
            <w:pPr>
              <w:spacing w:after="0" w:line="240" w:lineRule="auto"/>
              <w:jc w:val="center"/>
              <w:rPr>
                <w:rFonts w:ascii="Times New Roman" w:hAnsi="Times New Roman"/>
                <w:sz w:val="18"/>
                <w:szCs w:val="18"/>
              </w:rPr>
            </w:pPr>
          </w:p>
        </w:tc>
        <w:tc>
          <w:tcPr>
            <w:tcW w:w="803" w:type="dxa"/>
            <w:shd w:val="clear" w:color="auto" w:fill="auto"/>
            <w:vAlign w:val="center"/>
            <w:hideMark/>
          </w:tcPr>
          <w:p w14:paraId="6426696D" w14:textId="77777777" w:rsidR="00626001" w:rsidRPr="00B0658A" w:rsidRDefault="00626001" w:rsidP="00004A41">
            <w:pPr>
              <w:spacing w:after="0" w:line="240" w:lineRule="auto"/>
              <w:jc w:val="center"/>
              <w:rPr>
                <w:rFonts w:ascii="Times New Roman" w:hAnsi="Times New Roman"/>
                <w:sz w:val="18"/>
                <w:szCs w:val="18"/>
              </w:rPr>
            </w:pPr>
          </w:p>
        </w:tc>
        <w:tc>
          <w:tcPr>
            <w:tcW w:w="804" w:type="dxa"/>
            <w:shd w:val="clear" w:color="auto" w:fill="auto"/>
            <w:noWrap/>
            <w:vAlign w:val="center"/>
            <w:hideMark/>
          </w:tcPr>
          <w:p w14:paraId="30A7799A" w14:textId="77777777" w:rsidR="00626001" w:rsidRPr="00B0658A" w:rsidRDefault="00626001" w:rsidP="00004A41">
            <w:pPr>
              <w:spacing w:after="0" w:line="240" w:lineRule="auto"/>
              <w:jc w:val="center"/>
              <w:rPr>
                <w:rFonts w:ascii="Times New Roman" w:hAnsi="Times New Roman"/>
                <w:sz w:val="18"/>
                <w:szCs w:val="18"/>
              </w:rPr>
            </w:pPr>
          </w:p>
        </w:tc>
        <w:tc>
          <w:tcPr>
            <w:tcW w:w="1530" w:type="dxa"/>
            <w:vAlign w:val="center"/>
          </w:tcPr>
          <w:p w14:paraId="23F0DE37" w14:textId="77777777" w:rsidR="00626001" w:rsidRPr="00B0658A" w:rsidRDefault="00626001" w:rsidP="00004A41">
            <w:pPr>
              <w:spacing w:after="0" w:line="240" w:lineRule="auto"/>
              <w:jc w:val="center"/>
              <w:rPr>
                <w:rFonts w:ascii="Times New Roman" w:hAnsi="Times New Roman"/>
                <w:sz w:val="18"/>
                <w:szCs w:val="18"/>
              </w:rPr>
            </w:pPr>
          </w:p>
        </w:tc>
      </w:tr>
      <w:tr w:rsidR="00F52FED" w:rsidRPr="00B0658A" w14:paraId="4FCD1F88" w14:textId="77777777" w:rsidTr="000103BB">
        <w:trPr>
          <w:trHeight w:val="20"/>
        </w:trPr>
        <w:tc>
          <w:tcPr>
            <w:tcW w:w="578" w:type="dxa"/>
            <w:shd w:val="clear" w:color="000000" w:fill="FFFFFF"/>
            <w:vAlign w:val="center"/>
          </w:tcPr>
          <w:p w14:paraId="3F94C65C" w14:textId="77777777" w:rsidR="00626001" w:rsidRPr="00B0658A" w:rsidRDefault="00626001" w:rsidP="00004A41">
            <w:pPr>
              <w:spacing w:after="0" w:line="240" w:lineRule="auto"/>
              <w:jc w:val="center"/>
              <w:rPr>
                <w:rFonts w:ascii="Times New Roman" w:hAnsi="Times New Roman"/>
                <w:sz w:val="18"/>
                <w:szCs w:val="18"/>
              </w:rPr>
            </w:pPr>
            <w:r w:rsidRPr="00B0658A">
              <w:rPr>
                <w:rFonts w:ascii="Times New Roman" w:hAnsi="Times New Roman"/>
                <w:sz w:val="18"/>
                <w:szCs w:val="18"/>
              </w:rPr>
              <w:t>8.4</w:t>
            </w:r>
          </w:p>
        </w:tc>
        <w:tc>
          <w:tcPr>
            <w:tcW w:w="3812" w:type="dxa"/>
            <w:shd w:val="clear" w:color="auto" w:fill="auto"/>
            <w:vAlign w:val="center"/>
            <w:hideMark/>
          </w:tcPr>
          <w:p w14:paraId="498A9528" w14:textId="77777777" w:rsidR="00626001" w:rsidRPr="00B0658A" w:rsidRDefault="00626001" w:rsidP="00004A41">
            <w:pPr>
              <w:spacing w:after="0" w:line="240" w:lineRule="auto"/>
              <w:rPr>
                <w:rFonts w:ascii="Times New Roman" w:hAnsi="Times New Roman"/>
                <w:sz w:val="18"/>
                <w:szCs w:val="18"/>
              </w:rPr>
            </w:pPr>
            <w:r w:rsidRPr="00B0658A">
              <w:rPr>
                <w:rFonts w:ascii="Times New Roman" w:hAnsi="Times New Roman"/>
                <w:sz w:val="18"/>
                <w:szCs w:val="18"/>
              </w:rPr>
              <w:t xml:space="preserve">Промышленное программное обеспечение/ Средства автоматизированного проектирования для радиоэлектроники </w:t>
            </w:r>
            <w:r w:rsidRPr="00B0658A">
              <w:rPr>
                <w:rFonts w:ascii="Times New Roman" w:hAnsi="Times New Roman"/>
                <w:sz w:val="18"/>
                <w:szCs w:val="18"/>
              </w:rPr>
              <w:br/>
              <w:t>и электротехники (ECAD, EDA)</w:t>
            </w:r>
          </w:p>
        </w:tc>
        <w:tc>
          <w:tcPr>
            <w:tcW w:w="1842" w:type="dxa"/>
            <w:shd w:val="clear" w:color="000000" w:fill="FFFFFF"/>
            <w:hideMark/>
          </w:tcPr>
          <w:p w14:paraId="64890249" w14:textId="77777777" w:rsidR="00626001" w:rsidRPr="00B0658A" w:rsidRDefault="00626001" w:rsidP="00004A41">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79" w:type="dxa"/>
            <w:vAlign w:val="center"/>
          </w:tcPr>
          <w:p w14:paraId="772993CA"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auto" w:fill="auto"/>
            <w:noWrap/>
            <w:vAlign w:val="center"/>
            <w:hideMark/>
          </w:tcPr>
          <w:p w14:paraId="1117B475"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auto" w:fill="auto"/>
            <w:noWrap/>
            <w:vAlign w:val="center"/>
            <w:hideMark/>
          </w:tcPr>
          <w:p w14:paraId="55729A95"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auto" w:fill="auto"/>
            <w:vAlign w:val="center"/>
            <w:hideMark/>
          </w:tcPr>
          <w:p w14:paraId="28A13B2B" w14:textId="77777777" w:rsidR="00626001" w:rsidRPr="00B0658A" w:rsidRDefault="00626001" w:rsidP="00004A41">
            <w:pPr>
              <w:spacing w:after="0" w:line="240" w:lineRule="auto"/>
              <w:jc w:val="center"/>
              <w:rPr>
                <w:rFonts w:ascii="Times New Roman" w:hAnsi="Times New Roman"/>
                <w:sz w:val="18"/>
                <w:szCs w:val="18"/>
              </w:rPr>
            </w:pPr>
          </w:p>
        </w:tc>
        <w:tc>
          <w:tcPr>
            <w:tcW w:w="992" w:type="dxa"/>
            <w:vAlign w:val="center"/>
          </w:tcPr>
          <w:p w14:paraId="4C67AFD2" w14:textId="77777777" w:rsidR="00626001" w:rsidRPr="00B0658A" w:rsidRDefault="00626001" w:rsidP="00004A41">
            <w:pPr>
              <w:spacing w:after="0" w:line="240" w:lineRule="auto"/>
              <w:jc w:val="center"/>
              <w:rPr>
                <w:rFonts w:ascii="Times New Roman" w:hAnsi="Times New Roman"/>
                <w:sz w:val="18"/>
                <w:szCs w:val="18"/>
              </w:rPr>
            </w:pPr>
          </w:p>
        </w:tc>
        <w:tc>
          <w:tcPr>
            <w:tcW w:w="803" w:type="dxa"/>
            <w:shd w:val="clear" w:color="auto" w:fill="auto"/>
            <w:vAlign w:val="center"/>
            <w:hideMark/>
          </w:tcPr>
          <w:p w14:paraId="40D0E4E7" w14:textId="77777777" w:rsidR="00626001" w:rsidRPr="00B0658A" w:rsidRDefault="00626001" w:rsidP="00004A41">
            <w:pPr>
              <w:spacing w:after="0" w:line="240" w:lineRule="auto"/>
              <w:jc w:val="center"/>
              <w:rPr>
                <w:rFonts w:ascii="Times New Roman" w:hAnsi="Times New Roman"/>
                <w:sz w:val="18"/>
                <w:szCs w:val="18"/>
              </w:rPr>
            </w:pPr>
          </w:p>
        </w:tc>
        <w:tc>
          <w:tcPr>
            <w:tcW w:w="803" w:type="dxa"/>
            <w:shd w:val="clear" w:color="auto" w:fill="auto"/>
            <w:vAlign w:val="center"/>
            <w:hideMark/>
          </w:tcPr>
          <w:p w14:paraId="28EA550D" w14:textId="77777777" w:rsidR="00626001" w:rsidRPr="00B0658A" w:rsidRDefault="00626001" w:rsidP="00004A41">
            <w:pPr>
              <w:spacing w:after="0" w:line="240" w:lineRule="auto"/>
              <w:jc w:val="center"/>
              <w:rPr>
                <w:rFonts w:ascii="Times New Roman" w:hAnsi="Times New Roman"/>
                <w:sz w:val="18"/>
                <w:szCs w:val="18"/>
              </w:rPr>
            </w:pPr>
          </w:p>
        </w:tc>
        <w:tc>
          <w:tcPr>
            <w:tcW w:w="804" w:type="dxa"/>
            <w:shd w:val="clear" w:color="auto" w:fill="auto"/>
            <w:noWrap/>
            <w:vAlign w:val="center"/>
            <w:hideMark/>
          </w:tcPr>
          <w:p w14:paraId="40CD931D" w14:textId="77777777" w:rsidR="00626001" w:rsidRPr="00B0658A" w:rsidRDefault="00626001" w:rsidP="00004A41">
            <w:pPr>
              <w:spacing w:after="0" w:line="240" w:lineRule="auto"/>
              <w:jc w:val="center"/>
              <w:rPr>
                <w:rFonts w:ascii="Times New Roman" w:hAnsi="Times New Roman"/>
                <w:sz w:val="18"/>
                <w:szCs w:val="18"/>
              </w:rPr>
            </w:pPr>
          </w:p>
        </w:tc>
        <w:tc>
          <w:tcPr>
            <w:tcW w:w="1530" w:type="dxa"/>
            <w:vAlign w:val="center"/>
          </w:tcPr>
          <w:p w14:paraId="29918CA3" w14:textId="77777777" w:rsidR="00626001" w:rsidRPr="00B0658A" w:rsidRDefault="00626001" w:rsidP="00004A41">
            <w:pPr>
              <w:spacing w:after="0" w:line="240" w:lineRule="auto"/>
              <w:jc w:val="center"/>
              <w:rPr>
                <w:rFonts w:ascii="Times New Roman" w:hAnsi="Times New Roman"/>
                <w:sz w:val="18"/>
                <w:szCs w:val="18"/>
              </w:rPr>
            </w:pPr>
          </w:p>
        </w:tc>
      </w:tr>
      <w:tr w:rsidR="00F52FED" w:rsidRPr="00B0658A" w14:paraId="126C5F19" w14:textId="77777777" w:rsidTr="000103BB">
        <w:trPr>
          <w:trHeight w:val="20"/>
        </w:trPr>
        <w:tc>
          <w:tcPr>
            <w:tcW w:w="578" w:type="dxa"/>
            <w:shd w:val="clear" w:color="000000" w:fill="FFFFFF"/>
            <w:vAlign w:val="center"/>
          </w:tcPr>
          <w:p w14:paraId="0B3F87D7" w14:textId="77777777" w:rsidR="00626001" w:rsidRPr="00B0658A" w:rsidRDefault="00626001" w:rsidP="00004A41">
            <w:pPr>
              <w:spacing w:after="0" w:line="240" w:lineRule="auto"/>
              <w:jc w:val="center"/>
              <w:rPr>
                <w:rFonts w:ascii="Times New Roman" w:hAnsi="Times New Roman"/>
                <w:sz w:val="18"/>
                <w:szCs w:val="18"/>
              </w:rPr>
            </w:pPr>
            <w:r w:rsidRPr="00B0658A">
              <w:rPr>
                <w:rFonts w:ascii="Times New Roman" w:hAnsi="Times New Roman"/>
                <w:sz w:val="18"/>
                <w:szCs w:val="18"/>
              </w:rPr>
              <w:t>8.5</w:t>
            </w:r>
          </w:p>
        </w:tc>
        <w:tc>
          <w:tcPr>
            <w:tcW w:w="3812" w:type="dxa"/>
            <w:shd w:val="clear" w:color="auto" w:fill="auto"/>
            <w:vAlign w:val="center"/>
            <w:hideMark/>
          </w:tcPr>
          <w:p w14:paraId="1F4AF802" w14:textId="77777777" w:rsidR="00626001" w:rsidRPr="00B0658A" w:rsidRDefault="00626001" w:rsidP="00004A41">
            <w:pPr>
              <w:spacing w:after="0" w:line="240" w:lineRule="auto"/>
              <w:rPr>
                <w:rFonts w:ascii="Times New Roman" w:hAnsi="Times New Roman"/>
                <w:sz w:val="18"/>
                <w:szCs w:val="18"/>
              </w:rPr>
            </w:pPr>
            <w:r w:rsidRPr="00B0658A">
              <w:rPr>
                <w:rFonts w:ascii="Times New Roman" w:hAnsi="Times New Roman"/>
                <w:sz w:val="18"/>
                <w:szCs w:val="18"/>
              </w:rPr>
              <w:t>Промышленное программное обеспечение/ Средства инженерного анализа (CAE)</w:t>
            </w:r>
          </w:p>
        </w:tc>
        <w:tc>
          <w:tcPr>
            <w:tcW w:w="1842" w:type="dxa"/>
            <w:shd w:val="clear" w:color="000000" w:fill="FFFFFF"/>
            <w:hideMark/>
          </w:tcPr>
          <w:p w14:paraId="1A192159" w14:textId="77777777" w:rsidR="00626001" w:rsidRPr="00B0658A" w:rsidRDefault="00626001" w:rsidP="00004A41">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79" w:type="dxa"/>
            <w:shd w:val="clear" w:color="000000" w:fill="FFFFFF"/>
            <w:vAlign w:val="center"/>
          </w:tcPr>
          <w:p w14:paraId="512104C9"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000000" w:fill="FFFFFF"/>
            <w:vAlign w:val="center"/>
            <w:hideMark/>
          </w:tcPr>
          <w:p w14:paraId="7AC1685C"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000000" w:fill="FFFFFF"/>
            <w:vAlign w:val="center"/>
            <w:hideMark/>
          </w:tcPr>
          <w:p w14:paraId="68CD8D5A"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000000" w:fill="FFFFFF"/>
            <w:vAlign w:val="center"/>
            <w:hideMark/>
          </w:tcPr>
          <w:p w14:paraId="30B4A052" w14:textId="77777777" w:rsidR="00626001" w:rsidRPr="00B0658A" w:rsidRDefault="00626001" w:rsidP="00004A41">
            <w:pPr>
              <w:spacing w:after="0" w:line="240" w:lineRule="auto"/>
              <w:jc w:val="center"/>
              <w:rPr>
                <w:rFonts w:ascii="Times New Roman" w:hAnsi="Times New Roman"/>
                <w:sz w:val="18"/>
                <w:szCs w:val="18"/>
              </w:rPr>
            </w:pPr>
          </w:p>
        </w:tc>
        <w:tc>
          <w:tcPr>
            <w:tcW w:w="992" w:type="dxa"/>
            <w:shd w:val="clear" w:color="000000" w:fill="FFFFFF"/>
            <w:vAlign w:val="center"/>
          </w:tcPr>
          <w:p w14:paraId="1C772F7A" w14:textId="77777777" w:rsidR="00626001" w:rsidRPr="00B0658A" w:rsidRDefault="00626001" w:rsidP="00004A41">
            <w:pPr>
              <w:spacing w:after="0" w:line="240" w:lineRule="auto"/>
              <w:jc w:val="center"/>
              <w:rPr>
                <w:rFonts w:ascii="Times New Roman" w:hAnsi="Times New Roman"/>
                <w:sz w:val="18"/>
                <w:szCs w:val="18"/>
              </w:rPr>
            </w:pPr>
          </w:p>
        </w:tc>
        <w:tc>
          <w:tcPr>
            <w:tcW w:w="803" w:type="dxa"/>
            <w:shd w:val="clear" w:color="000000" w:fill="FFFFFF"/>
            <w:vAlign w:val="center"/>
            <w:hideMark/>
          </w:tcPr>
          <w:p w14:paraId="23650BF3" w14:textId="77777777" w:rsidR="00626001" w:rsidRPr="00B0658A" w:rsidRDefault="00626001" w:rsidP="00004A41">
            <w:pPr>
              <w:spacing w:after="0" w:line="240" w:lineRule="auto"/>
              <w:jc w:val="center"/>
              <w:rPr>
                <w:rFonts w:ascii="Times New Roman" w:hAnsi="Times New Roman"/>
                <w:sz w:val="18"/>
                <w:szCs w:val="18"/>
              </w:rPr>
            </w:pPr>
          </w:p>
        </w:tc>
        <w:tc>
          <w:tcPr>
            <w:tcW w:w="803" w:type="dxa"/>
            <w:shd w:val="clear" w:color="000000" w:fill="FFFFFF"/>
            <w:vAlign w:val="center"/>
            <w:hideMark/>
          </w:tcPr>
          <w:p w14:paraId="76883EB1" w14:textId="77777777" w:rsidR="00626001" w:rsidRPr="00B0658A" w:rsidRDefault="00626001" w:rsidP="00004A41">
            <w:pPr>
              <w:spacing w:after="0" w:line="240" w:lineRule="auto"/>
              <w:jc w:val="center"/>
              <w:rPr>
                <w:rFonts w:ascii="Times New Roman" w:hAnsi="Times New Roman"/>
                <w:sz w:val="18"/>
                <w:szCs w:val="18"/>
              </w:rPr>
            </w:pPr>
          </w:p>
        </w:tc>
        <w:tc>
          <w:tcPr>
            <w:tcW w:w="804" w:type="dxa"/>
            <w:shd w:val="clear" w:color="000000" w:fill="FFFFFF"/>
            <w:vAlign w:val="center"/>
            <w:hideMark/>
          </w:tcPr>
          <w:p w14:paraId="63DA0F33" w14:textId="77777777" w:rsidR="00626001" w:rsidRPr="00B0658A" w:rsidRDefault="00626001" w:rsidP="00004A41">
            <w:pPr>
              <w:spacing w:after="0" w:line="240" w:lineRule="auto"/>
              <w:jc w:val="center"/>
              <w:rPr>
                <w:rFonts w:ascii="Times New Roman" w:hAnsi="Times New Roman"/>
                <w:sz w:val="18"/>
                <w:szCs w:val="18"/>
              </w:rPr>
            </w:pPr>
          </w:p>
        </w:tc>
        <w:tc>
          <w:tcPr>
            <w:tcW w:w="1530" w:type="dxa"/>
            <w:shd w:val="clear" w:color="000000" w:fill="FFFFFF"/>
            <w:vAlign w:val="center"/>
          </w:tcPr>
          <w:p w14:paraId="3F85FDF4" w14:textId="77777777" w:rsidR="00626001" w:rsidRPr="00B0658A" w:rsidRDefault="00626001" w:rsidP="00004A41">
            <w:pPr>
              <w:spacing w:after="0" w:line="240" w:lineRule="auto"/>
              <w:jc w:val="center"/>
              <w:rPr>
                <w:rFonts w:ascii="Times New Roman" w:hAnsi="Times New Roman"/>
                <w:sz w:val="18"/>
                <w:szCs w:val="18"/>
              </w:rPr>
            </w:pPr>
          </w:p>
        </w:tc>
      </w:tr>
      <w:tr w:rsidR="00F52FED" w:rsidRPr="00B0658A" w14:paraId="6B16192E" w14:textId="77777777" w:rsidTr="000103BB">
        <w:trPr>
          <w:trHeight w:val="20"/>
        </w:trPr>
        <w:tc>
          <w:tcPr>
            <w:tcW w:w="578" w:type="dxa"/>
            <w:shd w:val="clear" w:color="000000" w:fill="FFFFFF"/>
            <w:vAlign w:val="center"/>
          </w:tcPr>
          <w:p w14:paraId="6288F34F" w14:textId="77777777" w:rsidR="00626001" w:rsidRPr="00B0658A" w:rsidRDefault="00626001" w:rsidP="00004A41">
            <w:pPr>
              <w:spacing w:after="0" w:line="240" w:lineRule="auto"/>
              <w:jc w:val="center"/>
              <w:rPr>
                <w:rFonts w:ascii="Times New Roman" w:hAnsi="Times New Roman"/>
                <w:sz w:val="18"/>
                <w:szCs w:val="18"/>
              </w:rPr>
            </w:pPr>
            <w:r w:rsidRPr="00B0658A">
              <w:rPr>
                <w:rFonts w:ascii="Times New Roman" w:hAnsi="Times New Roman"/>
                <w:sz w:val="18"/>
                <w:szCs w:val="18"/>
              </w:rPr>
              <w:t>8.6</w:t>
            </w:r>
          </w:p>
        </w:tc>
        <w:tc>
          <w:tcPr>
            <w:tcW w:w="3812" w:type="dxa"/>
            <w:shd w:val="clear" w:color="auto" w:fill="auto"/>
            <w:vAlign w:val="center"/>
            <w:hideMark/>
          </w:tcPr>
          <w:p w14:paraId="3AEB0480" w14:textId="77777777" w:rsidR="00626001" w:rsidRPr="00B0658A" w:rsidRDefault="00626001" w:rsidP="00004A41">
            <w:pPr>
              <w:spacing w:after="0" w:line="240" w:lineRule="auto"/>
              <w:rPr>
                <w:rFonts w:ascii="Times New Roman" w:hAnsi="Times New Roman"/>
                <w:sz w:val="18"/>
                <w:szCs w:val="18"/>
              </w:rPr>
            </w:pPr>
            <w:r w:rsidRPr="00B0658A">
              <w:rPr>
                <w:rFonts w:ascii="Times New Roman" w:hAnsi="Times New Roman"/>
                <w:sz w:val="18"/>
                <w:szCs w:val="18"/>
              </w:rPr>
              <w:t>Промышленное программное обеспечение/ Средства управления оборудованием с числовым программным управлением (CAM)</w:t>
            </w:r>
          </w:p>
        </w:tc>
        <w:tc>
          <w:tcPr>
            <w:tcW w:w="1842" w:type="dxa"/>
            <w:shd w:val="clear" w:color="000000" w:fill="FFFFFF"/>
            <w:hideMark/>
          </w:tcPr>
          <w:p w14:paraId="6518846E" w14:textId="77777777" w:rsidR="00626001" w:rsidRPr="00B0658A" w:rsidRDefault="00626001" w:rsidP="00004A41">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79" w:type="dxa"/>
            <w:shd w:val="clear" w:color="000000" w:fill="FFFFFF"/>
            <w:vAlign w:val="center"/>
          </w:tcPr>
          <w:p w14:paraId="789D594F"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000000" w:fill="FFFFFF"/>
            <w:vAlign w:val="center"/>
            <w:hideMark/>
          </w:tcPr>
          <w:p w14:paraId="47781460"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000000" w:fill="FFFFFF"/>
            <w:vAlign w:val="center"/>
            <w:hideMark/>
          </w:tcPr>
          <w:p w14:paraId="64B27745"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000000" w:fill="FFFFFF"/>
            <w:vAlign w:val="center"/>
            <w:hideMark/>
          </w:tcPr>
          <w:p w14:paraId="2D968E73" w14:textId="77777777" w:rsidR="00626001" w:rsidRPr="00B0658A" w:rsidRDefault="00626001" w:rsidP="00004A41">
            <w:pPr>
              <w:spacing w:after="0" w:line="240" w:lineRule="auto"/>
              <w:jc w:val="center"/>
              <w:rPr>
                <w:rFonts w:ascii="Times New Roman" w:hAnsi="Times New Roman"/>
                <w:sz w:val="18"/>
                <w:szCs w:val="18"/>
              </w:rPr>
            </w:pPr>
          </w:p>
        </w:tc>
        <w:tc>
          <w:tcPr>
            <w:tcW w:w="992" w:type="dxa"/>
            <w:shd w:val="clear" w:color="000000" w:fill="FFFFFF"/>
            <w:vAlign w:val="center"/>
          </w:tcPr>
          <w:p w14:paraId="03E39956" w14:textId="77777777" w:rsidR="00626001" w:rsidRPr="00B0658A" w:rsidRDefault="00626001" w:rsidP="00004A41">
            <w:pPr>
              <w:spacing w:after="0" w:line="240" w:lineRule="auto"/>
              <w:jc w:val="center"/>
              <w:rPr>
                <w:rFonts w:ascii="Times New Roman" w:hAnsi="Times New Roman"/>
                <w:sz w:val="18"/>
                <w:szCs w:val="18"/>
              </w:rPr>
            </w:pPr>
          </w:p>
        </w:tc>
        <w:tc>
          <w:tcPr>
            <w:tcW w:w="803" w:type="dxa"/>
            <w:shd w:val="clear" w:color="000000" w:fill="FFFFFF"/>
            <w:vAlign w:val="center"/>
            <w:hideMark/>
          </w:tcPr>
          <w:p w14:paraId="4D7E3DA0" w14:textId="77777777" w:rsidR="00626001" w:rsidRPr="00B0658A" w:rsidRDefault="00626001" w:rsidP="00004A41">
            <w:pPr>
              <w:spacing w:after="0" w:line="240" w:lineRule="auto"/>
              <w:jc w:val="center"/>
              <w:rPr>
                <w:rFonts w:ascii="Times New Roman" w:hAnsi="Times New Roman"/>
                <w:sz w:val="18"/>
                <w:szCs w:val="18"/>
              </w:rPr>
            </w:pPr>
          </w:p>
        </w:tc>
        <w:tc>
          <w:tcPr>
            <w:tcW w:w="803" w:type="dxa"/>
            <w:shd w:val="clear" w:color="000000" w:fill="FFFFFF"/>
            <w:vAlign w:val="center"/>
            <w:hideMark/>
          </w:tcPr>
          <w:p w14:paraId="7F0F049A" w14:textId="77777777" w:rsidR="00626001" w:rsidRPr="00B0658A" w:rsidRDefault="00626001" w:rsidP="00004A41">
            <w:pPr>
              <w:spacing w:after="0" w:line="240" w:lineRule="auto"/>
              <w:jc w:val="center"/>
              <w:rPr>
                <w:rFonts w:ascii="Times New Roman" w:hAnsi="Times New Roman"/>
                <w:sz w:val="18"/>
                <w:szCs w:val="18"/>
              </w:rPr>
            </w:pPr>
          </w:p>
        </w:tc>
        <w:tc>
          <w:tcPr>
            <w:tcW w:w="804" w:type="dxa"/>
            <w:shd w:val="clear" w:color="000000" w:fill="FFFFFF"/>
            <w:vAlign w:val="center"/>
            <w:hideMark/>
          </w:tcPr>
          <w:p w14:paraId="7E309435" w14:textId="77777777" w:rsidR="00626001" w:rsidRPr="00B0658A" w:rsidRDefault="00626001" w:rsidP="00004A41">
            <w:pPr>
              <w:spacing w:after="0" w:line="240" w:lineRule="auto"/>
              <w:jc w:val="center"/>
              <w:rPr>
                <w:rFonts w:ascii="Times New Roman" w:hAnsi="Times New Roman"/>
                <w:sz w:val="18"/>
                <w:szCs w:val="18"/>
              </w:rPr>
            </w:pPr>
          </w:p>
        </w:tc>
        <w:tc>
          <w:tcPr>
            <w:tcW w:w="1530" w:type="dxa"/>
            <w:shd w:val="clear" w:color="000000" w:fill="FFFFFF"/>
            <w:vAlign w:val="center"/>
          </w:tcPr>
          <w:p w14:paraId="28B2B6A8" w14:textId="77777777" w:rsidR="00626001" w:rsidRPr="00B0658A" w:rsidRDefault="00626001" w:rsidP="00004A41">
            <w:pPr>
              <w:spacing w:after="0" w:line="240" w:lineRule="auto"/>
              <w:jc w:val="center"/>
              <w:rPr>
                <w:rFonts w:ascii="Times New Roman" w:hAnsi="Times New Roman"/>
                <w:sz w:val="18"/>
                <w:szCs w:val="18"/>
              </w:rPr>
            </w:pPr>
          </w:p>
        </w:tc>
      </w:tr>
      <w:tr w:rsidR="00F52FED" w:rsidRPr="00B0658A" w14:paraId="727E2985" w14:textId="77777777" w:rsidTr="000103BB">
        <w:trPr>
          <w:trHeight w:val="20"/>
        </w:trPr>
        <w:tc>
          <w:tcPr>
            <w:tcW w:w="578" w:type="dxa"/>
            <w:shd w:val="clear" w:color="000000" w:fill="FFFFFF"/>
            <w:vAlign w:val="center"/>
          </w:tcPr>
          <w:p w14:paraId="49D0E4DC" w14:textId="77777777" w:rsidR="00626001" w:rsidRPr="00B0658A" w:rsidRDefault="00626001" w:rsidP="00004A41">
            <w:pPr>
              <w:spacing w:after="0" w:line="240" w:lineRule="auto"/>
              <w:jc w:val="center"/>
              <w:rPr>
                <w:rFonts w:ascii="Times New Roman" w:hAnsi="Times New Roman"/>
                <w:sz w:val="18"/>
                <w:szCs w:val="18"/>
              </w:rPr>
            </w:pPr>
            <w:r w:rsidRPr="00B0658A">
              <w:rPr>
                <w:rFonts w:ascii="Times New Roman" w:hAnsi="Times New Roman"/>
                <w:sz w:val="18"/>
                <w:szCs w:val="18"/>
              </w:rPr>
              <w:t>8.7</w:t>
            </w:r>
          </w:p>
        </w:tc>
        <w:tc>
          <w:tcPr>
            <w:tcW w:w="3812" w:type="dxa"/>
            <w:shd w:val="clear" w:color="auto" w:fill="auto"/>
            <w:vAlign w:val="center"/>
            <w:hideMark/>
          </w:tcPr>
          <w:p w14:paraId="6DE89C2B" w14:textId="77777777" w:rsidR="00626001" w:rsidRPr="00B0658A" w:rsidRDefault="00626001" w:rsidP="00004A41">
            <w:pPr>
              <w:spacing w:after="0" w:line="240" w:lineRule="auto"/>
              <w:rPr>
                <w:rFonts w:ascii="Times New Roman" w:hAnsi="Times New Roman"/>
                <w:sz w:val="18"/>
                <w:szCs w:val="18"/>
              </w:rPr>
            </w:pPr>
            <w:r w:rsidRPr="00B0658A">
              <w:rPr>
                <w:rFonts w:ascii="Times New Roman" w:hAnsi="Times New Roman"/>
                <w:sz w:val="18"/>
                <w:szCs w:val="18"/>
              </w:rPr>
              <w:t>Промышленное программное обеспечение/ Средства технологической подготовки производства (CAPP)</w:t>
            </w:r>
          </w:p>
        </w:tc>
        <w:tc>
          <w:tcPr>
            <w:tcW w:w="1842" w:type="dxa"/>
            <w:shd w:val="clear" w:color="000000" w:fill="FFFFFF"/>
            <w:hideMark/>
          </w:tcPr>
          <w:p w14:paraId="0FBC0C12" w14:textId="77777777" w:rsidR="00626001" w:rsidRPr="00B0658A" w:rsidRDefault="00626001" w:rsidP="00004A41">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79" w:type="dxa"/>
            <w:shd w:val="clear" w:color="000000" w:fill="FFFFFF"/>
            <w:vAlign w:val="center"/>
          </w:tcPr>
          <w:p w14:paraId="3C27B820"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000000" w:fill="FFFFFF"/>
            <w:vAlign w:val="center"/>
            <w:hideMark/>
          </w:tcPr>
          <w:p w14:paraId="5ACF7632"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000000" w:fill="FFFFFF"/>
            <w:vAlign w:val="center"/>
            <w:hideMark/>
          </w:tcPr>
          <w:p w14:paraId="63F63C72"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000000" w:fill="FFFFFF"/>
            <w:vAlign w:val="center"/>
            <w:hideMark/>
          </w:tcPr>
          <w:p w14:paraId="7879CAE9" w14:textId="77777777" w:rsidR="00626001" w:rsidRPr="00B0658A" w:rsidRDefault="00626001" w:rsidP="00004A41">
            <w:pPr>
              <w:spacing w:after="0" w:line="240" w:lineRule="auto"/>
              <w:jc w:val="center"/>
              <w:rPr>
                <w:rFonts w:ascii="Times New Roman" w:hAnsi="Times New Roman"/>
                <w:sz w:val="18"/>
                <w:szCs w:val="18"/>
              </w:rPr>
            </w:pPr>
          </w:p>
        </w:tc>
        <w:tc>
          <w:tcPr>
            <w:tcW w:w="992" w:type="dxa"/>
            <w:shd w:val="clear" w:color="000000" w:fill="FFFFFF"/>
            <w:vAlign w:val="center"/>
          </w:tcPr>
          <w:p w14:paraId="736A4341" w14:textId="77777777" w:rsidR="00626001" w:rsidRPr="00B0658A" w:rsidRDefault="00626001" w:rsidP="00004A41">
            <w:pPr>
              <w:spacing w:after="0" w:line="240" w:lineRule="auto"/>
              <w:jc w:val="center"/>
              <w:rPr>
                <w:rFonts w:ascii="Times New Roman" w:hAnsi="Times New Roman"/>
                <w:sz w:val="18"/>
                <w:szCs w:val="18"/>
              </w:rPr>
            </w:pPr>
          </w:p>
        </w:tc>
        <w:tc>
          <w:tcPr>
            <w:tcW w:w="803" w:type="dxa"/>
            <w:shd w:val="clear" w:color="000000" w:fill="FFFFFF"/>
            <w:vAlign w:val="center"/>
            <w:hideMark/>
          </w:tcPr>
          <w:p w14:paraId="4EA30322" w14:textId="77777777" w:rsidR="00626001" w:rsidRPr="00B0658A" w:rsidRDefault="00626001" w:rsidP="00004A41">
            <w:pPr>
              <w:spacing w:after="0" w:line="240" w:lineRule="auto"/>
              <w:jc w:val="center"/>
              <w:rPr>
                <w:rFonts w:ascii="Times New Roman" w:hAnsi="Times New Roman"/>
                <w:sz w:val="18"/>
                <w:szCs w:val="18"/>
              </w:rPr>
            </w:pPr>
          </w:p>
        </w:tc>
        <w:tc>
          <w:tcPr>
            <w:tcW w:w="803" w:type="dxa"/>
            <w:shd w:val="clear" w:color="000000" w:fill="FFFFFF"/>
            <w:vAlign w:val="center"/>
            <w:hideMark/>
          </w:tcPr>
          <w:p w14:paraId="5EBC0631" w14:textId="77777777" w:rsidR="00626001" w:rsidRPr="00B0658A" w:rsidRDefault="00626001" w:rsidP="00004A41">
            <w:pPr>
              <w:spacing w:after="0" w:line="240" w:lineRule="auto"/>
              <w:jc w:val="center"/>
              <w:rPr>
                <w:rFonts w:ascii="Times New Roman" w:hAnsi="Times New Roman"/>
                <w:sz w:val="18"/>
                <w:szCs w:val="18"/>
              </w:rPr>
            </w:pPr>
          </w:p>
        </w:tc>
        <w:tc>
          <w:tcPr>
            <w:tcW w:w="804" w:type="dxa"/>
            <w:shd w:val="clear" w:color="000000" w:fill="FFFFFF"/>
            <w:vAlign w:val="center"/>
            <w:hideMark/>
          </w:tcPr>
          <w:p w14:paraId="6E4673A5" w14:textId="77777777" w:rsidR="00626001" w:rsidRPr="00B0658A" w:rsidRDefault="00626001" w:rsidP="00004A41">
            <w:pPr>
              <w:spacing w:after="0" w:line="240" w:lineRule="auto"/>
              <w:jc w:val="center"/>
              <w:rPr>
                <w:rFonts w:ascii="Times New Roman" w:hAnsi="Times New Roman"/>
                <w:sz w:val="18"/>
                <w:szCs w:val="18"/>
              </w:rPr>
            </w:pPr>
          </w:p>
        </w:tc>
        <w:tc>
          <w:tcPr>
            <w:tcW w:w="1530" w:type="dxa"/>
            <w:shd w:val="clear" w:color="000000" w:fill="FFFFFF"/>
            <w:vAlign w:val="center"/>
          </w:tcPr>
          <w:p w14:paraId="1FCF65B9" w14:textId="77777777" w:rsidR="00626001" w:rsidRPr="00B0658A" w:rsidRDefault="00626001" w:rsidP="00004A41">
            <w:pPr>
              <w:spacing w:after="0" w:line="240" w:lineRule="auto"/>
              <w:jc w:val="center"/>
              <w:rPr>
                <w:rFonts w:ascii="Times New Roman" w:hAnsi="Times New Roman"/>
                <w:sz w:val="18"/>
                <w:szCs w:val="18"/>
              </w:rPr>
            </w:pPr>
          </w:p>
        </w:tc>
      </w:tr>
      <w:tr w:rsidR="00F52FED" w:rsidRPr="00B0658A" w14:paraId="5D8ECF41" w14:textId="77777777" w:rsidTr="000103BB">
        <w:trPr>
          <w:trHeight w:val="20"/>
        </w:trPr>
        <w:tc>
          <w:tcPr>
            <w:tcW w:w="578" w:type="dxa"/>
            <w:shd w:val="clear" w:color="000000" w:fill="FFFFFF"/>
            <w:vAlign w:val="center"/>
          </w:tcPr>
          <w:p w14:paraId="6D0BBFCF" w14:textId="77777777" w:rsidR="00626001" w:rsidRPr="00B0658A" w:rsidRDefault="00626001" w:rsidP="00004A41">
            <w:pPr>
              <w:spacing w:after="0" w:line="240" w:lineRule="auto"/>
              <w:jc w:val="center"/>
              <w:rPr>
                <w:rFonts w:ascii="Times New Roman" w:hAnsi="Times New Roman"/>
                <w:sz w:val="18"/>
                <w:szCs w:val="18"/>
              </w:rPr>
            </w:pPr>
            <w:r w:rsidRPr="00B0658A">
              <w:rPr>
                <w:rFonts w:ascii="Times New Roman" w:hAnsi="Times New Roman"/>
                <w:sz w:val="18"/>
                <w:szCs w:val="18"/>
              </w:rPr>
              <w:t>8.8</w:t>
            </w:r>
          </w:p>
        </w:tc>
        <w:tc>
          <w:tcPr>
            <w:tcW w:w="3812" w:type="dxa"/>
            <w:shd w:val="clear" w:color="auto" w:fill="auto"/>
            <w:vAlign w:val="center"/>
            <w:hideMark/>
          </w:tcPr>
          <w:p w14:paraId="76CA68FF" w14:textId="77777777" w:rsidR="00626001" w:rsidRPr="00B0658A" w:rsidRDefault="00626001" w:rsidP="00004A41">
            <w:pPr>
              <w:spacing w:after="0" w:line="240" w:lineRule="auto"/>
              <w:rPr>
                <w:rFonts w:ascii="Times New Roman" w:hAnsi="Times New Roman"/>
                <w:sz w:val="18"/>
                <w:szCs w:val="18"/>
              </w:rPr>
            </w:pPr>
            <w:r w:rsidRPr="00B0658A">
              <w:rPr>
                <w:rFonts w:ascii="Times New Roman" w:hAnsi="Times New Roman"/>
                <w:sz w:val="18"/>
                <w:szCs w:val="18"/>
              </w:rPr>
              <w:t xml:space="preserve">Промышленное программное обеспечение/ Средства управления инженерными данными </w:t>
            </w:r>
            <w:r w:rsidRPr="00B0658A">
              <w:rPr>
                <w:rFonts w:ascii="Times New Roman" w:hAnsi="Times New Roman"/>
                <w:sz w:val="18"/>
                <w:szCs w:val="18"/>
              </w:rPr>
              <w:br/>
              <w:t>об изделии (PDM)</w:t>
            </w:r>
          </w:p>
        </w:tc>
        <w:tc>
          <w:tcPr>
            <w:tcW w:w="1842" w:type="dxa"/>
            <w:shd w:val="clear" w:color="000000" w:fill="FFFFFF"/>
            <w:hideMark/>
          </w:tcPr>
          <w:p w14:paraId="4E2B0821" w14:textId="77777777" w:rsidR="00626001" w:rsidRPr="00B0658A" w:rsidRDefault="00626001" w:rsidP="00004A41">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79" w:type="dxa"/>
            <w:shd w:val="clear" w:color="000000" w:fill="FFFFFF"/>
            <w:vAlign w:val="center"/>
          </w:tcPr>
          <w:p w14:paraId="63E3BFD0"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000000" w:fill="FFFFFF"/>
            <w:vAlign w:val="center"/>
            <w:hideMark/>
          </w:tcPr>
          <w:p w14:paraId="334288FF"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000000" w:fill="FFFFFF"/>
            <w:vAlign w:val="center"/>
            <w:hideMark/>
          </w:tcPr>
          <w:p w14:paraId="1A8E70D6"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000000" w:fill="FFFFFF"/>
            <w:vAlign w:val="center"/>
            <w:hideMark/>
          </w:tcPr>
          <w:p w14:paraId="658B7F2E" w14:textId="77777777" w:rsidR="00626001" w:rsidRPr="00B0658A" w:rsidRDefault="00626001" w:rsidP="00004A41">
            <w:pPr>
              <w:spacing w:after="0" w:line="240" w:lineRule="auto"/>
              <w:jc w:val="center"/>
              <w:rPr>
                <w:rFonts w:ascii="Times New Roman" w:hAnsi="Times New Roman"/>
                <w:sz w:val="18"/>
                <w:szCs w:val="18"/>
              </w:rPr>
            </w:pPr>
          </w:p>
        </w:tc>
        <w:tc>
          <w:tcPr>
            <w:tcW w:w="992" w:type="dxa"/>
            <w:shd w:val="clear" w:color="000000" w:fill="FFFFFF"/>
            <w:vAlign w:val="center"/>
          </w:tcPr>
          <w:p w14:paraId="339B05D1" w14:textId="77777777" w:rsidR="00626001" w:rsidRPr="00B0658A" w:rsidRDefault="00626001" w:rsidP="00004A41">
            <w:pPr>
              <w:spacing w:after="0" w:line="240" w:lineRule="auto"/>
              <w:jc w:val="center"/>
              <w:rPr>
                <w:rFonts w:ascii="Times New Roman" w:hAnsi="Times New Roman"/>
                <w:sz w:val="18"/>
                <w:szCs w:val="18"/>
              </w:rPr>
            </w:pPr>
          </w:p>
        </w:tc>
        <w:tc>
          <w:tcPr>
            <w:tcW w:w="803" w:type="dxa"/>
            <w:shd w:val="clear" w:color="000000" w:fill="FFFFFF"/>
            <w:vAlign w:val="center"/>
            <w:hideMark/>
          </w:tcPr>
          <w:p w14:paraId="5D3AF14D" w14:textId="77777777" w:rsidR="00626001" w:rsidRPr="00B0658A" w:rsidRDefault="00626001" w:rsidP="00004A41">
            <w:pPr>
              <w:spacing w:after="0" w:line="240" w:lineRule="auto"/>
              <w:jc w:val="center"/>
              <w:rPr>
                <w:rFonts w:ascii="Times New Roman" w:hAnsi="Times New Roman"/>
                <w:sz w:val="18"/>
                <w:szCs w:val="18"/>
              </w:rPr>
            </w:pPr>
          </w:p>
        </w:tc>
        <w:tc>
          <w:tcPr>
            <w:tcW w:w="803" w:type="dxa"/>
            <w:shd w:val="clear" w:color="000000" w:fill="FFFFFF"/>
            <w:vAlign w:val="center"/>
            <w:hideMark/>
          </w:tcPr>
          <w:p w14:paraId="3947F0AA" w14:textId="77777777" w:rsidR="00626001" w:rsidRPr="00B0658A" w:rsidRDefault="00626001" w:rsidP="00004A41">
            <w:pPr>
              <w:spacing w:after="0" w:line="240" w:lineRule="auto"/>
              <w:jc w:val="center"/>
              <w:rPr>
                <w:rFonts w:ascii="Times New Roman" w:hAnsi="Times New Roman"/>
                <w:sz w:val="18"/>
                <w:szCs w:val="18"/>
              </w:rPr>
            </w:pPr>
          </w:p>
        </w:tc>
        <w:tc>
          <w:tcPr>
            <w:tcW w:w="804" w:type="dxa"/>
            <w:shd w:val="clear" w:color="000000" w:fill="FFFFFF"/>
            <w:vAlign w:val="center"/>
            <w:hideMark/>
          </w:tcPr>
          <w:p w14:paraId="17E86D7F" w14:textId="77777777" w:rsidR="00626001" w:rsidRPr="00B0658A" w:rsidRDefault="00626001" w:rsidP="00004A41">
            <w:pPr>
              <w:spacing w:after="0" w:line="240" w:lineRule="auto"/>
              <w:jc w:val="center"/>
              <w:rPr>
                <w:rFonts w:ascii="Times New Roman" w:hAnsi="Times New Roman"/>
                <w:sz w:val="18"/>
                <w:szCs w:val="18"/>
              </w:rPr>
            </w:pPr>
          </w:p>
        </w:tc>
        <w:tc>
          <w:tcPr>
            <w:tcW w:w="1530" w:type="dxa"/>
            <w:shd w:val="clear" w:color="000000" w:fill="FFFFFF"/>
            <w:vAlign w:val="center"/>
          </w:tcPr>
          <w:p w14:paraId="4ABD5C68" w14:textId="77777777" w:rsidR="00626001" w:rsidRPr="00B0658A" w:rsidRDefault="00626001" w:rsidP="00004A41">
            <w:pPr>
              <w:spacing w:after="0" w:line="240" w:lineRule="auto"/>
              <w:jc w:val="center"/>
              <w:rPr>
                <w:rFonts w:ascii="Times New Roman" w:hAnsi="Times New Roman"/>
                <w:sz w:val="18"/>
                <w:szCs w:val="18"/>
              </w:rPr>
            </w:pPr>
          </w:p>
        </w:tc>
      </w:tr>
      <w:tr w:rsidR="00F52FED" w:rsidRPr="00B0658A" w14:paraId="0E6F0D70" w14:textId="77777777" w:rsidTr="000103BB">
        <w:trPr>
          <w:trHeight w:val="20"/>
        </w:trPr>
        <w:tc>
          <w:tcPr>
            <w:tcW w:w="578" w:type="dxa"/>
            <w:shd w:val="clear" w:color="000000" w:fill="FFFFFF"/>
            <w:vAlign w:val="center"/>
          </w:tcPr>
          <w:p w14:paraId="4AB1E9C6" w14:textId="77777777" w:rsidR="00626001" w:rsidRPr="00B0658A" w:rsidRDefault="00626001" w:rsidP="00004A41">
            <w:pPr>
              <w:spacing w:after="0" w:line="240" w:lineRule="auto"/>
              <w:jc w:val="center"/>
              <w:rPr>
                <w:rFonts w:ascii="Times New Roman" w:hAnsi="Times New Roman"/>
                <w:sz w:val="18"/>
                <w:szCs w:val="18"/>
              </w:rPr>
            </w:pPr>
            <w:r w:rsidRPr="00B0658A">
              <w:rPr>
                <w:rFonts w:ascii="Times New Roman" w:hAnsi="Times New Roman"/>
                <w:sz w:val="18"/>
                <w:szCs w:val="18"/>
              </w:rPr>
              <w:t>8.9</w:t>
            </w:r>
          </w:p>
        </w:tc>
        <w:tc>
          <w:tcPr>
            <w:tcW w:w="3812" w:type="dxa"/>
            <w:shd w:val="clear" w:color="auto" w:fill="auto"/>
            <w:vAlign w:val="center"/>
            <w:hideMark/>
          </w:tcPr>
          <w:p w14:paraId="26621FC2" w14:textId="77777777" w:rsidR="00626001" w:rsidRPr="00B0658A" w:rsidRDefault="00626001" w:rsidP="00004A41">
            <w:pPr>
              <w:spacing w:after="0" w:line="240" w:lineRule="auto"/>
              <w:rPr>
                <w:rFonts w:ascii="Times New Roman" w:hAnsi="Times New Roman"/>
                <w:sz w:val="18"/>
                <w:szCs w:val="18"/>
              </w:rPr>
            </w:pPr>
            <w:r w:rsidRPr="00B0658A">
              <w:rPr>
                <w:rFonts w:ascii="Times New Roman" w:hAnsi="Times New Roman"/>
                <w:sz w:val="18"/>
                <w:szCs w:val="18"/>
              </w:rPr>
              <w:t xml:space="preserve">Промышленное программное обеспечение / Средства информационного моделирования зданий </w:t>
            </w:r>
            <w:r w:rsidRPr="00B0658A">
              <w:rPr>
                <w:rFonts w:ascii="Times New Roman" w:hAnsi="Times New Roman"/>
                <w:sz w:val="18"/>
                <w:szCs w:val="18"/>
              </w:rPr>
              <w:br/>
              <w:t>и сооружений, архитектурно-строительного проектирования (BIM, AEC CAD)</w:t>
            </w:r>
          </w:p>
        </w:tc>
        <w:tc>
          <w:tcPr>
            <w:tcW w:w="1842" w:type="dxa"/>
            <w:shd w:val="clear" w:color="000000" w:fill="FFFFFF"/>
            <w:hideMark/>
          </w:tcPr>
          <w:p w14:paraId="1D690C40" w14:textId="77777777" w:rsidR="00626001" w:rsidRPr="00B0658A" w:rsidRDefault="00626001" w:rsidP="00004A41">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79" w:type="dxa"/>
            <w:shd w:val="clear" w:color="000000" w:fill="FFFFFF"/>
            <w:vAlign w:val="center"/>
          </w:tcPr>
          <w:p w14:paraId="6207C49F"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000000" w:fill="FFFFFF"/>
            <w:vAlign w:val="center"/>
            <w:hideMark/>
          </w:tcPr>
          <w:p w14:paraId="5F0EEBA4"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000000" w:fill="FFFFFF"/>
            <w:vAlign w:val="center"/>
            <w:hideMark/>
          </w:tcPr>
          <w:p w14:paraId="5A72D149"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000000" w:fill="FFFFFF"/>
            <w:vAlign w:val="center"/>
            <w:hideMark/>
          </w:tcPr>
          <w:p w14:paraId="01D3CE24" w14:textId="77777777" w:rsidR="00626001" w:rsidRPr="00B0658A" w:rsidRDefault="00626001" w:rsidP="00004A41">
            <w:pPr>
              <w:spacing w:after="0" w:line="240" w:lineRule="auto"/>
              <w:jc w:val="center"/>
              <w:rPr>
                <w:rFonts w:ascii="Times New Roman" w:hAnsi="Times New Roman"/>
                <w:sz w:val="18"/>
                <w:szCs w:val="18"/>
              </w:rPr>
            </w:pPr>
          </w:p>
        </w:tc>
        <w:tc>
          <w:tcPr>
            <w:tcW w:w="992" w:type="dxa"/>
            <w:shd w:val="clear" w:color="000000" w:fill="FFFFFF"/>
            <w:vAlign w:val="center"/>
          </w:tcPr>
          <w:p w14:paraId="3597EEC8" w14:textId="77777777" w:rsidR="00626001" w:rsidRPr="00B0658A" w:rsidRDefault="00626001" w:rsidP="00004A41">
            <w:pPr>
              <w:spacing w:after="0" w:line="240" w:lineRule="auto"/>
              <w:jc w:val="center"/>
              <w:rPr>
                <w:rFonts w:ascii="Times New Roman" w:hAnsi="Times New Roman"/>
                <w:sz w:val="18"/>
                <w:szCs w:val="18"/>
              </w:rPr>
            </w:pPr>
          </w:p>
        </w:tc>
        <w:tc>
          <w:tcPr>
            <w:tcW w:w="803" w:type="dxa"/>
            <w:shd w:val="clear" w:color="000000" w:fill="FFFFFF"/>
            <w:vAlign w:val="center"/>
            <w:hideMark/>
          </w:tcPr>
          <w:p w14:paraId="20B02EE0" w14:textId="77777777" w:rsidR="00626001" w:rsidRPr="00B0658A" w:rsidRDefault="00626001" w:rsidP="00004A41">
            <w:pPr>
              <w:spacing w:after="0" w:line="240" w:lineRule="auto"/>
              <w:jc w:val="center"/>
              <w:rPr>
                <w:rFonts w:ascii="Times New Roman" w:hAnsi="Times New Roman"/>
                <w:sz w:val="18"/>
                <w:szCs w:val="18"/>
              </w:rPr>
            </w:pPr>
          </w:p>
        </w:tc>
        <w:tc>
          <w:tcPr>
            <w:tcW w:w="803" w:type="dxa"/>
            <w:shd w:val="clear" w:color="000000" w:fill="FFFFFF"/>
            <w:vAlign w:val="center"/>
            <w:hideMark/>
          </w:tcPr>
          <w:p w14:paraId="2203050B" w14:textId="77777777" w:rsidR="00626001" w:rsidRPr="00B0658A" w:rsidRDefault="00626001" w:rsidP="00004A41">
            <w:pPr>
              <w:spacing w:after="0" w:line="240" w:lineRule="auto"/>
              <w:jc w:val="center"/>
              <w:rPr>
                <w:rFonts w:ascii="Times New Roman" w:hAnsi="Times New Roman"/>
                <w:sz w:val="18"/>
                <w:szCs w:val="18"/>
              </w:rPr>
            </w:pPr>
          </w:p>
        </w:tc>
        <w:tc>
          <w:tcPr>
            <w:tcW w:w="804" w:type="dxa"/>
            <w:shd w:val="clear" w:color="000000" w:fill="FFFFFF"/>
            <w:vAlign w:val="center"/>
            <w:hideMark/>
          </w:tcPr>
          <w:p w14:paraId="68E53D47" w14:textId="77777777" w:rsidR="00626001" w:rsidRPr="00B0658A" w:rsidRDefault="00626001" w:rsidP="00004A41">
            <w:pPr>
              <w:spacing w:after="0" w:line="240" w:lineRule="auto"/>
              <w:jc w:val="center"/>
              <w:rPr>
                <w:rFonts w:ascii="Times New Roman" w:hAnsi="Times New Roman"/>
                <w:sz w:val="18"/>
                <w:szCs w:val="18"/>
              </w:rPr>
            </w:pPr>
          </w:p>
        </w:tc>
        <w:tc>
          <w:tcPr>
            <w:tcW w:w="1530" w:type="dxa"/>
            <w:shd w:val="clear" w:color="000000" w:fill="FFFFFF"/>
            <w:vAlign w:val="center"/>
          </w:tcPr>
          <w:p w14:paraId="3D6CB52B" w14:textId="77777777" w:rsidR="00626001" w:rsidRPr="00B0658A" w:rsidRDefault="00626001" w:rsidP="00004A41">
            <w:pPr>
              <w:spacing w:after="0" w:line="240" w:lineRule="auto"/>
              <w:jc w:val="center"/>
              <w:rPr>
                <w:rFonts w:ascii="Times New Roman" w:hAnsi="Times New Roman"/>
                <w:sz w:val="18"/>
                <w:szCs w:val="18"/>
              </w:rPr>
            </w:pPr>
          </w:p>
        </w:tc>
      </w:tr>
      <w:tr w:rsidR="00F52FED" w:rsidRPr="00B0658A" w14:paraId="60C54418" w14:textId="77777777" w:rsidTr="000103BB">
        <w:trPr>
          <w:trHeight w:val="20"/>
        </w:trPr>
        <w:tc>
          <w:tcPr>
            <w:tcW w:w="578" w:type="dxa"/>
            <w:shd w:val="clear" w:color="000000" w:fill="FFFFFF"/>
            <w:vAlign w:val="center"/>
          </w:tcPr>
          <w:p w14:paraId="55633ADB" w14:textId="77777777" w:rsidR="00626001" w:rsidRPr="00B0658A" w:rsidRDefault="00626001" w:rsidP="00004A41">
            <w:pPr>
              <w:spacing w:after="0" w:line="240" w:lineRule="auto"/>
              <w:jc w:val="center"/>
              <w:rPr>
                <w:rFonts w:ascii="Times New Roman" w:hAnsi="Times New Roman"/>
                <w:sz w:val="18"/>
                <w:szCs w:val="18"/>
              </w:rPr>
            </w:pPr>
            <w:r w:rsidRPr="00B0658A">
              <w:rPr>
                <w:rFonts w:ascii="Times New Roman" w:hAnsi="Times New Roman"/>
                <w:sz w:val="18"/>
                <w:szCs w:val="18"/>
              </w:rPr>
              <w:t>8.10</w:t>
            </w:r>
          </w:p>
        </w:tc>
        <w:tc>
          <w:tcPr>
            <w:tcW w:w="3812" w:type="dxa"/>
            <w:shd w:val="clear" w:color="auto" w:fill="auto"/>
            <w:vAlign w:val="center"/>
            <w:hideMark/>
          </w:tcPr>
          <w:p w14:paraId="5AD5D419" w14:textId="77777777" w:rsidR="00626001" w:rsidRPr="00B0658A" w:rsidRDefault="00626001" w:rsidP="00004A41">
            <w:pPr>
              <w:spacing w:after="0" w:line="240" w:lineRule="auto"/>
              <w:rPr>
                <w:rFonts w:ascii="Times New Roman" w:hAnsi="Times New Roman"/>
                <w:sz w:val="18"/>
                <w:szCs w:val="18"/>
              </w:rPr>
            </w:pPr>
            <w:r w:rsidRPr="00B0658A">
              <w:rPr>
                <w:rFonts w:ascii="Times New Roman" w:hAnsi="Times New Roman"/>
                <w:sz w:val="18"/>
                <w:szCs w:val="18"/>
              </w:rPr>
              <w:t>Промышленное программное обеспечение/ Средства усовершенствованного управления технологическими процессами (APC, RTO)</w:t>
            </w:r>
          </w:p>
        </w:tc>
        <w:tc>
          <w:tcPr>
            <w:tcW w:w="1842" w:type="dxa"/>
            <w:shd w:val="clear" w:color="000000" w:fill="FFFFFF"/>
            <w:hideMark/>
          </w:tcPr>
          <w:p w14:paraId="5836BC8A" w14:textId="77777777" w:rsidR="00626001" w:rsidRPr="00B0658A" w:rsidRDefault="00626001" w:rsidP="00004A41">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79" w:type="dxa"/>
            <w:shd w:val="clear" w:color="000000" w:fill="FFFFFF"/>
            <w:vAlign w:val="center"/>
          </w:tcPr>
          <w:p w14:paraId="46EBE4D5"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000000" w:fill="FFFFFF"/>
            <w:vAlign w:val="center"/>
            <w:hideMark/>
          </w:tcPr>
          <w:p w14:paraId="62B68C07"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000000" w:fill="FFFFFF"/>
            <w:vAlign w:val="center"/>
            <w:hideMark/>
          </w:tcPr>
          <w:p w14:paraId="1026E1C8"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000000" w:fill="FFFFFF"/>
            <w:vAlign w:val="center"/>
            <w:hideMark/>
          </w:tcPr>
          <w:p w14:paraId="3EB06516" w14:textId="77777777" w:rsidR="00626001" w:rsidRPr="00B0658A" w:rsidRDefault="00626001" w:rsidP="00004A41">
            <w:pPr>
              <w:spacing w:after="0" w:line="240" w:lineRule="auto"/>
              <w:jc w:val="center"/>
              <w:rPr>
                <w:rFonts w:ascii="Times New Roman" w:hAnsi="Times New Roman"/>
                <w:sz w:val="18"/>
                <w:szCs w:val="18"/>
              </w:rPr>
            </w:pPr>
          </w:p>
        </w:tc>
        <w:tc>
          <w:tcPr>
            <w:tcW w:w="992" w:type="dxa"/>
            <w:shd w:val="clear" w:color="000000" w:fill="FFFFFF"/>
            <w:vAlign w:val="center"/>
          </w:tcPr>
          <w:p w14:paraId="1022D603" w14:textId="77777777" w:rsidR="00626001" w:rsidRPr="00B0658A" w:rsidRDefault="00626001" w:rsidP="00004A41">
            <w:pPr>
              <w:spacing w:after="0" w:line="240" w:lineRule="auto"/>
              <w:jc w:val="center"/>
              <w:rPr>
                <w:rFonts w:ascii="Times New Roman" w:hAnsi="Times New Roman"/>
                <w:sz w:val="18"/>
                <w:szCs w:val="18"/>
              </w:rPr>
            </w:pPr>
          </w:p>
        </w:tc>
        <w:tc>
          <w:tcPr>
            <w:tcW w:w="803" w:type="dxa"/>
            <w:shd w:val="clear" w:color="000000" w:fill="FFFFFF"/>
            <w:vAlign w:val="center"/>
            <w:hideMark/>
          </w:tcPr>
          <w:p w14:paraId="2378DC7A" w14:textId="77777777" w:rsidR="00626001" w:rsidRPr="00B0658A" w:rsidRDefault="00626001" w:rsidP="00004A41">
            <w:pPr>
              <w:spacing w:after="0" w:line="240" w:lineRule="auto"/>
              <w:jc w:val="center"/>
              <w:rPr>
                <w:rFonts w:ascii="Times New Roman" w:hAnsi="Times New Roman"/>
                <w:sz w:val="18"/>
                <w:szCs w:val="18"/>
              </w:rPr>
            </w:pPr>
          </w:p>
        </w:tc>
        <w:tc>
          <w:tcPr>
            <w:tcW w:w="803" w:type="dxa"/>
            <w:shd w:val="clear" w:color="000000" w:fill="FFFFFF"/>
            <w:vAlign w:val="center"/>
            <w:hideMark/>
          </w:tcPr>
          <w:p w14:paraId="6EAEEE50" w14:textId="77777777" w:rsidR="00626001" w:rsidRPr="00B0658A" w:rsidRDefault="00626001" w:rsidP="00004A41">
            <w:pPr>
              <w:spacing w:after="0" w:line="240" w:lineRule="auto"/>
              <w:jc w:val="center"/>
              <w:rPr>
                <w:rFonts w:ascii="Times New Roman" w:hAnsi="Times New Roman"/>
                <w:sz w:val="18"/>
                <w:szCs w:val="18"/>
              </w:rPr>
            </w:pPr>
          </w:p>
        </w:tc>
        <w:tc>
          <w:tcPr>
            <w:tcW w:w="804" w:type="dxa"/>
            <w:shd w:val="clear" w:color="000000" w:fill="FFFFFF"/>
            <w:vAlign w:val="center"/>
            <w:hideMark/>
          </w:tcPr>
          <w:p w14:paraId="47F96388" w14:textId="77777777" w:rsidR="00626001" w:rsidRPr="00B0658A" w:rsidRDefault="00626001" w:rsidP="00004A41">
            <w:pPr>
              <w:spacing w:after="0" w:line="240" w:lineRule="auto"/>
              <w:jc w:val="center"/>
              <w:rPr>
                <w:rFonts w:ascii="Times New Roman" w:hAnsi="Times New Roman"/>
                <w:sz w:val="18"/>
                <w:szCs w:val="18"/>
              </w:rPr>
            </w:pPr>
          </w:p>
        </w:tc>
        <w:tc>
          <w:tcPr>
            <w:tcW w:w="1530" w:type="dxa"/>
            <w:shd w:val="clear" w:color="000000" w:fill="FFFFFF"/>
            <w:vAlign w:val="center"/>
          </w:tcPr>
          <w:p w14:paraId="456C249C" w14:textId="77777777" w:rsidR="00626001" w:rsidRPr="00B0658A" w:rsidRDefault="00626001" w:rsidP="00004A41">
            <w:pPr>
              <w:spacing w:after="0" w:line="240" w:lineRule="auto"/>
              <w:jc w:val="center"/>
              <w:rPr>
                <w:rFonts w:ascii="Times New Roman" w:hAnsi="Times New Roman"/>
                <w:sz w:val="18"/>
                <w:szCs w:val="18"/>
              </w:rPr>
            </w:pPr>
          </w:p>
        </w:tc>
      </w:tr>
      <w:tr w:rsidR="00F52FED" w:rsidRPr="00B0658A" w14:paraId="0E484E59" w14:textId="77777777" w:rsidTr="000103BB">
        <w:trPr>
          <w:trHeight w:val="20"/>
        </w:trPr>
        <w:tc>
          <w:tcPr>
            <w:tcW w:w="578" w:type="dxa"/>
            <w:shd w:val="clear" w:color="000000" w:fill="FFFFFF"/>
            <w:vAlign w:val="center"/>
          </w:tcPr>
          <w:p w14:paraId="0AD23B3E" w14:textId="77777777" w:rsidR="00626001" w:rsidRPr="00B0658A" w:rsidRDefault="00626001" w:rsidP="00004A41">
            <w:pPr>
              <w:spacing w:after="0" w:line="240" w:lineRule="auto"/>
              <w:jc w:val="center"/>
              <w:rPr>
                <w:rFonts w:ascii="Times New Roman" w:hAnsi="Times New Roman"/>
                <w:sz w:val="18"/>
                <w:szCs w:val="18"/>
              </w:rPr>
            </w:pPr>
            <w:r w:rsidRPr="00B0658A">
              <w:rPr>
                <w:rFonts w:ascii="Times New Roman" w:hAnsi="Times New Roman"/>
                <w:sz w:val="18"/>
                <w:szCs w:val="18"/>
              </w:rPr>
              <w:t>8.11</w:t>
            </w:r>
          </w:p>
        </w:tc>
        <w:tc>
          <w:tcPr>
            <w:tcW w:w="3812" w:type="dxa"/>
            <w:shd w:val="clear" w:color="auto" w:fill="auto"/>
            <w:vAlign w:val="center"/>
            <w:hideMark/>
          </w:tcPr>
          <w:p w14:paraId="3E3769ED" w14:textId="77777777" w:rsidR="00626001" w:rsidRPr="00B0658A" w:rsidRDefault="00626001" w:rsidP="00004A41">
            <w:pPr>
              <w:spacing w:after="0" w:line="240" w:lineRule="auto"/>
              <w:rPr>
                <w:rFonts w:ascii="Times New Roman" w:hAnsi="Times New Roman"/>
                <w:sz w:val="18"/>
                <w:szCs w:val="18"/>
              </w:rPr>
            </w:pPr>
            <w:r w:rsidRPr="00B0658A">
              <w:rPr>
                <w:rFonts w:ascii="Times New Roman" w:hAnsi="Times New Roman"/>
                <w:sz w:val="18"/>
                <w:szCs w:val="18"/>
              </w:rPr>
              <w:t>Промышленное программное обеспечение / Средства автоматизированного управления техникой</w:t>
            </w:r>
          </w:p>
        </w:tc>
        <w:tc>
          <w:tcPr>
            <w:tcW w:w="1842" w:type="dxa"/>
            <w:shd w:val="clear" w:color="000000" w:fill="FFFFFF"/>
            <w:hideMark/>
          </w:tcPr>
          <w:p w14:paraId="6EE78FF9" w14:textId="77777777" w:rsidR="00626001" w:rsidRPr="00B0658A" w:rsidRDefault="00626001" w:rsidP="00004A41">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79" w:type="dxa"/>
            <w:shd w:val="clear" w:color="000000" w:fill="FFFFFF"/>
            <w:vAlign w:val="center"/>
          </w:tcPr>
          <w:p w14:paraId="448B2C5B"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000000" w:fill="FFFFFF"/>
            <w:vAlign w:val="center"/>
            <w:hideMark/>
          </w:tcPr>
          <w:p w14:paraId="2A31844A"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000000" w:fill="FFFFFF"/>
            <w:vAlign w:val="center"/>
            <w:hideMark/>
          </w:tcPr>
          <w:p w14:paraId="48ACCD92"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000000" w:fill="FFFFFF"/>
            <w:vAlign w:val="center"/>
            <w:hideMark/>
          </w:tcPr>
          <w:p w14:paraId="285726D8" w14:textId="77777777" w:rsidR="00626001" w:rsidRPr="00B0658A" w:rsidRDefault="00626001" w:rsidP="00004A41">
            <w:pPr>
              <w:spacing w:after="0" w:line="240" w:lineRule="auto"/>
              <w:jc w:val="center"/>
              <w:rPr>
                <w:rFonts w:ascii="Times New Roman" w:hAnsi="Times New Roman"/>
                <w:sz w:val="18"/>
                <w:szCs w:val="18"/>
              </w:rPr>
            </w:pPr>
          </w:p>
        </w:tc>
        <w:tc>
          <w:tcPr>
            <w:tcW w:w="992" w:type="dxa"/>
            <w:shd w:val="clear" w:color="000000" w:fill="FFFFFF"/>
            <w:vAlign w:val="center"/>
          </w:tcPr>
          <w:p w14:paraId="3279E6EA" w14:textId="77777777" w:rsidR="00626001" w:rsidRPr="00B0658A" w:rsidRDefault="00626001" w:rsidP="00004A41">
            <w:pPr>
              <w:spacing w:after="0" w:line="240" w:lineRule="auto"/>
              <w:jc w:val="center"/>
              <w:rPr>
                <w:rFonts w:ascii="Times New Roman" w:hAnsi="Times New Roman"/>
                <w:sz w:val="18"/>
                <w:szCs w:val="18"/>
              </w:rPr>
            </w:pPr>
          </w:p>
        </w:tc>
        <w:tc>
          <w:tcPr>
            <w:tcW w:w="803" w:type="dxa"/>
            <w:shd w:val="clear" w:color="000000" w:fill="FFFFFF"/>
            <w:vAlign w:val="center"/>
            <w:hideMark/>
          </w:tcPr>
          <w:p w14:paraId="099C6C90" w14:textId="77777777" w:rsidR="00626001" w:rsidRPr="00B0658A" w:rsidRDefault="00626001" w:rsidP="00004A41">
            <w:pPr>
              <w:spacing w:after="0" w:line="240" w:lineRule="auto"/>
              <w:jc w:val="center"/>
              <w:rPr>
                <w:rFonts w:ascii="Times New Roman" w:hAnsi="Times New Roman"/>
                <w:sz w:val="18"/>
                <w:szCs w:val="18"/>
              </w:rPr>
            </w:pPr>
          </w:p>
        </w:tc>
        <w:tc>
          <w:tcPr>
            <w:tcW w:w="803" w:type="dxa"/>
            <w:shd w:val="clear" w:color="000000" w:fill="FFFFFF"/>
            <w:vAlign w:val="center"/>
            <w:hideMark/>
          </w:tcPr>
          <w:p w14:paraId="50FD83B6" w14:textId="77777777" w:rsidR="00626001" w:rsidRPr="00B0658A" w:rsidRDefault="00626001" w:rsidP="00004A41">
            <w:pPr>
              <w:spacing w:after="0" w:line="240" w:lineRule="auto"/>
              <w:jc w:val="center"/>
              <w:rPr>
                <w:rFonts w:ascii="Times New Roman" w:hAnsi="Times New Roman"/>
                <w:sz w:val="18"/>
                <w:szCs w:val="18"/>
              </w:rPr>
            </w:pPr>
          </w:p>
        </w:tc>
        <w:tc>
          <w:tcPr>
            <w:tcW w:w="804" w:type="dxa"/>
            <w:shd w:val="clear" w:color="000000" w:fill="FFFFFF"/>
            <w:vAlign w:val="center"/>
            <w:hideMark/>
          </w:tcPr>
          <w:p w14:paraId="28B2CE30" w14:textId="77777777" w:rsidR="00626001" w:rsidRPr="00B0658A" w:rsidRDefault="00626001" w:rsidP="00004A41">
            <w:pPr>
              <w:spacing w:after="0" w:line="240" w:lineRule="auto"/>
              <w:jc w:val="center"/>
              <w:rPr>
                <w:rFonts w:ascii="Times New Roman" w:hAnsi="Times New Roman"/>
                <w:sz w:val="18"/>
                <w:szCs w:val="18"/>
              </w:rPr>
            </w:pPr>
          </w:p>
        </w:tc>
        <w:tc>
          <w:tcPr>
            <w:tcW w:w="1530" w:type="dxa"/>
            <w:shd w:val="clear" w:color="000000" w:fill="FFFFFF"/>
            <w:vAlign w:val="center"/>
          </w:tcPr>
          <w:p w14:paraId="6E9CBE95" w14:textId="77777777" w:rsidR="00626001" w:rsidRPr="00B0658A" w:rsidRDefault="00626001" w:rsidP="00004A41">
            <w:pPr>
              <w:spacing w:after="0" w:line="240" w:lineRule="auto"/>
              <w:jc w:val="center"/>
              <w:rPr>
                <w:rFonts w:ascii="Times New Roman" w:hAnsi="Times New Roman"/>
                <w:sz w:val="18"/>
                <w:szCs w:val="18"/>
              </w:rPr>
            </w:pPr>
          </w:p>
        </w:tc>
      </w:tr>
      <w:tr w:rsidR="00F52FED" w:rsidRPr="00B0658A" w14:paraId="73A8006A" w14:textId="77777777" w:rsidTr="000103BB">
        <w:trPr>
          <w:trHeight w:val="20"/>
        </w:trPr>
        <w:tc>
          <w:tcPr>
            <w:tcW w:w="578" w:type="dxa"/>
            <w:shd w:val="clear" w:color="000000" w:fill="FFFFFF"/>
            <w:vAlign w:val="center"/>
          </w:tcPr>
          <w:p w14:paraId="06F25552" w14:textId="77777777" w:rsidR="00626001" w:rsidRPr="00B0658A" w:rsidRDefault="00626001" w:rsidP="00004A41">
            <w:pPr>
              <w:spacing w:after="0" w:line="240" w:lineRule="auto"/>
              <w:jc w:val="center"/>
              <w:rPr>
                <w:rFonts w:ascii="Times New Roman" w:hAnsi="Times New Roman"/>
                <w:sz w:val="18"/>
                <w:szCs w:val="18"/>
              </w:rPr>
            </w:pPr>
            <w:r w:rsidRPr="00B0658A">
              <w:rPr>
                <w:rFonts w:ascii="Times New Roman" w:hAnsi="Times New Roman"/>
                <w:sz w:val="18"/>
                <w:szCs w:val="18"/>
              </w:rPr>
              <w:t>9.1</w:t>
            </w:r>
          </w:p>
        </w:tc>
        <w:tc>
          <w:tcPr>
            <w:tcW w:w="3812" w:type="dxa"/>
            <w:shd w:val="clear" w:color="auto" w:fill="auto"/>
            <w:noWrap/>
            <w:vAlign w:val="center"/>
            <w:hideMark/>
          </w:tcPr>
          <w:p w14:paraId="19BFEBFB" w14:textId="77777777" w:rsidR="00626001" w:rsidRPr="00B0658A" w:rsidRDefault="00626001" w:rsidP="00004A41">
            <w:pPr>
              <w:spacing w:after="0" w:line="240" w:lineRule="auto"/>
              <w:rPr>
                <w:rFonts w:ascii="Times New Roman" w:hAnsi="Times New Roman"/>
                <w:sz w:val="18"/>
                <w:szCs w:val="18"/>
              </w:rPr>
            </w:pPr>
            <w:r w:rsidRPr="00B0658A">
              <w:rPr>
                <w:rFonts w:ascii="Times New Roman" w:hAnsi="Times New Roman"/>
                <w:sz w:val="18"/>
                <w:szCs w:val="18"/>
              </w:rPr>
              <w:t>Средства управления процессами организации / Средства управления бизнес-процессами (BPM)</w:t>
            </w:r>
          </w:p>
        </w:tc>
        <w:tc>
          <w:tcPr>
            <w:tcW w:w="1842" w:type="dxa"/>
            <w:shd w:val="clear" w:color="000000" w:fill="FFFFFF"/>
            <w:hideMark/>
          </w:tcPr>
          <w:p w14:paraId="72CCB0B5" w14:textId="77777777" w:rsidR="00626001" w:rsidRPr="00B0658A" w:rsidRDefault="00626001" w:rsidP="00004A41">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79" w:type="dxa"/>
            <w:vAlign w:val="center"/>
          </w:tcPr>
          <w:p w14:paraId="31A3F642"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auto" w:fill="auto"/>
            <w:noWrap/>
            <w:vAlign w:val="center"/>
            <w:hideMark/>
          </w:tcPr>
          <w:p w14:paraId="7A2B0808"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auto" w:fill="auto"/>
            <w:noWrap/>
            <w:vAlign w:val="center"/>
            <w:hideMark/>
          </w:tcPr>
          <w:p w14:paraId="5FE014BD"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auto" w:fill="auto"/>
            <w:noWrap/>
            <w:vAlign w:val="center"/>
            <w:hideMark/>
          </w:tcPr>
          <w:p w14:paraId="32887DFD" w14:textId="77777777" w:rsidR="00626001" w:rsidRPr="00B0658A" w:rsidRDefault="00626001" w:rsidP="00004A41">
            <w:pPr>
              <w:spacing w:after="0" w:line="240" w:lineRule="auto"/>
              <w:jc w:val="center"/>
              <w:rPr>
                <w:rFonts w:ascii="Times New Roman" w:hAnsi="Times New Roman"/>
                <w:sz w:val="18"/>
                <w:szCs w:val="18"/>
              </w:rPr>
            </w:pPr>
          </w:p>
        </w:tc>
        <w:tc>
          <w:tcPr>
            <w:tcW w:w="992" w:type="dxa"/>
            <w:vAlign w:val="center"/>
          </w:tcPr>
          <w:p w14:paraId="395618E5" w14:textId="77777777" w:rsidR="00626001" w:rsidRPr="00B0658A" w:rsidRDefault="00626001" w:rsidP="00004A41">
            <w:pPr>
              <w:spacing w:after="0" w:line="240" w:lineRule="auto"/>
              <w:jc w:val="center"/>
              <w:rPr>
                <w:rFonts w:ascii="Times New Roman" w:hAnsi="Times New Roman"/>
                <w:sz w:val="18"/>
                <w:szCs w:val="18"/>
              </w:rPr>
            </w:pPr>
          </w:p>
        </w:tc>
        <w:tc>
          <w:tcPr>
            <w:tcW w:w="803" w:type="dxa"/>
            <w:shd w:val="clear" w:color="auto" w:fill="auto"/>
            <w:vAlign w:val="center"/>
            <w:hideMark/>
          </w:tcPr>
          <w:p w14:paraId="3705D5B2" w14:textId="77777777" w:rsidR="00626001" w:rsidRPr="00B0658A" w:rsidRDefault="00626001" w:rsidP="00004A41">
            <w:pPr>
              <w:spacing w:after="0" w:line="240" w:lineRule="auto"/>
              <w:jc w:val="center"/>
              <w:rPr>
                <w:rFonts w:ascii="Times New Roman" w:hAnsi="Times New Roman"/>
                <w:sz w:val="18"/>
                <w:szCs w:val="18"/>
              </w:rPr>
            </w:pPr>
          </w:p>
        </w:tc>
        <w:tc>
          <w:tcPr>
            <w:tcW w:w="803" w:type="dxa"/>
            <w:shd w:val="clear" w:color="auto" w:fill="auto"/>
            <w:vAlign w:val="center"/>
            <w:hideMark/>
          </w:tcPr>
          <w:p w14:paraId="75E3D298" w14:textId="77777777" w:rsidR="00626001" w:rsidRPr="00B0658A" w:rsidRDefault="00626001" w:rsidP="00004A41">
            <w:pPr>
              <w:spacing w:after="0" w:line="240" w:lineRule="auto"/>
              <w:jc w:val="center"/>
              <w:rPr>
                <w:rFonts w:ascii="Times New Roman" w:hAnsi="Times New Roman"/>
                <w:sz w:val="18"/>
                <w:szCs w:val="18"/>
              </w:rPr>
            </w:pPr>
          </w:p>
        </w:tc>
        <w:tc>
          <w:tcPr>
            <w:tcW w:w="804" w:type="dxa"/>
            <w:shd w:val="clear" w:color="auto" w:fill="auto"/>
            <w:vAlign w:val="center"/>
            <w:hideMark/>
          </w:tcPr>
          <w:p w14:paraId="4013159E" w14:textId="77777777" w:rsidR="00626001" w:rsidRPr="00B0658A" w:rsidRDefault="00626001" w:rsidP="00004A41">
            <w:pPr>
              <w:spacing w:after="0" w:line="240" w:lineRule="auto"/>
              <w:jc w:val="center"/>
              <w:rPr>
                <w:rFonts w:ascii="Times New Roman" w:hAnsi="Times New Roman"/>
                <w:sz w:val="18"/>
                <w:szCs w:val="18"/>
              </w:rPr>
            </w:pPr>
          </w:p>
        </w:tc>
        <w:tc>
          <w:tcPr>
            <w:tcW w:w="1530" w:type="dxa"/>
            <w:vAlign w:val="center"/>
          </w:tcPr>
          <w:p w14:paraId="373126BD" w14:textId="77777777" w:rsidR="00626001" w:rsidRPr="00B0658A" w:rsidRDefault="00626001" w:rsidP="00004A41">
            <w:pPr>
              <w:spacing w:after="0" w:line="240" w:lineRule="auto"/>
              <w:jc w:val="center"/>
              <w:rPr>
                <w:rFonts w:ascii="Times New Roman" w:hAnsi="Times New Roman"/>
                <w:sz w:val="18"/>
                <w:szCs w:val="18"/>
              </w:rPr>
            </w:pPr>
          </w:p>
        </w:tc>
      </w:tr>
      <w:tr w:rsidR="00F52FED" w:rsidRPr="00B0658A" w14:paraId="62C1B363" w14:textId="77777777" w:rsidTr="000103BB">
        <w:trPr>
          <w:trHeight w:val="20"/>
        </w:trPr>
        <w:tc>
          <w:tcPr>
            <w:tcW w:w="578" w:type="dxa"/>
            <w:shd w:val="clear" w:color="000000" w:fill="FFFFFF"/>
            <w:vAlign w:val="center"/>
          </w:tcPr>
          <w:p w14:paraId="0F24E7F5" w14:textId="77777777" w:rsidR="00626001" w:rsidRPr="00B0658A" w:rsidRDefault="00626001" w:rsidP="00004A41">
            <w:pPr>
              <w:spacing w:after="0" w:line="240" w:lineRule="auto"/>
              <w:jc w:val="center"/>
              <w:rPr>
                <w:rFonts w:ascii="Times New Roman" w:hAnsi="Times New Roman"/>
                <w:sz w:val="18"/>
                <w:szCs w:val="18"/>
              </w:rPr>
            </w:pPr>
            <w:r w:rsidRPr="00B0658A">
              <w:rPr>
                <w:rFonts w:ascii="Times New Roman" w:hAnsi="Times New Roman"/>
                <w:sz w:val="18"/>
                <w:szCs w:val="18"/>
              </w:rPr>
              <w:t>9.2</w:t>
            </w:r>
          </w:p>
        </w:tc>
        <w:tc>
          <w:tcPr>
            <w:tcW w:w="3812" w:type="dxa"/>
            <w:shd w:val="clear" w:color="auto" w:fill="auto"/>
            <w:vAlign w:val="center"/>
            <w:hideMark/>
          </w:tcPr>
          <w:p w14:paraId="15E368D0" w14:textId="77777777" w:rsidR="00626001" w:rsidRPr="00B0658A" w:rsidRDefault="00626001" w:rsidP="00004A41">
            <w:pPr>
              <w:spacing w:after="0" w:line="240" w:lineRule="auto"/>
              <w:rPr>
                <w:rFonts w:ascii="Times New Roman" w:hAnsi="Times New Roman"/>
                <w:sz w:val="18"/>
                <w:szCs w:val="18"/>
              </w:rPr>
            </w:pPr>
            <w:r w:rsidRPr="00B0658A">
              <w:rPr>
                <w:rFonts w:ascii="Times New Roman" w:hAnsi="Times New Roman"/>
                <w:sz w:val="18"/>
                <w:szCs w:val="18"/>
              </w:rPr>
              <w:t>Средства управления процессами организации/ Средства управления производственными процессами (MES)</w:t>
            </w:r>
          </w:p>
        </w:tc>
        <w:tc>
          <w:tcPr>
            <w:tcW w:w="1842" w:type="dxa"/>
            <w:shd w:val="clear" w:color="000000" w:fill="FFFFFF"/>
            <w:hideMark/>
          </w:tcPr>
          <w:p w14:paraId="5038BFFD" w14:textId="77777777" w:rsidR="00626001" w:rsidRPr="00B0658A" w:rsidRDefault="00626001" w:rsidP="00004A41">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79" w:type="dxa"/>
            <w:shd w:val="clear" w:color="000000" w:fill="FFFFFF"/>
            <w:vAlign w:val="center"/>
          </w:tcPr>
          <w:p w14:paraId="2C2A313E"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000000" w:fill="FFFFFF"/>
            <w:vAlign w:val="center"/>
            <w:hideMark/>
          </w:tcPr>
          <w:p w14:paraId="69AFD350"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000000" w:fill="FFFFFF"/>
            <w:vAlign w:val="center"/>
            <w:hideMark/>
          </w:tcPr>
          <w:p w14:paraId="194AA252"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000000" w:fill="FFFFFF"/>
            <w:vAlign w:val="center"/>
            <w:hideMark/>
          </w:tcPr>
          <w:p w14:paraId="5F41D9BC" w14:textId="77777777" w:rsidR="00626001" w:rsidRPr="00B0658A" w:rsidRDefault="00626001" w:rsidP="00004A41">
            <w:pPr>
              <w:spacing w:after="0" w:line="240" w:lineRule="auto"/>
              <w:jc w:val="center"/>
              <w:rPr>
                <w:rFonts w:ascii="Times New Roman" w:hAnsi="Times New Roman"/>
                <w:sz w:val="18"/>
                <w:szCs w:val="18"/>
              </w:rPr>
            </w:pPr>
          </w:p>
        </w:tc>
        <w:tc>
          <w:tcPr>
            <w:tcW w:w="992" w:type="dxa"/>
            <w:shd w:val="clear" w:color="000000" w:fill="FFFFFF"/>
            <w:vAlign w:val="center"/>
          </w:tcPr>
          <w:p w14:paraId="7C4AF91B" w14:textId="77777777" w:rsidR="00626001" w:rsidRPr="00B0658A" w:rsidRDefault="00626001" w:rsidP="00004A41">
            <w:pPr>
              <w:spacing w:after="0" w:line="240" w:lineRule="auto"/>
              <w:jc w:val="center"/>
              <w:rPr>
                <w:rFonts w:ascii="Times New Roman" w:hAnsi="Times New Roman"/>
                <w:sz w:val="18"/>
                <w:szCs w:val="18"/>
              </w:rPr>
            </w:pPr>
          </w:p>
        </w:tc>
        <w:tc>
          <w:tcPr>
            <w:tcW w:w="803" w:type="dxa"/>
            <w:shd w:val="clear" w:color="000000" w:fill="FFFFFF"/>
            <w:vAlign w:val="center"/>
            <w:hideMark/>
          </w:tcPr>
          <w:p w14:paraId="63436BA8" w14:textId="77777777" w:rsidR="00626001" w:rsidRPr="00B0658A" w:rsidRDefault="00626001" w:rsidP="00004A41">
            <w:pPr>
              <w:spacing w:after="0" w:line="240" w:lineRule="auto"/>
              <w:jc w:val="center"/>
              <w:rPr>
                <w:rFonts w:ascii="Times New Roman" w:hAnsi="Times New Roman"/>
                <w:sz w:val="18"/>
                <w:szCs w:val="18"/>
              </w:rPr>
            </w:pPr>
          </w:p>
        </w:tc>
        <w:tc>
          <w:tcPr>
            <w:tcW w:w="803" w:type="dxa"/>
            <w:shd w:val="clear" w:color="000000" w:fill="FFFFFF"/>
            <w:vAlign w:val="center"/>
            <w:hideMark/>
          </w:tcPr>
          <w:p w14:paraId="2C85E6C5" w14:textId="77777777" w:rsidR="00626001" w:rsidRPr="00B0658A" w:rsidRDefault="00626001" w:rsidP="00004A41">
            <w:pPr>
              <w:spacing w:after="0" w:line="240" w:lineRule="auto"/>
              <w:jc w:val="center"/>
              <w:rPr>
                <w:rFonts w:ascii="Times New Roman" w:hAnsi="Times New Roman"/>
                <w:sz w:val="18"/>
                <w:szCs w:val="18"/>
              </w:rPr>
            </w:pPr>
          </w:p>
        </w:tc>
        <w:tc>
          <w:tcPr>
            <w:tcW w:w="804" w:type="dxa"/>
            <w:shd w:val="clear" w:color="000000" w:fill="FFFFFF"/>
            <w:vAlign w:val="center"/>
            <w:hideMark/>
          </w:tcPr>
          <w:p w14:paraId="27F2EC22" w14:textId="77777777" w:rsidR="00626001" w:rsidRPr="00B0658A" w:rsidRDefault="00626001" w:rsidP="00004A41">
            <w:pPr>
              <w:spacing w:after="0" w:line="240" w:lineRule="auto"/>
              <w:jc w:val="center"/>
              <w:rPr>
                <w:rFonts w:ascii="Times New Roman" w:hAnsi="Times New Roman"/>
                <w:sz w:val="18"/>
                <w:szCs w:val="18"/>
              </w:rPr>
            </w:pPr>
          </w:p>
        </w:tc>
        <w:tc>
          <w:tcPr>
            <w:tcW w:w="1530" w:type="dxa"/>
            <w:shd w:val="clear" w:color="000000" w:fill="FFFFFF"/>
            <w:vAlign w:val="center"/>
          </w:tcPr>
          <w:p w14:paraId="2D59A2A7" w14:textId="77777777" w:rsidR="00626001" w:rsidRPr="00B0658A" w:rsidRDefault="00626001" w:rsidP="00004A41">
            <w:pPr>
              <w:spacing w:after="0" w:line="240" w:lineRule="auto"/>
              <w:jc w:val="center"/>
              <w:rPr>
                <w:rFonts w:ascii="Times New Roman" w:hAnsi="Times New Roman"/>
                <w:sz w:val="18"/>
                <w:szCs w:val="18"/>
              </w:rPr>
            </w:pPr>
          </w:p>
        </w:tc>
      </w:tr>
      <w:tr w:rsidR="00F52FED" w:rsidRPr="00B0658A" w14:paraId="39CFA057" w14:textId="77777777" w:rsidTr="000103BB">
        <w:trPr>
          <w:trHeight w:val="20"/>
        </w:trPr>
        <w:tc>
          <w:tcPr>
            <w:tcW w:w="578" w:type="dxa"/>
            <w:shd w:val="clear" w:color="000000" w:fill="FFFFFF"/>
            <w:vAlign w:val="center"/>
          </w:tcPr>
          <w:p w14:paraId="3C0BCB2F" w14:textId="77777777" w:rsidR="00626001" w:rsidRPr="00B0658A" w:rsidRDefault="00626001" w:rsidP="00004A41">
            <w:pPr>
              <w:spacing w:after="0" w:line="240" w:lineRule="auto"/>
              <w:jc w:val="center"/>
              <w:rPr>
                <w:rFonts w:ascii="Times New Roman" w:hAnsi="Times New Roman"/>
                <w:sz w:val="18"/>
                <w:szCs w:val="18"/>
              </w:rPr>
            </w:pPr>
            <w:r w:rsidRPr="00B0658A">
              <w:rPr>
                <w:rFonts w:ascii="Times New Roman" w:hAnsi="Times New Roman"/>
                <w:sz w:val="18"/>
                <w:szCs w:val="18"/>
              </w:rPr>
              <w:t>9.3</w:t>
            </w:r>
          </w:p>
        </w:tc>
        <w:tc>
          <w:tcPr>
            <w:tcW w:w="3812" w:type="dxa"/>
            <w:shd w:val="clear" w:color="auto" w:fill="auto"/>
            <w:vAlign w:val="center"/>
            <w:hideMark/>
          </w:tcPr>
          <w:p w14:paraId="2B7EAB55" w14:textId="77777777" w:rsidR="00626001" w:rsidRPr="00B0658A" w:rsidRDefault="00626001" w:rsidP="00004A41">
            <w:pPr>
              <w:spacing w:after="0" w:line="240" w:lineRule="auto"/>
              <w:rPr>
                <w:rFonts w:ascii="Times New Roman" w:hAnsi="Times New Roman"/>
                <w:sz w:val="18"/>
                <w:szCs w:val="18"/>
              </w:rPr>
            </w:pPr>
            <w:r w:rsidRPr="00B0658A">
              <w:rPr>
                <w:rFonts w:ascii="Times New Roman" w:hAnsi="Times New Roman"/>
                <w:sz w:val="18"/>
                <w:szCs w:val="18"/>
              </w:rPr>
              <w:t>Средства управления процессами организации / Средства управления лабораторными потоками работ и документов (LIMS)</w:t>
            </w:r>
          </w:p>
        </w:tc>
        <w:tc>
          <w:tcPr>
            <w:tcW w:w="1842" w:type="dxa"/>
            <w:shd w:val="clear" w:color="000000" w:fill="FFFFFF"/>
            <w:hideMark/>
          </w:tcPr>
          <w:p w14:paraId="357FACE1" w14:textId="77777777" w:rsidR="00626001" w:rsidRPr="00B0658A" w:rsidRDefault="00626001" w:rsidP="00004A41">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79" w:type="dxa"/>
            <w:shd w:val="clear" w:color="000000" w:fill="FFFFFF"/>
            <w:vAlign w:val="center"/>
          </w:tcPr>
          <w:p w14:paraId="7E17F4C6"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000000" w:fill="FFFFFF"/>
            <w:vAlign w:val="center"/>
            <w:hideMark/>
          </w:tcPr>
          <w:p w14:paraId="7816433E"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000000" w:fill="FFFFFF"/>
            <w:vAlign w:val="center"/>
            <w:hideMark/>
          </w:tcPr>
          <w:p w14:paraId="091E9059"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000000" w:fill="FFFFFF"/>
            <w:vAlign w:val="center"/>
            <w:hideMark/>
          </w:tcPr>
          <w:p w14:paraId="74944C51" w14:textId="77777777" w:rsidR="00626001" w:rsidRPr="00B0658A" w:rsidRDefault="00626001" w:rsidP="00004A41">
            <w:pPr>
              <w:spacing w:after="0" w:line="240" w:lineRule="auto"/>
              <w:jc w:val="center"/>
              <w:rPr>
                <w:rFonts w:ascii="Times New Roman" w:hAnsi="Times New Roman"/>
                <w:sz w:val="18"/>
                <w:szCs w:val="18"/>
              </w:rPr>
            </w:pPr>
          </w:p>
        </w:tc>
        <w:tc>
          <w:tcPr>
            <w:tcW w:w="992" w:type="dxa"/>
            <w:shd w:val="clear" w:color="000000" w:fill="FFFFFF"/>
            <w:vAlign w:val="center"/>
          </w:tcPr>
          <w:p w14:paraId="7840C326" w14:textId="77777777" w:rsidR="00626001" w:rsidRPr="00B0658A" w:rsidRDefault="00626001" w:rsidP="00004A41">
            <w:pPr>
              <w:spacing w:after="0" w:line="240" w:lineRule="auto"/>
              <w:jc w:val="center"/>
              <w:rPr>
                <w:rFonts w:ascii="Times New Roman" w:hAnsi="Times New Roman"/>
                <w:sz w:val="18"/>
                <w:szCs w:val="18"/>
              </w:rPr>
            </w:pPr>
          </w:p>
        </w:tc>
        <w:tc>
          <w:tcPr>
            <w:tcW w:w="803" w:type="dxa"/>
            <w:shd w:val="clear" w:color="000000" w:fill="FFFFFF"/>
            <w:vAlign w:val="center"/>
            <w:hideMark/>
          </w:tcPr>
          <w:p w14:paraId="678B6F3B" w14:textId="77777777" w:rsidR="00626001" w:rsidRPr="00B0658A" w:rsidRDefault="00626001" w:rsidP="00004A41">
            <w:pPr>
              <w:spacing w:after="0" w:line="240" w:lineRule="auto"/>
              <w:jc w:val="center"/>
              <w:rPr>
                <w:rFonts w:ascii="Times New Roman" w:hAnsi="Times New Roman"/>
                <w:sz w:val="18"/>
                <w:szCs w:val="18"/>
              </w:rPr>
            </w:pPr>
          </w:p>
        </w:tc>
        <w:tc>
          <w:tcPr>
            <w:tcW w:w="803" w:type="dxa"/>
            <w:shd w:val="clear" w:color="000000" w:fill="FFFFFF"/>
            <w:vAlign w:val="center"/>
            <w:hideMark/>
          </w:tcPr>
          <w:p w14:paraId="6B370FF6" w14:textId="77777777" w:rsidR="00626001" w:rsidRPr="00B0658A" w:rsidRDefault="00626001" w:rsidP="00004A41">
            <w:pPr>
              <w:spacing w:after="0" w:line="240" w:lineRule="auto"/>
              <w:jc w:val="center"/>
              <w:rPr>
                <w:rFonts w:ascii="Times New Roman" w:hAnsi="Times New Roman"/>
                <w:sz w:val="18"/>
                <w:szCs w:val="18"/>
              </w:rPr>
            </w:pPr>
          </w:p>
        </w:tc>
        <w:tc>
          <w:tcPr>
            <w:tcW w:w="804" w:type="dxa"/>
            <w:shd w:val="clear" w:color="000000" w:fill="FFFFFF"/>
            <w:vAlign w:val="center"/>
            <w:hideMark/>
          </w:tcPr>
          <w:p w14:paraId="3A6C2EED" w14:textId="77777777" w:rsidR="00626001" w:rsidRPr="00B0658A" w:rsidRDefault="00626001" w:rsidP="00004A41">
            <w:pPr>
              <w:spacing w:after="0" w:line="240" w:lineRule="auto"/>
              <w:jc w:val="center"/>
              <w:rPr>
                <w:rFonts w:ascii="Times New Roman" w:hAnsi="Times New Roman"/>
                <w:sz w:val="18"/>
                <w:szCs w:val="18"/>
              </w:rPr>
            </w:pPr>
          </w:p>
        </w:tc>
        <w:tc>
          <w:tcPr>
            <w:tcW w:w="1530" w:type="dxa"/>
            <w:shd w:val="clear" w:color="000000" w:fill="FFFFFF"/>
            <w:vAlign w:val="center"/>
          </w:tcPr>
          <w:p w14:paraId="63511CED" w14:textId="77777777" w:rsidR="00626001" w:rsidRPr="00B0658A" w:rsidRDefault="00626001" w:rsidP="00004A41">
            <w:pPr>
              <w:spacing w:after="0" w:line="240" w:lineRule="auto"/>
              <w:jc w:val="center"/>
              <w:rPr>
                <w:rFonts w:ascii="Times New Roman" w:hAnsi="Times New Roman"/>
                <w:sz w:val="18"/>
                <w:szCs w:val="18"/>
              </w:rPr>
            </w:pPr>
          </w:p>
        </w:tc>
      </w:tr>
      <w:tr w:rsidR="00F52FED" w:rsidRPr="00B0658A" w14:paraId="50CDFACC" w14:textId="77777777" w:rsidTr="000103BB">
        <w:trPr>
          <w:trHeight w:val="20"/>
        </w:trPr>
        <w:tc>
          <w:tcPr>
            <w:tcW w:w="578" w:type="dxa"/>
            <w:shd w:val="clear" w:color="000000" w:fill="FFFFFF"/>
            <w:vAlign w:val="center"/>
          </w:tcPr>
          <w:p w14:paraId="6D470730" w14:textId="77777777" w:rsidR="00626001" w:rsidRPr="00B0658A" w:rsidRDefault="00626001" w:rsidP="00004A41">
            <w:pPr>
              <w:spacing w:after="0" w:line="240" w:lineRule="auto"/>
              <w:jc w:val="center"/>
              <w:rPr>
                <w:rFonts w:ascii="Times New Roman" w:hAnsi="Times New Roman"/>
                <w:sz w:val="18"/>
                <w:szCs w:val="18"/>
              </w:rPr>
            </w:pPr>
            <w:r w:rsidRPr="00B0658A">
              <w:rPr>
                <w:rFonts w:ascii="Times New Roman" w:hAnsi="Times New Roman"/>
                <w:sz w:val="18"/>
                <w:szCs w:val="18"/>
              </w:rPr>
              <w:t>9.4</w:t>
            </w:r>
          </w:p>
        </w:tc>
        <w:tc>
          <w:tcPr>
            <w:tcW w:w="3812" w:type="dxa"/>
            <w:shd w:val="clear" w:color="auto" w:fill="auto"/>
            <w:vAlign w:val="center"/>
            <w:hideMark/>
          </w:tcPr>
          <w:p w14:paraId="58EBB79E" w14:textId="77777777" w:rsidR="00626001" w:rsidRPr="00B0658A" w:rsidRDefault="00626001" w:rsidP="00004A41">
            <w:pPr>
              <w:spacing w:after="0" w:line="240" w:lineRule="auto"/>
              <w:rPr>
                <w:rFonts w:ascii="Times New Roman" w:hAnsi="Times New Roman"/>
                <w:sz w:val="18"/>
                <w:szCs w:val="18"/>
              </w:rPr>
            </w:pPr>
            <w:r w:rsidRPr="00B0658A">
              <w:rPr>
                <w:rFonts w:ascii="Times New Roman" w:hAnsi="Times New Roman"/>
                <w:sz w:val="18"/>
                <w:szCs w:val="18"/>
              </w:rPr>
              <w:t>Средства управления процессами организации/ Средства управления технологическими процессами (АСУ ТП, SCADA)</w:t>
            </w:r>
          </w:p>
        </w:tc>
        <w:tc>
          <w:tcPr>
            <w:tcW w:w="1842" w:type="dxa"/>
            <w:shd w:val="clear" w:color="000000" w:fill="FFFFFF"/>
            <w:hideMark/>
          </w:tcPr>
          <w:p w14:paraId="65F019EA" w14:textId="77777777" w:rsidR="00626001" w:rsidRPr="00B0658A" w:rsidRDefault="00626001" w:rsidP="00004A41">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79" w:type="dxa"/>
            <w:shd w:val="clear" w:color="000000" w:fill="FFFFFF"/>
            <w:vAlign w:val="center"/>
          </w:tcPr>
          <w:p w14:paraId="471F06F7"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000000" w:fill="FFFFFF"/>
            <w:vAlign w:val="center"/>
            <w:hideMark/>
          </w:tcPr>
          <w:p w14:paraId="0C5B0D39"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000000" w:fill="FFFFFF"/>
            <w:vAlign w:val="center"/>
            <w:hideMark/>
          </w:tcPr>
          <w:p w14:paraId="1C16EEDE"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000000" w:fill="FFFFFF"/>
            <w:vAlign w:val="center"/>
            <w:hideMark/>
          </w:tcPr>
          <w:p w14:paraId="36D6861A" w14:textId="77777777" w:rsidR="00626001" w:rsidRPr="00B0658A" w:rsidRDefault="00626001" w:rsidP="00004A41">
            <w:pPr>
              <w:spacing w:after="0" w:line="240" w:lineRule="auto"/>
              <w:jc w:val="center"/>
              <w:rPr>
                <w:rFonts w:ascii="Times New Roman" w:hAnsi="Times New Roman"/>
                <w:sz w:val="18"/>
                <w:szCs w:val="18"/>
              </w:rPr>
            </w:pPr>
          </w:p>
        </w:tc>
        <w:tc>
          <w:tcPr>
            <w:tcW w:w="992" w:type="dxa"/>
            <w:shd w:val="clear" w:color="000000" w:fill="FFFFFF"/>
            <w:vAlign w:val="center"/>
          </w:tcPr>
          <w:p w14:paraId="5EE369E9" w14:textId="77777777" w:rsidR="00626001" w:rsidRPr="00B0658A" w:rsidRDefault="00626001" w:rsidP="00004A41">
            <w:pPr>
              <w:spacing w:after="0" w:line="240" w:lineRule="auto"/>
              <w:jc w:val="center"/>
              <w:rPr>
                <w:rFonts w:ascii="Times New Roman" w:hAnsi="Times New Roman"/>
                <w:sz w:val="18"/>
                <w:szCs w:val="18"/>
              </w:rPr>
            </w:pPr>
          </w:p>
        </w:tc>
        <w:tc>
          <w:tcPr>
            <w:tcW w:w="803" w:type="dxa"/>
            <w:shd w:val="clear" w:color="000000" w:fill="FFFFFF"/>
            <w:vAlign w:val="center"/>
            <w:hideMark/>
          </w:tcPr>
          <w:p w14:paraId="55630103" w14:textId="77777777" w:rsidR="00626001" w:rsidRPr="00B0658A" w:rsidRDefault="00626001" w:rsidP="00004A41">
            <w:pPr>
              <w:spacing w:after="0" w:line="240" w:lineRule="auto"/>
              <w:jc w:val="center"/>
              <w:rPr>
                <w:rFonts w:ascii="Times New Roman" w:hAnsi="Times New Roman"/>
                <w:sz w:val="18"/>
                <w:szCs w:val="18"/>
              </w:rPr>
            </w:pPr>
          </w:p>
        </w:tc>
        <w:tc>
          <w:tcPr>
            <w:tcW w:w="803" w:type="dxa"/>
            <w:shd w:val="clear" w:color="000000" w:fill="FFFFFF"/>
            <w:vAlign w:val="center"/>
            <w:hideMark/>
          </w:tcPr>
          <w:p w14:paraId="522AA31C" w14:textId="77777777" w:rsidR="00626001" w:rsidRPr="00B0658A" w:rsidRDefault="00626001" w:rsidP="00004A41">
            <w:pPr>
              <w:spacing w:after="0" w:line="240" w:lineRule="auto"/>
              <w:jc w:val="center"/>
              <w:rPr>
                <w:rFonts w:ascii="Times New Roman" w:hAnsi="Times New Roman"/>
                <w:sz w:val="18"/>
                <w:szCs w:val="18"/>
              </w:rPr>
            </w:pPr>
          </w:p>
        </w:tc>
        <w:tc>
          <w:tcPr>
            <w:tcW w:w="804" w:type="dxa"/>
            <w:shd w:val="clear" w:color="000000" w:fill="FFFFFF"/>
            <w:vAlign w:val="center"/>
            <w:hideMark/>
          </w:tcPr>
          <w:p w14:paraId="48C04CE7" w14:textId="77777777" w:rsidR="00626001" w:rsidRPr="00B0658A" w:rsidRDefault="00626001" w:rsidP="00004A41">
            <w:pPr>
              <w:spacing w:after="0" w:line="240" w:lineRule="auto"/>
              <w:jc w:val="center"/>
              <w:rPr>
                <w:rFonts w:ascii="Times New Roman" w:hAnsi="Times New Roman"/>
                <w:sz w:val="18"/>
                <w:szCs w:val="18"/>
              </w:rPr>
            </w:pPr>
          </w:p>
        </w:tc>
        <w:tc>
          <w:tcPr>
            <w:tcW w:w="1530" w:type="dxa"/>
            <w:shd w:val="clear" w:color="000000" w:fill="FFFFFF"/>
            <w:vAlign w:val="center"/>
          </w:tcPr>
          <w:p w14:paraId="14530AB2" w14:textId="77777777" w:rsidR="00626001" w:rsidRPr="00B0658A" w:rsidRDefault="00626001" w:rsidP="00004A41">
            <w:pPr>
              <w:spacing w:after="0" w:line="240" w:lineRule="auto"/>
              <w:jc w:val="center"/>
              <w:rPr>
                <w:rFonts w:ascii="Times New Roman" w:hAnsi="Times New Roman"/>
                <w:sz w:val="18"/>
                <w:szCs w:val="18"/>
              </w:rPr>
            </w:pPr>
          </w:p>
        </w:tc>
      </w:tr>
      <w:tr w:rsidR="00F52FED" w:rsidRPr="00B0658A" w14:paraId="0C8CE2FE" w14:textId="77777777" w:rsidTr="000103BB">
        <w:trPr>
          <w:trHeight w:val="20"/>
        </w:trPr>
        <w:tc>
          <w:tcPr>
            <w:tcW w:w="578" w:type="dxa"/>
            <w:shd w:val="clear" w:color="000000" w:fill="FFFFFF"/>
            <w:vAlign w:val="center"/>
          </w:tcPr>
          <w:p w14:paraId="091B3D6D" w14:textId="77777777" w:rsidR="00626001" w:rsidRPr="00B0658A" w:rsidRDefault="00626001" w:rsidP="00004A41">
            <w:pPr>
              <w:spacing w:after="0" w:line="240" w:lineRule="auto"/>
              <w:jc w:val="center"/>
              <w:rPr>
                <w:rFonts w:ascii="Times New Roman" w:hAnsi="Times New Roman"/>
                <w:sz w:val="18"/>
                <w:szCs w:val="18"/>
              </w:rPr>
            </w:pPr>
            <w:r w:rsidRPr="00B0658A">
              <w:rPr>
                <w:rFonts w:ascii="Times New Roman" w:hAnsi="Times New Roman"/>
                <w:sz w:val="18"/>
                <w:szCs w:val="18"/>
              </w:rPr>
              <w:t>9.5</w:t>
            </w:r>
          </w:p>
        </w:tc>
        <w:tc>
          <w:tcPr>
            <w:tcW w:w="3812" w:type="dxa"/>
            <w:shd w:val="clear" w:color="auto" w:fill="auto"/>
            <w:vAlign w:val="center"/>
            <w:hideMark/>
          </w:tcPr>
          <w:p w14:paraId="751045DA" w14:textId="77777777" w:rsidR="00626001" w:rsidRPr="00B0658A" w:rsidRDefault="00626001" w:rsidP="00004A41">
            <w:pPr>
              <w:spacing w:after="0" w:line="240" w:lineRule="auto"/>
              <w:rPr>
                <w:rFonts w:ascii="Times New Roman" w:hAnsi="Times New Roman"/>
                <w:sz w:val="18"/>
                <w:szCs w:val="18"/>
              </w:rPr>
            </w:pPr>
            <w:r w:rsidRPr="00B0658A">
              <w:rPr>
                <w:rFonts w:ascii="Times New Roman" w:hAnsi="Times New Roman"/>
                <w:sz w:val="18"/>
                <w:szCs w:val="18"/>
              </w:rPr>
              <w:t>Средства управления процессами организации/ Средства управления эффективностью предприятия (CPM/EPM)</w:t>
            </w:r>
          </w:p>
        </w:tc>
        <w:tc>
          <w:tcPr>
            <w:tcW w:w="1842" w:type="dxa"/>
            <w:shd w:val="clear" w:color="000000" w:fill="FFFFFF"/>
            <w:hideMark/>
          </w:tcPr>
          <w:p w14:paraId="0C54B270" w14:textId="77777777" w:rsidR="00626001" w:rsidRPr="00B0658A" w:rsidRDefault="00626001" w:rsidP="00004A41">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79" w:type="dxa"/>
            <w:shd w:val="clear" w:color="000000" w:fill="FFFFFF"/>
            <w:vAlign w:val="center"/>
          </w:tcPr>
          <w:p w14:paraId="284E1814"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000000" w:fill="FFFFFF"/>
            <w:vAlign w:val="center"/>
            <w:hideMark/>
          </w:tcPr>
          <w:p w14:paraId="56FE833E"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000000" w:fill="FFFFFF"/>
            <w:vAlign w:val="center"/>
            <w:hideMark/>
          </w:tcPr>
          <w:p w14:paraId="7CFDC267"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000000" w:fill="FFFFFF"/>
            <w:vAlign w:val="center"/>
            <w:hideMark/>
          </w:tcPr>
          <w:p w14:paraId="2E17E44D" w14:textId="77777777" w:rsidR="00626001" w:rsidRPr="00B0658A" w:rsidRDefault="00626001" w:rsidP="00004A41">
            <w:pPr>
              <w:spacing w:after="0" w:line="240" w:lineRule="auto"/>
              <w:jc w:val="center"/>
              <w:rPr>
                <w:rFonts w:ascii="Times New Roman" w:hAnsi="Times New Roman"/>
                <w:sz w:val="18"/>
                <w:szCs w:val="18"/>
              </w:rPr>
            </w:pPr>
          </w:p>
        </w:tc>
        <w:tc>
          <w:tcPr>
            <w:tcW w:w="992" w:type="dxa"/>
            <w:shd w:val="clear" w:color="000000" w:fill="FFFFFF"/>
            <w:vAlign w:val="center"/>
          </w:tcPr>
          <w:p w14:paraId="659E339D" w14:textId="77777777" w:rsidR="00626001" w:rsidRPr="00B0658A" w:rsidRDefault="00626001" w:rsidP="00004A41">
            <w:pPr>
              <w:spacing w:after="0" w:line="240" w:lineRule="auto"/>
              <w:jc w:val="center"/>
              <w:rPr>
                <w:rFonts w:ascii="Times New Roman" w:hAnsi="Times New Roman"/>
                <w:sz w:val="18"/>
                <w:szCs w:val="18"/>
              </w:rPr>
            </w:pPr>
          </w:p>
        </w:tc>
        <w:tc>
          <w:tcPr>
            <w:tcW w:w="803" w:type="dxa"/>
            <w:shd w:val="clear" w:color="000000" w:fill="FFFFFF"/>
            <w:vAlign w:val="center"/>
            <w:hideMark/>
          </w:tcPr>
          <w:p w14:paraId="012EFF7B" w14:textId="77777777" w:rsidR="00626001" w:rsidRPr="00B0658A" w:rsidRDefault="00626001" w:rsidP="00004A41">
            <w:pPr>
              <w:spacing w:after="0" w:line="240" w:lineRule="auto"/>
              <w:jc w:val="center"/>
              <w:rPr>
                <w:rFonts w:ascii="Times New Roman" w:hAnsi="Times New Roman"/>
                <w:sz w:val="18"/>
                <w:szCs w:val="18"/>
              </w:rPr>
            </w:pPr>
          </w:p>
        </w:tc>
        <w:tc>
          <w:tcPr>
            <w:tcW w:w="803" w:type="dxa"/>
            <w:shd w:val="clear" w:color="000000" w:fill="FFFFFF"/>
            <w:vAlign w:val="center"/>
            <w:hideMark/>
          </w:tcPr>
          <w:p w14:paraId="030BC550" w14:textId="77777777" w:rsidR="00626001" w:rsidRPr="00B0658A" w:rsidRDefault="00626001" w:rsidP="00004A41">
            <w:pPr>
              <w:spacing w:after="0" w:line="240" w:lineRule="auto"/>
              <w:jc w:val="center"/>
              <w:rPr>
                <w:rFonts w:ascii="Times New Roman" w:hAnsi="Times New Roman"/>
                <w:sz w:val="18"/>
                <w:szCs w:val="18"/>
              </w:rPr>
            </w:pPr>
          </w:p>
        </w:tc>
        <w:tc>
          <w:tcPr>
            <w:tcW w:w="804" w:type="dxa"/>
            <w:shd w:val="clear" w:color="000000" w:fill="FFFFFF"/>
            <w:vAlign w:val="center"/>
            <w:hideMark/>
          </w:tcPr>
          <w:p w14:paraId="759D474E" w14:textId="77777777" w:rsidR="00626001" w:rsidRPr="00B0658A" w:rsidRDefault="00626001" w:rsidP="00004A41">
            <w:pPr>
              <w:spacing w:after="0" w:line="240" w:lineRule="auto"/>
              <w:jc w:val="center"/>
              <w:rPr>
                <w:rFonts w:ascii="Times New Roman" w:hAnsi="Times New Roman"/>
                <w:sz w:val="18"/>
                <w:szCs w:val="18"/>
              </w:rPr>
            </w:pPr>
          </w:p>
        </w:tc>
        <w:tc>
          <w:tcPr>
            <w:tcW w:w="1530" w:type="dxa"/>
            <w:shd w:val="clear" w:color="000000" w:fill="FFFFFF"/>
            <w:vAlign w:val="center"/>
          </w:tcPr>
          <w:p w14:paraId="2DC57E59" w14:textId="77777777" w:rsidR="00626001" w:rsidRPr="00B0658A" w:rsidRDefault="00626001" w:rsidP="00004A41">
            <w:pPr>
              <w:spacing w:after="0" w:line="240" w:lineRule="auto"/>
              <w:jc w:val="center"/>
              <w:rPr>
                <w:rFonts w:ascii="Times New Roman" w:hAnsi="Times New Roman"/>
                <w:sz w:val="18"/>
                <w:szCs w:val="18"/>
              </w:rPr>
            </w:pPr>
          </w:p>
        </w:tc>
      </w:tr>
      <w:tr w:rsidR="00F52FED" w:rsidRPr="00B0658A" w14:paraId="74FD22AB" w14:textId="77777777" w:rsidTr="000103BB">
        <w:trPr>
          <w:trHeight w:val="20"/>
        </w:trPr>
        <w:tc>
          <w:tcPr>
            <w:tcW w:w="578" w:type="dxa"/>
            <w:shd w:val="clear" w:color="000000" w:fill="FFFFFF"/>
            <w:vAlign w:val="center"/>
          </w:tcPr>
          <w:p w14:paraId="13ECE8C4" w14:textId="77777777" w:rsidR="00626001" w:rsidRPr="00B0658A" w:rsidRDefault="00626001" w:rsidP="00004A41">
            <w:pPr>
              <w:spacing w:after="0" w:line="240" w:lineRule="auto"/>
              <w:jc w:val="center"/>
              <w:rPr>
                <w:rFonts w:ascii="Times New Roman" w:hAnsi="Times New Roman"/>
                <w:sz w:val="18"/>
                <w:szCs w:val="18"/>
              </w:rPr>
            </w:pPr>
            <w:r w:rsidRPr="00B0658A">
              <w:rPr>
                <w:rFonts w:ascii="Times New Roman" w:hAnsi="Times New Roman"/>
                <w:sz w:val="18"/>
                <w:szCs w:val="18"/>
              </w:rPr>
              <w:t>9.6</w:t>
            </w:r>
          </w:p>
        </w:tc>
        <w:tc>
          <w:tcPr>
            <w:tcW w:w="3812" w:type="dxa"/>
            <w:shd w:val="clear" w:color="auto" w:fill="auto"/>
            <w:vAlign w:val="center"/>
            <w:hideMark/>
          </w:tcPr>
          <w:p w14:paraId="02AA6D6A" w14:textId="77777777" w:rsidR="00626001" w:rsidRPr="00B0658A" w:rsidRDefault="00626001" w:rsidP="00004A41">
            <w:pPr>
              <w:spacing w:after="0" w:line="240" w:lineRule="auto"/>
              <w:rPr>
                <w:rFonts w:ascii="Times New Roman" w:hAnsi="Times New Roman"/>
                <w:sz w:val="18"/>
                <w:szCs w:val="18"/>
              </w:rPr>
            </w:pPr>
            <w:r w:rsidRPr="00B0658A">
              <w:rPr>
                <w:rFonts w:ascii="Times New Roman" w:hAnsi="Times New Roman"/>
                <w:sz w:val="18"/>
                <w:szCs w:val="18"/>
              </w:rPr>
              <w:t>Средства управления процессами организации/ Средства управления основными фондами предприятия (EAM)</w:t>
            </w:r>
          </w:p>
        </w:tc>
        <w:tc>
          <w:tcPr>
            <w:tcW w:w="1842" w:type="dxa"/>
            <w:shd w:val="clear" w:color="000000" w:fill="FFFFFF"/>
            <w:hideMark/>
          </w:tcPr>
          <w:p w14:paraId="5F34368D" w14:textId="77777777" w:rsidR="00626001" w:rsidRPr="00B0658A" w:rsidRDefault="00626001" w:rsidP="00004A41">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79" w:type="dxa"/>
            <w:shd w:val="clear" w:color="000000" w:fill="FFFFFF"/>
            <w:vAlign w:val="center"/>
          </w:tcPr>
          <w:p w14:paraId="711D9E28"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000000" w:fill="FFFFFF"/>
            <w:vAlign w:val="center"/>
            <w:hideMark/>
          </w:tcPr>
          <w:p w14:paraId="18495AB2"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000000" w:fill="FFFFFF"/>
            <w:vAlign w:val="center"/>
            <w:hideMark/>
          </w:tcPr>
          <w:p w14:paraId="5129235F"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000000" w:fill="FFFFFF"/>
            <w:vAlign w:val="center"/>
            <w:hideMark/>
          </w:tcPr>
          <w:p w14:paraId="323EE302" w14:textId="77777777" w:rsidR="00626001" w:rsidRPr="00B0658A" w:rsidRDefault="00626001" w:rsidP="00004A41">
            <w:pPr>
              <w:spacing w:after="0" w:line="240" w:lineRule="auto"/>
              <w:jc w:val="center"/>
              <w:rPr>
                <w:rFonts w:ascii="Times New Roman" w:hAnsi="Times New Roman"/>
                <w:sz w:val="18"/>
                <w:szCs w:val="18"/>
              </w:rPr>
            </w:pPr>
          </w:p>
        </w:tc>
        <w:tc>
          <w:tcPr>
            <w:tcW w:w="992" w:type="dxa"/>
            <w:shd w:val="clear" w:color="000000" w:fill="FFFFFF"/>
            <w:vAlign w:val="center"/>
          </w:tcPr>
          <w:p w14:paraId="319781FE" w14:textId="77777777" w:rsidR="00626001" w:rsidRPr="00B0658A" w:rsidRDefault="00626001" w:rsidP="00004A41">
            <w:pPr>
              <w:spacing w:after="0" w:line="240" w:lineRule="auto"/>
              <w:jc w:val="center"/>
              <w:rPr>
                <w:rFonts w:ascii="Times New Roman" w:hAnsi="Times New Roman"/>
                <w:sz w:val="18"/>
                <w:szCs w:val="18"/>
              </w:rPr>
            </w:pPr>
          </w:p>
        </w:tc>
        <w:tc>
          <w:tcPr>
            <w:tcW w:w="803" w:type="dxa"/>
            <w:shd w:val="clear" w:color="000000" w:fill="FFFFFF"/>
            <w:vAlign w:val="center"/>
            <w:hideMark/>
          </w:tcPr>
          <w:p w14:paraId="1C62C4F1" w14:textId="77777777" w:rsidR="00626001" w:rsidRPr="00B0658A" w:rsidRDefault="00626001" w:rsidP="00004A41">
            <w:pPr>
              <w:spacing w:after="0" w:line="240" w:lineRule="auto"/>
              <w:jc w:val="center"/>
              <w:rPr>
                <w:rFonts w:ascii="Times New Roman" w:hAnsi="Times New Roman"/>
                <w:sz w:val="18"/>
                <w:szCs w:val="18"/>
              </w:rPr>
            </w:pPr>
          </w:p>
        </w:tc>
        <w:tc>
          <w:tcPr>
            <w:tcW w:w="803" w:type="dxa"/>
            <w:shd w:val="clear" w:color="000000" w:fill="FFFFFF"/>
            <w:vAlign w:val="center"/>
            <w:hideMark/>
          </w:tcPr>
          <w:p w14:paraId="142A18F6" w14:textId="77777777" w:rsidR="00626001" w:rsidRPr="00B0658A" w:rsidRDefault="00626001" w:rsidP="00004A41">
            <w:pPr>
              <w:spacing w:after="0" w:line="240" w:lineRule="auto"/>
              <w:jc w:val="center"/>
              <w:rPr>
                <w:rFonts w:ascii="Times New Roman" w:hAnsi="Times New Roman"/>
                <w:sz w:val="18"/>
                <w:szCs w:val="18"/>
              </w:rPr>
            </w:pPr>
          </w:p>
        </w:tc>
        <w:tc>
          <w:tcPr>
            <w:tcW w:w="804" w:type="dxa"/>
            <w:shd w:val="clear" w:color="000000" w:fill="FFFFFF"/>
            <w:vAlign w:val="center"/>
            <w:hideMark/>
          </w:tcPr>
          <w:p w14:paraId="2E0C4CD1" w14:textId="77777777" w:rsidR="00626001" w:rsidRPr="00B0658A" w:rsidRDefault="00626001" w:rsidP="00004A41">
            <w:pPr>
              <w:spacing w:after="0" w:line="240" w:lineRule="auto"/>
              <w:jc w:val="center"/>
              <w:rPr>
                <w:rFonts w:ascii="Times New Roman" w:hAnsi="Times New Roman"/>
                <w:sz w:val="18"/>
                <w:szCs w:val="18"/>
              </w:rPr>
            </w:pPr>
          </w:p>
        </w:tc>
        <w:tc>
          <w:tcPr>
            <w:tcW w:w="1530" w:type="dxa"/>
            <w:shd w:val="clear" w:color="000000" w:fill="FFFFFF"/>
            <w:vAlign w:val="center"/>
          </w:tcPr>
          <w:p w14:paraId="28EBB14A" w14:textId="77777777" w:rsidR="00626001" w:rsidRPr="00B0658A" w:rsidRDefault="00626001" w:rsidP="00004A41">
            <w:pPr>
              <w:spacing w:after="0" w:line="240" w:lineRule="auto"/>
              <w:jc w:val="center"/>
              <w:rPr>
                <w:rFonts w:ascii="Times New Roman" w:hAnsi="Times New Roman"/>
                <w:sz w:val="18"/>
                <w:szCs w:val="18"/>
              </w:rPr>
            </w:pPr>
          </w:p>
        </w:tc>
      </w:tr>
      <w:tr w:rsidR="00F52FED" w:rsidRPr="00B0658A" w14:paraId="2D7030CD" w14:textId="77777777" w:rsidTr="000103BB">
        <w:trPr>
          <w:trHeight w:val="20"/>
        </w:trPr>
        <w:tc>
          <w:tcPr>
            <w:tcW w:w="578" w:type="dxa"/>
            <w:shd w:val="clear" w:color="000000" w:fill="FFFFFF"/>
            <w:vAlign w:val="center"/>
          </w:tcPr>
          <w:p w14:paraId="2E280291" w14:textId="77777777" w:rsidR="00626001" w:rsidRPr="00B0658A" w:rsidRDefault="00626001" w:rsidP="00004A41">
            <w:pPr>
              <w:spacing w:after="0" w:line="240" w:lineRule="auto"/>
              <w:jc w:val="center"/>
              <w:rPr>
                <w:rFonts w:ascii="Times New Roman" w:hAnsi="Times New Roman"/>
                <w:sz w:val="18"/>
                <w:szCs w:val="18"/>
              </w:rPr>
            </w:pPr>
            <w:r w:rsidRPr="00B0658A">
              <w:rPr>
                <w:rFonts w:ascii="Times New Roman" w:hAnsi="Times New Roman"/>
                <w:sz w:val="18"/>
                <w:szCs w:val="18"/>
              </w:rPr>
              <w:t>9.7</w:t>
            </w:r>
          </w:p>
        </w:tc>
        <w:tc>
          <w:tcPr>
            <w:tcW w:w="3812" w:type="dxa"/>
            <w:shd w:val="clear" w:color="auto" w:fill="auto"/>
            <w:vAlign w:val="center"/>
            <w:hideMark/>
          </w:tcPr>
          <w:p w14:paraId="4FF745AC" w14:textId="77777777" w:rsidR="00626001" w:rsidRPr="00B0658A" w:rsidRDefault="00626001" w:rsidP="00004A41">
            <w:pPr>
              <w:spacing w:after="0" w:line="240" w:lineRule="auto"/>
              <w:rPr>
                <w:rFonts w:ascii="Times New Roman" w:hAnsi="Times New Roman"/>
                <w:sz w:val="18"/>
                <w:szCs w:val="18"/>
              </w:rPr>
            </w:pPr>
            <w:r w:rsidRPr="00B0658A">
              <w:rPr>
                <w:rFonts w:ascii="Times New Roman" w:hAnsi="Times New Roman"/>
                <w:sz w:val="18"/>
                <w:szCs w:val="18"/>
              </w:rPr>
              <w:t>Средства управления процессами организации/ Средства финансового менеджмента, управления активами и трудовыми ресурсами (ERP)</w:t>
            </w:r>
          </w:p>
        </w:tc>
        <w:tc>
          <w:tcPr>
            <w:tcW w:w="1842" w:type="dxa"/>
            <w:shd w:val="clear" w:color="000000" w:fill="FFFFFF"/>
            <w:hideMark/>
          </w:tcPr>
          <w:p w14:paraId="5C38BEE2" w14:textId="77777777" w:rsidR="00626001" w:rsidRPr="00B0658A" w:rsidRDefault="00626001" w:rsidP="00004A41">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79" w:type="dxa"/>
            <w:shd w:val="clear" w:color="000000" w:fill="FFFFFF"/>
            <w:vAlign w:val="center"/>
          </w:tcPr>
          <w:p w14:paraId="07FFD76C"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000000" w:fill="FFFFFF"/>
            <w:vAlign w:val="center"/>
            <w:hideMark/>
          </w:tcPr>
          <w:p w14:paraId="7CF7EC40"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000000" w:fill="FFFFFF"/>
            <w:vAlign w:val="center"/>
            <w:hideMark/>
          </w:tcPr>
          <w:p w14:paraId="4E2F3EEC"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000000" w:fill="FFFFFF"/>
            <w:vAlign w:val="center"/>
            <w:hideMark/>
          </w:tcPr>
          <w:p w14:paraId="058DBE54" w14:textId="77777777" w:rsidR="00626001" w:rsidRPr="00B0658A" w:rsidRDefault="00626001" w:rsidP="00004A41">
            <w:pPr>
              <w:spacing w:after="0" w:line="240" w:lineRule="auto"/>
              <w:jc w:val="center"/>
              <w:rPr>
                <w:rFonts w:ascii="Times New Roman" w:hAnsi="Times New Roman"/>
                <w:sz w:val="18"/>
                <w:szCs w:val="18"/>
              </w:rPr>
            </w:pPr>
          </w:p>
        </w:tc>
        <w:tc>
          <w:tcPr>
            <w:tcW w:w="992" w:type="dxa"/>
            <w:shd w:val="clear" w:color="000000" w:fill="FFFFFF"/>
            <w:vAlign w:val="center"/>
          </w:tcPr>
          <w:p w14:paraId="29CB40C8" w14:textId="77777777" w:rsidR="00626001" w:rsidRPr="00B0658A" w:rsidRDefault="00626001" w:rsidP="00004A41">
            <w:pPr>
              <w:spacing w:after="0" w:line="240" w:lineRule="auto"/>
              <w:jc w:val="center"/>
              <w:rPr>
                <w:rFonts w:ascii="Times New Roman" w:hAnsi="Times New Roman"/>
                <w:sz w:val="18"/>
                <w:szCs w:val="18"/>
              </w:rPr>
            </w:pPr>
          </w:p>
        </w:tc>
        <w:tc>
          <w:tcPr>
            <w:tcW w:w="803" w:type="dxa"/>
            <w:shd w:val="clear" w:color="000000" w:fill="FFFFFF"/>
            <w:vAlign w:val="center"/>
            <w:hideMark/>
          </w:tcPr>
          <w:p w14:paraId="75810F32" w14:textId="77777777" w:rsidR="00626001" w:rsidRPr="00B0658A" w:rsidRDefault="00626001" w:rsidP="00004A41">
            <w:pPr>
              <w:spacing w:after="0" w:line="240" w:lineRule="auto"/>
              <w:jc w:val="center"/>
              <w:rPr>
                <w:rFonts w:ascii="Times New Roman" w:hAnsi="Times New Roman"/>
                <w:sz w:val="18"/>
                <w:szCs w:val="18"/>
              </w:rPr>
            </w:pPr>
          </w:p>
        </w:tc>
        <w:tc>
          <w:tcPr>
            <w:tcW w:w="803" w:type="dxa"/>
            <w:shd w:val="clear" w:color="000000" w:fill="FFFFFF"/>
            <w:vAlign w:val="center"/>
            <w:hideMark/>
          </w:tcPr>
          <w:p w14:paraId="7330E97F" w14:textId="77777777" w:rsidR="00626001" w:rsidRPr="00B0658A" w:rsidRDefault="00626001" w:rsidP="00004A41">
            <w:pPr>
              <w:spacing w:after="0" w:line="240" w:lineRule="auto"/>
              <w:jc w:val="center"/>
              <w:rPr>
                <w:rFonts w:ascii="Times New Roman" w:hAnsi="Times New Roman"/>
                <w:sz w:val="18"/>
                <w:szCs w:val="18"/>
              </w:rPr>
            </w:pPr>
          </w:p>
        </w:tc>
        <w:tc>
          <w:tcPr>
            <w:tcW w:w="804" w:type="dxa"/>
            <w:shd w:val="clear" w:color="000000" w:fill="FFFFFF"/>
            <w:vAlign w:val="center"/>
            <w:hideMark/>
          </w:tcPr>
          <w:p w14:paraId="367AA28D" w14:textId="77777777" w:rsidR="00626001" w:rsidRPr="00B0658A" w:rsidRDefault="00626001" w:rsidP="00004A41">
            <w:pPr>
              <w:spacing w:after="0" w:line="240" w:lineRule="auto"/>
              <w:jc w:val="center"/>
              <w:rPr>
                <w:rFonts w:ascii="Times New Roman" w:hAnsi="Times New Roman"/>
                <w:sz w:val="18"/>
                <w:szCs w:val="18"/>
              </w:rPr>
            </w:pPr>
          </w:p>
        </w:tc>
        <w:tc>
          <w:tcPr>
            <w:tcW w:w="1530" w:type="dxa"/>
            <w:shd w:val="clear" w:color="000000" w:fill="FFFFFF"/>
            <w:vAlign w:val="center"/>
          </w:tcPr>
          <w:p w14:paraId="19BAC6FA" w14:textId="77777777" w:rsidR="00626001" w:rsidRPr="00B0658A" w:rsidRDefault="00626001" w:rsidP="00004A41">
            <w:pPr>
              <w:spacing w:after="0" w:line="240" w:lineRule="auto"/>
              <w:jc w:val="center"/>
              <w:rPr>
                <w:rFonts w:ascii="Times New Roman" w:hAnsi="Times New Roman"/>
                <w:sz w:val="18"/>
                <w:szCs w:val="18"/>
              </w:rPr>
            </w:pPr>
          </w:p>
        </w:tc>
      </w:tr>
      <w:tr w:rsidR="00F52FED" w:rsidRPr="00B0658A" w14:paraId="4FFF7504" w14:textId="77777777" w:rsidTr="000103BB">
        <w:trPr>
          <w:trHeight w:val="20"/>
        </w:trPr>
        <w:tc>
          <w:tcPr>
            <w:tcW w:w="578" w:type="dxa"/>
            <w:shd w:val="clear" w:color="000000" w:fill="FFFFFF"/>
            <w:vAlign w:val="center"/>
          </w:tcPr>
          <w:p w14:paraId="440CE2FE" w14:textId="77777777" w:rsidR="00626001" w:rsidRPr="00B0658A" w:rsidRDefault="00626001" w:rsidP="00004A41">
            <w:pPr>
              <w:spacing w:after="0" w:line="240" w:lineRule="auto"/>
              <w:jc w:val="center"/>
              <w:rPr>
                <w:rFonts w:ascii="Times New Roman" w:hAnsi="Times New Roman"/>
                <w:sz w:val="18"/>
                <w:szCs w:val="18"/>
                <w:lang w:val="en-US"/>
              </w:rPr>
            </w:pPr>
            <w:r w:rsidRPr="00B0658A">
              <w:rPr>
                <w:rFonts w:ascii="Times New Roman" w:hAnsi="Times New Roman"/>
                <w:sz w:val="18"/>
                <w:szCs w:val="18"/>
                <w:lang w:val="en-US"/>
              </w:rPr>
              <w:t>9.9</w:t>
            </w:r>
          </w:p>
        </w:tc>
        <w:tc>
          <w:tcPr>
            <w:tcW w:w="3812" w:type="dxa"/>
            <w:shd w:val="clear" w:color="auto" w:fill="auto"/>
            <w:vAlign w:val="center"/>
            <w:hideMark/>
          </w:tcPr>
          <w:p w14:paraId="3D6CFECB" w14:textId="77777777" w:rsidR="00626001" w:rsidRPr="00B0658A" w:rsidRDefault="00626001" w:rsidP="00004A41">
            <w:pPr>
              <w:spacing w:after="0" w:line="240" w:lineRule="auto"/>
              <w:rPr>
                <w:rFonts w:ascii="Times New Roman" w:hAnsi="Times New Roman"/>
                <w:sz w:val="18"/>
                <w:szCs w:val="18"/>
              </w:rPr>
            </w:pPr>
            <w:r w:rsidRPr="00B0658A">
              <w:rPr>
                <w:rFonts w:ascii="Times New Roman" w:hAnsi="Times New Roman"/>
                <w:sz w:val="18"/>
                <w:szCs w:val="18"/>
              </w:rPr>
              <w:t>Средства управления процессами организации/ Средства управления отношениями с клиентами (CRM)</w:t>
            </w:r>
          </w:p>
        </w:tc>
        <w:tc>
          <w:tcPr>
            <w:tcW w:w="1842" w:type="dxa"/>
            <w:shd w:val="clear" w:color="000000" w:fill="FFFFFF"/>
            <w:hideMark/>
          </w:tcPr>
          <w:p w14:paraId="19778764" w14:textId="77777777" w:rsidR="00626001" w:rsidRPr="00B0658A" w:rsidRDefault="00626001" w:rsidP="00004A41">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79" w:type="dxa"/>
            <w:shd w:val="clear" w:color="000000" w:fill="FFFFFF"/>
            <w:vAlign w:val="center"/>
          </w:tcPr>
          <w:p w14:paraId="1991D269"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000000" w:fill="FFFFFF"/>
            <w:vAlign w:val="center"/>
            <w:hideMark/>
          </w:tcPr>
          <w:p w14:paraId="0A41B9C6"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000000" w:fill="FFFFFF"/>
            <w:vAlign w:val="center"/>
            <w:hideMark/>
          </w:tcPr>
          <w:p w14:paraId="16809A2E"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000000" w:fill="FFFFFF"/>
            <w:vAlign w:val="center"/>
            <w:hideMark/>
          </w:tcPr>
          <w:p w14:paraId="5EA7817E" w14:textId="77777777" w:rsidR="00626001" w:rsidRPr="00B0658A" w:rsidRDefault="00626001" w:rsidP="00004A41">
            <w:pPr>
              <w:spacing w:after="0" w:line="240" w:lineRule="auto"/>
              <w:jc w:val="center"/>
              <w:rPr>
                <w:rFonts w:ascii="Times New Roman" w:hAnsi="Times New Roman"/>
                <w:sz w:val="18"/>
                <w:szCs w:val="18"/>
              </w:rPr>
            </w:pPr>
          </w:p>
        </w:tc>
        <w:tc>
          <w:tcPr>
            <w:tcW w:w="992" w:type="dxa"/>
            <w:shd w:val="clear" w:color="000000" w:fill="FFFFFF"/>
            <w:vAlign w:val="center"/>
          </w:tcPr>
          <w:p w14:paraId="5B1FB41C" w14:textId="77777777" w:rsidR="00626001" w:rsidRPr="00B0658A" w:rsidRDefault="00626001" w:rsidP="00004A41">
            <w:pPr>
              <w:spacing w:after="0" w:line="240" w:lineRule="auto"/>
              <w:jc w:val="center"/>
              <w:rPr>
                <w:rFonts w:ascii="Times New Roman" w:hAnsi="Times New Roman"/>
                <w:sz w:val="18"/>
                <w:szCs w:val="18"/>
              </w:rPr>
            </w:pPr>
          </w:p>
        </w:tc>
        <w:tc>
          <w:tcPr>
            <w:tcW w:w="803" w:type="dxa"/>
            <w:shd w:val="clear" w:color="000000" w:fill="FFFFFF"/>
            <w:vAlign w:val="center"/>
            <w:hideMark/>
          </w:tcPr>
          <w:p w14:paraId="6A4D813E" w14:textId="77777777" w:rsidR="00626001" w:rsidRPr="00B0658A" w:rsidRDefault="00626001" w:rsidP="00004A41">
            <w:pPr>
              <w:spacing w:after="0" w:line="240" w:lineRule="auto"/>
              <w:jc w:val="center"/>
              <w:rPr>
                <w:rFonts w:ascii="Times New Roman" w:hAnsi="Times New Roman"/>
                <w:sz w:val="18"/>
                <w:szCs w:val="18"/>
              </w:rPr>
            </w:pPr>
          </w:p>
        </w:tc>
        <w:tc>
          <w:tcPr>
            <w:tcW w:w="803" w:type="dxa"/>
            <w:shd w:val="clear" w:color="000000" w:fill="FFFFFF"/>
            <w:vAlign w:val="center"/>
            <w:hideMark/>
          </w:tcPr>
          <w:p w14:paraId="3A641704" w14:textId="77777777" w:rsidR="00626001" w:rsidRPr="00B0658A" w:rsidRDefault="00626001" w:rsidP="00004A41">
            <w:pPr>
              <w:spacing w:after="0" w:line="240" w:lineRule="auto"/>
              <w:jc w:val="center"/>
              <w:rPr>
                <w:rFonts w:ascii="Times New Roman" w:hAnsi="Times New Roman"/>
                <w:sz w:val="18"/>
                <w:szCs w:val="18"/>
              </w:rPr>
            </w:pPr>
          </w:p>
        </w:tc>
        <w:tc>
          <w:tcPr>
            <w:tcW w:w="804" w:type="dxa"/>
            <w:shd w:val="clear" w:color="000000" w:fill="FFFFFF"/>
            <w:vAlign w:val="center"/>
            <w:hideMark/>
          </w:tcPr>
          <w:p w14:paraId="2CD3D915" w14:textId="77777777" w:rsidR="00626001" w:rsidRPr="00B0658A" w:rsidRDefault="00626001" w:rsidP="00004A41">
            <w:pPr>
              <w:spacing w:after="0" w:line="240" w:lineRule="auto"/>
              <w:jc w:val="center"/>
              <w:rPr>
                <w:rFonts w:ascii="Times New Roman" w:hAnsi="Times New Roman"/>
                <w:sz w:val="18"/>
                <w:szCs w:val="18"/>
              </w:rPr>
            </w:pPr>
          </w:p>
        </w:tc>
        <w:tc>
          <w:tcPr>
            <w:tcW w:w="1530" w:type="dxa"/>
            <w:shd w:val="clear" w:color="000000" w:fill="FFFFFF"/>
            <w:vAlign w:val="center"/>
          </w:tcPr>
          <w:p w14:paraId="563BD24B" w14:textId="77777777" w:rsidR="00626001" w:rsidRPr="00B0658A" w:rsidRDefault="00626001" w:rsidP="00004A41">
            <w:pPr>
              <w:spacing w:after="0" w:line="240" w:lineRule="auto"/>
              <w:jc w:val="center"/>
              <w:rPr>
                <w:rFonts w:ascii="Times New Roman" w:hAnsi="Times New Roman"/>
                <w:sz w:val="18"/>
                <w:szCs w:val="18"/>
              </w:rPr>
            </w:pPr>
          </w:p>
        </w:tc>
      </w:tr>
      <w:tr w:rsidR="00F52FED" w:rsidRPr="00B0658A" w14:paraId="5E042742" w14:textId="77777777" w:rsidTr="000103BB">
        <w:trPr>
          <w:trHeight w:val="20"/>
        </w:trPr>
        <w:tc>
          <w:tcPr>
            <w:tcW w:w="578" w:type="dxa"/>
            <w:shd w:val="clear" w:color="000000" w:fill="FFFFFF"/>
            <w:vAlign w:val="center"/>
          </w:tcPr>
          <w:p w14:paraId="1638F844" w14:textId="77777777" w:rsidR="00626001" w:rsidRPr="00B0658A" w:rsidRDefault="00626001" w:rsidP="00004A41">
            <w:pPr>
              <w:spacing w:after="0" w:line="240" w:lineRule="auto"/>
              <w:jc w:val="center"/>
              <w:rPr>
                <w:rFonts w:ascii="Times New Roman" w:hAnsi="Times New Roman"/>
                <w:sz w:val="18"/>
                <w:szCs w:val="18"/>
                <w:lang w:val="en-US"/>
              </w:rPr>
            </w:pPr>
            <w:r w:rsidRPr="00B0658A">
              <w:rPr>
                <w:rFonts w:ascii="Times New Roman" w:hAnsi="Times New Roman"/>
                <w:sz w:val="18"/>
                <w:szCs w:val="18"/>
                <w:lang w:val="en-US"/>
              </w:rPr>
              <w:t>9.10</w:t>
            </w:r>
          </w:p>
        </w:tc>
        <w:tc>
          <w:tcPr>
            <w:tcW w:w="3812" w:type="dxa"/>
            <w:shd w:val="clear" w:color="auto" w:fill="auto"/>
            <w:vAlign w:val="center"/>
            <w:hideMark/>
          </w:tcPr>
          <w:p w14:paraId="22990C11" w14:textId="77777777" w:rsidR="00626001" w:rsidRPr="00B0658A" w:rsidRDefault="00626001" w:rsidP="00004A41">
            <w:pPr>
              <w:spacing w:after="0" w:line="240" w:lineRule="auto"/>
              <w:rPr>
                <w:rFonts w:ascii="Times New Roman" w:hAnsi="Times New Roman"/>
                <w:sz w:val="18"/>
                <w:szCs w:val="18"/>
              </w:rPr>
            </w:pPr>
            <w:r w:rsidRPr="00B0658A">
              <w:rPr>
                <w:rFonts w:ascii="Times New Roman" w:hAnsi="Times New Roman"/>
                <w:sz w:val="18"/>
                <w:szCs w:val="18"/>
              </w:rPr>
              <w:t>Средства управления процессами организации/ Средства управления ИТ-службой, ИТ-инфраструктурой и ИТ-активами (ITSM-ServiceDesk, SCCM, Asset Management)</w:t>
            </w:r>
          </w:p>
        </w:tc>
        <w:tc>
          <w:tcPr>
            <w:tcW w:w="1842" w:type="dxa"/>
            <w:shd w:val="clear" w:color="000000" w:fill="FFFFFF"/>
            <w:hideMark/>
          </w:tcPr>
          <w:p w14:paraId="6470A6F7" w14:textId="77777777" w:rsidR="00626001" w:rsidRPr="00B0658A" w:rsidRDefault="00626001" w:rsidP="00004A41">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79" w:type="dxa"/>
            <w:shd w:val="clear" w:color="000000" w:fill="FFFFFF"/>
            <w:vAlign w:val="center"/>
          </w:tcPr>
          <w:p w14:paraId="50C233D0"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000000" w:fill="FFFFFF"/>
            <w:vAlign w:val="center"/>
            <w:hideMark/>
          </w:tcPr>
          <w:p w14:paraId="454A837C"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000000" w:fill="FFFFFF"/>
            <w:vAlign w:val="center"/>
            <w:hideMark/>
          </w:tcPr>
          <w:p w14:paraId="56A30C7B"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000000" w:fill="FFFFFF"/>
            <w:vAlign w:val="center"/>
            <w:hideMark/>
          </w:tcPr>
          <w:p w14:paraId="48229BC1" w14:textId="77777777" w:rsidR="00626001" w:rsidRPr="00B0658A" w:rsidRDefault="00626001" w:rsidP="00004A41">
            <w:pPr>
              <w:spacing w:after="0" w:line="240" w:lineRule="auto"/>
              <w:jc w:val="center"/>
              <w:rPr>
                <w:rFonts w:ascii="Times New Roman" w:hAnsi="Times New Roman"/>
                <w:sz w:val="18"/>
                <w:szCs w:val="18"/>
              </w:rPr>
            </w:pPr>
          </w:p>
        </w:tc>
        <w:tc>
          <w:tcPr>
            <w:tcW w:w="992" w:type="dxa"/>
            <w:shd w:val="clear" w:color="000000" w:fill="FFFFFF"/>
            <w:vAlign w:val="center"/>
          </w:tcPr>
          <w:p w14:paraId="72BE297B" w14:textId="77777777" w:rsidR="00626001" w:rsidRPr="00B0658A" w:rsidRDefault="00626001" w:rsidP="00004A41">
            <w:pPr>
              <w:spacing w:after="0" w:line="240" w:lineRule="auto"/>
              <w:jc w:val="center"/>
              <w:rPr>
                <w:rFonts w:ascii="Times New Roman" w:hAnsi="Times New Roman"/>
                <w:sz w:val="18"/>
                <w:szCs w:val="18"/>
              </w:rPr>
            </w:pPr>
          </w:p>
        </w:tc>
        <w:tc>
          <w:tcPr>
            <w:tcW w:w="803" w:type="dxa"/>
            <w:shd w:val="clear" w:color="000000" w:fill="FFFFFF"/>
            <w:vAlign w:val="center"/>
            <w:hideMark/>
          </w:tcPr>
          <w:p w14:paraId="044A42E2" w14:textId="77777777" w:rsidR="00626001" w:rsidRPr="00B0658A" w:rsidRDefault="00626001" w:rsidP="00004A41">
            <w:pPr>
              <w:spacing w:after="0" w:line="240" w:lineRule="auto"/>
              <w:jc w:val="center"/>
              <w:rPr>
                <w:rFonts w:ascii="Times New Roman" w:hAnsi="Times New Roman"/>
                <w:sz w:val="18"/>
                <w:szCs w:val="18"/>
              </w:rPr>
            </w:pPr>
          </w:p>
        </w:tc>
        <w:tc>
          <w:tcPr>
            <w:tcW w:w="803" w:type="dxa"/>
            <w:shd w:val="clear" w:color="000000" w:fill="FFFFFF"/>
            <w:vAlign w:val="center"/>
            <w:hideMark/>
          </w:tcPr>
          <w:p w14:paraId="2FF47A7F" w14:textId="77777777" w:rsidR="00626001" w:rsidRPr="00B0658A" w:rsidRDefault="00626001" w:rsidP="00004A41">
            <w:pPr>
              <w:spacing w:after="0" w:line="240" w:lineRule="auto"/>
              <w:jc w:val="center"/>
              <w:rPr>
                <w:rFonts w:ascii="Times New Roman" w:hAnsi="Times New Roman"/>
                <w:sz w:val="18"/>
                <w:szCs w:val="18"/>
              </w:rPr>
            </w:pPr>
          </w:p>
        </w:tc>
        <w:tc>
          <w:tcPr>
            <w:tcW w:w="804" w:type="dxa"/>
            <w:shd w:val="clear" w:color="000000" w:fill="FFFFFF"/>
            <w:vAlign w:val="center"/>
            <w:hideMark/>
          </w:tcPr>
          <w:p w14:paraId="510C1BEC" w14:textId="77777777" w:rsidR="00626001" w:rsidRPr="00B0658A" w:rsidRDefault="00626001" w:rsidP="00004A41">
            <w:pPr>
              <w:spacing w:after="0" w:line="240" w:lineRule="auto"/>
              <w:jc w:val="center"/>
              <w:rPr>
                <w:rFonts w:ascii="Times New Roman" w:hAnsi="Times New Roman"/>
                <w:sz w:val="18"/>
                <w:szCs w:val="18"/>
              </w:rPr>
            </w:pPr>
          </w:p>
        </w:tc>
        <w:tc>
          <w:tcPr>
            <w:tcW w:w="1530" w:type="dxa"/>
            <w:shd w:val="clear" w:color="000000" w:fill="FFFFFF"/>
            <w:vAlign w:val="center"/>
          </w:tcPr>
          <w:p w14:paraId="58981901" w14:textId="77777777" w:rsidR="00626001" w:rsidRPr="00B0658A" w:rsidRDefault="00626001" w:rsidP="00004A41">
            <w:pPr>
              <w:spacing w:after="0" w:line="240" w:lineRule="auto"/>
              <w:jc w:val="center"/>
              <w:rPr>
                <w:rFonts w:ascii="Times New Roman" w:hAnsi="Times New Roman"/>
                <w:sz w:val="18"/>
                <w:szCs w:val="18"/>
              </w:rPr>
            </w:pPr>
          </w:p>
        </w:tc>
      </w:tr>
      <w:tr w:rsidR="00F52FED" w:rsidRPr="00B0658A" w14:paraId="4FF5588E" w14:textId="77777777" w:rsidTr="000103BB">
        <w:trPr>
          <w:trHeight w:val="20"/>
        </w:trPr>
        <w:tc>
          <w:tcPr>
            <w:tcW w:w="578" w:type="dxa"/>
            <w:shd w:val="clear" w:color="000000" w:fill="FFFFFF"/>
            <w:vAlign w:val="center"/>
          </w:tcPr>
          <w:p w14:paraId="6062FE65" w14:textId="77777777" w:rsidR="00626001" w:rsidRPr="00B0658A" w:rsidRDefault="00626001" w:rsidP="00004A41">
            <w:pPr>
              <w:spacing w:after="0" w:line="240" w:lineRule="auto"/>
              <w:jc w:val="center"/>
              <w:rPr>
                <w:rFonts w:ascii="Times New Roman" w:hAnsi="Times New Roman"/>
                <w:sz w:val="18"/>
                <w:szCs w:val="18"/>
                <w:lang w:val="en-US"/>
              </w:rPr>
            </w:pPr>
            <w:r w:rsidRPr="00B0658A">
              <w:rPr>
                <w:rFonts w:ascii="Times New Roman" w:hAnsi="Times New Roman"/>
                <w:sz w:val="18"/>
                <w:szCs w:val="18"/>
                <w:lang w:val="en-US"/>
              </w:rPr>
              <w:t>9.11</w:t>
            </w:r>
          </w:p>
        </w:tc>
        <w:tc>
          <w:tcPr>
            <w:tcW w:w="3812" w:type="dxa"/>
            <w:shd w:val="clear" w:color="auto" w:fill="auto"/>
            <w:vAlign w:val="center"/>
            <w:hideMark/>
          </w:tcPr>
          <w:p w14:paraId="50C6465A" w14:textId="77777777" w:rsidR="00626001" w:rsidRPr="00B0658A" w:rsidRDefault="00626001" w:rsidP="00004A41">
            <w:pPr>
              <w:suppressAutoHyphens/>
              <w:spacing w:after="0" w:line="240" w:lineRule="auto"/>
              <w:rPr>
                <w:rFonts w:ascii="Times New Roman" w:hAnsi="Times New Roman"/>
                <w:sz w:val="18"/>
                <w:szCs w:val="18"/>
              </w:rPr>
            </w:pPr>
            <w:r w:rsidRPr="00B0658A">
              <w:rPr>
                <w:rFonts w:ascii="Times New Roman" w:hAnsi="Times New Roman"/>
                <w:sz w:val="18"/>
                <w:szCs w:val="18"/>
              </w:rPr>
              <w:t xml:space="preserve">Средства управления процессами организации/ Средства управления содержимым (CMS), сайты </w:t>
            </w:r>
          </w:p>
          <w:p w14:paraId="6185C67B" w14:textId="77777777" w:rsidR="00626001" w:rsidRPr="00B0658A" w:rsidRDefault="00626001" w:rsidP="00004A41">
            <w:pPr>
              <w:spacing w:after="0" w:line="240" w:lineRule="auto"/>
              <w:rPr>
                <w:rFonts w:ascii="Times New Roman" w:hAnsi="Times New Roman"/>
                <w:sz w:val="18"/>
                <w:szCs w:val="18"/>
              </w:rPr>
            </w:pPr>
            <w:r w:rsidRPr="00B0658A">
              <w:rPr>
                <w:rFonts w:ascii="Times New Roman" w:hAnsi="Times New Roman"/>
                <w:sz w:val="18"/>
                <w:szCs w:val="18"/>
              </w:rPr>
              <w:t>и портальные решения</w:t>
            </w:r>
          </w:p>
        </w:tc>
        <w:tc>
          <w:tcPr>
            <w:tcW w:w="1842" w:type="dxa"/>
            <w:shd w:val="clear" w:color="000000" w:fill="FFFFFF"/>
            <w:hideMark/>
          </w:tcPr>
          <w:p w14:paraId="641C4A14" w14:textId="77777777" w:rsidR="00626001" w:rsidRPr="00B0658A" w:rsidRDefault="00626001" w:rsidP="00004A41">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79" w:type="dxa"/>
            <w:shd w:val="clear" w:color="000000" w:fill="FFFFFF"/>
            <w:vAlign w:val="center"/>
          </w:tcPr>
          <w:p w14:paraId="2C52C299"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000000" w:fill="FFFFFF"/>
            <w:vAlign w:val="center"/>
            <w:hideMark/>
          </w:tcPr>
          <w:p w14:paraId="7E003F8B"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000000" w:fill="FFFFFF"/>
            <w:vAlign w:val="center"/>
            <w:hideMark/>
          </w:tcPr>
          <w:p w14:paraId="6A92C123"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000000" w:fill="FFFFFF"/>
            <w:vAlign w:val="center"/>
            <w:hideMark/>
          </w:tcPr>
          <w:p w14:paraId="1B084F7B" w14:textId="77777777" w:rsidR="00626001" w:rsidRPr="00B0658A" w:rsidRDefault="00626001" w:rsidP="00004A41">
            <w:pPr>
              <w:spacing w:after="0" w:line="240" w:lineRule="auto"/>
              <w:jc w:val="center"/>
              <w:rPr>
                <w:rFonts w:ascii="Times New Roman" w:hAnsi="Times New Roman"/>
                <w:sz w:val="18"/>
                <w:szCs w:val="18"/>
              </w:rPr>
            </w:pPr>
          </w:p>
        </w:tc>
        <w:tc>
          <w:tcPr>
            <w:tcW w:w="992" w:type="dxa"/>
            <w:shd w:val="clear" w:color="000000" w:fill="FFFFFF"/>
            <w:vAlign w:val="center"/>
          </w:tcPr>
          <w:p w14:paraId="28DDED83" w14:textId="77777777" w:rsidR="00626001" w:rsidRPr="00B0658A" w:rsidRDefault="00626001" w:rsidP="00004A41">
            <w:pPr>
              <w:spacing w:after="0" w:line="240" w:lineRule="auto"/>
              <w:jc w:val="center"/>
              <w:rPr>
                <w:rFonts w:ascii="Times New Roman" w:hAnsi="Times New Roman"/>
                <w:sz w:val="18"/>
                <w:szCs w:val="18"/>
              </w:rPr>
            </w:pPr>
          </w:p>
        </w:tc>
        <w:tc>
          <w:tcPr>
            <w:tcW w:w="803" w:type="dxa"/>
            <w:shd w:val="clear" w:color="000000" w:fill="FFFFFF"/>
            <w:vAlign w:val="center"/>
            <w:hideMark/>
          </w:tcPr>
          <w:p w14:paraId="64ED8D89" w14:textId="77777777" w:rsidR="00626001" w:rsidRPr="00B0658A" w:rsidRDefault="00626001" w:rsidP="00004A41">
            <w:pPr>
              <w:spacing w:after="0" w:line="240" w:lineRule="auto"/>
              <w:jc w:val="center"/>
              <w:rPr>
                <w:rFonts w:ascii="Times New Roman" w:hAnsi="Times New Roman"/>
                <w:sz w:val="18"/>
                <w:szCs w:val="18"/>
              </w:rPr>
            </w:pPr>
          </w:p>
        </w:tc>
        <w:tc>
          <w:tcPr>
            <w:tcW w:w="803" w:type="dxa"/>
            <w:shd w:val="clear" w:color="000000" w:fill="FFFFFF"/>
            <w:vAlign w:val="center"/>
            <w:hideMark/>
          </w:tcPr>
          <w:p w14:paraId="085B9D89" w14:textId="77777777" w:rsidR="00626001" w:rsidRPr="00B0658A" w:rsidRDefault="00626001" w:rsidP="00004A41">
            <w:pPr>
              <w:spacing w:after="0" w:line="240" w:lineRule="auto"/>
              <w:jc w:val="center"/>
              <w:rPr>
                <w:rFonts w:ascii="Times New Roman" w:hAnsi="Times New Roman"/>
                <w:sz w:val="18"/>
                <w:szCs w:val="18"/>
              </w:rPr>
            </w:pPr>
          </w:p>
        </w:tc>
        <w:tc>
          <w:tcPr>
            <w:tcW w:w="804" w:type="dxa"/>
            <w:shd w:val="clear" w:color="000000" w:fill="FFFFFF"/>
            <w:vAlign w:val="center"/>
            <w:hideMark/>
          </w:tcPr>
          <w:p w14:paraId="3DB73F4D" w14:textId="77777777" w:rsidR="00626001" w:rsidRPr="00B0658A" w:rsidRDefault="00626001" w:rsidP="00004A41">
            <w:pPr>
              <w:spacing w:after="0" w:line="240" w:lineRule="auto"/>
              <w:jc w:val="center"/>
              <w:rPr>
                <w:rFonts w:ascii="Times New Roman" w:hAnsi="Times New Roman"/>
                <w:sz w:val="18"/>
                <w:szCs w:val="18"/>
              </w:rPr>
            </w:pPr>
          </w:p>
        </w:tc>
        <w:tc>
          <w:tcPr>
            <w:tcW w:w="1530" w:type="dxa"/>
            <w:shd w:val="clear" w:color="000000" w:fill="FFFFFF"/>
            <w:vAlign w:val="center"/>
          </w:tcPr>
          <w:p w14:paraId="3A043F18" w14:textId="77777777" w:rsidR="00626001" w:rsidRPr="00B0658A" w:rsidRDefault="00626001" w:rsidP="00004A41">
            <w:pPr>
              <w:spacing w:after="0" w:line="240" w:lineRule="auto"/>
              <w:jc w:val="center"/>
              <w:rPr>
                <w:rFonts w:ascii="Times New Roman" w:hAnsi="Times New Roman"/>
                <w:sz w:val="18"/>
                <w:szCs w:val="18"/>
              </w:rPr>
            </w:pPr>
          </w:p>
        </w:tc>
      </w:tr>
      <w:tr w:rsidR="00F52FED" w:rsidRPr="00B0658A" w14:paraId="33F6080F" w14:textId="77777777" w:rsidTr="000103BB">
        <w:trPr>
          <w:trHeight w:val="20"/>
        </w:trPr>
        <w:tc>
          <w:tcPr>
            <w:tcW w:w="578" w:type="dxa"/>
            <w:shd w:val="clear" w:color="000000" w:fill="FFFFFF"/>
            <w:vAlign w:val="center"/>
          </w:tcPr>
          <w:p w14:paraId="12531B73" w14:textId="77777777" w:rsidR="00626001" w:rsidRPr="00B0658A" w:rsidRDefault="00626001" w:rsidP="00004A41">
            <w:pPr>
              <w:spacing w:after="0" w:line="240" w:lineRule="auto"/>
              <w:jc w:val="center"/>
              <w:rPr>
                <w:rFonts w:ascii="Times New Roman" w:hAnsi="Times New Roman"/>
                <w:sz w:val="18"/>
                <w:szCs w:val="18"/>
                <w:lang w:val="en-US"/>
              </w:rPr>
            </w:pPr>
            <w:r w:rsidRPr="00B0658A">
              <w:rPr>
                <w:rFonts w:ascii="Times New Roman" w:hAnsi="Times New Roman"/>
                <w:sz w:val="18"/>
                <w:szCs w:val="18"/>
                <w:lang w:val="en-US"/>
              </w:rPr>
              <w:t>9.12</w:t>
            </w:r>
          </w:p>
        </w:tc>
        <w:tc>
          <w:tcPr>
            <w:tcW w:w="3812" w:type="dxa"/>
            <w:shd w:val="clear" w:color="auto" w:fill="auto"/>
            <w:vAlign w:val="center"/>
            <w:hideMark/>
          </w:tcPr>
          <w:p w14:paraId="1950D8C8" w14:textId="77777777" w:rsidR="00626001" w:rsidRPr="00B0658A" w:rsidRDefault="00626001" w:rsidP="00004A41">
            <w:pPr>
              <w:spacing w:after="0" w:line="240" w:lineRule="auto"/>
              <w:rPr>
                <w:rFonts w:ascii="Times New Roman" w:hAnsi="Times New Roman"/>
                <w:sz w:val="18"/>
                <w:szCs w:val="18"/>
              </w:rPr>
            </w:pPr>
            <w:r w:rsidRPr="00B0658A">
              <w:rPr>
                <w:rFonts w:ascii="Times New Roman" w:hAnsi="Times New Roman"/>
                <w:sz w:val="18"/>
                <w:szCs w:val="18"/>
              </w:rPr>
              <w:t>Средства управления процессами организации/ Средства электронной коммерции (e-commerce platform)</w:t>
            </w:r>
          </w:p>
        </w:tc>
        <w:tc>
          <w:tcPr>
            <w:tcW w:w="1842" w:type="dxa"/>
            <w:shd w:val="clear" w:color="000000" w:fill="FFFFFF"/>
            <w:hideMark/>
          </w:tcPr>
          <w:p w14:paraId="4D992781" w14:textId="77777777" w:rsidR="00626001" w:rsidRPr="00B0658A" w:rsidRDefault="00626001" w:rsidP="00004A41">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79" w:type="dxa"/>
            <w:shd w:val="clear" w:color="000000" w:fill="FFFFFF"/>
            <w:vAlign w:val="center"/>
          </w:tcPr>
          <w:p w14:paraId="078D5835"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000000" w:fill="FFFFFF"/>
            <w:vAlign w:val="center"/>
            <w:hideMark/>
          </w:tcPr>
          <w:p w14:paraId="547DA2A6"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000000" w:fill="FFFFFF"/>
            <w:vAlign w:val="center"/>
            <w:hideMark/>
          </w:tcPr>
          <w:p w14:paraId="72D59963"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000000" w:fill="FFFFFF"/>
            <w:vAlign w:val="center"/>
            <w:hideMark/>
          </w:tcPr>
          <w:p w14:paraId="076A5810" w14:textId="77777777" w:rsidR="00626001" w:rsidRPr="00B0658A" w:rsidRDefault="00626001" w:rsidP="00004A41">
            <w:pPr>
              <w:spacing w:after="0" w:line="240" w:lineRule="auto"/>
              <w:jc w:val="center"/>
              <w:rPr>
                <w:rFonts w:ascii="Times New Roman" w:hAnsi="Times New Roman"/>
                <w:sz w:val="18"/>
                <w:szCs w:val="18"/>
              </w:rPr>
            </w:pPr>
          </w:p>
        </w:tc>
        <w:tc>
          <w:tcPr>
            <w:tcW w:w="992" w:type="dxa"/>
            <w:shd w:val="clear" w:color="000000" w:fill="FFFFFF"/>
            <w:vAlign w:val="center"/>
          </w:tcPr>
          <w:p w14:paraId="15C12346" w14:textId="77777777" w:rsidR="00626001" w:rsidRPr="00B0658A" w:rsidRDefault="00626001" w:rsidP="00004A41">
            <w:pPr>
              <w:spacing w:after="0" w:line="240" w:lineRule="auto"/>
              <w:jc w:val="center"/>
              <w:rPr>
                <w:rFonts w:ascii="Times New Roman" w:hAnsi="Times New Roman"/>
                <w:sz w:val="18"/>
                <w:szCs w:val="18"/>
              </w:rPr>
            </w:pPr>
          </w:p>
        </w:tc>
        <w:tc>
          <w:tcPr>
            <w:tcW w:w="803" w:type="dxa"/>
            <w:shd w:val="clear" w:color="000000" w:fill="FFFFFF"/>
            <w:vAlign w:val="center"/>
            <w:hideMark/>
          </w:tcPr>
          <w:p w14:paraId="2D72F685" w14:textId="77777777" w:rsidR="00626001" w:rsidRPr="00B0658A" w:rsidRDefault="00626001" w:rsidP="00004A41">
            <w:pPr>
              <w:spacing w:after="0" w:line="240" w:lineRule="auto"/>
              <w:jc w:val="center"/>
              <w:rPr>
                <w:rFonts w:ascii="Times New Roman" w:hAnsi="Times New Roman"/>
                <w:sz w:val="18"/>
                <w:szCs w:val="18"/>
              </w:rPr>
            </w:pPr>
          </w:p>
        </w:tc>
        <w:tc>
          <w:tcPr>
            <w:tcW w:w="803" w:type="dxa"/>
            <w:shd w:val="clear" w:color="000000" w:fill="FFFFFF"/>
            <w:vAlign w:val="center"/>
            <w:hideMark/>
          </w:tcPr>
          <w:p w14:paraId="2E6807BC" w14:textId="77777777" w:rsidR="00626001" w:rsidRPr="00B0658A" w:rsidRDefault="00626001" w:rsidP="00004A41">
            <w:pPr>
              <w:spacing w:after="0" w:line="240" w:lineRule="auto"/>
              <w:jc w:val="center"/>
              <w:rPr>
                <w:rFonts w:ascii="Times New Roman" w:hAnsi="Times New Roman"/>
                <w:sz w:val="18"/>
                <w:szCs w:val="18"/>
              </w:rPr>
            </w:pPr>
          </w:p>
        </w:tc>
        <w:tc>
          <w:tcPr>
            <w:tcW w:w="804" w:type="dxa"/>
            <w:shd w:val="clear" w:color="000000" w:fill="FFFFFF"/>
            <w:vAlign w:val="center"/>
            <w:hideMark/>
          </w:tcPr>
          <w:p w14:paraId="67FD92B5" w14:textId="77777777" w:rsidR="00626001" w:rsidRPr="00B0658A" w:rsidRDefault="00626001" w:rsidP="00004A41">
            <w:pPr>
              <w:spacing w:after="0" w:line="240" w:lineRule="auto"/>
              <w:jc w:val="center"/>
              <w:rPr>
                <w:rFonts w:ascii="Times New Roman" w:hAnsi="Times New Roman"/>
                <w:sz w:val="18"/>
                <w:szCs w:val="18"/>
              </w:rPr>
            </w:pPr>
          </w:p>
        </w:tc>
        <w:tc>
          <w:tcPr>
            <w:tcW w:w="1530" w:type="dxa"/>
            <w:shd w:val="clear" w:color="000000" w:fill="FFFFFF"/>
            <w:vAlign w:val="center"/>
          </w:tcPr>
          <w:p w14:paraId="05F21AAD" w14:textId="77777777" w:rsidR="00626001" w:rsidRPr="00B0658A" w:rsidRDefault="00626001" w:rsidP="00004A41">
            <w:pPr>
              <w:spacing w:after="0" w:line="240" w:lineRule="auto"/>
              <w:jc w:val="center"/>
              <w:rPr>
                <w:rFonts w:ascii="Times New Roman" w:hAnsi="Times New Roman"/>
                <w:sz w:val="18"/>
                <w:szCs w:val="18"/>
              </w:rPr>
            </w:pPr>
          </w:p>
        </w:tc>
      </w:tr>
      <w:tr w:rsidR="00F52FED" w:rsidRPr="00B0658A" w14:paraId="5369661A" w14:textId="77777777" w:rsidTr="000103BB">
        <w:trPr>
          <w:trHeight w:val="20"/>
        </w:trPr>
        <w:tc>
          <w:tcPr>
            <w:tcW w:w="578" w:type="dxa"/>
            <w:shd w:val="clear" w:color="000000" w:fill="FFFFFF"/>
            <w:vAlign w:val="center"/>
          </w:tcPr>
          <w:p w14:paraId="009FFD8C" w14:textId="77777777" w:rsidR="00626001" w:rsidRPr="00B0658A" w:rsidRDefault="00626001" w:rsidP="00004A41">
            <w:pPr>
              <w:spacing w:after="0" w:line="240" w:lineRule="auto"/>
              <w:jc w:val="center"/>
              <w:rPr>
                <w:rFonts w:ascii="Times New Roman" w:hAnsi="Times New Roman"/>
                <w:sz w:val="18"/>
                <w:szCs w:val="18"/>
                <w:lang w:val="en-US"/>
              </w:rPr>
            </w:pPr>
            <w:r w:rsidRPr="00B0658A">
              <w:rPr>
                <w:rFonts w:ascii="Times New Roman" w:hAnsi="Times New Roman"/>
                <w:sz w:val="18"/>
                <w:szCs w:val="18"/>
                <w:lang w:val="en-US"/>
              </w:rPr>
              <w:t>9.13</w:t>
            </w:r>
          </w:p>
        </w:tc>
        <w:tc>
          <w:tcPr>
            <w:tcW w:w="3812" w:type="dxa"/>
            <w:shd w:val="clear" w:color="auto" w:fill="auto"/>
            <w:vAlign w:val="center"/>
            <w:hideMark/>
          </w:tcPr>
          <w:p w14:paraId="14CE8C06" w14:textId="77777777" w:rsidR="00626001" w:rsidRPr="00B0658A" w:rsidRDefault="00626001" w:rsidP="00004A41">
            <w:pPr>
              <w:spacing w:after="0" w:line="240" w:lineRule="auto"/>
              <w:rPr>
                <w:rFonts w:ascii="Times New Roman" w:hAnsi="Times New Roman"/>
                <w:sz w:val="18"/>
                <w:szCs w:val="18"/>
              </w:rPr>
            </w:pPr>
            <w:r w:rsidRPr="00B0658A">
              <w:rPr>
                <w:rFonts w:ascii="Times New Roman" w:hAnsi="Times New Roman"/>
                <w:sz w:val="18"/>
                <w:szCs w:val="18"/>
              </w:rPr>
              <w:t>Средства управления процессами организации/ Средства управления складом и цепочками поставок (WMS, SCM)</w:t>
            </w:r>
          </w:p>
        </w:tc>
        <w:tc>
          <w:tcPr>
            <w:tcW w:w="1842" w:type="dxa"/>
            <w:shd w:val="clear" w:color="000000" w:fill="FFFFFF"/>
            <w:hideMark/>
          </w:tcPr>
          <w:p w14:paraId="52DE8371" w14:textId="77777777" w:rsidR="00626001" w:rsidRPr="00B0658A" w:rsidRDefault="00626001" w:rsidP="00004A41">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79" w:type="dxa"/>
            <w:shd w:val="clear" w:color="000000" w:fill="FFFFFF"/>
            <w:vAlign w:val="center"/>
          </w:tcPr>
          <w:p w14:paraId="3D657369"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000000" w:fill="FFFFFF"/>
            <w:vAlign w:val="center"/>
            <w:hideMark/>
          </w:tcPr>
          <w:p w14:paraId="78094DC5"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000000" w:fill="FFFFFF"/>
            <w:vAlign w:val="center"/>
            <w:hideMark/>
          </w:tcPr>
          <w:p w14:paraId="17F97B7A"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000000" w:fill="FFFFFF"/>
            <w:vAlign w:val="center"/>
            <w:hideMark/>
          </w:tcPr>
          <w:p w14:paraId="5902A301" w14:textId="77777777" w:rsidR="00626001" w:rsidRPr="00B0658A" w:rsidRDefault="00626001" w:rsidP="00004A41">
            <w:pPr>
              <w:spacing w:after="0" w:line="240" w:lineRule="auto"/>
              <w:jc w:val="center"/>
              <w:rPr>
                <w:rFonts w:ascii="Times New Roman" w:hAnsi="Times New Roman"/>
                <w:sz w:val="18"/>
                <w:szCs w:val="18"/>
              </w:rPr>
            </w:pPr>
          </w:p>
        </w:tc>
        <w:tc>
          <w:tcPr>
            <w:tcW w:w="992" w:type="dxa"/>
            <w:shd w:val="clear" w:color="000000" w:fill="FFFFFF"/>
            <w:vAlign w:val="center"/>
          </w:tcPr>
          <w:p w14:paraId="5534333B" w14:textId="77777777" w:rsidR="00626001" w:rsidRPr="00B0658A" w:rsidRDefault="00626001" w:rsidP="00004A41">
            <w:pPr>
              <w:spacing w:after="0" w:line="240" w:lineRule="auto"/>
              <w:jc w:val="center"/>
              <w:rPr>
                <w:rFonts w:ascii="Times New Roman" w:hAnsi="Times New Roman"/>
                <w:sz w:val="18"/>
                <w:szCs w:val="18"/>
              </w:rPr>
            </w:pPr>
          </w:p>
        </w:tc>
        <w:tc>
          <w:tcPr>
            <w:tcW w:w="803" w:type="dxa"/>
            <w:shd w:val="clear" w:color="000000" w:fill="FFFFFF"/>
            <w:vAlign w:val="center"/>
            <w:hideMark/>
          </w:tcPr>
          <w:p w14:paraId="4E9E3E6B" w14:textId="77777777" w:rsidR="00626001" w:rsidRPr="00B0658A" w:rsidRDefault="00626001" w:rsidP="00004A41">
            <w:pPr>
              <w:spacing w:after="0" w:line="240" w:lineRule="auto"/>
              <w:jc w:val="center"/>
              <w:rPr>
                <w:rFonts w:ascii="Times New Roman" w:hAnsi="Times New Roman"/>
                <w:sz w:val="18"/>
                <w:szCs w:val="18"/>
              </w:rPr>
            </w:pPr>
          </w:p>
        </w:tc>
        <w:tc>
          <w:tcPr>
            <w:tcW w:w="803" w:type="dxa"/>
            <w:shd w:val="clear" w:color="000000" w:fill="FFFFFF"/>
            <w:vAlign w:val="center"/>
            <w:hideMark/>
          </w:tcPr>
          <w:p w14:paraId="27CD5C80" w14:textId="77777777" w:rsidR="00626001" w:rsidRPr="00B0658A" w:rsidRDefault="00626001" w:rsidP="00004A41">
            <w:pPr>
              <w:spacing w:after="0" w:line="240" w:lineRule="auto"/>
              <w:jc w:val="center"/>
              <w:rPr>
                <w:rFonts w:ascii="Times New Roman" w:hAnsi="Times New Roman"/>
                <w:sz w:val="18"/>
                <w:szCs w:val="18"/>
              </w:rPr>
            </w:pPr>
          </w:p>
        </w:tc>
        <w:tc>
          <w:tcPr>
            <w:tcW w:w="804" w:type="dxa"/>
            <w:shd w:val="clear" w:color="000000" w:fill="FFFFFF"/>
            <w:vAlign w:val="center"/>
            <w:hideMark/>
          </w:tcPr>
          <w:p w14:paraId="0C6254DF" w14:textId="77777777" w:rsidR="00626001" w:rsidRPr="00B0658A" w:rsidRDefault="00626001" w:rsidP="00004A41">
            <w:pPr>
              <w:spacing w:after="0" w:line="240" w:lineRule="auto"/>
              <w:jc w:val="center"/>
              <w:rPr>
                <w:rFonts w:ascii="Times New Roman" w:hAnsi="Times New Roman"/>
                <w:sz w:val="18"/>
                <w:szCs w:val="18"/>
              </w:rPr>
            </w:pPr>
          </w:p>
        </w:tc>
        <w:tc>
          <w:tcPr>
            <w:tcW w:w="1530" w:type="dxa"/>
            <w:shd w:val="clear" w:color="000000" w:fill="FFFFFF"/>
            <w:vAlign w:val="center"/>
          </w:tcPr>
          <w:p w14:paraId="335EB598" w14:textId="77777777" w:rsidR="00626001" w:rsidRPr="00B0658A" w:rsidRDefault="00626001" w:rsidP="00004A41">
            <w:pPr>
              <w:spacing w:after="0" w:line="240" w:lineRule="auto"/>
              <w:jc w:val="center"/>
              <w:rPr>
                <w:rFonts w:ascii="Times New Roman" w:hAnsi="Times New Roman"/>
                <w:sz w:val="18"/>
                <w:szCs w:val="18"/>
              </w:rPr>
            </w:pPr>
          </w:p>
        </w:tc>
      </w:tr>
      <w:tr w:rsidR="00F52FED" w:rsidRPr="00B0658A" w14:paraId="292003DA" w14:textId="77777777" w:rsidTr="000103BB">
        <w:trPr>
          <w:trHeight w:val="20"/>
        </w:trPr>
        <w:tc>
          <w:tcPr>
            <w:tcW w:w="578" w:type="dxa"/>
            <w:shd w:val="clear" w:color="000000" w:fill="FFFFFF"/>
            <w:vAlign w:val="center"/>
          </w:tcPr>
          <w:p w14:paraId="0D7EE424" w14:textId="77777777" w:rsidR="00626001" w:rsidRPr="00B0658A" w:rsidRDefault="00626001" w:rsidP="00004A41">
            <w:pPr>
              <w:spacing w:after="0" w:line="240" w:lineRule="auto"/>
              <w:jc w:val="center"/>
              <w:rPr>
                <w:rFonts w:ascii="Times New Roman" w:hAnsi="Times New Roman"/>
                <w:sz w:val="18"/>
                <w:szCs w:val="18"/>
                <w:lang w:val="en-US"/>
              </w:rPr>
            </w:pPr>
            <w:r w:rsidRPr="00B0658A">
              <w:rPr>
                <w:rFonts w:ascii="Times New Roman" w:hAnsi="Times New Roman"/>
                <w:sz w:val="18"/>
                <w:szCs w:val="18"/>
                <w:lang w:val="en-US"/>
              </w:rPr>
              <w:t>9.14</w:t>
            </w:r>
          </w:p>
        </w:tc>
        <w:tc>
          <w:tcPr>
            <w:tcW w:w="3812" w:type="dxa"/>
            <w:shd w:val="clear" w:color="auto" w:fill="auto"/>
            <w:vAlign w:val="center"/>
            <w:hideMark/>
          </w:tcPr>
          <w:p w14:paraId="5802F3BF" w14:textId="77777777" w:rsidR="00626001" w:rsidRPr="00B0658A" w:rsidRDefault="00626001" w:rsidP="00004A41">
            <w:pPr>
              <w:spacing w:after="0" w:line="240" w:lineRule="auto"/>
              <w:rPr>
                <w:rFonts w:ascii="Times New Roman" w:hAnsi="Times New Roman"/>
                <w:sz w:val="18"/>
                <w:szCs w:val="18"/>
              </w:rPr>
            </w:pPr>
            <w:r w:rsidRPr="00B0658A">
              <w:rPr>
                <w:rFonts w:ascii="Times New Roman" w:hAnsi="Times New Roman"/>
                <w:sz w:val="18"/>
                <w:szCs w:val="18"/>
              </w:rPr>
              <w:t>Средства управления процессами организации/ Средства централизованного управления конечными устройствами</w:t>
            </w:r>
          </w:p>
        </w:tc>
        <w:tc>
          <w:tcPr>
            <w:tcW w:w="1842" w:type="dxa"/>
            <w:shd w:val="clear" w:color="000000" w:fill="FFFFFF"/>
            <w:hideMark/>
          </w:tcPr>
          <w:p w14:paraId="044DC8D9" w14:textId="77777777" w:rsidR="00626001" w:rsidRPr="00B0658A" w:rsidRDefault="00626001" w:rsidP="00004A41">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79" w:type="dxa"/>
            <w:shd w:val="clear" w:color="000000" w:fill="FFFFFF"/>
            <w:vAlign w:val="center"/>
          </w:tcPr>
          <w:p w14:paraId="371ED3DF"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000000" w:fill="FFFFFF"/>
            <w:vAlign w:val="center"/>
            <w:hideMark/>
          </w:tcPr>
          <w:p w14:paraId="34B2DDD7"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000000" w:fill="FFFFFF"/>
            <w:vAlign w:val="center"/>
            <w:hideMark/>
          </w:tcPr>
          <w:p w14:paraId="4CF5540D"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000000" w:fill="FFFFFF"/>
            <w:vAlign w:val="center"/>
            <w:hideMark/>
          </w:tcPr>
          <w:p w14:paraId="7AA6537B" w14:textId="77777777" w:rsidR="00626001" w:rsidRPr="00B0658A" w:rsidRDefault="00626001" w:rsidP="00004A41">
            <w:pPr>
              <w:spacing w:after="0" w:line="240" w:lineRule="auto"/>
              <w:jc w:val="center"/>
              <w:rPr>
                <w:rFonts w:ascii="Times New Roman" w:hAnsi="Times New Roman"/>
                <w:sz w:val="18"/>
                <w:szCs w:val="18"/>
              </w:rPr>
            </w:pPr>
          </w:p>
        </w:tc>
        <w:tc>
          <w:tcPr>
            <w:tcW w:w="992" w:type="dxa"/>
            <w:shd w:val="clear" w:color="000000" w:fill="FFFFFF"/>
            <w:vAlign w:val="center"/>
          </w:tcPr>
          <w:p w14:paraId="59DD90F0" w14:textId="77777777" w:rsidR="00626001" w:rsidRPr="00B0658A" w:rsidRDefault="00626001" w:rsidP="00004A41">
            <w:pPr>
              <w:spacing w:after="0" w:line="240" w:lineRule="auto"/>
              <w:jc w:val="center"/>
              <w:rPr>
                <w:rFonts w:ascii="Times New Roman" w:hAnsi="Times New Roman"/>
                <w:sz w:val="18"/>
                <w:szCs w:val="18"/>
              </w:rPr>
            </w:pPr>
          </w:p>
        </w:tc>
        <w:tc>
          <w:tcPr>
            <w:tcW w:w="803" w:type="dxa"/>
            <w:shd w:val="clear" w:color="000000" w:fill="FFFFFF"/>
            <w:vAlign w:val="center"/>
            <w:hideMark/>
          </w:tcPr>
          <w:p w14:paraId="240E3FC0" w14:textId="77777777" w:rsidR="00626001" w:rsidRPr="00B0658A" w:rsidRDefault="00626001" w:rsidP="00004A41">
            <w:pPr>
              <w:spacing w:after="0" w:line="240" w:lineRule="auto"/>
              <w:jc w:val="center"/>
              <w:rPr>
                <w:rFonts w:ascii="Times New Roman" w:hAnsi="Times New Roman"/>
                <w:sz w:val="18"/>
                <w:szCs w:val="18"/>
              </w:rPr>
            </w:pPr>
          </w:p>
        </w:tc>
        <w:tc>
          <w:tcPr>
            <w:tcW w:w="803" w:type="dxa"/>
            <w:shd w:val="clear" w:color="000000" w:fill="FFFFFF"/>
            <w:vAlign w:val="center"/>
            <w:hideMark/>
          </w:tcPr>
          <w:p w14:paraId="51B06631" w14:textId="77777777" w:rsidR="00626001" w:rsidRPr="00B0658A" w:rsidRDefault="00626001" w:rsidP="00004A41">
            <w:pPr>
              <w:spacing w:after="0" w:line="240" w:lineRule="auto"/>
              <w:jc w:val="center"/>
              <w:rPr>
                <w:rFonts w:ascii="Times New Roman" w:hAnsi="Times New Roman"/>
                <w:sz w:val="18"/>
                <w:szCs w:val="18"/>
              </w:rPr>
            </w:pPr>
          </w:p>
        </w:tc>
        <w:tc>
          <w:tcPr>
            <w:tcW w:w="804" w:type="dxa"/>
            <w:shd w:val="clear" w:color="000000" w:fill="FFFFFF"/>
            <w:vAlign w:val="center"/>
            <w:hideMark/>
          </w:tcPr>
          <w:p w14:paraId="774D3D8A" w14:textId="77777777" w:rsidR="00626001" w:rsidRPr="00B0658A" w:rsidRDefault="00626001" w:rsidP="00004A41">
            <w:pPr>
              <w:spacing w:after="0" w:line="240" w:lineRule="auto"/>
              <w:jc w:val="center"/>
              <w:rPr>
                <w:rFonts w:ascii="Times New Roman" w:hAnsi="Times New Roman"/>
                <w:sz w:val="18"/>
                <w:szCs w:val="18"/>
              </w:rPr>
            </w:pPr>
          </w:p>
        </w:tc>
        <w:tc>
          <w:tcPr>
            <w:tcW w:w="1530" w:type="dxa"/>
            <w:shd w:val="clear" w:color="000000" w:fill="FFFFFF"/>
            <w:vAlign w:val="center"/>
          </w:tcPr>
          <w:p w14:paraId="693ECBDE" w14:textId="77777777" w:rsidR="00626001" w:rsidRPr="00B0658A" w:rsidRDefault="00626001" w:rsidP="00004A41">
            <w:pPr>
              <w:spacing w:after="0" w:line="240" w:lineRule="auto"/>
              <w:jc w:val="center"/>
              <w:rPr>
                <w:rFonts w:ascii="Times New Roman" w:hAnsi="Times New Roman"/>
                <w:sz w:val="18"/>
                <w:szCs w:val="18"/>
              </w:rPr>
            </w:pPr>
          </w:p>
        </w:tc>
      </w:tr>
      <w:tr w:rsidR="00F52FED" w:rsidRPr="00B0658A" w14:paraId="36FB61CA" w14:textId="77777777" w:rsidTr="000103BB">
        <w:trPr>
          <w:trHeight w:val="20"/>
        </w:trPr>
        <w:tc>
          <w:tcPr>
            <w:tcW w:w="578" w:type="dxa"/>
            <w:shd w:val="clear" w:color="000000" w:fill="FFFFFF"/>
            <w:vAlign w:val="center"/>
          </w:tcPr>
          <w:p w14:paraId="4C4093DE" w14:textId="77777777" w:rsidR="00626001" w:rsidRPr="00B0658A" w:rsidRDefault="00626001" w:rsidP="00004A41">
            <w:pPr>
              <w:spacing w:after="0" w:line="240" w:lineRule="auto"/>
              <w:jc w:val="center"/>
              <w:rPr>
                <w:rFonts w:ascii="Times New Roman" w:hAnsi="Times New Roman"/>
                <w:sz w:val="18"/>
                <w:szCs w:val="18"/>
              </w:rPr>
            </w:pPr>
            <w:r w:rsidRPr="00B0658A">
              <w:rPr>
                <w:rFonts w:ascii="Times New Roman" w:hAnsi="Times New Roman"/>
                <w:sz w:val="18"/>
                <w:szCs w:val="18"/>
              </w:rPr>
              <w:t>10.1</w:t>
            </w:r>
          </w:p>
        </w:tc>
        <w:tc>
          <w:tcPr>
            <w:tcW w:w="3812" w:type="dxa"/>
            <w:shd w:val="clear" w:color="auto" w:fill="auto"/>
            <w:vAlign w:val="center"/>
            <w:hideMark/>
          </w:tcPr>
          <w:p w14:paraId="64758509" w14:textId="77777777" w:rsidR="00626001" w:rsidRPr="00B0658A" w:rsidRDefault="00626001" w:rsidP="00004A41">
            <w:pPr>
              <w:spacing w:after="0" w:line="240" w:lineRule="auto"/>
              <w:rPr>
                <w:rFonts w:ascii="Times New Roman" w:hAnsi="Times New Roman"/>
                <w:sz w:val="18"/>
                <w:szCs w:val="18"/>
              </w:rPr>
            </w:pPr>
            <w:r w:rsidRPr="00B0658A">
              <w:rPr>
                <w:rFonts w:ascii="Times New Roman" w:hAnsi="Times New Roman"/>
                <w:sz w:val="18"/>
                <w:szCs w:val="18"/>
              </w:rPr>
              <w:t>Средства обработки и визуализации массивов данных/ Средства обработки Больших Данных (BigData)</w:t>
            </w:r>
          </w:p>
        </w:tc>
        <w:tc>
          <w:tcPr>
            <w:tcW w:w="1842" w:type="dxa"/>
            <w:shd w:val="clear" w:color="000000" w:fill="FFFFFF"/>
            <w:hideMark/>
          </w:tcPr>
          <w:p w14:paraId="0B7D9EDD" w14:textId="77777777" w:rsidR="00626001" w:rsidRPr="00B0658A" w:rsidRDefault="00626001" w:rsidP="00004A41">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79" w:type="dxa"/>
            <w:shd w:val="clear" w:color="000000" w:fill="FFFFFF"/>
            <w:vAlign w:val="center"/>
          </w:tcPr>
          <w:p w14:paraId="6D4429AC"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000000" w:fill="FFFFFF"/>
            <w:vAlign w:val="center"/>
            <w:hideMark/>
          </w:tcPr>
          <w:p w14:paraId="6AFF9DD3"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000000" w:fill="FFFFFF"/>
            <w:vAlign w:val="center"/>
            <w:hideMark/>
          </w:tcPr>
          <w:p w14:paraId="6B5688AF"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000000" w:fill="FFFFFF"/>
            <w:vAlign w:val="center"/>
            <w:hideMark/>
          </w:tcPr>
          <w:p w14:paraId="71C6841A" w14:textId="77777777" w:rsidR="00626001" w:rsidRPr="00B0658A" w:rsidRDefault="00626001" w:rsidP="00004A41">
            <w:pPr>
              <w:spacing w:after="0" w:line="240" w:lineRule="auto"/>
              <w:jc w:val="center"/>
              <w:rPr>
                <w:rFonts w:ascii="Times New Roman" w:hAnsi="Times New Roman"/>
                <w:sz w:val="18"/>
                <w:szCs w:val="18"/>
              </w:rPr>
            </w:pPr>
          </w:p>
        </w:tc>
        <w:tc>
          <w:tcPr>
            <w:tcW w:w="992" w:type="dxa"/>
            <w:shd w:val="clear" w:color="000000" w:fill="FFFFFF"/>
            <w:vAlign w:val="center"/>
          </w:tcPr>
          <w:p w14:paraId="67C6D440" w14:textId="77777777" w:rsidR="00626001" w:rsidRPr="00B0658A" w:rsidRDefault="00626001" w:rsidP="00004A41">
            <w:pPr>
              <w:spacing w:after="0" w:line="240" w:lineRule="auto"/>
              <w:jc w:val="center"/>
              <w:rPr>
                <w:rFonts w:ascii="Times New Roman" w:hAnsi="Times New Roman"/>
                <w:sz w:val="18"/>
                <w:szCs w:val="18"/>
              </w:rPr>
            </w:pPr>
          </w:p>
        </w:tc>
        <w:tc>
          <w:tcPr>
            <w:tcW w:w="803" w:type="dxa"/>
            <w:shd w:val="clear" w:color="000000" w:fill="FFFFFF"/>
            <w:vAlign w:val="center"/>
            <w:hideMark/>
          </w:tcPr>
          <w:p w14:paraId="51C9905D" w14:textId="77777777" w:rsidR="00626001" w:rsidRPr="00B0658A" w:rsidRDefault="00626001" w:rsidP="00004A41">
            <w:pPr>
              <w:spacing w:after="0" w:line="240" w:lineRule="auto"/>
              <w:jc w:val="center"/>
              <w:rPr>
                <w:rFonts w:ascii="Times New Roman" w:hAnsi="Times New Roman"/>
                <w:sz w:val="18"/>
                <w:szCs w:val="18"/>
              </w:rPr>
            </w:pPr>
          </w:p>
        </w:tc>
        <w:tc>
          <w:tcPr>
            <w:tcW w:w="803" w:type="dxa"/>
            <w:shd w:val="clear" w:color="000000" w:fill="FFFFFF"/>
            <w:vAlign w:val="center"/>
            <w:hideMark/>
          </w:tcPr>
          <w:p w14:paraId="3CB415F4" w14:textId="77777777" w:rsidR="00626001" w:rsidRPr="00B0658A" w:rsidRDefault="00626001" w:rsidP="00004A41">
            <w:pPr>
              <w:spacing w:after="0" w:line="240" w:lineRule="auto"/>
              <w:jc w:val="center"/>
              <w:rPr>
                <w:rFonts w:ascii="Times New Roman" w:hAnsi="Times New Roman"/>
                <w:sz w:val="18"/>
                <w:szCs w:val="18"/>
              </w:rPr>
            </w:pPr>
          </w:p>
        </w:tc>
        <w:tc>
          <w:tcPr>
            <w:tcW w:w="804" w:type="dxa"/>
            <w:shd w:val="clear" w:color="000000" w:fill="FFFFFF"/>
            <w:vAlign w:val="center"/>
            <w:hideMark/>
          </w:tcPr>
          <w:p w14:paraId="63BB0722" w14:textId="77777777" w:rsidR="00626001" w:rsidRPr="00B0658A" w:rsidRDefault="00626001" w:rsidP="00004A41">
            <w:pPr>
              <w:spacing w:after="0" w:line="240" w:lineRule="auto"/>
              <w:jc w:val="center"/>
              <w:rPr>
                <w:rFonts w:ascii="Times New Roman" w:hAnsi="Times New Roman"/>
                <w:sz w:val="18"/>
                <w:szCs w:val="18"/>
              </w:rPr>
            </w:pPr>
          </w:p>
        </w:tc>
        <w:tc>
          <w:tcPr>
            <w:tcW w:w="1530" w:type="dxa"/>
            <w:shd w:val="clear" w:color="000000" w:fill="FFFFFF"/>
            <w:vAlign w:val="center"/>
          </w:tcPr>
          <w:p w14:paraId="190D86DC" w14:textId="77777777" w:rsidR="00626001" w:rsidRPr="00B0658A" w:rsidRDefault="00626001" w:rsidP="00004A41">
            <w:pPr>
              <w:spacing w:after="0" w:line="240" w:lineRule="auto"/>
              <w:jc w:val="center"/>
              <w:rPr>
                <w:rFonts w:ascii="Times New Roman" w:hAnsi="Times New Roman"/>
                <w:sz w:val="18"/>
                <w:szCs w:val="18"/>
              </w:rPr>
            </w:pPr>
          </w:p>
        </w:tc>
      </w:tr>
      <w:tr w:rsidR="00F52FED" w:rsidRPr="00B0658A" w14:paraId="57F1C0AB" w14:textId="77777777" w:rsidTr="000103BB">
        <w:trPr>
          <w:trHeight w:val="20"/>
        </w:trPr>
        <w:tc>
          <w:tcPr>
            <w:tcW w:w="578" w:type="dxa"/>
            <w:shd w:val="clear" w:color="000000" w:fill="FFFFFF"/>
            <w:vAlign w:val="center"/>
          </w:tcPr>
          <w:p w14:paraId="64E3613D" w14:textId="77777777" w:rsidR="00626001" w:rsidRPr="00B0658A" w:rsidRDefault="00626001" w:rsidP="00004A41">
            <w:pPr>
              <w:spacing w:after="0" w:line="240" w:lineRule="auto"/>
              <w:jc w:val="center"/>
              <w:rPr>
                <w:rFonts w:ascii="Times New Roman" w:hAnsi="Times New Roman"/>
                <w:sz w:val="18"/>
                <w:szCs w:val="18"/>
              </w:rPr>
            </w:pPr>
            <w:r w:rsidRPr="00B0658A">
              <w:rPr>
                <w:rFonts w:ascii="Times New Roman" w:hAnsi="Times New Roman"/>
                <w:sz w:val="18"/>
                <w:szCs w:val="18"/>
              </w:rPr>
              <w:t>10.2</w:t>
            </w:r>
          </w:p>
        </w:tc>
        <w:tc>
          <w:tcPr>
            <w:tcW w:w="3812" w:type="dxa"/>
            <w:shd w:val="clear" w:color="auto" w:fill="auto"/>
            <w:vAlign w:val="center"/>
            <w:hideMark/>
          </w:tcPr>
          <w:p w14:paraId="02165FB8" w14:textId="77777777" w:rsidR="00626001" w:rsidRPr="00B0658A" w:rsidRDefault="00626001" w:rsidP="00004A41">
            <w:pPr>
              <w:spacing w:after="0" w:line="240" w:lineRule="auto"/>
              <w:rPr>
                <w:rFonts w:ascii="Times New Roman" w:hAnsi="Times New Roman"/>
                <w:sz w:val="18"/>
                <w:szCs w:val="18"/>
              </w:rPr>
            </w:pPr>
            <w:r w:rsidRPr="00B0658A">
              <w:rPr>
                <w:rFonts w:ascii="Times New Roman" w:hAnsi="Times New Roman"/>
                <w:sz w:val="18"/>
                <w:szCs w:val="18"/>
              </w:rPr>
              <w:t>Средства обработки и визуализации массивов данных/ Средства обработки и анализа геологических и геофизических данных</w:t>
            </w:r>
          </w:p>
        </w:tc>
        <w:tc>
          <w:tcPr>
            <w:tcW w:w="1842" w:type="dxa"/>
            <w:shd w:val="clear" w:color="000000" w:fill="FFFFFF"/>
            <w:hideMark/>
          </w:tcPr>
          <w:p w14:paraId="2F62C14E" w14:textId="77777777" w:rsidR="00626001" w:rsidRPr="00B0658A" w:rsidRDefault="00626001" w:rsidP="00004A41">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79" w:type="dxa"/>
            <w:shd w:val="clear" w:color="000000" w:fill="FFFFFF"/>
            <w:vAlign w:val="center"/>
          </w:tcPr>
          <w:p w14:paraId="7A9E8E4C"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000000" w:fill="FFFFFF"/>
            <w:vAlign w:val="center"/>
            <w:hideMark/>
          </w:tcPr>
          <w:p w14:paraId="2FC5FCF6"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000000" w:fill="FFFFFF"/>
            <w:vAlign w:val="center"/>
            <w:hideMark/>
          </w:tcPr>
          <w:p w14:paraId="59862CE0"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000000" w:fill="FFFFFF"/>
            <w:vAlign w:val="center"/>
            <w:hideMark/>
          </w:tcPr>
          <w:p w14:paraId="0B748078" w14:textId="77777777" w:rsidR="00626001" w:rsidRPr="00B0658A" w:rsidRDefault="00626001" w:rsidP="00004A41">
            <w:pPr>
              <w:spacing w:after="0" w:line="240" w:lineRule="auto"/>
              <w:jc w:val="center"/>
              <w:rPr>
                <w:rFonts w:ascii="Times New Roman" w:hAnsi="Times New Roman"/>
                <w:sz w:val="18"/>
                <w:szCs w:val="18"/>
              </w:rPr>
            </w:pPr>
          </w:p>
        </w:tc>
        <w:tc>
          <w:tcPr>
            <w:tcW w:w="992" w:type="dxa"/>
            <w:shd w:val="clear" w:color="000000" w:fill="FFFFFF"/>
            <w:vAlign w:val="center"/>
          </w:tcPr>
          <w:p w14:paraId="0F712F13" w14:textId="77777777" w:rsidR="00626001" w:rsidRPr="00B0658A" w:rsidRDefault="00626001" w:rsidP="00004A41">
            <w:pPr>
              <w:spacing w:after="0" w:line="240" w:lineRule="auto"/>
              <w:jc w:val="center"/>
              <w:rPr>
                <w:rFonts w:ascii="Times New Roman" w:hAnsi="Times New Roman"/>
                <w:sz w:val="18"/>
                <w:szCs w:val="18"/>
              </w:rPr>
            </w:pPr>
          </w:p>
        </w:tc>
        <w:tc>
          <w:tcPr>
            <w:tcW w:w="803" w:type="dxa"/>
            <w:shd w:val="clear" w:color="000000" w:fill="FFFFFF"/>
            <w:vAlign w:val="center"/>
            <w:hideMark/>
          </w:tcPr>
          <w:p w14:paraId="04279737" w14:textId="77777777" w:rsidR="00626001" w:rsidRPr="00B0658A" w:rsidRDefault="00626001" w:rsidP="00004A41">
            <w:pPr>
              <w:spacing w:after="0" w:line="240" w:lineRule="auto"/>
              <w:jc w:val="center"/>
              <w:rPr>
                <w:rFonts w:ascii="Times New Roman" w:hAnsi="Times New Roman"/>
                <w:sz w:val="18"/>
                <w:szCs w:val="18"/>
              </w:rPr>
            </w:pPr>
          </w:p>
        </w:tc>
        <w:tc>
          <w:tcPr>
            <w:tcW w:w="803" w:type="dxa"/>
            <w:shd w:val="clear" w:color="000000" w:fill="FFFFFF"/>
            <w:vAlign w:val="center"/>
            <w:hideMark/>
          </w:tcPr>
          <w:p w14:paraId="7DE0CC01" w14:textId="77777777" w:rsidR="00626001" w:rsidRPr="00B0658A" w:rsidRDefault="00626001" w:rsidP="00004A41">
            <w:pPr>
              <w:spacing w:after="0" w:line="240" w:lineRule="auto"/>
              <w:jc w:val="center"/>
              <w:rPr>
                <w:rFonts w:ascii="Times New Roman" w:hAnsi="Times New Roman"/>
                <w:sz w:val="18"/>
                <w:szCs w:val="18"/>
              </w:rPr>
            </w:pPr>
          </w:p>
        </w:tc>
        <w:tc>
          <w:tcPr>
            <w:tcW w:w="804" w:type="dxa"/>
            <w:shd w:val="clear" w:color="000000" w:fill="FFFFFF"/>
            <w:vAlign w:val="center"/>
            <w:hideMark/>
          </w:tcPr>
          <w:p w14:paraId="33FF36F4" w14:textId="77777777" w:rsidR="00626001" w:rsidRPr="00B0658A" w:rsidRDefault="00626001" w:rsidP="00004A41">
            <w:pPr>
              <w:spacing w:after="0" w:line="240" w:lineRule="auto"/>
              <w:jc w:val="center"/>
              <w:rPr>
                <w:rFonts w:ascii="Times New Roman" w:hAnsi="Times New Roman"/>
                <w:sz w:val="18"/>
                <w:szCs w:val="18"/>
              </w:rPr>
            </w:pPr>
          </w:p>
        </w:tc>
        <w:tc>
          <w:tcPr>
            <w:tcW w:w="1530" w:type="dxa"/>
            <w:shd w:val="clear" w:color="000000" w:fill="FFFFFF"/>
            <w:vAlign w:val="center"/>
          </w:tcPr>
          <w:p w14:paraId="60EBFA64" w14:textId="77777777" w:rsidR="00626001" w:rsidRPr="00B0658A" w:rsidRDefault="00626001" w:rsidP="00004A41">
            <w:pPr>
              <w:spacing w:after="0" w:line="240" w:lineRule="auto"/>
              <w:jc w:val="center"/>
              <w:rPr>
                <w:rFonts w:ascii="Times New Roman" w:hAnsi="Times New Roman"/>
                <w:sz w:val="18"/>
                <w:szCs w:val="18"/>
              </w:rPr>
            </w:pPr>
          </w:p>
        </w:tc>
      </w:tr>
      <w:tr w:rsidR="00F52FED" w:rsidRPr="00B0658A" w14:paraId="4ADDF666" w14:textId="77777777" w:rsidTr="000103BB">
        <w:trPr>
          <w:trHeight w:val="20"/>
        </w:trPr>
        <w:tc>
          <w:tcPr>
            <w:tcW w:w="578" w:type="dxa"/>
            <w:shd w:val="clear" w:color="000000" w:fill="FFFFFF"/>
            <w:vAlign w:val="center"/>
          </w:tcPr>
          <w:p w14:paraId="70794100" w14:textId="77777777" w:rsidR="00626001" w:rsidRPr="00B0658A" w:rsidRDefault="00626001" w:rsidP="00004A41">
            <w:pPr>
              <w:spacing w:after="0" w:line="240" w:lineRule="auto"/>
              <w:jc w:val="center"/>
              <w:rPr>
                <w:rFonts w:ascii="Times New Roman" w:hAnsi="Times New Roman"/>
                <w:sz w:val="18"/>
                <w:szCs w:val="18"/>
              </w:rPr>
            </w:pPr>
            <w:r w:rsidRPr="00B0658A">
              <w:rPr>
                <w:rFonts w:ascii="Times New Roman" w:hAnsi="Times New Roman"/>
                <w:sz w:val="18"/>
                <w:szCs w:val="18"/>
              </w:rPr>
              <w:t>10.3</w:t>
            </w:r>
          </w:p>
        </w:tc>
        <w:tc>
          <w:tcPr>
            <w:tcW w:w="3812" w:type="dxa"/>
            <w:shd w:val="clear" w:color="auto" w:fill="auto"/>
            <w:vAlign w:val="center"/>
            <w:hideMark/>
          </w:tcPr>
          <w:p w14:paraId="76BF97E1" w14:textId="77777777" w:rsidR="00626001" w:rsidRPr="00B0658A" w:rsidRDefault="00626001" w:rsidP="00004A41">
            <w:pPr>
              <w:spacing w:after="0" w:line="240" w:lineRule="auto"/>
              <w:rPr>
                <w:rFonts w:ascii="Times New Roman" w:hAnsi="Times New Roman"/>
                <w:sz w:val="18"/>
                <w:szCs w:val="18"/>
              </w:rPr>
            </w:pPr>
            <w:r w:rsidRPr="00B0658A">
              <w:rPr>
                <w:rFonts w:ascii="Times New Roman" w:hAnsi="Times New Roman"/>
                <w:sz w:val="18"/>
                <w:szCs w:val="18"/>
              </w:rPr>
              <w:t>Средства обработки и визуализации массивов данных/ Средства математического и имитационного моделирования</w:t>
            </w:r>
          </w:p>
        </w:tc>
        <w:tc>
          <w:tcPr>
            <w:tcW w:w="1842" w:type="dxa"/>
            <w:shd w:val="clear" w:color="000000" w:fill="FFFFFF"/>
            <w:hideMark/>
          </w:tcPr>
          <w:p w14:paraId="2F328EBF" w14:textId="77777777" w:rsidR="00626001" w:rsidRPr="00B0658A" w:rsidRDefault="00626001" w:rsidP="00004A41">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79" w:type="dxa"/>
            <w:shd w:val="clear" w:color="000000" w:fill="FFFFFF"/>
            <w:vAlign w:val="center"/>
          </w:tcPr>
          <w:p w14:paraId="419B008A"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000000" w:fill="FFFFFF"/>
            <w:vAlign w:val="center"/>
            <w:hideMark/>
          </w:tcPr>
          <w:p w14:paraId="72708F16"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000000" w:fill="FFFFFF"/>
            <w:vAlign w:val="center"/>
            <w:hideMark/>
          </w:tcPr>
          <w:p w14:paraId="632E40D7"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000000" w:fill="FFFFFF"/>
            <w:vAlign w:val="center"/>
            <w:hideMark/>
          </w:tcPr>
          <w:p w14:paraId="007A7012" w14:textId="77777777" w:rsidR="00626001" w:rsidRPr="00B0658A" w:rsidRDefault="00626001" w:rsidP="00004A41">
            <w:pPr>
              <w:spacing w:after="0" w:line="240" w:lineRule="auto"/>
              <w:jc w:val="center"/>
              <w:rPr>
                <w:rFonts w:ascii="Times New Roman" w:hAnsi="Times New Roman"/>
                <w:sz w:val="18"/>
                <w:szCs w:val="18"/>
              </w:rPr>
            </w:pPr>
          </w:p>
        </w:tc>
        <w:tc>
          <w:tcPr>
            <w:tcW w:w="992" w:type="dxa"/>
            <w:shd w:val="clear" w:color="000000" w:fill="FFFFFF"/>
            <w:vAlign w:val="center"/>
          </w:tcPr>
          <w:p w14:paraId="742A0E98" w14:textId="77777777" w:rsidR="00626001" w:rsidRPr="00B0658A" w:rsidRDefault="00626001" w:rsidP="00004A41">
            <w:pPr>
              <w:spacing w:after="0" w:line="240" w:lineRule="auto"/>
              <w:jc w:val="center"/>
              <w:rPr>
                <w:rFonts w:ascii="Times New Roman" w:hAnsi="Times New Roman"/>
                <w:sz w:val="18"/>
                <w:szCs w:val="18"/>
              </w:rPr>
            </w:pPr>
          </w:p>
        </w:tc>
        <w:tc>
          <w:tcPr>
            <w:tcW w:w="803" w:type="dxa"/>
            <w:shd w:val="clear" w:color="000000" w:fill="FFFFFF"/>
            <w:vAlign w:val="center"/>
            <w:hideMark/>
          </w:tcPr>
          <w:p w14:paraId="0C7ED5EF" w14:textId="77777777" w:rsidR="00626001" w:rsidRPr="00B0658A" w:rsidRDefault="00626001" w:rsidP="00004A41">
            <w:pPr>
              <w:spacing w:after="0" w:line="240" w:lineRule="auto"/>
              <w:jc w:val="center"/>
              <w:rPr>
                <w:rFonts w:ascii="Times New Roman" w:hAnsi="Times New Roman"/>
                <w:sz w:val="18"/>
                <w:szCs w:val="18"/>
              </w:rPr>
            </w:pPr>
          </w:p>
        </w:tc>
        <w:tc>
          <w:tcPr>
            <w:tcW w:w="803" w:type="dxa"/>
            <w:shd w:val="clear" w:color="000000" w:fill="FFFFFF"/>
            <w:vAlign w:val="center"/>
            <w:hideMark/>
          </w:tcPr>
          <w:p w14:paraId="78E1E273" w14:textId="77777777" w:rsidR="00626001" w:rsidRPr="00B0658A" w:rsidRDefault="00626001" w:rsidP="00004A41">
            <w:pPr>
              <w:spacing w:after="0" w:line="240" w:lineRule="auto"/>
              <w:jc w:val="center"/>
              <w:rPr>
                <w:rFonts w:ascii="Times New Roman" w:hAnsi="Times New Roman"/>
                <w:sz w:val="18"/>
                <w:szCs w:val="18"/>
              </w:rPr>
            </w:pPr>
          </w:p>
        </w:tc>
        <w:tc>
          <w:tcPr>
            <w:tcW w:w="804" w:type="dxa"/>
            <w:shd w:val="clear" w:color="000000" w:fill="FFFFFF"/>
            <w:vAlign w:val="center"/>
            <w:hideMark/>
          </w:tcPr>
          <w:p w14:paraId="0CB95190" w14:textId="77777777" w:rsidR="00626001" w:rsidRPr="00B0658A" w:rsidRDefault="00626001" w:rsidP="00004A41">
            <w:pPr>
              <w:spacing w:after="0" w:line="240" w:lineRule="auto"/>
              <w:jc w:val="center"/>
              <w:rPr>
                <w:rFonts w:ascii="Times New Roman" w:hAnsi="Times New Roman"/>
                <w:sz w:val="18"/>
                <w:szCs w:val="18"/>
              </w:rPr>
            </w:pPr>
          </w:p>
        </w:tc>
        <w:tc>
          <w:tcPr>
            <w:tcW w:w="1530" w:type="dxa"/>
            <w:shd w:val="clear" w:color="000000" w:fill="FFFFFF"/>
            <w:vAlign w:val="center"/>
          </w:tcPr>
          <w:p w14:paraId="3C7AB77C" w14:textId="77777777" w:rsidR="00626001" w:rsidRPr="00B0658A" w:rsidRDefault="00626001" w:rsidP="00004A41">
            <w:pPr>
              <w:spacing w:after="0" w:line="240" w:lineRule="auto"/>
              <w:jc w:val="center"/>
              <w:rPr>
                <w:rFonts w:ascii="Times New Roman" w:hAnsi="Times New Roman"/>
                <w:sz w:val="18"/>
                <w:szCs w:val="18"/>
              </w:rPr>
            </w:pPr>
          </w:p>
        </w:tc>
      </w:tr>
      <w:tr w:rsidR="00F52FED" w:rsidRPr="00B0658A" w14:paraId="11362E96" w14:textId="77777777" w:rsidTr="000103BB">
        <w:trPr>
          <w:trHeight w:val="20"/>
        </w:trPr>
        <w:tc>
          <w:tcPr>
            <w:tcW w:w="578" w:type="dxa"/>
            <w:shd w:val="clear" w:color="000000" w:fill="FFFFFF"/>
            <w:vAlign w:val="center"/>
          </w:tcPr>
          <w:p w14:paraId="4042858A" w14:textId="77777777" w:rsidR="00626001" w:rsidRPr="00B0658A" w:rsidRDefault="00626001" w:rsidP="00004A41">
            <w:pPr>
              <w:spacing w:after="0" w:line="240" w:lineRule="auto"/>
              <w:jc w:val="center"/>
              <w:rPr>
                <w:rFonts w:ascii="Times New Roman" w:hAnsi="Times New Roman"/>
                <w:sz w:val="18"/>
                <w:szCs w:val="18"/>
              </w:rPr>
            </w:pPr>
            <w:r w:rsidRPr="00B0658A">
              <w:rPr>
                <w:rFonts w:ascii="Times New Roman" w:hAnsi="Times New Roman"/>
                <w:sz w:val="18"/>
                <w:szCs w:val="18"/>
              </w:rPr>
              <w:t>10.4</w:t>
            </w:r>
          </w:p>
        </w:tc>
        <w:tc>
          <w:tcPr>
            <w:tcW w:w="3812" w:type="dxa"/>
            <w:shd w:val="clear" w:color="auto" w:fill="auto"/>
            <w:vAlign w:val="center"/>
            <w:hideMark/>
          </w:tcPr>
          <w:p w14:paraId="5309DAD8" w14:textId="77777777" w:rsidR="00626001" w:rsidRPr="00B0658A" w:rsidRDefault="00626001" w:rsidP="00004A41">
            <w:pPr>
              <w:spacing w:after="0" w:line="240" w:lineRule="auto"/>
              <w:rPr>
                <w:rFonts w:ascii="Times New Roman" w:hAnsi="Times New Roman"/>
                <w:sz w:val="18"/>
                <w:szCs w:val="18"/>
              </w:rPr>
            </w:pPr>
            <w:r w:rsidRPr="00B0658A">
              <w:rPr>
                <w:rFonts w:ascii="Times New Roman" w:hAnsi="Times New Roman"/>
                <w:sz w:val="18"/>
                <w:szCs w:val="18"/>
              </w:rPr>
              <w:t>Средства обработки и визуализации массивов данных/ Средства управления информационными ресурсами и средства управления основными данными (ECM, MDM)</w:t>
            </w:r>
          </w:p>
        </w:tc>
        <w:tc>
          <w:tcPr>
            <w:tcW w:w="1842" w:type="dxa"/>
            <w:shd w:val="clear" w:color="000000" w:fill="FFFFFF"/>
            <w:hideMark/>
          </w:tcPr>
          <w:p w14:paraId="3C1D76E5" w14:textId="77777777" w:rsidR="00626001" w:rsidRPr="00B0658A" w:rsidRDefault="00626001" w:rsidP="00004A41">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79" w:type="dxa"/>
            <w:shd w:val="clear" w:color="000000" w:fill="FFFFFF"/>
            <w:vAlign w:val="center"/>
          </w:tcPr>
          <w:p w14:paraId="516714A5"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000000" w:fill="FFFFFF"/>
            <w:vAlign w:val="center"/>
            <w:hideMark/>
          </w:tcPr>
          <w:p w14:paraId="7A8FD588"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000000" w:fill="FFFFFF"/>
            <w:vAlign w:val="center"/>
            <w:hideMark/>
          </w:tcPr>
          <w:p w14:paraId="7AFFA934"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000000" w:fill="FFFFFF"/>
            <w:vAlign w:val="center"/>
            <w:hideMark/>
          </w:tcPr>
          <w:p w14:paraId="3D0B3830" w14:textId="77777777" w:rsidR="00626001" w:rsidRPr="00B0658A" w:rsidRDefault="00626001" w:rsidP="00004A41">
            <w:pPr>
              <w:spacing w:after="0" w:line="240" w:lineRule="auto"/>
              <w:jc w:val="center"/>
              <w:rPr>
                <w:rFonts w:ascii="Times New Roman" w:hAnsi="Times New Roman"/>
                <w:sz w:val="18"/>
                <w:szCs w:val="18"/>
              </w:rPr>
            </w:pPr>
          </w:p>
        </w:tc>
        <w:tc>
          <w:tcPr>
            <w:tcW w:w="992" w:type="dxa"/>
            <w:shd w:val="clear" w:color="000000" w:fill="FFFFFF"/>
            <w:vAlign w:val="center"/>
          </w:tcPr>
          <w:p w14:paraId="72774C7F" w14:textId="77777777" w:rsidR="00626001" w:rsidRPr="00B0658A" w:rsidRDefault="00626001" w:rsidP="00004A41">
            <w:pPr>
              <w:spacing w:after="0" w:line="240" w:lineRule="auto"/>
              <w:jc w:val="center"/>
              <w:rPr>
                <w:rFonts w:ascii="Times New Roman" w:hAnsi="Times New Roman"/>
                <w:sz w:val="18"/>
                <w:szCs w:val="18"/>
              </w:rPr>
            </w:pPr>
          </w:p>
        </w:tc>
        <w:tc>
          <w:tcPr>
            <w:tcW w:w="803" w:type="dxa"/>
            <w:shd w:val="clear" w:color="000000" w:fill="FFFFFF"/>
            <w:vAlign w:val="center"/>
            <w:hideMark/>
          </w:tcPr>
          <w:p w14:paraId="65BE93C7" w14:textId="77777777" w:rsidR="00626001" w:rsidRPr="00B0658A" w:rsidRDefault="00626001" w:rsidP="00004A41">
            <w:pPr>
              <w:spacing w:after="0" w:line="240" w:lineRule="auto"/>
              <w:jc w:val="center"/>
              <w:rPr>
                <w:rFonts w:ascii="Times New Roman" w:hAnsi="Times New Roman"/>
                <w:sz w:val="18"/>
                <w:szCs w:val="18"/>
              </w:rPr>
            </w:pPr>
          </w:p>
        </w:tc>
        <w:tc>
          <w:tcPr>
            <w:tcW w:w="803" w:type="dxa"/>
            <w:shd w:val="clear" w:color="000000" w:fill="FFFFFF"/>
            <w:vAlign w:val="center"/>
            <w:hideMark/>
          </w:tcPr>
          <w:p w14:paraId="5B382C02" w14:textId="77777777" w:rsidR="00626001" w:rsidRPr="00B0658A" w:rsidRDefault="00626001" w:rsidP="00004A41">
            <w:pPr>
              <w:spacing w:after="0" w:line="240" w:lineRule="auto"/>
              <w:jc w:val="center"/>
              <w:rPr>
                <w:rFonts w:ascii="Times New Roman" w:hAnsi="Times New Roman"/>
                <w:sz w:val="18"/>
                <w:szCs w:val="18"/>
              </w:rPr>
            </w:pPr>
          </w:p>
        </w:tc>
        <w:tc>
          <w:tcPr>
            <w:tcW w:w="804" w:type="dxa"/>
            <w:shd w:val="clear" w:color="000000" w:fill="FFFFFF"/>
            <w:vAlign w:val="center"/>
            <w:hideMark/>
          </w:tcPr>
          <w:p w14:paraId="14FD2617" w14:textId="77777777" w:rsidR="00626001" w:rsidRPr="00B0658A" w:rsidRDefault="00626001" w:rsidP="00004A41">
            <w:pPr>
              <w:spacing w:after="0" w:line="240" w:lineRule="auto"/>
              <w:jc w:val="center"/>
              <w:rPr>
                <w:rFonts w:ascii="Times New Roman" w:hAnsi="Times New Roman"/>
                <w:sz w:val="18"/>
                <w:szCs w:val="18"/>
              </w:rPr>
            </w:pPr>
          </w:p>
        </w:tc>
        <w:tc>
          <w:tcPr>
            <w:tcW w:w="1530" w:type="dxa"/>
            <w:shd w:val="clear" w:color="000000" w:fill="FFFFFF"/>
            <w:vAlign w:val="center"/>
          </w:tcPr>
          <w:p w14:paraId="4EAB0045" w14:textId="77777777" w:rsidR="00626001" w:rsidRPr="00B0658A" w:rsidRDefault="00626001" w:rsidP="00004A41">
            <w:pPr>
              <w:spacing w:after="0" w:line="240" w:lineRule="auto"/>
              <w:jc w:val="center"/>
              <w:rPr>
                <w:rFonts w:ascii="Times New Roman" w:hAnsi="Times New Roman"/>
                <w:sz w:val="18"/>
                <w:szCs w:val="18"/>
              </w:rPr>
            </w:pPr>
          </w:p>
        </w:tc>
      </w:tr>
      <w:tr w:rsidR="00F52FED" w:rsidRPr="00B0658A" w14:paraId="2CAE9BFC" w14:textId="77777777" w:rsidTr="000103BB">
        <w:trPr>
          <w:trHeight w:val="20"/>
        </w:trPr>
        <w:tc>
          <w:tcPr>
            <w:tcW w:w="578" w:type="dxa"/>
            <w:shd w:val="clear" w:color="000000" w:fill="FFFFFF"/>
            <w:vAlign w:val="center"/>
          </w:tcPr>
          <w:p w14:paraId="66A5E9F6" w14:textId="77777777" w:rsidR="00626001" w:rsidRPr="00B0658A" w:rsidRDefault="00626001" w:rsidP="00004A41">
            <w:pPr>
              <w:spacing w:after="0" w:line="240" w:lineRule="auto"/>
              <w:jc w:val="center"/>
              <w:rPr>
                <w:rFonts w:ascii="Times New Roman" w:hAnsi="Times New Roman"/>
                <w:sz w:val="18"/>
                <w:szCs w:val="18"/>
              </w:rPr>
            </w:pPr>
            <w:r w:rsidRPr="00B0658A">
              <w:rPr>
                <w:rFonts w:ascii="Times New Roman" w:hAnsi="Times New Roman"/>
                <w:sz w:val="18"/>
                <w:szCs w:val="18"/>
              </w:rPr>
              <w:t>11.1</w:t>
            </w:r>
          </w:p>
        </w:tc>
        <w:tc>
          <w:tcPr>
            <w:tcW w:w="3812" w:type="dxa"/>
            <w:shd w:val="clear" w:color="auto" w:fill="auto"/>
            <w:vAlign w:val="center"/>
            <w:hideMark/>
          </w:tcPr>
          <w:p w14:paraId="060D686C" w14:textId="77777777" w:rsidR="00626001" w:rsidRPr="00B0658A" w:rsidRDefault="00626001" w:rsidP="00004A41">
            <w:pPr>
              <w:spacing w:after="0" w:line="240" w:lineRule="auto"/>
              <w:rPr>
                <w:rFonts w:ascii="Times New Roman" w:hAnsi="Times New Roman"/>
                <w:sz w:val="18"/>
                <w:szCs w:val="18"/>
              </w:rPr>
            </w:pPr>
            <w:r w:rsidRPr="00B0658A">
              <w:rPr>
                <w:rFonts w:ascii="Times New Roman" w:hAnsi="Times New Roman"/>
                <w:sz w:val="18"/>
                <w:szCs w:val="18"/>
              </w:rPr>
              <w:t>Средства анализа данных/ Инструменты извлечения и трансформации данных (ETL)</w:t>
            </w:r>
          </w:p>
        </w:tc>
        <w:tc>
          <w:tcPr>
            <w:tcW w:w="1842" w:type="dxa"/>
            <w:shd w:val="clear" w:color="000000" w:fill="FFFFFF"/>
            <w:hideMark/>
          </w:tcPr>
          <w:p w14:paraId="4B6BB9D8" w14:textId="77777777" w:rsidR="00626001" w:rsidRPr="00B0658A" w:rsidRDefault="00626001" w:rsidP="00004A41">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79" w:type="dxa"/>
            <w:shd w:val="clear" w:color="000000" w:fill="FFFFFF"/>
            <w:vAlign w:val="center"/>
          </w:tcPr>
          <w:p w14:paraId="7EC57FA9"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000000" w:fill="FFFFFF"/>
            <w:vAlign w:val="center"/>
            <w:hideMark/>
          </w:tcPr>
          <w:p w14:paraId="79BF81AF"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000000" w:fill="FFFFFF"/>
            <w:vAlign w:val="center"/>
            <w:hideMark/>
          </w:tcPr>
          <w:p w14:paraId="42DF0A30"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000000" w:fill="FFFFFF"/>
            <w:vAlign w:val="center"/>
            <w:hideMark/>
          </w:tcPr>
          <w:p w14:paraId="0196B7C5" w14:textId="77777777" w:rsidR="00626001" w:rsidRPr="00B0658A" w:rsidRDefault="00626001" w:rsidP="00004A41">
            <w:pPr>
              <w:spacing w:after="0" w:line="240" w:lineRule="auto"/>
              <w:jc w:val="center"/>
              <w:rPr>
                <w:rFonts w:ascii="Times New Roman" w:hAnsi="Times New Roman"/>
                <w:sz w:val="18"/>
                <w:szCs w:val="18"/>
              </w:rPr>
            </w:pPr>
          </w:p>
        </w:tc>
        <w:tc>
          <w:tcPr>
            <w:tcW w:w="992" w:type="dxa"/>
            <w:shd w:val="clear" w:color="000000" w:fill="FFFFFF"/>
            <w:vAlign w:val="center"/>
          </w:tcPr>
          <w:p w14:paraId="0E14BC5D" w14:textId="77777777" w:rsidR="00626001" w:rsidRPr="00B0658A" w:rsidRDefault="00626001" w:rsidP="00004A41">
            <w:pPr>
              <w:spacing w:after="0" w:line="240" w:lineRule="auto"/>
              <w:jc w:val="center"/>
              <w:rPr>
                <w:rFonts w:ascii="Times New Roman" w:hAnsi="Times New Roman"/>
                <w:sz w:val="18"/>
                <w:szCs w:val="18"/>
              </w:rPr>
            </w:pPr>
          </w:p>
        </w:tc>
        <w:tc>
          <w:tcPr>
            <w:tcW w:w="803" w:type="dxa"/>
            <w:shd w:val="clear" w:color="000000" w:fill="FFFFFF"/>
            <w:vAlign w:val="center"/>
            <w:hideMark/>
          </w:tcPr>
          <w:p w14:paraId="4C8AED50" w14:textId="77777777" w:rsidR="00626001" w:rsidRPr="00B0658A" w:rsidRDefault="00626001" w:rsidP="00004A41">
            <w:pPr>
              <w:spacing w:after="0" w:line="240" w:lineRule="auto"/>
              <w:jc w:val="center"/>
              <w:rPr>
                <w:rFonts w:ascii="Times New Roman" w:hAnsi="Times New Roman"/>
                <w:sz w:val="18"/>
                <w:szCs w:val="18"/>
              </w:rPr>
            </w:pPr>
          </w:p>
        </w:tc>
        <w:tc>
          <w:tcPr>
            <w:tcW w:w="803" w:type="dxa"/>
            <w:shd w:val="clear" w:color="000000" w:fill="FFFFFF"/>
            <w:vAlign w:val="center"/>
            <w:hideMark/>
          </w:tcPr>
          <w:p w14:paraId="08BEFDE1" w14:textId="77777777" w:rsidR="00626001" w:rsidRPr="00B0658A" w:rsidRDefault="00626001" w:rsidP="00004A41">
            <w:pPr>
              <w:spacing w:after="0" w:line="240" w:lineRule="auto"/>
              <w:jc w:val="center"/>
              <w:rPr>
                <w:rFonts w:ascii="Times New Roman" w:hAnsi="Times New Roman"/>
                <w:sz w:val="18"/>
                <w:szCs w:val="18"/>
              </w:rPr>
            </w:pPr>
          </w:p>
        </w:tc>
        <w:tc>
          <w:tcPr>
            <w:tcW w:w="804" w:type="dxa"/>
            <w:shd w:val="clear" w:color="000000" w:fill="FFFFFF"/>
            <w:vAlign w:val="center"/>
            <w:hideMark/>
          </w:tcPr>
          <w:p w14:paraId="221E5A6F" w14:textId="77777777" w:rsidR="00626001" w:rsidRPr="00B0658A" w:rsidRDefault="00626001" w:rsidP="00004A41">
            <w:pPr>
              <w:spacing w:after="0" w:line="240" w:lineRule="auto"/>
              <w:jc w:val="center"/>
              <w:rPr>
                <w:rFonts w:ascii="Times New Roman" w:hAnsi="Times New Roman"/>
                <w:sz w:val="18"/>
                <w:szCs w:val="18"/>
              </w:rPr>
            </w:pPr>
          </w:p>
        </w:tc>
        <w:tc>
          <w:tcPr>
            <w:tcW w:w="1530" w:type="dxa"/>
            <w:shd w:val="clear" w:color="000000" w:fill="FFFFFF"/>
            <w:vAlign w:val="center"/>
          </w:tcPr>
          <w:p w14:paraId="018028EC" w14:textId="77777777" w:rsidR="00626001" w:rsidRPr="00B0658A" w:rsidRDefault="00626001" w:rsidP="00004A41">
            <w:pPr>
              <w:spacing w:after="0" w:line="240" w:lineRule="auto"/>
              <w:jc w:val="center"/>
              <w:rPr>
                <w:rFonts w:ascii="Times New Roman" w:hAnsi="Times New Roman"/>
                <w:sz w:val="18"/>
                <w:szCs w:val="18"/>
              </w:rPr>
            </w:pPr>
          </w:p>
        </w:tc>
      </w:tr>
      <w:tr w:rsidR="00F52FED" w:rsidRPr="00B0658A" w14:paraId="3A596749" w14:textId="77777777" w:rsidTr="000103BB">
        <w:trPr>
          <w:trHeight w:val="20"/>
        </w:trPr>
        <w:tc>
          <w:tcPr>
            <w:tcW w:w="578" w:type="dxa"/>
            <w:shd w:val="clear" w:color="000000" w:fill="FFFFFF"/>
            <w:vAlign w:val="center"/>
          </w:tcPr>
          <w:p w14:paraId="41A2D981" w14:textId="77777777" w:rsidR="00626001" w:rsidRPr="00B0658A" w:rsidRDefault="00626001" w:rsidP="00004A41">
            <w:pPr>
              <w:spacing w:after="0" w:line="240" w:lineRule="auto"/>
              <w:jc w:val="center"/>
              <w:rPr>
                <w:rFonts w:ascii="Times New Roman" w:hAnsi="Times New Roman"/>
                <w:sz w:val="18"/>
                <w:szCs w:val="18"/>
              </w:rPr>
            </w:pPr>
            <w:r w:rsidRPr="00B0658A">
              <w:rPr>
                <w:rFonts w:ascii="Times New Roman" w:hAnsi="Times New Roman"/>
                <w:sz w:val="18"/>
                <w:szCs w:val="18"/>
              </w:rPr>
              <w:t>11.2</w:t>
            </w:r>
          </w:p>
        </w:tc>
        <w:tc>
          <w:tcPr>
            <w:tcW w:w="3812" w:type="dxa"/>
            <w:shd w:val="clear" w:color="auto" w:fill="auto"/>
            <w:vAlign w:val="center"/>
            <w:hideMark/>
          </w:tcPr>
          <w:p w14:paraId="1F7F0FBB" w14:textId="77777777" w:rsidR="00626001" w:rsidRPr="00B0658A" w:rsidRDefault="00626001" w:rsidP="00004A41">
            <w:pPr>
              <w:spacing w:after="0" w:line="240" w:lineRule="auto"/>
              <w:rPr>
                <w:rFonts w:ascii="Times New Roman" w:hAnsi="Times New Roman"/>
                <w:sz w:val="18"/>
                <w:szCs w:val="18"/>
              </w:rPr>
            </w:pPr>
            <w:r w:rsidRPr="00B0658A">
              <w:rPr>
                <w:rFonts w:ascii="Times New Roman" w:hAnsi="Times New Roman"/>
                <w:sz w:val="18"/>
                <w:szCs w:val="18"/>
              </w:rPr>
              <w:t>Средства анализа данных/ Предметно-ориентированные информационные базы данных (EDW)</w:t>
            </w:r>
          </w:p>
        </w:tc>
        <w:tc>
          <w:tcPr>
            <w:tcW w:w="1842" w:type="dxa"/>
            <w:shd w:val="clear" w:color="000000" w:fill="FFFFFF"/>
            <w:hideMark/>
          </w:tcPr>
          <w:p w14:paraId="688B3D44" w14:textId="77777777" w:rsidR="00626001" w:rsidRPr="00B0658A" w:rsidRDefault="00626001" w:rsidP="00004A41">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79" w:type="dxa"/>
            <w:shd w:val="clear" w:color="000000" w:fill="FFFFFF"/>
            <w:vAlign w:val="center"/>
          </w:tcPr>
          <w:p w14:paraId="40BA4CB8"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000000" w:fill="FFFFFF"/>
            <w:vAlign w:val="center"/>
            <w:hideMark/>
          </w:tcPr>
          <w:p w14:paraId="461E01B7"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000000" w:fill="FFFFFF"/>
            <w:vAlign w:val="center"/>
            <w:hideMark/>
          </w:tcPr>
          <w:p w14:paraId="08349F47"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000000" w:fill="FFFFFF"/>
            <w:vAlign w:val="center"/>
            <w:hideMark/>
          </w:tcPr>
          <w:p w14:paraId="65CF1971" w14:textId="77777777" w:rsidR="00626001" w:rsidRPr="00B0658A" w:rsidRDefault="00626001" w:rsidP="00004A41">
            <w:pPr>
              <w:spacing w:after="0" w:line="240" w:lineRule="auto"/>
              <w:jc w:val="center"/>
              <w:rPr>
                <w:rFonts w:ascii="Times New Roman" w:hAnsi="Times New Roman"/>
                <w:sz w:val="18"/>
                <w:szCs w:val="18"/>
              </w:rPr>
            </w:pPr>
          </w:p>
        </w:tc>
        <w:tc>
          <w:tcPr>
            <w:tcW w:w="992" w:type="dxa"/>
            <w:shd w:val="clear" w:color="000000" w:fill="FFFFFF"/>
            <w:vAlign w:val="center"/>
          </w:tcPr>
          <w:p w14:paraId="550FFC29" w14:textId="77777777" w:rsidR="00626001" w:rsidRPr="00B0658A" w:rsidRDefault="00626001" w:rsidP="00004A41">
            <w:pPr>
              <w:spacing w:after="0" w:line="240" w:lineRule="auto"/>
              <w:jc w:val="center"/>
              <w:rPr>
                <w:rFonts w:ascii="Times New Roman" w:hAnsi="Times New Roman"/>
                <w:sz w:val="18"/>
                <w:szCs w:val="18"/>
              </w:rPr>
            </w:pPr>
          </w:p>
        </w:tc>
        <w:tc>
          <w:tcPr>
            <w:tcW w:w="803" w:type="dxa"/>
            <w:shd w:val="clear" w:color="000000" w:fill="FFFFFF"/>
            <w:vAlign w:val="center"/>
            <w:hideMark/>
          </w:tcPr>
          <w:p w14:paraId="61499140" w14:textId="77777777" w:rsidR="00626001" w:rsidRPr="00B0658A" w:rsidRDefault="00626001" w:rsidP="00004A41">
            <w:pPr>
              <w:spacing w:after="0" w:line="240" w:lineRule="auto"/>
              <w:jc w:val="center"/>
              <w:rPr>
                <w:rFonts w:ascii="Times New Roman" w:hAnsi="Times New Roman"/>
                <w:sz w:val="18"/>
                <w:szCs w:val="18"/>
              </w:rPr>
            </w:pPr>
          </w:p>
        </w:tc>
        <w:tc>
          <w:tcPr>
            <w:tcW w:w="803" w:type="dxa"/>
            <w:shd w:val="clear" w:color="000000" w:fill="FFFFFF"/>
            <w:vAlign w:val="center"/>
            <w:hideMark/>
          </w:tcPr>
          <w:p w14:paraId="5E5634B7" w14:textId="77777777" w:rsidR="00626001" w:rsidRPr="00B0658A" w:rsidRDefault="00626001" w:rsidP="00004A41">
            <w:pPr>
              <w:spacing w:after="0" w:line="240" w:lineRule="auto"/>
              <w:jc w:val="center"/>
              <w:rPr>
                <w:rFonts w:ascii="Times New Roman" w:hAnsi="Times New Roman"/>
                <w:sz w:val="18"/>
                <w:szCs w:val="18"/>
              </w:rPr>
            </w:pPr>
          </w:p>
        </w:tc>
        <w:tc>
          <w:tcPr>
            <w:tcW w:w="804" w:type="dxa"/>
            <w:shd w:val="clear" w:color="000000" w:fill="FFFFFF"/>
            <w:vAlign w:val="center"/>
            <w:hideMark/>
          </w:tcPr>
          <w:p w14:paraId="2C3142F9" w14:textId="77777777" w:rsidR="00626001" w:rsidRPr="00B0658A" w:rsidRDefault="00626001" w:rsidP="00004A41">
            <w:pPr>
              <w:spacing w:after="0" w:line="240" w:lineRule="auto"/>
              <w:jc w:val="center"/>
              <w:rPr>
                <w:rFonts w:ascii="Times New Roman" w:hAnsi="Times New Roman"/>
                <w:sz w:val="18"/>
                <w:szCs w:val="18"/>
              </w:rPr>
            </w:pPr>
          </w:p>
        </w:tc>
        <w:tc>
          <w:tcPr>
            <w:tcW w:w="1530" w:type="dxa"/>
            <w:shd w:val="clear" w:color="000000" w:fill="FFFFFF"/>
            <w:vAlign w:val="center"/>
          </w:tcPr>
          <w:p w14:paraId="78E312E9" w14:textId="77777777" w:rsidR="00626001" w:rsidRPr="00B0658A" w:rsidRDefault="00626001" w:rsidP="00004A41">
            <w:pPr>
              <w:spacing w:after="0" w:line="240" w:lineRule="auto"/>
              <w:jc w:val="center"/>
              <w:rPr>
                <w:rFonts w:ascii="Times New Roman" w:hAnsi="Times New Roman"/>
                <w:sz w:val="18"/>
                <w:szCs w:val="18"/>
              </w:rPr>
            </w:pPr>
          </w:p>
        </w:tc>
      </w:tr>
      <w:tr w:rsidR="00F52FED" w:rsidRPr="00B0658A" w14:paraId="5698E28C" w14:textId="77777777" w:rsidTr="000103BB">
        <w:trPr>
          <w:trHeight w:val="20"/>
        </w:trPr>
        <w:tc>
          <w:tcPr>
            <w:tcW w:w="578" w:type="dxa"/>
            <w:shd w:val="clear" w:color="000000" w:fill="FFFFFF"/>
            <w:vAlign w:val="center"/>
          </w:tcPr>
          <w:p w14:paraId="12DC3211" w14:textId="77777777" w:rsidR="00626001" w:rsidRPr="00B0658A" w:rsidRDefault="00626001" w:rsidP="00004A41">
            <w:pPr>
              <w:spacing w:after="0" w:line="240" w:lineRule="auto"/>
              <w:jc w:val="center"/>
              <w:rPr>
                <w:rFonts w:ascii="Times New Roman" w:hAnsi="Times New Roman"/>
                <w:sz w:val="18"/>
                <w:szCs w:val="18"/>
              </w:rPr>
            </w:pPr>
            <w:r w:rsidRPr="00B0658A">
              <w:rPr>
                <w:rFonts w:ascii="Times New Roman" w:hAnsi="Times New Roman"/>
                <w:sz w:val="18"/>
                <w:szCs w:val="18"/>
              </w:rPr>
              <w:t>11.3</w:t>
            </w:r>
          </w:p>
        </w:tc>
        <w:tc>
          <w:tcPr>
            <w:tcW w:w="3812" w:type="dxa"/>
            <w:shd w:val="clear" w:color="auto" w:fill="auto"/>
            <w:vAlign w:val="center"/>
            <w:hideMark/>
          </w:tcPr>
          <w:p w14:paraId="247961C9" w14:textId="77777777" w:rsidR="00626001" w:rsidRPr="00B0658A" w:rsidRDefault="00626001" w:rsidP="00004A41">
            <w:pPr>
              <w:suppressAutoHyphens/>
              <w:spacing w:after="0" w:line="240" w:lineRule="auto"/>
              <w:rPr>
                <w:rFonts w:ascii="Times New Roman" w:hAnsi="Times New Roman"/>
                <w:sz w:val="18"/>
                <w:szCs w:val="18"/>
              </w:rPr>
            </w:pPr>
            <w:r w:rsidRPr="00B0658A">
              <w:rPr>
                <w:rFonts w:ascii="Times New Roman" w:hAnsi="Times New Roman"/>
                <w:sz w:val="18"/>
                <w:szCs w:val="18"/>
              </w:rPr>
              <w:t>Средства анализа данных/</w:t>
            </w:r>
          </w:p>
          <w:p w14:paraId="5FA92AEB" w14:textId="77777777" w:rsidR="00626001" w:rsidRPr="00B0658A" w:rsidRDefault="00626001" w:rsidP="00004A41">
            <w:pPr>
              <w:suppressAutoHyphens/>
              <w:spacing w:after="0" w:line="240" w:lineRule="auto"/>
              <w:rPr>
                <w:rFonts w:ascii="Times New Roman" w:hAnsi="Times New Roman"/>
                <w:sz w:val="18"/>
                <w:szCs w:val="18"/>
              </w:rPr>
            </w:pPr>
            <w:r w:rsidRPr="00B0658A">
              <w:rPr>
                <w:rFonts w:ascii="Times New Roman" w:hAnsi="Times New Roman"/>
                <w:sz w:val="18"/>
                <w:szCs w:val="18"/>
              </w:rPr>
              <w:t>Средства аналитической обработки в реальном времени (OLAP)</w:t>
            </w:r>
          </w:p>
        </w:tc>
        <w:tc>
          <w:tcPr>
            <w:tcW w:w="1842" w:type="dxa"/>
            <w:shd w:val="clear" w:color="000000" w:fill="FFFFFF"/>
            <w:hideMark/>
          </w:tcPr>
          <w:p w14:paraId="77E05D79" w14:textId="77777777" w:rsidR="00626001" w:rsidRPr="00B0658A" w:rsidRDefault="00626001" w:rsidP="00004A41">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79" w:type="dxa"/>
            <w:shd w:val="clear" w:color="000000" w:fill="FFFFFF"/>
            <w:vAlign w:val="center"/>
          </w:tcPr>
          <w:p w14:paraId="756EDE92"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000000" w:fill="FFFFFF"/>
            <w:vAlign w:val="center"/>
            <w:hideMark/>
          </w:tcPr>
          <w:p w14:paraId="395D6B5E"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000000" w:fill="FFFFFF"/>
            <w:vAlign w:val="center"/>
            <w:hideMark/>
          </w:tcPr>
          <w:p w14:paraId="4FECD761"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000000" w:fill="FFFFFF"/>
            <w:vAlign w:val="center"/>
            <w:hideMark/>
          </w:tcPr>
          <w:p w14:paraId="4C0F8319" w14:textId="77777777" w:rsidR="00626001" w:rsidRPr="00B0658A" w:rsidRDefault="00626001" w:rsidP="00004A41">
            <w:pPr>
              <w:spacing w:after="0" w:line="240" w:lineRule="auto"/>
              <w:jc w:val="center"/>
              <w:rPr>
                <w:rFonts w:ascii="Times New Roman" w:hAnsi="Times New Roman"/>
                <w:sz w:val="18"/>
                <w:szCs w:val="18"/>
              </w:rPr>
            </w:pPr>
          </w:p>
        </w:tc>
        <w:tc>
          <w:tcPr>
            <w:tcW w:w="992" w:type="dxa"/>
            <w:shd w:val="clear" w:color="000000" w:fill="FFFFFF"/>
            <w:vAlign w:val="center"/>
          </w:tcPr>
          <w:p w14:paraId="0A252E47" w14:textId="77777777" w:rsidR="00626001" w:rsidRPr="00B0658A" w:rsidRDefault="00626001" w:rsidP="00004A41">
            <w:pPr>
              <w:spacing w:after="0" w:line="240" w:lineRule="auto"/>
              <w:jc w:val="center"/>
              <w:rPr>
                <w:rFonts w:ascii="Times New Roman" w:hAnsi="Times New Roman"/>
                <w:sz w:val="18"/>
                <w:szCs w:val="18"/>
              </w:rPr>
            </w:pPr>
          </w:p>
        </w:tc>
        <w:tc>
          <w:tcPr>
            <w:tcW w:w="803" w:type="dxa"/>
            <w:shd w:val="clear" w:color="000000" w:fill="FFFFFF"/>
            <w:vAlign w:val="center"/>
            <w:hideMark/>
          </w:tcPr>
          <w:p w14:paraId="4F6D0540" w14:textId="77777777" w:rsidR="00626001" w:rsidRPr="00B0658A" w:rsidRDefault="00626001" w:rsidP="00004A41">
            <w:pPr>
              <w:spacing w:after="0" w:line="240" w:lineRule="auto"/>
              <w:jc w:val="center"/>
              <w:rPr>
                <w:rFonts w:ascii="Times New Roman" w:hAnsi="Times New Roman"/>
                <w:sz w:val="18"/>
                <w:szCs w:val="18"/>
              </w:rPr>
            </w:pPr>
          </w:p>
        </w:tc>
        <w:tc>
          <w:tcPr>
            <w:tcW w:w="803" w:type="dxa"/>
            <w:shd w:val="clear" w:color="000000" w:fill="FFFFFF"/>
            <w:vAlign w:val="center"/>
            <w:hideMark/>
          </w:tcPr>
          <w:p w14:paraId="246F4F94" w14:textId="77777777" w:rsidR="00626001" w:rsidRPr="00B0658A" w:rsidRDefault="00626001" w:rsidP="00004A41">
            <w:pPr>
              <w:spacing w:after="0" w:line="240" w:lineRule="auto"/>
              <w:jc w:val="center"/>
              <w:rPr>
                <w:rFonts w:ascii="Times New Roman" w:hAnsi="Times New Roman"/>
                <w:sz w:val="18"/>
                <w:szCs w:val="18"/>
              </w:rPr>
            </w:pPr>
          </w:p>
        </w:tc>
        <w:tc>
          <w:tcPr>
            <w:tcW w:w="804" w:type="dxa"/>
            <w:shd w:val="clear" w:color="000000" w:fill="FFFFFF"/>
            <w:vAlign w:val="center"/>
            <w:hideMark/>
          </w:tcPr>
          <w:p w14:paraId="5D4CA6BF" w14:textId="77777777" w:rsidR="00626001" w:rsidRPr="00B0658A" w:rsidRDefault="00626001" w:rsidP="00004A41">
            <w:pPr>
              <w:spacing w:after="0" w:line="240" w:lineRule="auto"/>
              <w:jc w:val="center"/>
              <w:rPr>
                <w:rFonts w:ascii="Times New Roman" w:hAnsi="Times New Roman"/>
                <w:sz w:val="18"/>
                <w:szCs w:val="18"/>
              </w:rPr>
            </w:pPr>
          </w:p>
        </w:tc>
        <w:tc>
          <w:tcPr>
            <w:tcW w:w="1530" w:type="dxa"/>
            <w:shd w:val="clear" w:color="000000" w:fill="FFFFFF"/>
            <w:vAlign w:val="center"/>
          </w:tcPr>
          <w:p w14:paraId="60A5E040" w14:textId="77777777" w:rsidR="00626001" w:rsidRPr="00B0658A" w:rsidRDefault="00626001" w:rsidP="00004A41">
            <w:pPr>
              <w:spacing w:after="0" w:line="240" w:lineRule="auto"/>
              <w:jc w:val="center"/>
              <w:rPr>
                <w:rFonts w:ascii="Times New Roman" w:hAnsi="Times New Roman"/>
                <w:sz w:val="18"/>
                <w:szCs w:val="18"/>
              </w:rPr>
            </w:pPr>
          </w:p>
        </w:tc>
      </w:tr>
      <w:tr w:rsidR="00F52FED" w:rsidRPr="00B0658A" w14:paraId="61CB4D21" w14:textId="77777777" w:rsidTr="000103BB">
        <w:trPr>
          <w:trHeight w:val="20"/>
        </w:trPr>
        <w:tc>
          <w:tcPr>
            <w:tcW w:w="578" w:type="dxa"/>
            <w:shd w:val="clear" w:color="000000" w:fill="FFFFFF"/>
            <w:vAlign w:val="center"/>
          </w:tcPr>
          <w:p w14:paraId="4237F2E5" w14:textId="77777777" w:rsidR="00626001" w:rsidRPr="00B0658A" w:rsidRDefault="00626001" w:rsidP="00004A41">
            <w:pPr>
              <w:spacing w:after="0" w:line="240" w:lineRule="auto"/>
              <w:jc w:val="center"/>
              <w:rPr>
                <w:rFonts w:ascii="Times New Roman" w:hAnsi="Times New Roman"/>
                <w:sz w:val="18"/>
                <w:szCs w:val="18"/>
              </w:rPr>
            </w:pPr>
            <w:r w:rsidRPr="00B0658A">
              <w:rPr>
                <w:rFonts w:ascii="Times New Roman" w:hAnsi="Times New Roman"/>
                <w:sz w:val="18"/>
                <w:szCs w:val="18"/>
              </w:rPr>
              <w:t>11.4</w:t>
            </w:r>
          </w:p>
        </w:tc>
        <w:tc>
          <w:tcPr>
            <w:tcW w:w="3812" w:type="dxa"/>
            <w:shd w:val="clear" w:color="auto" w:fill="auto"/>
            <w:vAlign w:val="center"/>
            <w:hideMark/>
          </w:tcPr>
          <w:p w14:paraId="776E1374" w14:textId="77777777" w:rsidR="00626001" w:rsidRPr="00B0658A" w:rsidRDefault="00626001" w:rsidP="00004A41">
            <w:pPr>
              <w:suppressAutoHyphens/>
              <w:spacing w:after="0" w:line="240" w:lineRule="auto"/>
              <w:rPr>
                <w:rFonts w:ascii="Times New Roman" w:hAnsi="Times New Roman"/>
                <w:sz w:val="18"/>
                <w:szCs w:val="18"/>
              </w:rPr>
            </w:pPr>
            <w:r w:rsidRPr="00B0658A">
              <w:rPr>
                <w:rFonts w:ascii="Times New Roman" w:hAnsi="Times New Roman"/>
                <w:sz w:val="18"/>
                <w:szCs w:val="18"/>
              </w:rPr>
              <w:t xml:space="preserve">Средства анализа данных/ </w:t>
            </w:r>
          </w:p>
          <w:p w14:paraId="54ED484B" w14:textId="77777777" w:rsidR="00626001" w:rsidRPr="00B0658A" w:rsidRDefault="00626001" w:rsidP="00004A41">
            <w:pPr>
              <w:suppressAutoHyphens/>
              <w:spacing w:after="0" w:line="240" w:lineRule="auto"/>
              <w:rPr>
                <w:rFonts w:ascii="Times New Roman" w:hAnsi="Times New Roman"/>
                <w:sz w:val="18"/>
                <w:szCs w:val="18"/>
              </w:rPr>
            </w:pPr>
            <w:r w:rsidRPr="00B0658A">
              <w:rPr>
                <w:rFonts w:ascii="Times New Roman" w:hAnsi="Times New Roman"/>
                <w:sz w:val="18"/>
                <w:szCs w:val="18"/>
              </w:rPr>
              <w:t>Средства интеллектуального анализа данных (Data Mining)</w:t>
            </w:r>
          </w:p>
        </w:tc>
        <w:tc>
          <w:tcPr>
            <w:tcW w:w="1842" w:type="dxa"/>
            <w:shd w:val="clear" w:color="000000" w:fill="FFFFFF"/>
            <w:hideMark/>
          </w:tcPr>
          <w:p w14:paraId="2DFB4887" w14:textId="77777777" w:rsidR="00626001" w:rsidRPr="00B0658A" w:rsidRDefault="00626001" w:rsidP="00004A41">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79" w:type="dxa"/>
            <w:shd w:val="clear" w:color="000000" w:fill="FFFFFF"/>
            <w:vAlign w:val="center"/>
          </w:tcPr>
          <w:p w14:paraId="1C1A305F"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000000" w:fill="FFFFFF"/>
            <w:vAlign w:val="center"/>
            <w:hideMark/>
          </w:tcPr>
          <w:p w14:paraId="33BE715F"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000000" w:fill="FFFFFF"/>
            <w:vAlign w:val="center"/>
            <w:hideMark/>
          </w:tcPr>
          <w:p w14:paraId="2C102094"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000000" w:fill="FFFFFF"/>
            <w:vAlign w:val="center"/>
            <w:hideMark/>
          </w:tcPr>
          <w:p w14:paraId="01BEAA28" w14:textId="77777777" w:rsidR="00626001" w:rsidRPr="00B0658A" w:rsidRDefault="00626001" w:rsidP="00004A41">
            <w:pPr>
              <w:spacing w:after="0" w:line="240" w:lineRule="auto"/>
              <w:jc w:val="center"/>
              <w:rPr>
                <w:rFonts w:ascii="Times New Roman" w:hAnsi="Times New Roman"/>
                <w:sz w:val="18"/>
                <w:szCs w:val="18"/>
              </w:rPr>
            </w:pPr>
          </w:p>
        </w:tc>
        <w:tc>
          <w:tcPr>
            <w:tcW w:w="992" w:type="dxa"/>
            <w:shd w:val="clear" w:color="000000" w:fill="FFFFFF"/>
            <w:vAlign w:val="center"/>
          </w:tcPr>
          <w:p w14:paraId="0A927296" w14:textId="77777777" w:rsidR="00626001" w:rsidRPr="00B0658A" w:rsidRDefault="00626001" w:rsidP="00004A41">
            <w:pPr>
              <w:spacing w:after="0" w:line="240" w:lineRule="auto"/>
              <w:jc w:val="center"/>
              <w:rPr>
                <w:rFonts w:ascii="Times New Roman" w:hAnsi="Times New Roman"/>
                <w:sz w:val="18"/>
                <w:szCs w:val="18"/>
              </w:rPr>
            </w:pPr>
          </w:p>
        </w:tc>
        <w:tc>
          <w:tcPr>
            <w:tcW w:w="803" w:type="dxa"/>
            <w:shd w:val="clear" w:color="000000" w:fill="FFFFFF"/>
            <w:vAlign w:val="center"/>
            <w:hideMark/>
          </w:tcPr>
          <w:p w14:paraId="2F42A4DC" w14:textId="77777777" w:rsidR="00626001" w:rsidRPr="00B0658A" w:rsidRDefault="00626001" w:rsidP="00004A41">
            <w:pPr>
              <w:spacing w:after="0" w:line="240" w:lineRule="auto"/>
              <w:jc w:val="center"/>
              <w:rPr>
                <w:rFonts w:ascii="Times New Roman" w:hAnsi="Times New Roman"/>
                <w:sz w:val="18"/>
                <w:szCs w:val="18"/>
              </w:rPr>
            </w:pPr>
          </w:p>
        </w:tc>
        <w:tc>
          <w:tcPr>
            <w:tcW w:w="803" w:type="dxa"/>
            <w:shd w:val="clear" w:color="000000" w:fill="FFFFFF"/>
            <w:vAlign w:val="center"/>
            <w:hideMark/>
          </w:tcPr>
          <w:p w14:paraId="2ABB5784" w14:textId="77777777" w:rsidR="00626001" w:rsidRPr="00B0658A" w:rsidRDefault="00626001" w:rsidP="00004A41">
            <w:pPr>
              <w:spacing w:after="0" w:line="240" w:lineRule="auto"/>
              <w:jc w:val="center"/>
              <w:rPr>
                <w:rFonts w:ascii="Times New Roman" w:hAnsi="Times New Roman"/>
                <w:sz w:val="18"/>
                <w:szCs w:val="18"/>
              </w:rPr>
            </w:pPr>
          </w:p>
        </w:tc>
        <w:tc>
          <w:tcPr>
            <w:tcW w:w="804" w:type="dxa"/>
            <w:shd w:val="clear" w:color="000000" w:fill="FFFFFF"/>
            <w:vAlign w:val="center"/>
            <w:hideMark/>
          </w:tcPr>
          <w:p w14:paraId="7019381B" w14:textId="77777777" w:rsidR="00626001" w:rsidRPr="00B0658A" w:rsidRDefault="00626001" w:rsidP="00004A41">
            <w:pPr>
              <w:spacing w:after="0" w:line="240" w:lineRule="auto"/>
              <w:jc w:val="center"/>
              <w:rPr>
                <w:rFonts w:ascii="Times New Roman" w:hAnsi="Times New Roman"/>
                <w:sz w:val="18"/>
                <w:szCs w:val="18"/>
              </w:rPr>
            </w:pPr>
          </w:p>
        </w:tc>
        <w:tc>
          <w:tcPr>
            <w:tcW w:w="1530" w:type="dxa"/>
            <w:shd w:val="clear" w:color="000000" w:fill="FFFFFF"/>
            <w:vAlign w:val="center"/>
          </w:tcPr>
          <w:p w14:paraId="128A6181" w14:textId="77777777" w:rsidR="00626001" w:rsidRPr="00B0658A" w:rsidRDefault="00626001" w:rsidP="00004A41">
            <w:pPr>
              <w:spacing w:after="0" w:line="240" w:lineRule="auto"/>
              <w:jc w:val="center"/>
              <w:rPr>
                <w:rFonts w:ascii="Times New Roman" w:hAnsi="Times New Roman"/>
                <w:sz w:val="18"/>
                <w:szCs w:val="18"/>
              </w:rPr>
            </w:pPr>
          </w:p>
        </w:tc>
      </w:tr>
      <w:tr w:rsidR="00F52FED" w:rsidRPr="00B0658A" w14:paraId="3C2D1732" w14:textId="77777777" w:rsidTr="000103BB">
        <w:trPr>
          <w:trHeight w:val="20"/>
        </w:trPr>
        <w:tc>
          <w:tcPr>
            <w:tcW w:w="578" w:type="dxa"/>
            <w:shd w:val="clear" w:color="000000" w:fill="FFFFFF"/>
            <w:vAlign w:val="center"/>
          </w:tcPr>
          <w:p w14:paraId="4F5ADED4" w14:textId="77777777" w:rsidR="00626001" w:rsidRPr="00B0658A" w:rsidRDefault="00626001" w:rsidP="00004A41">
            <w:pPr>
              <w:spacing w:after="0" w:line="240" w:lineRule="auto"/>
              <w:jc w:val="center"/>
              <w:rPr>
                <w:rFonts w:ascii="Times New Roman" w:hAnsi="Times New Roman"/>
                <w:sz w:val="18"/>
                <w:szCs w:val="18"/>
              </w:rPr>
            </w:pPr>
            <w:r w:rsidRPr="00B0658A">
              <w:rPr>
                <w:rFonts w:ascii="Times New Roman" w:hAnsi="Times New Roman"/>
                <w:sz w:val="18"/>
                <w:szCs w:val="18"/>
              </w:rPr>
              <w:t>11.5</w:t>
            </w:r>
          </w:p>
        </w:tc>
        <w:tc>
          <w:tcPr>
            <w:tcW w:w="3812" w:type="dxa"/>
            <w:shd w:val="clear" w:color="auto" w:fill="auto"/>
            <w:vAlign w:val="center"/>
            <w:hideMark/>
          </w:tcPr>
          <w:p w14:paraId="6C233DCF" w14:textId="77777777" w:rsidR="00626001" w:rsidRPr="00B0658A" w:rsidRDefault="00626001" w:rsidP="00004A41">
            <w:pPr>
              <w:suppressAutoHyphens/>
              <w:spacing w:after="0" w:line="240" w:lineRule="auto"/>
              <w:rPr>
                <w:rFonts w:ascii="Times New Roman" w:hAnsi="Times New Roman"/>
                <w:sz w:val="18"/>
                <w:szCs w:val="18"/>
              </w:rPr>
            </w:pPr>
            <w:r w:rsidRPr="00B0658A">
              <w:rPr>
                <w:rFonts w:ascii="Times New Roman" w:hAnsi="Times New Roman"/>
                <w:sz w:val="18"/>
                <w:szCs w:val="18"/>
              </w:rPr>
              <w:t xml:space="preserve">Средства анализа данных/ </w:t>
            </w:r>
          </w:p>
          <w:p w14:paraId="1F072364" w14:textId="77777777" w:rsidR="00626001" w:rsidRPr="00B0658A" w:rsidRDefault="00626001" w:rsidP="00004A41">
            <w:pPr>
              <w:suppressAutoHyphens/>
              <w:spacing w:after="0" w:line="240" w:lineRule="auto"/>
              <w:rPr>
                <w:rFonts w:ascii="Times New Roman" w:hAnsi="Times New Roman"/>
                <w:sz w:val="18"/>
                <w:szCs w:val="18"/>
              </w:rPr>
            </w:pPr>
            <w:r w:rsidRPr="00B0658A">
              <w:rPr>
                <w:rFonts w:ascii="Times New Roman" w:hAnsi="Times New Roman"/>
                <w:sz w:val="18"/>
                <w:szCs w:val="18"/>
              </w:rPr>
              <w:t>Средства поддержки принятия решений (DSS)</w:t>
            </w:r>
          </w:p>
        </w:tc>
        <w:tc>
          <w:tcPr>
            <w:tcW w:w="1842" w:type="dxa"/>
            <w:shd w:val="clear" w:color="000000" w:fill="FFFFFF"/>
            <w:hideMark/>
          </w:tcPr>
          <w:p w14:paraId="6FE56A19" w14:textId="77777777" w:rsidR="00626001" w:rsidRPr="00B0658A" w:rsidRDefault="00626001" w:rsidP="00004A41">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79" w:type="dxa"/>
            <w:shd w:val="clear" w:color="000000" w:fill="FFFFFF"/>
            <w:vAlign w:val="center"/>
          </w:tcPr>
          <w:p w14:paraId="4F2438D1"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000000" w:fill="FFFFFF"/>
            <w:vAlign w:val="center"/>
            <w:hideMark/>
          </w:tcPr>
          <w:p w14:paraId="3BA48DF5"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000000" w:fill="FFFFFF"/>
            <w:vAlign w:val="center"/>
            <w:hideMark/>
          </w:tcPr>
          <w:p w14:paraId="32E6B64A"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000000" w:fill="FFFFFF"/>
            <w:vAlign w:val="center"/>
            <w:hideMark/>
          </w:tcPr>
          <w:p w14:paraId="57EBF6E5" w14:textId="77777777" w:rsidR="00626001" w:rsidRPr="00B0658A" w:rsidRDefault="00626001" w:rsidP="00004A41">
            <w:pPr>
              <w:spacing w:after="0" w:line="240" w:lineRule="auto"/>
              <w:jc w:val="center"/>
              <w:rPr>
                <w:rFonts w:ascii="Times New Roman" w:hAnsi="Times New Roman"/>
                <w:sz w:val="18"/>
                <w:szCs w:val="18"/>
              </w:rPr>
            </w:pPr>
          </w:p>
        </w:tc>
        <w:tc>
          <w:tcPr>
            <w:tcW w:w="992" w:type="dxa"/>
            <w:shd w:val="clear" w:color="000000" w:fill="FFFFFF"/>
            <w:vAlign w:val="center"/>
          </w:tcPr>
          <w:p w14:paraId="126B8A02" w14:textId="77777777" w:rsidR="00626001" w:rsidRPr="00B0658A" w:rsidRDefault="00626001" w:rsidP="00004A41">
            <w:pPr>
              <w:spacing w:after="0" w:line="240" w:lineRule="auto"/>
              <w:jc w:val="center"/>
              <w:rPr>
                <w:rFonts w:ascii="Times New Roman" w:hAnsi="Times New Roman"/>
                <w:sz w:val="18"/>
                <w:szCs w:val="18"/>
              </w:rPr>
            </w:pPr>
          </w:p>
        </w:tc>
        <w:tc>
          <w:tcPr>
            <w:tcW w:w="803" w:type="dxa"/>
            <w:shd w:val="clear" w:color="000000" w:fill="FFFFFF"/>
            <w:vAlign w:val="center"/>
            <w:hideMark/>
          </w:tcPr>
          <w:p w14:paraId="429A27E6" w14:textId="77777777" w:rsidR="00626001" w:rsidRPr="00B0658A" w:rsidRDefault="00626001" w:rsidP="00004A41">
            <w:pPr>
              <w:spacing w:after="0" w:line="240" w:lineRule="auto"/>
              <w:jc w:val="center"/>
              <w:rPr>
                <w:rFonts w:ascii="Times New Roman" w:hAnsi="Times New Roman"/>
                <w:sz w:val="18"/>
                <w:szCs w:val="18"/>
              </w:rPr>
            </w:pPr>
          </w:p>
        </w:tc>
        <w:tc>
          <w:tcPr>
            <w:tcW w:w="803" w:type="dxa"/>
            <w:shd w:val="clear" w:color="000000" w:fill="FFFFFF"/>
            <w:vAlign w:val="center"/>
            <w:hideMark/>
          </w:tcPr>
          <w:p w14:paraId="2EF96CBC" w14:textId="77777777" w:rsidR="00626001" w:rsidRPr="00B0658A" w:rsidRDefault="00626001" w:rsidP="00004A41">
            <w:pPr>
              <w:spacing w:after="0" w:line="240" w:lineRule="auto"/>
              <w:jc w:val="center"/>
              <w:rPr>
                <w:rFonts w:ascii="Times New Roman" w:hAnsi="Times New Roman"/>
                <w:sz w:val="18"/>
                <w:szCs w:val="18"/>
              </w:rPr>
            </w:pPr>
          </w:p>
        </w:tc>
        <w:tc>
          <w:tcPr>
            <w:tcW w:w="804" w:type="dxa"/>
            <w:shd w:val="clear" w:color="000000" w:fill="FFFFFF"/>
            <w:vAlign w:val="center"/>
            <w:hideMark/>
          </w:tcPr>
          <w:p w14:paraId="31CD3B65" w14:textId="77777777" w:rsidR="00626001" w:rsidRPr="00B0658A" w:rsidRDefault="00626001" w:rsidP="00004A41">
            <w:pPr>
              <w:spacing w:after="0" w:line="240" w:lineRule="auto"/>
              <w:jc w:val="center"/>
              <w:rPr>
                <w:rFonts w:ascii="Times New Roman" w:hAnsi="Times New Roman"/>
                <w:sz w:val="18"/>
                <w:szCs w:val="18"/>
              </w:rPr>
            </w:pPr>
          </w:p>
        </w:tc>
        <w:tc>
          <w:tcPr>
            <w:tcW w:w="1530" w:type="dxa"/>
            <w:shd w:val="clear" w:color="000000" w:fill="FFFFFF"/>
            <w:vAlign w:val="center"/>
          </w:tcPr>
          <w:p w14:paraId="296C5607" w14:textId="77777777" w:rsidR="00626001" w:rsidRPr="00B0658A" w:rsidRDefault="00626001" w:rsidP="00004A41">
            <w:pPr>
              <w:spacing w:after="0" w:line="240" w:lineRule="auto"/>
              <w:jc w:val="center"/>
              <w:rPr>
                <w:rFonts w:ascii="Times New Roman" w:hAnsi="Times New Roman"/>
                <w:sz w:val="18"/>
                <w:szCs w:val="18"/>
              </w:rPr>
            </w:pPr>
          </w:p>
        </w:tc>
      </w:tr>
      <w:tr w:rsidR="00F52FED" w:rsidRPr="00B0658A" w14:paraId="73B0D42A" w14:textId="77777777" w:rsidTr="000103BB">
        <w:trPr>
          <w:trHeight w:val="20"/>
        </w:trPr>
        <w:tc>
          <w:tcPr>
            <w:tcW w:w="578" w:type="dxa"/>
            <w:shd w:val="clear" w:color="000000" w:fill="FFFFFF"/>
            <w:vAlign w:val="center"/>
          </w:tcPr>
          <w:p w14:paraId="28DFAC09" w14:textId="77777777" w:rsidR="00626001" w:rsidRPr="00B0658A" w:rsidRDefault="00626001" w:rsidP="00004A41">
            <w:pPr>
              <w:spacing w:after="0" w:line="240" w:lineRule="auto"/>
              <w:jc w:val="center"/>
              <w:rPr>
                <w:rFonts w:ascii="Times New Roman" w:hAnsi="Times New Roman"/>
                <w:sz w:val="18"/>
                <w:szCs w:val="18"/>
              </w:rPr>
            </w:pPr>
            <w:r w:rsidRPr="00B0658A">
              <w:rPr>
                <w:rFonts w:ascii="Times New Roman" w:hAnsi="Times New Roman"/>
                <w:sz w:val="18"/>
                <w:szCs w:val="18"/>
              </w:rPr>
              <w:t>11.6</w:t>
            </w:r>
          </w:p>
        </w:tc>
        <w:tc>
          <w:tcPr>
            <w:tcW w:w="3812" w:type="dxa"/>
            <w:shd w:val="clear" w:color="auto" w:fill="auto"/>
            <w:vAlign w:val="center"/>
            <w:hideMark/>
          </w:tcPr>
          <w:p w14:paraId="27D7AB10" w14:textId="77777777" w:rsidR="00626001" w:rsidRPr="00B0658A" w:rsidRDefault="00626001" w:rsidP="00004A41">
            <w:pPr>
              <w:spacing w:after="0" w:line="240" w:lineRule="auto"/>
              <w:rPr>
                <w:rFonts w:ascii="Times New Roman" w:hAnsi="Times New Roman"/>
                <w:sz w:val="18"/>
                <w:szCs w:val="18"/>
              </w:rPr>
            </w:pPr>
            <w:r w:rsidRPr="00B0658A">
              <w:rPr>
                <w:rFonts w:ascii="Times New Roman" w:hAnsi="Times New Roman"/>
                <w:sz w:val="18"/>
                <w:szCs w:val="18"/>
              </w:rPr>
              <w:t xml:space="preserve">Средства анализа данных/ Инструменты обработки, анализа </w:t>
            </w:r>
            <w:r w:rsidRPr="00B0658A">
              <w:rPr>
                <w:rFonts w:ascii="Times New Roman" w:hAnsi="Times New Roman"/>
                <w:sz w:val="18"/>
                <w:szCs w:val="18"/>
              </w:rPr>
              <w:br/>
              <w:t>и распознавания изображений</w:t>
            </w:r>
          </w:p>
        </w:tc>
        <w:tc>
          <w:tcPr>
            <w:tcW w:w="1842" w:type="dxa"/>
            <w:shd w:val="clear" w:color="000000" w:fill="FFFFFF"/>
            <w:hideMark/>
          </w:tcPr>
          <w:p w14:paraId="17CA5DD5" w14:textId="77777777" w:rsidR="00626001" w:rsidRPr="00B0658A" w:rsidRDefault="00626001" w:rsidP="00004A41">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79" w:type="dxa"/>
            <w:shd w:val="clear" w:color="000000" w:fill="FFFFFF"/>
            <w:vAlign w:val="center"/>
          </w:tcPr>
          <w:p w14:paraId="497E5FC3"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000000" w:fill="FFFFFF"/>
            <w:vAlign w:val="center"/>
            <w:hideMark/>
          </w:tcPr>
          <w:p w14:paraId="102C9C33"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000000" w:fill="FFFFFF"/>
            <w:vAlign w:val="center"/>
            <w:hideMark/>
          </w:tcPr>
          <w:p w14:paraId="1A711AA2" w14:textId="77777777" w:rsidR="00626001" w:rsidRPr="00B0658A" w:rsidRDefault="00626001" w:rsidP="00004A41">
            <w:pPr>
              <w:spacing w:after="0" w:line="240" w:lineRule="auto"/>
              <w:jc w:val="center"/>
              <w:rPr>
                <w:rFonts w:ascii="Times New Roman" w:hAnsi="Times New Roman"/>
                <w:sz w:val="18"/>
                <w:szCs w:val="18"/>
              </w:rPr>
            </w:pPr>
          </w:p>
        </w:tc>
        <w:tc>
          <w:tcPr>
            <w:tcW w:w="780" w:type="dxa"/>
            <w:shd w:val="clear" w:color="000000" w:fill="FFFFFF"/>
            <w:vAlign w:val="center"/>
            <w:hideMark/>
          </w:tcPr>
          <w:p w14:paraId="001784FC" w14:textId="77777777" w:rsidR="00626001" w:rsidRPr="00B0658A" w:rsidRDefault="00626001" w:rsidP="00004A41">
            <w:pPr>
              <w:spacing w:after="0" w:line="240" w:lineRule="auto"/>
              <w:jc w:val="center"/>
              <w:rPr>
                <w:rFonts w:ascii="Times New Roman" w:hAnsi="Times New Roman"/>
                <w:sz w:val="18"/>
                <w:szCs w:val="18"/>
              </w:rPr>
            </w:pPr>
          </w:p>
        </w:tc>
        <w:tc>
          <w:tcPr>
            <w:tcW w:w="992" w:type="dxa"/>
            <w:shd w:val="clear" w:color="000000" w:fill="FFFFFF"/>
            <w:vAlign w:val="center"/>
          </w:tcPr>
          <w:p w14:paraId="215559A4" w14:textId="77777777" w:rsidR="00626001" w:rsidRPr="00B0658A" w:rsidRDefault="00626001" w:rsidP="00004A41">
            <w:pPr>
              <w:spacing w:after="0" w:line="240" w:lineRule="auto"/>
              <w:jc w:val="center"/>
              <w:rPr>
                <w:rFonts w:ascii="Times New Roman" w:hAnsi="Times New Roman"/>
                <w:sz w:val="18"/>
                <w:szCs w:val="18"/>
              </w:rPr>
            </w:pPr>
          </w:p>
        </w:tc>
        <w:tc>
          <w:tcPr>
            <w:tcW w:w="803" w:type="dxa"/>
            <w:shd w:val="clear" w:color="000000" w:fill="FFFFFF"/>
            <w:vAlign w:val="center"/>
            <w:hideMark/>
          </w:tcPr>
          <w:p w14:paraId="625CB4DB" w14:textId="77777777" w:rsidR="00626001" w:rsidRPr="00B0658A" w:rsidRDefault="00626001" w:rsidP="00004A41">
            <w:pPr>
              <w:spacing w:after="0" w:line="240" w:lineRule="auto"/>
              <w:jc w:val="center"/>
              <w:rPr>
                <w:rFonts w:ascii="Times New Roman" w:hAnsi="Times New Roman"/>
                <w:sz w:val="18"/>
                <w:szCs w:val="18"/>
              </w:rPr>
            </w:pPr>
          </w:p>
        </w:tc>
        <w:tc>
          <w:tcPr>
            <w:tcW w:w="803" w:type="dxa"/>
            <w:shd w:val="clear" w:color="000000" w:fill="FFFFFF"/>
            <w:vAlign w:val="center"/>
            <w:hideMark/>
          </w:tcPr>
          <w:p w14:paraId="19931997" w14:textId="77777777" w:rsidR="00626001" w:rsidRPr="00B0658A" w:rsidRDefault="00626001" w:rsidP="00004A41">
            <w:pPr>
              <w:spacing w:after="0" w:line="240" w:lineRule="auto"/>
              <w:jc w:val="center"/>
              <w:rPr>
                <w:rFonts w:ascii="Times New Roman" w:hAnsi="Times New Roman"/>
                <w:sz w:val="18"/>
                <w:szCs w:val="18"/>
              </w:rPr>
            </w:pPr>
          </w:p>
        </w:tc>
        <w:tc>
          <w:tcPr>
            <w:tcW w:w="804" w:type="dxa"/>
            <w:shd w:val="clear" w:color="000000" w:fill="FFFFFF"/>
            <w:vAlign w:val="center"/>
            <w:hideMark/>
          </w:tcPr>
          <w:p w14:paraId="3B497C24" w14:textId="77777777" w:rsidR="00626001" w:rsidRPr="00B0658A" w:rsidRDefault="00626001" w:rsidP="00004A41">
            <w:pPr>
              <w:spacing w:after="0" w:line="240" w:lineRule="auto"/>
              <w:jc w:val="center"/>
              <w:rPr>
                <w:rFonts w:ascii="Times New Roman" w:hAnsi="Times New Roman"/>
                <w:sz w:val="18"/>
                <w:szCs w:val="18"/>
              </w:rPr>
            </w:pPr>
          </w:p>
        </w:tc>
        <w:tc>
          <w:tcPr>
            <w:tcW w:w="1530" w:type="dxa"/>
            <w:shd w:val="clear" w:color="000000" w:fill="FFFFFF"/>
            <w:vAlign w:val="center"/>
          </w:tcPr>
          <w:p w14:paraId="0D2C3318" w14:textId="77777777" w:rsidR="00626001" w:rsidRPr="00B0658A" w:rsidRDefault="00626001" w:rsidP="00004A41">
            <w:pPr>
              <w:spacing w:after="0" w:line="240" w:lineRule="auto"/>
              <w:jc w:val="center"/>
              <w:rPr>
                <w:rFonts w:ascii="Times New Roman" w:hAnsi="Times New Roman"/>
                <w:sz w:val="18"/>
                <w:szCs w:val="18"/>
              </w:rPr>
            </w:pPr>
          </w:p>
        </w:tc>
      </w:tr>
    </w:tbl>
    <w:p w14:paraId="61C85527" w14:textId="77777777" w:rsidR="0081450D" w:rsidRPr="00B0658A" w:rsidRDefault="0081450D" w:rsidP="0081450D">
      <w:pPr>
        <w:pStyle w:val="ConsPlusNormal"/>
        <w:spacing w:before="120"/>
        <w:jc w:val="both"/>
        <w:rPr>
          <w:sz w:val="28"/>
        </w:rPr>
      </w:pPr>
    </w:p>
    <w:p w14:paraId="5D77A9C9" w14:textId="77777777" w:rsidR="0081450D" w:rsidRPr="00B0658A" w:rsidRDefault="0081450D" w:rsidP="0081450D">
      <w:pPr>
        <w:pStyle w:val="ConsPlusNormal"/>
        <w:spacing w:before="120"/>
        <w:jc w:val="both"/>
      </w:pPr>
      <w:r w:rsidRPr="00B0658A">
        <w:rPr>
          <w:sz w:val="28"/>
        </w:rPr>
        <w:t>Раздел 3. «Показатели эффективности в отношении закупок ПО и связанных с ним работ и услуг»</w:t>
      </w:r>
    </w:p>
    <w:tbl>
      <w:tblPr>
        <w:tblW w:w="5000" w:type="pct"/>
        <w:tblCellMar>
          <w:top w:w="102" w:type="dxa"/>
          <w:left w:w="62" w:type="dxa"/>
          <w:bottom w:w="102" w:type="dxa"/>
          <w:right w:w="62" w:type="dxa"/>
        </w:tblCellMar>
        <w:tblLook w:val="0000" w:firstRow="0" w:lastRow="0" w:firstColumn="0" w:lastColumn="0" w:noHBand="0" w:noVBand="0"/>
      </w:tblPr>
      <w:tblGrid>
        <w:gridCol w:w="4633"/>
        <w:gridCol w:w="1331"/>
        <w:gridCol w:w="1330"/>
        <w:gridCol w:w="1330"/>
        <w:gridCol w:w="1330"/>
        <w:gridCol w:w="1330"/>
        <w:gridCol w:w="1330"/>
        <w:gridCol w:w="1330"/>
      </w:tblGrid>
      <w:tr w:rsidR="00F52FED" w:rsidRPr="00B0658A" w14:paraId="08A2D659" w14:textId="77777777" w:rsidTr="0081450D">
        <w:trPr>
          <w:trHeight w:val="409"/>
        </w:trPr>
        <w:tc>
          <w:tcPr>
            <w:tcW w:w="1661"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2B95E15" w14:textId="77777777" w:rsidR="0081450D" w:rsidRPr="00B0658A" w:rsidRDefault="0081450D" w:rsidP="00004A41">
            <w:pPr>
              <w:spacing w:after="0" w:line="240" w:lineRule="auto"/>
              <w:jc w:val="center"/>
              <w:rPr>
                <w:rFonts w:ascii="Times New Roman" w:hAnsi="Times New Roman"/>
                <w:sz w:val="24"/>
                <w:szCs w:val="24"/>
              </w:rPr>
            </w:pPr>
            <w:r w:rsidRPr="00B0658A">
              <w:rPr>
                <w:rFonts w:ascii="Times New Roman" w:hAnsi="Times New Roman"/>
                <w:b/>
                <w:bCs/>
                <w:sz w:val="24"/>
                <w:szCs w:val="24"/>
              </w:rPr>
              <w:t>Показатель</w:t>
            </w:r>
          </w:p>
        </w:tc>
        <w:tc>
          <w:tcPr>
            <w:tcW w:w="477"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C5B3235" w14:textId="77777777" w:rsidR="0081450D" w:rsidRPr="00B0658A" w:rsidRDefault="0081450D" w:rsidP="00004A41">
            <w:pPr>
              <w:spacing w:after="0" w:line="240" w:lineRule="auto"/>
              <w:jc w:val="center"/>
              <w:rPr>
                <w:rFonts w:ascii="Times New Roman" w:hAnsi="Times New Roman"/>
                <w:b/>
                <w:bCs/>
                <w:sz w:val="24"/>
                <w:szCs w:val="24"/>
              </w:rPr>
            </w:pPr>
            <w:r w:rsidRPr="00B0658A">
              <w:rPr>
                <w:rFonts w:ascii="Times New Roman" w:hAnsi="Times New Roman"/>
                <w:b/>
                <w:bCs/>
                <w:sz w:val="24"/>
                <w:szCs w:val="24"/>
              </w:rPr>
              <w:t>2021 г.</w:t>
            </w:r>
          </w:p>
          <w:p w14:paraId="41A1E848" w14:textId="77777777" w:rsidR="0081450D" w:rsidRPr="00B0658A" w:rsidRDefault="0081450D" w:rsidP="00004A41">
            <w:pPr>
              <w:pStyle w:val="ConsPlusNormal"/>
              <w:jc w:val="center"/>
            </w:pPr>
            <w:r w:rsidRPr="00B0658A">
              <w:rPr>
                <w:b/>
                <w:bCs/>
              </w:rPr>
              <w:t>(факт)</w:t>
            </w:r>
          </w:p>
        </w:tc>
        <w:tc>
          <w:tcPr>
            <w:tcW w:w="477"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B58E181" w14:textId="77777777" w:rsidR="0081450D" w:rsidRPr="00B0658A" w:rsidRDefault="0081450D" w:rsidP="00004A41">
            <w:pPr>
              <w:spacing w:after="0" w:line="240" w:lineRule="auto"/>
              <w:jc w:val="center"/>
              <w:rPr>
                <w:rFonts w:ascii="Times New Roman" w:hAnsi="Times New Roman"/>
                <w:b/>
                <w:bCs/>
                <w:sz w:val="24"/>
                <w:szCs w:val="24"/>
              </w:rPr>
            </w:pPr>
            <w:r w:rsidRPr="00B0658A">
              <w:rPr>
                <w:rFonts w:ascii="Times New Roman" w:hAnsi="Times New Roman"/>
                <w:b/>
                <w:bCs/>
                <w:sz w:val="24"/>
                <w:szCs w:val="24"/>
              </w:rPr>
              <w:t>2022 г.</w:t>
            </w:r>
          </w:p>
          <w:p w14:paraId="1BCFF96B" w14:textId="77777777" w:rsidR="0081450D" w:rsidRPr="00B0658A" w:rsidRDefault="0081450D" w:rsidP="00004A41">
            <w:pPr>
              <w:pStyle w:val="ConsPlusNormal"/>
              <w:jc w:val="center"/>
              <w:rPr>
                <w:b/>
                <w:bCs/>
              </w:rPr>
            </w:pPr>
            <w:r w:rsidRPr="00B0658A">
              <w:rPr>
                <w:b/>
                <w:bCs/>
              </w:rPr>
              <w:t>(план)</w:t>
            </w:r>
          </w:p>
        </w:tc>
        <w:tc>
          <w:tcPr>
            <w:tcW w:w="477"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4A0328C" w14:textId="77777777" w:rsidR="0081450D" w:rsidRPr="00B0658A" w:rsidRDefault="0081450D" w:rsidP="00004A41">
            <w:pPr>
              <w:spacing w:after="0" w:line="240" w:lineRule="auto"/>
              <w:jc w:val="center"/>
              <w:rPr>
                <w:rFonts w:ascii="Times New Roman" w:hAnsi="Times New Roman"/>
                <w:b/>
                <w:bCs/>
                <w:sz w:val="24"/>
                <w:szCs w:val="24"/>
              </w:rPr>
            </w:pPr>
            <w:r w:rsidRPr="00B0658A">
              <w:rPr>
                <w:rFonts w:ascii="Times New Roman" w:hAnsi="Times New Roman"/>
                <w:b/>
                <w:bCs/>
                <w:sz w:val="24"/>
                <w:szCs w:val="24"/>
              </w:rPr>
              <w:t>2023 г.</w:t>
            </w:r>
          </w:p>
          <w:p w14:paraId="60BFF2EF" w14:textId="77777777" w:rsidR="0081450D" w:rsidRPr="00B0658A" w:rsidRDefault="0081450D" w:rsidP="00004A41">
            <w:pPr>
              <w:pStyle w:val="ConsPlusNormal"/>
              <w:jc w:val="center"/>
              <w:rPr>
                <w:b/>
                <w:bCs/>
              </w:rPr>
            </w:pPr>
            <w:r w:rsidRPr="00B0658A">
              <w:rPr>
                <w:b/>
                <w:bCs/>
              </w:rPr>
              <w:t>(план)</w:t>
            </w:r>
          </w:p>
        </w:tc>
        <w:tc>
          <w:tcPr>
            <w:tcW w:w="477"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ED79F01" w14:textId="77777777" w:rsidR="0081450D" w:rsidRPr="00B0658A" w:rsidRDefault="0081450D" w:rsidP="00004A41">
            <w:pPr>
              <w:spacing w:after="0" w:line="240" w:lineRule="auto"/>
              <w:jc w:val="center"/>
              <w:rPr>
                <w:rFonts w:ascii="Times New Roman" w:hAnsi="Times New Roman"/>
                <w:b/>
                <w:bCs/>
                <w:sz w:val="24"/>
                <w:szCs w:val="24"/>
              </w:rPr>
            </w:pPr>
            <w:r w:rsidRPr="00B0658A">
              <w:rPr>
                <w:rFonts w:ascii="Times New Roman" w:hAnsi="Times New Roman"/>
                <w:b/>
                <w:bCs/>
                <w:sz w:val="24"/>
                <w:szCs w:val="24"/>
              </w:rPr>
              <w:t>2024 г.</w:t>
            </w:r>
          </w:p>
          <w:p w14:paraId="70FBBD94" w14:textId="77777777" w:rsidR="0081450D" w:rsidRPr="00B0658A" w:rsidRDefault="0081450D" w:rsidP="00004A41">
            <w:pPr>
              <w:pStyle w:val="ConsPlusNormal"/>
              <w:jc w:val="center"/>
              <w:rPr>
                <w:b/>
                <w:bCs/>
              </w:rPr>
            </w:pPr>
            <w:r w:rsidRPr="00B0658A">
              <w:rPr>
                <w:b/>
                <w:bCs/>
              </w:rPr>
              <w:t>(план)</w:t>
            </w:r>
          </w:p>
        </w:tc>
        <w:tc>
          <w:tcPr>
            <w:tcW w:w="477"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4A4DD44" w14:textId="77777777" w:rsidR="0081450D" w:rsidRPr="00B0658A" w:rsidRDefault="0081450D" w:rsidP="00004A41">
            <w:pPr>
              <w:spacing w:after="0" w:line="240" w:lineRule="auto"/>
              <w:jc w:val="center"/>
              <w:rPr>
                <w:rFonts w:ascii="Times New Roman" w:hAnsi="Times New Roman"/>
                <w:b/>
                <w:bCs/>
                <w:sz w:val="24"/>
                <w:szCs w:val="24"/>
              </w:rPr>
            </w:pPr>
            <w:r w:rsidRPr="00B0658A">
              <w:rPr>
                <w:rFonts w:ascii="Times New Roman" w:hAnsi="Times New Roman"/>
                <w:b/>
                <w:bCs/>
                <w:sz w:val="24"/>
                <w:szCs w:val="24"/>
              </w:rPr>
              <w:t>2025 г.</w:t>
            </w:r>
          </w:p>
          <w:p w14:paraId="43C92EFA" w14:textId="77777777" w:rsidR="0081450D" w:rsidRPr="00B0658A" w:rsidRDefault="0081450D" w:rsidP="00004A41">
            <w:pPr>
              <w:pStyle w:val="ConsPlusNormal"/>
              <w:jc w:val="center"/>
              <w:rPr>
                <w:b/>
                <w:bCs/>
              </w:rPr>
            </w:pPr>
            <w:r w:rsidRPr="00B0658A">
              <w:rPr>
                <w:b/>
                <w:bCs/>
              </w:rPr>
              <w:t>(план)</w:t>
            </w:r>
          </w:p>
        </w:tc>
        <w:tc>
          <w:tcPr>
            <w:tcW w:w="477"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81C0C48" w14:textId="77777777" w:rsidR="0081450D" w:rsidRPr="00B0658A" w:rsidRDefault="0081450D" w:rsidP="00004A41">
            <w:pPr>
              <w:spacing w:after="0" w:line="240" w:lineRule="auto"/>
              <w:jc w:val="center"/>
              <w:rPr>
                <w:rFonts w:ascii="Times New Roman" w:hAnsi="Times New Roman"/>
                <w:b/>
                <w:bCs/>
                <w:sz w:val="24"/>
                <w:szCs w:val="24"/>
              </w:rPr>
            </w:pPr>
            <w:r w:rsidRPr="00B0658A">
              <w:rPr>
                <w:rFonts w:ascii="Times New Roman" w:hAnsi="Times New Roman"/>
                <w:b/>
                <w:bCs/>
                <w:sz w:val="24"/>
                <w:szCs w:val="24"/>
              </w:rPr>
              <w:t>2026 г.</w:t>
            </w:r>
          </w:p>
          <w:p w14:paraId="070FE95F" w14:textId="77777777" w:rsidR="0081450D" w:rsidRPr="00B0658A" w:rsidRDefault="0081450D" w:rsidP="00004A41">
            <w:pPr>
              <w:pStyle w:val="ConsPlusNormal"/>
              <w:jc w:val="center"/>
              <w:rPr>
                <w:b/>
                <w:bCs/>
              </w:rPr>
            </w:pPr>
            <w:r w:rsidRPr="00B0658A">
              <w:rPr>
                <w:b/>
                <w:bCs/>
              </w:rPr>
              <w:t>(план)</w:t>
            </w:r>
          </w:p>
        </w:tc>
        <w:tc>
          <w:tcPr>
            <w:tcW w:w="477"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878925E" w14:textId="77777777" w:rsidR="0081450D" w:rsidRPr="00B0658A" w:rsidRDefault="0081450D" w:rsidP="00004A41">
            <w:pPr>
              <w:spacing w:after="0" w:line="240" w:lineRule="auto"/>
              <w:jc w:val="center"/>
              <w:rPr>
                <w:rFonts w:ascii="Times New Roman" w:hAnsi="Times New Roman"/>
                <w:b/>
                <w:bCs/>
                <w:sz w:val="24"/>
                <w:szCs w:val="24"/>
              </w:rPr>
            </w:pPr>
            <w:r w:rsidRPr="00B0658A">
              <w:rPr>
                <w:rFonts w:ascii="Times New Roman" w:hAnsi="Times New Roman"/>
                <w:b/>
                <w:bCs/>
                <w:sz w:val="24"/>
                <w:szCs w:val="24"/>
              </w:rPr>
              <w:t>2027 г.</w:t>
            </w:r>
          </w:p>
          <w:p w14:paraId="1493E41D" w14:textId="77777777" w:rsidR="0081450D" w:rsidRPr="00B0658A" w:rsidRDefault="0081450D" w:rsidP="00004A41">
            <w:pPr>
              <w:pStyle w:val="ConsPlusNormal"/>
              <w:jc w:val="center"/>
              <w:rPr>
                <w:b/>
                <w:bCs/>
              </w:rPr>
            </w:pPr>
            <w:r w:rsidRPr="00B0658A">
              <w:rPr>
                <w:b/>
                <w:bCs/>
              </w:rPr>
              <w:t>(план)</w:t>
            </w:r>
          </w:p>
        </w:tc>
      </w:tr>
      <w:tr w:rsidR="0081450D" w:rsidRPr="00B0658A" w14:paraId="221ED428" w14:textId="77777777" w:rsidTr="0081450D">
        <w:trPr>
          <w:trHeight w:val="409"/>
        </w:trPr>
        <w:tc>
          <w:tcPr>
            <w:tcW w:w="1661" w:type="pct"/>
            <w:tcBorders>
              <w:top w:val="single" w:sz="4" w:space="0" w:color="auto"/>
              <w:left w:val="single" w:sz="4" w:space="0" w:color="auto"/>
              <w:bottom w:val="single" w:sz="4" w:space="0" w:color="auto"/>
              <w:right w:val="single" w:sz="4" w:space="0" w:color="auto"/>
            </w:tcBorders>
          </w:tcPr>
          <w:p w14:paraId="6A05D571" w14:textId="77777777" w:rsidR="0081450D" w:rsidRPr="00B0658A" w:rsidRDefault="0081450D" w:rsidP="00004A41">
            <w:pPr>
              <w:pStyle w:val="ConsPlusNormal"/>
            </w:pPr>
            <w:r w:rsidRPr="00B0658A">
              <w:t>Доля расходов на закупку российского ПО и связанных с ним работ (услуг) в общем объеме расходов на закупку ПО и связанных с ним работ (услуг), %</w:t>
            </w:r>
          </w:p>
        </w:tc>
        <w:tc>
          <w:tcPr>
            <w:tcW w:w="477" w:type="pct"/>
            <w:tcBorders>
              <w:top w:val="single" w:sz="4" w:space="0" w:color="auto"/>
              <w:left w:val="single" w:sz="4" w:space="0" w:color="auto"/>
              <w:bottom w:val="single" w:sz="4" w:space="0" w:color="auto"/>
              <w:right w:val="single" w:sz="4" w:space="0" w:color="auto"/>
            </w:tcBorders>
            <w:vAlign w:val="center"/>
          </w:tcPr>
          <w:p w14:paraId="7CDA4A55" w14:textId="77777777" w:rsidR="0081450D" w:rsidRPr="00B0658A" w:rsidRDefault="0081450D" w:rsidP="00004A41">
            <w:pPr>
              <w:pStyle w:val="ConsPlusNormal"/>
              <w:jc w:val="center"/>
            </w:pPr>
          </w:p>
        </w:tc>
        <w:tc>
          <w:tcPr>
            <w:tcW w:w="477" w:type="pct"/>
            <w:tcBorders>
              <w:top w:val="single" w:sz="4" w:space="0" w:color="auto"/>
              <w:left w:val="single" w:sz="4" w:space="0" w:color="auto"/>
              <w:bottom w:val="single" w:sz="4" w:space="0" w:color="auto"/>
              <w:right w:val="single" w:sz="4" w:space="0" w:color="auto"/>
            </w:tcBorders>
            <w:vAlign w:val="center"/>
          </w:tcPr>
          <w:p w14:paraId="5D628980" w14:textId="77777777" w:rsidR="0081450D" w:rsidRPr="00B0658A" w:rsidRDefault="0081450D" w:rsidP="00004A41">
            <w:pPr>
              <w:pStyle w:val="ConsPlusNormal"/>
              <w:jc w:val="center"/>
            </w:pPr>
          </w:p>
        </w:tc>
        <w:tc>
          <w:tcPr>
            <w:tcW w:w="477" w:type="pct"/>
            <w:tcBorders>
              <w:top w:val="single" w:sz="4" w:space="0" w:color="auto"/>
              <w:left w:val="single" w:sz="4" w:space="0" w:color="auto"/>
              <w:bottom w:val="single" w:sz="4" w:space="0" w:color="auto"/>
              <w:right w:val="single" w:sz="4" w:space="0" w:color="auto"/>
            </w:tcBorders>
            <w:vAlign w:val="center"/>
          </w:tcPr>
          <w:p w14:paraId="2841DFA0" w14:textId="77777777" w:rsidR="0081450D" w:rsidRPr="00B0658A" w:rsidRDefault="0081450D" w:rsidP="00004A41">
            <w:pPr>
              <w:pStyle w:val="ConsPlusNormal"/>
              <w:jc w:val="center"/>
            </w:pPr>
          </w:p>
        </w:tc>
        <w:tc>
          <w:tcPr>
            <w:tcW w:w="477" w:type="pct"/>
            <w:tcBorders>
              <w:top w:val="single" w:sz="4" w:space="0" w:color="auto"/>
              <w:left w:val="single" w:sz="4" w:space="0" w:color="auto"/>
              <w:bottom w:val="single" w:sz="4" w:space="0" w:color="auto"/>
              <w:right w:val="single" w:sz="4" w:space="0" w:color="auto"/>
            </w:tcBorders>
            <w:vAlign w:val="center"/>
          </w:tcPr>
          <w:p w14:paraId="022CB4BA" w14:textId="77777777" w:rsidR="0081450D" w:rsidRPr="00B0658A" w:rsidRDefault="0081450D" w:rsidP="00004A41">
            <w:pPr>
              <w:pStyle w:val="ConsPlusNormal"/>
              <w:jc w:val="center"/>
            </w:pPr>
          </w:p>
        </w:tc>
        <w:tc>
          <w:tcPr>
            <w:tcW w:w="477" w:type="pct"/>
            <w:tcBorders>
              <w:top w:val="single" w:sz="4" w:space="0" w:color="auto"/>
              <w:left w:val="single" w:sz="4" w:space="0" w:color="auto"/>
              <w:bottom w:val="single" w:sz="4" w:space="0" w:color="auto"/>
              <w:right w:val="single" w:sz="4" w:space="0" w:color="auto"/>
            </w:tcBorders>
            <w:vAlign w:val="center"/>
          </w:tcPr>
          <w:p w14:paraId="081DEE82" w14:textId="77777777" w:rsidR="0081450D" w:rsidRPr="00B0658A" w:rsidRDefault="0081450D" w:rsidP="00004A41">
            <w:pPr>
              <w:pStyle w:val="ConsPlusNormal"/>
              <w:jc w:val="center"/>
            </w:pPr>
          </w:p>
        </w:tc>
        <w:tc>
          <w:tcPr>
            <w:tcW w:w="477" w:type="pct"/>
            <w:tcBorders>
              <w:top w:val="single" w:sz="4" w:space="0" w:color="auto"/>
              <w:left w:val="single" w:sz="4" w:space="0" w:color="auto"/>
              <w:bottom w:val="single" w:sz="4" w:space="0" w:color="auto"/>
              <w:right w:val="single" w:sz="4" w:space="0" w:color="auto"/>
            </w:tcBorders>
            <w:vAlign w:val="center"/>
          </w:tcPr>
          <w:p w14:paraId="7F53A7C6" w14:textId="77777777" w:rsidR="0081450D" w:rsidRPr="00B0658A" w:rsidRDefault="0081450D" w:rsidP="00004A41">
            <w:pPr>
              <w:pStyle w:val="ConsPlusNormal"/>
              <w:jc w:val="center"/>
            </w:pPr>
          </w:p>
        </w:tc>
        <w:tc>
          <w:tcPr>
            <w:tcW w:w="477" w:type="pct"/>
            <w:tcBorders>
              <w:top w:val="single" w:sz="4" w:space="0" w:color="auto"/>
              <w:left w:val="single" w:sz="4" w:space="0" w:color="auto"/>
              <w:bottom w:val="single" w:sz="4" w:space="0" w:color="auto"/>
              <w:right w:val="single" w:sz="4" w:space="0" w:color="auto"/>
            </w:tcBorders>
            <w:vAlign w:val="center"/>
          </w:tcPr>
          <w:p w14:paraId="475850C1" w14:textId="77777777" w:rsidR="0081450D" w:rsidRPr="00B0658A" w:rsidRDefault="0081450D" w:rsidP="00004A41">
            <w:pPr>
              <w:pStyle w:val="ConsPlusNormal"/>
              <w:jc w:val="center"/>
            </w:pPr>
          </w:p>
        </w:tc>
      </w:tr>
    </w:tbl>
    <w:p w14:paraId="7271C013" w14:textId="77777777" w:rsidR="00A97B77" w:rsidRDefault="00A97B77">
      <w:pPr>
        <w:spacing w:after="0" w:line="240" w:lineRule="auto"/>
        <w:rPr>
          <w:rFonts w:ascii="Times New Roman" w:hAnsi="Times New Roman"/>
          <w:sz w:val="28"/>
          <w:szCs w:val="24"/>
        </w:rPr>
      </w:pPr>
      <w:r>
        <w:rPr>
          <w:rFonts w:ascii="Times New Roman" w:hAnsi="Times New Roman"/>
          <w:sz w:val="28"/>
          <w:szCs w:val="24"/>
        </w:rPr>
        <w:br w:type="page"/>
      </w:r>
    </w:p>
    <w:p w14:paraId="10E28481" w14:textId="77777777" w:rsidR="0081450D" w:rsidRPr="00B0658A" w:rsidRDefault="0081450D" w:rsidP="0081450D">
      <w:pPr>
        <w:pStyle w:val="ConsPlusNormal"/>
        <w:spacing w:before="120"/>
        <w:jc w:val="both"/>
      </w:pPr>
      <w:r w:rsidRPr="00B0658A">
        <w:rPr>
          <w:sz w:val="28"/>
        </w:rPr>
        <w:t>Раздел 4. «</w:t>
      </w:r>
      <w:r w:rsidRPr="00B0658A">
        <w:rPr>
          <w:sz w:val="28"/>
          <w:lang w:val="en-US"/>
        </w:rPr>
        <w:t>C</w:t>
      </w:r>
      <w:r w:rsidRPr="00B0658A">
        <w:rPr>
          <w:sz w:val="28"/>
        </w:rPr>
        <w:t>ведения об объемах и источниках финансовых ресурсов, планируемых для решения задач по переходу на использование российского ПО»</w:t>
      </w:r>
    </w:p>
    <w:tbl>
      <w:tblPr>
        <w:tblW w:w="5000" w:type="pct"/>
        <w:tblCellMar>
          <w:top w:w="102" w:type="dxa"/>
          <w:left w:w="62" w:type="dxa"/>
          <w:bottom w:w="102" w:type="dxa"/>
          <w:right w:w="62" w:type="dxa"/>
        </w:tblCellMar>
        <w:tblLook w:val="0000" w:firstRow="0" w:lastRow="0" w:firstColumn="0" w:lastColumn="0" w:noHBand="0" w:noVBand="0"/>
      </w:tblPr>
      <w:tblGrid>
        <w:gridCol w:w="3607"/>
        <w:gridCol w:w="1297"/>
        <w:gridCol w:w="1302"/>
        <w:gridCol w:w="1302"/>
        <w:gridCol w:w="1302"/>
        <w:gridCol w:w="1297"/>
        <w:gridCol w:w="1302"/>
        <w:gridCol w:w="2535"/>
      </w:tblGrid>
      <w:tr w:rsidR="00F52FED" w:rsidRPr="00B0658A" w14:paraId="5DF7781F" w14:textId="77777777" w:rsidTr="00545150">
        <w:trPr>
          <w:trHeight w:val="404"/>
        </w:trPr>
        <w:tc>
          <w:tcPr>
            <w:tcW w:w="1293"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D01F60B" w14:textId="77777777" w:rsidR="00545150" w:rsidRPr="00B0658A" w:rsidRDefault="00545150" w:rsidP="00004A41">
            <w:pPr>
              <w:spacing w:after="0" w:line="240" w:lineRule="auto"/>
              <w:jc w:val="center"/>
              <w:rPr>
                <w:rFonts w:ascii="Times New Roman" w:hAnsi="Times New Roman"/>
                <w:b/>
                <w:bCs/>
                <w:sz w:val="24"/>
                <w:szCs w:val="24"/>
              </w:rPr>
            </w:pPr>
            <w:r w:rsidRPr="00B0658A">
              <w:rPr>
                <w:rFonts w:ascii="Times New Roman" w:hAnsi="Times New Roman"/>
                <w:b/>
                <w:bCs/>
                <w:sz w:val="24"/>
                <w:szCs w:val="24"/>
              </w:rPr>
              <w:t>Показатель</w:t>
            </w:r>
          </w:p>
        </w:tc>
        <w:tc>
          <w:tcPr>
            <w:tcW w:w="465"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F48F224" w14:textId="77777777" w:rsidR="00545150" w:rsidRPr="00B0658A" w:rsidRDefault="00545150" w:rsidP="00004A41">
            <w:pPr>
              <w:spacing w:after="0" w:line="240" w:lineRule="auto"/>
              <w:jc w:val="center"/>
              <w:rPr>
                <w:rFonts w:ascii="Times New Roman" w:hAnsi="Times New Roman"/>
                <w:b/>
                <w:bCs/>
                <w:sz w:val="24"/>
                <w:szCs w:val="24"/>
              </w:rPr>
            </w:pPr>
            <w:r w:rsidRPr="00B0658A">
              <w:rPr>
                <w:rFonts w:ascii="Times New Roman" w:hAnsi="Times New Roman"/>
                <w:b/>
                <w:bCs/>
                <w:sz w:val="24"/>
                <w:szCs w:val="24"/>
              </w:rPr>
              <w:t>2022 г.</w:t>
            </w:r>
          </w:p>
        </w:tc>
        <w:tc>
          <w:tcPr>
            <w:tcW w:w="467"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C7E295F" w14:textId="77777777" w:rsidR="00545150" w:rsidRPr="00B0658A" w:rsidRDefault="00545150" w:rsidP="00004A41">
            <w:pPr>
              <w:spacing w:after="0" w:line="240" w:lineRule="auto"/>
              <w:jc w:val="center"/>
              <w:rPr>
                <w:rFonts w:ascii="Times New Roman" w:hAnsi="Times New Roman"/>
                <w:b/>
                <w:bCs/>
                <w:sz w:val="24"/>
                <w:szCs w:val="24"/>
              </w:rPr>
            </w:pPr>
            <w:r w:rsidRPr="00B0658A">
              <w:rPr>
                <w:rFonts w:ascii="Times New Roman" w:hAnsi="Times New Roman"/>
                <w:b/>
                <w:bCs/>
                <w:sz w:val="24"/>
                <w:szCs w:val="24"/>
              </w:rPr>
              <w:t>2023 г.</w:t>
            </w:r>
          </w:p>
        </w:tc>
        <w:tc>
          <w:tcPr>
            <w:tcW w:w="467"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F05D045" w14:textId="77777777" w:rsidR="00545150" w:rsidRPr="00B0658A" w:rsidRDefault="00545150" w:rsidP="00004A41">
            <w:pPr>
              <w:spacing w:after="0" w:line="240" w:lineRule="auto"/>
              <w:jc w:val="center"/>
              <w:rPr>
                <w:rFonts w:ascii="Times New Roman" w:hAnsi="Times New Roman"/>
                <w:b/>
                <w:bCs/>
                <w:sz w:val="24"/>
                <w:szCs w:val="24"/>
              </w:rPr>
            </w:pPr>
            <w:r w:rsidRPr="00B0658A">
              <w:rPr>
                <w:rFonts w:ascii="Times New Roman" w:hAnsi="Times New Roman"/>
                <w:b/>
                <w:bCs/>
                <w:sz w:val="24"/>
                <w:szCs w:val="24"/>
              </w:rPr>
              <w:t>2024 г.</w:t>
            </w:r>
          </w:p>
        </w:tc>
        <w:tc>
          <w:tcPr>
            <w:tcW w:w="467"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D13A7BC" w14:textId="77777777" w:rsidR="00545150" w:rsidRPr="00B0658A" w:rsidRDefault="00545150" w:rsidP="00004A41">
            <w:pPr>
              <w:spacing w:after="0" w:line="240" w:lineRule="auto"/>
              <w:jc w:val="center"/>
              <w:rPr>
                <w:rFonts w:ascii="Times New Roman" w:hAnsi="Times New Roman"/>
                <w:b/>
                <w:bCs/>
                <w:sz w:val="24"/>
                <w:szCs w:val="24"/>
              </w:rPr>
            </w:pPr>
            <w:r w:rsidRPr="00B0658A">
              <w:rPr>
                <w:rFonts w:ascii="Times New Roman" w:hAnsi="Times New Roman"/>
                <w:b/>
                <w:bCs/>
                <w:sz w:val="24"/>
                <w:szCs w:val="24"/>
              </w:rPr>
              <w:t>2025 г.</w:t>
            </w:r>
          </w:p>
        </w:tc>
        <w:tc>
          <w:tcPr>
            <w:tcW w:w="465"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6168168" w14:textId="77777777" w:rsidR="00545150" w:rsidRPr="00B0658A" w:rsidRDefault="00545150" w:rsidP="00004A41">
            <w:pPr>
              <w:spacing w:after="0" w:line="240" w:lineRule="auto"/>
              <w:jc w:val="center"/>
              <w:rPr>
                <w:rFonts w:ascii="Times New Roman" w:hAnsi="Times New Roman"/>
                <w:b/>
                <w:bCs/>
                <w:sz w:val="24"/>
                <w:szCs w:val="24"/>
              </w:rPr>
            </w:pPr>
            <w:r w:rsidRPr="00B0658A">
              <w:rPr>
                <w:rFonts w:ascii="Times New Roman" w:hAnsi="Times New Roman"/>
                <w:b/>
                <w:bCs/>
                <w:sz w:val="24"/>
                <w:szCs w:val="24"/>
              </w:rPr>
              <w:t>2026 г.</w:t>
            </w:r>
          </w:p>
        </w:tc>
        <w:tc>
          <w:tcPr>
            <w:tcW w:w="467"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86F4FC4" w14:textId="77777777" w:rsidR="00545150" w:rsidRPr="00B0658A" w:rsidRDefault="00545150" w:rsidP="00004A41">
            <w:pPr>
              <w:spacing w:after="0" w:line="240" w:lineRule="auto"/>
              <w:jc w:val="center"/>
              <w:rPr>
                <w:rFonts w:ascii="Times New Roman" w:hAnsi="Times New Roman"/>
                <w:b/>
                <w:bCs/>
                <w:sz w:val="24"/>
                <w:szCs w:val="24"/>
              </w:rPr>
            </w:pPr>
            <w:r w:rsidRPr="00B0658A">
              <w:rPr>
                <w:rFonts w:ascii="Times New Roman" w:hAnsi="Times New Roman"/>
                <w:b/>
                <w:bCs/>
                <w:sz w:val="24"/>
                <w:szCs w:val="24"/>
              </w:rPr>
              <w:t>2027 г.</w:t>
            </w:r>
          </w:p>
        </w:tc>
        <w:tc>
          <w:tcPr>
            <w:tcW w:w="909"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153FC01" w14:textId="77777777" w:rsidR="00545150" w:rsidRPr="00B0658A" w:rsidRDefault="00545150" w:rsidP="00004A41">
            <w:pPr>
              <w:spacing w:after="0" w:line="240" w:lineRule="auto"/>
              <w:jc w:val="center"/>
              <w:rPr>
                <w:rFonts w:ascii="Times New Roman" w:hAnsi="Times New Roman"/>
                <w:b/>
                <w:bCs/>
                <w:sz w:val="24"/>
                <w:szCs w:val="24"/>
              </w:rPr>
            </w:pPr>
            <w:r w:rsidRPr="00B0658A">
              <w:rPr>
                <w:rFonts w:ascii="Times New Roman" w:hAnsi="Times New Roman"/>
                <w:b/>
                <w:bCs/>
                <w:sz w:val="24"/>
                <w:szCs w:val="24"/>
              </w:rPr>
              <w:t>Источник финансирования</w:t>
            </w:r>
          </w:p>
        </w:tc>
      </w:tr>
      <w:tr w:rsidR="00545150" w:rsidRPr="00B0658A" w14:paraId="258E63D3" w14:textId="77777777" w:rsidTr="00545150">
        <w:trPr>
          <w:trHeight w:val="404"/>
        </w:trPr>
        <w:tc>
          <w:tcPr>
            <w:tcW w:w="1293" w:type="pct"/>
            <w:tcBorders>
              <w:top w:val="single" w:sz="4" w:space="0" w:color="auto"/>
              <w:left w:val="single" w:sz="4" w:space="0" w:color="auto"/>
              <w:bottom w:val="single" w:sz="4" w:space="0" w:color="auto"/>
              <w:right w:val="single" w:sz="4" w:space="0" w:color="auto"/>
            </w:tcBorders>
            <w:vAlign w:val="center"/>
          </w:tcPr>
          <w:p w14:paraId="79C81B38" w14:textId="77777777" w:rsidR="00545150" w:rsidRPr="00B0658A" w:rsidRDefault="00545150" w:rsidP="00004A41">
            <w:pPr>
              <w:pStyle w:val="ConsPlusNormal"/>
            </w:pPr>
            <w:r w:rsidRPr="00B0658A">
              <w:t>Объём финансовых ресурсов, необходимых для обеспечения перехода на использование российского ПО, тыс. руб.</w:t>
            </w:r>
          </w:p>
        </w:tc>
        <w:tc>
          <w:tcPr>
            <w:tcW w:w="465" w:type="pct"/>
            <w:tcBorders>
              <w:top w:val="single" w:sz="4" w:space="0" w:color="auto"/>
              <w:left w:val="single" w:sz="4" w:space="0" w:color="auto"/>
              <w:bottom w:val="single" w:sz="4" w:space="0" w:color="auto"/>
              <w:right w:val="single" w:sz="4" w:space="0" w:color="auto"/>
            </w:tcBorders>
            <w:vAlign w:val="center"/>
          </w:tcPr>
          <w:p w14:paraId="0CC92B02" w14:textId="77777777" w:rsidR="00545150" w:rsidRPr="00B0658A" w:rsidRDefault="00545150" w:rsidP="00004A41">
            <w:pPr>
              <w:pStyle w:val="ConsPlusNormal"/>
              <w:jc w:val="center"/>
            </w:pPr>
          </w:p>
        </w:tc>
        <w:tc>
          <w:tcPr>
            <w:tcW w:w="467" w:type="pct"/>
            <w:tcBorders>
              <w:top w:val="single" w:sz="4" w:space="0" w:color="auto"/>
              <w:left w:val="single" w:sz="4" w:space="0" w:color="auto"/>
              <w:bottom w:val="single" w:sz="4" w:space="0" w:color="auto"/>
              <w:right w:val="single" w:sz="4" w:space="0" w:color="auto"/>
            </w:tcBorders>
            <w:vAlign w:val="center"/>
          </w:tcPr>
          <w:p w14:paraId="1C83A25A" w14:textId="77777777" w:rsidR="00545150" w:rsidRPr="00B0658A" w:rsidRDefault="00545150" w:rsidP="00004A41">
            <w:pPr>
              <w:pStyle w:val="ConsPlusNormal"/>
              <w:jc w:val="center"/>
            </w:pPr>
          </w:p>
        </w:tc>
        <w:tc>
          <w:tcPr>
            <w:tcW w:w="467" w:type="pct"/>
            <w:tcBorders>
              <w:top w:val="single" w:sz="4" w:space="0" w:color="auto"/>
              <w:left w:val="single" w:sz="4" w:space="0" w:color="auto"/>
              <w:bottom w:val="single" w:sz="4" w:space="0" w:color="auto"/>
              <w:right w:val="single" w:sz="4" w:space="0" w:color="auto"/>
            </w:tcBorders>
            <w:vAlign w:val="center"/>
          </w:tcPr>
          <w:p w14:paraId="00F81A23" w14:textId="77777777" w:rsidR="00545150" w:rsidRPr="00B0658A" w:rsidRDefault="00545150" w:rsidP="00004A41">
            <w:pPr>
              <w:pStyle w:val="ConsPlusNormal"/>
              <w:jc w:val="center"/>
            </w:pPr>
          </w:p>
        </w:tc>
        <w:tc>
          <w:tcPr>
            <w:tcW w:w="467" w:type="pct"/>
            <w:tcBorders>
              <w:top w:val="single" w:sz="4" w:space="0" w:color="auto"/>
              <w:left w:val="single" w:sz="4" w:space="0" w:color="auto"/>
              <w:bottom w:val="single" w:sz="4" w:space="0" w:color="auto"/>
              <w:right w:val="single" w:sz="4" w:space="0" w:color="auto"/>
            </w:tcBorders>
            <w:vAlign w:val="center"/>
          </w:tcPr>
          <w:p w14:paraId="490F501C" w14:textId="77777777" w:rsidR="00545150" w:rsidRPr="00B0658A" w:rsidRDefault="00545150" w:rsidP="00004A41">
            <w:pPr>
              <w:pStyle w:val="ConsPlusNormal"/>
              <w:jc w:val="center"/>
            </w:pPr>
          </w:p>
        </w:tc>
        <w:tc>
          <w:tcPr>
            <w:tcW w:w="465" w:type="pct"/>
            <w:tcBorders>
              <w:top w:val="single" w:sz="4" w:space="0" w:color="auto"/>
              <w:left w:val="single" w:sz="4" w:space="0" w:color="auto"/>
              <w:bottom w:val="single" w:sz="4" w:space="0" w:color="auto"/>
              <w:right w:val="single" w:sz="4" w:space="0" w:color="auto"/>
            </w:tcBorders>
            <w:vAlign w:val="center"/>
          </w:tcPr>
          <w:p w14:paraId="6B812021" w14:textId="77777777" w:rsidR="00545150" w:rsidRPr="00B0658A" w:rsidRDefault="00545150" w:rsidP="00004A41">
            <w:pPr>
              <w:pStyle w:val="ConsPlusNormal"/>
              <w:jc w:val="center"/>
            </w:pPr>
          </w:p>
        </w:tc>
        <w:tc>
          <w:tcPr>
            <w:tcW w:w="467" w:type="pct"/>
            <w:tcBorders>
              <w:top w:val="single" w:sz="4" w:space="0" w:color="auto"/>
              <w:left w:val="single" w:sz="4" w:space="0" w:color="auto"/>
              <w:bottom w:val="single" w:sz="4" w:space="0" w:color="auto"/>
              <w:right w:val="single" w:sz="4" w:space="0" w:color="auto"/>
            </w:tcBorders>
            <w:vAlign w:val="center"/>
          </w:tcPr>
          <w:p w14:paraId="53BA951D" w14:textId="77777777" w:rsidR="00545150" w:rsidRPr="00B0658A" w:rsidRDefault="00545150" w:rsidP="00004A41">
            <w:pPr>
              <w:pStyle w:val="ConsPlusNormal"/>
              <w:jc w:val="center"/>
            </w:pPr>
          </w:p>
        </w:tc>
        <w:tc>
          <w:tcPr>
            <w:tcW w:w="909" w:type="pct"/>
            <w:tcBorders>
              <w:top w:val="single" w:sz="4" w:space="0" w:color="auto"/>
              <w:left w:val="single" w:sz="4" w:space="0" w:color="auto"/>
              <w:bottom w:val="single" w:sz="4" w:space="0" w:color="auto"/>
              <w:right w:val="single" w:sz="4" w:space="0" w:color="auto"/>
            </w:tcBorders>
            <w:vAlign w:val="center"/>
          </w:tcPr>
          <w:p w14:paraId="37F74E94" w14:textId="77777777" w:rsidR="00545150" w:rsidRPr="00B0658A" w:rsidRDefault="00545150" w:rsidP="00004A41">
            <w:pPr>
              <w:pStyle w:val="ConsPlusNormal"/>
              <w:jc w:val="center"/>
            </w:pPr>
          </w:p>
        </w:tc>
      </w:tr>
    </w:tbl>
    <w:p w14:paraId="62986A3F" w14:textId="77777777" w:rsidR="0081450D" w:rsidRPr="00B0658A" w:rsidRDefault="0081450D" w:rsidP="0081450D">
      <w:pPr>
        <w:pStyle w:val="ConsPlusNormal"/>
        <w:spacing w:before="120"/>
        <w:jc w:val="center"/>
        <w:rPr>
          <w:sz w:val="32"/>
        </w:rPr>
      </w:pPr>
    </w:p>
    <w:p w14:paraId="0C30CF80" w14:textId="77777777" w:rsidR="00A97B77" w:rsidRPr="00A97B77" w:rsidRDefault="00A97B77">
      <w:pPr>
        <w:spacing w:after="0" w:line="240" w:lineRule="auto"/>
        <w:rPr>
          <w:rFonts w:ascii="Times New Roman" w:hAnsi="Times New Roman"/>
          <w:sz w:val="28"/>
          <w:szCs w:val="24"/>
        </w:rPr>
      </w:pPr>
      <w:r w:rsidRPr="00A97B77">
        <w:rPr>
          <w:rFonts w:ascii="Times New Roman" w:hAnsi="Times New Roman"/>
          <w:sz w:val="28"/>
          <w:szCs w:val="24"/>
        </w:rPr>
        <w:br w:type="page"/>
      </w:r>
    </w:p>
    <w:p w14:paraId="47952875" w14:textId="77777777" w:rsidR="00545150" w:rsidRPr="00B0658A" w:rsidRDefault="00545150" w:rsidP="00545150">
      <w:pPr>
        <w:pStyle w:val="ConsPlusNormal"/>
        <w:spacing w:before="120"/>
        <w:jc w:val="center"/>
        <w:rPr>
          <w:sz w:val="32"/>
        </w:rPr>
      </w:pPr>
      <w:r w:rsidRPr="00B0658A">
        <w:rPr>
          <w:sz w:val="32"/>
        </w:rPr>
        <w:t xml:space="preserve">Детализированный план перехода ______________ (полное наименование </w:t>
      </w:r>
      <w:r w:rsidRPr="00B0658A">
        <w:rPr>
          <w:sz w:val="32"/>
          <w:szCs w:val="28"/>
        </w:rPr>
        <w:t xml:space="preserve">подведомственной организации) на использование российского </w:t>
      </w:r>
      <w:r w:rsidRPr="00B0658A">
        <w:rPr>
          <w:sz w:val="32"/>
        </w:rPr>
        <w:t xml:space="preserve">ПО на принадлежащих </w:t>
      </w:r>
      <w:r w:rsidRPr="00B0658A">
        <w:rPr>
          <w:sz w:val="32"/>
          <w:szCs w:val="28"/>
        </w:rPr>
        <w:t>подведомственной организации</w:t>
      </w:r>
      <w:r w:rsidRPr="00B0658A">
        <w:rPr>
          <w:sz w:val="32"/>
        </w:rPr>
        <w:t xml:space="preserve"> значимых объектах КИИ</w:t>
      </w:r>
      <w:r w:rsidRPr="00B0658A">
        <w:rPr>
          <w:sz w:val="32"/>
          <w:szCs w:val="28"/>
        </w:rPr>
        <w:t xml:space="preserve"> </w:t>
      </w:r>
      <w:r w:rsidRPr="00B0658A">
        <w:rPr>
          <w:sz w:val="32"/>
        </w:rPr>
        <w:t>на период 2022-2024 годы</w:t>
      </w:r>
    </w:p>
    <w:p w14:paraId="403DEADE" w14:textId="77777777" w:rsidR="00545150" w:rsidRPr="00B0658A" w:rsidRDefault="00545150" w:rsidP="00545150">
      <w:pPr>
        <w:pStyle w:val="ConsPlusNormal"/>
        <w:spacing w:before="120"/>
        <w:jc w:val="center"/>
        <w:rPr>
          <w:sz w:val="32"/>
        </w:rPr>
      </w:pPr>
    </w:p>
    <w:p w14:paraId="226822BD" w14:textId="77777777" w:rsidR="00545150" w:rsidRPr="00B0658A" w:rsidRDefault="00545150" w:rsidP="00545150">
      <w:pPr>
        <w:pStyle w:val="ConsPlusNormal"/>
        <w:spacing w:before="120"/>
        <w:jc w:val="both"/>
      </w:pPr>
      <w:r w:rsidRPr="00B0658A">
        <w:rPr>
          <w:sz w:val="28"/>
        </w:rPr>
        <w:t xml:space="preserve">Раздел 1. «План-график мероприятий перехода </w:t>
      </w:r>
      <w:r w:rsidRPr="00B0658A">
        <w:rPr>
          <w:sz w:val="28"/>
          <w:szCs w:val="28"/>
        </w:rPr>
        <w:t xml:space="preserve">на использование российского ПО на принадлежащих _______ (полное наименование </w:t>
      </w:r>
      <w:r w:rsidR="009B6DE3" w:rsidRPr="00B0658A">
        <w:rPr>
          <w:sz w:val="28"/>
          <w:szCs w:val="28"/>
        </w:rPr>
        <w:t>подведомственной организации</w:t>
      </w:r>
      <w:r w:rsidRPr="00B0658A">
        <w:rPr>
          <w:sz w:val="28"/>
          <w:szCs w:val="28"/>
        </w:rPr>
        <w:t>) значимых объектах КИИ</w:t>
      </w:r>
      <w:r w:rsidRPr="00B0658A">
        <w:rPr>
          <w:sz w:val="28"/>
        </w:rPr>
        <w:t>»</w:t>
      </w:r>
    </w:p>
    <w:tbl>
      <w:tblPr>
        <w:tblW w:w="5000" w:type="pct"/>
        <w:tblCellMar>
          <w:top w:w="28" w:type="dxa"/>
          <w:left w:w="62" w:type="dxa"/>
          <w:bottom w:w="28" w:type="dxa"/>
          <w:right w:w="62" w:type="dxa"/>
        </w:tblCellMar>
        <w:tblLook w:val="0000" w:firstRow="0" w:lastRow="0" w:firstColumn="0" w:lastColumn="0" w:noHBand="0" w:noVBand="0"/>
      </w:tblPr>
      <w:tblGrid>
        <w:gridCol w:w="568"/>
        <w:gridCol w:w="2312"/>
        <w:gridCol w:w="3160"/>
        <w:gridCol w:w="3313"/>
        <w:gridCol w:w="1735"/>
        <w:gridCol w:w="2856"/>
      </w:tblGrid>
      <w:tr w:rsidR="00F52FED" w:rsidRPr="00B0658A" w14:paraId="5DD7AE6D" w14:textId="77777777" w:rsidTr="0027194A">
        <w:trPr>
          <w:trHeight w:val="20"/>
        </w:trPr>
        <w:tc>
          <w:tcPr>
            <w:tcW w:w="204" w:type="pct"/>
            <w:tcBorders>
              <w:top w:val="single" w:sz="4" w:space="0" w:color="auto"/>
              <w:left w:val="single" w:sz="4" w:space="0" w:color="auto"/>
              <w:bottom w:val="single" w:sz="4" w:space="0" w:color="auto"/>
              <w:right w:val="single" w:sz="4" w:space="0" w:color="auto"/>
            </w:tcBorders>
            <w:shd w:val="clear" w:color="auto" w:fill="E7E6E6" w:themeFill="background2"/>
          </w:tcPr>
          <w:p w14:paraId="10096935" w14:textId="77777777" w:rsidR="00545150" w:rsidRPr="00B0658A" w:rsidRDefault="00545150" w:rsidP="00004A41">
            <w:pPr>
              <w:pStyle w:val="ConsPlusNormal"/>
              <w:jc w:val="center"/>
            </w:pPr>
            <w:r w:rsidRPr="00B0658A">
              <w:t>N п.п.</w:t>
            </w:r>
          </w:p>
        </w:tc>
        <w:tc>
          <w:tcPr>
            <w:tcW w:w="829" w:type="pct"/>
            <w:tcBorders>
              <w:top w:val="single" w:sz="4" w:space="0" w:color="auto"/>
              <w:left w:val="single" w:sz="4" w:space="0" w:color="auto"/>
              <w:bottom w:val="single" w:sz="4" w:space="0" w:color="auto"/>
              <w:right w:val="single" w:sz="4" w:space="0" w:color="auto"/>
            </w:tcBorders>
            <w:shd w:val="clear" w:color="auto" w:fill="E7E6E6" w:themeFill="background2"/>
          </w:tcPr>
          <w:p w14:paraId="5415C0BD" w14:textId="77777777" w:rsidR="00545150" w:rsidRPr="00B0658A" w:rsidRDefault="00545150" w:rsidP="00004A41">
            <w:pPr>
              <w:pStyle w:val="ConsPlusNormal"/>
              <w:jc w:val="center"/>
            </w:pPr>
            <w:r w:rsidRPr="00B0658A">
              <w:t>Наименование мероприятия</w:t>
            </w:r>
          </w:p>
        </w:tc>
        <w:tc>
          <w:tcPr>
            <w:tcW w:w="1133" w:type="pct"/>
            <w:tcBorders>
              <w:top w:val="single" w:sz="4" w:space="0" w:color="auto"/>
              <w:left w:val="single" w:sz="4" w:space="0" w:color="auto"/>
              <w:bottom w:val="single" w:sz="4" w:space="0" w:color="auto"/>
              <w:right w:val="single" w:sz="4" w:space="0" w:color="auto"/>
            </w:tcBorders>
            <w:shd w:val="clear" w:color="auto" w:fill="E7E6E6" w:themeFill="background2"/>
          </w:tcPr>
          <w:p w14:paraId="618FEC1F" w14:textId="77777777" w:rsidR="00545150" w:rsidRPr="00B0658A" w:rsidRDefault="00545150" w:rsidP="00004A41">
            <w:pPr>
              <w:pStyle w:val="ConsPlusNormal"/>
              <w:jc w:val="center"/>
            </w:pPr>
            <w:r w:rsidRPr="00B0658A">
              <w:t>Краткое описание состава и содержания запланированного мероприятия</w:t>
            </w:r>
          </w:p>
        </w:tc>
        <w:tc>
          <w:tcPr>
            <w:tcW w:w="1188" w:type="pct"/>
            <w:tcBorders>
              <w:top w:val="single" w:sz="4" w:space="0" w:color="auto"/>
              <w:left w:val="single" w:sz="4" w:space="0" w:color="auto"/>
              <w:bottom w:val="single" w:sz="4" w:space="0" w:color="auto"/>
              <w:right w:val="single" w:sz="4" w:space="0" w:color="auto"/>
            </w:tcBorders>
            <w:shd w:val="clear" w:color="auto" w:fill="E7E6E6" w:themeFill="background2"/>
          </w:tcPr>
          <w:p w14:paraId="69625CD1" w14:textId="77777777" w:rsidR="00545150" w:rsidRPr="00B0658A" w:rsidRDefault="00545150" w:rsidP="00004A41">
            <w:pPr>
              <w:pStyle w:val="ConsPlusNormal"/>
              <w:jc w:val="center"/>
            </w:pPr>
            <w:r w:rsidRPr="00B0658A">
              <w:t>Наименование ответственного исполнителя/ ответственного структурного подразделения</w:t>
            </w:r>
          </w:p>
        </w:tc>
        <w:tc>
          <w:tcPr>
            <w:tcW w:w="622" w:type="pct"/>
            <w:tcBorders>
              <w:top w:val="single" w:sz="4" w:space="0" w:color="auto"/>
              <w:left w:val="single" w:sz="4" w:space="0" w:color="auto"/>
              <w:bottom w:val="single" w:sz="4" w:space="0" w:color="auto"/>
              <w:right w:val="single" w:sz="4" w:space="0" w:color="auto"/>
            </w:tcBorders>
            <w:shd w:val="clear" w:color="auto" w:fill="E7E6E6" w:themeFill="background2"/>
          </w:tcPr>
          <w:p w14:paraId="7D8FABEB" w14:textId="77777777" w:rsidR="00545150" w:rsidRPr="00B0658A" w:rsidRDefault="00545150" w:rsidP="00004A41">
            <w:pPr>
              <w:pStyle w:val="ConsPlusNormal"/>
              <w:jc w:val="center"/>
            </w:pPr>
            <w:r w:rsidRPr="00B0658A">
              <w:t>Срок /периодичность выполнения</w:t>
            </w:r>
          </w:p>
        </w:tc>
        <w:tc>
          <w:tcPr>
            <w:tcW w:w="1024" w:type="pct"/>
            <w:tcBorders>
              <w:top w:val="single" w:sz="4" w:space="0" w:color="auto"/>
              <w:left w:val="single" w:sz="4" w:space="0" w:color="auto"/>
              <w:bottom w:val="single" w:sz="4" w:space="0" w:color="auto"/>
              <w:right w:val="single" w:sz="4" w:space="0" w:color="auto"/>
            </w:tcBorders>
            <w:shd w:val="clear" w:color="auto" w:fill="E7E6E6" w:themeFill="background2"/>
          </w:tcPr>
          <w:p w14:paraId="0BC34917" w14:textId="77777777" w:rsidR="00545150" w:rsidRPr="00B0658A" w:rsidRDefault="00545150" w:rsidP="00004A41">
            <w:pPr>
              <w:pStyle w:val="ConsPlusNormal"/>
              <w:jc w:val="center"/>
            </w:pPr>
            <w:r w:rsidRPr="00B0658A">
              <w:t>Ожидаемый результат</w:t>
            </w:r>
          </w:p>
        </w:tc>
      </w:tr>
      <w:tr w:rsidR="00F52FED" w:rsidRPr="00B0658A" w14:paraId="0867C9DE" w14:textId="77777777" w:rsidTr="0027194A">
        <w:trPr>
          <w:trHeight w:val="20"/>
        </w:trPr>
        <w:tc>
          <w:tcPr>
            <w:tcW w:w="5000" w:type="pct"/>
            <w:gridSpan w:val="6"/>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64B78D8" w14:textId="77777777" w:rsidR="00545150" w:rsidRPr="00B0658A" w:rsidRDefault="00545150" w:rsidP="00004A41">
            <w:pPr>
              <w:pStyle w:val="ConsPlusNormal"/>
            </w:pPr>
            <w:r w:rsidRPr="00B0658A">
              <w:t>1. Мероприятия в отношении ________ (наименование значимого объекта КИИ №1)</w:t>
            </w:r>
          </w:p>
        </w:tc>
      </w:tr>
      <w:tr w:rsidR="00F52FED" w:rsidRPr="00B0658A" w14:paraId="31912DE8" w14:textId="77777777" w:rsidTr="0027194A">
        <w:trPr>
          <w:trHeight w:val="20"/>
        </w:trPr>
        <w:tc>
          <w:tcPr>
            <w:tcW w:w="204" w:type="pct"/>
            <w:tcBorders>
              <w:top w:val="single" w:sz="4" w:space="0" w:color="auto"/>
              <w:left w:val="single" w:sz="4" w:space="0" w:color="auto"/>
              <w:bottom w:val="single" w:sz="4" w:space="0" w:color="auto"/>
              <w:right w:val="single" w:sz="4" w:space="0" w:color="auto"/>
            </w:tcBorders>
          </w:tcPr>
          <w:p w14:paraId="10B8037F" w14:textId="77777777" w:rsidR="00545150" w:rsidRPr="00B0658A" w:rsidRDefault="00545150" w:rsidP="00004A41">
            <w:pPr>
              <w:pStyle w:val="ConsPlusNormal"/>
            </w:pPr>
            <w:r w:rsidRPr="00B0658A">
              <w:t>1.1</w:t>
            </w:r>
          </w:p>
        </w:tc>
        <w:tc>
          <w:tcPr>
            <w:tcW w:w="829" w:type="pct"/>
            <w:tcBorders>
              <w:top w:val="single" w:sz="4" w:space="0" w:color="auto"/>
              <w:left w:val="single" w:sz="4" w:space="0" w:color="auto"/>
              <w:bottom w:val="single" w:sz="4" w:space="0" w:color="auto"/>
              <w:right w:val="single" w:sz="4" w:space="0" w:color="auto"/>
            </w:tcBorders>
          </w:tcPr>
          <w:p w14:paraId="7E6ADB4D" w14:textId="77777777" w:rsidR="00545150" w:rsidRPr="00B0658A" w:rsidRDefault="00545150" w:rsidP="00004A41">
            <w:pPr>
              <w:pStyle w:val="ConsPlusNormal"/>
            </w:pPr>
          </w:p>
        </w:tc>
        <w:tc>
          <w:tcPr>
            <w:tcW w:w="1133" w:type="pct"/>
            <w:tcBorders>
              <w:top w:val="single" w:sz="4" w:space="0" w:color="auto"/>
              <w:left w:val="single" w:sz="4" w:space="0" w:color="auto"/>
              <w:bottom w:val="single" w:sz="4" w:space="0" w:color="auto"/>
              <w:right w:val="single" w:sz="4" w:space="0" w:color="auto"/>
            </w:tcBorders>
          </w:tcPr>
          <w:p w14:paraId="646C13B4" w14:textId="77777777" w:rsidR="00545150" w:rsidRPr="00B0658A" w:rsidRDefault="00545150" w:rsidP="00004A41">
            <w:pPr>
              <w:pStyle w:val="ConsPlusNormal"/>
            </w:pPr>
          </w:p>
        </w:tc>
        <w:tc>
          <w:tcPr>
            <w:tcW w:w="1188" w:type="pct"/>
            <w:tcBorders>
              <w:top w:val="single" w:sz="4" w:space="0" w:color="auto"/>
              <w:left w:val="single" w:sz="4" w:space="0" w:color="auto"/>
              <w:bottom w:val="single" w:sz="4" w:space="0" w:color="auto"/>
              <w:right w:val="single" w:sz="4" w:space="0" w:color="auto"/>
            </w:tcBorders>
          </w:tcPr>
          <w:p w14:paraId="213CCE9D" w14:textId="77777777" w:rsidR="00545150" w:rsidRPr="00B0658A" w:rsidRDefault="00545150" w:rsidP="00004A41">
            <w:pPr>
              <w:pStyle w:val="ConsPlusNormal"/>
            </w:pPr>
          </w:p>
        </w:tc>
        <w:tc>
          <w:tcPr>
            <w:tcW w:w="622" w:type="pct"/>
            <w:tcBorders>
              <w:top w:val="single" w:sz="4" w:space="0" w:color="auto"/>
              <w:left w:val="single" w:sz="4" w:space="0" w:color="auto"/>
              <w:bottom w:val="single" w:sz="4" w:space="0" w:color="auto"/>
              <w:right w:val="single" w:sz="4" w:space="0" w:color="auto"/>
            </w:tcBorders>
          </w:tcPr>
          <w:p w14:paraId="34CF17EE" w14:textId="77777777" w:rsidR="00545150" w:rsidRPr="00B0658A" w:rsidRDefault="00545150" w:rsidP="00004A41">
            <w:pPr>
              <w:pStyle w:val="ConsPlusNormal"/>
            </w:pPr>
          </w:p>
        </w:tc>
        <w:tc>
          <w:tcPr>
            <w:tcW w:w="1024" w:type="pct"/>
            <w:tcBorders>
              <w:top w:val="single" w:sz="4" w:space="0" w:color="auto"/>
              <w:left w:val="single" w:sz="4" w:space="0" w:color="auto"/>
              <w:bottom w:val="single" w:sz="4" w:space="0" w:color="auto"/>
              <w:right w:val="single" w:sz="4" w:space="0" w:color="auto"/>
            </w:tcBorders>
          </w:tcPr>
          <w:p w14:paraId="07D5D676" w14:textId="77777777" w:rsidR="00545150" w:rsidRPr="00B0658A" w:rsidRDefault="00545150" w:rsidP="00004A41">
            <w:pPr>
              <w:pStyle w:val="ConsPlusNormal"/>
            </w:pPr>
          </w:p>
        </w:tc>
      </w:tr>
      <w:tr w:rsidR="00F52FED" w:rsidRPr="00B0658A" w14:paraId="09E83FB6" w14:textId="77777777" w:rsidTr="0027194A">
        <w:trPr>
          <w:trHeight w:val="20"/>
        </w:trPr>
        <w:tc>
          <w:tcPr>
            <w:tcW w:w="204" w:type="pct"/>
            <w:tcBorders>
              <w:top w:val="single" w:sz="4" w:space="0" w:color="auto"/>
              <w:left w:val="single" w:sz="4" w:space="0" w:color="auto"/>
              <w:bottom w:val="single" w:sz="4" w:space="0" w:color="auto"/>
              <w:right w:val="single" w:sz="4" w:space="0" w:color="auto"/>
            </w:tcBorders>
          </w:tcPr>
          <w:p w14:paraId="299AEA3C" w14:textId="77777777" w:rsidR="00545150" w:rsidRPr="00B0658A" w:rsidRDefault="00545150" w:rsidP="00004A41">
            <w:pPr>
              <w:pStyle w:val="ConsPlusNormal"/>
            </w:pPr>
            <w:r w:rsidRPr="00B0658A">
              <w:t>1.2</w:t>
            </w:r>
          </w:p>
        </w:tc>
        <w:tc>
          <w:tcPr>
            <w:tcW w:w="829" w:type="pct"/>
            <w:tcBorders>
              <w:top w:val="single" w:sz="4" w:space="0" w:color="auto"/>
              <w:left w:val="single" w:sz="4" w:space="0" w:color="auto"/>
              <w:bottom w:val="single" w:sz="4" w:space="0" w:color="auto"/>
              <w:right w:val="single" w:sz="4" w:space="0" w:color="auto"/>
            </w:tcBorders>
          </w:tcPr>
          <w:p w14:paraId="3718C82E" w14:textId="77777777" w:rsidR="00545150" w:rsidRPr="00B0658A" w:rsidRDefault="00545150" w:rsidP="00004A41">
            <w:pPr>
              <w:pStyle w:val="ConsPlusNormal"/>
            </w:pPr>
          </w:p>
        </w:tc>
        <w:tc>
          <w:tcPr>
            <w:tcW w:w="1133" w:type="pct"/>
            <w:tcBorders>
              <w:top w:val="single" w:sz="4" w:space="0" w:color="auto"/>
              <w:left w:val="single" w:sz="4" w:space="0" w:color="auto"/>
              <w:bottom w:val="single" w:sz="4" w:space="0" w:color="auto"/>
              <w:right w:val="single" w:sz="4" w:space="0" w:color="auto"/>
            </w:tcBorders>
          </w:tcPr>
          <w:p w14:paraId="4CC45205" w14:textId="77777777" w:rsidR="00545150" w:rsidRPr="00B0658A" w:rsidRDefault="00545150" w:rsidP="00004A41">
            <w:pPr>
              <w:pStyle w:val="ConsPlusNormal"/>
            </w:pPr>
          </w:p>
        </w:tc>
        <w:tc>
          <w:tcPr>
            <w:tcW w:w="1188" w:type="pct"/>
            <w:tcBorders>
              <w:top w:val="single" w:sz="4" w:space="0" w:color="auto"/>
              <w:left w:val="single" w:sz="4" w:space="0" w:color="auto"/>
              <w:bottom w:val="single" w:sz="4" w:space="0" w:color="auto"/>
              <w:right w:val="single" w:sz="4" w:space="0" w:color="auto"/>
            </w:tcBorders>
          </w:tcPr>
          <w:p w14:paraId="228B6455" w14:textId="77777777" w:rsidR="00545150" w:rsidRPr="00B0658A" w:rsidRDefault="00545150" w:rsidP="00004A41">
            <w:pPr>
              <w:pStyle w:val="ConsPlusNormal"/>
            </w:pPr>
          </w:p>
        </w:tc>
        <w:tc>
          <w:tcPr>
            <w:tcW w:w="622" w:type="pct"/>
            <w:tcBorders>
              <w:top w:val="single" w:sz="4" w:space="0" w:color="auto"/>
              <w:left w:val="single" w:sz="4" w:space="0" w:color="auto"/>
              <w:bottom w:val="single" w:sz="4" w:space="0" w:color="auto"/>
              <w:right w:val="single" w:sz="4" w:space="0" w:color="auto"/>
            </w:tcBorders>
          </w:tcPr>
          <w:p w14:paraId="5894D48A" w14:textId="77777777" w:rsidR="00545150" w:rsidRPr="00B0658A" w:rsidRDefault="00545150" w:rsidP="00004A41">
            <w:pPr>
              <w:pStyle w:val="ConsPlusNormal"/>
            </w:pPr>
          </w:p>
        </w:tc>
        <w:tc>
          <w:tcPr>
            <w:tcW w:w="1024" w:type="pct"/>
            <w:tcBorders>
              <w:top w:val="single" w:sz="4" w:space="0" w:color="auto"/>
              <w:left w:val="single" w:sz="4" w:space="0" w:color="auto"/>
              <w:bottom w:val="single" w:sz="4" w:space="0" w:color="auto"/>
              <w:right w:val="single" w:sz="4" w:space="0" w:color="auto"/>
            </w:tcBorders>
          </w:tcPr>
          <w:p w14:paraId="60AA8CCB" w14:textId="77777777" w:rsidR="00545150" w:rsidRPr="00B0658A" w:rsidRDefault="00545150" w:rsidP="00004A41">
            <w:pPr>
              <w:pStyle w:val="ConsPlusNormal"/>
            </w:pPr>
          </w:p>
        </w:tc>
      </w:tr>
      <w:tr w:rsidR="00F52FED" w:rsidRPr="00B0658A" w14:paraId="7BF5C3CB" w14:textId="77777777" w:rsidTr="0027194A">
        <w:trPr>
          <w:trHeight w:val="20"/>
        </w:trPr>
        <w:tc>
          <w:tcPr>
            <w:tcW w:w="204" w:type="pct"/>
            <w:tcBorders>
              <w:top w:val="single" w:sz="4" w:space="0" w:color="auto"/>
              <w:left w:val="single" w:sz="4" w:space="0" w:color="auto"/>
              <w:bottom w:val="single" w:sz="4" w:space="0" w:color="auto"/>
              <w:right w:val="single" w:sz="4" w:space="0" w:color="auto"/>
            </w:tcBorders>
          </w:tcPr>
          <w:p w14:paraId="2DE0D52D" w14:textId="77777777" w:rsidR="00545150" w:rsidRPr="00B0658A" w:rsidRDefault="00545150" w:rsidP="00004A41">
            <w:pPr>
              <w:pStyle w:val="ConsPlusNormal"/>
            </w:pPr>
            <w:r w:rsidRPr="00B0658A">
              <w:t>…</w:t>
            </w:r>
          </w:p>
        </w:tc>
        <w:tc>
          <w:tcPr>
            <w:tcW w:w="829" w:type="pct"/>
            <w:tcBorders>
              <w:top w:val="single" w:sz="4" w:space="0" w:color="auto"/>
              <w:left w:val="single" w:sz="4" w:space="0" w:color="auto"/>
              <w:bottom w:val="single" w:sz="4" w:space="0" w:color="auto"/>
              <w:right w:val="single" w:sz="4" w:space="0" w:color="auto"/>
            </w:tcBorders>
          </w:tcPr>
          <w:p w14:paraId="255EF1B2" w14:textId="77777777" w:rsidR="00545150" w:rsidRPr="00B0658A" w:rsidRDefault="00545150" w:rsidP="00004A41">
            <w:pPr>
              <w:pStyle w:val="ConsPlusNormal"/>
            </w:pPr>
          </w:p>
        </w:tc>
        <w:tc>
          <w:tcPr>
            <w:tcW w:w="1133" w:type="pct"/>
            <w:tcBorders>
              <w:top w:val="single" w:sz="4" w:space="0" w:color="auto"/>
              <w:left w:val="single" w:sz="4" w:space="0" w:color="auto"/>
              <w:bottom w:val="single" w:sz="4" w:space="0" w:color="auto"/>
              <w:right w:val="single" w:sz="4" w:space="0" w:color="auto"/>
            </w:tcBorders>
          </w:tcPr>
          <w:p w14:paraId="466B050B" w14:textId="77777777" w:rsidR="00545150" w:rsidRPr="00B0658A" w:rsidRDefault="00545150" w:rsidP="00004A41">
            <w:pPr>
              <w:pStyle w:val="ConsPlusNormal"/>
            </w:pPr>
          </w:p>
        </w:tc>
        <w:tc>
          <w:tcPr>
            <w:tcW w:w="1188" w:type="pct"/>
            <w:tcBorders>
              <w:top w:val="single" w:sz="4" w:space="0" w:color="auto"/>
              <w:left w:val="single" w:sz="4" w:space="0" w:color="auto"/>
              <w:bottom w:val="single" w:sz="4" w:space="0" w:color="auto"/>
              <w:right w:val="single" w:sz="4" w:space="0" w:color="auto"/>
            </w:tcBorders>
          </w:tcPr>
          <w:p w14:paraId="12AD4680" w14:textId="77777777" w:rsidR="00545150" w:rsidRPr="00B0658A" w:rsidRDefault="00545150" w:rsidP="00004A41">
            <w:pPr>
              <w:pStyle w:val="ConsPlusNormal"/>
            </w:pPr>
          </w:p>
        </w:tc>
        <w:tc>
          <w:tcPr>
            <w:tcW w:w="622" w:type="pct"/>
            <w:tcBorders>
              <w:top w:val="single" w:sz="4" w:space="0" w:color="auto"/>
              <w:left w:val="single" w:sz="4" w:space="0" w:color="auto"/>
              <w:bottom w:val="single" w:sz="4" w:space="0" w:color="auto"/>
              <w:right w:val="single" w:sz="4" w:space="0" w:color="auto"/>
            </w:tcBorders>
          </w:tcPr>
          <w:p w14:paraId="1C764543" w14:textId="77777777" w:rsidR="00545150" w:rsidRPr="00B0658A" w:rsidRDefault="00545150" w:rsidP="00004A41">
            <w:pPr>
              <w:pStyle w:val="ConsPlusNormal"/>
            </w:pPr>
          </w:p>
        </w:tc>
        <w:tc>
          <w:tcPr>
            <w:tcW w:w="1024" w:type="pct"/>
            <w:tcBorders>
              <w:top w:val="single" w:sz="4" w:space="0" w:color="auto"/>
              <w:left w:val="single" w:sz="4" w:space="0" w:color="auto"/>
              <w:bottom w:val="single" w:sz="4" w:space="0" w:color="auto"/>
              <w:right w:val="single" w:sz="4" w:space="0" w:color="auto"/>
            </w:tcBorders>
          </w:tcPr>
          <w:p w14:paraId="004BEDFD" w14:textId="77777777" w:rsidR="00545150" w:rsidRPr="00B0658A" w:rsidRDefault="00545150" w:rsidP="00004A41">
            <w:pPr>
              <w:pStyle w:val="ConsPlusNormal"/>
            </w:pPr>
          </w:p>
        </w:tc>
      </w:tr>
      <w:tr w:rsidR="00F52FED" w:rsidRPr="00B0658A" w14:paraId="77A6D6EA" w14:textId="77777777" w:rsidTr="0027194A">
        <w:trPr>
          <w:trHeight w:val="20"/>
        </w:trPr>
        <w:tc>
          <w:tcPr>
            <w:tcW w:w="204" w:type="pct"/>
            <w:tcBorders>
              <w:top w:val="single" w:sz="4" w:space="0" w:color="auto"/>
              <w:left w:val="single" w:sz="4" w:space="0" w:color="auto"/>
              <w:bottom w:val="single" w:sz="4" w:space="0" w:color="auto"/>
              <w:right w:val="single" w:sz="4" w:space="0" w:color="auto"/>
            </w:tcBorders>
          </w:tcPr>
          <w:p w14:paraId="1E654E7E" w14:textId="77777777" w:rsidR="00545150" w:rsidRPr="00B0658A" w:rsidRDefault="00545150" w:rsidP="00004A41">
            <w:pPr>
              <w:pStyle w:val="ConsPlusNormal"/>
            </w:pPr>
            <w:r w:rsidRPr="00B0658A">
              <w:t>1</w:t>
            </w:r>
            <w:r w:rsidRPr="00B0658A">
              <w:rPr>
                <w:lang w:val="en-US"/>
              </w:rPr>
              <w:t>.n</w:t>
            </w:r>
          </w:p>
        </w:tc>
        <w:tc>
          <w:tcPr>
            <w:tcW w:w="829" w:type="pct"/>
            <w:tcBorders>
              <w:top w:val="single" w:sz="4" w:space="0" w:color="auto"/>
              <w:left w:val="single" w:sz="4" w:space="0" w:color="auto"/>
              <w:bottom w:val="single" w:sz="4" w:space="0" w:color="auto"/>
              <w:right w:val="single" w:sz="4" w:space="0" w:color="auto"/>
            </w:tcBorders>
          </w:tcPr>
          <w:p w14:paraId="2F80F07F" w14:textId="77777777" w:rsidR="00545150" w:rsidRPr="00B0658A" w:rsidRDefault="00545150" w:rsidP="00004A41">
            <w:pPr>
              <w:pStyle w:val="ConsPlusNormal"/>
            </w:pPr>
          </w:p>
        </w:tc>
        <w:tc>
          <w:tcPr>
            <w:tcW w:w="1133" w:type="pct"/>
            <w:tcBorders>
              <w:top w:val="single" w:sz="4" w:space="0" w:color="auto"/>
              <w:left w:val="single" w:sz="4" w:space="0" w:color="auto"/>
              <w:bottom w:val="single" w:sz="4" w:space="0" w:color="auto"/>
              <w:right w:val="single" w:sz="4" w:space="0" w:color="auto"/>
            </w:tcBorders>
          </w:tcPr>
          <w:p w14:paraId="0096FEE0" w14:textId="77777777" w:rsidR="00545150" w:rsidRPr="00B0658A" w:rsidRDefault="00545150" w:rsidP="00004A41">
            <w:pPr>
              <w:pStyle w:val="ConsPlusNormal"/>
            </w:pPr>
          </w:p>
        </w:tc>
        <w:tc>
          <w:tcPr>
            <w:tcW w:w="1188" w:type="pct"/>
            <w:tcBorders>
              <w:top w:val="single" w:sz="4" w:space="0" w:color="auto"/>
              <w:left w:val="single" w:sz="4" w:space="0" w:color="auto"/>
              <w:bottom w:val="single" w:sz="4" w:space="0" w:color="auto"/>
              <w:right w:val="single" w:sz="4" w:space="0" w:color="auto"/>
            </w:tcBorders>
          </w:tcPr>
          <w:p w14:paraId="3BBC7679" w14:textId="77777777" w:rsidR="00545150" w:rsidRPr="00B0658A" w:rsidRDefault="00545150" w:rsidP="00004A41">
            <w:pPr>
              <w:pStyle w:val="ConsPlusNormal"/>
            </w:pPr>
          </w:p>
        </w:tc>
        <w:tc>
          <w:tcPr>
            <w:tcW w:w="622" w:type="pct"/>
            <w:tcBorders>
              <w:top w:val="single" w:sz="4" w:space="0" w:color="auto"/>
              <w:left w:val="single" w:sz="4" w:space="0" w:color="auto"/>
              <w:bottom w:val="single" w:sz="4" w:space="0" w:color="auto"/>
              <w:right w:val="single" w:sz="4" w:space="0" w:color="auto"/>
            </w:tcBorders>
          </w:tcPr>
          <w:p w14:paraId="4819C20B" w14:textId="77777777" w:rsidR="00545150" w:rsidRPr="00B0658A" w:rsidRDefault="00545150" w:rsidP="00004A41">
            <w:pPr>
              <w:pStyle w:val="ConsPlusNormal"/>
            </w:pPr>
          </w:p>
        </w:tc>
        <w:tc>
          <w:tcPr>
            <w:tcW w:w="1024" w:type="pct"/>
            <w:tcBorders>
              <w:top w:val="single" w:sz="4" w:space="0" w:color="auto"/>
              <w:left w:val="single" w:sz="4" w:space="0" w:color="auto"/>
              <w:bottom w:val="single" w:sz="4" w:space="0" w:color="auto"/>
              <w:right w:val="single" w:sz="4" w:space="0" w:color="auto"/>
            </w:tcBorders>
          </w:tcPr>
          <w:p w14:paraId="1F360D3E" w14:textId="77777777" w:rsidR="00545150" w:rsidRPr="00B0658A" w:rsidRDefault="00545150" w:rsidP="00004A41">
            <w:pPr>
              <w:pStyle w:val="ConsPlusNormal"/>
            </w:pPr>
          </w:p>
        </w:tc>
      </w:tr>
      <w:tr w:rsidR="00F52FED" w:rsidRPr="00B0658A" w14:paraId="6701714B" w14:textId="77777777" w:rsidTr="0027194A">
        <w:trPr>
          <w:trHeight w:val="20"/>
        </w:trPr>
        <w:tc>
          <w:tcPr>
            <w:tcW w:w="5000" w:type="pct"/>
            <w:gridSpan w:val="6"/>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68FD594" w14:textId="77777777" w:rsidR="00545150" w:rsidRPr="00B0658A" w:rsidRDefault="00545150" w:rsidP="00004A41">
            <w:pPr>
              <w:pStyle w:val="ConsPlusNormal"/>
            </w:pPr>
            <w:r w:rsidRPr="00B0658A">
              <w:t>2. Мероприятия в отношении ________ (наименование значимого объекта КИИ № 2)</w:t>
            </w:r>
          </w:p>
        </w:tc>
      </w:tr>
      <w:tr w:rsidR="00F52FED" w:rsidRPr="00B0658A" w14:paraId="4E365C17" w14:textId="77777777" w:rsidTr="0027194A">
        <w:trPr>
          <w:trHeight w:val="20"/>
        </w:trPr>
        <w:tc>
          <w:tcPr>
            <w:tcW w:w="204" w:type="pct"/>
            <w:tcBorders>
              <w:top w:val="single" w:sz="4" w:space="0" w:color="auto"/>
              <w:left w:val="single" w:sz="4" w:space="0" w:color="auto"/>
              <w:bottom w:val="single" w:sz="4" w:space="0" w:color="auto"/>
              <w:right w:val="single" w:sz="4" w:space="0" w:color="auto"/>
            </w:tcBorders>
          </w:tcPr>
          <w:p w14:paraId="3D6444FB" w14:textId="77777777" w:rsidR="00545150" w:rsidRPr="00B0658A" w:rsidRDefault="00545150" w:rsidP="00004A41">
            <w:pPr>
              <w:pStyle w:val="ConsPlusNormal"/>
              <w:rPr>
                <w:lang w:val="en-US"/>
              </w:rPr>
            </w:pPr>
            <w:r w:rsidRPr="00B0658A">
              <w:rPr>
                <w:lang w:val="en-US"/>
              </w:rPr>
              <w:t>2.1</w:t>
            </w:r>
          </w:p>
        </w:tc>
        <w:tc>
          <w:tcPr>
            <w:tcW w:w="829" w:type="pct"/>
            <w:tcBorders>
              <w:top w:val="single" w:sz="4" w:space="0" w:color="auto"/>
              <w:left w:val="single" w:sz="4" w:space="0" w:color="auto"/>
              <w:bottom w:val="single" w:sz="4" w:space="0" w:color="auto"/>
              <w:right w:val="single" w:sz="4" w:space="0" w:color="auto"/>
            </w:tcBorders>
          </w:tcPr>
          <w:p w14:paraId="4AB718E4" w14:textId="77777777" w:rsidR="00545150" w:rsidRPr="00B0658A" w:rsidRDefault="00545150" w:rsidP="00004A41">
            <w:pPr>
              <w:pStyle w:val="ConsPlusNormal"/>
            </w:pPr>
          </w:p>
        </w:tc>
        <w:tc>
          <w:tcPr>
            <w:tcW w:w="1133" w:type="pct"/>
            <w:tcBorders>
              <w:top w:val="single" w:sz="4" w:space="0" w:color="auto"/>
              <w:left w:val="single" w:sz="4" w:space="0" w:color="auto"/>
              <w:bottom w:val="single" w:sz="4" w:space="0" w:color="auto"/>
              <w:right w:val="single" w:sz="4" w:space="0" w:color="auto"/>
            </w:tcBorders>
          </w:tcPr>
          <w:p w14:paraId="6D42B625" w14:textId="77777777" w:rsidR="00545150" w:rsidRPr="00B0658A" w:rsidRDefault="00545150" w:rsidP="00004A41">
            <w:pPr>
              <w:pStyle w:val="ConsPlusNormal"/>
            </w:pPr>
          </w:p>
        </w:tc>
        <w:tc>
          <w:tcPr>
            <w:tcW w:w="1188" w:type="pct"/>
            <w:tcBorders>
              <w:top w:val="single" w:sz="4" w:space="0" w:color="auto"/>
              <w:left w:val="single" w:sz="4" w:space="0" w:color="auto"/>
              <w:bottom w:val="single" w:sz="4" w:space="0" w:color="auto"/>
              <w:right w:val="single" w:sz="4" w:space="0" w:color="auto"/>
            </w:tcBorders>
          </w:tcPr>
          <w:p w14:paraId="3352A90C" w14:textId="77777777" w:rsidR="00545150" w:rsidRPr="00B0658A" w:rsidRDefault="00545150" w:rsidP="00004A41">
            <w:pPr>
              <w:pStyle w:val="ConsPlusNormal"/>
            </w:pPr>
          </w:p>
        </w:tc>
        <w:tc>
          <w:tcPr>
            <w:tcW w:w="622" w:type="pct"/>
            <w:tcBorders>
              <w:top w:val="single" w:sz="4" w:space="0" w:color="auto"/>
              <w:left w:val="single" w:sz="4" w:space="0" w:color="auto"/>
              <w:bottom w:val="single" w:sz="4" w:space="0" w:color="auto"/>
              <w:right w:val="single" w:sz="4" w:space="0" w:color="auto"/>
            </w:tcBorders>
          </w:tcPr>
          <w:p w14:paraId="052BF1BA" w14:textId="77777777" w:rsidR="00545150" w:rsidRPr="00B0658A" w:rsidRDefault="00545150" w:rsidP="00004A41">
            <w:pPr>
              <w:pStyle w:val="ConsPlusNormal"/>
            </w:pPr>
          </w:p>
        </w:tc>
        <w:tc>
          <w:tcPr>
            <w:tcW w:w="1024" w:type="pct"/>
            <w:tcBorders>
              <w:top w:val="single" w:sz="4" w:space="0" w:color="auto"/>
              <w:left w:val="single" w:sz="4" w:space="0" w:color="auto"/>
              <w:bottom w:val="single" w:sz="4" w:space="0" w:color="auto"/>
              <w:right w:val="single" w:sz="4" w:space="0" w:color="auto"/>
            </w:tcBorders>
          </w:tcPr>
          <w:p w14:paraId="01E5212D" w14:textId="77777777" w:rsidR="00545150" w:rsidRPr="00B0658A" w:rsidRDefault="00545150" w:rsidP="00004A41">
            <w:pPr>
              <w:pStyle w:val="ConsPlusNormal"/>
            </w:pPr>
          </w:p>
        </w:tc>
      </w:tr>
      <w:tr w:rsidR="00F52FED" w:rsidRPr="00B0658A" w14:paraId="4A6DBF37" w14:textId="77777777" w:rsidTr="0027194A">
        <w:trPr>
          <w:trHeight w:val="20"/>
        </w:trPr>
        <w:tc>
          <w:tcPr>
            <w:tcW w:w="204" w:type="pct"/>
            <w:tcBorders>
              <w:top w:val="single" w:sz="4" w:space="0" w:color="auto"/>
              <w:left w:val="single" w:sz="4" w:space="0" w:color="auto"/>
              <w:bottom w:val="single" w:sz="4" w:space="0" w:color="auto"/>
              <w:right w:val="single" w:sz="4" w:space="0" w:color="auto"/>
            </w:tcBorders>
          </w:tcPr>
          <w:p w14:paraId="1677C6A9" w14:textId="77777777" w:rsidR="00545150" w:rsidRPr="00B0658A" w:rsidRDefault="00545150" w:rsidP="00004A41">
            <w:pPr>
              <w:pStyle w:val="ConsPlusNormal"/>
              <w:rPr>
                <w:lang w:val="en-US"/>
              </w:rPr>
            </w:pPr>
            <w:r w:rsidRPr="00B0658A">
              <w:rPr>
                <w:lang w:val="en-US"/>
              </w:rPr>
              <w:t>2.2</w:t>
            </w:r>
          </w:p>
        </w:tc>
        <w:tc>
          <w:tcPr>
            <w:tcW w:w="829" w:type="pct"/>
            <w:tcBorders>
              <w:top w:val="single" w:sz="4" w:space="0" w:color="auto"/>
              <w:left w:val="single" w:sz="4" w:space="0" w:color="auto"/>
              <w:bottom w:val="single" w:sz="4" w:space="0" w:color="auto"/>
              <w:right w:val="single" w:sz="4" w:space="0" w:color="auto"/>
            </w:tcBorders>
          </w:tcPr>
          <w:p w14:paraId="0C0D05E2" w14:textId="77777777" w:rsidR="00545150" w:rsidRPr="00B0658A" w:rsidRDefault="00545150" w:rsidP="00004A41">
            <w:pPr>
              <w:pStyle w:val="ConsPlusNormal"/>
            </w:pPr>
          </w:p>
        </w:tc>
        <w:tc>
          <w:tcPr>
            <w:tcW w:w="1133" w:type="pct"/>
            <w:tcBorders>
              <w:top w:val="single" w:sz="4" w:space="0" w:color="auto"/>
              <w:left w:val="single" w:sz="4" w:space="0" w:color="auto"/>
              <w:bottom w:val="single" w:sz="4" w:space="0" w:color="auto"/>
              <w:right w:val="single" w:sz="4" w:space="0" w:color="auto"/>
            </w:tcBorders>
          </w:tcPr>
          <w:p w14:paraId="6AA76353" w14:textId="77777777" w:rsidR="00545150" w:rsidRPr="00B0658A" w:rsidRDefault="00545150" w:rsidP="00004A41">
            <w:pPr>
              <w:pStyle w:val="ConsPlusNormal"/>
            </w:pPr>
          </w:p>
        </w:tc>
        <w:tc>
          <w:tcPr>
            <w:tcW w:w="1188" w:type="pct"/>
            <w:tcBorders>
              <w:top w:val="single" w:sz="4" w:space="0" w:color="auto"/>
              <w:left w:val="single" w:sz="4" w:space="0" w:color="auto"/>
              <w:bottom w:val="single" w:sz="4" w:space="0" w:color="auto"/>
              <w:right w:val="single" w:sz="4" w:space="0" w:color="auto"/>
            </w:tcBorders>
          </w:tcPr>
          <w:p w14:paraId="329A5825" w14:textId="77777777" w:rsidR="00545150" w:rsidRPr="00B0658A" w:rsidRDefault="00545150" w:rsidP="00004A41">
            <w:pPr>
              <w:pStyle w:val="ConsPlusNormal"/>
            </w:pPr>
          </w:p>
        </w:tc>
        <w:tc>
          <w:tcPr>
            <w:tcW w:w="622" w:type="pct"/>
            <w:tcBorders>
              <w:top w:val="single" w:sz="4" w:space="0" w:color="auto"/>
              <w:left w:val="single" w:sz="4" w:space="0" w:color="auto"/>
              <w:bottom w:val="single" w:sz="4" w:space="0" w:color="auto"/>
              <w:right w:val="single" w:sz="4" w:space="0" w:color="auto"/>
            </w:tcBorders>
          </w:tcPr>
          <w:p w14:paraId="663459FB" w14:textId="77777777" w:rsidR="00545150" w:rsidRPr="00B0658A" w:rsidRDefault="00545150" w:rsidP="00004A41">
            <w:pPr>
              <w:pStyle w:val="ConsPlusNormal"/>
            </w:pPr>
          </w:p>
        </w:tc>
        <w:tc>
          <w:tcPr>
            <w:tcW w:w="1024" w:type="pct"/>
            <w:tcBorders>
              <w:top w:val="single" w:sz="4" w:space="0" w:color="auto"/>
              <w:left w:val="single" w:sz="4" w:space="0" w:color="auto"/>
              <w:bottom w:val="single" w:sz="4" w:space="0" w:color="auto"/>
              <w:right w:val="single" w:sz="4" w:space="0" w:color="auto"/>
            </w:tcBorders>
          </w:tcPr>
          <w:p w14:paraId="016CEA86" w14:textId="77777777" w:rsidR="00545150" w:rsidRPr="00B0658A" w:rsidRDefault="00545150" w:rsidP="00004A41">
            <w:pPr>
              <w:pStyle w:val="ConsPlusNormal"/>
            </w:pPr>
          </w:p>
        </w:tc>
      </w:tr>
      <w:tr w:rsidR="00F52FED" w:rsidRPr="00B0658A" w14:paraId="48817899" w14:textId="77777777" w:rsidTr="0027194A">
        <w:trPr>
          <w:trHeight w:val="20"/>
        </w:trPr>
        <w:tc>
          <w:tcPr>
            <w:tcW w:w="204" w:type="pct"/>
            <w:tcBorders>
              <w:top w:val="single" w:sz="4" w:space="0" w:color="auto"/>
              <w:left w:val="single" w:sz="4" w:space="0" w:color="auto"/>
              <w:bottom w:val="single" w:sz="4" w:space="0" w:color="auto"/>
              <w:right w:val="single" w:sz="4" w:space="0" w:color="auto"/>
            </w:tcBorders>
          </w:tcPr>
          <w:p w14:paraId="6F4D8515" w14:textId="77777777" w:rsidR="00545150" w:rsidRPr="00B0658A" w:rsidRDefault="00545150" w:rsidP="00004A41">
            <w:pPr>
              <w:pStyle w:val="ConsPlusNormal"/>
              <w:rPr>
                <w:lang w:val="en-US"/>
              </w:rPr>
            </w:pPr>
            <w:r w:rsidRPr="00B0658A">
              <w:rPr>
                <w:lang w:val="en-US"/>
              </w:rPr>
              <w:t>….</w:t>
            </w:r>
          </w:p>
        </w:tc>
        <w:tc>
          <w:tcPr>
            <w:tcW w:w="829" w:type="pct"/>
            <w:tcBorders>
              <w:top w:val="single" w:sz="4" w:space="0" w:color="auto"/>
              <w:left w:val="single" w:sz="4" w:space="0" w:color="auto"/>
              <w:bottom w:val="single" w:sz="4" w:space="0" w:color="auto"/>
              <w:right w:val="single" w:sz="4" w:space="0" w:color="auto"/>
            </w:tcBorders>
          </w:tcPr>
          <w:p w14:paraId="0BF775B6" w14:textId="77777777" w:rsidR="00545150" w:rsidRPr="00B0658A" w:rsidRDefault="00545150" w:rsidP="00004A41">
            <w:pPr>
              <w:pStyle w:val="ConsPlusNormal"/>
            </w:pPr>
          </w:p>
        </w:tc>
        <w:tc>
          <w:tcPr>
            <w:tcW w:w="1133" w:type="pct"/>
            <w:tcBorders>
              <w:top w:val="single" w:sz="4" w:space="0" w:color="auto"/>
              <w:left w:val="single" w:sz="4" w:space="0" w:color="auto"/>
              <w:bottom w:val="single" w:sz="4" w:space="0" w:color="auto"/>
              <w:right w:val="single" w:sz="4" w:space="0" w:color="auto"/>
            </w:tcBorders>
          </w:tcPr>
          <w:p w14:paraId="2F6B7CFE" w14:textId="77777777" w:rsidR="00545150" w:rsidRPr="00B0658A" w:rsidRDefault="00545150" w:rsidP="00004A41">
            <w:pPr>
              <w:pStyle w:val="ConsPlusNormal"/>
            </w:pPr>
          </w:p>
        </w:tc>
        <w:tc>
          <w:tcPr>
            <w:tcW w:w="1188" w:type="pct"/>
            <w:tcBorders>
              <w:top w:val="single" w:sz="4" w:space="0" w:color="auto"/>
              <w:left w:val="single" w:sz="4" w:space="0" w:color="auto"/>
              <w:bottom w:val="single" w:sz="4" w:space="0" w:color="auto"/>
              <w:right w:val="single" w:sz="4" w:space="0" w:color="auto"/>
            </w:tcBorders>
          </w:tcPr>
          <w:p w14:paraId="49A6E6C0" w14:textId="77777777" w:rsidR="00545150" w:rsidRPr="00B0658A" w:rsidRDefault="00545150" w:rsidP="00004A41">
            <w:pPr>
              <w:pStyle w:val="ConsPlusNormal"/>
            </w:pPr>
          </w:p>
        </w:tc>
        <w:tc>
          <w:tcPr>
            <w:tcW w:w="622" w:type="pct"/>
            <w:tcBorders>
              <w:top w:val="single" w:sz="4" w:space="0" w:color="auto"/>
              <w:left w:val="single" w:sz="4" w:space="0" w:color="auto"/>
              <w:bottom w:val="single" w:sz="4" w:space="0" w:color="auto"/>
              <w:right w:val="single" w:sz="4" w:space="0" w:color="auto"/>
            </w:tcBorders>
          </w:tcPr>
          <w:p w14:paraId="22EF42B9" w14:textId="77777777" w:rsidR="00545150" w:rsidRPr="00B0658A" w:rsidRDefault="00545150" w:rsidP="00004A41">
            <w:pPr>
              <w:pStyle w:val="ConsPlusNormal"/>
            </w:pPr>
          </w:p>
        </w:tc>
        <w:tc>
          <w:tcPr>
            <w:tcW w:w="1024" w:type="pct"/>
            <w:tcBorders>
              <w:top w:val="single" w:sz="4" w:space="0" w:color="auto"/>
              <w:left w:val="single" w:sz="4" w:space="0" w:color="auto"/>
              <w:bottom w:val="single" w:sz="4" w:space="0" w:color="auto"/>
              <w:right w:val="single" w:sz="4" w:space="0" w:color="auto"/>
            </w:tcBorders>
          </w:tcPr>
          <w:p w14:paraId="4FDF670F" w14:textId="77777777" w:rsidR="00545150" w:rsidRPr="00B0658A" w:rsidRDefault="00545150" w:rsidP="00004A41">
            <w:pPr>
              <w:pStyle w:val="ConsPlusNormal"/>
            </w:pPr>
          </w:p>
        </w:tc>
      </w:tr>
      <w:tr w:rsidR="00F52FED" w:rsidRPr="00B0658A" w14:paraId="741BFE5D" w14:textId="77777777" w:rsidTr="0027194A">
        <w:trPr>
          <w:trHeight w:val="20"/>
        </w:trPr>
        <w:tc>
          <w:tcPr>
            <w:tcW w:w="204" w:type="pct"/>
            <w:tcBorders>
              <w:top w:val="single" w:sz="4" w:space="0" w:color="auto"/>
              <w:left w:val="single" w:sz="4" w:space="0" w:color="auto"/>
              <w:bottom w:val="single" w:sz="4" w:space="0" w:color="auto"/>
              <w:right w:val="single" w:sz="4" w:space="0" w:color="auto"/>
            </w:tcBorders>
          </w:tcPr>
          <w:p w14:paraId="29FC70BB" w14:textId="77777777" w:rsidR="00545150" w:rsidRPr="00B0658A" w:rsidRDefault="00545150" w:rsidP="00004A41">
            <w:pPr>
              <w:pStyle w:val="ConsPlusNormal"/>
              <w:rPr>
                <w:lang w:val="en-US"/>
              </w:rPr>
            </w:pPr>
            <w:r w:rsidRPr="00B0658A">
              <w:rPr>
                <w:lang w:val="en-US"/>
              </w:rPr>
              <w:t>2.n</w:t>
            </w:r>
          </w:p>
        </w:tc>
        <w:tc>
          <w:tcPr>
            <w:tcW w:w="829" w:type="pct"/>
            <w:tcBorders>
              <w:top w:val="single" w:sz="4" w:space="0" w:color="auto"/>
              <w:left w:val="single" w:sz="4" w:space="0" w:color="auto"/>
              <w:bottom w:val="single" w:sz="4" w:space="0" w:color="auto"/>
              <w:right w:val="single" w:sz="4" w:space="0" w:color="auto"/>
            </w:tcBorders>
          </w:tcPr>
          <w:p w14:paraId="547D8608" w14:textId="77777777" w:rsidR="00545150" w:rsidRPr="00B0658A" w:rsidRDefault="00545150" w:rsidP="00004A41">
            <w:pPr>
              <w:pStyle w:val="ConsPlusNormal"/>
            </w:pPr>
          </w:p>
        </w:tc>
        <w:tc>
          <w:tcPr>
            <w:tcW w:w="1133" w:type="pct"/>
            <w:tcBorders>
              <w:top w:val="single" w:sz="4" w:space="0" w:color="auto"/>
              <w:left w:val="single" w:sz="4" w:space="0" w:color="auto"/>
              <w:bottom w:val="single" w:sz="4" w:space="0" w:color="auto"/>
              <w:right w:val="single" w:sz="4" w:space="0" w:color="auto"/>
            </w:tcBorders>
          </w:tcPr>
          <w:p w14:paraId="6E8BC169" w14:textId="77777777" w:rsidR="00545150" w:rsidRPr="00B0658A" w:rsidRDefault="00545150" w:rsidP="00004A41">
            <w:pPr>
              <w:pStyle w:val="ConsPlusNormal"/>
            </w:pPr>
          </w:p>
        </w:tc>
        <w:tc>
          <w:tcPr>
            <w:tcW w:w="1188" w:type="pct"/>
            <w:tcBorders>
              <w:top w:val="single" w:sz="4" w:space="0" w:color="auto"/>
              <w:left w:val="single" w:sz="4" w:space="0" w:color="auto"/>
              <w:bottom w:val="single" w:sz="4" w:space="0" w:color="auto"/>
              <w:right w:val="single" w:sz="4" w:space="0" w:color="auto"/>
            </w:tcBorders>
          </w:tcPr>
          <w:p w14:paraId="0287D78D" w14:textId="77777777" w:rsidR="00545150" w:rsidRPr="00B0658A" w:rsidRDefault="00545150" w:rsidP="00004A41">
            <w:pPr>
              <w:pStyle w:val="ConsPlusNormal"/>
            </w:pPr>
          </w:p>
        </w:tc>
        <w:tc>
          <w:tcPr>
            <w:tcW w:w="622" w:type="pct"/>
            <w:tcBorders>
              <w:top w:val="single" w:sz="4" w:space="0" w:color="auto"/>
              <w:left w:val="single" w:sz="4" w:space="0" w:color="auto"/>
              <w:bottom w:val="single" w:sz="4" w:space="0" w:color="auto"/>
              <w:right w:val="single" w:sz="4" w:space="0" w:color="auto"/>
            </w:tcBorders>
          </w:tcPr>
          <w:p w14:paraId="3065002F" w14:textId="77777777" w:rsidR="00545150" w:rsidRPr="00B0658A" w:rsidRDefault="00545150" w:rsidP="00004A41">
            <w:pPr>
              <w:pStyle w:val="ConsPlusNormal"/>
            </w:pPr>
          </w:p>
        </w:tc>
        <w:tc>
          <w:tcPr>
            <w:tcW w:w="1024" w:type="pct"/>
            <w:tcBorders>
              <w:top w:val="single" w:sz="4" w:space="0" w:color="auto"/>
              <w:left w:val="single" w:sz="4" w:space="0" w:color="auto"/>
              <w:bottom w:val="single" w:sz="4" w:space="0" w:color="auto"/>
              <w:right w:val="single" w:sz="4" w:space="0" w:color="auto"/>
            </w:tcBorders>
          </w:tcPr>
          <w:p w14:paraId="2DC4DB40" w14:textId="77777777" w:rsidR="00545150" w:rsidRPr="00B0658A" w:rsidRDefault="00545150" w:rsidP="00004A41">
            <w:pPr>
              <w:pStyle w:val="ConsPlusNormal"/>
            </w:pPr>
          </w:p>
        </w:tc>
      </w:tr>
      <w:tr w:rsidR="00F52FED" w:rsidRPr="00B0658A" w14:paraId="47B71686" w14:textId="77777777" w:rsidTr="0027194A">
        <w:trPr>
          <w:trHeight w:val="20"/>
        </w:trPr>
        <w:tc>
          <w:tcPr>
            <w:tcW w:w="5000" w:type="pct"/>
            <w:gridSpan w:val="6"/>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0FA2700" w14:textId="22421ADB" w:rsidR="00545150" w:rsidRPr="00B0658A" w:rsidRDefault="00C20C87" w:rsidP="00004A41">
            <w:pPr>
              <w:pStyle w:val="ConsPlusNormal"/>
            </w:pPr>
            <w:r>
              <w:rPr>
                <w:lang w:val="en-US"/>
              </w:rPr>
              <w:t>N</w:t>
            </w:r>
            <w:r w:rsidR="00545150" w:rsidRPr="00B0658A">
              <w:t xml:space="preserve">. Мероприятия в отношении ________ (наименование значимого объекта КИИ № </w:t>
            </w:r>
            <w:r w:rsidR="00545150" w:rsidRPr="00B0658A">
              <w:rPr>
                <w:lang w:val="en-US"/>
              </w:rPr>
              <w:t>N</w:t>
            </w:r>
            <w:r w:rsidR="00545150" w:rsidRPr="00B0658A">
              <w:t>)</w:t>
            </w:r>
          </w:p>
        </w:tc>
      </w:tr>
      <w:tr w:rsidR="00F52FED" w:rsidRPr="00B0658A" w14:paraId="3E7A160D" w14:textId="77777777" w:rsidTr="0027194A">
        <w:trPr>
          <w:trHeight w:val="20"/>
        </w:trPr>
        <w:tc>
          <w:tcPr>
            <w:tcW w:w="204" w:type="pct"/>
            <w:tcBorders>
              <w:top w:val="single" w:sz="4" w:space="0" w:color="auto"/>
              <w:left w:val="single" w:sz="4" w:space="0" w:color="auto"/>
              <w:bottom w:val="single" w:sz="4" w:space="0" w:color="auto"/>
              <w:right w:val="single" w:sz="4" w:space="0" w:color="auto"/>
            </w:tcBorders>
          </w:tcPr>
          <w:p w14:paraId="55E7DF55" w14:textId="77777777" w:rsidR="00545150" w:rsidRPr="00B0658A" w:rsidRDefault="00545150" w:rsidP="00004A41">
            <w:pPr>
              <w:pStyle w:val="ConsPlusNormal"/>
              <w:rPr>
                <w:lang w:val="en-US"/>
              </w:rPr>
            </w:pPr>
            <w:r w:rsidRPr="00B0658A">
              <w:rPr>
                <w:lang w:val="en-US"/>
              </w:rPr>
              <w:t>N.1</w:t>
            </w:r>
          </w:p>
        </w:tc>
        <w:tc>
          <w:tcPr>
            <w:tcW w:w="829" w:type="pct"/>
            <w:tcBorders>
              <w:top w:val="single" w:sz="4" w:space="0" w:color="auto"/>
              <w:left w:val="single" w:sz="4" w:space="0" w:color="auto"/>
              <w:bottom w:val="single" w:sz="4" w:space="0" w:color="auto"/>
              <w:right w:val="single" w:sz="4" w:space="0" w:color="auto"/>
            </w:tcBorders>
          </w:tcPr>
          <w:p w14:paraId="3B6F92C0" w14:textId="77777777" w:rsidR="00545150" w:rsidRPr="00B0658A" w:rsidRDefault="00545150" w:rsidP="00004A41">
            <w:pPr>
              <w:pStyle w:val="ConsPlusNormal"/>
            </w:pPr>
          </w:p>
        </w:tc>
        <w:tc>
          <w:tcPr>
            <w:tcW w:w="1133" w:type="pct"/>
            <w:tcBorders>
              <w:top w:val="single" w:sz="4" w:space="0" w:color="auto"/>
              <w:left w:val="single" w:sz="4" w:space="0" w:color="auto"/>
              <w:bottom w:val="single" w:sz="4" w:space="0" w:color="auto"/>
              <w:right w:val="single" w:sz="4" w:space="0" w:color="auto"/>
            </w:tcBorders>
          </w:tcPr>
          <w:p w14:paraId="425DA58B" w14:textId="77777777" w:rsidR="00545150" w:rsidRPr="00B0658A" w:rsidRDefault="00545150" w:rsidP="00004A41">
            <w:pPr>
              <w:pStyle w:val="ConsPlusNormal"/>
            </w:pPr>
          </w:p>
        </w:tc>
        <w:tc>
          <w:tcPr>
            <w:tcW w:w="1188" w:type="pct"/>
            <w:tcBorders>
              <w:top w:val="single" w:sz="4" w:space="0" w:color="auto"/>
              <w:left w:val="single" w:sz="4" w:space="0" w:color="auto"/>
              <w:bottom w:val="single" w:sz="4" w:space="0" w:color="auto"/>
              <w:right w:val="single" w:sz="4" w:space="0" w:color="auto"/>
            </w:tcBorders>
          </w:tcPr>
          <w:p w14:paraId="1DA49E83" w14:textId="77777777" w:rsidR="00545150" w:rsidRPr="00B0658A" w:rsidRDefault="00545150" w:rsidP="00004A41">
            <w:pPr>
              <w:pStyle w:val="ConsPlusNormal"/>
            </w:pPr>
          </w:p>
        </w:tc>
        <w:tc>
          <w:tcPr>
            <w:tcW w:w="622" w:type="pct"/>
            <w:tcBorders>
              <w:top w:val="single" w:sz="4" w:space="0" w:color="auto"/>
              <w:left w:val="single" w:sz="4" w:space="0" w:color="auto"/>
              <w:bottom w:val="single" w:sz="4" w:space="0" w:color="auto"/>
              <w:right w:val="single" w:sz="4" w:space="0" w:color="auto"/>
            </w:tcBorders>
          </w:tcPr>
          <w:p w14:paraId="4F61D956" w14:textId="77777777" w:rsidR="00545150" w:rsidRPr="00B0658A" w:rsidRDefault="00545150" w:rsidP="00004A41">
            <w:pPr>
              <w:pStyle w:val="ConsPlusNormal"/>
            </w:pPr>
          </w:p>
        </w:tc>
        <w:tc>
          <w:tcPr>
            <w:tcW w:w="1024" w:type="pct"/>
            <w:tcBorders>
              <w:top w:val="single" w:sz="4" w:space="0" w:color="auto"/>
              <w:left w:val="single" w:sz="4" w:space="0" w:color="auto"/>
              <w:bottom w:val="single" w:sz="4" w:space="0" w:color="auto"/>
              <w:right w:val="single" w:sz="4" w:space="0" w:color="auto"/>
            </w:tcBorders>
          </w:tcPr>
          <w:p w14:paraId="77DB9899" w14:textId="77777777" w:rsidR="00545150" w:rsidRPr="00B0658A" w:rsidRDefault="00545150" w:rsidP="00004A41">
            <w:pPr>
              <w:pStyle w:val="ConsPlusNormal"/>
            </w:pPr>
          </w:p>
        </w:tc>
      </w:tr>
      <w:tr w:rsidR="00F52FED" w:rsidRPr="00B0658A" w14:paraId="29573433" w14:textId="77777777" w:rsidTr="0027194A">
        <w:trPr>
          <w:trHeight w:val="20"/>
        </w:trPr>
        <w:tc>
          <w:tcPr>
            <w:tcW w:w="204" w:type="pct"/>
            <w:tcBorders>
              <w:top w:val="single" w:sz="4" w:space="0" w:color="auto"/>
              <w:left w:val="single" w:sz="4" w:space="0" w:color="auto"/>
              <w:bottom w:val="single" w:sz="4" w:space="0" w:color="auto"/>
              <w:right w:val="single" w:sz="4" w:space="0" w:color="auto"/>
            </w:tcBorders>
          </w:tcPr>
          <w:p w14:paraId="6CACBCEC" w14:textId="77777777" w:rsidR="00545150" w:rsidRPr="00B0658A" w:rsidRDefault="00545150" w:rsidP="00004A41">
            <w:pPr>
              <w:pStyle w:val="ConsPlusNormal"/>
              <w:rPr>
                <w:lang w:val="en-US"/>
              </w:rPr>
            </w:pPr>
            <w:r w:rsidRPr="00B0658A">
              <w:rPr>
                <w:lang w:val="en-US"/>
              </w:rPr>
              <w:t>N.2</w:t>
            </w:r>
          </w:p>
        </w:tc>
        <w:tc>
          <w:tcPr>
            <w:tcW w:w="829" w:type="pct"/>
            <w:tcBorders>
              <w:top w:val="single" w:sz="4" w:space="0" w:color="auto"/>
              <w:left w:val="single" w:sz="4" w:space="0" w:color="auto"/>
              <w:bottom w:val="single" w:sz="4" w:space="0" w:color="auto"/>
              <w:right w:val="single" w:sz="4" w:space="0" w:color="auto"/>
            </w:tcBorders>
          </w:tcPr>
          <w:p w14:paraId="39D89F86" w14:textId="77777777" w:rsidR="00545150" w:rsidRPr="00B0658A" w:rsidRDefault="00545150" w:rsidP="00004A41">
            <w:pPr>
              <w:pStyle w:val="ConsPlusNormal"/>
            </w:pPr>
          </w:p>
        </w:tc>
        <w:tc>
          <w:tcPr>
            <w:tcW w:w="1133" w:type="pct"/>
            <w:tcBorders>
              <w:top w:val="single" w:sz="4" w:space="0" w:color="auto"/>
              <w:left w:val="single" w:sz="4" w:space="0" w:color="auto"/>
              <w:bottom w:val="single" w:sz="4" w:space="0" w:color="auto"/>
              <w:right w:val="single" w:sz="4" w:space="0" w:color="auto"/>
            </w:tcBorders>
          </w:tcPr>
          <w:p w14:paraId="466C9FD6" w14:textId="77777777" w:rsidR="00545150" w:rsidRPr="00B0658A" w:rsidRDefault="00545150" w:rsidP="00004A41">
            <w:pPr>
              <w:pStyle w:val="ConsPlusNormal"/>
            </w:pPr>
          </w:p>
        </w:tc>
        <w:tc>
          <w:tcPr>
            <w:tcW w:w="1188" w:type="pct"/>
            <w:tcBorders>
              <w:top w:val="single" w:sz="4" w:space="0" w:color="auto"/>
              <w:left w:val="single" w:sz="4" w:space="0" w:color="auto"/>
              <w:bottom w:val="single" w:sz="4" w:space="0" w:color="auto"/>
              <w:right w:val="single" w:sz="4" w:space="0" w:color="auto"/>
            </w:tcBorders>
          </w:tcPr>
          <w:p w14:paraId="503CAB82" w14:textId="77777777" w:rsidR="00545150" w:rsidRPr="00B0658A" w:rsidRDefault="00545150" w:rsidP="00004A41">
            <w:pPr>
              <w:pStyle w:val="ConsPlusNormal"/>
            </w:pPr>
          </w:p>
        </w:tc>
        <w:tc>
          <w:tcPr>
            <w:tcW w:w="622" w:type="pct"/>
            <w:tcBorders>
              <w:top w:val="single" w:sz="4" w:space="0" w:color="auto"/>
              <w:left w:val="single" w:sz="4" w:space="0" w:color="auto"/>
              <w:bottom w:val="single" w:sz="4" w:space="0" w:color="auto"/>
              <w:right w:val="single" w:sz="4" w:space="0" w:color="auto"/>
            </w:tcBorders>
          </w:tcPr>
          <w:p w14:paraId="428C811A" w14:textId="77777777" w:rsidR="00545150" w:rsidRPr="00B0658A" w:rsidRDefault="00545150" w:rsidP="00004A41">
            <w:pPr>
              <w:pStyle w:val="ConsPlusNormal"/>
            </w:pPr>
          </w:p>
        </w:tc>
        <w:tc>
          <w:tcPr>
            <w:tcW w:w="1024" w:type="pct"/>
            <w:tcBorders>
              <w:top w:val="single" w:sz="4" w:space="0" w:color="auto"/>
              <w:left w:val="single" w:sz="4" w:space="0" w:color="auto"/>
              <w:bottom w:val="single" w:sz="4" w:space="0" w:color="auto"/>
              <w:right w:val="single" w:sz="4" w:space="0" w:color="auto"/>
            </w:tcBorders>
          </w:tcPr>
          <w:p w14:paraId="2341AB59" w14:textId="77777777" w:rsidR="00545150" w:rsidRPr="00B0658A" w:rsidRDefault="00545150" w:rsidP="00004A41">
            <w:pPr>
              <w:pStyle w:val="ConsPlusNormal"/>
            </w:pPr>
          </w:p>
        </w:tc>
      </w:tr>
      <w:tr w:rsidR="00F52FED" w:rsidRPr="00B0658A" w14:paraId="437D13C6" w14:textId="77777777" w:rsidTr="0027194A">
        <w:trPr>
          <w:trHeight w:val="20"/>
        </w:trPr>
        <w:tc>
          <w:tcPr>
            <w:tcW w:w="204" w:type="pct"/>
            <w:tcBorders>
              <w:top w:val="single" w:sz="4" w:space="0" w:color="auto"/>
              <w:left w:val="single" w:sz="4" w:space="0" w:color="auto"/>
              <w:bottom w:val="single" w:sz="4" w:space="0" w:color="auto"/>
              <w:right w:val="single" w:sz="4" w:space="0" w:color="auto"/>
            </w:tcBorders>
          </w:tcPr>
          <w:p w14:paraId="117A4B37" w14:textId="77777777" w:rsidR="00545150" w:rsidRPr="00B0658A" w:rsidRDefault="00545150" w:rsidP="00004A41">
            <w:pPr>
              <w:pStyle w:val="ConsPlusNormal"/>
            </w:pPr>
          </w:p>
        </w:tc>
        <w:tc>
          <w:tcPr>
            <w:tcW w:w="829" w:type="pct"/>
            <w:tcBorders>
              <w:top w:val="single" w:sz="4" w:space="0" w:color="auto"/>
              <w:left w:val="single" w:sz="4" w:space="0" w:color="auto"/>
              <w:bottom w:val="single" w:sz="4" w:space="0" w:color="auto"/>
              <w:right w:val="single" w:sz="4" w:space="0" w:color="auto"/>
            </w:tcBorders>
          </w:tcPr>
          <w:p w14:paraId="1BA449C9" w14:textId="77777777" w:rsidR="00545150" w:rsidRPr="00B0658A" w:rsidRDefault="00545150" w:rsidP="00004A41">
            <w:pPr>
              <w:pStyle w:val="ConsPlusNormal"/>
            </w:pPr>
          </w:p>
        </w:tc>
        <w:tc>
          <w:tcPr>
            <w:tcW w:w="1133" w:type="pct"/>
            <w:tcBorders>
              <w:top w:val="single" w:sz="4" w:space="0" w:color="auto"/>
              <w:left w:val="single" w:sz="4" w:space="0" w:color="auto"/>
              <w:bottom w:val="single" w:sz="4" w:space="0" w:color="auto"/>
              <w:right w:val="single" w:sz="4" w:space="0" w:color="auto"/>
            </w:tcBorders>
          </w:tcPr>
          <w:p w14:paraId="08AF5E78" w14:textId="77777777" w:rsidR="00545150" w:rsidRPr="00B0658A" w:rsidRDefault="00545150" w:rsidP="00004A41">
            <w:pPr>
              <w:pStyle w:val="ConsPlusNormal"/>
            </w:pPr>
          </w:p>
        </w:tc>
        <w:tc>
          <w:tcPr>
            <w:tcW w:w="1188" w:type="pct"/>
            <w:tcBorders>
              <w:top w:val="single" w:sz="4" w:space="0" w:color="auto"/>
              <w:left w:val="single" w:sz="4" w:space="0" w:color="auto"/>
              <w:bottom w:val="single" w:sz="4" w:space="0" w:color="auto"/>
              <w:right w:val="single" w:sz="4" w:space="0" w:color="auto"/>
            </w:tcBorders>
          </w:tcPr>
          <w:p w14:paraId="4AC7C8C8" w14:textId="77777777" w:rsidR="00545150" w:rsidRPr="00B0658A" w:rsidRDefault="00545150" w:rsidP="00004A41">
            <w:pPr>
              <w:pStyle w:val="ConsPlusNormal"/>
            </w:pPr>
          </w:p>
        </w:tc>
        <w:tc>
          <w:tcPr>
            <w:tcW w:w="622" w:type="pct"/>
            <w:tcBorders>
              <w:top w:val="single" w:sz="4" w:space="0" w:color="auto"/>
              <w:left w:val="single" w:sz="4" w:space="0" w:color="auto"/>
              <w:bottom w:val="single" w:sz="4" w:space="0" w:color="auto"/>
              <w:right w:val="single" w:sz="4" w:space="0" w:color="auto"/>
            </w:tcBorders>
          </w:tcPr>
          <w:p w14:paraId="6D6E7A6B" w14:textId="77777777" w:rsidR="00545150" w:rsidRPr="00B0658A" w:rsidRDefault="00545150" w:rsidP="00004A41">
            <w:pPr>
              <w:pStyle w:val="ConsPlusNormal"/>
            </w:pPr>
          </w:p>
        </w:tc>
        <w:tc>
          <w:tcPr>
            <w:tcW w:w="1024" w:type="pct"/>
            <w:tcBorders>
              <w:top w:val="single" w:sz="4" w:space="0" w:color="auto"/>
              <w:left w:val="single" w:sz="4" w:space="0" w:color="auto"/>
              <w:bottom w:val="single" w:sz="4" w:space="0" w:color="auto"/>
              <w:right w:val="single" w:sz="4" w:space="0" w:color="auto"/>
            </w:tcBorders>
          </w:tcPr>
          <w:p w14:paraId="425B4BF0" w14:textId="77777777" w:rsidR="00545150" w:rsidRPr="00B0658A" w:rsidRDefault="00545150" w:rsidP="00004A41">
            <w:pPr>
              <w:pStyle w:val="ConsPlusNormal"/>
            </w:pPr>
          </w:p>
        </w:tc>
      </w:tr>
      <w:tr w:rsidR="00545150" w:rsidRPr="00B0658A" w14:paraId="46B48423" w14:textId="77777777" w:rsidTr="0027194A">
        <w:trPr>
          <w:trHeight w:val="20"/>
        </w:trPr>
        <w:tc>
          <w:tcPr>
            <w:tcW w:w="204" w:type="pct"/>
            <w:tcBorders>
              <w:top w:val="single" w:sz="4" w:space="0" w:color="auto"/>
              <w:left w:val="single" w:sz="4" w:space="0" w:color="auto"/>
              <w:bottom w:val="single" w:sz="4" w:space="0" w:color="auto"/>
              <w:right w:val="single" w:sz="4" w:space="0" w:color="auto"/>
            </w:tcBorders>
          </w:tcPr>
          <w:p w14:paraId="306C67C0" w14:textId="77777777" w:rsidR="00545150" w:rsidRPr="00B0658A" w:rsidRDefault="00545150" w:rsidP="00004A41">
            <w:pPr>
              <w:pStyle w:val="ConsPlusNormal"/>
              <w:rPr>
                <w:lang w:val="en-US"/>
              </w:rPr>
            </w:pPr>
            <w:r w:rsidRPr="00B0658A">
              <w:rPr>
                <w:lang w:val="en-US"/>
              </w:rPr>
              <w:t>N.n</w:t>
            </w:r>
          </w:p>
        </w:tc>
        <w:tc>
          <w:tcPr>
            <w:tcW w:w="829" w:type="pct"/>
            <w:tcBorders>
              <w:top w:val="single" w:sz="4" w:space="0" w:color="auto"/>
              <w:left w:val="single" w:sz="4" w:space="0" w:color="auto"/>
              <w:bottom w:val="single" w:sz="4" w:space="0" w:color="auto"/>
              <w:right w:val="single" w:sz="4" w:space="0" w:color="auto"/>
            </w:tcBorders>
          </w:tcPr>
          <w:p w14:paraId="49D4FBE7" w14:textId="77777777" w:rsidR="00545150" w:rsidRPr="00B0658A" w:rsidRDefault="00545150" w:rsidP="00004A41">
            <w:pPr>
              <w:pStyle w:val="ConsPlusNormal"/>
            </w:pPr>
          </w:p>
        </w:tc>
        <w:tc>
          <w:tcPr>
            <w:tcW w:w="1133" w:type="pct"/>
            <w:tcBorders>
              <w:top w:val="single" w:sz="4" w:space="0" w:color="auto"/>
              <w:left w:val="single" w:sz="4" w:space="0" w:color="auto"/>
              <w:bottom w:val="single" w:sz="4" w:space="0" w:color="auto"/>
              <w:right w:val="single" w:sz="4" w:space="0" w:color="auto"/>
            </w:tcBorders>
          </w:tcPr>
          <w:p w14:paraId="0AD0ADE1" w14:textId="77777777" w:rsidR="00545150" w:rsidRPr="00B0658A" w:rsidRDefault="00545150" w:rsidP="00004A41">
            <w:pPr>
              <w:pStyle w:val="ConsPlusNormal"/>
            </w:pPr>
          </w:p>
        </w:tc>
        <w:tc>
          <w:tcPr>
            <w:tcW w:w="1188" w:type="pct"/>
            <w:tcBorders>
              <w:top w:val="single" w:sz="4" w:space="0" w:color="auto"/>
              <w:left w:val="single" w:sz="4" w:space="0" w:color="auto"/>
              <w:bottom w:val="single" w:sz="4" w:space="0" w:color="auto"/>
              <w:right w:val="single" w:sz="4" w:space="0" w:color="auto"/>
            </w:tcBorders>
          </w:tcPr>
          <w:p w14:paraId="02AB45DE" w14:textId="77777777" w:rsidR="00545150" w:rsidRPr="00B0658A" w:rsidRDefault="00545150" w:rsidP="00004A41">
            <w:pPr>
              <w:pStyle w:val="ConsPlusNormal"/>
            </w:pPr>
          </w:p>
        </w:tc>
        <w:tc>
          <w:tcPr>
            <w:tcW w:w="622" w:type="pct"/>
            <w:tcBorders>
              <w:top w:val="single" w:sz="4" w:space="0" w:color="auto"/>
              <w:left w:val="single" w:sz="4" w:space="0" w:color="auto"/>
              <w:bottom w:val="single" w:sz="4" w:space="0" w:color="auto"/>
              <w:right w:val="single" w:sz="4" w:space="0" w:color="auto"/>
            </w:tcBorders>
          </w:tcPr>
          <w:p w14:paraId="7FA400CE" w14:textId="77777777" w:rsidR="00545150" w:rsidRPr="00B0658A" w:rsidRDefault="00545150" w:rsidP="00004A41">
            <w:pPr>
              <w:pStyle w:val="ConsPlusNormal"/>
            </w:pPr>
          </w:p>
        </w:tc>
        <w:tc>
          <w:tcPr>
            <w:tcW w:w="1024" w:type="pct"/>
            <w:tcBorders>
              <w:top w:val="single" w:sz="4" w:space="0" w:color="auto"/>
              <w:left w:val="single" w:sz="4" w:space="0" w:color="auto"/>
              <w:bottom w:val="single" w:sz="4" w:space="0" w:color="auto"/>
              <w:right w:val="single" w:sz="4" w:space="0" w:color="auto"/>
            </w:tcBorders>
          </w:tcPr>
          <w:p w14:paraId="51BFD0A7" w14:textId="77777777" w:rsidR="00545150" w:rsidRPr="00B0658A" w:rsidRDefault="00545150" w:rsidP="00004A41">
            <w:pPr>
              <w:pStyle w:val="ConsPlusNormal"/>
            </w:pPr>
          </w:p>
        </w:tc>
      </w:tr>
    </w:tbl>
    <w:p w14:paraId="163E1B05" w14:textId="77777777" w:rsidR="00545150" w:rsidRPr="00B0658A" w:rsidRDefault="00545150" w:rsidP="00545150">
      <w:pPr>
        <w:spacing w:before="120" w:after="0" w:line="240" w:lineRule="auto"/>
        <w:jc w:val="both"/>
        <w:rPr>
          <w:rFonts w:ascii="Times New Roman" w:hAnsi="Times New Roman"/>
          <w:sz w:val="28"/>
          <w:szCs w:val="24"/>
        </w:rPr>
      </w:pPr>
      <w:r w:rsidRPr="00B0658A">
        <w:rPr>
          <w:rFonts w:ascii="Times New Roman" w:hAnsi="Times New Roman"/>
          <w:sz w:val="28"/>
          <w:szCs w:val="24"/>
        </w:rPr>
        <w:t>Раздел 2. «Показатели эффективности перехода на использование российского ПО и соответствующие им значения индикаторов эффективности в отношении значимых объектов КИИ»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7"/>
        <w:gridCol w:w="3432"/>
        <w:gridCol w:w="2337"/>
        <w:gridCol w:w="2337"/>
        <w:gridCol w:w="875"/>
        <w:gridCol w:w="875"/>
        <w:gridCol w:w="875"/>
        <w:gridCol w:w="875"/>
        <w:gridCol w:w="1581"/>
      </w:tblGrid>
      <w:tr w:rsidR="00F52FED" w:rsidRPr="00B0658A" w14:paraId="50CD83F3" w14:textId="77777777" w:rsidTr="0027194A">
        <w:trPr>
          <w:trHeight w:val="20"/>
          <w:tblHeader/>
        </w:trPr>
        <w:tc>
          <w:tcPr>
            <w:tcW w:w="278" w:type="pct"/>
            <w:shd w:val="clear" w:color="000000" w:fill="E7E6E6"/>
            <w:vAlign w:val="center"/>
            <w:hideMark/>
          </w:tcPr>
          <w:p w14:paraId="679F3C4C" w14:textId="77777777" w:rsidR="00545150" w:rsidRPr="00B0658A" w:rsidRDefault="00545150" w:rsidP="000A4114">
            <w:pPr>
              <w:spacing w:after="0" w:line="240" w:lineRule="auto"/>
              <w:jc w:val="center"/>
              <w:rPr>
                <w:rFonts w:ascii="Times New Roman" w:hAnsi="Times New Roman"/>
                <w:b/>
                <w:bCs/>
                <w:sz w:val="20"/>
                <w:szCs w:val="20"/>
              </w:rPr>
            </w:pPr>
            <w:r w:rsidRPr="00B0658A">
              <w:rPr>
                <w:rFonts w:ascii="Times New Roman" w:hAnsi="Times New Roman"/>
                <w:b/>
                <w:bCs/>
                <w:sz w:val="20"/>
                <w:szCs w:val="20"/>
              </w:rPr>
              <w:t>№ п/п</w:t>
            </w:r>
          </w:p>
        </w:tc>
        <w:tc>
          <w:tcPr>
            <w:tcW w:w="1237" w:type="pct"/>
            <w:shd w:val="clear" w:color="000000" w:fill="E7E6E6"/>
            <w:vAlign w:val="center"/>
            <w:hideMark/>
          </w:tcPr>
          <w:p w14:paraId="62D91343" w14:textId="77777777" w:rsidR="00545150" w:rsidRPr="00B0658A" w:rsidRDefault="00545150" w:rsidP="000A4114">
            <w:pPr>
              <w:spacing w:after="0" w:line="240" w:lineRule="auto"/>
              <w:jc w:val="center"/>
              <w:rPr>
                <w:rFonts w:ascii="Times New Roman" w:hAnsi="Times New Roman"/>
                <w:b/>
                <w:bCs/>
                <w:sz w:val="20"/>
                <w:szCs w:val="20"/>
              </w:rPr>
            </w:pPr>
            <w:r w:rsidRPr="00B0658A">
              <w:rPr>
                <w:rFonts w:ascii="Times New Roman" w:hAnsi="Times New Roman"/>
                <w:b/>
                <w:bCs/>
                <w:sz w:val="20"/>
                <w:szCs w:val="20"/>
              </w:rPr>
              <w:t>Наименование используемого класса (типа) ПО</w:t>
            </w:r>
          </w:p>
        </w:tc>
        <w:tc>
          <w:tcPr>
            <w:tcW w:w="844" w:type="pct"/>
            <w:shd w:val="clear" w:color="000000" w:fill="E7E6E6"/>
            <w:vAlign w:val="center"/>
          </w:tcPr>
          <w:p w14:paraId="3CC4E182" w14:textId="77777777" w:rsidR="00545150" w:rsidRPr="00B0658A" w:rsidRDefault="00545150" w:rsidP="000A4114">
            <w:pPr>
              <w:spacing w:after="0" w:line="240" w:lineRule="auto"/>
              <w:jc w:val="center"/>
              <w:rPr>
                <w:rFonts w:ascii="Times New Roman" w:hAnsi="Times New Roman"/>
                <w:b/>
                <w:bCs/>
                <w:sz w:val="20"/>
                <w:szCs w:val="20"/>
              </w:rPr>
            </w:pPr>
            <w:r w:rsidRPr="00B0658A">
              <w:rPr>
                <w:rFonts w:ascii="Times New Roman" w:hAnsi="Times New Roman"/>
                <w:b/>
                <w:bCs/>
                <w:sz w:val="20"/>
                <w:szCs w:val="20"/>
              </w:rPr>
              <w:t>Перечень иностранного ПО, подлежащего замещению</w:t>
            </w:r>
          </w:p>
        </w:tc>
        <w:tc>
          <w:tcPr>
            <w:tcW w:w="844" w:type="pct"/>
            <w:shd w:val="clear" w:color="000000" w:fill="E7E6E6"/>
            <w:vAlign w:val="center"/>
            <w:hideMark/>
          </w:tcPr>
          <w:p w14:paraId="680C0ED7" w14:textId="77777777" w:rsidR="00545150" w:rsidRPr="00B0658A" w:rsidRDefault="00545150" w:rsidP="000A4114">
            <w:pPr>
              <w:spacing w:after="0" w:line="240" w:lineRule="auto"/>
              <w:jc w:val="center"/>
              <w:rPr>
                <w:rFonts w:ascii="Times New Roman" w:hAnsi="Times New Roman"/>
                <w:b/>
                <w:bCs/>
                <w:sz w:val="20"/>
                <w:szCs w:val="20"/>
              </w:rPr>
            </w:pPr>
            <w:r w:rsidRPr="00B0658A">
              <w:rPr>
                <w:rFonts w:ascii="Times New Roman" w:hAnsi="Times New Roman"/>
                <w:b/>
                <w:bCs/>
                <w:sz w:val="20"/>
                <w:szCs w:val="20"/>
              </w:rPr>
              <w:t>Наименование целевого показателя</w:t>
            </w:r>
          </w:p>
        </w:tc>
        <w:tc>
          <w:tcPr>
            <w:tcW w:w="320" w:type="pct"/>
            <w:shd w:val="clear" w:color="000000" w:fill="E7E6E6"/>
            <w:vAlign w:val="center"/>
          </w:tcPr>
          <w:p w14:paraId="31A24D69" w14:textId="77777777" w:rsidR="00545150" w:rsidRPr="00B0658A" w:rsidRDefault="00545150" w:rsidP="000A4114">
            <w:pPr>
              <w:spacing w:after="0" w:line="240" w:lineRule="auto"/>
              <w:jc w:val="center"/>
              <w:rPr>
                <w:rFonts w:ascii="Times New Roman" w:hAnsi="Times New Roman"/>
                <w:b/>
                <w:bCs/>
                <w:sz w:val="20"/>
                <w:szCs w:val="20"/>
              </w:rPr>
            </w:pPr>
            <w:r w:rsidRPr="00B0658A">
              <w:rPr>
                <w:rFonts w:ascii="Times New Roman" w:hAnsi="Times New Roman"/>
                <w:b/>
                <w:bCs/>
                <w:sz w:val="20"/>
                <w:szCs w:val="20"/>
              </w:rPr>
              <w:t>2021 г.</w:t>
            </w:r>
          </w:p>
          <w:p w14:paraId="3A807FEC" w14:textId="77777777" w:rsidR="00545150" w:rsidRPr="00B0658A" w:rsidRDefault="00545150" w:rsidP="000A4114">
            <w:pPr>
              <w:spacing w:after="0" w:line="240" w:lineRule="auto"/>
              <w:jc w:val="center"/>
              <w:rPr>
                <w:rFonts w:ascii="Times New Roman" w:hAnsi="Times New Roman"/>
                <w:b/>
                <w:bCs/>
                <w:sz w:val="20"/>
                <w:szCs w:val="20"/>
              </w:rPr>
            </w:pPr>
            <w:r w:rsidRPr="00B0658A">
              <w:rPr>
                <w:rFonts w:ascii="Times New Roman" w:hAnsi="Times New Roman"/>
                <w:b/>
                <w:bCs/>
                <w:sz w:val="20"/>
                <w:szCs w:val="20"/>
              </w:rPr>
              <w:t>(факт)</w:t>
            </w:r>
          </w:p>
        </w:tc>
        <w:tc>
          <w:tcPr>
            <w:tcW w:w="320" w:type="pct"/>
            <w:shd w:val="clear" w:color="000000" w:fill="E7E6E6"/>
            <w:noWrap/>
            <w:vAlign w:val="center"/>
            <w:hideMark/>
          </w:tcPr>
          <w:p w14:paraId="6EB86536" w14:textId="77777777" w:rsidR="00545150" w:rsidRPr="00B0658A" w:rsidRDefault="00545150" w:rsidP="000A4114">
            <w:pPr>
              <w:spacing w:after="0" w:line="240" w:lineRule="auto"/>
              <w:jc w:val="center"/>
              <w:rPr>
                <w:rFonts w:ascii="Times New Roman" w:hAnsi="Times New Roman"/>
                <w:b/>
                <w:bCs/>
                <w:sz w:val="20"/>
                <w:szCs w:val="20"/>
              </w:rPr>
            </w:pPr>
            <w:r w:rsidRPr="00B0658A">
              <w:rPr>
                <w:rFonts w:ascii="Times New Roman" w:hAnsi="Times New Roman"/>
                <w:b/>
                <w:bCs/>
                <w:sz w:val="20"/>
                <w:szCs w:val="20"/>
              </w:rPr>
              <w:t>2022 г.</w:t>
            </w:r>
          </w:p>
          <w:p w14:paraId="330FB8B6" w14:textId="77777777" w:rsidR="00545150" w:rsidRPr="00B0658A" w:rsidRDefault="00545150" w:rsidP="000A4114">
            <w:pPr>
              <w:spacing w:after="0" w:line="240" w:lineRule="auto"/>
              <w:jc w:val="center"/>
              <w:rPr>
                <w:rFonts w:ascii="Times New Roman" w:hAnsi="Times New Roman"/>
                <w:b/>
                <w:bCs/>
                <w:sz w:val="20"/>
                <w:szCs w:val="20"/>
              </w:rPr>
            </w:pPr>
            <w:r w:rsidRPr="00B0658A">
              <w:rPr>
                <w:rFonts w:ascii="Times New Roman" w:hAnsi="Times New Roman"/>
                <w:b/>
                <w:bCs/>
                <w:sz w:val="20"/>
                <w:szCs w:val="20"/>
              </w:rPr>
              <w:t>(план)</w:t>
            </w:r>
          </w:p>
        </w:tc>
        <w:tc>
          <w:tcPr>
            <w:tcW w:w="320" w:type="pct"/>
            <w:shd w:val="clear" w:color="000000" w:fill="E7E6E6"/>
            <w:vAlign w:val="center"/>
            <w:hideMark/>
          </w:tcPr>
          <w:p w14:paraId="7D2DEDC3" w14:textId="77777777" w:rsidR="00545150" w:rsidRPr="00B0658A" w:rsidRDefault="00545150" w:rsidP="000A4114">
            <w:pPr>
              <w:spacing w:after="0" w:line="240" w:lineRule="auto"/>
              <w:jc w:val="center"/>
              <w:rPr>
                <w:rFonts w:ascii="Times New Roman" w:hAnsi="Times New Roman"/>
                <w:b/>
                <w:bCs/>
                <w:sz w:val="20"/>
                <w:szCs w:val="20"/>
              </w:rPr>
            </w:pPr>
            <w:r w:rsidRPr="00B0658A">
              <w:rPr>
                <w:rFonts w:ascii="Times New Roman" w:hAnsi="Times New Roman"/>
                <w:b/>
                <w:bCs/>
                <w:sz w:val="20"/>
                <w:szCs w:val="20"/>
              </w:rPr>
              <w:t>2023 г.</w:t>
            </w:r>
          </w:p>
          <w:p w14:paraId="66075543" w14:textId="77777777" w:rsidR="00545150" w:rsidRPr="00B0658A" w:rsidRDefault="00545150" w:rsidP="000A4114">
            <w:pPr>
              <w:spacing w:after="0" w:line="240" w:lineRule="auto"/>
              <w:jc w:val="center"/>
              <w:rPr>
                <w:rFonts w:ascii="Times New Roman" w:hAnsi="Times New Roman"/>
                <w:b/>
                <w:bCs/>
                <w:sz w:val="20"/>
                <w:szCs w:val="20"/>
              </w:rPr>
            </w:pPr>
            <w:r w:rsidRPr="00B0658A">
              <w:rPr>
                <w:rFonts w:ascii="Times New Roman" w:hAnsi="Times New Roman"/>
                <w:b/>
                <w:bCs/>
                <w:sz w:val="20"/>
                <w:szCs w:val="20"/>
              </w:rPr>
              <w:t>(план)</w:t>
            </w:r>
          </w:p>
        </w:tc>
        <w:tc>
          <w:tcPr>
            <w:tcW w:w="320" w:type="pct"/>
            <w:shd w:val="clear" w:color="000000" w:fill="E7E6E6"/>
            <w:noWrap/>
            <w:vAlign w:val="center"/>
            <w:hideMark/>
          </w:tcPr>
          <w:p w14:paraId="425EDC42" w14:textId="77777777" w:rsidR="00545150" w:rsidRPr="00B0658A" w:rsidRDefault="00545150" w:rsidP="000A4114">
            <w:pPr>
              <w:spacing w:after="0" w:line="240" w:lineRule="auto"/>
              <w:jc w:val="center"/>
              <w:rPr>
                <w:rFonts w:ascii="Times New Roman" w:hAnsi="Times New Roman"/>
                <w:b/>
                <w:bCs/>
                <w:sz w:val="20"/>
                <w:szCs w:val="20"/>
              </w:rPr>
            </w:pPr>
            <w:r w:rsidRPr="00B0658A">
              <w:rPr>
                <w:rFonts w:ascii="Times New Roman" w:hAnsi="Times New Roman"/>
                <w:b/>
                <w:bCs/>
                <w:sz w:val="20"/>
                <w:szCs w:val="20"/>
              </w:rPr>
              <w:t>2024 г.</w:t>
            </w:r>
          </w:p>
          <w:p w14:paraId="4C349F8D" w14:textId="77777777" w:rsidR="00545150" w:rsidRPr="00B0658A" w:rsidRDefault="00545150" w:rsidP="000A4114">
            <w:pPr>
              <w:spacing w:after="0" w:line="240" w:lineRule="auto"/>
              <w:jc w:val="center"/>
              <w:rPr>
                <w:rFonts w:ascii="Times New Roman" w:hAnsi="Times New Roman"/>
                <w:b/>
                <w:bCs/>
                <w:sz w:val="20"/>
                <w:szCs w:val="20"/>
              </w:rPr>
            </w:pPr>
            <w:r w:rsidRPr="00B0658A">
              <w:rPr>
                <w:rFonts w:ascii="Times New Roman" w:hAnsi="Times New Roman"/>
                <w:b/>
                <w:bCs/>
                <w:sz w:val="20"/>
                <w:szCs w:val="20"/>
              </w:rPr>
              <w:t>(план)</w:t>
            </w:r>
          </w:p>
        </w:tc>
        <w:tc>
          <w:tcPr>
            <w:tcW w:w="518" w:type="pct"/>
            <w:shd w:val="clear" w:color="000000" w:fill="E7E6E6"/>
            <w:vAlign w:val="center"/>
            <w:hideMark/>
          </w:tcPr>
          <w:p w14:paraId="19D9BA51" w14:textId="77777777" w:rsidR="00545150" w:rsidRPr="00B0658A" w:rsidRDefault="00545150" w:rsidP="000A4114">
            <w:pPr>
              <w:spacing w:after="0" w:line="240" w:lineRule="auto"/>
              <w:jc w:val="center"/>
              <w:rPr>
                <w:rFonts w:ascii="Times New Roman" w:hAnsi="Times New Roman"/>
                <w:b/>
                <w:bCs/>
                <w:sz w:val="20"/>
                <w:szCs w:val="20"/>
              </w:rPr>
            </w:pPr>
            <w:r w:rsidRPr="00B0658A">
              <w:rPr>
                <w:rFonts w:ascii="Times New Roman" w:hAnsi="Times New Roman"/>
                <w:b/>
                <w:bCs/>
                <w:sz w:val="20"/>
                <w:szCs w:val="20"/>
              </w:rPr>
              <w:t>Единицы измерения уровня использования</w:t>
            </w:r>
          </w:p>
        </w:tc>
      </w:tr>
      <w:tr w:rsidR="00F52FED" w:rsidRPr="00B0658A" w14:paraId="3632C7C6" w14:textId="77777777" w:rsidTr="0027194A">
        <w:trPr>
          <w:trHeight w:val="20"/>
        </w:trPr>
        <w:tc>
          <w:tcPr>
            <w:tcW w:w="5000" w:type="pct"/>
            <w:gridSpan w:val="9"/>
            <w:shd w:val="clear" w:color="auto" w:fill="DEEAF6" w:themeFill="accent5" w:themeFillTint="33"/>
          </w:tcPr>
          <w:p w14:paraId="774BE8E6" w14:textId="77777777" w:rsidR="00545150" w:rsidRPr="00B0658A" w:rsidRDefault="00545150" w:rsidP="000A4114">
            <w:pPr>
              <w:spacing w:after="0" w:line="240" w:lineRule="auto"/>
              <w:rPr>
                <w:rFonts w:ascii="Times New Roman" w:hAnsi="Times New Roman"/>
                <w:b/>
                <w:sz w:val="20"/>
                <w:szCs w:val="20"/>
              </w:rPr>
            </w:pPr>
            <w:r w:rsidRPr="00B0658A">
              <w:rPr>
                <w:rFonts w:ascii="Times New Roman" w:hAnsi="Times New Roman"/>
                <w:b/>
                <w:sz w:val="20"/>
                <w:szCs w:val="20"/>
              </w:rPr>
              <w:t>1. Показатели эффективности перехода в отношении________ (наименование значимого объекта КИИ №1)</w:t>
            </w:r>
          </w:p>
        </w:tc>
      </w:tr>
      <w:tr w:rsidR="00F52FED" w:rsidRPr="00B0658A" w14:paraId="651D4DE7" w14:textId="77777777" w:rsidTr="0027194A">
        <w:trPr>
          <w:trHeight w:val="20"/>
        </w:trPr>
        <w:tc>
          <w:tcPr>
            <w:tcW w:w="278" w:type="pct"/>
            <w:shd w:val="clear" w:color="000000" w:fill="FFFFFF"/>
            <w:vAlign w:val="center"/>
          </w:tcPr>
          <w:p w14:paraId="5526D976" w14:textId="77777777" w:rsidR="00545150" w:rsidRPr="00B0658A" w:rsidRDefault="00545150" w:rsidP="000A4114">
            <w:pPr>
              <w:spacing w:after="0" w:line="240" w:lineRule="auto"/>
              <w:jc w:val="center"/>
              <w:rPr>
                <w:rFonts w:ascii="Times New Roman" w:hAnsi="Times New Roman"/>
                <w:sz w:val="20"/>
                <w:szCs w:val="20"/>
              </w:rPr>
            </w:pPr>
            <w:r w:rsidRPr="00B0658A">
              <w:rPr>
                <w:rFonts w:ascii="Times New Roman" w:hAnsi="Times New Roman"/>
                <w:sz w:val="20"/>
                <w:szCs w:val="20"/>
              </w:rPr>
              <w:t>1.1</w:t>
            </w:r>
          </w:p>
        </w:tc>
        <w:tc>
          <w:tcPr>
            <w:tcW w:w="1237" w:type="pct"/>
            <w:shd w:val="clear" w:color="auto" w:fill="auto"/>
            <w:vAlign w:val="center"/>
            <w:hideMark/>
          </w:tcPr>
          <w:p w14:paraId="4E71583C" w14:textId="77777777" w:rsidR="00545150" w:rsidRPr="00B0658A" w:rsidRDefault="00545150" w:rsidP="000A4114">
            <w:pPr>
              <w:spacing w:after="0" w:line="240" w:lineRule="auto"/>
              <w:rPr>
                <w:rFonts w:ascii="Times New Roman" w:hAnsi="Times New Roman"/>
                <w:i/>
                <w:sz w:val="20"/>
                <w:szCs w:val="20"/>
              </w:rPr>
            </w:pPr>
            <w:r w:rsidRPr="00B0658A">
              <w:rPr>
                <w:rFonts w:ascii="Times New Roman" w:hAnsi="Times New Roman"/>
                <w:i/>
                <w:sz w:val="20"/>
                <w:szCs w:val="20"/>
              </w:rPr>
              <w:t>Указывается класс (тип) №1 ПО, используемого на значимом объекте КИИ №1 в соответствии с приказом Минцифры России от 22 сентября 2020 г. № 486)</w:t>
            </w:r>
          </w:p>
        </w:tc>
        <w:tc>
          <w:tcPr>
            <w:tcW w:w="844" w:type="pct"/>
          </w:tcPr>
          <w:p w14:paraId="6D52E3DD" w14:textId="77777777" w:rsidR="00545150" w:rsidRPr="00B0658A" w:rsidRDefault="00545150" w:rsidP="000A4114">
            <w:pPr>
              <w:spacing w:after="0" w:line="240" w:lineRule="auto"/>
              <w:rPr>
                <w:rFonts w:ascii="Times New Roman" w:hAnsi="Times New Roman"/>
                <w:sz w:val="20"/>
                <w:szCs w:val="20"/>
              </w:rPr>
            </w:pPr>
            <w:r w:rsidRPr="00B0658A">
              <w:rPr>
                <w:rFonts w:ascii="Times New Roman" w:hAnsi="Times New Roman"/>
                <w:i/>
                <w:sz w:val="20"/>
                <w:szCs w:val="20"/>
              </w:rPr>
              <w:t>Указывается перечень используемого иностранного ПО на значимом объекте КИИ</w:t>
            </w:r>
          </w:p>
        </w:tc>
        <w:tc>
          <w:tcPr>
            <w:tcW w:w="844" w:type="pct"/>
            <w:shd w:val="clear" w:color="000000" w:fill="FFFFFF"/>
            <w:hideMark/>
          </w:tcPr>
          <w:p w14:paraId="1FFC8EF9" w14:textId="77777777" w:rsidR="00545150" w:rsidRPr="00B0658A" w:rsidRDefault="00545150" w:rsidP="000A4114">
            <w:pPr>
              <w:spacing w:after="0" w:line="240" w:lineRule="auto"/>
              <w:rPr>
                <w:rFonts w:ascii="Times New Roman" w:hAnsi="Times New Roman"/>
                <w:sz w:val="20"/>
                <w:szCs w:val="20"/>
              </w:rPr>
            </w:pPr>
            <w:r w:rsidRPr="00B0658A">
              <w:rPr>
                <w:rFonts w:ascii="Times New Roman" w:hAnsi="Times New Roman"/>
                <w:sz w:val="20"/>
                <w:szCs w:val="20"/>
              </w:rPr>
              <w:t>Доля используемого российского ПО и евразийского ПО, используемого на значимом объекте КИИ, в общем объёме используемого ПО на таком объекте, %</w:t>
            </w:r>
          </w:p>
        </w:tc>
        <w:tc>
          <w:tcPr>
            <w:tcW w:w="320" w:type="pct"/>
            <w:shd w:val="clear" w:color="000000" w:fill="FFFFFF"/>
            <w:vAlign w:val="center"/>
          </w:tcPr>
          <w:p w14:paraId="37059956" w14:textId="77777777" w:rsidR="00545150" w:rsidRPr="00B0658A" w:rsidRDefault="00545150" w:rsidP="000A4114">
            <w:pPr>
              <w:spacing w:after="0" w:line="240" w:lineRule="auto"/>
              <w:jc w:val="center"/>
              <w:rPr>
                <w:rFonts w:ascii="Times New Roman" w:hAnsi="Times New Roman"/>
                <w:sz w:val="20"/>
                <w:szCs w:val="20"/>
              </w:rPr>
            </w:pPr>
          </w:p>
        </w:tc>
        <w:tc>
          <w:tcPr>
            <w:tcW w:w="320" w:type="pct"/>
            <w:shd w:val="clear" w:color="000000" w:fill="FFFFFF"/>
            <w:vAlign w:val="center"/>
            <w:hideMark/>
          </w:tcPr>
          <w:p w14:paraId="6CD83887" w14:textId="77777777" w:rsidR="00545150" w:rsidRPr="00B0658A" w:rsidRDefault="00545150" w:rsidP="000A4114">
            <w:pPr>
              <w:spacing w:after="0" w:line="240" w:lineRule="auto"/>
              <w:jc w:val="center"/>
              <w:rPr>
                <w:rFonts w:ascii="Times New Roman" w:hAnsi="Times New Roman"/>
                <w:sz w:val="20"/>
                <w:szCs w:val="20"/>
              </w:rPr>
            </w:pPr>
          </w:p>
        </w:tc>
        <w:tc>
          <w:tcPr>
            <w:tcW w:w="320" w:type="pct"/>
            <w:shd w:val="clear" w:color="000000" w:fill="FFFFFF"/>
            <w:vAlign w:val="center"/>
            <w:hideMark/>
          </w:tcPr>
          <w:p w14:paraId="3DFD8D67" w14:textId="77777777" w:rsidR="00545150" w:rsidRPr="00B0658A" w:rsidRDefault="00545150" w:rsidP="000A4114">
            <w:pPr>
              <w:spacing w:after="0" w:line="240" w:lineRule="auto"/>
              <w:jc w:val="center"/>
              <w:rPr>
                <w:rFonts w:ascii="Times New Roman" w:hAnsi="Times New Roman"/>
                <w:sz w:val="20"/>
                <w:szCs w:val="20"/>
              </w:rPr>
            </w:pPr>
          </w:p>
        </w:tc>
        <w:tc>
          <w:tcPr>
            <w:tcW w:w="320" w:type="pct"/>
            <w:shd w:val="clear" w:color="000000" w:fill="FFFFFF"/>
            <w:vAlign w:val="center"/>
            <w:hideMark/>
          </w:tcPr>
          <w:p w14:paraId="432673B9" w14:textId="77777777" w:rsidR="00545150" w:rsidRPr="00B0658A" w:rsidRDefault="00545150" w:rsidP="000A4114">
            <w:pPr>
              <w:spacing w:after="0" w:line="240" w:lineRule="auto"/>
              <w:jc w:val="center"/>
              <w:rPr>
                <w:rFonts w:ascii="Times New Roman" w:hAnsi="Times New Roman"/>
                <w:sz w:val="20"/>
                <w:szCs w:val="20"/>
              </w:rPr>
            </w:pPr>
          </w:p>
        </w:tc>
        <w:tc>
          <w:tcPr>
            <w:tcW w:w="518" w:type="pct"/>
            <w:shd w:val="clear" w:color="000000" w:fill="FFFFFF"/>
            <w:vAlign w:val="center"/>
            <w:hideMark/>
          </w:tcPr>
          <w:p w14:paraId="353248BD" w14:textId="77777777" w:rsidR="00545150" w:rsidRPr="00B0658A" w:rsidRDefault="00545150" w:rsidP="000A4114">
            <w:pPr>
              <w:spacing w:after="0" w:line="240" w:lineRule="auto"/>
              <w:jc w:val="center"/>
              <w:rPr>
                <w:rFonts w:ascii="Times New Roman" w:hAnsi="Times New Roman"/>
                <w:sz w:val="20"/>
                <w:szCs w:val="20"/>
              </w:rPr>
            </w:pPr>
            <w:r w:rsidRPr="00B0658A">
              <w:rPr>
                <w:rFonts w:ascii="Times New Roman" w:hAnsi="Times New Roman"/>
                <w:i/>
                <w:sz w:val="20"/>
                <w:szCs w:val="20"/>
              </w:rPr>
              <w:t>Указывается единица измерения уровня использования</w:t>
            </w:r>
          </w:p>
        </w:tc>
      </w:tr>
      <w:tr w:rsidR="00F52FED" w:rsidRPr="00B0658A" w14:paraId="420472F0" w14:textId="77777777" w:rsidTr="0027194A">
        <w:trPr>
          <w:trHeight w:val="20"/>
        </w:trPr>
        <w:tc>
          <w:tcPr>
            <w:tcW w:w="278" w:type="pct"/>
            <w:shd w:val="clear" w:color="000000" w:fill="FFFFFF"/>
            <w:vAlign w:val="center"/>
          </w:tcPr>
          <w:p w14:paraId="30428F8E" w14:textId="77777777" w:rsidR="00545150" w:rsidRPr="00B0658A" w:rsidRDefault="00545150" w:rsidP="000A4114">
            <w:pPr>
              <w:spacing w:after="0" w:line="240" w:lineRule="auto"/>
              <w:jc w:val="center"/>
              <w:rPr>
                <w:rFonts w:ascii="Times New Roman" w:hAnsi="Times New Roman"/>
                <w:sz w:val="20"/>
                <w:szCs w:val="20"/>
              </w:rPr>
            </w:pPr>
            <w:r w:rsidRPr="00B0658A">
              <w:rPr>
                <w:rFonts w:ascii="Times New Roman" w:hAnsi="Times New Roman"/>
                <w:sz w:val="20"/>
                <w:szCs w:val="20"/>
              </w:rPr>
              <w:t>1.2</w:t>
            </w:r>
          </w:p>
        </w:tc>
        <w:tc>
          <w:tcPr>
            <w:tcW w:w="1237" w:type="pct"/>
            <w:shd w:val="clear" w:color="auto" w:fill="auto"/>
            <w:vAlign w:val="center"/>
            <w:hideMark/>
          </w:tcPr>
          <w:p w14:paraId="0489FF00" w14:textId="77777777" w:rsidR="00545150" w:rsidRPr="00B0658A" w:rsidRDefault="00545150" w:rsidP="000A4114">
            <w:pPr>
              <w:spacing w:after="0" w:line="240" w:lineRule="auto"/>
              <w:rPr>
                <w:rFonts w:ascii="Times New Roman" w:hAnsi="Times New Roman"/>
                <w:i/>
                <w:sz w:val="20"/>
                <w:szCs w:val="20"/>
              </w:rPr>
            </w:pPr>
            <w:r w:rsidRPr="00B0658A">
              <w:rPr>
                <w:rFonts w:ascii="Times New Roman" w:hAnsi="Times New Roman"/>
                <w:i/>
                <w:sz w:val="20"/>
                <w:szCs w:val="20"/>
              </w:rPr>
              <w:t>Указывается класс (тип) №2 ПО, используемого на значимом объекте КИИ №1 в соответствии с приказом Минцифры России от 22 сентября 2020 г. № 486)</w:t>
            </w:r>
          </w:p>
        </w:tc>
        <w:tc>
          <w:tcPr>
            <w:tcW w:w="844" w:type="pct"/>
          </w:tcPr>
          <w:p w14:paraId="3D085042" w14:textId="77777777" w:rsidR="00545150" w:rsidRPr="00B0658A" w:rsidRDefault="00545150" w:rsidP="000A4114">
            <w:pPr>
              <w:spacing w:after="0" w:line="240" w:lineRule="auto"/>
              <w:rPr>
                <w:rFonts w:ascii="Times New Roman" w:hAnsi="Times New Roman"/>
                <w:sz w:val="20"/>
                <w:szCs w:val="20"/>
              </w:rPr>
            </w:pPr>
          </w:p>
        </w:tc>
        <w:tc>
          <w:tcPr>
            <w:tcW w:w="844" w:type="pct"/>
            <w:shd w:val="clear" w:color="000000" w:fill="FFFFFF"/>
            <w:hideMark/>
          </w:tcPr>
          <w:p w14:paraId="02FBC2BB" w14:textId="77777777" w:rsidR="00545150" w:rsidRPr="00B0658A" w:rsidRDefault="00545150" w:rsidP="000A4114">
            <w:pPr>
              <w:spacing w:after="0" w:line="240" w:lineRule="auto"/>
              <w:rPr>
                <w:rFonts w:ascii="Times New Roman" w:hAnsi="Times New Roman"/>
                <w:sz w:val="20"/>
                <w:szCs w:val="20"/>
              </w:rPr>
            </w:pPr>
            <w:r w:rsidRPr="00B0658A">
              <w:rPr>
                <w:rFonts w:ascii="Times New Roman" w:hAnsi="Times New Roman"/>
                <w:sz w:val="20"/>
                <w:szCs w:val="20"/>
              </w:rPr>
              <w:t>Доля используемого российского ПО и евразийского ПО, используемого на значимом объекте КИИ, в общем объёме используемого ПО на таком объекте, %</w:t>
            </w:r>
          </w:p>
        </w:tc>
        <w:tc>
          <w:tcPr>
            <w:tcW w:w="320" w:type="pct"/>
            <w:shd w:val="clear" w:color="000000" w:fill="FFFFFF"/>
            <w:vAlign w:val="center"/>
          </w:tcPr>
          <w:p w14:paraId="0F6A2FBE" w14:textId="77777777" w:rsidR="00545150" w:rsidRPr="00B0658A" w:rsidRDefault="00545150" w:rsidP="000A4114">
            <w:pPr>
              <w:spacing w:after="0" w:line="240" w:lineRule="auto"/>
              <w:jc w:val="center"/>
              <w:rPr>
                <w:rFonts w:ascii="Times New Roman" w:hAnsi="Times New Roman"/>
                <w:sz w:val="20"/>
                <w:szCs w:val="20"/>
              </w:rPr>
            </w:pPr>
          </w:p>
        </w:tc>
        <w:tc>
          <w:tcPr>
            <w:tcW w:w="320" w:type="pct"/>
            <w:shd w:val="clear" w:color="000000" w:fill="FFFFFF"/>
            <w:vAlign w:val="center"/>
            <w:hideMark/>
          </w:tcPr>
          <w:p w14:paraId="77B63B27" w14:textId="77777777" w:rsidR="00545150" w:rsidRPr="00B0658A" w:rsidRDefault="00545150" w:rsidP="000A4114">
            <w:pPr>
              <w:spacing w:after="0" w:line="240" w:lineRule="auto"/>
              <w:jc w:val="center"/>
              <w:rPr>
                <w:rFonts w:ascii="Times New Roman" w:hAnsi="Times New Roman"/>
                <w:sz w:val="20"/>
                <w:szCs w:val="20"/>
              </w:rPr>
            </w:pPr>
          </w:p>
        </w:tc>
        <w:tc>
          <w:tcPr>
            <w:tcW w:w="320" w:type="pct"/>
            <w:shd w:val="clear" w:color="000000" w:fill="FFFFFF"/>
            <w:vAlign w:val="center"/>
            <w:hideMark/>
          </w:tcPr>
          <w:p w14:paraId="250841AD" w14:textId="77777777" w:rsidR="00545150" w:rsidRPr="00B0658A" w:rsidRDefault="00545150" w:rsidP="000A4114">
            <w:pPr>
              <w:spacing w:after="0" w:line="240" w:lineRule="auto"/>
              <w:jc w:val="center"/>
              <w:rPr>
                <w:rFonts w:ascii="Times New Roman" w:hAnsi="Times New Roman"/>
                <w:sz w:val="20"/>
                <w:szCs w:val="20"/>
              </w:rPr>
            </w:pPr>
          </w:p>
        </w:tc>
        <w:tc>
          <w:tcPr>
            <w:tcW w:w="320" w:type="pct"/>
            <w:shd w:val="clear" w:color="000000" w:fill="FFFFFF"/>
            <w:vAlign w:val="center"/>
            <w:hideMark/>
          </w:tcPr>
          <w:p w14:paraId="48CC6316" w14:textId="77777777" w:rsidR="00545150" w:rsidRPr="00B0658A" w:rsidRDefault="00545150" w:rsidP="000A4114">
            <w:pPr>
              <w:spacing w:after="0" w:line="240" w:lineRule="auto"/>
              <w:jc w:val="center"/>
              <w:rPr>
                <w:rFonts w:ascii="Times New Roman" w:hAnsi="Times New Roman"/>
                <w:sz w:val="20"/>
                <w:szCs w:val="20"/>
              </w:rPr>
            </w:pPr>
          </w:p>
        </w:tc>
        <w:tc>
          <w:tcPr>
            <w:tcW w:w="518" w:type="pct"/>
            <w:shd w:val="clear" w:color="000000" w:fill="FFFFFF"/>
            <w:vAlign w:val="center"/>
            <w:hideMark/>
          </w:tcPr>
          <w:p w14:paraId="640229A4" w14:textId="77777777" w:rsidR="00545150" w:rsidRPr="00B0658A" w:rsidRDefault="00545150" w:rsidP="000A4114">
            <w:pPr>
              <w:spacing w:after="0" w:line="240" w:lineRule="auto"/>
              <w:jc w:val="center"/>
              <w:rPr>
                <w:rFonts w:ascii="Times New Roman" w:hAnsi="Times New Roman"/>
                <w:sz w:val="20"/>
                <w:szCs w:val="20"/>
              </w:rPr>
            </w:pPr>
          </w:p>
        </w:tc>
      </w:tr>
      <w:tr w:rsidR="00F52FED" w:rsidRPr="00B0658A" w14:paraId="6C398E64" w14:textId="77777777" w:rsidTr="0027194A">
        <w:trPr>
          <w:trHeight w:val="20"/>
        </w:trPr>
        <w:tc>
          <w:tcPr>
            <w:tcW w:w="278" w:type="pct"/>
            <w:shd w:val="clear" w:color="000000" w:fill="FFFFFF"/>
            <w:vAlign w:val="center"/>
          </w:tcPr>
          <w:p w14:paraId="3FBA2C6A" w14:textId="77777777" w:rsidR="00545150" w:rsidRPr="00B0658A" w:rsidRDefault="00545150" w:rsidP="000A4114">
            <w:pPr>
              <w:spacing w:after="0" w:line="240" w:lineRule="auto"/>
              <w:jc w:val="center"/>
              <w:rPr>
                <w:rFonts w:ascii="Times New Roman" w:hAnsi="Times New Roman"/>
                <w:sz w:val="20"/>
                <w:szCs w:val="20"/>
              </w:rPr>
            </w:pPr>
            <w:r w:rsidRPr="00B0658A">
              <w:rPr>
                <w:rFonts w:ascii="Times New Roman" w:hAnsi="Times New Roman"/>
                <w:sz w:val="20"/>
                <w:szCs w:val="20"/>
              </w:rPr>
              <w:t>…</w:t>
            </w:r>
          </w:p>
        </w:tc>
        <w:tc>
          <w:tcPr>
            <w:tcW w:w="1237" w:type="pct"/>
            <w:shd w:val="clear" w:color="auto" w:fill="auto"/>
            <w:vAlign w:val="center"/>
            <w:hideMark/>
          </w:tcPr>
          <w:p w14:paraId="6446C66E" w14:textId="77777777" w:rsidR="00545150" w:rsidRPr="00B0658A" w:rsidRDefault="00545150" w:rsidP="000A4114">
            <w:pPr>
              <w:spacing w:after="0" w:line="240" w:lineRule="auto"/>
              <w:rPr>
                <w:rFonts w:ascii="Times New Roman" w:hAnsi="Times New Roman"/>
                <w:i/>
                <w:sz w:val="20"/>
                <w:szCs w:val="20"/>
              </w:rPr>
            </w:pPr>
            <w:r w:rsidRPr="00B0658A">
              <w:rPr>
                <w:rFonts w:ascii="Times New Roman" w:hAnsi="Times New Roman"/>
                <w:i/>
                <w:sz w:val="20"/>
                <w:szCs w:val="20"/>
              </w:rPr>
              <w:t>…</w:t>
            </w:r>
          </w:p>
        </w:tc>
        <w:tc>
          <w:tcPr>
            <w:tcW w:w="844" w:type="pct"/>
          </w:tcPr>
          <w:p w14:paraId="0A3767B2" w14:textId="77777777" w:rsidR="00545150" w:rsidRPr="00B0658A" w:rsidRDefault="00545150" w:rsidP="000A4114">
            <w:pPr>
              <w:spacing w:after="0" w:line="240" w:lineRule="auto"/>
              <w:rPr>
                <w:rFonts w:ascii="Times New Roman" w:hAnsi="Times New Roman"/>
                <w:sz w:val="20"/>
                <w:szCs w:val="20"/>
              </w:rPr>
            </w:pPr>
          </w:p>
        </w:tc>
        <w:tc>
          <w:tcPr>
            <w:tcW w:w="844" w:type="pct"/>
            <w:shd w:val="clear" w:color="000000" w:fill="FFFFFF"/>
            <w:hideMark/>
          </w:tcPr>
          <w:p w14:paraId="0A91C333" w14:textId="77777777" w:rsidR="00545150" w:rsidRPr="00B0658A" w:rsidRDefault="00545150" w:rsidP="000A4114">
            <w:pPr>
              <w:spacing w:after="0" w:line="240" w:lineRule="auto"/>
              <w:rPr>
                <w:rFonts w:ascii="Times New Roman" w:hAnsi="Times New Roman"/>
                <w:sz w:val="20"/>
                <w:szCs w:val="20"/>
              </w:rPr>
            </w:pPr>
            <w:r w:rsidRPr="00B0658A">
              <w:rPr>
                <w:rFonts w:ascii="Times New Roman" w:hAnsi="Times New Roman"/>
                <w:sz w:val="20"/>
                <w:szCs w:val="20"/>
              </w:rPr>
              <w:t>…...</w:t>
            </w:r>
          </w:p>
        </w:tc>
        <w:tc>
          <w:tcPr>
            <w:tcW w:w="320" w:type="pct"/>
            <w:shd w:val="clear" w:color="000000" w:fill="FFFFFF"/>
            <w:vAlign w:val="center"/>
          </w:tcPr>
          <w:p w14:paraId="14FA4376" w14:textId="77777777" w:rsidR="00545150" w:rsidRPr="00B0658A" w:rsidRDefault="00545150" w:rsidP="000A4114">
            <w:pPr>
              <w:spacing w:after="0" w:line="240" w:lineRule="auto"/>
              <w:jc w:val="center"/>
              <w:rPr>
                <w:rFonts w:ascii="Times New Roman" w:hAnsi="Times New Roman"/>
                <w:sz w:val="20"/>
                <w:szCs w:val="20"/>
              </w:rPr>
            </w:pPr>
          </w:p>
        </w:tc>
        <w:tc>
          <w:tcPr>
            <w:tcW w:w="320" w:type="pct"/>
            <w:shd w:val="clear" w:color="000000" w:fill="FFFFFF"/>
            <w:vAlign w:val="center"/>
            <w:hideMark/>
          </w:tcPr>
          <w:p w14:paraId="5FFAC7BA" w14:textId="77777777" w:rsidR="00545150" w:rsidRPr="00B0658A" w:rsidRDefault="00545150" w:rsidP="000A4114">
            <w:pPr>
              <w:spacing w:after="0" w:line="240" w:lineRule="auto"/>
              <w:jc w:val="center"/>
              <w:rPr>
                <w:rFonts w:ascii="Times New Roman" w:hAnsi="Times New Roman"/>
                <w:sz w:val="20"/>
                <w:szCs w:val="20"/>
              </w:rPr>
            </w:pPr>
          </w:p>
        </w:tc>
        <w:tc>
          <w:tcPr>
            <w:tcW w:w="320" w:type="pct"/>
            <w:shd w:val="clear" w:color="000000" w:fill="FFFFFF"/>
            <w:vAlign w:val="center"/>
            <w:hideMark/>
          </w:tcPr>
          <w:p w14:paraId="32CD1DD0" w14:textId="77777777" w:rsidR="00545150" w:rsidRPr="00B0658A" w:rsidRDefault="00545150" w:rsidP="000A4114">
            <w:pPr>
              <w:spacing w:after="0" w:line="240" w:lineRule="auto"/>
              <w:jc w:val="center"/>
              <w:rPr>
                <w:rFonts w:ascii="Times New Roman" w:hAnsi="Times New Roman"/>
                <w:sz w:val="20"/>
                <w:szCs w:val="20"/>
              </w:rPr>
            </w:pPr>
          </w:p>
        </w:tc>
        <w:tc>
          <w:tcPr>
            <w:tcW w:w="320" w:type="pct"/>
            <w:shd w:val="clear" w:color="000000" w:fill="FFFFFF"/>
            <w:vAlign w:val="center"/>
            <w:hideMark/>
          </w:tcPr>
          <w:p w14:paraId="01FD75FB" w14:textId="77777777" w:rsidR="00545150" w:rsidRPr="00B0658A" w:rsidRDefault="00545150" w:rsidP="000A4114">
            <w:pPr>
              <w:spacing w:after="0" w:line="240" w:lineRule="auto"/>
              <w:jc w:val="center"/>
              <w:rPr>
                <w:rFonts w:ascii="Times New Roman" w:hAnsi="Times New Roman"/>
                <w:sz w:val="20"/>
                <w:szCs w:val="20"/>
              </w:rPr>
            </w:pPr>
          </w:p>
        </w:tc>
        <w:tc>
          <w:tcPr>
            <w:tcW w:w="518" w:type="pct"/>
            <w:shd w:val="clear" w:color="000000" w:fill="FFFFFF"/>
            <w:vAlign w:val="center"/>
            <w:hideMark/>
          </w:tcPr>
          <w:p w14:paraId="73A3C13F" w14:textId="77777777" w:rsidR="00545150" w:rsidRPr="00B0658A" w:rsidRDefault="00545150" w:rsidP="000A4114">
            <w:pPr>
              <w:spacing w:after="0" w:line="240" w:lineRule="auto"/>
              <w:jc w:val="center"/>
              <w:rPr>
                <w:rFonts w:ascii="Times New Roman" w:hAnsi="Times New Roman"/>
                <w:sz w:val="20"/>
                <w:szCs w:val="20"/>
              </w:rPr>
            </w:pPr>
          </w:p>
        </w:tc>
      </w:tr>
      <w:tr w:rsidR="00F52FED" w:rsidRPr="00B0658A" w14:paraId="2CAB541F" w14:textId="77777777" w:rsidTr="0027194A">
        <w:trPr>
          <w:trHeight w:val="20"/>
        </w:trPr>
        <w:tc>
          <w:tcPr>
            <w:tcW w:w="278" w:type="pct"/>
            <w:shd w:val="clear" w:color="000000" w:fill="FFFFFF"/>
            <w:vAlign w:val="center"/>
          </w:tcPr>
          <w:p w14:paraId="77187083" w14:textId="77777777" w:rsidR="00545150" w:rsidRPr="00B0658A" w:rsidRDefault="00545150" w:rsidP="000A4114">
            <w:pPr>
              <w:spacing w:after="0" w:line="240" w:lineRule="auto"/>
              <w:jc w:val="center"/>
              <w:rPr>
                <w:rFonts w:ascii="Times New Roman" w:hAnsi="Times New Roman"/>
                <w:sz w:val="20"/>
                <w:szCs w:val="20"/>
                <w:lang w:val="en-US"/>
              </w:rPr>
            </w:pPr>
            <w:r w:rsidRPr="00B0658A">
              <w:rPr>
                <w:rFonts w:ascii="Times New Roman" w:hAnsi="Times New Roman"/>
                <w:sz w:val="20"/>
                <w:szCs w:val="20"/>
              </w:rPr>
              <w:t>1.</w:t>
            </w:r>
            <w:r w:rsidRPr="00B0658A">
              <w:rPr>
                <w:rFonts w:ascii="Times New Roman" w:hAnsi="Times New Roman"/>
                <w:sz w:val="20"/>
                <w:szCs w:val="20"/>
                <w:lang w:val="en-US"/>
              </w:rPr>
              <w:t>n</w:t>
            </w:r>
          </w:p>
        </w:tc>
        <w:tc>
          <w:tcPr>
            <w:tcW w:w="1237" w:type="pct"/>
            <w:shd w:val="clear" w:color="auto" w:fill="auto"/>
            <w:vAlign w:val="center"/>
            <w:hideMark/>
          </w:tcPr>
          <w:p w14:paraId="7FA137DD" w14:textId="77777777" w:rsidR="00545150" w:rsidRPr="00B0658A" w:rsidRDefault="00545150" w:rsidP="000A4114">
            <w:pPr>
              <w:spacing w:after="0" w:line="240" w:lineRule="auto"/>
              <w:rPr>
                <w:rFonts w:ascii="Times New Roman" w:hAnsi="Times New Roman"/>
                <w:i/>
                <w:sz w:val="20"/>
                <w:szCs w:val="20"/>
              </w:rPr>
            </w:pPr>
            <w:r w:rsidRPr="00B0658A">
              <w:rPr>
                <w:rFonts w:ascii="Times New Roman" w:hAnsi="Times New Roman"/>
                <w:i/>
                <w:sz w:val="20"/>
                <w:szCs w:val="20"/>
              </w:rPr>
              <w:t>Указывается класс (тип) №</w:t>
            </w:r>
            <w:r w:rsidRPr="00B0658A">
              <w:rPr>
                <w:rFonts w:ascii="Times New Roman" w:hAnsi="Times New Roman"/>
                <w:i/>
                <w:sz w:val="20"/>
                <w:szCs w:val="20"/>
                <w:lang w:val="en-US"/>
              </w:rPr>
              <w:t>n</w:t>
            </w:r>
            <w:r w:rsidRPr="00B0658A">
              <w:rPr>
                <w:rFonts w:ascii="Times New Roman" w:hAnsi="Times New Roman"/>
                <w:i/>
                <w:sz w:val="20"/>
                <w:szCs w:val="20"/>
              </w:rPr>
              <w:t xml:space="preserve"> ПО, используемого на значимом объекте КИИ №1 в соответствии с приказом Минцифры России от 22 сентября 2020 г. № 486)</w:t>
            </w:r>
          </w:p>
        </w:tc>
        <w:tc>
          <w:tcPr>
            <w:tcW w:w="844" w:type="pct"/>
          </w:tcPr>
          <w:p w14:paraId="66E9173D" w14:textId="77777777" w:rsidR="00545150" w:rsidRPr="00B0658A" w:rsidRDefault="00545150" w:rsidP="000A4114">
            <w:pPr>
              <w:spacing w:after="0" w:line="240" w:lineRule="auto"/>
              <w:rPr>
                <w:rFonts w:ascii="Times New Roman" w:hAnsi="Times New Roman"/>
                <w:sz w:val="20"/>
                <w:szCs w:val="20"/>
              </w:rPr>
            </w:pPr>
          </w:p>
        </w:tc>
        <w:tc>
          <w:tcPr>
            <w:tcW w:w="844" w:type="pct"/>
            <w:shd w:val="clear" w:color="000000" w:fill="FFFFFF"/>
            <w:hideMark/>
          </w:tcPr>
          <w:p w14:paraId="172D660A" w14:textId="77777777" w:rsidR="00545150" w:rsidRPr="00B0658A" w:rsidRDefault="00545150" w:rsidP="000A4114">
            <w:pPr>
              <w:spacing w:after="0" w:line="240" w:lineRule="auto"/>
              <w:rPr>
                <w:rFonts w:ascii="Times New Roman" w:hAnsi="Times New Roman"/>
                <w:sz w:val="20"/>
                <w:szCs w:val="20"/>
              </w:rPr>
            </w:pPr>
            <w:r w:rsidRPr="00B0658A">
              <w:rPr>
                <w:rFonts w:ascii="Times New Roman" w:hAnsi="Times New Roman"/>
                <w:sz w:val="20"/>
                <w:szCs w:val="20"/>
              </w:rPr>
              <w:t>Доля используемого российского ПО и евразийского ПО, используемого на значимом объекте КИИ, в общем объёме используемого ПО на таком объекте, %</w:t>
            </w:r>
          </w:p>
        </w:tc>
        <w:tc>
          <w:tcPr>
            <w:tcW w:w="320" w:type="pct"/>
            <w:shd w:val="clear" w:color="000000" w:fill="FFFFFF"/>
            <w:vAlign w:val="center"/>
          </w:tcPr>
          <w:p w14:paraId="43B0502B" w14:textId="77777777" w:rsidR="00545150" w:rsidRPr="00B0658A" w:rsidRDefault="00545150" w:rsidP="000A4114">
            <w:pPr>
              <w:spacing w:after="0" w:line="240" w:lineRule="auto"/>
              <w:jc w:val="center"/>
              <w:rPr>
                <w:rFonts w:ascii="Times New Roman" w:hAnsi="Times New Roman"/>
                <w:sz w:val="20"/>
                <w:szCs w:val="20"/>
              </w:rPr>
            </w:pPr>
          </w:p>
        </w:tc>
        <w:tc>
          <w:tcPr>
            <w:tcW w:w="320" w:type="pct"/>
            <w:shd w:val="clear" w:color="000000" w:fill="FFFFFF"/>
            <w:vAlign w:val="center"/>
            <w:hideMark/>
          </w:tcPr>
          <w:p w14:paraId="5E0066D9" w14:textId="77777777" w:rsidR="00545150" w:rsidRPr="00B0658A" w:rsidRDefault="00545150" w:rsidP="000A4114">
            <w:pPr>
              <w:spacing w:after="0" w:line="240" w:lineRule="auto"/>
              <w:jc w:val="center"/>
              <w:rPr>
                <w:rFonts w:ascii="Times New Roman" w:hAnsi="Times New Roman"/>
                <w:sz w:val="20"/>
                <w:szCs w:val="20"/>
              </w:rPr>
            </w:pPr>
          </w:p>
        </w:tc>
        <w:tc>
          <w:tcPr>
            <w:tcW w:w="320" w:type="pct"/>
            <w:shd w:val="clear" w:color="000000" w:fill="FFFFFF"/>
            <w:vAlign w:val="center"/>
            <w:hideMark/>
          </w:tcPr>
          <w:p w14:paraId="50767BE1" w14:textId="77777777" w:rsidR="00545150" w:rsidRPr="00B0658A" w:rsidRDefault="00545150" w:rsidP="000A4114">
            <w:pPr>
              <w:spacing w:after="0" w:line="240" w:lineRule="auto"/>
              <w:jc w:val="center"/>
              <w:rPr>
                <w:rFonts w:ascii="Times New Roman" w:hAnsi="Times New Roman"/>
                <w:sz w:val="20"/>
                <w:szCs w:val="20"/>
              </w:rPr>
            </w:pPr>
          </w:p>
        </w:tc>
        <w:tc>
          <w:tcPr>
            <w:tcW w:w="320" w:type="pct"/>
            <w:shd w:val="clear" w:color="000000" w:fill="FFFFFF"/>
            <w:vAlign w:val="center"/>
            <w:hideMark/>
          </w:tcPr>
          <w:p w14:paraId="6C7B59E7" w14:textId="77777777" w:rsidR="00545150" w:rsidRPr="00B0658A" w:rsidRDefault="00545150" w:rsidP="000A4114">
            <w:pPr>
              <w:spacing w:after="0" w:line="240" w:lineRule="auto"/>
              <w:jc w:val="center"/>
              <w:rPr>
                <w:rFonts w:ascii="Times New Roman" w:hAnsi="Times New Roman"/>
                <w:sz w:val="20"/>
                <w:szCs w:val="20"/>
              </w:rPr>
            </w:pPr>
          </w:p>
        </w:tc>
        <w:tc>
          <w:tcPr>
            <w:tcW w:w="518" w:type="pct"/>
            <w:shd w:val="clear" w:color="000000" w:fill="FFFFFF"/>
            <w:vAlign w:val="center"/>
            <w:hideMark/>
          </w:tcPr>
          <w:p w14:paraId="5334D3B9" w14:textId="77777777" w:rsidR="00545150" w:rsidRPr="00B0658A" w:rsidRDefault="00545150" w:rsidP="000A4114">
            <w:pPr>
              <w:spacing w:after="0" w:line="240" w:lineRule="auto"/>
              <w:jc w:val="center"/>
              <w:rPr>
                <w:rFonts w:ascii="Times New Roman" w:hAnsi="Times New Roman"/>
                <w:sz w:val="20"/>
                <w:szCs w:val="20"/>
              </w:rPr>
            </w:pPr>
          </w:p>
        </w:tc>
      </w:tr>
      <w:tr w:rsidR="00F52FED" w:rsidRPr="00B0658A" w14:paraId="44CBEE3F" w14:textId="77777777" w:rsidTr="0027194A">
        <w:trPr>
          <w:trHeight w:val="20"/>
        </w:trPr>
        <w:tc>
          <w:tcPr>
            <w:tcW w:w="5000" w:type="pct"/>
            <w:gridSpan w:val="9"/>
            <w:shd w:val="clear" w:color="auto" w:fill="DEEAF6" w:themeFill="accent5" w:themeFillTint="33"/>
          </w:tcPr>
          <w:p w14:paraId="43C70307" w14:textId="77777777" w:rsidR="00545150" w:rsidRPr="00B0658A" w:rsidRDefault="00545150" w:rsidP="000A4114">
            <w:pPr>
              <w:spacing w:after="0" w:line="240" w:lineRule="auto"/>
              <w:rPr>
                <w:rFonts w:ascii="Times New Roman" w:hAnsi="Times New Roman"/>
                <w:b/>
                <w:sz w:val="20"/>
                <w:szCs w:val="20"/>
              </w:rPr>
            </w:pPr>
            <w:r w:rsidRPr="00B0658A">
              <w:rPr>
                <w:rFonts w:ascii="Times New Roman" w:hAnsi="Times New Roman"/>
                <w:b/>
                <w:sz w:val="20"/>
                <w:szCs w:val="20"/>
              </w:rPr>
              <w:t>2. Показатели эффективности перехода в отношении ________ (наименование значимого объекта КИИ № 2)</w:t>
            </w:r>
          </w:p>
        </w:tc>
      </w:tr>
      <w:tr w:rsidR="00F52FED" w:rsidRPr="00B0658A" w14:paraId="477E02CB" w14:textId="77777777" w:rsidTr="0027194A">
        <w:trPr>
          <w:trHeight w:val="20"/>
        </w:trPr>
        <w:tc>
          <w:tcPr>
            <w:tcW w:w="278" w:type="pct"/>
            <w:shd w:val="clear" w:color="auto" w:fill="auto"/>
            <w:vAlign w:val="center"/>
          </w:tcPr>
          <w:p w14:paraId="5E7FC465" w14:textId="77777777" w:rsidR="00545150" w:rsidRPr="00B0658A" w:rsidRDefault="00545150" w:rsidP="000A4114">
            <w:pPr>
              <w:spacing w:after="0" w:line="240" w:lineRule="auto"/>
              <w:jc w:val="center"/>
              <w:rPr>
                <w:rFonts w:ascii="Times New Roman" w:hAnsi="Times New Roman"/>
                <w:sz w:val="20"/>
                <w:szCs w:val="20"/>
              </w:rPr>
            </w:pPr>
            <w:r w:rsidRPr="00B0658A">
              <w:rPr>
                <w:rFonts w:ascii="Times New Roman" w:hAnsi="Times New Roman"/>
                <w:sz w:val="20"/>
                <w:szCs w:val="20"/>
                <w:lang w:val="en-US"/>
              </w:rPr>
              <w:t>2</w:t>
            </w:r>
            <w:r w:rsidRPr="00B0658A">
              <w:rPr>
                <w:rFonts w:ascii="Times New Roman" w:hAnsi="Times New Roman"/>
                <w:sz w:val="20"/>
                <w:szCs w:val="20"/>
              </w:rPr>
              <w:t>.1</w:t>
            </w:r>
          </w:p>
        </w:tc>
        <w:tc>
          <w:tcPr>
            <w:tcW w:w="1237" w:type="pct"/>
            <w:shd w:val="clear" w:color="auto" w:fill="auto"/>
            <w:vAlign w:val="center"/>
          </w:tcPr>
          <w:p w14:paraId="669E4AE7" w14:textId="77777777" w:rsidR="00545150" w:rsidRPr="00B0658A" w:rsidRDefault="00545150" w:rsidP="000A4114">
            <w:pPr>
              <w:spacing w:after="0" w:line="240" w:lineRule="auto"/>
              <w:rPr>
                <w:rFonts w:ascii="Times New Roman" w:hAnsi="Times New Roman"/>
                <w:i/>
                <w:sz w:val="20"/>
                <w:szCs w:val="20"/>
              </w:rPr>
            </w:pPr>
            <w:r w:rsidRPr="00B0658A">
              <w:rPr>
                <w:rFonts w:ascii="Times New Roman" w:hAnsi="Times New Roman"/>
                <w:i/>
                <w:sz w:val="20"/>
                <w:szCs w:val="20"/>
              </w:rPr>
              <w:t>Указывается класс (тип) №1 ПО, используемого на значимом объекте КИИ №2 в соответствии с приказом Минцифры России от 22 сентября 2020 г. № 486)</w:t>
            </w:r>
          </w:p>
        </w:tc>
        <w:tc>
          <w:tcPr>
            <w:tcW w:w="844" w:type="pct"/>
          </w:tcPr>
          <w:p w14:paraId="61AC758E" w14:textId="77777777" w:rsidR="00545150" w:rsidRPr="00B0658A" w:rsidRDefault="00545150" w:rsidP="000A4114">
            <w:pPr>
              <w:spacing w:after="0" w:line="240" w:lineRule="auto"/>
              <w:rPr>
                <w:rFonts w:ascii="Times New Roman" w:hAnsi="Times New Roman"/>
                <w:sz w:val="20"/>
                <w:szCs w:val="20"/>
              </w:rPr>
            </w:pPr>
          </w:p>
        </w:tc>
        <w:tc>
          <w:tcPr>
            <w:tcW w:w="844" w:type="pct"/>
            <w:shd w:val="clear" w:color="000000" w:fill="FFFFFF"/>
          </w:tcPr>
          <w:p w14:paraId="3026A92B" w14:textId="77777777" w:rsidR="00545150" w:rsidRPr="00B0658A" w:rsidRDefault="00545150" w:rsidP="000A4114">
            <w:pPr>
              <w:spacing w:after="0" w:line="240" w:lineRule="auto"/>
              <w:rPr>
                <w:rFonts w:ascii="Times New Roman" w:hAnsi="Times New Roman"/>
                <w:sz w:val="20"/>
                <w:szCs w:val="20"/>
              </w:rPr>
            </w:pPr>
            <w:r w:rsidRPr="00B0658A">
              <w:rPr>
                <w:rFonts w:ascii="Times New Roman" w:hAnsi="Times New Roman"/>
                <w:sz w:val="20"/>
                <w:szCs w:val="20"/>
              </w:rPr>
              <w:t>Доля используемого российского ПО и евразийского ПО, используемого на значимом объекте КИИ, в общем объёме используемого ПО на таком объекте, %</w:t>
            </w:r>
          </w:p>
        </w:tc>
        <w:tc>
          <w:tcPr>
            <w:tcW w:w="320" w:type="pct"/>
            <w:shd w:val="clear" w:color="000000" w:fill="FFFFFF"/>
            <w:vAlign w:val="center"/>
          </w:tcPr>
          <w:p w14:paraId="5634B5A1" w14:textId="77777777" w:rsidR="00545150" w:rsidRPr="00B0658A" w:rsidRDefault="00545150" w:rsidP="000A4114">
            <w:pPr>
              <w:spacing w:after="0" w:line="240" w:lineRule="auto"/>
              <w:jc w:val="center"/>
              <w:rPr>
                <w:rFonts w:ascii="Times New Roman" w:hAnsi="Times New Roman"/>
                <w:sz w:val="20"/>
                <w:szCs w:val="20"/>
              </w:rPr>
            </w:pPr>
          </w:p>
        </w:tc>
        <w:tc>
          <w:tcPr>
            <w:tcW w:w="320" w:type="pct"/>
            <w:shd w:val="clear" w:color="000000" w:fill="FFFFFF"/>
            <w:vAlign w:val="center"/>
          </w:tcPr>
          <w:p w14:paraId="3F28C79E" w14:textId="77777777" w:rsidR="00545150" w:rsidRPr="00B0658A" w:rsidRDefault="00545150" w:rsidP="000A4114">
            <w:pPr>
              <w:spacing w:after="0" w:line="240" w:lineRule="auto"/>
              <w:jc w:val="center"/>
              <w:rPr>
                <w:rFonts w:ascii="Times New Roman" w:hAnsi="Times New Roman"/>
                <w:sz w:val="20"/>
                <w:szCs w:val="20"/>
              </w:rPr>
            </w:pPr>
          </w:p>
        </w:tc>
        <w:tc>
          <w:tcPr>
            <w:tcW w:w="320" w:type="pct"/>
            <w:shd w:val="clear" w:color="000000" w:fill="FFFFFF"/>
            <w:vAlign w:val="center"/>
          </w:tcPr>
          <w:p w14:paraId="1A7EC1FB" w14:textId="77777777" w:rsidR="00545150" w:rsidRPr="00B0658A" w:rsidRDefault="00545150" w:rsidP="000A4114">
            <w:pPr>
              <w:spacing w:after="0" w:line="240" w:lineRule="auto"/>
              <w:jc w:val="center"/>
              <w:rPr>
                <w:rFonts w:ascii="Times New Roman" w:hAnsi="Times New Roman"/>
                <w:sz w:val="20"/>
                <w:szCs w:val="20"/>
              </w:rPr>
            </w:pPr>
          </w:p>
        </w:tc>
        <w:tc>
          <w:tcPr>
            <w:tcW w:w="320" w:type="pct"/>
            <w:shd w:val="clear" w:color="000000" w:fill="FFFFFF"/>
            <w:vAlign w:val="center"/>
          </w:tcPr>
          <w:p w14:paraId="0BE47BE6" w14:textId="77777777" w:rsidR="00545150" w:rsidRPr="00B0658A" w:rsidRDefault="00545150" w:rsidP="000A4114">
            <w:pPr>
              <w:spacing w:after="0" w:line="240" w:lineRule="auto"/>
              <w:jc w:val="center"/>
              <w:rPr>
                <w:rFonts w:ascii="Times New Roman" w:hAnsi="Times New Roman"/>
                <w:sz w:val="20"/>
                <w:szCs w:val="20"/>
              </w:rPr>
            </w:pPr>
          </w:p>
        </w:tc>
        <w:tc>
          <w:tcPr>
            <w:tcW w:w="518" w:type="pct"/>
            <w:shd w:val="clear" w:color="000000" w:fill="FFFFFF"/>
            <w:vAlign w:val="center"/>
          </w:tcPr>
          <w:p w14:paraId="5771E57E" w14:textId="77777777" w:rsidR="00545150" w:rsidRPr="00B0658A" w:rsidRDefault="00545150" w:rsidP="000A4114">
            <w:pPr>
              <w:spacing w:after="0" w:line="240" w:lineRule="auto"/>
              <w:jc w:val="center"/>
              <w:rPr>
                <w:rFonts w:ascii="Times New Roman" w:hAnsi="Times New Roman"/>
                <w:sz w:val="20"/>
                <w:szCs w:val="20"/>
              </w:rPr>
            </w:pPr>
          </w:p>
        </w:tc>
      </w:tr>
      <w:tr w:rsidR="00F52FED" w:rsidRPr="00B0658A" w14:paraId="53074710" w14:textId="77777777" w:rsidTr="0027194A">
        <w:trPr>
          <w:trHeight w:val="20"/>
        </w:trPr>
        <w:tc>
          <w:tcPr>
            <w:tcW w:w="278" w:type="pct"/>
            <w:shd w:val="clear" w:color="000000" w:fill="FFFFFF"/>
            <w:vAlign w:val="center"/>
          </w:tcPr>
          <w:p w14:paraId="483DEE6D" w14:textId="77777777" w:rsidR="00545150" w:rsidRPr="00B0658A" w:rsidRDefault="00545150" w:rsidP="000A4114">
            <w:pPr>
              <w:spacing w:after="0" w:line="240" w:lineRule="auto"/>
              <w:jc w:val="center"/>
              <w:rPr>
                <w:rFonts w:ascii="Times New Roman" w:hAnsi="Times New Roman"/>
                <w:sz w:val="20"/>
                <w:szCs w:val="20"/>
              </w:rPr>
            </w:pPr>
            <w:r w:rsidRPr="00B0658A">
              <w:rPr>
                <w:rFonts w:ascii="Times New Roman" w:hAnsi="Times New Roman"/>
                <w:sz w:val="20"/>
                <w:szCs w:val="20"/>
                <w:lang w:val="en-US"/>
              </w:rPr>
              <w:t>2</w:t>
            </w:r>
            <w:r w:rsidRPr="00B0658A">
              <w:rPr>
                <w:rFonts w:ascii="Times New Roman" w:hAnsi="Times New Roman"/>
                <w:sz w:val="20"/>
                <w:szCs w:val="20"/>
              </w:rPr>
              <w:t>.2</w:t>
            </w:r>
          </w:p>
        </w:tc>
        <w:tc>
          <w:tcPr>
            <w:tcW w:w="1237" w:type="pct"/>
            <w:shd w:val="clear" w:color="auto" w:fill="auto"/>
            <w:vAlign w:val="center"/>
          </w:tcPr>
          <w:p w14:paraId="0AF0ACC9" w14:textId="77777777" w:rsidR="00545150" w:rsidRPr="00B0658A" w:rsidRDefault="00545150" w:rsidP="000A4114">
            <w:pPr>
              <w:spacing w:after="0" w:line="240" w:lineRule="auto"/>
              <w:rPr>
                <w:rFonts w:ascii="Times New Roman" w:hAnsi="Times New Roman"/>
                <w:i/>
                <w:sz w:val="20"/>
                <w:szCs w:val="20"/>
              </w:rPr>
            </w:pPr>
            <w:r w:rsidRPr="00B0658A">
              <w:rPr>
                <w:rFonts w:ascii="Times New Roman" w:hAnsi="Times New Roman"/>
                <w:i/>
                <w:sz w:val="20"/>
                <w:szCs w:val="20"/>
              </w:rPr>
              <w:t>Указывается класс (тип) №2 ПО, используемого на значимом объекте КИИ №2 в соответствии с приказом Минцифры России от 22 сентября 2020 г. № 486)</w:t>
            </w:r>
          </w:p>
        </w:tc>
        <w:tc>
          <w:tcPr>
            <w:tcW w:w="844" w:type="pct"/>
          </w:tcPr>
          <w:p w14:paraId="4E213EAF" w14:textId="77777777" w:rsidR="00545150" w:rsidRPr="00B0658A" w:rsidRDefault="00545150" w:rsidP="000A4114">
            <w:pPr>
              <w:spacing w:after="0" w:line="240" w:lineRule="auto"/>
              <w:rPr>
                <w:rFonts w:ascii="Times New Roman" w:hAnsi="Times New Roman"/>
                <w:sz w:val="20"/>
                <w:szCs w:val="20"/>
              </w:rPr>
            </w:pPr>
          </w:p>
        </w:tc>
        <w:tc>
          <w:tcPr>
            <w:tcW w:w="844" w:type="pct"/>
            <w:shd w:val="clear" w:color="000000" w:fill="FFFFFF"/>
          </w:tcPr>
          <w:p w14:paraId="6C6EAB18" w14:textId="77777777" w:rsidR="00545150" w:rsidRPr="00B0658A" w:rsidRDefault="00545150" w:rsidP="000A4114">
            <w:pPr>
              <w:spacing w:after="0" w:line="240" w:lineRule="auto"/>
              <w:rPr>
                <w:rFonts w:ascii="Times New Roman" w:hAnsi="Times New Roman"/>
                <w:sz w:val="20"/>
                <w:szCs w:val="20"/>
              </w:rPr>
            </w:pPr>
            <w:r w:rsidRPr="00B0658A">
              <w:rPr>
                <w:rFonts w:ascii="Times New Roman" w:hAnsi="Times New Roman"/>
                <w:sz w:val="20"/>
                <w:szCs w:val="20"/>
              </w:rPr>
              <w:t>Доля используемого российского ПО и евразийского ПО, используемого на значимом объекте КИИ, в общем объёме используемого ПО на таком объекте, %</w:t>
            </w:r>
          </w:p>
        </w:tc>
        <w:tc>
          <w:tcPr>
            <w:tcW w:w="320" w:type="pct"/>
            <w:shd w:val="clear" w:color="000000" w:fill="FFFFFF"/>
            <w:vAlign w:val="center"/>
          </w:tcPr>
          <w:p w14:paraId="6CA6AAA8" w14:textId="77777777" w:rsidR="00545150" w:rsidRPr="00B0658A" w:rsidRDefault="00545150" w:rsidP="000A4114">
            <w:pPr>
              <w:spacing w:after="0" w:line="240" w:lineRule="auto"/>
              <w:jc w:val="center"/>
              <w:rPr>
                <w:rFonts w:ascii="Times New Roman" w:hAnsi="Times New Roman"/>
                <w:sz w:val="20"/>
                <w:szCs w:val="20"/>
              </w:rPr>
            </w:pPr>
          </w:p>
        </w:tc>
        <w:tc>
          <w:tcPr>
            <w:tcW w:w="320" w:type="pct"/>
            <w:shd w:val="clear" w:color="000000" w:fill="FFFFFF"/>
            <w:vAlign w:val="center"/>
          </w:tcPr>
          <w:p w14:paraId="50EDE172" w14:textId="77777777" w:rsidR="00545150" w:rsidRPr="00B0658A" w:rsidRDefault="00545150" w:rsidP="000A4114">
            <w:pPr>
              <w:spacing w:after="0" w:line="240" w:lineRule="auto"/>
              <w:jc w:val="center"/>
              <w:rPr>
                <w:rFonts w:ascii="Times New Roman" w:hAnsi="Times New Roman"/>
                <w:sz w:val="20"/>
                <w:szCs w:val="20"/>
              </w:rPr>
            </w:pPr>
          </w:p>
        </w:tc>
        <w:tc>
          <w:tcPr>
            <w:tcW w:w="320" w:type="pct"/>
            <w:shd w:val="clear" w:color="000000" w:fill="FFFFFF"/>
            <w:vAlign w:val="center"/>
          </w:tcPr>
          <w:p w14:paraId="50EEBA57" w14:textId="77777777" w:rsidR="00545150" w:rsidRPr="00B0658A" w:rsidRDefault="00545150" w:rsidP="000A4114">
            <w:pPr>
              <w:spacing w:after="0" w:line="240" w:lineRule="auto"/>
              <w:jc w:val="center"/>
              <w:rPr>
                <w:rFonts w:ascii="Times New Roman" w:hAnsi="Times New Roman"/>
                <w:sz w:val="20"/>
                <w:szCs w:val="20"/>
              </w:rPr>
            </w:pPr>
          </w:p>
        </w:tc>
        <w:tc>
          <w:tcPr>
            <w:tcW w:w="320" w:type="pct"/>
            <w:shd w:val="clear" w:color="000000" w:fill="FFFFFF"/>
            <w:vAlign w:val="center"/>
          </w:tcPr>
          <w:p w14:paraId="716F72F8" w14:textId="77777777" w:rsidR="00545150" w:rsidRPr="00B0658A" w:rsidRDefault="00545150" w:rsidP="000A4114">
            <w:pPr>
              <w:spacing w:after="0" w:line="240" w:lineRule="auto"/>
              <w:jc w:val="center"/>
              <w:rPr>
                <w:rFonts w:ascii="Times New Roman" w:hAnsi="Times New Roman"/>
                <w:sz w:val="20"/>
                <w:szCs w:val="20"/>
              </w:rPr>
            </w:pPr>
          </w:p>
        </w:tc>
        <w:tc>
          <w:tcPr>
            <w:tcW w:w="518" w:type="pct"/>
            <w:shd w:val="clear" w:color="000000" w:fill="FFFFFF"/>
            <w:vAlign w:val="center"/>
          </w:tcPr>
          <w:p w14:paraId="5B9A8C5A" w14:textId="77777777" w:rsidR="00545150" w:rsidRPr="00B0658A" w:rsidRDefault="00545150" w:rsidP="000A4114">
            <w:pPr>
              <w:spacing w:after="0" w:line="240" w:lineRule="auto"/>
              <w:jc w:val="center"/>
              <w:rPr>
                <w:rFonts w:ascii="Times New Roman" w:hAnsi="Times New Roman"/>
                <w:sz w:val="20"/>
                <w:szCs w:val="20"/>
              </w:rPr>
            </w:pPr>
          </w:p>
        </w:tc>
      </w:tr>
      <w:tr w:rsidR="00F52FED" w:rsidRPr="00B0658A" w14:paraId="24DF33A9" w14:textId="77777777" w:rsidTr="0027194A">
        <w:trPr>
          <w:trHeight w:val="20"/>
        </w:trPr>
        <w:tc>
          <w:tcPr>
            <w:tcW w:w="278" w:type="pct"/>
            <w:shd w:val="clear" w:color="000000" w:fill="FFFFFF"/>
            <w:vAlign w:val="center"/>
          </w:tcPr>
          <w:p w14:paraId="593E2001" w14:textId="77777777" w:rsidR="00545150" w:rsidRPr="00B0658A" w:rsidRDefault="00545150" w:rsidP="000A4114">
            <w:pPr>
              <w:spacing w:after="0" w:line="240" w:lineRule="auto"/>
              <w:jc w:val="center"/>
              <w:rPr>
                <w:rFonts w:ascii="Times New Roman" w:hAnsi="Times New Roman"/>
                <w:sz w:val="20"/>
                <w:szCs w:val="20"/>
              </w:rPr>
            </w:pPr>
            <w:r w:rsidRPr="00B0658A">
              <w:rPr>
                <w:rFonts w:ascii="Times New Roman" w:hAnsi="Times New Roman"/>
                <w:sz w:val="20"/>
                <w:szCs w:val="20"/>
              </w:rPr>
              <w:t>…</w:t>
            </w:r>
          </w:p>
        </w:tc>
        <w:tc>
          <w:tcPr>
            <w:tcW w:w="1237" w:type="pct"/>
            <w:shd w:val="clear" w:color="auto" w:fill="auto"/>
            <w:vAlign w:val="center"/>
          </w:tcPr>
          <w:p w14:paraId="3F5EB57B" w14:textId="77777777" w:rsidR="00545150" w:rsidRPr="00B0658A" w:rsidRDefault="00545150" w:rsidP="000A4114">
            <w:pPr>
              <w:spacing w:after="0" w:line="240" w:lineRule="auto"/>
              <w:rPr>
                <w:rFonts w:ascii="Times New Roman" w:hAnsi="Times New Roman"/>
                <w:i/>
                <w:sz w:val="20"/>
                <w:szCs w:val="20"/>
              </w:rPr>
            </w:pPr>
            <w:r w:rsidRPr="00B0658A">
              <w:rPr>
                <w:rFonts w:ascii="Times New Roman" w:hAnsi="Times New Roman"/>
                <w:i/>
                <w:sz w:val="20"/>
                <w:szCs w:val="20"/>
              </w:rPr>
              <w:t>…</w:t>
            </w:r>
          </w:p>
        </w:tc>
        <w:tc>
          <w:tcPr>
            <w:tcW w:w="844" w:type="pct"/>
          </w:tcPr>
          <w:p w14:paraId="2F6517D6" w14:textId="77777777" w:rsidR="00545150" w:rsidRPr="00B0658A" w:rsidRDefault="00545150" w:rsidP="000A4114">
            <w:pPr>
              <w:spacing w:after="0" w:line="240" w:lineRule="auto"/>
              <w:rPr>
                <w:rFonts w:ascii="Times New Roman" w:hAnsi="Times New Roman"/>
                <w:sz w:val="20"/>
                <w:szCs w:val="20"/>
              </w:rPr>
            </w:pPr>
          </w:p>
        </w:tc>
        <w:tc>
          <w:tcPr>
            <w:tcW w:w="844" w:type="pct"/>
            <w:shd w:val="clear" w:color="000000" w:fill="FFFFFF"/>
          </w:tcPr>
          <w:p w14:paraId="545032A6" w14:textId="77777777" w:rsidR="00545150" w:rsidRPr="00B0658A" w:rsidRDefault="00545150" w:rsidP="000A4114">
            <w:pPr>
              <w:spacing w:after="0" w:line="240" w:lineRule="auto"/>
              <w:rPr>
                <w:rFonts w:ascii="Times New Roman" w:hAnsi="Times New Roman"/>
                <w:sz w:val="20"/>
                <w:szCs w:val="20"/>
              </w:rPr>
            </w:pPr>
            <w:r w:rsidRPr="00B0658A">
              <w:rPr>
                <w:rFonts w:ascii="Times New Roman" w:hAnsi="Times New Roman"/>
                <w:sz w:val="20"/>
                <w:szCs w:val="20"/>
              </w:rPr>
              <w:t>…...</w:t>
            </w:r>
          </w:p>
        </w:tc>
        <w:tc>
          <w:tcPr>
            <w:tcW w:w="320" w:type="pct"/>
            <w:shd w:val="clear" w:color="000000" w:fill="FFFFFF"/>
            <w:vAlign w:val="center"/>
          </w:tcPr>
          <w:p w14:paraId="23B3F634" w14:textId="77777777" w:rsidR="00545150" w:rsidRPr="00B0658A" w:rsidRDefault="00545150" w:rsidP="000A4114">
            <w:pPr>
              <w:spacing w:after="0" w:line="240" w:lineRule="auto"/>
              <w:jc w:val="center"/>
              <w:rPr>
                <w:rFonts w:ascii="Times New Roman" w:hAnsi="Times New Roman"/>
                <w:sz w:val="20"/>
                <w:szCs w:val="20"/>
              </w:rPr>
            </w:pPr>
          </w:p>
        </w:tc>
        <w:tc>
          <w:tcPr>
            <w:tcW w:w="320" w:type="pct"/>
            <w:shd w:val="clear" w:color="000000" w:fill="FFFFFF"/>
            <w:vAlign w:val="center"/>
          </w:tcPr>
          <w:p w14:paraId="49F8F1F2" w14:textId="77777777" w:rsidR="00545150" w:rsidRPr="00B0658A" w:rsidRDefault="00545150" w:rsidP="000A4114">
            <w:pPr>
              <w:spacing w:after="0" w:line="240" w:lineRule="auto"/>
              <w:jc w:val="center"/>
              <w:rPr>
                <w:rFonts w:ascii="Times New Roman" w:hAnsi="Times New Roman"/>
                <w:sz w:val="20"/>
                <w:szCs w:val="20"/>
              </w:rPr>
            </w:pPr>
          </w:p>
        </w:tc>
        <w:tc>
          <w:tcPr>
            <w:tcW w:w="320" w:type="pct"/>
            <w:shd w:val="clear" w:color="000000" w:fill="FFFFFF"/>
            <w:vAlign w:val="center"/>
          </w:tcPr>
          <w:p w14:paraId="6E66AE92" w14:textId="77777777" w:rsidR="00545150" w:rsidRPr="00B0658A" w:rsidRDefault="00545150" w:rsidP="000A4114">
            <w:pPr>
              <w:spacing w:after="0" w:line="240" w:lineRule="auto"/>
              <w:jc w:val="center"/>
              <w:rPr>
                <w:rFonts w:ascii="Times New Roman" w:hAnsi="Times New Roman"/>
                <w:sz w:val="20"/>
                <w:szCs w:val="20"/>
              </w:rPr>
            </w:pPr>
          </w:p>
        </w:tc>
        <w:tc>
          <w:tcPr>
            <w:tcW w:w="320" w:type="pct"/>
            <w:shd w:val="clear" w:color="000000" w:fill="FFFFFF"/>
            <w:vAlign w:val="center"/>
          </w:tcPr>
          <w:p w14:paraId="74441930" w14:textId="77777777" w:rsidR="00545150" w:rsidRPr="00B0658A" w:rsidRDefault="00545150" w:rsidP="000A4114">
            <w:pPr>
              <w:spacing w:after="0" w:line="240" w:lineRule="auto"/>
              <w:jc w:val="center"/>
              <w:rPr>
                <w:rFonts w:ascii="Times New Roman" w:hAnsi="Times New Roman"/>
                <w:sz w:val="20"/>
                <w:szCs w:val="20"/>
              </w:rPr>
            </w:pPr>
          </w:p>
        </w:tc>
        <w:tc>
          <w:tcPr>
            <w:tcW w:w="518" w:type="pct"/>
            <w:shd w:val="clear" w:color="000000" w:fill="FFFFFF"/>
            <w:vAlign w:val="center"/>
          </w:tcPr>
          <w:p w14:paraId="738733E8" w14:textId="77777777" w:rsidR="00545150" w:rsidRPr="00B0658A" w:rsidRDefault="00545150" w:rsidP="000A4114">
            <w:pPr>
              <w:spacing w:after="0" w:line="240" w:lineRule="auto"/>
              <w:jc w:val="center"/>
              <w:rPr>
                <w:rFonts w:ascii="Times New Roman" w:hAnsi="Times New Roman"/>
                <w:sz w:val="20"/>
                <w:szCs w:val="20"/>
              </w:rPr>
            </w:pPr>
          </w:p>
        </w:tc>
      </w:tr>
      <w:tr w:rsidR="00F52FED" w:rsidRPr="00B0658A" w14:paraId="58933138" w14:textId="77777777" w:rsidTr="0027194A">
        <w:trPr>
          <w:trHeight w:val="20"/>
        </w:trPr>
        <w:tc>
          <w:tcPr>
            <w:tcW w:w="278" w:type="pct"/>
            <w:shd w:val="clear" w:color="000000" w:fill="FFFFFF"/>
            <w:vAlign w:val="center"/>
          </w:tcPr>
          <w:p w14:paraId="21CD8EEC" w14:textId="77777777" w:rsidR="00545150" w:rsidRPr="00B0658A" w:rsidRDefault="00545150" w:rsidP="000A4114">
            <w:pPr>
              <w:spacing w:after="0" w:line="240" w:lineRule="auto"/>
              <w:jc w:val="center"/>
              <w:rPr>
                <w:rFonts w:ascii="Times New Roman" w:hAnsi="Times New Roman"/>
                <w:sz w:val="20"/>
                <w:szCs w:val="20"/>
              </w:rPr>
            </w:pPr>
            <w:r w:rsidRPr="00B0658A">
              <w:rPr>
                <w:rFonts w:ascii="Times New Roman" w:hAnsi="Times New Roman"/>
                <w:sz w:val="20"/>
                <w:szCs w:val="20"/>
                <w:lang w:val="en-US"/>
              </w:rPr>
              <w:t>2</w:t>
            </w:r>
            <w:r w:rsidRPr="00B0658A">
              <w:rPr>
                <w:rFonts w:ascii="Times New Roman" w:hAnsi="Times New Roman"/>
                <w:sz w:val="20"/>
                <w:szCs w:val="20"/>
              </w:rPr>
              <w:t>.</w:t>
            </w:r>
            <w:r w:rsidRPr="00B0658A">
              <w:rPr>
                <w:rFonts w:ascii="Times New Roman" w:hAnsi="Times New Roman"/>
                <w:sz w:val="20"/>
                <w:szCs w:val="20"/>
                <w:lang w:val="en-US"/>
              </w:rPr>
              <w:t>n</w:t>
            </w:r>
          </w:p>
        </w:tc>
        <w:tc>
          <w:tcPr>
            <w:tcW w:w="1237" w:type="pct"/>
            <w:shd w:val="clear" w:color="auto" w:fill="auto"/>
            <w:vAlign w:val="center"/>
          </w:tcPr>
          <w:p w14:paraId="65F0B3DF" w14:textId="77777777" w:rsidR="00545150" w:rsidRPr="00B0658A" w:rsidRDefault="00545150" w:rsidP="000A4114">
            <w:pPr>
              <w:spacing w:after="0" w:line="240" w:lineRule="auto"/>
              <w:rPr>
                <w:rFonts w:ascii="Times New Roman" w:hAnsi="Times New Roman"/>
                <w:i/>
                <w:sz w:val="20"/>
                <w:szCs w:val="20"/>
              </w:rPr>
            </w:pPr>
            <w:r w:rsidRPr="00B0658A">
              <w:rPr>
                <w:rFonts w:ascii="Times New Roman" w:hAnsi="Times New Roman"/>
                <w:i/>
                <w:sz w:val="20"/>
                <w:szCs w:val="20"/>
              </w:rPr>
              <w:t>Указывается класс (тип) №</w:t>
            </w:r>
            <w:r w:rsidRPr="00B0658A">
              <w:rPr>
                <w:rFonts w:ascii="Times New Roman" w:hAnsi="Times New Roman"/>
                <w:i/>
                <w:sz w:val="20"/>
                <w:szCs w:val="20"/>
                <w:lang w:val="en-US"/>
              </w:rPr>
              <w:t>n</w:t>
            </w:r>
            <w:r w:rsidRPr="00B0658A">
              <w:rPr>
                <w:rFonts w:ascii="Times New Roman" w:hAnsi="Times New Roman"/>
                <w:i/>
                <w:sz w:val="20"/>
                <w:szCs w:val="20"/>
              </w:rPr>
              <w:t xml:space="preserve"> ПО, используемого на значимом объекте КИИ №2 в соответствии с приказом Минцифры России от 22 сентября 2020 г. № 486)</w:t>
            </w:r>
          </w:p>
        </w:tc>
        <w:tc>
          <w:tcPr>
            <w:tcW w:w="844" w:type="pct"/>
          </w:tcPr>
          <w:p w14:paraId="5E315E6E" w14:textId="77777777" w:rsidR="00545150" w:rsidRPr="00B0658A" w:rsidRDefault="00545150" w:rsidP="000A4114">
            <w:pPr>
              <w:spacing w:after="0" w:line="240" w:lineRule="auto"/>
              <w:rPr>
                <w:rFonts w:ascii="Times New Roman" w:hAnsi="Times New Roman"/>
                <w:sz w:val="20"/>
                <w:szCs w:val="20"/>
              </w:rPr>
            </w:pPr>
          </w:p>
        </w:tc>
        <w:tc>
          <w:tcPr>
            <w:tcW w:w="844" w:type="pct"/>
            <w:shd w:val="clear" w:color="000000" w:fill="FFFFFF"/>
          </w:tcPr>
          <w:p w14:paraId="27009BCC" w14:textId="77777777" w:rsidR="00545150" w:rsidRPr="00B0658A" w:rsidRDefault="00545150" w:rsidP="000A4114">
            <w:pPr>
              <w:spacing w:after="0" w:line="240" w:lineRule="auto"/>
              <w:rPr>
                <w:rFonts w:ascii="Times New Roman" w:hAnsi="Times New Roman"/>
                <w:sz w:val="20"/>
                <w:szCs w:val="20"/>
              </w:rPr>
            </w:pPr>
            <w:r w:rsidRPr="00B0658A">
              <w:rPr>
                <w:rFonts w:ascii="Times New Roman" w:hAnsi="Times New Roman"/>
                <w:sz w:val="20"/>
                <w:szCs w:val="20"/>
              </w:rPr>
              <w:t>Доля используемого российского ПО и евразийского ПО, используемого на значимом объекте КИИ, в общем объёме используемого ПО на таком объекте, %</w:t>
            </w:r>
          </w:p>
        </w:tc>
        <w:tc>
          <w:tcPr>
            <w:tcW w:w="320" w:type="pct"/>
            <w:shd w:val="clear" w:color="000000" w:fill="FFFFFF"/>
            <w:vAlign w:val="center"/>
          </w:tcPr>
          <w:p w14:paraId="5D65A1EC" w14:textId="77777777" w:rsidR="00545150" w:rsidRPr="00B0658A" w:rsidRDefault="00545150" w:rsidP="000A4114">
            <w:pPr>
              <w:spacing w:after="0" w:line="240" w:lineRule="auto"/>
              <w:jc w:val="center"/>
              <w:rPr>
                <w:rFonts w:ascii="Times New Roman" w:hAnsi="Times New Roman"/>
                <w:sz w:val="20"/>
                <w:szCs w:val="20"/>
              </w:rPr>
            </w:pPr>
          </w:p>
        </w:tc>
        <w:tc>
          <w:tcPr>
            <w:tcW w:w="320" w:type="pct"/>
            <w:shd w:val="clear" w:color="000000" w:fill="FFFFFF"/>
            <w:vAlign w:val="center"/>
          </w:tcPr>
          <w:p w14:paraId="1F01B925" w14:textId="77777777" w:rsidR="00545150" w:rsidRPr="00B0658A" w:rsidRDefault="00545150" w:rsidP="000A4114">
            <w:pPr>
              <w:spacing w:after="0" w:line="240" w:lineRule="auto"/>
              <w:jc w:val="center"/>
              <w:rPr>
                <w:rFonts w:ascii="Times New Roman" w:hAnsi="Times New Roman"/>
                <w:sz w:val="20"/>
                <w:szCs w:val="20"/>
              </w:rPr>
            </w:pPr>
          </w:p>
        </w:tc>
        <w:tc>
          <w:tcPr>
            <w:tcW w:w="320" w:type="pct"/>
            <w:shd w:val="clear" w:color="000000" w:fill="FFFFFF"/>
            <w:vAlign w:val="center"/>
          </w:tcPr>
          <w:p w14:paraId="20289530" w14:textId="77777777" w:rsidR="00545150" w:rsidRPr="00B0658A" w:rsidRDefault="00545150" w:rsidP="000A4114">
            <w:pPr>
              <w:spacing w:after="0" w:line="240" w:lineRule="auto"/>
              <w:jc w:val="center"/>
              <w:rPr>
                <w:rFonts w:ascii="Times New Roman" w:hAnsi="Times New Roman"/>
                <w:sz w:val="20"/>
                <w:szCs w:val="20"/>
              </w:rPr>
            </w:pPr>
          </w:p>
        </w:tc>
        <w:tc>
          <w:tcPr>
            <w:tcW w:w="320" w:type="pct"/>
            <w:shd w:val="clear" w:color="000000" w:fill="FFFFFF"/>
            <w:vAlign w:val="center"/>
          </w:tcPr>
          <w:p w14:paraId="4FF0169F" w14:textId="77777777" w:rsidR="00545150" w:rsidRPr="00B0658A" w:rsidRDefault="00545150" w:rsidP="000A4114">
            <w:pPr>
              <w:spacing w:after="0" w:line="240" w:lineRule="auto"/>
              <w:jc w:val="center"/>
              <w:rPr>
                <w:rFonts w:ascii="Times New Roman" w:hAnsi="Times New Roman"/>
                <w:sz w:val="20"/>
                <w:szCs w:val="20"/>
              </w:rPr>
            </w:pPr>
          </w:p>
        </w:tc>
        <w:tc>
          <w:tcPr>
            <w:tcW w:w="518" w:type="pct"/>
            <w:shd w:val="clear" w:color="000000" w:fill="FFFFFF"/>
            <w:vAlign w:val="center"/>
          </w:tcPr>
          <w:p w14:paraId="48A0B6D7" w14:textId="77777777" w:rsidR="00545150" w:rsidRPr="00B0658A" w:rsidRDefault="00545150" w:rsidP="000A4114">
            <w:pPr>
              <w:spacing w:after="0" w:line="240" w:lineRule="auto"/>
              <w:jc w:val="center"/>
              <w:rPr>
                <w:rFonts w:ascii="Times New Roman" w:hAnsi="Times New Roman"/>
                <w:sz w:val="20"/>
                <w:szCs w:val="20"/>
              </w:rPr>
            </w:pPr>
          </w:p>
        </w:tc>
      </w:tr>
      <w:tr w:rsidR="00F52FED" w:rsidRPr="00B0658A" w14:paraId="5E05E405" w14:textId="77777777" w:rsidTr="0027194A">
        <w:trPr>
          <w:trHeight w:val="20"/>
        </w:trPr>
        <w:tc>
          <w:tcPr>
            <w:tcW w:w="5000" w:type="pct"/>
            <w:gridSpan w:val="9"/>
            <w:shd w:val="clear" w:color="auto" w:fill="DEEAF6" w:themeFill="accent5" w:themeFillTint="33"/>
          </w:tcPr>
          <w:p w14:paraId="21D40664" w14:textId="77777777" w:rsidR="00545150" w:rsidRPr="00B0658A" w:rsidRDefault="00545150" w:rsidP="000A4114">
            <w:pPr>
              <w:spacing w:after="0" w:line="240" w:lineRule="auto"/>
              <w:rPr>
                <w:rFonts w:ascii="Times New Roman" w:hAnsi="Times New Roman"/>
                <w:b/>
                <w:sz w:val="20"/>
                <w:szCs w:val="20"/>
              </w:rPr>
            </w:pPr>
            <w:r w:rsidRPr="00B0658A">
              <w:rPr>
                <w:rFonts w:ascii="Times New Roman" w:hAnsi="Times New Roman"/>
                <w:b/>
                <w:sz w:val="20"/>
                <w:szCs w:val="20"/>
                <w:lang w:val="en-US"/>
              </w:rPr>
              <w:t>N</w:t>
            </w:r>
            <w:r w:rsidRPr="00B0658A">
              <w:rPr>
                <w:rFonts w:ascii="Times New Roman" w:hAnsi="Times New Roman"/>
                <w:b/>
                <w:sz w:val="20"/>
                <w:szCs w:val="20"/>
              </w:rPr>
              <w:t xml:space="preserve">. Показатели эффективности перехода в отношении ________ (наименование значимого объекта КИИ № </w:t>
            </w:r>
            <w:r w:rsidRPr="00B0658A">
              <w:rPr>
                <w:rFonts w:ascii="Times New Roman" w:hAnsi="Times New Roman"/>
                <w:b/>
                <w:sz w:val="20"/>
                <w:szCs w:val="20"/>
                <w:lang w:val="en-US"/>
              </w:rPr>
              <w:t>N</w:t>
            </w:r>
            <w:r w:rsidRPr="00B0658A">
              <w:rPr>
                <w:rFonts w:ascii="Times New Roman" w:hAnsi="Times New Roman"/>
                <w:b/>
                <w:sz w:val="20"/>
                <w:szCs w:val="20"/>
              </w:rPr>
              <w:t>)</w:t>
            </w:r>
          </w:p>
        </w:tc>
      </w:tr>
      <w:tr w:rsidR="00F52FED" w:rsidRPr="00B0658A" w14:paraId="288BA9EA" w14:textId="77777777" w:rsidTr="0027194A">
        <w:trPr>
          <w:trHeight w:val="20"/>
        </w:trPr>
        <w:tc>
          <w:tcPr>
            <w:tcW w:w="278" w:type="pct"/>
            <w:shd w:val="clear" w:color="000000" w:fill="FFFFFF"/>
            <w:vAlign w:val="center"/>
          </w:tcPr>
          <w:p w14:paraId="23098EC7" w14:textId="77777777" w:rsidR="00545150" w:rsidRPr="00B0658A" w:rsidRDefault="00545150" w:rsidP="000A4114">
            <w:pPr>
              <w:spacing w:after="0" w:line="240" w:lineRule="auto"/>
              <w:jc w:val="center"/>
              <w:rPr>
                <w:rFonts w:ascii="Times New Roman" w:hAnsi="Times New Roman"/>
                <w:sz w:val="20"/>
                <w:szCs w:val="20"/>
              </w:rPr>
            </w:pPr>
            <w:r w:rsidRPr="00B0658A">
              <w:rPr>
                <w:rFonts w:ascii="Times New Roman" w:hAnsi="Times New Roman"/>
                <w:sz w:val="20"/>
                <w:szCs w:val="20"/>
                <w:lang w:val="en-US"/>
              </w:rPr>
              <w:t>N</w:t>
            </w:r>
            <w:r w:rsidRPr="00B0658A">
              <w:rPr>
                <w:rFonts w:ascii="Times New Roman" w:hAnsi="Times New Roman"/>
                <w:sz w:val="20"/>
                <w:szCs w:val="20"/>
              </w:rPr>
              <w:t>.1</w:t>
            </w:r>
          </w:p>
        </w:tc>
        <w:tc>
          <w:tcPr>
            <w:tcW w:w="1237" w:type="pct"/>
            <w:shd w:val="clear" w:color="auto" w:fill="auto"/>
            <w:vAlign w:val="center"/>
          </w:tcPr>
          <w:p w14:paraId="40B71E8B" w14:textId="77777777" w:rsidR="00545150" w:rsidRPr="00B0658A" w:rsidRDefault="00545150" w:rsidP="000A4114">
            <w:pPr>
              <w:spacing w:after="0" w:line="240" w:lineRule="auto"/>
              <w:rPr>
                <w:rFonts w:ascii="Times New Roman" w:hAnsi="Times New Roman"/>
                <w:i/>
                <w:sz w:val="20"/>
                <w:szCs w:val="20"/>
              </w:rPr>
            </w:pPr>
            <w:r w:rsidRPr="00B0658A">
              <w:rPr>
                <w:rFonts w:ascii="Times New Roman" w:hAnsi="Times New Roman"/>
                <w:i/>
                <w:sz w:val="20"/>
                <w:szCs w:val="20"/>
              </w:rPr>
              <w:t xml:space="preserve">Указывается класс (тип) №1 ПО, используемого на значимом объекте КИИ № </w:t>
            </w:r>
            <w:r w:rsidRPr="00B0658A">
              <w:rPr>
                <w:rFonts w:ascii="Times New Roman" w:hAnsi="Times New Roman"/>
                <w:i/>
                <w:sz w:val="20"/>
                <w:szCs w:val="20"/>
                <w:lang w:val="en-US"/>
              </w:rPr>
              <w:t>N</w:t>
            </w:r>
            <w:r w:rsidRPr="00B0658A">
              <w:rPr>
                <w:rFonts w:ascii="Times New Roman" w:hAnsi="Times New Roman"/>
                <w:i/>
                <w:sz w:val="20"/>
                <w:szCs w:val="20"/>
              </w:rPr>
              <w:t xml:space="preserve"> в соответствии с приказом Минцифры России от 22 сентября 2020 г. № 486)</w:t>
            </w:r>
          </w:p>
        </w:tc>
        <w:tc>
          <w:tcPr>
            <w:tcW w:w="844" w:type="pct"/>
          </w:tcPr>
          <w:p w14:paraId="4C1B8174" w14:textId="77777777" w:rsidR="00545150" w:rsidRPr="00B0658A" w:rsidRDefault="00545150" w:rsidP="000A4114">
            <w:pPr>
              <w:spacing w:after="0" w:line="240" w:lineRule="auto"/>
              <w:rPr>
                <w:rFonts w:ascii="Times New Roman" w:hAnsi="Times New Roman"/>
                <w:sz w:val="20"/>
                <w:szCs w:val="20"/>
              </w:rPr>
            </w:pPr>
          </w:p>
        </w:tc>
        <w:tc>
          <w:tcPr>
            <w:tcW w:w="844" w:type="pct"/>
            <w:shd w:val="clear" w:color="000000" w:fill="FFFFFF"/>
          </w:tcPr>
          <w:p w14:paraId="56421981" w14:textId="77777777" w:rsidR="00545150" w:rsidRPr="00B0658A" w:rsidRDefault="00545150" w:rsidP="000A4114">
            <w:pPr>
              <w:spacing w:after="0" w:line="240" w:lineRule="auto"/>
              <w:rPr>
                <w:rFonts w:ascii="Times New Roman" w:hAnsi="Times New Roman"/>
                <w:sz w:val="20"/>
                <w:szCs w:val="20"/>
              </w:rPr>
            </w:pPr>
            <w:r w:rsidRPr="00B0658A">
              <w:rPr>
                <w:rFonts w:ascii="Times New Roman" w:hAnsi="Times New Roman"/>
                <w:sz w:val="20"/>
                <w:szCs w:val="20"/>
              </w:rPr>
              <w:t>Доля используемого российского ПО и евразийского ПО, используемого на значимом объекте КИИ, в общем объёме используемого ПО на таком объекте, %</w:t>
            </w:r>
          </w:p>
        </w:tc>
        <w:tc>
          <w:tcPr>
            <w:tcW w:w="320" w:type="pct"/>
            <w:shd w:val="clear" w:color="000000" w:fill="FFFFFF"/>
            <w:vAlign w:val="center"/>
          </w:tcPr>
          <w:p w14:paraId="40D945F3" w14:textId="77777777" w:rsidR="00545150" w:rsidRPr="00B0658A" w:rsidRDefault="00545150" w:rsidP="000A4114">
            <w:pPr>
              <w:spacing w:after="0" w:line="240" w:lineRule="auto"/>
              <w:jc w:val="center"/>
              <w:rPr>
                <w:rFonts w:ascii="Times New Roman" w:hAnsi="Times New Roman"/>
                <w:sz w:val="20"/>
                <w:szCs w:val="20"/>
              </w:rPr>
            </w:pPr>
          </w:p>
        </w:tc>
        <w:tc>
          <w:tcPr>
            <w:tcW w:w="320" w:type="pct"/>
            <w:shd w:val="clear" w:color="000000" w:fill="FFFFFF"/>
            <w:vAlign w:val="center"/>
          </w:tcPr>
          <w:p w14:paraId="6A5D5E2E" w14:textId="77777777" w:rsidR="00545150" w:rsidRPr="00B0658A" w:rsidRDefault="00545150" w:rsidP="000A4114">
            <w:pPr>
              <w:spacing w:after="0" w:line="240" w:lineRule="auto"/>
              <w:jc w:val="center"/>
              <w:rPr>
                <w:rFonts w:ascii="Times New Roman" w:hAnsi="Times New Roman"/>
                <w:sz w:val="20"/>
                <w:szCs w:val="20"/>
              </w:rPr>
            </w:pPr>
          </w:p>
        </w:tc>
        <w:tc>
          <w:tcPr>
            <w:tcW w:w="320" w:type="pct"/>
            <w:shd w:val="clear" w:color="000000" w:fill="FFFFFF"/>
            <w:vAlign w:val="center"/>
          </w:tcPr>
          <w:p w14:paraId="1AF301ED" w14:textId="77777777" w:rsidR="00545150" w:rsidRPr="00B0658A" w:rsidRDefault="00545150" w:rsidP="000A4114">
            <w:pPr>
              <w:spacing w:after="0" w:line="240" w:lineRule="auto"/>
              <w:jc w:val="center"/>
              <w:rPr>
                <w:rFonts w:ascii="Times New Roman" w:hAnsi="Times New Roman"/>
                <w:sz w:val="20"/>
                <w:szCs w:val="20"/>
              </w:rPr>
            </w:pPr>
          </w:p>
        </w:tc>
        <w:tc>
          <w:tcPr>
            <w:tcW w:w="320" w:type="pct"/>
            <w:shd w:val="clear" w:color="000000" w:fill="FFFFFF"/>
            <w:vAlign w:val="center"/>
          </w:tcPr>
          <w:p w14:paraId="779D9432" w14:textId="77777777" w:rsidR="00545150" w:rsidRPr="00B0658A" w:rsidRDefault="00545150" w:rsidP="000A4114">
            <w:pPr>
              <w:spacing w:after="0" w:line="240" w:lineRule="auto"/>
              <w:jc w:val="center"/>
              <w:rPr>
                <w:rFonts w:ascii="Times New Roman" w:hAnsi="Times New Roman"/>
                <w:sz w:val="20"/>
                <w:szCs w:val="20"/>
              </w:rPr>
            </w:pPr>
          </w:p>
        </w:tc>
        <w:tc>
          <w:tcPr>
            <w:tcW w:w="518" w:type="pct"/>
            <w:shd w:val="clear" w:color="000000" w:fill="FFFFFF"/>
            <w:vAlign w:val="center"/>
          </w:tcPr>
          <w:p w14:paraId="734B3DB8" w14:textId="77777777" w:rsidR="00545150" w:rsidRPr="00B0658A" w:rsidRDefault="00545150" w:rsidP="000A4114">
            <w:pPr>
              <w:spacing w:after="0" w:line="240" w:lineRule="auto"/>
              <w:jc w:val="center"/>
              <w:rPr>
                <w:rFonts w:ascii="Times New Roman" w:hAnsi="Times New Roman"/>
                <w:sz w:val="20"/>
                <w:szCs w:val="20"/>
              </w:rPr>
            </w:pPr>
          </w:p>
        </w:tc>
      </w:tr>
      <w:tr w:rsidR="00F52FED" w:rsidRPr="00B0658A" w14:paraId="71E478D2" w14:textId="77777777" w:rsidTr="0027194A">
        <w:trPr>
          <w:trHeight w:val="20"/>
        </w:trPr>
        <w:tc>
          <w:tcPr>
            <w:tcW w:w="278" w:type="pct"/>
            <w:shd w:val="clear" w:color="000000" w:fill="FFFFFF"/>
            <w:vAlign w:val="center"/>
          </w:tcPr>
          <w:p w14:paraId="11024968" w14:textId="77777777" w:rsidR="00545150" w:rsidRPr="00B0658A" w:rsidRDefault="00545150" w:rsidP="000A4114">
            <w:pPr>
              <w:spacing w:after="0" w:line="240" w:lineRule="auto"/>
              <w:jc w:val="center"/>
              <w:rPr>
                <w:rFonts w:ascii="Times New Roman" w:hAnsi="Times New Roman"/>
                <w:sz w:val="20"/>
                <w:szCs w:val="20"/>
              </w:rPr>
            </w:pPr>
            <w:r w:rsidRPr="00B0658A">
              <w:rPr>
                <w:rFonts w:ascii="Times New Roman" w:hAnsi="Times New Roman"/>
                <w:sz w:val="20"/>
                <w:szCs w:val="20"/>
                <w:lang w:val="en-US"/>
              </w:rPr>
              <w:t>N</w:t>
            </w:r>
            <w:r w:rsidRPr="00B0658A">
              <w:rPr>
                <w:rFonts w:ascii="Times New Roman" w:hAnsi="Times New Roman"/>
                <w:sz w:val="20"/>
                <w:szCs w:val="20"/>
              </w:rPr>
              <w:t>.2</w:t>
            </w:r>
          </w:p>
        </w:tc>
        <w:tc>
          <w:tcPr>
            <w:tcW w:w="1237" w:type="pct"/>
            <w:shd w:val="clear" w:color="auto" w:fill="auto"/>
            <w:vAlign w:val="center"/>
          </w:tcPr>
          <w:p w14:paraId="1FC6D4A1" w14:textId="77777777" w:rsidR="00545150" w:rsidRPr="00B0658A" w:rsidRDefault="00545150" w:rsidP="000A4114">
            <w:pPr>
              <w:spacing w:after="0" w:line="240" w:lineRule="auto"/>
              <w:rPr>
                <w:rFonts w:ascii="Times New Roman" w:hAnsi="Times New Roman"/>
                <w:i/>
                <w:sz w:val="20"/>
                <w:szCs w:val="20"/>
              </w:rPr>
            </w:pPr>
            <w:r w:rsidRPr="00B0658A">
              <w:rPr>
                <w:rFonts w:ascii="Times New Roman" w:hAnsi="Times New Roman"/>
                <w:i/>
                <w:sz w:val="20"/>
                <w:szCs w:val="20"/>
              </w:rPr>
              <w:t xml:space="preserve">Указывается класс (тип) №2 ПО, используемого на значимом объекте КИИ № </w:t>
            </w:r>
            <w:r w:rsidRPr="00B0658A">
              <w:rPr>
                <w:rFonts w:ascii="Times New Roman" w:hAnsi="Times New Roman"/>
                <w:i/>
                <w:sz w:val="20"/>
                <w:szCs w:val="20"/>
                <w:lang w:val="en-US"/>
              </w:rPr>
              <w:t>N</w:t>
            </w:r>
            <w:r w:rsidRPr="00B0658A">
              <w:rPr>
                <w:rFonts w:ascii="Times New Roman" w:hAnsi="Times New Roman"/>
                <w:i/>
                <w:sz w:val="20"/>
                <w:szCs w:val="20"/>
              </w:rPr>
              <w:t xml:space="preserve"> в соответствии с приказом Минцифры России от 22 сентября 2020 г. № 486)</w:t>
            </w:r>
          </w:p>
        </w:tc>
        <w:tc>
          <w:tcPr>
            <w:tcW w:w="844" w:type="pct"/>
          </w:tcPr>
          <w:p w14:paraId="29D7E0A8" w14:textId="77777777" w:rsidR="00545150" w:rsidRPr="00B0658A" w:rsidRDefault="00545150" w:rsidP="000A4114">
            <w:pPr>
              <w:spacing w:after="0" w:line="240" w:lineRule="auto"/>
              <w:rPr>
                <w:rFonts w:ascii="Times New Roman" w:hAnsi="Times New Roman"/>
                <w:sz w:val="20"/>
                <w:szCs w:val="20"/>
              </w:rPr>
            </w:pPr>
          </w:p>
        </w:tc>
        <w:tc>
          <w:tcPr>
            <w:tcW w:w="844" w:type="pct"/>
            <w:shd w:val="clear" w:color="000000" w:fill="FFFFFF"/>
          </w:tcPr>
          <w:p w14:paraId="59D26166" w14:textId="77777777" w:rsidR="00545150" w:rsidRPr="00B0658A" w:rsidRDefault="00545150" w:rsidP="000A4114">
            <w:pPr>
              <w:spacing w:after="0" w:line="240" w:lineRule="auto"/>
              <w:rPr>
                <w:rFonts w:ascii="Times New Roman" w:hAnsi="Times New Roman"/>
                <w:sz w:val="20"/>
                <w:szCs w:val="20"/>
              </w:rPr>
            </w:pPr>
            <w:r w:rsidRPr="00B0658A">
              <w:rPr>
                <w:rFonts w:ascii="Times New Roman" w:hAnsi="Times New Roman"/>
                <w:sz w:val="20"/>
                <w:szCs w:val="20"/>
              </w:rPr>
              <w:t>Доля используемого российского ПО и евразийского ПО, используемого на значимом объекте КИИ, в общем объёме используемого ПО на таком объекте, %</w:t>
            </w:r>
          </w:p>
        </w:tc>
        <w:tc>
          <w:tcPr>
            <w:tcW w:w="320" w:type="pct"/>
            <w:shd w:val="clear" w:color="000000" w:fill="FFFFFF"/>
            <w:vAlign w:val="center"/>
          </w:tcPr>
          <w:p w14:paraId="76EF741F" w14:textId="77777777" w:rsidR="00545150" w:rsidRPr="00B0658A" w:rsidRDefault="00545150" w:rsidP="000A4114">
            <w:pPr>
              <w:spacing w:after="0" w:line="240" w:lineRule="auto"/>
              <w:jc w:val="center"/>
              <w:rPr>
                <w:rFonts w:ascii="Times New Roman" w:hAnsi="Times New Roman"/>
                <w:sz w:val="20"/>
                <w:szCs w:val="20"/>
              </w:rPr>
            </w:pPr>
          </w:p>
        </w:tc>
        <w:tc>
          <w:tcPr>
            <w:tcW w:w="320" w:type="pct"/>
            <w:shd w:val="clear" w:color="000000" w:fill="FFFFFF"/>
            <w:vAlign w:val="center"/>
          </w:tcPr>
          <w:p w14:paraId="5B46C2F2" w14:textId="77777777" w:rsidR="00545150" w:rsidRPr="00B0658A" w:rsidRDefault="00545150" w:rsidP="000A4114">
            <w:pPr>
              <w:spacing w:after="0" w:line="240" w:lineRule="auto"/>
              <w:jc w:val="center"/>
              <w:rPr>
                <w:rFonts w:ascii="Times New Roman" w:hAnsi="Times New Roman"/>
                <w:sz w:val="20"/>
                <w:szCs w:val="20"/>
              </w:rPr>
            </w:pPr>
          </w:p>
        </w:tc>
        <w:tc>
          <w:tcPr>
            <w:tcW w:w="320" w:type="pct"/>
            <w:shd w:val="clear" w:color="000000" w:fill="FFFFFF"/>
            <w:vAlign w:val="center"/>
          </w:tcPr>
          <w:p w14:paraId="44B19727" w14:textId="77777777" w:rsidR="00545150" w:rsidRPr="00B0658A" w:rsidRDefault="00545150" w:rsidP="000A4114">
            <w:pPr>
              <w:spacing w:after="0" w:line="240" w:lineRule="auto"/>
              <w:jc w:val="center"/>
              <w:rPr>
                <w:rFonts w:ascii="Times New Roman" w:hAnsi="Times New Roman"/>
                <w:sz w:val="20"/>
                <w:szCs w:val="20"/>
              </w:rPr>
            </w:pPr>
          </w:p>
        </w:tc>
        <w:tc>
          <w:tcPr>
            <w:tcW w:w="320" w:type="pct"/>
            <w:shd w:val="clear" w:color="000000" w:fill="FFFFFF"/>
            <w:vAlign w:val="center"/>
          </w:tcPr>
          <w:p w14:paraId="6C0099D1" w14:textId="77777777" w:rsidR="00545150" w:rsidRPr="00B0658A" w:rsidRDefault="00545150" w:rsidP="000A4114">
            <w:pPr>
              <w:spacing w:after="0" w:line="240" w:lineRule="auto"/>
              <w:jc w:val="center"/>
              <w:rPr>
                <w:rFonts w:ascii="Times New Roman" w:hAnsi="Times New Roman"/>
                <w:sz w:val="20"/>
                <w:szCs w:val="20"/>
              </w:rPr>
            </w:pPr>
          </w:p>
        </w:tc>
        <w:tc>
          <w:tcPr>
            <w:tcW w:w="518" w:type="pct"/>
            <w:shd w:val="clear" w:color="000000" w:fill="FFFFFF"/>
            <w:vAlign w:val="center"/>
          </w:tcPr>
          <w:p w14:paraId="6E19E148" w14:textId="77777777" w:rsidR="00545150" w:rsidRPr="00B0658A" w:rsidRDefault="00545150" w:rsidP="000A4114">
            <w:pPr>
              <w:spacing w:after="0" w:line="240" w:lineRule="auto"/>
              <w:jc w:val="center"/>
              <w:rPr>
                <w:rFonts w:ascii="Times New Roman" w:hAnsi="Times New Roman"/>
                <w:sz w:val="20"/>
                <w:szCs w:val="20"/>
              </w:rPr>
            </w:pPr>
          </w:p>
        </w:tc>
      </w:tr>
      <w:tr w:rsidR="00F52FED" w:rsidRPr="00B0658A" w14:paraId="29CA79A8" w14:textId="77777777" w:rsidTr="0027194A">
        <w:trPr>
          <w:trHeight w:val="20"/>
        </w:trPr>
        <w:tc>
          <w:tcPr>
            <w:tcW w:w="278" w:type="pct"/>
            <w:shd w:val="clear" w:color="000000" w:fill="FFFFFF"/>
            <w:vAlign w:val="center"/>
          </w:tcPr>
          <w:p w14:paraId="64FBFF42" w14:textId="77777777" w:rsidR="00545150" w:rsidRPr="00B0658A" w:rsidRDefault="00545150" w:rsidP="000A4114">
            <w:pPr>
              <w:spacing w:after="0" w:line="240" w:lineRule="auto"/>
              <w:jc w:val="center"/>
              <w:rPr>
                <w:rFonts w:ascii="Times New Roman" w:hAnsi="Times New Roman"/>
                <w:sz w:val="20"/>
                <w:szCs w:val="20"/>
              </w:rPr>
            </w:pPr>
            <w:r w:rsidRPr="00B0658A">
              <w:rPr>
                <w:rFonts w:ascii="Times New Roman" w:hAnsi="Times New Roman"/>
                <w:sz w:val="20"/>
                <w:szCs w:val="20"/>
              </w:rPr>
              <w:t>…</w:t>
            </w:r>
          </w:p>
        </w:tc>
        <w:tc>
          <w:tcPr>
            <w:tcW w:w="1237" w:type="pct"/>
            <w:shd w:val="clear" w:color="auto" w:fill="auto"/>
            <w:vAlign w:val="center"/>
          </w:tcPr>
          <w:p w14:paraId="327C6144" w14:textId="77777777" w:rsidR="00545150" w:rsidRPr="00B0658A" w:rsidRDefault="00545150" w:rsidP="000A4114">
            <w:pPr>
              <w:spacing w:after="0" w:line="240" w:lineRule="auto"/>
              <w:rPr>
                <w:rFonts w:ascii="Times New Roman" w:hAnsi="Times New Roman"/>
                <w:i/>
                <w:sz w:val="20"/>
                <w:szCs w:val="20"/>
              </w:rPr>
            </w:pPr>
            <w:r w:rsidRPr="00B0658A">
              <w:rPr>
                <w:rFonts w:ascii="Times New Roman" w:hAnsi="Times New Roman"/>
                <w:i/>
                <w:sz w:val="20"/>
                <w:szCs w:val="20"/>
              </w:rPr>
              <w:t>…</w:t>
            </w:r>
          </w:p>
        </w:tc>
        <w:tc>
          <w:tcPr>
            <w:tcW w:w="844" w:type="pct"/>
          </w:tcPr>
          <w:p w14:paraId="68AC42D2" w14:textId="77777777" w:rsidR="00545150" w:rsidRPr="00B0658A" w:rsidRDefault="00545150" w:rsidP="000A4114">
            <w:pPr>
              <w:spacing w:after="0" w:line="240" w:lineRule="auto"/>
              <w:rPr>
                <w:rFonts w:ascii="Times New Roman" w:hAnsi="Times New Roman"/>
                <w:sz w:val="20"/>
                <w:szCs w:val="20"/>
              </w:rPr>
            </w:pPr>
          </w:p>
        </w:tc>
        <w:tc>
          <w:tcPr>
            <w:tcW w:w="844" w:type="pct"/>
            <w:shd w:val="clear" w:color="000000" w:fill="FFFFFF"/>
          </w:tcPr>
          <w:p w14:paraId="338C5951" w14:textId="77777777" w:rsidR="00545150" w:rsidRPr="00B0658A" w:rsidRDefault="00545150" w:rsidP="000A4114">
            <w:pPr>
              <w:spacing w:after="0" w:line="240" w:lineRule="auto"/>
              <w:rPr>
                <w:rFonts w:ascii="Times New Roman" w:hAnsi="Times New Roman"/>
                <w:sz w:val="20"/>
                <w:szCs w:val="20"/>
              </w:rPr>
            </w:pPr>
            <w:r w:rsidRPr="00B0658A">
              <w:rPr>
                <w:rFonts w:ascii="Times New Roman" w:hAnsi="Times New Roman"/>
                <w:sz w:val="20"/>
                <w:szCs w:val="20"/>
              </w:rPr>
              <w:t>…...</w:t>
            </w:r>
          </w:p>
        </w:tc>
        <w:tc>
          <w:tcPr>
            <w:tcW w:w="320" w:type="pct"/>
            <w:shd w:val="clear" w:color="000000" w:fill="FFFFFF"/>
            <w:vAlign w:val="center"/>
          </w:tcPr>
          <w:p w14:paraId="2A4B48E7" w14:textId="77777777" w:rsidR="00545150" w:rsidRPr="00B0658A" w:rsidRDefault="00545150" w:rsidP="000A4114">
            <w:pPr>
              <w:spacing w:after="0" w:line="240" w:lineRule="auto"/>
              <w:jc w:val="center"/>
              <w:rPr>
                <w:rFonts w:ascii="Times New Roman" w:hAnsi="Times New Roman"/>
                <w:sz w:val="20"/>
                <w:szCs w:val="20"/>
              </w:rPr>
            </w:pPr>
          </w:p>
        </w:tc>
        <w:tc>
          <w:tcPr>
            <w:tcW w:w="320" w:type="pct"/>
            <w:shd w:val="clear" w:color="000000" w:fill="FFFFFF"/>
            <w:vAlign w:val="center"/>
          </w:tcPr>
          <w:p w14:paraId="25387C8B" w14:textId="77777777" w:rsidR="00545150" w:rsidRPr="00B0658A" w:rsidRDefault="00545150" w:rsidP="000A4114">
            <w:pPr>
              <w:spacing w:after="0" w:line="240" w:lineRule="auto"/>
              <w:jc w:val="center"/>
              <w:rPr>
                <w:rFonts w:ascii="Times New Roman" w:hAnsi="Times New Roman"/>
                <w:sz w:val="20"/>
                <w:szCs w:val="20"/>
              </w:rPr>
            </w:pPr>
          </w:p>
        </w:tc>
        <w:tc>
          <w:tcPr>
            <w:tcW w:w="320" w:type="pct"/>
            <w:shd w:val="clear" w:color="000000" w:fill="FFFFFF"/>
            <w:vAlign w:val="center"/>
          </w:tcPr>
          <w:p w14:paraId="030EA3F0" w14:textId="77777777" w:rsidR="00545150" w:rsidRPr="00B0658A" w:rsidRDefault="00545150" w:rsidP="000A4114">
            <w:pPr>
              <w:spacing w:after="0" w:line="240" w:lineRule="auto"/>
              <w:jc w:val="center"/>
              <w:rPr>
                <w:rFonts w:ascii="Times New Roman" w:hAnsi="Times New Roman"/>
                <w:sz w:val="20"/>
                <w:szCs w:val="20"/>
              </w:rPr>
            </w:pPr>
          </w:p>
        </w:tc>
        <w:tc>
          <w:tcPr>
            <w:tcW w:w="320" w:type="pct"/>
            <w:shd w:val="clear" w:color="000000" w:fill="FFFFFF"/>
            <w:vAlign w:val="center"/>
          </w:tcPr>
          <w:p w14:paraId="63B3CD95" w14:textId="77777777" w:rsidR="00545150" w:rsidRPr="00B0658A" w:rsidRDefault="00545150" w:rsidP="000A4114">
            <w:pPr>
              <w:spacing w:after="0" w:line="240" w:lineRule="auto"/>
              <w:jc w:val="center"/>
              <w:rPr>
                <w:rFonts w:ascii="Times New Roman" w:hAnsi="Times New Roman"/>
                <w:sz w:val="20"/>
                <w:szCs w:val="20"/>
              </w:rPr>
            </w:pPr>
          </w:p>
        </w:tc>
        <w:tc>
          <w:tcPr>
            <w:tcW w:w="518" w:type="pct"/>
            <w:shd w:val="clear" w:color="000000" w:fill="FFFFFF"/>
            <w:vAlign w:val="center"/>
          </w:tcPr>
          <w:p w14:paraId="03E2AB18" w14:textId="77777777" w:rsidR="00545150" w:rsidRPr="00B0658A" w:rsidRDefault="00545150" w:rsidP="000A4114">
            <w:pPr>
              <w:spacing w:after="0" w:line="240" w:lineRule="auto"/>
              <w:jc w:val="center"/>
              <w:rPr>
                <w:rFonts w:ascii="Times New Roman" w:hAnsi="Times New Roman"/>
                <w:sz w:val="20"/>
                <w:szCs w:val="20"/>
              </w:rPr>
            </w:pPr>
          </w:p>
        </w:tc>
      </w:tr>
      <w:tr w:rsidR="00F52FED" w:rsidRPr="00B0658A" w14:paraId="15CFD288" w14:textId="77777777" w:rsidTr="0027194A">
        <w:trPr>
          <w:trHeight w:val="20"/>
        </w:trPr>
        <w:tc>
          <w:tcPr>
            <w:tcW w:w="278" w:type="pct"/>
            <w:shd w:val="clear" w:color="000000" w:fill="FFFFFF"/>
            <w:vAlign w:val="center"/>
          </w:tcPr>
          <w:p w14:paraId="57A9F5E0" w14:textId="77777777" w:rsidR="00545150" w:rsidRPr="00B0658A" w:rsidRDefault="00545150" w:rsidP="000A4114">
            <w:pPr>
              <w:spacing w:after="0" w:line="240" w:lineRule="auto"/>
              <w:jc w:val="center"/>
              <w:rPr>
                <w:rFonts w:ascii="Times New Roman" w:hAnsi="Times New Roman"/>
                <w:sz w:val="20"/>
                <w:szCs w:val="20"/>
              </w:rPr>
            </w:pPr>
            <w:r w:rsidRPr="00B0658A">
              <w:rPr>
                <w:rFonts w:ascii="Times New Roman" w:hAnsi="Times New Roman"/>
                <w:sz w:val="20"/>
                <w:szCs w:val="20"/>
                <w:lang w:val="en-US"/>
              </w:rPr>
              <w:t>N</w:t>
            </w:r>
            <w:r w:rsidRPr="00B0658A">
              <w:rPr>
                <w:rFonts w:ascii="Times New Roman" w:hAnsi="Times New Roman"/>
                <w:sz w:val="20"/>
                <w:szCs w:val="20"/>
              </w:rPr>
              <w:t>.</w:t>
            </w:r>
            <w:r w:rsidRPr="00B0658A">
              <w:rPr>
                <w:rFonts w:ascii="Times New Roman" w:hAnsi="Times New Roman"/>
                <w:sz w:val="20"/>
                <w:szCs w:val="20"/>
                <w:lang w:val="en-US"/>
              </w:rPr>
              <w:t>n</w:t>
            </w:r>
          </w:p>
        </w:tc>
        <w:tc>
          <w:tcPr>
            <w:tcW w:w="1237" w:type="pct"/>
            <w:shd w:val="clear" w:color="auto" w:fill="auto"/>
            <w:vAlign w:val="center"/>
          </w:tcPr>
          <w:p w14:paraId="2E4A7608" w14:textId="77777777" w:rsidR="00545150" w:rsidRPr="00B0658A" w:rsidRDefault="00545150" w:rsidP="000A4114">
            <w:pPr>
              <w:spacing w:after="0" w:line="240" w:lineRule="auto"/>
              <w:rPr>
                <w:rFonts w:ascii="Times New Roman" w:hAnsi="Times New Roman"/>
                <w:i/>
                <w:sz w:val="20"/>
                <w:szCs w:val="20"/>
              </w:rPr>
            </w:pPr>
            <w:r w:rsidRPr="00B0658A">
              <w:rPr>
                <w:rFonts w:ascii="Times New Roman" w:hAnsi="Times New Roman"/>
                <w:i/>
                <w:sz w:val="20"/>
                <w:szCs w:val="20"/>
              </w:rPr>
              <w:t>Указывается класс (тип) №</w:t>
            </w:r>
            <w:r w:rsidRPr="00B0658A">
              <w:rPr>
                <w:rFonts w:ascii="Times New Roman" w:hAnsi="Times New Roman"/>
                <w:i/>
                <w:sz w:val="20"/>
                <w:szCs w:val="20"/>
                <w:lang w:val="en-US"/>
              </w:rPr>
              <w:t>n</w:t>
            </w:r>
            <w:r w:rsidRPr="00B0658A">
              <w:rPr>
                <w:rFonts w:ascii="Times New Roman" w:hAnsi="Times New Roman"/>
                <w:i/>
                <w:sz w:val="20"/>
                <w:szCs w:val="20"/>
              </w:rPr>
              <w:t xml:space="preserve"> ПО, используемого на значимом объекте КИИ № </w:t>
            </w:r>
            <w:r w:rsidRPr="00B0658A">
              <w:rPr>
                <w:rFonts w:ascii="Times New Roman" w:hAnsi="Times New Roman"/>
                <w:i/>
                <w:sz w:val="20"/>
                <w:szCs w:val="20"/>
                <w:lang w:val="en-US"/>
              </w:rPr>
              <w:t>N</w:t>
            </w:r>
            <w:r w:rsidRPr="00B0658A">
              <w:rPr>
                <w:rFonts w:ascii="Times New Roman" w:hAnsi="Times New Roman"/>
                <w:i/>
                <w:sz w:val="20"/>
                <w:szCs w:val="20"/>
              </w:rPr>
              <w:t xml:space="preserve"> в соответствии с приказом Минцифры России от 22 сентября 2020 г. № 486)</w:t>
            </w:r>
          </w:p>
        </w:tc>
        <w:tc>
          <w:tcPr>
            <w:tcW w:w="844" w:type="pct"/>
          </w:tcPr>
          <w:p w14:paraId="799EDAB5" w14:textId="77777777" w:rsidR="00545150" w:rsidRPr="00B0658A" w:rsidRDefault="00545150" w:rsidP="000A4114">
            <w:pPr>
              <w:spacing w:after="0" w:line="240" w:lineRule="auto"/>
              <w:rPr>
                <w:rFonts w:ascii="Times New Roman" w:hAnsi="Times New Roman"/>
                <w:sz w:val="20"/>
                <w:szCs w:val="20"/>
              </w:rPr>
            </w:pPr>
          </w:p>
        </w:tc>
        <w:tc>
          <w:tcPr>
            <w:tcW w:w="844" w:type="pct"/>
            <w:shd w:val="clear" w:color="000000" w:fill="FFFFFF"/>
          </w:tcPr>
          <w:p w14:paraId="5E394EBC" w14:textId="77777777" w:rsidR="00545150" w:rsidRPr="00B0658A" w:rsidRDefault="00545150" w:rsidP="000A4114">
            <w:pPr>
              <w:spacing w:after="0" w:line="240" w:lineRule="auto"/>
              <w:rPr>
                <w:rFonts w:ascii="Times New Roman" w:hAnsi="Times New Roman"/>
                <w:sz w:val="20"/>
                <w:szCs w:val="20"/>
              </w:rPr>
            </w:pPr>
            <w:r w:rsidRPr="00B0658A">
              <w:rPr>
                <w:rFonts w:ascii="Times New Roman" w:hAnsi="Times New Roman"/>
                <w:sz w:val="20"/>
                <w:szCs w:val="20"/>
              </w:rPr>
              <w:t>Доля используемого российского ПО и евразийского ПО, используемого на значимом объекте КИИ, в общем объёме используемого ПО на таком объекте, %</w:t>
            </w:r>
          </w:p>
        </w:tc>
        <w:tc>
          <w:tcPr>
            <w:tcW w:w="320" w:type="pct"/>
            <w:shd w:val="clear" w:color="000000" w:fill="FFFFFF"/>
            <w:vAlign w:val="center"/>
          </w:tcPr>
          <w:p w14:paraId="578E5B3C" w14:textId="77777777" w:rsidR="00545150" w:rsidRPr="00B0658A" w:rsidRDefault="00545150" w:rsidP="000A4114">
            <w:pPr>
              <w:spacing w:after="0" w:line="240" w:lineRule="auto"/>
              <w:jc w:val="center"/>
              <w:rPr>
                <w:rFonts w:ascii="Times New Roman" w:hAnsi="Times New Roman"/>
                <w:sz w:val="20"/>
                <w:szCs w:val="20"/>
              </w:rPr>
            </w:pPr>
          </w:p>
        </w:tc>
        <w:tc>
          <w:tcPr>
            <w:tcW w:w="320" w:type="pct"/>
            <w:shd w:val="clear" w:color="000000" w:fill="FFFFFF"/>
            <w:vAlign w:val="center"/>
          </w:tcPr>
          <w:p w14:paraId="0B4EFDF1" w14:textId="77777777" w:rsidR="00545150" w:rsidRPr="00B0658A" w:rsidRDefault="00545150" w:rsidP="000A4114">
            <w:pPr>
              <w:spacing w:after="0" w:line="240" w:lineRule="auto"/>
              <w:jc w:val="center"/>
              <w:rPr>
                <w:rFonts w:ascii="Times New Roman" w:hAnsi="Times New Roman"/>
                <w:sz w:val="20"/>
                <w:szCs w:val="20"/>
              </w:rPr>
            </w:pPr>
          </w:p>
        </w:tc>
        <w:tc>
          <w:tcPr>
            <w:tcW w:w="320" w:type="pct"/>
            <w:shd w:val="clear" w:color="000000" w:fill="FFFFFF"/>
            <w:vAlign w:val="center"/>
          </w:tcPr>
          <w:p w14:paraId="7070C4AA" w14:textId="77777777" w:rsidR="00545150" w:rsidRPr="00B0658A" w:rsidRDefault="00545150" w:rsidP="000A4114">
            <w:pPr>
              <w:spacing w:after="0" w:line="240" w:lineRule="auto"/>
              <w:jc w:val="center"/>
              <w:rPr>
                <w:rFonts w:ascii="Times New Roman" w:hAnsi="Times New Roman"/>
                <w:sz w:val="20"/>
                <w:szCs w:val="20"/>
              </w:rPr>
            </w:pPr>
          </w:p>
        </w:tc>
        <w:tc>
          <w:tcPr>
            <w:tcW w:w="320" w:type="pct"/>
            <w:shd w:val="clear" w:color="000000" w:fill="FFFFFF"/>
            <w:vAlign w:val="center"/>
          </w:tcPr>
          <w:p w14:paraId="31359DDA" w14:textId="77777777" w:rsidR="00545150" w:rsidRPr="00B0658A" w:rsidRDefault="00545150" w:rsidP="000A4114">
            <w:pPr>
              <w:spacing w:after="0" w:line="240" w:lineRule="auto"/>
              <w:jc w:val="center"/>
              <w:rPr>
                <w:rFonts w:ascii="Times New Roman" w:hAnsi="Times New Roman"/>
                <w:sz w:val="20"/>
                <w:szCs w:val="20"/>
              </w:rPr>
            </w:pPr>
          </w:p>
        </w:tc>
        <w:tc>
          <w:tcPr>
            <w:tcW w:w="518" w:type="pct"/>
            <w:shd w:val="clear" w:color="000000" w:fill="FFFFFF"/>
            <w:vAlign w:val="center"/>
          </w:tcPr>
          <w:p w14:paraId="70F583D7" w14:textId="77777777" w:rsidR="00545150" w:rsidRPr="00B0658A" w:rsidRDefault="00545150" w:rsidP="000A4114">
            <w:pPr>
              <w:spacing w:after="0" w:line="240" w:lineRule="auto"/>
              <w:jc w:val="center"/>
              <w:rPr>
                <w:rFonts w:ascii="Times New Roman" w:hAnsi="Times New Roman"/>
                <w:sz w:val="20"/>
                <w:szCs w:val="20"/>
              </w:rPr>
            </w:pPr>
          </w:p>
        </w:tc>
      </w:tr>
      <w:bookmarkEnd w:id="28"/>
    </w:tbl>
    <w:p w14:paraId="60CC75F5" w14:textId="77777777" w:rsidR="00E95F93" w:rsidRPr="00B0658A" w:rsidRDefault="00E95F93">
      <w:pPr>
        <w:spacing w:after="0" w:line="240" w:lineRule="auto"/>
        <w:rPr>
          <w:rFonts w:ascii="Times New Roman" w:hAnsi="Times New Roman"/>
          <w:sz w:val="28"/>
          <w:szCs w:val="24"/>
        </w:rPr>
      </w:pPr>
      <w:r w:rsidRPr="00B0658A">
        <w:rPr>
          <w:rFonts w:ascii="Times New Roman" w:hAnsi="Times New Roman"/>
          <w:sz w:val="28"/>
          <w:szCs w:val="24"/>
        </w:rPr>
        <w:br w:type="page"/>
      </w:r>
    </w:p>
    <w:p w14:paraId="1ED62DF2" w14:textId="2F213AD9" w:rsidR="008319FB" w:rsidRPr="00B0658A" w:rsidRDefault="008319FB" w:rsidP="008319FB">
      <w:pPr>
        <w:pStyle w:val="11"/>
        <w:spacing w:before="120" w:after="0" w:line="240" w:lineRule="auto"/>
        <w:jc w:val="right"/>
        <w:rPr>
          <w:rFonts w:cs="Times New Roman"/>
          <w:szCs w:val="28"/>
        </w:rPr>
      </w:pPr>
      <w:bookmarkStart w:id="29" w:name="_Toc116390902"/>
      <w:bookmarkStart w:id="30" w:name="_Toc116632273"/>
      <w:bookmarkStart w:id="31" w:name="_Hlk116558351"/>
      <w:r w:rsidRPr="00B0658A">
        <w:rPr>
          <w:rFonts w:cs="Times New Roman"/>
          <w:szCs w:val="28"/>
        </w:rPr>
        <w:t>Приложение № 6</w:t>
      </w:r>
      <w:r w:rsidRPr="00B0658A">
        <w:rPr>
          <w:rFonts w:cs="Times New Roman"/>
          <w:szCs w:val="28"/>
        </w:rPr>
        <w:br/>
      </w:r>
      <w:r w:rsidRPr="00B0658A">
        <w:rPr>
          <w:rFonts w:cs="Times New Roman"/>
          <w:szCs w:val="24"/>
        </w:rPr>
        <w:t>Рекомендованные показатели эффективности и соответствующие им значения индикаторов эффективности перехода подведомственных организаций на использование российского ПО</w:t>
      </w:r>
      <w:bookmarkEnd w:id="29"/>
      <w:bookmarkEnd w:id="30"/>
    </w:p>
    <w:p w14:paraId="19AD4CA5" w14:textId="77777777" w:rsidR="008319FB" w:rsidRPr="00B0658A" w:rsidRDefault="008319FB" w:rsidP="008319FB">
      <w:pPr>
        <w:spacing w:before="120" w:after="0" w:line="240" w:lineRule="auto"/>
        <w:rPr>
          <w:rFonts w:ascii="Times New Roman" w:hAnsi="Times New Roman"/>
          <w:sz w:val="28"/>
          <w:szCs w:val="24"/>
          <w:highlight w:val="yellow"/>
        </w:rPr>
      </w:pPr>
    </w:p>
    <w:p w14:paraId="28622478" w14:textId="77777777" w:rsidR="00D020A6" w:rsidRPr="00B0658A" w:rsidRDefault="00D020A6" w:rsidP="00D020A6">
      <w:pPr>
        <w:spacing w:before="120" w:after="0" w:line="240" w:lineRule="auto"/>
        <w:ind w:firstLine="709"/>
        <w:jc w:val="both"/>
        <w:rPr>
          <w:rFonts w:ascii="Times New Roman" w:hAnsi="Times New Roman"/>
          <w:sz w:val="28"/>
          <w:szCs w:val="24"/>
        </w:rPr>
      </w:pPr>
      <w:r w:rsidRPr="00B0658A">
        <w:rPr>
          <w:rFonts w:ascii="Times New Roman" w:hAnsi="Times New Roman"/>
          <w:sz w:val="28"/>
          <w:szCs w:val="24"/>
        </w:rPr>
        <w:t>Ниже представлены рекомендованные показатели эффективности и соответствующие им значения индикаторов эффективности перехода подведомственных организаций на использование российского ПО в отношении каждого используемого класса (типа) ПО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90"/>
        <w:gridCol w:w="3174"/>
        <w:gridCol w:w="2861"/>
        <w:gridCol w:w="1012"/>
        <w:gridCol w:w="1015"/>
        <w:gridCol w:w="1015"/>
        <w:gridCol w:w="1049"/>
        <w:gridCol w:w="1015"/>
        <w:gridCol w:w="1015"/>
        <w:gridCol w:w="998"/>
      </w:tblGrid>
      <w:tr w:rsidR="00D73F09" w:rsidRPr="00B0658A" w14:paraId="21E6ACA1" w14:textId="77777777" w:rsidTr="00FE71B1">
        <w:trPr>
          <w:trHeight w:val="20"/>
          <w:tblHeader/>
        </w:trPr>
        <w:tc>
          <w:tcPr>
            <w:tcW w:w="283" w:type="pct"/>
            <w:shd w:val="clear" w:color="000000" w:fill="E7E6E6"/>
            <w:vAlign w:val="center"/>
            <w:hideMark/>
          </w:tcPr>
          <w:p w14:paraId="581DD0DB" w14:textId="77777777" w:rsidR="00766F9E" w:rsidRPr="00B0658A" w:rsidRDefault="00766F9E" w:rsidP="00FE71B1">
            <w:pPr>
              <w:spacing w:after="0" w:line="240" w:lineRule="auto"/>
              <w:jc w:val="center"/>
              <w:rPr>
                <w:rFonts w:ascii="Times New Roman" w:hAnsi="Times New Roman"/>
                <w:b/>
                <w:bCs/>
                <w:sz w:val="18"/>
                <w:szCs w:val="18"/>
              </w:rPr>
            </w:pPr>
            <w:r w:rsidRPr="00B0658A">
              <w:rPr>
                <w:rFonts w:ascii="Times New Roman" w:hAnsi="Times New Roman"/>
                <w:b/>
                <w:bCs/>
                <w:sz w:val="18"/>
                <w:szCs w:val="18"/>
              </w:rPr>
              <w:t>№ раздела/ класса</w:t>
            </w:r>
          </w:p>
        </w:tc>
        <w:tc>
          <w:tcPr>
            <w:tcW w:w="1138" w:type="pct"/>
            <w:shd w:val="clear" w:color="000000" w:fill="E7E6E6"/>
            <w:vAlign w:val="center"/>
            <w:hideMark/>
          </w:tcPr>
          <w:p w14:paraId="0AE2436B" w14:textId="77777777" w:rsidR="00766F9E" w:rsidRPr="00B0658A" w:rsidRDefault="00766F9E" w:rsidP="00887027">
            <w:pPr>
              <w:spacing w:after="0" w:line="240" w:lineRule="auto"/>
              <w:jc w:val="center"/>
              <w:rPr>
                <w:rFonts w:ascii="Times New Roman" w:hAnsi="Times New Roman"/>
                <w:b/>
                <w:bCs/>
                <w:sz w:val="18"/>
                <w:szCs w:val="18"/>
              </w:rPr>
            </w:pPr>
            <w:r w:rsidRPr="00B0658A">
              <w:rPr>
                <w:rFonts w:ascii="Times New Roman" w:hAnsi="Times New Roman"/>
                <w:b/>
                <w:bCs/>
                <w:sz w:val="18"/>
                <w:szCs w:val="18"/>
              </w:rPr>
              <w:t>Наименование класса (типа) ПО</w:t>
            </w:r>
          </w:p>
        </w:tc>
        <w:tc>
          <w:tcPr>
            <w:tcW w:w="1026" w:type="pct"/>
            <w:shd w:val="clear" w:color="000000" w:fill="E7E6E6"/>
            <w:vAlign w:val="center"/>
            <w:hideMark/>
          </w:tcPr>
          <w:p w14:paraId="25411BE4" w14:textId="77777777" w:rsidR="00766F9E" w:rsidRPr="00B0658A" w:rsidRDefault="00766F9E" w:rsidP="00887027">
            <w:pPr>
              <w:spacing w:after="0" w:line="240" w:lineRule="auto"/>
              <w:jc w:val="center"/>
              <w:rPr>
                <w:rFonts w:ascii="Times New Roman" w:hAnsi="Times New Roman"/>
                <w:b/>
                <w:bCs/>
                <w:sz w:val="18"/>
                <w:szCs w:val="18"/>
              </w:rPr>
            </w:pPr>
            <w:r w:rsidRPr="00B0658A">
              <w:rPr>
                <w:rFonts w:ascii="Times New Roman" w:hAnsi="Times New Roman"/>
                <w:b/>
                <w:bCs/>
                <w:sz w:val="18"/>
                <w:szCs w:val="18"/>
              </w:rPr>
              <w:t>Наименование целевого показателя</w:t>
            </w:r>
          </w:p>
        </w:tc>
        <w:tc>
          <w:tcPr>
            <w:tcW w:w="363" w:type="pct"/>
            <w:shd w:val="clear" w:color="000000" w:fill="E7E6E6"/>
            <w:noWrap/>
            <w:vAlign w:val="center"/>
            <w:hideMark/>
          </w:tcPr>
          <w:p w14:paraId="4DD7C043" w14:textId="77777777" w:rsidR="00766F9E" w:rsidRPr="00B0658A" w:rsidRDefault="00766F9E" w:rsidP="00887027">
            <w:pPr>
              <w:spacing w:after="0" w:line="240" w:lineRule="auto"/>
              <w:jc w:val="center"/>
              <w:rPr>
                <w:rFonts w:ascii="Times New Roman" w:hAnsi="Times New Roman"/>
                <w:b/>
                <w:bCs/>
                <w:sz w:val="18"/>
                <w:szCs w:val="18"/>
              </w:rPr>
            </w:pPr>
            <w:r w:rsidRPr="00B0658A">
              <w:rPr>
                <w:rFonts w:ascii="Times New Roman" w:hAnsi="Times New Roman"/>
                <w:b/>
                <w:bCs/>
                <w:sz w:val="18"/>
                <w:szCs w:val="18"/>
              </w:rPr>
              <w:t>2022 г.</w:t>
            </w:r>
          </w:p>
        </w:tc>
        <w:tc>
          <w:tcPr>
            <w:tcW w:w="364" w:type="pct"/>
            <w:shd w:val="clear" w:color="000000" w:fill="E7E6E6"/>
            <w:vAlign w:val="center"/>
            <w:hideMark/>
          </w:tcPr>
          <w:p w14:paraId="68F79A49" w14:textId="77777777" w:rsidR="00766F9E" w:rsidRPr="00B0658A" w:rsidRDefault="00766F9E" w:rsidP="00887027">
            <w:pPr>
              <w:spacing w:after="0" w:line="240" w:lineRule="auto"/>
              <w:jc w:val="center"/>
              <w:rPr>
                <w:rFonts w:ascii="Times New Roman" w:hAnsi="Times New Roman"/>
                <w:b/>
                <w:bCs/>
                <w:sz w:val="18"/>
                <w:szCs w:val="18"/>
              </w:rPr>
            </w:pPr>
            <w:r w:rsidRPr="00B0658A">
              <w:rPr>
                <w:rFonts w:ascii="Times New Roman" w:hAnsi="Times New Roman"/>
                <w:b/>
                <w:bCs/>
                <w:sz w:val="18"/>
                <w:szCs w:val="18"/>
              </w:rPr>
              <w:t>2023 г.</w:t>
            </w:r>
          </w:p>
        </w:tc>
        <w:tc>
          <w:tcPr>
            <w:tcW w:w="364" w:type="pct"/>
            <w:shd w:val="clear" w:color="000000" w:fill="E7E6E6"/>
            <w:noWrap/>
            <w:vAlign w:val="center"/>
            <w:hideMark/>
          </w:tcPr>
          <w:p w14:paraId="7DE6DB73" w14:textId="77777777" w:rsidR="00766F9E" w:rsidRPr="00B0658A" w:rsidRDefault="00766F9E" w:rsidP="00887027">
            <w:pPr>
              <w:spacing w:after="0" w:line="240" w:lineRule="auto"/>
              <w:jc w:val="center"/>
              <w:rPr>
                <w:rFonts w:ascii="Times New Roman" w:hAnsi="Times New Roman"/>
                <w:b/>
                <w:bCs/>
                <w:sz w:val="18"/>
                <w:szCs w:val="18"/>
              </w:rPr>
            </w:pPr>
            <w:r w:rsidRPr="00B0658A">
              <w:rPr>
                <w:rFonts w:ascii="Times New Roman" w:hAnsi="Times New Roman"/>
                <w:b/>
                <w:bCs/>
                <w:sz w:val="18"/>
                <w:szCs w:val="18"/>
              </w:rPr>
              <w:t>2024 г.</w:t>
            </w:r>
          </w:p>
        </w:tc>
        <w:tc>
          <w:tcPr>
            <w:tcW w:w="376" w:type="pct"/>
            <w:shd w:val="clear" w:color="000000" w:fill="E7E6E6"/>
            <w:vAlign w:val="center"/>
          </w:tcPr>
          <w:p w14:paraId="1C7DD16D" w14:textId="77777777" w:rsidR="00766F9E" w:rsidRPr="00B0658A" w:rsidRDefault="00766F9E" w:rsidP="00887027">
            <w:pPr>
              <w:spacing w:after="0" w:line="240" w:lineRule="auto"/>
              <w:jc w:val="center"/>
              <w:rPr>
                <w:rFonts w:ascii="Times New Roman" w:hAnsi="Times New Roman"/>
                <w:b/>
                <w:bCs/>
                <w:sz w:val="18"/>
                <w:szCs w:val="18"/>
              </w:rPr>
            </w:pPr>
            <w:r w:rsidRPr="00B0658A">
              <w:rPr>
                <w:rFonts w:ascii="Times New Roman" w:hAnsi="Times New Roman"/>
                <w:b/>
                <w:bCs/>
                <w:sz w:val="18"/>
                <w:szCs w:val="18"/>
              </w:rPr>
              <w:t>2024 г.</w:t>
            </w:r>
            <w:r w:rsidRPr="00B0658A">
              <w:rPr>
                <w:rFonts w:ascii="Times New Roman" w:hAnsi="Times New Roman"/>
                <w:b/>
                <w:bCs/>
                <w:sz w:val="18"/>
                <w:szCs w:val="18"/>
              </w:rPr>
              <w:br/>
            </w:r>
            <w:r w:rsidRPr="00B0658A">
              <w:rPr>
                <w:rFonts w:ascii="Times New Roman" w:hAnsi="Times New Roman"/>
                <w:bCs/>
                <w:sz w:val="18"/>
                <w:szCs w:val="18"/>
              </w:rPr>
              <w:t>(для значимых объектов КИИ)</w:t>
            </w:r>
          </w:p>
        </w:tc>
        <w:tc>
          <w:tcPr>
            <w:tcW w:w="364" w:type="pct"/>
            <w:shd w:val="clear" w:color="000000" w:fill="E7E6E6"/>
            <w:vAlign w:val="center"/>
            <w:hideMark/>
          </w:tcPr>
          <w:p w14:paraId="21D805CF" w14:textId="77777777" w:rsidR="00766F9E" w:rsidRPr="00B0658A" w:rsidRDefault="00766F9E" w:rsidP="00887027">
            <w:pPr>
              <w:spacing w:after="0" w:line="240" w:lineRule="auto"/>
              <w:jc w:val="center"/>
              <w:rPr>
                <w:rFonts w:ascii="Times New Roman" w:hAnsi="Times New Roman"/>
                <w:b/>
                <w:bCs/>
                <w:sz w:val="18"/>
                <w:szCs w:val="18"/>
              </w:rPr>
            </w:pPr>
            <w:r w:rsidRPr="00B0658A">
              <w:rPr>
                <w:rFonts w:ascii="Times New Roman" w:hAnsi="Times New Roman"/>
                <w:b/>
                <w:bCs/>
                <w:sz w:val="18"/>
                <w:szCs w:val="18"/>
              </w:rPr>
              <w:t>2025 г.</w:t>
            </w:r>
          </w:p>
        </w:tc>
        <w:tc>
          <w:tcPr>
            <w:tcW w:w="364" w:type="pct"/>
            <w:shd w:val="clear" w:color="000000" w:fill="E7E6E6"/>
            <w:vAlign w:val="center"/>
            <w:hideMark/>
          </w:tcPr>
          <w:p w14:paraId="7763AD6A" w14:textId="77777777" w:rsidR="00766F9E" w:rsidRPr="00B0658A" w:rsidRDefault="00766F9E" w:rsidP="00887027">
            <w:pPr>
              <w:spacing w:after="0" w:line="240" w:lineRule="auto"/>
              <w:jc w:val="center"/>
              <w:rPr>
                <w:rFonts w:ascii="Times New Roman" w:hAnsi="Times New Roman"/>
                <w:b/>
                <w:bCs/>
                <w:sz w:val="18"/>
                <w:szCs w:val="18"/>
              </w:rPr>
            </w:pPr>
            <w:r w:rsidRPr="00B0658A">
              <w:rPr>
                <w:rFonts w:ascii="Times New Roman" w:hAnsi="Times New Roman"/>
                <w:b/>
                <w:bCs/>
                <w:sz w:val="18"/>
                <w:szCs w:val="18"/>
              </w:rPr>
              <w:t>2026 г.</w:t>
            </w:r>
          </w:p>
        </w:tc>
        <w:tc>
          <w:tcPr>
            <w:tcW w:w="358" w:type="pct"/>
            <w:shd w:val="clear" w:color="000000" w:fill="E7E6E6"/>
            <w:vAlign w:val="center"/>
            <w:hideMark/>
          </w:tcPr>
          <w:p w14:paraId="4600A5D5" w14:textId="77777777" w:rsidR="00766F9E" w:rsidRPr="00B0658A" w:rsidRDefault="00766F9E" w:rsidP="00887027">
            <w:pPr>
              <w:spacing w:after="0" w:line="240" w:lineRule="auto"/>
              <w:jc w:val="center"/>
              <w:rPr>
                <w:rFonts w:ascii="Times New Roman" w:hAnsi="Times New Roman"/>
                <w:b/>
                <w:bCs/>
                <w:sz w:val="18"/>
                <w:szCs w:val="18"/>
              </w:rPr>
            </w:pPr>
            <w:r w:rsidRPr="00B0658A">
              <w:rPr>
                <w:rFonts w:ascii="Times New Roman" w:hAnsi="Times New Roman"/>
                <w:b/>
                <w:bCs/>
                <w:sz w:val="18"/>
                <w:szCs w:val="18"/>
              </w:rPr>
              <w:t>2027 г.</w:t>
            </w:r>
          </w:p>
        </w:tc>
      </w:tr>
      <w:tr w:rsidR="00D73F09" w:rsidRPr="00B0658A" w14:paraId="3EE9AEA6" w14:textId="77777777" w:rsidTr="00FE71B1">
        <w:trPr>
          <w:trHeight w:val="20"/>
        </w:trPr>
        <w:tc>
          <w:tcPr>
            <w:tcW w:w="283" w:type="pct"/>
            <w:shd w:val="clear" w:color="000000" w:fill="FFFFFF"/>
            <w:vAlign w:val="center"/>
          </w:tcPr>
          <w:p w14:paraId="29796492" w14:textId="77777777" w:rsidR="00766F9E" w:rsidRPr="00B0658A" w:rsidRDefault="00766F9E" w:rsidP="00FE71B1">
            <w:pPr>
              <w:spacing w:after="0" w:line="240" w:lineRule="auto"/>
              <w:jc w:val="center"/>
              <w:rPr>
                <w:rFonts w:ascii="Times New Roman" w:hAnsi="Times New Roman"/>
                <w:sz w:val="18"/>
                <w:szCs w:val="18"/>
              </w:rPr>
            </w:pPr>
            <w:r w:rsidRPr="00B0658A">
              <w:rPr>
                <w:rFonts w:ascii="Times New Roman" w:hAnsi="Times New Roman"/>
                <w:sz w:val="18"/>
                <w:szCs w:val="18"/>
              </w:rPr>
              <w:t>1.1</w:t>
            </w:r>
          </w:p>
        </w:tc>
        <w:tc>
          <w:tcPr>
            <w:tcW w:w="1138" w:type="pct"/>
            <w:shd w:val="clear" w:color="auto" w:fill="auto"/>
            <w:vAlign w:val="center"/>
            <w:hideMark/>
          </w:tcPr>
          <w:p w14:paraId="311404D7" w14:textId="77777777" w:rsidR="00766F9E" w:rsidRPr="00B0658A" w:rsidRDefault="00766F9E" w:rsidP="00887027">
            <w:pPr>
              <w:spacing w:after="0" w:line="240" w:lineRule="auto"/>
              <w:rPr>
                <w:rFonts w:ascii="Times New Roman" w:hAnsi="Times New Roman"/>
                <w:sz w:val="18"/>
                <w:szCs w:val="18"/>
              </w:rPr>
            </w:pPr>
            <w:r w:rsidRPr="00B0658A">
              <w:rPr>
                <w:rFonts w:ascii="Times New Roman" w:hAnsi="Times New Roman"/>
                <w:sz w:val="18"/>
                <w:szCs w:val="18"/>
              </w:rPr>
              <w:t>Встроенное программное обеспечение/ Встроенные системные программы: BIOS, UEFI и иные встроенные системные программы</w:t>
            </w:r>
          </w:p>
        </w:tc>
        <w:tc>
          <w:tcPr>
            <w:tcW w:w="1026" w:type="pct"/>
            <w:shd w:val="clear" w:color="000000" w:fill="FFFFFF"/>
            <w:hideMark/>
          </w:tcPr>
          <w:p w14:paraId="680A70BD" w14:textId="77777777" w:rsidR="00766F9E" w:rsidRPr="00B0658A" w:rsidRDefault="00766F9E" w:rsidP="00887027">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3" w:type="pct"/>
            <w:shd w:val="clear" w:color="000000" w:fill="FFFFFF"/>
            <w:vAlign w:val="center"/>
          </w:tcPr>
          <w:p w14:paraId="7393EB2F" w14:textId="77777777" w:rsidR="00766F9E" w:rsidRPr="00B0658A" w:rsidRDefault="00766F9E" w:rsidP="00887027">
            <w:pPr>
              <w:spacing w:after="0" w:line="240" w:lineRule="auto"/>
              <w:jc w:val="center"/>
              <w:rPr>
                <w:rFonts w:ascii="Times New Roman" w:hAnsi="Times New Roman"/>
                <w:sz w:val="18"/>
                <w:szCs w:val="18"/>
              </w:rPr>
            </w:pPr>
            <w:r w:rsidRPr="00B0658A">
              <w:rPr>
                <w:rFonts w:ascii="Times New Roman" w:hAnsi="Times New Roman"/>
                <w:sz w:val="18"/>
                <w:szCs w:val="18"/>
              </w:rPr>
              <w:t>10%</w:t>
            </w:r>
          </w:p>
        </w:tc>
        <w:tc>
          <w:tcPr>
            <w:tcW w:w="364" w:type="pct"/>
            <w:shd w:val="clear" w:color="000000" w:fill="FFFFFF"/>
            <w:vAlign w:val="center"/>
          </w:tcPr>
          <w:p w14:paraId="0CB252D4" w14:textId="77777777" w:rsidR="00766F9E" w:rsidRPr="00B0658A" w:rsidRDefault="00766F9E" w:rsidP="00887027">
            <w:pPr>
              <w:spacing w:after="0" w:line="240" w:lineRule="auto"/>
              <w:jc w:val="center"/>
              <w:rPr>
                <w:rFonts w:ascii="Times New Roman" w:hAnsi="Times New Roman"/>
                <w:sz w:val="18"/>
                <w:szCs w:val="18"/>
              </w:rPr>
            </w:pPr>
            <w:r w:rsidRPr="00B0658A">
              <w:rPr>
                <w:rFonts w:ascii="Times New Roman" w:hAnsi="Times New Roman"/>
                <w:sz w:val="18"/>
                <w:szCs w:val="18"/>
              </w:rPr>
              <w:t>2</w:t>
            </w:r>
            <w:r w:rsidRPr="00B0658A">
              <w:rPr>
                <w:rFonts w:ascii="Times New Roman" w:hAnsi="Times New Roman"/>
                <w:sz w:val="18"/>
                <w:szCs w:val="18"/>
                <w:lang w:val="en-US"/>
              </w:rPr>
              <w:t>5</w:t>
            </w:r>
            <w:r w:rsidRPr="00B0658A">
              <w:rPr>
                <w:rFonts w:ascii="Times New Roman" w:hAnsi="Times New Roman"/>
                <w:sz w:val="18"/>
                <w:szCs w:val="18"/>
              </w:rPr>
              <w:t>%</w:t>
            </w:r>
          </w:p>
        </w:tc>
        <w:tc>
          <w:tcPr>
            <w:tcW w:w="364" w:type="pct"/>
            <w:shd w:val="clear" w:color="000000" w:fill="FFFFFF"/>
            <w:vAlign w:val="center"/>
          </w:tcPr>
          <w:p w14:paraId="30204018" w14:textId="77777777" w:rsidR="00766F9E" w:rsidRPr="00B0658A" w:rsidRDefault="00766F9E" w:rsidP="00887027">
            <w:pPr>
              <w:spacing w:after="0" w:line="240" w:lineRule="auto"/>
              <w:jc w:val="center"/>
              <w:rPr>
                <w:rFonts w:ascii="Times New Roman" w:hAnsi="Times New Roman"/>
                <w:sz w:val="18"/>
                <w:szCs w:val="18"/>
              </w:rPr>
            </w:pPr>
            <w:r w:rsidRPr="00B0658A">
              <w:rPr>
                <w:rFonts w:ascii="Times New Roman" w:hAnsi="Times New Roman"/>
                <w:sz w:val="18"/>
                <w:szCs w:val="18"/>
                <w:lang w:val="en-US"/>
              </w:rPr>
              <w:t>4</w:t>
            </w:r>
            <w:r w:rsidRPr="00B0658A">
              <w:rPr>
                <w:rFonts w:ascii="Times New Roman" w:hAnsi="Times New Roman"/>
                <w:sz w:val="18"/>
                <w:szCs w:val="18"/>
              </w:rPr>
              <w:t>0%</w:t>
            </w:r>
          </w:p>
        </w:tc>
        <w:tc>
          <w:tcPr>
            <w:tcW w:w="376" w:type="pct"/>
            <w:shd w:val="clear" w:color="000000" w:fill="FFFFFF"/>
            <w:vAlign w:val="center"/>
          </w:tcPr>
          <w:p w14:paraId="6047B195" w14:textId="77777777" w:rsidR="00766F9E" w:rsidRPr="00B0658A" w:rsidRDefault="00766F9E" w:rsidP="00887027">
            <w:pPr>
              <w:spacing w:after="0" w:line="240" w:lineRule="auto"/>
              <w:jc w:val="center"/>
              <w:rPr>
                <w:rFonts w:ascii="Times New Roman" w:hAnsi="Times New Roman"/>
                <w:sz w:val="18"/>
                <w:szCs w:val="18"/>
                <w:lang w:val="en-US"/>
              </w:rPr>
            </w:pPr>
            <w:r w:rsidRPr="00B0658A">
              <w:rPr>
                <w:rFonts w:ascii="Times New Roman" w:hAnsi="Times New Roman"/>
                <w:sz w:val="18"/>
                <w:szCs w:val="18"/>
                <w:lang w:val="en-US"/>
              </w:rPr>
              <w:t>100%</w:t>
            </w:r>
          </w:p>
        </w:tc>
        <w:tc>
          <w:tcPr>
            <w:tcW w:w="364" w:type="pct"/>
            <w:shd w:val="clear" w:color="000000" w:fill="FFFFFF"/>
            <w:vAlign w:val="center"/>
          </w:tcPr>
          <w:p w14:paraId="39748B4E" w14:textId="77777777" w:rsidR="00766F9E" w:rsidRPr="00B0658A" w:rsidRDefault="00766F9E" w:rsidP="00887027">
            <w:pPr>
              <w:spacing w:after="0" w:line="240" w:lineRule="auto"/>
              <w:jc w:val="center"/>
              <w:rPr>
                <w:rFonts w:ascii="Times New Roman" w:hAnsi="Times New Roman"/>
                <w:sz w:val="18"/>
                <w:szCs w:val="18"/>
              </w:rPr>
            </w:pPr>
            <w:r w:rsidRPr="00B0658A">
              <w:rPr>
                <w:rFonts w:ascii="Times New Roman" w:hAnsi="Times New Roman"/>
                <w:sz w:val="18"/>
                <w:szCs w:val="18"/>
              </w:rPr>
              <w:t>50%</w:t>
            </w:r>
          </w:p>
        </w:tc>
        <w:tc>
          <w:tcPr>
            <w:tcW w:w="364" w:type="pct"/>
            <w:shd w:val="clear" w:color="000000" w:fill="FFFFFF"/>
            <w:vAlign w:val="center"/>
          </w:tcPr>
          <w:p w14:paraId="4710F193" w14:textId="77777777" w:rsidR="00766F9E" w:rsidRPr="00B0658A" w:rsidRDefault="00766F9E" w:rsidP="00887027">
            <w:pPr>
              <w:spacing w:after="0" w:line="240" w:lineRule="auto"/>
              <w:jc w:val="center"/>
              <w:rPr>
                <w:rFonts w:ascii="Times New Roman" w:hAnsi="Times New Roman"/>
                <w:sz w:val="18"/>
                <w:szCs w:val="18"/>
              </w:rPr>
            </w:pPr>
            <w:r w:rsidRPr="00B0658A">
              <w:rPr>
                <w:rFonts w:ascii="Times New Roman" w:hAnsi="Times New Roman"/>
                <w:sz w:val="18"/>
                <w:szCs w:val="18"/>
              </w:rPr>
              <w:t>70%</w:t>
            </w:r>
          </w:p>
        </w:tc>
        <w:tc>
          <w:tcPr>
            <w:tcW w:w="358" w:type="pct"/>
            <w:shd w:val="clear" w:color="000000" w:fill="FFFFFF"/>
            <w:vAlign w:val="center"/>
          </w:tcPr>
          <w:p w14:paraId="70105DC1" w14:textId="77777777" w:rsidR="00766F9E" w:rsidRPr="00B0658A" w:rsidRDefault="00766F9E" w:rsidP="00887027">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D73F09" w:rsidRPr="00B0658A" w14:paraId="3F54D692" w14:textId="77777777" w:rsidTr="00FE71B1">
        <w:trPr>
          <w:trHeight w:val="20"/>
        </w:trPr>
        <w:tc>
          <w:tcPr>
            <w:tcW w:w="283" w:type="pct"/>
            <w:shd w:val="clear" w:color="000000" w:fill="FFFFFF"/>
            <w:vAlign w:val="center"/>
          </w:tcPr>
          <w:p w14:paraId="25DDE1C2" w14:textId="77777777" w:rsidR="00766F9E" w:rsidRPr="00B0658A" w:rsidRDefault="00766F9E" w:rsidP="00FE71B1">
            <w:pPr>
              <w:spacing w:after="0" w:line="240" w:lineRule="auto"/>
              <w:jc w:val="center"/>
              <w:rPr>
                <w:rFonts w:ascii="Times New Roman" w:hAnsi="Times New Roman"/>
                <w:sz w:val="18"/>
                <w:szCs w:val="18"/>
              </w:rPr>
            </w:pPr>
            <w:r w:rsidRPr="00B0658A">
              <w:rPr>
                <w:rFonts w:ascii="Times New Roman" w:hAnsi="Times New Roman"/>
                <w:sz w:val="18"/>
                <w:szCs w:val="18"/>
              </w:rPr>
              <w:t>1.2</w:t>
            </w:r>
          </w:p>
        </w:tc>
        <w:tc>
          <w:tcPr>
            <w:tcW w:w="1138" w:type="pct"/>
            <w:shd w:val="clear" w:color="auto" w:fill="auto"/>
            <w:vAlign w:val="center"/>
            <w:hideMark/>
          </w:tcPr>
          <w:p w14:paraId="4C2AA5F2" w14:textId="77777777" w:rsidR="00766F9E" w:rsidRPr="00B0658A" w:rsidRDefault="00766F9E" w:rsidP="00887027">
            <w:pPr>
              <w:spacing w:after="0" w:line="240" w:lineRule="auto"/>
              <w:rPr>
                <w:rFonts w:ascii="Times New Roman" w:hAnsi="Times New Roman"/>
                <w:sz w:val="18"/>
                <w:szCs w:val="18"/>
              </w:rPr>
            </w:pPr>
            <w:r w:rsidRPr="00B0658A">
              <w:rPr>
                <w:rFonts w:ascii="Times New Roman" w:hAnsi="Times New Roman"/>
                <w:sz w:val="18"/>
                <w:szCs w:val="18"/>
              </w:rPr>
              <w:t>Встроенное программное обеспечение/ Встроенные системные программы – операционные системы</w:t>
            </w:r>
          </w:p>
        </w:tc>
        <w:tc>
          <w:tcPr>
            <w:tcW w:w="1026" w:type="pct"/>
            <w:shd w:val="clear" w:color="000000" w:fill="FFFFFF"/>
            <w:hideMark/>
          </w:tcPr>
          <w:p w14:paraId="1B2CFFEB" w14:textId="77777777" w:rsidR="00766F9E" w:rsidRPr="00B0658A" w:rsidRDefault="00766F9E" w:rsidP="00887027">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3" w:type="pct"/>
            <w:shd w:val="clear" w:color="000000" w:fill="FFFFFF"/>
            <w:vAlign w:val="center"/>
          </w:tcPr>
          <w:p w14:paraId="2862AD65" w14:textId="77777777" w:rsidR="00766F9E" w:rsidRPr="00B0658A" w:rsidRDefault="00766F9E" w:rsidP="00887027">
            <w:pPr>
              <w:spacing w:after="0" w:line="240" w:lineRule="auto"/>
              <w:jc w:val="center"/>
              <w:rPr>
                <w:rFonts w:ascii="Times New Roman" w:hAnsi="Times New Roman"/>
                <w:sz w:val="18"/>
                <w:szCs w:val="18"/>
              </w:rPr>
            </w:pPr>
            <w:r w:rsidRPr="00B0658A">
              <w:rPr>
                <w:rFonts w:ascii="Times New Roman" w:hAnsi="Times New Roman"/>
                <w:sz w:val="18"/>
                <w:szCs w:val="18"/>
              </w:rPr>
              <w:t>10%</w:t>
            </w:r>
          </w:p>
        </w:tc>
        <w:tc>
          <w:tcPr>
            <w:tcW w:w="364" w:type="pct"/>
            <w:shd w:val="clear" w:color="000000" w:fill="FFFFFF"/>
            <w:vAlign w:val="center"/>
          </w:tcPr>
          <w:p w14:paraId="6CA2B90E" w14:textId="77777777" w:rsidR="00766F9E" w:rsidRPr="00B0658A" w:rsidRDefault="00766F9E" w:rsidP="00887027">
            <w:pPr>
              <w:spacing w:after="0" w:line="240" w:lineRule="auto"/>
              <w:jc w:val="center"/>
              <w:rPr>
                <w:rFonts w:ascii="Times New Roman" w:hAnsi="Times New Roman"/>
                <w:sz w:val="18"/>
                <w:szCs w:val="18"/>
              </w:rPr>
            </w:pPr>
            <w:r w:rsidRPr="00B0658A">
              <w:rPr>
                <w:rFonts w:ascii="Times New Roman" w:hAnsi="Times New Roman"/>
                <w:sz w:val="18"/>
                <w:szCs w:val="18"/>
              </w:rPr>
              <w:t>2</w:t>
            </w:r>
            <w:r w:rsidRPr="00B0658A">
              <w:rPr>
                <w:rFonts w:ascii="Times New Roman" w:hAnsi="Times New Roman"/>
                <w:sz w:val="18"/>
                <w:szCs w:val="18"/>
                <w:lang w:val="en-US"/>
              </w:rPr>
              <w:t>5</w:t>
            </w:r>
            <w:r w:rsidRPr="00B0658A">
              <w:rPr>
                <w:rFonts w:ascii="Times New Roman" w:hAnsi="Times New Roman"/>
                <w:sz w:val="18"/>
                <w:szCs w:val="18"/>
              </w:rPr>
              <w:t>%</w:t>
            </w:r>
          </w:p>
        </w:tc>
        <w:tc>
          <w:tcPr>
            <w:tcW w:w="364" w:type="pct"/>
            <w:shd w:val="clear" w:color="000000" w:fill="FFFFFF"/>
            <w:vAlign w:val="center"/>
          </w:tcPr>
          <w:p w14:paraId="39A24539" w14:textId="77777777" w:rsidR="00766F9E" w:rsidRPr="00B0658A" w:rsidRDefault="00766F9E" w:rsidP="00887027">
            <w:pPr>
              <w:spacing w:after="0" w:line="240" w:lineRule="auto"/>
              <w:jc w:val="center"/>
              <w:rPr>
                <w:rFonts w:ascii="Times New Roman" w:hAnsi="Times New Roman"/>
                <w:sz w:val="18"/>
                <w:szCs w:val="18"/>
              </w:rPr>
            </w:pPr>
            <w:r w:rsidRPr="00B0658A">
              <w:rPr>
                <w:rFonts w:ascii="Times New Roman" w:hAnsi="Times New Roman"/>
                <w:sz w:val="18"/>
                <w:szCs w:val="18"/>
                <w:lang w:val="en-US"/>
              </w:rPr>
              <w:t>4</w:t>
            </w:r>
            <w:r w:rsidRPr="00B0658A">
              <w:rPr>
                <w:rFonts w:ascii="Times New Roman" w:hAnsi="Times New Roman"/>
                <w:sz w:val="18"/>
                <w:szCs w:val="18"/>
              </w:rPr>
              <w:t>0%</w:t>
            </w:r>
          </w:p>
        </w:tc>
        <w:tc>
          <w:tcPr>
            <w:tcW w:w="376" w:type="pct"/>
            <w:shd w:val="clear" w:color="000000" w:fill="FFFFFF"/>
            <w:vAlign w:val="center"/>
          </w:tcPr>
          <w:p w14:paraId="21466E5B" w14:textId="77777777" w:rsidR="00766F9E" w:rsidRPr="00B0658A" w:rsidRDefault="00766F9E" w:rsidP="00887027">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4" w:type="pct"/>
            <w:shd w:val="clear" w:color="000000" w:fill="FFFFFF"/>
            <w:vAlign w:val="center"/>
          </w:tcPr>
          <w:p w14:paraId="260459F3" w14:textId="77777777" w:rsidR="00766F9E" w:rsidRPr="00B0658A" w:rsidRDefault="00766F9E" w:rsidP="00887027">
            <w:pPr>
              <w:spacing w:after="0" w:line="240" w:lineRule="auto"/>
              <w:jc w:val="center"/>
              <w:rPr>
                <w:rFonts w:ascii="Times New Roman" w:hAnsi="Times New Roman"/>
                <w:sz w:val="18"/>
                <w:szCs w:val="18"/>
              </w:rPr>
            </w:pPr>
            <w:r w:rsidRPr="00B0658A">
              <w:rPr>
                <w:rFonts w:ascii="Times New Roman" w:hAnsi="Times New Roman"/>
                <w:sz w:val="18"/>
                <w:szCs w:val="18"/>
              </w:rPr>
              <w:t>50%</w:t>
            </w:r>
          </w:p>
        </w:tc>
        <w:tc>
          <w:tcPr>
            <w:tcW w:w="364" w:type="pct"/>
            <w:shd w:val="clear" w:color="000000" w:fill="FFFFFF"/>
            <w:vAlign w:val="center"/>
          </w:tcPr>
          <w:p w14:paraId="0FFB7E4C" w14:textId="77777777" w:rsidR="00766F9E" w:rsidRPr="00B0658A" w:rsidRDefault="00766F9E" w:rsidP="00887027">
            <w:pPr>
              <w:spacing w:after="0" w:line="240" w:lineRule="auto"/>
              <w:jc w:val="center"/>
              <w:rPr>
                <w:rFonts w:ascii="Times New Roman" w:hAnsi="Times New Roman"/>
                <w:sz w:val="18"/>
                <w:szCs w:val="18"/>
              </w:rPr>
            </w:pPr>
            <w:r w:rsidRPr="00B0658A">
              <w:rPr>
                <w:rFonts w:ascii="Times New Roman" w:hAnsi="Times New Roman"/>
                <w:sz w:val="18"/>
                <w:szCs w:val="18"/>
              </w:rPr>
              <w:t>70%</w:t>
            </w:r>
          </w:p>
        </w:tc>
        <w:tc>
          <w:tcPr>
            <w:tcW w:w="358" w:type="pct"/>
            <w:shd w:val="clear" w:color="000000" w:fill="FFFFFF"/>
            <w:vAlign w:val="center"/>
          </w:tcPr>
          <w:p w14:paraId="3E28D3DF" w14:textId="77777777" w:rsidR="00766F9E" w:rsidRPr="00B0658A" w:rsidRDefault="00766F9E" w:rsidP="00887027">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D73F09" w:rsidRPr="00B0658A" w14:paraId="0A17C792" w14:textId="77777777" w:rsidTr="00FE71B1">
        <w:trPr>
          <w:trHeight w:val="20"/>
        </w:trPr>
        <w:tc>
          <w:tcPr>
            <w:tcW w:w="283" w:type="pct"/>
            <w:shd w:val="clear" w:color="000000" w:fill="FFFFFF"/>
            <w:vAlign w:val="center"/>
          </w:tcPr>
          <w:p w14:paraId="34B88099" w14:textId="77777777" w:rsidR="00766F9E" w:rsidRPr="00B0658A" w:rsidRDefault="00766F9E" w:rsidP="00FE71B1">
            <w:pPr>
              <w:spacing w:after="0" w:line="240" w:lineRule="auto"/>
              <w:jc w:val="center"/>
              <w:rPr>
                <w:rFonts w:ascii="Times New Roman" w:hAnsi="Times New Roman"/>
                <w:sz w:val="18"/>
                <w:szCs w:val="18"/>
              </w:rPr>
            </w:pPr>
            <w:r w:rsidRPr="00B0658A">
              <w:rPr>
                <w:rFonts w:ascii="Times New Roman" w:hAnsi="Times New Roman"/>
                <w:sz w:val="18"/>
                <w:szCs w:val="18"/>
              </w:rPr>
              <w:t>1.3</w:t>
            </w:r>
          </w:p>
        </w:tc>
        <w:tc>
          <w:tcPr>
            <w:tcW w:w="1138" w:type="pct"/>
            <w:shd w:val="clear" w:color="auto" w:fill="auto"/>
            <w:vAlign w:val="center"/>
            <w:hideMark/>
          </w:tcPr>
          <w:p w14:paraId="252A3417" w14:textId="77777777" w:rsidR="00766F9E" w:rsidRPr="00B0658A" w:rsidRDefault="00766F9E" w:rsidP="00887027">
            <w:pPr>
              <w:spacing w:after="0" w:line="240" w:lineRule="auto"/>
              <w:rPr>
                <w:rFonts w:ascii="Times New Roman" w:hAnsi="Times New Roman"/>
                <w:sz w:val="18"/>
                <w:szCs w:val="18"/>
              </w:rPr>
            </w:pPr>
            <w:r w:rsidRPr="00B0658A">
              <w:rPr>
                <w:rFonts w:ascii="Times New Roman" w:hAnsi="Times New Roman"/>
                <w:sz w:val="18"/>
                <w:szCs w:val="18"/>
              </w:rPr>
              <w:t>Встроенное программное обеспечение/ Встроенные прикладные программы</w:t>
            </w:r>
          </w:p>
        </w:tc>
        <w:tc>
          <w:tcPr>
            <w:tcW w:w="1026" w:type="pct"/>
            <w:shd w:val="clear" w:color="000000" w:fill="FFFFFF"/>
            <w:hideMark/>
          </w:tcPr>
          <w:p w14:paraId="5F1D2D45" w14:textId="77777777" w:rsidR="00766F9E" w:rsidRPr="00B0658A" w:rsidRDefault="00766F9E" w:rsidP="00887027">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3" w:type="pct"/>
            <w:shd w:val="clear" w:color="000000" w:fill="FFFFFF"/>
            <w:vAlign w:val="center"/>
          </w:tcPr>
          <w:p w14:paraId="7D5EA4E0" w14:textId="77777777" w:rsidR="00766F9E" w:rsidRPr="00B0658A" w:rsidRDefault="00766F9E" w:rsidP="00887027">
            <w:pPr>
              <w:spacing w:after="0" w:line="240" w:lineRule="auto"/>
              <w:jc w:val="center"/>
              <w:rPr>
                <w:rFonts w:ascii="Times New Roman" w:hAnsi="Times New Roman"/>
                <w:sz w:val="18"/>
                <w:szCs w:val="18"/>
              </w:rPr>
            </w:pPr>
            <w:r w:rsidRPr="00B0658A">
              <w:rPr>
                <w:rFonts w:ascii="Times New Roman" w:hAnsi="Times New Roman"/>
                <w:sz w:val="18"/>
                <w:szCs w:val="18"/>
              </w:rPr>
              <w:t>20%</w:t>
            </w:r>
          </w:p>
        </w:tc>
        <w:tc>
          <w:tcPr>
            <w:tcW w:w="364" w:type="pct"/>
            <w:shd w:val="clear" w:color="000000" w:fill="FFFFFF"/>
            <w:vAlign w:val="center"/>
          </w:tcPr>
          <w:p w14:paraId="32E82C66" w14:textId="77777777" w:rsidR="00766F9E" w:rsidRPr="00B0658A" w:rsidRDefault="00766F9E" w:rsidP="00887027">
            <w:pPr>
              <w:spacing w:after="0" w:line="240" w:lineRule="auto"/>
              <w:jc w:val="center"/>
              <w:rPr>
                <w:rFonts w:ascii="Times New Roman" w:hAnsi="Times New Roman"/>
                <w:sz w:val="18"/>
                <w:szCs w:val="18"/>
              </w:rPr>
            </w:pPr>
            <w:r w:rsidRPr="00B0658A">
              <w:rPr>
                <w:rFonts w:ascii="Times New Roman" w:hAnsi="Times New Roman"/>
                <w:sz w:val="18"/>
                <w:szCs w:val="18"/>
              </w:rPr>
              <w:t>30%</w:t>
            </w:r>
          </w:p>
        </w:tc>
        <w:tc>
          <w:tcPr>
            <w:tcW w:w="364" w:type="pct"/>
            <w:shd w:val="clear" w:color="000000" w:fill="FFFFFF"/>
            <w:vAlign w:val="center"/>
          </w:tcPr>
          <w:p w14:paraId="0FFC04D2" w14:textId="77777777" w:rsidR="00766F9E" w:rsidRPr="00B0658A" w:rsidRDefault="00766F9E" w:rsidP="00887027">
            <w:pPr>
              <w:spacing w:after="0" w:line="240" w:lineRule="auto"/>
              <w:jc w:val="center"/>
              <w:rPr>
                <w:rFonts w:ascii="Times New Roman" w:hAnsi="Times New Roman"/>
                <w:sz w:val="18"/>
                <w:szCs w:val="18"/>
              </w:rPr>
            </w:pPr>
            <w:r w:rsidRPr="00B0658A">
              <w:rPr>
                <w:rFonts w:ascii="Times New Roman" w:hAnsi="Times New Roman"/>
                <w:sz w:val="18"/>
                <w:szCs w:val="18"/>
              </w:rPr>
              <w:t>45%</w:t>
            </w:r>
          </w:p>
        </w:tc>
        <w:tc>
          <w:tcPr>
            <w:tcW w:w="376" w:type="pct"/>
            <w:shd w:val="clear" w:color="000000" w:fill="FFFFFF"/>
            <w:vAlign w:val="center"/>
          </w:tcPr>
          <w:p w14:paraId="5251B5DE" w14:textId="77777777" w:rsidR="00766F9E" w:rsidRPr="00B0658A" w:rsidRDefault="00766F9E" w:rsidP="00887027">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4" w:type="pct"/>
            <w:shd w:val="clear" w:color="000000" w:fill="FFFFFF"/>
            <w:vAlign w:val="center"/>
          </w:tcPr>
          <w:p w14:paraId="23BAEDBA" w14:textId="77777777" w:rsidR="00766F9E" w:rsidRPr="00B0658A" w:rsidRDefault="00766F9E" w:rsidP="00887027">
            <w:pPr>
              <w:spacing w:after="0" w:line="240" w:lineRule="auto"/>
              <w:jc w:val="center"/>
              <w:rPr>
                <w:rFonts w:ascii="Times New Roman" w:hAnsi="Times New Roman"/>
                <w:sz w:val="18"/>
                <w:szCs w:val="18"/>
              </w:rPr>
            </w:pPr>
            <w:r w:rsidRPr="00B0658A">
              <w:rPr>
                <w:rFonts w:ascii="Times New Roman" w:hAnsi="Times New Roman"/>
                <w:sz w:val="18"/>
                <w:szCs w:val="18"/>
              </w:rPr>
              <w:t>70%</w:t>
            </w:r>
          </w:p>
        </w:tc>
        <w:tc>
          <w:tcPr>
            <w:tcW w:w="364" w:type="pct"/>
            <w:shd w:val="clear" w:color="000000" w:fill="FFFFFF"/>
            <w:vAlign w:val="center"/>
          </w:tcPr>
          <w:p w14:paraId="553EB782" w14:textId="77777777" w:rsidR="00766F9E" w:rsidRPr="00B0658A" w:rsidRDefault="00766F9E" w:rsidP="00887027">
            <w:pPr>
              <w:spacing w:after="0" w:line="240" w:lineRule="auto"/>
              <w:jc w:val="center"/>
              <w:rPr>
                <w:rFonts w:ascii="Times New Roman" w:hAnsi="Times New Roman"/>
                <w:sz w:val="18"/>
                <w:szCs w:val="18"/>
              </w:rPr>
            </w:pPr>
            <w:r w:rsidRPr="00B0658A">
              <w:rPr>
                <w:rFonts w:ascii="Times New Roman" w:hAnsi="Times New Roman"/>
                <w:sz w:val="18"/>
                <w:szCs w:val="18"/>
              </w:rPr>
              <w:t>90%</w:t>
            </w:r>
          </w:p>
        </w:tc>
        <w:tc>
          <w:tcPr>
            <w:tcW w:w="358" w:type="pct"/>
            <w:shd w:val="clear" w:color="000000" w:fill="FFFFFF"/>
            <w:vAlign w:val="center"/>
          </w:tcPr>
          <w:p w14:paraId="6212E63E" w14:textId="77777777" w:rsidR="00766F9E" w:rsidRPr="00B0658A" w:rsidRDefault="00766F9E" w:rsidP="00887027">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D73F09" w:rsidRPr="00B0658A" w14:paraId="469F70DB" w14:textId="77777777" w:rsidTr="00FE71B1">
        <w:trPr>
          <w:trHeight w:val="20"/>
        </w:trPr>
        <w:tc>
          <w:tcPr>
            <w:tcW w:w="283" w:type="pct"/>
            <w:shd w:val="clear" w:color="000000" w:fill="FFFFFF"/>
            <w:vAlign w:val="center"/>
          </w:tcPr>
          <w:p w14:paraId="4D4FE6DB" w14:textId="77777777" w:rsidR="00766F9E" w:rsidRPr="00B0658A" w:rsidRDefault="00766F9E" w:rsidP="00FE71B1">
            <w:pPr>
              <w:spacing w:after="0" w:line="240" w:lineRule="auto"/>
              <w:jc w:val="center"/>
              <w:rPr>
                <w:rFonts w:ascii="Times New Roman" w:hAnsi="Times New Roman"/>
                <w:sz w:val="18"/>
                <w:szCs w:val="18"/>
              </w:rPr>
            </w:pPr>
            <w:r w:rsidRPr="00B0658A">
              <w:rPr>
                <w:rFonts w:ascii="Times New Roman" w:hAnsi="Times New Roman"/>
                <w:sz w:val="18"/>
                <w:szCs w:val="18"/>
              </w:rPr>
              <w:t>1.4</w:t>
            </w:r>
          </w:p>
        </w:tc>
        <w:tc>
          <w:tcPr>
            <w:tcW w:w="1138" w:type="pct"/>
            <w:shd w:val="clear" w:color="auto" w:fill="auto"/>
            <w:vAlign w:val="center"/>
            <w:hideMark/>
          </w:tcPr>
          <w:p w14:paraId="0D584FF4" w14:textId="77777777" w:rsidR="00766F9E" w:rsidRPr="00B0658A" w:rsidRDefault="00766F9E" w:rsidP="00887027">
            <w:pPr>
              <w:spacing w:after="0" w:line="240" w:lineRule="auto"/>
              <w:rPr>
                <w:rFonts w:ascii="Times New Roman" w:hAnsi="Times New Roman"/>
                <w:sz w:val="18"/>
                <w:szCs w:val="18"/>
              </w:rPr>
            </w:pPr>
            <w:r w:rsidRPr="00B0658A">
              <w:rPr>
                <w:rFonts w:ascii="Times New Roman" w:hAnsi="Times New Roman"/>
                <w:sz w:val="18"/>
                <w:szCs w:val="18"/>
              </w:rPr>
              <w:t>Встроенное программное обеспечение/ Программное обеспечение интернета вещей, робототехники и сенсорики</w:t>
            </w:r>
          </w:p>
        </w:tc>
        <w:tc>
          <w:tcPr>
            <w:tcW w:w="1026" w:type="pct"/>
            <w:shd w:val="clear" w:color="000000" w:fill="FFFFFF"/>
            <w:hideMark/>
          </w:tcPr>
          <w:p w14:paraId="100008CD" w14:textId="77777777" w:rsidR="00766F9E" w:rsidRPr="00B0658A" w:rsidRDefault="00766F9E" w:rsidP="00887027">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3" w:type="pct"/>
            <w:shd w:val="clear" w:color="000000" w:fill="FFFFFF"/>
            <w:vAlign w:val="center"/>
          </w:tcPr>
          <w:p w14:paraId="6C5E6D0C" w14:textId="77777777" w:rsidR="00766F9E" w:rsidRPr="00B0658A" w:rsidRDefault="00766F9E" w:rsidP="00887027">
            <w:pPr>
              <w:spacing w:after="0" w:line="240" w:lineRule="auto"/>
              <w:jc w:val="center"/>
              <w:rPr>
                <w:rFonts w:ascii="Times New Roman" w:hAnsi="Times New Roman"/>
                <w:sz w:val="18"/>
                <w:szCs w:val="18"/>
              </w:rPr>
            </w:pPr>
            <w:r w:rsidRPr="00B0658A">
              <w:rPr>
                <w:rFonts w:ascii="Times New Roman" w:hAnsi="Times New Roman"/>
                <w:sz w:val="18"/>
                <w:szCs w:val="18"/>
              </w:rPr>
              <w:t>20%</w:t>
            </w:r>
          </w:p>
        </w:tc>
        <w:tc>
          <w:tcPr>
            <w:tcW w:w="364" w:type="pct"/>
            <w:shd w:val="clear" w:color="000000" w:fill="FFFFFF"/>
            <w:vAlign w:val="center"/>
          </w:tcPr>
          <w:p w14:paraId="7D8A579F" w14:textId="77777777" w:rsidR="00766F9E" w:rsidRPr="00B0658A" w:rsidRDefault="00766F9E" w:rsidP="00887027">
            <w:pPr>
              <w:spacing w:after="0" w:line="240" w:lineRule="auto"/>
              <w:jc w:val="center"/>
              <w:rPr>
                <w:rFonts w:ascii="Times New Roman" w:hAnsi="Times New Roman"/>
                <w:sz w:val="18"/>
                <w:szCs w:val="18"/>
              </w:rPr>
            </w:pPr>
            <w:r w:rsidRPr="00B0658A">
              <w:rPr>
                <w:rFonts w:ascii="Times New Roman" w:hAnsi="Times New Roman"/>
                <w:sz w:val="18"/>
                <w:szCs w:val="18"/>
              </w:rPr>
              <w:t>30%</w:t>
            </w:r>
          </w:p>
        </w:tc>
        <w:tc>
          <w:tcPr>
            <w:tcW w:w="364" w:type="pct"/>
            <w:shd w:val="clear" w:color="000000" w:fill="FFFFFF"/>
            <w:vAlign w:val="center"/>
          </w:tcPr>
          <w:p w14:paraId="3F506F1D" w14:textId="77777777" w:rsidR="00766F9E" w:rsidRPr="00B0658A" w:rsidRDefault="00766F9E" w:rsidP="00887027">
            <w:pPr>
              <w:spacing w:after="0" w:line="240" w:lineRule="auto"/>
              <w:jc w:val="center"/>
              <w:rPr>
                <w:rFonts w:ascii="Times New Roman" w:hAnsi="Times New Roman"/>
                <w:sz w:val="18"/>
                <w:szCs w:val="18"/>
              </w:rPr>
            </w:pPr>
            <w:r w:rsidRPr="00B0658A">
              <w:rPr>
                <w:rFonts w:ascii="Times New Roman" w:hAnsi="Times New Roman"/>
                <w:sz w:val="18"/>
                <w:szCs w:val="18"/>
              </w:rPr>
              <w:t>45%</w:t>
            </w:r>
          </w:p>
        </w:tc>
        <w:tc>
          <w:tcPr>
            <w:tcW w:w="376" w:type="pct"/>
            <w:shd w:val="clear" w:color="000000" w:fill="FFFFFF"/>
            <w:vAlign w:val="center"/>
          </w:tcPr>
          <w:p w14:paraId="0BC38B39" w14:textId="77777777" w:rsidR="00766F9E" w:rsidRPr="00B0658A" w:rsidRDefault="00766F9E" w:rsidP="00887027">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4" w:type="pct"/>
            <w:shd w:val="clear" w:color="000000" w:fill="FFFFFF"/>
            <w:vAlign w:val="center"/>
          </w:tcPr>
          <w:p w14:paraId="67C0BB75" w14:textId="77777777" w:rsidR="00766F9E" w:rsidRPr="00B0658A" w:rsidRDefault="00766F9E" w:rsidP="00887027">
            <w:pPr>
              <w:spacing w:after="0" w:line="240" w:lineRule="auto"/>
              <w:jc w:val="center"/>
              <w:rPr>
                <w:rFonts w:ascii="Times New Roman" w:hAnsi="Times New Roman"/>
                <w:sz w:val="18"/>
                <w:szCs w:val="18"/>
              </w:rPr>
            </w:pPr>
            <w:r w:rsidRPr="00B0658A">
              <w:rPr>
                <w:rFonts w:ascii="Times New Roman" w:hAnsi="Times New Roman"/>
                <w:sz w:val="18"/>
                <w:szCs w:val="18"/>
              </w:rPr>
              <w:t>70%</w:t>
            </w:r>
          </w:p>
        </w:tc>
        <w:tc>
          <w:tcPr>
            <w:tcW w:w="364" w:type="pct"/>
            <w:shd w:val="clear" w:color="000000" w:fill="FFFFFF"/>
            <w:vAlign w:val="center"/>
          </w:tcPr>
          <w:p w14:paraId="67E468B8" w14:textId="77777777" w:rsidR="00766F9E" w:rsidRPr="00B0658A" w:rsidRDefault="00766F9E" w:rsidP="00887027">
            <w:pPr>
              <w:spacing w:after="0" w:line="240" w:lineRule="auto"/>
              <w:jc w:val="center"/>
              <w:rPr>
                <w:rFonts w:ascii="Times New Roman" w:hAnsi="Times New Roman"/>
                <w:sz w:val="18"/>
                <w:szCs w:val="18"/>
              </w:rPr>
            </w:pPr>
            <w:r w:rsidRPr="00B0658A">
              <w:rPr>
                <w:rFonts w:ascii="Times New Roman" w:hAnsi="Times New Roman"/>
                <w:sz w:val="18"/>
                <w:szCs w:val="18"/>
              </w:rPr>
              <w:t>90%</w:t>
            </w:r>
          </w:p>
        </w:tc>
        <w:tc>
          <w:tcPr>
            <w:tcW w:w="358" w:type="pct"/>
            <w:shd w:val="clear" w:color="000000" w:fill="FFFFFF"/>
            <w:vAlign w:val="center"/>
          </w:tcPr>
          <w:p w14:paraId="4092464B" w14:textId="77777777" w:rsidR="00766F9E" w:rsidRPr="00B0658A" w:rsidRDefault="00766F9E" w:rsidP="00887027">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D73F09" w:rsidRPr="00B0658A" w14:paraId="49F7DEC8" w14:textId="77777777" w:rsidTr="00FE71B1">
        <w:trPr>
          <w:trHeight w:val="20"/>
        </w:trPr>
        <w:tc>
          <w:tcPr>
            <w:tcW w:w="283" w:type="pct"/>
            <w:shd w:val="clear" w:color="auto" w:fill="auto"/>
            <w:vAlign w:val="center"/>
          </w:tcPr>
          <w:p w14:paraId="6DB95194" w14:textId="77777777" w:rsidR="00766F9E" w:rsidRPr="00B0658A" w:rsidRDefault="00766F9E" w:rsidP="00FE71B1">
            <w:pPr>
              <w:spacing w:after="0" w:line="240" w:lineRule="auto"/>
              <w:jc w:val="center"/>
              <w:rPr>
                <w:rFonts w:ascii="Times New Roman" w:hAnsi="Times New Roman"/>
                <w:sz w:val="18"/>
                <w:szCs w:val="18"/>
              </w:rPr>
            </w:pPr>
            <w:r w:rsidRPr="00B0658A">
              <w:rPr>
                <w:rFonts w:ascii="Times New Roman" w:hAnsi="Times New Roman"/>
                <w:sz w:val="18"/>
                <w:szCs w:val="18"/>
              </w:rPr>
              <w:t>2.1</w:t>
            </w:r>
          </w:p>
        </w:tc>
        <w:tc>
          <w:tcPr>
            <w:tcW w:w="1138" w:type="pct"/>
            <w:shd w:val="clear" w:color="auto" w:fill="auto"/>
            <w:vAlign w:val="center"/>
            <w:hideMark/>
          </w:tcPr>
          <w:p w14:paraId="797B9AAA" w14:textId="77777777" w:rsidR="00766F9E" w:rsidRPr="00B0658A" w:rsidRDefault="00766F9E" w:rsidP="00887027">
            <w:pPr>
              <w:spacing w:after="0" w:line="240" w:lineRule="auto"/>
              <w:rPr>
                <w:rFonts w:ascii="Times New Roman" w:hAnsi="Times New Roman"/>
                <w:sz w:val="18"/>
                <w:szCs w:val="18"/>
              </w:rPr>
            </w:pPr>
            <w:r w:rsidRPr="00B0658A">
              <w:rPr>
                <w:rFonts w:ascii="Times New Roman" w:hAnsi="Times New Roman"/>
                <w:sz w:val="18"/>
                <w:szCs w:val="18"/>
              </w:rPr>
              <w:t>Системное программное обеспечение/ Драйверы</w:t>
            </w:r>
          </w:p>
        </w:tc>
        <w:tc>
          <w:tcPr>
            <w:tcW w:w="1026" w:type="pct"/>
            <w:shd w:val="clear" w:color="000000" w:fill="FFFFFF"/>
            <w:hideMark/>
          </w:tcPr>
          <w:p w14:paraId="15E96E5C" w14:textId="77777777" w:rsidR="00766F9E" w:rsidRPr="00B0658A" w:rsidRDefault="00766F9E" w:rsidP="00887027">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3" w:type="pct"/>
            <w:shd w:val="clear" w:color="000000" w:fill="FFFFFF"/>
            <w:vAlign w:val="center"/>
          </w:tcPr>
          <w:p w14:paraId="373B89FA" w14:textId="77777777" w:rsidR="00766F9E" w:rsidRPr="00B0658A" w:rsidRDefault="00766F9E" w:rsidP="00887027">
            <w:pPr>
              <w:spacing w:after="0" w:line="240" w:lineRule="auto"/>
              <w:jc w:val="center"/>
              <w:rPr>
                <w:rFonts w:ascii="Times New Roman" w:hAnsi="Times New Roman"/>
                <w:sz w:val="18"/>
                <w:szCs w:val="18"/>
              </w:rPr>
            </w:pPr>
            <w:r w:rsidRPr="00B0658A">
              <w:rPr>
                <w:rFonts w:ascii="Times New Roman" w:hAnsi="Times New Roman"/>
                <w:sz w:val="18"/>
                <w:szCs w:val="18"/>
              </w:rPr>
              <w:t>20%</w:t>
            </w:r>
          </w:p>
        </w:tc>
        <w:tc>
          <w:tcPr>
            <w:tcW w:w="364" w:type="pct"/>
            <w:shd w:val="clear" w:color="000000" w:fill="FFFFFF"/>
            <w:vAlign w:val="center"/>
          </w:tcPr>
          <w:p w14:paraId="02290B66" w14:textId="77777777" w:rsidR="00766F9E" w:rsidRPr="00B0658A" w:rsidRDefault="00766F9E" w:rsidP="00887027">
            <w:pPr>
              <w:spacing w:after="0" w:line="240" w:lineRule="auto"/>
              <w:jc w:val="center"/>
              <w:rPr>
                <w:rFonts w:ascii="Times New Roman" w:hAnsi="Times New Roman"/>
                <w:sz w:val="18"/>
                <w:szCs w:val="18"/>
              </w:rPr>
            </w:pPr>
            <w:r w:rsidRPr="00B0658A">
              <w:rPr>
                <w:rFonts w:ascii="Times New Roman" w:hAnsi="Times New Roman"/>
                <w:sz w:val="18"/>
                <w:szCs w:val="18"/>
              </w:rPr>
              <w:t>30%</w:t>
            </w:r>
          </w:p>
        </w:tc>
        <w:tc>
          <w:tcPr>
            <w:tcW w:w="364" w:type="pct"/>
            <w:shd w:val="clear" w:color="000000" w:fill="FFFFFF"/>
            <w:vAlign w:val="center"/>
          </w:tcPr>
          <w:p w14:paraId="7BA6F7C8" w14:textId="77777777" w:rsidR="00766F9E" w:rsidRPr="00B0658A" w:rsidRDefault="00766F9E" w:rsidP="00887027">
            <w:pPr>
              <w:spacing w:after="0" w:line="240" w:lineRule="auto"/>
              <w:jc w:val="center"/>
              <w:rPr>
                <w:rFonts w:ascii="Times New Roman" w:hAnsi="Times New Roman"/>
                <w:sz w:val="18"/>
                <w:szCs w:val="18"/>
              </w:rPr>
            </w:pPr>
            <w:r w:rsidRPr="00B0658A">
              <w:rPr>
                <w:rFonts w:ascii="Times New Roman" w:hAnsi="Times New Roman"/>
                <w:sz w:val="18"/>
                <w:szCs w:val="18"/>
              </w:rPr>
              <w:t>45%</w:t>
            </w:r>
          </w:p>
        </w:tc>
        <w:tc>
          <w:tcPr>
            <w:tcW w:w="376" w:type="pct"/>
            <w:shd w:val="clear" w:color="000000" w:fill="FFFFFF"/>
            <w:vAlign w:val="center"/>
          </w:tcPr>
          <w:p w14:paraId="4F7CA88C" w14:textId="77777777" w:rsidR="00766F9E" w:rsidRPr="00B0658A" w:rsidRDefault="00766F9E" w:rsidP="00887027">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4" w:type="pct"/>
            <w:shd w:val="clear" w:color="000000" w:fill="FFFFFF"/>
            <w:vAlign w:val="center"/>
          </w:tcPr>
          <w:p w14:paraId="7C5ADB32" w14:textId="77777777" w:rsidR="00766F9E" w:rsidRPr="00B0658A" w:rsidRDefault="00766F9E" w:rsidP="00887027">
            <w:pPr>
              <w:spacing w:after="0" w:line="240" w:lineRule="auto"/>
              <w:jc w:val="center"/>
              <w:rPr>
                <w:rFonts w:ascii="Times New Roman" w:hAnsi="Times New Roman"/>
                <w:sz w:val="18"/>
                <w:szCs w:val="18"/>
              </w:rPr>
            </w:pPr>
            <w:r w:rsidRPr="00B0658A">
              <w:rPr>
                <w:rFonts w:ascii="Times New Roman" w:hAnsi="Times New Roman"/>
                <w:sz w:val="18"/>
                <w:szCs w:val="18"/>
              </w:rPr>
              <w:t>70%</w:t>
            </w:r>
          </w:p>
        </w:tc>
        <w:tc>
          <w:tcPr>
            <w:tcW w:w="364" w:type="pct"/>
            <w:shd w:val="clear" w:color="000000" w:fill="FFFFFF"/>
            <w:vAlign w:val="center"/>
          </w:tcPr>
          <w:p w14:paraId="44981349" w14:textId="77777777" w:rsidR="00766F9E" w:rsidRPr="00B0658A" w:rsidRDefault="00766F9E" w:rsidP="00887027">
            <w:pPr>
              <w:spacing w:after="0" w:line="240" w:lineRule="auto"/>
              <w:jc w:val="center"/>
              <w:rPr>
                <w:rFonts w:ascii="Times New Roman" w:hAnsi="Times New Roman"/>
                <w:sz w:val="18"/>
                <w:szCs w:val="18"/>
              </w:rPr>
            </w:pPr>
            <w:r w:rsidRPr="00B0658A">
              <w:rPr>
                <w:rFonts w:ascii="Times New Roman" w:hAnsi="Times New Roman"/>
                <w:sz w:val="18"/>
                <w:szCs w:val="18"/>
              </w:rPr>
              <w:t>90%</w:t>
            </w:r>
          </w:p>
        </w:tc>
        <w:tc>
          <w:tcPr>
            <w:tcW w:w="358" w:type="pct"/>
            <w:shd w:val="clear" w:color="000000" w:fill="FFFFFF"/>
            <w:vAlign w:val="center"/>
          </w:tcPr>
          <w:p w14:paraId="1928B6C2" w14:textId="77777777" w:rsidR="00766F9E" w:rsidRPr="00B0658A" w:rsidRDefault="00766F9E" w:rsidP="00887027">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D73F09" w:rsidRPr="00B0658A" w14:paraId="4B36C6ED" w14:textId="77777777" w:rsidTr="00FE71B1">
        <w:trPr>
          <w:trHeight w:val="20"/>
        </w:trPr>
        <w:tc>
          <w:tcPr>
            <w:tcW w:w="283" w:type="pct"/>
            <w:shd w:val="clear" w:color="auto" w:fill="auto"/>
            <w:vAlign w:val="center"/>
          </w:tcPr>
          <w:p w14:paraId="452A823C" w14:textId="77777777" w:rsidR="00766F9E" w:rsidRPr="00B0658A" w:rsidRDefault="00766F9E" w:rsidP="00FE71B1">
            <w:pPr>
              <w:spacing w:after="0" w:line="240" w:lineRule="auto"/>
              <w:jc w:val="center"/>
              <w:rPr>
                <w:rFonts w:ascii="Times New Roman" w:hAnsi="Times New Roman"/>
                <w:sz w:val="18"/>
                <w:szCs w:val="18"/>
              </w:rPr>
            </w:pPr>
            <w:r w:rsidRPr="00B0658A">
              <w:rPr>
                <w:rFonts w:ascii="Times New Roman" w:hAnsi="Times New Roman"/>
                <w:sz w:val="18"/>
                <w:szCs w:val="18"/>
              </w:rPr>
              <w:t>2.2</w:t>
            </w:r>
          </w:p>
        </w:tc>
        <w:tc>
          <w:tcPr>
            <w:tcW w:w="1138" w:type="pct"/>
            <w:shd w:val="clear" w:color="auto" w:fill="auto"/>
            <w:vAlign w:val="center"/>
            <w:hideMark/>
          </w:tcPr>
          <w:p w14:paraId="0AD32100" w14:textId="77777777" w:rsidR="00766F9E" w:rsidRPr="00B0658A" w:rsidRDefault="00766F9E" w:rsidP="00887027">
            <w:pPr>
              <w:spacing w:after="0" w:line="240" w:lineRule="auto"/>
              <w:rPr>
                <w:rFonts w:ascii="Times New Roman" w:hAnsi="Times New Roman"/>
                <w:sz w:val="18"/>
                <w:szCs w:val="18"/>
              </w:rPr>
            </w:pPr>
            <w:r w:rsidRPr="00B0658A">
              <w:rPr>
                <w:rFonts w:ascii="Times New Roman" w:hAnsi="Times New Roman"/>
                <w:sz w:val="18"/>
                <w:szCs w:val="18"/>
              </w:rPr>
              <w:t>Системное программное обеспечение/ Программы обслуживания</w:t>
            </w:r>
          </w:p>
        </w:tc>
        <w:tc>
          <w:tcPr>
            <w:tcW w:w="1026" w:type="pct"/>
            <w:shd w:val="clear" w:color="000000" w:fill="FFFFFF"/>
            <w:hideMark/>
          </w:tcPr>
          <w:p w14:paraId="60A5B160" w14:textId="77777777" w:rsidR="00766F9E" w:rsidRPr="00B0658A" w:rsidRDefault="00766F9E" w:rsidP="00887027">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3" w:type="pct"/>
            <w:shd w:val="clear" w:color="000000" w:fill="FFFFFF"/>
            <w:vAlign w:val="center"/>
          </w:tcPr>
          <w:p w14:paraId="4F928871" w14:textId="77777777" w:rsidR="00766F9E" w:rsidRPr="00B0658A" w:rsidRDefault="00766F9E" w:rsidP="00887027">
            <w:pPr>
              <w:spacing w:after="0" w:line="240" w:lineRule="auto"/>
              <w:jc w:val="center"/>
              <w:rPr>
                <w:rFonts w:ascii="Times New Roman" w:hAnsi="Times New Roman"/>
                <w:sz w:val="18"/>
                <w:szCs w:val="18"/>
              </w:rPr>
            </w:pPr>
            <w:r w:rsidRPr="00B0658A">
              <w:rPr>
                <w:rFonts w:ascii="Times New Roman" w:hAnsi="Times New Roman"/>
                <w:sz w:val="18"/>
                <w:szCs w:val="18"/>
              </w:rPr>
              <w:t>20%</w:t>
            </w:r>
          </w:p>
        </w:tc>
        <w:tc>
          <w:tcPr>
            <w:tcW w:w="364" w:type="pct"/>
            <w:shd w:val="clear" w:color="000000" w:fill="FFFFFF"/>
            <w:vAlign w:val="center"/>
          </w:tcPr>
          <w:p w14:paraId="4389255A" w14:textId="77777777" w:rsidR="00766F9E" w:rsidRPr="00B0658A" w:rsidRDefault="00766F9E" w:rsidP="00887027">
            <w:pPr>
              <w:spacing w:after="0" w:line="240" w:lineRule="auto"/>
              <w:jc w:val="center"/>
              <w:rPr>
                <w:rFonts w:ascii="Times New Roman" w:hAnsi="Times New Roman"/>
                <w:sz w:val="18"/>
                <w:szCs w:val="18"/>
              </w:rPr>
            </w:pPr>
            <w:r w:rsidRPr="00B0658A">
              <w:rPr>
                <w:rFonts w:ascii="Times New Roman" w:hAnsi="Times New Roman"/>
                <w:sz w:val="18"/>
                <w:szCs w:val="18"/>
              </w:rPr>
              <w:t>30%</w:t>
            </w:r>
          </w:p>
        </w:tc>
        <w:tc>
          <w:tcPr>
            <w:tcW w:w="364" w:type="pct"/>
            <w:shd w:val="clear" w:color="000000" w:fill="FFFFFF"/>
            <w:vAlign w:val="center"/>
          </w:tcPr>
          <w:p w14:paraId="7F6AC06A" w14:textId="77777777" w:rsidR="00766F9E" w:rsidRPr="00B0658A" w:rsidRDefault="00766F9E" w:rsidP="00887027">
            <w:pPr>
              <w:spacing w:after="0" w:line="240" w:lineRule="auto"/>
              <w:jc w:val="center"/>
              <w:rPr>
                <w:rFonts w:ascii="Times New Roman" w:hAnsi="Times New Roman"/>
                <w:sz w:val="18"/>
                <w:szCs w:val="18"/>
              </w:rPr>
            </w:pPr>
            <w:r w:rsidRPr="00B0658A">
              <w:rPr>
                <w:rFonts w:ascii="Times New Roman" w:hAnsi="Times New Roman"/>
                <w:sz w:val="18"/>
                <w:szCs w:val="18"/>
              </w:rPr>
              <w:t>45%</w:t>
            </w:r>
          </w:p>
        </w:tc>
        <w:tc>
          <w:tcPr>
            <w:tcW w:w="376" w:type="pct"/>
            <w:shd w:val="clear" w:color="000000" w:fill="FFFFFF"/>
            <w:vAlign w:val="center"/>
          </w:tcPr>
          <w:p w14:paraId="3D6490BA" w14:textId="77777777" w:rsidR="00766F9E" w:rsidRPr="00B0658A" w:rsidRDefault="00766F9E" w:rsidP="00887027">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4" w:type="pct"/>
            <w:shd w:val="clear" w:color="000000" w:fill="FFFFFF"/>
            <w:vAlign w:val="center"/>
          </w:tcPr>
          <w:p w14:paraId="561110E7" w14:textId="77777777" w:rsidR="00766F9E" w:rsidRPr="00B0658A" w:rsidRDefault="00766F9E" w:rsidP="00887027">
            <w:pPr>
              <w:spacing w:after="0" w:line="240" w:lineRule="auto"/>
              <w:jc w:val="center"/>
              <w:rPr>
                <w:rFonts w:ascii="Times New Roman" w:hAnsi="Times New Roman"/>
                <w:sz w:val="18"/>
                <w:szCs w:val="18"/>
              </w:rPr>
            </w:pPr>
            <w:r w:rsidRPr="00B0658A">
              <w:rPr>
                <w:rFonts w:ascii="Times New Roman" w:hAnsi="Times New Roman"/>
                <w:sz w:val="18"/>
                <w:szCs w:val="18"/>
              </w:rPr>
              <w:t>70%</w:t>
            </w:r>
          </w:p>
        </w:tc>
        <w:tc>
          <w:tcPr>
            <w:tcW w:w="364" w:type="pct"/>
            <w:shd w:val="clear" w:color="000000" w:fill="FFFFFF"/>
            <w:vAlign w:val="center"/>
          </w:tcPr>
          <w:p w14:paraId="67C245E2" w14:textId="77777777" w:rsidR="00766F9E" w:rsidRPr="00B0658A" w:rsidRDefault="00766F9E" w:rsidP="00887027">
            <w:pPr>
              <w:spacing w:after="0" w:line="240" w:lineRule="auto"/>
              <w:jc w:val="center"/>
              <w:rPr>
                <w:rFonts w:ascii="Times New Roman" w:hAnsi="Times New Roman"/>
                <w:sz w:val="18"/>
                <w:szCs w:val="18"/>
              </w:rPr>
            </w:pPr>
            <w:r w:rsidRPr="00B0658A">
              <w:rPr>
                <w:rFonts w:ascii="Times New Roman" w:hAnsi="Times New Roman"/>
                <w:sz w:val="18"/>
                <w:szCs w:val="18"/>
              </w:rPr>
              <w:t>90%</w:t>
            </w:r>
          </w:p>
        </w:tc>
        <w:tc>
          <w:tcPr>
            <w:tcW w:w="358" w:type="pct"/>
            <w:shd w:val="clear" w:color="000000" w:fill="FFFFFF"/>
            <w:vAlign w:val="center"/>
          </w:tcPr>
          <w:p w14:paraId="22FFD262" w14:textId="77777777" w:rsidR="00766F9E" w:rsidRPr="00B0658A" w:rsidRDefault="00766F9E" w:rsidP="00887027">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D73F09" w:rsidRPr="00B0658A" w14:paraId="726D0759" w14:textId="77777777" w:rsidTr="00FE71B1">
        <w:trPr>
          <w:trHeight w:val="20"/>
        </w:trPr>
        <w:tc>
          <w:tcPr>
            <w:tcW w:w="283" w:type="pct"/>
            <w:shd w:val="clear" w:color="000000" w:fill="FFFFFF"/>
            <w:vAlign w:val="center"/>
          </w:tcPr>
          <w:p w14:paraId="0F7A5D53" w14:textId="77777777" w:rsidR="00766F9E" w:rsidRPr="00B0658A" w:rsidRDefault="00766F9E" w:rsidP="00FE71B1">
            <w:pPr>
              <w:spacing w:after="0" w:line="240" w:lineRule="auto"/>
              <w:jc w:val="center"/>
              <w:rPr>
                <w:rFonts w:ascii="Times New Roman" w:hAnsi="Times New Roman"/>
                <w:sz w:val="18"/>
                <w:szCs w:val="18"/>
                <w:lang w:val="en-US"/>
              </w:rPr>
            </w:pPr>
            <w:r w:rsidRPr="00B0658A">
              <w:rPr>
                <w:rFonts w:ascii="Times New Roman" w:hAnsi="Times New Roman"/>
                <w:sz w:val="18"/>
                <w:szCs w:val="18"/>
                <w:lang w:val="en-US"/>
              </w:rPr>
              <w:t>2.3</w:t>
            </w:r>
          </w:p>
        </w:tc>
        <w:tc>
          <w:tcPr>
            <w:tcW w:w="1138" w:type="pct"/>
            <w:shd w:val="clear" w:color="auto" w:fill="auto"/>
            <w:vAlign w:val="center"/>
            <w:hideMark/>
          </w:tcPr>
          <w:p w14:paraId="645AE9DB" w14:textId="77777777" w:rsidR="00766F9E" w:rsidRPr="00B0658A" w:rsidRDefault="00766F9E" w:rsidP="00887027">
            <w:pPr>
              <w:spacing w:after="0" w:line="240" w:lineRule="auto"/>
              <w:rPr>
                <w:rFonts w:ascii="Times New Roman" w:hAnsi="Times New Roman"/>
                <w:sz w:val="18"/>
                <w:szCs w:val="18"/>
              </w:rPr>
            </w:pPr>
            <w:r w:rsidRPr="00B0658A">
              <w:rPr>
                <w:rFonts w:ascii="Times New Roman" w:hAnsi="Times New Roman"/>
                <w:sz w:val="18"/>
                <w:szCs w:val="18"/>
              </w:rPr>
              <w:t>Средства обеспечения облачных и распределенных вычислений</w:t>
            </w:r>
          </w:p>
        </w:tc>
        <w:tc>
          <w:tcPr>
            <w:tcW w:w="1026" w:type="pct"/>
            <w:shd w:val="clear" w:color="000000" w:fill="FFFFFF"/>
            <w:hideMark/>
          </w:tcPr>
          <w:p w14:paraId="0ECA52F3" w14:textId="77777777" w:rsidR="00766F9E" w:rsidRPr="00B0658A" w:rsidRDefault="00766F9E" w:rsidP="00887027">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3" w:type="pct"/>
            <w:shd w:val="clear" w:color="000000" w:fill="FFFFFF"/>
            <w:vAlign w:val="center"/>
          </w:tcPr>
          <w:p w14:paraId="02DCE655" w14:textId="77777777" w:rsidR="00766F9E" w:rsidRPr="00B0658A" w:rsidRDefault="00766F9E" w:rsidP="00887027">
            <w:pPr>
              <w:spacing w:after="0" w:line="240" w:lineRule="auto"/>
              <w:jc w:val="center"/>
              <w:rPr>
                <w:rFonts w:ascii="Times New Roman" w:hAnsi="Times New Roman"/>
                <w:sz w:val="18"/>
                <w:szCs w:val="18"/>
              </w:rPr>
            </w:pPr>
            <w:r w:rsidRPr="00B0658A">
              <w:rPr>
                <w:rFonts w:ascii="Times New Roman" w:hAnsi="Times New Roman"/>
                <w:sz w:val="18"/>
                <w:szCs w:val="18"/>
              </w:rPr>
              <w:t>20%</w:t>
            </w:r>
          </w:p>
        </w:tc>
        <w:tc>
          <w:tcPr>
            <w:tcW w:w="364" w:type="pct"/>
            <w:shd w:val="clear" w:color="000000" w:fill="FFFFFF"/>
            <w:vAlign w:val="center"/>
          </w:tcPr>
          <w:p w14:paraId="6F7D0B3D" w14:textId="77777777" w:rsidR="00766F9E" w:rsidRPr="00B0658A" w:rsidRDefault="00766F9E" w:rsidP="00887027">
            <w:pPr>
              <w:spacing w:after="0" w:line="240" w:lineRule="auto"/>
              <w:jc w:val="center"/>
              <w:rPr>
                <w:rFonts w:ascii="Times New Roman" w:hAnsi="Times New Roman"/>
                <w:sz w:val="18"/>
                <w:szCs w:val="18"/>
              </w:rPr>
            </w:pPr>
            <w:r w:rsidRPr="00B0658A">
              <w:rPr>
                <w:rFonts w:ascii="Times New Roman" w:hAnsi="Times New Roman"/>
                <w:sz w:val="18"/>
                <w:szCs w:val="18"/>
              </w:rPr>
              <w:t>30%</w:t>
            </w:r>
          </w:p>
        </w:tc>
        <w:tc>
          <w:tcPr>
            <w:tcW w:w="364" w:type="pct"/>
            <w:shd w:val="clear" w:color="000000" w:fill="FFFFFF"/>
            <w:vAlign w:val="center"/>
          </w:tcPr>
          <w:p w14:paraId="2B25247E" w14:textId="77777777" w:rsidR="00766F9E" w:rsidRPr="00B0658A" w:rsidRDefault="00766F9E" w:rsidP="00887027">
            <w:pPr>
              <w:spacing w:after="0" w:line="240" w:lineRule="auto"/>
              <w:jc w:val="center"/>
              <w:rPr>
                <w:rFonts w:ascii="Times New Roman" w:hAnsi="Times New Roman"/>
                <w:sz w:val="18"/>
                <w:szCs w:val="18"/>
              </w:rPr>
            </w:pPr>
            <w:r w:rsidRPr="00B0658A">
              <w:rPr>
                <w:rFonts w:ascii="Times New Roman" w:hAnsi="Times New Roman"/>
                <w:sz w:val="18"/>
                <w:szCs w:val="18"/>
              </w:rPr>
              <w:t>45%</w:t>
            </w:r>
          </w:p>
        </w:tc>
        <w:tc>
          <w:tcPr>
            <w:tcW w:w="376" w:type="pct"/>
            <w:shd w:val="clear" w:color="000000" w:fill="FFFFFF"/>
            <w:vAlign w:val="center"/>
          </w:tcPr>
          <w:p w14:paraId="4AF5AD98" w14:textId="77777777" w:rsidR="00766F9E" w:rsidRPr="00B0658A" w:rsidRDefault="00766F9E" w:rsidP="00887027">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4" w:type="pct"/>
            <w:shd w:val="clear" w:color="000000" w:fill="FFFFFF"/>
            <w:vAlign w:val="center"/>
          </w:tcPr>
          <w:p w14:paraId="4E11866C" w14:textId="77777777" w:rsidR="00766F9E" w:rsidRPr="00B0658A" w:rsidRDefault="00766F9E" w:rsidP="00887027">
            <w:pPr>
              <w:spacing w:after="0" w:line="240" w:lineRule="auto"/>
              <w:jc w:val="center"/>
              <w:rPr>
                <w:rFonts w:ascii="Times New Roman" w:hAnsi="Times New Roman"/>
                <w:sz w:val="18"/>
                <w:szCs w:val="18"/>
              </w:rPr>
            </w:pPr>
            <w:r w:rsidRPr="00B0658A">
              <w:rPr>
                <w:rFonts w:ascii="Times New Roman" w:hAnsi="Times New Roman"/>
                <w:sz w:val="18"/>
                <w:szCs w:val="18"/>
              </w:rPr>
              <w:t>70%</w:t>
            </w:r>
          </w:p>
        </w:tc>
        <w:tc>
          <w:tcPr>
            <w:tcW w:w="364" w:type="pct"/>
            <w:shd w:val="clear" w:color="000000" w:fill="FFFFFF"/>
            <w:vAlign w:val="center"/>
          </w:tcPr>
          <w:p w14:paraId="115EADC9" w14:textId="77777777" w:rsidR="00766F9E" w:rsidRPr="00B0658A" w:rsidRDefault="00766F9E" w:rsidP="00887027">
            <w:pPr>
              <w:spacing w:after="0" w:line="240" w:lineRule="auto"/>
              <w:jc w:val="center"/>
              <w:rPr>
                <w:rFonts w:ascii="Times New Roman" w:hAnsi="Times New Roman"/>
                <w:sz w:val="18"/>
                <w:szCs w:val="18"/>
              </w:rPr>
            </w:pPr>
            <w:r w:rsidRPr="00B0658A">
              <w:rPr>
                <w:rFonts w:ascii="Times New Roman" w:hAnsi="Times New Roman"/>
                <w:sz w:val="18"/>
                <w:szCs w:val="18"/>
              </w:rPr>
              <w:t>90%</w:t>
            </w:r>
          </w:p>
        </w:tc>
        <w:tc>
          <w:tcPr>
            <w:tcW w:w="358" w:type="pct"/>
            <w:shd w:val="clear" w:color="000000" w:fill="FFFFFF"/>
            <w:vAlign w:val="center"/>
          </w:tcPr>
          <w:p w14:paraId="783DB59C" w14:textId="77777777" w:rsidR="00766F9E" w:rsidRPr="00B0658A" w:rsidRDefault="00766F9E" w:rsidP="00887027">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D73F09" w:rsidRPr="00B0658A" w14:paraId="7F184BA2" w14:textId="77777777" w:rsidTr="00FE71B1">
        <w:trPr>
          <w:trHeight w:val="20"/>
        </w:trPr>
        <w:tc>
          <w:tcPr>
            <w:tcW w:w="283" w:type="pct"/>
            <w:shd w:val="clear" w:color="000000" w:fill="FFFFFF"/>
            <w:vAlign w:val="center"/>
          </w:tcPr>
          <w:p w14:paraId="5BBFCDE7" w14:textId="77777777" w:rsidR="00766F9E" w:rsidRPr="00B0658A" w:rsidRDefault="00766F9E" w:rsidP="00FE71B1">
            <w:pPr>
              <w:spacing w:after="0" w:line="240" w:lineRule="auto"/>
              <w:jc w:val="center"/>
              <w:rPr>
                <w:rFonts w:ascii="Times New Roman" w:hAnsi="Times New Roman"/>
                <w:sz w:val="18"/>
                <w:szCs w:val="18"/>
              </w:rPr>
            </w:pPr>
            <w:r w:rsidRPr="00B0658A">
              <w:rPr>
                <w:rFonts w:ascii="Times New Roman" w:hAnsi="Times New Roman"/>
                <w:sz w:val="18"/>
                <w:szCs w:val="18"/>
              </w:rPr>
              <w:t>2.4</w:t>
            </w:r>
          </w:p>
        </w:tc>
        <w:tc>
          <w:tcPr>
            <w:tcW w:w="1138" w:type="pct"/>
            <w:shd w:val="clear" w:color="auto" w:fill="auto"/>
            <w:vAlign w:val="center"/>
            <w:hideMark/>
          </w:tcPr>
          <w:p w14:paraId="684AF866" w14:textId="77777777" w:rsidR="00766F9E" w:rsidRPr="00B0658A" w:rsidRDefault="00766F9E" w:rsidP="00887027">
            <w:pPr>
              <w:spacing w:after="0" w:line="240" w:lineRule="auto"/>
              <w:rPr>
                <w:rFonts w:ascii="Times New Roman" w:hAnsi="Times New Roman"/>
                <w:sz w:val="18"/>
                <w:szCs w:val="18"/>
              </w:rPr>
            </w:pPr>
            <w:r w:rsidRPr="00B0658A">
              <w:rPr>
                <w:rFonts w:ascii="Times New Roman" w:hAnsi="Times New Roman"/>
                <w:sz w:val="18"/>
                <w:szCs w:val="18"/>
              </w:rPr>
              <w:t>Системное программное обеспечение / Средства виртуализации</w:t>
            </w:r>
          </w:p>
        </w:tc>
        <w:tc>
          <w:tcPr>
            <w:tcW w:w="1026" w:type="pct"/>
            <w:shd w:val="clear" w:color="000000" w:fill="FFFFFF"/>
            <w:hideMark/>
          </w:tcPr>
          <w:p w14:paraId="1F2846F6" w14:textId="77777777" w:rsidR="00766F9E" w:rsidRPr="00B0658A" w:rsidRDefault="00766F9E" w:rsidP="00887027">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3" w:type="pct"/>
            <w:shd w:val="clear" w:color="000000" w:fill="FFFFFF"/>
            <w:vAlign w:val="center"/>
          </w:tcPr>
          <w:p w14:paraId="6737000A" w14:textId="77777777" w:rsidR="00766F9E" w:rsidRPr="00B0658A" w:rsidRDefault="00766F9E" w:rsidP="00887027">
            <w:pPr>
              <w:spacing w:after="0" w:line="240" w:lineRule="auto"/>
              <w:jc w:val="center"/>
              <w:rPr>
                <w:rFonts w:ascii="Times New Roman" w:hAnsi="Times New Roman"/>
                <w:sz w:val="18"/>
                <w:szCs w:val="18"/>
              </w:rPr>
            </w:pPr>
            <w:r w:rsidRPr="00B0658A">
              <w:rPr>
                <w:rFonts w:ascii="Times New Roman" w:hAnsi="Times New Roman"/>
                <w:sz w:val="18"/>
                <w:szCs w:val="18"/>
              </w:rPr>
              <w:t>30%</w:t>
            </w:r>
          </w:p>
        </w:tc>
        <w:tc>
          <w:tcPr>
            <w:tcW w:w="364" w:type="pct"/>
            <w:shd w:val="clear" w:color="000000" w:fill="FFFFFF"/>
            <w:vAlign w:val="center"/>
          </w:tcPr>
          <w:p w14:paraId="44097412" w14:textId="77777777" w:rsidR="00766F9E" w:rsidRPr="00B0658A" w:rsidRDefault="00766F9E" w:rsidP="00887027">
            <w:pPr>
              <w:spacing w:after="0" w:line="240" w:lineRule="auto"/>
              <w:jc w:val="center"/>
              <w:rPr>
                <w:rFonts w:ascii="Times New Roman" w:hAnsi="Times New Roman"/>
                <w:sz w:val="18"/>
                <w:szCs w:val="18"/>
              </w:rPr>
            </w:pPr>
            <w:r w:rsidRPr="00B0658A">
              <w:rPr>
                <w:rFonts w:ascii="Times New Roman" w:hAnsi="Times New Roman"/>
                <w:sz w:val="18"/>
                <w:szCs w:val="18"/>
              </w:rPr>
              <w:t>40%</w:t>
            </w:r>
          </w:p>
        </w:tc>
        <w:tc>
          <w:tcPr>
            <w:tcW w:w="364" w:type="pct"/>
            <w:shd w:val="clear" w:color="000000" w:fill="FFFFFF"/>
            <w:vAlign w:val="center"/>
          </w:tcPr>
          <w:p w14:paraId="39B6BAB8" w14:textId="77777777" w:rsidR="00766F9E" w:rsidRPr="00B0658A" w:rsidRDefault="00766F9E" w:rsidP="00887027">
            <w:pPr>
              <w:spacing w:after="0" w:line="240" w:lineRule="auto"/>
              <w:jc w:val="center"/>
              <w:rPr>
                <w:rFonts w:ascii="Times New Roman" w:hAnsi="Times New Roman"/>
                <w:sz w:val="18"/>
                <w:szCs w:val="18"/>
              </w:rPr>
            </w:pPr>
            <w:r w:rsidRPr="00B0658A">
              <w:rPr>
                <w:rFonts w:ascii="Times New Roman" w:hAnsi="Times New Roman"/>
                <w:sz w:val="18"/>
                <w:szCs w:val="18"/>
              </w:rPr>
              <w:t>55%</w:t>
            </w:r>
          </w:p>
        </w:tc>
        <w:tc>
          <w:tcPr>
            <w:tcW w:w="376" w:type="pct"/>
            <w:shd w:val="clear" w:color="000000" w:fill="FFFFFF"/>
            <w:vAlign w:val="center"/>
          </w:tcPr>
          <w:p w14:paraId="3225F910" w14:textId="77777777" w:rsidR="00766F9E" w:rsidRPr="00B0658A" w:rsidRDefault="00766F9E" w:rsidP="00887027">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4" w:type="pct"/>
            <w:shd w:val="clear" w:color="000000" w:fill="FFFFFF"/>
            <w:vAlign w:val="center"/>
          </w:tcPr>
          <w:p w14:paraId="75D0BAF1" w14:textId="77777777" w:rsidR="00766F9E" w:rsidRPr="00B0658A" w:rsidRDefault="00766F9E" w:rsidP="00887027">
            <w:pPr>
              <w:spacing w:after="0" w:line="240" w:lineRule="auto"/>
              <w:jc w:val="center"/>
              <w:rPr>
                <w:rFonts w:ascii="Times New Roman" w:hAnsi="Times New Roman"/>
                <w:sz w:val="18"/>
                <w:szCs w:val="18"/>
              </w:rPr>
            </w:pPr>
            <w:r w:rsidRPr="00B0658A">
              <w:rPr>
                <w:rFonts w:ascii="Times New Roman" w:hAnsi="Times New Roman"/>
                <w:sz w:val="18"/>
                <w:szCs w:val="18"/>
              </w:rPr>
              <w:t>70%</w:t>
            </w:r>
          </w:p>
        </w:tc>
        <w:tc>
          <w:tcPr>
            <w:tcW w:w="364" w:type="pct"/>
            <w:shd w:val="clear" w:color="000000" w:fill="FFFFFF"/>
            <w:vAlign w:val="center"/>
          </w:tcPr>
          <w:p w14:paraId="63A0B179" w14:textId="77777777" w:rsidR="00766F9E" w:rsidRPr="00B0658A" w:rsidRDefault="00766F9E" w:rsidP="00887027">
            <w:pPr>
              <w:spacing w:after="0" w:line="240" w:lineRule="auto"/>
              <w:jc w:val="center"/>
              <w:rPr>
                <w:rFonts w:ascii="Times New Roman" w:hAnsi="Times New Roman"/>
                <w:sz w:val="18"/>
                <w:szCs w:val="18"/>
              </w:rPr>
            </w:pPr>
            <w:r w:rsidRPr="00B0658A">
              <w:rPr>
                <w:rFonts w:ascii="Times New Roman" w:hAnsi="Times New Roman"/>
                <w:sz w:val="18"/>
                <w:szCs w:val="18"/>
              </w:rPr>
              <w:t>85%</w:t>
            </w:r>
          </w:p>
        </w:tc>
        <w:tc>
          <w:tcPr>
            <w:tcW w:w="358" w:type="pct"/>
            <w:shd w:val="clear" w:color="000000" w:fill="FFFFFF"/>
            <w:vAlign w:val="center"/>
          </w:tcPr>
          <w:p w14:paraId="26C56DF6" w14:textId="77777777" w:rsidR="00766F9E" w:rsidRPr="00B0658A" w:rsidRDefault="00766F9E" w:rsidP="00887027">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D73F09" w:rsidRPr="00B0658A" w14:paraId="0CD93623" w14:textId="77777777" w:rsidTr="00FE71B1">
        <w:trPr>
          <w:trHeight w:val="20"/>
        </w:trPr>
        <w:tc>
          <w:tcPr>
            <w:tcW w:w="283" w:type="pct"/>
            <w:shd w:val="clear" w:color="000000" w:fill="FFFFFF"/>
            <w:vAlign w:val="center"/>
          </w:tcPr>
          <w:p w14:paraId="621A7AD0" w14:textId="77777777" w:rsidR="00766F9E" w:rsidRPr="00B0658A" w:rsidRDefault="00766F9E" w:rsidP="00FE71B1">
            <w:pPr>
              <w:spacing w:after="0" w:line="240" w:lineRule="auto"/>
              <w:jc w:val="center"/>
              <w:rPr>
                <w:rFonts w:ascii="Times New Roman" w:hAnsi="Times New Roman"/>
                <w:sz w:val="18"/>
                <w:szCs w:val="18"/>
              </w:rPr>
            </w:pPr>
            <w:r w:rsidRPr="00B0658A">
              <w:rPr>
                <w:rFonts w:ascii="Times New Roman" w:hAnsi="Times New Roman"/>
                <w:sz w:val="18"/>
                <w:szCs w:val="18"/>
              </w:rPr>
              <w:t>2.5</w:t>
            </w:r>
          </w:p>
        </w:tc>
        <w:tc>
          <w:tcPr>
            <w:tcW w:w="1138" w:type="pct"/>
            <w:shd w:val="clear" w:color="auto" w:fill="auto"/>
            <w:vAlign w:val="center"/>
            <w:hideMark/>
          </w:tcPr>
          <w:p w14:paraId="2CE66C3C" w14:textId="77777777" w:rsidR="00766F9E" w:rsidRPr="00B0658A" w:rsidRDefault="00766F9E" w:rsidP="00887027">
            <w:pPr>
              <w:spacing w:after="0" w:line="240" w:lineRule="auto"/>
              <w:rPr>
                <w:rFonts w:ascii="Times New Roman" w:hAnsi="Times New Roman"/>
                <w:sz w:val="18"/>
                <w:szCs w:val="18"/>
              </w:rPr>
            </w:pPr>
            <w:r w:rsidRPr="00B0658A">
              <w:rPr>
                <w:rFonts w:ascii="Times New Roman" w:hAnsi="Times New Roman"/>
                <w:sz w:val="18"/>
                <w:szCs w:val="18"/>
              </w:rPr>
              <w:t>Системное программное обеспечение/ Средства хранения данных</w:t>
            </w:r>
          </w:p>
        </w:tc>
        <w:tc>
          <w:tcPr>
            <w:tcW w:w="1026" w:type="pct"/>
            <w:shd w:val="clear" w:color="000000" w:fill="FFFFFF"/>
            <w:hideMark/>
          </w:tcPr>
          <w:p w14:paraId="1ED2F824" w14:textId="77777777" w:rsidR="00766F9E" w:rsidRPr="00B0658A" w:rsidRDefault="00766F9E" w:rsidP="00887027">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3" w:type="pct"/>
            <w:shd w:val="clear" w:color="000000" w:fill="FFFFFF"/>
            <w:vAlign w:val="center"/>
          </w:tcPr>
          <w:p w14:paraId="1E86355A" w14:textId="77777777" w:rsidR="00766F9E" w:rsidRPr="00B0658A" w:rsidRDefault="00766F9E" w:rsidP="00887027">
            <w:pPr>
              <w:spacing w:after="0" w:line="240" w:lineRule="auto"/>
              <w:jc w:val="center"/>
              <w:rPr>
                <w:rFonts w:ascii="Times New Roman" w:hAnsi="Times New Roman"/>
                <w:sz w:val="18"/>
                <w:szCs w:val="18"/>
              </w:rPr>
            </w:pPr>
            <w:r w:rsidRPr="00B0658A">
              <w:rPr>
                <w:rFonts w:ascii="Times New Roman" w:hAnsi="Times New Roman"/>
                <w:sz w:val="18"/>
                <w:szCs w:val="18"/>
              </w:rPr>
              <w:t>20%</w:t>
            </w:r>
          </w:p>
        </w:tc>
        <w:tc>
          <w:tcPr>
            <w:tcW w:w="364" w:type="pct"/>
            <w:shd w:val="clear" w:color="000000" w:fill="FFFFFF"/>
            <w:vAlign w:val="center"/>
          </w:tcPr>
          <w:p w14:paraId="1DB980FC" w14:textId="77777777" w:rsidR="00766F9E" w:rsidRPr="00B0658A" w:rsidRDefault="00766F9E" w:rsidP="00887027">
            <w:pPr>
              <w:spacing w:after="0" w:line="240" w:lineRule="auto"/>
              <w:jc w:val="center"/>
              <w:rPr>
                <w:rFonts w:ascii="Times New Roman" w:hAnsi="Times New Roman"/>
                <w:sz w:val="18"/>
                <w:szCs w:val="18"/>
              </w:rPr>
            </w:pPr>
            <w:r w:rsidRPr="00B0658A">
              <w:rPr>
                <w:rFonts w:ascii="Times New Roman" w:hAnsi="Times New Roman"/>
                <w:sz w:val="18"/>
                <w:szCs w:val="18"/>
              </w:rPr>
              <w:t>30%</w:t>
            </w:r>
          </w:p>
        </w:tc>
        <w:tc>
          <w:tcPr>
            <w:tcW w:w="364" w:type="pct"/>
            <w:shd w:val="clear" w:color="000000" w:fill="FFFFFF"/>
            <w:vAlign w:val="center"/>
          </w:tcPr>
          <w:p w14:paraId="7095FB5E" w14:textId="77777777" w:rsidR="00766F9E" w:rsidRPr="00B0658A" w:rsidRDefault="00766F9E" w:rsidP="00887027">
            <w:pPr>
              <w:spacing w:after="0" w:line="240" w:lineRule="auto"/>
              <w:jc w:val="center"/>
              <w:rPr>
                <w:rFonts w:ascii="Times New Roman" w:hAnsi="Times New Roman"/>
                <w:sz w:val="18"/>
                <w:szCs w:val="18"/>
              </w:rPr>
            </w:pPr>
            <w:r w:rsidRPr="00B0658A">
              <w:rPr>
                <w:rFonts w:ascii="Times New Roman" w:hAnsi="Times New Roman"/>
                <w:sz w:val="18"/>
                <w:szCs w:val="18"/>
              </w:rPr>
              <w:t>45%</w:t>
            </w:r>
          </w:p>
        </w:tc>
        <w:tc>
          <w:tcPr>
            <w:tcW w:w="376" w:type="pct"/>
            <w:shd w:val="clear" w:color="000000" w:fill="FFFFFF"/>
            <w:vAlign w:val="center"/>
          </w:tcPr>
          <w:p w14:paraId="44D92B5A" w14:textId="77777777" w:rsidR="00766F9E" w:rsidRPr="00B0658A" w:rsidRDefault="00766F9E" w:rsidP="00887027">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4" w:type="pct"/>
            <w:shd w:val="clear" w:color="000000" w:fill="FFFFFF"/>
            <w:vAlign w:val="center"/>
          </w:tcPr>
          <w:p w14:paraId="5A60EC3E" w14:textId="77777777" w:rsidR="00766F9E" w:rsidRPr="00B0658A" w:rsidRDefault="00766F9E" w:rsidP="00887027">
            <w:pPr>
              <w:spacing w:after="0" w:line="240" w:lineRule="auto"/>
              <w:jc w:val="center"/>
              <w:rPr>
                <w:rFonts w:ascii="Times New Roman" w:hAnsi="Times New Roman"/>
                <w:sz w:val="18"/>
                <w:szCs w:val="18"/>
              </w:rPr>
            </w:pPr>
            <w:r w:rsidRPr="00B0658A">
              <w:rPr>
                <w:rFonts w:ascii="Times New Roman" w:hAnsi="Times New Roman"/>
                <w:sz w:val="18"/>
                <w:szCs w:val="18"/>
              </w:rPr>
              <w:t>70%</w:t>
            </w:r>
          </w:p>
        </w:tc>
        <w:tc>
          <w:tcPr>
            <w:tcW w:w="364" w:type="pct"/>
            <w:shd w:val="clear" w:color="000000" w:fill="FFFFFF"/>
            <w:vAlign w:val="center"/>
          </w:tcPr>
          <w:p w14:paraId="5353EA7A" w14:textId="77777777" w:rsidR="00766F9E" w:rsidRPr="00B0658A" w:rsidRDefault="00766F9E" w:rsidP="00887027">
            <w:pPr>
              <w:spacing w:after="0" w:line="240" w:lineRule="auto"/>
              <w:jc w:val="center"/>
              <w:rPr>
                <w:rFonts w:ascii="Times New Roman" w:hAnsi="Times New Roman"/>
                <w:sz w:val="18"/>
                <w:szCs w:val="18"/>
              </w:rPr>
            </w:pPr>
            <w:r w:rsidRPr="00B0658A">
              <w:rPr>
                <w:rFonts w:ascii="Times New Roman" w:hAnsi="Times New Roman"/>
                <w:sz w:val="18"/>
                <w:szCs w:val="18"/>
              </w:rPr>
              <w:t>90%</w:t>
            </w:r>
          </w:p>
        </w:tc>
        <w:tc>
          <w:tcPr>
            <w:tcW w:w="358" w:type="pct"/>
            <w:shd w:val="clear" w:color="000000" w:fill="FFFFFF"/>
            <w:vAlign w:val="center"/>
          </w:tcPr>
          <w:p w14:paraId="55572FFF" w14:textId="77777777" w:rsidR="00766F9E" w:rsidRPr="00B0658A" w:rsidRDefault="00766F9E" w:rsidP="00887027">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D73F09" w:rsidRPr="00B0658A" w14:paraId="009DB9FD" w14:textId="77777777" w:rsidTr="00FE71B1">
        <w:trPr>
          <w:trHeight w:val="20"/>
        </w:trPr>
        <w:tc>
          <w:tcPr>
            <w:tcW w:w="283" w:type="pct"/>
            <w:shd w:val="clear" w:color="000000" w:fill="FFFFFF"/>
            <w:vAlign w:val="center"/>
          </w:tcPr>
          <w:p w14:paraId="03FE90CB" w14:textId="77777777" w:rsidR="00766F9E" w:rsidRPr="00B0658A" w:rsidRDefault="00766F9E" w:rsidP="00FE71B1">
            <w:pPr>
              <w:spacing w:after="0" w:line="240" w:lineRule="auto"/>
              <w:jc w:val="center"/>
              <w:rPr>
                <w:rFonts w:ascii="Times New Roman" w:hAnsi="Times New Roman"/>
                <w:sz w:val="18"/>
                <w:szCs w:val="18"/>
              </w:rPr>
            </w:pPr>
            <w:r w:rsidRPr="00B0658A">
              <w:rPr>
                <w:rFonts w:ascii="Times New Roman" w:hAnsi="Times New Roman"/>
                <w:sz w:val="18"/>
                <w:szCs w:val="18"/>
              </w:rPr>
              <w:t>2.6</w:t>
            </w:r>
          </w:p>
        </w:tc>
        <w:tc>
          <w:tcPr>
            <w:tcW w:w="1138" w:type="pct"/>
            <w:shd w:val="clear" w:color="auto" w:fill="auto"/>
            <w:vAlign w:val="center"/>
            <w:hideMark/>
          </w:tcPr>
          <w:p w14:paraId="58057870" w14:textId="77777777" w:rsidR="00766F9E" w:rsidRPr="00B0658A" w:rsidRDefault="00766F9E" w:rsidP="00887027">
            <w:pPr>
              <w:spacing w:after="0" w:line="240" w:lineRule="auto"/>
              <w:rPr>
                <w:rFonts w:ascii="Times New Roman" w:hAnsi="Times New Roman"/>
                <w:sz w:val="18"/>
                <w:szCs w:val="18"/>
              </w:rPr>
            </w:pPr>
            <w:r w:rsidRPr="00B0658A">
              <w:rPr>
                <w:rFonts w:ascii="Times New Roman" w:hAnsi="Times New Roman"/>
                <w:sz w:val="18"/>
                <w:szCs w:val="18"/>
              </w:rPr>
              <w:t>Системное программное обеспечение / Серверное и связующее программное обеспечение</w:t>
            </w:r>
          </w:p>
        </w:tc>
        <w:tc>
          <w:tcPr>
            <w:tcW w:w="1026" w:type="pct"/>
            <w:shd w:val="clear" w:color="000000" w:fill="FFFFFF"/>
            <w:hideMark/>
          </w:tcPr>
          <w:p w14:paraId="64EA3F78" w14:textId="77777777" w:rsidR="00766F9E" w:rsidRPr="00B0658A" w:rsidRDefault="00766F9E" w:rsidP="00887027">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3" w:type="pct"/>
            <w:shd w:val="clear" w:color="000000" w:fill="FFFFFF"/>
            <w:vAlign w:val="center"/>
          </w:tcPr>
          <w:p w14:paraId="0991D62F" w14:textId="77777777" w:rsidR="00766F9E" w:rsidRPr="00B0658A" w:rsidRDefault="00766F9E" w:rsidP="00887027">
            <w:pPr>
              <w:spacing w:after="0" w:line="240" w:lineRule="auto"/>
              <w:jc w:val="center"/>
              <w:rPr>
                <w:rFonts w:ascii="Times New Roman" w:hAnsi="Times New Roman"/>
                <w:sz w:val="18"/>
                <w:szCs w:val="18"/>
              </w:rPr>
            </w:pPr>
            <w:r w:rsidRPr="00B0658A">
              <w:rPr>
                <w:rFonts w:ascii="Times New Roman" w:hAnsi="Times New Roman"/>
                <w:sz w:val="18"/>
                <w:szCs w:val="18"/>
              </w:rPr>
              <w:t>20%</w:t>
            </w:r>
          </w:p>
        </w:tc>
        <w:tc>
          <w:tcPr>
            <w:tcW w:w="364" w:type="pct"/>
            <w:shd w:val="clear" w:color="000000" w:fill="FFFFFF"/>
            <w:vAlign w:val="center"/>
          </w:tcPr>
          <w:p w14:paraId="3AD278A8" w14:textId="77777777" w:rsidR="00766F9E" w:rsidRPr="00B0658A" w:rsidRDefault="00766F9E" w:rsidP="00887027">
            <w:pPr>
              <w:spacing w:after="0" w:line="240" w:lineRule="auto"/>
              <w:jc w:val="center"/>
              <w:rPr>
                <w:rFonts w:ascii="Times New Roman" w:hAnsi="Times New Roman"/>
                <w:sz w:val="18"/>
                <w:szCs w:val="18"/>
              </w:rPr>
            </w:pPr>
            <w:r w:rsidRPr="00B0658A">
              <w:rPr>
                <w:rFonts w:ascii="Times New Roman" w:hAnsi="Times New Roman"/>
                <w:sz w:val="18"/>
                <w:szCs w:val="18"/>
              </w:rPr>
              <w:t>30%</w:t>
            </w:r>
          </w:p>
        </w:tc>
        <w:tc>
          <w:tcPr>
            <w:tcW w:w="364" w:type="pct"/>
            <w:shd w:val="clear" w:color="000000" w:fill="FFFFFF"/>
            <w:vAlign w:val="center"/>
          </w:tcPr>
          <w:p w14:paraId="376B859F" w14:textId="77777777" w:rsidR="00766F9E" w:rsidRPr="00B0658A" w:rsidRDefault="00766F9E" w:rsidP="00887027">
            <w:pPr>
              <w:spacing w:after="0" w:line="240" w:lineRule="auto"/>
              <w:jc w:val="center"/>
              <w:rPr>
                <w:rFonts w:ascii="Times New Roman" w:hAnsi="Times New Roman"/>
                <w:sz w:val="18"/>
                <w:szCs w:val="18"/>
              </w:rPr>
            </w:pPr>
            <w:r w:rsidRPr="00B0658A">
              <w:rPr>
                <w:rFonts w:ascii="Times New Roman" w:hAnsi="Times New Roman"/>
                <w:sz w:val="18"/>
                <w:szCs w:val="18"/>
              </w:rPr>
              <w:t>45%</w:t>
            </w:r>
          </w:p>
        </w:tc>
        <w:tc>
          <w:tcPr>
            <w:tcW w:w="376" w:type="pct"/>
            <w:shd w:val="clear" w:color="000000" w:fill="FFFFFF"/>
            <w:vAlign w:val="center"/>
          </w:tcPr>
          <w:p w14:paraId="32F1EE44" w14:textId="77777777" w:rsidR="00766F9E" w:rsidRPr="00B0658A" w:rsidRDefault="00766F9E" w:rsidP="00887027">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4" w:type="pct"/>
            <w:shd w:val="clear" w:color="000000" w:fill="FFFFFF"/>
            <w:vAlign w:val="center"/>
          </w:tcPr>
          <w:p w14:paraId="064E87D0" w14:textId="77777777" w:rsidR="00766F9E" w:rsidRPr="00B0658A" w:rsidRDefault="00766F9E" w:rsidP="00887027">
            <w:pPr>
              <w:spacing w:after="0" w:line="240" w:lineRule="auto"/>
              <w:jc w:val="center"/>
              <w:rPr>
                <w:rFonts w:ascii="Times New Roman" w:hAnsi="Times New Roman"/>
                <w:sz w:val="18"/>
                <w:szCs w:val="18"/>
              </w:rPr>
            </w:pPr>
            <w:r w:rsidRPr="00B0658A">
              <w:rPr>
                <w:rFonts w:ascii="Times New Roman" w:hAnsi="Times New Roman"/>
                <w:sz w:val="18"/>
                <w:szCs w:val="18"/>
              </w:rPr>
              <w:t>70%</w:t>
            </w:r>
          </w:p>
        </w:tc>
        <w:tc>
          <w:tcPr>
            <w:tcW w:w="364" w:type="pct"/>
            <w:shd w:val="clear" w:color="000000" w:fill="FFFFFF"/>
            <w:vAlign w:val="center"/>
          </w:tcPr>
          <w:p w14:paraId="0DBCF9A0" w14:textId="77777777" w:rsidR="00766F9E" w:rsidRPr="00B0658A" w:rsidRDefault="00766F9E" w:rsidP="00887027">
            <w:pPr>
              <w:spacing w:after="0" w:line="240" w:lineRule="auto"/>
              <w:jc w:val="center"/>
              <w:rPr>
                <w:rFonts w:ascii="Times New Roman" w:hAnsi="Times New Roman"/>
                <w:sz w:val="18"/>
                <w:szCs w:val="18"/>
              </w:rPr>
            </w:pPr>
            <w:r w:rsidRPr="00B0658A">
              <w:rPr>
                <w:rFonts w:ascii="Times New Roman" w:hAnsi="Times New Roman"/>
                <w:sz w:val="18"/>
                <w:szCs w:val="18"/>
              </w:rPr>
              <w:t>90%</w:t>
            </w:r>
          </w:p>
        </w:tc>
        <w:tc>
          <w:tcPr>
            <w:tcW w:w="358" w:type="pct"/>
            <w:shd w:val="clear" w:color="000000" w:fill="FFFFFF"/>
            <w:vAlign w:val="center"/>
          </w:tcPr>
          <w:p w14:paraId="25C13868" w14:textId="77777777" w:rsidR="00766F9E" w:rsidRPr="00B0658A" w:rsidRDefault="00766F9E" w:rsidP="00887027">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D73F09" w:rsidRPr="00B0658A" w14:paraId="5983A878" w14:textId="77777777" w:rsidTr="00FE71B1">
        <w:trPr>
          <w:trHeight w:val="20"/>
        </w:trPr>
        <w:tc>
          <w:tcPr>
            <w:tcW w:w="283" w:type="pct"/>
            <w:shd w:val="clear" w:color="000000" w:fill="FFFFFF"/>
            <w:vAlign w:val="center"/>
          </w:tcPr>
          <w:p w14:paraId="3DF4C7F9" w14:textId="77777777" w:rsidR="00766F9E" w:rsidRPr="00B0658A" w:rsidRDefault="00766F9E" w:rsidP="00FE71B1">
            <w:pPr>
              <w:spacing w:after="0" w:line="240" w:lineRule="auto"/>
              <w:jc w:val="center"/>
              <w:rPr>
                <w:rFonts w:ascii="Times New Roman" w:hAnsi="Times New Roman"/>
                <w:sz w:val="18"/>
                <w:szCs w:val="18"/>
              </w:rPr>
            </w:pPr>
            <w:r w:rsidRPr="00B0658A">
              <w:rPr>
                <w:rFonts w:ascii="Times New Roman" w:hAnsi="Times New Roman"/>
                <w:sz w:val="18"/>
                <w:szCs w:val="18"/>
              </w:rPr>
              <w:t>2.7</w:t>
            </w:r>
          </w:p>
        </w:tc>
        <w:tc>
          <w:tcPr>
            <w:tcW w:w="1138" w:type="pct"/>
            <w:shd w:val="clear" w:color="auto" w:fill="auto"/>
            <w:vAlign w:val="center"/>
            <w:hideMark/>
          </w:tcPr>
          <w:p w14:paraId="72A8639D" w14:textId="77777777" w:rsidR="00766F9E" w:rsidRPr="00B0658A" w:rsidRDefault="00766F9E" w:rsidP="00887027">
            <w:pPr>
              <w:spacing w:after="0" w:line="240" w:lineRule="auto"/>
              <w:rPr>
                <w:rFonts w:ascii="Times New Roman" w:hAnsi="Times New Roman"/>
                <w:sz w:val="18"/>
                <w:szCs w:val="18"/>
              </w:rPr>
            </w:pPr>
            <w:r w:rsidRPr="00B0658A">
              <w:rPr>
                <w:rFonts w:ascii="Times New Roman" w:hAnsi="Times New Roman"/>
                <w:sz w:val="18"/>
                <w:szCs w:val="18"/>
              </w:rPr>
              <w:t>Системное программное обеспечение/ Средства управления базами данных</w:t>
            </w:r>
          </w:p>
        </w:tc>
        <w:tc>
          <w:tcPr>
            <w:tcW w:w="1026" w:type="pct"/>
            <w:shd w:val="clear" w:color="000000" w:fill="FFFFFF"/>
            <w:hideMark/>
          </w:tcPr>
          <w:p w14:paraId="41026044" w14:textId="77777777" w:rsidR="00766F9E" w:rsidRPr="00B0658A" w:rsidRDefault="00766F9E" w:rsidP="00887027">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3" w:type="pct"/>
            <w:shd w:val="clear" w:color="auto" w:fill="auto"/>
            <w:vAlign w:val="center"/>
          </w:tcPr>
          <w:p w14:paraId="1333EFA4" w14:textId="77777777" w:rsidR="00766F9E" w:rsidRPr="00B0658A" w:rsidRDefault="00766F9E" w:rsidP="00887027">
            <w:pPr>
              <w:spacing w:after="0" w:line="240" w:lineRule="auto"/>
              <w:jc w:val="center"/>
              <w:rPr>
                <w:rFonts w:ascii="Times New Roman" w:hAnsi="Times New Roman"/>
                <w:sz w:val="18"/>
                <w:szCs w:val="18"/>
              </w:rPr>
            </w:pPr>
            <w:r w:rsidRPr="00B0658A">
              <w:rPr>
                <w:rFonts w:ascii="Times New Roman" w:hAnsi="Times New Roman"/>
                <w:sz w:val="18"/>
                <w:szCs w:val="18"/>
              </w:rPr>
              <w:t>25%</w:t>
            </w:r>
          </w:p>
        </w:tc>
        <w:tc>
          <w:tcPr>
            <w:tcW w:w="364" w:type="pct"/>
            <w:shd w:val="clear" w:color="auto" w:fill="auto"/>
            <w:vAlign w:val="center"/>
          </w:tcPr>
          <w:p w14:paraId="4A7D1F60" w14:textId="77777777" w:rsidR="00766F9E" w:rsidRPr="00B0658A" w:rsidRDefault="00766F9E" w:rsidP="00887027">
            <w:pPr>
              <w:spacing w:after="0" w:line="240" w:lineRule="auto"/>
              <w:jc w:val="center"/>
              <w:rPr>
                <w:rFonts w:ascii="Times New Roman" w:hAnsi="Times New Roman"/>
                <w:sz w:val="18"/>
                <w:szCs w:val="18"/>
              </w:rPr>
            </w:pPr>
            <w:r w:rsidRPr="00B0658A">
              <w:rPr>
                <w:rFonts w:ascii="Times New Roman" w:hAnsi="Times New Roman"/>
                <w:sz w:val="18"/>
                <w:szCs w:val="18"/>
              </w:rPr>
              <w:t>40%</w:t>
            </w:r>
          </w:p>
        </w:tc>
        <w:tc>
          <w:tcPr>
            <w:tcW w:w="364" w:type="pct"/>
            <w:shd w:val="clear" w:color="auto" w:fill="auto"/>
            <w:vAlign w:val="center"/>
          </w:tcPr>
          <w:p w14:paraId="3D297393" w14:textId="77777777" w:rsidR="00766F9E" w:rsidRPr="00B0658A" w:rsidRDefault="00766F9E" w:rsidP="00887027">
            <w:pPr>
              <w:spacing w:after="0" w:line="240" w:lineRule="auto"/>
              <w:jc w:val="center"/>
              <w:rPr>
                <w:rFonts w:ascii="Times New Roman" w:hAnsi="Times New Roman"/>
                <w:sz w:val="18"/>
                <w:szCs w:val="18"/>
              </w:rPr>
            </w:pPr>
            <w:r w:rsidRPr="00B0658A">
              <w:rPr>
                <w:rFonts w:ascii="Times New Roman" w:hAnsi="Times New Roman"/>
                <w:sz w:val="18"/>
                <w:szCs w:val="18"/>
              </w:rPr>
              <w:t>60%</w:t>
            </w:r>
          </w:p>
        </w:tc>
        <w:tc>
          <w:tcPr>
            <w:tcW w:w="376" w:type="pct"/>
            <w:vAlign w:val="center"/>
          </w:tcPr>
          <w:p w14:paraId="7A43B61A" w14:textId="77777777" w:rsidR="00766F9E" w:rsidRPr="00B0658A" w:rsidRDefault="00766F9E" w:rsidP="00887027">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4" w:type="pct"/>
            <w:shd w:val="clear" w:color="auto" w:fill="auto"/>
            <w:vAlign w:val="center"/>
          </w:tcPr>
          <w:p w14:paraId="12ADEC46" w14:textId="77777777" w:rsidR="00766F9E" w:rsidRPr="00B0658A" w:rsidRDefault="00766F9E" w:rsidP="00887027">
            <w:pPr>
              <w:spacing w:after="0" w:line="240" w:lineRule="auto"/>
              <w:jc w:val="center"/>
              <w:rPr>
                <w:rFonts w:ascii="Times New Roman" w:hAnsi="Times New Roman"/>
                <w:sz w:val="18"/>
                <w:szCs w:val="18"/>
              </w:rPr>
            </w:pPr>
            <w:r w:rsidRPr="00B0658A">
              <w:rPr>
                <w:rFonts w:ascii="Times New Roman" w:hAnsi="Times New Roman"/>
                <w:sz w:val="18"/>
                <w:szCs w:val="18"/>
              </w:rPr>
              <w:t>75%</w:t>
            </w:r>
          </w:p>
        </w:tc>
        <w:tc>
          <w:tcPr>
            <w:tcW w:w="364" w:type="pct"/>
            <w:shd w:val="clear" w:color="auto" w:fill="auto"/>
            <w:vAlign w:val="center"/>
          </w:tcPr>
          <w:p w14:paraId="354DF167" w14:textId="77777777" w:rsidR="00766F9E" w:rsidRPr="00B0658A" w:rsidRDefault="00766F9E" w:rsidP="00887027">
            <w:pPr>
              <w:spacing w:after="0" w:line="240" w:lineRule="auto"/>
              <w:jc w:val="center"/>
              <w:rPr>
                <w:rFonts w:ascii="Times New Roman" w:hAnsi="Times New Roman"/>
                <w:sz w:val="18"/>
                <w:szCs w:val="18"/>
              </w:rPr>
            </w:pPr>
            <w:r w:rsidRPr="00B0658A">
              <w:rPr>
                <w:rFonts w:ascii="Times New Roman" w:hAnsi="Times New Roman"/>
                <w:sz w:val="18"/>
                <w:szCs w:val="18"/>
              </w:rPr>
              <w:t>85%</w:t>
            </w:r>
          </w:p>
        </w:tc>
        <w:tc>
          <w:tcPr>
            <w:tcW w:w="358" w:type="pct"/>
            <w:shd w:val="clear" w:color="auto" w:fill="auto"/>
            <w:vAlign w:val="center"/>
          </w:tcPr>
          <w:p w14:paraId="0A32CA32" w14:textId="77777777" w:rsidR="00766F9E" w:rsidRPr="00B0658A" w:rsidRDefault="00766F9E" w:rsidP="00887027">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D73F09" w:rsidRPr="00B0658A" w14:paraId="597EBB9F" w14:textId="77777777" w:rsidTr="00FE71B1">
        <w:trPr>
          <w:trHeight w:val="20"/>
        </w:trPr>
        <w:tc>
          <w:tcPr>
            <w:tcW w:w="283" w:type="pct"/>
            <w:shd w:val="clear" w:color="000000" w:fill="FFFFFF"/>
            <w:vAlign w:val="center"/>
          </w:tcPr>
          <w:p w14:paraId="2AE2E84D" w14:textId="77777777" w:rsidR="00766F9E" w:rsidRPr="00B0658A" w:rsidRDefault="00766F9E" w:rsidP="00FE71B1">
            <w:pPr>
              <w:spacing w:after="0" w:line="240" w:lineRule="auto"/>
              <w:jc w:val="center"/>
              <w:rPr>
                <w:rFonts w:ascii="Times New Roman" w:hAnsi="Times New Roman"/>
                <w:sz w:val="18"/>
                <w:szCs w:val="18"/>
              </w:rPr>
            </w:pPr>
            <w:r w:rsidRPr="00B0658A">
              <w:rPr>
                <w:rFonts w:ascii="Times New Roman" w:hAnsi="Times New Roman"/>
                <w:sz w:val="18"/>
                <w:szCs w:val="18"/>
              </w:rPr>
              <w:t>2.8</w:t>
            </w:r>
          </w:p>
        </w:tc>
        <w:tc>
          <w:tcPr>
            <w:tcW w:w="1138" w:type="pct"/>
            <w:shd w:val="clear" w:color="auto" w:fill="auto"/>
            <w:vAlign w:val="center"/>
            <w:hideMark/>
          </w:tcPr>
          <w:p w14:paraId="5DF68A3E" w14:textId="77777777" w:rsidR="00766F9E" w:rsidRPr="00B0658A" w:rsidRDefault="00766F9E" w:rsidP="00887027">
            <w:pPr>
              <w:spacing w:after="0" w:line="240" w:lineRule="auto"/>
              <w:rPr>
                <w:rFonts w:ascii="Times New Roman" w:hAnsi="Times New Roman"/>
                <w:sz w:val="18"/>
                <w:szCs w:val="18"/>
              </w:rPr>
            </w:pPr>
            <w:r w:rsidRPr="00B0658A">
              <w:rPr>
                <w:rFonts w:ascii="Times New Roman" w:hAnsi="Times New Roman"/>
                <w:sz w:val="18"/>
                <w:szCs w:val="18"/>
              </w:rPr>
              <w:t>Системное программное обеспечение/ Средства мониторинга и управления</w:t>
            </w:r>
          </w:p>
        </w:tc>
        <w:tc>
          <w:tcPr>
            <w:tcW w:w="1026" w:type="pct"/>
            <w:shd w:val="clear" w:color="000000" w:fill="FFFFFF"/>
            <w:hideMark/>
          </w:tcPr>
          <w:p w14:paraId="5622562C" w14:textId="77777777" w:rsidR="00766F9E" w:rsidRPr="00B0658A" w:rsidRDefault="00766F9E" w:rsidP="00887027">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3" w:type="pct"/>
            <w:shd w:val="clear" w:color="auto" w:fill="auto"/>
            <w:vAlign w:val="center"/>
          </w:tcPr>
          <w:p w14:paraId="7E50B42A" w14:textId="77777777" w:rsidR="00766F9E" w:rsidRPr="00B0658A" w:rsidRDefault="00766F9E" w:rsidP="00887027">
            <w:pPr>
              <w:spacing w:after="0" w:line="240" w:lineRule="auto"/>
              <w:jc w:val="center"/>
              <w:rPr>
                <w:rFonts w:ascii="Times New Roman" w:hAnsi="Times New Roman"/>
                <w:sz w:val="18"/>
                <w:szCs w:val="18"/>
              </w:rPr>
            </w:pPr>
            <w:r w:rsidRPr="00B0658A">
              <w:rPr>
                <w:rFonts w:ascii="Times New Roman" w:hAnsi="Times New Roman"/>
                <w:sz w:val="18"/>
                <w:szCs w:val="18"/>
              </w:rPr>
              <w:t>20%</w:t>
            </w:r>
          </w:p>
        </w:tc>
        <w:tc>
          <w:tcPr>
            <w:tcW w:w="364" w:type="pct"/>
            <w:shd w:val="clear" w:color="auto" w:fill="auto"/>
            <w:vAlign w:val="center"/>
          </w:tcPr>
          <w:p w14:paraId="791CBBD2" w14:textId="77777777" w:rsidR="00766F9E" w:rsidRPr="00B0658A" w:rsidRDefault="00766F9E" w:rsidP="00887027">
            <w:pPr>
              <w:spacing w:after="0" w:line="240" w:lineRule="auto"/>
              <w:jc w:val="center"/>
              <w:rPr>
                <w:rFonts w:ascii="Times New Roman" w:hAnsi="Times New Roman"/>
                <w:sz w:val="18"/>
                <w:szCs w:val="18"/>
              </w:rPr>
            </w:pPr>
            <w:r w:rsidRPr="00B0658A">
              <w:rPr>
                <w:rFonts w:ascii="Times New Roman" w:hAnsi="Times New Roman"/>
                <w:sz w:val="18"/>
                <w:szCs w:val="18"/>
              </w:rPr>
              <w:t>30%</w:t>
            </w:r>
          </w:p>
        </w:tc>
        <w:tc>
          <w:tcPr>
            <w:tcW w:w="364" w:type="pct"/>
            <w:shd w:val="clear" w:color="auto" w:fill="auto"/>
            <w:vAlign w:val="center"/>
          </w:tcPr>
          <w:p w14:paraId="5E5E5E33" w14:textId="77777777" w:rsidR="00766F9E" w:rsidRPr="00B0658A" w:rsidRDefault="00766F9E" w:rsidP="00887027">
            <w:pPr>
              <w:spacing w:after="0" w:line="240" w:lineRule="auto"/>
              <w:jc w:val="center"/>
              <w:rPr>
                <w:rFonts w:ascii="Times New Roman" w:hAnsi="Times New Roman"/>
                <w:sz w:val="18"/>
                <w:szCs w:val="18"/>
              </w:rPr>
            </w:pPr>
            <w:r w:rsidRPr="00B0658A">
              <w:rPr>
                <w:rFonts w:ascii="Times New Roman" w:hAnsi="Times New Roman"/>
                <w:sz w:val="18"/>
                <w:szCs w:val="18"/>
              </w:rPr>
              <w:t>50%</w:t>
            </w:r>
          </w:p>
        </w:tc>
        <w:tc>
          <w:tcPr>
            <w:tcW w:w="376" w:type="pct"/>
            <w:vAlign w:val="center"/>
          </w:tcPr>
          <w:p w14:paraId="6550AE8E" w14:textId="77777777" w:rsidR="00766F9E" w:rsidRPr="00B0658A" w:rsidRDefault="00766F9E" w:rsidP="00887027">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4" w:type="pct"/>
            <w:shd w:val="clear" w:color="auto" w:fill="auto"/>
            <w:vAlign w:val="center"/>
          </w:tcPr>
          <w:p w14:paraId="63456A3B" w14:textId="77777777" w:rsidR="00766F9E" w:rsidRPr="00B0658A" w:rsidRDefault="00766F9E" w:rsidP="00887027">
            <w:pPr>
              <w:spacing w:after="0" w:line="240" w:lineRule="auto"/>
              <w:jc w:val="center"/>
              <w:rPr>
                <w:rFonts w:ascii="Times New Roman" w:hAnsi="Times New Roman"/>
                <w:sz w:val="18"/>
                <w:szCs w:val="18"/>
              </w:rPr>
            </w:pPr>
            <w:r w:rsidRPr="00B0658A">
              <w:rPr>
                <w:rFonts w:ascii="Times New Roman" w:hAnsi="Times New Roman"/>
                <w:sz w:val="18"/>
                <w:szCs w:val="18"/>
              </w:rPr>
              <w:t>70%</w:t>
            </w:r>
          </w:p>
        </w:tc>
        <w:tc>
          <w:tcPr>
            <w:tcW w:w="364" w:type="pct"/>
            <w:shd w:val="clear" w:color="auto" w:fill="auto"/>
            <w:vAlign w:val="center"/>
          </w:tcPr>
          <w:p w14:paraId="790941CE" w14:textId="77777777" w:rsidR="00766F9E" w:rsidRPr="00B0658A" w:rsidRDefault="00766F9E" w:rsidP="00887027">
            <w:pPr>
              <w:spacing w:after="0" w:line="240" w:lineRule="auto"/>
              <w:jc w:val="center"/>
              <w:rPr>
                <w:rFonts w:ascii="Times New Roman" w:hAnsi="Times New Roman"/>
                <w:sz w:val="18"/>
                <w:szCs w:val="18"/>
              </w:rPr>
            </w:pPr>
            <w:r w:rsidRPr="00B0658A">
              <w:rPr>
                <w:rFonts w:ascii="Times New Roman" w:hAnsi="Times New Roman"/>
                <w:sz w:val="18"/>
                <w:szCs w:val="18"/>
              </w:rPr>
              <w:t>90%</w:t>
            </w:r>
          </w:p>
        </w:tc>
        <w:tc>
          <w:tcPr>
            <w:tcW w:w="358" w:type="pct"/>
            <w:shd w:val="clear" w:color="auto" w:fill="auto"/>
            <w:vAlign w:val="center"/>
          </w:tcPr>
          <w:p w14:paraId="732E7D02" w14:textId="77777777" w:rsidR="00766F9E" w:rsidRPr="00B0658A" w:rsidRDefault="00766F9E" w:rsidP="00887027">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947DD4" w:rsidRPr="00B0658A" w14:paraId="281D3177" w14:textId="77777777" w:rsidTr="00FE71B1">
        <w:trPr>
          <w:trHeight w:val="20"/>
        </w:trPr>
        <w:tc>
          <w:tcPr>
            <w:tcW w:w="283" w:type="pct"/>
            <w:shd w:val="clear" w:color="auto" w:fill="auto"/>
            <w:vAlign w:val="center"/>
          </w:tcPr>
          <w:p w14:paraId="6DF0B360" w14:textId="77777777" w:rsidR="00947DD4" w:rsidRPr="00B0658A" w:rsidRDefault="00947DD4" w:rsidP="00FE71B1">
            <w:pPr>
              <w:spacing w:after="0" w:line="240" w:lineRule="auto"/>
              <w:jc w:val="center"/>
              <w:rPr>
                <w:rFonts w:ascii="Times New Roman" w:hAnsi="Times New Roman"/>
                <w:sz w:val="18"/>
                <w:szCs w:val="18"/>
              </w:rPr>
            </w:pPr>
            <w:r w:rsidRPr="00B0658A">
              <w:rPr>
                <w:rFonts w:ascii="Times New Roman" w:hAnsi="Times New Roman"/>
                <w:sz w:val="18"/>
                <w:szCs w:val="18"/>
              </w:rPr>
              <w:t>2.9</w:t>
            </w:r>
          </w:p>
        </w:tc>
        <w:tc>
          <w:tcPr>
            <w:tcW w:w="1138" w:type="pct"/>
            <w:shd w:val="clear" w:color="auto" w:fill="auto"/>
            <w:vAlign w:val="center"/>
            <w:hideMark/>
          </w:tcPr>
          <w:p w14:paraId="461E6A4D" w14:textId="77777777" w:rsidR="00947DD4" w:rsidRPr="00B0658A" w:rsidRDefault="00947DD4" w:rsidP="00947DD4">
            <w:pPr>
              <w:spacing w:after="0" w:line="240" w:lineRule="auto"/>
              <w:rPr>
                <w:rFonts w:ascii="Times New Roman" w:hAnsi="Times New Roman"/>
                <w:sz w:val="18"/>
                <w:szCs w:val="18"/>
              </w:rPr>
            </w:pPr>
            <w:r w:rsidRPr="00B0658A">
              <w:rPr>
                <w:rFonts w:ascii="Times New Roman" w:hAnsi="Times New Roman"/>
                <w:sz w:val="18"/>
                <w:szCs w:val="18"/>
              </w:rPr>
              <w:t>Системное программное обеспечение/ Операционные системы общего назначения</w:t>
            </w:r>
          </w:p>
        </w:tc>
        <w:tc>
          <w:tcPr>
            <w:tcW w:w="1026" w:type="pct"/>
            <w:shd w:val="clear" w:color="000000" w:fill="FFFFFF"/>
            <w:hideMark/>
          </w:tcPr>
          <w:p w14:paraId="17E0F2B4" w14:textId="77777777" w:rsidR="00947DD4" w:rsidRPr="00B0658A" w:rsidRDefault="00947DD4" w:rsidP="00947DD4">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3" w:type="pct"/>
            <w:shd w:val="clear" w:color="auto" w:fill="auto"/>
            <w:vAlign w:val="center"/>
          </w:tcPr>
          <w:p w14:paraId="2BCB97FE" w14:textId="6F9C2B98" w:rsidR="00947DD4" w:rsidRPr="00B0658A" w:rsidRDefault="00947DD4" w:rsidP="00947DD4">
            <w:pPr>
              <w:spacing w:after="0" w:line="240" w:lineRule="auto"/>
              <w:jc w:val="center"/>
              <w:rPr>
                <w:rFonts w:ascii="Times New Roman" w:hAnsi="Times New Roman"/>
                <w:sz w:val="18"/>
                <w:szCs w:val="18"/>
              </w:rPr>
            </w:pPr>
            <w:r>
              <w:rPr>
                <w:rFonts w:ascii="Times New Roman" w:hAnsi="Times New Roman"/>
                <w:sz w:val="18"/>
                <w:szCs w:val="18"/>
              </w:rPr>
              <w:t>-*</w:t>
            </w:r>
          </w:p>
        </w:tc>
        <w:tc>
          <w:tcPr>
            <w:tcW w:w="364" w:type="pct"/>
            <w:shd w:val="clear" w:color="auto" w:fill="auto"/>
            <w:vAlign w:val="center"/>
          </w:tcPr>
          <w:p w14:paraId="3C92B262" w14:textId="443D7169" w:rsidR="00947DD4" w:rsidRPr="00EC74A7" w:rsidRDefault="00947DD4" w:rsidP="00947DD4">
            <w:pPr>
              <w:spacing w:after="0" w:line="240" w:lineRule="auto"/>
              <w:jc w:val="center"/>
              <w:rPr>
                <w:rFonts w:ascii="Times New Roman" w:hAnsi="Times New Roman"/>
                <w:sz w:val="18"/>
                <w:szCs w:val="18"/>
              </w:rPr>
            </w:pPr>
            <w:r>
              <w:rPr>
                <w:rFonts w:ascii="Times New Roman" w:hAnsi="Times New Roman"/>
                <w:sz w:val="18"/>
                <w:szCs w:val="18"/>
              </w:rPr>
              <w:t>-*</w:t>
            </w:r>
          </w:p>
        </w:tc>
        <w:tc>
          <w:tcPr>
            <w:tcW w:w="364" w:type="pct"/>
            <w:shd w:val="clear" w:color="auto" w:fill="auto"/>
            <w:vAlign w:val="center"/>
          </w:tcPr>
          <w:p w14:paraId="62D21B89" w14:textId="1A863EEA" w:rsidR="00947DD4" w:rsidRPr="00EC74A7" w:rsidRDefault="00947DD4" w:rsidP="00947DD4">
            <w:pPr>
              <w:spacing w:after="0" w:line="240" w:lineRule="auto"/>
              <w:jc w:val="center"/>
              <w:rPr>
                <w:rFonts w:ascii="Times New Roman" w:hAnsi="Times New Roman"/>
                <w:sz w:val="18"/>
                <w:szCs w:val="18"/>
              </w:rPr>
            </w:pPr>
            <w:r>
              <w:rPr>
                <w:rFonts w:ascii="Times New Roman" w:hAnsi="Times New Roman"/>
                <w:sz w:val="18"/>
                <w:szCs w:val="18"/>
              </w:rPr>
              <w:t>-*</w:t>
            </w:r>
          </w:p>
        </w:tc>
        <w:tc>
          <w:tcPr>
            <w:tcW w:w="376" w:type="pct"/>
            <w:vAlign w:val="center"/>
          </w:tcPr>
          <w:p w14:paraId="317750FB" w14:textId="77777777" w:rsidR="00947DD4" w:rsidRPr="00B0658A" w:rsidRDefault="00947DD4" w:rsidP="00947DD4">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4" w:type="pct"/>
            <w:shd w:val="clear" w:color="auto" w:fill="auto"/>
            <w:vAlign w:val="center"/>
          </w:tcPr>
          <w:p w14:paraId="496A6A7A" w14:textId="77777777" w:rsidR="00947DD4" w:rsidRPr="00B0658A" w:rsidRDefault="00947DD4" w:rsidP="00947DD4">
            <w:pPr>
              <w:spacing w:after="0" w:line="240" w:lineRule="auto"/>
              <w:jc w:val="center"/>
              <w:rPr>
                <w:rFonts w:ascii="Times New Roman" w:hAnsi="Times New Roman"/>
                <w:sz w:val="18"/>
                <w:szCs w:val="18"/>
              </w:rPr>
            </w:pPr>
            <w:r>
              <w:rPr>
                <w:rFonts w:ascii="Times New Roman" w:hAnsi="Times New Roman"/>
                <w:sz w:val="18"/>
                <w:szCs w:val="18"/>
              </w:rPr>
              <w:t>100</w:t>
            </w:r>
            <w:r w:rsidRPr="00B0658A">
              <w:rPr>
                <w:rFonts w:ascii="Times New Roman" w:hAnsi="Times New Roman"/>
                <w:sz w:val="18"/>
                <w:szCs w:val="18"/>
                <w:lang w:val="en-US"/>
              </w:rPr>
              <w:t>%</w:t>
            </w:r>
          </w:p>
        </w:tc>
        <w:tc>
          <w:tcPr>
            <w:tcW w:w="364" w:type="pct"/>
            <w:shd w:val="clear" w:color="auto" w:fill="auto"/>
            <w:vAlign w:val="center"/>
          </w:tcPr>
          <w:p w14:paraId="12839421" w14:textId="77777777" w:rsidR="00947DD4" w:rsidRPr="00B0658A" w:rsidRDefault="00947DD4" w:rsidP="00947DD4">
            <w:pPr>
              <w:spacing w:after="0" w:line="240" w:lineRule="auto"/>
              <w:jc w:val="center"/>
              <w:rPr>
                <w:rFonts w:ascii="Times New Roman" w:hAnsi="Times New Roman"/>
                <w:sz w:val="18"/>
                <w:szCs w:val="18"/>
              </w:rPr>
            </w:pPr>
            <w:r w:rsidRPr="00B0658A">
              <w:rPr>
                <w:rFonts w:ascii="Times New Roman" w:hAnsi="Times New Roman"/>
                <w:sz w:val="18"/>
                <w:szCs w:val="18"/>
              </w:rPr>
              <w:t>100</w:t>
            </w:r>
            <w:r w:rsidRPr="00B0658A">
              <w:rPr>
                <w:rFonts w:ascii="Times New Roman" w:hAnsi="Times New Roman"/>
                <w:sz w:val="18"/>
                <w:szCs w:val="18"/>
                <w:lang w:val="en-US"/>
              </w:rPr>
              <w:t>%</w:t>
            </w:r>
          </w:p>
        </w:tc>
        <w:tc>
          <w:tcPr>
            <w:tcW w:w="358" w:type="pct"/>
            <w:shd w:val="clear" w:color="auto" w:fill="auto"/>
            <w:vAlign w:val="center"/>
          </w:tcPr>
          <w:p w14:paraId="5CD6663E" w14:textId="77777777" w:rsidR="00947DD4" w:rsidRPr="00B0658A" w:rsidRDefault="00947DD4" w:rsidP="00947DD4">
            <w:pPr>
              <w:spacing w:after="0" w:line="240" w:lineRule="auto"/>
              <w:jc w:val="center"/>
              <w:rPr>
                <w:rFonts w:ascii="Times New Roman" w:hAnsi="Times New Roman"/>
                <w:sz w:val="18"/>
                <w:szCs w:val="18"/>
              </w:rPr>
            </w:pPr>
            <w:r w:rsidRPr="00B0658A">
              <w:rPr>
                <w:rFonts w:ascii="Times New Roman" w:hAnsi="Times New Roman"/>
                <w:sz w:val="18"/>
                <w:szCs w:val="18"/>
              </w:rPr>
              <w:t>100</w:t>
            </w:r>
            <w:r w:rsidRPr="00B0658A">
              <w:rPr>
                <w:rFonts w:ascii="Times New Roman" w:hAnsi="Times New Roman"/>
                <w:sz w:val="18"/>
                <w:szCs w:val="18"/>
                <w:lang w:val="en-US"/>
              </w:rPr>
              <w:t>%</w:t>
            </w:r>
          </w:p>
        </w:tc>
      </w:tr>
      <w:tr w:rsidR="00D73F09" w:rsidRPr="00B0658A" w14:paraId="524007A9" w14:textId="77777777" w:rsidTr="00FE71B1">
        <w:trPr>
          <w:trHeight w:val="20"/>
        </w:trPr>
        <w:tc>
          <w:tcPr>
            <w:tcW w:w="283" w:type="pct"/>
            <w:shd w:val="clear" w:color="000000" w:fill="FFFFFF"/>
            <w:vAlign w:val="center"/>
          </w:tcPr>
          <w:p w14:paraId="02FF6D03" w14:textId="77777777" w:rsidR="00766F9E" w:rsidRPr="00B0658A" w:rsidRDefault="00766F9E" w:rsidP="00FE71B1">
            <w:pPr>
              <w:spacing w:after="0" w:line="240" w:lineRule="auto"/>
              <w:jc w:val="center"/>
              <w:rPr>
                <w:rFonts w:ascii="Times New Roman" w:hAnsi="Times New Roman"/>
                <w:sz w:val="18"/>
                <w:szCs w:val="18"/>
              </w:rPr>
            </w:pPr>
            <w:r w:rsidRPr="00B0658A">
              <w:rPr>
                <w:rFonts w:ascii="Times New Roman" w:hAnsi="Times New Roman"/>
                <w:sz w:val="18"/>
                <w:szCs w:val="18"/>
              </w:rPr>
              <w:t>2.10</w:t>
            </w:r>
          </w:p>
        </w:tc>
        <w:tc>
          <w:tcPr>
            <w:tcW w:w="1138" w:type="pct"/>
            <w:shd w:val="clear" w:color="auto" w:fill="auto"/>
            <w:vAlign w:val="center"/>
            <w:hideMark/>
          </w:tcPr>
          <w:p w14:paraId="1C05CA35" w14:textId="77777777" w:rsidR="00766F9E" w:rsidRPr="00B0658A" w:rsidRDefault="00766F9E" w:rsidP="00887027">
            <w:pPr>
              <w:spacing w:after="0" w:line="240" w:lineRule="auto"/>
              <w:rPr>
                <w:rFonts w:ascii="Times New Roman" w:hAnsi="Times New Roman"/>
                <w:sz w:val="18"/>
                <w:szCs w:val="18"/>
              </w:rPr>
            </w:pPr>
            <w:r w:rsidRPr="00B0658A">
              <w:rPr>
                <w:rFonts w:ascii="Times New Roman" w:hAnsi="Times New Roman"/>
                <w:sz w:val="18"/>
                <w:szCs w:val="18"/>
              </w:rPr>
              <w:t>Системное программное обеспечение/ Операционные системы реального времени</w:t>
            </w:r>
          </w:p>
        </w:tc>
        <w:tc>
          <w:tcPr>
            <w:tcW w:w="1026" w:type="pct"/>
            <w:shd w:val="clear" w:color="000000" w:fill="FFFFFF"/>
            <w:hideMark/>
          </w:tcPr>
          <w:p w14:paraId="252B1CFD" w14:textId="77777777" w:rsidR="00766F9E" w:rsidRPr="00B0658A" w:rsidRDefault="00766F9E" w:rsidP="00887027">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3" w:type="pct"/>
            <w:shd w:val="clear" w:color="auto" w:fill="auto"/>
            <w:vAlign w:val="center"/>
          </w:tcPr>
          <w:p w14:paraId="0203D634" w14:textId="77777777" w:rsidR="00766F9E" w:rsidRPr="00B0658A" w:rsidRDefault="00766F9E" w:rsidP="00887027">
            <w:pPr>
              <w:spacing w:after="0" w:line="240" w:lineRule="auto"/>
              <w:jc w:val="center"/>
              <w:rPr>
                <w:rFonts w:ascii="Times New Roman" w:hAnsi="Times New Roman"/>
                <w:sz w:val="18"/>
                <w:szCs w:val="18"/>
              </w:rPr>
            </w:pPr>
            <w:r w:rsidRPr="00B0658A">
              <w:rPr>
                <w:rFonts w:ascii="Times New Roman" w:hAnsi="Times New Roman"/>
                <w:sz w:val="18"/>
                <w:szCs w:val="18"/>
              </w:rPr>
              <w:t>10%</w:t>
            </w:r>
          </w:p>
        </w:tc>
        <w:tc>
          <w:tcPr>
            <w:tcW w:w="364" w:type="pct"/>
            <w:shd w:val="clear" w:color="auto" w:fill="auto"/>
            <w:vAlign w:val="center"/>
          </w:tcPr>
          <w:p w14:paraId="683D3685" w14:textId="77777777" w:rsidR="00766F9E" w:rsidRPr="00B0658A" w:rsidRDefault="00766F9E" w:rsidP="00887027">
            <w:pPr>
              <w:spacing w:after="0" w:line="240" w:lineRule="auto"/>
              <w:jc w:val="center"/>
              <w:rPr>
                <w:rFonts w:ascii="Times New Roman" w:hAnsi="Times New Roman"/>
                <w:sz w:val="18"/>
                <w:szCs w:val="18"/>
              </w:rPr>
            </w:pPr>
            <w:r w:rsidRPr="00B0658A">
              <w:rPr>
                <w:rFonts w:ascii="Times New Roman" w:hAnsi="Times New Roman"/>
                <w:sz w:val="18"/>
                <w:szCs w:val="18"/>
              </w:rPr>
              <w:t>20%</w:t>
            </w:r>
          </w:p>
        </w:tc>
        <w:tc>
          <w:tcPr>
            <w:tcW w:w="364" w:type="pct"/>
            <w:shd w:val="clear" w:color="auto" w:fill="auto"/>
            <w:vAlign w:val="center"/>
          </w:tcPr>
          <w:p w14:paraId="0F617DEA" w14:textId="77777777" w:rsidR="00766F9E" w:rsidRPr="00B0658A" w:rsidRDefault="00766F9E" w:rsidP="00887027">
            <w:pPr>
              <w:spacing w:after="0" w:line="240" w:lineRule="auto"/>
              <w:jc w:val="center"/>
              <w:rPr>
                <w:rFonts w:ascii="Times New Roman" w:hAnsi="Times New Roman"/>
                <w:sz w:val="18"/>
                <w:szCs w:val="18"/>
              </w:rPr>
            </w:pPr>
            <w:r w:rsidRPr="00B0658A">
              <w:rPr>
                <w:rFonts w:ascii="Times New Roman" w:hAnsi="Times New Roman"/>
                <w:sz w:val="18"/>
                <w:szCs w:val="18"/>
              </w:rPr>
              <w:t>30%</w:t>
            </w:r>
          </w:p>
        </w:tc>
        <w:tc>
          <w:tcPr>
            <w:tcW w:w="376" w:type="pct"/>
            <w:vAlign w:val="center"/>
          </w:tcPr>
          <w:p w14:paraId="2A282C36" w14:textId="77777777" w:rsidR="00766F9E" w:rsidRPr="00B0658A" w:rsidRDefault="00766F9E" w:rsidP="00887027">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4" w:type="pct"/>
            <w:shd w:val="clear" w:color="auto" w:fill="auto"/>
            <w:vAlign w:val="center"/>
          </w:tcPr>
          <w:p w14:paraId="6234E1EA" w14:textId="77777777" w:rsidR="00766F9E" w:rsidRPr="00B0658A" w:rsidRDefault="00766F9E" w:rsidP="00887027">
            <w:pPr>
              <w:spacing w:after="0" w:line="240" w:lineRule="auto"/>
              <w:jc w:val="center"/>
              <w:rPr>
                <w:rFonts w:ascii="Times New Roman" w:hAnsi="Times New Roman"/>
                <w:sz w:val="18"/>
                <w:szCs w:val="18"/>
              </w:rPr>
            </w:pPr>
            <w:r w:rsidRPr="00B0658A">
              <w:rPr>
                <w:rFonts w:ascii="Times New Roman" w:hAnsi="Times New Roman"/>
                <w:sz w:val="18"/>
                <w:szCs w:val="18"/>
              </w:rPr>
              <w:t>50%</w:t>
            </w:r>
          </w:p>
        </w:tc>
        <w:tc>
          <w:tcPr>
            <w:tcW w:w="364" w:type="pct"/>
            <w:shd w:val="clear" w:color="auto" w:fill="auto"/>
            <w:vAlign w:val="center"/>
          </w:tcPr>
          <w:p w14:paraId="21CBC718" w14:textId="77777777" w:rsidR="00766F9E" w:rsidRPr="00B0658A" w:rsidRDefault="00766F9E" w:rsidP="00887027">
            <w:pPr>
              <w:spacing w:after="0" w:line="240" w:lineRule="auto"/>
              <w:jc w:val="center"/>
              <w:rPr>
                <w:rFonts w:ascii="Times New Roman" w:hAnsi="Times New Roman"/>
                <w:sz w:val="18"/>
                <w:szCs w:val="18"/>
              </w:rPr>
            </w:pPr>
            <w:r w:rsidRPr="00B0658A">
              <w:rPr>
                <w:rFonts w:ascii="Times New Roman" w:hAnsi="Times New Roman"/>
                <w:sz w:val="18"/>
                <w:szCs w:val="18"/>
              </w:rPr>
              <w:t>70%</w:t>
            </w:r>
          </w:p>
        </w:tc>
        <w:tc>
          <w:tcPr>
            <w:tcW w:w="358" w:type="pct"/>
            <w:shd w:val="clear" w:color="auto" w:fill="auto"/>
            <w:vAlign w:val="center"/>
          </w:tcPr>
          <w:p w14:paraId="21A1AB94" w14:textId="77777777" w:rsidR="00766F9E" w:rsidRPr="00B0658A" w:rsidRDefault="00766F9E" w:rsidP="00887027">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D73F09" w:rsidRPr="00B0658A" w14:paraId="48139C81" w14:textId="77777777" w:rsidTr="00FE71B1">
        <w:trPr>
          <w:trHeight w:val="20"/>
        </w:trPr>
        <w:tc>
          <w:tcPr>
            <w:tcW w:w="283" w:type="pct"/>
            <w:shd w:val="clear" w:color="000000" w:fill="FFFFFF"/>
            <w:vAlign w:val="center"/>
          </w:tcPr>
          <w:p w14:paraId="7D72AF63" w14:textId="77777777" w:rsidR="00766F9E" w:rsidRPr="00B0658A" w:rsidRDefault="00766F9E" w:rsidP="00FE71B1">
            <w:pPr>
              <w:spacing w:after="0" w:line="240" w:lineRule="auto"/>
              <w:jc w:val="center"/>
              <w:rPr>
                <w:rFonts w:ascii="Times New Roman" w:hAnsi="Times New Roman"/>
                <w:sz w:val="18"/>
                <w:szCs w:val="18"/>
              </w:rPr>
            </w:pPr>
            <w:r w:rsidRPr="00B0658A">
              <w:rPr>
                <w:rFonts w:ascii="Times New Roman" w:hAnsi="Times New Roman"/>
                <w:sz w:val="18"/>
                <w:szCs w:val="18"/>
              </w:rPr>
              <w:t>2.11</w:t>
            </w:r>
          </w:p>
        </w:tc>
        <w:tc>
          <w:tcPr>
            <w:tcW w:w="1138" w:type="pct"/>
            <w:shd w:val="clear" w:color="auto" w:fill="auto"/>
            <w:vAlign w:val="center"/>
            <w:hideMark/>
          </w:tcPr>
          <w:p w14:paraId="33BF76BB" w14:textId="77777777" w:rsidR="00766F9E" w:rsidRPr="00B0658A" w:rsidRDefault="00766F9E" w:rsidP="00887027">
            <w:pPr>
              <w:spacing w:after="0" w:line="240" w:lineRule="auto"/>
              <w:rPr>
                <w:rFonts w:ascii="Times New Roman" w:hAnsi="Times New Roman"/>
                <w:sz w:val="18"/>
                <w:szCs w:val="18"/>
              </w:rPr>
            </w:pPr>
            <w:r w:rsidRPr="00B0658A">
              <w:rPr>
                <w:rFonts w:ascii="Times New Roman" w:hAnsi="Times New Roman"/>
                <w:sz w:val="18"/>
                <w:szCs w:val="18"/>
              </w:rPr>
              <w:t>Системное программное обеспечение/ Мобильная операционная система</w:t>
            </w:r>
          </w:p>
        </w:tc>
        <w:tc>
          <w:tcPr>
            <w:tcW w:w="1026" w:type="pct"/>
            <w:shd w:val="clear" w:color="000000" w:fill="FFFFFF"/>
            <w:hideMark/>
          </w:tcPr>
          <w:p w14:paraId="533AB0E2" w14:textId="77777777" w:rsidR="00766F9E" w:rsidRPr="00B0658A" w:rsidRDefault="00766F9E" w:rsidP="00887027">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3" w:type="pct"/>
            <w:shd w:val="clear" w:color="auto" w:fill="auto"/>
            <w:vAlign w:val="center"/>
          </w:tcPr>
          <w:p w14:paraId="0DA0BCD9" w14:textId="77777777" w:rsidR="00766F9E" w:rsidRPr="00B0658A" w:rsidRDefault="00766F9E" w:rsidP="00887027">
            <w:pPr>
              <w:spacing w:after="0" w:line="240" w:lineRule="auto"/>
              <w:jc w:val="center"/>
              <w:rPr>
                <w:rFonts w:ascii="Times New Roman" w:hAnsi="Times New Roman"/>
                <w:sz w:val="18"/>
                <w:szCs w:val="18"/>
              </w:rPr>
            </w:pPr>
            <w:r w:rsidRPr="00B0658A">
              <w:rPr>
                <w:rFonts w:ascii="Times New Roman" w:hAnsi="Times New Roman"/>
                <w:sz w:val="18"/>
                <w:szCs w:val="18"/>
              </w:rPr>
              <w:t>10%</w:t>
            </w:r>
          </w:p>
        </w:tc>
        <w:tc>
          <w:tcPr>
            <w:tcW w:w="364" w:type="pct"/>
            <w:shd w:val="clear" w:color="auto" w:fill="auto"/>
            <w:vAlign w:val="center"/>
          </w:tcPr>
          <w:p w14:paraId="6A799623" w14:textId="77777777" w:rsidR="00766F9E" w:rsidRPr="00B0658A" w:rsidRDefault="00766F9E" w:rsidP="00887027">
            <w:pPr>
              <w:spacing w:after="0" w:line="240" w:lineRule="auto"/>
              <w:jc w:val="center"/>
              <w:rPr>
                <w:rFonts w:ascii="Times New Roman" w:hAnsi="Times New Roman"/>
                <w:sz w:val="18"/>
                <w:szCs w:val="18"/>
              </w:rPr>
            </w:pPr>
            <w:r w:rsidRPr="00B0658A">
              <w:rPr>
                <w:rFonts w:ascii="Times New Roman" w:hAnsi="Times New Roman"/>
                <w:sz w:val="18"/>
                <w:szCs w:val="18"/>
              </w:rPr>
              <w:t>25%</w:t>
            </w:r>
          </w:p>
        </w:tc>
        <w:tc>
          <w:tcPr>
            <w:tcW w:w="364" w:type="pct"/>
            <w:shd w:val="clear" w:color="auto" w:fill="auto"/>
            <w:vAlign w:val="center"/>
          </w:tcPr>
          <w:p w14:paraId="5581BD97" w14:textId="77777777" w:rsidR="00766F9E" w:rsidRPr="00B0658A" w:rsidRDefault="00766F9E" w:rsidP="00887027">
            <w:pPr>
              <w:spacing w:after="0" w:line="240" w:lineRule="auto"/>
              <w:jc w:val="center"/>
              <w:rPr>
                <w:rFonts w:ascii="Times New Roman" w:hAnsi="Times New Roman"/>
                <w:sz w:val="18"/>
                <w:szCs w:val="18"/>
              </w:rPr>
            </w:pPr>
            <w:r w:rsidRPr="00B0658A">
              <w:rPr>
                <w:rFonts w:ascii="Times New Roman" w:hAnsi="Times New Roman"/>
                <w:sz w:val="18"/>
                <w:szCs w:val="18"/>
              </w:rPr>
              <w:t>50%</w:t>
            </w:r>
          </w:p>
        </w:tc>
        <w:tc>
          <w:tcPr>
            <w:tcW w:w="376" w:type="pct"/>
            <w:vAlign w:val="center"/>
          </w:tcPr>
          <w:p w14:paraId="6D5333E0" w14:textId="77777777" w:rsidR="00766F9E" w:rsidRPr="00B0658A" w:rsidRDefault="00766F9E" w:rsidP="00887027">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4" w:type="pct"/>
            <w:shd w:val="clear" w:color="auto" w:fill="auto"/>
            <w:vAlign w:val="center"/>
          </w:tcPr>
          <w:p w14:paraId="2BFA1967" w14:textId="77777777" w:rsidR="00766F9E" w:rsidRPr="00B0658A" w:rsidRDefault="00766F9E" w:rsidP="00887027">
            <w:pPr>
              <w:spacing w:after="0" w:line="240" w:lineRule="auto"/>
              <w:jc w:val="center"/>
              <w:rPr>
                <w:rFonts w:ascii="Times New Roman" w:hAnsi="Times New Roman"/>
                <w:sz w:val="18"/>
                <w:szCs w:val="18"/>
              </w:rPr>
            </w:pPr>
            <w:r w:rsidRPr="00B0658A">
              <w:rPr>
                <w:rFonts w:ascii="Times New Roman" w:hAnsi="Times New Roman"/>
                <w:sz w:val="18"/>
                <w:szCs w:val="18"/>
              </w:rPr>
              <w:t>70%</w:t>
            </w:r>
          </w:p>
        </w:tc>
        <w:tc>
          <w:tcPr>
            <w:tcW w:w="364" w:type="pct"/>
            <w:shd w:val="clear" w:color="auto" w:fill="auto"/>
            <w:vAlign w:val="center"/>
          </w:tcPr>
          <w:p w14:paraId="34AD562A" w14:textId="77777777" w:rsidR="00766F9E" w:rsidRPr="00B0658A" w:rsidRDefault="00766F9E" w:rsidP="00887027">
            <w:pPr>
              <w:spacing w:after="0" w:line="240" w:lineRule="auto"/>
              <w:jc w:val="center"/>
              <w:rPr>
                <w:rFonts w:ascii="Times New Roman" w:hAnsi="Times New Roman"/>
                <w:sz w:val="18"/>
                <w:szCs w:val="18"/>
              </w:rPr>
            </w:pPr>
            <w:r w:rsidRPr="00B0658A">
              <w:rPr>
                <w:rFonts w:ascii="Times New Roman" w:hAnsi="Times New Roman"/>
                <w:sz w:val="18"/>
                <w:szCs w:val="18"/>
              </w:rPr>
              <w:t>90%</w:t>
            </w:r>
          </w:p>
        </w:tc>
        <w:tc>
          <w:tcPr>
            <w:tcW w:w="358" w:type="pct"/>
            <w:shd w:val="clear" w:color="auto" w:fill="auto"/>
            <w:vAlign w:val="center"/>
          </w:tcPr>
          <w:p w14:paraId="78CF699D" w14:textId="77777777" w:rsidR="00766F9E" w:rsidRPr="00B0658A" w:rsidRDefault="00766F9E" w:rsidP="00887027">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D73F09" w:rsidRPr="00B0658A" w14:paraId="2F36736B" w14:textId="77777777" w:rsidTr="00FE71B1">
        <w:trPr>
          <w:trHeight w:val="20"/>
        </w:trPr>
        <w:tc>
          <w:tcPr>
            <w:tcW w:w="283" w:type="pct"/>
            <w:shd w:val="clear" w:color="000000" w:fill="FFFFFF"/>
            <w:vAlign w:val="center"/>
          </w:tcPr>
          <w:p w14:paraId="3367CD11" w14:textId="77777777" w:rsidR="00766F9E" w:rsidRPr="00B0658A" w:rsidRDefault="00766F9E" w:rsidP="00FE71B1">
            <w:pPr>
              <w:spacing w:after="0" w:line="240" w:lineRule="auto"/>
              <w:jc w:val="center"/>
              <w:rPr>
                <w:rFonts w:ascii="Times New Roman" w:hAnsi="Times New Roman"/>
                <w:sz w:val="18"/>
                <w:szCs w:val="18"/>
              </w:rPr>
            </w:pPr>
            <w:r w:rsidRPr="00B0658A">
              <w:rPr>
                <w:rFonts w:ascii="Times New Roman" w:hAnsi="Times New Roman"/>
                <w:sz w:val="18"/>
                <w:szCs w:val="18"/>
              </w:rPr>
              <w:t>2.12</w:t>
            </w:r>
          </w:p>
        </w:tc>
        <w:tc>
          <w:tcPr>
            <w:tcW w:w="1138" w:type="pct"/>
            <w:shd w:val="clear" w:color="auto" w:fill="auto"/>
            <w:vAlign w:val="center"/>
            <w:hideMark/>
          </w:tcPr>
          <w:p w14:paraId="3032D49A" w14:textId="77777777" w:rsidR="00766F9E" w:rsidRPr="00B0658A" w:rsidRDefault="00766F9E" w:rsidP="00887027">
            <w:pPr>
              <w:spacing w:after="0" w:line="240" w:lineRule="auto"/>
              <w:rPr>
                <w:rFonts w:ascii="Times New Roman" w:hAnsi="Times New Roman"/>
                <w:sz w:val="18"/>
                <w:szCs w:val="18"/>
              </w:rPr>
            </w:pPr>
            <w:r w:rsidRPr="00B0658A">
              <w:rPr>
                <w:rFonts w:ascii="Times New Roman" w:hAnsi="Times New Roman"/>
                <w:sz w:val="18"/>
                <w:szCs w:val="18"/>
              </w:rPr>
              <w:t>Системное программное обеспечение / Системы контейнеризации и контейнеры</w:t>
            </w:r>
          </w:p>
        </w:tc>
        <w:tc>
          <w:tcPr>
            <w:tcW w:w="1026" w:type="pct"/>
            <w:shd w:val="clear" w:color="000000" w:fill="FFFFFF"/>
            <w:hideMark/>
          </w:tcPr>
          <w:p w14:paraId="2912E01A" w14:textId="77777777" w:rsidR="00766F9E" w:rsidRPr="00B0658A" w:rsidRDefault="00766F9E" w:rsidP="00887027">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3" w:type="pct"/>
            <w:shd w:val="clear" w:color="auto" w:fill="auto"/>
            <w:vAlign w:val="center"/>
          </w:tcPr>
          <w:p w14:paraId="542C1C36" w14:textId="77777777" w:rsidR="00766F9E" w:rsidRPr="00B0658A" w:rsidRDefault="00766F9E" w:rsidP="00887027">
            <w:pPr>
              <w:spacing w:after="0" w:line="240" w:lineRule="auto"/>
              <w:jc w:val="center"/>
              <w:rPr>
                <w:rFonts w:ascii="Times New Roman" w:hAnsi="Times New Roman"/>
                <w:sz w:val="18"/>
                <w:szCs w:val="18"/>
              </w:rPr>
            </w:pPr>
            <w:r w:rsidRPr="00B0658A">
              <w:rPr>
                <w:rFonts w:ascii="Times New Roman" w:hAnsi="Times New Roman"/>
                <w:sz w:val="18"/>
                <w:szCs w:val="18"/>
              </w:rPr>
              <w:t>25%</w:t>
            </w:r>
          </w:p>
        </w:tc>
        <w:tc>
          <w:tcPr>
            <w:tcW w:w="364" w:type="pct"/>
            <w:shd w:val="clear" w:color="auto" w:fill="auto"/>
            <w:vAlign w:val="center"/>
          </w:tcPr>
          <w:p w14:paraId="3B432A7F" w14:textId="77777777" w:rsidR="00766F9E" w:rsidRPr="00B0658A" w:rsidRDefault="00766F9E" w:rsidP="00887027">
            <w:pPr>
              <w:spacing w:after="0" w:line="240" w:lineRule="auto"/>
              <w:jc w:val="center"/>
              <w:rPr>
                <w:rFonts w:ascii="Times New Roman" w:hAnsi="Times New Roman"/>
                <w:sz w:val="18"/>
                <w:szCs w:val="18"/>
              </w:rPr>
            </w:pPr>
            <w:r w:rsidRPr="00B0658A">
              <w:rPr>
                <w:rFonts w:ascii="Times New Roman" w:hAnsi="Times New Roman"/>
                <w:sz w:val="18"/>
                <w:szCs w:val="18"/>
              </w:rPr>
              <w:t>35%</w:t>
            </w:r>
          </w:p>
        </w:tc>
        <w:tc>
          <w:tcPr>
            <w:tcW w:w="364" w:type="pct"/>
            <w:shd w:val="clear" w:color="auto" w:fill="auto"/>
            <w:vAlign w:val="center"/>
          </w:tcPr>
          <w:p w14:paraId="1AC20CAD" w14:textId="77777777" w:rsidR="00766F9E" w:rsidRPr="00B0658A" w:rsidRDefault="00766F9E" w:rsidP="00887027">
            <w:pPr>
              <w:spacing w:after="0" w:line="240" w:lineRule="auto"/>
              <w:jc w:val="center"/>
              <w:rPr>
                <w:rFonts w:ascii="Times New Roman" w:hAnsi="Times New Roman"/>
                <w:sz w:val="18"/>
                <w:szCs w:val="18"/>
              </w:rPr>
            </w:pPr>
            <w:r w:rsidRPr="00B0658A">
              <w:rPr>
                <w:rFonts w:ascii="Times New Roman" w:hAnsi="Times New Roman"/>
                <w:sz w:val="18"/>
                <w:szCs w:val="18"/>
              </w:rPr>
              <w:t>50%</w:t>
            </w:r>
          </w:p>
        </w:tc>
        <w:tc>
          <w:tcPr>
            <w:tcW w:w="376" w:type="pct"/>
            <w:vAlign w:val="center"/>
          </w:tcPr>
          <w:p w14:paraId="216D07B7" w14:textId="77777777" w:rsidR="00766F9E" w:rsidRPr="00B0658A" w:rsidRDefault="00766F9E" w:rsidP="00887027">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4" w:type="pct"/>
            <w:shd w:val="clear" w:color="auto" w:fill="auto"/>
            <w:vAlign w:val="center"/>
          </w:tcPr>
          <w:p w14:paraId="6ECDBA2A" w14:textId="77777777" w:rsidR="00766F9E" w:rsidRPr="00B0658A" w:rsidRDefault="00766F9E" w:rsidP="00887027">
            <w:pPr>
              <w:spacing w:after="0" w:line="240" w:lineRule="auto"/>
              <w:jc w:val="center"/>
              <w:rPr>
                <w:rFonts w:ascii="Times New Roman" w:hAnsi="Times New Roman"/>
                <w:sz w:val="18"/>
                <w:szCs w:val="18"/>
              </w:rPr>
            </w:pPr>
            <w:r w:rsidRPr="00B0658A">
              <w:rPr>
                <w:rFonts w:ascii="Times New Roman" w:hAnsi="Times New Roman"/>
                <w:sz w:val="18"/>
                <w:szCs w:val="18"/>
              </w:rPr>
              <w:t>75%</w:t>
            </w:r>
          </w:p>
        </w:tc>
        <w:tc>
          <w:tcPr>
            <w:tcW w:w="364" w:type="pct"/>
            <w:shd w:val="clear" w:color="auto" w:fill="auto"/>
            <w:vAlign w:val="center"/>
          </w:tcPr>
          <w:p w14:paraId="656BD06C" w14:textId="77777777" w:rsidR="00766F9E" w:rsidRPr="00B0658A" w:rsidRDefault="00766F9E" w:rsidP="00887027">
            <w:pPr>
              <w:spacing w:after="0" w:line="240" w:lineRule="auto"/>
              <w:jc w:val="center"/>
              <w:rPr>
                <w:rFonts w:ascii="Times New Roman" w:hAnsi="Times New Roman"/>
                <w:sz w:val="18"/>
                <w:szCs w:val="18"/>
              </w:rPr>
            </w:pPr>
            <w:r w:rsidRPr="00B0658A">
              <w:rPr>
                <w:rFonts w:ascii="Times New Roman" w:hAnsi="Times New Roman"/>
                <w:sz w:val="18"/>
                <w:szCs w:val="18"/>
              </w:rPr>
              <w:t>85%</w:t>
            </w:r>
          </w:p>
        </w:tc>
        <w:tc>
          <w:tcPr>
            <w:tcW w:w="358" w:type="pct"/>
            <w:shd w:val="clear" w:color="auto" w:fill="auto"/>
            <w:vAlign w:val="center"/>
          </w:tcPr>
          <w:p w14:paraId="7427A01D" w14:textId="77777777" w:rsidR="00766F9E" w:rsidRPr="00B0658A" w:rsidRDefault="00766F9E" w:rsidP="00887027">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D73F09" w:rsidRPr="00B0658A" w14:paraId="3E21731F" w14:textId="77777777" w:rsidTr="00FE71B1">
        <w:trPr>
          <w:trHeight w:val="20"/>
        </w:trPr>
        <w:tc>
          <w:tcPr>
            <w:tcW w:w="283" w:type="pct"/>
            <w:shd w:val="clear" w:color="000000" w:fill="FFFFFF"/>
            <w:vAlign w:val="center"/>
          </w:tcPr>
          <w:p w14:paraId="56F6A583" w14:textId="77777777" w:rsidR="00766F9E" w:rsidRPr="00B0658A" w:rsidRDefault="00766F9E" w:rsidP="00FE71B1">
            <w:pPr>
              <w:spacing w:after="0" w:line="240" w:lineRule="auto"/>
              <w:jc w:val="center"/>
              <w:rPr>
                <w:rFonts w:ascii="Times New Roman" w:hAnsi="Times New Roman"/>
                <w:sz w:val="18"/>
                <w:szCs w:val="18"/>
              </w:rPr>
            </w:pPr>
            <w:r w:rsidRPr="00B0658A">
              <w:rPr>
                <w:rFonts w:ascii="Times New Roman" w:hAnsi="Times New Roman"/>
                <w:sz w:val="18"/>
                <w:szCs w:val="18"/>
              </w:rPr>
              <w:t>3.1</w:t>
            </w:r>
          </w:p>
        </w:tc>
        <w:tc>
          <w:tcPr>
            <w:tcW w:w="1138" w:type="pct"/>
            <w:shd w:val="clear" w:color="auto" w:fill="auto"/>
            <w:vAlign w:val="center"/>
            <w:hideMark/>
          </w:tcPr>
          <w:p w14:paraId="4F388408" w14:textId="77777777" w:rsidR="00766F9E" w:rsidRPr="00B0658A" w:rsidRDefault="00766F9E" w:rsidP="00887027">
            <w:pPr>
              <w:spacing w:after="0" w:line="240" w:lineRule="auto"/>
              <w:rPr>
                <w:rFonts w:ascii="Times New Roman" w:hAnsi="Times New Roman"/>
                <w:sz w:val="18"/>
                <w:szCs w:val="18"/>
              </w:rPr>
            </w:pPr>
            <w:r w:rsidRPr="00B0658A">
              <w:rPr>
                <w:rFonts w:ascii="Times New Roman" w:hAnsi="Times New Roman"/>
                <w:sz w:val="18"/>
                <w:szCs w:val="18"/>
              </w:rPr>
              <w:t>Средства обеспечения информационной безопасности/ Средства защиты от несанкционированного доступа к информации</w:t>
            </w:r>
          </w:p>
        </w:tc>
        <w:tc>
          <w:tcPr>
            <w:tcW w:w="1026" w:type="pct"/>
            <w:shd w:val="clear" w:color="000000" w:fill="FFFFFF"/>
            <w:hideMark/>
          </w:tcPr>
          <w:p w14:paraId="462E00E5" w14:textId="77777777" w:rsidR="00766F9E" w:rsidRPr="00B0658A" w:rsidRDefault="00766F9E" w:rsidP="00887027">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3" w:type="pct"/>
            <w:shd w:val="clear" w:color="auto" w:fill="auto"/>
            <w:vAlign w:val="center"/>
          </w:tcPr>
          <w:p w14:paraId="6DE530CC" w14:textId="77777777" w:rsidR="00766F9E" w:rsidRPr="00B0658A" w:rsidRDefault="00766F9E" w:rsidP="00887027">
            <w:pPr>
              <w:spacing w:after="0" w:line="240" w:lineRule="auto"/>
              <w:jc w:val="center"/>
              <w:rPr>
                <w:rFonts w:ascii="Times New Roman" w:hAnsi="Times New Roman"/>
                <w:sz w:val="18"/>
                <w:szCs w:val="18"/>
              </w:rPr>
            </w:pPr>
            <w:r>
              <w:rPr>
                <w:rFonts w:ascii="Times New Roman" w:hAnsi="Times New Roman"/>
                <w:sz w:val="18"/>
                <w:szCs w:val="18"/>
              </w:rPr>
              <w:t>60</w:t>
            </w:r>
            <w:r w:rsidRPr="00B0658A">
              <w:rPr>
                <w:rFonts w:ascii="Times New Roman" w:hAnsi="Times New Roman"/>
                <w:sz w:val="18"/>
                <w:szCs w:val="18"/>
                <w:lang w:val="en-US"/>
              </w:rPr>
              <w:t>%</w:t>
            </w:r>
          </w:p>
        </w:tc>
        <w:tc>
          <w:tcPr>
            <w:tcW w:w="364" w:type="pct"/>
            <w:shd w:val="clear" w:color="auto" w:fill="auto"/>
            <w:vAlign w:val="center"/>
          </w:tcPr>
          <w:p w14:paraId="0C8DF9A0" w14:textId="77777777" w:rsidR="00766F9E" w:rsidRPr="00B0658A" w:rsidRDefault="00766F9E" w:rsidP="00887027">
            <w:pPr>
              <w:spacing w:after="0" w:line="240" w:lineRule="auto"/>
              <w:jc w:val="center"/>
              <w:rPr>
                <w:rFonts w:ascii="Times New Roman" w:hAnsi="Times New Roman"/>
                <w:sz w:val="18"/>
                <w:szCs w:val="18"/>
              </w:rPr>
            </w:pPr>
            <w:r>
              <w:rPr>
                <w:rFonts w:ascii="Times New Roman" w:hAnsi="Times New Roman"/>
                <w:sz w:val="18"/>
                <w:szCs w:val="18"/>
              </w:rPr>
              <w:t>8</w:t>
            </w:r>
            <w:r w:rsidRPr="00B0658A">
              <w:rPr>
                <w:rFonts w:ascii="Times New Roman" w:hAnsi="Times New Roman"/>
                <w:sz w:val="18"/>
                <w:szCs w:val="18"/>
                <w:lang w:val="en-US"/>
              </w:rPr>
              <w:t>0%</w:t>
            </w:r>
          </w:p>
        </w:tc>
        <w:tc>
          <w:tcPr>
            <w:tcW w:w="364" w:type="pct"/>
            <w:shd w:val="clear" w:color="auto" w:fill="auto"/>
            <w:vAlign w:val="center"/>
          </w:tcPr>
          <w:p w14:paraId="3DAE17D0" w14:textId="77777777" w:rsidR="00766F9E" w:rsidRPr="00B0658A" w:rsidRDefault="00766F9E" w:rsidP="00887027">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76" w:type="pct"/>
            <w:vAlign w:val="center"/>
          </w:tcPr>
          <w:p w14:paraId="5AD4523D" w14:textId="77777777" w:rsidR="00766F9E" w:rsidRPr="00B0658A" w:rsidRDefault="00766F9E" w:rsidP="00887027">
            <w:pPr>
              <w:spacing w:after="0" w:line="240" w:lineRule="auto"/>
              <w:jc w:val="center"/>
              <w:rPr>
                <w:rFonts w:ascii="Times New Roman" w:hAnsi="Times New Roman"/>
                <w:sz w:val="18"/>
                <w:szCs w:val="18"/>
                <w:lang w:val="en-US"/>
              </w:rPr>
            </w:pPr>
            <w:r w:rsidRPr="00B0658A">
              <w:rPr>
                <w:rFonts w:ascii="Times New Roman" w:hAnsi="Times New Roman"/>
                <w:sz w:val="18"/>
                <w:szCs w:val="18"/>
                <w:lang w:val="en-US"/>
              </w:rPr>
              <w:t>100%</w:t>
            </w:r>
          </w:p>
        </w:tc>
        <w:tc>
          <w:tcPr>
            <w:tcW w:w="364" w:type="pct"/>
            <w:shd w:val="clear" w:color="auto" w:fill="auto"/>
            <w:vAlign w:val="center"/>
          </w:tcPr>
          <w:p w14:paraId="1E63D989" w14:textId="77777777" w:rsidR="00766F9E" w:rsidRPr="00B0658A" w:rsidRDefault="00766F9E" w:rsidP="00887027">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4" w:type="pct"/>
            <w:shd w:val="clear" w:color="auto" w:fill="auto"/>
            <w:vAlign w:val="center"/>
          </w:tcPr>
          <w:p w14:paraId="779D1B68" w14:textId="77777777" w:rsidR="00766F9E" w:rsidRPr="00B0658A" w:rsidRDefault="00766F9E" w:rsidP="00887027">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58" w:type="pct"/>
            <w:shd w:val="clear" w:color="auto" w:fill="auto"/>
            <w:vAlign w:val="center"/>
          </w:tcPr>
          <w:p w14:paraId="61315F4A" w14:textId="77777777" w:rsidR="00766F9E" w:rsidRPr="00B0658A" w:rsidRDefault="00766F9E" w:rsidP="00887027">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D73F09" w:rsidRPr="00B0658A" w14:paraId="24612D8E" w14:textId="77777777" w:rsidTr="00FE71B1">
        <w:trPr>
          <w:trHeight w:val="20"/>
        </w:trPr>
        <w:tc>
          <w:tcPr>
            <w:tcW w:w="283" w:type="pct"/>
            <w:shd w:val="clear" w:color="000000" w:fill="FFFFFF"/>
            <w:vAlign w:val="center"/>
          </w:tcPr>
          <w:p w14:paraId="244A52EA" w14:textId="77777777" w:rsidR="00766F9E" w:rsidRPr="00B0658A" w:rsidRDefault="00766F9E" w:rsidP="00FE71B1">
            <w:pPr>
              <w:spacing w:after="0" w:line="240" w:lineRule="auto"/>
              <w:jc w:val="center"/>
              <w:rPr>
                <w:rFonts w:ascii="Times New Roman" w:hAnsi="Times New Roman"/>
                <w:sz w:val="18"/>
                <w:szCs w:val="18"/>
              </w:rPr>
            </w:pPr>
            <w:r w:rsidRPr="00B0658A">
              <w:rPr>
                <w:rFonts w:ascii="Times New Roman" w:hAnsi="Times New Roman"/>
                <w:sz w:val="18"/>
                <w:szCs w:val="18"/>
              </w:rPr>
              <w:t>3.2</w:t>
            </w:r>
          </w:p>
        </w:tc>
        <w:tc>
          <w:tcPr>
            <w:tcW w:w="1138" w:type="pct"/>
            <w:shd w:val="clear" w:color="auto" w:fill="auto"/>
            <w:vAlign w:val="center"/>
            <w:hideMark/>
          </w:tcPr>
          <w:p w14:paraId="525BAF00" w14:textId="77777777" w:rsidR="00766F9E" w:rsidRPr="00B0658A" w:rsidRDefault="00766F9E" w:rsidP="00887027">
            <w:pPr>
              <w:spacing w:after="0" w:line="240" w:lineRule="auto"/>
              <w:rPr>
                <w:rFonts w:ascii="Times New Roman" w:hAnsi="Times New Roman"/>
                <w:sz w:val="18"/>
                <w:szCs w:val="18"/>
              </w:rPr>
            </w:pPr>
            <w:r w:rsidRPr="00B0658A">
              <w:rPr>
                <w:rFonts w:ascii="Times New Roman" w:hAnsi="Times New Roman"/>
                <w:sz w:val="18"/>
                <w:szCs w:val="18"/>
              </w:rPr>
              <w:t>Средства обеспечения информационной безопасности/ Средства управления событиями информационной безопасности</w:t>
            </w:r>
          </w:p>
        </w:tc>
        <w:tc>
          <w:tcPr>
            <w:tcW w:w="1026" w:type="pct"/>
            <w:shd w:val="clear" w:color="000000" w:fill="FFFFFF"/>
            <w:hideMark/>
          </w:tcPr>
          <w:p w14:paraId="22558498" w14:textId="77777777" w:rsidR="00766F9E" w:rsidRPr="00B0658A" w:rsidRDefault="00766F9E" w:rsidP="00887027">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3" w:type="pct"/>
            <w:shd w:val="clear" w:color="auto" w:fill="auto"/>
            <w:vAlign w:val="center"/>
          </w:tcPr>
          <w:p w14:paraId="45CC7CC8" w14:textId="77777777" w:rsidR="00766F9E" w:rsidRPr="00B0658A" w:rsidRDefault="00766F9E" w:rsidP="00887027">
            <w:pPr>
              <w:spacing w:after="0" w:line="240" w:lineRule="auto"/>
              <w:jc w:val="center"/>
              <w:rPr>
                <w:rFonts w:ascii="Times New Roman" w:hAnsi="Times New Roman"/>
                <w:sz w:val="18"/>
                <w:szCs w:val="18"/>
              </w:rPr>
            </w:pPr>
            <w:r>
              <w:rPr>
                <w:rFonts w:ascii="Times New Roman" w:hAnsi="Times New Roman"/>
                <w:sz w:val="18"/>
                <w:szCs w:val="18"/>
              </w:rPr>
              <w:t>60</w:t>
            </w:r>
            <w:r w:rsidRPr="00B0658A">
              <w:rPr>
                <w:rFonts w:ascii="Times New Roman" w:hAnsi="Times New Roman"/>
                <w:sz w:val="18"/>
                <w:szCs w:val="18"/>
                <w:lang w:val="en-US"/>
              </w:rPr>
              <w:t>%</w:t>
            </w:r>
          </w:p>
        </w:tc>
        <w:tc>
          <w:tcPr>
            <w:tcW w:w="364" w:type="pct"/>
            <w:shd w:val="clear" w:color="auto" w:fill="auto"/>
            <w:vAlign w:val="center"/>
          </w:tcPr>
          <w:p w14:paraId="50DBDC06" w14:textId="77777777" w:rsidR="00766F9E" w:rsidRPr="00B0658A" w:rsidRDefault="00766F9E" w:rsidP="00887027">
            <w:pPr>
              <w:spacing w:after="0" w:line="240" w:lineRule="auto"/>
              <w:jc w:val="center"/>
              <w:rPr>
                <w:rFonts w:ascii="Times New Roman" w:hAnsi="Times New Roman"/>
                <w:sz w:val="18"/>
                <w:szCs w:val="18"/>
              </w:rPr>
            </w:pPr>
            <w:r>
              <w:rPr>
                <w:rFonts w:ascii="Times New Roman" w:hAnsi="Times New Roman"/>
                <w:sz w:val="18"/>
                <w:szCs w:val="18"/>
              </w:rPr>
              <w:t>8</w:t>
            </w:r>
            <w:r w:rsidRPr="00B0658A">
              <w:rPr>
                <w:rFonts w:ascii="Times New Roman" w:hAnsi="Times New Roman"/>
                <w:sz w:val="18"/>
                <w:szCs w:val="18"/>
                <w:lang w:val="en-US"/>
              </w:rPr>
              <w:t>0%</w:t>
            </w:r>
          </w:p>
        </w:tc>
        <w:tc>
          <w:tcPr>
            <w:tcW w:w="364" w:type="pct"/>
            <w:shd w:val="clear" w:color="auto" w:fill="auto"/>
            <w:vAlign w:val="center"/>
          </w:tcPr>
          <w:p w14:paraId="1D94A414" w14:textId="77777777" w:rsidR="00766F9E" w:rsidRPr="00B0658A" w:rsidRDefault="00766F9E" w:rsidP="00887027">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76" w:type="pct"/>
            <w:vAlign w:val="center"/>
          </w:tcPr>
          <w:p w14:paraId="6A675B32" w14:textId="77777777" w:rsidR="00766F9E" w:rsidRPr="00B0658A" w:rsidRDefault="00766F9E" w:rsidP="00887027">
            <w:pPr>
              <w:spacing w:after="0" w:line="240" w:lineRule="auto"/>
              <w:jc w:val="center"/>
              <w:rPr>
                <w:rFonts w:ascii="Times New Roman" w:hAnsi="Times New Roman"/>
                <w:sz w:val="18"/>
                <w:szCs w:val="18"/>
                <w:lang w:val="en-US"/>
              </w:rPr>
            </w:pPr>
            <w:r w:rsidRPr="00B0658A">
              <w:rPr>
                <w:rFonts w:ascii="Times New Roman" w:hAnsi="Times New Roman"/>
                <w:sz w:val="18"/>
                <w:szCs w:val="18"/>
                <w:lang w:val="en-US"/>
              </w:rPr>
              <w:t>100%</w:t>
            </w:r>
          </w:p>
        </w:tc>
        <w:tc>
          <w:tcPr>
            <w:tcW w:w="364" w:type="pct"/>
            <w:shd w:val="clear" w:color="auto" w:fill="auto"/>
            <w:vAlign w:val="center"/>
          </w:tcPr>
          <w:p w14:paraId="1A227564" w14:textId="77777777" w:rsidR="00766F9E" w:rsidRPr="00B0658A" w:rsidRDefault="00766F9E" w:rsidP="00887027">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4" w:type="pct"/>
            <w:shd w:val="clear" w:color="auto" w:fill="auto"/>
            <w:vAlign w:val="center"/>
          </w:tcPr>
          <w:p w14:paraId="36FE4A35" w14:textId="77777777" w:rsidR="00766F9E" w:rsidRPr="00B0658A" w:rsidRDefault="00766F9E" w:rsidP="00887027">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58" w:type="pct"/>
            <w:shd w:val="clear" w:color="auto" w:fill="auto"/>
            <w:vAlign w:val="center"/>
          </w:tcPr>
          <w:p w14:paraId="547194AA" w14:textId="77777777" w:rsidR="00766F9E" w:rsidRPr="00B0658A" w:rsidRDefault="00766F9E" w:rsidP="00887027">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D73F09" w:rsidRPr="00B0658A" w14:paraId="1035D1B9" w14:textId="77777777" w:rsidTr="00FE71B1">
        <w:trPr>
          <w:trHeight w:val="20"/>
        </w:trPr>
        <w:tc>
          <w:tcPr>
            <w:tcW w:w="283" w:type="pct"/>
            <w:shd w:val="clear" w:color="000000" w:fill="FFFFFF"/>
            <w:vAlign w:val="center"/>
          </w:tcPr>
          <w:p w14:paraId="3F1D545D" w14:textId="77777777" w:rsidR="00766F9E" w:rsidRPr="00B0658A" w:rsidRDefault="00766F9E" w:rsidP="00FE71B1">
            <w:pPr>
              <w:spacing w:after="0" w:line="240" w:lineRule="auto"/>
              <w:jc w:val="center"/>
              <w:rPr>
                <w:rFonts w:ascii="Times New Roman" w:hAnsi="Times New Roman"/>
                <w:sz w:val="18"/>
                <w:szCs w:val="18"/>
              </w:rPr>
            </w:pPr>
            <w:r w:rsidRPr="00B0658A">
              <w:rPr>
                <w:rFonts w:ascii="Times New Roman" w:hAnsi="Times New Roman"/>
                <w:sz w:val="18"/>
                <w:szCs w:val="18"/>
              </w:rPr>
              <w:t>3.3</w:t>
            </w:r>
          </w:p>
        </w:tc>
        <w:tc>
          <w:tcPr>
            <w:tcW w:w="1138" w:type="pct"/>
            <w:shd w:val="clear" w:color="auto" w:fill="auto"/>
            <w:vAlign w:val="center"/>
            <w:hideMark/>
          </w:tcPr>
          <w:p w14:paraId="633A3AF7" w14:textId="77777777" w:rsidR="00766F9E" w:rsidRPr="00B0658A" w:rsidRDefault="00766F9E" w:rsidP="00887027">
            <w:pPr>
              <w:spacing w:after="0" w:line="240" w:lineRule="auto"/>
              <w:rPr>
                <w:rFonts w:ascii="Times New Roman" w:hAnsi="Times New Roman"/>
                <w:sz w:val="18"/>
                <w:szCs w:val="18"/>
              </w:rPr>
            </w:pPr>
            <w:r w:rsidRPr="00B0658A">
              <w:rPr>
                <w:rFonts w:ascii="Times New Roman" w:hAnsi="Times New Roman"/>
                <w:sz w:val="18"/>
                <w:szCs w:val="18"/>
              </w:rPr>
              <w:t>Средства обеспечения информационной безопасности/ Межсетевые экраны</w:t>
            </w:r>
          </w:p>
        </w:tc>
        <w:tc>
          <w:tcPr>
            <w:tcW w:w="1026" w:type="pct"/>
            <w:shd w:val="clear" w:color="000000" w:fill="FFFFFF"/>
            <w:hideMark/>
          </w:tcPr>
          <w:p w14:paraId="4BF50500" w14:textId="77777777" w:rsidR="00766F9E" w:rsidRPr="00B0658A" w:rsidRDefault="00766F9E" w:rsidP="00887027">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3" w:type="pct"/>
            <w:shd w:val="clear" w:color="auto" w:fill="auto"/>
            <w:vAlign w:val="center"/>
          </w:tcPr>
          <w:p w14:paraId="11CDA0BA" w14:textId="77777777" w:rsidR="00766F9E" w:rsidRPr="00B0658A" w:rsidRDefault="00766F9E" w:rsidP="00887027">
            <w:pPr>
              <w:spacing w:after="0" w:line="240" w:lineRule="auto"/>
              <w:jc w:val="center"/>
              <w:rPr>
                <w:rFonts w:ascii="Times New Roman" w:hAnsi="Times New Roman"/>
                <w:sz w:val="18"/>
                <w:szCs w:val="18"/>
              </w:rPr>
            </w:pPr>
            <w:r w:rsidRPr="00B0658A">
              <w:rPr>
                <w:rFonts w:ascii="Times New Roman" w:hAnsi="Times New Roman"/>
                <w:sz w:val="18"/>
                <w:szCs w:val="18"/>
                <w:lang w:val="en-US"/>
              </w:rPr>
              <w:t>50%</w:t>
            </w:r>
          </w:p>
        </w:tc>
        <w:tc>
          <w:tcPr>
            <w:tcW w:w="364" w:type="pct"/>
            <w:shd w:val="clear" w:color="auto" w:fill="auto"/>
            <w:vAlign w:val="center"/>
          </w:tcPr>
          <w:p w14:paraId="189BBD3D" w14:textId="77777777" w:rsidR="00766F9E" w:rsidRPr="00B0658A" w:rsidRDefault="00766F9E" w:rsidP="00887027">
            <w:pPr>
              <w:spacing w:after="0" w:line="240" w:lineRule="auto"/>
              <w:jc w:val="center"/>
              <w:rPr>
                <w:rFonts w:ascii="Times New Roman" w:hAnsi="Times New Roman"/>
                <w:sz w:val="18"/>
                <w:szCs w:val="18"/>
              </w:rPr>
            </w:pPr>
            <w:r>
              <w:rPr>
                <w:rFonts w:ascii="Times New Roman" w:hAnsi="Times New Roman"/>
                <w:sz w:val="18"/>
                <w:szCs w:val="18"/>
              </w:rPr>
              <w:t>8</w:t>
            </w:r>
            <w:r w:rsidRPr="00B0658A">
              <w:rPr>
                <w:rFonts w:ascii="Times New Roman" w:hAnsi="Times New Roman"/>
                <w:sz w:val="18"/>
                <w:szCs w:val="18"/>
                <w:lang w:val="en-US"/>
              </w:rPr>
              <w:t>0%</w:t>
            </w:r>
          </w:p>
        </w:tc>
        <w:tc>
          <w:tcPr>
            <w:tcW w:w="364" w:type="pct"/>
            <w:shd w:val="clear" w:color="auto" w:fill="auto"/>
            <w:vAlign w:val="center"/>
          </w:tcPr>
          <w:p w14:paraId="29B79372" w14:textId="77777777" w:rsidR="00766F9E" w:rsidRPr="00B0658A" w:rsidRDefault="00766F9E" w:rsidP="00887027">
            <w:pPr>
              <w:spacing w:after="0" w:line="240" w:lineRule="auto"/>
              <w:jc w:val="center"/>
              <w:rPr>
                <w:rFonts w:ascii="Times New Roman" w:hAnsi="Times New Roman"/>
                <w:sz w:val="18"/>
                <w:szCs w:val="18"/>
              </w:rPr>
            </w:pPr>
            <w:r>
              <w:rPr>
                <w:rFonts w:ascii="Times New Roman" w:hAnsi="Times New Roman"/>
                <w:sz w:val="18"/>
                <w:szCs w:val="18"/>
              </w:rPr>
              <w:t>9</w:t>
            </w:r>
            <w:r w:rsidRPr="00B0658A">
              <w:rPr>
                <w:rFonts w:ascii="Times New Roman" w:hAnsi="Times New Roman"/>
                <w:sz w:val="18"/>
                <w:szCs w:val="18"/>
                <w:lang w:val="en-US"/>
              </w:rPr>
              <w:t>0%</w:t>
            </w:r>
          </w:p>
        </w:tc>
        <w:tc>
          <w:tcPr>
            <w:tcW w:w="376" w:type="pct"/>
            <w:vAlign w:val="center"/>
          </w:tcPr>
          <w:p w14:paraId="02A03E6E" w14:textId="77777777" w:rsidR="00766F9E" w:rsidRPr="00B0658A" w:rsidRDefault="00766F9E" w:rsidP="00887027">
            <w:pPr>
              <w:spacing w:after="0" w:line="240" w:lineRule="auto"/>
              <w:jc w:val="center"/>
              <w:rPr>
                <w:rFonts w:ascii="Times New Roman" w:hAnsi="Times New Roman"/>
                <w:sz w:val="18"/>
                <w:szCs w:val="18"/>
                <w:lang w:val="en-US"/>
              </w:rPr>
            </w:pPr>
            <w:r w:rsidRPr="00B0658A">
              <w:rPr>
                <w:rFonts w:ascii="Times New Roman" w:hAnsi="Times New Roman"/>
                <w:sz w:val="18"/>
                <w:szCs w:val="18"/>
                <w:lang w:val="en-US"/>
              </w:rPr>
              <w:t>100%</w:t>
            </w:r>
          </w:p>
        </w:tc>
        <w:tc>
          <w:tcPr>
            <w:tcW w:w="364" w:type="pct"/>
            <w:shd w:val="clear" w:color="auto" w:fill="auto"/>
            <w:vAlign w:val="center"/>
          </w:tcPr>
          <w:p w14:paraId="5887B669" w14:textId="77777777" w:rsidR="00766F9E" w:rsidRPr="00B0658A" w:rsidRDefault="00766F9E" w:rsidP="00887027">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4" w:type="pct"/>
            <w:shd w:val="clear" w:color="auto" w:fill="auto"/>
            <w:vAlign w:val="center"/>
          </w:tcPr>
          <w:p w14:paraId="696DB9AE" w14:textId="77777777" w:rsidR="00766F9E" w:rsidRPr="00B0658A" w:rsidRDefault="00766F9E" w:rsidP="00887027">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58" w:type="pct"/>
            <w:shd w:val="clear" w:color="auto" w:fill="auto"/>
            <w:vAlign w:val="center"/>
          </w:tcPr>
          <w:p w14:paraId="31792965" w14:textId="77777777" w:rsidR="00766F9E" w:rsidRPr="00B0658A" w:rsidRDefault="00766F9E" w:rsidP="00887027">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D73F09" w:rsidRPr="00B0658A" w14:paraId="1F96E988" w14:textId="77777777" w:rsidTr="00FE71B1">
        <w:trPr>
          <w:trHeight w:val="20"/>
        </w:trPr>
        <w:tc>
          <w:tcPr>
            <w:tcW w:w="283" w:type="pct"/>
            <w:shd w:val="clear" w:color="000000" w:fill="FFFFFF"/>
            <w:vAlign w:val="center"/>
          </w:tcPr>
          <w:p w14:paraId="7BBB6B5D" w14:textId="77777777" w:rsidR="00766F9E" w:rsidRPr="00B0658A" w:rsidRDefault="00766F9E" w:rsidP="00FE71B1">
            <w:pPr>
              <w:spacing w:after="0" w:line="240" w:lineRule="auto"/>
              <w:jc w:val="center"/>
              <w:rPr>
                <w:rFonts w:ascii="Times New Roman" w:hAnsi="Times New Roman"/>
                <w:sz w:val="18"/>
                <w:szCs w:val="18"/>
              </w:rPr>
            </w:pPr>
            <w:r w:rsidRPr="00B0658A">
              <w:rPr>
                <w:rFonts w:ascii="Times New Roman" w:hAnsi="Times New Roman"/>
                <w:sz w:val="18"/>
                <w:szCs w:val="18"/>
              </w:rPr>
              <w:t>3.4</w:t>
            </w:r>
          </w:p>
        </w:tc>
        <w:tc>
          <w:tcPr>
            <w:tcW w:w="1138" w:type="pct"/>
            <w:shd w:val="clear" w:color="auto" w:fill="auto"/>
            <w:vAlign w:val="center"/>
            <w:hideMark/>
          </w:tcPr>
          <w:p w14:paraId="6012C1B9" w14:textId="77777777" w:rsidR="00766F9E" w:rsidRPr="00B0658A" w:rsidRDefault="00766F9E" w:rsidP="00887027">
            <w:pPr>
              <w:spacing w:after="0" w:line="240" w:lineRule="auto"/>
              <w:rPr>
                <w:rFonts w:ascii="Times New Roman" w:hAnsi="Times New Roman"/>
                <w:sz w:val="18"/>
                <w:szCs w:val="18"/>
              </w:rPr>
            </w:pPr>
            <w:r w:rsidRPr="00B0658A">
              <w:rPr>
                <w:rFonts w:ascii="Times New Roman" w:hAnsi="Times New Roman"/>
                <w:sz w:val="18"/>
                <w:szCs w:val="18"/>
              </w:rPr>
              <w:t>Средства обеспечения информационной безопасности/ Средства фильтрации негативного контента</w:t>
            </w:r>
          </w:p>
        </w:tc>
        <w:tc>
          <w:tcPr>
            <w:tcW w:w="1026" w:type="pct"/>
            <w:shd w:val="clear" w:color="000000" w:fill="FFFFFF"/>
            <w:hideMark/>
          </w:tcPr>
          <w:p w14:paraId="4A9EC89F" w14:textId="77777777" w:rsidR="00766F9E" w:rsidRPr="00B0658A" w:rsidRDefault="00766F9E" w:rsidP="00887027">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3" w:type="pct"/>
            <w:shd w:val="clear" w:color="auto" w:fill="auto"/>
            <w:vAlign w:val="center"/>
          </w:tcPr>
          <w:p w14:paraId="4883639D" w14:textId="77777777" w:rsidR="00766F9E" w:rsidRPr="00B0658A" w:rsidRDefault="00766F9E" w:rsidP="00887027">
            <w:pPr>
              <w:spacing w:after="0" w:line="240" w:lineRule="auto"/>
              <w:jc w:val="center"/>
              <w:rPr>
                <w:rFonts w:ascii="Times New Roman" w:hAnsi="Times New Roman"/>
                <w:sz w:val="18"/>
                <w:szCs w:val="18"/>
              </w:rPr>
            </w:pPr>
            <w:r>
              <w:rPr>
                <w:rFonts w:ascii="Times New Roman" w:hAnsi="Times New Roman"/>
                <w:sz w:val="18"/>
                <w:szCs w:val="18"/>
              </w:rPr>
              <w:t>60</w:t>
            </w:r>
            <w:r w:rsidRPr="00B0658A">
              <w:rPr>
                <w:rFonts w:ascii="Times New Roman" w:hAnsi="Times New Roman"/>
                <w:sz w:val="18"/>
                <w:szCs w:val="18"/>
                <w:lang w:val="en-US"/>
              </w:rPr>
              <w:t>%</w:t>
            </w:r>
          </w:p>
        </w:tc>
        <w:tc>
          <w:tcPr>
            <w:tcW w:w="364" w:type="pct"/>
            <w:shd w:val="clear" w:color="auto" w:fill="auto"/>
            <w:vAlign w:val="center"/>
          </w:tcPr>
          <w:p w14:paraId="73914E6E" w14:textId="77777777" w:rsidR="00766F9E" w:rsidRPr="00B0658A" w:rsidRDefault="00766F9E" w:rsidP="00887027">
            <w:pPr>
              <w:spacing w:after="0" w:line="240" w:lineRule="auto"/>
              <w:jc w:val="center"/>
              <w:rPr>
                <w:rFonts w:ascii="Times New Roman" w:hAnsi="Times New Roman"/>
                <w:sz w:val="18"/>
                <w:szCs w:val="18"/>
              </w:rPr>
            </w:pPr>
            <w:r>
              <w:rPr>
                <w:rFonts w:ascii="Times New Roman" w:hAnsi="Times New Roman"/>
                <w:sz w:val="18"/>
                <w:szCs w:val="18"/>
              </w:rPr>
              <w:t>8</w:t>
            </w:r>
            <w:r w:rsidRPr="00B0658A">
              <w:rPr>
                <w:rFonts w:ascii="Times New Roman" w:hAnsi="Times New Roman"/>
                <w:sz w:val="18"/>
                <w:szCs w:val="18"/>
                <w:lang w:val="en-US"/>
              </w:rPr>
              <w:t>0%</w:t>
            </w:r>
          </w:p>
        </w:tc>
        <w:tc>
          <w:tcPr>
            <w:tcW w:w="364" w:type="pct"/>
            <w:shd w:val="clear" w:color="auto" w:fill="auto"/>
            <w:vAlign w:val="center"/>
          </w:tcPr>
          <w:p w14:paraId="287ACE58" w14:textId="77777777" w:rsidR="00766F9E" w:rsidRPr="00B0658A" w:rsidRDefault="00766F9E" w:rsidP="00887027">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76" w:type="pct"/>
            <w:vAlign w:val="center"/>
          </w:tcPr>
          <w:p w14:paraId="0A4ACD87" w14:textId="77777777" w:rsidR="00766F9E" w:rsidRPr="00B0658A" w:rsidRDefault="00766F9E" w:rsidP="00887027">
            <w:pPr>
              <w:spacing w:after="0" w:line="240" w:lineRule="auto"/>
              <w:jc w:val="center"/>
              <w:rPr>
                <w:rFonts w:ascii="Times New Roman" w:hAnsi="Times New Roman"/>
                <w:sz w:val="18"/>
                <w:szCs w:val="18"/>
                <w:lang w:val="en-US"/>
              </w:rPr>
            </w:pPr>
            <w:r w:rsidRPr="00B0658A">
              <w:rPr>
                <w:rFonts w:ascii="Times New Roman" w:hAnsi="Times New Roman"/>
                <w:sz w:val="18"/>
                <w:szCs w:val="18"/>
                <w:lang w:val="en-US"/>
              </w:rPr>
              <w:t>100%</w:t>
            </w:r>
          </w:p>
        </w:tc>
        <w:tc>
          <w:tcPr>
            <w:tcW w:w="364" w:type="pct"/>
            <w:shd w:val="clear" w:color="auto" w:fill="auto"/>
            <w:vAlign w:val="center"/>
          </w:tcPr>
          <w:p w14:paraId="72BB796C" w14:textId="77777777" w:rsidR="00766F9E" w:rsidRPr="00B0658A" w:rsidRDefault="00766F9E" w:rsidP="00887027">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4" w:type="pct"/>
            <w:shd w:val="clear" w:color="auto" w:fill="auto"/>
            <w:vAlign w:val="center"/>
          </w:tcPr>
          <w:p w14:paraId="1D2E2C15" w14:textId="77777777" w:rsidR="00766F9E" w:rsidRPr="00B0658A" w:rsidRDefault="00766F9E" w:rsidP="00887027">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58" w:type="pct"/>
            <w:shd w:val="clear" w:color="auto" w:fill="auto"/>
            <w:vAlign w:val="center"/>
          </w:tcPr>
          <w:p w14:paraId="0F5DE13F" w14:textId="77777777" w:rsidR="00766F9E" w:rsidRPr="00B0658A" w:rsidRDefault="00766F9E" w:rsidP="00887027">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D73F09" w:rsidRPr="00B0658A" w14:paraId="1BB7D4E5" w14:textId="77777777" w:rsidTr="00FE71B1">
        <w:trPr>
          <w:trHeight w:val="20"/>
        </w:trPr>
        <w:tc>
          <w:tcPr>
            <w:tcW w:w="283" w:type="pct"/>
            <w:shd w:val="clear" w:color="000000" w:fill="FFFFFF"/>
            <w:vAlign w:val="center"/>
          </w:tcPr>
          <w:p w14:paraId="7B89D05B" w14:textId="77777777" w:rsidR="00766F9E" w:rsidRPr="00B0658A" w:rsidRDefault="00766F9E" w:rsidP="00FE71B1">
            <w:pPr>
              <w:spacing w:after="0" w:line="240" w:lineRule="auto"/>
              <w:jc w:val="center"/>
              <w:rPr>
                <w:rFonts w:ascii="Times New Roman" w:hAnsi="Times New Roman"/>
                <w:sz w:val="18"/>
                <w:szCs w:val="18"/>
              </w:rPr>
            </w:pPr>
            <w:r w:rsidRPr="00B0658A">
              <w:rPr>
                <w:rFonts w:ascii="Times New Roman" w:hAnsi="Times New Roman"/>
                <w:sz w:val="18"/>
                <w:szCs w:val="18"/>
              </w:rPr>
              <w:t>3.5</w:t>
            </w:r>
          </w:p>
        </w:tc>
        <w:tc>
          <w:tcPr>
            <w:tcW w:w="1138" w:type="pct"/>
            <w:shd w:val="clear" w:color="auto" w:fill="auto"/>
            <w:vAlign w:val="center"/>
            <w:hideMark/>
          </w:tcPr>
          <w:p w14:paraId="710B3DF9" w14:textId="77777777" w:rsidR="00766F9E" w:rsidRPr="00B0658A" w:rsidRDefault="00766F9E" w:rsidP="00887027">
            <w:pPr>
              <w:spacing w:after="0" w:line="240" w:lineRule="auto"/>
              <w:rPr>
                <w:rFonts w:ascii="Times New Roman" w:hAnsi="Times New Roman"/>
                <w:sz w:val="18"/>
                <w:szCs w:val="18"/>
              </w:rPr>
            </w:pPr>
            <w:r w:rsidRPr="00B0658A">
              <w:rPr>
                <w:rFonts w:ascii="Times New Roman" w:hAnsi="Times New Roman"/>
                <w:sz w:val="18"/>
                <w:szCs w:val="18"/>
              </w:rPr>
              <w:t>Средства обеспечения информационной безопасности/ Средства защиты сервисов онлайн-платежей и дистанционного банковского обслуживания</w:t>
            </w:r>
          </w:p>
        </w:tc>
        <w:tc>
          <w:tcPr>
            <w:tcW w:w="1026" w:type="pct"/>
            <w:shd w:val="clear" w:color="000000" w:fill="FFFFFF"/>
            <w:hideMark/>
          </w:tcPr>
          <w:p w14:paraId="575570AB" w14:textId="77777777" w:rsidR="00766F9E" w:rsidRPr="00B0658A" w:rsidRDefault="00766F9E" w:rsidP="00887027">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3" w:type="pct"/>
            <w:shd w:val="clear" w:color="auto" w:fill="auto"/>
            <w:vAlign w:val="center"/>
          </w:tcPr>
          <w:p w14:paraId="03D029AA" w14:textId="77777777" w:rsidR="00766F9E" w:rsidRPr="00B0658A" w:rsidRDefault="00766F9E" w:rsidP="00887027">
            <w:pPr>
              <w:spacing w:after="0" w:line="240" w:lineRule="auto"/>
              <w:jc w:val="center"/>
              <w:rPr>
                <w:rFonts w:ascii="Times New Roman" w:hAnsi="Times New Roman"/>
                <w:sz w:val="18"/>
                <w:szCs w:val="18"/>
              </w:rPr>
            </w:pPr>
            <w:r>
              <w:rPr>
                <w:rFonts w:ascii="Times New Roman" w:hAnsi="Times New Roman"/>
                <w:sz w:val="18"/>
                <w:szCs w:val="18"/>
              </w:rPr>
              <w:t>60</w:t>
            </w:r>
            <w:r w:rsidRPr="00B0658A">
              <w:rPr>
                <w:rFonts w:ascii="Times New Roman" w:hAnsi="Times New Roman"/>
                <w:sz w:val="18"/>
                <w:szCs w:val="18"/>
                <w:lang w:val="en-US"/>
              </w:rPr>
              <w:t>%</w:t>
            </w:r>
          </w:p>
        </w:tc>
        <w:tc>
          <w:tcPr>
            <w:tcW w:w="364" w:type="pct"/>
            <w:shd w:val="clear" w:color="auto" w:fill="auto"/>
            <w:vAlign w:val="center"/>
          </w:tcPr>
          <w:p w14:paraId="63DB148E" w14:textId="77777777" w:rsidR="00766F9E" w:rsidRPr="00B0658A" w:rsidRDefault="00766F9E" w:rsidP="00887027">
            <w:pPr>
              <w:spacing w:after="0" w:line="240" w:lineRule="auto"/>
              <w:jc w:val="center"/>
              <w:rPr>
                <w:rFonts w:ascii="Times New Roman" w:hAnsi="Times New Roman"/>
                <w:sz w:val="18"/>
                <w:szCs w:val="18"/>
              </w:rPr>
            </w:pPr>
            <w:r>
              <w:rPr>
                <w:rFonts w:ascii="Times New Roman" w:hAnsi="Times New Roman"/>
                <w:sz w:val="18"/>
                <w:szCs w:val="18"/>
              </w:rPr>
              <w:t>8</w:t>
            </w:r>
            <w:r w:rsidRPr="00B0658A">
              <w:rPr>
                <w:rFonts w:ascii="Times New Roman" w:hAnsi="Times New Roman"/>
                <w:sz w:val="18"/>
                <w:szCs w:val="18"/>
                <w:lang w:val="en-US"/>
              </w:rPr>
              <w:t>0%</w:t>
            </w:r>
          </w:p>
        </w:tc>
        <w:tc>
          <w:tcPr>
            <w:tcW w:w="364" w:type="pct"/>
            <w:shd w:val="clear" w:color="auto" w:fill="auto"/>
            <w:vAlign w:val="center"/>
          </w:tcPr>
          <w:p w14:paraId="66B07575" w14:textId="77777777" w:rsidR="00766F9E" w:rsidRPr="00B0658A" w:rsidRDefault="00766F9E" w:rsidP="00887027">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76" w:type="pct"/>
            <w:vAlign w:val="center"/>
          </w:tcPr>
          <w:p w14:paraId="1A96FC99" w14:textId="77777777" w:rsidR="00766F9E" w:rsidRPr="00B0658A" w:rsidRDefault="00766F9E" w:rsidP="00887027">
            <w:pPr>
              <w:spacing w:after="0" w:line="240" w:lineRule="auto"/>
              <w:jc w:val="center"/>
              <w:rPr>
                <w:rFonts w:ascii="Times New Roman" w:hAnsi="Times New Roman"/>
                <w:sz w:val="18"/>
                <w:szCs w:val="18"/>
                <w:lang w:val="en-US"/>
              </w:rPr>
            </w:pPr>
            <w:r w:rsidRPr="00B0658A">
              <w:rPr>
                <w:rFonts w:ascii="Times New Roman" w:hAnsi="Times New Roman"/>
                <w:sz w:val="18"/>
                <w:szCs w:val="18"/>
                <w:lang w:val="en-US"/>
              </w:rPr>
              <w:t>100%</w:t>
            </w:r>
          </w:p>
        </w:tc>
        <w:tc>
          <w:tcPr>
            <w:tcW w:w="364" w:type="pct"/>
            <w:shd w:val="clear" w:color="auto" w:fill="auto"/>
            <w:vAlign w:val="center"/>
          </w:tcPr>
          <w:p w14:paraId="2D652D0F" w14:textId="77777777" w:rsidR="00766F9E" w:rsidRPr="00B0658A" w:rsidRDefault="00766F9E" w:rsidP="00887027">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4" w:type="pct"/>
            <w:shd w:val="clear" w:color="auto" w:fill="auto"/>
            <w:vAlign w:val="center"/>
          </w:tcPr>
          <w:p w14:paraId="1D7E6A20" w14:textId="77777777" w:rsidR="00766F9E" w:rsidRPr="00B0658A" w:rsidRDefault="00766F9E" w:rsidP="00887027">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58" w:type="pct"/>
            <w:shd w:val="clear" w:color="auto" w:fill="auto"/>
            <w:vAlign w:val="center"/>
          </w:tcPr>
          <w:p w14:paraId="15BA00A7" w14:textId="77777777" w:rsidR="00766F9E" w:rsidRPr="00B0658A" w:rsidRDefault="00766F9E" w:rsidP="00887027">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D73F09" w:rsidRPr="00B0658A" w14:paraId="05A69B90" w14:textId="77777777" w:rsidTr="00FE71B1">
        <w:trPr>
          <w:trHeight w:val="20"/>
        </w:trPr>
        <w:tc>
          <w:tcPr>
            <w:tcW w:w="283" w:type="pct"/>
            <w:shd w:val="clear" w:color="000000" w:fill="FFFFFF"/>
            <w:vAlign w:val="center"/>
          </w:tcPr>
          <w:p w14:paraId="766F20F1" w14:textId="77777777" w:rsidR="00766F9E" w:rsidRPr="00B0658A" w:rsidRDefault="00766F9E" w:rsidP="00FE71B1">
            <w:pPr>
              <w:spacing w:after="0" w:line="240" w:lineRule="auto"/>
              <w:jc w:val="center"/>
              <w:rPr>
                <w:rFonts w:ascii="Times New Roman" w:hAnsi="Times New Roman"/>
                <w:sz w:val="18"/>
                <w:szCs w:val="18"/>
              </w:rPr>
            </w:pPr>
            <w:r w:rsidRPr="00B0658A">
              <w:rPr>
                <w:rFonts w:ascii="Times New Roman" w:hAnsi="Times New Roman"/>
                <w:sz w:val="18"/>
                <w:szCs w:val="18"/>
              </w:rPr>
              <w:t>3.6</w:t>
            </w:r>
          </w:p>
        </w:tc>
        <w:tc>
          <w:tcPr>
            <w:tcW w:w="1138" w:type="pct"/>
            <w:shd w:val="clear" w:color="auto" w:fill="auto"/>
            <w:vAlign w:val="center"/>
            <w:hideMark/>
          </w:tcPr>
          <w:p w14:paraId="204FAFE5" w14:textId="77777777" w:rsidR="00766F9E" w:rsidRPr="00B0658A" w:rsidRDefault="00766F9E" w:rsidP="00766F9E">
            <w:pPr>
              <w:spacing w:after="0" w:line="240" w:lineRule="auto"/>
              <w:rPr>
                <w:rFonts w:ascii="Times New Roman" w:hAnsi="Times New Roman"/>
                <w:sz w:val="18"/>
                <w:szCs w:val="18"/>
              </w:rPr>
            </w:pPr>
            <w:r w:rsidRPr="00B0658A">
              <w:rPr>
                <w:rFonts w:ascii="Times New Roman" w:hAnsi="Times New Roman"/>
                <w:sz w:val="18"/>
                <w:szCs w:val="18"/>
              </w:rPr>
              <w:t>Средства обеспечения информационной безопасности/ Средства антивирусной защиты</w:t>
            </w:r>
          </w:p>
        </w:tc>
        <w:tc>
          <w:tcPr>
            <w:tcW w:w="1026" w:type="pct"/>
            <w:shd w:val="clear" w:color="000000" w:fill="FFFFFF"/>
            <w:hideMark/>
          </w:tcPr>
          <w:p w14:paraId="2C1B9EDD" w14:textId="77777777" w:rsidR="00766F9E" w:rsidRPr="00B0658A" w:rsidRDefault="00766F9E" w:rsidP="00766F9E">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3" w:type="pct"/>
            <w:shd w:val="clear" w:color="auto" w:fill="auto"/>
            <w:vAlign w:val="center"/>
          </w:tcPr>
          <w:p w14:paraId="3AAA4061" w14:textId="77777777" w:rsidR="00766F9E" w:rsidRPr="008C1E9B" w:rsidRDefault="00766F9E" w:rsidP="00766F9E">
            <w:pPr>
              <w:spacing w:after="0" w:line="240" w:lineRule="auto"/>
              <w:jc w:val="center"/>
              <w:rPr>
                <w:rFonts w:ascii="Times New Roman" w:hAnsi="Times New Roman"/>
                <w:sz w:val="18"/>
                <w:szCs w:val="18"/>
              </w:rPr>
            </w:pPr>
            <w:r w:rsidRPr="00476A06">
              <w:rPr>
                <w:rFonts w:ascii="Times New Roman" w:hAnsi="Times New Roman"/>
                <w:sz w:val="18"/>
                <w:szCs w:val="18"/>
              </w:rPr>
              <w:t>-*</w:t>
            </w:r>
          </w:p>
        </w:tc>
        <w:tc>
          <w:tcPr>
            <w:tcW w:w="364" w:type="pct"/>
            <w:shd w:val="clear" w:color="auto" w:fill="auto"/>
            <w:vAlign w:val="center"/>
          </w:tcPr>
          <w:p w14:paraId="307496A4" w14:textId="77777777" w:rsidR="00766F9E" w:rsidRPr="008C1E9B" w:rsidRDefault="00766F9E" w:rsidP="00766F9E">
            <w:pPr>
              <w:spacing w:after="0" w:line="240" w:lineRule="auto"/>
              <w:jc w:val="center"/>
              <w:rPr>
                <w:rFonts w:ascii="Times New Roman" w:hAnsi="Times New Roman"/>
                <w:sz w:val="18"/>
                <w:szCs w:val="18"/>
              </w:rPr>
            </w:pPr>
            <w:r w:rsidRPr="00476A06">
              <w:rPr>
                <w:rFonts w:ascii="Times New Roman" w:hAnsi="Times New Roman"/>
                <w:sz w:val="18"/>
                <w:szCs w:val="18"/>
              </w:rPr>
              <w:t>-*</w:t>
            </w:r>
          </w:p>
        </w:tc>
        <w:tc>
          <w:tcPr>
            <w:tcW w:w="364" w:type="pct"/>
            <w:shd w:val="clear" w:color="auto" w:fill="auto"/>
            <w:vAlign w:val="center"/>
          </w:tcPr>
          <w:p w14:paraId="03C3DD69" w14:textId="77777777" w:rsidR="00766F9E" w:rsidRPr="008C1E9B" w:rsidRDefault="00766F9E" w:rsidP="00766F9E">
            <w:pPr>
              <w:spacing w:after="0" w:line="240" w:lineRule="auto"/>
              <w:jc w:val="center"/>
              <w:rPr>
                <w:rFonts w:ascii="Times New Roman" w:hAnsi="Times New Roman"/>
                <w:sz w:val="18"/>
                <w:szCs w:val="18"/>
              </w:rPr>
            </w:pPr>
            <w:r w:rsidRPr="00476A06">
              <w:rPr>
                <w:rFonts w:ascii="Times New Roman" w:hAnsi="Times New Roman"/>
                <w:sz w:val="18"/>
                <w:szCs w:val="18"/>
              </w:rPr>
              <w:t>-*</w:t>
            </w:r>
          </w:p>
        </w:tc>
        <w:tc>
          <w:tcPr>
            <w:tcW w:w="376" w:type="pct"/>
            <w:vAlign w:val="center"/>
          </w:tcPr>
          <w:p w14:paraId="0C11B1BB" w14:textId="77777777" w:rsidR="00766F9E" w:rsidRPr="00B0658A" w:rsidRDefault="00766F9E" w:rsidP="00766F9E">
            <w:pPr>
              <w:spacing w:after="0" w:line="240" w:lineRule="auto"/>
              <w:jc w:val="center"/>
              <w:rPr>
                <w:rFonts w:ascii="Times New Roman" w:hAnsi="Times New Roman"/>
                <w:sz w:val="18"/>
                <w:szCs w:val="18"/>
                <w:lang w:val="en-US"/>
              </w:rPr>
            </w:pPr>
            <w:r w:rsidRPr="00B0658A">
              <w:rPr>
                <w:rFonts w:ascii="Times New Roman" w:hAnsi="Times New Roman"/>
                <w:sz w:val="18"/>
                <w:szCs w:val="18"/>
                <w:lang w:val="en-US"/>
              </w:rPr>
              <w:t>100%</w:t>
            </w:r>
          </w:p>
        </w:tc>
        <w:tc>
          <w:tcPr>
            <w:tcW w:w="364" w:type="pct"/>
            <w:shd w:val="clear" w:color="auto" w:fill="auto"/>
            <w:vAlign w:val="center"/>
          </w:tcPr>
          <w:p w14:paraId="1DDC0955"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4" w:type="pct"/>
            <w:shd w:val="clear" w:color="auto" w:fill="auto"/>
            <w:vAlign w:val="center"/>
          </w:tcPr>
          <w:p w14:paraId="1D5ED6C6"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58" w:type="pct"/>
            <w:shd w:val="clear" w:color="auto" w:fill="auto"/>
            <w:vAlign w:val="center"/>
          </w:tcPr>
          <w:p w14:paraId="5A623C0D"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D73F09" w:rsidRPr="00B0658A" w14:paraId="2F9B731B" w14:textId="77777777" w:rsidTr="00FE71B1">
        <w:trPr>
          <w:trHeight w:val="20"/>
        </w:trPr>
        <w:tc>
          <w:tcPr>
            <w:tcW w:w="283" w:type="pct"/>
            <w:shd w:val="clear" w:color="000000" w:fill="FFFFFF"/>
            <w:vAlign w:val="center"/>
          </w:tcPr>
          <w:p w14:paraId="63AA98CF" w14:textId="77777777" w:rsidR="00766F9E" w:rsidRPr="00B0658A" w:rsidRDefault="00766F9E" w:rsidP="00FE71B1">
            <w:pPr>
              <w:spacing w:after="0" w:line="240" w:lineRule="auto"/>
              <w:jc w:val="center"/>
              <w:rPr>
                <w:rFonts w:ascii="Times New Roman" w:hAnsi="Times New Roman"/>
                <w:sz w:val="18"/>
                <w:szCs w:val="18"/>
              </w:rPr>
            </w:pPr>
            <w:r w:rsidRPr="00B0658A">
              <w:rPr>
                <w:rFonts w:ascii="Times New Roman" w:hAnsi="Times New Roman"/>
                <w:sz w:val="18"/>
                <w:szCs w:val="18"/>
              </w:rPr>
              <w:t>3.7</w:t>
            </w:r>
          </w:p>
        </w:tc>
        <w:tc>
          <w:tcPr>
            <w:tcW w:w="1138" w:type="pct"/>
            <w:shd w:val="clear" w:color="auto" w:fill="auto"/>
            <w:vAlign w:val="center"/>
            <w:hideMark/>
          </w:tcPr>
          <w:p w14:paraId="22B53191" w14:textId="77777777" w:rsidR="00766F9E" w:rsidRPr="00B0658A" w:rsidRDefault="00766F9E" w:rsidP="00766F9E">
            <w:pPr>
              <w:spacing w:after="0" w:line="240" w:lineRule="auto"/>
              <w:rPr>
                <w:rFonts w:ascii="Times New Roman" w:hAnsi="Times New Roman"/>
                <w:sz w:val="18"/>
                <w:szCs w:val="18"/>
              </w:rPr>
            </w:pPr>
            <w:r w:rsidRPr="00B0658A">
              <w:rPr>
                <w:rFonts w:ascii="Times New Roman" w:hAnsi="Times New Roman"/>
                <w:sz w:val="18"/>
                <w:szCs w:val="18"/>
              </w:rPr>
              <w:t>Средства обеспечения информационной безопасности/ Средства выявления целевых атак</w:t>
            </w:r>
          </w:p>
        </w:tc>
        <w:tc>
          <w:tcPr>
            <w:tcW w:w="1026" w:type="pct"/>
            <w:shd w:val="clear" w:color="000000" w:fill="FFFFFF"/>
            <w:hideMark/>
          </w:tcPr>
          <w:p w14:paraId="1C3B3E87" w14:textId="77777777" w:rsidR="00766F9E" w:rsidRPr="00B0658A" w:rsidRDefault="00766F9E" w:rsidP="00766F9E">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3" w:type="pct"/>
            <w:shd w:val="clear" w:color="auto" w:fill="auto"/>
            <w:vAlign w:val="center"/>
          </w:tcPr>
          <w:p w14:paraId="27DA7306" w14:textId="77777777" w:rsidR="00766F9E" w:rsidRPr="00B0658A" w:rsidRDefault="00766F9E" w:rsidP="00766F9E">
            <w:pPr>
              <w:spacing w:after="0" w:line="240" w:lineRule="auto"/>
              <w:jc w:val="center"/>
              <w:rPr>
                <w:rFonts w:ascii="Times New Roman" w:hAnsi="Times New Roman"/>
                <w:sz w:val="18"/>
                <w:szCs w:val="18"/>
              </w:rPr>
            </w:pPr>
            <w:r>
              <w:rPr>
                <w:rFonts w:ascii="Times New Roman" w:hAnsi="Times New Roman"/>
                <w:sz w:val="18"/>
                <w:szCs w:val="18"/>
              </w:rPr>
              <w:t>60</w:t>
            </w:r>
            <w:r w:rsidRPr="00B0658A">
              <w:rPr>
                <w:rFonts w:ascii="Times New Roman" w:hAnsi="Times New Roman"/>
                <w:sz w:val="18"/>
                <w:szCs w:val="18"/>
                <w:lang w:val="en-US"/>
              </w:rPr>
              <w:t>%</w:t>
            </w:r>
          </w:p>
        </w:tc>
        <w:tc>
          <w:tcPr>
            <w:tcW w:w="364" w:type="pct"/>
            <w:shd w:val="clear" w:color="auto" w:fill="auto"/>
            <w:vAlign w:val="center"/>
          </w:tcPr>
          <w:p w14:paraId="027B6694" w14:textId="77777777" w:rsidR="00766F9E" w:rsidRPr="00B0658A" w:rsidRDefault="00766F9E" w:rsidP="00766F9E">
            <w:pPr>
              <w:spacing w:after="0" w:line="240" w:lineRule="auto"/>
              <w:jc w:val="center"/>
              <w:rPr>
                <w:rFonts w:ascii="Times New Roman" w:hAnsi="Times New Roman"/>
                <w:sz w:val="18"/>
                <w:szCs w:val="18"/>
              </w:rPr>
            </w:pPr>
            <w:r>
              <w:rPr>
                <w:rFonts w:ascii="Times New Roman" w:hAnsi="Times New Roman"/>
                <w:sz w:val="18"/>
                <w:szCs w:val="18"/>
              </w:rPr>
              <w:t>8</w:t>
            </w:r>
            <w:r w:rsidRPr="00B0658A">
              <w:rPr>
                <w:rFonts w:ascii="Times New Roman" w:hAnsi="Times New Roman"/>
                <w:sz w:val="18"/>
                <w:szCs w:val="18"/>
                <w:lang w:val="en-US"/>
              </w:rPr>
              <w:t>0%</w:t>
            </w:r>
          </w:p>
        </w:tc>
        <w:tc>
          <w:tcPr>
            <w:tcW w:w="364" w:type="pct"/>
            <w:shd w:val="clear" w:color="auto" w:fill="auto"/>
            <w:vAlign w:val="center"/>
          </w:tcPr>
          <w:p w14:paraId="531AF47C"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76" w:type="pct"/>
            <w:vAlign w:val="center"/>
          </w:tcPr>
          <w:p w14:paraId="4C222625" w14:textId="77777777" w:rsidR="00766F9E" w:rsidRPr="00B0658A" w:rsidRDefault="00766F9E" w:rsidP="00766F9E">
            <w:pPr>
              <w:spacing w:after="0" w:line="240" w:lineRule="auto"/>
              <w:jc w:val="center"/>
              <w:rPr>
                <w:rFonts w:ascii="Times New Roman" w:hAnsi="Times New Roman"/>
                <w:sz w:val="18"/>
                <w:szCs w:val="18"/>
                <w:lang w:val="en-US"/>
              </w:rPr>
            </w:pPr>
            <w:r w:rsidRPr="00B0658A">
              <w:rPr>
                <w:rFonts w:ascii="Times New Roman" w:hAnsi="Times New Roman"/>
                <w:sz w:val="18"/>
                <w:szCs w:val="18"/>
                <w:lang w:val="en-US"/>
              </w:rPr>
              <w:t>100%</w:t>
            </w:r>
          </w:p>
        </w:tc>
        <w:tc>
          <w:tcPr>
            <w:tcW w:w="364" w:type="pct"/>
            <w:shd w:val="clear" w:color="auto" w:fill="auto"/>
            <w:vAlign w:val="center"/>
          </w:tcPr>
          <w:p w14:paraId="551E35E7"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4" w:type="pct"/>
            <w:shd w:val="clear" w:color="auto" w:fill="auto"/>
            <w:vAlign w:val="center"/>
          </w:tcPr>
          <w:p w14:paraId="0306BE4E"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58" w:type="pct"/>
            <w:shd w:val="clear" w:color="auto" w:fill="auto"/>
            <w:vAlign w:val="center"/>
          </w:tcPr>
          <w:p w14:paraId="34BF7294"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D73F09" w:rsidRPr="00B0658A" w14:paraId="36F026FC" w14:textId="77777777" w:rsidTr="00FE71B1">
        <w:trPr>
          <w:trHeight w:val="20"/>
        </w:trPr>
        <w:tc>
          <w:tcPr>
            <w:tcW w:w="283" w:type="pct"/>
            <w:shd w:val="clear" w:color="000000" w:fill="FFFFFF"/>
            <w:vAlign w:val="center"/>
          </w:tcPr>
          <w:p w14:paraId="799BAD65" w14:textId="77777777" w:rsidR="00766F9E" w:rsidRPr="00B0658A" w:rsidRDefault="00766F9E" w:rsidP="00FE71B1">
            <w:pPr>
              <w:spacing w:after="0" w:line="240" w:lineRule="auto"/>
              <w:jc w:val="center"/>
              <w:rPr>
                <w:rFonts w:ascii="Times New Roman" w:hAnsi="Times New Roman"/>
                <w:sz w:val="18"/>
                <w:szCs w:val="18"/>
              </w:rPr>
            </w:pPr>
            <w:r w:rsidRPr="00B0658A">
              <w:rPr>
                <w:rFonts w:ascii="Times New Roman" w:hAnsi="Times New Roman"/>
                <w:sz w:val="18"/>
                <w:szCs w:val="18"/>
              </w:rPr>
              <w:t>3.8</w:t>
            </w:r>
          </w:p>
        </w:tc>
        <w:tc>
          <w:tcPr>
            <w:tcW w:w="1138" w:type="pct"/>
            <w:shd w:val="clear" w:color="auto" w:fill="auto"/>
            <w:vAlign w:val="center"/>
            <w:hideMark/>
          </w:tcPr>
          <w:p w14:paraId="6457ECAE" w14:textId="77777777" w:rsidR="00766F9E" w:rsidRPr="00B0658A" w:rsidRDefault="00766F9E" w:rsidP="00766F9E">
            <w:pPr>
              <w:spacing w:after="0" w:line="240" w:lineRule="auto"/>
              <w:rPr>
                <w:rFonts w:ascii="Times New Roman" w:hAnsi="Times New Roman"/>
                <w:sz w:val="18"/>
                <w:szCs w:val="18"/>
              </w:rPr>
            </w:pPr>
            <w:r w:rsidRPr="00B0658A">
              <w:rPr>
                <w:rFonts w:ascii="Times New Roman" w:hAnsi="Times New Roman"/>
                <w:sz w:val="18"/>
                <w:szCs w:val="18"/>
              </w:rPr>
              <w:t>Средства обеспечения информационной безопасности/ Средства гарантированного уничтожения данных</w:t>
            </w:r>
          </w:p>
        </w:tc>
        <w:tc>
          <w:tcPr>
            <w:tcW w:w="1026" w:type="pct"/>
            <w:shd w:val="clear" w:color="000000" w:fill="FFFFFF"/>
            <w:hideMark/>
          </w:tcPr>
          <w:p w14:paraId="1C1FCC1E" w14:textId="77777777" w:rsidR="00766F9E" w:rsidRPr="00B0658A" w:rsidRDefault="00766F9E" w:rsidP="00766F9E">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3" w:type="pct"/>
            <w:shd w:val="clear" w:color="auto" w:fill="auto"/>
            <w:vAlign w:val="center"/>
          </w:tcPr>
          <w:p w14:paraId="0AE66CE0" w14:textId="77777777" w:rsidR="00766F9E" w:rsidRPr="00B0658A" w:rsidRDefault="00766F9E" w:rsidP="00766F9E">
            <w:pPr>
              <w:spacing w:after="0" w:line="240" w:lineRule="auto"/>
              <w:jc w:val="center"/>
              <w:rPr>
                <w:rFonts w:ascii="Times New Roman" w:hAnsi="Times New Roman"/>
                <w:sz w:val="18"/>
                <w:szCs w:val="18"/>
              </w:rPr>
            </w:pPr>
            <w:r>
              <w:rPr>
                <w:rFonts w:ascii="Times New Roman" w:hAnsi="Times New Roman"/>
                <w:sz w:val="18"/>
                <w:szCs w:val="18"/>
              </w:rPr>
              <w:t>60</w:t>
            </w:r>
            <w:r w:rsidRPr="00B0658A">
              <w:rPr>
                <w:rFonts w:ascii="Times New Roman" w:hAnsi="Times New Roman"/>
                <w:sz w:val="18"/>
                <w:szCs w:val="18"/>
                <w:lang w:val="en-US"/>
              </w:rPr>
              <w:t>%</w:t>
            </w:r>
          </w:p>
        </w:tc>
        <w:tc>
          <w:tcPr>
            <w:tcW w:w="364" w:type="pct"/>
            <w:shd w:val="clear" w:color="auto" w:fill="auto"/>
            <w:vAlign w:val="center"/>
          </w:tcPr>
          <w:p w14:paraId="44EB75E9" w14:textId="77777777" w:rsidR="00766F9E" w:rsidRPr="00B0658A" w:rsidRDefault="00766F9E" w:rsidP="00766F9E">
            <w:pPr>
              <w:spacing w:after="0" w:line="240" w:lineRule="auto"/>
              <w:jc w:val="center"/>
              <w:rPr>
                <w:rFonts w:ascii="Times New Roman" w:hAnsi="Times New Roman"/>
                <w:sz w:val="18"/>
                <w:szCs w:val="18"/>
              </w:rPr>
            </w:pPr>
            <w:r>
              <w:rPr>
                <w:rFonts w:ascii="Times New Roman" w:hAnsi="Times New Roman"/>
                <w:sz w:val="18"/>
                <w:szCs w:val="18"/>
              </w:rPr>
              <w:t>8</w:t>
            </w:r>
            <w:r w:rsidRPr="00B0658A">
              <w:rPr>
                <w:rFonts w:ascii="Times New Roman" w:hAnsi="Times New Roman"/>
                <w:sz w:val="18"/>
                <w:szCs w:val="18"/>
                <w:lang w:val="en-US"/>
              </w:rPr>
              <w:t>0%</w:t>
            </w:r>
          </w:p>
        </w:tc>
        <w:tc>
          <w:tcPr>
            <w:tcW w:w="364" w:type="pct"/>
            <w:shd w:val="clear" w:color="auto" w:fill="auto"/>
            <w:vAlign w:val="center"/>
          </w:tcPr>
          <w:p w14:paraId="18174FC0"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76" w:type="pct"/>
            <w:vAlign w:val="center"/>
          </w:tcPr>
          <w:p w14:paraId="515B4600" w14:textId="77777777" w:rsidR="00766F9E" w:rsidRPr="00B0658A" w:rsidRDefault="00766F9E" w:rsidP="00766F9E">
            <w:pPr>
              <w:spacing w:after="0" w:line="240" w:lineRule="auto"/>
              <w:jc w:val="center"/>
              <w:rPr>
                <w:rFonts w:ascii="Times New Roman" w:hAnsi="Times New Roman"/>
                <w:sz w:val="18"/>
                <w:szCs w:val="18"/>
                <w:lang w:val="en-US"/>
              </w:rPr>
            </w:pPr>
            <w:r w:rsidRPr="00B0658A">
              <w:rPr>
                <w:rFonts w:ascii="Times New Roman" w:hAnsi="Times New Roman"/>
                <w:sz w:val="18"/>
                <w:szCs w:val="18"/>
                <w:lang w:val="en-US"/>
              </w:rPr>
              <w:t>100%</w:t>
            </w:r>
          </w:p>
        </w:tc>
        <w:tc>
          <w:tcPr>
            <w:tcW w:w="364" w:type="pct"/>
            <w:shd w:val="clear" w:color="auto" w:fill="auto"/>
            <w:vAlign w:val="center"/>
          </w:tcPr>
          <w:p w14:paraId="35995241"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4" w:type="pct"/>
            <w:shd w:val="clear" w:color="auto" w:fill="auto"/>
            <w:vAlign w:val="center"/>
          </w:tcPr>
          <w:p w14:paraId="55F562CD"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58" w:type="pct"/>
            <w:shd w:val="clear" w:color="auto" w:fill="auto"/>
            <w:vAlign w:val="center"/>
          </w:tcPr>
          <w:p w14:paraId="41DC2E7C"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D73F09" w:rsidRPr="00B0658A" w14:paraId="7BC57632" w14:textId="77777777" w:rsidTr="00FE71B1">
        <w:trPr>
          <w:trHeight w:val="20"/>
        </w:trPr>
        <w:tc>
          <w:tcPr>
            <w:tcW w:w="283" w:type="pct"/>
            <w:shd w:val="clear" w:color="000000" w:fill="FFFFFF"/>
            <w:vAlign w:val="center"/>
          </w:tcPr>
          <w:p w14:paraId="36146684" w14:textId="77777777" w:rsidR="00766F9E" w:rsidRPr="00B0658A" w:rsidRDefault="00766F9E" w:rsidP="00FE71B1">
            <w:pPr>
              <w:spacing w:after="0" w:line="240" w:lineRule="auto"/>
              <w:jc w:val="center"/>
              <w:rPr>
                <w:rFonts w:ascii="Times New Roman" w:hAnsi="Times New Roman"/>
                <w:sz w:val="18"/>
                <w:szCs w:val="18"/>
              </w:rPr>
            </w:pPr>
            <w:r w:rsidRPr="00B0658A">
              <w:rPr>
                <w:rFonts w:ascii="Times New Roman" w:hAnsi="Times New Roman"/>
                <w:sz w:val="18"/>
                <w:szCs w:val="18"/>
              </w:rPr>
              <w:t>3.9</w:t>
            </w:r>
          </w:p>
        </w:tc>
        <w:tc>
          <w:tcPr>
            <w:tcW w:w="1138" w:type="pct"/>
            <w:shd w:val="clear" w:color="auto" w:fill="auto"/>
            <w:vAlign w:val="center"/>
            <w:hideMark/>
          </w:tcPr>
          <w:p w14:paraId="47ADAF0B" w14:textId="77777777" w:rsidR="00766F9E" w:rsidRPr="00B0658A" w:rsidRDefault="00766F9E" w:rsidP="00766F9E">
            <w:pPr>
              <w:spacing w:after="0" w:line="240" w:lineRule="auto"/>
              <w:rPr>
                <w:rFonts w:ascii="Times New Roman" w:hAnsi="Times New Roman"/>
                <w:sz w:val="18"/>
                <w:szCs w:val="18"/>
              </w:rPr>
            </w:pPr>
            <w:r w:rsidRPr="00B0658A">
              <w:rPr>
                <w:rFonts w:ascii="Times New Roman" w:hAnsi="Times New Roman"/>
                <w:sz w:val="18"/>
                <w:szCs w:val="18"/>
              </w:rPr>
              <w:t>Средства обеспечения информационной безопасности/ Средства обнаружения и предотвращения утечек информации</w:t>
            </w:r>
          </w:p>
        </w:tc>
        <w:tc>
          <w:tcPr>
            <w:tcW w:w="1026" w:type="pct"/>
            <w:shd w:val="clear" w:color="000000" w:fill="FFFFFF"/>
            <w:hideMark/>
          </w:tcPr>
          <w:p w14:paraId="6D2111B5" w14:textId="77777777" w:rsidR="00766F9E" w:rsidRPr="00B0658A" w:rsidRDefault="00766F9E" w:rsidP="00766F9E">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3" w:type="pct"/>
            <w:shd w:val="clear" w:color="auto" w:fill="auto"/>
            <w:vAlign w:val="center"/>
          </w:tcPr>
          <w:p w14:paraId="28B14F5B" w14:textId="77777777" w:rsidR="00766F9E" w:rsidRPr="00B0658A" w:rsidRDefault="00766F9E" w:rsidP="00766F9E">
            <w:pPr>
              <w:spacing w:after="0" w:line="240" w:lineRule="auto"/>
              <w:jc w:val="center"/>
              <w:rPr>
                <w:rFonts w:ascii="Times New Roman" w:hAnsi="Times New Roman"/>
                <w:sz w:val="18"/>
                <w:szCs w:val="18"/>
              </w:rPr>
            </w:pPr>
            <w:r>
              <w:rPr>
                <w:rFonts w:ascii="Times New Roman" w:hAnsi="Times New Roman"/>
                <w:sz w:val="18"/>
                <w:szCs w:val="18"/>
              </w:rPr>
              <w:t>60</w:t>
            </w:r>
            <w:r w:rsidRPr="00B0658A">
              <w:rPr>
                <w:rFonts w:ascii="Times New Roman" w:hAnsi="Times New Roman"/>
                <w:sz w:val="18"/>
                <w:szCs w:val="18"/>
                <w:lang w:val="en-US"/>
              </w:rPr>
              <w:t>%</w:t>
            </w:r>
          </w:p>
        </w:tc>
        <w:tc>
          <w:tcPr>
            <w:tcW w:w="364" w:type="pct"/>
            <w:shd w:val="clear" w:color="auto" w:fill="auto"/>
            <w:vAlign w:val="center"/>
          </w:tcPr>
          <w:p w14:paraId="353E209D" w14:textId="77777777" w:rsidR="00766F9E" w:rsidRPr="00B0658A" w:rsidRDefault="00766F9E" w:rsidP="00766F9E">
            <w:pPr>
              <w:spacing w:after="0" w:line="240" w:lineRule="auto"/>
              <w:jc w:val="center"/>
              <w:rPr>
                <w:rFonts w:ascii="Times New Roman" w:hAnsi="Times New Roman"/>
                <w:sz w:val="18"/>
                <w:szCs w:val="18"/>
              </w:rPr>
            </w:pPr>
            <w:r>
              <w:rPr>
                <w:rFonts w:ascii="Times New Roman" w:hAnsi="Times New Roman"/>
                <w:sz w:val="18"/>
                <w:szCs w:val="18"/>
              </w:rPr>
              <w:t>8</w:t>
            </w:r>
            <w:r w:rsidRPr="00B0658A">
              <w:rPr>
                <w:rFonts w:ascii="Times New Roman" w:hAnsi="Times New Roman"/>
                <w:sz w:val="18"/>
                <w:szCs w:val="18"/>
                <w:lang w:val="en-US"/>
              </w:rPr>
              <w:t>0%</w:t>
            </w:r>
          </w:p>
        </w:tc>
        <w:tc>
          <w:tcPr>
            <w:tcW w:w="364" w:type="pct"/>
            <w:shd w:val="clear" w:color="auto" w:fill="auto"/>
            <w:vAlign w:val="center"/>
          </w:tcPr>
          <w:p w14:paraId="2B75F69C"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76" w:type="pct"/>
            <w:vAlign w:val="center"/>
          </w:tcPr>
          <w:p w14:paraId="678294C3" w14:textId="77777777" w:rsidR="00766F9E" w:rsidRPr="00B0658A" w:rsidRDefault="00766F9E" w:rsidP="00766F9E">
            <w:pPr>
              <w:spacing w:after="0" w:line="240" w:lineRule="auto"/>
              <w:jc w:val="center"/>
              <w:rPr>
                <w:rFonts w:ascii="Times New Roman" w:hAnsi="Times New Roman"/>
                <w:sz w:val="18"/>
                <w:szCs w:val="18"/>
                <w:lang w:val="en-US"/>
              </w:rPr>
            </w:pPr>
            <w:r w:rsidRPr="00B0658A">
              <w:rPr>
                <w:rFonts w:ascii="Times New Roman" w:hAnsi="Times New Roman"/>
                <w:sz w:val="18"/>
                <w:szCs w:val="18"/>
                <w:lang w:val="en-US"/>
              </w:rPr>
              <w:t>100%</w:t>
            </w:r>
          </w:p>
        </w:tc>
        <w:tc>
          <w:tcPr>
            <w:tcW w:w="364" w:type="pct"/>
            <w:shd w:val="clear" w:color="auto" w:fill="auto"/>
            <w:vAlign w:val="center"/>
          </w:tcPr>
          <w:p w14:paraId="1791F1BB"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4" w:type="pct"/>
            <w:shd w:val="clear" w:color="auto" w:fill="auto"/>
            <w:vAlign w:val="center"/>
          </w:tcPr>
          <w:p w14:paraId="54F35432"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58" w:type="pct"/>
            <w:shd w:val="clear" w:color="auto" w:fill="auto"/>
            <w:vAlign w:val="center"/>
          </w:tcPr>
          <w:p w14:paraId="15F1E406"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D73F09" w:rsidRPr="00B0658A" w14:paraId="52E6B4A5" w14:textId="77777777" w:rsidTr="00FE71B1">
        <w:trPr>
          <w:trHeight w:val="20"/>
        </w:trPr>
        <w:tc>
          <w:tcPr>
            <w:tcW w:w="283" w:type="pct"/>
            <w:shd w:val="clear" w:color="000000" w:fill="FFFFFF"/>
            <w:vAlign w:val="center"/>
          </w:tcPr>
          <w:p w14:paraId="615448F5" w14:textId="77777777" w:rsidR="00766F9E" w:rsidRPr="00B0658A" w:rsidRDefault="00766F9E" w:rsidP="00FE71B1">
            <w:pPr>
              <w:spacing w:after="0" w:line="240" w:lineRule="auto"/>
              <w:jc w:val="center"/>
              <w:rPr>
                <w:rFonts w:ascii="Times New Roman" w:hAnsi="Times New Roman"/>
                <w:sz w:val="18"/>
                <w:szCs w:val="18"/>
              </w:rPr>
            </w:pPr>
            <w:r w:rsidRPr="00B0658A">
              <w:rPr>
                <w:rFonts w:ascii="Times New Roman" w:hAnsi="Times New Roman"/>
                <w:sz w:val="18"/>
                <w:szCs w:val="18"/>
              </w:rPr>
              <w:t>3.10</w:t>
            </w:r>
          </w:p>
        </w:tc>
        <w:tc>
          <w:tcPr>
            <w:tcW w:w="1138" w:type="pct"/>
            <w:shd w:val="clear" w:color="auto" w:fill="auto"/>
            <w:vAlign w:val="center"/>
            <w:hideMark/>
          </w:tcPr>
          <w:p w14:paraId="797FD550" w14:textId="77777777" w:rsidR="00766F9E" w:rsidRPr="00B0658A" w:rsidRDefault="00766F9E" w:rsidP="00766F9E">
            <w:pPr>
              <w:spacing w:after="0" w:line="240" w:lineRule="auto"/>
              <w:rPr>
                <w:rFonts w:ascii="Times New Roman" w:hAnsi="Times New Roman"/>
                <w:sz w:val="18"/>
                <w:szCs w:val="18"/>
              </w:rPr>
            </w:pPr>
            <w:r w:rsidRPr="00B0658A">
              <w:rPr>
                <w:rFonts w:ascii="Times New Roman" w:hAnsi="Times New Roman"/>
                <w:sz w:val="18"/>
                <w:szCs w:val="18"/>
              </w:rPr>
              <w:t>Средства обеспечения информационной безопасности/ Средства криптографической защиты информации и электронной подписи</w:t>
            </w:r>
          </w:p>
        </w:tc>
        <w:tc>
          <w:tcPr>
            <w:tcW w:w="1026" w:type="pct"/>
            <w:shd w:val="clear" w:color="000000" w:fill="FFFFFF"/>
            <w:hideMark/>
          </w:tcPr>
          <w:p w14:paraId="382756FF" w14:textId="77777777" w:rsidR="00766F9E" w:rsidRPr="00B0658A" w:rsidRDefault="00766F9E" w:rsidP="00766F9E">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3" w:type="pct"/>
            <w:shd w:val="clear" w:color="auto" w:fill="auto"/>
            <w:vAlign w:val="center"/>
          </w:tcPr>
          <w:p w14:paraId="58415511"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4" w:type="pct"/>
            <w:shd w:val="clear" w:color="auto" w:fill="auto"/>
            <w:vAlign w:val="center"/>
          </w:tcPr>
          <w:p w14:paraId="5D69649C"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4" w:type="pct"/>
            <w:shd w:val="clear" w:color="auto" w:fill="auto"/>
            <w:vAlign w:val="center"/>
          </w:tcPr>
          <w:p w14:paraId="2F45A30B"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76" w:type="pct"/>
            <w:vAlign w:val="center"/>
          </w:tcPr>
          <w:p w14:paraId="1D8CA5D4" w14:textId="77777777" w:rsidR="00766F9E" w:rsidRPr="00B0658A" w:rsidRDefault="00766F9E" w:rsidP="00766F9E">
            <w:pPr>
              <w:spacing w:after="0" w:line="240" w:lineRule="auto"/>
              <w:jc w:val="center"/>
              <w:rPr>
                <w:rFonts w:ascii="Times New Roman" w:hAnsi="Times New Roman"/>
                <w:sz w:val="18"/>
                <w:szCs w:val="18"/>
                <w:lang w:val="en-US"/>
              </w:rPr>
            </w:pPr>
            <w:r w:rsidRPr="00B0658A">
              <w:rPr>
                <w:rFonts w:ascii="Times New Roman" w:hAnsi="Times New Roman"/>
                <w:sz w:val="18"/>
                <w:szCs w:val="18"/>
                <w:lang w:val="en-US"/>
              </w:rPr>
              <w:t>100%</w:t>
            </w:r>
          </w:p>
        </w:tc>
        <w:tc>
          <w:tcPr>
            <w:tcW w:w="364" w:type="pct"/>
            <w:shd w:val="clear" w:color="auto" w:fill="auto"/>
            <w:vAlign w:val="center"/>
          </w:tcPr>
          <w:p w14:paraId="37C27EC6"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4" w:type="pct"/>
            <w:shd w:val="clear" w:color="auto" w:fill="auto"/>
            <w:vAlign w:val="center"/>
          </w:tcPr>
          <w:p w14:paraId="3B8633B8"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58" w:type="pct"/>
            <w:shd w:val="clear" w:color="auto" w:fill="auto"/>
            <w:vAlign w:val="center"/>
          </w:tcPr>
          <w:p w14:paraId="267ADFC1"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D73F09" w:rsidRPr="00B0658A" w14:paraId="0308911B" w14:textId="77777777" w:rsidTr="00FE71B1">
        <w:trPr>
          <w:trHeight w:val="20"/>
        </w:trPr>
        <w:tc>
          <w:tcPr>
            <w:tcW w:w="283" w:type="pct"/>
            <w:shd w:val="clear" w:color="000000" w:fill="FFFFFF"/>
            <w:vAlign w:val="center"/>
          </w:tcPr>
          <w:p w14:paraId="77AD0D5B" w14:textId="77777777" w:rsidR="00766F9E" w:rsidRPr="00B0658A" w:rsidRDefault="00766F9E" w:rsidP="00FE71B1">
            <w:pPr>
              <w:spacing w:after="0" w:line="240" w:lineRule="auto"/>
              <w:jc w:val="center"/>
              <w:rPr>
                <w:rFonts w:ascii="Times New Roman" w:hAnsi="Times New Roman"/>
                <w:sz w:val="18"/>
                <w:szCs w:val="18"/>
              </w:rPr>
            </w:pPr>
            <w:r w:rsidRPr="00B0658A">
              <w:rPr>
                <w:rFonts w:ascii="Times New Roman" w:hAnsi="Times New Roman"/>
                <w:sz w:val="18"/>
                <w:szCs w:val="18"/>
              </w:rPr>
              <w:t>3.11</w:t>
            </w:r>
          </w:p>
        </w:tc>
        <w:tc>
          <w:tcPr>
            <w:tcW w:w="1138" w:type="pct"/>
            <w:shd w:val="clear" w:color="auto" w:fill="auto"/>
            <w:vAlign w:val="center"/>
            <w:hideMark/>
          </w:tcPr>
          <w:p w14:paraId="44E66015" w14:textId="77777777" w:rsidR="00766F9E" w:rsidRPr="00B0658A" w:rsidRDefault="00766F9E" w:rsidP="00766F9E">
            <w:pPr>
              <w:spacing w:after="0" w:line="240" w:lineRule="auto"/>
              <w:rPr>
                <w:rFonts w:ascii="Times New Roman" w:hAnsi="Times New Roman"/>
                <w:sz w:val="18"/>
                <w:szCs w:val="18"/>
              </w:rPr>
            </w:pPr>
            <w:r w:rsidRPr="00B0658A">
              <w:rPr>
                <w:rFonts w:ascii="Times New Roman" w:hAnsi="Times New Roman"/>
                <w:sz w:val="18"/>
                <w:szCs w:val="18"/>
              </w:rPr>
              <w:t>Средства обеспечения информационной безопасности/ Средства защиты каналов передачи данных, в том числе криптографическими методами</w:t>
            </w:r>
          </w:p>
        </w:tc>
        <w:tc>
          <w:tcPr>
            <w:tcW w:w="1026" w:type="pct"/>
            <w:shd w:val="clear" w:color="000000" w:fill="FFFFFF"/>
            <w:hideMark/>
          </w:tcPr>
          <w:p w14:paraId="5500E191" w14:textId="77777777" w:rsidR="00766F9E" w:rsidRPr="00B0658A" w:rsidRDefault="00766F9E" w:rsidP="00766F9E">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3" w:type="pct"/>
            <w:shd w:val="clear" w:color="auto" w:fill="auto"/>
            <w:vAlign w:val="center"/>
          </w:tcPr>
          <w:p w14:paraId="1DDA4CA6" w14:textId="77777777" w:rsidR="00766F9E" w:rsidRPr="00B0658A" w:rsidRDefault="00766F9E" w:rsidP="00766F9E">
            <w:pPr>
              <w:spacing w:after="0" w:line="240" w:lineRule="auto"/>
              <w:jc w:val="center"/>
              <w:rPr>
                <w:rFonts w:ascii="Times New Roman" w:hAnsi="Times New Roman"/>
                <w:sz w:val="18"/>
                <w:szCs w:val="18"/>
              </w:rPr>
            </w:pPr>
            <w:r>
              <w:rPr>
                <w:rFonts w:ascii="Times New Roman" w:hAnsi="Times New Roman"/>
                <w:sz w:val="18"/>
                <w:szCs w:val="18"/>
              </w:rPr>
              <w:t>60</w:t>
            </w:r>
            <w:r w:rsidRPr="00B0658A">
              <w:rPr>
                <w:rFonts w:ascii="Times New Roman" w:hAnsi="Times New Roman"/>
                <w:sz w:val="18"/>
                <w:szCs w:val="18"/>
                <w:lang w:val="en-US"/>
              </w:rPr>
              <w:t>%</w:t>
            </w:r>
          </w:p>
        </w:tc>
        <w:tc>
          <w:tcPr>
            <w:tcW w:w="364" w:type="pct"/>
            <w:shd w:val="clear" w:color="auto" w:fill="auto"/>
            <w:vAlign w:val="center"/>
          </w:tcPr>
          <w:p w14:paraId="5ABB2F08" w14:textId="77777777" w:rsidR="00766F9E" w:rsidRPr="00B0658A" w:rsidRDefault="00766F9E" w:rsidP="00766F9E">
            <w:pPr>
              <w:spacing w:after="0" w:line="240" w:lineRule="auto"/>
              <w:jc w:val="center"/>
              <w:rPr>
                <w:rFonts w:ascii="Times New Roman" w:hAnsi="Times New Roman"/>
                <w:sz w:val="18"/>
                <w:szCs w:val="18"/>
              </w:rPr>
            </w:pPr>
            <w:r>
              <w:rPr>
                <w:rFonts w:ascii="Times New Roman" w:hAnsi="Times New Roman"/>
                <w:sz w:val="18"/>
                <w:szCs w:val="18"/>
              </w:rPr>
              <w:t>8</w:t>
            </w:r>
            <w:r w:rsidRPr="00B0658A">
              <w:rPr>
                <w:rFonts w:ascii="Times New Roman" w:hAnsi="Times New Roman"/>
                <w:sz w:val="18"/>
                <w:szCs w:val="18"/>
                <w:lang w:val="en-US"/>
              </w:rPr>
              <w:t>0%</w:t>
            </w:r>
          </w:p>
        </w:tc>
        <w:tc>
          <w:tcPr>
            <w:tcW w:w="364" w:type="pct"/>
            <w:shd w:val="clear" w:color="auto" w:fill="auto"/>
            <w:vAlign w:val="center"/>
          </w:tcPr>
          <w:p w14:paraId="5A081E9F"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76" w:type="pct"/>
            <w:vAlign w:val="center"/>
          </w:tcPr>
          <w:p w14:paraId="048B9601" w14:textId="77777777" w:rsidR="00766F9E" w:rsidRPr="00B0658A" w:rsidRDefault="00766F9E" w:rsidP="00766F9E">
            <w:pPr>
              <w:spacing w:after="0" w:line="240" w:lineRule="auto"/>
              <w:jc w:val="center"/>
              <w:rPr>
                <w:rFonts w:ascii="Times New Roman" w:hAnsi="Times New Roman"/>
                <w:sz w:val="18"/>
                <w:szCs w:val="18"/>
                <w:lang w:val="en-US"/>
              </w:rPr>
            </w:pPr>
            <w:r w:rsidRPr="00B0658A">
              <w:rPr>
                <w:rFonts w:ascii="Times New Roman" w:hAnsi="Times New Roman"/>
                <w:sz w:val="18"/>
                <w:szCs w:val="18"/>
                <w:lang w:val="en-US"/>
              </w:rPr>
              <w:t>100%</w:t>
            </w:r>
          </w:p>
        </w:tc>
        <w:tc>
          <w:tcPr>
            <w:tcW w:w="364" w:type="pct"/>
            <w:shd w:val="clear" w:color="auto" w:fill="auto"/>
            <w:vAlign w:val="center"/>
          </w:tcPr>
          <w:p w14:paraId="7A06487A"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4" w:type="pct"/>
            <w:shd w:val="clear" w:color="auto" w:fill="auto"/>
            <w:vAlign w:val="center"/>
          </w:tcPr>
          <w:p w14:paraId="5E175F4A"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58" w:type="pct"/>
            <w:shd w:val="clear" w:color="auto" w:fill="auto"/>
            <w:vAlign w:val="center"/>
          </w:tcPr>
          <w:p w14:paraId="41AF742C"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D73F09" w:rsidRPr="00B0658A" w14:paraId="3D6DAA97" w14:textId="77777777" w:rsidTr="00FE71B1">
        <w:trPr>
          <w:trHeight w:val="20"/>
        </w:trPr>
        <w:tc>
          <w:tcPr>
            <w:tcW w:w="283" w:type="pct"/>
            <w:shd w:val="clear" w:color="000000" w:fill="FFFFFF"/>
            <w:vAlign w:val="center"/>
          </w:tcPr>
          <w:p w14:paraId="7AB37978" w14:textId="77777777" w:rsidR="00766F9E" w:rsidRPr="00B0658A" w:rsidRDefault="00766F9E" w:rsidP="00FE71B1">
            <w:pPr>
              <w:spacing w:after="0" w:line="240" w:lineRule="auto"/>
              <w:jc w:val="center"/>
              <w:rPr>
                <w:rFonts w:ascii="Times New Roman" w:hAnsi="Times New Roman"/>
                <w:sz w:val="18"/>
                <w:szCs w:val="18"/>
              </w:rPr>
            </w:pPr>
            <w:r w:rsidRPr="00B0658A">
              <w:rPr>
                <w:rFonts w:ascii="Times New Roman" w:hAnsi="Times New Roman"/>
                <w:sz w:val="18"/>
                <w:szCs w:val="18"/>
              </w:rPr>
              <w:t>3.12</w:t>
            </w:r>
          </w:p>
        </w:tc>
        <w:tc>
          <w:tcPr>
            <w:tcW w:w="1138" w:type="pct"/>
            <w:shd w:val="clear" w:color="auto" w:fill="auto"/>
            <w:vAlign w:val="center"/>
            <w:hideMark/>
          </w:tcPr>
          <w:p w14:paraId="5247E76E" w14:textId="77777777" w:rsidR="00766F9E" w:rsidRPr="00B0658A" w:rsidRDefault="00766F9E" w:rsidP="00766F9E">
            <w:pPr>
              <w:spacing w:after="0" w:line="240" w:lineRule="auto"/>
              <w:rPr>
                <w:rFonts w:ascii="Times New Roman" w:hAnsi="Times New Roman"/>
                <w:sz w:val="18"/>
                <w:szCs w:val="18"/>
              </w:rPr>
            </w:pPr>
            <w:r w:rsidRPr="00B0658A">
              <w:rPr>
                <w:rFonts w:ascii="Times New Roman" w:hAnsi="Times New Roman"/>
                <w:sz w:val="18"/>
                <w:szCs w:val="18"/>
              </w:rPr>
              <w:t>Средства обеспечения информационной безопасности/ Системы управления доступом к информационным ресурсам</w:t>
            </w:r>
          </w:p>
        </w:tc>
        <w:tc>
          <w:tcPr>
            <w:tcW w:w="1026" w:type="pct"/>
            <w:shd w:val="clear" w:color="000000" w:fill="FFFFFF"/>
            <w:hideMark/>
          </w:tcPr>
          <w:p w14:paraId="2B865B07" w14:textId="77777777" w:rsidR="00766F9E" w:rsidRPr="00B0658A" w:rsidRDefault="00766F9E" w:rsidP="00766F9E">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3" w:type="pct"/>
            <w:shd w:val="clear" w:color="auto" w:fill="auto"/>
            <w:vAlign w:val="center"/>
          </w:tcPr>
          <w:p w14:paraId="5C5EDCE1" w14:textId="77777777" w:rsidR="00766F9E" w:rsidRPr="00B0658A" w:rsidRDefault="00766F9E" w:rsidP="00766F9E">
            <w:pPr>
              <w:spacing w:after="0" w:line="240" w:lineRule="auto"/>
              <w:jc w:val="center"/>
              <w:rPr>
                <w:rFonts w:ascii="Times New Roman" w:hAnsi="Times New Roman"/>
                <w:sz w:val="18"/>
                <w:szCs w:val="18"/>
              </w:rPr>
            </w:pPr>
            <w:r>
              <w:rPr>
                <w:rFonts w:ascii="Times New Roman" w:hAnsi="Times New Roman"/>
                <w:sz w:val="18"/>
                <w:szCs w:val="18"/>
              </w:rPr>
              <w:t>60</w:t>
            </w:r>
            <w:r w:rsidRPr="00B0658A">
              <w:rPr>
                <w:rFonts w:ascii="Times New Roman" w:hAnsi="Times New Roman"/>
                <w:sz w:val="18"/>
                <w:szCs w:val="18"/>
                <w:lang w:val="en-US"/>
              </w:rPr>
              <w:t>%</w:t>
            </w:r>
          </w:p>
        </w:tc>
        <w:tc>
          <w:tcPr>
            <w:tcW w:w="364" w:type="pct"/>
            <w:shd w:val="clear" w:color="auto" w:fill="auto"/>
            <w:vAlign w:val="center"/>
          </w:tcPr>
          <w:p w14:paraId="3E4C8C90" w14:textId="77777777" w:rsidR="00766F9E" w:rsidRPr="00B0658A" w:rsidRDefault="00766F9E" w:rsidP="00766F9E">
            <w:pPr>
              <w:spacing w:after="0" w:line="240" w:lineRule="auto"/>
              <w:jc w:val="center"/>
              <w:rPr>
                <w:rFonts w:ascii="Times New Roman" w:hAnsi="Times New Roman"/>
                <w:sz w:val="18"/>
                <w:szCs w:val="18"/>
              </w:rPr>
            </w:pPr>
            <w:r>
              <w:rPr>
                <w:rFonts w:ascii="Times New Roman" w:hAnsi="Times New Roman"/>
                <w:sz w:val="18"/>
                <w:szCs w:val="18"/>
              </w:rPr>
              <w:t>8</w:t>
            </w:r>
            <w:r w:rsidRPr="00B0658A">
              <w:rPr>
                <w:rFonts w:ascii="Times New Roman" w:hAnsi="Times New Roman"/>
                <w:sz w:val="18"/>
                <w:szCs w:val="18"/>
                <w:lang w:val="en-US"/>
              </w:rPr>
              <w:t>0%</w:t>
            </w:r>
          </w:p>
        </w:tc>
        <w:tc>
          <w:tcPr>
            <w:tcW w:w="364" w:type="pct"/>
            <w:shd w:val="clear" w:color="auto" w:fill="auto"/>
            <w:vAlign w:val="center"/>
          </w:tcPr>
          <w:p w14:paraId="19B94E93"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76" w:type="pct"/>
            <w:vAlign w:val="center"/>
          </w:tcPr>
          <w:p w14:paraId="75082435" w14:textId="77777777" w:rsidR="00766F9E" w:rsidRPr="00B0658A" w:rsidRDefault="00766F9E" w:rsidP="00766F9E">
            <w:pPr>
              <w:spacing w:after="0" w:line="240" w:lineRule="auto"/>
              <w:jc w:val="center"/>
              <w:rPr>
                <w:rFonts w:ascii="Times New Roman" w:hAnsi="Times New Roman"/>
                <w:sz w:val="18"/>
                <w:szCs w:val="18"/>
                <w:lang w:val="en-US"/>
              </w:rPr>
            </w:pPr>
            <w:r w:rsidRPr="00B0658A">
              <w:rPr>
                <w:rFonts w:ascii="Times New Roman" w:hAnsi="Times New Roman"/>
                <w:sz w:val="18"/>
                <w:szCs w:val="18"/>
                <w:lang w:val="en-US"/>
              </w:rPr>
              <w:t>100%</w:t>
            </w:r>
          </w:p>
        </w:tc>
        <w:tc>
          <w:tcPr>
            <w:tcW w:w="364" w:type="pct"/>
            <w:shd w:val="clear" w:color="auto" w:fill="auto"/>
            <w:vAlign w:val="center"/>
          </w:tcPr>
          <w:p w14:paraId="5461F80B"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4" w:type="pct"/>
            <w:shd w:val="clear" w:color="auto" w:fill="auto"/>
            <w:vAlign w:val="center"/>
          </w:tcPr>
          <w:p w14:paraId="4D75A253"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58" w:type="pct"/>
            <w:shd w:val="clear" w:color="auto" w:fill="auto"/>
            <w:vAlign w:val="center"/>
          </w:tcPr>
          <w:p w14:paraId="34E12C4F"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D73F09" w:rsidRPr="00B0658A" w14:paraId="017B2A4A" w14:textId="77777777" w:rsidTr="00FE71B1">
        <w:trPr>
          <w:trHeight w:val="20"/>
        </w:trPr>
        <w:tc>
          <w:tcPr>
            <w:tcW w:w="283" w:type="pct"/>
            <w:shd w:val="clear" w:color="000000" w:fill="FFFFFF"/>
            <w:vAlign w:val="center"/>
          </w:tcPr>
          <w:p w14:paraId="33363F2B" w14:textId="77777777" w:rsidR="00766F9E" w:rsidRPr="00B0658A" w:rsidRDefault="00766F9E" w:rsidP="00FE71B1">
            <w:pPr>
              <w:spacing w:after="0" w:line="240" w:lineRule="auto"/>
              <w:jc w:val="center"/>
              <w:rPr>
                <w:rFonts w:ascii="Times New Roman" w:hAnsi="Times New Roman"/>
                <w:sz w:val="18"/>
                <w:szCs w:val="18"/>
              </w:rPr>
            </w:pPr>
            <w:r w:rsidRPr="00B0658A">
              <w:rPr>
                <w:rFonts w:ascii="Times New Roman" w:hAnsi="Times New Roman"/>
                <w:sz w:val="18"/>
                <w:szCs w:val="18"/>
              </w:rPr>
              <w:t>3.13</w:t>
            </w:r>
          </w:p>
        </w:tc>
        <w:tc>
          <w:tcPr>
            <w:tcW w:w="1138" w:type="pct"/>
            <w:shd w:val="clear" w:color="auto" w:fill="auto"/>
            <w:vAlign w:val="center"/>
            <w:hideMark/>
          </w:tcPr>
          <w:p w14:paraId="43222611" w14:textId="77777777" w:rsidR="00766F9E" w:rsidRPr="00B0658A" w:rsidRDefault="00766F9E" w:rsidP="00766F9E">
            <w:pPr>
              <w:spacing w:after="0" w:line="240" w:lineRule="auto"/>
              <w:rPr>
                <w:rFonts w:ascii="Times New Roman" w:hAnsi="Times New Roman"/>
                <w:sz w:val="18"/>
                <w:szCs w:val="18"/>
              </w:rPr>
            </w:pPr>
            <w:r w:rsidRPr="00B0658A">
              <w:rPr>
                <w:rFonts w:ascii="Times New Roman" w:hAnsi="Times New Roman"/>
                <w:sz w:val="18"/>
                <w:szCs w:val="18"/>
              </w:rPr>
              <w:t>Средства обеспечения информационной безопасности/ Средства резервного копирования</w:t>
            </w:r>
          </w:p>
        </w:tc>
        <w:tc>
          <w:tcPr>
            <w:tcW w:w="1026" w:type="pct"/>
            <w:shd w:val="clear" w:color="000000" w:fill="FFFFFF"/>
            <w:hideMark/>
          </w:tcPr>
          <w:p w14:paraId="101B4507" w14:textId="77777777" w:rsidR="00766F9E" w:rsidRPr="00B0658A" w:rsidRDefault="00766F9E" w:rsidP="00766F9E">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3" w:type="pct"/>
            <w:shd w:val="clear" w:color="auto" w:fill="auto"/>
            <w:vAlign w:val="center"/>
          </w:tcPr>
          <w:p w14:paraId="0133D1C6"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25%</w:t>
            </w:r>
          </w:p>
        </w:tc>
        <w:tc>
          <w:tcPr>
            <w:tcW w:w="364" w:type="pct"/>
            <w:shd w:val="clear" w:color="auto" w:fill="auto"/>
            <w:vAlign w:val="center"/>
          </w:tcPr>
          <w:p w14:paraId="3C033D32"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35%</w:t>
            </w:r>
          </w:p>
        </w:tc>
        <w:tc>
          <w:tcPr>
            <w:tcW w:w="364" w:type="pct"/>
            <w:shd w:val="clear" w:color="auto" w:fill="auto"/>
            <w:vAlign w:val="center"/>
          </w:tcPr>
          <w:p w14:paraId="634F7DB5"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50%</w:t>
            </w:r>
          </w:p>
        </w:tc>
        <w:tc>
          <w:tcPr>
            <w:tcW w:w="376" w:type="pct"/>
            <w:vAlign w:val="center"/>
          </w:tcPr>
          <w:p w14:paraId="7B966630" w14:textId="77777777" w:rsidR="00766F9E" w:rsidRPr="00B0658A" w:rsidRDefault="00766F9E" w:rsidP="00766F9E">
            <w:pPr>
              <w:spacing w:after="0" w:line="240" w:lineRule="auto"/>
              <w:jc w:val="center"/>
              <w:rPr>
                <w:rFonts w:ascii="Times New Roman" w:hAnsi="Times New Roman"/>
                <w:sz w:val="18"/>
                <w:szCs w:val="18"/>
                <w:lang w:val="en-US"/>
              </w:rPr>
            </w:pPr>
            <w:r w:rsidRPr="00B0658A">
              <w:rPr>
                <w:rFonts w:ascii="Times New Roman" w:hAnsi="Times New Roman"/>
                <w:sz w:val="18"/>
                <w:szCs w:val="18"/>
                <w:lang w:val="en-US"/>
              </w:rPr>
              <w:t>100%</w:t>
            </w:r>
          </w:p>
        </w:tc>
        <w:tc>
          <w:tcPr>
            <w:tcW w:w="364" w:type="pct"/>
            <w:shd w:val="clear" w:color="auto" w:fill="auto"/>
            <w:vAlign w:val="center"/>
          </w:tcPr>
          <w:p w14:paraId="53DB2CAF" w14:textId="68F36F6F" w:rsidR="00766F9E" w:rsidRPr="00B0658A" w:rsidRDefault="00947DD4" w:rsidP="00766F9E">
            <w:pPr>
              <w:spacing w:after="0" w:line="240" w:lineRule="auto"/>
              <w:jc w:val="center"/>
              <w:rPr>
                <w:rFonts w:ascii="Times New Roman" w:hAnsi="Times New Roman"/>
                <w:sz w:val="18"/>
                <w:szCs w:val="18"/>
              </w:rPr>
            </w:pPr>
            <w:r>
              <w:rPr>
                <w:rFonts w:ascii="Times New Roman" w:hAnsi="Times New Roman"/>
                <w:sz w:val="18"/>
                <w:szCs w:val="18"/>
              </w:rPr>
              <w:t>100%</w:t>
            </w:r>
          </w:p>
        </w:tc>
        <w:tc>
          <w:tcPr>
            <w:tcW w:w="364" w:type="pct"/>
            <w:shd w:val="clear" w:color="auto" w:fill="auto"/>
            <w:vAlign w:val="center"/>
          </w:tcPr>
          <w:p w14:paraId="1A4E091F" w14:textId="18C84CAB" w:rsidR="00766F9E" w:rsidRPr="00B0658A" w:rsidRDefault="00947DD4" w:rsidP="00766F9E">
            <w:pPr>
              <w:spacing w:after="0" w:line="240" w:lineRule="auto"/>
              <w:jc w:val="center"/>
              <w:rPr>
                <w:rFonts w:ascii="Times New Roman" w:hAnsi="Times New Roman"/>
                <w:sz w:val="18"/>
                <w:szCs w:val="18"/>
              </w:rPr>
            </w:pPr>
            <w:r>
              <w:rPr>
                <w:rFonts w:ascii="Times New Roman" w:hAnsi="Times New Roman"/>
                <w:sz w:val="18"/>
                <w:szCs w:val="18"/>
              </w:rPr>
              <w:t>100%</w:t>
            </w:r>
          </w:p>
        </w:tc>
        <w:tc>
          <w:tcPr>
            <w:tcW w:w="358" w:type="pct"/>
            <w:shd w:val="clear" w:color="auto" w:fill="auto"/>
            <w:vAlign w:val="center"/>
          </w:tcPr>
          <w:p w14:paraId="3EC0B20B"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D73F09" w:rsidRPr="00B0658A" w14:paraId="59D06E5E" w14:textId="77777777" w:rsidTr="00FE71B1">
        <w:trPr>
          <w:trHeight w:val="20"/>
        </w:trPr>
        <w:tc>
          <w:tcPr>
            <w:tcW w:w="283" w:type="pct"/>
            <w:shd w:val="clear" w:color="000000" w:fill="FFFFFF"/>
            <w:vAlign w:val="center"/>
          </w:tcPr>
          <w:p w14:paraId="6D1207A3" w14:textId="77777777" w:rsidR="00766F9E" w:rsidRPr="00B0658A" w:rsidRDefault="00766F9E" w:rsidP="00FE71B1">
            <w:pPr>
              <w:spacing w:after="0" w:line="240" w:lineRule="auto"/>
              <w:jc w:val="center"/>
              <w:rPr>
                <w:rFonts w:ascii="Times New Roman" w:hAnsi="Times New Roman"/>
                <w:sz w:val="18"/>
                <w:szCs w:val="18"/>
              </w:rPr>
            </w:pPr>
            <w:r w:rsidRPr="00B0658A">
              <w:rPr>
                <w:rFonts w:ascii="Times New Roman" w:hAnsi="Times New Roman"/>
                <w:sz w:val="18"/>
                <w:szCs w:val="18"/>
              </w:rPr>
              <w:t>3.14</w:t>
            </w:r>
          </w:p>
        </w:tc>
        <w:tc>
          <w:tcPr>
            <w:tcW w:w="1138" w:type="pct"/>
            <w:shd w:val="clear" w:color="auto" w:fill="auto"/>
            <w:vAlign w:val="center"/>
            <w:hideMark/>
          </w:tcPr>
          <w:p w14:paraId="67BBDF3E" w14:textId="77777777" w:rsidR="00766F9E" w:rsidRPr="00B0658A" w:rsidRDefault="00766F9E" w:rsidP="00766F9E">
            <w:pPr>
              <w:spacing w:after="0" w:line="240" w:lineRule="auto"/>
              <w:rPr>
                <w:rFonts w:ascii="Times New Roman" w:hAnsi="Times New Roman"/>
                <w:sz w:val="18"/>
                <w:szCs w:val="18"/>
              </w:rPr>
            </w:pPr>
            <w:r w:rsidRPr="00B0658A">
              <w:rPr>
                <w:rFonts w:ascii="Times New Roman" w:hAnsi="Times New Roman"/>
                <w:sz w:val="18"/>
                <w:szCs w:val="18"/>
              </w:rPr>
              <w:t>Средства обеспечения информационной безопасности/ Средства обнаружения и/или предотвращения вторжений (атак)</w:t>
            </w:r>
          </w:p>
        </w:tc>
        <w:tc>
          <w:tcPr>
            <w:tcW w:w="1026" w:type="pct"/>
            <w:shd w:val="clear" w:color="000000" w:fill="FFFFFF"/>
            <w:hideMark/>
          </w:tcPr>
          <w:p w14:paraId="2D70299D" w14:textId="77777777" w:rsidR="00766F9E" w:rsidRPr="00B0658A" w:rsidRDefault="00766F9E" w:rsidP="00766F9E">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3" w:type="pct"/>
            <w:shd w:val="clear" w:color="auto" w:fill="auto"/>
            <w:vAlign w:val="center"/>
          </w:tcPr>
          <w:p w14:paraId="42F92894" w14:textId="77777777" w:rsidR="00766F9E" w:rsidRPr="00B0658A" w:rsidRDefault="00766F9E" w:rsidP="00766F9E">
            <w:pPr>
              <w:spacing w:after="0" w:line="240" w:lineRule="auto"/>
              <w:jc w:val="center"/>
              <w:rPr>
                <w:rFonts w:ascii="Times New Roman" w:hAnsi="Times New Roman"/>
                <w:sz w:val="18"/>
                <w:szCs w:val="18"/>
              </w:rPr>
            </w:pPr>
            <w:r>
              <w:rPr>
                <w:rFonts w:ascii="Times New Roman" w:hAnsi="Times New Roman"/>
                <w:sz w:val="18"/>
                <w:szCs w:val="18"/>
              </w:rPr>
              <w:t>60</w:t>
            </w:r>
            <w:r w:rsidRPr="00B0658A">
              <w:rPr>
                <w:rFonts w:ascii="Times New Roman" w:hAnsi="Times New Roman"/>
                <w:sz w:val="18"/>
                <w:szCs w:val="18"/>
                <w:lang w:val="en-US"/>
              </w:rPr>
              <w:t>%</w:t>
            </w:r>
          </w:p>
        </w:tc>
        <w:tc>
          <w:tcPr>
            <w:tcW w:w="364" w:type="pct"/>
            <w:shd w:val="clear" w:color="auto" w:fill="auto"/>
            <w:vAlign w:val="center"/>
          </w:tcPr>
          <w:p w14:paraId="6B96869C" w14:textId="77777777" w:rsidR="00766F9E" w:rsidRPr="00B0658A" w:rsidRDefault="00766F9E" w:rsidP="00766F9E">
            <w:pPr>
              <w:spacing w:after="0" w:line="240" w:lineRule="auto"/>
              <w:jc w:val="center"/>
              <w:rPr>
                <w:rFonts w:ascii="Times New Roman" w:hAnsi="Times New Roman"/>
                <w:sz w:val="18"/>
                <w:szCs w:val="18"/>
              </w:rPr>
            </w:pPr>
            <w:r>
              <w:rPr>
                <w:rFonts w:ascii="Times New Roman" w:hAnsi="Times New Roman"/>
                <w:sz w:val="18"/>
                <w:szCs w:val="18"/>
              </w:rPr>
              <w:t>8</w:t>
            </w:r>
            <w:r w:rsidRPr="00B0658A">
              <w:rPr>
                <w:rFonts w:ascii="Times New Roman" w:hAnsi="Times New Roman"/>
                <w:sz w:val="18"/>
                <w:szCs w:val="18"/>
                <w:lang w:val="en-US"/>
              </w:rPr>
              <w:t>0%</w:t>
            </w:r>
          </w:p>
        </w:tc>
        <w:tc>
          <w:tcPr>
            <w:tcW w:w="364" w:type="pct"/>
            <w:shd w:val="clear" w:color="auto" w:fill="auto"/>
            <w:vAlign w:val="center"/>
          </w:tcPr>
          <w:p w14:paraId="08B70E81"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76" w:type="pct"/>
            <w:vAlign w:val="center"/>
          </w:tcPr>
          <w:p w14:paraId="71B419D7" w14:textId="77777777" w:rsidR="00766F9E" w:rsidRPr="00B0658A" w:rsidRDefault="00766F9E" w:rsidP="00766F9E">
            <w:pPr>
              <w:spacing w:after="0" w:line="240" w:lineRule="auto"/>
              <w:jc w:val="center"/>
              <w:rPr>
                <w:rFonts w:ascii="Times New Roman" w:hAnsi="Times New Roman"/>
                <w:sz w:val="18"/>
                <w:szCs w:val="18"/>
                <w:lang w:val="en-US"/>
              </w:rPr>
            </w:pPr>
            <w:r w:rsidRPr="00B0658A">
              <w:rPr>
                <w:rFonts w:ascii="Times New Roman" w:hAnsi="Times New Roman"/>
                <w:sz w:val="18"/>
                <w:szCs w:val="18"/>
                <w:lang w:val="en-US"/>
              </w:rPr>
              <w:t>100%</w:t>
            </w:r>
          </w:p>
        </w:tc>
        <w:tc>
          <w:tcPr>
            <w:tcW w:w="364" w:type="pct"/>
            <w:shd w:val="clear" w:color="auto" w:fill="auto"/>
            <w:vAlign w:val="center"/>
          </w:tcPr>
          <w:p w14:paraId="2550490A"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4" w:type="pct"/>
            <w:shd w:val="clear" w:color="auto" w:fill="auto"/>
            <w:vAlign w:val="center"/>
          </w:tcPr>
          <w:p w14:paraId="140EC8E5"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58" w:type="pct"/>
            <w:shd w:val="clear" w:color="auto" w:fill="auto"/>
            <w:vAlign w:val="center"/>
          </w:tcPr>
          <w:p w14:paraId="163DBEE1"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D73F09" w:rsidRPr="00B0658A" w14:paraId="45494352" w14:textId="77777777" w:rsidTr="00FE71B1">
        <w:trPr>
          <w:trHeight w:val="20"/>
        </w:trPr>
        <w:tc>
          <w:tcPr>
            <w:tcW w:w="283" w:type="pct"/>
            <w:shd w:val="clear" w:color="000000" w:fill="FFFFFF"/>
            <w:vAlign w:val="center"/>
          </w:tcPr>
          <w:p w14:paraId="2C26E191" w14:textId="77777777" w:rsidR="00766F9E" w:rsidRPr="00B0658A" w:rsidRDefault="00766F9E" w:rsidP="00FE71B1">
            <w:pPr>
              <w:spacing w:after="0" w:line="240" w:lineRule="auto"/>
              <w:jc w:val="center"/>
              <w:rPr>
                <w:rFonts w:ascii="Times New Roman" w:hAnsi="Times New Roman"/>
                <w:sz w:val="18"/>
                <w:szCs w:val="18"/>
              </w:rPr>
            </w:pPr>
            <w:r w:rsidRPr="00B0658A">
              <w:rPr>
                <w:rFonts w:ascii="Times New Roman" w:hAnsi="Times New Roman"/>
                <w:sz w:val="18"/>
                <w:szCs w:val="18"/>
              </w:rPr>
              <w:t>3.15</w:t>
            </w:r>
          </w:p>
        </w:tc>
        <w:tc>
          <w:tcPr>
            <w:tcW w:w="1138" w:type="pct"/>
            <w:shd w:val="clear" w:color="auto" w:fill="auto"/>
            <w:vAlign w:val="center"/>
            <w:hideMark/>
          </w:tcPr>
          <w:p w14:paraId="6AA85436" w14:textId="77777777" w:rsidR="00766F9E" w:rsidRPr="00B0658A" w:rsidRDefault="00766F9E" w:rsidP="00766F9E">
            <w:pPr>
              <w:spacing w:after="0" w:line="240" w:lineRule="auto"/>
              <w:rPr>
                <w:rFonts w:ascii="Times New Roman" w:hAnsi="Times New Roman"/>
                <w:sz w:val="18"/>
                <w:szCs w:val="18"/>
              </w:rPr>
            </w:pPr>
            <w:r w:rsidRPr="00B0658A">
              <w:rPr>
                <w:rFonts w:ascii="Times New Roman" w:hAnsi="Times New Roman"/>
                <w:sz w:val="18"/>
                <w:szCs w:val="18"/>
              </w:rPr>
              <w:t>Средства обеспечения информационной безопасности/ Средства обнаружения угроз и расследования сетевых инцидентов</w:t>
            </w:r>
          </w:p>
        </w:tc>
        <w:tc>
          <w:tcPr>
            <w:tcW w:w="1026" w:type="pct"/>
            <w:shd w:val="clear" w:color="000000" w:fill="FFFFFF"/>
            <w:hideMark/>
          </w:tcPr>
          <w:p w14:paraId="56B381F8" w14:textId="77777777" w:rsidR="00766F9E" w:rsidRPr="00B0658A" w:rsidRDefault="00766F9E" w:rsidP="00766F9E">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3" w:type="pct"/>
            <w:shd w:val="clear" w:color="auto" w:fill="auto"/>
            <w:vAlign w:val="center"/>
          </w:tcPr>
          <w:p w14:paraId="3F8DE594" w14:textId="77777777" w:rsidR="00766F9E" w:rsidRPr="00B0658A" w:rsidRDefault="00766F9E" w:rsidP="00766F9E">
            <w:pPr>
              <w:spacing w:after="0" w:line="240" w:lineRule="auto"/>
              <w:jc w:val="center"/>
              <w:rPr>
                <w:rFonts w:ascii="Times New Roman" w:hAnsi="Times New Roman"/>
                <w:sz w:val="18"/>
                <w:szCs w:val="18"/>
              </w:rPr>
            </w:pPr>
            <w:r>
              <w:rPr>
                <w:rFonts w:ascii="Times New Roman" w:hAnsi="Times New Roman"/>
                <w:sz w:val="18"/>
                <w:szCs w:val="18"/>
              </w:rPr>
              <w:t>60</w:t>
            </w:r>
            <w:r w:rsidRPr="00B0658A">
              <w:rPr>
                <w:rFonts w:ascii="Times New Roman" w:hAnsi="Times New Roman"/>
                <w:sz w:val="18"/>
                <w:szCs w:val="18"/>
                <w:lang w:val="en-US"/>
              </w:rPr>
              <w:t>%</w:t>
            </w:r>
          </w:p>
        </w:tc>
        <w:tc>
          <w:tcPr>
            <w:tcW w:w="364" w:type="pct"/>
            <w:shd w:val="clear" w:color="auto" w:fill="auto"/>
            <w:vAlign w:val="center"/>
          </w:tcPr>
          <w:p w14:paraId="41AD3A7A" w14:textId="77777777" w:rsidR="00766F9E" w:rsidRPr="00B0658A" w:rsidRDefault="00766F9E" w:rsidP="00766F9E">
            <w:pPr>
              <w:spacing w:after="0" w:line="240" w:lineRule="auto"/>
              <w:jc w:val="center"/>
              <w:rPr>
                <w:rFonts w:ascii="Times New Roman" w:hAnsi="Times New Roman"/>
                <w:sz w:val="18"/>
                <w:szCs w:val="18"/>
              </w:rPr>
            </w:pPr>
            <w:r>
              <w:rPr>
                <w:rFonts w:ascii="Times New Roman" w:hAnsi="Times New Roman"/>
                <w:sz w:val="18"/>
                <w:szCs w:val="18"/>
              </w:rPr>
              <w:t>8</w:t>
            </w:r>
            <w:r w:rsidRPr="00B0658A">
              <w:rPr>
                <w:rFonts w:ascii="Times New Roman" w:hAnsi="Times New Roman"/>
                <w:sz w:val="18"/>
                <w:szCs w:val="18"/>
                <w:lang w:val="en-US"/>
              </w:rPr>
              <w:t>0%</w:t>
            </w:r>
          </w:p>
        </w:tc>
        <w:tc>
          <w:tcPr>
            <w:tcW w:w="364" w:type="pct"/>
            <w:shd w:val="clear" w:color="auto" w:fill="auto"/>
            <w:vAlign w:val="center"/>
          </w:tcPr>
          <w:p w14:paraId="2DA940C0"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76" w:type="pct"/>
            <w:vAlign w:val="center"/>
          </w:tcPr>
          <w:p w14:paraId="5125C4D7" w14:textId="77777777" w:rsidR="00766F9E" w:rsidRPr="00B0658A" w:rsidRDefault="00766F9E" w:rsidP="00766F9E">
            <w:pPr>
              <w:spacing w:after="0" w:line="240" w:lineRule="auto"/>
              <w:jc w:val="center"/>
              <w:rPr>
                <w:rFonts w:ascii="Times New Roman" w:hAnsi="Times New Roman"/>
                <w:sz w:val="18"/>
                <w:szCs w:val="18"/>
                <w:lang w:val="en-US"/>
              </w:rPr>
            </w:pPr>
            <w:r w:rsidRPr="00B0658A">
              <w:rPr>
                <w:rFonts w:ascii="Times New Roman" w:hAnsi="Times New Roman"/>
                <w:sz w:val="18"/>
                <w:szCs w:val="18"/>
                <w:lang w:val="en-US"/>
              </w:rPr>
              <w:t>100%</w:t>
            </w:r>
          </w:p>
        </w:tc>
        <w:tc>
          <w:tcPr>
            <w:tcW w:w="364" w:type="pct"/>
            <w:shd w:val="clear" w:color="auto" w:fill="auto"/>
            <w:vAlign w:val="center"/>
          </w:tcPr>
          <w:p w14:paraId="30FD43B3"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4" w:type="pct"/>
            <w:shd w:val="clear" w:color="auto" w:fill="auto"/>
            <w:vAlign w:val="center"/>
          </w:tcPr>
          <w:p w14:paraId="7F1AEA76"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58" w:type="pct"/>
            <w:shd w:val="clear" w:color="auto" w:fill="auto"/>
            <w:vAlign w:val="center"/>
          </w:tcPr>
          <w:p w14:paraId="46A1B929"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D73F09" w:rsidRPr="00B0658A" w14:paraId="5514C9F0" w14:textId="77777777" w:rsidTr="00FE71B1">
        <w:trPr>
          <w:trHeight w:val="20"/>
        </w:trPr>
        <w:tc>
          <w:tcPr>
            <w:tcW w:w="283" w:type="pct"/>
            <w:shd w:val="clear" w:color="000000" w:fill="FFFFFF"/>
            <w:vAlign w:val="center"/>
          </w:tcPr>
          <w:p w14:paraId="26A86A12" w14:textId="77777777" w:rsidR="00766F9E" w:rsidRPr="00B0658A" w:rsidRDefault="00766F9E" w:rsidP="00FE71B1">
            <w:pPr>
              <w:spacing w:after="0" w:line="240" w:lineRule="auto"/>
              <w:jc w:val="center"/>
              <w:rPr>
                <w:rFonts w:ascii="Times New Roman" w:hAnsi="Times New Roman"/>
                <w:sz w:val="18"/>
                <w:szCs w:val="18"/>
              </w:rPr>
            </w:pPr>
            <w:r w:rsidRPr="00B0658A">
              <w:rPr>
                <w:rFonts w:ascii="Times New Roman" w:hAnsi="Times New Roman"/>
                <w:sz w:val="18"/>
                <w:szCs w:val="18"/>
              </w:rPr>
              <w:t>3.16</w:t>
            </w:r>
          </w:p>
        </w:tc>
        <w:tc>
          <w:tcPr>
            <w:tcW w:w="1138" w:type="pct"/>
            <w:shd w:val="clear" w:color="auto" w:fill="auto"/>
            <w:vAlign w:val="center"/>
            <w:hideMark/>
          </w:tcPr>
          <w:p w14:paraId="25FA00BE" w14:textId="77777777" w:rsidR="00766F9E" w:rsidRPr="00B0658A" w:rsidRDefault="00766F9E" w:rsidP="00766F9E">
            <w:pPr>
              <w:spacing w:after="0" w:line="240" w:lineRule="auto"/>
              <w:rPr>
                <w:rFonts w:ascii="Times New Roman" w:hAnsi="Times New Roman"/>
                <w:sz w:val="18"/>
                <w:szCs w:val="18"/>
              </w:rPr>
            </w:pPr>
            <w:r w:rsidRPr="00B0658A">
              <w:rPr>
                <w:rFonts w:ascii="Times New Roman" w:hAnsi="Times New Roman"/>
                <w:sz w:val="18"/>
                <w:szCs w:val="18"/>
              </w:rPr>
              <w:t>Средства обеспечения информационной безопасности/ Средства администрирования и управления жизненным циклом ключевых носителей</w:t>
            </w:r>
          </w:p>
        </w:tc>
        <w:tc>
          <w:tcPr>
            <w:tcW w:w="1026" w:type="pct"/>
            <w:shd w:val="clear" w:color="000000" w:fill="FFFFFF"/>
            <w:hideMark/>
          </w:tcPr>
          <w:p w14:paraId="02FB4874" w14:textId="77777777" w:rsidR="00766F9E" w:rsidRPr="00B0658A" w:rsidRDefault="00766F9E" w:rsidP="00766F9E">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3" w:type="pct"/>
            <w:shd w:val="clear" w:color="auto" w:fill="auto"/>
            <w:vAlign w:val="center"/>
          </w:tcPr>
          <w:p w14:paraId="7D172BEE" w14:textId="77777777" w:rsidR="00766F9E" w:rsidRPr="00B0658A" w:rsidRDefault="00766F9E" w:rsidP="00766F9E">
            <w:pPr>
              <w:spacing w:after="0" w:line="240" w:lineRule="auto"/>
              <w:jc w:val="center"/>
              <w:rPr>
                <w:rFonts w:ascii="Times New Roman" w:hAnsi="Times New Roman"/>
                <w:sz w:val="18"/>
                <w:szCs w:val="18"/>
              </w:rPr>
            </w:pPr>
            <w:r>
              <w:rPr>
                <w:rFonts w:ascii="Times New Roman" w:hAnsi="Times New Roman"/>
                <w:sz w:val="18"/>
                <w:szCs w:val="18"/>
              </w:rPr>
              <w:t>60</w:t>
            </w:r>
            <w:r w:rsidRPr="00B0658A">
              <w:rPr>
                <w:rFonts w:ascii="Times New Roman" w:hAnsi="Times New Roman"/>
                <w:sz w:val="18"/>
                <w:szCs w:val="18"/>
                <w:lang w:val="en-US"/>
              </w:rPr>
              <w:t>%</w:t>
            </w:r>
          </w:p>
        </w:tc>
        <w:tc>
          <w:tcPr>
            <w:tcW w:w="364" w:type="pct"/>
            <w:shd w:val="clear" w:color="auto" w:fill="auto"/>
            <w:vAlign w:val="center"/>
          </w:tcPr>
          <w:p w14:paraId="7CFD4697" w14:textId="77777777" w:rsidR="00766F9E" w:rsidRPr="00B0658A" w:rsidRDefault="00766F9E" w:rsidP="00766F9E">
            <w:pPr>
              <w:spacing w:after="0" w:line="240" w:lineRule="auto"/>
              <w:jc w:val="center"/>
              <w:rPr>
                <w:rFonts w:ascii="Times New Roman" w:hAnsi="Times New Roman"/>
                <w:sz w:val="18"/>
                <w:szCs w:val="18"/>
              </w:rPr>
            </w:pPr>
            <w:r>
              <w:rPr>
                <w:rFonts w:ascii="Times New Roman" w:hAnsi="Times New Roman"/>
                <w:sz w:val="18"/>
                <w:szCs w:val="18"/>
              </w:rPr>
              <w:t>8</w:t>
            </w:r>
            <w:r w:rsidRPr="00B0658A">
              <w:rPr>
                <w:rFonts w:ascii="Times New Roman" w:hAnsi="Times New Roman"/>
                <w:sz w:val="18"/>
                <w:szCs w:val="18"/>
                <w:lang w:val="en-US"/>
              </w:rPr>
              <w:t>0%</w:t>
            </w:r>
          </w:p>
        </w:tc>
        <w:tc>
          <w:tcPr>
            <w:tcW w:w="364" w:type="pct"/>
            <w:shd w:val="clear" w:color="auto" w:fill="auto"/>
            <w:vAlign w:val="center"/>
          </w:tcPr>
          <w:p w14:paraId="1B8A0CD0"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76" w:type="pct"/>
            <w:vAlign w:val="center"/>
          </w:tcPr>
          <w:p w14:paraId="1A1A4814" w14:textId="77777777" w:rsidR="00766F9E" w:rsidRPr="00B0658A" w:rsidRDefault="00766F9E" w:rsidP="00766F9E">
            <w:pPr>
              <w:spacing w:after="0" w:line="240" w:lineRule="auto"/>
              <w:jc w:val="center"/>
              <w:rPr>
                <w:rFonts w:ascii="Times New Roman" w:hAnsi="Times New Roman"/>
                <w:sz w:val="18"/>
                <w:szCs w:val="18"/>
                <w:lang w:val="en-US"/>
              </w:rPr>
            </w:pPr>
            <w:r w:rsidRPr="00B0658A">
              <w:rPr>
                <w:rFonts w:ascii="Times New Roman" w:hAnsi="Times New Roman"/>
                <w:sz w:val="18"/>
                <w:szCs w:val="18"/>
                <w:lang w:val="en-US"/>
              </w:rPr>
              <w:t>100%</w:t>
            </w:r>
          </w:p>
        </w:tc>
        <w:tc>
          <w:tcPr>
            <w:tcW w:w="364" w:type="pct"/>
            <w:shd w:val="clear" w:color="auto" w:fill="auto"/>
            <w:vAlign w:val="center"/>
          </w:tcPr>
          <w:p w14:paraId="7D4BE9CC"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4" w:type="pct"/>
            <w:shd w:val="clear" w:color="auto" w:fill="auto"/>
            <w:vAlign w:val="center"/>
          </w:tcPr>
          <w:p w14:paraId="645542B3"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58" w:type="pct"/>
            <w:shd w:val="clear" w:color="auto" w:fill="auto"/>
            <w:vAlign w:val="center"/>
          </w:tcPr>
          <w:p w14:paraId="35ECB627"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D73F09" w:rsidRPr="00B0658A" w14:paraId="1535EEF2" w14:textId="77777777" w:rsidTr="00FE71B1">
        <w:trPr>
          <w:trHeight w:val="20"/>
        </w:trPr>
        <w:tc>
          <w:tcPr>
            <w:tcW w:w="283" w:type="pct"/>
            <w:shd w:val="clear" w:color="000000" w:fill="FFFFFF"/>
            <w:vAlign w:val="center"/>
          </w:tcPr>
          <w:p w14:paraId="1993D8E0" w14:textId="77777777" w:rsidR="00766F9E" w:rsidRPr="00B0658A" w:rsidRDefault="00766F9E" w:rsidP="00FE71B1">
            <w:pPr>
              <w:spacing w:after="0" w:line="240" w:lineRule="auto"/>
              <w:jc w:val="center"/>
              <w:rPr>
                <w:rFonts w:ascii="Times New Roman" w:hAnsi="Times New Roman"/>
                <w:sz w:val="18"/>
                <w:szCs w:val="18"/>
              </w:rPr>
            </w:pPr>
            <w:r w:rsidRPr="00B0658A">
              <w:rPr>
                <w:rFonts w:ascii="Times New Roman" w:hAnsi="Times New Roman"/>
                <w:sz w:val="18"/>
                <w:szCs w:val="18"/>
              </w:rPr>
              <w:t>3.17</w:t>
            </w:r>
          </w:p>
        </w:tc>
        <w:tc>
          <w:tcPr>
            <w:tcW w:w="1138" w:type="pct"/>
            <w:shd w:val="clear" w:color="auto" w:fill="auto"/>
            <w:vAlign w:val="center"/>
            <w:hideMark/>
          </w:tcPr>
          <w:p w14:paraId="57F3D74D" w14:textId="77777777" w:rsidR="00766F9E" w:rsidRPr="00B0658A" w:rsidRDefault="00766F9E" w:rsidP="00766F9E">
            <w:pPr>
              <w:spacing w:after="0" w:line="240" w:lineRule="auto"/>
              <w:rPr>
                <w:rFonts w:ascii="Times New Roman" w:hAnsi="Times New Roman"/>
                <w:sz w:val="18"/>
                <w:szCs w:val="18"/>
              </w:rPr>
            </w:pPr>
            <w:r w:rsidRPr="00B0658A">
              <w:rPr>
                <w:rFonts w:ascii="Times New Roman" w:hAnsi="Times New Roman"/>
                <w:sz w:val="18"/>
                <w:szCs w:val="18"/>
              </w:rPr>
              <w:t>Средства обеспечения информационной безопасности/ Средства автоматизации процессов информационной безопасности</w:t>
            </w:r>
          </w:p>
        </w:tc>
        <w:tc>
          <w:tcPr>
            <w:tcW w:w="1026" w:type="pct"/>
            <w:shd w:val="clear" w:color="000000" w:fill="FFFFFF"/>
            <w:hideMark/>
          </w:tcPr>
          <w:p w14:paraId="40977B37" w14:textId="77777777" w:rsidR="00766F9E" w:rsidRPr="00B0658A" w:rsidRDefault="00766F9E" w:rsidP="00766F9E">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3" w:type="pct"/>
            <w:shd w:val="clear" w:color="auto" w:fill="auto"/>
            <w:vAlign w:val="center"/>
          </w:tcPr>
          <w:p w14:paraId="0E5EC972" w14:textId="77777777" w:rsidR="00766F9E" w:rsidRPr="00B0658A" w:rsidRDefault="00766F9E" w:rsidP="00766F9E">
            <w:pPr>
              <w:spacing w:after="0" w:line="240" w:lineRule="auto"/>
              <w:jc w:val="center"/>
              <w:rPr>
                <w:rFonts w:ascii="Times New Roman" w:hAnsi="Times New Roman"/>
                <w:sz w:val="18"/>
                <w:szCs w:val="18"/>
              </w:rPr>
            </w:pPr>
            <w:r>
              <w:rPr>
                <w:rFonts w:ascii="Times New Roman" w:hAnsi="Times New Roman"/>
                <w:sz w:val="18"/>
                <w:szCs w:val="18"/>
              </w:rPr>
              <w:t>60</w:t>
            </w:r>
            <w:r w:rsidRPr="00B0658A">
              <w:rPr>
                <w:rFonts w:ascii="Times New Roman" w:hAnsi="Times New Roman"/>
                <w:sz w:val="18"/>
                <w:szCs w:val="18"/>
                <w:lang w:val="en-US"/>
              </w:rPr>
              <w:t>%</w:t>
            </w:r>
          </w:p>
        </w:tc>
        <w:tc>
          <w:tcPr>
            <w:tcW w:w="364" w:type="pct"/>
            <w:shd w:val="clear" w:color="auto" w:fill="auto"/>
            <w:vAlign w:val="center"/>
          </w:tcPr>
          <w:p w14:paraId="6562D36F" w14:textId="77777777" w:rsidR="00766F9E" w:rsidRPr="00B0658A" w:rsidRDefault="00766F9E" w:rsidP="00766F9E">
            <w:pPr>
              <w:spacing w:after="0" w:line="240" w:lineRule="auto"/>
              <w:jc w:val="center"/>
              <w:rPr>
                <w:rFonts w:ascii="Times New Roman" w:hAnsi="Times New Roman"/>
                <w:sz w:val="18"/>
                <w:szCs w:val="18"/>
              </w:rPr>
            </w:pPr>
            <w:r>
              <w:rPr>
                <w:rFonts w:ascii="Times New Roman" w:hAnsi="Times New Roman"/>
                <w:sz w:val="18"/>
                <w:szCs w:val="18"/>
              </w:rPr>
              <w:t>8</w:t>
            </w:r>
            <w:r w:rsidRPr="00B0658A">
              <w:rPr>
                <w:rFonts w:ascii="Times New Roman" w:hAnsi="Times New Roman"/>
                <w:sz w:val="18"/>
                <w:szCs w:val="18"/>
                <w:lang w:val="en-US"/>
              </w:rPr>
              <w:t>0%</w:t>
            </w:r>
          </w:p>
        </w:tc>
        <w:tc>
          <w:tcPr>
            <w:tcW w:w="364" w:type="pct"/>
            <w:shd w:val="clear" w:color="auto" w:fill="auto"/>
            <w:vAlign w:val="center"/>
          </w:tcPr>
          <w:p w14:paraId="1B562BEF"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76" w:type="pct"/>
            <w:vAlign w:val="center"/>
          </w:tcPr>
          <w:p w14:paraId="53E024CC" w14:textId="77777777" w:rsidR="00766F9E" w:rsidRPr="00B0658A" w:rsidRDefault="00766F9E" w:rsidP="00766F9E">
            <w:pPr>
              <w:spacing w:after="0" w:line="240" w:lineRule="auto"/>
              <w:jc w:val="center"/>
              <w:rPr>
                <w:rFonts w:ascii="Times New Roman" w:hAnsi="Times New Roman"/>
                <w:sz w:val="18"/>
                <w:szCs w:val="18"/>
                <w:lang w:val="en-US"/>
              </w:rPr>
            </w:pPr>
            <w:r w:rsidRPr="00B0658A">
              <w:rPr>
                <w:rFonts w:ascii="Times New Roman" w:hAnsi="Times New Roman"/>
                <w:sz w:val="18"/>
                <w:szCs w:val="18"/>
                <w:lang w:val="en-US"/>
              </w:rPr>
              <w:t>100%</w:t>
            </w:r>
          </w:p>
        </w:tc>
        <w:tc>
          <w:tcPr>
            <w:tcW w:w="364" w:type="pct"/>
            <w:shd w:val="clear" w:color="auto" w:fill="auto"/>
            <w:vAlign w:val="center"/>
          </w:tcPr>
          <w:p w14:paraId="58F0900F"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4" w:type="pct"/>
            <w:shd w:val="clear" w:color="auto" w:fill="auto"/>
            <w:vAlign w:val="center"/>
          </w:tcPr>
          <w:p w14:paraId="1FD36325"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58" w:type="pct"/>
            <w:shd w:val="clear" w:color="auto" w:fill="auto"/>
            <w:vAlign w:val="center"/>
          </w:tcPr>
          <w:p w14:paraId="0B8F582A"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D73F09" w:rsidRPr="00B0658A" w14:paraId="6EE66744" w14:textId="77777777" w:rsidTr="00FE71B1">
        <w:trPr>
          <w:trHeight w:val="20"/>
        </w:trPr>
        <w:tc>
          <w:tcPr>
            <w:tcW w:w="283" w:type="pct"/>
            <w:shd w:val="clear" w:color="000000" w:fill="FFFFFF"/>
            <w:vAlign w:val="center"/>
          </w:tcPr>
          <w:p w14:paraId="511C696B" w14:textId="77777777" w:rsidR="00766F9E" w:rsidRPr="00B0658A" w:rsidRDefault="00766F9E" w:rsidP="00FE71B1">
            <w:pPr>
              <w:spacing w:after="0" w:line="240" w:lineRule="auto"/>
              <w:jc w:val="center"/>
              <w:rPr>
                <w:rFonts w:ascii="Times New Roman" w:hAnsi="Times New Roman"/>
                <w:sz w:val="18"/>
                <w:szCs w:val="18"/>
              </w:rPr>
            </w:pPr>
            <w:r w:rsidRPr="00B0658A">
              <w:rPr>
                <w:rFonts w:ascii="Times New Roman" w:hAnsi="Times New Roman"/>
                <w:sz w:val="18"/>
                <w:szCs w:val="18"/>
              </w:rPr>
              <w:t>4.1</w:t>
            </w:r>
          </w:p>
        </w:tc>
        <w:tc>
          <w:tcPr>
            <w:tcW w:w="1138" w:type="pct"/>
            <w:shd w:val="clear" w:color="auto" w:fill="auto"/>
            <w:vAlign w:val="center"/>
            <w:hideMark/>
          </w:tcPr>
          <w:p w14:paraId="4A050DDB" w14:textId="77777777" w:rsidR="00766F9E" w:rsidRPr="00B0658A" w:rsidRDefault="00766F9E" w:rsidP="00766F9E">
            <w:pPr>
              <w:spacing w:after="0" w:line="240" w:lineRule="auto"/>
              <w:rPr>
                <w:rFonts w:ascii="Times New Roman" w:hAnsi="Times New Roman"/>
                <w:sz w:val="18"/>
                <w:szCs w:val="18"/>
              </w:rPr>
            </w:pPr>
            <w:r w:rsidRPr="00B0658A">
              <w:rPr>
                <w:rFonts w:ascii="Times New Roman" w:hAnsi="Times New Roman"/>
                <w:sz w:val="18"/>
                <w:szCs w:val="18"/>
              </w:rPr>
              <w:t>Средства разработки программного обеспечения/ Средства подготовки исполнимого кода</w:t>
            </w:r>
          </w:p>
        </w:tc>
        <w:tc>
          <w:tcPr>
            <w:tcW w:w="1026" w:type="pct"/>
            <w:shd w:val="clear" w:color="000000" w:fill="FFFFFF"/>
            <w:hideMark/>
          </w:tcPr>
          <w:p w14:paraId="3EF1582F" w14:textId="77777777" w:rsidR="00766F9E" w:rsidRPr="00B0658A" w:rsidRDefault="00766F9E" w:rsidP="00766F9E">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3" w:type="pct"/>
            <w:shd w:val="clear" w:color="auto" w:fill="auto"/>
            <w:vAlign w:val="center"/>
          </w:tcPr>
          <w:p w14:paraId="4BD0E3CE"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35%</w:t>
            </w:r>
          </w:p>
        </w:tc>
        <w:tc>
          <w:tcPr>
            <w:tcW w:w="364" w:type="pct"/>
            <w:shd w:val="clear" w:color="auto" w:fill="auto"/>
            <w:vAlign w:val="center"/>
          </w:tcPr>
          <w:p w14:paraId="27C042C9"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45%</w:t>
            </w:r>
          </w:p>
        </w:tc>
        <w:tc>
          <w:tcPr>
            <w:tcW w:w="364" w:type="pct"/>
            <w:shd w:val="clear" w:color="auto" w:fill="auto"/>
            <w:vAlign w:val="center"/>
          </w:tcPr>
          <w:p w14:paraId="15CED08B"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55%</w:t>
            </w:r>
          </w:p>
        </w:tc>
        <w:tc>
          <w:tcPr>
            <w:tcW w:w="376" w:type="pct"/>
            <w:vAlign w:val="center"/>
          </w:tcPr>
          <w:p w14:paraId="3A232ED3"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4" w:type="pct"/>
            <w:shd w:val="clear" w:color="auto" w:fill="auto"/>
            <w:vAlign w:val="center"/>
          </w:tcPr>
          <w:p w14:paraId="72C835AF"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70%</w:t>
            </w:r>
          </w:p>
        </w:tc>
        <w:tc>
          <w:tcPr>
            <w:tcW w:w="364" w:type="pct"/>
            <w:shd w:val="clear" w:color="auto" w:fill="auto"/>
            <w:vAlign w:val="center"/>
          </w:tcPr>
          <w:p w14:paraId="05C05D09"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90%</w:t>
            </w:r>
          </w:p>
        </w:tc>
        <w:tc>
          <w:tcPr>
            <w:tcW w:w="358" w:type="pct"/>
            <w:shd w:val="clear" w:color="auto" w:fill="auto"/>
            <w:vAlign w:val="center"/>
          </w:tcPr>
          <w:p w14:paraId="3FBDC975"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D73F09" w:rsidRPr="00B0658A" w14:paraId="6C2C063A" w14:textId="77777777" w:rsidTr="00FE71B1">
        <w:trPr>
          <w:trHeight w:val="20"/>
        </w:trPr>
        <w:tc>
          <w:tcPr>
            <w:tcW w:w="283" w:type="pct"/>
            <w:shd w:val="clear" w:color="000000" w:fill="FFFFFF"/>
            <w:vAlign w:val="center"/>
          </w:tcPr>
          <w:p w14:paraId="18148CC6" w14:textId="77777777" w:rsidR="00766F9E" w:rsidRPr="00B0658A" w:rsidRDefault="00766F9E" w:rsidP="00FE71B1">
            <w:pPr>
              <w:spacing w:after="0" w:line="240" w:lineRule="auto"/>
              <w:jc w:val="center"/>
              <w:rPr>
                <w:rFonts w:ascii="Times New Roman" w:hAnsi="Times New Roman"/>
                <w:sz w:val="18"/>
                <w:szCs w:val="18"/>
              </w:rPr>
            </w:pPr>
            <w:r w:rsidRPr="00B0658A">
              <w:rPr>
                <w:rFonts w:ascii="Times New Roman" w:hAnsi="Times New Roman"/>
                <w:sz w:val="18"/>
                <w:szCs w:val="18"/>
              </w:rPr>
              <w:t>4.2</w:t>
            </w:r>
          </w:p>
        </w:tc>
        <w:tc>
          <w:tcPr>
            <w:tcW w:w="1138" w:type="pct"/>
            <w:shd w:val="clear" w:color="auto" w:fill="auto"/>
            <w:vAlign w:val="center"/>
            <w:hideMark/>
          </w:tcPr>
          <w:p w14:paraId="67693F26" w14:textId="77777777" w:rsidR="00766F9E" w:rsidRPr="00B0658A" w:rsidRDefault="00766F9E" w:rsidP="00766F9E">
            <w:pPr>
              <w:spacing w:after="0" w:line="240" w:lineRule="auto"/>
              <w:rPr>
                <w:rFonts w:ascii="Times New Roman" w:hAnsi="Times New Roman"/>
                <w:sz w:val="18"/>
                <w:szCs w:val="18"/>
              </w:rPr>
            </w:pPr>
            <w:r w:rsidRPr="00B0658A">
              <w:rPr>
                <w:rFonts w:ascii="Times New Roman" w:hAnsi="Times New Roman"/>
                <w:sz w:val="18"/>
                <w:szCs w:val="18"/>
              </w:rPr>
              <w:t>Средства разработки программного обеспечения/ Средства версионного контроля исходного кода</w:t>
            </w:r>
          </w:p>
        </w:tc>
        <w:tc>
          <w:tcPr>
            <w:tcW w:w="1026" w:type="pct"/>
            <w:shd w:val="clear" w:color="000000" w:fill="FFFFFF"/>
            <w:hideMark/>
          </w:tcPr>
          <w:p w14:paraId="4BA88FFD" w14:textId="77777777" w:rsidR="00766F9E" w:rsidRPr="00B0658A" w:rsidRDefault="00766F9E" w:rsidP="00766F9E">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3" w:type="pct"/>
            <w:shd w:val="clear" w:color="auto" w:fill="auto"/>
            <w:vAlign w:val="center"/>
          </w:tcPr>
          <w:p w14:paraId="1CA8A811"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35%</w:t>
            </w:r>
          </w:p>
        </w:tc>
        <w:tc>
          <w:tcPr>
            <w:tcW w:w="364" w:type="pct"/>
            <w:shd w:val="clear" w:color="auto" w:fill="auto"/>
            <w:vAlign w:val="center"/>
          </w:tcPr>
          <w:p w14:paraId="0D444EC6"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45%</w:t>
            </w:r>
          </w:p>
        </w:tc>
        <w:tc>
          <w:tcPr>
            <w:tcW w:w="364" w:type="pct"/>
            <w:shd w:val="clear" w:color="auto" w:fill="auto"/>
            <w:vAlign w:val="center"/>
          </w:tcPr>
          <w:p w14:paraId="108EB70F"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55%</w:t>
            </w:r>
          </w:p>
        </w:tc>
        <w:tc>
          <w:tcPr>
            <w:tcW w:w="376" w:type="pct"/>
            <w:vAlign w:val="center"/>
          </w:tcPr>
          <w:p w14:paraId="4E11659B"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4" w:type="pct"/>
            <w:shd w:val="clear" w:color="auto" w:fill="auto"/>
            <w:vAlign w:val="center"/>
          </w:tcPr>
          <w:p w14:paraId="0C73DD21"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70%</w:t>
            </w:r>
          </w:p>
        </w:tc>
        <w:tc>
          <w:tcPr>
            <w:tcW w:w="364" w:type="pct"/>
            <w:shd w:val="clear" w:color="auto" w:fill="auto"/>
            <w:vAlign w:val="center"/>
          </w:tcPr>
          <w:p w14:paraId="53F6EB17"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90%</w:t>
            </w:r>
          </w:p>
        </w:tc>
        <w:tc>
          <w:tcPr>
            <w:tcW w:w="358" w:type="pct"/>
            <w:shd w:val="clear" w:color="auto" w:fill="auto"/>
            <w:vAlign w:val="center"/>
          </w:tcPr>
          <w:p w14:paraId="42A5C2B9"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rPr>
              <w:t>100</w:t>
            </w:r>
            <w:r w:rsidRPr="00B0658A">
              <w:rPr>
                <w:rFonts w:ascii="Times New Roman" w:hAnsi="Times New Roman"/>
                <w:sz w:val="18"/>
                <w:szCs w:val="18"/>
                <w:lang w:val="en-US"/>
              </w:rPr>
              <w:t>%</w:t>
            </w:r>
          </w:p>
        </w:tc>
      </w:tr>
      <w:tr w:rsidR="00D73F09" w:rsidRPr="00B0658A" w14:paraId="4787DF02" w14:textId="77777777" w:rsidTr="00FE71B1">
        <w:trPr>
          <w:trHeight w:val="20"/>
        </w:trPr>
        <w:tc>
          <w:tcPr>
            <w:tcW w:w="283" w:type="pct"/>
            <w:shd w:val="clear" w:color="000000" w:fill="FFFFFF"/>
            <w:vAlign w:val="center"/>
          </w:tcPr>
          <w:p w14:paraId="6FF7C2CC" w14:textId="77777777" w:rsidR="00766F9E" w:rsidRPr="00B0658A" w:rsidRDefault="00766F9E" w:rsidP="00FE71B1">
            <w:pPr>
              <w:spacing w:after="0" w:line="240" w:lineRule="auto"/>
              <w:jc w:val="center"/>
              <w:rPr>
                <w:rFonts w:ascii="Times New Roman" w:hAnsi="Times New Roman"/>
                <w:sz w:val="18"/>
                <w:szCs w:val="18"/>
              </w:rPr>
            </w:pPr>
            <w:r w:rsidRPr="00B0658A">
              <w:rPr>
                <w:rFonts w:ascii="Times New Roman" w:hAnsi="Times New Roman"/>
                <w:sz w:val="18"/>
                <w:szCs w:val="18"/>
              </w:rPr>
              <w:t>4.3</w:t>
            </w:r>
          </w:p>
        </w:tc>
        <w:tc>
          <w:tcPr>
            <w:tcW w:w="1138" w:type="pct"/>
            <w:shd w:val="clear" w:color="auto" w:fill="auto"/>
            <w:vAlign w:val="center"/>
            <w:hideMark/>
          </w:tcPr>
          <w:p w14:paraId="0EF90353" w14:textId="77777777" w:rsidR="00766F9E" w:rsidRPr="00B0658A" w:rsidRDefault="00766F9E" w:rsidP="00766F9E">
            <w:pPr>
              <w:spacing w:after="0" w:line="240" w:lineRule="auto"/>
              <w:rPr>
                <w:rFonts w:ascii="Times New Roman" w:hAnsi="Times New Roman"/>
                <w:sz w:val="18"/>
                <w:szCs w:val="18"/>
              </w:rPr>
            </w:pPr>
            <w:r w:rsidRPr="00B0658A">
              <w:rPr>
                <w:rFonts w:ascii="Times New Roman" w:hAnsi="Times New Roman"/>
                <w:sz w:val="18"/>
                <w:szCs w:val="18"/>
              </w:rPr>
              <w:t>Средства разработки программного обеспечения/ Библиотеки подпрограмм (SDK)</w:t>
            </w:r>
          </w:p>
        </w:tc>
        <w:tc>
          <w:tcPr>
            <w:tcW w:w="1026" w:type="pct"/>
            <w:shd w:val="clear" w:color="000000" w:fill="FFFFFF"/>
            <w:hideMark/>
          </w:tcPr>
          <w:p w14:paraId="02013A55" w14:textId="77777777" w:rsidR="00766F9E" w:rsidRPr="00B0658A" w:rsidRDefault="00766F9E" w:rsidP="00766F9E">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3" w:type="pct"/>
            <w:shd w:val="clear" w:color="auto" w:fill="auto"/>
            <w:vAlign w:val="center"/>
          </w:tcPr>
          <w:p w14:paraId="042784AE"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35%</w:t>
            </w:r>
          </w:p>
        </w:tc>
        <w:tc>
          <w:tcPr>
            <w:tcW w:w="364" w:type="pct"/>
            <w:shd w:val="clear" w:color="auto" w:fill="auto"/>
            <w:vAlign w:val="center"/>
          </w:tcPr>
          <w:p w14:paraId="7B19CAB8"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45%</w:t>
            </w:r>
          </w:p>
        </w:tc>
        <w:tc>
          <w:tcPr>
            <w:tcW w:w="364" w:type="pct"/>
            <w:shd w:val="clear" w:color="auto" w:fill="auto"/>
            <w:vAlign w:val="center"/>
          </w:tcPr>
          <w:p w14:paraId="2782FEEE"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55%</w:t>
            </w:r>
          </w:p>
        </w:tc>
        <w:tc>
          <w:tcPr>
            <w:tcW w:w="376" w:type="pct"/>
            <w:vAlign w:val="center"/>
          </w:tcPr>
          <w:p w14:paraId="677AB205"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4" w:type="pct"/>
            <w:shd w:val="clear" w:color="auto" w:fill="auto"/>
            <w:vAlign w:val="center"/>
          </w:tcPr>
          <w:p w14:paraId="690C678B"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70%</w:t>
            </w:r>
          </w:p>
        </w:tc>
        <w:tc>
          <w:tcPr>
            <w:tcW w:w="364" w:type="pct"/>
            <w:shd w:val="clear" w:color="auto" w:fill="auto"/>
            <w:vAlign w:val="center"/>
          </w:tcPr>
          <w:p w14:paraId="1BED37C2"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90%</w:t>
            </w:r>
          </w:p>
        </w:tc>
        <w:tc>
          <w:tcPr>
            <w:tcW w:w="358" w:type="pct"/>
            <w:shd w:val="clear" w:color="auto" w:fill="auto"/>
            <w:vAlign w:val="center"/>
          </w:tcPr>
          <w:p w14:paraId="7680D568"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D73F09" w:rsidRPr="00B0658A" w14:paraId="6BE27028" w14:textId="77777777" w:rsidTr="00FE71B1">
        <w:trPr>
          <w:trHeight w:val="20"/>
        </w:trPr>
        <w:tc>
          <w:tcPr>
            <w:tcW w:w="283" w:type="pct"/>
            <w:shd w:val="clear" w:color="000000" w:fill="FFFFFF"/>
            <w:vAlign w:val="center"/>
          </w:tcPr>
          <w:p w14:paraId="42831CAE" w14:textId="77777777" w:rsidR="00766F9E" w:rsidRPr="00B0658A" w:rsidRDefault="00766F9E" w:rsidP="00FE71B1">
            <w:pPr>
              <w:spacing w:after="0" w:line="240" w:lineRule="auto"/>
              <w:jc w:val="center"/>
              <w:rPr>
                <w:rFonts w:ascii="Times New Roman" w:hAnsi="Times New Roman"/>
                <w:sz w:val="18"/>
                <w:szCs w:val="18"/>
              </w:rPr>
            </w:pPr>
            <w:r w:rsidRPr="00B0658A">
              <w:rPr>
                <w:rFonts w:ascii="Times New Roman" w:hAnsi="Times New Roman"/>
                <w:sz w:val="18"/>
                <w:szCs w:val="18"/>
              </w:rPr>
              <w:t>4.4</w:t>
            </w:r>
          </w:p>
        </w:tc>
        <w:tc>
          <w:tcPr>
            <w:tcW w:w="1138" w:type="pct"/>
            <w:shd w:val="clear" w:color="auto" w:fill="auto"/>
            <w:vAlign w:val="center"/>
            <w:hideMark/>
          </w:tcPr>
          <w:p w14:paraId="3AF00798" w14:textId="77777777" w:rsidR="00766F9E" w:rsidRPr="00B0658A" w:rsidRDefault="00766F9E" w:rsidP="00766F9E">
            <w:pPr>
              <w:spacing w:after="0" w:line="240" w:lineRule="auto"/>
              <w:rPr>
                <w:rFonts w:ascii="Times New Roman" w:hAnsi="Times New Roman"/>
                <w:sz w:val="18"/>
                <w:szCs w:val="18"/>
              </w:rPr>
            </w:pPr>
            <w:r w:rsidRPr="00B0658A">
              <w:rPr>
                <w:rFonts w:ascii="Times New Roman" w:hAnsi="Times New Roman"/>
                <w:sz w:val="18"/>
                <w:szCs w:val="18"/>
              </w:rPr>
              <w:t>Средства разработки программного обеспечения/ Среды разработки, тестирования и отладки</w:t>
            </w:r>
          </w:p>
        </w:tc>
        <w:tc>
          <w:tcPr>
            <w:tcW w:w="1026" w:type="pct"/>
            <w:shd w:val="clear" w:color="000000" w:fill="FFFFFF"/>
            <w:hideMark/>
          </w:tcPr>
          <w:p w14:paraId="25601788" w14:textId="77777777" w:rsidR="00766F9E" w:rsidRPr="00B0658A" w:rsidRDefault="00766F9E" w:rsidP="00766F9E">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3" w:type="pct"/>
            <w:shd w:val="clear" w:color="auto" w:fill="auto"/>
            <w:vAlign w:val="center"/>
          </w:tcPr>
          <w:p w14:paraId="7273708E"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35%</w:t>
            </w:r>
          </w:p>
        </w:tc>
        <w:tc>
          <w:tcPr>
            <w:tcW w:w="364" w:type="pct"/>
            <w:shd w:val="clear" w:color="auto" w:fill="auto"/>
            <w:vAlign w:val="center"/>
          </w:tcPr>
          <w:p w14:paraId="51B1E19C"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45%</w:t>
            </w:r>
          </w:p>
        </w:tc>
        <w:tc>
          <w:tcPr>
            <w:tcW w:w="364" w:type="pct"/>
            <w:shd w:val="clear" w:color="auto" w:fill="auto"/>
            <w:vAlign w:val="center"/>
          </w:tcPr>
          <w:p w14:paraId="3028F869"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55%</w:t>
            </w:r>
          </w:p>
        </w:tc>
        <w:tc>
          <w:tcPr>
            <w:tcW w:w="376" w:type="pct"/>
            <w:vAlign w:val="center"/>
          </w:tcPr>
          <w:p w14:paraId="2ECEACB6"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4" w:type="pct"/>
            <w:shd w:val="clear" w:color="auto" w:fill="auto"/>
            <w:vAlign w:val="center"/>
          </w:tcPr>
          <w:p w14:paraId="49C4906B"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70%</w:t>
            </w:r>
          </w:p>
        </w:tc>
        <w:tc>
          <w:tcPr>
            <w:tcW w:w="364" w:type="pct"/>
            <w:shd w:val="clear" w:color="auto" w:fill="auto"/>
            <w:vAlign w:val="center"/>
          </w:tcPr>
          <w:p w14:paraId="14E52B98"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90%</w:t>
            </w:r>
          </w:p>
        </w:tc>
        <w:tc>
          <w:tcPr>
            <w:tcW w:w="358" w:type="pct"/>
            <w:shd w:val="clear" w:color="auto" w:fill="auto"/>
            <w:vAlign w:val="center"/>
          </w:tcPr>
          <w:p w14:paraId="36C62E13"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D73F09" w:rsidRPr="00B0658A" w14:paraId="5AB60710" w14:textId="77777777" w:rsidTr="00FE71B1">
        <w:trPr>
          <w:trHeight w:val="20"/>
        </w:trPr>
        <w:tc>
          <w:tcPr>
            <w:tcW w:w="283" w:type="pct"/>
            <w:shd w:val="clear" w:color="000000" w:fill="FFFFFF"/>
            <w:vAlign w:val="center"/>
          </w:tcPr>
          <w:p w14:paraId="68F5A5E4" w14:textId="77777777" w:rsidR="00766F9E" w:rsidRPr="00B0658A" w:rsidRDefault="00766F9E" w:rsidP="00FE71B1">
            <w:pPr>
              <w:spacing w:after="0" w:line="240" w:lineRule="auto"/>
              <w:jc w:val="center"/>
              <w:rPr>
                <w:rFonts w:ascii="Times New Roman" w:hAnsi="Times New Roman"/>
                <w:sz w:val="18"/>
                <w:szCs w:val="18"/>
              </w:rPr>
            </w:pPr>
            <w:r w:rsidRPr="00B0658A">
              <w:rPr>
                <w:rFonts w:ascii="Times New Roman" w:hAnsi="Times New Roman"/>
                <w:sz w:val="18"/>
                <w:szCs w:val="18"/>
              </w:rPr>
              <w:t>4.5</w:t>
            </w:r>
          </w:p>
        </w:tc>
        <w:tc>
          <w:tcPr>
            <w:tcW w:w="1138" w:type="pct"/>
            <w:shd w:val="clear" w:color="auto" w:fill="auto"/>
            <w:vAlign w:val="center"/>
            <w:hideMark/>
          </w:tcPr>
          <w:p w14:paraId="32EA034E" w14:textId="77777777" w:rsidR="00766F9E" w:rsidRPr="00B0658A" w:rsidRDefault="00766F9E" w:rsidP="00766F9E">
            <w:pPr>
              <w:spacing w:after="0" w:line="240" w:lineRule="auto"/>
              <w:rPr>
                <w:rFonts w:ascii="Times New Roman" w:hAnsi="Times New Roman"/>
                <w:sz w:val="18"/>
                <w:szCs w:val="18"/>
              </w:rPr>
            </w:pPr>
            <w:r w:rsidRPr="00B0658A">
              <w:rPr>
                <w:rFonts w:ascii="Times New Roman" w:hAnsi="Times New Roman"/>
                <w:sz w:val="18"/>
                <w:szCs w:val="18"/>
              </w:rPr>
              <w:t>Средства разработки программного обеспечения/ Средства анализа исходного кода на закладки и уязвимости</w:t>
            </w:r>
          </w:p>
        </w:tc>
        <w:tc>
          <w:tcPr>
            <w:tcW w:w="1026" w:type="pct"/>
            <w:shd w:val="clear" w:color="000000" w:fill="FFFFFF"/>
            <w:hideMark/>
          </w:tcPr>
          <w:p w14:paraId="568D9B41" w14:textId="77777777" w:rsidR="00766F9E" w:rsidRPr="00B0658A" w:rsidRDefault="00766F9E" w:rsidP="00766F9E">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3" w:type="pct"/>
            <w:shd w:val="clear" w:color="auto" w:fill="auto"/>
            <w:vAlign w:val="center"/>
          </w:tcPr>
          <w:p w14:paraId="1189F73D"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35%</w:t>
            </w:r>
          </w:p>
        </w:tc>
        <w:tc>
          <w:tcPr>
            <w:tcW w:w="364" w:type="pct"/>
            <w:shd w:val="clear" w:color="auto" w:fill="auto"/>
            <w:vAlign w:val="center"/>
          </w:tcPr>
          <w:p w14:paraId="74DEA4D7"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45%</w:t>
            </w:r>
          </w:p>
        </w:tc>
        <w:tc>
          <w:tcPr>
            <w:tcW w:w="364" w:type="pct"/>
            <w:shd w:val="clear" w:color="auto" w:fill="auto"/>
            <w:vAlign w:val="center"/>
          </w:tcPr>
          <w:p w14:paraId="1C66C977"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55%</w:t>
            </w:r>
          </w:p>
        </w:tc>
        <w:tc>
          <w:tcPr>
            <w:tcW w:w="376" w:type="pct"/>
            <w:vAlign w:val="center"/>
          </w:tcPr>
          <w:p w14:paraId="2E4B895D"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4" w:type="pct"/>
            <w:shd w:val="clear" w:color="auto" w:fill="auto"/>
            <w:vAlign w:val="center"/>
          </w:tcPr>
          <w:p w14:paraId="22E171EE"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70%</w:t>
            </w:r>
          </w:p>
        </w:tc>
        <w:tc>
          <w:tcPr>
            <w:tcW w:w="364" w:type="pct"/>
            <w:shd w:val="clear" w:color="auto" w:fill="auto"/>
            <w:vAlign w:val="center"/>
          </w:tcPr>
          <w:p w14:paraId="3DDC7354"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90%</w:t>
            </w:r>
          </w:p>
        </w:tc>
        <w:tc>
          <w:tcPr>
            <w:tcW w:w="358" w:type="pct"/>
            <w:shd w:val="clear" w:color="auto" w:fill="auto"/>
            <w:vAlign w:val="center"/>
          </w:tcPr>
          <w:p w14:paraId="4D413C60"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D73F09" w:rsidRPr="00B0658A" w14:paraId="3C17BDD2" w14:textId="77777777" w:rsidTr="00FE71B1">
        <w:trPr>
          <w:trHeight w:val="20"/>
        </w:trPr>
        <w:tc>
          <w:tcPr>
            <w:tcW w:w="283" w:type="pct"/>
            <w:shd w:val="clear" w:color="000000" w:fill="FFFFFF"/>
            <w:vAlign w:val="center"/>
          </w:tcPr>
          <w:p w14:paraId="1439E900" w14:textId="77777777" w:rsidR="00766F9E" w:rsidRPr="00B0658A" w:rsidRDefault="00766F9E" w:rsidP="00FE71B1">
            <w:pPr>
              <w:spacing w:after="0" w:line="240" w:lineRule="auto"/>
              <w:jc w:val="center"/>
              <w:rPr>
                <w:rFonts w:ascii="Times New Roman" w:hAnsi="Times New Roman"/>
                <w:sz w:val="18"/>
                <w:szCs w:val="18"/>
              </w:rPr>
            </w:pPr>
            <w:r w:rsidRPr="00B0658A">
              <w:rPr>
                <w:rFonts w:ascii="Times New Roman" w:hAnsi="Times New Roman"/>
                <w:sz w:val="18"/>
                <w:szCs w:val="18"/>
              </w:rPr>
              <w:t>4.6</w:t>
            </w:r>
          </w:p>
        </w:tc>
        <w:tc>
          <w:tcPr>
            <w:tcW w:w="1138" w:type="pct"/>
            <w:shd w:val="clear" w:color="auto" w:fill="auto"/>
            <w:vAlign w:val="center"/>
            <w:hideMark/>
          </w:tcPr>
          <w:p w14:paraId="0CAC65F7" w14:textId="77777777" w:rsidR="00766F9E" w:rsidRPr="00B0658A" w:rsidRDefault="00766F9E" w:rsidP="00766F9E">
            <w:pPr>
              <w:spacing w:after="0" w:line="240" w:lineRule="auto"/>
              <w:rPr>
                <w:rFonts w:ascii="Times New Roman" w:hAnsi="Times New Roman"/>
                <w:sz w:val="18"/>
                <w:szCs w:val="18"/>
              </w:rPr>
            </w:pPr>
            <w:r w:rsidRPr="00B0658A">
              <w:rPr>
                <w:rFonts w:ascii="Times New Roman" w:hAnsi="Times New Roman"/>
                <w:sz w:val="18"/>
                <w:szCs w:val="18"/>
              </w:rPr>
              <w:t>Средства разработки программного обеспечения/ Средства разработки программного обеспечения на основе нейротехнологий и искусственного интеллекта</w:t>
            </w:r>
          </w:p>
        </w:tc>
        <w:tc>
          <w:tcPr>
            <w:tcW w:w="1026" w:type="pct"/>
            <w:shd w:val="clear" w:color="000000" w:fill="FFFFFF"/>
            <w:hideMark/>
          </w:tcPr>
          <w:p w14:paraId="4CD07AB7" w14:textId="77777777" w:rsidR="00766F9E" w:rsidRPr="00B0658A" w:rsidRDefault="00766F9E" w:rsidP="00766F9E">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3" w:type="pct"/>
            <w:shd w:val="clear" w:color="000000" w:fill="FFFFFF"/>
            <w:vAlign w:val="center"/>
          </w:tcPr>
          <w:p w14:paraId="75008AFB"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35%</w:t>
            </w:r>
          </w:p>
        </w:tc>
        <w:tc>
          <w:tcPr>
            <w:tcW w:w="364" w:type="pct"/>
            <w:shd w:val="clear" w:color="000000" w:fill="FFFFFF"/>
            <w:vAlign w:val="center"/>
          </w:tcPr>
          <w:p w14:paraId="30E0AA7B"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45%</w:t>
            </w:r>
          </w:p>
        </w:tc>
        <w:tc>
          <w:tcPr>
            <w:tcW w:w="364" w:type="pct"/>
            <w:shd w:val="clear" w:color="000000" w:fill="FFFFFF"/>
            <w:vAlign w:val="center"/>
          </w:tcPr>
          <w:p w14:paraId="35F90EB8"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55%</w:t>
            </w:r>
          </w:p>
        </w:tc>
        <w:tc>
          <w:tcPr>
            <w:tcW w:w="376" w:type="pct"/>
            <w:shd w:val="clear" w:color="000000" w:fill="FFFFFF"/>
            <w:vAlign w:val="center"/>
          </w:tcPr>
          <w:p w14:paraId="2EB6811C"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4" w:type="pct"/>
            <w:shd w:val="clear" w:color="000000" w:fill="FFFFFF"/>
            <w:vAlign w:val="center"/>
          </w:tcPr>
          <w:p w14:paraId="2A83E7F7"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70%</w:t>
            </w:r>
          </w:p>
        </w:tc>
        <w:tc>
          <w:tcPr>
            <w:tcW w:w="364" w:type="pct"/>
            <w:shd w:val="clear" w:color="000000" w:fill="FFFFFF"/>
            <w:vAlign w:val="center"/>
          </w:tcPr>
          <w:p w14:paraId="2166AB93"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90%</w:t>
            </w:r>
          </w:p>
        </w:tc>
        <w:tc>
          <w:tcPr>
            <w:tcW w:w="358" w:type="pct"/>
            <w:shd w:val="clear" w:color="000000" w:fill="FFFFFF"/>
            <w:vAlign w:val="center"/>
          </w:tcPr>
          <w:p w14:paraId="7AD0ECC2"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D73F09" w:rsidRPr="00B0658A" w14:paraId="2EBE9C00" w14:textId="77777777" w:rsidTr="00FE71B1">
        <w:trPr>
          <w:trHeight w:val="20"/>
        </w:trPr>
        <w:tc>
          <w:tcPr>
            <w:tcW w:w="283" w:type="pct"/>
            <w:shd w:val="clear" w:color="000000" w:fill="FFFFFF"/>
            <w:vAlign w:val="center"/>
          </w:tcPr>
          <w:p w14:paraId="75D9F821" w14:textId="77777777" w:rsidR="00766F9E" w:rsidRPr="00B0658A" w:rsidRDefault="00766F9E" w:rsidP="00FE71B1">
            <w:pPr>
              <w:spacing w:after="0" w:line="240" w:lineRule="auto"/>
              <w:jc w:val="center"/>
              <w:rPr>
                <w:rFonts w:ascii="Times New Roman" w:hAnsi="Times New Roman"/>
                <w:sz w:val="18"/>
                <w:szCs w:val="18"/>
              </w:rPr>
            </w:pPr>
            <w:r w:rsidRPr="00B0658A">
              <w:rPr>
                <w:rFonts w:ascii="Times New Roman" w:hAnsi="Times New Roman"/>
                <w:sz w:val="18"/>
                <w:szCs w:val="18"/>
              </w:rPr>
              <w:t>4.7.</w:t>
            </w:r>
          </w:p>
        </w:tc>
        <w:tc>
          <w:tcPr>
            <w:tcW w:w="1138" w:type="pct"/>
            <w:shd w:val="clear" w:color="auto" w:fill="auto"/>
            <w:vAlign w:val="center"/>
          </w:tcPr>
          <w:p w14:paraId="4610F7D5" w14:textId="77777777" w:rsidR="00766F9E" w:rsidRPr="00B0658A" w:rsidRDefault="00766F9E" w:rsidP="00766F9E">
            <w:pPr>
              <w:spacing w:after="0" w:line="240" w:lineRule="auto"/>
              <w:rPr>
                <w:rFonts w:ascii="Times New Roman" w:hAnsi="Times New Roman"/>
                <w:sz w:val="18"/>
                <w:szCs w:val="18"/>
              </w:rPr>
            </w:pPr>
            <w:r w:rsidRPr="00B0658A">
              <w:rPr>
                <w:rFonts w:ascii="Times New Roman" w:hAnsi="Times New Roman"/>
                <w:sz w:val="18"/>
                <w:szCs w:val="18"/>
              </w:rPr>
              <w:t>Средства разработки программного обеспечения/ Средства разработки программного обеспечения на основе квантовых технологий</w:t>
            </w:r>
          </w:p>
        </w:tc>
        <w:tc>
          <w:tcPr>
            <w:tcW w:w="1026" w:type="pct"/>
            <w:shd w:val="clear" w:color="000000" w:fill="FFFFFF"/>
          </w:tcPr>
          <w:p w14:paraId="14008B4F" w14:textId="77777777" w:rsidR="00766F9E" w:rsidRPr="00B0658A" w:rsidRDefault="00766F9E" w:rsidP="00766F9E">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3" w:type="pct"/>
            <w:shd w:val="clear" w:color="000000" w:fill="FFFFFF"/>
            <w:vAlign w:val="center"/>
          </w:tcPr>
          <w:p w14:paraId="73ED22DF"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35%</w:t>
            </w:r>
          </w:p>
        </w:tc>
        <w:tc>
          <w:tcPr>
            <w:tcW w:w="364" w:type="pct"/>
            <w:shd w:val="clear" w:color="000000" w:fill="FFFFFF"/>
            <w:vAlign w:val="center"/>
          </w:tcPr>
          <w:p w14:paraId="6B5FC8A9"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45%</w:t>
            </w:r>
          </w:p>
        </w:tc>
        <w:tc>
          <w:tcPr>
            <w:tcW w:w="364" w:type="pct"/>
            <w:shd w:val="clear" w:color="000000" w:fill="FFFFFF"/>
            <w:vAlign w:val="center"/>
          </w:tcPr>
          <w:p w14:paraId="54A1DAC7"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55%</w:t>
            </w:r>
          </w:p>
        </w:tc>
        <w:tc>
          <w:tcPr>
            <w:tcW w:w="376" w:type="pct"/>
            <w:shd w:val="clear" w:color="000000" w:fill="FFFFFF"/>
            <w:vAlign w:val="center"/>
          </w:tcPr>
          <w:p w14:paraId="6052E6F9"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4" w:type="pct"/>
            <w:shd w:val="clear" w:color="000000" w:fill="FFFFFF"/>
            <w:vAlign w:val="center"/>
          </w:tcPr>
          <w:p w14:paraId="6773C0C3"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70%</w:t>
            </w:r>
          </w:p>
        </w:tc>
        <w:tc>
          <w:tcPr>
            <w:tcW w:w="364" w:type="pct"/>
            <w:shd w:val="clear" w:color="000000" w:fill="FFFFFF"/>
            <w:vAlign w:val="center"/>
          </w:tcPr>
          <w:p w14:paraId="5EB6DEAA" w14:textId="77777777" w:rsidR="00766F9E" w:rsidRPr="00B0658A" w:rsidRDefault="00766F9E" w:rsidP="00766F9E">
            <w:pPr>
              <w:spacing w:after="0" w:line="240" w:lineRule="auto"/>
              <w:jc w:val="center"/>
              <w:rPr>
                <w:rFonts w:ascii="Times New Roman" w:hAnsi="Times New Roman"/>
                <w:sz w:val="18"/>
                <w:szCs w:val="18"/>
                <w:lang w:val="en-US"/>
              </w:rPr>
            </w:pPr>
            <w:r w:rsidRPr="00B0658A">
              <w:rPr>
                <w:rFonts w:ascii="Times New Roman" w:hAnsi="Times New Roman"/>
                <w:sz w:val="18"/>
                <w:szCs w:val="18"/>
                <w:lang w:val="en-US"/>
              </w:rPr>
              <w:t>90%</w:t>
            </w:r>
          </w:p>
        </w:tc>
        <w:tc>
          <w:tcPr>
            <w:tcW w:w="358" w:type="pct"/>
            <w:shd w:val="clear" w:color="000000" w:fill="FFFFFF"/>
            <w:vAlign w:val="center"/>
          </w:tcPr>
          <w:p w14:paraId="28891A31"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D73F09" w:rsidRPr="00B0658A" w14:paraId="1069C6B3" w14:textId="77777777" w:rsidTr="00FE71B1">
        <w:trPr>
          <w:trHeight w:val="20"/>
        </w:trPr>
        <w:tc>
          <w:tcPr>
            <w:tcW w:w="283" w:type="pct"/>
            <w:shd w:val="clear" w:color="000000" w:fill="FFFFFF"/>
            <w:vAlign w:val="center"/>
          </w:tcPr>
          <w:p w14:paraId="61736971" w14:textId="77777777" w:rsidR="00766F9E" w:rsidRPr="00B0658A" w:rsidRDefault="00766F9E" w:rsidP="00FE71B1">
            <w:pPr>
              <w:spacing w:after="0" w:line="240" w:lineRule="auto"/>
              <w:jc w:val="center"/>
              <w:rPr>
                <w:rFonts w:ascii="Times New Roman" w:hAnsi="Times New Roman"/>
                <w:sz w:val="18"/>
                <w:szCs w:val="18"/>
              </w:rPr>
            </w:pPr>
            <w:r w:rsidRPr="00B0658A">
              <w:rPr>
                <w:rFonts w:ascii="Times New Roman" w:hAnsi="Times New Roman"/>
                <w:sz w:val="18"/>
                <w:szCs w:val="18"/>
              </w:rPr>
              <w:t>4.8.</w:t>
            </w:r>
          </w:p>
        </w:tc>
        <w:tc>
          <w:tcPr>
            <w:tcW w:w="1138" w:type="pct"/>
            <w:shd w:val="clear" w:color="auto" w:fill="auto"/>
            <w:vAlign w:val="center"/>
          </w:tcPr>
          <w:p w14:paraId="23A0EBCB" w14:textId="77777777" w:rsidR="00766F9E" w:rsidRPr="00B0658A" w:rsidRDefault="00766F9E" w:rsidP="00766F9E">
            <w:pPr>
              <w:spacing w:after="0" w:line="240" w:lineRule="auto"/>
              <w:rPr>
                <w:rFonts w:ascii="Times New Roman" w:hAnsi="Times New Roman"/>
                <w:sz w:val="18"/>
                <w:szCs w:val="18"/>
              </w:rPr>
            </w:pPr>
            <w:r w:rsidRPr="00B0658A">
              <w:rPr>
                <w:rFonts w:ascii="Times New Roman" w:hAnsi="Times New Roman"/>
                <w:sz w:val="18"/>
                <w:szCs w:val="18"/>
              </w:rPr>
              <w:t>Средства разработки программного обеспечения/ Интегрированные платформы для создания приложений</w:t>
            </w:r>
          </w:p>
        </w:tc>
        <w:tc>
          <w:tcPr>
            <w:tcW w:w="1026" w:type="pct"/>
            <w:shd w:val="clear" w:color="000000" w:fill="FFFFFF"/>
          </w:tcPr>
          <w:p w14:paraId="6F82991E" w14:textId="77777777" w:rsidR="00766F9E" w:rsidRPr="00B0658A" w:rsidRDefault="00766F9E" w:rsidP="00766F9E">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3" w:type="pct"/>
            <w:shd w:val="clear" w:color="000000" w:fill="FFFFFF"/>
            <w:vAlign w:val="center"/>
          </w:tcPr>
          <w:p w14:paraId="003913F5"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35%</w:t>
            </w:r>
          </w:p>
        </w:tc>
        <w:tc>
          <w:tcPr>
            <w:tcW w:w="364" w:type="pct"/>
            <w:shd w:val="clear" w:color="000000" w:fill="FFFFFF"/>
            <w:vAlign w:val="center"/>
          </w:tcPr>
          <w:p w14:paraId="28BF3B74"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45%</w:t>
            </w:r>
          </w:p>
        </w:tc>
        <w:tc>
          <w:tcPr>
            <w:tcW w:w="364" w:type="pct"/>
            <w:shd w:val="clear" w:color="000000" w:fill="FFFFFF"/>
            <w:vAlign w:val="center"/>
          </w:tcPr>
          <w:p w14:paraId="4B589361"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55%</w:t>
            </w:r>
          </w:p>
        </w:tc>
        <w:tc>
          <w:tcPr>
            <w:tcW w:w="376" w:type="pct"/>
            <w:shd w:val="clear" w:color="000000" w:fill="FFFFFF"/>
            <w:vAlign w:val="center"/>
          </w:tcPr>
          <w:p w14:paraId="201AC7FB"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4" w:type="pct"/>
            <w:shd w:val="clear" w:color="000000" w:fill="FFFFFF"/>
            <w:vAlign w:val="center"/>
          </w:tcPr>
          <w:p w14:paraId="3E76B68F"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70%</w:t>
            </w:r>
          </w:p>
        </w:tc>
        <w:tc>
          <w:tcPr>
            <w:tcW w:w="364" w:type="pct"/>
            <w:shd w:val="clear" w:color="000000" w:fill="FFFFFF"/>
            <w:vAlign w:val="center"/>
          </w:tcPr>
          <w:p w14:paraId="6B4665A3" w14:textId="77777777" w:rsidR="00766F9E" w:rsidRPr="00B0658A" w:rsidRDefault="00766F9E" w:rsidP="00766F9E">
            <w:pPr>
              <w:spacing w:after="0" w:line="240" w:lineRule="auto"/>
              <w:jc w:val="center"/>
              <w:rPr>
                <w:rFonts w:ascii="Times New Roman" w:hAnsi="Times New Roman"/>
                <w:sz w:val="18"/>
                <w:szCs w:val="18"/>
                <w:lang w:val="en-US"/>
              </w:rPr>
            </w:pPr>
            <w:r w:rsidRPr="00B0658A">
              <w:rPr>
                <w:rFonts w:ascii="Times New Roman" w:hAnsi="Times New Roman"/>
                <w:sz w:val="18"/>
                <w:szCs w:val="18"/>
                <w:lang w:val="en-US"/>
              </w:rPr>
              <w:t>90%</w:t>
            </w:r>
          </w:p>
        </w:tc>
        <w:tc>
          <w:tcPr>
            <w:tcW w:w="358" w:type="pct"/>
            <w:shd w:val="clear" w:color="000000" w:fill="FFFFFF"/>
            <w:vAlign w:val="center"/>
          </w:tcPr>
          <w:p w14:paraId="06B60851"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D73F09" w:rsidRPr="00B0658A" w14:paraId="1CA128BC" w14:textId="77777777" w:rsidTr="00FE71B1">
        <w:trPr>
          <w:trHeight w:val="20"/>
        </w:trPr>
        <w:tc>
          <w:tcPr>
            <w:tcW w:w="283" w:type="pct"/>
            <w:shd w:val="clear" w:color="000000" w:fill="FFFFFF"/>
            <w:vAlign w:val="center"/>
          </w:tcPr>
          <w:p w14:paraId="44F86824" w14:textId="77777777" w:rsidR="00766F9E" w:rsidRPr="00B0658A" w:rsidRDefault="00766F9E" w:rsidP="00FE71B1">
            <w:pPr>
              <w:spacing w:after="0" w:line="240" w:lineRule="auto"/>
              <w:jc w:val="center"/>
              <w:rPr>
                <w:rFonts w:ascii="Times New Roman" w:hAnsi="Times New Roman"/>
                <w:sz w:val="18"/>
                <w:szCs w:val="18"/>
              </w:rPr>
            </w:pPr>
            <w:r w:rsidRPr="00B0658A">
              <w:rPr>
                <w:rFonts w:ascii="Times New Roman" w:hAnsi="Times New Roman"/>
                <w:sz w:val="18"/>
                <w:szCs w:val="18"/>
              </w:rPr>
              <w:t>4.9.</w:t>
            </w:r>
          </w:p>
        </w:tc>
        <w:tc>
          <w:tcPr>
            <w:tcW w:w="1138" w:type="pct"/>
            <w:shd w:val="clear" w:color="auto" w:fill="auto"/>
            <w:vAlign w:val="center"/>
          </w:tcPr>
          <w:p w14:paraId="08BFFFE1" w14:textId="77777777" w:rsidR="00766F9E" w:rsidRPr="00B0658A" w:rsidRDefault="00766F9E" w:rsidP="00766F9E">
            <w:pPr>
              <w:spacing w:after="0" w:line="240" w:lineRule="auto"/>
              <w:rPr>
                <w:rFonts w:ascii="Times New Roman" w:hAnsi="Times New Roman"/>
                <w:sz w:val="18"/>
                <w:szCs w:val="18"/>
              </w:rPr>
            </w:pPr>
            <w:r w:rsidRPr="00B0658A">
              <w:rPr>
                <w:rFonts w:ascii="Times New Roman" w:hAnsi="Times New Roman"/>
                <w:sz w:val="18"/>
                <w:szCs w:val="18"/>
              </w:rPr>
              <w:t xml:space="preserve">Средства разработки программного обеспечения/ Системы предотвращения анализа </w:t>
            </w:r>
            <w:r w:rsidRPr="00B0658A">
              <w:rPr>
                <w:rFonts w:ascii="Times New Roman" w:hAnsi="Times New Roman"/>
                <w:sz w:val="18"/>
                <w:szCs w:val="18"/>
              </w:rPr>
              <w:br/>
              <w:t>и восстановления исполняемого кода программ</w:t>
            </w:r>
          </w:p>
        </w:tc>
        <w:tc>
          <w:tcPr>
            <w:tcW w:w="1026" w:type="pct"/>
            <w:shd w:val="clear" w:color="000000" w:fill="FFFFFF"/>
          </w:tcPr>
          <w:p w14:paraId="48C80333" w14:textId="77777777" w:rsidR="00766F9E" w:rsidRPr="00B0658A" w:rsidRDefault="00766F9E" w:rsidP="00766F9E">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3" w:type="pct"/>
            <w:shd w:val="clear" w:color="000000" w:fill="FFFFFF"/>
            <w:vAlign w:val="center"/>
          </w:tcPr>
          <w:p w14:paraId="3C2F98AA"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35%</w:t>
            </w:r>
          </w:p>
        </w:tc>
        <w:tc>
          <w:tcPr>
            <w:tcW w:w="364" w:type="pct"/>
            <w:shd w:val="clear" w:color="000000" w:fill="FFFFFF"/>
            <w:vAlign w:val="center"/>
          </w:tcPr>
          <w:p w14:paraId="09008322"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45%</w:t>
            </w:r>
          </w:p>
        </w:tc>
        <w:tc>
          <w:tcPr>
            <w:tcW w:w="364" w:type="pct"/>
            <w:shd w:val="clear" w:color="000000" w:fill="FFFFFF"/>
            <w:vAlign w:val="center"/>
          </w:tcPr>
          <w:p w14:paraId="73B36CDD"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55%</w:t>
            </w:r>
          </w:p>
        </w:tc>
        <w:tc>
          <w:tcPr>
            <w:tcW w:w="376" w:type="pct"/>
            <w:shd w:val="clear" w:color="000000" w:fill="FFFFFF"/>
            <w:vAlign w:val="center"/>
          </w:tcPr>
          <w:p w14:paraId="45645F5C"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4" w:type="pct"/>
            <w:shd w:val="clear" w:color="000000" w:fill="FFFFFF"/>
            <w:vAlign w:val="center"/>
          </w:tcPr>
          <w:p w14:paraId="36AB16AD"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70%</w:t>
            </w:r>
          </w:p>
        </w:tc>
        <w:tc>
          <w:tcPr>
            <w:tcW w:w="364" w:type="pct"/>
            <w:shd w:val="clear" w:color="000000" w:fill="FFFFFF"/>
            <w:vAlign w:val="center"/>
          </w:tcPr>
          <w:p w14:paraId="5C91C4E9" w14:textId="77777777" w:rsidR="00766F9E" w:rsidRPr="00B0658A" w:rsidRDefault="00766F9E" w:rsidP="00766F9E">
            <w:pPr>
              <w:spacing w:after="0" w:line="240" w:lineRule="auto"/>
              <w:jc w:val="center"/>
              <w:rPr>
                <w:rFonts w:ascii="Times New Roman" w:hAnsi="Times New Roman"/>
                <w:sz w:val="18"/>
                <w:szCs w:val="18"/>
                <w:lang w:val="en-US"/>
              </w:rPr>
            </w:pPr>
            <w:r w:rsidRPr="00B0658A">
              <w:rPr>
                <w:rFonts w:ascii="Times New Roman" w:hAnsi="Times New Roman"/>
                <w:sz w:val="18"/>
                <w:szCs w:val="18"/>
                <w:lang w:val="en-US"/>
              </w:rPr>
              <w:t>90%</w:t>
            </w:r>
          </w:p>
        </w:tc>
        <w:tc>
          <w:tcPr>
            <w:tcW w:w="358" w:type="pct"/>
            <w:shd w:val="clear" w:color="000000" w:fill="FFFFFF"/>
            <w:vAlign w:val="center"/>
          </w:tcPr>
          <w:p w14:paraId="5F3C0538"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D73F09" w:rsidRPr="00B0658A" w14:paraId="3279EEEE" w14:textId="77777777" w:rsidTr="00FE71B1">
        <w:trPr>
          <w:trHeight w:val="20"/>
        </w:trPr>
        <w:tc>
          <w:tcPr>
            <w:tcW w:w="283" w:type="pct"/>
            <w:shd w:val="clear" w:color="000000" w:fill="FFFFFF"/>
            <w:vAlign w:val="center"/>
          </w:tcPr>
          <w:p w14:paraId="6DA483A5" w14:textId="77777777" w:rsidR="00766F9E" w:rsidRPr="00B0658A" w:rsidRDefault="00766F9E" w:rsidP="00FE71B1">
            <w:pPr>
              <w:spacing w:after="0" w:line="240" w:lineRule="auto"/>
              <w:jc w:val="center"/>
              <w:rPr>
                <w:rFonts w:ascii="Times New Roman" w:hAnsi="Times New Roman"/>
                <w:sz w:val="18"/>
                <w:szCs w:val="18"/>
              </w:rPr>
            </w:pPr>
            <w:r w:rsidRPr="00B0658A">
              <w:rPr>
                <w:rFonts w:ascii="Times New Roman" w:hAnsi="Times New Roman"/>
                <w:sz w:val="18"/>
                <w:szCs w:val="18"/>
              </w:rPr>
              <w:t>5.1</w:t>
            </w:r>
          </w:p>
        </w:tc>
        <w:tc>
          <w:tcPr>
            <w:tcW w:w="1138" w:type="pct"/>
            <w:shd w:val="clear" w:color="auto" w:fill="auto"/>
            <w:vAlign w:val="center"/>
          </w:tcPr>
          <w:p w14:paraId="5B5B387E" w14:textId="77777777" w:rsidR="00766F9E" w:rsidRPr="00B0658A" w:rsidRDefault="00766F9E" w:rsidP="00766F9E">
            <w:pPr>
              <w:spacing w:after="0" w:line="240" w:lineRule="auto"/>
              <w:rPr>
                <w:rFonts w:ascii="Times New Roman" w:hAnsi="Times New Roman"/>
                <w:sz w:val="18"/>
                <w:szCs w:val="18"/>
              </w:rPr>
            </w:pPr>
            <w:r w:rsidRPr="00B0658A">
              <w:rPr>
                <w:rFonts w:ascii="Times New Roman" w:hAnsi="Times New Roman"/>
                <w:sz w:val="18"/>
                <w:szCs w:val="18"/>
              </w:rPr>
              <w:t>Прикладное программное обеспечение/ Мультимедийное программное обеспечение</w:t>
            </w:r>
          </w:p>
        </w:tc>
        <w:tc>
          <w:tcPr>
            <w:tcW w:w="1026" w:type="pct"/>
            <w:shd w:val="clear" w:color="000000" w:fill="FFFFFF"/>
          </w:tcPr>
          <w:p w14:paraId="559314CF" w14:textId="77777777" w:rsidR="00766F9E" w:rsidRPr="00B0658A" w:rsidRDefault="00766F9E" w:rsidP="00766F9E">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3" w:type="pct"/>
            <w:shd w:val="clear" w:color="000000" w:fill="FFFFFF"/>
            <w:vAlign w:val="center"/>
          </w:tcPr>
          <w:p w14:paraId="06923DA4"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20%</w:t>
            </w:r>
          </w:p>
        </w:tc>
        <w:tc>
          <w:tcPr>
            <w:tcW w:w="364" w:type="pct"/>
            <w:shd w:val="clear" w:color="000000" w:fill="FFFFFF"/>
            <w:vAlign w:val="center"/>
          </w:tcPr>
          <w:p w14:paraId="33537A65"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30%</w:t>
            </w:r>
          </w:p>
        </w:tc>
        <w:tc>
          <w:tcPr>
            <w:tcW w:w="364" w:type="pct"/>
            <w:shd w:val="clear" w:color="000000" w:fill="FFFFFF"/>
            <w:vAlign w:val="center"/>
          </w:tcPr>
          <w:p w14:paraId="248B48EA"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40%</w:t>
            </w:r>
          </w:p>
        </w:tc>
        <w:tc>
          <w:tcPr>
            <w:tcW w:w="376" w:type="pct"/>
            <w:shd w:val="clear" w:color="000000" w:fill="FFFFFF"/>
            <w:vAlign w:val="center"/>
          </w:tcPr>
          <w:p w14:paraId="0E78F2C8"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4" w:type="pct"/>
            <w:shd w:val="clear" w:color="000000" w:fill="FFFFFF"/>
            <w:vAlign w:val="center"/>
          </w:tcPr>
          <w:p w14:paraId="510697DB"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60%</w:t>
            </w:r>
          </w:p>
        </w:tc>
        <w:tc>
          <w:tcPr>
            <w:tcW w:w="364" w:type="pct"/>
            <w:shd w:val="clear" w:color="000000" w:fill="FFFFFF"/>
            <w:vAlign w:val="center"/>
          </w:tcPr>
          <w:p w14:paraId="04FC850E"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80%</w:t>
            </w:r>
          </w:p>
        </w:tc>
        <w:tc>
          <w:tcPr>
            <w:tcW w:w="358" w:type="pct"/>
            <w:shd w:val="clear" w:color="000000" w:fill="FFFFFF"/>
            <w:vAlign w:val="center"/>
          </w:tcPr>
          <w:p w14:paraId="66890B0D"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D73F09" w:rsidRPr="00B0658A" w14:paraId="6509047C" w14:textId="77777777" w:rsidTr="00FE71B1">
        <w:trPr>
          <w:trHeight w:val="20"/>
        </w:trPr>
        <w:tc>
          <w:tcPr>
            <w:tcW w:w="283" w:type="pct"/>
            <w:shd w:val="clear" w:color="000000" w:fill="FFFFFF"/>
            <w:vAlign w:val="center"/>
          </w:tcPr>
          <w:p w14:paraId="0ACFE7F2" w14:textId="77777777" w:rsidR="00766F9E" w:rsidRPr="00B0658A" w:rsidRDefault="00766F9E" w:rsidP="00FE71B1">
            <w:pPr>
              <w:spacing w:after="0" w:line="240" w:lineRule="auto"/>
              <w:jc w:val="center"/>
              <w:rPr>
                <w:rFonts w:ascii="Times New Roman" w:hAnsi="Times New Roman"/>
                <w:sz w:val="18"/>
                <w:szCs w:val="18"/>
              </w:rPr>
            </w:pPr>
            <w:r w:rsidRPr="00B0658A">
              <w:rPr>
                <w:rFonts w:ascii="Times New Roman" w:hAnsi="Times New Roman"/>
                <w:sz w:val="18"/>
                <w:szCs w:val="18"/>
              </w:rPr>
              <w:t>5.2</w:t>
            </w:r>
          </w:p>
        </w:tc>
        <w:tc>
          <w:tcPr>
            <w:tcW w:w="1138" w:type="pct"/>
            <w:shd w:val="clear" w:color="auto" w:fill="auto"/>
            <w:vAlign w:val="center"/>
          </w:tcPr>
          <w:p w14:paraId="6501ED54" w14:textId="77777777" w:rsidR="00766F9E" w:rsidRPr="00B0658A" w:rsidRDefault="00766F9E" w:rsidP="00766F9E">
            <w:pPr>
              <w:spacing w:after="0" w:line="240" w:lineRule="auto"/>
              <w:rPr>
                <w:rFonts w:ascii="Times New Roman" w:hAnsi="Times New Roman"/>
                <w:sz w:val="18"/>
                <w:szCs w:val="18"/>
              </w:rPr>
            </w:pPr>
            <w:r w:rsidRPr="00B0658A">
              <w:rPr>
                <w:rFonts w:ascii="Times New Roman" w:hAnsi="Times New Roman"/>
                <w:sz w:val="18"/>
                <w:szCs w:val="18"/>
              </w:rPr>
              <w:t>Прикладное программное обеспечение/ Дополнительные программные модули (плагины)</w:t>
            </w:r>
          </w:p>
        </w:tc>
        <w:tc>
          <w:tcPr>
            <w:tcW w:w="1026" w:type="pct"/>
            <w:shd w:val="clear" w:color="000000" w:fill="FFFFFF"/>
          </w:tcPr>
          <w:p w14:paraId="15FA951F" w14:textId="77777777" w:rsidR="00766F9E" w:rsidRPr="00B0658A" w:rsidRDefault="00766F9E" w:rsidP="00766F9E">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3" w:type="pct"/>
            <w:shd w:val="clear" w:color="000000" w:fill="FFFFFF"/>
            <w:vAlign w:val="center"/>
          </w:tcPr>
          <w:p w14:paraId="4937856D"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20%</w:t>
            </w:r>
          </w:p>
        </w:tc>
        <w:tc>
          <w:tcPr>
            <w:tcW w:w="364" w:type="pct"/>
            <w:shd w:val="clear" w:color="000000" w:fill="FFFFFF"/>
            <w:vAlign w:val="center"/>
          </w:tcPr>
          <w:p w14:paraId="72068528"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30%</w:t>
            </w:r>
          </w:p>
        </w:tc>
        <w:tc>
          <w:tcPr>
            <w:tcW w:w="364" w:type="pct"/>
            <w:shd w:val="clear" w:color="000000" w:fill="FFFFFF"/>
            <w:vAlign w:val="center"/>
          </w:tcPr>
          <w:p w14:paraId="7F2F3235"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40%</w:t>
            </w:r>
          </w:p>
        </w:tc>
        <w:tc>
          <w:tcPr>
            <w:tcW w:w="376" w:type="pct"/>
            <w:shd w:val="clear" w:color="000000" w:fill="FFFFFF"/>
            <w:vAlign w:val="center"/>
          </w:tcPr>
          <w:p w14:paraId="50A623FF"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4" w:type="pct"/>
            <w:shd w:val="clear" w:color="000000" w:fill="FFFFFF"/>
            <w:vAlign w:val="center"/>
          </w:tcPr>
          <w:p w14:paraId="10BFDA83"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60%</w:t>
            </w:r>
          </w:p>
        </w:tc>
        <w:tc>
          <w:tcPr>
            <w:tcW w:w="364" w:type="pct"/>
            <w:shd w:val="clear" w:color="000000" w:fill="FFFFFF"/>
            <w:vAlign w:val="center"/>
          </w:tcPr>
          <w:p w14:paraId="2B2E8425"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80%</w:t>
            </w:r>
          </w:p>
        </w:tc>
        <w:tc>
          <w:tcPr>
            <w:tcW w:w="358" w:type="pct"/>
            <w:shd w:val="clear" w:color="000000" w:fill="FFFFFF"/>
            <w:vAlign w:val="center"/>
          </w:tcPr>
          <w:p w14:paraId="32904DE4"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D73F09" w:rsidRPr="00B0658A" w14:paraId="3A6925F0" w14:textId="77777777" w:rsidTr="00FE71B1">
        <w:trPr>
          <w:trHeight w:val="20"/>
        </w:trPr>
        <w:tc>
          <w:tcPr>
            <w:tcW w:w="283" w:type="pct"/>
            <w:shd w:val="clear" w:color="000000" w:fill="FFFFFF"/>
            <w:vAlign w:val="center"/>
          </w:tcPr>
          <w:p w14:paraId="25FDEF07" w14:textId="77777777" w:rsidR="00766F9E" w:rsidRPr="00B0658A" w:rsidRDefault="00766F9E" w:rsidP="00FE71B1">
            <w:pPr>
              <w:spacing w:after="0" w:line="240" w:lineRule="auto"/>
              <w:jc w:val="center"/>
              <w:rPr>
                <w:rFonts w:ascii="Times New Roman" w:hAnsi="Times New Roman"/>
                <w:sz w:val="18"/>
                <w:szCs w:val="18"/>
              </w:rPr>
            </w:pPr>
            <w:r w:rsidRPr="00B0658A">
              <w:rPr>
                <w:rFonts w:ascii="Times New Roman" w:hAnsi="Times New Roman"/>
                <w:sz w:val="18"/>
                <w:szCs w:val="18"/>
              </w:rPr>
              <w:t>5.3</w:t>
            </w:r>
          </w:p>
        </w:tc>
        <w:tc>
          <w:tcPr>
            <w:tcW w:w="1138" w:type="pct"/>
            <w:shd w:val="clear" w:color="auto" w:fill="auto"/>
            <w:vAlign w:val="center"/>
          </w:tcPr>
          <w:p w14:paraId="19C79B30" w14:textId="77777777" w:rsidR="00766F9E" w:rsidRPr="00B0658A" w:rsidRDefault="00766F9E" w:rsidP="00766F9E">
            <w:pPr>
              <w:spacing w:after="0" w:line="240" w:lineRule="auto"/>
              <w:rPr>
                <w:rFonts w:ascii="Times New Roman" w:hAnsi="Times New Roman"/>
                <w:sz w:val="18"/>
                <w:szCs w:val="18"/>
              </w:rPr>
            </w:pPr>
            <w:r w:rsidRPr="00B0658A">
              <w:rPr>
                <w:rFonts w:ascii="Times New Roman" w:hAnsi="Times New Roman"/>
                <w:sz w:val="18"/>
                <w:szCs w:val="18"/>
              </w:rPr>
              <w:t>Прикладное программное обеспечение/ Игры и развлечения</w:t>
            </w:r>
          </w:p>
        </w:tc>
        <w:tc>
          <w:tcPr>
            <w:tcW w:w="1026" w:type="pct"/>
            <w:shd w:val="clear" w:color="000000" w:fill="FFFFFF"/>
          </w:tcPr>
          <w:p w14:paraId="19994A65" w14:textId="77777777" w:rsidR="00766F9E" w:rsidRPr="00B0658A" w:rsidRDefault="00766F9E" w:rsidP="00766F9E">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3" w:type="pct"/>
            <w:shd w:val="clear" w:color="000000" w:fill="FFFFFF"/>
            <w:vAlign w:val="center"/>
          </w:tcPr>
          <w:p w14:paraId="28C7C2E2"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50%</w:t>
            </w:r>
          </w:p>
        </w:tc>
        <w:tc>
          <w:tcPr>
            <w:tcW w:w="364" w:type="pct"/>
            <w:shd w:val="clear" w:color="000000" w:fill="FFFFFF"/>
            <w:vAlign w:val="center"/>
          </w:tcPr>
          <w:p w14:paraId="128C28CD"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60%</w:t>
            </w:r>
          </w:p>
        </w:tc>
        <w:tc>
          <w:tcPr>
            <w:tcW w:w="364" w:type="pct"/>
            <w:shd w:val="clear" w:color="000000" w:fill="FFFFFF"/>
            <w:vAlign w:val="center"/>
          </w:tcPr>
          <w:p w14:paraId="26060C01"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70%</w:t>
            </w:r>
          </w:p>
        </w:tc>
        <w:tc>
          <w:tcPr>
            <w:tcW w:w="376" w:type="pct"/>
            <w:shd w:val="clear" w:color="000000" w:fill="FFFFFF"/>
            <w:vAlign w:val="center"/>
          </w:tcPr>
          <w:p w14:paraId="5107396F"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4" w:type="pct"/>
            <w:shd w:val="clear" w:color="000000" w:fill="FFFFFF"/>
            <w:vAlign w:val="center"/>
          </w:tcPr>
          <w:p w14:paraId="1D334492"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80%</w:t>
            </w:r>
          </w:p>
        </w:tc>
        <w:tc>
          <w:tcPr>
            <w:tcW w:w="364" w:type="pct"/>
            <w:shd w:val="clear" w:color="000000" w:fill="FFFFFF"/>
            <w:vAlign w:val="center"/>
          </w:tcPr>
          <w:p w14:paraId="52DA686F"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90%</w:t>
            </w:r>
          </w:p>
        </w:tc>
        <w:tc>
          <w:tcPr>
            <w:tcW w:w="358" w:type="pct"/>
            <w:shd w:val="clear" w:color="000000" w:fill="FFFFFF"/>
            <w:vAlign w:val="center"/>
          </w:tcPr>
          <w:p w14:paraId="1FE54A89"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D73F09" w:rsidRPr="00B0658A" w14:paraId="4BE0D942" w14:textId="77777777" w:rsidTr="00FE71B1">
        <w:trPr>
          <w:trHeight w:val="20"/>
        </w:trPr>
        <w:tc>
          <w:tcPr>
            <w:tcW w:w="283" w:type="pct"/>
            <w:shd w:val="clear" w:color="000000" w:fill="FFFFFF"/>
            <w:vAlign w:val="center"/>
          </w:tcPr>
          <w:p w14:paraId="6EE13C8E" w14:textId="77777777" w:rsidR="00766F9E" w:rsidRPr="00B0658A" w:rsidRDefault="00766F9E" w:rsidP="00FE71B1">
            <w:pPr>
              <w:spacing w:after="0" w:line="240" w:lineRule="auto"/>
              <w:jc w:val="center"/>
              <w:rPr>
                <w:rFonts w:ascii="Times New Roman" w:hAnsi="Times New Roman"/>
                <w:sz w:val="18"/>
                <w:szCs w:val="18"/>
              </w:rPr>
            </w:pPr>
            <w:r w:rsidRPr="00B0658A">
              <w:rPr>
                <w:rFonts w:ascii="Times New Roman" w:hAnsi="Times New Roman"/>
                <w:sz w:val="18"/>
                <w:szCs w:val="18"/>
              </w:rPr>
              <w:t>5.4</w:t>
            </w:r>
          </w:p>
        </w:tc>
        <w:tc>
          <w:tcPr>
            <w:tcW w:w="1138" w:type="pct"/>
            <w:shd w:val="clear" w:color="auto" w:fill="auto"/>
            <w:vAlign w:val="center"/>
          </w:tcPr>
          <w:p w14:paraId="51DD01A8" w14:textId="77777777" w:rsidR="00766F9E" w:rsidRPr="00B0658A" w:rsidRDefault="00766F9E" w:rsidP="00766F9E">
            <w:pPr>
              <w:spacing w:after="0" w:line="240" w:lineRule="auto"/>
              <w:rPr>
                <w:rFonts w:ascii="Times New Roman" w:hAnsi="Times New Roman"/>
                <w:sz w:val="18"/>
                <w:szCs w:val="18"/>
              </w:rPr>
            </w:pPr>
            <w:r w:rsidRPr="00B0658A">
              <w:rPr>
                <w:rFonts w:ascii="Times New Roman" w:hAnsi="Times New Roman"/>
                <w:sz w:val="18"/>
                <w:szCs w:val="18"/>
              </w:rPr>
              <w:t>Прикладное программное обеспечение/ Поисковые средства</w:t>
            </w:r>
          </w:p>
        </w:tc>
        <w:tc>
          <w:tcPr>
            <w:tcW w:w="1026" w:type="pct"/>
            <w:shd w:val="clear" w:color="000000" w:fill="FFFFFF"/>
          </w:tcPr>
          <w:p w14:paraId="26955D6E" w14:textId="77777777" w:rsidR="00766F9E" w:rsidRPr="00B0658A" w:rsidRDefault="00766F9E" w:rsidP="00766F9E">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3" w:type="pct"/>
            <w:shd w:val="clear" w:color="000000" w:fill="FFFFFF"/>
            <w:vAlign w:val="center"/>
          </w:tcPr>
          <w:p w14:paraId="4B2DFECE"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50%</w:t>
            </w:r>
          </w:p>
        </w:tc>
        <w:tc>
          <w:tcPr>
            <w:tcW w:w="364" w:type="pct"/>
            <w:shd w:val="clear" w:color="000000" w:fill="FFFFFF"/>
            <w:vAlign w:val="center"/>
          </w:tcPr>
          <w:p w14:paraId="3E95075E"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60%</w:t>
            </w:r>
          </w:p>
        </w:tc>
        <w:tc>
          <w:tcPr>
            <w:tcW w:w="364" w:type="pct"/>
            <w:shd w:val="clear" w:color="000000" w:fill="FFFFFF"/>
            <w:vAlign w:val="center"/>
          </w:tcPr>
          <w:p w14:paraId="76487584"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80%</w:t>
            </w:r>
          </w:p>
        </w:tc>
        <w:tc>
          <w:tcPr>
            <w:tcW w:w="376" w:type="pct"/>
            <w:shd w:val="clear" w:color="000000" w:fill="FFFFFF"/>
            <w:vAlign w:val="center"/>
          </w:tcPr>
          <w:p w14:paraId="54D13706"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4" w:type="pct"/>
            <w:shd w:val="clear" w:color="000000" w:fill="FFFFFF"/>
            <w:vAlign w:val="center"/>
          </w:tcPr>
          <w:p w14:paraId="7938B492"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4" w:type="pct"/>
            <w:shd w:val="clear" w:color="000000" w:fill="FFFFFF"/>
            <w:vAlign w:val="center"/>
          </w:tcPr>
          <w:p w14:paraId="0F744B9D"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58" w:type="pct"/>
            <w:shd w:val="clear" w:color="000000" w:fill="FFFFFF"/>
            <w:vAlign w:val="center"/>
          </w:tcPr>
          <w:p w14:paraId="7B858233"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D73F09" w:rsidRPr="00B0658A" w14:paraId="1BD45A9F" w14:textId="77777777" w:rsidTr="00FE71B1">
        <w:trPr>
          <w:trHeight w:val="20"/>
        </w:trPr>
        <w:tc>
          <w:tcPr>
            <w:tcW w:w="283" w:type="pct"/>
            <w:shd w:val="clear" w:color="000000" w:fill="FFFFFF"/>
            <w:vAlign w:val="center"/>
          </w:tcPr>
          <w:p w14:paraId="0BFBA733" w14:textId="77777777" w:rsidR="00766F9E" w:rsidRPr="00B0658A" w:rsidRDefault="00766F9E" w:rsidP="00FE71B1">
            <w:pPr>
              <w:spacing w:after="0" w:line="240" w:lineRule="auto"/>
              <w:jc w:val="center"/>
              <w:rPr>
                <w:rFonts w:ascii="Times New Roman" w:hAnsi="Times New Roman"/>
                <w:sz w:val="18"/>
                <w:szCs w:val="18"/>
              </w:rPr>
            </w:pPr>
            <w:r w:rsidRPr="00B0658A">
              <w:rPr>
                <w:rFonts w:ascii="Times New Roman" w:hAnsi="Times New Roman"/>
                <w:sz w:val="18"/>
                <w:szCs w:val="18"/>
              </w:rPr>
              <w:t>5.5</w:t>
            </w:r>
          </w:p>
        </w:tc>
        <w:tc>
          <w:tcPr>
            <w:tcW w:w="1138" w:type="pct"/>
            <w:shd w:val="clear" w:color="auto" w:fill="auto"/>
            <w:vAlign w:val="center"/>
          </w:tcPr>
          <w:p w14:paraId="504A0A6C" w14:textId="77777777" w:rsidR="00766F9E" w:rsidRPr="00B0658A" w:rsidRDefault="00766F9E" w:rsidP="00766F9E">
            <w:pPr>
              <w:spacing w:after="0" w:line="240" w:lineRule="auto"/>
              <w:rPr>
                <w:rFonts w:ascii="Times New Roman" w:hAnsi="Times New Roman"/>
                <w:sz w:val="18"/>
                <w:szCs w:val="18"/>
              </w:rPr>
            </w:pPr>
            <w:r w:rsidRPr="00B0658A">
              <w:rPr>
                <w:rFonts w:ascii="Times New Roman" w:hAnsi="Times New Roman"/>
                <w:sz w:val="18"/>
                <w:szCs w:val="18"/>
              </w:rPr>
              <w:t>Прикладное программное обеспечение/ Средства управления проектами</w:t>
            </w:r>
          </w:p>
        </w:tc>
        <w:tc>
          <w:tcPr>
            <w:tcW w:w="1026" w:type="pct"/>
            <w:shd w:val="clear" w:color="000000" w:fill="FFFFFF"/>
          </w:tcPr>
          <w:p w14:paraId="437EA23B" w14:textId="77777777" w:rsidR="00766F9E" w:rsidRPr="00B0658A" w:rsidRDefault="00766F9E" w:rsidP="00766F9E">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3" w:type="pct"/>
            <w:shd w:val="clear" w:color="000000" w:fill="FFFFFF"/>
            <w:vAlign w:val="center"/>
          </w:tcPr>
          <w:p w14:paraId="6C2298D5"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35%</w:t>
            </w:r>
          </w:p>
        </w:tc>
        <w:tc>
          <w:tcPr>
            <w:tcW w:w="364" w:type="pct"/>
            <w:shd w:val="clear" w:color="000000" w:fill="FFFFFF"/>
            <w:vAlign w:val="center"/>
          </w:tcPr>
          <w:p w14:paraId="064E16B3"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55%</w:t>
            </w:r>
          </w:p>
        </w:tc>
        <w:tc>
          <w:tcPr>
            <w:tcW w:w="364" w:type="pct"/>
            <w:shd w:val="clear" w:color="000000" w:fill="FFFFFF"/>
            <w:vAlign w:val="center"/>
          </w:tcPr>
          <w:p w14:paraId="7CC9731E"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75%</w:t>
            </w:r>
          </w:p>
        </w:tc>
        <w:tc>
          <w:tcPr>
            <w:tcW w:w="376" w:type="pct"/>
            <w:shd w:val="clear" w:color="000000" w:fill="FFFFFF"/>
            <w:vAlign w:val="center"/>
          </w:tcPr>
          <w:p w14:paraId="5752388A"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4" w:type="pct"/>
            <w:shd w:val="clear" w:color="000000" w:fill="FFFFFF"/>
            <w:vAlign w:val="center"/>
          </w:tcPr>
          <w:p w14:paraId="084FDCAE"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90%</w:t>
            </w:r>
          </w:p>
        </w:tc>
        <w:tc>
          <w:tcPr>
            <w:tcW w:w="364" w:type="pct"/>
            <w:shd w:val="clear" w:color="000000" w:fill="FFFFFF"/>
            <w:vAlign w:val="center"/>
          </w:tcPr>
          <w:p w14:paraId="7AD1AAD1"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58" w:type="pct"/>
            <w:shd w:val="clear" w:color="000000" w:fill="FFFFFF"/>
            <w:vAlign w:val="center"/>
          </w:tcPr>
          <w:p w14:paraId="58930930"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D73F09" w:rsidRPr="00B0658A" w14:paraId="2CE99866" w14:textId="77777777" w:rsidTr="00FE71B1">
        <w:trPr>
          <w:trHeight w:val="20"/>
        </w:trPr>
        <w:tc>
          <w:tcPr>
            <w:tcW w:w="283" w:type="pct"/>
            <w:shd w:val="clear" w:color="000000" w:fill="FFFFFF"/>
            <w:vAlign w:val="center"/>
          </w:tcPr>
          <w:p w14:paraId="3CA5339E" w14:textId="77777777" w:rsidR="00766F9E" w:rsidRPr="00B0658A" w:rsidRDefault="00766F9E" w:rsidP="00FE71B1">
            <w:pPr>
              <w:spacing w:after="0" w:line="240" w:lineRule="auto"/>
              <w:jc w:val="center"/>
              <w:rPr>
                <w:rFonts w:ascii="Times New Roman" w:hAnsi="Times New Roman"/>
                <w:sz w:val="18"/>
                <w:szCs w:val="18"/>
              </w:rPr>
            </w:pPr>
            <w:r w:rsidRPr="00B0658A">
              <w:rPr>
                <w:rFonts w:ascii="Times New Roman" w:hAnsi="Times New Roman"/>
                <w:sz w:val="18"/>
                <w:szCs w:val="18"/>
              </w:rPr>
              <w:t>5.6</w:t>
            </w:r>
          </w:p>
        </w:tc>
        <w:tc>
          <w:tcPr>
            <w:tcW w:w="1138" w:type="pct"/>
            <w:shd w:val="clear" w:color="auto" w:fill="auto"/>
            <w:vAlign w:val="center"/>
          </w:tcPr>
          <w:p w14:paraId="28BA1488" w14:textId="77777777" w:rsidR="00766F9E" w:rsidRPr="00B0658A" w:rsidRDefault="00766F9E" w:rsidP="00766F9E">
            <w:pPr>
              <w:spacing w:after="0" w:line="240" w:lineRule="auto"/>
              <w:rPr>
                <w:rFonts w:ascii="Times New Roman" w:hAnsi="Times New Roman"/>
                <w:sz w:val="18"/>
                <w:szCs w:val="18"/>
              </w:rPr>
            </w:pPr>
            <w:r w:rsidRPr="00B0658A">
              <w:rPr>
                <w:rFonts w:ascii="Times New Roman" w:hAnsi="Times New Roman"/>
                <w:sz w:val="18"/>
                <w:szCs w:val="18"/>
              </w:rPr>
              <w:t>Прикладное программное обеспечение/ Геоинформационные и навигационные средства (GIS)</w:t>
            </w:r>
          </w:p>
        </w:tc>
        <w:tc>
          <w:tcPr>
            <w:tcW w:w="1026" w:type="pct"/>
            <w:shd w:val="clear" w:color="000000" w:fill="FFFFFF"/>
          </w:tcPr>
          <w:p w14:paraId="05B280F9" w14:textId="77777777" w:rsidR="00766F9E" w:rsidRPr="00B0658A" w:rsidRDefault="00766F9E" w:rsidP="00766F9E">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3" w:type="pct"/>
            <w:shd w:val="clear" w:color="000000" w:fill="FFFFFF"/>
            <w:vAlign w:val="center"/>
          </w:tcPr>
          <w:p w14:paraId="2C0A8296"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35%</w:t>
            </w:r>
          </w:p>
        </w:tc>
        <w:tc>
          <w:tcPr>
            <w:tcW w:w="364" w:type="pct"/>
            <w:shd w:val="clear" w:color="000000" w:fill="FFFFFF"/>
            <w:vAlign w:val="center"/>
          </w:tcPr>
          <w:p w14:paraId="2A407BD3"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45%</w:t>
            </w:r>
          </w:p>
        </w:tc>
        <w:tc>
          <w:tcPr>
            <w:tcW w:w="364" w:type="pct"/>
            <w:shd w:val="clear" w:color="000000" w:fill="FFFFFF"/>
            <w:vAlign w:val="center"/>
          </w:tcPr>
          <w:p w14:paraId="06DB2480"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55%</w:t>
            </w:r>
          </w:p>
        </w:tc>
        <w:tc>
          <w:tcPr>
            <w:tcW w:w="376" w:type="pct"/>
            <w:shd w:val="clear" w:color="000000" w:fill="FFFFFF"/>
            <w:vAlign w:val="center"/>
          </w:tcPr>
          <w:p w14:paraId="2013E39F"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4" w:type="pct"/>
            <w:shd w:val="clear" w:color="000000" w:fill="FFFFFF"/>
            <w:vAlign w:val="center"/>
          </w:tcPr>
          <w:p w14:paraId="3610092E"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70%</w:t>
            </w:r>
          </w:p>
        </w:tc>
        <w:tc>
          <w:tcPr>
            <w:tcW w:w="364" w:type="pct"/>
            <w:shd w:val="clear" w:color="000000" w:fill="FFFFFF"/>
            <w:vAlign w:val="center"/>
          </w:tcPr>
          <w:p w14:paraId="203CE8F4"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90%</w:t>
            </w:r>
          </w:p>
        </w:tc>
        <w:tc>
          <w:tcPr>
            <w:tcW w:w="358" w:type="pct"/>
            <w:shd w:val="clear" w:color="000000" w:fill="FFFFFF"/>
            <w:vAlign w:val="center"/>
          </w:tcPr>
          <w:p w14:paraId="5BC197CE"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D73F09" w:rsidRPr="00B0658A" w14:paraId="7934F7FD" w14:textId="77777777" w:rsidTr="00FE71B1">
        <w:trPr>
          <w:trHeight w:val="20"/>
        </w:trPr>
        <w:tc>
          <w:tcPr>
            <w:tcW w:w="283" w:type="pct"/>
            <w:shd w:val="clear" w:color="000000" w:fill="FFFFFF"/>
            <w:vAlign w:val="center"/>
          </w:tcPr>
          <w:p w14:paraId="18883D60" w14:textId="77777777" w:rsidR="00766F9E" w:rsidRPr="00B0658A" w:rsidRDefault="00766F9E" w:rsidP="00FE71B1">
            <w:pPr>
              <w:spacing w:after="0" w:line="240" w:lineRule="auto"/>
              <w:jc w:val="center"/>
              <w:rPr>
                <w:rFonts w:ascii="Times New Roman" w:hAnsi="Times New Roman"/>
                <w:sz w:val="18"/>
                <w:szCs w:val="18"/>
              </w:rPr>
            </w:pPr>
            <w:r w:rsidRPr="00B0658A">
              <w:rPr>
                <w:rFonts w:ascii="Times New Roman" w:hAnsi="Times New Roman"/>
                <w:sz w:val="18"/>
                <w:szCs w:val="18"/>
              </w:rPr>
              <w:t>5.7</w:t>
            </w:r>
          </w:p>
        </w:tc>
        <w:tc>
          <w:tcPr>
            <w:tcW w:w="1138" w:type="pct"/>
            <w:shd w:val="clear" w:color="auto" w:fill="auto"/>
            <w:vAlign w:val="center"/>
          </w:tcPr>
          <w:p w14:paraId="3DA747D1" w14:textId="77777777" w:rsidR="00766F9E" w:rsidRPr="00B0658A" w:rsidRDefault="00766F9E" w:rsidP="00766F9E">
            <w:pPr>
              <w:spacing w:after="0" w:line="240" w:lineRule="auto"/>
              <w:rPr>
                <w:rFonts w:ascii="Times New Roman" w:hAnsi="Times New Roman"/>
                <w:sz w:val="18"/>
                <w:szCs w:val="18"/>
              </w:rPr>
            </w:pPr>
            <w:r w:rsidRPr="00B0658A">
              <w:rPr>
                <w:rFonts w:ascii="Times New Roman" w:hAnsi="Times New Roman"/>
                <w:sz w:val="18"/>
                <w:szCs w:val="18"/>
              </w:rPr>
              <w:t>Прикладное программное обеспечение/ Специализированное ПО органов исполнительной власти Российской Федерации, государственных корпораций, компаний и юридических лиц с преимущественным участием Российской Федерации для внутреннего использования</w:t>
            </w:r>
          </w:p>
        </w:tc>
        <w:tc>
          <w:tcPr>
            <w:tcW w:w="1026" w:type="pct"/>
            <w:shd w:val="clear" w:color="000000" w:fill="FFFFFF"/>
          </w:tcPr>
          <w:p w14:paraId="557B02C1" w14:textId="77777777" w:rsidR="00766F9E" w:rsidRPr="00B0658A" w:rsidRDefault="00766F9E" w:rsidP="00766F9E">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3" w:type="pct"/>
            <w:shd w:val="clear" w:color="000000" w:fill="FFFFFF"/>
            <w:vAlign w:val="center"/>
          </w:tcPr>
          <w:p w14:paraId="6B257A2E"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50%</w:t>
            </w:r>
          </w:p>
        </w:tc>
        <w:tc>
          <w:tcPr>
            <w:tcW w:w="364" w:type="pct"/>
            <w:shd w:val="clear" w:color="000000" w:fill="FFFFFF"/>
            <w:vAlign w:val="center"/>
          </w:tcPr>
          <w:p w14:paraId="17CD2F46"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60%</w:t>
            </w:r>
          </w:p>
        </w:tc>
        <w:tc>
          <w:tcPr>
            <w:tcW w:w="364" w:type="pct"/>
            <w:shd w:val="clear" w:color="000000" w:fill="FFFFFF"/>
            <w:vAlign w:val="center"/>
          </w:tcPr>
          <w:p w14:paraId="359B4DF2"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80%</w:t>
            </w:r>
          </w:p>
        </w:tc>
        <w:tc>
          <w:tcPr>
            <w:tcW w:w="376" w:type="pct"/>
            <w:shd w:val="clear" w:color="000000" w:fill="FFFFFF"/>
            <w:vAlign w:val="center"/>
          </w:tcPr>
          <w:p w14:paraId="220A1BA0"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4" w:type="pct"/>
            <w:shd w:val="clear" w:color="000000" w:fill="FFFFFF"/>
            <w:vAlign w:val="center"/>
          </w:tcPr>
          <w:p w14:paraId="78D29360"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4" w:type="pct"/>
            <w:shd w:val="clear" w:color="000000" w:fill="FFFFFF"/>
            <w:vAlign w:val="center"/>
          </w:tcPr>
          <w:p w14:paraId="416CCA4D"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58" w:type="pct"/>
            <w:shd w:val="clear" w:color="000000" w:fill="FFFFFF"/>
            <w:vAlign w:val="center"/>
          </w:tcPr>
          <w:p w14:paraId="0599D2B4"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D73F09" w:rsidRPr="00B0658A" w14:paraId="49FD61B7" w14:textId="77777777" w:rsidTr="00FE71B1">
        <w:trPr>
          <w:trHeight w:val="20"/>
        </w:trPr>
        <w:tc>
          <w:tcPr>
            <w:tcW w:w="283" w:type="pct"/>
            <w:shd w:val="clear" w:color="000000" w:fill="FFFFFF"/>
            <w:vAlign w:val="center"/>
          </w:tcPr>
          <w:p w14:paraId="001A9262" w14:textId="77777777" w:rsidR="00766F9E" w:rsidRPr="00B0658A" w:rsidRDefault="00766F9E" w:rsidP="00FE71B1">
            <w:pPr>
              <w:spacing w:after="0" w:line="240" w:lineRule="auto"/>
              <w:jc w:val="center"/>
              <w:rPr>
                <w:rFonts w:ascii="Times New Roman" w:hAnsi="Times New Roman"/>
                <w:sz w:val="18"/>
                <w:szCs w:val="18"/>
              </w:rPr>
            </w:pPr>
            <w:r w:rsidRPr="00B0658A">
              <w:rPr>
                <w:rFonts w:ascii="Times New Roman" w:hAnsi="Times New Roman"/>
                <w:sz w:val="18"/>
                <w:szCs w:val="18"/>
              </w:rPr>
              <w:t>5.8</w:t>
            </w:r>
          </w:p>
        </w:tc>
        <w:tc>
          <w:tcPr>
            <w:tcW w:w="1138" w:type="pct"/>
            <w:shd w:val="clear" w:color="auto" w:fill="auto"/>
            <w:vAlign w:val="center"/>
          </w:tcPr>
          <w:p w14:paraId="166E7B9E" w14:textId="77777777" w:rsidR="00766F9E" w:rsidRPr="00B0658A" w:rsidRDefault="00766F9E" w:rsidP="00766F9E">
            <w:pPr>
              <w:spacing w:after="0" w:line="240" w:lineRule="auto"/>
              <w:rPr>
                <w:rFonts w:ascii="Times New Roman" w:hAnsi="Times New Roman"/>
                <w:sz w:val="18"/>
                <w:szCs w:val="18"/>
              </w:rPr>
            </w:pPr>
            <w:r w:rsidRPr="00B0658A">
              <w:rPr>
                <w:rFonts w:ascii="Times New Roman" w:hAnsi="Times New Roman"/>
                <w:sz w:val="18"/>
                <w:szCs w:val="18"/>
              </w:rPr>
              <w:t>Прикладное программное обеспечение/ Средства управления контактными центрами</w:t>
            </w:r>
          </w:p>
        </w:tc>
        <w:tc>
          <w:tcPr>
            <w:tcW w:w="1026" w:type="pct"/>
            <w:shd w:val="clear" w:color="000000" w:fill="FFFFFF"/>
          </w:tcPr>
          <w:p w14:paraId="278910DA" w14:textId="77777777" w:rsidR="00766F9E" w:rsidRPr="00B0658A" w:rsidRDefault="00766F9E" w:rsidP="00766F9E">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3" w:type="pct"/>
            <w:shd w:val="clear" w:color="000000" w:fill="FFFFFF"/>
            <w:vAlign w:val="center"/>
          </w:tcPr>
          <w:p w14:paraId="505842BC"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35%</w:t>
            </w:r>
          </w:p>
        </w:tc>
        <w:tc>
          <w:tcPr>
            <w:tcW w:w="364" w:type="pct"/>
            <w:shd w:val="clear" w:color="000000" w:fill="FFFFFF"/>
            <w:vAlign w:val="center"/>
          </w:tcPr>
          <w:p w14:paraId="6504F38C"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45%</w:t>
            </w:r>
          </w:p>
        </w:tc>
        <w:tc>
          <w:tcPr>
            <w:tcW w:w="364" w:type="pct"/>
            <w:shd w:val="clear" w:color="000000" w:fill="FFFFFF"/>
            <w:vAlign w:val="center"/>
          </w:tcPr>
          <w:p w14:paraId="0A00261E"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55%</w:t>
            </w:r>
          </w:p>
        </w:tc>
        <w:tc>
          <w:tcPr>
            <w:tcW w:w="376" w:type="pct"/>
            <w:shd w:val="clear" w:color="000000" w:fill="FFFFFF"/>
            <w:vAlign w:val="center"/>
          </w:tcPr>
          <w:p w14:paraId="42C301B9"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4" w:type="pct"/>
            <w:shd w:val="clear" w:color="000000" w:fill="FFFFFF"/>
            <w:vAlign w:val="center"/>
          </w:tcPr>
          <w:p w14:paraId="4E25F238"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70%</w:t>
            </w:r>
          </w:p>
        </w:tc>
        <w:tc>
          <w:tcPr>
            <w:tcW w:w="364" w:type="pct"/>
            <w:shd w:val="clear" w:color="000000" w:fill="FFFFFF"/>
            <w:vAlign w:val="center"/>
          </w:tcPr>
          <w:p w14:paraId="20CA2A48"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90%</w:t>
            </w:r>
          </w:p>
        </w:tc>
        <w:tc>
          <w:tcPr>
            <w:tcW w:w="358" w:type="pct"/>
            <w:shd w:val="clear" w:color="000000" w:fill="FFFFFF"/>
            <w:vAlign w:val="center"/>
          </w:tcPr>
          <w:p w14:paraId="06C4E121"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D73F09" w:rsidRPr="00B0658A" w14:paraId="7E8A0FEC" w14:textId="77777777" w:rsidTr="00FE71B1">
        <w:trPr>
          <w:trHeight w:val="20"/>
        </w:trPr>
        <w:tc>
          <w:tcPr>
            <w:tcW w:w="283" w:type="pct"/>
            <w:shd w:val="clear" w:color="000000" w:fill="FFFFFF"/>
            <w:vAlign w:val="center"/>
          </w:tcPr>
          <w:p w14:paraId="189A8233" w14:textId="77777777" w:rsidR="00766F9E" w:rsidRPr="00B0658A" w:rsidRDefault="00766F9E" w:rsidP="00FE71B1">
            <w:pPr>
              <w:spacing w:after="0" w:line="240" w:lineRule="auto"/>
              <w:jc w:val="center"/>
              <w:rPr>
                <w:rFonts w:ascii="Times New Roman" w:hAnsi="Times New Roman"/>
                <w:sz w:val="18"/>
                <w:szCs w:val="18"/>
              </w:rPr>
            </w:pPr>
            <w:r w:rsidRPr="00B0658A">
              <w:rPr>
                <w:rFonts w:ascii="Times New Roman" w:hAnsi="Times New Roman"/>
                <w:sz w:val="18"/>
                <w:szCs w:val="18"/>
              </w:rPr>
              <w:t>5.9</w:t>
            </w:r>
          </w:p>
        </w:tc>
        <w:tc>
          <w:tcPr>
            <w:tcW w:w="1138" w:type="pct"/>
            <w:shd w:val="clear" w:color="auto" w:fill="auto"/>
            <w:vAlign w:val="center"/>
          </w:tcPr>
          <w:p w14:paraId="7A819466" w14:textId="77777777" w:rsidR="00766F9E" w:rsidRPr="00B0658A" w:rsidRDefault="00766F9E" w:rsidP="00766F9E">
            <w:pPr>
              <w:spacing w:after="0" w:line="240" w:lineRule="auto"/>
              <w:rPr>
                <w:rFonts w:ascii="Times New Roman" w:hAnsi="Times New Roman"/>
                <w:sz w:val="18"/>
                <w:szCs w:val="18"/>
              </w:rPr>
            </w:pPr>
            <w:r w:rsidRPr="00B0658A">
              <w:rPr>
                <w:rFonts w:ascii="Times New Roman" w:hAnsi="Times New Roman"/>
                <w:sz w:val="18"/>
                <w:szCs w:val="18"/>
              </w:rPr>
              <w:t>Прикладное программное обеспечение/ Средства управления диалоговыми роботами (чат-боты и голосовые роботы)</w:t>
            </w:r>
          </w:p>
        </w:tc>
        <w:tc>
          <w:tcPr>
            <w:tcW w:w="1026" w:type="pct"/>
            <w:shd w:val="clear" w:color="000000" w:fill="FFFFFF"/>
          </w:tcPr>
          <w:p w14:paraId="5826FDE5" w14:textId="77777777" w:rsidR="00766F9E" w:rsidRPr="00B0658A" w:rsidRDefault="00766F9E" w:rsidP="00766F9E">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3" w:type="pct"/>
            <w:shd w:val="clear" w:color="000000" w:fill="FFFFFF"/>
            <w:vAlign w:val="center"/>
          </w:tcPr>
          <w:p w14:paraId="6AE7294F"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50%</w:t>
            </w:r>
          </w:p>
        </w:tc>
        <w:tc>
          <w:tcPr>
            <w:tcW w:w="364" w:type="pct"/>
            <w:shd w:val="clear" w:color="000000" w:fill="FFFFFF"/>
            <w:vAlign w:val="center"/>
          </w:tcPr>
          <w:p w14:paraId="4128A3DA"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60%</w:t>
            </w:r>
          </w:p>
        </w:tc>
        <w:tc>
          <w:tcPr>
            <w:tcW w:w="364" w:type="pct"/>
            <w:shd w:val="clear" w:color="000000" w:fill="FFFFFF"/>
            <w:vAlign w:val="center"/>
          </w:tcPr>
          <w:p w14:paraId="4F22A841"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70%</w:t>
            </w:r>
          </w:p>
        </w:tc>
        <w:tc>
          <w:tcPr>
            <w:tcW w:w="376" w:type="pct"/>
            <w:shd w:val="clear" w:color="000000" w:fill="FFFFFF"/>
            <w:vAlign w:val="center"/>
          </w:tcPr>
          <w:p w14:paraId="7F9D9914" w14:textId="77777777" w:rsidR="00766F9E" w:rsidRPr="00B0658A" w:rsidRDefault="00766F9E" w:rsidP="00766F9E">
            <w:pPr>
              <w:spacing w:after="0" w:line="240" w:lineRule="auto"/>
              <w:jc w:val="center"/>
              <w:rPr>
                <w:rFonts w:ascii="Times New Roman" w:hAnsi="Times New Roman"/>
                <w:sz w:val="18"/>
                <w:szCs w:val="18"/>
                <w:lang w:val="en-US"/>
              </w:rPr>
            </w:pPr>
            <w:r w:rsidRPr="00B0658A">
              <w:rPr>
                <w:rFonts w:ascii="Times New Roman" w:hAnsi="Times New Roman"/>
                <w:sz w:val="18"/>
                <w:szCs w:val="18"/>
                <w:lang w:val="en-US"/>
              </w:rPr>
              <w:t>100%</w:t>
            </w:r>
          </w:p>
        </w:tc>
        <w:tc>
          <w:tcPr>
            <w:tcW w:w="364" w:type="pct"/>
            <w:shd w:val="clear" w:color="000000" w:fill="FFFFFF"/>
            <w:vAlign w:val="center"/>
          </w:tcPr>
          <w:p w14:paraId="5C06A1CE"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80%</w:t>
            </w:r>
          </w:p>
        </w:tc>
        <w:tc>
          <w:tcPr>
            <w:tcW w:w="364" w:type="pct"/>
            <w:shd w:val="clear" w:color="000000" w:fill="FFFFFF"/>
            <w:vAlign w:val="center"/>
          </w:tcPr>
          <w:p w14:paraId="057A3A53"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90%</w:t>
            </w:r>
          </w:p>
        </w:tc>
        <w:tc>
          <w:tcPr>
            <w:tcW w:w="358" w:type="pct"/>
            <w:shd w:val="clear" w:color="000000" w:fill="FFFFFF"/>
            <w:vAlign w:val="center"/>
          </w:tcPr>
          <w:p w14:paraId="3D1C3780"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D73F09" w:rsidRPr="00B0658A" w14:paraId="1D144A2E" w14:textId="77777777" w:rsidTr="00FE71B1">
        <w:trPr>
          <w:trHeight w:val="20"/>
        </w:trPr>
        <w:tc>
          <w:tcPr>
            <w:tcW w:w="283" w:type="pct"/>
            <w:shd w:val="clear" w:color="000000" w:fill="FFFFFF"/>
            <w:vAlign w:val="center"/>
          </w:tcPr>
          <w:p w14:paraId="1191DC8E" w14:textId="77777777" w:rsidR="00766F9E" w:rsidRPr="00B0658A" w:rsidRDefault="00766F9E" w:rsidP="00FE71B1">
            <w:pPr>
              <w:spacing w:after="0" w:line="240" w:lineRule="auto"/>
              <w:jc w:val="center"/>
              <w:rPr>
                <w:rFonts w:ascii="Times New Roman" w:hAnsi="Times New Roman"/>
                <w:sz w:val="18"/>
                <w:szCs w:val="18"/>
              </w:rPr>
            </w:pPr>
            <w:r w:rsidRPr="00B0658A">
              <w:rPr>
                <w:rFonts w:ascii="Times New Roman" w:hAnsi="Times New Roman"/>
                <w:sz w:val="18"/>
                <w:szCs w:val="18"/>
              </w:rPr>
              <w:t>5.10</w:t>
            </w:r>
          </w:p>
        </w:tc>
        <w:tc>
          <w:tcPr>
            <w:tcW w:w="1138" w:type="pct"/>
            <w:shd w:val="clear" w:color="auto" w:fill="auto"/>
            <w:vAlign w:val="center"/>
          </w:tcPr>
          <w:p w14:paraId="23C6E4F7" w14:textId="77777777" w:rsidR="00766F9E" w:rsidRPr="00B0658A" w:rsidRDefault="00766F9E" w:rsidP="00766F9E">
            <w:pPr>
              <w:spacing w:after="0" w:line="240" w:lineRule="auto"/>
              <w:rPr>
                <w:rFonts w:ascii="Times New Roman" w:hAnsi="Times New Roman"/>
                <w:sz w:val="18"/>
                <w:szCs w:val="18"/>
              </w:rPr>
            </w:pPr>
            <w:r w:rsidRPr="00B0658A">
              <w:rPr>
                <w:rFonts w:ascii="Times New Roman" w:hAnsi="Times New Roman"/>
                <w:sz w:val="18"/>
                <w:szCs w:val="18"/>
              </w:rPr>
              <w:t>Прикладное программное обеспечение/ Базы знаний</w:t>
            </w:r>
          </w:p>
        </w:tc>
        <w:tc>
          <w:tcPr>
            <w:tcW w:w="1026" w:type="pct"/>
            <w:shd w:val="clear" w:color="000000" w:fill="FFFFFF"/>
          </w:tcPr>
          <w:p w14:paraId="204AA61C" w14:textId="77777777" w:rsidR="00766F9E" w:rsidRPr="00B0658A" w:rsidRDefault="00766F9E" w:rsidP="00766F9E">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3" w:type="pct"/>
            <w:shd w:val="clear" w:color="000000" w:fill="FFFFFF"/>
            <w:vAlign w:val="center"/>
          </w:tcPr>
          <w:p w14:paraId="6AD3337F"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50%</w:t>
            </w:r>
          </w:p>
        </w:tc>
        <w:tc>
          <w:tcPr>
            <w:tcW w:w="364" w:type="pct"/>
            <w:shd w:val="clear" w:color="000000" w:fill="FFFFFF"/>
            <w:vAlign w:val="center"/>
          </w:tcPr>
          <w:p w14:paraId="436B793C"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60%</w:t>
            </w:r>
          </w:p>
        </w:tc>
        <w:tc>
          <w:tcPr>
            <w:tcW w:w="364" w:type="pct"/>
            <w:shd w:val="clear" w:color="000000" w:fill="FFFFFF"/>
            <w:vAlign w:val="center"/>
          </w:tcPr>
          <w:p w14:paraId="0D16D46F"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70%</w:t>
            </w:r>
          </w:p>
        </w:tc>
        <w:tc>
          <w:tcPr>
            <w:tcW w:w="376" w:type="pct"/>
            <w:shd w:val="clear" w:color="000000" w:fill="FFFFFF"/>
            <w:vAlign w:val="center"/>
          </w:tcPr>
          <w:p w14:paraId="3FE04D70" w14:textId="77777777" w:rsidR="00766F9E" w:rsidRPr="00B0658A" w:rsidRDefault="00766F9E" w:rsidP="00766F9E">
            <w:pPr>
              <w:spacing w:after="0" w:line="240" w:lineRule="auto"/>
              <w:jc w:val="center"/>
              <w:rPr>
                <w:rFonts w:ascii="Times New Roman" w:hAnsi="Times New Roman"/>
                <w:sz w:val="18"/>
                <w:szCs w:val="18"/>
                <w:lang w:val="en-US"/>
              </w:rPr>
            </w:pPr>
            <w:r w:rsidRPr="00B0658A">
              <w:rPr>
                <w:rFonts w:ascii="Times New Roman" w:hAnsi="Times New Roman"/>
                <w:sz w:val="18"/>
                <w:szCs w:val="18"/>
                <w:lang w:val="en-US"/>
              </w:rPr>
              <w:t>100%</w:t>
            </w:r>
          </w:p>
        </w:tc>
        <w:tc>
          <w:tcPr>
            <w:tcW w:w="364" w:type="pct"/>
            <w:shd w:val="clear" w:color="000000" w:fill="FFFFFF"/>
            <w:vAlign w:val="center"/>
          </w:tcPr>
          <w:p w14:paraId="1B07947C"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80%</w:t>
            </w:r>
          </w:p>
        </w:tc>
        <w:tc>
          <w:tcPr>
            <w:tcW w:w="364" w:type="pct"/>
            <w:shd w:val="clear" w:color="000000" w:fill="FFFFFF"/>
            <w:vAlign w:val="center"/>
          </w:tcPr>
          <w:p w14:paraId="0CD827E0"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90%</w:t>
            </w:r>
          </w:p>
        </w:tc>
        <w:tc>
          <w:tcPr>
            <w:tcW w:w="358" w:type="pct"/>
            <w:shd w:val="clear" w:color="000000" w:fill="FFFFFF"/>
            <w:vAlign w:val="center"/>
          </w:tcPr>
          <w:p w14:paraId="5B7E7325"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D73F09" w:rsidRPr="00B0658A" w14:paraId="274F8F59" w14:textId="77777777" w:rsidTr="00FE71B1">
        <w:trPr>
          <w:trHeight w:val="20"/>
        </w:trPr>
        <w:tc>
          <w:tcPr>
            <w:tcW w:w="283" w:type="pct"/>
            <w:shd w:val="clear" w:color="000000" w:fill="FFFFFF"/>
            <w:vAlign w:val="center"/>
          </w:tcPr>
          <w:p w14:paraId="2E6E843A" w14:textId="77777777" w:rsidR="00766F9E" w:rsidRPr="00B0658A" w:rsidRDefault="00766F9E" w:rsidP="00FE71B1">
            <w:pPr>
              <w:spacing w:after="0" w:line="240" w:lineRule="auto"/>
              <w:jc w:val="center"/>
              <w:rPr>
                <w:rFonts w:ascii="Times New Roman" w:hAnsi="Times New Roman"/>
                <w:sz w:val="18"/>
                <w:szCs w:val="18"/>
              </w:rPr>
            </w:pPr>
            <w:r w:rsidRPr="00B0658A">
              <w:rPr>
                <w:rFonts w:ascii="Times New Roman" w:hAnsi="Times New Roman"/>
                <w:sz w:val="18"/>
                <w:szCs w:val="18"/>
              </w:rPr>
              <w:t>5.11</w:t>
            </w:r>
          </w:p>
        </w:tc>
        <w:tc>
          <w:tcPr>
            <w:tcW w:w="1138" w:type="pct"/>
            <w:shd w:val="clear" w:color="auto" w:fill="auto"/>
            <w:vAlign w:val="center"/>
          </w:tcPr>
          <w:p w14:paraId="60D383C7" w14:textId="77777777" w:rsidR="00766F9E" w:rsidRPr="00B0658A" w:rsidRDefault="00766F9E" w:rsidP="00766F9E">
            <w:pPr>
              <w:spacing w:after="0" w:line="240" w:lineRule="auto"/>
              <w:rPr>
                <w:rFonts w:ascii="Times New Roman" w:hAnsi="Times New Roman"/>
                <w:sz w:val="18"/>
                <w:szCs w:val="18"/>
              </w:rPr>
            </w:pPr>
            <w:r w:rsidRPr="00B0658A">
              <w:rPr>
                <w:rFonts w:ascii="Times New Roman" w:hAnsi="Times New Roman"/>
                <w:sz w:val="18"/>
                <w:szCs w:val="18"/>
              </w:rPr>
              <w:t>Прикладное программное обеспечение/ Интеллектуальные средства управления экспертной деятельностью</w:t>
            </w:r>
          </w:p>
        </w:tc>
        <w:tc>
          <w:tcPr>
            <w:tcW w:w="1026" w:type="pct"/>
            <w:shd w:val="clear" w:color="000000" w:fill="FFFFFF"/>
          </w:tcPr>
          <w:p w14:paraId="2D7359E9" w14:textId="77777777" w:rsidR="00766F9E" w:rsidRPr="00B0658A" w:rsidRDefault="00766F9E" w:rsidP="00766F9E">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3" w:type="pct"/>
            <w:shd w:val="clear" w:color="000000" w:fill="FFFFFF"/>
            <w:vAlign w:val="center"/>
          </w:tcPr>
          <w:p w14:paraId="3D4D19B5"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50%</w:t>
            </w:r>
          </w:p>
        </w:tc>
        <w:tc>
          <w:tcPr>
            <w:tcW w:w="364" w:type="pct"/>
            <w:shd w:val="clear" w:color="000000" w:fill="FFFFFF"/>
            <w:vAlign w:val="center"/>
          </w:tcPr>
          <w:p w14:paraId="51E01B54"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60%</w:t>
            </w:r>
          </w:p>
        </w:tc>
        <w:tc>
          <w:tcPr>
            <w:tcW w:w="364" w:type="pct"/>
            <w:shd w:val="clear" w:color="000000" w:fill="FFFFFF"/>
            <w:vAlign w:val="center"/>
          </w:tcPr>
          <w:p w14:paraId="1D8558E8"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70%</w:t>
            </w:r>
          </w:p>
        </w:tc>
        <w:tc>
          <w:tcPr>
            <w:tcW w:w="376" w:type="pct"/>
            <w:shd w:val="clear" w:color="000000" w:fill="FFFFFF"/>
            <w:vAlign w:val="center"/>
          </w:tcPr>
          <w:p w14:paraId="1FB08BA2" w14:textId="77777777" w:rsidR="00766F9E" w:rsidRPr="00B0658A" w:rsidRDefault="00766F9E" w:rsidP="00766F9E">
            <w:pPr>
              <w:spacing w:after="0" w:line="240" w:lineRule="auto"/>
              <w:jc w:val="center"/>
              <w:rPr>
                <w:rFonts w:ascii="Times New Roman" w:hAnsi="Times New Roman"/>
                <w:sz w:val="18"/>
                <w:szCs w:val="18"/>
                <w:lang w:val="en-US"/>
              </w:rPr>
            </w:pPr>
            <w:r w:rsidRPr="00B0658A">
              <w:rPr>
                <w:rFonts w:ascii="Times New Roman" w:hAnsi="Times New Roman"/>
                <w:sz w:val="18"/>
                <w:szCs w:val="18"/>
                <w:lang w:val="en-US"/>
              </w:rPr>
              <w:t>100%</w:t>
            </w:r>
          </w:p>
        </w:tc>
        <w:tc>
          <w:tcPr>
            <w:tcW w:w="364" w:type="pct"/>
            <w:shd w:val="clear" w:color="000000" w:fill="FFFFFF"/>
            <w:vAlign w:val="center"/>
          </w:tcPr>
          <w:p w14:paraId="52E9870A"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80%</w:t>
            </w:r>
          </w:p>
        </w:tc>
        <w:tc>
          <w:tcPr>
            <w:tcW w:w="364" w:type="pct"/>
            <w:shd w:val="clear" w:color="000000" w:fill="FFFFFF"/>
            <w:vAlign w:val="center"/>
          </w:tcPr>
          <w:p w14:paraId="63EE6585"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90%</w:t>
            </w:r>
          </w:p>
        </w:tc>
        <w:tc>
          <w:tcPr>
            <w:tcW w:w="358" w:type="pct"/>
            <w:shd w:val="clear" w:color="000000" w:fill="FFFFFF"/>
            <w:vAlign w:val="center"/>
          </w:tcPr>
          <w:p w14:paraId="4BB985D1"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D73F09" w:rsidRPr="00B0658A" w14:paraId="2ED5F180" w14:textId="77777777" w:rsidTr="00FE71B1">
        <w:trPr>
          <w:trHeight w:val="20"/>
        </w:trPr>
        <w:tc>
          <w:tcPr>
            <w:tcW w:w="283" w:type="pct"/>
            <w:shd w:val="clear" w:color="000000" w:fill="FFFFFF"/>
            <w:vAlign w:val="center"/>
          </w:tcPr>
          <w:p w14:paraId="323B1CCE" w14:textId="77777777" w:rsidR="00766F9E" w:rsidRPr="00B0658A" w:rsidRDefault="00766F9E" w:rsidP="00FE71B1">
            <w:pPr>
              <w:spacing w:after="0" w:line="240" w:lineRule="auto"/>
              <w:jc w:val="center"/>
              <w:rPr>
                <w:rFonts w:ascii="Times New Roman" w:hAnsi="Times New Roman"/>
                <w:sz w:val="18"/>
                <w:szCs w:val="18"/>
              </w:rPr>
            </w:pPr>
            <w:r w:rsidRPr="00B0658A">
              <w:rPr>
                <w:rFonts w:ascii="Times New Roman" w:hAnsi="Times New Roman"/>
                <w:sz w:val="18"/>
                <w:szCs w:val="18"/>
              </w:rPr>
              <w:t>5.12</w:t>
            </w:r>
          </w:p>
        </w:tc>
        <w:tc>
          <w:tcPr>
            <w:tcW w:w="1138" w:type="pct"/>
            <w:shd w:val="clear" w:color="auto" w:fill="auto"/>
            <w:vAlign w:val="center"/>
          </w:tcPr>
          <w:p w14:paraId="20CCCBA7" w14:textId="77777777" w:rsidR="00766F9E" w:rsidRPr="00B0658A" w:rsidRDefault="00766F9E" w:rsidP="00766F9E">
            <w:pPr>
              <w:spacing w:after="0" w:line="240" w:lineRule="auto"/>
              <w:rPr>
                <w:rFonts w:ascii="Times New Roman" w:hAnsi="Times New Roman"/>
                <w:sz w:val="18"/>
                <w:szCs w:val="18"/>
              </w:rPr>
            </w:pPr>
            <w:r w:rsidRPr="00B0658A">
              <w:rPr>
                <w:rFonts w:ascii="Times New Roman" w:hAnsi="Times New Roman"/>
                <w:sz w:val="18"/>
                <w:szCs w:val="18"/>
              </w:rPr>
              <w:t xml:space="preserve">Прикладное программное обеспечение/ Интеллектуальные средства разработки </w:t>
            </w:r>
            <w:r w:rsidRPr="00B0658A">
              <w:rPr>
                <w:rFonts w:ascii="Times New Roman" w:hAnsi="Times New Roman"/>
                <w:sz w:val="18"/>
                <w:szCs w:val="18"/>
              </w:rPr>
              <w:br/>
              <w:t xml:space="preserve">и управления стандартами </w:t>
            </w:r>
            <w:r w:rsidRPr="00B0658A">
              <w:rPr>
                <w:rFonts w:ascii="Times New Roman" w:hAnsi="Times New Roman"/>
                <w:sz w:val="18"/>
                <w:szCs w:val="18"/>
              </w:rPr>
              <w:br/>
              <w:t>и нормативами</w:t>
            </w:r>
          </w:p>
        </w:tc>
        <w:tc>
          <w:tcPr>
            <w:tcW w:w="1026" w:type="pct"/>
            <w:shd w:val="clear" w:color="000000" w:fill="FFFFFF"/>
          </w:tcPr>
          <w:p w14:paraId="6BAD7DB6" w14:textId="77777777" w:rsidR="00766F9E" w:rsidRPr="00B0658A" w:rsidRDefault="00766F9E" w:rsidP="00766F9E">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3" w:type="pct"/>
            <w:shd w:val="clear" w:color="000000" w:fill="FFFFFF"/>
            <w:vAlign w:val="center"/>
          </w:tcPr>
          <w:p w14:paraId="79BCAA39"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50%</w:t>
            </w:r>
          </w:p>
        </w:tc>
        <w:tc>
          <w:tcPr>
            <w:tcW w:w="364" w:type="pct"/>
            <w:shd w:val="clear" w:color="000000" w:fill="FFFFFF"/>
            <w:vAlign w:val="center"/>
          </w:tcPr>
          <w:p w14:paraId="55DB3754"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60%</w:t>
            </w:r>
          </w:p>
        </w:tc>
        <w:tc>
          <w:tcPr>
            <w:tcW w:w="364" w:type="pct"/>
            <w:shd w:val="clear" w:color="000000" w:fill="FFFFFF"/>
            <w:vAlign w:val="center"/>
          </w:tcPr>
          <w:p w14:paraId="55E67DA3"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70%</w:t>
            </w:r>
          </w:p>
        </w:tc>
        <w:tc>
          <w:tcPr>
            <w:tcW w:w="376" w:type="pct"/>
            <w:shd w:val="clear" w:color="000000" w:fill="FFFFFF"/>
            <w:vAlign w:val="center"/>
          </w:tcPr>
          <w:p w14:paraId="066EB42E" w14:textId="77777777" w:rsidR="00766F9E" w:rsidRPr="00B0658A" w:rsidRDefault="00766F9E" w:rsidP="00766F9E">
            <w:pPr>
              <w:spacing w:after="0" w:line="240" w:lineRule="auto"/>
              <w:jc w:val="center"/>
              <w:rPr>
                <w:rFonts w:ascii="Times New Roman" w:hAnsi="Times New Roman"/>
                <w:sz w:val="18"/>
                <w:szCs w:val="18"/>
                <w:lang w:val="en-US"/>
              </w:rPr>
            </w:pPr>
            <w:r w:rsidRPr="00B0658A">
              <w:rPr>
                <w:rFonts w:ascii="Times New Roman" w:hAnsi="Times New Roman"/>
                <w:sz w:val="18"/>
                <w:szCs w:val="18"/>
                <w:lang w:val="en-US"/>
              </w:rPr>
              <w:t>100%</w:t>
            </w:r>
          </w:p>
        </w:tc>
        <w:tc>
          <w:tcPr>
            <w:tcW w:w="364" w:type="pct"/>
            <w:shd w:val="clear" w:color="000000" w:fill="FFFFFF"/>
            <w:vAlign w:val="center"/>
          </w:tcPr>
          <w:p w14:paraId="6002F3A5"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80%</w:t>
            </w:r>
          </w:p>
        </w:tc>
        <w:tc>
          <w:tcPr>
            <w:tcW w:w="364" w:type="pct"/>
            <w:shd w:val="clear" w:color="000000" w:fill="FFFFFF"/>
            <w:vAlign w:val="center"/>
          </w:tcPr>
          <w:p w14:paraId="6C49DDDA"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90%</w:t>
            </w:r>
          </w:p>
        </w:tc>
        <w:tc>
          <w:tcPr>
            <w:tcW w:w="358" w:type="pct"/>
            <w:shd w:val="clear" w:color="000000" w:fill="FFFFFF"/>
            <w:vAlign w:val="center"/>
          </w:tcPr>
          <w:p w14:paraId="68D0D706"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D73F09" w:rsidRPr="00B0658A" w14:paraId="1A9A91D8" w14:textId="77777777" w:rsidTr="00FE71B1">
        <w:trPr>
          <w:trHeight w:val="20"/>
        </w:trPr>
        <w:tc>
          <w:tcPr>
            <w:tcW w:w="283" w:type="pct"/>
            <w:shd w:val="clear" w:color="000000" w:fill="FFFFFF"/>
            <w:vAlign w:val="center"/>
          </w:tcPr>
          <w:p w14:paraId="609E79B0" w14:textId="77777777" w:rsidR="00766F9E" w:rsidRPr="00B0658A" w:rsidRDefault="00766F9E" w:rsidP="00FE71B1">
            <w:pPr>
              <w:spacing w:after="0" w:line="240" w:lineRule="auto"/>
              <w:jc w:val="center"/>
              <w:rPr>
                <w:rFonts w:ascii="Times New Roman" w:hAnsi="Times New Roman"/>
                <w:sz w:val="18"/>
                <w:szCs w:val="18"/>
              </w:rPr>
            </w:pPr>
            <w:r w:rsidRPr="00B0658A">
              <w:rPr>
                <w:rFonts w:ascii="Times New Roman" w:hAnsi="Times New Roman"/>
                <w:sz w:val="18"/>
                <w:szCs w:val="18"/>
              </w:rPr>
              <w:t>5.13</w:t>
            </w:r>
          </w:p>
        </w:tc>
        <w:tc>
          <w:tcPr>
            <w:tcW w:w="1138" w:type="pct"/>
            <w:shd w:val="clear" w:color="auto" w:fill="auto"/>
            <w:vAlign w:val="center"/>
          </w:tcPr>
          <w:p w14:paraId="3AAF4C00" w14:textId="77777777" w:rsidR="00766F9E" w:rsidRPr="00B0658A" w:rsidRDefault="00766F9E" w:rsidP="00766F9E">
            <w:pPr>
              <w:spacing w:after="0" w:line="240" w:lineRule="auto"/>
              <w:rPr>
                <w:rFonts w:ascii="Times New Roman" w:hAnsi="Times New Roman"/>
                <w:sz w:val="18"/>
                <w:szCs w:val="18"/>
              </w:rPr>
            </w:pPr>
            <w:r w:rsidRPr="00B0658A">
              <w:rPr>
                <w:rFonts w:ascii="Times New Roman" w:hAnsi="Times New Roman"/>
                <w:sz w:val="18"/>
                <w:szCs w:val="18"/>
              </w:rPr>
              <w:t>Прикладное программное обеспечение/ Средства интеллектуальной обработки информации и интеллектуального анализа бизнес-процессов</w:t>
            </w:r>
          </w:p>
        </w:tc>
        <w:tc>
          <w:tcPr>
            <w:tcW w:w="1026" w:type="pct"/>
            <w:shd w:val="clear" w:color="000000" w:fill="FFFFFF"/>
          </w:tcPr>
          <w:p w14:paraId="72036786" w14:textId="77777777" w:rsidR="00766F9E" w:rsidRPr="00B0658A" w:rsidRDefault="00766F9E" w:rsidP="00766F9E">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3" w:type="pct"/>
            <w:shd w:val="clear" w:color="000000" w:fill="FFFFFF"/>
            <w:vAlign w:val="center"/>
          </w:tcPr>
          <w:p w14:paraId="07A7837B"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50%</w:t>
            </w:r>
          </w:p>
        </w:tc>
        <w:tc>
          <w:tcPr>
            <w:tcW w:w="364" w:type="pct"/>
            <w:shd w:val="clear" w:color="000000" w:fill="FFFFFF"/>
            <w:vAlign w:val="center"/>
          </w:tcPr>
          <w:p w14:paraId="406BCCA4"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60%</w:t>
            </w:r>
          </w:p>
        </w:tc>
        <w:tc>
          <w:tcPr>
            <w:tcW w:w="364" w:type="pct"/>
            <w:shd w:val="clear" w:color="000000" w:fill="FFFFFF"/>
            <w:vAlign w:val="center"/>
          </w:tcPr>
          <w:p w14:paraId="029689F2"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70%</w:t>
            </w:r>
          </w:p>
        </w:tc>
        <w:tc>
          <w:tcPr>
            <w:tcW w:w="376" w:type="pct"/>
            <w:shd w:val="clear" w:color="000000" w:fill="FFFFFF"/>
            <w:vAlign w:val="center"/>
          </w:tcPr>
          <w:p w14:paraId="6436BEA3" w14:textId="77777777" w:rsidR="00766F9E" w:rsidRPr="00B0658A" w:rsidRDefault="00766F9E" w:rsidP="00766F9E">
            <w:pPr>
              <w:spacing w:after="0" w:line="240" w:lineRule="auto"/>
              <w:jc w:val="center"/>
              <w:rPr>
                <w:rFonts w:ascii="Times New Roman" w:hAnsi="Times New Roman"/>
                <w:sz w:val="18"/>
                <w:szCs w:val="18"/>
                <w:lang w:val="en-US"/>
              </w:rPr>
            </w:pPr>
            <w:r w:rsidRPr="00B0658A">
              <w:rPr>
                <w:rFonts w:ascii="Times New Roman" w:hAnsi="Times New Roman"/>
                <w:sz w:val="18"/>
                <w:szCs w:val="18"/>
                <w:lang w:val="en-US"/>
              </w:rPr>
              <w:t>100%</w:t>
            </w:r>
          </w:p>
        </w:tc>
        <w:tc>
          <w:tcPr>
            <w:tcW w:w="364" w:type="pct"/>
            <w:shd w:val="clear" w:color="000000" w:fill="FFFFFF"/>
            <w:vAlign w:val="center"/>
          </w:tcPr>
          <w:p w14:paraId="233C5620"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80%</w:t>
            </w:r>
          </w:p>
        </w:tc>
        <w:tc>
          <w:tcPr>
            <w:tcW w:w="364" w:type="pct"/>
            <w:shd w:val="clear" w:color="000000" w:fill="FFFFFF"/>
            <w:vAlign w:val="center"/>
          </w:tcPr>
          <w:p w14:paraId="5CC0CB1C"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90%</w:t>
            </w:r>
          </w:p>
        </w:tc>
        <w:tc>
          <w:tcPr>
            <w:tcW w:w="358" w:type="pct"/>
            <w:shd w:val="clear" w:color="000000" w:fill="FFFFFF"/>
            <w:vAlign w:val="center"/>
          </w:tcPr>
          <w:p w14:paraId="6B3CE7EE"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D73F09" w:rsidRPr="00B0658A" w14:paraId="00E52E7C" w14:textId="77777777" w:rsidTr="00FE71B1">
        <w:trPr>
          <w:trHeight w:val="20"/>
        </w:trPr>
        <w:tc>
          <w:tcPr>
            <w:tcW w:w="283" w:type="pct"/>
            <w:shd w:val="clear" w:color="000000" w:fill="FFFFFF"/>
            <w:vAlign w:val="center"/>
          </w:tcPr>
          <w:p w14:paraId="36D9D307" w14:textId="77777777" w:rsidR="00766F9E" w:rsidRPr="00B0658A" w:rsidRDefault="00766F9E" w:rsidP="00FE71B1">
            <w:pPr>
              <w:spacing w:after="0" w:line="240" w:lineRule="auto"/>
              <w:jc w:val="center"/>
              <w:rPr>
                <w:rFonts w:ascii="Times New Roman" w:hAnsi="Times New Roman"/>
                <w:sz w:val="18"/>
                <w:szCs w:val="18"/>
              </w:rPr>
            </w:pPr>
            <w:r w:rsidRPr="00B0658A">
              <w:rPr>
                <w:rFonts w:ascii="Times New Roman" w:hAnsi="Times New Roman"/>
                <w:sz w:val="18"/>
                <w:szCs w:val="18"/>
              </w:rPr>
              <w:t>5.14</w:t>
            </w:r>
          </w:p>
        </w:tc>
        <w:tc>
          <w:tcPr>
            <w:tcW w:w="1138" w:type="pct"/>
            <w:shd w:val="clear" w:color="auto" w:fill="auto"/>
            <w:vAlign w:val="center"/>
          </w:tcPr>
          <w:p w14:paraId="5D8178ED" w14:textId="77777777" w:rsidR="00766F9E" w:rsidRPr="00B0658A" w:rsidRDefault="00766F9E" w:rsidP="00766F9E">
            <w:pPr>
              <w:spacing w:after="0" w:line="240" w:lineRule="auto"/>
              <w:rPr>
                <w:rFonts w:ascii="Times New Roman" w:hAnsi="Times New Roman"/>
                <w:sz w:val="18"/>
                <w:szCs w:val="18"/>
              </w:rPr>
            </w:pPr>
            <w:r w:rsidRPr="00B0658A">
              <w:rPr>
                <w:rFonts w:ascii="Times New Roman" w:hAnsi="Times New Roman"/>
                <w:sz w:val="18"/>
                <w:szCs w:val="18"/>
              </w:rPr>
              <w:t>Прикладное программное обеспечение/ Справочно-правовые системы</w:t>
            </w:r>
          </w:p>
        </w:tc>
        <w:tc>
          <w:tcPr>
            <w:tcW w:w="1026" w:type="pct"/>
            <w:shd w:val="clear" w:color="000000" w:fill="FFFFFF"/>
          </w:tcPr>
          <w:p w14:paraId="4B08FD94" w14:textId="77777777" w:rsidR="00766F9E" w:rsidRPr="00B0658A" w:rsidRDefault="00766F9E" w:rsidP="00766F9E">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3" w:type="pct"/>
            <w:shd w:val="clear" w:color="000000" w:fill="FFFFFF"/>
            <w:vAlign w:val="center"/>
          </w:tcPr>
          <w:p w14:paraId="32F4FCAB"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4" w:type="pct"/>
            <w:shd w:val="clear" w:color="000000" w:fill="FFFFFF"/>
            <w:vAlign w:val="center"/>
          </w:tcPr>
          <w:p w14:paraId="7B8E0728"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4" w:type="pct"/>
            <w:shd w:val="clear" w:color="000000" w:fill="FFFFFF"/>
            <w:vAlign w:val="center"/>
          </w:tcPr>
          <w:p w14:paraId="12B57DF9"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76" w:type="pct"/>
            <w:shd w:val="clear" w:color="000000" w:fill="FFFFFF"/>
            <w:vAlign w:val="center"/>
          </w:tcPr>
          <w:p w14:paraId="57AE776C" w14:textId="77777777" w:rsidR="00766F9E" w:rsidRPr="00B0658A" w:rsidRDefault="00766F9E" w:rsidP="00766F9E">
            <w:pPr>
              <w:spacing w:after="0" w:line="240" w:lineRule="auto"/>
              <w:jc w:val="center"/>
              <w:rPr>
                <w:rFonts w:ascii="Times New Roman" w:hAnsi="Times New Roman"/>
                <w:sz w:val="18"/>
                <w:szCs w:val="18"/>
                <w:lang w:val="en-US"/>
              </w:rPr>
            </w:pPr>
            <w:r w:rsidRPr="00B0658A">
              <w:rPr>
                <w:rFonts w:ascii="Times New Roman" w:hAnsi="Times New Roman"/>
                <w:sz w:val="18"/>
                <w:szCs w:val="18"/>
                <w:lang w:val="en-US"/>
              </w:rPr>
              <w:t>100%</w:t>
            </w:r>
          </w:p>
        </w:tc>
        <w:tc>
          <w:tcPr>
            <w:tcW w:w="364" w:type="pct"/>
            <w:shd w:val="clear" w:color="000000" w:fill="FFFFFF"/>
            <w:vAlign w:val="center"/>
          </w:tcPr>
          <w:p w14:paraId="5B284C64"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4" w:type="pct"/>
            <w:shd w:val="clear" w:color="000000" w:fill="FFFFFF"/>
            <w:vAlign w:val="center"/>
          </w:tcPr>
          <w:p w14:paraId="34077038"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58" w:type="pct"/>
            <w:shd w:val="clear" w:color="000000" w:fill="FFFFFF"/>
            <w:vAlign w:val="center"/>
          </w:tcPr>
          <w:p w14:paraId="1C68F0A8"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D73F09" w:rsidRPr="00B0658A" w14:paraId="4D2AC17E" w14:textId="77777777" w:rsidTr="00FE71B1">
        <w:trPr>
          <w:trHeight w:val="20"/>
        </w:trPr>
        <w:tc>
          <w:tcPr>
            <w:tcW w:w="283" w:type="pct"/>
            <w:shd w:val="clear" w:color="000000" w:fill="FFFFFF"/>
            <w:vAlign w:val="center"/>
          </w:tcPr>
          <w:p w14:paraId="7334E92A" w14:textId="77777777" w:rsidR="00766F9E" w:rsidRPr="00B0658A" w:rsidRDefault="00766F9E" w:rsidP="00FE71B1">
            <w:pPr>
              <w:spacing w:after="0" w:line="240" w:lineRule="auto"/>
              <w:jc w:val="center"/>
              <w:rPr>
                <w:rFonts w:ascii="Times New Roman" w:hAnsi="Times New Roman"/>
                <w:sz w:val="18"/>
                <w:szCs w:val="18"/>
              </w:rPr>
            </w:pPr>
            <w:r w:rsidRPr="00B0658A">
              <w:rPr>
                <w:rFonts w:ascii="Times New Roman" w:hAnsi="Times New Roman"/>
                <w:sz w:val="18"/>
                <w:szCs w:val="18"/>
              </w:rPr>
              <w:t>5.15</w:t>
            </w:r>
          </w:p>
        </w:tc>
        <w:tc>
          <w:tcPr>
            <w:tcW w:w="1138" w:type="pct"/>
            <w:shd w:val="clear" w:color="auto" w:fill="auto"/>
            <w:vAlign w:val="center"/>
          </w:tcPr>
          <w:p w14:paraId="4FE1F136" w14:textId="77777777" w:rsidR="00766F9E" w:rsidRPr="00B0658A" w:rsidRDefault="00766F9E" w:rsidP="00766F9E">
            <w:pPr>
              <w:spacing w:after="0" w:line="240" w:lineRule="auto"/>
              <w:rPr>
                <w:rFonts w:ascii="Times New Roman" w:hAnsi="Times New Roman"/>
                <w:sz w:val="18"/>
                <w:szCs w:val="18"/>
              </w:rPr>
            </w:pPr>
            <w:r w:rsidRPr="00B0658A">
              <w:rPr>
                <w:rFonts w:ascii="Times New Roman" w:hAnsi="Times New Roman"/>
                <w:sz w:val="18"/>
                <w:szCs w:val="18"/>
              </w:rPr>
              <w:t>Прикладное программное обеспечение/ Информационные системы для решения специфических отраслевых задач</w:t>
            </w:r>
          </w:p>
        </w:tc>
        <w:tc>
          <w:tcPr>
            <w:tcW w:w="1026" w:type="pct"/>
            <w:shd w:val="clear" w:color="000000" w:fill="FFFFFF"/>
          </w:tcPr>
          <w:p w14:paraId="29EF7ADC" w14:textId="77777777" w:rsidR="00766F9E" w:rsidRPr="00B0658A" w:rsidRDefault="00766F9E" w:rsidP="00766F9E">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3" w:type="pct"/>
            <w:shd w:val="clear" w:color="000000" w:fill="FFFFFF"/>
            <w:vAlign w:val="center"/>
          </w:tcPr>
          <w:p w14:paraId="63492662"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20%</w:t>
            </w:r>
          </w:p>
        </w:tc>
        <w:tc>
          <w:tcPr>
            <w:tcW w:w="364" w:type="pct"/>
            <w:shd w:val="clear" w:color="000000" w:fill="FFFFFF"/>
            <w:vAlign w:val="center"/>
          </w:tcPr>
          <w:p w14:paraId="08525CFD"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40%</w:t>
            </w:r>
          </w:p>
        </w:tc>
        <w:tc>
          <w:tcPr>
            <w:tcW w:w="364" w:type="pct"/>
            <w:shd w:val="clear" w:color="000000" w:fill="FFFFFF"/>
            <w:vAlign w:val="center"/>
          </w:tcPr>
          <w:p w14:paraId="5AC61227"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60%</w:t>
            </w:r>
          </w:p>
        </w:tc>
        <w:tc>
          <w:tcPr>
            <w:tcW w:w="376" w:type="pct"/>
            <w:shd w:val="clear" w:color="000000" w:fill="FFFFFF"/>
            <w:vAlign w:val="center"/>
          </w:tcPr>
          <w:p w14:paraId="7BB33D81"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4" w:type="pct"/>
            <w:shd w:val="clear" w:color="000000" w:fill="FFFFFF"/>
            <w:vAlign w:val="center"/>
          </w:tcPr>
          <w:p w14:paraId="264B67D0"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80%</w:t>
            </w:r>
          </w:p>
        </w:tc>
        <w:tc>
          <w:tcPr>
            <w:tcW w:w="364" w:type="pct"/>
            <w:shd w:val="clear" w:color="000000" w:fill="FFFFFF"/>
            <w:vAlign w:val="center"/>
          </w:tcPr>
          <w:p w14:paraId="35DA6A69"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58" w:type="pct"/>
            <w:shd w:val="clear" w:color="000000" w:fill="FFFFFF"/>
            <w:vAlign w:val="center"/>
          </w:tcPr>
          <w:p w14:paraId="1730FB70"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D73F09" w:rsidRPr="00B0658A" w14:paraId="60895FAC" w14:textId="77777777" w:rsidTr="00FE71B1">
        <w:trPr>
          <w:trHeight w:val="20"/>
        </w:trPr>
        <w:tc>
          <w:tcPr>
            <w:tcW w:w="283" w:type="pct"/>
            <w:shd w:val="clear" w:color="000000" w:fill="FFFFFF"/>
            <w:vAlign w:val="center"/>
          </w:tcPr>
          <w:p w14:paraId="7C4DD563" w14:textId="77777777" w:rsidR="00766F9E" w:rsidRPr="00B0658A" w:rsidRDefault="00766F9E" w:rsidP="00FE71B1">
            <w:pPr>
              <w:spacing w:after="0" w:line="240" w:lineRule="auto"/>
              <w:jc w:val="center"/>
              <w:rPr>
                <w:rFonts w:ascii="Times New Roman" w:hAnsi="Times New Roman"/>
                <w:sz w:val="18"/>
                <w:szCs w:val="18"/>
              </w:rPr>
            </w:pPr>
            <w:r w:rsidRPr="00B0658A">
              <w:rPr>
                <w:rFonts w:ascii="Times New Roman" w:hAnsi="Times New Roman"/>
                <w:sz w:val="18"/>
                <w:szCs w:val="18"/>
              </w:rPr>
              <w:t>5.16</w:t>
            </w:r>
          </w:p>
        </w:tc>
        <w:tc>
          <w:tcPr>
            <w:tcW w:w="1138" w:type="pct"/>
            <w:shd w:val="clear" w:color="auto" w:fill="auto"/>
            <w:vAlign w:val="center"/>
          </w:tcPr>
          <w:p w14:paraId="51003644" w14:textId="77777777" w:rsidR="00766F9E" w:rsidRPr="00B0658A" w:rsidRDefault="00766F9E" w:rsidP="00766F9E">
            <w:pPr>
              <w:spacing w:after="0" w:line="240" w:lineRule="auto"/>
              <w:rPr>
                <w:rFonts w:ascii="Times New Roman" w:hAnsi="Times New Roman"/>
                <w:sz w:val="18"/>
                <w:szCs w:val="18"/>
              </w:rPr>
            </w:pPr>
            <w:r w:rsidRPr="00B0658A">
              <w:rPr>
                <w:rFonts w:ascii="Times New Roman" w:hAnsi="Times New Roman"/>
                <w:sz w:val="18"/>
                <w:szCs w:val="18"/>
              </w:rPr>
              <w:t>Прикладное программное обеспечение/ Автоматизированные информационные системы оформления воздушных перевозок</w:t>
            </w:r>
          </w:p>
        </w:tc>
        <w:tc>
          <w:tcPr>
            <w:tcW w:w="1026" w:type="pct"/>
            <w:shd w:val="clear" w:color="000000" w:fill="FFFFFF"/>
          </w:tcPr>
          <w:p w14:paraId="102EBFEC" w14:textId="77777777" w:rsidR="00766F9E" w:rsidRPr="00B0658A" w:rsidRDefault="00766F9E" w:rsidP="00766F9E">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3" w:type="pct"/>
            <w:shd w:val="clear" w:color="000000" w:fill="FFFFFF"/>
            <w:vAlign w:val="center"/>
          </w:tcPr>
          <w:p w14:paraId="6C8585D1"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20%</w:t>
            </w:r>
          </w:p>
        </w:tc>
        <w:tc>
          <w:tcPr>
            <w:tcW w:w="364" w:type="pct"/>
            <w:shd w:val="clear" w:color="000000" w:fill="FFFFFF"/>
            <w:vAlign w:val="center"/>
          </w:tcPr>
          <w:p w14:paraId="596B8EE5"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30%</w:t>
            </w:r>
          </w:p>
        </w:tc>
        <w:tc>
          <w:tcPr>
            <w:tcW w:w="364" w:type="pct"/>
            <w:shd w:val="clear" w:color="000000" w:fill="FFFFFF"/>
            <w:vAlign w:val="center"/>
          </w:tcPr>
          <w:p w14:paraId="0E55DDA8"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45%</w:t>
            </w:r>
          </w:p>
        </w:tc>
        <w:tc>
          <w:tcPr>
            <w:tcW w:w="376" w:type="pct"/>
            <w:shd w:val="clear" w:color="000000" w:fill="FFFFFF"/>
            <w:vAlign w:val="center"/>
          </w:tcPr>
          <w:p w14:paraId="0F25302E"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4" w:type="pct"/>
            <w:shd w:val="clear" w:color="000000" w:fill="FFFFFF"/>
            <w:vAlign w:val="center"/>
          </w:tcPr>
          <w:p w14:paraId="20B60664"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70%</w:t>
            </w:r>
          </w:p>
        </w:tc>
        <w:tc>
          <w:tcPr>
            <w:tcW w:w="364" w:type="pct"/>
            <w:shd w:val="clear" w:color="000000" w:fill="FFFFFF"/>
            <w:vAlign w:val="center"/>
          </w:tcPr>
          <w:p w14:paraId="021FEE38"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90%</w:t>
            </w:r>
          </w:p>
        </w:tc>
        <w:tc>
          <w:tcPr>
            <w:tcW w:w="358" w:type="pct"/>
            <w:shd w:val="clear" w:color="000000" w:fill="FFFFFF"/>
            <w:vAlign w:val="center"/>
          </w:tcPr>
          <w:p w14:paraId="1E027D30"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D73F09" w:rsidRPr="00B0658A" w14:paraId="6EBBB946" w14:textId="77777777" w:rsidTr="00FE71B1">
        <w:trPr>
          <w:trHeight w:val="20"/>
        </w:trPr>
        <w:tc>
          <w:tcPr>
            <w:tcW w:w="283" w:type="pct"/>
            <w:shd w:val="clear" w:color="000000" w:fill="FFFFFF"/>
            <w:vAlign w:val="center"/>
          </w:tcPr>
          <w:p w14:paraId="11283409" w14:textId="77777777" w:rsidR="00766F9E" w:rsidRPr="00B0658A" w:rsidRDefault="00766F9E" w:rsidP="00FE71B1">
            <w:pPr>
              <w:spacing w:after="0" w:line="240" w:lineRule="auto"/>
              <w:jc w:val="center"/>
              <w:rPr>
                <w:rFonts w:ascii="Times New Roman" w:hAnsi="Times New Roman"/>
                <w:sz w:val="18"/>
                <w:szCs w:val="18"/>
              </w:rPr>
            </w:pPr>
            <w:r w:rsidRPr="00B0658A">
              <w:rPr>
                <w:rFonts w:ascii="Times New Roman" w:hAnsi="Times New Roman"/>
                <w:sz w:val="18"/>
                <w:szCs w:val="18"/>
              </w:rPr>
              <w:t>6.1</w:t>
            </w:r>
          </w:p>
        </w:tc>
        <w:tc>
          <w:tcPr>
            <w:tcW w:w="1138" w:type="pct"/>
            <w:shd w:val="clear" w:color="auto" w:fill="auto"/>
            <w:vAlign w:val="center"/>
          </w:tcPr>
          <w:p w14:paraId="4E60FBFC" w14:textId="77777777" w:rsidR="00766F9E" w:rsidRPr="00B0658A" w:rsidRDefault="00766F9E" w:rsidP="00766F9E">
            <w:pPr>
              <w:spacing w:after="0" w:line="240" w:lineRule="auto"/>
              <w:rPr>
                <w:rFonts w:ascii="Times New Roman" w:hAnsi="Times New Roman"/>
                <w:sz w:val="18"/>
                <w:szCs w:val="18"/>
              </w:rPr>
            </w:pPr>
            <w:r w:rsidRPr="00B0658A">
              <w:rPr>
                <w:rFonts w:ascii="Times New Roman" w:hAnsi="Times New Roman"/>
                <w:sz w:val="18"/>
                <w:szCs w:val="18"/>
              </w:rPr>
              <w:t>Офисные приложения/ Файловые менеджеры</w:t>
            </w:r>
          </w:p>
        </w:tc>
        <w:tc>
          <w:tcPr>
            <w:tcW w:w="1026" w:type="pct"/>
            <w:shd w:val="clear" w:color="000000" w:fill="FFFFFF"/>
          </w:tcPr>
          <w:p w14:paraId="79AFCDA8" w14:textId="77777777" w:rsidR="00766F9E" w:rsidRPr="00B0658A" w:rsidRDefault="00766F9E" w:rsidP="00766F9E">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3" w:type="pct"/>
            <w:shd w:val="clear" w:color="000000" w:fill="FFFFFF"/>
            <w:vAlign w:val="center"/>
          </w:tcPr>
          <w:p w14:paraId="6871A170" w14:textId="77777777" w:rsidR="00766F9E" w:rsidRPr="003E5305" w:rsidRDefault="00766F9E" w:rsidP="00766F9E">
            <w:pPr>
              <w:spacing w:after="0" w:line="240" w:lineRule="auto"/>
              <w:jc w:val="center"/>
              <w:rPr>
                <w:rFonts w:ascii="Times New Roman" w:hAnsi="Times New Roman"/>
                <w:sz w:val="18"/>
                <w:szCs w:val="18"/>
              </w:rPr>
            </w:pPr>
            <w:r w:rsidRPr="00476A06">
              <w:rPr>
                <w:rFonts w:ascii="Times New Roman" w:hAnsi="Times New Roman"/>
                <w:sz w:val="18"/>
                <w:szCs w:val="18"/>
              </w:rPr>
              <w:t>-*</w:t>
            </w:r>
          </w:p>
        </w:tc>
        <w:tc>
          <w:tcPr>
            <w:tcW w:w="364" w:type="pct"/>
            <w:shd w:val="clear" w:color="000000" w:fill="FFFFFF"/>
            <w:vAlign w:val="center"/>
          </w:tcPr>
          <w:p w14:paraId="6A4B25D1" w14:textId="77777777" w:rsidR="00766F9E" w:rsidRPr="003E5305" w:rsidRDefault="00766F9E" w:rsidP="00766F9E">
            <w:pPr>
              <w:spacing w:after="0" w:line="240" w:lineRule="auto"/>
              <w:jc w:val="center"/>
              <w:rPr>
                <w:rFonts w:ascii="Times New Roman" w:hAnsi="Times New Roman"/>
                <w:sz w:val="18"/>
                <w:szCs w:val="18"/>
              </w:rPr>
            </w:pPr>
            <w:r w:rsidRPr="00476A06">
              <w:rPr>
                <w:rFonts w:ascii="Times New Roman" w:hAnsi="Times New Roman"/>
                <w:sz w:val="18"/>
                <w:szCs w:val="18"/>
              </w:rPr>
              <w:t>-*</w:t>
            </w:r>
          </w:p>
        </w:tc>
        <w:tc>
          <w:tcPr>
            <w:tcW w:w="364" w:type="pct"/>
            <w:shd w:val="clear" w:color="000000" w:fill="FFFFFF"/>
            <w:vAlign w:val="center"/>
          </w:tcPr>
          <w:p w14:paraId="5FF6C4DA" w14:textId="77777777" w:rsidR="00766F9E" w:rsidRPr="003E5305" w:rsidRDefault="00766F9E" w:rsidP="00766F9E">
            <w:pPr>
              <w:spacing w:after="0" w:line="240" w:lineRule="auto"/>
              <w:jc w:val="center"/>
              <w:rPr>
                <w:rFonts w:ascii="Times New Roman" w:hAnsi="Times New Roman"/>
                <w:sz w:val="18"/>
                <w:szCs w:val="18"/>
              </w:rPr>
            </w:pPr>
            <w:r w:rsidRPr="00476A06">
              <w:rPr>
                <w:rFonts w:ascii="Times New Roman" w:hAnsi="Times New Roman"/>
                <w:sz w:val="18"/>
                <w:szCs w:val="18"/>
              </w:rPr>
              <w:t>-*</w:t>
            </w:r>
          </w:p>
        </w:tc>
        <w:tc>
          <w:tcPr>
            <w:tcW w:w="376" w:type="pct"/>
            <w:shd w:val="clear" w:color="000000" w:fill="FFFFFF"/>
            <w:vAlign w:val="center"/>
          </w:tcPr>
          <w:p w14:paraId="18EAB7B0"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4" w:type="pct"/>
            <w:shd w:val="clear" w:color="000000" w:fill="FFFFFF"/>
            <w:vAlign w:val="center"/>
          </w:tcPr>
          <w:p w14:paraId="7F95A244"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rPr>
              <w:t>100</w:t>
            </w:r>
            <w:r w:rsidRPr="00B0658A">
              <w:rPr>
                <w:rFonts w:ascii="Times New Roman" w:hAnsi="Times New Roman"/>
                <w:sz w:val="18"/>
                <w:szCs w:val="18"/>
                <w:lang w:val="en-US"/>
              </w:rPr>
              <w:t>%</w:t>
            </w:r>
          </w:p>
        </w:tc>
        <w:tc>
          <w:tcPr>
            <w:tcW w:w="364" w:type="pct"/>
            <w:shd w:val="clear" w:color="000000" w:fill="FFFFFF"/>
            <w:vAlign w:val="center"/>
          </w:tcPr>
          <w:p w14:paraId="2A7F07E9"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rPr>
              <w:t>100</w:t>
            </w:r>
            <w:r w:rsidRPr="00B0658A">
              <w:rPr>
                <w:rFonts w:ascii="Times New Roman" w:hAnsi="Times New Roman"/>
                <w:sz w:val="18"/>
                <w:szCs w:val="18"/>
                <w:lang w:val="en-US"/>
              </w:rPr>
              <w:t>%</w:t>
            </w:r>
          </w:p>
        </w:tc>
        <w:tc>
          <w:tcPr>
            <w:tcW w:w="358" w:type="pct"/>
            <w:shd w:val="clear" w:color="000000" w:fill="FFFFFF"/>
            <w:vAlign w:val="center"/>
          </w:tcPr>
          <w:p w14:paraId="665F3D33"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D73F09" w:rsidRPr="00B0658A" w14:paraId="4BE8FF21" w14:textId="77777777" w:rsidTr="00FE71B1">
        <w:trPr>
          <w:trHeight w:val="20"/>
        </w:trPr>
        <w:tc>
          <w:tcPr>
            <w:tcW w:w="283" w:type="pct"/>
            <w:shd w:val="clear" w:color="000000" w:fill="FFFFFF"/>
            <w:vAlign w:val="center"/>
          </w:tcPr>
          <w:p w14:paraId="32BF93EA" w14:textId="77777777" w:rsidR="00766F9E" w:rsidRPr="00B0658A" w:rsidRDefault="00766F9E" w:rsidP="00FE71B1">
            <w:pPr>
              <w:spacing w:after="0" w:line="240" w:lineRule="auto"/>
              <w:jc w:val="center"/>
              <w:rPr>
                <w:rFonts w:ascii="Times New Roman" w:hAnsi="Times New Roman"/>
                <w:sz w:val="18"/>
                <w:szCs w:val="18"/>
              </w:rPr>
            </w:pPr>
            <w:r w:rsidRPr="00B0658A">
              <w:rPr>
                <w:rFonts w:ascii="Times New Roman" w:hAnsi="Times New Roman"/>
                <w:sz w:val="18"/>
                <w:szCs w:val="18"/>
              </w:rPr>
              <w:t>6.2</w:t>
            </w:r>
          </w:p>
        </w:tc>
        <w:tc>
          <w:tcPr>
            <w:tcW w:w="1138" w:type="pct"/>
            <w:shd w:val="clear" w:color="auto" w:fill="auto"/>
            <w:vAlign w:val="center"/>
          </w:tcPr>
          <w:p w14:paraId="7A9A379E" w14:textId="77777777" w:rsidR="00766F9E" w:rsidRPr="00B0658A" w:rsidRDefault="00766F9E" w:rsidP="00766F9E">
            <w:pPr>
              <w:spacing w:after="0" w:line="240" w:lineRule="auto"/>
              <w:rPr>
                <w:rFonts w:ascii="Times New Roman" w:hAnsi="Times New Roman"/>
                <w:sz w:val="18"/>
                <w:szCs w:val="18"/>
              </w:rPr>
            </w:pPr>
            <w:r w:rsidRPr="00B0658A">
              <w:rPr>
                <w:rFonts w:ascii="Times New Roman" w:hAnsi="Times New Roman"/>
                <w:sz w:val="18"/>
                <w:szCs w:val="18"/>
              </w:rPr>
              <w:t>Офисные приложения/ Коммуникационное программное обеспечение</w:t>
            </w:r>
          </w:p>
        </w:tc>
        <w:tc>
          <w:tcPr>
            <w:tcW w:w="1026" w:type="pct"/>
            <w:shd w:val="clear" w:color="000000" w:fill="FFFFFF"/>
          </w:tcPr>
          <w:p w14:paraId="0954B0C6" w14:textId="77777777" w:rsidR="00766F9E" w:rsidRPr="00B0658A" w:rsidRDefault="00766F9E" w:rsidP="00766F9E">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3" w:type="pct"/>
            <w:shd w:val="clear" w:color="000000" w:fill="FFFFFF"/>
            <w:vAlign w:val="center"/>
          </w:tcPr>
          <w:p w14:paraId="110E3F86" w14:textId="77777777" w:rsidR="00766F9E" w:rsidRPr="00E44B76" w:rsidRDefault="00766F9E" w:rsidP="00766F9E">
            <w:pPr>
              <w:spacing w:after="0" w:line="240" w:lineRule="auto"/>
              <w:jc w:val="center"/>
              <w:rPr>
                <w:rFonts w:ascii="Times New Roman" w:hAnsi="Times New Roman"/>
                <w:sz w:val="18"/>
                <w:szCs w:val="18"/>
              </w:rPr>
            </w:pPr>
            <w:r w:rsidRPr="00476A06">
              <w:rPr>
                <w:rFonts w:ascii="Times New Roman" w:hAnsi="Times New Roman"/>
                <w:sz w:val="18"/>
                <w:szCs w:val="18"/>
              </w:rPr>
              <w:t>-*</w:t>
            </w:r>
          </w:p>
        </w:tc>
        <w:tc>
          <w:tcPr>
            <w:tcW w:w="364" w:type="pct"/>
            <w:shd w:val="clear" w:color="000000" w:fill="FFFFFF"/>
            <w:vAlign w:val="center"/>
          </w:tcPr>
          <w:p w14:paraId="6AA7B5DE" w14:textId="77777777" w:rsidR="00766F9E" w:rsidRPr="00E44B76" w:rsidRDefault="00766F9E" w:rsidP="00766F9E">
            <w:pPr>
              <w:spacing w:after="0" w:line="240" w:lineRule="auto"/>
              <w:jc w:val="center"/>
              <w:rPr>
                <w:rFonts w:ascii="Times New Roman" w:hAnsi="Times New Roman"/>
                <w:sz w:val="18"/>
                <w:szCs w:val="18"/>
              </w:rPr>
            </w:pPr>
            <w:r w:rsidRPr="00476A06">
              <w:rPr>
                <w:rFonts w:ascii="Times New Roman" w:hAnsi="Times New Roman"/>
                <w:sz w:val="18"/>
                <w:szCs w:val="18"/>
              </w:rPr>
              <w:t>-*</w:t>
            </w:r>
          </w:p>
        </w:tc>
        <w:tc>
          <w:tcPr>
            <w:tcW w:w="364" w:type="pct"/>
            <w:shd w:val="clear" w:color="000000" w:fill="FFFFFF"/>
            <w:vAlign w:val="center"/>
          </w:tcPr>
          <w:p w14:paraId="3EF8FCB6" w14:textId="77777777" w:rsidR="00766F9E" w:rsidRPr="00E44B76" w:rsidRDefault="00766F9E" w:rsidP="00766F9E">
            <w:pPr>
              <w:spacing w:after="0" w:line="240" w:lineRule="auto"/>
              <w:jc w:val="center"/>
              <w:rPr>
                <w:rFonts w:ascii="Times New Roman" w:hAnsi="Times New Roman"/>
                <w:sz w:val="18"/>
                <w:szCs w:val="18"/>
              </w:rPr>
            </w:pPr>
            <w:r w:rsidRPr="00476A06">
              <w:rPr>
                <w:rFonts w:ascii="Times New Roman" w:hAnsi="Times New Roman"/>
                <w:sz w:val="18"/>
                <w:szCs w:val="18"/>
              </w:rPr>
              <w:t>-*</w:t>
            </w:r>
          </w:p>
        </w:tc>
        <w:tc>
          <w:tcPr>
            <w:tcW w:w="376" w:type="pct"/>
            <w:shd w:val="clear" w:color="000000" w:fill="FFFFFF"/>
            <w:vAlign w:val="center"/>
          </w:tcPr>
          <w:p w14:paraId="71039DA4"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4" w:type="pct"/>
            <w:shd w:val="clear" w:color="000000" w:fill="FFFFFF"/>
            <w:vAlign w:val="center"/>
          </w:tcPr>
          <w:p w14:paraId="32C3A061"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4" w:type="pct"/>
            <w:shd w:val="clear" w:color="000000" w:fill="FFFFFF"/>
            <w:vAlign w:val="center"/>
          </w:tcPr>
          <w:p w14:paraId="15EC7033"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58" w:type="pct"/>
            <w:shd w:val="clear" w:color="000000" w:fill="FFFFFF"/>
            <w:vAlign w:val="center"/>
          </w:tcPr>
          <w:p w14:paraId="2A990887"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D73F09" w:rsidRPr="00B0658A" w14:paraId="12FC1E9F" w14:textId="77777777" w:rsidTr="00FE71B1">
        <w:trPr>
          <w:trHeight w:val="20"/>
        </w:trPr>
        <w:tc>
          <w:tcPr>
            <w:tcW w:w="283" w:type="pct"/>
            <w:shd w:val="clear" w:color="000000" w:fill="FFFFFF"/>
            <w:vAlign w:val="center"/>
          </w:tcPr>
          <w:p w14:paraId="449077E5" w14:textId="77777777" w:rsidR="00766F9E" w:rsidRPr="00B0658A" w:rsidRDefault="00766F9E" w:rsidP="00FE71B1">
            <w:pPr>
              <w:spacing w:after="0" w:line="240" w:lineRule="auto"/>
              <w:jc w:val="center"/>
              <w:rPr>
                <w:rFonts w:ascii="Times New Roman" w:hAnsi="Times New Roman"/>
                <w:sz w:val="18"/>
                <w:szCs w:val="18"/>
              </w:rPr>
            </w:pPr>
            <w:r w:rsidRPr="00B0658A">
              <w:rPr>
                <w:rFonts w:ascii="Times New Roman" w:hAnsi="Times New Roman"/>
                <w:sz w:val="18"/>
                <w:szCs w:val="18"/>
              </w:rPr>
              <w:t>6.3</w:t>
            </w:r>
          </w:p>
        </w:tc>
        <w:tc>
          <w:tcPr>
            <w:tcW w:w="1138" w:type="pct"/>
            <w:shd w:val="clear" w:color="auto" w:fill="auto"/>
            <w:vAlign w:val="center"/>
          </w:tcPr>
          <w:p w14:paraId="75545D09" w14:textId="77777777" w:rsidR="00766F9E" w:rsidRPr="00B0658A" w:rsidRDefault="00766F9E" w:rsidP="00766F9E">
            <w:pPr>
              <w:spacing w:after="0" w:line="240" w:lineRule="auto"/>
              <w:rPr>
                <w:rFonts w:ascii="Times New Roman" w:hAnsi="Times New Roman"/>
                <w:sz w:val="18"/>
                <w:szCs w:val="18"/>
              </w:rPr>
            </w:pPr>
            <w:r w:rsidRPr="00B0658A">
              <w:rPr>
                <w:rFonts w:ascii="Times New Roman" w:hAnsi="Times New Roman"/>
                <w:sz w:val="18"/>
                <w:szCs w:val="18"/>
              </w:rPr>
              <w:t>Офисные приложения/ Офисные пакеты</w:t>
            </w:r>
          </w:p>
        </w:tc>
        <w:tc>
          <w:tcPr>
            <w:tcW w:w="1026" w:type="pct"/>
            <w:shd w:val="clear" w:color="000000" w:fill="FFFFFF"/>
          </w:tcPr>
          <w:p w14:paraId="40822219" w14:textId="77777777" w:rsidR="00766F9E" w:rsidRPr="00B0658A" w:rsidRDefault="00766F9E" w:rsidP="00766F9E">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3" w:type="pct"/>
            <w:shd w:val="clear" w:color="000000" w:fill="FFFFFF"/>
            <w:vAlign w:val="center"/>
          </w:tcPr>
          <w:p w14:paraId="5B62EE6D" w14:textId="77777777" w:rsidR="00766F9E" w:rsidRPr="00E44B76" w:rsidRDefault="00766F9E" w:rsidP="00766F9E">
            <w:pPr>
              <w:spacing w:after="0" w:line="240" w:lineRule="auto"/>
              <w:jc w:val="center"/>
              <w:rPr>
                <w:rFonts w:ascii="Times New Roman" w:hAnsi="Times New Roman"/>
                <w:sz w:val="18"/>
                <w:szCs w:val="18"/>
              </w:rPr>
            </w:pPr>
            <w:r w:rsidRPr="00476A06">
              <w:rPr>
                <w:rFonts w:ascii="Times New Roman" w:hAnsi="Times New Roman"/>
                <w:sz w:val="18"/>
                <w:szCs w:val="18"/>
              </w:rPr>
              <w:t>-*</w:t>
            </w:r>
          </w:p>
        </w:tc>
        <w:tc>
          <w:tcPr>
            <w:tcW w:w="364" w:type="pct"/>
            <w:shd w:val="clear" w:color="000000" w:fill="FFFFFF"/>
            <w:vAlign w:val="center"/>
          </w:tcPr>
          <w:p w14:paraId="7D61A12A" w14:textId="77777777" w:rsidR="00766F9E" w:rsidRPr="00E44B76" w:rsidRDefault="00766F9E" w:rsidP="00766F9E">
            <w:pPr>
              <w:spacing w:after="0" w:line="240" w:lineRule="auto"/>
              <w:jc w:val="center"/>
              <w:rPr>
                <w:rFonts w:ascii="Times New Roman" w:hAnsi="Times New Roman"/>
                <w:sz w:val="18"/>
                <w:szCs w:val="18"/>
              </w:rPr>
            </w:pPr>
            <w:r w:rsidRPr="00476A06">
              <w:rPr>
                <w:rFonts w:ascii="Times New Roman" w:hAnsi="Times New Roman"/>
                <w:sz w:val="18"/>
                <w:szCs w:val="18"/>
              </w:rPr>
              <w:t>-*</w:t>
            </w:r>
          </w:p>
        </w:tc>
        <w:tc>
          <w:tcPr>
            <w:tcW w:w="364" w:type="pct"/>
            <w:shd w:val="clear" w:color="000000" w:fill="FFFFFF"/>
            <w:vAlign w:val="center"/>
          </w:tcPr>
          <w:p w14:paraId="2570B2BC" w14:textId="77777777" w:rsidR="00766F9E" w:rsidRPr="00E44B76" w:rsidRDefault="00766F9E" w:rsidP="00766F9E">
            <w:pPr>
              <w:spacing w:after="0" w:line="240" w:lineRule="auto"/>
              <w:jc w:val="center"/>
              <w:rPr>
                <w:rFonts w:ascii="Times New Roman" w:hAnsi="Times New Roman"/>
                <w:sz w:val="18"/>
                <w:szCs w:val="18"/>
              </w:rPr>
            </w:pPr>
            <w:r w:rsidRPr="00476A06">
              <w:rPr>
                <w:rFonts w:ascii="Times New Roman" w:hAnsi="Times New Roman"/>
                <w:sz w:val="18"/>
                <w:szCs w:val="18"/>
              </w:rPr>
              <w:t>-*</w:t>
            </w:r>
          </w:p>
        </w:tc>
        <w:tc>
          <w:tcPr>
            <w:tcW w:w="376" w:type="pct"/>
            <w:shd w:val="clear" w:color="000000" w:fill="FFFFFF"/>
            <w:vAlign w:val="center"/>
          </w:tcPr>
          <w:p w14:paraId="6F858E1E"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4" w:type="pct"/>
            <w:shd w:val="clear" w:color="000000" w:fill="FFFFFF"/>
            <w:vAlign w:val="center"/>
          </w:tcPr>
          <w:p w14:paraId="71A9FB19"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4" w:type="pct"/>
            <w:shd w:val="clear" w:color="000000" w:fill="FFFFFF"/>
            <w:vAlign w:val="center"/>
          </w:tcPr>
          <w:p w14:paraId="2112E4FF"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rPr>
              <w:t>100</w:t>
            </w:r>
            <w:r w:rsidRPr="00B0658A">
              <w:rPr>
                <w:rFonts w:ascii="Times New Roman" w:hAnsi="Times New Roman"/>
                <w:sz w:val="18"/>
                <w:szCs w:val="18"/>
                <w:lang w:val="en-US"/>
              </w:rPr>
              <w:t>%</w:t>
            </w:r>
          </w:p>
        </w:tc>
        <w:tc>
          <w:tcPr>
            <w:tcW w:w="358" w:type="pct"/>
            <w:shd w:val="clear" w:color="000000" w:fill="FFFFFF"/>
            <w:vAlign w:val="center"/>
          </w:tcPr>
          <w:p w14:paraId="6CE7C84D"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D73F09" w:rsidRPr="00B0658A" w14:paraId="1D703390" w14:textId="77777777" w:rsidTr="00FE71B1">
        <w:trPr>
          <w:trHeight w:val="20"/>
        </w:trPr>
        <w:tc>
          <w:tcPr>
            <w:tcW w:w="283" w:type="pct"/>
            <w:shd w:val="clear" w:color="000000" w:fill="FFFFFF"/>
            <w:vAlign w:val="center"/>
          </w:tcPr>
          <w:p w14:paraId="6D2F7BEC" w14:textId="77777777" w:rsidR="00766F9E" w:rsidRPr="00B0658A" w:rsidRDefault="00766F9E" w:rsidP="00FE71B1">
            <w:pPr>
              <w:spacing w:after="0" w:line="240" w:lineRule="auto"/>
              <w:jc w:val="center"/>
              <w:rPr>
                <w:rFonts w:ascii="Times New Roman" w:hAnsi="Times New Roman"/>
                <w:sz w:val="18"/>
                <w:szCs w:val="18"/>
              </w:rPr>
            </w:pPr>
            <w:r w:rsidRPr="00B0658A">
              <w:rPr>
                <w:rFonts w:ascii="Times New Roman" w:hAnsi="Times New Roman"/>
                <w:sz w:val="18"/>
                <w:szCs w:val="18"/>
              </w:rPr>
              <w:t>6.4</w:t>
            </w:r>
          </w:p>
        </w:tc>
        <w:tc>
          <w:tcPr>
            <w:tcW w:w="1138" w:type="pct"/>
            <w:shd w:val="clear" w:color="auto" w:fill="auto"/>
            <w:vAlign w:val="center"/>
          </w:tcPr>
          <w:p w14:paraId="51B1F57C" w14:textId="77777777" w:rsidR="00766F9E" w:rsidRPr="00B0658A" w:rsidRDefault="00766F9E" w:rsidP="00766F9E">
            <w:pPr>
              <w:spacing w:after="0" w:line="240" w:lineRule="auto"/>
              <w:rPr>
                <w:rFonts w:ascii="Times New Roman" w:hAnsi="Times New Roman"/>
                <w:sz w:val="18"/>
                <w:szCs w:val="18"/>
              </w:rPr>
            </w:pPr>
            <w:r w:rsidRPr="00B0658A">
              <w:rPr>
                <w:rFonts w:ascii="Times New Roman" w:hAnsi="Times New Roman"/>
                <w:sz w:val="18"/>
                <w:szCs w:val="18"/>
              </w:rPr>
              <w:t>Офисные приложения/ Почтовые приложения</w:t>
            </w:r>
          </w:p>
        </w:tc>
        <w:tc>
          <w:tcPr>
            <w:tcW w:w="1026" w:type="pct"/>
            <w:shd w:val="clear" w:color="000000" w:fill="FFFFFF"/>
          </w:tcPr>
          <w:p w14:paraId="33236D7D" w14:textId="77777777" w:rsidR="00766F9E" w:rsidRPr="00B0658A" w:rsidRDefault="00766F9E" w:rsidP="00766F9E">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3" w:type="pct"/>
            <w:shd w:val="clear" w:color="000000" w:fill="FFFFFF"/>
            <w:vAlign w:val="center"/>
          </w:tcPr>
          <w:p w14:paraId="712C2D46" w14:textId="77777777" w:rsidR="00766F9E" w:rsidRPr="00E44B76" w:rsidRDefault="00766F9E" w:rsidP="00766F9E">
            <w:pPr>
              <w:spacing w:after="0" w:line="240" w:lineRule="auto"/>
              <w:jc w:val="center"/>
              <w:rPr>
                <w:rFonts w:ascii="Times New Roman" w:hAnsi="Times New Roman"/>
                <w:sz w:val="18"/>
                <w:szCs w:val="18"/>
              </w:rPr>
            </w:pPr>
            <w:r w:rsidRPr="00476A06">
              <w:rPr>
                <w:rFonts w:ascii="Times New Roman" w:hAnsi="Times New Roman"/>
                <w:sz w:val="18"/>
                <w:szCs w:val="18"/>
              </w:rPr>
              <w:t>-*</w:t>
            </w:r>
          </w:p>
        </w:tc>
        <w:tc>
          <w:tcPr>
            <w:tcW w:w="364" w:type="pct"/>
            <w:shd w:val="clear" w:color="000000" w:fill="FFFFFF"/>
            <w:vAlign w:val="center"/>
          </w:tcPr>
          <w:p w14:paraId="46D1C09A" w14:textId="77777777" w:rsidR="00766F9E" w:rsidRPr="00E44B76" w:rsidRDefault="00766F9E" w:rsidP="00766F9E">
            <w:pPr>
              <w:spacing w:after="0" w:line="240" w:lineRule="auto"/>
              <w:jc w:val="center"/>
              <w:rPr>
                <w:rFonts w:ascii="Times New Roman" w:hAnsi="Times New Roman"/>
                <w:sz w:val="18"/>
                <w:szCs w:val="18"/>
              </w:rPr>
            </w:pPr>
            <w:r w:rsidRPr="00476A06">
              <w:rPr>
                <w:rFonts w:ascii="Times New Roman" w:hAnsi="Times New Roman"/>
                <w:sz w:val="18"/>
                <w:szCs w:val="18"/>
              </w:rPr>
              <w:t>-*</w:t>
            </w:r>
          </w:p>
        </w:tc>
        <w:tc>
          <w:tcPr>
            <w:tcW w:w="364" w:type="pct"/>
            <w:shd w:val="clear" w:color="000000" w:fill="FFFFFF"/>
            <w:vAlign w:val="center"/>
          </w:tcPr>
          <w:p w14:paraId="77D6BC9E" w14:textId="77777777" w:rsidR="00766F9E" w:rsidRPr="00B0658A" w:rsidRDefault="00766F9E" w:rsidP="00766F9E">
            <w:pPr>
              <w:spacing w:after="0" w:line="240" w:lineRule="auto"/>
              <w:jc w:val="center"/>
              <w:rPr>
                <w:rFonts w:ascii="Times New Roman" w:hAnsi="Times New Roman"/>
                <w:sz w:val="18"/>
                <w:szCs w:val="18"/>
              </w:rPr>
            </w:pPr>
            <w:r w:rsidRPr="00476A06">
              <w:rPr>
                <w:rFonts w:ascii="Times New Roman" w:hAnsi="Times New Roman"/>
                <w:sz w:val="18"/>
                <w:szCs w:val="18"/>
              </w:rPr>
              <w:t>-*</w:t>
            </w:r>
          </w:p>
        </w:tc>
        <w:tc>
          <w:tcPr>
            <w:tcW w:w="376" w:type="pct"/>
            <w:shd w:val="clear" w:color="000000" w:fill="FFFFFF"/>
            <w:vAlign w:val="center"/>
          </w:tcPr>
          <w:p w14:paraId="040EF017"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4" w:type="pct"/>
            <w:shd w:val="clear" w:color="000000" w:fill="FFFFFF"/>
            <w:vAlign w:val="center"/>
          </w:tcPr>
          <w:p w14:paraId="4C1D4B0B"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4" w:type="pct"/>
            <w:shd w:val="clear" w:color="000000" w:fill="FFFFFF"/>
            <w:vAlign w:val="center"/>
          </w:tcPr>
          <w:p w14:paraId="1AD4B0AD"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58" w:type="pct"/>
            <w:shd w:val="clear" w:color="000000" w:fill="FFFFFF"/>
            <w:vAlign w:val="center"/>
          </w:tcPr>
          <w:p w14:paraId="6C8AA1DB"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D73F09" w:rsidRPr="00B0658A" w14:paraId="522B7EDE" w14:textId="77777777" w:rsidTr="00FE71B1">
        <w:trPr>
          <w:trHeight w:val="20"/>
        </w:trPr>
        <w:tc>
          <w:tcPr>
            <w:tcW w:w="283" w:type="pct"/>
            <w:shd w:val="clear" w:color="000000" w:fill="FFFFFF"/>
            <w:vAlign w:val="center"/>
          </w:tcPr>
          <w:p w14:paraId="7476EF74" w14:textId="77777777" w:rsidR="00766F9E" w:rsidRPr="00B0658A" w:rsidRDefault="00766F9E" w:rsidP="00FE71B1">
            <w:pPr>
              <w:spacing w:after="0" w:line="240" w:lineRule="auto"/>
              <w:jc w:val="center"/>
              <w:rPr>
                <w:rFonts w:ascii="Times New Roman" w:hAnsi="Times New Roman"/>
                <w:sz w:val="18"/>
                <w:szCs w:val="18"/>
              </w:rPr>
            </w:pPr>
            <w:r w:rsidRPr="00B0658A">
              <w:rPr>
                <w:rFonts w:ascii="Times New Roman" w:hAnsi="Times New Roman"/>
                <w:sz w:val="18"/>
                <w:szCs w:val="18"/>
              </w:rPr>
              <w:t>6.5</w:t>
            </w:r>
          </w:p>
        </w:tc>
        <w:tc>
          <w:tcPr>
            <w:tcW w:w="1138" w:type="pct"/>
            <w:shd w:val="clear" w:color="auto" w:fill="auto"/>
            <w:vAlign w:val="center"/>
          </w:tcPr>
          <w:p w14:paraId="11CD34AC" w14:textId="77777777" w:rsidR="00766F9E" w:rsidRPr="00B0658A" w:rsidRDefault="00766F9E" w:rsidP="00766F9E">
            <w:pPr>
              <w:spacing w:after="0" w:line="240" w:lineRule="auto"/>
              <w:rPr>
                <w:rFonts w:ascii="Times New Roman" w:hAnsi="Times New Roman"/>
                <w:sz w:val="18"/>
                <w:szCs w:val="18"/>
              </w:rPr>
            </w:pPr>
            <w:r w:rsidRPr="00B0658A">
              <w:rPr>
                <w:rFonts w:ascii="Times New Roman" w:hAnsi="Times New Roman"/>
                <w:sz w:val="18"/>
                <w:szCs w:val="18"/>
              </w:rPr>
              <w:t>Офисные приложения/ Органайзеры</w:t>
            </w:r>
          </w:p>
        </w:tc>
        <w:tc>
          <w:tcPr>
            <w:tcW w:w="1026" w:type="pct"/>
            <w:shd w:val="clear" w:color="000000" w:fill="FFFFFF"/>
          </w:tcPr>
          <w:p w14:paraId="086A63F5" w14:textId="77777777" w:rsidR="00766F9E" w:rsidRPr="00B0658A" w:rsidRDefault="00766F9E" w:rsidP="00766F9E">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3" w:type="pct"/>
            <w:shd w:val="clear" w:color="000000" w:fill="FFFFFF"/>
            <w:vAlign w:val="center"/>
          </w:tcPr>
          <w:p w14:paraId="74896DB1" w14:textId="77777777" w:rsidR="00766F9E" w:rsidRPr="00B0658A" w:rsidRDefault="00766F9E" w:rsidP="00766F9E">
            <w:pPr>
              <w:spacing w:after="0" w:line="240" w:lineRule="auto"/>
              <w:jc w:val="center"/>
              <w:rPr>
                <w:rFonts w:ascii="Times New Roman" w:hAnsi="Times New Roman"/>
                <w:sz w:val="18"/>
                <w:szCs w:val="18"/>
              </w:rPr>
            </w:pPr>
            <w:r w:rsidRPr="00476A06">
              <w:rPr>
                <w:rFonts w:ascii="Times New Roman" w:hAnsi="Times New Roman"/>
                <w:sz w:val="18"/>
                <w:szCs w:val="18"/>
              </w:rPr>
              <w:t>-*</w:t>
            </w:r>
          </w:p>
        </w:tc>
        <w:tc>
          <w:tcPr>
            <w:tcW w:w="364" w:type="pct"/>
            <w:shd w:val="clear" w:color="000000" w:fill="FFFFFF"/>
            <w:vAlign w:val="center"/>
          </w:tcPr>
          <w:p w14:paraId="57420846" w14:textId="77777777" w:rsidR="00766F9E" w:rsidRPr="00B0658A" w:rsidRDefault="00766F9E" w:rsidP="00766F9E">
            <w:pPr>
              <w:spacing w:after="0" w:line="240" w:lineRule="auto"/>
              <w:jc w:val="center"/>
              <w:rPr>
                <w:rFonts w:ascii="Times New Roman" w:hAnsi="Times New Roman"/>
                <w:sz w:val="18"/>
                <w:szCs w:val="18"/>
              </w:rPr>
            </w:pPr>
            <w:r w:rsidRPr="00476A06">
              <w:rPr>
                <w:rFonts w:ascii="Times New Roman" w:hAnsi="Times New Roman"/>
                <w:sz w:val="18"/>
                <w:szCs w:val="18"/>
              </w:rPr>
              <w:t>-*</w:t>
            </w:r>
          </w:p>
        </w:tc>
        <w:tc>
          <w:tcPr>
            <w:tcW w:w="364" w:type="pct"/>
            <w:shd w:val="clear" w:color="000000" w:fill="FFFFFF"/>
            <w:vAlign w:val="center"/>
          </w:tcPr>
          <w:p w14:paraId="1B4451B4" w14:textId="77777777" w:rsidR="00766F9E" w:rsidRPr="00B0658A" w:rsidRDefault="00766F9E" w:rsidP="00766F9E">
            <w:pPr>
              <w:spacing w:after="0" w:line="240" w:lineRule="auto"/>
              <w:jc w:val="center"/>
              <w:rPr>
                <w:rFonts w:ascii="Times New Roman" w:hAnsi="Times New Roman"/>
                <w:sz w:val="18"/>
                <w:szCs w:val="18"/>
              </w:rPr>
            </w:pPr>
            <w:r w:rsidRPr="00476A06">
              <w:rPr>
                <w:rFonts w:ascii="Times New Roman" w:hAnsi="Times New Roman"/>
                <w:sz w:val="18"/>
                <w:szCs w:val="18"/>
              </w:rPr>
              <w:t>-*</w:t>
            </w:r>
          </w:p>
        </w:tc>
        <w:tc>
          <w:tcPr>
            <w:tcW w:w="376" w:type="pct"/>
            <w:shd w:val="clear" w:color="000000" w:fill="FFFFFF"/>
            <w:vAlign w:val="center"/>
          </w:tcPr>
          <w:p w14:paraId="26FF2BED"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4" w:type="pct"/>
            <w:shd w:val="clear" w:color="000000" w:fill="FFFFFF"/>
            <w:vAlign w:val="center"/>
          </w:tcPr>
          <w:p w14:paraId="2644EC28" w14:textId="77777777" w:rsidR="00766F9E" w:rsidRPr="00B0658A" w:rsidRDefault="00766F9E" w:rsidP="00766F9E">
            <w:pPr>
              <w:spacing w:after="0" w:line="240" w:lineRule="auto"/>
              <w:jc w:val="center"/>
              <w:rPr>
                <w:rFonts w:ascii="Times New Roman" w:hAnsi="Times New Roman"/>
                <w:sz w:val="18"/>
                <w:szCs w:val="18"/>
              </w:rPr>
            </w:pPr>
            <w:r w:rsidRPr="00D73B93">
              <w:rPr>
                <w:rFonts w:ascii="Times New Roman" w:hAnsi="Times New Roman"/>
                <w:sz w:val="18"/>
                <w:szCs w:val="18"/>
                <w:lang w:val="en-US"/>
              </w:rPr>
              <w:t>100%</w:t>
            </w:r>
          </w:p>
        </w:tc>
        <w:tc>
          <w:tcPr>
            <w:tcW w:w="364" w:type="pct"/>
            <w:shd w:val="clear" w:color="000000" w:fill="FFFFFF"/>
            <w:vAlign w:val="center"/>
          </w:tcPr>
          <w:p w14:paraId="3D2471D4"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rPr>
              <w:t>100</w:t>
            </w:r>
            <w:r w:rsidRPr="00B0658A">
              <w:rPr>
                <w:rFonts w:ascii="Times New Roman" w:hAnsi="Times New Roman"/>
                <w:sz w:val="18"/>
                <w:szCs w:val="18"/>
                <w:lang w:val="en-US"/>
              </w:rPr>
              <w:t>%</w:t>
            </w:r>
          </w:p>
        </w:tc>
        <w:tc>
          <w:tcPr>
            <w:tcW w:w="358" w:type="pct"/>
            <w:shd w:val="clear" w:color="000000" w:fill="FFFFFF"/>
            <w:vAlign w:val="center"/>
          </w:tcPr>
          <w:p w14:paraId="3A2FADCE"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D73F09" w:rsidRPr="00B0658A" w14:paraId="34D58AF9" w14:textId="77777777" w:rsidTr="00FE71B1">
        <w:trPr>
          <w:trHeight w:val="20"/>
        </w:trPr>
        <w:tc>
          <w:tcPr>
            <w:tcW w:w="283" w:type="pct"/>
            <w:shd w:val="clear" w:color="000000" w:fill="FFFFFF"/>
            <w:vAlign w:val="center"/>
          </w:tcPr>
          <w:p w14:paraId="69AEEBFA" w14:textId="77777777" w:rsidR="00766F9E" w:rsidRPr="00B0658A" w:rsidRDefault="00766F9E" w:rsidP="00FE71B1">
            <w:pPr>
              <w:spacing w:after="0" w:line="240" w:lineRule="auto"/>
              <w:jc w:val="center"/>
              <w:rPr>
                <w:rFonts w:ascii="Times New Roman" w:hAnsi="Times New Roman"/>
                <w:sz w:val="18"/>
                <w:szCs w:val="18"/>
              </w:rPr>
            </w:pPr>
            <w:r w:rsidRPr="00B0658A">
              <w:rPr>
                <w:rFonts w:ascii="Times New Roman" w:hAnsi="Times New Roman"/>
                <w:sz w:val="18"/>
                <w:szCs w:val="18"/>
              </w:rPr>
              <w:t>6.6</w:t>
            </w:r>
          </w:p>
        </w:tc>
        <w:tc>
          <w:tcPr>
            <w:tcW w:w="1138" w:type="pct"/>
            <w:shd w:val="clear" w:color="auto" w:fill="auto"/>
            <w:vAlign w:val="center"/>
          </w:tcPr>
          <w:p w14:paraId="769FD425" w14:textId="77777777" w:rsidR="00766F9E" w:rsidRPr="00B0658A" w:rsidRDefault="00766F9E" w:rsidP="00766F9E">
            <w:pPr>
              <w:spacing w:after="0" w:line="240" w:lineRule="auto"/>
              <w:rPr>
                <w:rFonts w:ascii="Times New Roman" w:hAnsi="Times New Roman"/>
                <w:sz w:val="18"/>
                <w:szCs w:val="18"/>
              </w:rPr>
            </w:pPr>
            <w:r w:rsidRPr="00B0658A">
              <w:rPr>
                <w:rFonts w:ascii="Times New Roman" w:hAnsi="Times New Roman"/>
                <w:sz w:val="18"/>
                <w:szCs w:val="18"/>
              </w:rPr>
              <w:t>Офисные приложения/ Средства просмотра</w:t>
            </w:r>
          </w:p>
        </w:tc>
        <w:tc>
          <w:tcPr>
            <w:tcW w:w="1026" w:type="pct"/>
            <w:shd w:val="clear" w:color="000000" w:fill="FFFFFF"/>
          </w:tcPr>
          <w:p w14:paraId="6C9A9915" w14:textId="77777777" w:rsidR="00766F9E" w:rsidRPr="00B0658A" w:rsidRDefault="00766F9E" w:rsidP="00766F9E">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3" w:type="pct"/>
            <w:shd w:val="clear" w:color="000000" w:fill="FFFFFF"/>
            <w:vAlign w:val="center"/>
          </w:tcPr>
          <w:p w14:paraId="01EFAE66" w14:textId="77777777" w:rsidR="00766F9E" w:rsidRPr="00E44B76" w:rsidRDefault="00766F9E" w:rsidP="00766F9E">
            <w:pPr>
              <w:spacing w:after="0" w:line="240" w:lineRule="auto"/>
              <w:jc w:val="center"/>
              <w:rPr>
                <w:rFonts w:ascii="Times New Roman" w:hAnsi="Times New Roman"/>
                <w:sz w:val="18"/>
                <w:szCs w:val="18"/>
              </w:rPr>
            </w:pPr>
            <w:r w:rsidRPr="00476A06">
              <w:rPr>
                <w:rFonts w:ascii="Times New Roman" w:hAnsi="Times New Roman"/>
                <w:sz w:val="18"/>
                <w:szCs w:val="18"/>
              </w:rPr>
              <w:t>-*</w:t>
            </w:r>
          </w:p>
        </w:tc>
        <w:tc>
          <w:tcPr>
            <w:tcW w:w="364" w:type="pct"/>
            <w:shd w:val="clear" w:color="000000" w:fill="FFFFFF"/>
            <w:vAlign w:val="center"/>
          </w:tcPr>
          <w:p w14:paraId="63022498" w14:textId="77777777" w:rsidR="00766F9E" w:rsidRPr="00E44B76" w:rsidRDefault="00766F9E" w:rsidP="00766F9E">
            <w:pPr>
              <w:spacing w:after="0" w:line="240" w:lineRule="auto"/>
              <w:jc w:val="center"/>
              <w:rPr>
                <w:rFonts w:ascii="Times New Roman" w:hAnsi="Times New Roman"/>
                <w:sz w:val="18"/>
                <w:szCs w:val="18"/>
              </w:rPr>
            </w:pPr>
            <w:r w:rsidRPr="00476A06">
              <w:rPr>
                <w:rFonts w:ascii="Times New Roman" w:hAnsi="Times New Roman"/>
                <w:sz w:val="18"/>
                <w:szCs w:val="18"/>
              </w:rPr>
              <w:t>-*</w:t>
            </w:r>
          </w:p>
        </w:tc>
        <w:tc>
          <w:tcPr>
            <w:tcW w:w="364" w:type="pct"/>
            <w:shd w:val="clear" w:color="000000" w:fill="FFFFFF"/>
            <w:vAlign w:val="center"/>
          </w:tcPr>
          <w:p w14:paraId="6442B522" w14:textId="77777777" w:rsidR="00766F9E" w:rsidRPr="00E44B76" w:rsidRDefault="00766F9E" w:rsidP="00766F9E">
            <w:pPr>
              <w:spacing w:after="0" w:line="240" w:lineRule="auto"/>
              <w:jc w:val="center"/>
              <w:rPr>
                <w:rFonts w:ascii="Times New Roman" w:hAnsi="Times New Roman"/>
                <w:sz w:val="18"/>
                <w:szCs w:val="18"/>
              </w:rPr>
            </w:pPr>
            <w:r w:rsidRPr="00476A06">
              <w:rPr>
                <w:rFonts w:ascii="Times New Roman" w:hAnsi="Times New Roman"/>
                <w:sz w:val="18"/>
                <w:szCs w:val="18"/>
              </w:rPr>
              <w:t>-*</w:t>
            </w:r>
          </w:p>
        </w:tc>
        <w:tc>
          <w:tcPr>
            <w:tcW w:w="376" w:type="pct"/>
            <w:shd w:val="clear" w:color="000000" w:fill="FFFFFF"/>
            <w:vAlign w:val="center"/>
          </w:tcPr>
          <w:p w14:paraId="6E2BC8FE"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4" w:type="pct"/>
            <w:shd w:val="clear" w:color="000000" w:fill="FFFFFF"/>
            <w:vAlign w:val="center"/>
          </w:tcPr>
          <w:p w14:paraId="20CAAAD7" w14:textId="77777777" w:rsidR="00766F9E" w:rsidRPr="00B0658A" w:rsidRDefault="00766F9E" w:rsidP="00766F9E">
            <w:pPr>
              <w:spacing w:after="0" w:line="240" w:lineRule="auto"/>
              <w:jc w:val="center"/>
              <w:rPr>
                <w:rFonts w:ascii="Times New Roman" w:hAnsi="Times New Roman"/>
                <w:sz w:val="18"/>
                <w:szCs w:val="18"/>
              </w:rPr>
            </w:pPr>
            <w:r w:rsidRPr="00D73B93">
              <w:rPr>
                <w:rFonts w:ascii="Times New Roman" w:hAnsi="Times New Roman"/>
                <w:sz w:val="18"/>
                <w:szCs w:val="18"/>
                <w:lang w:val="en-US"/>
              </w:rPr>
              <w:t>100%</w:t>
            </w:r>
          </w:p>
        </w:tc>
        <w:tc>
          <w:tcPr>
            <w:tcW w:w="364" w:type="pct"/>
            <w:shd w:val="clear" w:color="000000" w:fill="FFFFFF"/>
            <w:vAlign w:val="center"/>
          </w:tcPr>
          <w:p w14:paraId="1A08C99B"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rPr>
              <w:t>100</w:t>
            </w:r>
            <w:r w:rsidRPr="00B0658A">
              <w:rPr>
                <w:rFonts w:ascii="Times New Roman" w:hAnsi="Times New Roman"/>
                <w:sz w:val="18"/>
                <w:szCs w:val="18"/>
                <w:lang w:val="en-US"/>
              </w:rPr>
              <w:t>%</w:t>
            </w:r>
          </w:p>
        </w:tc>
        <w:tc>
          <w:tcPr>
            <w:tcW w:w="358" w:type="pct"/>
            <w:shd w:val="clear" w:color="000000" w:fill="FFFFFF"/>
            <w:vAlign w:val="center"/>
          </w:tcPr>
          <w:p w14:paraId="5E2B0E6E"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D73F09" w:rsidRPr="00B0658A" w14:paraId="0DF01BAC" w14:textId="77777777" w:rsidTr="00FE71B1">
        <w:trPr>
          <w:trHeight w:val="20"/>
        </w:trPr>
        <w:tc>
          <w:tcPr>
            <w:tcW w:w="283" w:type="pct"/>
            <w:shd w:val="clear" w:color="000000" w:fill="FFFFFF"/>
            <w:vAlign w:val="center"/>
          </w:tcPr>
          <w:p w14:paraId="7F413357" w14:textId="77777777" w:rsidR="00766F9E" w:rsidRPr="00B0658A" w:rsidRDefault="00766F9E" w:rsidP="00FE71B1">
            <w:pPr>
              <w:spacing w:after="0" w:line="240" w:lineRule="auto"/>
              <w:jc w:val="center"/>
              <w:rPr>
                <w:rFonts w:ascii="Times New Roman" w:hAnsi="Times New Roman"/>
                <w:sz w:val="18"/>
                <w:szCs w:val="18"/>
              </w:rPr>
            </w:pPr>
            <w:r w:rsidRPr="00B0658A">
              <w:rPr>
                <w:rFonts w:ascii="Times New Roman" w:hAnsi="Times New Roman"/>
                <w:sz w:val="18"/>
                <w:szCs w:val="18"/>
              </w:rPr>
              <w:t>6.7</w:t>
            </w:r>
          </w:p>
        </w:tc>
        <w:tc>
          <w:tcPr>
            <w:tcW w:w="1138" w:type="pct"/>
            <w:shd w:val="clear" w:color="auto" w:fill="auto"/>
            <w:vAlign w:val="center"/>
          </w:tcPr>
          <w:p w14:paraId="035B9C5A" w14:textId="77777777" w:rsidR="00766F9E" w:rsidRPr="00B0658A" w:rsidRDefault="00766F9E" w:rsidP="00766F9E">
            <w:pPr>
              <w:spacing w:after="0" w:line="240" w:lineRule="auto"/>
              <w:rPr>
                <w:rFonts w:ascii="Times New Roman" w:hAnsi="Times New Roman"/>
                <w:sz w:val="18"/>
                <w:szCs w:val="18"/>
              </w:rPr>
            </w:pPr>
            <w:r w:rsidRPr="00B0658A">
              <w:rPr>
                <w:rFonts w:ascii="Times New Roman" w:hAnsi="Times New Roman"/>
                <w:sz w:val="18"/>
                <w:szCs w:val="18"/>
              </w:rPr>
              <w:t>Офисные приложения/ Браузеры</w:t>
            </w:r>
          </w:p>
        </w:tc>
        <w:tc>
          <w:tcPr>
            <w:tcW w:w="1026" w:type="pct"/>
            <w:shd w:val="clear" w:color="000000" w:fill="FFFFFF"/>
          </w:tcPr>
          <w:p w14:paraId="6C89D307" w14:textId="77777777" w:rsidR="00766F9E" w:rsidRPr="00B0658A" w:rsidRDefault="00766F9E" w:rsidP="00766F9E">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3" w:type="pct"/>
            <w:shd w:val="clear" w:color="000000" w:fill="FFFFFF"/>
            <w:vAlign w:val="center"/>
          </w:tcPr>
          <w:p w14:paraId="7E71A56E" w14:textId="77777777" w:rsidR="00766F9E" w:rsidRPr="00B0658A" w:rsidRDefault="00766F9E" w:rsidP="00766F9E">
            <w:pPr>
              <w:spacing w:after="0" w:line="240" w:lineRule="auto"/>
              <w:jc w:val="center"/>
              <w:rPr>
                <w:rFonts w:ascii="Times New Roman" w:hAnsi="Times New Roman"/>
                <w:sz w:val="18"/>
                <w:szCs w:val="18"/>
              </w:rPr>
            </w:pPr>
            <w:r w:rsidRPr="00476A06">
              <w:rPr>
                <w:rFonts w:ascii="Times New Roman" w:hAnsi="Times New Roman"/>
                <w:sz w:val="18"/>
                <w:szCs w:val="18"/>
              </w:rPr>
              <w:t>-*</w:t>
            </w:r>
          </w:p>
        </w:tc>
        <w:tc>
          <w:tcPr>
            <w:tcW w:w="364" w:type="pct"/>
            <w:shd w:val="clear" w:color="000000" w:fill="FFFFFF"/>
            <w:vAlign w:val="center"/>
          </w:tcPr>
          <w:p w14:paraId="68E470C2" w14:textId="77777777" w:rsidR="00766F9E" w:rsidRPr="00E44B76" w:rsidRDefault="00766F9E" w:rsidP="00766F9E">
            <w:pPr>
              <w:spacing w:after="0" w:line="240" w:lineRule="auto"/>
              <w:jc w:val="center"/>
              <w:rPr>
                <w:rFonts w:ascii="Times New Roman" w:hAnsi="Times New Roman"/>
                <w:sz w:val="18"/>
                <w:szCs w:val="18"/>
              </w:rPr>
            </w:pPr>
            <w:r w:rsidRPr="00476A06">
              <w:rPr>
                <w:rFonts w:ascii="Times New Roman" w:hAnsi="Times New Roman"/>
                <w:sz w:val="18"/>
                <w:szCs w:val="18"/>
              </w:rPr>
              <w:t>-*</w:t>
            </w:r>
          </w:p>
        </w:tc>
        <w:tc>
          <w:tcPr>
            <w:tcW w:w="364" w:type="pct"/>
            <w:shd w:val="clear" w:color="000000" w:fill="FFFFFF"/>
            <w:vAlign w:val="center"/>
          </w:tcPr>
          <w:p w14:paraId="1EC6AFCD" w14:textId="77777777" w:rsidR="00766F9E" w:rsidRPr="00E44B76" w:rsidRDefault="00766F9E" w:rsidP="00766F9E">
            <w:pPr>
              <w:spacing w:after="0" w:line="240" w:lineRule="auto"/>
              <w:jc w:val="center"/>
              <w:rPr>
                <w:rFonts w:ascii="Times New Roman" w:hAnsi="Times New Roman"/>
                <w:sz w:val="18"/>
                <w:szCs w:val="18"/>
              </w:rPr>
            </w:pPr>
            <w:r w:rsidRPr="00476A06">
              <w:rPr>
                <w:rFonts w:ascii="Times New Roman" w:hAnsi="Times New Roman"/>
                <w:sz w:val="18"/>
                <w:szCs w:val="18"/>
              </w:rPr>
              <w:t>-*</w:t>
            </w:r>
          </w:p>
        </w:tc>
        <w:tc>
          <w:tcPr>
            <w:tcW w:w="376" w:type="pct"/>
            <w:shd w:val="clear" w:color="000000" w:fill="FFFFFF"/>
            <w:vAlign w:val="center"/>
          </w:tcPr>
          <w:p w14:paraId="4752FF79"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4" w:type="pct"/>
            <w:shd w:val="clear" w:color="000000" w:fill="FFFFFF"/>
            <w:vAlign w:val="center"/>
          </w:tcPr>
          <w:p w14:paraId="561FA10B" w14:textId="77777777" w:rsidR="00766F9E" w:rsidRPr="00B0658A" w:rsidRDefault="00766F9E" w:rsidP="00766F9E">
            <w:pPr>
              <w:spacing w:after="0" w:line="240" w:lineRule="auto"/>
              <w:jc w:val="center"/>
              <w:rPr>
                <w:rFonts w:ascii="Times New Roman" w:hAnsi="Times New Roman"/>
                <w:sz w:val="18"/>
                <w:szCs w:val="18"/>
              </w:rPr>
            </w:pPr>
            <w:r w:rsidRPr="00D73B93">
              <w:rPr>
                <w:rFonts w:ascii="Times New Roman" w:hAnsi="Times New Roman"/>
                <w:sz w:val="18"/>
                <w:szCs w:val="18"/>
                <w:lang w:val="en-US"/>
              </w:rPr>
              <w:t>100%</w:t>
            </w:r>
          </w:p>
        </w:tc>
        <w:tc>
          <w:tcPr>
            <w:tcW w:w="364" w:type="pct"/>
            <w:shd w:val="clear" w:color="000000" w:fill="FFFFFF"/>
            <w:vAlign w:val="center"/>
          </w:tcPr>
          <w:p w14:paraId="167205E8"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rPr>
              <w:t>100</w:t>
            </w:r>
            <w:r w:rsidRPr="00B0658A">
              <w:rPr>
                <w:rFonts w:ascii="Times New Roman" w:hAnsi="Times New Roman"/>
                <w:sz w:val="18"/>
                <w:szCs w:val="18"/>
                <w:lang w:val="en-US"/>
              </w:rPr>
              <w:t>%</w:t>
            </w:r>
          </w:p>
        </w:tc>
        <w:tc>
          <w:tcPr>
            <w:tcW w:w="358" w:type="pct"/>
            <w:shd w:val="clear" w:color="000000" w:fill="FFFFFF"/>
            <w:vAlign w:val="center"/>
          </w:tcPr>
          <w:p w14:paraId="2F593FC4"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rPr>
              <w:t>100</w:t>
            </w:r>
            <w:r w:rsidRPr="00B0658A">
              <w:rPr>
                <w:rFonts w:ascii="Times New Roman" w:hAnsi="Times New Roman"/>
                <w:sz w:val="18"/>
                <w:szCs w:val="18"/>
                <w:lang w:val="en-US"/>
              </w:rPr>
              <w:t>%</w:t>
            </w:r>
          </w:p>
        </w:tc>
      </w:tr>
      <w:tr w:rsidR="00D73F09" w:rsidRPr="00B0658A" w14:paraId="64D52B5A" w14:textId="77777777" w:rsidTr="00FE71B1">
        <w:trPr>
          <w:trHeight w:val="20"/>
        </w:trPr>
        <w:tc>
          <w:tcPr>
            <w:tcW w:w="283" w:type="pct"/>
            <w:shd w:val="clear" w:color="000000" w:fill="FFFFFF"/>
            <w:vAlign w:val="center"/>
          </w:tcPr>
          <w:p w14:paraId="4F624450" w14:textId="77777777" w:rsidR="00766F9E" w:rsidRPr="00B0658A" w:rsidRDefault="00766F9E" w:rsidP="00FE71B1">
            <w:pPr>
              <w:spacing w:after="0" w:line="240" w:lineRule="auto"/>
              <w:jc w:val="center"/>
              <w:rPr>
                <w:rFonts w:ascii="Times New Roman" w:hAnsi="Times New Roman"/>
                <w:sz w:val="18"/>
                <w:szCs w:val="18"/>
              </w:rPr>
            </w:pPr>
            <w:r w:rsidRPr="00B0658A">
              <w:rPr>
                <w:rFonts w:ascii="Times New Roman" w:hAnsi="Times New Roman"/>
                <w:sz w:val="18"/>
                <w:szCs w:val="18"/>
              </w:rPr>
              <w:t>6.8</w:t>
            </w:r>
          </w:p>
        </w:tc>
        <w:tc>
          <w:tcPr>
            <w:tcW w:w="1138" w:type="pct"/>
            <w:shd w:val="clear" w:color="auto" w:fill="auto"/>
            <w:vAlign w:val="center"/>
          </w:tcPr>
          <w:p w14:paraId="07E39F10" w14:textId="77777777" w:rsidR="00766F9E" w:rsidRPr="00B0658A" w:rsidRDefault="00766F9E" w:rsidP="00766F9E">
            <w:pPr>
              <w:spacing w:after="0" w:line="240" w:lineRule="auto"/>
              <w:rPr>
                <w:rFonts w:ascii="Times New Roman" w:hAnsi="Times New Roman"/>
                <w:sz w:val="18"/>
                <w:szCs w:val="18"/>
              </w:rPr>
            </w:pPr>
            <w:r w:rsidRPr="00B0658A">
              <w:rPr>
                <w:rFonts w:ascii="Times New Roman" w:hAnsi="Times New Roman"/>
                <w:sz w:val="18"/>
                <w:szCs w:val="18"/>
              </w:rPr>
              <w:t>Офисные приложения/ Редакторы мультимедиа</w:t>
            </w:r>
          </w:p>
        </w:tc>
        <w:tc>
          <w:tcPr>
            <w:tcW w:w="1026" w:type="pct"/>
            <w:shd w:val="clear" w:color="000000" w:fill="FFFFFF"/>
          </w:tcPr>
          <w:p w14:paraId="4259CECD" w14:textId="77777777" w:rsidR="00766F9E" w:rsidRPr="00B0658A" w:rsidRDefault="00766F9E" w:rsidP="00766F9E">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3" w:type="pct"/>
            <w:shd w:val="clear" w:color="000000" w:fill="FFFFFF"/>
            <w:vAlign w:val="center"/>
          </w:tcPr>
          <w:p w14:paraId="0A5F6BD6" w14:textId="77777777" w:rsidR="00766F9E" w:rsidRPr="00E44B76" w:rsidRDefault="00766F9E" w:rsidP="00766F9E">
            <w:pPr>
              <w:spacing w:after="0" w:line="240" w:lineRule="auto"/>
              <w:jc w:val="center"/>
              <w:rPr>
                <w:rFonts w:ascii="Times New Roman" w:hAnsi="Times New Roman"/>
                <w:sz w:val="18"/>
                <w:szCs w:val="18"/>
              </w:rPr>
            </w:pPr>
            <w:r w:rsidRPr="00476A06">
              <w:rPr>
                <w:rFonts w:ascii="Times New Roman" w:hAnsi="Times New Roman"/>
                <w:sz w:val="18"/>
                <w:szCs w:val="18"/>
              </w:rPr>
              <w:t>-*</w:t>
            </w:r>
          </w:p>
        </w:tc>
        <w:tc>
          <w:tcPr>
            <w:tcW w:w="364" w:type="pct"/>
            <w:shd w:val="clear" w:color="000000" w:fill="FFFFFF"/>
            <w:vAlign w:val="center"/>
          </w:tcPr>
          <w:p w14:paraId="09B8B0A9" w14:textId="77777777" w:rsidR="00766F9E" w:rsidRPr="00E44B76" w:rsidRDefault="00766F9E" w:rsidP="00766F9E">
            <w:pPr>
              <w:spacing w:after="0" w:line="240" w:lineRule="auto"/>
              <w:jc w:val="center"/>
              <w:rPr>
                <w:rFonts w:ascii="Times New Roman" w:hAnsi="Times New Roman"/>
                <w:sz w:val="18"/>
                <w:szCs w:val="18"/>
              </w:rPr>
            </w:pPr>
            <w:r w:rsidRPr="00476A06">
              <w:rPr>
                <w:rFonts w:ascii="Times New Roman" w:hAnsi="Times New Roman"/>
                <w:sz w:val="18"/>
                <w:szCs w:val="18"/>
              </w:rPr>
              <w:t>-*</w:t>
            </w:r>
          </w:p>
        </w:tc>
        <w:tc>
          <w:tcPr>
            <w:tcW w:w="364" w:type="pct"/>
            <w:shd w:val="clear" w:color="000000" w:fill="FFFFFF"/>
            <w:vAlign w:val="center"/>
          </w:tcPr>
          <w:p w14:paraId="0D5DF48D" w14:textId="77777777" w:rsidR="00766F9E" w:rsidRPr="00E44B76" w:rsidRDefault="00766F9E" w:rsidP="00766F9E">
            <w:pPr>
              <w:spacing w:after="0" w:line="240" w:lineRule="auto"/>
              <w:jc w:val="center"/>
              <w:rPr>
                <w:rFonts w:ascii="Times New Roman" w:hAnsi="Times New Roman"/>
                <w:sz w:val="18"/>
                <w:szCs w:val="18"/>
              </w:rPr>
            </w:pPr>
            <w:r w:rsidRPr="00476A06">
              <w:rPr>
                <w:rFonts w:ascii="Times New Roman" w:hAnsi="Times New Roman"/>
                <w:sz w:val="18"/>
                <w:szCs w:val="18"/>
              </w:rPr>
              <w:t>-*</w:t>
            </w:r>
          </w:p>
        </w:tc>
        <w:tc>
          <w:tcPr>
            <w:tcW w:w="376" w:type="pct"/>
            <w:shd w:val="clear" w:color="000000" w:fill="FFFFFF"/>
            <w:vAlign w:val="center"/>
          </w:tcPr>
          <w:p w14:paraId="687B7EB1"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4" w:type="pct"/>
            <w:shd w:val="clear" w:color="000000" w:fill="FFFFFF"/>
            <w:vAlign w:val="center"/>
          </w:tcPr>
          <w:p w14:paraId="64B8325A" w14:textId="77777777" w:rsidR="00766F9E" w:rsidRPr="00B0658A" w:rsidRDefault="00766F9E" w:rsidP="00766F9E">
            <w:pPr>
              <w:spacing w:after="0" w:line="240" w:lineRule="auto"/>
              <w:jc w:val="center"/>
              <w:rPr>
                <w:rFonts w:ascii="Times New Roman" w:hAnsi="Times New Roman"/>
                <w:sz w:val="18"/>
                <w:szCs w:val="18"/>
              </w:rPr>
            </w:pPr>
            <w:r w:rsidRPr="00D73B93">
              <w:rPr>
                <w:rFonts w:ascii="Times New Roman" w:hAnsi="Times New Roman"/>
                <w:sz w:val="18"/>
                <w:szCs w:val="18"/>
                <w:lang w:val="en-US"/>
              </w:rPr>
              <w:t>100%</w:t>
            </w:r>
          </w:p>
        </w:tc>
        <w:tc>
          <w:tcPr>
            <w:tcW w:w="364" w:type="pct"/>
            <w:shd w:val="clear" w:color="000000" w:fill="FFFFFF"/>
            <w:vAlign w:val="center"/>
          </w:tcPr>
          <w:p w14:paraId="09708FAC"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rPr>
              <w:t>100</w:t>
            </w:r>
            <w:r w:rsidRPr="00B0658A">
              <w:rPr>
                <w:rFonts w:ascii="Times New Roman" w:hAnsi="Times New Roman"/>
                <w:sz w:val="18"/>
                <w:szCs w:val="18"/>
                <w:lang w:val="en-US"/>
              </w:rPr>
              <w:t>%</w:t>
            </w:r>
          </w:p>
        </w:tc>
        <w:tc>
          <w:tcPr>
            <w:tcW w:w="358" w:type="pct"/>
            <w:shd w:val="clear" w:color="000000" w:fill="FFFFFF"/>
            <w:vAlign w:val="center"/>
          </w:tcPr>
          <w:p w14:paraId="3E447F51"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D73F09" w:rsidRPr="00B0658A" w14:paraId="4E99A413" w14:textId="77777777" w:rsidTr="00FE71B1">
        <w:trPr>
          <w:trHeight w:val="20"/>
        </w:trPr>
        <w:tc>
          <w:tcPr>
            <w:tcW w:w="283" w:type="pct"/>
            <w:shd w:val="clear" w:color="000000" w:fill="FFFFFF"/>
            <w:vAlign w:val="center"/>
          </w:tcPr>
          <w:p w14:paraId="60ED0F3C" w14:textId="77777777" w:rsidR="00766F9E" w:rsidRPr="00B0658A" w:rsidRDefault="00766F9E" w:rsidP="00FE71B1">
            <w:pPr>
              <w:spacing w:after="0" w:line="240" w:lineRule="auto"/>
              <w:jc w:val="center"/>
              <w:rPr>
                <w:rFonts w:ascii="Times New Roman" w:hAnsi="Times New Roman"/>
                <w:sz w:val="18"/>
                <w:szCs w:val="18"/>
              </w:rPr>
            </w:pPr>
            <w:r w:rsidRPr="00B0658A">
              <w:rPr>
                <w:rFonts w:ascii="Times New Roman" w:hAnsi="Times New Roman"/>
                <w:sz w:val="18"/>
                <w:szCs w:val="18"/>
              </w:rPr>
              <w:t>6.9</w:t>
            </w:r>
          </w:p>
        </w:tc>
        <w:tc>
          <w:tcPr>
            <w:tcW w:w="1138" w:type="pct"/>
            <w:shd w:val="clear" w:color="auto" w:fill="auto"/>
            <w:vAlign w:val="center"/>
          </w:tcPr>
          <w:p w14:paraId="016E4E16" w14:textId="77777777" w:rsidR="00766F9E" w:rsidRPr="00B0658A" w:rsidRDefault="00766F9E" w:rsidP="00766F9E">
            <w:pPr>
              <w:spacing w:after="0" w:line="240" w:lineRule="auto"/>
              <w:rPr>
                <w:rFonts w:ascii="Times New Roman" w:hAnsi="Times New Roman"/>
                <w:sz w:val="18"/>
                <w:szCs w:val="18"/>
              </w:rPr>
            </w:pPr>
            <w:r w:rsidRPr="00B0658A">
              <w:rPr>
                <w:rFonts w:ascii="Times New Roman" w:hAnsi="Times New Roman"/>
                <w:sz w:val="18"/>
                <w:szCs w:val="18"/>
              </w:rPr>
              <w:t>Офисные приложения/ Редакторы презентаций</w:t>
            </w:r>
          </w:p>
        </w:tc>
        <w:tc>
          <w:tcPr>
            <w:tcW w:w="1026" w:type="pct"/>
            <w:shd w:val="clear" w:color="000000" w:fill="FFFFFF"/>
          </w:tcPr>
          <w:p w14:paraId="7FB65AEF" w14:textId="77777777" w:rsidR="00766F9E" w:rsidRPr="00B0658A" w:rsidRDefault="00766F9E" w:rsidP="00766F9E">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3" w:type="pct"/>
            <w:shd w:val="clear" w:color="000000" w:fill="FFFFFF"/>
            <w:vAlign w:val="center"/>
          </w:tcPr>
          <w:p w14:paraId="11CB84D4" w14:textId="77777777" w:rsidR="00766F9E" w:rsidRPr="00B0658A" w:rsidRDefault="00766F9E" w:rsidP="00766F9E">
            <w:pPr>
              <w:spacing w:after="0" w:line="240" w:lineRule="auto"/>
              <w:jc w:val="center"/>
              <w:rPr>
                <w:rFonts w:ascii="Times New Roman" w:hAnsi="Times New Roman"/>
                <w:sz w:val="18"/>
                <w:szCs w:val="18"/>
              </w:rPr>
            </w:pPr>
            <w:r w:rsidRPr="00476A06">
              <w:rPr>
                <w:rFonts w:ascii="Times New Roman" w:hAnsi="Times New Roman"/>
                <w:sz w:val="18"/>
                <w:szCs w:val="18"/>
              </w:rPr>
              <w:t>-*</w:t>
            </w:r>
          </w:p>
        </w:tc>
        <w:tc>
          <w:tcPr>
            <w:tcW w:w="364" w:type="pct"/>
            <w:shd w:val="clear" w:color="000000" w:fill="FFFFFF"/>
            <w:vAlign w:val="center"/>
          </w:tcPr>
          <w:p w14:paraId="47B37DBA" w14:textId="77777777" w:rsidR="00766F9E" w:rsidRPr="00B0658A" w:rsidRDefault="00766F9E" w:rsidP="00766F9E">
            <w:pPr>
              <w:spacing w:after="0" w:line="240" w:lineRule="auto"/>
              <w:jc w:val="center"/>
              <w:rPr>
                <w:rFonts w:ascii="Times New Roman" w:hAnsi="Times New Roman"/>
                <w:sz w:val="18"/>
                <w:szCs w:val="18"/>
              </w:rPr>
            </w:pPr>
            <w:r w:rsidRPr="00476A06">
              <w:rPr>
                <w:rFonts w:ascii="Times New Roman" w:hAnsi="Times New Roman"/>
                <w:sz w:val="18"/>
                <w:szCs w:val="18"/>
              </w:rPr>
              <w:t>-*</w:t>
            </w:r>
          </w:p>
        </w:tc>
        <w:tc>
          <w:tcPr>
            <w:tcW w:w="364" w:type="pct"/>
            <w:shd w:val="clear" w:color="000000" w:fill="FFFFFF"/>
            <w:vAlign w:val="center"/>
          </w:tcPr>
          <w:p w14:paraId="4BEB11B3" w14:textId="77777777" w:rsidR="00766F9E" w:rsidRPr="00B0658A" w:rsidRDefault="00766F9E" w:rsidP="00766F9E">
            <w:pPr>
              <w:spacing w:after="0" w:line="240" w:lineRule="auto"/>
              <w:jc w:val="center"/>
              <w:rPr>
                <w:rFonts w:ascii="Times New Roman" w:hAnsi="Times New Roman"/>
                <w:sz w:val="18"/>
                <w:szCs w:val="18"/>
              </w:rPr>
            </w:pPr>
            <w:r w:rsidRPr="00476A06">
              <w:rPr>
                <w:rFonts w:ascii="Times New Roman" w:hAnsi="Times New Roman"/>
                <w:sz w:val="18"/>
                <w:szCs w:val="18"/>
              </w:rPr>
              <w:t>-*</w:t>
            </w:r>
          </w:p>
        </w:tc>
        <w:tc>
          <w:tcPr>
            <w:tcW w:w="376" w:type="pct"/>
            <w:shd w:val="clear" w:color="000000" w:fill="FFFFFF"/>
            <w:vAlign w:val="center"/>
          </w:tcPr>
          <w:p w14:paraId="1412E4A9"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4" w:type="pct"/>
            <w:shd w:val="clear" w:color="000000" w:fill="FFFFFF"/>
            <w:vAlign w:val="center"/>
          </w:tcPr>
          <w:p w14:paraId="33DAD8B3" w14:textId="77777777" w:rsidR="00766F9E" w:rsidRPr="00B0658A" w:rsidRDefault="00766F9E" w:rsidP="00766F9E">
            <w:pPr>
              <w:spacing w:after="0" w:line="240" w:lineRule="auto"/>
              <w:jc w:val="center"/>
              <w:rPr>
                <w:rFonts w:ascii="Times New Roman" w:hAnsi="Times New Roman"/>
                <w:sz w:val="18"/>
                <w:szCs w:val="18"/>
              </w:rPr>
            </w:pPr>
            <w:r w:rsidRPr="00D73B93">
              <w:rPr>
                <w:rFonts w:ascii="Times New Roman" w:hAnsi="Times New Roman"/>
                <w:sz w:val="18"/>
                <w:szCs w:val="18"/>
                <w:lang w:val="en-US"/>
              </w:rPr>
              <w:t>100%</w:t>
            </w:r>
          </w:p>
        </w:tc>
        <w:tc>
          <w:tcPr>
            <w:tcW w:w="364" w:type="pct"/>
            <w:shd w:val="clear" w:color="000000" w:fill="FFFFFF"/>
            <w:vAlign w:val="center"/>
          </w:tcPr>
          <w:p w14:paraId="6DB8126E"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rPr>
              <w:t>100</w:t>
            </w:r>
            <w:r w:rsidRPr="00B0658A">
              <w:rPr>
                <w:rFonts w:ascii="Times New Roman" w:hAnsi="Times New Roman"/>
                <w:sz w:val="18"/>
                <w:szCs w:val="18"/>
                <w:lang w:val="en-US"/>
              </w:rPr>
              <w:t>%</w:t>
            </w:r>
          </w:p>
        </w:tc>
        <w:tc>
          <w:tcPr>
            <w:tcW w:w="358" w:type="pct"/>
            <w:shd w:val="clear" w:color="000000" w:fill="FFFFFF"/>
            <w:vAlign w:val="center"/>
          </w:tcPr>
          <w:p w14:paraId="49A80A22"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D73F09" w:rsidRPr="00B0658A" w14:paraId="4596BD3B" w14:textId="77777777" w:rsidTr="00FE71B1">
        <w:trPr>
          <w:trHeight w:val="20"/>
        </w:trPr>
        <w:tc>
          <w:tcPr>
            <w:tcW w:w="283" w:type="pct"/>
            <w:shd w:val="clear" w:color="000000" w:fill="FFFFFF"/>
            <w:vAlign w:val="center"/>
          </w:tcPr>
          <w:p w14:paraId="7738520D" w14:textId="77777777" w:rsidR="00766F9E" w:rsidRPr="00B0658A" w:rsidRDefault="00766F9E" w:rsidP="00FE71B1">
            <w:pPr>
              <w:spacing w:after="0" w:line="240" w:lineRule="auto"/>
              <w:jc w:val="center"/>
              <w:rPr>
                <w:rFonts w:ascii="Times New Roman" w:hAnsi="Times New Roman"/>
                <w:sz w:val="18"/>
                <w:szCs w:val="18"/>
              </w:rPr>
            </w:pPr>
            <w:r w:rsidRPr="00B0658A">
              <w:rPr>
                <w:rFonts w:ascii="Times New Roman" w:hAnsi="Times New Roman"/>
                <w:sz w:val="18"/>
                <w:szCs w:val="18"/>
              </w:rPr>
              <w:t>6.10</w:t>
            </w:r>
          </w:p>
        </w:tc>
        <w:tc>
          <w:tcPr>
            <w:tcW w:w="1138" w:type="pct"/>
            <w:shd w:val="clear" w:color="auto" w:fill="auto"/>
            <w:vAlign w:val="center"/>
          </w:tcPr>
          <w:p w14:paraId="46B0C52B" w14:textId="77777777" w:rsidR="00766F9E" w:rsidRPr="00B0658A" w:rsidRDefault="00766F9E" w:rsidP="00766F9E">
            <w:pPr>
              <w:spacing w:after="0" w:line="240" w:lineRule="auto"/>
              <w:rPr>
                <w:rFonts w:ascii="Times New Roman" w:hAnsi="Times New Roman"/>
                <w:sz w:val="18"/>
                <w:szCs w:val="18"/>
              </w:rPr>
            </w:pPr>
            <w:r w:rsidRPr="00B0658A">
              <w:rPr>
                <w:rFonts w:ascii="Times New Roman" w:hAnsi="Times New Roman"/>
                <w:sz w:val="18"/>
                <w:szCs w:val="18"/>
              </w:rPr>
              <w:t>Офисные приложения/ Табличные редакторы</w:t>
            </w:r>
          </w:p>
        </w:tc>
        <w:tc>
          <w:tcPr>
            <w:tcW w:w="1026" w:type="pct"/>
            <w:shd w:val="clear" w:color="000000" w:fill="FFFFFF"/>
          </w:tcPr>
          <w:p w14:paraId="0688D39F" w14:textId="77777777" w:rsidR="00766F9E" w:rsidRPr="00B0658A" w:rsidRDefault="00766F9E" w:rsidP="00766F9E">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3" w:type="pct"/>
            <w:shd w:val="clear" w:color="000000" w:fill="FFFFFF"/>
            <w:vAlign w:val="center"/>
          </w:tcPr>
          <w:p w14:paraId="4A2B3BCD" w14:textId="77777777" w:rsidR="00766F9E" w:rsidRPr="00B0658A" w:rsidRDefault="00766F9E" w:rsidP="00766F9E">
            <w:pPr>
              <w:spacing w:after="0" w:line="240" w:lineRule="auto"/>
              <w:jc w:val="center"/>
              <w:rPr>
                <w:rFonts w:ascii="Times New Roman" w:hAnsi="Times New Roman"/>
                <w:sz w:val="18"/>
                <w:szCs w:val="18"/>
              </w:rPr>
            </w:pPr>
            <w:r w:rsidRPr="00476A06">
              <w:rPr>
                <w:rFonts w:ascii="Times New Roman" w:hAnsi="Times New Roman"/>
                <w:sz w:val="18"/>
                <w:szCs w:val="18"/>
              </w:rPr>
              <w:t>-*</w:t>
            </w:r>
          </w:p>
        </w:tc>
        <w:tc>
          <w:tcPr>
            <w:tcW w:w="364" w:type="pct"/>
            <w:shd w:val="clear" w:color="000000" w:fill="FFFFFF"/>
            <w:vAlign w:val="center"/>
          </w:tcPr>
          <w:p w14:paraId="77A1F46C" w14:textId="77777777" w:rsidR="00766F9E" w:rsidRPr="00B0658A" w:rsidRDefault="00766F9E" w:rsidP="00766F9E">
            <w:pPr>
              <w:spacing w:after="0" w:line="240" w:lineRule="auto"/>
              <w:jc w:val="center"/>
              <w:rPr>
                <w:rFonts w:ascii="Times New Roman" w:hAnsi="Times New Roman"/>
                <w:sz w:val="18"/>
                <w:szCs w:val="18"/>
              </w:rPr>
            </w:pPr>
            <w:r w:rsidRPr="00476A06">
              <w:rPr>
                <w:rFonts w:ascii="Times New Roman" w:hAnsi="Times New Roman"/>
                <w:sz w:val="18"/>
                <w:szCs w:val="18"/>
              </w:rPr>
              <w:t>-*</w:t>
            </w:r>
          </w:p>
        </w:tc>
        <w:tc>
          <w:tcPr>
            <w:tcW w:w="364" w:type="pct"/>
            <w:shd w:val="clear" w:color="000000" w:fill="FFFFFF"/>
            <w:vAlign w:val="center"/>
          </w:tcPr>
          <w:p w14:paraId="1B2AC1FB" w14:textId="77777777" w:rsidR="00766F9E" w:rsidRPr="00B0658A" w:rsidRDefault="00766F9E" w:rsidP="00766F9E">
            <w:pPr>
              <w:spacing w:after="0" w:line="240" w:lineRule="auto"/>
              <w:jc w:val="center"/>
              <w:rPr>
                <w:rFonts w:ascii="Times New Roman" w:hAnsi="Times New Roman"/>
                <w:sz w:val="18"/>
                <w:szCs w:val="18"/>
              </w:rPr>
            </w:pPr>
            <w:r w:rsidRPr="00476A06">
              <w:rPr>
                <w:rFonts w:ascii="Times New Roman" w:hAnsi="Times New Roman"/>
                <w:sz w:val="18"/>
                <w:szCs w:val="18"/>
              </w:rPr>
              <w:t>-*</w:t>
            </w:r>
          </w:p>
        </w:tc>
        <w:tc>
          <w:tcPr>
            <w:tcW w:w="376" w:type="pct"/>
            <w:shd w:val="clear" w:color="000000" w:fill="FFFFFF"/>
            <w:vAlign w:val="center"/>
          </w:tcPr>
          <w:p w14:paraId="52607FA4"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4" w:type="pct"/>
            <w:shd w:val="clear" w:color="000000" w:fill="FFFFFF"/>
            <w:vAlign w:val="center"/>
          </w:tcPr>
          <w:p w14:paraId="5B0D9F07" w14:textId="77777777" w:rsidR="00766F9E" w:rsidRPr="00B0658A" w:rsidRDefault="00766F9E" w:rsidP="00766F9E">
            <w:pPr>
              <w:spacing w:after="0" w:line="240" w:lineRule="auto"/>
              <w:jc w:val="center"/>
              <w:rPr>
                <w:rFonts w:ascii="Times New Roman" w:hAnsi="Times New Roman"/>
                <w:sz w:val="18"/>
                <w:szCs w:val="18"/>
              </w:rPr>
            </w:pPr>
            <w:r w:rsidRPr="00D73B93">
              <w:rPr>
                <w:rFonts w:ascii="Times New Roman" w:hAnsi="Times New Roman"/>
                <w:sz w:val="18"/>
                <w:szCs w:val="18"/>
                <w:lang w:val="en-US"/>
              </w:rPr>
              <w:t>100%</w:t>
            </w:r>
          </w:p>
        </w:tc>
        <w:tc>
          <w:tcPr>
            <w:tcW w:w="364" w:type="pct"/>
            <w:shd w:val="clear" w:color="000000" w:fill="FFFFFF"/>
            <w:vAlign w:val="center"/>
          </w:tcPr>
          <w:p w14:paraId="349AB153"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rPr>
              <w:t>100</w:t>
            </w:r>
            <w:r w:rsidRPr="00B0658A">
              <w:rPr>
                <w:rFonts w:ascii="Times New Roman" w:hAnsi="Times New Roman"/>
                <w:sz w:val="18"/>
                <w:szCs w:val="18"/>
                <w:lang w:val="en-US"/>
              </w:rPr>
              <w:t>%</w:t>
            </w:r>
          </w:p>
        </w:tc>
        <w:tc>
          <w:tcPr>
            <w:tcW w:w="358" w:type="pct"/>
            <w:shd w:val="clear" w:color="000000" w:fill="FFFFFF"/>
            <w:vAlign w:val="center"/>
          </w:tcPr>
          <w:p w14:paraId="2D919891"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D73F09" w:rsidRPr="00B0658A" w14:paraId="1DE421B5" w14:textId="77777777" w:rsidTr="00FE71B1">
        <w:trPr>
          <w:trHeight w:val="20"/>
        </w:trPr>
        <w:tc>
          <w:tcPr>
            <w:tcW w:w="283" w:type="pct"/>
            <w:shd w:val="clear" w:color="000000" w:fill="FFFFFF"/>
            <w:vAlign w:val="center"/>
          </w:tcPr>
          <w:p w14:paraId="42E65002" w14:textId="77777777" w:rsidR="00766F9E" w:rsidRPr="00B0658A" w:rsidRDefault="00766F9E" w:rsidP="00FE71B1">
            <w:pPr>
              <w:spacing w:after="0" w:line="240" w:lineRule="auto"/>
              <w:jc w:val="center"/>
              <w:rPr>
                <w:rFonts w:ascii="Times New Roman" w:hAnsi="Times New Roman"/>
                <w:sz w:val="18"/>
                <w:szCs w:val="18"/>
              </w:rPr>
            </w:pPr>
            <w:r w:rsidRPr="00B0658A">
              <w:rPr>
                <w:rFonts w:ascii="Times New Roman" w:hAnsi="Times New Roman"/>
                <w:sz w:val="18"/>
                <w:szCs w:val="18"/>
              </w:rPr>
              <w:t>6.11</w:t>
            </w:r>
          </w:p>
        </w:tc>
        <w:tc>
          <w:tcPr>
            <w:tcW w:w="1138" w:type="pct"/>
            <w:shd w:val="clear" w:color="auto" w:fill="auto"/>
            <w:vAlign w:val="center"/>
          </w:tcPr>
          <w:p w14:paraId="189832D2" w14:textId="77777777" w:rsidR="00766F9E" w:rsidRPr="00B0658A" w:rsidRDefault="00766F9E" w:rsidP="00766F9E">
            <w:pPr>
              <w:spacing w:after="0" w:line="240" w:lineRule="auto"/>
              <w:rPr>
                <w:rFonts w:ascii="Times New Roman" w:hAnsi="Times New Roman"/>
                <w:sz w:val="18"/>
                <w:szCs w:val="18"/>
              </w:rPr>
            </w:pPr>
            <w:r w:rsidRPr="00B0658A">
              <w:rPr>
                <w:rFonts w:ascii="Times New Roman" w:hAnsi="Times New Roman"/>
                <w:sz w:val="18"/>
                <w:szCs w:val="18"/>
              </w:rPr>
              <w:t>Офисные приложения/ Текстовые редакторы</w:t>
            </w:r>
          </w:p>
        </w:tc>
        <w:tc>
          <w:tcPr>
            <w:tcW w:w="1026" w:type="pct"/>
            <w:shd w:val="clear" w:color="000000" w:fill="FFFFFF"/>
          </w:tcPr>
          <w:p w14:paraId="21E270D1" w14:textId="77777777" w:rsidR="00766F9E" w:rsidRPr="00B0658A" w:rsidRDefault="00766F9E" w:rsidP="00766F9E">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3" w:type="pct"/>
            <w:shd w:val="clear" w:color="000000" w:fill="FFFFFF"/>
            <w:vAlign w:val="center"/>
          </w:tcPr>
          <w:p w14:paraId="070EC331" w14:textId="77777777" w:rsidR="00766F9E" w:rsidRPr="00B0658A" w:rsidRDefault="00766F9E" w:rsidP="00766F9E">
            <w:pPr>
              <w:spacing w:after="0" w:line="240" w:lineRule="auto"/>
              <w:jc w:val="center"/>
              <w:rPr>
                <w:rFonts w:ascii="Times New Roman" w:hAnsi="Times New Roman"/>
                <w:sz w:val="18"/>
                <w:szCs w:val="18"/>
              </w:rPr>
            </w:pPr>
            <w:r w:rsidRPr="00476A06">
              <w:rPr>
                <w:rFonts w:ascii="Times New Roman" w:hAnsi="Times New Roman"/>
                <w:sz w:val="18"/>
                <w:szCs w:val="18"/>
              </w:rPr>
              <w:t>-*</w:t>
            </w:r>
          </w:p>
        </w:tc>
        <w:tc>
          <w:tcPr>
            <w:tcW w:w="364" w:type="pct"/>
            <w:shd w:val="clear" w:color="000000" w:fill="FFFFFF"/>
            <w:vAlign w:val="center"/>
          </w:tcPr>
          <w:p w14:paraId="5C62EA4B" w14:textId="77777777" w:rsidR="00766F9E" w:rsidRPr="00B0658A" w:rsidRDefault="00766F9E" w:rsidP="00766F9E">
            <w:pPr>
              <w:spacing w:after="0" w:line="240" w:lineRule="auto"/>
              <w:jc w:val="center"/>
              <w:rPr>
                <w:rFonts w:ascii="Times New Roman" w:hAnsi="Times New Roman"/>
                <w:sz w:val="18"/>
                <w:szCs w:val="18"/>
              </w:rPr>
            </w:pPr>
            <w:r w:rsidRPr="00476A06">
              <w:rPr>
                <w:rFonts w:ascii="Times New Roman" w:hAnsi="Times New Roman"/>
                <w:sz w:val="18"/>
                <w:szCs w:val="18"/>
              </w:rPr>
              <w:t>-*</w:t>
            </w:r>
          </w:p>
        </w:tc>
        <w:tc>
          <w:tcPr>
            <w:tcW w:w="364" w:type="pct"/>
            <w:shd w:val="clear" w:color="000000" w:fill="FFFFFF"/>
            <w:vAlign w:val="center"/>
          </w:tcPr>
          <w:p w14:paraId="59C321A0" w14:textId="77777777" w:rsidR="00766F9E" w:rsidRPr="00B0658A" w:rsidRDefault="00766F9E" w:rsidP="00766F9E">
            <w:pPr>
              <w:spacing w:after="0" w:line="240" w:lineRule="auto"/>
              <w:jc w:val="center"/>
              <w:rPr>
                <w:rFonts w:ascii="Times New Roman" w:hAnsi="Times New Roman"/>
                <w:sz w:val="18"/>
                <w:szCs w:val="18"/>
              </w:rPr>
            </w:pPr>
            <w:r w:rsidRPr="00476A06">
              <w:rPr>
                <w:rFonts w:ascii="Times New Roman" w:hAnsi="Times New Roman"/>
                <w:sz w:val="18"/>
                <w:szCs w:val="18"/>
              </w:rPr>
              <w:t>-*</w:t>
            </w:r>
          </w:p>
        </w:tc>
        <w:tc>
          <w:tcPr>
            <w:tcW w:w="376" w:type="pct"/>
            <w:shd w:val="clear" w:color="000000" w:fill="FFFFFF"/>
            <w:vAlign w:val="center"/>
          </w:tcPr>
          <w:p w14:paraId="2DEDE3EC"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4" w:type="pct"/>
            <w:shd w:val="clear" w:color="000000" w:fill="FFFFFF"/>
            <w:vAlign w:val="center"/>
          </w:tcPr>
          <w:p w14:paraId="1A4DA4AF" w14:textId="77777777" w:rsidR="00766F9E" w:rsidRPr="00B0658A" w:rsidRDefault="00766F9E" w:rsidP="00766F9E">
            <w:pPr>
              <w:spacing w:after="0" w:line="240" w:lineRule="auto"/>
              <w:jc w:val="center"/>
              <w:rPr>
                <w:rFonts w:ascii="Times New Roman" w:hAnsi="Times New Roman"/>
                <w:sz w:val="18"/>
                <w:szCs w:val="18"/>
              </w:rPr>
            </w:pPr>
            <w:r w:rsidRPr="00D73B93">
              <w:rPr>
                <w:rFonts w:ascii="Times New Roman" w:hAnsi="Times New Roman"/>
                <w:sz w:val="18"/>
                <w:szCs w:val="18"/>
                <w:lang w:val="en-US"/>
              </w:rPr>
              <w:t>100%</w:t>
            </w:r>
          </w:p>
        </w:tc>
        <w:tc>
          <w:tcPr>
            <w:tcW w:w="364" w:type="pct"/>
            <w:shd w:val="clear" w:color="000000" w:fill="FFFFFF"/>
            <w:vAlign w:val="center"/>
          </w:tcPr>
          <w:p w14:paraId="2FB3A026"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rPr>
              <w:t>100</w:t>
            </w:r>
            <w:r w:rsidRPr="00B0658A">
              <w:rPr>
                <w:rFonts w:ascii="Times New Roman" w:hAnsi="Times New Roman"/>
                <w:sz w:val="18"/>
                <w:szCs w:val="18"/>
                <w:lang w:val="en-US"/>
              </w:rPr>
              <w:t>%</w:t>
            </w:r>
          </w:p>
        </w:tc>
        <w:tc>
          <w:tcPr>
            <w:tcW w:w="358" w:type="pct"/>
            <w:shd w:val="clear" w:color="000000" w:fill="FFFFFF"/>
            <w:vAlign w:val="center"/>
          </w:tcPr>
          <w:p w14:paraId="19138BBA"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D73F09" w:rsidRPr="00B0658A" w14:paraId="3024E522" w14:textId="77777777" w:rsidTr="00FE71B1">
        <w:trPr>
          <w:trHeight w:val="20"/>
        </w:trPr>
        <w:tc>
          <w:tcPr>
            <w:tcW w:w="283" w:type="pct"/>
            <w:shd w:val="clear" w:color="000000" w:fill="FFFFFF"/>
            <w:vAlign w:val="center"/>
          </w:tcPr>
          <w:p w14:paraId="53EDED00" w14:textId="77777777" w:rsidR="00766F9E" w:rsidRPr="00B0658A" w:rsidRDefault="00766F9E" w:rsidP="00FE71B1">
            <w:pPr>
              <w:spacing w:after="0" w:line="240" w:lineRule="auto"/>
              <w:jc w:val="center"/>
              <w:rPr>
                <w:rFonts w:ascii="Times New Roman" w:hAnsi="Times New Roman"/>
                <w:sz w:val="18"/>
                <w:szCs w:val="18"/>
              </w:rPr>
            </w:pPr>
            <w:r w:rsidRPr="00B0658A">
              <w:rPr>
                <w:rFonts w:ascii="Times New Roman" w:hAnsi="Times New Roman"/>
                <w:sz w:val="18"/>
                <w:szCs w:val="18"/>
              </w:rPr>
              <w:t>6.12</w:t>
            </w:r>
          </w:p>
        </w:tc>
        <w:tc>
          <w:tcPr>
            <w:tcW w:w="1138" w:type="pct"/>
            <w:shd w:val="clear" w:color="auto" w:fill="auto"/>
            <w:vAlign w:val="center"/>
          </w:tcPr>
          <w:p w14:paraId="69AA0771" w14:textId="77777777" w:rsidR="00766F9E" w:rsidRPr="00B0658A" w:rsidRDefault="00766F9E" w:rsidP="00766F9E">
            <w:pPr>
              <w:spacing w:after="0" w:line="240" w:lineRule="auto"/>
              <w:rPr>
                <w:rFonts w:ascii="Times New Roman" w:hAnsi="Times New Roman"/>
                <w:sz w:val="18"/>
                <w:szCs w:val="18"/>
              </w:rPr>
            </w:pPr>
            <w:r w:rsidRPr="00B0658A">
              <w:rPr>
                <w:rFonts w:ascii="Times New Roman" w:hAnsi="Times New Roman"/>
                <w:sz w:val="18"/>
                <w:szCs w:val="18"/>
              </w:rPr>
              <w:t>Офисные приложения/ Программное обеспечение средств электронного документооборота</w:t>
            </w:r>
          </w:p>
        </w:tc>
        <w:tc>
          <w:tcPr>
            <w:tcW w:w="1026" w:type="pct"/>
            <w:shd w:val="clear" w:color="000000" w:fill="FFFFFF"/>
          </w:tcPr>
          <w:p w14:paraId="3AEC7037" w14:textId="77777777" w:rsidR="00766F9E" w:rsidRPr="00B0658A" w:rsidRDefault="00766F9E" w:rsidP="00766F9E">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3" w:type="pct"/>
            <w:shd w:val="clear" w:color="000000" w:fill="FFFFFF"/>
            <w:vAlign w:val="center"/>
          </w:tcPr>
          <w:p w14:paraId="1B99B29E" w14:textId="77777777" w:rsidR="00766F9E" w:rsidRPr="00B0658A" w:rsidRDefault="00766F9E" w:rsidP="00766F9E">
            <w:pPr>
              <w:spacing w:after="0" w:line="240" w:lineRule="auto"/>
              <w:jc w:val="center"/>
              <w:rPr>
                <w:rFonts w:ascii="Times New Roman" w:hAnsi="Times New Roman"/>
                <w:sz w:val="18"/>
                <w:szCs w:val="18"/>
              </w:rPr>
            </w:pPr>
            <w:r w:rsidRPr="00476A06">
              <w:rPr>
                <w:rFonts w:ascii="Times New Roman" w:hAnsi="Times New Roman"/>
                <w:sz w:val="18"/>
                <w:szCs w:val="18"/>
              </w:rPr>
              <w:t>-*</w:t>
            </w:r>
          </w:p>
        </w:tc>
        <w:tc>
          <w:tcPr>
            <w:tcW w:w="364" w:type="pct"/>
            <w:shd w:val="clear" w:color="000000" w:fill="FFFFFF"/>
            <w:vAlign w:val="center"/>
          </w:tcPr>
          <w:p w14:paraId="7266198F" w14:textId="77777777" w:rsidR="00766F9E" w:rsidRPr="00B0658A" w:rsidRDefault="00766F9E" w:rsidP="00766F9E">
            <w:pPr>
              <w:spacing w:after="0" w:line="240" w:lineRule="auto"/>
              <w:jc w:val="center"/>
              <w:rPr>
                <w:rFonts w:ascii="Times New Roman" w:hAnsi="Times New Roman"/>
                <w:sz w:val="18"/>
                <w:szCs w:val="18"/>
              </w:rPr>
            </w:pPr>
            <w:r w:rsidRPr="00476A06">
              <w:rPr>
                <w:rFonts w:ascii="Times New Roman" w:hAnsi="Times New Roman"/>
                <w:sz w:val="18"/>
                <w:szCs w:val="18"/>
              </w:rPr>
              <w:t>-*</w:t>
            </w:r>
          </w:p>
        </w:tc>
        <w:tc>
          <w:tcPr>
            <w:tcW w:w="364" w:type="pct"/>
            <w:shd w:val="clear" w:color="000000" w:fill="FFFFFF"/>
            <w:vAlign w:val="center"/>
          </w:tcPr>
          <w:p w14:paraId="51EF6BB3" w14:textId="77777777" w:rsidR="00766F9E" w:rsidRPr="00766F9E" w:rsidRDefault="00766F9E" w:rsidP="00766F9E">
            <w:pPr>
              <w:spacing w:after="0" w:line="240" w:lineRule="auto"/>
              <w:jc w:val="center"/>
              <w:rPr>
                <w:rFonts w:ascii="Times New Roman" w:hAnsi="Times New Roman"/>
                <w:sz w:val="18"/>
                <w:szCs w:val="18"/>
              </w:rPr>
            </w:pPr>
            <w:r w:rsidRPr="00476A06">
              <w:rPr>
                <w:rFonts w:ascii="Times New Roman" w:hAnsi="Times New Roman"/>
                <w:sz w:val="18"/>
                <w:szCs w:val="18"/>
              </w:rPr>
              <w:t>-*</w:t>
            </w:r>
          </w:p>
        </w:tc>
        <w:tc>
          <w:tcPr>
            <w:tcW w:w="376" w:type="pct"/>
            <w:shd w:val="clear" w:color="000000" w:fill="FFFFFF"/>
            <w:vAlign w:val="center"/>
          </w:tcPr>
          <w:p w14:paraId="69038977"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4" w:type="pct"/>
            <w:shd w:val="clear" w:color="000000" w:fill="FFFFFF"/>
            <w:vAlign w:val="center"/>
          </w:tcPr>
          <w:p w14:paraId="47BD9975"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4" w:type="pct"/>
            <w:shd w:val="clear" w:color="000000" w:fill="FFFFFF"/>
            <w:vAlign w:val="center"/>
          </w:tcPr>
          <w:p w14:paraId="4FB507AD"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58" w:type="pct"/>
            <w:shd w:val="clear" w:color="000000" w:fill="FFFFFF"/>
            <w:vAlign w:val="center"/>
          </w:tcPr>
          <w:p w14:paraId="6EF46072"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D73F09" w:rsidRPr="00B0658A" w14:paraId="4A0A28AF" w14:textId="77777777" w:rsidTr="00FE71B1">
        <w:trPr>
          <w:trHeight w:val="20"/>
        </w:trPr>
        <w:tc>
          <w:tcPr>
            <w:tcW w:w="283" w:type="pct"/>
            <w:shd w:val="clear" w:color="000000" w:fill="FFFFFF"/>
            <w:vAlign w:val="center"/>
          </w:tcPr>
          <w:p w14:paraId="12771C9A" w14:textId="77777777" w:rsidR="00766F9E" w:rsidRPr="00B0658A" w:rsidRDefault="00766F9E" w:rsidP="00FE71B1">
            <w:pPr>
              <w:spacing w:after="0" w:line="240" w:lineRule="auto"/>
              <w:jc w:val="center"/>
              <w:rPr>
                <w:rFonts w:ascii="Times New Roman" w:hAnsi="Times New Roman"/>
                <w:sz w:val="18"/>
                <w:szCs w:val="18"/>
              </w:rPr>
            </w:pPr>
            <w:r w:rsidRPr="00B0658A">
              <w:rPr>
                <w:rFonts w:ascii="Times New Roman" w:hAnsi="Times New Roman"/>
                <w:sz w:val="18"/>
                <w:szCs w:val="18"/>
              </w:rPr>
              <w:t>7.1</w:t>
            </w:r>
          </w:p>
        </w:tc>
        <w:tc>
          <w:tcPr>
            <w:tcW w:w="1138" w:type="pct"/>
            <w:shd w:val="clear" w:color="auto" w:fill="auto"/>
            <w:vAlign w:val="center"/>
          </w:tcPr>
          <w:p w14:paraId="7E90EBDA" w14:textId="77777777" w:rsidR="00766F9E" w:rsidRPr="00B0658A" w:rsidRDefault="00766F9E" w:rsidP="00766F9E">
            <w:pPr>
              <w:spacing w:after="0" w:line="240" w:lineRule="auto"/>
              <w:rPr>
                <w:rFonts w:ascii="Times New Roman" w:hAnsi="Times New Roman"/>
                <w:sz w:val="18"/>
                <w:szCs w:val="18"/>
              </w:rPr>
            </w:pPr>
            <w:r w:rsidRPr="00B0658A">
              <w:rPr>
                <w:rFonts w:ascii="Times New Roman" w:hAnsi="Times New Roman"/>
                <w:sz w:val="18"/>
                <w:szCs w:val="18"/>
              </w:rPr>
              <w:t xml:space="preserve">Лингвистическое программное обеспечение/ Парсеры </w:t>
            </w:r>
            <w:r w:rsidRPr="00B0658A">
              <w:rPr>
                <w:rFonts w:ascii="Times New Roman" w:hAnsi="Times New Roman"/>
                <w:sz w:val="18"/>
                <w:szCs w:val="18"/>
              </w:rPr>
              <w:br/>
              <w:t>и семантические анализаторы</w:t>
            </w:r>
          </w:p>
        </w:tc>
        <w:tc>
          <w:tcPr>
            <w:tcW w:w="1026" w:type="pct"/>
            <w:shd w:val="clear" w:color="000000" w:fill="FFFFFF"/>
          </w:tcPr>
          <w:p w14:paraId="18B4F4F9" w14:textId="77777777" w:rsidR="00766F9E" w:rsidRPr="00B0658A" w:rsidRDefault="00766F9E" w:rsidP="00766F9E">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3" w:type="pct"/>
            <w:shd w:val="clear" w:color="000000" w:fill="FFFFFF"/>
            <w:vAlign w:val="center"/>
          </w:tcPr>
          <w:p w14:paraId="7126A1C9"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50%</w:t>
            </w:r>
          </w:p>
        </w:tc>
        <w:tc>
          <w:tcPr>
            <w:tcW w:w="364" w:type="pct"/>
            <w:shd w:val="clear" w:color="000000" w:fill="FFFFFF"/>
            <w:vAlign w:val="center"/>
          </w:tcPr>
          <w:p w14:paraId="72199819"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60%</w:t>
            </w:r>
          </w:p>
        </w:tc>
        <w:tc>
          <w:tcPr>
            <w:tcW w:w="364" w:type="pct"/>
            <w:shd w:val="clear" w:color="000000" w:fill="FFFFFF"/>
            <w:vAlign w:val="center"/>
          </w:tcPr>
          <w:p w14:paraId="5AECEF7E"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70%</w:t>
            </w:r>
          </w:p>
        </w:tc>
        <w:tc>
          <w:tcPr>
            <w:tcW w:w="376" w:type="pct"/>
            <w:shd w:val="clear" w:color="000000" w:fill="FFFFFF"/>
            <w:vAlign w:val="center"/>
          </w:tcPr>
          <w:p w14:paraId="4EAC8AB7"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4" w:type="pct"/>
            <w:shd w:val="clear" w:color="000000" w:fill="FFFFFF"/>
            <w:vAlign w:val="center"/>
          </w:tcPr>
          <w:p w14:paraId="4C52756E"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80%</w:t>
            </w:r>
          </w:p>
        </w:tc>
        <w:tc>
          <w:tcPr>
            <w:tcW w:w="364" w:type="pct"/>
            <w:shd w:val="clear" w:color="000000" w:fill="FFFFFF"/>
            <w:vAlign w:val="center"/>
          </w:tcPr>
          <w:p w14:paraId="126FECD5"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90%</w:t>
            </w:r>
          </w:p>
        </w:tc>
        <w:tc>
          <w:tcPr>
            <w:tcW w:w="358" w:type="pct"/>
            <w:shd w:val="clear" w:color="000000" w:fill="FFFFFF"/>
            <w:vAlign w:val="center"/>
          </w:tcPr>
          <w:p w14:paraId="6ADD621F"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D73F09" w:rsidRPr="00B0658A" w14:paraId="405B4C3E" w14:textId="77777777" w:rsidTr="00FE71B1">
        <w:trPr>
          <w:trHeight w:val="20"/>
        </w:trPr>
        <w:tc>
          <w:tcPr>
            <w:tcW w:w="283" w:type="pct"/>
            <w:shd w:val="clear" w:color="000000" w:fill="FFFFFF"/>
            <w:vAlign w:val="center"/>
          </w:tcPr>
          <w:p w14:paraId="02C7B14C" w14:textId="77777777" w:rsidR="00766F9E" w:rsidRPr="00B0658A" w:rsidRDefault="00766F9E" w:rsidP="00FE71B1">
            <w:pPr>
              <w:spacing w:after="0" w:line="240" w:lineRule="auto"/>
              <w:jc w:val="center"/>
              <w:rPr>
                <w:rFonts w:ascii="Times New Roman" w:hAnsi="Times New Roman"/>
                <w:sz w:val="18"/>
                <w:szCs w:val="18"/>
              </w:rPr>
            </w:pPr>
            <w:r w:rsidRPr="00B0658A">
              <w:rPr>
                <w:rFonts w:ascii="Times New Roman" w:hAnsi="Times New Roman"/>
                <w:sz w:val="18"/>
                <w:szCs w:val="18"/>
              </w:rPr>
              <w:t>7.2</w:t>
            </w:r>
          </w:p>
        </w:tc>
        <w:tc>
          <w:tcPr>
            <w:tcW w:w="1138" w:type="pct"/>
            <w:shd w:val="clear" w:color="auto" w:fill="auto"/>
            <w:vAlign w:val="center"/>
          </w:tcPr>
          <w:p w14:paraId="41E95D6B" w14:textId="77777777" w:rsidR="00766F9E" w:rsidRPr="00B0658A" w:rsidRDefault="00766F9E" w:rsidP="00766F9E">
            <w:pPr>
              <w:spacing w:after="0" w:line="240" w:lineRule="auto"/>
              <w:rPr>
                <w:rFonts w:ascii="Times New Roman" w:hAnsi="Times New Roman"/>
                <w:sz w:val="18"/>
                <w:szCs w:val="18"/>
              </w:rPr>
            </w:pPr>
            <w:r w:rsidRPr="00B0658A">
              <w:rPr>
                <w:rFonts w:ascii="Times New Roman" w:hAnsi="Times New Roman"/>
                <w:sz w:val="18"/>
                <w:szCs w:val="18"/>
              </w:rPr>
              <w:t>Лингвистическое программное обеспечение/ Средства речевого перевода</w:t>
            </w:r>
          </w:p>
        </w:tc>
        <w:tc>
          <w:tcPr>
            <w:tcW w:w="1026" w:type="pct"/>
            <w:shd w:val="clear" w:color="000000" w:fill="FFFFFF"/>
          </w:tcPr>
          <w:p w14:paraId="30B19D2D" w14:textId="77777777" w:rsidR="00766F9E" w:rsidRPr="00B0658A" w:rsidRDefault="00766F9E" w:rsidP="00766F9E">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3" w:type="pct"/>
            <w:shd w:val="clear" w:color="000000" w:fill="FFFFFF"/>
            <w:vAlign w:val="center"/>
          </w:tcPr>
          <w:p w14:paraId="28E7A6E2"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50%</w:t>
            </w:r>
          </w:p>
        </w:tc>
        <w:tc>
          <w:tcPr>
            <w:tcW w:w="364" w:type="pct"/>
            <w:shd w:val="clear" w:color="000000" w:fill="FFFFFF"/>
            <w:vAlign w:val="center"/>
          </w:tcPr>
          <w:p w14:paraId="59F9F648"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60%</w:t>
            </w:r>
          </w:p>
        </w:tc>
        <w:tc>
          <w:tcPr>
            <w:tcW w:w="364" w:type="pct"/>
            <w:shd w:val="clear" w:color="000000" w:fill="FFFFFF"/>
            <w:vAlign w:val="center"/>
          </w:tcPr>
          <w:p w14:paraId="6569FB40"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70%</w:t>
            </w:r>
          </w:p>
        </w:tc>
        <w:tc>
          <w:tcPr>
            <w:tcW w:w="376" w:type="pct"/>
            <w:shd w:val="clear" w:color="000000" w:fill="FFFFFF"/>
            <w:vAlign w:val="center"/>
          </w:tcPr>
          <w:p w14:paraId="2DD8B0F3"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4" w:type="pct"/>
            <w:shd w:val="clear" w:color="000000" w:fill="FFFFFF"/>
            <w:vAlign w:val="center"/>
          </w:tcPr>
          <w:p w14:paraId="6D0926ED"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80%</w:t>
            </w:r>
          </w:p>
        </w:tc>
        <w:tc>
          <w:tcPr>
            <w:tcW w:w="364" w:type="pct"/>
            <w:shd w:val="clear" w:color="000000" w:fill="FFFFFF"/>
            <w:vAlign w:val="center"/>
          </w:tcPr>
          <w:p w14:paraId="13274B56"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90%</w:t>
            </w:r>
          </w:p>
        </w:tc>
        <w:tc>
          <w:tcPr>
            <w:tcW w:w="358" w:type="pct"/>
            <w:shd w:val="clear" w:color="000000" w:fill="FFFFFF"/>
            <w:vAlign w:val="center"/>
          </w:tcPr>
          <w:p w14:paraId="6581D1D2"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D73F09" w:rsidRPr="00B0658A" w14:paraId="1B803950" w14:textId="77777777" w:rsidTr="00FE71B1">
        <w:trPr>
          <w:trHeight w:val="20"/>
        </w:trPr>
        <w:tc>
          <w:tcPr>
            <w:tcW w:w="283" w:type="pct"/>
            <w:shd w:val="clear" w:color="000000" w:fill="FFFFFF"/>
            <w:vAlign w:val="center"/>
          </w:tcPr>
          <w:p w14:paraId="0988B008" w14:textId="77777777" w:rsidR="00766F9E" w:rsidRPr="00B0658A" w:rsidRDefault="00766F9E" w:rsidP="00FE71B1">
            <w:pPr>
              <w:spacing w:after="0" w:line="240" w:lineRule="auto"/>
              <w:jc w:val="center"/>
              <w:rPr>
                <w:rFonts w:ascii="Times New Roman" w:hAnsi="Times New Roman"/>
                <w:sz w:val="18"/>
                <w:szCs w:val="18"/>
              </w:rPr>
            </w:pPr>
            <w:r w:rsidRPr="00B0658A">
              <w:rPr>
                <w:rFonts w:ascii="Times New Roman" w:hAnsi="Times New Roman"/>
                <w:sz w:val="18"/>
                <w:szCs w:val="18"/>
              </w:rPr>
              <w:t>7.3</w:t>
            </w:r>
          </w:p>
        </w:tc>
        <w:tc>
          <w:tcPr>
            <w:tcW w:w="1138" w:type="pct"/>
            <w:shd w:val="clear" w:color="auto" w:fill="auto"/>
            <w:vAlign w:val="center"/>
          </w:tcPr>
          <w:p w14:paraId="5BD5DDA6" w14:textId="77777777" w:rsidR="00766F9E" w:rsidRPr="00B0658A" w:rsidRDefault="00766F9E" w:rsidP="00766F9E">
            <w:pPr>
              <w:spacing w:after="0" w:line="240" w:lineRule="auto"/>
              <w:rPr>
                <w:rFonts w:ascii="Times New Roman" w:hAnsi="Times New Roman"/>
                <w:sz w:val="18"/>
                <w:szCs w:val="18"/>
              </w:rPr>
            </w:pPr>
            <w:r w:rsidRPr="00B0658A">
              <w:rPr>
                <w:rFonts w:ascii="Times New Roman" w:hAnsi="Times New Roman"/>
                <w:sz w:val="18"/>
                <w:szCs w:val="18"/>
              </w:rPr>
              <w:t>Лингвистическое программное обеспечение/ Средства распознавания символов</w:t>
            </w:r>
          </w:p>
        </w:tc>
        <w:tc>
          <w:tcPr>
            <w:tcW w:w="1026" w:type="pct"/>
            <w:shd w:val="clear" w:color="000000" w:fill="FFFFFF"/>
          </w:tcPr>
          <w:p w14:paraId="36A512BB" w14:textId="77777777" w:rsidR="00766F9E" w:rsidRPr="00B0658A" w:rsidRDefault="00766F9E" w:rsidP="00766F9E">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3" w:type="pct"/>
            <w:shd w:val="clear" w:color="000000" w:fill="FFFFFF"/>
            <w:vAlign w:val="center"/>
          </w:tcPr>
          <w:p w14:paraId="75CC5936"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50%</w:t>
            </w:r>
          </w:p>
        </w:tc>
        <w:tc>
          <w:tcPr>
            <w:tcW w:w="364" w:type="pct"/>
            <w:shd w:val="clear" w:color="000000" w:fill="FFFFFF"/>
            <w:vAlign w:val="center"/>
          </w:tcPr>
          <w:p w14:paraId="3B875F2F"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60%</w:t>
            </w:r>
          </w:p>
        </w:tc>
        <w:tc>
          <w:tcPr>
            <w:tcW w:w="364" w:type="pct"/>
            <w:shd w:val="clear" w:color="000000" w:fill="FFFFFF"/>
            <w:vAlign w:val="center"/>
          </w:tcPr>
          <w:p w14:paraId="535B5D93"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70%</w:t>
            </w:r>
          </w:p>
        </w:tc>
        <w:tc>
          <w:tcPr>
            <w:tcW w:w="376" w:type="pct"/>
            <w:shd w:val="clear" w:color="000000" w:fill="FFFFFF"/>
            <w:vAlign w:val="center"/>
          </w:tcPr>
          <w:p w14:paraId="73219F86"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4" w:type="pct"/>
            <w:shd w:val="clear" w:color="000000" w:fill="FFFFFF"/>
            <w:vAlign w:val="center"/>
          </w:tcPr>
          <w:p w14:paraId="6BF1D0B0"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80%</w:t>
            </w:r>
          </w:p>
        </w:tc>
        <w:tc>
          <w:tcPr>
            <w:tcW w:w="364" w:type="pct"/>
            <w:shd w:val="clear" w:color="000000" w:fill="FFFFFF"/>
            <w:vAlign w:val="center"/>
          </w:tcPr>
          <w:p w14:paraId="36DFD744"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90%</w:t>
            </w:r>
          </w:p>
        </w:tc>
        <w:tc>
          <w:tcPr>
            <w:tcW w:w="358" w:type="pct"/>
            <w:shd w:val="clear" w:color="000000" w:fill="FFFFFF"/>
            <w:vAlign w:val="center"/>
          </w:tcPr>
          <w:p w14:paraId="445211C3"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D73F09" w:rsidRPr="00B0658A" w14:paraId="30C08BA0" w14:textId="77777777" w:rsidTr="00FE71B1">
        <w:trPr>
          <w:trHeight w:val="20"/>
        </w:trPr>
        <w:tc>
          <w:tcPr>
            <w:tcW w:w="283" w:type="pct"/>
            <w:shd w:val="clear" w:color="000000" w:fill="FFFFFF"/>
            <w:vAlign w:val="center"/>
          </w:tcPr>
          <w:p w14:paraId="212372E1" w14:textId="77777777" w:rsidR="00766F9E" w:rsidRPr="00B0658A" w:rsidRDefault="00766F9E" w:rsidP="00FE71B1">
            <w:pPr>
              <w:spacing w:after="0" w:line="240" w:lineRule="auto"/>
              <w:jc w:val="center"/>
              <w:rPr>
                <w:rFonts w:ascii="Times New Roman" w:hAnsi="Times New Roman"/>
                <w:sz w:val="18"/>
                <w:szCs w:val="18"/>
              </w:rPr>
            </w:pPr>
            <w:r w:rsidRPr="00B0658A">
              <w:rPr>
                <w:rFonts w:ascii="Times New Roman" w:hAnsi="Times New Roman"/>
                <w:sz w:val="18"/>
                <w:szCs w:val="18"/>
              </w:rPr>
              <w:t>7.4</w:t>
            </w:r>
          </w:p>
        </w:tc>
        <w:tc>
          <w:tcPr>
            <w:tcW w:w="1138" w:type="pct"/>
            <w:shd w:val="clear" w:color="auto" w:fill="auto"/>
            <w:vAlign w:val="center"/>
          </w:tcPr>
          <w:p w14:paraId="67FAD9C8" w14:textId="77777777" w:rsidR="00766F9E" w:rsidRPr="00B0658A" w:rsidRDefault="00766F9E" w:rsidP="00766F9E">
            <w:pPr>
              <w:spacing w:after="0" w:line="240" w:lineRule="auto"/>
              <w:rPr>
                <w:rFonts w:ascii="Times New Roman" w:hAnsi="Times New Roman"/>
                <w:sz w:val="18"/>
                <w:szCs w:val="18"/>
              </w:rPr>
            </w:pPr>
            <w:r w:rsidRPr="00B0658A">
              <w:rPr>
                <w:rFonts w:ascii="Times New Roman" w:hAnsi="Times New Roman"/>
                <w:sz w:val="18"/>
                <w:szCs w:val="18"/>
              </w:rPr>
              <w:t>Лингвистическое программное обеспечение/ Средства распознавания и синтеза речи</w:t>
            </w:r>
          </w:p>
        </w:tc>
        <w:tc>
          <w:tcPr>
            <w:tcW w:w="1026" w:type="pct"/>
            <w:shd w:val="clear" w:color="000000" w:fill="FFFFFF"/>
          </w:tcPr>
          <w:p w14:paraId="1D81C8C4" w14:textId="77777777" w:rsidR="00766F9E" w:rsidRPr="00B0658A" w:rsidRDefault="00766F9E" w:rsidP="00766F9E">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3" w:type="pct"/>
            <w:shd w:val="clear" w:color="000000" w:fill="FFFFFF"/>
            <w:vAlign w:val="center"/>
          </w:tcPr>
          <w:p w14:paraId="16FFCB64"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50%</w:t>
            </w:r>
          </w:p>
        </w:tc>
        <w:tc>
          <w:tcPr>
            <w:tcW w:w="364" w:type="pct"/>
            <w:shd w:val="clear" w:color="000000" w:fill="FFFFFF"/>
            <w:vAlign w:val="center"/>
          </w:tcPr>
          <w:p w14:paraId="6E2A7A0A"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60%</w:t>
            </w:r>
          </w:p>
        </w:tc>
        <w:tc>
          <w:tcPr>
            <w:tcW w:w="364" w:type="pct"/>
            <w:shd w:val="clear" w:color="000000" w:fill="FFFFFF"/>
            <w:vAlign w:val="center"/>
          </w:tcPr>
          <w:p w14:paraId="6E98D31B"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70%</w:t>
            </w:r>
          </w:p>
        </w:tc>
        <w:tc>
          <w:tcPr>
            <w:tcW w:w="376" w:type="pct"/>
            <w:shd w:val="clear" w:color="000000" w:fill="FFFFFF"/>
            <w:vAlign w:val="center"/>
          </w:tcPr>
          <w:p w14:paraId="77E7AE36"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4" w:type="pct"/>
            <w:shd w:val="clear" w:color="000000" w:fill="FFFFFF"/>
            <w:vAlign w:val="center"/>
          </w:tcPr>
          <w:p w14:paraId="0E13541E"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80%</w:t>
            </w:r>
          </w:p>
        </w:tc>
        <w:tc>
          <w:tcPr>
            <w:tcW w:w="364" w:type="pct"/>
            <w:shd w:val="clear" w:color="000000" w:fill="FFFFFF"/>
            <w:vAlign w:val="center"/>
          </w:tcPr>
          <w:p w14:paraId="168EB82D"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90%</w:t>
            </w:r>
          </w:p>
        </w:tc>
        <w:tc>
          <w:tcPr>
            <w:tcW w:w="358" w:type="pct"/>
            <w:shd w:val="clear" w:color="000000" w:fill="FFFFFF"/>
            <w:vAlign w:val="center"/>
          </w:tcPr>
          <w:p w14:paraId="7C3C4F71"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D73F09" w:rsidRPr="00B0658A" w14:paraId="1E3FD4CF" w14:textId="77777777" w:rsidTr="00FE71B1">
        <w:trPr>
          <w:trHeight w:val="20"/>
        </w:trPr>
        <w:tc>
          <w:tcPr>
            <w:tcW w:w="283" w:type="pct"/>
            <w:shd w:val="clear" w:color="000000" w:fill="FFFFFF"/>
            <w:vAlign w:val="center"/>
          </w:tcPr>
          <w:p w14:paraId="65B9506A" w14:textId="77777777" w:rsidR="00766F9E" w:rsidRPr="00B0658A" w:rsidRDefault="00766F9E" w:rsidP="00FE71B1">
            <w:pPr>
              <w:spacing w:after="0" w:line="240" w:lineRule="auto"/>
              <w:jc w:val="center"/>
              <w:rPr>
                <w:rFonts w:ascii="Times New Roman" w:hAnsi="Times New Roman"/>
                <w:sz w:val="18"/>
                <w:szCs w:val="18"/>
              </w:rPr>
            </w:pPr>
            <w:r w:rsidRPr="00B0658A">
              <w:rPr>
                <w:rFonts w:ascii="Times New Roman" w:hAnsi="Times New Roman"/>
                <w:sz w:val="18"/>
                <w:szCs w:val="18"/>
              </w:rPr>
              <w:t>7.5</w:t>
            </w:r>
          </w:p>
        </w:tc>
        <w:tc>
          <w:tcPr>
            <w:tcW w:w="1138" w:type="pct"/>
            <w:shd w:val="clear" w:color="auto" w:fill="auto"/>
            <w:vAlign w:val="center"/>
          </w:tcPr>
          <w:p w14:paraId="114EE3CD" w14:textId="77777777" w:rsidR="00766F9E" w:rsidRPr="00B0658A" w:rsidRDefault="00766F9E" w:rsidP="00766F9E">
            <w:pPr>
              <w:spacing w:after="0" w:line="240" w:lineRule="auto"/>
              <w:rPr>
                <w:rFonts w:ascii="Times New Roman" w:hAnsi="Times New Roman"/>
                <w:sz w:val="18"/>
                <w:szCs w:val="18"/>
              </w:rPr>
            </w:pPr>
            <w:r w:rsidRPr="00B0658A">
              <w:rPr>
                <w:rFonts w:ascii="Times New Roman" w:hAnsi="Times New Roman"/>
                <w:sz w:val="18"/>
                <w:szCs w:val="18"/>
              </w:rPr>
              <w:t>Лингвистическое программное обеспечение/ Средства автоматизированного перевода</w:t>
            </w:r>
          </w:p>
        </w:tc>
        <w:tc>
          <w:tcPr>
            <w:tcW w:w="1026" w:type="pct"/>
            <w:shd w:val="clear" w:color="000000" w:fill="FFFFFF"/>
          </w:tcPr>
          <w:p w14:paraId="1A85FB87" w14:textId="77777777" w:rsidR="00766F9E" w:rsidRPr="00B0658A" w:rsidRDefault="00766F9E" w:rsidP="00766F9E">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3" w:type="pct"/>
            <w:shd w:val="clear" w:color="000000" w:fill="FFFFFF"/>
            <w:vAlign w:val="center"/>
          </w:tcPr>
          <w:p w14:paraId="210F2B88"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50%</w:t>
            </w:r>
          </w:p>
        </w:tc>
        <w:tc>
          <w:tcPr>
            <w:tcW w:w="364" w:type="pct"/>
            <w:shd w:val="clear" w:color="000000" w:fill="FFFFFF"/>
            <w:vAlign w:val="center"/>
          </w:tcPr>
          <w:p w14:paraId="5E05D0CE"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60%</w:t>
            </w:r>
          </w:p>
        </w:tc>
        <w:tc>
          <w:tcPr>
            <w:tcW w:w="364" w:type="pct"/>
            <w:shd w:val="clear" w:color="000000" w:fill="FFFFFF"/>
            <w:vAlign w:val="center"/>
          </w:tcPr>
          <w:p w14:paraId="202844DB"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70%</w:t>
            </w:r>
          </w:p>
        </w:tc>
        <w:tc>
          <w:tcPr>
            <w:tcW w:w="376" w:type="pct"/>
            <w:shd w:val="clear" w:color="000000" w:fill="FFFFFF"/>
            <w:vAlign w:val="center"/>
          </w:tcPr>
          <w:p w14:paraId="43E64D1D"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4" w:type="pct"/>
            <w:shd w:val="clear" w:color="000000" w:fill="FFFFFF"/>
            <w:vAlign w:val="center"/>
          </w:tcPr>
          <w:p w14:paraId="75293D47"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80%</w:t>
            </w:r>
          </w:p>
        </w:tc>
        <w:tc>
          <w:tcPr>
            <w:tcW w:w="364" w:type="pct"/>
            <w:shd w:val="clear" w:color="000000" w:fill="FFFFFF"/>
            <w:vAlign w:val="center"/>
          </w:tcPr>
          <w:p w14:paraId="4A20D4A3"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90%</w:t>
            </w:r>
          </w:p>
        </w:tc>
        <w:tc>
          <w:tcPr>
            <w:tcW w:w="358" w:type="pct"/>
            <w:shd w:val="clear" w:color="000000" w:fill="FFFFFF"/>
            <w:vAlign w:val="center"/>
          </w:tcPr>
          <w:p w14:paraId="688A5731"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D73F09" w:rsidRPr="00B0658A" w14:paraId="4A7832A3" w14:textId="77777777" w:rsidTr="00FE71B1">
        <w:trPr>
          <w:trHeight w:val="20"/>
        </w:trPr>
        <w:tc>
          <w:tcPr>
            <w:tcW w:w="283" w:type="pct"/>
            <w:shd w:val="clear" w:color="000000" w:fill="FFFFFF"/>
            <w:vAlign w:val="center"/>
          </w:tcPr>
          <w:p w14:paraId="11D3D328" w14:textId="77777777" w:rsidR="00766F9E" w:rsidRPr="00B0658A" w:rsidRDefault="00766F9E" w:rsidP="00FE71B1">
            <w:pPr>
              <w:spacing w:after="0" w:line="240" w:lineRule="auto"/>
              <w:jc w:val="center"/>
              <w:rPr>
                <w:rFonts w:ascii="Times New Roman" w:hAnsi="Times New Roman"/>
                <w:sz w:val="18"/>
                <w:szCs w:val="18"/>
              </w:rPr>
            </w:pPr>
            <w:r w:rsidRPr="00B0658A">
              <w:rPr>
                <w:rFonts w:ascii="Times New Roman" w:hAnsi="Times New Roman"/>
                <w:sz w:val="18"/>
                <w:szCs w:val="18"/>
              </w:rPr>
              <w:t>7.6</w:t>
            </w:r>
          </w:p>
        </w:tc>
        <w:tc>
          <w:tcPr>
            <w:tcW w:w="1138" w:type="pct"/>
            <w:shd w:val="clear" w:color="auto" w:fill="auto"/>
            <w:vAlign w:val="center"/>
          </w:tcPr>
          <w:p w14:paraId="065863BA" w14:textId="77777777" w:rsidR="00766F9E" w:rsidRPr="00B0658A" w:rsidRDefault="00766F9E" w:rsidP="00766F9E">
            <w:pPr>
              <w:spacing w:after="0" w:line="240" w:lineRule="auto"/>
              <w:rPr>
                <w:rFonts w:ascii="Times New Roman" w:hAnsi="Times New Roman"/>
                <w:sz w:val="18"/>
                <w:szCs w:val="18"/>
              </w:rPr>
            </w:pPr>
            <w:r w:rsidRPr="00B0658A">
              <w:rPr>
                <w:rFonts w:ascii="Times New Roman" w:hAnsi="Times New Roman"/>
                <w:sz w:val="18"/>
                <w:szCs w:val="18"/>
              </w:rPr>
              <w:t>Лингвистическое программное обеспечение/ Электронные словари</w:t>
            </w:r>
          </w:p>
        </w:tc>
        <w:tc>
          <w:tcPr>
            <w:tcW w:w="1026" w:type="pct"/>
            <w:shd w:val="clear" w:color="000000" w:fill="FFFFFF"/>
          </w:tcPr>
          <w:p w14:paraId="07F680E9" w14:textId="77777777" w:rsidR="00766F9E" w:rsidRPr="00B0658A" w:rsidRDefault="00766F9E" w:rsidP="00766F9E">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3" w:type="pct"/>
            <w:shd w:val="clear" w:color="000000" w:fill="FFFFFF"/>
            <w:vAlign w:val="center"/>
          </w:tcPr>
          <w:p w14:paraId="16BC0FD0"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50%</w:t>
            </w:r>
          </w:p>
        </w:tc>
        <w:tc>
          <w:tcPr>
            <w:tcW w:w="364" w:type="pct"/>
            <w:shd w:val="clear" w:color="000000" w:fill="FFFFFF"/>
            <w:vAlign w:val="center"/>
          </w:tcPr>
          <w:p w14:paraId="47B755A2"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60%</w:t>
            </w:r>
          </w:p>
        </w:tc>
        <w:tc>
          <w:tcPr>
            <w:tcW w:w="364" w:type="pct"/>
            <w:shd w:val="clear" w:color="000000" w:fill="FFFFFF"/>
            <w:vAlign w:val="center"/>
          </w:tcPr>
          <w:p w14:paraId="5F5D1518"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70%</w:t>
            </w:r>
          </w:p>
        </w:tc>
        <w:tc>
          <w:tcPr>
            <w:tcW w:w="376" w:type="pct"/>
            <w:shd w:val="clear" w:color="000000" w:fill="FFFFFF"/>
            <w:vAlign w:val="center"/>
          </w:tcPr>
          <w:p w14:paraId="10FF337B"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4" w:type="pct"/>
            <w:shd w:val="clear" w:color="000000" w:fill="FFFFFF"/>
            <w:vAlign w:val="center"/>
          </w:tcPr>
          <w:p w14:paraId="2966AF88"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80%</w:t>
            </w:r>
          </w:p>
        </w:tc>
        <w:tc>
          <w:tcPr>
            <w:tcW w:w="364" w:type="pct"/>
            <w:shd w:val="clear" w:color="000000" w:fill="FFFFFF"/>
            <w:vAlign w:val="center"/>
          </w:tcPr>
          <w:p w14:paraId="6368B092"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90%</w:t>
            </w:r>
          </w:p>
        </w:tc>
        <w:tc>
          <w:tcPr>
            <w:tcW w:w="358" w:type="pct"/>
            <w:shd w:val="clear" w:color="000000" w:fill="FFFFFF"/>
            <w:vAlign w:val="center"/>
          </w:tcPr>
          <w:p w14:paraId="424ACBC6"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D73F09" w:rsidRPr="00B0658A" w14:paraId="63E59116" w14:textId="77777777" w:rsidTr="00FE71B1">
        <w:trPr>
          <w:trHeight w:val="20"/>
        </w:trPr>
        <w:tc>
          <w:tcPr>
            <w:tcW w:w="283" w:type="pct"/>
            <w:shd w:val="clear" w:color="000000" w:fill="FFFFFF"/>
            <w:vAlign w:val="center"/>
          </w:tcPr>
          <w:p w14:paraId="003B6A8A" w14:textId="77777777" w:rsidR="00766F9E" w:rsidRPr="00B0658A" w:rsidRDefault="00766F9E" w:rsidP="00FE71B1">
            <w:pPr>
              <w:spacing w:after="0" w:line="240" w:lineRule="auto"/>
              <w:jc w:val="center"/>
              <w:rPr>
                <w:rFonts w:ascii="Times New Roman" w:hAnsi="Times New Roman"/>
                <w:sz w:val="18"/>
                <w:szCs w:val="18"/>
              </w:rPr>
            </w:pPr>
            <w:r w:rsidRPr="00B0658A">
              <w:rPr>
                <w:rFonts w:ascii="Times New Roman" w:hAnsi="Times New Roman"/>
                <w:sz w:val="18"/>
                <w:szCs w:val="18"/>
              </w:rPr>
              <w:t>7.7</w:t>
            </w:r>
          </w:p>
        </w:tc>
        <w:tc>
          <w:tcPr>
            <w:tcW w:w="1138" w:type="pct"/>
            <w:shd w:val="clear" w:color="auto" w:fill="auto"/>
            <w:vAlign w:val="center"/>
          </w:tcPr>
          <w:p w14:paraId="0272E303" w14:textId="77777777" w:rsidR="00766F9E" w:rsidRPr="00B0658A" w:rsidRDefault="00766F9E" w:rsidP="00766F9E">
            <w:pPr>
              <w:spacing w:after="0" w:line="240" w:lineRule="auto"/>
              <w:rPr>
                <w:rFonts w:ascii="Times New Roman" w:hAnsi="Times New Roman"/>
                <w:sz w:val="18"/>
                <w:szCs w:val="18"/>
              </w:rPr>
            </w:pPr>
            <w:r w:rsidRPr="00B0658A">
              <w:rPr>
                <w:rFonts w:ascii="Times New Roman" w:hAnsi="Times New Roman"/>
                <w:sz w:val="18"/>
                <w:szCs w:val="18"/>
              </w:rPr>
              <w:t>Лингвистическое программное обеспечение/ Средства проверки правописания</w:t>
            </w:r>
          </w:p>
        </w:tc>
        <w:tc>
          <w:tcPr>
            <w:tcW w:w="1026" w:type="pct"/>
            <w:shd w:val="clear" w:color="000000" w:fill="FFFFFF"/>
          </w:tcPr>
          <w:p w14:paraId="0C7BAA62" w14:textId="77777777" w:rsidR="00766F9E" w:rsidRPr="00B0658A" w:rsidRDefault="00766F9E" w:rsidP="00766F9E">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3" w:type="pct"/>
            <w:shd w:val="clear" w:color="000000" w:fill="FFFFFF"/>
            <w:vAlign w:val="center"/>
          </w:tcPr>
          <w:p w14:paraId="7F442D9B"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50%</w:t>
            </w:r>
          </w:p>
        </w:tc>
        <w:tc>
          <w:tcPr>
            <w:tcW w:w="364" w:type="pct"/>
            <w:shd w:val="clear" w:color="000000" w:fill="FFFFFF"/>
            <w:vAlign w:val="center"/>
          </w:tcPr>
          <w:p w14:paraId="75968037"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60%</w:t>
            </w:r>
          </w:p>
        </w:tc>
        <w:tc>
          <w:tcPr>
            <w:tcW w:w="364" w:type="pct"/>
            <w:shd w:val="clear" w:color="000000" w:fill="FFFFFF"/>
            <w:vAlign w:val="center"/>
          </w:tcPr>
          <w:p w14:paraId="29C1AB9A"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70%</w:t>
            </w:r>
          </w:p>
        </w:tc>
        <w:tc>
          <w:tcPr>
            <w:tcW w:w="376" w:type="pct"/>
            <w:shd w:val="clear" w:color="000000" w:fill="FFFFFF"/>
            <w:vAlign w:val="center"/>
          </w:tcPr>
          <w:p w14:paraId="05E102E6"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4" w:type="pct"/>
            <w:shd w:val="clear" w:color="000000" w:fill="FFFFFF"/>
            <w:vAlign w:val="center"/>
          </w:tcPr>
          <w:p w14:paraId="2438DDC4"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80%</w:t>
            </w:r>
          </w:p>
        </w:tc>
        <w:tc>
          <w:tcPr>
            <w:tcW w:w="364" w:type="pct"/>
            <w:shd w:val="clear" w:color="000000" w:fill="FFFFFF"/>
            <w:vAlign w:val="center"/>
          </w:tcPr>
          <w:p w14:paraId="34A06220"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90%</w:t>
            </w:r>
          </w:p>
        </w:tc>
        <w:tc>
          <w:tcPr>
            <w:tcW w:w="358" w:type="pct"/>
            <w:shd w:val="clear" w:color="000000" w:fill="FFFFFF"/>
            <w:vAlign w:val="center"/>
          </w:tcPr>
          <w:p w14:paraId="07E128C4"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D73F09" w:rsidRPr="00B0658A" w14:paraId="6AA130BA" w14:textId="77777777" w:rsidTr="00FE71B1">
        <w:trPr>
          <w:trHeight w:val="20"/>
        </w:trPr>
        <w:tc>
          <w:tcPr>
            <w:tcW w:w="283" w:type="pct"/>
            <w:shd w:val="clear" w:color="000000" w:fill="FFFFFF"/>
            <w:vAlign w:val="center"/>
          </w:tcPr>
          <w:p w14:paraId="78FBE76F" w14:textId="77777777" w:rsidR="00766F9E" w:rsidRPr="00B0658A" w:rsidRDefault="00766F9E" w:rsidP="00FE71B1">
            <w:pPr>
              <w:spacing w:after="0" w:line="240" w:lineRule="auto"/>
              <w:jc w:val="center"/>
              <w:rPr>
                <w:rFonts w:ascii="Times New Roman" w:hAnsi="Times New Roman"/>
                <w:sz w:val="18"/>
                <w:szCs w:val="18"/>
              </w:rPr>
            </w:pPr>
            <w:r w:rsidRPr="00B0658A">
              <w:rPr>
                <w:rFonts w:ascii="Times New Roman" w:hAnsi="Times New Roman"/>
                <w:sz w:val="18"/>
                <w:szCs w:val="18"/>
              </w:rPr>
              <w:t>8.1</w:t>
            </w:r>
          </w:p>
        </w:tc>
        <w:tc>
          <w:tcPr>
            <w:tcW w:w="1138" w:type="pct"/>
            <w:shd w:val="clear" w:color="auto" w:fill="auto"/>
            <w:vAlign w:val="center"/>
          </w:tcPr>
          <w:p w14:paraId="72EA837C" w14:textId="77777777" w:rsidR="00766F9E" w:rsidRPr="00B0658A" w:rsidRDefault="00766F9E" w:rsidP="00766F9E">
            <w:pPr>
              <w:spacing w:after="0" w:line="240" w:lineRule="auto"/>
              <w:rPr>
                <w:rFonts w:ascii="Times New Roman" w:hAnsi="Times New Roman"/>
                <w:sz w:val="18"/>
                <w:szCs w:val="18"/>
              </w:rPr>
            </w:pPr>
            <w:r w:rsidRPr="00B0658A">
              <w:rPr>
                <w:rFonts w:ascii="Times New Roman" w:hAnsi="Times New Roman"/>
                <w:sz w:val="18"/>
                <w:szCs w:val="18"/>
              </w:rPr>
              <w:t xml:space="preserve">Промышленное программное обеспечение/ Средства управления жизненным циклом изделия (PLM) </w:t>
            </w:r>
          </w:p>
        </w:tc>
        <w:tc>
          <w:tcPr>
            <w:tcW w:w="1026" w:type="pct"/>
            <w:shd w:val="clear" w:color="000000" w:fill="FFFFFF"/>
          </w:tcPr>
          <w:p w14:paraId="29C3171F" w14:textId="77777777" w:rsidR="00766F9E" w:rsidRPr="00B0658A" w:rsidRDefault="00766F9E" w:rsidP="00766F9E">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3" w:type="pct"/>
            <w:shd w:val="clear" w:color="000000" w:fill="FFFFFF"/>
            <w:vAlign w:val="center"/>
          </w:tcPr>
          <w:p w14:paraId="3C5AC978"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20%</w:t>
            </w:r>
          </w:p>
        </w:tc>
        <w:tc>
          <w:tcPr>
            <w:tcW w:w="364" w:type="pct"/>
            <w:shd w:val="clear" w:color="000000" w:fill="FFFFFF"/>
            <w:vAlign w:val="center"/>
          </w:tcPr>
          <w:p w14:paraId="01EFC5D5"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35%</w:t>
            </w:r>
          </w:p>
        </w:tc>
        <w:tc>
          <w:tcPr>
            <w:tcW w:w="364" w:type="pct"/>
            <w:shd w:val="clear" w:color="000000" w:fill="FFFFFF"/>
            <w:vAlign w:val="center"/>
          </w:tcPr>
          <w:p w14:paraId="6685298F"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55%</w:t>
            </w:r>
          </w:p>
        </w:tc>
        <w:tc>
          <w:tcPr>
            <w:tcW w:w="376" w:type="pct"/>
            <w:shd w:val="clear" w:color="000000" w:fill="FFFFFF"/>
            <w:vAlign w:val="center"/>
          </w:tcPr>
          <w:p w14:paraId="1D984119"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4" w:type="pct"/>
            <w:shd w:val="clear" w:color="000000" w:fill="FFFFFF"/>
            <w:vAlign w:val="center"/>
          </w:tcPr>
          <w:p w14:paraId="75062702"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75%</w:t>
            </w:r>
          </w:p>
        </w:tc>
        <w:tc>
          <w:tcPr>
            <w:tcW w:w="364" w:type="pct"/>
            <w:shd w:val="clear" w:color="000000" w:fill="FFFFFF"/>
            <w:vAlign w:val="center"/>
          </w:tcPr>
          <w:p w14:paraId="08136A25"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90%</w:t>
            </w:r>
          </w:p>
        </w:tc>
        <w:tc>
          <w:tcPr>
            <w:tcW w:w="358" w:type="pct"/>
            <w:shd w:val="clear" w:color="000000" w:fill="FFFFFF"/>
            <w:vAlign w:val="center"/>
          </w:tcPr>
          <w:p w14:paraId="6BDBCF00"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D73F09" w:rsidRPr="00B0658A" w14:paraId="745FCC68" w14:textId="77777777" w:rsidTr="00FE71B1">
        <w:trPr>
          <w:trHeight w:val="20"/>
        </w:trPr>
        <w:tc>
          <w:tcPr>
            <w:tcW w:w="283" w:type="pct"/>
            <w:shd w:val="clear" w:color="000000" w:fill="FFFFFF"/>
            <w:vAlign w:val="center"/>
          </w:tcPr>
          <w:p w14:paraId="44D747FB" w14:textId="77777777" w:rsidR="00766F9E" w:rsidRPr="00B0658A" w:rsidRDefault="00766F9E" w:rsidP="00FE71B1">
            <w:pPr>
              <w:spacing w:after="0" w:line="240" w:lineRule="auto"/>
              <w:jc w:val="center"/>
              <w:rPr>
                <w:rFonts w:ascii="Times New Roman" w:hAnsi="Times New Roman"/>
                <w:sz w:val="18"/>
                <w:szCs w:val="18"/>
              </w:rPr>
            </w:pPr>
            <w:r w:rsidRPr="00B0658A">
              <w:rPr>
                <w:rFonts w:ascii="Times New Roman" w:hAnsi="Times New Roman"/>
                <w:sz w:val="18"/>
                <w:szCs w:val="18"/>
              </w:rPr>
              <w:t>8.2</w:t>
            </w:r>
          </w:p>
        </w:tc>
        <w:tc>
          <w:tcPr>
            <w:tcW w:w="1138" w:type="pct"/>
            <w:shd w:val="clear" w:color="auto" w:fill="auto"/>
            <w:vAlign w:val="center"/>
          </w:tcPr>
          <w:p w14:paraId="11F13E0E" w14:textId="77777777" w:rsidR="00766F9E" w:rsidRPr="00B0658A" w:rsidRDefault="00766F9E" w:rsidP="00766F9E">
            <w:pPr>
              <w:spacing w:after="0" w:line="240" w:lineRule="auto"/>
              <w:rPr>
                <w:rFonts w:ascii="Times New Roman" w:hAnsi="Times New Roman"/>
                <w:sz w:val="18"/>
                <w:szCs w:val="18"/>
              </w:rPr>
            </w:pPr>
            <w:r w:rsidRPr="00B0658A">
              <w:rPr>
                <w:rFonts w:ascii="Times New Roman" w:hAnsi="Times New Roman"/>
                <w:sz w:val="18"/>
                <w:szCs w:val="18"/>
              </w:rPr>
              <w:t>Промышленное программное обеспечение/ Универсальные машиностроительные средства автоматизированного проектирования (MCAD)</w:t>
            </w:r>
          </w:p>
        </w:tc>
        <w:tc>
          <w:tcPr>
            <w:tcW w:w="1026" w:type="pct"/>
            <w:shd w:val="clear" w:color="000000" w:fill="FFFFFF"/>
          </w:tcPr>
          <w:p w14:paraId="6EE658B4" w14:textId="77777777" w:rsidR="00766F9E" w:rsidRPr="00B0658A" w:rsidRDefault="00766F9E" w:rsidP="00766F9E">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3" w:type="pct"/>
            <w:shd w:val="clear" w:color="000000" w:fill="FFFFFF"/>
            <w:vAlign w:val="center"/>
          </w:tcPr>
          <w:p w14:paraId="15E5E562"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30%</w:t>
            </w:r>
          </w:p>
        </w:tc>
        <w:tc>
          <w:tcPr>
            <w:tcW w:w="364" w:type="pct"/>
            <w:shd w:val="clear" w:color="000000" w:fill="FFFFFF"/>
            <w:vAlign w:val="center"/>
          </w:tcPr>
          <w:p w14:paraId="2F9D9AF9"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40%</w:t>
            </w:r>
          </w:p>
        </w:tc>
        <w:tc>
          <w:tcPr>
            <w:tcW w:w="364" w:type="pct"/>
            <w:shd w:val="clear" w:color="000000" w:fill="FFFFFF"/>
            <w:vAlign w:val="center"/>
          </w:tcPr>
          <w:p w14:paraId="4C4F090A"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55%</w:t>
            </w:r>
          </w:p>
        </w:tc>
        <w:tc>
          <w:tcPr>
            <w:tcW w:w="376" w:type="pct"/>
            <w:shd w:val="clear" w:color="000000" w:fill="FFFFFF"/>
            <w:vAlign w:val="center"/>
          </w:tcPr>
          <w:p w14:paraId="0F1AA285"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4" w:type="pct"/>
            <w:shd w:val="clear" w:color="000000" w:fill="FFFFFF"/>
            <w:vAlign w:val="center"/>
          </w:tcPr>
          <w:p w14:paraId="0BD992A6"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70%</w:t>
            </w:r>
          </w:p>
        </w:tc>
        <w:tc>
          <w:tcPr>
            <w:tcW w:w="364" w:type="pct"/>
            <w:shd w:val="clear" w:color="000000" w:fill="FFFFFF"/>
            <w:vAlign w:val="center"/>
          </w:tcPr>
          <w:p w14:paraId="34DBA4F9"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85%</w:t>
            </w:r>
          </w:p>
        </w:tc>
        <w:tc>
          <w:tcPr>
            <w:tcW w:w="358" w:type="pct"/>
            <w:shd w:val="clear" w:color="000000" w:fill="FFFFFF"/>
            <w:vAlign w:val="center"/>
          </w:tcPr>
          <w:p w14:paraId="6954C6E9"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D73F09" w:rsidRPr="00B0658A" w14:paraId="0DECA143" w14:textId="77777777" w:rsidTr="00FE71B1">
        <w:trPr>
          <w:trHeight w:val="20"/>
        </w:trPr>
        <w:tc>
          <w:tcPr>
            <w:tcW w:w="283" w:type="pct"/>
            <w:shd w:val="clear" w:color="000000" w:fill="FFFFFF"/>
            <w:vAlign w:val="center"/>
          </w:tcPr>
          <w:p w14:paraId="1A31A3F9" w14:textId="77777777" w:rsidR="00766F9E" w:rsidRPr="00B0658A" w:rsidRDefault="00766F9E" w:rsidP="00FE71B1">
            <w:pPr>
              <w:spacing w:after="0" w:line="240" w:lineRule="auto"/>
              <w:jc w:val="center"/>
              <w:rPr>
                <w:rFonts w:ascii="Times New Roman" w:hAnsi="Times New Roman"/>
                <w:sz w:val="18"/>
                <w:szCs w:val="18"/>
              </w:rPr>
            </w:pPr>
            <w:r w:rsidRPr="00B0658A">
              <w:rPr>
                <w:rFonts w:ascii="Times New Roman" w:hAnsi="Times New Roman"/>
                <w:sz w:val="18"/>
                <w:szCs w:val="18"/>
              </w:rPr>
              <w:t>8.3</w:t>
            </w:r>
          </w:p>
        </w:tc>
        <w:tc>
          <w:tcPr>
            <w:tcW w:w="1138" w:type="pct"/>
            <w:shd w:val="clear" w:color="auto" w:fill="auto"/>
            <w:vAlign w:val="center"/>
          </w:tcPr>
          <w:p w14:paraId="7D6C5A66" w14:textId="77777777" w:rsidR="00766F9E" w:rsidRPr="00B0658A" w:rsidRDefault="00766F9E" w:rsidP="00766F9E">
            <w:pPr>
              <w:spacing w:after="0" w:line="240" w:lineRule="auto"/>
              <w:rPr>
                <w:rFonts w:ascii="Times New Roman" w:hAnsi="Times New Roman"/>
                <w:sz w:val="18"/>
                <w:szCs w:val="18"/>
              </w:rPr>
            </w:pPr>
            <w:r w:rsidRPr="00B0658A">
              <w:rPr>
                <w:rFonts w:ascii="Times New Roman" w:hAnsi="Times New Roman"/>
                <w:sz w:val="18"/>
                <w:szCs w:val="18"/>
              </w:rPr>
              <w:t>Промышленное программное обеспечение/ Средства автоматизированного проектирования (CAD)</w:t>
            </w:r>
          </w:p>
        </w:tc>
        <w:tc>
          <w:tcPr>
            <w:tcW w:w="1026" w:type="pct"/>
            <w:shd w:val="clear" w:color="000000" w:fill="FFFFFF"/>
          </w:tcPr>
          <w:p w14:paraId="40D4FE2E" w14:textId="77777777" w:rsidR="00766F9E" w:rsidRPr="00B0658A" w:rsidRDefault="00766F9E" w:rsidP="00766F9E">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3" w:type="pct"/>
            <w:shd w:val="clear" w:color="000000" w:fill="FFFFFF"/>
            <w:vAlign w:val="center"/>
          </w:tcPr>
          <w:p w14:paraId="4627FFC1"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30%</w:t>
            </w:r>
          </w:p>
        </w:tc>
        <w:tc>
          <w:tcPr>
            <w:tcW w:w="364" w:type="pct"/>
            <w:shd w:val="clear" w:color="000000" w:fill="FFFFFF"/>
            <w:vAlign w:val="center"/>
          </w:tcPr>
          <w:p w14:paraId="078B6F2D"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40%</w:t>
            </w:r>
          </w:p>
        </w:tc>
        <w:tc>
          <w:tcPr>
            <w:tcW w:w="364" w:type="pct"/>
            <w:shd w:val="clear" w:color="000000" w:fill="FFFFFF"/>
            <w:vAlign w:val="center"/>
          </w:tcPr>
          <w:p w14:paraId="0B34BF95"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55%</w:t>
            </w:r>
          </w:p>
        </w:tc>
        <w:tc>
          <w:tcPr>
            <w:tcW w:w="376" w:type="pct"/>
            <w:shd w:val="clear" w:color="000000" w:fill="FFFFFF"/>
            <w:vAlign w:val="center"/>
          </w:tcPr>
          <w:p w14:paraId="01A66D62"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4" w:type="pct"/>
            <w:shd w:val="clear" w:color="000000" w:fill="FFFFFF"/>
            <w:vAlign w:val="center"/>
          </w:tcPr>
          <w:p w14:paraId="68BEE931"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70%</w:t>
            </w:r>
          </w:p>
        </w:tc>
        <w:tc>
          <w:tcPr>
            <w:tcW w:w="364" w:type="pct"/>
            <w:shd w:val="clear" w:color="000000" w:fill="FFFFFF"/>
            <w:vAlign w:val="center"/>
          </w:tcPr>
          <w:p w14:paraId="7F04FD86"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85%</w:t>
            </w:r>
          </w:p>
        </w:tc>
        <w:tc>
          <w:tcPr>
            <w:tcW w:w="358" w:type="pct"/>
            <w:shd w:val="clear" w:color="000000" w:fill="FFFFFF"/>
            <w:vAlign w:val="center"/>
          </w:tcPr>
          <w:p w14:paraId="7D7F0B97"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D73F09" w:rsidRPr="00B0658A" w14:paraId="0208909B" w14:textId="77777777" w:rsidTr="00FE71B1">
        <w:trPr>
          <w:trHeight w:val="20"/>
        </w:trPr>
        <w:tc>
          <w:tcPr>
            <w:tcW w:w="283" w:type="pct"/>
            <w:shd w:val="clear" w:color="000000" w:fill="FFFFFF"/>
            <w:vAlign w:val="center"/>
          </w:tcPr>
          <w:p w14:paraId="49F32F20" w14:textId="77777777" w:rsidR="00766F9E" w:rsidRPr="00B0658A" w:rsidRDefault="00766F9E" w:rsidP="00FE71B1">
            <w:pPr>
              <w:spacing w:after="0" w:line="240" w:lineRule="auto"/>
              <w:jc w:val="center"/>
              <w:rPr>
                <w:rFonts w:ascii="Times New Roman" w:hAnsi="Times New Roman"/>
                <w:sz w:val="18"/>
                <w:szCs w:val="18"/>
              </w:rPr>
            </w:pPr>
            <w:r w:rsidRPr="00B0658A">
              <w:rPr>
                <w:rFonts w:ascii="Times New Roman" w:hAnsi="Times New Roman"/>
                <w:sz w:val="18"/>
                <w:szCs w:val="18"/>
              </w:rPr>
              <w:t>8.4</w:t>
            </w:r>
          </w:p>
        </w:tc>
        <w:tc>
          <w:tcPr>
            <w:tcW w:w="1138" w:type="pct"/>
            <w:shd w:val="clear" w:color="auto" w:fill="auto"/>
            <w:vAlign w:val="center"/>
          </w:tcPr>
          <w:p w14:paraId="1163C9C7" w14:textId="77777777" w:rsidR="00766F9E" w:rsidRPr="00B0658A" w:rsidRDefault="00766F9E" w:rsidP="00766F9E">
            <w:pPr>
              <w:spacing w:after="0" w:line="240" w:lineRule="auto"/>
              <w:rPr>
                <w:rFonts w:ascii="Times New Roman" w:hAnsi="Times New Roman"/>
                <w:sz w:val="18"/>
                <w:szCs w:val="18"/>
              </w:rPr>
            </w:pPr>
            <w:r w:rsidRPr="00B0658A">
              <w:rPr>
                <w:rFonts w:ascii="Times New Roman" w:hAnsi="Times New Roman"/>
                <w:sz w:val="18"/>
                <w:szCs w:val="18"/>
              </w:rPr>
              <w:t xml:space="preserve">Промышленное программное обеспечение/ Средства автоматизированного проектирования для радиоэлектроники </w:t>
            </w:r>
            <w:r w:rsidRPr="00B0658A">
              <w:rPr>
                <w:rFonts w:ascii="Times New Roman" w:hAnsi="Times New Roman"/>
                <w:sz w:val="18"/>
                <w:szCs w:val="18"/>
              </w:rPr>
              <w:br/>
              <w:t>и электротехники (ECAD, EDA)</w:t>
            </w:r>
          </w:p>
        </w:tc>
        <w:tc>
          <w:tcPr>
            <w:tcW w:w="1026" w:type="pct"/>
            <w:shd w:val="clear" w:color="000000" w:fill="FFFFFF"/>
          </w:tcPr>
          <w:p w14:paraId="3C408107" w14:textId="77777777" w:rsidR="00766F9E" w:rsidRPr="00B0658A" w:rsidRDefault="00766F9E" w:rsidP="00766F9E">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3" w:type="pct"/>
            <w:shd w:val="clear" w:color="000000" w:fill="FFFFFF"/>
            <w:vAlign w:val="center"/>
          </w:tcPr>
          <w:p w14:paraId="11A2CA0E"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30%</w:t>
            </w:r>
          </w:p>
        </w:tc>
        <w:tc>
          <w:tcPr>
            <w:tcW w:w="364" w:type="pct"/>
            <w:shd w:val="clear" w:color="000000" w:fill="FFFFFF"/>
            <w:vAlign w:val="center"/>
          </w:tcPr>
          <w:p w14:paraId="2D2E2CC4"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40%</w:t>
            </w:r>
          </w:p>
        </w:tc>
        <w:tc>
          <w:tcPr>
            <w:tcW w:w="364" w:type="pct"/>
            <w:shd w:val="clear" w:color="000000" w:fill="FFFFFF"/>
            <w:vAlign w:val="center"/>
          </w:tcPr>
          <w:p w14:paraId="5F781F16"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55%</w:t>
            </w:r>
          </w:p>
        </w:tc>
        <w:tc>
          <w:tcPr>
            <w:tcW w:w="376" w:type="pct"/>
            <w:shd w:val="clear" w:color="000000" w:fill="FFFFFF"/>
            <w:vAlign w:val="center"/>
          </w:tcPr>
          <w:p w14:paraId="1E4D7E90"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4" w:type="pct"/>
            <w:shd w:val="clear" w:color="000000" w:fill="FFFFFF"/>
            <w:vAlign w:val="center"/>
          </w:tcPr>
          <w:p w14:paraId="1DFD1F8C"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70%</w:t>
            </w:r>
          </w:p>
        </w:tc>
        <w:tc>
          <w:tcPr>
            <w:tcW w:w="364" w:type="pct"/>
            <w:shd w:val="clear" w:color="000000" w:fill="FFFFFF"/>
            <w:vAlign w:val="center"/>
          </w:tcPr>
          <w:p w14:paraId="12B01168"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85%</w:t>
            </w:r>
          </w:p>
        </w:tc>
        <w:tc>
          <w:tcPr>
            <w:tcW w:w="358" w:type="pct"/>
            <w:shd w:val="clear" w:color="000000" w:fill="FFFFFF"/>
            <w:vAlign w:val="center"/>
          </w:tcPr>
          <w:p w14:paraId="07988A91"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D73F09" w:rsidRPr="00B0658A" w14:paraId="0E1F19D4" w14:textId="77777777" w:rsidTr="00FE71B1">
        <w:trPr>
          <w:trHeight w:val="20"/>
        </w:trPr>
        <w:tc>
          <w:tcPr>
            <w:tcW w:w="283" w:type="pct"/>
            <w:shd w:val="clear" w:color="000000" w:fill="FFFFFF"/>
            <w:vAlign w:val="center"/>
          </w:tcPr>
          <w:p w14:paraId="1DA03911" w14:textId="77777777" w:rsidR="00766F9E" w:rsidRPr="00B0658A" w:rsidRDefault="00766F9E" w:rsidP="00FE71B1">
            <w:pPr>
              <w:spacing w:after="0" w:line="240" w:lineRule="auto"/>
              <w:jc w:val="center"/>
              <w:rPr>
                <w:rFonts w:ascii="Times New Roman" w:hAnsi="Times New Roman"/>
                <w:sz w:val="18"/>
                <w:szCs w:val="18"/>
              </w:rPr>
            </w:pPr>
            <w:r w:rsidRPr="00B0658A">
              <w:rPr>
                <w:rFonts w:ascii="Times New Roman" w:hAnsi="Times New Roman"/>
                <w:sz w:val="18"/>
                <w:szCs w:val="18"/>
              </w:rPr>
              <w:t>8.5</w:t>
            </w:r>
          </w:p>
        </w:tc>
        <w:tc>
          <w:tcPr>
            <w:tcW w:w="1138" w:type="pct"/>
            <w:shd w:val="clear" w:color="auto" w:fill="auto"/>
            <w:vAlign w:val="center"/>
          </w:tcPr>
          <w:p w14:paraId="26BA01D8" w14:textId="77777777" w:rsidR="00766F9E" w:rsidRPr="00B0658A" w:rsidRDefault="00766F9E" w:rsidP="00766F9E">
            <w:pPr>
              <w:spacing w:after="0" w:line="240" w:lineRule="auto"/>
              <w:rPr>
                <w:rFonts w:ascii="Times New Roman" w:hAnsi="Times New Roman"/>
                <w:sz w:val="18"/>
                <w:szCs w:val="18"/>
              </w:rPr>
            </w:pPr>
            <w:r w:rsidRPr="00B0658A">
              <w:rPr>
                <w:rFonts w:ascii="Times New Roman" w:hAnsi="Times New Roman"/>
                <w:sz w:val="18"/>
                <w:szCs w:val="18"/>
              </w:rPr>
              <w:t>Промышленное программное обеспечение/ Средства инженерного анализа (CAE)</w:t>
            </w:r>
          </w:p>
        </w:tc>
        <w:tc>
          <w:tcPr>
            <w:tcW w:w="1026" w:type="pct"/>
            <w:shd w:val="clear" w:color="000000" w:fill="FFFFFF"/>
          </w:tcPr>
          <w:p w14:paraId="48E57C95" w14:textId="77777777" w:rsidR="00766F9E" w:rsidRPr="00B0658A" w:rsidRDefault="00766F9E" w:rsidP="00766F9E">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3" w:type="pct"/>
            <w:shd w:val="clear" w:color="000000" w:fill="FFFFFF"/>
            <w:vAlign w:val="center"/>
          </w:tcPr>
          <w:p w14:paraId="26E9340D"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30%</w:t>
            </w:r>
          </w:p>
        </w:tc>
        <w:tc>
          <w:tcPr>
            <w:tcW w:w="364" w:type="pct"/>
            <w:shd w:val="clear" w:color="000000" w:fill="FFFFFF"/>
            <w:vAlign w:val="center"/>
          </w:tcPr>
          <w:p w14:paraId="5B7E9AFB"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40%</w:t>
            </w:r>
          </w:p>
        </w:tc>
        <w:tc>
          <w:tcPr>
            <w:tcW w:w="364" w:type="pct"/>
            <w:shd w:val="clear" w:color="000000" w:fill="FFFFFF"/>
            <w:vAlign w:val="center"/>
          </w:tcPr>
          <w:p w14:paraId="230C7B3B"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55%</w:t>
            </w:r>
          </w:p>
        </w:tc>
        <w:tc>
          <w:tcPr>
            <w:tcW w:w="376" w:type="pct"/>
            <w:shd w:val="clear" w:color="000000" w:fill="FFFFFF"/>
            <w:vAlign w:val="center"/>
          </w:tcPr>
          <w:p w14:paraId="30E05D6D"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4" w:type="pct"/>
            <w:shd w:val="clear" w:color="000000" w:fill="FFFFFF"/>
            <w:vAlign w:val="center"/>
          </w:tcPr>
          <w:p w14:paraId="2A6CF404"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70%</w:t>
            </w:r>
          </w:p>
        </w:tc>
        <w:tc>
          <w:tcPr>
            <w:tcW w:w="364" w:type="pct"/>
            <w:shd w:val="clear" w:color="000000" w:fill="FFFFFF"/>
            <w:vAlign w:val="center"/>
          </w:tcPr>
          <w:p w14:paraId="30DA19FE"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85%</w:t>
            </w:r>
          </w:p>
        </w:tc>
        <w:tc>
          <w:tcPr>
            <w:tcW w:w="358" w:type="pct"/>
            <w:shd w:val="clear" w:color="000000" w:fill="FFFFFF"/>
            <w:vAlign w:val="center"/>
          </w:tcPr>
          <w:p w14:paraId="3A23E543"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D73F09" w:rsidRPr="00B0658A" w14:paraId="72DD9EAB" w14:textId="77777777" w:rsidTr="00FE71B1">
        <w:trPr>
          <w:trHeight w:val="20"/>
        </w:trPr>
        <w:tc>
          <w:tcPr>
            <w:tcW w:w="283" w:type="pct"/>
            <w:shd w:val="clear" w:color="000000" w:fill="FFFFFF"/>
            <w:vAlign w:val="center"/>
          </w:tcPr>
          <w:p w14:paraId="5A2E8F5D" w14:textId="77777777" w:rsidR="00766F9E" w:rsidRPr="00B0658A" w:rsidRDefault="00766F9E" w:rsidP="00FE71B1">
            <w:pPr>
              <w:spacing w:after="0" w:line="240" w:lineRule="auto"/>
              <w:jc w:val="center"/>
              <w:rPr>
                <w:rFonts w:ascii="Times New Roman" w:hAnsi="Times New Roman"/>
                <w:sz w:val="18"/>
                <w:szCs w:val="18"/>
              </w:rPr>
            </w:pPr>
            <w:r w:rsidRPr="00B0658A">
              <w:rPr>
                <w:rFonts w:ascii="Times New Roman" w:hAnsi="Times New Roman"/>
                <w:sz w:val="18"/>
                <w:szCs w:val="18"/>
              </w:rPr>
              <w:t>8.6</w:t>
            </w:r>
          </w:p>
        </w:tc>
        <w:tc>
          <w:tcPr>
            <w:tcW w:w="1138" w:type="pct"/>
            <w:shd w:val="clear" w:color="auto" w:fill="auto"/>
            <w:vAlign w:val="center"/>
          </w:tcPr>
          <w:p w14:paraId="473EC936" w14:textId="77777777" w:rsidR="00766F9E" w:rsidRPr="00B0658A" w:rsidRDefault="00766F9E" w:rsidP="00766F9E">
            <w:pPr>
              <w:spacing w:after="0" w:line="240" w:lineRule="auto"/>
              <w:rPr>
                <w:rFonts w:ascii="Times New Roman" w:hAnsi="Times New Roman"/>
                <w:sz w:val="18"/>
                <w:szCs w:val="18"/>
              </w:rPr>
            </w:pPr>
            <w:r w:rsidRPr="00B0658A">
              <w:rPr>
                <w:rFonts w:ascii="Times New Roman" w:hAnsi="Times New Roman"/>
                <w:sz w:val="18"/>
                <w:szCs w:val="18"/>
              </w:rPr>
              <w:t>Промышленное программное обеспечение/ Средства управления оборудованием с числовым программным управлением (CAM)</w:t>
            </w:r>
          </w:p>
        </w:tc>
        <w:tc>
          <w:tcPr>
            <w:tcW w:w="1026" w:type="pct"/>
            <w:shd w:val="clear" w:color="000000" w:fill="FFFFFF"/>
          </w:tcPr>
          <w:p w14:paraId="4EBA0212" w14:textId="77777777" w:rsidR="00766F9E" w:rsidRPr="00B0658A" w:rsidRDefault="00766F9E" w:rsidP="00766F9E">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3" w:type="pct"/>
            <w:shd w:val="clear" w:color="000000" w:fill="FFFFFF"/>
            <w:vAlign w:val="center"/>
          </w:tcPr>
          <w:p w14:paraId="50EE4421"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30%</w:t>
            </w:r>
          </w:p>
        </w:tc>
        <w:tc>
          <w:tcPr>
            <w:tcW w:w="364" w:type="pct"/>
            <w:shd w:val="clear" w:color="000000" w:fill="FFFFFF"/>
            <w:vAlign w:val="center"/>
          </w:tcPr>
          <w:p w14:paraId="5FB88CCA"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40%</w:t>
            </w:r>
          </w:p>
        </w:tc>
        <w:tc>
          <w:tcPr>
            <w:tcW w:w="364" w:type="pct"/>
            <w:shd w:val="clear" w:color="000000" w:fill="FFFFFF"/>
            <w:vAlign w:val="center"/>
          </w:tcPr>
          <w:p w14:paraId="45FE0350"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55%</w:t>
            </w:r>
          </w:p>
        </w:tc>
        <w:tc>
          <w:tcPr>
            <w:tcW w:w="376" w:type="pct"/>
            <w:shd w:val="clear" w:color="000000" w:fill="FFFFFF"/>
            <w:vAlign w:val="center"/>
          </w:tcPr>
          <w:p w14:paraId="3CD1FD6A"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4" w:type="pct"/>
            <w:shd w:val="clear" w:color="000000" w:fill="FFFFFF"/>
            <w:vAlign w:val="center"/>
          </w:tcPr>
          <w:p w14:paraId="5EF38DD1"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70%</w:t>
            </w:r>
          </w:p>
        </w:tc>
        <w:tc>
          <w:tcPr>
            <w:tcW w:w="364" w:type="pct"/>
            <w:shd w:val="clear" w:color="000000" w:fill="FFFFFF"/>
            <w:vAlign w:val="center"/>
          </w:tcPr>
          <w:p w14:paraId="4094819D"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85%</w:t>
            </w:r>
          </w:p>
        </w:tc>
        <w:tc>
          <w:tcPr>
            <w:tcW w:w="358" w:type="pct"/>
            <w:shd w:val="clear" w:color="000000" w:fill="FFFFFF"/>
            <w:vAlign w:val="center"/>
          </w:tcPr>
          <w:p w14:paraId="1C3D3316"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D73F09" w:rsidRPr="00B0658A" w14:paraId="50ECD0A6" w14:textId="77777777" w:rsidTr="00FE71B1">
        <w:trPr>
          <w:trHeight w:val="20"/>
        </w:trPr>
        <w:tc>
          <w:tcPr>
            <w:tcW w:w="283" w:type="pct"/>
            <w:shd w:val="clear" w:color="000000" w:fill="FFFFFF"/>
            <w:vAlign w:val="center"/>
          </w:tcPr>
          <w:p w14:paraId="3B1CF17E" w14:textId="77777777" w:rsidR="00766F9E" w:rsidRPr="00B0658A" w:rsidRDefault="00766F9E" w:rsidP="00FE71B1">
            <w:pPr>
              <w:spacing w:after="0" w:line="240" w:lineRule="auto"/>
              <w:jc w:val="center"/>
              <w:rPr>
                <w:rFonts w:ascii="Times New Roman" w:hAnsi="Times New Roman"/>
                <w:sz w:val="18"/>
                <w:szCs w:val="18"/>
              </w:rPr>
            </w:pPr>
            <w:r w:rsidRPr="00B0658A">
              <w:rPr>
                <w:rFonts w:ascii="Times New Roman" w:hAnsi="Times New Roman"/>
                <w:sz w:val="18"/>
                <w:szCs w:val="18"/>
              </w:rPr>
              <w:t>8.7</w:t>
            </w:r>
          </w:p>
        </w:tc>
        <w:tc>
          <w:tcPr>
            <w:tcW w:w="1138" w:type="pct"/>
            <w:shd w:val="clear" w:color="auto" w:fill="auto"/>
            <w:vAlign w:val="center"/>
          </w:tcPr>
          <w:p w14:paraId="606953DA" w14:textId="77777777" w:rsidR="00766F9E" w:rsidRPr="00B0658A" w:rsidRDefault="00766F9E" w:rsidP="00766F9E">
            <w:pPr>
              <w:spacing w:after="0" w:line="240" w:lineRule="auto"/>
              <w:rPr>
                <w:rFonts w:ascii="Times New Roman" w:hAnsi="Times New Roman"/>
                <w:sz w:val="18"/>
                <w:szCs w:val="18"/>
              </w:rPr>
            </w:pPr>
            <w:r w:rsidRPr="00B0658A">
              <w:rPr>
                <w:rFonts w:ascii="Times New Roman" w:hAnsi="Times New Roman"/>
                <w:sz w:val="18"/>
                <w:szCs w:val="18"/>
              </w:rPr>
              <w:t>Промышленное программное обеспечение/ Средства технологической подготовки производства (CAPP)</w:t>
            </w:r>
          </w:p>
        </w:tc>
        <w:tc>
          <w:tcPr>
            <w:tcW w:w="1026" w:type="pct"/>
            <w:shd w:val="clear" w:color="000000" w:fill="FFFFFF"/>
          </w:tcPr>
          <w:p w14:paraId="43C2AD4F" w14:textId="77777777" w:rsidR="00766F9E" w:rsidRPr="00B0658A" w:rsidRDefault="00766F9E" w:rsidP="00766F9E">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3" w:type="pct"/>
            <w:shd w:val="clear" w:color="000000" w:fill="FFFFFF"/>
            <w:vAlign w:val="center"/>
          </w:tcPr>
          <w:p w14:paraId="1E7F84BF"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30%</w:t>
            </w:r>
          </w:p>
        </w:tc>
        <w:tc>
          <w:tcPr>
            <w:tcW w:w="364" w:type="pct"/>
            <w:shd w:val="clear" w:color="000000" w:fill="FFFFFF"/>
            <w:vAlign w:val="center"/>
          </w:tcPr>
          <w:p w14:paraId="1D144D15"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40%</w:t>
            </w:r>
          </w:p>
        </w:tc>
        <w:tc>
          <w:tcPr>
            <w:tcW w:w="364" w:type="pct"/>
            <w:shd w:val="clear" w:color="000000" w:fill="FFFFFF"/>
            <w:vAlign w:val="center"/>
          </w:tcPr>
          <w:p w14:paraId="2EDDF339"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55%</w:t>
            </w:r>
          </w:p>
        </w:tc>
        <w:tc>
          <w:tcPr>
            <w:tcW w:w="376" w:type="pct"/>
            <w:shd w:val="clear" w:color="000000" w:fill="FFFFFF"/>
            <w:vAlign w:val="center"/>
          </w:tcPr>
          <w:p w14:paraId="13C8AE52"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4" w:type="pct"/>
            <w:shd w:val="clear" w:color="000000" w:fill="FFFFFF"/>
            <w:vAlign w:val="center"/>
          </w:tcPr>
          <w:p w14:paraId="14D446C0"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70%</w:t>
            </w:r>
          </w:p>
        </w:tc>
        <w:tc>
          <w:tcPr>
            <w:tcW w:w="364" w:type="pct"/>
            <w:shd w:val="clear" w:color="000000" w:fill="FFFFFF"/>
            <w:vAlign w:val="center"/>
          </w:tcPr>
          <w:p w14:paraId="2EAAE7C0"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85%</w:t>
            </w:r>
          </w:p>
        </w:tc>
        <w:tc>
          <w:tcPr>
            <w:tcW w:w="358" w:type="pct"/>
            <w:shd w:val="clear" w:color="000000" w:fill="FFFFFF"/>
            <w:vAlign w:val="center"/>
          </w:tcPr>
          <w:p w14:paraId="6D898CD6"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D73F09" w:rsidRPr="00B0658A" w14:paraId="005E1A48" w14:textId="77777777" w:rsidTr="00FE71B1">
        <w:trPr>
          <w:trHeight w:val="20"/>
        </w:trPr>
        <w:tc>
          <w:tcPr>
            <w:tcW w:w="283" w:type="pct"/>
            <w:shd w:val="clear" w:color="000000" w:fill="FFFFFF"/>
            <w:vAlign w:val="center"/>
          </w:tcPr>
          <w:p w14:paraId="280D4127" w14:textId="77777777" w:rsidR="00766F9E" w:rsidRPr="00B0658A" w:rsidRDefault="00766F9E" w:rsidP="00FE71B1">
            <w:pPr>
              <w:spacing w:after="0" w:line="240" w:lineRule="auto"/>
              <w:jc w:val="center"/>
              <w:rPr>
                <w:rFonts w:ascii="Times New Roman" w:hAnsi="Times New Roman"/>
                <w:sz w:val="18"/>
                <w:szCs w:val="18"/>
              </w:rPr>
            </w:pPr>
            <w:r w:rsidRPr="00B0658A">
              <w:rPr>
                <w:rFonts w:ascii="Times New Roman" w:hAnsi="Times New Roman"/>
                <w:sz w:val="18"/>
                <w:szCs w:val="18"/>
              </w:rPr>
              <w:t>8.8</w:t>
            </w:r>
          </w:p>
        </w:tc>
        <w:tc>
          <w:tcPr>
            <w:tcW w:w="1138" w:type="pct"/>
            <w:shd w:val="clear" w:color="auto" w:fill="auto"/>
            <w:vAlign w:val="center"/>
          </w:tcPr>
          <w:p w14:paraId="1F894EA2" w14:textId="77777777" w:rsidR="00766F9E" w:rsidRPr="00B0658A" w:rsidRDefault="00766F9E" w:rsidP="00766F9E">
            <w:pPr>
              <w:spacing w:after="0" w:line="240" w:lineRule="auto"/>
              <w:rPr>
                <w:rFonts w:ascii="Times New Roman" w:hAnsi="Times New Roman"/>
                <w:sz w:val="18"/>
                <w:szCs w:val="18"/>
              </w:rPr>
            </w:pPr>
            <w:r w:rsidRPr="00B0658A">
              <w:rPr>
                <w:rFonts w:ascii="Times New Roman" w:hAnsi="Times New Roman"/>
                <w:sz w:val="18"/>
                <w:szCs w:val="18"/>
              </w:rPr>
              <w:t xml:space="preserve">Промышленное программное обеспечение/ Средства управления инженерными данными </w:t>
            </w:r>
            <w:r w:rsidRPr="00B0658A">
              <w:rPr>
                <w:rFonts w:ascii="Times New Roman" w:hAnsi="Times New Roman"/>
                <w:sz w:val="18"/>
                <w:szCs w:val="18"/>
              </w:rPr>
              <w:br/>
              <w:t>об изделии (PDM)</w:t>
            </w:r>
          </w:p>
        </w:tc>
        <w:tc>
          <w:tcPr>
            <w:tcW w:w="1026" w:type="pct"/>
            <w:shd w:val="clear" w:color="000000" w:fill="FFFFFF"/>
          </w:tcPr>
          <w:p w14:paraId="719A720B" w14:textId="77777777" w:rsidR="00766F9E" w:rsidRPr="00B0658A" w:rsidRDefault="00766F9E" w:rsidP="00766F9E">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3" w:type="pct"/>
            <w:shd w:val="clear" w:color="000000" w:fill="FFFFFF"/>
            <w:vAlign w:val="center"/>
          </w:tcPr>
          <w:p w14:paraId="4D15FDFE"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30%</w:t>
            </w:r>
          </w:p>
        </w:tc>
        <w:tc>
          <w:tcPr>
            <w:tcW w:w="364" w:type="pct"/>
            <w:shd w:val="clear" w:color="000000" w:fill="FFFFFF"/>
            <w:vAlign w:val="center"/>
          </w:tcPr>
          <w:p w14:paraId="5FBDC5A0"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40%</w:t>
            </w:r>
          </w:p>
        </w:tc>
        <w:tc>
          <w:tcPr>
            <w:tcW w:w="364" w:type="pct"/>
            <w:shd w:val="clear" w:color="000000" w:fill="FFFFFF"/>
            <w:vAlign w:val="center"/>
          </w:tcPr>
          <w:p w14:paraId="0E53687D"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55%</w:t>
            </w:r>
          </w:p>
        </w:tc>
        <w:tc>
          <w:tcPr>
            <w:tcW w:w="376" w:type="pct"/>
            <w:shd w:val="clear" w:color="000000" w:fill="FFFFFF"/>
            <w:vAlign w:val="center"/>
          </w:tcPr>
          <w:p w14:paraId="30DC4353"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4" w:type="pct"/>
            <w:shd w:val="clear" w:color="000000" w:fill="FFFFFF"/>
            <w:vAlign w:val="center"/>
          </w:tcPr>
          <w:p w14:paraId="0D0F9EAC"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70%</w:t>
            </w:r>
          </w:p>
        </w:tc>
        <w:tc>
          <w:tcPr>
            <w:tcW w:w="364" w:type="pct"/>
            <w:shd w:val="clear" w:color="000000" w:fill="FFFFFF"/>
            <w:vAlign w:val="center"/>
          </w:tcPr>
          <w:p w14:paraId="2B46E5F5"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85%</w:t>
            </w:r>
          </w:p>
        </w:tc>
        <w:tc>
          <w:tcPr>
            <w:tcW w:w="358" w:type="pct"/>
            <w:shd w:val="clear" w:color="000000" w:fill="FFFFFF"/>
            <w:vAlign w:val="center"/>
          </w:tcPr>
          <w:p w14:paraId="59F0A7B1"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D73F09" w:rsidRPr="00B0658A" w14:paraId="390348B7" w14:textId="77777777" w:rsidTr="00FE71B1">
        <w:trPr>
          <w:trHeight w:val="20"/>
        </w:trPr>
        <w:tc>
          <w:tcPr>
            <w:tcW w:w="283" w:type="pct"/>
            <w:shd w:val="clear" w:color="000000" w:fill="FFFFFF"/>
            <w:vAlign w:val="center"/>
          </w:tcPr>
          <w:p w14:paraId="3522DBA1" w14:textId="77777777" w:rsidR="00766F9E" w:rsidRPr="00B0658A" w:rsidRDefault="00766F9E" w:rsidP="00FE71B1">
            <w:pPr>
              <w:spacing w:after="0" w:line="240" w:lineRule="auto"/>
              <w:jc w:val="center"/>
              <w:rPr>
                <w:rFonts w:ascii="Times New Roman" w:hAnsi="Times New Roman"/>
                <w:sz w:val="18"/>
                <w:szCs w:val="18"/>
              </w:rPr>
            </w:pPr>
            <w:r w:rsidRPr="00B0658A">
              <w:rPr>
                <w:rFonts w:ascii="Times New Roman" w:hAnsi="Times New Roman"/>
                <w:sz w:val="18"/>
                <w:szCs w:val="18"/>
              </w:rPr>
              <w:t>8.9</w:t>
            </w:r>
          </w:p>
        </w:tc>
        <w:tc>
          <w:tcPr>
            <w:tcW w:w="1138" w:type="pct"/>
            <w:shd w:val="clear" w:color="auto" w:fill="auto"/>
            <w:vAlign w:val="center"/>
          </w:tcPr>
          <w:p w14:paraId="15506E0F" w14:textId="77777777" w:rsidR="00766F9E" w:rsidRPr="00B0658A" w:rsidRDefault="00766F9E" w:rsidP="00766F9E">
            <w:pPr>
              <w:spacing w:after="0" w:line="240" w:lineRule="auto"/>
              <w:rPr>
                <w:rFonts w:ascii="Times New Roman" w:hAnsi="Times New Roman"/>
                <w:sz w:val="18"/>
                <w:szCs w:val="18"/>
              </w:rPr>
            </w:pPr>
            <w:r w:rsidRPr="00B0658A">
              <w:rPr>
                <w:rFonts w:ascii="Times New Roman" w:hAnsi="Times New Roman"/>
                <w:sz w:val="18"/>
                <w:szCs w:val="18"/>
              </w:rPr>
              <w:t xml:space="preserve">Промышленное программное обеспечение / Средства информационного моделирования зданий </w:t>
            </w:r>
            <w:r w:rsidRPr="00B0658A">
              <w:rPr>
                <w:rFonts w:ascii="Times New Roman" w:hAnsi="Times New Roman"/>
                <w:sz w:val="18"/>
                <w:szCs w:val="18"/>
              </w:rPr>
              <w:br/>
              <w:t>и сооружений, архитектурно-строительного проектирования (BIM, AEC CAD)</w:t>
            </w:r>
          </w:p>
        </w:tc>
        <w:tc>
          <w:tcPr>
            <w:tcW w:w="1026" w:type="pct"/>
            <w:shd w:val="clear" w:color="000000" w:fill="FFFFFF"/>
          </w:tcPr>
          <w:p w14:paraId="499AEAA6" w14:textId="77777777" w:rsidR="00766F9E" w:rsidRPr="00B0658A" w:rsidRDefault="00766F9E" w:rsidP="00766F9E">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3" w:type="pct"/>
            <w:shd w:val="clear" w:color="000000" w:fill="FFFFFF"/>
            <w:vAlign w:val="center"/>
          </w:tcPr>
          <w:p w14:paraId="5728BACB"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30%</w:t>
            </w:r>
          </w:p>
        </w:tc>
        <w:tc>
          <w:tcPr>
            <w:tcW w:w="364" w:type="pct"/>
            <w:shd w:val="clear" w:color="000000" w:fill="FFFFFF"/>
            <w:vAlign w:val="center"/>
          </w:tcPr>
          <w:p w14:paraId="5092EB71"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40%</w:t>
            </w:r>
          </w:p>
        </w:tc>
        <w:tc>
          <w:tcPr>
            <w:tcW w:w="364" w:type="pct"/>
            <w:shd w:val="clear" w:color="000000" w:fill="FFFFFF"/>
            <w:vAlign w:val="center"/>
          </w:tcPr>
          <w:p w14:paraId="2F5F24E5"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55%</w:t>
            </w:r>
          </w:p>
        </w:tc>
        <w:tc>
          <w:tcPr>
            <w:tcW w:w="376" w:type="pct"/>
            <w:shd w:val="clear" w:color="000000" w:fill="FFFFFF"/>
            <w:vAlign w:val="center"/>
          </w:tcPr>
          <w:p w14:paraId="70172CAC"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4" w:type="pct"/>
            <w:shd w:val="clear" w:color="000000" w:fill="FFFFFF"/>
            <w:vAlign w:val="center"/>
          </w:tcPr>
          <w:p w14:paraId="4419A743"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70%</w:t>
            </w:r>
          </w:p>
        </w:tc>
        <w:tc>
          <w:tcPr>
            <w:tcW w:w="364" w:type="pct"/>
            <w:shd w:val="clear" w:color="000000" w:fill="FFFFFF"/>
            <w:vAlign w:val="center"/>
          </w:tcPr>
          <w:p w14:paraId="27329B05"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85%</w:t>
            </w:r>
          </w:p>
        </w:tc>
        <w:tc>
          <w:tcPr>
            <w:tcW w:w="358" w:type="pct"/>
            <w:shd w:val="clear" w:color="000000" w:fill="FFFFFF"/>
            <w:vAlign w:val="center"/>
          </w:tcPr>
          <w:p w14:paraId="5B71D4F3"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D73F09" w:rsidRPr="00B0658A" w14:paraId="4EEB931E" w14:textId="77777777" w:rsidTr="00FE71B1">
        <w:trPr>
          <w:trHeight w:val="20"/>
        </w:trPr>
        <w:tc>
          <w:tcPr>
            <w:tcW w:w="283" w:type="pct"/>
            <w:shd w:val="clear" w:color="000000" w:fill="FFFFFF"/>
            <w:vAlign w:val="center"/>
          </w:tcPr>
          <w:p w14:paraId="4E097789" w14:textId="77777777" w:rsidR="00766F9E" w:rsidRPr="00B0658A" w:rsidRDefault="00766F9E" w:rsidP="00FE71B1">
            <w:pPr>
              <w:spacing w:after="0" w:line="240" w:lineRule="auto"/>
              <w:jc w:val="center"/>
              <w:rPr>
                <w:rFonts w:ascii="Times New Roman" w:hAnsi="Times New Roman"/>
                <w:sz w:val="18"/>
                <w:szCs w:val="18"/>
              </w:rPr>
            </w:pPr>
            <w:r w:rsidRPr="00B0658A">
              <w:rPr>
                <w:rFonts w:ascii="Times New Roman" w:hAnsi="Times New Roman"/>
                <w:sz w:val="18"/>
                <w:szCs w:val="18"/>
              </w:rPr>
              <w:t>8.10</w:t>
            </w:r>
          </w:p>
        </w:tc>
        <w:tc>
          <w:tcPr>
            <w:tcW w:w="1138" w:type="pct"/>
            <w:shd w:val="clear" w:color="auto" w:fill="auto"/>
            <w:vAlign w:val="center"/>
          </w:tcPr>
          <w:p w14:paraId="5C3BA18D" w14:textId="77777777" w:rsidR="00766F9E" w:rsidRPr="00B0658A" w:rsidRDefault="00766F9E" w:rsidP="00766F9E">
            <w:pPr>
              <w:spacing w:after="0" w:line="240" w:lineRule="auto"/>
              <w:rPr>
                <w:rFonts w:ascii="Times New Roman" w:hAnsi="Times New Roman"/>
                <w:sz w:val="18"/>
                <w:szCs w:val="18"/>
              </w:rPr>
            </w:pPr>
            <w:r w:rsidRPr="00B0658A">
              <w:rPr>
                <w:rFonts w:ascii="Times New Roman" w:hAnsi="Times New Roman"/>
                <w:sz w:val="18"/>
                <w:szCs w:val="18"/>
              </w:rPr>
              <w:t>Промышленное программное обеспечение/ Средства усовершенствованного управления технологическими процессами (APC, RTO)</w:t>
            </w:r>
          </w:p>
        </w:tc>
        <w:tc>
          <w:tcPr>
            <w:tcW w:w="1026" w:type="pct"/>
            <w:shd w:val="clear" w:color="000000" w:fill="FFFFFF"/>
          </w:tcPr>
          <w:p w14:paraId="76B195CE" w14:textId="77777777" w:rsidR="00766F9E" w:rsidRPr="00B0658A" w:rsidRDefault="00766F9E" w:rsidP="00766F9E">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3" w:type="pct"/>
            <w:shd w:val="clear" w:color="000000" w:fill="FFFFFF"/>
            <w:vAlign w:val="center"/>
          </w:tcPr>
          <w:p w14:paraId="15CCFC25"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30%</w:t>
            </w:r>
          </w:p>
        </w:tc>
        <w:tc>
          <w:tcPr>
            <w:tcW w:w="364" w:type="pct"/>
            <w:shd w:val="clear" w:color="000000" w:fill="FFFFFF"/>
            <w:vAlign w:val="center"/>
          </w:tcPr>
          <w:p w14:paraId="73F1D81A"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40%</w:t>
            </w:r>
          </w:p>
        </w:tc>
        <w:tc>
          <w:tcPr>
            <w:tcW w:w="364" w:type="pct"/>
            <w:shd w:val="clear" w:color="000000" w:fill="FFFFFF"/>
            <w:vAlign w:val="center"/>
          </w:tcPr>
          <w:p w14:paraId="1FFC5449"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55%</w:t>
            </w:r>
          </w:p>
        </w:tc>
        <w:tc>
          <w:tcPr>
            <w:tcW w:w="376" w:type="pct"/>
            <w:shd w:val="clear" w:color="000000" w:fill="FFFFFF"/>
            <w:vAlign w:val="center"/>
          </w:tcPr>
          <w:p w14:paraId="2E3A2B4B"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4" w:type="pct"/>
            <w:shd w:val="clear" w:color="000000" w:fill="FFFFFF"/>
            <w:vAlign w:val="center"/>
          </w:tcPr>
          <w:p w14:paraId="089BAD9F"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70%</w:t>
            </w:r>
          </w:p>
        </w:tc>
        <w:tc>
          <w:tcPr>
            <w:tcW w:w="364" w:type="pct"/>
            <w:shd w:val="clear" w:color="000000" w:fill="FFFFFF"/>
            <w:vAlign w:val="center"/>
          </w:tcPr>
          <w:p w14:paraId="57606A47"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85%</w:t>
            </w:r>
          </w:p>
        </w:tc>
        <w:tc>
          <w:tcPr>
            <w:tcW w:w="358" w:type="pct"/>
            <w:shd w:val="clear" w:color="000000" w:fill="FFFFFF"/>
            <w:vAlign w:val="center"/>
          </w:tcPr>
          <w:p w14:paraId="28DA0481"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D73F09" w:rsidRPr="00B0658A" w14:paraId="1637189E" w14:textId="77777777" w:rsidTr="00FE71B1">
        <w:trPr>
          <w:trHeight w:val="20"/>
        </w:trPr>
        <w:tc>
          <w:tcPr>
            <w:tcW w:w="283" w:type="pct"/>
            <w:shd w:val="clear" w:color="000000" w:fill="FFFFFF"/>
            <w:vAlign w:val="center"/>
          </w:tcPr>
          <w:p w14:paraId="3E77BFF6" w14:textId="77777777" w:rsidR="00766F9E" w:rsidRPr="00B0658A" w:rsidRDefault="00766F9E" w:rsidP="00FE71B1">
            <w:pPr>
              <w:spacing w:after="0" w:line="240" w:lineRule="auto"/>
              <w:jc w:val="center"/>
              <w:rPr>
                <w:rFonts w:ascii="Times New Roman" w:hAnsi="Times New Roman"/>
                <w:sz w:val="18"/>
                <w:szCs w:val="18"/>
              </w:rPr>
            </w:pPr>
            <w:r w:rsidRPr="00B0658A">
              <w:rPr>
                <w:rFonts w:ascii="Times New Roman" w:hAnsi="Times New Roman"/>
                <w:sz w:val="18"/>
                <w:szCs w:val="18"/>
              </w:rPr>
              <w:t>8.11</w:t>
            </w:r>
          </w:p>
        </w:tc>
        <w:tc>
          <w:tcPr>
            <w:tcW w:w="1138" w:type="pct"/>
            <w:shd w:val="clear" w:color="auto" w:fill="auto"/>
            <w:vAlign w:val="center"/>
          </w:tcPr>
          <w:p w14:paraId="130C26F2" w14:textId="77777777" w:rsidR="00766F9E" w:rsidRPr="00B0658A" w:rsidRDefault="00766F9E" w:rsidP="00766F9E">
            <w:pPr>
              <w:spacing w:after="0" w:line="240" w:lineRule="auto"/>
              <w:rPr>
                <w:rFonts w:ascii="Times New Roman" w:hAnsi="Times New Roman"/>
                <w:sz w:val="18"/>
                <w:szCs w:val="18"/>
              </w:rPr>
            </w:pPr>
            <w:r w:rsidRPr="00B0658A">
              <w:rPr>
                <w:rFonts w:ascii="Times New Roman" w:hAnsi="Times New Roman"/>
                <w:sz w:val="18"/>
                <w:szCs w:val="18"/>
              </w:rPr>
              <w:t>Промышленное программное обеспечение / Средства автоматизированного управления техникой</w:t>
            </w:r>
          </w:p>
        </w:tc>
        <w:tc>
          <w:tcPr>
            <w:tcW w:w="1026" w:type="pct"/>
            <w:shd w:val="clear" w:color="000000" w:fill="FFFFFF"/>
          </w:tcPr>
          <w:p w14:paraId="543EDEF0" w14:textId="77777777" w:rsidR="00766F9E" w:rsidRPr="00B0658A" w:rsidRDefault="00766F9E" w:rsidP="00766F9E">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3" w:type="pct"/>
            <w:shd w:val="clear" w:color="000000" w:fill="FFFFFF"/>
            <w:vAlign w:val="center"/>
          </w:tcPr>
          <w:p w14:paraId="0AFB92E7"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20%</w:t>
            </w:r>
          </w:p>
        </w:tc>
        <w:tc>
          <w:tcPr>
            <w:tcW w:w="364" w:type="pct"/>
            <w:shd w:val="clear" w:color="000000" w:fill="FFFFFF"/>
            <w:vAlign w:val="center"/>
          </w:tcPr>
          <w:p w14:paraId="703F691A"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30%</w:t>
            </w:r>
          </w:p>
        </w:tc>
        <w:tc>
          <w:tcPr>
            <w:tcW w:w="364" w:type="pct"/>
            <w:shd w:val="clear" w:color="000000" w:fill="FFFFFF"/>
            <w:vAlign w:val="center"/>
          </w:tcPr>
          <w:p w14:paraId="4BB00BB2"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45%</w:t>
            </w:r>
          </w:p>
        </w:tc>
        <w:tc>
          <w:tcPr>
            <w:tcW w:w="376" w:type="pct"/>
            <w:shd w:val="clear" w:color="000000" w:fill="FFFFFF"/>
            <w:vAlign w:val="center"/>
          </w:tcPr>
          <w:p w14:paraId="3BBD923E"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4" w:type="pct"/>
            <w:shd w:val="clear" w:color="000000" w:fill="FFFFFF"/>
            <w:vAlign w:val="center"/>
          </w:tcPr>
          <w:p w14:paraId="72A0218C"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70%</w:t>
            </w:r>
          </w:p>
        </w:tc>
        <w:tc>
          <w:tcPr>
            <w:tcW w:w="364" w:type="pct"/>
            <w:shd w:val="clear" w:color="000000" w:fill="FFFFFF"/>
            <w:vAlign w:val="center"/>
          </w:tcPr>
          <w:p w14:paraId="0433ED93"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90%</w:t>
            </w:r>
          </w:p>
        </w:tc>
        <w:tc>
          <w:tcPr>
            <w:tcW w:w="358" w:type="pct"/>
            <w:shd w:val="clear" w:color="000000" w:fill="FFFFFF"/>
            <w:vAlign w:val="center"/>
          </w:tcPr>
          <w:p w14:paraId="572DE1AA"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D73F09" w:rsidRPr="00B0658A" w14:paraId="2B9FC16A" w14:textId="77777777" w:rsidTr="00FE71B1">
        <w:trPr>
          <w:trHeight w:val="20"/>
        </w:trPr>
        <w:tc>
          <w:tcPr>
            <w:tcW w:w="283" w:type="pct"/>
            <w:shd w:val="clear" w:color="000000" w:fill="FFFFFF"/>
            <w:vAlign w:val="center"/>
          </w:tcPr>
          <w:p w14:paraId="5AB8216A" w14:textId="77777777" w:rsidR="00766F9E" w:rsidRPr="00B0658A" w:rsidRDefault="00766F9E" w:rsidP="00FE71B1">
            <w:pPr>
              <w:spacing w:after="0" w:line="240" w:lineRule="auto"/>
              <w:jc w:val="center"/>
              <w:rPr>
                <w:rFonts w:ascii="Times New Roman" w:hAnsi="Times New Roman"/>
                <w:sz w:val="18"/>
                <w:szCs w:val="18"/>
              </w:rPr>
            </w:pPr>
            <w:r w:rsidRPr="00B0658A">
              <w:rPr>
                <w:rFonts w:ascii="Times New Roman" w:hAnsi="Times New Roman"/>
                <w:sz w:val="18"/>
                <w:szCs w:val="18"/>
              </w:rPr>
              <w:t>9.1</w:t>
            </w:r>
          </w:p>
        </w:tc>
        <w:tc>
          <w:tcPr>
            <w:tcW w:w="1138" w:type="pct"/>
            <w:shd w:val="clear" w:color="auto" w:fill="auto"/>
            <w:vAlign w:val="center"/>
          </w:tcPr>
          <w:p w14:paraId="64E6CC4D" w14:textId="77777777" w:rsidR="00766F9E" w:rsidRPr="00B0658A" w:rsidRDefault="00766F9E" w:rsidP="00766F9E">
            <w:pPr>
              <w:spacing w:after="0" w:line="240" w:lineRule="auto"/>
              <w:rPr>
                <w:rFonts w:ascii="Times New Roman" w:hAnsi="Times New Roman"/>
                <w:sz w:val="18"/>
                <w:szCs w:val="18"/>
              </w:rPr>
            </w:pPr>
            <w:r w:rsidRPr="00B0658A">
              <w:rPr>
                <w:rFonts w:ascii="Times New Roman" w:hAnsi="Times New Roman"/>
                <w:sz w:val="18"/>
                <w:szCs w:val="18"/>
              </w:rPr>
              <w:t>Средства управления процессами организации / Средства управления бизнес-процессами (BPM)</w:t>
            </w:r>
          </w:p>
        </w:tc>
        <w:tc>
          <w:tcPr>
            <w:tcW w:w="1026" w:type="pct"/>
            <w:shd w:val="clear" w:color="000000" w:fill="FFFFFF"/>
          </w:tcPr>
          <w:p w14:paraId="05389C4A" w14:textId="77777777" w:rsidR="00766F9E" w:rsidRPr="00B0658A" w:rsidRDefault="00766F9E" w:rsidP="00766F9E">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3" w:type="pct"/>
            <w:shd w:val="clear" w:color="000000" w:fill="FFFFFF"/>
            <w:vAlign w:val="center"/>
          </w:tcPr>
          <w:p w14:paraId="67D06F17"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25%</w:t>
            </w:r>
          </w:p>
        </w:tc>
        <w:tc>
          <w:tcPr>
            <w:tcW w:w="364" w:type="pct"/>
            <w:shd w:val="clear" w:color="000000" w:fill="FFFFFF"/>
            <w:vAlign w:val="center"/>
          </w:tcPr>
          <w:p w14:paraId="4242A5A3"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35%</w:t>
            </w:r>
          </w:p>
        </w:tc>
        <w:tc>
          <w:tcPr>
            <w:tcW w:w="364" w:type="pct"/>
            <w:shd w:val="clear" w:color="000000" w:fill="FFFFFF"/>
            <w:vAlign w:val="center"/>
          </w:tcPr>
          <w:p w14:paraId="11D947B8"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50%</w:t>
            </w:r>
          </w:p>
        </w:tc>
        <w:tc>
          <w:tcPr>
            <w:tcW w:w="376" w:type="pct"/>
            <w:shd w:val="clear" w:color="000000" w:fill="FFFFFF"/>
            <w:vAlign w:val="center"/>
          </w:tcPr>
          <w:p w14:paraId="57A107BA"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4" w:type="pct"/>
            <w:shd w:val="clear" w:color="000000" w:fill="FFFFFF"/>
            <w:vAlign w:val="center"/>
          </w:tcPr>
          <w:p w14:paraId="57B25903"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75%</w:t>
            </w:r>
          </w:p>
        </w:tc>
        <w:tc>
          <w:tcPr>
            <w:tcW w:w="364" w:type="pct"/>
            <w:shd w:val="clear" w:color="000000" w:fill="FFFFFF"/>
            <w:vAlign w:val="center"/>
          </w:tcPr>
          <w:p w14:paraId="700DBE40"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85%</w:t>
            </w:r>
          </w:p>
        </w:tc>
        <w:tc>
          <w:tcPr>
            <w:tcW w:w="358" w:type="pct"/>
            <w:shd w:val="clear" w:color="000000" w:fill="FFFFFF"/>
            <w:vAlign w:val="center"/>
          </w:tcPr>
          <w:p w14:paraId="5A48883F"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D73F09" w:rsidRPr="00B0658A" w14:paraId="7009654E" w14:textId="77777777" w:rsidTr="00FE71B1">
        <w:trPr>
          <w:trHeight w:val="20"/>
        </w:trPr>
        <w:tc>
          <w:tcPr>
            <w:tcW w:w="283" w:type="pct"/>
            <w:shd w:val="clear" w:color="000000" w:fill="FFFFFF"/>
            <w:vAlign w:val="center"/>
          </w:tcPr>
          <w:p w14:paraId="2ACBC1E5" w14:textId="77777777" w:rsidR="00766F9E" w:rsidRPr="00B0658A" w:rsidRDefault="00766F9E" w:rsidP="00FE71B1">
            <w:pPr>
              <w:spacing w:after="0" w:line="240" w:lineRule="auto"/>
              <w:jc w:val="center"/>
              <w:rPr>
                <w:rFonts w:ascii="Times New Roman" w:hAnsi="Times New Roman"/>
                <w:sz w:val="18"/>
                <w:szCs w:val="18"/>
              </w:rPr>
            </w:pPr>
            <w:r w:rsidRPr="00B0658A">
              <w:rPr>
                <w:rFonts w:ascii="Times New Roman" w:hAnsi="Times New Roman"/>
                <w:sz w:val="18"/>
                <w:szCs w:val="18"/>
              </w:rPr>
              <w:t>9.2</w:t>
            </w:r>
          </w:p>
        </w:tc>
        <w:tc>
          <w:tcPr>
            <w:tcW w:w="1138" w:type="pct"/>
            <w:shd w:val="clear" w:color="auto" w:fill="auto"/>
            <w:vAlign w:val="center"/>
          </w:tcPr>
          <w:p w14:paraId="65DA457B" w14:textId="77777777" w:rsidR="00766F9E" w:rsidRPr="00B0658A" w:rsidRDefault="00766F9E" w:rsidP="00766F9E">
            <w:pPr>
              <w:spacing w:after="0" w:line="240" w:lineRule="auto"/>
              <w:rPr>
                <w:rFonts w:ascii="Times New Roman" w:hAnsi="Times New Roman"/>
                <w:sz w:val="18"/>
                <w:szCs w:val="18"/>
              </w:rPr>
            </w:pPr>
            <w:r w:rsidRPr="00B0658A">
              <w:rPr>
                <w:rFonts w:ascii="Times New Roman" w:hAnsi="Times New Roman"/>
                <w:sz w:val="18"/>
                <w:szCs w:val="18"/>
              </w:rPr>
              <w:t>Средства управления процессами организации/ Средства управления производственными процессами (MES)</w:t>
            </w:r>
          </w:p>
        </w:tc>
        <w:tc>
          <w:tcPr>
            <w:tcW w:w="1026" w:type="pct"/>
            <w:shd w:val="clear" w:color="000000" w:fill="FFFFFF"/>
          </w:tcPr>
          <w:p w14:paraId="01A870FB" w14:textId="77777777" w:rsidR="00766F9E" w:rsidRPr="00B0658A" w:rsidRDefault="00766F9E" w:rsidP="00766F9E">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3" w:type="pct"/>
            <w:shd w:val="clear" w:color="000000" w:fill="FFFFFF"/>
            <w:vAlign w:val="center"/>
          </w:tcPr>
          <w:p w14:paraId="3602F2E0"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25%</w:t>
            </w:r>
          </w:p>
        </w:tc>
        <w:tc>
          <w:tcPr>
            <w:tcW w:w="364" w:type="pct"/>
            <w:shd w:val="clear" w:color="000000" w:fill="FFFFFF"/>
            <w:vAlign w:val="center"/>
          </w:tcPr>
          <w:p w14:paraId="2A2C3CDD"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35%</w:t>
            </w:r>
          </w:p>
        </w:tc>
        <w:tc>
          <w:tcPr>
            <w:tcW w:w="364" w:type="pct"/>
            <w:shd w:val="clear" w:color="000000" w:fill="FFFFFF"/>
            <w:vAlign w:val="center"/>
          </w:tcPr>
          <w:p w14:paraId="7E27C625"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50%</w:t>
            </w:r>
          </w:p>
        </w:tc>
        <w:tc>
          <w:tcPr>
            <w:tcW w:w="376" w:type="pct"/>
            <w:shd w:val="clear" w:color="000000" w:fill="FFFFFF"/>
            <w:vAlign w:val="center"/>
          </w:tcPr>
          <w:p w14:paraId="56E96DCE"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4" w:type="pct"/>
            <w:shd w:val="clear" w:color="000000" w:fill="FFFFFF"/>
            <w:vAlign w:val="center"/>
          </w:tcPr>
          <w:p w14:paraId="5426551F"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75%</w:t>
            </w:r>
          </w:p>
        </w:tc>
        <w:tc>
          <w:tcPr>
            <w:tcW w:w="364" w:type="pct"/>
            <w:shd w:val="clear" w:color="000000" w:fill="FFFFFF"/>
            <w:vAlign w:val="center"/>
          </w:tcPr>
          <w:p w14:paraId="5D9C6592"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85%</w:t>
            </w:r>
          </w:p>
        </w:tc>
        <w:tc>
          <w:tcPr>
            <w:tcW w:w="358" w:type="pct"/>
            <w:shd w:val="clear" w:color="000000" w:fill="FFFFFF"/>
            <w:vAlign w:val="center"/>
          </w:tcPr>
          <w:p w14:paraId="53F16DAD"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D73F09" w:rsidRPr="00B0658A" w14:paraId="56709CF4" w14:textId="77777777" w:rsidTr="00FE71B1">
        <w:trPr>
          <w:trHeight w:val="20"/>
        </w:trPr>
        <w:tc>
          <w:tcPr>
            <w:tcW w:w="283" w:type="pct"/>
            <w:shd w:val="clear" w:color="000000" w:fill="FFFFFF"/>
            <w:vAlign w:val="center"/>
          </w:tcPr>
          <w:p w14:paraId="33804AE9" w14:textId="77777777" w:rsidR="00766F9E" w:rsidRPr="00B0658A" w:rsidRDefault="00766F9E" w:rsidP="00FE71B1">
            <w:pPr>
              <w:spacing w:after="0" w:line="240" w:lineRule="auto"/>
              <w:jc w:val="center"/>
              <w:rPr>
                <w:rFonts w:ascii="Times New Roman" w:hAnsi="Times New Roman"/>
                <w:sz w:val="18"/>
                <w:szCs w:val="18"/>
              </w:rPr>
            </w:pPr>
            <w:r w:rsidRPr="00B0658A">
              <w:rPr>
                <w:rFonts w:ascii="Times New Roman" w:hAnsi="Times New Roman"/>
                <w:sz w:val="18"/>
                <w:szCs w:val="18"/>
              </w:rPr>
              <w:t>9.3</w:t>
            </w:r>
          </w:p>
        </w:tc>
        <w:tc>
          <w:tcPr>
            <w:tcW w:w="1138" w:type="pct"/>
            <w:shd w:val="clear" w:color="auto" w:fill="auto"/>
            <w:vAlign w:val="center"/>
          </w:tcPr>
          <w:p w14:paraId="5BC6A3EF" w14:textId="77777777" w:rsidR="00766F9E" w:rsidRPr="00B0658A" w:rsidRDefault="00766F9E" w:rsidP="00766F9E">
            <w:pPr>
              <w:spacing w:after="0" w:line="240" w:lineRule="auto"/>
              <w:rPr>
                <w:rFonts w:ascii="Times New Roman" w:hAnsi="Times New Roman"/>
                <w:sz w:val="18"/>
                <w:szCs w:val="18"/>
              </w:rPr>
            </w:pPr>
            <w:r w:rsidRPr="00B0658A">
              <w:rPr>
                <w:rFonts w:ascii="Times New Roman" w:hAnsi="Times New Roman"/>
                <w:sz w:val="18"/>
                <w:szCs w:val="18"/>
              </w:rPr>
              <w:t>Средства управления процессами организации / Средства управления лабораторными потоками работ и документов (LIMS)</w:t>
            </w:r>
          </w:p>
        </w:tc>
        <w:tc>
          <w:tcPr>
            <w:tcW w:w="1026" w:type="pct"/>
            <w:shd w:val="clear" w:color="000000" w:fill="FFFFFF"/>
          </w:tcPr>
          <w:p w14:paraId="6E8BF91D" w14:textId="77777777" w:rsidR="00766F9E" w:rsidRPr="00B0658A" w:rsidRDefault="00766F9E" w:rsidP="00766F9E">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3" w:type="pct"/>
            <w:shd w:val="clear" w:color="000000" w:fill="FFFFFF"/>
            <w:vAlign w:val="center"/>
          </w:tcPr>
          <w:p w14:paraId="0AE0BFF4"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25%</w:t>
            </w:r>
          </w:p>
        </w:tc>
        <w:tc>
          <w:tcPr>
            <w:tcW w:w="364" w:type="pct"/>
            <w:shd w:val="clear" w:color="000000" w:fill="FFFFFF"/>
            <w:vAlign w:val="center"/>
          </w:tcPr>
          <w:p w14:paraId="6B30B533"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35%</w:t>
            </w:r>
          </w:p>
        </w:tc>
        <w:tc>
          <w:tcPr>
            <w:tcW w:w="364" w:type="pct"/>
            <w:shd w:val="clear" w:color="000000" w:fill="FFFFFF"/>
            <w:vAlign w:val="center"/>
          </w:tcPr>
          <w:p w14:paraId="46A46342"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50%</w:t>
            </w:r>
          </w:p>
        </w:tc>
        <w:tc>
          <w:tcPr>
            <w:tcW w:w="376" w:type="pct"/>
            <w:shd w:val="clear" w:color="000000" w:fill="FFFFFF"/>
            <w:vAlign w:val="center"/>
          </w:tcPr>
          <w:p w14:paraId="2B80AD06"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4" w:type="pct"/>
            <w:shd w:val="clear" w:color="000000" w:fill="FFFFFF"/>
            <w:vAlign w:val="center"/>
          </w:tcPr>
          <w:p w14:paraId="027A950D"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75%</w:t>
            </w:r>
          </w:p>
        </w:tc>
        <w:tc>
          <w:tcPr>
            <w:tcW w:w="364" w:type="pct"/>
            <w:shd w:val="clear" w:color="000000" w:fill="FFFFFF"/>
            <w:vAlign w:val="center"/>
          </w:tcPr>
          <w:p w14:paraId="33B4CD58"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85%</w:t>
            </w:r>
          </w:p>
        </w:tc>
        <w:tc>
          <w:tcPr>
            <w:tcW w:w="358" w:type="pct"/>
            <w:shd w:val="clear" w:color="000000" w:fill="FFFFFF"/>
            <w:vAlign w:val="center"/>
          </w:tcPr>
          <w:p w14:paraId="3A367699"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D73F09" w:rsidRPr="00B0658A" w14:paraId="55275B6B" w14:textId="77777777" w:rsidTr="00FE71B1">
        <w:trPr>
          <w:trHeight w:val="20"/>
        </w:trPr>
        <w:tc>
          <w:tcPr>
            <w:tcW w:w="283" w:type="pct"/>
            <w:shd w:val="clear" w:color="000000" w:fill="FFFFFF"/>
            <w:vAlign w:val="center"/>
          </w:tcPr>
          <w:p w14:paraId="39422085" w14:textId="77777777" w:rsidR="00766F9E" w:rsidRPr="00B0658A" w:rsidRDefault="00766F9E" w:rsidP="00FE71B1">
            <w:pPr>
              <w:spacing w:after="0" w:line="240" w:lineRule="auto"/>
              <w:jc w:val="center"/>
              <w:rPr>
                <w:rFonts w:ascii="Times New Roman" w:hAnsi="Times New Roman"/>
                <w:sz w:val="18"/>
                <w:szCs w:val="18"/>
              </w:rPr>
            </w:pPr>
            <w:r w:rsidRPr="00B0658A">
              <w:rPr>
                <w:rFonts w:ascii="Times New Roman" w:hAnsi="Times New Roman"/>
                <w:sz w:val="18"/>
                <w:szCs w:val="18"/>
              </w:rPr>
              <w:t>9.4</w:t>
            </w:r>
          </w:p>
        </w:tc>
        <w:tc>
          <w:tcPr>
            <w:tcW w:w="1138" w:type="pct"/>
            <w:shd w:val="clear" w:color="auto" w:fill="auto"/>
            <w:vAlign w:val="center"/>
          </w:tcPr>
          <w:p w14:paraId="38E66D07" w14:textId="77777777" w:rsidR="00766F9E" w:rsidRPr="00B0658A" w:rsidRDefault="00766F9E" w:rsidP="00766F9E">
            <w:pPr>
              <w:spacing w:after="0" w:line="240" w:lineRule="auto"/>
              <w:rPr>
                <w:rFonts w:ascii="Times New Roman" w:hAnsi="Times New Roman"/>
                <w:sz w:val="18"/>
                <w:szCs w:val="18"/>
              </w:rPr>
            </w:pPr>
            <w:r w:rsidRPr="00B0658A">
              <w:rPr>
                <w:rFonts w:ascii="Times New Roman" w:hAnsi="Times New Roman"/>
                <w:sz w:val="18"/>
                <w:szCs w:val="18"/>
              </w:rPr>
              <w:t>Средства управления процессами организации/ Средства управления технологическими процессами (АСУ ТП, SCADA)</w:t>
            </w:r>
          </w:p>
        </w:tc>
        <w:tc>
          <w:tcPr>
            <w:tcW w:w="1026" w:type="pct"/>
            <w:shd w:val="clear" w:color="000000" w:fill="FFFFFF"/>
          </w:tcPr>
          <w:p w14:paraId="7AF16FCB" w14:textId="77777777" w:rsidR="00766F9E" w:rsidRPr="00B0658A" w:rsidRDefault="00766F9E" w:rsidP="00766F9E">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3" w:type="pct"/>
            <w:shd w:val="clear" w:color="000000" w:fill="FFFFFF"/>
            <w:vAlign w:val="center"/>
          </w:tcPr>
          <w:p w14:paraId="1B5ABF2D"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25%</w:t>
            </w:r>
          </w:p>
        </w:tc>
        <w:tc>
          <w:tcPr>
            <w:tcW w:w="364" w:type="pct"/>
            <w:shd w:val="clear" w:color="000000" w:fill="FFFFFF"/>
            <w:vAlign w:val="center"/>
          </w:tcPr>
          <w:p w14:paraId="0364E1B7"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35%</w:t>
            </w:r>
          </w:p>
        </w:tc>
        <w:tc>
          <w:tcPr>
            <w:tcW w:w="364" w:type="pct"/>
            <w:shd w:val="clear" w:color="000000" w:fill="FFFFFF"/>
            <w:vAlign w:val="center"/>
          </w:tcPr>
          <w:p w14:paraId="5033DE14"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50%</w:t>
            </w:r>
          </w:p>
        </w:tc>
        <w:tc>
          <w:tcPr>
            <w:tcW w:w="376" w:type="pct"/>
            <w:shd w:val="clear" w:color="000000" w:fill="FFFFFF"/>
            <w:vAlign w:val="center"/>
          </w:tcPr>
          <w:p w14:paraId="70DB92BC"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4" w:type="pct"/>
            <w:shd w:val="clear" w:color="000000" w:fill="FFFFFF"/>
            <w:vAlign w:val="center"/>
          </w:tcPr>
          <w:p w14:paraId="32991E99"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75%</w:t>
            </w:r>
          </w:p>
        </w:tc>
        <w:tc>
          <w:tcPr>
            <w:tcW w:w="364" w:type="pct"/>
            <w:shd w:val="clear" w:color="000000" w:fill="FFFFFF"/>
            <w:vAlign w:val="center"/>
          </w:tcPr>
          <w:p w14:paraId="3737A76D"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85%</w:t>
            </w:r>
          </w:p>
        </w:tc>
        <w:tc>
          <w:tcPr>
            <w:tcW w:w="358" w:type="pct"/>
            <w:shd w:val="clear" w:color="000000" w:fill="FFFFFF"/>
            <w:vAlign w:val="center"/>
          </w:tcPr>
          <w:p w14:paraId="6D1EE440"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D73F09" w:rsidRPr="00B0658A" w14:paraId="221F5CD2" w14:textId="77777777" w:rsidTr="00FE71B1">
        <w:trPr>
          <w:trHeight w:val="20"/>
        </w:trPr>
        <w:tc>
          <w:tcPr>
            <w:tcW w:w="283" w:type="pct"/>
            <w:shd w:val="clear" w:color="000000" w:fill="FFFFFF"/>
            <w:vAlign w:val="center"/>
          </w:tcPr>
          <w:p w14:paraId="61EAEE90" w14:textId="77777777" w:rsidR="00766F9E" w:rsidRPr="00B0658A" w:rsidRDefault="00766F9E" w:rsidP="00FE71B1">
            <w:pPr>
              <w:spacing w:after="0" w:line="240" w:lineRule="auto"/>
              <w:jc w:val="center"/>
              <w:rPr>
                <w:rFonts w:ascii="Times New Roman" w:hAnsi="Times New Roman"/>
                <w:sz w:val="18"/>
                <w:szCs w:val="18"/>
              </w:rPr>
            </w:pPr>
            <w:r w:rsidRPr="00B0658A">
              <w:rPr>
                <w:rFonts w:ascii="Times New Roman" w:hAnsi="Times New Roman"/>
                <w:sz w:val="18"/>
                <w:szCs w:val="18"/>
              </w:rPr>
              <w:t>9.5</w:t>
            </w:r>
          </w:p>
        </w:tc>
        <w:tc>
          <w:tcPr>
            <w:tcW w:w="1138" w:type="pct"/>
            <w:shd w:val="clear" w:color="auto" w:fill="auto"/>
            <w:vAlign w:val="center"/>
          </w:tcPr>
          <w:p w14:paraId="0CCEEA39" w14:textId="77777777" w:rsidR="00766F9E" w:rsidRPr="00B0658A" w:rsidRDefault="00766F9E" w:rsidP="00766F9E">
            <w:pPr>
              <w:spacing w:after="0" w:line="240" w:lineRule="auto"/>
              <w:rPr>
                <w:rFonts w:ascii="Times New Roman" w:hAnsi="Times New Roman"/>
                <w:sz w:val="18"/>
                <w:szCs w:val="18"/>
              </w:rPr>
            </w:pPr>
            <w:r w:rsidRPr="00B0658A">
              <w:rPr>
                <w:rFonts w:ascii="Times New Roman" w:hAnsi="Times New Roman"/>
                <w:sz w:val="18"/>
                <w:szCs w:val="18"/>
              </w:rPr>
              <w:t>Средства управления процессами организации/ Средства управления эффективностью предприятия (CPM/EPM)</w:t>
            </w:r>
          </w:p>
        </w:tc>
        <w:tc>
          <w:tcPr>
            <w:tcW w:w="1026" w:type="pct"/>
            <w:shd w:val="clear" w:color="000000" w:fill="FFFFFF"/>
          </w:tcPr>
          <w:p w14:paraId="78FC535C" w14:textId="77777777" w:rsidR="00766F9E" w:rsidRPr="00B0658A" w:rsidRDefault="00766F9E" w:rsidP="00766F9E">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3" w:type="pct"/>
            <w:shd w:val="clear" w:color="000000" w:fill="FFFFFF"/>
            <w:vAlign w:val="center"/>
          </w:tcPr>
          <w:p w14:paraId="0316FBA5"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35%</w:t>
            </w:r>
          </w:p>
        </w:tc>
        <w:tc>
          <w:tcPr>
            <w:tcW w:w="364" w:type="pct"/>
            <w:shd w:val="clear" w:color="000000" w:fill="FFFFFF"/>
            <w:vAlign w:val="center"/>
          </w:tcPr>
          <w:p w14:paraId="23C088F0"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45%</w:t>
            </w:r>
          </w:p>
        </w:tc>
        <w:tc>
          <w:tcPr>
            <w:tcW w:w="364" w:type="pct"/>
            <w:shd w:val="clear" w:color="000000" w:fill="FFFFFF"/>
            <w:vAlign w:val="center"/>
          </w:tcPr>
          <w:p w14:paraId="2C52282C"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55%</w:t>
            </w:r>
          </w:p>
        </w:tc>
        <w:tc>
          <w:tcPr>
            <w:tcW w:w="376" w:type="pct"/>
            <w:shd w:val="clear" w:color="000000" w:fill="FFFFFF"/>
            <w:vAlign w:val="center"/>
          </w:tcPr>
          <w:p w14:paraId="66DBE750"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4" w:type="pct"/>
            <w:shd w:val="clear" w:color="000000" w:fill="FFFFFF"/>
            <w:vAlign w:val="center"/>
          </w:tcPr>
          <w:p w14:paraId="1D45E545"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70%</w:t>
            </w:r>
          </w:p>
        </w:tc>
        <w:tc>
          <w:tcPr>
            <w:tcW w:w="364" w:type="pct"/>
            <w:shd w:val="clear" w:color="000000" w:fill="FFFFFF"/>
            <w:vAlign w:val="center"/>
          </w:tcPr>
          <w:p w14:paraId="1D794F8D"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90%</w:t>
            </w:r>
          </w:p>
        </w:tc>
        <w:tc>
          <w:tcPr>
            <w:tcW w:w="358" w:type="pct"/>
            <w:shd w:val="clear" w:color="000000" w:fill="FFFFFF"/>
            <w:vAlign w:val="center"/>
          </w:tcPr>
          <w:p w14:paraId="51ED92A3"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D73F09" w:rsidRPr="00B0658A" w14:paraId="28CEFA1E" w14:textId="77777777" w:rsidTr="00FE71B1">
        <w:trPr>
          <w:trHeight w:val="20"/>
        </w:trPr>
        <w:tc>
          <w:tcPr>
            <w:tcW w:w="283" w:type="pct"/>
            <w:shd w:val="clear" w:color="000000" w:fill="FFFFFF"/>
            <w:vAlign w:val="center"/>
          </w:tcPr>
          <w:p w14:paraId="2838A375" w14:textId="77777777" w:rsidR="00766F9E" w:rsidRPr="00B0658A" w:rsidRDefault="00766F9E" w:rsidP="00FE71B1">
            <w:pPr>
              <w:spacing w:after="0" w:line="240" w:lineRule="auto"/>
              <w:jc w:val="center"/>
              <w:rPr>
                <w:rFonts w:ascii="Times New Roman" w:hAnsi="Times New Roman"/>
                <w:sz w:val="18"/>
                <w:szCs w:val="18"/>
              </w:rPr>
            </w:pPr>
            <w:r w:rsidRPr="00B0658A">
              <w:rPr>
                <w:rFonts w:ascii="Times New Roman" w:hAnsi="Times New Roman"/>
                <w:sz w:val="18"/>
                <w:szCs w:val="18"/>
              </w:rPr>
              <w:t>9.6</w:t>
            </w:r>
          </w:p>
        </w:tc>
        <w:tc>
          <w:tcPr>
            <w:tcW w:w="1138" w:type="pct"/>
            <w:shd w:val="clear" w:color="auto" w:fill="auto"/>
            <w:vAlign w:val="center"/>
          </w:tcPr>
          <w:p w14:paraId="1FE377B4" w14:textId="77777777" w:rsidR="00766F9E" w:rsidRPr="00B0658A" w:rsidRDefault="00766F9E" w:rsidP="00766F9E">
            <w:pPr>
              <w:spacing w:after="0" w:line="240" w:lineRule="auto"/>
              <w:rPr>
                <w:rFonts w:ascii="Times New Roman" w:hAnsi="Times New Roman"/>
                <w:sz w:val="18"/>
                <w:szCs w:val="18"/>
              </w:rPr>
            </w:pPr>
            <w:r w:rsidRPr="00B0658A">
              <w:rPr>
                <w:rFonts w:ascii="Times New Roman" w:hAnsi="Times New Roman"/>
                <w:sz w:val="18"/>
                <w:szCs w:val="18"/>
              </w:rPr>
              <w:t>Средства управления процессами организации/ Средства управления основными фондами предприятия (EAM)</w:t>
            </w:r>
          </w:p>
        </w:tc>
        <w:tc>
          <w:tcPr>
            <w:tcW w:w="1026" w:type="pct"/>
            <w:shd w:val="clear" w:color="000000" w:fill="FFFFFF"/>
          </w:tcPr>
          <w:p w14:paraId="7473F0B4" w14:textId="77777777" w:rsidR="00766F9E" w:rsidRPr="00B0658A" w:rsidRDefault="00766F9E" w:rsidP="00766F9E">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3" w:type="pct"/>
            <w:shd w:val="clear" w:color="000000" w:fill="FFFFFF"/>
            <w:vAlign w:val="center"/>
          </w:tcPr>
          <w:p w14:paraId="1EE63210"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30%</w:t>
            </w:r>
          </w:p>
        </w:tc>
        <w:tc>
          <w:tcPr>
            <w:tcW w:w="364" w:type="pct"/>
            <w:shd w:val="clear" w:color="000000" w:fill="FFFFFF"/>
            <w:vAlign w:val="center"/>
          </w:tcPr>
          <w:p w14:paraId="001B4F48"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45%</w:t>
            </w:r>
          </w:p>
        </w:tc>
        <w:tc>
          <w:tcPr>
            <w:tcW w:w="364" w:type="pct"/>
            <w:shd w:val="clear" w:color="000000" w:fill="FFFFFF"/>
            <w:vAlign w:val="center"/>
          </w:tcPr>
          <w:p w14:paraId="32BD2ADD"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55%</w:t>
            </w:r>
          </w:p>
        </w:tc>
        <w:tc>
          <w:tcPr>
            <w:tcW w:w="376" w:type="pct"/>
            <w:shd w:val="clear" w:color="000000" w:fill="FFFFFF"/>
            <w:vAlign w:val="center"/>
          </w:tcPr>
          <w:p w14:paraId="1E22327C"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4" w:type="pct"/>
            <w:shd w:val="clear" w:color="000000" w:fill="FFFFFF"/>
            <w:vAlign w:val="center"/>
          </w:tcPr>
          <w:p w14:paraId="20F78AE0"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75%</w:t>
            </w:r>
          </w:p>
        </w:tc>
        <w:tc>
          <w:tcPr>
            <w:tcW w:w="364" w:type="pct"/>
            <w:shd w:val="clear" w:color="000000" w:fill="FFFFFF"/>
            <w:vAlign w:val="center"/>
          </w:tcPr>
          <w:p w14:paraId="53978652"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90%</w:t>
            </w:r>
          </w:p>
        </w:tc>
        <w:tc>
          <w:tcPr>
            <w:tcW w:w="358" w:type="pct"/>
            <w:shd w:val="clear" w:color="000000" w:fill="FFFFFF"/>
            <w:vAlign w:val="center"/>
          </w:tcPr>
          <w:p w14:paraId="7708D48C"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D73F09" w:rsidRPr="00B0658A" w14:paraId="109DDD02" w14:textId="77777777" w:rsidTr="00FE71B1">
        <w:trPr>
          <w:trHeight w:val="20"/>
        </w:trPr>
        <w:tc>
          <w:tcPr>
            <w:tcW w:w="283" w:type="pct"/>
            <w:shd w:val="clear" w:color="000000" w:fill="FFFFFF"/>
            <w:vAlign w:val="center"/>
          </w:tcPr>
          <w:p w14:paraId="275E2319" w14:textId="77777777" w:rsidR="00766F9E" w:rsidRPr="00B0658A" w:rsidRDefault="00766F9E" w:rsidP="00FE71B1">
            <w:pPr>
              <w:spacing w:after="0" w:line="240" w:lineRule="auto"/>
              <w:jc w:val="center"/>
              <w:rPr>
                <w:rFonts w:ascii="Times New Roman" w:hAnsi="Times New Roman"/>
                <w:sz w:val="18"/>
                <w:szCs w:val="18"/>
              </w:rPr>
            </w:pPr>
            <w:r w:rsidRPr="00B0658A">
              <w:rPr>
                <w:rFonts w:ascii="Times New Roman" w:hAnsi="Times New Roman"/>
                <w:sz w:val="18"/>
                <w:szCs w:val="18"/>
              </w:rPr>
              <w:t>9.7</w:t>
            </w:r>
          </w:p>
        </w:tc>
        <w:tc>
          <w:tcPr>
            <w:tcW w:w="1138" w:type="pct"/>
            <w:shd w:val="clear" w:color="auto" w:fill="auto"/>
            <w:vAlign w:val="center"/>
          </w:tcPr>
          <w:p w14:paraId="61753386" w14:textId="77777777" w:rsidR="00766F9E" w:rsidRPr="00B0658A" w:rsidRDefault="00766F9E" w:rsidP="00766F9E">
            <w:pPr>
              <w:spacing w:after="0" w:line="240" w:lineRule="auto"/>
              <w:rPr>
                <w:rFonts w:ascii="Times New Roman" w:hAnsi="Times New Roman"/>
                <w:sz w:val="18"/>
                <w:szCs w:val="18"/>
              </w:rPr>
            </w:pPr>
            <w:r w:rsidRPr="00B0658A">
              <w:rPr>
                <w:rFonts w:ascii="Times New Roman" w:hAnsi="Times New Roman"/>
                <w:sz w:val="18"/>
                <w:szCs w:val="18"/>
              </w:rPr>
              <w:t>Средства управления процессами организации/ Средства финансового менеджмента, управления активами и трудовыми ресурсами (ERP)</w:t>
            </w:r>
          </w:p>
        </w:tc>
        <w:tc>
          <w:tcPr>
            <w:tcW w:w="1026" w:type="pct"/>
            <w:shd w:val="clear" w:color="000000" w:fill="FFFFFF"/>
          </w:tcPr>
          <w:p w14:paraId="6846736B" w14:textId="77777777" w:rsidR="00766F9E" w:rsidRPr="00B0658A" w:rsidRDefault="00766F9E" w:rsidP="00766F9E">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3" w:type="pct"/>
            <w:shd w:val="clear" w:color="000000" w:fill="FFFFFF"/>
            <w:vAlign w:val="center"/>
          </w:tcPr>
          <w:p w14:paraId="71C6C49B"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30%</w:t>
            </w:r>
          </w:p>
        </w:tc>
        <w:tc>
          <w:tcPr>
            <w:tcW w:w="364" w:type="pct"/>
            <w:shd w:val="clear" w:color="000000" w:fill="FFFFFF"/>
            <w:vAlign w:val="center"/>
          </w:tcPr>
          <w:p w14:paraId="71716E5C"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45%</w:t>
            </w:r>
          </w:p>
        </w:tc>
        <w:tc>
          <w:tcPr>
            <w:tcW w:w="364" w:type="pct"/>
            <w:shd w:val="clear" w:color="000000" w:fill="FFFFFF"/>
            <w:vAlign w:val="center"/>
          </w:tcPr>
          <w:p w14:paraId="27A3A999"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60%</w:t>
            </w:r>
          </w:p>
        </w:tc>
        <w:tc>
          <w:tcPr>
            <w:tcW w:w="376" w:type="pct"/>
            <w:shd w:val="clear" w:color="000000" w:fill="FFFFFF"/>
            <w:vAlign w:val="center"/>
          </w:tcPr>
          <w:p w14:paraId="4CAE14E5"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4" w:type="pct"/>
            <w:shd w:val="clear" w:color="000000" w:fill="FFFFFF"/>
            <w:vAlign w:val="center"/>
          </w:tcPr>
          <w:p w14:paraId="4D646584"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75%</w:t>
            </w:r>
          </w:p>
        </w:tc>
        <w:tc>
          <w:tcPr>
            <w:tcW w:w="364" w:type="pct"/>
            <w:shd w:val="clear" w:color="000000" w:fill="FFFFFF"/>
            <w:vAlign w:val="center"/>
          </w:tcPr>
          <w:p w14:paraId="1F974801"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90%</w:t>
            </w:r>
          </w:p>
        </w:tc>
        <w:tc>
          <w:tcPr>
            <w:tcW w:w="358" w:type="pct"/>
            <w:shd w:val="clear" w:color="000000" w:fill="FFFFFF"/>
            <w:vAlign w:val="center"/>
          </w:tcPr>
          <w:p w14:paraId="09B21A0B"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D73F09" w:rsidRPr="00B0658A" w14:paraId="52547B14" w14:textId="77777777" w:rsidTr="00FE71B1">
        <w:trPr>
          <w:trHeight w:val="20"/>
        </w:trPr>
        <w:tc>
          <w:tcPr>
            <w:tcW w:w="283" w:type="pct"/>
            <w:shd w:val="clear" w:color="000000" w:fill="FFFFFF"/>
            <w:vAlign w:val="center"/>
          </w:tcPr>
          <w:p w14:paraId="1334545F" w14:textId="77777777" w:rsidR="00766F9E" w:rsidRPr="00B0658A" w:rsidRDefault="00766F9E" w:rsidP="00FE71B1">
            <w:pPr>
              <w:spacing w:after="0" w:line="240" w:lineRule="auto"/>
              <w:jc w:val="center"/>
              <w:rPr>
                <w:rFonts w:ascii="Times New Roman" w:hAnsi="Times New Roman"/>
                <w:sz w:val="18"/>
                <w:szCs w:val="18"/>
              </w:rPr>
            </w:pPr>
            <w:r w:rsidRPr="00B0658A">
              <w:rPr>
                <w:rFonts w:ascii="Times New Roman" w:hAnsi="Times New Roman"/>
                <w:sz w:val="18"/>
                <w:szCs w:val="18"/>
              </w:rPr>
              <w:t>9.9</w:t>
            </w:r>
          </w:p>
        </w:tc>
        <w:tc>
          <w:tcPr>
            <w:tcW w:w="1138" w:type="pct"/>
            <w:shd w:val="clear" w:color="auto" w:fill="auto"/>
            <w:vAlign w:val="center"/>
          </w:tcPr>
          <w:p w14:paraId="59956E4B" w14:textId="77777777" w:rsidR="00766F9E" w:rsidRPr="00B0658A" w:rsidRDefault="00766F9E" w:rsidP="00766F9E">
            <w:pPr>
              <w:spacing w:after="0" w:line="240" w:lineRule="auto"/>
              <w:rPr>
                <w:rFonts w:ascii="Times New Roman" w:hAnsi="Times New Roman"/>
                <w:sz w:val="18"/>
                <w:szCs w:val="18"/>
              </w:rPr>
            </w:pPr>
            <w:r w:rsidRPr="00B0658A">
              <w:rPr>
                <w:rFonts w:ascii="Times New Roman" w:hAnsi="Times New Roman"/>
                <w:sz w:val="18"/>
                <w:szCs w:val="18"/>
              </w:rPr>
              <w:t>Средства управления процессами организации/ Средства управления отношениями с клиентами (CRM)</w:t>
            </w:r>
          </w:p>
        </w:tc>
        <w:tc>
          <w:tcPr>
            <w:tcW w:w="1026" w:type="pct"/>
            <w:shd w:val="clear" w:color="000000" w:fill="FFFFFF"/>
          </w:tcPr>
          <w:p w14:paraId="54B50C69" w14:textId="77777777" w:rsidR="00766F9E" w:rsidRPr="00B0658A" w:rsidRDefault="00766F9E" w:rsidP="00766F9E">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3" w:type="pct"/>
            <w:shd w:val="clear" w:color="000000" w:fill="FFFFFF"/>
            <w:vAlign w:val="center"/>
          </w:tcPr>
          <w:p w14:paraId="40A9F7D4"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30%</w:t>
            </w:r>
          </w:p>
        </w:tc>
        <w:tc>
          <w:tcPr>
            <w:tcW w:w="364" w:type="pct"/>
            <w:shd w:val="clear" w:color="000000" w:fill="FFFFFF"/>
            <w:vAlign w:val="center"/>
          </w:tcPr>
          <w:p w14:paraId="53955821"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45%</w:t>
            </w:r>
          </w:p>
        </w:tc>
        <w:tc>
          <w:tcPr>
            <w:tcW w:w="364" w:type="pct"/>
            <w:shd w:val="clear" w:color="000000" w:fill="FFFFFF"/>
            <w:vAlign w:val="center"/>
          </w:tcPr>
          <w:p w14:paraId="2362DB35"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60%</w:t>
            </w:r>
          </w:p>
        </w:tc>
        <w:tc>
          <w:tcPr>
            <w:tcW w:w="376" w:type="pct"/>
            <w:shd w:val="clear" w:color="000000" w:fill="FFFFFF"/>
            <w:vAlign w:val="center"/>
          </w:tcPr>
          <w:p w14:paraId="22804557"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4" w:type="pct"/>
            <w:shd w:val="clear" w:color="000000" w:fill="FFFFFF"/>
            <w:vAlign w:val="center"/>
          </w:tcPr>
          <w:p w14:paraId="2DF0E037"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75%</w:t>
            </w:r>
          </w:p>
        </w:tc>
        <w:tc>
          <w:tcPr>
            <w:tcW w:w="364" w:type="pct"/>
            <w:shd w:val="clear" w:color="000000" w:fill="FFFFFF"/>
            <w:vAlign w:val="center"/>
          </w:tcPr>
          <w:p w14:paraId="0CD66E02"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90%</w:t>
            </w:r>
          </w:p>
        </w:tc>
        <w:tc>
          <w:tcPr>
            <w:tcW w:w="358" w:type="pct"/>
            <w:shd w:val="clear" w:color="000000" w:fill="FFFFFF"/>
            <w:vAlign w:val="center"/>
          </w:tcPr>
          <w:p w14:paraId="1946F5E8"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D73F09" w:rsidRPr="00B0658A" w14:paraId="5AFF8667" w14:textId="77777777" w:rsidTr="00FE71B1">
        <w:trPr>
          <w:trHeight w:val="20"/>
        </w:trPr>
        <w:tc>
          <w:tcPr>
            <w:tcW w:w="283" w:type="pct"/>
            <w:shd w:val="clear" w:color="000000" w:fill="FFFFFF"/>
            <w:vAlign w:val="center"/>
          </w:tcPr>
          <w:p w14:paraId="0E029825" w14:textId="77777777" w:rsidR="00766F9E" w:rsidRPr="00B0658A" w:rsidRDefault="00766F9E" w:rsidP="00FE71B1">
            <w:pPr>
              <w:spacing w:after="0" w:line="240" w:lineRule="auto"/>
              <w:jc w:val="center"/>
              <w:rPr>
                <w:rFonts w:ascii="Times New Roman" w:hAnsi="Times New Roman"/>
                <w:sz w:val="18"/>
                <w:szCs w:val="18"/>
              </w:rPr>
            </w:pPr>
            <w:r w:rsidRPr="00B0658A">
              <w:rPr>
                <w:rFonts w:ascii="Times New Roman" w:hAnsi="Times New Roman"/>
                <w:sz w:val="18"/>
                <w:szCs w:val="18"/>
              </w:rPr>
              <w:t>9.10</w:t>
            </w:r>
          </w:p>
        </w:tc>
        <w:tc>
          <w:tcPr>
            <w:tcW w:w="1138" w:type="pct"/>
            <w:shd w:val="clear" w:color="auto" w:fill="auto"/>
            <w:vAlign w:val="center"/>
          </w:tcPr>
          <w:p w14:paraId="149369CF" w14:textId="77777777" w:rsidR="00766F9E" w:rsidRPr="00B0658A" w:rsidRDefault="00766F9E" w:rsidP="00766F9E">
            <w:pPr>
              <w:spacing w:after="0" w:line="240" w:lineRule="auto"/>
              <w:rPr>
                <w:rFonts w:ascii="Times New Roman" w:hAnsi="Times New Roman"/>
                <w:sz w:val="18"/>
                <w:szCs w:val="18"/>
              </w:rPr>
            </w:pPr>
            <w:r w:rsidRPr="00B0658A">
              <w:rPr>
                <w:rFonts w:ascii="Times New Roman" w:hAnsi="Times New Roman"/>
                <w:sz w:val="18"/>
                <w:szCs w:val="18"/>
              </w:rPr>
              <w:t>Средства управления процессами организации/ Средства управления ИТ-службой, ИТ-инфраструктурой и ИТ-активами (ITSM-ServiceDesk, SCCM, Asset Management)</w:t>
            </w:r>
          </w:p>
        </w:tc>
        <w:tc>
          <w:tcPr>
            <w:tcW w:w="1026" w:type="pct"/>
            <w:shd w:val="clear" w:color="000000" w:fill="FFFFFF"/>
          </w:tcPr>
          <w:p w14:paraId="764EDDAC" w14:textId="77777777" w:rsidR="00766F9E" w:rsidRPr="00B0658A" w:rsidRDefault="00766F9E" w:rsidP="00766F9E">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3" w:type="pct"/>
            <w:shd w:val="clear" w:color="000000" w:fill="FFFFFF"/>
            <w:vAlign w:val="center"/>
          </w:tcPr>
          <w:p w14:paraId="4A9B0785"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30%</w:t>
            </w:r>
          </w:p>
        </w:tc>
        <w:tc>
          <w:tcPr>
            <w:tcW w:w="364" w:type="pct"/>
            <w:shd w:val="clear" w:color="000000" w:fill="FFFFFF"/>
            <w:vAlign w:val="center"/>
          </w:tcPr>
          <w:p w14:paraId="387C52DB"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45%</w:t>
            </w:r>
          </w:p>
        </w:tc>
        <w:tc>
          <w:tcPr>
            <w:tcW w:w="364" w:type="pct"/>
            <w:shd w:val="clear" w:color="000000" w:fill="FFFFFF"/>
            <w:vAlign w:val="center"/>
          </w:tcPr>
          <w:p w14:paraId="148377B9"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60%</w:t>
            </w:r>
          </w:p>
        </w:tc>
        <w:tc>
          <w:tcPr>
            <w:tcW w:w="376" w:type="pct"/>
            <w:shd w:val="clear" w:color="000000" w:fill="FFFFFF"/>
            <w:vAlign w:val="center"/>
          </w:tcPr>
          <w:p w14:paraId="1294B7B8"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4" w:type="pct"/>
            <w:shd w:val="clear" w:color="000000" w:fill="FFFFFF"/>
            <w:vAlign w:val="center"/>
          </w:tcPr>
          <w:p w14:paraId="6E58DA91"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75%</w:t>
            </w:r>
          </w:p>
        </w:tc>
        <w:tc>
          <w:tcPr>
            <w:tcW w:w="364" w:type="pct"/>
            <w:shd w:val="clear" w:color="000000" w:fill="FFFFFF"/>
            <w:vAlign w:val="center"/>
          </w:tcPr>
          <w:p w14:paraId="61C5ECE0"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90%</w:t>
            </w:r>
          </w:p>
        </w:tc>
        <w:tc>
          <w:tcPr>
            <w:tcW w:w="358" w:type="pct"/>
            <w:shd w:val="clear" w:color="000000" w:fill="FFFFFF"/>
            <w:vAlign w:val="center"/>
          </w:tcPr>
          <w:p w14:paraId="011D457D"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D73F09" w:rsidRPr="00B0658A" w14:paraId="1FF8F5A6" w14:textId="77777777" w:rsidTr="00FE71B1">
        <w:trPr>
          <w:trHeight w:val="20"/>
        </w:trPr>
        <w:tc>
          <w:tcPr>
            <w:tcW w:w="283" w:type="pct"/>
            <w:shd w:val="clear" w:color="000000" w:fill="FFFFFF"/>
            <w:vAlign w:val="center"/>
          </w:tcPr>
          <w:p w14:paraId="17D40DE4" w14:textId="77777777" w:rsidR="00766F9E" w:rsidRPr="00B0658A" w:rsidRDefault="00766F9E" w:rsidP="00FE71B1">
            <w:pPr>
              <w:spacing w:after="0" w:line="240" w:lineRule="auto"/>
              <w:jc w:val="center"/>
              <w:rPr>
                <w:rFonts w:ascii="Times New Roman" w:hAnsi="Times New Roman"/>
                <w:sz w:val="18"/>
                <w:szCs w:val="18"/>
              </w:rPr>
            </w:pPr>
            <w:r w:rsidRPr="00B0658A">
              <w:rPr>
                <w:rFonts w:ascii="Times New Roman" w:hAnsi="Times New Roman"/>
                <w:sz w:val="18"/>
                <w:szCs w:val="18"/>
              </w:rPr>
              <w:t>9.11</w:t>
            </w:r>
          </w:p>
        </w:tc>
        <w:tc>
          <w:tcPr>
            <w:tcW w:w="1138" w:type="pct"/>
            <w:shd w:val="clear" w:color="auto" w:fill="auto"/>
            <w:vAlign w:val="center"/>
          </w:tcPr>
          <w:p w14:paraId="3D25950E" w14:textId="77777777" w:rsidR="00766F9E" w:rsidRPr="00B0658A" w:rsidRDefault="00766F9E" w:rsidP="00766F9E">
            <w:pPr>
              <w:suppressAutoHyphens/>
              <w:spacing w:after="0" w:line="240" w:lineRule="auto"/>
              <w:rPr>
                <w:rFonts w:ascii="Times New Roman" w:hAnsi="Times New Roman"/>
                <w:sz w:val="18"/>
                <w:szCs w:val="18"/>
              </w:rPr>
            </w:pPr>
            <w:r w:rsidRPr="00B0658A">
              <w:rPr>
                <w:rFonts w:ascii="Times New Roman" w:hAnsi="Times New Roman"/>
                <w:sz w:val="18"/>
                <w:szCs w:val="18"/>
              </w:rPr>
              <w:t xml:space="preserve">Средства управления процессами организации/ Средства управления содержимым (CMS), сайты </w:t>
            </w:r>
          </w:p>
          <w:p w14:paraId="65D420E3" w14:textId="77777777" w:rsidR="00766F9E" w:rsidRPr="00B0658A" w:rsidRDefault="00766F9E" w:rsidP="00766F9E">
            <w:pPr>
              <w:spacing w:after="0" w:line="240" w:lineRule="auto"/>
              <w:rPr>
                <w:rFonts w:ascii="Times New Roman" w:hAnsi="Times New Roman"/>
                <w:sz w:val="18"/>
                <w:szCs w:val="18"/>
              </w:rPr>
            </w:pPr>
            <w:r w:rsidRPr="00B0658A">
              <w:rPr>
                <w:rFonts w:ascii="Times New Roman" w:hAnsi="Times New Roman"/>
                <w:sz w:val="18"/>
                <w:szCs w:val="18"/>
              </w:rPr>
              <w:t>и портальные решения</w:t>
            </w:r>
          </w:p>
        </w:tc>
        <w:tc>
          <w:tcPr>
            <w:tcW w:w="1026" w:type="pct"/>
            <w:shd w:val="clear" w:color="000000" w:fill="FFFFFF"/>
          </w:tcPr>
          <w:p w14:paraId="15FE8666" w14:textId="77777777" w:rsidR="00766F9E" w:rsidRPr="00B0658A" w:rsidRDefault="00766F9E" w:rsidP="00766F9E">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3" w:type="pct"/>
            <w:shd w:val="clear" w:color="000000" w:fill="FFFFFF"/>
            <w:vAlign w:val="center"/>
          </w:tcPr>
          <w:p w14:paraId="6076BA0A"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35%</w:t>
            </w:r>
          </w:p>
        </w:tc>
        <w:tc>
          <w:tcPr>
            <w:tcW w:w="364" w:type="pct"/>
            <w:shd w:val="clear" w:color="000000" w:fill="FFFFFF"/>
            <w:vAlign w:val="center"/>
          </w:tcPr>
          <w:p w14:paraId="45CBFA4F"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45%</w:t>
            </w:r>
          </w:p>
        </w:tc>
        <w:tc>
          <w:tcPr>
            <w:tcW w:w="364" w:type="pct"/>
            <w:shd w:val="clear" w:color="000000" w:fill="FFFFFF"/>
            <w:vAlign w:val="center"/>
          </w:tcPr>
          <w:p w14:paraId="3D4E7906"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55%</w:t>
            </w:r>
          </w:p>
        </w:tc>
        <w:tc>
          <w:tcPr>
            <w:tcW w:w="376" w:type="pct"/>
            <w:shd w:val="clear" w:color="000000" w:fill="FFFFFF"/>
            <w:vAlign w:val="center"/>
          </w:tcPr>
          <w:p w14:paraId="0685AA3C"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4" w:type="pct"/>
            <w:shd w:val="clear" w:color="000000" w:fill="FFFFFF"/>
            <w:vAlign w:val="center"/>
          </w:tcPr>
          <w:p w14:paraId="50E0651C"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70%</w:t>
            </w:r>
          </w:p>
        </w:tc>
        <w:tc>
          <w:tcPr>
            <w:tcW w:w="364" w:type="pct"/>
            <w:shd w:val="clear" w:color="000000" w:fill="FFFFFF"/>
            <w:vAlign w:val="center"/>
          </w:tcPr>
          <w:p w14:paraId="4B93CE8B"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90%</w:t>
            </w:r>
          </w:p>
        </w:tc>
        <w:tc>
          <w:tcPr>
            <w:tcW w:w="358" w:type="pct"/>
            <w:shd w:val="clear" w:color="000000" w:fill="FFFFFF"/>
            <w:vAlign w:val="center"/>
          </w:tcPr>
          <w:p w14:paraId="00678F81"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D73F09" w:rsidRPr="00B0658A" w14:paraId="373FCD22" w14:textId="77777777" w:rsidTr="00FE71B1">
        <w:trPr>
          <w:trHeight w:val="20"/>
        </w:trPr>
        <w:tc>
          <w:tcPr>
            <w:tcW w:w="283" w:type="pct"/>
            <w:shd w:val="clear" w:color="000000" w:fill="FFFFFF"/>
            <w:vAlign w:val="center"/>
          </w:tcPr>
          <w:p w14:paraId="2CF4941C" w14:textId="77777777" w:rsidR="00766F9E" w:rsidRPr="00B0658A" w:rsidRDefault="00766F9E" w:rsidP="00FE71B1">
            <w:pPr>
              <w:spacing w:after="0" w:line="240" w:lineRule="auto"/>
              <w:jc w:val="center"/>
              <w:rPr>
                <w:rFonts w:ascii="Times New Roman" w:hAnsi="Times New Roman"/>
                <w:sz w:val="18"/>
                <w:szCs w:val="18"/>
              </w:rPr>
            </w:pPr>
            <w:r w:rsidRPr="00B0658A">
              <w:rPr>
                <w:rFonts w:ascii="Times New Roman" w:hAnsi="Times New Roman"/>
                <w:sz w:val="18"/>
                <w:szCs w:val="18"/>
              </w:rPr>
              <w:t>9.12</w:t>
            </w:r>
          </w:p>
        </w:tc>
        <w:tc>
          <w:tcPr>
            <w:tcW w:w="1138" w:type="pct"/>
            <w:shd w:val="clear" w:color="auto" w:fill="auto"/>
            <w:vAlign w:val="center"/>
          </w:tcPr>
          <w:p w14:paraId="3DE2BDE1" w14:textId="77777777" w:rsidR="00766F9E" w:rsidRPr="00B0658A" w:rsidRDefault="00766F9E" w:rsidP="00766F9E">
            <w:pPr>
              <w:spacing w:after="0" w:line="240" w:lineRule="auto"/>
              <w:rPr>
                <w:rFonts w:ascii="Times New Roman" w:hAnsi="Times New Roman"/>
                <w:sz w:val="18"/>
                <w:szCs w:val="18"/>
              </w:rPr>
            </w:pPr>
            <w:r w:rsidRPr="00B0658A">
              <w:rPr>
                <w:rFonts w:ascii="Times New Roman" w:hAnsi="Times New Roman"/>
                <w:sz w:val="18"/>
                <w:szCs w:val="18"/>
              </w:rPr>
              <w:t>Средства управления процессами организации/ Средства электронной коммерции (e-commerce platform)</w:t>
            </w:r>
          </w:p>
        </w:tc>
        <w:tc>
          <w:tcPr>
            <w:tcW w:w="1026" w:type="pct"/>
            <w:shd w:val="clear" w:color="000000" w:fill="FFFFFF"/>
          </w:tcPr>
          <w:p w14:paraId="3E9B340F" w14:textId="77777777" w:rsidR="00766F9E" w:rsidRPr="00B0658A" w:rsidRDefault="00766F9E" w:rsidP="00766F9E">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3" w:type="pct"/>
            <w:shd w:val="clear" w:color="000000" w:fill="FFFFFF"/>
            <w:vAlign w:val="center"/>
          </w:tcPr>
          <w:p w14:paraId="6328FCB0"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35%</w:t>
            </w:r>
          </w:p>
        </w:tc>
        <w:tc>
          <w:tcPr>
            <w:tcW w:w="364" w:type="pct"/>
            <w:shd w:val="clear" w:color="000000" w:fill="FFFFFF"/>
            <w:vAlign w:val="center"/>
          </w:tcPr>
          <w:p w14:paraId="3672D297"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50%</w:t>
            </w:r>
          </w:p>
        </w:tc>
        <w:tc>
          <w:tcPr>
            <w:tcW w:w="364" w:type="pct"/>
            <w:shd w:val="clear" w:color="000000" w:fill="FFFFFF"/>
            <w:vAlign w:val="center"/>
          </w:tcPr>
          <w:p w14:paraId="6E05BED9"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60%</w:t>
            </w:r>
          </w:p>
        </w:tc>
        <w:tc>
          <w:tcPr>
            <w:tcW w:w="376" w:type="pct"/>
            <w:shd w:val="clear" w:color="000000" w:fill="FFFFFF"/>
            <w:vAlign w:val="center"/>
          </w:tcPr>
          <w:p w14:paraId="6D777C6C"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4" w:type="pct"/>
            <w:shd w:val="clear" w:color="000000" w:fill="FFFFFF"/>
            <w:vAlign w:val="center"/>
          </w:tcPr>
          <w:p w14:paraId="1BED232A"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80%</w:t>
            </w:r>
          </w:p>
        </w:tc>
        <w:tc>
          <w:tcPr>
            <w:tcW w:w="364" w:type="pct"/>
            <w:shd w:val="clear" w:color="000000" w:fill="FFFFFF"/>
            <w:vAlign w:val="center"/>
          </w:tcPr>
          <w:p w14:paraId="736AB355"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58" w:type="pct"/>
            <w:shd w:val="clear" w:color="000000" w:fill="FFFFFF"/>
            <w:vAlign w:val="center"/>
          </w:tcPr>
          <w:p w14:paraId="5F6EC31B"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D73F09" w:rsidRPr="00B0658A" w14:paraId="47025508" w14:textId="77777777" w:rsidTr="00FE71B1">
        <w:trPr>
          <w:trHeight w:val="20"/>
        </w:trPr>
        <w:tc>
          <w:tcPr>
            <w:tcW w:w="283" w:type="pct"/>
            <w:shd w:val="clear" w:color="000000" w:fill="FFFFFF"/>
            <w:vAlign w:val="center"/>
          </w:tcPr>
          <w:p w14:paraId="25AD6187" w14:textId="77777777" w:rsidR="00766F9E" w:rsidRPr="00B0658A" w:rsidRDefault="00766F9E" w:rsidP="00FE71B1">
            <w:pPr>
              <w:spacing w:after="0" w:line="240" w:lineRule="auto"/>
              <w:jc w:val="center"/>
              <w:rPr>
                <w:rFonts w:ascii="Times New Roman" w:hAnsi="Times New Roman"/>
                <w:sz w:val="18"/>
                <w:szCs w:val="18"/>
              </w:rPr>
            </w:pPr>
            <w:r w:rsidRPr="00B0658A">
              <w:rPr>
                <w:rFonts w:ascii="Times New Roman" w:hAnsi="Times New Roman"/>
                <w:sz w:val="18"/>
                <w:szCs w:val="18"/>
              </w:rPr>
              <w:t>9.13</w:t>
            </w:r>
          </w:p>
        </w:tc>
        <w:tc>
          <w:tcPr>
            <w:tcW w:w="1138" w:type="pct"/>
            <w:shd w:val="clear" w:color="auto" w:fill="auto"/>
            <w:vAlign w:val="center"/>
          </w:tcPr>
          <w:p w14:paraId="07833929" w14:textId="77777777" w:rsidR="00766F9E" w:rsidRPr="00B0658A" w:rsidRDefault="00766F9E" w:rsidP="00766F9E">
            <w:pPr>
              <w:spacing w:after="0" w:line="240" w:lineRule="auto"/>
              <w:rPr>
                <w:rFonts w:ascii="Times New Roman" w:hAnsi="Times New Roman"/>
                <w:sz w:val="18"/>
                <w:szCs w:val="18"/>
              </w:rPr>
            </w:pPr>
            <w:r w:rsidRPr="00B0658A">
              <w:rPr>
                <w:rFonts w:ascii="Times New Roman" w:hAnsi="Times New Roman"/>
                <w:sz w:val="18"/>
                <w:szCs w:val="18"/>
              </w:rPr>
              <w:t>Средства управления процессами организации/ Средства управления складом и цепочками поставок (WMS, SCM)</w:t>
            </w:r>
          </w:p>
        </w:tc>
        <w:tc>
          <w:tcPr>
            <w:tcW w:w="1026" w:type="pct"/>
            <w:shd w:val="clear" w:color="000000" w:fill="FFFFFF"/>
          </w:tcPr>
          <w:p w14:paraId="50348773" w14:textId="77777777" w:rsidR="00766F9E" w:rsidRPr="00B0658A" w:rsidRDefault="00766F9E" w:rsidP="00766F9E">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3" w:type="pct"/>
            <w:shd w:val="clear" w:color="000000" w:fill="FFFFFF"/>
            <w:vAlign w:val="center"/>
          </w:tcPr>
          <w:p w14:paraId="0A3D3167"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35%</w:t>
            </w:r>
          </w:p>
        </w:tc>
        <w:tc>
          <w:tcPr>
            <w:tcW w:w="364" w:type="pct"/>
            <w:shd w:val="clear" w:color="000000" w:fill="FFFFFF"/>
            <w:vAlign w:val="center"/>
          </w:tcPr>
          <w:p w14:paraId="689D0219"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55%</w:t>
            </w:r>
          </w:p>
        </w:tc>
        <w:tc>
          <w:tcPr>
            <w:tcW w:w="364" w:type="pct"/>
            <w:shd w:val="clear" w:color="000000" w:fill="FFFFFF"/>
            <w:vAlign w:val="center"/>
          </w:tcPr>
          <w:p w14:paraId="6A66766F"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75%</w:t>
            </w:r>
          </w:p>
        </w:tc>
        <w:tc>
          <w:tcPr>
            <w:tcW w:w="376" w:type="pct"/>
            <w:shd w:val="clear" w:color="000000" w:fill="FFFFFF"/>
            <w:vAlign w:val="center"/>
          </w:tcPr>
          <w:p w14:paraId="77DA7C1A"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4" w:type="pct"/>
            <w:shd w:val="clear" w:color="000000" w:fill="FFFFFF"/>
            <w:vAlign w:val="center"/>
          </w:tcPr>
          <w:p w14:paraId="13D7F459"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90%</w:t>
            </w:r>
          </w:p>
        </w:tc>
        <w:tc>
          <w:tcPr>
            <w:tcW w:w="364" w:type="pct"/>
            <w:shd w:val="clear" w:color="000000" w:fill="FFFFFF"/>
            <w:vAlign w:val="center"/>
          </w:tcPr>
          <w:p w14:paraId="5EC5BA65"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58" w:type="pct"/>
            <w:shd w:val="clear" w:color="000000" w:fill="FFFFFF"/>
            <w:vAlign w:val="center"/>
          </w:tcPr>
          <w:p w14:paraId="628C9A24"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D73F09" w:rsidRPr="00B0658A" w14:paraId="666609FA" w14:textId="77777777" w:rsidTr="00FE71B1">
        <w:trPr>
          <w:trHeight w:val="20"/>
        </w:trPr>
        <w:tc>
          <w:tcPr>
            <w:tcW w:w="283" w:type="pct"/>
            <w:shd w:val="clear" w:color="000000" w:fill="FFFFFF"/>
            <w:vAlign w:val="center"/>
          </w:tcPr>
          <w:p w14:paraId="3F84FAB5" w14:textId="77777777" w:rsidR="00766F9E" w:rsidRPr="00B0658A" w:rsidRDefault="00766F9E" w:rsidP="00FE71B1">
            <w:pPr>
              <w:spacing w:after="0" w:line="240" w:lineRule="auto"/>
              <w:jc w:val="center"/>
              <w:rPr>
                <w:rFonts w:ascii="Times New Roman" w:hAnsi="Times New Roman"/>
                <w:sz w:val="18"/>
                <w:szCs w:val="18"/>
              </w:rPr>
            </w:pPr>
            <w:r w:rsidRPr="00B0658A">
              <w:rPr>
                <w:rFonts w:ascii="Times New Roman" w:hAnsi="Times New Roman"/>
                <w:sz w:val="18"/>
                <w:szCs w:val="18"/>
              </w:rPr>
              <w:t>9.14</w:t>
            </w:r>
          </w:p>
        </w:tc>
        <w:tc>
          <w:tcPr>
            <w:tcW w:w="1138" w:type="pct"/>
            <w:shd w:val="clear" w:color="auto" w:fill="auto"/>
            <w:vAlign w:val="center"/>
          </w:tcPr>
          <w:p w14:paraId="6B92D3AF" w14:textId="77777777" w:rsidR="00766F9E" w:rsidRPr="00B0658A" w:rsidRDefault="00766F9E" w:rsidP="00766F9E">
            <w:pPr>
              <w:spacing w:after="0" w:line="240" w:lineRule="auto"/>
              <w:rPr>
                <w:rFonts w:ascii="Times New Roman" w:hAnsi="Times New Roman"/>
                <w:sz w:val="18"/>
                <w:szCs w:val="18"/>
              </w:rPr>
            </w:pPr>
            <w:r w:rsidRPr="00B0658A">
              <w:rPr>
                <w:rFonts w:ascii="Times New Roman" w:hAnsi="Times New Roman"/>
                <w:sz w:val="18"/>
                <w:szCs w:val="18"/>
              </w:rPr>
              <w:t>Средства управления процессами организации/ Средства централизованного управления конечными устройствами</w:t>
            </w:r>
          </w:p>
        </w:tc>
        <w:tc>
          <w:tcPr>
            <w:tcW w:w="1026" w:type="pct"/>
            <w:shd w:val="clear" w:color="000000" w:fill="FFFFFF"/>
          </w:tcPr>
          <w:p w14:paraId="7ACFC9EC" w14:textId="77777777" w:rsidR="00766F9E" w:rsidRPr="00B0658A" w:rsidRDefault="00766F9E" w:rsidP="00766F9E">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3" w:type="pct"/>
            <w:shd w:val="clear" w:color="000000" w:fill="FFFFFF"/>
            <w:vAlign w:val="center"/>
          </w:tcPr>
          <w:p w14:paraId="10824B90"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25%</w:t>
            </w:r>
          </w:p>
        </w:tc>
        <w:tc>
          <w:tcPr>
            <w:tcW w:w="364" w:type="pct"/>
            <w:shd w:val="clear" w:color="000000" w:fill="FFFFFF"/>
            <w:vAlign w:val="center"/>
          </w:tcPr>
          <w:p w14:paraId="71998B48"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35%</w:t>
            </w:r>
          </w:p>
        </w:tc>
        <w:tc>
          <w:tcPr>
            <w:tcW w:w="364" w:type="pct"/>
            <w:shd w:val="clear" w:color="000000" w:fill="FFFFFF"/>
            <w:vAlign w:val="center"/>
          </w:tcPr>
          <w:p w14:paraId="2A813D4C"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50%</w:t>
            </w:r>
          </w:p>
        </w:tc>
        <w:tc>
          <w:tcPr>
            <w:tcW w:w="376" w:type="pct"/>
            <w:shd w:val="clear" w:color="000000" w:fill="FFFFFF"/>
            <w:vAlign w:val="center"/>
          </w:tcPr>
          <w:p w14:paraId="3B195511"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4" w:type="pct"/>
            <w:shd w:val="clear" w:color="000000" w:fill="FFFFFF"/>
            <w:vAlign w:val="center"/>
          </w:tcPr>
          <w:p w14:paraId="55E13974"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75%</w:t>
            </w:r>
          </w:p>
        </w:tc>
        <w:tc>
          <w:tcPr>
            <w:tcW w:w="364" w:type="pct"/>
            <w:shd w:val="clear" w:color="000000" w:fill="FFFFFF"/>
            <w:vAlign w:val="center"/>
          </w:tcPr>
          <w:p w14:paraId="3C65ED89"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85%</w:t>
            </w:r>
          </w:p>
        </w:tc>
        <w:tc>
          <w:tcPr>
            <w:tcW w:w="358" w:type="pct"/>
            <w:shd w:val="clear" w:color="000000" w:fill="FFFFFF"/>
            <w:vAlign w:val="center"/>
          </w:tcPr>
          <w:p w14:paraId="2D5664CE"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D73F09" w:rsidRPr="00B0658A" w14:paraId="0E4568A4" w14:textId="77777777" w:rsidTr="00FE71B1">
        <w:trPr>
          <w:trHeight w:val="20"/>
        </w:trPr>
        <w:tc>
          <w:tcPr>
            <w:tcW w:w="283" w:type="pct"/>
            <w:shd w:val="clear" w:color="000000" w:fill="FFFFFF"/>
            <w:vAlign w:val="center"/>
          </w:tcPr>
          <w:p w14:paraId="73999F2C" w14:textId="77777777" w:rsidR="00766F9E" w:rsidRPr="00B0658A" w:rsidRDefault="00766F9E" w:rsidP="00FE71B1">
            <w:pPr>
              <w:spacing w:after="0" w:line="240" w:lineRule="auto"/>
              <w:jc w:val="center"/>
              <w:rPr>
                <w:rFonts w:ascii="Times New Roman" w:hAnsi="Times New Roman"/>
                <w:sz w:val="18"/>
                <w:szCs w:val="18"/>
              </w:rPr>
            </w:pPr>
            <w:r w:rsidRPr="00B0658A">
              <w:rPr>
                <w:rFonts w:ascii="Times New Roman" w:hAnsi="Times New Roman"/>
                <w:sz w:val="18"/>
                <w:szCs w:val="18"/>
              </w:rPr>
              <w:t>10.1</w:t>
            </w:r>
          </w:p>
        </w:tc>
        <w:tc>
          <w:tcPr>
            <w:tcW w:w="1138" w:type="pct"/>
            <w:shd w:val="clear" w:color="auto" w:fill="auto"/>
            <w:vAlign w:val="center"/>
          </w:tcPr>
          <w:p w14:paraId="677C55A4" w14:textId="77777777" w:rsidR="00766F9E" w:rsidRPr="00B0658A" w:rsidRDefault="00766F9E" w:rsidP="00766F9E">
            <w:pPr>
              <w:spacing w:after="0" w:line="240" w:lineRule="auto"/>
              <w:rPr>
                <w:rFonts w:ascii="Times New Roman" w:hAnsi="Times New Roman"/>
                <w:sz w:val="18"/>
                <w:szCs w:val="18"/>
              </w:rPr>
            </w:pPr>
            <w:r w:rsidRPr="00B0658A">
              <w:rPr>
                <w:rFonts w:ascii="Times New Roman" w:hAnsi="Times New Roman"/>
                <w:sz w:val="18"/>
                <w:szCs w:val="18"/>
              </w:rPr>
              <w:t>Средства обработки и визуализации массивов данных/ Средства обработки Больших Данных (BigData)</w:t>
            </w:r>
          </w:p>
        </w:tc>
        <w:tc>
          <w:tcPr>
            <w:tcW w:w="1026" w:type="pct"/>
            <w:shd w:val="clear" w:color="000000" w:fill="FFFFFF"/>
          </w:tcPr>
          <w:p w14:paraId="27EE5BC2" w14:textId="77777777" w:rsidR="00766F9E" w:rsidRPr="00B0658A" w:rsidRDefault="00766F9E" w:rsidP="00766F9E">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3" w:type="pct"/>
            <w:shd w:val="clear" w:color="000000" w:fill="FFFFFF"/>
            <w:vAlign w:val="center"/>
          </w:tcPr>
          <w:p w14:paraId="7E42D985"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35%</w:t>
            </w:r>
          </w:p>
        </w:tc>
        <w:tc>
          <w:tcPr>
            <w:tcW w:w="364" w:type="pct"/>
            <w:shd w:val="clear" w:color="000000" w:fill="FFFFFF"/>
            <w:vAlign w:val="center"/>
          </w:tcPr>
          <w:p w14:paraId="659FBE6C"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45%</w:t>
            </w:r>
          </w:p>
        </w:tc>
        <w:tc>
          <w:tcPr>
            <w:tcW w:w="364" w:type="pct"/>
            <w:shd w:val="clear" w:color="000000" w:fill="FFFFFF"/>
            <w:vAlign w:val="center"/>
          </w:tcPr>
          <w:p w14:paraId="3C591FDC"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55%</w:t>
            </w:r>
          </w:p>
        </w:tc>
        <w:tc>
          <w:tcPr>
            <w:tcW w:w="376" w:type="pct"/>
            <w:shd w:val="clear" w:color="000000" w:fill="FFFFFF"/>
            <w:vAlign w:val="center"/>
          </w:tcPr>
          <w:p w14:paraId="4228009B"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4" w:type="pct"/>
            <w:shd w:val="clear" w:color="000000" w:fill="FFFFFF"/>
            <w:vAlign w:val="center"/>
          </w:tcPr>
          <w:p w14:paraId="13AC114E"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70%</w:t>
            </w:r>
          </w:p>
        </w:tc>
        <w:tc>
          <w:tcPr>
            <w:tcW w:w="364" w:type="pct"/>
            <w:shd w:val="clear" w:color="000000" w:fill="FFFFFF"/>
            <w:vAlign w:val="center"/>
          </w:tcPr>
          <w:p w14:paraId="4B208C64"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90%</w:t>
            </w:r>
          </w:p>
        </w:tc>
        <w:tc>
          <w:tcPr>
            <w:tcW w:w="358" w:type="pct"/>
            <w:shd w:val="clear" w:color="000000" w:fill="FFFFFF"/>
            <w:vAlign w:val="center"/>
          </w:tcPr>
          <w:p w14:paraId="3AB6B4DD"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D73F09" w:rsidRPr="00B0658A" w14:paraId="425F4FF6" w14:textId="77777777" w:rsidTr="00FE71B1">
        <w:trPr>
          <w:trHeight w:val="20"/>
        </w:trPr>
        <w:tc>
          <w:tcPr>
            <w:tcW w:w="283" w:type="pct"/>
            <w:shd w:val="clear" w:color="000000" w:fill="FFFFFF"/>
            <w:vAlign w:val="center"/>
          </w:tcPr>
          <w:p w14:paraId="17CC13B4" w14:textId="77777777" w:rsidR="00766F9E" w:rsidRPr="00B0658A" w:rsidRDefault="00766F9E" w:rsidP="00FE71B1">
            <w:pPr>
              <w:spacing w:after="0" w:line="240" w:lineRule="auto"/>
              <w:jc w:val="center"/>
              <w:rPr>
                <w:rFonts w:ascii="Times New Roman" w:hAnsi="Times New Roman"/>
                <w:sz w:val="18"/>
                <w:szCs w:val="18"/>
              </w:rPr>
            </w:pPr>
            <w:r w:rsidRPr="00B0658A">
              <w:rPr>
                <w:rFonts w:ascii="Times New Roman" w:hAnsi="Times New Roman"/>
                <w:sz w:val="18"/>
                <w:szCs w:val="18"/>
              </w:rPr>
              <w:t>10.2</w:t>
            </w:r>
          </w:p>
        </w:tc>
        <w:tc>
          <w:tcPr>
            <w:tcW w:w="1138" w:type="pct"/>
            <w:shd w:val="clear" w:color="auto" w:fill="auto"/>
            <w:vAlign w:val="center"/>
          </w:tcPr>
          <w:p w14:paraId="0B1C95BE" w14:textId="77777777" w:rsidR="00766F9E" w:rsidRPr="00B0658A" w:rsidRDefault="00766F9E" w:rsidP="00766F9E">
            <w:pPr>
              <w:spacing w:after="0" w:line="240" w:lineRule="auto"/>
              <w:rPr>
                <w:rFonts w:ascii="Times New Roman" w:hAnsi="Times New Roman"/>
                <w:sz w:val="18"/>
                <w:szCs w:val="18"/>
              </w:rPr>
            </w:pPr>
            <w:r w:rsidRPr="00B0658A">
              <w:rPr>
                <w:rFonts w:ascii="Times New Roman" w:hAnsi="Times New Roman"/>
                <w:sz w:val="18"/>
                <w:szCs w:val="18"/>
              </w:rPr>
              <w:t>Средства обработки и визуализации массивов данных/ Средства обработки и анализа геологических и геофизических данных</w:t>
            </w:r>
          </w:p>
        </w:tc>
        <w:tc>
          <w:tcPr>
            <w:tcW w:w="1026" w:type="pct"/>
            <w:shd w:val="clear" w:color="000000" w:fill="FFFFFF"/>
          </w:tcPr>
          <w:p w14:paraId="62A95A16" w14:textId="77777777" w:rsidR="00766F9E" w:rsidRPr="00B0658A" w:rsidRDefault="00766F9E" w:rsidP="00766F9E">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3" w:type="pct"/>
            <w:shd w:val="clear" w:color="000000" w:fill="FFFFFF"/>
            <w:vAlign w:val="center"/>
          </w:tcPr>
          <w:p w14:paraId="15F1E373"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25%</w:t>
            </w:r>
          </w:p>
        </w:tc>
        <w:tc>
          <w:tcPr>
            <w:tcW w:w="364" w:type="pct"/>
            <w:shd w:val="clear" w:color="000000" w:fill="FFFFFF"/>
            <w:vAlign w:val="center"/>
          </w:tcPr>
          <w:p w14:paraId="7BAF6400"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40%</w:t>
            </w:r>
          </w:p>
        </w:tc>
        <w:tc>
          <w:tcPr>
            <w:tcW w:w="364" w:type="pct"/>
            <w:shd w:val="clear" w:color="000000" w:fill="FFFFFF"/>
            <w:vAlign w:val="center"/>
          </w:tcPr>
          <w:p w14:paraId="129C612B"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60%</w:t>
            </w:r>
          </w:p>
        </w:tc>
        <w:tc>
          <w:tcPr>
            <w:tcW w:w="376" w:type="pct"/>
            <w:shd w:val="clear" w:color="000000" w:fill="FFFFFF"/>
            <w:vAlign w:val="center"/>
          </w:tcPr>
          <w:p w14:paraId="14486A31"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4" w:type="pct"/>
            <w:shd w:val="clear" w:color="000000" w:fill="FFFFFF"/>
            <w:vAlign w:val="center"/>
          </w:tcPr>
          <w:p w14:paraId="391E9CCA"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75%</w:t>
            </w:r>
          </w:p>
        </w:tc>
        <w:tc>
          <w:tcPr>
            <w:tcW w:w="364" w:type="pct"/>
            <w:shd w:val="clear" w:color="000000" w:fill="FFFFFF"/>
            <w:vAlign w:val="center"/>
          </w:tcPr>
          <w:p w14:paraId="6671B3B1"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90%</w:t>
            </w:r>
          </w:p>
        </w:tc>
        <w:tc>
          <w:tcPr>
            <w:tcW w:w="358" w:type="pct"/>
            <w:shd w:val="clear" w:color="000000" w:fill="FFFFFF"/>
            <w:vAlign w:val="center"/>
          </w:tcPr>
          <w:p w14:paraId="330783FD"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D73F09" w:rsidRPr="00B0658A" w14:paraId="1231736B" w14:textId="77777777" w:rsidTr="00FE71B1">
        <w:trPr>
          <w:trHeight w:val="20"/>
        </w:trPr>
        <w:tc>
          <w:tcPr>
            <w:tcW w:w="283" w:type="pct"/>
            <w:shd w:val="clear" w:color="000000" w:fill="FFFFFF"/>
            <w:vAlign w:val="center"/>
          </w:tcPr>
          <w:p w14:paraId="5D8B5C0B" w14:textId="77777777" w:rsidR="00766F9E" w:rsidRPr="00B0658A" w:rsidRDefault="00766F9E" w:rsidP="00FE71B1">
            <w:pPr>
              <w:spacing w:after="0" w:line="240" w:lineRule="auto"/>
              <w:jc w:val="center"/>
              <w:rPr>
                <w:rFonts w:ascii="Times New Roman" w:hAnsi="Times New Roman"/>
                <w:sz w:val="18"/>
                <w:szCs w:val="18"/>
              </w:rPr>
            </w:pPr>
            <w:r w:rsidRPr="00B0658A">
              <w:rPr>
                <w:rFonts w:ascii="Times New Roman" w:hAnsi="Times New Roman"/>
                <w:sz w:val="18"/>
                <w:szCs w:val="18"/>
              </w:rPr>
              <w:t>10.3</w:t>
            </w:r>
          </w:p>
        </w:tc>
        <w:tc>
          <w:tcPr>
            <w:tcW w:w="1138" w:type="pct"/>
            <w:shd w:val="clear" w:color="auto" w:fill="auto"/>
            <w:vAlign w:val="center"/>
          </w:tcPr>
          <w:p w14:paraId="4656FD5E" w14:textId="77777777" w:rsidR="00766F9E" w:rsidRPr="00B0658A" w:rsidRDefault="00766F9E" w:rsidP="00766F9E">
            <w:pPr>
              <w:spacing w:after="0" w:line="240" w:lineRule="auto"/>
              <w:rPr>
                <w:rFonts w:ascii="Times New Roman" w:hAnsi="Times New Roman"/>
                <w:sz w:val="18"/>
                <w:szCs w:val="18"/>
              </w:rPr>
            </w:pPr>
            <w:r w:rsidRPr="00B0658A">
              <w:rPr>
                <w:rFonts w:ascii="Times New Roman" w:hAnsi="Times New Roman"/>
                <w:sz w:val="18"/>
                <w:szCs w:val="18"/>
              </w:rPr>
              <w:t>Средства обработки и визуализации массивов данных/ Средства математического и имитационного моделирования</w:t>
            </w:r>
          </w:p>
        </w:tc>
        <w:tc>
          <w:tcPr>
            <w:tcW w:w="1026" w:type="pct"/>
            <w:shd w:val="clear" w:color="000000" w:fill="FFFFFF"/>
          </w:tcPr>
          <w:p w14:paraId="1242E428" w14:textId="77777777" w:rsidR="00766F9E" w:rsidRPr="00B0658A" w:rsidRDefault="00766F9E" w:rsidP="00766F9E">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3" w:type="pct"/>
            <w:shd w:val="clear" w:color="000000" w:fill="FFFFFF"/>
            <w:vAlign w:val="center"/>
          </w:tcPr>
          <w:p w14:paraId="2B378050"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20%</w:t>
            </w:r>
          </w:p>
        </w:tc>
        <w:tc>
          <w:tcPr>
            <w:tcW w:w="364" w:type="pct"/>
            <w:shd w:val="clear" w:color="000000" w:fill="FFFFFF"/>
            <w:vAlign w:val="center"/>
          </w:tcPr>
          <w:p w14:paraId="0B42563B"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40%</w:t>
            </w:r>
          </w:p>
        </w:tc>
        <w:tc>
          <w:tcPr>
            <w:tcW w:w="364" w:type="pct"/>
            <w:shd w:val="clear" w:color="000000" w:fill="FFFFFF"/>
            <w:vAlign w:val="center"/>
          </w:tcPr>
          <w:p w14:paraId="0AF2CEC2"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60%</w:t>
            </w:r>
          </w:p>
        </w:tc>
        <w:tc>
          <w:tcPr>
            <w:tcW w:w="376" w:type="pct"/>
            <w:shd w:val="clear" w:color="000000" w:fill="FFFFFF"/>
            <w:vAlign w:val="center"/>
          </w:tcPr>
          <w:p w14:paraId="1FF29A3B"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4" w:type="pct"/>
            <w:shd w:val="clear" w:color="000000" w:fill="FFFFFF"/>
            <w:vAlign w:val="center"/>
          </w:tcPr>
          <w:p w14:paraId="3913944A"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80%</w:t>
            </w:r>
          </w:p>
        </w:tc>
        <w:tc>
          <w:tcPr>
            <w:tcW w:w="364" w:type="pct"/>
            <w:shd w:val="clear" w:color="000000" w:fill="FFFFFF"/>
            <w:vAlign w:val="center"/>
          </w:tcPr>
          <w:p w14:paraId="3F2C9FF8"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90%</w:t>
            </w:r>
          </w:p>
        </w:tc>
        <w:tc>
          <w:tcPr>
            <w:tcW w:w="358" w:type="pct"/>
            <w:shd w:val="clear" w:color="000000" w:fill="FFFFFF"/>
            <w:vAlign w:val="center"/>
          </w:tcPr>
          <w:p w14:paraId="2E01B2B4"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D73F09" w:rsidRPr="00B0658A" w14:paraId="44BE4151" w14:textId="77777777" w:rsidTr="00FE71B1">
        <w:trPr>
          <w:trHeight w:val="20"/>
        </w:trPr>
        <w:tc>
          <w:tcPr>
            <w:tcW w:w="283" w:type="pct"/>
            <w:shd w:val="clear" w:color="000000" w:fill="FFFFFF"/>
            <w:vAlign w:val="center"/>
          </w:tcPr>
          <w:p w14:paraId="0E25830D" w14:textId="77777777" w:rsidR="00766F9E" w:rsidRPr="00B0658A" w:rsidRDefault="00766F9E" w:rsidP="00FE71B1">
            <w:pPr>
              <w:spacing w:after="0" w:line="240" w:lineRule="auto"/>
              <w:jc w:val="center"/>
              <w:rPr>
                <w:rFonts w:ascii="Times New Roman" w:hAnsi="Times New Roman"/>
                <w:sz w:val="18"/>
                <w:szCs w:val="18"/>
              </w:rPr>
            </w:pPr>
            <w:r w:rsidRPr="00B0658A">
              <w:rPr>
                <w:rFonts w:ascii="Times New Roman" w:hAnsi="Times New Roman"/>
                <w:sz w:val="18"/>
                <w:szCs w:val="18"/>
              </w:rPr>
              <w:t>10.4</w:t>
            </w:r>
          </w:p>
        </w:tc>
        <w:tc>
          <w:tcPr>
            <w:tcW w:w="1138" w:type="pct"/>
            <w:shd w:val="clear" w:color="auto" w:fill="auto"/>
            <w:vAlign w:val="center"/>
          </w:tcPr>
          <w:p w14:paraId="50213F85" w14:textId="77777777" w:rsidR="00766F9E" w:rsidRPr="00B0658A" w:rsidRDefault="00766F9E" w:rsidP="00766F9E">
            <w:pPr>
              <w:spacing w:after="0" w:line="240" w:lineRule="auto"/>
              <w:rPr>
                <w:rFonts w:ascii="Times New Roman" w:hAnsi="Times New Roman"/>
                <w:sz w:val="18"/>
                <w:szCs w:val="18"/>
              </w:rPr>
            </w:pPr>
            <w:r w:rsidRPr="00B0658A">
              <w:rPr>
                <w:rFonts w:ascii="Times New Roman" w:hAnsi="Times New Roman"/>
                <w:sz w:val="18"/>
                <w:szCs w:val="18"/>
              </w:rPr>
              <w:t>Средства обработки и визуализации массивов данных/ Средства управления информационными ресурсами и средства управления основными данными (ECM, MDM)</w:t>
            </w:r>
          </w:p>
        </w:tc>
        <w:tc>
          <w:tcPr>
            <w:tcW w:w="1026" w:type="pct"/>
            <w:shd w:val="clear" w:color="000000" w:fill="FFFFFF"/>
          </w:tcPr>
          <w:p w14:paraId="268EBB31" w14:textId="77777777" w:rsidR="00766F9E" w:rsidRPr="00B0658A" w:rsidRDefault="00766F9E" w:rsidP="00766F9E">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3" w:type="pct"/>
            <w:shd w:val="clear" w:color="000000" w:fill="FFFFFF"/>
            <w:vAlign w:val="center"/>
          </w:tcPr>
          <w:p w14:paraId="4CB01387"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35%</w:t>
            </w:r>
          </w:p>
        </w:tc>
        <w:tc>
          <w:tcPr>
            <w:tcW w:w="364" w:type="pct"/>
            <w:shd w:val="clear" w:color="000000" w:fill="FFFFFF"/>
            <w:vAlign w:val="center"/>
          </w:tcPr>
          <w:p w14:paraId="19E9FBE2"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45%</w:t>
            </w:r>
          </w:p>
        </w:tc>
        <w:tc>
          <w:tcPr>
            <w:tcW w:w="364" w:type="pct"/>
            <w:shd w:val="clear" w:color="000000" w:fill="FFFFFF"/>
            <w:vAlign w:val="center"/>
          </w:tcPr>
          <w:p w14:paraId="4070DEC6"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55%</w:t>
            </w:r>
          </w:p>
        </w:tc>
        <w:tc>
          <w:tcPr>
            <w:tcW w:w="376" w:type="pct"/>
            <w:shd w:val="clear" w:color="000000" w:fill="FFFFFF"/>
            <w:vAlign w:val="center"/>
          </w:tcPr>
          <w:p w14:paraId="451F2B52"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4" w:type="pct"/>
            <w:shd w:val="clear" w:color="000000" w:fill="FFFFFF"/>
            <w:vAlign w:val="center"/>
          </w:tcPr>
          <w:p w14:paraId="57CDB703"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70%</w:t>
            </w:r>
          </w:p>
        </w:tc>
        <w:tc>
          <w:tcPr>
            <w:tcW w:w="364" w:type="pct"/>
            <w:shd w:val="clear" w:color="000000" w:fill="FFFFFF"/>
            <w:vAlign w:val="center"/>
          </w:tcPr>
          <w:p w14:paraId="09F2E036"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90%</w:t>
            </w:r>
          </w:p>
        </w:tc>
        <w:tc>
          <w:tcPr>
            <w:tcW w:w="358" w:type="pct"/>
            <w:shd w:val="clear" w:color="000000" w:fill="FFFFFF"/>
            <w:vAlign w:val="center"/>
          </w:tcPr>
          <w:p w14:paraId="45901D3B"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D73F09" w:rsidRPr="00B0658A" w14:paraId="2BAF6D4B" w14:textId="77777777" w:rsidTr="00FE71B1">
        <w:trPr>
          <w:trHeight w:val="20"/>
        </w:trPr>
        <w:tc>
          <w:tcPr>
            <w:tcW w:w="283" w:type="pct"/>
            <w:shd w:val="clear" w:color="000000" w:fill="FFFFFF"/>
            <w:vAlign w:val="center"/>
          </w:tcPr>
          <w:p w14:paraId="51DC94F2" w14:textId="77777777" w:rsidR="00766F9E" w:rsidRPr="00B0658A" w:rsidRDefault="00766F9E" w:rsidP="00FE71B1">
            <w:pPr>
              <w:spacing w:after="0" w:line="240" w:lineRule="auto"/>
              <w:jc w:val="center"/>
              <w:rPr>
                <w:rFonts w:ascii="Times New Roman" w:hAnsi="Times New Roman"/>
                <w:sz w:val="18"/>
                <w:szCs w:val="18"/>
              </w:rPr>
            </w:pPr>
            <w:r w:rsidRPr="00B0658A">
              <w:rPr>
                <w:rFonts w:ascii="Times New Roman" w:hAnsi="Times New Roman"/>
                <w:sz w:val="18"/>
                <w:szCs w:val="18"/>
              </w:rPr>
              <w:t>11.1</w:t>
            </w:r>
          </w:p>
        </w:tc>
        <w:tc>
          <w:tcPr>
            <w:tcW w:w="1138" w:type="pct"/>
            <w:shd w:val="clear" w:color="auto" w:fill="auto"/>
            <w:vAlign w:val="center"/>
          </w:tcPr>
          <w:p w14:paraId="164ADD8F" w14:textId="77777777" w:rsidR="00766F9E" w:rsidRPr="00B0658A" w:rsidRDefault="00766F9E" w:rsidP="00766F9E">
            <w:pPr>
              <w:spacing w:after="0" w:line="240" w:lineRule="auto"/>
              <w:rPr>
                <w:rFonts w:ascii="Times New Roman" w:hAnsi="Times New Roman"/>
                <w:sz w:val="18"/>
                <w:szCs w:val="18"/>
              </w:rPr>
            </w:pPr>
            <w:r w:rsidRPr="00B0658A">
              <w:rPr>
                <w:rFonts w:ascii="Times New Roman" w:hAnsi="Times New Roman"/>
                <w:sz w:val="18"/>
                <w:szCs w:val="18"/>
              </w:rPr>
              <w:t>Средства анализа данных/ Инструменты извлечения и трансформации данных (ETL)</w:t>
            </w:r>
          </w:p>
        </w:tc>
        <w:tc>
          <w:tcPr>
            <w:tcW w:w="1026" w:type="pct"/>
            <w:shd w:val="clear" w:color="000000" w:fill="FFFFFF"/>
          </w:tcPr>
          <w:p w14:paraId="51228207" w14:textId="77777777" w:rsidR="00766F9E" w:rsidRPr="00B0658A" w:rsidRDefault="00766F9E" w:rsidP="00766F9E">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3" w:type="pct"/>
            <w:shd w:val="clear" w:color="000000" w:fill="FFFFFF"/>
            <w:vAlign w:val="center"/>
          </w:tcPr>
          <w:p w14:paraId="33E32088"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25%</w:t>
            </w:r>
          </w:p>
        </w:tc>
        <w:tc>
          <w:tcPr>
            <w:tcW w:w="364" w:type="pct"/>
            <w:shd w:val="clear" w:color="000000" w:fill="FFFFFF"/>
            <w:vAlign w:val="center"/>
          </w:tcPr>
          <w:p w14:paraId="2B63E104"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35%</w:t>
            </w:r>
          </w:p>
        </w:tc>
        <w:tc>
          <w:tcPr>
            <w:tcW w:w="364" w:type="pct"/>
            <w:shd w:val="clear" w:color="000000" w:fill="FFFFFF"/>
            <w:vAlign w:val="center"/>
          </w:tcPr>
          <w:p w14:paraId="31BC279A"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50%</w:t>
            </w:r>
          </w:p>
        </w:tc>
        <w:tc>
          <w:tcPr>
            <w:tcW w:w="376" w:type="pct"/>
            <w:shd w:val="clear" w:color="000000" w:fill="FFFFFF"/>
            <w:vAlign w:val="center"/>
          </w:tcPr>
          <w:p w14:paraId="1A480DEC"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4" w:type="pct"/>
            <w:shd w:val="clear" w:color="000000" w:fill="FFFFFF"/>
            <w:vAlign w:val="center"/>
          </w:tcPr>
          <w:p w14:paraId="594ADB71"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75%</w:t>
            </w:r>
          </w:p>
        </w:tc>
        <w:tc>
          <w:tcPr>
            <w:tcW w:w="364" w:type="pct"/>
            <w:shd w:val="clear" w:color="000000" w:fill="FFFFFF"/>
            <w:vAlign w:val="center"/>
          </w:tcPr>
          <w:p w14:paraId="27D16D8C"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85%</w:t>
            </w:r>
          </w:p>
        </w:tc>
        <w:tc>
          <w:tcPr>
            <w:tcW w:w="358" w:type="pct"/>
            <w:shd w:val="clear" w:color="000000" w:fill="FFFFFF"/>
            <w:vAlign w:val="center"/>
          </w:tcPr>
          <w:p w14:paraId="28645220"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D73F09" w:rsidRPr="00B0658A" w14:paraId="12CFF8C7" w14:textId="77777777" w:rsidTr="00FE71B1">
        <w:trPr>
          <w:trHeight w:val="20"/>
        </w:trPr>
        <w:tc>
          <w:tcPr>
            <w:tcW w:w="283" w:type="pct"/>
            <w:shd w:val="clear" w:color="000000" w:fill="FFFFFF"/>
            <w:vAlign w:val="center"/>
          </w:tcPr>
          <w:p w14:paraId="04009DA8" w14:textId="77777777" w:rsidR="00766F9E" w:rsidRPr="00B0658A" w:rsidRDefault="00766F9E" w:rsidP="00FE71B1">
            <w:pPr>
              <w:spacing w:after="0" w:line="240" w:lineRule="auto"/>
              <w:jc w:val="center"/>
              <w:rPr>
                <w:rFonts w:ascii="Times New Roman" w:hAnsi="Times New Roman"/>
                <w:sz w:val="18"/>
                <w:szCs w:val="18"/>
              </w:rPr>
            </w:pPr>
            <w:r w:rsidRPr="00B0658A">
              <w:rPr>
                <w:rFonts w:ascii="Times New Roman" w:hAnsi="Times New Roman"/>
                <w:sz w:val="18"/>
                <w:szCs w:val="18"/>
              </w:rPr>
              <w:t>11.2</w:t>
            </w:r>
          </w:p>
        </w:tc>
        <w:tc>
          <w:tcPr>
            <w:tcW w:w="1138" w:type="pct"/>
            <w:shd w:val="clear" w:color="auto" w:fill="auto"/>
            <w:vAlign w:val="center"/>
          </w:tcPr>
          <w:p w14:paraId="26ACED7B" w14:textId="77777777" w:rsidR="00766F9E" w:rsidRPr="00B0658A" w:rsidRDefault="00766F9E" w:rsidP="00766F9E">
            <w:pPr>
              <w:spacing w:after="0" w:line="240" w:lineRule="auto"/>
              <w:rPr>
                <w:rFonts w:ascii="Times New Roman" w:hAnsi="Times New Roman"/>
                <w:sz w:val="18"/>
                <w:szCs w:val="18"/>
              </w:rPr>
            </w:pPr>
            <w:r w:rsidRPr="00B0658A">
              <w:rPr>
                <w:rFonts w:ascii="Times New Roman" w:hAnsi="Times New Roman"/>
                <w:sz w:val="18"/>
                <w:szCs w:val="18"/>
              </w:rPr>
              <w:t>Средства анализа данных/ Предметно-ориентированные информационные базы данных (EDW)</w:t>
            </w:r>
          </w:p>
        </w:tc>
        <w:tc>
          <w:tcPr>
            <w:tcW w:w="1026" w:type="pct"/>
            <w:shd w:val="clear" w:color="000000" w:fill="FFFFFF"/>
          </w:tcPr>
          <w:p w14:paraId="531F4B0B" w14:textId="77777777" w:rsidR="00766F9E" w:rsidRPr="00B0658A" w:rsidRDefault="00766F9E" w:rsidP="00766F9E">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3" w:type="pct"/>
            <w:shd w:val="clear" w:color="000000" w:fill="FFFFFF"/>
            <w:vAlign w:val="center"/>
          </w:tcPr>
          <w:p w14:paraId="728ECA26"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20%</w:t>
            </w:r>
          </w:p>
        </w:tc>
        <w:tc>
          <w:tcPr>
            <w:tcW w:w="364" w:type="pct"/>
            <w:shd w:val="clear" w:color="000000" w:fill="FFFFFF"/>
            <w:vAlign w:val="center"/>
          </w:tcPr>
          <w:p w14:paraId="6AEDF5E2"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30%</w:t>
            </w:r>
          </w:p>
        </w:tc>
        <w:tc>
          <w:tcPr>
            <w:tcW w:w="364" w:type="pct"/>
            <w:shd w:val="clear" w:color="000000" w:fill="FFFFFF"/>
            <w:vAlign w:val="center"/>
          </w:tcPr>
          <w:p w14:paraId="45FED676"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45%</w:t>
            </w:r>
          </w:p>
        </w:tc>
        <w:tc>
          <w:tcPr>
            <w:tcW w:w="376" w:type="pct"/>
            <w:shd w:val="clear" w:color="000000" w:fill="FFFFFF"/>
            <w:vAlign w:val="center"/>
          </w:tcPr>
          <w:p w14:paraId="5C765457"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4" w:type="pct"/>
            <w:shd w:val="clear" w:color="000000" w:fill="FFFFFF"/>
            <w:vAlign w:val="center"/>
          </w:tcPr>
          <w:p w14:paraId="428E87E3"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70%</w:t>
            </w:r>
          </w:p>
        </w:tc>
        <w:tc>
          <w:tcPr>
            <w:tcW w:w="364" w:type="pct"/>
            <w:shd w:val="clear" w:color="000000" w:fill="FFFFFF"/>
            <w:vAlign w:val="center"/>
          </w:tcPr>
          <w:p w14:paraId="70FFFA16"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90%</w:t>
            </w:r>
          </w:p>
        </w:tc>
        <w:tc>
          <w:tcPr>
            <w:tcW w:w="358" w:type="pct"/>
            <w:shd w:val="clear" w:color="000000" w:fill="FFFFFF"/>
            <w:vAlign w:val="center"/>
          </w:tcPr>
          <w:p w14:paraId="272A0A0A"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D73F09" w:rsidRPr="00B0658A" w14:paraId="20394A06" w14:textId="77777777" w:rsidTr="00FE71B1">
        <w:trPr>
          <w:trHeight w:val="20"/>
        </w:trPr>
        <w:tc>
          <w:tcPr>
            <w:tcW w:w="283" w:type="pct"/>
            <w:shd w:val="clear" w:color="000000" w:fill="FFFFFF"/>
            <w:vAlign w:val="center"/>
          </w:tcPr>
          <w:p w14:paraId="4F87A749" w14:textId="77777777" w:rsidR="00766F9E" w:rsidRPr="00B0658A" w:rsidRDefault="00766F9E" w:rsidP="00FE71B1">
            <w:pPr>
              <w:spacing w:after="0" w:line="240" w:lineRule="auto"/>
              <w:jc w:val="center"/>
              <w:rPr>
                <w:rFonts w:ascii="Times New Roman" w:hAnsi="Times New Roman"/>
                <w:sz w:val="18"/>
                <w:szCs w:val="18"/>
              </w:rPr>
            </w:pPr>
            <w:r w:rsidRPr="00B0658A">
              <w:rPr>
                <w:rFonts w:ascii="Times New Roman" w:hAnsi="Times New Roman"/>
                <w:sz w:val="18"/>
                <w:szCs w:val="18"/>
              </w:rPr>
              <w:t>11.3</w:t>
            </w:r>
          </w:p>
        </w:tc>
        <w:tc>
          <w:tcPr>
            <w:tcW w:w="1138" w:type="pct"/>
            <w:shd w:val="clear" w:color="auto" w:fill="auto"/>
            <w:vAlign w:val="center"/>
          </w:tcPr>
          <w:p w14:paraId="22296FD1" w14:textId="77777777" w:rsidR="00766F9E" w:rsidRPr="00B0658A" w:rsidRDefault="00766F9E" w:rsidP="00766F9E">
            <w:pPr>
              <w:suppressAutoHyphens/>
              <w:spacing w:after="0" w:line="240" w:lineRule="auto"/>
              <w:rPr>
                <w:rFonts w:ascii="Times New Roman" w:hAnsi="Times New Roman"/>
                <w:sz w:val="18"/>
                <w:szCs w:val="18"/>
              </w:rPr>
            </w:pPr>
            <w:r w:rsidRPr="00B0658A">
              <w:rPr>
                <w:rFonts w:ascii="Times New Roman" w:hAnsi="Times New Roman"/>
                <w:sz w:val="18"/>
                <w:szCs w:val="18"/>
              </w:rPr>
              <w:t>Средства анализа данных/</w:t>
            </w:r>
          </w:p>
          <w:p w14:paraId="2AB365AA" w14:textId="77777777" w:rsidR="00766F9E" w:rsidRPr="00B0658A" w:rsidRDefault="00766F9E" w:rsidP="00766F9E">
            <w:pPr>
              <w:suppressAutoHyphens/>
              <w:spacing w:after="0" w:line="240" w:lineRule="auto"/>
              <w:rPr>
                <w:rFonts w:ascii="Times New Roman" w:hAnsi="Times New Roman"/>
                <w:sz w:val="18"/>
                <w:szCs w:val="18"/>
              </w:rPr>
            </w:pPr>
            <w:r w:rsidRPr="00B0658A">
              <w:rPr>
                <w:rFonts w:ascii="Times New Roman" w:hAnsi="Times New Roman"/>
                <w:sz w:val="18"/>
                <w:szCs w:val="18"/>
              </w:rPr>
              <w:t>Средства аналитической обработки в реальном времени (OLAP)</w:t>
            </w:r>
          </w:p>
        </w:tc>
        <w:tc>
          <w:tcPr>
            <w:tcW w:w="1026" w:type="pct"/>
            <w:shd w:val="clear" w:color="000000" w:fill="FFFFFF"/>
          </w:tcPr>
          <w:p w14:paraId="3F500233" w14:textId="77777777" w:rsidR="00766F9E" w:rsidRPr="00B0658A" w:rsidRDefault="00766F9E" w:rsidP="00766F9E">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3" w:type="pct"/>
            <w:shd w:val="clear" w:color="000000" w:fill="FFFFFF"/>
            <w:vAlign w:val="center"/>
          </w:tcPr>
          <w:p w14:paraId="7B713764"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35%</w:t>
            </w:r>
          </w:p>
        </w:tc>
        <w:tc>
          <w:tcPr>
            <w:tcW w:w="364" w:type="pct"/>
            <w:shd w:val="clear" w:color="000000" w:fill="FFFFFF"/>
            <w:vAlign w:val="center"/>
          </w:tcPr>
          <w:p w14:paraId="4166E180"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45%</w:t>
            </w:r>
          </w:p>
        </w:tc>
        <w:tc>
          <w:tcPr>
            <w:tcW w:w="364" w:type="pct"/>
            <w:shd w:val="clear" w:color="000000" w:fill="FFFFFF"/>
            <w:vAlign w:val="center"/>
          </w:tcPr>
          <w:p w14:paraId="22E5D42D"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55%</w:t>
            </w:r>
          </w:p>
        </w:tc>
        <w:tc>
          <w:tcPr>
            <w:tcW w:w="376" w:type="pct"/>
            <w:shd w:val="clear" w:color="000000" w:fill="FFFFFF"/>
            <w:vAlign w:val="center"/>
          </w:tcPr>
          <w:p w14:paraId="660992AB"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4" w:type="pct"/>
            <w:shd w:val="clear" w:color="000000" w:fill="FFFFFF"/>
            <w:vAlign w:val="center"/>
          </w:tcPr>
          <w:p w14:paraId="184C9F89"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70%</w:t>
            </w:r>
          </w:p>
        </w:tc>
        <w:tc>
          <w:tcPr>
            <w:tcW w:w="364" w:type="pct"/>
            <w:shd w:val="clear" w:color="000000" w:fill="FFFFFF"/>
            <w:vAlign w:val="center"/>
          </w:tcPr>
          <w:p w14:paraId="4E911672"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90%</w:t>
            </w:r>
          </w:p>
        </w:tc>
        <w:tc>
          <w:tcPr>
            <w:tcW w:w="358" w:type="pct"/>
            <w:shd w:val="clear" w:color="000000" w:fill="FFFFFF"/>
            <w:vAlign w:val="center"/>
          </w:tcPr>
          <w:p w14:paraId="2F16FECA"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D73F09" w:rsidRPr="00B0658A" w14:paraId="25668294" w14:textId="77777777" w:rsidTr="00FE71B1">
        <w:trPr>
          <w:trHeight w:val="20"/>
        </w:trPr>
        <w:tc>
          <w:tcPr>
            <w:tcW w:w="283" w:type="pct"/>
            <w:shd w:val="clear" w:color="000000" w:fill="FFFFFF"/>
            <w:vAlign w:val="center"/>
          </w:tcPr>
          <w:p w14:paraId="50D99C53" w14:textId="77777777" w:rsidR="00766F9E" w:rsidRPr="00B0658A" w:rsidRDefault="00766F9E" w:rsidP="00FE71B1">
            <w:pPr>
              <w:spacing w:after="0" w:line="240" w:lineRule="auto"/>
              <w:jc w:val="center"/>
              <w:rPr>
                <w:rFonts w:ascii="Times New Roman" w:hAnsi="Times New Roman"/>
                <w:sz w:val="18"/>
                <w:szCs w:val="18"/>
              </w:rPr>
            </w:pPr>
            <w:r w:rsidRPr="00B0658A">
              <w:rPr>
                <w:rFonts w:ascii="Times New Roman" w:hAnsi="Times New Roman"/>
                <w:sz w:val="18"/>
                <w:szCs w:val="18"/>
              </w:rPr>
              <w:t>11.4</w:t>
            </w:r>
          </w:p>
        </w:tc>
        <w:tc>
          <w:tcPr>
            <w:tcW w:w="1138" w:type="pct"/>
            <w:shd w:val="clear" w:color="auto" w:fill="auto"/>
            <w:vAlign w:val="center"/>
          </w:tcPr>
          <w:p w14:paraId="474EF551" w14:textId="77777777" w:rsidR="00766F9E" w:rsidRPr="00B0658A" w:rsidRDefault="00766F9E" w:rsidP="00766F9E">
            <w:pPr>
              <w:suppressAutoHyphens/>
              <w:spacing w:after="0" w:line="240" w:lineRule="auto"/>
              <w:rPr>
                <w:rFonts w:ascii="Times New Roman" w:hAnsi="Times New Roman"/>
                <w:sz w:val="18"/>
                <w:szCs w:val="18"/>
              </w:rPr>
            </w:pPr>
            <w:r w:rsidRPr="00B0658A">
              <w:rPr>
                <w:rFonts w:ascii="Times New Roman" w:hAnsi="Times New Roman"/>
                <w:sz w:val="18"/>
                <w:szCs w:val="18"/>
              </w:rPr>
              <w:t xml:space="preserve">Средства анализа данных/ </w:t>
            </w:r>
          </w:p>
          <w:p w14:paraId="3B26041C" w14:textId="77777777" w:rsidR="00766F9E" w:rsidRPr="00B0658A" w:rsidRDefault="00766F9E" w:rsidP="00766F9E">
            <w:pPr>
              <w:suppressAutoHyphens/>
              <w:spacing w:after="0" w:line="240" w:lineRule="auto"/>
              <w:rPr>
                <w:rFonts w:ascii="Times New Roman" w:hAnsi="Times New Roman"/>
                <w:sz w:val="18"/>
                <w:szCs w:val="18"/>
              </w:rPr>
            </w:pPr>
            <w:r w:rsidRPr="00B0658A">
              <w:rPr>
                <w:rFonts w:ascii="Times New Roman" w:hAnsi="Times New Roman"/>
                <w:sz w:val="18"/>
                <w:szCs w:val="18"/>
              </w:rPr>
              <w:t>Средства интеллектуального анализа данных (Data Mining)</w:t>
            </w:r>
          </w:p>
        </w:tc>
        <w:tc>
          <w:tcPr>
            <w:tcW w:w="1026" w:type="pct"/>
            <w:shd w:val="clear" w:color="000000" w:fill="FFFFFF"/>
          </w:tcPr>
          <w:p w14:paraId="3C787E4A" w14:textId="77777777" w:rsidR="00766F9E" w:rsidRPr="00B0658A" w:rsidRDefault="00766F9E" w:rsidP="00766F9E">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3" w:type="pct"/>
            <w:shd w:val="clear" w:color="000000" w:fill="FFFFFF"/>
            <w:vAlign w:val="center"/>
          </w:tcPr>
          <w:p w14:paraId="7591A7BC"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35%</w:t>
            </w:r>
          </w:p>
        </w:tc>
        <w:tc>
          <w:tcPr>
            <w:tcW w:w="364" w:type="pct"/>
            <w:shd w:val="clear" w:color="000000" w:fill="FFFFFF"/>
            <w:vAlign w:val="center"/>
          </w:tcPr>
          <w:p w14:paraId="6FDCC2BE"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45%</w:t>
            </w:r>
          </w:p>
        </w:tc>
        <w:tc>
          <w:tcPr>
            <w:tcW w:w="364" w:type="pct"/>
            <w:shd w:val="clear" w:color="000000" w:fill="FFFFFF"/>
            <w:vAlign w:val="center"/>
          </w:tcPr>
          <w:p w14:paraId="0327DF26"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55%</w:t>
            </w:r>
          </w:p>
        </w:tc>
        <w:tc>
          <w:tcPr>
            <w:tcW w:w="376" w:type="pct"/>
            <w:shd w:val="clear" w:color="000000" w:fill="FFFFFF"/>
            <w:vAlign w:val="center"/>
          </w:tcPr>
          <w:p w14:paraId="2BA86C7A"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4" w:type="pct"/>
            <w:shd w:val="clear" w:color="000000" w:fill="FFFFFF"/>
            <w:vAlign w:val="center"/>
          </w:tcPr>
          <w:p w14:paraId="77565C96"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70%</w:t>
            </w:r>
          </w:p>
        </w:tc>
        <w:tc>
          <w:tcPr>
            <w:tcW w:w="364" w:type="pct"/>
            <w:shd w:val="clear" w:color="000000" w:fill="FFFFFF"/>
            <w:vAlign w:val="center"/>
          </w:tcPr>
          <w:p w14:paraId="472AD649"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90%</w:t>
            </w:r>
          </w:p>
        </w:tc>
        <w:tc>
          <w:tcPr>
            <w:tcW w:w="358" w:type="pct"/>
            <w:shd w:val="clear" w:color="000000" w:fill="FFFFFF"/>
            <w:vAlign w:val="center"/>
          </w:tcPr>
          <w:p w14:paraId="516B88A8"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D73F09" w:rsidRPr="00B0658A" w14:paraId="77973FF0" w14:textId="77777777" w:rsidTr="00FE71B1">
        <w:trPr>
          <w:trHeight w:val="20"/>
        </w:trPr>
        <w:tc>
          <w:tcPr>
            <w:tcW w:w="283" w:type="pct"/>
            <w:shd w:val="clear" w:color="000000" w:fill="FFFFFF"/>
            <w:vAlign w:val="center"/>
          </w:tcPr>
          <w:p w14:paraId="68AC30AB" w14:textId="77777777" w:rsidR="00766F9E" w:rsidRPr="00B0658A" w:rsidRDefault="00766F9E" w:rsidP="00FE71B1">
            <w:pPr>
              <w:spacing w:after="0" w:line="240" w:lineRule="auto"/>
              <w:jc w:val="center"/>
              <w:rPr>
                <w:rFonts w:ascii="Times New Roman" w:hAnsi="Times New Roman"/>
                <w:sz w:val="18"/>
                <w:szCs w:val="18"/>
              </w:rPr>
            </w:pPr>
            <w:r w:rsidRPr="00B0658A">
              <w:rPr>
                <w:rFonts w:ascii="Times New Roman" w:hAnsi="Times New Roman"/>
                <w:sz w:val="18"/>
                <w:szCs w:val="18"/>
              </w:rPr>
              <w:t>11.5</w:t>
            </w:r>
          </w:p>
        </w:tc>
        <w:tc>
          <w:tcPr>
            <w:tcW w:w="1138" w:type="pct"/>
            <w:shd w:val="clear" w:color="auto" w:fill="auto"/>
            <w:vAlign w:val="center"/>
          </w:tcPr>
          <w:p w14:paraId="30D40636" w14:textId="77777777" w:rsidR="00766F9E" w:rsidRPr="00B0658A" w:rsidRDefault="00766F9E" w:rsidP="00766F9E">
            <w:pPr>
              <w:suppressAutoHyphens/>
              <w:spacing w:after="0" w:line="240" w:lineRule="auto"/>
              <w:rPr>
                <w:rFonts w:ascii="Times New Roman" w:hAnsi="Times New Roman"/>
                <w:sz w:val="18"/>
                <w:szCs w:val="18"/>
              </w:rPr>
            </w:pPr>
            <w:r w:rsidRPr="00B0658A">
              <w:rPr>
                <w:rFonts w:ascii="Times New Roman" w:hAnsi="Times New Roman"/>
                <w:sz w:val="18"/>
                <w:szCs w:val="18"/>
              </w:rPr>
              <w:t xml:space="preserve">Средства анализа данных/ </w:t>
            </w:r>
          </w:p>
          <w:p w14:paraId="50FF0348" w14:textId="77777777" w:rsidR="00766F9E" w:rsidRPr="00B0658A" w:rsidRDefault="00766F9E" w:rsidP="00766F9E">
            <w:pPr>
              <w:suppressAutoHyphens/>
              <w:spacing w:after="0" w:line="240" w:lineRule="auto"/>
              <w:rPr>
                <w:rFonts w:ascii="Times New Roman" w:hAnsi="Times New Roman"/>
                <w:sz w:val="18"/>
                <w:szCs w:val="18"/>
              </w:rPr>
            </w:pPr>
            <w:r w:rsidRPr="00B0658A">
              <w:rPr>
                <w:rFonts w:ascii="Times New Roman" w:hAnsi="Times New Roman"/>
                <w:sz w:val="18"/>
                <w:szCs w:val="18"/>
              </w:rPr>
              <w:t>Средства поддержки принятия решений (DSS)</w:t>
            </w:r>
          </w:p>
        </w:tc>
        <w:tc>
          <w:tcPr>
            <w:tcW w:w="1026" w:type="pct"/>
            <w:shd w:val="clear" w:color="000000" w:fill="FFFFFF"/>
          </w:tcPr>
          <w:p w14:paraId="622DCDCD" w14:textId="77777777" w:rsidR="00766F9E" w:rsidRPr="00B0658A" w:rsidRDefault="00766F9E" w:rsidP="00766F9E">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3" w:type="pct"/>
            <w:shd w:val="clear" w:color="000000" w:fill="FFFFFF"/>
            <w:vAlign w:val="center"/>
          </w:tcPr>
          <w:p w14:paraId="123D19DA"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35%</w:t>
            </w:r>
          </w:p>
        </w:tc>
        <w:tc>
          <w:tcPr>
            <w:tcW w:w="364" w:type="pct"/>
            <w:shd w:val="clear" w:color="000000" w:fill="FFFFFF"/>
            <w:vAlign w:val="center"/>
          </w:tcPr>
          <w:p w14:paraId="4D1574A5"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45%</w:t>
            </w:r>
          </w:p>
        </w:tc>
        <w:tc>
          <w:tcPr>
            <w:tcW w:w="364" w:type="pct"/>
            <w:shd w:val="clear" w:color="000000" w:fill="FFFFFF"/>
            <w:vAlign w:val="center"/>
          </w:tcPr>
          <w:p w14:paraId="4B28BD7A"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55%</w:t>
            </w:r>
          </w:p>
        </w:tc>
        <w:tc>
          <w:tcPr>
            <w:tcW w:w="376" w:type="pct"/>
            <w:shd w:val="clear" w:color="000000" w:fill="FFFFFF"/>
            <w:vAlign w:val="center"/>
          </w:tcPr>
          <w:p w14:paraId="74F9BB7F"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4" w:type="pct"/>
            <w:shd w:val="clear" w:color="000000" w:fill="FFFFFF"/>
            <w:vAlign w:val="center"/>
          </w:tcPr>
          <w:p w14:paraId="2B9AF099"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70%</w:t>
            </w:r>
          </w:p>
        </w:tc>
        <w:tc>
          <w:tcPr>
            <w:tcW w:w="364" w:type="pct"/>
            <w:shd w:val="clear" w:color="000000" w:fill="FFFFFF"/>
            <w:vAlign w:val="center"/>
          </w:tcPr>
          <w:p w14:paraId="720CE1FD"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90%</w:t>
            </w:r>
          </w:p>
        </w:tc>
        <w:tc>
          <w:tcPr>
            <w:tcW w:w="358" w:type="pct"/>
            <w:shd w:val="clear" w:color="000000" w:fill="FFFFFF"/>
            <w:vAlign w:val="center"/>
          </w:tcPr>
          <w:p w14:paraId="7346A0E4"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D73F09" w:rsidRPr="00B0658A" w14:paraId="3DAEF2EC" w14:textId="77777777" w:rsidTr="00FE71B1">
        <w:trPr>
          <w:trHeight w:val="20"/>
        </w:trPr>
        <w:tc>
          <w:tcPr>
            <w:tcW w:w="283" w:type="pct"/>
            <w:shd w:val="clear" w:color="000000" w:fill="FFFFFF"/>
            <w:vAlign w:val="center"/>
          </w:tcPr>
          <w:p w14:paraId="007CD6CC" w14:textId="77777777" w:rsidR="00766F9E" w:rsidRPr="00B0658A" w:rsidRDefault="00766F9E" w:rsidP="00FE71B1">
            <w:pPr>
              <w:spacing w:after="0" w:line="240" w:lineRule="auto"/>
              <w:jc w:val="center"/>
              <w:rPr>
                <w:rFonts w:ascii="Times New Roman" w:hAnsi="Times New Roman"/>
                <w:sz w:val="18"/>
                <w:szCs w:val="18"/>
              </w:rPr>
            </w:pPr>
            <w:r w:rsidRPr="00B0658A">
              <w:rPr>
                <w:rFonts w:ascii="Times New Roman" w:hAnsi="Times New Roman"/>
                <w:sz w:val="18"/>
                <w:szCs w:val="18"/>
              </w:rPr>
              <w:t>11.6</w:t>
            </w:r>
          </w:p>
        </w:tc>
        <w:tc>
          <w:tcPr>
            <w:tcW w:w="1138" w:type="pct"/>
            <w:shd w:val="clear" w:color="auto" w:fill="auto"/>
            <w:vAlign w:val="center"/>
          </w:tcPr>
          <w:p w14:paraId="50490648" w14:textId="77777777" w:rsidR="00766F9E" w:rsidRPr="00B0658A" w:rsidRDefault="00766F9E" w:rsidP="00766F9E">
            <w:pPr>
              <w:spacing w:after="0" w:line="240" w:lineRule="auto"/>
              <w:rPr>
                <w:rFonts w:ascii="Times New Roman" w:hAnsi="Times New Roman"/>
                <w:sz w:val="18"/>
                <w:szCs w:val="18"/>
              </w:rPr>
            </w:pPr>
            <w:r w:rsidRPr="00B0658A">
              <w:rPr>
                <w:rFonts w:ascii="Times New Roman" w:hAnsi="Times New Roman"/>
                <w:sz w:val="18"/>
                <w:szCs w:val="18"/>
              </w:rPr>
              <w:t xml:space="preserve">Средства анализа данных/ Инструменты обработки, анализа </w:t>
            </w:r>
            <w:r w:rsidRPr="00B0658A">
              <w:rPr>
                <w:rFonts w:ascii="Times New Roman" w:hAnsi="Times New Roman"/>
                <w:sz w:val="18"/>
                <w:szCs w:val="18"/>
              </w:rPr>
              <w:br/>
              <w:t>и распознавания изображений</w:t>
            </w:r>
          </w:p>
        </w:tc>
        <w:tc>
          <w:tcPr>
            <w:tcW w:w="1026" w:type="pct"/>
            <w:shd w:val="clear" w:color="000000" w:fill="FFFFFF"/>
          </w:tcPr>
          <w:p w14:paraId="1C82DE83" w14:textId="77777777" w:rsidR="00766F9E" w:rsidRPr="00B0658A" w:rsidRDefault="00766F9E" w:rsidP="00766F9E">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3" w:type="pct"/>
            <w:shd w:val="clear" w:color="000000" w:fill="FFFFFF"/>
            <w:vAlign w:val="center"/>
          </w:tcPr>
          <w:p w14:paraId="639F0B2C"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35%</w:t>
            </w:r>
          </w:p>
        </w:tc>
        <w:tc>
          <w:tcPr>
            <w:tcW w:w="364" w:type="pct"/>
            <w:shd w:val="clear" w:color="000000" w:fill="FFFFFF"/>
            <w:vAlign w:val="center"/>
          </w:tcPr>
          <w:p w14:paraId="677C910A"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45%</w:t>
            </w:r>
          </w:p>
        </w:tc>
        <w:tc>
          <w:tcPr>
            <w:tcW w:w="364" w:type="pct"/>
            <w:shd w:val="clear" w:color="000000" w:fill="FFFFFF"/>
            <w:vAlign w:val="center"/>
          </w:tcPr>
          <w:p w14:paraId="30D528B7"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55%</w:t>
            </w:r>
          </w:p>
        </w:tc>
        <w:tc>
          <w:tcPr>
            <w:tcW w:w="376" w:type="pct"/>
            <w:shd w:val="clear" w:color="000000" w:fill="FFFFFF"/>
            <w:vAlign w:val="center"/>
          </w:tcPr>
          <w:p w14:paraId="7C87C686"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4" w:type="pct"/>
            <w:shd w:val="clear" w:color="000000" w:fill="FFFFFF"/>
            <w:vAlign w:val="center"/>
          </w:tcPr>
          <w:p w14:paraId="7FD7FEE8"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70%</w:t>
            </w:r>
          </w:p>
        </w:tc>
        <w:tc>
          <w:tcPr>
            <w:tcW w:w="364" w:type="pct"/>
            <w:shd w:val="clear" w:color="000000" w:fill="FFFFFF"/>
            <w:vAlign w:val="center"/>
          </w:tcPr>
          <w:p w14:paraId="1C5B10C8"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lang w:val="en-US"/>
              </w:rPr>
              <w:t>90%</w:t>
            </w:r>
          </w:p>
        </w:tc>
        <w:tc>
          <w:tcPr>
            <w:tcW w:w="358" w:type="pct"/>
            <w:shd w:val="clear" w:color="000000" w:fill="FFFFFF"/>
            <w:vAlign w:val="center"/>
          </w:tcPr>
          <w:p w14:paraId="6C9F7DEE" w14:textId="77777777" w:rsidR="00766F9E" w:rsidRPr="00B0658A" w:rsidRDefault="00766F9E" w:rsidP="00766F9E">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bl>
    <w:p w14:paraId="45787CDF" w14:textId="17FE200E" w:rsidR="00E95F93" w:rsidRPr="00641C33" w:rsidRDefault="00137ECB" w:rsidP="00641C33">
      <w:pPr>
        <w:spacing w:before="120" w:after="0" w:line="240" w:lineRule="auto"/>
        <w:ind w:firstLine="142"/>
        <w:jc w:val="both"/>
        <w:rPr>
          <w:rFonts w:ascii="Times New Roman" w:hAnsi="Times New Roman"/>
          <w:sz w:val="20"/>
          <w:szCs w:val="24"/>
        </w:rPr>
      </w:pPr>
      <w:r w:rsidRPr="00216F73">
        <w:rPr>
          <w:rFonts w:ascii="Times New Roman" w:hAnsi="Times New Roman"/>
          <w:sz w:val="20"/>
          <w:szCs w:val="24"/>
        </w:rPr>
        <w:t>*</w:t>
      </w:r>
      <w:r w:rsidRPr="00216F73">
        <w:rPr>
          <w:sz w:val="16"/>
        </w:rPr>
        <w:t xml:space="preserve"> </w:t>
      </w:r>
      <w:r>
        <w:rPr>
          <w:rFonts w:ascii="Times New Roman" w:hAnsi="Times New Roman"/>
          <w:sz w:val="20"/>
          <w:szCs w:val="24"/>
        </w:rPr>
        <w:t>показатели эффективности устанавливаются в соответствии с</w:t>
      </w:r>
      <w:r w:rsidRPr="00137ECB">
        <w:rPr>
          <w:rFonts w:ascii="Times New Roman" w:hAnsi="Times New Roman"/>
          <w:sz w:val="20"/>
          <w:szCs w:val="24"/>
        </w:rPr>
        <w:t xml:space="preserve"> </w:t>
      </w:r>
      <w:r>
        <w:rPr>
          <w:rFonts w:ascii="Times New Roman" w:hAnsi="Times New Roman"/>
          <w:sz w:val="20"/>
          <w:szCs w:val="24"/>
        </w:rPr>
        <w:t>п.75 и п.76 настоящих методических рекомендаций.</w:t>
      </w:r>
      <w:r w:rsidR="00E95F93" w:rsidRPr="00B0658A">
        <w:rPr>
          <w:rFonts w:ascii="Times New Roman" w:hAnsi="Times New Roman"/>
          <w:sz w:val="28"/>
          <w:szCs w:val="24"/>
        </w:rPr>
        <w:br w:type="page"/>
      </w:r>
    </w:p>
    <w:p w14:paraId="3A5B593E" w14:textId="3BCDEFE9" w:rsidR="008319FB" w:rsidRPr="00B0658A" w:rsidRDefault="008319FB" w:rsidP="008319FB">
      <w:pPr>
        <w:pStyle w:val="11"/>
        <w:spacing w:before="120" w:after="0" w:line="240" w:lineRule="auto"/>
        <w:jc w:val="right"/>
        <w:rPr>
          <w:rFonts w:cs="Times New Roman"/>
          <w:szCs w:val="28"/>
        </w:rPr>
      </w:pPr>
      <w:bookmarkStart w:id="32" w:name="_Toc116390903"/>
      <w:bookmarkStart w:id="33" w:name="_Toc116632274"/>
      <w:r w:rsidRPr="00B0658A">
        <w:rPr>
          <w:rFonts w:cs="Times New Roman"/>
          <w:szCs w:val="28"/>
        </w:rPr>
        <w:t>Приложение № 7</w:t>
      </w:r>
      <w:r w:rsidRPr="00B0658A">
        <w:rPr>
          <w:rFonts w:cs="Times New Roman"/>
          <w:szCs w:val="28"/>
        </w:rPr>
        <w:br/>
      </w:r>
      <w:r w:rsidRPr="00B0658A">
        <w:rPr>
          <w:rFonts w:cs="Times New Roman"/>
          <w:szCs w:val="24"/>
        </w:rPr>
        <w:t>Рекомендованные показатели эффективности в отношении закупок ПО и связанных с ним работ и услуг, проводимых подведомственными организациями</w:t>
      </w:r>
      <w:bookmarkEnd w:id="32"/>
      <w:bookmarkEnd w:id="33"/>
      <w:r w:rsidRPr="00B0658A">
        <w:rPr>
          <w:rFonts w:cs="Times New Roman"/>
          <w:szCs w:val="24"/>
        </w:rPr>
        <w:t xml:space="preserve"> </w:t>
      </w:r>
    </w:p>
    <w:p w14:paraId="5D7B7E62" w14:textId="77777777" w:rsidR="008319FB" w:rsidRPr="00B0658A" w:rsidRDefault="008319FB" w:rsidP="008319FB">
      <w:pPr>
        <w:rPr>
          <w:rFonts w:ascii="Times New Roman" w:hAnsi="Times New Roman"/>
          <w:highlight w:val="yellow"/>
        </w:rPr>
      </w:pPr>
    </w:p>
    <w:p w14:paraId="65AC4DCA" w14:textId="77777777" w:rsidR="006A39D3" w:rsidRPr="00B0658A" w:rsidRDefault="006A39D3" w:rsidP="006A39D3">
      <w:pPr>
        <w:pStyle w:val="ConsPlusNormal"/>
        <w:spacing w:before="120"/>
        <w:ind w:firstLine="709"/>
        <w:jc w:val="both"/>
      </w:pPr>
      <w:r w:rsidRPr="00B0658A">
        <w:rPr>
          <w:sz w:val="28"/>
        </w:rPr>
        <w:t>Ниже представлены рекомендованные показатели эффективности в отношении закупок ПО и связанных с ним работ и услуг, проводимых подведомственными организациями</w:t>
      </w:r>
    </w:p>
    <w:tbl>
      <w:tblPr>
        <w:tblW w:w="5000" w:type="pct"/>
        <w:tblCellMar>
          <w:top w:w="102" w:type="dxa"/>
          <w:left w:w="62" w:type="dxa"/>
          <w:bottom w:w="102" w:type="dxa"/>
          <w:right w:w="62" w:type="dxa"/>
        </w:tblCellMar>
        <w:tblLook w:val="0000" w:firstRow="0" w:lastRow="0" w:firstColumn="0" w:lastColumn="0" w:noHBand="0" w:noVBand="0"/>
      </w:tblPr>
      <w:tblGrid>
        <w:gridCol w:w="2257"/>
        <w:gridCol w:w="1950"/>
        <w:gridCol w:w="1949"/>
        <w:gridCol w:w="1949"/>
        <w:gridCol w:w="1949"/>
        <w:gridCol w:w="1949"/>
        <w:gridCol w:w="1941"/>
      </w:tblGrid>
      <w:tr w:rsidR="00F52FED" w:rsidRPr="00B0658A" w14:paraId="7B09A323" w14:textId="77777777" w:rsidTr="006A39D3">
        <w:trPr>
          <w:trHeight w:val="407"/>
        </w:trPr>
        <w:tc>
          <w:tcPr>
            <w:tcW w:w="809"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E313692" w14:textId="77777777" w:rsidR="006A39D3" w:rsidRPr="00B0658A" w:rsidRDefault="006A39D3" w:rsidP="000A4114">
            <w:pPr>
              <w:spacing w:after="0" w:line="240" w:lineRule="auto"/>
              <w:jc w:val="center"/>
              <w:rPr>
                <w:rFonts w:ascii="Times New Roman" w:hAnsi="Times New Roman"/>
                <w:sz w:val="18"/>
                <w:szCs w:val="18"/>
              </w:rPr>
            </w:pPr>
            <w:r w:rsidRPr="00B0658A">
              <w:rPr>
                <w:rFonts w:ascii="Times New Roman" w:hAnsi="Times New Roman"/>
                <w:b/>
                <w:bCs/>
                <w:sz w:val="18"/>
                <w:szCs w:val="18"/>
              </w:rPr>
              <w:t>Показатель</w:t>
            </w:r>
          </w:p>
        </w:tc>
        <w:tc>
          <w:tcPr>
            <w:tcW w:w="699"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1074000" w14:textId="77777777" w:rsidR="006A39D3" w:rsidRPr="00B0658A" w:rsidRDefault="006A39D3" w:rsidP="000A4114">
            <w:pPr>
              <w:spacing w:after="0" w:line="240" w:lineRule="auto"/>
              <w:jc w:val="center"/>
              <w:rPr>
                <w:rFonts w:ascii="Times New Roman" w:hAnsi="Times New Roman"/>
                <w:b/>
                <w:bCs/>
                <w:sz w:val="18"/>
                <w:szCs w:val="18"/>
              </w:rPr>
            </w:pPr>
            <w:r w:rsidRPr="00B0658A">
              <w:rPr>
                <w:rFonts w:ascii="Times New Roman" w:hAnsi="Times New Roman"/>
                <w:b/>
                <w:bCs/>
                <w:sz w:val="18"/>
                <w:szCs w:val="18"/>
              </w:rPr>
              <w:t>2022 г.</w:t>
            </w:r>
          </w:p>
        </w:tc>
        <w:tc>
          <w:tcPr>
            <w:tcW w:w="699"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E2F2C58" w14:textId="77777777" w:rsidR="006A39D3" w:rsidRPr="00B0658A" w:rsidRDefault="006A39D3" w:rsidP="000A4114">
            <w:pPr>
              <w:spacing w:after="0" w:line="240" w:lineRule="auto"/>
              <w:jc w:val="center"/>
              <w:rPr>
                <w:rFonts w:ascii="Times New Roman" w:hAnsi="Times New Roman"/>
                <w:b/>
                <w:bCs/>
                <w:sz w:val="18"/>
                <w:szCs w:val="18"/>
              </w:rPr>
            </w:pPr>
            <w:r w:rsidRPr="00B0658A">
              <w:rPr>
                <w:rFonts w:ascii="Times New Roman" w:hAnsi="Times New Roman"/>
                <w:b/>
                <w:bCs/>
                <w:sz w:val="18"/>
                <w:szCs w:val="18"/>
              </w:rPr>
              <w:t>2023 г.</w:t>
            </w:r>
          </w:p>
        </w:tc>
        <w:tc>
          <w:tcPr>
            <w:tcW w:w="699"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2C51ED6" w14:textId="77777777" w:rsidR="006A39D3" w:rsidRPr="00B0658A" w:rsidRDefault="006A39D3" w:rsidP="000A4114">
            <w:pPr>
              <w:spacing w:after="0" w:line="240" w:lineRule="auto"/>
              <w:jc w:val="center"/>
              <w:rPr>
                <w:rFonts w:ascii="Times New Roman" w:hAnsi="Times New Roman"/>
                <w:b/>
                <w:bCs/>
                <w:sz w:val="18"/>
                <w:szCs w:val="18"/>
              </w:rPr>
            </w:pPr>
            <w:r w:rsidRPr="00B0658A">
              <w:rPr>
                <w:rFonts w:ascii="Times New Roman" w:hAnsi="Times New Roman"/>
                <w:b/>
                <w:bCs/>
                <w:sz w:val="18"/>
                <w:szCs w:val="18"/>
              </w:rPr>
              <w:t>2024 г.</w:t>
            </w:r>
          </w:p>
        </w:tc>
        <w:tc>
          <w:tcPr>
            <w:tcW w:w="699"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F3CBCBF" w14:textId="77777777" w:rsidR="006A39D3" w:rsidRPr="00B0658A" w:rsidRDefault="006A39D3" w:rsidP="000A4114">
            <w:pPr>
              <w:spacing w:after="0" w:line="240" w:lineRule="auto"/>
              <w:jc w:val="center"/>
              <w:rPr>
                <w:rFonts w:ascii="Times New Roman" w:hAnsi="Times New Roman"/>
                <w:b/>
                <w:bCs/>
                <w:sz w:val="18"/>
                <w:szCs w:val="18"/>
              </w:rPr>
            </w:pPr>
            <w:r w:rsidRPr="00B0658A">
              <w:rPr>
                <w:rFonts w:ascii="Times New Roman" w:hAnsi="Times New Roman"/>
                <w:b/>
                <w:bCs/>
                <w:sz w:val="18"/>
                <w:szCs w:val="18"/>
              </w:rPr>
              <w:t>2025 г.</w:t>
            </w:r>
          </w:p>
        </w:tc>
        <w:tc>
          <w:tcPr>
            <w:tcW w:w="699"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821F6C1" w14:textId="77777777" w:rsidR="006A39D3" w:rsidRPr="00B0658A" w:rsidRDefault="006A39D3" w:rsidP="000A4114">
            <w:pPr>
              <w:spacing w:after="0" w:line="240" w:lineRule="auto"/>
              <w:jc w:val="center"/>
              <w:rPr>
                <w:rFonts w:ascii="Times New Roman" w:hAnsi="Times New Roman"/>
                <w:b/>
                <w:bCs/>
                <w:sz w:val="18"/>
                <w:szCs w:val="18"/>
              </w:rPr>
            </w:pPr>
            <w:r w:rsidRPr="00B0658A">
              <w:rPr>
                <w:rFonts w:ascii="Times New Roman" w:hAnsi="Times New Roman"/>
                <w:b/>
                <w:bCs/>
                <w:sz w:val="18"/>
                <w:szCs w:val="18"/>
              </w:rPr>
              <w:t>2026 г.</w:t>
            </w:r>
          </w:p>
        </w:tc>
        <w:tc>
          <w:tcPr>
            <w:tcW w:w="696"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A041E42" w14:textId="77777777" w:rsidR="006A39D3" w:rsidRPr="00B0658A" w:rsidRDefault="006A39D3" w:rsidP="000A4114">
            <w:pPr>
              <w:spacing w:after="0" w:line="240" w:lineRule="auto"/>
              <w:jc w:val="center"/>
              <w:rPr>
                <w:rFonts w:ascii="Times New Roman" w:hAnsi="Times New Roman"/>
                <w:b/>
                <w:bCs/>
                <w:sz w:val="18"/>
                <w:szCs w:val="18"/>
              </w:rPr>
            </w:pPr>
            <w:r w:rsidRPr="00B0658A">
              <w:rPr>
                <w:rFonts w:ascii="Times New Roman" w:hAnsi="Times New Roman"/>
                <w:b/>
                <w:bCs/>
                <w:sz w:val="18"/>
                <w:szCs w:val="18"/>
              </w:rPr>
              <w:t>2027 г.</w:t>
            </w:r>
          </w:p>
        </w:tc>
      </w:tr>
      <w:tr w:rsidR="006A39D3" w:rsidRPr="00B0658A" w14:paraId="57191F0B" w14:textId="77777777" w:rsidTr="006A39D3">
        <w:trPr>
          <w:trHeight w:val="407"/>
        </w:trPr>
        <w:tc>
          <w:tcPr>
            <w:tcW w:w="809" w:type="pct"/>
            <w:tcBorders>
              <w:top w:val="single" w:sz="4" w:space="0" w:color="auto"/>
              <w:left w:val="single" w:sz="4" w:space="0" w:color="auto"/>
              <w:bottom w:val="single" w:sz="4" w:space="0" w:color="auto"/>
              <w:right w:val="single" w:sz="4" w:space="0" w:color="auto"/>
            </w:tcBorders>
          </w:tcPr>
          <w:p w14:paraId="3BC47BC3" w14:textId="77777777" w:rsidR="006A39D3" w:rsidRPr="00B0658A" w:rsidRDefault="006A39D3" w:rsidP="000A4114">
            <w:pPr>
              <w:pStyle w:val="ConsPlusNormal"/>
              <w:rPr>
                <w:sz w:val="18"/>
                <w:szCs w:val="18"/>
              </w:rPr>
            </w:pPr>
            <w:r w:rsidRPr="00B0658A">
              <w:rPr>
                <w:sz w:val="18"/>
                <w:szCs w:val="18"/>
              </w:rPr>
              <w:t>Доля расходов на закупку российского ПО  и связанных с ним работ (услуг) в общем объеме расходов на закупку ПО и связанных с ним работ (услуг), %</w:t>
            </w:r>
          </w:p>
        </w:tc>
        <w:tc>
          <w:tcPr>
            <w:tcW w:w="699" w:type="pct"/>
            <w:tcBorders>
              <w:top w:val="single" w:sz="4" w:space="0" w:color="auto"/>
              <w:left w:val="single" w:sz="4" w:space="0" w:color="auto"/>
              <w:bottom w:val="single" w:sz="4" w:space="0" w:color="auto"/>
              <w:right w:val="single" w:sz="4" w:space="0" w:color="auto"/>
            </w:tcBorders>
            <w:vAlign w:val="center"/>
          </w:tcPr>
          <w:p w14:paraId="7BCCC007" w14:textId="77777777" w:rsidR="006A39D3" w:rsidRPr="00B0658A" w:rsidRDefault="006A39D3" w:rsidP="000A4114">
            <w:pPr>
              <w:pStyle w:val="ConsPlusNormal"/>
              <w:jc w:val="center"/>
              <w:rPr>
                <w:sz w:val="18"/>
                <w:szCs w:val="18"/>
              </w:rPr>
            </w:pPr>
            <w:r w:rsidRPr="00B0658A">
              <w:rPr>
                <w:sz w:val="18"/>
                <w:szCs w:val="18"/>
              </w:rPr>
              <w:t>Не менее 80%</w:t>
            </w:r>
          </w:p>
        </w:tc>
        <w:tc>
          <w:tcPr>
            <w:tcW w:w="699" w:type="pct"/>
            <w:tcBorders>
              <w:top w:val="single" w:sz="4" w:space="0" w:color="auto"/>
              <w:left w:val="single" w:sz="4" w:space="0" w:color="auto"/>
              <w:bottom w:val="single" w:sz="4" w:space="0" w:color="auto"/>
              <w:right w:val="single" w:sz="4" w:space="0" w:color="auto"/>
            </w:tcBorders>
            <w:vAlign w:val="center"/>
          </w:tcPr>
          <w:p w14:paraId="78EFC4BA" w14:textId="77777777" w:rsidR="006A39D3" w:rsidRPr="00B0658A" w:rsidRDefault="006A39D3" w:rsidP="000A4114">
            <w:pPr>
              <w:pStyle w:val="ConsPlusNormal"/>
              <w:jc w:val="center"/>
              <w:rPr>
                <w:sz w:val="18"/>
                <w:szCs w:val="18"/>
              </w:rPr>
            </w:pPr>
            <w:r w:rsidRPr="00B0658A">
              <w:rPr>
                <w:sz w:val="18"/>
                <w:szCs w:val="18"/>
              </w:rPr>
              <w:t>Не менее 80%</w:t>
            </w:r>
          </w:p>
        </w:tc>
        <w:tc>
          <w:tcPr>
            <w:tcW w:w="699" w:type="pct"/>
            <w:tcBorders>
              <w:top w:val="single" w:sz="4" w:space="0" w:color="auto"/>
              <w:left w:val="single" w:sz="4" w:space="0" w:color="auto"/>
              <w:bottom w:val="single" w:sz="4" w:space="0" w:color="auto"/>
              <w:right w:val="single" w:sz="4" w:space="0" w:color="auto"/>
            </w:tcBorders>
            <w:vAlign w:val="center"/>
          </w:tcPr>
          <w:p w14:paraId="215AFAE6" w14:textId="77777777" w:rsidR="006A39D3" w:rsidRPr="00B0658A" w:rsidRDefault="006A39D3" w:rsidP="000A4114">
            <w:pPr>
              <w:pStyle w:val="ConsPlusNormal"/>
              <w:jc w:val="center"/>
              <w:rPr>
                <w:sz w:val="18"/>
                <w:szCs w:val="18"/>
              </w:rPr>
            </w:pPr>
            <w:r w:rsidRPr="00B0658A">
              <w:rPr>
                <w:sz w:val="18"/>
                <w:szCs w:val="18"/>
              </w:rPr>
              <w:t>Не менее 80%</w:t>
            </w:r>
          </w:p>
        </w:tc>
        <w:tc>
          <w:tcPr>
            <w:tcW w:w="699" w:type="pct"/>
            <w:tcBorders>
              <w:top w:val="single" w:sz="4" w:space="0" w:color="auto"/>
              <w:left w:val="single" w:sz="4" w:space="0" w:color="auto"/>
              <w:bottom w:val="single" w:sz="4" w:space="0" w:color="auto"/>
              <w:right w:val="single" w:sz="4" w:space="0" w:color="auto"/>
            </w:tcBorders>
            <w:vAlign w:val="center"/>
          </w:tcPr>
          <w:p w14:paraId="3A580F9D" w14:textId="77777777" w:rsidR="006A39D3" w:rsidRPr="00B0658A" w:rsidRDefault="006A39D3" w:rsidP="000A4114">
            <w:pPr>
              <w:pStyle w:val="ConsPlusNormal"/>
              <w:jc w:val="center"/>
              <w:rPr>
                <w:sz w:val="18"/>
                <w:szCs w:val="18"/>
              </w:rPr>
            </w:pPr>
            <w:r w:rsidRPr="00B0658A">
              <w:rPr>
                <w:sz w:val="18"/>
                <w:szCs w:val="18"/>
              </w:rPr>
              <w:t>Не менее 80%</w:t>
            </w:r>
          </w:p>
        </w:tc>
        <w:tc>
          <w:tcPr>
            <w:tcW w:w="699" w:type="pct"/>
            <w:tcBorders>
              <w:top w:val="single" w:sz="4" w:space="0" w:color="auto"/>
              <w:left w:val="single" w:sz="4" w:space="0" w:color="auto"/>
              <w:bottom w:val="single" w:sz="4" w:space="0" w:color="auto"/>
              <w:right w:val="single" w:sz="4" w:space="0" w:color="auto"/>
            </w:tcBorders>
            <w:vAlign w:val="center"/>
          </w:tcPr>
          <w:p w14:paraId="5F5BCD81" w14:textId="284D4B6E" w:rsidR="006A39D3" w:rsidRPr="00B0658A" w:rsidRDefault="006A39D3" w:rsidP="000A4114">
            <w:pPr>
              <w:pStyle w:val="ConsPlusNormal"/>
              <w:jc w:val="center"/>
              <w:rPr>
                <w:sz w:val="18"/>
                <w:szCs w:val="18"/>
              </w:rPr>
            </w:pPr>
            <w:r w:rsidRPr="00B0658A">
              <w:rPr>
                <w:sz w:val="18"/>
                <w:szCs w:val="18"/>
              </w:rPr>
              <w:t xml:space="preserve">Не менее </w:t>
            </w:r>
            <w:r w:rsidR="00D7781B">
              <w:rPr>
                <w:sz w:val="18"/>
                <w:szCs w:val="18"/>
              </w:rPr>
              <w:t>9</w:t>
            </w:r>
            <w:r w:rsidRPr="00B0658A">
              <w:rPr>
                <w:sz w:val="18"/>
                <w:szCs w:val="18"/>
              </w:rPr>
              <w:t>0%</w:t>
            </w:r>
          </w:p>
        </w:tc>
        <w:tc>
          <w:tcPr>
            <w:tcW w:w="696" w:type="pct"/>
            <w:tcBorders>
              <w:top w:val="single" w:sz="4" w:space="0" w:color="auto"/>
              <w:left w:val="single" w:sz="4" w:space="0" w:color="auto"/>
              <w:bottom w:val="single" w:sz="4" w:space="0" w:color="auto"/>
              <w:right w:val="single" w:sz="4" w:space="0" w:color="auto"/>
            </w:tcBorders>
            <w:vAlign w:val="center"/>
          </w:tcPr>
          <w:p w14:paraId="5FE7B50A" w14:textId="743C2ACC" w:rsidR="006A39D3" w:rsidRPr="00B0658A" w:rsidRDefault="006A39D3" w:rsidP="000A4114">
            <w:pPr>
              <w:pStyle w:val="ConsPlusNormal"/>
              <w:jc w:val="center"/>
              <w:rPr>
                <w:sz w:val="18"/>
                <w:szCs w:val="18"/>
              </w:rPr>
            </w:pPr>
            <w:r w:rsidRPr="00B0658A">
              <w:rPr>
                <w:sz w:val="18"/>
                <w:szCs w:val="18"/>
              </w:rPr>
              <w:t xml:space="preserve">Не менее </w:t>
            </w:r>
            <w:r w:rsidR="00D7781B">
              <w:rPr>
                <w:sz w:val="18"/>
                <w:szCs w:val="18"/>
              </w:rPr>
              <w:t>9</w:t>
            </w:r>
            <w:r w:rsidRPr="00B0658A">
              <w:rPr>
                <w:sz w:val="18"/>
                <w:szCs w:val="18"/>
              </w:rPr>
              <w:t>0%</w:t>
            </w:r>
          </w:p>
        </w:tc>
      </w:tr>
    </w:tbl>
    <w:p w14:paraId="79C8BDBD" w14:textId="77777777" w:rsidR="008319FB" w:rsidRPr="00B0658A" w:rsidRDefault="008319FB" w:rsidP="008319FB">
      <w:pPr>
        <w:rPr>
          <w:rFonts w:ascii="Times New Roman" w:hAnsi="Times New Roman"/>
        </w:rPr>
      </w:pPr>
    </w:p>
    <w:p w14:paraId="2523E636" w14:textId="77777777" w:rsidR="006A39D3" w:rsidRPr="00B0658A" w:rsidRDefault="006A39D3">
      <w:pPr>
        <w:spacing w:after="0" w:line="240" w:lineRule="auto"/>
        <w:rPr>
          <w:rFonts w:ascii="Times New Roman" w:hAnsi="Times New Roman"/>
        </w:rPr>
      </w:pPr>
      <w:r w:rsidRPr="00B0658A">
        <w:rPr>
          <w:rFonts w:ascii="Times New Roman" w:hAnsi="Times New Roman"/>
        </w:rPr>
        <w:br w:type="page"/>
      </w:r>
    </w:p>
    <w:p w14:paraId="6D43647B" w14:textId="7C9EBC51" w:rsidR="008319FB" w:rsidRPr="00B0658A" w:rsidRDefault="008319FB" w:rsidP="008319FB">
      <w:pPr>
        <w:pStyle w:val="11"/>
        <w:spacing w:before="120" w:after="0" w:line="240" w:lineRule="auto"/>
        <w:jc w:val="right"/>
        <w:rPr>
          <w:rFonts w:cs="Times New Roman"/>
          <w:szCs w:val="24"/>
        </w:rPr>
      </w:pPr>
      <w:bookmarkStart w:id="34" w:name="_Toc116390904"/>
      <w:bookmarkStart w:id="35" w:name="_Toc116632275"/>
      <w:r w:rsidRPr="00B0658A">
        <w:rPr>
          <w:rFonts w:cs="Times New Roman"/>
          <w:szCs w:val="28"/>
        </w:rPr>
        <w:t>Приложение № 8</w:t>
      </w:r>
      <w:r w:rsidRPr="00B0658A">
        <w:rPr>
          <w:rFonts w:cs="Times New Roman"/>
          <w:szCs w:val="28"/>
        </w:rPr>
        <w:br/>
      </w:r>
      <w:r w:rsidRPr="00B0658A">
        <w:rPr>
          <w:rFonts w:cs="Times New Roman"/>
          <w:szCs w:val="24"/>
        </w:rPr>
        <w:t>Рекомендованные отчетные формы для представления сведений о ходе реализации Плана перехода на использование российского ПО и достижении показателей эффективности перехода на использование российского ПО подведомственными организациями</w:t>
      </w:r>
      <w:bookmarkEnd w:id="34"/>
      <w:bookmarkEnd w:id="35"/>
    </w:p>
    <w:p w14:paraId="4D72ABBC" w14:textId="77777777" w:rsidR="008319FB" w:rsidRPr="00B0658A" w:rsidRDefault="008319FB" w:rsidP="008319FB">
      <w:pPr>
        <w:rPr>
          <w:rFonts w:ascii="Times New Roman" w:hAnsi="Times New Roman"/>
          <w:highlight w:val="yellow"/>
        </w:rPr>
      </w:pPr>
    </w:p>
    <w:p w14:paraId="43331840" w14:textId="77777777" w:rsidR="008319FB" w:rsidRPr="00B0658A" w:rsidRDefault="008319FB" w:rsidP="00FB2975">
      <w:pPr>
        <w:rPr>
          <w:rFonts w:ascii="Times New Roman" w:hAnsi="Times New Roman"/>
          <w:b/>
          <w:sz w:val="28"/>
          <w:szCs w:val="28"/>
        </w:rPr>
      </w:pPr>
      <w:bookmarkStart w:id="36" w:name="_Toc116390905"/>
      <w:r w:rsidRPr="00B0658A">
        <w:rPr>
          <w:rFonts w:ascii="Times New Roman" w:hAnsi="Times New Roman"/>
          <w:b/>
          <w:sz w:val="28"/>
          <w:szCs w:val="28"/>
        </w:rPr>
        <w:t>Форма отчетности за квартальный период</w:t>
      </w:r>
      <w:bookmarkEnd w:id="36"/>
    </w:p>
    <w:p w14:paraId="1A3617A2" w14:textId="77777777" w:rsidR="008319FB" w:rsidRPr="00B0658A" w:rsidRDefault="008319FB" w:rsidP="008319FB">
      <w:pPr>
        <w:rPr>
          <w:rFonts w:ascii="Times New Roman" w:hAnsi="Times New Roman"/>
          <w:highlight w:val="yellow"/>
        </w:rPr>
      </w:pPr>
    </w:p>
    <w:p w14:paraId="28356729" w14:textId="77777777" w:rsidR="000159D9" w:rsidRPr="00B0658A" w:rsidRDefault="000159D9" w:rsidP="000159D9">
      <w:pPr>
        <w:pStyle w:val="ConsPlusNormal"/>
        <w:spacing w:before="120"/>
        <w:jc w:val="center"/>
        <w:rPr>
          <w:sz w:val="32"/>
          <w:szCs w:val="32"/>
        </w:rPr>
      </w:pPr>
      <w:r w:rsidRPr="00B0658A">
        <w:rPr>
          <w:sz w:val="32"/>
          <w:szCs w:val="32"/>
        </w:rPr>
        <w:t>Сведения о реализации плана перехода ______________ (полное наименование подведомственной организации) на использование российского ПО на период 2022-20</w:t>
      </w:r>
      <w:r w:rsidR="00D12D06" w:rsidRPr="00B0658A">
        <w:rPr>
          <w:sz w:val="32"/>
          <w:szCs w:val="32"/>
        </w:rPr>
        <w:t>27</w:t>
      </w:r>
      <w:r w:rsidRPr="00B0658A">
        <w:rPr>
          <w:sz w:val="32"/>
          <w:szCs w:val="32"/>
        </w:rPr>
        <w:t xml:space="preserve"> годы за ____квартал _______ года.</w:t>
      </w:r>
    </w:p>
    <w:p w14:paraId="23C36A69" w14:textId="77777777" w:rsidR="000159D9" w:rsidRPr="00B0658A" w:rsidRDefault="000159D9" w:rsidP="000159D9">
      <w:pPr>
        <w:spacing w:line="240" w:lineRule="auto"/>
        <w:ind w:firstLine="709"/>
        <w:jc w:val="both"/>
        <w:rPr>
          <w:rFonts w:ascii="Times New Roman" w:hAnsi="Times New Roman"/>
          <w:sz w:val="28"/>
          <w:szCs w:val="28"/>
        </w:rPr>
      </w:pPr>
    </w:p>
    <w:p w14:paraId="1AD601CF" w14:textId="77777777" w:rsidR="000159D9" w:rsidRPr="00B0658A" w:rsidRDefault="00902AE0" w:rsidP="000159D9">
      <w:pPr>
        <w:spacing w:line="240" w:lineRule="auto"/>
        <w:ind w:firstLine="709"/>
        <w:jc w:val="both"/>
        <w:rPr>
          <w:rFonts w:ascii="Times New Roman" w:hAnsi="Times New Roman"/>
          <w:sz w:val="28"/>
          <w:szCs w:val="28"/>
        </w:rPr>
      </w:pPr>
      <w:r w:rsidRPr="00B0658A">
        <w:rPr>
          <w:rFonts w:ascii="Times New Roman" w:hAnsi="Times New Roman"/>
          <w:sz w:val="28"/>
          <w:szCs w:val="28"/>
        </w:rPr>
        <w:t xml:space="preserve">1. </w:t>
      </w:r>
      <w:r w:rsidR="000159D9" w:rsidRPr="00B0658A">
        <w:rPr>
          <w:rFonts w:ascii="Times New Roman" w:hAnsi="Times New Roman"/>
          <w:sz w:val="28"/>
          <w:szCs w:val="28"/>
        </w:rPr>
        <w:t>Сведения о достижении показателей эффективности в отношении закупок ПО и финансового обеспечения перехода на использование российского ПО</w:t>
      </w:r>
    </w:p>
    <w:tbl>
      <w:tblPr>
        <w:tblStyle w:val="afc"/>
        <w:tblW w:w="5000" w:type="pct"/>
        <w:tblLook w:val="04A0" w:firstRow="1" w:lastRow="0" w:firstColumn="1" w:lastColumn="0" w:noHBand="0" w:noVBand="1"/>
      </w:tblPr>
      <w:tblGrid>
        <w:gridCol w:w="522"/>
        <w:gridCol w:w="2457"/>
        <w:gridCol w:w="1054"/>
        <w:gridCol w:w="3188"/>
        <w:gridCol w:w="3190"/>
        <w:gridCol w:w="3533"/>
      </w:tblGrid>
      <w:tr w:rsidR="00F52FED" w:rsidRPr="00B0658A" w14:paraId="3425F223" w14:textId="77777777" w:rsidTr="00F57B1F">
        <w:trPr>
          <w:trHeight w:val="58"/>
          <w:tblHeader/>
        </w:trPr>
        <w:tc>
          <w:tcPr>
            <w:tcW w:w="187" w:type="pct"/>
            <w:vMerge w:val="restart"/>
            <w:vAlign w:val="center"/>
          </w:tcPr>
          <w:p w14:paraId="1F101680" w14:textId="77777777" w:rsidR="000159D9" w:rsidRPr="00B0658A" w:rsidRDefault="000159D9" w:rsidP="000A4114">
            <w:pPr>
              <w:spacing w:after="0" w:line="240" w:lineRule="auto"/>
              <w:jc w:val="center"/>
              <w:rPr>
                <w:rFonts w:ascii="Times New Roman" w:hAnsi="Times New Roman"/>
                <w:b/>
                <w:bCs/>
                <w:sz w:val="20"/>
                <w:szCs w:val="20"/>
              </w:rPr>
            </w:pPr>
            <w:r w:rsidRPr="00B0658A">
              <w:rPr>
                <w:rFonts w:ascii="Times New Roman" w:hAnsi="Times New Roman"/>
                <w:b/>
                <w:bCs/>
                <w:sz w:val="20"/>
                <w:szCs w:val="20"/>
              </w:rPr>
              <w:t>№</w:t>
            </w:r>
          </w:p>
        </w:tc>
        <w:tc>
          <w:tcPr>
            <w:tcW w:w="881" w:type="pct"/>
            <w:vMerge w:val="restart"/>
            <w:vAlign w:val="center"/>
          </w:tcPr>
          <w:p w14:paraId="473BFE19" w14:textId="77777777" w:rsidR="000159D9" w:rsidRPr="00B0658A" w:rsidRDefault="000159D9" w:rsidP="000A4114">
            <w:pPr>
              <w:spacing w:after="0" w:line="240" w:lineRule="auto"/>
              <w:jc w:val="center"/>
              <w:rPr>
                <w:rFonts w:ascii="Times New Roman" w:hAnsi="Times New Roman"/>
                <w:b/>
                <w:bCs/>
                <w:sz w:val="20"/>
                <w:szCs w:val="20"/>
              </w:rPr>
            </w:pPr>
            <w:r w:rsidRPr="00B0658A">
              <w:rPr>
                <w:rFonts w:ascii="Times New Roman" w:hAnsi="Times New Roman"/>
                <w:b/>
                <w:bCs/>
                <w:sz w:val="20"/>
                <w:szCs w:val="20"/>
              </w:rPr>
              <w:t>Наименование показателя</w:t>
            </w:r>
          </w:p>
        </w:tc>
        <w:tc>
          <w:tcPr>
            <w:tcW w:w="378" w:type="pct"/>
            <w:vMerge w:val="restart"/>
            <w:vAlign w:val="center"/>
          </w:tcPr>
          <w:p w14:paraId="638FD780" w14:textId="77777777" w:rsidR="000159D9" w:rsidRPr="00B0658A" w:rsidRDefault="000159D9" w:rsidP="000A4114">
            <w:pPr>
              <w:spacing w:after="0" w:line="240" w:lineRule="auto"/>
              <w:jc w:val="center"/>
              <w:rPr>
                <w:rFonts w:ascii="Times New Roman" w:hAnsi="Times New Roman"/>
                <w:b/>
                <w:bCs/>
                <w:sz w:val="20"/>
                <w:szCs w:val="20"/>
              </w:rPr>
            </w:pPr>
            <w:r w:rsidRPr="00B0658A">
              <w:rPr>
                <w:rFonts w:ascii="Times New Roman" w:hAnsi="Times New Roman"/>
                <w:b/>
                <w:bCs/>
                <w:sz w:val="20"/>
                <w:szCs w:val="20"/>
              </w:rPr>
              <w:t>Ед. изм.</w:t>
            </w:r>
          </w:p>
        </w:tc>
        <w:tc>
          <w:tcPr>
            <w:tcW w:w="2287" w:type="pct"/>
            <w:gridSpan w:val="2"/>
            <w:vAlign w:val="center"/>
          </w:tcPr>
          <w:p w14:paraId="204B4236" w14:textId="77777777" w:rsidR="000159D9" w:rsidRPr="00B0658A" w:rsidRDefault="000159D9" w:rsidP="000A4114">
            <w:pPr>
              <w:spacing w:after="0" w:line="240" w:lineRule="auto"/>
              <w:jc w:val="center"/>
              <w:rPr>
                <w:rFonts w:ascii="Times New Roman" w:hAnsi="Times New Roman"/>
                <w:b/>
                <w:bCs/>
                <w:sz w:val="20"/>
                <w:szCs w:val="20"/>
              </w:rPr>
            </w:pPr>
            <w:r w:rsidRPr="00B0658A">
              <w:rPr>
                <w:rFonts w:ascii="Times New Roman" w:hAnsi="Times New Roman"/>
                <w:b/>
                <w:bCs/>
                <w:sz w:val="20"/>
                <w:szCs w:val="20"/>
              </w:rPr>
              <w:t>Сведения о достижении показателей эффективности за ______ квартал _______ г.</w:t>
            </w:r>
          </w:p>
        </w:tc>
        <w:tc>
          <w:tcPr>
            <w:tcW w:w="1267" w:type="pct"/>
            <w:vMerge w:val="restart"/>
            <w:vAlign w:val="center"/>
          </w:tcPr>
          <w:p w14:paraId="0237DD00" w14:textId="77777777" w:rsidR="000159D9" w:rsidRPr="00B0658A" w:rsidRDefault="000159D9" w:rsidP="000A4114">
            <w:pPr>
              <w:spacing w:after="0" w:line="240" w:lineRule="auto"/>
              <w:jc w:val="center"/>
              <w:rPr>
                <w:rFonts w:ascii="Times New Roman" w:hAnsi="Times New Roman"/>
                <w:b/>
                <w:bCs/>
                <w:sz w:val="20"/>
                <w:szCs w:val="20"/>
              </w:rPr>
            </w:pPr>
            <w:r w:rsidRPr="00B0658A">
              <w:rPr>
                <w:rFonts w:ascii="Times New Roman" w:hAnsi="Times New Roman"/>
                <w:b/>
                <w:bCs/>
                <w:sz w:val="20"/>
                <w:szCs w:val="20"/>
              </w:rPr>
              <w:t>Комментарии</w:t>
            </w:r>
          </w:p>
        </w:tc>
      </w:tr>
      <w:tr w:rsidR="00F52FED" w:rsidRPr="00B0658A" w14:paraId="7D268E4D" w14:textId="77777777" w:rsidTr="00B10FDE">
        <w:trPr>
          <w:trHeight w:val="58"/>
        </w:trPr>
        <w:tc>
          <w:tcPr>
            <w:tcW w:w="187" w:type="pct"/>
            <w:vMerge/>
            <w:vAlign w:val="center"/>
          </w:tcPr>
          <w:p w14:paraId="2EC6F7D8" w14:textId="77777777" w:rsidR="000159D9" w:rsidRPr="00B0658A" w:rsidRDefault="000159D9" w:rsidP="000A4114">
            <w:pPr>
              <w:spacing w:after="0" w:line="240" w:lineRule="auto"/>
              <w:jc w:val="center"/>
              <w:rPr>
                <w:rFonts w:ascii="Times New Roman" w:hAnsi="Times New Roman"/>
                <w:b/>
                <w:bCs/>
                <w:sz w:val="20"/>
                <w:szCs w:val="20"/>
              </w:rPr>
            </w:pPr>
          </w:p>
        </w:tc>
        <w:tc>
          <w:tcPr>
            <w:tcW w:w="881" w:type="pct"/>
            <w:vMerge/>
            <w:vAlign w:val="center"/>
          </w:tcPr>
          <w:p w14:paraId="221EDCC2" w14:textId="77777777" w:rsidR="000159D9" w:rsidRPr="00B0658A" w:rsidRDefault="000159D9" w:rsidP="000A4114">
            <w:pPr>
              <w:spacing w:after="0" w:line="240" w:lineRule="auto"/>
              <w:jc w:val="center"/>
              <w:rPr>
                <w:rFonts w:ascii="Times New Roman" w:hAnsi="Times New Roman"/>
                <w:b/>
                <w:bCs/>
                <w:sz w:val="20"/>
                <w:szCs w:val="20"/>
              </w:rPr>
            </w:pPr>
          </w:p>
        </w:tc>
        <w:tc>
          <w:tcPr>
            <w:tcW w:w="378" w:type="pct"/>
            <w:vMerge/>
            <w:vAlign w:val="center"/>
          </w:tcPr>
          <w:p w14:paraId="1507B64D" w14:textId="77777777" w:rsidR="000159D9" w:rsidRPr="00B0658A" w:rsidRDefault="000159D9" w:rsidP="000A4114">
            <w:pPr>
              <w:spacing w:after="0" w:line="240" w:lineRule="auto"/>
              <w:jc w:val="center"/>
              <w:rPr>
                <w:rFonts w:ascii="Times New Roman" w:hAnsi="Times New Roman"/>
                <w:b/>
                <w:bCs/>
                <w:sz w:val="20"/>
                <w:szCs w:val="20"/>
              </w:rPr>
            </w:pPr>
          </w:p>
        </w:tc>
        <w:tc>
          <w:tcPr>
            <w:tcW w:w="1143" w:type="pct"/>
            <w:vAlign w:val="center"/>
          </w:tcPr>
          <w:p w14:paraId="63E967CF" w14:textId="77777777" w:rsidR="000159D9" w:rsidRPr="00B0658A" w:rsidRDefault="000159D9" w:rsidP="000A4114">
            <w:pPr>
              <w:spacing w:after="0" w:line="240" w:lineRule="auto"/>
              <w:jc w:val="center"/>
              <w:rPr>
                <w:rFonts w:ascii="Times New Roman" w:hAnsi="Times New Roman"/>
                <w:b/>
                <w:bCs/>
                <w:sz w:val="20"/>
                <w:szCs w:val="20"/>
              </w:rPr>
            </w:pPr>
            <w:r w:rsidRPr="00B0658A">
              <w:rPr>
                <w:rFonts w:ascii="Times New Roman" w:hAnsi="Times New Roman"/>
                <w:b/>
                <w:bCs/>
                <w:sz w:val="20"/>
                <w:szCs w:val="20"/>
              </w:rPr>
              <w:t>Плановое значение</w:t>
            </w:r>
          </w:p>
        </w:tc>
        <w:tc>
          <w:tcPr>
            <w:tcW w:w="1144" w:type="pct"/>
            <w:vAlign w:val="center"/>
          </w:tcPr>
          <w:p w14:paraId="0C40671D" w14:textId="77777777" w:rsidR="000159D9" w:rsidRPr="00B0658A" w:rsidRDefault="000159D9" w:rsidP="000A4114">
            <w:pPr>
              <w:spacing w:after="0" w:line="240" w:lineRule="auto"/>
              <w:jc w:val="center"/>
              <w:rPr>
                <w:rFonts w:ascii="Times New Roman" w:hAnsi="Times New Roman"/>
                <w:b/>
                <w:bCs/>
                <w:sz w:val="20"/>
                <w:szCs w:val="20"/>
              </w:rPr>
            </w:pPr>
            <w:r w:rsidRPr="00B0658A">
              <w:rPr>
                <w:rFonts w:ascii="Times New Roman" w:hAnsi="Times New Roman"/>
                <w:b/>
                <w:bCs/>
                <w:sz w:val="20"/>
                <w:szCs w:val="20"/>
              </w:rPr>
              <w:t>Фактическое значение</w:t>
            </w:r>
          </w:p>
        </w:tc>
        <w:tc>
          <w:tcPr>
            <w:tcW w:w="1267" w:type="pct"/>
            <w:vMerge/>
            <w:vAlign w:val="center"/>
          </w:tcPr>
          <w:p w14:paraId="1DC08121" w14:textId="77777777" w:rsidR="000159D9" w:rsidRPr="00B0658A" w:rsidRDefault="000159D9" w:rsidP="000A4114">
            <w:pPr>
              <w:spacing w:after="0" w:line="240" w:lineRule="auto"/>
              <w:jc w:val="center"/>
              <w:rPr>
                <w:rFonts w:ascii="Times New Roman" w:hAnsi="Times New Roman"/>
                <w:b/>
                <w:bCs/>
                <w:sz w:val="20"/>
                <w:szCs w:val="20"/>
              </w:rPr>
            </w:pPr>
          </w:p>
        </w:tc>
      </w:tr>
      <w:tr w:rsidR="00F52FED" w:rsidRPr="00B0658A" w14:paraId="40A13208" w14:textId="77777777" w:rsidTr="00B10FDE">
        <w:trPr>
          <w:trHeight w:val="283"/>
        </w:trPr>
        <w:tc>
          <w:tcPr>
            <w:tcW w:w="5000" w:type="pct"/>
            <w:gridSpan w:val="6"/>
          </w:tcPr>
          <w:p w14:paraId="4B2E0C78" w14:textId="77777777" w:rsidR="000159D9" w:rsidRPr="00B0658A" w:rsidRDefault="000159D9" w:rsidP="000A4114">
            <w:pPr>
              <w:spacing w:after="0" w:line="240" w:lineRule="auto"/>
              <w:jc w:val="both"/>
              <w:rPr>
                <w:rFonts w:ascii="Times New Roman" w:hAnsi="Times New Roman"/>
                <w:b/>
                <w:i/>
                <w:iCs/>
                <w:sz w:val="20"/>
                <w:szCs w:val="20"/>
              </w:rPr>
            </w:pPr>
            <w:r w:rsidRPr="00B0658A">
              <w:rPr>
                <w:rFonts w:ascii="Times New Roman" w:hAnsi="Times New Roman"/>
                <w:b/>
                <w:i/>
                <w:iCs/>
                <w:sz w:val="20"/>
                <w:szCs w:val="20"/>
              </w:rPr>
              <w:t>I. Показатели эффективности в отношении закупок ПО</w:t>
            </w:r>
          </w:p>
        </w:tc>
      </w:tr>
      <w:tr w:rsidR="00F52FED" w:rsidRPr="00B0658A" w14:paraId="4DB2FFF5" w14:textId="77777777" w:rsidTr="00B10FDE">
        <w:trPr>
          <w:trHeight w:val="960"/>
        </w:trPr>
        <w:tc>
          <w:tcPr>
            <w:tcW w:w="187" w:type="pct"/>
          </w:tcPr>
          <w:p w14:paraId="03093FF7" w14:textId="77777777" w:rsidR="000159D9" w:rsidRPr="00B0658A" w:rsidRDefault="000159D9" w:rsidP="000A4114">
            <w:pPr>
              <w:spacing w:after="0" w:line="240" w:lineRule="auto"/>
              <w:jc w:val="both"/>
              <w:rPr>
                <w:rFonts w:ascii="Times New Roman" w:hAnsi="Times New Roman"/>
                <w:sz w:val="20"/>
                <w:szCs w:val="20"/>
              </w:rPr>
            </w:pPr>
            <w:r w:rsidRPr="00B0658A">
              <w:rPr>
                <w:rFonts w:ascii="Times New Roman" w:hAnsi="Times New Roman"/>
                <w:sz w:val="20"/>
                <w:szCs w:val="20"/>
              </w:rPr>
              <w:t>1.</w:t>
            </w:r>
          </w:p>
        </w:tc>
        <w:tc>
          <w:tcPr>
            <w:tcW w:w="881" w:type="pct"/>
          </w:tcPr>
          <w:p w14:paraId="14E79F28" w14:textId="77777777" w:rsidR="000159D9" w:rsidRPr="00B0658A" w:rsidRDefault="000159D9" w:rsidP="000A4114">
            <w:pPr>
              <w:spacing w:after="0" w:line="240" w:lineRule="auto"/>
              <w:jc w:val="both"/>
              <w:rPr>
                <w:rFonts w:ascii="Times New Roman" w:hAnsi="Times New Roman"/>
                <w:sz w:val="20"/>
                <w:szCs w:val="20"/>
              </w:rPr>
            </w:pPr>
            <w:r w:rsidRPr="00B0658A">
              <w:rPr>
                <w:rFonts w:ascii="Times New Roman" w:hAnsi="Times New Roman"/>
                <w:sz w:val="20"/>
                <w:szCs w:val="20"/>
              </w:rPr>
              <w:t>Доля расходов на закупку российского ПО и связанных с ним работ (услуг) в общем объеме расходов на закупку ПО и связанных с ним работ (услуг)</w:t>
            </w:r>
          </w:p>
        </w:tc>
        <w:tc>
          <w:tcPr>
            <w:tcW w:w="378" w:type="pct"/>
          </w:tcPr>
          <w:p w14:paraId="14D16C65" w14:textId="77777777" w:rsidR="000159D9" w:rsidRPr="00B0658A" w:rsidRDefault="000159D9" w:rsidP="000A4114">
            <w:pPr>
              <w:spacing w:after="0" w:line="240" w:lineRule="auto"/>
              <w:jc w:val="center"/>
              <w:rPr>
                <w:rFonts w:ascii="Times New Roman" w:hAnsi="Times New Roman"/>
                <w:sz w:val="20"/>
                <w:szCs w:val="20"/>
              </w:rPr>
            </w:pPr>
            <w:r w:rsidRPr="00B0658A">
              <w:rPr>
                <w:rFonts w:ascii="Times New Roman" w:hAnsi="Times New Roman"/>
                <w:sz w:val="20"/>
                <w:szCs w:val="20"/>
              </w:rPr>
              <w:t>%</w:t>
            </w:r>
          </w:p>
        </w:tc>
        <w:tc>
          <w:tcPr>
            <w:tcW w:w="1143" w:type="pct"/>
          </w:tcPr>
          <w:p w14:paraId="41382546" w14:textId="77777777" w:rsidR="000159D9" w:rsidRPr="00B0658A" w:rsidRDefault="000159D9" w:rsidP="000A4114">
            <w:pPr>
              <w:spacing w:after="0" w:line="240" w:lineRule="auto"/>
              <w:jc w:val="both"/>
              <w:rPr>
                <w:rFonts w:ascii="Times New Roman" w:hAnsi="Times New Roman"/>
                <w:sz w:val="20"/>
                <w:szCs w:val="20"/>
              </w:rPr>
            </w:pPr>
            <w:r w:rsidRPr="00B0658A">
              <w:rPr>
                <w:rFonts w:ascii="Times New Roman" w:hAnsi="Times New Roman"/>
                <w:i/>
                <w:iCs/>
                <w:sz w:val="20"/>
                <w:szCs w:val="20"/>
              </w:rPr>
              <w:t xml:space="preserve">Указывается плановое значение на соответствующий год в соответствии с показателями, установленными в плане перехода </w:t>
            </w:r>
            <w:r w:rsidR="00520A40" w:rsidRPr="00B0658A">
              <w:rPr>
                <w:rFonts w:ascii="Times New Roman" w:hAnsi="Times New Roman"/>
                <w:i/>
                <w:iCs/>
                <w:sz w:val="20"/>
                <w:szCs w:val="20"/>
              </w:rPr>
              <w:t>подведомственной организации</w:t>
            </w:r>
            <w:r w:rsidRPr="00B0658A">
              <w:rPr>
                <w:rFonts w:ascii="Times New Roman" w:hAnsi="Times New Roman"/>
                <w:i/>
                <w:iCs/>
                <w:sz w:val="20"/>
                <w:szCs w:val="20"/>
              </w:rPr>
              <w:t xml:space="preserve"> на использование российского ПО</w:t>
            </w:r>
          </w:p>
        </w:tc>
        <w:tc>
          <w:tcPr>
            <w:tcW w:w="1144" w:type="pct"/>
          </w:tcPr>
          <w:p w14:paraId="21FACC51" w14:textId="77777777" w:rsidR="000159D9" w:rsidRPr="00B0658A" w:rsidRDefault="000159D9" w:rsidP="000A4114">
            <w:pPr>
              <w:spacing w:after="0" w:line="240" w:lineRule="auto"/>
              <w:jc w:val="both"/>
              <w:rPr>
                <w:rFonts w:ascii="Times New Roman" w:hAnsi="Times New Roman"/>
                <w:i/>
                <w:iCs/>
                <w:sz w:val="20"/>
                <w:szCs w:val="20"/>
              </w:rPr>
            </w:pPr>
            <w:r w:rsidRPr="00B0658A">
              <w:rPr>
                <w:rFonts w:ascii="Times New Roman" w:hAnsi="Times New Roman"/>
                <w:i/>
                <w:iCs/>
                <w:sz w:val="20"/>
                <w:szCs w:val="20"/>
              </w:rPr>
              <w:t>Указывается фактическая доля расходов на российское ПО и связанные с ним работ (услуги) в общем объеме расходов на закупку ПО и связанные с ним работы (услуги) в соответствующем квартале соответствующего года</w:t>
            </w:r>
          </w:p>
          <w:p w14:paraId="2D7D09C2" w14:textId="77777777" w:rsidR="000159D9" w:rsidRPr="00B0658A" w:rsidRDefault="000159D9" w:rsidP="000A4114">
            <w:pPr>
              <w:spacing w:after="0" w:line="240" w:lineRule="auto"/>
              <w:jc w:val="both"/>
              <w:rPr>
                <w:rFonts w:ascii="Times New Roman" w:hAnsi="Times New Roman"/>
                <w:sz w:val="20"/>
                <w:szCs w:val="20"/>
              </w:rPr>
            </w:pPr>
            <w:r w:rsidRPr="00B0658A">
              <w:rPr>
                <w:rFonts w:ascii="Times New Roman" w:hAnsi="Times New Roman"/>
                <w:i/>
                <w:iCs/>
                <w:sz w:val="20"/>
                <w:szCs w:val="20"/>
              </w:rPr>
              <w:t xml:space="preserve">Сведения по итогам </w:t>
            </w:r>
            <w:r w:rsidRPr="00B0658A">
              <w:rPr>
                <w:rFonts w:ascii="Times New Roman" w:hAnsi="Times New Roman"/>
                <w:i/>
                <w:iCs/>
                <w:sz w:val="20"/>
                <w:szCs w:val="20"/>
                <w:lang w:val="en-US"/>
              </w:rPr>
              <w:t>I</w:t>
            </w:r>
            <w:r w:rsidRPr="00B0658A">
              <w:rPr>
                <w:rFonts w:ascii="Times New Roman" w:hAnsi="Times New Roman"/>
                <w:i/>
                <w:iCs/>
                <w:sz w:val="20"/>
                <w:szCs w:val="20"/>
              </w:rPr>
              <w:t xml:space="preserve"> квартала для фактических значений предоставляются за соответствующий квартал. Далее сведения, предоставляемые по итогам последующих отчетных периодов, предоставляются накопленным итогом.</w:t>
            </w:r>
          </w:p>
        </w:tc>
        <w:tc>
          <w:tcPr>
            <w:tcW w:w="1267" w:type="pct"/>
          </w:tcPr>
          <w:p w14:paraId="30EC1226" w14:textId="77777777" w:rsidR="000159D9" w:rsidRPr="00B0658A" w:rsidRDefault="000159D9" w:rsidP="000A4114">
            <w:pPr>
              <w:spacing w:after="0" w:line="240" w:lineRule="auto"/>
              <w:jc w:val="both"/>
              <w:rPr>
                <w:rFonts w:ascii="Times New Roman" w:hAnsi="Times New Roman"/>
                <w:i/>
                <w:sz w:val="20"/>
                <w:szCs w:val="20"/>
              </w:rPr>
            </w:pPr>
            <w:r w:rsidRPr="00B0658A">
              <w:rPr>
                <w:rFonts w:ascii="Times New Roman" w:hAnsi="Times New Roman"/>
                <w:i/>
                <w:iCs/>
                <w:sz w:val="20"/>
                <w:szCs w:val="20"/>
              </w:rPr>
              <w:t>Указывается дополнительные комментарии по достижению установленных значений (при необходимости)</w:t>
            </w:r>
          </w:p>
          <w:p w14:paraId="6B80F7E5" w14:textId="77777777" w:rsidR="000159D9" w:rsidRPr="00B0658A" w:rsidRDefault="000159D9" w:rsidP="000A4114">
            <w:pPr>
              <w:spacing w:after="0" w:line="240" w:lineRule="auto"/>
              <w:rPr>
                <w:rFonts w:ascii="Times New Roman" w:hAnsi="Times New Roman"/>
                <w:sz w:val="20"/>
                <w:szCs w:val="20"/>
              </w:rPr>
            </w:pPr>
          </w:p>
        </w:tc>
      </w:tr>
      <w:tr w:rsidR="00F52FED" w:rsidRPr="00B0658A" w14:paraId="3E450F32" w14:textId="77777777" w:rsidTr="00B10FDE">
        <w:trPr>
          <w:trHeight w:val="283"/>
        </w:trPr>
        <w:tc>
          <w:tcPr>
            <w:tcW w:w="5000" w:type="pct"/>
            <w:gridSpan w:val="6"/>
          </w:tcPr>
          <w:p w14:paraId="671225E7" w14:textId="77777777" w:rsidR="000159D9" w:rsidRPr="00B0658A" w:rsidRDefault="000159D9" w:rsidP="000A4114">
            <w:pPr>
              <w:spacing w:after="0" w:line="240" w:lineRule="auto"/>
              <w:rPr>
                <w:rFonts w:ascii="Times New Roman" w:hAnsi="Times New Roman"/>
                <w:i/>
                <w:iCs/>
                <w:sz w:val="20"/>
                <w:szCs w:val="20"/>
              </w:rPr>
            </w:pPr>
            <w:r w:rsidRPr="00B0658A">
              <w:rPr>
                <w:rFonts w:ascii="Times New Roman" w:hAnsi="Times New Roman"/>
                <w:b/>
                <w:i/>
                <w:iCs/>
                <w:sz w:val="20"/>
                <w:szCs w:val="20"/>
                <w:lang w:val="en-US"/>
              </w:rPr>
              <w:t>II</w:t>
            </w:r>
            <w:r w:rsidRPr="00B0658A">
              <w:rPr>
                <w:rFonts w:ascii="Times New Roman" w:hAnsi="Times New Roman"/>
                <w:b/>
                <w:i/>
                <w:iCs/>
                <w:sz w:val="20"/>
                <w:szCs w:val="20"/>
              </w:rPr>
              <w:t xml:space="preserve">. Финансовое обеспечение </w:t>
            </w:r>
            <w:r w:rsidRPr="00B0658A">
              <w:rPr>
                <w:rFonts w:ascii="Times New Roman" w:hAnsi="Times New Roman"/>
                <w:b/>
                <w:bCs/>
                <w:i/>
                <w:iCs/>
                <w:sz w:val="20"/>
                <w:szCs w:val="20"/>
              </w:rPr>
              <w:t>перехода на использование российского ПО</w:t>
            </w:r>
          </w:p>
        </w:tc>
      </w:tr>
      <w:tr w:rsidR="00F52FED" w:rsidRPr="00B0658A" w14:paraId="22AFFA35" w14:textId="77777777" w:rsidTr="00B10FDE">
        <w:trPr>
          <w:trHeight w:val="3324"/>
        </w:trPr>
        <w:tc>
          <w:tcPr>
            <w:tcW w:w="187" w:type="pct"/>
          </w:tcPr>
          <w:p w14:paraId="7A64C9CD" w14:textId="77777777" w:rsidR="000159D9" w:rsidRPr="00B0658A" w:rsidRDefault="000159D9" w:rsidP="000A4114">
            <w:pPr>
              <w:spacing w:after="0" w:line="240" w:lineRule="auto"/>
              <w:jc w:val="both"/>
              <w:rPr>
                <w:rFonts w:ascii="Times New Roman" w:hAnsi="Times New Roman"/>
                <w:sz w:val="20"/>
                <w:szCs w:val="20"/>
              </w:rPr>
            </w:pPr>
            <w:r w:rsidRPr="00B0658A">
              <w:rPr>
                <w:rFonts w:ascii="Times New Roman" w:hAnsi="Times New Roman"/>
                <w:sz w:val="20"/>
                <w:szCs w:val="20"/>
              </w:rPr>
              <w:t>2.</w:t>
            </w:r>
          </w:p>
        </w:tc>
        <w:tc>
          <w:tcPr>
            <w:tcW w:w="881" w:type="pct"/>
          </w:tcPr>
          <w:p w14:paraId="079EB91C" w14:textId="77777777" w:rsidR="000159D9" w:rsidRPr="00B0658A" w:rsidRDefault="000159D9" w:rsidP="000A4114">
            <w:pPr>
              <w:spacing w:after="0" w:line="240" w:lineRule="auto"/>
              <w:jc w:val="both"/>
              <w:rPr>
                <w:rFonts w:ascii="Times New Roman" w:hAnsi="Times New Roman"/>
                <w:sz w:val="20"/>
                <w:szCs w:val="20"/>
              </w:rPr>
            </w:pPr>
            <w:r w:rsidRPr="00B0658A">
              <w:rPr>
                <w:rFonts w:ascii="Times New Roman" w:hAnsi="Times New Roman"/>
                <w:sz w:val="20"/>
                <w:szCs w:val="20"/>
              </w:rPr>
              <w:t>Объём финансовых ресурсов, направленных на переход на использование российского ПО</w:t>
            </w:r>
          </w:p>
        </w:tc>
        <w:tc>
          <w:tcPr>
            <w:tcW w:w="378" w:type="pct"/>
          </w:tcPr>
          <w:p w14:paraId="6F300F8E" w14:textId="77777777" w:rsidR="000159D9" w:rsidRPr="00B0658A" w:rsidRDefault="000159D9" w:rsidP="000A4114">
            <w:pPr>
              <w:spacing w:after="0" w:line="240" w:lineRule="auto"/>
              <w:jc w:val="center"/>
              <w:rPr>
                <w:rFonts w:ascii="Times New Roman" w:hAnsi="Times New Roman"/>
                <w:sz w:val="20"/>
                <w:szCs w:val="20"/>
              </w:rPr>
            </w:pPr>
            <w:r w:rsidRPr="00B0658A">
              <w:rPr>
                <w:rFonts w:ascii="Times New Roman" w:hAnsi="Times New Roman"/>
                <w:sz w:val="20"/>
                <w:szCs w:val="20"/>
              </w:rPr>
              <w:t>тыс. руб.</w:t>
            </w:r>
          </w:p>
        </w:tc>
        <w:tc>
          <w:tcPr>
            <w:tcW w:w="1143" w:type="pct"/>
          </w:tcPr>
          <w:p w14:paraId="21D1B71E" w14:textId="77777777" w:rsidR="000159D9" w:rsidRPr="00B0658A" w:rsidRDefault="000159D9" w:rsidP="000A4114">
            <w:pPr>
              <w:spacing w:after="0" w:line="240" w:lineRule="auto"/>
              <w:jc w:val="both"/>
              <w:rPr>
                <w:rFonts w:ascii="Times New Roman" w:hAnsi="Times New Roman"/>
                <w:sz w:val="20"/>
                <w:szCs w:val="20"/>
              </w:rPr>
            </w:pPr>
            <w:r w:rsidRPr="00B0658A">
              <w:rPr>
                <w:rFonts w:ascii="Times New Roman" w:hAnsi="Times New Roman"/>
                <w:i/>
                <w:iCs/>
                <w:sz w:val="20"/>
                <w:szCs w:val="20"/>
              </w:rPr>
              <w:t xml:space="preserve">Указывается плановое значение на соответствующий год в соответствии с показателями, установленными в плане перехода </w:t>
            </w:r>
            <w:r w:rsidR="00520A40" w:rsidRPr="00B0658A">
              <w:rPr>
                <w:rFonts w:ascii="Times New Roman" w:hAnsi="Times New Roman"/>
                <w:i/>
                <w:iCs/>
                <w:sz w:val="20"/>
                <w:szCs w:val="20"/>
              </w:rPr>
              <w:t xml:space="preserve">подведомственной организации </w:t>
            </w:r>
            <w:r w:rsidRPr="00B0658A">
              <w:rPr>
                <w:rFonts w:ascii="Times New Roman" w:hAnsi="Times New Roman"/>
                <w:i/>
                <w:iCs/>
                <w:sz w:val="20"/>
                <w:szCs w:val="20"/>
              </w:rPr>
              <w:t>на использование российского ПО</w:t>
            </w:r>
          </w:p>
        </w:tc>
        <w:tc>
          <w:tcPr>
            <w:tcW w:w="1144" w:type="pct"/>
          </w:tcPr>
          <w:p w14:paraId="056ACF8C" w14:textId="77777777" w:rsidR="000159D9" w:rsidRPr="00B0658A" w:rsidRDefault="000159D9" w:rsidP="000A4114">
            <w:pPr>
              <w:spacing w:after="0" w:line="240" w:lineRule="auto"/>
              <w:jc w:val="both"/>
              <w:rPr>
                <w:rFonts w:ascii="Times New Roman" w:hAnsi="Times New Roman"/>
                <w:i/>
                <w:iCs/>
                <w:sz w:val="20"/>
                <w:szCs w:val="20"/>
              </w:rPr>
            </w:pPr>
            <w:r w:rsidRPr="00B0658A">
              <w:rPr>
                <w:rFonts w:ascii="Times New Roman" w:hAnsi="Times New Roman"/>
                <w:i/>
                <w:iCs/>
                <w:sz w:val="20"/>
                <w:szCs w:val="20"/>
              </w:rPr>
              <w:t>Указываются фактические объемы расходов, связанных с переходом на  использование российского ПО в соответствующем квартале соответствующего года</w:t>
            </w:r>
          </w:p>
          <w:p w14:paraId="6DA8D292" w14:textId="77777777" w:rsidR="000159D9" w:rsidRPr="00B0658A" w:rsidRDefault="000159D9" w:rsidP="000A4114">
            <w:pPr>
              <w:spacing w:after="0" w:line="240" w:lineRule="auto"/>
              <w:jc w:val="both"/>
              <w:rPr>
                <w:rFonts w:ascii="Times New Roman" w:hAnsi="Times New Roman"/>
                <w:sz w:val="20"/>
                <w:szCs w:val="20"/>
              </w:rPr>
            </w:pPr>
            <w:r w:rsidRPr="00B0658A">
              <w:rPr>
                <w:rFonts w:ascii="Times New Roman" w:hAnsi="Times New Roman"/>
                <w:i/>
                <w:iCs/>
                <w:sz w:val="20"/>
                <w:szCs w:val="20"/>
              </w:rPr>
              <w:t xml:space="preserve">Сведения по итогам </w:t>
            </w:r>
            <w:r w:rsidRPr="00B0658A">
              <w:rPr>
                <w:rFonts w:ascii="Times New Roman" w:hAnsi="Times New Roman"/>
                <w:i/>
                <w:iCs/>
                <w:sz w:val="20"/>
                <w:szCs w:val="20"/>
                <w:lang w:val="en-US"/>
              </w:rPr>
              <w:t>I</w:t>
            </w:r>
            <w:r w:rsidRPr="00B0658A">
              <w:rPr>
                <w:rFonts w:ascii="Times New Roman" w:hAnsi="Times New Roman"/>
                <w:i/>
                <w:iCs/>
                <w:sz w:val="20"/>
                <w:szCs w:val="20"/>
              </w:rPr>
              <w:t xml:space="preserve"> квартала для фактических значений предоставляются за соответствующий квартал. Далее сведения, предоставляемые по итогам последующих отчетных периодов, предоставляются накопленным итогом.</w:t>
            </w:r>
          </w:p>
        </w:tc>
        <w:tc>
          <w:tcPr>
            <w:tcW w:w="1267" w:type="pct"/>
          </w:tcPr>
          <w:p w14:paraId="00A32B65" w14:textId="77777777" w:rsidR="000159D9" w:rsidRPr="00B0658A" w:rsidRDefault="000159D9" w:rsidP="000A4114">
            <w:pPr>
              <w:spacing w:after="0" w:line="240" w:lineRule="auto"/>
              <w:jc w:val="both"/>
              <w:rPr>
                <w:rFonts w:ascii="Times New Roman" w:hAnsi="Times New Roman"/>
                <w:i/>
                <w:sz w:val="20"/>
                <w:szCs w:val="20"/>
              </w:rPr>
            </w:pPr>
            <w:r w:rsidRPr="00B0658A">
              <w:rPr>
                <w:rFonts w:ascii="Times New Roman" w:hAnsi="Times New Roman"/>
                <w:i/>
                <w:iCs/>
                <w:sz w:val="20"/>
                <w:szCs w:val="20"/>
              </w:rPr>
              <w:t>Указывается дополнительные комментарии по достижению установленных значений (при необходимости)</w:t>
            </w:r>
          </w:p>
          <w:p w14:paraId="0EC47B04" w14:textId="77777777" w:rsidR="000159D9" w:rsidRPr="00B0658A" w:rsidRDefault="000159D9" w:rsidP="000A4114">
            <w:pPr>
              <w:spacing w:after="0" w:line="240" w:lineRule="auto"/>
              <w:rPr>
                <w:rFonts w:ascii="Times New Roman" w:hAnsi="Times New Roman"/>
                <w:sz w:val="20"/>
                <w:szCs w:val="20"/>
              </w:rPr>
            </w:pPr>
            <w:r w:rsidRPr="00B0658A">
              <w:rPr>
                <w:rFonts w:ascii="Times New Roman" w:hAnsi="Times New Roman"/>
                <w:i/>
                <w:iCs/>
                <w:sz w:val="20"/>
                <w:szCs w:val="20"/>
              </w:rPr>
              <w:t>.</w:t>
            </w:r>
          </w:p>
        </w:tc>
      </w:tr>
    </w:tbl>
    <w:p w14:paraId="541E999C" w14:textId="77777777" w:rsidR="00067F30" w:rsidRPr="00B0658A" w:rsidRDefault="000159D9" w:rsidP="008319FB">
      <w:pPr>
        <w:rPr>
          <w:rFonts w:ascii="Times New Roman" w:hAnsi="Times New Roman"/>
          <w:highlight w:val="yellow"/>
        </w:rPr>
      </w:pPr>
      <w:r w:rsidRPr="00B0658A">
        <w:rPr>
          <w:rFonts w:ascii="Times New Roman" w:hAnsi="Times New Roman"/>
        </w:rPr>
        <w:t xml:space="preserve"> </w:t>
      </w:r>
    </w:p>
    <w:p w14:paraId="34F7C968" w14:textId="77777777" w:rsidR="00DD4A91" w:rsidRPr="00B0658A" w:rsidRDefault="00902AE0" w:rsidP="00DD4A91">
      <w:pPr>
        <w:ind w:firstLine="709"/>
        <w:rPr>
          <w:rFonts w:ascii="Times New Roman" w:hAnsi="Times New Roman"/>
          <w:sz w:val="28"/>
          <w:szCs w:val="28"/>
        </w:rPr>
      </w:pPr>
      <w:r w:rsidRPr="00B0658A">
        <w:rPr>
          <w:rFonts w:ascii="Times New Roman" w:hAnsi="Times New Roman"/>
          <w:sz w:val="28"/>
          <w:szCs w:val="28"/>
        </w:rPr>
        <w:t>2. Сведения об объёмах закупок российского и иностранного ПО и связанных с ним работ (услуг)</w:t>
      </w:r>
      <w:bookmarkStart w:id="37" w:name="_Toc116390906"/>
      <w:r w:rsidR="00DD4A91" w:rsidRPr="00DD4A91">
        <w:rPr>
          <w:rFonts w:ascii="Times New Roman" w:hAnsi="Times New Roman"/>
          <w:sz w:val="28"/>
          <w:szCs w:val="28"/>
        </w:rPr>
        <w:t xml:space="preserve"> </w:t>
      </w:r>
    </w:p>
    <w:tbl>
      <w:tblPr>
        <w:tblStyle w:val="afc"/>
        <w:tblW w:w="5000" w:type="pct"/>
        <w:tblLook w:val="04A0" w:firstRow="1" w:lastRow="0" w:firstColumn="1" w:lastColumn="0" w:noHBand="0" w:noVBand="1"/>
      </w:tblPr>
      <w:tblGrid>
        <w:gridCol w:w="681"/>
        <w:gridCol w:w="2577"/>
        <w:gridCol w:w="1274"/>
        <w:gridCol w:w="9412"/>
      </w:tblGrid>
      <w:tr w:rsidR="00DD4A91" w:rsidRPr="00B0658A" w14:paraId="21568CBA" w14:textId="77777777" w:rsidTr="00F57B1F">
        <w:trPr>
          <w:trHeight w:val="58"/>
          <w:tblHeader/>
        </w:trPr>
        <w:tc>
          <w:tcPr>
            <w:tcW w:w="244" w:type="pct"/>
            <w:vAlign w:val="center"/>
          </w:tcPr>
          <w:p w14:paraId="20F660C4" w14:textId="77777777" w:rsidR="00DD4A91" w:rsidRPr="00BA2448" w:rsidRDefault="00DD4A91" w:rsidP="003A11B0">
            <w:pPr>
              <w:spacing w:after="0" w:line="240" w:lineRule="auto"/>
              <w:jc w:val="center"/>
              <w:rPr>
                <w:rFonts w:ascii="Times New Roman" w:hAnsi="Times New Roman"/>
                <w:b/>
                <w:bCs/>
                <w:sz w:val="20"/>
                <w:szCs w:val="20"/>
              </w:rPr>
            </w:pPr>
            <w:r w:rsidRPr="00BA2448">
              <w:rPr>
                <w:rFonts w:ascii="Times New Roman" w:hAnsi="Times New Roman"/>
                <w:b/>
                <w:bCs/>
                <w:sz w:val="20"/>
                <w:szCs w:val="20"/>
              </w:rPr>
              <w:t>№</w:t>
            </w:r>
          </w:p>
        </w:tc>
        <w:tc>
          <w:tcPr>
            <w:tcW w:w="924" w:type="pct"/>
            <w:vAlign w:val="center"/>
          </w:tcPr>
          <w:p w14:paraId="26EB0BB5" w14:textId="77777777" w:rsidR="00DD4A91" w:rsidRPr="00BA2448" w:rsidRDefault="00DD4A91" w:rsidP="003A11B0">
            <w:pPr>
              <w:spacing w:after="0" w:line="240" w:lineRule="auto"/>
              <w:jc w:val="center"/>
              <w:rPr>
                <w:rFonts w:ascii="Times New Roman" w:hAnsi="Times New Roman"/>
                <w:b/>
                <w:bCs/>
                <w:sz w:val="20"/>
                <w:szCs w:val="20"/>
              </w:rPr>
            </w:pPr>
            <w:r w:rsidRPr="00BA2448">
              <w:rPr>
                <w:rFonts w:ascii="Times New Roman" w:hAnsi="Times New Roman"/>
                <w:b/>
                <w:bCs/>
                <w:sz w:val="20"/>
                <w:szCs w:val="20"/>
              </w:rPr>
              <w:t>Наименование показателя</w:t>
            </w:r>
          </w:p>
        </w:tc>
        <w:tc>
          <w:tcPr>
            <w:tcW w:w="457" w:type="pct"/>
            <w:vAlign w:val="center"/>
          </w:tcPr>
          <w:p w14:paraId="222CE3B1" w14:textId="77777777" w:rsidR="00DD4A91" w:rsidRPr="00BA2448" w:rsidRDefault="00DD4A91" w:rsidP="003A11B0">
            <w:pPr>
              <w:spacing w:after="0" w:line="240" w:lineRule="auto"/>
              <w:jc w:val="center"/>
              <w:rPr>
                <w:rFonts w:ascii="Times New Roman" w:hAnsi="Times New Roman"/>
                <w:b/>
                <w:bCs/>
                <w:sz w:val="20"/>
                <w:szCs w:val="20"/>
              </w:rPr>
            </w:pPr>
            <w:r w:rsidRPr="00BA2448">
              <w:rPr>
                <w:rFonts w:ascii="Times New Roman" w:hAnsi="Times New Roman"/>
                <w:b/>
                <w:bCs/>
                <w:sz w:val="20"/>
                <w:szCs w:val="20"/>
              </w:rPr>
              <w:t>Ед. изм.</w:t>
            </w:r>
          </w:p>
        </w:tc>
        <w:tc>
          <w:tcPr>
            <w:tcW w:w="3375" w:type="pct"/>
            <w:vAlign w:val="center"/>
          </w:tcPr>
          <w:p w14:paraId="2F27B4F9" w14:textId="77777777" w:rsidR="00DD4A91" w:rsidRPr="00BA2448" w:rsidRDefault="00DD4A91" w:rsidP="003A11B0">
            <w:pPr>
              <w:spacing w:after="0" w:line="240" w:lineRule="auto"/>
              <w:jc w:val="center"/>
              <w:rPr>
                <w:rFonts w:ascii="Times New Roman" w:hAnsi="Times New Roman"/>
                <w:b/>
                <w:bCs/>
                <w:sz w:val="20"/>
                <w:szCs w:val="20"/>
              </w:rPr>
            </w:pPr>
            <w:r w:rsidRPr="00BA2448">
              <w:rPr>
                <w:rFonts w:ascii="Times New Roman" w:hAnsi="Times New Roman"/>
                <w:b/>
                <w:bCs/>
                <w:sz w:val="20"/>
                <w:szCs w:val="20"/>
              </w:rPr>
              <w:t>Сведения об объёмах закупок российского и иностранного ПО и связанных с ним работ (услуг) за ______ квартал _______ г.</w:t>
            </w:r>
          </w:p>
        </w:tc>
      </w:tr>
      <w:tr w:rsidR="00DD4A91" w:rsidRPr="00B0658A" w14:paraId="5E420454" w14:textId="77777777" w:rsidTr="003A11B0">
        <w:trPr>
          <w:trHeight w:val="960"/>
        </w:trPr>
        <w:tc>
          <w:tcPr>
            <w:tcW w:w="244" w:type="pct"/>
          </w:tcPr>
          <w:p w14:paraId="10616E00" w14:textId="77777777" w:rsidR="00DD4A91" w:rsidRPr="00BA2448" w:rsidRDefault="00DD4A91" w:rsidP="003A11B0">
            <w:pPr>
              <w:spacing w:after="0" w:line="240" w:lineRule="auto"/>
              <w:jc w:val="both"/>
              <w:rPr>
                <w:rFonts w:ascii="Times New Roman" w:hAnsi="Times New Roman"/>
                <w:sz w:val="20"/>
                <w:szCs w:val="20"/>
              </w:rPr>
            </w:pPr>
            <w:r w:rsidRPr="00BA2448">
              <w:rPr>
                <w:rFonts w:ascii="Times New Roman" w:hAnsi="Times New Roman"/>
                <w:sz w:val="20"/>
                <w:szCs w:val="20"/>
              </w:rPr>
              <w:t>1.</w:t>
            </w:r>
          </w:p>
        </w:tc>
        <w:tc>
          <w:tcPr>
            <w:tcW w:w="924" w:type="pct"/>
          </w:tcPr>
          <w:p w14:paraId="04C5B2D9" w14:textId="77777777" w:rsidR="00DD4A91" w:rsidRPr="00BA2448" w:rsidRDefault="00DD4A91" w:rsidP="003A11B0">
            <w:pPr>
              <w:spacing w:after="0" w:line="240" w:lineRule="auto"/>
              <w:jc w:val="both"/>
              <w:rPr>
                <w:rFonts w:ascii="Times New Roman" w:hAnsi="Times New Roman"/>
                <w:sz w:val="20"/>
                <w:szCs w:val="20"/>
              </w:rPr>
            </w:pPr>
            <w:r w:rsidRPr="00BA2448">
              <w:rPr>
                <w:rFonts w:ascii="Times New Roman" w:hAnsi="Times New Roman"/>
                <w:sz w:val="20"/>
                <w:szCs w:val="20"/>
              </w:rPr>
              <w:t>Объёмы закупок российского ПО и связанных с ним работ (услуг)</w:t>
            </w:r>
          </w:p>
        </w:tc>
        <w:tc>
          <w:tcPr>
            <w:tcW w:w="457" w:type="pct"/>
          </w:tcPr>
          <w:p w14:paraId="2F6ACED4" w14:textId="77777777" w:rsidR="00DD4A91" w:rsidRPr="00BA2448" w:rsidRDefault="00DD4A91" w:rsidP="003A11B0">
            <w:pPr>
              <w:spacing w:after="0" w:line="240" w:lineRule="auto"/>
              <w:jc w:val="center"/>
              <w:rPr>
                <w:rFonts w:ascii="Times New Roman" w:hAnsi="Times New Roman"/>
                <w:sz w:val="20"/>
                <w:szCs w:val="20"/>
              </w:rPr>
            </w:pPr>
            <w:r w:rsidRPr="00BA2448">
              <w:rPr>
                <w:rFonts w:ascii="Times New Roman" w:hAnsi="Times New Roman"/>
                <w:sz w:val="20"/>
                <w:szCs w:val="20"/>
              </w:rPr>
              <w:t>тыс. руб.</w:t>
            </w:r>
          </w:p>
        </w:tc>
        <w:tc>
          <w:tcPr>
            <w:tcW w:w="3375" w:type="pct"/>
          </w:tcPr>
          <w:p w14:paraId="2F8D63FF" w14:textId="77777777" w:rsidR="00DD4A91" w:rsidRPr="00BA2448" w:rsidRDefault="00DD4A91" w:rsidP="003A11B0">
            <w:pPr>
              <w:spacing w:after="0" w:line="240" w:lineRule="auto"/>
              <w:jc w:val="both"/>
              <w:rPr>
                <w:rFonts w:ascii="Times New Roman" w:hAnsi="Times New Roman"/>
                <w:sz w:val="20"/>
                <w:szCs w:val="20"/>
              </w:rPr>
            </w:pPr>
            <w:r w:rsidRPr="00BA2448">
              <w:rPr>
                <w:rFonts w:ascii="Times New Roman" w:hAnsi="Times New Roman"/>
                <w:i/>
                <w:iCs/>
                <w:sz w:val="20"/>
                <w:szCs w:val="20"/>
              </w:rPr>
              <w:t>Указываются фактические объемы расходов, связанных с закупкой российского ПО и связанных с ним работ (услуг) в соответствующем квартале соответствующего года</w:t>
            </w:r>
            <w:r>
              <w:rPr>
                <w:rFonts w:ascii="Times New Roman" w:hAnsi="Times New Roman"/>
                <w:i/>
                <w:iCs/>
                <w:sz w:val="20"/>
                <w:szCs w:val="20"/>
              </w:rPr>
              <w:t xml:space="preserve">. </w:t>
            </w:r>
            <w:r w:rsidRPr="00BA2448">
              <w:rPr>
                <w:rFonts w:ascii="Times New Roman" w:hAnsi="Times New Roman"/>
                <w:i/>
                <w:iCs/>
                <w:sz w:val="20"/>
                <w:szCs w:val="20"/>
              </w:rPr>
              <w:t xml:space="preserve">Сведения по итогам </w:t>
            </w:r>
            <w:r w:rsidRPr="00BA2448">
              <w:rPr>
                <w:rFonts w:ascii="Times New Roman" w:hAnsi="Times New Roman"/>
                <w:i/>
                <w:iCs/>
                <w:sz w:val="20"/>
                <w:szCs w:val="20"/>
                <w:lang w:val="en-US"/>
              </w:rPr>
              <w:t>I</w:t>
            </w:r>
            <w:r w:rsidRPr="00BA2448">
              <w:rPr>
                <w:rFonts w:ascii="Times New Roman" w:hAnsi="Times New Roman"/>
                <w:i/>
                <w:iCs/>
                <w:sz w:val="20"/>
                <w:szCs w:val="20"/>
              </w:rPr>
              <w:t xml:space="preserve"> квартала для фактических значений предоставляются за соответствующий квартал. Далее сведения, предоставляемые по итогам последующих отчетных периодов, предоставляются накопленным итогом.</w:t>
            </w:r>
          </w:p>
        </w:tc>
      </w:tr>
      <w:tr w:rsidR="00DD4A91" w:rsidRPr="00B0658A" w14:paraId="4C253E9F" w14:textId="77777777" w:rsidTr="003A11B0">
        <w:trPr>
          <w:trHeight w:val="960"/>
        </w:trPr>
        <w:tc>
          <w:tcPr>
            <w:tcW w:w="244" w:type="pct"/>
          </w:tcPr>
          <w:p w14:paraId="25ACEA6D" w14:textId="77777777" w:rsidR="00DD4A91" w:rsidRPr="00BA2448" w:rsidRDefault="00DD4A91" w:rsidP="003A11B0">
            <w:pPr>
              <w:spacing w:after="0" w:line="240" w:lineRule="auto"/>
              <w:jc w:val="both"/>
              <w:rPr>
                <w:rFonts w:ascii="Times New Roman" w:hAnsi="Times New Roman"/>
                <w:sz w:val="20"/>
                <w:szCs w:val="20"/>
              </w:rPr>
            </w:pPr>
            <w:r w:rsidRPr="00BA2448">
              <w:rPr>
                <w:rFonts w:ascii="Times New Roman" w:hAnsi="Times New Roman"/>
                <w:sz w:val="20"/>
                <w:szCs w:val="20"/>
              </w:rPr>
              <w:t>2.</w:t>
            </w:r>
          </w:p>
        </w:tc>
        <w:tc>
          <w:tcPr>
            <w:tcW w:w="924" w:type="pct"/>
          </w:tcPr>
          <w:p w14:paraId="75AA1E41" w14:textId="77777777" w:rsidR="00DD4A91" w:rsidRPr="00BA2448" w:rsidRDefault="00DD4A91" w:rsidP="003A11B0">
            <w:pPr>
              <w:spacing w:after="0" w:line="240" w:lineRule="auto"/>
              <w:jc w:val="both"/>
              <w:rPr>
                <w:rFonts w:ascii="Times New Roman" w:hAnsi="Times New Roman"/>
                <w:sz w:val="20"/>
                <w:szCs w:val="20"/>
              </w:rPr>
            </w:pPr>
            <w:r w:rsidRPr="00BA2448">
              <w:rPr>
                <w:rFonts w:ascii="Times New Roman" w:hAnsi="Times New Roman"/>
                <w:sz w:val="20"/>
                <w:szCs w:val="20"/>
              </w:rPr>
              <w:t>Объёмы закупок иностранного ПО и связанных с ним работ (услуг)</w:t>
            </w:r>
          </w:p>
        </w:tc>
        <w:tc>
          <w:tcPr>
            <w:tcW w:w="457" w:type="pct"/>
          </w:tcPr>
          <w:p w14:paraId="1A578878" w14:textId="77777777" w:rsidR="00DD4A91" w:rsidRPr="00BA2448" w:rsidRDefault="00DD4A91" w:rsidP="003A11B0">
            <w:pPr>
              <w:spacing w:after="0" w:line="240" w:lineRule="auto"/>
              <w:jc w:val="center"/>
              <w:rPr>
                <w:rFonts w:ascii="Times New Roman" w:hAnsi="Times New Roman"/>
                <w:sz w:val="20"/>
                <w:szCs w:val="20"/>
              </w:rPr>
            </w:pPr>
            <w:r w:rsidRPr="00BA2448">
              <w:rPr>
                <w:rFonts w:ascii="Times New Roman" w:hAnsi="Times New Roman"/>
                <w:sz w:val="20"/>
                <w:szCs w:val="20"/>
              </w:rPr>
              <w:t>тыс. руб.</w:t>
            </w:r>
          </w:p>
        </w:tc>
        <w:tc>
          <w:tcPr>
            <w:tcW w:w="3375" w:type="pct"/>
          </w:tcPr>
          <w:p w14:paraId="2B1B29F4" w14:textId="77777777" w:rsidR="00DD4A91" w:rsidRPr="00BA2448" w:rsidRDefault="00DD4A91" w:rsidP="003A11B0">
            <w:pPr>
              <w:spacing w:after="0" w:line="240" w:lineRule="auto"/>
              <w:jc w:val="both"/>
              <w:rPr>
                <w:rFonts w:ascii="Times New Roman" w:hAnsi="Times New Roman"/>
                <w:i/>
                <w:iCs/>
                <w:sz w:val="20"/>
                <w:szCs w:val="20"/>
              </w:rPr>
            </w:pPr>
            <w:r w:rsidRPr="00BA2448">
              <w:rPr>
                <w:rFonts w:ascii="Times New Roman" w:hAnsi="Times New Roman"/>
                <w:i/>
                <w:iCs/>
                <w:sz w:val="20"/>
                <w:szCs w:val="20"/>
              </w:rPr>
              <w:t>Указываются фактические объемы расходов, связанных с закупкой иностранного ПО и связанных с ним работ (услуг) в соответствующем квартале соответствующего года</w:t>
            </w:r>
            <w:r>
              <w:rPr>
                <w:rFonts w:ascii="Times New Roman" w:hAnsi="Times New Roman"/>
                <w:i/>
                <w:iCs/>
                <w:sz w:val="20"/>
                <w:szCs w:val="20"/>
              </w:rPr>
              <w:t>.</w:t>
            </w:r>
            <w:r w:rsidRPr="00BA2448">
              <w:rPr>
                <w:rFonts w:ascii="Times New Roman" w:hAnsi="Times New Roman"/>
                <w:i/>
                <w:iCs/>
                <w:sz w:val="20"/>
                <w:szCs w:val="20"/>
              </w:rPr>
              <w:t xml:space="preserve"> Сведения по итогам </w:t>
            </w:r>
            <w:r w:rsidRPr="00BA2448">
              <w:rPr>
                <w:rFonts w:ascii="Times New Roman" w:hAnsi="Times New Roman"/>
                <w:i/>
                <w:iCs/>
                <w:sz w:val="20"/>
                <w:szCs w:val="20"/>
                <w:lang w:val="en-US"/>
              </w:rPr>
              <w:t>I</w:t>
            </w:r>
            <w:r w:rsidRPr="00BA2448">
              <w:rPr>
                <w:rFonts w:ascii="Times New Roman" w:hAnsi="Times New Roman"/>
                <w:i/>
                <w:iCs/>
                <w:sz w:val="20"/>
                <w:szCs w:val="20"/>
              </w:rPr>
              <w:t xml:space="preserve"> квартала для фактических значений предоставляются за соответствующий квартал. Далее сведения, предоставляемые по итогам последующих отчетных периодов, предоставляются накопленным итогом.</w:t>
            </w:r>
          </w:p>
        </w:tc>
      </w:tr>
    </w:tbl>
    <w:p w14:paraId="4BE03074" w14:textId="77777777" w:rsidR="00DD4A91" w:rsidRDefault="00DD4A91" w:rsidP="00DD4A91">
      <w:pPr>
        <w:spacing w:after="0" w:line="240" w:lineRule="auto"/>
        <w:rPr>
          <w:rFonts w:ascii="Times New Roman" w:hAnsi="Times New Roman"/>
        </w:rPr>
      </w:pPr>
      <w:r>
        <w:rPr>
          <w:rFonts w:ascii="Times New Roman" w:hAnsi="Times New Roman"/>
        </w:rPr>
        <w:br w:type="page"/>
      </w:r>
    </w:p>
    <w:p w14:paraId="72AFB20C" w14:textId="77777777" w:rsidR="008319FB" w:rsidRPr="00B0658A" w:rsidRDefault="008319FB" w:rsidP="00DD4A91">
      <w:pPr>
        <w:ind w:firstLine="709"/>
        <w:rPr>
          <w:rFonts w:ascii="Times New Roman" w:hAnsi="Times New Roman"/>
          <w:b/>
          <w:sz w:val="28"/>
          <w:szCs w:val="28"/>
        </w:rPr>
      </w:pPr>
      <w:r w:rsidRPr="00B0658A">
        <w:rPr>
          <w:rFonts w:ascii="Times New Roman" w:hAnsi="Times New Roman"/>
          <w:b/>
          <w:sz w:val="28"/>
          <w:szCs w:val="28"/>
        </w:rPr>
        <w:t>Форма отчетности за полугодовой период</w:t>
      </w:r>
      <w:bookmarkEnd w:id="37"/>
    </w:p>
    <w:p w14:paraId="594E6361" w14:textId="77777777" w:rsidR="008319FB" w:rsidRPr="00B0658A" w:rsidRDefault="008319FB" w:rsidP="008319FB">
      <w:pPr>
        <w:rPr>
          <w:rFonts w:ascii="Times New Roman" w:hAnsi="Times New Roman"/>
          <w:highlight w:val="yellow"/>
        </w:rPr>
      </w:pPr>
    </w:p>
    <w:p w14:paraId="2F47652B" w14:textId="77777777" w:rsidR="00D12D06" w:rsidRPr="00B0658A" w:rsidRDefault="00D12D06" w:rsidP="00D12D06">
      <w:pPr>
        <w:pStyle w:val="ConsPlusNormal"/>
        <w:spacing w:before="120"/>
        <w:jc w:val="center"/>
        <w:rPr>
          <w:sz w:val="32"/>
          <w:szCs w:val="32"/>
        </w:rPr>
      </w:pPr>
      <w:r w:rsidRPr="00B0658A">
        <w:rPr>
          <w:sz w:val="32"/>
          <w:szCs w:val="32"/>
        </w:rPr>
        <w:t>Сведения о реализации плана перехода ______________ (полное наименование подведомственной организации) на использование российского ПО на период 2022-2027 годы за ____ полугодие _______ года.</w:t>
      </w:r>
    </w:p>
    <w:p w14:paraId="6100EFCC" w14:textId="77777777" w:rsidR="00D12D06" w:rsidRPr="00B0658A" w:rsidRDefault="00D12D06" w:rsidP="00D12D06">
      <w:pPr>
        <w:pStyle w:val="afd"/>
        <w:spacing w:line="240" w:lineRule="auto"/>
        <w:ind w:left="1069"/>
        <w:jc w:val="both"/>
        <w:rPr>
          <w:rFonts w:ascii="Times New Roman" w:hAnsi="Times New Roman"/>
          <w:sz w:val="28"/>
          <w:szCs w:val="28"/>
        </w:rPr>
      </w:pPr>
    </w:p>
    <w:p w14:paraId="7BFC4264" w14:textId="77777777" w:rsidR="00D12D06" w:rsidRPr="00B0658A" w:rsidRDefault="00D12D06" w:rsidP="00D12D06">
      <w:pPr>
        <w:spacing w:line="240" w:lineRule="auto"/>
        <w:ind w:firstLine="709"/>
        <w:jc w:val="both"/>
        <w:rPr>
          <w:rFonts w:ascii="Times New Roman" w:hAnsi="Times New Roman"/>
        </w:rPr>
      </w:pPr>
      <w:r w:rsidRPr="00B0658A">
        <w:rPr>
          <w:rFonts w:ascii="Times New Roman" w:hAnsi="Times New Roman"/>
          <w:sz w:val="28"/>
          <w:szCs w:val="28"/>
        </w:rPr>
        <w:t xml:space="preserve">Сведения о достижении </w:t>
      </w:r>
      <w:r w:rsidRPr="00B0658A">
        <w:rPr>
          <w:rFonts w:ascii="Times New Roman" w:hAnsi="Times New Roman"/>
          <w:sz w:val="28"/>
          <w:szCs w:val="24"/>
        </w:rPr>
        <w:t xml:space="preserve">показателей эффективности перехода </w:t>
      </w:r>
      <w:r w:rsidRPr="00B0658A">
        <w:rPr>
          <w:rFonts w:ascii="Times New Roman" w:hAnsi="Times New Roman"/>
          <w:sz w:val="28"/>
          <w:szCs w:val="28"/>
        </w:rPr>
        <w:t>на использование российского ПО</w:t>
      </w:r>
    </w:p>
    <w:tbl>
      <w:tblPr>
        <w:tblStyle w:val="afc"/>
        <w:tblW w:w="0" w:type="auto"/>
        <w:tblLook w:val="0480" w:firstRow="0" w:lastRow="0" w:firstColumn="1" w:lastColumn="0" w:noHBand="0" w:noVBand="1"/>
      </w:tblPr>
      <w:tblGrid>
        <w:gridCol w:w="531"/>
        <w:gridCol w:w="3432"/>
        <w:gridCol w:w="1581"/>
        <w:gridCol w:w="2602"/>
        <w:gridCol w:w="2631"/>
        <w:gridCol w:w="3167"/>
      </w:tblGrid>
      <w:tr w:rsidR="00F52FED" w:rsidRPr="00B0658A" w14:paraId="7A395CAF" w14:textId="77777777" w:rsidTr="00F57B1F">
        <w:trPr>
          <w:trHeight w:val="170"/>
          <w:tblHeader/>
        </w:trPr>
        <w:tc>
          <w:tcPr>
            <w:tcW w:w="0" w:type="auto"/>
            <w:vMerge w:val="restart"/>
            <w:shd w:val="clear" w:color="auto" w:fill="auto"/>
            <w:vAlign w:val="center"/>
          </w:tcPr>
          <w:p w14:paraId="178BFC01" w14:textId="77777777" w:rsidR="00D12D06" w:rsidRPr="00B0658A" w:rsidRDefault="00D12D06" w:rsidP="000A4114">
            <w:pPr>
              <w:spacing w:after="0" w:line="240" w:lineRule="auto"/>
              <w:jc w:val="center"/>
              <w:rPr>
                <w:rFonts w:ascii="Times New Roman" w:hAnsi="Times New Roman"/>
                <w:b/>
                <w:bCs/>
                <w:sz w:val="20"/>
                <w:szCs w:val="20"/>
              </w:rPr>
            </w:pPr>
            <w:r w:rsidRPr="00B0658A">
              <w:rPr>
                <w:rFonts w:ascii="Times New Roman" w:hAnsi="Times New Roman"/>
                <w:b/>
                <w:bCs/>
                <w:sz w:val="20"/>
                <w:szCs w:val="20"/>
              </w:rPr>
              <w:t>№</w:t>
            </w:r>
          </w:p>
          <w:p w14:paraId="704F67A2" w14:textId="77777777" w:rsidR="00D12D06" w:rsidRPr="00B0658A" w:rsidRDefault="00D12D06" w:rsidP="000A4114">
            <w:pPr>
              <w:spacing w:after="0" w:line="240" w:lineRule="auto"/>
              <w:jc w:val="center"/>
              <w:rPr>
                <w:rFonts w:ascii="Times New Roman" w:hAnsi="Times New Roman"/>
                <w:b/>
                <w:bCs/>
                <w:sz w:val="20"/>
                <w:szCs w:val="20"/>
              </w:rPr>
            </w:pPr>
          </w:p>
        </w:tc>
        <w:tc>
          <w:tcPr>
            <w:tcW w:w="3432" w:type="dxa"/>
            <w:vMerge w:val="restart"/>
            <w:shd w:val="clear" w:color="auto" w:fill="auto"/>
            <w:vAlign w:val="center"/>
          </w:tcPr>
          <w:p w14:paraId="3147B7AD" w14:textId="77777777" w:rsidR="00D12D06" w:rsidRPr="00B0658A" w:rsidRDefault="00D12D06" w:rsidP="000A4114">
            <w:pPr>
              <w:spacing w:after="0" w:line="240" w:lineRule="auto"/>
              <w:jc w:val="center"/>
              <w:rPr>
                <w:rFonts w:ascii="Times New Roman" w:hAnsi="Times New Roman"/>
                <w:b/>
                <w:bCs/>
                <w:sz w:val="20"/>
                <w:szCs w:val="20"/>
              </w:rPr>
            </w:pPr>
            <w:r w:rsidRPr="00B0658A">
              <w:rPr>
                <w:rFonts w:ascii="Times New Roman" w:hAnsi="Times New Roman"/>
                <w:b/>
                <w:bCs/>
                <w:sz w:val="20"/>
                <w:szCs w:val="20"/>
              </w:rPr>
              <w:t xml:space="preserve">Наименование класса </w:t>
            </w:r>
            <w:r w:rsidRPr="00B0658A">
              <w:rPr>
                <w:rFonts w:ascii="Times New Roman" w:hAnsi="Times New Roman"/>
                <w:b/>
                <w:bCs/>
                <w:sz w:val="20"/>
                <w:szCs w:val="20"/>
                <w:lang w:val="en-US"/>
              </w:rPr>
              <w:t xml:space="preserve">/ </w:t>
            </w:r>
            <w:r w:rsidRPr="00B0658A">
              <w:rPr>
                <w:rFonts w:ascii="Times New Roman" w:hAnsi="Times New Roman"/>
                <w:b/>
                <w:bCs/>
                <w:sz w:val="20"/>
                <w:szCs w:val="20"/>
              </w:rPr>
              <w:t>типа ПО</w:t>
            </w:r>
          </w:p>
        </w:tc>
        <w:tc>
          <w:tcPr>
            <w:tcW w:w="1256" w:type="dxa"/>
            <w:vMerge w:val="restart"/>
            <w:vAlign w:val="center"/>
          </w:tcPr>
          <w:p w14:paraId="275E2B36" w14:textId="77777777" w:rsidR="00D12D06" w:rsidRPr="00B0658A" w:rsidRDefault="00D12D06" w:rsidP="000A4114">
            <w:pPr>
              <w:spacing w:after="0" w:line="240" w:lineRule="auto"/>
              <w:jc w:val="center"/>
              <w:rPr>
                <w:rFonts w:ascii="Times New Roman" w:hAnsi="Times New Roman"/>
                <w:b/>
                <w:bCs/>
                <w:sz w:val="20"/>
                <w:szCs w:val="20"/>
              </w:rPr>
            </w:pPr>
            <w:r w:rsidRPr="00B0658A">
              <w:rPr>
                <w:rFonts w:ascii="Times New Roman" w:hAnsi="Times New Roman"/>
                <w:b/>
                <w:bCs/>
                <w:sz w:val="20"/>
                <w:szCs w:val="20"/>
              </w:rPr>
              <w:t>Единицы измерения уровня использования</w:t>
            </w:r>
          </w:p>
        </w:tc>
        <w:tc>
          <w:tcPr>
            <w:tcW w:w="0" w:type="auto"/>
            <w:gridSpan w:val="2"/>
            <w:shd w:val="clear" w:color="auto" w:fill="auto"/>
            <w:vAlign w:val="center"/>
          </w:tcPr>
          <w:p w14:paraId="62AC7568" w14:textId="77777777" w:rsidR="00D12D06" w:rsidRPr="00B0658A" w:rsidRDefault="00D12D06" w:rsidP="000A4114">
            <w:pPr>
              <w:spacing w:after="0" w:line="240" w:lineRule="auto"/>
              <w:jc w:val="center"/>
              <w:rPr>
                <w:rFonts w:ascii="Times New Roman" w:hAnsi="Times New Roman"/>
                <w:b/>
                <w:bCs/>
                <w:sz w:val="20"/>
                <w:szCs w:val="20"/>
              </w:rPr>
            </w:pPr>
            <w:r w:rsidRPr="00B0658A">
              <w:rPr>
                <w:rFonts w:ascii="Times New Roman" w:hAnsi="Times New Roman"/>
                <w:b/>
                <w:bCs/>
                <w:sz w:val="20"/>
                <w:szCs w:val="20"/>
              </w:rPr>
              <w:t>Сведения о достижении показателей эффективности перехода на использование российского ПО</w:t>
            </w:r>
          </w:p>
          <w:p w14:paraId="0D20F8DE" w14:textId="77777777" w:rsidR="00D12D06" w:rsidRPr="00B0658A" w:rsidRDefault="00D12D06" w:rsidP="000A4114">
            <w:pPr>
              <w:spacing w:after="0" w:line="240" w:lineRule="auto"/>
              <w:jc w:val="center"/>
              <w:rPr>
                <w:rFonts w:ascii="Times New Roman" w:hAnsi="Times New Roman"/>
                <w:b/>
                <w:bCs/>
                <w:sz w:val="20"/>
                <w:szCs w:val="20"/>
              </w:rPr>
            </w:pPr>
            <w:r w:rsidRPr="00B0658A">
              <w:rPr>
                <w:rFonts w:ascii="Times New Roman" w:hAnsi="Times New Roman"/>
                <w:b/>
                <w:bCs/>
                <w:sz w:val="20"/>
                <w:szCs w:val="20"/>
              </w:rPr>
              <w:t>за ___ полугодие _____ года</w:t>
            </w:r>
          </w:p>
        </w:tc>
        <w:tc>
          <w:tcPr>
            <w:tcW w:w="0" w:type="auto"/>
            <w:vMerge w:val="restart"/>
            <w:shd w:val="clear" w:color="auto" w:fill="auto"/>
            <w:vAlign w:val="center"/>
          </w:tcPr>
          <w:p w14:paraId="44F80735" w14:textId="77777777" w:rsidR="00D12D06" w:rsidRPr="00B0658A" w:rsidRDefault="00D12D06" w:rsidP="000A4114">
            <w:pPr>
              <w:spacing w:after="0" w:line="240" w:lineRule="auto"/>
              <w:jc w:val="center"/>
              <w:rPr>
                <w:rFonts w:ascii="Times New Roman" w:hAnsi="Times New Roman"/>
                <w:b/>
                <w:bCs/>
                <w:sz w:val="20"/>
                <w:szCs w:val="20"/>
              </w:rPr>
            </w:pPr>
            <w:r w:rsidRPr="00B0658A">
              <w:rPr>
                <w:rFonts w:ascii="Times New Roman" w:hAnsi="Times New Roman"/>
                <w:b/>
                <w:bCs/>
                <w:sz w:val="20"/>
                <w:szCs w:val="20"/>
              </w:rPr>
              <w:t>Сведения о российском/евразийском ПО, на использование которого был осуществлен переход</w:t>
            </w:r>
          </w:p>
        </w:tc>
      </w:tr>
      <w:tr w:rsidR="00F52FED" w:rsidRPr="00B0658A" w14:paraId="54659C6B" w14:textId="77777777" w:rsidTr="00B10FDE">
        <w:trPr>
          <w:trHeight w:val="170"/>
        </w:trPr>
        <w:tc>
          <w:tcPr>
            <w:tcW w:w="0" w:type="auto"/>
            <w:vMerge/>
            <w:shd w:val="clear" w:color="auto" w:fill="auto"/>
          </w:tcPr>
          <w:p w14:paraId="05A59D04" w14:textId="77777777" w:rsidR="00D12D06" w:rsidRPr="00B0658A" w:rsidRDefault="00D12D06" w:rsidP="000A4114">
            <w:pPr>
              <w:spacing w:after="0" w:line="240" w:lineRule="auto"/>
              <w:rPr>
                <w:rFonts w:ascii="Times New Roman" w:hAnsi="Times New Roman"/>
                <w:b/>
                <w:bCs/>
                <w:sz w:val="20"/>
                <w:szCs w:val="20"/>
              </w:rPr>
            </w:pPr>
          </w:p>
        </w:tc>
        <w:tc>
          <w:tcPr>
            <w:tcW w:w="3432" w:type="dxa"/>
            <w:vMerge/>
            <w:shd w:val="clear" w:color="auto" w:fill="auto"/>
          </w:tcPr>
          <w:p w14:paraId="3D85443F" w14:textId="77777777" w:rsidR="00D12D06" w:rsidRPr="00B0658A" w:rsidRDefault="00D12D06" w:rsidP="000A4114">
            <w:pPr>
              <w:spacing w:after="0" w:line="240" w:lineRule="auto"/>
              <w:rPr>
                <w:rFonts w:ascii="Times New Roman" w:hAnsi="Times New Roman"/>
                <w:b/>
                <w:bCs/>
                <w:sz w:val="20"/>
                <w:szCs w:val="20"/>
              </w:rPr>
            </w:pPr>
          </w:p>
        </w:tc>
        <w:tc>
          <w:tcPr>
            <w:tcW w:w="1256" w:type="dxa"/>
            <w:vMerge/>
          </w:tcPr>
          <w:p w14:paraId="3C97FBA7" w14:textId="77777777" w:rsidR="00D12D06" w:rsidRPr="00B0658A" w:rsidRDefault="00D12D06" w:rsidP="000A4114">
            <w:pPr>
              <w:spacing w:after="0" w:line="240" w:lineRule="auto"/>
              <w:jc w:val="center"/>
              <w:rPr>
                <w:rFonts w:ascii="Times New Roman" w:hAnsi="Times New Roman"/>
                <w:b/>
                <w:bCs/>
                <w:sz w:val="20"/>
                <w:szCs w:val="20"/>
              </w:rPr>
            </w:pPr>
          </w:p>
        </w:tc>
        <w:tc>
          <w:tcPr>
            <w:tcW w:w="0" w:type="auto"/>
            <w:shd w:val="clear" w:color="auto" w:fill="auto"/>
            <w:vAlign w:val="center"/>
          </w:tcPr>
          <w:p w14:paraId="2D9E1C8C" w14:textId="77777777" w:rsidR="00D12D06" w:rsidRPr="00B0658A" w:rsidRDefault="00D12D06" w:rsidP="000A4114">
            <w:pPr>
              <w:spacing w:after="0" w:line="240" w:lineRule="auto"/>
              <w:jc w:val="center"/>
              <w:rPr>
                <w:rFonts w:ascii="Times New Roman" w:hAnsi="Times New Roman"/>
                <w:b/>
                <w:bCs/>
                <w:sz w:val="20"/>
                <w:szCs w:val="20"/>
              </w:rPr>
            </w:pPr>
            <w:r w:rsidRPr="00B0658A">
              <w:rPr>
                <w:rFonts w:ascii="Times New Roman" w:hAnsi="Times New Roman"/>
                <w:b/>
                <w:bCs/>
                <w:sz w:val="20"/>
                <w:szCs w:val="20"/>
              </w:rPr>
              <w:t>План</w:t>
            </w:r>
          </w:p>
        </w:tc>
        <w:tc>
          <w:tcPr>
            <w:tcW w:w="0" w:type="auto"/>
            <w:shd w:val="clear" w:color="auto" w:fill="auto"/>
          </w:tcPr>
          <w:p w14:paraId="25B9E966" w14:textId="77777777" w:rsidR="00D12D06" w:rsidRPr="00B0658A" w:rsidRDefault="00D12D06" w:rsidP="000A4114">
            <w:pPr>
              <w:spacing w:after="0" w:line="240" w:lineRule="auto"/>
              <w:jc w:val="center"/>
              <w:rPr>
                <w:rFonts w:ascii="Times New Roman" w:hAnsi="Times New Roman"/>
                <w:b/>
                <w:bCs/>
                <w:sz w:val="20"/>
                <w:szCs w:val="20"/>
              </w:rPr>
            </w:pPr>
            <w:r w:rsidRPr="00B0658A">
              <w:rPr>
                <w:rFonts w:ascii="Times New Roman" w:hAnsi="Times New Roman"/>
                <w:b/>
                <w:bCs/>
                <w:sz w:val="20"/>
                <w:szCs w:val="20"/>
              </w:rPr>
              <w:t>Факт</w:t>
            </w:r>
          </w:p>
        </w:tc>
        <w:tc>
          <w:tcPr>
            <w:tcW w:w="0" w:type="auto"/>
            <w:vMerge/>
            <w:shd w:val="clear" w:color="auto" w:fill="auto"/>
          </w:tcPr>
          <w:p w14:paraId="683BACEB" w14:textId="77777777" w:rsidR="00D12D06" w:rsidRPr="00B0658A" w:rsidRDefault="00D12D06" w:rsidP="000A4114">
            <w:pPr>
              <w:spacing w:after="0" w:line="240" w:lineRule="auto"/>
              <w:rPr>
                <w:rFonts w:ascii="Times New Roman" w:hAnsi="Times New Roman"/>
                <w:b/>
                <w:bCs/>
                <w:sz w:val="20"/>
                <w:szCs w:val="20"/>
              </w:rPr>
            </w:pPr>
          </w:p>
        </w:tc>
      </w:tr>
      <w:tr w:rsidR="00F52FED" w:rsidRPr="00B0658A" w14:paraId="5880B8F1" w14:textId="77777777" w:rsidTr="00B10FDE">
        <w:trPr>
          <w:trHeight w:val="170"/>
        </w:trPr>
        <w:tc>
          <w:tcPr>
            <w:tcW w:w="0" w:type="auto"/>
            <w:shd w:val="clear" w:color="auto" w:fill="auto"/>
            <w:vAlign w:val="center"/>
          </w:tcPr>
          <w:p w14:paraId="592EA809" w14:textId="77777777" w:rsidR="00D12D06" w:rsidRPr="00B0658A" w:rsidRDefault="00D12D06" w:rsidP="000A4114">
            <w:pPr>
              <w:spacing w:after="0" w:line="240" w:lineRule="auto"/>
              <w:rPr>
                <w:rFonts w:ascii="Times New Roman" w:hAnsi="Times New Roman"/>
                <w:sz w:val="20"/>
                <w:szCs w:val="20"/>
              </w:rPr>
            </w:pPr>
            <w:r w:rsidRPr="00B0658A">
              <w:rPr>
                <w:rFonts w:ascii="Times New Roman" w:hAnsi="Times New Roman"/>
                <w:sz w:val="18"/>
                <w:szCs w:val="18"/>
              </w:rPr>
              <w:t>1.1</w:t>
            </w:r>
          </w:p>
        </w:tc>
        <w:tc>
          <w:tcPr>
            <w:tcW w:w="3432" w:type="dxa"/>
            <w:shd w:val="clear" w:color="auto" w:fill="auto"/>
            <w:vAlign w:val="center"/>
          </w:tcPr>
          <w:p w14:paraId="6DF14213" w14:textId="77777777" w:rsidR="00D12D06" w:rsidRPr="00B0658A" w:rsidRDefault="00D12D06" w:rsidP="000A4114">
            <w:pPr>
              <w:spacing w:after="0" w:line="240" w:lineRule="auto"/>
              <w:rPr>
                <w:rFonts w:ascii="Times New Roman" w:hAnsi="Times New Roman"/>
                <w:i/>
                <w:sz w:val="20"/>
                <w:szCs w:val="20"/>
              </w:rPr>
            </w:pPr>
            <w:r w:rsidRPr="00B0658A">
              <w:rPr>
                <w:rFonts w:ascii="Times New Roman" w:hAnsi="Times New Roman"/>
                <w:sz w:val="18"/>
                <w:szCs w:val="18"/>
              </w:rPr>
              <w:t>Встроенное программное обеспечение/ Встроенные системные программы: BIOS, UEFI и иные встроенные системные программы</w:t>
            </w:r>
          </w:p>
        </w:tc>
        <w:tc>
          <w:tcPr>
            <w:tcW w:w="1256" w:type="dxa"/>
          </w:tcPr>
          <w:p w14:paraId="5B80C6D1" w14:textId="77777777" w:rsidR="00D12D06" w:rsidRPr="00B0658A" w:rsidRDefault="00D12D06" w:rsidP="000A4114">
            <w:pPr>
              <w:spacing w:after="0" w:line="240" w:lineRule="auto"/>
              <w:rPr>
                <w:rFonts w:ascii="Times New Roman" w:hAnsi="Times New Roman"/>
                <w:i/>
                <w:iCs/>
                <w:sz w:val="20"/>
                <w:szCs w:val="20"/>
              </w:rPr>
            </w:pPr>
            <w:r w:rsidRPr="00B0658A">
              <w:rPr>
                <w:rFonts w:ascii="Times New Roman" w:hAnsi="Times New Roman"/>
                <w:i/>
                <w:iCs/>
                <w:sz w:val="20"/>
                <w:szCs w:val="20"/>
              </w:rPr>
              <w:t>Указывается единица измерения уровня использования</w:t>
            </w:r>
          </w:p>
        </w:tc>
        <w:tc>
          <w:tcPr>
            <w:tcW w:w="0" w:type="auto"/>
            <w:shd w:val="clear" w:color="auto" w:fill="auto"/>
          </w:tcPr>
          <w:p w14:paraId="765819C3" w14:textId="77777777" w:rsidR="00D12D06" w:rsidRPr="00B0658A" w:rsidRDefault="00D12D06" w:rsidP="000A4114">
            <w:pPr>
              <w:spacing w:after="0" w:line="240" w:lineRule="auto"/>
              <w:rPr>
                <w:rFonts w:ascii="Times New Roman" w:hAnsi="Times New Roman"/>
                <w:i/>
                <w:iCs/>
                <w:sz w:val="20"/>
                <w:szCs w:val="20"/>
              </w:rPr>
            </w:pPr>
            <w:r w:rsidRPr="00B0658A">
              <w:rPr>
                <w:rFonts w:ascii="Times New Roman" w:hAnsi="Times New Roman"/>
                <w:i/>
                <w:iCs/>
                <w:sz w:val="20"/>
                <w:szCs w:val="20"/>
              </w:rPr>
              <w:t>Указывается плановое значение показателя эффективности на соответствующий год для соответствующего класса ПО в соответствии с утвержденным планом перехода подведомственной организации на использование российского ПО.</w:t>
            </w:r>
          </w:p>
          <w:p w14:paraId="2CE145E0" w14:textId="77777777" w:rsidR="00D12D06" w:rsidRPr="00B0658A" w:rsidRDefault="00D12D06" w:rsidP="000A4114">
            <w:pPr>
              <w:spacing w:after="0" w:line="240" w:lineRule="auto"/>
              <w:rPr>
                <w:rFonts w:ascii="Times New Roman" w:hAnsi="Times New Roman"/>
                <w:i/>
                <w:iCs/>
                <w:sz w:val="20"/>
                <w:szCs w:val="20"/>
              </w:rPr>
            </w:pPr>
            <w:r w:rsidRPr="00B0658A">
              <w:rPr>
                <w:rFonts w:ascii="Times New Roman" w:hAnsi="Times New Roman"/>
                <w:i/>
                <w:iCs/>
                <w:sz w:val="20"/>
                <w:szCs w:val="20"/>
              </w:rPr>
              <w:t>В случае, если для соответствующего показателя ранее было установлено значение «не используется» указывается «не используется»</w:t>
            </w:r>
          </w:p>
        </w:tc>
        <w:tc>
          <w:tcPr>
            <w:tcW w:w="0" w:type="auto"/>
            <w:shd w:val="clear" w:color="auto" w:fill="auto"/>
          </w:tcPr>
          <w:p w14:paraId="59427BEA" w14:textId="77777777" w:rsidR="00D12D06" w:rsidRPr="00B0658A" w:rsidRDefault="00D12D06" w:rsidP="000A4114">
            <w:pPr>
              <w:spacing w:after="0" w:line="240" w:lineRule="auto"/>
              <w:rPr>
                <w:rFonts w:ascii="Times New Roman" w:hAnsi="Times New Roman"/>
                <w:i/>
                <w:iCs/>
                <w:sz w:val="20"/>
                <w:szCs w:val="20"/>
              </w:rPr>
            </w:pPr>
            <w:r w:rsidRPr="00B0658A">
              <w:rPr>
                <w:rFonts w:ascii="Times New Roman" w:hAnsi="Times New Roman"/>
                <w:i/>
                <w:iCs/>
                <w:sz w:val="20"/>
                <w:szCs w:val="20"/>
              </w:rPr>
              <w:t>Указывается фактически достигнутое значение показателя использования российского ПО по итогам соответствующего отчетного периода. Данные устанавливаются накопленным итогом с учетом достигнутых результатов в прошлых периодах.</w:t>
            </w:r>
          </w:p>
          <w:p w14:paraId="66989C2B" w14:textId="77777777" w:rsidR="00D12D06" w:rsidRPr="00B0658A" w:rsidRDefault="00D12D06" w:rsidP="000A4114">
            <w:pPr>
              <w:spacing w:after="0" w:line="240" w:lineRule="auto"/>
              <w:rPr>
                <w:rFonts w:ascii="Times New Roman" w:hAnsi="Times New Roman"/>
                <w:i/>
                <w:iCs/>
                <w:sz w:val="20"/>
                <w:szCs w:val="20"/>
              </w:rPr>
            </w:pPr>
            <w:r w:rsidRPr="00B0658A">
              <w:rPr>
                <w:rFonts w:ascii="Times New Roman" w:hAnsi="Times New Roman"/>
                <w:i/>
                <w:iCs/>
                <w:sz w:val="20"/>
                <w:szCs w:val="20"/>
              </w:rPr>
              <w:t>В случае, если для соответствующего показателя ранее было установлено значение «не используется» указывается «не используется»</w:t>
            </w:r>
          </w:p>
        </w:tc>
        <w:tc>
          <w:tcPr>
            <w:tcW w:w="0" w:type="auto"/>
            <w:shd w:val="clear" w:color="auto" w:fill="auto"/>
          </w:tcPr>
          <w:p w14:paraId="07AC0780" w14:textId="77777777" w:rsidR="00D12D06" w:rsidRPr="00B0658A" w:rsidRDefault="00D12D06" w:rsidP="000A4114">
            <w:pPr>
              <w:spacing w:after="0" w:line="240" w:lineRule="auto"/>
              <w:jc w:val="both"/>
              <w:rPr>
                <w:rFonts w:ascii="Times New Roman" w:hAnsi="Times New Roman"/>
                <w:i/>
                <w:iCs/>
                <w:sz w:val="20"/>
                <w:szCs w:val="20"/>
              </w:rPr>
            </w:pPr>
            <w:r w:rsidRPr="00B0658A">
              <w:rPr>
                <w:rFonts w:ascii="Times New Roman" w:hAnsi="Times New Roman"/>
                <w:i/>
                <w:iCs/>
                <w:sz w:val="20"/>
                <w:szCs w:val="20"/>
              </w:rPr>
              <w:t>Указывается следующая информация:</w:t>
            </w:r>
          </w:p>
          <w:p w14:paraId="6DA85FDC" w14:textId="77777777" w:rsidR="00D12D06" w:rsidRPr="00B0658A" w:rsidRDefault="00D12D06" w:rsidP="000A4114">
            <w:pPr>
              <w:spacing w:after="0" w:line="240" w:lineRule="auto"/>
              <w:jc w:val="both"/>
              <w:rPr>
                <w:rFonts w:ascii="Times New Roman" w:hAnsi="Times New Roman"/>
                <w:i/>
                <w:iCs/>
                <w:sz w:val="20"/>
                <w:szCs w:val="20"/>
              </w:rPr>
            </w:pPr>
            <w:r w:rsidRPr="00B0658A">
              <w:rPr>
                <w:rFonts w:ascii="Times New Roman" w:hAnsi="Times New Roman"/>
                <w:i/>
                <w:iCs/>
                <w:sz w:val="20"/>
                <w:szCs w:val="20"/>
              </w:rPr>
              <w:t>1. Наименование иностранного ПО, которое было замещено;</w:t>
            </w:r>
          </w:p>
          <w:p w14:paraId="6F727B1F" w14:textId="77777777" w:rsidR="00D12D06" w:rsidRPr="00B0658A" w:rsidRDefault="00D12D06" w:rsidP="000A4114">
            <w:pPr>
              <w:spacing w:after="0" w:line="240" w:lineRule="auto"/>
              <w:jc w:val="both"/>
              <w:rPr>
                <w:rFonts w:ascii="Times New Roman" w:hAnsi="Times New Roman"/>
                <w:i/>
                <w:iCs/>
                <w:sz w:val="20"/>
                <w:szCs w:val="20"/>
              </w:rPr>
            </w:pPr>
            <w:r w:rsidRPr="00B0658A">
              <w:rPr>
                <w:rFonts w:ascii="Times New Roman" w:hAnsi="Times New Roman"/>
                <w:i/>
                <w:iCs/>
                <w:sz w:val="20"/>
                <w:szCs w:val="20"/>
              </w:rPr>
              <w:t>2. Наименование российского ПО и евразийского ПО (на значимых объектах КИИ), на которое был осуществлен переход, с указанием сведений о номерах записей в едином реестре российского ПО и в едином реестре евразийского ПО соответственно.</w:t>
            </w:r>
          </w:p>
          <w:p w14:paraId="15EA4C60" w14:textId="77777777" w:rsidR="00D12D06" w:rsidRPr="00B0658A" w:rsidRDefault="00D12D06" w:rsidP="000A4114">
            <w:pPr>
              <w:spacing w:after="0" w:line="240" w:lineRule="auto"/>
              <w:jc w:val="both"/>
              <w:rPr>
                <w:rFonts w:ascii="Times New Roman" w:hAnsi="Times New Roman"/>
                <w:i/>
                <w:iCs/>
                <w:sz w:val="20"/>
                <w:szCs w:val="20"/>
              </w:rPr>
            </w:pPr>
          </w:p>
        </w:tc>
      </w:tr>
      <w:tr w:rsidR="00F52FED" w:rsidRPr="00B0658A" w14:paraId="26326FEA" w14:textId="77777777" w:rsidTr="00B10FDE">
        <w:trPr>
          <w:trHeight w:val="170"/>
        </w:trPr>
        <w:tc>
          <w:tcPr>
            <w:tcW w:w="0" w:type="auto"/>
            <w:shd w:val="clear" w:color="auto" w:fill="auto"/>
            <w:vAlign w:val="center"/>
          </w:tcPr>
          <w:p w14:paraId="5D43ECFC" w14:textId="77777777" w:rsidR="00D12D06" w:rsidRPr="00B0658A" w:rsidRDefault="00D12D06" w:rsidP="000A4114">
            <w:pPr>
              <w:spacing w:after="0" w:line="240" w:lineRule="auto"/>
              <w:rPr>
                <w:rFonts w:ascii="Times New Roman" w:hAnsi="Times New Roman"/>
                <w:sz w:val="20"/>
                <w:szCs w:val="20"/>
              </w:rPr>
            </w:pPr>
            <w:r w:rsidRPr="00B0658A">
              <w:rPr>
                <w:rFonts w:ascii="Times New Roman" w:hAnsi="Times New Roman"/>
                <w:sz w:val="18"/>
                <w:szCs w:val="18"/>
              </w:rPr>
              <w:t>1.2</w:t>
            </w:r>
          </w:p>
        </w:tc>
        <w:tc>
          <w:tcPr>
            <w:tcW w:w="3432" w:type="dxa"/>
            <w:shd w:val="clear" w:color="auto" w:fill="auto"/>
            <w:vAlign w:val="center"/>
          </w:tcPr>
          <w:p w14:paraId="11E76DEB" w14:textId="77777777" w:rsidR="00D12D06" w:rsidRPr="00B0658A" w:rsidRDefault="00D12D06" w:rsidP="000A4114">
            <w:pPr>
              <w:spacing w:after="0" w:line="240" w:lineRule="auto"/>
              <w:rPr>
                <w:rFonts w:ascii="Times New Roman" w:hAnsi="Times New Roman"/>
                <w:i/>
                <w:iCs/>
                <w:sz w:val="20"/>
                <w:szCs w:val="20"/>
              </w:rPr>
            </w:pPr>
            <w:r w:rsidRPr="00B0658A">
              <w:rPr>
                <w:rFonts w:ascii="Times New Roman" w:hAnsi="Times New Roman"/>
                <w:sz w:val="18"/>
                <w:szCs w:val="18"/>
              </w:rPr>
              <w:t>Встроенное программное обеспечение/ Встроенные системные программы – операционные системы</w:t>
            </w:r>
          </w:p>
        </w:tc>
        <w:tc>
          <w:tcPr>
            <w:tcW w:w="1256" w:type="dxa"/>
          </w:tcPr>
          <w:p w14:paraId="76709933"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58B228A5"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45CE2A2B"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11348080" w14:textId="77777777" w:rsidR="00D12D06" w:rsidRPr="00B0658A" w:rsidRDefault="00D12D06" w:rsidP="000A4114">
            <w:pPr>
              <w:spacing w:after="0" w:line="240" w:lineRule="auto"/>
              <w:jc w:val="both"/>
              <w:rPr>
                <w:rFonts w:ascii="Times New Roman" w:hAnsi="Times New Roman"/>
                <w:i/>
                <w:iCs/>
                <w:sz w:val="20"/>
                <w:szCs w:val="20"/>
              </w:rPr>
            </w:pPr>
          </w:p>
        </w:tc>
      </w:tr>
      <w:tr w:rsidR="00F52FED" w:rsidRPr="00B0658A" w14:paraId="1F52D7FB" w14:textId="77777777" w:rsidTr="00B10FDE">
        <w:trPr>
          <w:trHeight w:val="170"/>
        </w:trPr>
        <w:tc>
          <w:tcPr>
            <w:tcW w:w="0" w:type="auto"/>
            <w:shd w:val="clear" w:color="auto" w:fill="auto"/>
            <w:vAlign w:val="center"/>
          </w:tcPr>
          <w:p w14:paraId="77FC2D6F" w14:textId="77777777" w:rsidR="00D12D06" w:rsidRPr="00B0658A" w:rsidRDefault="00D12D06" w:rsidP="000A4114">
            <w:pPr>
              <w:spacing w:after="0" w:line="240" w:lineRule="auto"/>
              <w:rPr>
                <w:rFonts w:ascii="Times New Roman" w:hAnsi="Times New Roman"/>
                <w:sz w:val="20"/>
                <w:szCs w:val="20"/>
              </w:rPr>
            </w:pPr>
            <w:r w:rsidRPr="00B0658A">
              <w:rPr>
                <w:rFonts w:ascii="Times New Roman" w:hAnsi="Times New Roman"/>
                <w:sz w:val="18"/>
                <w:szCs w:val="18"/>
              </w:rPr>
              <w:t>1.3</w:t>
            </w:r>
          </w:p>
        </w:tc>
        <w:tc>
          <w:tcPr>
            <w:tcW w:w="3432" w:type="dxa"/>
            <w:shd w:val="clear" w:color="auto" w:fill="auto"/>
            <w:vAlign w:val="center"/>
          </w:tcPr>
          <w:p w14:paraId="2067FBD4" w14:textId="77777777" w:rsidR="00D12D06" w:rsidRPr="00B0658A" w:rsidRDefault="00D12D06" w:rsidP="000A4114">
            <w:pPr>
              <w:spacing w:after="0" w:line="240" w:lineRule="auto"/>
              <w:rPr>
                <w:rFonts w:ascii="Times New Roman" w:hAnsi="Times New Roman"/>
                <w:i/>
                <w:iCs/>
                <w:sz w:val="20"/>
                <w:szCs w:val="20"/>
              </w:rPr>
            </w:pPr>
            <w:r w:rsidRPr="00B0658A">
              <w:rPr>
                <w:rFonts w:ascii="Times New Roman" w:hAnsi="Times New Roman"/>
                <w:sz w:val="18"/>
                <w:szCs w:val="18"/>
              </w:rPr>
              <w:t>Встроенное программное обеспечение/ Встроенные прикладные программы</w:t>
            </w:r>
          </w:p>
        </w:tc>
        <w:tc>
          <w:tcPr>
            <w:tcW w:w="1256" w:type="dxa"/>
          </w:tcPr>
          <w:p w14:paraId="5034BB46"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12013C4E"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547347F0"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659BA697" w14:textId="77777777" w:rsidR="00D12D06" w:rsidRPr="00B0658A" w:rsidRDefault="00D12D06" w:rsidP="000A4114">
            <w:pPr>
              <w:spacing w:after="0" w:line="240" w:lineRule="auto"/>
              <w:jc w:val="both"/>
              <w:rPr>
                <w:rFonts w:ascii="Times New Roman" w:hAnsi="Times New Roman"/>
                <w:i/>
                <w:iCs/>
                <w:sz w:val="20"/>
                <w:szCs w:val="20"/>
              </w:rPr>
            </w:pPr>
          </w:p>
        </w:tc>
      </w:tr>
      <w:tr w:rsidR="00F52FED" w:rsidRPr="00B0658A" w14:paraId="2699D69F" w14:textId="77777777" w:rsidTr="00B10FDE">
        <w:trPr>
          <w:trHeight w:val="170"/>
        </w:trPr>
        <w:tc>
          <w:tcPr>
            <w:tcW w:w="0" w:type="auto"/>
            <w:shd w:val="clear" w:color="auto" w:fill="auto"/>
            <w:vAlign w:val="center"/>
          </w:tcPr>
          <w:p w14:paraId="48348BF4" w14:textId="77777777" w:rsidR="00D12D06" w:rsidRPr="00B0658A" w:rsidRDefault="00D12D06" w:rsidP="000A4114">
            <w:pPr>
              <w:spacing w:after="0" w:line="240" w:lineRule="auto"/>
              <w:rPr>
                <w:rFonts w:ascii="Times New Roman" w:hAnsi="Times New Roman"/>
                <w:sz w:val="20"/>
                <w:szCs w:val="20"/>
              </w:rPr>
            </w:pPr>
            <w:r w:rsidRPr="00B0658A">
              <w:rPr>
                <w:rFonts w:ascii="Times New Roman" w:hAnsi="Times New Roman"/>
                <w:sz w:val="18"/>
                <w:szCs w:val="18"/>
              </w:rPr>
              <w:t>1.4</w:t>
            </w:r>
          </w:p>
        </w:tc>
        <w:tc>
          <w:tcPr>
            <w:tcW w:w="3432" w:type="dxa"/>
            <w:shd w:val="clear" w:color="auto" w:fill="auto"/>
            <w:vAlign w:val="center"/>
          </w:tcPr>
          <w:p w14:paraId="22E9EC54" w14:textId="77777777" w:rsidR="00D12D06" w:rsidRPr="00B0658A" w:rsidRDefault="00D12D06" w:rsidP="000A4114">
            <w:pPr>
              <w:spacing w:after="0" w:line="240" w:lineRule="auto"/>
              <w:rPr>
                <w:rFonts w:ascii="Times New Roman" w:hAnsi="Times New Roman"/>
                <w:i/>
                <w:iCs/>
                <w:sz w:val="20"/>
                <w:szCs w:val="20"/>
              </w:rPr>
            </w:pPr>
            <w:r w:rsidRPr="00B0658A">
              <w:rPr>
                <w:rFonts w:ascii="Times New Roman" w:hAnsi="Times New Roman"/>
                <w:sz w:val="18"/>
                <w:szCs w:val="18"/>
              </w:rPr>
              <w:t>Встроенное программное обеспечение/ Программное обеспечение интернета вещей, робототехники и сенсорики</w:t>
            </w:r>
          </w:p>
        </w:tc>
        <w:tc>
          <w:tcPr>
            <w:tcW w:w="1256" w:type="dxa"/>
          </w:tcPr>
          <w:p w14:paraId="031C2072"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6915654B"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74DBCAB5"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2EFC7824" w14:textId="77777777" w:rsidR="00D12D06" w:rsidRPr="00B0658A" w:rsidRDefault="00D12D06" w:rsidP="000A4114">
            <w:pPr>
              <w:spacing w:after="0" w:line="240" w:lineRule="auto"/>
              <w:jc w:val="both"/>
              <w:rPr>
                <w:rFonts w:ascii="Times New Roman" w:hAnsi="Times New Roman"/>
                <w:i/>
                <w:iCs/>
                <w:sz w:val="20"/>
                <w:szCs w:val="20"/>
              </w:rPr>
            </w:pPr>
          </w:p>
        </w:tc>
      </w:tr>
      <w:tr w:rsidR="00F52FED" w:rsidRPr="00B0658A" w14:paraId="740FC78F" w14:textId="77777777" w:rsidTr="00B10FDE">
        <w:trPr>
          <w:trHeight w:val="170"/>
        </w:trPr>
        <w:tc>
          <w:tcPr>
            <w:tcW w:w="0" w:type="auto"/>
            <w:shd w:val="clear" w:color="auto" w:fill="auto"/>
            <w:vAlign w:val="center"/>
          </w:tcPr>
          <w:p w14:paraId="76CB478F" w14:textId="77777777" w:rsidR="00D12D06" w:rsidRPr="00B0658A" w:rsidRDefault="00D12D06" w:rsidP="000A4114">
            <w:pPr>
              <w:spacing w:after="0" w:line="240" w:lineRule="auto"/>
              <w:rPr>
                <w:rFonts w:ascii="Times New Roman" w:hAnsi="Times New Roman"/>
                <w:sz w:val="20"/>
                <w:szCs w:val="20"/>
              </w:rPr>
            </w:pPr>
            <w:r w:rsidRPr="00B0658A">
              <w:rPr>
                <w:rFonts w:ascii="Times New Roman" w:hAnsi="Times New Roman"/>
                <w:sz w:val="18"/>
                <w:szCs w:val="18"/>
              </w:rPr>
              <w:t>2.1</w:t>
            </w:r>
          </w:p>
        </w:tc>
        <w:tc>
          <w:tcPr>
            <w:tcW w:w="3432" w:type="dxa"/>
            <w:shd w:val="clear" w:color="auto" w:fill="auto"/>
            <w:vAlign w:val="center"/>
          </w:tcPr>
          <w:p w14:paraId="6F8522D2" w14:textId="77777777" w:rsidR="00D12D06" w:rsidRPr="00B0658A" w:rsidRDefault="00D12D06" w:rsidP="000A4114">
            <w:pPr>
              <w:spacing w:after="0" w:line="240" w:lineRule="auto"/>
              <w:rPr>
                <w:rFonts w:ascii="Times New Roman" w:hAnsi="Times New Roman"/>
                <w:i/>
                <w:iCs/>
                <w:sz w:val="20"/>
                <w:szCs w:val="20"/>
              </w:rPr>
            </w:pPr>
            <w:r w:rsidRPr="00B0658A">
              <w:rPr>
                <w:rFonts w:ascii="Times New Roman" w:hAnsi="Times New Roman"/>
                <w:sz w:val="18"/>
                <w:szCs w:val="18"/>
              </w:rPr>
              <w:t>Системное программное обеспечение/ Драйверы</w:t>
            </w:r>
          </w:p>
        </w:tc>
        <w:tc>
          <w:tcPr>
            <w:tcW w:w="1256" w:type="dxa"/>
          </w:tcPr>
          <w:p w14:paraId="6195C574"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49C4D406"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1F06BEB3"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60CEAEAB" w14:textId="77777777" w:rsidR="00D12D06" w:rsidRPr="00B0658A" w:rsidRDefault="00D12D06" w:rsidP="000A4114">
            <w:pPr>
              <w:spacing w:after="0" w:line="240" w:lineRule="auto"/>
              <w:jc w:val="both"/>
              <w:rPr>
                <w:rFonts w:ascii="Times New Roman" w:hAnsi="Times New Roman"/>
                <w:i/>
                <w:iCs/>
                <w:sz w:val="20"/>
                <w:szCs w:val="20"/>
              </w:rPr>
            </w:pPr>
          </w:p>
        </w:tc>
      </w:tr>
      <w:tr w:rsidR="00F52FED" w:rsidRPr="00B0658A" w14:paraId="2A7CFA50" w14:textId="77777777" w:rsidTr="00B10FDE">
        <w:trPr>
          <w:trHeight w:val="170"/>
        </w:trPr>
        <w:tc>
          <w:tcPr>
            <w:tcW w:w="0" w:type="auto"/>
            <w:shd w:val="clear" w:color="auto" w:fill="auto"/>
            <w:vAlign w:val="center"/>
          </w:tcPr>
          <w:p w14:paraId="1C67B94E" w14:textId="77777777" w:rsidR="00D12D06" w:rsidRPr="00B0658A" w:rsidRDefault="00D12D06" w:rsidP="000A4114">
            <w:pPr>
              <w:spacing w:after="0" w:line="240" w:lineRule="auto"/>
              <w:rPr>
                <w:rFonts w:ascii="Times New Roman" w:hAnsi="Times New Roman"/>
                <w:sz w:val="20"/>
                <w:szCs w:val="20"/>
              </w:rPr>
            </w:pPr>
            <w:r w:rsidRPr="00B0658A">
              <w:rPr>
                <w:rFonts w:ascii="Times New Roman" w:hAnsi="Times New Roman"/>
                <w:sz w:val="18"/>
                <w:szCs w:val="18"/>
              </w:rPr>
              <w:t>2.2</w:t>
            </w:r>
          </w:p>
        </w:tc>
        <w:tc>
          <w:tcPr>
            <w:tcW w:w="3432" w:type="dxa"/>
            <w:shd w:val="clear" w:color="auto" w:fill="auto"/>
            <w:vAlign w:val="center"/>
          </w:tcPr>
          <w:p w14:paraId="523C9EA8" w14:textId="77777777" w:rsidR="00D12D06" w:rsidRPr="00B0658A" w:rsidRDefault="00D12D06" w:rsidP="000A4114">
            <w:pPr>
              <w:spacing w:after="0" w:line="240" w:lineRule="auto"/>
              <w:rPr>
                <w:rFonts w:ascii="Times New Roman" w:hAnsi="Times New Roman"/>
                <w:i/>
                <w:iCs/>
                <w:sz w:val="20"/>
                <w:szCs w:val="20"/>
              </w:rPr>
            </w:pPr>
            <w:r w:rsidRPr="00B0658A">
              <w:rPr>
                <w:rFonts w:ascii="Times New Roman" w:hAnsi="Times New Roman"/>
                <w:sz w:val="18"/>
                <w:szCs w:val="18"/>
              </w:rPr>
              <w:t>Системное программное обеспечение/ Программы обслуживания</w:t>
            </w:r>
          </w:p>
        </w:tc>
        <w:tc>
          <w:tcPr>
            <w:tcW w:w="1256" w:type="dxa"/>
          </w:tcPr>
          <w:p w14:paraId="7A9F6B25"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50DE5BA8"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7D6F278D"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2C4D3F2A" w14:textId="77777777" w:rsidR="00D12D06" w:rsidRPr="00B0658A" w:rsidRDefault="00D12D06" w:rsidP="000A4114">
            <w:pPr>
              <w:spacing w:after="0" w:line="240" w:lineRule="auto"/>
              <w:jc w:val="both"/>
              <w:rPr>
                <w:rFonts w:ascii="Times New Roman" w:hAnsi="Times New Roman"/>
                <w:i/>
                <w:iCs/>
                <w:sz w:val="20"/>
                <w:szCs w:val="20"/>
              </w:rPr>
            </w:pPr>
          </w:p>
        </w:tc>
      </w:tr>
      <w:tr w:rsidR="00F52FED" w:rsidRPr="00B0658A" w14:paraId="05ED449C" w14:textId="77777777" w:rsidTr="00B10FDE">
        <w:trPr>
          <w:trHeight w:val="170"/>
        </w:trPr>
        <w:tc>
          <w:tcPr>
            <w:tcW w:w="0" w:type="auto"/>
            <w:shd w:val="clear" w:color="auto" w:fill="auto"/>
            <w:vAlign w:val="center"/>
          </w:tcPr>
          <w:p w14:paraId="179B908D" w14:textId="77777777" w:rsidR="00D12D06" w:rsidRPr="00B0658A" w:rsidRDefault="00D12D06" w:rsidP="000A4114">
            <w:pPr>
              <w:spacing w:after="0" w:line="240" w:lineRule="auto"/>
              <w:rPr>
                <w:rFonts w:ascii="Times New Roman" w:hAnsi="Times New Roman"/>
                <w:sz w:val="20"/>
                <w:szCs w:val="20"/>
              </w:rPr>
            </w:pPr>
            <w:r w:rsidRPr="00B0658A">
              <w:rPr>
                <w:rFonts w:ascii="Times New Roman" w:hAnsi="Times New Roman"/>
                <w:sz w:val="18"/>
                <w:szCs w:val="18"/>
                <w:lang w:val="en-US"/>
              </w:rPr>
              <w:t>2.3</w:t>
            </w:r>
          </w:p>
        </w:tc>
        <w:tc>
          <w:tcPr>
            <w:tcW w:w="3432" w:type="dxa"/>
            <w:shd w:val="clear" w:color="auto" w:fill="auto"/>
            <w:vAlign w:val="center"/>
          </w:tcPr>
          <w:p w14:paraId="4605419F" w14:textId="77777777" w:rsidR="00D12D06" w:rsidRPr="00B0658A" w:rsidRDefault="00D12D06" w:rsidP="000A4114">
            <w:pPr>
              <w:spacing w:after="0" w:line="240" w:lineRule="auto"/>
              <w:rPr>
                <w:rFonts w:ascii="Times New Roman" w:hAnsi="Times New Roman"/>
                <w:i/>
                <w:iCs/>
                <w:sz w:val="20"/>
                <w:szCs w:val="20"/>
              </w:rPr>
            </w:pPr>
            <w:r w:rsidRPr="00B0658A">
              <w:rPr>
                <w:rFonts w:ascii="Times New Roman" w:hAnsi="Times New Roman"/>
                <w:sz w:val="18"/>
                <w:szCs w:val="18"/>
              </w:rPr>
              <w:t>Средства обеспечения облачных и распределенных вычислений</w:t>
            </w:r>
          </w:p>
        </w:tc>
        <w:tc>
          <w:tcPr>
            <w:tcW w:w="1256" w:type="dxa"/>
          </w:tcPr>
          <w:p w14:paraId="52B346C7"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42AF2E37"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558CB95D"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12B00645" w14:textId="77777777" w:rsidR="00D12D06" w:rsidRPr="00B0658A" w:rsidRDefault="00D12D06" w:rsidP="000A4114">
            <w:pPr>
              <w:spacing w:after="0" w:line="240" w:lineRule="auto"/>
              <w:jc w:val="both"/>
              <w:rPr>
                <w:rFonts w:ascii="Times New Roman" w:hAnsi="Times New Roman"/>
                <w:i/>
                <w:iCs/>
                <w:sz w:val="20"/>
                <w:szCs w:val="20"/>
              </w:rPr>
            </w:pPr>
          </w:p>
        </w:tc>
      </w:tr>
      <w:tr w:rsidR="00F52FED" w:rsidRPr="00B0658A" w14:paraId="3205D8D2" w14:textId="77777777" w:rsidTr="00B10FDE">
        <w:trPr>
          <w:trHeight w:val="170"/>
        </w:trPr>
        <w:tc>
          <w:tcPr>
            <w:tcW w:w="0" w:type="auto"/>
            <w:shd w:val="clear" w:color="auto" w:fill="auto"/>
            <w:vAlign w:val="center"/>
          </w:tcPr>
          <w:p w14:paraId="7A6DC958" w14:textId="77777777" w:rsidR="00D12D06" w:rsidRPr="00B0658A" w:rsidRDefault="00D12D06" w:rsidP="000A4114">
            <w:pPr>
              <w:spacing w:after="0" w:line="240" w:lineRule="auto"/>
              <w:rPr>
                <w:rFonts w:ascii="Times New Roman" w:hAnsi="Times New Roman"/>
                <w:sz w:val="20"/>
                <w:szCs w:val="20"/>
              </w:rPr>
            </w:pPr>
            <w:r w:rsidRPr="00B0658A">
              <w:rPr>
                <w:rFonts w:ascii="Times New Roman" w:hAnsi="Times New Roman"/>
                <w:sz w:val="18"/>
                <w:szCs w:val="18"/>
              </w:rPr>
              <w:t>2.4</w:t>
            </w:r>
          </w:p>
        </w:tc>
        <w:tc>
          <w:tcPr>
            <w:tcW w:w="3432" w:type="dxa"/>
            <w:shd w:val="clear" w:color="auto" w:fill="auto"/>
            <w:vAlign w:val="center"/>
          </w:tcPr>
          <w:p w14:paraId="60D22968" w14:textId="77777777" w:rsidR="00D12D06" w:rsidRPr="00B0658A" w:rsidRDefault="00D12D06" w:rsidP="000A4114">
            <w:pPr>
              <w:spacing w:after="0" w:line="240" w:lineRule="auto"/>
              <w:rPr>
                <w:rFonts w:ascii="Times New Roman" w:hAnsi="Times New Roman"/>
                <w:i/>
                <w:iCs/>
                <w:sz w:val="20"/>
                <w:szCs w:val="20"/>
              </w:rPr>
            </w:pPr>
            <w:r w:rsidRPr="00B0658A">
              <w:rPr>
                <w:rFonts w:ascii="Times New Roman" w:hAnsi="Times New Roman"/>
                <w:sz w:val="18"/>
                <w:szCs w:val="18"/>
              </w:rPr>
              <w:t>Системное программное обеспечение / Средства виртуализации</w:t>
            </w:r>
          </w:p>
        </w:tc>
        <w:tc>
          <w:tcPr>
            <w:tcW w:w="1256" w:type="dxa"/>
          </w:tcPr>
          <w:p w14:paraId="798B5F1B"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72CC9753"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2DD6498F"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10D0B6EA" w14:textId="77777777" w:rsidR="00D12D06" w:rsidRPr="00B0658A" w:rsidRDefault="00D12D06" w:rsidP="000A4114">
            <w:pPr>
              <w:spacing w:after="0" w:line="240" w:lineRule="auto"/>
              <w:jc w:val="both"/>
              <w:rPr>
                <w:rFonts w:ascii="Times New Roman" w:hAnsi="Times New Roman"/>
                <w:i/>
                <w:iCs/>
                <w:sz w:val="20"/>
                <w:szCs w:val="20"/>
              </w:rPr>
            </w:pPr>
          </w:p>
        </w:tc>
      </w:tr>
      <w:tr w:rsidR="00F52FED" w:rsidRPr="00B0658A" w14:paraId="0C69E280" w14:textId="77777777" w:rsidTr="00B10FDE">
        <w:trPr>
          <w:trHeight w:val="170"/>
        </w:trPr>
        <w:tc>
          <w:tcPr>
            <w:tcW w:w="0" w:type="auto"/>
            <w:shd w:val="clear" w:color="auto" w:fill="auto"/>
            <w:vAlign w:val="center"/>
          </w:tcPr>
          <w:p w14:paraId="255BB167" w14:textId="77777777" w:rsidR="00D12D06" w:rsidRPr="00B0658A" w:rsidRDefault="00D12D06" w:rsidP="000A4114">
            <w:pPr>
              <w:spacing w:after="0" w:line="240" w:lineRule="auto"/>
              <w:rPr>
                <w:rFonts w:ascii="Times New Roman" w:hAnsi="Times New Roman"/>
                <w:sz w:val="20"/>
                <w:szCs w:val="20"/>
              </w:rPr>
            </w:pPr>
            <w:r w:rsidRPr="00B0658A">
              <w:rPr>
                <w:rFonts w:ascii="Times New Roman" w:hAnsi="Times New Roman"/>
                <w:sz w:val="18"/>
                <w:szCs w:val="18"/>
              </w:rPr>
              <w:t>2.5</w:t>
            </w:r>
          </w:p>
        </w:tc>
        <w:tc>
          <w:tcPr>
            <w:tcW w:w="3432" w:type="dxa"/>
            <w:shd w:val="clear" w:color="auto" w:fill="auto"/>
            <w:vAlign w:val="center"/>
          </w:tcPr>
          <w:p w14:paraId="49B19056" w14:textId="77777777" w:rsidR="00D12D06" w:rsidRPr="00B0658A" w:rsidRDefault="00D12D06" w:rsidP="000A4114">
            <w:pPr>
              <w:spacing w:after="0" w:line="240" w:lineRule="auto"/>
              <w:rPr>
                <w:rFonts w:ascii="Times New Roman" w:hAnsi="Times New Roman"/>
                <w:i/>
                <w:iCs/>
                <w:sz w:val="20"/>
                <w:szCs w:val="20"/>
              </w:rPr>
            </w:pPr>
            <w:r w:rsidRPr="00B0658A">
              <w:rPr>
                <w:rFonts w:ascii="Times New Roman" w:hAnsi="Times New Roman"/>
                <w:sz w:val="18"/>
                <w:szCs w:val="18"/>
              </w:rPr>
              <w:t>Системное программное обеспечение/ Средства хранения данных</w:t>
            </w:r>
          </w:p>
        </w:tc>
        <w:tc>
          <w:tcPr>
            <w:tcW w:w="1256" w:type="dxa"/>
          </w:tcPr>
          <w:p w14:paraId="3BFB1DDE"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2BB59355"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6FE1FADE"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4B62126E" w14:textId="77777777" w:rsidR="00D12D06" w:rsidRPr="00B0658A" w:rsidRDefault="00D12D06" w:rsidP="000A4114">
            <w:pPr>
              <w:spacing w:after="0" w:line="240" w:lineRule="auto"/>
              <w:jc w:val="both"/>
              <w:rPr>
                <w:rFonts w:ascii="Times New Roman" w:hAnsi="Times New Roman"/>
                <w:i/>
                <w:iCs/>
                <w:sz w:val="20"/>
                <w:szCs w:val="20"/>
              </w:rPr>
            </w:pPr>
          </w:p>
        </w:tc>
      </w:tr>
      <w:tr w:rsidR="00F52FED" w:rsidRPr="00B0658A" w14:paraId="54641D87" w14:textId="77777777" w:rsidTr="00B10FDE">
        <w:trPr>
          <w:trHeight w:val="170"/>
        </w:trPr>
        <w:tc>
          <w:tcPr>
            <w:tcW w:w="0" w:type="auto"/>
            <w:shd w:val="clear" w:color="auto" w:fill="auto"/>
            <w:vAlign w:val="center"/>
          </w:tcPr>
          <w:p w14:paraId="5523087D" w14:textId="77777777" w:rsidR="00D12D06" w:rsidRPr="00B0658A" w:rsidRDefault="00D12D06" w:rsidP="000A4114">
            <w:pPr>
              <w:spacing w:after="0" w:line="240" w:lineRule="auto"/>
              <w:rPr>
                <w:rFonts w:ascii="Times New Roman" w:hAnsi="Times New Roman"/>
                <w:sz w:val="20"/>
                <w:szCs w:val="20"/>
              </w:rPr>
            </w:pPr>
            <w:r w:rsidRPr="00B0658A">
              <w:rPr>
                <w:rFonts w:ascii="Times New Roman" w:hAnsi="Times New Roman"/>
                <w:sz w:val="18"/>
                <w:szCs w:val="18"/>
              </w:rPr>
              <w:t>2.6</w:t>
            </w:r>
          </w:p>
        </w:tc>
        <w:tc>
          <w:tcPr>
            <w:tcW w:w="3432" w:type="dxa"/>
            <w:shd w:val="clear" w:color="auto" w:fill="auto"/>
            <w:vAlign w:val="center"/>
          </w:tcPr>
          <w:p w14:paraId="3C0981E5" w14:textId="77777777" w:rsidR="00D12D06" w:rsidRPr="00B0658A" w:rsidRDefault="00D12D06" w:rsidP="000A4114">
            <w:pPr>
              <w:spacing w:after="0" w:line="240" w:lineRule="auto"/>
              <w:rPr>
                <w:rFonts w:ascii="Times New Roman" w:hAnsi="Times New Roman"/>
                <w:i/>
                <w:iCs/>
                <w:sz w:val="20"/>
                <w:szCs w:val="20"/>
              </w:rPr>
            </w:pPr>
            <w:r w:rsidRPr="00B0658A">
              <w:rPr>
                <w:rFonts w:ascii="Times New Roman" w:hAnsi="Times New Roman"/>
                <w:sz w:val="18"/>
                <w:szCs w:val="18"/>
              </w:rPr>
              <w:t>Системное программное обеспечение / Серверное и связующее программное обеспечение</w:t>
            </w:r>
          </w:p>
        </w:tc>
        <w:tc>
          <w:tcPr>
            <w:tcW w:w="1256" w:type="dxa"/>
          </w:tcPr>
          <w:p w14:paraId="53C909E7"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628DC958"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74721A6B"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586C78D3" w14:textId="77777777" w:rsidR="00D12D06" w:rsidRPr="00B0658A" w:rsidRDefault="00D12D06" w:rsidP="000A4114">
            <w:pPr>
              <w:spacing w:after="0" w:line="240" w:lineRule="auto"/>
              <w:jc w:val="both"/>
              <w:rPr>
                <w:rFonts w:ascii="Times New Roman" w:hAnsi="Times New Roman"/>
                <w:i/>
                <w:iCs/>
                <w:sz w:val="20"/>
                <w:szCs w:val="20"/>
              </w:rPr>
            </w:pPr>
          </w:p>
        </w:tc>
      </w:tr>
      <w:tr w:rsidR="00F52FED" w:rsidRPr="00B0658A" w14:paraId="18E3F25D" w14:textId="77777777" w:rsidTr="00B10FDE">
        <w:trPr>
          <w:trHeight w:val="170"/>
        </w:trPr>
        <w:tc>
          <w:tcPr>
            <w:tcW w:w="0" w:type="auto"/>
            <w:shd w:val="clear" w:color="auto" w:fill="auto"/>
            <w:vAlign w:val="center"/>
          </w:tcPr>
          <w:p w14:paraId="1FCDACF2" w14:textId="77777777" w:rsidR="00D12D06" w:rsidRPr="00B0658A" w:rsidRDefault="00D12D06" w:rsidP="000A4114">
            <w:pPr>
              <w:spacing w:after="0" w:line="240" w:lineRule="auto"/>
              <w:rPr>
                <w:rFonts w:ascii="Times New Roman" w:hAnsi="Times New Roman"/>
                <w:sz w:val="20"/>
                <w:szCs w:val="20"/>
              </w:rPr>
            </w:pPr>
            <w:r w:rsidRPr="00B0658A">
              <w:rPr>
                <w:rFonts w:ascii="Times New Roman" w:hAnsi="Times New Roman"/>
                <w:sz w:val="18"/>
                <w:szCs w:val="18"/>
              </w:rPr>
              <w:t>2.7</w:t>
            </w:r>
          </w:p>
        </w:tc>
        <w:tc>
          <w:tcPr>
            <w:tcW w:w="3432" w:type="dxa"/>
            <w:shd w:val="clear" w:color="auto" w:fill="auto"/>
            <w:vAlign w:val="center"/>
          </w:tcPr>
          <w:p w14:paraId="30707EC8" w14:textId="77777777" w:rsidR="00D12D06" w:rsidRPr="00B0658A" w:rsidRDefault="00D12D06" w:rsidP="000A4114">
            <w:pPr>
              <w:spacing w:after="0" w:line="240" w:lineRule="auto"/>
              <w:rPr>
                <w:rFonts w:ascii="Times New Roman" w:hAnsi="Times New Roman"/>
                <w:i/>
                <w:iCs/>
                <w:sz w:val="20"/>
                <w:szCs w:val="20"/>
              </w:rPr>
            </w:pPr>
            <w:r w:rsidRPr="00B0658A">
              <w:rPr>
                <w:rFonts w:ascii="Times New Roman" w:hAnsi="Times New Roman"/>
                <w:sz w:val="18"/>
                <w:szCs w:val="18"/>
              </w:rPr>
              <w:t>Системное программное обеспечение/ Средства управления базами данных</w:t>
            </w:r>
          </w:p>
        </w:tc>
        <w:tc>
          <w:tcPr>
            <w:tcW w:w="1256" w:type="dxa"/>
          </w:tcPr>
          <w:p w14:paraId="66BC8157"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68BAD9C5"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63413B5F"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588F9F6D" w14:textId="77777777" w:rsidR="00D12D06" w:rsidRPr="00B0658A" w:rsidRDefault="00D12D06" w:rsidP="000A4114">
            <w:pPr>
              <w:spacing w:after="0" w:line="240" w:lineRule="auto"/>
              <w:jc w:val="both"/>
              <w:rPr>
                <w:rFonts w:ascii="Times New Roman" w:hAnsi="Times New Roman"/>
                <w:i/>
                <w:iCs/>
                <w:sz w:val="20"/>
                <w:szCs w:val="20"/>
              </w:rPr>
            </w:pPr>
          </w:p>
        </w:tc>
      </w:tr>
      <w:tr w:rsidR="00F52FED" w:rsidRPr="00B0658A" w14:paraId="75F0C773" w14:textId="77777777" w:rsidTr="00B10FDE">
        <w:trPr>
          <w:trHeight w:val="170"/>
        </w:trPr>
        <w:tc>
          <w:tcPr>
            <w:tcW w:w="0" w:type="auto"/>
            <w:shd w:val="clear" w:color="auto" w:fill="auto"/>
            <w:vAlign w:val="center"/>
          </w:tcPr>
          <w:p w14:paraId="7BD5A47C" w14:textId="77777777" w:rsidR="00D12D06" w:rsidRPr="00B0658A" w:rsidRDefault="00D12D06" w:rsidP="000A4114">
            <w:pPr>
              <w:spacing w:after="0" w:line="240" w:lineRule="auto"/>
              <w:rPr>
                <w:rFonts w:ascii="Times New Roman" w:hAnsi="Times New Roman"/>
                <w:sz w:val="20"/>
                <w:szCs w:val="20"/>
              </w:rPr>
            </w:pPr>
            <w:r w:rsidRPr="00B0658A">
              <w:rPr>
                <w:rFonts w:ascii="Times New Roman" w:hAnsi="Times New Roman"/>
                <w:sz w:val="18"/>
                <w:szCs w:val="18"/>
              </w:rPr>
              <w:t>2.8</w:t>
            </w:r>
          </w:p>
        </w:tc>
        <w:tc>
          <w:tcPr>
            <w:tcW w:w="3432" w:type="dxa"/>
            <w:shd w:val="clear" w:color="auto" w:fill="auto"/>
            <w:vAlign w:val="center"/>
          </w:tcPr>
          <w:p w14:paraId="4E142CEC" w14:textId="77777777" w:rsidR="00D12D06" w:rsidRPr="00B0658A" w:rsidRDefault="00D12D06" w:rsidP="000A4114">
            <w:pPr>
              <w:spacing w:after="0" w:line="240" w:lineRule="auto"/>
              <w:rPr>
                <w:rFonts w:ascii="Times New Roman" w:hAnsi="Times New Roman"/>
                <w:i/>
                <w:iCs/>
                <w:sz w:val="20"/>
                <w:szCs w:val="20"/>
              </w:rPr>
            </w:pPr>
            <w:r w:rsidRPr="00B0658A">
              <w:rPr>
                <w:rFonts w:ascii="Times New Roman" w:hAnsi="Times New Roman"/>
                <w:sz w:val="18"/>
                <w:szCs w:val="18"/>
              </w:rPr>
              <w:t>Системное программное обеспечение/ Средства мониторинга и управления</w:t>
            </w:r>
          </w:p>
        </w:tc>
        <w:tc>
          <w:tcPr>
            <w:tcW w:w="1256" w:type="dxa"/>
          </w:tcPr>
          <w:p w14:paraId="770C2795"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285774C5"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3E2763F0"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0831B4C6" w14:textId="77777777" w:rsidR="00D12D06" w:rsidRPr="00B0658A" w:rsidRDefault="00D12D06" w:rsidP="000A4114">
            <w:pPr>
              <w:spacing w:after="0" w:line="240" w:lineRule="auto"/>
              <w:jc w:val="both"/>
              <w:rPr>
                <w:rFonts w:ascii="Times New Roman" w:hAnsi="Times New Roman"/>
                <w:i/>
                <w:iCs/>
                <w:sz w:val="20"/>
                <w:szCs w:val="20"/>
              </w:rPr>
            </w:pPr>
          </w:p>
        </w:tc>
      </w:tr>
      <w:tr w:rsidR="00F52FED" w:rsidRPr="00B0658A" w14:paraId="044BC6CA" w14:textId="77777777" w:rsidTr="00B10FDE">
        <w:trPr>
          <w:trHeight w:val="170"/>
        </w:trPr>
        <w:tc>
          <w:tcPr>
            <w:tcW w:w="0" w:type="auto"/>
            <w:shd w:val="clear" w:color="auto" w:fill="auto"/>
            <w:vAlign w:val="center"/>
          </w:tcPr>
          <w:p w14:paraId="31207779" w14:textId="77777777" w:rsidR="00D12D06" w:rsidRPr="00B0658A" w:rsidRDefault="00D12D06" w:rsidP="000A4114">
            <w:pPr>
              <w:spacing w:after="0" w:line="240" w:lineRule="auto"/>
              <w:rPr>
                <w:rFonts w:ascii="Times New Roman" w:hAnsi="Times New Roman"/>
                <w:sz w:val="20"/>
                <w:szCs w:val="20"/>
              </w:rPr>
            </w:pPr>
            <w:r w:rsidRPr="00B0658A">
              <w:rPr>
                <w:rFonts w:ascii="Times New Roman" w:hAnsi="Times New Roman"/>
                <w:sz w:val="18"/>
                <w:szCs w:val="18"/>
              </w:rPr>
              <w:t>2.9</w:t>
            </w:r>
          </w:p>
        </w:tc>
        <w:tc>
          <w:tcPr>
            <w:tcW w:w="3432" w:type="dxa"/>
            <w:shd w:val="clear" w:color="auto" w:fill="auto"/>
            <w:vAlign w:val="center"/>
          </w:tcPr>
          <w:p w14:paraId="459417A0" w14:textId="77777777" w:rsidR="00D12D06" w:rsidRPr="00B0658A" w:rsidRDefault="00D12D06" w:rsidP="000A4114">
            <w:pPr>
              <w:spacing w:after="0" w:line="240" w:lineRule="auto"/>
              <w:rPr>
                <w:rFonts w:ascii="Times New Roman" w:hAnsi="Times New Roman"/>
                <w:i/>
                <w:iCs/>
                <w:sz w:val="20"/>
                <w:szCs w:val="20"/>
              </w:rPr>
            </w:pPr>
            <w:r w:rsidRPr="00B0658A">
              <w:rPr>
                <w:rFonts w:ascii="Times New Roman" w:hAnsi="Times New Roman"/>
                <w:sz w:val="18"/>
                <w:szCs w:val="18"/>
              </w:rPr>
              <w:t>Системное программное обеспечение/ Операционные системы общего назначения</w:t>
            </w:r>
          </w:p>
        </w:tc>
        <w:tc>
          <w:tcPr>
            <w:tcW w:w="1256" w:type="dxa"/>
          </w:tcPr>
          <w:p w14:paraId="5D5B3794"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0F701C88"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5B03593B"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2A8325BE" w14:textId="77777777" w:rsidR="00D12D06" w:rsidRPr="00B0658A" w:rsidRDefault="00D12D06" w:rsidP="000A4114">
            <w:pPr>
              <w:spacing w:after="0" w:line="240" w:lineRule="auto"/>
              <w:jc w:val="both"/>
              <w:rPr>
                <w:rFonts w:ascii="Times New Roman" w:hAnsi="Times New Roman"/>
                <w:i/>
                <w:iCs/>
                <w:sz w:val="20"/>
                <w:szCs w:val="20"/>
              </w:rPr>
            </w:pPr>
          </w:p>
        </w:tc>
      </w:tr>
      <w:tr w:rsidR="00F52FED" w:rsidRPr="00B0658A" w14:paraId="587BC989" w14:textId="77777777" w:rsidTr="00B10FDE">
        <w:trPr>
          <w:trHeight w:val="170"/>
        </w:trPr>
        <w:tc>
          <w:tcPr>
            <w:tcW w:w="0" w:type="auto"/>
            <w:shd w:val="clear" w:color="auto" w:fill="auto"/>
            <w:vAlign w:val="center"/>
          </w:tcPr>
          <w:p w14:paraId="6A15E1E9" w14:textId="77777777" w:rsidR="00D12D06" w:rsidRPr="00B0658A" w:rsidRDefault="00D12D06" w:rsidP="000A4114">
            <w:pPr>
              <w:spacing w:after="0" w:line="240" w:lineRule="auto"/>
              <w:rPr>
                <w:rFonts w:ascii="Times New Roman" w:hAnsi="Times New Roman"/>
                <w:sz w:val="20"/>
                <w:szCs w:val="20"/>
              </w:rPr>
            </w:pPr>
            <w:r w:rsidRPr="00B0658A">
              <w:rPr>
                <w:rFonts w:ascii="Times New Roman" w:hAnsi="Times New Roman"/>
                <w:sz w:val="18"/>
                <w:szCs w:val="18"/>
              </w:rPr>
              <w:t>2.10</w:t>
            </w:r>
          </w:p>
        </w:tc>
        <w:tc>
          <w:tcPr>
            <w:tcW w:w="3432" w:type="dxa"/>
            <w:shd w:val="clear" w:color="auto" w:fill="auto"/>
            <w:vAlign w:val="center"/>
          </w:tcPr>
          <w:p w14:paraId="6488A021" w14:textId="77777777" w:rsidR="00D12D06" w:rsidRPr="00B0658A" w:rsidRDefault="00D12D06" w:rsidP="000A4114">
            <w:pPr>
              <w:spacing w:after="0" w:line="240" w:lineRule="auto"/>
              <w:rPr>
                <w:rFonts w:ascii="Times New Roman" w:hAnsi="Times New Roman"/>
                <w:i/>
                <w:iCs/>
                <w:sz w:val="20"/>
                <w:szCs w:val="20"/>
              </w:rPr>
            </w:pPr>
            <w:r w:rsidRPr="00B0658A">
              <w:rPr>
                <w:rFonts w:ascii="Times New Roman" w:hAnsi="Times New Roman"/>
                <w:sz w:val="18"/>
                <w:szCs w:val="18"/>
              </w:rPr>
              <w:t>Системное программное обеспечение/ Операционные системы реального времени</w:t>
            </w:r>
          </w:p>
        </w:tc>
        <w:tc>
          <w:tcPr>
            <w:tcW w:w="1256" w:type="dxa"/>
          </w:tcPr>
          <w:p w14:paraId="6873EED3"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429DF084"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4020C5F4"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4456FEDA" w14:textId="77777777" w:rsidR="00D12D06" w:rsidRPr="00B0658A" w:rsidRDefault="00D12D06" w:rsidP="000A4114">
            <w:pPr>
              <w:spacing w:after="0" w:line="240" w:lineRule="auto"/>
              <w:jc w:val="both"/>
              <w:rPr>
                <w:rFonts w:ascii="Times New Roman" w:hAnsi="Times New Roman"/>
                <w:i/>
                <w:iCs/>
                <w:sz w:val="20"/>
                <w:szCs w:val="20"/>
              </w:rPr>
            </w:pPr>
          </w:p>
        </w:tc>
      </w:tr>
      <w:tr w:rsidR="00F52FED" w:rsidRPr="00B0658A" w14:paraId="680619AE" w14:textId="77777777" w:rsidTr="00B10FDE">
        <w:trPr>
          <w:trHeight w:val="170"/>
        </w:trPr>
        <w:tc>
          <w:tcPr>
            <w:tcW w:w="0" w:type="auto"/>
            <w:shd w:val="clear" w:color="auto" w:fill="auto"/>
            <w:vAlign w:val="center"/>
          </w:tcPr>
          <w:p w14:paraId="1FEF6C88" w14:textId="77777777" w:rsidR="00D12D06" w:rsidRPr="00B0658A" w:rsidRDefault="00D12D06" w:rsidP="000A4114">
            <w:pPr>
              <w:spacing w:after="0" w:line="240" w:lineRule="auto"/>
              <w:rPr>
                <w:rFonts w:ascii="Times New Roman" w:hAnsi="Times New Roman"/>
                <w:sz w:val="20"/>
                <w:szCs w:val="20"/>
              </w:rPr>
            </w:pPr>
            <w:r w:rsidRPr="00B0658A">
              <w:rPr>
                <w:rFonts w:ascii="Times New Roman" w:hAnsi="Times New Roman"/>
                <w:sz w:val="18"/>
                <w:szCs w:val="18"/>
              </w:rPr>
              <w:t>2.11</w:t>
            </w:r>
          </w:p>
        </w:tc>
        <w:tc>
          <w:tcPr>
            <w:tcW w:w="3432" w:type="dxa"/>
            <w:shd w:val="clear" w:color="auto" w:fill="auto"/>
            <w:vAlign w:val="center"/>
          </w:tcPr>
          <w:p w14:paraId="3F235621" w14:textId="77777777" w:rsidR="00D12D06" w:rsidRPr="00B0658A" w:rsidRDefault="00D12D06" w:rsidP="000A4114">
            <w:pPr>
              <w:spacing w:after="0" w:line="240" w:lineRule="auto"/>
              <w:rPr>
                <w:rFonts w:ascii="Times New Roman" w:hAnsi="Times New Roman"/>
                <w:i/>
                <w:iCs/>
                <w:sz w:val="20"/>
                <w:szCs w:val="20"/>
              </w:rPr>
            </w:pPr>
            <w:r w:rsidRPr="00B0658A">
              <w:rPr>
                <w:rFonts w:ascii="Times New Roman" w:hAnsi="Times New Roman"/>
                <w:sz w:val="18"/>
                <w:szCs w:val="18"/>
              </w:rPr>
              <w:t>Системное программное обеспечение/ Мобильная операционная система</w:t>
            </w:r>
          </w:p>
        </w:tc>
        <w:tc>
          <w:tcPr>
            <w:tcW w:w="1256" w:type="dxa"/>
          </w:tcPr>
          <w:p w14:paraId="49ABF6B8"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6524DCAA"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52324E35"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6EEF2908" w14:textId="77777777" w:rsidR="00D12D06" w:rsidRPr="00B0658A" w:rsidRDefault="00D12D06" w:rsidP="000A4114">
            <w:pPr>
              <w:spacing w:after="0" w:line="240" w:lineRule="auto"/>
              <w:jc w:val="both"/>
              <w:rPr>
                <w:rFonts w:ascii="Times New Roman" w:hAnsi="Times New Roman"/>
                <w:i/>
                <w:iCs/>
                <w:sz w:val="20"/>
                <w:szCs w:val="20"/>
              </w:rPr>
            </w:pPr>
          </w:p>
        </w:tc>
      </w:tr>
      <w:tr w:rsidR="00F52FED" w:rsidRPr="00B0658A" w14:paraId="7629FB16" w14:textId="77777777" w:rsidTr="00B10FDE">
        <w:trPr>
          <w:trHeight w:val="170"/>
        </w:trPr>
        <w:tc>
          <w:tcPr>
            <w:tcW w:w="0" w:type="auto"/>
            <w:shd w:val="clear" w:color="auto" w:fill="auto"/>
            <w:vAlign w:val="center"/>
          </w:tcPr>
          <w:p w14:paraId="4D141921" w14:textId="77777777" w:rsidR="00D12D06" w:rsidRPr="00B0658A" w:rsidRDefault="00D12D06" w:rsidP="000A4114">
            <w:pPr>
              <w:spacing w:after="0" w:line="240" w:lineRule="auto"/>
              <w:rPr>
                <w:rFonts w:ascii="Times New Roman" w:hAnsi="Times New Roman"/>
                <w:sz w:val="20"/>
                <w:szCs w:val="20"/>
              </w:rPr>
            </w:pPr>
            <w:r w:rsidRPr="00B0658A">
              <w:rPr>
                <w:rFonts w:ascii="Times New Roman" w:hAnsi="Times New Roman"/>
                <w:sz w:val="18"/>
                <w:szCs w:val="18"/>
              </w:rPr>
              <w:t>2.12</w:t>
            </w:r>
          </w:p>
        </w:tc>
        <w:tc>
          <w:tcPr>
            <w:tcW w:w="3432" w:type="dxa"/>
            <w:shd w:val="clear" w:color="auto" w:fill="auto"/>
            <w:vAlign w:val="center"/>
          </w:tcPr>
          <w:p w14:paraId="1714D691" w14:textId="77777777" w:rsidR="00D12D06" w:rsidRPr="00B0658A" w:rsidRDefault="00D12D06" w:rsidP="000A4114">
            <w:pPr>
              <w:spacing w:after="0" w:line="240" w:lineRule="auto"/>
              <w:rPr>
                <w:rFonts w:ascii="Times New Roman" w:hAnsi="Times New Roman"/>
                <w:i/>
                <w:iCs/>
                <w:sz w:val="20"/>
                <w:szCs w:val="20"/>
              </w:rPr>
            </w:pPr>
            <w:r w:rsidRPr="00B0658A">
              <w:rPr>
                <w:rFonts w:ascii="Times New Roman" w:hAnsi="Times New Roman"/>
                <w:sz w:val="18"/>
                <w:szCs w:val="18"/>
              </w:rPr>
              <w:t>Системное программное обеспечение / Системы контейнеризации и контейнеры</w:t>
            </w:r>
          </w:p>
        </w:tc>
        <w:tc>
          <w:tcPr>
            <w:tcW w:w="1256" w:type="dxa"/>
          </w:tcPr>
          <w:p w14:paraId="15782868"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3DB2EC4E"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142053F7"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3741E639" w14:textId="77777777" w:rsidR="00D12D06" w:rsidRPr="00B0658A" w:rsidRDefault="00D12D06" w:rsidP="000A4114">
            <w:pPr>
              <w:spacing w:after="0" w:line="240" w:lineRule="auto"/>
              <w:jc w:val="both"/>
              <w:rPr>
                <w:rFonts w:ascii="Times New Roman" w:hAnsi="Times New Roman"/>
                <w:i/>
                <w:iCs/>
                <w:sz w:val="20"/>
                <w:szCs w:val="20"/>
              </w:rPr>
            </w:pPr>
          </w:p>
        </w:tc>
      </w:tr>
      <w:tr w:rsidR="00F52FED" w:rsidRPr="00B0658A" w14:paraId="1C354820" w14:textId="77777777" w:rsidTr="00B10FDE">
        <w:trPr>
          <w:trHeight w:val="170"/>
        </w:trPr>
        <w:tc>
          <w:tcPr>
            <w:tcW w:w="0" w:type="auto"/>
            <w:shd w:val="clear" w:color="auto" w:fill="auto"/>
            <w:vAlign w:val="center"/>
          </w:tcPr>
          <w:p w14:paraId="439267CA" w14:textId="77777777" w:rsidR="00D12D06" w:rsidRPr="00B0658A" w:rsidRDefault="00D12D06" w:rsidP="000A4114">
            <w:pPr>
              <w:spacing w:after="0" w:line="240" w:lineRule="auto"/>
              <w:rPr>
                <w:rFonts w:ascii="Times New Roman" w:hAnsi="Times New Roman"/>
                <w:sz w:val="20"/>
                <w:szCs w:val="20"/>
              </w:rPr>
            </w:pPr>
            <w:r w:rsidRPr="00B0658A">
              <w:rPr>
                <w:rFonts w:ascii="Times New Roman" w:hAnsi="Times New Roman"/>
                <w:sz w:val="18"/>
                <w:szCs w:val="18"/>
              </w:rPr>
              <w:t>3.1</w:t>
            </w:r>
          </w:p>
        </w:tc>
        <w:tc>
          <w:tcPr>
            <w:tcW w:w="3432" w:type="dxa"/>
            <w:shd w:val="clear" w:color="auto" w:fill="auto"/>
            <w:vAlign w:val="center"/>
          </w:tcPr>
          <w:p w14:paraId="62A48054" w14:textId="77777777" w:rsidR="00D12D06" w:rsidRPr="00B0658A" w:rsidRDefault="00D12D06" w:rsidP="000A4114">
            <w:pPr>
              <w:spacing w:after="0" w:line="240" w:lineRule="auto"/>
              <w:rPr>
                <w:rFonts w:ascii="Times New Roman" w:hAnsi="Times New Roman"/>
                <w:sz w:val="20"/>
                <w:szCs w:val="20"/>
              </w:rPr>
            </w:pPr>
            <w:r w:rsidRPr="00B0658A">
              <w:rPr>
                <w:rFonts w:ascii="Times New Roman" w:hAnsi="Times New Roman"/>
                <w:sz w:val="18"/>
                <w:szCs w:val="18"/>
              </w:rPr>
              <w:t>Средства обеспечения информационной безопасности/ Средства защиты от несанкционированного доступа к информации</w:t>
            </w:r>
          </w:p>
        </w:tc>
        <w:tc>
          <w:tcPr>
            <w:tcW w:w="1256" w:type="dxa"/>
          </w:tcPr>
          <w:p w14:paraId="5BDC0F73"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24498F10"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35021BF3"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2CF70987" w14:textId="77777777" w:rsidR="00D12D06" w:rsidRPr="00B0658A" w:rsidRDefault="00D12D06" w:rsidP="000A4114">
            <w:pPr>
              <w:spacing w:after="0" w:line="240" w:lineRule="auto"/>
              <w:jc w:val="both"/>
              <w:rPr>
                <w:rFonts w:ascii="Times New Roman" w:hAnsi="Times New Roman"/>
                <w:i/>
                <w:iCs/>
                <w:sz w:val="20"/>
                <w:szCs w:val="20"/>
              </w:rPr>
            </w:pPr>
          </w:p>
        </w:tc>
      </w:tr>
      <w:tr w:rsidR="00F52FED" w:rsidRPr="00B0658A" w14:paraId="468A342B" w14:textId="77777777" w:rsidTr="00B10FDE">
        <w:trPr>
          <w:trHeight w:val="170"/>
        </w:trPr>
        <w:tc>
          <w:tcPr>
            <w:tcW w:w="0" w:type="auto"/>
            <w:shd w:val="clear" w:color="auto" w:fill="auto"/>
            <w:vAlign w:val="center"/>
          </w:tcPr>
          <w:p w14:paraId="431CC36C" w14:textId="77777777" w:rsidR="00D12D06" w:rsidRPr="00B0658A" w:rsidRDefault="00D12D06" w:rsidP="000A4114">
            <w:pPr>
              <w:spacing w:after="0" w:line="240" w:lineRule="auto"/>
              <w:rPr>
                <w:rFonts w:ascii="Times New Roman" w:hAnsi="Times New Roman"/>
                <w:sz w:val="20"/>
                <w:szCs w:val="20"/>
              </w:rPr>
            </w:pPr>
            <w:r w:rsidRPr="00B0658A">
              <w:rPr>
                <w:rFonts w:ascii="Times New Roman" w:hAnsi="Times New Roman"/>
                <w:sz w:val="18"/>
                <w:szCs w:val="18"/>
              </w:rPr>
              <w:t>3.2</w:t>
            </w:r>
          </w:p>
        </w:tc>
        <w:tc>
          <w:tcPr>
            <w:tcW w:w="3432" w:type="dxa"/>
            <w:shd w:val="clear" w:color="auto" w:fill="auto"/>
            <w:vAlign w:val="center"/>
          </w:tcPr>
          <w:p w14:paraId="4181F13B" w14:textId="77777777" w:rsidR="00D12D06" w:rsidRPr="00B0658A" w:rsidRDefault="00D12D06" w:rsidP="000A4114">
            <w:pPr>
              <w:spacing w:after="0" w:line="240" w:lineRule="auto"/>
              <w:rPr>
                <w:rFonts w:ascii="Times New Roman" w:hAnsi="Times New Roman"/>
                <w:sz w:val="20"/>
                <w:szCs w:val="20"/>
              </w:rPr>
            </w:pPr>
            <w:r w:rsidRPr="00B0658A">
              <w:rPr>
                <w:rFonts w:ascii="Times New Roman" w:hAnsi="Times New Roman"/>
                <w:sz w:val="18"/>
                <w:szCs w:val="18"/>
              </w:rPr>
              <w:t>Средства обеспечения информационной безопасности/ Средства управления событиями информационной безопасности</w:t>
            </w:r>
          </w:p>
        </w:tc>
        <w:tc>
          <w:tcPr>
            <w:tcW w:w="1256" w:type="dxa"/>
          </w:tcPr>
          <w:p w14:paraId="31104CF6"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59653BC1"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1BB23268"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1E448AB6" w14:textId="77777777" w:rsidR="00D12D06" w:rsidRPr="00B0658A" w:rsidRDefault="00D12D06" w:rsidP="000A4114">
            <w:pPr>
              <w:spacing w:after="0" w:line="240" w:lineRule="auto"/>
              <w:jc w:val="both"/>
              <w:rPr>
                <w:rFonts w:ascii="Times New Roman" w:hAnsi="Times New Roman"/>
                <w:i/>
                <w:iCs/>
                <w:sz w:val="20"/>
                <w:szCs w:val="20"/>
              </w:rPr>
            </w:pPr>
          </w:p>
        </w:tc>
      </w:tr>
      <w:tr w:rsidR="00F52FED" w:rsidRPr="00B0658A" w14:paraId="11DDE7A8" w14:textId="77777777" w:rsidTr="00B10FDE">
        <w:trPr>
          <w:trHeight w:val="170"/>
        </w:trPr>
        <w:tc>
          <w:tcPr>
            <w:tcW w:w="0" w:type="auto"/>
            <w:shd w:val="clear" w:color="auto" w:fill="auto"/>
            <w:vAlign w:val="center"/>
          </w:tcPr>
          <w:p w14:paraId="3F003D79" w14:textId="77777777" w:rsidR="00D12D06" w:rsidRPr="00B0658A" w:rsidRDefault="00D12D06" w:rsidP="000A4114">
            <w:pPr>
              <w:spacing w:after="0" w:line="240" w:lineRule="auto"/>
              <w:rPr>
                <w:rFonts w:ascii="Times New Roman" w:hAnsi="Times New Roman"/>
                <w:sz w:val="20"/>
                <w:szCs w:val="20"/>
              </w:rPr>
            </w:pPr>
            <w:r w:rsidRPr="00B0658A">
              <w:rPr>
                <w:rFonts w:ascii="Times New Roman" w:hAnsi="Times New Roman"/>
                <w:sz w:val="18"/>
                <w:szCs w:val="18"/>
              </w:rPr>
              <w:t>3.3</w:t>
            </w:r>
          </w:p>
        </w:tc>
        <w:tc>
          <w:tcPr>
            <w:tcW w:w="3432" w:type="dxa"/>
            <w:shd w:val="clear" w:color="auto" w:fill="auto"/>
            <w:vAlign w:val="center"/>
          </w:tcPr>
          <w:p w14:paraId="07431B5C" w14:textId="77777777" w:rsidR="00D12D06" w:rsidRPr="00B0658A" w:rsidRDefault="00D12D06" w:rsidP="000A4114">
            <w:pPr>
              <w:spacing w:after="0" w:line="240" w:lineRule="auto"/>
              <w:rPr>
                <w:rFonts w:ascii="Times New Roman" w:hAnsi="Times New Roman"/>
                <w:sz w:val="20"/>
                <w:szCs w:val="20"/>
              </w:rPr>
            </w:pPr>
            <w:r w:rsidRPr="00B0658A">
              <w:rPr>
                <w:rFonts w:ascii="Times New Roman" w:hAnsi="Times New Roman"/>
                <w:sz w:val="18"/>
                <w:szCs w:val="18"/>
              </w:rPr>
              <w:t>Средства обеспечения информационной безопасности/ Межсетевые экраны</w:t>
            </w:r>
          </w:p>
        </w:tc>
        <w:tc>
          <w:tcPr>
            <w:tcW w:w="1256" w:type="dxa"/>
          </w:tcPr>
          <w:p w14:paraId="347D4814"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4542EED2"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33D0DA09"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6E496CC0" w14:textId="77777777" w:rsidR="00D12D06" w:rsidRPr="00B0658A" w:rsidRDefault="00D12D06" w:rsidP="000A4114">
            <w:pPr>
              <w:spacing w:after="0" w:line="240" w:lineRule="auto"/>
              <w:jc w:val="both"/>
              <w:rPr>
                <w:rFonts w:ascii="Times New Roman" w:hAnsi="Times New Roman"/>
                <w:i/>
                <w:iCs/>
                <w:sz w:val="20"/>
                <w:szCs w:val="20"/>
              </w:rPr>
            </w:pPr>
          </w:p>
        </w:tc>
      </w:tr>
      <w:tr w:rsidR="00F52FED" w:rsidRPr="00B0658A" w14:paraId="77428A8F" w14:textId="77777777" w:rsidTr="00B10FDE">
        <w:trPr>
          <w:trHeight w:val="170"/>
        </w:trPr>
        <w:tc>
          <w:tcPr>
            <w:tcW w:w="0" w:type="auto"/>
            <w:shd w:val="clear" w:color="auto" w:fill="auto"/>
            <w:vAlign w:val="center"/>
          </w:tcPr>
          <w:p w14:paraId="090CCCB6" w14:textId="77777777" w:rsidR="00D12D06" w:rsidRPr="00B0658A" w:rsidRDefault="00D12D06" w:rsidP="000A4114">
            <w:pPr>
              <w:spacing w:after="0" w:line="240" w:lineRule="auto"/>
              <w:rPr>
                <w:rFonts w:ascii="Times New Roman" w:hAnsi="Times New Roman"/>
                <w:sz w:val="20"/>
                <w:szCs w:val="20"/>
              </w:rPr>
            </w:pPr>
            <w:r w:rsidRPr="00B0658A">
              <w:rPr>
                <w:rFonts w:ascii="Times New Roman" w:hAnsi="Times New Roman"/>
                <w:sz w:val="18"/>
                <w:szCs w:val="18"/>
              </w:rPr>
              <w:t>3.4</w:t>
            </w:r>
          </w:p>
        </w:tc>
        <w:tc>
          <w:tcPr>
            <w:tcW w:w="3432" w:type="dxa"/>
            <w:shd w:val="clear" w:color="auto" w:fill="auto"/>
            <w:vAlign w:val="center"/>
          </w:tcPr>
          <w:p w14:paraId="4B1609D4" w14:textId="77777777" w:rsidR="00D12D06" w:rsidRPr="00B0658A" w:rsidRDefault="00D12D06" w:rsidP="000A4114">
            <w:pPr>
              <w:spacing w:after="0" w:line="240" w:lineRule="auto"/>
              <w:rPr>
                <w:rFonts w:ascii="Times New Roman" w:hAnsi="Times New Roman"/>
                <w:sz w:val="20"/>
                <w:szCs w:val="20"/>
              </w:rPr>
            </w:pPr>
            <w:r w:rsidRPr="00B0658A">
              <w:rPr>
                <w:rFonts w:ascii="Times New Roman" w:hAnsi="Times New Roman"/>
                <w:sz w:val="18"/>
                <w:szCs w:val="18"/>
              </w:rPr>
              <w:t>Средства обеспечения информационной безопасности/ Средства фильтрации негативного контента</w:t>
            </w:r>
          </w:p>
        </w:tc>
        <w:tc>
          <w:tcPr>
            <w:tcW w:w="1256" w:type="dxa"/>
          </w:tcPr>
          <w:p w14:paraId="2783EE32"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0B55C863"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74F537BB"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7E6802DB" w14:textId="77777777" w:rsidR="00D12D06" w:rsidRPr="00B0658A" w:rsidRDefault="00D12D06" w:rsidP="000A4114">
            <w:pPr>
              <w:spacing w:after="0" w:line="240" w:lineRule="auto"/>
              <w:jc w:val="both"/>
              <w:rPr>
                <w:rFonts w:ascii="Times New Roman" w:hAnsi="Times New Roman"/>
                <w:i/>
                <w:iCs/>
                <w:sz w:val="20"/>
                <w:szCs w:val="20"/>
              </w:rPr>
            </w:pPr>
          </w:p>
        </w:tc>
      </w:tr>
      <w:tr w:rsidR="00F52FED" w:rsidRPr="00B0658A" w14:paraId="5A8705B1" w14:textId="77777777" w:rsidTr="00B10FDE">
        <w:trPr>
          <w:trHeight w:val="170"/>
        </w:trPr>
        <w:tc>
          <w:tcPr>
            <w:tcW w:w="0" w:type="auto"/>
            <w:shd w:val="clear" w:color="auto" w:fill="auto"/>
            <w:vAlign w:val="center"/>
          </w:tcPr>
          <w:p w14:paraId="4ECA8BA8" w14:textId="77777777" w:rsidR="00D12D06" w:rsidRPr="00B0658A" w:rsidRDefault="00D12D06" w:rsidP="000A4114">
            <w:pPr>
              <w:spacing w:after="0" w:line="240" w:lineRule="auto"/>
              <w:rPr>
                <w:rFonts w:ascii="Times New Roman" w:hAnsi="Times New Roman"/>
                <w:sz w:val="20"/>
                <w:szCs w:val="20"/>
              </w:rPr>
            </w:pPr>
            <w:r w:rsidRPr="00B0658A">
              <w:rPr>
                <w:rFonts w:ascii="Times New Roman" w:hAnsi="Times New Roman"/>
                <w:sz w:val="18"/>
                <w:szCs w:val="18"/>
              </w:rPr>
              <w:t>3.5</w:t>
            </w:r>
          </w:p>
        </w:tc>
        <w:tc>
          <w:tcPr>
            <w:tcW w:w="3432" w:type="dxa"/>
            <w:shd w:val="clear" w:color="auto" w:fill="auto"/>
            <w:vAlign w:val="center"/>
          </w:tcPr>
          <w:p w14:paraId="4B5C81AD" w14:textId="77777777" w:rsidR="00D12D06" w:rsidRPr="00B0658A" w:rsidRDefault="00D12D06" w:rsidP="000A4114">
            <w:pPr>
              <w:spacing w:after="0" w:line="240" w:lineRule="auto"/>
              <w:rPr>
                <w:rFonts w:ascii="Times New Roman" w:hAnsi="Times New Roman"/>
                <w:sz w:val="20"/>
                <w:szCs w:val="20"/>
              </w:rPr>
            </w:pPr>
            <w:r w:rsidRPr="00B0658A">
              <w:rPr>
                <w:rFonts w:ascii="Times New Roman" w:hAnsi="Times New Roman"/>
                <w:sz w:val="18"/>
                <w:szCs w:val="18"/>
              </w:rPr>
              <w:t>Средства обеспечения информационной безопасности/ Средства защиты сервисов онлайн-платежей и дистанционного банковского обслуживания</w:t>
            </w:r>
          </w:p>
        </w:tc>
        <w:tc>
          <w:tcPr>
            <w:tcW w:w="1256" w:type="dxa"/>
          </w:tcPr>
          <w:p w14:paraId="36E794ED"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6D492216"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29AD859A"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00EB3619" w14:textId="77777777" w:rsidR="00D12D06" w:rsidRPr="00B0658A" w:rsidRDefault="00D12D06" w:rsidP="000A4114">
            <w:pPr>
              <w:spacing w:after="0" w:line="240" w:lineRule="auto"/>
              <w:jc w:val="both"/>
              <w:rPr>
                <w:rFonts w:ascii="Times New Roman" w:hAnsi="Times New Roman"/>
                <w:i/>
                <w:iCs/>
                <w:sz w:val="20"/>
                <w:szCs w:val="20"/>
              </w:rPr>
            </w:pPr>
          </w:p>
        </w:tc>
      </w:tr>
      <w:tr w:rsidR="00F52FED" w:rsidRPr="00B0658A" w14:paraId="64DDB4F8" w14:textId="77777777" w:rsidTr="00B10FDE">
        <w:trPr>
          <w:trHeight w:val="170"/>
        </w:trPr>
        <w:tc>
          <w:tcPr>
            <w:tcW w:w="0" w:type="auto"/>
            <w:shd w:val="clear" w:color="auto" w:fill="auto"/>
            <w:vAlign w:val="center"/>
          </w:tcPr>
          <w:p w14:paraId="08F24261" w14:textId="77777777" w:rsidR="00D12D06" w:rsidRPr="00B0658A" w:rsidRDefault="00D12D06" w:rsidP="000A4114">
            <w:pPr>
              <w:spacing w:after="0" w:line="240" w:lineRule="auto"/>
              <w:rPr>
                <w:rFonts w:ascii="Times New Roman" w:hAnsi="Times New Roman"/>
                <w:sz w:val="20"/>
                <w:szCs w:val="20"/>
              </w:rPr>
            </w:pPr>
            <w:r w:rsidRPr="00B0658A">
              <w:rPr>
                <w:rFonts w:ascii="Times New Roman" w:hAnsi="Times New Roman"/>
                <w:sz w:val="18"/>
                <w:szCs w:val="18"/>
              </w:rPr>
              <w:t>3.6</w:t>
            </w:r>
          </w:p>
        </w:tc>
        <w:tc>
          <w:tcPr>
            <w:tcW w:w="3432" w:type="dxa"/>
            <w:shd w:val="clear" w:color="auto" w:fill="auto"/>
            <w:vAlign w:val="center"/>
          </w:tcPr>
          <w:p w14:paraId="50E93178" w14:textId="77777777" w:rsidR="00D12D06" w:rsidRPr="00B0658A" w:rsidRDefault="00D12D06" w:rsidP="000A4114">
            <w:pPr>
              <w:spacing w:after="0" w:line="240" w:lineRule="auto"/>
              <w:rPr>
                <w:rFonts w:ascii="Times New Roman" w:hAnsi="Times New Roman"/>
                <w:sz w:val="20"/>
                <w:szCs w:val="20"/>
              </w:rPr>
            </w:pPr>
            <w:r w:rsidRPr="00B0658A">
              <w:rPr>
                <w:rFonts w:ascii="Times New Roman" w:hAnsi="Times New Roman"/>
                <w:sz w:val="18"/>
                <w:szCs w:val="18"/>
              </w:rPr>
              <w:t>Средства обеспечения информационной безопасности/ Средства антивирусной защиты</w:t>
            </w:r>
          </w:p>
        </w:tc>
        <w:tc>
          <w:tcPr>
            <w:tcW w:w="1256" w:type="dxa"/>
          </w:tcPr>
          <w:p w14:paraId="1D1BA535"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489DA936"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637156FB"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0E22B746" w14:textId="77777777" w:rsidR="00D12D06" w:rsidRPr="00B0658A" w:rsidRDefault="00D12D06" w:rsidP="000A4114">
            <w:pPr>
              <w:spacing w:after="0" w:line="240" w:lineRule="auto"/>
              <w:jc w:val="both"/>
              <w:rPr>
                <w:rFonts w:ascii="Times New Roman" w:hAnsi="Times New Roman"/>
                <w:i/>
                <w:iCs/>
                <w:sz w:val="20"/>
                <w:szCs w:val="20"/>
              </w:rPr>
            </w:pPr>
          </w:p>
        </w:tc>
      </w:tr>
      <w:tr w:rsidR="00F52FED" w:rsidRPr="00B0658A" w14:paraId="1E977B02" w14:textId="77777777" w:rsidTr="00B10FDE">
        <w:trPr>
          <w:trHeight w:val="170"/>
        </w:trPr>
        <w:tc>
          <w:tcPr>
            <w:tcW w:w="0" w:type="auto"/>
            <w:shd w:val="clear" w:color="auto" w:fill="auto"/>
            <w:vAlign w:val="center"/>
          </w:tcPr>
          <w:p w14:paraId="2874854E" w14:textId="77777777" w:rsidR="00D12D06" w:rsidRPr="00B0658A" w:rsidRDefault="00D12D06" w:rsidP="000A4114">
            <w:pPr>
              <w:spacing w:after="0" w:line="240" w:lineRule="auto"/>
              <w:rPr>
                <w:rFonts w:ascii="Times New Roman" w:hAnsi="Times New Roman"/>
                <w:sz w:val="20"/>
                <w:szCs w:val="20"/>
              </w:rPr>
            </w:pPr>
            <w:r w:rsidRPr="00B0658A">
              <w:rPr>
                <w:rFonts w:ascii="Times New Roman" w:hAnsi="Times New Roman"/>
                <w:sz w:val="18"/>
                <w:szCs w:val="18"/>
              </w:rPr>
              <w:t>3.7</w:t>
            </w:r>
          </w:p>
        </w:tc>
        <w:tc>
          <w:tcPr>
            <w:tcW w:w="3432" w:type="dxa"/>
            <w:shd w:val="clear" w:color="auto" w:fill="auto"/>
            <w:vAlign w:val="center"/>
          </w:tcPr>
          <w:p w14:paraId="192ADACE" w14:textId="77777777" w:rsidR="00D12D06" w:rsidRPr="00B0658A" w:rsidRDefault="00D12D06" w:rsidP="000A4114">
            <w:pPr>
              <w:spacing w:after="0" w:line="240" w:lineRule="auto"/>
              <w:rPr>
                <w:rFonts w:ascii="Times New Roman" w:hAnsi="Times New Roman"/>
                <w:sz w:val="20"/>
                <w:szCs w:val="20"/>
              </w:rPr>
            </w:pPr>
            <w:r w:rsidRPr="00B0658A">
              <w:rPr>
                <w:rFonts w:ascii="Times New Roman" w:hAnsi="Times New Roman"/>
                <w:sz w:val="18"/>
                <w:szCs w:val="18"/>
              </w:rPr>
              <w:t>Средства обеспечения информационной безопасности/ Средства выявления целевых атак</w:t>
            </w:r>
          </w:p>
        </w:tc>
        <w:tc>
          <w:tcPr>
            <w:tcW w:w="1256" w:type="dxa"/>
          </w:tcPr>
          <w:p w14:paraId="1C18BFAB"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7C7DCAC0"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00D81A78"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7D7C24AA" w14:textId="77777777" w:rsidR="00D12D06" w:rsidRPr="00B0658A" w:rsidRDefault="00D12D06" w:rsidP="000A4114">
            <w:pPr>
              <w:spacing w:after="0" w:line="240" w:lineRule="auto"/>
              <w:jc w:val="both"/>
              <w:rPr>
                <w:rFonts w:ascii="Times New Roman" w:hAnsi="Times New Roman"/>
                <w:i/>
                <w:iCs/>
                <w:sz w:val="20"/>
                <w:szCs w:val="20"/>
              </w:rPr>
            </w:pPr>
          </w:p>
        </w:tc>
      </w:tr>
      <w:tr w:rsidR="00F52FED" w:rsidRPr="00B0658A" w14:paraId="4FBE28EB" w14:textId="77777777" w:rsidTr="00B10FDE">
        <w:trPr>
          <w:trHeight w:val="170"/>
        </w:trPr>
        <w:tc>
          <w:tcPr>
            <w:tcW w:w="0" w:type="auto"/>
            <w:shd w:val="clear" w:color="auto" w:fill="auto"/>
            <w:vAlign w:val="center"/>
          </w:tcPr>
          <w:p w14:paraId="3456B44C" w14:textId="77777777" w:rsidR="00D12D06" w:rsidRPr="00B0658A" w:rsidRDefault="00D12D06" w:rsidP="000A4114">
            <w:pPr>
              <w:spacing w:after="0" w:line="240" w:lineRule="auto"/>
              <w:rPr>
                <w:rFonts w:ascii="Times New Roman" w:hAnsi="Times New Roman"/>
                <w:sz w:val="20"/>
                <w:szCs w:val="20"/>
              </w:rPr>
            </w:pPr>
            <w:r w:rsidRPr="00B0658A">
              <w:rPr>
                <w:rFonts w:ascii="Times New Roman" w:hAnsi="Times New Roman"/>
                <w:sz w:val="18"/>
                <w:szCs w:val="18"/>
              </w:rPr>
              <w:t>3.8</w:t>
            </w:r>
          </w:p>
        </w:tc>
        <w:tc>
          <w:tcPr>
            <w:tcW w:w="3432" w:type="dxa"/>
            <w:shd w:val="clear" w:color="auto" w:fill="auto"/>
            <w:vAlign w:val="center"/>
          </w:tcPr>
          <w:p w14:paraId="7D4FA6C4" w14:textId="77777777" w:rsidR="00D12D06" w:rsidRPr="00B0658A" w:rsidRDefault="00D12D06" w:rsidP="000A4114">
            <w:pPr>
              <w:spacing w:after="0" w:line="240" w:lineRule="auto"/>
              <w:rPr>
                <w:rFonts w:ascii="Times New Roman" w:hAnsi="Times New Roman"/>
                <w:sz w:val="20"/>
                <w:szCs w:val="20"/>
              </w:rPr>
            </w:pPr>
            <w:r w:rsidRPr="00B0658A">
              <w:rPr>
                <w:rFonts w:ascii="Times New Roman" w:hAnsi="Times New Roman"/>
                <w:sz w:val="18"/>
                <w:szCs w:val="18"/>
              </w:rPr>
              <w:t>Средства обеспечения информационной безопасности/ Средства гарантированного уничтожения данных</w:t>
            </w:r>
          </w:p>
        </w:tc>
        <w:tc>
          <w:tcPr>
            <w:tcW w:w="1256" w:type="dxa"/>
          </w:tcPr>
          <w:p w14:paraId="73BDA144"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4CE0957A"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5ED35930"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6D11678B" w14:textId="77777777" w:rsidR="00D12D06" w:rsidRPr="00B0658A" w:rsidRDefault="00D12D06" w:rsidP="000A4114">
            <w:pPr>
              <w:spacing w:after="0" w:line="240" w:lineRule="auto"/>
              <w:jc w:val="both"/>
              <w:rPr>
                <w:rFonts w:ascii="Times New Roman" w:hAnsi="Times New Roman"/>
                <w:i/>
                <w:iCs/>
                <w:sz w:val="20"/>
                <w:szCs w:val="20"/>
              </w:rPr>
            </w:pPr>
          </w:p>
        </w:tc>
      </w:tr>
      <w:tr w:rsidR="00F52FED" w:rsidRPr="00B0658A" w14:paraId="68BDDCB7" w14:textId="77777777" w:rsidTr="00B10FDE">
        <w:trPr>
          <w:trHeight w:val="170"/>
        </w:trPr>
        <w:tc>
          <w:tcPr>
            <w:tcW w:w="0" w:type="auto"/>
            <w:shd w:val="clear" w:color="auto" w:fill="auto"/>
            <w:vAlign w:val="center"/>
          </w:tcPr>
          <w:p w14:paraId="4D34AF17" w14:textId="77777777" w:rsidR="00D12D06" w:rsidRPr="00B0658A" w:rsidRDefault="00D12D06" w:rsidP="000A4114">
            <w:pPr>
              <w:spacing w:after="0" w:line="240" w:lineRule="auto"/>
              <w:rPr>
                <w:rFonts w:ascii="Times New Roman" w:hAnsi="Times New Roman"/>
                <w:sz w:val="20"/>
                <w:szCs w:val="20"/>
              </w:rPr>
            </w:pPr>
            <w:r w:rsidRPr="00B0658A">
              <w:rPr>
                <w:rFonts w:ascii="Times New Roman" w:hAnsi="Times New Roman"/>
                <w:sz w:val="18"/>
                <w:szCs w:val="18"/>
              </w:rPr>
              <w:t>3.9</w:t>
            </w:r>
          </w:p>
        </w:tc>
        <w:tc>
          <w:tcPr>
            <w:tcW w:w="3432" w:type="dxa"/>
            <w:shd w:val="clear" w:color="auto" w:fill="auto"/>
            <w:vAlign w:val="center"/>
          </w:tcPr>
          <w:p w14:paraId="792DD886" w14:textId="77777777" w:rsidR="00D12D06" w:rsidRPr="00B0658A" w:rsidRDefault="00D12D06" w:rsidP="000A4114">
            <w:pPr>
              <w:spacing w:after="0" w:line="240" w:lineRule="auto"/>
              <w:rPr>
                <w:rFonts w:ascii="Times New Roman" w:hAnsi="Times New Roman"/>
                <w:sz w:val="20"/>
                <w:szCs w:val="20"/>
              </w:rPr>
            </w:pPr>
            <w:r w:rsidRPr="00B0658A">
              <w:rPr>
                <w:rFonts w:ascii="Times New Roman" w:hAnsi="Times New Roman"/>
                <w:sz w:val="18"/>
                <w:szCs w:val="18"/>
              </w:rPr>
              <w:t>Средства обеспечения информационной безопасности/ Средства обнаружения и предотвращения утечек информации</w:t>
            </w:r>
          </w:p>
        </w:tc>
        <w:tc>
          <w:tcPr>
            <w:tcW w:w="1256" w:type="dxa"/>
          </w:tcPr>
          <w:p w14:paraId="6ED87E58"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0273E4F1"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3322A57A"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53330E71" w14:textId="77777777" w:rsidR="00D12D06" w:rsidRPr="00B0658A" w:rsidRDefault="00D12D06" w:rsidP="000A4114">
            <w:pPr>
              <w:spacing w:after="0" w:line="240" w:lineRule="auto"/>
              <w:jc w:val="both"/>
              <w:rPr>
                <w:rFonts w:ascii="Times New Roman" w:hAnsi="Times New Roman"/>
                <w:i/>
                <w:iCs/>
                <w:sz w:val="20"/>
                <w:szCs w:val="20"/>
              </w:rPr>
            </w:pPr>
          </w:p>
        </w:tc>
      </w:tr>
      <w:tr w:rsidR="00F52FED" w:rsidRPr="00B0658A" w14:paraId="3CF637D9" w14:textId="77777777" w:rsidTr="00B10FDE">
        <w:trPr>
          <w:trHeight w:val="170"/>
        </w:trPr>
        <w:tc>
          <w:tcPr>
            <w:tcW w:w="0" w:type="auto"/>
            <w:shd w:val="clear" w:color="auto" w:fill="auto"/>
            <w:vAlign w:val="center"/>
          </w:tcPr>
          <w:p w14:paraId="56C94640" w14:textId="77777777" w:rsidR="00D12D06" w:rsidRPr="00B0658A" w:rsidRDefault="00D12D06" w:rsidP="000A4114">
            <w:pPr>
              <w:spacing w:after="0" w:line="240" w:lineRule="auto"/>
              <w:rPr>
                <w:rFonts w:ascii="Times New Roman" w:hAnsi="Times New Roman"/>
                <w:sz w:val="20"/>
                <w:szCs w:val="20"/>
              </w:rPr>
            </w:pPr>
            <w:r w:rsidRPr="00B0658A">
              <w:rPr>
                <w:rFonts w:ascii="Times New Roman" w:hAnsi="Times New Roman"/>
                <w:sz w:val="18"/>
                <w:szCs w:val="18"/>
              </w:rPr>
              <w:t>3.10</w:t>
            </w:r>
          </w:p>
        </w:tc>
        <w:tc>
          <w:tcPr>
            <w:tcW w:w="3432" w:type="dxa"/>
            <w:shd w:val="clear" w:color="auto" w:fill="auto"/>
            <w:vAlign w:val="center"/>
          </w:tcPr>
          <w:p w14:paraId="0298E310" w14:textId="77777777" w:rsidR="00D12D06" w:rsidRPr="00B0658A" w:rsidRDefault="00D12D06" w:rsidP="000A4114">
            <w:pPr>
              <w:spacing w:after="0" w:line="240" w:lineRule="auto"/>
              <w:rPr>
                <w:rFonts w:ascii="Times New Roman" w:hAnsi="Times New Roman"/>
                <w:sz w:val="20"/>
                <w:szCs w:val="20"/>
              </w:rPr>
            </w:pPr>
            <w:r w:rsidRPr="00B0658A">
              <w:rPr>
                <w:rFonts w:ascii="Times New Roman" w:hAnsi="Times New Roman"/>
                <w:sz w:val="18"/>
                <w:szCs w:val="18"/>
              </w:rPr>
              <w:t>Средства обеспечения информационной безопасности/ Средства криптографической защиты информации и электронной подписи</w:t>
            </w:r>
          </w:p>
        </w:tc>
        <w:tc>
          <w:tcPr>
            <w:tcW w:w="1256" w:type="dxa"/>
          </w:tcPr>
          <w:p w14:paraId="3E4BA02C"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764C9D23"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743540CC"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3A03C054" w14:textId="77777777" w:rsidR="00D12D06" w:rsidRPr="00B0658A" w:rsidRDefault="00D12D06" w:rsidP="000A4114">
            <w:pPr>
              <w:spacing w:after="0" w:line="240" w:lineRule="auto"/>
              <w:jc w:val="both"/>
              <w:rPr>
                <w:rFonts w:ascii="Times New Roman" w:hAnsi="Times New Roman"/>
                <w:i/>
                <w:iCs/>
                <w:sz w:val="20"/>
                <w:szCs w:val="20"/>
              </w:rPr>
            </w:pPr>
          </w:p>
        </w:tc>
      </w:tr>
      <w:tr w:rsidR="00F52FED" w:rsidRPr="00B0658A" w14:paraId="65ADC62E" w14:textId="77777777" w:rsidTr="00B10FDE">
        <w:trPr>
          <w:trHeight w:val="170"/>
        </w:trPr>
        <w:tc>
          <w:tcPr>
            <w:tcW w:w="0" w:type="auto"/>
            <w:shd w:val="clear" w:color="auto" w:fill="auto"/>
            <w:vAlign w:val="center"/>
          </w:tcPr>
          <w:p w14:paraId="4CC957CC" w14:textId="77777777" w:rsidR="00D12D06" w:rsidRPr="00B0658A" w:rsidRDefault="00D12D06" w:rsidP="000A4114">
            <w:pPr>
              <w:spacing w:after="0" w:line="240" w:lineRule="auto"/>
              <w:rPr>
                <w:rFonts w:ascii="Times New Roman" w:hAnsi="Times New Roman"/>
                <w:sz w:val="20"/>
                <w:szCs w:val="20"/>
              </w:rPr>
            </w:pPr>
            <w:r w:rsidRPr="00B0658A">
              <w:rPr>
                <w:rFonts w:ascii="Times New Roman" w:hAnsi="Times New Roman"/>
                <w:sz w:val="18"/>
                <w:szCs w:val="18"/>
              </w:rPr>
              <w:t>3.11</w:t>
            </w:r>
          </w:p>
        </w:tc>
        <w:tc>
          <w:tcPr>
            <w:tcW w:w="3432" w:type="dxa"/>
            <w:shd w:val="clear" w:color="auto" w:fill="auto"/>
            <w:vAlign w:val="center"/>
          </w:tcPr>
          <w:p w14:paraId="633A1063" w14:textId="77777777" w:rsidR="00D12D06" w:rsidRPr="00B0658A" w:rsidRDefault="00D12D06" w:rsidP="000A4114">
            <w:pPr>
              <w:spacing w:after="0" w:line="240" w:lineRule="auto"/>
              <w:rPr>
                <w:rFonts w:ascii="Times New Roman" w:hAnsi="Times New Roman"/>
                <w:sz w:val="20"/>
                <w:szCs w:val="20"/>
              </w:rPr>
            </w:pPr>
            <w:r w:rsidRPr="00B0658A">
              <w:rPr>
                <w:rFonts w:ascii="Times New Roman" w:hAnsi="Times New Roman"/>
                <w:sz w:val="18"/>
                <w:szCs w:val="18"/>
              </w:rPr>
              <w:t>Средства обеспечения информационной безопасности/ Средства защиты каналов передачи данных, в том числе криптографическими методами</w:t>
            </w:r>
          </w:p>
        </w:tc>
        <w:tc>
          <w:tcPr>
            <w:tcW w:w="1256" w:type="dxa"/>
          </w:tcPr>
          <w:p w14:paraId="459399A7"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4A7A86E4"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5995AFE5"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5E89C094" w14:textId="77777777" w:rsidR="00D12D06" w:rsidRPr="00B0658A" w:rsidRDefault="00D12D06" w:rsidP="000A4114">
            <w:pPr>
              <w:spacing w:after="0" w:line="240" w:lineRule="auto"/>
              <w:jc w:val="both"/>
              <w:rPr>
                <w:rFonts w:ascii="Times New Roman" w:hAnsi="Times New Roman"/>
                <w:i/>
                <w:iCs/>
                <w:sz w:val="20"/>
                <w:szCs w:val="20"/>
              </w:rPr>
            </w:pPr>
          </w:p>
        </w:tc>
      </w:tr>
      <w:tr w:rsidR="00F52FED" w:rsidRPr="00B0658A" w14:paraId="60208C94" w14:textId="77777777" w:rsidTr="00B10FDE">
        <w:trPr>
          <w:trHeight w:val="170"/>
        </w:trPr>
        <w:tc>
          <w:tcPr>
            <w:tcW w:w="0" w:type="auto"/>
            <w:shd w:val="clear" w:color="auto" w:fill="auto"/>
            <w:vAlign w:val="center"/>
          </w:tcPr>
          <w:p w14:paraId="5698B970" w14:textId="77777777" w:rsidR="00D12D06" w:rsidRPr="00B0658A" w:rsidRDefault="00D12D06" w:rsidP="000A4114">
            <w:pPr>
              <w:spacing w:after="0" w:line="240" w:lineRule="auto"/>
              <w:rPr>
                <w:rFonts w:ascii="Times New Roman" w:hAnsi="Times New Roman"/>
                <w:sz w:val="20"/>
                <w:szCs w:val="20"/>
              </w:rPr>
            </w:pPr>
            <w:r w:rsidRPr="00B0658A">
              <w:rPr>
                <w:rFonts w:ascii="Times New Roman" w:hAnsi="Times New Roman"/>
                <w:sz w:val="18"/>
                <w:szCs w:val="18"/>
              </w:rPr>
              <w:t>3.12</w:t>
            </w:r>
          </w:p>
        </w:tc>
        <w:tc>
          <w:tcPr>
            <w:tcW w:w="3432" w:type="dxa"/>
            <w:shd w:val="clear" w:color="auto" w:fill="auto"/>
            <w:vAlign w:val="center"/>
          </w:tcPr>
          <w:p w14:paraId="3C0ED8A7" w14:textId="77777777" w:rsidR="00D12D06" w:rsidRPr="00B0658A" w:rsidRDefault="00D12D06" w:rsidP="000A4114">
            <w:pPr>
              <w:spacing w:after="0" w:line="240" w:lineRule="auto"/>
              <w:rPr>
                <w:rFonts w:ascii="Times New Roman" w:hAnsi="Times New Roman"/>
                <w:sz w:val="20"/>
                <w:szCs w:val="20"/>
              </w:rPr>
            </w:pPr>
            <w:r w:rsidRPr="00B0658A">
              <w:rPr>
                <w:rFonts w:ascii="Times New Roman" w:hAnsi="Times New Roman"/>
                <w:sz w:val="18"/>
                <w:szCs w:val="18"/>
              </w:rPr>
              <w:t>Средства обеспечения информационной безопасности/ Системы управления доступом к информационным ресурсам</w:t>
            </w:r>
          </w:p>
        </w:tc>
        <w:tc>
          <w:tcPr>
            <w:tcW w:w="1256" w:type="dxa"/>
          </w:tcPr>
          <w:p w14:paraId="209A45C7"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5973A53B"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44969C47"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60F63372" w14:textId="77777777" w:rsidR="00D12D06" w:rsidRPr="00B0658A" w:rsidRDefault="00D12D06" w:rsidP="000A4114">
            <w:pPr>
              <w:spacing w:after="0" w:line="240" w:lineRule="auto"/>
              <w:jc w:val="both"/>
              <w:rPr>
                <w:rFonts w:ascii="Times New Roman" w:hAnsi="Times New Roman"/>
                <w:i/>
                <w:iCs/>
                <w:sz w:val="20"/>
                <w:szCs w:val="20"/>
              </w:rPr>
            </w:pPr>
          </w:p>
        </w:tc>
      </w:tr>
      <w:tr w:rsidR="00F52FED" w:rsidRPr="00B0658A" w14:paraId="191DA4B7" w14:textId="77777777" w:rsidTr="00B10FDE">
        <w:trPr>
          <w:trHeight w:val="170"/>
        </w:trPr>
        <w:tc>
          <w:tcPr>
            <w:tcW w:w="0" w:type="auto"/>
            <w:shd w:val="clear" w:color="auto" w:fill="auto"/>
            <w:vAlign w:val="center"/>
          </w:tcPr>
          <w:p w14:paraId="5BBE06BF" w14:textId="77777777" w:rsidR="00D12D06" w:rsidRPr="00B0658A" w:rsidRDefault="00D12D06" w:rsidP="000A4114">
            <w:pPr>
              <w:spacing w:after="0" w:line="240" w:lineRule="auto"/>
              <w:rPr>
                <w:rFonts w:ascii="Times New Roman" w:hAnsi="Times New Roman"/>
                <w:sz w:val="20"/>
                <w:szCs w:val="20"/>
              </w:rPr>
            </w:pPr>
            <w:r w:rsidRPr="00B0658A">
              <w:rPr>
                <w:rFonts w:ascii="Times New Roman" w:hAnsi="Times New Roman"/>
                <w:sz w:val="18"/>
                <w:szCs w:val="18"/>
              </w:rPr>
              <w:t>3.13</w:t>
            </w:r>
          </w:p>
        </w:tc>
        <w:tc>
          <w:tcPr>
            <w:tcW w:w="3432" w:type="dxa"/>
            <w:shd w:val="clear" w:color="auto" w:fill="auto"/>
            <w:vAlign w:val="center"/>
          </w:tcPr>
          <w:p w14:paraId="2415A654" w14:textId="77777777" w:rsidR="00D12D06" w:rsidRPr="00B0658A" w:rsidRDefault="00D12D06" w:rsidP="000A4114">
            <w:pPr>
              <w:spacing w:after="0" w:line="240" w:lineRule="auto"/>
              <w:rPr>
                <w:rFonts w:ascii="Times New Roman" w:hAnsi="Times New Roman"/>
                <w:sz w:val="20"/>
                <w:szCs w:val="20"/>
              </w:rPr>
            </w:pPr>
            <w:r w:rsidRPr="00B0658A">
              <w:rPr>
                <w:rFonts w:ascii="Times New Roman" w:hAnsi="Times New Roman"/>
                <w:sz w:val="18"/>
                <w:szCs w:val="18"/>
              </w:rPr>
              <w:t>Средства обеспечения информационной безопасности/ Средства резервного копирования</w:t>
            </w:r>
          </w:p>
        </w:tc>
        <w:tc>
          <w:tcPr>
            <w:tcW w:w="1256" w:type="dxa"/>
          </w:tcPr>
          <w:p w14:paraId="6D9AAF4B"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6243B4B9"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5A790D60"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7102F27D" w14:textId="77777777" w:rsidR="00D12D06" w:rsidRPr="00B0658A" w:rsidRDefault="00D12D06" w:rsidP="000A4114">
            <w:pPr>
              <w:spacing w:after="0" w:line="240" w:lineRule="auto"/>
              <w:jc w:val="both"/>
              <w:rPr>
                <w:rFonts w:ascii="Times New Roman" w:hAnsi="Times New Roman"/>
                <w:i/>
                <w:iCs/>
                <w:sz w:val="20"/>
                <w:szCs w:val="20"/>
              </w:rPr>
            </w:pPr>
          </w:p>
        </w:tc>
      </w:tr>
      <w:tr w:rsidR="00F52FED" w:rsidRPr="00B0658A" w14:paraId="7955BB4E" w14:textId="77777777" w:rsidTr="00B10FDE">
        <w:trPr>
          <w:trHeight w:val="170"/>
        </w:trPr>
        <w:tc>
          <w:tcPr>
            <w:tcW w:w="0" w:type="auto"/>
            <w:shd w:val="clear" w:color="auto" w:fill="auto"/>
            <w:vAlign w:val="center"/>
          </w:tcPr>
          <w:p w14:paraId="2144CB56" w14:textId="77777777" w:rsidR="00D12D06" w:rsidRPr="00B0658A" w:rsidRDefault="00D12D06" w:rsidP="000A4114">
            <w:pPr>
              <w:spacing w:after="0" w:line="240" w:lineRule="auto"/>
              <w:rPr>
                <w:rFonts w:ascii="Times New Roman" w:hAnsi="Times New Roman"/>
                <w:sz w:val="20"/>
                <w:szCs w:val="20"/>
              </w:rPr>
            </w:pPr>
            <w:r w:rsidRPr="00B0658A">
              <w:rPr>
                <w:rFonts w:ascii="Times New Roman" w:hAnsi="Times New Roman"/>
                <w:sz w:val="18"/>
                <w:szCs w:val="18"/>
              </w:rPr>
              <w:t>3.14</w:t>
            </w:r>
          </w:p>
        </w:tc>
        <w:tc>
          <w:tcPr>
            <w:tcW w:w="3432" w:type="dxa"/>
            <w:shd w:val="clear" w:color="auto" w:fill="auto"/>
            <w:vAlign w:val="center"/>
          </w:tcPr>
          <w:p w14:paraId="67396753" w14:textId="77777777" w:rsidR="00D12D06" w:rsidRPr="00B0658A" w:rsidRDefault="00D12D06" w:rsidP="000A4114">
            <w:pPr>
              <w:spacing w:after="0" w:line="240" w:lineRule="auto"/>
              <w:rPr>
                <w:rFonts w:ascii="Times New Roman" w:hAnsi="Times New Roman"/>
                <w:sz w:val="20"/>
                <w:szCs w:val="20"/>
              </w:rPr>
            </w:pPr>
            <w:r w:rsidRPr="00B0658A">
              <w:rPr>
                <w:rFonts w:ascii="Times New Roman" w:hAnsi="Times New Roman"/>
                <w:sz w:val="18"/>
                <w:szCs w:val="18"/>
              </w:rPr>
              <w:t>Средства обеспечения информационной безопасности/ Средства обнаружения и/или предотвращения вторжений (атак)</w:t>
            </w:r>
          </w:p>
        </w:tc>
        <w:tc>
          <w:tcPr>
            <w:tcW w:w="1256" w:type="dxa"/>
          </w:tcPr>
          <w:p w14:paraId="203DC720"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7D0CE6A5"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72F947D7"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604605B4" w14:textId="77777777" w:rsidR="00D12D06" w:rsidRPr="00B0658A" w:rsidRDefault="00D12D06" w:rsidP="000A4114">
            <w:pPr>
              <w:spacing w:after="0" w:line="240" w:lineRule="auto"/>
              <w:jc w:val="both"/>
              <w:rPr>
                <w:rFonts w:ascii="Times New Roman" w:hAnsi="Times New Roman"/>
                <w:i/>
                <w:iCs/>
                <w:sz w:val="20"/>
                <w:szCs w:val="20"/>
              </w:rPr>
            </w:pPr>
          </w:p>
        </w:tc>
      </w:tr>
      <w:tr w:rsidR="00F52FED" w:rsidRPr="00B0658A" w14:paraId="2BCD6D60" w14:textId="77777777" w:rsidTr="00B10FDE">
        <w:trPr>
          <w:trHeight w:val="170"/>
        </w:trPr>
        <w:tc>
          <w:tcPr>
            <w:tcW w:w="0" w:type="auto"/>
            <w:shd w:val="clear" w:color="auto" w:fill="auto"/>
            <w:vAlign w:val="center"/>
          </w:tcPr>
          <w:p w14:paraId="68FF9545" w14:textId="77777777" w:rsidR="00D12D06" w:rsidRPr="00B0658A" w:rsidRDefault="00D12D06" w:rsidP="000A4114">
            <w:pPr>
              <w:spacing w:after="0" w:line="240" w:lineRule="auto"/>
              <w:rPr>
                <w:rFonts w:ascii="Times New Roman" w:hAnsi="Times New Roman"/>
                <w:sz w:val="20"/>
                <w:szCs w:val="20"/>
              </w:rPr>
            </w:pPr>
            <w:r w:rsidRPr="00B0658A">
              <w:rPr>
                <w:rFonts w:ascii="Times New Roman" w:hAnsi="Times New Roman"/>
                <w:sz w:val="18"/>
                <w:szCs w:val="18"/>
              </w:rPr>
              <w:t>3.15</w:t>
            </w:r>
          </w:p>
        </w:tc>
        <w:tc>
          <w:tcPr>
            <w:tcW w:w="3432" w:type="dxa"/>
            <w:shd w:val="clear" w:color="auto" w:fill="auto"/>
            <w:vAlign w:val="center"/>
          </w:tcPr>
          <w:p w14:paraId="300E74AC" w14:textId="77777777" w:rsidR="00D12D06" w:rsidRPr="00B0658A" w:rsidRDefault="00D12D06" w:rsidP="000A4114">
            <w:pPr>
              <w:spacing w:after="0" w:line="240" w:lineRule="auto"/>
              <w:rPr>
                <w:rFonts w:ascii="Times New Roman" w:hAnsi="Times New Roman"/>
                <w:sz w:val="20"/>
                <w:szCs w:val="20"/>
              </w:rPr>
            </w:pPr>
            <w:r w:rsidRPr="00B0658A">
              <w:rPr>
                <w:rFonts w:ascii="Times New Roman" w:hAnsi="Times New Roman"/>
                <w:sz w:val="18"/>
                <w:szCs w:val="18"/>
              </w:rPr>
              <w:t>Средства обеспечения информационной безопасности/ Средства обнаружения угроз и расследования сетевых инцидентов</w:t>
            </w:r>
          </w:p>
        </w:tc>
        <w:tc>
          <w:tcPr>
            <w:tcW w:w="1256" w:type="dxa"/>
          </w:tcPr>
          <w:p w14:paraId="359EC6F2"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2743114D"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52FB7337"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137FE052" w14:textId="77777777" w:rsidR="00D12D06" w:rsidRPr="00B0658A" w:rsidRDefault="00D12D06" w:rsidP="000A4114">
            <w:pPr>
              <w:spacing w:after="0" w:line="240" w:lineRule="auto"/>
              <w:jc w:val="both"/>
              <w:rPr>
                <w:rFonts w:ascii="Times New Roman" w:hAnsi="Times New Roman"/>
                <w:i/>
                <w:iCs/>
                <w:sz w:val="20"/>
                <w:szCs w:val="20"/>
              </w:rPr>
            </w:pPr>
          </w:p>
        </w:tc>
      </w:tr>
      <w:tr w:rsidR="00F52FED" w:rsidRPr="00B0658A" w14:paraId="4485A297" w14:textId="77777777" w:rsidTr="00B10FDE">
        <w:trPr>
          <w:trHeight w:val="170"/>
        </w:trPr>
        <w:tc>
          <w:tcPr>
            <w:tcW w:w="0" w:type="auto"/>
            <w:shd w:val="clear" w:color="auto" w:fill="auto"/>
            <w:vAlign w:val="center"/>
          </w:tcPr>
          <w:p w14:paraId="02E9CF93" w14:textId="77777777" w:rsidR="00D12D06" w:rsidRPr="00B0658A" w:rsidRDefault="00D12D06" w:rsidP="000A4114">
            <w:pPr>
              <w:spacing w:after="0" w:line="240" w:lineRule="auto"/>
              <w:rPr>
                <w:rFonts w:ascii="Times New Roman" w:hAnsi="Times New Roman"/>
                <w:sz w:val="20"/>
                <w:szCs w:val="20"/>
              </w:rPr>
            </w:pPr>
            <w:r w:rsidRPr="00B0658A">
              <w:rPr>
                <w:rFonts w:ascii="Times New Roman" w:hAnsi="Times New Roman"/>
                <w:sz w:val="18"/>
                <w:szCs w:val="18"/>
              </w:rPr>
              <w:t>3.16</w:t>
            </w:r>
          </w:p>
        </w:tc>
        <w:tc>
          <w:tcPr>
            <w:tcW w:w="3432" w:type="dxa"/>
            <w:shd w:val="clear" w:color="auto" w:fill="auto"/>
            <w:vAlign w:val="center"/>
          </w:tcPr>
          <w:p w14:paraId="5ECCE9C1" w14:textId="77777777" w:rsidR="00D12D06" w:rsidRPr="00B0658A" w:rsidRDefault="00D12D06" w:rsidP="000A4114">
            <w:pPr>
              <w:spacing w:after="0" w:line="240" w:lineRule="auto"/>
              <w:rPr>
                <w:rFonts w:ascii="Times New Roman" w:hAnsi="Times New Roman"/>
                <w:sz w:val="20"/>
                <w:szCs w:val="20"/>
              </w:rPr>
            </w:pPr>
            <w:r w:rsidRPr="00B0658A">
              <w:rPr>
                <w:rFonts w:ascii="Times New Roman" w:hAnsi="Times New Roman"/>
                <w:sz w:val="18"/>
                <w:szCs w:val="18"/>
              </w:rPr>
              <w:t>Средства обеспечения информационной безопасности/ Средства администрирования и управления жизненным циклом ключевых носителей</w:t>
            </w:r>
          </w:p>
        </w:tc>
        <w:tc>
          <w:tcPr>
            <w:tcW w:w="1256" w:type="dxa"/>
          </w:tcPr>
          <w:p w14:paraId="76308986"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3F18C68D"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3485E637"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0FDDA167" w14:textId="77777777" w:rsidR="00D12D06" w:rsidRPr="00B0658A" w:rsidRDefault="00D12D06" w:rsidP="000A4114">
            <w:pPr>
              <w:spacing w:after="0" w:line="240" w:lineRule="auto"/>
              <w:jc w:val="both"/>
              <w:rPr>
                <w:rFonts w:ascii="Times New Roman" w:hAnsi="Times New Roman"/>
                <w:i/>
                <w:iCs/>
                <w:sz w:val="20"/>
                <w:szCs w:val="20"/>
              </w:rPr>
            </w:pPr>
          </w:p>
        </w:tc>
      </w:tr>
      <w:tr w:rsidR="00F52FED" w:rsidRPr="00B0658A" w14:paraId="62F2477F" w14:textId="77777777" w:rsidTr="00B10FDE">
        <w:trPr>
          <w:trHeight w:val="170"/>
        </w:trPr>
        <w:tc>
          <w:tcPr>
            <w:tcW w:w="0" w:type="auto"/>
            <w:shd w:val="clear" w:color="auto" w:fill="auto"/>
            <w:vAlign w:val="center"/>
          </w:tcPr>
          <w:p w14:paraId="55BB6135" w14:textId="77777777" w:rsidR="00D12D06" w:rsidRPr="00B0658A" w:rsidRDefault="00D12D06" w:rsidP="000A4114">
            <w:pPr>
              <w:spacing w:after="0" w:line="240" w:lineRule="auto"/>
              <w:rPr>
                <w:rFonts w:ascii="Times New Roman" w:hAnsi="Times New Roman"/>
                <w:sz w:val="20"/>
                <w:szCs w:val="20"/>
              </w:rPr>
            </w:pPr>
            <w:r w:rsidRPr="00B0658A">
              <w:rPr>
                <w:rFonts w:ascii="Times New Roman" w:hAnsi="Times New Roman"/>
                <w:sz w:val="18"/>
                <w:szCs w:val="18"/>
              </w:rPr>
              <w:t>3.17</w:t>
            </w:r>
          </w:p>
        </w:tc>
        <w:tc>
          <w:tcPr>
            <w:tcW w:w="3432" w:type="dxa"/>
            <w:shd w:val="clear" w:color="auto" w:fill="auto"/>
            <w:vAlign w:val="center"/>
          </w:tcPr>
          <w:p w14:paraId="108D0CBE" w14:textId="77777777" w:rsidR="00D12D06" w:rsidRPr="00B0658A" w:rsidRDefault="00D12D06" w:rsidP="000A4114">
            <w:pPr>
              <w:spacing w:after="0" w:line="240" w:lineRule="auto"/>
              <w:rPr>
                <w:rFonts w:ascii="Times New Roman" w:hAnsi="Times New Roman"/>
                <w:sz w:val="20"/>
                <w:szCs w:val="20"/>
              </w:rPr>
            </w:pPr>
            <w:r w:rsidRPr="00B0658A">
              <w:rPr>
                <w:rFonts w:ascii="Times New Roman" w:hAnsi="Times New Roman"/>
                <w:sz w:val="18"/>
                <w:szCs w:val="18"/>
              </w:rPr>
              <w:t>Средства обеспечения информационной безопасности/ Средства автоматизации процессов информационной безопасности</w:t>
            </w:r>
          </w:p>
        </w:tc>
        <w:tc>
          <w:tcPr>
            <w:tcW w:w="1256" w:type="dxa"/>
          </w:tcPr>
          <w:p w14:paraId="0E2E8A60"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2A7F44F1"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6F8490A3"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4BADBB2B" w14:textId="77777777" w:rsidR="00D12D06" w:rsidRPr="00B0658A" w:rsidRDefault="00D12D06" w:rsidP="000A4114">
            <w:pPr>
              <w:spacing w:after="0" w:line="240" w:lineRule="auto"/>
              <w:jc w:val="both"/>
              <w:rPr>
                <w:rFonts w:ascii="Times New Roman" w:hAnsi="Times New Roman"/>
                <w:i/>
                <w:iCs/>
                <w:sz w:val="20"/>
                <w:szCs w:val="20"/>
              </w:rPr>
            </w:pPr>
          </w:p>
        </w:tc>
      </w:tr>
      <w:tr w:rsidR="00F52FED" w:rsidRPr="00B0658A" w14:paraId="4BCA3577" w14:textId="77777777" w:rsidTr="00B10FDE">
        <w:trPr>
          <w:trHeight w:val="170"/>
        </w:trPr>
        <w:tc>
          <w:tcPr>
            <w:tcW w:w="0" w:type="auto"/>
            <w:shd w:val="clear" w:color="auto" w:fill="auto"/>
            <w:vAlign w:val="center"/>
          </w:tcPr>
          <w:p w14:paraId="03ADBC0A" w14:textId="77777777" w:rsidR="00D12D06" w:rsidRPr="00B0658A" w:rsidRDefault="00D12D06" w:rsidP="000A4114">
            <w:pPr>
              <w:spacing w:after="0" w:line="240" w:lineRule="auto"/>
              <w:rPr>
                <w:rFonts w:ascii="Times New Roman" w:hAnsi="Times New Roman"/>
                <w:sz w:val="20"/>
                <w:szCs w:val="20"/>
              </w:rPr>
            </w:pPr>
            <w:r w:rsidRPr="00B0658A">
              <w:rPr>
                <w:rFonts w:ascii="Times New Roman" w:hAnsi="Times New Roman"/>
                <w:sz w:val="18"/>
                <w:szCs w:val="18"/>
              </w:rPr>
              <w:t>4.1</w:t>
            </w:r>
          </w:p>
        </w:tc>
        <w:tc>
          <w:tcPr>
            <w:tcW w:w="3432" w:type="dxa"/>
            <w:shd w:val="clear" w:color="auto" w:fill="auto"/>
            <w:vAlign w:val="center"/>
          </w:tcPr>
          <w:p w14:paraId="3B138A80" w14:textId="77777777" w:rsidR="00D12D06" w:rsidRPr="00B0658A" w:rsidRDefault="00D12D06" w:rsidP="000A4114">
            <w:pPr>
              <w:spacing w:after="0" w:line="240" w:lineRule="auto"/>
              <w:rPr>
                <w:rFonts w:ascii="Times New Roman" w:hAnsi="Times New Roman"/>
                <w:sz w:val="20"/>
                <w:szCs w:val="20"/>
              </w:rPr>
            </w:pPr>
            <w:r w:rsidRPr="00B0658A">
              <w:rPr>
                <w:rFonts w:ascii="Times New Roman" w:hAnsi="Times New Roman"/>
                <w:sz w:val="18"/>
                <w:szCs w:val="18"/>
              </w:rPr>
              <w:t>Средства разработки программного обеспечения/ Средства подготовки исполнимого кода</w:t>
            </w:r>
          </w:p>
        </w:tc>
        <w:tc>
          <w:tcPr>
            <w:tcW w:w="1256" w:type="dxa"/>
          </w:tcPr>
          <w:p w14:paraId="77B5132F"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78ADE53C"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4240360B"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34661897" w14:textId="77777777" w:rsidR="00D12D06" w:rsidRPr="00B0658A" w:rsidRDefault="00D12D06" w:rsidP="000A4114">
            <w:pPr>
              <w:spacing w:after="0" w:line="240" w:lineRule="auto"/>
              <w:jc w:val="both"/>
              <w:rPr>
                <w:rFonts w:ascii="Times New Roman" w:hAnsi="Times New Roman"/>
                <w:i/>
                <w:iCs/>
                <w:sz w:val="20"/>
                <w:szCs w:val="20"/>
              </w:rPr>
            </w:pPr>
          </w:p>
        </w:tc>
      </w:tr>
      <w:tr w:rsidR="00F52FED" w:rsidRPr="00B0658A" w14:paraId="2B6F422A" w14:textId="77777777" w:rsidTr="00B10FDE">
        <w:trPr>
          <w:trHeight w:val="170"/>
        </w:trPr>
        <w:tc>
          <w:tcPr>
            <w:tcW w:w="0" w:type="auto"/>
            <w:shd w:val="clear" w:color="auto" w:fill="auto"/>
            <w:vAlign w:val="center"/>
          </w:tcPr>
          <w:p w14:paraId="2772038D" w14:textId="77777777" w:rsidR="00D12D06" w:rsidRPr="00B0658A" w:rsidDel="00EC4B3C" w:rsidRDefault="00D12D06" w:rsidP="000A4114">
            <w:pPr>
              <w:spacing w:after="0" w:line="240" w:lineRule="auto"/>
              <w:rPr>
                <w:rFonts w:ascii="Times New Roman" w:hAnsi="Times New Roman"/>
                <w:b/>
                <w:sz w:val="20"/>
                <w:szCs w:val="20"/>
              </w:rPr>
            </w:pPr>
            <w:r w:rsidRPr="00B0658A">
              <w:rPr>
                <w:rFonts w:ascii="Times New Roman" w:hAnsi="Times New Roman"/>
                <w:sz w:val="18"/>
                <w:szCs w:val="18"/>
              </w:rPr>
              <w:t>4.2</w:t>
            </w:r>
          </w:p>
        </w:tc>
        <w:tc>
          <w:tcPr>
            <w:tcW w:w="3432" w:type="dxa"/>
            <w:shd w:val="clear" w:color="auto" w:fill="auto"/>
            <w:vAlign w:val="center"/>
          </w:tcPr>
          <w:p w14:paraId="5BFF1296" w14:textId="77777777" w:rsidR="00D12D06" w:rsidRPr="00B0658A" w:rsidRDefault="00D12D06" w:rsidP="000A4114">
            <w:pPr>
              <w:spacing w:after="0" w:line="240" w:lineRule="auto"/>
              <w:rPr>
                <w:rFonts w:ascii="Times New Roman" w:hAnsi="Times New Roman"/>
                <w:b/>
                <w:sz w:val="20"/>
                <w:szCs w:val="20"/>
              </w:rPr>
            </w:pPr>
            <w:r w:rsidRPr="00B0658A">
              <w:rPr>
                <w:rFonts w:ascii="Times New Roman" w:hAnsi="Times New Roman"/>
                <w:sz w:val="18"/>
                <w:szCs w:val="18"/>
              </w:rPr>
              <w:t>Средства разработки программного обеспечения/ Средства версионного контроля исходного кода</w:t>
            </w:r>
          </w:p>
        </w:tc>
        <w:tc>
          <w:tcPr>
            <w:tcW w:w="1256" w:type="dxa"/>
          </w:tcPr>
          <w:p w14:paraId="6378E094"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2F4C70AC"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228B4756"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543C6158" w14:textId="77777777" w:rsidR="00D12D06" w:rsidRPr="00B0658A" w:rsidRDefault="00D12D06" w:rsidP="000A4114">
            <w:pPr>
              <w:spacing w:after="0" w:line="240" w:lineRule="auto"/>
              <w:jc w:val="both"/>
              <w:rPr>
                <w:rFonts w:ascii="Times New Roman" w:hAnsi="Times New Roman"/>
                <w:i/>
                <w:iCs/>
                <w:sz w:val="20"/>
                <w:szCs w:val="20"/>
              </w:rPr>
            </w:pPr>
          </w:p>
        </w:tc>
      </w:tr>
      <w:tr w:rsidR="00F52FED" w:rsidRPr="00B0658A" w14:paraId="219EFC3B" w14:textId="77777777" w:rsidTr="00B10FDE">
        <w:trPr>
          <w:trHeight w:val="170"/>
        </w:trPr>
        <w:tc>
          <w:tcPr>
            <w:tcW w:w="0" w:type="auto"/>
            <w:shd w:val="clear" w:color="auto" w:fill="auto"/>
            <w:vAlign w:val="center"/>
          </w:tcPr>
          <w:p w14:paraId="664A0CE3" w14:textId="77777777" w:rsidR="00D12D06" w:rsidRPr="00B0658A" w:rsidDel="00EC4B3C" w:rsidRDefault="00D12D06" w:rsidP="000A4114">
            <w:pPr>
              <w:spacing w:after="0" w:line="240" w:lineRule="auto"/>
              <w:rPr>
                <w:rFonts w:ascii="Times New Roman" w:hAnsi="Times New Roman"/>
                <w:b/>
                <w:sz w:val="20"/>
                <w:szCs w:val="20"/>
              </w:rPr>
            </w:pPr>
            <w:r w:rsidRPr="00B0658A">
              <w:rPr>
                <w:rFonts w:ascii="Times New Roman" w:hAnsi="Times New Roman"/>
                <w:sz w:val="18"/>
                <w:szCs w:val="18"/>
              </w:rPr>
              <w:t>4.3</w:t>
            </w:r>
          </w:p>
        </w:tc>
        <w:tc>
          <w:tcPr>
            <w:tcW w:w="3432" w:type="dxa"/>
            <w:shd w:val="clear" w:color="auto" w:fill="auto"/>
            <w:vAlign w:val="center"/>
          </w:tcPr>
          <w:p w14:paraId="41DD532E" w14:textId="77777777" w:rsidR="00D12D06" w:rsidRPr="00B0658A" w:rsidRDefault="00D12D06" w:rsidP="000A4114">
            <w:pPr>
              <w:spacing w:after="0" w:line="240" w:lineRule="auto"/>
              <w:rPr>
                <w:rFonts w:ascii="Times New Roman" w:hAnsi="Times New Roman"/>
                <w:b/>
                <w:sz w:val="20"/>
                <w:szCs w:val="20"/>
              </w:rPr>
            </w:pPr>
            <w:r w:rsidRPr="00B0658A">
              <w:rPr>
                <w:rFonts w:ascii="Times New Roman" w:hAnsi="Times New Roman"/>
                <w:sz w:val="18"/>
                <w:szCs w:val="18"/>
              </w:rPr>
              <w:t>Средства разработки программного обеспечения/ Библиотеки подпрограмм (SDK)</w:t>
            </w:r>
          </w:p>
        </w:tc>
        <w:tc>
          <w:tcPr>
            <w:tcW w:w="1256" w:type="dxa"/>
          </w:tcPr>
          <w:p w14:paraId="62CCE912"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6A163DD0"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724E5270"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41BD98E2" w14:textId="77777777" w:rsidR="00D12D06" w:rsidRPr="00B0658A" w:rsidRDefault="00D12D06" w:rsidP="000A4114">
            <w:pPr>
              <w:spacing w:after="0" w:line="240" w:lineRule="auto"/>
              <w:jc w:val="both"/>
              <w:rPr>
                <w:rFonts w:ascii="Times New Roman" w:hAnsi="Times New Roman"/>
                <w:i/>
                <w:iCs/>
                <w:sz w:val="20"/>
                <w:szCs w:val="20"/>
              </w:rPr>
            </w:pPr>
          </w:p>
        </w:tc>
      </w:tr>
      <w:tr w:rsidR="00F52FED" w:rsidRPr="00B0658A" w14:paraId="597D2A23" w14:textId="77777777" w:rsidTr="00B10FDE">
        <w:trPr>
          <w:trHeight w:val="170"/>
        </w:trPr>
        <w:tc>
          <w:tcPr>
            <w:tcW w:w="0" w:type="auto"/>
            <w:shd w:val="clear" w:color="auto" w:fill="auto"/>
            <w:vAlign w:val="center"/>
          </w:tcPr>
          <w:p w14:paraId="6B3F2D03" w14:textId="77777777" w:rsidR="00D12D06" w:rsidRPr="00B0658A" w:rsidDel="00EC4B3C" w:rsidRDefault="00D12D06" w:rsidP="000A4114">
            <w:pPr>
              <w:spacing w:after="0" w:line="240" w:lineRule="auto"/>
              <w:rPr>
                <w:rFonts w:ascii="Times New Roman" w:hAnsi="Times New Roman"/>
                <w:b/>
                <w:sz w:val="20"/>
                <w:szCs w:val="20"/>
              </w:rPr>
            </w:pPr>
            <w:r w:rsidRPr="00B0658A">
              <w:rPr>
                <w:rFonts w:ascii="Times New Roman" w:hAnsi="Times New Roman"/>
                <w:sz w:val="18"/>
                <w:szCs w:val="18"/>
              </w:rPr>
              <w:t>4.4</w:t>
            </w:r>
          </w:p>
        </w:tc>
        <w:tc>
          <w:tcPr>
            <w:tcW w:w="3432" w:type="dxa"/>
            <w:shd w:val="clear" w:color="auto" w:fill="auto"/>
            <w:vAlign w:val="center"/>
          </w:tcPr>
          <w:p w14:paraId="71AEB42A" w14:textId="77777777" w:rsidR="00D12D06" w:rsidRPr="00B0658A" w:rsidRDefault="00D12D06" w:rsidP="000A4114">
            <w:pPr>
              <w:spacing w:after="0" w:line="240" w:lineRule="auto"/>
              <w:rPr>
                <w:rFonts w:ascii="Times New Roman" w:hAnsi="Times New Roman"/>
                <w:b/>
                <w:sz w:val="20"/>
                <w:szCs w:val="20"/>
              </w:rPr>
            </w:pPr>
            <w:r w:rsidRPr="00B0658A">
              <w:rPr>
                <w:rFonts w:ascii="Times New Roman" w:hAnsi="Times New Roman"/>
                <w:sz w:val="18"/>
                <w:szCs w:val="18"/>
              </w:rPr>
              <w:t>Средства разработки программного обеспечения/ Среды разработки, тестирования и отладки</w:t>
            </w:r>
          </w:p>
        </w:tc>
        <w:tc>
          <w:tcPr>
            <w:tcW w:w="1256" w:type="dxa"/>
          </w:tcPr>
          <w:p w14:paraId="564294A2"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534D01E9"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4C4F3989"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165F1A35" w14:textId="77777777" w:rsidR="00D12D06" w:rsidRPr="00B0658A" w:rsidRDefault="00D12D06" w:rsidP="000A4114">
            <w:pPr>
              <w:spacing w:after="0" w:line="240" w:lineRule="auto"/>
              <w:jc w:val="both"/>
              <w:rPr>
                <w:rFonts w:ascii="Times New Roman" w:hAnsi="Times New Roman"/>
                <w:i/>
                <w:iCs/>
                <w:sz w:val="20"/>
                <w:szCs w:val="20"/>
              </w:rPr>
            </w:pPr>
          </w:p>
        </w:tc>
      </w:tr>
      <w:tr w:rsidR="00F52FED" w:rsidRPr="00B0658A" w14:paraId="0C9592B4" w14:textId="77777777" w:rsidTr="00B10FDE">
        <w:trPr>
          <w:trHeight w:val="170"/>
        </w:trPr>
        <w:tc>
          <w:tcPr>
            <w:tcW w:w="0" w:type="auto"/>
            <w:shd w:val="clear" w:color="auto" w:fill="auto"/>
            <w:vAlign w:val="center"/>
          </w:tcPr>
          <w:p w14:paraId="31C6541C" w14:textId="77777777" w:rsidR="00D12D06" w:rsidRPr="00B0658A" w:rsidDel="00EC4B3C" w:rsidRDefault="00D12D06" w:rsidP="000A4114">
            <w:pPr>
              <w:spacing w:after="0" w:line="240" w:lineRule="auto"/>
              <w:rPr>
                <w:rFonts w:ascii="Times New Roman" w:hAnsi="Times New Roman"/>
                <w:b/>
                <w:sz w:val="20"/>
                <w:szCs w:val="20"/>
              </w:rPr>
            </w:pPr>
            <w:r w:rsidRPr="00B0658A">
              <w:rPr>
                <w:rFonts w:ascii="Times New Roman" w:hAnsi="Times New Roman"/>
                <w:sz w:val="18"/>
                <w:szCs w:val="18"/>
              </w:rPr>
              <w:t>4.5</w:t>
            </w:r>
          </w:p>
        </w:tc>
        <w:tc>
          <w:tcPr>
            <w:tcW w:w="3432" w:type="dxa"/>
            <w:shd w:val="clear" w:color="auto" w:fill="auto"/>
            <w:vAlign w:val="center"/>
          </w:tcPr>
          <w:p w14:paraId="20959662" w14:textId="77777777" w:rsidR="00D12D06" w:rsidRPr="00B0658A" w:rsidRDefault="00D12D06" w:rsidP="000A4114">
            <w:pPr>
              <w:spacing w:after="0" w:line="240" w:lineRule="auto"/>
              <w:rPr>
                <w:rFonts w:ascii="Times New Roman" w:hAnsi="Times New Roman"/>
                <w:b/>
                <w:sz w:val="20"/>
                <w:szCs w:val="20"/>
              </w:rPr>
            </w:pPr>
            <w:r w:rsidRPr="00B0658A">
              <w:rPr>
                <w:rFonts w:ascii="Times New Roman" w:hAnsi="Times New Roman"/>
                <w:sz w:val="18"/>
                <w:szCs w:val="18"/>
              </w:rPr>
              <w:t>Средства разработки программного обеспечения/ Средства анализа исходного кода на закладки и уязвимости</w:t>
            </w:r>
          </w:p>
        </w:tc>
        <w:tc>
          <w:tcPr>
            <w:tcW w:w="1256" w:type="dxa"/>
          </w:tcPr>
          <w:p w14:paraId="25B6E9C5"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7532FEEF"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406B04E5"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64A79896" w14:textId="77777777" w:rsidR="00D12D06" w:rsidRPr="00B0658A" w:rsidRDefault="00D12D06" w:rsidP="000A4114">
            <w:pPr>
              <w:spacing w:after="0" w:line="240" w:lineRule="auto"/>
              <w:jc w:val="both"/>
              <w:rPr>
                <w:rFonts w:ascii="Times New Roman" w:hAnsi="Times New Roman"/>
                <w:i/>
                <w:iCs/>
                <w:sz w:val="20"/>
                <w:szCs w:val="20"/>
              </w:rPr>
            </w:pPr>
          </w:p>
        </w:tc>
      </w:tr>
      <w:tr w:rsidR="00F52FED" w:rsidRPr="00B0658A" w14:paraId="3C3A35B7" w14:textId="77777777" w:rsidTr="00B10FDE">
        <w:trPr>
          <w:trHeight w:val="170"/>
        </w:trPr>
        <w:tc>
          <w:tcPr>
            <w:tcW w:w="0" w:type="auto"/>
            <w:shd w:val="clear" w:color="auto" w:fill="auto"/>
            <w:vAlign w:val="center"/>
          </w:tcPr>
          <w:p w14:paraId="6129BF8E" w14:textId="77777777" w:rsidR="00D12D06" w:rsidRPr="00B0658A" w:rsidDel="00EC4B3C" w:rsidRDefault="00D12D06" w:rsidP="000A4114">
            <w:pPr>
              <w:spacing w:after="0" w:line="240" w:lineRule="auto"/>
              <w:rPr>
                <w:rFonts w:ascii="Times New Roman" w:hAnsi="Times New Roman"/>
                <w:b/>
                <w:sz w:val="20"/>
                <w:szCs w:val="20"/>
              </w:rPr>
            </w:pPr>
            <w:r w:rsidRPr="00B0658A">
              <w:rPr>
                <w:rFonts w:ascii="Times New Roman" w:hAnsi="Times New Roman"/>
                <w:sz w:val="18"/>
                <w:szCs w:val="18"/>
              </w:rPr>
              <w:t>4.6</w:t>
            </w:r>
          </w:p>
        </w:tc>
        <w:tc>
          <w:tcPr>
            <w:tcW w:w="3432" w:type="dxa"/>
            <w:shd w:val="clear" w:color="auto" w:fill="auto"/>
            <w:vAlign w:val="center"/>
          </w:tcPr>
          <w:p w14:paraId="19A6A552" w14:textId="77777777" w:rsidR="00D12D06" w:rsidRPr="00B0658A" w:rsidRDefault="00D12D06" w:rsidP="000A4114">
            <w:pPr>
              <w:spacing w:after="0" w:line="240" w:lineRule="auto"/>
              <w:rPr>
                <w:rFonts w:ascii="Times New Roman" w:hAnsi="Times New Roman"/>
                <w:b/>
                <w:sz w:val="20"/>
                <w:szCs w:val="20"/>
              </w:rPr>
            </w:pPr>
            <w:r w:rsidRPr="00B0658A">
              <w:rPr>
                <w:rFonts w:ascii="Times New Roman" w:hAnsi="Times New Roman"/>
                <w:sz w:val="18"/>
                <w:szCs w:val="18"/>
              </w:rPr>
              <w:t>Средства разработки программного обеспечения/ Средства разработки программного обеспечения на основе нейротехнологий и искусственного интеллекта</w:t>
            </w:r>
          </w:p>
        </w:tc>
        <w:tc>
          <w:tcPr>
            <w:tcW w:w="1256" w:type="dxa"/>
          </w:tcPr>
          <w:p w14:paraId="2921027F"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72699574"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579782BE"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6A7F99BF" w14:textId="77777777" w:rsidR="00D12D06" w:rsidRPr="00B0658A" w:rsidRDefault="00D12D06" w:rsidP="000A4114">
            <w:pPr>
              <w:spacing w:after="0" w:line="240" w:lineRule="auto"/>
              <w:jc w:val="both"/>
              <w:rPr>
                <w:rFonts w:ascii="Times New Roman" w:hAnsi="Times New Roman"/>
                <w:i/>
                <w:iCs/>
                <w:sz w:val="20"/>
                <w:szCs w:val="20"/>
              </w:rPr>
            </w:pPr>
          </w:p>
        </w:tc>
      </w:tr>
      <w:tr w:rsidR="00F52FED" w:rsidRPr="00B0658A" w14:paraId="215C38A4" w14:textId="77777777" w:rsidTr="00B10FDE">
        <w:trPr>
          <w:trHeight w:val="170"/>
        </w:trPr>
        <w:tc>
          <w:tcPr>
            <w:tcW w:w="0" w:type="auto"/>
            <w:shd w:val="clear" w:color="auto" w:fill="auto"/>
            <w:vAlign w:val="center"/>
          </w:tcPr>
          <w:p w14:paraId="202B7497" w14:textId="77777777" w:rsidR="00D12D06" w:rsidRPr="00B0658A" w:rsidDel="00EC4B3C" w:rsidRDefault="00D12D06" w:rsidP="000A4114">
            <w:pPr>
              <w:spacing w:after="0" w:line="240" w:lineRule="auto"/>
              <w:rPr>
                <w:rFonts w:ascii="Times New Roman" w:hAnsi="Times New Roman"/>
                <w:b/>
                <w:sz w:val="20"/>
                <w:szCs w:val="20"/>
              </w:rPr>
            </w:pPr>
            <w:r w:rsidRPr="00B0658A">
              <w:rPr>
                <w:rFonts w:ascii="Times New Roman" w:hAnsi="Times New Roman"/>
                <w:sz w:val="18"/>
                <w:szCs w:val="18"/>
              </w:rPr>
              <w:t>4.7.</w:t>
            </w:r>
          </w:p>
        </w:tc>
        <w:tc>
          <w:tcPr>
            <w:tcW w:w="3432" w:type="dxa"/>
            <w:shd w:val="clear" w:color="auto" w:fill="auto"/>
            <w:vAlign w:val="center"/>
          </w:tcPr>
          <w:p w14:paraId="3E2486CB" w14:textId="77777777" w:rsidR="00D12D06" w:rsidRPr="00B0658A" w:rsidRDefault="00D12D06" w:rsidP="000A4114">
            <w:pPr>
              <w:spacing w:after="0" w:line="240" w:lineRule="auto"/>
              <w:rPr>
                <w:rFonts w:ascii="Times New Roman" w:hAnsi="Times New Roman"/>
                <w:b/>
                <w:sz w:val="20"/>
                <w:szCs w:val="20"/>
              </w:rPr>
            </w:pPr>
            <w:r w:rsidRPr="00B0658A">
              <w:rPr>
                <w:rFonts w:ascii="Times New Roman" w:hAnsi="Times New Roman"/>
                <w:sz w:val="18"/>
                <w:szCs w:val="18"/>
              </w:rPr>
              <w:t>Средства разработки программного обеспечения/ Средства разработки программного обеспечения на основе квантовых технологий</w:t>
            </w:r>
          </w:p>
        </w:tc>
        <w:tc>
          <w:tcPr>
            <w:tcW w:w="1256" w:type="dxa"/>
          </w:tcPr>
          <w:p w14:paraId="1A53ED98"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20CE9D83"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317D7465"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34E71D4F" w14:textId="77777777" w:rsidR="00D12D06" w:rsidRPr="00B0658A" w:rsidRDefault="00D12D06" w:rsidP="000A4114">
            <w:pPr>
              <w:spacing w:after="0" w:line="240" w:lineRule="auto"/>
              <w:jc w:val="both"/>
              <w:rPr>
                <w:rFonts w:ascii="Times New Roman" w:hAnsi="Times New Roman"/>
                <w:i/>
                <w:iCs/>
                <w:sz w:val="20"/>
                <w:szCs w:val="20"/>
              </w:rPr>
            </w:pPr>
          </w:p>
        </w:tc>
      </w:tr>
      <w:tr w:rsidR="00F52FED" w:rsidRPr="00B0658A" w14:paraId="668660A6" w14:textId="77777777" w:rsidTr="00B10FDE">
        <w:trPr>
          <w:trHeight w:val="170"/>
        </w:trPr>
        <w:tc>
          <w:tcPr>
            <w:tcW w:w="0" w:type="auto"/>
            <w:shd w:val="clear" w:color="auto" w:fill="auto"/>
            <w:vAlign w:val="center"/>
          </w:tcPr>
          <w:p w14:paraId="69F5B65B" w14:textId="77777777" w:rsidR="00D12D06" w:rsidRPr="00B0658A" w:rsidDel="00EC4B3C" w:rsidRDefault="00D12D06" w:rsidP="000A4114">
            <w:pPr>
              <w:spacing w:after="0" w:line="240" w:lineRule="auto"/>
              <w:rPr>
                <w:rFonts w:ascii="Times New Roman" w:hAnsi="Times New Roman"/>
                <w:b/>
                <w:sz w:val="20"/>
                <w:szCs w:val="20"/>
              </w:rPr>
            </w:pPr>
            <w:r w:rsidRPr="00B0658A">
              <w:rPr>
                <w:rFonts w:ascii="Times New Roman" w:hAnsi="Times New Roman"/>
                <w:sz w:val="18"/>
                <w:szCs w:val="18"/>
              </w:rPr>
              <w:t>4.8.</w:t>
            </w:r>
          </w:p>
        </w:tc>
        <w:tc>
          <w:tcPr>
            <w:tcW w:w="3432" w:type="dxa"/>
            <w:shd w:val="clear" w:color="auto" w:fill="auto"/>
            <w:vAlign w:val="center"/>
          </w:tcPr>
          <w:p w14:paraId="1261A58A" w14:textId="77777777" w:rsidR="00D12D06" w:rsidRPr="00B0658A" w:rsidRDefault="00D12D06" w:rsidP="000A4114">
            <w:pPr>
              <w:spacing w:after="0" w:line="240" w:lineRule="auto"/>
              <w:rPr>
                <w:rFonts w:ascii="Times New Roman" w:hAnsi="Times New Roman"/>
                <w:b/>
                <w:sz w:val="20"/>
                <w:szCs w:val="20"/>
              </w:rPr>
            </w:pPr>
            <w:r w:rsidRPr="00B0658A">
              <w:rPr>
                <w:rFonts w:ascii="Times New Roman" w:hAnsi="Times New Roman"/>
                <w:sz w:val="18"/>
                <w:szCs w:val="18"/>
              </w:rPr>
              <w:t>Средства разработки программного обеспечения/ Интегрированные платформы для создания приложений</w:t>
            </w:r>
          </w:p>
        </w:tc>
        <w:tc>
          <w:tcPr>
            <w:tcW w:w="1256" w:type="dxa"/>
          </w:tcPr>
          <w:p w14:paraId="471868DD"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0E7BB5F0"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3AFF6EE3"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744DC4DE" w14:textId="77777777" w:rsidR="00D12D06" w:rsidRPr="00B0658A" w:rsidRDefault="00D12D06" w:rsidP="000A4114">
            <w:pPr>
              <w:spacing w:after="0" w:line="240" w:lineRule="auto"/>
              <w:jc w:val="both"/>
              <w:rPr>
                <w:rFonts w:ascii="Times New Roman" w:hAnsi="Times New Roman"/>
                <w:i/>
                <w:iCs/>
                <w:sz w:val="20"/>
                <w:szCs w:val="20"/>
              </w:rPr>
            </w:pPr>
          </w:p>
        </w:tc>
      </w:tr>
      <w:tr w:rsidR="00F52FED" w:rsidRPr="00B0658A" w14:paraId="647C2F20" w14:textId="77777777" w:rsidTr="00B10FDE">
        <w:trPr>
          <w:trHeight w:val="170"/>
        </w:trPr>
        <w:tc>
          <w:tcPr>
            <w:tcW w:w="0" w:type="auto"/>
            <w:shd w:val="clear" w:color="auto" w:fill="auto"/>
            <w:vAlign w:val="center"/>
          </w:tcPr>
          <w:p w14:paraId="4C369EA4" w14:textId="77777777" w:rsidR="00D12D06" w:rsidRPr="00B0658A" w:rsidDel="00EC4B3C" w:rsidRDefault="00D12D06" w:rsidP="000A4114">
            <w:pPr>
              <w:spacing w:after="0" w:line="240" w:lineRule="auto"/>
              <w:rPr>
                <w:rFonts w:ascii="Times New Roman" w:hAnsi="Times New Roman"/>
                <w:b/>
                <w:sz w:val="20"/>
                <w:szCs w:val="20"/>
              </w:rPr>
            </w:pPr>
            <w:r w:rsidRPr="00B0658A">
              <w:rPr>
                <w:rFonts w:ascii="Times New Roman" w:hAnsi="Times New Roman"/>
                <w:sz w:val="18"/>
                <w:szCs w:val="18"/>
              </w:rPr>
              <w:t>4.9.</w:t>
            </w:r>
          </w:p>
        </w:tc>
        <w:tc>
          <w:tcPr>
            <w:tcW w:w="3432" w:type="dxa"/>
            <w:shd w:val="clear" w:color="auto" w:fill="auto"/>
            <w:vAlign w:val="center"/>
          </w:tcPr>
          <w:p w14:paraId="6670C75A" w14:textId="77777777" w:rsidR="00D12D06" w:rsidRPr="00B0658A" w:rsidRDefault="00D12D06" w:rsidP="000A4114">
            <w:pPr>
              <w:spacing w:after="0" w:line="240" w:lineRule="auto"/>
              <w:rPr>
                <w:rFonts w:ascii="Times New Roman" w:hAnsi="Times New Roman"/>
                <w:b/>
                <w:sz w:val="20"/>
                <w:szCs w:val="20"/>
              </w:rPr>
            </w:pPr>
            <w:r w:rsidRPr="00B0658A">
              <w:rPr>
                <w:rFonts w:ascii="Times New Roman" w:hAnsi="Times New Roman"/>
                <w:sz w:val="18"/>
                <w:szCs w:val="18"/>
              </w:rPr>
              <w:t xml:space="preserve">Средства разработки программного обеспечения/ Системы предотвращения анализа </w:t>
            </w:r>
            <w:r w:rsidRPr="00B0658A">
              <w:rPr>
                <w:rFonts w:ascii="Times New Roman" w:hAnsi="Times New Roman"/>
                <w:sz w:val="18"/>
                <w:szCs w:val="18"/>
              </w:rPr>
              <w:br/>
              <w:t>и восстановления исполняемого кода программ</w:t>
            </w:r>
          </w:p>
        </w:tc>
        <w:tc>
          <w:tcPr>
            <w:tcW w:w="1256" w:type="dxa"/>
          </w:tcPr>
          <w:p w14:paraId="0F9CB65E"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0A0CF27E"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2DBF840C"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273983A6" w14:textId="77777777" w:rsidR="00D12D06" w:rsidRPr="00B0658A" w:rsidRDefault="00D12D06" w:rsidP="000A4114">
            <w:pPr>
              <w:spacing w:after="0" w:line="240" w:lineRule="auto"/>
              <w:jc w:val="both"/>
              <w:rPr>
                <w:rFonts w:ascii="Times New Roman" w:hAnsi="Times New Roman"/>
                <w:i/>
                <w:iCs/>
                <w:sz w:val="20"/>
                <w:szCs w:val="20"/>
              </w:rPr>
            </w:pPr>
          </w:p>
        </w:tc>
      </w:tr>
      <w:tr w:rsidR="00F52FED" w:rsidRPr="00B0658A" w14:paraId="56E0955A" w14:textId="77777777" w:rsidTr="00B10FDE">
        <w:trPr>
          <w:trHeight w:val="170"/>
        </w:trPr>
        <w:tc>
          <w:tcPr>
            <w:tcW w:w="0" w:type="auto"/>
            <w:shd w:val="clear" w:color="auto" w:fill="auto"/>
          </w:tcPr>
          <w:p w14:paraId="0B28C4D5" w14:textId="77777777" w:rsidR="00D12D06" w:rsidRPr="00B0658A" w:rsidDel="00EC4B3C" w:rsidRDefault="00D12D06" w:rsidP="000A4114">
            <w:pPr>
              <w:spacing w:after="0" w:line="240" w:lineRule="auto"/>
              <w:rPr>
                <w:rFonts w:ascii="Times New Roman" w:hAnsi="Times New Roman"/>
                <w:b/>
                <w:sz w:val="20"/>
                <w:szCs w:val="20"/>
              </w:rPr>
            </w:pPr>
            <w:r w:rsidRPr="00B0658A">
              <w:rPr>
                <w:rFonts w:ascii="Times New Roman" w:hAnsi="Times New Roman"/>
                <w:sz w:val="18"/>
                <w:szCs w:val="18"/>
              </w:rPr>
              <w:t>5.1</w:t>
            </w:r>
          </w:p>
        </w:tc>
        <w:tc>
          <w:tcPr>
            <w:tcW w:w="3432" w:type="dxa"/>
            <w:shd w:val="clear" w:color="auto" w:fill="auto"/>
            <w:vAlign w:val="center"/>
          </w:tcPr>
          <w:p w14:paraId="3613C991" w14:textId="77777777" w:rsidR="00D12D06" w:rsidRPr="00B0658A" w:rsidRDefault="00D12D06" w:rsidP="000A4114">
            <w:pPr>
              <w:spacing w:after="0" w:line="240" w:lineRule="auto"/>
              <w:rPr>
                <w:rFonts w:ascii="Times New Roman" w:hAnsi="Times New Roman"/>
                <w:b/>
                <w:sz w:val="20"/>
                <w:szCs w:val="20"/>
              </w:rPr>
            </w:pPr>
            <w:r w:rsidRPr="00B0658A">
              <w:rPr>
                <w:rFonts w:ascii="Times New Roman" w:hAnsi="Times New Roman"/>
                <w:sz w:val="18"/>
                <w:szCs w:val="18"/>
              </w:rPr>
              <w:t>Прикладное программное обеспечение/ Мультимедийное программное обеспечение</w:t>
            </w:r>
          </w:p>
        </w:tc>
        <w:tc>
          <w:tcPr>
            <w:tcW w:w="1256" w:type="dxa"/>
          </w:tcPr>
          <w:p w14:paraId="30287D45"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1C5A7F62"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56D598BC"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5B513EBC" w14:textId="77777777" w:rsidR="00D12D06" w:rsidRPr="00B0658A" w:rsidRDefault="00D12D06" w:rsidP="000A4114">
            <w:pPr>
              <w:spacing w:after="0" w:line="240" w:lineRule="auto"/>
              <w:jc w:val="both"/>
              <w:rPr>
                <w:rFonts w:ascii="Times New Roman" w:hAnsi="Times New Roman"/>
                <w:i/>
                <w:iCs/>
                <w:sz w:val="20"/>
                <w:szCs w:val="20"/>
              </w:rPr>
            </w:pPr>
          </w:p>
        </w:tc>
      </w:tr>
      <w:tr w:rsidR="00F52FED" w:rsidRPr="00B0658A" w14:paraId="3CE8F5C0" w14:textId="77777777" w:rsidTr="00B10FDE">
        <w:trPr>
          <w:trHeight w:val="170"/>
        </w:trPr>
        <w:tc>
          <w:tcPr>
            <w:tcW w:w="0" w:type="auto"/>
            <w:shd w:val="clear" w:color="auto" w:fill="auto"/>
          </w:tcPr>
          <w:p w14:paraId="00CE7C7C" w14:textId="77777777" w:rsidR="00D12D06" w:rsidRPr="00B0658A" w:rsidDel="00EC4B3C" w:rsidRDefault="00D12D06" w:rsidP="000A4114">
            <w:pPr>
              <w:spacing w:after="0" w:line="240" w:lineRule="auto"/>
              <w:rPr>
                <w:rFonts w:ascii="Times New Roman" w:hAnsi="Times New Roman"/>
                <w:b/>
                <w:sz w:val="20"/>
                <w:szCs w:val="20"/>
              </w:rPr>
            </w:pPr>
            <w:r w:rsidRPr="00B0658A">
              <w:rPr>
                <w:rFonts w:ascii="Times New Roman" w:hAnsi="Times New Roman"/>
                <w:sz w:val="18"/>
                <w:szCs w:val="18"/>
              </w:rPr>
              <w:t>5.2</w:t>
            </w:r>
          </w:p>
        </w:tc>
        <w:tc>
          <w:tcPr>
            <w:tcW w:w="3432" w:type="dxa"/>
            <w:shd w:val="clear" w:color="auto" w:fill="auto"/>
            <w:vAlign w:val="center"/>
          </w:tcPr>
          <w:p w14:paraId="0C8A4BE9" w14:textId="77777777" w:rsidR="00D12D06" w:rsidRPr="00B0658A" w:rsidRDefault="00D12D06" w:rsidP="000A4114">
            <w:pPr>
              <w:spacing w:after="0" w:line="240" w:lineRule="auto"/>
              <w:rPr>
                <w:rFonts w:ascii="Times New Roman" w:hAnsi="Times New Roman"/>
                <w:b/>
                <w:sz w:val="20"/>
                <w:szCs w:val="20"/>
              </w:rPr>
            </w:pPr>
            <w:r w:rsidRPr="00B0658A">
              <w:rPr>
                <w:rFonts w:ascii="Times New Roman" w:hAnsi="Times New Roman"/>
                <w:sz w:val="18"/>
                <w:szCs w:val="18"/>
              </w:rPr>
              <w:t>Прикладное программное обеспечение/ Дополнительные программные модули (плагины)</w:t>
            </w:r>
          </w:p>
        </w:tc>
        <w:tc>
          <w:tcPr>
            <w:tcW w:w="1256" w:type="dxa"/>
          </w:tcPr>
          <w:p w14:paraId="308ED93A"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73305228"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1FCCC70D"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0DFCF8FF" w14:textId="77777777" w:rsidR="00D12D06" w:rsidRPr="00B0658A" w:rsidRDefault="00D12D06" w:rsidP="000A4114">
            <w:pPr>
              <w:spacing w:after="0" w:line="240" w:lineRule="auto"/>
              <w:jc w:val="both"/>
              <w:rPr>
                <w:rFonts w:ascii="Times New Roman" w:hAnsi="Times New Roman"/>
                <w:i/>
                <w:iCs/>
                <w:sz w:val="20"/>
                <w:szCs w:val="20"/>
              </w:rPr>
            </w:pPr>
          </w:p>
        </w:tc>
      </w:tr>
      <w:tr w:rsidR="00F52FED" w:rsidRPr="00B0658A" w14:paraId="1319D87A" w14:textId="77777777" w:rsidTr="00B10FDE">
        <w:trPr>
          <w:trHeight w:val="170"/>
        </w:trPr>
        <w:tc>
          <w:tcPr>
            <w:tcW w:w="0" w:type="auto"/>
            <w:shd w:val="clear" w:color="auto" w:fill="auto"/>
          </w:tcPr>
          <w:p w14:paraId="5028998C" w14:textId="77777777" w:rsidR="00D12D06" w:rsidRPr="00B0658A" w:rsidDel="00EC4B3C" w:rsidRDefault="00D12D06" w:rsidP="000A4114">
            <w:pPr>
              <w:spacing w:after="0" w:line="240" w:lineRule="auto"/>
              <w:rPr>
                <w:rFonts w:ascii="Times New Roman" w:hAnsi="Times New Roman"/>
                <w:b/>
                <w:sz w:val="20"/>
                <w:szCs w:val="20"/>
              </w:rPr>
            </w:pPr>
            <w:r w:rsidRPr="00B0658A">
              <w:rPr>
                <w:rFonts w:ascii="Times New Roman" w:hAnsi="Times New Roman"/>
                <w:sz w:val="18"/>
                <w:szCs w:val="18"/>
              </w:rPr>
              <w:t>5.3</w:t>
            </w:r>
          </w:p>
        </w:tc>
        <w:tc>
          <w:tcPr>
            <w:tcW w:w="3432" w:type="dxa"/>
            <w:shd w:val="clear" w:color="auto" w:fill="auto"/>
            <w:vAlign w:val="center"/>
          </w:tcPr>
          <w:p w14:paraId="40975EAF" w14:textId="77777777" w:rsidR="00D12D06" w:rsidRPr="00B0658A" w:rsidRDefault="00D12D06" w:rsidP="000A4114">
            <w:pPr>
              <w:spacing w:after="0" w:line="240" w:lineRule="auto"/>
              <w:rPr>
                <w:rFonts w:ascii="Times New Roman" w:hAnsi="Times New Roman"/>
                <w:b/>
                <w:sz w:val="20"/>
                <w:szCs w:val="20"/>
              </w:rPr>
            </w:pPr>
            <w:r w:rsidRPr="00B0658A">
              <w:rPr>
                <w:rFonts w:ascii="Times New Roman" w:hAnsi="Times New Roman"/>
                <w:sz w:val="18"/>
                <w:szCs w:val="18"/>
              </w:rPr>
              <w:t>Прикладное программное обеспечение/ Игры и развлечения</w:t>
            </w:r>
          </w:p>
        </w:tc>
        <w:tc>
          <w:tcPr>
            <w:tcW w:w="1256" w:type="dxa"/>
          </w:tcPr>
          <w:p w14:paraId="0A183CB7"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5EDDE37D"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016D164B"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50FCF397" w14:textId="77777777" w:rsidR="00D12D06" w:rsidRPr="00B0658A" w:rsidRDefault="00D12D06" w:rsidP="000A4114">
            <w:pPr>
              <w:spacing w:after="0" w:line="240" w:lineRule="auto"/>
              <w:jc w:val="both"/>
              <w:rPr>
                <w:rFonts w:ascii="Times New Roman" w:hAnsi="Times New Roman"/>
                <w:i/>
                <w:iCs/>
                <w:sz w:val="20"/>
                <w:szCs w:val="20"/>
              </w:rPr>
            </w:pPr>
          </w:p>
        </w:tc>
      </w:tr>
      <w:tr w:rsidR="00F52FED" w:rsidRPr="00B0658A" w14:paraId="6AD72F43" w14:textId="77777777" w:rsidTr="00B10FDE">
        <w:trPr>
          <w:trHeight w:val="170"/>
        </w:trPr>
        <w:tc>
          <w:tcPr>
            <w:tcW w:w="0" w:type="auto"/>
            <w:shd w:val="clear" w:color="auto" w:fill="auto"/>
          </w:tcPr>
          <w:p w14:paraId="61927F7C" w14:textId="77777777" w:rsidR="00D12D06" w:rsidRPr="00B0658A" w:rsidDel="00EC4B3C" w:rsidRDefault="00D12D06" w:rsidP="000A4114">
            <w:pPr>
              <w:spacing w:after="0" w:line="240" w:lineRule="auto"/>
              <w:rPr>
                <w:rFonts w:ascii="Times New Roman" w:hAnsi="Times New Roman"/>
                <w:b/>
                <w:sz w:val="20"/>
                <w:szCs w:val="20"/>
              </w:rPr>
            </w:pPr>
            <w:r w:rsidRPr="00B0658A">
              <w:rPr>
                <w:rFonts w:ascii="Times New Roman" w:hAnsi="Times New Roman"/>
                <w:sz w:val="18"/>
                <w:szCs w:val="18"/>
              </w:rPr>
              <w:t>5.4</w:t>
            </w:r>
          </w:p>
        </w:tc>
        <w:tc>
          <w:tcPr>
            <w:tcW w:w="3432" w:type="dxa"/>
            <w:shd w:val="clear" w:color="auto" w:fill="auto"/>
            <w:vAlign w:val="center"/>
          </w:tcPr>
          <w:p w14:paraId="4C31969B" w14:textId="77777777" w:rsidR="00D12D06" w:rsidRPr="00B0658A" w:rsidRDefault="00D12D06" w:rsidP="000A4114">
            <w:pPr>
              <w:spacing w:after="0" w:line="240" w:lineRule="auto"/>
              <w:rPr>
                <w:rFonts w:ascii="Times New Roman" w:hAnsi="Times New Roman"/>
                <w:b/>
                <w:sz w:val="20"/>
                <w:szCs w:val="20"/>
              </w:rPr>
            </w:pPr>
            <w:r w:rsidRPr="00B0658A">
              <w:rPr>
                <w:rFonts w:ascii="Times New Roman" w:hAnsi="Times New Roman"/>
                <w:sz w:val="18"/>
                <w:szCs w:val="18"/>
              </w:rPr>
              <w:t>Прикладное программное обеспечение/ Поисковые средства</w:t>
            </w:r>
          </w:p>
        </w:tc>
        <w:tc>
          <w:tcPr>
            <w:tcW w:w="1256" w:type="dxa"/>
          </w:tcPr>
          <w:p w14:paraId="256B9AFE"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2C25BE38"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3EFF29CF"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5DF3BE44" w14:textId="77777777" w:rsidR="00D12D06" w:rsidRPr="00B0658A" w:rsidRDefault="00D12D06" w:rsidP="000A4114">
            <w:pPr>
              <w:spacing w:after="0" w:line="240" w:lineRule="auto"/>
              <w:jc w:val="both"/>
              <w:rPr>
                <w:rFonts w:ascii="Times New Roman" w:hAnsi="Times New Roman"/>
                <w:i/>
                <w:iCs/>
                <w:sz w:val="20"/>
                <w:szCs w:val="20"/>
              </w:rPr>
            </w:pPr>
          </w:p>
        </w:tc>
      </w:tr>
      <w:tr w:rsidR="00F52FED" w:rsidRPr="00B0658A" w14:paraId="3B4A6048" w14:textId="77777777" w:rsidTr="00B10FDE">
        <w:trPr>
          <w:trHeight w:val="170"/>
        </w:trPr>
        <w:tc>
          <w:tcPr>
            <w:tcW w:w="0" w:type="auto"/>
            <w:shd w:val="clear" w:color="auto" w:fill="auto"/>
          </w:tcPr>
          <w:p w14:paraId="5C3D0125" w14:textId="77777777" w:rsidR="00D12D06" w:rsidRPr="00B0658A" w:rsidDel="00EC4B3C" w:rsidRDefault="00D12D06" w:rsidP="000A4114">
            <w:pPr>
              <w:spacing w:after="0" w:line="240" w:lineRule="auto"/>
              <w:rPr>
                <w:rFonts w:ascii="Times New Roman" w:hAnsi="Times New Roman"/>
                <w:b/>
                <w:sz w:val="20"/>
                <w:szCs w:val="20"/>
              </w:rPr>
            </w:pPr>
            <w:r w:rsidRPr="00B0658A">
              <w:rPr>
                <w:rFonts w:ascii="Times New Roman" w:hAnsi="Times New Roman"/>
                <w:sz w:val="18"/>
                <w:szCs w:val="18"/>
              </w:rPr>
              <w:t>5.5</w:t>
            </w:r>
          </w:p>
        </w:tc>
        <w:tc>
          <w:tcPr>
            <w:tcW w:w="3432" w:type="dxa"/>
            <w:shd w:val="clear" w:color="auto" w:fill="auto"/>
            <w:vAlign w:val="center"/>
          </w:tcPr>
          <w:p w14:paraId="2B61C02F" w14:textId="77777777" w:rsidR="00D12D06" w:rsidRPr="00B0658A" w:rsidRDefault="00D12D06" w:rsidP="000A4114">
            <w:pPr>
              <w:spacing w:after="0" w:line="240" w:lineRule="auto"/>
              <w:rPr>
                <w:rFonts w:ascii="Times New Roman" w:hAnsi="Times New Roman"/>
                <w:b/>
                <w:sz w:val="20"/>
                <w:szCs w:val="20"/>
              </w:rPr>
            </w:pPr>
            <w:r w:rsidRPr="00B0658A">
              <w:rPr>
                <w:rFonts w:ascii="Times New Roman" w:hAnsi="Times New Roman"/>
                <w:sz w:val="18"/>
                <w:szCs w:val="18"/>
              </w:rPr>
              <w:t>Прикладное программное обеспечение/ Средства управления проектами</w:t>
            </w:r>
          </w:p>
        </w:tc>
        <w:tc>
          <w:tcPr>
            <w:tcW w:w="1256" w:type="dxa"/>
          </w:tcPr>
          <w:p w14:paraId="60169973"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5E09AA77"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33DD8154"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53B75525" w14:textId="77777777" w:rsidR="00D12D06" w:rsidRPr="00B0658A" w:rsidRDefault="00D12D06" w:rsidP="000A4114">
            <w:pPr>
              <w:spacing w:after="0" w:line="240" w:lineRule="auto"/>
              <w:jc w:val="both"/>
              <w:rPr>
                <w:rFonts w:ascii="Times New Roman" w:hAnsi="Times New Roman"/>
                <w:i/>
                <w:iCs/>
                <w:sz w:val="20"/>
                <w:szCs w:val="20"/>
              </w:rPr>
            </w:pPr>
          </w:p>
        </w:tc>
      </w:tr>
      <w:tr w:rsidR="00F52FED" w:rsidRPr="00B0658A" w14:paraId="0CF78DA2" w14:textId="77777777" w:rsidTr="00B10FDE">
        <w:trPr>
          <w:trHeight w:val="170"/>
        </w:trPr>
        <w:tc>
          <w:tcPr>
            <w:tcW w:w="0" w:type="auto"/>
            <w:shd w:val="clear" w:color="auto" w:fill="auto"/>
          </w:tcPr>
          <w:p w14:paraId="2F5C7CF4" w14:textId="77777777" w:rsidR="00D12D06" w:rsidRPr="00B0658A" w:rsidDel="00EC4B3C" w:rsidRDefault="00D12D06" w:rsidP="000A4114">
            <w:pPr>
              <w:spacing w:after="0" w:line="240" w:lineRule="auto"/>
              <w:rPr>
                <w:rFonts w:ascii="Times New Roman" w:hAnsi="Times New Roman"/>
                <w:b/>
                <w:sz w:val="20"/>
                <w:szCs w:val="20"/>
              </w:rPr>
            </w:pPr>
            <w:r w:rsidRPr="00B0658A">
              <w:rPr>
                <w:rFonts w:ascii="Times New Roman" w:hAnsi="Times New Roman"/>
                <w:sz w:val="18"/>
                <w:szCs w:val="18"/>
              </w:rPr>
              <w:t>5.6</w:t>
            </w:r>
          </w:p>
        </w:tc>
        <w:tc>
          <w:tcPr>
            <w:tcW w:w="3432" w:type="dxa"/>
            <w:shd w:val="clear" w:color="auto" w:fill="auto"/>
            <w:vAlign w:val="center"/>
          </w:tcPr>
          <w:p w14:paraId="0A326B78" w14:textId="77777777" w:rsidR="00D12D06" w:rsidRPr="00B0658A" w:rsidRDefault="00D12D06" w:rsidP="000A4114">
            <w:pPr>
              <w:spacing w:after="0" w:line="240" w:lineRule="auto"/>
              <w:rPr>
                <w:rFonts w:ascii="Times New Roman" w:hAnsi="Times New Roman"/>
                <w:b/>
                <w:sz w:val="20"/>
                <w:szCs w:val="20"/>
              </w:rPr>
            </w:pPr>
            <w:r w:rsidRPr="00B0658A">
              <w:rPr>
                <w:rFonts w:ascii="Times New Roman" w:hAnsi="Times New Roman"/>
                <w:sz w:val="18"/>
                <w:szCs w:val="18"/>
              </w:rPr>
              <w:t>Прикладное программное обеспечение/ Геоинформационные и навигационные средства (GIS)</w:t>
            </w:r>
          </w:p>
        </w:tc>
        <w:tc>
          <w:tcPr>
            <w:tcW w:w="1256" w:type="dxa"/>
          </w:tcPr>
          <w:p w14:paraId="4B51915E"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13429486"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7C489631"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07B6DAE1" w14:textId="77777777" w:rsidR="00D12D06" w:rsidRPr="00B0658A" w:rsidRDefault="00D12D06" w:rsidP="000A4114">
            <w:pPr>
              <w:spacing w:after="0" w:line="240" w:lineRule="auto"/>
              <w:jc w:val="both"/>
              <w:rPr>
                <w:rFonts w:ascii="Times New Roman" w:hAnsi="Times New Roman"/>
                <w:i/>
                <w:iCs/>
                <w:sz w:val="20"/>
                <w:szCs w:val="20"/>
              </w:rPr>
            </w:pPr>
          </w:p>
        </w:tc>
      </w:tr>
      <w:tr w:rsidR="00F52FED" w:rsidRPr="00B0658A" w14:paraId="41878BEA" w14:textId="77777777" w:rsidTr="00B10FDE">
        <w:trPr>
          <w:trHeight w:val="170"/>
        </w:trPr>
        <w:tc>
          <w:tcPr>
            <w:tcW w:w="0" w:type="auto"/>
            <w:shd w:val="clear" w:color="auto" w:fill="auto"/>
          </w:tcPr>
          <w:p w14:paraId="1001338E" w14:textId="77777777" w:rsidR="00D12D06" w:rsidRPr="00B0658A" w:rsidDel="00EC4B3C" w:rsidRDefault="00D12D06" w:rsidP="000A4114">
            <w:pPr>
              <w:spacing w:after="0" w:line="240" w:lineRule="auto"/>
              <w:rPr>
                <w:rFonts w:ascii="Times New Roman" w:hAnsi="Times New Roman"/>
                <w:b/>
                <w:sz w:val="20"/>
                <w:szCs w:val="20"/>
              </w:rPr>
            </w:pPr>
            <w:r w:rsidRPr="00B0658A">
              <w:rPr>
                <w:rFonts w:ascii="Times New Roman" w:hAnsi="Times New Roman"/>
                <w:sz w:val="18"/>
                <w:szCs w:val="18"/>
              </w:rPr>
              <w:t>5.7</w:t>
            </w:r>
          </w:p>
        </w:tc>
        <w:tc>
          <w:tcPr>
            <w:tcW w:w="3432" w:type="dxa"/>
            <w:shd w:val="clear" w:color="auto" w:fill="auto"/>
            <w:vAlign w:val="center"/>
          </w:tcPr>
          <w:p w14:paraId="19238ECD" w14:textId="77777777" w:rsidR="00D12D06" w:rsidRPr="00B0658A" w:rsidRDefault="00D12D06" w:rsidP="000A4114">
            <w:pPr>
              <w:spacing w:after="0" w:line="240" w:lineRule="auto"/>
              <w:rPr>
                <w:rFonts w:ascii="Times New Roman" w:hAnsi="Times New Roman"/>
                <w:b/>
                <w:sz w:val="20"/>
                <w:szCs w:val="20"/>
              </w:rPr>
            </w:pPr>
            <w:r w:rsidRPr="00B0658A">
              <w:rPr>
                <w:rFonts w:ascii="Times New Roman" w:hAnsi="Times New Roman"/>
                <w:sz w:val="18"/>
                <w:szCs w:val="18"/>
              </w:rPr>
              <w:t>Прикладное программное обеспечение/ Специализированное ПО органов исполнительной власти Российской Федерации, государственных корпораций, компаний и юридических лиц с преимущественным участием Российской Федерации для внутреннего использования</w:t>
            </w:r>
          </w:p>
        </w:tc>
        <w:tc>
          <w:tcPr>
            <w:tcW w:w="1256" w:type="dxa"/>
          </w:tcPr>
          <w:p w14:paraId="042A1B81"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5E6DCCD9"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35588862"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2074F27E" w14:textId="77777777" w:rsidR="00D12D06" w:rsidRPr="00B0658A" w:rsidRDefault="00D12D06" w:rsidP="000A4114">
            <w:pPr>
              <w:spacing w:after="0" w:line="240" w:lineRule="auto"/>
              <w:jc w:val="both"/>
              <w:rPr>
                <w:rFonts w:ascii="Times New Roman" w:hAnsi="Times New Roman"/>
                <w:i/>
                <w:iCs/>
                <w:sz w:val="20"/>
                <w:szCs w:val="20"/>
              </w:rPr>
            </w:pPr>
          </w:p>
        </w:tc>
      </w:tr>
      <w:tr w:rsidR="00F52FED" w:rsidRPr="00B0658A" w14:paraId="77AB85A8" w14:textId="77777777" w:rsidTr="00B10FDE">
        <w:trPr>
          <w:trHeight w:val="170"/>
        </w:trPr>
        <w:tc>
          <w:tcPr>
            <w:tcW w:w="0" w:type="auto"/>
            <w:shd w:val="clear" w:color="auto" w:fill="auto"/>
          </w:tcPr>
          <w:p w14:paraId="080F5612" w14:textId="77777777" w:rsidR="00D12D06" w:rsidRPr="00B0658A" w:rsidDel="00EC4B3C" w:rsidRDefault="00D12D06" w:rsidP="000A4114">
            <w:pPr>
              <w:spacing w:after="0" w:line="240" w:lineRule="auto"/>
              <w:rPr>
                <w:rFonts w:ascii="Times New Roman" w:hAnsi="Times New Roman"/>
                <w:b/>
                <w:sz w:val="20"/>
                <w:szCs w:val="20"/>
              </w:rPr>
            </w:pPr>
            <w:r w:rsidRPr="00B0658A">
              <w:rPr>
                <w:rFonts w:ascii="Times New Roman" w:hAnsi="Times New Roman"/>
                <w:sz w:val="18"/>
                <w:szCs w:val="18"/>
              </w:rPr>
              <w:t>5.8</w:t>
            </w:r>
          </w:p>
        </w:tc>
        <w:tc>
          <w:tcPr>
            <w:tcW w:w="3432" w:type="dxa"/>
            <w:shd w:val="clear" w:color="auto" w:fill="auto"/>
            <w:vAlign w:val="center"/>
          </w:tcPr>
          <w:p w14:paraId="4F659DA5" w14:textId="77777777" w:rsidR="00D12D06" w:rsidRPr="00B0658A" w:rsidRDefault="00D12D06" w:rsidP="000A4114">
            <w:pPr>
              <w:spacing w:after="0" w:line="240" w:lineRule="auto"/>
              <w:rPr>
                <w:rFonts w:ascii="Times New Roman" w:hAnsi="Times New Roman"/>
                <w:b/>
                <w:sz w:val="20"/>
                <w:szCs w:val="20"/>
              </w:rPr>
            </w:pPr>
            <w:r w:rsidRPr="00B0658A">
              <w:rPr>
                <w:rFonts w:ascii="Times New Roman" w:hAnsi="Times New Roman"/>
                <w:sz w:val="18"/>
                <w:szCs w:val="18"/>
              </w:rPr>
              <w:t>Прикладное программное обеспечение/ Средства управления контактными центрами</w:t>
            </w:r>
          </w:p>
        </w:tc>
        <w:tc>
          <w:tcPr>
            <w:tcW w:w="1256" w:type="dxa"/>
          </w:tcPr>
          <w:p w14:paraId="085DAA1F"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0C541F50"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1241EE72"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06654F9A" w14:textId="77777777" w:rsidR="00D12D06" w:rsidRPr="00B0658A" w:rsidRDefault="00D12D06" w:rsidP="000A4114">
            <w:pPr>
              <w:spacing w:after="0" w:line="240" w:lineRule="auto"/>
              <w:jc w:val="both"/>
              <w:rPr>
                <w:rFonts w:ascii="Times New Roman" w:hAnsi="Times New Roman"/>
                <w:i/>
                <w:iCs/>
                <w:sz w:val="20"/>
                <w:szCs w:val="20"/>
              </w:rPr>
            </w:pPr>
          </w:p>
        </w:tc>
      </w:tr>
      <w:tr w:rsidR="00F52FED" w:rsidRPr="00B0658A" w14:paraId="19907F24" w14:textId="77777777" w:rsidTr="00B10FDE">
        <w:trPr>
          <w:trHeight w:val="170"/>
        </w:trPr>
        <w:tc>
          <w:tcPr>
            <w:tcW w:w="0" w:type="auto"/>
            <w:shd w:val="clear" w:color="auto" w:fill="auto"/>
          </w:tcPr>
          <w:p w14:paraId="0A337F83" w14:textId="77777777" w:rsidR="00D12D06" w:rsidRPr="00B0658A" w:rsidDel="00EC4B3C" w:rsidRDefault="00D12D06" w:rsidP="000A4114">
            <w:pPr>
              <w:spacing w:after="0" w:line="240" w:lineRule="auto"/>
              <w:rPr>
                <w:rFonts w:ascii="Times New Roman" w:hAnsi="Times New Roman"/>
                <w:b/>
                <w:sz w:val="20"/>
                <w:szCs w:val="20"/>
              </w:rPr>
            </w:pPr>
            <w:r w:rsidRPr="00B0658A">
              <w:rPr>
                <w:rFonts w:ascii="Times New Roman" w:hAnsi="Times New Roman"/>
                <w:sz w:val="18"/>
                <w:szCs w:val="18"/>
              </w:rPr>
              <w:t>5.9</w:t>
            </w:r>
          </w:p>
        </w:tc>
        <w:tc>
          <w:tcPr>
            <w:tcW w:w="3432" w:type="dxa"/>
            <w:shd w:val="clear" w:color="auto" w:fill="auto"/>
            <w:vAlign w:val="center"/>
          </w:tcPr>
          <w:p w14:paraId="74AF7344" w14:textId="77777777" w:rsidR="00D12D06" w:rsidRPr="00B0658A" w:rsidRDefault="00D12D06" w:rsidP="000A4114">
            <w:pPr>
              <w:spacing w:after="0" w:line="240" w:lineRule="auto"/>
              <w:rPr>
                <w:rFonts w:ascii="Times New Roman" w:hAnsi="Times New Roman"/>
                <w:b/>
                <w:sz w:val="20"/>
                <w:szCs w:val="20"/>
              </w:rPr>
            </w:pPr>
            <w:r w:rsidRPr="00B0658A">
              <w:rPr>
                <w:rFonts w:ascii="Times New Roman" w:hAnsi="Times New Roman"/>
                <w:sz w:val="18"/>
                <w:szCs w:val="18"/>
              </w:rPr>
              <w:t>Прикладное программное обеспечение/ Средства управления диалоговыми роботами (чат-боты и голосовые роботы)</w:t>
            </w:r>
          </w:p>
        </w:tc>
        <w:tc>
          <w:tcPr>
            <w:tcW w:w="1256" w:type="dxa"/>
          </w:tcPr>
          <w:p w14:paraId="09E5FE21"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5752E65E"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225C8EB3"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53DB27BE" w14:textId="77777777" w:rsidR="00D12D06" w:rsidRPr="00B0658A" w:rsidRDefault="00D12D06" w:rsidP="000A4114">
            <w:pPr>
              <w:spacing w:after="0" w:line="240" w:lineRule="auto"/>
              <w:jc w:val="both"/>
              <w:rPr>
                <w:rFonts w:ascii="Times New Roman" w:hAnsi="Times New Roman"/>
                <w:i/>
                <w:iCs/>
                <w:sz w:val="20"/>
                <w:szCs w:val="20"/>
              </w:rPr>
            </w:pPr>
          </w:p>
        </w:tc>
      </w:tr>
      <w:tr w:rsidR="00F52FED" w:rsidRPr="00B0658A" w14:paraId="592F0F19" w14:textId="77777777" w:rsidTr="00B10FDE">
        <w:trPr>
          <w:trHeight w:val="170"/>
        </w:trPr>
        <w:tc>
          <w:tcPr>
            <w:tcW w:w="0" w:type="auto"/>
            <w:shd w:val="clear" w:color="auto" w:fill="auto"/>
          </w:tcPr>
          <w:p w14:paraId="576A36C2" w14:textId="77777777" w:rsidR="00D12D06" w:rsidRPr="00B0658A" w:rsidDel="00EC4B3C" w:rsidRDefault="00D12D06" w:rsidP="000A4114">
            <w:pPr>
              <w:spacing w:after="0" w:line="240" w:lineRule="auto"/>
              <w:rPr>
                <w:rFonts w:ascii="Times New Roman" w:hAnsi="Times New Roman"/>
                <w:b/>
                <w:sz w:val="20"/>
                <w:szCs w:val="20"/>
              </w:rPr>
            </w:pPr>
            <w:r w:rsidRPr="00B0658A">
              <w:rPr>
                <w:rFonts w:ascii="Times New Roman" w:hAnsi="Times New Roman"/>
                <w:sz w:val="18"/>
                <w:szCs w:val="18"/>
              </w:rPr>
              <w:t>5.10</w:t>
            </w:r>
          </w:p>
        </w:tc>
        <w:tc>
          <w:tcPr>
            <w:tcW w:w="3432" w:type="dxa"/>
            <w:shd w:val="clear" w:color="auto" w:fill="auto"/>
            <w:vAlign w:val="center"/>
          </w:tcPr>
          <w:p w14:paraId="20C39089" w14:textId="77777777" w:rsidR="00D12D06" w:rsidRPr="00B0658A" w:rsidRDefault="00D12D06" w:rsidP="000A4114">
            <w:pPr>
              <w:spacing w:after="0" w:line="240" w:lineRule="auto"/>
              <w:rPr>
                <w:rFonts w:ascii="Times New Roman" w:hAnsi="Times New Roman"/>
                <w:b/>
                <w:sz w:val="20"/>
                <w:szCs w:val="20"/>
              </w:rPr>
            </w:pPr>
            <w:r w:rsidRPr="00B0658A">
              <w:rPr>
                <w:rFonts w:ascii="Times New Roman" w:hAnsi="Times New Roman"/>
                <w:sz w:val="18"/>
                <w:szCs w:val="18"/>
              </w:rPr>
              <w:t>Прикладное программное обеспечение/ Базы знаний</w:t>
            </w:r>
          </w:p>
        </w:tc>
        <w:tc>
          <w:tcPr>
            <w:tcW w:w="1256" w:type="dxa"/>
          </w:tcPr>
          <w:p w14:paraId="098CAC5E"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74BD4865"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1C8F3804"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3D64A587" w14:textId="77777777" w:rsidR="00D12D06" w:rsidRPr="00B0658A" w:rsidRDefault="00D12D06" w:rsidP="000A4114">
            <w:pPr>
              <w:spacing w:after="0" w:line="240" w:lineRule="auto"/>
              <w:jc w:val="both"/>
              <w:rPr>
                <w:rFonts w:ascii="Times New Roman" w:hAnsi="Times New Roman"/>
                <w:i/>
                <w:iCs/>
                <w:sz w:val="20"/>
                <w:szCs w:val="20"/>
              </w:rPr>
            </w:pPr>
          </w:p>
        </w:tc>
      </w:tr>
      <w:tr w:rsidR="00F52FED" w:rsidRPr="00B0658A" w14:paraId="61247C7C" w14:textId="77777777" w:rsidTr="00B10FDE">
        <w:trPr>
          <w:trHeight w:val="170"/>
        </w:trPr>
        <w:tc>
          <w:tcPr>
            <w:tcW w:w="0" w:type="auto"/>
            <w:shd w:val="clear" w:color="auto" w:fill="auto"/>
          </w:tcPr>
          <w:p w14:paraId="7D6310DD" w14:textId="77777777" w:rsidR="00D12D06" w:rsidRPr="00B0658A" w:rsidDel="00EC4B3C" w:rsidRDefault="00D12D06" w:rsidP="000A4114">
            <w:pPr>
              <w:spacing w:after="0" w:line="240" w:lineRule="auto"/>
              <w:rPr>
                <w:rFonts w:ascii="Times New Roman" w:hAnsi="Times New Roman"/>
                <w:b/>
                <w:sz w:val="20"/>
                <w:szCs w:val="20"/>
              </w:rPr>
            </w:pPr>
            <w:r w:rsidRPr="00B0658A">
              <w:rPr>
                <w:rFonts w:ascii="Times New Roman" w:hAnsi="Times New Roman"/>
                <w:sz w:val="18"/>
                <w:szCs w:val="18"/>
              </w:rPr>
              <w:t>5.11</w:t>
            </w:r>
          </w:p>
        </w:tc>
        <w:tc>
          <w:tcPr>
            <w:tcW w:w="3432" w:type="dxa"/>
            <w:shd w:val="clear" w:color="auto" w:fill="auto"/>
            <w:vAlign w:val="center"/>
          </w:tcPr>
          <w:p w14:paraId="5C8AE5DF" w14:textId="77777777" w:rsidR="00D12D06" w:rsidRPr="00B0658A" w:rsidRDefault="00D12D06" w:rsidP="000A4114">
            <w:pPr>
              <w:spacing w:after="0" w:line="240" w:lineRule="auto"/>
              <w:rPr>
                <w:rFonts w:ascii="Times New Roman" w:hAnsi="Times New Roman"/>
                <w:b/>
                <w:sz w:val="20"/>
                <w:szCs w:val="20"/>
              </w:rPr>
            </w:pPr>
            <w:r w:rsidRPr="00B0658A">
              <w:rPr>
                <w:rFonts w:ascii="Times New Roman" w:hAnsi="Times New Roman"/>
                <w:sz w:val="18"/>
                <w:szCs w:val="18"/>
              </w:rPr>
              <w:t>Прикладное программное обеспечение/ Интеллектуальные средства управления экспертной деятельностью</w:t>
            </w:r>
          </w:p>
        </w:tc>
        <w:tc>
          <w:tcPr>
            <w:tcW w:w="1256" w:type="dxa"/>
          </w:tcPr>
          <w:p w14:paraId="57A171F4"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679D8497"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20F484BA"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5F948E50" w14:textId="77777777" w:rsidR="00D12D06" w:rsidRPr="00B0658A" w:rsidRDefault="00D12D06" w:rsidP="000A4114">
            <w:pPr>
              <w:spacing w:after="0" w:line="240" w:lineRule="auto"/>
              <w:jc w:val="both"/>
              <w:rPr>
                <w:rFonts w:ascii="Times New Roman" w:hAnsi="Times New Roman"/>
                <w:i/>
                <w:iCs/>
                <w:sz w:val="20"/>
                <w:szCs w:val="20"/>
              </w:rPr>
            </w:pPr>
          </w:p>
        </w:tc>
      </w:tr>
      <w:tr w:rsidR="00F52FED" w:rsidRPr="00B0658A" w14:paraId="6D0B4F40" w14:textId="77777777" w:rsidTr="00B10FDE">
        <w:trPr>
          <w:trHeight w:val="170"/>
        </w:trPr>
        <w:tc>
          <w:tcPr>
            <w:tcW w:w="0" w:type="auto"/>
            <w:shd w:val="clear" w:color="auto" w:fill="auto"/>
          </w:tcPr>
          <w:p w14:paraId="4FC890B0" w14:textId="77777777" w:rsidR="00D12D06" w:rsidRPr="00B0658A" w:rsidDel="00EC4B3C" w:rsidRDefault="00D12D06" w:rsidP="000A4114">
            <w:pPr>
              <w:spacing w:after="0" w:line="240" w:lineRule="auto"/>
              <w:rPr>
                <w:rFonts w:ascii="Times New Roman" w:hAnsi="Times New Roman"/>
                <w:b/>
                <w:sz w:val="20"/>
                <w:szCs w:val="20"/>
              </w:rPr>
            </w:pPr>
            <w:r w:rsidRPr="00B0658A">
              <w:rPr>
                <w:rFonts w:ascii="Times New Roman" w:hAnsi="Times New Roman"/>
                <w:sz w:val="18"/>
                <w:szCs w:val="18"/>
              </w:rPr>
              <w:t>5.12</w:t>
            </w:r>
          </w:p>
        </w:tc>
        <w:tc>
          <w:tcPr>
            <w:tcW w:w="3432" w:type="dxa"/>
            <w:shd w:val="clear" w:color="auto" w:fill="auto"/>
            <w:vAlign w:val="center"/>
          </w:tcPr>
          <w:p w14:paraId="5C63A280" w14:textId="77777777" w:rsidR="00D12D06" w:rsidRPr="00B0658A" w:rsidRDefault="00D12D06" w:rsidP="000A4114">
            <w:pPr>
              <w:spacing w:after="0" w:line="240" w:lineRule="auto"/>
              <w:rPr>
                <w:rFonts w:ascii="Times New Roman" w:hAnsi="Times New Roman"/>
                <w:b/>
                <w:sz w:val="20"/>
                <w:szCs w:val="20"/>
              </w:rPr>
            </w:pPr>
            <w:r w:rsidRPr="00B0658A">
              <w:rPr>
                <w:rFonts w:ascii="Times New Roman" w:hAnsi="Times New Roman"/>
                <w:sz w:val="18"/>
                <w:szCs w:val="18"/>
              </w:rPr>
              <w:t xml:space="preserve">Прикладное программное обеспечение/ Интеллектуальные средства разработки </w:t>
            </w:r>
            <w:r w:rsidRPr="00B0658A">
              <w:rPr>
                <w:rFonts w:ascii="Times New Roman" w:hAnsi="Times New Roman"/>
                <w:sz w:val="18"/>
                <w:szCs w:val="18"/>
              </w:rPr>
              <w:br/>
              <w:t xml:space="preserve">и управления стандартами </w:t>
            </w:r>
            <w:r w:rsidRPr="00B0658A">
              <w:rPr>
                <w:rFonts w:ascii="Times New Roman" w:hAnsi="Times New Roman"/>
                <w:sz w:val="18"/>
                <w:szCs w:val="18"/>
              </w:rPr>
              <w:br/>
              <w:t>и нормативами</w:t>
            </w:r>
          </w:p>
        </w:tc>
        <w:tc>
          <w:tcPr>
            <w:tcW w:w="1256" w:type="dxa"/>
          </w:tcPr>
          <w:p w14:paraId="755DFE49"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31F1250A"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0B26C77A"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69BF5ACD" w14:textId="77777777" w:rsidR="00D12D06" w:rsidRPr="00B0658A" w:rsidRDefault="00D12D06" w:rsidP="000A4114">
            <w:pPr>
              <w:spacing w:after="0" w:line="240" w:lineRule="auto"/>
              <w:jc w:val="both"/>
              <w:rPr>
                <w:rFonts w:ascii="Times New Roman" w:hAnsi="Times New Roman"/>
                <w:i/>
                <w:iCs/>
                <w:sz w:val="20"/>
                <w:szCs w:val="20"/>
              </w:rPr>
            </w:pPr>
          </w:p>
        </w:tc>
      </w:tr>
      <w:tr w:rsidR="00F52FED" w:rsidRPr="00B0658A" w14:paraId="0CE216BF" w14:textId="77777777" w:rsidTr="00B10FDE">
        <w:trPr>
          <w:trHeight w:val="170"/>
        </w:trPr>
        <w:tc>
          <w:tcPr>
            <w:tcW w:w="0" w:type="auto"/>
            <w:shd w:val="clear" w:color="auto" w:fill="auto"/>
          </w:tcPr>
          <w:p w14:paraId="65EC2FDA" w14:textId="77777777" w:rsidR="00D12D06" w:rsidRPr="00B0658A" w:rsidDel="00EC4B3C" w:rsidRDefault="00D12D06" w:rsidP="000A4114">
            <w:pPr>
              <w:spacing w:after="0" w:line="240" w:lineRule="auto"/>
              <w:rPr>
                <w:rFonts w:ascii="Times New Roman" w:hAnsi="Times New Roman"/>
                <w:b/>
                <w:sz w:val="20"/>
                <w:szCs w:val="20"/>
              </w:rPr>
            </w:pPr>
            <w:r w:rsidRPr="00B0658A">
              <w:rPr>
                <w:rFonts w:ascii="Times New Roman" w:hAnsi="Times New Roman"/>
                <w:sz w:val="18"/>
                <w:szCs w:val="18"/>
              </w:rPr>
              <w:t>5.13</w:t>
            </w:r>
          </w:p>
        </w:tc>
        <w:tc>
          <w:tcPr>
            <w:tcW w:w="3432" w:type="dxa"/>
            <w:shd w:val="clear" w:color="auto" w:fill="auto"/>
            <w:vAlign w:val="center"/>
          </w:tcPr>
          <w:p w14:paraId="30F4A3B9" w14:textId="77777777" w:rsidR="00D12D06" w:rsidRPr="00B0658A" w:rsidRDefault="00D12D06" w:rsidP="000A4114">
            <w:pPr>
              <w:spacing w:after="0" w:line="240" w:lineRule="auto"/>
              <w:rPr>
                <w:rFonts w:ascii="Times New Roman" w:hAnsi="Times New Roman"/>
                <w:b/>
                <w:sz w:val="20"/>
                <w:szCs w:val="20"/>
              </w:rPr>
            </w:pPr>
            <w:r w:rsidRPr="00B0658A">
              <w:rPr>
                <w:rFonts w:ascii="Times New Roman" w:hAnsi="Times New Roman"/>
                <w:sz w:val="18"/>
                <w:szCs w:val="18"/>
              </w:rPr>
              <w:t>Прикладное программное обеспечение/ Средства интеллектуальной обработки информации и интеллектуального анализа бизнес-процессов</w:t>
            </w:r>
          </w:p>
        </w:tc>
        <w:tc>
          <w:tcPr>
            <w:tcW w:w="1256" w:type="dxa"/>
          </w:tcPr>
          <w:p w14:paraId="3439CEC5"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28BE17E3"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1FA71B69"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68D34A9B" w14:textId="77777777" w:rsidR="00D12D06" w:rsidRPr="00B0658A" w:rsidRDefault="00D12D06" w:rsidP="000A4114">
            <w:pPr>
              <w:spacing w:after="0" w:line="240" w:lineRule="auto"/>
              <w:jc w:val="both"/>
              <w:rPr>
                <w:rFonts w:ascii="Times New Roman" w:hAnsi="Times New Roman"/>
                <w:i/>
                <w:iCs/>
                <w:sz w:val="20"/>
                <w:szCs w:val="20"/>
              </w:rPr>
            </w:pPr>
          </w:p>
        </w:tc>
      </w:tr>
      <w:tr w:rsidR="00F52FED" w:rsidRPr="00B0658A" w14:paraId="5811EE12" w14:textId="77777777" w:rsidTr="00B10FDE">
        <w:trPr>
          <w:trHeight w:val="170"/>
        </w:trPr>
        <w:tc>
          <w:tcPr>
            <w:tcW w:w="0" w:type="auto"/>
            <w:shd w:val="clear" w:color="auto" w:fill="auto"/>
          </w:tcPr>
          <w:p w14:paraId="588F4938" w14:textId="77777777" w:rsidR="00D12D06" w:rsidRPr="00B0658A" w:rsidDel="00EC4B3C" w:rsidRDefault="00D12D06" w:rsidP="000A4114">
            <w:pPr>
              <w:spacing w:after="0" w:line="240" w:lineRule="auto"/>
              <w:rPr>
                <w:rFonts w:ascii="Times New Roman" w:hAnsi="Times New Roman"/>
                <w:b/>
                <w:sz w:val="20"/>
                <w:szCs w:val="20"/>
              </w:rPr>
            </w:pPr>
            <w:r w:rsidRPr="00B0658A">
              <w:rPr>
                <w:rFonts w:ascii="Times New Roman" w:hAnsi="Times New Roman"/>
                <w:sz w:val="18"/>
                <w:szCs w:val="18"/>
              </w:rPr>
              <w:t>5.14</w:t>
            </w:r>
          </w:p>
        </w:tc>
        <w:tc>
          <w:tcPr>
            <w:tcW w:w="3432" w:type="dxa"/>
            <w:shd w:val="clear" w:color="auto" w:fill="auto"/>
            <w:vAlign w:val="center"/>
          </w:tcPr>
          <w:p w14:paraId="0BF8CD27" w14:textId="77777777" w:rsidR="00D12D06" w:rsidRPr="00B0658A" w:rsidRDefault="00D12D06" w:rsidP="000A4114">
            <w:pPr>
              <w:spacing w:after="0" w:line="240" w:lineRule="auto"/>
              <w:rPr>
                <w:rFonts w:ascii="Times New Roman" w:hAnsi="Times New Roman"/>
                <w:b/>
                <w:sz w:val="20"/>
                <w:szCs w:val="20"/>
              </w:rPr>
            </w:pPr>
            <w:r w:rsidRPr="00B0658A">
              <w:rPr>
                <w:rFonts w:ascii="Times New Roman" w:hAnsi="Times New Roman"/>
                <w:sz w:val="18"/>
                <w:szCs w:val="18"/>
              </w:rPr>
              <w:t>Прикладное программное обеспечение/ Справочно-правовые системы</w:t>
            </w:r>
          </w:p>
        </w:tc>
        <w:tc>
          <w:tcPr>
            <w:tcW w:w="1256" w:type="dxa"/>
          </w:tcPr>
          <w:p w14:paraId="62E3028B"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39E5833C"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34E86E7D"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53E37525" w14:textId="77777777" w:rsidR="00D12D06" w:rsidRPr="00B0658A" w:rsidRDefault="00D12D06" w:rsidP="000A4114">
            <w:pPr>
              <w:spacing w:after="0" w:line="240" w:lineRule="auto"/>
              <w:jc w:val="both"/>
              <w:rPr>
                <w:rFonts w:ascii="Times New Roman" w:hAnsi="Times New Roman"/>
                <w:i/>
                <w:iCs/>
                <w:sz w:val="20"/>
                <w:szCs w:val="20"/>
              </w:rPr>
            </w:pPr>
          </w:p>
        </w:tc>
      </w:tr>
      <w:tr w:rsidR="00F52FED" w:rsidRPr="00B0658A" w14:paraId="43D68951" w14:textId="77777777" w:rsidTr="00B10FDE">
        <w:trPr>
          <w:trHeight w:val="170"/>
        </w:trPr>
        <w:tc>
          <w:tcPr>
            <w:tcW w:w="0" w:type="auto"/>
            <w:shd w:val="clear" w:color="auto" w:fill="auto"/>
          </w:tcPr>
          <w:p w14:paraId="42E71C61" w14:textId="77777777" w:rsidR="00D12D06" w:rsidRPr="00B0658A" w:rsidDel="00EC4B3C" w:rsidRDefault="00D12D06" w:rsidP="000A4114">
            <w:pPr>
              <w:spacing w:after="0" w:line="240" w:lineRule="auto"/>
              <w:rPr>
                <w:rFonts w:ascii="Times New Roman" w:hAnsi="Times New Roman"/>
                <w:b/>
                <w:sz w:val="20"/>
                <w:szCs w:val="20"/>
              </w:rPr>
            </w:pPr>
            <w:r w:rsidRPr="00B0658A">
              <w:rPr>
                <w:rFonts w:ascii="Times New Roman" w:hAnsi="Times New Roman"/>
                <w:sz w:val="18"/>
                <w:szCs w:val="18"/>
              </w:rPr>
              <w:t>5.15</w:t>
            </w:r>
          </w:p>
        </w:tc>
        <w:tc>
          <w:tcPr>
            <w:tcW w:w="3432" w:type="dxa"/>
            <w:shd w:val="clear" w:color="auto" w:fill="auto"/>
            <w:vAlign w:val="center"/>
          </w:tcPr>
          <w:p w14:paraId="37388809" w14:textId="77777777" w:rsidR="00D12D06" w:rsidRPr="00B0658A" w:rsidRDefault="00D12D06" w:rsidP="000A4114">
            <w:pPr>
              <w:spacing w:after="0" w:line="240" w:lineRule="auto"/>
              <w:rPr>
                <w:rFonts w:ascii="Times New Roman" w:hAnsi="Times New Roman"/>
                <w:b/>
                <w:sz w:val="20"/>
                <w:szCs w:val="20"/>
              </w:rPr>
            </w:pPr>
            <w:r w:rsidRPr="00B0658A">
              <w:rPr>
                <w:rFonts w:ascii="Times New Roman" w:hAnsi="Times New Roman"/>
                <w:sz w:val="18"/>
                <w:szCs w:val="18"/>
              </w:rPr>
              <w:t>Прикладное программное обеспечение/ Информационные системы для решения специфических отраслевых задач</w:t>
            </w:r>
          </w:p>
        </w:tc>
        <w:tc>
          <w:tcPr>
            <w:tcW w:w="1256" w:type="dxa"/>
          </w:tcPr>
          <w:p w14:paraId="0EC79019"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18EFC5DB"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418633EE"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54831557" w14:textId="77777777" w:rsidR="00D12D06" w:rsidRPr="00B0658A" w:rsidRDefault="00D12D06" w:rsidP="000A4114">
            <w:pPr>
              <w:spacing w:after="0" w:line="240" w:lineRule="auto"/>
              <w:jc w:val="both"/>
              <w:rPr>
                <w:rFonts w:ascii="Times New Roman" w:hAnsi="Times New Roman"/>
                <w:i/>
                <w:iCs/>
                <w:sz w:val="20"/>
                <w:szCs w:val="20"/>
              </w:rPr>
            </w:pPr>
          </w:p>
        </w:tc>
      </w:tr>
      <w:tr w:rsidR="00F52FED" w:rsidRPr="00B0658A" w14:paraId="276600A2" w14:textId="77777777" w:rsidTr="00B10FDE">
        <w:trPr>
          <w:trHeight w:val="170"/>
        </w:trPr>
        <w:tc>
          <w:tcPr>
            <w:tcW w:w="0" w:type="auto"/>
            <w:shd w:val="clear" w:color="auto" w:fill="auto"/>
          </w:tcPr>
          <w:p w14:paraId="185EB2AF" w14:textId="77777777" w:rsidR="00D12D06" w:rsidRPr="00B0658A" w:rsidDel="00EC4B3C" w:rsidRDefault="00D12D06" w:rsidP="000A4114">
            <w:pPr>
              <w:spacing w:after="0" w:line="240" w:lineRule="auto"/>
              <w:rPr>
                <w:rFonts w:ascii="Times New Roman" w:hAnsi="Times New Roman"/>
                <w:b/>
                <w:sz w:val="20"/>
                <w:szCs w:val="20"/>
              </w:rPr>
            </w:pPr>
            <w:r w:rsidRPr="00B0658A">
              <w:rPr>
                <w:rFonts w:ascii="Times New Roman" w:hAnsi="Times New Roman"/>
                <w:sz w:val="18"/>
                <w:szCs w:val="18"/>
              </w:rPr>
              <w:t>5.16</w:t>
            </w:r>
          </w:p>
        </w:tc>
        <w:tc>
          <w:tcPr>
            <w:tcW w:w="3432" w:type="dxa"/>
            <w:shd w:val="clear" w:color="auto" w:fill="auto"/>
            <w:vAlign w:val="center"/>
          </w:tcPr>
          <w:p w14:paraId="03F99747" w14:textId="77777777" w:rsidR="00D12D06" w:rsidRPr="00B0658A" w:rsidRDefault="00D12D06" w:rsidP="000A4114">
            <w:pPr>
              <w:spacing w:after="0" w:line="240" w:lineRule="auto"/>
              <w:rPr>
                <w:rFonts w:ascii="Times New Roman" w:hAnsi="Times New Roman"/>
                <w:b/>
                <w:sz w:val="20"/>
                <w:szCs w:val="20"/>
              </w:rPr>
            </w:pPr>
            <w:r w:rsidRPr="00B0658A">
              <w:rPr>
                <w:rFonts w:ascii="Times New Roman" w:hAnsi="Times New Roman"/>
                <w:sz w:val="18"/>
                <w:szCs w:val="18"/>
              </w:rPr>
              <w:t>Прикладное программное обеспечение/ Автоматизированные информационные системы оформления воздушных перевозок</w:t>
            </w:r>
          </w:p>
        </w:tc>
        <w:tc>
          <w:tcPr>
            <w:tcW w:w="1256" w:type="dxa"/>
          </w:tcPr>
          <w:p w14:paraId="192D3F02"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77D6FCC0"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0DAB4777"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7EE1617D" w14:textId="77777777" w:rsidR="00D12D06" w:rsidRPr="00B0658A" w:rsidRDefault="00D12D06" w:rsidP="000A4114">
            <w:pPr>
              <w:spacing w:after="0" w:line="240" w:lineRule="auto"/>
              <w:jc w:val="both"/>
              <w:rPr>
                <w:rFonts w:ascii="Times New Roman" w:hAnsi="Times New Roman"/>
                <w:i/>
                <w:iCs/>
                <w:sz w:val="20"/>
                <w:szCs w:val="20"/>
              </w:rPr>
            </w:pPr>
          </w:p>
        </w:tc>
      </w:tr>
      <w:tr w:rsidR="00F52FED" w:rsidRPr="00B0658A" w14:paraId="563CCC5D" w14:textId="77777777" w:rsidTr="00B10FDE">
        <w:trPr>
          <w:trHeight w:val="170"/>
        </w:trPr>
        <w:tc>
          <w:tcPr>
            <w:tcW w:w="0" w:type="auto"/>
            <w:shd w:val="clear" w:color="auto" w:fill="auto"/>
          </w:tcPr>
          <w:p w14:paraId="0F330306" w14:textId="77777777" w:rsidR="00D12D06" w:rsidRPr="00B0658A" w:rsidRDefault="00D12D06" w:rsidP="000A4114">
            <w:pPr>
              <w:spacing w:after="0" w:line="240" w:lineRule="auto"/>
              <w:rPr>
                <w:rFonts w:ascii="Times New Roman" w:hAnsi="Times New Roman"/>
                <w:sz w:val="20"/>
                <w:szCs w:val="20"/>
              </w:rPr>
            </w:pPr>
            <w:r w:rsidRPr="00B0658A">
              <w:rPr>
                <w:rFonts w:ascii="Times New Roman" w:hAnsi="Times New Roman"/>
                <w:sz w:val="18"/>
                <w:szCs w:val="18"/>
              </w:rPr>
              <w:t>6.1</w:t>
            </w:r>
          </w:p>
        </w:tc>
        <w:tc>
          <w:tcPr>
            <w:tcW w:w="3432" w:type="dxa"/>
            <w:shd w:val="clear" w:color="auto" w:fill="auto"/>
            <w:vAlign w:val="center"/>
          </w:tcPr>
          <w:p w14:paraId="3307AB30" w14:textId="77777777" w:rsidR="00D12D06" w:rsidRPr="00B0658A" w:rsidRDefault="00D12D06" w:rsidP="000A4114">
            <w:pPr>
              <w:spacing w:after="0" w:line="240" w:lineRule="auto"/>
              <w:rPr>
                <w:rFonts w:ascii="Times New Roman" w:hAnsi="Times New Roman"/>
                <w:sz w:val="20"/>
                <w:szCs w:val="20"/>
              </w:rPr>
            </w:pPr>
            <w:r w:rsidRPr="00B0658A">
              <w:rPr>
                <w:rFonts w:ascii="Times New Roman" w:hAnsi="Times New Roman"/>
                <w:sz w:val="18"/>
                <w:szCs w:val="18"/>
              </w:rPr>
              <w:t>Офисные приложения/ Файловые менеджеры</w:t>
            </w:r>
          </w:p>
        </w:tc>
        <w:tc>
          <w:tcPr>
            <w:tcW w:w="1256" w:type="dxa"/>
          </w:tcPr>
          <w:p w14:paraId="483F1825"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378E16C3"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610C1014"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26D1B5EB" w14:textId="77777777" w:rsidR="00D12D06" w:rsidRPr="00B0658A" w:rsidRDefault="00D12D06" w:rsidP="000A4114">
            <w:pPr>
              <w:spacing w:after="0" w:line="240" w:lineRule="auto"/>
              <w:jc w:val="both"/>
              <w:rPr>
                <w:rFonts w:ascii="Times New Roman" w:hAnsi="Times New Roman"/>
                <w:i/>
                <w:iCs/>
                <w:sz w:val="20"/>
                <w:szCs w:val="20"/>
              </w:rPr>
            </w:pPr>
          </w:p>
        </w:tc>
      </w:tr>
      <w:tr w:rsidR="00F52FED" w:rsidRPr="00B0658A" w14:paraId="1AA91D13" w14:textId="77777777" w:rsidTr="00B10FDE">
        <w:trPr>
          <w:trHeight w:val="170"/>
        </w:trPr>
        <w:tc>
          <w:tcPr>
            <w:tcW w:w="0" w:type="auto"/>
            <w:shd w:val="clear" w:color="auto" w:fill="auto"/>
          </w:tcPr>
          <w:p w14:paraId="7578FD60" w14:textId="77777777" w:rsidR="00D12D06" w:rsidRPr="00B0658A" w:rsidRDefault="00D12D06" w:rsidP="000A4114">
            <w:pPr>
              <w:spacing w:after="0" w:line="240" w:lineRule="auto"/>
              <w:rPr>
                <w:rFonts w:ascii="Times New Roman" w:hAnsi="Times New Roman"/>
                <w:sz w:val="20"/>
                <w:szCs w:val="20"/>
              </w:rPr>
            </w:pPr>
            <w:r w:rsidRPr="00B0658A">
              <w:rPr>
                <w:rFonts w:ascii="Times New Roman" w:hAnsi="Times New Roman"/>
                <w:sz w:val="18"/>
                <w:szCs w:val="18"/>
              </w:rPr>
              <w:t>6.2</w:t>
            </w:r>
          </w:p>
        </w:tc>
        <w:tc>
          <w:tcPr>
            <w:tcW w:w="3432" w:type="dxa"/>
            <w:shd w:val="clear" w:color="auto" w:fill="auto"/>
            <w:vAlign w:val="center"/>
          </w:tcPr>
          <w:p w14:paraId="3D9D33CD" w14:textId="77777777" w:rsidR="00D12D06" w:rsidRPr="00B0658A" w:rsidRDefault="00D12D06" w:rsidP="000A4114">
            <w:pPr>
              <w:spacing w:after="0" w:line="240" w:lineRule="auto"/>
              <w:rPr>
                <w:rFonts w:ascii="Times New Roman" w:hAnsi="Times New Roman"/>
                <w:sz w:val="20"/>
                <w:szCs w:val="20"/>
              </w:rPr>
            </w:pPr>
            <w:r w:rsidRPr="00B0658A">
              <w:rPr>
                <w:rFonts w:ascii="Times New Roman" w:hAnsi="Times New Roman"/>
                <w:sz w:val="18"/>
                <w:szCs w:val="18"/>
              </w:rPr>
              <w:t>Офисные приложения/ Коммуникационное программное обеспечение</w:t>
            </w:r>
          </w:p>
        </w:tc>
        <w:tc>
          <w:tcPr>
            <w:tcW w:w="1256" w:type="dxa"/>
          </w:tcPr>
          <w:p w14:paraId="52D916EA"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6D50E7DF"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53DC402F"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439733C0" w14:textId="77777777" w:rsidR="00D12D06" w:rsidRPr="00B0658A" w:rsidRDefault="00D12D06" w:rsidP="000A4114">
            <w:pPr>
              <w:spacing w:after="0" w:line="240" w:lineRule="auto"/>
              <w:jc w:val="both"/>
              <w:rPr>
                <w:rFonts w:ascii="Times New Roman" w:hAnsi="Times New Roman"/>
                <w:i/>
                <w:iCs/>
                <w:sz w:val="20"/>
                <w:szCs w:val="20"/>
              </w:rPr>
            </w:pPr>
          </w:p>
        </w:tc>
      </w:tr>
      <w:tr w:rsidR="00F52FED" w:rsidRPr="00B0658A" w14:paraId="7A750780" w14:textId="77777777" w:rsidTr="00B10FDE">
        <w:trPr>
          <w:trHeight w:val="170"/>
        </w:trPr>
        <w:tc>
          <w:tcPr>
            <w:tcW w:w="0" w:type="auto"/>
            <w:shd w:val="clear" w:color="auto" w:fill="auto"/>
          </w:tcPr>
          <w:p w14:paraId="64CD30F3" w14:textId="77777777" w:rsidR="00D12D06" w:rsidRPr="00B0658A" w:rsidRDefault="00D12D06" w:rsidP="000A4114">
            <w:pPr>
              <w:spacing w:after="0" w:line="240" w:lineRule="auto"/>
              <w:rPr>
                <w:rFonts w:ascii="Times New Roman" w:hAnsi="Times New Roman"/>
                <w:sz w:val="20"/>
                <w:szCs w:val="20"/>
              </w:rPr>
            </w:pPr>
            <w:r w:rsidRPr="00B0658A">
              <w:rPr>
                <w:rFonts w:ascii="Times New Roman" w:hAnsi="Times New Roman"/>
                <w:sz w:val="18"/>
                <w:szCs w:val="18"/>
              </w:rPr>
              <w:t>6.3</w:t>
            </w:r>
          </w:p>
        </w:tc>
        <w:tc>
          <w:tcPr>
            <w:tcW w:w="3432" w:type="dxa"/>
            <w:shd w:val="clear" w:color="auto" w:fill="auto"/>
            <w:vAlign w:val="center"/>
          </w:tcPr>
          <w:p w14:paraId="2EDBCC52" w14:textId="77777777" w:rsidR="00D12D06" w:rsidRPr="00B0658A" w:rsidRDefault="00D12D06" w:rsidP="000A4114">
            <w:pPr>
              <w:spacing w:after="0" w:line="240" w:lineRule="auto"/>
              <w:rPr>
                <w:rFonts w:ascii="Times New Roman" w:hAnsi="Times New Roman"/>
                <w:sz w:val="20"/>
                <w:szCs w:val="20"/>
              </w:rPr>
            </w:pPr>
            <w:r w:rsidRPr="00B0658A">
              <w:rPr>
                <w:rFonts w:ascii="Times New Roman" w:hAnsi="Times New Roman"/>
                <w:sz w:val="18"/>
                <w:szCs w:val="18"/>
              </w:rPr>
              <w:t>Офисные приложения/ Офисные пакеты</w:t>
            </w:r>
          </w:p>
        </w:tc>
        <w:tc>
          <w:tcPr>
            <w:tcW w:w="1256" w:type="dxa"/>
          </w:tcPr>
          <w:p w14:paraId="413A2ACC"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6F88B91C"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6B3261AD"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06DA2974" w14:textId="77777777" w:rsidR="00D12D06" w:rsidRPr="00B0658A" w:rsidRDefault="00D12D06" w:rsidP="000A4114">
            <w:pPr>
              <w:spacing w:after="0" w:line="240" w:lineRule="auto"/>
              <w:jc w:val="both"/>
              <w:rPr>
                <w:rFonts w:ascii="Times New Roman" w:hAnsi="Times New Roman"/>
                <w:i/>
                <w:iCs/>
                <w:sz w:val="20"/>
                <w:szCs w:val="20"/>
              </w:rPr>
            </w:pPr>
          </w:p>
        </w:tc>
      </w:tr>
      <w:tr w:rsidR="00F52FED" w:rsidRPr="00B0658A" w14:paraId="604606C1" w14:textId="77777777" w:rsidTr="00B10FDE">
        <w:trPr>
          <w:trHeight w:val="170"/>
        </w:trPr>
        <w:tc>
          <w:tcPr>
            <w:tcW w:w="0" w:type="auto"/>
            <w:shd w:val="clear" w:color="auto" w:fill="auto"/>
          </w:tcPr>
          <w:p w14:paraId="76ADBAD3" w14:textId="77777777" w:rsidR="00D12D06" w:rsidRPr="00B0658A" w:rsidRDefault="00D12D06" w:rsidP="000A4114">
            <w:pPr>
              <w:spacing w:after="0" w:line="240" w:lineRule="auto"/>
              <w:rPr>
                <w:rFonts w:ascii="Times New Roman" w:hAnsi="Times New Roman"/>
                <w:sz w:val="20"/>
                <w:szCs w:val="20"/>
              </w:rPr>
            </w:pPr>
            <w:r w:rsidRPr="00B0658A">
              <w:rPr>
                <w:rFonts w:ascii="Times New Roman" w:hAnsi="Times New Roman"/>
                <w:sz w:val="18"/>
                <w:szCs w:val="18"/>
              </w:rPr>
              <w:t>6.4</w:t>
            </w:r>
          </w:p>
        </w:tc>
        <w:tc>
          <w:tcPr>
            <w:tcW w:w="3432" w:type="dxa"/>
            <w:shd w:val="clear" w:color="auto" w:fill="auto"/>
            <w:vAlign w:val="center"/>
          </w:tcPr>
          <w:p w14:paraId="01E51E47" w14:textId="77777777" w:rsidR="00D12D06" w:rsidRPr="00B0658A" w:rsidRDefault="00D12D06" w:rsidP="000A4114">
            <w:pPr>
              <w:spacing w:after="0" w:line="240" w:lineRule="auto"/>
              <w:rPr>
                <w:rFonts w:ascii="Times New Roman" w:hAnsi="Times New Roman"/>
                <w:sz w:val="20"/>
                <w:szCs w:val="20"/>
              </w:rPr>
            </w:pPr>
            <w:r w:rsidRPr="00B0658A">
              <w:rPr>
                <w:rFonts w:ascii="Times New Roman" w:hAnsi="Times New Roman"/>
                <w:sz w:val="18"/>
                <w:szCs w:val="18"/>
              </w:rPr>
              <w:t>Офисные приложения/ Почтовые приложения</w:t>
            </w:r>
          </w:p>
        </w:tc>
        <w:tc>
          <w:tcPr>
            <w:tcW w:w="1256" w:type="dxa"/>
          </w:tcPr>
          <w:p w14:paraId="4DC73361"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6E0AE2CF"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32AC167C"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0EE7737C" w14:textId="77777777" w:rsidR="00D12D06" w:rsidRPr="00B0658A" w:rsidRDefault="00D12D06" w:rsidP="000A4114">
            <w:pPr>
              <w:spacing w:after="0" w:line="240" w:lineRule="auto"/>
              <w:jc w:val="both"/>
              <w:rPr>
                <w:rFonts w:ascii="Times New Roman" w:hAnsi="Times New Roman"/>
                <w:i/>
                <w:iCs/>
                <w:sz w:val="20"/>
                <w:szCs w:val="20"/>
              </w:rPr>
            </w:pPr>
          </w:p>
        </w:tc>
      </w:tr>
      <w:tr w:rsidR="00F52FED" w:rsidRPr="00B0658A" w14:paraId="4C9C15AC" w14:textId="77777777" w:rsidTr="00B10FDE">
        <w:trPr>
          <w:trHeight w:val="170"/>
        </w:trPr>
        <w:tc>
          <w:tcPr>
            <w:tcW w:w="0" w:type="auto"/>
            <w:shd w:val="clear" w:color="auto" w:fill="auto"/>
          </w:tcPr>
          <w:p w14:paraId="797E087B" w14:textId="77777777" w:rsidR="00D12D06" w:rsidRPr="00B0658A" w:rsidRDefault="00D12D06" w:rsidP="000A4114">
            <w:pPr>
              <w:spacing w:after="0" w:line="240" w:lineRule="auto"/>
              <w:rPr>
                <w:rFonts w:ascii="Times New Roman" w:hAnsi="Times New Roman"/>
                <w:sz w:val="20"/>
                <w:szCs w:val="20"/>
              </w:rPr>
            </w:pPr>
            <w:r w:rsidRPr="00B0658A">
              <w:rPr>
                <w:rFonts w:ascii="Times New Roman" w:hAnsi="Times New Roman"/>
                <w:sz w:val="18"/>
                <w:szCs w:val="18"/>
              </w:rPr>
              <w:t>6.5</w:t>
            </w:r>
          </w:p>
        </w:tc>
        <w:tc>
          <w:tcPr>
            <w:tcW w:w="3432" w:type="dxa"/>
            <w:shd w:val="clear" w:color="auto" w:fill="auto"/>
            <w:vAlign w:val="center"/>
          </w:tcPr>
          <w:p w14:paraId="731845E0" w14:textId="77777777" w:rsidR="00D12D06" w:rsidRPr="00B0658A" w:rsidRDefault="00D12D06" w:rsidP="000A4114">
            <w:pPr>
              <w:spacing w:after="0" w:line="240" w:lineRule="auto"/>
              <w:rPr>
                <w:rFonts w:ascii="Times New Roman" w:hAnsi="Times New Roman"/>
                <w:sz w:val="20"/>
                <w:szCs w:val="20"/>
              </w:rPr>
            </w:pPr>
            <w:r w:rsidRPr="00B0658A">
              <w:rPr>
                <w:rFonts w:ascii="Times New Roman" w:hAnsi="Times New Roman"/>
                <w:sz w:val="18"/>
                <w:szCs w:val="18"/>
              </w:rPr>
              <w:t>Офисные приложения/ Органайзеры</w:t>
            </w:r>
          </w:p>
        </w:tc>
        <w:tc>
          <w:tcPr>
            <w:tcW w:w="1256" w:type="dxa"/>
          </w:tcPr>
          <w:p w14:paraId="053D917F"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26037700"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6DF907E0"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05B00428" w14:textId="77777777" w:rsidR="00D12D06" w:rsidRPr="00B0658A" w:rsidRDefault="00D12D06" w:rsidP="000A4114">
            <w:pPr>
              <w:spacing w:after="0" w:line="240" w:lineRule="auto"/>
              <w:jc w:val="both"/>
              <w:rPr>
                <w:rFonts w:ascii="Times New Roman" w:hAnsi="Times New Roman"/>
                <w:i/>
                <w:iCs/>
                <w:sz w:val="20"/>
                <w:szCs w:val="20"/>
              </w:rPr>
            </w:pPr>
          </w:p>
        </w:tc>
      </w:tr>
      <w:tr w:rsidR="00F52FED" w:rsidRPr="00B0658A" w14:paraId="2867123A" w14:textId="77777777" w:rsidTr="00B10FDE">
        <w:trPr>
          <w:trHeight w:val="170"/>
        </w:trPr>
        <w:tc>
          <w:tcPr>
            <w:tcW w:w="0" w:type="auto"/>
            <w:shd w:val="clear" w:color="auto" w:fill="auto"/>
          </w:tcPr>
          <w:p w14:paraId="1AF84898" w14:textId="77777777" w:rsidR="00D12D06" w:rsidRPr="00B0658A" w:rsidRDefault="00D12D06" w:rsidP="000A4114">
            <w:pPr>
              <w:spacing w:after="0" w:line="240" w:lineRule="auto"/>
              <w:rPr>
                <w:rFonts w:ascii="Times New Roman" w:hAnsi="Times New Roman"/>
                <w:sz w:val="20"/>
                <w:szCs w:val="20"/>
              </w:rPr>
            </w:pPr>
            <w:r w:rsidRPr="00B0658A">
              <w:rPr>
                <w:rFonts w:ascii="Times New Roman" w:hAnsi="Times New Roman"/>
                <w:sz w:val="18"/>
                <w:szCs w:val="18"/>
              </w:rPr>
              <w:t>6.6</w:t>
            </w:r>
          </w:p>
        </w:tc>
        <w:tc>
          <w:tcPr>
            <w:tcW w:w="3432" w:type="dxa"/>
            <w:shd w:val="clear" w:color="auto" w:fill="auto"/>
            <w:vAlign w:val="center"/>
          </w:tcPr>
          <w:p w14:paraId="4205B248" w14:textId="77777777" w:rsidR="00D12D06" w:rsidRPr="00B0658A" w:rsidRDefault="00D12D06" w:rsidP="000A4114">
            <w:pPr>
              <w:spacing w:after="0" w:line="240" w:lineRule="auto"/>
              <w:rPr>
                <w:rFonts w:ascii="Times New Roman" w:hAnsi="Times New Roman"/>
                <w:sz w:val="20"/>
                <w:szCs w:val="20"/>
              </w:rPr>
            </w:pPr>
            <w:r w:rsidRPr="00B0658A">
              <w:rPr>
                <w:rFonts w:ascii="Times New Roman" w:hAnsi="Times New Roman"/>
                <w:sz w:val="18"/>
                <w:szCs w:val="18"/>
              </w:rPr>
              <w:t>Офисные приложения/ Средства просмотра</w:t>
            </w:r>
          </w:p>
        </w:tc>
        <w:tc>
          <w:tcPr>
            <w:tcW w:w="1256" w:type="dxa"/>
          </w:tcPr>
          <w:p w14:paraId="6F953D6F"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4B62BDE4"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261BA354"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0D559CA5" w14:textId="77777777" w:rsidR="00D12D06" w:rsidRPr="00B0658A" w:rsidRDefault="00D12D06" w:rsidP="000A4114">
            <w:pPr>
              <w:spacing w:after="0" w:line="240" w:lineRule="auto"/>
              <w:jc w:val="both"/>
              <w:rPr>
                <w:rFonts w:ascii="Times New Roman" w:hAnsi="Times New Roman"/>
                <w:i/>
                <w:iCs/>
                <w:sz w:val="20"/>
                <w:szCs w:val="20"/>
              </w:rPr>
            </w:pPr>
          </w:p>
        </w:tc>
      </w:tr>
      <w:tr w:rsidR="00F52FED" w:rsidRPr="00B0658A" w14:paraId="2DDC6F91" w14:textId="77777777" w:rsidTr="00B10FDE">
        <w:trPr>
          <w:trHeight w:val="170"/>
        </w:trPr>
        <w:tc>
          <w:tcPr>
            <w:tcW w:w="0" w:type="auto"/>
            <w:shd w:val="clear" w:color="auto" w:fill="auto"/>
          </w:tcPr>
          <w:p w14:paraId="1532FBF6" w14:textId="77777777" w:rsidR="00D12D06" w:rsidRPr="00B0658A" w:rsidRDefault="00D12D06" w:rsidP="000A4114">
            <w:pPr>
              <w:spacing w:after="0" w:line="240" w:lineRule="auto"/>
              <w:rPr>
                <w:rFonts w:ascii="Times New Roman" w:hAnsi="Times New Roman"/>
                <w:sz w:val="20"/>
                <w:szCs w:val="20"/>
              </w:rPr>
            </w:pPr>
            <w:r w:rsidRPr="00B0658A">
              <w:rPr>
                <w:rFonts w:ascii="Times New Roman" w:hAnsi="Times New Roman"/>
                <w:sz w:val="18"/>
                <w:szCs w:val="18"/>
              </w:rPr>
              <w:t>6.7</w:t>
            </w:r>
          </w:p>
        </w:tc>
        <w:tc>
          <w:tcPr>
            <w:tcW w:w="3432" w:type="dxa"/>
            <w:shd w:val="clear" w:color="auto" w:fill="auto"/>
            <w:vAlign w:val="center"/>
          </w:tcPr>
          <w:p w14:paraId="5FF8CB61" w14:textId="77777777" w:rsidR="00D12D06" w:rsidRPr="00B0658A" w:rsidRDefault="00D12D06" w:rsidP="000A4114">
            <w:pPr>
              <w:spacing w:after="0" w:line="240" w:lineRule="auto"/>
              <w:rPr>
                <w:rFonts w:ascii="Times New Roman" w:hAnsi="Times New Roman"/>
                <w:sz w:val="20"/>
                <w:szCs w:val="20"/>
              </w:rPr>
            </w:pPr>
            <w:r w:rsidRPr="00B0658A">
              <w:rPr>
                <w:rFonts w:ascii="Times New Roman" w:hAnsi="Times New Roman"/>
                <w:sz w:val="18"/>
                <w:szCs w:val="18"/>
              </w:rPr>
              <w:t>Офисные приложения/ Браузеры</w:t>
            </w:r>
          </w:p>
        </w:tc>
        <w:tc>
          <w:tcPr>
            <w:tcW w:w="1256" w:type="dxa"/>
          </w:tcPr>
          <w:p w14:paraId="669F3F39"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064958A2"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46D9FA0B"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335A64DE" w14:textId="77777777" w:rsidR="00D12D06" w:rsidRPr="00B0658A" w:rsidRDefault="00D12D06" w:rsidP="000A4114">
            <w:pPr>
              <w:spacing w:after="0" w:line="240" w:lineRule="auto"/>
              <w:jc w:val="both"/>
              <w:rPr>
                <w:rFonts w:ascii="Times New Roman" w:hAnsi="Times New Roman"/>
                <w:i/>
                <w:iCs/>
                <w:sz w:val="20"/>
                <w:szCs w:val="20"/>
              </w:rPr>
            </w:pPr>
          </w:p>
        </w:tc>
      </w:tr>
      <w:tr w:rsidR="00F52FED" w:rsidRPr="00B0658A" w14:paraId="05B87B67" w14:textId="77777777" w:rsidTr="00B10FDE">
        <w:trPr>
          <w:trHeight w:val="170"/>
        </w:trPr>
        <w:tc>
          <w:tcPr>
            <w:tcW w:w="0" w:type="auto"/>
            <w:shd w:val="clear" w:color="auto" w:fill="auto"/>
          </w:tcPr>
          <w:p w14:paraId="7CB0DC1F" w14:textId="77777777" w:rsidR="00D12D06" w:rsidRPr="00B0658A" w:rsidRDefault="00D12D06" w:rsidP="000A4114">
            <w:pPr>
              <w:spacing w:after="0" w:line="240" w:lineRule="auto"/>
              <w:rPr>
                <w:rFonts w:ascii="Times New Roman" w:hAnsi="Times New Roman"/>
                <w:sz w:val="20"/>
                <w:szCs w:val="20"/>
              </w:rPr>
            </w:pPr>
            <w:r w:rsidRPr="00B0658A">
              <w:rPr>
                <w:rFonts w:ascii="Times New Roman" w:hAnsi="Times New Roman"/>
                <w:sz w:val="18"/>
                <w:szCs w:val="18"/>
              </w:rPr>
              <w:t>6.8</w:t>
            </w:r>
          </w:p>
        </w:tc>
        <w:tc>
          <w:tcPr>
            <w:tcW w:w="3432" w:type="dxa"/>
            <w:shd w:val="clear" w:color="auto" w:fill="auto"/>
            <w:vAlign w:val="center"/>
          </w:tcPr>
          <w:p w14:paraId="27F99849" w14:textId="77777777" w:rsidR="00D12D06" w:rsidRPr="00B0658A" w:rsidRDefault="00D12D06" w:rsidP="000A4114">
            <w:pPr>
              <w:spacing w:after="0" w:line="240" w:lineRule="auto"/>
              <w:rPr>
                <w:rFonts w:ascii="Times New Roman" w:hAnsi="Times New Roman"/>
                <w:sz w:val="20"/>
                <w:szCs w:val="20"/>
              </w:rPr>
            </w:pPr>
            <w:r w:rsidRPr="00B0658A">
              <w:rPr>
                <w:rFonts w:ascii="Times New Roman" w:hAnsi="Times New Roman"/>
                <w:sz w:val="18"/>
                <w:szCs w:val="18"/>
              </w:rPr>
              <w:t>Офисные приложения/ Редакторы мультимедиа</w:t>
            </w:r>
          </w:p>
        </w:tc>
        <w:tc>
          <w:tcPr>
            <w:tcW w:w="1256" w:type="dxa"/>
          </w:tcPr>
          <w:p w14:paraId="2D53E849"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0703021A"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19746129"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20C020D6" w14:textId="77777777" w:rsidR="00D12D06" w:rsidRPr="00B0658A" w:rsidRDefault="00D12D06" w:rsidP="000A4114">
            <w:pPr>
              <w:spacing w:after="0" w:line="240" w:lineRule="auto"/>
              <w:jc w:val="both"/>
              <w:rPr>
                <w:rFonts w:ascii="Times New Roman" w:hAnsi="Times New Roman"/>
                <w:i/>
                <w:iCs/>
                <w:sz w:val="20"/>
                <w:szCs w:val="20"/>
              </w:rPr>
            </w:pPr>
          </w:p>
        </w:tc>
      </w:tr>
      <w:tr w:rsidR="00F52FED" w:rsidRPr="00B0658A" w14:paraId="176CB43E" w14:textId="77777777" w:rsidTr="00B10FDE">
        <w:trPr>
          <w:trHeight w:val="170"/>
        </w:trPr>
        <w:tc>
          <w:tcPr>
            <w:tcW w:w="0" w:type="auto"/>
            <w:shd w:val="clear" w:color="auto" w:fill="auto"/>
          </w:tcPr>
          <w:p w14:paraId="1162C0BD" w14:textId="77777777" w:rsidR="00D12D06" w:rsidRPr="00B0658A" w:rsidRDefault="00D12D06" w:rsidP="000A4114">
            <w:pPr>
              <w:spacing w:after="0" w:line="240" w:lineRule="auto"/>
              <w:rPr>
                <w:rFonts w:ascii="Times New Roman" w:hAnsi="Times New Roman"/>
                <w:sz w:val="20"/>
                <w:szCs w:val="20"/>
              </w:rPr>
            </w:pPr>
            <w:r w:rsidRPr="00B0658A">
              <w:rPr>
                <w:rFonts w:ascii="Times New Roman" w:hAnsi="Times New Roman"/>
                <w:sz w:val="18"/>
                <w:szCs w:val="18"/>
              </w:rPr>
              <w:t>6.9</w:t>
            </w:r>
          </w:p>
        </w:tc>
        <w:tc>
          <w:tcPr>
            <w:tcW w:w="3432" w:type="dxa"/>
            <w:shd w:val="clear" w:color="auto" w:fill="auto"/>
            <w:vAlign w:val="center"/>
          </w:tcPr>
          <w:p w14:paraId="1488CD7B" w14:textId="77777777" w:rsidR="00D12D06" w:rsidRPr="00B0658A" w:rsidRDefault="00D12D06" w:rsidP="000A4114">
            <w:pPr>
              <w:spacing w:after="0" w:line="240" w:lineRule="auto"/>
              <w:rPr>
                <w:rFonts w:ascii="Times New Roman" w:hAnsi="Times New Roman"/>
                <w:sz w:val="20"/>
                <w:szCs w:val="20"/>
              </w:rPr>
            </w:pPr>
            <w:r w:rsidRPr="00B0658A">
              <w:rPr>
                <w:rFonts w:ascii="Times New Roman" w:hAnsi="Times New Roman"/>
                <w:sz w:val="18"/>
                <w:szCs w:val="18"/>
              </w:rPr>
              <w:t>Офисные приложения/ Редакторы презентаций</w:t>
            </w:r>
          </w:p>
        </w:tc>
        <w:tc>
          <w:tcPr>
            <w:tcW w:w="1256" w:type="dxa"/>
          </w:tcPr>
          <w:p w14:paraId="5F3FB1B6"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29917EA4"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4DB42628"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13289870" w14:textId="77777777" w:rsidR="00D12D06" w:rsidRPr="00B0658A" w:rsidRDefault="00D12D06" w:rsidP="000A4114">
            <w:pPr>
              <w:spacing w:after="0" w:line="240" w:lineRule="auto"/>
              <w:jc w:val="both"/>
              <w:rPr>
                <w:rFonts w:ascii="Times New Roman" w:hAnsi="Times New Roman"/>
                <w:i/>
                <w:iCs/>
                <w:sz w:val="20"/>
                <w:szCs w:val="20"/>
              </w:rPr>
            </w:pPr>
          </w:p>
        </w:tc>
      </w:tr>
      <w:tr w:rsidR="00F52FED" w:rsidRPr="00B0658A" w14:paraId="6B8397C6" w14:textId="77777777" w:rsidTr="00B10FDE">
        <w:trPr>
          <w:trHeight w:val="170"/>
        </w:trPr>
        <w:tc>
          <w:tcPr>
            <w:tcW w:w="0" w:type="auto"/>
            <w:shd w:val="clear" w:color="auto" w:fill="auto"/>
          </w:tcPr>
          <w:p w14:paraId="404B60CD" w14:textId="77777777" w:rsidR="00D12D06" w:rsidRPr="00B0658A" w:rsidRDefault="00D12D06" w:rsidP="000A4114">
            <w:pPr>
              <w:spacing w:after="0" w:line="240" w:lineRule="auto"/>
              <w:rPr>
                <w:rFonts w:ascii="Times New Roman" w:hAnsi="Times New Roman"/>
                <w:sz w:val="20"/>
                <w:szCs w:val="20"/>
              </w:rPr>
            </w:pPr>
            <w:r w:rsidRPr="00B0658A">
              <w:rPr>
                <w:rFonts w:ascii="Times New Roman" w:hAnsi="Times New Roman"/>
                <w:sz w:val="18"/>
                <w:szCs w:val="18"/>
              </w:rPr>
              <w:t>6.10</w:t>
            </w:r>
          </w:p>
        </w:tc>
        <w:tc>
          <w:tcPr>
            <w:tcW w:w="3432" w:type="dxa"/>
            <w:shd w:val="clear" w:color="auto" w:fill="auto"/>
            <w:vAlign w:val="center"/>
          </w:tcPr>
          <w:p w14:paraId="26CD6DBE" w14:textId="77777777" w:rsidR="00D12D06" w:rsidRPr="00B0658A" w:rsidRDefault="00D12D06" w:rsidP="000A4114">
            <w:pPr>
              <w:spacing w:after="0" w:line="240" w:lineRule="auto"/>
              <w:rPr>
                <w:rFonts w:ascii="Times New Roman" w:hAnsi="Times New Roman"/>
                <w:sz w:val="20"/>
                <w:szCs w:val="20"/>
              </w:rPr>
            </w:pPr>
            <w:r w:rsidRPr="00B0658A">
              <w:rPr>
                <w:rFonts w:ascii="Times New Roman" w:hAnsi="Times New Roman"/>
                <w:sz w:val="18"/>
                <w:szCs w:val="18"/>
              </w:rPr>
              <w:t>Офисные приложения/ Табличные редакторы</w:t>
            </w:r>
          </w:p>
        </w:tc>
        <w:tc>
          <w:tcPr>
            <w:tcW w:w="1256" w:type="dxa"/>
          </w:tcPr>
          <w:p w14:paraId="31F7E0A0"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0D71225C"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483FDACB"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54B98080" w14:textId="77777777" w:rsidR="00D12D06" w:rsidRPr="00B0658A" w:rsidRDefault="00D12D06" w:rsidP="000A4114">
            <w:pPr>
              <w:spacing w:after="0" w:line="240" w:lineRule="auto"/>
              <w:jc w:val="both"/>
              <w:rPr>
                <w:rFonts w:ascii="Times New Roman" w:hAnsi="Times New Roman"/>
                <w:i/>
                <w:iCs/>
                <w:sz w:val="20"/>
                <w:szCs w:val="20"/>
              </w:rPr>
            </w:pPr>
          </w:p>
        </w:tc>
      </w:tr>
      <w:tr w:rsidR="00F52FED" w:rsidRPr="00B0658A" w14:paraId="43EA5BB4" w14:textId="77777777" w:rsidTr="00B10FDE">
        <w:trPr>
          <w:trHeight w:val="170"/>
        </w:trPr>
        <w:tc>
          <w:tcPr>
            <w:tcW w:w="0" w:type="auto"/>
            <w:shd w:val="clear" w:color="auto" w:fill="auto"/>
          </w:tcPr>
          <w:p w14:paraId="326268A3" w14:textId="77777777" w:rsidR="00D12D06" w:rsidRPr="00B0658A" w:rsidRDefault="00D12D06" w:rsidP="000A4114">
            <w:pPr>
              <w:spacing w:after="0" w:line="240" w:lineRule="auto"/>
              <w:rPr>
                <w:rFonts w:ascii="Times New Roman" w:hAnsi="Times New Roman"/>
                <w:sz w:val="20"/>
                <w:szCs w:val="20"/>
              </w:rPr>
            </w:pPr>
            <w:r w:rsidRPr="00B0658A">
              <w:rPr>
                <w:rFonts w:ascii="Times New Roman" w:hAnsi="Times New Roman"/>
                <w:sz w:val="18"/>
                <w:szCs w:val="18"/>
              </w:rPr>
              <w:t>6.11</w:t>
            </w:r>
          </w:p>
        </w:tc>
        <w:tc>
          <w:tcPr>
            <w:tcW w:w="3432" w:type="dxa"/>
            <w:shd w:val="clear" w:color="auto" w:fill="auto"/>
            <w:vAlign w:val="center"/>
          </w:tcPr>
          <w:p w14:paraId="045509AA" w14:textId="77777777" w:rsidR="00D12D06" w:rsidRPr="00B0658A" w:rsidRDefault="00D12D06" w:rsidP="000A4114">
            <w:pPr>
              <w:spacing w:after="0" w:line="240" w:lineRule="auto"/>
              <w:rPr>
                <w:rFonts w:ascii="Times New Roman" w:hAnsi="Times New Roman"/>
                <w:sz w:val="20"/>
                <w:szCs w:val="20"/>
              </w:rPr>
            </w:pPr>
            <w:r w:rsidRPr="00B0658A">
              <w:rPr>
                <w:rFonts w:ascii="Times New Roman" w:hAnsi="Times New Roman"/>
                <w:sz w:val="18"/>
                <w:szCs w:val="18"/>
              </w:rPr>
              <w:t>Офисные приложения/ Текстовые редакторы</w:t>
            </w:r>
          </w:p>
        </w:tc>
        <w:tc>
          <w:tcPr>
            <w:tcW w:w="1256" w:type="dxa"/>
          </w:tcPr>
          <w:p w14:paraId="4D606712"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065EECBE"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02ACE847"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3E57A88F" w14:textId="77777777" w:rsidR="00D12D06" w:rsidRPr="00B0658A" w:rsidRDefault="00D12D06" w:rsidP="000A4114">
            <w:pPr>
              <w:spacing w:after="0" w:line="240" w:lineRule="auto"/>
              <w:jc w:val="both"/>
              <w:rPr>
                <w:rFonts w:ascii="Times New Roman" w:hAnsi="Times New Roman"/>
                <w:i/>
                <w:iCs/>
                <w:sz w:val="20"/>
                <w:szCs w:val="20"/>
              </w:rPr>
            </w:pPr>
          </w:p>
        </w:tc>
      </w:tr>
      <w:tr w:rsidR="00F52FED" w:rsidRPr="00B0658A" w14:paraId="3266E52B" w14:textId="77777777" w:rsidTr="00B10FDE">
        <w:trPr>
          <w:trHeight w:val="170"/>
        </w:trPr>
        <w:tc>
          <w:tcPr>
            <w:tcW w:w="0" w:type="auto"/>
            <w:shd w:val="clear" w:color="auto" w:fill="auto"/>
          </w:tcPr>
          <w:p w14:paraId="10CCEC7F" w14:textId="77777777" w:rsidR="00D12D06" w:rsidRPr="00B0658A" w:rsidRDefault="00D12D06" w:rsidP="000A4114">
            <w:pPr>
              <w:spacing w:after="0" w:line="240" w:lineRule="auto"/>
              <w:rPr>
                <w:rFonts w:ascii="Times New Roman" w:hAnsi="Times New Roman"/>
                <w:sz w:val="20"/>
                <w:szCs w:val="20"/>
              </w:rPr>
            </w:pPr>
            <w:r w:rsidRPr="00B0658A">
              <w:rPr>
                <w:rFonts w:ascii="Times New Roman" w:hAnsi="Times New Roman"/>
                <w:sz w:val="18"/>
                <w:szCs w:val="18"/>
              </w:rPr>
              <w:t>6.12</w:t>
            </w:r>
          </w:p>
        </w:tc>
        <w:tc>
          <w:tcPr>
            <w:tcW w:w="3432" w:type="dxa"/>
            <w:shd w:val="clear" w:color="auto" w:fill="auto"/>
            <w:vAlign w:val="center"/>
          </w:tcPr>
          <w:p w14:paraId="20999164" w14:textId="77777777" w:rsidR="00D12D06" w:rsidRPr="00B0658A" w:rsidRDefault="00D12D06" w:rsidP="000A4114">
            <w:pPr>
              <w:spacing w:after="0" w:line="240" w:lineRule="auto"/>
              <w:rPr>
                <w:rFonts w:ascii="Times New Roman" w:hAnsi="Times New Roman"/>
                <w:sz w:val="20"/>
                <w:szCs w:val="20"/>
              </w:rPr>
            </w:pPr>
            <w:r w:rsidRPr="00B0658A">
              <w:rPr>
                <w:rFonts w:ascii="Times New Roman" w:hAnsi="Times New Roman"/>
                <w:sz w:val="18"/>
                <w:szCs w:val="18"/>
              </w:rPr>
              <w:t>Офисные приложения/ Программное обеспечение средств электронного документооборота</w:t>
            </w:r>
          </w:p>
        </w:tc>
        <w:tc>
          <w:tcPr>
            <w:tcW w:w="1256" w:type="dxa"/>
          </w:tcPr>
          <w:p w14:paraId="3E6B6738"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3963AA88"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3F91FF6B"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5F0087CE" w14:textId="77777777" w:rsidR="00D12D06" w:rsidRPr="00B0658A" w:rsidRDefault="00D12D06" w:rsidP="000A4114">
            <w:pPr>
              <w:spacing w:after="0" w:line="240" w:lineRule="auto"/>
              <w:jc w:val="both"/>
              <w:rPr>
                <w:rFonts w:ascii="Times New Roman" w:hAnsi="Times New Roman"/>
                <w:i/>
                <w:iCs/>
                <w:sz w:val="20"/>
                <w:szCs w:val="20"/>
              </w:rPr>
            </w:pPr>
          </w:p>
        </w:tc>
      </w:tr>
      <w:tr w:rsidR="00F52FED" w:rsidRPr="00B0658A" w14:paraId="4E9F8E39" w14:textId="77777777" w:rsidTr="00B10FDE">
        <w:trPr>
          <w:trHeight w:val="170"/>
        </w:trPr>
        <w:tc>
          <w:tcPr>
            <w:tcW w:w="0" w:type="auto"/>
            <w:shd w:val="clear" w:color="auto" w:fill="auto"/>
          </w:tcPr>
          <w:p w14:paraId="30727BB6" w14:textId="77777777" w:rsidR="00D12D06" w:rsidRPr="00B0658A" w:rsidRDefault="00D12D06" w:rsidP="000A4114">
            <w:pPr>
              <w:spacing w:after="0" w:line="240" w:lineRule="auto"/>
              <w:rPr>
                <w:rFonts w:ascii="Times New Roman" w:hAnsi="Times New Roman"/>
                <w:sz w:val="20"/>
                <w:szCs w:val="20"/>
              </w:rPr>
            </w:pPr>
            <w:r w:rsidRPr="00B0658A">
              <w:rPr>
                <w:rFonts w:ascii="Times New Roman" w:hAnsi="Times New Roman"/>
                <w:sz w:val="18"/>
                <w:szCs w:val="18"/>
              </w:rPr>
              <w:t>7.1</w:t>
            </w:r>
          </w:p>
        </w:tc>
        <w:tc>
          <w:tcPr>
            <w:tcW w:w="3432" w:type="dxa"/>
            <w:shd w:val="clear" w:color="auto" w:fill="auto"/>
            <w:vAlign w:val="center"/>
          </w:tcPr>
          <w:p w14:paraId="3300CDD5" w14:textId="77777777" w:rsidR="00D12D06" w:rsidRPr="00B0658A" w:rsidRDefault="00D12D06" w:rsidP="000A4114">
            <w:pPr>
              <w:spacing w:after="0" w:line="240" w:lineRule="auto"/>
              <w:rPr>
                <w:rFonts w:ascii="Times New Roman" w:hAnsi="Times New Roman"/>
                <w:sz w:val="20"/>
                <w:szCs w:val="20"/>
              </w:rPr>
            </w:pPr>
            <w:r w:rsidRPr="00B0658A">
              <w:rPr>
                <w:rFonts w:ascii="Times New Roman" w:hAnsi="Times New Roman"/>
                <w:sz w:val="18"/>
                <w:szCs w:val="18"/>
              </w:rPr>
              <w:t xml:space="preserve">Лингвистическое программное обеспечение/ Парсеры </w:t>
            </w:r>
            <w:r w:rsidRPr="00B0658A">
              <w:rPr>
                <w:rFonts w:ascii="Times New Roman" w:hAnsi="Times New Roman"/>
                <w:sz w:val="18"/>
                <w:szCs w:val="18"/>
              </w:rPr>
              <w:br/>
              <w:t>и семантические анализаторы</w:t>
            </w:r>
          </w:p>
        </w:tc>
        <w:tc>
          <w:tcPr>
            <w:tcW w:w="1256" w:type="dxa"/>
          </w:tcPr>
          <w:p w14:paraId="40E5409E"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35ECB7E1"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5556FB58"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04F53930" w14:textId="77777777" w:rsidR="00D12D06" w:rsidRPr="00B0658A" w:rsidRDefault="00D12D06" w:rsidP="000A4114">
            <w:pPr>
              <w:spacing w:after="0" w:line="240" w:lineRule="auto"/>
              <w:jc w:val="both"/>
              <w:rPr>
                <w:rFonts w:ascii="Times New Roman" w:hAnsi="Times New Roman"/>
                <w:i/>
                <w:iCs/>
                <w:sz w:val="20"/>
                <w:szCs w:val="20"/>
              </w:rPr>
            </w:pPr>
          </w:p>
        </w:tc>
      </w:tr>
      <w:tr w:rsidR="00F52FED" w:rsidRPr="00B0658A" w14:paraId="3EF9A399" w14:textId="77777777" w:rsidTr="00B10FDE">
        <w:trPr>
          <w:trHeight w:val="170"/>
        </w:trPr>
        <w:tc>
          <w:tcPr>
            <w:tcW w:w="0" w:type="auto"/>
            <w:shd w:val="clear" w:color="auto" w:fill="auto"/>
          </w:tcPr>
          <w:p w14:paraId="5A200BDA" w14:textId="77777777" w:rsidR="00D12D06" w:rsidRPr="00B0658A" w:rsidRDefault="00D12D06" w:rsidP="000A4114">
            <w:pPr>
              <w:spacing w:after="0" w:line="240" w:lineRule="auto"/>
              <w:rPr>
                <w:rFonts w:ascii="Times New Roman" w:hAnsi="Times New Roman"/>
                <w:sz w:val="20"/>
                <w:szCs w:val="20"/>
              </w:rPr>
            </w:pPr>
            <w:r w:rsidRPr="00B0658A">
              <w:rPr>
                <w:rFonts w:ascii="Times New Roman" w:hAnsi="Times New Roman"/>
                <w:sz w:val="18"/>
                <w:szCs w:val="18"/>
              </w:rPr>
              <w:t>7.2</w:t>
            </w:r>
          </w:p>
        </w:tc>
        <w:tc>
          <w:tcPr>
            <w:tcW w:w="3432" w:type="dxa"/>
            <w:shd w:val="clear" w:color="auto" w:fill="auto"/>
            <w:vAlign w:val="center"/>
          </w:tcPr>
          <w:p w14:paraId="1A73A0A9" w14:textId="77777777" w:rsidR="00D12D06" w:rsidRPr="00B0658A" w:rsidRDefault="00D12D06" w:rsidP="000A4114">
            <w:pPr>
              <w:spacing w:after="0" w:line="240" w:lineRule="auto"/>
              <w:rPr>
                <w:rFonts w:ascii="Times New Roman" w:hAnsi="Times New Roman"/>
                <w:sz w:val="20"/>
                <w:szCs w:val="20"/>
              </w:rPr>
            </w:pPr>
            <w:r w:rsidRPr="00B0658A">
              <w:rPr>
                <w:rFonts w:ascii="Times New Roman" w:hAnsi="Times New Roman"/>
                <w:sz w:val="18"/>
                <w:szCs w:val="18"/>
              </w:rPr>
              <w:t>Лингвистическое программное обеспечение/ Средства речевого перевода</w:t>
            </w:r>
          </w:p>
        </w:tc>
        <w:tc>
          <w:tcPr>
            <w:tcW w:w="1256" w:type="dxa"/>
          </w:tcPr>
          <w:p w14:paraId="60E72D8A"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1FCADF2D"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44E0853C"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74641800" w14:textId="77777777" w:rsidR="00D12D06" w:rsidRPr="00B0658A" w:rsidRDefault="00D12D06" w:rsidP="000A4114">
            <w:pPr>
              <w:spacing w:after="0" w:line="240" w:lineRule="auto"/>
              <w:jc w:val="both"/>
              <w:rPr>
                <w:rFonts w:ascii="Times New Roman" w:hAnsi="Times New Roman"/>
                <w:i/>
                <w:iCs/>
                <w:sz w:val="20"/>
                <w:szCs w:val="20"/>
              </w:rPr>
            </w:pPr>
          </w:p>
        </w:tc>
      </w:tr>
      <w:tr w:rsidR="00F52FED" w:rsidRPr="00B0658A" w14:paraId="606D93D1" w14:textId="77777777" w:rsidTr="00B10FDE">
        <w:trPr>
          <w:trHeight w:val="170"/>
        </w:trPr>
        <w:tc>
          <w:tcPr>
            <w:tcW w:w="0" w:type="auto"/>
            <w:shd w:val="clear" w:color="auto" w:fill="auto"/>
          </w:tcPr>
          <w:p w14:paraId="0A05F821" w14:textId="77777777" w:rsidR="00D12D06" w:rsidRPr="00B0658A" w:rsidRDefault="00D12D06" w:rsidP="000A4114">
            <w:pPr>
              <w:spacing w:after="0" w:line="240" w:lineRule="auto"/>
              <w:rPr>
                <w:rFonts w:ascii="Times New Roman" w:hAnsi="Times New Roman"/>
                <w:sz w:val="20"/>
                <w:szCs w:val="20"/>
              </w:rPr>
            </w:pPr>
            <w:r w:rsidRPr="00B0658A">
              <w:rPr>
                <w:rFonts w:ascii="Times New Roman" w:hAnsi="Times New Roman"/>
                <w:sz w:val="18"/>
                <w:szCs w:val="18"/>
              </w:rPr>
              <w:t>7.3</w:t>
            </w:r>
          </w:p>
        </w:tc>
        <w:tc>
          <w:tcPr>
            <w:tcW w:w="3432" w:type="dxa"/>
            <w:shd w:val="clear" w:color="auto" w:fill="auto"/>
            <w:vAlign w:val="center"/>
          </w:tcPr>
          <w:p w14:paraId="220CD1C6" w14:textId="77777777" w:rsidR="00D12D06" w:rsidRPr="00B0658A" w:rsidRDefault="00D12D06" w:rsidP="000A4114">
            <w:pPr>
              <w:spacing w:after="0" w:line="240" w:lineRule="auto"/>
              <w:rPr>
                <w:rFonts w:ascii="Times New Roman" w:hAnsi="Times New Roman"/>
                <w:sz w:val="20"/>
                <w:szCs w:val="20"/>
              </w:rPr>
            </w:pPr>
            <w:r w:rsidRPr="00B0658A">
              <w:rPr>
                <w:rFonts w:ascii="Times New Roman" w:hAnsi="Times New Roman"/>
                <w:sz w:val="18"/>
                <w:szCs w:val="18"/>
              </w:rPr>
              <w:t>Лингвистическое программное обеспечение/ Средства распознавания символов</w:t>
            </w:r>
          </w:p>
        </w:tc>
        <w:tc>
          <w:tcPr>
            <w:tcW w:w="1256" w:type="dxa"/>
          </w:tcPr>
          <w:p w14:paraId="60D84CDA"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650942AD"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2F4FCDE0"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2399DADA" w14:textId="77777777" w:rsidR="00D12D06" w:rsidRPr="00B0658A" w:rsidRDefault="00D12D06" w:rsidP="000A4114">
            <w:pPr>
              <w:spacing w:after="0" w:line="240" w:lineRule="auto"/>
              <w:jc w:val="both"/>
              <w:rPr>
                <w:rFonts w:ascii="Times New Roman" w:hAnsi="Times New Roman"/>
                <w:i/>
                <w:iCs/>
                <w:sz w:val="20"/>
                <w:szCs w:val="20"/>
              </w:rPr>
            </w:pPr>
          </w:p>
        </w:tc>
      </w:tr>
      <w:tr w:rsidR="00F52FED" w:rsidRPr="00B0658A" w14:paraId="45247E5C" w14:textId="77777777" w:rsidTr="00B10FDE">
        <w:trPr>
          <w:trHeight w:val="170"/>
        </w:trPr>
        <w:tc>
          <w:tcPr>
            <w:tcW w:w="0" w:type="auto"/>
            <w:shd w:val="clear" w:color="auto" w:fill="auto"/>
          </w:tcPr>
          <w:p w14:paraId="66CCA2B9" w14:textId="77777777" w:rsidR="00D12D06" w:rsidRPr="00B0658A" w:rsidRDefault="00D12D06" w:rsidP="000A4114">
            <w:pPr>
              <w:spacing w:after="0" w:line="240" w:lineRule="auto"/>
              <w:rPr>
                <w:rFonts w:ascii="Times New Roman" w:hAnsi="Times New Roman"/>
                <w:sz w:val="20"/>
                <w:szCs w:val="20"/>
              </w:rPr>
            </w:pPr>
            <w:r w:rsidRPr="00B0658A">
              <w:rPr>
                <w:rFonts w:ascii="Times New Roman" w:hAnsi="Times New Roman"/>
                <w:sz w:val="18"/>
                <w:szCs w:val="18"/>
              </w:rPr>
              <w:t>7.4</w:t>
            </w:r>
          </w:p>
        </w:tc>
        <w:tc>
          <w:tcPr>
            <w:tcW w:w="3432" w:type="dxa"/>
            <w:shd w:val="clear" w:color="auto" w:fill="auto"/>
            <w:vAlign w:val="center"/>
          </w:tcPr>
          <w:p w14:paraId="538B7F54" w14:textId="77777777" w:rsidR="00D12D06" w:rsidRPr="00B0658A" w:rsidRDefault="00D12D06" w:rsidP="000A4114">
            <w:pPr>
              <w:spacing w:after="0" w:line="240" w:lineRule="auto"/>
              <w:rPr>
                <w:rFonts w:ascii="Times New Roman" w:hAnsi="Times New Roman"/>
                <w:sz w:val="20"/>
                <w:szCs w:val="20"/>
              </w:rPr>
            </w:pPr>
            <w:r w:rsidRPr="00B0658A">
              <w:rPr>
                <w:rFonts w:ascii="Times New Roman" w:hAnsi="Times New Roman"/>
                <w:sz w:val="18"/>
                <w:szCs w:val="18"/>
              </w:rPr>
              <w:t>Лингвистическое программное обеспечение/ Средства распознавания и синтеза речи</w:t>
            </w:r>
          </w:p>
        </w:tc>
        <w:tc>
          <w:tcPr>
            <w:tcW w:w="1256" w:type="dxa"/>
          </w:tcPr>
          <w:p w14:paraId="29A0977A"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10DFF49F"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7AB82E4E"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06D56F89" w14:textId="77777777" w:rsidR="00D12D06" w:rsidRPr="00B0658A" w:rsidRDefault="00D12D06" w:rsidP="000A4114">
            <w:pPr>
              <w:spacing w:after="0" w:line="240" w:lineRule="auto"/>
              <w:jc w:val="both"/>
              <w:rPr>
                <w:rFonts w:ascii="Times New Roman" w:hAnsi="Times New Roman"/>
                <w:i/>
                <w:iCs/>
                <w:sz w:val="20"/>
                <w:szCs w:val="20"/>
              </w:rPr>
            </w:pPr>
          </w:p>
        </w:tc>
      </w:tr>
      <w:tr w:rsidR="00F52FED" w:rsidRPr="00B0658A" w14:paraId="5B5A15F3" w14:textId="77777777" w:rsidTr="00B10FDE">
        <w:trPr>
          <w:trHeight w:val="170"/>
        </w:trPr>
        <w:tc>
          <w:tcPr>
            <w:tcW w:w="0" w:type="auto"/>
            <w:shd w:val="clear" w:color="auto" w:fill="auto"/>
          </w:tcPr>
          <w:p w14:paraId="241073FA" w14:textId="77777777" w:rsidR="00D12D06" w:rsidRPr="00B0658A" w:rsidRDefault="00D12D06" w:rsidP="000A4114">
            <w:pPr>
              <w:spacing w:after="0" w:line="240" w:lineRule="auto"/>
              <w:rPr>
                <w:rFonts w:ascii="Times New Roman" w:hAnsi="Times New Roman"/>
                <w:sz w:val="20"/>
                <w:szCs w:val="20"/>
              </w:rPr>
            </w:pPr>
            <w:r w:rsidRPr="00B0658A">
              <w:rPr>
                <w:rFonts w:ascii="Times New Roman" w:hAnsi="Times New Roman"/>
                <w:sz w:val="18"/>
                <w:szCs w:val="18"/>
              </w:rPr>
              <w:t>7.5</w:t>
            </w:r>
          </w:p>
        </w:tc>
        <w:tc>
          <w:tcPr>
            <w:tcW w:w="3432" w:type="dxa"/>
            <w:shd w:val="clear" w:color="auto" w:fill="auto"/>
            <w:vAlign w:val="center"/>
          </w:tcPr>
          <w:p w14:paraId="263E0E85" w14:textId="77777777" w:rsidR="00D12D06" w:rsidRPr="00B0658A" w:rsidRDefault="00D12D06" w:rsidP="000A4114">
            <w:pPr>
              <w:spacing w:after="0" w:line="240" w:lineRule="auto"/>
              <w:rPr>
                <w:rFonts w:ascii="Times New Roman" w:hAnsi="Times New Roman"/>
                <w:sz w:val="20"/>
                <w:szCs w:val="20"/>
              </w:rPr>
            </w:pPr>
            <w:r w:rsidRPr="00B0658A">
              <w:rPr>
                <w:rFonts w:ascii="Times New Roman" w:hAnsi="Times New Roman"/>
                <w:sz w:val="18"/>
                <w:szCs w:val="18"/>
              </w:rPr>
              <w:t>Лингвистическое программное обеспечение/ Средства автоматизированного перевода</w:t>
            </w:r>
          </w:p>
        </w:tc>
        <w:tc>
          <w:tcPr>
            <w:tcW w:w="1256" w:type="dxa"/>
          </w:tcPr>
          <w:p w14:paraId="35BFCFD8"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1A956EE8"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71CC8129"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4D83FBA7" w14:textId="77777777" w:rsidR="00D12D06" w:rsidRPr="00B0658A" w:rsidRDefault="00D12D06" w:rsidP="000A4114">
            <w:pPr>
              <w:spacing w:after="0" w:line="240" w:lineRule="auto"/>
              <w:jc w:val="both"/>
              <w:rPr>
                <w:rFonts w:ascii="Times New Roman" w:hAnsi="Times New Roman"/>
                <w:i/>
                <w:iCs/>
                <w:sz w:val="20"/>
                <w:szCs w:val="20"/>
              </w:rPr>
            </w:pPr>
          </w:p>
        </w:tc>
      </w:tr>
      <w:tr w:rsidR="00F52FED" w:rsidRPr="00B0658A" w14:paraId="5BA71259" w14:textId="77777777" w:rsidTr="00B10FDE">
        <w:trPr>
          <w:trHeight w:val="170"/>
        </w:trPr>
        <w:tc>
          <w:tcPr>
            <w:tcW w:w="0" w:type="auto"/>
            <w:shd w:val="clear" w:color="auto" w:fill="auto"/>
          </w:tcPr>
          <w:p w14:paraId="2A08F4C7" w14:textId="77777777" w:rsidR="00D12D06" w:rsidRPr="00B0658A" w:rsidRDefault="00D12D06" w:rsidP="000A4114">
            <w:pPr>
              <w:spacing w:after="0" w:line="240" w:lineRule="auto"/>
              <w:rPr>
                <w:rFonts w:ascii="Times New Roman" w:hAnsi="Times New Roman"/>
                <w:sz w:val="20"/>
                <w:szCs w:val="20"/>
              </w:rPr>
            </w:pPr>
            <w:r w:rsidRPr="00B0658A">
              <w:rPr>
                <w:rFonts w:ascii="Times New Roman" w:hAnsi="Times New Roman"/>
                <w:sz w:val="18"/>
                <w:szCs w:val="18"/>
              </w:rPr>
              <w:t>7.6</w:t>
            </w:r>
          </w:p>
        </w:tc>
        <w:tc>
          <w:tcPr>
            <w:tcW w:w="3432" w:type="dxa"/>
            <w:shd w:val="clear" w:color="auto" w:fill="auto"/>
            <w:vAlign w:val="center"/>
          </w:tcPr>
          <w:p w14:paraId="34A3468B" w14:textId="77777777" w:rsidR="00D12D06" w:rsidRPr="00B0658A" w:rsidRDefault="00D12D06" w:rsidP="000A4114">
            <w:pPr>
              <w:spacing w:after="0" w:line="240" w:lineRule="auto"/>
              <w:rPr>
                <w:rFonts w:ascii="Times New Roman" w:hAnsi="Times New Roman"/>
                <w:sz w:val="20"/>
                <w:szCs w:val="20"/>
              </w:rPr>
            </w:pPr>
            <w:r w:rsidRPr="00B0658A">
              <w:rPr>
                <w:rFonts w:ascii="Times New Roman" w:hAnsi="Times New Roman"/>
                <w:sz w:val="18"/>
                <w:szCs w:val="18"/>
              </w:rPr>
              <w:t>Лингвистическое программное обеспечение/ Электронные словари</w:t>
            </w:r>
          </w:p>
        </w:tc>
        <w:tc>
          <w:tcPr>
            <w:tcW w:w="1256" w:type="dxa"/>
          </w:tcPr>
          <w:p w14:paraId="76D60A93"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0C609F91"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71D64262"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43BD9918" w14:textId="77777777" w:rsidR="00D12D06" w:rsidRPr="00B0658A" w:rsidRDefault="00D12D06" w:rsidP="000A4114">
            <w:pPr>
              <w:spacing w:after="0" w:line="240" w:lineRule="auto"/>
              <w:jc w:val="both"/>
              <w:rPr>
                <w:rFonts w:ascii="Times New Roman" w:hAnsi="Times New Roman"/>
                <w:i/>
                <w:iCs/>
                <w:sz w:val="20"/>
                <w:szCs w:val="20"/>
              </w:rPr>
            </w:pPr>
          </w:p>
        </w:tc>
      </w:tr>
      <w:tr w:rsidR="00F52FED" w:rsidRPr="00B0658A" w14:paraId="514A3210" w14:textId="77777777" w:rsidTr="00B10FDE">
        <w:trPr>
          <w:trHeight w:val="170"/>
        </w:trPr>
        <w:tc>
          <w:tcPr>
            <w:tcW w:w="0" w:type="auto"/>
            <w:shd w:val="clear" w:color="auto" w:fill="auto"/>
          </w:tcPr>
          <w:p w14:paraId="3377B800" w14:textId="77777777" w:rsidR="00D12D06" w:rsidRPr="00B0658A" w:rsidRDefault="00D12D06" w:rsidP="000A4114">
            <w:pPr>
              <w:spacing w:after="0" w:line="240" w:lineRule="auto"/>
              <w:rPr>
                <w:rFonts w:ascii="Times New Roman" w:hAnsi="Times New Roman"/>
                <w:sz w:val="20"/>
                <w:szCs w:val="20"/>
              </w:rPr>
            </w:pPr>
            <w:r w:rsidRPr="00B0658A">
              <w:rPr>
                <w:rFonts w:ascii="Times New Roman" w:hAnsi="Times New Roman"/>
                <w:sz w:val="18"/>
                <w:szCs w:val="18"/>
              </w:rPr>
              <w:t>7.7</w:t>
            </w:r>
          </w:p>
        </w:tc>
        <w:tc>
          <w:tcPr>
            <w:tcW w:w="3432" w:type="dxa"/>
            <w:shd w:val="clear" w:color="auto" w:fill="auto"/>
            <w:vAlign w:val="center"/>
          </w:tcPr>
          <w:p w14:paraId="12DA9F69" w14:textId="77777777" w:rsidR="00D12D06" w:rsidRPr="00B0658A" w:rsidRDefault="00D12D06" w:rsidP="000A4114">
            <w:pPr>
              <w:spacing w:after="0" w:line="240" w:lineRule="auto"/>
              <w:rPr>
                <w:rFonts w:ascii="Times New Roman" w:hAnsi="Times New Roman"/>
                <w:sz w:val="20"/>
                <w:szCs w:val="20"/>
              </w:rPr>
            </w:pPr>
            <w:r w:rsidRPr="00B0658A">
              <w:rPr>
                <w:rFonts w:ascii="Times New Roman" w:hAnsi="Times New Roman"/>
                <w:sz w:val="18"/>
                <w:szCs w:val="18"/>
              </w:rPr>
              <w:t>Лингвистическое программное обеспечение/ Средства проверки правописания</w:t>
            </w:r>
          </w:p>
        </w:tc>
        <w:tc>
          <w:tcPr>
            <w:tcW w:w="1256" w:type="dxa"/>
          </w:tcPr>
          <w:p w14:paraId="68223697"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03952895"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0C429AEC"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723E0B73" w14:textId="77777777" w:rsidR="00D12D06" w:rsidRPr="00B0658A" w:rsidRDefault="00D12D06" w:rsidP="000A4114">
            <w:pPr>
              <w:spacing w:after="0" w:line="240" w:lineRule="auto"/>
              <w:jc w:val="both"/>
              <w:rPr>
                <w:rFonts w:ascii="Times New Roman" w:hAnsi="Times New Roman"/>
                <w:i/>
                <w:iCs/>
                <w:sz w:val="20"/>
                <w:szCs w:val="20"/>
              </w:rPr>
            </w:pPr>
          </w:p>
        </w:tc>
      </w:tr>
      <w:tr w:rsidR="00F52FED" w:rsidRPr="00B0658A" w14:paraId="39711726" w14:textId="77777777" w:rsidTr="00B10FDE">
        <w:trPr>
          <w:trHeight w:val="170"/>
        </w:trPr>
        <w:tc>
          <w:tcPr>
            <w:tcW w:w="0" w:type="auto"/>
            <w:shd w:val="clear" w:color="auto" w:fill="auto"/>
          </w:tcPr>
          <w:p w14:paraId="266F703F" w14:textId="77777777" w:rsidR="00D12D06" w:rsidRPr="00B0658A" w:rsidRDefault="00D12D06" w:rsidP="000A4114">
            <w:pPr>
              <w:spacing w:after="0" w:line="240" w:lineRule="auto"/>
              <w:rPr>
                <w:rFonts w:ascii="Times New Roman" w:hAnsi="Times New Roman"/>
                <w:sz w:val="20"/>
                <w:szCs w:val="20"/>
              </w:rPr>
            </w:pPr>
            <w:r w:rsidRPr="00B0658A">
              <w:rPr>
                <w:rFonts w:ascii="Times New Roman" w:hAnsi="Times New Roman"/>
                <w:sz w:val="18"/>
                <w:szCs w:val="18"/>
              </w:rPr>
              <w:t>8.1</w:t>
            </w:r>
          </w:p>
        </w:tc>
        <w:tc>
          <w:tcPr>
            <w:tcW w:w="3432" w:type="dxa"/>
            <w:shd w:val="clear" w:color="auto" w:fill="auto"/>
            <w:vAlign w:val="center"/>
          </w:tcPr>
          <w:p w14:paraId="1C31F1F6" w14:textId="77777777" w:rsidR="00D12D06" w:rsidRPr="00B0658A" w:rsidRDefault="00D12D06" w:rsidP="000A4114">
            <w:pPr>
              <w:spacing w:after="0" w:line="240" w:lineRule="auto"/>
              <w:rPr>
                <w:rFonts w:ascii="Times New Roman" w:hAnsi="Times New Roman"/>
                <w:sz w:val="20"/>
                <w:szCs w:val="20"/>
              </w:rPr>
            </w:pPr>
            <w:r w:rsidRPr="00B0658A">
              <w:rPr>
                <w:rFonts w:ascii="Times New Roman" w:hAnsi="Times New Roman"/>
                <w:sz w:val="18"/>
                <w:szCs w:val="18"/>
              </w:rPr>
              <w:t xml:space="preserve">Промышленное программное обеспечение/ Средства управления жизненным циклом изделия (PLM) </w:t>
            </w:r>
          </w:p>
        </w:tc>
        <w:tc>
          <w:tcPr>
            <w:tcW w:w="1256" w:type="dxa"/>
          </w:tcPr>
          <w:p w14:paraId="431C3260"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2BC555B5"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4C75C982"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5DC06860" w14:textId="77777777" w:rsidR="00D12D06" w:rsidRPr="00B0658A" w:rsidRDefault="00D12D06" w:rsidP="000A4114">
            <w:pPr>
              <w:spacing w:after="0" w:line="240" w:lineRule="auto"/>
              <w:jc w:val="both"/>
              <w:rPr>
                <w:rFonts w:ascii="Times New Roman" w:hAnsi="Times New Roman"/>
                <w:i/>
                <w:iCs/>
                <w:sz w:val="20"/>
                <w:szCs w:val="20"/>
              </w:rPr>
            </w:pPr>
          </w:p>
        </w:tc>
      </w:tr>
      <w:tr w:rsidR="00F52FED" w:rsidRPr="00B0658A" w14:paraId="42D894A6" w14:textId="77777777" w:rsidTr="00B10FDE">
        <w:trPr>
          <w:trHeight w:val="170"/>
        </w:trPr>
        <w:tc>
          <w:tcPr>
            <w:tcW w:w="0" w:type="auto"/>
            <w:shd w:val="clear" w:color="auto" w:fill="auto"/>
          </w:tcPr>
          <w:p w14:paraId="4291D257" w14:textId="77777777" w:rsidR="00D12D06" w:rsidRPr="00B0658A" w:rsidRDefault="00D12D06" w:rsidP="000A4114">
            <w:pPr>
              <w:spacing w:after="0" w:line="240" w:lineRule="auto"/>
              <w:rPr>
                <w:rFonts w:ascii="Times New Roman" w:hAnsi="Times New Roman"/>
                <w:sz w:val="20"/>
                <w:szCs w:val="20"/>
              </w:rPr>
            </w:pPr>
            <w:r w:rsidRPr="00B0658A">
              <w:rPr>
                <w:rFonts w:ascii="Times New Roman" w:hAnsi="Times New Roman"/>
                <w:sz w:val="18"/>
                <w:szCs w:val="18"/>
              </w:rPr>
              <w:t>8.2</w:t>
            </w:r>
          </w:p>
        </w:tc>
        <w:tc>
          <w:tcPr>
            <w:tcW w:w="3432" w:type="dxa"/>
            <w:shd w:val="clear" w:color="auto" w:fill="auto"/>
            <w:vAlign w:val="center"/>
          </w:tcPr>
          <w:p w14:paraId="6F3F1CA8" w14:textId="77777777" w:rsidR="00D12D06" w:rsidRPr="00B0658A" w:rsidRDefault="00D12D06" w:rsidP="000A4114">
            <w:pPr>
              <w:spacing w:after="0" w:line="240" w:lineRule="auto"/>
              <w:rPr>
                <w:rFonts w:ascii="Times New Roman" w:hAnsi="Times New Roman"/>
                <w:sz w:val="20"/>
                <w:szCs w:val="20"/>
              </w:rPr>
            </w:pPr>
            <w:r w:rsidRPr="00B0658A">
              <w:rPr>
                <w:rFonts w:ascii="Times New Roman" w:hAnsi="Times New Roman"/>
                <w:sz w:val="18"/>
                <w:szCs w:val="18"/>
              </w:rPr>
              <w:t>Промышленное программное обеспечение/ Универсальные машиностроительные средства автоматизированного проектирования (MCAD)</w:t>
            </w:r>
          </w:p>
        </w:tc>
        <w:tc>
          <w:tcPr>
            <w:tcW w:w="1256" w:type="dxa"/>
          </w:tcPr>
          <w:p w14:paraId="633B5D0E"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776DBE05"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481FC126"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0541A80C" w14:textId="77777777" w:rsidR="00D12D06" w:rsidRPr="00B0658A" w:rsidRDefault="00D12D06" w:rsidP="000A4114">
            <w:pPr>
              <w:spacing w:after="0" w:line="240" w:lineRule="auto"/>
              <w:jc w:val="both"/>
              <w:rPr>
                <w:rFonts w:ascii="Times New Roman" w:hAnsi="Times New Roman"/>
                <w:i/>
                <w:iCs/>
                <w:sz w:val="20"/>
                <w:szCs w:val="20"/>
              </w:rPr>
            </w:pPr>
          </w:p>
        </w:tc>
      </w:tr>
      <w:tr w:rsidR="00F52FED" w:rsidRPr="00B0658A" w14:paraId="58A3B197" w14:textId="77777777" w:rsidTr="00B10FDE">
        <w:trPr>
          <w:trHeight w:val="170"/>
        </w:trPr>
        <w:tc>
          <w:tcPr>
            <w:tcW w:w="0" w:type="auto"/>
            <w:shd w:val="clear" w:color="auto" w:fill="auto"/>
          </w:tcPr>
          <w:p w14:paraId="09CB784E" w14:textId="77777777" w:rsidR="00D12D06" w:rsidRPr="00B0658A" w:rsidRDefault="00D12D06" w:rsidP="000A4114">
            <w:pPr>
              <w:spacing w:after="0" w:line="240" w:lineRule="auto"/>
              <w:rPr>
                <w:rFonts w:ascii="Times New Roman" w:hAnsi="Times New Roman"/>
                <w:sz w:val="20"/>
                <w:szCs w:val="20"/>
              </w:rPr>
            </w:pPr>
            <w:r w:rsidRPr="00B0658A">
              <w:rPr>
                <w:rFonts w:ascii="Times New Roman" w:hAnsi="Times New Roman"/>
                <w:sz w:val="18"/>
                <w:szCs w:val="18"/>
              </w:rPr>
              <w:t>8.3</w:t>
            </w:r>
          </w:p>
        </w:tc>
        <w:tc>
          <w:tcPr>
            <w:tcW w:w="3432" w:type="dxa"/>
            <w:shd w:val="clear" w:color="auto" w:fill="auto"/>
            <w:vAlign w:val="center"/>
          </w:tcPr>
          <w:p w14:paraId="5DD2ED33" w14:textId="77777777" w:rsidR="00D12D06" w:rsidRPr="00B0658A" w:rsidRDefault="00D12D06" w:rsidP="000A4114">
            <w:pPr>
              <w:spacing w:after="0" w:line="240" w:lineRule="auto"/>
              <w:rPr>
                <w:rFonts w:ascii="Times New Roman" w:hAnsi="Times New Roman"/>
                <w:sz w:val="20"/>
                <w:szCs w:val="20"/>
              </w:rPr>
            </w:pPr>
            <w:r w:rsidRPr="00B0658A">
              <w:rPr>
                <w:rFonts w:ascii="Times New Roman" w:hAnsi="Times New Roman"/>
                <w:sz w:val="18"/>
                <w:szCs w:val="18"/>
              </w:rPr>
              <w:t>Промышленное программное обеспечение/ Средства автоматизированного проектирования (CAD)</w:t>
            </w:r>
          </w:p>
        </w:tc>
        <w:tc>
          <w:tcPr>
            <w:tcW w:w="1256" w:type="dxa"/>
          </w:tcPr>
          <w:p w14:paraId="7FE2A573"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34F22A82"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49558F46"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7266464B" w14:textId="77777777" w:rsidR="00D12D06" w:rsidRPr="00B0658A" w:rsidRDefault="00D12D06" w:rsidP="000A4114">
            <w:pPr>
              <w:spacing w:after="0" w:line="240" w:lineRule="auto"/>
              <w:jc w:val="both"/>
              <w:rPr>
                <w:rFonts w:ascii="Times New Roman" w:hAnsi="Times New Roman"/>
                <w:i/>
                <w:iCs/>
                <w:sz w:val="20"/>
                <w:szCs w:val="20"/>
              </w:rPr>
            </w:pPr>
          </w:p>
        </w:tc>
      </w:tr>
      <w:tr w:rsidR="00F52FED" w:rsidRPr="00B0658A" w14:paraId="4BDFDEB0" w14:textId="77777777" w:rsidTr="00B10FDE">
        <w:trPr>
          <w:trHeight w:val="170"/>
        </w:trPr>
        <w:tc>
          <w:tcPr>
            <w:tcW w:w="0" w:type="auto"/>
            <w:shd w:val="clear" w:color="auto" w:fill="auto"/>
          </w:tcPr>
          <w:p w14:paraId="1AE0E1EC" w14:textId="77777777" w:rsidR="00D12D06" w:rsidRPr="00B0658A" w:rsidRDefault="00D12D06" w:rsidP="000A4114">
            <w:pPr>
              <w:spacing w:after="0" w:line="240" w:lineRule="auto"/>
              <w:rPr>
                <w:rFonts w:ascii="Times New Roman" w:hAnsi="Times New Roman"/>
                <w:sz w:val="20"/>
                <w:szCs w:val="20"/>
              </w:rPr>
            </w:pPr>
            <w:r w:rsidRPr="00B0658A">
              <w:rPr>
                <w:rFonts w:ascii="Times New Roman" w:hAnsi="Times New Roman"/>
                <w:sz w:val="18"/>
                <w:szCs w:val="18"/>
              </w:rPr>
              <w:t>8.4</w:t>
            </w:r>
          </w:p>
        </w:tc>
        <w:tc>
          <w:tcPr>
            <w:tcW w:w="3432" w:type="dxa"/>
            <w:shd w:val="clear" w:color="auto" w:fill="auto"/>
            <w:vAlign w:val="center"/>
          </w:tcPr>
          <w:p w14:paraId="4047DC12" w14:textId="77777777" w:rsidR="00D12D06" w:rsidRPr="00B0658A" w:rsidRDefault="00D12D06" w:rsidP="000A4114">
            <w:pPr>
              <w:spacing w:after="0" w:line="240" w:lineRule="auto"/>
              <w:rPr>
                <w:rFonts w:ascii="Times New Roman" w:hAnsi="Times New Roman"/>
                <w:sz w:val="20"/>
                <w:szCs w:val="20"/>
              </w:rPr>
            </w:pPr>
            <w:r w:rsidRPr="00B0658A">
              <w:rPr>
                <w:rFonts w:ascii="Times New Roman" w:hAnsi="Times New Roman"/>
                <w:sz w:val="18"/>
                <w:szCs w:val="18"/>
              </w:rPr>
              <w:t xml:space="preserve">Промышленное программное обеспечение/ Средства автоматизированного проектирования для радиоэлектроники </w:t>
            </w:r>
            <w:r w:rsidRPr="00B0658A">
              <w:rPr>
                <w:rFonts w:ascii="Times New Roman" w:hAnsi="Times New Roman"/>
                <w:sz w:val="18"/>
                <w:szCs w:val="18"/>
              </w:rPr>
              <w:br/>
              <w:t>и электротехники (ECAD, EDA)</w:t>
            </w:r>
          </w:p>
        </w:tc>
        <w:tc>
          <w:tcPr>
            <w:tcW w:w="1256" w:type="dxa"/>
          </w:tcPr>
          <w:p w14:paraId="1FD2875E"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6A9FD90B"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1156682B"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3AE7060C" w14:textId="77777777" w:rsidR="00D12D06" w:rsidRPr="00B0658A" w:rsidRDefault="00D12D06" w:rsidP="000A4114">
            <w:pPr>
              <w:spacing w:after="0" w:line="240" w:lineRule="auto"/>
              <w:jc w:val="both"/>
              <w:rPr>
                <w:rFonts w:ascii="Times New Roman" w:hAnsi="Times New Roman"/>
                <w:i/>
                <w:iCs/>
                <w:sz w:val="20"/>
                <w:szCs w:val="20"/>
              </w:rPr>
            </w:pPr>
          </w:p>
        </w:tc>
      </w:tr>
      <w:tr w:rsidR="00F52FED" w:rsidRPr="00B0658A" w14:paraId="76DAE3D2" w14:textId="77777777" w:rsidTr="00B10FDE">
        <w:trPr>
          <w:trHeight w:val="170"/>
        </w:trPr>
        <w:tc>
          <w:tcPr>
            <w:tcW w:w="0" w:type="auto"/>
            <w:shd w:val="clear" w:color="auto" w:fill="auto"/>
          </w:tcPr>
          <w:p w14:paraId="666EE817" w14:textId="77777777" w:rsidR="00D12D06" w:rsidRPr="00B0658A" w:rsidRDefault="00D12D06" w:rsidP="000A4114">
            <w:pPr>
              <w:spacing w:after="0" w:line="240" w:lineRule="auto"/>
              <w:rPr>
                <w:rFonts w:ascii="Times New Roman" w:hAnsi="Times New Roman"/>
                <w:sz w:val="20"/>
                <w:szCs w:val="20"/>
              </w:rPr>
            </w:pPr>
            <w:r w:rsidRPr="00B0658A">
              <w:rPr>
                <w:rFonts w:ascii="Times New Roman" w:hAnsi="Times New Roman"/>
                <w:sz w:val="18"/>
                <w:szCs w:val="18"/>
              </w:rPr>
              <w:t>8.5</w:t>
            </w:r>
          </w:p>
        </w:tc>
        <w:tc>
          <w:tcPr>
            <w:tcW w:w="3432" w:type="dxa"/>
            <w:shd w:val="clear" w:color="auto" w:fill="auto"/>
            <w:vAlign w:val="center"/>
          </w:tcPr>
          <w:p w14:paraId="47CAB89C" w14:textId="77777777" w:rsidR="00D12D06" w:rsidRPr="00B0658A" w:rsidRDefault="00D12D06" w:rsidP="000A4114">
            <w:pPr>
              <w:spacing w:after="0" w:line="240" w:lineRule="auto"/>
              <w:rPr>
                <w:rFonts w:ascii="Times New Roman" w:hAnsi="Times New Roman"/>
                <w:sz w:val="20"/>
                <w:szCs w:val="20"/>
              </w:rPr>
            </w:pPr>
            <w:r w:rsidRPr="00B0658A">
              <w:rPr>
                <w:rFonts w:ascii="Times New Roman" w:hAnsi="Times New Roman"/>
                <w:sz w:val="18"/>
                <w:szCs w:val="18"/>
              </w:rPr>
              <w:t>Промышленное программное обеспечение/ Средства инженерного анализа (CAE)</w:t>
            </w:r>
          </w:p>
        </w:tc>
        <w:tc>
          <w:tcPr>
            <w:tcW w:w="1256" w:type="dxa"/>
          </w:tcPr>
          <w:p w14:paraId="471914FC"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2846D8FF"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40FF731F"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22F046DA" w14:textId="77777777" w:rsidR="00D12D06" w:rsidRPr="00B0658A" w:rsidRDefault="00D12D06" w:rsidP="000A4114">
            <w:pPr>
              <w:spacing w:after="0" w:line="240" w:lineRule="auto"/>
              <w:jc w:val="both"/>
              <w:rPr>
                <w:rFonts w:ascii="Times New Roman" w:hAnsi="Times New Roman"/>
                <w:i/>
                <w:iCs/>
                <w:sz w:val="20"/>
                <w:szCs w:val="20"/>
              </w:rPr>
            </w:pPr>
          </w:p>
        </w:tc>
      </w:tr>
      <w:tr w:rsidR="00F52FED" w:rsidRPr="00B0658A" w14:paraId="635E07A9" w14:textId="77777777" w:rsidTr="00B10FDE">
        <w:trPr>
          <w:trHeight w:val="170"/>
        </w:trPr>
        <w:tc>
          <w:tcPr>
            <w:tcW w:w="0" w:type="auto"/>
            <w:shd w:val="clear" w:color="auto" w:fill="auto"/>
          </w:tcPr>
          <w:p w14:paraId="4662EC32" w14:textId="77777777" w:rsidR="00D12D06" w:rsidRPr="00B0658A" w:rsidRDefault="00D12D06" w:rsidP="000A4114">
            <w:pPr>
              <w:spacing w:after="0" w:line="240" w:lineRule="auto"/>
              <w:rPr>
                <w:rFonts w:ascii="Times New Roman" w:hAnsi="Times New Roman"/>
                <w:sz w:val="20"/>
                <w:szCs w:val="20"/>
              </w:rPr>
            </w:pPr>
            <w:r w:rsidRPr="00B0658A">
              <w:rPr>
                <w:rFonts w:ascii="Times New Roman" w:hAnsi="Times New Roman"/>
                <w:sz w:val="18"/>
                <w:szCs w:val="18"/>
              </w:rPr>
              <w:t>8.6</w:t>
            </w:r>
          </w:p>
        </w:tc>
        <w:tc>
          <w:tcPr>
            <w:tcW w:w="3432" w:type="dxa"/>
            <w:shd w:val="clear" w:color="auto" w:fill="auto"/>
            <w:vAlign w:val="center"/>
          </w:tcPr>
          <w:p w14:paraId="5C0C0C36" w14:textId="77777777" w:rsidR="00D12D06" w:rsidRPr="00B0658A" w:rsidRDefault="00D12D06" w:rsidP="000A4114">
            <w:pPr>
              <w:spacing w:after="0" w:line="240" w:lineRule="auto"/>
              <w:rPr>
                <w:rFonts w:ascii="Times New Roman" w:hAnsi="Times New Roman"/>
                <w:sz w:val="20"/>
                <w:szCs w:val="20"/>
              </w:rPr>
            </w:pPr>
            <w:r w:rsidRPr="00B0658A">
              <w:rPr>
                <w:rFonts w:ascii="Times New Roman" w:hAnsi="Times New Roman"/>
                <w:sz w:val="18"/>
                <w:szCs w:val="18"/>
              </w:rPr>
              <w:t>Промышленное программное обеспечение/ Средства управления оборудованием с числовым программным управлением (CAM)</w:t>
            </w:r>
          </w:p>
        </w:tc>
        <w:tc>
          <w:tcPr>
            <w:tcW w:w="1256" w:type="dxa"/>
          </w:tcPr>
          <w:p w14:paraId="553D497C"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2B38FA08"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43DCD288"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09858C24" w14:textId="77777777" w:rsidR="00D12D06" w:rsidRPr="00B0658A" w:rsidRDefault="00D12D06" w:rsidP="000A4114">
            <w:pPr>
              <w:spacing w:after="0" w:line="240" w:lineRule="auto"/>
              <w:jc w:val="both"/>
              <w:rPr>
                <w:rFonts w:ascii="Times New Roman" w:hAnsi="Times New Roman"/>
                <w:i/>
                <w:iCs/>
                <w:sz w:val="20"/>
                <w:szCs w:val="20"/>
              </w:rPr>
            </w:pPr>
          </w:p>
        </w:tc>
      </w:tr>
      <w:tr w:rsidR="00F52FED" w:rsidRPr="00B0658A" w14:paraId="48BA4E72" w14:textId="77777777" w:rsidTr="00B10FDE">
        <w:trPr>
          <w:trHeight w:val="170"/>
        </w:trPr>
        <w:tc>
          <w:tcPr>
            <w:tcW w:w="0" w:type="auto"/>
            <w:shd w:val="clear" w:color="auto" w:fill="auto"/>
          </w:tcPr>
          <w:p w14:paraId="2958BC48" w14:textId="77777777" w:rsidR="00D12D06" w:rsidRPr="00B0658A" w:rsidRDefault="00D12D06" w:rsidP="000A4114">
            <w:pPr>
              <w:spacing w:after="0" w:line="240" w:lineRule="auto"/>
              <w:rPr>
                <w:rFonts w:ascii="Times New Roman" w:hAnsi="Times New Roman"/>
                <w:sz w:val="20"/>
                <w:szCs w:val="20"/>
              </w:rPr>
            </w:pPr>
            <w:r w:rsidRPr="00B0658A">
              <w:rPr>
                <w:rFonts w:ascii="Times New Roman" w:hAnsi="Times New Roman"/>
                <w:sz w:val="18"/>
                <w:szCs w:val="18"/>
              </w:rPr>
              <w:t>8.7</w:t>
            </w:r>
          </w:p>
        </w:tc>
        <w:tc>
          <w:tcPr>
            <w:tcW w:w="3432" w:type="dxa"/>
            <w:shd w:val="clear" w:color="auto" w:fill="auto"/>
            <w:vAlign w:val="center"/>
          </w:tcPr>
          <w:p w14:paraId="4C3BE07C" w14:textId="77777777" w:rsidR="00D12D06" w:rsidRPr="00B0658A" w:rsidRDefault="00D12D06" w:rsidP="000A4114">
            <w:pPr>
              <w:spacing w:after="0" w:line="240" w:lineRule="auto"/>
              <w:rPr>
                <w:rFonts w:ascii="Times New Roman" w:hAnsi="Times New Roman"/>
                <w:sz w:val="20"/>
                <w:szCs w:val="20"/>
              </w:rPr>
            </w:pPr>
            <w:r w:rsidRPr="00B0658A">
              <w:rPr>
                <w:rFonts w:ascii="Times New Roman" w:hAnsi="Times New Roman"/>
                <w:sz w:val="18"/>
                <w:szCs w:val="18"/>
              </w:rPr>
              <w:t>Промышленное программное обеспечение/ Средства технологической подготовки производства (CAPP)</w:t>
            </w:r>
          </w:p>
        </w:tc>
        <w:tc>
          <w:tcPr>
            <w:tcW w:w="1256" w:type="dxa"/>
          </w:tcPr>
          <w:p w14:paraId="301FD615"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50649FB9"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3F50499C"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0624B181" w14:textId="77777777" w:rsidR="00D12D06" w:rsidRPr="00B0658A" w:rsidRDefault="00D12D06" w:rsidP="000A4114">
            <w:pPr>
              <w:spacing w:after="0" w:line="240" w:lineRule="auto"/>
              <w:jc w:val="both"/>
              <w:rPr>
                <w:rFonts w:ascii="Times New Roman" w:hAnsi="Times New Roman"/>
                <w:i/>
                <w:iCs/>
                <w:sz w:val="20"/>
                <w:szCs w:val="20"/>
              </w:rPr>
            </w:pPr>
          </w:p>
        </w:tc>
      </w:tr>
      <w:tr w:rsidR="00F52FED" w:rsidRPr="00B0658A" w14:paraId="726CE19D" w14:textId="77777777" w:rsidTr="00B10FDE">
        <w:trPr>
          <w:trHeight w:val="170"/>
        </w:trPr>
        <w:tc>
          <w:tcPr>
            <w:tcW w:w="0" w:type="auto"/>
            <w:shd w:val="clear" w:color="auto" w:fill="auto"/>
          </w:tcPr>
          <w:p w14:paraId="2E60482D" w14:textId="77777777" w:rsidR="00D12D06" w:rsidRPr="00B0658A" w:rsidRDefault="00D12D06" w:rsidP="000A4114">
            <w:pPr>
              <w:spacing w:after="0" w:line="240" w:lineRule="auto"/>
              <w:rPr>
                <w:rFonts w:ascii="Times New Roman" w:hAnsi="Times New Roman"/>
                <w:sz w:val="20"/>
                <w:szCs w:val="20"/>
              </w:rPr>
            </w:pPr>
            <w:r w:rsidRPr="00B0658A">
              <w:rPr>
                <w:rFonts w:ascii="Times New Roman" w:hAnsi="Times New Roman"/>
                <w:sz w:val="18"/>
                <w:szCs w:val="18"/>
              </w:rPr>
              <w:t>8.8</w:t>
            </w:r>
          </w:p>
        </w:tc>
        <w:tc>
          <w:tcPr>
            <w:tcW w:w="3432" w:type="dxa"/>
            <w:shd w:val="clear" w:color="auto" w:fill="auto"/>
            <w:vAlign w:val="center"/>
          </w:tcPr>
          <w:p w14:paraId="3EBDBB3E" w14:textId="77777777" w:rsidR="00D12D06" w:rsidRPr="00B0658A" w:rsidRDefault="00D12D06" w:rsidP="000A4114">
            <w:pPr>
              <w:spacing w:after="0" w:line="240" w:lineRule="auto"/>
              <w:rPr>
                <w:rFonts w:ascii="Times New Roman" w:hAnsi="Times New Roman"/>
                <w:sz w:val="20"/>
                <w:szCs w:val="20"/>
              </w:rPr>
            </w:pPr>
            <w:r w:rsidRPr="00B0658A">
              <w:rPr>
                <w:rFonts w:ascii="Times New Roman" w:hAnsi="Times New Roman"/>
                <w:sz w:val="18"/>
                <w:szCs w:val="18"/>
              </w:rPr>
              <w:t xml:space="preserve">Промышленное программное обеспечение/ Средства управления инженерными данными </w:t>
            </w:r>
            <w:r w:rsidRPr="00B0658A">
              <w:rPr>
                <w:rFonts w:ascii="Times New Roman" w:hAnsi="Times New Roman"/>
                <w:sz w:val="18"/>
                <w:szCs w:val="18"/>
              </w:rPr>
              <w:br/>
              <w:t>об изделии (PDM)</w:t>
            </w:r>
          </w:p>
        </w:tc>
        <w:tc>
          <w:tcPr>
            <w:tcW w:w="1256" w:type="dxa"/>
          </w:tcPr>
          <w:p w14:paraId="0FC50BA6"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155C95C8"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1BEACF28"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1A19FF89" w14:textId="77777777" w:rsidR="00D12D06" w:rsidRPr="00B0658A" w:rsidRDefault="00D12D06" w:rsidP="000A4114">
            <w:pPr>
              <w:spacing w:after="0" w:line="240" w:lineRule="auto"/>
              <w:jc w:val="both"/>
              <w:rPr>
                <w:rFonts w:ascii="Times New Roman" w:hAnsi="Times New Roman"/>
                <w:i/>
                <w:iCs/>
                <w:sz w:val="20"/>
                <w:szCs w:val="20"/>
              </w:rPr>
            </w:pPr>
          </w:p>
        </w:tc>
      </w:tr>
      <w:tr w:rsidR="00F52FED" w:rsidRPr="00B0658A" w14:paraId="0CB4226E" w14:textId="77777777" w:rsidTr="00B10FDE">
        <w:trPr>
          <w:trHeight w:val="170"/>
        </w:trPr>
        <w:tc>
          <w:tcPr>
            <w:tcW w:w="0" w:type="auto"/>
            <w:shd w:val="clear" w:color="auto" w:fill="auto"/>
          </w:tcPr>
          <w:p w14:paraId="561842BD" w14:textId="77777777" w:rsidR="00D12D06" w:rsidRPr="00B0658A" w:rsidRDefault="00D12D06" w:rsidP="000A4114">
            <w:pPr>
              <w:spacing w:after="0" w:line="240" w:lineRule="auto"/>
              <w:rPr>
                <w:rFonts w:ascii="Times New Roman" w:hAnsi="Times New Roman"/>
                <w:sz w:val="20"/>
                <w:szCs w:val="20"/>
              </w:rPr>
            </w:pPr>
            <w:r w:rsidRPr="00B0658A">
              <w:rPr>
                <w:rFonts w:ascii="Times New Roman" w:hAnsi="Times New Roman"/>
                <w:sz w:val="18"/>
                <w:szCs w:val="18"/>
              </w:rPr>
              <w:t>8.9</w:t>
            </w:r>
          </w:p>
        </w:tc>
        <w:tc>
          <w:tcPr>
            <w:tcW w:w="3432" w:type="dxa"/>
            <w:shd w:val="clear" w:color="auto" w:fill="auto"/>
            <w:vAlign w:val="center"/>
          </w:tcPr>
          <w:p w14:paraId="7BC52C7D" w14:textId="77777777" w:rsidR="00D12D06" w:rsidRPr="00B0658A" w:rsidRDefault="00D12D06" w:rsidP="000A4114">
            <w:pPr>
              <w:spacing w:after="0" w:line="240" w:lineRule="auto"/>
              <w:rPr>
                <w:rFonts w:ascii="Times New Roman" w:hAnsi="Times New Roman"/>
                <w:sz w:val="20"/>
                <w:szCs w:val="20"/>
              </w:rPr>
            </w:pPr>
            <w:r w:rsidRPr="00B0658A">
              <w:rPr>
                <w:rFonts w:ascii="Times New Roman" w:hAnsi="Times New Roman"/>
                <w:sz w:val="18"/>
                <w:szCs w:val="18"/>
              </w:rPr>
              <w:t xml:space="preserve">Промышленное программное обеспечение / Средства информационного моделирования зданий </w:t>
            </w:r>
            <w:r w:rsidRPr="00B0658A">
              <w:rPr>
                <w:rFonts w:ascii="Times New Roman" w:hAnsi="Times New Roman"/>
                <w:sz w:val="18"/>
                <w:szCs w:val="18"/>
              </w:rPr>
              <w:br/>
              <w:t>и сооружений, архитектурно-строительного проектирования (BIM, AEC CAD)</w:t>
            </w:r>
          </w:p>
        </w:tc>
        <w:tc>
          <w:tcPr>
            <w:tcW w:w="1256" w:type="dxa"/>
          </w:tcPr>
          <w:p w14:paraId="5648C3D3"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408D5EC7"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0A79CC11"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7D965E7F" w14:textId="77777777" w:rsidR="00D12D06" w:rsidRPr="00B0658A" w:rsidRDefault="00D12D06" w:rsidP="000A4114">
            <w:pPr>
              <w:spacing w:after="0" w:line="240" w:lineRule="auto"/>
              <w:jc w:val="both"/>
              <w:rPr>
                <w:rFonts w:ascii="Times New Roman" w:hAnsi="Times New Roman"/>
                <w:i/>
                <w:iCs/>
                <w:sz w:val="20"/>
                <w:szCs w:val="20"/>
              </w:rPr>
            </w:pPr>
          </w:p>
        </w:tc>
      </w:tr>
      <w:tr w:rsidR="00F52FED" w:rsidRPr="00B0658A" w14:paraId="080CFB75" w14:textId="77777777" w:rsidTr="00B10FDE">
        <w:trPr>
          <w:trHeight w:val="170"/>
        </w:trPr>
        <w:tc>
          <w:tcPr>
            <w:tcW w:w="0" w:type="auto"/>
            <w:shd w:val="clear" w:color="auto" w:fill="auto"/>
          </w:tcPr>
          <w:p w14:paraId="759985D6" w14:textId="77777777" w:rsidR="00D12D06" w:rsidRPr="00B0658A" w:rsidRDefault="00D12D06" w:rsidP="000A4114">
            <w:pPr>
              <w:spacing w:after="0" w:line="240" w:lineRule="auto"/>
              <w:rPr>
                <w:rFonts w:ascii="Times New Roman" w:hAnsi="Times New Roman"/>
                <w:sz w:val="20"/>
                <w:szCs w:val="20"/>
              </w:rPr>
            </w:pPr>
            <w:r w:rsidRPr="00B0658A">
              <w:rPr>
                <w:rFonts w:ascii="Times New Roman" w:hAnsi="Times New Roman"/>
                <w:sz w:val="18"/>
                <w:szCs w:val="18"/>
              </w:rPr>
              <w:t>8.10</w:t>
            </w:r>
          </w:p>
        </w:tc>
        <w:tc>
          <w:tcPr>
            <w:tcW w:w="3432" w:type="dxa"/>
            <w:shd w:val="clear" w:color="auto" w:fill="auto"/>
            <w:vAlign w:val="center"/>
          </w:tcPr>
          <w:p w14:paraId="1DB06592" w14:textId="77777777" w:rsidR="00D12D06" w:rsidRPr="00B0658A" w:rsidRDefault="00D12D06" w:rsidP="000A4114">
            <w:pPr>
              <w:spacing w:after="0" w:line="240" w:lineRule="auto"/>
              <w:rPr>
                <w:rFonts w:ascii="Times New Roman" w:hAnsi="Times New Roman"/>
                <w:sz w:val="20"/>
                <w:szCs w:val="20"/>
              </w:rPr>
            </w:pPr>
            <w:r w:rsidRPr="00B0658A">
              <w:rPr>
                <w:rFonts w:ascii="Times New Roman" w:hAnsi="Times New Roman"/>
                <w:sz w:val="18"/>
                <w:szCs w:val="18"/>
              </w:rPr>
              <w:t>Промышленное программное обеспечение/ Средства усовершенствованного управления технологическими процессами (APC, RTO)</w:t>
            </w:r>
          </w:p>
        </w:tc>
        <w:tc>
          <w:tcPr>
            <w:tcW w:w="1256" w:type="dxa"/>
          </w:tcPr>
          <w:p w14:paraId="13354B36"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7E9320CB"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6D5E0534"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4AFA86AA" w14:textId="77777777" w:rsidR="00D12D06" w:rsidRPr="00B0658A" w:rsidRDefault="00D12D06" w:rsidP="000A4114">
            <w:pPr>
              <w:spacing w:after="0" w:line="240" w:lineRule="auto"/>
              <w:jc w:val="both"/>
              <w:rPr>
                <w:rFonts w:ascii="Times New Roman" w:hAnsi="Times New Roman"/>
                <w:i/>
                <w:iCs/>
                <w:sz w:val="20"/>
                <w:szCs w:val="20"/>
              </w:rPr>
            </w:pPr>
          </w:p>
        </w:tc>
      </w:tr>
      <w:tr w:rsidR="00F52FED" w:rsidRPr="00B0658A" w14:paraId="4F9AF9A1" w14:textId="77777777" w:rsidTr="00B10FDE">
        <w:trPr>
          <w:trHeight w:val="170"/>
        </w:trPr>
        <w:tc>
          <w:tcPr>
            <w:tcW w:w="0" w:type="auto"/>
            <w:shd w:val="clear" w:color="auto" w:fill="auto"/>
          </w:tcPr>
          <w:p w14:paraId="751766DB" w14:textId="77777777" w:rsidR="00D12D06" w:rsidRPr="00B0658A" w:rsidRDefault="00D12D06" w:rsidP="000A4114">
            <w:pPr>
              <w:spacing w:after="0" w:line="240" w:lineRule="auto"/>
              <w:rPr>
                <w:rFonts w:ascii="Times New Roman" w:hAnsi="Times New Roman"/>
                <w:sz w:val="20"/>
                <w:szCs w:val="20"/>
              </w:rPr>
            </w:pPr>
            <w:r w:rsidRPr="00B0658A">
              <w:rPr>
                <w:rFonts w:ascii="Times New Roman" w:hAnsi="Times New Roman"/>
                <w:sz w:val="18"/>
                <w:szCs w:val="18"/>
              </w:rPr>
              <w:t>8.11</w:t>
            </w:r>
          </w:p>
        </w:tc>
        <w:tc>
          <w:tcPr>
            <w:tcW w:w="3432" w:type="dxa"/>
            <w:shd w:val="clear" w:color="auto" w:fill="auto"/>
            <w:vAlign w:val="center"/>
          </w:tcPr>
          <w:p w14:paraId="1DD1D7F9" w14:textId="77777777" w:rsidR="00D12D06" w:rsidRPr="00B0658A" w:rsidRDefault="00D12D06" w:rsidP="000A4114">
            <w:pPr>
              <w:spacing w:after="0" w:line="240" w:lineRule="auto"/>
              <w:rPr>
                <w:rFonts w:ascii="Times New Roman" w:hAnsi="Times New Roman"/>
                <w:sz w:val="20"/>
                <w:szCs w:val="20"/>
              </w:rPr>
            </w:pPr>
            <w:r w:rsidRPr="00B0658A">
              <w:rPr>
                <w:rFonts w:ascii="Times New Roman" w:hAnsi="Times New Roman"/>
                <w:sz w:val="18"/>
                <w:szCs w:val="18"/>
              </w:rPr>
              <w:t>Промышленное программное обеспечение / Средства автоматизированного управления техникой</w:t>
            </w:r>
          </w:p>
        </w:tc>
        <w:tc>
          <w:tcPr>
            <w:tcW w:w="1256" w:type="dxa"/>
          </w:tcPr>
          <w:p w14:paraId="16571B0A"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26B50F39"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0B15C737"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5D8843B9" w14:textId="77777777" w:rsidR="00D12D06" w:rsidRPr="00B0658A" w:rsidRDefault="00D12D06" w:rsidP="000A4114">
            <w:pPr>
              <w:spacing w:after="0" w:line="240" w:lineRule="auto"/>
              <w:jc w:val="both"/>
              <w:rPr>
                <w:rFonts w:ascii="Times New Roman" w:hAnsi="Times New Roman"/>
                <w:i/>
                <w:iCs/>
                <w:sz w:val="20"/>
                <w:szCs w:val="20"/>
              </w:rPr>
            </w:pPr>
          </w:p>
        </w:tc>
      </w:tr>
      <w:tr w:rsidR="00F52FED" w:rsidRPr="00B0658A" w14:paraId="1E9B9466" w14:textId="77777777" w:rsidTr="00B10FDE">
        <w:trPr>
          <w:trHeight w:val="170"/>
        </w:trPr>
        <w:tc>
          <w:tcPr>
            <w:tcW w:w="0" w:type="auto"/>
            <w:shd w:val="clear" w:color="auto" w:fill="auto"/>
          </w:tcPr>
          <w:p w14:paraId="07678523" w14:textId="77777777" w:rsidR="00D12D06" w:rsidRPr="00B0658A" w:rsidRDefault="00D12D06" w:rsidP="000A4114">
            <w:pPr>
              <w:spacing w:after="0" w:line="240" w:lineRule="auto"/>
              <w:rPr>
                <w:rFonts w:ascii="Times New Roman" w:hAnsi="Times New Roman"/>
                <w:sz w:val="20"/>
                <w:szCs w:val="20"/>
              </w:rPr>
            </w:pPr>
            <w:r w:rsidRPr="00B0658A">
              <w:rPr>
                <w:rFonts w:ascii="Times New Roman" w:hAnsi="Times New Roman"/>
                <w:sz w:val="18"/>
                <w:szCs w:val="18"/>
              </w:rPr>
              <w:t>9.1</w:t>
            </w:r>
          </w:p>
        </w:tc>
        <w:tc>
          <w:tcPr>
            <w:tcW w:w="3432" w:type="dxa"/>
            <w:shd w:val="clear" w:color="auto" w:fill="auto"/>
            <w:vAlign w:val="center"/>
          </w:tcPr>
          <w:p w14:paraId="296B358E" w14:textId="77777777" w:rsidR="00D12D06" w:rsidRPr="00B0658A" w:rsidRDefault="00D12D06" w:rsidP="000A4114">
            <w:pPr>
              <w:spacing w:after="0" w:line="240" w:lineRule="auto"/>
              <w:rPr>
                <w:rFonts w:ascii="Times New Roman" w:hAnsi="Times New Roman"/>
                <w:sz w:val="20"/>
                <w:szCs w:val="20"/>
              </w:rPr>
            </w:pPr>
            <w:r w:rsidRPr="00B0658A">
              <w:rPr>
                <w:rFonts w:ascii="Times New Roman" w:hAnsi="Times New Roman"/>
                <w:sz w:val="18"/>
                <w:szCs w:val="18"/>
              </w:rPr>
              <w:t>Средства управления процессами организации / Средства управления бизнес-процессами (BPM)</w:t>
            </w:r>
          </w:p>
        </w:tc>
        <w:tc>
          <w:tcPr>
            <w:tcW w:w="1256" w:type="dxa"/>
          </w:tcPr>
          <w:p w14:paraId="10F25803"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3C27333F"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46E5CEA7"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7935C38B" w14:textId="77777777" w:rsidR="00D12D06" w:rsidRPr="00B0658A" w:rsidRDefault="00D12D06" w:rsidP="000A4114">
            <w:pPr>
              <w:spacing w:after="0" w:line="240" w:lineRule="auto"/>
              <w:jc w:val="both"/>
              <w:rPr>
                <w:rFonts w:ascii="Times New Roman" w:hAnsi="Times New Roman"/>
                <w:i/>
                <w:iCs/>
                <w:sz w:val="20"/>
                <w:szCs w:val="20"/>
              </w:rPr>
            </w:pPr>
          </w:p>
        </w:tc>
      </w:tr>
      <w:tr w:rsidR="00F52FED" w:rsidRPr="00B0658A" w14:paraId="2CB92719" w14:textId="77777777" w:rsidTr="00B10FDE">
        <w:trPr>
          <w:trHeight w:val="170"/>
        </w:trPr>
        <w:tc>
          <w:tcPr>
            <w:tcW w:w="0" w:type="auto"/>
            <w:shd w:val="clear" w:color="auto" w:fill="auto"/>
          </w:tcPr>
          <w:p w14:paraId="5198CBEB" w14:textId="77777777" w:rsidR="00D12D06" w:rsidRPr="00B0658A" w:rsidRDefault="00D12D06" w:rsidP="000A4114">
            <w:pPr>
              <w:spacing w:after="0" w:line="240" w:lineRule="auto"/>
              <w:rPr>
                <w:rFonts w:ascii="Times New Roman" w:hAnsi="Times New Roman"/>
                <w:sz w:val="20"/>
                <w:szCs w:val="20"/>
              </w:rPr>
            </w:pPr>
            <w:r w:rsidRPr="00B0658A">
              <w:rPr>
                <w:rFonts w:ascii="Times New Roman" w:hAnsi="Times New Roman"/>
                <w:sz w:val="18"/>
                <w:szCs w:val="18"/>
              </w:rPr>
              <w:t>9.2</w:t>
            </w:r>
          </w:p>
        </w:tc>
        <w:tc>
          <w:tcPr>
            <w:tcW w:w="3432" w:type="dxa"/>
            <w:shd w:val="clear" w:color="auto" w:fill="auto"/>
            <w:vAlign w:val="center"/>
          </w:tcPr>
          <w:p w14:paraId="6DD3DF6B" w14:textId="77777777" w:rsidR="00D12D06" w:rsidRPr="00B0658A" w:rsidRDefault="00D12D06" w:rsidP="000A4114">
            <w:pPr>
              <w:spacing w:after="0" w:line="240" w:lineRule="auto"/>
              <w:rPr>
                <w:rFonts w:ascii="Times New Roman" w:hAnsi="Times New Roman"/>
                <w:sz w:val="20"/>
                <w:szCs w:val="20"/>
              </w:rPr>
            </w:pPr>
            <w:r w:rsidRPr="00B0658A">
              <w:rPr>
                <w:rFonts w:ascii="Times New Roman" w:hAnsi="Times New Roman"/>
                <w:sz w:val="18"/>
                <w:szCs w:val="18"/>
              </w:rPr>
              <w:t>Средства управления процессами организации/ Средства управления производственными процессами (MES)</w:t>
            </w:r>
          </w:p>
        </w:tc>
        <w:tc>
          <w:tcPr>
            <w:tcW w:w="1256" w:type="dxa"/>
          </w:tcPr>
          <w:p w14:paraId="742EFF08"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49FADD27"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3802F5C3"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649B1673" w14:textId="77777777" w:rsidR="00D12D06" w:rsidRPr="00B0658A" w:rsidRDefault="00D12D06" w:rsidP="000A4114">
            <w:pPr>
              <w:spacing w:after="0" w:line="240" w:lineRule="auto"/>
              <w:jc w:val="both"/>
              <w:rPr>
                <w:rFonts w:ascii="Times New Roman" w:hAnsi="Times New Roman"/>
                <w:i/>
                <w:iCs/>
                <w:sz w:val="20"/>
                <w:szCs w:val="20"/>
              </w:rPr>
            </w:pPr>
          </w:p>
        </w:tc>
      </w:tr>
      <w:tr w:rsidR="00F52FED" w:rsidRPr="00B0658A" w14:paraId="7B182B5F" w14:textId="77777777" w:rsidTr="00B10FDE">
        <w:trPr>
          <w:trHeight w:val="170"/>
        </w:trPr>
        <w:tc>
          <w:tcPr>
            <w:tcW w:w="0" w:type="auto"/>
            <w:shd w:val="clear" w:color="auto" w:fill="auto"/>
          </w:tcPr>
          <w:p w14:paraId="561DC472" w14:textId="77777777" w:rsidR="00D12D06" w:rsidRPr="00B0658A" w:rsidRDefault="00D12D06" w:rsidP="000A4114">
            <w:pPr>
              <w:spacing w:after="0" w:line="240" w:lineRule="auto"/>
              <w:rPr>
                <w:rFonts w:ascii="Times New Roman" w:hAnsi="Times New Roman"/>
                <w:sz w:val="20"/>
                <w:szCs w:val="20"/>
              </w:rPr>
            </w:pPr>
            <w:r w:rsidRPr="00B0658A">
              <w:rPr>
                <w:rFonts w:ascii="Times New Roman" w:hAnsi="Times New Roman"/>
                <w:sz w:val="18"/>
                <w:szCs w:val="18"/>
              </w:rPr>
              <w:t>9.3</w:t>
            </w:r>
          </w:p>
        </w:tc>
        <w:tc>
          <w:tcPr>
            <w:tcW w:w="3432" w:type="dxa"/>
            <w:shd w:val="clear" w:color="auto" w:fill="auto"/>
            <w:vAlign w:val="center"/>
          </w:tcPr>
          <w:p w14:paraId="4F062580" w14:textId="77777777" w:rsidR="00D12D06" w:rsidRPr="00B0658A" w:rsidRDefault="00D12D06" w:rsidP="000A4114">
            <w:pPr>
              <w:spacing w:after="0" w:line="240" w:lineRule="auto"/>
              <w:rPr>
                <w:rFonts w:ascii="Times New Roman" w:hAnsi="Times New Roman"/>
                <w:sz w:val="20"/>
                <w:szCs w:val="20"/>
              </w:rPr>
            </w:pPr>
            <w:r w:rsidRPr="00B0658A">
              <w:rPr>
                <w:rFonts w:ascii="Times New Roman" w:hAnsi="Times New Roman"/>
                <w:sz w:val="18"/>
                <w:szCs w:val="18"/>
              </w:rPr>
              <w:t>Средства управления процессами организации / Средства управления лабораторными потоками работ и документов (LIMS)</w:t>
            </w:r>
          </w:p>
        </w:tc>
        <w:tc>
          <w:tcPr>
            <w:tcW w:w="1256" w:type="dxa"/>
          </w:tcPr>
          <w:p w14:paraId="39D98268"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686CA0A0"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2A5B19F4"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03FF7AD7" w14:textId="77777777" w:rsidR="00D12D06" w:rsidRPr="00B0658A" w:rsidRDefault="00D12D06" w:rsidP="000A4114">
            <w:pPr>
              <w:spacing w:after="0" w:line="240" w:lineRule="auto"/>
              <w:jc w:val="both"/>
              <w:rPr>
                <w:rFonts w:ascii="Times New Roman" w:hAnsi="Times New Roman"/>
                <w:i/>
                <w:iCs/>
                <w:sz w:val="20"/>
                <w:szCs w:val="20"/>
              </w:rPr>
            </w:pPr>
          </w:p>
        </w:tc>
      </w:tr>
      <w:tr w:rsidR="00F52FED" w:rsidRPr="00B0658A" w14:paraId="1DF35439" w14:textId="77777777" w:rsidTr="00B10FDE">
        <w:trPr>
          <w:trHeight w:val="170"/>
        </w:trPr>
        <w:tc>
          <w:tcPr>
            <w:tcW w:w="0" w:type="auto"/>
            <w:shd w:val="clear" w:color="auto" w:fill="auto"/>
          </w:tcPr>
          <w:p w14:paraId="6944CE3A" w14:textId="77777777" w:rsidR="00D12D06" w:rsidRPr="00B0658A" w:rsidRDefault="00D12D06" w:rsidP="000A4114">
            <w:pPr>
              <w:spacing w:after="0" w:line="240" w:lineRule="auto"/>
              <w:rPr>
                <w:rFonts w:ascii="Times New Roman" w:hAnsi="Times New Roman"/>
                <w:sz w:val="20"/>
                <w:szCs w:val="20"/>
              </w:rPr>
            </w:pPr>
            <w:r w:rsidRPr="00B0658A">
              <w:rPr>
                <w:rFonts w:ascii="Times New Roman" w:hAnsi="Times New Roman"/>
                <w:sz w:val="18"/>
                <w:szCs w:val="18"/>
              </w:rPr>
              <w:t>9.4</w:t>
            </w:r>
          </w:p>
        </w:tc>
        <w:tc>
          <w:tcPr>
            <w:tcW w:w="3432" w:type="dxa"/>
            <w:shd w:val="clear" w:color="auto" w:fill="auto"/>
            <w:vAlign w:val="center"/>
          </w:tcPr>
          <w:p w14:paraId="0FA86482" w14:textId="77777777" w:rsidR="00D12D06" w:rsidRPr="00B0658A" w:rsidRDefault="00D12D06" w:rsidP="000A4114">
            <w:pPr>
              <w:spacing w:after="0" w:line="240" w:lineRule="auto"/>
              <w:rPr>
                <w:rFonts w:ascii="Times New Roman" w:hAnsi="Times New Roman"/>
                <w:sz w:val="20"/>
                <w:szCs w:val="20"/>
              </w:rPr>
            </w:pPr>
            <w:r w:rsidRPr="00B0658A">
              <w:rPr>
                <w:rFonts w:ascii="Times New Roman" w:hAnsi="Times New Roman"/>
                <w:sz w:val="18"/>
                <w:szCs w:val="18"/>
              </w:rPr>
              <w:t>Средства управления процессами организации/ Средства управления технологическими процессами (АСУ ТП, SCADA)</w:t>
            </w:r>
          </w:p>
        </w:tc>
        <w:tc>
          <w:tcPr>
            <w:tcW w:w="1256" w:type="dxa"/>
          </w:tcPr>
          <w:p w14:paraId="4A24961C"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789F8390"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1A8731E3"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4F918DA2" w14:textId="77777777" w:rsidR="00D12D06" w:rsidRPr="00B0658A" w:rsidRDefault="00D12D06" w:rsidP="000A4114">
            <w:pPr>
              <w:spacing w:after="0" w:line="240" w:lineRule="auto"/>
              <w:jc w:val="both"/>
              <w:rPr>
                <w:rFonts w:ascii="Times New Roman" w:hAnsi="Times New Roman"/>
                <w:i/>
                <w:iCs/>
                <w:sz w:val="20"/>
                <w:szCs w:val="20"/>
              </w:rPr>
            </w:pPr>
          </w:p>
        </w:tc>
      </w:tr>
      <w:tr w:rsidR="00F52FED" w:rsidRPr="00B0658A" w14:paraId="34E828BE" w14:textId="77777777" w:rsidTr="00B10FDE">
        <w:trPr>
          <w:trHeight w:val="170"/>
        </w:trPr>
        <w:tc>
          <w:tcPr>
            <w:tcW w:w="0" w:type="auto"/>
            <w:shd w:val="clear" w:color="auto" w:fill="auto"/>
          </w:tcPr>
          <w:p w14:paraId="1AF2D66A" w14:textId="77777777" w:rsidR="00D12D06" w:rsidRPr="00B0658A" w:rsidRDefault="00D12D06" w:rsidP="000A4114">
            <w:pPr>
              <w:spacing w:after="0" w:line="240" w:lineRule="auto"/>
              <w:rPr>
                <w:rFonts w:ascii="Times New Roman" w:hAnsi="Times New Roman"/>
                <w:sz w:val="20"/>
                <w:szCs w:val="20"/>
              </w:rPr>
            </w:pPr>
            <w:r w:rsidRPr="00B0658A">
              <w:rPr>
                <w:rFonts w:ascii="Times New Roman" w:hAnsi="Times New Roman"/>
                <w:sz w:val="18"/>
                <w:szCs w:val="18"/>
              </w:rPr>
              <w:t>9.5</w:t>
            </w:r>
          </w:p>
        </w:tc>
        <w:tc>
          <w:tcPr>
            <w:tcW w:w="3432" w:type="dxa"/>
            <w:shd w:val="clear" w:color="auto" w:fill="auto"/>
            <w:vAlign w:val="center"/>
          </w:tcPr>
          <w:p w14:paraId="711873D3" w14:textId="77777777" w:rsidR="00D12D06" w:rsidRPr="00B0658A" w:rsidRDefault="00D12D06" w:rsidP="000A4114">
            <w:pPr>
              <w:spacing w:after="0" w:line="240" w:lineRule="auto"/>
              <w:rPr>
                <w:rFonts w:ascii="Times New Roman" w:hAnsi="Times New Roman"/>
                <w:sz w:val="20"/>
                <w:szCs w:val="20"/>
              </w:rPr>
            </w:pPr>
            <w:r w:rsidRPr="00B0658A">
              <w:rPr>
                <w:rFonts w:ascii="Times New Roman" w:hAnsi="Times New Roman"/>
                <w:sz w:val="18"/>
                <w:szCs w:val="18"/>
              </w:rPr>
              <w:t>Средства управления процессами организации/ Средства управления эффективностью предприятия (CPM/EPM)</w:t>
            </w:r>
          </w:p>
        </w:tc>
        <w:tc>
          <w:tcPr>
            <w:tcW w:w="1256" w:type="dxa"/>
          </w:tcPr>
          <w:p w14:paraId="52206541"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3FD95557"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0FABC592"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4BC73925" w14:textId="77777777" w:rsidR="00D12D06" w:rsidRPr="00B0658A" w:rsidRDefault="00D12D06" w:rsidP="000A4114">
            <w:pPr>
              <w:spacing w:after="0" w:line="240" w:lineRule="auto"/>
              <w:jc w:val="both"/>
              <w:rPr>
                <w:rFonts w:ascii="Times New Roman" w:hAnsi="Times New Roman"/>
                <w:i/>
                <w:iCs/>
                <w:sz w:val="20"/>
                <w:szCs w:val="20"/>
              </w:rPr>
            </w:pPr>
          </w:p>
        </w:tc>
      </w:tr>
      <w:tr w:rsidR="00F52FED" w:rsidRPr="00B0658A" w14:paraId="13E7EB79" w14:textId="77777777" w:rsidTr="00B10FDE">
        <w:trPr>
          <w:trHeight w:val="170"/>
        </w:trPr>
        <w:tc>
          <w:tcPr>
            <w:tcW w:w="0" w:type="auto"/>
            <w:shd w:val="clear" w:color="auto" w:fill="auto"/>
          </w:tcPr>
          <w:p w14:paraId="496FD4DE" w14:textId="77777777" w:rsidR="00D12D06" w:rsidRPr="00B0658A" w:rsidRDefault="00D12D06" w:rsidP="000A4114">
            <w:pPr>
              <w:spacing w:after="0" w:line="240" w:lineRule="auto"/>
              <w:rPr>
                <w:rFonts w:ascii="Times New Roman" w:hAnsi="Times New Roman"/>
                <w:sz w:val="20"/>
                <w:szCs w:val="20"/>
              </w:rPr>
            </w:pPr>
            <w:r w:rsidRPr="00B0658A">
              <w:rPr>
                <w:rFonts w:ascii="Times New Roman" w:hAnsi="Times New Roman"/>
                <w:sz w:val="18"/>
                <w:szCs w:val="18"/>
              </w:rPr>
              <w:t>9.6</w:t>
            </w:r>
          </w:p>
        </w:tc>
        <w:tc>
          <w:tcPr>
            <w:tcW w:w="3432" w:type="dxa"/>
            <w:shd w:val="clear" w:color="auto" w:fill="auto"/>
            <w:vAlign w:val="center"/>
          </w:tcPr>
          <w:p w14:paraId="62462C4D" w14:textId="77777777" w:rsidR="00D12D06" w:rsidRPr="00B0658A" w:rsidRDefault="00D12D06" w:rsidP="000A4114">
            <w:pPr>
              <w:spacing w:after="0" w:line="240" w:lineRule="auto"/>
              <w:rPr>
                <w:rFonts w:ascii="Times New Roman" w:hAnsi="Times New Roman"/>
                <w:sz w:val="20"/>
                <w:szCs w:val="20"/>
              </w:rPr>
            </w:pPr>
            <w:r w:rsidRPr="00B0658A">
              <w:rPr>
                <w:rFonts w:ascii="Times New Roman" w:hAnsi="Times New Roman"/>
                <w:sz w:val="18"/>
                <w:szCs w:val="18"/>
              </w:rPr>
              <w:t>Средства управления процессами организации/ Средства управления основными фондами предприятия (EAM)</w:t>
            </w:r>
          </w:p>
        </w:tc>
        <w:tc>
          <w:tcPr>
            <w:tcW w:w="1256" w:type="dxa"/>
          </w:tcPr>
          <w:p w14:paraId="391E7624"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60A719B2"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05919A9C"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3DE4F716" w14:textId="77777777" w:rsidR="00D12D06" w:rsidRPr="00B0658A" w:rsidRDefault="00D12D06" w:rsidP="000A4114">
            <w:pPr>
              <w:spacing w:after="0" w:line="240" w:lineRule="auto"/>
              <w:jc w:val="both"/>
              <w:rPr>
                <w:rFonts w:ascii="Times New Roman" w:hAnsi="Times New Roman"/>
                <w:i/>
                <w:iCs/>
                <w:sz w:val="20"/>
                <w:szCs w:val="20"/>
              </w:rPr>
            </w:pPr>
          </w:p>
        </w:tc>
      </w:tr>
      <w:tr w:rsidR="00F52FED" w:rsidRPr="00B0658A" w14:paraId="3641112C" w14:textId="77777777" w:rsidTr="00B10FDE">
        <w:trPr>
          <w:trHeight w:val="170"/>
        </w:trPr>
        <w:tc>
          <w:tcPr>
            <w:tcW w:w="0" w:type="auto"/>
            <w:shd w:val="clear" w:color="auto" w:fill="auto"/>
          </w:tcPr>
          <w:p w14:paraId="43414AB0" w14:textId="77777777" w:rsidR="00D12D06" w:rsidRPr="00B0658A" w:rsidRDefault="00D12D06" w:rsidP="000A4114">
            <w:pPr>
              <w:spacing w:after="0" w:line="240" w:lineRule="auto"/>
              <w:rPr>
                <w:rFonts w:ascii="Times New Roman" w:hAnsi="Times New Roman"/>
                <w:sz w:val="20"/>
                <w:szCs w:val="20"/>
              </w:rPr>
            </w:pPr>
            <w:r w:rsidRPr="00B0658A">
              <w:rPr>
                <w:rFonts w:ascii="Times New Roman" w:hAnsi="Times New Roman"/>
                <w:sz w:val="18"/>
                <w:szCs w:val="18"/>
              </w:rPr>
              <w:t>9.7</w:t>
            </w:r>
          </w:p>
        </w:tc>
        <w:tc>
          <w:tcPr>
            <w:tcW w:w="3432" w:type="dxa"/>
            <w:shd w:val="clear" w:color="auto" w:fill="auto"/>
            <w:vAlign w:val="center"/>
          </w:tcPr>
          <w:p w14:paraId="3ADB1196" w14:textId="77777777" w:rsidR="00D12D06" w:rsidRPr="00B0658A" w:rsidRDefault="00D12D06" w:rsidP="000A4114">
            <w:pPr>
              <w:spacing w:after="0" w:line="240" w:lineRule="auto"/>
              <w:rPr>
                <w:rFonts w:ascii="Times New Roman" w:hAnsi="Times New Roman"/>
                <w:sz w:val="20"/>
                <w:szCs w:val="20"/>
              </w:rPr>
            </w:pPr>
            <w:r w:rsidRPr="00B0658A">
              <w:rPr>
                <w:rFonts w:ascii="Times New Roman" w:hAnsi="Times New Roman"/>
                <w:sz w:val="18"/>
                <w:szCs w:val="18"/>
              </w:rPr>
              <w:t>Средства управления процессами организации/ Средства финансового менеджмента, управления активами и трудовыми ресурсами (ERP)</w:t>
            </w:r>
          </w:p>
        </w:tc>
        <w:tc>
          <w:tcPr>
            <w:tcW w:w="1256" w:type="dxa"/>
          </w:tcPr>
          <w:p w14:paraId="013E848F"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567005FD"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22A2A2EA"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5450AE71" w14:textId="77777777" w:rsidR="00D12D06" w:rsidRPr="00B0658A" w:rsidRDefault="00D12D06" w:rsidP="000A4114">
            <w:pPr>
              <w:spacing w:after="0" w:line="240" w:lineRule="auto"/>
              <w:jc w:val="both"/>
              <w:rPr>
                <w:rFonts w:ascii="Times New Roman" w:hAnsi="Times New Roman"/>
                <w:i/>
                <w:iCs/>
                <w:sz w:val="20"/>
                <w:szCs w:val="20"/>
              </w:rPr>
            </w:pPr>
          </w:p>
        </w:tc>
      </w:tr>
      <w:tr w:rsidR="00F52FED" w:rsidRPr="00B0658A" w14:paraId="637F1AB7" w14:textId="77777777" w:rsidTr="00B10FDE">
        <w:trPr>
          <w:trHeight w:val="170"/>
        </w:trPr>
        <w:tc>
          <w:tcPr>
            <w:tcW w:w="0" w:type="auto"/>
            <w:shd w:val="clear" w:color="auto" w:fill="auto"/>
          </w:tcPr>
          <w:p w14:paraId="793CA2F1" w14:textId="77777777" w:rsidR="00D12D06" w:rsidRPr="00B0658A" w:rsidRDefault="00D12D06" w:rsidP="000A4114">
            <w:pPr>
              <w:spacing w:after="0" w:line="240" w:lineRule="auto"/>
              <w:rPr>
                <w:rFonts w:ascii="Times New Roman" w:hAnsi="Times New Roman"/>
                <w:sz w:val="20"/>
                <w:szCs w:val="20"/>
              </w:rPr>
            </w:pPr>
            <w:r w:rsidRPr="00B0658A">
              <w:rPr>
                <w:rFonts w:ascii="Times New Roman" w:hAnsi="Times New Roman"/>
                <w:sz w:val="18"/>
                <w:szCs w:val="18"/>
              </w:rPr>
              <w:t>9.9</w:t>
            </w:r>
          </w:p>
        </w:tc>
        <w:tc>
          <w:tcPr>
            <w:tcW w:w="3432" w:type="dxa"/>
            <w:shd w:val="clear" w:color="auto" w:fill="auto"/>
            <w:vAlign w:val="center"/>
          </w:tcPr>
          <w:p w14:paraId="2643EF37" w14:textId="77777777" w:rsidR="00D12D06" w:rsidRPr="00B0658A" w:rsidRDefault="00D12D06" w:rsidP="000A4114">
            <w:pPr>
              <w:spacing w:after="0" w:line="240" w:lineRule="auto"/>
              <w:rPr>
                <w:rFonts w:ascii="Times New Roman" w:hAnsi="Times New Roman"/>
                <w:sz w:val="20"/>
                <w:szCs w:val="20"/>
              </w:rPr>
            </w:pPr>
            <w:r w:rsidRPr="00B0658A">
              <w:rPr>
                <w:rFonts w:ascii="Times New Roman" w:hAnsi="Times New Roman"/>
                <w:sz w:val="18"/>
                <w:szCs w:val="18"/>
              </w:rPr>
              <w:t>Средства управления процессами организации/ Средства управления отношениями с клиентами (CRM)</w:t>
            </w:r>
          </w:p>
        </w:tc>
        <w:tc>
          <w:tcPr>
            <w:tcW w:w="1256" w:type="dxa"/>
          </w:tcPr>
          <w:p w14:paraId="173CC79B"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11C248BF"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656D8D25"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36CCA267" w14:textId="77777777" w:rsidR="00D12D06" w:rsidRPr="00B0658A" w:rsidRDefault="00D12D06" w:rsidP="000A4114">
            <w:pPr>
              <w:spacing w:after="0" w:line="240" w:lineRule="auto"/>
              <w:jc w:val="both"/>
              <w:rPr>
                <w:rFonts w:ascii="Times New Roman" w:hAnsi="Times New Roman"/>
                <w:i/>
                <w:iCs/>
                <w:sz w:val="20"/>
                <w:szCs w:val="20"/>
              </w:rPr>
            </w:pPr>
          </w:p>
        </w:tc>
      </w:tr>
      <w:tr w:rsidR="00F52FED" w:rsidRPr="00B0658A" w14:paraId="05446E97" w14:textId="77777777" w:rsidTr="00B10FDE">
        <w:trPr>
          <w:trHeight w:val="170"/>
        </w:trPr>
        <w:tc>
          <w:tcPr>
            <w:tcW w:w="0" w:type="auto"/>
            <w:shd w:val="clear" w:color="auto" w:fill="auto"/>
          </w:tcPr>
          <w:p w14:paraId="1E30BB65" w14:textId="77777777" w:rsidR="00D12D06" w:rsidRPr="00B0658A" w:rsidRDefault="00D12D06" w:rsidP="000A4114">
            <w:pPr>
              <w:spacing w:after="0" w:line="240" w:lineRule="auto"/>
              <w:rPr>
                <w:rFonts w:ascii="Times New Roman" w:hAnsi="Times New Roman"/>
                <w:sz w:val="20"/>
                <w:szCs w:val="20"/>
              </w:rPr>
            </w:pPr>
            <w:r w:rsidRPr="00B0658A">
              <w:rPr>
                <w:rFonts w:ascii="Times New Roman" w:hAnsi="Times New Roman"/>
                <w:sz w:val="18"/>
                <w:szCs w:val="18"/>
              </w:rPr>
              <w:t>9.10</w:t>
            </w:r>
          </w:p>
        </w:tc>
        <w:tc>
          <w:tcPr>
            <w:tcW w:w="3432" w:type="dxa"/>
            <w:shd w:val="clear" w:color="auto" w:fill="auto"/>
            <w:vAlign w:val="center"/>
          </w:tcPr>
          <w:p w14:paraId="4E91CE28" w14:textId="77777777" w:rsidR="00D12D06" w:rsidRPr="00B0658A" w:rsidRDefault="00D12D06" w:rsidP="000A4114">
            <w:pPr>
              <w:spacing w:after="0" w:line="240" w:lineRule="auto"/>
              <w:rPr>
                <w:rFonts w:ascii="Times New Roman" w:hAnsi="Times New Roman"/>
                <w:sz w:val="20"/>
                <w:szCs w:val="20"/>
              </w:rPr>
            </w:pPr>
            <w:r w:rsidRPr="00B0658A">
              <w:rPr>
                <w:rFonts w:ascii="Times New Roman" w:hAnsi="Times New Roman"/>
                <w:sz w:val="18"/>
                <w:szCs w:val="18"/>
              </w:rPr>
              <w:t>Средства управления процессами организации/ Средства управления ИТ-службой, ИТ-инфраструктурой и ИТ-активами (ITSM-ServiceDesk, SCCM, Asset Management)</w:t>
            </w:r>
          </w:p>
        </w:tc>
        <w:tc>
          <w:tcPr>
            <w:tcW w:w="1256" w:type="dxa"/>
          </w:tcPr>
          <w:p w14:paraId="4A9EC4C6"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47EFBD84"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534645C5"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49EF8815" w14:textId="77777777" w:rsidR="00D12D06" w:rsidRPr="00B0658A" w:rsidRDefault="00D12D06" w:rsidP="000A4114">
            <w:pPr>
              <w:spacing w:after="0" w:line="240" w:lineRule="auto"/>
              <w:jc w:val="both"/>
              <w:rPr>
                <w:rFonts w:ascii="Times New Roman" w:hAnsi="Times New Roman"/>
                <w:i/>
                <w:iCs/>
                <w:sz w:val="20"/>
                <w:szCs w:val="20"/>
              </w:rPr>
            </w:pPr>
          </w:p>
        </w:tc>
      </w:tr>
      <w:tr w:rsidR="00F52FED" w:rsidRPr="00B0658A" w14:paraId="45A0317D" w14:textId="77777777" w:rsidTr="00B10FDE">
        <w:trPr>
          <w:trHeight w:val="170"/>
        </w:trPr>
        <w:tc>
          <w:tcPr>
            <w:tcW w:w="0" w:type="auto"/>
            <w:shd w:val="clear" w:color="auto" w:fill="auto"/>
          </w:tcPr>
          <w:p w14:paraId="2D534BFB" w14:textId="77777777" w:rsidR="00D12D06" w:rsidRPr="00B0658A" w:rsidRDefault="00D12D06" w:rsidP="000A4114">
            <w:pPr>
              <w:spacing w:after="0" w:line="240" w:lineRule="auto"/>
              <w:rPr>
                <w:rFonts w:ascii="Times New Roman" w:hAnsi="Times New Roman"/>
                <w:sz w:val="20"/>
                <w:szCs w:val="20"/>
              </w:rPr>
            </w:pPr>
            <w:r w:rsidRPr="00B0658A">
              <w:rPr>
                <w:rFonts w:ascii="Times New Roman" w:hAnsi="Times New Roman"/>
                <w:sz w:val="18"/>
                <w:szCs w:val="18"/>
              </w:rPr>
              <w:t>9.11</w:t>
            </w:r>
          </w:p>
        </w:tc>
        <w:tc>
          <w:tcPr>
            <w:tcW w:w="3432" w:type="dxa"/>
            <w:shd w:val="clear" w:color="auto" w:fill="auto"/>
            <w:vAlign w:val="center"/>
          </w:tcPr>
          <w:p w14:paraId="6F96ADB4" w14:textId="77777777" w:rsidR="00D12D06" w:rsidRPr="00B0658A" w:rsidRDefault="00D12D06" w:rsidP="000A4114">
            <w:pPr>
              <w:suppressAutoHyphens/>
              <w:spacing w:after="0" w:line="240" w:lineRule="auto"/>
              <w:rPr>
                <w:rFonts w:ascii="Times New Roman" w:hAnsi="Times New Roman"/>
                <w:sz w:val="18"/>
                <w:szCs w:val="18"/>
              </w:rPr>
            </w:pPr>
            <w:r w:rsidRPr="00B0658A">
              <w:rPr>
                <w:rFonts w:ascii="Times New Roman" w:hAnsi="Times New Roman"/>
                <w:sz w:val="18"/>
                <w:szCs w:val="18"/>
              </w:rPr>
              <w:t xml:space="preserve">Средства управления процессами организации/ Средства управления содержимым (CMS), сайты </w:t>
            </w:r>
          </w:p>
          <w:p w14:paraId="0292C436" w14:textId="77777777" w:rsidR="00D12D06" w:rsidRPr="00B0658A" w:rsidRDefault="00D12D06" w:rsidP="000A4114">
            <w:pPr>
              <w:suppressAutoHyphens/>
              <w:spacing w:after="0" w:line="240" w:lineRule="auto"/>
              <w:rPr>
                <w:rFonts w:ascii="Times New Roman" w:hAnsi="Times New Roman"/>
                <w:sz w:val="20"/>
                <w:szCs w:val="20"/>
              </w:rPr>
            </w:pPr>
            <w:r w:rsidRPr="00B0658A">
              <w:rPr>
                <w:rFonts w:ascii="Times New Roman" w:hAnsi="Times New Roman"/>
                <w:sz w:val="18"/>
                <w:szCs w:val="18"/>
              </w:rPr>
              <w:t>и портальные решения</w:t>
            </w:r>
          </w:p>
        </w:tc>
        <w:tc>
          <w:tcPr>
            <w:tcW w:w="1256" w:type="dxa"/>
          </w:tcPr>
          <w:p w14:paraId="537DFBCC"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23319316"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3FE47288"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3A0AA672" w14:textId="77777777" w:rsidR="00D12D06" w:rsidRPr="00B0658A" w:rsidRDefault="00D12D06" w:rsidP="000A4114">
            <w:pPr>
              <w:spacing w:after="0" w:line="240" w:lineRule="auto"/>
              <w:jc w:val="both"/>
              <w:rPr>
                <w:rFonts w:ascii="Times New Roman" w:hAnsi="Times New Roman"/>
                <w:i/>
                <w:iCs/>
                <w:sz w:val="20"/>
                <w:szCs w:val="20"/>
              </w:rPr>
            </w:pPr>
          </w:p>
        </w:tc>
      </w:tr>
      <w:tr w:rsidR="00F52FED" w:rsidRPr="00B0658A" w14:paraId="03DF35D1" w14:textId="77777777" w:rsidTr="00B10FDE">
        <w:trPr>
          <w:trHeight w:val="170"/>
        </w:trPr>
        <w:tc>
          <w:tcPr>
            <w:tcW w:w="0" w:type="auto"/>
            <w:shd w:val="clear" w:color="auto" w:fill="auto"/>
          </w:tcPr>
          <w:p w14:paraId="2D976C97" w14:textId="77777777" w:rsidR="00D12D06" w:rsidRPr="00B0658A" w:rsidRDefault="00D12D06" w:rsidP="000A4114">
            <w:pPr>
              <w:spacing w:after="0" w:line="240" w:lineRule="auto"/>
              <w:rPr>
                <w:rFonts w:ascii="Times New Roman" w:hAnsi="Times New Roman"/>
                <w:sz w:val="20"/>
                <w:szCs w:val="20"/>
              </w:rPr>
            </w:pPr>
            <w:r w:rsidRPr="00B0658A">
              <w:rPr>
                <w:rFonts w:ascii="Times New Roman" w:hAnsi="Times New Roman"/>
                <w:sz w:val="18"/>
                <w:szCs w:val="18"/>
              </w:rPr>
              <w:t>9.12</w:t>
            </w:r>
          </w:p>
        </w:tc>
        <w:tc>
          <w:tcPr>
            <w:tcW w:w="3432" w:type="dxa"/>
            <w:shd w:val="clear" w:color="auto" w:fill="auto"/>
            <w:vAlign w:val="center"/>
          </w:tcPr>
          <w:p w14:paraId="252DB114" w14:textId="77777777" w:rsidR="00D12D06" w:rsidRPr="00B0658A" w:rsidRDefault="00D12D06" w:rsidP="000A4114">
            <w:pPr>
              <w:spacing w:after="0" w:line="240" w:lineRule="auto"/>
              <w:rPr>
                <w:rFonts w:ascii="Times New Roman" w:hAnsi="Times New Roman"/>
                <w:sz w:val="20"/>
                <w:szCs w:val="20"/>
              </w:rPr>
            </w:pPr>
            <w:r w:rsidRPr="00B0658A">
              <w:rPr>
                <w:rFonts w:ascii="Times New Roman" w:hAnsi="Times New Roman"/>
                <w:sz w:val="18"/>
                <w:szCs w:val="18"/>
              </w:rPr>
              <w:t>Средства управления процессами организации/ Средства электронной коммерции (e-commerce platform)</w:t>
            </w:r>
          </w:p>
        </w:tc>
        <w:tc>
          <w:tcPr>
            <w:tcW w:w="1256" w:type="dxa"/>
          </w:tcPr>
          <w:p w14:paraId="64EF0609"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40C762D5"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3C275DDF"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4D48FB58" w14:textId="77777777" w:rsidR="00D12D06" w:rsidRPr="00B0658A" w:rsidRDefault="00D12D06" w:rsidP="000A4114">
            <w:pPr>
              <w:spacing w:after="0" w:line="240" w:lineRule="auto"/>
              <w:jc w:val="both"/>
              <w:rPr>
                <w:rFonts w:ascii="Times New Roman" w:hAnsi="Times New Roman"/>
                <w:i/>
                <w:iCs/>
                <w:sz w:val="20"/>
                <w:szCs w:val="20"/>
              </w:rPr>
            </w:pPr>
          </w:p>
        </w:tc>
      </w:tr>
      <w:tr w:rsidR="00F52FED" w:rsidRPr="00B0658A" w14:paraId="61DA7234" w14:textId="77777777" w:rsidTr="00B10FDE">
        <w:trPr>
          <w:trHeight w:val="170"/>
        </w:trPr>
        <w:tc>
          <w:tcPr>
            <w:tcW w:w="0" w:type="auto"/>
            <w:shd w:val="clear" w:color="auto" w:fill="auto"/>
          </w:tcPr>
          <w:p w14:paraId="2520340C" w14:textId="77777777" w:rsidR="00D12D06" w:rsidRPr="00B0658A" w:rsidRDefault="00D12D06" w:rsidP="000A4114">
            <w:pPr>
              <w:spacing w:after="0" w:line="240" w:lineRule="auto"/>
              <w:rPr>
                <w:rFonts w:ascii="Times New Roman" w:hAnsi="Times New Roman"/>
                <w:sz w:val="20"/>
                <w:szCs w:val="20"/>
              </w:rPr>
            </w:pPr>
            <w:r w:rsidRPr="00B0658A">
              <w:rPr>
                <w:rFonts w:ascii="Times New Roman" w:hAnsi="Times New Roman"/>
                <w:sz w:val="18"/>
                <w:szCs w:val="18"/>
              </w:rPr>
              <w:t>9.13</w:t>
            </w:r>
          </w:p>
        </w:tc>
        <w:tc>
          <w:tcPr>
            <w:tcW w:w="3432" w:type="dxa"/>
            <w:shd w:val="clear" w:color="auto" w:fill="auto"/>
            <w:vAlign w:val="center"/>
          </w:tcPr>
          <w:p w14:paraId="5F796EC6" w14:textId="77777777" w:rsidR="00D12D06" w:rsidRPr="00B0658A" w:rsidRDefault="00D12D06" w:rsidP="000A4114">
            <w:pPr>
              <w:spacing w:after="0" w:line="240" w:lineRule="auto"/>
              <w:rPr>
                <w:rFonts w:ascii="Times New Roman" w:hAnsi="Times New Roman"/>
                <w:sz w:val="20"/>
                <w:szCs w:val="20"/>
              </w:rPr>
            </w:pPr>
            <w:r w:rsidRPr="00B0658A">
              <w:rPr>
                <w:rFonts w:ascii="Times New Roman" w:hAnsi="Times New Roman"/>
                <w:sz w:val="18"/>
                <w:szCs w:val="18"/>
              </w:rPr>
              <w:t>Средства управления процессами организации/ Средства управления складом и цепочками поставок (WMS, SCM)</w:t>
            </w:r>
          </w:p>
        </w:tc>
        <w:tc>
          <w:tcPr>
            <w:tcW w:w="1256" w:type="dxa"/>
          </w:tcPr>
          <w:p w14:paraId="509B8788"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79AB51EE"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3C731C62"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2714BE6F" w14:textId="77777777" w:rsidR="00D12D06" w:rsidRPr="00B0658A" w:rsidRDefault="00D12D06" w:rsidP="000A4114">
            <w:pPr>
              <w:spacing w:after="0" w:line="240" w:lineRule="auto"/>
              <w:jc w:val="both"/>
              <w:rPr>
                <w:rFonts w:ascii="Times New Roman" w:hAnsi="Times New Roman"/>
                <w:i/>
                <w:iCs/>
                <w:sz w:val="20"/>
                <w:szCs w:val="20"/>
              </w:rPr>
            </w:pPr>
          </w:p>
        </w:tc>
      </w:tr>
      <w:tr w:rsidR="00F52FED" w:rsidRPr="00B0658A" w14:paraId="0689C404" w14:textId="77777777" w:rsidTr="00B10FDE">
        <w:trPr>
          <w:trHeight w:val="170"/>
        </w:trPr>
        <w:tc>
          <w:tcPr>
            <w:tcW w:w="0" w:type="auto"/>
            <w:shd w:val="clear" w:color="auto" w:fill="auto"/>
          </w:tcPr>
          <w:p w14:paraId="145C127B" w14:textId="77777777" w:rsidR="00D12D06" w:rsidRPr="00B0658A" w:rsidRDefault="00D12D06" w:rsidP="000A4114">
            <w:pPr>
              <w:spacing w:after="0" w:line="240" w:lineRule="auto"/>
              <w:rPr>
                <w:rFonts w:ascii="Times New Roman" w:hAnsi="Times New Roman"/>
                <w:sz w:val="20"/>
                <w:szCs w:val="20"/>
              </w:rPr>
            </w:pPr>
            <w:r w:rsidRPr="00B0658A">
              <w:rPr>
                <w:rFonts w:ascii="Times New Roman" w:hAnsi="Times New Roman"/>
                <w:sz w:val="18"/>
                <w:szCs w:val="18"/>
              </w:rPr>
              <w:t>9.14</w:t>
            </w:r>
          </w:p>
        </w:tc>
        <w:tc>
          <w:tcPr>
            <w:tcW w:w="3432" w:type="dxa"/>
            <w:shd w:val="clear" w:color="auto" w:fill="auto"/>
            <w:vAlign w:val="center"/>
          </w:tcPr>
          <w:p w14:paraId="2B3DA724" w14:textId="77777777" w:rsidR="00D12D06" w:rsidRPr="00B0658A" w:rsidRDefault="00D12D06" w:rsidP="000A4114">
            <w:pPr>
              <w:spacing w:after="0" w:line="240" w:lineRule="auto"/>
              <w:rPr>
                <w:rFonts w:ascii="Times New Roman" w:hAnsi="Times New Roman"/>
                <w:sz w:val="20"/>
                <w:szCs w:val="20"/>
              </w:rPr>
            </w:pPr>
            <w:r w:rsidRPr="00B0658A">
              <w:rPr>
                <w:rFonts w:ascii="Times New Roman" w:hAnsi="Times New Roman"/>
                <w:sz w:val="18"/>
                <w:szCs w:val="18"/>
              </w:rPr>
              <w:t>Средства управления процессами организации/ Средства централизованного управления конечными устройствами</w:t>
            </w:r>
          </w:p>
        </w:tc>
        <w:tc>
          <w:tcPr>
            <w:tcW w:w="1256" w:type="dxa"/>
          </w:tcPr>
          <w:p w14:paraId="7741DB3A"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34844764"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51B3A2F7"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737FBD30" w14:textId="77777777" w:rsidR="00D12D06" w:rsidRPr="00B0658A" w:rsidRDefault="00D12D06" w:rsidP="000A4114">
            <w:pPr>
              <w:spacing w:after="0" w:line="240" w:lineRule="auto"/>
              <w:jc w:val="both"/>
              <w:rPr>
                <w:rFonts w:ascii="Times New Roman" w:hAnsi="Times New Roman"/>
                <w:i/>
                <w:iCs/>
                <w:sz w:val="20"/>
                <w:szCs w:val="20"/>
              </w:rPr>
            </w:pPr>
          </w:p>
        </w:tc>
      </w:tr>
      <w:tr w:rsidR="00F52FED" w:rsidRPr="00B0658A" w14:paraId="759ACA70" w14:textId="77777777" w:rsidTr="00B10FDE">
        <w:trPr>
          <w:trHeight w:val="170"/>
        </w:trPr>
        <w:tc>
          <w:tcPr>
            <w:tcW w:w="0" w:type="auto"/>
            <w:shd w:val="clear" w:color="auto" w:fill="auto"/>
          </w:tcPr>
          <w:p w14:paraId="6E317E61" w14:textId="77777777" w:rsidR="00D12D06" w:rsidRPr="00B0658A" w:rsidRDefault="00D12D06" w:rsidP="000A4114">
            <w:pPr>
              <w:spacing w:after="0" w:line="240" w:lineRule="auto"/>
              <w:rPr>
                <w:rFonts w:ascii="Times New Roman" w:hAnsi="Times New Roman"/>
                <w:sz w:val="20"/>
                <w:szCs w:val="20"/>
              </w:rPr>
            </w:pPr>
            <w:r w:rsidRPr="00B0658A">
              <w:rPr>
                <w:rFonts w:ascii="Times New Roman" w:hAnsi="Times New Roman"/>
                <w:sz w:val="18"/>
                <w:szCs w:val="18"/>
              </w:rPr>
              <w:t>10.1</w:t>
            </w:r>
          </w:p>
        </w:tc>
        <w:tc>
          <w:tcPr>
            <w:tcW w:w="3432" w:type="dxa"/>
            <w:shd w:val="clear" w:color="auto" w:fill="auto"/>
            <w:vAlign w:val="center"/>
          </w:tcPr>
          <w:p w14:paraId="7BCA4087" w14:textId="77777777" w:rsidR="00D12D06" w:rsidRPr="00B0658A" w:rsidRDefault="00D12D06" w:rsidP="000A4114">
            <w:pPr>
              <w:spacing w:after="0" w:line="240" w:lineRule="auto"/>
              <w:rPr>
                <w:rFonts w:ascii="Times New Roman" w:hAnsi="Times New Roman"/>
                <w:sz w:val="20"/>
                <w:szCs w:val="20"/>
              </w:rPr>
            </w:pPr>
            <w:r w:rsidRPr="00B0658A">
              <w:rPr>
                <w:rFonts w:ascii="Times New Roman" w:hAnsi="Times New Roman"/>
                <w:sz w:val="18"/>
                <w:szCs w:val="18"/>
              </w:rPr>
              <w:t>Средства обработки и визуализации массивов данных/ Средства обработки Больших Данных (BigData)</w:t>
            </w:r>
          </w:p>
        </w:tc>
        <w:tc>
          <w:tcPr>
            <w:tcW w:w="1256" w:type="dxa"/>
          </w:tcPr>
          <w:p w14:paraId="191A6D76"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25E6096E"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05049855"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1C54A06A" w14:textId="77777777" w:rsidR="00D12D06" w:rsidRPr="00B0658A" w:rsidRDefault="00D12D06" w:rsidP="000A4114">
            <w:pPr>
              <w:spacing w:after="0" w:line="240" w:lineRule="auto"/>
              <w:jc w:val="both"/>
              <w:rPr>
                <w:rFonts w:ascii="Times New Roman" w:hAnsi="Times New Roman"/>
                <w:i/>
                <w:iCs/>
                <w:sz w:val="20"/>
                <w:szCs w:val="20"/>
              </w:rPr>
            </w:pPr>
          </w:p>
        </w:tc>
      </w:tr>
      <w:tr w:rsidR="00F52FED" w:rsidRPr="00B0658A" w14:paraId="6BE789FD" w14:textId="77777777" w:rsidTr="00B10FDE">
        <w:trPr>
          <w:trHeight w:val="170"/>
        </w:trPr>
        <w:tc>
          <w:tcPr>
            <w:tcW w:w="0" w:type="auto"/>
            <w:shd w:val="clear" w:color="auto" w:fill="auto"/>
          </w:tcPr>
          <w:p w14:paraId="4E5512EA" w14:textId="77777777" w:rsidR="00D12D06" w:rsidRPr="00B0658A" w:rsidRDefault="00D12D06" w:rsidP="000A4114">
            <w:pPr>
              <w:spacing w:after="0" w:line="240" w:lineRule="auto"/>
              <w:rPr>
                <w:rFonts w:ascii="Times New Roman" w:hAnsi="Times New Roman"/>
                <w:sz w:val="20"/>
                <w:szCs w:val="20"/>
              </w:rPr>
            </w:pPr>
            <w:r w:rsidRPr="00B0658A">
              <w:rPr>
                <w:rFonts w:ascii="Times New Roman" w:hAnsi="Times New Roman"/>
                <w:sz w:val="18"/>
                <w:szCs w:val="18"/>
              </w:rPr>
              <w:t>10.2</w:t>
            </w:r>
          </w:p>
        </w:tc>
        <w:tc>
          <w:tcPr>
            <w:tcW w:w="3432" w:type="dxa"/>
            <w:shd w:val="clear" w:color="auto" w:fill="auto"/>
            <w:vAlign w:val="center"/>
          </w:tcPr>
          <w:p w14:paraId="30C367F6" w14:textId="77777777" w:rsidR="00D12D06" w:rsidRPr="00B0658A" w:rsidRDefault="00D12D06" w:rsidP="000A4114">
            <w:pPr>
              <w:spacing w:after="0" w:line="240" w:lineRule="auto"/>
              <w:rPr>
                <w:rFonts w:ascii="Times New Roman" w:hAnsi="Times New Roman"/>
                <w:sz w:val="20"/>
                <w:szCs w:val="20"/>
              </w:rPr>
            </w:pPr>
            <w:r w:rsidRPr="00B0658A">
              <w:rPr>
                <w:rFonts w:ascii="Times New Roman" w:hAnsi="Times New Roman"/>
                <w:sz w:val="18"/>
                <w:szCs w:val="18"/>
              </w:rPr>
              <w:t>Средства обработки и визуализации массивов данных/ Средства обработки и анализа геологических и геофизических данных</w:t>
            </w:r>
          </w:p>
        </w:tc>
        <w:tc>
          <w:tcPr>
            <w:tcW w:w="1256" w:type="dxa"/>
          </w:tcPr>
          <w:p w14:paraId="537810BF"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40275B0F"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40DD28F6"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7F794F63" w14:textId="77777777" w:rsidR="00D12D06" w:rsidRPr="00B0658A" w:rsidRDefault="00D12D06" w:rsidP="000A4114">
            <w:pPr>
              <w:spacing w:after="0" w:line="240" w:lineRule="auto"/>
              <w:jc w:val="both"/>
              <w:rPr>
                <w:rFonts w:ascii="Times New Roman" w:hAnsi="Times New Roman"/>
                <w:i/>
                <w:iCs/>
                <w:sz w:val="20"/>
                <w:szCs w:val="20"/>
              </w:rPr>
            </w:pPr>
          </w:p>
        </w:tc>
      </w:tr>
      <w:tr w:rsidR="00F52FED" w:rsidRPr="00B0658A" w14:paraId="17FEE44E" w14:textId="77777777" w:rsidTr="00B10FDE">
        <w:trPr>
          <w:trHeight w:val="170"/>
        </w:trPr>
        <w:tc>
          <w:tcPr>
            <w:tcW w:w="0" w:type="auto"/>
            <w:shd w:val="clear" w:color="auto" w:fill="auto"/>
          </w:tcPr>
          <w:p w14:paraId="2CA5A706" w14:textId="77777777" w:rsidR="00D12D06" w:rsidRPr="00B0658A" w:rsidRDefault="00D12D06" w:rsidP="000A4114">
            <w:pPr>
              <w:spacing w:after="0" w:line="240" w:lineRule="auto"/>
              <w:rPr>
                <w:rFonts w:ascii="Times New Roman" w:hAnsi="Times New Roman"/>
                <w:sz w:val="20"/>
                <w:szCs w:val="20"/>
              </w:rPr>
            </w:pPr>
            <w:r w:rsidRPr="00B0658A">
              <w:rPr>
                <w:rFonts w:ascii="Times New Roman" w:hAnsi="Times New Roman"/>
                <w:sz w:val="18"/>
                <w:szCs w:val="18"/>
              </w:rPr>
              <w:t>10.3</w:t>
            </w:r>
          </w:p>
        </w:tc>
        <w:tc>
          <w:tcPr>
            <w:tcW w:w="3432" w:type="dxa"/>
            <w:shd w:val="clear" w:color="auto" w:fill="auto"/>
            <w:vAlign w:val="center"/>
          </w:tcPr>
          <w:p w14:paraId="6A054B3F" w14:textId="77777777" w:rsidR="00D12D06" w:rsidRPr="00B0658A" w:rsidRDefault="00D12D06" w:rsidP="000A4114">
            <w:pPr>
              <w:spacing w:after="0" w:line="240" w:lineRule="auto"/>
              <w:rPr>
                <w:rFonts w:ascii="Times New Roman" w:hAnsi="Times New Roman"/>
                <w:sz w:val="20"/>
                <w:szCs w:val="20"/>
              </w:rPr>
            </w:pPr>
            <w:r w:rsidRPr="00B0658A">
              <w:rPr>
                <w:rFonts w:ascii="Times New Roman" w:hAnsi="Times New Roman"/>
                <w:sz w:val="18"/>
                <w:szCs w:val="18"/>
              </w:rPr>
              <w:t>Средства обработки и визуализации массивов данных/ Средства математического и имитационного моделирования</w:t>
            </w:r>
          </w:p>
        </w:tc>
        <w:tc>
          <w:tcPr>
            <w:tcW w:w="1256" w:type="dxa"/>
          </w:tcPr>
          <w:p w14:paraId="6824A752"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6133E328"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1E9E64BA"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3D8AFC53" w14:textId="77777777" w:rsidR="00D12D06" w:rsidRPr="00B0658A" w:rsidRDefault="00D12D06" w:rsidP="000A4114">
            <w:pPr>
              <w:spacing w:after="0" w:line="240" w:lineRule="auto"/>
              <w:jc w:val="both"/>
              <w:rPr>
                <w:rFonts w:ascii="Times New Roman" w:hAnsi="Times New Roman"/>
                <w:i/>
                <w:iCs/>
                <w:sz w:val="20"/>
                <w:szCs w:val="20"/>
              </w:rPr>
            </w:pPr>
          </w:p>
        </w:tc>
      </w:tr>
      <w:tr w:rsidR="00F52FED" w:rsidRPr="00B0658A" w14:paraId="2393218E" w14:textId="77777777" w:rsidTr="00B10FDE">
        <w:trPr>
          <w:trHeight w:val="170"/>
        </w:trPr>
        <w:tc>
          <w:tcPr>
            <w:tcW w:w="0" w:type="auto"/>
            <w:shd w:val="clear" w:color="auto" w:fill="auto"/>
          </w:tcPr>
          <w:p w14:paraId="28894A3F" w14:textId="77777777" w:rsidR="00D12D06" w:rsidRPr="00B0658A" w:rsidRDefault="00D12D06" w:rsidP="000A4114">
            <w:pPr>
              <w:spacing w:after="0" w:line="240" w:lineRule="auto"/>
              <w:rPr>
                <w:rFonts w:ascii="Times New Roman" w:hAnsi="Times New Roman"/>
                <w:sz w:val="20"/>
                <w:szCs w:val="20"/>
              </w:rPr>
            </w:pPr>
            <w:r w:rsidRPr="00B0658A">
              <w:rPr>
                <w:rFonts w:ascii="Times New Roman" w:hAnsi="Times New Roman"/>
                <w:sz w:val="18"/>
                <w:szCs w:val="18"/>
              </w:rPr>
              <w:t>10.4</w:t>
            </w:r>
          </w:p>
        </w:tc>
        <w:tc>
          <w:tcPr>
            <w:tcW w:w="3432" w:type="dxa"/>
            <w:shd w:val="clear" w:color="auto" w:fill="auto"/>
            <w:vAlign w:val="center"/>
          </w:tcPr>
          <w:p w14:paraId="35F2186C" w14:textId="77777777" w:rsidR="00D12D06" w:rsidRPr="00B0658A" w:rsidRDefault="00D12D06" w:rsidP="000A4114">
            <w:pPr>
              <w:spacing w:after="0" w:line="240" w:lineRule="auto"/>
              <w:rPr>
                <w:rFonts w:ascii="Times New Roman" w:hAnsi="Times New Roman"/>
                <w:sz w:val="20"/>
                <w:szCs w:val="20"/>
              </w:rPr>
            </w:pPr>
            <w:r w:rsidRPr="00B0658A">
              <w:rPr>
                <w:rFonts w:ascii="Times New Roman" w:hAnsi="Times New Roman"/>
                <w:sz w:val="18"/>
                <w:szCs w:val="18"/>
              </w:rPr>
              <w:t>Средства обработки и визуализации массивов данных/ Средства управления информационными ресурсами и средства управления основными данными (ECM, MDM)</w:t>
            </w:r>
          </w:p>
        </w:tc>
        <w:tc>
          <w:tcPr>
            <w:tcW w:w="1256" w:type="dxa"/>
          </w:tcPr>
          <w:p w14:paraId="239FB04B"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403AE48B"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2E5E8449"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7B05AB8C" w14:textId="77777777" w:rsidR="00D12D06" w:rsidRPr="00B0658A" w:rsidRDefault="00D12D06" w:rsidP="000A4114">
            <w:pPr>
              <w:spacing w:after="0" w:line="240" w:lineRule="auto"/>
              <w:jc w:val="both"/>
              <w:rPr>
                <w:rFonts w:ascii="Times New Roman" w:hAnsi="Times New Roman"/>
                <w:i/>
                <w:iCs/>
                <w:sz w:val="20"/>
                <w:szCs w:val="20"/>
              </w:rPr>
            </w:pPr>
          </w:p>
        </w:tc>
      </w:tr>
      <w:tr w:rsidR="00F52FED" w:rsidRPr="00B0658A" w14:paraId="0F408D30" w14:textId="77777777" w:rsidTr="00B10FDE">
        <w:trPr>
          <w:trHeight w:val="170"/>
        </w:trPr>
        <w:tc>
          <w:tcPr>
            <w:tcW w:w="0" w:type="auto"/>
            <w:shd w:val="clear" w:color="auto" w:fill="auto"/>
          </w:tcPr>
          <w:p w14:paraId="5E7B1CA0" w14:textId="77777777" w:rsidR="00D12D06" w:rsidRPr="00B0658A" w:rsidRDefault="00D12D06" w:rsidP="000A4114">
            <w:pPr>
              <w:spacing w:after="0" w:line="240" w:lineRule="auto"/>
              <w:rPr>
                <w:rFonts w:ascii="Times New Roman" w:hAnsi="Times New Roman"/>
                <w:sz w:val="20"/>
                <w:szCs w:val="20"/>
              </w:rPr>
            </w:pPr>
            <w:r w:rsidRPr="00B0658A">
              <w:rPr>
                <w:rFonts w:ascii="Times New Roman" w:hAnsi="Times New Roman"/>
                <w:sz w:val="18"/>
                <w:szCs w:val="18"/>
              </w:rPr>
              <w:t>11.1</w:t>
            </w:r>
          </w:p>
        </w:tc>
        <w:tc>
          <w:tcPr>
            <w:tcW w:w="3432" w:type="dxa"/>
            <w:shd w:val="clear" w:color="auto" w:fill="auto"/>
            <w:vAlign w:val="center"/>
          </w:tcPr>
          <w:p w14:paraId="34061060" w14:textId="77777777" w:rsidR="00D12D06" w:rsidRPr="00B0658A" w:rsidRDefault="00D12D06" w:rsidP="000A4114">
            <w:pPr>
              <w:spacing w:after="0" w:line="240" w:lineRule="auto"/>
              <w:rPr>
                <w:rFonts w:ascii="Times New Roman" w:hAnsi="Times New Roman"/>
                <w:sz w:val="20"/>
                <w:szCs w:val="20"/>
              </w:rPr>
            </w:pPr>
            <w:r w:rsidRPr="00B0658A">
              <w:rPr>
                <w:rFonts w:ascii="Times New Roman" w:hAnsi="Times New Roman"/>
                <w:sz w:val="18"/>
                <w:szCs w:val="18"/>
              </w:rPr>
              <w:t>Средства анализа данных/ Инструменты извлечения и трансформации данных (ETL)</w:t>
            </w:r>
          </w:p>
        </w:tc>
        <w:tc>
          <w:tcPr>
            <w:tcW w:w="1256" w:type="dxa"/>
          </w:tcPr>
          <w:p w14:paraId="67AEFC14"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3F0976DD"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6921CFD4"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512EE629" w14:textId="77777777" w:rsidR="00D12D06" w:rsidRPr="00B0658A" w:rsidRDefault="00D12D06" w:rsidP="000A4114">
            <w:pPr>
              <w:spacing w:after="0" w:line="240" w:lineRule="auto"/>
              <w:jc w:val="both"/>
              <w:rPr>
                <w:rFonts w:ascii="Times New Roman" w:hAnsi="Times New Roman"/>
                <w:i/>
                <w:iCs/>
                <w:sz w:val="20"/>
                <w:szCs w:val="20"/>
              </w:rPr>
            </w:pPr>
          </w:p>
        </w:tc>
      </w:tr>
      <w:tr w:rsidR="00F52FED" w:rsidRPr="00B0658A" w14:paraId="304E3442" w14:textId="77777777" w:rsidTr="00B10FDE">
        <w:trPr>
          <w:trHeight w:val="170"/>
        </w:trPr>
        <w:tc>
          <w:tcPr>
            <w:tcW w:w="0" w:type="auto"/>
            <w:shd w:val="clear" w:color="auto" w:fill="auto"/>
          </w:tcPr>
          <w:p w14:paraId="3A751932" w14:textId="77777777" w:rsidR="00D12D06" w:rsidRPr="00B0658A" w:rsidRDefault="00D12D06" w:rsidP="000A4114">
            <w:pPr>
              <w:spacing w:after="0" w:line="240" w:lineRule="auto"/>
              <w:rPr>
                <w:rFonts w:ascii="Times New Roman" w:hAnsi="Times New Roman"/>
                <w:sz w:val="20"/>
                <w:szCs w:val="20"/>
              </w:rPr>
            </w:pPr>
            <w:r w:rsidRPr="00B0658A">
              <w:rPr>
                <w:rFonts w:ascii="Times New Roman" w:hAnsi="Times New Roman"/>
                <w:sz w:val="18"/>
                <w:szCs w:val="18"/>
              </w:rPr>
              <w:t>11.2</w:t>
            </w:r>
          </w:p>
        </w:tc>
        <w:tc>
          <w:tcPr>
            <w:tcW w:w="3432" w:type="dxa"/>
            <w:shd w:val="clear" w:color="auto" w:fill="auto"/>
            <w:vAlign w:val="center"/>
          </w:tcPr>
          <w:p w14:paraId="395453D4" w14:textId="77777777" w:rsidR="00D12D06" w:rsidRPr="00B0658A" w:rsidRDefault="00D12D06" w:rsidP="000A4114">
            <w:pPr>
              <w:spacing w:after="0" w:line="240" w:lineRule="auto"/>
              <w:rPr>
                <w:rFonts w:ascii="Times New Roman" w:hAnsi="Times New Roman"/>
                <w:sz w:val="20"/>
                <w:szCs w:val="20"/>
              </w:rPr>
            </w:pPr>
            <w:r w:rsidRPr="00B0658A">
              <w:rPr>
                <w:rFonts w:ascii="Times New Roman" w:hAnsi="Times New Roman"/>
                <w:sz w:val="18"/>
                <w:szCs w:val="18"/>
              </w:rPr>
              <w:t>Средства анализа данных/ Предметно-ориентированные информационные базы данных (EDW)</w:t>
            </w:r>
          </w:p>
        </w:tc>
        <w:tc>
          <w:tcPr>
            <w:tcW w:w="1256" w:type="dxa"/>
          </w:tcPr>
          <w:p w14:paraId="7320BC7C"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49EBE465"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79A5E090"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6BA4E766" w14:textId="77777777" w:rsidR="00D12D06" w:rsidRPr="00B0658A" w:rsidRDefault="00D12D06" w:rsidP="000A4114">
            <w:pPr>
              <w:spacing w:after="0" w:line="240" w:lineRule="auto"/>
              <w:jc w:val="both"/>
              <w:rPr>
                <w:rFonts w:ascii="Times New Roman" w:hAnsi="Times New Roman"/>
                <w:i/>
                <w:iCs/>
                <w:sz w:val="20"/>
                <w:szCs w:val="20"/>
              </w:rPr>
            </w:pPr>
          </w:p>
        </w:tc>
      </w:tr>
      <w:tr w:rsidR="00F52FED" w:rsidRPr="00B0658A" w14:paraId="3F52FEEE" w14:textId="77777777" w:rsidTr="00B10FDE">
        <w:trPr>
          <w:trHeight w:val="170"/>
        </w:trPr>
        <w:tc>
          <w:tcPr>
            <w:tcW w:w="0" w:type="auto"/>
            <w:shd w:val="clear" w:color="auto" w:fill="auto"/>
          </w:tcPr>
          <w:p w14:paraId="433799B9" w14:textId="77777777" w:rsidR="00D12D06" w:rsidRPr="00B0658A" w:rsidRDefault="00D12D06" w:rsidP="000A4114">
            <w:pPr>
              <w:spacing w:after="0" w:line="240" w:lineRule="auto"/>
              <w:rPr>
                <w:rFonts w:ascii="Times New Roman" w:hAnsi="Times New Roman"/>
                <w:sz w:val="20"/>
                <w:szCs w:val="20"/>
              </w:rPr>
            </w:pPr>
            <w:r w:rsidRPr="00B0658A">
              <w:rPr>
                <w:rFonts w:ascii="Times New Roman" w:hAnsi="Times New Roman"/>
                <w:sz w:val="18"/>
                <w:szCs w:val="18"/>
              </w:rPr>
              <w:t>11.3</w:t>
            </w:r>
          </w:p>
        </w:tc>
        <w:tc>
          <w:tcPr>
            <w:tcW w:w="3432" w:type="dxa"/>
            <w:shd w:val="clear" w:color="auto" w:fill="auto"/>
            <w:vAlign w:val="center"/>
          </w:tcPr>
          <w:p w14:paraId="47112E91" w14:textId="77777777" w:rsidR="00D12D06" w:rsidRPr="00B0658A" w:rsidRDefault="00D12D06" w:rsidP="000A4114">
            <w:pPr>
              <w:suppressAutoHyphens/>
              <w:spacing w:after="0" w:line="240" w:lineRule="auto"/>
              <w:rPr>
                <w:rFonts w:ascii="Times New Roman" w:hAnsi="Times New Roman"/>
                <w:sz w:val="18"/>
                <w:szCs w:val="18"/>
              </w:rPr>
            </w:pPr>
            <w:r w:rsidRPr="00B0658A">
              <w:rPr>
                <w:rFonts w:ascii="Times New Roman" w:hAnsi="Times New Roman"/>
                <w:sz w:val="18"/>
                <w:szCs w:val="18"/>
              </w:rPr>
              <w:t>Средства анализа данных/</w:t>
            </w:r>
          </w:p>
          <w:p w14:paraId="79343AC7" w14:textId="77777777" w:rsidR="00D12D06" w:rsidRPr="00B0658A" w:rsidRDefault="00D12D06" w:rsidP="000A4114">
            <w:pPr>
              <w:spacing w:after="0" w:line="240" w:lineRule="auto"/>
              <w:rPr>
                <w:rFonts w:ascii="Times New Roman" w:hAnsi="Times New Roman"/>
                <w:sz w:val="20"/>
                <w:szCs w:val="20"/>
              </w:rPr>
            </w:pPr>
            <w:r w:rsidRPr="00B0658A">
              <w:rPr>
                <w:rFonts w:ascii="Times New Roman" w:hAnsi="Times New Roman"/>
                <w:sz w:val="18"/>
                <w:szCs w:val="18"/>
              </w:rPr>
              <w:t>Средства аналитической обработки в реальном времени (OLAP)</w:t>
            </w:r>
          </w:p>
        </w:tc>
        <w:tc>
          <w:tcPr>
            <w:tcW w:w="1256" w:type="dxa"/>
          </w:tcPr>
          <w:p w14:paraId="63BFD6C8"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519FA579"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749C0598"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208F94FA" w14:textId="77777777" w:rsidR="00D12D06" w:rsidRPr="00B0658A" w:rsidRDefault="00D12D06" w:rsidP="000A4114">
            <w:pPr>
              <w:spacing w:after="0" w:line="240" w:lineRule="auto"/>
              <w:jc w:val="both"/>
              <w:rPr>
                <w:rFonts w:ascii="Times New Roman" w:hAnsi="Times New Roman"/>
                <w:i/>
                <w:iCs/>
                <w:sz w:val="20"/>
                <w:szCs w:val="20"/>
              </w:rPr>
            </w:pPr>
          </w:p>
        </w:tc>
      </w:tr>
      <w:tr w:rsidR="00F52FED" w:rsidRPr="00B0658A" w14:paraId="1DEAB623" w14:textId="77777777" w:rsidTr="00B10FDE">
        <w:trPr>
          <w:trHeight w:val="170"/>
        </w:trPr>
        <w:tc>
          <w:tcPr>
            <w:tcW w:w="0" w:type="auto"/>
            <w:shd w:val="clear" w:color="auto" w:fill="auto"/>
          </w:tcPr>
          <w:p w14:paraId="6E0ACE92" w14:textId="77777777" w:rsidR="00D12D06" w:rsidRPr="00B0658A" w:rsidRDefault="00D12D06" w:rsidP="000A4114">
            <w:pPr>
              <w:spacing w:after="0" w:line="240" w:lineRule="auto"/>
              <w:rPr>
                <w:rFonts w:ascii="Times New Roman" w:hAnsi="Times New Roman"/>
                <w:sz w:val="20"/>
                <w:szCs w:val="20"/>
              </w:rPr>
            </w:pPr>
            <w:r w:rsidRPr="00B0658A">
              <w:rPr>
                <w:rFonts w:ascii="Times New Roman" w:hAnsi="Times New Roman"/>
                <w:sz w:val="18"/>
                <w:szCs w:val="18"/>
              </w:rPr>
              <w:t>11.4</w:t>
            </w:r>
          </w:p>
        </w:tc>
        <w:tc>
          <w:tcPr>
            <w:tcW w:w="3432" w:type="dxa"/>
            <w:shd w:val="clear" w:color="auto" w:fill="auto"/>
            <w:vAlign w:val="center"/>
          </w:tcPr>
          <w:p w14:paraId="2FA39646" w14:textId="77777777" w:rsidR="00D12D06" w:rsidRPr="00B0658A" w:rsidRDefault="00D12D06" w:rsidP="000A4114">
            <w:pPr>
              <w:suppressAutoHyphens/>
              <w:spacing w:after="0" w:line="240" w:lineRule="auto"/>
              <w:rPr>
                <w:rFonts w:ascii="Times New Roman" w:hAnsi="Times New Roman"/>
                <w:sz w:val="18"/>
                <w:szCs w:val="18"/>
              </w:rPr>
            </w:pPr>
            <w:r w:rsidRPr="00B0658A">
              <w:rPr>
                <w:rFonts w:ascii="Times New Roman" w:hAnsi="Times New Roman"/>
                <w:sz w:val="18"/>
                <w:szCs w:val="18"/>
              </w:rPr>
              <w:t xml:space="preserve">Средства анализа данных/ </w:t>
            </w:r>
          </w:p>
          <w:p w14:paraId="31C8D02D" w14:textId="77777777" w:rsidR="00D12D06" w:rsidRPr="00B0658A" w:rsidRDefault="00D12D06" w:rsidP="000A4114">
            <w:pPr>
              <w:suppressAutoHyphens/>
              <w:spacing w:after="0" w:line="240" w:lineRule="auto"/>
              <w:rPr>
                <w:rFonts w:ascii="Times New Roman" w:hAnsi="Times New Roman"/>
                <w:sz w:val="20"/>
                <w:szCs w:val="20"/>
              </w:rPr>
            </w:pPr>
            <w:r w:rsidRPr="00B0658A">
              <w:rPr>
                <w:rFonts w:ascii="Times New Roman" w:hAnsi="Times New Roman"/>
                <w:sz w:val="18"/>
                <w:szCs w:val="18"/>
              </w:rPr>
              <w:t>Средства интеллектуального анализа данных (Data Mining)</w:t>
            </w:r>
          </w:p>
        </w:tc>
        <w:tc>
          <w:tcPr>
            <w:tcW w:w="1256" w:type="dxa"/>
          </w:tcPr>
          <w:p w14:paraId="7FE71287"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5EBED07C"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5951003C"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1382D9D0" w14:textId="77777777" w:rsidR="00D12D06" w:rsidRPr="00B0658A" w:rsidRDefault="00D12D06" w:rsidP="000A4114">
            <w:pPr>
              <w:spacing w:after="0" w:line="240" w:lineRule="auto"/>
              <w:jc w:val="both"/>
              <w:rPr>
                <w:rFonts w:ascii="Times New Roman" w:hAnsi="Times New Roman"/>
                <w:i/>
                <w:iCs/>
                <w:sz w:val="20"/>
                <w:szCs w:val="20"/>
              </w:rPr>
            </w:pPr>
          </w:p>
        </w:tc>
      </w:tr>
      <w:tr w:rsidR="00F52FED" w:rsidRPr="00B0658A" w14:paraId="5D6B7F34" w14:textId="77777777" w:rsidTr="00B10FDE">
        <w:trPr>
          <w:trHeight w:val="170"/>
        </w:trPr>
        <w:tc>
          <w:tcPr>
            <w:tcW w:w="0" w:type="auto"/>
            <w:shd w:val="clear" w:color="auto" w:fill="auto"/>
          </w:tcPr>
          <w:p w14:paraId="505A31AF" w14:textId="77777777" w:rsidR="00D12D06" w:rsidRPr="00B0658A" w:rsidRDefault="00D12D06" w:rsidP="000A4114">
            <w:pPr>
              <w:spacing w:after="0" w:line="240" w:lineRule="auto"/>
              <w:rPr>
                <w:rFonts w:ascii="Times New Roman" w:hAnsi="Times New Roman"/>
                <w:b/>
                <w:sz w:val="20"/>
                <w:szCs w:val="20"/>
              </w:rPr>
            </w:pPr>
            <w:r w:rsidRPr="00B0658A">
              <w:rPr>
                <w:rFonts w:ascii="Times New Roman" w:hAnsi="Times New Roman"/>
                <w:sz w:val="18"/>
                <w:szCs w:val="18"/>
              </w:rPr>
              <w:t>11.5</w:t>
            </w:r>
          </w:p>
        </w:tc>
        <w:tc>
          <w:tcPr>
            <w:tcW w:w="3432" w:type="dxa"/>
            <w:shd w:val="clear" w:color="auto" w:fill="auto"/>
            <w:vAlign w:val="center"/>
          </w:tcPr>
          <w:p w14:paraId="2F30DFAA" w14:textId="77777777" w:rsidR="00D12D06" w:rsidRPr="00B0658A" w:rsidRDefault="00D12D06" w:rsidP="000A4114">
            <w:pPr>
              <w:suppressAutoHyphens/>
              <w:spacing w:after="0" w:line="240" w:lineRule="auto"/>
              <w:rPr>
                <w:rFonts w:ascii="Times New Roman" w:hAnsi="Times New Roman"/>
                <w:sz w:val="18"/>
                <w:szCs w:val="18"/>
              </w:rPr>
            </w:pPr>
            <w:r w:rsidRPr="00B0658A">
              <w:rPr>
                <w:rFonts w:ascii="Times New Roman" w:hAnsi="Times New Roman"/>
                <w:sz w:val="18"/>
                <w:szCs w:val="18"/>
              </w:rPr>
              <w:t xml:space="preserve">Средства анализа данных/ </w:t>
            </w:r>
          </w:p>
          <w:p w14:paraId="0101557A" w14:textId="77777777" w:rsidR="00D12D06" w:rsidRPr="00B0658A" w:rsidRDefault="00D12D06" w:rsidP="000A4114">
            <w:pPr>
              <w:suppressAutoHyphens/>
              <w:spacing w:after="0" w:line="240" w:lineRule="auto"/>
              <w:rPr>
                <w:rFonts w:ascii="Times New Roman" w:hAnsi="Times New Roman"/>
                <w:b/>
                <w:sz w:val="20"/>
                <w:szCs w:val="20"/>
              </w:rPr>
            </w:pPr>
            <w:r w:rsidRPr="00B0658A">
              <w:rPr>
                <w:rFonts w:ascii="Times New Roman" w:hAnsi="Times New Roman"/>
                <w:sz w:val="18"/>
                <w:szCs w:val="18"/>
              </w:rPr>
              <w:t>Средства поддержки принятия решений (DSS)</w:t>
            </w:r>
          </w:p>
        </w:tc>
        <w:tc>
          <w:tcPr>
            <w:tcW w:w="1256" w:type="dxa"/>
          </w:tcPr>
          <w:p w14:paraId="2B38DF32"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3FD74BA5"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417DCD0C"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12302E43" w14:textId="77777777" w:rsidR="00D12D06" w:rsidRPr="00B0658A" w:rsidRDefault="00D12D06" w:rsidP="000A4114">
            <w:pPr>
              <w:spacing w:after="0" w:line="240" w:lineRule="auto"/>
              <w:jc w:val="both"/>
              <w:rPr>
                <w:rFonts w:ascii="Times New Roman" w:hAnsi="Times New Roman"/>
                <w:i/>
                <w:iCs/>
                <w:sz w:val="20"/>
                <w:szCs w:val="20"/>
              </w:rPr>
            </w:pPr>
          </w:p>
        </w:tc>
      </w:tr>
      <w:tr w:rsidR="00D12D06" w:rsidRPr="00B0658A" w14:paraId="293A0083" w14:textId="77777777" w:rsidTr="00B10FDE">
        <w:trPr>
          <w:trHeight w:val="170"/>
        </w:trPr>
        <w:tc>
          <w:tcPr>
            <w:tcW w:w="0" w:type="auto"/>
            <w:shd w:val="clear" w:color="auto" w:fill="auto"/>
          </w:tcPr>
          <w:p w14:paraId="7FFBD6F0" w14:textId="77777777" w:rsidR="00D12D06" w:rsidRPr="00B0658A" w:rsidRDefault="00D12D06" w:rsidP="000A4114">
            <w:pPr>
              <w:spacing w:after="0" w:line="240" w:lineRule="auto"/>
              <w:rPr>
                <w:rFonts w:ascii="Times New Roman" w:hAnsi="Times New Roman"/>
                <w:b/>
                <w:sz w:val="20"/>
                <w:szCs w:val="20"/>
              </w:rPr>
            </w:pPr>
            <w:r w:rsidRPr="00B0658A">
              <w:rPr>
                <w:rFonts w:ascii="Times New Roman" w:hAnsi="Times New Roman"/>
                <w:sz w:val="18"/>
                <w:szCs w:val="18"/>
              </w:rPr>
              <w:t>11.6</w:t>
            </w:r>
          </w:p>
        </w:tc>
        <w:tc>
          <w:tcPr>
            <w:tcW w:w="3432" w:type="dxa"/>
            <w:shd w:val="clear" w:color="auto" w:fill="auto"/>
            <w:vAlign w:val="center"/>
          </w:tcPr>
          <w:p w14:paraId="7B71A859" w14:textId="77777777" w:rsidR="00D12D06" w:rsidRPr="00B0658A" w:rsidRDefault="00D12D06" w:rsidP="000A4114">
            <w:pPr>
              <w:spacing w:after="0" w:line="240" w:lineRule="auto"/>
              <w:rPr>
                <w:rFonts w:ascii="Times New Roman" w:hAnsi="Times New Roman"/>
                <w:b/>
                <w:sz w:val="20"/>
                <w:szCs w:val="20"/>
              </w:rPr>
            </w:pPr>
            <w:r w:rsidRPr="00B0658A">
              <w:rPr>
                <w:rFonts w:ascii="Times New Roman" w:hAnsi="Times New Roman"/>
                <w:sz w:val="18"/>
                <w:szCs w:val="18"/>
              </w:rPr>
              <w:t xml:space="preserve">Средства анализа данных/ Инструменты обработки, анализа </w:t>
            </w:r>
            <w:r w:rsidRPr="00B0658A">
              <w:rPr>
                <w:rFonts w:ascii="Times New Roman" w:hAnsi="Times New Roman"/>
                <w:sz w:val="18"/>
                <w:szCs w:val="18"/>
              </w:rPr>
              <w:br/>
              <w:t>и распознавания изображений</w:t>
            </w:r>
          </w:p>
        </w:tc>
        <w:tc>
          <w:tcPr>
            <w:tcW w:w="1256" w:type="dxa"/>
          </w:tcPr>
          <w:p w14:paraId="52546594"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0AC9B35D"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76F2AD08" w14:textId="77777777" w:rsidR="00D12D06" w:rsidRPr="00B0658A" w:rsidRDefault="00D12D06" w:rsidP="000A4114">
            <w:pPr>
              <w:spacing w:after="0" w:line="240" w:lineRule="auto"/>
              <w:rPr>
                <w:rFonts w:ascii="Times New Roman" w:hAnsi="Times New Roman"/>
                <w:i/>
                <w:iCs/>
                <w:sz w:val="20"/>
                <w:szCs w:val="20"/>
              </w:rPr>
            </w:pPr>
          </w:p>
        </w:tc>
        <w:tc>
          <w:tcPr>
            <w:tcW w:w="0" w:type="auto"/>
            <w:shd w:val="clear" w:color="auto" w:fill="auto"/>
          </w:tcPr>
          <w:p w14:paraId="56E4F93A" w14:textId="77777777" w:rsidR="00D12D06" w:rsidRPr="00B0658A" w:rsidRDefault="00D12D06" w:rsidP="000A4114">
            <w:pPr>
              <w:spacing w:after="0" w:line="240" w:lineRule="auto"/>
              <w:jc w:val="both"/>
              <w:rPr>
                <w:rFonts w:ascii="Times New Roman" w:hAnsi="Times New Roman"/>
                <w:i/>
                <w:iCs/>
                <w:sz w:val="20"/>
                <w:szCs w:val="20"/>
              </w:rPr>
            </w:pPr>
          </w:p>
        </w:tc>
      </w:tr>
    </w:tbl>
    <w:p w14:paraId="31325E48" w14:textId="77777777" w:rsidR="00A97B77" w:rsidRDefault="00A97B77" w:rsidP="00D12D06">
      <w:pPr>
        <w:pStyle w:val="ConsPlusNormal"/>
        <w:spacing w:before="120"/>
        <w:jc w:val="center"/>
        <w:rPr>
          <w:sz w:val="32"/>
        </w:rPr>
      </w:pPr>
    </w:p>
    <w:p w14:paraId="7457CEF0" w14:textId="77777777" w:rsidR="00A97B77" w:rsidRDefault="00A97B77">
      <w:pPr>
        <w:spacing w:after="0" w:line="240" w:lineRule="auto"/>
        <w:rPr>
          <w:rFonts w:ascii="Times New Roman" w:hAnsi="Times New Roman"/>
          <w:sz w:val="32"/>
          <w:szCs w:val="24"/>
        </w:rPr>
      </w:pPr>
      <w:r>
        <w:rPr>
          <w:sz w:val="32"/>
        </w:rPr>
        <w:br w:type="page"/>
      </w:r>
    </w:p>
    <w:p w14:paraId="67AAC4C5" w14:textId="77777777" w:rsidR="00D12D06" w:rsidRPr="00B0658A" w:rsidRDefault="00D12D06" w:rsidP="00D12D06">
      <w:pPr>
        <w:pStyle w:val="ConsPlusNormal"/>
        <w:spacing w:before="120"/>
        <w:jc w:val="center"/>
        <w:rPr>
          <w:sz w:val="32"/>
        </w:rPr>
      </w:pPr>
      <w:r w:rsidRPr="00B0658A">
        <w:rPr>
          <w:sz w:val="32"/>
        </w:rPr>
        <w:t xml:space="preserve">Сведения о реализации детализированного плана перехода ______________ (полное наименование </w:t>
      </w:r>
      <w:r w:rsidRPr="00B0658A">
        <w:rPr>
          <w:sz w:val="32"/>
          <w:szCs w:val="28"/>
        </w:rPr>
        <w:t xml:space="preserve">подведомственной организации на использование российского </w:t>
      </w:r>
      <w:r w:rsidRPr="00B0658A">
        <w:rPr>
          <w:sz w:val="32"/>
        </w:rPr>
        <w:t xml:space="preserve">ПО на принадлежащих </w:t>
      </w:r>
      <w:r w:rsidR="00FB28D8" w:rsidRPr="00B0658A">
        <w:rPr>
          <w:sz w:val="32"/>
          <w:szCs w:val="28"/>
        </w:rPr>
        <w:t>подведомственной организации</w:t>
      </w:r>
      <w:r w:rsidRPr="00B0658A">
        <w:rPr>
          <w:sz w:val="32"/>
        </w:rPr>
        <w:t xml:space="preserve"> значимых объектах КИИ</w:t>
      </w:r>
      <w:r w:rsidRPr="00B0658A">
        <w:rPr>
          <w:sz w:val="32"/>
          <w:szCs w:val="28"/>
        </w:rPr>
        <w:t xml:space="preserve"> </w:t>
      </w:r>
      <w:r w:rsidRPr="00B0658A">
        <w:rPr>
          <w:sz w:val="32"/>
        </w:rPr>
        <w:t xml:space="preserve">на период 2022-2024 годы за </w:t>
      </w:r>
      <w:r w:rsidRPr="00B0658A">
        <w:rPr>
          <w:sz w:val="32"/>
          <w:szCs w:val="28"/>
        </w:rPr>
        <w:t xml:space="preserve"> ____ полугодие _______ года</w:t>
      </w:r>
    </w:p>
    <w:p w14:paraId="1D4BB5E0" w14:textId="77777777" w:rsidR="00D12D06" w:rsidRPr="00B0658A" w:rsidRDefault="00D12D06" w:rsidP="00D12D06">
      <w:pPr>
        <w:rPr>
          <w:rFonts w:ascii="Times New Roman" w:hAnsi="Times New Roman"/>
        </w:rPr>
      </w:pPr>
    </w:p>
    <w:p w14:paraId="7C8D12F6" w14:textId="77777777" w:rsidR="00D12D06" w:rsidRPr="00B0658A" w:rsidRDefault="00D12D06" w:rsidP="00D12D06">
      <w:pPr>
        <w:spacing w:line="240" w:lineRule="auto"/>
        <w:ind w:firstLine="709"/>
        <w:jc w:val="both"/>
        <w:rPr>
          <w:rFonts w:ascii="Times New Roman" w:hAnsi="Times New Roman"/>
          <w:sz w:val="28"/>
          <w:szCs w:val="28"/>
        </w:rPr>
      </w:pPr>
      <w:r w:rsidRPr="00B0658A">
        <w:rPr>
          <w:rFonts w:ascii="Times New Roman" w:hAnsi="Times New Roman"/>
          <w:sz w:val="28"/>
          <w:szCs w:val="28"/>
        </w:rPr>
        <w:t xml:space="preserve">Сведения о реализации мероприятий по переходу на использование российского ПО на принадлежащих _______ (полное наименование </w:t>
      </w:r>
      <w:r w:rsidR="00FB28D8" w:rsidRPr="00B0658A">
        <w:rPr>
          <w:rFonts w:ascii="Times New Roman" w:hAnsi="Times New Roman"/>
          <w:sz w:val="28"/>
          <w:szCs w:val="28"/>
        </w:rPr>
        <w:t>подведомственной организации</w:t>
      </w:r>
      <w:r w:rsidRPr="00B0658A">
        <w:rPr>
          <w:rFonts w:ascii="Times New Roman" w:hAnsi="Times New Roman"/>
          <w:sz w:val="28"/>
          <w:szCs w:val="28"/>
        </w:rPr>
        <w:t>) значимых объектах КИИ</w:t>
      </w:r>
    </w:p>
    <w:tbl>
      <w:tblPr>
        <w:tblStyle w:val="32"/>
        <w:tblW w:w="5000" w:type="pct"/>
        <w:tblLook w:val="04A0" w:firstRow="1" w:lastRow="0" w:firstColumn="1" w:lastColumn="0" w:noHBand="0" w:noVBand="1"/>
      </w:tblPr>
      <w:tblGrid>
        <w:gridCol w:w="513"/>
        <w:gridCol w:w="2853"/>
        <w:gridCol w:w="2471"/>
        <w:gridCol w:w="2496"/>
        <w:gridCol w:w="2435"/>
        <w:gridCol w:w="3176"/>
      </w:tblGrid>
      <w:tr w:rsidR="00F52FED" w:rsidRPr="00B0658A" w14:paraId="056D66BE" w14:textId="77777777" w:rsidTr="00F57B1F">
        <w:trPr>
          <w:tblHeader/>
        </w:trPr>
        <w:tc>
          <w:tcPr>
            <w:tcW w:w="184" w:type="pct"/>
          </w:tcPr>
          <w:p w14:paraId="4B1D573C" w14:textId="77777777" w:rsidR="00D12D06" w:rsidRPr="00B0658A" w:rsidRDefault="00D12D06" w:rsidP="000A4114">
            <w:pPr>
              <w:spacing w:after="0" w:line="240" w:lineRule="auto"/>
              <w:jc w:val="center"/>
              <w:rPr>
                <w:rFonts w:ascii="Times New Roman"/>
                <w:b/>
                <w:bCs/>
                <w:color w:val="auto"/>
                <w:sz w:val="20"/>
                <w:szCs w:val="20"/>
              </w:rPr>
            </w:pPr>
            <w:r w:rsidRPr="00B0658A">
              <w:rPr>
                <w:rFonts w:ascii="Times New Roman"/>
                <w:b/>
                <w:bCs/>
                <w:color w:val="auto"/>
                <w:sz w:val="20"/>
                <w:szCs w:val="20"/>
              </w:rPr>
              <w:t>№</w:t>
            </w:r>
          </w:p>
        </w:tc>
        <w:tc>
          <w:tcPr>
            <w:tcW w:w="1023" w:type="pct"/>
          </w:tcPr>
          <w:p w14:paraId="3FA879FB" w14:textId="77777777" w:rsidR="00D12D06" w:rsidRPr="00B0658A" w:rsidRDefault="00D12D06" w:rsidP="000A4114">
            <w:pPr>
              <w:spacing w:after="0" w:line="240" w:lineRule="auto"/>
              <w:jc w:val="center"/>
              <w:rPr>
                <w:rFonts w:ascii="Times New Roman"/>
                <w:b/>
                <w:bCs/>
                <w:color w:val="auto"/>
                <w:sz w:val="20"/>
                <w:szCs w:val="20"/>
              </w:rPr>
            </w:pPr>
            <w:r w:rsidRPr="00B0658A">
              <w:rPr>
                <w:rFonts w:ascii="Times New Roman"/>
                <w:b/>
                <w:bCs/>
                <w:color w:val="auto"/>
                <w:sz w:val="20"/>
                <w:szCs w:val="20"/>
              </w:rPr>
              <w:t xml:space="preserve">Наименование мероприятия в соответствии с утвержденным детализированным планом </w:t>
            </w:r>
          </w:p>
        </w:tc>
        <w:tc>
          <w:tcPr>
            <w:tcW w:w="886" w:type="pct"/>
          </w:tcPr>
          <w:p w14:paraId="3D5C5C37" w14:textId="77777777" w:rsidR="00D12D06" w:rsidRPr="00B0658A" w:rsidRDefault="00D12D06" w:rsidP="000A4114">
            <w:pPr>
              <w:spacing w:after="0" w:line="240" w:lineRule="auto"/>
              <w:jc w:val="center"/>
              <w:rPr>
                <w:rFonts w:ascii="Times New Roman"/>
                <w:b/>
                <w:bCs/>
                <w:color w:val="auto"/>
                <w:sz w:val="20"/>
                <w:szCs w:val="20"/>
              </w:rPr>
            </w:pPr>
            <w:r w:rsidRPr="00B0658A">
              <w:rPr>
                <w:rFonts w:ascii="Times New Roman"/>
                <w:b/>
                <w:bCs/>
                <w:color w:val="auto"/>
                <w:sz w:val="20"/>
                <w:szCs w:val="20"/>
              </w:rPr>
              <w:t xml:space="preserve">Планируемый результат в соответствии с утвержденным детализированным планом </w:t>
            </w:r>
          </w:p>
        </w:tc>
        <w:tc>
          <w:tcPr>
            <w:tcW w:w="895" w:type="pct"/>
          </w:tcPr>
          <w:p w14:paraId="1B4A6F24" w14:textId="77777777" w:rsidR="00D12D06" w:rsidRPr="00B0658A" w:rsidRDefault="00D12D06" w:rsidP="000A4114">
            <w:pPr>
              <w:spacing w:after="0" w:line="240" w:lineRule="auto"/>
              <w:jc w:val="center"/>
              <w:rPr>
                <w:rFonts w:ascii="Times New Roman"/>
                <w:b/>
                <w:bCs/>
                <w:color w:val="auto"/>
                <w:sz w:val="20"/>
                <w:szCs w:val="20"/>
              </w:rPr>
            </w:pPr>
            <w:r w:rsidRPr="00B0658A">
              <w:rPr>
                <w:rFonts w:ascii="Times New Roman"/>
                <w:b/>
                <w:bCs/>
                <w:color w:val="auto"/>
                <w:sz w:val="20"/>
                <w:szCs w:val="20"/>
              </w:rPr>
              <w:t>Сроки реализации запланированного мероприятия в соответствии с детализированным планом</w:t>
            </w:r>
          </w:p>
        </w:tc>
        <w:tc>
          <w:tcPr>
            <w:tcW w:w="873" w:type="pct"/>
          </w:tcPr>
          <w:p w14:paraId="119684A8" w14:textId="77777777" w:rsidR="00D12D06" w:rsidRPr="00B0658A" w:rsidRDefault="00D12D06" w:rsidP="000A4114">
            <w:pPr>
              <w:spacing w:after="0" w:line="240" w:lineRule="auto"/>
              <w:jc w:val="center"/>
              <w:rPr>
                <w:rFonts w:ascii="Times New Roman"/>
                <w:b/>
                <w:bCs/>
                <w:color w:val="auto"/>
                <w:sz w:val="20"/>
                <w:szCs w:val="20"/>
              </w:rPr>
            </w:pPr>
            <w:r w:rsidRPr="00B0658A">
              <w:rPr>
                <w:rFonts w:ascii="Times New Roman"/>
                <w:b/>
                <w:bCs/>
                <w:color w:val="auto"/>
                <w:sz w:val="20"/>
                <w:szCs w:val="20"/>
              </w:rPr>
              <w:t>Статус выполнения мероприятия</w:t>
            </w:r>
          </w:p>
        </w:tc>
        <w:tc>
          <w:tcPr>
            <w:tcW w:w="1139" w:type="pct"/>
          </w:tcPr>
          <w:p w14:paraId="566BECEF" w14:textId="77777777" w:rsidR="00D12D06" w:rsidRPr="00B0658A" w:rsidRDefault="00D12D06" w:rsidP="000A4114">
            <w:pPr>
              <w:spacing w:after="0" w:line="240" w:lineRule="auto"/>
              <w:jc w:val="center"/>
              <w:rPr>
                <w:rFonts w:ascii="Times New Roman"/>
                <w:b/>
                <w:bCs/>
                <w:color w:val="auto"/>
                <w:sz w:val="20"/>
                <w:szCs w:val="20"/>
              </w:rPr>
            </w:pPr>
            <w:r w:rsidRPr="00B0658A">
              <w:rPr>
                <w:rFonts w:ascii="Times New Roman"/>
                <w:b/>
                <w:bCs/>
                <w:color w:val="auto"/>
                <w:sz w:val="20"/>
                <w:szCs w:val="20"/>
              </w:rPr>
              <w:t>Описание достигнутого фактического результата</w:t>
            </w:r>
          </w:p>
        </w:tc>
      </w:tr>
      <w:tr w:rsidR="00F52FED" w:rsidRPr="00B0658A" w14:paraId="36A2143E" w14:textId="77777777" w:rsidTr="00B10FDE">
        <w:tc>
          <w:tcPr>
            <w:tcW w:w="5000" w:type="pct"/>
            <w:gridSpan w:val="6"/>
            <w:vAlign w:val="center"/>
          </w:tcPr>
          <w:p w14:paraId="510B394D" w14:textId="77777777" w:rsidR="00D12D06" w:rsidRPr="00B0658A" w:rsidRDefault="00D12D06" w:rsidP="000A4114">
            <w:pPr>
              <w:spacing w:after="0" w:line="240" w:lineRule="auto"/>
              <w:rPr>
                <w:rFonts w:ascii="Times New Roman"/>
                <w:b/>
                <w:i/>
                <w:iCs/>
                <w:color w:val="auto"/>
                <w:sz w:val="20"/>
                <w:szCs w:val="20"/>
              </w:rPr>
            </w:pPr>
            <w:r w:rsidRPr="00B0658A">
              <w:rPr>
                <w:rFonts w:ascii="Times New Roman"/>
                <w:b/>
                <w:color w:val="auto"/>
                <w:sz w:val="20"/>
                <w:szCs w:val="20"/>
              </w:rPr>
              <w:t>1. Мероприятия в отношении ________ (наименование значимого объекта КИИ №1)</w:t>
            </w:r>
          </w:p>
        </w:tc>
      </w:tr>
      <w:tr w:rsidR="00F52FED" w:rsidRPr="00B0658A" w14:paraId="719C1B0E" w14:textId="77777777" w:rsidTr="00B10FDE">
        <w:tc>
          <w:tcPr>
            <w:tcW w:w="184" w:type="pct"/>
          </w:tcPr>
          <w:p w14:paraId="02EF5D21" w14:textId="77777777" w:rsidR="00D12D06" w:rsidRPr="00B0658A" w:rsidRDefault="00D12D06" w:rsidP="000A4114">
            <w:pPr>
              <w:spacing w:after="0" w:line="240" w:lineRule="auto"/>
              <w:jc w:val="both"/>
              <w:rPr>
                <w:rFonts w:ascii="Times New Roman"/>
                <w:color w:val="auto"/>
                <w:sz w:val="20"/>
                <w:szCs w:val="20"/>
              </w:rPr>
            </w:pPr>
            <w:r w:rsidRPr="00B0658A">
              <w:rPr>
                <w:rFonts w:ascii="Times New Roman"/>
                <w:color w:val="auto"/>
                <w:sz w:val="20"/>
                <w:szCs w:val="20"/>
              </w:rPr>
              <w:t>1.1</w:t>
            </w:r>
          </w:p>
        </w:tc>
        <w:tc>
          <w:tcPr>
            <w:tcW w:w="1023" w:type="pct"/>
          </w:tcPr>
          <w:p w14:paraId="33D45CDB" w14:textId="77777777" w:rsidR="00D12D06" w:rsidRPr="00B0658A" w:rsidRDefault="00D12D06" w:rsidP="000A4114">
            <w:pPr>
              <w:spacing w:after="0" w:line="240" w:lineRule="auto"/>
              <w:jc w:val="both"/>
              <w:rPr>
                <w:rFonts w:ascii="Times New Roman"/>
                <w:i/>
                <w:iCs/>
                <w:color w:val="auto"/>
                <w:sz w:val="20"/>
                <w:szCs w:val="20"/>
              </w:rPr>
            </w:pPr>
            <w:r w:rsidRPr="00B0658A">
              <w:rPr>
                <w:rFonts w:ascii="Times New Roman"/>
                <w:i/>
                <w:iCs/>
                <w:color w:val="auto"/>
                <w:sz w:val="20"/>
                <w:szCs w:val="20"/>
              </w:rPr>
              <w:t xml:space="preserve">Указывается наименование мероприятия в соответствии с утвержденным детализированным планом перехода на использование российского ПО на принадлежащих </w:t>
            </w:r>
            <w:r w:rsidR="00FB28D8" w:rsidRPr="00B0658A">
              <w:rPr>
                <w:rFonts w:ascii="Times New Roman"/>
                <w:i/>
                <w:iCs/>
                <w:color w:val="auto"/>
                <w:sz w:val="20"/>
                <w:szCs w:val="20"/>
              </w:rPr>
              <w:t xml:space="preserve">подведомственной организации </w:t>
            </w:r>
            <w:r w:rsidRPr="00B0658A">
              <w:rPr>
                <w:rFonts w:ascii="Times New Roman"/>
                <w:i/>
                <w:iCs/>
                <w:color w:val="auto"/>
                <w:sz w:val="20"/>
                <w:szCs w:val="20"/>
              </w:rPr>
              <w:t>значимых объектах КИИ</w:t>
            </w:r>
          </w:p>
          <w:p w14:paraId="74FB1B4B" w14:textId="77777777" w:rsidR="00D12D06" w:rsidRPr="00B0658A" w:rsidRDefault="00D12D06" w:rsidP="000A4114">
            <w:pPr>
              <w:pStyle w:val="ConsPlusNormal"/>
              <w:jc w:val="both"/>
              <w:rPr>
                <w:color w:val="auto"/>
                <w:sz w:val="20"/>
                <w:szCs w:val="20"/>
              </w:rPr>
            </w:pPr>
          </w:p>
          <w:p w14:paraId="60530601" w14:textId="77777777" w:rsidR="00D12D06" w:rsidRPr="00B0658A" w:rsidRDefault="00D12D06" w:rsidP="000A4114">
            <w:pPr>
              <w:spacing w:after="0" w:line="240" w:lineRule="auto"/>
              <w:jc w:val="both"/>
              <w:rPr>
                <w:rFonts w:ascii="Times New Roman"/>
                <w:i/>
                <w:iCs/>
                <w:color w:val="auto"/>
                <w:sz w:val="20"/>
                <w:szCs w:val="20"/>
              </w:rPr>
            </w:pPr>
          </w:p>
        </w:tc>
        <w:tc>
          <w:tcPr>
            <w:tcW w:w="886" w:type="pct"/>
          </w:tcPr>
          <w:p w14:paraId="6C1A34A5" w14:textId="77777777" w:rsidR="00D12D06" w:rsidRPr="00B0658A" w:rsidRDefault="00D12D06" w:rsidP="000A4114">
            <w:pPr>
              <w:spacing w:after="0" w:line="240" w:lineRule="auto"/>
              <w:jc w:val="both"/>
              <w:rPr>
                <w:rFonts w:ascii="Times New Roman"/>
                <w:i/>
                <w:iCs/>
                <w:color w:val="auto"/>
                <w:sz w:val="20"/>
                <w:szCs w:val="20"/>
              </w:rPr>
            </w:pPr>
            <w:r w:rsidRPr="00B0658A">
              <w:rPr>
                <w:rFonts w:ascii="Times New Roman"/>
                <w:i/>
                <w:iCs/>
                <w:color w:val="auto"/>
                <w:sz w:val="20"/>
                <w:szCs w:val="20"/>
              </w:rPr>
              <w:t xml:space="preserve">Указывается запланированный результат в соответствии с утвержденным детализированным планом перехода на использование российского ПО на принадлежащих </w:t>
            </w:r>
            <w:r w:rsidR="00FB28D8" w:rsidRPr="00B0658A">
              <w:rPr>
                <w:rFonts w:ascii="Times New Roman"/>
                <w:i/>
                <w:iCs/>
                <w:color w:val="auto"/>
                <w:sz w:val="20"/>
                <w:szCs w:val="20"/>
              </w:rPr>
              <w:t xml:space="preserve">подведомственной организации </w:t>
            </w:r>
            <w:r w:rsidRPr="00B0658A">
              <w:rPr>
                <w:rFonts w:ascii="Times New Roman"/>
                <w:i/>
                <w:iCs/>
                <w:color w:val="auto"/>
                <w:sz w:val="20"/>
                <w:szCs w:val="20"/>
              </w:rPr>
              <w:t>значимых объектах КИИ</w:t>
            </w:r>
          </w:p>
          <w:p w14:paraId="44628771" w14:textId="77777777" w:rsidR="00D12D06" w:rsidRPr="00B0658A" w:rsidRDefault="00D12D06" w:rsidP="000A4114">
            <w:pPr>
              <w:spacing w:after="0" w:line="240" w:lineRule="auto"/>
              <w:jc w:val="both"/>
              <w:rPr>
                <w:rFonts w:ascii="Times New Roman"/>
                <w:color w:val="auto"/>
                <w:sz w:val="20"/>
                <w:szCs w:val="20"/>
              </w:rPr>
            </w:pPr>
          </w:p>
        </w:tc>
        <w:tc>
          <w:tcPr>
            <w:tcW w:w="895" w:type="pct"/>
          </w:tcPr>
          <w:p w14:paraId="12F2CA4D" w14:textId="77777777" w:rsidR="00D12D06" w:rsidRPr="00B0658A" w:rsidRDefault="00D12D06" w:rsidP="000A4114">
            <w:pPr>
              <w:spacing w:after="0" w:line="240" w:lineRule="auto"/>
              <w:jc w:val="both"/>
              <w:rPr>
                <w:rFonts w:ascii="Times New Roman"/>
                <w:i/>
                <w:iCs/>
                <w:color w:val="auto"/>
                <w:sz w:val="20"/>
                <w:szCs w:val="20"/>
              </w:rPr>
            </w:pPr>
            <w:r w:rsidRPr="00B0658A">
              <w:rPr>
                <w:rFonts w:ascii="Times New Roman"/>
                <w:i/>
                <w:iCs/>
                <w:color w:val="auto"/>
                <w:sz w:val="20"/>
                <w:szCs w:val="20"/>
              </w:rPr>
              <w:t xml:space="preserve">Указывается срок реализации (период выполнения) в соответствии с утвержденным детализированным планом перехода на использование российского ПО на принадлежащих </w:t>
            </w:r>
            <w:r w:rsidR="00FB28D8" w:rsidRPr="00B0658A">
              <w:rPr>
                <w:rFonts w:ascii="Times New Roman"/>
                <w:i/>
                <w:iCs/>
                <w:color w:val="auto"/>
                <w:sz w:val="20"/>
                <w:szCs w:val="20"/>
              </w:rPr>
              <w:t xml:space="preserve">подведомственной организации </w:t>
            </w:r>
            <w:r w:rsidRPr="00B0658A">
              <w:rPr>
                <w:rFonts w:ascii="Times New Roman"/>
                <w:i/>
                <w:iCs/>
                <w:color w:val="auto"/>
                <w:sz w:val="20"/>
                <w:szCs w:val="20"/>
              </w:rPr>
              <w:t>значимых объектах КИИ</w:t>
            </w:r>
          </w:p>
          <w:p w14:paraId="0747B40F" w14:textId="77777777" w:rsidR="00D12D06" w:rsidRPr="00B0658A" w:rsidRDefault="00D12D06" w:rsidP="000A4114">
            <w:pPr>
              <w:spacing w:after="0" w:line="240" w:lineRule="auto"/>
              <w:jc w:val="both"/>
              <w:rPr>
                <w:rFonts w:ascii="Times New Roman"/>
                <w:i/>
                <w:iCs/>
                <w:color w:val="auto"/>
                <w:sz w:val="20"/>
                <w:szCs w:val="20"/>
              </w:rPr>
            </w:pPr>
          </w:p>
        </w:tc>
        <w:tc>
          <w:tcPr>
            <w:tcW w:w="873" w:type="pct"/>
          </w:tcPr>
          <w:p w14:paraId="64D34CE2" w14:textId="77777777" w:rsidR="00D12D06" w:rsidRPr="00B0658A" w:rsidRDefault="00D12D06" w:rsidP="000A4114">
            <w:pPr>
              <w:spacing w:after="0" w:line="240" w:lineRule="auto"/>
              <w:jc w:val="both"/>
              <w:rPr>
                <w:rFonts w:ascii="Times New Roman"/>
                <w:i/>
                <w:iCs/>
                <w:color w:val="auto"/>
                <w:sz w:val="20"/>
                <w:szCs w:val="20"/>
              </w:rPr>
            </w:pPr>
            <w:r w:rsidRPr="00B0658A">
              <w:rPr>
                <w:rFonts w:ascii="Times New Roman"/>
                <w:i/>
                <w:iCs/>
                <w:color w:val="auto"/>
                <w:sz w:val="20"/>
                <w:szCs w:val="20"/>
              </w:rPr>
              <w:t>Указывается статус: «выполнено» / «не выполнено».</w:t>
            </w:r>
          </w:p>
          <w:p w14:paraId="1939651A" w14:textId="77777777" w:rsidR="00D12D06" w:rsidRPr="00B0658A" w:rsidRDefault="00D12D06" w:rsidP="000A4114">
            <w:pPr>
              <w:spacing w:after="0" w:line="240" w:lineRule="auto"/>
              <w:jc w:val="both"/>
              <w:rPr>
                <w:rFonts w:ascii="Times New Roman"/>
                <w:color w:val="auto"/>
                <w:sz w:val="20"/>
                <w:szCs w:val="20"/>
              </w:rPr>
            </w:pPr>
            <w:r w:rsidRPr="00B0658A">
              <w:rPr>
                <w:rFonts w:ascii="Times New Roman"/>
                <w:i/>
                <w:iCs/>
                <w:color w:val="auto"/>
                <w:sz w:val="20"/>
                <w:szCs w:val="20"/>
              </w:rPr>
              <w:t>Если мероприятие выполнено частично, то указывается статус «не выполнено»</w:t>
            </w:r>
          </w:p>
        </w:tc>
        <w:tc>
          <w:tcPr>
            <w:tcW w:w="1139" w:type="pct"/>
          </w:tcPr>
          <w:p w14:paraId="49E8589B" w14:textId="77777777" w:rsidR="00D12D06" w:rsidRPr="00B0658A" w:rsidRDefault="00D12D06" w:rsidP="000A4114">
            <w:pPr>
              <w:spacing w:after="0" w:line="240" w:lineRule="auto"/>
              <w:jc w:val="both"/>
              <w:rPr>
                <w:rFonts w:ascii="Times New Roman"/>
                <w:i/>
                <w:iCs/>
                <w:color w:val="auto"/>
                <w:sz w:val="20"/>
                <w:szCs w:val="20"/>
              </w:rPr>
            </w:pPr>
            <w:r w:rsidRPr="00B0658A">
              <w:rPr>
                <w:rFonts w:ascii="Times New Roman"/>
                <w:i/>
                <w:iCs/>
                <w:color w:val="auto"/>
                <w:sz w:val="20"/>
                <w:szCs w:val="20"/>
              </w:rPr>
              <w:t>Указывается достигнутый результат. В случае если мероприятие не было выполнено, либо результат выполнения мероприятия был достигнут не полностью, указываются причины невыполнения мероприятия (частичного выполнения мероприятия), а также срок, в который мероприятие будет реализовано и достигнут запланированный результат</w:t>
            </w:r>
          </w:p>
        </w:tc>
      </w:tr>
      <w:tr w:rsidR="00F52FED" w:rsidRPr="00B0658A" w14:paraId="1E129521" w14:textId="77777777" w:rsidTr="00B10FDE">
        <w:tc>
          <w:tcPr>
            <w:tcW w:w="184" w:type="pct"/>
          </w:tcPr>
          <w:p w14:paraId="0CC6E5BE" w14:textId="77777777" w:rsidR="00D12D06" w:rsidRPr="00B0658A" w:rsidRDefault="00D12D06" w:rsidP="000A4114">
            <w:pPr>
              <w:spacing w:after="0" w:line="240" w:lineRule="auto"/>
              <w:jc w:val="both"/>
              <w:rPr>
                <w:rFonts w:ascii="Times New Roman"/>
                <w:color w:val="auto"/>
                <w:sz w:val="20"/>
                <w:szCs w:val="20"/>
              </w:rPr>
            </w:pPr>
            <w:r w:rsidRPr="00B0658A">
              <w:rPr>
                <w:rFonts w:ascii="Times New Roman"/>
                <w:color w:val="auto"/>
                <w:sz w:val="20"/>
                <w:szCs w:val="20"/>
              </w:rPr>
              <w:t>1.2</w:t>
            </w:r>
          </w:p>
        </w:tc>
        <w:tc>
          <w:tcPr>
            <w:tcW w:w="1023" w:type="pct"/>
          </w:tcPr>
          <w:p w14:paraId="45687507" w14:textId="77777777" w:rsidR="00D12D06" w:rsidRPr="00B0658A" w:rsidRDefault="00D12D06" w:rsidP="000A4114">
            <w:pPr>
              <w:spacing w:after="0" w:line="240" w:lineRule="auto"/>
              <w:jc w:val="both"/>
              <w:rPr>
                <w:rFonts w:ascii="Times New Roman"/>
                <w:color w:val="auto"/>
                <w:sz w:val="20"/>
                <w:szCs w:val="20"/>
              </w:rPr>
            </w:pPr>
          </w:p>
        </w:tc>
        <w:tc>
          <w:tcPr>
            <w:tcW w:w="886" w:type="pct"/>
          </w:tcPr>
          <w:p w14:paraId="535E6090" w14:textId="77777777" w:rsidR="00D12D06" w:rsidRPr="00B0658A" w:rsidRDefault="00D12D06" w:rsidP="000A4114">
            <w:pPr>
              <w:spacing w:after="0" w:line="240" w:lineRule="auto"/>
              <w:jc w:val="both"/>
              <w:rPr>
                <w:rFonts w:ascii="Times New Roman"/>
                <w:color w:val="auto"/>
                <w:sz w:val="20"/>
                <w:szCs w:val="20"/>
              </w:rPr>
            </w:pPr>
          </w:p>
        </w:tc>
        <w:tc>
          <w:tcPr>
            <w:tcW w:w="895" w:type="pct"/>
          </w:tcPr>
          <w:p w14:paraId="66AB580A" w14:textId="77777777" w:rsidR="00D12D06" w:rsidRPr="00B0658A" w:rsidRDefault="00D12D06" w:rsidP="000A4114">
            <w:pPr>
              <w:spacing w:after="0" w:line="240" w:lineRule="auto"/>
              <w:jc w:val="both"/>
              <w:rPr>
                <w:rFonts w:ascii="Times New Roman"/>
                <w:color w:val="auto"/>
                <w:sz w:val="20"/>
                <w:szCs w:val="20"/>
              </w:rPr>
            </w:pPr>
          </w:p>
        </w:tc>
        <w:tc>
          <w:tcPr>
            <w:tcW w:w="873" w:type="pct"/>
          </w:tcPr>
          <w:p w14:paraId="565D6EC5" w14:textId="77777777" w:rsidR="00D12D06" w:rsidRPr="00B0658A" w:rsidRDefault="00D12D06" w:rsidP="000A4114">
            <w:pPr>
              <w:spacing w:after="0" w:line="240" w:lineRule="auto"/>
              <w:jc w:val="both"/>
              <w:rPr>
                <w:rFonts w:ascii="Times New Roman"/>
                <w:color w:val="auto"/>
                <w:sz w:val="20"/>
                <w:szCs w:val="20"/>
              </w:rPr>
            </w:pPr>
          </w:p>
        </w:tc>
        <w:tc>
          <w:tcPr>
            <w:tcW w:w="1139" w:type="pct"/>
          </w:tcPr>
          <w:p w14:paraId="596F4E10" w14:textId="77777777" w:rsidR="00D12D06" w:rsidRPr="00B0658A" w:rsidRDefault="00D12D06" w:rsidP="000A4114">
            <w:pPr>
              <w:spacing w:after="0" w:line="240" w:lineRule="auto"/>
              <w:jc w:val="both"/>
              <w:rPr>
                <w:rFonts w:ascii="Times New Roman"/>
                <w:color w:val="auto"/>
                <w:sz w:val="20"/>
                <w:szCs w:val="20"/>
              </w:rPr>
            </w:pPr>
          </w:p>
        </w:tc>
      </w:tr>
      <w:tr w:rsidR="00F52FED" w:rsidRPr="00B0658A" w14:paraId="12B742CC" w14:textId="77777777" w:rsidTr="00B10FDE">
        <w:tc>
          <w:tcPr>
            <w:tcW w:w="184" w:type="pct"/>
          </w:tcPr>
          <w:p w14:paraId="49EFDA3F" w14:textId="77777777" w:rsidR="00D12D06" w:rsidRPr="00B0658A" w:rsidRDefault="00D12D06" w:rsidP="000A4114">
            <w:pPr>
              <w:spacing w:after="0" w:line="240" w:lineRule="auto"/>
              <w:jc w:val="both"/>
              <w:rPr>
                <w:rFonts w:ascii="Times New Roman"/>
                <w:color w:val="auto"/>
                <w:sz w:val="20"/>
                <w:szCs w:val="20"/>
              </w:rPr>
            </w:pPr>
            <w:r w:rsidRPr="00B0658A">
              <w:rPr>
                <w:rFonts w:ascii="Times New Roman"/>
                <w:color w:val="auto"/>
                <w:sz w:val="20"/>
                <w:szCs w:val="20"/>
              </w:rPr>
              <w:t>…</w:t>
            </w:r>
          </w:p>
        </w:tc>
        <w:tc>
          <w:tcPr>
            <w:tcW w:w="1023" w:type="pct"/>
          </w:tcPr>
          <w:p w14:paraId="119472C3" w14:textId="77777777" w:rsidR="00D12D06" w:rsidRPr="00B0658A" w:rsidRDefault="00D12D06" w:rsidP="000A4114">
            <w:pPr>
              <w:spacing w:after="0" w:line="240" w:lineRule="auto"/>
              <w:jc w:val="both"/>
              <w:rPr>
                <w:rFonts w:ascii="Times New Roman"/>
                <w:color w:val="auto"/>
                <w:sz w:val="20"/>
                <w:szCs w:val="20"/>
              </w:rPr>
            </w:pPr>
          </w:p>
        </w:tc>
        <w:tc>
          <w:tcPr>
            <w:tcW w:w="886" w:type="pct"/>
          </w:tcPr>
          <w:p w14:paraId="07036E72" w14:textId="77777777" w:rsidR="00D12D06" w:rsidRPr="00B0658A" w:rsidRDefault="00D12D06" w:rsidP="000A4114">
            <w:pPr>
              <w:spacing w:after="0" w:line="240" w:lineRule="auto"/>
              <w:jc w:val="both"/>
              <w:rPr>
                <w:rFonts w:ascii="Times New Roman"/>
                <w:color w:val="auto"/>
                <w:sz w:val="20"/>
                <w:szCs w:val="20"/>
              </w:rPr>
            </w:pPr>
          </w:p>
        </w:tc>
        <w:tc>
          <w:tcPr>
            <w:tcW w:w="895" w:type="pct"/>
          </w:tcPr>
          <w:p w14:paraId="29B0C975" w14:textId="77777777" w:rsidR="00D12D06" w:rsidRPr="00B0658A" w:rsidRDefault="00D12D06" w:rsidP="000A4114">
            <w:pPr>
              <w:spacing w:after="0" w:line="240" w:lineRule="auto"/>
              <w:jc w:val="both"/>
              <w:rPr>
                <w:rFonts w:ascii="Times New Roman"/>
                <w:color w:val="auto"/>
                <w:sz w:val="20"/>
                <w:szCs w:val="20"/>
              </w:rPr>
            </w:pPr>
          </w:p>
        </w:tc>
        <w:tc>
          <w:tcPr>
            <w:tcW w:w="873" w:type="pct"/>
          </w:tcPr>
          <w:p w14:paraId="7E2D5043" w14:textId="77777777" w:rsidR="00D12D06" w:rsidRPr="00B0658A" w:rsidRDefault="00D12D06" w:rsidP="000A4114">
            <w:pPr>
              <w:spacing w:after="0" w:line="240" w:lineRule="auto"/>
              <w:jc w:val="both"/>
              <w:rPr>
                <w:rFonts w:ascii="Times New Roman"/>
                <w:color w:val="auto"/>
                <w:sz w:val="20"/>
                <w:szCs w:val="20"/>
              </w:rPr>
            </w:pPr>
          </w:p>
        </w:tc>
        <w:tc>
          <w:tcPr>
            <w:tcW w:w="1139" w:type="pct"/>
          </w:tcPr>
          <w:p w14:paraId="2B6D1479" w14:textId="77777777" w:rsidR="00D12D06" w:rsidRPr="00B0658A" w:rsidRDefault="00D12D06" w:rsidP="000A4114">
            <w:pPr>
              <w:spacing w:after="0" w:line="240" w:lineRule="auto"/>
              <w:jc w:val="both"/>
              <w:rPr>
                <w:rFonts w:ascii="Times New Roman"/>
                <w:color w:val="auto"/>
                <w:sz w:val="20"/>
                <w:szCs w:val="20"/>
              </w:rPr>
            </w:pPr>
          </w:p>
        </w:tc>
      </w:tr>
      <w:tr w:rsidR="00F52FED" w:rsidRPr="00B0658A" w14:paraId="3C1B6211" w14:textId="77777777" w:rsidTr="00B10FDE">
        <w:tc>
          <w:tcPr>
            <w:tcW w:w="184" w:type="pct"/>
          </w:tcPr>
          <w:p w14:paraId="1B8A419C" w14:textId="77777777" w:rsidR="00D12D06" w:rsidRPr="00B0658A" w:rsidRDefault="00D12D06" w:rsidP="000A4114">
            <w:pPr>
              <w:spacing w:after="0" w:line="240" w:lineRule="auto"/>
              <w:jc w:val="both"/>
              <w:rPr>
                <w:rFonts w:ascii="Times New Roman"/>
                <w:color w:val="auto"/>
                <w:sz w:val="20"/>
                <w:szCs w:val="20"/>
              </w:rPr>
            </w:pPr>
            <w:r w:rsidRPr="00B0658A">
              <w:rPr>
                <w:rFonts w:ascii="Times New Roman"/>
                <w:color w:val="auto"/>
                <w:sz w:val="20"/>
                <w:szCs w:val="20"/>
                <w:lang w:val="en-US"/>
              </w:rPr>
              <w:t>1.n</w:t>
            </w:r>
          </w:p>
        </w:tc>
        <w:tc>
          <w:tcPr>
            <w:tcW w:w="1023" w:type="pct"/>
          </w:tcPr>
          <w:p w14:paraId="2203CBAD" w14:textId="77777777" w:rsidR="00D12D06" w:rsidRPr="00B0658A" w:rsidRDefault="00D12D06" w:rsidP="000A4114">
            <w:pPr>
              <w:spacing w:after="0" w:line="240" w:lineRule="auto"/>
              <w:jc w:val="both"/>
              <w:rPr>
                <w:rFonts w:ascii="Times New Roman"/>
                <w:color w:val="auto"/>
                <w:sz w:val="20"/>
                <w:szCs w:val="20"/>
              </w:rPr>
            </w:pPr>
          </w:p>
        </w:tc>
        <w:tc>
          <w:tcPr>
            <w:tcW w:w="886" w:type="pct"/>
          </w:tcPr>
          <w:p w14:paraId="06A962B3" w14:textId="77777777" w:rsidR="00D12D06" w:rsidRPr="00B0658A" w:rsidRDefault="00D12D06" w:rsidP="000A4114">
            <w:pPr>
              <w:spacing w:after="0" w:line="240" w:lineRule="auto"/>
              <w:jc w:val="both"/>
              <w:rPr>
                <w:rFonts w:ascii="Times New Roman"/>
                <w:color w:val="auto"/>
                <w:sz w:val="20"/>
                <w:szCs w:val="20"/>
              </w:rPr>
            </w:pPr>
          </w:p>
        </w:tc>
        <w:tc>
          <w:tcPr>
            <w:tcW w:w="895" w:type="pct"/>
          </w:tcPr>
          <w:p w14:paraId="2B3C1F02" w14:textId="77777777" w:rsidR="00D12D06" w:rsidRPr="00B0658A" w:rsidRDefault="00D12D06" w:rsidP="000A4114">
            <w:pPr>
              <w:spacing w:after="0" w:line="240" w:lineRule="auto"/>
              <w:jc w:val="both"/>
              <w:rPr>
                <w:rFonts w:ascii="Times New Roman"/>
                <w:color w:val="auto"/>
                <w:sz w:val="20"/>
                <w:szCs w:val="20"/>
              </w:rPr>
            </w:pPr>
          </w:p>
        </w:tc>
        <w:tc>
          <w:tcPr>
            <w:tcW w:w="873" w:type="pct"/>
          </w:tcPr>
          <w:p w14:paraId="3C7E491F" w14:textId="77777777" w:rsidR="00D12D06" w:rsidRPr="00B0658A" w:rsidRDefault="00D12D06" w:rsidP="000A4114">
            <w:pPr>
              <w:spacing w:after="0" w:line="240" w:lineRule="auto"/>
              <w:jc w:val="both"/>
              <w:rPr>
                <w:rFonts w:ascii="Times New Roman"/>
                <w:color w:val="auto"/>
                <w:sz w:val="20"/>
                <w:szCs w:val="20"/>
              </w:rPr>
            </w:pPr>
          </w:p>
        </w:tc>
        <w:tc>
          <w:tcPr>
            <w:tcW w:w="1139" w:type="pct"/>
          </w:tcPr>
          <w:p w14:paraId="53C80958" w14:textId="77777777" w:rsidR="00D12D06" w:rsidRPr="00B0658A" w:rsidRDefault="00D12D06" w:rsidP="000A4114">
            <w:pPr>
              <w:spacing w:after="0" w:line="240" w:lineRule="auto"/>
              <w:jc w:val="both"/>
              <w:rPr>
                <w:rFonts w:ascii="Times New Roman"/>
                <w:color w:val="auto"/>
                <w:sz w:val="20"/>
                <w:szCs w:val="20"/>
              </w:rPr>
            </w:pPr>
          </w:p>
        </w:tc>
      </w:tr>
      <w:tr w:rsidR="00F52FED" w:rsidRPr="00B0658A" w14:paraId="3C958E4D" w14:textId="77777777" w:rsidTr="00B10FDE">
        <w:tc>
          <w:tcPr>
            <w:tcW w:w="5000" w:type="pct"/>
            <w:gridSpan w:val="6"/>
          </w:tcPr>
          <w:p w14:paraId="018DEBA3" w14:textId="77777777" w:rsidR="00D12D06" w:rsidRPr="00B0658A" w:rsidRDefault="00D12D06" w:rsidP="000A4114">
            <w:pPr>
              <w:spacing w:after="0" w:line="240" w:lineRule="auto"/>
              <w:rPr>
                <w:rFonts w:ascii="Times New Roman"/>
                <w:color w:val="auto"/>
                <w:sz w:val="20"/>
                <w:szCs w:val="20"/>
              </w:rPr>
            </w:pPr>
            <w:r w:rsidRPr="00B0658A">
              <w:rPr>
                <w:rFonts w:ascii="Times New Roman"/>
                <w:b/>
                <w:color w:val="auto"/>
                <w:sz w:val="20"/>
                <w:szCs w:val="20"/>
              </w:rPr>
              <w:t>2. Мероприятия в отношении ________ (наименование значимого объекта КИИ №2)</w:t>
            </w:r>
          </w:p>
        </w:tc>
      </w:tr>
      <w:tr w:rsidR="00F52FED" w:rsidRPr="00B0658A" w14:paraId="4CF9659F" w14:textId="77777777" w:rsidTr="00B10FDE">
        <w:tc>
          <w:tcPr>
            <w:tcW w:w="184" w:type="pct"/>
          </w:tcPr>
          <w:p w14:paraId="508101C1" w14:textId="77777777" w:rsidR="00D12D06" w:rsidRPr="00B0658A" w:rsidRDefault="00D12D06" w:rsidP="000A4114">
            <w:pPr>
              <w:spacing w:after="0" w:line="240" w:lineRule="auto"/>
              <w:jc w:val="both"/>
              <w:rPr>
                <w:rFonts w:ascii="Times New Roman"/>
                <w:color w:val="auto"/>
                <w:sz w:val="20"/>
                <w:szCs w:val="20"/>
                <w:lang w:val="en-US"/>
              </w:rPr>
            </w:pPr>
            <w:r w:rsidRPr="00B0658A">
              <w:rPr>
                <w:rFonts w:ascii="Times New Roman"/>
                <w:color w:val="auto"/>
                <w:sz w:val="20"/>
                <w:szCs w:val="20"/>
                <w:lang w:val="en-US"/>
              </w:rPr>
              <w:t>2.1</w:t>
            </w:r>
          </w:p>
        </w:tc>
        <w:tc>
          <w:tcPr>
            <w:tcW w:w="1023" w:type="pct"/>
          </w:tcPr>
          <w:p w14:paraId="002D2FFE" w14:textId="77777777" w:rsidR="00D12D06" w:rsidRPr="00B0658A" w:rsidRDefault="00D12D06" w:rsidP="000A4114">
            <w:pPr>
              <w:spacing w:after="0" w:line="240" w:lineRule="auto"/>
              <w:jc w:val="both"/>
              <w:rPr>
                <w:rFonts w:ascii="Times New Roman"/>
                <w:color w:val="auto"/>
                <w:sz w:val="20"/>
                <w:szCs w:val="20"/>
              </w:rPr>
            </w:pPr>
          </w:p>
        </w:tc>
        <w:tc>
          <w:tcPr>
            <w:tcW w:w="886" w:type="pct"/>
          </w:tcPr>
          <w:p w14:paraId="6096E5CF" w14:textId="77777777" w:rsidR="00D12D06" w:rsidRPr="00B0658A" w:rsidRDefault="00D12D06" w:rsidP="000A4114">
            <w:pPr>
              <w:spacing w:after="0" w:line="240" w:lineRule="auto"/>
              <w:jc w:val="both"/>
              <w:rPr>
                <w:rFonts w:ascii="Times New Roman"/>
                <w:color w:val="auto"/>
                <w:sz w:val="20"/>
                <w:szCs w:val="20"/>
              </w:rPr>
            </w:pPr>
          </w:p>
        </w:tc>
        <w:tc>
          <w:tcPr>
            <w:tcW w:w="895" w:type="pct"/>
          </w:tcPr>
          <w:p w14:paraId="17FB1B6E" w14:textId="77777777" w:rsidR="00D12D06" w:rsidRPr="00B0658A" w:rsidRDefault="00D12D06" w:rsidP="000A4114">
            <w:pPr>
              <w:spacing w:after="0" w:line="240" w:lineRule="auto"/>
              <w:jc w:val="both"/>
              <w:rPr>
                <w:rFonts w:ascii="Times New Roman"/>
                <w:color w:val="auto"/>
                <w:sz w:val="20"/>
                <w:szCs w:val="20"/>
              </w:rPr>
            </w:pPr>
          </w:p>
        </w:tc>
        <w:tc>
          <w:tcPr>
            <w:tcW w:w="873" w:type="pct"/>
          </w:tcPr>
          <w:p w14:paraId="17581C09" w14:textId="77777777" w:rsidR="00D12D06" w:rsidRPr="00B0658A" w:rsidRDefault="00D12D06" w:rsidP="000A4114">
            <w:pPr>
              <w:spacing w:after="0" w:line="240" w:lineRule="auto"/>
              <w:jc w:val="both"/>
              <w:rPr>
                <w:rFonts w:ascii="Times New Roman"/>
                <w:color w:val="auto"/>
                <w:sz w:val="20"/>
                <w:szCs w:val="20"/>
              </w:rPr>
            </w:pPr>
          </w:p>
        </w:tc>
        <w:tc>
          <w:tcPr>
            <w:tcW w:w="1139" w:type="pct"/>
          </w:tcPr>
          <w:p w14:paraId="2A384D47" w14:textId="77777777" w:rsidR="00D12D06" w:rsidRPr="00B0658A" w:rsidRDefault="00D12D06" w:rsidP="000A4114">
            <w:pPr>
              <w:spacing w:after="0" w:line="240" w:lineRule="auto"/>
              <w:jc w:val="both"/>
              <w:rPr>
                <w:rFonts w:ascii="Times New Roman"/>
                <w:color w:val="auto"/>
                <w:sz w:val="20"/>
                <w:szCs w:val="20"/>
              </w:rPr>
            </w:pPr>
          </w:p>
        </w:tc>
      </w:tr>
      <w:tr w:rsidR="00F52FED" w:rsidRPr="00B0658A" w14:paraId="5A1C9126" w14:textId="77777777" w:rsidTr="00B10FDE">
        <w:tc>
          <w:tcPr>
            <w:tcW w:w="184" w:type="pct"/>
          </w:tcPr>
          <w:p w14:paraId="16BC73E2" w14:textId="77777777" w:rsidR="00D12D06" w:rsidRPr="00B0658A" w:rsidRDefault="00D12D06" w:rsidP="000A4114">
            <w:pPr>
              <w:spacing w:after="0" w:line="240" w:lineRule="auto"/>
              <w:jc w:val="both"/>
              <w:rPr>
                <w:rFonts w:ascii="Times New Roman"/>
                <w:color w:val="auto"/>
                <w:sz w:val="20"/>
                <w:szCs w:val="20"/>
                <w:lang w:val="en-US"/>
              </w:rPr>
            </w:pPr>
            <w:r w:rsidRPr="00B0658A">
              <w:rPr>
                <w:rFonts w:ascii="Times New Roman"/>
                <w:color w:val="auto"/>
                <w:sz w:val="20"/>
                <w:szCs w:val="20"/>
                <w:lang w:val="en-US"/>
              </w:rPr>
              <w:t>2.2</w:t>
            </w:r>
          </w:p>
        </w:tc>
        <w:tc>
          <w:tcPr>
            <w:tcW w:w="1023" w:type="pct"/>
          </w:tcPr>
          <w:p w14:paraId="56B666E3" w14:textId="77777777" w:rsidR="00D12D06" w:rsidRPr="00B0658A" w:rsidRDefault="00D12D06" w:rsidP="000A4114">
            <w:pPr>
              <w:spacing w:after="0" w:line="240" w:lineRule="auto"/>
              <w:jc w:val="both"/>
              <w:rPr>
                <w:rFonts w:ascii="Times New Roman"/>
                <w:color w:val="auto"/>
                <w:sz w:val="20"/>
                <w:szCs w:val="20"/>
              </w:rPr>
            </w:pPr>
          </w:p>
        </w:tc>
        <w:tc>
          <w:tcPr>
            <w:tcW w:w="886" w:type="pct"/>
          </w:tcPr>
          <w:p w14:paraId="2E95FEBD" w14:textId="77777777" w:rsidR="00D12D06" w:rsidRPr="00B0658A" w:rsidRDefault="00D12D06" w:rsidP="000A4114">
            <w:pPr>
              <w:spacing w:after="0" w:line="240" w:lineRule="auto"/>
              <w:jc w:val="both"/>
              <w:rPr>
                <w:rFonts w:ascii="Times New Roman"/>
                <w:color w:val="auto"/>
                <w:sz w:val="20"/>
                <w:szCs w:val="20"/>
              </w:rPr>
            </w:pPr>
          </w:p>
        </w:tc>
        <w:tc>
          <w:tcPr>
            <w:tcW w:w="895" w:type="pct"/>
          </w:tcPr>
          <w:p w14:paraId="4B5A5E31" w14:textId="77777777" w:rsidR="00D12D06" w:rsidRPr="00B0658A" w:rsidRDefault="00D12D06" w:rsidP="000A4114">
            <w:pPr>
              <w:spacing w:after="0" w:line="240" w:lineRule="auto"/>
              <w:jc w:val="both"/>
              <w:rPr>
                <w:rFonts w:ascii="Times New Roman"/>
                <w:color w:val="auto"/>
                <w:sz w:val="20"/>
                <w:szCs w:val="20"/>
              </w:rPr>
            </w:pPr>
          </w:p>
        </w:tc>
        <w:tc>
          <w:tcPr>
            <w:tcW w:w="873" w:type="pct"/>
          </w:tcPr>
          <w:p w14:paraId="64DC6D38" w14:textId="77777777" w:rsidR="00D12D06" w:rsidRPr="00B0658A" w:rsidRDefault="00D12D06" w:rsidP="000A4114">
            <w:pPr>
              <w:spacing w:after="0" w:line="240" w:lineRule="auto"/>
              <w:jc w:val="both"/>
              <w:rPr>
                <w:rFonts w:ascii="Times New Roman"/>
                <w:color w:val="auto"/>
                <w:sz w:val="20"/>
                <w:szCs w:val="20"/>
              </w:rPr>
            </w:pPr>
          </w:p>
        </w:tc>
        <w:tc>
          <w:tcPr>
            <w:tcW w:w="1139" w:type="pct"/>
          </w:tcPr>
          <w:p w14:paraId="7756DB00" w14:textId="77777777" w:rsidR="00D12D06" w:rsidRPr="00B0658A" w:rsidRDefault="00D12D06" w:rsidP="000A4114">
            <w:pPr>
              <w:spacing w:after="0" w:line="240" w:lineRule="auto"/>
              <w:jc w:val="both"/>
              <w:rPr>
                <w:rFonts w:ascii="Times New Roman"/>
                <w:color w:val="auto"/>
                <w:sz w:val="20"/>
                <w:szCs w:val="20"/>
              </w:rPr>
            </w:pPr>
          </w:p>
        </w:tc>
      </w:tr>
      <w:tr w:rsidR="00F52FED" w:rsidRPr="00B0658A" w14:paraId="172548D4" w14:textId="77777777" w:rsidTr="00B10FDE">
        <w:tc>
          <w:tcPr>
            <w:tcW w:w="184" w:type="pct"/>
          </w:tcPr>
          <w:p w14:paraId="14F94C47" w14:textId="77777777" w:rsidR="00D12D06" w:rsidRPr="00B0658A" w:rsidRDefault="00D12D06" w:rsidP="000A4114">
            <w:pPr>
              <w:spacing w:after="0" w:line="240" w:lineRule="auto"/>
              <w:jc w:val="both"/>
              <w:rPr>
                <w:rFonts w:ascii="Times New Roman"/>
                <w:color w:val="auto"/>
                <w:sz w:val="20"/>
                <w:szCs w:val="20"/>
                <w:lang w:val="en-US"/>
              </w:rPr>
            </w:pPr>
            <w:r w:rsidRPr="00B0658A">
              <w:rPr>
                <w:rFonts w:ascii="Times New Roman"/>
                <w:color w:val="auto"/>
                <w:sz w:val="20"/>
                <w:szCs w:val="20"/>
                <w:lang w:val="en-US"/>
              </w:rPr>
              <w:t>…</w:t>
            </w:r>
          </w:p>
        </w:tc>
        <w:tc>
          <w:tcPr>
            <w:tcW w:w="1023" w:type="pct"/>
          </w:tcPr>
          <w:p w14:paraId="3AF001BB" w14:textId="77777777" w:rsidR="00D12D06" w:rsidRPr="00B0658A" w:rsidRDefault="00D12D06" w:rsidP="000A4114">
            <w:pPr>
              <w:spacing w:after="0" w:line="240" w:lineRule="auto"/>
              <w:jc w:val="both"/>
              <w:rPr>
                <w:rFonts w:ascii="Times New Roman"/>
                <w:color w:val="auto"/>
                <w:sz w:val="20"/>
                <w:szCs w:val="20"/>
              </w:rPr>
            </w:pPr>
          </w:p>
        </w:tc>
        <w:tc>
          <w:tcPr>
            <w:tcW w:w="886" w:type="pct"/>
          </w:tcPr>
          <w:p w14:paraId="247F36C8" w14:textId="77777777" w:rsidR="00D12D06" w:rsidRPr="00B0658A" w:rsidRDefault="00D12D06" w:rsidP="000A4114">
            <w:pPr>
              <w:spacing w:after="0" w:line="240" w:lineRule="auto"/>
              <w:jc w:val="both"/>
              <w:rPr>
                <w:rFonts w:ascii="Times New Roman"/>
                <w:color w:val="auto"/>
                <w:sz w:val="20"/>
                <w:szCs w:val="20"/>
              </w:rPr>
            </w:pPr>
          </w:p>
        </w:tc>
        <w:tc>
          <w:tcPr>
            <w:tcW w:w="895" w:type="pct"/>
          </w:tcPr>
          <w:p w14:paraId="3F6553F3" w14:textId="77777777" w:rsidR="00D12D06" w:rsidRPr="00B0658A" w:rsidRDefault="00D12D06" w:rsidP="000A4114">
            <w:pPr>
              <w:spacing w:after="0" w:line="240" w:lineRule="auto"/>
              <w:jc w:val="both"/>
              <w:rPr>
                <w:rFonts w:ascii="Times New Roman"/>
                <w:color w:val="auto"/>
                <w:sz w:val="20"/>
                <w:szCs w:val="20"/>
              </w:rPr>
            </w:pPr>
          </w:p>
        </w:tc>
        <w:tc>
          <w:tcPr>
            <w:tcW w:w="873" w:type="pct"/>
          </w:tcPr>
          <w:p w14:paraId="2D525B15" w14:textId="77777777" w:rsidR="00D12D06" w:rsidRPr="00B0658A" w:rsidRDefault="00D12D06" w:rsidP="000A4114">
            <w:pPr>
              <w:spacing w:after="0" w:line="240" w:lineRule="auto"/>
              <w:jc w:val="both"/>
              <w:rPr>
                <w:rFonts w:ascii="Times New Roman"/>
                <w:color w:val="auto"/>
                <w:sz w:val="20"/>
                <w:szCs w:val="20"/>
              </w:rPr>
            </w:pPr>
          </w:p>
        </w:tc>
        <w:tc>
          <w:tcPr>
            <w:tcW w:w="1139" w:type="pct"/>
          </w:tcPr>
          <w:p w14:paraId="4B7D0B3F" w14:textId="77777777" w:rsidR="00D12D06" w:rsidRPr="00B0658A" w:rsidRDefault="00D12D06" w:rsidP="000A4114">
            <w:pPr>
              <w:spacing w:after="0" w:line="240" w:lineRule="auto"/>
              <w:jc w:val="both"/>
              <w:rPr>
                <w:rFonts w:ascii="Times New Roman"/>
                <w:color w:val="auto"/>
                <w:sz w:val="20"/>
                <w:szCs w:val="20"/>
              </w:rPr>
            </w:pPr>
          </w:p>
        </w:tc>
      </w:tr>
      <w:tr w:rsidR="00F52FED" w:rsidRPr="00B0658A" w14:paraId="22748106" w14:textId="77777777" w:rsidTr="00B10FDE">
        <w:tc>
          <w:tcPr>
            <w:tcW w:w="184" w:type="pct"/>
          </w:tcPr>
          <w:p w14:paraId="0C67B7CC" w14:textId="77777777" w:rsidR="00D12D06" w:rsidRPr="00B0658A" w:rsidRDefault="00D12D06" w:rsidP="000A4114">
            <w:pPr>
              <w:spacing w:after="0" w:line="240" w:lineRule="auto"/>
              <w:jc w:val="both"/>
              <w:rPr>
                <w:rFonts w:ascii="Times New Roman"/>
                <w:color w:val="auto"/>
                <w:sz w:val="20"/>
                <w:szCs w:val="20"/>
                <w:lang w:val="en-US"/>
              </w:rPr>
            </w:pPr>
            <w:r w:rsidRPr="00B0658A">
              <w:rPr>
                <w:rFonts w:ascii="Times New Roman"/>
                <w:color w:val="auto"/>
                <w:sz w:val="20"/>
                <w:szCs w:val="20"/>
                <w:lang w:val="en-US"/>
              </w:rPr>
              <w:t>2.n</w:t>
            </w:r>
          </w:p>
        </w:tc>
        <w:tc>
          <w:tcPr>
            <w:tcW w:w="1023" w:type="pct"/>
          </w:tcPr>
          <w:p w14:paraId="0202CB3B" w14:textId="77777777" w:rsidR="00D12D06" w:rsidRPr="00B0658A" w:rsidRDefault="00D12D06" w:rsidP="000A4114">
            <w:pPr>
              <w:spacing w:after="0" w:line="240" w:lineRule="auto"/>
              <w:jc w:val="both"/>
              <w:rPr>
                <w:rFonts w:ascii="Times New Roman"/>
                <w:color w:val="auto"/>
                <w:sz w:val="20"/>
                <w:szCs w:val="20"/>
              </w:rPr>
            </w:pPr>
          </w:p>
        </w:tc>
        <w:tc>
          <w:tcPr>
            <w:tcW w:w="886" w:type="pct"/>
          </w:tcPr>
          <w:p w14:paraId="403B39CD" w14:textId="77777777" w:rsidR="00D12D06" w:rsidRPr="00B0658A" w:rsidRDefault="00D12D06" w:rsidP="000A4114">
            <w:pPr>
              <w:spacing w:after="0" w:line="240" w:lineRule="auto"/>
              <w:jc w:val="both"/>
              <w:rPr>
                <w:rFonts w:ascii="Times New Roman"/>
                <w:color w:val="auto"/>
                <w:sz w:val="20"/>
                <w:szCs w:val="20"/>
              </w:rPr>
            </w:pPr>
          </w:p>
        </w:tc>
        <w:tc>
          <w:tcPr>
            <w:tcW w:w="895" w:type="pct"/>
          </w:tcPr>
          <w:p w14:paraId="3B253D20" w14:textId="77777777" w:rsidR="00D12D06" w:rsidRPr="00B0658A" w:rsidRDefault="00D12D06" w:rsidP="000A4114">
            <w:pPr>
              <w:spacing w:after="0" w:line="240" w:lineRule="auto"/>
              <w:jc w:val="both"/>
              <w:rPr>
                <w:rFonts w:ascii="Times New Roman"/>
                <w:color w:val="auto"/>
                <w:sz w:val="20"/>
                <w:szCs w:val="20"/>
              </w:rPr>
            </w:pPr>
          </w:p>
        </w:tc>
        <w:tc>
          <w:tcPr>
            <w:tcW w:w="873" w:type="pct"/>
          </w:tcPr>
          <w:p w14:paraId="1EA6C254" w14:textId="77777777" w:rsidR="00D12D06" w:rsidRPr="00B0658A" w:rsidRDefault="00D12D06" w:rsidP="000A4114">
            <w:pPr>
              <w:spacing w:after="0" w:line="240" w:lineRule="auto"/>
              <w:jc w:val="both"/>
              <w:rPr>
                <w:rFonts w:ascii="Times New Roman"/>
                <w:color w:val="auto"/>
                <w:sz w:val="20"/>
                <w:szCs w:val="20"/>
              </w:rPr>
            </w:pPr>
          </w:p>
        </w:tc>
        <w:tc>
          <w:tcPr>
            <w:tcW w:w="1139" w:type="pct"/>
          </w:tcPr>
          <w:p w14:paraId="7E79D1DA" w14:textId="77777777" w:rsidR="00D12D06" w:rsidRPr="00B0658A" w:rsidRDefault="00D12D06" w:rsidP="000A4114">
            <w:pPr>
              <w:spacing w:after="0" w:line="240" w:lineRule="auto"/>
              <w:jc w:val="both"/>
              <w:rPr>
                <w:rFonts w:ascii="Times New Roman"/>
                <w:color w:val="auto"/>
                <w:sz w:val="20"/>
                <w:szCs w:val="20"/>
              </w:rPr>
            </w:pPr>
          </w:p>
        </w:tc>
      </w:tr>
      <w:tr w:rsidR="00F52FED" w:rsidRPr="00B0658A" w14:paraId="318227EC" w14:textId="77777777" w:rsidTr="00B10FDE">
        <w:tc>
          <w:tcPr>
            <w:tcW w:w="184" w:type="pct"/>
          </w:tcPr>
          <w:p w14:paraId="6A867B26" w14:textId="77777777" w:rsidR="00D12D06" w:rsidRPr="00B0658A" w:rsidRDefault="00D12D06" w:rsidP="000A4114">
            <w:pPr>
              <w:spacing w:after="0" w:line="240" w:lineRule="auto"/>
              <w:jc w:val="both"/>
              <w:rPr>
                <w:rFonts w:ascii="Times New Roman"/>
                <w:color w:val="auto"/>
                <w:sz w:val="20"/>
                <w:szCs w:val="20"/>
                <w:lang w:val="en-US"/>
              </w:rPr>
            </w:pPr>
          </w:p>
        </w:tc>
        <w:tc>
          <w:tcPr>
            <w:tcW w:w="1023" w:type="pct"/>
          </w:tcPr>
          <w:p w14:paraId="442F54F2" w14:textId="77777777" w:rsidR="00D12D06" w:rsidRPr="00B0658A" w:rsidRDefault="00D12D06" w:rsidP="000A4114">
            <w:pPr>
              <w:spacing w:after="0" w:line="240" w:lineRule="auto"/>
              <w:jc w:val="both"/>
              <w:rPr>
                <w:rFonts w:ascii="Times New Roman"/>
                <w:color w:val="auto"/>
                <w:sz w:val="20"/>
                <w:szCs w:val="20"/>
              </w:rPr>
            </w:pPr>
          </w:p>
        </w:tc>
        <w:tc>
          <w:tcPr>
            <w:tcW w:w="886" w:type="pct"/>
          </w:tcPr>
          <w:p w14:paraId="66DA9038" w14:textId="77777777" w:rsidR="00D12D06" w:rsidRPr="00B0658A" w:rsidRDefault="00D12D06" w:rsidP="000A4114">
            <w:pPr>
              <w:spacing w:after="0" w:line="240" w:lineRule="auto"/>
              <w:jc w:val="both"/>
              <w:rPr>
                <w:rFonts w:ascii="Times New Roman"/>
                <w:color w:val="auto"/>
                <w:sz w:val="20"/>
                <w:szCs w:val="20"/>
              </w:rPr>
            </w:pPr>
          </w:p>
        </w:tc>
        <w:tc>
          <w:tcPr>
            <w:tcW w:w="895" w:type="pct"/>
          </w:tcPr>
          <w:p w14:paraId="69DB990C" w14:textId="77777777" w:rsidR="00D12D06" w:rsidRPr="00B0658A" w:rsidRDefault="00D12D06" w:rsidP="000A4114">
            <w:pPr>
              <w:spacing w:after="0" w:line="240" w:lineRule="auto"/>
              <w:jc w:val="both"/>
              <w:rPr>
                <w:rFonts w:ascii="Times New Roman"/>
                <w:color w:val="auto"/>
                <w:sz w:val="20"/>
                <w:szCs w:val="20"/>
              </w:rPr>
            </w:pPr>
          </w:p>
        </w:tc>
        <w:tc>
          <w:tcPr>
            <w:tcW w:w="873" w:type="pct"/>
          </w:tcPr>
          <w:p w14:paraId="288B3FFF" w14:textId="77777777" w:rsidR="00D12D06" w:rsidRPr="00B0658A" w:rsidRDefault="00D12D06" w:rsidP="000A4114">
            <w:pPr>
              <w:spacing w:after="0" w:line="240" w:lineRule="auto"/>
              <w:jc w:val="both"/>
              <w:rPr>
                <w:rFonts w:ascii="Times New Roman"/>
                <w:color w:val="auto"/>
                <w:sz w:val="20"/>
                <w:szCs w:val="20"/>
              </w:rPr>
            </w:pPr>
          </w:p>
        </w:tc>
        <w:tc>
          <w:tcPr>
            <w:tcW w:w="1139" w:type="pct"/>
          </w:tcPr>
          <w:p w14:paraId="0122DCED" w14:textId="77777777" w:rsidR="00D12D06" w:rsidRPr="00B0658A" w:rsidRDefault="00D12D06" w:rsidP="000A4114">
            <w:pPr>
              <w:spacing w:after="0" w:line="240" w:lineRule="auto"/>
              <w:jc w:val="both"/>
              <w:rPr>
                <w:rFonts w:ascii="Times New Roman"/>
                <w:color w:val="auto"/>
                <w:sz w:val="20"/>
                <w:szCs w:val="20"/>
              </w:rPr>
            </w:pPr>
          </w:p>
        </w:tc>
      </w:tr>
      <w:tr w:rsidR="00F52FED" w:rsidRPr="00B0658A" w14:paraId="2EE70B74" w14:textId="77777777" w:rsidTr="00B10FDE">
        <w:tc>
          <w:tcPr>
            <w:tcW w:w="5000" w:type="pct"/>
            <w:gridSpan w:val="6"/>
          </w:tcPr>
          <w:p w14:paraId="69424892" w14:textId="77777777" w:rsidR="00D12D06" w:rsidRPr="00B0658A" w:rsidRDefault="00D12D06" w:rsidP="000A4114">
            <w:pPr>
              <w:spacing w:after="0" w:line="240" w:lineRule="auto"/>
              <w:rPr>
                <w:rFonts w:ascii="Times New Roman"/>
                <w:color w:val="auto"/>
                <w:sz w:val="20"/>
                <w:szCs w:val="20"/>
              </w:rPr>
            </w:pPr>
            <w:r w:rsidRPr="00B0658A">
              <w:rPr>
                <w:rFonts w:ascii="Times New Roman"/>
                <w:b/>
                <w:color w:val="auto"/>
                <w:sz w:val="20"/>
                <w:szCs w:val="20"/>
              </w:rPr>
              <w:t>N. Мероприятия в отношении ________ (наименование значимого объекта КИИ №N)</w:t>
            </w:r>
          </w:p>
        </w:tc>
      </w:tr>
      <w:tr w:rsidR="00F52FED" w:rsidRPr="00B0658A" w14:paraId="363A960B" w14:textId="77777777" w:rsidTr="00B10FDE">
        <w:tc>
          <w:tcPr>
            <w:tcW w:w="184" w:type="pct"/>
          </w:tcPr>
          <w:p w14:paraId="70AF2D6A" w14:textId="77777777" w:rsidR="00D12D06" w:rsidRPr="00B0658A" w:rsidRDefault="00D12D06" w:rsidP="000A4114">
            <w:pPr>
              <w:spacing w:after="0" w:line="240" w:lineRule="auto"/>
              <w:jc w:val="both"/>
              <w:rPr>
                <w:rFonts w:ascii="Times New Roman"/>
                <w:color w:val="auto"/>
                <w:sz w:val="20"/>
                <w:szCs w:val="20"/>
                <w:lang w:val="en-US"/>
              </w:rPr>
            </w:pPr>
            <w:r w:rsidRPr="00B0658A">
              <w:rPr>
                <w:rFonts w:ascii="Times New Roman"/>
                <w:color w:val="auto"/>
                <w:sz w:val="20"/>
                <w:szCs w:val="20"/>
                <w:lang w:val="en-US"/>
              </w:rPr>
              <w:t>N.1</w:t>
            </w:r>
          </w:p>
        </w:tc>
        <w:tc>
          <w:tcPr>
            <w:tcW w:w="1023" w:type="pct"/>
          </w:tcPr>
          <w:p w14:paraId="0B6E3844" w14:textId="77777777" w:rsidR="00D12D06" w:rsidRPr="00B0658A" w:rsidRDefault="00D12D06" w:rsidP="000A4114">
            <w:pPr>
              <w:spacing w:after="0" w:line="240" w:lineRule="auto"/>
              <w:jc w:val="both"/>
              <w:rPr>
                <w:rFonts w:ascii="Times New Roman"/>
                <w:color w:val="auto"/>
                <w:sz w:val="20"/>
                <w:szCs w:val="20"/>
              </w:rPr>
            </w:pPr>
          </w:p>
        </w:tc>
        <w:tc>
          <w:tcPr>
            <w:tcW w:w="886" w:type="pct"/>
          </w:tcPr>
          <w:p w14:paraId="1E714CD1" w14:textId="77777777" w:rsidR="00D12D06" w:rsidRPr="00B0658A" w:rsidRDefault="00D12D06" w:rsidP="000A4114">
            <w:pPr>
              <w:spacing w:after="0" w:line="240" w:lineRule="auto"/>
              <w:jc w:val="both"/>
              <w:rPr>
                <w:rFonts w:ascii="Times New Roman"/>
                <w:color w:val="auto"/>
                <w:sz w:val="20"/>
                <w:szCs w:val="20"/>
              </w:rPr>
            </w:pPr>
          </w:p>
        </w:tc>
        <w:tc>
          <w:tcPr>
            <w:tcW w:w="895" w:type="pct"/>
          </w:tcPr>
          <w:p w14:paraId="7B9CA5AB" w14:textId="77777777" w:rsidR="00D12D06" w:rsidRPr="00B0658A" w:rsidRDefault="00D12D06" w:rsidP="000A4114">
            <w:pPr>
              <w:spacing w:after="0" w:line="240" w:lineRule="auto"/>
              <w:jc w:val="both"/>
              <w:rPr>
                <w:rFonts w:ascii="Times New Roman"/>
                <w:color w:val="auto"/>
                <w:sz w:val="20"/>
                <w:szCs w:val="20"/>
              </w:rPr>
            </w:pPr>
          </w:p>
        </w:tc>
        <w:tc>
          <w:tcPr>
            <w:tcW w:w="873" w:type="pct"/>
          </w:tcPr>
          <w:p w14:paraId="438C96B8" w14:textId="77777777" w:rsidR="00D12D06" w:rsidRPr="00B0658A" w:rsidRDefault="00D12D06" w:rsidP="000A4114">
            <w:pPr>
              <w:spacing w:after="0" w:line="240" w:lineRule="auto"/>
              <w:jc w:val="both"/>
              <w:rPr>
                <w:rFonts w:ascii="Times New Roman"/>
                <w:color w:val="auto"/>
                <w:sz w:val="20"/>
                <w:szCs w:val="20"/>
              </w:rPr>
            </w:pPr>
          </w:p>
        </w:tc>
        <w:tc>
          <w:tcPr>
            <w:tcW w:w="1139" w:type="pct"/>
          </w:tcPr>
          <w:p w14:paraId="037EE597" w14:textId="77777777" w:rsidR="00D12D06" w:rsidRPr="00B0658A" w:rsidRDefault="00D12D06" w:rsidP="000A4114">
            <w:pPr>
              <w:spacing w:after="0" w:line="240" w:lineRule="auto"/>
              <w:jc w:val="both"/>
              <w:rPr>
                <w:rFonts w:ascii="Times New Roman"/>
                <w:color w:val="auto"/>
                <w:sz w:val="20"/>
                <w:szCs w:val="20"/>
              </w:rPr>
            </w:pPr>
          </w:p>
        </w:tc>
      </w:tr>
      <w:tr w:rsidR="00F52FED" w:rsidRPr="00B0658A" w14:paraId="7EA5E940" w14:textId="77777777" w:rsidTr="00B10FDE">
        <w:tc>
          <w:tcPr>
            <w:tcW w:w="184" w:type="pct"/>
          </w:tcPr>
          <w:p w14:paraId="009AE2B7" w14:textId="77777777" w:rsidR="00D12D06" w:rsidRPr="00B0658A" w:rsidRDefault="00D12D06" w:rsidP="000A4114">
            <w:pPr>
              <w:spacing w:after="0" w:line="240" w:lineRule="auto"/>
              <w:jc w:val="both"/>
              <w:rPr>
                <w:rFonts w:ascii="Times New Roman"/>
                <w:color w:val="auto"/>
                <w:sz w:val="20"/>
                <w:szCs w:val="20"/>
                <w:lang w:val="en-US"/>
              </w:rPr>
            </w:pPr>
            <w:r w:rsidRPr="00B0658A">
              <w:rPr>
                <w:rFonts w:ascii="Times New Roman"/>
                <w:color w:val="auto"/>
                <w:sz w:val="20"/>
                <w:szCs w:val="20"/>
                <w:lang w:val="en-US"/>
              </w:rPr>
              <w:t>N.2</w:t>
            </w:r>
          </w:p>
        </w:tc>
        <w:tc>
          <w:tcPr>
            <w:tcW w:w="1023" w:type="pct"/>
          </w:tcPr>
          <w:p w14:paraId="50F83B3B" w14:textId="77777777" w:rsidR="00D12D06" w:rsidRPr="00B0658A" w:rsidRDefault="00D12D06" w:rsidP="000A4114">
            <w:pPr>
              <w:spacing w:after="0" w:line="240" w:lineRule="auto"/>
              <w:jc w:val="both"/>
              <w:rPr>
                <w:rFonts w:ascii="Times New Roman"/>
                <w:color w:val="auto"/>
                <w:sz w:val="20"/>
                <w:szCs w:val="20"/>
              </w:rPr>
            </w:pPr>
          </w:p>
        </w:tc>
        <w:tc>
          <w:tcPr>
            <w:tcW w:w="886" w:type="pct"/>
          </w:tcPr>
          <w:p w14:paraId="5E051B7A" w14:textId="77777777" w:rsidR="00D12D06" w:rsidRPr="00B0658A" w:rsidRDefault="00D12D06" w:rsidP="000A4114">
            <w:pPr>
              <w:spacing w:after="0" w:line="240" w:lineRule="auto"/>
              <w:jc w:val="both"/>
              <w:rPr>
                <w:rFonts w:ascii="Times New Roman"/>
                <w:color w:val="auto"/>
                <w:sz w:val="20"/>
                <w:szCs w:val="20"/>
              </w:rPr>
            </w:pPr>
          </w:p>
        </w:tc>
        <w:tc>
          <w:tcPr>
            <w:tcW w:w="895" w:type="pct"/>
          </w:tcPr>
          <w:p w14:paraId="04FC02D9" w14:textId="77777777" w:rsidR="00D12D06" w:rsidRPr="00B0658A" w:rsidRDefault="00D12D06" w:rsidP="000A4114">
            <w:pPr>
              <w:spacing w:after="0" w:line="240" w:lineRule="auto"/>
              <w:jc w:val="both"/>
              <w:rPr>
                <w:rFonts w:ascii="Times New Roman"/>
                <w:color w:val="auto"/>
                <w:sz w:val="20"/>
                <w:szCs w:val="20"/>
              </w:rPr>
            </w:pPr>
          </w:p>
        </w:tc>
        <w:tc>
          <w:tcPr>
            <w:tcW w:w="873" w:type="pct"/>
          </w:tcPr>
          <w:p w14:paraId="5305E50B" w14:textId="77777777" w:rsidR="00D12D06" w:rsidRPr="00B0658A" w:rsidRDefault="00D12D06" w:rsidP="000A4114">
            <w:pPr>
              <w:spacing w:after="0" w:line="240" w:lineRule="auto"/>
              <w:jc w:val="both"/>
              <w:rPr>
                <w:rFonts w:ascii="Times New Roman"/>
                <w:color w:val="auto"/>
                <w:sz w:val="20"/>
                <w:szCs w:val="20"/>
              </w:rPr>
            </w:pPr>
          </w:p>
        </w:tc>
        <w:tc>
          <w:tcPr>
            <w:tcW w:w="1139" w:type="pct"/>
          </w:tcPr>
          <w:p w14:paraId="2430C944" w14:textId="77777777" w:rsidR="00D12D06" w:rsidRPr="00B0658A" w:rsidRDefault="00D12D06" w:rsidP="000A4114">
            <w:pPr>
              <w:spacing w:after="0" w:line="240" w:lineRule="auto"/>
              <w:jc w:val="both"/>
              <w:rPr>
                <w:rFonts w:ascii="Times New Roman"/>
                <w:color w:val="auto"/>
                <w:sz w:val="20"/>
                <w:szCs w:val="20"/>
              </w:rPr>
            </w:pPr>
          </w:p>
        </w:tc>
      </w:tr>
      <w:tr w:rsidR="00F52FED" w:rsidRPr="00B0658A" w14:paraId="78F77015" w14:textId="77777777" w:rsidTr="00B10FDE">
        <w:tc>
          <w:tcPr>
            <w:tcW w:w="184" w:type="pct"/>
          </w:tcPr>
          <w:p w14:paraId="3DF23B41" w14:textId="77777777" w:rsidR="00D12D06" w:rsidRPr="00B0658A" w:rsidRDefault="00D12D06" w:rsidP="000A4114">
            <w:pPr>
              <w:spacing w:after="0" w:line="240" w:lineRule="auto"/>
              <w:jc w:val="both"/>
              <w:rPr>
                <w:rFonts w:ascii="Times New Roman"/>
                <w:color w:val="auto"/>
                <w:sz w:val="20"/>
                <w:szCs w:val="20"/>
                <w:lang w:val="en-US"/>
              </w:rPr>
            </w:pPr>
            <w:r w:rsidRPr="00B0658A">
              <w:rPr>
                <w:rFonts w:ascii="Times New Roman"/>
                <w:color w:val="auto"/>
                <w:sz w:val="20"/>
                <w:szCs w:val="20"/>
                <w:lang w:val="en-US"/>
              </w:rPr>
              <w:t>…</w:t>
            </w:r>
          </w:p>
        </w:tc>
        <w:tc>
          <w:tcPr>
            <w:tcW w:w="1023" w:type="pct"/>
          </w:tcPr>
          <w:p w14:paraId="10D801F6" w14:textId="77777777" w:rsidR="00D12D06" w:rsidRPr="00B0658A" w:rsidRDefault="00D12D06" w:rsidP="000A4114">
            <w:pPr>
              <w:spacing w:after="0" w:line="240" w:lineRule="auto"/>
              <w:jc w:val="both"/>
              <w:rPr>
                <w:rFonts w:ascii="Times New Roman"/>
                <w:color w:val="auto"/>
                <w:sz w:val="20"/>
                <w:szCs w:val="20"/>
              </w:rPr>
            </w:pPr>
          </w:p>
        </w:tc>
        <w:tc>
          <w:tcPr>
            <w:tcW w:w="886" w:type="pct"/>
          </w:tcPr>
          <w:p w14:paraId="49CFE992" w14:textId="77777777" w:rsidR="00D12D06" w:rsidRPr="00B0658A" w:rsidRDefault="00D12D06" w:rsidP="000A4114">
            <w:pPr>
              <w:spacing w:after="0" w:line="240" w:lineRule="auto"/>
              <w:jc w:val="both"/>
              <w:rPr>
                <w:rFonts w:ascii="Times New Roman"/>
                <w:color w:val="auto"/>
                <w:sz w:val="20"/>
                <w:szCs w:val="20"/>
              </w:rPr>
            </w:pPr>
          </w:p>
        </w:tc>
        <w:tc>
          <w:tcPr>
            <w:tcW w:w="895" w:type="pct"/>
          </w:tcPr>
          <w:p w14:paraId="48407083" w14:textId="77777777" w:rsidR="00D12D06" w:rsidRPr="00B0658A" w:rsidRDefault="00D12D06" w:rsidP="000A4114">
            <w:pPr>
              <w:spacing w:after="0" w:line="240" w:lineRule="auto"/>
              <w:jc w:val="both"/>
              <w:rPr>
                <w:rFonts w:ascii="Times New Roman"/>
                <w:color w:val="auto"/>
                <w:sz w:val="20"/>
                <w:szCs w:val="20"/>
              </w:rPr>
            </w:pPr>
          </w:p>
        </w:tc>
        <w:tc>
          <w:tcPr>
            <w:tcW w:w="873" w:type="pct"/>
          </w:tcPr>
          <w:p w14:paraId="6B292FB3" w14:textId="77777777" w:rsidR="00D12D06" w:rsidRPr="00B0658A" w:rsidRDefault="00D12D06" w:rsidP="000A4114">
            <w:pPr>
              <w:spacing w:after="0" w:line="240" w:lineRule="auto"/>
              <w:jc w:val="both"/>
              <w:rPr>
                <w:rFonts w:ascii="Times New Roman"/>
                <w:color w:val="auto"/>
                <w:sz w:val="20"/>
                <w:szCs w:val="20"/>
              </w:rPr>
            </w:pPr>
          </w:p>
        </w:tc>
        <w:tc>
          <w:tcPr>
            <w:tcW w:w="1139" w:type="pct"/>
          </w:tcPr>
          <w:p w14:paraId="2617C543" w14:textId="77777777" w:rsidR="00D12D06" w:rsidRPr="00B0658A" w:rsidRDefault="00D12D06" w:rsidP="000A4114">
            <w:pPr>
              <w:spacing w:after="0" w:line="240" w:lineRule="auto"/>
              <w:jc w:val="both"/>
              <w:rPr>
                <w:rFonts w:ascii="Times New Roman"/>
                <w:color w:val="auto"/>
                <w:sz w:val="20"/>
                <w:szCs w:val="20"/>
              </w:rPr>
            </w:pPr>
          </w:p>
        </w:tc>
      </w:tr>
      <w:tr w:rsidR="00D12D06" w:rsidRPr="00B0658A" w14:paraId="39089339" w14:textId="77777777" w:rsidTr="00B10FDE">
        <w:tc>
          <w:tcPr>
            <w:tcW w:w="184" w:type="pct"/>
          </w:tcPr>
          <w:p w14:paraId="4793C02D" w14:textId="77777777" w:rsidR="00D12D06" w:rsidRPr="00B0658A" w:rsidRDefault="00D12D06" w:rsidP="000A4114">
            <w:pPr>
              <w:spacing w:after="0" w:line="240" w:lineRule="auto"/>
              <w:jc w:val="both"/>
              <w:rPr>
                <w:rFonts w:ascii="Times New Roman"/>
                <w:color w:val="auto"/>
                <w:sz w:val="20"/>
                <w:szCs w:val="20"/>
                <w:lang w:val="en-US"/>
              </w:rPr>
            </w:pPr>
            <w:r w:rsidRPr="00B0658A">
              <w:rPr>
                <w:rFonts w:ascii="Times New Roman"/>
                <w:color w:val="auto"/>
                <w:sz w:val="20"/>
                <w:szCs w:val="20"/>
                <w:lang w:val="en-US"/>
              </w:rPr>
              <w:t>N.n</w:t>
            </w:r>
          </w:p>
        </w:tc>
        <w:tc>
          <w:tcPr>
            <w:tcW w:w="1023" w:type="pct"/>
          </w:tcPr>
          <w:p w14:paraId="0A406394" w14:textId="77777777" w:rsidR="00D12D06" w:rsidRPr="00B0658A" w:rsidRDefault="00D12D06" w:rsidP="000A4114">
            <w:pPr>
              <w:spacing w:after="0" w:line="240" w:lineRule="auto"/>
              <w:jc w:val="both"/>
              <w:rPr>
                <w:rFonts w:ascii="Times New Roman"/>
                <w:color w:val="auto"/>
                <w:sz w:val="20"/>
                <w:szCs w:val="20"/>
              </w:rPr>
            </w:pPr>
          </w:p>
        </w:tc>
        <w:tc>
          <w:tcPr>
            <w:tcW w:w="886" w:type="pct"/>
          </w:tcPr>
          <w:p w14:paraId="6338E773" w14:textId="77777777" w:rsidR="00D12D06" w:rsidRPr="00B0658A" w:rsidRDefault="00D12D06" w:rsidP="000A4114">
            <w:pPr>
              <w:spacing w:after="0" w:line="240" w:lineRule="auto"/>
              <w:jc w:val="both"/>
              <w:rPr>
                <w:rFonts w:ascii="Times New Roman"/>
                <w:color w:val="auto"/>
                <w:sz w:val="20"/>
                <w:szCs w:val="20"/>
              </w:rPr>
            </w:pPr>
          </w:p>
        </w:tc>
        <w:tc>
          <w:tcPr>
            <w:tcW w:w="895" w:type="pct"/>
          </w:tcPr>
          <w:p w14:paraId="191419F2" w14:textId="77777777" w:rsidR="00D12D06" w:rsidRPr="00B0658A" w:rsidRDefault="00D12D06" w:rsidP="000A4114">
            <w:pPr>
              <w:spacing w:after="0" w:line="240" w:lineRule="auto"/>
              <w:jc w:val="both"/>
              <w:rPr>
                <w:rFonts w:ascii="Times New Roman"/>
                <w:color w:val="auto"/>
                <w:sz w:val="20"/>
                <w:szCs w:val="20"/>
              </w:rPr>
            </w:pPr>
          </w:p>
        </w:tc>
        <w:tc>
          <w:tcPr>
            <w:tcW w:w="873" w:type="pct"/>
          </w:tcPr>
          <w:p w14:paraId="3334135C" w14:textId="77777777" w:rsidR="00D12D06" w:rsidRPr="00B0658A" w:rsidRDefault="00D12D06" w:rsidP="000A4114">
            <w:pPr>
              <w:spacing w:after="0" w:line="240" w:lineRule="auto"/>
              <w:jc w:val="both"/>
              <w:rPr>
                <w:rFonts w:ascii="Times New Roman"/>
                <w:color w:val="auto"/>
                <w:sz w:val="20"/>
                <w:szCs w:val="20"/>
              </w:rPr>
            </w:pPr>
          </w:p>
        </w:tc>
        <w:tc>
          <w:tcPr>
            <w:tcW w:w="1139" w:type="pct"/>
          </w:tcPr>
          <w:p w14:paraId="6FD77DF8" w14:textId="77777777" w:rsidR="00D12D06" w:rsidRPr="00B0658A" w:rsidRDefault="00D12D06" w:rsidP="000A4114">
            <w:pPr>
              <w:spacing w:after="0" w:line="240" w:lineRule="auto"/>
              <w:jc w:val="both"/>
              <w:rPr>
                <w:rFonts w:ascii="Times New Roman"/>
                <w:color w:val="auto"/>
                <w:sz w:val="20"/>
                <w:szCs w:val="20"/>
              </w:rPr>
            </w:pPr>
          </w:p>
        </w:tc>
      </w:tr>
    </w:tbl>
    <w:p w14:paraId="1904BC90" w14:textId="77777777" w:rsidR="00A97B77" w:rsidRDefault="00A97B77">
      <w:pPr>
        <w:spacing w:after="0" w:line="240" w:lineRule="auto"/>
        <w:rPr>
          <w:rFonts w:ascii="Times New Roman" w:hAnsi="Times New Roman"/>
          <w:sz w:val="28"/>
          <w:szCs w:val="28"/>
        </w:rPr>
      </w:pPr>
      <w:r>
        <w:rPr>
          <w:rFonts w:ascii="Times New Roman" w:hAnsi="Times New Roman"/>
          <w:sz w:val="28"/>
          <w:szCs w:val="28"/>
        </w:rPr>
        <w:br w:type="page"/>
      </w:r>
    </w:p>
    <w:p w14:paraId="65C2A565" w14:textId="77777777" w:rsidR="008319FB" w:rsidRPr="00B0658A" w:rsidRDefault="008319FB" w:rsidP="00FB2975">
      <w:pPr>
        <w:rPr>
          <w:rFonts w:ascii="Times New Roman" w:hAnsi="Times New Roman"/>
          <w:b/>
          <w:sz w:val="28"/>
          <w:szCs w:val="28"/>
        </w:rPr>
      </w:pPr>
      <w:bookmarkStart w:id="38" w:name="_Toc116390907"/>
      <w:r w:rsidRPr="00B0658A">
        <w:rPr>
          <w:rFonts w:ascii="Times New Roman" w:hAnsi="Times New Roman"/>
          <w:b/>
          <w:sz w:val="28"/>
          <w:szCs w:val="28"/>
        </w:rPr>
        <w:t>Форма отчетности за годовой период</w:t>
      </w:r>
      <w:bookmarkEnd w:id="38"/>
    </w:p>
    <w:p w14:paraId="774FFFA9" w14:textId="77777777" w:rsidR="00FB28D8" w:rsidRPr="00B0658A" w:rsidRDefault="00FB28D8" w:rsidP="00FB28D8">
      <w:pPr>
        <w:rPr>
          <w:rFonts w:ascii="Times New Roman" w:hAnsi="Times New Roman"/>
        </w:rPr>
      </w:pPr>
    </w:p>
    <w:p w14:paraId="530FECC8" w14:textId="77777777" w:rsidR="00FB28D8" w:rsidRPr="00B0658A" w:rsidRDefault="00FB28D8" w:rsidP="00FB28D8">
      <w:pPr>
        <w:pStyle w:val="ConsPlusNormal"/>
        <w:spacing w:before="120"/>
        <w:jc w:val="center"/>
        <w:rPr>
          <w:sz w:val="32"/>
        </w:rPr>
      </w:pPr>
      <w:r w:rsidRPr="00B0658A">
        <w:rPr>
          <w:sz w:val="32"/>
        </w:rPr>
        <w:t xml:space="preserve">Сведения о реализации плана перехода ______________ (полное наименование </w:t>
      </w:r>
      <w:r w:rsidR="005835FD" w:rsidRPr="00B0658A">
        <w:rPr>
          <w:sz w:val="32"/>
          <w:szCs w:val="28"/>
        </w:rPr>
        <w:t>подведомственной организации</w:t>
      </w:r>
      <w:r w:rsidRPr="00B0658A">
        <w:rPr>
          <w:sz w:val="32"/>
          <w:szCs w:val="28"/>
        </w:rPr>
        <w:t xml:space="preserve">) на использование российского </w:t>
      </w:r>
      <w:r w:rsidRPr="00B0658A">
        <w:rPr>
          <w:sz w:val="32"/>
        </w:rPr>
        <w:t>ПО</w:t>
      </w:r>
      <w:r w:rsidRPr="00B0658A">
        <w:rPr>
          <w:sz w:val="32"/>
          <w:szCs w:val="28"/>
        </w:rPr>
        <w:t xml:space="preserve"> </w:t>
      </w:r>
      <w:r w:rsidRPr="00B0658A">
        <w:rPr>
          <w:sz w:val="32"/>
        </w:rPr>
        <w:t>на период 2022-20</w:t>
      </w:r>
      <w:r w:rsidR="005835FD" w:rsidRPr="00B0658A">
        <w:rPr>
          <w:sz w:val="32"/>
        </w:rPr>
        <w:t>27</w:t>
      </w:r>
      <w:r w:rsidRPr="00B0658A">
        <w:rPr>
          <w:sz w:val="32"/>
        </w:rPr>
        <w:t xml:space="preserve"> годы </w:t>
      </w:r>
      <w:r w:rsidRPr="00B0658A">
        <w:rPr>
          <w:sz w:val="32"/>
          <w:szCs w:val="28"/>
        </w:rPr>
        <w:t>за _______ год.</w:t>
      </w:r>
    </w:p>
    <w:p w14:paraId="24FB8E33" w14:textId="77777777" w:rsidR="00FB28D8" w:rsidRPr="00B0658A" w:rsidRDefault="00FB28D8" w:rsidP="00FB28D8">
      <w:pPr>
        <w:spacing w:line="240" w:lineRule="auto"/>
        <w:ind w:firstLine="709"/>
        <w:jc w:val="both"/>
        <w:rPr>
          <w:rFonts w:ascii="Times New Roman" w:hAnsi="Times New Roman"/>
          <w:sz w:val="28"/>
          <w:szCs w:val="28"/>
        </w:rPr>
      </w:pPr>
    </w:p>
    <w:p w14:paraId="618AF053" w14:textId="77777777" w:rsidR="00FB28D8" w:rsidRPr="00B0658A" w:rsidRDefault="000D033A" w:rsidP="000D033A">
      <w:pPr>
        <w:spacing w:line="240" w:lineRule="auto"/>
        <w:ind w:firstLine="709"/>
        <w:jc w:val="both"/>
        <w:rPr>
          <w:rFonts w:ascii="Times New Roman" w:hAnsi="Times New Roman"/>
          <w:sz w:val="28"/>
          <w:szCs w:val="28"/>
        </w:rPr>
      </w:pPr>
      <w:r w:rsidRPr="00B0658A">
        <w:rPr>
          <w:rFonts w:ascii="Times New Roman" w:hAnsi="Times New Roman"/>
          <w:sz w:val="28"/>
          <w:szCs w:val="28"/>
        </w:rPr>
        <w:t xml:space="preserve">1. </w:t>
      </w:r>
      <w:r w:rsidR="00FB28D8" w:rsidRPr="00B0658A">
        <w:rPr>
          <w:rFonts w:ascii="Times New Roman" w:hAnsi="Times New Roman"/>
          <w:sz w:val="28"/>
          <w:szCs w:val="28"/>
        </w:rPr>
        <w:t>Сведения о реализации организационно</w:t>
      </w:r>
      <w:r w:rsidR="00FB28D8" w:rsidRPr="00B0658A">
        <w:rPr>
          <w:rFonts w:ascii="Times New Roman" w:hAnsi="Times New Roman"/>
          <w:sz w:val="28"/>
        </w:rPr>
        <w:t>-технических мероприятий по переходу на использование российского ПО</w:t>
      </w:r>
    </w:p>
    <w:tbl>
      <w:tblPr>
        <w:tblStyle w:val="32"/>
        <w:tblW w:w="5000" w:type="pct"/>
        <w:tblLook w:val="04A0" w:firstRow="1" w:lastRow="0" w:firstColumn="1" w:lastColumn="0" w:noHBand="0" w:noVBand="1"/>
      </w:tblPr>
      <w:tblGrid>
        <w:gridCol w:w="424"/>
        <w:gridCol w:w="2872"/>
        <w:gridCol w:w="2482"/>
        <w:gridCol w:w="2507"/>
        <w:gridCol w:w="2449"/>
        <w:gridCol w:w="3210"/>
      </w:tblGrid>
      <w:tr w:rsidR="00F52FED" w:rsidRPr="00B0658A" w14:paraId="7D7A4361" w14:textId="77777777" w:rsidTr="00B10FDE">
        <w:tc>
          <w:tcPr>
            <w:tcW w:w="152" w:type="pct"/>
          </w:tcPr>
          <w:p w14:paraId="2A328A07" w14:textId="77777777" w:rsidR="00FB28D8" w:rsidRPr="00B0658A" w:rsidRDefault="00FB28D8" w:rsidP="000A4114">
            <w:pPr>
              <w:spacing w:after="0" w:line="240" w:lineRule="auto"/>
              <w:jc w:val="center"/>
              <w:rPr>
                <w:rFonts w:ascii="Times New Roman"/>
                <w:b/>
                <w:bCs/>
                <w:color w:val="auto"/>
                <w:sz w:val="20"/>
              </w:rPr>
            </w:pPr>
            <w:r w:rsidRPr="00B0658A">
              <w:rPr>
                <w:rFonts w:ascii="Times New Roman"/>
                <w:b/>
                <w:bCs/>
                <w:color w:val="auto"/>
                <w:sz w:val="20"/>
              </w:rPr>
              <w:t>№</w:t>
            </w:r>
          </w:p>
        </w:tc>
        <w:tc>
          <w:tcPr>
            <w:tcW w:w="1030" w:type="pct"/>
          </w:tcPr>
          <w:p w14:paraId="6FE5FB44" w14:textId="77777777" w:rsidR="00FB28D8" w:rsidRPr="00B0658A" w:rsidRDefault="00FB28D8" w:rsidP="000A4114">
            <w:pPr>
              <w:spacing w:after="0" w:line="240" w:lineRule="auto"/>
              <w:jc w:val="center"/>
              <w:rPr>
                <w:rFonts w:ascii="Times New Roman"/>
                <w:b/>
                <w:bCs/>
                <w:color w:val="auto"/>
                <w:sz w:val="20"/>
              </w:rPr>
            </w:pPr>
            <w:r w:rsidRPr="00B0658A">
              <w:rPr>
                <w:rFonts w:ascii="Times New Roman"/>
                <w:b/>
                <w:bCs/>
                <w:color w:val="auto"/>
                <w:sz w:val="20"/>
              </w:rPr>
              <w:t xml:space="preserve">Наименование мероприятий в соответствии с утвержденным планом </w:t>
            </w:r>
          </w:p>
        </w:tc>
        <w:tc>
          <w:tcPr>
            <w:tcW w:w="890" w:type="pct"/>
          </w:tcPr>
          <w:p w14:paraId="64E55FE7" w14:textId="77777777" w:rsidR="00FB28D8" w:rsidRPr="00B0658A" w:rsidRDefault="00FB28D8" w:rsidP="000A4114">
            <w:pPr>
              <w:spacing w:after="0" w:line="240" w:lineRule="auto"/>
              <w:jc w:val="center"/>
              <w:rPr>
                <w:rFonts w:ascii="Times New Roman"/>
                <w:b/>
                <w:bCs/>
                <w:color w:val="auto"/>
                <w:sz w:val="20"/>
              </w:rPr>
            </w:pPr>
            <w:r w:rsidRPr="00B0658A">
              <w:rPr>
                <w:rFonts w:ascii="Times New Roman"/>
                <w:b/>
                <w:bCs/>
                <w:color w:val="auto"/>
                <w:sz w:val="20"/>
              </w:rPr>
              <w:t xml:space="preserve">Планируемый результат в соответствии с утвержденным планом </w:t>
            </w:r>
          </w:p>
        </w:tc>
        <w:tc>
          <w:tcPr>
            <w:tcW w:w="899" w:type="pct"/>
          </w:tcPr>
          <w:p w14:paraId="4E9D1907" w14:textId="77777777" w:rsidR="00FB28D8" w:rsidRPr="00B0658A" w:rsidRDefault="00FB28D8" w:rsidP="000A4114">
            <w:pPr>
              <w:spacing w:after="0" w:line="240" w:lineRule="auto"/>
              <w:jc w:val="center"/>
              <w:rPr>
                <w:rFonts w:ascii="Times New Roman"/>
                <w:b/>
                <w:bCs/>
                <w:color w:val="auto"/>
                <w:sz w:val="20"/>
              </w:rPr>
            </w:pPr>
            <w:r w:rsidRPr="00B0658A">
              <w:rPr>
                <w:rFonts w:ascii="Times New Roman"/>
                <w:b/>
                <w:bCs/>
                <w:color w:val="auto"/>
                <w:sz w:val="20"/>
              </w:rPr>
              <w:t>Сроки реализации запланированного мероприятия в соответствии с планом</w:t>
            </w:r>
          </w:p>
        </w:tc>
        <w:tc>
          <w:tcPr>
            <w:tcW w:w="878" w:type="pct"/>
          </w:tcPr>
          <w:p w14:paraId="7BD601E6" w14:textId="77777777" w:rsidR="00FB28D8" w:rsidRPr="00B0658A" w:rsidRDefault="00FB28D8" w:rsidP="000A4114">
            <w:pPr>
              <w:spacing w:after="0" w:line="240" w:lineRule="auto"/>
              <w:jc w:val="center"/>
              <w:rPr>
                <w:rFonts w:ascii="Times New Roman"/>
                <w:b/>
                <w:bCs/>
                <w:color w:val="auto"/>
                <w:sz w:val="20"/>
              </w:rPr>
            </w:pPr>
            <w:r w:rsidRPr="00B0658A">
              <w:rPr>
                <w:rFonts w:ascii="Times New Roman"/>
                <w:b/>
                <w:bCs/>
                <w:color w:val="auto"/>
                <w:sz w:val="20"/>
              </w:rPr>
              <w:t>Статус выполнения мероприятия</w:t>
            </w:r>
          </w:p>
        </w:tc>
        <w:tc>
          <w:tcPr>
            <w:tcW w:w="1151" w:type="pct"/>
          </w:tcPr>
          <w:p w14:paraId="5C13C505" w14:textId="77777777" w:rsidR="00FB28D8" w:rsidRPr="00B0658A" w:rsidRDefault="00FB28D8" w:rsidP="000A4114">
            <w:pPr>
              <w:spacing w:after="0" w:line="240" w:lineRule="auto"/>
              <w:jc w:val="center"/>
              <w:rPr>
                <w:rFonts w:ascii="Times New Roman"/>
                <w:b/>
                <w:bCs/>
                <w:color w:val="auto"/>
                <w:sz w:val="20"/>
              </w:rPr>
            </w:pPr>
            <w:r w:rsidRPr="00B0658A">
              <w:rPr>
                <w:rFonts w:ascii="Times New Roman"/>
                <w:b/>
                <w:bCs/>
                <w:color w:val="auto"/>
                <w:sz w:val="20"/>
              </w:rPr>
              <w:t>Описание достигнутого фактического результата</w:t>
            </w:r>
          </w:p>
        </w:tc>
      </w:tr>
      <w:tr w:rsidR="00F52FED" w:rsidRPr="00B0658A" w14:paraId="3E2CFDC5" w14:textId="77777777" w:rsidTr="00B10FDE">
        <w:tc>
          <w:tcPr>
            <w:tcW w:w="152" w:type="pct"/>
          </w:tcPr>
          <w:p w14:paraId="5677D606" w14:textId="77777777" w:rsidR="00FB28D8" w:rsidRPr="00B0658A" w:rsidRDefault="00FB28D8" w:rsidP="000A4114">
            <w:pPr>
              <w:spacing w:after="0" w:line="240" w:lineRule="auto"/>
              <w:jc w:val="both"/>
              <w:rPr>
                <w:rFonts w:ascii="Times New Roman"/>
                <w:color w:val="auto"/>
                <w:sz w:val="20"/>
              </w:rPr>
            </w:pPr>
            <w:r w:rsidRPr="00B0658A">
              <w:rPr>
                <w:rFonts w:ascii="Times New Roman"/>
                <w:color w:val="auto"/>
                <w:sz w:val="20"/>
              </w:rPr>
              <w:t>1.</w:t>
            </w:r>
          </w:p>
        </w:tc>
        <w:tc>
          <w:tcPr>
            <w:tcW w:w="1030" w:type="pct"/>
          </w:tcPr>
          <w:p w14:paraId="4E5A92B3" w14:textId="77777777" w:rsidR="00FB28D8" w:rsidRPr="00B0658A" w:rsidRDefault="00FB28D8" w:rsidP="000A4114">
            <w:pPr>
              <w:spacing w:after="0" w:line="240" w:lineRule="auto"/>
              <w:jc w:val="both"/>
              <w:rPr>
                <w:rFonts w:ascii="Times New Roman"/>
                <w:i/>
                <w:iCs/>
                <w:color w:val="auto"/>
                <w:sz w:val="20"/>
              </w:rPr>
            </w:pPr>
            <w:r w:rsidRPr="00B0658A">
              <w:rPr>
                <w:rFonts w:ascii="Times New Roman"/>
                <w:i/>
                <w:iCs/>
                <w:color w:val="auto"/>
                <w:sz w:val="20"/>
              </w:rPr>
              <w:t xml:space="preserve">Указывается наименование мероприятия в соответствии с утвержденным </w:t>
            </w:r>
            <w:r w:rsidRPr="00B0658A">
              <w:rPr>
                <w:rFonts w:ascii="Times New Roman"/>
                <w:i/>
                <w:iCs/>
                <w:color w:val="auto"/>
                <w:sz w:val="20"/>
                <w:szCs w:val="20"/>
              </w:rPr>
              <w:t xml:space="preserve">планом перехода органа </w:t>
            </w:r>
            <w:r w:rsidR="00D92508" w:rsidRPr="00B0658A">
              <w:rPr>
                <w:rFonts w:ascii="Times New Roman"/>
                <w:i/>
                <w:iCs/>
                <w:color w:val="auto"/>
                <w:sz w:val="20"/>
                <w:szCs w:val="20"/>
              </w:rPr>
              <w:t xml:space="preserve">подведомственной организации </w:t>
            </w:r>
            <w:r w:rsidRPr="00B0658A">
              <w:rPr>
                <w:rFonts w:ascii="Times New Roman"/>
                <w:i/>
                <w:iCs/>
                <w:color w:val="auto"/>
                <w:sz w:val="20"/>
                <w:szCs w:val="20"/>
              </w:rPr>
              <w:t>на использование российского ПО</w:t>
            </w:r>
          </w:p>
          <w:p w14:paraId="03BAB3CC" w14:textId="77777777" w:rsidR="00FB28D8" w:rsidRPr="00B0658A" w:rsidRDefault="00FB28D8" w:rsidP="000A4114">
            <w:pPr>
              <w:pStyle w:val="ConsPlusNormal"/>
              <w:jc w:val="both"/>
              <w:rPr>
                <w:color w:val="auto"/>
                <w:sz w:val="28"/>
              </w:rPr>
            </w:pPr>
          </w:p>
          <w:p w14:paraId="2C9059A0" w14:textId="77777777" w:rsidR="00FB28D8" w:rsidRPr="00B0658A" w:rsidRDefault="00FB28D8" w:rsidP="000A4114">
            <w:pPr>
              <w:spacing w:after="0" w:line="240" w:lineRule="auto"/>
              <w:jc w:val="both"/>
              <w:rPr>
                <w:rFonts w:ascii="Times New Roman"/>
                <w:i/>
                <w:iCs/>
                <w:color w:val="auto"/>
                <w:sz w:val="20"/>
              </w:rPr>
            </w:pPr>
          </w:p>
        </w:tc>
        <w:tc>
          <w:tcPr>
            <w:tcW w:w="890" w:type="pct"/>
          </w:tcPr>
          <w:p w14:paraId="38CB11A9" w14:textId="77777777" w:rsidR="00FB28D8" w:rsidRPr="00B0658A" w:rsidRDefault="00FB28D8" w:rsidP="000A4114">
            <w:pPr>
              <w:spacing w:after="0" w:line="240" w:lineRule="auto"/>
              <w:jc w:val="both"/>
              <w:rPr>
                <w:rFonts w:ascii="Times New Roman"/>
                <w:color w:val="auto"/>
                <w:sz w:val="20"/>
              </w:rPr>
            </w:pPr>
            <w:r w:rsidRPr="00B0658A">
              <w:rPr>
                <w:rFonts w:ascii="Times New Roman"/>
                <w:i/>
                <w:iCs/>
                <w:color w:val="auto"/>
                <w:sz w:val="20"/>
              </w:rPr>
              <w:t xml:space="preserve">Указывается запланированный результат в соответствии с утвержденным </w:t>
            </w:r>
            <w:r w:rsidRPr="00B0658A">
              <w:rPr>
                <w:rFonts w:ascii="Times New Roman"/>
                <w:i/>
                <w:iCs/>
                <w:color w:val="auto"/>
                <w:sz w:val="20"/>
                <w:szCs w:val="20"/>
              </w:rPr>
              <w:t xml:space="preserve">планом перехода </w:t>
            </w:r>
            <w:r w:rsidR="00D92508" w:rsidRPr="00B0658A">
              <w:rPr>
                <w:rFonts w:ascii="Times New Roman"/>
                <w:i/>
                <w:iCs/>
                <w:color w:val="auto"/>
                <w:sz w:val="20"/>
                <w:szCs w:val="20"/>
              </w:rPr>
              <w:t xml:space="preserve">подведомственной организации </w:t>
            </w:r>
            <w:r w:rsidRPr="00B0658A">
              <w:rPr>
                <w:rFonts w:ascii="Times New Roman"/>
                <w:i/>
                <w:iCs/>
                <w:color w:val="auto"/>
                <w:sz w:val="20"/>
                <w:szCs w:val="20"/>
              </w:rPr>
              <w:t>на использование российского ПО</w:t>
            </w:r>
          </w:p>
        </w:tc>
        <w:tc>
          <w:tcPr>
            <w:tcW w:w="899" w:type="pct"/>
          </w:tcPr>
          <w:p w14:paraId="6171659F" w14:textId="77777777" w:rsidR="00FB28D8" w:rsidRPr="00B0658A" w:rsidRDefault="00FB28D8" w:rsidP="000A4114">
            <w:pPr>
              <w:spacing w:after="0" w:line="240" w:lineRule="auto"/>
              <w:jc w:val="both"/>
              <w:rPr>
                <w:rFonts w:ascii="Times New Roman"/>
                <w:i/>
                <w:iCs/>
                <w:color w:val="auto"/>
                <w:sz w:val="20"/>
              </w:rPr>
            </w:pPr>
            <w:r w:rsidRPr="00B0658A">
              <w:rPr>
                <w:rFonts w:ascii="Times New Roman"/>
                <w:i/>
                <w:iCs/>
                <w:color w:val="auto"/>
                <w:sz w:val="20"/>
              </w:rPr>
              <w:t xml:space="preserve">Указывается срок реализации (период выполнения) в соответствии с утвержденным </w:t>
            </w:r>
            <w:r w:rsidRPr="00B0658A">
              <w:rPr>
                <w:rFonts w:ascii="Times New Roman"/>
                <w:i/>
                <w:iCs/>
                <w:color w:val="auto"/>
                <w:sz w:val="20"/>
                <w:szCs w:val="20"/>
              </w:rPr>
              <w:t xml:space="preserve">планом перехода </w:t>
            </w:r>
            <w:r w:rsidR="00D92508" w:rsidRPr="00B0658A">
              <w:rPr>
                <w:rFonts w:ascii="Times New Roman"/>
                <w:i/>
                <w:iCs/>
                <w:color w:val="auto"/>
                <w:sz w:val="20"/>
                <w:szCs w:val="20"/>
              </w:rPr>
              <w:t xml:space="preserve">подведомственной организации </w:t>
            </w:r>
            <w:r w:rsidRPr="00B0658A">
              <w:rPr>
                <w:rFonts w:ascii="Times New Roman"/>
                <w:i/>
                <w:iCs/>
                <w:color w:val="auto"/>
                <w:sz w:val="20"/>
                <w:szCs w:val="20"/>
              </w:rPr>
              <w:t>российского ПО</w:t>
            </w:r>
          </w:p>
        </w:tc>
        <w:tc>
          <w:tcPr>
            <w:tcW w:w="878" w:type="pct"/>
          </w:tcPr>
          <w:p w14:paraId="56546DCF" w14:textId="77777777" w:rsidR="00FB28D8" w:rsidRPr="00B0658A" w:rsidRDefault="00FB28D8" w:rsidP="000A4114">
            <w:pPr>
              <w:spacing w:after="0" w:line="240" w:lineRule="auto"/>
              <w:jc w:val="both"/>
              <w:rPr>
                <w:rFonts w:ascii="Times New Roman"/>
                <w:i/>
                <w:iCs/>
                <w:color w:val="auto"/>
                <w:sz w:val="20"/>
              </w:rPr>
            </w:pPr>
            <w:r w:rsidRPr="00B0658A">
              <w:rPr>
                <w:rFonts w:ascii="Times New Roman"/>
                <w:i/>
                <w:iCs/>
                <w:color w:val="auto"/>
                <w:sz w:val="20"/>
              </w:rPr>
              <w:t>Указывается статус: «выполнено» / «не выполнено».</w:t>
            </w:r>
          </w:p>
          <w:p w14:paraId="0005915E" w14:textId="77777777" w:rsidR="00FB28D8" w:rsidRPr="00B0658A" w:rsidRDefault="00FB28D8" w:rsidP="000A4114">
            <w:pPr>
              <w:spacing w:after="0" w:line="240" w:lineRule="auto"/>
              <w:jc w:val="both"/>
              <w:rPr>
                <w:rFonts w:ascii="Times New Roman"/>
                <w:color w:val="auto"/>
                <w:sz w:val="20"/>
              </w:rPr>
            </w:pPr>
            <w:r w:rsidRPr="00B0658A">
              <w:rPr>
                <w:rFonts w:ascii="Times New Roman"/>
                <w:i/>
                <w:iCs/>
                <w:color w:val="auto"/>
                <w:sz w:val="20"/>
              </w:rPr>
              <w:t>Если мероприятие выполнено частично, то указывается статус «не выполнено»</w:t>
            </w:r>
          </w:p>
        </w:tc>
        <w:tc>
          <w:tcPr>
            <w:tcW w:w="1151" w:type="pct"/>
          </w:tcPr>
          <w:p w14:paraId="70A67D97" w14:textId="77777777" w:rsidR="00FB28D8" w:rsidRPr="00B0658A" w:rsidRDefault="00FB28D8" w:rsidP="000A4114">
            <w:pPr>
              <w:spacing w:after="0" w:line="240" w:lineRule="auto"/>
              <w:jc w:val="both"/>
              <w:rPr>
                <w:rFonts w:ascii="Times New Roman"/>
                <w:i/>
                <w:iCs/>
                <w:color w:val="auto"/>
                <w:sz w:val="20"/>
              </w:rPr>
            </w:pPr>
            <w:r w:rsidRPr="00B0658A">
              <w:rPr>
                <w:rFonts w:ascii="Times New Roman"/>
                <w:i/>
                <w:iCs/>
                <w:color w:val="auto"/>
                <w:sz w:val="20"/>
              </w:rPr>
              <w:t>Указывается достигнутый результат. В случае если мероприятие не было выполнено, либо результат выполнения мероприятия был достигнут не полностью, указываются причины невыполнения мероприятия (частичного выполнения мероприятия), а также срок, в который мероприятие будет реализовано и достигнут запланированный результат</w:t>
            </w:r>
          </w:p>
        </w:tc>
      </w:tr>
      <w:tr w:rsidR="00F52FED" w:rsidRPr="00B0658A" w14:paraId="2430B6D3" w14:textId="77777777" w:rsidTr="00B10FDE">
        <w:tc>
          <w:tcPr>
            <w:tcW w:w="152" w:type="pct"/>
          </w:tcPr>
          <w:p w14:paraId="5F105631" w14:textId="77777777" w:rsidR="00FB28D8" w:rsidRPr="00B0658A" w:rsidRDefault="00FB28D8" w:rsidP="000A4114">
            <w:pPr>
              <w:spacing w:after="0" w:line="240" w:lineRule="auto"/>
              <w:jc w:val="both"/>
              <w:rPr>
                <w:rFonts w:ascii="Times New Roman"/>
                <w:color w:val="auto"/>
                <w:sz w:val="20"/>
              </w:rPr>
            </w:pPr>
            <w:r w:rsidRPr="00B0658A">
              <w:rPr>
                <w:rFonts w:ascii="Times New Roman"/>
                <w:color w:val="auto"/>
                <w:sz w:val="20"/>
              </w:rPr>
              <w:t>2.</w:t>
            </w:r>
          </w:p>
        </w:tc>
        <w:tc>
          <w:tcPr>
            <w:tcW w:w="1030" w:type="pct"/>
          </w:tcPr>
          <w:p w14:paraId="10C777A9" w14:textId="77777777" w:rsidR="00FB28D8" w:rsidRPr="00B0658A" w:rsidRDefault="00FB28D8" w:rsidP="000A4114">
            <w:pPr>
              <w:spacing w:after="0" w:line="240" w:lineRule="auto"/>
              <w:jc w:val="both"/>
              <w:rPr>
                <w:rFonts w:ascii="Times New Roman"/>
                <w:color w:val="auto"/>
                <w:sz w:val="20"/>
              </w:rPr>
            </w:pPr>
          </w:p>
        </w:tc>
        <w:tc>
          <w:tcPr>
            <w:tcW w:w="890" w:type="pct"/>
          </w:tcPr>
          <w:p w14:paraId="4F464A69" w14:textId="77777777" w:rsidR="00FB28D8" w:rsidRPr="00B0658A" w:rsidRDefault="00FB28D8" w:rsidP="000A4114">
            <w:pPr>
              <w:spacing w:after="0" w:line="240" w:lineRule="auto"/>
              <w:jc w:val="both"/>
              <w:rPr>
                <w:rFonts w:ascii="Times New Roman"/>
                <w:color w:val="auto"/>
                <w:sz w:val="20"/>
              </w:rPr>
            </w:pPr>
          </w:p>
        </w:tc>
        <w:tc>
          <w:tcPr>
            <w:tcW w:w="899" w:type="pct"/>
          </w:tcPr>
          <w:p w14:paraId="56A18AF0" w14:textId="77777777" w:rsidR="00FB28D8" w:rsidRPr="00B0658A" w:rsidRDefault="00FB28D8" w:rsidP="000A4114">
            <w:pPr>
              <w:spacing w:after="0" w:line="240" w:lineRule="auto"/>
              <w:jc w:val="both"/>
              <w:rPr>
                <w:rFonts w:ascii="Times New Roman"/>
                <w:color w:val="auto"/>
                <w:sz w:val="20"/>
              </w:rPr>
            </w:pPr>
          </w:p>
        </w:tc>
        <w:tc>
          <w:tcPr>
            <w:tcW w:w="878" w:type="pct"/>
          </w:tcPr>
          <w:p w14:paraId="0E5C0F81" w14:textId="77777777" w:rsidR="00FB28D8" w:rsidRPr="00B0658A" w:rsidRDefault="00FB28D8" w:rsidP="000A4114">
            <w:pPr>
              <w:spacing w:after="0" w:line="240" w:lineRule="auto"/>
              <w:jc w:val="both"/>
              <w:rPr>
                <w:rFonts w:ascii="Times New Roman"/>
                <w:color w:val="auto"/>
                <w:sz w:val="20"/>
              </w:rPr>
            </w:pPr>
          </w:p>
        </w:tc>
        <w:tc>
          <w:tcPr>
            <w:tcW w:w="1151" w:type="pct"/>
          </w:tcPr>
          <w:p w14:paraId="7CCB7411" w14:textId="77777777" w:rsidR="00FB28D8" w:rsidRPr="00B0658A" w:rsidRDefault="00FB28D8" w:rsidP="000A4114">
            <w:pPr>
              <w:spacing w:after="0" w:line="240" w:lineRule="auto"/>
              <w:jc w:val="both"/>
              <w:rPr>
                <w:rFonts w:ascii="Times New Roman"/>
                <w:color w:val="auto"/>
                <w:sz w:val="20"/>
              </w:rPr>
            </w:pPr>
          </w:p>
        </w:tc>
      </w:tr>
      <w:tr w:rsidR="00F52FED" w:rsidRPr="00B0658A" w14:paraId="44356BE7" w14:textId="77777777" w:rsidTr="00B10FDE">
        <w:tc>
          <w:tcPr>
            <w:tcW w:w="152" w:type="pct"/>
          </w:tcPr>
          <w:p w14:paraId="7BE27FDC" w14:textId="77777777" w:rsidR="00FB28D8" w:rsidRPr="00B0658A" w:rsidRDefault="00FB28D8" w:rsidP="000A4114">
            <w:pPr>
              <w:spacing w:after="0" w:line="240" w:lineRule="auto"/>
              <w:jc w:val="both"/>
              <w:rPr>
                <w:rFonts w:ascii="Times New Roman"/>
                <w:color w:val="auto"/>
                <w:sz w:val="20"/>
              </w:rPr>
            </w:pPr>
            <w:r w:rsidRPr="00B0658A">
              <w:rPr>
                <w:rFonts w:ascii="Times New Roman"/>
                <w:color w:val="auto"/>
                <w:sz w:val="20"/>
              </w:rPr>
              <w:t>…</w:t>
            </w:r>
          </w:p>
        </w:tc>
        <w:tc>
          <w:tcPr>
            <w:tcW w:w="1030" w:type="pct"/>
          </w:tcPr>
          <w:p w14:paraId="3B501881" w14:textId="77777777" w:rsidR="00FB28D8" w:rsidRPr="00B0658A" w:rsidRDefault="00FB28D8" w:rsidP="000A4114">
            <w:pPr>
              <w:spacing w:after="0" w:line="240" w:lineRule="auto"/>
              <w:jc w:val="both"/>
              <w:rPr>
                <w:rFonts w:ascii="Times New Roman"/>
                <w:color w:val="auto"/>
                <w:sz w:val="20"/>
              </w:rPr>
            </w:pPr>
          </w:p>
        </w:tc>
        <w:tc>
          <w:tcPr>
            <w:tcW w:w="890" w:type="pct"/>
          </w:tcPr>
          <w:p w14:paraId="0AC8D0D4" w14:textId="77777777" w:rsidR="00FB28D8" w:rsidRPr="00B0658A" w:rsidRDefault="00FB28D8" w:rsidP="000A4114">
            <w:pPr>
              <w:spacing w:after="0" w:line="240" w:lineRule="auto"/>
              <w:jc w:val="both"/>
              <w:rPr>
                <w:rFonts w:ascii="Times New Roman"/>
                <w:color w:val="auto"/>
                <w:sz w:val="20"/>
              </w:rPr>
            </w:pPr>
          </w:p>
        </w:tc>
        <w:tc>
          <w:tcPr>
            <w:tcW w:w="899" w:type="pct"/>
          </w:tcPr>
          <w:p w14:paraId="54FFFED3" w14:textId="77777777" w:rsidR="00FB28D8" w:rsidRPr="00B0658A" w:rsidRDefault="00FB28D8" w:rsidP="000A4114">
            <w:pPr>
              <w:spacing w:after="0" w:line="240" w:lineRule="auto"/>
              <w:jc w:val="both"/>
              <w:rPr>
                <w:rFonts w:ascii="Times New Roman"/>
                <w:color w:val="auto"/>
                <w:sz w:val="20"/>
              </w:rPr>
            </w:pPr>
          </w:p>
        </w:tc>
        <w:tc>
          <w:tcPr>
            <w:tcW w:w="878" w:type="pct"/>
          </w:tcPr>
          <w:p w14:paraId="7BDFCC20" w14:textId="77777777" w:rsidR="00FB28D8" w:rsidRPr="00B0658A" w:rsidRDefault="00FB28D8" w:rsidP="000A4114">
            <w:pPr>
              <w:spacing w:after="0" w:line="240" w:lineRule="auto"/>
              <w:jc w:val="both"/>
              <w:rPr>
                <w:rFonts w:ascii="Times New Roman"/>
                <w:color w:val="auto"/>
                <w:sz w:val="20"/>
              </w:rPr>
            </w:pPr>
          </w:p>
        </w:tc>
        <w:tc>
          <w:tcPr>
            <w:tcW w:w="1151" w:type="pct"/>
          </w:tcPr>
          <w:p w14:paraId="53A6E1E8" w14:textId="77777777" w:rsidR="00FB28D8" w:rsidRPr="00B0658A" w:rsidRDefault="00FB28D8" w:rsidP="000A4114">
            <w:pPr>
              <w:spacing w:after="0" w:line="240" w:lineRule="auto"/>
              <w:jc w:val="both"/>
              <w:rPr>
                <w:rFonts w:ascii="Times New Roman"/>
                <w:color w:val="auto"/>
                <w:sz w:val="20"/>
              </w:rPr>
            </w:pPr>
          </w:p>
        </w:tc>
      </w:tr>
      <w:tr w:rsidR="00FB28D8" w:rsidRPr="00B0658A" w14:paraId="1DAC4678" w14:textId="77777777" w:rsidTr="00B10FDE">
        <w:tc>
          <w:tcPr>
            <w:tcW w:w="152" w:type="pct"/>
          </w:tcPr>
          <w:p w14:paraId="507968F7" w14:textId="77777777" w:rsidR="00FB28D8" w:rsidRPr="00B0658A" w:rsidRDefault="00FB28D8" w:rsidP="000A4114">
            <w:pPr>
              <w:spacing w:after="0" w:line="240" w:lineRule="auto"/>
              <w:jc w:val="both"/>
              <w:rPr>
                <w:rFonts w:ascii="Times New Roman"/>
                <w:color w:val="auto"/>
                <w:sz w:val="20"/>
              </w:rPr>
            </w:pPr>
            <w:r w:rsidRPr="00B0658A">
              <w:rPr>
                <w:rFonts w:ascii="Times New Roman"/>
                <w:color w:val="auto"/>
                <w:sz w:val="20"/>
                <w:lang w:val="en-US"/>
              </w:rPr>
              <w:t>N</w:t>
            </w:r>
          </w:p>
        </w:tc>
        <w:tc>
          <w:tcPr>
            <w:tcW w:w="1030" w:type="pct"/>
          </w:tcPr>
          <w:p w14:paraId="5CBCA2B9" w14:textId="77777777" w:rsidR="00FB28D8" w:rsidRPr="00B0658A" w:rsidRDefault="00FB28D8" w:rsidP="000A4114">
            <w:pPr>
              <w:spacing w:after="0" w:line="240" w:lineRule="auto"/>
              <w:jc w:val="both"/>
              <w:rPr>
                <w:rFonts w:ascii="Times New Roman"/>
                <w:color w:val="auto"/>
                <w:sz w:val="20"/>
              </w:rPr>
            </w:pPr>
          </w:p>
        </w:tc>
        <w:tc>
          <w:tcPr>
            <w:tcW w:w="890" w:type="pct"/>
          </w:tcPr>
          <w:p w14:paraId="4BBB68A0" w14:textId="77777777" w:rsidR="00FB28D8" w:rsidRPr="00B0658A" w:rsidRDefault="00FB28D8" w:rsidP="000A4114">
            <w:pPr>
              <w:spacing w:after="0" w:line="240" w:lineRule="auto"/>
              <w:jc w:val="both"/>
              <w:rPr>
                <w:rFonts w:ascii="Times New Roman"/>
                <w:color w:val="auto"/>
                <w:sz w:val="20"/>
              </w:rPr>
            </w:pPr>
          </w:p>
        </w:tc>
        <w:tc>
          <w:tcPr>
            <w:tcW w:w="899" w:type="pct"/>
          </w:tcPr>
          <w:p w14:paraId="6FA99EA9" w14:textId="77777777" w:rsidR="00FB28D8" w:rsidRPr="00B0658A" w:rsidRDefault="00FB28D8" w:rsidP="000A4114">
            <w:pPr>
              <w:spacing w:after="0" w:line="240" w:lineRule="auto"/>
              <w:jc w:val="both"/>
              <w:rPr>
                <w:rFonts w:ascii="Times New Roman"/>
                <w:color w:val="auto"/>
                <w:sz w:val="20"/>
              </w:rPr>
            </w:pPr>
          </w:p>
        </w:tc>
        <w:tc>
          <w:tcPr>
            <w:tcW w:w="878" w:type="pct"/>
          </w:tcPr>
          <w:p w14:paraId="59389FBF" w14:textId="77777777" w:rsidR="00FB28D8" w:rsidRPr="00B0658A" w:rsidRDefault="00FB28D8" w:rsidP="000A4114">
            <w:pPr>
              <w:spacing w:after="0" w:line="240" w:lineRule="auto"/>
              <w:jc w:val="both"/>
              <w:rPr>
                <w:rFonts w:ascii="Times New Roman"/>
                <w:color w:val="auto"/>
                <w:sz w:val="20"/>
              </w:rPr>
            </w:pPr>
          </w:p>
        </w:tc>
        <w:tc>
          <w:tcPr>
            <w:tcW w:w="1151" w:type="pct"/>
          </w:tcPr>
          <w:p w14:paraId="6C554105" w14:textId="77777777" w:rsidR="00FB28D8" w:rsidRPr="00B0658A" w:rsidRDefault="00FB28D8" w:rsidP="000A4114">
            <w:pPr>
              <w:spacing w:after="0" w:line="240" w:lineRule="auto"/>
              <w:jc w:val="both"/>
              <w:rPr>
                <w:rFonts w:ascii="Times New Roman"/>
                <w:color w:val="auto"/>
                <w:sz w:val="20"/>
              </w:rPr>
            </w:pPr>
          </w:p>
        </w:tc>
      </w:tr>
    </w:tbl>
    <w:p w14:paraId="75182190" w14:textId="77777777" w:rsidR="008171DC" w:rsidRDefault="008171DC">
      <w:pPr>
        <w:spacing w:after="0" w:line="240" w:lineRule="auto"/>
        <w:rPr>
          <w:rFonts w:ascii="Times New Roman" w:hAnsi="Times New Roman"/>
          <w:sz w:val="28"/>
          <w:szCs w:val="28"/>
        </w:rPr>
      </w:pPr>
      <w:r>
        <w:rPr>
          <w:rFonts w:ascii="Times New Roman" w:hAnsi="Times New Roman"/>
          <w:sz w:val="28"/>
          <w:szCs w:val="28"/>
        </w:rPr>
        <w:br w:type="page"/>
      </w:r>
    </w:p>
    <w:p w14:paraId="39CC8574" w14:textId="77777777" w:rsidR="00FB28D8" w:rsidRPr="00B0658A" w:rsidRDefault="000D033A" w:rsidP="000D033A">
      <w:pPr>
        <w:pStyle w:val="afd"/>
        <w:spacing w:line="240" w:lineRule="auto"/>
        <w:ind w:left="0" w:firstLine="709"/>
        <w:jc w:val="both"/>
        <w:rPr>
          <w:rFonts w:ascii="Times New Roman" w:hAnsi="Times New Roman"/>
          <w:sz w:val="28"/>
          <w:szCs w:val="28"/>
        </w:rPr>
      </w:pPr>
      <w:r w:rsidRPr="00B0658A">
        <w:rPr>
          <w:rFonts w:ascii="Times New Roman" w:hAnsi="Times New Roman"/>
          <w:sz w:val="28"/>
          <w:szCs w:val="28"/>
        </w:rPr>
        <w:t xml:space="preserve">2. </w:t>
      </w:r>
      <w:r w:rsidR="00FB28D8" w:rsidRPr="00B0658A">
        <w:rPr>
          <w:rFonts w:ascii="Times New Roman" w:hAnsi="Times New Roman"/>
          <w:sz w:val="28"/>
          <w:szCs w:val="28"/>
        </w:rPr>
        <w:t>Сведения о достижении показателей эффективности в отношении закупок ПО и финансового обеспечения перехода на использование российского ПО</w:t>
      </w:r>
    </w:p>
    <w:tbl>
      <w:tblPr>
        <w:tblStyle w:val="afc"/>
        <w:tblW w:w="13887" w:type="dxa"/>
        <w:tblLayout w:type="fixed"/>
        <w:tblLook w:val="04A0" w:firstRow="1" w:lastRow="0" w:firstColumn="1" w:lastColumn="0" w:noHBand="0" w:noVBand="1"/>
      </w:tblPr>
      <w:tblGrid>
        <w:gridCol w:w="546"/>
        <w:gridCol w:w="2575"/>
        <w:gridCol w:w="1104"/>
        <w:gridCol w:w="3342"/>
        <w:gridCol w:w="3343"/>
        <w:gridCol w:w="2977"/>
      </w:tblGrid>
      <w:tr w:rsidR="00F52FED" w:rsidRPr="00B0658A" w14:paraId="7FF4CB7C" w14:textId="77777777" w:rsidTr="00B10FDE">
        <w:trPr>
          <w:trHeight w:val="58"/>
        </w:trPr>
        <w:tc>
          <w:tcPr>
            <w:tcW w:w="546" w:type="dxa"/>
            <w:vMerge w:val="restart"/>
            <w:vAlign w:val="center"/>
          </w:tcPr>
          <w:p w14:paraId="76287B98" w14:textId="77777777" w:rsidR="00FB28D8" w:rsidRPr="00B0658A" w:rsidRDefault="00FB28D8" w:rsidP="000A4114">
            <w:pPr>
              <w:spacing w:after="0" w:line="240" w:lineRule="auto"/>
              <w:jc w:val="center"/>
              <w:rPr>
                <w:rFonts w:ascii="Times New Roman" w:hAnsi="Times New Roman"/>
                <w:b/>
                <w:bCs/>
                <w:sz w:val="20"/>
                <w:szCs w:val="20"/>
              </w:rPr>
            </w:pPr>
            <w:r w:rsidRPr="00B0658A">
              <w:rPr>
                <w:rFonts w:ascii="Times New Roman" w:hAnsi="Times New Roman"/>
                <w:b/>
                <w:bCs/>
                <w:sz w:val="20"/>
                <w:szCs w:val="20"/>
              </w:rPr>
              <w:t>№</w:t>
            </w:r>
          </w:p>
        </w:tc>
        <w:tc>
          <w:tcPr>
            <w:tcW w:w="2575" w:type="dxa"/>
            <w:vMerge w:val="restart"/>
            <w:vAlign w:val="center"/>
          </w:tcPr>
          <w:p w14:paraId="0A1A68DD" w14:textId="77777777" w:rsidR="00FB28D8" w:rsidRPr="00B0658A" w:rsidRDefault="00FB28D8" w:rsidP="000A4114">
            <w:pPr>
              <w:spacing w:after="0" w:line="240" w:lineRule="auto"/>
              <w:jc w:val="center"/>
              <w:rPr>
                <w:rFonts w:ascii="Times New Roman" w:hAnsi="Times New Roman"/>
                <w:b/>
                <w:bCs/>
                <w:sz w:val="20"/>
                <w:szCs w:val="20"/>
              </w:rPr>
            </w:pPr>
            <w:r w:rsidRPr="00B0658A">
              <w:rPr>
                <w:rFonts w:ascii="Times New Roman" w:hAnsi="Times New Roman"/>
                <w:b/>
                <w:bCs/>
                <w:sz w:val="20"/>
                <w:szCs w:val="20"/>
              </w:rPr>
              <w:t>Наименование показателя</w:t>
            </w:r>
          </w:p>
        </w:tc>
        <w:tc>
          <w:tcPr>
            <w:tcW w:w="1104" w:type="dxa"/>
            <w:vMerge w:val="restart"/>
            <w:vAlign w:val="center"/>
          </w:tcPr>
          <w:p w14:paraId="32359677" w14:textId="77777777" w:rsidR="00FB28D8" w:rsidRPr="00B0658A" w:rsidRDefault="00FB28D8" w:rsidP="000A4114">
            <w:pPr>
              <w:spacing w:after="0" w:line="240" w:lineRule="auto"/>
              <w:jc w:val="center"/>
              <w:rPr>
                <w:rFonts w:ascii="Times New Roman" w:hAnsi="Times New Roman"/>
                <w:b/>
                <w:bCs/>
                <w:sz w:val="20"/>
                <w:szCs w:val="20"/>
              </w:rPr>
            </w:pPr>
            <w:r w:rsidRPr="00B0658A">
              <w:rPr>
                <w:rFonts w:ascii="Times New Roman" w:hAnsi="Times New Roman"/>
                <w:b/>
                <w:bCs/>
                <w:sz w:val="20"/>
                <w:szCs w:val="20"/>
              </w:rPr>
              <w:t>Ед. изм.</w:t>
            </w:r>
          </w:p>
        </w:tc>
        <w:tc>
          <w:tcPr>
            <w:tcW w:w="6685" w:type="dxa"/>
            <w:gridSpan w:val="2"/>
            <w:vAlign w:val="center"/>
          </w:tcPr>
          <w:p w14:paraId="4CDA2534" w14:textId="77777777" w:rsidR="00FB28D8" w:rsidRPr="00B0658A" w:rsidRDefault="00FB28D8" w:rsidP="000A4114">
            <w:pPr>
              <w:spacing w:after="0" w:line="240" w:lineRule="auto"/>
              <w:jc w:val="center"/>
              <w:rPr>
                <w:rFonts w:ascii="Times New Roman" w:hAnsi="Times New Roman"/>
                <w:b/>
                <w:bCs/>
                <w:sz w:val="20"/>
                <w:szCs w:val="20"/>
              </w:rPr>
            </w:pPr>
            <w:r w:rsidRPr="00B0658A">
              <w:rPr>
                <w:rFonts w:ascii="Times New Roman" w:hAnsi="Times New Roman"/>
                <w:b/>
                <w:bCs/>
                <w:sz w:val="20"/>
                <w:szCs w:val="20"/>
              </w:rPr>
              <w:t>Сведения о достижении показателей эффективности за _______ г.</w:t>
            </w:r>
          </w:p>
        </w:tc>
        <w:tc>
          <w:tcPr>
            <w:tcW w:w="2977" w:type="dxa"/>
            <w:vMerge w:val="restart"/>
            <w:vAlign w:val="center"/>
          </w:tcPr>
          <w:p w14:paraId="67D20ACA" w14:textId="77777777" w:rsidR="00FB28D8" w:rsidRPr="00B0658A" w:rsidRDefault="00FB28D8" w:rsidP="000A4114">
            <w:pPr>
              <w:spacing w:after="0" w:line="240" w:lineRule="auto"/>
              <w:jc w:val="center"/>
              <w:rPr>
                <w:rFonts w:ascii="Times New Roman" w:hAnsi="Times New Roman"/>
                <w:b/>
                <w:bCs/>
                <w:sz w:val="20"/>
                <w:szCs w:val="20"/>
              </w:rPr>
            </w:pPr>
            <w:r w:rsidRPr="00B0658A">
              <w:rPr>
                <w:rFonts w:ascii="Times New Roman" w:hAnsi="Times New Roman"/>
                <w:b/>
                <w:bCs/>
                <w:sz w:val="20"/>
                <w:szCs w:val="20"/>
              </w:rPr>
              <w:t>Комментарии</w:t>
            </w:r>
          </w:p>
        </w:tc>
      </w:tr>
      <w:tr w:rsidR="00F52FED" w:rsidRPr="00B0658A" w14:paraId="188F42D3" w14:textId="77777777" w:rsidTr="00B10FDE">
        <w:trPr>
          <w:trHeight w:val="58"/>
        </w:trPr>
        <w:tc>
          <w:tcPr>
            <w:tcW w:w="546" w:type="dxa"/>
            <w:vMerge/>
            <w:vAlign w:val="center"/>
          </w:tcPr>
          <w:p w14:paraId="6D2F47A9" w14:textId="77777777" w:rsidR="00FB28D8" w:rsidRPr="00B0658A" w:rsidRDefault="00FB28D8" w:rsidP="000A4114">
            <w:pPr>
              <w:spacing w:after="0" w:line="240" w:lineRule="auto"/>
              <w:jc w:val="center"/>
              <w:rPr>
                <w:rFonts w:ascii="Times New Roman" w:hAnsi="Times New Roman"/>
                <w:b/>
                <w:bCs/>
                <w:sz w:val="20"/>
                <w:szCs w:val="20"/>
              </w:rPr>
            </w:pPr>
          </w:p>
        </w:tc>
        <w:tc>
          <w:tcPr>
            <w:tcW w:w="2575" w:type="dxa"/>
            <w:vMerge/>
            <w:vAlign w:val="center"/>
          </w:tcPr>
          <w:p w14:paraId="49DD02B9" w14:textId="77777777" w:rsidR="00FB28D8" w:rsidRPr="00B0658A" w:rsidRDefault="00FB28D8" w:rsidP="000A4114">
            <w:pPr>
              <w:spacing w:after="0" w:line="240" w:lineRule="auto"/>
              <w:jc w:val="center"/>
              <w:rPr>
                <w:rFonts w:ascii="Times New Roman" w:hAnsi="Times New Roman"/>
                <w:b/>
                <w:bCs/>
                <w:sz w:val="20"/>
                <w:szCs w:val="20"/>
              </w:rPr>
            </w:pPr>
          </w:p>
        </w:tc>
        <w:tc>
          <w:tcPr>
            <w:tcW w:w="1104" w:type="dxa"/>
            <w:vMerge/>
            <w:vAlign w:val="center"/>
          </w:tcPr>
          <w:p w14:paraId="3EBE5570" w14:textId="77777777" w:rsidR="00FB28D8" w:rsidRPr="00B0658A" w:rsidRDefault="00FB28D8" w:rsidP="000A4114">
            <w:pPr>
              <w:spacing w:after="0" w:line="240" w:lineRule="auto"/>
              <w:jc w:val="center"/>
              <w:rPr>
                <w:rFonts w:ascii="Times New Roman" w:hAnsi="Times New Roman"/>
                <w:b/>
                <w:bCs/>
                <w:sz w:val="20"/>
                <w:szCs w:val="20"/>
              </w:rPr>
            </w:pPr>
          </w:p>
        </w:tc>
        <w:tc>
          <w:tcPr>
            <w:tcW w:w="3342" w:type="dxa"/>
            <w:vAlign w:val="center"/>
          </w:tcPr>
          <w:p w14:paraId="26E0888C" w14:textId="77777777" w:rsidR="00FB28D8" w:rsidRPr="00B0658A" w:rsidRDefault="00FB28D8" w:rsidP="000A4114">
            <w:pPr>
              <w:spacing w:after="0" w:line="240" w:lineRule="auto"/>
              <w:jc w:val="center"/>
              <w:rPr>
                <w:rFonts w:ascii="Times New Roman" w:hAnsi="Times New Roman"/>
                <w:b/>
                <w:bCs/>
                <w:sz w:val="20"/>
                <w:szCs w:val="20"/>
              </w:rPr>
            </w:pPr>
            <w:r w:rsidRPr="00B0658A">
              <w:rPr>
                <w:rFonts w:ascii="Times New Roman" w:hAnsi="Times New Roman"/>
                <w:b/>
                <w:bCs/>
                <w:sz w:val="20"/>
                <w:szCs w:val="20"/>
              </w:rPr>
              <w:t>Плановое значение</w:t>
            </w:r>
          </w:p>
        </w:tc>
        <w:tc>
          <w:tcPr>
            <w:tcW w:w="3343" w:type="dxa"/>
            <w:vAlign w:val="center"/>
          </w:tcPr>
          <w:p w14:paraId="0EE33B0E" w14:textId="77777777" w:rsidR="00FB28D8" w:rsidRPr="00B0658A" w:rsidRDefault="00FB28D8" w:rsidP="000A4114">
            <w:pPr>
              <w:spacing w:after="0" w:line="240" w:lineRule="auto"/>
              <w:jc w:val="center"/>
              <w:rPr>
                <w:rFonts w:ascii="Times New Roman" w:hAnsi="Times New Roman"/>
                <w:b/>
                <w:bCs/>
                <w:sz w:val="20"/>
                <w:szCs w:val="20"/>
              </w:rPr>
            </w:pPr>
            <w:r w:rsidRPr="00B0658A">
              <w:rPr>
                <w:rFonts w:ascii="Times New Roman" w:hAnsi="Times New Roman"/>
                <w:b/>
                <w:bCs/>
                <w:sz w:val="20"/>
                <w:szCs w:val="20"/>
              </w:rPr>
              <w:t>Фактическое значение</w:t>
            </w:r>
          </w:p>
        </w:tc>
        <w:tc>
          <w:tcPr>
            <w:tcW w:w="2977" w:type="dxa"/>
            <w:vMerge/>
            <w:vAlign w:val="center"/>
          </w:tcPr>
          <w:p w14:paraId="3E5D338B" w14:textId="77777777" w:rsidR="00FB28D8" w:rsidRPr="00B0658A" w:rsidRDefault="00FB28D8" w:rsidP="000A4114">
            <w:pPr>
              <w:spacing w:after="0" w:line="240" w:lineRule="auto"/>
              <w:jc w:val="center"/>
              <w:rPr>
                <w:rFonts w:ascii="Times New Roman" w:hAnsi="Times New Roman"/>
                <w:b/>
                <w:bCs/>
                <w:sz w:val="20"/>
                <w:szCs w:val="20"/>
              </w:rPr>
            </w:pPr>
          </w:p>
        </w:tc>
      </w:tr>
      <w:tr w:rsidR="00F52FED" w:rsidRPr="00B0658A" w14:paraId="5B525FB7" w14:textId="77777777" w:rsidTr="00B10FDE">
        <w:trPr>
          <w:trHeight w:val="283"/>
        </w:trPr>
        <w:tc>
          <w:tcPr>
            <w:tcW w:w="13887" w:type="dxa"/>
            <w:gridSpan w:val="6"/>
          </w:tcPr>
          <w:p w14:paraId="4B035EA3" w14:textId="77777777" w:rsidR="00FB28D8" w:rsidRPr="00B0658A" w:rsidRDefault="00FB28D8" w:rsidP="000A4114">
            <w:pPr>
              <w:spacing w:after="0" w:line="240" w:lineRule="auto"/>
              <w:jc w:val="both"/>
              <w:rPr>
                <w:rFonts w:ascii="Times New Roman" w:hAnsi="Times New Roman"/>
                <w:b/>
                <w:i/>
                <w:iCs/>
                <w:sz w:val="20"/>
                <w:szCs w:val="20"/>
              </w:rPr>
            </w:pPr>
            <w:r w:rsidRPr="00B0658A">
              <w:rPr>
                <w:rFonts w:ascii="Times New Roman" w:hAnsi="Times New Roman"/>
                <w:b/>
                <w:i/>
                <w:iCs/>
                <w:sz w:val="20"/>
                <w:szCs w:val="20"/>
              </w:rPr>
              <w:t>I. Показатели эффективности в отношении закупок ПО</w:t>
            </w:r>
          </w:p>
        </w:tc>
      </w:tr>
      <w:tr w:rsidR="00F52FED" w:rsidRPr="00B0658A" w14:paraId="070DA880" w14:textId="77777777" w:rsidTr="00B10FDE">
        <w:trPr>
          <w:trHeight w:val="960"/>
        </w:trPr>
        <w:tc>
          <w:tcPr>
            <w:tcW w:w="546" w:type="dxa"/>
          </w:tcPr>
          <w:p w14:paraId="022EDAC8" w14:textId="77777777" w:rsidR="00FB28D8" w:rsidRPr="00B0658A" w:rsidRDefault="00FB28D8" w:rsidP="000A4114">
            <w:pPr>
              <w:spacing w:after="0" w:line="240" w:lineRule="auto"/>
              <w:jc w:val="both"/>
              <w:rPr>
                <w:rFonts w:ascii="Times New Roman" w:hAnsi="Times New Roman"/>
                <w:sz w:val="20"/>
                <w:szCs w:val="20"/>
              </w:rPr>
            </w:pPr>
            <w:r w:rsidRPr="00B0658A">
              <w:rPr>
                <w:rFonts w:ascii="Times New Roman" w:hAnsi="Times New Roman"/>
                <w:sz w:val="20"/>
                <w:szCs w:val="20"/>
              </w:rPr>
              <w:t>1.</w:t>
            </w:r>
          </w:p>
        </w:tc>
        <w:tc>
          <w:tcPr>
            <w:tcW w:w="2575" w:type="dxa"/>
          </w:tcPr>
          <w:p w14:paraId="5A8BE254" w14:textId="77777777" w:rsidR="00FB28D8" w:rsidRPr="00B0658A" w:rsidRDefault="00FB28D8" w:rsidP="000A4114">
            <w:pPr>
              <w:spacing w:after="0" w:line="240" w:lineRule="auto"/>
              <w:jc w:val="both"/>
              <w:rPr>
                <w:rFonts w:ascii="Times New Roman" w:hAnsi="Times New Roman"/>
                <w:sz w:val="20"/>
                <w:szCs w:val="20"/>
              </w:rPr>
            </w:pPr>
            <w:r w:rsidRPr="00B0658A">
              <w:rPr>
                <w:rFonts w:ascii="Times New Roman" w:hAnsi="Times New Roman"/>
                <w:sz w:val="20"/>
                <w:szCs w:val="20"/>
              </w:rPr>
              <w:t>Доля расходов на закупку российского ПО и связанных с ним работ (услуг) в общем объеме расходов на закупку ПО и связанных с ним работ (услуг)</w:t>
            </w:r>
          </w:p>
        </w:tc>
        <w:tc>
          <w:tcPr>
            <w:tcW w:w="1104" w:type="dxa"/>
          </w:tcPr>
          <w:p w14:paraId="437688C9" w14:textId="77777777" w:rsidR="00FB28D8" w:rsidRPr="00B0658A" w:rsidRDefault="00FB28D8" w:rsidP="000A4114">
            <w:pPr>
              <w:spacing w:after="0" w:line="240" w:lineRule="auto"/>
              <w:jc w:val="center"/>
              <w:rPr>
                <w:rFonts w:ascii="Times New Roman" w:hAnsi="Times New Roman"/>
                <w:sz w:val="20"/>
                <w:szCs w:val="20"/>
              </w:rPr>
            </w:pPr>
            <w:r w:rsidRPr="00B0658A">
              <w:rPr>
                <w:rFonts w:ascii="Times New Roman" w:hAnsi="Times New Roman"/>
                <w:sz w:val="20"/>
                <w:szCs w:val="20"/>
              </w:rPr>
              <w:t>%</w:t>
            </w:r>
          </w:p>
        </w:tc>
        <w:tc>
          <w:tcPr>
            <w:tcW w:w="3342" w:type="dxa"/>
          </w:tcPr>
          <w:p w14:paraId="356A5073" w14:textId="77777777" w:rsidR="00FB28D8" w:rsidRPr="00B0658A" w:rsidRDefault="00FB28D8" w:rsidP="000A4114">
            <w:pPr>
              <w:spacing w:after="0" w:line="240" w:lineRule="auto"/>
              <w:jc w:val="both"/>
              <w:rPr>
                <w:rFonts w:ascii="Times New Roman" w:hAnsi="Times New Roman"/>
                <w:sz w:val="20"/>
                <w:szCs w:val="20"/>
              </w:rPr>
            </w:pPr>
            <w:r w:rsidRPr="00B0658A">
              <w:rPr>
                <w:rFonts w:ascii="Times New Roman" w:hAnsi="Times New Roman"/>
                <w:i/>
                <w:iCs/>
                <w:sz w:val="20"/>
                <w:szCs w:val="20"/>
              </w:rPr>
              <w:t xml:space="preserve">Указывается плановое значение на соответствующий год в соответствии с показателями, установленными в плане перехода </w:t>
            </w:r>
            <w:r w:rsidR="00D92508" w:rsidRPr="00B0658A">
              <w:rPr>
                <w:rFonts w:ascii="Times New Roman" w:hAnsi="Times New Roman"/>
                <w:i/>
                <w:iCs/>
                <w:sz w:val="20"/>
                <w:szCs w:val="20"/>
              </w:rPr>
              <w:t xml:space="preserve">подведомственной организации </w:t>
            </w:r>
            <w:r w:rsidRPr="00B0658A">
              <w:rPr>
                <w:rFonts w:ascii="Times New Roman" w:hAnsi="Times New Roman"/>
                <w:i/>
                <w:iCs/>
                <w:sz w:val="20"/>
                <w:szCs w:val="20"/>
              </w:rPr>
              <w:t>на использование российского ПО</w:t>
            </w:r>
          </w:p>
        </w:tc>
        <w:tc>
          <w:tcPr>
            <w:tcW w:w="3343" w:type="dxa"/>
          </w:tcPr>
          <w:p w14:paraId="4A9D25EA" w14:textId="77777777" w:rsidR="00FB28D8" w:rsidRPr="00B0658A" w:rsidRDefault="00FB28D8" w:rsidP="000A4114">
            <w:pPr>
              <w:spacing w:after="0" w:line="240" w:lineRule="auto"/>
              <w:jc w:val="both"/>
              <w:rPr>
                <w:rFonts w:ascii="Times New Roman" w:hAnsi="Times New Roman"/>
                <w:i/>
                <w:iCs/>
                <w:sz w:val="20"/>
                <w:szCs w:val="20"/>
              </w:rPr>
            </w:pPr>
            <w:r w:rsidRPr="00B0658A">
              <w:rPr>
                <w:rFonts w:ascii="Times New Roman" w:hAnsi="Times New Roman"/>
                <w:i/>
                <w:iCs/>
                <w:sz w:val="20"/>
                <w:szCs w:val="20"/>
              </w:rPr>
              <w:t>Указывается фактическая доля расходов на российское ПО и связанные с ним работ (услуги) в общем объеме расходов на закупку ПО и связанные с ним работы (услуги) за соответствующий год.</w:t>
            </w:r>
          </w:p>
        </w:tc>
        <w:tc>
          <w:tcPr>
            <w:tcW w:w="2977" w:type="dxa"/>
          </w:tcPr>
          <w:p w14:paraId="09C46F8E" w14:textId="77777777" w:rsidR="00FB28D8" w:rsidRPr="00B0658A" w:rsidRDefault="00FB28D8" w:rsidP="000A4114">
            <w:pPr>
              <w:spacing w:after="0" w:line="240" w:lineRule="auto"/>
              <w:jc w:val="both"/>
              <w:rPr>
                <w:rFonts w:ascii="Times New Roman" w:hAnsi="Times New Roman"/>
                <w:i/>
                <w:sz w:val="20"/>
                <w:szCs w:val="20"/>
              </w:rPr>
            </w:pPr>
            <w:r w:rsidRPr="00B0658A">
              <w:rPr>
                <w:rFonts w:ascii="Times New Roman" w:hAnsi="Times New Roman"/>
                <w:i/>
                <w:iCs/>
                <w:sz w:val="20"/>
                <w:szCs w:val="20"/>
              </w:rPr>
              <w:t>Указывается дополнительные комментарии по достижению установленных значений (при необходимости)</w:t>
            </w:r>
          </w:p>
          <w:p w14:paraId="4FF8637E" w14:textId="77777777" w:rsidR="00FB28D8" w:rsidRPr="00B0658A" w:rsidRDefault="00FB28D8" w:rsidP="000A4114">
            <w:pPr>
              <w:spacing w:after="0" w:line="240" w:lineRule="auto"/>
              <w:rPr>
                <w:rFonts w:ascii="Times New Roman" w:hAnsi="Times New Roman"/>
                <w:sz w:val="20"/>
                <w:szCs w:val="20"/>
              </w:rPr>
            </w:pPr>
          </w:p>
        </w:tc>
      </w:tr>
      <w:tr w:rsidR="00F52FED" w:rsidRPr="00B0658A" w14:paraId="2974DBE8" w14:textId="77777777" w:rsidTr="00B10FDE">
        <w:trPr>
          <w:trHeight w:val="283"/>
        </w:trPr>
        <w:tc>
          <w:tcPr>
            <w:tcW w:w="13887" w:type="dxa"/>
            <w:gridSpan w:val="6"/>
          </w:tcPr>
          <w:p w14:paraId="3205F42B" w14:textId="77777777" w:rsidR="00FB28D8" w:rsidRPr="00B0658A" w:rsidRDefault="00FB28D8" w:rsidP="000A4114">
            <w:pPr>
              <w:spacing w:after="0" w:line="240" w:lineRule="auto"/>
              <w:rPr>
                <w:rFonts w:ascii="Times New Roman" w:hAnsi="Times New Roman"/>
                <w:i/>
                <w:iCs/>
                <w:sz w:val="20"/>
                <w:szCs w:val="20"/>
              </w:rPr>
            </w:pPr>
            <w:r w:rsidRPr="00B0658A">
              <w:rPr>
                <w:rFonts w:ascii="Times New Roman" w:hAnsi="Times New Roman"/>
                <w:b/>
                <w:i/>
                <w:iCs/>
                <w:sz w:val="20"/>
                <w:szCs w:val="20"/>
                <w:lang w:val="en-US"/>
              </w:rPr>
              <w:t>II</w:t>
            </w:r>
            <w:r w:rsidRPr="00B0658A">
              <w:rPr>
                <w:rFonts w:ascii="Times New Roman" w:hAnsi="Times New Roman"/>
                <w:b/>
                <w:i/>
                <w:iCs/>
                <w:sz w:val="20"/>
                <w:szCs w:val="20"/>
              </w:rPr>
              <w:t xml:space="preserve">. Финансовое </w:t>
            </w:r>
            <w:r w:rsidRPr="00B0658A">
              <w:rPr>
                <w:rFonts w:ascii="Times New Roman" w:hAnsi="Times New Roman"/>
                <w:b/>
                <w:bCs/>
                <w:i/>
                <w:iCs/>
                <w:sz w:val="20"/>
                <w:szCs w:val="20"/>
              </w:rPr>
              <w:t>обеспечения перехода на использование российского ПО</w:t>
            </w:r>
          </w:p>
        </w:tc>
      </w:tr>
      <w:tr w:rsidR="00F52FED" w:rsidRPr="00B0658A" w14:paraId="50D2EAD5" w14:textId="77777777" w:rsidTr="00B10FDE">
        <w:trPr>
          <w:trHeight w:val="376"/>
        </w:trPr>
        <w:tc>
          <w:tcPr>
            <w:tcW w:w="546" w:type="dxa"/>
          </w:tcPr>
          <w:p w14:paraId="0325154C" w14:textId="77777777" w:rsidR="00FB28D8" w:rsidRPr="00B0658A" w:rsidRDefault="00FB28D8" w:rsidP="000A4114">
            <w:pPr>
              <w:spacing w:after="0" w:line="240" w:lineRule="auto"/>
              <w:jc w:val="both"/>
              <w:rPr>
                <w:rFonts w:ascii="Times New Roman" w:hAnsi="Times New Roman"/>
                <w:sz w:val="20"/>
                <w:szCs w:val="20"/>
              </w:rPr>
            </w:pPr>
            <w:r w:rsidRPr="00B0658A">
              <w:rPr>
                <w:rFonts w:ascii="Times New Roman" w:hAnsi="Times New Roman"/>
                <w:sz w:val="20"/>
                <w:szCs w:val="20"/>
              </w:rPr>
              <w:t>2.</w:t>
            </w:r>
          </w:p>
        </w:tc>
        <w:tc>
          <w:tcPr>
            <w:tcW w:w="2575" w:type="dxa"/>
          </w:tcPr>
          <w:p w14:paraId="40AEB90F" w14:textId="77777777" w:rsidR="00FB28D8" w:rsidRPr="00B0658A" w:rsidRDefault="00FB28D8" w:rsidP="000A4114">
            <w:pPr>
              <w:spacing w:after="0" w:line="240" w:lineRule="auto"/>
              <w:jc w:val="both"/>
              <w:rPr>
                <w:rFonts w:ascii="Times New Roman" w:hAnsi="Times New Roman"/>
                <w:sz w:val="20"/>
                <w:szCs w:val="20"/>
              </w:rPr>
            </w:pPr>
            <w:r w:rsidRPr="00B0658A">
              <w:rPr>
                <w:rFonts w:ascii="Times New Roman" w:hAnsi="Times New Roman"/>
                <w:sz w:val="20"/>
                <w:szCs w:val="20"/>
              </w:rPr>
              <w:t>Объём финансовых ресурсов, направленных на переход на использование российского ПО</w:t>
            </w:r>
          </w:p>
        </w:tc>
        <w:tc>
          <w:tcPr>
            <w:tcW w:w="1104" w:type="dxa"/>
          </w:tcPr>
          <w:p w14:paraId="09FE53FD" w14:textId="77777777" w:rsidR="00FB28D8" w:rsidRPr="00B0658A" w:rsidRDefault="00FB28D8" w:rsidP="000A4114">
            <w:pPr>
              <w:spacing w:after="0" w:line="240" w:lineRule="auto"/>
              <w:jc w:val="center"/>
              <w:rPr>
                <w:rFonts w:ascii="Times New Roman" w:hAnsi="Times New Roman"/>
                <w:sz w:val="20"/>
                <w:szCs w:val="20"/>
              </w:rPr>
            </w:pPr>
            <w:r w:rsidRPr="00B0658A">
              <w:rPr>
                <w:rFonts w:ascii="Times New Roman" w:hAnsi="Times New Roman"/>
                <w:sz w:val="20"/>
                <w:szCs w:val="20"/>
              </w:rPr>
              <w:t>тыс. руб.</w:t>
            </w:r>
          </w:p>
        </w:tc>
        <w:tc>
          <w:tcPr>
            <w:tcW w:w="3342" w:type="dxa"/>
          </w:tcPr>
          <w:p w14:paraId="7CE8CBBA" w14:textId="77777777" w:rsidR="00FB28D8" w:rsidRPr="00B0658A" w:rsidRDefault="00FB28D8" w:rsidP="000A4114">
            <w:pPr>
              <w:spacing w:after="0" w:line="240" w:lineRule="auto"/>
              <w:jc w:val="both"/>
              <w:rPr>
                <w:rFonts w:ascii="Times New Roman" w:hAnsi="Times New Roman"/>
                <w:sz w:val="20"/>
                <w:szCs w:val="20"/>
              </w:rPr>
            </w:pPr>
            <w:r w:rsidRPr="00B0658A">
              <w:rPr>
                <w:rFonts w:ascii="Times New Roman" w:hAnsi="Times New Roman"/>
                <w:i/>
                <w:iCs/>
                <w:sz w:val="20"/>
                <w:szCs w:val="20"/>
              </w:rPr>
              <w:t xml:space="preserve">Указывается плановое значение на соответствующий год в соответствии с показателями, установленными в плане перехода </w:t>
            </w:r>
            <w:r w:rsidR="00D92508" w:rsidRPr="00B0658A">
              <w:rPr>
                <w:rFonts w:ascii="Times New Roman" w:hAnsi="Times New Roman"/>
                <w:i/>
                <w:iCs/>
                <w:sz w:val="20"/>
                <w:szCs w:val="20"/>
              </w:rPr>
              <w:t xml:space="preserve">подведомственной организации </w:t>
            </w:r>
            <w:r w:rsidRPr="00B0658A">
              <w:rPr>
                <w:rFonts w:ascii="Times New Roman" w:hAnsi="Times New Roman"/>
                <w:i/>
                <w:iCs/>
                <w:sz w:val="20"/>
                <w:szCs w:val="20"/>
              </w:rPr>
              <w:t>на использование российского ПО</w:t>
            </w:r>
          </w:p>
        </w:tc>
        <w:tc>
          <w:tcPr>
            <w:tcW w:w="3343" w:type="dxa"/>
          </w:tcPr>
          <w:p w14:paraId="09DC8EF7" w14:textId="77777777" w:rsidR="00FB28D8" w:rsidRPr="00B0658A" w:rsidRDefault="00FB28D8" w:rsidP="000A4114">
            <w:pPr>
              <w:spacing w:after="0" w:line="240" w:lineRule="auto"/>
              <w:jc w:val="both"/>
              <w:rPr>
                <w:rFonts w:ascii="Times New Roman" w:hAnsi="Times New Roman"/>
                <w:i/>
                <w:iCs/>
                <w:sz w:val="20"/>
                <w:szCs w:val="20"/>
              </w:rPr>
            </w:pPr>
            <w:r w:rsidRPr="00B0658A">
              <w:rPr>
                <w:rFonts w:ascii="Times New Roman" w:hAnsi="Times New Roman"/>
                <w:i/>
                <w:iCs/>
                <w:sz w:val="20"/>
                <w:szCs w:val="20"/>
              </w:rPr>
              <w:t>Указываются фактические объемы расходов, связанных с переходом на  использование российского ПО за соответствующий год.</w:t>
            </w:r>
          </w:p>
        </w:tc>
        <w:tc>
          <w:tcPr>
            <w:tcW w:w="2977" w:type="dxa"/>
          </w:tcPr>
          <w:p w14:paraId="6D655EE3" w14:textId="77777777" w:rsidR="00FB28D8" w:rsidRPr="00B0658A" w:rsidRDefault="00FB28D8" w:rsidP="000A4114">
            <w:pPr>
              <w:spacing w:after="0" w:line="240" w:lineRule="auto"/>
              <w:jc w:val="both"/>
              <w:rPr>
                <w:rFonts w:ascii="Times New Roman" w:hAnsi="Times New Roman"/>
                <w:i/>
                <w:sz w:val="20"/>
                <w:szCs w:val="20"/>
              </w:rPr>
            </w:pPr>
            <w:r w:rsidRPr="00B0658A">
              <w:rPr>
                <w:rFonts w:ascii="Times New Roman" w:hAnsi="Times New Roman"/>
                <w:i/>
                <w:iCs/>
                <w:sz w:val="20"/>
                <w:szCs w:val="20"/>
              </w:rPr>
              <w:t>Указывается дополнительные комментарии по достижению установленных значений (при необходимости)</w:t>
            </w:r>
          </w:p>
          <w:p w14:paraId="64F61D67" w14:textId="77777777" w:rsidR="00FB28D8" w:rsidRPr="00B0658A" w:rsidRDefault="00FB28D8" w:rsidP="000A4114">
            <w:pPr>
              <w:spacing w:after="0" w:line="240" w:lineRule="auto"/>
              <w:rPr>
                <w:rFonts w:ascii="Times New Roman" w:hAnsi="Times New Roman"/>
                <w:sz w:val="20"/>
                <w:szCs w:val="20"/>
              </w:rPr>
            </w:pPr>
            <w:r w:rsidRPr="00B0658A">
              <w:rPr>
                <w:rFonts w:ascii="Times New Roman" w:hAnsi="Times New Roman"/>
                <w:i/>
                <w:iCs/>
                <w:sz w:val="20"/>
                <w:szCs w:val="20"/>
              </w:rPr>
              <w:t>.</w:t>
            </w:r>
          </w:p>
        </w:tc>
      </w:tr>
    </w:tbl>
    <w:p w14:paraId="4687D53B" w14:textId="77777777" w:rsidR="00FB28D8" w:rsidRPr="00B0658A" w:rsidRDefault="00FB28D8" w:rsidP="00FB28D8">
      <w:pPr>
        <w:rPr>
          <w:rFonts w:ascii="Times New Roman" w:hAnsi="Times New Roman"/>
          <w:sz w:val="28"/>
          <w:szCs w:val="24"/>
        </w:rPr>
      </w:pPr>
      <w:r w:rsidRPr="00B0658A">
        <w:rPr>
          <w:rFonts w:ascii="Times New Roman" w:hAnsi="Times New Roman"/>
        </w:rPr>
        <w:t xml:space="preserve"> </w:t>
      </w:r>
    </w:p>
    <w:p w14:paraId="640C08D4" w14:textId="77777777" w:rsidR="00DD4A91" w:rsidRPr="00B0658A" w:rsidRDefault="00411D4D" w:rsidP="00DD4A91">
      <w:pPr>
        <w:ind w:firstLine="709"/>
        <w:rPr>
          <w:rFonts w:ascii="Times New Roman" w:hAnsi="Times New Roman"/>
          <w:sz w:val="28"/>
          <w:szCs w:val="28"/>
        </w:rPr>
      </w:pPr>
      <w:r w:rsidRPr="00B0658A">
        <w:rPr>
          <w:rFonts w:ascii="Times New Roman" w:hAnsi="Times New Roman"/>
          <w:sz w:val="28"/>
          <w:szCs w:val="28"/>
        </w:rPr>
        <w:t>3. Сведения об объёмах закупок российского и иностранного ПО и связанных с ним работ (услуг)</w:t>
      </w:r>
      <w:r w:rsidR="00DD4A91" w:rsidRPr="00DD4A91">
        <w:rPr>
          <w:rFonts w:ascii="Times New Roman" w:hAnsi="Times New Roman"/>
          <w:sz w:val="28"/>
          <w:szCs w:val="28"/>
        </w:rPr>
        <w:t xml:space="preserve"> </w:t>
      </w:r>
    </w:p>
    <w:tbl>
      <w:tblPr>
        <w:tblStyle w:val="afc"/>
        <w:tblW w:w="5000" w:type="pct"/>
        <w:tblLook w:val="04A0" w:firstRow="1" w:lastRow="0" w:firstColumn="1" w:lastColumn="0" w:noHBand="0" w:noVBand="1"/>
      </w:tblPr>
      <w:tblGrid>
        <w:gridCol w:w="681"/>
        <w:gridCol w:w="2577"/>
        <w:gridCol w:w="1274"/>
        <w:gridCol w:w="9412"/>
      </w:tblGrid>
      <w:tr w:rsidR="00DD4A91" w:rsidRPr="00B0658A" w14:paraId="693359AC" w14:textId="77777777" w:rsidTr="003A11B0">
        <w:trPr>
          <w:trHeight w:val="58"/>
        </w:trPr>
        <w:tc>
          <w:tcPr>
            <w:tcW w:w="244" w:type="pct"/>
            <w:vAlign w:val="center"/>
          </w:tcPr>
          <w:p w14:paraId="3CBBA966" w14:textId="77777777" w:rsidR="00DD4A91" w:rsidRPr="00BA2448" w:rsidRDefault="00DD4A91" w:rsidP="003A11B0">
            <w:pPr>
              <w:spacing w:after="0" w:line="240" w:lineRule="auto"/>
              <w:jc w:val="center"/>
              <w:rPr>
                <w:rFonts w:ascii="Times New Roman" w:hAnsi="Times New Roman"/>
                <w:b/>
                <w:bCs/>
                <w:sz w:val="20"/>
                <w:szCs w:val="20"/>
              </w:rPr>
            </w:pPr>
            <w:r w:rsidRPr="00BA2448">
              <w:rPr>
                <w:rFonts w:ascii="Times New Roman" w:hAnsi="Times New Roman"/>
                <w:b/>
                <w:bCs/>
                <w:sz w:val="20"/>
                <w:szCs w:val="20"/>
              </w:rPr>
              <w:t>№</w:t>
            </w:r>
          </w:p>
        </w:tc>
        <w:tc>
          <w:tcPr>
            <w:tcW w:w="924" w:type="pct"/>
            <w:vAlign w:val="center"/>
          </w:tcPr>
          <w:p w14:paraId="065E759D" w14:textId="77777777" w:rsidR="00DD4A91" w:rsidRPr="00BA2448" w:rsidRDefault="00DD4A91" w:rsidP="003A11B0">
            <w:pPr>
              <w:spacing w:after="0" w:line="240" w:lineRule="auto"/>
              <w:jc w:val="center"/>
              <w:rPr>
                <w:rFonts w:ascii="Times New Roman" w:hAnsi="Times New Roman"/>
                <w:b/>
                <w:bCs/>
                <w:sz w:val="20"/>
                <w:szCs w:val="20"/>
              </w:rPr>
            </w:pPr>
            <w:r w:rsidRPr="00BA2448">
              <w:rPr>
                <w:rFonts w:ascii="Times New Roman" w:hAnsi="Times New Roman"/>
                <w:b/>
                <w:bCs/>
                <w:sz w:val="20"/>
                <w:szCs w:val="20"/>
              </w:rPr>
              <w:t>Наименование показателя</w:t>
            </w:r>
          </w:p>
        </w:tc>
        <w:tc>
          <w:tcPr>
            <w:tcW w:w="457" w:type="pct"/>
            <w:vAlign w:val="center"/>
          </w:tcPr>
          <w:p w14:paraId="70D2CD6B" w14:textId="77777777" w:rsidR="00DD4A91" w:rsidRPr="00BA2448" w:rsidRDefault="00DD4A91" w:rsidP="003A11B0">
            <w:pPr>
              <w:spacing w:after="0" w:line="240" w:lineRule="auto"/>
              <w:jc w:val="center"/>
              <w:rPr>
                <w:rFonts w:ascii="Times New Roman" w:hAnsi="Times New Roman"/>
                <w:b/>
                <w:bCs/>
                <w:sz w:val="20"/>
                <w:szCs w:val="20"/>
              </w:rPr>
            </w:pPr>
            <w:r w:rsidRPr="00BA2448">
              <w:rPr>
                <w:rFonts w:ascii="Times New Roman" w:hAnsi="Times New Roman"/>
                <w:b/>
                <w:bCs/>
                <w:sz w:val="20"/>
                <w:szCs w:val="20"/>
              </w:rPr>
              <w:t>Ед. изм.</w:t>
            </w:r>
          </w:p>
        </w:tc>
        <w:tc>
          <w:tcPr>
            <w:tcW w:w="3375" w:type="pct"/>
            <w:vAlign w:val="center"/>
          </w:tcPr>
          <w:p w14:paraId="621F635A" w14:textId="77777777" w:rsidR="00DD4A91" w:rsidRPr="00BA2448" w:rsidRDefault="00DD4A91" w:rsidP="003A11B0">
            <w:pPr>
              <w:spacing w:after="0" w:line="240" w:lineRule="auto"/>
              <w:jc w:val="center"/>
              <w:rPr>
                <w:rFonts w:ascii="Times New Roman" w:hAnsi="Times New Roman"/>
                <w:b/>
                <w:bCs/>
                <w:sz w:val="20"/>
                <w:szCs w:val="20"/>
              </w:rPr>
            </w:pPr>
            <w:r w:rsidRPr="00BA2448">
              <w:rPr>
                <w:rFonts w:ascii="Times New Roman" w:hAnsi="Times New Roman"/>
                <w:b/>
                <w:bCs/>
                <w:sz w:val="20"/>
                <w:szCs w:val="20"/>
              </w:rPr>
              <w:t>Сведения об объёмах закупок российского и иностранного ПО и связанных с ним работ (услуг) за _______ г.</w:t>
            </w:r>
          </w:p>
        </w:tc>
      </w:tr>
      <w:tr w:rsidR="00DD4A91" w:rsidRPr="00B0658A" w14:paraId="29E61993" w14:textId="77777777" w:rsidTr="003A11B0">
        <w:trPr>
          <w:trHeight w:val="960"/>
        </w:trPr>
        <w:tc>
          <w:tcPr>
            <w:tcW w:w="244" w:type="pct"/>
          </w:tcPr>
          <w:p w14:paraId="7203FD7D" w14:textId="77777777" w:rsidR="00DD4A91" w:rsidRPr="00BA2448" w:rsidRDefault="00DD4A91" w:rsidP="003A11B0">
            <w:pPr>
              <w:spacing w:after="0" w:line="240" w:lineRule="auto"/>
              <w:jc w:val="both"/>
              <w:rPr>
                <w:rFonts w:ascii="Times New Roman" w:hAnsi="Times New Roman"/>
                <w:sz w:val="20"/>
                <w:szCs w:val="20"/>
              </w:rPr>
            </w:pPr>
            <w:r w:rsidRPr="00BA2448">
              <w:rPr>
                <w:rFonts w:ascii="Times New Roman" w:hAnsi="Times New Roman"/>
                <w:sz w:val="20"/>
                <w:szCs w:val="20"/>
              </w:rPr>
              <w:t>1.</w:t>
            </w:r>
          </w:p>
        </w:tc>
        <w:tc>
          <w:tcPr>
            <w:tcW w:w="924" w:type="pct"/>
          </w:tcPr>
          <w:p w14:paraId="1E2094BB" w14:textId="77777777" w:rsidR="00DD4A91" w:rsidRPr="00BA2448" w:rsidRDefault="00DD4A91" w:rsidP="003A11B0">
            <w:pPr>
              <w:spacing w:after="0" w:line="240" w:lineRule="auto"/>
              <w:jc w:val="both"/>
              <w:rPr>
                <w:rFonts w:ascii="Times New Roman" w:hAnsi="Times New Roman"/>
                <w:sz w:val="20"/>
                <w:szCs w:val="20"/>
              </w:rPr>
            </w:pPr>
            <w:r w:rsidRPr="00BA2448">
              <w:rPr>
                <w:rFonts w:ascii="Times New Roman" w:hAnsi="Times New Roman"/>
                <w:sz w:val="20"/>
                <w:szCs w:val="20"/>
              </w:rPr>
              <w:t>Объёмы закупок российского ПО и связанных с ним работ (услуг)</w:t>
            </w:r>
          </w:p>
        </w:tc>
        <w:tc>
          <w:tcPr>
            <w:tcW w:w="457" w:type="pct"/>
          </w:tcPr>
          <w:p w14:paraId="62F68832" w14:textId="77777777" w:rsidR="00DD4A91" w:rsidRPr="00BA2448" w:rsidRDefault="00DD4A91" w:rsidP="003A11B0">
            <w:pPr>
              <w:spacing w:after="0" w:line="240" w:lineRule="auto"/>
              <w:jc w:val="center"/>
              <w:rPr>
                <w:rFonts w:ascii="Times New Roman" w:hAnsi="Times New Roman"/>
                <w:sz w:val="20"/>
                <w:szCs w:val="20"/>
              </w:rPr>
            </w:pPr>
            <w:r w:rsidRPr="00BA2448">
              <w:rPr>
                <w:rFonts w:ascii="Times New Roman" w:hAnsi="Times New Roman"/>
                <w:sz w:val="20"/>
                <w:szCs w:val="20"/>
              </w:rPr>
              <w:t>тыс. руб.</w:t>
            </w:r>
          </w:p>
        </w:tc>
        <w:tc>
          <w:tcPr>
            <w:tcW w:w="3375" w:type="pct"/>
          </w:tcPr>
          <w:p w14:paraId="26D3E432" w14:textId="77777777" w:rsidR="00DD4A91" w:rsidRPr="00BA2448" w:rsidRDefault="00DD4A91" w:rsidP="003A11B0">
            <w:pPr>
              <w:spacing w:after="0" w:line="240" w:lineRule="auto"/>
              <w:jc w:val="both"/>
              <w:rPr>
                <w:rFonts w:ascii="Times New Roman" w:hAnsi="Times New Roman"/>
                <w:sz w:val="20"/>
                <w:szCs w:val="20"/>
              </w:rPr>
            </w:pPr>
            <w:r w:rsidRPr="00BA2448">
              <w:rPr>
                <w:rFonts w:ascii="Times New Roman" w:hAnsi="Times New Roman"/>
                <w:i/>
                <w:iCs/>
                <w:sz w:val="20"/>
                <w:szCs w:val="20"/>
              </w:rPr>
              <w:t xml:space="preserve">Указываются фактические объемы расходов, связанных с закупкой российского ПО и связанных с ним работ (услуг) </w:t>
            </w:r>
            <w:r>
              <w:rPr>
                <w:rFonts w:ascii="Times New Roman" w:hAnsi="Times New Roman"/>
                <w:i/>
                <w:iCs/>
                <w:sz w:val="20"/>
                <w:szCs w:val="20"/>
              </w:rPr>
              <w:t xml:space="preserve">за </w:t>
            </w:r>
            <w:r w:rsidRPr="00BA2448">
              <w:rPr>
                <w:rFonts w:ascii="Times New Roman" w:hAnsi="Times New Roman"/>
                <w:i/>
                <w:iCs/>
                <w:sz w:val="20"/>
                <w:szCs w:val="20"/>
              </w:rPr>
              <w:t>соответствующ</w:t>
            </w:r>
            <w:r>
              <w:rPr>
                <w:rFonts w:ascii="Times New Roman" w:hAnsi="Times New Roman"/>
                <w:i/>
                <w:iCs/>
                <w:sz w:val="20"/>
                <w:szCs w:val="20"/>
              </w:rPr>
              <w:t>ий</w:t>
            </w:r>
            <w:r w:rsidRPr="00BA2448">
              <w:rPr>
                <w:rFonts w:ascii="Times New Roman" w:hAnsi="Times New Roman"/>
                <w:i/>
                <w:iCs/>
                <w:sz w:val="20"/>
                <w:szCs w:val="20"/>
              </w:rPr>
              <w:t xml:space="preserve"> год</w:t>
            </w:r>
            <w:r>
              <w:rPr>
                <w:rFonts w:ascii="Times New Roman" w:hAnsi="Times New Roman"/>
                <w:i/>
                <w:iCs/>
                <w:sz w:val="20"/>
                <w:szCs w:val="20"/>
              </w:rPr>
              <w:t>.</w:t>
            </w:r>
          </w:p>
        </w:tc>
      </w:tr>
      <w:tr w:rsidR="00DD4A91" w:rsidRPr="00B0658A" w14:paraId="35738CD6" w14:textId="77777777" w:rsidTr="003A11B0">
        <w:trPr>
          <w:trHeight w:val="960"/>
        </w:trPr>
        <w:tc>
          <w:tcPr>
            <w:tcW w:w="244" w:type="pct"/>
          </w:tcPr>
          <w:p w14:paraId="7B6FD3D9" w14:textId="77777777" w:rsidR="00DD4A91" w:rsidRPr="00BA2448" w:rsidRDefault="00DD4A91" w:rsidP="003A11B0">
            <w:pPr>
              <w:spacing w:after="0" w:line="240" w:lineRule="auto"/>
              <w:jc w:val="both"/>
              <w:rPr>
                <w:rFonts w:ascii="Times New Roman" w:hAnsi="Times New Roman"/>
                <w:sz w:val="20"/>
                <w:szCs w:val="20"/>
              </w:rPr>
            </w:pPr>
            <w:r w:rsidRPr="00BA2448">
              <w:rPr>
                <w:rFonts w:ascii="Times New Roman" w:hAnsi="Times New Roman"/>
                <w:sz w:val="20"/>
                <w:szCs w:val="20"/>
              </w:rPr>
              <w:t>2.</w:t>
            </w:r>
          </w:p>
        </w:tc>
        <w:tc>
          <w:tcPr>
            <w:tcW w:w="924" w:type="pct"/>
          </w:tcPr>
          <w:p w14:paraId="0C1F158F" w14:textId="77777777" w:rsidR="00DD4A91" w:rsidRPr="00BA2448" w:rsidRDefault="00DD4A91" w:rsidP="003A11B0">
            <w:pPr>
              <w:spacing w:after="0" w:line="240" w:lineRule="auto"/>
              <w:jc w:val="both"/>
              <w:rPr>
                <w:rFonts w:ascii="Times New Roman" w:hAnsi="Times New Roman"/>
                <w:sz w:val="20"/>
                <w:szCs w:val="20"/>
              </w:rPr>
            </w:pPr>
            <w:r w:rsidRPr="00BA2448">
              <w:rPr>
                <w:rFonts w:ascii="Times New Roman" w:hAnsi="Times New Roman"/>
                <w:sz w:val="20"/>
                <w:szCs w:val="20"/>
              </w:rPr>
              <w:t>Объёмы закупок иностранного ПО и связанных с ним работ (услуг)</w:t>
            </w:r>
          </w:p>
        </w:tc>
        <w:tc>
          <w:tcPr>
            <w:tcW w:w="457" w:type="pct"/>
          </w:tcPr>
          <w:p w14:paraId="1F8ACDD1" w14:textId="77777777" w:rsidR="00DD4A91" w:rsidRPr="00BA2448" w:rsidRDefault="00DD4A91" w:rsidP="003A11B0">
            <w:pPr>
              <w:spacing w:after="0" w:line="240" w:lineRule="auto"/>
              <w:jc w:val="center"/>
              <w:rPr>
                <w:rFonts w:ascii="Times New Roman" w:hAnsi="Times New Roman"/>
                <w:sz w:val="20"/>
                <w:szCs w:val="20"/>
              </w:rPr>
            </w:pPr>
            <w:r w:rsidRPr="00BA2448">
              <w:rPr>
                <w:rFonts w:ascii="Times New Roman" w:hAnsi="Times New Roman"/>
                <w:sz w:val="20"/>
                <w:szCs w:val="20"/>
              </w:rPr>
              <w:t>тыс. руб.</w:t>
            </w:r>
          </w:p>
        </w:tc>
        <w:tc>
          <w:tcPr>
            <w:tcW w:w="3375" w:type="pct"/>
          </w:tcPr>
          <w:p w14:paraId="2B068D9D" w14:textId="77777777" w:rsidR="00DD4A91" w:rsidRPr="00BA2448" w:rsidRDefault="00DD4A91" w:rsidP="003A11B0">
            <w:pPr>
              <w:spacing w:after="0" w:line="240" w:lineRule="auto"/>
              <w:jc w:val="both"/>
              <w:rPr>
                <w:rFonts w:ascii="Times New Roman" w:hAnsi="Times New Roman"/>
                <w:i/>
                <w:iCs/>
                <w:sz w:val="20"/>
                <w:szCs w:val="20"/>
              </w:rPr>
            </w:pPr>
            <w:r w:rsidRPr="00BA2448">
              <w:rPr>
                <w:rFonts w:ascii="Times New Roman" w:hAnsi="Times New Roman"/>
                <w:i/>
                <w:iCs/>
                <w:sz w:val="20"/>
                <w:szCs w:val="20"/>
              </w:rPr>
              <w:t xml:space="preserve">Указываются фактические объемы расходов, связанных с закупкой иностранного ПО и связанных с ним работ (услуг) </w:t>
            </w:r>
            <w:r>
              <w:rPr>
                <w:rFonts w:ascii="Times New Roman" w:hAnsi="Times New Roman"/>
                <w:i/>
                <w:iCs/>
                <w:sz w:val="20"/>
                <w:szCs w:val="20"/>
              </w:rPr>
              <w:t xml:space="preserve">за </w:t>
            </w:r>
            <w:r w:rsidRPr="00BA2448">
              <w:rPr>
                <w:rFonts w:ascii="Times New Roman" w:hAnsi="Times New Roman"/>
                <w:i/>
                <w:iCs/>
                <w:sz w:val="20"/>
                <w:szCs w:val="20"/>
              </w:rPr>
              <w:t>соответствующ</w:t>
            </w:r>
            <w:r>
              <w:rPr>
                <w:rFonts w:ascii="Times New Roman" w:hAnsi="Times New Roman"/>
                <w:i/>
                <w:iCs/>
                <w:sz w:val="20"/>
                <w:szCs w:val="20"/>
              </w:rPr>
              <w:t>ий</w:t>
            </w:r>
            <w:r w:rsidRPr="00BA2448">
              <w:rPr>
                <w:rFonts w:ascii="Times New Roman" w:hAnsi="Times New Roman"/>
                <w:i/>
                <w:iCs/>
                <w:sz w:val="20"/>
                <w:szCs w:val="20"/>
              </w:rPr>
              <w:t xml:space="preserve"> год</w:t>
            </w:r>
            <w:r>
              <w:rPr>
                <w:rFonts w:ascii="Times New Roman" w:hAnsi="Times New Roman"/>
                <w:i/>
                <w:iCs/>
                <w:sz w:val="20"/>
                <w:szCs w:val="20"/>
              </w:rPr>
              <w:t>.</w:t>
            </w:r>
          </w:p>
        </w:tc>
      </w:tr>
    </w:tbl>
    <w:p w14:paraId="2CEECE8D" w14:textId="77777777" w:rsidR="00DD4A91" w:rsidRDefault="00DD4A91" w:rsidP="00DD4A91">
      <w:pPr>
        <w:spacing w:after="0" w:line="240" w:lineRule="auto"/>
        <w:rPr>
          <w:rFonts w:ascii="Times New Roman" w:hAnsi="Times New Roman"/>
        </w:rPr>
      </w:pPr>
      <w:r>
        <w:rPr>
          <w:rFonts w:ascii="Times New Roman" w:hAnsi="Times New Roman"/>
        </w:rPr>
        <w:br w:type="page"/>
      </w:r>
    </w:p>
    <w:p w14:paraId="6076C4C6" w14:textId="77777777" w:rsidR="00FB28D8" w:rsidRPr="00B0658A" w:rsidRDefault="00411D4D" w:rsidP="00DD4A91">
      <w:pPr>
        <w:ind w:firstLine="709"/>
        <w:rPr>
          <w:rFonts w:ascii="Times New Roman" w:hAnsi="Times New Roman"/>
          <w:sz w:val="28"/>
        </w:rPr>
      </w:pPr>
      <w:r w:rsidRPr="00B0658A">
        <w:rPr>
          <w:rFonts w:ascii="Times New Roman" w:hAnsi="Times New Roman"/>
        </w:rPr>
        <w:t xml:space="preserve"> </w:t>
      </w:r>
      <w:r w:rsidRPr="00B0658A">
        <w:rPr>
          <w:rFonts w:ascii="Times New Roman" w:hAnsi="Times New Roman"/>
          <w:sz w:val="28"/>
          <w:szCs w:val="28"/>
        </w:rPr>
        <w:t>4</w:t>
      </w:r>
      <w:r w:rsidR="000D033A" w:rsidRPr="00B0658A">
        <w:rPr>
          <w:rFonts w:ascii="Times New Roman" w:hAnsi="Times New Roman"/>
          <w:sz w:val="28"/>
          <w:szCs w:val="28"/>
        </w:rPr>
        <w:t xml:space="preserve">. </w:t>
      </w:r>
      <w:r w:rsidR="00FB28D8" w:rsidRPr="00B0658A">
        <w:rPr>
          <w:rFonts w:ascii="Times New Roman" w:hAnsi="Times New Roman"/>
          <w:sz w:val="28"/>
          <w:szCs w:val="24"/>
        </w:rPr>
        <w:t xml:space="preserve">Сведения о достижении показателей эффективности перехода </w:t>
      </w:r>
      <w:r w:rsidR="00FB28D8" w:rsidRPr="00B0658A">
        <w:rPr>
          <w:rFonts w:ascii="Times New Roman" w:hAnsi="Times New Roman"/>
          <w:sz w:val="28"/>
          <w:szCs w:val="28"/>
        </w:rPr>
        <w:t>на использование российского ПО.</w:t>
      </w:r>
    </w:p>
    <w:tbl>
      <w:tblPr>
        <w:tblStyle w:val="afc"/>
        <w:tblW w:w="5000" w:type="pct"/>
        <w:tblLook w:val="0480" w:firstRow="0" w:lastRow="0" w:firstColumn="1" w:lastColumn="0" w:noHBand="0" w:noVBand="1"/>
      </w:tblPr>
      <w:tblGrid>
        <w:gridCol w:w="567"/>
        <w:gridCol w:w="3215"/>
        <w:gridCol w:w="1740"/>
        <w:gridCol w:w="3040"/>
        <w:gridCol w:w="2889"/>
        <w:gridCol w:w="2493"/>
      </w:tblGrid>
      <w:tr w:rsidR="00F52FED" w:rsidRPr="00B0658A" w14:paraId="5F82D8D8" w14:textId="77777777" w:rsidTr="00F57B1F">
        <w:trPr>
          <w:trHeight w:val="170"/>
          <w:tblHeader/>
        </w:trPr>
        <w:tc>
          <w:tcPr>
            <w:tcW w:w="203" w:type="pct"/>
            <w:vMerge w:val="restart"/>
            <w:shd w:val="clear" w:color="auto" w:fill="auto"/>
            <w:vAlign w:val="center"/>
          </w:tcPr>
          <w:p w14:paraId="4767B9B2" w14:textId="77777777" w:rsidR="00FB28D8" w:rsidRPr="00B0658A" w:rsidRDefault="00FB28D8" w:rsidP="000A4114">
            <w:pPr>
              <w:spacing w:after="0" w:line="240" w:lineRule="auto"/>
              <w:jc w:val="center"/>
              <w:rPr>
                <w:rFonts w:ascii="Times New Roman" w:hAnsi="Times New Roman"/>
                <w:b/>
                <w:bCs/>
                <w:sz w:val="20"/>
                <w:szCs w:val="20"/>
              </w:rPr>
            </w:pPr>
            <w:r w:rsidRPr="00B0658A">
              <w:rPr>
                <w:rFonts w:ascii="Times New Roman" w:hAnsi="Times New Roman"/>
                <w:b/>
                <w:bCs/>
                <w:sz w:val="20"/>
                <w:szCs w:val="20"/>
              </w:rPr>
              <w:t>№</w:t>
            </w:r>
          </w:p>
          <w:p w14:paraId="714BAC5D" w14:textId="77777777" w:rsidR="00FB28D8" w:rsidRPr="00B0658A" w:rsidRDefault="00FB28D8" w:rsidP="000A4114">
            <w:pPr>
              <w:spacing w:after="0" w:line="240" w:lineRule="auto"/>
              <w:jc w:val="center"/>
              <w:rPr>
                <w:rFonts w:ascii="Times New Roman" w:hAnsi="Times New Roman"/>
                <w:b/>
                <w:bCs/>
                <w:sz w:val="20"/>
                <w:szCs w:val="20"/>
              </w:rPr>
            </w:pPr>
          </w:p>
        </w:tc>
        <w:tc>
          <w:tcPr>
            <w:tcW w:w="1153" w:type="pct"/>
            <w:vMerge w:val="restart"/>
            <w:shd w:val="clear" w:color="auto" w:fill="auto"/>
            <w:vAlign w:val="center"/>
          </w:tcPr>
          <w:p w14:paraId="7F206FA8" w14:textId="77777777" w:rsidR="00FB28D8" w:rsidRPr="00B0658A" w:rsidRDefault="00FB28D8" w:rsidP="000A4114">
            <w:pPr>
              <w:spacing w:after="0" w:line="240" w:lineRule="auto"/>
              <w:jc w:val="center"/>
              <w:rPr>
                <w:rFonts w:ascii="Times New Roman" w:hAnsi="Times New Roman"/>
                <w:b/>
                <w:bCs/>
                <w:sz w:val="20"/>
                <w:szCs w:val="20"/>
              </w:rPr>
            </w:pPr>
            <w:r w:rsidRPr="00B0658A">
              <w:rPr>
                <w:rFonts w:ascii="Times New Roman" w:hAnsi="Times New Roman"/>
                <w:b/>
                <w:bCs/>
                <w:sz w:val="20"/>
                <w:szCs w:val="20"/>
              </w:rPr>
              <w:t xml:space="preserve">Наименование класса </w:t>
            </w:r>
            <w:r w:rsidRPr="00B0658A">
              <w:rPr>
                <w:rFonts w:ascii="Times New Roman" w:hAnsi="Times New Roman"/>
                <w:b/>
                <w:bCs/>
                <w:sz w:val="20"/>
                <w:szCs w:val="20"/>
                <w:lang w:val="en-US"/>
              </w:rPr>
              <w:t xml:space="preserve">/ </w:t>
            </w:r>
            <w:r w:rsidRPr="00B0658A">
              <w:rPr>
                <w:rFonts w:ascii="Times New Roman" w:hAnsi="Times New Roman"/>
                <w:b/>
                <w:bCs/>
                <w:sz w:val="20"/>
                <w:szCs w:val="20"/>
              </w:rPr>
              <w:t>типа ПО</w:t>
            </w:r>
          </w:p>
        </w:tc>
        <w:tc>
          <w:tcPr>
            <w:tcW w:w="624" w:type="pct"/>
            <w:vMerge w:val="restart"/>
          </w:tcPr>
          <w:p w14:paraId="1A68743F" w14:textId="77777777" w:rsidR="00FB28D8" w:rsidRPr="00B0658A" w:rsidRDefault="00FB28D8" w:rsidP="000A4114">
            <w:pPr>
              <w:spacing w:after="0" w:line="240" w:lineRule="auto"/>
              <w:jc w:val="center"/>
              <w:rPr>
                <w:rFonts w:ascii="Times New Roman" w:hAnsi="Times New Roman"/>
                <w:b/>
                <w:bCs/>
                <w:sz w:val="20"/>
                <w:szCs w:val="20"/>
              </w:rPr>
            </w:pPr>
            <w:r w:rsidRPr="00B0658A">
              <w:rPr>
                <w:rFonts w:ascii="Times New Roman" w:hAnsi="Times New Roman"/>
                <w:b/>
                <w:bCs/>
                <w:sz w:val="20"/>
                <w:szCs w:val="20"/>
              </w:rPr>
              <w:t>Единицы измерения уровня использования</w:t>
            </w:r>
          </w:p>
        </w:tc>
        <w:tc>
          <w:tcPr>
            <w:tcW w:w="2126" w:type="pct"/>
            <w:gridSpan w:val="2"/>
            <w:shd w:val="clear" w:color="auto" w:fill="auto"/>
            <w:vAlign w:val="center"/>
          </w:tcPr>
          <w:p w14:paraId="3440643D" w14:textId="77777777" w:rsidR="00FB28D8" w:rsidRPr="00B0658A" w:rsidRDefault="00FB28D8" w:rsidP="000A4114">
            <w:pPr>
              <w:spacing w:after="0" w:line="240" w:lineRule="auto"/>
              <w:jc w:val="center"/>
              <w:rPr>
                <w:rFonts w:ascii="Times New Roman" w:hAnsi="Times New Roman"/>
                <w:b/>
                <w:bCs/>
                <w:sz w:val="20"/>
                <w:szCs w:val="20"/>
              </w:rPr>
            </w:pPr>
            <w:r w:rsidRPr="00B0658A">
              <w:rPr>
                <w:rFonts w:ascii="Times New Roman" w:hAnsi="Times New Roman"/>
                <w:b/>
                <w:bCs/>
                <w:sz w:val="20"/>
                <w:szCs w:val="20"/>
              </w:rPr>
              <w:t>Сведения о достижении показателей эффективности перехода на использование российского ПО</w:t>
            </w:r>
          </w:p>
          <w:p w14:paraId="2552395A" w14:textId="77777777" w:rsidR="00FB28D8" w:rsidRPr="00B0658A" w:rsidRDefault="00FB28D8" w:rsidP="000A4114">
            <w:pPr>
              <w:spacing w:after="0" w:line="240" w:lineRule="auto"/>
              <w:jc w:val="center"/>
              <w:rPr>
                <w:rFonts w:ascii="Times New Roman" w:hAnsi="Times New Roman"/>
                <w:b/>
                <w:bCs/>
                <w:sz w:val="20"/>
                <w:szCs w:val="20"/>
              </w:rPr>
            </w:pPr>
            <w:r w:rsidRPr="00B0658A">
              <w:rPr>
                <w:rFonts w:ascii="Times New Roman" w:hAnsi="Times New Roman"/>
                <w:b/>
                <w:bCs/>
                <w:sz w:val="20"/>
                <w:szCs w:val="20"/>
              </w:rPr>
              <w:t>за _____ год</w:t>
            </w:r>
          </w:p>
        </w:tc>
        <w:tc>
          <w:tcPr>
            <w:tcW w:w="894" w:type="pct"/>
            <w:vMerge w:val="restart"/>
            <w:shd w:val="clear" w:color="auto" w:fill="auto"/>
            <w:vAlign w:val="center"/>
          </w:tcPr>
          <w:p w14:paraId="5E6EE638" w14:textId="77777777" w:rsidR="00FB28D8" w:rsidRPr="00B0658A" w:rsidRDefault="00FB28D8" w:rsidP="000A4114">
            <w:pPr>
              <w:spacing w:after="0" w:line="240" w:lineRule="auto"/>
              <w:jc w:val="center"/>
              <w:rPr>
                <w:rFonts w:ascii="Times New Roman" w:hAnsi="Times New Roman"/>
                <w:b/>
                <w:bCs/>
                <w:sz w:val="20"/>
                <w:szCs w:val="20"/>
              </w:rPr>
            </w:pPr>
            <w:r w:rsidRPr="00B0658A">
              <w:rPr>
                <w:rFonts w:ascii="Times New Roman" w:hAnsi="Times New Roman"/>
                <w:b/>
                <w:bCs/>
                <w:sz w:val="20"/>
                <w:szCs w:val="20"/>
              </w:rPr>
              <w:t>Сведения о российском/евразийском ПО, на использование которого был осуществлен переход</w:t>
            </w:r>
          </w:p>
        </w:tc>
      </w:tr>
      <w:tr w:rsidR="00F52FED" w:rsidRPr="00B0658A" w14:paraId="3BD2E678" w14:textId="77777777" w:rsidTr="00B10FDE">
        <w:trPr>
          <w:trHeight w:val="170"/>
        </w:trPr>
        <w:tc>
          <w:tcPr>
            <w:tcW w:w="203" w:type="pct"/>
            <w:vMerge/>
            <w:shd w:val="clear" w:color="auto" w:fill="auto"/>
          </w:tcPr>
          <w:p w14:paraId="39C5C2E4" w14:textId="77777777" w:rsidR="00FB28D8" w:rsidRPr="00B0658A" w:rsidRDefault="00FB28D8" w:rsidP="000A4114">
            <w:pPr>
              <w:spacing w:after="0" w:line="240" w:lineRule="auto"/>
              <w:rPr>
                <w:rFonts w:ascii="Times New Roman" w:hAnsi="Times New Roman"/>
                <w:b/>
                <w:bCs/>
                <w:sz w:val="20"/>
                <w:szCs w:val="20"/>
              </w:rPr>
            </w:pPr>
          </w:p>
        </w:tc>
        <w:tc>
          <w:tcPr>
            <w:tcW w:w="1153" w:type="pct"/>
            <w:vMerge/>
            <w:shd w:val="clear" w:color="auto" w:fill="auto"/>
          </w:tcPr>
          <w:p w14:paraId="72D2784C" w14:textId="77777777" w:rsidR="00FB28D8" w:rsidRPr="00B0658A" w:rsidRDefault="00FB28D8" w:rsidP="000A4114">
            <w:pPr>
              <w:spacing w:after="0" w:line="240" w:lineRule="auto"/>
              <w:rPr>
                <w:rFonts w:ascii="Times New Roman" w:hAnsi="Times New Roman"/>
                <w:b/>
                <w:bCs/>
                <w:sz w:val="20"/>
                <w:szCs w:val="20"/>
              </w:rPr>
            </w:pPr>
          </w:p>
        </w:tc>
        <w:tc>
          <w:tcPr>
            <w:tcW w:w="624" w:type="pct"/>
            <w:vMerge/>
          </w:tcPr>
          <w:p w14:paraId="0F5DE2CA" w14:textId="77777777" w:rsidR="00FB28D8" w:rsidRPr="00B0658A" w:rsidRDefault="00FB28D8" w:rsidP="000A4114">
            <w:pPr>
              <w:spacing w:after="0" w:line="240" w:lineRule="auto"/>
              <w:jc w:val="center"/>
              <w:rPr>
                <w:rFonts w:ascii="Times New Roman" w:hAnsi="Times New Roman"/>
                <w:b/>
                <w:bCs/>
                <w:sz w:val="20"/>
                <w:szCs w:val="20"/>
              </w:rPr>
            </w:pPr>
          </w:p>
        </w:tc>
        <w:tc>
          <w:tcPr>
            <w:tcW w:w="1090" w:type="pct"/>
            <w:shd w:val="clear" w:color="auto" w:fill="auto"/>
            <w:vAlign w:val="center"/>
          </w:tcPr>
          <w:p w14:paraId="1FD21782" w14:textId="77777777" w:rsidR="00FB28D8" w:rsidRPr="00B0658A" w:rsidRDefault="00FB28D8" w:rsidP="000A4114">
            <w:pPr>
              <w:spacing w:after="0" w:line="240" w:lineRule="auto"/>
              <w:jc w:val="center"/>
              <w:rPr>
                <w:rFonts w:ascii="Times New Roman" w:hAnsi="Times New Roman"/>
                <w:b/>
                <w:bCs/>
                <w:sz w:val="20"/>
                <w:szCs w:val="20"/>
              </w:rPr>
            </w:pPr>
            <w:r w:rsidRPr="00B0658A">
              <w:rPr>
                <w:rFonts w:ascii="Times New Roman" w:hAnsi="Times New Roman"/>
                <w:b/>
                <w:bCs/>
                <w:sz w:val="20"/>
                <w:szCs w:val="20"/>
              </w:rPr>
              <w:t>План</w:t>
            </w:r>
          </w:p>
        </w:tc>
        <w:tc>
          <w:tcPr>
            <w:tcW w:w="1036" w:type="pct"/>
            <w:shd w:val="clear" w:color="auto" w:fill="auto"/>
          </w:tcPr>
          <w:p w14:paraId="59DC8B93" w14:textId="77777777" w:rsidR="00FB28D8" w:rsidRPr="00B0658A" w:rsidRDefault="00FB28D8" w:rsidP="000A4114">
            <w:pPr>
              <w:spacing w:after="0" w:line="240" w:lineRule="auto"/>
              <w:jc w:val="center"/>
              <w:rPr>
                <w:rFonts w:ascii="Times New Roman" w:hAnsi="Times New Roman"/>
                <w:b/>
                <w:bCs/>
                <w:sz w:val="20"/>
                <w:szCs w:val="20"/>
              </w:rPr>
            </w:pPr>
            <w:r w:rsidRPr="00B0658A">
              <w:rPr>
                <w:rFonts w:ascii="Times New Roman" w:hAnsi="Times New Roman"/>
                <w:b/>
                <w:bCs/>
                <w:sz w:val="20"/>
                <w:szCs w:val="20"/>
              </w:rPr>
              <w:t>Факт</w:t>
            </w:r>
          </w:p>
        </w:tc>
        <w:tc>
          <w:tcPr>
            <w:tcW w:w="894" w:type="pct"/>
            <w:vMerge/>
            <w:shd w:val="clear" w:color="auto" w:fill="auto"/>
          </w:tcPr>
          <w:p w14:paraId="7CE36CD3" w14:textId="77777777" w:rsidR="00FB28D8" w:rsidRPr="00B0658A" w:rsidRDefault="00FB28D8" w:rsidP="000A4114">
            <w:pPr>
              <w:spacing w:after="0" w:line="240" w:lineRule="auto"/>
              <w:rPr>
                <w:rFonts w:ascii="Times New Roman" w:hAnsi="Times New Roman"/>
                <w:b/>
                <w:bCs/>
                <w:sz w:val="20"/>
                <w:szCs w:val="20"/>
              </w:rPr>
            </w:pPr>
          </w:p>
        </w:tc>
      </w:tr>
      <w:tr w:rsidR="00F52FED" w:rsidRPr="00B0658A" w14:paraId="1458B432" w14:textId="77777777" w:rsidTr="00B10FDE">
        <w:trPr>
          <w:trHeight w:val="170"/>
        </w:trPr>
        <w:tc>
          <w:tcPr>
            <w:tcW w:w="203" w:type="pct"/>
            <w:shd w:val="clear" w:color="auto" w:fill="auto"/>
            <w:vAlign w:val="center"/>
          </w:tcPr>
          <w:p w14:paraId="24E06156" w14:textId="77777777" w:rsidR="00FB28D8" w:rsidRPr="00B0658A" w:rsidRDefault="00FB28D8" w:rsidP="000A4114">
            <w:pPr>
              <w:spacing w:after="0" w:line="240" w:lineRule="auto"/>
              <w:rPr>
                <w:rFonts w:ascii="Times New Roman" w:hAnsi="Times New Roman"/>
                <w:sz w:val="20"/>
                <w:szCs w:val="20"/>
              </w:rPr>
            </w:pPr>
            <w:r w:rsidRPr="00B0658A">
              <w:rPr>
                <w:rFonts w:ascii="Times New Roman" w:hAnsi="Times New Roman"/>
                <w:sz w:val="20"/>
                <w:szCs w:val="20"/>
              </w:rPr>
              <w:t>1.1</w:t>
            </w:r>
          </w:p>
        </w:tc>
        <w:tc>
          <w:tcPr>
            <w:tcW w:w="1153" w:type="pct"/>
            <w:shd w:val="clear" w:color="auto" w:fill="auto"/>
            <w:vAlign w:val="center"/>
          </w:tcPr>
          <w:p w14:paraId="4F02EE9E" w14:textId="77777777" w:rsidR="00FB28D8" w:rsidRPr="00B0658A" w:rsidRDefault="00FB28D8" w:rsidP="000A4114">
            <w:pPr>
              <w:spacing w:after="0" w:line="240" w:lineRule="auto"/>
              <w:rPr>
                <w:rFonts w:ascii="Times New Roman" w:hAnsi="Times New Roman"/>
                <w:i/>
                <w:sz w:val="20"/>
                <w:szCs w:val="20"/>
              </w:rPr>
            </w:pPr>
            <w:r w:rsidRPr="00B0658A">
              <w:rPr>
                <w:rFonts w:ascii="Times New Roman" w:hAnsi="Times New Roman"/>
                <w:sz w:val="20"/>
                <w:szCs w:val="20"/>
              </w:rPr>
              <w:t>Встроенное программное обеспечение/ Встроенные системные программы: BIOS, UEFI и иные встроенные системные программы</w:t>
            </w:r>
          </w:p>
        </w:tc>
        <w:tc>
          <w:tcPr>
            <w:tcW w:w="624" w:type="pct"/>
          </w:tcPr>
          <w:p w14:paraId="3E88FD17" w14:textId="77777777" w:rsidR="00FB28D8" w:rsidRPr="00B0658A" w:rsidRDefault="00FB28D8" w:rsidP="000A4114">
            <w:pPr>
              <w:spacing w:after="0" w:line="240" w:lineRule="auto"/>
              <w:rPr>
                <w:rFonts w:ascii="Times New Roman" w:hAnsi="Times New Roman"/>
                <w:i/>
                <w:iCs/>
                <w:sz w:val="20"/>
                <w:szCs w:val="20"/>
              </w:rPr>
            </w:pPr>
            <w:r w:rsidRPr="00B0658A">
              <w:rPr>
                <w:rFonts w:ascii="Times New Roman" w:hAnsi="Times New Roman"/>
                <w:i/>
                <w:iCs/>
                <w:sz w:val="20"/>
                <w:szCs w:val="20"/>
              </w:rPr>
              <w:t xml:space="preserve">Указывается единица измерения уровня использования </w:t>
            </w:r>
          </w:p>
        </w:tc>
        <w:tc>
          <w:tcPr>
            <w:tcW w:w="1090" w:type="pct"/>
            <w:shd w:val="clear" w:color="auto" w:fill="auto"/>
          </w:tcPr>
          <w:p w14:paraId="28621F18" w14:textId="77777777" w:rsidR="00FB28D8" w:rsidRPr="00B0658A" w:rsidRDefault="00FB28D8" w:rsidP="000A4114">
            <w:pPr>
              <w:spacing w:after="0" w:line="240" w:lineRule="auto"/>
              <w:rPr>
                <w:rFonts w:ascii="Times New Roman" w:hAnsi="Times New Roman"/>
                <w:i/>
                <w:iCs/>
                <w:sz w:val="20"/>
                <w:szCs w:val="20"/>
              </w:rPr>
            </w:pPr>
            <w:r w:rsidRPr="00B0658A">
              <w:rPr>
                <w:rFonts w:ascii="Times New Roman" w:hAnsi="Times New Roman"/>
                <w:i/>
                <w:iCs/>
                <w:sz w:val="20"/>
                <w:szCs w:val="20"/>
              </w:rPr>
              <w:t xml:space="preserve">Указывается плановое значение показателя эффективности на соответствующий год для соответствующего класса ПО в соответствии с утвержденным планом перехода </w:t>
            </w:r>
            <w:r w:rsidR="00D92508" w:rsidRPr="00B0658A">
              <w:rPr>
                <w:rFonts w:ascii="Times New Roman" w:hAnsi="Times New Roman"/>
                <w:i/>
                <w:iCs/>
                <w:sz w:val="20"/>
                <w:szCs w:val="20"/>
              </w:rPr>
              <w:t xml:space="preserve">подведомственной организации </w:t>
            </w:r>
            <w:r w:rsidRPr="00B0658A">
              <w:rPr>
                <w:rFonts w:ascii="Times New Roman" w:hAnsi="Times New Roman"/>
                <w:i/>
                <w:iCs/>
                <w:sz w:val="20"/>
                <w:szCs w:val="20"/>
              </w:rPr>
              <w:t>на использование российского ПО.</w:t>
            </w:r>
          </w:p>
          <w:p w14:paraId="574F96FC" w14:textId="77777777" w:rsidR="00FB28D8" w:rsidRPr="00B0658A" w:rsidRDefault="00FB28D8" w:rsidP="000A4114">
            <w:pPr>
              <w:spacing w:after="0" w:line="240" w:lineRule="auto"/>
              <w:rPr>
                <w:rFonts w:ascii="Times New Roman" w:hAnsi="Times New Roman"/>
                <w:i/>
                <w:iCs/>
                <w:sz w:val="20"/>
                <w:szCs w:val="20"/>
              </w:rPr>
            </w:pPr>
            <w:r w:rsidRPr="00B0658A">
              <w:rPr>
                <w:rFonts w:ascii="Times New Roman" w:hAnsi="Times New Roman"/>
                <w:i/>
                <w:iCs/>
                <w:sz w:val="20"/>
                <w:szCs w:val="20"/>
              </w:rPr>
              <w:t>В случае, если для соответствующего показателя ранее было установлено значение «не используется» указывается «не используется»</w:t>
            </w:r>
          </w:p>
        </w:tc>
        <w:tc>
          <w:tcPr>
            <w:tcW w:w="1036" w:type="pct"/>
            <w:shd w:val="clear" w:color="auto" w:fill="auto"/>
          </w:tcPr>
          <w:p w14:paraId="23603563" w14:textId="77777777" w:rsidR="00FB28D8" w:rsidRPr="00B0658A" w:rsidRDefault="00FB28D8" w:rsidP="000A4114">
            <w:pPr>
              <w:spacing w:after="0" w:line="240" w:lineRule="auto"/>
              <w:rPr>
                <w:rFonts w:ascii="Times New Roman" w:hAnsi="Times New Roman"/>
                <w:i/>
                <w:iCs/>
                <w:sz w:val="20"/>
                <w:szCs w:val="20"/>
              </w:rPr>
            </w:pPr>
            <w:r w:rsidRPr="00B0658A">
              <w:rPr>
                <w:rFonts w:ascii="Times New Roman" w:hAnsi="Times New Roman"/>
                <w:i/>
                <w:iCs/>
                <w:sz w:val="20"/>
                <w:szCs w:val="20"/>
              </w:rPr>
              <w:t>Указывается фактически достигнутое значение показателя использования российского ПО по итогам соответствующего отчетного периода. Данные устанавливаются накопленным итогом с учетом достигнутых результатов в прошлых периодах.</w:t>
            </w:r>
          </w:p>
          <w:p w14:paraId="3CECE9C3" w14:textId="77777777" w:rsidR="00FB28D8" w:rsidRPr="00B0658A" w:rsidRDefault="00FB28D8" w:rsidP="000A4114">
            <w:pPr>
              <w:spacing w:after="0" w:line="240" w:lineRule="auto"/>
              <w:rPr>
                <w:rFonts w:ascii="Times New Roman" w:hAnsi="Times New Roman"/>
                <w:i/>
                <w:iCs/>
                <w:sz w:val="20"/>
                <w:szCs w:val="20"/>
              </w:rPr>
            </w:pPr>
            <w:r w:rsidRPr="00B0658A">
              <w:rPr>
                <w:rFonts w:ascii="Times New Roman" w:hAnsi="Times New Roman"/>
                <w:i/>
                <w:iCs/>
                <w:sz w:val="20"/>
                <w:szCs w:val="20"/>
              </w:rPr>
              <w:t>В случае, если для соответствующего показателя ранее было установлено значение «не используется» указывается «не используется»</w:t>
            </w:r>
          </w:p>
        </w:tc>
        <w:tc>
          <w:tcPr>
            <w:tcW w:w="894" w:type="pct"/>
            <w:shd w:val="clear" w:color="auto" w:fill="auto"/>
          </w:tcPr>
          <w:p w14:paraId="67D0ACAA" w14:textId="77777777" w:rsidR="00FB28D8" w:rsidRPr="00B0658A" w:rsidRDefault="00FB28D8" w:rsidP="000A4114">
            <w:pPr>
              <w:spacing w:after="0" w:line="240" w:lineRule="auto"/>
              <w:jc w:val="both"/>
              <w:rPr>
                <w:rFonts w:ascii="Times New Roman" w:hAnsi="Times New Roman"/>
                <w:i/>
                <w:iCs/>
                <w:sz w:val="20"/>
                <w:szCs w:val="20"/>
              </w:rPr>
            </w:pPr>
            <w:r w:rsidRPr="00B0658A">
              <w:rPr>
                <w:rFonts w:ascii="Times New Roman" w:hAnsi="Times New Roman"/>
                <w:i/>
                <w:iCs/>
                <w:sz w:val="20"/>
                <w:szCs w:val="20"/>
              </w:rPr>
              <w:t>Указывается следующая информация:</w:t>
            </w:r>
          </w:p>
          <w:p w14:paraId="4B7CD2E5" w14:textId="77777777" w:rsidR="00FB28D8" w:rsidRPr="00B0658A" w:rsidRDefault="00FB28D8" w:rsidP="000A4114">
            <w:pPr>
              <w:spacing w:after="0" w:line="240" w:lineRule="auto"/>
              <w:jc w:val="both"/>
              <w:rPr>
                <w:rFonts w:ascii="Times New Roman" w:hAnsi="Times New Roman"/>
                <w:i/>
                <w:iCs/>
                <w:sz w:val="20"/>
                <w:szCs w:val="20"/>
              </w:rPr>
            </w:pPr>
            <w:r w:rsidRPr="00B0658A">
              <w:rPr>
                <w:rFonts w:ascii="Times New Roman" w:hAnsi="Times New Roman"/>
                <w:i/>
                <w:iCs/>
                <w:sz w:val="20"/>
                <w:szCs w:val="20"/>
              </w:rPr>
              <w:t>1. Наименование иностранного ПО, которое было замещено;</w:t>
            </w:r>
          </w:p>
          <w:p w14:paraId="0EB36C91" w14:textId="77777777" w:rsidR="00FB28D8" w:rsidRPr="00B0658A" w:rsidRDefault="00FB28D8" w:rsidP="000A4114">
            <w:pPr>
              <w:spacing w:after="0" w:line="240" w:lineRule="auto"/>
              <w:jc w:val="both"/>
              <w:rPr>
                <w:rFonts w:ascii="Times New Roman" w:hAnsi="Times New Roman"/>
                <w:i/>
                <w:iCs/>
                <w:sz w:val="20"/>
                <w:szCs w:val="20"/>
              </w:rPr>
            </w:pPr>
            <w:r w:rsidRPr="00B0658A">
              <w:rPr>
                <w:rFonts w:ascii="Times New Roman" w:hAnsi="Times New Roman"/>
                <w:i/>
                <w:iCs/>
                <w:sz w:val="20"/>
                <w:szCs w:val="20"/>
              </w:rPr>
              <w:t>2. Наименование российского ПО и евразийского ПО (на значимых объектах КИИ), на которое был осуществлен переход, с указанием сведений о номерах записей в едином реестре российского ПО и в едином реестре евразийского ПО соответственно.</w:t>
            </w:r>
          </w:p>
        </w:tc>
      </w:tr>
      <w:tr w:rsidR="00F52FED" w:rsidRPr="00B0658A" w14:paraId="7E6CAF4C" w14:textId="77777777" w:rsidTr="00B10FDE">
        <w:trPr>
          <w:trHeight w:val="170"/>
        </w:trPr>
        <w:tc>
          <w:tcPr>
            <w:tcW w:w="203" w:type="pct"/>
            <w:shd w:val="clear" w:color="auto" w:fill="auto"/>
            <w:vAlign w:val="center"/>
          </w:tcPr>
          <w:p w14:paraId="2A059A83" w14:textId="77777777" w:rsidR="00FB28D8" w:rsidRPr="00B0658A" w:rsidRDefault="00FB28D8" w:rsidP="000A4114">
            <w:pPr>
              <w:spacing w:after="0" w:line="240" w:lineRule="auto"/>
              <w:rPr>
                <w:rFonts w:ascii="Times New Roman" w:hAnsi="Times New Roman"/>
                <w:sz w:val="20"/>
                <w:szCs w:val="20"/>
              </w:rPr>
            </w:pPr>
            <w:r w:rsidRPr="00B0658A">
              <w:rPr>
                <w:rFonts w:ascii="Times New Roman" w:hAnsi="Times New Roman"/>
                <w:sz w:val="20"/>
                <w:szCs w:val="20"/>
              </w:rPr>
              <w:t>1.2</w:t>
            </w:r>
          </w:p>
        </w:tc>
        <w:tc>
          <w:tcPr>
            <w:tcW w:w="1153" w:type="pct"/>
            <w:shd w:val="clear" w:color="auto" w:fill="auto"/>
            <w:vAlign w:val="center"/>
          </w:tcPr>
          <w:p w14:paraId="34055DD8" w14:textId="77777777" w:rsidR="00FB28D8" w:rsidRPr="00B0658A" w:rsidRDefault="00FB28D8" w:rsidP="000A4114">
            <w:pPr>
              <w:spacing w:after="0" w:line="240" w:lineRule="auto"/>
              <w:rPr>
                <w:rFonts w:ascii="Times New Roman" w:hAnsi="Times New Roman"/>
                <w:i/>
                <w:iCs/>
                <w:sz w:val="20"/>
                <w:szCs w:val="20"/>
              </w:rPr>
            </w:pPr>
            <w:r w:rsidRPr="00B0658A">
              <w:rPr>
                <w:rFonts w:ascii="Times New Roman" w:hAnsi="Times New Roman"/>
                <w:sz w:val="20"/>
                <w:szCs w:val="20"/>
              </w:rPr>
              <w:t>Встроенное программное обеспечение/ Встроенные системные программы – операционные системы</w:t>
            </w:r>
          </w:p>
        </w:tc>
        <w:tc>
          <w:tcPr>
            <w:tcW w:w="624" w:type="pct"/>
          </w:tcPr>
          <w:p w14:paraId="4CEE0188" w14:textId="77777777" w:rsidR="00FB28D8" w:rsidRPr="00B0658A" w:rsidRDefault="00FB28D8" w:rsidP="000A4114">
            <w:pPr>
              <w:spacing w:after="0" w:line="240" w:lineRule="auto"/>
              <w:rPr>
                <w:rFonts w:ascii="Times New Roman" w:hAnsi="Times New Roman"/>
                <w:i/>
                <w:iCs/>
                <w:sz w:val="20"/>
                <w:szCs w:val="20"/>
              </w:rPr>
            </w:pPr>
          </w:p>
        </w:tc>
        <w:tc>
          <w:tcPr>
            <w:tcW w:w="1090" w:type="pct"/>
            <w:shd w:val="clear" w:color="auto" w:fill="auto"/>
          </w:tcPr>
          <w:p w14:paraId="61BDA4FB" w14:textId="77777777" w:rsidR="00FB28D8" w:rsidRPr="00B0658A" w:rsidRDefault="00FB28D8" w:rsidP="000A4114">
            <w:pPr>
              <w:spacing w:after="0" w:line="240" w:lineRule="auto"/>
              <w:rPr>
                <w:rFonts w:ascii="Times New Roman" w:hAnsi="Times New Roman"/>
                <w:i/>
                <w:iCs/>
                <w:sz w:val="20"/>
                <w:szCs w:val="20"/>
              </w:rPr>
            </w:pPr>
          </w:p>
        </w:tc>
        <w:tc>
          <w:tcPr>
            <w:tcW w:w="1036" w:type="pct"/>
            <w:shd w:val="clear" w:color="auto" w:fill="auto"/>
          </w:tcPr>
          <w:p w14:paraId="436F2493" w14:textId="77777777" w:rsidR="00FB28D8" w:rsidRPr="00B0658A" w:rsidRDefault="00FB28D8" w:rsidP="000A4114">
            <w:pPr>
              <w:spacing w:after="0" w:line="240" w:lineRule="auto"/>
              <w:rPr>
                <w:rFonts w:ascii="Times New Roman" w:hAnsi="Times New Roman"/>
                <w:i/>
                <w:iCs/>
                <w:sz w:val="20"/>
                <w:szCs w:val="20"/>
              </w:rPr>
            </w:pPr>
          </w:p>
        </w:tc>
        <w:tc>
          <w:tcPr>
            <w:tcW w:w="894" w:type="pct"/>
            <w:shd w:val="clear" w:color="auto" w:fill="auto"/>
          </w:tcPr>
          <w:p w14:paraId="19DAEAC1" w14:textId="77777777" w:rsidR="00FB28D8" w:rsidRPr="00B0658A" w:rsidRDefault="00FB28D8" w:rsidP="000A4114">
            <w:pPr>
              <w:spacing w:after="0" w:line="240" w:lineRule="auto"/>
              <w:jc w:val="both"/>
              <w:rPr>
                <w:rFonts w:ascii="Times New Roman" w:hAnsi="Times New Roman"/>
                <w:i/>
                <w:iCs/>
                <w:sz w:val="20"/>
                <w:szCs w:val="20"/>
              </w:rPr>
            </w:pPr>
          </w:p>
        </w:tc>
      </w:tr>
      <w:tr w:rsidR="00F52FED" w:rsidRPr="00B0658A" w14:paraId="29D1E7A1" w14:textId="77777777" w:rsidTr="00B10FDE">
        <w:trPr>
          <w:trHeight w:val="170"/>
        </w:trPr>
        <w:tc>
          <w:tcPr>
            <w:tcW w:w="203" w:type="pct"/>
            <w:shd w:val="clear" w:color="auto" w:fill="auto"/>
            <w:vAlign w:val="center"/>
          </w:tcPr>
          <w:p w14:paraId="2A8DF7DD" w14:textId="77777777" w:rsidR="00FB28D8" w:rsidRPr="00B0658A" w:rsidRDefault="00FB28D8" w:rsidP="000A4114">
            <w:pPr>
              <w:spacing w:after="0" w:line="240" w:lineRule="auto"/>
              <w:rPr>
                <w:rFonts w:ascii="Times New Roman" w:hAnsi="Times New Roman"/>
                <w:sz w:val="20"/>
                <w:szCs w:val="20"/>
              </w:rPr>
            </w:pPr>
            <w:r w:rsidRPr="00B0658A">
              <w:rPr>
                <w:rFonts w:ascii="Times New Roman" w:hAnsi="Times New Roman"/>
                <w:sz w:val="20"/>
                <w:szCs w:val="20"/>
              </w:rPr>
              <w:t>1.3</w:t>
            </w:r>
          </w:p>
        </w:tc>
        <w:tc>
          <w:tcPr>
            <w:tcW w:w="1153" w:type="pct"/>
            <w:shd w:val="clear" w:color="auto" w:fill="auto"/>
            <w:vAlign w:val="center"/>
          </w:tcPr>
          <w:p w14:paraId="236A9980" w14:textId="77777777" w:rsidR="00FB28D8" w:rsidRPr="00B0658A" w:rsidRDefault="00FB28D8" w:rsidP="000A4114">
            <w:pPr>
              <w:spacing w:after="0" w:line="240" w:lineRule="auto"/>
              <w:rPr>
                <w:rFonts w:ascii="Times New Roman" w:hAnsi="Times New Roman"/>
                <w:i/>
                <w:iCs/>
                <w:sz w:val="20"/>
                <w:szCs w:val="20"/>
              </w:rPr>
            </w:pPr>
            <w:r w:rsidRPr="00B0658A">
              <w:rPr>
                <w:rFonts w:ascii="Times New Roman" w:hAnsi="Times New Roman"/>
                <w:sz w:val="20"/>
                <w:szCs w:val="20"/>
              </w:rPr>
              <w:t>Встроенное программное обеспечение/ Встроенные прикладные программы</w:t>
            </w:r>
          </w:p>
        </w:tc>
        <w:tc>
          <w:tcPr>
            <w:tcW w:w="624" w:type="pct"/>
          </w:tcPr>
          <w:p w14:paraId="4B8F9087" w14:textId="77777777" w:rsidR="00FB28D8" w:rsidRPr="00B0658A" w:rsidRDefault="00FB28D8" w:rsidP="000A4114">
            <w:pPr>
              <w:spacing w:after="0" w:line="240" w:lineRule="auto"/>
              <w:rPr>
                <w:rFonts w:ascii="Times New Roman" w:hAnsi="Times New Roman"/>
                <w:i/>
                <w:iCs/>
                <w:sz w:val="20"/>
                <w:szCs w:val="20"/>
              </w:rPr>
            </w:pPr>
          </w:p>
        </w:tc>
        <w:tc>
          <w:tcPr>
            <w:tcW w:w="1090" w:type="pct"/>
            <w:shd w:val="clear" w:color="auto" w:fill="auto"/>
          </w:tcPr>
          <w:p w14:paraId="5DA85A64" w14:textId="77777777" w:rsidR="00FB28D8" w:rsidRPr="00B0658A" w:rsidRDefault="00FB28D8" w:rsidP="000A4114">
            <w:pPr>
              <w:spacing w:after="0" w:line="240" w:lineRule="auto"/>
              <w:rPr>
                <w:rFonts w:ascii="Times New Roman" w:hAnsi="Times New Roman"/>
                <w:i/>
                <w:iCs/>
                <w:sz w:val="20"/>
                <w:szCs w:val="20"/>
              </w:rPr>
            </w:pPr>
          </w:p>
        </w:tc>
        <w:tc>
          <w:tcPr>
            <w:tcW w:w="1036" w:type="pct"/>
            <w:shd w:val="clear" w:color="auto" w:fill="auto"/>
          </w:tcPr>
          <w:p w14:paraId="1EA095E2" w14:textId="77777777" w:rsidR="00FB28D8" w:rsidRPr="00B0658A" w:rsidRDefault="00FB28D8" w:rsidP="000A4114">
            <w:pPr>
              <w:spacing w:after="0" w:line="240" w:lineRule="auto"/>
              <w:rPr>
                <w:rFonts w:ascii="Times New Roman" w:hAnsi="Times New Roman"/>
                <w:i/>
                <w:iCs/>
                <w:sz w:val="20"/>
                <w:szCs w:val="20"/>
              </w:rPr>
            </w:pPr>
          </w:p>
        </w:tc>
        <w:tc>
          <w:tcPr>
            <w:tcW w:w="894" w:type="pct"/>
            <w:shd w:val="clear" w:color="auto" w:fill="auto"/>
          </w:tcPr>
          <w:p w14:paraId="11A2B3A1" w14:textId="77777777" w:rsidR="00FB28D8" w:rsidRPr="00B0658A" w:rsidRDefault="00FB28D8" w:rsidP="000A4114">
            <w:pPr>
              <w:spacing w:after="0" w:line="240" w:lineRule="auto"/>
              <w:jc w:val="both"/>
              <w:rPr>
                <w:rFonts w:ascii="Times New Roman" w:hAnsi="Times New Roman"/>
                <w:i/>
                <w:iCs/>
                <w:sz w:val="20"/>
                <w:szCs w:val="20"/>
              </w:rPr>
            </w:pPr>
          </w:p>
        </w:tc>
      </w:tr>
      <w:tr w:rsidR="00F52FED" w:rsidRPr="00B0658A" w14:paraId="2FD43369" w14:textId="77777777" w:rsidTr="00B10FDE">
        <w:trPr>
          <w:trHeight w:val="170"/>
        </w:trPr>
        <w:tc>
          <w:tcPr>
            <w:tcW w:w="203" w:type="pct"/>
            <w:shd w:val="clear" w:color="auto" w:fill="auto"/>
            <w:vAlign w:val="center"/>
          </w:tcPr>
          <w:p w14:paraId="74AFD18B" w14:textId="77777777" w:rsidR="00FB28D8" w:rsidRPr="00B0658A" w:rsidRDefault="00FB28D8" w:rsidP="000A4114">
            <w:pPr>
              <w:spacing w:after="0" w:line="240" w:lineRule="auto"/>
              <w:rPr>
                <w:rFonts w:ascii="Times New Roman" w:hAnsi="Times New Roman"/>
                <w:sz w:val="20"/>
                <w:szCs w:val="20"/>
              </w:rPr>
            </w:pPr>
            <w:r w:rsidRPr="00B0658A">
              <w:rPr>
                <w:rFonts w:ascii="Times New Roman" w:hAnsi="Times New Roman"/>
                <w:sz w:val="20"/>
                <w:szCs w:val="20"/>
              </w:rPr>
              <w:t>1.4</w:t>
            </w:r>
          </w:p>
        </w:tc>
        <w:tc>
          <w:tcPr>
            <w:tcW w:w="1153" w:type="pct"/>
            <w:shd w:val="clear" w:color="auto" w:fill="auto"/>
            <w:vAlign w:val="center"/>
          </w:tcPr>
          <w:p w14:paraId="1806BB55" w14:textId="77777777" w:rsidR="00FB28D8" w:rsidRPr="00B0658A" w:rsidRDefault="00FB28D8" w:rsidP="000A4114">
            <w:pPr>
              <w:spacing w:after="0" w:line="240" w:lineRule="auto"/>
              <w:rPr>
                <w:rFonts w:ascii="Times New Roman" w:hAnsi="Times New Roman"/>
                <w:i/>
                <w:iCs/>
                <w:sz w:val="20"/>
                <w:szCs w:val="20"/>
              </w:rPr>
            </w:pPr>
            <w:r w:rsidRPr="00B0658A">
              <w:rPr>
                <w:rFonts w:ascii="Times New Roman" w:hAnsi="Times New Roman"/>
                <w:sz w:val="20"/>
                <w:szCs w:val="20"/>
              </w:rPr>
              <w:t>Встроенное программное обеспечение/ Программное обеспечение интернета вещей, робототехники и сенсорики</w:t>
            </w:r>
          </w:p>
        </w:tc>
        <w:tc>
          <w:tcPr>
            <w:tcW w:w="624" w:type="pct"/>
          </w:tcPr>
          <w:p w14:paraId="554D6CD7" w14:textId="77777777" w:rsidR="00FB28D8" w:rsidRPr="00B0658A" w:rsidRDefault="00FB28D8" w:rsidP="000A4114">
            <w:pPr>
              <w:spacing w:after="0" w:line="240" w:lineRule="auto"/>
              <w:rPr>
                <w:rFonts w:ascii="Times New Roman" w:hAnsi="Times New Roman"/>
                <w:i/>
                <w:iCs/>
                <w:sz w:val="20"/>
                <w:szCs w:val="20"/>
              </w:rPr>
            </w:pPr>
          </w:p>
        </w:tc>
        <w:tc>
          <w:tcPr>
            <w:tcW w:w="1090" w:type="pct"/>
            <w:shd w:val="clear" w:color="auto" w:fill="auto"/>
          </w:tcPr>
          <w:p w14:paraId="16556074" w14:textId="77777777" w:rsidR="00FB28D8" w:rsidRPr="00B0658A" w:rsidRDefault="00FB28D8" w:rsidP="000A4114">
            <w:pPr>
              <w:spacing w:after="0" w:line="240" w:lineRule="auto"/>
              <w:rPr>
                <w:rFonts w:ascii="Times New Roman" w:hAnsi="Times New Roman"/>
                <w:i/>
                <w:iCs/>
                <w:sz w:val="20"/>
                <w:szCs w:val="20"/>
              </w:rPr>
            </w:pPr>
          </w:p>
        </w:tc>
        <w:tc>
          <w:tcPr>
            <w:tcW w:w="1036" w:type="pct"/>
            <w:shd w:val="clear" w:color="auto" w:fill="auto"/>
          </w:tcPr>
          <w:p w14:paraId="64620EA4" w14:textId="77777777" w:rsidR="00FB28D8" w:rsidRPr="00B0658A" w:rsidRDefault="00FB28D8" w:rsidP="000A4114">
            <w:pPr>
              <w:spacing w:after="0" w:line="240" w:lineRule="auto"/>
              <w:rPr>
                <w:rFonts w:ascii="Times New Roman" w:hAnsi="Times New Roman"/>
                <w:i/>
                <w:iCs/>
                <w:sz w:val="20"/>
                <w:szCs w:val="20"/>
              </w:rPr>
            </w:pPr>
          </w:p>
        </w:tc>
        <w:tc>
          <w:tcPr>
            <w:tcW w:w="894" w:type="pct"/>
            <w:shd w:val="clear" w:color="auto" w:fill="auto"/>
          </w:tcPr>
          <w:p w14:paraId="20D894E1" w14:textId="77777777" w:rsidR="00FB28D8" w:rsidRPr="00B0658A" w:rsidRDefault="00FB28D8" w:rsidP="000A4114">
            <w:pPr>
              <w:spacing w:after="0" w:line="240" w:lineRule="auto"/>
              <w:jc w:val="both"/>
              <w:rPr>
                <w:rFonts w:ascii="Times New Roman" w:hAnsi="Times New Roman"/>
                <w:i/>
                <w:iCs/>
                <w:sz w:val="20"/>
                <w:szCs w:val="20"/>
              </w:rPr>
            </w:pPr>
          </w:p>
        </w:tc>
      </w:tr>
      <w:tr w:rsidR="00F52FED" w:rsidRPr="00B0658A" w14:paraId="20C5012F" w14:textId="77777777" w:rsidTr="00B10FDE">
        <w:trPr>
          <w:trHeight w:val="170"/>
        </w:trPr>
        <w:tc>
          <w:tcPr>
            <w:tcW w:w="203" w:type="pct"/>
            <w:shd w:val="clear" w:color="auto" w:fill="auto"/>
            <w:vAlign w:val="center"/>
          </w:tcPr>
          <w:p w14:paraId="7AC51B68" w14:textId="77777777" w:rsidR="00FB28D8" w:rsidRPr="00B0658A" w:rsidRDefault="00FB28D8" w:rsidP="000A4114">
            <w:pPr>
              <w:spacing w:after="0" w:line="240" w:lineRule="auto"/>
              <w:rPr>
                <w:rFonts w:ascii="Times New Roman" w:hAnsi="Times New Roman"/>
                <w:sz w:val="20"/>
                <w:szCs w:val="20"/>
              </w:rPr>
            </w:pPr>
            <w:r w:rsidRPr="00B0658A">
              <w:rPr>
                <w:rFonts w:ascii="Times New Roman" w:hAnsi="Times New Roman"/>
                <w:sz w:val="20"/>
                <w:szCs w:val="20"/>
              </w:rPr>
              <w:t>2.1</w:t>
            </w:r>
          </w:p>
        </w:tc>
        <w:tc>
          <w:tcPr>
            <w:tcW w:w="1153" w:type="pct"/>
            <w:shd w:val="clear" w:color="auto" w:fill="auto"/>
            <w:vAlign w:val="center"/>
          </w:tcPr>
          <w:p w14:paraId="76B963EE" w14:textId="77777777" w:rsidR="00FB28D8" w:rsidRPr="00B0658A" w:rsidRDefault="00FB28D8" w:rsidP="000A4114">
            <w:pPr>
              <w:spacing w:after="0" w:line="240" w:lineRule="auto"/>
              <w:rPr>
                <w:rFonts w:ascii="Times New Roman" w:hAnsi="Times New Roman"/>
                <w:i/>
                <w:iCs/>
                <w:sz w:val="20"/>
                <w:szCs w:val="20"/>
              </w:rPr>
            </w:pPr>
            <w:r w:rsidRPr="00B0658A">
              <w:rPr>
                <w:rFonts w:ascii="Times New Roman" w:hAnsi="Times New Roman"/>
                <w:sz w:val="20"/>
                <w:szCs w:val="20"/>
              </w:rPr>
              <w:t>Системное программное обеспечение/ Драйверы</w:t>
            </w:r>
          </w:p>
        </w:tc>
        <w:tc>
          <w:tcPr>
            <w:tcW w:w="624" w:type="pct"/>
          </w:tcPr>
          <w:p w14:paraId="413BAB1B" w14:textId="77777777" w:rsidR="00FB28D8" w:rsidRPr="00B0658A" w:rsidRDefault="00FB28D8" w:rsidP="000A4114">
            <w:pPr>
              <w:spacing w:after="0" w:line="240" w:lineRule="auto"/>
              <w:rPr>
                <w:rFonts w:ascii="Times New Roman" w:hAnsi="Times New Roman"/>
                <w:i/>
                <w:iCs/>
                <w:sz w:val="20"/>
                <w:szCs w:val="20"/>
              </w:rPr>
            </w:pPr>
          </w:p>
        </w:tc>
        <w:tc>
          <w:tcPr>
            <w:tcW w:w="1090" w:type="pct"/>
            <w:shd w:val="clear" w:color="auto" w:fill="auto"/>
          </w:tcPr>
          <w:p w14:paraId="291FF836" w14:textId="77777777" w:rsidR="00FB28D8" w:rsidRPr="00B0658A" w:rsidRDefault="00FB28D8" w:rsidP="000A4114">
            <w:pPr>
              <w:spacing w:after="0" w:line="240" w:lineRule="auto"/>
              <w:rPr>
                <w:rFonts w:ascii="Times New Roman" w:hAnsi="Times New Roman"/>
                <w:i/>
                <w:iCs/>
                <w:sz w:val="20"/>
                <w:szCs w:val="20"/>
              </w:rPr>
            </w:pPr>
          </w:p>
        </w:tc>
        <w:tc>
          <w:tcPr>
            <w:tcW w:w="1036" w:type="pct"/>
            <w:shd w:val="clear" w:color="auto" w:fill="auto"/>
          </w:tcPr>
          <w:p w14:paraId="4A81FB72" w14:textId="77777777" w:rsidR="00FB28D8" w:rsidRPr="00B0658A" w:rsidRDefault="00FB28D8" w:rsidP="000A4114">
            <w:pPr>
              <w:spacing w:after="0" w:line="240" w:lineRule="auto"/>
              <w:rPr>
                <w:rFonts w:ascii="Times New Roman" w:hAnsi="Times New Roman"/>
                <w:i/>
                <w:iCs/>
                <w:sz w:val="20"/>
                <w:szCs w:val="20"/>
              </w:rPr>
            </w:pPr>
          </w:p>
        </w:tc>
        <w:tc>
          <w:tcPr>
            <w:tcW w:w="894" w:type="pct"/>
            <w:shd w:val="clear" w:color="auto" w:fill="auto"/>
          </w:tcPr>
          <w:p w14:paraId="7798175B" w14:textId="77777777" w:rsidR="00FB28D8" w:rsidRPr="00B0658A" w:rsidRDefault="00FB28D8" w:rsidP="000A4114">
            <w:pPr>
              <w:spacing w:after="0" w:line="240" w:lineRule="auto"/>
              <w:jc w:val="both"/>
              <w:rPr>
                <w:rFonts w:ascii="Times New Roman" w:hAnsi="Times New Roman"/>
                <w:i/>
                <w:iCs/>
                <w:sz w:val="20"/>
                <w:szCs w:val="20"/>
              </w:rPr>
            </w:pPr>
          </w:p>
        </w:tc>
      </w:tr>
      <w:tr w:rsidR="00F52FED" w:rsidRPr="00B0658A" w14:paraId="169C8E37" w14:textId="77777777" w:rsidTr="00B10FDE">
        <w:trPr>
          <w:trHeight w:val="170"/>
        </w:trPr>
        <w:tc>
          <w:tcPr>
            <w:tcW w:w="203" w:type="pct"/>
            <w:shd w:val="clear" w:color="auto" w:fill="auto"/>
            <w:vAlign w:val="center"/>
          </w:tcPr>
          <w:p w14:paraId="40CB3D1E" w14:textId="77777777" w:rsidR="00FB28D8" w:rsidRPr="00B0658A" w:rsidRDefault="00FB28D8" w:rsidP="000A4114">
            <w:pPr>
              <w:spacing w:after="0" w:line="240" w:lineRule="auto"/>
              <w:rPr>
                <w:rFonts w:ascii="Times New Roman" w:hAnsi="Times New Roman"/>
                <w:sz w:val="20"/>
                <w:szCs w:val="20"/>
              </w:rPr>
            </w:pPr>
            <w:r w:rsidRPr="00B0658A">
              <w:rPr>
                <w:rFonts w:ascii="Times New Roman" w:hAnsi="Times New Roman"/>
                <w:sz w:val="20"/>
                <w:szCs w:val="20"/>
              </w:rPr>
              <w:t>2.2</w:t>
            </w:r>
          </w:p>
        </w:tc>
        <w:tc>
          <w:tcPr>
            <w:tcW w:w="1153" w:type="pct"/>
            <w:shd w:val="clear" w:color="auto" w:fill="auto"/>
            <w:vAlign w:val="center"/>
          </w:tcPr>
          <w:p w14:paraId="4FF487F5" w14:textId="77777777" w:rsidR="00FB28D8" w:rsidRPr="00B0658A" w:rsidRDefault="00FB28D8" w:rsidP="000A4114">
            <w:pPr>
              <w:spacing w:after="0" w:line="240" w:lineRule="auto"/>
              <w:rPr>
                <w:rFonts w:ascii="Times New Roman" w:hAnsi="Times New Roman"/>
                <w:i/>
                <w:iCs/>
                <w:sz w:val="20"/>
                <w:szCs w:val="20"/>
              </w:rPr>
            </w:pPr>
            <w:r w:rsidRPr="00B0658A">
              <w:rPr>
                <w:rFonts w:ascii="Times New Roman" w:hAnsi="Times New Roman"/>
                <w:sz w:val="20"/>
                <w:szCs w:val="20"/>
              </w:rPr>
              <w:t>Системное программное обеспечение/ Программы обслуживания</w:t>
            </w:r>
          </w:p>
        </w:tc>
        <w:tc>
          <w:tcPr>
            <w:tcW w:w="624" w:type="pct"/>
          </w:tcPr>
          <w:p w14:paraId="73109698" w14:textId="77777777" w:rsidR="00FB28D8" w:rsidRPr="00B0658A" w:rsidRDefault="00FB28D8" w:rsidP="000A4114">
            <w:pPr>
              <w:spacing w:after="0" w:line="240" w:lineRule="auto"/>
              <w:rPr>
                <w:rFonts w:ascii="Times New Roman" w:hAnsi="Times New Roman"/>
                <w:i/>
                <w:iCs/>
                <w:sz w:val="20"/>
                <w:szCs w:val="20"/>
              </w:rPr>
            </w:pPr>
          </w:p>
        </w:tc>
        <w:tc>
          <w:tcPr>
            <w:tcW w:w="1090" w:type="pct"/>
            <w:shd w:val="clear" w:color="auto" w:fill="auto"/>
          </w:tcPr>
          <w:p w14:paraId="5E6E4831" w14:textId="77777777" w:rsidR="00FB28D8" w:rsidRPr="00B0658A" w:rsidRDefault="00FB28D8" w:rsidP="000A4114">
            <w:pPr>
              <w:spacing w:after="0" w:line="240" w:lineRule="auto"/>
              <w:rPr>
                <w:rFonts w:ascii="Times New Roman" w:hAnsi="Times New Roman"/>
                <w:i/>
                <w:iCs/>
                <w:sz w:val="20"/>
                <w:szCs w:val="20"/>
              </w:rPr>
            </w:pPr>
          </w:p>
        </w:tc>
        <w:tc>
          <w:tcPr>
            <w:tcW w:w="1036" w:type="pct"/>
            <w:shd w:val="clear" w:color="auto" w:fill="auto"/>
          </w:tcPr>
          <w:p w14:paraId="47D46D1F" w14:textId="77777777" w:rsidR="00FB28D8" w:rsidRPr="00B0658A" w:rsidRDefault="00FB28D8" w:rsidP="000A4114">
            <w:pPr>
              <w:spacing w:after="0" w:line="240" w:lineRule="auto"/>
              <w:rPr>
                <w:rFonts w:ascii="Times New Roman" w:hAnsi="Times New Roman"/>
                <w:i/>
                <w:iCs/>
                <w:sz w:val="20"/>
                <w:szCs w:val="20"/>
              </w:rPr>
            </w:pPr>
          </w:p>
        </w:tc>
        <w:tc>
          <w:tcPr>
            <w:tcW w:w="894" w:type="pct"/>
            <w:shd w:val="clear" w:color="auto" w:fill="auto"/>
          </w:tcPr>
          <w:p w14:paraId="3B6B18A0" w14:textId="77777777" w:rsidR="00FB28D8" w:rsidRPr="00B0658A" w:rsidRDefault="00FB28D8" w:rsidP="000A4114">
            <w:pPr>
              <w:spacing w:after="0" w:line="240" w:lineRule="auto"/>
              <w:jc w:val="both"/>
              <w:rPr>
                <w:rFonts w:ascii="Times New Roman" w:hAnsi="Times New Roman"/>
                <w:i/>
                <w:iCs/>
                <w:sz w:val="20"/>
                <w:szCs w:val="20"/>
              </w:rPr>
            </w:pPr>
          </w:p>
        </w:tc>
      </w:tr>
      <w:tr w:rsidR="00F52FED" w:rsidRPr="00B0658A" w14:paraId="5A4F255C" w14:textId="77777777" w:rsidTr="00B10FDE">
        <w:trPr>
          <w:trHeight w:val="170"/>
        </w:trPr>
        <w:tc>
          <w:tcPr>
            <w:tcW w:w="203" w:type="pct"/>
            <w:shd w:val="clear" w:color="auto" w:fill="auto"/>
            <w:vAlign w:val="center"/>
          </w:tcPr>
          <w:p w14:paraId="0F089087" w14:textId="77777777" w:rsidR="00FB28D8" w:rsidRPr="00B0658A" w:rsidRDefault="00FB28D8" w:rsidP="000A4114">
            <w:pPr>
              <w:spacing w:after="0" w:line="240" w:lineRule="auto"/>
              <w:rPr>
                <w:rFonts w:ascii="Times New Roman" w:hAnsi="Times New Roman"/>
                <w:sz w:val="20"/>
                <w:szCs w:val="20"/>
              </w:rPr>
            </w:pPr>
            <w:r w:rsidRPr="00B0658A">
              <w:rPr>
                <w:rFonts w:ascii="Times New Roman" w:hAnsi="Times New Roman"/>
                <w:sz w:val="20"/>
                <w:szCs w:val="20"/>
                <w:lang w:val="en-US"/>
              </w:rPr>
              <w:t>2.3</w:t>
            </w:r>
          </w:p>
        </w:tc>
        <w:tc>
          <w:tcPr>
            <w:tcW w:w="1153" w:type="pct"/>
            <w:shd w:val="clear" w:color="auto" w:fill="auto"/>
            <w:vAlign w:val="center"/>
          </w:tcPr>
          <w:p w14:paraId="569D3587" w14:textId="77777777" w:rsidR="00FB28D8" w:rsidRPr="00B0658A" w:rsidRDefault="00FB28D8" w:rsidP="000A4114">
            <w:pPr>
              <w:spacing w:after="0" w:line="240" w:lineRule="auto"/>
              <w:rPr>
                <w:rFonts w:ascii="Times New Roman" w:hAnsi="Times New Roman"/>
                <w:i/>
                <w:iCs/>
                <w:sz w:val="20"/>
                <w:szCs w:val="20"/>
              </w:rPr>
            </w:pPr>
            <w:r w:rsidRPr="00B0658A">
              <w:rPr>
                <w:rFonts w:ascii="Times New Roman" w:hAnsi="Times New Roman"/>
                <w:sz w:val="20"/>
                <w:szCs w:val="20"/>
              </w:rPr>
              <w:t>Средства обеспечения облачных и распределенных вычислений</w:t>
            </w:r>
          </w:p>
        </w:tc>
        <w:tc>
          <w:tcPr>
            <w:tcW w:w="624" w:type="pct"/>
          </w:tcPr>
          <w:p w14:paraId="681B5581" w14:textId="77777777" w:rsidR="00FB28D8" w:rsidRPr="00B0658A" w:rsidRDefault="00FB28D8" w:rsidP="000A4114">
            <w:pPr>
              <w:spacing w:after="0" w:line="240" w:lineRule="auto"/>
              <w:rPr>
                <w:rFonts w:ascii="Times New Roman" w:hAnsi="Times New Roman"/>
                <w:i/>
                <w:iCs/>
                <w:sz w:val="20"/>
                <w:szCs w:val="20"/>
              </w:rPr>
            </w:pPr>
          </w:p>
        </w:tc>
        <w:tc>
          <w:tcPr>
            <w:tcW w:w="1090" w:type="pct"/>
            <w:shd w:val="clear" w:color="auto" w:fill="auto"/>
          </w:tcPr>
          <w:p w14:paraId="7BAC316B" w14:textId="77777777" w:rsidR="00FB28D8" w:rsidRPr="00B0658A" w:rsidRDefault="00FB28D8" w:rsidP="000A4114">
            <w:pPr>
              <w:spacing w:after="0" w:line="240" w:lineRule="auto"/>
              <w:rPr>
                <w:rFonts w:ascii="Times New Roman" w:hAnsi="Times New Roman"/>
                <w:i/>
                <w:iCs/>
                <w:sz w:val="20"/>
                <w:szCs w:val="20"/>
              </w:rPr>
            </w:pPr>
          </w:p>
        </w:tc>
        <w:tc>
          <w:tcPr>
            <w:tcW w:w="1036" w:type="pct"/>
            <w:shd w:val="clear" w:color="auto" w:fill="auto"/>
          </w:tcPr>
          <w:p w14:paraId="17F0C3DE" w14:textId="77777777" w:rsidR="00FB28D8" w:rsidRPr="00B0658A" w:rsidRDefault="00FB28D8" w:rsidP="000A4114">
            <w:pPr>
              <w:spacing w:after="0" w:line="240" w:lineRule="auto"/>
              <w:rPr>
                <w:rFonts w:ascii="Times New Roman" w:hAnsi="Times New Roman"/>
                <w:i/>
                <w:iCs/>
                <w:sz w:val="20"/>
                <w:szCs w:val="20"/>
              </w:rPr>
            </w:pPr>
          </w:p>
        </w:tc>
        <w:tc>
          <w:tcPr>
            <w:tcW w:w="894" w:type="pct"/>
            <w:shd w:val="clear" w:color="auto" w:fill="auto"/>
          </w:tcPr>
          <w:p w14:paraId="0A96E801" w14:textId="77777777" w:rsidR="00FB28D8" w:rsidRPr="00B0658A" w:rsidRDefault="00FB28D8" w:rsidP="000A4114">
            <w:pPr>
              <w:spacing w:after="0" w:line="240" w:lineRule="auto"/>
              <w:jc w:val="both"/>
              <w:rPr>
                <w:rFonts w:ascii="Times New Roman" w:hAnsi="Times New Roman"/>
                <w:i/>
                <w:iCs/>
                <w:sz w:val="20"/>
                <w:szCs w:val="20"/>
              </w:rPr>
            </w:pPr>
          </w:p>
        </w:tc>
      </w:tr>
      <w:tr w:rsidR="00F52FED" w:rsidRPr="00B0658A" w14:paraId="2CCCE05C" w14:textId="77777777" w:rsidTr="00B10FDE">
        <w:trPr>
          <w:trHeight w:val="170"/>
        </w:trPr>
        <w:tc>
          <w:tcPr>
            <w:tcW w:w="203" w:type="pct"/>
            <w:shd w:val="clear" w:color="auto" w:fill="auto"/>
            <w:vAlign w:val="center"/>
          </w:tcPr>
          <w:p w14:paraId="295920B3" w14:textId="77777777" w:rsidR="00FB28D8" w:rsidRPr="00B0658A" w:rsidRDefault="00FB28D8" w:rsidP="000A4114">
            <w:pPr>
              <w:spacing w:after="0" w:line="240" w:lineRule="auto"/>
              <w:rPr>
                <w:rFonts w:ascii="Times New Roman" w:hAnsi="Times New Roman"/>
                <w:sz w:val="20"/>
                <w:szCs w:val="20"/>
              </w:rPr>
            </w:pPr>
            <w:r w:rsidRPr="00B0658A">
              <w:rPr>
                <w:rFonts w:ascii="Times New Roman" w:hAnsi="Times New Roman"/>
                <w:sz w:val="20"/>
                <w:szCs w:val="20"/>
              </w:rPr>
              <w:t>2.4</w:t>
            </w:r>
          </w:p>
        </w:tc>
        <w:tc>
          <w:tcPr>
            <w:tcW w:w="1153" w:type="pct"/>
            <w:shd w:val="clear" w:color="auto" w:fill="auto"/>
            <w:vAlign w:val="center"/>
          </w:tcPr>
          <w:p w14:paraId="5B484A8B" w14:textId="77777777" w:rsidR="00FB28D8" w:rsidRPr="00B0658A" w:rsidRDefault="00FB28D8" w:rsidP="000A4114">
            <w:pPr>
              <w:spacing w:after="0" w:line="240" w:lineRule="auto"/>
              <w:rPr>
                <w:rFonts w:ascii="Times New Roman" w:hAnsi="Times New Roman"/>
                <w:i/>
                <w:iCs/>
                <w:sz w:val="20"/>
                <w:szCs w:val="20"/>
              </w:rPr>
            </w:pPr>
            <w:r w:rsidRPr="00B0658A">
              <w:rPr>
                <w:rFonts w:ascii="Times New Roman" w:hAnsi="Times New Roman"/>
                <w:sz w:val="20"/>
                <w:szCs w:val="20"/>
              </w:rPr>
              <w:t>Системное программное обеспечение / Средства виртуализации</w:t>
            </w:r>
          </w:p>
        </w:tc>
        <w:tc>
          <w:tcPr>
            <w:tcW w:w="624" w:type="pct"/>
          </w:tcPr>
          <w:p w14:paraId="7F609653" w14:textId="77777777" w:rsidR="00FB28D8" w:rsidRPr="00B0658A" w:rsidRDefault="00FB28D8" w:rsidP="000A4114">
            <w:pPr>
              <w:spacing w:after="0" w:line="240" w:lineRule="auto"/>
              <w:rPr>
                <w:rFonts w:ascii="Times New Roman" w:hAnsi="Times New Roman"/>
                <w:i/>
                <w:iCs/>
                <w:sz w:val="20"/>
                <w:szCs w:val="20"/>
              </w:rPr>
            </w:pPr>
          </w:p>
        </w:tc>
        <w:tc>
          <w:tcPr>
            <w:tcW w:w="1090" w:type="pct"/>
            <w:shd w:val="clear" w:color="auto" w:fill="auto"/>
          </w:tcPr>
          <w:p w14:paraId="3773FA92" w14:textId="77777777" w:rsidR="00FB28D8" w:rsidRPr="00B0658A" w:rsidRDefault="00FB28D8" w:rsidP="000A4114">
            <w:pPr>
              <w:spacing w:after="0" w:line="240" w:lineRule="auto"/>
              <w:rPr>
                <w:rFonts w:ascii="Times New Roman" w:hAnsi="Times New Roman"/>
                <w:i/>
                <w:iCs/>
                <w:sz w:val="20"/>
                <w:szCs w:val="20"/>
              </w:rPr>
            </w:pPr>
          </w:p>
        </w:tc>
        <w:tc>
          <w:tcPr>
            <w:tcW w:w="1036" w:type="pct"/>
            <w:shd w:val="clear" w:color="auto" w:fill="auto"/>
          </w:tcPr>
          <w:p w14:paraId="776075CC" w14:textId="77777777" w:rsidR="00FB28D8" w:rsidRPr="00B0658A" w:rsidRDefault="00FB28D8" w:rsidP="000A4114">
            <w:pPr>
              <w:spacing w:after="0" w:line="240" w:lineRule="auto"/>
              <w:rPr>
                <w:rFonts w:ascii="Times New Roman" w:hAnsi="Times New Roman"/>
                <w:i/>
                <w:iCs/>
                <w:sz w:val="20"/>
                <w:szCs w:val="20"/>
              </w:rPr>
            </w:pPr>
          </w:p>
        </w:tc>
        <w:tc>
          <w:tcPr>
            <w:tcW w:w="894" w:type="pct"/>
            <w:shd w:val="clear" w:color="auto" w:fill="auto"/>
          </w:tcPr>
          <w:p w14:paraId="4A940D3E" w14:textId="77777777" w:rsidR="00FB28D8" w:rsidRPr="00B0658A" w:rsidRDefault="00FB28D8" w:rsidP="000A4114">
            <w:pPr>
              <w:spacing w:after="0" w:line="240" w:lineRule="auto"/>
              <w:jc w:val="both"/>
              <w:rPr>
                <w:rFonts w:ascii="Times New Roman" w:hAnsi="Times New Roman"/>
                <w:i/>
                <w:iCs/>
                <w:sz w:val="20"/>
                <w:szCs w:val="20"/>
              </w:rPr>
            </w:pPr>
          </w:p>
        </w:tc>
      </w:tr>
      <w:tr w:rsidR="00F52FED" w:rsidRPr="00B0658A" w14:paraId="0D010DF6" w14:textId="77777777" w:rsidTr="00B10FDE">
        <w:trPr>
          <w:trHeight w:val="170"/>
        </w:trPr>
        <w:tc>
          <w:tcPr>
            <w:tcW w:w="203" w:type="pct"/>
            <w:shd w:val="clear" w:color="auto" w:fill="auto"/>
            <w:vAlign w:val="center"/>
          </w:tcPr>
          <w:p w14:paraId="4AC80549" w14:textId="77777777" w:rsidR="00FB28D8" w:rsidRPr="00B0658A" w:rsidRDefault="00FB28D8" w:rsidP="000A4114">
            <w:pPr>
              <w:spacing w:after="0" w:line="240" w:lineRule="auto"/>
              <w:rPr>
                <w:rFonts w:ascii="Times New Roman" w:hAnsi="Times New Roman"/>
                <w:sz w:val="20"/>
                <w:szCs w:val="20"/>
              </w:rPr>
            </w:pPr>
            <w:r w:rsidRPr="00B0658A">
              <w:rPr>
                <w:rFonts w:ascii="Times New Roman" w:hAnsi="Times New Roman"/>
                <w:sz w:val="20"/>
                <w:szCs w:val="20"/>
              </w:rPr>
              <w:t>2.5</w:t>
            </w:r>
          </w:p>
        </w:tc>
        <w:tc>
          <w:tcPr>
            <w:tcW w:w="1153" w:type="pct"/>
            <w:shd w:val="clear" w:color="auto" w:fill="auto"/>
            <w:vAlign w:val="center"/>
          </w:tcPr>
          <w:p w14:paraId="767F8F84" w14:textId="77777777" w:rsidR="00FB28D8" w:rsidRPr="00B0658A" w:rsidRDefault="00FB28D8" w:rsidP="000A4114">
            <w:pPr>
              <w:spacing w:after="0" w:line="240" w:lineRule="auto"/>
              <w:rPr>
                <w:rFonts w:ascii="Times New Roman" w:hAnsi="Times New Roman"/>
                <w:i/>
                <w:iCs/>
                <w:sz w:val="20"/>
                <w:szCs w:val="20"/>
              </w:rPr>
            </w:pPr>
            <w:r w:rsidRPr="00B0658A">
              <w:rPr>
                <w:rFonts w:ascii="Times New Roman" w:hAnsi="Times New Roman"/>
                <w:sz w:val="20"/>
                <w:szCs w:val="20"/>
              </w:rPr>
              <w:t>Системное программное обеспечение/ Средства хранения данных</w:t>
            </w:r>
          </w:p>
        </w:tc>
        <w:tc>
          <w:tcPr>
            <w:tcW w:w="624" w:type="pct"/>
          </w:tcPr>
          <w:p w14:paraId="16B1BE88" w14:textId="77777777" w:rsidR="00FB28D8" w:rsidRPr="00B0658A" w:rsidRDefault="00FB28D8" w:rsidP="000A4114">
            <w:pPr>
              <w:spacing w:after="0" w:line="240" w:lineRule="auto"/>
              <w:rPr>
                <w:rFonts w:ascii="Times New Roman" w:hAnsi="Times New Roman"/>
                <w:i/>
                <w:iCs/>
                <w:sz w:val="20"/>
                <w:szCs w:val="20"/>
              </w:rPr>
            </w:pPr>
          </w:p>
        </w:tc>
        <w:tc>
          <w:tcPr>
            <w:tcW w:w="1090" w:type="pct"/>
            <w:shd w:val="clear" w:color="auto" w:fill="auto"/>
          </w:tcPr>
          <w:p w14:paraId="3BE71962" w14:textId="77777777" w:rsidR="00FB28D8" w:rsidRPr="00B0658A" w:rsidRDefault="00FB28D8" w:rsidP="000A4114">
            <w:pPr>
              <w:spacing w:after="0" w:line="240" w:lineRule="auto"/>
              <w:rPr>
                <w:rFonts w:ascii="Times New Roman" w:hAnsi="Times New Roman"/>
                <w:i/>
                <w:iCs/>
                <w:sz w:val="20"/>
                <w:szCs w:val="20"/>
              </w:rPr>
            </w:pPr>
          </w:p>
        </w:tc>
        <w:tc>
          <w:tcPr>
            <w:tcW w:w="1036" w:type="pct"/>
            <w:shd w:val="clear" w:color="auto" w:fill="auto"/>
          </w:tcPr>
          <w:p w14:paraId="2BC5A45D" w14:textId="77777777" w:rsidR="00FB28D8" w:rsidRPr="00B0658A" w:rsidRDefault="00FB28D8" w:rsidP="000A4114">
            <w:pPr>
              <w:spacing w:after="0" w:line="240" w:lineRule="auto"/>
              <w:rPr>
                <w:rFonts w:ascii="Times New Roman" w:hAnsi="Times New Roman"/>
                <w:i/>
                <w:iCs/>
                <w:sz w:val="20"/>
                <w:szCs w:val="20"/>
              </w:rPr>
            </w:pPr>
          </w:p>
        </w:tc>
        <w:tc>
          <w:tcPr>
            <w:tcW w:w="894" w:type="pct"/>
            <w:shd w:val="clear" w:color="auto" w:fill="auto"/>
          </w:tcPr>
          <w:p w14:paraId="583F3C81" w14:textId="77777777" w:rsidR="00FB28D8" w:rsidRPr="00B0658A" w:rsidRDefault="00FB28D8" w:rsidP="000A4114">
            <w:pPr>
              <w:spacing w:after="0" w:line="240" w:lineRule="auto"/>
              <w:jc w:val="both"/>
              <w:rPr>
                <w:rFonts w:ascii="Times New Roman" w:hAnsi="Times New Roman"/>
                <w:i/>
                <w:iCs/>
                <w:sz w:val="20"/>
                <w:szCs w:val="20"/>
              </w:rPr>
            </w:pPr>
          </w:p>
        </w:tc>
      </w:tr>
      <w:tr w:rsidR="00F52FED" w:rsidRPr="00B0658A" w14:paraId="4E609225" w14:textId="77777777" w:rsidTr="00B10FDE">
        <w:trPr>
          <w:trHeight w:val="170"/>
        </w:trPr>
        <w:tc>
          <w:tcPr>
            <w:tcW w:w="203" w:type="pct"/>
            <w:shd w:val="clear" w:color="auto" w:fill="auto"/>
            <w:vAlign w:val="center"/>
          </w:tcPr>
          <w:p w14:paraId="7C815BD3" w14:textId="77777777" w:rsidR="00FB28D8" w:rsidRPr="00B0658A" w:rsidRDefault="00FB28D8" w:rsidP="000A4114">
            <w:pPr>
              <w:spacing w:after="0" w:line="240" w:lineRule="auto"/>
              <w:rPr>
                <w:rFonts w:ascii="Times New Roman" w:hAnsi="Times New Roman"/>
                <w:sz w:val="20"/>
                <w:szCs w:val="20"/>
              </w:rPr>
            </w:pPr>
            <w:r w:rsidRPr="00B0658A">
              <w:rPr>
                <w:rFonts w:ascii="Times New Roman" w:hAnsi="Times New Roman"/>
                <w:sz w:val="20"/>
                <w:szCs w:val="20"/>
              </w:rPr>
              <w:t>2.6</w:t>
            </w:r>
          </w:p>
        </w:tc>
        <w:tc>
          <w:tcPr>
            <w:tcW w:w="1153" w:type="pct"/>
            <w:shd w:val="clear" w:color="auto" w:fill="auto"/>
            <w:vAlign w:val="center"/>
          </w:tcPr>
          <w:p w14:paraId="09AC961B" w14:textId="77777777" w:rsidR="00FB28D8" w:rsidRPr="00B0658A" w:rsidRDefault="00FB28D8" w:rsidP="000A4114">
            <w:pPr>
              <w:spacing w:after="0" w:line="240" w:lineRule="auto"/>
              <w:rPr>
                <w:rFonts w:ascii="Times New Roman" w:hAnsi="Times New Roman"/>
                <w:i/>
                <w:iCs/>
                <w:sz w:val="20"/>
                <w:szCs w:val="20"/>
              </w:rPr>
            </w:pPr>
            <w:r w:rsidRPr="00B0658A">
              <w:rPr>
                <w:rFonts w:ascii="Times New Roman" w:hAnsi="Times New Roman"/>
                <w:sz w:val="20"/>
                <w:szCs w:val="20"/>
              </w:rPr>
              <w:t>Системное программное обеспечение / Серверное и связующее программное обеспечение</w:t>
            </w:r>
          </w:p>
        </w:tc>
        <w:tc>
          <w:tcPr>
            <w:tcW w:w="624" w:type="pct"/>
          </w:tcPr>
          <w:p w14:paraId="3D074561" w14:textId="77777777" w:rsidR="00FB28D8" w:rsidRPr="00B0658A" w:rsidRDefault="00FB28D8" w:rsidP="000A4114">
            <w:pPr>
              <w:spacing w:after="0" w:line="240" w:lineRule="auto"/>
              <w:rPr>
                <w:rFonts w:ascii="Times New Roman" w:hAnsi="Times New Roman"/>
                <w:i/>
                <w:iCs/>
                <w:sz w:val="20"/>
                <w:szCs w:val="20"/>
              </w:rPr>
            </w:pPr>
          </w:p>
        </w:tc>
        <w:tc>
          <w:tcPr>
            <w:tcW w:w="1090" w:type="pct"/>
            <w:shd w:val="clear" w:color="auto" w:fill="auto"/>
          </w:tcPr>
          <w:p w14:paraId="5AFD5D39" w14:textId="77777777" w:rsidR="00FB28D8" w:rsidRPr="00B0658A" w:rsidRDefault="00FB28D8" w:rsidP="000A4114">
            <w:pPr>
              <w:spacing w:after="0" w:line="240" w:lineRule="auto"/>
              <w:rPr>
                <w:rFonts w:ascii="Times New Roman" w:hAnsi="Times New Roman"/>
                <w:i/>
                <w:iCs/>
                <w:sz w:val="20"/>
                <w:szCs w:val="20"/>
              </w:rPr>
            </w:pPr>
          </w:p>
        </w:tc>
        <w:tc>
          <w:tcPr>
            <w:tcW w:w="1036" w:type="pct"/>
            <w:shd w:val="clear" w:color="auto" w:fill="auto"/>
          </w:tcPr>
          <w:p w14:paraId="44EE3C62" w14:textId="77777777" w:rsidR="00FB28D8" w:rsidRPr="00B0658A" w:rsidRDefault="00FB28D8" w:rsidP="000A4114">
            <w:pPr>
              <w:spacing w:after="0" w:line="240" w:lineRule="auto"/>
              <w:rPr>
                <w:rFonts w:ascii="Times New Roman" w:hAnsi="Times New Roman"/>
                <w:i/>
                <w:iCs/>
                <w:sz w:val="20"/>
                <w:szCs w:val="20"/>
              </w:rPr>
            </w:pPr>
          </w:p>
        </w:tc>
        <w:tc>
          <w:tcPr>
            <w:tcW w:w="894" w:type="pct"/>
            <w:shd w:val="clear" w:color="auto" w:fill="auto"/>
          </w:tcPr>
          <w:p w14:paraId="028F4BEE" w14:textId="77777777" w:rsidR="00FB28D8" w:rsidRPr="00B0658A" w:rsidRDefault="00FB28D8" w:rsidP="000A4114">
            <w:pPr>
              <w:spacing w:after="0" w:line="240" w:lineRule="auto"/>
              <w:jc w:val="both"/>
              <w:rPr>
                <w:rFonts w:ascii="Times New Roman" w:hAnsi="Times New Roman"/>
                <w:i/>
                <w:iCs/>
                <w:sz w:val="20"/>
                <w:szCs w:val="20"/>
              </w:rPr>
            </w:pPr>
          </w:p>
        </w:tc>
      </w:tr>
      <w:tr w:rsidR="00F52FED" w:rsidRPr="00B0658A" w14:paraId="1D6864A6" w14:textId="77777777" w:rsidTr="00B10FDE">
        <w:trPr>
          <w:trHeight w:val="170"/>
        </w:trPr>
        <w:tc>
          <w:tcPr>
            <w:tcW w:w="203" w:type="pct"/>
            <w:shd w:val="clear" w:color="auto" w:fill="auto"/>
            <w:vAlign w:val="center"/>
          </w:tcPr>
          <w:p w14:paraId="69D3877B" w14:textId="77777777" w:rsidR="00FB28D8" w:rsidRPr="00B0658A" w:rsidRDefault="00FB28D8" w:rsidP="000A4114">
            <w:pPr>
              <w:spacing w:after="0" w:line="240" w:lineRule="auto"/>
              <w:rPr>
                <w:rFonts w:ascii="Times New Roman" w:hAnsi="Times New Roman"/>
                <w:sz w:val="20"/>
                <w:szCs w:val="20"/>
              </w:rPr>
            </w:pPr>
            <w:r w:rsidRPr="00B0658A">
              <w:rPr>
                <w:rFonts w:ascii="Times New Roman" w:hAnsi="Times New Roman"/>
                <w:sz w:val="20"/>
                <w:szCs w:val="20"/>
              </w:rPr>
              <w:t>2.7</w:t>
            </w:r>
          </w:p>
        </w:tc>
        <w:tc>
          <w:tcPr>
            <w:tcW w:w="1153" w:type="pct"/>
            <w:shd w:val="clear" w:color="auto" w:fill="auto"/>
            <w:vAlign w:val="center"/>
          </w:tcPr>
          <w:p w14:paraId="73017C0E" w14:textId="77777777" w:rsidR="00FB28D8" w:rsidRPr="00B0658A" w:rsidRDefault="00FB28D8" w:rsidP="000A4114">
            <w:pPr>
              <w:spacing w:after="0" w:line="240" w:lineRule="auto"/>
              <w:rPr>
                <w:rFonts w:ascii="Times New Roman" w:hAnsi="Times New Roman"/>
                <w:i/>
                <w:iCs/>
                <w:sz w:val="20"/>
                <w:szCs w:val="20"/>
              </w:rPr>
            </w:pPr>
            <w:r w:rsidRPr="00B0658A">
              <w:rPr>
                <w:rFonts w:ascii="Times New Roman" w:hAnsi="Times New Roman"/>
                <w:sz w:val="20"/>
                <w:szCs w:val="20"/>
              </w:rPr>
              <w:t>Системное программное обеспечение/ Средства управления базами данных</w:t>
            </w:r>
          </w:p>
        </w:tc>
        <w:tc>
          <w:tcPr>
            <w:tcW w:w="624" w:type="pct"/>
          </w:tcPr>
          <w:p w14:paraId="1B012764" w14:textId="77777777" w:rsidR="00FB28D8" w:rsidRPr="00B0658A" w:rsidRDefault="00FB28D8" w:rsidP="000A4114">
            <w:pPr>
              <w:spacing w:after="0" w:line="240" w:lineRule="auto"/>
              <w:rPr>
                <w:rFonts w:ascii="Times New Roman" w:hAnsi="Times New Roman"/>
                <w:i/>
                <w:iCs/>
                <w:sz w:val="20"/>
                <w:szCs w:val="20"/>
              </w:rPr>
            </w:pPr>
          </w:p>
        </w:tc>
        <w:tc>
          <w:tcPr>
            <w:tcW w:w="1090" w:type="pct"/>
            <w:shd w:val="clear" w:color="auto" w:fill="auto"/>
          </w:tcPr>
          <w:p w14:paraId="1650D603" w14:textId="77777777" w:rsidR="00FB28D8" w:rsidRPr="00B0658A" w:rsidRDefault="00FB28D8" w:rsidP="000A4114">
            <w:pPr>
              <w:spacing w:after="0" w:line="240" w:lineRule="auto"/>
              <w:rPr>
                <w:rFonts w:ascii="Times New Roman" w:hAnsi="Times New Roman"/>
                <w:i/>
                <w:iCs/>
                <w:sz w:val="20"/>
                <w:szCs w:val="20"/>
              </w:rPr>
            </w:pPr>
          </w:p>
        </w:tc>
        <w:tc>
          <w:tcPr>
            <w:tcW w:w="1036" w:type="pct"/>
            <w:shd w:val="clear" w:color="auto" w:fill="auto"/>
          </w:tcPr>
          <w:p w14:paraId="362EEAC9" w14:textId="77777777" w:rsidR="00FB28D8" w:rsidRPr="00B0658A" w:rsidRDefault="00FB28D8" w:rsidP="000A4114">
            <w:pPr>
              <w:spacing w:after="0" w:line="240" w:lineRule="auto"/>
              <w:rPr>
                <w:rFonts w:ascii="Times New Roman" w:hAnsi="Times New Roman"/>
                <w:i/>
                <w:iCs/>
                <w:sz w:val="20"/>
                <w:szCs w:val="20"/>
              </w:rPr>
            </w:pPr>
          </w:p>
        </w:tc>
        <w:tc>
          <w:tcPr>
            <w:tcW w:w="894" w:type="pct"/>
            <w:shd w:val="clear" w:color="auto" w:fill="auto"/>
          </w:tcPr>
          <w:p w14:paraId="40F1F59D" w14:textId="77777777" w:rsidR="00FB28D8" w:rsidRPr="00B0658A" w:rsidRDefault="00FB28D8" w:rsidP="000A4114">
            <w:pPr>
              <w:spacing w:after="0" w:line="240" w:lineRule="auto"/>
              <w:jc w:val="both"/>
              <w:rPr>
                <w:rFonts w:ascii="Times New Roman" w:hAnsi="Times New Roman"/>
                <w:i/>
                <w:iCs/>
                <w:sz w:val="20"/>
                <w:szCs w:val="20"/>
              </w:rPr>
            </w:pPr>
          </w:p>
        </w:tc>
      </w:tr>
      <w:tr w:rsidR="00F52FED" w:rsidRPr="00B0658A" w14:paraId="22F852F0" w14:textId="77777777" w:rsidTr="00B10FDE">
        <w:trPr>
          <w:trHeight w:val="170"/>
        </w:trPr>
        <w:tc>
          <w:tcPr>
            <w:tcW w:w="203" w:type="pct"/>
            <w:shd w:val="clear" w:color="auto" w:fill="auto"/>
            <w:vAlign w:val="center"/>
          </w:tcPr>
          <w:p w14:paraId="48E9FB43" w14:textId="77777777" w:rsidR="00FB28D8" w:rsidRPr="00B0658A" w:rsidRDefault="00FB28D8" w:rsidP="000A4114">
            <w:pPr>
              <w:spacing w:after="0" w:line="240" w:lineRule="auto"/>
              <w:rPr>
                <w:rFonts w:ascii="Times New Roman" w:hAnsi="Times New Roman"/>
                <w:sz w:val="20"/>
                <w:szCs w:val="20"/>
              </w:rPr>
            </w:pPr>
            <w:r w:rsidRPr="00B0658A">
              <w:rPr>
                <w:rFonts w:ascii="Times New Roman" w:hAnsi="Times New Roman"/>
                <w:sz w:val="20"/>
                <w:szCs w:val="20"/>
              </w:rPr>
              <w:t>2.8</w:t>
            </w:r>
          </w:p>
        </w:tc>
        <w:tc>
          <w:tcPr>
            <w:tcW w:w="1153" w:type="pct"/>
            <w:shd w:val="clear" w:color="auto" w:fill="auto"/>
            <w:vAlign w:val="center"/>
          </w:tcPr>
          <w:p w14:paraId="535913B4" w14:textId="77777777" w:rsidR="00FB28D8" w:rsidRPr="00B0658A" w:rsidRDefault="00FB28D8" w:rsidP="000A4114">
            <w:pPr>
              <w:spacing w:after="0" w:line="240" w:lineRule="auto"/>
              <w:rPr>
                <w:rFonts w:ascii="Times New Roman" w:hAnsi="Times New Roman"/>
                <w:i/>
                <w:iCs/>
                <w:sz w:val="20"/>
                <w:szCs w:val="20"/>
              </w:rPr>
            </w:pPr>
            <w:r w:rsidRPr="00B0658A">
              <w:rPr>
                <w:rFonts w:ascii="Times New Roman" w:hAnsi="Times New Roman"/>
                <w:sz w:val="20"/>
                <w:szCs w:val="20"/>
              </w:rPr>
              <w:t>Системное программное обеспечение/ Средства мониторинга и управления</w:t>
            </w:r>
          </w:p>
        </w:tc>
        <w:tc>
          <w:tcPr>
            <w:tcW w:w="624" w:type="pct"/>
          </w:tcPr>
          <w:p w14:paraId="1B55BC7B" w14:textId="77777777" w:rsidR="00FB28D8" w:rsidRPr="00B0658A" w:rsidRDefault="00FB28D8" w:rsidP="000A4114">
            <w:pPr>
              <w:spacing w:after="0" w:line="240" w:lineRule="auto"/>
              <w:rPr>
                <w:rFonts w:ascii="Times New Roman" w:hAnsi="Times New Roman"/>
                <w:i/>
                <w:iCs/>
                <w:sz w:val="20"/>
                <w:szCs w:val="20"/>
              </w:rPr>
            </w:pPr>
          </w:p>
        </w:tc>
        <w:tc>
          <w:tcPr>
            <w:tcW w:w="1090" w:type="pct"/>
            <w:shd w:val="clear" w:color="auto" w:fill="auto"/>
          </w:tcPr>
          <w:p w14:paraId="432C773A" w14:textId="77777777" w:rsidR="00FB28D8" w:rsidRPr="00B0658A" w:rsidRDefault="00FB28D8" w:rsidP="000A4114">
            <w:pPr>
              <w:spacing w:after="0" w:line="240" w:lineRule="auto"/>
              <w:rPr>
                <w:rFonts w:ascii="Times New Roman" w:hAnsi="Times New Roman"/>
                <w:i/>
                <w:iCs/>
                <w:sz w:val="20"/>
                <w:szCs w:val="20"/>
              </w:rPr>
            </w:pPr>
          </w:p>
        </w:tc>
        <w:tc>
          <w:tcPr>
            <w:tcW w:w="1036" w:type="pct"/>
            <w:shd w:val="clear" w:color="auto" w:fill="auto"/>
          </w:tcPr>
          <w:p w14:paraId="1BE6BCEC" w14:textId="77777777" w:rsidR="00FB28D8" w:rsidRPr="00B0658A" w:rsidRDefault="00FB28D8" w:rsidP="000A4114">
            <w:pPr>
              <w:spacing w:after="0" w:line="240" w:lineRule="auto"/>
              <w:rPr>
                <w:rFonts w:ascii="Times New Roman" w:hAnsi="Times New Roman"/>
                <w:i/>
                <w:iCs/>
                <w:sz w:val="20"/>
                <w:szCs w:val="20"/>
              </w:rPr>
            </w:pPr>
          </w:p>
        </w:tc>
        <w:tc>
          <w:tcPr>
            <w:tcW w:w="894" w:type="pct"/>
            <w:shd w:val="clear" w:color="auto" w:fill="auto"/>
          </w:tcPr>
          <w:p w14:paraId="7DEA5CD5" w14:textId="77777777" w:rsidR="00FB28D8" w:rsidRPr="00B0658A" w:rsidRDefault="00FB28D8" w:rsidP="000A4114">
            <w:pPr>
              <w:spacing w:after="0" w:line="240" w:lineRule="auto"/>
              <w:jc w:val="both"/>
              <w:rPr>
                <w:rFonts w:ascii="Times New Roman" w:hAnsi="Times New Roman"/>
                <w:i/>
                <w:iCs/>
                <w:sz w:val="20"/>
                <w:szCs w:val="20"/>
              </w:rPr>
            </w:pPr>
          </w:p>
        </w:tc>
      </w:tr>
      <w:tr w:rsidR="00F52FED" w:rsidRPr="00B0658A" w14:paraId="501F368D" w14:textId="77777777" w:rsidTr="00B10FDE">
        <w:trPr>
          <w:trHeight w:val="170"/>
        </w:trPr>
        <w:tc>
          <w:tcPr>
            <w:tcW w:w="203" w:type="pct"/>
            <w:shd w:val="clear" w:color="auto" w:fill="auto"/>
            <w:vAlign w:val="center"/>
          </w:tcPr>
          <w:p w14:paraId="2B9288E5" w14:textId="77777777" w:rsidR="00FB28D8" w:rsidRPr="00B0658A" w:rsidRDefault="00FB28D8" w:rsidP="000A4114">
            <w:pPr>
              <w:spacing w:after="0" w:line="240" w:lineRule="auto"/>
              <w:rPr>
                <w:rFonts w:ascii="Times New Roman" w:hAnsi="Times New Roman"/>
                <w:sz w:val="20"/>
                <w:szCs w:val="20"/>
              </w:rPr>
            </w:pPr>
            <w:r w:rsidRPr="00B0658A">
              <w:rPr>
                <w:rFonts w:ascii="Times New Roman" w:hAnsi="Times New Roman"/>
                <w:sz w:val="20"/>
                <w:szCs w:val="20"/>
              </w:rPr>
              <w:t>2.9</w:t>
            </w:r>
          </w:p>
        </w:tc>
        <w:tc>
          <w:tcPr>
            <w:tcW w:w="1153" w:type="pct"/>
            <w:shd w:val="clear" w:color="auto" w:fill="auto"/>
            <w:vAlign w:val="center"/>
          </w:tcPr>
          <w:p w14:paraId="2F9A8C83" w14:textId="77777777" w:rsidR="00FB28D8" w:rsidRPr="00B0658A" w:rsidRDefault="00FB28D8" w:rsidP="000A4114">
            <w:pPr>
              <w:spacing w:after="0" w:line="240" w:lineRule="auto"/>
              <w:rPr>
                <w:rFonts w:ascii="Times New Roman" w:hAnsi="Times New Roman"/>
                <w:i/>
                <w:iCs/>
                <w:sz w:val="20"/>
                <w:szCs w:val="20"/>
              </w:rPr>
            </w:pPr>
            <w:r w:rsidRPr="00B0658A">
              <w:rPr>
                <w:rFonts w:ascii="Times New Roman" w:hAnsi="Times New Roman"/>
                <w:sz w:val="20"/>
                <w:szCs w:val="20"/>
              </w:rPr>
              <w:t>Системное программное обеспечение/ Операционные системы общего назначения</w:t>
            </w:r>
          </w:p>
        </w:tc>
        <w:tc>
          <w:tcPr>
            <w:tcW w:w="624" w:type="pct"/>
          </w:tcPr>
          <w:p w14:paraId="570D56D4" w14:textId="77777777" w:rsidR="00FB28D8" w:rsidRPr="00B0658A" w:rsidRDefault="00FB28D8" w:rsidP="000A4114">
            <w:pPr>
              <w:spacing w:after="0" w:line="240" w:lineRule="auto"/>
              <w:rPr>
                <w:rFonts w:ascii="Times New Roman" w:hAnsi="Times New Roman"/>
                <w:i/>
                <w:iCs/>
                <w:sz w:val="20"/>
                <w:szCs w:val="20"/>
              </w:rPr>
            </w:pPr>
          </w:p>
        </w:tc>
        <w:tc>
          <w:tcPr>
            <w:tcW w:w="1090" w:type="pct"/>
            <w:shd w:val="clear" w:color="auto" w:fill="auto"/>
          </w:tcPr>
          <w:p w14:paraId="35C8E9AB" w14:textId="77777777" w:rsidR="00FB28D8" w:rsidRPr="00B0658A" w:rsidRDefault="00FB28D8" w:rsidP="000A4114">
            <w:pPr>
              <w:spacing w:after="0" w:line="240" w:lineRule="auto"/>
              <w:rPr>
                <w:rFonts w:ascii="Times New Roman" w:hAnsi="Times New Roman"/>
                <w:i/>
                <w:iCs/>
                <w:sz w:val="20"/>
                <w:szCs w:val="20"/>
              </w:rPr>
            </w:pPr>
          </w:p>
        </w:tc>
        <w:tc>
          <w:tcPr>
            <w:tcW w:w="1036" w:type="pct"/>
            <w:shd w:val="clear" w:color="auto" w:fill="auto"/>
          </w:tcPr>
          <w:p w14:paraId="77B9191D" w14:textId="77777777" w:rsidR="00FB28D8" w:rsidRPr="00B0658A" w:rsidRDefault="00FB28D8" w:rsidP="000A4114">
            <w:pPr>
              <w:spacing w:after="0" w:line="240" w:lineRule="auto"/>
              <w:rPr>
                <w:rFonts w:ascii="Times New Roman" w:hAnsi="Times New Roman"/>
                <w:i/>
                <w:iCs/>
                <w:sz w:val="20"/>
                <w:szCs w:val="20"/>
              </w:rPr>
            </w:pPr>
          </w:p>
        </w:tc>
        <w:tc>
          <w:tcPr>
            <w:tcW w:w="894" w:type="pct"/>
            <w:shd w:val="clear" w:color="auto" w:fill="auto"/>
          </w:tcPr>
          <w:p w14:paraId="13055F21" w14:textId="77777777" w:rsidR="00FB28D8" w:rsidRPr="00B0658A" w:rsidRDefault="00FB28D8" w:rsidP="000A4114">
            <w:pPr>
              <w:spacing w:after="0" w:line="240" w:lineRule="auto"/>
              <w:jc w:val="both"/>
              <w:rPr>
                <w:rFonts w:ascii="Times New Roman" w:hAnsi="Times New Roman"/>
                <w:i/>
                <w:iCs/>
                <w:sz w:val="20"/>
                <w:szCs w:val="20"/>
              </w:rPr>
            </w:pPr>
          </w:p>
        </w:tc>
      </w:tr>
      <w:tr w:rsidR="00F52FED" w:rsidRPr="00B0658A" w14:paraId="73FE35B5" w14:textId="77777777" w:rsidTr="00B10FDE">
        <w:trPr>
          <w:trHeight w:val="170"/>
        </w:trPr>
        <w:tc>
          <w:tcPr>
            <w:tcW w:w="203" w:type="pct"/>
            <w:shd w:val="clear" w:color="auto" w:fill="auto"/>
            <w:vAlign w:val="center"/>
          </w:tcPr>
          <w:p w14:paraId="587C9696" w14:textId="77777777" w:rsidR="00FB28D8" w:rsidRPr="00B0658A" w:rsidRDefault="00FB28D8" w:rsidP="000A4114">
            <w:pPr>
              <w:spacing w:after="0" w:line="240" w:lineRule="auto"/>
              <w:rPr>
                <w:rFonts w:ascii="Times New Roman" w:hAnsi="Times New Roman"/>
                <w:sz w:val="20"/>
                <w:szCs w:val="20"/>
              </w:rPr>
            </w:pPr>
            <w:r w:rsidRPr="00B0658A">
              <w:rPr>
                <w:rFonts w:ascii="Times New Roman" w:hAnsi="Times New Roman"/>
                <w:sz w:val="20"/>
                <w:szCs w:val="20"/>
              </w:rPr>
              <w:t>2.10</w:t>
            </w:r>
          </w:p>
        </w:tc>
        <w:tc>
          <w:tcPr>
            <w:tcW w:w="1153" w:type="pct"/>
            <w:shd w:val="clear" w:color="auto" w:fill="auto"/>
            <w:vAlign w:val="center"/>
          </w:tcPr>
          <w:p w14:paraId="3EA9F0C1" w14:textId="77777777" w:rsidR="00FB28D8" w:rsidRPr="00B0658A" w:rsidRDefault="00FB28D8" w:rsidP="000A4114">
            <w:pPr>
              <w:spacing w:after="0" w:line="240" w:lineRule="auto"/>
              <w:rPr>
                <w:rFonts w:ascii="Times New Roman" w:hAnsi="Times New Roman"/>
                <w:i/>
                <w:iCs/>
                <w:sz w:val="20"/>
                <w:szCs w:val="20"/>
              </w:rPr>
            </w:pPr>
            <w:r w:rsidRPr="00B0658A">
              <w:rPr>
                <w:rFonts w:ascii="Times New Roman" w:hAnsi="Times New Roman"/>
                <w:sz w:val="20"/>
                <w:szCs w:val="20"/>
              </w:rPr>
              <w:t>Системное программное обеспечение/ Операционные системы реального времени</w:t>
            </w:r>
          </w:p>
        </w:tc>
        <w:tc>
          <w:tcPr>
            <w:tcW w:w="624" w:type="pct"/>
          </w:tcPr>
          <w:p w14:paraId="1885E40C" w14:textId="77777777" w:rsidR="00FB28D8" w:rsidRPr="00B0658A" w:rsidRDefault="00FB28D8" w:rsidP="000A4114">
            <w:pPr>
              <w:spacing w:after="0" w:line="240" w:lineRule="auto"/>
              <w:rPr>
                <w:rFonts w:ascii="Times New Roman" w:hAnsi="Times New Roman"/>
                <w:i/>
                <w:iCs/>
                <w:sz w:val="20"/>
                <w:szCs w:val="20"/>
              </w:rPr>
            </w:pPr>
          </w:p>
        </w:tc>
        <w:tc>
          <w:tcPr>
            <w:tcW w:w="1090" w:type="pct"/>
            <w:shd w:val="clear" w:color="auto" w:fill="auto"/>
          </w:tcPr>
          <w:p w14:paraId="638A6238" w14:textId="77777777" w:rsidR="00FB28D8" w:rsidRPr="00B0658A" w:rsidRDefault="00FB28D8" w:rsidP="000A4114">
            <w:pPr>
              <w:spacing w:after="0" w:line="240" w:lineRule="auto"/>
              <w:rPr>
                <w:rFonts w:ascii="Times New Roman" w:hAnsi="Times New Roman"/>
                <w:i/>
                <w:iCs/>
                <w:sz w:val="20"/>
                <w:szCs w:val="20"/>
              </w:rPr>
            </w:pPr>
          </w:p>
        </w:tc>
        <w:tc>
          <w:tcPr>
            <w:tcW w:w="1036" w:type="pct"/>
            <w:shd w:val="clear" w:color="auto" w:fill="auto"/>
          </w:tcPr>
          <w:p w14:paraId="4EE6F195" w14:textId="77777777" w:rsidR="00FB28D8" w:rsidRPr="00B0658A" w:rsidRDefault="00FB28D8" w:rsidP="000A4114">
            <w:pPr>
              <w:spacing w:after="0" w:line="240" w:lineRule="auto"/>
              <w:rPr>
                <w:rFonts w:ascii="Times New Roman" w:hAnsi="Times New Roman"/>
                <w:i/>
                <w:iCs/>
                <w:sz w:val="20"/>
                <w:szCs w:val="20"/>
              </w:rPr>
            </w:pPr>
          </w:p>
        </w:tc>
        <w:tc>
          <w:tcPr>
            <w:tcW w:w="894" w:type="pct"/>
            <w:shd w:val="clear" w:color="auto" w:fill="auto"/>
          </w:tcPr>
          <w:p w14:paraId="0CCEC8E8" w14:textId="77777777" w:rsidR="00FB28D8" w:rsidRPr="00B0658A" w:rsidRDefault="00FB28D8" w:rsidP="000A4114">
            <w:pPr>
              <w:spacing w:after="0" w:line="240" w:lineRule="auto"/>
              <w:jc w:val="both"/>
              <w:rPr>
                <w:rFonts w:ascii="Times New Roman" w:hAnsi="Times New Roman"/>
                <w:i/>
                <w:iCs/>
                <w:sz w:val="20"/>
                <w:szCs w:val="20"/>
              </w:rPr>
            </w:pPr>
          </w:p>
        </w:tc>
      </w:tr>
      <w:tr w:rsidR="00F52FED" w:rsidRPr="00B0658A" w14:paraId="748DAB10" w14:textId="77777777" w:rsidTr="00B10FDE">
        <w:trPr>
          <w:trHeight w:val="170"/>
        </w:trPr>
        <w:tc>
          <w:tcPr>
            <w:tcW w:w="203" w:type="pct"/>
            <w:shd w:val="clear" w:color="auto" w:fill="auto"/>
            <w:vAlign w:val="center"/>
          </w:tcPr>
          <w:p w14:paraId="7A5F6141" w14:textId="77777777" w:rsidR="00FB28D8" w:rsidRPr="00B0658A" w:rsidRDefault="00FB28D8" w:rsidP="000A4114">
            <w:pPr>
              <w:spacing w:after="0" w:line="240" w:lineRule="auto"/>
              <w:rPr>
                <w:rFonts w:ascii="Times New Roman" w:hAnsi="Times New Roman"/>
                <w:sz w:val="20"/>
                <w:szCs w:val="20"/>
              </w:rPr>
            </w:pPr>
            <w:r w:rsidRPr="00B0658A">
              <w:rPr>
                <w:rFonts w:ascii="Times New Roman" w:hAnsi="Times New Roman"/>
                <w:sz w:val="20"/>
                <w:szCs w:val="20"/>
              </w:rPr>
              <w:t>2.11</w:t>
            </w:r>
          </w:p>
        </w:tc>
        <w:tc>
          <w:tcPr>
            <w:tcW w:w="1153" w:type="pct"/>
            <w:shd w:val="clear" w:color="auto" w:fill="auto"/>
            <w:vAlign w:val="center"/>
          </w:tcPr>
          <w:p w14:paraId="3822E83C" w14:textId="77777777" w:rsidR="00FB28D8" w:rsidRPr="00B0658A" w:rsidRDefault="00FB28D8" w:rsidP="000A4114">
            <w:pPr>
              <w:spacing w:after="0" w:line="240" w:lineRule="auto"/>
              <w:rPr>
                <w:rFonts w:ascii="Times New Roman" w:hAnsi="Times New Roman"/>
                <w:i/>
                <w:iCs/>
                <w:sz w:val="20"/>
                <w:szCs w:val="20"/>
              </w:rPr>
            </w:pPr>
            <w:r w:rsidRPr="00B0658A">
              <w:rPr>
                <w:rFonts w:ascii="Times New Roman" w:hAnsi="Times New Roman"/>
                <w:sz w:val="20"/>
                <w:szCs w:val="20"/>
              </w:rPr>
              <w:t>Системное программное обеспечение/ Мобильная операционная система</w:t>
            </w:r>
          </w:p>
        </w:tc>
        <w:tc>
          <w:tcPr>
            <w:tcW w:w="624" w:type="pct"/>
          </w:tcPr>
          <w:p w14:paraId="2E3415BF" w14:textId="77777777" w:rsidR="00FB28D8" w:rsidRPr="00B0658A" w:rsidRDefault="00FB28D8" w:rsidP="000A4114">
            <w:pPr>
              <w:spacing w:after="0" w:line="240" w:lineRule="auto"/>
              <w:rPr>
                <w:rFonts w:ascii="Times New Roman" w:hAnsi="Times New Roman"/>
                <w:i/>
                <w:iCs/>
                <w:sz w:val="20"/>
                <w:szCs w:val="20"/>
              </w:rPr>
            </w:pPr>
          </w:p>
        </w:tc>
        <w:tc>
          <w:tcPr>
            <w:tcW w:w="1090" w:type="pct"/>
            <w:shd w:val="clear" w:color="auto" w:fill="auto"/>
          </w:tcPr>
          <w:p w14:paraId="1F3312F6" w14:textId="77777777" w:rsidR="00FB28D8" w:rsidRPr="00B0658A" w:rsidRDefault="00FB28D8" w:rsidP="000A4114">
            <w:pPr>
              <w:spacing w:after="0" w:line="240" w:lineRule="auto"/>
              <w:rPr>
                <w:rFonts w:ascii="Times New Roman" w:hAnsi="Times New Roman"/>
                <w:i/>
                <w:iCs/>
                <w:sz w:val="20"/>
                <w:szCs w:val="20"/>
              </w:rPr>
            </w:pPr>
          </w:p>
        </w:tc>
        <w:tc>
          <w:tcPr>
            <w:tcW w:w="1036" w:type="pct"/>
            <w:shd w:val="clear" w:color="auto" w:fill="auto"/>
          </w:tcPr>
          <w:p w14:paraId="056B214A" w14:textId="77777777" w:rsidR="00FB28D8" w:rsidRPr="00B0658A" w:rsidRDefault="00FB28D8" w:rsidP="000A4114">
            <w:pPr>
              <w:spacing w:after="0" w:line="240" w:lineRule="auto"/>
              <w:rPr>
                <w:rFonts w:ascii="Times New Roman" w:hAnsi="Times New Roman"/>
                <w:i/>
                <w:iCs/>
                <w:sz w:val="20"/>
                <w:szCs w:val="20"/>
              </w:rPr>
            </w:pPr>
          </w:p>
        </w:tc>
        <w:tc>
          <w:tcPr>
            <w:tcW w:w="894" w:type="pct"/>
            <w:shd w:val="clear" w:color="auto" w:fill="auto"/>
          </w:tcPr>
          <w:p w14:paraId="79E8D704" w14:textId="77777777" w:rsidR="00FB28D8" w:rsidRPr="00B0658A" w:rsidRDefault="00FB28D8" w:rsidP="000A4114">
            <w:pPr>
              <w:spacing w:after="0" w:line="240" w:lineRule="auto"/>
              <w:jc w:val="both"/>
              <w:rPr>
                <w:rFonts w:ascii="Times New Roman" w:hAnsi="Times New Roman"/>
                <w:i/>
                <w:iCs/>
                <w:sz w:val="20"/>
                <w:szCs w:val="20"/>
              </w:rPr>
            </w:pPr>
          </w:p>
        </w:tc>
      </w:tr>
      <w:tr w:rsidR="00F52FED" w:rsidRPr="00B0658A" w14:paraId="22953B76" w14:textId="77777777" w:rsidTr="00B10FDE">
        <w:trPr>
          <w:trHeight w:val="170"/>
        </w:trPr>
        <w:tc>
          <w:tcPr>
            <w:tcW w:w="203" w:type="pct"/>
            <w:shd w:val="clear" w:color="auto" w:fill="auto"/>
            <w:vAlign w:val="center"/>
          </w:tcPr>
          <w:p w14:paraId="79E87354" w14:textId="77777777" w:rsidR="00FB28D8" w:rsidRPr="00B0658A" w:rsidRDefault="00FB28D8" w:rsidP="000A4114">
            <w:pPr>
              <w:spacing w:after="0" w:line="240" w:lineRule="auto"/>
              <w:rPr>
                <w:rFonts w:ascii="Times New Roman" w:hAnsi="Times New Roman"/>
                <w:sz w:val="20"/>
                <w:szCs w:val="20"/>
              </w:rPr>
            </w:pPr>
            <w:r w:rsidRPr="00B0658A">
              <w:rPr>
                <w:rFonts w:ascii="Times New Roman" w:hAnsi="Times New Roman"/>
                <w:sz w:val="20"/>
                <w:szCs w:val="20"/>
              </w:rPr>
              <w:t>2.12</w:t>
            </w:r>
          </w:p>
        </w:tc>
        <w:tc>
          <w:tcPr>
            <w:tcW w:w="1153" w:type="pct"/>
            <w:shd w:val="clear" w:color="auto" w:fill="auto"/>
            <w:vAlign w:val="center"/>
          </w:tcPr>
          <w:p w14:paraId="659D5AB8" w14:textId="77777777" w:rsidR="00FB28D8" w:rsidRPr="00B0658A" w:rsidRDefault="00FB28D8" w:rsidP="000A4114">
            <w:pPr>
              <w:spacing w:after="0" w:line="240" w:lineRule="auto"/>
              <w:rPr>
                <w:rFonts w:ascii="Times New Roman" w:hAnsi="Times New Roman"/>
                <w:i/>
                <w:iCs/>
                <w:sz w:val="20"/>
                <w:szCs w:val="20"/>
              </w:rPr>
            </w:pPr>
            <w:r w:rsidRPr="00B0658A">
              <w:rPr>
                <w:rFonts w:ascii="Times New Roman" w:hAnsi="Times New Roman"/>
                <w:sz w:val="20"/>
                <w:szCs w:val="20"/>
              </w:rPr>
              <w:t>Системное программное обеспечение / Системы контейнеризации и контейнеры</w:t>
            </w:r>
          </w:p>
        </w:tc>
        <w:tc>
          <w:tcPr>
            <w:tcW w:w="624" w:type="pct"/>
          </w:tcPr>
          <w:p w14:paraId="60AE32C3" w14:textId="77777777" w:rsidR="00FB28D8" w:rsidRPr="00B0658A" w:rsidRDefault="00FB28D8" w:rsidP="000A4114">
            <w:pPr>
              <w:spacing w:after="0" w:line="240" w:lineRule="auto"/>
              <w:rPr>
                <w:rFonts w:ascii="Times New Roman" w:hAnsi="Times New Roman"/>
                <w:i/>
                <w:iCs/>
                <w:sz w:val="20"/>
                <w:szCs w:val="20"/>
              </w:rPr>
            </w:pPr>
          </w:p>
        </w:tc>
        <w:tc>
          <w:tcPr>
            <w:tcW w:w="1090" w:type="pct"/>
            <w:shd w:val="clear" w:color="auto" w:fill="auto"/>
          </w:tcPr>
          <w:p w14:paraId="15DE4E97" w14:textId="77777777" w:rsidR="00FB28D8" w:rsidRPr="00B0658A" w:rsidRDefault="00FB28D8" w:rsidP="000A4114">
            <w:pPr>
              <w:spacing w:after="0" w:line="240" w:lineRule="auto"/>
              <w:rPr>
                <w:rFonts w:ascii="Times New Roman" w:hAnsi="Times New Roman"/>
                <w:i/>
                <w:iCs/>
                <w:sz w:val="20"/>
                <w:szCs w:val="20"/>
              </w:rPr>
            </w:pPr>
          </w:p>
        </w:tc>
        <w:tc>
          <w:tcPr>
            <w:tcW w:w="1036" w:type="pct"/>
            <w:shd w:val="clear" w:color="auto" w:fill="auto"/>
          </w:tcPr>
          <w:p w14:paraId="0C79B1FA" w14:textId="77777777" w:rsidR="00FB28D8" w:rsidRPr="00B0658A" w:rsidRDefault="00FB28D8" w:rsidP="000A4114">
            <w:pPr>
              <w:spacing w:after="0" w:line="240" w:lineRule="auto"/>
              <w:rPr>
                <w:rFonts w:ascii="Times New Roman" w:hAnsi="Times New Roman"/>
                <w:i/>
                <w:iCs/>
                <w:sz w:val="20"/>
                <w:szCs w:val="20"/>
              </w:rPr>
            </w:pPr>
          </w:p>
        </w:tc>
        <w:tc>
          <w:tcPr>
            <w:tcW w:w="894" w:type="pct"/>
            <w:shd w:val="clear" w:color="auto" w:fill="auto"/>
          </w:tcPr>
          <w:p w14:paraId="33AD835C" w14:textId="77777777" w:rsidR="00FB28D8" w:rsidRPr="00B0658A" w:rsidRDefault="00FB28D8" w:rsidP="000A4114">
            <w:pPr>
              <w:spacing w:after="0" w:line="240" w:lineRule="auto"/>
              <w:jc w:val="both"/>
              <w:rPr>
                <w:rFonts w:ascii="Times New Roman" w:hAnsi="Times New Roman"/>
                <w:i/>
                <w:iCs/>
                <w:sz w:val="20"/>
                <w:szCs w:val="20"/>
              </w:rPr>
            </w:pPr>
          </w:p>
        </w:tc>
      </w:tr>
      <w:tr w:rsidR="00F52FED" w:rsidRPr="00B0658A" w14:paraId="38E9F191" w14:textId="77777777" w:rsidTr="00B10FDE">
        <w:trPr>
          <w:trHeight w:val="170"/>
        </w:trPr>
        <w:tc>
          <w:tcPr>
            <w:tcW w:w="203" w:type="pct"/>
            <w:shd w:val="clear" w:color="auto" w:fill="auto"/>
            <w:vAlign w:val="center"/>
          </w:tcPr>
          <w:p w14:paraId="5216EBF1" w14:textId="77777777" w:rsidR="00FB28D8" w:rsidRPr="00B0658A" w:rsidRDefault="00FB28D8" w:rsidP="000A4114">
            <w:pPr>
              <w:spacing w:after="0" w:line="240" w:lineRule="auto"/>
              <w:rPr>
                <w:rFonts w:ascii="Times New Roman" w:hAnsi="Times New Roman"/>
                <w:sz w:val="20"/>
                <w:szCs w:val="20"/>
              </w:rPr>
            </w:pPr>
            <w:r w:rsidRPr="00B0658A">
              <w:rPr>
                <w:rFonts w:ascii="Times New Roman" w:hAnsi="Times New Roman"/>
                <w:sz w:val="20"/>
                <w:szCs w:val="20"/>
              </w:rPr>
              <w:t>3.1</w:t>
            </w:r>
          </w:p>
        </w:tc>
        <w:tc>
          <w:tcPr>
            <w:tcW w:w="1153" w:type="pct"/>
            <w:shd w:val="clear" w:color="auto" w:fill="auto"/>
            <w:vAlign w:val="center"/>
          </w:tcPr>
          <w:p w14:paraId="546660BB" w14:textId="77777777" w:rsidR="00FB28D8" w:rsidRPr="00B0658A" w:rsidRDefault="00FB28D8" w:rsidP="000A4114">
            <w:pPr>
              <w:spacing w:after="0" w:line="240" w:lineRule="auto"/>
              <w:rPr>
                <w:rFonts w:ascii="Times New Roman" w:hAnsi="Times New Roman"/>
                <w:sz w:val="20"/>
                <w:szCs w:val="20"/>
              </w:rPr>
            </w:pPr>
            <w:r w:rsidRPr="00B0658A">
              <w:rPr>
                <w:rFonts w:ascii="Times New Roman" w:hAnsi="Times New Roman"/>
                <w:sz w:val="20"/>
                <w:szCs w:val="20"/>
              </w:rPr>
              <w:t>Средства обеспечения информационной безопасности/ Средства защиты от несанкционированного доступа к информации</w:t>
            </w:r>
          </w:p>
        </w:tc>
        <w:tc>
          <w:tcPr>
            <w:tcW w:w="624" w:type="pct"/>
          </w:tcPr>
          <w:p w14:paraId="7699BA26" w14:textId="77777777" w:rsidR="00FB28D8" w:rsidRPr="00B0658A" w:rsidRDefault="00FB28D8" w:rsidP="000A4114">
            <w:pPr>
              <w:spacing w:after="0" w:line="240" w:lineRule="auto"/>
              <w:rPr>
                <w:rFonts w:ascii="Times New Roman" w:hAnsi="Times New Roman"/>
                <w:i/>
                <w:iCs/>
                <w:sz w:val="20"/>
                <w:szCs w:val="20"/>
              </w:rPr>
            </w:pPr>
          </w:p>
        </w:tc>
        <w:tc>
          <w:tcPr>
            <w:tcW w:w="1090" w:type="pct"/>
            <w:shd w:val="clear" w:color="auto" w:fill="auto"/>
          </w:tcPr>
          <w:p w14:paraId="02874A4E" w14:textId="77777777" w:rsidR="00FB28D8" w:rsidRPr="00B0658A" w:rsidRDefault="00FB28D8" w:rsidP="000A4114">
            <w:pPr>
              <w:spacing w:after="0" w:line="240" w:lineRule="auto"/>
              <w:rPr>
                <w:rFonts w:ascii="Times New Roman" w:hAnsi="Times New Roman"/>
                <w:i/>
                <w:iCs/>
                <w:sz w:val="20"/>
                <w:szCs w:val="20"/>
              </w:rPr>
            </w:pPr>
          </w:p>
        </w:tc>
        <w:tc>
          <w:tcPr>
            <w:tcW w:w="1036" w:type="pct"/>
            <w:shd w:val="clear" w:color="auto" w:fill="auto"/>
          </w:tcPr>
          <w:p w14:paraId="1B3A479D" w14:textId="77777777" w:rsidR="00FB28D8" w:rsidRPr="00B0658A" w:rsidRDefault="00FB28D8" w:rsidP="000A4114">
            <w:pPr>
              <w:spacing w:after="0" w:line="240" w:lineRule="auto"/>
              <w:rPr>
                <w:rFonts w:ascii="Times New Roman" w:hAnsi="Times New Roman"/>
                <w:i/>
                <w:iCs/>
                <w:sz w:val="20"/>
                <w:szCs w:val="20"/>
              </w:rPr>
            </w:pPr>
          </w:p>
        </w:tc>
        <w:tc>
          <w:tcPr>
            <w:tcW w:w="894" w:type="pct"/>
            <w:shd w:val="clear" w:color="auto" w:fill="auto"/>
          </w:tcPr>
          <w:p w14:paraId="25DA0B23" w14:textId="77777777" w:rsidR="00FB28D8" w:rsidRPr="00B0658A" w:rsidRDefault="00FB28D8" w:rsidP="000A4114">
            <w:pPr>
              <w:spacing w:after="0" w:line="240" w:lineRule="auto"/>
              <w:jc w:val="both"/>
              <w:rPr>
                <w:rFonts w:ascii="Times New Roman" w:hAnsi="Times New Roman"/>
                <w:i/>
                <w:iCs/>
                <w:sz w:val="20"/>
                <w:szCs w:val="20"/>
              </w:rPr>
            </w:pPr>
          </w:p>
        </w:tc>
      </w:tr>
      <w:tr w:rsidR="00F52FED" w:rsidRPr="00B0658A" w14:paraId="13E1A44B" w14:textId="77777777" w:rsidTr="00B10FDE">
        <w:trPr>
          <w:trHeight w:val="170"/>
        </w:trPr>
        <w:tc>
          <w:tcPr>
            <w:tcW w:w="203" w:type="pct"/>
            <w:shd w:val="clear" w:color="auto" w:fill="auto"/>
            <w:vAlign w:val="center"/>
          </w:tcPr>
          <w:p w14:paraId="01E515D5" w14:textId="77777777" w:rsidR="00FB28D8" w:rsidRPr="00B0658A" w:rsidRDefault="00FB28D8" w:rsidP="000A4114">
            <w:pPr>
              <w:spacing w:after="0" w:line="240" w:lineRule="auto"/>
              <w:rPr>
                <w:rFonts w:ascii="Times New Roman" w:hAnsi="Times New Roman"/>
                <w:sz w:val="20"/>
                <w:szCs w:val="20"/>
              </w:rPr>
            </w:pPr>
            <w:r w:rsidRPr="00B0658A">
              <w:rPr>
                <w:rFonts w:ascii="Times New Roman" w:hAnsi="Times New Roman"/>
                <w:sz w:val="20"/>
                <w:szCs w:val="20"/>
              </w:rPr>
              <w:t>3.2</w:t>
            </w:r>
          </w:p>
        </w:tc>
        <w:tc>
          <w:tcPr>
            <w:tcW w:w="1153" w:type="pct"/>
            <w:shd w:val="clear" w:color="auto" w:fill="auto"/>
            <w:vAlign w:val="center"/>
          </w:tcPr>
          <w:p w14:paraId="4C832ACD" w14:textId="77777777" w:rsidR="00FB28D8" w:rsidRPr="00B0658A" w:rsidRDefault="00FB28D8" w:rsidP="000A4114">
            <w:pPr>
              <w:spacing w:after="0" w:line="240" w:lineRule="auto"/>
              <w:rPr>
                <w:rFonts w:ascii="Times New Roman" w:hAnsi="Times New Roman"/>
                <w:sz w:val="20"/>
                <w:szCs w:val="20"/>
              </w:rPr>
            </w:pPr>
            <w:r w:rsidRPr="00B0658A">
              <w:rPr>
                <w:rFonts w:ascii="Times New Roman" w:hAnsi="Times New Roman"/>
                <w:sz w:val="20"/>
                <w:szCs w:val="20"/>
              </w:rPr>
              <w:t>Средства обеспечения информационной безопасности/ Средства управления событиями информационной безопасности</w:t>
            </w:r>
          </w:p>
        </w:tc>
        <w:tc>
          <w:tcPr>
            <w:tcW w:w="624" w:type="pct"/>
          </w:tcPr>
          <w:p w14:paraId="5F0DCA92" w14:textId="77777777" w:rsidR="00FB28D8" w:rsidRPr="00B0658A" w:rsidRDefault="00FB28D8" w:rsidP="000A4114">
            <w:pPr>
              <w:spacing w:after="0" w:line="240" w:lineRule="auto"/>
              <w:rPr>
                <w:rFonts w:ascii="Times New Roman" w:hAnsi="Times New Roman"/>
                <w:i/>
                <w:iCs/>
                <w:sz w:val="20"/>
                <w:szCs w:val="20"/>
              </w:rPr>
            </w:pPr>
          </w:p>
        </w:tc>
        <w:tc>
          <w:tcPr>
            <w:tcW w:w="1090" w:type="pct"/>
            <w:shd w:val="clear" w:color="auto" w:fill="auto"/>
          </w:tcPr>
          <w:p w14:paraId="2F213A8D" w14:textId="77777777" w:rsidR="00FB28D8" w:rsidRPr="00B0658A" w:rsidRDefault="00FB28D8" w:rsidP="000A4114">
            <w:pPr>
              <w:spacing w:after="0" w:line="240" w:lineRule="auto"/>
              <w:rPr>
                <w:rFonts w:ascii="Times New Roman" w:hAnsi="Times New Roman"/>
                <w:i/>
                <w:iCs/>
                <w:sz w:val="20"/>
                <w:szCs w:val="20"/>
              </w:rPr>
            </w:pPr>
          </w:p>
        </w:tc>
        <w:tc>
          <w:tcPr>
            <w:tcW w:w="1036" w:type="pct"/>
            <w:shd w:val="clear" w:color="auto" w:fill="auto"/>
          </w:tcPr>
          <w:p w14:paraId="28D00233" w14:textId="77777777" w:rsidR="00FB28D8" w:rsidRPr="00B0658A" w:rsidRDefault="00FB28D8" w:rsidP="000A4114">
            <w:pPr>
              <w:spacing w:after="0" w:line="240" w:lineRule="auto"/>
              <w:rPr>
                <w:rFonts w:ascii="Times New Roman" w:hAnsi="Times New Roman"/>
                <w:i/>
                <w:iCs/>
                <w:sz w:val="20"/>
                <w:szCs w:val="20"/>
              </w:rPr>
            </w:pPr>
          </w:p>
        </w:tc>
        <w:tc>
          <w:tcPr>
            <w:tcW w:w="894" w:type="pct"/>
            <w:shd w:val="clear" w:color="auto" w:fill="auto"/>
          </w:tcPr>
          <w:p w14:paraId="4EF1233C" w14:textId="77777777" w:rsidR="00FB28D8" w:rsidRPr="00B0658A" w:rsidRDefault="00FB28D8" w:rsidP="000A4114">
            <w:pPr>
              <w:spacing w:after="0" w:line="240" w:lineRule="auto"/>
              <w:jc w:val="both"/>
              <w:rPr>
                <w:rFonts w:ascii="Times New Roman" w:hAnsi="Times New Roman"/>
                <w:i/>
                <w:iCs/>
                <w:sz w:val="20"/>
                <w:szCs w:val="20"/>
              </w:rPr>
            </w:pPr>
          </w:p>
        </w:tc>
      </w:tr>
      <w:tr w:rsidR="00F52FED" w:rsidRPr="00B0658A" w14:paraId="3FA764B4" w14:textId="77777777" w:rsidTr="00B10FDE">
        <w:trPr>
          <w:trHeight w:val="170"/>
        </w:trPr>
        <w:tc>
          <w:tcPr>
            <w:tcW w:w="203" w:type="pct"/>
            <w:shd w:val="clear" w:color="auto" w:fill="auto"/>
            <w:vAlign w:val="center"/>
          </w:tcPr>
          <w:p w14:paraId="52688F83" w14:textId="77777777" w:rsidR="00FB28D8" w:rsidRPr="00B0658A" w:rsidRDefault="00FB28D8" w:rsidP="000A4114">
            <w:pPr>
              <w:spacing w:after="0" w:line="240" w:lineRule="auto"/>
              <w:rPr>
                <w:rFonts w:ascii="Times New Roman" w:hAnsi="Times New Roman"/>
                <w:sz w:val="20"/>
                <w:szCs w:val="20"/>
              </w:rPr>
            </w:pPr>
            <w:r w:rsidRPr="00B0658A">
              <w:rPr>
                <w:rFonts w:ascii="Times New Roman" w:hAnsi="Times New Roman"/>
                <w:sz w:val="20"/>
                <w:szCs w:val="20"/>
              </w:rPr>
              <w:t>3.3</w:t>
            </w:r>
          </w:p>
        </w:tc>
        <w:tc>
          <w:tcPr>
            <w:tcW w:w="1153" w:type="pct"/>
            <w:shd w:val="clear" w:color="auto" w:fill="auto"/>
            <w:vAlign w:val="center"/>
          </w:tcPr>
          <w:p w14:paraId="10566C42" w14:textId="77777777" w:rsidR="00FB28D8" w:rsidRPr="00B0658A" w:rsidRDefault="00FB28D8" w:rsidP="000A4114">
            <w:pPr>
              <w:spacing w:after="0" w:line="240" w:lineRule="auto"/>
              <w:rPr>
                <w:rFonts w:ascii="Times New Roman" w:hAnsi="Times New Roman"/>
                <w:sz w:val="20"/>
                <w:szCs w:val="20"/>
              </w:rPr>
            </w:pPr>
            <w:r w:rsidRPr="00B0658A">
              <w:rPr>
                <w:rFonts w:ascii="Times New Roman" w:hAnsi="Times New Roman"/>
                <w:sz w:val="20"/>
                <w:szCs w:val="20"/>
              </w:rPr>
              <w:t>Средства обеспечения информационной безопасности/ Межсетевые экраны</w:t>
            </w:r>
          </w:p>
        </w:tc>
        <w:tc>
          <w:tcPr>
            <w:tcW w:w="624" w:type="pct"/>
          </w:tcPr>
          <w:p w14:paraId="5E83E762" w14:textId="77777777" w:rsidR="00FB28D8" w:rsidRPr="00B0658A" w:rsidRDefault="00FB28D8" w:rsidP="000A4114">
            <w:pPr>
              <w:spacing w:after="0" w:line="240" w:lineRule="auto"/>
              <w:rPr>
                <w:rFonts w:ascii="Times New Roman" w:hAnsi="Times New Roman"/>
                <w:i/>
                <w:iCs/>
                <w:sz w:val="20"/>
                <w:szCs w:val="20"/>
              </w:rPr>
            </w:pPr>
          </w:p>
        </w:tc>
        <w:tc>
          <w:tcPr>
            <w:tcW w:w="1090" w:type="pct"/>
            <w:shd w:val="clear" w:color="auto" w:fill="auto"/>
          </w:tcPr>
          <w:p w14:paraId="0550786A" w14:textId="77777777" w:rsidR="00FB28D8" w:rsidRPr="00B0658A" w:rsidRDefault="00FB28D8" w:rsidP="000A4114">
            <w:pPr>
              <w:spacing w:after="0" w:line="240" w:lineRule="auto"/>
              <w:rPr>
                <w:rFonts w:ascii="Times New Roman" w:hAnsi="Times New Roman"/>
                <w:i/>
                <w:iCs/>
                <w:sz w:val="20"/>
                <w:szCs w:val="20"/>
              </w:rPr>
            </w:pPr>
          </w:p>
        </w:tc>
        <w:tc>
          <w:tcPr>
            <w:tcW w:w="1036" w:type="pct"/>
            <w:shd w:val="clear" w:color="auto" w:fill="auto"/>
          </w:tcPr>
          <w:p w14:paraId="7B283DDD" w14:textId="77777777" w:rsidR="00FB28D8" w:rsidRPr="00B0658A" w:rsidRDefault="00FB28D8" w:rsidP="000A4114">
            <w:pPr>
              <w:spacing w:after="0" w:line="240" w:lineRule="auto"/>
              <w:rPr>
                <w:rFonts w:ascii="Times New Roman" w:hAnsi="Times New Roman"/>
                <w:i/>
                <w:iCs/>
                <w:sz w:val="20"/>
                <w:szCs w:val="20"/>
              </w:rPr>
            </w:pPr>
          </w:p>
        </w:tc>
        <w:tc>
          <w:tcPr>
            <w:tcW w:w="894" w:type="pct"/>
            <w:shd w:val="clear" w:color="auto" w:fill="auto"/>
          </w:tcPr>
          <w:p w14:paraId="51DA52CD" w14:textId="77777777" w:rsidR="00FB28D8" w:rsidRPr="00B0658A" w:rsidRDefault="00FB28D8" w:rsidP="000A4114">
            <w:pPr>
              <w:spacing w:after="0" w:line="240" w:lineRule="auto"/>
              <w:jc w:val="both"/>
              <w:rPr>
                <w:rFonts w:ascii="Times New Roman" w:hAnsi="Times New Roman"/>
                <w:i/>
                <w:iCs/>
                <w:sz w:val="20"/>
                <w:szCs w:val="20"/>
              </w:rPr>
            </w:pPr>
          </w:p>
        </w:tc>
      </w:tr>
      <w:tr w:rsidR="00F52FED" w:rsidRPr="00B0658A" w14:paraId="0703176F" w14:textId="77777777" w:rsidTr="00B10FDE">
        <w:trPr>
          <w:trHeight w:val="170"/>
        </w:trPr>
        <w:tc>
          <w:tcPr>
            <w:tcW w:w="203" w:type="pct"/>
            <w:shd w:val="clear" w:color="auto" w:fill="auto"/>
            <w:vAlign w:val="center"/>
          </w:tcPr>
          <w:p w14:paraId="13CF2C41" w14:textId="77777777" w:rsidR="00FB28D8" w:rsidRPr="00B0658A" w:rsidRDefault="00FB28D8" w:rsidP="000A4114">
            <w:pPr>
              <w:spacing w:after="0" w:line="240" w:lineRule="auto"/>
              <w:rPr>
                <w:rFonts w:ascii="Times New Roman" w:hAnsi="Times New Roman"/>
                <w:sz w:val="20"/>
                <w:szCs w:val="20"/>
              </w:rPr>
            </w:pPr>
            <w:r w:rsidRPr="00B0658A">
              <w:rPr>
                <w:rFonts w:ascii="Times New Roman" w:hAnsi="Times New Roman"/>
                <w:sz w:val="20"/>
                <w:szCs w:val="20"/>
              </w:rPr>
              <w:t>3.4</w:t>
            </w:r>
          </w:p>
        </w:tc>
        <w:tc>
          <w:tcPr>
            <w:tcW w:w="1153" w:type="pct"/>
            <w:shd w:val="clear" w:color="auto" w:fill="auto"/>
            <w:vAlign w:val="center"/>
          </w:tcPr>
          <w:p w14:paraId="0DE16B72" w14:textId="77777777" w:rsidR="00FB28D8" w:rsidRPr="00B0658A" w:rsidRDefault="00FB28D8" w:rsidP="000A4114">
            <w:pPr>
              <w:spacing w:after="0" w:line="240" w:lineRule="auto"/>
              <w:rPr>
                <w:rFonts w:ascii="Times New Roman" w:hAnsi="Times New Roman"/>
                <w:sz w:val="20"/>
                <w:szCs w:val="20"/>
              </w:rPr>
            </w:pPr>
            <w:r w:rsidRPr="00B0658A">
              <w:rPr>
                <w:rFonts w:ascii="Times New Roman" w:hAnsi="Times New Roman"/>
                <w:sz w:val="20"/>
                <w:szCs w:val="20"/>
              </w:rPr>
              <w:t>Средства обеспечения информационной безопасности/ Средства фильтрации негативного контента</w:t>
            </w:r>
          </w:p>
        </w:tc>
        <w:tc>
          <w:tcPr>
            <w:tcW w:w="624" w:type="pct"/>
          </w:tcPr>
          <w:p w14:paraId="1BE39FE0" w14:textId="77777777" w:rsidR="00FB28D8" w:rsidRPr="00B0658A" w:rsidRDefault="00FB28D8" w:rsidP="000A4114">
            <w:pPr>
              <w:spacing w:after="0" w:line="240" w:lineRule="auto"/>
              <w:rPr>
                <w:rFonts w:ascii="Times New Roman" w:hAnsi="Times New Roman"/>
                <w:i/>
                <w:iCs/>
                <w:sz w:val="20"/>
                <w:szCs w:val="20"/>
              </w:rPr>
            </w:pPr>
          </w:p>
        </w:tc>
        <w:tc>
          <w:tcPr>
            <w:tcW w:w="1090" w:type="pct"/>
            <w:shd w:val="clear" w:color="auto" w:fill="auto"/>
          </w:tcPr>
          <w:p w14:paraId="06791557" w14:textId="77777777" w:rsidR="00FB28D8" w:rsidRPr="00B0658A" w:rsidRDefault="00FB28D8" w:rsidP="000A4114">
            <w:pPr>
              <w:spacing w:after="0" w:line="240" w:lineRule="auto"/>
              <w:rPr>
                <w:rFonts w:ascii="Times New Roman" w:hAnsi="Times New Roman"/>
                <w:i/>
                <w:iCs/>
                <w:sz w:val="20"/>
                <w:szCs w:val="20"/>
              </w:rPr>
            </w:pPr>
          </w:p>
        </w:tc>
        <w:tc>
          <w:tcPr>
            <w:tcW w:w="1036" w:type="pct"/>
            <w:shd w:val="clear" w:color="auto" w:fill="auto"/>
          </w:tcPr>
          <w:p w14:paraId="6E347096" w14:textId="77777777" w:rsidR="00FB28D8" w:rsidRPr="00B0658A" w:rsidRDefault="00FB28D8" w:rsidP="000A4114">
            <w:pPr>
              <w:spacing w:after="0" w:line="240" w:lineRule="auto"/>
              <w:rPr>
                <w:rFonts w:ascii="Times New Roman" w:hAnsi="Times New Roman"/>
                <w:i/>
                <w:iCs/>
                <w:sz w:val="20"/>
                <w:szCs w:val="20"/>
              </w:rPr>
            </w:pPr>
          </w:p>
        </w:tc>
        <w:tc>
          <w:tcPr>
            <w:tcW w:w="894" w:type="pct"/>
            <w:shd w:val="clear" w:color="auto" w:fill="auto"/>
          </w:tcPr>
          <w:p w14:paraId="6CD01D5B" w14:textId="77777777" w:rsidR="00FB28D8" w:rsidRPr="00B0658A" w:rsidRDefault="00FB28D8" w:rsidP="000A4114">
            <w:pPr>
              <w:spacing w:after="0" w:line="240" w:lineRule="auto"/>
              <w:jc w:val="both"/>
              <w:rPr>
                <w:rFonts w:ascii="Times New Roman" w:hAnsi="Times New Roman"/>
                <w:i/>
                <w:iCs/>
                <w:sz w:val="20"/>
                <w:szCs w:val="20"/>
              </w:rPr>
            </w:pPr>
          </w:p>
        </w:tc>
      </w:tr>
      <w:tr w:rsidR="00F52FED" w:rsidRPr="00B0658A" w14:paraId="18F74738" w14:textId="77777777" w:rsidTr="00B10FDE">
        <w:trPr>
          <w:trHeight w:val="170"/>
        </w:trPr>
        <w:tc>
          <w:tcPr>
            <w:tcW w:w="203" w:type="pct"/>
            <w:shd w:val="clear" w:color="auto" w:fill="auto"/>
            <w:vAlign w:val="center"/>
          </w:tcPr>
          <w:p w14:paraId="1CA6BC0B" w14:textId="77777777" w:rsidR="00FB28D8" w:rsidRPr="00B0658A" w:rsidRDefault="00FB28D8" w:rsidP="000A4114">
            <w:pPr>
              <w:spacing w:after="0" w:line="240" w:lineRule="auto"/>
              <w:rPr>
                <w:rFonts w:ascii="Times New Roman" w:hAnsi="Times New Roman"/>
                <w:sz w:val="20"/>
                <w:szCs w:val="20"/>
              </w:rPr>
            </w:pPr>
            <w:r w:rsidRPr="00B0658A">
              <w:rPr>
                <w:rFonts w:ascii="Times New Roman" w:hAnsi="Times New Roman"/>
                <w:sz w:val="20"/>
                <w:szCs w:val="20"/>
              </w:rPr>
              <w:t>3.5</w:t>
            </w:r>
          </w:p>
        </w:tc>
        <w:tc>
          <w:tcPr>
            <w:tcW w:w="1153" w:type="pct"/>
            <w:shd w:val="clear" w:color="auto" w:fill="auto"/>
            <w:vAlign w:val="center"/>
          </w:tcPr>
          <w:p w14:paraId="4388A6BF" w14:textId="77777777" w:rsidR="00FB28D8" w:rsidRPr="00B0658A" w:rsidRDefault="00FB28D8" w:rsidP="000A4114">
            <w:pPr>
              <w:spacing w:after="0" w:line="240" w:lineRule="auto"/>
              <w:rPr>
                <w:rFonts w:ascii="Times New Roman" w:hAnsi="Times New Roman"/>
                <w:sz w:val="20"/>
                <w:szCs w:val="20"/>
              </w:rPr>
            </w:pPr>
            <w:r w:rsidRPr="00B0658A">
              <w:rPr>
                <w:rFonts w:ascii="Times New Roman" w:hAnsi="Times New Roman"/>
                <w:sz w:val="20"/>
                <w:szCs w:val="20"/>
              </w:rPr>
              <w:t>Средства обеспечения информационной безопасности/ Средства защиты сервисов онлайн-платежей и дистанционного банковского обслуживания</w:t>
            </w:r>
          </w:p>
        </w:tc>
        <w:tc>
          <w:tcPr>
            <w:tcW w:w="624" w:type="pct"/>
          </w:tcPr>
          <w:p w14:paraId="6C71C26E" w14:textId="77777777" w:rsidR="00FB28D8" w:rsidRPr="00B0658A" w:rsidRDefault="00FB28D8" w:rsidP="000A4114">
            <w:pPr>
              <w:spacing w:after="0" w:line="240" w:lineRule="auto"/>
              <w:rPr>
                <w:rFonts w:ascii="Times New Roman" w:hAnsi="Times New Roman"/>
                <w:i/>
                <w:iCs/>
                <w:sz w:val="20"/>
                <w:szCs w:val="20"/>
              </w:rPr>
            </w:pPr>
          </w:p>
        </w:tc>
        <w:tc>
          <w:tcPr>
            <w:tcW w:w="1090" w:type="pct"/>
            <w:shd w:val="clear" w:color="auto" w:fill="auto"/>
          </w:tcPr>
          <w:p w14:paraId="633CD604" w14:textId="77777777" w:rsidR="00FB28D8" w:rsidRPr="00B0658A" w:rsidRDefault="00FB28D8" w:rsidP="000A4114">
            <w:pPr>
              <w:spacing w:after="0" w:line="240" w:lineRule="auto"/>
              <w:rPr>
                <w:rFonts w:ascii="Times New Roman" w:hAnsi="Times New Roman"/>
                <w:i/>
                <w:iCs/>
                <w:sz w:val="20"/>
                <w:szCs w:val="20"/>
              </w:rPr>
            </w:pPr>
          </w:p>
        </w:tc>
        <w:tc>
          <w:tcPr>
            <w:tcW w:w="1036" w:type="pct"/>
            <w:shd w:val="clear" w:color="auto" w:fill="auto"/>
          </w:tcPr>
          <w:p w14:paraId="2FEB5290" w14:textId="77777777" w:rsidR="00FB28D8" w:rsidRPr="00B0658A" w:rsidRDefault="00FB28D8" w:rsidP="000A4114">
            <w:pPr>
              <w:spacing w:after="0" w:line="240" w:lineRule="auto"/>
              <w:rPr>
                <w:rFonts w:ascii="Times New Roman" w:hAnsi="Times New Roman"/>
                <w:i/>
                <w:iCs/>
                <w:sz w:val="20"/>
                <w:szCs w:val="20"/>
              </w:rPr>
            </w:pPr>
          </w:p>
        </w:tc>
        <w:tc>
          <w:tcPr>
            <w:tcW w:w="894" w:type="pct"/>
            <w:shd w:val="clear" w:color="auto" w:fill="auto"/>
          </w:tcPr>
          <w:p w14:paraId="71CB227F" w14:textId="77777777" w:rsidR="00FB28D8" w:rsidRPr="00B0658A" w:rsidRDefault="00FB28D8" w:rsidP="000A4114">
            <w:pPr>
              <w:spacing w:after="0" w:line="240" w:lineRule="auto"/>
              <w:jc w:val="both"/>
              <w:rPr>
                <w:rFonts w:ascii="Times New Roman" w:hAnsi="Times New Roman"/>
                <w:i/>
                <w:iCs/>
                <w:sz w:val="20"/>
                <w:szCs w:val="20"/>
              </w:rPr>
            </w:pPr>
          </w:p>
        </w:tc>
      </w:tr>
      <w:tr w:rsidR="00F52FED" w:rsidRPr="00B0658A" w14:paraId="0B8B2552" w14:textId="77777777" w:rsidTr="00B10FDE">
        <w:trPr>
          <w:trHeight w:val="170"/>
        </w:trPr>
        <w:tc>
          <w:tcPr>
            <w:tcW w:w="203" w:type="pct"/>
            <w:shd w:val="clear" w:color="auto" w:fill="auto"/>
            <w:vAlign w:val="center"/>
          </w:tcPr>
          <w:p w14:paraId="6173E42B" w14:textId="77777777" w:rsidR="00FB28D8" w:rsidRPr="00B0658A" w:rsidRDefault="00FB28D8" w:rsidP="000A4114">
            <w:pPr>
              <w:spacing w:after="0" w:line="240" w:lineRule="auto"/>
              <w:rPr>
                <w:rFonts w:ascii="Times New Roman" w:hAnsi="Times New Roman"/>
                <w:sz w:val="20"/>
                <w:szCs w:val="20"/>
              </w:rPr>
            </w:pPr>
            <w:r w:rsidRPr="00B0658A">
              <w:rPr>
                <w:rFonts w:ascii="Times New Roman" w:hAnsi="Times New Roman"/>
                <w:sz w:val="20"/>
                <w:szCs w:val="20"/>
              </w:rPr>
              <w:t>3.6</w:t>
            </w:r>
          </w:p>
        </w:tc>
        <w:tc>
          <w:tcPr>
            <w:tcW w:w="1153" w:type="pct"/>
            <w:shd w:val="clear" w:color="auto" w:fill="auto"/>
            <w:vAlign w:val="center"/>
          </w:tcPr>
          <w:p w14:paraId="360521A2" w14:textId="77777777" w:rsidR="00FB28D8" w:rsidRPr="00B0658A" w:rsidRDefault="00FB28D8" w:rsidP="000A4114">
            <w:pPr>
              <w:spacing w:after="0" w:line="240" w:lineRule="auto"/>
              <w:rPr>
                <w:rFonts w:ascii="Times New Roman" w:hAnsi="Times New Roman"/>
                <w:sz w:val="20"/>
                <w:szCs w:val="20"/>
              </w:rPr>
            </w:pPr>
            <w:r w:rsidRPr="00B0658A">
              <w:rPr>
                <w:rFonts w:ascii="Times New Roman" w:hAnsi="Times New Roman"/>
                <w:sz w:val="20"/>
                <w:szCs w:val="20"/>
              </w:rPr>
              <w:t>Средства обеспечения информационной безопасности/ Средства антивирусной защиты</w:t>
            </w:r>
          </w:p>
        </w:tc>
        <w:tc>
          <w:tcPr>
            <w:tcW w:w="624" w:type="pct"/>
          </w:tcPr>
          <w:p w14:paraId="7DE81FC9" w14:textId="77777777" w:rsidR="00FB28D8" w:rsidRPr="00B0658A" w:rsidRDefault="00FB28D8" w:rsidP="000A4114">
            <w:pPr>
              <w:spacing w:after="0" w:line="240" w:lineRule="auto"/>
              <w:rPr>
                <w:rFonts w:ascii="Times New Roman" w:hAnsi="Times New Roman"/>
                <w:i/>
                <w:iCs/>
                <w:sz w:val="20"/>
                <w:szCs w:val="20"/>
              </w:rPr>
            </w:pPr>
          </w:p>
        </w:tc>
        <w:tc>
          <w:tcPr>
            <w:tcW w:w="1090" w:type="pct"/>
            <w:shd w:val="clear" w:color="auto" w:fill="auto"/>
          </w:tcPr>
          <w:p w14:paraId="4D185D5A" w14:textId="77777777" w:rsidR="00FB28D8" w:rsidRPr="00B0658A" w:rsidRDefault="00FB28D8" w:rsidP="000A4114">
            <w:pPr>
              <w:spacing w:after="0" w:line="240" w:lineRule="auto"/>
              <w:rPr>
                <w:rFonts w:ascii="Times New Roman" w:hAnsi="Times New Roman"/>
                <w:i/>
                <w:iCs/>
                <w:sz w:val="20"/>
                <w:szCs w:val="20"/>
              </w:rPr>
            </w:pPr>
          </w:p>
        </w:tc>
        <w:tc>
          <w:tcPr>
            <w:tcW w:w="1036" w:type="pct"/>
            <w:shd w:val="clear" w:color="auto" w:fill="auto"/>
          </w:tcPr>
          <w:p w14:paraId="3AC21EF0" w14:textId="77777777" w:rsidR="00FB28D8" w:rsidRPr="00B0658A" w:rsidRDefault="00FB28D8" w:rsidP="000A4114">
            <w:pPr>
              <w:spacing w:after="0" w:line="240" w:lineRule="auto"/>
              <w:rPr>
                <w:rFonts w:ascii="Times New Roman" w:hAnsi="Times New Roman"/>
                <w:i/>
                <w:iCs/>
                <w:sz w:val="20"/>
                <w:szCs w:val="20"/>
              </w:rPr>
            </w:pPr>
          </w:p>
        </w:tc>
        <w:tc>
          <w:tcPr>
            <w:tcW w:w="894" w:type="pct"/>
            <w:shd w:val="clear" w:color="auto" w:fill="auto"/>
          </w:tcPr>
          <w:p w14:paraId="44299D7A" w14:textId="77777777" w:rsidR="00FB28D8" w:rsidRPr="00B0658A" w:rsidRDefault="00FB28D8" w:rsidP="000A4114">
            <w:pPr>
              <w:spacing w:after="0" w:line="240" w:lineRule="auto"/>
              <w:jc w:val="both"/>
              <w:rPr>
                <w:rFonts w:ascii="Times New Roman" w:hAnsi="Times New Roman"/>
                <w:i/>
                <w:iCs/>
                <w:sz w:val="20"/>
                <w:szCs w:val="20"/>
              </w:rPr>
            </w:pPr>
          </w:p>
        </w:tc>
      </w:tr>
      <w:tr w:rsidR="00F52FED" w:rsidRPr="00B0658A" w14:paraId="0C068624" w14:textId="77777777" w:rsidTr="00B10FDE">
        <w:trPr>
          <w:trHeight w:val="170"/>
        </w:trPr>
        <w:tc>
          <w:tcPr>
            <w:tcW w:w="203" w:type="pct"/>
            <w:shd w:val="clear" w:color="auto" w:fill="auto"/>
            <w:vAlign w:val="center"/>
          </w:tcPr>
          <w:p w14:paraId="74235FA7" w14:textId="77777777" w:rsidR="00FB28D8" w:rsidRPr="00B0658A" w:rsidRDefault="00FB28D8" w:rsidP="000A4114">
            <w:pPr>
              <w:spacing w:after="0" w:line="240" w:lineRule="auto"/>
              <w:rPr>
                <w:rFonts w:ascii="Times New Roman" w:hAnsi="Times New Roman"/>
                <w:sz w:val="20"/>
                <w:szCs w:val="20"/>
              </w:rPr>
            </w:pPr>
            <w:r w:rsidRPr="00B0658A">
              <w:rPr>
                <w:rFonts w:ascii="Times New Roman" w:hAnsi="Times New Roman"/>
                <w:sz w:val="20"/>
                <w:szCs w:val="20"/>
              </w:rPr>
              <w:t>3.7</w:t>
            </w:r>
          </w:p>
        </w:tc>
        <w:tc>
          <w:tcPr>
            <w:tcW w:w="1153" w:type="pct"/>
            <w:shd w:val="clear" w:color="auto" w:fill="auto"/>
            <w:vAlign w:val="center"/>
          </w:tcPr>
          <w:p w14:paraId="0C197199" w14:textId="77777777" w:rsidR="00FB28D8" w:rsidRPr="00B0658A" w:rsidRDefault="00FB28D8" w:rsidP="000A4114">
            <w:pPr>
              <w:spacing w:after="0" w:line="240" w:lineRule="auto"/>
              <w:rPr>
                <w:rFonts w:ascii="Times New Roman" w:hAnsi="Times New Roman"/>
                <w:sz w:val="20"/>
                <w:szCs w:val="20"/>
              </w:rPr>
            </w:pPr>
            <w:r w:rsidRPr="00B0658A">
              <w:rPr>
                <w:rFonts w:ascii="Times New Roman" w:hAnsi="Times New Roman"/>
                <w:sz w:val="20"/>
                <w:szCs w:val="20"/>
              </w:rPr>
              <w:t>Средства обеспечения информационной безопасности/ Средства выявления целевых атак</w:t>
            </w:r>
          </w:p>
        </w:tc>
        <w:tc>
          <w:tcPr>
            <w:tcW w:w="624" w:type="pct"/>
          </w:tcPr>
          <w:p w14:paraId="4727ABA9" w14:textId="77777777" w:rsidR="00FB28D8" w:rsidRPr="00B0658A" w:rsidRDefault="00FB28D8" w:rsidP="000A4114">
            <w:pPr>
              <w:spacing w:after="0" w:line="240" w:lineRule="auto"/>
              <w:rPr>
                <w:rFonts w:ascii="Times New Roman" w:hAnsi="Times New Roman"/>
                <w:i/>
                <w:iCs/>
                <w:sz w:val="20"/>
                <w:szCs w:val="20"/>
              </w:rPr>
            </w:pPr>
          </w:p>
        </w:tc>
        <w:tc>
          <w:tcPr>
            <w:tcW w:w="1090" w:type="pct"/>
            <w:shd w:val="clear" w:color="auto" w:fill="auto"/>
          </w:tcPr>
          <w:p w14:paraId="57F14B42" w14:textId="77777777" w:rsidR="00FB28D8" w:rsidRPr="00B0658A" w:rsidRDefault="00FB28D8" w:rsidP="000A4114">
            <w:pPr>
              <w:spacing w:after="0" w:line="240" w:lineRule="auto"/>
              <w:rPr>
                <w:rFonts w:ascii="Times New Roman" w:hAnsi="Times New Roman"/>
                <w:i/>
                <w:iCs/>
                <w:sz w:val="20"/>
                <w:szCs w:val="20"/>
              </w:rPr>
            </w:pPr>
          </w:p>
        </w:tc>
        <w:tc>
          <w:tcPr>
            <w:tcW w:w="1036" w:type="pct"/>
            <w:shd w:val="clear" w:color="auto" w:fill="auto"/>
          </w:tcPr>
          <w:p w14:paraId="5EE10D26" w14:textId="77777777" w:rsidR="00FB28D8" w:rsidRPr="00B0658A" w:rsidRDefault="00FB28D8" w:rsidP="000A4114">
            <w:pPr>
              <w:spacing w:after="0" w:line="240" w:lineRule="auto"/>
              <w:rPr>
                <w:rFonts w:ascii="Times New Roman" w:hAnsi="Times New Roman"/>
                <w:i/>
                <w:iCs/>
                <w:sz w:val="20"/>
                <w:szCs w:val="20"/>
              </w:rPr>
            </w:pPr>
          </w:p>
        </w:tc>
        <w:tc>
          <w:tcPr>
            <w:tcW w:w="894" w:type="pct"/>
            <w:shd w:val="clear" w:color="auto" w:fill="auto"/>
          </w:tcPr>
          <w:p w14:paraId="7AC25367" w14:textId="77777777" w:rsidR="00FB28D8" w:rsidRPr="00B0658A" w:rsidRDefault="00FB28D8" w:rsidP="000A4114">
            <w:pPr>
              <w:spacing w:after="0" w:line="240" w:lineRule="auto"/>
              <w:jc w:val="both"/>
              <w:rPr>
                <w:rFonts w:ascii="Times New Roman" w:hAnsi="Times New Roman"/>
                <w:i/>
                <w:iCs/>
                <w:sz w:val="20"/>
                <w:szCs w:val="20"/>
              </w:rPr>
            </w:pPr>
          </w:p>
        </w:tc>
      </w:tr>
      <w:tr w:rsidR="00F52FED" w:rsidRPr="00B0658A" w14:paraId="2C564D21" w14:textId="77777777" w:rsidTr="00B10FDE">
        <w:trPr>
          <w:trHeight w:val="170"/>
        </w:trPr>
        <w:tc>
          <w:tcPr>
            <w:tcW w:w="203" w:type="pct"/>
            <w:shd w:val="clear" w:color="auto" w:fill="auto"/>
            <w:vAlign w:val="center"/>
          </w:tcPr>
          <w:p w14:paraId="7154BFF5" w14:textId="77777777" w:rsidR="00FB28D8" w:rsidRPr="00B0658A" w:rsidRDefault="00FB28D8" w:rsidP="000A4114">
            <w:pPr>
              <w:spacing w:after="0" w:line="240" w:lineRule="auto"/>
              <w:rPr>
                <w:rFonts w:ascii="Times New Roman" w:hAnsi="Times New Roman"/>
                <w:sz w:val="20"/>
                <w:szCs w:val="20"/>
              </w:rPr>
            </w:pPr>
            <w:r w:rsidRPr="00B0658A">
              <w:rPr>
                <w:rFonts w:ascii="Times New Roman" w:hAnsi="Times New Roman"/>
                <w:sz w:val="20"/>
                <w:szCs w:val="20"/>
              </w:rPr>
              <w:t>3.8</w:t>
            </w:r>
          </w:p>
        </w:tc>
        <w:tc>
          <w:tcPr>
            <w:tcW w:w="1153" w:type="pct"/>
            <w:shd w:val="clear" w:color="auto" w:fill="auto"/>
            <w:vAlign w:val="center"/>
          </w:tcPr>
          <w:p w14:paraId="5B5512A3" w14:textId="77777777" w:rsidR="00FB28D8" w:rsidRPr="00B0658A" w:rsidRDefault="00FB28D8" w:rsidP="000A4114">
            <w:pPr>
              <w:spacing w:after="0" w:line="240" w:lineRule="auto"/>
              <w:rPr>
                <w:rFonts w:ascii="Times New Roman" w:hAnsi="Times New Roman"/>
                <w:sz w:val="20"/>
                <w:szCs w:val="20"/>
              </w:rPr>
            </w:pPr>
            <w:r w:rsidRPr="00B0658A">
              <w:rPr>
                <w:rFonts w:ascii="Times New Roman" w:hAnsi="Times New Roman"/>
                <w:sz w:val="20"/>
                <w:szCs w:val="20"/>
              </w:rPr>
              <w:t>Средства обеспечения информационной безопасности/ Средства гарантированного уничтожения данных</w:t>
            </w:r>
          </w:p>
        </w:tc>
        <w:tc>
          <w:tcPr>
            <w:tcW w:w="624" w:type="pct"/>
          </w:tcPr>
          <w:p w14:paraId="69B8E223" w14:textId="77777777" w:rsidR="00FB28D8" w:rsidRPr="00B0658A" w:rsidRDefault="00FB28D8" w:rsidP="000A4114">
            <w:pPr>
              <w:spacing w:after="0" w:line="240" w:lineRule="auto"/>
              <w:rPr>
                <w:rFonts w:ascii="Times New Roman" w:hAnsi="Times New Roman"/>
                <w:i/>
                <w:iCs/>
                <w:sz w:val="20"/>
                <w:szCs w:val="20"/>
              </w:rPr>
            </w:pPr>
          </w:p>
        </w:tc>
        <w:tc>
          <w:tcPr>
            <w:tcW w:w="1090" w:type="pct"/>
            <w:shd w:val="clear" w:color="auto" w:fill="auto"/>
          </w:tcPr>
          <w:p w14:paraId="74C83A45" w14:textId="77777777" w:rsidR="00FB28D8" w:rsidRPr="00B0658A" w:rsidRDefault="00FB28D8" w:rsidP="000A4114">
            <w:pPr>
              <w:spacing w:after="0" w:line="240" w:lineRule="auto"/>
              <w:rPr>
                <w:rFonts w:ascii="Times New Roman" w:hAnsi="Times New Roman"/>
                <w:i/>
                <w:iCs/>
                <w:sz w:val="20"/>
                <w:szCs w:val="20"/>
              </w:rPr>
            </w:pPr>
          </w:p>
        </w:tc>
        <w:tc>
          <w:tcPr>
            <w:tcW w:w="1036" w:type="pct"/>
            <w:shd w:val="clear" w:color="auto" w:fill="auto"/>
          </w:tcPr>
          <w:p w14:paraId="407055F0" w14:textId="77777777" w:rsidR="00FB28D8" w:rsidRPr="00B0658A" w:rsidRDefault="00FB28D8" w:rsidP="000A4114">
            <w:pPr>
              <w:spacing w:after="0" w:line="240" w:lineRule="auto"/>
              <w:rPr>
                <w:rFonts w:ascii="Times New Roman" w:hAnsi="Times New Roman"/>
                <w:i/>
                <w:iCs/>
                <w:sz w:val="20"/>
                <w:szCs w:val="20"/>
              </w:rPr>
            </w:pPr>
          </w:p>
        </w:tc>
        <w:tc>
          <w:tcPr>
            <w:tcW w:w="894" w:type="pct"/>
            <w:shd w:val="clear" w:color="auto" w:fill="auto"/>
          </w:tcPr>
          <w:p w14:paraId="309DAF2E" w14:textId="77777777" w:rsidR="00FB28D8" w:rsidRPr="00B0658A" w:rsidRDefault="00FB28D8" w:rsidP="000A4114">
            <w:pPr>
              <w:spacing w:after="0" w:line="240" w:lineRule="auto"/>
              <w:jc w:val="both"/>
              <w:rPr>
                <w:rFonts w:ascii="Times New Roman" w:hAnsi="Times New Roman"/>
                <w:i/>
                <w:iCs/>
                <w:sz w:val="20"/>
                <w:szCs w:val="20"/>
              </w:rPr>
            </w:pPr>
          </w:p>
        </w:tc>
      </w:tr>
      <w:tr w:rsidR="00F52FED" w:rsidRPr="00B0658A" w14:paraId="2F128683" w14:textId="77777777" w:rsidTr="00B10FDE">
        <w:trPr>
          <w:trHeight w:val="170"/>
        </w:trPr>
        <w:tc>
          <w:tcPr>
            <w:tcW w:w="203" w:type="pct"/>
            <w:shd w:val="clear" w:color="auto" w:fill="auto"/>
            <w:vAlign w:val="center"/>
          </w:tcPr>
          <w:p w14:paraId="05D9C787" w14:textId="77777777" w:rsidR="00FB28D8" w:rsidRPr="00B0658A" w:rsidRDefault="00FB28D8" w:rsidP="000A4114">
            <w:pPr>
              <w:spacing w:after="0" w:line="240" w:lineRule="auto"/>
              <w:rPr>
                <w:rFonts w:ascii="Times New Roman" w:hAnsi="Times New Roman"/>
                <w:sz w:val="20"/>
                <w:szCs w:val="20"/>
              </w:rPr>
            </w:pPr>
            <w:r w:rsidRPr="00B0658A">
              <w:rPr>
                <w:rFonts w:ascii="Times New Roman" w:hAnsi="Times New Roman"/>
                <w:sz w:val="20"/>
                <w:szCs w:val="20"/>
              </w:rPr>
              <w:t>3.9</w:t>
            </w:r>
          </w:p>
        </w:tc>
        <w:tc>
          <w:tcPr>
            <w:tcW w:w="1153" w:type="pct"/>
            <w:shd w:val="clear" w:color="auto" w:fill="auto"/>
            <w:vAlign w:val="center"/>
          </w:tcPr>
          <w:p w14:paraId="0EC84609" w14:textId="77777777" w:rsidR="00FB28D8" w:rsidRPr="00B0658A" w:rsidRDefault="00FB28D8" w:rsidP="000A4114">
            <w:pPr>
              <w:spacing w:after="0" w:line="240" w:lineRule="auto"/>
              <w:rPr>
                <w:rFonts w:ascii="Times New Roman" w:hAnsi="Times New Roman"/>
                <w:sz w:val="20"/>
                <w:szCs w:val="20"/>
              </w:rPr>
            </w:pPr>
            <w:r w:rsidRPr="00B0658A">
              <w:rPr>
                <w:rFonts w:ascii="Times New Roman" w:hAnsi="Times New Roman"/>
                <w:sz w:val="20"/>
                <w:szCs w:val="20"/>
              </w:rPr>
              <w:t>Средства обеспечения информационной безопасности/ Средства обнаружения и предотвращения утечек информации</w:t>
            </w:r>
          </w:p>
        </w:tc>
        <w:tc>
          <w:tcPr>
            <w:tcW w:w="624" w:type="pct"/>
          </w:tcPr>
          <w:p w14:paraId="34337F64" w14:textId="77777777" w:rsidR="00FB28D8" w:rsidRPr="00B0658A" w:rsidRDefault="00FB28D8" w:rsidP="000A4114">
            <w:pPr>
              <w:spacing w:after="0" w:line="240" w:lineRule="auto"/>
              <w:rPr>
                <w:rFonts w:ascii="Times New Roman" w:hAnsi="Times New Roman"/>
                <w:i/>
                <w:iCs/>
                <w:sz w:val="20"/>
                <w:szCs w:val="20"/>
              </w:rPr>
            </w:pPr>
          </w:p>
        </w:tc>
        <w:tc>
          <w:tcPr>
            <w:tcW w:w="1090" w:type="pct"/>
            <w:shd w:val="clear" w:color="auto" w:fill="auto"/>
          </w:tcPr>
          <w:p w14:paraId="36AAFB0B" w14:textId="77777777" w:rsidR="00FB28D8" w:rsidRPr="00B0658A" w:rsidRDefault="00FB28D8" w:rsidP="000A4114">
            <w:pPr>
              <w:spacing w:after="0" w:line="240" w:lineRule="auto"/>
              <w:rPr>
                <w:rFonts w:ascii="Times New Roman" w:hAnsi="Times New Roman"/>
                <w:i/>
                <w:iCs/>
                <w:sz w:val="20"/>
                <w:szCs w:val="20"/>
              </w:rPr>
            </w:pPr>
          </w:p>
        </w:tc>
        <w:tc>
          <w:tcPr>
            <w:tcW w:w="1036" w:type="pct"/>
            <w:shd w:val="clear" w:color="auto" w:fill="auto"/>
          </w:tcPr>
          <w:p w14:paraId="586D950F" w14:textId="77777777" w:rsidR="00FB28D8" w:rsidRPr="00B0658A" w:rsidRDefault="00FB28D8" w:rsidP="000A4114">
            <w:pPr>
              <w:spacing w:after="0" w:line="240" w:lineRule="auto"/>
              <w:rPr>
                <w:rFonts w:ascii="Times New Roman" w:hAnsi="Times New Roman"/>
                <w:i/>
                <w:iCs/>
                <w:sz w:val="20"/>
                <w:szCs w:val="20"/>
              </w:rPr>
            </w:pPr>
          </w:p>
        </w:tc>
        <w:tc>
          <w:tcPr>
            <w:tcW w:w="894" w:type="pct"/>
            <w:shd w:val="clear" w:color="auto" w:fill="auto"/>
          </w:tcPr>
          <w:p w14:paraId="7EFC45E6" w14:textId="77777777" w:rsidR="00FB28D8" w:rsidRPr="00B0658A" w:rsidRDefault="00FB28D8" w:rsidP="000A4114">
            <w:pPr>
              <w:spacing w:after="0" w:line="240" w:lineRule="auto"/>
              <w:jc w:val="both"/>
              <w:rPr>
                <w:rFonts w:ascii="Times New Roman" w:hAnsi="Times New Roman"/>
                <w:i/>
                <w:iCs/>
                <w:sz w:val="20"/>
                <w:szCs w:val="20"/>
              </w:rPr>
            </w:pPr>
          </w:p>
        </w:tc>
      </w:tr>
      <w:tr w:rsidR="00F52FED" w:rsidRPr="00B0658A" w14:paraId="10E7BFC9" w14:textId="77777777" w:rsidTr="00B10FDE">
        <w:trPr>
          <w:trHeight w:val="170"/>
        </w:trPr>
        <w:tc>
          <w:tcPr>
            <w:tcW w:w="203" w:type="pct"/>
            <w:shd w:val="clear" w:color="auto" w:fill="auto"/>
            <w:vAlign w:val="center"/>
          </w:tcPr>
          <w:p w14:paraId="74BF101A" w14:textId="77777777" w:rsidR="00FB28D8" w:rsidRPr="00B0658A" w:rsidRDefault="00FB28D8" w:rsidP="000A4114">
            <w:pPr>
              <w:spacing w:after="0" w:line="240" w:lineRule="auto"/>
              <w:rPr>
                <w:rFonts w:ascii="Times New Roman" w:hAnsi="Times New Roman"/>
                <w:sz w:val="20"/>
                <w:szCs w:val="20"/>
              </w:rPr>
            </w:pPr>
            <w:r w:rsidRPr="00B0658A">
              <w:rPr>
                <w:rFonts w:ascii="Times New Roman" w:hAnsi="Times New Roman"/>
                <w:sz w:val="20"/>
                <w:szCs w:val="20"/>
              </w:rPr>
              <w:t>3.10</w:t>
            </w:r>
          </w:p>
        </w:tc>
        <w:tc>
          <w:tcPr>
            <w:tcW w:w="1153" w:type="pct"/>
            <w:shd w:val="clear" w:color="auto" w:fill="auto"/>
            <w:vAlign w:val="center"/>
          </w:tcPr>
          <w:p w14:paraId="60D99E58" w14:textId="77777777" w:rsidR="00FB28D8" w:rsidRPr="00B0658A" w:rsidRDefault="00FB28D8" w:rsidP="000A4114">
            <w:pPr>
              <w:spacing w:after="0" w:line="240" w:lineRule="auto"/>
              <w:rPr>
                <w:rFonts w:ascii="Times New Roman" w:hAnsi="Times New Roman"/>
                <w:sz w:val="20"/>
                <w:szCs w:val="20"/>
              </w:rPr>
            </w:pPr>
            <w:r w:rsidRPr="00B0658A">
              <w:rPr>
                <w:rFonts w:ascii="Times New Roman" w:hAnsi="Times New Roman"/>
                <w:sz w:val="20"/>
                <w:szCs w:val="20"/>
              </w:rPr>
              <w:t>Средства обеспечения информационной безопасности/ Средства криптографической защиты информации и электронной подписи</w:t>
            </w:r>
          </w:p>
        </w:tc>
        <w:tc>
          <w:tcPr>
            <w:tcW w:w="624" w:type="pct"/>
          </w:tcPr>
          <w:p w14:paraId="179C7B33" w14:textId="77777777" w:rsidR="00FB28D8" w:rsidRPr="00B0658A" w:rsidRDefault="00FB28D8" w:rsidP="000A4114">
            <w:pPr>
              <w:spacing w:after="0" w:line="240" w:lineRule="auto"/>
              <w:rPr>
                <w:rFonts w:ascii="Times New Roman" w:hAnsi="Times New Roman"/>
                <w:i/>
                <w:iCs/>
                <w:sz w:val="20"/>
                <w:szCs w:val="20"/>
              </w:rPr>
            </w:pPr>
          </w:p>
        </w:tc>
        <w:tc>
          <w:tcPr>
            <w:tcW w:w="1090" w:type="pct"/>
            <w:shd w:val="clear" w:color="auto" w:fill="auto"/>
          </w:tcPr>
          <w:p w14:paraId="692F1636" w14:textId="77777777" w:rsidR="00FB28D8" w:rsidRPr="00B0658A" w:rsidRDefault="00FB28D8" w:rsidP="000A4114">
            <w:pPr>
              <w:spacing w:after="0" w:line="240" w:lineRule="auto"/>
              <w:rPr>
                <w:rFonts w:ascii="Times New Roman" w:hAnsi="Times New Roman"/>
                <w:i/>
                <w:iCs/>
                <w:sz w:val="20"/>
                <w:szCs w:val="20"/>
              </w:rPr>
            </w:pPr>
          </w:p>
        </w:tc>
        <w:tc>
          <w:tcPr>
            <w:tcW w:w="1036" w:type="pct"/>
            <w:shd w:val="clear" w:color="auto" w:fill="auto"/>
          </w:tcPr>
          <w:p w14:paraId="4E7408C8" w14:textId="77777777" w:rsidR="00FB28D8" w:rsidRPr="00B0658A" w:rsidRDefault="00FB28D8" w:rsidP="000A4114">
            <w:pPr>
              <w:spacing w:after="0" w:line="240" w:lineRule="auto"/>
              <w:rPr>
                <w:rFonts w:ascii="Times New Roman" w:hAnsi="Times New Roman"/>
                <w:i/>
                <w:iCs/>
                <w:sz w:val="20"/>
                <w:szCs w:val="20"/>
              </w:rPr>
            </w:pPr>
          </w:p>
        </w:tc>
        <w:tc>
          <w:tcPr>
            <w:tcW w:w="894" w:type="pct"/>
            <w:shd w:val="clear" w:color="auto" w:fill="auto"/>
          </w:tcPr>
          <w:p w14:paraId="5481C176" w14:textId="77777777" w:rsidR="00FB28D8" w:rsidRPr="00B0658A" w:rsidRDefault="00FB28D8" w:rsidP="000A4114">
            <w:pPr>
              <w:spacing w:after="0" w:line="240" w:lineRule="auto"/>
              <w:jc w:val="both"/>
              <w:rPr>
                <w:rFonts w:ascii="Times New Roman" w:hAnsi="Times New Roman"/>
                <w:i/>
                <w:iCs/>
                <w:sz w:val="20"/>
                <w:szCs w:val="20"/>
              </w:rPr>
            </w:pPr>
          </w:p>
        </w:tc>
      </w:tr>
      <w:tr w:rsidR="00F52FED" w:rsidRPr="00B0658A" w14:paraId="19E2B17F" w14:textId="77777777" w:rsidTr="00B10FDE">
        <w:trPr>
          <w:trHeight w:val="170"/>
        </w:trPr>
        <w:tc>
          <w:tcPr>
            <w:tcW w:w="203" w:type="pct"/>
            <w:shd w:val="clear" w:color="auto" w:fill="auto"/>
            <w:vAlign w:val="center"/>
          </w:tcPr>
          <w:p w14:paraId="25B5356C" w14:textId="77777777" w:rsidR="00FB28D8" w:rsidRPr="00B0658A" w:rsidRDefault="00FB28D8" w:rsidP="000A4114">
            <w:pPr>
              <w:spacing w:after="0" w:line="240" w:lineRule="auto"/>
              <w:rPr>
                <w:rFonts w:ascii="Times New Roman" w:hAnsi="Times New Roman"/>
                <w:sz w:val="20"/>
                <w:szCs w:val="20"/>
              </w:rPr>
            </w:pPr>
            <w:r w:rsidRPr="00B0658A">
              <w:rPr>
                <w:rFonts w:ascii="Times New Roman" w:hAnsi="Times New Roman"/>
                <w:sz w:val="20"/>
                <w:szCs w:val="20"/>
              </w:rPr>
              <w:t>3.11</w:t>
            </w:r>
          </w:p>
        </w:tc>
        <w:tc>
          <w:tcPr>
            <w:tcW w:w="1153" w:type="pct"/>
            <w:shd w:val="clear" w:color="auto" w:fill="auto"/>
            <w:vAlign w:val="center"/>
          </w:tcPr>
          <w:p w14:paraId="33CF3AF0" w14:textId="77777777" w:rsidR="00FB28D8" w:rsidRPr="00B0658A" w:rsidRDefault="00FB28D8" w:rsidP="000A4114">
            <w:pPr>
              <w:spacing w:after="0" w:line="240" w:lineRule="auto"/>
              <w:rPr>
                <w:rFonts w:ascii="Times New Roman" w:hAnsi="Times New Roman"/>
                <w:sz w:val="20"/>
                <w:szCs w:val="20"/>
              </w:rPr>
            </w:pPr>
            <w:r w:rsidRPr="00B0658A">
              <w:rPr>
                <w:rFonts w:ascii="Times New Roman" w:hAnsi="Times New Roman"/>
                <w:sz w:val="20"/>
                <w:szCs w:val="20"/>
              </w:rPr>
              <w:t>Средства обеспечения информационной безопасности/ Средства защиты каналов передачи данных, в том числе криптографическими методами</w:t>
            </w:r>
          </w:p>
        </w:tc>
        <w:tc>
          <w:tcPr>
            <w:tcW w:w="624" w:type="pct"/>
          </w:tcPr>
          <w:p w14:paraId="3014E6B3" w14:textId="77777777" w:rsidR="00FB28D8" w:rsidRPr="00B0658A" w:rsidRDefault="00FB28D8" w:rsidP="000A4114">
            <w:pPr>
              <w:spacing w:after="0" w:line="240" w:lineRule="auto"/>
              <w:rPr>
                <w:rFonts w:ascii="Times New Roman" w:hAnsi="Times New Roman"/>
                <w:i/>
                <w:iCs/>
                <w:sz w:val="20"/>
                <w:szCs w:val="20"/>
              </w:rPr>
            </w:pPr>
          </w:p>
        </w:tc>
        <w:tc>
          <w:tcPr>
            <w:tcW w:w="1090" w:type="pct"/>
            <w:shd w:val="clear" w:color="auto" w:fill="auto"/>
          </w:tcPr>
          <w:p w14:paraId="2CE32EE1" w14:textId="77777777" w:rsidR="00FB28D8" w:rsidRPr="00B0658A" w:rsidRDefault="00FB28D8" w:rsidP="000A4114">
            <w:pPr>
              <w:spacing w:after="0" w:line="240" w:lineRule="auto"/>
              <w:rPr>
                <w:rFonts w:ascii="Times New Roman" w:hAnsi="Times New Roman"/>
                <w:i/>
                <w:iCs/>
                <w:sz w:val="20"/>
                <w:szCs w:val="20"/>
              </w:rPr>
            </w:pPr>
          </w:p>
        </w:tc>
        <w:tc>
          <w:tcPr>
            <w:tcW w:w="1036" w:type="pct"/>
            <w:shd w:val="clear" w:color="auto" w:fill="auto"/>
          </w:tcPr>
          <w:p w14:paraId="228A3D04" w14:textId="77777777" w:rsidR="00FB28D8" w:rsidRPr="00B0658A" w:rsidRDefault="00FB28D8" w:rsidP="000A4114">
            <w:pPr>
              <w:spacing w:after="0" w:line="240" w:lineRule="auto"/>
              <w:rPr>
                <w:rFonts w:ascii="Times New Roman" w:hAnsi="Times New Roman"/>
                <w:i/>
                <w:iCs/>
                <w:sz w:val="20"/>
                <w:szCs w:val="20"/>
              </w:rPr>
            </w:pPr>
          </w:p>
        </w:tc>
        <w:tc>
          <w:tcPr>
            <w:tcW w:w="894" w:type="pct"/>
            <w:shd w:val="clear" w:color="auto" w:fill="auto"/>
          </w:tcPr>
          <w:p w14:paraId="2C537CAD" w14:textId="77777777" w:rsidR="00FB28D8" w:rsidRPr="00B0658A" w:rsidRDefault="00FB28D8" w:rsidP="000A4114">
            <w:pPr>
              <w:spacing w:after="0" w:line="240" w:lineRule="auto"/>
              <w:jc w:val="both"/>
              <w:rPr>
                <w:rFonts w:ascii="Times New Roman" w:hAnsi="Times New Roman"/>
                <w:i/>
                <w:iCs/>
                <w:sz w:val="20"/>
                <w:szCs w:val="20"/>
              </w:rPr>
            </w:pPr>
          </w:p>
        </w:tc>
      </w:tr>
      <w:tr w:rsidR="00F52FED" w:rsidRPr="00B0658A" w14:paraId="1FBBD91E" w14:textId="77777777" w:rsidTr="00B10FDE">
        <w:trPr>
          <w:trHeight w:val="170"/>
        </w:trPr>
        <w:tc>
          <w:tcPr>
            <w:tcW w:w="203" w:type="pct"/>
            <w:shd w:val="clear" w:color="auto" w:fill="auto"/>
            <w:vAlign w:val="center"/>
          </w:tcPr>
          <w:p w14:paraId="28C014E7" w14:textId="77777777" w:rsidR="00FB28D8" w:rsidRPr="00B0658A" w:rsidRDefault="00FB28D8" w:rsidP="000A4114">
            <w:pPr>
              <w:spacing w:after="0" w:line="240" w:lineRule="auto"/>
              <w:rPr>
                <w:rFonts w:ascii="Times New Roman" w:hAnsi="Times New Roman"/>
                <w:sz w:val="20"/>
                <w:szCs w:val="20"/>
              </w:rPr>
            </w:pPr>
            <w:r w:rsidRPr="00B0658A">
              <w:rPr>
                <w:rFonts w:ascii="Times New Roman" w:hAnsi="Times New Roman"/>
                <w:sz w:val="20"/>
                <w:szCs w:val="20"/>
              </w:rPr>
              <w:t>3.12</w:t>
            </w:r>
          </w:p>
        </w:tc>
        <w:tc>
          <w:tcPr>
            <w:tcW w:w="1153" w:type="pct"/>
            <w:shd w:val="clear" w:color="auto" w:fill="auto"/>
            <w:vAlign w:val="center"/>
          </w:tcPr>
          <w:p w14:paraId="6BEEAB7F" w14:textId="77777777" w:rsidR="00FB28D8" w:rsidRPr="00B0658A" w:rsidRDefault="00FB28D8" w:rsidP="000A4114">
            <w:pPr>
              <w:spacing w:after="0" w:line="240" w:lineRule="auto"/>
              <w:rPr>
                <w:rFonts w:ascii="Times New Roman" w:hAnsi="Times New Roman"/>
                <w:sz w:val="20"/>
                <w:szCs w:val="20"/>
              </w:rPr>
            </w:pPr>
            <w:r w:rsidRPr="00B0658A">
              <w:rPr>
                <w:rFonts w:ascii="Times New Roman" w:hAnsi="Times New Roman"/>
                <w:sz w:val="20"/>
                <w:szCs w:val="20"/>
              </w:rPr>
              <w:t>Средства обеспечения информационной безопасности/ Системы управления доступом к информационным ресурсам</w:t>
            </w:r>
          </w:p>
        </w:tc>
        <w:tc>
          <w:tcPr>
            <w:tcW w:w="624" w:type="pct"/>
          </w:tcPr>
          <w:p w14:paraId="3E360F36" w14:textId="77777777" w:rsidR="00FB28D8" w:rsidRPr="00B0658A" w:rsidRDefault="00FB28D8" w:rsidP="000A4114">
            <w:pPr>
              <w:spacing w:after="0" w:line="240" w:lineRule="auto"/>
              <w:rPr>
                <w:rFonts w:ascii="Times New Roman" w:hAnsi="Times New Roman"/>
                <w:i/>
                <w:iCs/>
                <w:sz w:val="20"/>
                <w:szCs w:val="20"/>
              </w:rPr>
            </w:pPr>
          </w:p>
        </w:tc>
        <w:tc>
          <w:tcPr>
            <w:tcW w:w="1090" w:type="pct"/>
            <w:shd w:val="clear" w:color="auto" w:fill="auto"/>
          </w:tcPr>
          <w:p w14:paraId="3AF26FFF" w14:textId="77777777" w:rsidR="00FB28D8" w:rsidRPr="00B0658A" w:rsidRDefault="00FB28D8" w:rsidP="000A4114">
            <w:pPr>
              <w:spacing w:after="0" w:line="240" w:lineRule="auto"/>
              <w:rPr>
                <w:rFonts w:ascii="Times New Roman" w:hAnsi="Times New Roman"/>
                <w:i/>
                <w:iCs/>
                <w:sz w:val="20"/>
                <w:szCs w:val="20"/>
              </w:rPr>
            </w:pPr>
          </w:p>
        </w:tc>
        <w:tc>
          <w:tcPr>
            <w:tcW w:w="1036" w:type="pct"/>
            <w:shd w:val="clear" w:color="auto" w:fill="auto"/>
          </w:tcPr>
          <w:p w14:paraId="01BF5A44" w14:textId="77777777" w:rsidR="00FB28D8" w:rsidRPr="00B0658A" w:rsidRDefault="00FB28D8" w:rsidP="000A4114">
            <w:pPr>
              <w:spacing w:after="0" w:line="240" w:lineRule="auto"/>
              <w:rPr>
                <w:rFonts w:ascii="Times New Roman" w:hAnsi="Times New Roman"/>
                <w:i/>
                <w:iCs/>
                <w:sz w:val="20"/>
                <w:szCs w:val="20"/>
              </w:rPr>
            </w:pPr>
          </w:p>
        </w:tc>
        <w:tc>
          <w:tcPr>
            <w:tcW w:w="894" w:type="pct"/>
            <w:shd w:val="clear" w:color="auto" w:fill="auto"/>
          </w:tcPr>
          <w:p w14:paraId="24F680E7" w14:textId="77777777" w:rsidR="00FB28D8" w:rsidRPr="00B0658A" w:rsidRDefault="00FB28D8" w:rsidP="000A4114">
            <w:pPr>
              <w:spacing w:after="0" w:line="240" w:lineRule="auto"/>
              <w:jc w:val="both"/>
              <w:rPr>
                <w:rFonts w:ascii="Times New Roman" w:hAnsi="Times New Roman"/>
                <w:i/>
                <w:iCs/>
                <w:sz w:val="20"/>
                <w:szCs w:val="20"/>
              </w:rPr>
            </w:pPr>
          </w:p>
        </w:tc>
      </w:tr>
      <w:tr w:rsidR="00F52FED" w:rsidRPr="00B0658A" w14:paraId="1D402899" w14:textId="77777777" w:rsidTr="00B10FDE">
        <w:trPr>
          <w:trHeight w:val="170"/>
        </w:trPr>
        <w:tc>
          <w:tcPr>
            <w:tcW w:w="203" w:type="pct"/>
            <w:shd w:val="clear" w:color="auto" w:fill="auto"/>
            <w:vAlign w:val="center"/>
          </w:tcPr>
          <w:p w14:paraId="04850B0D" w14:textId="77777777" w:rsidR="00FB28D8" w:rsidRPr="00B0658A" w:rsidRDefault="00FB28D8" w:rsidP="000A4114">
            <w:pPr>
              <w:spacing w:after="0" w:line="240" w:lineRule="auto"/>
              <w:rPr>
                <w:rFonts w:ascii="Times New Roman" w:hAnsi="Times New Roman"/>
                <w:sz w:val="20"/>
                <w:szCs w:val="20"/>
              </w:rPr>
            </w:pPr>
            <w:r w:rsidRPr="00B0658A">
              <w:rPr>
                <w:rFonts w:ascii="Times New Roman" w:hAnsi="Times New Roman"/>
                <w:sz w:val="20"/>
                <w:szCs w:val="20"/>
              </w:rPr>
              <w:t>3.13</w:t>
            </w:r>
          </w:p>
        </w:tc>
        <w:tc>
          <w:tcPr>
            <w:tcW w:w="1153" w:type="pct"/>
            <w:shd w:val="clear" w:color="auto" w:fill="auto"/>
            <w:vAlign w:val="center"/>
          </w:tcPr>
          <w:p w14:paraId="7F059935" w14:textId="77777777" w:rsidR="00FB28D8" w:rsidRPr="00B0658A" w:rsidRDefault="00FB28D8" w:rsidP="000A4114">
            <w:pPr>
              <w:spacing w:after="0" w:line="240" w:lineRule="auto"/>
              <w:rPr>
                <w:rFonts w:ascii="Times New Roman" w:hAnsi="Times New Roman"/>
                <w:sz w:val="20"/>
                <w:szCs w:val="20"/>
              </w:rPr>
            </w:pPr>
            <w:r w:rsidRPr="00B0658A">
              <w:rPr>
                <w:rFonts w:ascii="Times New Roman" w:hAnsi="Times New Roman"/>
                <w:sz w:val="20"/>
                <w:szCs w:val="20"/>
              </w:rPr>
              <w:t>Средства обеспечения информационной безопасности/ Средства резервного копирования</w:t>
            </w:r>
          </w:p>
        </w:tc>
        <w:tc>
          <w:tcPr>
            <w:tcW w:w="624" w:type="pct"/>
          </w:tcPr>
          <w:p w14:paraId="14D37BE5" w14:textId="77777777" w:rsidR="00FB28D8" w:rsidRPr="00B0658A" w:rsidRDefault="00FB28D8" w:rsidP="000A4114">
            <w:pPr>
              <w:spacing w:after="0" w:line="240" w:lineRule="auto"/>
              <w:rPr>
                <w:rFonts w:ascii="Times New Roman" w:hAnsi="Times New Roman"/>
                <w:i/>
                <w:iCs/>
                <w:sz w:val="20"/>
                <w:szCs w:val="20"/>
              </w:rPr>
            </w:pPr>
          </w:p>
        </w:tc>
        <w:tc>
          <w:tcPr>
            <w:tcW w:w="1090" w:type="pct"/>
            <w:shd w:val="clear" w:color="auto" w:fill="auto"/>
          </w:tcPr>
          <w:p w14:paraId="1044BA90" w14:textId="77777777" w:rsidR="00FB28D8" w:rsidRPr="00B0658A" w:rsidRDefault="00FB28D8" w:rsidP="000A4114">
            <w:pPr>
              <w:spacing w:after="0" w:line="240" w:lineRule="auto"/>
              <w:rPr>
                <w:rFonts w:ascii="Times New Roman" w:hAnsi="Times New Roman"/>
                <w:i/>
                <w:iCs/>
                <w:sz w:val="20"/>
                <w:szCs w:val="20"/>
              </w:rPr>
            </w:pPr>
          </w:p>
        </w:tc>
        <w:tc>
          <w:tcPr>
            <w:tcW w:w="1036" w:type="pct"/>
            <w:shd w:val="clear" w:color="auto" w:fill="auto"/>
          </w:tcPr>
          <w:p w14:paraId="37B5ECE5" w14:textId="77777777" w:rsidR="00FB28D8" w:rsidRPr="00B0658A" w:rsidRDefault="00FB28D8" w:rsidP="000A4114">
            <w:pPr>
              <w:spacing w:after="0" w:line="240" w:lineRule="auto"/>
              <w:rPr>
                <w:rFonts w:ascii="Times New Roman" w:hAnsi="Times New Roman"/>
                <w:i/>
                <w:iCs/>
                <w:sz w:val="20"/>
                <w:szCs w:val="20"/>
              </w:rPr>
            </w:pPr>
          </w:p>
        </w:tc>
        <w:tc>
          <w:tcPr>
            <w:tcW w:w="894" w:type="pct"/>
            <w:shd w:val="clear" w:color="auto" w:fill="auto"/>
          </w:tcPr>
          <w:p w14:paraId="594DEB13" w14:textId="77777777" w:rsidR="00FB28D8" w:rsidRPr="00B0658A" w:rsidRDefault="00FB28D8" w:rsidP="000A4114">
            <w:pPr>
              <w:spacing w:after="0" w:line="240" w:lineRule="auto"/>
              <w:jc w:val="both"/>
              <w:rPr>
                <w:rFonts w:ascii="Times New Roman" w:hAnsi="Times New Roman"/>
                <w:i/>
                <w:iCs/>
                <w:sz w:val="20"/>
                <w:szCs w:val="20"/>
              </w:rPr>
            </w:pPr>
          </w:p>
        </w:tc>
      </w:tr>
      <w:tr w:rsidR="00F52FED" w:rsidRPr="00B0658A" w14:paraId="31EB03A2" w14:textId="77777777" w:rsidTr="00B10FDE">
        <w:trPr>
          <w:trHeight w:val="170"/>
        </w:trPr>
        <w:tc>
          <w:tcPr>
            <w:tcW w:w="203" w:type="pct"/>
            <w:shd w:val="clear" w:color="auto" w:fill="auto"/>
            <w:vAlign w:val="center"/>
          </w:tcPr>
          <w:p w14:paraId="41623040" w14:textId="77777777" w:rsidR="00FB28D8" w:rsidRPr="00B0658A" w:rsidRDefault="00FB28D8" w:rsidP="000A4114">
            <w:pPr>
              <w:spacing w:after="0" w:line="240" w:lineRule="auto"/>
              <w:rPr>
                <w:rFonts w:ascii="Times New Roman" w:hAnsi="Times New Roman"/>
                <w:sz w:val="20"/>
                <w:szCs w:val="20"/>
              </w:rPr>
            </w:pPr>
            <w:r w:rsidRPr="00B0658A">
              <w:rPr>
                <w:rFonts w:ascii="Times New Roman" w:hAnsi="Times New Roman"/>
                <w:sz w:val="20"/>
                <w:szCs w:val="20"/>
              </w:rPr>
              <w:t>3.14</w:t>
            </w:r>
          </w:p>
        </w:tc>
        <w:tc>
          <w:tcPr>
            <w:tcW w:w="1153" w:type="pct"/>
            <w:shd w:val="clear" w:color="auto" w:fill="auto"/>
            <w:vAlign w:val="center"/>
          </w:tcPr>
          <w:p w14:paraId="6EE1E9B4" w14:textId="77777777" w:rsidR="00FB28D8" w:rsidRPr="00B0658A" w:rsidRDefault="00FB28D8" w:rsidP="000A4114">
            <w:pPr>
              <w:spacing w:after="0" w:line="240" w:lineRule="auto"/>
              <w:rPr>
                <w:rFonts w:ascii="Times New Roman" w:hAnsi="Times New Roman"/>
                <w:sz w:val="20"/>
                <w:szCs w:val="20"/>
              </w:rPr>
            </w:pPr>
            <w:r w:rsidRPr="00B0658A">
              <w:rPr>
                <w:rFonts w:ascii="Times New Roman" w:hAnsi="Times New Roman"/>
                <w:sz w:val="20"/>
                <w:szCs w:val="20"/>
              </w:rPr>
              <w:t>Средства обеспечения информационной безопасности/ Средства обнаружения и/или предотвращения вторжений (атак)</w:t>
            </w:r>
          </w:p>
        </w:tc>
        <w:tc>
          <w:tcPr>
            <w:tcW w:w="624" w:type="pct"/>
          </w:tcPr>
          <w:p w14:paraId="6BCF9227" w14:textId="77777777" w:rsidR="00FB28D8" w:rsidRPr="00B0658A" w:rsidRDefault="00FB28D8" w:rsidP="000A4114">
            <w:pPr>
              <w:spacing w:after="0" w:line="240" w:lineRule="auto"/>
              <w:rPr>
                <w:rFonts w:ascii="Times New Roman" w:hAnsi="Times New Roman"/>
                <w:i/>
                <w:iCs/>
                <w:sz w:val="20"/>
                <w:szCs w:val="20"/>
              </w:rPr>
            </w:pPr>
          </w:p>
        </w:tc>
        <w:tc>
          <w:tcPr>
            <w:tcW w:w="1090" w:type="pct"/>
            <w:shd w:val="clear" w:color="auto" w:fill="auto"/>
          </w:tcPr>
          <w:p w14:paraId="1526D470" w14:textId="77777777" w:rsidR="00FB28D8" w:rsidRPr="00B0658A" w:rsidRDefault="00FB28D8" w:rsidP="000A4114">
            <w:pPr>
              <w:spacing w:after="0" w:line="240" w:lineRule="auto"/>
              <w:rPr>
                <w:rFonts w:ascii="Times New Roman" w:hAnsi="Times New Roman"/>
                <w:i/>
                <w:iCs/>
                <w:sz w:val="20"/>
                <w:szCs w:val="20"/>
              </w:rPr>
            </w:pPr>
          </w:p>
        </w:tc>
        <w:tc>
          <w:tcPr>
            <w:tcW w:w="1036" w:type="pct"/>
            <w:shd w:val="clear" w:color="auto" w:fill="auto"/>
          </w:tcPr>
          <w:p w14:paraId="0DB08051" w14:textId="77777777" w:rsidR="00FB28D8" w:rsidRPr="00B0658A" w:rsidRDefault="00FB28D8" w:rsidP="000A4114">
            <w:pPr>
              <w:spacing w:after="0" w:line="240" w:lineRule="auto"/>
              <w:rPr>
                <w:rFonts w:ascii="Times New Roman" w:hAnsi="Times New Roman"/>
                <w:i/>
                <w:iCs/>
                <w:sz w:val="20"/>
                <w:szCs w:val="20"/>
              </w:rPr>
            </w:pPr>
          </w:p>
        </w:tc>
        <w:tc>
          <w:tcPr>
            <w:tcW w:w="894" w:type="pct"/>
            <w:shd w:val="clear" w:color="auto" w:fill="auto"/>
          </w:tcPr>
          <w:p w14:paraId="47375CAC" w14:textId="77777777" w:rsidR="00FB28D8" w:rsidRPr="00B0658A" w:rsidRDefault="00FB28D8" w:rsidP="000A4114">
            <w:pPr>
              <w:spacing w:after="0" w:line="240" w:lineRule="auto"/>
              <w:jc w:val="both"/>
              <w:rPr>
                <w:rFonts w:ascii="Times New Roman" w:hAnsi="Times New Roman"/>
                <w:i/>
                <w:iCs/>
                <w:sz w:val="20"/>
                <w:szCs w:val="20"/>
              </w:rPr>
            </w:pPr>
          </w:p>
        </w:tc>
      </w:tr>
      <w:tr w:rsidR="00F52FED" w:rsidRPr="00B0658A" w14:paraId="5AB4BBE5" w14:textId="77777777" w:rsidTr="00B10FDE">
        <w:trPr>
          <w:trHeight w:val="170"/>
        </w:trPr>
        <w:tc>
          <w:tcPr>
            <w:tcW w:w="203" w:type="pct"/>
            <w:shd w:val="clear" w:color="auto" w:fill="auto"/>
            <w:vAlign w:val="center"/>
          </w:tcPr>
          <w:p w14:paraId="1FF72CD4" w14:textId="77777777" w:rsidR="00FB28D8" w:rsidRPr="00B0658A" w:rsidRDefault="00FB28D8" w:rsidP="000A4114">
            <w:pPr>
              <w:spacing w:after="0" w:line="240" w:lineRule="auto"/>
              <w:rPr>
                <w:rFonts w:ascii="Times New Roman" w:hAnsi="Times New Roman"/>
                <w:sz w:val="20"/>
                <w:szCs w:val="20"/>
              </w:rPr>
            </w:pPr>
            <w:r w:rsidRPr="00B0658A">
              <w:rPr>
                <w:rFonts w:ascii="Times New Roman" w:hAnsi="Times New Roman"/>
                <w:sz w:val="20"/>
                <w:szCs w:val="20"/>
              </w:rPr>
              <w:t>3.15</w:t>
            </w:r>
          </w:p>
        </w:tc>
        <w:tc>
          <w:tcPr>
            <w:tcW w:w="1153" w:type="pct"/>
            <w:shd w:val="clear" w:color="auto" w:fill="auto"/>
            <w:vAlign w:val="center"/>
          </w:tcPr>
          <w:p w14:paraId="687F85B9" w14:textId="77777777" w:rsidR="00FB28D8" w:rsidRPr="00B0658A" w:rsidRDefault="00FB28D8" w:rsidP="000A4114">
            <w:pPr>
              <w:spacing w:after="0" w:line="240" w:lineRule="auto"/>
              <w:rPr>
                <w:rFonts w:ascii="Times New Roman" w:hAnsi="Times New Roman"/>
                <w:sz w:val="20"/>
                <w:szCs w:val="20"/>
              </w:rPr>
            </w:pPr>
            <w:r w:rsidRPr="00B0658A">
              <w:rPr>
                <w:rFonts w:ascii="Times New Roman" w:hAnsi="Times New Roman"/>
                <w:sz w:val="20"/>
                <w:szCs w:val="20"/>
              </w:rPr>
              <w:t>Средства обеспечения информационной безопасности/ Средства обнаружения угроз и расследования сетевых инцидентов</w:t>
            </w:r>
          </w:p>
        </w:tc>
        <w:tc>
          <w:tcPr>
            <w:tcW w:w="624" w:type="pct"/>
          </w:tcPr>
          <w:p w14:paraId="7F39F9B2" w14:textId="77777777" w:rsidR="00FB28D8" w:rsidRPr="00B0658A" w:rsidRDefault="00FB28D8" w:rsidP="000A4114">
            <w:pPr>
              <w:spacing w:after="0" w:line="240" w:lineRule="auto"/>
              <w:rPr>
                <w:rFonts w:ascii="Times New Roman" w:hAnsi="Times New Roman"/>
                <w:i/>
                <w:iCs/>
                <w:sz w:val="20"/>
                <w:szCs w:val="20"/>
              </w:rPr>
            </w:pPr>
          </w:p>
        </w:tc>
        <w:tc>
          <w:tcPr>
            <w:tcW w:w="1090" w:type="pct"/>
            <w:shd w:val="clear" w:color="auto" w:fill="auto"/>
          </w:tcPr>
          <w:p w14:paraId="6E2D2CA7" w14:textId="77777777" w:rsidR="00FB28D8" w:rsidRPr="00B0658A" w:rsidRDefault="00FB28D8" w:rsidP="000A4114">
            <w:pPr>
              <w:spacing w:after="0" w:line="240" w:lineRule="auto"/>
              <w:rPr>
                <w:rFonts w:ascii="Times New Roman" w:hAnsi="Times New Roman"/>
                <w:i/>
                <w:iCs/>
                <w:sz w:val="20"/>
                <w:szCs w:val="20"/>
              </w:rPr>
            </w:pPr>
          </w:p>
        </w:tc>
        <w:tc>
          <w:tcPr>
            <w:tcW w:w="1036" w:type="pct"/>
            <w:shd w:val="clear" w:color="auto" w:fill="auto"/>
          </w:tcPr>
          <w:p w14:paraId="561700C5" w14:textId="77777777" w:rsidR="00FB28D8" w:rsidRPr="00B0658A" w:rsidRDefault="00FB28D8" w:rsidP="000A4114">
            <w:pPr>
              <w:spacing w:after="0" w:line="240" w:lineRule="auto"/>
              <w:rPr>
                <w:rFonts w:ascii="Times New Roman" w:hAnsi="Times New Roman"/>
                <w:i/>
                <w:iCs/>
                <w:sz w:val="20"/>
                <w:szCs w:val="20"/>
              </w:rPr>
            </w:pPr>
          </w:p>
        </w:tc>
        <w:tc>
          <w:tcPr>
            <w:tcW w:w="894" w:type="pct"/>
            <w:shd w:val="clear" w:color="auto" w:fill="auto"/>
          </w:tcPr>
          <w:p w14:paraId="4B857A61" w14:textId="77777777" w:rsidR="00FB28D8" w:rsidRPr="00B0658A" w:rsidRDefault="00FB28D8" w:rsidP="000A4114">
            <w:pPr>
              <w:spacing w:after="0" w:line="240" w:lineRule="auto"/>
              <w:jc w:val="both"/>
              <w:rPr>
                <w:rFonts w:ascii="Times New Roman" w:hAnsi="Times New Roman"/>
                <w:i/>
                <w:iCs/>
                <w:sz w:val="20"/>
                <w:szCs w:val="20"/>
              </w:rPr>
            </w:pPr>
          </w:p>
        </w:tc>
      </w:tr>
      <w:tr w:rsidR="00F52FED" w:rsidRPr="00B0658A" w14:paraId="7B36AC0C" w14:textId="77777777" w:rsidTr="00B10FDE">
        <w:trPr>
          <w:trHeight w:val="170"/>
        </w:trPr>
        <w:tc>
          <w:tcPr>
            <w:tcW w:w="203" w:type="pct"/>
            <w:shd w:val="clear" w:color="auto" w:fill="auto"/>
            <w:vAlign w:val="center"/>
          </w:tcPr>
          <w:p w14:paraId="6299262B" w14:textId="77777777" w:rsidR="00FB28D8" w:rsidRPr="00B0658A" w:rsidRDefault="00FB28D8" w:rsidP="000A4114">
            <w:pPr>
              <w:spacing w:after="0" w:line="240" w:lineRule="auto"/>
              <w:rPr>
                <w:rFonts w:ascii="Times New Roman" w:hAnsi="Times New Roman"/>
                <w:sz w:val="20"/>
                <w:szCs w:val="20"/>
              </w:rPr>
            </w:pPr>
            <w:r w:rsidRPr="00B0658A">
              <w:rPr>
                <w:rFonts w:ascii="Times New Roman" w:hAnsi="Times New Roman"/>
                <w:sz w:val="20"/>
                <w:szCs w:val="20"/>
              </w:rPr>
              <w:t>3.16</w:t>
            </w:r>
          </w:p>
        </w:tc>
        <w:tc>
          <w:tcPr>
            <w:tcW w:w="1153" w:type="pct"/>
            <w:shd w:val="clear" w:color="auto" w:fill="auto"/>
            <w:vAlign w:val="center"/>
          </w:tcPr>
          <w:p w14:paraId="285A21A1" w14:textId="77777777" w:rsidR="00FB28D8" w:rsidRPr="00B0658A" w:rsidRDefault="00FB28D8" w:rsidP="000A4114">
            <w:pPr>
              <w:spacing w:after="0" w:line="240" w:lineRule="auto"/>
              <w:rPr>
                <w:rFonts w:ascii="Times New Roman" w:hAnsi="Times New Roman"/>
                <w:sz w:val="20"/>
                <w:szCs w:val="20"/>
              </w:rPr>
            </w:pPr>
            <w:r w:rsidRPr="00B0658A">
              <w:rPr>
                <w:rFonts w:ascii="Times New Roman" w:hAnsi="Times New Roman"/>
                <w:sz w:val="20"/>
                <w:szCs w:val="20"/>
              </w:rPr>
              <w:t>Средства обеспечения информационной безопасности/ Средства администрирования и управления жизненным циклом ключевых носителей</w:t>
            </w:r>
          </w:p>
        </w:tc>
        <w:tc>
          <w:tcPr>
            <w:tcW w:w="624" w:type="pct"/>
          </w:tcPr>
          <w:p w14:paraId="24C8E772" w14:textId="77777777" w:rsidR="00FB28D8" w:rsidRPr="00B0658A" w:rsidRDefault="00FB28D8" w:rsidP="000A4114">
            <w:pPr>
              <w:spacing w:after="0" w:line="240" w:lineRule="auto"/>
              <w:rPr>
                <w:rFonts w:ascii="Times New Roman" w:hAnsi="Times New Roman"/>
                <w:i/>
                <w:iCs/>
                <w:sz w:val="20"/>
                <w:szCs w:val="20"/>
              </w:rPr>
            </w:pPr>
          </w:p>
        </w:tc>
        <w:tc>
          <w:tcPr>
            <w:tcW w:w="1090" w:type="pct"/>
            <w:shd w:val="clear" w:color="auto" w:fill="auto"/>
          </w:tcPr>
          <w:p w14:paraId="4A63BE9B" w14:textId="77777777" w:rsidR="00FB28D8" w:rsidRPr="00B0658A" w:rsidRDefault="00FB28D8" w:rsidP="000A4114">
            <w:pPr>
              <w:spacing w:after="0" w:line="240" w:lineRule="auto"/>
              <w:rPr>
                <w:rFonts w:ascii="Times New Roman" w:hAnsi="Times New Roman"/>
                <w:i/>
                <w:iCs/>
                <w:sz w:val="20"/>
                <w:szCs w:val="20"/>
              </w:rPr>
            </w:pPr>
          </w:p>
        </w:tc>
        <w:tc>
          <w:tcPr>
            <w:tcW w:w="1036" w:type="pct"/>
            <w:shd w:val="clear" w:color="auto" w:fill="auto"/>
          </w:tcPr>
          <w:p w14:paraId="6F941101" w14:textId="77777777" w:rsidR="00FB28D8" w:rsidRPr="00B0658A" w:rsidRDefault="00FB28D8" w:rsidP="000A4114">
            <w:pPr>
              <w:spacing w:after="0" w:line="240" w:lineRule="auto"/>
              <w:rPr>
                <w:rFonts w:ascii="Times New Roman" w:hAnsi="Times New Roman"/>
                <w:i/>
                <w:iCs/>
                <w:sz w:val="20"/>
                <w:szCs w:val="20"/>
              </w:rPr>
            </w:pPr>
          </w:p>
        </w:tc>
        <w:tc>
          <w:tcPr>
            <w:tcW w:w="894" w:type="pct"/>
            <w:shd w:val="clear" w:color="auto" w:fill="auto"/>
          </w:tcPr>
          <w:p w14:paraId="1E5D4542" w14:textId="77777777" w:rsidR="00FB28D8" w:rsidRPr="00B0658A" w:rsidRDefault="00FB28D8" w:rsidP="000A4114">
            <w:pPr>
              <w:spacing w:after="0" w:line="240" w:lineRule="auto"/>
              <w:jc w:val="both"/>
              <w:rPr>
                <w:rFonts w:ascii="Times New Roman" w:hAnsi="Times New Roman"/>
                <w:i/>
                <w:iCs/>
                <w:sz w:val="20"/>
                <w:szCs w:val="20"/>
              </w:rPr>
            </w:pPr>
          </w:p>
        </w:tc>
      </w:tr>
      <w:tr w:rsidR="00F52FED" w:rsidRPr="00B0658A" w14:paraId="4BC87448" w14:textId="77777777" w:rsidTr="00B10FDE">
        <w:trPr>
          <w:trHeight w:val="170"/>
        </w:trPr>
        <w:tc>
          <w:tcPr>
            <w:tcW w:w="203" w:type="pct"/>
            <w:shd w:val="clear" w:color="auto" w:fill="auto"/>
            <w:vAlign w:val="center"/>
          </w:tcPr>
          <w:p w14:paraId="7B73359A" w14:textId="77777777" w:rsidR="00FB28D8" w:rsidRPr="00B0658A" w:rsidRDefault="00FB28D8" w:rsidP="000A4114">
            <w:pPr>
              <w:spacing w:after="0" w:line="240" w:lineRule="auto"/>
              <w:rPr>
                <w:rFonts w:ascii="Times New Roman" w:hAnsi="Times New Roman"/>
                <w:sz w:val="20"/>
                <w:szCs w:val="20"/>
              </w:rPr>
            </w:pPr>
            <w:r w:rsidRPr="00B0658A">
              <w:rPr>
                <w:rFonts w:ascii="Times New Roman" w:hAnsi="Times New Roman"/>
                <w:sz w:val="20"/>
                <w:szCs w:val="20"/>
              </w:rPr>
              <w:t>3.17</w:t>
            </w:r>
          </w:p>
        </w:tc>
        <w:tc>
          <w:tcPr>
            <w:tcW w:w="1153" w:type="pct"/>
            <w:shd w:val="clear" w:color="auto" w:fill="auto"/>
            <w:vAlign w:val="center"/>
          </w:tcPr>
          <w:p w14:paraId="0DDC4EDB" w14:textId="77777777" w:rsidR="00FB28D8" w:rsidRPr="00B0658A" w:rsidRDefault="00FB28D8" w:rsidP="000A4114">
            <w:pPr>
              <w:spacing w:after="0" w:line="240" w:lineRule="auto"/>
              <w:rPr>
                <w:rFonts w:ascii="Times New Roman" w:hAnsi="Times New Roman"/>
                <w:sz w:val="20"/>
                <w:szCs w:val="20"/>
              </w:rPr>
            </w:pPr>
            <w:r w:rsidRPr="00B0658A">
              <w:rPr>
                <w:rFonts w:ascii="Times New Roman" w:hAnsi="Times New Roman"/>
                <w:sz w:val="20"/>
                <w:szCs w:val="20"/>
              </w:rPr>
              <w:t>Средства обеспечения информационной безопасности/ Средства автоматизации процессов информационной безопасности</w:t>
            </w:r>
          </w:p>
        </w:tc>
        <w:tc>
          <w:tcPr>
            <w:tcW w:w="624" w:type="pct"/>
          </w:tcPr>
          <w:p w14:paraId="57C9EF6A" w14:textId="77777777" w:rsidR="00FB28D8" w:rsidRPr="00B0658A" w:rsidRDefault="00FB28D8" w:rsidP="000A4114">
            <w:pPr>
              <w:spacing w:after="0" w:line="240" w:lineRule="auto"/>
              <w:rPr>
                <w:rFonts w:ascii="Times New Roman" w:hAnsi="Times New Roman"/>
                <w:i/>
                <w:iCs/>
                <w:sz w:val="20"/>
                <w:szCs w:val="20"/>
              </w:rPr>
            </w:pPr>
          </w:p>
        </w:tc>
        <w:tc>
          <w:tcPr>
            <w:tcW w:w="1090" w:type="pct"/>
            <w:shd w:val="clear" w:color="auto" w:fill="auto"/>
          </w:tcPr>
          <w:p w14:paraId="78F296C3" w14:textId="77777777" w:rsidR="00FB28D8" w:rsidRPr="00B0658A" w:rsidRDefault="00FB28D8" w:rsidP="000A4114">
            <w:pPr>
              <w:spacing w:after="0" w:line="240" w:lineRule="auto"/>
              <w:rPr>
                <w:rFonts w:ascii="Times New Roman" w:hAnsi="Times New Roman"/>
                <w:i/>
                <w:iCs/>
                <w:sz w:val="20"/>
                <w:szCs w:val="20"/>
              </w:rPr>
            </w:pPr>
          </w:p>
        </w:tc>
        <w:tc>
          <w:tcPr>
            <w:tcW w:w="1036" w:type="pct"/>
            <w:shd w:val="clear" w:color="auto" w:fill="auto"/>
          </w:tcPr>
          <w:p w14:paraId="0D8EAE34" w14:textId="77777777" w:rsidR="00FB28D8" w:rsidRPr="00B0658A" w:rsidRDefault="00FB28D8" w:rsidP="000A4114">
            <w:pPr>
              <w:spacing w:after="0" w:line="240" w:lineRule="auto"/>
              <w:rPr>
                <w:rFonts w:ascii="Times New Roman" w:hAnsi="Times New Roman"/>
                <w:i/>
                <w:iCs/>
                <w:sz w:val="20"/>
                <w:szCs w:val="20"/>
              </w:rPr>
            </w:pPr>
          </w:p>
        </w:tc>
        <w:tc>
          <w:tcPr>
            <w:tcW w:w="894" w:type="pct"/>
            <w:shd w:val="clear" w:color="auto" w:fill="auto"/>
          </w:tcPr>
          <w:p w14:paraId="35BDC201" w14:textId="77777777" w:rsidR="00FB28D8" w:rsidRPr="00B0658A" w:rsidRDefault="00FB28D8" w:rsidP="000A4114">
            <w:pPr>
              <w:spacing w:after="0" w:line="240" w:lineRule="auto"/>
              <w:jc w:val="both"/>
              <w:rPr>
                <w:rFonts w:ascii="Times New Roman" w:hAnsi="Times New Roman"/>
                <w:i/>
                <w:iCs/>
                <w:sz w:val="20"/>
                <w:szCs w:val="20"/>
              </w:rPr>
            </w:pPr>
          </w:p>
        </w:tc>
      </w:tr>
      <w:tr w:rsidR="00F52FED" w:rsidRPr="00B0658A" w14:paraId="527BD0E6" w14:textId="77777777" w:rsidTr="00B10FDE">
        <w:trPr>
          <w:trHeight w:val="170"/>
        </w:trPr>
        <w:tc>
          <w:tcPr>
            <w:tcW w:w="203" w:type="pct"/>
            <w:shd w:val="clear" w:color="auto" w:fill="auto"/>
            <w:vAlign w:val="center"/>
          </w:tcPr>
          <w:p w14:paraId="6421D8C7" w14:textId="77777777" w:rsidR="00FB28D8" w:rsidRPr="00B0658A" w:rsidRDefault="00FB28D8" w:rsidP="000A4114">
            <w:pPr>
              <w:spacing w:after="0" w:line="240" w:lineRule="auto"/>
              <w:rPr>
                <w:rFonts w:ascii="Times New Roman" w:hAnsi="Times New Roman"/>
                <w:sz w:val="20"/>
                <w:szCs w:val="20"/>
              </w:rPr>
            </w:pPr>
            <w:r w:rsidRPr="00B0658A">
              <w:rPr>
                <w:rFonts w:ascii="Times New Roman" w:hAnsi="Times New Roman"/>
                <w:sz w:val="20"/>
                <w:szCs w:val="20"/>
              </w:rPr>
              <w:t>4.1</w:t>
            </w:r>
          </w:p>
        </w:tc>
        <w:tc>
          <w:tcPr>
            <w:tcW w:w="1153" w:type="pct"/>
            <w:shd w:val="clear" w:color="auto" w:fill="auto"/>
            <w:vAlign w:val="center"/>
          </w:tcPr>
          <w:p w14:paraId="01863658" w14:textId="77777777" w:rsidR="00FB28D8" w:rsidRPr="00B0658A" w:rsidRDefault="00FB28D8" w:rsidP="000A4114">
            <w:pPr>
              <w:spacing w:after="0" w:line="240" w:lineRule="auto"/>
              <w:rPr>
                <w:rFonts w:ascii="Times New Roman" w:hAnsi="Times New Roman"/>
                <w:sz w:val="20"/>
                <w:szCs w:val="20"/>
              </w:rPr>
            </w:pPr>
            <w:r w:rsidRPr="00B0658A">
              <w:rPr>
                <w:rFonts w:ascii="Times New Roman" w:hAnsi="Times New Roman"/>
                <w:sz w:val="20"/>
                <w:szCs w:val="20"/>
              </w:rPr>
              <w:t>Средства разработки программного обеспечения/ Средства подготовки исполнимого кода</w:t>
            </w:r>
          </w:p>
        </w:tc>
        <w:tc>
          <w:tcPr>
            <w:tcW w:w="624" w:type="pct"/>
          </w:tcPr>
          <w:p w14:paraId="14DF7E9A" w14:textId="77777777" w:rsidR="00FB28D8" w:rsidRPr="00B0658A" w:rsidRDefault="00FB28D8" w:rsidP="000A4114">
            <w:pPr>
              <w:spacing w:after="0" w:line="240" w:lineRule="auto"/>
              <w:rPr>
                <w:rFonts w:ascii="Times New Roman" w:hAnsi="Times New Roman"/>
                <w:i/>
                <w:iCs/>
                <w:sz w:val="20"/>
                <w:szCs w:val="20"/>
              </w:rPr>
            </w:pPr>
          </w:p>
        </w:tc>
        <w:tc>
          <w:tcPr>
            <w:tcW w:w="1090" w:type="pct"/>
            <w:shd w:val="clear" w:color="auto" w:fill="auto"/>
          </w:tcPr>
          <w:p w14:paraId="5D088900" w14:textId="77777777" w:rsidR="00FB28D8" w:rsidRPr="00B0658A" w:rsidRDefault="00FB28D8" w:rsidP="000A4114">
            <w:pPr>
              <w:spacing w:after="0" w:line="240" w:lineRule="auto"/>
              <w:rPr>
                <w:rFonts w:ascii="Times New Roman" w:hAnsi="Times New Roman"/>
                <w:i/>
                <w:iCs/>
                <w:sz w:val="20"/>
                <w:szCs w:val="20"/>
              </w:rPr>
            </w:pPr>
          </w:p>
        </w:tc>
        <w:tc>
          <w:tcPr>
            <w:tcW w:w="1036" w:type="pct"/>
            <w:shd w:val="clear" w:color="auto" w:fill="auto"/>
          </w:tcPr>
          <w:p w14:paraId="2B7CAD0A" w14:textId="77777777" w:rsidR="00FB28D8" w:rsidRPr="00B0658A" w:rsidRDefault="00FB28D8" w:rsidP="000A4114">
            <w:pPr>
              <w:spacing w:after="0" w:line="240" w:lineRule="auto"/>
              <w:rPr>
                <w:rFonts w:ascii="Times New Roman" w:hAnsi="Times New Roman"/>
                <w:i/>
                <w:iCs/>
                <w:sz w:val="20"/>
                <w:szCs w:val="20"/>
              </w:rPr>
            </w:pPr>
          </w:p>
        </w:tc>
        <w:tc>
          <w:tcPr>
            <w:tcW w:w="894" w:type="pct"/>
            <w:shd w:val="clear" w:color="auto" w:fill="auto"/>
          </w:tcPr>
          <w:p w14:paraId="6907274E" w14:textId="77777777" w:rsidR="00FB28D8" w:rsidRPr="00B0658A" w:rsidRDefault="00FB28D8" w:rsidP="000A4114">
            <w:pPr>
              <w:spacing w:after="0" w:line="240" w:lineRule="auto"/>
              <w:jc w:val="both"/>
              <w:rPr>
                <w:rFonts w:ascii="Times New Roman" w:hAnsi="Times New Roman"/>
                <w:i/>
                <w:iCs/>
                <w:sz w:val="20"/>
                <w:szCs w:val="20"/>
              </w:rPr>
            </w:pPr>
          </w:p>
        </w:tc>
      </w:tr>
      <w:tr w:rsidR="00F52FED" w:rsidRPr="00B0658A" w14:paraId="19C7B204" w14:textId="77777777" w:rsidTr="00B10FDE">
        <w:trPr>
          <w:trHeight w:val="170"/>
        </w:trPr>
        <w:tc>
          <w:tcPr>
            <w:tcW w:w="203" w:type="pct"/>
            <w:shd w:val="clear" w:color="auto" w:fill="auto"/>
            <w:vAlign w:val="center"/>
          </w:tcPr>
          <w:p w14:paraId="7309E12B" w14:textId="77777777" w:rsidR="00FB28D8" w:rsidRPr="00B0658A" w:rsidDel="00EC4B3C" w:rsidRDefault="00FB28D8" w:rsidP="000A4114">
            <w:pPr>
              <w:spacing w:after="0" w:line="240" w:lineRule="auto"/>
              <w:rPr>
                <w:rFonts w:ascii="Times New Roman" w:hAnsi="Times New Roman"/>
                <w:b/>
                <w:sz w:val="20"/>
                <w:szCs w:val="20"/>
              </w:rPr>
            </w:pPr>
            <w:r w:rsidRPr="00B0658A">
              <w:rPr>
                <w:rFonts w:ascii="Times New Roman" w:hAnsi="Times New Roman"/>
                <w:sz w:val="20"/>
                <w:szCs w:val="20"/>
              </w:rPr>
              <w:t>4.2</w:t>
            </w:r>
          </w:p>
        </w:tc>
        <w:tc>
          <w:tcPr>
            <w:tcW w:w="1153" w:type="pct"/>
            <w:shd w:val="clear" w:color="auto" w:fill="auto"/>
            <w:vAlign w:val="center"/>
          </w:tcPr>
          <w:p w14:paraId="5D1011C0" w14:textId="77777777" w:rsidR="00FB28D8" w:rsidRPr="00B0658A" w:rsidRDefault="00FB28D8" w:rsidP="000A4114">
            <w:pPr>
              <w:spacing w:after="0" w:line="240" w:lineRule="auto"/>
              <w:rPr>
                <w:rFonts w:ascii="Times New Roman" w:hAnsi="Times New Roman"/>
                <w:b/>
                <w:sz w:val="20"/>
                <w:szCs w:val="20"/>
              </w:rPr>
            </w:pPr>
            <w:r w:rsidRPr="00B0658A">
              <w:rPr>
                <w:rFonts w:ascii="Times New Roman" w:hAnsi="Times New Roman"/>
                <w:sz w:val="20"/>
                <w:szCs w:val="20"/>
              </w:rPr>
              <w:t>Средства разработки программного обеспечения/ Средства версионного контроля исходного кода</w:t>
            </w:r>
          </w:p>
        </w:tc>
        <w:tc>
          <w:tcPr>
            <w:tcW w:w="624" w:type="pct"/>
          </w:tcPr>
          <w:p w14:paraId="4C85D894" w14:textId="77777777" w:rsidR="00FB28D8" w:rsidRPr="00B0658A" w:rsidRDefault="00FB28D8" w:rsidP="000A4114">
            <w:pPr>
              <w:spacing w:after="0" w:line="240" w:lineRule="auto"/>
              <w:rPr>
                <w:rFonts w:ascii="Times New Roman" w:hAnsi="Times New Roman"/>
                <w:i/>
                <w:iCs/>
                <w:sz w:val="20"/>
                <w:szCs w:val="20"/>
              </w:rPr>
            </w:pPr>
          </w:p>
        </w:tc>
        <w:tc>
          <w:tcPr>
            <w:tcW w:w="1090" w:type="pct"/>
            <w:shd w:val="clear" w:color="auto" w:fill="auto"/>
          </w:tcPr>
          <w:p w14:paraId="45D279D6" w14:textId="77777777" w:rsidR="00FB28D8" w:rsidRPr="00B0658A" w:rsidRDefault="00FB28D8" w:rsidP="000A4114">
            <w:pPr>
              <w:spacing w:after="0" w:line="240" w:lineRule="auto"/>
              <w:rPr>
                <w:rFonts w:ascii="Times New Roman" w:hAnsi="Times New Roman"/>
                <w:i/>
                <w:iCs/>
                <w:sz w:val="20"/>
                <w:szCs w:val="20"/>
              </w:rPr>
            </w:pPr>
          </w:p>
        </w:tc>
        <w:tc>
          <w:tcPr>
            <w:tcW w:w="1036" w:type="pct"/>
            <w:shd w:val="clear" w:color="auto" w:fill="auto"/>
          </w:tcPr>
          <w:p w14:paraId="3698D8F0" w14:textId="77777777" w:rsidR="00FB28D8" w:rsidRPr="00B0658A" w:rsidRDefault="00FB28D8" w:rsidP="000A4114">
            <w:pPr>
              <w:spacing w:after="0" w:line="240" w:lineRule="auto"/>
              <w:rPr>
                <w:rFonts w:ascii="Times New Roman" w:hAnsi="Times New Roman"/>
                <w:i/>
                <w:iCs/>
                <w:sz w:val="20"/>
                <w:szCs w:val="20"/>
              </w:rPr>
            </w:pPr>
          </w:p>
        </w:tc>
        <w:tc>
          <w:tcPr>
            <w:tcW w:w="894" w:type="pct"/>
            <w:shd w:val="clear" w:color="auto" w:fill="auto"/>
          </w:tcPr>
          <w:p w14:paraId="20C752FF" w14:textId="77777777" w:rsidR="00FB28D8" w:rsidRPr="00B0658A" w:rsidRDefault="00FB28D8" w:rsidP="000A4114">
            <w:pPr>
              <w:spacing w:after="0" w:line="240" w:lineRule="auto"/>
              <w:jc w:val="both"/>
              <w:rPr>
                <w:rFonts w:ascii="Times New Roman" w:hAnsi="Times New Roman"/>
                <w:i/>
                <w:iCs/>
                <w:sz w:val="20"/>
                <w:szCs w:val="20"/>
              </w:rPr>
            </w:pPr>
          </w:p>
        </w:tc>
      </w:tr>
      <w:tr w:rsidR="00F52FED" w:rsidRPr="00B0658A" w14:paraId="15AFFCF1" w14:textId="77777777" w:rsidTr="00B10FDE">
        <w:trPr>
          <w:trHeight w:val="170"/>
        </w:trPr>
        <w:tc>
          <w:tcPr>
            <w:tcW w:w="203" w:type="pct"/>
            <w:shd w:val="clear" w:color="auto" w:fill="auto"/>
            <w:vAlign w:val="center"/>
          </w:tcPr>
          <w:p w14:paraId="1D0511D5" w14:textId="77777777" w:rsidR="00FB28D8" w:rsidRPr="00B0658A" w:rsidDel="00EC4B3C" w:rsidRDefault="00FB28D8" w:rsidP="000A4114">
            <w:pPr>
              <w:spacing w:after="0" w:line="240" w:lineRule="auto"/>
              <w:rPr>
                <w:rFonts w:ascii="Times New Roman" w:hAnsi="Times New Roman"/>
                <w:b/>
                <w:sz w:val="20"/>
                <w:szCs w:val="20"/>
              </w:rPr>
            </w:pPr>
            <w:r w:rsidRPr="00B0658A">
              <w:rPr>
                <w:rFonts w:ascii="Times New Roman" w:hAnsi="Times New Roman"/>
                <w:sz w:val="20"/>
                <w:szCs w:val="20"/>
              </w:rPr>
              <w:t>4.3</w:t>
            </w:r>
          </w:p>
        </w:tc>
        <w:tc>
          <w:tcPr>
            <w:tcW w:w="1153" w:type="pct"/>
            <w:shd w:val="clear" w:color="auto" w:fill="auto"/>
            <w:vAlign w:val="center"/>
          </w:tcPr>
          <w:p w14:paraId="6689CBB4" w14:textId="77777777" w:rsidR="00FB28D8" w:rsidRPr="00B0658A" w:rsidRDefault="00FB28D8" w:rsidP="000A4114">
            <w:pPr>
              <w:spacing w:after="0" w:line="240" w:lineRule="auto"/>
              <w:rPr>
                <w:rFonts w:ascii="Times New Roman" w:hAnsi="Times New Roman"/>
                <w:b/>
                <w:sz w:val="20"/>
                <w:szCs w:val="20"/>
              </w:rPr>
            </w:pPr>
            <w:r w:rsidRPr="00B0658A">
              <w:rPr>
                <w:rFonts w:ascii="Times New Roman" w:hAnsi="Times New Roman"/>
                <w:sz w:val="20"/>
                <w:szCs w:val="20"/>
              </w:rPr>
              <w:t>Средства разработки программного обеспечения/ Библиотеки подпрограмм (SDK)</w:t>
            </w:r>
          </w:p>
        </w:tc>
        <w:tc>
          <w:tcPr>
            <w:tcW w:w="624" w:type="pct"/>
          </w:tcPr>
          <w:p w14:paraId="4F58A27D" w14:textId="77777777" w:rsidR="00FB28D8" w:rsidRPr="00B0658A" w:rsidRDefault="00FB28D8" w:rsidP="000A4114">
            <w:pPr>
              <w:spacing w:after="0" w:line="240" w:lineRule="auto"/>
              <w:rPr>
                <w:rFonts w:ascii="Times New Roman" w:hAnsi="Times New Roman"/>
                <w:i/>
                <w:iCs/>
                <w:sz w:val="20"/>
                <w:szCs w:val="20"/>
              </w:rPr>
            </w:pPr>
          </w:p>
        </w:tc>
        <w:tc>
          <w:tcPr>
            <w:tcW w:w="1090" w:type="pct"/>
            <w:shd w:val="clear" w:color="auto" w:fill="auto"/>
          </w:tcPr>
          <w:p w14:paraId="165E770B" w14:textId="77777777" w:rsidR="00FB28D8" w:rsidRPr="00B0658A" w:rsidRDefault="00FB28D8" w:rsidP="000A4114">
            <w:pPr>
              <w:spacing w:after="0" w:line="240" w:lineRule="auto"/>
              <w:rPr>
                <w:rFonts w:ascii="Times New Roman" w:hAnsi="Times New Roman"/>
                <w:i/>
                <w:iCs/>
                <w:sz w:val="20"/>
                <w:szCs w:val="20"/>
              </w:rPr>
            </w:pPr>
          </w:p>
        </w:tc>
        <w:tc>
          <w:tcPr>
            <w:tcW w:w="1036" w:type="pct"/>
            <w:shd w:val="clear" w:color="auto" w:fill="auto"/>
          </w:tcPr>
          <w:p w14:paraId="4109AE79" w14:textId="77777777" w:rsidR="00FB28D8" w:rsidRPr="00B0658A" w:rsidRDefault="00FB28D8" w:rsidP="000A4114">
            <w:pPr>
              <w:spacing w:after="0" w:line="240" w:lineRule="auto"/>
              <w:rPr>
                <w:rFonts w:ascii="Times New Roman" w:hAnsi="Times New Roman"/>
                <w:i/>
                <w:iCs/>
                <w:sz w:val="20"/>
                <w:szCs w:val="20"/>
              </w:rPr>
            </w:pPr>
          </w:p>
        </w:tc>
        <w:tc>
          <w:tcPr>
            <w:tcW w:w="894" w:type="pct"/>
            <w:shd w:val="clear" w:color="auto" w:fill="auto"/>
          </w:tcPr>
          <w:p w14:paraId="2B772AC1" w14:textId="77777777" w:rsidR="00FB28D8" w:rsidRPr="00B0658A" w:rsidRDefault="00FB28D8" w:rsidP="000A4114">
            <w:pPr>
              <w:spacing w:after="0" w:line="240" w:lineRule="auto"/>
              <w:jc w:val="both"/>
              <w:rPr>
                <w:rFonts w:ascii="Times New Roman" w:hAnsi="Times New Roman"/>
                <w:i/>
                <w:iCs/>
                <w:sz w:val="20"/>
                <w:szCs w:val="20"/>
              </w:rPr>
            </w:pPr>
          </w:p>
        </w:tc>
      </w:tr>
      <w:tr w:rsidR="00F52FED" w:rsidRPr="00B0658A" w14:paraId="67D4D4BA" w14:textId="77777777" w:rsidTr="00B10FDE">
        <w:trPr>
          <w:trHeight w:val="170"/>
        </w:trPr>
        <w:tc>
          <w:tcPr>
            <w:tcW w:w="203" w:type="pct"/>
            <w:shd w:val="clear" w:color="auto" w:fill="auto"/>
            <w:vAlign w:val="center"/>
          </w:tcPr>
          <w:p w14:paraId="1B876053" w14:textId="77777777" w:rsidR="00FB28D8" w:rsidRPr="00B0658A" w:rsidDel="00EC4B3C" w:rsidRDefault="00FB28D8" w:rsidP="000A4114">
            <w:pPr>
              <w:spacing w:after="0" w:line="240" w:lineRule="auto"/>
              <w:rPr>
                <w:rFonts w:ascii="Times New Roman" w:hAnsi="Times New Roman"/>
                <w:b/>
                <w:sz w:val="20"/>
                <w:szCs w:val="20"/>
              </w:rPr>
            </w:pPr>
            <w:r w:rsidRPr="00B0658A">
              <w:rPr>
                <w:rFonts w:ascii="Times New Roman" w:hAnsi="Times New Roman"/>
                <w:sz w:val="20"/>
                <w:szCs w:val="20"/>
              </w:rPr>
              <w:t>4.4</w:t>
            </w:r>
          </w:p>
        </w:tc>
        <w:tc>
          <w:tcPr>
            <w:tcW w:w="1153" w:type="pct"/>
            <w:shd w:val="clear" w:color="auto" w:fill="auto"/>
            <w:vAlign w:val="center"/>
          </w:tcPr>
          <w:p w14:paraId="33872187" w14:textId="77777777" w:rsidR="00FB28D8" w:rsidRPr="00B0658A" w:rsidRDefault="00FB28D8" w:rsidP="000A4114">
            <w:pPr>
              <w:spacing w:after="0" w:line="240" w:lineRule="auto"/>
              <w:rPr>
                <w:rFonts w:ascii="Times New Roman" w:hAnsi="Times New Roman"/>
                <w:b/>
                <w:sz w:val="20"/>
                <w:szCs w:val="20"/>
              </w:rPr>
            </w:pPr>
            <w:r w:rsidRPr="00B0658A">
              <w:rPr>
                <w:rFonts w:ascii="Times New Roman" w:hAnsi="Times New Roman"/>
                <w:sz w:val="20"/>
                <w:szCs w:val="20"/>
              </w:rPr>
              <w:t>Средства разработки программного обеспечения/ Среды разработки, тестирования и отладки</w:t>
            </w:r>
          </w:p>
        </w:tc>
        <w:tc>
          <w:tcPr>
            <w:tcW w:w="624" w:type="pct"/>
          </w:tcPr>
          <w:p w14:paraId="621DF58F" w14:textId="77777777" w:rsidR="00FB28D8" w:rsidRPr="00B0658A" w:rsidRDefault="00FB28D8" w:rsidP="000A4114">
            <w:pPr>
              <w:spacing w:after="0" w:line="240" w:lineRule="auto"/>
              <w:rPr>
                <w:rFonts w:ascii="Times New Roman" w:hAnsi="Times New Roman"/>
                <w:i/>
                <w:iCs/>
                <w:sz w:val="20"/>
                <w:szCs w:val="20"/>
              </w:rPr>
            </w:pPr>
          </w:p>
        </w:tc>
        <w:tc>
          <w:tcPr>
            <w:tcW w:w="1090" w:type="pct"/>
            <w:shd w:val="clear" w:color="auto" w:fill="auto"/>
          </w:tcPr>
          <w:p w14:paraId="32624DA9" w14:textId="77777777" w:rsidR="00FB28D8" w:rsidRPr="00B0658A" w:rsidRDefault="00FB28D8" w:rsidP="000A4114">
            <w:pPr>
              <w:spacing w:after="0" w:line="240" w:lineRule="auto"/>
              <w:rPr>
                <w:rFonts w:ascii="Times New Roman" w:hAnsi="Times New Roman"/>
                <w:i/>
                <w:iCs/>
                <w:sz w:val="20"/>
                <w:szCs w:val="20"/>
              </w:rPr>
            </w:pPr>
          </w:p>
        </w:tc>
        <w:tc>
          <w:tcPr>
            <w:tcW w:w="1036" w:type="pct"/>
            <w:shd w:val="clear" w:color="auto" w:fill="auto"/>
          </w:tcPr>
          <w:p w14:paraId="004A16A7" w14:textId="77777777" w:rsidR="00FB28D8" w:rsidRPr="00B0658A" w:rsidRDefault="00FB28D8" w:rsidP="000A4114">
            <w:pPr>
              <w:spacing w:after="0" w:line="240" w:lineRule="auto"/>
              <w:rPr>
                <w:rFonts w:ascii="Times New Roman" w:hAnsi="Times New Roman"/>
                <w:i/>
                <w:iCs/>
                <w:sz w:val="20"/>
                <w:szCs w:val="20"/>
              </w:rPr>
            </w:pPr>
          </w:p>
        </w:tc>
        <w:tc>
          <w:tcPr>
            <w:tcW w:w="894" w:type="pct"/>
            <w:shd w:val="clear" w:color="auto" w:fill="auto"/>
          </w:tcPr>
          <w:p w14:paraId="3553B85F" w14:textId="77777777" w:rsidR="00FB28D8" w:rsidRPr="00B0658A" w:rsidRDefault="00FB28D8" w:rsidP="000A4114">
            <w:pPr>
              <w:spacing w:after="0" w:line="240" w:lineRule="auto"/>
              <w:jc w:val="both"/>
              <w:rPr>
                <w:rFonts w:ascii="Times New Roman" w:hAnsi="Times New Roman"/>
                <w:i/>
                <w:iCs/>
                <w:sz w:val="20"/>
                <w:szCs w:val="20"/>
              </w:rPr>
            </w:pPr>
          </w:p>
        </w:tc>
      </w:tr>
      <w:tr w:rsidR="00F52FED" w:rsidRPr="00B0658A" w14:paraId="3A35721D" w14:textId="77777777" w:rsidTr="00B10FDE">
        <w:trPr>
          <w:trHeight w:val="170"/>
        </w:trPr>
        <w:tc>
          <w:tcPr>
            <w:tcW w:w="203" w:type="pct"/>
            <w:shd w:val="clear" w:color="auto" w:fill="auto"/>
            <w:vAlign w:val="center"/>
          </w:tcPr>
          <w:p w14:paraId="6AF1BEFB" w14:textId="77777777" w:rsidR="00FB28D8" w:rsidRPr="00B0658A" w:rsidDel="00EC4B3C" w:rsidRDefault="00FB28D8" w:rsidP="000A4114">
            <w:pPr>
              <w:spacing w:after="0" w:line="240" w:lineRule="auto"/>
              <w:rPr>
                <w:rFonts w:ascii="Times New Roman" w:hAnsi="Times New Roman"/>
                <w:b/>
                <w:sz w:val="20"/>
                <w:szCs w:val="20"/>
              </w:rPr>
            </w:pPr>
            <w:r w:rsidRPr="00B0658A">
              <w:rPr>
                <w:rFonts w:ascii="Times New Roman" w:hAnsi="Times New Roman"/>
                <w:sz w:val="20"/>
                <w:szCs w:val="20"/>
              </w:rPr>
              <w:t>4.5</w:t>
            </w:r>
          </w:p>
        </w:tc>
        <w:tc>
          <w:tcPr>
            <w:tcW w:w="1153" w:type="pct"/>
            <w:shd w:val="clear" w:color="auto" w:fill="auto"/>
            <w:vAlign w:val="center"/>
          </w:tcPr>
          <w:p w14:paraId="57389419" w14:textId="77777777" w:rsidR="00FB28D8" w:rsidRPr="00B0658A" w:rsidRDefault="00FB28D8" w:rsidP="000A4114">
            <w:pPr>
              <w:spacing w:after="0" w:line="240" w:lineRule="auto"/>
              <w:rPr>
                <w:rFonts w:ascii="Times New Roman" w:hAnsi="Times New Roman"/>
                <w:b/>
                <w:sz w:val="20"/>
                <w:szCs w:val="20"/>
              </w:rPr>
            </w:pPr>
            <w:r w:rsidRPr="00B0658A">
              <w:rPr>
                <w:rFonts w:ascii="Times New Roman" w:hAnsi="Times New Roman"/>
                <w:sz w:val="20"/>
                <w:szCs w:val="20"/>
              </w:rPr>
              <w:t>Средства разработки программного обеспечения/ Средства анализа исходного кода на закладки и уязвимости</w:t>
            </w:r>
          </w:p>
        </w:tc>
        <w:tc>
          <w:tcPr>
            <w:tcW w:w="624" w:type="pct"/>
          </w:tcPr>
          <w:p w14:paraId="30967918" w14:textId="77777777" w:rsidR="00FB28D8" w:rsidRPr="00B0658A" w:rsidRDefault="00FB28D8" w:rsidP="000A4114">
            <w:pPr>
              <w:spacing w:after="0" w:line="240" w:lineRule="auto"/>
              <w:rPr>
                <w:rFonts w:ascii="Times New Roman" w:hAnsi="Times New Roman"/>
                <w:i/>
                <w:iCs/>
                <w:sz w:val="20"/>
                <w:szCs w:val="20"/>
              </w:rPr>
            </w:pPr>
          </w:p>
        </w:tc>
        <w:tc>
          <w:tcPr>
            <w:tcW w:w="1090" w:type="pct"/>
            <w:shd w:val="clear" w:color="auto" w:fill="auto"/>
          </w:tcPr>
          <w:p w14:paraId="17B06AC8" w14:textId="77777777" w:rsidR="00FB28D8" w:rsidRPr="00B0658A" w:rsidRDefault="00FB28D8" w:rsidP="000A4114">
            <w:pPr>
              <w:spacing w:after="0" w:line="240" w:lineRule="auto"/>
              <w:rPr>
                <w:rFonts w:ascii="Times New Roman" w:hAnsi="Times New Roman"/>
                <w:i/>
                <w:iCs/>
                <w:sz w:val="20"/>
                <w:szCs w:val="20"/>
              </w:rPr>
            </w:pPr>
          </w:p>
        </w:tc>
        <w:tc>
          <w:tcPr>
            <w:tcW w:w="1036" w:type="pct"/>
            <w:shd w:val="clear" w:color="auto" w:fill="auto"/>
          </w:tcPr>
          <w:p w14:paraId="65FD450F" w14:textId="77777777" w:rsidR="00FB28D8" w:rsidRPr="00B0658A" w:rsidRDefault="00FB28D8" w:rsidP="000A4114">
            <w:pPr>
              <w:spacing w:after="0" w:line="240" w:lineRule="auto"/>
              <w:rPr>
                <w:rFonts w:ascii="Times New Roman" w:hAnsi="Times New Roman"/>
                <w:i/>
                <w:iCs/>
                <w:sz w:val="20"/>
                <w:szCs w:val="20"/>
              </w:rPr>
            </w:pPr>
          </w:p>
        </w:tc>
        <w:tc>
          <w:tcPr>
            <w:tcW w:w="894" w:type="pct"/>
            <w:shd w:val="clear" w:color="auto" w:fill="auto"/>
          </w:tcPr>
          <w:p w14:paraId="404F3873" w14:textId="77777777" w:rsidR="00FB28D8" w:rsidRPr="00B0658A" w:rsidRDefault="00FB28D8" w:rsidP="000A4114">
            <w:pPr>
              <w:spacing w:after="0" w:line="240" w:lineRule="auto"/>
              <w:jc w:val="both"/>
              <w:rPr>
                <w:rFonts w:ascii="Times New Roman" w:hAnsi="Times New Roman"/>
                <w:i/>
                <w:iCs/>
                <w:sz w:val="20"/>
                <w:szCs w:val="20"/>
              </w:rPr>
            </w:pPr>
          </w:p>
        </w:tc>
      </w:tr>
      <w:tr w:rsidR="00F52FED" w:rsidRPr="00B0658A" w14:paraId="51D274C1" w14:textId="77777777" w:rsidTr="00B10FDE">
        <w:trPr>
          <w:trHeight w:val="170"/>
        </w:trPr>
        <w:tc>
          <w:tcPr>
            <w:tcW w:w="203" w:type="pct"/>
            <w:shd w:val="clear" w:color="auto" w:fill="auto"/>
            <w:vAlign w:val="center"/>
          </w:tcPr>
          <w:p w14:paraId="2F679050" w14:textId="77777777" w:rsidR="00FB28D8" w:rsidRPr="00B0658A" w:rsidDel="00EC4B3C" w:rsidRDefault="00FB28D8" w:rsidP="000A4114">
            <w:pPr>
              <w:spacing w:after="0" w:line="240" w:lineRule="auto"/>
              <w:rPr>
                <w:rFonts w:ascii="Times New Roman" w:hAnsi="Times New Roman"/>
                <w:b/>
                <w:sz w:val="20"/>
                <w:szCs w:val="20"/>
              </w:rPr>
            </w:pPr>
            <w:r w:rsidRPr="00B0658A">
              <w:rPr>
                <w:rFonts w:ascii="Times New Roman" w:hAnsi="Times New Roman"/>
                <w:sz w:val="20"/>
                <w:szCs w:val="20"/>
              </w:rPr>
              <w:t>4.6</w:t>
            </w:r>
          </w:p>
        </w:tc>
        <w:tc>
          <w:tcPr>
            <w:tcW w:w="1153" w:type="pct"/>
            <w:shd w:val="clear" w:color="auto" w:fill="auto"/>
            <w:vAlign w:val="center"/>
          </w:tcPr>
          <w:p w14:paraId="3318155F" w14:textId="77777777" w:rsidR="00FB28D8" w:rsidRPr="00B0658A" w:rsidRDefault="00FB28D8" w:rsidP="000A4114">
            <w:pPr>
              <w:spacing w:after="0" w:line="240" w:lineRule="auto"/>
              <w:rPr>
                <w:rFonts w:ascii="Times New Roman" w:hAnsi="Times New Roman"/>
                <w:b/>
                <w:sz w:val="20"/>
                <w:szCs w:val="20"/>
              </w:rPr>
            </w:pPr>
            <w:r w:rsidRPr="00B0658A">
              <w:rPr>
                <w:rFonts w:ascii="Times New Roman" w:hAnsi="Times New Roman"/>
                <w:sz w:val="20"/>
                <w:szCs w:val="20"/>
              </w:rPr>
              <w:t>Средства разработки программного обеспечения/ Средства разработки программного обеспечения на основе нейротехнологий и искусственного интеллекта</w:t>
            </w:r>
          </w:p>
        </w:tc>
        <w:tc>
          <w:tcPr>
            <w:tcW w:w="624" w:type="pct"/>
          </w:tcPr>
          <w:p w14:paraId="3DF89BDA" w14:textId="77777777" w:rsidR="00FB28D8" w:rsidRPr="00B0658A" w:rsidRDefault="00FB28D8" w:rsidP="000A4114">
            <w:pPr>
              <w:spacing w:after="0" w:line="240" w:lineRule="auto"/>
              <w:rPr>
                <w:rFonts w:ascii="Times New Roman" w:hAnsi="Times New Roman"/>
                <w:i/>
                <w:iCs/>
                <w:sz w:val="20"/>
                <w:szCs w:val="20"/>
              </w:rPr>
            </w:pPr>
          </w:p>
        </w:tc>
        <w:tc>
          <w:tcPr>
            <w:tcW w:w="1090" w:type="pct"/>
            <w:shd w:val="clear" w:color="auto" w:fill="auto"/>
          </w:tcPr>
          <w:p w14:paraId="057FD8D5" w14:textId="77777777" w:rsidR="00FB28D8" w:rsidRPr="00B0658A" w:rsidRDefault="00FB28D8" w:rsidP="000A4114">
            <w:pPr>
              <w:spacing w:after="0" w:line="240" w:lineRule="auto"/>
              <w:rPr>
                <w:rFonts w:ascii="Times New Roman" w:hAnsi="Times New Roman"/>
                <w:i/>
                <w:iCs/>
                <w:sz w:val="20"/>
                <w:szCs w:val="20"/>
              </w:rPr>
            </w:pPr>
          </w:p>
        </w:tc>
        <w:tc>
          <w:tcPr>
            <w:tcW w:w="1036" w:type="pct"/>
            <w:shd w:val="clear" w:color="auto" w:fill="auto"/>
          </w:tcPr>
          <w:p w14:paraId="14AE26AB" w14:textId="77777777" w:rsidR="00FB28D8" w:rsidRPr="00B0658A" w:rsidRDefault="00FB28D8" w:rsidP="000A4114">
            <w:pPr>
              <w:spacing w:after="0" w:line="240" w:lineRule="auto"/>
              <w:rPr>
                <w:rFonts w:ascii="Times New Roman" w:hAnsi="Times New Roman"/>
                <w:i/>
                <w:iCs/>
                <w:sz w:val="20"/>
                <w:szCs w:val="20"/>
              </w:rPr>
            </w:pPr>
          </w:p>
        </w:tc>
        <w:tc>
          <w:tcPr>
            <w:tcW w:w="894" w:type="pct"/>
            <w:shd w:val="clear" w:color="auto" w:fill="auto"/>
          </w:tcPr>
          <w:p w14:paraId="780E25F1" w14:textId="77777777" w:rsidR="00FB28D8" w:rsidRPr="00B0658A" w:rsidRDefault="00FB28D8" w:rsidP="000A4114">
            <w:pPr>
              <w:spacing w:after="0" w:line="240" w:lineRule="auto"/>
              <w:jc w:val="both"/>
              <w:rPr>
                <w:rFonts w:ascii="Times New Roman" w:hAnsi="Times New Roman"/>
                <w:i/>
                <w:iCs/>
                <w:sz w:val="20"/>
                <w:szCs w:val="20"/>
              </w:rPr>
            </w:pPr>
          </w:p>
        </w:tc>
      </w:tr>
      <w:tr w:rsidR="00F52FED" w:rsidRPr="00B0658A" w14:paraId="1586EDCB" w14:textId="77777777" w:rsidTr="00B10FDE">
        <w:trPr>
          <w:trHeight w:val="170"/>
        </w:trPr>
        <w:tc>
          <w:tcPr>
            <w:tcW w:w="203" w:type="pct"/>
            <w:shd w:val="clear" w:color="auto" w:fill="auto"/>
            <w:vAlign w:val="center"/>
          </w:tcPr>
          <w:p w14:paraId="11D5E0AA" w14:textId="77777777" w:rsidR="00FB28D8" w:rsidRPr="00B0658A" w:rsidDel="00EC4B3C" w:rsidRDefault="00FB28D8" w:rsidP="000A4114">
            <w:pPr>
              <w:spacing w:after="0" w:line="240" w:lineRule="auto"/>
              <w:rPr>
                <w:rFonts w:ascii="Times New Roman" w:hAnsi="Times New Roman"/>
                <w:b/>
                <w:sz w:val="20"/>
                <w:szCs w:val="20"/>
              </w:rPr>
            </w:pPr>
            <w:r w:rsidRPr="00B0658A">
              <w:rPr>
                <w:rFonts w:ascii="Times New Roman" w:hAnsi="Times New Roman"/>
                <w:sz w:val="20"/>
                <w:szCs w:val="20"/>
              </w:rPr>
              <w:t>4.7.</w:t>
            </w:r>
          </w:p>
        </w:tc>
        <w:tc>
          <w:tcPr>
            <w:tcW w:w="1153" w:type="pct"/>
            <w:shd w:val="clear" w:color="auto" w:fill="auto"/>
            <w:vAlign w:val="center"/>
          </w:tcPr>
          <w:p w14:paraId="55189759" w14:textId="77777777" w:rsidR="00FB28D8" w:rsidRPr="00B0658A" w:rsidRDefault="00FB28D8" w:rsidP="000A4114">
            <w:pPr>
              <w:spacing w:after="0" w:line="240" w:lineRule="auto"/>
              <w:rPr>
                <w:rFonts w:ascii="Times New Roman" w:hAnsi="Times New Roman"/>
                <w:b/>
                <w:sz w:val="20"/>
                <w:szCs w:val="20"/>
              </w:rPr>
            </w:pPr>
            <w:r w:rsidRPr="00B0658A">
              <w:rPr>
                <w:rFonts w:ascii="Times New Roman" w:hAnsi="Times New Roman"/>
                <w:sz w:val="20"/>
                <w:szCs w:val="20"/>
              </w:rPr>
              <w:t>Средства разработки программного обеспечения/ Средства разработки программного обеспечения на основе квантовых технологий</w:t>
            </w:r>
          </w:p>
        </w:tc>
        <w:tc>
          <w:tcPr>
            <w:tcW w:w="624" w:type="pct"/>
          </w:tcPr>
          <w:p w14:paraId="2B731703" w14:textId="77777777" w:rsidR="00FB28D8" w:rsidRPr="00B0658A" w:rsidRDefault="00FB28D8" w:rsidP="000A4114">
            <w:pPr>
              <w:spacing w:after="0" w:line="240" w:lineRule="auto"/>
              <w:rPr>
                <w:rFonts w:ascii="Times New Roman" w:hAnsi="Times New Roman"/>
                <w:i/>
                <w:iCs/>
                <w:sz w:val="20"/>
                <w:szCs w:val="20"/>
              </w:rPr>
            </w:pPr>
          </w:p>
        </w:tc>
        <w:tc>
          <w:tcPr>
            <w:tcW w:w="1090" w:type="pct"/>
            <w:shd w:val="clear" w:color="auto" w:fill="auto"/>
          </w:tcPr>
          <w:p w14:paraId="79469438" w14:textId="77777777" w:rsidR="00FB28D8" w:rsidRPr="00B0658A" w:rsidRDefault="00FB28D8" w:rsidP="000A4114">
            <w:pPr>
              <w:spacing w:after="0" w:line="240" w:lineRule="auto"/>
              <w:rPr>
                <w:rFonts w:ascii="Times New Roman" w:hAnsi="Times New Roman"/>
                <w:i/>
                <w:iCs/>
                <w:sz w:val="20"/>
                <w:szCs w:val="20"/>
              </w:rPr>
            </w:pPr>
          </w:p>
        </w:tc>
        <w:tc>
          <w:tcPr>
            <w:tcW w:w="1036" w:type="pct"/>
            <w:shd w:val="clear" w:color="auto" w:fill="auto"/>
          </w:tcPr>
          <w:p w14:paraId="23B12926" w14:textId="77777777" w:rsidR="00FB28D8" w:rsidRPr="00B0658A" w:rsidRDefault="00FB28D8" w:rsidP="000A4114">
            <w:pPr>
              <w:spacing w:after="0" w:line="240" w:lineRule="auto"/>
              <w:rPr>
                <w:rFonts w:ascii="Times New Roman" w:hAnsi="Times New Roman"/>
                <w:i/>
                <w:iCs/>
                <w:sz w:val="20"/>
                <w:szCs w:val="20"/>
              </w:rPr>
            </w:pPr>
          </w:p>
        </w:tc>
        <w:tc>
          <w:tcPr>
            <w:tcW w:w="894" w:type="pct"/>
            <w:shd w:val="clear" w:color="auto" w:fill="auto"/>
          </w:tcPr>
          <w:p w14:paraId="5E845392" w14:textId="77777777" w:rsidR="00FB28D8" w:rsidRPr="00B0658A" w:rsidRDefault="00FB28D8" w:rsidP="000A4114">
            <w:pPr>
              <w:spacing w:after="0" w:line="240" w:lineRule="auto"/>
              <w:jc w:val="both"/>
              <w:rPr>
                <w:rFonts w:ascii="Times New Roman" w:hAnsi="Times New Roman"/>
                <w:i/>
                <w:iCs/>
                <w:sz w:val="20"/>
                <w:szCs w:val="20"/>
              </w:rPr>
            </w:pPr>
          </w:p>
        </w:tc>
      </w:tr>
      <w:tr w:rsidR="00F52FED" w:rsidRPr="00B0658A" w14:paraId="55F18AA3" w14:textId="77777777" w:rsidTr="00B10FDE">
        <w:trPr>
          <w:trHeight w:val="170"/>
        </w:trPr>
        <w:tc>
          <w:tcPr>
            <w:tcW w:w="203" w:type="pct"/>
            <w:shd w:val="clear" w:color="auto" w:fill="auto"/>
            <w:vAlign w:val="center"/>
          </w:tcPr>
          <w:p w14:paraId="745D51D8" w14:textId="77777777" w:rsidR="00FB28D8" w:rsidRPr="00B0658A" w:rsidDel="00EC4B3C" w:rsidRDefault="00FB28D8" w:rsidP="000A4114">
            <w:pPr>
              <w:spacing w:after="0" w:line="240" w:lineRule="auto"/>
              <w:rPr>
                <w:rFonts w:ascii="Times New Roman" w:hAnsi="Times New Roman"/>
                <w:b/>
                <w:sz w:val="20"/>
                <w:szCs w:val="20"/>
              </w:rPr>
            </w:pPr>
            <w:r w:rsidRPr="00B0658A">
              <w:rPr>
                <w:rFonts w:ascii="Times New Roman" w:hAnsi="Times New Roman"/>
                <w:sz w:val="20"/>
                <w:szCs w:val="20"/>
              </w:rPr>
              <w:t>4.8.</w:t>
            </w:r>
          </w:p>
        </w:tc>
        <w:tc>
          <w:tcPr>
            <w:tcW w:w="1153" w:type="pct"/>
            <w:shd w:val="clear" w:color="auto" w:fill="auto"/>
            <w:vAlign w:val="center"/>
          </w:tcPr>
          <w:p w14:paraId="3B19C826" w14:textId="77777777" w:rsidR="00FB28D8" w:rsidRPr="00B0658A" w:rsidRDefault="00FB28D8" w:rsidP="000A4114">
            <w:pPr>
              <w:spacing w:after="0" w:line="240" w:lineRule="auto"/>
              <w:rPr>
                <w:rFonts w:ascii="Times New Roman" w:hAnsi="Times New Roman"/>
                <w:b/>
                <w:sz w:val="20"/>
                <w:szCs w:val="20"/>
              </w:rPr>
            </w:pPr>
            <w:r w:rsidRPr="00B0658A">
              <w:rPr>
                <w:rFonts w:ascii="Times New Roman" w:hAnsi="Times New Roman"/>
                <w:sz w:val="20"/>
                <w:szCs w:val="20"/>
              </w:rPr>
              <w:t>Средства разработки программного обеспечения/ Интегрированные платформы для создания приложений</w:t>
            </w:r>
          </w:p>
        </w:tc>
        <w:tc>
          <w:tcPr>
            <w:tcW w:w="624" w:type="pct"/>
          </w:tcPr>
          <w:p w14:paraId="67203D3C" w14:textId="77777777" w:rsidR="00FB28D8" w:rsidRPr="00B0658A" w:rsidRDefault="00FB28D8" w:rsidP="000A4114">
            <w:pPr>
              <w:spacing w:after="0" w:line="240" w:lineRule="auto"/>
              <w:rPr>
                <w:rFonts w:ascii="Times New Roman" w:hAnsi="Times New Roman"/>
                <w:i/>
                <w:iCs/>
                <w:sz w:val="20"/>
                <w:szCs w:val="20"/>
              </w:rPr>
            </w:pPr>
          </w:p>
        </w:tc>
        <w:tc>
          <w:tcPr>
            <w:tcW w:w="1090" w:type="pct"/>
            <w:shd w:val="clear" w:color="auto" w:fill="auto"/>
          </w:tcPr>
          <w:p w14:paraId="5ADA020F" w14:textId="77777777" w:rsidR="00FB28D8" w:rsidRPr="00B0658A" w:rsidRDefault="00FB28D8" w:rsidP="000A4114">
            <w:pPr>
              <w:spacing w:after="0" w:line="240" w:lineRule="auto"/>
              <w:rPr>
                <w:rFonts w:ascii="Times New Roman" w:hAnsi="Times New Roman"/>
                <w:i/>
                <w:iCs/>
                <w:sz w:val="20"/>
                <w:szCs w:val="20"/>
              </w:rPr>
            </w:pPr>
          </w:p>
        </w:tc>
        <w:tc>
          <w:tcPr>
            <w:tcW w:w="1036" w:type="pct"/>
            <w:shd w:val="clear" w:color="auto" w:fill="auto"/>
          </w:tcPr>
          <w:p w14:paraId="788DDC6D" w14:textId="77777777" w:rsidR="00FB28D8" w:rsidRPr="00B0658A" w:rsidRDefault="00FB28D8" w:rsidP="000A4114">
            <w:pPr>
              <w:spacing w:after="0" w:line="240" w:lineRule="auto"/>
              <w:rPr>
                <w:rFonts w:ascii="Times New Roman" w:hAnsi="Times New Roman"/>
                <w:i/>
                <w:iCs/>
                <w:sz w:val="20"/>
                <w:szCs w:val="20"/>
              </w:rPr>
            </w:pPr>
          </w:p>
        </w:tc>
        <w:tc>
          <w:tcPr>
            <w:tcW w:w="894" w:type="pct"/>
            <w:shd w:val="clear" w:color="auto" w:fill="auto"/>
          </w:tcPr>
          <w:p w14:paraId="754E3FC6" w14:textId="77777777" w:rsidR="00FB28D8" w:rsidRPr="00B0658A" w:rsidRDefault="00FB28D8" w:rsidP="000A4114">
            <w:pPr>
              <w:spacing w:after="0" w:line="240" w:lineRule="auto"/>
              <w:jc w:val="both"/>
              <w:rPr>
                <w:rFonts w:ascii="Times New Roman" w:hAnsi="Times New Roman"/>
                <w:i/>
                <w:iCs/>
                <w:sz w:val="20"/>
                <w:szCs w:val="20"/>
              </w:rPr>
            </w:pPr>
          </w:p>
        </w:tc>
      </w:tr>
      <w:tr w:rsidR="00F52FED" w:rsidRPr="00B0658A" w14:paraId="5854A1F6" w14:textId="77777777" w:rsidTr="00B10FDE">
        <w:trPr>
          <w:trHeight w:val="170"/>
        </w:trPr>
        <w:tc>
          <w:tcPr>
            <w:tcW w:w="203" w:type="pct"/>
            <w:shd w:val="clear" w:color="auto" w:fill="auto"/>
            <w:vAlign w:val="center"/>
          </w:tcPr>
          <w:p w14:paraId="2E6064DC" w14:textId="77777777" w:rsidR="00FB28D8" w:rsidRPr="00B0658A" w:rsidDel="00EC4B3C" w:rsidRDefault="00FB28D8" w:rsidP="000A4114">
            <w:pPr>
              <w:spacing w:after="0" w:line="240" w:lineRule="auto"/>
              <w:rPr>
                <w:rFonts w:ascii="Times New Roman" w:hAnsi="Times New Roman"/>
                <w:b/>
                <w:sz w:val="20"/>
                <w:szCs w:val="20"/>
              </w:rPr>
            </w:pPr>
            <w:r w:rsidRPr="00B0658A">
              <w:rPr>
                <w:rFonts w:ascii="Times New Roman" w:hAnsi="Times New Roman"/>
                <w:sz w:val="20"/>
                <w:szCs w:val="20"/>
              </w:rPr>
              <w:t>4.9.</w:t>
            </w:r>
          </w:p>
        </w:tc>
        <w:tc>
          <w:tcPr>
            <w:tcW w:w="1153" w:type="pct"/>
            <w:shd w:val="clear" w:color="auto" w:fill="auto"/>
            <w:vAlign w:val="center"/>
          </w:tcPr>
          <w:p w14:paraId="430A1700" w14:textId="77777777" w:rsidR="00FB28D8" w:rsidRPr="00B0658A" w:rsidRDefault="00FB28D8" w:rsidP="000A4114">
            <w:pPr>
              <w:spacing w:after="0" w:line="240" w:lineRule="auto"/>
              <w:rPr>
                <w:rFonts w:ascii="Times New Roman" w:hAnsi="Times New Roman"/>
                <w:b/>
                <w:sz w:val="20"/>
                <w:szCs w:val="20"/>
              </w:rPr>
            </w:pPr>
            <w:r w:rsidRPr="00B0658A">
              <w:rPr>
                <w:rFonts w:ascii="Times New Roman" w:hAnsi="Times New Roman"/>
                <w:sz w:val="20"/>
                <w:szCs w:val="20"/>
              </w:rPr>
              <w:t xml:space="preserve">Средства разработки программного обеспечения/ Системы предотвращения анализа </w:t>
            </w:r>
            <w:r w:rsidRPr="00B0658A">
              <w:rPr>
                <w:rFonts w:ascii="Times New Roman" w:hAnsi="Times New Roman"/>
                <w:sz w:val="20"/>
                <w:szCs w:val="20"/>
              </w:rPr>
              <w:br/>
              <w:t>и восстановления исполняемого кода программ</w:t>
            </w:r>
          </w:p>
        </w:tc>
        <w:tc>
          <w:tcPr>
            <w:tcW w:w="624" w:type="pct"/>
          </w:tcPr>
          <w:p w14:paraId="752134FC" w14:textId="77777777" w:rsidR="00FB28D8" w:rsidRPr="00B0658A" w:rsidRDefault="00FB28D8" w:rsidP="000A4114">
            <w:pPr>
              <w:spacing w:after="0" w:line="240" w:lineRule="auto"/>
              <w:rPr>
                <w:rFonts w:ascii="Times New Roman" w:hAnsi="Times New Roman"/>
                <w:i/>
                <w:iCs/>
                <w:sz w:val="20"/>
                <w:szCs w:val="20"/>
              </w:rPr>
            </w:pPr>
          </w:p>
        </w:tc>
        <w:tc>
          <w:tcPr>
            <w:tcW w:w="1090" w:type="pct"/>
            <w:shd w:val="clear" w:color="auto" w:fill="auto"/>
          </w:tcPr>
          <w:p w14:paraId="15FAAD86" w14:textId="77777777" w:rsidR="00FB28D8" w:rsidRPr="00B0658A" w:rsidRDefault="00FB28D8" w:rsidP="000A4114">
            <w:pPr>
              <w:spacing w:after="0" w:line="240" w:lineRule="auto"/>
              <w:rPr>
                <w:rFonts w:ascii="Times New Roman" w:hAnsi="Times New Roman"/>
                <w:i/>
                <w:iCs/>
                <w:sz w:val="20"/>
                <w:szCs w:val="20"/>
              </w:rPr>
            </w:pPr>
          </w:p>
        </w:tc>
        <w:tc>
          <w:tcPr>
            <w:tcW w:w="1036" w:type="pct"/>
            <w:shd w:val="clear" w:color="auto" w:fill="auto"/>
          </w:tcPr>
          <w:p w14:paraId="4CDF9877" w14:textId="77777777" w:rsidR="00FB28D8" w:rsidRPr="00B0658A" w:rsidRDefault="00FB28D8" w:rsidP="000A4114">
            <w:pPr>
              <w:spacing w:after="0" w:line="240" w:lineRule="auto"/>
              <w:rPr>
                <w:rFonts w:ascii="Times New Roman" w:hAnsi="Times New Roman"/>
                <w:i/>
                <w:iCs/>
                <w:sz w:val="20"/>
                <w:szCs w:val="20"/>
              </w:rPr>
            </w:pPr>
          </w:p>
        </w:tc>
        <w:tc>
          <w:tcPr>
            <w:tcW w:w="894" w:type="pct"/>
            <w:shd w:val="clear" w:color="auto" w:fill="auto"/>
          </w:tcPr>
          <w:p w14:paraId="38E8DC35" w14:textId="77777777" w:rsidR="00FB28D8" w:rsidRPr="00B0658A" w:rsidRDefault="00FB28D8" w:rsidP="000A4114">
            <w:pPr>
              <w:spacing w:after="0" w:line="240" w:lineRule="auto"/>
              <w:jc w:val="both"/>
              <w:rPr>
                <w:rFonts w:ascii="Times New Roman" w:hAnsi="Times New Roman"/>
                <w:i/>
                <w:iCs/>
                <w:sz w:val="20"/>
                <w:szCs w:val="20"/>
              </w:rPr>
            </w:pPr>
          </w:p>
        </w:tc>
      </w:tr>
      <w:tr w:rsidR="00F52FED" w:rsidRPr="00B0658A" w14:paraId="721F1E0F" w14:textId="77777777" w:rsidTr="00B10FDE">
        <w:trPr>
          <w:trHeight w:val="170"/>
        </w:trPr>
        <w:tc>
          <w:tcPr>
            <w:tcW w:w="203" w:type="pct"/>
            <w:shd w:val="clear" w:color="auto" w:fill="auto"/>
          </w:tcPr>
          <w:p w14:paraId="41D649DC" w14:textId="77777777" w:rsidR="00FB28D8" w:rsidRPr="00B0658A" w:rsidDel="00EC4B3C" w:rsidRDefault="00FB28D8" w:rsidP="000A4114">
            <w:pPr>
              <w:spacing w:after="0" w:line="240" w:lineRule="auto"/>
              <w:rPr>
                <w:rFonts w:ascii="Times New Roman" w:hAnsi="Times New Roman"/>
                <w:b/>
                <w:sz w:val="20"/>
                <w:szCs w:val="20"/>
              </w:rPr>
            </w:pPr>
            <w:r w:rsidRPr="00B0658A">
              <w:rPr>
                <w:rFonts w:ascii="Times New Roman" w:hAnsi="Times New Roman"/>
                <w:sz w:val="20"/>
                <w:szCs w:val="20"/>
              </w:rPr>
              <w:t>5.1</w:t>
            </w:r>
          </w:p>
        </w:tc>
        <w:tc>
          <w:tcPr>
            <w:tcW w:w="1153" w:type="pct"/>
            <w:shd w:val="clear" w:color="auto" w:fill="auto"/>
            <w:vAlign w:val="center"/>
          </w:tcPr>
          <w:p w14:paraId="54DC618D" w14:textId="77777777" w:rsidR="00FB28D8" w:rsidRPr="00B0658A" w:rsidRDefault="00FB28D8" w:rsidP="000A4114">
            <w:pPr>
              <w:spacing w:after="0" w:line="240" w:lineRule="auto"/>
              <w:rPr>
                <w:rFonts w:ascii="Times New Roman" w:hAnsi="Times New Roman"/>
                <w:b/>
                <w:sz w:val="20"/>
                <w:szCs w:val="20"/>
              </w:rPr>
            </w:pPr>
            <w:r w:rsidRPr="00B0658A">
              <w:rPr>
                <w:rFonts w:ascii="Times New Roman" w:hAnsi="Times New Roman"/>
                <w:sz w:val="20"/>
                <w:szCs w:val="20"/>
              </w:rPr>
              <w:t>Прикладное программное обеспечение/ Мультимедийное программное обеспечение</w:t>
            </w:r>
          </w:p>
        </w:tc>
        <w:tc>
          <w:tcPr>
            <w:tcW w:w="624" w:type="pct"/>
          </w:tcPr>
          <w:p w14:paraId="259735E4" w14:textId="77777777" w:rsidR="00FB28D8" w:rsidRPr="00B0658A" w:rsidRDefault="00FB28D8" w:rsidP="000A4114">
            <w:pPr>
              <w:spacing w:after="0" w:line="240" w:lineRule="auto"/>
              <w:rPr>
                <w:rFonts w:ascii="Times New Roman" w:hAnsi="Times New Roman"/>
                <w:i/>
                <w:iCs/>
                <w:sz w:val="20"/>
                <w:szCs w:val="20"/>
              </w:rPr>
            </w:pPr>
          </w:p>
        </w:tc>
        <w:tc>
          <w:tcPr>
            <w:tcW w:w="1090" w:type="pct"/>
            <w:shd w:val="clear" w:color="auto" w:fill="auto"/>
          </w:tcPr>
          <w:p w14:paraId="34FB333C" w14:textId="77777777" w:rsidR="00FB28D8" w:rsidRPr="00B0658A" w:rsidRDefault="00FB28D8" w:rsidP="000A4114">
            <w:pPr>
              <w:spacing w:after="0" w:line="240" w:lineRule="auto"/>
              <w:rPr>
                <w:rFonts w:ascii="Times New Roman" w:hAnsi="Times New Roman"/>
                <w:i/>
                <w:iCs/>
                <w:sz w:val="20"/>
                <w:szCs w:val="20"/>
              </w:rPr>
            </w:pPr>
          </w:p>
        </w:tc>
        <w:tc>
          <w:tcPr>
            <w:tcW w:w="1036" w:type="pct"/>
            <w:shd w:val="clear" w:color="auto" w:fill="auto"/>
          </w:tcPr>
          <w:p w14:paraId="23E9629C" w14:textId="77777777" w:rsidR="00FB28D8" w:rsidRPr="00B0658A" w:rsidRDefault="00FB28D8" w:rsidP="000A4114">
            <w:pPr>
              <w:spacing w:after="0" w:line="240" w:lineRule="auto"/>
              <w:rPr>
                <w:rFonts w:ascii="Times New Roman" w:hAnsi="Times New Roman"/>
                <w:i/>
                <w:iCs/>
                <w:sz w:val="20"/>
                <w:szCs w:val="20"/>
              </w:rPr>
            </w:pPr>
          </w:p>
        </w:tc>
        <w:tc>
          <w:tcPr>
            <w:tcW w:w="894" w:type="pct"/>
            <w:shd w:val="clear" w:color="auto" w:fill="auto"/>
          </w:tcPr>
          <w:p w14:paraId="4B78BE08" w14:textId="77777777" w:rsidR="00FB28D8" w:rsidRPr="00B0658A" w:rsidRDefault="00FB28D8" w:rsidP="000A4114">
            <w:pPr>
              <w:spacing w:after="0" w:line="240" w:lineRule="auto"/>
              <w:jc w:val="both"/>
              <w:rPr>
                <w:rFonts w:ascii="Times New Roman" w:hAnsi="Times New Roman"/>
                <w:i/>
                <w:iCs/>
                <w:sz w:val="20"/>
                <w:szCs w:val="20"/>
              </w:rPr>
            </w:pPr>
          </w:p>
        </w:tc>
      </w:tr>
      <w:tr w:rsidR="00F52FED" w:rsidRPr="00B0658A" w14:paraId="526AEA5E" w14:textId="77777777" w:rsidTr="00B10FDE">
        <w:trPr>
          <w:trHeight w:val="170"/>
        </w:trPr>
        <w:tc>
          <w:tcPr>
            <w:tcW w:w="203" w:type="pct"/>
            <w:shd w:val="clear" w:color="auto" w:fill="auto"/>
          </w:tcPr>
          <w:p w14:paraId="2ED10788" w14:textId="77777777" w:rsidR="00FB28D8" w:rsidRPr="00B0658A" w:rsidDel="00EC4B3C" w:rsidRDefault="00FB28D8" w:rsidP="000A4114">
            <w:pPr>
              <w:spacing w:after="0" w:line="240" w:lineRule="auto"/>
              <w:rPr>
                <w:rFonts w:ascii="Times New Roman" w:hAnsi="Times New Roman"/>
                <w:b/>
                <w:sz w:val="20"/>
                <w:szCs w:val="20"/>
              </w:rPr>
            </w:pPr>
            <w:r w:rsidRPr="00B0658A">
              <w:rPr>
                <w:rFonts w:ascii="Times New Roman" w:hAnsi="Times New Roman"/>
                <w:sz w:val="20"/>
                <w:szCs w:val="20"/>
              </w:rPr>
              <w:t>5.2</w:t>
            </w:r>
          </w:p>
        </w:tc>
        <w:tc>
          <w:tcPr>
            <w:tcW w:w="1153" w:type="pct"/>
            <w:shd w:val="clear" w:color="auto" w:fill="auto"/>
            <w:vAlign w:val="center"/>
          </w:tcPr>
          <w:p w14:paraId="241ABD68" w14:textId="77777777" w:rsidR="00FB28D8" w:rsidRPr="00B0658A" w:rsidRDefault="00FB28D8" w:rsidP="000A4114">
            <w:pPr>
              <w:spacing w:after="0" w:line="240" w:lineRule="auto"/>
              <w:rPr>
                <w:rFonts w:ascii="Times New Roman" w:hAnsi="Times New Roman"/>
                <w:b/>
                <w:sz w:val="20"/>
                <w:szCs w:val="20"/>
              </w:rPr>
            </w:pPr>
            <w:r w:rsidRPr="00B0658A">
              <w:rPr>
                <w:rFonts w:ascii="Times New Roman" w:hAnsi="Times New Roman"/>
                <w:sz w:val="20"/>
                <w:szCs w:val="20"/>
              </w:rPr>
              <w:t>Прикладное программное обеспечение/ Дополнительные программные модули (плагины)</w:t>
            </w:r>
          </w:p>
        </w:tc>
        <w:tc>
          <w:tcPr>
            <w:tcW w:w="624" w:type="pct"/>
          </w:tcPr>
          <w:p w14:paraId="30E0FFD2" w14:textId="77777777" w:rsidR="00FB28D8" w:rsidRPr="00B0658A" w:rsidRDefault="00FB28D8" w:rsidP="000A4114">
            <w:pPr>
              <w:spacing w:after="0" w:line="240" w:lineRule="auto"/>
              <w:rPr>
                <w:rFonts w:ascii="Times New Roman" w:hAnsi="Times New Roman"/>
                <w:i/>
                <w:iCs/>
                <w:sz w:val="20"/>
                <w:szCs w:val="20"/>
              </w:rPr>
            </w:pPr>
          </w:p>
        </w:tc>
        <w:tc>
          <w:tcPr>
            <w:tcW w:w="1090" w:type="pct"/>
            <w:shd w:val="clear" w:color="auto" w:fill="auto"/>
          </w:tcPr>
          <w:p w14:paraId="42C2E83E" w14:textId="77777777" w:rsidR="00FB28D8" w:rsidRPr="00B0658A" w:rsidRDefault="00FB28D8" w:rsidP="000A4114">
            <w:pPr>
              <w:spacing w:after="0" w:line="240" w:lineRule="auto"/>
              <w:rPr>
                <w:rFonts w:ascii="Times New Roman" w:hAnsi="Times New Roman"/>
                <w:i/>
                <w:iCs/>
                <w:sz w:val="20"/>
                <w:szCs w:val="20"/>
              </w:rPr>
            </w:pPr>
          </w:p>
        </w:tc>
        <w:tc>
          <w:tcPr>
            <w:tcW w:w="1036" w:type="pct"/>
            <w:shd w:val="clear" w:color="auto" w:fill="auto"/>
          </w:tcPr>
          <w:p w14:paraId="4A545AE7" w14:textId="77777777" w:rsidR="00FB28D8" w:rsidRPr="00B0658A" w:rsidRDefault="00FB28D8" w:rsidP="000A4114">
            <w:pPr>
              <w:spacing w:after="0" w:line="240" w:lineRule="auto"/>
              <w:rPr>
                <w:rFonts w:ascii="Times New Roman" w:hAnsi="Times New Roman"/>
                <w:i/>
                <w:iCs/>
                <w:sz w:val="20"/>
                <w:szCs w:val="20"/>
              </w:rPr>
            </w:pPr>
          </w:p>
        </w:tc>
        <w:tc>
          <w:tcPr>
            <w:tcW w:w="894" w:type="pct"/>
            <w:shd w:val="clear" w:color="auto" w:fill="auto"/>
          </w:tcPr>
          <w:p w14:paraId="21303B98" w14:textId="77777777" w:rsidR="00FB28D8" w:rsidRPr="00B0658A" w:rsidRDefault="00FB28D8" w:rsidP="000A4114">
            <w:pPr>
              <w:spacing w:after="0" w:line="240" w:lineRule="auto"/>
              <w:jc w:val="both"/>
              <w:rPr>
                <w:rFonts w:ascii="Times New Roman" w:hAnsi="Times New Roman"/>
                <w:i/>
                <w:iCs/>
                <w:sz w:val="20"/>
                <w:szCs w:val="20"/>
              </w:rPr>
            </w:pPr>
          </w:p>
        </w:tc>
      </w:tr>
      <w:tr w:rsidR="00F52FED" w:rsidRPr="00B0658A" w14:paraId="19605B51" w14:textId="77777777" w:rsidTr="00B10FDE">
        <w:trPr>
          <w:trHeight w:val="170"/>
        </w:trPr>
        <w:tc>
          <w:tcPr>
            <w:tcW w:w="203" w:type="pct"/>
            <w:shd w:val="clear" w:color="auto" w:fill="auto"/>
          </w:tcPr>
          <w:p w14:paraId="6AAE022B" w14:textId="77777777" w:rsidR="00FB28D8" w:rsidRPr="00B0658A" w:rsidDel="00EC4B3C" w:rsidRDefault="00FB28D8" w:rsidP="000A4114">
            <w:pPr>
              <w:spacing w:after="0" w:line="240" w:lineRule="auto"/>
              <w:rPr>
                <w:rFonts w:ascii="Times New Roman" w:hAnsi="Times New Roman"/>
                <w:b/>
                <w:sz w:val="20"/>
                <w:szCs w:val="20"/>
              </w:rPr>
            </w:pPr>
            <w:r w:rsidRPr="00B0658A">
              <w:rPr>
                <w:rFonts w:ascii="Times New Roman" w:hAnsi="Times New Roman"/>
                <w:sz w:val="20"/>
                <w:szCs w:val="20"/>
              </w:rPr>
              <w:t>5.3</w:t>
            </w:r>
          </w:p>
        </w:tc>
        <w:tc>
          <w:tcPr>
            <w:tcW w:w="1153" w:type="pct"/>
            <w:shd w:val="clear" w:color="auto" w:fill="auto"/>
            <w:vAlign w:val="center"/>
          </w:tcPr>
          <w:p w14:paraId="30962CA6" w14:textId="77777777" w:rsidR="00FB28D8" w:rsidRPr="00B0658A" w:rsidRDefault="00FB28D8" w:rsidP="000A4114">
            <w:pPr>
              <w:spacing w:after="0" w:line="240" w:lineRule="auto"/>
              <w:rPr>
                <w:rFonts w:ascii="Times New Roman" w:hAnsi="Times New Roman"/>
                <w:b/>
                <w:sz w:val="20"/>
                <w:szCs w:val="20"/>
              </w:rPr>
            </w:pPr>
            <w:r w:rsidRPr="00B0658A">
              <w:rPr>
                <w:rFonts w:ascii="Times New Roman" w:hAnsi="Times New Roman"/>
                <w:sz w:val="20"/>
                <w:szCs w:val="20"/>
              </w:rPr>
              <w:t>Прикладное программное обеспечение/ Игры и развлечения</w:t>
            </w:r>
          </w:p>
        </w:tc>
        <w:tc>
          <w:tcPr>
            <w:tcW w:w="624" w:type="pct"/>
          </w:tcPr>
          <w:p w14:paraId="0C3BADE8" w14:textId="77777777" w:rsidR="00FB28D8" w:rsidRPr="00B0658A" w:rsidRDefault="00FB28D8" w:rsidP="000A4114">
            <w:pPr>
              <w:spacing w:after="0" w:line="240" w:lineRule="auto"/>
              <w:rPr>
                <w:rFonts w:ascii="Times New Roman" w:hAnsi="Times New Roman"/>
                <w:i/>
                <w:iCs/>
                <w:sz w:val="20"/>
                <w:szCs w:val="20"/>
              </w:rPr>
            </w:pPr>
          </w:p>
        </w:tc>
        <w:tc>
          <w:tcPr>
            <w:tcW w:w="1090" w:type="pct"/>
            <w:shd w:val="clear" w:color="auto" w:fill="auto"/>
          </w:tcPr>
          <w:p w14:paraId="688B4956" w14:textId="77777777" w:rsidR="00FB28D8" w:rsidRPr="00B0658A" w:rsidRDefault="00FB28D8" w:rsidP="000A4114">
            <w:pPr>
              <w:spacing w:after="0" w:line="240" w:lineRule="auto"/>
              <w:rPr>
                <w:rFonts w:ascii="Times New Roman" w:hAnsi="Times New Roman"/>
                <w:i/>
                <w:iCs/>
                <w:sz w:val="20"/>
                <w:szCs w:val="20"/>
              </w:rPr>
            </w:pPr>
          </w:p>
        </w:tc>
        <w:tc>
          <w:tcPr>
            <w:tcW w:w="1036" w:type="pct"/>
            <w:shd w:val="clear" w:color="auto" w:fill="auto"/>
          </w:tcPr>
          <w:p w14:paraId="428960F4" w14:textId="77777777" w:rsidR="00FB28D8" w:rsidRPr="00B0658A" w:rsidRDefault="00FB28D8" w:rsidP="000A4114">
            <w:pPr>
              <w:spacing w:after="0" w:line="240" w:lineRule="auto"/>
              <w:rPr>
                <w:rFonts w:ascii="Times New Roman" w:hAnsi="Times New Roman"/>
                <w:i/>
                <w:iCs/>
                <w:sz w:val="20"/>
                <w:szCs w:val="20"/>
              </w:rPr>
            </w:pPr>
          </w:p>
        </w:tc>
        <w:tc>
          <w:tcPr>
            <w:tcW w:w="894" w:type="pct"/>
            <w:shd w:val="clear" w:color="auto" w:fill="auto"/>
          </w:tcPr>
          <w:p w14:paraId="2B593C05" w14:textId="77777777" w:rsidR="00FB28D8" w:rsidRPr="00B0658A" w:rsidRDefault="00FB28D8" w:rsidP="000A4114">
            <w:pPr>
              <w:spacing w:after="0" w:line="240" w:lineRule="auto"/>
              <w:jc w:val="both"/>
              <w:rPr>
                <w:rFonts w:ascii="Times New Roman" w:hAnsi="Times New Roman"/>
                <w:i/>
                <w:iCs/>
                <w:sz w:val="20"/>
                <w:szCs w:val="20"/>
              </w:rPr>
            </w:pPr>
          </w:p>
        </w:tc>
      </w:tr>
      <w:tr w:rsidR="00F52FED" w:rsidRPr="00B0658A" w14:paraId="73C424CC" w14:textId="77777777" w:rsidTr="00B10FDE">
        <w:trPr>
          <w:trHeight w:val="170"/>
        </w:trPr>
        <w:tc>
          <w:tcPr>
            <w:tcW w:w="203" w:type="pct"/>
            <w:shd w:val="clear" w:color="auto" w:fill="auto"/>
          </w:tcPr>
          <w:p w14:paraId="209C018D" w14:textId="77777777" w:rsidR="00FB28D8" w:rsidRPr="00B0658A" w:rsidDel="00EC4B3C" w:rsidRDefault="00FB28D8" w:rsidP="000A4114">
            <w:pPr>
              <w:spacing w:after="0" w:line="240" w:lineRule="auto"/>
              <w:rPr>
                <w:rFonts w:ascii="Times New Roman" w:hAnsi="Times New Roman"/>
                <w:b/>
                <w:sz w:val="20"/>
                <w:szCs w:val="20"/>
              </w:rPr>
            </w:pPr>
            <w:r w:rsidRPr="00B0658A">
              <w:rPr>
                <w:rFonts w:ascii="Times New Roman" w:hAnsi="Times New Roman"/>
                <w:sz w:val="20"/>
                <w:szCs w:val="20"/>
              </w:rPr>
              <w:t>5.4</w:t>
            </w:r>
          </w:p>
        </w:tc>
        <w:tc>
          <w:tcPr>
            <w:tcW w:w="1153" w:type="pct"/>
            <w:shd w:val="clear" w:color="auto" w:fill="auto"/>
            <w:vAlign w:val="center"/>
          </w:tcPr>
          <w:p w14:paraId="1BF450DF" w14:textId="77777777" w:rsidR="00FB28D8" w:rsidRPr="00B0658A" w:rsidRDefault="00FB28D8" w:rsidP="000A4114">
            <w:pPr>
              <w:spacing w:after="0" w:line="240" w:lineRule="auto"/>
              <w:rPr>
                <w:rFonts w:ascii="Times New Roman" w:hAnsi="Times New Roman"/>
                <w:b/>
                <w:sz w:val="20"/>
                <w:szCs w:val="20"/>
              </w:rPr>
            </w:pPr>
            <w:r w:rsidRPr="00B0658A">
              <w:rPr>
                <w:rFonts w:ascii="Times New Roman" w:hAnsi="Times New Roman"/>
                <w:sz w:val="20"/>
                <w:szCs w:val="20"/>
              </w:rPr>
              <w:t>Прикладное программное обеспечение/ Поисковые средства</w:t>
            </w:r>
          </w:p>
        </w:tc>
        <w:tc>
          <w:tcPr>
            <w:tcW w:w="624" w:type="pct"/>
          </w:tcPr>
          <w:p w14:paraId="06CF3BE7" w14:textId="77777777" w:rsidR="00FB28D8" w:rsidRPr="00B0658A" w:rsidRDefault="00FB28D8" w:rsidP="000A4114">
            <w:pPr>
              <w:spacing w:after="0" w:line="240" w:lineRule="auto"/>
              <w:rPr>
                <w:rFonts w:ascii="Times New Roman" w:hAnsi="Times New Roman"/>
                <w:i/>
                <w:iCs/>
                <w:sz w:val="20"/>
                <w:szCs w:val="20"/>
              </w:rPr>
            </w:pPr>
          </w:p>
        </w:tc>
        <w:tc>
          <w:tcPr>
            <w:tcW w:w="1090" w:type="pct"/>
            <w:shd w:val="clear" w:color="auto" w:fill="auto"/>
          </w:tcPr>
          <w:p w14:paraId="5739CBEE" w14:textId="77777777" w:rsidR="00FB28D8" w:rsidRPr="00B0658A" w:rsidRDefault="00FB28D8" w:rsidP="000A4114">
            <w:pPr>
              <w:spacing w:after="0" w:line="240" w:lineRule="auto"/>
              <w:rPr>
                <w:rFonts w:ascii="Times New Roman" w:hAnsi="Times New Roman"/>
                <w:i/>
                <w:iCs/>
                <w:sz w:val="20"/>
                <w:szCs w:val="20"/>
              </w:rPr>
            </w:pPr>
          </w:p>
        </w:tc>
        <w:tc>
          <w:tcPr>
            <w:tcW w:w="1036" w:type="pct"/>
            <w:shd w:val="clear" w:color="auto" w:fill="auto"/>
          </w:tcPr>
          <w:p w14:paraId="5F516072" w14:textId="77777777" w:rsidR="00FB28D8" w:rsidRPr="00B0658A" w:rsidRDefault="00FB28D8" w:rsidP="000A4114">
            <w:pPr>
              <w:spacing w:after="0" w:line="240" w:lineRule="auto"/>
              <w:rPr>
                <w:rFonts w:ascii="Times New Roman" w:hAnsi="Times New Roman"/>
                <w:i/>
                <w:iCs/>
                <w:sz w:val="20"/>
                <w:szCs w:val="20"/>
              </w:rPr>
            </w:pPr>
          </w:p>
        </w:tc>
        <w:tc>
          <w:tcPr>
            <w:tcW w:w="894" w:type="pct"/>
            <w:shd w:val="clear" w:color="auto" w:fill="auto"/>
          </w:tcPr>
          <w:p w14:paraId="4FEDE056" w14:textId="77777777" w:rsidR="00FB28D8" w:rsidRPr="00B0658A" w:rsidRDefault="00FB28D8" w:rsidP="000A4114">
            <w:pPr>
              <w:spacing w:after="0" w:line="240" w:lineRule="auto"/>
              <w:jc w:val="both"/>
              <w:rPr>
                <w:rFonts w:ascii="Times New Roman" w:hAnsi="Times New Roman"/>
                <w:i/>
                <w:iCs/>
                <w:sz w:val="20"/>
                <w:szCs w:val="20"/>
              </w:rPr>
            </w:pPr>
          </w:p>
        </w:tc>
      </w:tr>
      <w:tr w:rsidR="00F52FED" w:rsidRPr="00B0658A" w14:paraId="4134E11D" w14:textId="77777777" w:rsidTr="00B10FDE">
        <w:trPr>
          <w:trHeight w:val="170"/>
        </w:trPr>
        <w:tc>
          <w:tcPr>
            <w:tcW w:w="203" w:type="pct"/>
            <w:shd w:val="clear" w:color="auto" w:fill="auto"/>
          </w:tcPr>
          <w:p w14:paraId="46C492FB" w14:textId="77777777" w:rsidR="00FB28D8" w:rsidRPr="00B0658A" w:rsidDel="00EC4B3C" w:rsidRDefault="00FB28D8" w:rsidP="000A4114">
            <w:pPr>
              <w:spacing w:after="0" w:line="240" w:lineRule="auto"/>
              <w:rPr>
                <w:rFonts w:ascii="Times New Roman" w:hAnsi="Times New Roman"/>
                <w:b/>
                <w:sz w:val="20"/>
                <w:szCs w:val="20"/>
              </w:rPr>
            </w:pPr>
            <w:r w:rsidRPr="00B0658A">
              <w:rPr>
                <w:rFonts w:ascii="Times New Roman" w:hAnsi="Times New Roman"/>
                <w:sz w:val="20"/>
                <w:szCs w:val="20"/>
              </w:rPr>
              <w:t>5.5</w:t>
            </w:r>
          </w:p>
        </w:tc>
        <w:tc>
          <w:tcPr>
            <w:tcW w:w="1153" w:type="pct"/>
            <w:shd w:val="clear" w:color="auto" w:fill="auto"/>
            <w:vAlign w:val="center"/>
          </w:tcPr>
          <w:p w14:paraId="7E477E2C" w14:textId="77777777" w:rsidR="00FB28D8" w:rsidRPr="00B0658A" w:rsidRDefault="00FB28D8" w:rsidP="000A4114">
            <w:pPr>
              <w:spacing w:after="0" w:line="240" w:lineRule="auto"/>
              <w:rPr>
                <w:rFonts w:ascii="Times New Roman" w:hAnsi="Times New Roman"/>
                <w:b/>
                <w:sz w:val="20"/>
                <w:szCs w:val="20"/>
              </w:rPr>
            </w:pPr>
            <w:r w:rsidRPr="00B0658A">
              <w:rPr>
                <w:rFonts w:ascii="Times New Roman" w:hAnsi="Times New Roman"/>
                <w:sz w:val="20"/>
                <w:szCs w:val="20"/>
              </w:rPr>
              <w:t>Прикладное программное обеспечение/ Средства управления проектами</w:t>
            </w:r>
          </w:p>
        </w:tc>
        <w:tc>
          <w:tcPr>
            <w:tcW w:w="624" w:type="pct"/>
          </w:tcPr>
          <w:p w14:paraId="17C059C5" w14:textId="77777777" w:rsidR="00FB28D8" w:rsidRPr="00B0658A" w:rsidRDefault="00FB28D8" w:rsidP="000A4114">
            <w:pPr>
              <w:spacing w:after="0" w:line="240" w:lineRule="auto"/>
              <w:rPr>
                <w:rFonts w:ascii="Times New Roman" w:hAnsi="Times New Roman"/>
                <w:i/>
                <w:iCs/>
                <w:sz w:val="20"/>
                <w:szCs w:val="20"/>
              </w:rPr>
            </w:pPr>
          </w:p>
        </w:tc>
        <w:tc>
          <w:tcPr>
            <w:tcW w:w="1090" w:type="pct"/>
            <w:shd w:val="clear" w:color="auto" w:fill="auto"/>
          </w:tcPr>
          <w:p w14:paraId="494090BD" w14:textId="77777777" w:rsidR="00FB28D8" w:rsidRPr="00B0658A" w:rsidRDefault="00FB28D8" w:rsidP="000A4114">
            <w:pPr>
              <w:spacing w:after="0" w:line="240" w:lineRule="auto"/>
              <w:rPr>
                <w:rFonts w:ascii="Times New Roman" w:hAnsi="Times New Roman"/>
                <w:i/>
                <w:iCs/>
                <w:sz w:val="20"/>
                <w:szCs w:val="20"/>
              </w:rPr>
            </w:pPr>
          </w:p>
        </w:tc>
        <w:tc>
          <w:tcPr>
            <w:tcW w:w="1036" w:type="pct"/>
            <w:shd w:val="clear" w:color="auto" w:fill="auto"/>
          </w:tcPr>
          <w:p w14:paraId="4CFD8903" w14:textId="77777777" w:rsidR="00FB28D8" w:rsidRPr="00B0658A" w:rsidRDefault="00FB28D8" w:rsidP="000A4114">
            <w:pPr>
              <w:spacing w:after="0" w:line="240" w:lineRule="auto"/>
              <w:rPr>
                <w:rFonts w:ascii="Times New Roman" w:hAnsi="Times New Roman"/>
                <w:i/>
                <w:iCs/>
                <w:sz w:val="20"/>
                <w:szCs w:val="20"/>
              </w:rPr>
            </w:pPr>
          </w:p>
        </w:tc>
        <w:tc>
          <w:tcPr>
            <w:tcW w:w="894" w:type="pct"/>
            <w:shd w:val="clear" w:color="auto" w:fill="auto"/>
          </w:tcPr>
          <w:p w14:paraId="357E1693" w14:textId="77777777" w:rsidR="00FB28D8" w:rsidRPr="00B0658A" w:rsidRDefault="00FB28D8" w:rsidP="000A4114">
            <w:pPr>
              <w:spacing w:after="0" w:line="240" w:lineRule="auto"/>
              <w:jc w:val="both"/>
              <w:rPr>
                <w:rFonts w:ascii="Times New Roman" w:hAnsi="Times New Roman"/>
                <w:i/>
                <w:iCs/>
                <w:sz w:val="20"/>
                <w:szCs w:val="20"/>
              </w:rPr>
            </w:pPr>
          </w:p>
        </w:tc>
      </w:tr>
      <w:tr w:rsidR="00F52FED" w:rsidRPr="00B0658A" w14:paraId="65B28291" w14:textId="77777777" w:rsidTr="00B10FDE">
        <w:trPr>
          <w:trHeight w:val="170"/>
        </w:trPr>
        <w:tc>
          <w:tcPr>
            <w:tcW w:w="203" w:type="pct"/>
            <w:shd w:val="clear" w:color="auto" w:fill="auto"/>
          </w:tcPr>
          <w:p w14:paraId="24ACFBF7" w14:textId="77777777" w:rsidR="00FB28D8" w:rsidRPr="00B0658A" w:rsidDel="00EC4B3C" w:rsidRDefault="00FB28D8" w:rsidP="000A4114">
            <w:pPr>
              <w:spacing w:after="0" w:line="240" w:lineRule="auto"/>
              <w:rPr>
                <w:rFonts w:ascii="Times New Roman" w:hAnsi="Times New Roman"/>
                <w:b/>
                <w:sz w:val="20"/>
                <w:szCs w:val="20"/>
              </w:rPr>
            </w:pPr>
            <w:r w:rsidRPr="00B0658A">
              <w:rPr>
                <w:rFonts w:ascii="Times New Roman" w:hAnsi="Times New Roman"/>
                <w:sz w:val="20"/>
                <w:szCs w:val="20"/>
              </w:rPr>
              <w:t>5.6</w:t>
            </w:r>
          </w:p>
        </w:tc>
        <w:tc>
          <w:tcPr>
            <w:tcW w:w="1153" w:type="pct"/>
            <w:shd w:val="clear" w:color="auto" w:fill="auto"/>
            <w:vAlign w:val="center"/>
          </w:tcPr>
          <w:p w14:paraId="1B4AF1D3" w14:textId="77777777" w:rsidR="00FB28D8" w:rsidRPr="00B0658A" w:rsidRDefault="00FB28D8" w:rsidP="000A4114">
            <w:pPr>
              <w:spacing w:after="0" w:line="240" w:lineRule="auto"/>
              <w:rPr>
                <w:rFonts w:ascii="Times New Roman" w:hAnsi="Times New Roman"/>
                <w:b/>
                <w:sz w:val="20"/>
                <w:szCs w:val="20"/>
              </w:rPr>
            </w:pPr>
            <w:r w:rsidRPr="00B0658A">
              <w:rPr>
                <w:rFonts w:ascii="Times New Roman" w:hAnsi="Times New Roman"/>
                <w:sz w:val="20"/>
                <w:szCs w:val="20"/>
              </w:rPr>
              <w:t>Прикладное программное обеспечение/ Геоинформационные и навигационные средства (GIS)</w:t>
            </w:r>
          </w:p>
        </w:tc>
        <w:tc>
          <w:tcPr>
            <w:tcW w:w="624" w:type="pct"/>
          </w:tcPr>
          <w:p w14:paraId="252BDCE2" w14:textId="77777777" w:rsidR="00FB28D8" w:rsidRPr="00B0658A" w:rsidRDefault="00FB28D8" w:rsidP="000A4114">
            <w:pPr>
              <w:spacing w:after="0" w:line="240" w:lineRule="auto"/>
              <w:rPr>
                <w:rFonts w:ascii="Times New Roman" w:hAnsi="Times New Roman"/>
                <w:i/>
                <w:iCs/>
                <w:sz w:val="20"/>
                <w:szCs w:val="20"/>
              </w:rPr>
            </w:pPr>
          </w:p>
        </w:tc>
        <w:tc>
          <w:tcPr>
            <w:tcW w:w="1090" w:type="pct"/>
            <w:shd w:val="clear" w:color="auto" w:fill="auto"/>
          </w:tcPr>
          <w:p w14:paraId="1EC58A8B" w14:textId="77777777" w:rsidR="00FB28D8" w:rsidRPr="00B0658A" w:rsidRDefault="00FB28D8" w:rsidP="000A4114">
            <w:pPr>
              <w:spacing w:after="0" w:line="240" w:lineRule="auto"/>
              <w:rPr>
                <w:rFonts w:ascii="Times New Roman" w:hAnsi="Times New Roman"/>
                <w:i/>
                <w:iCs/>
                <w:sz w:val="20"/>
                <w:szCs w:val="20"/>
              </w:rPr>
            </w:pPr>
          </w:p>
        </w:tc>
        <w:tc>
          <w:tcPr>
            <w:tcW w:w="1036" w:type="pct"/>
            <w:shd w:val="clear" w:color="auto" w:fill="auto"/>
          </w:tcPr>
          <w:p w14:paraId="1B60B211" w14:textId="77777777" w:rsidR="00FB28D8" w:rsidRPr="00B0658A" w:rsidRDefault="00FB28D8" w:rsidP="000A4114">
            <w:pPr>
              <w:spacing w:after="0" w:line="240" w:lineRule="auto"/>
              <w:rPr>
                <w:rFonts w:ascii="Times New Roman" w:hAnsi="Times New Roman"/>
                <w:i/>
                <w:iCs/>
                <w:sz w:val="20"/>
                <w:szCs w:val="20"/>
              </w:rPr>
            </w:pPr>
          </w:p>
        </w:tc>
        <w:tc>
          <w:tcPr>
            <w:tcW w:w="894" w:type="pct"/>
            <w:shd w:val="clear" w:color="auto" w:fill="auto"/>
          </w:tcPr>
          <w:p w14:paraId="679BF929" w14:textId="77777777" w:rsidR="00FB28D8" w:rsidRPr="00B0658A" w:rsidRDefault="00FB28D8" w:rsidP="000A4114">
            <w:pPr>
              <w:spacing w:after="0" w:line="240" w:lineRule="auto"/>
              <w:jc w:val="both"/>
              <w:rPr>
                <w:rFonts w:ascii="Times New Roman" w:hAnsi="Times New Roman"/>
                <w:i/>
                <w:iCs/>
                <w:sz w:val="20"/>
                <w:szCs w:val="20"/>
              </w:rPr>
            </w:pPr>
          </w:p>
        </w:tc>
      </w:tr>
      <w:tr w:rsidR="00F52FED" w:rsidRPr="00B0658A" w14:paraId="39B0D87E" w14:textId="77777777" w:rsidTr="00B10FDE">
        <w:trPr>
          <w:trHeight w:val="170"/>
        </w:trPr>
        <w:tc>
          <w:tcPr>
            <w:tcW w:w="203" w:type="pct"/>
            <w:shd w:val="clear" w:color="auto" w:fill="auto"/>
          </w:tcPr>
          <w:p w14:paraId="0C47EB5E" w14:textId="77777777" w:rsidR="00FB28D8" w:rsidRPr="00B0658A" w:rsidDel="00EC4B3C" w:rsidRDefault="00FB28D8" w:rsidP="000A4114">
            <w:pPr>
              <w:spacing w:after="0" w:line="240" w:lineRule="auto"/>
              <w:rPr>
                <w:rFonts w:ascii="Times New Roman" w:hAnsi="Times New Roman"/>
                <w:b/>
                <w:sz w:val="20"/>
                <w:szCs w:val="20"/>
              </w:rPr>
            </w:pPr>
            <w:r w:rsidRPr="00B0658A">
              <w:rPr>
                <w:rFonts w:ascii="Times New Roman" w:hAnsi="Times New Roman"/>
                <w:sz w:val="20"/>
                <w:szCs w:val="20"/>
              </w:rPr>
              <w:t>5.7</w:t>
            </w:r>
          </w:p>
        </w:tc>
        <w:tc>
          <w:tcPr>
            <w:tcW w:w="1153" w:type="pct"/>
            <w:shd w:val="clear" w:color="auto" w:fill="auto"/>
            <w:vAlign w:val="center"/>
          </w:tcPr>
          <w:p w14:paraId="3E1D1DD6" w14:textId="77777777" w:rsidR="00FB28D8" w:rsidRPr="00B0658A" w:rsidRDefault="00FB28D8" w:rsidP="000A4114">
            <w:pPr>
              <w:spacing w:after="0" w:line="240" w:lineRule="auto"/>
              <w:rPr>
                <w:rFonts w:ascii="Times New Roman" w:hAnsi="Times New Roman"/>
                <w:b/>
                <w:sz w:val="20"/>
                <w:szCs w:val="20"/>
              </w:rPr>
            </w:pPr>
            <w:r w:rsidRPr="00B0658A">
              <w:rPr>
                <w:rFonts w:ascii="Times New Roman" w:hAnsi="Times New Roman"/>
                <w:sz w:val="20"/>
                <w:szCs w:val="20"/>
              </w:rPr>
              <w:t>Прикладное программное обеспечение/ Специализированное ПО органов исполнительной власти Российской Федерации, государственных корпораций, компаний и юридических лиц с преимущественным участием Российской Федерации для внутреннего использования</w:t>
            </w:r>
          </w:p>
        </w:tc>
        <w:tc>
          <w:tcPr>
            <w:tcW w:w="624" w:type="pct"/>
          </w:tcPr>
          <w:p w14:paraId="7E0E666B" w14:textId="77777777" w:rsidR="00FB28D8" w:rsidRPr="00B0658A" w:rsidRDefault="00FB28D8" w:rsidP="000A4114">
            <w:pPr>
              <w:spacing w:after="0" w:line="240" w:lineRule="auto"/>
              <w:rPr>
                <w:rFonts w:ascii="Times New Roman" w:hAnsi="Times New Roman"/>
                <w:i/>
                <w:iCs/>
                <w:sz w:val="20"/>
                <w:szCs w:val="20"/>
              </w:rPr>
            </w:pPr>
          </w:p>
        </w:tc>
        <w:tc>
          <w:tcPr>
            <w:tcW w:w="1090" w:type="pct"/>
            <w:shd w:val="clear" w:color="auto" w:fill="auto"/>
          </w:tcPr>
          <w:p w14:paraId="097C023F" w14:textId="77777777" w:rsidR="00FB28D8" w:rsidRPr="00B0658A" w:rsidRDefault="00FB28D8" w:rsidP="000A4114">
            <w:pPr>
              <w:spacing w:after="0" w:line="240" w:lineRule="auto"/>
              <w:rPr>
                <w:rFonts w:ascii="Times New Roman" w:hAnsi="Times New Roman"/>
                <w:i/>
                <w:iCs/>
                <w:sz w:val="20"/>
                <w:szCs w:val="20"/>
              </w:rPr>
            </w:pPr>
          </w:p>
        </w:tc>
        <w:tc>
          <w:tcPr>
            <w:tcW w:w="1036" w:type="pct"/>
            <w:shd w:val="clear" w:color="auto" w:fill="auto"/>
          </w:tcPr>
          <w:p w14:paraId="756EE999" w14:textId="77777777" w:rsidR="00FB28D8" w:rsidRPr="00B0658A" w:rsidRDefault="00FB28D8" w:rsidP="000A4114">
            <w:pPr>
              <w:spacing w:after="0" w:line="240" w:lineRule="auto"/>
              <w:rPr>
                <w:rFonts w:ascii="Times New Roman" w:hAnsi="Times New Roman"/>
                <w:i/>
                <w:iCs/>
                <w:sz w:val="20"/>
                <w:szCs w:val="20"/>
              </w:rPr>
            </w:pPr>
          </w:p>
        </w:tc>
        <w:tc>
          <w:tcPr>
            <w:tcW w:w="894" w:type="pct"/>
            <w:shd w:val="clear" w:color="auto" w:fill="auto"/>
          </w:tcPr>
          <w:p w14:paraId="3B04940F" w14:textId="77777777" w:rsidR="00FB28D8" w:rsidRPr="00B0658A" w:rsidRDefault="00FB28D8" w:rsidP="000A4114">
            <w:pPr>
              <w:spacing w:after="0" w:line="240" w:lineRule="auto"/>
              <w:jc w:val="both"/>
              <w:rPr>
                <w:rFonts w:ascii="Times New Roman" w:hAnsi="Times New Roman"/>
                <w:i/>
                <w:iCs/>
                <w:sz w:val="20"/>
                <w:szCs w:val="20"/>
              </w:rPr>
            </w:pPr>
          </w:p>
        </w:tc>
      </w:tr>
      <w:tr w:rsidR="00F52FED" w:rsidRPr="00B0658A" w14:paraId="64D6AF23" w14:textId="77777777" w:rsidTr="00B10FDE">
        <w:trPr>
          <w:trHeight w:val="170"/>
        </w:trPr>
        <w:tc>
          <w:tcPr>
            <w:tcW w:w="203" w:type="pct"/>
            <w:shd w:val="clear" w:color="auto" w:fill="auto"/>
          </w:tcPr>
          <w:p w14:paraId="506E39D5" w14:textId="77777777" w:rsidR="00FB28D8" w:rsidRPr="00B0658A" w:rsidDel="00EC4B3C" w:rsidRDefault="00FB28D8" w:rsidP="000A4114">
            <w:pPr>
              <w:spacing w:after="0" w:line="240" w:lineRule="auto"/>
              <w:rPr>
                <w:rFonts w:ascii="Times New Roman" w:hAnsi="Times New Roman"/>
                <w:b/>
                <w:sz w:val="20"/>
                <w:szCs w:val="20"/>
              </w:rPr>
            </w:pPr>
            <w:r w:rsidRPr="00B0658A">
              <w:rPr>
                <w:rFonts w:ascii="Times New Roman" w:hAnsi="Times New Roman"/>
                <w:sz w:val="20"/>
                <w:szCs w:val="20"/>
              </w:rPr>
              <w:t>5.8</w:t>
            </w:r>
          </w:p>
        </w:tc>
        <w:tc>
          <w:tcPr>
            <w:tcW w:w="1153" w:type="pct"/>
            <w:shd w:val="clear" w:color="auto" w:fill="auto"/>
            <w:vAlign w:val="center"/>
          </w:tcPr>
          <w:p w14:paraId="2FAD74F9" w14:textId="77777777" w:rsidR="00FB28D8" w:rsidRPr="00B0658A" w:rsidRDefault="00FB28D8" w:rsidP="000A4114">
            <w:pPr>
              <w:spacing w:after="0" w:line="240" w:lineRule="auto"/>
              <w:rPr>
                <w:rFonts w:ascii="Times New Roman" w:hAnsi="Times New Roman"/>
                <w:b/>
                <w:sz w:val="20"/>
                <w:szCs w:val="20"/>
              </w:rPr>
            </w:pPr>
            <w:r w:rsidRPr="00B0658A">
              <w:rPr>
                <w:rFonts w:ascii="Times New Roman" w:hAnsi="Times New Roman"/>
                <w:sz w:val="20"/>
                <w:szCs w:val="20"/>
              </w:rPr>
              <w:t>Прикладное программное обеспечение/ Средства управления контактными центрами</w:t>
            </w:r>
          </w:p>
        </w:tc>
        <w:tc>
          <w:tcPr>
            <w:tcW w:w="624" w:type="pct"/>
          </w:tcPr>
          <w:p w14:paraId="2C6D5112" w14:textId="77777777" w:rsidR="00FB28D8" w:rsidRPr="00B0658A" w:rsidRDefault="00FB28D8" w:rsidP="000A4114">
            <w:pPr>
              <w:spacing w:after="0" w:line="240" w:lineRule="auto"/>
              <w:rPr>
                <w:rFonts w:ascii="Times New Roman" w:hAnsi="Times New Roman"/>
                <w:i/>
                <w:iCs/>
                <w:sz w:val="20"/>
                <w:szCs w:val="20"/>
              </w:rPr>
            </w:pPr>
          </w:p>
        </w:tc>
        <w:tc>
          <w:tcPr>
            <w:tcW w:w="1090" w:type="pct"/>
            <w:shd w:val="clear" w:color="auto" w:fill="auto"/>
          </w:tcPr>
          <w:p w14:paraId="78CBE67E" w14:textId="77777777" w:rsidR="00FB28D8" w:rsidRPr="00B0658A" w:rsidRDefault="00FB28D8" w:rsidP="000A4114">
            <w:pPr>
              <w:spacing w:after="0" w:line="240" w:lineRule="auto"/>
              <w:rPr>
                <w:rFonts w:ascii="Times New Roman" w:hAnsi="Times New Roman"/>
                <w:i/>
                <w:iCs/>
                <w:sz w:val="20"/>
                <w:szCs w:val="20"/>
              </w:rPr>
            </w:pPr>
          </w:p>
        </w:tc>
        <w:tc>
          <w:tcPr>
            <w:tcW w:w="1036" w:type="pct"/>
            <w:shd w:val="clear" w:color="auto" w:fill="auto"/>
          </w:tcPr>
          <w:p w14:paraId="41567080" w14:textId="77777777" w:rsidR="00FB28D8" w:rsidRPr="00B0658A" w:rsidRDefault="00FB28D8" w:rsidP="000A4114">
            <w:pPr>
              <w:spacing w:after="0" w:line="240" w:lineRule="auto"/>
              <w:rPr>
                <w:rFonts w:ascii="Times New Roman" w:hAnsi="Times New Roman"/>
                <w:i/>
                <w:iCs/>
                <w:sz w:val="20"/>
                <w:szCs w:val="20"/>
              </w:rPr>
            </w:pPr>
          </w:p>
        </w:tc>
        <w:tc>
          <w:tcPr>
            <w:tcW w:w="894" w:type="pct"/>
            <w:shd w:val="clear" w:color="auto" w:fill="auto"/>
          </w:tcPr>
          <w:p w14:paraId="2C26BABD" w14:textId="77777777" w:rsidR="00FB28D8" w:rsidRPr="00B0658A" w:rsidRDefault="00FB28D8" w:rsidP="000A4114">
            <w:pPr>
              <w:spacing w:after="0" w:line="240" w:lineRule="auto"/>
              <w:jc w:val="both"/>
              <w:rPr>
                <w:rFonts w:ascii="Times New Roman" w:hAnsi="Times New Roman"/>
                <w:i/>
                <w:iCs/>
                <w:sz w:val="20"/>
                <w:szCs w:val="20"/>
              </w:rPr>
            </w:pPr>
          </w:p>
        </w:tc>
      </w:tr>
      <w:tr w:rsidR="00F52FED" w:rsidRPr="00B0658A" w14:paraId="6556A899" w14:textId="77777777" w:rsidTr="00B10FDE">
        <w:trPr>
          <w:trHeight w:val="170"/>
        </w:trPr>
        <w:tc>
          <w:tcPr>
            <w:tcW w:w="203" w:type="pct"/>
            <w:shd w:val="clear" w:color="auto" w:fill="auto"/>
          </w:tcPr>
          <w:p w14:paraId="1B09C0B0" w14:textId="77777777" w:rsidR="00FB28D8" w:rsidRPr="00B0658A" w:rsidDel="00EC4B3C" w:rsidRDefault="00FB28D8" w:rsidP="000A4114">
            <w:pPr>
              <w:spacing w:after="0" w:line="240" w:lineRule="auto"/>
              <w:rPr>
                <w:rFonts w:ascii="Times New Roman" w:hAnsi="Times New Roman"/>
                <w:b/>
                <w:sz w:val="20"/>
                <w:szCs w:val="20"/>
              </w:rPr>
            </w:pPr>
            <w:r w:rsidRPr="00B0658A">
              <w:rPr>
                <w:rFonts w:ascii="Times New Roman" w:hAnsi="Times New Roman"/>
                <w:sz w:val="20"/>
                <w:szCs w:val="20"/>
              </w:rPr>
              <w:t>5.9</w:t>
            </w:r>
          </w:p>
        </w:tc>
        <w:tc>
          <w:tcPr>
            <w:tcW w:w="1153" w:type="pct"/>
            <w:shd w:val="clear" w:color="auto" w:fill="auto"/>
            <w:vAlign w:val="center"/>
          </w:tcPr>
          <w:p w14:paraId="6031D3C9" w14:textId="77777777" w:rsidR="00FB28D8" w:rsidRPr="00B0658A" w:rsidRDefault="00FB28D8" w:rsidP="000A4114">
            <w:pPr>
              <w:spacing w:after="0" w:line="240" w:lineRule="auto"/>
              <w:rPr>
                <w:rFonts w:ascii="Times New Roman" w:hAnsi="Times New Roman"/>
                <w:b/>
                <w:sz w:val="20"/>
                <w:szCs w:val="20"/>
              </w:rPr>
            </w:pPr>
            <w:r w:rsidRPr="00B0658A">
              <w:rPr>
                <w:rFonts w:ascii="Times New Roman" w:hAnsi="Times New Roman"/>
                <w:sz w:val="20"/>
                <w:szCs w:val="20"/>
              </w:rPr>
              <w:t>Прикладное программное обеспечение/ Средства управления диалоговыми роботами (чат-боты и голосовые роботы)</w:t>
            </w:r>
          </w:p>
        </w:tc>
        <w:tc>
          <w:tcPr>
            <w:tcW w:w="624" w:type="pct"/>
          </w:tcPr>
          <w:p w14:paraId="7296BA88" w14:textId="77777777" w:rsidR="00FB28D8" w:rsidRPr="00B0658A" w:rsidRDefault="00FB28D8" w:rsidP="000A4114">
            <w:pPr>
              <w:spacing w:after="0" w:line="240" w:lineRule="auto"/>
              <w:rPr>
                <w:rFonts w:ascii="Times New Roman" w:hAnsi="Times New Roman"/>
                <w:i/>
                <w:iCs/>
                <w:sz w:val="20"/>
                <w:szCs w:val="20"/>
              </w:rPr>
            </w:pPr>
          </w:p>
        </w:tc>
        <w:tc>
          <w:tcPr>
            <w:tcW w:w="1090" w:type="pct"/>
            <w:shd w:val="clear" w:color="auto" w:fill="auto"/>
          </w:tcPr>
          <w:p w14:paraId="1B7EDE8E" w14:textId="77777777" w:rsidR="00FB28D8" w:rsidRPr="00B0658A" w:rsidRDefault="00FB28D8" w:rsidP="000A4114">
            <w:pPr>
              <w:spacing w:after="0" w:line="240" w:lineRule="auto"/>
              <w:rPr>
                <w:rFonts w:ascii="Times New Roman" w:hAnsi="Times New Roman"/>
                <w:i/>
                <w:iCs/>
                <w:sz w:val="20"/>
                <w:szCs w:val="20"/>
              </w:rPr>
            </w:pPr>
          </w:p>
        </w:tc>
        <w:tc>
          <w:tcPr>
            <w:tcW w:w="1036" w:type="pct"/>
            <w:shd w:val="clear" w:color="auto" w:fill="auto"/>
          </w:tcPr>
          <w:p w14:paraId="6D2CBDD5" w14:textId="77777777" w:rsidR="00FB28D8" w:rsidRPr="00B0658A" w:rsidRDefault="00FB28D8" w:rsidP="000A4114">
            <w:pPr>
              <w:spacing w:after="0" w:line="240" w:lineRule="auto"/>
              <w:rPr>
                <w:rFonts w:ascii="Times New Roman" w:hAnsi="Times New Roman"/>
                <w:i/>
                <w:iCs/>
                <w:sz w:val="20"/>
                <w:szCs w:val="20"/>
              </w:rPr>
            </w:pPr>
          </w:p>
        </w:tc>
        <w:tc>
          <w:tcPr>
            <w:tcW w:w="894" w:type="pct"/>
            <w:shd w:val="clear" w:color="auto" w:fill="auto"/>
          </w:tcPr>
          <w:p w14:paraId="687B82D2" w14:textId="77777777" w:rsidR="00FB28D8" w:rsidRPr="00B0658A" w:rsidRDefault="00FB28D8" w:rsidP="000A4114">
            <w:pPr>
              <w:spacing w:after="0" w:line="240" w:lineRule="auto"/>
              <w:jc w:val="both"/>
              <w:rPr>
                <w:rFonts w:ascii="Times New Roman" w:hAnsi="Times New Roman"/>
                <w:i/>
                <w:iCs/>
                <w:sz w:val="20"/>
                <w:szCs w:val="20"/>
              </w:rPr>
            </w:pPr>
          </w:p>
        </w:tc>
      </w:tr>
      <w:tr w:rsidR="00F52FED" w:rsidRPr="00B0658A" w14:paraId="240C89E5" w14:textId="77777777" w:rsidTr="00B10FDE">
        <w:trPr>
          <w:trHeight w:val="170"/>
        </w:trPr>
        <w:tc>
          <w:tcPr>
            <w:tcW w:w="203" w:type="pct"/>
            <w:shd w:val="clear" w:color="auto" w:fill="auto"/>
          </w:tcPr>
          <w:p w14:paraId="488EEE84" w14:textId="77777777" w:rsidR="00FB28D8" w:rsidRPr="00B0658A" w:rsidDel="00EC4B3C" w:rsidRDefault="00FB28D8" w:rsidP="000A4114">
            <w:pPr>
              <w:spacing w:after="0" w:line="240" w:lineRule="auto"/>
              <w:rPr>
                <w:rFonts w:ascii="Times New Roman" w:hAnsi="Times New Roman"/>
                <w:b/>
                <w:sz w:val="20"/>
                <w:szCs w:val="20"/>
              </w:rPr>
            </w:pPr>
            <w:r w:rsidRPr="00B0658A">
              <w:rPr>
                <w:rFonts w:ascii="Times New Roman" w:hAnsi="Times New Roman"/>
                <w:sz w:val="20"/>
                <w:szCs w:val="20"/>
              </w:rPr>
              <w:t>5.10</w:t>
            </w:r>
          </w:p>
        </w:tc>
        <w:tc>
          <w:tcPr>
            <w:tcW w:w="1153" w:type="pct"/>
            <w:shd w:val="clear" w:color="auto" w:fill="auto"/>
            <w:vAlign w:val="center"/>
          </w:tcPr>
          <w:p w14:paraId="2E611E3D" w14:textId="77777777" w:rsidR="00FB28D8" w:rsidRPr="00B0658A" w:rsidRDefault="00FB28D8" w:rsidP="000A4114">
            <w:pPr>
              <w:spacing w:after="0" w:line="240" w:lineRule="auto"/>
              <w:rPr>
                <w:rFonts w:ascii="Times New Roman" w:hAnsi="Times New Roman"/>
                <w:b/>
                <w:sz w:val="20"/>
                <w:szCs w:val="20"/>
              </w:rPr>
            </w:pPr>
            <w:r w:rsidRPr="00B0658A">
              <w:rPr>
                <w:rFonts w:ascii="Times New Roman" w:hAnsi="Times New Roman"/>
                <w:sz w:val="20"/>
                <w:szCs w:val="20"/>
              </w:rPr>
              <w:t>Прикладное программное обеспечение/ Базы знаний</w:t>
            </w:r>
          </w:p>
        </w:tc>
        <w:tc>
          <w:tcPr>
            <w:tcW w:w="624" w:type="pct"/>
          </w:tcPr>
          <w:p w14:paraId="5ED1CD4B" w14:textId="77777777" w:rsidR="00FB28D8" w:rsidRPr="00B0658A" w:rsidRDefault="00FB28D8" w:rsidP="000A4114">
            <w:pPr>
              <w:spacing w:after="0" w:line="240" w:lineRule="auto"/>
              <w:rPr>
                <w:rFonts w:ascii="Times New Roman" w:hAnsi="Times New Roman"/>
                <w:i/>
                <w:iCs/>
                <w:sz w:val="20"/>
                <w:szCs w:val="20"/>
              </w:rPr>
            </w:pPr>
          </w:p>
        </w:tc>
        <w:tc>
          <w:tcPr>
            <w:tcW w:w="1090" w:type="pct"/>
            <w:shd w:val="clear" w:color="auto" w:fill="auto"/>
          </w:tcPr>
          <w:p w14:paraId="31BDACDC" w14:textId="77777777" w:rsidR="00FB28D8" w:rsidRPr="00B0658A" w:rsidRDefault="00FB28D8" w:rsidP="000A4114">
            <w:pPr>
              <w:spacing w:after="0" w:line="240" w:lineRule="auto"/>
              <w:rPr>
                <w:rFonts w:ascii="Times New Roman" w:hAnsi="Times New Roman"/>
                <w:i/>
                <w:iCs/>
                <w:sz w:val="20"/>
                <w:szCs w:val="20"/>
              </w:rPr>
            </w:pPr>
          </w:p>
        </w:tc>
        <w:tc>
          <w:tcPr>
            <w:tcW w:w="1036" w:type="pct"/>
            <w:shd w:val="clear" w:color="auto" w:fill="auto"/>
          </w:tcPr>
          <w:p w14:paraId="549D3C01" w14:textId="77777777" w:rsidR="00FB28D8" w:rsidRPr="00B0658A" w:rsidRDefault="00FB28D8" w:rsidP="000A4114">
            <w:pPr>
              <w:spacing w:after="0" w:line="240" w:lineRule="auto"/>
              <w:rPr>
                <w:rFonts w:ascii="Times New Roman" w:hAnsi="Times New Roman"/>
                <w:i/>
                <w:iCs/>
                <w:sz w:val="20"/>
                <w:szCs w:val="20"/>
              </w:rPr>
            </w:pPr>
          </w:p>
        </w:tc>
        <w:tc>
          <w:tcPr>
            <w:tcW w:w="894" w:type="pct"/>
            <w:shd w:val="clear" w:color="auto" w:fill="auto"/>
          </w:tcPr>
          <w:p w14:paraId="2F13C22A" w14:textId="77777777" w:rsidR="00FB28D8" w:rsidRPr="00B0658A" w:rsidRDefault="00FB28D8" w:rsidP="000A4114">
            <w:pPr>
              <w:spacing w:after="0" w:line="240" w:lineRule="auto"/>
              <w:jc w:val="both"/>
              <w:rPr>
                <w:rFonts w:ascii="Times New Roman" w:hAnsi="Times New Roman"/>
                <w:i/>
                <w:iCs/>
                <w:sz w:val="20"/>
                <w:szCs w:val="20"/>
              </w:rPr>
            </w:pPr>
          </w:p>
        </w:tc>
      </w:tr>
      <w:tr w:rsidR="00F52FED" w:rsidRPr="00B0658A" w14:paraId="473DC85E" w14:textId="77777777" w:rsidTr="00B10FDE">
        <w:trPr>
          <w:trHeight w:val="170"/>
        </w:trPr>
        <w:tc>
          <w:tcPr>
            <w:tcW w:w="203" w:type="pct"/>
            <w:shd w:val="clear" w:color="auto" w:fill="auto"/>
          </w:tcPr>
          <w:p w14:paraId="1012D85B" w14:textId="77777777" w:rsidR="00FB28D8" w:rsidRPr="00B0658A" w:rsidDel="00EC4B3C" w:rsidRDefault="00FB28D8" w:rsidP="000A4114">
            <w:pPr>
              <w:spacing w:after="0" w:line="240" w:lineRule="auto"/>
              <w:rPr>
                <w:rFonts w:ascii="Times New Roman" w:hAnsi="Times New Roman"/>
                <w:b/>
                <w:sz w:val="20"/>
                <w:szCs w:val="20"/>
              </w:rPr>
            </w:pPr>
            <w:r w:rsidRPr="00B0658A">
              <w:rPr>
                <w:rFonts w:ascii="Times New Roman" w:hAnsi="Times New Roman"/>
                <w:sz w:val="20"/>
                <w:szCs w:val="20"/>
              </w:rPr>
              <w:t>5.11</w:t>
            </w:r>
          </w:p>
        </w:tc>
        <w:tc>
          <w:tcPr>
            <w:tcW w:w="1153" w:type="pct"/>
            <w:shd w:val="clear" w:color="auto" w:fill="auto"/>
            <w:vAlign w:val="center"/>
          </w:tcPr>
          <w:p w14:paraId="3E02DD72" w14:textId="77777777" w:rsidR="00FB28D8" w:rsidRPr="00B0658A" w:rsidRDefault="00FB28D8" w:rsidP="000A4114">
            <w:pPr>
              <w:spacing w:after="0" w:line="240" w:lineRule="auto"/>
              <w:rPr>
                <w:rFonts w:ascii="Times New Roman" w:hAnsi="Times New Roman"/>
                <w:b/>
                <w:sz w:val="20"/>
                <w:szCs w:val="20"/>
              </w:rPr>
            </w:pPr>
            <w:r w:rsidRPr="00B0658A">
              <w:rPr>
                <w:rFonts w:ascii="Times New Roman" w:hAnsi="Times New Roman"/>
                <w:sz w:val="20"/>
                <w:szCs w:val="20"/>
              </w:rPr>
              <w:t>Прикладное программное обеспечение/ Интеллектуальные средства управления экспертной деятельностью</w:t>
            </w:r>
          </w:p>
        </w:tc>
        <w:tc>
          <w:tcPr>
            <w:tcW w:w="624" w:type="pct"/>
          </w:tcPr>
          <w:p w14:paraId="0EF635B5" w14:textId="77777777" w:rsidR="00FB28D8" w:rsidRPr="00B0658A" w:rsidRDefault="00FB28D8" w:rsidP="000A4114">
            <w:pPr>
              <w:spacing w:after="0" w:line="240" w:lineRule="auto"/>
              <w:rPr>
                <w:rFonts w:ascii="Times New Roman" w:hAnsi="Times New Roman"/>
                <w:i/>
                <w:iCs/>
                <w:sz w:val="20"/>
                <w:szCs w:val="20"/>
              </w:rPr>
            </w:pPr>
          </w:p>
        </w:tc>
        <w:tc>
          <w:tcPr>
            <w:tcW w:w="1090" w:type="pct"/>
            <w:shd w:val="clear" w:color="auto" w:fill="auto"/>
          </w:tcPr>
          <w:p w14:paraId="16772BAF" w14:textId="77777777" w:rsidR="00FB28D8" w:rsidRPr="00B0658A" w:rsidRDefault="00FB28D8" w:rsidP="000A4114">
            <w:pPr>
              <w:spacing w:after="0" w:line="240" w:lineRule="auto"/>
              <w:rPr>
                <w:rFonts w:ascii="Times New Roman" w:hAnsi="Times New Roman"/>
                <w:i/>
                <w:iCs/>
                <w:sz w:val="20"/>
                <w:szCs w:val="20"/>
              </w:rPr>
            </w:pPr>
          </w:p>
        </w:tc>
        <w:tc>
          <w:tcPr>
            <w:tcW w:w="1036" w:type="pct"/>
            <w:shd w:val="clear" w:color="auto" w:fill="auto"/>
          </w:tcPr>
          <w:p w14:paraId="74D3A4A0" w14:textId="77777777" w:rsidR="00FB28D8" w:rsidRPr="00B0658A" w:rsidRDefault="00FB28D8" w:rsidP="000A4114">
            <w:pPr>
              <w:spacing w:after="0" w:line="240" w:lineRule="auto"/>
              <w:rPr>
                <w:rFonts w:ascii="Times New Roman" w:hAnsi="Times New Roman"/>
                <w:i/>
                <w:iCs/>
                <w:sz w:val="20"/>
                <w:szCs w:val="20"/>
              </w:rPr>
            </w:pPr>
          </w:p>
        </w:tc>
        <w:tc>
          <w:tcPr>
            <w:tcW w:w="894" w:type="pct"/>
            <w:shd w:val="clear" w:color="auto" w:fill="auto"/>
          </w:tcPr>
          <w:p w14:paraId="765F75F9" w14:textId="77777777" w:rsidR="00FB28D8" w:rsidRPr="00B0658A" w:rsidRDefault="00FB28D8" w:rsidP="000A4114">
            <w:pPr>
              <w:spacing w:after="0" w:line="240" w:lineRule="auto"/>
              <w:jc w:val="both"/>
              <w:rPr>
                <w:rFonts w:ascii="Times New Roman" w:hAnsi="Times New Roman"/>
                <w:i/>
                <w:iCs/>
                <w:sz w:val="20"/>
                <w:szCs w:val="20"/>
              </w:rPr>
            </w:pPr>
          </w:p>
        </w:tc>
      </w:tr>
      <w:tr w:rsidR="00F52FED" w:rsidRPr="00B0658A" w14:paraId="4AB284F5" w14:textId="77777777" w:rsidTr="00B10FDE">
        <w:trPr>
          <w:trHeight w:val="170"/>
        </w:trPr>
        <w:tc>
          <w:tcPr>
            <w:tcW w:w="203" w:type="pct"/>
            <w:shd w:val="clear" w:color="auto" w:fill="auto"/>
          </w:tcPr>
          <w:p w14:paraId="283CA22E" w14:textId="77777777" w:rsidR="00FB28D8" w:rsidRPr="00B0658A" w:rsidDel="00EC4B3C" w:rsidRDefault="00FB28D8" w:rsidP="000A4114">
            <w:pPr>
              <w:spacing w:after="0" w:line="240" w:lineRule="auto"/>
              <w:rPr>
                <w:rFonts w:ascii="Times New Roman" w:hAnsi="Times New Roman"/>
                <w:b/>
                <w:sz w:val="20"/>
                <w:szCs w:val="20"/>
              </w:rPr>
            </w:pPr>
            <w:r w:rsidRPr="00B0658A">
              <w:rPr>
                <w:rFonts w:ascii="Times New Roman" w:hAnsi="Times New Roman"/>
                <w:sz w:val="20"/>
                <w:szCs w:val="20"/>
              </w:rPr>
              <w:t>5.12</w:t>
            </w:r>
          </w:p>
        </w:tc>
        <w:tc>
          <w:tcPr>
            <w:tcW w:w="1153" w:type="pct"/>
            <w:shd w:val="clear" w:color="auto" w:fill="auto"/>
            <w:vAlign w:val="center"/>
          </w:tcPr>
          <w:p w14:paraId="392684FF" w14:textId="77777777" w:rsidR="00FB28D8" w:rsidRPr="00B0658A" w:rsidRDefault="00FB28D8" w:rsidP="000A4114">
            <w:pPr>
              <w:spacing w:after="0" w:line="240" w:lineRule="auto"/>
              <w:rPr>
                <w:rFonts w:ascii="Times New Roman" w:hAnsi="Times New Roman"/>
                <w:b/>
                <w:sz w:val="20"/>
                <w:szCs w:val="20"/>
              </w:rPr>
            </w:pPr>
            <w:r w:rsidRPr="00B0658A">
              <w:rPr>
                <w:rFonts w:ascii="Times New Roman" w:hAnsi="Times New Roman"/>
                <w:sz w:val="20"/>
                <w:szCs w:val="20"/>
              </w:rPr>
              <w:t xml:space="preserve">Прикладное программное обеспечение/ Интеллектуальные средства разработки </w:t>
            </w:r>
            <w:r w:rsidRPr="00B0658A">
              <w:rPr>
                <w:rFonts w:ascii="Times New Roman" w:hAnsi="Times New Roman"/>
                <w:sz w:val="20"/>
                <w:szCs w:val="20"/>
              </w:rPr>
              <w:br/>
              <w:t xml:space="preserve">и управления стандартами </w:t>
            </w:r>
            <w:r w:rsidRPr="00B0658A">
              <w:rPr>
                <w:rFonts w:ascii="Times New Roman" w:hAnsi="Times New Roman"/>
                <w:sz w:val="20"/>
                <w:szCs w:val="20"/>
              </w:rPr>
              <w:br/>
              <w:t>и нормативами</w:t>
            </w:r>
          </w:p>
        </w:tc>
        <w:tc>
          <w:tcPr>
            <w:tcW w:w="624" w:type="pct"/>
          </w:tcPr>
          <w:p w14:paraId="15C8ECA7" w14:textId="77777777" w:rsidR="00FB28D8" w:rsidRPr="00B0658A" w:rsidRDefault="00FB28D8" w:rsidP="000A4114">
            <w:pPr>
              <w:spacing w:after="0" w:line="240" w:lineRule="auto"/>
              <w:rPr>
                <w:rFonts w:ascii="Times New Roman" w:hAnsi="Times New Roman"/>
                <w:i/>
                <w:iCs/>
                <w:sz w:val="20"/>
                <w:szCs w:val="20"/>
              </w:rPr>
            </w:pPr>
          </w:p>
        </w:tc>
        <w:tc>
          <w:tcPr>
            <w:tcW w:w="1090" w:type="pct"/>
            <w:shd w:val="clear" w:color="auto" w:fill="auto"/>
          </w:tcPr>
          <w:p w14:paraId="582B771E" w14:textId="77777777" w:rsidR="00FB28D8" w:rsidRPr="00B0658A" w:rsidRDefault="00FB28D8" w:rsidP="000A4114">
            <w:pPr>
              <w:spacing w:after="0" w:line="240" w:lineRule="auto"/>
              <w:rPr>
                <w:rFonts w:ascii="Times New Roman" w:hAnsi="Times New Roman"/>
                <w:i/>
                <w:iCs/>
                <w:sz w:val="20"/>
                <w:szCs w:val="20"/>
              </w:rPr>
            </w:pPr>
          </w:p>
        </w:tc>
        <w:tc>
          <w:tcPr>
            <w:tcW w:w="1036" w:type="pct"/>
            <w:shd w:val="clear" w:color="auto" w:fill="auto"/>
          </w:tcPr>
          <w:p w14:paraId="1685996F" w14:textId="77777777" w:rsidR="00FB28D8" w:rsidRPr="00B0658A" w:rsidRDefault="00FB28D8" w:rsidP="000A4114">
            <w:pPr>
              <w:spacing w:after="0" w:line="240" w:lineRule="auto"/>
              <w:rPr>
                <w:rFonts w:ascii="Times New Roman" w:hAnsi="Times New Roman"/>
                <w:i/>
                <w:iCs/>
                <w:sz w:val="20"/>
                <w:szCs w:val="20"/>
              </w:rPr>
            </w:pPr>
          </w:p>
        </w:tc>
        <w:tc>
          <w:tcPr>
            <w:tcW w:w="894" w:type="pct"/>
            <w:shd w:val="clear" w:color="auto" w:fill="auto"/>
          </w:tcPr>
          <w:p w14:paraId="1E5C0181" w14:textId="77777777" w:rsidR="00FB28D8" w:rsidRPr="00B0658A" w:rsidRDefault="00FB28D8" w:rsidP="000A4114">
            <w:pPr>
              <w:spacing w:after="0" w:line="240" w:lineRule="auto"/>
              <w:jc w:val="both"/>
              <w:rPr>
                <w:rFonts w:ascii="Times New Roman" w:hAnsi="Times New Roman"/>
                <w:i/>
                <w:iCs/>
                <w:sz w:val="20"/>
                <w:szCs w:val="20"/>
              </w:rPr>
            </w:pPr>
          </w:p>
        </w:tc>
      </w:tr>
      <w:tr w:rsidR="00F52FED" w:rsidRPr="00B0658A" w14:paraId="5E2F6417" w14:textId="77777777" w:rsidTr="00B10FDE">
        <w:trPr>
          <w:trHeight w:val="170"/>
        </w:trPr>
        <w:tc>
          <w:tcPr>
            <w:tcW w:w="203" w:type="pct"/>
            <w:shd w:val="clear" w:color="auto" w:fill="auto"/>
          </w:tcPr>
          <w:p w14:paraId="3DA395B4" w14:textId="77777777" w:rsidR="00FB28D8" w:rsidRPr="00B0658A" w:rsidDel="00EC4B3C" w:rsidRDefault="00FB28D8" w:rsidP="000A4114">
            <w:pPr>
              <w:spacing w:after="0" w:line="240" w:lineRule="auto"/>
              <w:rPr>
                <w:rFonts w:ascii="Times New Roman" w:hAnsi="Times New Roman"/>
                <w:b/>
                <w:sz w:val="20"/>
                <w:szCs w:val="20"/>
              </w:rPr>
            </w:pPr>
            <w:r w:rsidRPr="00B0658A">
              <w:rPr>
                <w:rFonts w:ascii="Times New Roman" w:hAnsi="Times New Roman"/>
                <w:sz w:val="20"/>
                <w:szCs w:val="20"/>
              </w:rPr>
              <w:t>5.13</w:t>
            </w:r>
          </w:p>
        </w:tc>
        <w:tc>
          <w:tcPr>
            <w:tcW w:w="1153" w:type="pct"/>
            <w:shd w:val="clear" w:color="auto" w:fill="auto"/>
            <w:vAlign w:val="center"/>
          </w:tcPr>
          <w:p w14:paraId="47B2E70B" w14:textId="77777777" w:rsidR="00FB28D8" w:rsidRPr="00B0658A" w:rsidRDefault="00FB28D8" w:rsidP="000A4114">
            <w:pPr>
              <w:spacing w:after="0" w:line="240" w:lineRule="auto"/>
              <w:rPr>
                <w:rFonts w:ascii="Times New Roman" w:hAnsi="Times New Roman"/>
                <w:b/>
                <w:sz w:val="20"/>
                <w:szCs w:val="20"/>
              </w:rPr>
            </w:pPr>
            <w:r w:rsidRPr="00B0658A">
              <w:rPr>
                <w:rFonts w:ascii="Times New Roman" w:hAnsi="Times New Roman"/>
                <w:sz w:val="20"/>
                <w:szCs w:val="20"/>
              </w:rPr>
              <w:t>Прикладное программное обеспечение/ Средства интеллектуальной обработки информации и интеллектуального анализа бизнес-процессов</w:t>
            </w:r>
          </w:p>
        </w:tc>
        <w:tc>
          <w:tcPr>
            <w:tcW w:w="624" w:type="pct"/>
          </w:tcPr>
          <w:p w14:paraId="355663DE" w14:textId="77777777" w:rsidR="00FB28D8" w:rsidRPr="00B0658A" w:rsidRDefault="00FB28D8" w:rsidP="000A4114">
            <w:pPr>
              <w:spacing w:after="0" w:line="240" w:lineRule="auto"/>
              <w:rPr>
                <w:rFonts w:ascii="Times New Roman" w:hAnsi="Times New Roman"/>
                <w:i/>
                <w:iCs/>
                <w:sz w:val="20"/>
                <w:szCs w:val="20"/>
              </w:rPr>
            </w:pPr>
          </w:p>
        </w:tc>
        <w:tc>
          <w:tcPr>
            <w:tcW w:w="1090" w:type="pct"/>
            <w:shd w:val="clear" w:color="auto" w:fill="auto"/>
          </w:tcPr>
          <w:p w14:paraId="4E421171" w14:textId="77777777" w:rsidR="00FB28D8" w:rsidRPr="00B0658A" w:rsidRDefault="00FB28D8" w:rsidP="000A4114">
            <w:pPr>
              <w:spacing w:after="0" w:line="240" w:lineRule="auto"/>
              <w:rPr>
                <w:rFonts w:ascii="Times New Roman" w:hAnsi="Times New Roman"/>
                <w:i/>
                <w:iCs/>
                <w:sz w:val="20"/>
                <w:szCs w:val="20"/>
              </w:rPr>
            </w:pPr>
          </w:p>
        </w:tc>
        <w:tc>
          <w:tcPr>
            <w:tcW w:w="1036" w:type="pct"/>
            <w:shd w:val="clear" w:color="auto" w:fill="auto"/>
          </w:tcPr>
          <w:p w14:paraId="57A3F511" w14:textId="77777777" w:rsidR="00FB28D8" w:rsidRPr="00B0658A" w:rsidRDefault="00FB28D8" w:rsidP="000A4114">
            <w:pPr>
              <w:spacing w:after="0" w:line="240" w:lineRule="auto"/>
              <w:rPr>
                <w:rFonts w:ascii="Times New Roman" w:hAnsi="Times New Roman"/>
                <w:i/>
                <w:iCs/>
                <w:sz w:val="20"/>
                <w:szCs w:val="20"/>
              </w:rPr>
            </w:pPr>
          </w:p>
        </w:tc>
        <w:tc>
          <w:tcPr>
            <w:tcW w:w="894" w:type="pct"/>
            <w:shd w:val="clear" w:color="auto" w:fill="auto"/>
          </w:tcPr>
          <w:p w14:paraId="47FD5EEC" w14:textId="77777777" w:rsidR="00FB28D8" w:rsidRPr="00B0658A" w:rsidRDefault="00FB28D8" w:rsidP="000A4114">
            <w:pPr>
              <w:spacing w:after="0" w:line="240" w:lineRule="auto"/>
              <w:jc w:val="both"/>
              <w:rPr>
                <w:rFonts w:ascii="Times New Roman" w:hAnsi="Times New Roman"/>
                <w:i/>
                <w:iCs/>
                <w:sz w:val="20"/>
                <w:szCs w:val="20"/>
              </w:rPr>
            </w:pPr>
          </w:p>
        </w:tc>
      </w:tr>
      <w:tr w:rsidR="00F52FED" w:rsidRPr="00B0658A" w14:paraId="0886FBC7" w14:textId="77777777" w:rsidTr="00B10FDE">
        <w:trPr>
          <w:trHeight w:val="170"/>
        </w:trPr>
        <w:tc>
          <w:tcPr>
            <w:tcW w:w="203" w:type="pct"/>
            <w:shd w:val="clear" w:color="auto" w:fill="auto"/>
          </w:tcPr>
          <w:p w14:paraId="5B1FB6D2" w14:textId="77777777" w:rsidR="00FB28D8" w:rsidRPr="00B0658A" w:rsidDel="00EC4B3C" w:rsidRDefault="00FB28D8" w:rsidP="000A4114">
            <w:pPr>
              <w:spacing w:after="0" w:line="240" w:lineRule="auto"/>
              <w:rPr>
                <w:rFonts w:ascii="Times New Roman" w:hAnsi="Times New Roman"/>
                <w:b/>
                <w:sz w:val="20"/>
                <w:szCs w:val="20"/>
              </w:rPr>
            </w:pPr>
            <w:r w:rsidRPr="00B0658A">
              <w:rPr>
                <w:rFonts w:ascii="Times New Roman" w:hAnsi="Times New Roman"/>
                <w:sz w:val="20"/>
                <w:szCs w:val="20"/>
              </w:rPr>
              <w:t>5.14</w:t>
            </w:r>
          </w:p>
        </w:tc>
        <w:tc>
          <w:tcPr>
            <w:tcW w:w="1153" w:type="pct"/>
            <w:shd w:val="clear" w:color="auto" w:fill="auto"/>
            <w:vAlign w:val="center"/>
          </w:tcPr>
          <w:p w14:paraId="6AB588C7" w14:textId="77777777" w:rsidR="00FB28D8" w:rsidRPr="00B0658A" w:rsidRDefault="00FB28D8" w:rsidP="000A4114">
            <w:pPr>
              <w:spacing w:after="0" w:line="240" w:lineRule="auto"/>
              <w:rPr>
                <w:rFonts w:ascii="Times New Roman" w:hAnsi="Times New Roman"/>
                <w:b/>
                <w:sz w:val="20"/>
                <w:szCs w:val="20"/>
              </w:rPr>
            </w:pPr>
            <w:r w:rsidRPr="00B0658A">
              <w:rPr>
                <w:rFonts w:ascii="Times New Roman" w:hAnsi="Times New Roman"/>
                <w:sz w:val="20"/>
                <w:szCs w:val="20"/>
              </w:rPr>
              <w:t>Прикладное программное обеспечение/ Справочно-правовые системы</w:t>
            </w:r>
          </w:p>
        </w:tc>
        <w:tc>
          <w:tcPr>
            <w:tcW w:w="624" w:type="pct"/>
          </w:tcPr>
          <w:p w14:paraId="514D291C" w14:textId="77777777" w:rsidR="00FB28D8" w:rsidRPr="00B0658A" w:rsidRDefault="00FB28D8" w:rsidP="000A4114">
            <w:pPr>
              <w:spacing w:after="0" w:line="240" w:lineRule="auto"/>
              <w:rPr>
                <w:rFonts w:ascii="Times New Roman" w:hAnsi="Times New Roman"/>
                <w:i/>
                <w:iCs/>
                <w:sz w:val="20"/>
                <w:szCs w:val="20"/>
              </w:rPr>
            </w:pPr>
          </w:p>
        </w:tc>
        <w:tc>
          <w:tcPr>
            <w:tcW w:w="1090" w:type="pct"/>
            <w:shd w:val="clear" w:color="auto" w:fill="auto"/>
          </w:tcPr>
          <w:p w14:paraId="182F09D1" w14:textId="77777777" w:rsidR="00FB28D8" w:rsidRPr="00B0658A" w:rsidRDefault="00FB28D8" w:rsidP="000A4114">
            <w:pPr>
              <w:spacing w:after="0" w:line="240" w:lineRule="auto"/>
              <w:rPr>
                <w:rFonts w:ascii="Times New Roman" w:hAnsi="Times New Roman"/>
                <w:i/>
                <w:iCs/>
                <w:sz w:val="20"/>
                <w:szCs w:val="20"/>
              </w:rPr>
            </w:pPr>
          </w:p>
        </w:tc>
        <w:tc>
          <w:tcPr>
            <w:tcW w:w="1036" w:type="pct"/>
            <w:shd w:val="clear" w:color="auto" w:fill="auto"/>
          </w:tcPr>
          <w:p w14:paraId="5F9846F4" w14:textId="77777777" w:rsidR="00FB28D8" w:rsidRPr="00B0658A" w:rsidRDefault="00FB28D8" w:rsidP="000A4114">
            <w:pPr>
              <w:spacing w:after="0" w:line="240" w:lineRule="auto"/>
              <w:rPr>
                <w:rFonts w:ascii="Times New Roman" w:hAnsi="Times New Roman"/>
                <w:i/>
                <w:iCs/>
                <w:sz w:val="20"/>
                <w:szCs w:val="20"/>
              </w:rPr>
            </w:pPr>
          </w:p>
        </w:tc>
        <w:tc>
          <w:tcPr>
            <w:tcW w:w="894" w:type="pct"/>
            <w:shd w:val="clear" w:color="auto" w:fill="auto"/>
          </w:tcPr>
          <w:p w14:paraId="6FE6E909" w14:textId="77777777" w:rsidR="00FB28D8" w:rsidRPr="00B0658A" w:rsidRDefault="00FB28D8" w:rsidP="000A4114">
            <w:pPr>
              <w:spacing w:after="0" w:line="240" w:lineRule="auto"/>
              <w:jc w:val="both"/>
              <w:rPr>
                <w:rFonts w:ascii="Times New Roman" w:hAnsi="Times New Roman"/>
                <w:i/>
                <w:iCs/>
                <w:sz w:val="20"/>
                <w:szCs w:val="20"/>
              </w:rPr>
            </w:pPr>
          </w:p>
        </w:tc>
      </w:tr>
      <w:tr w:rsidR="00F52FED" w:rsidRPr="00B0658A" w14:paraId="3FEAD368" w14:textId="77777777" w:rsidTr="00B10FDE">
        <w:trPr>
          <w:trHeight w:val="170"/>
        </w:trPr>
        <w:tc>
          <w:tcPr>
            <w:tcW w:w="203" w:type="pct"/>
            <w:shd w:val="clear" w:color="auto" w:fill="auto"/>
          </w:tcPr>
          <w:p w14:paraId="3D75BE5C" w14:textId="77777777" w:rsidR="00FB28D8" w:rsidRPr="00B0658A" w:rsidDel="00EC4B3C" w:rsidRDefault="00FB28D8" w:rsidP="000A4114">
            <w:pPr>
              <w:spacing w:after="0" w:line="240" w:lineRule="auto"/>
              <w:rPr>
                <w:rFonts w:ascii="Times New Roman" w:hAnsi="Times New Roman"/>
                <w:b/>
                <w:sz w:val="20"/>
                <w:szCs w:val="20"/>
              </w:rPr>
            </w:pPr>
            <w:r w:rsidRPr="00B0658A">
              <w:rPr>
                <w:rFonts w:ascii="Times New Roman" w:hAnsi="Times New Roman"/>
                <w:sz w:val="20"/>
                <w:szCs w:val="20"/>
              </w:rPr>
              <w:t>5.15</w:t>
            </w:r>
          </w:p>
        </w:tc>
        <w:tc>
          <w:tcPr>
            <w:tcW w:w="1153" w:type="pct"/>
            <w:shd w:val="clear" w:color="auto" w:fill="auto"/>
            <w:vAlign w:val="center"/>
          </w:tcPr>
          <w:p w14:paraId="6914AAAF" w14:textId="77777777" w:rsidR="00FB28D8" w:rsidRPr="00B0658A" w:rsidRDefault="00FB28D8" w:rsidP="000A4114">
            <w:pPr>
              <w:spacing w:after="0" w:line="240" w:lineRule="auto"/>
              <w:rPr>
                <w:rFonts w:ascii="Times New Roman" w:hAnsi="Times New Roman"/>
                <w:b/>
                <w:sz w:val="20"/>
                <w:szCs w:val="20"/>
              </w:rPr>
            </w:pPr>
            <w:r w:rsidRPr="00B0658A">
              <w:rPr>
                <w:rFonts w:ascii="Times New Roman" w:hAnsi="Times New Roman"/>
                <w:sz w:val="20"/>
                <w:szCs w:val="20"/>
              </w:rPr>
              <w:t>Прикладное программное обеспечение/ Информационные системы для решения специфических отраслевых задач</w:t>
            </w:r>
          </w:p>
        </w:tc>
        <w:tc>
          <w:tcPr>
            <w:tcW w:w="624" w:type="pct"/>
          </w:tcPr>
          <w:p w14:paraId="58E4DE8E" w14:textId="77777777" w:rsidR="00FB28D8" w:rsidRPr="00B0658A" w:rsidRDefault="00FB28D8" w:rsidP="000A4114">
            <w:pPr>
              <w:spacing w:after="0" w:line="240" w:lineRule="auto"/>
              <w:rPr>
                <w:rFonts w:ascii="Times New Roman" w:hAnsi="Times New Roman"/>
                <w:i/>
                <w:iCs/>
                <w:sz w:val="20"/>
                <w:szCs w:val="20"/>
              </w:rPr>
            </w:pPr>
          </w:p>
        </w:tc>
        <w:tc>
          <w:tcPr>
            <w:tcW w:w="1090" w:type="pct"/>
            <w:shd w:val="clear" w:color="auto" w:fill="auto"/>
          </w:tcPr>
          <w:p w14:paraId="5F3AC566" w14:textId="77777777" w:rsidR="00FB28D8" w:rsidRPr="00B0658A" w:rsidRDefault="00FB28D8" w:rsidP="000A4114">
            <w:pPr>
              <w:spacing w:after="0" w:line="240" w:lineRule="auto"/>
              <w:rPr>
                <w:rFonts w:ascii="Times New Roman" w:hAnsi="Times New Roman"/>
                <w:i/>
                <w:iCs/>
                <w:sz w:val="20"/>
                <w:szCs w:val="20"/>
              </w:rPr>
            </w:pPr>
          </w:p>
        </w:tc>
        <w:tc>
          <w:tcPr>
            <w:tcW w:w="1036" w:type="pct"/>
            <w:shd w:val="clear" w:color="auto" w:fill="auto"/>
          </w:tcPr>
          <w:p w14:paraId="6CB3D5C2" w14:textId="77777777" w:rsidR="00FB28D8" w:rsidRPr="00B0658A" w:rsidRDefault="00FB28D8" w:rsidP="000A4114">
            <w:pPr>
              <w:spacing w:after="0" w:line="240" w:lineRule="auto"/>
              <w:rPr>
                <w:rFonts w:ascii="Times New Roman" w:hAnsi="Times New Roman"/>
                <w:i/>
                <w:iCs/>
                <w:sz w:val="20"/>
                <w:szCs w:val="20"/>
              </w:rPr>
            </w:pPr>
          </w:p>
        </w:tc>
        <w:tc>
          <w:tcPr>
            <w:tcW w:w="894" w:type="pct"/>
            <w:shd w:val="clear" w:color="auto" w:fill="auto"/>
          </w:tcPr>
          <w:p w14:paraId="4A1C6F68" w14:textId="77777777" w:rsidR="00FB28D8" w:rsidRPr="00B0658A" w:rsidRDefault="00FB28D8" w:rsidP="000A4114">
            <w:pPr>
              <w:spacing w:after="0" w:line="240" w:lineRule="auto"/>
              <w:jc w:val="both"/>
              <w:rPr>
                <w:rFonts w:ascii="Times New Roman" w:hAnsi="Times New Roman"/>
                <w:i/>
                <w:iCs/>
                <w:sz w:val="20"/>
                <w:szCs w:val="20"/>
              </w:rPr>
            </w:pPr>
          </w:p>
        </w:tc>
      </w:tr>
      <w:tr w:rsidR="00F52FED" w:rsidRPr="00B0658A" w14:paraId="7E78844C" w14:textId="77777777" w:rsidTr="00B10FDE">
        <w:trPr>
          <w:trHeight w:val="170"/>
        </w:trPr>
        <w:tc>
          <w:tcPr>
            <w:tcW w:w="203" w:type="pct"/>
            <w:shd w:val="clear" w:color="auto" w:fill="auto"/>
          </w:tcPr>
          <w:p w14:paraId="2EBD0277" w14:textId="77777777" w:rsidR="00FB28D8" w:rsidRPr="00B0658A" w:rsidDel="00EC4B3C" w:rsidRDefault="00FB28D8" w:rsidP="000A4114">
            <w:pPr>
              <w:spacing w:after="0" w:line="240" w:lineRule="auto"/>
              <w:rPr>
                <w:rFonts w:ascii="Times New Roman" w:hAnsi="Times New Roman"/>
                <w:b/>
                <w:sz w:val="20"/>
                <w:szCs w:val="20"/>
              </w:rPr>
            </w:pPr>
            <w:r w:rsidRPr="00B0658A">
              <w:rPr>
                <w:rFonts w:ascii="Times New Roman" w:hAnsi="Times New Roman"/>
                <w:sz w:val="20"/>
                <w:szCs w:val="20"/>
              </w:rPr>
              <w:t>5.16</w:t>
            </w:r>
          </w:p>
        </w:tc>
        <w:tc>
          <w:tcPr>
            <w:tcW w:w="1153" w:type="pct"/>
            <w:shd w:val="clear" w:color="auto" w:fill="auto"/>
            <w:vAlign w:val="center"/>
          </w:tcPr>
          <w:p w14:paraId="24146639" w14:textId="77777777" w:rsidR="00FB28D8" w:rsidRPr="00B0658A" w:rsidRDefault="00FB28D8" w:rsidP="000A4114">
            <w:pPr>
              <w:spacing w:after="0" w:line="240" w:lineRule="auto"/>
              <w:rPr>
                <w:rFonts w:ascii="Times New Roman" w:hAnsi="Times New Roman"/>
                <w:b/>
                <w:sz w:val="20"/>
                <w:szCs w:val="20"/>
              </w:rPr>
            </w:pPr>
            <w:r w:rsidRPr="00B0658A">
              <w:rPr>
                <w:rFonts w:ascii="Times New Roman" w:hAnsi="Times New Roman"/>
                <w:sz w:val="20"/>
                <w:szCs w:val="20"/>
              </w:rPr>
              <w:t>Прикладное программное обеспечение/ Автоматизированные информационные системы оформления воздушных перевозок</w:t>
            </w:r>
          </w:p>
        </w:tc>
        <w:tc>
          <w:tcPr>
            <w:tcW w:w="624" w:type="pct"/>
          </w:tcPr>
          <w:p w14:paraId="3DA26E20" w14:textId="77777777" w:rsidR="00FB28D8" w:rsidRPr="00B0658A" w:rsidRDefault="00FB28D8" w:rsidP="000A4114">
            <w:pPr>
              <w:spacing w:after="0" w:line="240" w:lineRule="auto"/>
              <w:rPr>
                <w:rFonts w:ascii="Times New Roman" w:hAnsi="Times New Roman"/>
                <w:i/>
                <w:iCs/>
                <w:sz w:val="20"/>
                <w:szCs w:val="20"/>
              </w:rPr>
            </w:pPr>
          </w:p>
        </w:tc>
        <w:tc>
          <w:tcPr>
            <w:tcW w:w="1090" w:type="pct"/>
            <w:shd w:val="clear" w:color="auto" w:fill="auto"/>
          </w:tcPr>
          <w:p w14:paraId="1B679E2A" w14:textId="77777777" w:rsidR="00FB28D8" w:rsidRPr="00B0658A" w:rsidRDefault="00FB28D8" w:rsidP="000A4114">
            <w:pPr>
              <w:spacing w:after="0" w:line="240" w:lineRule="auto"/>
              <w:rPr>
                <w:rFonts w:ascii="Times New Roman" w:hAnsi="Times New Roman"/>
                <w:i/>
                <w:iCs/>
                <w:sz w:val="20"/>
                <w:szCs w:val="20"/>
              </w:rPr>
            </w:pPr>
          </w:p>
        </w:tc>
        <w:tc>
          <w:tcPr>
            <w:tcW w:w="1036" w:type="pct"/>
            <w:shd w:val="clear" w:color="auto" w:fill="auto"/>
          </w:tcPr>
          <w:p w14:paraId="712B713E" w14:textId="77777777" w:rsidR="00FB28D8" w:rsidRPr="00B0658A" w:rsidRDefault="00FB28D8" w:rsidP="000A4114">
            <w:pPr>
              <w:spacing w:after="0" w:line="240" w:lineRule="auto"/>
              <w:rPr>
                <w:rFonts w:ascii="Times New Roman" w:hAnsi="Times New Roman"/>
                <w:i/>
                <w:iCs/>
                <w:sz w:val="20"/>
                <w:szCs w:val="20"/>
              </w:rPr>
            </w:pPr>
          </w:p>
        </w:tc>
        <w:tc>
          <w:tcPr>
            <w:tcW w:w="894" w:type="pct"/>
            <w:shd w:val="clear" w:color="auto" w:fill="auto"/>
          </w:tcPr>
          <w:p w14:paraId="2AA45C5F" w14:textId="77777777" w:rsidR="00FB28D8" w:rsidRPr="00B0658A" w:rsidRDefault="00FB28D8" w:rsidP="000A4114">
            <w:pPr>
              <w:spacing w:after="0" w:line="240" w:lineRule="auto"/>
              <w:jc w:val="both"/>
              <w:rPr>
                <w:rFonts w:ascii="Times New Roman" w:hAnsi="Times New Roman"/>
                <w:i/>
                <w:iCs/>
                <w:sz w:val="20"/>
                <w:szCs w:val="20"/>
              </w:rPr>
            </w:pPr>
          </w:p>
        </w:tc>
      </w:tr>
      <w:tr w:rsidR="00F52FED" w:rsidRPr="00B0658A" w14:paraId="03D4BFD0" w14:textId="77777777" w:rsidTr="00B10FDE">
        <w:trPr>
          <w:trHeight w:val="170"/>
        </w:trPr>
        <w:tc>
          <w:tcPr>
            <w:tcW w:w="203" w:type="pct"/>
            <w:shd w:val="clear" w:color="auto" w:fill="auto"/>
          </w:tcPr>
          <w:p w14:paraId="70784501" w14:textId="77777777" w:rsidR="00FB28D8" w:rsidRPr="00B0658A" w:rsidRDefault="00FB28D8" w:rsidP="000A4114">
            <w:pPr>
              <w:spacing w:after="0" w:line="240" w:lineRule="auto"/>
              <w:rPr>
                <w:rFonts w:ascii="Times New Roman" w:hAnsi="Times New Roman"/>
                <w:sz w:val="20"/>
                <w:szCs w:val="20"/>
              </w:rPr>
            </w:pPr>
            <w:r w:rsidRPr="00B0658A">
              <w:rPr>
                <w:rFonts w:ascii="Times New Roman" w:hAnsi="Times New Roman"/>
                <w:sz w:val="20"/>
                <w:szCs w:val="20"/>
              </w:rPr>
              <w:t>6.1</w:t>
            </w:r>
          </w:p>
        </w:tc>
        <w:tc>
          <w:tcPr>
            <w:tcW w:w="1153" w:type="pct"/>
            <w:shd w:val="clear" w:color="auto" w:fill="auto"/>
            <w:vAlign w:val="center"/>
          </w:tcPr>
          <w:p w14:paraId="50FC18B2" w14:textId="77777777" w:rsidR="00FB28D8" w:rsidRPr="00B0658A" w:rsidRDefault="00FB28D8" w:rsidP="000A4114">
            <w:pPr>
              <w:spacing w:after="0" w:line="240" w:lineRule="auto"/>
              <w:rPr>
                <w:rFonts w:ascii="Times New Roman" w:hAnsi="Times New Roman"/>
                <w:sz w:val="20"/>
                <w:szCs w:val="20"/>
              </w:rPr>
            </w:pPr>
            <w:r w:rsidRPr="00B0658A">
              <w:rPr>
                <w:rFonts w:ascii="Times New Roman" w:hAnsi="Times New Roman"/>
                <w:sz w:val="20"/>
                <w:szCs w:val="20"/>
              </w:rPr>
              <w:t>Офисные приложения/ Файловые менеджеры</w:t>
            </w:r>
          </w:p>
        </w:tc>
        <w:tc>
          <w:tcPr>
            <w:tcW w:w="624" w:type="pct"/>
          </w:tcPr>
          <w:p w14:paraId="724C3CB4" w14:textId="77777777" w:rsidR="00FB28D8" w:rsidRPr="00B0658A" w:rsidRDefault="00FB28D8" w:rsidP="000A4114">
            <w:pPr>
              <w:spacing w:after="0" w:line="240" w:lineRule="auto"/>
              <w:rPr>
                <w:rFonts w:ascii="Times New Roman" w:hAnsi="Times New Roman"/>
                <w:i/>
                <w:iCs/>
                <w:sz w:val="20"/>
                <w:szCs w:val="20"/>
              </w:rPr>
            </w:pPr>
          </w:p>
        </w:tc>
        <w:tc>
          <w:tcPr>
            <w:tcW w:w="1090" w:type="pct"/>
            <w:shd w:val="clear" w:color="auto" w:fill="auto"/>
          </w:tcPr>
          <w:p w14:paraId="71C1AFA3" w14:textId="77777777" w:rsidR="00FB28D8" w:rsidRPr="00B0658A" w:rsidRDefault="00FB28D8" w:rsidP="000A4114">
            <w:pPr>
              <w:spacing w:after="0" w:line="240" w:lineRule="auto"/>
              <w:rPr>
                <w:rFonts w:ascii="Times New Roman" w:hAnsi="Times New Roman"/>
                <w:i/>
                <w:iCs/>
                <w:sz w:val="20"/>
                <w:szCs w:val="20"/>
              </w:rPr>
            </w:pPr>
          </w:p>
        </w:tc>
        <w:tc>
          <w:tcPr>
            <w:tcW w:w="1036" w:type="pct"/>
            <w:shd w:val="clear" w:color="auto" w:fill="auto"/>
          </w:tcPr>
          <w:p w14:paraId="2E7BEFEF" w14:textId="77777777" w:rsidR="00FB28D8" w:rsidRPr="00B0658A" w:rsidRDefault="00FB28D8" w:rsidP="000A4114">
            <w:pPr>
              <w:spacing w:after="0" w:line="240" w:lineRule="auto"/>
              <w:rPr>
                <w:rFonts w:ascii="Times New Roman" w:hAnsi="Times New Roman"/>
                <w:i/>
                <w:iCs/>
                <w:sz w:val="20"/>
                <w:szCs w:val="20"/>
              </w:rPr>
            </w:pPr>
          </w:p>
        </w:tc>
        <w:tc>
          <w:tcPr>
            <w:tcW w:w="894" w:type="pct"/>
            <w:shd w:val="clear" w:color="auto" w:fill="auto"/>
          </w:tcPr>
          <w:p w14:paraId="63B07711" w14:textId="77777777" w:rsidR="00FB28D8" w:rsidRPr="00B0658A" w:rsidRDefault="00FB28D8" w:rsidP="000A4114">
            <w:pPr>
              <w:spacing w:after="0" w:line="240" w:lineRule="auto"/>
              <w:jc w:val="both"/>
              <w:rPr>
                <w:rFonts w:ascii="Times New Roman" w:hAnsi="Times New Roman"/>
                <w:i/>
                <w:iCs/>
                <w:sz w:val="20"/>
                <w:szCs w:val="20"/>
              </w:rPr>
            </w:pPr>
          </w:p>
        </w:tc>
      </w:tr>
      <w:tr w:rsidR="00F52FED" w:rsidRPr="00B0658A" w14:paraId="703F1DFF" w14:textId="77777777" w:rsidTr="00B10FDE">
        <w:trPr>
          <w:trHeight w:val="170"/>
        </w:trPr>
        <w:tc>
          <w:tcPr>
            <w:tcW w:w="203" w:type="pct"/>
            <w:shd w:val="clear" w:color="auto" w:fill="auto"/>
          </w:tcPr>
          <w:p w14:paraId="13CF52FA" w14:textId="77777777" w:rsidR="00FB28D8" w:rsidRPr="00B0658A" w:rsidRDefault="00FB28D8" w:rsidP="000A4114">
            <w:pPr>
              <w:spacing w:after="0" w:line="240" w:lineRule="auto"/>
              <w:rPr>
                <w:rFonts w:ascii="Times New Roman" w:hAnsi="Times New Roman"/>
                <w:sz w:val="20"/>
                <w:szCs w:val="20"/>
              </w:rPr>
            </w:pPr>
            <w:r w:rsidRPr="00B0658A">
              <w:rPr>
                <w:rFonts w:ascii="Times New Roman" w:hAnsi="Times New Roman"/>
                <w:sz w:val="20"/>
                <w:szCs w:val="20"/>
              </w:rPr>
              <w:t>6.2</w:t>
            </w:r>
          </w:p>
        </w:tc>
        <w:tc>
          <w:tcPr>
            <w:tcW w:w="1153" w:type="pct"/>
            <w:shd w:val="clear" w:color="auto" w:fill="auto"/>
            <w:vAlign w:val="center"/>
          </w:tcPr>
          <w:p w14:paraId="13AEEE14" w14:textId="77777777" w:rsidR="00FB28D8" w:rsidRPr="00B0658A" w:rsidRDefault="00FB28D8" w:rsidP="000A4114">
            <w:pPr>
              <w:spacing w:after="0" w:line="240" w:lineRule="auto"/>
              <w:rPr>
                <w:rFonts w:ascii="Times New Roman" w:hAnsi="Times New Roman"/>
                <w:sz w:val="20"/>
                <w:szCs w:val="20"/>
              </w:rPr>
            </w:pPr>
            <w:r w:rsidRPr="00B0658A">
              <w:rPr>
                <w:rFonts w:ascii="Times New Roman" w:hAnsi="Times New Roman"/>
                <w:sz w:val="20"/>
                <w:szCs w:val="20"/>
              </w:rPr>
              <w:t>Офисные приложения/ Коммуникационное программное обеспечение</w:t>
            </w:r>
          </w:p>
        </w:tc>
        <w:tc>
          <w:tcPr>
            <w:tcW w:w="624" w:type="pct"/>
          </w:tcPr>
          <w:p w14:paraId="38F04404" w14:textId="77777777" w:rsidR="00FB28D8" w:rsidRPr="00B0658A" w:rsidRDefault="00FB28D8" w:rsidP="000A4114">
            <w:pPr>
              <w:spacing w:after="0" w:line="240" w:lineRule="auto"/>
              <w:rPr>
                <w:rFonts w:ascii="Times New Roman" w:hAnsi="Times New Roman"/>
                <w:i/>
                <w:iCs/>
                <w:sz w:val="20"/>
                <w:szCs w:val="20"/>
              </w:rPr>
            </w:pPr>
          </w:p>
        </w:tc>
        <w:tc>
          <w:tcPr>
            <w:tcW w:w="1090" w:type="pct"/>
            <w:shd w:val="clear" w:color="auto" w:fill="auto"/>
          </w:tcPr>
          <w:p w14:paraId="746E239E" w14:textId="77777777" w:rsidR="00FB28D8" w:rsidRPr="00B0658A" w:rsidRDefault="00FB28D8" w:rsidP="000A4114">
            <w:pPr>
              <w:spacing w:after="0" w:line="240" w:lineRule="auto"/>
              <w:rPr>
                <w:rFonts w:ascii="Times New Roman" w:hAnsi="Times New Roman"/>
                <w:i/>
                <w:iCs/>
                <w:sz w:val="20"/>
                <w:szCs w:val="20"/>
              </w:rPr>
            </w:pPr>
          </w:p>
        </w:tc>
        <w:tc>
          <w:tcPr>
            <w:tcW w:w="1036" w:type="pct"/>
            <w:shd w:val="clear" w:color="auto" w:fill="auto"/>
          </w:tcPr>
          <w:p w14:paraId="40596041" w14:textId="77777777" w:rsidR="00FB28D8" w:rsidRPr="00B0658A" w:rsidRDefault="00FB28D8" w:rsidP="000A4114">
            <w:pPr>
              <w:spacing w:after="0" w:line="240" w:lineRule="auto"/>
              <w:rPr>
                <w:rFonts w:ascii="Times New Roman" w:hAnsi="Times New Roman"/>
                <w:i/>
                <w:iCs/>
                <w:sz w:val="20"/>
                <w:szCs w:val="20"/>
              </w:rPr>
            </w:pPr>
          </w:p>
        </w:tc>
        <w:tc>
          <w:tcPr>
            <w:tcW w:w="894" w:type="pct"/>
            <w:shd w:val="clear" w:color="auto" w:fill="auto"/>
          </w:tcPr>
          <w:p w14:paraId="3FCE8131" w14:textId="77777777" w:rsidR="00FB28D8" w:rsidRPr="00B0658A" w:rsidRDefault="00FB28D8" w:rsidP="000A4114">
            <w:pPr>
              <w:spacing w:after="0" w:line="240" w:lineRule="auto"/>
              <w:jc w:val="both"/>
              <w:rPr>
                <w:rFonts w:ascii="Times New Roman" w:hAnsi="Times New Roman"/>
                <w:i/>
                <w:iCs/>
                <w:sz w:val="20"/>
                <w:szCs w:val="20"/>
              </w:rPr>
            </w:pPr>
          </w:p>
        </w:tc>
      </w:tr>
      <w:tr w:rsidR="00F52FED" w:rsidRPr="00B0658A" w14:paraId="052D5969" w14:textId="77777777" w:rsidTr="00B10FDE">
        <w:trPr>
          <w:trHeight w:val="170"/>
        </w:trPr>
        <w:tc>
          <w:tcPr>
            <w:tcW w:w="203" w:type="pct"/>
            <w:shd w:val="clear" w:color="auto" w:fill="auto"/>
          </w:tcPr>
          <w:p w14:paraId="406EC0BD" w14:textId="77777777" w:rsidR="00FB28D8" w:rsidRPr="00B0658A" w:rsidRDefault="00FB28D8" w:rsidP="000A4114">
            <w:pPr>
              <w:spacing w:after="0" w:line="240" w:lineRule="auto"/>
              <w:rPr>
                <w:rFonts w:ascii="Times New Roman" w:hAnsi="Times New Roman"/>
                <w:sz w:val="20"/>
                <w:szCs w:val="20"/>
              </w:rPr>
            </w:pPr>
            <w:r w:rsidRPr="00B0658A">
              <w:rPr>
                <w:rFonts w:ascii="Times New Roman" w:hAnsi="Times New Roman"/>
                <w:sz w:val="20"/>
                <w:szCs w:val="20"/>
              </w:rPr>
              <w:t>6.3</w:t>
            </w:r>
          </w:p>
        </w:tc>
        <w:tc>
          <w:tcPr>
            <w:tcW w:w="1153" w:type="pct"/>
            <w:shd w:val="clear" w:color="auto" w:fill="auto"/>
            <w:vAlign w:val="center"/>
          </w:tcPr>
          <w:p w14:paraId="73E4EB4C" w14:textId="77777777" w:rsidR="00FB28D8" w:rsidRPr="00B0658A" w:rsidRDefault="00FB28D8" w:rsidP="000A4114">
            <w:pPr>
              <w:spacing w:after="0" w:line="240" w:lineRule="auto"/>
              <w:rPr>
                <w:rFonts w:ascii="Times New Roman" w:hAnsi="Times New Roman"/>
                <w:sz w:val="20"/>
                <w:szCs w:val="20"/>
              </w:rPr>
            </w:pPr>
            <w:r w:rsidRPr="00B0658A">
              <w:rPr>
                <w:rFonts w:ascii="Times New Roman" w:hAnsi="Times New Roman"/>
                <w:sz w:val="20"/>
                <w:szCs w:val="20"/>
              </w:rPr>
              <w:t>Офисные приложения/ Офисные пакеты</w:t>
            </w:r>
          </w:p>
        </w:tc>
        <w:tc>
          <w:tcPr>
            <w:tcW w:w="624" w:type="pct"/>
          </w:tcPr>
          <w:p w14:paraId="3023BE3E" w14:textId="77777777" w:rsidR="00FB28D8" w:rsidRPr="00B0658A" w:rsidRDefault="00FB28D8" w:rsidP="000A4114">
            <w:pPr>
              <w:spacing w:after="0" w:line="240" w:lineRule="auto"/>
              <w:rPr>
                <w:rFonts w:ascii="Times New Roman" w:hAnsi="Times New Roman"/>
                <w:i/>
                <w:iCs/>
                <w:sz w:val="20"/>
                <w:szCs w:val="20"/>
              </w:rPr>
            </w:pPr>
          </w:p>
        </w:tc>
        <w:tc>
          <w:tcPr>
            <w:tcW w:w="1090" w:type="pct"/>
            <w:shd w:val="clear" w:color="auto" w:fill="auto"/>
          </w:tcPr>
          <w:p w14:paraId="66461F45" w14:textId="77777777" w:rsidR="00FB28D8" w:rsidRPr="00B0658A" w:rsidRDefault="00FB28D8" w:rsidP="000A4114">
            <w:pPr>
              <w:spacing w:after="0" w:line="240" w:lineRule="auto"/>
              <w:rPr>
                <w:rFonts w:ascii="Times New Roman" w:hAnsi="Times New Roman"/>
                <w:i/>
                <w:iCs/>
                <w:sz w:val="20"/>
                <w:szCs w:val="20"/>
              </w:rPr>
            </w:pPr>
          </w:p>
        </w:tc>
        <w:tc>
          <w:tcPr>
            <w:tcW w:w="1036" w:type="pct"/>
            <w:shd w:val="clear" w:color="auto" w:fill="auto"/>
          </w:tcPr>
          <w:p w14:paraId="2B2A9699" w14:textId="77777777" w:rsidR="00FB28D8" w:rsidRPr="00B0658A" w:rsidRDefault="00FB28D8" w:rsidP="000A4114">
            <w:pPr>
              <w:spacing w:after="0" w:line="240" w:lineRule="auto"/>
              <w:rPr>
                <w:rFonts w:ascii="Times New Roman" w:hAnsi="Times New Roman"/>
                <w:i/>
                <w:iCs/>
                <w:sz w:val="20"/>
                <w:szCs w:val="20"/>
              </w:rPr>
            </w:pPr>
          </w:p>
        </w:tc>
        <w:tc>
          <w:tcPr>
            <w:tcW w:w="894" w:type="pct"/>
            <w:shd w:val="clear" w:color="auto" w:fill="auto"/>
          </w:tcPr>
          <w:p w14:paraId="1BE04114" w14:textId="77777777" w:rsidR="00FB28D8" w:rsidRPr="00B0658A" w:rsidRDefault="00FB28D8" w:rsidP="000A4114">
            <w:pPr>
              <w:spacing w:after="0" w:line="240" w:lineRule="auto"/>
              <w:jc w:val="both"/>
              <w:rPr>
                <w:rFonts w:ascii="Times New Roman" w:hAnsi="Times New Roman"/>
                <w:i/>
                <w:iCs/>
                <w:sz w:val="20"/>
                <w:szCs w:val="20"/>
              </w:rPr>
            </w:pPr>
          </w:p>
        </w:tc>
      </w:tr>
      <w:tr w:rsidR="00F52FED" w:rsidRPr="00B0658A" w14:paraId="62297D12" w14:textId="77777777" w:rsidTr="00B10FDE">
        <w:trPr>
          <w:trHeight w:val="170"/>
        </w:trPr>
        <w:tc>
          <w:tcPr>
            <w:tcW w:w="203" w:type="pct"/>
            <w:shd w:val="clear" w:color="auto" w:fill="auto"/>
          </w:tcPr>
          <w:p w14:paraId="37CBCD03" w14:textId="77777777" w:rsidR="00FB28D8" w:rsidRPr="00B0658A" w:rsidRDefault="00FB28D8" w:rsidP="000A4114">
            <w:pPr>
              <w:spacing w:after="0" w:line="240" w:lineRule="auto"/>
              <w:rPr>
                <w:rFonts w:ascii="Times New Roman" w:hAnsi="Times New Roman"/>
                <w:sz w:val="20"/>
                <w:szCs w:val="20"/>
              </w:rPr>
            </w:pPr>
            <w:r w:rsidRPr="00B0658A">
              <w:rPr>
                <w:rFonts w:ascii="Times New Roman" w:hAnsi="Times New Roman"/>
                <w:sz w:val="20"/>
                <w:szCs w:val="20"/>
              </w:rPr>
              <w:t>6.4</w:t>
            </w:r>
          </w:p>
        </w:tc>
        <w:tc>
          <w:tcPr>
            <w:tcW w:w="1153" w:type="pct"/>
            <w:shd w:val="clear" w:color="auto" w:fill="auto"/>
            <w:vAlign w:val="center"/>
          </w:tcPr>
          <w:p w14:paraId="2084CAF4" w14:textId="77777777" w:rsidR="00FB28D8" w:rsidRPr="00B0658A" w:rsidRDefault="00FB28D8" w:rsidP="000A4114">
            <w:pPr>
              <w:spacing w:after="0" w:line="240" w:lineRule="auto"/>
              <w:rPr>
                <w:rFonts w:ascii="Times New Roman" w:hAnsi="Times New Roman"/>
                <w:sz w:val="20"/>
                <w:szCs w:val="20"/>
              </w:rPr>
            </w:pPr>
            <w:r w:rsidRPr="00B0658A">
              <w:rPr>
                <w:rFonts w:ascii="Times New Roman" w:hAnsi="Times New Roman"/>
                <w:sz w:val="20"/>
                <w:szCs w:val="20"/>
              </w:rPr>
              <w:t>Офисные приложения/ Почтовые приложения</w:t>
            </w:r>
          </w:p>
        </w:tc>
        <w:tc>
          <w:tcPr>
            <w:tcW w:w="624" w:type="pct"/>
          </w:tcPr>
          <w:p w14:paraId="216AA478" w14:textId="77777777" w:rsidR="00FB28D8" w:rsidRPr="00B0658A" w:rsidRDefault="00FB28D8" w:rsidP="000A4114">
            <w:pPr>
              <w:spacing w:after="0" w:line="240" w:lineRule="auto"/>
              <w:rPr>
                <w:rFonts w:ascii="Times New Roman" w:hAnsi="Times New Roman"/>
                <w:i/>
                <w:iCs/>
                <w:sz w:val="20"/>
                <w:szCs w:val="20"/>
              </w:rPr>
            </w:pPr>
          </w:p>
        </w:tc>
        <w:tc>
          <w:tcPr>
            <w:tcW w:w="1090" w:type="pct"/>
            <w:shd w:val="clear" w:color="auto" w:fill="auto"/>
          </w:tcPr>
          <w:p w14:paraId="1334616B" w14:textId="77777777" w:rsidR="00FB28D8" w:rsidRPr="00B0658A" w:rsidRDefault="00FB28D8" w:rsidP="000A4114">
            <w:pPr>
              <w:spacing w:after="0" w:line="240" w:lineRule="auto"/>
              <w:rPr>
                <w:rFonts w:ascii="Times New Roman" w:hAnsi="Times New Roman"/>
                <w:i/>
                <w:iCs/>
                <w:sz w:val="20"/>
                <w:szCs w:val="20"/>
              </w:rPr>
            </w:pPr>
          </w:p>
        </w:tc>
        <w:tc>
          <w:tcPr>
            <w:tcW w:w="1036" w:type="pct"/>
            <w:shd w:val="clear" w:color="auto" w:fill="auto"/>
          </w:tcPr>
          <w:p w14:paraId="5B8A06D5" w14:textId="77777777" w:rsidR="00FB28D8" w:rsidRPr="00B0658A" w:rsidRDefault="00FB28D8" w:rsidP="000A4114">
            <w:pPr>
              <w:spacing w:after="0" w:line="240" w:lineRule="auto"/>
              <w:rPr>
                <w:rFonts w:ascii="Times New Roman" w:hAnsi="Times New Roman"/>
                <w:i/>
                <w:iCs/>
                <w:sz w:val="20"/>
                <w:szCs w:val="20"/>
              </w:rPr>
            </w:pPr>
          </w:p>
        </w:tc>
        <w:tc>
          <w:tcPr>
            <w:tcW w:w="894" w:type="pct"/>
            <w:shd w:val="clear" w:color="auto" w:fill="auto"/>
          </w:tcPr>
          <w:p w14:paraId="593505B9" w14:textId="77777777" w:rsidR="00FB28D8" w:rsidRPr="00B0658A" w:rsidRDefault="00FB28D8" w:rsidP="000A4114">
            <w:pPr>
              <w:spacing w:after="0" w:line="240" w:lineRule="auto"/>
              <w:jc w:val="both"/>
              <w:rPr>
                <w:rFonts w:ascii="Times New Roman" w:hAnsi="Times New Roman"/>
                <w:i/>
                <w:iCs/>
                <w:sz w:val="20"/>
                <w:szCs w:val="20"/>
              </w:rPr>
            </w:pPr>
          </w:p>
        </w:tc>
      </w:tr>
      <w:tr w:rsidR="00F52FED" w:rsidRPr="00B0658A" w14:paraId="14498A14" w14:textId="77777777" w:rsidTr="00B10FDE">
        <w:trPr>
          <w:trHeight w:val="170"/>
        </w:trPr>
        <w:tc>
          <w:tcPr>
            <w:tcW w:w="203" w:type="pct"/>
            <w:shd w:val="clear" w:color="auto" w:fill="auto"/>
          </w:tcPr>
          <w:p w14:paraId="6CB006D5" w14:textId="77777777" w:rsidR="00FB28D8" w:rsidRPr="00B0658A" w:rsidRDefault="00FB28D8" w:rsidP="000A4114">
            <w:pPr>
              <w:spacing w:after="0" w:line="240" w:lineRule="auto"/>
              <w:rPr>
                <w:rFonts w:ascii="Times New Roman" w:hAnsi="Times New Roman"/>
                <w:sz w:val="20"/>
                <w:szCs w:val="20"/>
              </w:rPr>
            </w:pPr>
            <w:r w:rsidRPr="00B0658A">
              <w:rPr>
                <w:rFonts w:ascii="Times New Roman" w:hAnsi="Times New Roman"/>
                <w:sz w:val="20"/>
                <w:szCs w:val="20"/>
              </w:rPr>
              <w:t>6.5</w:t>
            </w:r>
          </w:p>
        </w:tc>
        <w:tc>
          <w:tcPr>
            <w:tcW w:w="1153" w:type="pct"/>
            <w:shd w:val="clear" w:color="auto" w:fill="auto"/>
            <w:vAlign w:val="center"/>
          </w:tcPr>
          <w:p w14:paraId="38031DC7" w14:textId="77777777" w:rsidR="00FB28D8" w:rsidRPr="00B0658A" w:rsidRDefault="00FB28D8" w:rsidP="000A4114">
            <w:pPr>
              <w:spacing w:after="0" w:line="240" w:lineRule="auto"/>
              <w:rPr>
                <w:rFonts w:ascii="Times New Roman" w:hAnsi="Times New Roman"/>
                <w:sz w:val="20"/>
                <w:szCs w:val="20"/>
              </w:rPr>
            </w:pPr>
            <w:r w:rsidRPr="00B0658A">
              <w:rPr>
                <w:rFonts w:ascii="Times New Roman" w:hAnsi="Times New Roman"/>
                <w:sz w:val="20"/>
                <w:szCs w:val="20"/>
              </w:rPr>
              <w:t>Офисные приложения/ Органайзеры</w:t>
            </w:r>
          </w:p>
        </w:tc>
        <w:tc>
          <w:tcPr>
            <w:tcW w:w="624" w:type="pct"/>
          </w:tcPr>
          <w:p w14:paraId="6A9A33A2" w14:textId="77777777" w:rsidR="00FB28D8" w:rsidRPr="00B0658A" w:rsidRDefault="00FB28D8" w:rsidP="000A4114">
            <w:pPr>
              <w:spacing w:after="0" w:line="240" w:lineRule="auto"/>
              <w:rPr>
                <w:rFonts w:ascii="Times New Roman" w:hAnsi="Times New Roman"/>
                <w:i/>
                <w:iCs/>
                <w:sz w:val="20"/>
                <w:szCs w:val="20"/>
              </w:rPr>
            </w:pPr>
          </w:p>
        </w:tc>
        <w:tc>
          <w:tcPr>
            <w:tcW w:w="1090" w:type="pct"/>
            <w:shd w:val="clear" w:color="auto" w:fill="auto"/>
          </w:tcPr>
          <w:p w14:paraId="38BBAD9C" w14:textId="77777777" w:rsidR="00FB28D8" w:rsidRPr="00B0658A" w:rsidRDefault="00FB28D8" w:rsidP="000A4114">
            <w:pPr>
              <w:spacing w:after="0" w:line="240" w:lineRule="auto"/>
              <w:rPr>
                <w:rFonts w:ascii="Times New Roman" w:hAnsi="Times New Roman"/>
                <w:i/>
                <w:iCs/>
                <w:sz w:val="20"/>
                <w:szCs w:val="20"/>
              </w:rPr>
            </w:pPr>
          </w:p>
        </w:tc>
        <w:tc>
          <w:tcPr>
            <w:tcW w:w="1036" w:type="pct"/>
            <w:shd w:val="clear" w:color="auto" w:fill="auto"/>
          </w:tcPr>
          <w:p w14:paraId="130018C2" w14:textId="77777777" w:rsidR="00FB28D8" w:rsidRPr="00B0658A" w:rsidRDefault="00FB28D8" w:rsidP="000A4114">
            <w:pPr>
              <w:spacing w:after="0" w:line="240" w:lineRule="auto"/>
              <w:rPr>
                <w:rFonts w:ascii="Times New Roman" w:hAnsi="Times New Roman"/>
                <w:i/>
                <w:iCs/>
                <w:sz w:val="20"/>
                <w:szCs w:val="20"/>
              </w:rPr>
            </w:pPr>
          </w:p>
        </w:tc>
        <w:tc>
          <w:tcPr>
            <w:tcW w:w="894" w:type="pct"/>
            <w:shd w:val="clear" w:color="auto" w:fill="auto"/>
          </w:tcPr>
          <w:p w14:paraId="05C29136" w14:textId="77777777" w:rsidR="00FB28D8" w:rsidRPr="00B0658A" w:rsidRDefault="00FB28D8" w:rsidP="000A4114">
            <w:pPr>
              <w:spacing w:after="0" w:line="240" w:lineRule="auto"/>
              <w:jc w:val="both"/>
              <w:rPr>
                <w:rFonts w:ascii="Times New Roman" w:hAnsi="Times New Roman"/>
                <w:i/>
                <w:iCs/>
                <w:sz w:val="20"/>
                <w:szCs w:val="20"/>
              </w:rPr>
            </w:pPr>
          </w:p>
        </w:tc>
      </w:tr>
      <w:tr w:rsidR="00F52FED" w:rsidRPr="00B0658A" w14:paraId="72B88CEB" w14:textId="77777777" w:rsidTr="00B10FDE">
        <w:trPr>
          <w:trHeight w:val="170"/>
        </w:trPr>
        <w:tc>
          <w:tcPr>
            <w:tcW w:w="203" w:type="pct"/>
            <w:shd w:val="clear" w:color="auto" w:fill="auto"/>
          </w:tcPr>
          <w:p w14:paraId="6442E35A" w14:textId="77777777" w:rsidR="00FB28D8" w:rsidRPr="00B0658A" w:rsidRDefault="00FB28D8" w:rsidP="000A4114">
            <w:pPr>
              <w:spacing w:after="0" w:line="240" w:lineRule="auto"/>
              <w:rPr>
                <w:rFonts w:ascii="Times New Roman" w:hAnsi="Times New Roman"/>
                <w:sz w:val="20"/>
                <w:szCs w:val="20"/>
              </w:rPr>
            </w:pPr>
            <w:r w:rsidRPr="00B0658A">
              <w:rPr>
                <w:rFonts w:ascii="Times New Roman" w:hAnsi="Times New Roman"/>
                <w:sz w:val="20"/>
                <w:szCs w:val="20"/>
              </w:rPr>
              <w:t>6.6</w:t>
            </w:r>
          </w:p>
        </w:tc>
        <w:tc>
          <w:tcPr>
            <w:tcW w:w="1153" w:type="pct"/>
            <w:shd w:val="clear" w:color="auto" w:fill="auto"/>
            <w:vAlign w:val="center"/>
          </w:tcPr>
          <w:p w14:paraId="7518D579" w14:textId="77777777" w:rsidR="00FB28D8" w:rsidRPr="00B0658A" w:rsidRDefault="00FB28D8" w:rsidP="000A4114">
            <w:pPr>
              <w:spacing w:after="0" w:line="240" w:lineRule="auto"/>
              <w:rPr>
                <w:rFonts w:ascii="Times New Roman" w:hAnsi="Times New Roman"/>
                <w:sz w:val="20"/>
                <w:szCs w:val="20"/>
              </w:rPr>
            </w:pPr>
            <w:r w:rsidRPr="00B0658A">
              <w:rPr>
                <w:rFonts w:ascii="Times New Roman" w:hAnsi="Times New Roman"/>
                <w:sz w:val="20"/>
                <w:szCs w:val="20"/>
              </w:rPr>
              <w:t>Офисные приложения/ Средства просмотра</w:t>
            </w:r>
          </w:p>
        </w:tc>
        <w:tc>
          <w:tcPr>
            <w:tcW w:w="624" w:type="pct"/>
          </w:tcPr>
          <w:p w14:paraId="54C284BB" w14:textId="77777777" w:rsidR="00FB28D8" w:rsidRPr="00B0658A" w:rsidRDefault="00FB28D8" w:rsidP="000A4114">
            <w:pPr>
              <w:spacing w:after="0" w:line="240" w:lineRule="auto"/>
              <w:rPr>
                <w:rFonts w:ascii="Times New Roman" w:hAnsi="Times New Roman"/>
                <w:i/>
                <w:iCs/>
                <w:sz w:val="20"/>
                <w:szCs w:val="20"/>
              </w:rPr>
            </w:pPr>
          </w:p>
        </w:tc>
        <w:tc>
          <w:tcPr>
            <w:tcW w:w="1090" w:type="pct"/>
            <w:shd w:val="clear" w:color="auto" w:fill="auto"/>
          </w:tcPr>
          <w:p w14:paraId="456AEADA" w14:textId="77777777" w:rsidR="00FB28D8" w:rsidRPr="00B0658A" w:rsidRDefault="00FB28D8" w:rsidP="000A4114">
            <w:pPr>
              <w:spacing w:after="0" w:line="240" w:lineRule="auto"/>
              <w:rPr>
                <w:rFonts w:ascii="Times New Roman" w:hAnsi="Times New Roman"/>
                <w:i/>
                <w:iCs/>
                <w:sz w:val="20"/>
                <w:szCs w:val="20"/>
              </w:rPr>
            </w:pPr>
          </w:p>
        </w:tc>
        <w:tc>
          <w:tcPr>
            <w:tcW w:w="1036" w:type="pct"/>
            <w:shd w:val="clear" w:color="auto" w:fill="auto"/>
          </w:tcPr>
          <w:p w14:paraId="31C07CC5" w14:textId="77777777" w:rsidR="00FB28D8" w:rsidRPr="00B0658A" w:rsidRDefault="00FB28D8" w:rsidP="000A4114">
            <w:pPr>
              <w:spacing w:after="0" w:line="240" w:lineRule="auto"/>
              <w:rPr>
                <w:rFonts w:ascii="Times New Roman" w:hAnsi="Times New Roman"/>
                <w:i/>
                <w:iCs/>
                <w:sz w:val="20"/>
                <w:szCs w:val="20"/>
              </w:rPr>
            </w:pPr>
          </w:p>
        </w:tc>
        <w:tc>
          <w:tcPr>
            <w:tcW w:w="894" w:type="pct"/>
            <w:shd w:val="clear" w:color="auto" w:fill="auto"/>
          </w:tcPr>
          <w:p w14:paraId="407F67A9" w14:textId="77777777" w:rsidR="00FB28D8" w:rsidRPr="00B0658A" w:rsidRDefault="00FB28D8" w:rsidP="000A4114">
            <w:pPr>
              <w:spacing w:after="0" w:line="240" w:lineRule="auto"/>
              <w:jc w:val="both"/>
              <w:rPr>
                <w:rFonts w:ascii="Times New Roman" w:hAnsi="Times New Roman"/>
                <w:i/>
                <w:iCs/>
                <w:sz w:val="20"/>
                <w:szCs w:val="20"/>
              </w:rPr>
            </w:pPr>
          </w:p>
        </w:tc>
      </w:tr>
      <w:tr w:rsidR="00F52FED" w:rsidRPr="00B0658A" w14:paraId="763671D8" w14:textId="77777777" w:rsidTr="00B10FDE">
        <w:trPr>
          <w:trHeight w:val="170"/>
        </w:trPr>
        <w:tc>
          <w:tcPr>
            <w:tcW w:w="203" w:type="pct"/>
            <w:shd w:val="clear" w:color="auto" w:fill="auto"/>
          </w:tcPr>
          <w:p w14:paraId="2D02FB00" w14:textId="77777777" w:rsidR="00FB28D8" w:rsidRPr="00B0658A" w:rsidRDefault="00FB28D8" w:rsidP="000A4114">
            <w:pPr>
              <w:spacing w:after="0" w:line="240" w:lineRule="auto"/>
              <w:rPr>
                <w:rFonts w:ascii="Times New Roman" w:hAnsi="Times New Roman"/>
                <w:sz w:val="20"/>
                <w:szCs w:val="20"/>
              </w:rPr>
            </w:pPr>
            <w:r w:rsidRPr="00B0658A">
              <w:rPr>
                <w:rFonts w:ascii="Times New Roman" w:hAnsi="Times New Roman"/>
                <w:sz w:val="20"/>
                <w:szCs w:val="20"/>
              </w:rPr>
              <w:t>6.7</w:t>
            </w:r>
          </w:p>
        </w:tc>
        <w:tc>
          <w:tcPr>
            <w:tcW w:w="1153" w:type="pct"/>
            <w:shd w:val="clear" w:color="auto" w:fill="auto"/>
            <w:vAlign w:val="center"/>
          </w:tcPr>
          <w:p w14:paraId="6663EA91" w14:textId="77777777" w:rsidR="00FB28D8" w:rsidRPr="00B0658A" w:rsidRDefault="00FB28D8" w:rsidP="000A4114">
            <w:pPr>
              <w:spacing w:after="0" w:line="240" w:lineRule="auto"/>
              <w:rPr>
                <w:rFonts w:ascii="Times New Roman" w:hAnsi="Times New Roman"/>
                <w:sz w:val="20"/>
                <w:szCs w:val="20"/>
              </w:rPr>
            </w:pPr>
            <w:r w:rsidRPr="00B0658A">
              <w:rPr>
                <w:rFonts w:ascii="Times New Roman" w:hAnsi="Times New Roman"/>
                <w:sz w:val="20"/>
                <w:szCs w:val="20"/>
              </w:rPr>
              <w:t>Офисные приложения/ Браузеры</w:t>
            </w:r>
          </w:p>
        </w:tc>
        <w:tc>
          <w:tcPr>
            <w:tcW w:w="624" w:type="pct"/>
          </w:tcPr>
          <w:p w14:paraId="222AA607" w14:textId="77777777" w:rsidR="00FB28D8" w:rsidRPr="00B0658A" w:rsidRDefault="00FB28D8" w:rsidP="000A4114">
            <w:pPr>
              <w:spacing w:after="0" w:line="240" w:lineRule="auto"/>
              <w:rPr>
                <w:rFonts w:ascii="Times New Roman" w:hAnsi="Times New Roman"/>
                <w:i/>
                <w:iCs/>
                <w:sz w:val="20"/>
                <w:szCs w:val="20"/>
              </w:rPr>
            </w:pPr>
          </w:p>
        </w:tc>
        <w:tc>
          <w:tcPr>
            <w:tcW w:w="1090" w:type="pct"/>
            <w:shd w:val="clear" w:color="auto" w:fill="auto"/>
          </w:tcPr>
          <w:p w14:paraId="59301CDA" w14:textId="77777777" w:rsidR="00FB28D8" w:rsidRPr="00B0658A" w:rsidRDefault="00FB28D8" w:rsidP="000A4114">
            <w:pPr>
              <w:spacing w:after="0" w:line="240" w:lineRule="auto"/>
              <w:rPr>
                <w:rFonts w:ascii="Times New Roman" w:hAnsi="Times New Roman"/>
                <w:i/>
                <w:iCs/>
                <w:sz w:val="20"/>
                <w:szCs w:val="20"/>
              </w:rPr>
            </w:pPr>
          </w:p>
        </w:tc>
        <w:tc>
          <w:tcPr>
            <w:tcW w:w="1036" w:type="pct"/>
            <w:shd w:val="clear" w:color="auto" w:fill="auto"/>
          </w:tcPr>
          <w:p w14:paraId="25CFCDE2" w14:textId="77777777" w:rsidR="00FB28D8" w:rsidRPr="00B0658A" w:rsidRDefault="00FB28D8" w:rsidP="000A4114">
            <w:pPr>
              <w:spacing w:after="0" w:line="240" w:lineRule="auto"/>
              <w:rPr>
                <w:rFonts w:ascii="Times New Roman" w:hAnsi="Times New Roman"/>
                <w:i/>
                <w:iCs/>
                <w:sz w:val="20"/>
                <w:szCs w:val="20"/>
              </w:rPr>
            </w:pPr>
          </w:p>
        </w:tc>
        <w:tc>
          <w:tcPr>
            <w:tcW w:w="894" w:type="pct"/>
            <w:shd w:val="clear" w:color="auto" w:fill="auto"/>
          </w:tcPr>
          <w:p w14:paraId="301A2627" w14:textId="77777777" w:rsidR="00FB28D8" w:rsidRPr="00B0658A" w:rsidRDefault="00FB28D8" w:rsidP="000A4114">
            <w:pPr>
              <w:spacing w:after="0" w:line="240" w:lineRule="auto"/>
              <w:jc w:val="both"/>
              <w:rPr>
                <w:rFonts w:ascii="Times New Roman" w:hAnsi="Times New Roman"/>
                <w:i/>
                <w:iCs/>
                <w:sz w:val="20"/>
                <w:szCs w:val="20"/>
              </w:rPr>
            </w:pPr>
          </w:p>
        </w:tc>
      </w:tr>
      <w:tr w:rsidR="00F52FED" w:rsidRPr="00B0658A" w14:paraId="0EBCE403" w14:textId="77777777" w:rsidTr="00B10FDE">
        <w:trPr>
          <w:trHeight w:val="170"/>
        </w:trPr>
        <w:tc>
          <w:tcPr>
            <w:tcW w:w="203" w:type="pct"/>
            <w:shd w:val="clear" w:color="auto" w:fill="auto"/>
          </w:tcPr>
          <w:p w14:paraId="21BA56D8" w14:textId="77777777" w:rsidR="00FB28D8" w:rsidRPr="00B0658A" w:rsidRDefault="00FB28D8" w:rsidP="000A4114">
            <w:pPr>
              <w:spacing w:after="0" w:line="240" w:lineRule="auto"/>
              <w:rPr>
                <w:rFonts w:ascii="Times New Roman" w:hAnsi="Times New Roman"/>
                <w:sz w:val="20"/>
                <w:szCs w:val="20"/>
              </w:rPr>
            </w:pPr>
            <w:r w:rsidRPr="00B0658A">
              <w:rPr>
                <w:rFonts w:ascii="Times New Roman" w:hAnsi="Times New Roman"/>
                <w:sz w:val="20"/>
                <w:szCs w:val="20"/>
              </w:rPr>
              <w:t>6.8</w:t>
            </w:r>
          </w:p>
        </w:tc>
        <w:tc>
          <w:tcPr>
            <w:tcW w:w="1153" w:type="pct"/>
            <w:shd w:val="clear" w:color="auto" w:fill="auto"/>
            <w:vAlign w:val="center"/>
          </w:tcPr>
          <w:p w14:paraId="04A25B30" w14:textId="77777777" w:rsidR="00FB28D8" w:rsidRPr="00B0658A" w:rsidRDefault="00FB28D8" w:rsidP="000A4114">
            <w:pPr>
              <w:spacing w:after="0" w:line="240" w:lineRule="auto"/>
              <w:rPr>
                <w:rFonts w:ascii="Times New Roman" w:hAnsi="Times New Roman"/>
                <w:sz w:val="20"/>
                <w:szCs w:val="20"/>
              </w:rPr>
            </w:pPr>
            <w:r w:rsidRPr="00B0658A">
              <w:rPr>
                <w:rFonts w:ascii="Times New Roman" w:hAnsi="Times New Roman"/>
                <w:sz w:val="20"/>
                <w:szCs w:val="20"/>
              </w:rPr>
              <w:t>Офисные приложения/ Редакторы мультимедиа</w:t>
            </w:r>
          </w:p>
        </w:tc>
        <w:tc>
          <w:tcPr>
            <w:tcW w:w="624" w:type="pct"/>
          </w:tcPr>
          <w:p w14:paraId="6390F52F" w14:textId="77777777" w:rsidR="00FB28D8" w:rsidRPr="00B0658A" w:rsidRDefault="00FB28D8" w:rsidP="000A4114">
            <w:pPr>
              <w:spacing w:after="0" w:line="240" w:lineRule="auto"/>
              <w:rPr>
                <w:rFonts w:ascii="Times New Roman" w:hAnsi="Times New Roman"/>
                <w:i/>
                <w:iCs/>
                <w:sz w:val="20"/>
                <w:szCs w:val="20"/>
              </w:rPr>
            </w:pPr>
          </w:p>
        </w:tc>
        <w:tc>
          <w:tcPr>
            <w:tcW w:w="1090" w:type="pct"/>
            <w:shd w:val="clear" w:color="auto" w:fill="auto"/>
          </w:tcPr>
          <w:p w14:paraId="4B1B077B" w14:textId="77777777" w:rsidR="00FB28D8" w:rsidRPr="00B0658A" w:rsidRDefault="00FB28D8" w:rsidP="000A4114">
            <w:pPr>
              <w:spacing w:after="0" w:line="240" w:lineRule="auto"/>
              <w:rPr>
                <w:rFonts w:ascii="Times New Roman" w:hAnsi="Times New Roman"/>
                <w:i/>
                <w:iCs/>
                <w:sz w:val="20"/>
                <w:szCs w:val="20"/>
              </w:rPr>
            </w:pPr>
          </w:p>
        </w:tc>
        <w:tc>
          <w:tcPr>
            <w:tcW w:w="1036" w:type="pct"/>
            <w:shd w:val="clear" w:color="auto" w:fill="auto"/>
          </w:tcPr>
          <w:p w14:paraId="66FAD9BD" w14:textId="77777777" w:rsidR="00FB28D8" w:rsidRPr="00B0658A" w:rsidRDefault="00FB28D8" w:rsidP="000A4114">
            <w:pPr>
              <w:spacing w:after="0" w:line="240" w:lineRule="auto"/>
              <w:rPr>
                <w:rFonts w:ascii="Times New Roman" w:hAnsi="Times New Roman"/>
                <w:i/>
                <w:iCs/>
                <w:sz w:val="20"/>
                <w:szCs w:val="20"/>
              </w:rPr>
            </w:pPr>
          </w:p>
        </w:tc>
        <w:tc>
          <w:tcPr>
            <w:tcW w:w="894" w:type="pct"/>
            <w:shd w:val="clear" w:color="auto" w:fill="auto"/>
          </w:tcPr>
          <w:p w14:paraId="4080229E" w14:textId="77777777" w:rsidR="00FB28D8" w:rsidRPr="00B0658A" w:rsidRDefault="00FB28D8" w:rsidP="000A4114">
            <w:pPr>
              <w:spacing w:after="0" w:line="240" w:lineRule="auto"/>
              <w:jc w:val="both"/>
              <w:rPr>
                <w:rFonts w:ascii="Times New Roman" w:hAnsi="Times New Roman"/>
                <w:i/>
                <w:iCs/>
                <w:sz w:val="20"/>
                <w:szCs w:val="20"/>
              </w:rPr>
            </w:pPr>
          </w:p>
        </w:tc>
      </w:tr>
      <w:tr w:rsidR="00F52FED" w:rsidRPr="00B0658A" w14:paraId="22F6274E" w14:textId="77777777" w:rsidTr="00B10FDE">
        <w:trPr>
          <w:trHeight w:val="170"/>
        </w:trPr>
        <w:tc>
          <w:tcPr>
            <w:tcW w:w="203" w:type="pct"/>
            <w:shd w:val="clear" w:color="auto" w:fill="auto"/>
          </w:tcPr>
          <w:p w14:paraId="7F840E0B" w14:textId="77777777" w:rsidR="00FB28D8" w:rsidRPr="00B0658A" w:rsidRDefault="00FB28D8" w:rsidP="000A4114">
            <w:pPr>
              <w:spacing w:after="0" w:line="240" w:lineRule="auto"/>
              <w:rPr>
                <w:rFonts w:ascii="Times New Roman" w:hAnsi="Times New Roman"/>
                <w:sz w:val="20"/>
                <w:szCs w:val="20"/>
              </w:rPr>
            </w:pPr>
            <w:r w:rsidRPr="00B0658A">
              <w:rPr>
                <w:rFonts w:ascii="Times New Roman" w:hAnsi="Times New Roman"/>
                <w:sz w:val="20"/>
                <w:szCs w:val="20"/>
              </w:rPr>
              <w:t>6.9</w:t>
            </w:r>
          </w:p>
        </w:tc>
        <w:tc>
          <w:tcPr>
            <w:tcW w:w="1153" w:type="pct"/>
            <w:shd w:val="clear" w:color="auto" w:fill="auto"/>
            <w:vAlign w:val="center"/>
          </w:tcPr>
          <w:p w14:paraId="081BBCBA" w14:textId="77777777" w:rsidR="00FB28D8" w:rsidRPr="00B0658A" w:rsidRDefault="00FB28D8" w:rsidP="000A4114">
            <w:pPr>
              <w:spacing w:after="0" w:line="240" w:lineRule="auto"/>
              <w:rPr>
                <w:rFonts w:ascii="Times New Roman" w:hAnsi="Times New Roman"/>
                <w:sz w:val="20"/>
                <w:szCs w:val="20"/>
              </w:rPr>
            </w:pPr>
            <w:r w:rsidRPr="00B0658A">
              <w:rPr>
                <w:rFonts w:ascii="Times New Roman" w:hAnsi="Times New Roman"/>
                <w:sz w:val="20"/>
                <w:szCs w:val="20"/>
              </w:rPr>
              <w:t>Офисные приложения/ Редакторы презентаций</w:t>
            </w:r>
          </w:p>
        </w:tc>
        <w:tc>
          <w:tcPr>
            <w:tcW w:w="624" w:type="pct"/>
          </w:tcPr>
          <w:p w14:paraId="2B23E172" w14:textId="77777777" w:rsidR="00FB28D8" w:rsidRPr="00B0658A" w:rsidRDefault="00FB28D8" w:rsidP="000A4114">
            <w:pPr>
              <w:spacing w:after="0" w:line="240" w:lineRule="auto"/>
              <w:rPr>
                <w:rFonts w:ascii="Times New Roman" w:hAnsi="Times New Roman"/>
                <w:i/>
                <w:iCs/>
                <w:sz w:val="20"/>
                <w:szCs w:val="20"/>
              </w:rPr>
            </w:pPr>
          </w:p>
        </w:tc>
        <w:tc>
          <w:tcPr>
            <w:tcW w:w="1090" w:type="pct"/>
            <w:shd w:val="clear" w:color="auto" w:fill="auto"/>
          </w:tcPr>
          <w:p w14:paraId="1A8C9CE5" w14:textId="77777777" w:rsidR="00FB28D8" w:rsidRPr="00B0658A" w:rsidRDefault="00FB28D8" w:rsidP="000A4114">
            <w:pPr>
              <w:spacing w:after="0" w:line="240" w:lineRule="auto"/>
              <w:rPr>
                <w:rFonts w:ascii="Times New Roman" w:hAnsi="Times New Roman"/>
                <w:i/>
                <w:iCs/>
                <w:sz w:val="20"/>
                <w:szCs w:val="20"/>
              </w:rPr>
            </w:pPr>
          </w:p>
        </w:tc>
        <w:tc>
          <w:tcPr>
            <w:tcW w:w="1036" w:type="pct"/>
            <w:shd w:val="clear" w:color="auto" w:fill="auto"/>
          </w:tcPr>
          <w:p w14:paraId="1F6BC5CD" w14:textId="77777777" w:rsidR="00FB28D8" w:rsidRPr="00B0658A" w:rsidRDefault="00FB28D8" w:rsidP="000A4114">
            <w:pPr>
              <w:spacing w:after="0" w:line="240" w:lineRule="auto"/>
              <w:rPr>
                <w:rFonts w:ascii="Times New Roman" w:hAnsi="Times New Roman"/>
                <w:i/>
                <w:iCs/>
                <w:sz w:val="20"/>
                <w:szCs w:val="20"/>
              </w:rPr>
            </w:pPr>
          </w:p>
        </w:tc>
        <w:tc>
          <w:tcPr>
            <w:tcW w:w="894" w:type="pct"/>
            <w:shd w:val="clear" w:color="auto" w:fill="auto"/>
          </w:tcPr>
          <w:p w14:paraId="048FFD54" w14:textId="77777777" w:rsidR="00FB28D8" w:rsidRPr="00B0658A" w:rsidRDefault="00FB28D8" w:rsidP="000A4114">
            <w:pPr>
              <w:spacing w:after="0" w:line="240" w:lineRule="auto"/>
              <w:jc w:val="both"/>
              <w:rPr>
                <w:rFonts w:ascii="Times New Roman" w:hAnsi="Times New Roman"/>
                <w:i/>
                <w:iCs/>
                <w:sz w:val="20"/>
                <w:szCs w:val="20"/>
              </w:rPr>
            </w:pPr>
          </w:p>
        </w:tc>
      </w:tr>
      <w:tr w:rsidR="00F52FED" w:rsidRPr="00B0658A" w14:paraId="21515E3D" w14:textId="77777777" w:rsidTr="00B10FDE">
        <w:trPr>
          <w:trHeight w:val="170"/>
        </w:trPr>
        <w:tc>
          <w:tcPr>
            <w:tcW w:w="203" w:type="pct"/>
            <w:shd w:val="clear" w:color="auto" w:fill="auto"/>
          </w:tcPr>
          <w:p w14:paraId="584EA01E" w14:textId="77777777" w:rsidR="00FB28D8" w:rsidRPr="00B0658A" w:rsidRDefault="00FB28D8" w:rsidP="000A4114">
            <w:pPr>
              <w:spacing w:after="0" w:line="240" w:lineRule="auto"/>
              <w:rPr>
                <w:rFonts w:ascii="Times New Roman" w:hAnsi="Times New Roman"/>
                <w:sz w:val="20"/>
                <w:szCs w:val="20"/>
              </w:rPr>
            </w:pPr>
            <w:r w:rsidRPr="00B0658A">
              <w:rPr>
                <w:rFonts w:ascii="Times New Roman" w:hAnsi="Times New Roman"/>
                <w:sz w:val="20"/>
                <w:szCs w:val="20"/>
              </w:rPr>
              <w:t>6.10</w:t>
            </w:r>
          </w:p>
        </w:tc>
        <w:tc>
          <w:tcPr>
            <w:tcW w:w="1153" w:type="pct"/>
            <w:shd w:val="clear" w:color="auto" w:fill="auto"/>
            <w:vAlign w:val="center"/>
          </w:tcPr>
          <w:p w14:paraId="5B61955C" w14:textId="77777777" w:rsidR="00FB28D8" w:rsidRPr="00B0658A" w:rsidRDefault="00FB28D8" w:rsidP="000A4114">
            <w:pPr>
              <w:spacing w:after="0" w:line="240" w:lineRule="auto"/>
              <w:rPr>
                <w:rFonts w:ascii="Times New Roman" w:hAnsi="Times New Roman"/>
                <w:sz w:val="20"/>
                <w:szCs w:val="20"/>
              </w:rPr>
            </w:pPr>
            <w:r w:rsidRPr="00B0658A">
              <w:rPr>
                <w:rFonts w:ascii="Times New Roman" w:hAnsi="Times New Roman"/>
                <w:sz w:val="20"/>
                <w:szCs w:val="20"/>
              </w:rPr>
              <w:t>Офисные приложения/ Табличные редакторы</w:t>
            </w:r>
          </w:p>
        </w:tc>
        <w:tc>
          <w:tcPr>
            <w:tcW w:w="624" w:type="pct"/>
          </w:tcPr>
          <w:p w14:paraId="49ABCAEE" w14:textId="77777777" w:rsidR="00FB28D8" w:rsidRPr="00B0658A" w:rsidRDefault="00FB28D8" w:rsidP="000A4114">
            <w:pPr>
              <w:spacing w:after="0" w:line="240" w:lineRule="auto"/>
              <w:rPr>
                <w:rFonts w:ascii="Times New Roman" w:hAnsi="Times New Roman"/>
                <w:i/>
                <w:iCs/>
                <w:sz w:val="20"/>
                <w:szCs w:val="20"/>
              </w:rPr>
            </w:pPr>
          </w:p>
        </w:tc>
        <w:tc>
          <w:tcPr>
            <w:tcW w:w="1090" w:type="pct"/>
            <w:shd w:val="clear" w:color="auto" w:fill="auto"/>
          </w:tcPr>
          <w:p w14:paraId="5E94E480" w14:textId="77777777" w:rsidR="00FB28D8" w:rsidRPr="00B0658A" w:rsidRDefault="00FB28D8" w:rsidP="000A4114">
            <w:pPr>
              <w:spacing w:after="0" w:line="240" w:lineRule="auto"/>
              <w:rPr>
                <w:rFonts w:ascii="Times New Roman" w:hAnsi="Times New Roman"/>
                <w:i/>
                <w:iCs/>
                <w:sz w:val="20"/>
                <w:szCs w:val="20"/>
              </w:rPr>
            </w:pPr>
          </w:p>
        </w:tc>
        <w:tc>
          <w:tcPr>
            <w:tcW w:w="1036" w:type="pct"/>
            <w:shd w:val="clear" w:color="auto" w:fill="auto"/>
          </w:tcPr>
          <w:p w14:paraId="110EECC0" w14:textId="77777777" w:rsidR="00FB28D8" w:rsidRPr="00B0658A" w:rsidRDefault="00FB28D8" w:rsidP="000A4114">
            <w:pPr>
              <w:spacing w:after="0" w:line="240" w:lineRule="auto"/>
              <w:rPr>
                <w:rFonts w:ascii="Times New Roman" w:hAnsi="Times New Roman"/>
                <w:i/>
                <w:iCs/>
                <w:sz w:val="20"/>
                <w:szCs w:val="20"/>
              </w:rPr>
            </w:pPr>
          </w:p>
        </w:tc>
        <w:tc>
          <w:tcPr>
            <w:tcW w:w="894" w:type="pct"/>
            <w:shd w:val="clear" w:color="auto" w:fill="auto"/>
          </w:tcPr>
          <w:p w14:paraId="049D4AF5" w14:textId="77777777" w:rsidR="00FB28D8" w:rsidRPr="00B0658A" w:rsidRDefault="00FB28D8" w:rsidP="000A4114">
            <w:pPr>
              <w:spacing w:after="0" w:line="240" w:lineRule="auto"/>
              <w:jc w:val="both"/>
              <w:rPr>
                <w:rFonts w:ascii="Times New Roman" w:hAnsi="Times New Roman"/>
                <w:i/>
                <w:iCs/>
                <w:sz w:val="20"/>
                <w:szCs w:val="20"/>
              </w:rPr>
            </w:pPr>
          </w:p>
        </w:tc>
      </w:tr>
      <w:tr w:rsidR="00F52FED" w:rsidRPr="00B0658A" w14:paraId="1A388AC6" w14:textId="77777777" w:rsidTr="00B10FDE">
        <w:trPr>
          <w:trHeight w:val="170"/>
        </w:trPr>
        <w:tc>
          <w:tcPr>
            <w:tcW w:w="203" w:type="pct"/>
            <w:shd w:val="clear" w:color="auto" w:fill="auto"/>
          </w:tcPr>
          <w:p w14:paraId="49991DB4" w14:textId="77777777" w:rsidR="00FB28D8" w:rsidRPr="00B0658A" w:rsidRDefault="00FB28D8" w:rsidP="000A4114">
            <w:pPr>
              <w:spacing w:after="0" w:line="240" w:lineRule="auto"/>
              <w:rPr>
                <w:rFonts w:ascii="Times New Roman" w:hAnsi="Times New Roman"/>
                <w:sz w:val="20"/>
                <w:szCs w:val="20"/>
              </w:rPr>
            </w:pPr>
            <w:r w:rsidRPr="00B0658A">
              <w:rPr>
                <w:rFonts w:ascii="Times New Roman" w:hAnsi="Times New Roman"/>
                <w:sz w:val="20"/>
                <w:szCs w:val="20"/>
              </w:rPr>
              <w:t>6.11</w:t>
            </w:r>
          </w:p>
        </w:tc>
        <w:tc>
          <w:tcPr>
            <w:tcW w:w="1153" w:type="pct"/>
            <w:shd w:val="clear" w:color="auto" w:fill="auto"/>
            <w:vAlign w:val="center"/>
          </w:tcPr>
          <w:p w14:paraId="1215708A" w14:textId="77777777" w:rsidR="00FB28D8" w:rsidRPr="00B0658A" w:rsidRDefault="00FB28D8" w:rsidP="000A4114">
            <w:pPr>
              <w:spacing w:after="0" w:line="240" w:lineRule="auto"/>
              <w:rPr>
                <w:rFonts w:ascii="Times New Roman" w:hAnsi="Times New Roman"/>
                <w:sz w:val="20"/>
                <w:szCs w:val="20"/>
              </w:rPr>
            </w:pPr>
            <w:r w:rsidRPr="00B0658A">
              <w:rPr>
                <w:rFonts w:ascii="Times New Roman" w:hAnsi="Times New Roman"/>
                <w:sz w:val="20"/>
                <w:szCs w:val="20"/>
              </w:rPr>
              <w:t>Офисные приложения/ Текстовые редакторы</w:t>
            </w:r>
          </w:p>
        </w:tc>
        <w:tc>
          <w:tcPr>
            <w:tcW w:w="624" w:type="pct"/>
          </w:tcPr>
          <w:p w14:paraId="5B8B120F" w14:textId="77777777" w:rsidR="00FB28D8" w:rsidRPr="00B0658A" w:rsidRDefault="00FB28D8" w:rsidP="000A4114">
            <w:pPr>
              <w:spacing w:after="0" w:line="240" w:lineRule="auto"/>
              <w:rPr>
                <w:rFonts w:ascii="Times New Roman" w:hAnsi="Times New Roman"/>
                <w:i/>
                <w:iCs/>
                <w:sz w:val="20"/>
                <w:szCs w:val="20"/>
              </w:rPr>
            </w:pPr>
          </w:p>
        </w:tc>
        <w:tc>
          <w:tcPr>
            <w:tcW w:w="1090" w:type="pct"/>
            <w:shd w:val="clear" w:color="auto" w:fill="auto"/>
          </w:tcPr>
          <w:p w14:paraId="01409E92" w14:textId="77777777" w:rsidR="00FB28D8" w:rsidRPr="00B0658A" w:rsidRDefault="00FB28D8" w:rsidP="000A4114">
            <w:pPr>
              <w:spacing w:after="0" w:line="240" w:lineRule="auto"/>
              <w:rPr>
                <w:rFonts w:ascii="Times New Roman" w:hAnsi="Times New Roman"/>
                <w:i/>
                <w:iCs/>
                <w:sz w:val="20"/>
                <w:szCs w:val="20"/>
              </w:rPr>
            </w:pPr>
          </w:p>
        </w:tc>
        <w:tc>
          <w:tcPr>
            <w:tcW w:w="1036" w:type="pct"/>
            <w:shd w:val="clear" w:color="auto" w:fill="auto"/>
          </w:tcPr>
          <w:p w14:paraId="271007B4" w14:textId="77777777" w:rsidR="00FB28D8" w:rsidRPr="00B0658A" w:rsidRDefault="00FB28D8" w:rsidP="000A4114">
            <w:pPr>
              <w:spacing w:after="0" w:line="240" w:lineRule="auto"/>
              <w:rPr>
                <w:rFonts w:ascii="Times New Roman" w:hAnsi="Times New Roman"/>
                <w:i/>
                <w:iCs/>
                <w:sz w:val="20"/>
                <w:szCs w:val="20"/>
              </w:rPr>
            </w:pPr>
          </w:p>
        </w:tc>
        <w:tc>
          <w:tcPr>
            <w:tcW w:w="894" w:type="pct"/>
            <w:shd w:val="clear" w:color="auto" w:fill="auto"/>
          </w:tcPr>
          <w:p w14:paraId="2D0454DE" w14:textId="77777777" w:rsidR="00FB28D8" w:rsidRPr="00B0658A" w:rsidRDefault="00FB28D8" w:rsidP="000A4114">
            <w:pPr>
              <w:spacing w:after="0" w:line="240" w:lineRule="auto"/>
              <w:jc w:val="both"/>
              <w:rPr>
                <w:rFonts w:ascii="Times New Roman" w:hAnsi="Times New Roman"/>
                <w:i/>
                <w:iCs/>
                <w:sz w:val="20"/>
                <w:szCs w:val="20"/>
              </w:rPr>
            </w:pPr>
          </w:p>
        </w:tc>
      </w:tr>
      <w:tr w:rsidR="00F52FED" w:rsidRPr="00B0658A" w14:paraId="31575A90" w14:textId="77777777" w:rsidTr="00B10FDE">
        <w:trPr>
          <w:trHeight w:val="170"/>
        </w:trPr>
        <w:tc>
          <w:tcPr>
            <w:tcW w:w="203" w:type="pct"/>
            <w:shd w:val="clear" w:color="auto" w:fill="auto"/>
          </w:tcPr>
          <w:p w14:paraId="0630A004" w14:textId="77777777" w:rsidR="00FB28D8" w:rsidRPr="00B0658A" w:rsidRDefault="00FB28D8" w:rsidP="000A4114">
            <w:pPr>
              <w:spacing w:after="0" w:line="240" w:lineRule="auto"/>
              <w:rPr>
                <w:rFonts w:ascii="Times New Roman" w:hAnsi="Times New Roman"/>
                <w:sz w:val="20"/>
                <w:szCs w:val="20"/>
              </w:rPr>
            </w:pPr>
            <w:r w:rsidRPr="00B0658A">
              <w:rPr>
                <w:rFonts w:ascii="Times New Roman" w:hAnsi="Times New Roman"/>
                <w:sz w:val="20"/>
                <w:szCs w:val="20"/>
              </w:rPr>
              <w:t>6.12</w:t>
            </w:r>
          </w:p>
        </w:tc>
        <w:tc>
          <w:tcPr>
            <w:tcW w:w="1153" w:type="pct"/>
            <w:shd w:val="clear" w:color="auto" w:fill="auto"/>
            <w:vAlign w:val="center"/>
          </w:tcPr>
          <w:p w14:paraId="12777FA0" w14:textId="77777777" w:rsidR="00FB28D8" w:rsidRPr="00B0658A" w:rsidRDefault="00FB28D8" w:rsidP="000A4114">
            <w:pPr>
              <w:spacing w:after="0" w:line="240" w:lineRule="auto"/>
              <w:rPr>
                <w:rFonts w:ascii="Times New Roman" w:hAnsi="Times New Roman"/>
                <w:sz w:val="20"/>
                <w:szCs w:val="20"/>
              </w:rPr>
            </w:pPr>
            <w:r w:rsidRPr="00B0658A">
              <w:rPr>
                <w:rFonts w:ascii="Times New Roman" w:hAnsi="Times New Roman"/>
                <w:sz w:val="20"/>
                <w:szCs w:val="20"/>
              </w:rPr>
              <w:t>Офисные приложения/ Программное обеспечение средств электронного документооборота</w:t>
            </w:r>
          </w:p>
        </w:tc>
        <w:tc>
          <w:tcPr>
            <w:tcW w:w="624" w:type="pct"/>
          </w:tcPr>
          <w:p w14:paraId="0D67E7DF" w14:textId="77777777" w:rsidR="00FB28D8" w:rsidRPr="00B0658A" w:rsidRDefault="00FB28D8" w:rsidP="000A4114">
            <w:pPr>
              <w:spacing w:after="0" w:line="240" w:lineRule="auto"/>
              <w:rPr>
                <w:rFonts w:ascii="Times New Roman" w:hAnsi="Times New Roman"/>
                <w:i/>
                <w:iCs/>
                <w:sz w:val="20"/>
                <w:szCs w:val="20"/>
              </w:rPr>
            </w:pPr>
          </w:p>
        </w:tc>
        <w:tc>
          <w:tcPr>
            <w:tcW w:w="1090" w:type="pct"/>
            <w:shd w:val="clear" w:color="auto" w:fill="auto"/>
          </w:tcPr>
          <w:p w14:paraId="6636FD76" w14:textId="77777777" w:rsidR="00FB28D8" w:rsidRPr="00B0658A" w:rsidRDefault="00FB28D8" w:rsidP="000A4114">
            <w:pPr>
              <w:spacing w:after="0" w:line="240" w:lineRule="auto"/>
              <w:rPr>
                <w:rFonts w:ascii="Times New Roman" w:hAnsi="Times New Roman"/>
                <w:i/>
                <w:iCs/>
                <w:sz w:val="20"/>
                <w:szCs w:val="20"/>
              </w:rPr>
            </w:pPr>
          </w:p>
        </w:tc>
        <w:tc>
          <w:tcPr>
            <w:tcW w:w="1036" w:type="pct"/>
            <w:shd w:val="clear" w:color="auto" w:fill="auto"/>
          </w:tcPr>
          <w:p w14:paraId="66A676D6" w14:textId="77777777" w:rsidR="00FB28D8" w:rsidRPr="00B0658A" w:rsidRDefault="00FB28D8" w:rsidP="000A4114">
            <w:pPr>
              <w:spacing w:after="0" w:line="240" w:lineRule="auto"/>
              <w:rPr>
                <w:rFonts w:ascii="Times New Roman" w:hAnsi="Times New Roman"/>
                <w:i/>
                <w:iCs/>
                <w:sz w:val="20"/>
                <w:szCs w:val="20"/>
              </w:rPr>
            </w:pPr>
          </w:p>
        </w:tc>
        <w:tc>
          <w:tcPr>
            <w:tcW w:w="894" w:type="pct"/>
            <w:shd w:val="clear" w:color="auto" w:fill="auto"/>
          </w:tcPr>
          <w:p w14:paraId="1B29E588" w14:textId="77777777" w:rsidR="00FB28D8" w:rsidRPr="00B0658A" w:rsidRDefault="00FB28D8" w:rsidP="000A4114">
            <w:pPr>
              <w:spacing w:after="0" w:line="240" w:lineRule="auto"/>
              <w:jc w:val="both"/>
              <w:rPr>
                <w:rFonts w:ascii="Times New Roman" w:hAnsi="Times New Roman"/>
                <w:i/>
                <w:iCs/>
                <w:sz w:val="20"/>
                <w:szCs w:val="20"/>
              </w:rPr>
            </w:pPr>
          </w:p>
        </w:tc>
      </w:tr>
      <w:tr w:rsidR="00F52FED" w:rsidRPr="00B0658A" w14:paraId="6E7D3D4B" w14:textId="77777777" w:rsidTr="00B10FDE">
        <w:trPr>
          <w:trHeight w:val="170"/>
        </w:trPr>
        <w:tc>
          <w:tcPr>
            <w:tcW w:w="203" w:type="pct"/>
            <w:shd w:val="clear" w:color="auto" w:fill="auto"/>
          </w:tcPr>
          <w:p w14:paraId="7F3A1D13" w14:textId="77777777" w:rsidR="00FB28D8" w:rsidRPr="00B0658A" w:rsidRDefault="00FB28D8" w:rsidP="000A4114">
            <w:pPr>
              <w:spacing w:after="0" w:line="240" w:lineRule="auto"/>
              <w:rPr>
                <w:rFonts w:ascii="Times New Roman" w:hAnsi="Times New Roman"/>
                <w:sz w:val="20"/>
                <w:szCs w:val="20"/>
              </w:rPr>
            </w:pPr>
            <w:r w:rsidRPr="00B0658A">
              <w:rPr>
                <w:rFonts w:ascii="Times New Roman" w:hAnsi="Times New Roman"/>
                <w:sz w:val="20"/>
                <w:szCs w:val="20"/>
              </w:rPr>
              <w:t>7.1</w:t>
            </w:r>
          </w:p>
        </w:tc>
        <w:tc>
          <w:tcPr>
            <w:tcW w:w="1153" w:type="pct"/>
            <w:shd w:val="clear" w:color="auto" w:fill="auto"/>
            <w:vAlign w:val="center"/>
          </w:tcPr>
          <w:p w14:paraId="737A6F24" w14:textId="77777777" w:rsidR="00FB28D8" w:rsidRPr="00B0658A" w:rsidRDefault="00FB28D8" w:rsidP="000A4114">
            <w:pPr>
              <w:spacing w:after="0" w:line="240" w:lineRule="auto"/>
              <w:rPr>
                <w:rFonts w:ascii="Times New Roman" w:hAnsi="Times New Roman"/>
                <w:sz w:val="20"/>
                <w:szCs w:val="20"/>
              </w:rPr>
            </w:pPr>
            <w:r w:rsidRPr="00B0658A">
              <w:rPr>
                <w:rFonts w:ascii="Times New Roman" w:hAnsi="Times New Roman"/>
                <w:sz w:val="20"/>
                <w:szCs w:val="20"/>
              </w:rPr>
              <w:t xml:space="preserve">Лингвистическое программное обеспечение/ Парсеры </w:t>
            </w:r>
            <w:r w:rsidRPr="00B0658A">
              <w:rPr>
                <w:rFonts w:ascii="Times New Roman" w:hAnsi="Times New Roman"/>
                <w:sz w:val="20"/>
                <w:szCs w:val="20"/>
              </w:rPr>
              <w:br/>
              <w:t>и семантические анализаторы</w:t>
            </w:r>
          </w:p>
        </w:tc>
        <w:tc>
          <w:tcPr>
            <w:tcW w:w="624" w:type="pct"/>
          </w:tcPr>
          <w:p w14:paraId="3B06A10E" w14:textId="77777777" w:rsidR="00FB28D8" w:rsidRPr="00B0658A" w:rsidRDefault="00FB28D8" w:rsidP="000A4114">
            <w:pPr>
              <w:spacing w:after="0" w:line="240" w:lineRule="auto"/>
              <w:rPr>
                <w:rFonts w:ascii="Times New Roman" w:hAnsi="Times New Roman"/>
                <w:i/>
                <w:iCs/>
                <w:sz w:val="20"/>
                <w:szCs w:val="20"/>
              </w:rPr>
            </w:pPr>
          </w:p>
        </w:tc>
        <w:tc>
          <w:tcPr>
            <w:tcW w:w="1090" w:type="pct"/>
            <w:shd w:val="clear" w:color="auto" w:fill="auto"/>
          </w:tcPr>
          <w:p w14:paraId="085D5BFF" w14:textId="77777777" w:rsidR="00FB28D8" w:rsidRPr="00B0658A" w:rsidRDefault="00FB28D8" w:rsidP="000A4114">
            <w:pPr>
              <w:spacing w:after="0" w:line="240" w:lineRule="auto"/>
              <w:rPr>
                <w:rFonts w:ascii="Times New Roman" w:hAnsi="Times New Roman"/>
                <w:i/>
                <w:iCs/>
                <w:sz w:val="20"/>
                <w:szCs w:val="20"/>
              </w:rPr>
            </w:pPr>
          </w:p>
        </w:tc>
        <w:tc>
          <w:tcPr>
            <w:tcW w:w="1036" w:type="pct"/>
            <w:shd w:val="clear" w:color="auto" w:fill="auto"/>
          </w:tcPr>
          <w:p w14:paraId="009F0B2D" w14:textId="77777777" w:rsidR="00FB28D8" w:rsidRPr="00B0658A" w:rsidRDefault="00FB28D8" w:rsidP="000A4114">
            <w:pPr>
              <w:spacing w:after="0" w:line="240" w:lineRule="auto"/>
              <w:rPr>
                <w:rFonts w:ascii="Times New Roman" w:hAnsi="Times New Roman"/>
                <w:i/>
                <w:iCs/>
                <w:sz w:val="20"/>
                <w:szCs w:val="20"/>
              </w:rPr>
            </w:pPr>
          </w:p>
        </w:tc>
        <w:tc>
          <w:tcPr>
            <w:tcW w:w="894" w:type="pct"/>
            <w:shd w:val="clear" w:color="auto" w:fill="auto"/>
          </w:tcPr>
          <w:p w14:paraId="707C6009" w14:textId="77777777" w:rsidR="00FB28D8" w:rsidRPr="00B0658A" w:rsidRDefault="00FB28D8" w:rsidP="000A4114">
            <w:pPr>
              <w:spacing w:after="0" w:line="240" w:lineRule="auto"/>
              <w:jc w:val="both"/>
              <w:rPr>
                <w:rFonts w:ascii="Times New Roman" w:hAnsi="Times New Roman"/>
                <w:i/>
                <w:iCs/>
                <w:sz w:val="20"/>
                <w:szCs w:val="20"/>
              </w:rPr>
            </w:pPr>
          </w:p>
        </w:tc>
      </w:tr>
      <w:tr w:rsidR="00F52FED" w:rsidRPr="00B0658A" w14:paraId="7373891A" w14:textId="77777777" w:rsidTr="00B10FDE">
        <w:trPr>
          <w:trHeight w:val="170"/>
        </w:trPr>
        <w:tc>
          <w:tcPr>
            <w:tcW w:w="203" w:type="pct"/>
            <w:shd w:val="clear" w:color="auto" w:fill="auto"/>
          </w:tcPr>
          <w:p w14:paraId="55A54D92" w14:textId="77777777" w:rsidR="00FB28D8" w:rsidRPr="00B0658A" w:rsidRDefault="00FB28D8" w:rsidP="000A4114">
            <w:pPr>
              <w:spacing w:after="0" w:line="240" w:lineRule="auto"/>
              <w:rPr>
                <w:rFonts w:ascii="Times New Roman" w:hAnsi="Times New Roman"/>
                <w:sz w:val="20"/>
                <w:szCs w:val="20"/>
              </w:rPr>
            </w:pPr>
            <w:r w:rsidRPr="00B0658A">
              <w:rPr>
                <w:rFonts w:ascii="Times New Roman" w:hAnsi="Times New Roman"/>
                <w:sz w:val="20"/>
                <w:szCs w:val="20"/>
              </w:rPr>
              <w:t>7.2</w:t>
            </w:r>
          </w:p>
        </w:tc>
        <w:tc>
          <w:tcPr>
            <w:tcW w:w="1153" w:type="pct"/>
            <w:shd w:val="clear" w:color="auto" w:fill="auto"/>
            <w:vAlign w:val="center"/>
          </w:tcPr>
          <w:p w14:paraId="419DC676" w14:textId="77777777" w:rsidR="00FB28D8" w:rsidRPr="00B0658A" w:rsidRDefault="00FB28D8" w:rsidP="000A4114">
            <w:pPr>
              <w:spacing w:after="0" w:line="240" w:lineRule="auto"/>
              <w:rPr>
                <w:rFonts w:ascii="Times New Roman" w:hAnsi="Times New Roman"/>
                <w:sz w:val="20"/>
                <w:szCs w:val="20"/>
              </w:rPr>
            </w:pPr>
            <w:r w:rsidRPr="00B0658A">
              <w:rPr>
                <w:rFonts w:ascii="Times New Roman" w:hAnsi="Times New Roman"/>
                <w:sz w:val="20"/>
                <w:szCs w:val="20"/>
              </w:rPr>
              <w:t>Лингвистическое программное обеспечение/ Средства речевого перевода</w:t>
            </w:r>
          </w:p>
        </w:tc>
        <w:tc>
          <w:tcPr>
            <w:tcW w:w="624" w:type="pct"/>
          </w:tcPr>
          <w:p w14:paraId="5CD37056" w14:textId="77777777" w:rsidR="00FB28D8" w:rsidRPr="00B0658A" w:rsidRDefault="00FB28D8" w:rsidP="000A4114">
            <w:pPr>
              <w:spacing w:after="0" w:line="240" w:lineRule="auto"/>
              <w:rPr>
                <w:rFonts w:ascii="Times New Roman" w:hAnsi="Times New Roman"/>
                <w:i/>
                <w:iCs/>
                <w:sz w:val="20"/>
                <w:szCs w:val="20"/>
              </w:rPr>
            </w:pPr>
          </w:p>
        </w:tc>
        <w:tc>
          <w:tcPr>
            <w:tcW w:w="1090" w:type="pct"/>
            <w:shd w:val="clear" w:color="auto" w:fill="auto"/>
          </w:tcPr>
          <w:p w14:paraId="36897A6B" w14:textId="77777777" w:rsidR="00FB28D8" w:rsidRPr="00B0658A" w:rsidRDefault="00FB28D8" w:rsidP="000A4114">
            <w:pPr>
              <w:spacing w:after="0" w:line="240" w:lineRule="auto"/>
              <w:rPr>
                <w:rFonts w:ascii="Times New Roman" w:hAnsi="Times New Roman"/>
                <w:i/>
                <w:iCs/>
                <w:sz w:val="20"/>
                <w:szCs w:val="20"/>
              </w:rPr>
            </w:pPr>
          </w:p>
        </w:tc>
        <w:tc>
          <w:tcPr>
            <w:tcW w:w="1036" w:type="pct"/>
            <w:shd w:val="clear" w:color="auto" w:fill="auto"/>
          </w:tcPr>
          <w:p w14:paraId="532A3948" w14:textId="77777777" w:rsidR="00FB28D8" w:rsidRPr="00B0658A" w:rsidRDefault="00FB28D8" w:rsidP="000A4114">
            <w:pPr>
              <w:spacing w:after="0" w:line="240" w:lineRule="auto"/>
              <w:rPr>
                <w:rFonts w:ascii="Times New Roman" w:hAnsi="Times New Roman"/>
                <w:i/>
                <w:iCs/>
                <w:sz w:val="20"/>
                <w:szCs w:val="20"/>
              </w:rPr>
            </w:pPr>
          </w:p>
        </w:tc>
        <w:tc>
          <w:tcPr>
            <w:tcW w:w="894" w:type="pct"/>
            <w:shd w:val="clear" w:color="auto" w:fill="auto"/>
          </w:tcPr>
          <w:p w14:paraId="15E453E7" w14:textId="77777777" w:rsidR="00FB28D8" w:rsidRPr="00B0658A" w:rsidRDefault="00FB28D8" w:rsidP="000A4114">
            <w:pPr>
              <w:spacing w:after="0" w:line="240" w:lineRule="auto"/>
              <w:jc w:val="both"/>
              <w:rPr>
                <w:rFonts w:ascii="Times New Roman" w:hAnsi="Times New Roman"/>
                <w:i/>
                <w:iCs/>
                <w:sz w:val="20"/>
                <w:szCs w:val="20"/>
              </w:rPr>
            </w:pPr>
          </w:p>
        </w:tc>
      </w:tr>
      <w:tr w:rsidR="00F52FED" w:rsidRPr="00B0658A" w14:paraId="7F1E1D72" w14:textId="77777777" w:rsidTr="00B10FDE">
        <w:trPr>
          <w:trHeight w:val="170"/>
        </w:trPr>
        <w:tc>
          <w:tcPr>
            <w:tcW w:w="203" w:type="pct"/>
            <w:shd w:val="clear" w:color="auto" w:fill="auto"/>
          </w:tcPr>
          <w:p w14:paraId="325F8F86" w14:textId="77777777" w:rsidR="00FB28D8" w:rsidRPr="00B0658A" w:rsidRDefault="00FB28D8" w:rsidP="000A4114">
            <w:pPr>
              <w:spacing w:after="0" w:line="240" w:lineRule="auto"/>
              <w:rPr>
                <w:rFonts w:ascii="Times New Roman" w:hAnsi="Times New Roman"/>
                <w:sz w:val="20"/>
                <w:szCs w:val="20"/>
              </w:rPr>
            </w:pPr>
            <w:r w:rsidRPr="00B0658A">
              <w:rPr>
                <w:rFonts w:ascii="Times New Roman" w:hAnsi="Times New Roman"/>
                <w:sz w:val="20"/>
                <w:szCs w:val="20"/>
              </w:rPr>
              <w:t>7.3</w:t>
            </w:r>
          </w:p>
        </w:tc>
        <w:tc>
          <w:tcPr>
            <w:tcW w:w="1153" w:type="pct"/>
            <w:shd w:val="clear" w:color="auto" w:fill="auto"/>
            <w:vAlign w:val="center"/>
          </w:tcPr>
          <w:p w14:paraId="1711E2DF" w14:textId="77777777" w:rsidR="00FB28D8" w:rsidRPr="00B0658A" w:rsidRDefault="00FB28D8" w:rsidP="000A4114">
            <w:pPr>
              <w:spacing w:after="0" w:line="240" w:lineRule="auto"/>
              <w:rPr>
                <w:rFonts w:ascii="Times New Roman" w:hAnsi="Times New Roman"/>
                <w:sz w:val="20"/>
                <w:szCs w:val="20"/>
              </w:rPr>
            </w:pPr>
            <w:r w:rsidRPr="00B0658A">
              <w:rPr>
                <w:rFonts w:ascii="Times New Roman" w:hAnsi="Times New Roman"/>
                <w:sz w:val="20"/>
                <w:szCs w:val="20"/>
              </w:rPr>
              <w:t>Лингвистическое программное обеспечение/ Средства распознавания символов</w:t>
            </w:r>
          </w:p>
        </w:tc>
        <w:tc>
          <w:tcPr>
            <w:tcW w:w="624" w:type="pct"/>
          </w:tcPr>
          <w:p w14:paraId="24393AAA" w14:textId="77777777" w:rsidR="00FB28D8" w:rsidRPr="00B0658A" w:rsidRDefault="00FB28D8" w:rsidP="000A4114">
            <w:pPr>
              <w:spacing w:after="0" w:line="240" w:lineRule="auto"/>
              <w:rPr>
                <w:rFonts w:ascii="Times New Roman" w:hAnsi="Times New Roman"/>
                <w:i/>
                <w:iCs/>
                <w:sz w:val="20"/>
                <w:szCs w:val="20"/>
              </w:rPr>
            </w:pPr>
          </w:p>
        </w:tc>
        <w:tc>
          <w:tcPr>
            <w:tcW w:w="1090" w:type="pct"/>
            <w:shd w:val="clear" w:color="auto" w:fill="auto"/>
          </w:tcPr>
          <w:p w14:paraId="428C4155" w14:textId="77777777" w:rsidR="00FB28D8" w:rsidRPr="00B0658A" w:rsidRDefault="00FB28D8" w:rsidP="000A4114">
            <w:pPr>
              <w:spacing w:after="0" w:line="240" w:lineRule="auto"/>
              <w:rPr>
                <w:rFonts w:ascii="Times New Roman" w:hAnsi="Times New Roman"/>
                <w:i/>
                <w:iCs/>
                <w:sz w:val="20"/>
                <w:szCs w:val="20"/>
              </w:rPr>
            </w:pPr>
          </w:p>
        </w:tc>
        <w:tc>
          <w:tcPr>
            <w:tcW w:w="1036" w:type="pct"/>
            <w:shd w:val="clear" w:color="auto" w:fill="auto"/>
          </w:tcPr>
          <w:p w14:paraId="19B32EDA" w14:textId="77777777" w:rsidR="00FB28D8" w:rsidRPr="00B0658A" w:rsidRDefault="00FB28D8" w:rsidP="000A4114">
            <w:pPr>
              <w:spacing w:after="0" w:line="240" w:lineRule="auto"/>
              <w:rPr>
                <w:rFonts w:ascii="Times New Roman" w:hAnsi="Times New Roman"/>
                <w:i/>
                <w:iCs/>
                <w:sz w:val="20"/>
                <w:szCs w:val="20"/>
              </w:rPr>
            </w:pPr>
          </w:p>
        </w:tc>
        <w:tc>
          <w:tcPr>
            <w:tcW w:w="894" w:type="pct"/>
            <w:shd w:val="clear" w:color="auto" w:fill="auto"/>
          </w:tcPr>
          <w:p w14:paraId="0A1913ED" w14:textId="77777777" w:rsidR="00FB28D8" w:rsidRPr="00B0658A" w:rsidRDefault="00FB28D8" w:rsidP="000A4114">
            <w:pPr>
              <w:spacing w:after="0" w:line="240" w:lineRule="auto"/>
              <w:jc w:val="both"/>
              <w:rPr>
                <w:rFonts w:ascii="Times New Roman" w:hAnsi="Times New Roman"/>
                <w:i/>
                <w:iCs/>
                <w:sz w:val="20"/>
                <w:szCs w:val="20"/>
              </w:rPr>
            </w:pPr>
          </w:p>
        </w:tc>
      </w:tr>
      <w:tr w:rsidR="00F52FED" w:rsidRPr="00B0658A" w14:paraId="49D32D86" w14:textId="77777777" w:rsidTr="00B10FDE">
        <w:trPr>
          <w:trHeight w:val="170"/>
        </w:trPr>
        <w:tc>
          <w:tcPr>
            <w:tcW w:w="203" w:type="pct"/>
            <w:shd w:val="clear" w:color="auto" w:fill="auto"/>
          </w:tcPr>
          <w:p w14:paraId="415CA104" w14:textId="77777777" w:rsidR="00FB28D8" w:rsidRPr="00B0658A" w:rsidRDefault="00FB28D8" w:rsidP="000A4114">
            <w:pPr>
              <w:spacing w:after="0" w:line="240" w:lineRule="auto"/>
              <w:rPr>
                <w:rFonts w:ascii="Times New Roman" w:hAnsi="Times New Roman"/>
                <w:sz w:val="20"/>
                <w:szCs w:val="20"/>
              </w:rPr>
            </w:pPr>
            <w:r w:rsidRPr="00B0658A">
              <w:rPr>
                <w:rFonts w:ascii="Times New Roman" w:hAnsi="Times New Roman"/>
                <w:sz w:val="20"/>
                <w:szCs w:val="20"/>
              </w:rPr>
              <w:t>7.4</w:t>
            </w:r>
          </w:p>
        </w:tc>
        <w:tc>
          <w:tcPr>
            <w:tcW w:w="1153" w:type="pct"/>
            <w:shd w:val="clear" w:color="auto" w:fill="auto"/>
            <w:vAlign w:val="center"/>
          </w:tcPr>
          <w:p w14:paraId="1999E102" w14:textId="77777777" w:rsidR="00FB28D8" w:rsidRPr="00B0658A" w:rsidRDefault="00FB28D8" w:rsidP="000A4114">
            <w:pPr>
              <w:spacing w:after="0" w:line="240" w:lineRule="auto"/>
              <w:rPr>
                <w:rFonts w:ascii="Times New Roman" w:hAnsi="Times New Roman"/>
                <w:sz w:val="20"/>
                <w:szCs w:val="20"/>
              </w:rPr>
            </w:pPr>
            <w:r w:rsidRPr="00B0658A">
              <w:rPr>
                <w:rFonts w:ascii="Times New Roman" w:hAnsi="Times New Roman"/>
                <w:sz w:val="20"/>
                <w:szCs w:val="20"/>
              </w:rPr>
              <w:t>Лингвистическое программное обеспечение/ Средства распознавания и синтеза речи</w:t>
            </w:r>
          </w:p>
        </w:tc>
        <w:tc>
          <w:tcPr>
            <w:tcW w:w="624" w:type="pct"/>
          </w:tcPr>
          <w:p w14:paraId="3F59D94D" w14:textId="77777777" w:rsidR="00FB28D8" w:rsidRPr="00B0658A" w:rsidRDefault="00FB28D8" w:rsidP="000A4114">
            <w:pPr>
              <w:spacing w:after="0" w:line="240" w:lineRule="auto"/>
              <w:rPr>
                <w:rFonts w:ascii="Times New Roman" w:hAnsi="Times New Roman"/>
                <w:i/>
                <w:iCs/>
                <w:sz w:val="20"/>
                <w:szCs w:val="20"/>
              </w:rPr>
            </w:pPr>
          </w:p>
        </w:tc>
        <w:tc>
          <w:tcPr>
            <w:tcW w:w="1090" w:type="pct"/>
            <w:shd w:val="clear" w:color="auto" w:fill="auto"/>
          </w:tcPr>
          <w:p w14:paraId="74F23510" w14:textId="77777777" w:rsidR="00FB28D8" w:rsidRPr="00B0658A" w:rsidRDefault="00FB28D8" w:rsidP="000A4114">
            <w:pPr>
              <w:spacing w:after="0" w:line="240" w:lineRule="auto"/>
              <w:rPr>
                <w:rFonts w:ascii="Times New Roman" w:hAnsi="Times New Roman"/>
                <w:i/>
                <w:iCs/>
                <w:sz w:val="20"/>
                <w:szCs w:val="20"/>
              </w:rPr>
            </w:pPr>
          </w:p>
        </w:tc>
        <w:tc>
          <w:tcPr>
            <w:tcW w:w="1036" w:type="pct"/>
            <w:shd w:val="clear" w:color="auto" w:fill="auto"/>
          </w:tcPr>
          <w:p w14:paraId="0AEA9BB4" w14:textId="77777777" w:rsidR="00FB28D8" w:rsidRPr="00B0658A" w:rsidRDefault="00FB28D8" w:rsidP="000A4114">
            <w:pPr>
              <w:spacing w:after="0" w:line="240" w:lineRule="auto"/>
              <w:rPr>
                <w:rFonts w:ascii="Times New Roman" w:hAnsi="Times New Roman"/>
                <w:i/>
                <w:iCs/>
                <w:sz w:val="20"/>
                <w:szCs w:val="20"/>
              </w:rPr>
            </w:pPr>
          </w:p>
        </w:tc>
        <w:tc>
          <w:tcPr>
            <w:tcW w:w="894" w:type="pct"/>
            <w:shd w:val="clear" w:color="auto" w:fill="auto"/>
          </w:tcPr>
          <w:p w14:paraId="656409A7" w14:textId="77777777" w:rsidR="00FB28D8" w:rsidRPr="00B0658A" w:rsidRDefault="00FB28D8" w:rsidP="000A4114">
            <w:pPr>
              <w:spacing w:after="0" w:line="240" w:lineRule="auto"/>
              <w:jc w:val="both"/>
              <w:rPr>
                <w:rFonts w:ascii="Times New Roman" w:hAnsi="Times New Roman"/>
                <w:i/>
                <w:iCs/>
                <w:sz w:val="20"/>
                <w:szCs w:val="20"/>
              </w:rPr>
            </w:pPr>
          </w:p>
        </w:tc>
      </w:tr>
      <w:tr w:rsidR="00F52FED" w:rsidRPr="00B0658A" w14:paraId="0362A5D9" w14:textId="77777777" w:rsidTr="00B10FDE">
        <w:trPr>
          <w:trHeight w:val="170"/>
        </w:trPr>
        <w:tc>
          <w:tcPr>
            <w:tcW w:w="203" w:type="pct"/>
            <w:shd w:val="clear" w:color="auto" w:fill="auto"/>
          </w:tcPr>
          <w:p w14:paraId="4586500F" w14:textId="77777777" w:rsidR="00FB28D8" w:rsidRPr="00B0658A" w:rsidRDefault="00FB28D8" w:rsidP="000A4114">
            <w:pPr>
              <w:spacing w:after="0" w:line="240" w:lineRule="auto"/>
              <w:rPr>
                <w:rFonts w:ascii="Times New Roman" w:hAnsi="Times New Roman"/>
                <w:sz w:val="20"/>
                <w:szCs w:val="20"/>
              </w:rPr>
            </w:pPr>
            <w:r w:rsidRPr="00B0658A">
              <w:rPr>
                <w:rFonts w:ascii="Times New Roman" w:hAnsi="Times New Roman"/>
                <w:sz w:val="20"/>
                <w:szCs w:val="20"/>
              </w:rPr>
              <w:t>7.5</w:t>
            </w:r>
          </w:p>
        </w:tc>
        <w:tc>
          <w:tcPr>
            <w:tcW w:w="1153" w:type="pct"/>
            <w:shd w:val="clear" w:color="auto" w:fill="auto"/>
            <w:vAlign w:val="center"/>
          </w:tcPr>
          <w:p w14:paraId="4CBA3C3F" w14:textId="77777777" w:rsidR="00FB28D8" w:rsidRPr="00B0658A" w:rsidRDefault="00FB28D8" w:rsidP="000A4114">
            <w:pPr>
              <w:spacing w:after="0" w:line="240" w:lineRule="auto"/>
              <w:rPr>
                <w:rFonts w:ascii="Times New Roman" w:hAnsi="Times New Roman"/>
                <w:sz w:val="20"/>
                <w:szCs w:val="20"/>
              </w:rPr>
            </w:pPr>
            <w:r w:rsidRPr="00B0658A">
              <w:rPr>
                <w:rFonts w:ascii="Times New Roman" w:hAnsi="Times New Roman"/>
                <w:sz w:val="20"/>
                <w:szCs w:val="20"/>
              </w:rPr>
              <w:t>Лингвистическое программное обеспечение/ Средства автоматизированного перевода</w:t>
            </w:r>
          </w:p>
        </w:tc>
        <w:tc>
          <w:tcPr>
            <w:tcW w:w="624" w:type="pct"/>
          </w:tcPr>
          <w:p w14:paraId="1FA60CD6" w14:textId="77777777" w:rsidR="00FB28D8" w:rsidRPr="00B0658A" w:rsidRDefault="00FB28D8" w:rsidP="000A4114">
            <w:pPr>
              <w:spacing w:after="0" w:line="240" w:lineRule="auto"/>
              <w:rPr>
                <w:rFonts w:ascii="Times New Roman" w:hAnsi="Times New Roman"/>
                <w:i/>
                <w:iCs/>
                <w:sz w:val="20"/>
                <w:szCs w:val="20"/>
              </w:rPr>
            </w:pPr>
          </w:p>
        </w:tc>
        <w:tc>
          <w:tcPr>
            <w:tcW w:w="1090" w:type="pct"/>
            <w:shd w:val="clear" w:color="auto" w:fill="auto"/>
          </w:tcPr>
          <w:p w14:paraId="40474050" w14:textId="77777777" w:rsidR="00FB28D8" w:rsidRPr="00B0658A" w:rsidRDefault="00FB28D8" w:rsidP="000A4114">
            <w:pPr>
              <w:spacing w:after="0" w:line="240" w:lineRule="auto"/>
              <w:rPr>
                <w:rFonts w:ascii="Times New Roman" w:hAnsi="Times New Roman"/>
                <w:i/>
                <w:iCs/>
                <w:sz w:val="20"/>
                <w:szCs w:val="20"/>
              </w:rPr>
            </w:pPr>
          </w:p>
        </w:tc>
        <w:tc>
          <w:tcPr>
            <w:tcW w:w="1036" w:type="pct"/>
            <w:shd w:val="clear" w:color="auto" w:fill="auto"/>
          </w:tcPr>
          <w:p w14:paraId="087B1D59" w14:textId="77777777" w:rsidR="00FB28D8" w:rsidRPr="00B0658A" w:rsidRDefault="00FB28D8" w:rsidP="000A4114">
            <w:pPr>
              <w:spacing w:after="0" w:line="240" w:lineRule="auto"/>
              <w:rPr>
                <w:rFonts w:ascii="Times New Roman" w:hAnsi="Times New Roman"/>
                <w:i/>
                <w:iCs/>
                <w:sz w:val="20"/>
                <w:szCs w:val="20"/>
              </w:rPr>
            </w:pPr>
          </w:p>
        </w:tc>
        <w:tc>
          <w:tcPr>
            <w:tcW w:w="894" w:type="pct"/>
            <w:shd w:val="clear" w:color="auto" w:fill="auto"/>
          </w:tcPr>
          <w:p w14:paraId="7621A277" w14:textId="77777777" w:rsidR="00FB28D8" w:rsidRPr="00B0658A" w:rsidRDefault="00FB28D8" w:rsidP="000A4114">
            <w:pPr>
              <w:spacing w:after="0" w:line="240" w:lineRule="auto"/>
              <w:jc w:val="both"/>
              <w:rPr>
                <w:rFonts w:ascii="Times New Roman" w:hAnsi="Times New Roman"/>
                <w:i/>
                <w:iCs/>
                <w:sz w:val="20"/>
                <w:szCs w:val="20"/>
              </w:rPr>
            </w:pPr>
          </w:p>
        </w:tc>
      </w:tr>
      <w:tr w:rsidR="00F52FED" w:rsidRPr="00B0658A" w14:paraId="142BCB40" w14:textId="77777777" w:rsidTr="00B10FDE">
        <w:trPr>
          <w:trHeight w:val="170"/>
        </w:trPr>
        <w:tc>
          <w:tcPr>
            <w:tcW w:w="203" w:type="pct"/>
            <w:shd w:val="clear" w:color="auto" w:fill="auto"/>
          </w:tcPr>
          <w:p w14:paraId="7A81179F" w14:textId="77777777" w:rsidR="00FB28D8" w:rsidRPr="00B0658A" w:rsidRDefault="00FB28D8" w:rsidP="000A4114">
            <w:pPr>
              <w:spacing w:after="0" w:line="240" w:lineRule="auto"/>
              <w:rPr>
                <w:rFonts w:ascii="Times New Roman" w:hAnsi="Times New Roman"/>
                <w:sz w:val="20"/>
                <w:szCs w:val="20"/>
              </w:rPr>
            </w:pPr>
            <w:r w:rsidRPr="00B0658A">
              <w:rPr>
                <w:rFonts w:ascii="Times New Roman" w:hAnsi="Times New Roman"/>
                <w:sz w:val="20"/>
                <w:szCs w:val="20"/>
              </w:rPr>
              <w:t>7.6</w:t>
            </w:r>
          </w:p>
        </w:tc>
        <w:tc>
          <w:tcPr>
            <w:tcW w:w="1153" w:type="pct"/>
            <w:shd w:val="clear" w:color="auto" w:fill="auto"/>
            <w:vAlign w:val="center"/>
          </w:tcPr>
          <w:p w14:paraId="45742BE4" w14:textId="77777777" w:rsidR="00FB28D8" w:rsidRPr="00B0658A" w:rsidRDefault="00FB28D8" w:rsidP="000A4114">
            <w:pPr>
              <w:spacing w:after="0" w:line="240" w:lineRule="auto"/>
              <w:rPr>
                <w:rFonts w:ascii="Times New Roman" w:hAnsi="Times New Roman"/>
                <w:sz w:val="20"/>
                <w:szCs w:val="20"/>
              </w:rPr>
            </w:pPr>
            <w:r w:rsidRPr="00B0658A">
              <w:rPr>
                <w:rFonts w:ascii="Times New Roman" w:hAnsi="Times New Roman"/>
                <w:sz w:val="20"/>
                <w:szCs w:val="20"/>
              </w:rPr>
              <w:t>Лингвистическое программное обеспечение/ Электронные словари</w:t>
            </w:r>
          </w:p>
        </w:tc>
        <w:tc>
          <w:tcPr>
            <w:tcW w:w="624" w:type="pct"/>
          </w:tcPr>
          <w:p w14:paraId="14C4B0DC" w14:textId="77777777" w:rsidR="00FB28D8" w:rsidRPr="00B0658A" w:rsidRDefault="00FB28D8" w:rsidP="000A4114">
            <w:pPr>
              <w:spacing w:after="0" w:line="240" w:lineRule="auto"/>
              <w:rPr>
                <w:rFonts w:ascii="Times New Roman" w:hAnsi="Times New Roman"/>
                <w:i/>
                <w:iCs/>
                <w:sz w:val="20"/>
                <w:szCs w:val="20"/>
              </w:rPr>
            </w:pPr>
          </w:p>
        </w:tc>
        <w:tc>
          <w:tcPr>
            <w:tcW w:w="1090" w:type="pct"/>
            <w:shd w:val="clear" w:color="auto" w:fill="auto"/>
          </w:tcPr>
          <w:p w14:paraId="58C19208" w14:textId="77777777" w:rsidR="00FB28D8" w:rsidRPr="00B0658A" w:rsidRDefault="00FB28D8" w:rsidP="000A4114">
            <w:pPr>
              <w:spacing w:after="0" w:line="240" w:lineRule="auto"/>
              <w:rPr>
                <w:rFonts w:ascii="Times New Roman" w:hAnsi="Times New Roman"/>
                <w:i/>
                <w:iCs/>
                <w:sz w:val="20"/>
                <w:szCs w:val="20"/>
              </w:rPr>
            </w:pPr>
          </w:p>
        </w:tc>
        <w:tc>
          <w:tcPr>
            <w:tcW w:w="1036" w:type="pct"/>
            <w:shd w:val="clear" w:color="auto" w:fill="auto"/>
          </w:tcPr>
          <w:p w14:paraId="150C19E5" w14:textId="77777777" w:rsidR="00FB28D8" w:rsidRPr="00B0658A" w:rsidRDefault="00FB28D8" w:rsidP="000A4114">
            <w:pPr>
              <w:spacing w:after="0" w:line="240" w:lineRule="auto"/>
              <w:rPr>
                <w:rFonts w:ascii="Times New Roman" w:hAnsi="Times New Roman"/>
                <w:i/>
                <w:iCs/>
                <w:sz w:val="20"/>
                <w:szCs w:val="20"/>
              </w:rPr>
            </w:pPr>
          </w:p>
        </w:tc>
        <w:tc>
          <w:tcPr>
            <w:tcW w:w="894" w:type="pct"/>
            <w:shd w:val="clear" w:color="auto" w:fill="auto"/>
          </w:tcPr>
          <w:p w14:paraId="0C4A29A1" w14:textId="77777777" w:rsidR="00FB28D8" w:rsidRPr="00B0658A" w:rsidRDefault="00FB28D8" w:rsidP="000A4114">
            <w:pPr>
              <w:spacing w:after="0" w:line="240" w:lineRule="auto"/>
              <w:jc w:val="both"/>
              <w:rPr>
                <w:rFonts w:ascii="Times New Roman" w:hAnsi="Times New Roman"/>
                <w:i/>
                <w:iCs/>
                <w:sz w:val="20"/>
                <w:szCs w:val="20"/>
              </w:rPr>
            </w:pPr>
          </w:p>
        </w:tc>
      </w:tr>
      <w:tr w:rsidR="00F52FED" w:rsidRPr="00B0658A" w14:paraId="1BAC3B47" w14:textId="77777777" w:rsidTr="00B10FDE">
        <w:trPr>
          <w:trHeight w:val="170"/>
        </w:trPr>
        <w:tc>
          <w:tcPr>
            <w:tcW w:w="203" w:type="pct"/>
            <w:shd w:val="clear" w:color="auto" w:fill="auto"/>
          </w:tcPr>
          <w:p w14:paraId="6F210DD8" w14:textId="77777777" w:rsidR="00FB28D8" w:rsidRPr="00B0658A" w:rsidRDefault="00FB28D8" w:rsidP="000A4114">
            <w:pPr>
              <w:spacing w:after="0" w:line="240" w:lineRule="auto"/>
              <w:rPr>
                <w:rFonts w:ascii="Times New Roman" w:hAnsi="Times New Roman"/>
                <w:sz w:val="20"/>
                <w:szCs w:val="20"/>
              </w:rPr>
            </w:pPr>
            <w:r w:rsidRPr="00B0658A">
              <w:rPr>
                <w:rFonts w:ascii="Times New Roman" w:hAnsi="Times New Roman"/>
                <w:sz w:val="20"/>
                <w:szCs w:val="20"/>
              </w:rPr>
              <w:t>7.7</w:t>
            </w:r>
          </w:p>
        </w:tc>
        <w:tc>
          <w:tcPr>
            <w:tcW w:w="1153" w:type="pct"/>
            <w:shd w:val="clear" w:color="auto" w:fill="auto"/>
            <w:vAlign w:val="center"/>
          </w:tcPr>
          <w:p w14:paraId="621D0F21" w14:textId="77777777" w:rsidR="00FB28D8" w:rsidRPr="00B0658A" w:rsidRDefault="00FB28D8" w:rsidP="000A4114">
            <w:pPr>
              <w:spacing w:after="0" w:line="240" w:lineRule="auto"/>
              <w:rPr>
                <w:rFonts w:ascii="Times New Roman" w:hAnsi="Times New Roman"/>
                <w:sz w:val="20"/>
                <w:szCs w:val="20"/>
              </w:rPr>
            </w:pPr>
            <w:r w:rsidRPr="00B0658A">
              <w:rPr>
                <w:rFonts w:ascii="Times New Roman" w:hAnsi="Times New Roman"/>
                <w:sz w:val="20"/>
                <w:szCs w:val="20"/>
              </w:rPr>
              <w:t>Лингвистическое программное обеспечение/ Средства проверки правописания</w:t>
            </w:r>
          </w:p>
        </w:tc>
        <w:tc>
          <w:tcPr>
            <w:tcW w:w="624" w:type="pct"/>
          </w:tcPr>
          <w:p w14:paraId="0FDA41FA" w14:textId="77777777" w:rsidR="00FB28D8" w:rsidRPr="00B0658A" w:rsidRDefault="00FB28D8" w:rsidP="000A4114">
            <w:pPr>
              <w:spacing w:after="0" w:line="240" w:lineRule="auto"/>
              <w:rPr>
                <w:rFonts w:ascii="Times New Roman" w:hAnsi="Times New Roman"/>
                <w:i/>
                <w:iCs/>
                <w:sz w:val="20"/>
                <w:szCs w:val="20"/>
              </w:rPr>
            </w:pPr>
          </w:p>
        </w:tc>
        <w:tc>
          <w:tcPr>
            <w:tcW w:w="1090" w:type="pct"/>
            <w:shd w:val="clear" w:color="auto" w:fill="auto"/>
          </w:tcPr>
          <w:p w14:paraId="4321D742" w14:textId="77777777" w:rsidR="00FB28D8" w:rsidRPr="00B0658A" w:rsidRDefault="00FB28D8" w:rsidP="000A4114">
            <w:pPr>
              <w:spacing w:after="0" w:line="240" w:lineRule="auto"/>
              <w:rPr>
                <w:rFonts w:ascii="Times New Roman" w:hAnsi="Times New Roman"/>
                <w:i/>
                <w:iCs/>
                <w:sz w:val="20"/>
                <w:szCs w:val="20"/>
              </w:rPr>
            </w:pPr>
          </w:p>
        </w:tc>
        <w:tc>
          <w:tcPr>
            <w:tcW w:w="1036" w:type="pct"/>
            <w:shd w:val="clear" w:color="auto" w:fill="auto"/>
          </w:tcPr>
          <w:p w14:paraId="044BC4BD" w14:textId="77777777" w:rsidR="00FB28D8" w:rsidRPr="00B0658A" w:rsidRDefault="00FB28D8" w:rsidP="000A4114">
            <w:pPr>
              <w:spacing w:after="0" w:line="240" w:lineRule="auto"/>
              <w:rPr>
                <w:rFonts w:ascii="Times New Roman" w:hAnsi="Times New Roman"/>
                <w:i/>
                <w:iCs/>
                <w:sz w:val="20"/>
                <w:szCs w:val="20"/>
              </w:rPr>
            </w:pPr>
          </w:p>
        </w:tc>
        <w:tc>
          <w:tcPr>
            <w:tcW w:w="894" w:type="pct"/>
            <w:shd w:val="clear" w:color="auto" w:fill="auto"/>
          </w:tcPr>
          <w:p w14:paraId="69C73E41" w14:textId="77777777" w:rsidR="00FB28D8" w:rsidRPr="00B0658A" w:rsidRDefault="00FB28D8" w:rsidP="000A4114">
            <w:pPr>
              <w:spacing w:after="0" w:line="240" w:lineRule="auto"/>
              <w:jc w:val="both"/>
              <w:rPr>
                <w:rFonts w:ascii="Times New Roman" w:hAnsi="Times New Roman"/>
                <w:i/>
                <w:iCs/>
                <w:sz w:val="20"/>
                <w:szCs w:val="20"/>
              </w:rPr>
            </w:pPr>
          </w:p>
        </w:tc>
      </w:tr>
      <w:tr w:rsidR="00F52FED" w:rsidRPr="00B0658A" w14:paraId="3C843B51" w14:textId="77777777" w:rsidTr="00B10FDE">
        <w:trPr>
          <w:trHeight w:val="170"/>
        </w:trPr>
        <w:tc>
          <w:tcPr>
            <w:tcW w:w="203" w:type="pct"/>
            <w:shd w:val="clear" w:color="auto" w:fill="auto"/>
          </w:tcPr>
          <w:p w14:paraId="396AC957" w14:textId="77777777" w:rsidR="00FB28D8" w:rsidRPr="00B0658A" w:rsidRDefault="00FB28D8" w:rsidP="000A4114">
            <w:pPr>
              <w:spacing w:after="0" w:line="240" w:lineRule="auto"/>
              <w:rPr>
                <w:rFonts w:ascii="Times New Roman" w:hAnsi="Times New Roman"/>
                <w:sz w:val="20"/>
                <w:szCs w:val="20"/>
              </w:rPr>
            </w:pPr>
            <w:r w:rsidRPr="00B0658A">
              <w:rPr>
                <w:rFonts w:ascii="Times New Roman" w:hAnsi="Times New Roman"/>
                <w:sz w:val="20"/>
                <w:szCs w:val="20"/>
              </w:rPr>
              <w:t>8.1</w:t>
            </w:r>
          </w:p>
        </w:tc>
        <w:tc>
          <w:tcPr>
            <w:tcW w:w="1153" w:type="pct"/>
            <w:shd w:val="clear" w:color="auto" w:fill="auto"/>
            <w:vAlign w:val="center"/>
          </w:tcPr>
          <w:p w14:paraId="50BAF16F" w14:textId="77777777" w:rsidR="00FB28D8" w:rsidRPr="00B0658A" w:rsidRDefault="00FB28D8" w:rsidP="000A4114">
            <w:pPr>
              <w:spacing w:after="0" w:line="240" w:lineRule="auto"/>
              <w:rPr>
                <w:rFonts w:ascii="Times New Roman" w:hAnsi="Times New Roman"/>
                <w:sz w:val="20"/>
                <w:szCs w:val="20"/>
              </w:rPr>
            </w:pPr>
            <w:r w:rsidRPr="00B0658A">
              <w:rPr>
                <w:rFonts w:ascii="Times New Roman" w:hAnsi="Times New Roman"/>
                <w:sz w:val="20"/>
                <w:szCs w:val="20"/>
              </w:rPr>
              <w:t xml:space="preserve">Промышленное программное обеспечение/ Средства управления жизненным циклом изделия (PLM) </w:t>
            </w:r>
          </w:p>
        </w:tc>
        <w:tc>
          <w:tcPr>
            <w:tcW w:w="624" w:type="pct"/>
          </w:tcPr>
          <w:p w14:paraId="2ECD1F91" w14:textId="77777777" w:rsidR="00FB28D8" w:rsidRPr="00B0658A" w:rsidRDefault="00FB28D8" w:rsidP="000A4114">
            <w:pPr>
              <w:spacing w:after="0" w:line="240" w:lineRule="auto"/>
              <w:rPr>
                <w:rFonts w:ascii="Times New Roman" w:hAnsi="Times New Roman"/>
                <w:i/>
                <w:iCs/>
                <w:sz w:val="20"/>
                <w:szCs w:val="20"/>
              </w:rPr>
            </w:pPr>
          </w:p>
        </w:tc>
        <w:tc>
          <w:tcPr>
            <w:tcW w:w="1090" w:type="pct"/>
            <w:shd w:val="clear" w:color="auto" w:fill="auto"/>
          </w:tcPr>
          <w:p w14:paraId="0E40DB44" w14:textId="77777777" w:rsidR="00FB28D8" w:rsidRPr="00B0658A" w:rsidRDefault="00FB28D8" w:rsidP="000A4114">
            <w:pPr>
              <w:spacing w:after="0" w:line="240" w:lineRule="auto"/>
              <w:rPr>
                <w:rFonts w:ascii="Times New Roman" w:hAnsi="Times New Roman"/>
                <w:i/>
                <w:iCs/>
                <w:sz w:val="20"/>
                <w:szCs w:val="20"/>
              </w:rPr>
            </w:pPr>
          </w:p>
        </w:tc>
        <w:tc>
          <w:tcPr>
            <w:tcW w:w="1036" w:type="pct"/>
            <w:shd w:val="clear" w:color="auto" w:fill="auto"/>
          </w:tcPr>
          <w:p w14:paraId="69286E28" w14:textId="77777777" w:rsidR="00FB28D8" w:rsidRPr="00B0658A" w:rsidRDefault="00FB28D8" w:rsidP="000A4114">
            <w:pPr>
              <w:spacing w:after="0" w:line="240" w:lineRule="auto"/>
              <w:rPr>
                <w:rFonts w:ascii="Times New Roman" w:hAnsi="Times New Roman"/>
                <w:i/>
                <w:iCs/>
                <w:sz w:val="20"/>
                <w:szCs w:val="20"/>
              </w:rPr>
            </w:pPr>
          </w:p>
        </w:tc>
        <w:tc>
          <w:tcPr>
            <w:tcW w:w="894" w:type="pct"/>
            <w:shd w:val="clear" w:color="auto" w:fill="auto"/>
          </w:tcPr>
          <w:p w14:paraId="4F16E60C" w14:textId="77777777" w:rsidR="00FB28D8" w:rsidRPr="00B0658A" w:rsidRDefault="00FB28D8" w:rsidP="000A4114">
            <w:pPr>
              <w:spacing w:after="0" w:line="240" w:lineRule="auto"/>
              <w:jc w:val="both"/>
              <w:rPr>
                <w:rFonts w:ascii="Times New Roman" w:hAnsi="Times New Roman"/>
                <w:i/>
                <w:iCs/>
                <w:sz w:val="20"/>
                <w:szCs w:val="20"/>
              </w:rPr>
            </w:pPr>
          </w:p>
        </w:tc>
      </w:tr>
      <w:tr w:rsidR="00F52FED" w:rsidRPr="00B0658A" w14:paraId="18C23211" w14:textId="77777777" w:rsidTr="00B10FDE">
        <w:trPr>
          <w:trHeight w:val="170"/>
        </w:trPr>
        <w:tc>
          <w:tcPr>
            <w:tcW w:w="203" w:type="pct"/>
            <w:shd w:val="clear" w:color="auto" w:fill="auto"/>
          </w:tcPr>
          <w:p w14:paraId="37E46DEA" w14:textId="77777777" w:rsidR="00FB28D8" w:rsidRPr="00B0658A" w:rsidRDefault="00FB28D8" w:rsidP="000A4114">
            <w:pPr>
              <w:spacing w:after="0" w:line="240" w:lineRule="auto"/>
              <w:rPr>
                <w:rFonts w:ascii="Times New Roman" w:hAnsi="Times New Roman"/>
                <w:sz w:val="20"/>
                <w:szCs w:val="20"/>
              </w:rPr>
            </w:pPr>
            <w:r w:rsidRPr="00B0658A">
              <w:rPr>
                <w:rFonts w:ascii="Times New Roman" w:hAnsi="Times New Roman"/>
                <w:sz w:val="20"/>
                <w:szCs w:val="20"/>
              </w:rPr>
              <w:t>8.2</w:t>
            </w:r>
          </w:p>
        </w:tc>
        <w:tc>
          <w:tcPr>
            <w:tcW w:w="1153" w:type="pct"/>
            <w:shd w:val="clear" w:color="auto" w:fill="auto"/>
            <w:vAlign w:val="center"/>
          </w:tcPr>
          <w:p w14:paraId="51597B87" w14:textId="77777777" w:rsidR="00FB28D8" w:rsidRPr="00B0658A" w:rsidRDefault="00FB28D8" w:rsidP="000A4114">
            <w:pPr>
              <w:spacing w:after="0" w:line="240" w:lineRule="auto"/>
              <w:rPr>
                <w:rFonts w:ascii="Times New Roman" w:hAnsi="Times New Roman"/>
                <w:sz w:val="20"/>
                <w:szCs w:val="20"/>
              </w:rPr>
            </w:pPr>
            <w:r w:rsidRPr="00B0658A">
              <w:rPr>
                <w:rFonts w:ascii="Times New Roman" w:hAnsi="Times New Roman"/>
                <w:sz w:val="20"/>
                <w:szCs w:val="20"/>
              </w:rPr>
              <w:t>Промышленное программное обеспечение/ Универсальные машиностроительные средства автоматизированного проектирования (MCAD)</w:t>
            </w:r>
          </w:p>
        </w:tc>
        <w:tc>
          <w:tcPr>
            <w:tcW w:w="624" w:type="pct"/>
          </w:tcPr>
          <w:p w14:paraId="70E4DBDB" w14:textId="77777777" w:rsidR="00FB28D8" w:rsidRPr="00B0658A" w:rsidRDefault="00FB28D8" w:rsidP="000A4114">
            <w:pPr>
              <w:spacing w:after="0" w:line="240" w:lineRule="auto"/>
              <w:rPr>
                <w:rFonts w:ascii="Times New Roman" w:hAnsi="Times New Roman"/>
                <w:i/>
                <w:iCs/>
                <w:sz w:val="20"/>
                <w:szCs w:val="20"/>
              </w:rPr>
            </w:pPr>
          </w:p>
        </w:tc>
        <w:tc>
          <w:tcPr>
            <w:tcW w:w="1090" w:type="pct"/>
            <w:shd w:val="clear" w:color="auto" w:fill="auto"/>
          </w:tcPr>
          <w:p w14:paraId="16D35D64" w14:textId="77777777" w:rsidR="00FB28D8" w:rsidRPr="00B0658A" w:rsidRDefault="00FB28D8" w:rsidP="000A4114">
            <w:pPr>
              <w:spacing w:after="0" w:line="240" w:lineRule="auto"/>
              <w:rPr>
                <w:rFonts w:ascii="Times New Roman" w:hAnsi="Times New Roman"/>
                <w:i/>
                <w:iCs/>
                <w:sz w:val="20"/>
                <w:szCs w:val="20"/>
              </w:rPr>
            </w:pPr>
          </w:p>
        </w:tc>
        <w:tc>
          <w:tcPr>
            <w:tcW w:w="1036" w:type="pct"/>
            <w:shd w:val="clear" w:color="auto" w:fill="auto"/>
          </w:tcPr>
          <w:p w14:paraId="45B2907B" w14:textId="77777777" w:rsidR="00FB28D8" w:rsidRPr="00B0658A" w:rsidRDefault="00FB28D8" w:rsidP="000A4114">
            <w:pPr>
              <w:spacing w:after="0" w:line="240" w:lineRule="auto"/>
              <w:rPr>
                <w:rFonts w:ascii="Times New Roman" w:hAnsi="Times New Roman"/>
                <w:i/>
                <w:iCs/>
                <w:sz w:val="20"/>
                <w:szCs w:val="20"/>
              </w:rPr>
            </w:pPr>
          </w:p>
        </w:tc>
        <w:tc>
          <w:tcPr>
            <w:tcW w:w="894" w:type="pct"/>
            <w:shd w:val="clear" w:color="auto" w:fill="auto"/>
          </w:tcPr>
          <w:p w14:paraId="6E5D9FA3" w14:textId="77777777" w:rsidR="00FB28D8" w:rsidRPr="00B0658A" w:rsidRDefault="00FB28D8" w:rsidP="000A4114">
            <w:pPr>
              <w:spacing w:after="0" w:line="240" w:lineRule="auto"/>
              <w:jc w:val="both"/>
              <w:rPr>
                <w:rFonts w:ascii="Times New Roman" w:hAnsi="Times New Roman"/>
                <w:i/>
                <w:iCs/>
                <w:sz w:val="20"/>
                <w:szCs w:val="20"/>
              </w:rPr>
            </w:pPr>
          </w:p>
        </w:tc>
      </w:tr>
      <w:tr w:rsidR="00F52FED" w:rsidRPr="00B0658A" w14:paraId="15BCC7A6" w14:textId="77777777" w:rsidTr="00B10FDE">
        <w:trPr>
          <w:trHeight w:val="170"/>
        </w:trPr>
        <w:tc>
          <w:tcPr>
            <w:tcW w:w="203" w:type="pct"/>
            <w:shd w:val="clear" w:color="auto" w:fill="auto"/>
          </w:tcPr>
          <w:p w14:paraId="6D0787C5" w14:textId="77777777" w:rsidR="00FB28D8" w:rsidRPr="00B0658A" w:rsidRDefault="00FB28D8" w:rsidP="000A4114">
            <w:pPr>
              <w:spacing w:after="0" w:line="240" w:lineRule="auto"/>
              <w:rPr>
                <w:rFonts w:ascii="Times New Roman" w:hAnsi="Times New Roman"/>
                <w:sz w:val="20"/>
                <w:szCs w:val="20"/>
              </w:rPr>
            </w:pPr>
            <w:r w:rsidRPr="00B0658A">
              <w:rPr>
                <w:rFonts w:ascii="Times New Roman" w:hAnsi="Times New Roman"/>
                <w:sz w:val="20"/>
                <w:szCs w:val="20"/>
              </w:rPr>
              <w:t>8.3</w:t>
            </w:r>
          </w:p>
        </w:tc>
        <w:tc>
          <w:tcPr>
            <w:tcW w:w="1153" w:type="pct"/>
            <w:shd w:val="clear" w:color="auto" w:fill="auto"/>
            <w:vAlign w:val="center"/>
          </w:tcPr>
          <w:p w14:paraId="54F0895A" w14:textId="77777777" w:rsidR="00FB28D8" w:rsidRPr="00B0658A" w:rsidRDefault="00FB28D8" w:rsidP="000A4114">
            <w:pPr>
              <w:spacing w:after="0" w:line="240" w:lineRule="auto"/>
              <w:rPr>
                <w:rFonts w:ascii="Times New Roman" w:hAnsi="Times New Roman"/>
                <w:sz w:val="20"/>
                <w:szCs w:val="20"/>
              </w:rPr>
            </w:pPr>
            <w:r w:rsidRPr="00B0658A">
              <w:rPr>
                <w:rFonts w:ascii="Times New Roman" w:hAnsi="Times New Roman"/>
                <w:sz w:val="20"/>
                <w:szCs w:val="20"/>
              </w:rPr>
              <w:t>Промышленное программное обеспечение/ Средства автоматизированного проектирования (CAD)</w:t>
            </w:r>
          </w:p>
        </w:tc>
        <w:tc>
          <w:tcPr>
            <w:tcW w:w="624" w:type="pct"/>
          </w:tcPr>
          <w:p w14:paraId="2AD2140B" w14:textId="77777777" w:rsidR="00FB28D8" w:rsidRPr="00B0658A" w:rsidRDefault="00FB28D8" w:rsidP="000A4114">
            <w:pPr>
              <w:spacing w:after="0" w:line="240" w:lineRule="auto"/>
              <w:rPr>
                <w:rFonts w:ascii="Times New Roman" w:hAnsi="Times New Roman"/>
                <w:i/>
                <w:iCs/>
                <w:sz w:val="20"/>
                <w:szCs w:val="20"/>
              </w:rPr>
            </w:pPr>
          </w:p>
        </w:tc>
        <w:tc>
          <w:tcPr>
            <w:tcW w:w="1090" w:type="pct"/>
            <w:shd w:val="clear" w:color="auto" w:fill="auto"/>
          </w:tcPr>
          <w:p w14:paraId="5857B55F" w14:textId="77777777" w:rsidR="00FB28D8" w:rsidRPr="00B0658A" w:rsidRDefault="00FB28D8" w:rsidP="000A4114">
            <w:pPr>
              <w:spacing w:after="0" w:line="240" w:lineRule="auto"/>
              <w:rPr>
                <w:rFonts w:ascii="Times New Roman" w:hAnsi="Times New Roman"/>
                <w:i/>
                <w:iCs/>
                <w:sz w:val="20"/>
                <w:szCs w:val="20"/>
              </w:rPr>
            </w:pPr>
          </w:p>
        </w:tc>
        <w:tc>
          <w:tcPr>
            <w:tcW w:w="1036" w:type="pct"/>
            <w:shd w:val="clear" w:color="auto" w:fill="auto"/>
          </w:tcPr>
          <w:p w14:paraId="37D5F360" w14:textId="77777777" w:rsidR="00FB28D8" w:rsidRPr="00B0658A" w:rsidRDefault="00FB28D8" w:rsidP="000A4114">
            <w:pPr>
              <w:spacing w:after="0" w:line="240" w:lineRule="auto"/>
              <w:rPr>
                <w:rFonts w:ascii="Times New Roman" w:hAnsi="Times New Roman"/>
                <w:i/>
                <w:iCs/>
                <w:sz w:val="20"/>
                <w:szCs w:val="20"/>
              </w:rPr>
            </w:pPr>
          </w:p>
        </w:tc>
        <w:tc>
          <w:tcPr>
            <w:tcW w:w="894" w:type="pct"/>
            <w:shd w:val="clear" w:color="auto" w:fill="auto"/>
          </w:tcPr>
          <w:p w14:paraId="25E67900" w14:textId="77777777" w:rsidR="00FB28D8" w:rsidRPr="00B0658A" w:rsidRDefault="00FB28D8" w:rsidP="000A4114">
            <w:pPr>
              <w:spacing w:after="0" w:line="240" w:lineRule="auto"/>
              <w:jc w:val="both"/>
              <w:rPr>
                <w:rFonts w:ascii="Times New Roman" w:hAnsi="Times New Roman"/>
                <w:i/>
                <w:iCs/>
                <w:sz w:val="20"/>
                <w:szCs w:val="20"/>
              </w:rPr>
            </w:pPr>
          </w:p>
        </w:tc>
      </w:tr>
      <w:tr w:rsidR="00F52FED" w:rsidRPr="00B0658A" w14:paraId="1AE0A56D" w14:textId="77777777" w:rsidTr="00B10FDE">
        <w:trPr>
          <w:trHeight w:val="170"/>
        </w:trPr>
        <w:tc>
          <w:tcPr>
            <w:tcW w:w="203" w:type="pct"/>
            <w:shd w:val="clear" w:color="auto" w:fill="auto"/>
          </w:tcPr>
          <w:p w14:paraId="0643EC32" w14:textId="77777777" w:rsidR="00FB28D8" w:rsidRPr="00B0658A" w:rsidRDefault="00FB28D8" w:rsidP="000A4114">
            <w:pPr>
              <w:spacing w:after="0" w:line="240" w:lineRule="auto"/>
              <w:rPr>
                <w:rFonts w:ascii="Times New Roman" w:hAnsi="Times New Roman"/>
                <w:sz w:val="20"/>
                <w:szCs w:val="20"/>
              </w:rPr>
            </w:pPr>
            <w:r w:rsidRPr="00B0658A">
              <w:rPr>
                <w:rFonts w:ascii="Times New Roman" w:hAnsi="Times New Roman"/>
                <w:sz w:val="20"/>
                <w:szCs w:val="20"/>
              </w:rPr>
              <w:t>8.4</w:t>
            </w:r>
          </w:p>
        </w:tc>
        <w:tc>
          <w:tcPr>
            <w:tcW w:w="1153" w:type="pct"/>
            <w:shd w:val="clear" w:color="auto" w:fill="auto"/>
            <w:vAlign w:val="center"/>
          </w:tcPr>
          <w:p w14:paraId="76C8F92D" w14:textId="77777777" w:rsidR="00FB28D8" w:rsidRPr="00B0658A" w:rsidRDefault="00FB28D8" w:rsidP="000A4114">
            <w:pPr>
              <w:spacing w:after="0" w:line="240" w:lineRule="auto"/>
              <w:rPr>
                <w:rFonts w:ascii="Times New Roman" w:hAnsi="Times New Roman"/>
                <w:sz w:val="20"/>
                <w:szCs w:val="20"/>
              </w:rPr>
            </w:pPr>
            <w:r w:rsidRPr="00B0658A">
              <w:rPr>
                <w:rFonts w:ascii="Times New Roman" w:hAnsi="Times New Roman"/>
                <w:sz w:val="20"/>
                <w:szCs w:val="20"/>
              </w:rPr>
              <w:t xml:space="preserve">Промышленное программное обеспечение/ Средства автоматизированного проектирования для радиоэлектроники </w:t>
            </w:r>
            <w:r w:rsidRPr="00B0658A">
              <w:rPr>
                <w:rFonts w:ascii="Times New Roman" w:hAnsi="Times New Roman"/>
                <w:sz w:val="20"/>
                <w:szCs w:val="20"/>
              </w:rPr>
              <w:br/>
              <w:t>и электротехники (ECAD, EDA)</w:t>
            </w:r>
          </w:p>
        </w:tc>
        <w:tc>
          <w:tcPr>
            <w:tcW w:w="624" w:type="pct"/>
          </w:tcPr>
          <w:p w14:paraId="170C2A56" w14:textId="77777777" w:rsidR="00FB28D8" w:rsidRPr="00B0658A" w:rsidRDefault="00FB28D8" w:rsidP="000A4114">
            <w:pPr>
              <w:spacing w:after="0" w:line="240" w:lineRule="auto"/>
              <w:rPr>
                <w:rFonts w:ascii="Times New Roman" w:hAnsi="Times New Roman"/>
                <w:i/>
                <w:iCs/>
                <w:sz w:val="20"/>
                <w:szCs w:val="20"/>
              </w:rPr>
            </w:pPr>
          </w:p>
        </w:tc>
        <w:tc>
          <w:tcPr>
            <w:tcW w:w="1090" w:type="pct"/>
            <w:shd w:val="clear" w:color="auto" w:fill="auto"/>
          </w:tcPr>
          <w:p w14:paraId="48C0E9CD" w14:textId="77777777" w:rsidR="00FB28D8" w:rsidRPr="00B0658A" w:rsidRDefault="00FB28D8" w:rsidP="000A4114">
            <w:pPr>
              <w:spacing w:after="0" w:line="240" w:lineRule="auto"/>
              <w:rPr>
                <w:rFonts w:ascii="Times New Roman" w:hAnsi="Times New Roman"/>
                <w:i/>
                <w:iCs/>
                <w:sz w:val="20"/>
                <w:szCs w:val="20"/>
              </w:rPr>
            </w:pPr>
          </w:p>
        </w:tc>
        <w:tc>
          <w:tcPr>
            <w:tcW w:w="1036" w:type="pct"/>
            <w:shd w:val="clear" w:color="auto" w:fill="auto"/>
          </w:tcPr>
          <w:p w14:paraId="2BD63F08" w14:textId="77777777" w:rsidR="00FB28D8" w:rsidRPr="00B0658A" w:rsidRDefault="00FB28D8" w:rsidP="000A4114">
            <w:pPr>
              <w:spacing w:after="0" w:line="240" w:lineRule="auto"/>
              <w:rPr>
                <w:rFonts w:ascii="Times New Roman" w:hAnsi="Times New Roman"/>
                <w:i/>
                <w:iCs/>
                <w:sz w:val="20"/>
                <w:szCs w:val="20"/>
              </w:rPr>
            </w:pPr>
          </w:p>
        </w:tc>
        <w:tc>
          <w:tcPr>
            <w:tcW w:w="894" w:type="pct"/>
            <w:shd w:val="clear" w:color="auto" w:fill="auto"/>
          </w:tcPr>
          <w:p w14:paraId="553CDC6A" w14:textId="77777777" w:rsidR="00FB28D8" w:rsidRPr="00B0658A" w:rsidRDefault="00FB28D8" w:rsidP="000A4114">
            <w:pPr>
              <w:spacing w:after="0" w:line="240" w:lineRule="auto"/>
              <w:jc w:val="both"/>
              <w:rPr>
                <w:rFonts w:ascii="Times New Roman" w:hAnsi="Times New Roman"/>
                <w:i/>
                <w:iCs/>
                <w:sz w:val="20"/>
                <w:szCs w:val="20"/>
              </w:rPr>
            </w:pPr>
          </w:p>
        </w:tc>
      </w:tr>
      <w:tr w:rsidR="00F52FED" w:rsidRPr="00B0658A" w14:paraId="606E32B5" w14:textId="77777777" w:rsidTr="00B10FDE">
        <w:trPr>
          <w:trHeight w:val="170"/>
        </w:trPr>
        <w:tc>
          <w:tcPr>
            <w:tcW w:w="203" w:type="pct"/>
            <w:shd w:val="clear" w:color="auto" w:fill="auto"/>
          </w:tcPr>
          <w:p w14:paraId="3737150C" w14:textId="77777777" w:rsidR="00FB28D8" w:rsidRPr="00B0658A" w:rsidRDefault="00FB28D8" w:rsidP="000A4114">
            <w:pPr>
              <w:spacing w:after="0" w:line="240" w:lineRule="auto"/>
              <w:rPr>
                <w:rFonts w:ascii="Times New Roman" w:hAnsi="Times New Roman"/>
                <w:sz w:val="20"/>
                <w:szCs w:val="20"/>
              </w:rPr>
            </w:pPr>
            <w:r w:rsidRPr="00B0658A">
              <w:rPr>
                <w:rFonts w:ascii="Times New Roman" w:hAnsi="Times New Roman"/>
                <w:sz w:val="20"/>
                <w:szCs w:val="20"/>
              </w:rPr>
              <w:t>8.5</w:t>
            </w:r>
          </w:p>
        </w:tc>
        <w:tc>
          <w:tcPr>
            <w:tcW w:w="1153" w:type="pct"/>
            <w:shd w:val="clear" w:color="auto" w:fill="auto"/>
            <w:vAlign w:val="center"/>
          </w:tcPr>
          <w:p w14:paraId="572F4E04" w14:textId="77777777" w:rsidR="00FB28D8" w:rsidRPr="00B0658A" w:rsidRDefault="00FB28D8" w:rsidP="000A4114">
            <w:pPr>
              <w:spacing w:after="0" w:line="240" w:lineRule="auto"/>
              <w:rPr>
                <w:rFonts w:ascii="Times New Roman" w:hAnsi="Times New Roman"/>
                <w:sz w:val="20"/>
                <w:szCs w:val="20"/>
              </w:rPr>
            </w:pPr>
            <w:r w:rsidRPr="00B0658A">
              <w:rPr>
                <w:rFonts w:ascii="Times New Roman" w:hAnsi="Times New Roman"/>
                <w:sz w:val="20"/>
                <w:szCs w:val="20"/>
              </w:rPr>
              <w:t>Промышленное программное обеспечение/ Средства инженерного анализа (CAE)</w:t>
            </w:r>
          </w:p>
        </w:tc>
        <w:tc>
          <w:tcPr>
            <w:tcW w:w="624" w:type="pct"/>
          </w:tcPr>
          <w:p w14:paraId="4CD0D56E" w14:textId="77777777" w:rsidR="00FB28D8" w:rsidRPr="00B0658A" w:rsidRDefault="00FB28D8" w:rsidP="000A4114">
            <w:pPr>
              <w:spacing w:after="0" w:line="240" w:lineRule="auto"/>
              <w:rPr>
                <w:rFonts w:ascii="Times New Roman" w:hAnsi="Times New Roman"/>
                <w:i/>
                <w:iCs/>
                <w:sz w:val="20"/>
                <w:szCs w:val="20"/>
              </w:rPr>
            </w:pPr>
          </w:p>
        </w:tc>
        <w:tc>
          <w:tcPr>
            <w:tcW w:w="1090" w:type="pct"/>
            <w:shd w:val="clear" w:color="auto" w:fill="auto"/>
          </w:tcPr>
          <w:p w14:paraId="0298BEF9" w14:textId="77777777" w:rsidR="00FB28D8" w:rsidRPr="00B0658A" w:rsidRDefault="00FB28D8" w:rsidP="000A4114">
            <w:pPr>
              <w:spacing w:after="0" w:line="240" w:lineRule="auto"/>
              <w:rPr>
                <w:rFonts w:ascii="Times New Roman" w:hAnsi="Times New Roman"/>
                <w:i/>
                <w:iCs/>
                <w:sz w:val="20"/>
                <w:szCs w:val="20"/>
              </w:rPr>
            </w:pPr>
          </w:p>
        </w:tc>
        <w:tc>
          <w:tcPr>
            <w:tcW w:w="1036" w:type="pct"/>
            <w:shd w:val="clear" w:color="auto" w:fill="auto"/>
          </w:tcPr>
          <w:p w14:paraId="38E2FA0C" w14:textId="77777777" w:rsidR="00FB28D8" w:rsidRPr="00B0658A" w:rsidRDefault="00FB28D8" w:rsidP="000A4114">
            <w:pPr>
              <w:spacing w:after="0" w:line="240" w:lineRule="auto"/>
              <w:rPr>
                <w:rFonts w:ascii="Times New Roman" w:hAnsi="Times New Roman"/>
                <w:i/>
                <w:iCs/>
                <w:sz w:val="20"/>
                <w:szCs w:val="20"/>
              </w:rPr>
            </w:pPr>
          </w:p>
        </w:tc>
        <w:tc>
          <w:tcPr>
            <w:tcW w:w="894" w:type="pct"/>
            <w:shd w:val="clear" w:color="auto" w:fill="auto"/>
          </w:tcPr>
          <w:p w14:paraId="769F82EA" w14:textId="77777777" w:rsidR="00FB28D8" w:rsidRPr="00B0658A" w:rsidRDefault="00FB28D8" w:rsidP="000A4114">
            <w:pPr>
              <w:spacing w:after="0" w:line="240" w:lineRule="auto"/>
              <w:jc w:val="both"/>
              <w:rPr>
                <w:rFonts w:ascii="Times New Roman" w:hAnsi="Times New Roman"/>
                <w:i/>
                <w:iCs/>
                <w:sz w:val="20"/>
                <w:szCs w:val="20"/>
              </w:rPr>
            </w:pPr>
          </w:p>
        </w:tc>
      </w:tr>
      <w:tr w:rsidR="00F52FED" w:rsidRPr="00B0658A" w14:paraId="396DCFB8" w14:textId="77777777" w:rsidTr="00B10FDE">
        <w:trPr>
          <w:trHeight w:val="170"/>
        </w:trPr>
        <w:tc>
          <w:tcPr>
            <w:tcW w:w="203" w:type="pct"/>
            <w:shd w:val="clear" w:color="auto" w:fill="auto"/>
          </w:tcPr>
          <w:p w14:paraId="7E9C3293" w14:textId="77777777" w:rsidR="00FB28D8" w:rsidRPr="00B0658A" w:rsidRDefault="00FB28D8" w:rsidP="000A4114">
            <w:pPr>
              <w:spacing w:after="0" w:line="240" w:lineRule="auto"/>
              <w:rPr>
                <w:rFonts w:ascii="Times New Roman" w:hAnsi="Times New Roman"/>
                <w:sz w:val="20"/>
                <w:szCs w:val="20"/>
              </w:rPr>
            </w:pPr>
            <w:r w:rsidRPr="00B0658A">
              <w:rPr>
                <w:rFonts w:ascii="Times New Roman" w:hAnsi="Times New Roman"/>
                <w:sz w:val="20"/>
                <w:szCs w:val="20"/>
              </w:rPr>
              <w:t>8.6</w:t>
            </w:r>
          </w:p>
        </w:tc>
        <w:tc>
          <w:tcPr>
            <w:tcW w:w="1153" w:type="pct"/>
            <w:shd w:val="clear" w:color="auto" w:fill="auto"/>
            <w:vAlign w:val="center"/>
          </w:tcPr>
          <w:p w14:paraId="494D3606" w14:textId="77777777" w:rsidR="00FB28D8" w:rsidRPr="00B0658A" w:rsidRDefault="00FB28D8" w:rsidP="000A4114">
            <w:pPr>
              <w:spacing w:after="0" w:line="240" w:lineRule="auto"/>
              <w:rPr>
                <w:rFonts w:ascii="Times New Roman" w:hAnsi="Times New Roman"/>
                <w:sz w:val="20"/>
                <w:szCs w:val="20"/>
              </w:rPr>
            </w:pPr>
            <w:r w:rsidRPr="00B0658A">
              <w:rPr>
                <w:rFonts w:ascii="Times New Roman" w:hAnsi="Times New Roman"/>
                <w:sz w:val="20"/>
                <w:szCs w:val="20"/>
              </w:rPr>
              <w:t>Промышленное программное обеспечение/ Средства управления оборудованием с числовым программным управлением (CAM)</w:t>
            </w:r>
          </w:p>
        </w:tc>
        <w:tc>
          <w:tcPr>
            <w:tcW w:w="624" w:type="pct"/>
          </w:tcPr>
          <w:p w14:paraId="321E7180" w14:textId="77777777" w:rsidR="00FB28D8" w:rsidRPr="00B0658A" w:rsidRDefault="00FB28D8" w:rsidP="000A4114">
            <w:pPr>
              <w:spacing w:after="0" w:line="240" w:lineRule="auto"/>
              <w:rPr>
                <w:rFonts w:ascii="Times New Roman" w:hAnsi="Times New Roman"/>
                <w:i/>
                <w:iCs/>
                <w:sz w:val="20"/>
                <w:szCs w:val="20"/>
              </w:rPr>
            </w:pPr>
          </w:p>
        </w:tc>
        <w:tc>
          <w:tcPr>
            <w:tcW w:w="1090" w:type="pct"/>
            <w:shd w:val="clear" w:color="auto" w:fill="auto"/>
          </w:tcPr>
          <w:p w14:paraId="54F515DD" w14:textId="77777777" w:rsidR="00FB28D8" w:rsidRPr="00B0658A" w:rsidRDefault="00FB28D8" w:rsidP="000A4114">
            <w:pPr>
              <w:spacing w:after="0" w:line="240" w:lineRule="auto"/>
              <w:rPr>
                <w:rFonts w:ascii="Times New Roman" w:hAnsi="Times New Roman"/>
                <w:i/>
                <w:iCs/>
                <w:sz w:val="20"/>
                <w:szCs w:val="20"/>
              </w:rPr>
            </w:pPr>
          </w:p>
        </w:tc>
        <w:tc>
          <w:tcPr>
            <w:tcW w:w="1036" w:type="pct"/>
            <w:shd w:val="clear" w:color="auto" w:fill="auto"/>
          </w:tcPr>
          <w:p w14:paraId="59549B5F" w14:textId="77777777" w:rsidR="00FB28D8" w:rsidRPr="00B0658A" w:rsidRDefault="00FB28D8" w:rsidP="000A4114">
            <w:pPr>
              <w:spacing w:after="0" w:line="240" w:lineRule="auto"/>
              <w:rPr>
                <w:rFonts w:ascii="Times New Roman" w:hAnsi="Times New Roman"/>
                <w:i/>
                <w:iCs/>
                <w:sz w:val="20"/>
                <w:szCs w:val="20"/>
              </w:rPr>
            </w:pPr>
          </w:p>
        </w:tc>
        <w:tc>
          <w:tcPr>
            <w:tcW w:w="894" w:type="pct"/>
            <w:shd w:val="clear" w:color="auto" w:fill="auto"/>
          </w:tcPr>
          <w:p w14:paraId="1DD96E6B" w14:textId="77777777" w:rsidR="00FB28D8" w:rsidRPr="00B0658A" w:rsidRDefault="00FB28D8" w:rsidP="000A4114">
            <w:pPr>
              <w:spacing w:after="0" w:line="240" w:lineRule="auto"/>
              <w:jc w:val="both"/>
              <w:rPr>
                <w:rFonts w:ascii="Times New Roman" w:hAnsi="Times New Roman"/>
                <w:i/>
                <w:iCs/>
                <w:sz w:val="20"/>
                <w:szCs w:val="20"/>
              </w:rPr>
            </w:pPr>
          </w:p>
        </w:tc>
      </w:tr>
      <w:tr w:rsidR="00F52FED" w:rsidRPr="00B0658A" w14:paraId="477A0F90" w14:textId="77777777" w:rsidTr="00B10FDE">
        <w:trPr>
          <w:trHeight w:val="170"/>
        </w:trPr>
        <w:tc>
          <w:tcPr>
            <w:tcW w:w="203" w:type="pct"/>
            <w:shd w:val="clear" w:color="auto" w:fill="auto"/>
          </w:tcPr>
          <w:p w14:paraId="44C69F4F" w14:textId="77777777" w:rsidR="00FB28D8" w:rsidRPr="00B0658A" w:rsidRDefault="00FB28D8" w:rsidP="000A4114">
            <w:pPr>
              <w:spacing w:after="0" w:line="240" w:lineRule="auto"/>
              <w:rPr>
                <w:rFonts w:ascii="Times New Roman" w:hAnsi="Times New Roman"/>
                <w:sz w:val="20"/>
                <w:szCs w:val="20"/>
              </w:rPr>
            </w:pPr>
            <w:r w:rsidRPr="00B0658A">
              <w:rPr>
                <w:rFonts w:ascii="Times New Roman" w:hAnsi="Times New Roman"/>
                <w:sz w:val="20"/>
                <w:szCs w:val="20"/>
              </w:rPr>
              <w:t>8.7</w:t>
            </w:r>
          </w:p>
        </w:tc>
        <w:tc>
          <w:tcPr>
            <w:tcW w:w="1153" w:type="pct"/>
            <w:shd w:val="clear" w:color="auto" w:fill="auto"/>
            <w:vAlign w:val="center"/>
          </w:tcPr>
          <w:p w14:paraId="12DA6EE5" w14:textId="77777777" w:rsidR="00FB28D8" w:rsidRPr="00B0658A" w:rsidRDefault="00FB28D8" w:rsidP="000A4114">
            <w:pPr>
              <w:spacing w:after="0" w:line="240" w:lineRule="auto"/>
              <w:rPr>
                <w:rFonts w:ascii="Times New Roman" w:hAnsi="Times New Roman"/>
                <w:sz w:val="20"/>
                <w:szCs w:val="20"/>
              </w:rPr>
            </w:pPr>
            <w:r w:rsidRPr="00B0658A">
              <w:rPr>
                <w:rFonts w:ascii="Times New Roman" w:hAnsi="Times New Roman"/>
                <w:sz w:val="20"/>
                <w:szCs w:val="20"/>
              </w:rPr>
              <w:t>Промышленное программное обеспечение/ Средства технологической подготовки производства (CAPP)</w:t>
            </w:r>
          </w:p>
        </w:tc>
        <w:tc>
          <w:tcPr>
            <w:tcW w:w="624" w:type="pct"/>
          </w:tcPr>
          <w:p w14:paraId="60DD0ED2" w14:textId="77777777" w:rsidR="00FB28D8" w:rsidRPr="00B0658A" w:rsidRDefault="00FB28D8" w:rsidP="000A4114">
            <w:pPr>
              <w:spacing w:after="0" w:line="240" w:lineRule="auto"/>
              <w:rPr>
                <w:rFonts w:ascii="Times New Roman" w:hAnsi="Times New Roman"/>
                <w:i/>
                <w:iCs/>
                <w:sz w:val="20"/>
                <w:szCs w:val="20"/>
              </w:rPr>
            </w:pPr>
          </w:p>
        </w:tc>
        <w:tc>
          <w:tcPr>
            <w:tcW w:w="1090" w:type="pct"/>
            <w:shd w:val="clear" w:color="auto" w:fill="auto"/>
          </w:tcPr>
          <w:p w14:paraId="1B8E8102" w14:textId="77777777" w:rsidR="00FB28D8" w:rsidRPr="00B0658A" w:rsidRDefault="00FB28D8" w:rsidP="000A4114">
            <w:pPr>
              <w:spacing w:after="0" w:line="240" w:lineRule="auto"/>
              <w:rPr>
                <w:rFonts w:ascii="Times New Roman" w:hAnsi="Times New Roman"/>
                <w:i/>
                <w:iCs/>
                <w:sz w:val="20"/>
                <w:szCs w:val="20"/>
              </w:rPr>
            </w:pPr>
          </w:p>
        </w:tc>
        <w:tc>
          <w:tcPr>
            <w:tcW w:w="1036" w:type="pct"/>
            <w:shd w:val="clear" w:color="auto" w:fill="auto"/>
          </w:tcPr>
          <w:p w14:paraId="44F7E0B9" w14:textId="77777777" w:rsidR="00FB28D8" w:rsidRPr="00B0658A" w:rsidRDefault="00FB28D8" w:rsidP="000A4114">
            <w:pPr>
              <w:spacing w:after="0" w:line="240" w:lineRule="auto"/>
              <w:rPr>
                <w:rFonts w:ascii="Times New Roman" w:hAnsi="Times New Roman"/>
                <w:i/>
                <w:iCs/>
                <w:sz w:val="20"/>
                <w:szCs w:val="20"/>
              </w:rPr>
            </w:pPr>
          </w:p>
        </w:tc>
        <w:tc>
          <w:tcPr>
            <w:tcW w:w="894" w:type="pct"/>
            <w:shd w:val="clear" w:color="auto" w:fill="auto"/>
          </w:tcPr>
          <w:p w14:paraId="7474FF7B" w14:textId="77777777" w:rsidR="00FB28D8" w:rsidRPr="00B0658A" w:rsidRDefault="00FB28D8" w:rsidP="000A4114">
            <w:pPr>
              <w:spacing w:after="0" w:line="240" w:lineRule="auto"/>
              <w:jc w:val="both"/>
              <w:rPr>
                <w:rFonts w:ascii="Times New Roman" w:hAnsi="Times New Roman"/>
                <w:i/>
                <w:iCs/>
                <w:sz w:val="20"/>
                <w:szCs w:val="20"/>
              </w:rPr>
            </w:pPr>
          </w:p>
        </w:tc>
      </w:tr>
      <w:tr w:rsidR="00F52FED" w:rsidRPr="00B0658A" w14:paraId="374CAF90" w14:textId="77777777" w:rsidTr="00B10FDE">
        <w:trPr>
          <w:trHeight w:val="170"/>
        </w:trPr>
        <w:tc>
          <w:tcPr>
            <w:tcW w:w="203" w:type="pct"/>
            <w:shd w:val="clear" w:color="auto" w:fill="auto"/>
          </w:tcPr>
          <w:p w14:paraId="30B3E726" w14:textId="77777777" w:rsidR="00FB28D8" w:rsidRPr="00B0658A" w:rsidRDefault="00FB28D8" w:rsidP="000A4114">
            <w:pPr>
              <w:spacing w:after="0" w:line="240" w:lineRule="auto"/>
              <w:rPr>
                <w:rFonts w:ascii="Times New Roman" w:hAnsi="Times New Roman"/>
                <w:sz w:val="20"/>
                <w:szCs w:val="20"/>
              </w:rPr>
            </w:pPr>
            <w:r w:rsidRPr="00B0658A">
              <w:rPr>
                <w:rFonts w:ascii="Times New Roman" w:hAnsi="Times New Roman"/>
                <w:sz w:val="20"/>
                <w:szCs w:val="20"/>
              </w:rPr>
              <w:t>8.8</w:t>
            </w:r>
          </w:p>
        </w:tc>
        <w:tc>
          <w:tcPr>
            <w:tcW w:w="1153" w:type="pct"/>
            <w:shd w:val="clear" w:color="auto" w:fill="auto"/>
            <w:vAlign w:val="center"/>
          </w:tcPr>
          <w:p w14:paraId="00B75C7F" w14:textId="77777777" w:rsidR="00FB28D8" w:rsidRPr="00B0658A" w:rsidRDefault="00FB28D8" w:rsidP="000A4114">
            <w:pPr>
              <w:spacing w:after="0" w:line="240" w:lineRule="auto"/>
              <w:rPr>
                <w:rFonts w:ascii="Times New Roman" w:hAnsi="Times New Roman"/>
                <w:sz w:val="20"/>
                <w:szCs w:val="20"/>
              </w:rPr>
            </w:pPr>
            <w:r w:rsidRPr="00B0658A">
              <w:rPr>
                <w:rFonts w:ascii="Times New Roman" w:hAnsi="Times New Roman"/>
                <w:sz w:val="20"/>
                <w:szCs w:val="20"/>
              </w:rPr>
              <w:t xml:space="preserve">Промышленное программное обеспечение/ Средства управления инженерными данными </w:t>
            </w:r>
            <w:r w:rsidRPr="00B0658A">
              <w:rPr>
                <w:rFonts w:ascii="Times New Roman" w:hAnsi="Times New Roman"/>
                <w:sz w:val="20"/>
                <w:szCs w:val="20"/>
              </w:rPr>
              <w:br/>
              <w:t>об изделии (PDM)</w:t>
            </w:r>
          </w:p>
        </w:tc>
        <w:tc>
          <w:tcPr>
            <w:tcW w:w="624" w:type="pct"/>
          </w:tcPr>
          <w:p w14:paraId="156436C0" w14:textId="77777777" w:rsidR="00FB28D8" w:rsidRPr="00B0658A" w:rsidRDefault="00FB28D8" w:rsidP="000A4114">
            <w:pPr>
              <w:spacing w:after="0" w:line="240" w:lineRule="auto"/>
              <w:rPr>
                <w:rFonts w:ascii="Times New Roman" w:hAnsi="Times New Roman"/>
                <w:i/>
                <w:iCs/>
                <w:sz w:val="20"/>
                <w:szCs w:val="20"/>
              </w:rPr>
            </w:pPr>
          </w:p>
        </w:tc>
        <w:tc>
          <w:tcPr>
            <w:tcW w:w="1090" w:type="pct"/>
            <w:shd w:val="clear" w:color="auto" w:fill="auto"/>
          </w:tcPr>
          <w:p w14:paraId="40952996" w14:textId="77777777" w:rsidR="00FB28D8" w:rsidRPr="00B0658A" w:rsidRDefault="00FB28D8" w:rsidP="000A4114">
            <w:pPr>
              <w:spacing w:after="0" w:line="240" w:lineRule="auto"/>
              <w:rPr>
                <w:rFonts w:ascii="Times New Roman" w:hAnsi="Times New Roman"/>
                <w:i/>
                <w:iCs/>
                <w:sz w:val="20"/>
                <w:szCs w:val="20"/>
              </w:rPr>
            </w:pPr>
          </w:p>
        </w:tc>
        <w:tc>
          <w:tcPr>
            <w:tcW w:w="1036" w:type="pct"/>
            <w:shd w:val="clear" w:color="auto" w:fill="auto"/>
          </w:tcPr>
          <w:p w14:paraId="3569298F" w14:textId="77777777" w:rsidR="00FB28D8" w:rsidRPr="00B0658A" w:rsidRDefault="00FB28D8" w:rsidP="000A4114">
            <w:pPr>
              <w:spacing w:after="0" w:line="240" w:lineRule="auto"/>
              <w:rPr>
                <w:rFonts w:ascii="Times New Roman" w:hAnsi="Times New Roman"/>
                <w:i/>
                <w:iCs/>
                <w:sz w:val="20"/>
                <w:szCs w:val="20"/>
              </w:rPr>
            </w:pPr>
          </w:p>
        </w:tc>
        <w:tc>
          <w:tcPr>
            <w:tcW w:w="894" w:type="pct"/>
            <w:shd w:val="clear" w:color="auto" w:fill="auto"/>
          </w:tcPr>
          <w:p w14:paraId="1E6C2ED0" w14:textId="77777777" w:rsidR="00FB28D8" w:rsidRPr="00B0658A" w:rsidRDefault="00FB28D8" w:rsidP="000A4114">
            <w:pPr>
              <w:spacing w:after="0" w:line="240" w:lineRule="auto"/>
              <w:jc w:val="both"/>
              <w:rPr>
                <w:rFonts w:ascii="Times New Roman" w:hAnsi="Times New Roman"/>
                <w:i/>
                <w:iCs/>
                <w:sz w:val="20"/>
                <w:szCs w:val="20"/>
              </w:rPr>
            </w:pPr>
          </w:p>
        </w:tc>
      </w:tr>
      <w:tr w:rsidR="00F52FED" w:rsidRPr="00B0658A" w14:paraId="6FE39C01" w14:textId="77777777" w:rsidTr="00B10FDE">
        <w:trPr>
          <w:trHeight w:val="170"/>
        </w:trPr>
        <w:tc>
          <w:tcPr>
            <w:tcW w:w="203" w:type="pct"/>
            <w:shd w:val="clear" w:color="auto" w:fill="auto"/>
          </w:tcPr>
          <w:p w14:paraId="13F80487" w14:textId="77777777" w:rsidR="00FB28D8" w:rsidRPr="00B0658A" w:rsidRDefault="00FB28D8" w:rsidP="000A4114">
            <w:pPr>
              <w:spacing w:after="0" w:line="240" w:lineRule="auto"/>
              <w:rPr>
                <w:rFonts w:ascii="Times New Roman" w:hAnsi="Times New Roman"/>
                <w:sz w:val="20"/>
                <w:szCs w:val="20"/>
              </w:rPr>
            </w:pPr>
            <w:r w:rsidRPr="00B0658A">
              <w:rPr>
                <w:rFonts w:ascii="Times New Roman" w:hAnsi="Times New Roman"/>
                <w:sz w:val="20"/>
                <w:szCs w:val="20"/>
              </w:rPr>
              <w:t>8.9</w:t>
            </w:r>
          </w:p>
        </w:tc>
        <w:tc>
          <w:tcPr>
            <w:tcW w:w="1153" w:type="pct"/>
            <w:shd w:val="clear" w:color="auto" w:fill="auto"/>
            <w:vAlign w:val="center"/>
          </w:tcPr>
          <w:p w14:paraId="2CD26106" w14:textId="77777777" w:rsidR="00FB28D8" w:rsidRPr="00B0658A" w:rsidRDefault="00FB28D8" w:rsidP="000A4114">
            <w:pPr>
              <w:spacing w:after="0" w:line="240" w:lineRule="auto"/>
              <w:rPr>
                <w:rFonts w:ascii="Times New Roman" w:hAnsi="Times New Roman"/>
                <w:sz w:val="20"/>
                <w:szCs w:val="20"/>
              </w:rPr>
            </w:pPr>
            <w:r w:rsidRPr="00B0658A">
              <w:rPr>
                <w:rFonts w:ascii="Times New Roman" w:hAnsi="Times New Roman"/>
                <w:sz w:val="20"/>
                <w:szCs w:val="20"/>
              </w:rPr>
              <w:t xml:space="preserve">Промышленное программное обеспечение / Средства информационного моделирования зданий </w:t>
            </w:r>
            <w:r w:rsidRPr="00B0658A">
              <w:rPr>
                <w:rFonts w:ascii="Times New Roman" w:hAnsi="Times New Roman"/>
                <w:sz w:val="20"/>
                <w:szCs w:val="20"/>
              </w:rPr>
              <w:br/>
              <w:t>и сооружений, архитектурно-строительного проектирования (BIM, AEC CAD)</w:t>
            </w:r>
          </w:p>
        </w:tc>
        <w:tc>
          <w:tcPr>
            <w:tcW w:w="624" w:type="pct"/>
          </w:tcPr>
          <w:p w14:paraId="1DE0DC94" w14:textId="77777777" w:rsidR="00FB28D8" w:rsidRPr="00B0658A" w:rsidRDefault="00FB28D8" w:rsidP="000A4114">
            <w:pPr>
              <w:spacing w:after="0" w:line="240" w:lineRule="auto"/>
              <w:rPr>
                <w:rFonts w:ascii="Times New Roman" w:hAnsi="Times New Roman"/>
                <w:i/>
                <w:iCs/>
                <w:sz w:val="20"/>
                <w:szCs w:val="20"/>
              </w:rPr>
            </w:pPr>
          </w:p>
        </w:tc>
        <w:tc>
          <w:tcPr>
            <w:tcW w:w="1090" w:type="pct"/>
            <w:shd w:val="clear" w:color="auto" w:fill="auto"/>
          </w:tcPr>
          <w:p w14:paraId="567AD27C" w14:textId="77777777" w:rsidR="00FB28D8" w:rsidRPr="00B0658A" w:rsidRDefault="00FB28D8" w:rsidP="000A4114">
            <w:pPr>
              <w:spacing w:after="0" w:line="240" w:lineRule="auto"/>
              <w:rPr>
                <w:rFonts w:ascii="Times New Roman" w:hAnsi="Times New Roman"/>
                <w:i/>
                <w:iCs/>
                <w:sz w:val="20"/>
                <w:szCs w:val="20"/>
              </w:rPr>
            </w:pPr>
          </w:p>
        </w:tc>
        <w:tc>
          <w:tcPr>
            <w:tcW w:w="1036" w:type="pct"/>
            <w:shd w:val="clear" w:color="auto" w:fill="auto"/>
          </w:tcPr>
          <w:p w14:paraId="40E9CC25" w14:textId="77777777" w:rsidR="00FB28D8" w:rsidRPr="00B0658A" w:rsidRDefault="00FB28D8" w:rsidP="000A4114">
            <w:pPr>
              <w:spacing w:after="0" w:line="240" w:lineRule="auto"/>
              <w:rPr>
                <w:rFonts w:ascii="Times New Roman" w:hAnsi="Times New Roman"/>
                <w:i/>
                <w:iCs/>
                <w:sz w:val="20"/>
                <w:szCs w:val="20"/>
              </w:rPr>
            </w:pPr>
          </w:p>
        </w:tc>
        <w:tc>
          <w:tcPr>
            <w:tcW w:w="894" w:type="pct"/>
            <w:shd w:val="clear" w:color="auto" w:fill="auto"/>
          </w:tcPr>
          <w:p w14:paraId="64496CE6" w14:textId="77777777" w:rsidR="00FB28D8" w:rsidRPr="00B0658A" w:rsidRDefault="00FB28D8" w:rsidP="000A4114">
            <w:pPr>
              <w:spacing w:after="0" w:line="240" w:lineRule="auto"/>
              <w:jc w:val="both"/>
              <w:rPr>
                <w:rFonts w:ascii="Times New Roman" w:hAnsi="Times New Roman"/>
                <w:i/>
                <w:iCs/>
                <w:sz w:val="20"/>
                <w:szCs w:val="20"/>
              </w:rPr>
            </w:pPr>
          </w:p>
        </w:tc>
      </w:tr>
      <w:tr w:rsidR="00F52FED" w:rsidRPr="00B0658A" w14:paraId="1513ECAE" w14:textId="77777777" w:rsidTr="00B10FDE">
        <w:trPr>
          <w:trHeight w:val="170"/>
        </w:trPr>
        <w:tc>
          <w:tcPr>
            <w:tcW w:w="203" w:type="pct"/>
            <w:shd w:val="clear" w:color="auto" w:fill="auto"/>
          </w:tcPr>
          <w:p w14:paraId="09E4B426" w14:textId="77777777" w:rsidR="00FB28D8" w:rsidRPr="00B0658A" w:rsidRDefault="00FB28D8" w:rsidP="000A4114">
            <w:pPr>
              <w:spacing w:after="0" w:line="240" w:lineRule="auto"/>
              <w:rPr>
                <w:rFonts w:ascii="Times New Roman" w:hAnsi="Times New Roman"/>
                <w:sz w:val="20"/>
                <w:szCs w:val="20"/>
              </w:rPr>
            </w:pPr>
            <w:r w:rsidRPr="00B0658A">
              <w:rPr>
                <w:rFonts w:ascii="Times New Roman" w:hAnsi="Times New Roman"/>
                <w:sz w:val="20"/>
                <w:szCs w:val="20"/>
              </w:rPr>
              <w:t>8.10</w:t>
            </w:r>
          </w:p>
        </w:tc>
        <w:tc>
          <w:tcPr>
            <w:tcW w:w="1153" w:type="pct"/>
            <w:shd w:val="clear" w:color="auto" w:fill="auto"/>
            <w:vAlign w:val="center"/>
          </w:tcPr>
          <w:p w14:paraId="25DFCAEE" w14:textId="77777777" w:rsidR="00FB28D8" w:rsidRPr="00B0658A" w:rsidRDefault="00FB28D8" w:rsidP="000A4114">
            <w:pPr>
              <w:spacing w:after="0" w:line="240" w:lineRule="auto"/>
              <w:rPr>
                <w:rFonts w:ascii="Times New Roman" w:hAnsi="Times New Roman"/>
                <w:sz w:val="20"/>
                <w:szCs w:val="20"/>
              </w:rPr>
            </w:pPr>
            <w:r w:rsidRPr="00B0658A">
              <w:rPr>
                <w:rFonts w:ascii="Times New Roman" w:hAnsi="Times New Roman"/>
                <w:sz w:val="20"/>
                <w:szCs w:val="20"/>
              </w:rPr>
              <w:t>Промышленное программное обеспечение/ Средства усовершенствованного управления технологическими процессами (APC, RTO)</w:t>
            </w:r>
          </w:p>
        </w:tc>
        <w:tc>
          <w:tcPr>
            <w:tcW w:w="624" w:type="pct"/>
          </w:tcPr>
          <w:p w14:paraId="1578DDFC" w14:textId="77777777" w:rsidR="00FB28D8" w:rsidRPr="00B0658A" w:rsidRDefault="00FB28D8" w:rsidP="000A4114">
            <w:pPr>
              <w:spacing w:after="0" w:line="240" w:lineRule="auto"/>
              <w:rPr>
                <w:rFonts w:ascii="Times New Roman" w:hAnsi="Times New Roman"/>
                <w:i/>
                <w:iCs/>
                <w:sz w:val="20"/>
                <w:szCs w:val="20"/>
              </w:rPr>
            </w:pPr>
          </w:p>
        </w:tc>
        <w:tc>
          <w:tcPr>
            <w:tcW w:w="1090" w:type="pct"/>
            <w:shd w:val="clear" w:color="auto" w:fill="auto"/>
          </w:tcPr>
          <w:p w14:paraId="58E8D800" w14:textId="77777777" w:rsidR="00FB28D8" w:rsidRPr="00B0658A" w:rsidRDefault="00FB28D8" w:rsidP="000A4114">
            <w:pPr>
              <w:spacing w:after="0" w:line="240" w:lineRule="auto"/>
              <w:rPr>
                <w:rFonts w:ascii="Times New Roman" w:hAnsi="Times New Roman"/>
                <w:i/>
                <w:iCs/>
                <w:sz w:val="20"/>
                <w:szCs w:val="20"/>
              </w:rPr>
            </w:pPr>
          </w:p>
        </w:tc>
        <w:tc>
          <w:tcPr>
            <w:tcW w:w="1036" w:type="pct"/>
            <w:shd w:val="clear" w:color="auto" w:fill="auto"/>
          </w:tcPr>
          <w:p w14:paraId="77B34E77" w14:textId="77777777" w:rsidR="00FB28D8" w:rsidRPr="00B0658A" w:rsidRDefault="00FB28D8" w:rsidP="000A4114">
            <w:pPr>
              <w:spacing w:after="0" w:line="240" w:lineRule="auto"/>
              <w:rPr>
                <w:rFonts w:ascii="Times New Roman" w:hAnsi="Times New Roman"/>
                <w:i/>
                <w:iCs/>
                <w:sz w:val="20"/>
                <w:szCs w:val="20"/>
              </w:rPr>
            </w:pPr>
          </w:p>
        </w:tc>
        <w:tc>
          <w:tcPr>
            <w:tcW w:w="894" w:type="pct"/>
            <w:shd w:val="clear" w:color="auto" w:fill="auto"/>
          </w:tcPr>
          <w:p w14:paraId="34D61C99" w14:textId="77777777" w:rsidR="00FB28D8" w:rsidRPr="00B0658A" w:rsidRDefault="00FB28D8" w:rsidP="000A4114">
            <w:pPr>
              <w:spacing w:after="0" w:line="240" w:lineRule="auto"/>
              <w:jc w:val="both"/>
              <w:rPr>
                <w:rFonts w:ascii="Times New Roman" w:hAnsi="Times New Roman"/>
                <w:i/>
                <w:iCs/>
                <w:sz w:val="20"/>
                <w:szCs w:val="20"/>
              </w:rPr>
            </w:pPr>
          </w:p>
        </w:tc>
      </w:tr>
      <w:tr w:rsidR="00F52FED" w:rsidRPr="00B0658A" w14:paraId="5B2EAE42" w14:textId="77777777" w:rsidTr="00B10FDE">
        <w:trPr>
          <w:trHeight w:val="170"/>
        </w:trPr>
        <w:tc>
          <w:tcPr>
            <w:tcW w:w="203" w:type="pct"/>
            <w:shd w:val="clear" w:color="auto" w:fill="auto"/>
          </w:tcPr>
          <w:p w14:paraId="386B938C" w14:textId="77777777" w:rsidR="00FB28D8" w:rsidRPr="00B0658A" w:rsidRDefault="00FB28D8" w:rsidP="000A4114">
            <w:pPr>
              <w:spacing w:after="0" w:line="240" w:lineRule="auto"/>
              <w:rPr>
                <w:rFonts w:ascii="Times New Roman" w:hAnsi="Times New Roman"/>
                <w:sz w:val="20"/>
                <w:szCs w:val="20"/>
              </w:rPr>
            </w:pPr>
            <w:r w:rsidRPr="00B0658A">
              <w:rPr>
                <w:rFonts w:ascii="Times New Roman" w:hAnsi="Times New Roman"/>
                <w:sz w:val="20"/>
                <w:szCs w:val="20"/>
              </w:rPr>
              <w:t>8.11</w:t>
            </w:r>
          </w:p>
        </w:tc>
        <w:tc>
          <w:tcPr>
            <w:tcW w:w="1153" w:type="pct"/>
            <w:shd w:val="clear" w:color="auto" w:fill="auto"/>
            <w:vAlign w:val="center"/>
          </w:tcPr>
          <w:p w14:paraId="12082E84" w14:textId="77777777" w:rsidR="00FB28D8" w:rsidRPr="00B0658A" w:rsidRDefault="00FB28D8" w:rsidP="000A4114">
            <w:pPr>
              <w:spacing w:after="0" w:line="240" w:lineRule="auto"/>
              <w:rPr>
                <w:rFonts w:ascii="Times New Roman" w:hAnsi="Times New Roman"/>
                <w:sz w:val="20"/>
                <w:szCs w:val="20"/>
              </w:rPr>
            </w:pPr>
            <w:r w:rsidRPr="00B0658A">
              <w:rPr>
                <w:rFonts w:ascii="Times New Roman" w:hAnsi="Times New Roman"/>
                <w:sz w:val="20"/>
                <w:szCs w:val="20"/>
              </w:rPr>
              <w:t>Промышленное программное обеспечение / Средства автоматизированного управления техникой</w:t>
            </w:r>
          </w:p>
        </w:tc>
        <w:tc>
          <w:tcPr>
            <w:tcW w:w="624" w:type="pct"/>
          </w:tcPr>
          <w:p w14:paraId="5EED2A75" w14:textId="77777777" w:rsidR="00FB28D8" w:rsidRPr="00B0658A" w:rsidRDefault="00FB28D8" w:rsidP="000A4114">
            <w:pPr>
              <w:spacing w:after="0" w:line="240" w:lineRule="auto"/>
              <w:rPr>
                <w:rFonts w:ascii="Times New Roman" w:hAnsi="Times New Roman"/>
                <w:i/>
                <w:iCs/>
                <w:sz w:val="20"/>
                <w:szCs w:val="20"/>
              </w:rPr>
            </w:pPr>
          </w:p>
        </w:tc>
        <w:tc>
          <w:tcPr>
            <w:tcW w:w="1090" w:type="pct"/>
            <w:shd w:val="clear" w:color="auto" w:fill="auto"/>
          </w:tcPr>
          <w:p w14:paraId="4B82C6A9" w14:textId="77777777" w:rsidR="00FB28D8" w:rsidRPr="00B0658A" w:rsidRDefault="00FB28D8" w:rsidP="000A4114">
            <w:pPr>
              <w:spacing w:after="0" w:line="240" w:lineRule="auto"/>
              <w:rPr>
                <w:rFonts w:ascii="Times New Roman" w:hAnsi="Times New Roman"/>
                <w:i/>
                <w:iCs/>
                <w:sz w:val="20"/>
                <w:szCs w:val="20"/>
              </w:rPr>
            </w:pPr>
          </w:p>
        </w:tc>
        <w:tc>
          <w:tcPr>
            <w:tcW w:w="1036" w:type="pct"/>
            <w:shd w:val="clear" w:color="auto" w:fill="auto"/>
          </w:tcPr>
          <w:p w14:paraId="730C1A68" w14:textId="77777777" w:rsidR="00FB28D8" w:rsidRPr="00B0658A" w:rsidRDefault="00FB28D8" w:rsidP="000A4114">
            <w:pPr>
              <w:spacing w:after="0" w:line="240" w:lineRule="auto"/>
              <w:rPr>
                <w:rFonts w:ascii="Times New Roman" w:hAnsi="Times New Roman"/>
                <w:i/>
                <w:iCs/>
                <w:sz w:val="20"/>
                <w:szCs w:val="20"/>
              </w:rPr>
            </w:pPr>
          </w:p>
        </w:tc>
        <w:tc>
          <w:tcPr>
            <w:tcW w:w="894" w:type="pct"/>
            <w:shd w:val="clear" w:color="auto" w:fill="auto"/>
          </w:tcPr>
          <w:p w14:paraId="325DFFE4" w14:textId="77777777" w:rsidR="00FB28D8" w:rsidRPr="00B0658A" w:rsidRDefault="00FB28D8" w:rsidP="000A4114">
            <w:pPr>
              <w:spacing w:after="0" w:line="240" w:lineRule="auto"/>
              <w:jc w:val="both"/>
              <w:rPr>
                <w:rFonts w:ascii="Times New Roman" w:hAnsi="Times New Roman"/>
                <w:i/>
                <w:iCs/>
                <w:sz w:val="20"/>
                <w:szCs w:val="20"/>
              </w:rPr>
            </w:pPr>
          </w:p>
        </w:tc>
      </w:tr>
      <w:tr w:rsidR="00F52FED" w:rsidRPr="00B0658A" w14:paraId="406AE468" w14:textId="77777777" w:rsidTr="00B10FDE">
        <w:trPr>
          <w:trHeight w:val="170"/>
        </w:trPr>
        <w:tc>
          <w:tcPr>
            <w:tcW w:w="203" w:type="pct"/>
            <w:shd w:val="clear" w:color="auto" w:fill="auto"/>
          </w:tcPr>
          <w:p w14:paraId="28E0116A" w14:textId="77777777" w:rsidR="00FB28D8" w:rsidRPr="00B0658A" w:rsidRDefault="00FB28D8" w:rsidP="000A4114">
            <w:pPr>
              <w:spacing w:after="0" w:line="240" w:lineRule="auto"/>
              <w:rPr>
                <w:rFonts w:ascii="Times New Roman" w:hAnsi="Times New Roman"/>
                <w:sz w:val="20"/>
                <w:szCs w:val="20"/>
              </w:rPr>
            </w:pPr>
            <w:r w:rsidRPr="00B0658A">
              <w:rPr>
                <w:rFonts w:ascii="Times New Roman" w:hAnsi="Times New Roman"/>
                <w:sz w:val="20"/>
                <w:szCs w:val="20"/>
              </w:rPr>
              <w:t>9.1</w:t>
            </w:r>
          </w:p>
        </w:tc>
        <w:tc>
          <w:tcPr>
            <w:tcW w:w="1153" w:type="pct"/>
            <w:shd w:val="clear" w:color="auto" w:fill="auto"/>
            <w:vAlign w:val="center"/>
          </w:tcPr>
          <w:p w14:paraId="3708D784" w14:textId="77777777" w:rsidR="00FB28D8" w:rsidRPr="00B0658A" w:rsidRDefault="00FB28D8" w:rsidP="000A4114">
            <w:pPr>
              <w:spacing w:after="0" w:line="240" w:lineRule="auto"/>
              <w:rPr>
                <w:rFonts w:ascii="Times New Roman" w:hAnsi="Times New Roman"/>
                <w:sz w:val="20"/>
                <w:szCs w:val="20"/>
              </w:rPr>
            </w:pPr>
            <w:r w:rsidRPr="00B0658A">
              <w:rPr>
                <w:rFonts w:ascii="Times New Roman" w:hAnsi="Times New Roman"/>
                <w:sz w:val="20"/>
                <w:szCs w:val="20"/>
              </w:rPr>
              <w:t>Средства управления процессами организации / Средства управления бизнес-процессами (BPM)</w:t>
            </w:r>
          </w:p>
        </w:tc>
        <w:tc>
          <w:tcPr>
            <w:tcW w:w="624" w:type="pct"/>
          </w:tcPr>
          <w:p w14:paraId="6940ABC8" w14:textId="77777777" w:rsidR="00FB28D8" w:rsidRPr="00B0658A" w:rsidRDefault="00FB28D8" w:rsidP="000A4114">
            <w:pPr>
              <w:spacing w:after="0" w:line="240" w:lineRule="auto"/>
              <w:rPr>
                <w:rFonts w:ascii="Times New Roman" w:hAnsi="Times New Roman"/>
                <w:i/>
                <w:iCs/>
                <w:sz w:val="20"/>
                <w:szCs w:val="20"/>
              </w:rPr>
            </w:pPr>
          </w:p>
        </w:tc>
        <w:tc>
          <w:tcPr>
            <w:tcW w:w="1090" w:type="pct"/>
            <w:shd w:val="clear" w:color="auto" w:fill="auto"/>
          </w:tcPr>
          <w:p w14:paraId="710B06C6" w14:textId="77777777" w:rsidR="00FB28D8" w:rsidRPr="00B0658A" w:rsidRDefault="00FB28D8" w:rsidP="000A4114">
            <w:pPr>
              <w:spacing w:after="0" w:line="240" w:lineRule="auto"/>
              <w:rPr>
                <w:rFonts w:ascii="Times New Roman" w:hAnsi="Times New Roman"/>
                <w:i/>
                <w:iCs/>
                <w:sz w:val="20"/>
                <w:szCs w:val="20"/>
              </w:rPr>
            </w:pPr>
          </w:p>
        </w:tc>
        <w:tc>
          <w:tcPr>
            <w:tcW w:w="1036" w:type="pct"/>
            <w:shd w:val="clear" w:color="auto" w:fill="auto"/>
          </w:tcPr>
          <w:p w14:paraId="4F0FC214" w14:textId="77777777" w:rsidR="00FB28D8" w:rsidRPr="00B0658A" w:rsidRDefault="00FB28D8" w:rsidP="000A4114">
            <w:pPr>
              <w:spacing w:after="0" w:line="240" w:lineRule="auto"/>
              <w:rPr>
                <w:rFonts w:ascii="Times New Roman" w:hAnsi="Times New Roman"/>
                <w:i/>
                <w:iCs/>
                <w:sz w:val="20"/>
                <w:szCs w:val="20"/>
              </w:rPr>
            </w:pPr>
          </w:p>
        </w:tc>
        <w:tc>
          <w:tcPr>
            <w:tcW w:w="894" w:type="pct"/>
            <w:shd w:val="clear" w:color="auto" w:fill="auto"/>
          </w:tcPr>
          <w:p w14:paraId="2A9565B0" w14:textId="77777777" w:rsidR="00FB28D8" w:rsidRPr="00B0658A" w:rsidRDefault="00FB28D8" w:rsidP="000A4114">
            <w:pPr>
              <w:spacing w:after="0" w:line="240" w:lineRule="auto"/>
              <w:jc w:val="both"/>
              <w:rPr>
                <w:rFonts w:ascii="Times New Roman" w:hAnsi="Times New Roman"/>
                <w:i/>
                <w:iCs/>
                <w:sz w:val="20"/>
                <w:szCs w:val="20"/>
              </w:rPr>
            </w:pPr>
          </w:p>
        </w:tc>
      </w:tr>
      <w:tr w:rsidR="00F52FED" w:rsidRPr="00B0658A" w14:paraId="77774E22" w14:textId="77777777" w:rsidTr="00B10FDE">
        <w:trPr>
          <w:trHeight w:val="170"/>
        </w:trPr>
        <w:tc>
          <w:tcPr>
            <w:tcW w:w="203" w:type="pct"/>
            <w:shd w:val="clear" w:color="auto" w:fill="auto"/>
          </w:tcPr>
          <w:p w14:paraId="5FC950F5" w14:textId="77777777" w:rsidR="00FB28D8" w:rsidRPr="00B0658A" w:rsidRDefault="00FB28D8" w:rsidP="000A4114">
            <w:pPr>
              <w:spacing w:after="0" w:line="240" w:lineRule="auto"/>
              <w:rPr>
                <w:rFonts w:ascii="Times New Roman" w:hAnsi="Times New Roman"/>
                <w:sz w:val="20"/>
                <w:szCs w:val="20"/>
              </w:rPr>
            </w:pPr>
            <w:r w:rsidRPr="00B0658A">
              <w:rPr>
                <w:rFonts w:ascii="Times New Roman" w:hAnsi="Times New Roman"/>
                <w:sz w:val="20"/>
                <w:szCs w:val="20"/>
              </w:rPr>
              <w:t>9.2</w:t>
            </w:r>
          </w:p>
        </w:tc>
        <w:tc>
          <w:tcPr>
            <w:tcW w:w="1153" w:type="pct"/>
            <w:shd w:val="clear" w:color="auto" w:fill="auto"/>
            <w:vAlign w:val="center"/>
          </w:tcPr>
          <w:p w14:paraId="4933A56A" w14:textId="77777777" w:rsidR="00FB28D8" w:rsidRPr="00B0658A" w:rsidRDefault="00FB28D8" w:rsidP="000A4114">
            <w:pPr>
              <w:spacing w:after="0" w:line="240" w:lineRule="auto"/>
              <w:rPr>
                <w:rFonts w:ascii="Times New Roman" w:hAnsi="Times New Roman"/>
                <w:sz w:val="20"/>
                <w:szCs w:val="20"/>
              </w:rPr>
            </w:pPr>
            <w:r w:rsidRPr="00B0658A">
              <w:rPr>
                <w:rFonts w:ascii="Times New Roman" w:hAnsi="Times New Roman"/>
                <w:sz w:val="20"/>
                <w:szCs w:val="20"/>
              </w:rPr>
              <w:t>Средства управления процессами организации/ Средства управления производственными процессами (MES)</w:t>
            </w:r>
          </w:p>
        </w:tc>
        <w:tc>
          <w:tcPr>
            <w:tcW w:w="624" w:type="pct"/>
          </w:tcPr>
          <w:p w14:paraId="5D5DA840" w14:textId="77777777" w:rsidR="00FB28D8" w:rsidRPr="00B0658A" w:rsidRDefault="00FB28D8" w:rsidP="000A4114">
            <w:pPr>
              <w:spacing w:after="0" w:line="240" w:lineRule="auto"/>
              <w:rPr>
                <w:rFonts w:ascii="Times New Roman" w:hAnsi="Times New Roman"/>
                <w:i/>
                <w:iCs/>
                <w:sz w:val="20"/>
                <w:szCs w:val="20"/>
              </w:rPr>
            </w:pPr>
          </w:p>
        </w:tc>
        <w:tc>
          <w:tcPr>
            <w:tcW w:w="1090" w:type="pct"/>
            <w:shd w:val="clear" w:color="auto" w:fill="auto"/>
          </w:tcPr>
          <w:p w14:paraId="6D0C89CC" w14:textId="77777777" w:rsidR="00FB28D8" w:rsidRPr="00B0658A" w:rsidRDefault="00FB28D8" w:rsidP="000A4114">
            <w:pPr>
              <w:spacing w:after="0" w:line="240" w:lineRule="auto"/>
              <w:rPr>
                <w:rFonts w:ascii="Times New Roman" w:hAnsi="Times New Roman"/>
                <w:i/>
                <w:iCs/>
                <w:sz w:val="20"/>
                <w:szCs w:val="20"/>
              </w:rPr>
            </w:pPr>
          </w:p>
        </w:tc>
        <w:tc>
          <w:tcPr>
            <w:tcW w:w="1036" w:type="pct"/>
            <w:shd w:val="clear" w:color="auto" w:fill="auto"/>
          </w:tcPr>
          <w:p w14:paraId="150F3C31" w14:textId="77777777" w:rsidR="00FB28D8" w:rsidRPr="00B0658A" w:rsidRDefault="00FB28D8" w:rsidP="000A4114">
            <w:pPr>
              <w:spacing w:after="0" w:line="240" w:lineRule="auto"/>
              <w:rPr>
                <w:rFonts w:ascii="Times New Roman" w:hAnsi="Times New Roman"/>
                <w:i/>
                <w:iCs/>
                <w:sz w:val="20"/>
                <w:szCs w:val="20"/>
              </w:rPr>
            </w:pPr>
          </w:p>
        </w:tc>
        <w:tc>
          <w:tcPr>
            <w:tcW w:w="894" w:type="pct"/>
            <w:shd w:val="clear" w:color="auto" w:fill="auto"/>
          </w:tcPr>
          <w:p w14:paraId="0484D8A1" w14:textId="77777777" w:rsidR="00FB28D8" w:rsidRPr="00B0658A" w:rsidRDefault="00FB28D8" w:rsidP="000A4114">
            <w:pPr>
              <w:spacing w:after="0" w:line="240" w:lineRule="auto"/>
              <w:jc w:val="both"/>
              <w:rPr>
                <w:rFonts w:ascii="Times New Roman" w:hAnsi="Times New Roman"/>
                <w:i/>
                <w:iCs/>
                <w:sz w:val="20"/>
                <w:szCs w:val="20"/>
              </w:rPr>
            </w:pPr>
          </w:p>
        </w:tc>
      </w:tr>
      <w:tr w:rsidR="00F52FED" w:rsidRPr="00B0658A" w14:paraId="3920C51B" w14:textId="77777777" w:rsidTr="00B10FDE">
        <w:trPr>
          <w:trHeight w:val="170"/>
        </w:trPr>
        <w:tc>
          <w:tcPr>
            <w:tcW w:w="203" w:type="pct"/>
            <w:shd w:val="clear" w:color="auto" w:fill="auto"/>
          </w:tcPr>
          <w:p w14:paraId="36FD70A7" w14:textId="77777777" w:rsidR="00FB28D8" w:rsidRPr="00B0658A" w:rsidRDefault="00FB28D8" w:rsidP="000A4114">
            <w:pPr>
              <w:spacing w:after="0" w:line="240" w:lineRule="auto"/>
              <w:rPr>
                <w:rFonts w:ascii="Times New Roman" w:hAnsi="Times New Roman"/>
                <w:sz w:val="20"/>
                <w:szCs w:val="20"/>
              </w:rPr>
            </w:pPr>
            <w:r w:rsidRPr="00B0658A">
              <w:rPr>
                <w:rFonts w:ascii="Times New Roman" w:hAnsi="Times New Roman"/>
                <w:sz w:val="20"/>
                <w:szCs w:val="20"/>
              </w:rPr>
              <w:t>9.3</w:t>
            </w:r>
          </w:p>
        </w:tc>
        <w:tc>
          <w:tcPr>
            <w:tcW w:w="1153" w:type="pct"/>
            <w:shd w:val="clear" w:color="auto" w:fill="auto"/>
            <w:vAlign w:val="center"/>
          </w:tcPr>
          <w:p w14:paraId="33D78BB6" w14:textId="77777777" w:rsidR="00FB28D8" w:rsidRPr="00B0658A" w:rsidRDefault="00FB28D8" w:rsidP="000A4114">
            <w:pPr>
              <w:spacing w:after="0" w:line="240" w:lineRule="auto"/>
              <w:rPr>
                <w:rFonts w:ascii="Times New Roman" w:hAnsi="Times New Roman"/>
                <w:sz w:val="20"/>
                <w:szCs w:val="20"/>
              </w:rPr>
            </w:pPr>
            <w:r w:rsidRPr="00B0658A">
              <w:rPr>
                <w:rFonts w:ascii="Times New Roman" w:hAnsi="Times New Roman"/>
                <w:sz w:val="20"/>
                <w:szCs w:val="20"/>
              </w:rPr>
              <w:t>Средства управления процессами организации / Средства управления лабораторными потоками работ и документов (LIMS)</w:t>
            </w:r>
          </w:p>
        </w:tc>
        <w:tc>
          <w:tcPr>
            <w:tcW w:w="624" w:type="pct"/>
          </w:tcPr>
          <w:p w14:paraId="6F17A52C" w14:textId="77777777" w:rsidR="00FB28D8" w:rsidRPr="00B0658A" w:rsidRDefault="00FB28D8" w:rsidP="000A4114">
            <w:pPr>
              <w:spacing w:after="0" w:line="240" w:lineRule="auto"/>
              <w:rPr>
                <w:rFonts w:ascii="Times New Roman" w:hAnsi="Times New Roman"/>
                <w:i/>
                <w:iCs/>
                <w:sz w:val="20"/>
                <w:szCs w:val="20"/>
              </w:rPr>
            </w:pPr>
          </w:p>
        </w:tc>
        <w:tc>
          <w:tcPr>
            <w:tcW w:w="1090" w:type="pct"/>
            <w:shd w:val="clear" w:color="auto" w:fill="auto"/>
          </w:tcPr>
          <w:p w14:paraId="792883F0" w14:textId="77777777" w:rsidR="00FB28D8" w:rsidRPr="00B0658A" w:rsidRDefault="00FB28D8" w:rsidP="000A4114">
            <w:pPr>
              <w:spacing w:after="0" w:line="240" w:lineRule="auto"/>
              <w:rPr>
                <w:rFonts w:ascii="Times New Roman" w:hAnsi="Times New Roman"/>
                <w:i/>
                <w:iCs/>
                <w:sz w:val="20"/>
                <w:szCs w:val="20"/>
              </w:rPr>
            </w:pPr>
          </w:p>
        </w:tc>
        <w:tc>
          <w:tcPr>
            <w:tcW w:w="1036" w:type="pct"/>
            <w:shd w:val="clear" w:color="auto" w:fill="auto"/>
          </w:tcPr>
          <w:p w14:paraId="225A913D" w14:textId="77777777" w:rsidR="00FB28D8" w:rsidRPr="00B0658A" w:rsidRDefault="00FB28D8" w:rsidP="000A4114">
            <w:pPr>
              <w:spacing w:after="0" w:line="240" w:lineRule="auto"/>
              <w:rPr>
                <w:rFonts w:ascii="Times New Roman" w:hAnsi="Times New Roman"/>
                <w:i/>
                <w:iCs/>
                <w:sz w:val="20"/>
                <w:szCs w:val="20"/>
              </w:rPr>
            </w:pPr>
          </w:p>
        </w:tc>
        <w:tc>
          <w:tcPr>
            <w:tcW w:w="894" w:type="pct"/>
            <w:shd w:val="clear" w:color="auto" w:fill="auto"/>
          </w:tcPr>
          <w:p w14:paraId="07829F2A" w14:textId="77777777" w:rsidR="00FB28D8" w:rsidRPr="00B0658A" w:rsidRDefault="00FB28D8" w:rsidP="000A4114">
            <w:pPr>
              <w:spacing w:after="0" w:line="240" w:lineRule="auto"/>
              <w:jc w:val="both"/>
              <w:rPr>
                <w:rFonts w:ascii="Times New Roman" w:hAnsi="Times New Roman"/>
                <w:i/>
                <w:iCs/>
                <w:sz w:val="20"/>
                <w:szCs w:val="20"/>
              </w:rPr>
            </w:pPr>
          </w:p>
        </w:tc>
      </w:tr>
      <w:tr w:rsidR="00F52FED" w:rsidRPr="00B0658A" w14:paraId="5476CBA5" w14:textId="77777777" w:rsidTr="00B10FDE">
        <w:trPr>
          <w:trHeight w:val="170"/>
        </w:trPr>
        <w:tc>
          <w:tcPr>
            <w:tcW w:w="203" w:type="pct"/>
            <w:shd w:val="clear" w:color="auto" w:fill="auto"/>
          </w:tcPr>
          <w:p w14:paraId="39367526" w14:textId="77777777" w:rsidR="00FB28D8" w:rsidRPr="00B0658A" w:rsidRDefault="00FB28D8" w:rsidP="000A4114">
            <w:pPr>
              <w:spacing w:after="0" w:line="240" w:lineRule="auto"/>
              <w:rPr>
                <w:rFonts w:ascii="Times New Roman" w:hAnsi="Times New Roman"/>
                <w:sz w:val="20"/>
                <w:szCs w:val="20"/>
              </w:rPr>
            </w:pPr>
            <w:r w:rsidRPr="00B0658A">
              <w:rPr>
                <w:rFonts w:ascii="Times New Roman" w:hAnsi="Times New Roman"/>
                <w:sz w:val="20"/>
                <w:szCs w:val="20"/>
              </w:rPr>
              <w:t>9.4</w:t>
            </w:r>
          </w:p>
        </w:tc>
        <w:tc>
          <w:tcPr>
            <w:tcW w:w="1153" w:type="pct"/>
            <w:shd w:val="clear" w:color="auto" w:fill="auto"/>
            <w:vAlign w:val="center"/>
          </w:tcPr>
          <w:p w14:paraId="7939128F" w14:textId="77777777" w:rsidR="00FB28D8" w:rsidRPr="00B0658A" w:rsidRDefault="00FB28D8" w:rsidP="000A4114">
            <w:pPr>
              <w:spacing w:after="0" w:line="240" w:lineRule="auto"/>
              <w:rPr>
                <w:rFonts w:ascii="Times New Roman" w:hAnsi="Times New Roman"/>
                <w:sz w:val="20"/>
                <w:szCs w:val="20"/>
              </w:rPr>
            </w:pPr>
            <w:r w:rsidRPr="00B0658A">
              <w:rPr>
                <w:rFonts w:ascii="Times New Roman" w:hAnsi="Times New Roman"/>
                <w:sz w:val="20"/>
                <w:szCs w:val="20"/>
              </w:rPr>
              <w:t>Средства управления процессами организации/ Средства управления технологическими процессами (АСУ ТП, SCADA)</w:t>
            </w:r>
          </w:p>
        </w:tc>
        <w:tc>
          <w:tcPr>
            <w:tcW w:w="624" w:type="pct"/>
          </w:tcPr>
          <w:p w14:paraId="1D89FD66" w14:textId="77777777" w:rsidR="00FB28D8" w:rsidRPr="00B0658A" w:rsidRDefault="00FB28D8" w:rsidP="000A4114">
            <w:pPr>
              <w:spacing w:after="0" w:line="240" w:lineRule="auto"/>
              <w:rPr>
                <w:rFonts w:ascii="Times New Roman" w:hAnsi="Times New Roman"/>
                <w:i/>
                <w:iCs/>
                <w:sz w:val="20"/>
                <w:szCs w:val="20"/>
              </w:rPr>
            </w:pPr>
          </w:p>
        </w:tc>
        <w:tc>
          <w:tcPr>
            <w:tcW w:w="1090" w:type="pct"/>
            <w:shd w:val="clear" w:color="auto" w:fill="auto"/>
          </w:tcPr>
          <w:p w14:paraId="51CAF8DC" w14:textId="77777777" w:rsidR="00FB28D8" w:rsidRPr="00B0658A" w:rsidRDefault="00FB28D8" w:rsidP="000A4114">
            <w:pPr>
              <w:spacing w:after="0" w:line="240" w:lineRule="auto"/>
              <w:rPr>
                <w:rFonts w:ascii="Times New Roman" w:hAnsi="Times New Roman"/>
                <w:i/>
                <w:iCs/>
                <w:sz w:val="20"/>
                <w:szCs w:val="20"/>
              </w:rPr>
            </w:pPr>
          </w:p>
        </w:tc>
        <w:tc>
          <w:tcPr>
            <w:tcW w:w="1036" w:type="pct"/>
            <w:shd w:val="clear" w:color="auto" w:fill="auto"/>
          </w:tcPr>
          <w:p w14:paraId="72BA02B6" w14:textId="77777777" w:rsidR="00FB28D8" w:rsidRPr="00B0658A" w:rsidRDefault="00FB28D8" w:rsidP="000A4114">
            <w:pPr>
              <w:spacing w:after="0" w:line="240" w:lineRule="auto"/>
              <w:rPr>
                <w:rFonts w:ascii="Times New Roman" w:hAnsi="Times New Roman"/>
                <w:i/>
                <w:iCs/>
                <w:sz w:val="20"/>
                <w:szCs w:val="20"/>
              </w:rPr>
            </w:pPr>
          </w:p>
        </w:tc>
        <w:tc>
          <w:tcPr>
            <w:tcW w:w="894" w:type="pct"/>
            <w:shd w:val="clear" w:color="auto" w:fill="auto"/>
          </w:tcPr>
          <w:p w14:paraId="6506E472" w14:textId="77777777" w:rsidR="00FB28D8" w:rsidRPr="00B0658A" w:rsidRDefault="00FB28D8" w:rsidP="000A4114">
            <w:pPr>
              <w:spacing w:after="0" w:line="240" w:lineRule="auto"/>
              <w:jc w:val="both"/>
              <w:rPr>
                <w:rFonts w:ascii="Times New Roman" w:hAnsi="Times New Roman"/>
                <w:i/>
                <w:iCs/>
                <w:sz w:val="20"/>
                <w:szCs w:val="20"/>
              </w:rPr>
            </w:pPr>
          </w:p>
        </w:tc>
      </w:tr>
      <w:tr w:rsidR="00F52FED" w:rsidRPr="00B0658A" w14:paraId="54EBBF7E" w14:textId="77777777" w:rsidTr="00B10FDE">
        <w:trPr>
          <w:trHeight w:val="170"/>
        </w:trPr>
        <w:tc>
          <w:tcPr>
            <w:tcW w:w="203" w:type="pct"/>
            <w:shd w:val="clear" w:color="auto" w:fill="auto"/>
          </w:tcPr>
          <w:p w14:paraId="6C6F57CC" w14:textId="77777777" w:rsidR="00FB28D8" w:rsidRPr="00B0658A" w:rsidRDefault="00FB28D8" w:rsidP="000A4114">
            <w:pPr>
              <w:spacing w:after="0" w:line="240" w:lineRule="auto"/>
              <w:rPr>
                <w:rFonts w:ascii="Times New Roman" w:hAnsi="Times New Roman"/>
                <w:sz w:val="20"/>
                <w:szCs w:val="20"/>
              </w:rPr>
            </w:pPr>
            <w:r w:rsidRPr="00B0658A">
              <w:rPr>
                <w:rFonts w:ascii="Times New Roman" w:hAnsi="Times New Roman"/>
                <w:sz w:val="20"/>
                <w:szCs w:val="20"/>
              </w:rPr>
              <w:t>9.5</w:t>
            </w:r>
          </w:p>
        </w:tc>
        <w:tc>
          <w:tcPr>
            <w:tcW w:w="1153" w:type="pct"/>
            <w:shd w:val="clear" w:color="auto" w:fill="auto"/>
            <w:vAlign w:val="center"/>
          </w:tcPr>
          <w:p w14:paraId="06882BAB" w14:textId="77777777" w:rsidR="00FB28D8" w:rsidRPr="00B0658A" w:rsidRDefault="00FB28D8" w:rsidP="000A4114">
            <w:pPr>
              <w:spacing w:after="0" w:line="240" w:lineRule="auto"/>
              <w:rPr>
                <w:rFonts w:ascii="Times New Roman" w:hAnsi="Times New Roman"/>
                <w:sz w:val="20"/>
                <w:szCs w:val="20"/>
              </w:rPr>
            </w:pPr>
            <w:r w:rsidRPr="00B0658A">
              <w:rPr>
                <w:rFonts w:ascii="Times New Roman" w:hAnsi="Times New Roman"/>
                <w:sz w:val="20"/>
                <w:szCs w:val="20"/>
              </w:rPr>
              <w:t>Средства управления процессами организации/ Средства управления эффективностью предприятия (CPM/EPM)</w:t>
            </w:r>
          </w:p>
        </w:tc>
        <w:tc>
          <w:tcPr>
            <w:tcW w:w="624" w:type="pct"/>
          </w:tcPr>
          <w:p w14:paraId="30FFEAA8" w14:textId="77777777" w:rsidR="00FB28D8" w:rsidRPr="00B0658A" w:rsidRDefault="00FB28D8" w:rsidP="000A4114">
            <w:pPr>
              <w:spacing w:after="0" w:line="240" w:lineRule="auto"/>
              <w:rPr>
                <w:rFonts w:ascii="Times New Roman" w:hAnsi="Times New Roman"/>
                <w:i/>
                <w:iCs/>
                <w:sz w:val="20"/>
                <w:szCs w:val="20"/>
              </w:rPr>
            </w:pPr>
          </w:p>
        </w:tc>
        <w:tc>
          <w:tcPr>
            <w:tcW w:w="1090" w:type="pct"/>
            <w:shd w:val="clear" w:color="auto" w:fill="auto"/>
          </w:tcPr>
          <w:p w14:paraId="64D9F6F6" w14:textId="77777777" w:rsidR="00FB28D8" w:rsidRPr="00B0658A" w:rsidRDefault="00FB28D8" w:rsidP="000A4114">
            <w:pPr>
              <w:spacing w:after="0" w:line="240" w:lineRule="auto"/>
              <w:rPr>
                <w:rFonts w:ascii="Times New Roman" w:hAnsi="Times New Roman"/>
                <w:i/>
                <w:iCs/>
                <w:sz w:val="20"/>
                <w:szCs w:val="20"/>
              </w:rPr>
            </w:pPr>
          </w:p>
        </w:tc>
        <w:tc>
          <w:tcPr>
            <w:tcW w:w="1036" w:type="pct"/>
            <w:shd w:val="clear" w:color="auto" w:fill="auto"/>
          </w:tcPr>
          <w:p w14:paraId="18E42398" w14:textId="77777777" w:rsidR="00FB28D8" w:rsidRPr="00B0658A" w:rsidRDefault="00FB28D8" w:rsidP="000A4114">
            <w:pPr>
              <w:spacing w:after="0" w:line="240" w:lineRule="auto"/>
              <w:rPr>
                <w:rFonts w:ascii="Times New Roman" w:hAnsi="Times New Roman"/>
                <w:i/>
                <w:iCs/>
                <w:sz w:val="20"/>
                <w:szCs w:val="20"/>
              </w:rPr>
            </w:pPr>
          </w:p>
        </w:tc>
        <w:tc>
          <w:tcPr>
            <w:tcW w:w="894" w:type="pct"/>
            <w:shd w:val="clear" w:color="auto" w:fill="auto"/>
          </w:tcPr>
          <w:p w14:paraId="03364B19" w14:textId="77777777" w:rsidR="00FB28D8" w:rsidRPr="00B0658A" w:rsidRDefault="00FB28D8" w:rsidP="000A4114">
            <w:pPr>
              <w:spacing w:after="0" w:line="240" w:lineRule="auto"/>
              <w:jc w:val="both"/>
              <w:rPr>
                <w:rFonts w:ascii="Times New Roman" w:hAnsi="Times New Roman"/>
                <w:i/>
                <w:iCs/>
                <w:sz w:val="20"/>
                <w:szCs w:val="20"/>
              </w:rPr>
            </w:pPr>
          </w:p>
        </w:tc>
      </w:tr>
      <w:tr w:rsidR="00F52FED" w:rsidRPr="00B0658A" w14:paraId="24D86DDA" w14:textId="77777777" w:rsidTr="00B10FDE">
        <w:trPr>
          <w:trHeight w:val="170"/>
        </w:trPr>
        <w:tc>
          <w:tcPr>
            <w:tcW w:w="203" w:type="pct"/>
            <w:shd w:val="clear" w:color="auto" w:fill="auto"/>
          </w:tcPr>
          <w:p w14:paraId="731E3491" w14:textId="77777777" w:rsidR="00FB28D8" w:rsidRPr="00B0658A" w:rsidRDefault="00FB28D8" w:rsidP="000A4114">
            <w:pPr>
              <w:spacing w:after="0" w:line="240" w:lineRule="auto"/>
              <w:rPr>
                <w:rFonts w:ascii="Times New Roman" w:hAnsi="Times New Roman"/>
                <w:sz w:val="20"/>
                <w:szCs w:val="20"/>
              </w:rPr>
            </w:pPr>
            <w:r w:rsidRPr="00B0658A">
              <w:rPr>
                <w:rFonts w:ascii="Times New Roman" w:hAnsi="Times New Roman"/>
                <w:sz w:val="20"/>
                <w:szCs w:val="20"/>
              </w:rPr>
              <w:t>9.6</w:t>
            </w:r>
          </w:p>
        </w:tc>
        <w:tc>
          <w:tcPr>
            <w:tcW w:w="1153" w:type="pct"/>
            <w:shd w:val="clear" w:color="auto" w:fill="auto"/>
            <w:vAlign w:val="center"/>
          </w:tcPr>
          <w:p w14:paraId="68D38FD1" w14:textId="77777777" w:rsidR="00FB28D8" w:rsidRPr="00B0658A" w:rsidRDefault="00FB28D8" w:rsidP="000A4114">
            <w:pPr>
              <w:spacing w:after="0" w:line="240" w:lineRule="auto"/>
              <w:rPr>
                <w:rFonts w:ascii="Times New Roman" w:hAnsi="Times New Roman"/>
                <w:sz w:val="20"/>
                <w:szCs w:val="20"/>
              </w:rPr>
            </w:pPr>
            <w:r w:rsidRPr="00B0658A">
              <w:rPr>
                <w:rFonts w:ascii="Times New Roman" w:hAnsi="Times New Roman"/>
                <w:sz w:val="20"/>
                <w:szCs w:val="20"/>
              </w:rPr>
              <w:t>Средства управления процессами организации/ Средства управления основными фондами предприятия (EAM)</w:t>
            </w:r>
          </w:p>
        </w:tc>
        <w:tc>
          <w:tcPr>
            <w:tcW w:w="624" w:type="pct"/>
          </w:tcPr>
          <w:p w14:paraId="1741298F" w14:textId="77777777" w:rsidR="00FB28D8" w:rsidRPr="00B0658A" w:rsidRDefault="00FB28D8" w:rsidP="000A4114">
            <w:pPr>
              <w:spacing w:after="0" w:line="240" w:lineRule="auto"/>
              <w:rPr>
                <w:rFonts w:ascii="Times New Roman" w:hAnsi="Times New Roman"/>
                <w:i/>
                <w:iCs/>
                <w:sz w:val="20"/>
                <w:szCs w:val="20"/>
              </w:rPr>
            </w:pPr>
          </w:p>
        </w:tc>
        <w:tc>
          <w:tcPr>
            <w:tcW w:w="1090" w:type="pct"/>
            <w:shd w:val="clear" w:color="auto" w:fill="auto"/>
          </w:tcPr>
          <w:p w14:paraId="39E40441" w14:textId="77777777" w:rsidR="00FB28D8" w:rsidRPr="00B0658A" w:rsidRDefault="00FB28D8" w:rsidP="000A4114">
            <w:pPr>
              <w:spacing w:after="0" w:line="240" w:lineRule="auto"/>
              <w:rPr>
                <w:rFonts w:ascii="Times New Roman" w:hAnsi="Times New Roman"/>
                <w:i/>
                <w:iCs/>
                <w:sz w:val="20"/>
                <w:szCs w:val="20"/>
              </w:rPr>
            </w:pPr>
          </w:p>
        </w:tc>
        <w:tc>
          <w:tcPr>
            <w:tcW w:w="1036" w:type="pct"/>
            <w:shd w:val="clear" w:color="auto" w:fill="auto"/>
          </w:tcPr>
          <w:p w14:paraId="7B83F904" w14:textId="77777777" w:rsidR="00FB28D8" w:rsidRPr="00B0658A" w:rsidRDefault="00FB28D8" w:rsidP="000A4114">
            <w:pPr>
              <w:spacing w:after="0" w:line="240" w:lineRule="auto"/>
              <w:rPr>
                <w:rFonts w:ascii="Times New Roman" w:hAnsi="Times New Roman"/>
                <w:i/>
                <w:iCs/>
                <w:sz w:val="20"/>
                <w:szCs w:val="20"/>
              </w:rPr>
            </w:pPr>
          </w:p>
        </w:tc>
        <w:tc>
          <w:tcPr>
            <w:tcW w:w="894" w:type="pct"/>
            <w:shd w:val="clear" w:color="auto" w:fill="auto"/>
          </w:tcPr>
          <w:p w14:paraId="10F512A1" w14:textId="77777777" w:rsidR="00FB28D8" w:rsidRPr="00B0658A" w:rsidRDefault="00FB28D8" w:rsidP="000A4114">
            <w:pPr>
              <w:spacing w:after="0" w:line="240" w:lineRule="auto"/>
              <w:jc w:val="both"/>
              <w:rPr>
                <w:rFonts w:ascii="Times New Roman" w:hAnsi="Times New Roman"/>
                <w:i/>
                <w:iCs/>
                <w:sz w:val="20"/>
                <w:szCs w:val="20"/>
              </w:rPr>
            </w:pPr>
          </w:p>
        </w:tc>
      </w:tr>
      <w:tr w:rsidR="00F52FED" w:rsidRPr="00B0658A" w14:paraId="582A4F5D" w14:textId="77777777" w:rsidTr="00B10FDE">
        <w:trPr>
          <w:trHeight w:val="170"/>
        </w:trPr>
        <w:tc>
          <w:tcPr>
            <w:tcW w:w="203" w:type="pct"/>
            <w:shd w:val="clear" w:color="auto" w:fill="auto"/>
          </w:tcPr>
          <w:p w14:paraId="1DFB02FD" w14:textId="77777777" w:rsidR="00FB28D8" w:rsidRPr="00B0658A" w:rsidRDefault="00FB28D8" w:rsidP="000A4114">
            <w:pPr>
              <w:spacing w:after="0" w:line="240" w:lineRule="auto"/>
              <w:rPr>
                <w:rFonts w:ascii="Times New Roman" w:hAnsi="Times New Roman"/>
                <w:sz w:val="20"/>
                <w:szCs w:val="20"/>
              </w:rPr>
            </w:pPr>
            <w:r w:rsidRPr="00B0658A">
              <w:rPr>
                <w:rFonts w:ascii="Times New Roman" w:hAnsi="Times New Roman"/>
                <w:sz w:val="20"/>
                <w:szCs w:val="20"/>
              </w:rPr>
              <w:t>9.7</w:t>
            </w:r>
          </w:p>
        </w:tc>
        <w:tc>
          <w:tcPr>
            <w:tcW w:w="1153" w:type="pct"/>
            <w:shd w:val="clear" w:color="auto" w:fill="auto"/>
            <w:vAlign w:val="center"/>
          </w:tcPr>
          <w:p w14:paraId="41AE5FA1" w14:textId="77777777" w:rsidR="00FB28D8" w:rsidRPr="00B0658A" w:rsidRDefault="00FB28D8" w:rsidP="000A4114">
            <w:pPr>
              <w:spacing w:after="0" w:line="240" w:lineRule="auto"/>
              <w:rPr>
                <w:rFonts w:ascii="Times New Roman" w:hAnsi="Times New Roman"/>
                <w:sz w:val="20"/>
                <w:szCs w:val="20"/>
              </w:rPr>
            </w:pPr>
            <w:r w:rsidRPr="00B0658A">
              <w:rPr>
                <w:rFonts w:ascii="Times New Roman" w:hAnsi="Times New Roman"/>
                <w:sz w:val="20"/>
                <w:szCs w:val="20"/>
              </w:rPr>
              <w:t>Средства управления процессами организации/ Средства финансового менеджмента, управления активами и трудовыми ресурсами (ERP)</w:t>
            </w:r>
          </w:p>
        </w:tc>
        <w:tc>
          <w:tcPr>
            <w:tcW w:w="624" w:type="pct"/>
          </w:tcPr>
          <w:p w14:paraId="59977469" w14:textId="77777777" w:rsidR="00FB28D8" w:rsidRPr="00B0658A" w:rsidRDefault="00FB28D8" w:rsidP="000A4114">
            <w:pPr>
              <w:spacing w:after="0" w:line="240" w:lineRule="auto"/>
              <w:rPr>
                <w:rFonts w:ascii="Times New Roman" w:hAnsi="Times New Roman"/>
                <w:i/>
                <w:iCs/>
                <w:sz w:val="20"/>
                <w:szCs w:val="20"/>
              </w:rPr>
            </w:pPr>
          </w:p>
        </w:tc>
        <w:tc>
          <w:tcPr>
            <w:tcW w:w="1090" w:type="pct"/>
            <w:shd w:val="clear" w:color="auto" w:fill="auto"/>
          </w:tcPr>
          <w:p w14:paraId="2259C094" w14:textId="77777777" w:rsidR="00FB28D8" w:rsidRPr="00B0658A" w:rsidRDefault="00FB28D8" w:rsidP="000A4114">
            <w:pPr>
              <w:spacing w:after="0" w:line="240" w:lineRule="auto"/>
              <w:rPr>
                <w:rFonts w:ascii="Times New Roman" w:hAnsi="Times New Roman"/>
                <w:i/>
                <w:iCs/>
                <w:sz w:val="20"/>
                <w:szCs w:val="20"/>
              </w:rPr>
            </w:pPr>
          </w:p>
        </w:tc>
        <w:tc>
          <w:tcPr>
            <w:tcW w:w="1036" w:type="pct"/>
            <w:shd w:val="clear" w:color="auto" w:fill="auto"/>
          </w:tcPr>
          <w:p w14:paraId="683DBED6" w14:textId="77777777" w:rsidR="00FB28D8" w:rsidRPr="00B0658A" w:rsidRDefault="00FB28D8" w:rsidP="000A4114">
            <w:pPr>
              <w:spacing w:after="0" w:line="240" w:lineRule="auto"/>
              <w:rPr>
                <w:rFonts w:ascii="Times New Roman" w:hAnsi="Times New Roman"/>
                <w:i/>
                <w:iCs/>
                <w:sz w:val="20"/>
                <w:szCs w:val="20"/>
              </w:rPr>
            </w:pPr>
          </w:p>
        </w:tc>
        <w:tc>
          <w:tcPr>
            <w:tcW w:w="894" w:type="pct"/>
            <w:shd w:val="clear" w:color="auto" w:fill="auto"/>
          </w:tcPr>
          <w:p w14:paraId="23CF061D" w14:textId="77777777" w:rsidR="00FB28D8" w:rsidRPr="00B0658A" w:rsidRDefault="00FB28D8" w:rsidP="000A4114">
            <w:pPr>
              <w:spacing w:after="0" w:line="240" w:lineRule="auto"/>
              <w:jc w:val="both"/>
              <w:rPr>
                <w:rFonts w:ascii="Times New Roman" w:hAnsi="Times New Roman"/>
                <w:i/>
                <w:iCs/>
                <w:sz w:val="20"/>
                <w:szCs w:val="20"/>
              </w:rPr>
            </w:pPr>
          </w:p>
        </w:tc>
      </w:tr>
      <w:tr w:rsidR="00F52FED" w:rsidRPr="00B0658A" w14:paraId="2A4176BE" w14:textId="77777777" w:rsidTr="00B10FDE">
        <w:trPr>
          <w:trHeight w:val="170"/>
        </w:trPr>
        <w:tc>
          <w:tcPr>
            <w:tcW w:w="203" w:type="pct"/>
            <w:shd w:val="clear" w:color="auto" w:fill="auto"/>
          </w:tcPr>
          <w:p w14:paraId="6A3391E7" w14:textId="77777777" w:rsidR="00FB28D8" w:rsidRPr="00B0658A" w:rsidRDefault="00FB28D8" w:rsidP="000A4114">
            <w:pPr>
              <w:spacing w:after="0" w:line="240" w:lineRule="auto"/>
              <w:rPr>
                <w:rFonts w:ascii="Times New Roman" w:hAnsi="Times New Roman"/>
                <w:sz w:val="20"/>
                <w:szCs w:val="20"/>
              </w:rPr>
            </w:pPr>
            <w:r w:rsidRPr="00B0658A">
              <w:rPr>
                <w:rFonts w:ascii="Times New Roman" w:hAnsi="Times New Roman"/>
                <w:sz w:val="20"/>
                <w:szCs w:val="20"/>
              </w:rPr>
              <w:t>9.9</w:t>
            </w:r>
          </w:p>
        </w:tc>
        <w:tc>
          <w:tcPr>
            <w:tcW w:w="1153" w:type="pct"/>
            <w:shd w:val="clear" w:color="auto" w:fill="auto"/>
            <w:vAlign w:val="center"/>
          </w:tcPr>
          <w:p w14:paraId="57713311" w14:textId="77777777" w:rsidR="00FB28D8" w:rsidRPr="00B0658A" w:rsidRDefault="00FB28D8" w:rsidP="000A4114">
            <w:pPr>
              <w:spacing w:after="0" w:line="240" w:lineRule="auto"/>
              <w:rPr>
                <w:rFonts w:ascii="Times New Roman" w:hAnsi="Times New Roman"/>
                <w:sz w:val="20"/>
                <w:szCs w:val="20"/>
              </w:rPr>
            </w:pPr>
            <w:r w:rsidRPr="00B0658A">
              <w:rPr>
                <w:rFonts w:ascii="Times New Roman" w:hAnsi="Times New Roman"/>
                <w:sz w:val="20"/>
                <w:szCs w:val="20"/>
              </w:rPr>
              <w:t>Средства управления процессами организации/ Средства управления отношениями с клиентами (CRM)</w:t>
            </w:r>
          </w:p>
        </w:tc>
        <w:tc>
          <w:tcPr>
            <w:tcW w:w="624" w:type="pct"/>
          </w:tcPr>
          <w:p w14:paraId="2CC0FF73" w14:textId="77777777" w:rsidR="00FB28D8" w:rsidRPr="00B0658A" w:rsidRDefault="00FB28D8" w:rsidP="000A4114">
            <w:pPr>
              <w:spacing w:after="0" w:line="240" w:lineRule="auto"/>
              <w:rPr>
                <w:rFonts w:ascii="Times New Roman" w:hAnsi="Times New Roman"/>
                <w:i/>
                <w:iCs/>
                <w:sz w:val="20"/>
                <w:szCs w:val="20"/>
              </w:rPr>
            </w:pPr>
          </w:p>
        </w:tc>
        <w:tc>
          <w:tcPr>
            <w:tcW w:w="1090" w:type="pct"/>
            <w:shd w:val="clear" w:color="auto" w:fill="auto"/>
          </w:tcPr>
          <w:p w14:paraId="0314A451" w14:textId="77777777" w:rsidR="00FB28D8" w:rsidRPr="00B0658A" w:rsidRDefault="00FB28D8" w:rsidP="000A4114">
            <w:pPr>
              <w:spacing w:after="0" w:line="240" w:lineRule="auto"/>
              <w:rPr>
                <w:rFonts w:ascii="Times New Roman" w:hAnsi="Times New Roman"/>
                <w:i/>
                <w:iCs/>
                <w:sz w:val="20"/>
                <w:szCs w:val="20"/>
              </w:rPr>
            </w:pPr>
          </w:p>
        </w:tc>
        <w:tc>
          <w:tcPr>
            <w:tcW w:w="1036" w:type="pct"/>
            <w:shd w:val="clear" w:color="auto" w:fill="auto"/>
          </w:tcPr>
          <w:p w14:paraId="49F05A1E" w14:textId="77777777" w:rsidR="00FB28D8" w:rsidRPr="00B0658A" w:rsidRDefault="00FB28D8" w:rsidP="000A4114">
            <w:pPr>
              <w:spacing w:after="0" w:line="240" w:lineRule="auto"/>
              <w:rPr>
                <w:rFonts w:ascii="Times New Roman" w:hAnsi="Times New Roman"/>
                <w:i/>
                <w:iCs/>
                <w:sz w:val="20"/>
                <w:szCs w:val="20"/>
              </w:rPr>
            </w:pPr>
          </w:p>
        </w:tc>
        <w:tc>
          <w:tcPr>
            <w:tcW w:w="894" w:type="pct"/>
            <w:shd w:val="clear" w:color="auto" w:fill="auto"/>
          </w:tcPr>
          <w:p w14:paraId="24BE0E90" w14:textId="77777777" w:rsidR="00FB28D8" w:rsidRPr="00B0658A" w:rsidRDefault="00FB28D8" w:rsidP="000A4114">
            <w:pPr>
              <w:spacing w:after="0" w:line="240" w:lineRule="auto"/>
              <w:jc w:val="both"/>
              <w:rPr>
                <w:rFonts w:ascii="Times New Roman" w:hAnsi="Times New Roman"/>
                <w:i/>
                <w:iCs/>
                <w:sz w:val="20"/>
                <w:szCs w:val="20"/>
              </w:rPr>
            </w:pPr>
          </w:p>
        </w:tc>
      </w:tr>
      <w:tr w:rsidR="00F52FED" w:rsidRPr="00B0658A" w14:paraId="5FA2245E" w14:textId="77777777" w:rsidTr="00B10FDE">
        <w:trPr>
          <w:trHeight w:val="170"/>
        </w:trPr>
        <w:tc>
          <w:tcPr>
            <w:tcW w:w="203" w:type="pct"/>
            <w:shd w:val="clear" w:color="auto" w:fill="auto"/>
          </w:tcPr>
          <w:p w14:paraId="2C7514FE" w14:textId="77777777" w:rsidR="00FB28D8" w:rsidRPr="00B0658A" w:rsidRDefault="00FB28D8" w:rsidP="000A4114">
            <w:pPr>
              <w:spacing w:after="0" w:line="240" w:lineRule="auto"/>
              <w:rPr>
                <w:rFonts w:ascii="Times New Roman" w:hAnsi="Times New Roman"/>
                <w:sz w:val="20"/>
                <w:szCs w:val="20"/>
              </w:rPr>
            </w:pPr>
            <w:r w:rsidRPr="00B0658A">
              <w:rPr>
                <w:rFonts w:ascii="Times New Roman" w:hAnsi="Times New Roman"/>
                <w:sz w:val="20"/>
                <w:szCs w:val="20"/>
              </w:rPr>
              <w:t>9.10</w:t>
            </w:r>
          </w:p>
        </w:tc>
        <w:tc>
          <w:tcPr>
            <w:tcW w:w="1153" w:type="pct"/>
            <w:shd w:val="clear" w:color="auto" w:fill="auto"/>
            <w:vAlign w:val="center"/>
          </w:tcPr>
          <w:p w14:paraId="22B31011" w14:textId="77777777" w:rsidR="00FB28D8" w:rsidRPr="00B0658A" w:rsidRDefault="00FB28D8" w:rsidP="000A4114">
            <w:pPr>
              <w:spacing w:after="0" w:line="240" w:lineRule="auto"/>
              <w:rPr>
                <w:rFonts w:ascii="Times New Roman" w:hAnsi="Times New Roman"/>
                <w:sz w:val="20"/>
                <w:szCs w:val="20"/>
              </w:rPr>
            </w:pPr>
            <w:r w:rsidRPr="00B0658A">
              <w:rPr>
                <w:rFonts w:ascii="Times New Roman" w:hAnsi="Times New Roman"/>
                <w:sz w:val="20"/>
                <w:szCs w:val="20"/>
              </w:rPr>
              <w:t>Средства управления процессами организации/ Средства управления ИТ-службой, ИТ-инфраструктурой и ИТ-активами (ITSM-ServiceDesk, SCCM, Asset Management)</w:t>
            </w:r>
          </w:p>
        </w:tc>
        <w:tc>
          <w:tcPr>
            <w:tcW w:w="624" w:type="pct"/>
          </w:tcPr>
          <w:p w14:paraId="4A7C3411" w14:textId="77777777" w:rsidR="00FB28D8" w:rsidRPr="00B0658A" w:rsidRDefault="00FB28D8" w:rsidP="000A4114">
            <w:pPr>
              <w:spacing w:after="0" w:line="240" w:lineRule="auto"/>
              <w:rPr>
                <w:rFonts w:ascii="Times New Roman" w:hAnsi="Times New Roman"/>
                <w:i/>
                <w:iCs/>
                <w:sz w:val="20"/>
                <w:szCs w:val="20"/>
              </w:rPr>
            </w:pPr>
          </w:p>
        </w:tc>
        <w:tc>
          <w:tcPr>
            <w:tcW w:w="1090" w:type="pct"/>
            <w:shd w:val="clear" w:color="auto" w:fill="auto"/>
          </w:tcPr>
          <w:p w14:paraId="19E64C7D" w14:textId="77777777" w:rsidR="00FB28D8" w:rsidRPr="00B0658A" w:rsidRDefault="00FB28D8" w:rsidP="000A4114">
            <w:pPr>
              <w:spacing w:after="0" w:line="240" w:lineRule="auto"/>
              <w:rPr>
                <w:rFonts w:ascii="Times New Roman" w:hAnsi="Times New Roman"/>
                <w:i/>
                <w:iCs/>
                <w:sz w:val="20"/>
                <w:szCs w:val="20"/>
              </w:rPr>
            </w:pPr>
          </w:p>
        </w:tc>
        <w:tc>
          <w:tcPr>
            <w:tcW w:w="1036" w:type="pct"/>
            <w:shd w:val="clear" w:color="auto" w:fill="auto"/>
          </w:tcPr>
          <w:p w14:paraId="331128DC" w14:textId="77777777" w:rsidR="00FB28D8" w:rsidRPr="00B0658A" w:rsidRDefault="00FB28D8" w:rsidP="000A4114">
            <w:pPr>
              <w:spacing w:after="0" w:line="240" w:lineRule="auto"/>
              <w:rPr>
                <w:rFonts w:ascii="Times New Roman" w:hAnsi="Times New Roman"/>
                <w:i/>
                <w:iCs/>
                <w:sz w:val="20"/>
                <w:szCs w:val="20"/>
              </w:rPr>
            </w:pPr>
          </w:p>
        </w:tc>
        <w:tc>
          <w:tcPr>
            <w:tcW w:w="894" w:type="pct"/>
            <w:shd w:val="clear" w:color="auto" w:fill="auto"/>
          </w:tcPr>
          <w:p w14:paraId="34594468" w14:textId="77777777" w:rsidR="00FB28D8" w:rsidRPr="00B0658A" w:rsidRDefault="00FB28D8" w:rsidP="000A4114">
            <w:pPr>
              <w:spacing w:after="0" w:line="240" w:lineRule="auto"/>
              <w:jc w:val="both"/>
              <w:rPr>
                <w:rFonts w:ascii="Times New Roman" w:hAnsi="Times New Roman"/>
                <w:i/>
                <w:iCs/>
                <w:sz w:val="20"/>
                <w:szCs w:val="20"/>
              </w:rPr>
            </w:pPr>
          </w:p>
        </w:tc>
      </w:tr>
      <w:tr w:rsidR="00F52FED" w:rsidRPr="00B0658A" w14:paraId="77F94D65" w14:textId="77777777" w:rsidTr="00B10FDE">
        <w:trPr>
          <w:trHeight w:val="170"/>
        </w:trPr>
        <w:tc>
          <w:tcPr>
            <w:tcW w:w="203" w:type="pct"/>
            <w:shd w:val="clear" w:color="auto" w:fill="auto"/>
          </w:tcPr>
          <w:p w14:paraId="6A5A1B23" w14:textId="77777777" w:rsidR="00FB28D8" w:rsidRPr="00B0658A" w:rsidRDefault="00FB28D8" w:rsidP="000A4114">
            <w:pPr>
              <w:spacing w:after="0" w:line="240" w:lineRule="auto"/>
              <w:rPr>
                <w:rFonts w:ascii="Times New Roman" w:hAnsi="Times New Roman"/>
                <w:sz w:val="20"/>
                <w:szCs w:val="20"/>
              </w:rPr>
            </w:pPr>
            <w:r w:rsidRPr="00B0658A">
              <w:rPr>
                <w:rFonts w:ascii="Times New Roman" w:hAnsi="Times New Roman"/>
                <w:sz w:val="20"/>
                <w:szCs w:val="20"/>
              </w:rPr>
              <w:t>9.11</w:t>
            </w:r>
          </w:p>
        </w:tc>
        <w:tc>
          <w:tcPr>
            <w:tcW w:w="1153" w:type="pct"/>
            <w:shd w:val="clear" w:color="auto" w:fill="auto"/>
            <w:vAlign w:val="center"/>
          </w:tcPr>
          <w:p w14:paraId="1DD00A9F" w14:textId="77777777" w:rsidR="00FB28D8" w:rsidRPr="00B0658A" w:rsidRDefault="00FB28D8" w:rsidP="000A4114">
            <w:pPr>
              <w:suppressAutoHyphens/>
              <w:spacing w:after="0" w:line="240" w:lineRule="auto"/>
              <w:rPr>
                <w:rFonts w:ascii="Times New Roman" w:hAnsi="Times New Roman"/>
                <w:sz w:val="20"/>
                <w:szCs w:val="20"/>
              </w:rPr>
            </w:pPr>
            <w:r w:rsidRPr="00B0658A">
              <w:rPr>
                <w:rFonts w:ascii="Times New Roman" w:hAnsi="Times New Roman"/>
                <w:sz w:val="20"/>
                <w:szCs w:val="20"/>
              </w:rPr>
              <w:t xml:space="preserve">Средства управления процессами организации/ Средства управления содержимым (CMS), сайты </w:t>
            </w:r>
          </w:p>
          <w:p w14:paraId="513447BC" w14:textId="77777777" w:rsidR="00FB28D8" w:rsidRPr="00B0658A" w:rsidRDefault="00FB28D8" w:rsidP="000A4114">
            <w:pPr>
              <w:suppressAutoHyphens/>
              <w:spacing w:after="0" w:line="240" w:lineRule="auto"/>
              <w:rPr>
                <w:rFonts w:ascii="Times New Roman" w:hAnsi="Times New Roman"/>
                <w:sz w:val="20"/>
                <w:szCs w:val="20"/>
              </w:rPr>
            </w:pPr>
            <w:r w:rsidRPr="00B0658A">
              <w:rPr>
                <w:rFonts w:ascii="Times New Roman" w:hAnsi="Times New Roman"/>
                <w:sz w:val="20"/>
                <w:szCs w:val="20"/>
              </w:rPr>
              <w:t>и портальные решения</w:t>
            </w:r>
          </w:p>
        </w:tc>
        <w:tc>
          <w:tcPr>
            <w:tcW w:w="624" w:type="pct"/>
          </w:tcPr>
          <w:p w14:paraId="5DB0C632" w14:textId="77777777" w:rsidR="00FB28D8" w:rsidRPr="00B0658A" w:rsidRDefault="00FB28D8" w:rsidP="000A4114">
            <w:pPr>
              <w:spacing w:after="0" w:line="240" w:lineRule="auto"/>
              <w:rPr>
                <w:rFonts w:ascii="Times New Roman" w:hAnsi="Times New Roman"/>
                <w:i/>
                <w:iCs/>
                <w:sz w:val="20"/>
                <w:szCs w:val="20"/>
              </w:rPr>
            </w:pPr>
          </w:p>
        </w:tc>
        <w:tc>
          <w:tcPr>
            <w:tcW w:w="1090" w:type="pct"/>
            <w:shd w:val="clear" w:color="auto" w:fill="auto"/>
          </w:tcPr>
          <w:p w14:paraId="61B05044" w14:textId="77777777" w:rsidR="00FB28D8" w:rsidRPr="00B0658A" w:rsidRDefault="00FB28D8" w:rsidP="000A4114">
            <w:pPr>
              <w:spacing w:after="0" w:line="240" w:lineRule="auto"/>
              <w:rPr>
                <w:rFonts w:ascii="Times New Roman" w:hAnsi="Times New Roman"/>
                <w:i/>
                <w:iCs/>
                <w:sz w:val="20"/>
                <w:szCs w:val="20"/>
              </w:rPr>
            </w:pPr>
          </w:p>
        </w:tc>
        <w:tc>
          <w:tcPr>
            <w:tcW w:w="1036" w:type="pct"/>
            <w:shd w:val="clear" w:color="auto" w:fill="auto"/>
          </w:tcPr>
          <w:p w14:paraId="44043451" w14:textId="77777777" w:rsidR="00FB28D8" w:rsidRPr="00B0658A" w:rsidRDefault="00FB28D8" w:rsidP="000A4114">
            <w:pPr>
              <w:spacing w:after="0" w:line="240" w:lineRule="auto"/>
              <w:rPr>
                <w:rFonts w:ascii="Times New Roman" w:hAnsi="Times New Roman"/>
                <w:i/>
                <w:iCs/>
                <w:sz w:val="20"/>
                <w:szCs w:val="20"/>
              </w:rPr>
            </w:pPr>
          </w:p>
        </w:tc>
        <w:tc>
          <w:tcPr>
            <w:tcW w:w="894" w:type="pct"/>
            <w:shd w:val="clear" w:color="auto" w:fill="auto"/>
          </w:tcPr>
          <w:p w14:paraId="7057EBAD" w14:textId="77777777" w:rsidR="00FB28D8" w:rsidRPr="00B0658A" w:rsidRDefault="00FB28D8" w:rsidP="000A4114">
            <w:pPr>
              <w:spacing w:after="0" w:line="240" w:lineRule="auto"/>
              <w:jc w:val="both"/>
              <w:rPr>
                <w:rFonts w:ascii="Times New Roman" w:hAnsi="Times New Roman"/>
                <w:i/>
                <w:iCs/>
                <w:sz w:val="20"/>
                <w:szCs w:val="20"/>
              </w:rPr>
            </w:pPr>
          </w:p>
        </w:tc>
      </w:tr>
      <w:tr w:rsidR="00F52FED" w:rsidRPr="00B0658A" w14:paraId="45F09926" w14:textId="77777777" w:rsidTr="00B10FDE">
        <w:trPr>
          <w:trHeight w:val="170"/>
        </w:trPr>
        <w:tc>
          <w:tcPr>
            <w:tcW w:w="203" w:type="pct"/>
            <w:shd w:val="clear" w:color="auto" w:fill="auto"/>
          </w:tcPr>
          <w:p w14:paraId="321B1E25" w14:textId="77777777" w:rsidR="00FB28D8" w:rsidRPr="00B0658A" w:rsidRDefault="00FB28D8" w:rsidP="000A4114">
            <w:pPr>
              <w:spacing w:after="0" w:line="240" w:lineRule="auto"/>
              <w:rPr>
                <w:rFonts w:ascii="Times New Roman" w:hAnsi="Times New Roman"/>
                <w:sz w:val="20"/>
                <w:szCs w:val="20"/>
              </w:rPr>
            </w:pPr>
            <w:r w:rsidRPr="00B0658A">
              <w:rPr>
                <w:rFonts w:ascii="Times New Roman" w:hAnsi="Times New Roman"/>
                <w:sz w:val="20"/>
                <w:szCs w:val="20"/>
              </w:rPr>
              <w:t>9.12</w:t>
            </w:r>
          </w:p>
        </w:tc>
        <w:tc>
          <w:tcPr>
            <w:tcW w:w="1153" w:type="pct"/>
            <w:shd w:val="clear" w:color="auto" w:fill="auto"/>
            <w:vAlign w:val="center"/>
          </w:tcPr>
          <w:p w14:paraId="55602E0F" w14:textId="77777777" w:rsidR="00FB28D8" w:rsidRPr="00B0658A" w:rsidRDefault="00FB28D8" w:rsidP="000A4114">
            <w:pPr>
              <w:spacing w:after="0" w:line="240" w:lineRule="auto"/>
              <w:rPr>
                <w:rFonts w:ascii="Times New Roman" w:hAnsi="Times New Roman"/>
                <w:sz w:val="20"/>
                <w:szCs w:val="20"/>
              </w:rPr>
            </w:pPr>
            <w:r w:rsidRPr="00B0658A">
              <w:rPr>
                <w:rFonts w:ascii="Times New Roman" w:hAnsi="Times New Roman"/>
                <w:sz w:val="20"/>
                <w:szCs w:val="20"/>
              </w:rPr>
              <w:t>Средства управления процессами организации/ Средства электронной коммерции (e-commerce platform)</w:t>
            </w:r>
          </w:p>
        </w:tc>
        <w:tc>
          <w:tcPr>
            <w:tcW w:w="624" w:type="pct"/>
          </w:tcPr>
          <w:p w14:paraId="65D3CD43" w14:textId="77777777" w:rsidR="00FB28D8" w:rsidRPr="00B0658A" w:rsidRDefault="00FB28D8" w:rsidP="000A4114">
            <w:pPr>
              <w:spacing w:after="0" w:line="240" w:lineRule="auto"/>
              <w:rPr>
                <w:rFonts w:ascii="Times New Roman" w:hAnsi="Times New Roman"/>
                <w:i/>
                <w:iCs/>
                <w:sz w:val="20"/>
                <w:szCs w:val="20"/>
              </w:rPr>
            </w:pPr>
          </w:p>
        </w:tc>
        <w:tc>
          <w:tcPr>
            <w:tcW w:w="1090" w:type="pct"/>
            <w:shd w:val="clear" w:color="auto" w:fill="auto"/>
          </w:tcPr>
          <w:p w14:paraId="09767F0D" w14:textId="77777777" w:rsidR="00FB28D8" w:rsidRPr="00B0658A" w:rsidRDefault="00FB28D8" w:rsidP="000A4114">
            <w:pPr>
              <w:spacing w:after="0" w:line="240" w:lineRule="auto"/>
              <w:rPr>
                <w:rFonts w:ascii="Times New Roman" w:hAnsi="Times New Roman"/>
                <w:i/>
                <w:iCs/>
                <w:sz w:val="20"/>
                <w:szCs w:val="20"/>
              </w:rPr>
            </w:pPr>
          </w:p>
        </w:tc>
        <w:tc>
          <w:tcPr>
            <w:tcW w:w="1036" w:type="pct"/>
            <w:shd w:val="clear" w:color="auto" w:fill="auto"/>
          </w:tcPr>
          <w:p w14:paraId="21F4C4EE" w14:textId="77777777" w:rsidR="00FB28D8" w:rsidRPr="00B0658A" w:rsidRDefault="00FB28D8" w:rsidP="000A4114">
            <w:pPr>
              <w:spacing w:after="0" w:line="240" w:lineRule="auto"/>
              <w:rPr>
                <w:rFonts w:ascii="Times New Roman" w:hAnsi="Times New Roman"/>
                <w:i/>
                <w:iCs/>
                <w:sz w:val="20"/>
                <w:szCs w:val="20"/>
              </w:rPr>
            </w:pPr>
          </w:p>
        </w:tc>
        <w:tc>
          <w:tcPr>
            <w:tcW w:w="894" w:type="pct"/>
            <w:shd w:val="clear" w:color="auto" w:fill="auto"/>
          </w:tcPr>
          <w:p w14:paraId="4633A292" w14:textId="77777777" w:rsidR="00FB28D8" w:rsidRPr="00B0658A" w:rsidRDefault="00FB28D8" w:rsidP="000A4114">
            <w:pPr>
              <w:spacing w:after="0" w:line="240" w:lineRule="auto"/>
              <w:jc w:val="both"/>
              <w:rPr>
                <w:rFonts w:ascii="Times New Roman" w:hAnsi="Times New Roman"/>
                <w:i/>
                <w:iCs/>
                <w:sz w:val="20"/>
                <w:szCs w:val="20"/>
              </w:rPr>
            </w:pPr>
          </w:p>
        </w:tc>
      </w:tr>
      <w:tr w:rsidR="00F52FED" w:rsidRPr="00B0658A" w14:paraId="049B537C" w14:textId="77777777" w:rsidTr="00B10FDE">
        <w:trPr>
          <w:trHeight w:val="170"/>
        </w:trPr>
        <w:tc>
          <w:tcPr>
            <w:tcW w:w="203" w:type="pct"/>
            <w:shd w:val="clear" w:color="auto" w:fill="auto"/>
          </w:tcPr>
          <w:p w14:paraId="3A30260A" w14:textId="77777777" w:rsidR="00FB28D8" w:rsidRPr="00B0658A" w:rsidRDefault="00FB28D8" w:rsidP="000A4114">
            <w:pPr>
              <w:spacing w:after="0" w:line="240" w:lineRule="auto"/>
              <w:rPr>
                <w:rFonts w:ascii="Times New Roman" w:hAnsi="Times New Roman"/>
                <w:sz w:val="20"/>
                <w:szCs w:val="20"/>
              </w:rPr>
            </w:pPr>
            <w:r w:rsidRPr="00B0658A">
              <w:rPr>
                <w:rFonts w:ascii="Times New Roman" w:hAnsi="Times New Roman"/>
                <w:sz w:val="20"/>
                <w:szCs w:val="20"/>
              </w:rPr>
              <w:t>9.13</w:t>
            </w:r>
          </w:p>
        </w:tc>
        <w:tc>
          <w:tcPr>
            <w:tcW w:w="1153" w:type="pct"/>
            <w:shd w:val="clear" w:color="auto" w:fill="auto"/>
            <w:vAlign w:val="center"/>
          </w:tcPr>
          <w:p w14:paraId="6430224D" w14:textId="77777777" w:rsidR="00FB28D8" w:rsidRPr="00B0658A" w:rsidRDefault="00FB28D8" w:rsidP="000A4114">
            <w:pPr>
              <w:spacing w:after="0" w:line="240" w:lineRule="auto"/>
              <w:rPr>
                <w:rFonts w:ascii="Times New Roman" w:hAnsi="Times New Roman"/>
                <w:sz w:val="20"/>
                <w:szCs w:val="20"/>
              </w:rPr>
            </w:pPr>
            <w:r w:rsidRPr="00B0658A">
              <w:rPr>
                <w:rFonts w:ascii="Times New Roman" w:hAnsi="Times New Roman"/>
                <w:sz w:val="20"/>
                <w:szCs w:val="20"/>
              </w:rPr>
              <w:t>Средства управления процессами организации/ Средства управления складом и цепочками поставок (WMS, SCM)</w:t>
            </w:r>
          </w:p>
        </w:tc>
        <w:tc>
          <w:tcPr>
            <w:tcW w:w="624" w:type="pct"/>
          </w:tcPr>
          <w:p w14:paraId="25A0C78E" w14:textId="77777777" w:rsidR="00FB28D8" w:rsidRPr="00B0658A" w:rsidRDefault="00FB28D8" w:rsidP="000A4114">
            <w:pPr>
              <w:spacing w:after="0" w:line="240" w:lineRule="auto"/>
              <w:rPr>
                <w:rFonts w:ascii="Times New Roman" w:hAnsi="Times New Roman"/>
                <w:i/>
                <w:iCs/>
                <w:sz w:val="20"/>
                <w:szCs w:val="20"/>
              </w:rPr>
            </w:pPr>
          </w:p>
        </w:tc>
        <w:tc>
          <w:tcPr>
            <w:tcW w:w="1090" w:type="pct"/>
            <w:shd w:val="clear" w:color="auto" w:fill="auto"/>
          </w:tcPr>
          <w:p w14:paraId="2414556D" w14:textId="77777777" w:rsidR="00FB28D8" w:rsidRPr="00B0658A" w:rsidRDefault="00FB28D8" w:rsidP="000A4114">
            <w:pPr>
              <w:spacing w:after="0" w:line="240" w:lineRule="auto"/>
              <w:rPr>
                <w:rFonts w:ascii="Times New Roman" w:hAnsi="Times New Roman"/>
                <w:i/>
                <w:iCs/>
                <w:sz w:val="20"/>
                <w:szCs w:val="20"/>
              </w:rPr>
            </w:pPr>
          </w:p>
        </w:tc>
        <w:tc>
          <w:tcPr>
            <w:tcW w:w="1036" w:type="pct"/>
            <w:shd w:val="clear" w:color="auto" w:fill="auto"/>
          </w:tcPr>
          <w:p w14:paraId="3B1DEAF9" w14:textId="77777777" w:rsidR="00FB28D8" w:rsidRPr="00B0658A" w:rsidRDefault="00FB28D8" w:rsidP="000A4114">
            <w:pPr>
              <w:spacing w:after="0" w:line="240" w:lineRule="auto"/>
              <w:rPr>
                <w:rFonts w:ascii="Times New Roman" w:hAnsi="Times New Roman"/>
                <w:i/>
                <w:iCs/>
                <w:sz w:val="20"/>
                <w:szCs w:val="20"/>
              </w:rPr>
            </w:pPr>
          </w:p>
        </w:tc>
        <w:tc>
          <w:tcPr>
            <w:tcW w:w="894" w:type="pct"/>
            <w:shd w:val="clear" w:color="auto" w:fill="auto"/>
          </w:tcPr>
          <w:p w14:paraId="05CC2B07" w14:textId="77777777" w:rsidR="00FB28D8" w:rsidRPr="00B0658A" w:rsidRDefault="00FB28D8" w:rsidP="000A4114">
            <w:pPr>
              <w:spacing w:after="0" w:line="240" w:lineRule="auto"/>
              <w:jc w:val="both"/>
              <w:rPr>
                <w:rFonts w:ascii="Times New Roman" w:hAnsi="Times New Roman"/>
                <w:i/>
                <w:iCs/>
                <w:sz w:val="20"/>
                <w:szCs w:val="20"/>
              </w:rPr>
            </w:pPr>
          </w:p>
        </w:tc>
      </w:tr>
      <w:tr w:rsidR="00F52FED" w:rsidRPr="00B0658A" w14:paraId="55137DA8" w14:textId="77777777" w:rsidTr="00B10FDE">
        <w:trPr>
          <w:trHeight w:val="170"/>
        </w:trPr>
        <w:tc>
          <w:tcPr>
            <w:tcW w:w="203" w:type="pct"/>
            <w:shd w:val="clear" w:color="auto" w:fill="auto"/>
          </w:tcPr>
          <w:p w14:paraId="55DE6867" w14:textId="77777777" w:rsidR="00FB28D8" w:rsidRPr="00B0658A" w:rsidRDefault="00FB28D8" w:rsidP="000A4114">
            <w:pPr>
              <w:spacing w:after="0" w:line="240" w:lineRule="auto"/>
              <w:rPr>
                <w:rFonts w:ascii="Times New Roman" w:hAnsi="Times New Roman"/>
                <w:sz w:val="20"/>
                <w:szCs w:val="20"/>
              </w:rPr>
            </w:pPr>
            <w:r w:rsidRPr="00B0658A">
              <w:rPr>
                <w:rFonts w:ascii="Times New Roman" w:hAnsi="Times New Roman"/>
                <w:sz w:val="20"/>
                <w:szCs w:val="20"/>
              </w:rPr>
              <w:t>9.14</w:t>
            </w:r>
          </w:p>
        </w:tc>
        <w:tc>
          <w:tcPr>
            <w:tcW w:w="1153" w:type="pct"/>
            <w:shd w:val="clear" w:color="auto" w:fill="auto"/>
            <w:vAlign w:val="center"/>
          </w:tcPr>
          <w:p w14:paraId="505825A3" w14:textId="77777777" w:rsidR="00FB28D8" w:rsidRPr="00B0658A" w:rsidRDefault="00FB28D8" w:rsidP="000A4114">
            <w:pPr>
              <w:spacing w:after="0" w:line="240" w:lineRule="auto"/>
              <w:rPr>
                <w:rFonts w:ascii="Times New Roman" w:hAnsi="Times New Roman"/>
                <w:sz w:val="20"/>
                <w:szCs w:val="20"/>
              </w:rPr>
            </w:pPr>
            <w:r w:rsidRPr="00B0658A">
              <w:rPr>
                <w:rFonts w:ascii="Times New Roman" w:hAnsi="Times New Roman"/>
                <w:sz w:val="20"/>
                <w:szCs w:val="20"/>
              </w:rPr>
              <w:t>Средства управления процессами организации/ Средства централизованного управления конечными устройствами</w:t>
            </w:r>
          </w:p>
        </w:tc>
        <w:tc>
          <w:tcPr>
            <w:tcW w:w="624" w:type="pct"/>
          </w:tcPr>
          <w:p w14:paraId="60A8BF78" w14:textId="77777777" w:rsidR="00FB28D8" w:rsidRPr="00B0658A" w:rsidRDefault="00FB28D8" w:rsidP="000A4114">
            <w:pPr>
              <w:spacing w:after="0" w:line="240" w:lineRule="auto"/>
              <w:rPr>
                <w:rFonts w:ascii="Times New Roman" w:hAnsi="Times New Roman"/>
                <w:i/>
                <w:iCs/>
                <w:sz w:val="20"/>
                <w:szCs w:val="20"/>
              </w:rPr>
            </w:pPr>
          </w:p>
        </w:tc>
        <w:tc>
          <w:tcPr>
            <w:tcW w:w="1090" w:type="pct"/>
            <w:shd w:val="clear" w:color="auto" w:fill="auto"/>
          </w:tcPr>
          <w:p w14:paraId="44C655F4" w14:textId="77777777" w:rsidR="00FB28D8" w:rsidRPr="00B0658A" w:rsidRDefault="00FB28D8" w:rsidP="000A4114">
            <w:pPr>
              <w:spacing w:after="0" w:line="240" w:lineRule="auto"/>
              <w:rPr>
                <w:rFonts w:ascii="Times New Roman" w:hAnsi="Times New Roman"/>
                <w:i/>
                <w:iCs/>
                <w:sz w:val="20"/>
                <w:szCs w:val="20"/>
              </w:rPr>
            </w:pPr>
          </w:p>
        </w:tc>
        <w:tc>
          <w:tcPr>
            <w:tcW w:w="1036" w:type="pct"/>
            <w:shd w:val="clear" w:color="auto" w:fill="auto"/>
          </w:tcPr>
          <w:p w14:paraId="07DC590C" w14:textId="77777777" w:rsidR="00FB28D8" w:rsidRPr="00B0658A" w:rsidRDefault="00FB28D8" w:rsidP="000A4114">
            <w:pPr>
              <w:spacing w:after="0" w:line="240" w:lineRule="auto"/>
              <w:rPr>
                <w:rFonts w:ascii="Times New Roman" w:hAnsi="Times New Roman"/>
                <w:i/>
                <w:iCs/>
                <w:sz w:val="20"/>
                <w:szCs w:val="20"/>
              </w:rPr>
            </w:pPr>
          </w:p>
        </w:tc>
        <w:tc>
          <w:tcPr>
            <w:tcW w:w="894" w:type="pct"/>
            <w:shd w:val="clear" w:color="auto" w:fill="auto"/>
          </w:tcPr>
          <w:p w14:paraId="2B50C7F3" w14:textId="77777777" w:rsidR="00FB28D8" w:rsidRPr="00B0658A" w:rsidRDefault="00FB28D8" w:rsidP="000A4114">
            <w:pPr>
              <w:spacing w:after="0" w:line="240" w:lineRule="auto"/>
              <w:jc w:val="both"/>
              <w:rPr>
                <w:rFonts w:ascii="Times New Roman" w:hAnsi="Times New Roman"/>
                <w:i/>
                <w:iCs/>
                <w:sz w:val="20"/>
                <w:szCs w:val="20"/>
              </w:rPr>
            </w:pPr>
          </w:p>
        </w:tc>
      </w:tr>
      <w:tr w:rsidR="00F52FED" w:rsidRPr="00B0658A" w14:paraId="6970C9C8" w14:textId="77777777" w:rsidTr="00B10FDE">
        <w:trPr>
          <w:trHeight w:val="170"/>
        </w:trPr>
        <w:tc>
          <w:tcPr>
            <w:tcW w:w="203" w:type="pct"/>
            <w:shd w:val="clear" w:color="auto" w:fill="auto"/>
          </w:tcPr>
          <w:p w14:paraId="67C881B3" w14:textId="77777777" w:rsidR="00FB28D8" w:rsidRPr="00B0658A" w:rsidRDefault="00FB28D8" w:rsidP="000A4114">
            <w:pPr>
              <w:spacing w:after="0" w:line="240" w:lineRule="auto"/>
              <w:rPr>
                <w:rFonts w:ascii="Times New Roman" w:hAnsi="Times New Roman"/>
                <w:sz w:val="20"/>
                <w:szCs w:val="20"/>
              </w:rPr>
            </w:pPr>
            <w:r w:rsidRPr="00B0658A">
              <w:rPr>
                <w:rFonts w:ascii="Times New Roman" w:hAnsi="Times New Roman"/>
                <w:sz w:val="20"/>
                <w:szCs w:val="20"/>
              </w:rPr>
              <w:t>10.1</w:t>
            </w:r>
          </w:p>
        </w:tc>
        <w:tc>
          <w:tcPr>
            <w:tcW w:w="1153" w:type="pct"/>
            <w:shd w:val="clear" w:color="auto" w:fill="auto"/>
            <w:vAlign w:val="center"/>
          </w:tcPr>
          <w:p w14:paraId="1224B0E8" w14:textId="77777777" w:rsidR="00FB28D8" w:rsidRPr="00B0658A" w:rsidRDefault="00FB28D8" w:rsidP="000A4114">
            <w:pPr>
              <w:spacing w:after="0" w:line="240" w:lineRule="auto"/>
              <w:rPr>
                <w:rFonts w:ascii="Times New Roman" w:hAnsi="Times New Roman"/>
                <w:sz w:val="20"/>
                <w:szCs w:val="20"/>
              </w:rPr>
            </w:pPr>
            <w:r w:rsidRPr="00B0658A">
              <w:rPr>
                <w:rFonts w:ascii="Times New Roman" w:hAnsi="Times New Roman"/>
                <w:sz w:val="20"/>
                <w:szCs w:val="20"/>
              </w:rPr>
              <w:t>Средства обработки и визуализации массивов данных/ Средства обработки Больших Данных (BigData)</w:t>
            </w:r>
          </w:p>
        </w:tc>
        <w:tc>
          <w:tcPr>
            <w:tcW w:w="624" w:type="pct"/>
          </w:tcPr>
          <w:p w14:paraId="24A377F2" w14:textId="77777777" w:rsidR="00FB28D8" w:rsidRPr="00B0658A" w:rsidRDefault="00FB28D8" w:rsidP="000A4114">
            <w:pPr>
              <w:spacing w:after="0" w:line="240" w:lineRule="auto"/>
              <w:rPr>
                <w:rFonts w:ascii="Times New Roman" w:hAnsi="Times New Roman"/>
                <w:i/>
                <w:iCs/>
                <w:sz w:val="20"/>
                <w:szCs w:val="20"/>
              </w:rPr>
            </w:pPr>
          </w:p>
        </w:tc>
        <w:tc>
          <w:tcPr>
            <w:tcW w:w="1090" w:type="pct"/>
            <w:shd w:val="clear" w:color="auto" w:fill="auto"/>
          </w:tcPr>
          <w:p w14:paraId="2E3D3337" w14:textId="77777777" w:rsidR="00FB28D8" w:rsidRPr="00B0658A" w:rsidRDefault="00FB28D8" w:rsidP="000A4114">
            <w:pPr>
              <w:spacing w:after="0" w:line="240" w:lineRule="auto"/>
              <w:rPr>
                <w:rFonts w:ascii="Times New Roman" w:hAnsi="Times New Roman"/>
                <w:i/>
                <w:iCs/>
                <w:sz w:val="20"/>
                <w:szCs w:val="20"/>
              </w:rPr>
            </w:pPr>
          </w:p>
        </w:tc>
        <w:tc>
          <w:tcPr>
            <w:tcW w:w="1036" w:type="pct"/>
            <w:shd w:val="clear" w:color="auto" w:fill="auto"/>
          </w:tcPr>
          <w:p w14:paraId="7CE29693" w14:textId="77777777" w:rsidR="00FB28D8" w:rsidRPr="00B0658A" w:rsidRDefault="00FB28D8" w:rsidP="000A4114">
            <w:pPr>
              <w:spacing w:after="0" w:line="240" w:lineRule="auto"/>
              <w:rPr>
                <w:rFonts w:ascii="Times New Roman" w:hAnsi="Times New Roman"/>
                <w:i/>
                <w:iCs/>
                <w:sz w:val="20"/>
                <w:szCs w:val="20"/>
              </w:rPr>
            </w:pPr>
          </w:p>
        </w:tc>
        <w:tc>
          <w:tcPr>
            <w:tcW w:w="894" w:type="pct"/>
            <w:shd w:val="clear" w:color="auto" w:fill="auto"/>
          </w:tcPr>
          <w:p w14:paraId="1BB77E30" w14:textId="77777777" w:rsidR="00FB28D8" w:rsidRPr="00B0658A" w:rsidRDefault="00FB28D8" w:rsidP="000A4114">
            <w:pPr>
              <w:spacing w:after="0" w:line="240" w:lineRule="auto"/>
              <w:jc w:val="both"/>
              <w:rPr>
                <w:rFonts w:ascii="Times New Roman" w:hAnsi="Times New Roman"/>
                <w:i/>
                <w:iCs/>
                <w:sz w:val="20"/>
                <w:szCs w:val="20"/>
              </w:rPr>
            </w:pPr>
          </w:p>
        </w:tc>
      </w:tr>
      <w:tr w:rsidR="00F52FED" w:rsidRPr="00B0658A" w14:paraId="012C74AA" w14:textId="77777777" w:rsidTr="00B10FDE">
        <w:trPr>
          <w:trHeight w:val="170"/>
        </w:trPr>
        <w:tc>
          <w:tcPr>
            <w:tcW w:w="203" w:type="pct"/>
            <w:shd w:val="clear" w:color="auto" w:fill="auto"/>
          </w:tcPr>
          <w:p w14:paraId="26F9EF66" w14:textId="77777777" w:rsidR="00FB28D8" w:rsidRPr="00B0658A" w:rsidRDefault="00FB28D8" w:rsidP="000A4114">
            <w:pPr>
              <w:spacing w:after="0" w:line="240" w:lineRule="auto"/>
              <w:rPr>
                <w:rFonts w:ascii="Times New Roman" w:hAnsi="Times New Roman"/>
                <w:sz w:val="20"/>
                <w:szCs w:val="20"/>
              </w:rPr>
            </w:pPr>
            <w:r w:rsidRPr="00B0658A">
              <w:rPr>
                <w:rFonts w:ascii="Times New Roman" w:hAnsi="Times New Roman"/>
                <w:sz w:val="20"/>
                <w:szCs w:val="20"/>
              </w:rPr>
              <w:t>10.2</w:t>
            </w:r>
          </w:p>
        </w:tc>
        <w:tc>
          <w:tcPr>
            <w:tcW w:w="1153" w:type="pct"/>
            <w:shd w:val="clear" w:color="auto" w:fill="auto"/>
            <w:vAlign w:val="center"/>
          </w:tcPr>
          <w:p w14:paraId="5D61EB8D" w14:textId="77777777" w:rsidR="00FB28D8" w:rsidRPr="00B0658A" w:rsidRDefault="00FB28D8" w:rsidP="000A4114">
            <w:pPr>
              <w:spacing w:after="0" w:line="240" w:lineRule="auto"/>
              <w:rPr>
                <w:rFonts w:ascii="Times New Roman" w:hAnsi="Times New Roman"/>
                <w:sz w:val="20"/>
                <w:szCs w:val="20"/>
              </w:rPr>
            </w:pPr>
            <w:r w:rsidRPr="00B0658A">
              <w:rPr>
                <w:rFonts w:ascii="Times New Roman" w:hAnsi="Times New Roman"/>
                <w:sz w:val="20"/>
                <w:szCs w:val="20"/>
              </w:rPr>
              <w:t>Средства обработки и визуализации массивов данных/ Средства обработки и анализа геологических и геофизических данных</w:t>
            </w:r>
          </w:p>
        </w:tc>
        <w:tc>
          <w:tcPr>
            <w:tcW w:w="624" w:type="pct"/>
          </w:tcPr>
          <w:p w14:paraId="109675B7" w14:textId="77777777" w:rsidR="00FB28D8" w:rsidRPr="00B0658A" w:rsidRDefault="00FB28D8" w:rsidP="000A4114">
            <w:pPr>
              <w:spacing w:after="0" w:line="240" w:lineRule="auto"/>
              <w:rPr>
                <w:rFonts w:ascii="Times New Roman" w:hAnsi="Times New Roman"/>
                <w:i/>
                <w:iCs/>
                <w:sz w:val="20"/>
                <w:szCs w:val="20"/>
              </w:rPr>
            </w:pPr>
          </w:p>
        </w:tc>
        <w:tc>
          <w:tcPr>
            <w:tcW w:w="1090" w:type="pct"/>
            <w:shd w:val="clear" w:color="auto" w:fill="auto"/>
          </w:tcPr>
          <w:p w14:paraId="772E99C3" w14:textId="77777777" w:rsidR="00FB28D8" w:rsidRPr="00B0658A" w:rsidRDefault="00FB28D8" w:rsidP="000A4114">
            <w:pPr>
              <w:spacing w:after="0" w:line="240" w:lineRule="auto"/>
              <w:rPr>
                <w:rFonts w:ascii="Times New Roman" w:hAnsi="Times New Roman"/>
                <w:i/>
                <w:iCs/>
                <w:sz w:val="20"/>
                <w:szCs w:val="20"/>
              </w:rPr>
            </w:pPr>
          </w:p>
        </w:tc>
        <w:tc>
          <w:tcPr>
            <w:tcW w:w="1036" w:type="pct"/>
            <w:shd w:val="clear" w:color="auto" w:fill="auto"/>
          </w:tcPr>
          <w:p w14:paraId="51CDB517" w14:textId="77777777" w:rsidR="00FB28D8" w:rsidRPr="00B0658A" w:rsidRDefault="00FB28D8" w:rsidP="000A4114">
            <w:pPr>
              <w:spacing w:after="0" w:line="240" w:lineRule="auto"/>
              <w:rPr>
                <w:rFonts w:ascii="Times New Roman" w:hAnsi="Times New Roman"/>
                <w:i/>
                <w:iCs/>
                <w:sz w:val="20"/>
                <w:szCs w:val="20"/>
              </w:rPr>
            </w:pPr>
          </w:p>
        </w:tc>
        <w:tc>
          <w:tcPr>
            <w:tcW w:w="894" w:type="pct"/>
            <w:shd w:val="clear" w:color="auto" w:fill="auto"/>
          </w:tcPr>
          <w:p w14:paraId="5BA918E2" w14:textId="77777777" w:rsidR="00FB28D8" w:rsidRPr="00B0658A" w:rsidRDefault="00FB28D8" w:rsidP="000A4114">
            <w:pPr>
              <w:spacing w:after="0" w:line="240" w:lineRule="auto"/>
              <w:jc w:val="both"/>
              <w:rPr>
                <w:rFonts w:ascii="Times New Roman" w:hAnsi="Times New Roman"/>
                <w:i/>
                <w:iCs/>
                <w:sz w:val="20"/>
                <w:szCs w:val="20"/>
              </w:rPr>
            </w:pPr>
          </w:p>
        </w:tc>
      </w:tr>
      <w:tr w:rsidR="00F52FED" w:rsidRPr="00B0658A" w14:paraId="60264EAA" w14:textId="77777777" w:rsidTr="00B10FDE">
        <w:trPr>
          <w:trHeight w:val="170"/>
        </w:trPr>
        <w:tc>
          <w:tcPr>
            <w:tcW w:w="203" w:type="pct"/>
            <w:shd w:val="clear" w:color="auto" w:fill="auto"/>
          </w:tcPr>
          <w:p w14:paraId="21845A14" w14:textId="77777777" w:rsidR="00FB28D8" w:rsidRPr="00B0658A" w:rsidRDefault="00FB28D8" w:rsidP="000A4114">
            <w:pPr>
              <w:spacing w:after="0" w:line="240" w:lineRule="auto"/>
              <w:rPr>
                <w:rFonts w:ascii="Times New Roman" w:hAnsi="Times New Roman"/>
                <w:sz w:val="20"/>
                <w:szCs w:val="20"/>
              </w:rPr>
            </w:pPr>
            <w:r w:rsidRPr="00B0658A">
              <w:rPr>
                <w:rFonts w:ascii="Times New Roman" w:hAnsi="Times New Roman"/>
                <w:sz w:val="20"/>
                <w:szCs w:val="20"/>
              </w:rPr>
              <w:t>10.3</w:t>
            </w:r>
          </w:p>
        </w:tc>
        <w:tc>
          <w:tcPr>
            <w:tcW w:w="1153" w:type="pct"/>
            <w:shd w:val="clear" w:color="auto" w:fill="auto"/>
            <w:vAlign w:val="center"/>
          </w:tcPr>
          <w:p w14:paraId="6D806D35" w14:textId="77777777" w:rsidR="00FB28D8" w:rsidRPr="00B0658A" w:rsidRDefault="00FB28D8" w:rsidP="000A4114">
            <w:pPr>
              <w:spacing w:after="0" w:line="240" w:lineRule="auto"/>
              <w:rPr>
                <w:rFonts w:ascii="Times New Roman" w:hAnsi="Times New Roman"/>
                <w:sz w:val="20"/>
                <w:szCs w:val="20"/>
              </w:rPr>
            </w:pPr>
            <w:r w:rsidRPr="00B0658A">
              <w:rPr>
                <w:rFonts w:ascii="Times New Roman" w:hAnsi="Times New Roman"/>
                <w:sz w:val="20"/>
                <w:szCs w:val="20"/>
              </w:rPr>
              <w:t>Средства обработки и визуализации массивов данных/ Средства математического и имитационного моделирования</w:t>
            </w:r>
          </w:p>
        </w:tc>
        <w:tc>
          <w:tcPr>
            <w:tcW w:w="624" w:type="pct"/>
          </w:tcPr>
          <w:p w14:paraId="72EA7B95" w14:textId="77777777" w:rsidR="00FB28D8" w:rsidRPr="00B0658A" w:rsidRDefault="00FB28D8" w:rsidP="000A4114">
            <w:pPr>
              <w:spacing w:after="0" w:line="240" w:lineRule="auto"/>
              <w:rPr>
                <w:rFonts w:ascii="Times New Roman" w:hAnsi="Times New Roman"/>
                <w:i/>
                <w:iCs/>
                <w:sz w:val="20"/>
                <w:szCs w:val="20"/>
              </w:rPr>
            </w:pPr>
          </w:p>
        </w:tc>
        <w:tc>
          <w:tcPr>
            <w:tcW w:w="1090" w:type="pct"/>
            <w:shd w:val="clear" w:color="auto" w:fill="auto"/>
          </w:tcPr>
          <w:p w14:paraId="2893E5F6" w14:textId="77777777" w:rsidR="00FB28D8" w:rsidRPr="00B0658A" w:rsidRDefault="00FB28D8" w:rsidP="000A4114">
            <w:pPr>
              <w:spacing w:after="0" w:line="240" w:lineRule="auto"/>
              <w:rPr>
                <w:rFonts w:ascii="Times New Roman" w:hAnsi="Times New Roman"/>
                <w:i/>
                <w:iCs/>
                <w:sz w:val="20"/>
                <w:szCs w:val="20"/>
              </w:rPr>
            </w:pPr>
          </w:p>
        </w:tc>
        <w:tc>
          <w:tcPr>
            <w:tcW w:w="1036" w:type="pct"/>
            <w:shd w:val="clear" w:color="auto" w:fill="auto"/>
          </w:tcPr>
          <w:p w14:paraId="4CE9D852" w14:textId="77777777" w:rsidR="00FB28D8" w:rsidRPr="00B0658A" w:rsidRDefault="00FB28D8" w:rsidP="000A4114">
            <w:pPr>
              <w:spacing w:after="0" w:line="240" w:lineRule="auto"/>
              <w:rPr>
                <w:rFonts w:ascii="Times New Roman" w:hAnsi="Times New Roman"/>
                <w:i/>
                <w:iCs/>
                <w:sz w:val="20"/>
                <w:szCs w:val="20"/>
              </w:rPr>
            </w:pPr>
          </w:p>
        </w:tc>
        <w:tc>
          <w:tcPr>
            <w:tcW w:w="894" w:type="pct"/>
            <w:shd w:val="clear" w:color="auto" w:fill="auto"/>
          </w:tcPr>
          <w:p w14:paraId="421CA658" w14:textId="77777777" w:rsidR="00FB28D8" w:rsidRPr="00B0658A" w:rsidRDefault="00FB28D8" w:rsidP="000A4114">
            <w:pPr>
              <w:spacing w:after="0" w:line="240" w:lineRule="auto"/>
              <w:jc w:val="both"/>
              <w:rPr>
                <w:rFonts w:ascii="Times New Roman" w:hAnsi="Times New Roman"/>
                <w:i/>
                <w:iCs/>
                <w:sz w:val="20"/>
                <w:szCs w:val="20"/>
              </w:rPr>
            </w:pPr>
          </w:p>
        </w:tc>
      </w:tr>
      <w:tr w:rsidR="00F52FED" w:rsidRPr="00B0658A" w14:paraId="5B35D9C4" w14:textId="77777777" w:rsidTr="00B10FDE">
        <w:trPr>
          <w:trHeight w:val="170"/>
        </w:trPr>
        <w:tc>
          <w:tcPr>
            <w:tcW w:w="203" w:type="pct"/>
            <w:shd w:val="clear" w:color="auto" w:fill="auto"/>
          </w:tcPr>
          <w:p w14:paraId="38A4C1A6" w14:textId="77777777" w:rsidR="00FB28D8" w:rsidRPr="00B0658A" w:rsidRDefault="00FB28D8" w:rsidP="000A4114">
            <w:pPr>
              <w:spacing w:after="0" w:line="240" w:lineRule="auto"/>
              <w:rPr>
                <w:rFonts w:ascii="Times New Roman" w:hAnsi="Times New Roman"/>
                <w:sz w:val="20"/>
                <w:szCs w:val="20"/>
              </w:rPr>
            </w:pPr>
            <w:r w:rsidRPr="00B0658A">
              <w:rPr>
                <w:rFonts w:ascii="Times New Roman" w:hAnsi="Times New Roman"/>
                <w:sz w:val="20"/>
                <w:szCs w:val="20"/>
              </w:rPr>
              <w:t>10.4</w:t>
            </w:r>
          </w:p>
        </w:tc>
        <w:tc>
          <w:tcPr>
            <w:tcW w:w="1153" w:type="pct"/>
            <w:shd w:val="clear" w:color="auto" w:fill="auto"/>
            <w:vAlign w:val="center"/>
          </w:tcPr>
          <w:p w14:paraId="23A5DABE" w14:textId="77777777" w:rsidR="00FB28D8" w:rsidRPr="00B0658A" w:rsidRDefault="00FB28D8" w:rsidP="000A4114">
            <w:pPr>
              <w:spacing w:after="0" w:line="240" w:lineRule="auto"/>
              <w:rPr>
                <w:rFonts w:ascii="Times New Roman" w:hAnsi="Times New Roman"/>
                <w:sz w:val="20"/>
                <w:szCs w:val="20"/>
              </w:rPr>
            </w:pPr>
            <w:r w:rsidRPr="00B0658A">
              <w:rPr>
                <w:rFonts w:ascii="Times New Roman" w:hAnsi="Times New Roman"/>
                <w:sz w:val="20"/>
                <w:szCs w:val="20"/>
              </w:rPr>
              <w:t>Средства обработки и визуализации массивов данных/ Средства управления информационными ресурсами и средства управления основными данными (ECM, MDM)</w:t>
            </w:r>
          </w:p>
        </w:tc>
        <w:tc>
          <w:tcPr>
            <w:tcW w:w="624" w:type="pct"/>
          </w:tcPr>
          <w:p w14:paraId="2CC571E8" w14:textId="77777777" w:rsidR="00FB28D8" w:rsidRPr="00B0658A" w:rsidRDefault="00FB28D8" w:rsidP="000A4114">
            <w:pPr>
              <w:spacing w:after="0" w:line="240" w:lineRule="auto"/>
              <w:rPr>
                <w:rFonts w:ascii="Times New Roman" w:hAnsi="Times New Roman"/>
                <w:i/>
                <w:iCs/>
                <w:sz w:val="20"/>
                <w:szCs w:val="20"/>
              </w:rPr>
            </w:pPr>
          </w:p>
        </w:tc>
        <w:tc>
          <w:tcPr>
            <w:tcW w:w="1090" w:type="pct"/>
            <w:shd w:val="clear" w:color="auto" w:fill="auto"/>
          </w:tcPr>
          <w:p w14:paraId="2DAFA4AE" w14:textId="77777777" w:rsidR="00FB28D8" w:rsidRPr="00B0658A" w:rsidRDefault="00FB28D8" w:rsidP="000A4114">
            <w:pPr>
              <w:spacing w:after="0" w:line="240" w:lineRule="auto"/>
              <w:rPr>
                <w:rFonts w:ascii="Times New Roman" w:hAnsi="Times New Roman"/>
                <w:i/>
                <w:iCs/>
                <w:sz w:val="20"/>
                <w:szCs w:val="20"/>
              </w:rPr>
            </w:pPr>
          </w:p>
        </w:tc>
        <w:tc>
          <w:tcPr>
            <w:tcW w:w="1036" w:type="pct"/>
            <w:shd w:val="clear" w:color="auto" w:fill="auto"/>
          </w:tcPr>
          <w:p w14:paraId="464D610E" w14:textId="77777777" w:rsidR="00FB28D8" w:rsidRPr="00B0658A" w:rsidRDefault="00FB28D8" w:rsidP="000A4114">
            <w:pPr>
              <w:spacing w:after="0" w:line="240" w:lineRule="auto"/>
              <w:rPr>
                <w:rFonts w:ascii="Times New Roman" w:hAnsi="Times New Roman"/>
                <w:i/>
                <w:iCs/>
                <w:sz w:val="20"/>
                <w:szCs w:val="20"/>
              </w:rPr>
            </w:pPr>
          </w:p>
        </w:tc>
        <w:tc>
          <w:tcPr>
            <w:tcW w:w="894" w:type="pct"/>
            <w:shd w:val="clear" w:color="auto" w:fill="auto"/>
          </w:tcPr>
          <w:p w14:paraId="2191389E" w14:textId="77777777" w:rsidR="00FB28D8" w:rsidRPr="00B0658A" w:rsidRDefault="00FB28D8" w:rsidP="000A4114">
            <w:pPr>
              <w:spacing w:after="0" w:line="240" w:lineRule="auto"/>
              <w:jc w:val="both"/>
              <w:rPr>
                <w:rFonts w:ascii="Times New Roman" w:hAnsi="Times New Roman"/>
                <w:i/>
                <w:iCs/>
                <w:sz w:val="20"/>
                <w:szCs w:val="20"/>
              </w:rPr>
            </w:pPr>
          </w:p>
        </w:tc>
      </w:tr>
      <w:tr w:rsidR="00F52FED" w:rsidRPr="00B0658A" w14:paraId="71470105" w14:textId="77777777" w:rsidTr="00B10FDE">
        <w:trPr>
          <w:trHeight w:val="170"/>
        </w:trPr>
        <w:tc>
          <w:tcPr>
            <w:tcW w:w="203" w:type="pct"/>
            <w:shd w:val="clear" w:color="auto" w:fill="auto"/>
          </w:tcPr>
          <w:p w14:paraId="3BF02246" w14:textId="77777777" w:rsidR="00FB28D8" w:rsidRPr="00B0658A" w:rsidRDefault="00FB28D8" w:rsidP="000A4114">
            <w:pPr>
              <w:spacing w:after="0" w:line="240" w:lineRule="auto"/>
              <w:rPr>
                <w:rFonts w:ascii="Times New Roman" w:hAnsi="Times New Roman"/>
                <w:sz w:val="20"/>
                <w:szCs w:val="20"/>
              </w:rPr>
            </w:pPr>
            <w:r w:rsidRPr="00B0658A">
              <w:rPr>
                <w:rFonts w:ascii="Times New Roman" w:hAnsi="Times New Roman"/>
                <w:sz w:val="20"/>
                <w:szCs w:val="20"/>
              </w:rPr>
              <w:t>11.1</w:t>
            </w:r>
          </w:p>
        </w:tc>
        <w:tc>
          <w:tcPr>
            <w:tcW w:w="1153" w:type="pct"/>
            <w:shd w:val="clear" w:color="auto" w:fill="auto"/>
            <w:vAlign w:val="center"/>
          </w:tcPr>
          <w:p w14:paraId="065FAAC1" w14:textId="77777777" w:rsidR="00FB28D8" w:rsidRPr="00B0658A" w:rsidRDefault="00FB28D8" w:rsidP="000A4114">
            <w:pPr>
              <w:spacing w:after="0" w:line="240" w:lineRule="auto"/>
              <w:rPr>
                <w:rFonts w:ascii="Times New Roman" w:hAnsi="Times New Roman"/>
                <w:sz w:val="20"/>
                <w:szCs w:val="20"/>
              </w:rPr>
            </w:pPr>
            <w:r w:rsidRPr="00B0658A">
              <w:rPr>
                <w:rFonts w:ascii="Times New Roman" w:hAnsi="Times New Roman"/>
                <w:sz w:val="20"/>
                <w:szCs w:val="20"/>
              </w:rPr>
              <w:t>Средства анализа данных/ Инструменты извлечения и трансформации данных (ETL)</w:t>
            </w:r>
          </w:p>
        </w:tc>
        <w:tc>
          <w:tcPr>
            <w:tcW w:w="624" w:type="pct"/>
          </w:tcPr>
          <w:p w14:paraId="1F2660FE" w14:textId="77777777" w:rsidR="00FB28D8" w:rsidRPr="00B0658A" w:rsidRDefault="00FB28D8" w:rsidP="000A4114">
            <w:pPr>
              <w:spacing w:after="0" w:line="240" w:lineRule="auto"/>
              <w:rPr>
                <w:rFonts w:ascii="Times New Roman" w:hAnsi="Times New Roman"/>
                <w:i/>
                <w:iCs/>
                <w:sz w:val="20"/>
                <w:szCs w:val="20"/>
              </w:rPr>
            </w:pPr>
          </w:p>
        </w:tc>
        <w:tc>
          <w:tcPr>
            <w:tcW w:w="1090" w:type="pct"/>
            <w:shd w:val="clear" w:color="auto" w:fill="auto"/>
          </w:tcPr>
          <w:p w14:paraId="1E63B090" w14:textId="77777777" w:rsidR="00FB28D8" w:rsidRPr="00B0658A" w:rsidRDefault="00FB28D8" w:rsidP="000A4114">
            <w:pPr>
              <w:spacing w:after="0" w:line="240" w:lineRule="auto"/>
              <w:rPr>
                <w:rFonts w:ascii="Times New Roman" w:hAnsi="Times New Roman"/>
                <w:i/>
                <w:iCs/>
                <w:sz w:val="20"/>
                <w:szCs w:val="20"/>
              </w:rPr>
            </w:pPr>
          </w:p>
        </w:tc>
        <w:tc>
          <w:tcPr>
            <w:tcW w:w="1036" w:type="pct"/>
            <w:shd w:val="clear" w:color="auto" w:fill="auto"/>
          </w:tcPr>
          <w:p w14:paraId="7179584E" w14:textId="77777777" w:rsidR="00FB28D8" w:rsidRPr="00B0658A" w:rsidRDefault="00FB28D8" w:rsidP="000A4114">
            <w:pPr>
              <w:spacing w:after="0" w:line="240" w:lineRule="auto"/>
              <w:rPr>
                <w:rFonts w:ascii="Times New Roman" w:hAnsi="Times New Roman"/>
                <w:i/>
                <w:iCs/>
                <w:sz w:val="20"/>
                <w:szCs w:val="20"/>
              </w:rPr>
            </w:pPr>
          </w:p>
        </w:tc>
        <w:tc>
          <w:tcPr>
            <w:tcW w:w="894" w:type="pct"/>
            <w:shd w:val="clear" w:color="auto" w:fill="auto"/>
          </w:tcPr>
          <w:p w14:paraId="573D99ED" w14:textId="77777777" w:rsidR="00FB28D8" w:rsidRPr="00B0658A" w:rsidRDefault="00FB28D8" w:rsidP="000A4114">
            <w:pPr>
              <w:spacing w:after="0" w:line="240" w:lineRule="auto"/>
              <w:jc w:val="both"/>
              <w:rPr>
                <w:rFonts w:ascii="Times New Roman" w:hAnsi="Times New Roman"/>
                <w:i/>
                <w:iCs/>
                <w:sz w:val="20"/>
                <w:szCs w:val="20"/>
              </w:rPr>
            </w:pPr>
          </w:p>
        </w:tc>
      </w:tr>
      <w:tr w:rsidR="00F52FED" w:rsidRPr="00B0658A" w14:paraId="2209AE74" w14:textId="77777777" w:rsidTr="00B10FDE">
        <w:trPr>
          <w:trHeight w:val="170"/>
        </w:trPr>
        <w:tc>
          <w:tcPr>
            <w:tcW w:w="203" w:type="pct"/>
            <w:shd w:val="clear" w:color="auto" w:fill="auto"/>
          </w:tcPr>
          <w:p w14:paraId="4BFF1A8C" w14:textId="77777777" w:rsidR="00FB28D8" w:rsidRPr="00B0658A" w:rsidRDefault="00FB28D8" w:rsidP="000A4114">
            <w:pPr>
              <w:spacing w:after="0" w:line="240" w:lineRule="auto"/>
              <w:rPr>
                <w:rFonts w:ascii="Times New Roman" w:hAnsi="Times New Roman"/>
                <w:sz w:val="20"/>
                <w:szCs w:val="20"/>
              </w:rPr>
            </w:pPr>
            <w:r w:rsidRPr="00B0658A">
              <w:rPr>
                <w:rFonts w:ascii="Times New Roman" w:hAnsi="Times New Roman"/>
                <w:sz w:val="20"/>
                <w:szCs w:val="20"/>
              </w:rPr>
              <w:t>11.2</w:t>
            </w:r>
          </w:p>
        </w:tc>
        <w:tc>
          <w:tcPr>
            <w:tcW w:w="1153" w:type="pct"/>
            <w:shd w:val="clear" w:color="auto" w:fill="auto"/>
            <w:vAlign w:val="center"/>
          </w:tcPr>
          <w:p w14:paraId="14AA3EE9" w14:textId="77777777" w:rsidR="00FB28D8" w:rsidRPr="00B0658A" w:rsidRDefault="00FB28D8" w:rsidP="000A4114">
            <w:pPr>
              <w:spacing w:after="0" w:line="240" w:lineRule="auto"/>
              <w:rPr>
                <w:rFonts w:ascii="Times New Roman" w:hAnsi="Times New Roman"/>
                <w:sz w:val="20"/>
                <w:szCs w:val="20"/>
              </w:rPr>
            </w:pPr>
            <w:r w:rsidRPr="00B0658A">
              <w:rPr>
                <w:rFonts w:ascii="Times New Roman" w:hAnsi="Times New Roman"/>
                <w:sz w:val="20"/>
                <w:szCs w:val="20"/>
              </w:rPr>
              <w:t>Средства анализа данных/ Предметно-ориентированные информационные базы данных (EDW)</w:t>
            </w:r>
          </w:p>
        </w:tc>
        <w:tc>
          <w:tcPr>
            <w:tcW w:w="624" w:type="pct"/>
          </w:tcPr>
          <w:p w14:paraId="623C2026" w14:textId="77777777" w:rsidR="00FB28D8" w:rsidRPr="00B0658A" w:rsidRDefault="00FB28D8" w:rsidP="000A4114">
            <w:pPr>
              <w:spacing w:after="0" w:line="240" w:lineRule="auto"/>
              <w:rPr>
                <w:rFonts w:ascii="Times New Roman" w:hAnsi="Times New Roman"/>
                <w:i/>
                <w:iCs/>
                <w:sz w:val="20"/>
                <w:szCs w:val="20"/>
              </w:rPr>
            </w:pPr>
          </w:p>
        </w:tc>
        <w:tc>
          <w:tcPr>
            <w:tcW w:w="1090" w:type="pct"/>
            <w:shd w:val="clear" w:color="auto" w:fill="auto"/>
          </w:tcPr>
          <w:p w14:paraId="37AA31CA" w14:textId="77777777" w:rsidR="00FB28D8" w:rsidRPr="00B0658A" w:rsidRDefault="00FB28D8" w:rsidP="000A4114">
            <w:pPr>
              <w:spacing w:after="0" w:line="240" w:lineRule="auto"/>
              <w:rPr>
                <w:rFonts w:ascii="Times New Roman" w:hAnsi="Times New Roman"/>
                <w:i/>
                <w:iCs/>
                <w:sz w:val="20"/>
                <w:szCs w:val="20"/>
              </w:rPr>
            </w:pPr>
          </w:p>
        </w:tc>
        <w:tc>
          <w:tcPr>
            <w:tcW w:w="1036" w:type="pct"/>
            <w:shd w:val="clear" w:color="auto" w:fill="auto"/>
          </w:tcPr>
          <w:p w14:paraId="1744E003" w14:textId="77777777" w:rsidR="00FB28D8" w:rsidRPr="00B0658A" w:rsidRDefault="00FB28D8" w:rsidP="000A4114">
            <w:pPr>
              <w:spacing w:after="0" w:line="240" w:lineRule="auto"/>
              <w:rPr>
                <w:rFonts w:ascii="Times New Roman" w:hAnsi="Times New Roman"/>
                <w:i/>
                <w:iCs/>
                <w:sz w:val="20"/>
                <w:szCs w:val="20"/>
              </w:rPr>
            </w:pPr>
          </w:p>
        </w:tc>
        <w:tc>
          <w:tcPr>
            <w:tcW w:w="894" w:type="pct"/>
            <w:shd w:val="clear" w:color="auto" w:fill="auto"/>
          </w:tcPr>
          <w:p w14:paraId="48528D75" w14:textId="77777777" w:rsidR="00FB28D8" w:rsidRPr="00B0658A" w:rsidRDefault="00FB28D8" w:rsidP="000A4114">
            <w:pPr>
              <w:spacing w:after="0" w:line="240" w:lineRule="auto"/>
              <w:jc w:val="both"/>
              <w:rPr>
                <w:rFonts w:ascii="Times New Roman" w:hAnsi="Times New Roman"/>
                <w:i/>
                <w:iCs/>
                <w:sz w:val="20"/>
                <w:szCs w:val="20"/>
              </w:rPr>
            </w:pPr>
          </w:p>
        </w:tc>
      </w:tr>
      <w:tr w:rsidR="00F52FED" w:rsidRPr="00B0658A" w14:paraId="65E6FD5C" w14:textId="77777777" w:rsidTr="00B10FDE">
        <w:trPr>
          <w:trHeight w:val="170"/>
        </w:trPr>
        <w:tc>
          <w:tcPr>
            <w:tcW w:w="203" w:type="pct"/>
            <w:shd w:val="clear" w:color="auto" w:fill="auto"/>
          </w:tcPr>
          <w:p w14:paraId="68764FA9" w14:textId="77777777" w:rsidR="00FB28D8" w:rsidRPr="00B0658A" w:rsidRDefault="00FB28D8" w:rsidP="000A4114">
            <w:pPr>
              <w:spacing w:after="0" w:line="240" w:lineRule="auto"/>
              <w:rPr>
                <w:rFonts w:ascii="Times New Roman" w:hAnsi="Times New Roman"/>
                <w:sz w:val="20"/>
                <w:szCs w:val="20"/>
              </w:rPr>
            </w:pPr>
            <w:r w:rsidRPr="00B0658A">
              <w:rPr>
                <w:rFonts w:ascii="Times New Roman" w:hAnsi="Times New Roman"/>
                <w:sz w:val="20"/>
                <w:szCs w:val="20"/>
              </w:rPr>
              <w:t>11.3</w:t>
            </w:r>
          </w:p>
        </w:tc>
        <w:tc>
          <w:tcPr>
            <w:tcW w:w="1153" w:type="pct"/>
            <w:shd w:val="clear" w:color="auto" w:fill="auto"/>
            <w:vAlign w:val="center"/>
          </w:tcPr>
          <w:p w14:paraId="1DDAF717" w14:textId="77777777" w:rsidR="00FB28D8" w:rsidRPr="00B0658A" w:rsidRDefault="00FB28D8" w:rsidP="000A4114">
            <w:pPr>
              <w:suppressAutoHyphens/>
              <w:spacing w:after="0" w:line="240" w:lineRule="auto"/>
              <w:rPr>
                <w:rFonts w:ascii="Times New Roman" w:hAnsi="Times New Roman"/>
                <w:sz w:val="20"/>
                <w:szCs w:val="20"/>
              </w:rPr>
            </w:pPr>
            <w:r w:rsidRPr="00B0658A">
              <w:rPr>
                <w:rFonts w:ascii="Times New Roman" w:hAnsi="Times New Roman"/>
                <w:sz w:val="20"/>
                <w:szCs w:val="20"/>
              </w:rPr>
              <w:t>Средства анализа данных/</w:t>
            </w:r>
          </w:p>
          <w:p w14:paraId="7445E805" w14:textId="77777777" w:rsidR="00FB28D8" w:rsidRPr="00B0658A" w:rsidRDefault="00FB28D8" w:rsidP="000A4114">
            <w:pPr>
              <w:spacing w:after="0" w:line="240" w:lineRule="auto"/>
              <w:rPr>
                <w:rFonts w:ascii="Times New Roman" w:hAnsi="Times New Roman"/>
                <w:sz w:val="20"/>
                <w:szCs w:val="20"/>
              </w:rPr>
            </w:pPr>
            <w:r w:rsidRPr="00B0658A">
              <w:rPr>
                <w:rFonts w:ascii="Times New Roman" w:hAnsi="Times New Roman"/>
                <w:sz w:val="20"/>
                <w:szCs w:val="20"/>
              </w:rPr>
              <w:t>Средства аналитической обработки в реальном времени (OLAP)</w:t>
            </w:r>
          </w:p>
        </w:tc>
        <w:tc>
          <w:tcPr>
            <w:tcW w:w="624" w:type="pct"/>
          </w:tcPr>
          <w:p w14:paraId="38E310A3" w14:textId="77777777" w:rsidR="00FB28D8" w:rsidRPr="00B0658A" w:rsidRDefault="00FB28D8" w:rsidP="000A4114">
            <w:pPr>
              <w:spacing w:after="0" w:line="240" w:lineRule="auto"/>
              <w:rPr>
                <w:rFonts w:ascii="Times New Roman" w:hAnsi="Times New Roman"/>
                <w:i/>
                <w:iCs/>
                <w:sz w:val="20"/>
                <w:szCs w:val="20"/>
              </w:rPr>
            </w:pPr>
          </w:p>
        </w:tc>
        <w:tc>
          <w:tcPr>
            <w:tcW w:w="1090" w:type="pct"/>
            <w:shd w:val="clear" w:color="auto" w:fill="auto"/>
          </w:tcPr>
          <w:p w14:paraId="7A020AC3" w14:textId="77777777" w:rsidR="00FB28D8" w:rsidRPr="00B0658A" w:rsidRDefault="00FB28D8" w:rsidP="000A4114">
            <w:pPr>
              <w:spacing w:after="0" w:line="240" w:lineRule="auto"/>
              <w:rPr>
                <w:rFonts w:ascii="Times New Roman" w:hAnsi="Times New Roman"/>
                <w:i/>
                <w:iCs/>
                <w:sz w:val="20"/>
                <w:szCs w:val="20"/>
              </w:rPr>
            </w:pPr>
          </w:p>
        </w:tc>
        <w:tc>
          <w:tcPr>
            <w:tcW w:w="1036" w:type="pct"/>
            <w:shd w:val="clear" w:color="auto" w:fill="auto"/>
          </w:tcPr>
          <w:p w14:paraId="3B63DAF8" w14:textId="77777777" w:rsidR="00FB28D8" w:rsidRPr="00B0658A" w:rsidRDefault="00FB28D8" w:rsidP="000A4114">
            <w:pPr>
              <w:spacing w:after="0" w:line="240" w:lineRule="auto"/>
              <w:rPr>
                <w:rFonts w:ascii="Times New Roman" w:hAnsi="Times New Roman"/>
                <w:i/>
                <w:iCs/>
                <w:sz w:val="20"/>
                <w:szCs w:val="20"/>
              </w:rPr>
            </w:pPr>
          </w:p>
        </w:tc>
        <w:tc>
          <w:tcPr>
            <w:tcW w:w="894" w:type="pct"/>
            <w:shd w:val="clear" w:color="auto" w:fill="auto"/>
          </w:tcPr>
          <w:p w14:paraId="00D426F4" w14:textId="77777777" w:rsidR="00FB28D8" w:rsidRPr="00B0658A" w:rsidRDefault="00FB28D8" w:rsidP="000A4114">
            <w:pPr>
              <w:spacing w:after="0" w:line="240" w:lineRule="auto"/>
              <w:jc w:val="both"/>
              <w:rPr>
                <w:rFonts w:ascii="Times New Roman" w:hAnsi="Times New Roman"/>
                <w:i/>
                <w:iCs/>
                <w:sz w:val="20"/>
                <w:szCs w:val="20"/>
              </w:rPr>
            </w:pPr>
          </w:p>
        </w:tc>
      </w:tr>
      <w:tr w:rsidR="00F52FED" w:rsidRPr="00B0658A" w14:paraId="1CF98ADF" w14:textId="77777777" w:rsidTr="00B10FDE">
        <w:trPr>
          <w:trHeight w:val="170"/>
        </w:trPr>
        <w:tc>
          <w:tcPr>
            <w:tcW w:w="203" w:type="pct"/>
            <w:shd w:val="clear" w:color="auto" w:fill="auto"/>
          </w:tcPr>
          <w:p w14:paraId="69929E64" w14:textId="77777777" w:rsidR="00FB28D8" w:rsidRPr="00B0658A" w:rsidRDefault="00FB28D8" w:rsidP="000A4114">
            <w:pPr>
              <w:spacing w:after="0" w:line="240" w:lineRule="auto"/>
              <w:rPr>
                <w:rFonts w:ascii="Times New Roman" w:hAnsi="Times New Roman"/>
                <w:sz w:val="20"/>
                <w:szCs w:val="20"/>
              </w:rPr>
            </w:pPr>
            <w:r w:rsidRPr="00B0658A">
              <w:rPr>
                <w:rFonts w:ascii="Times New Roman" w:hAnsi="Times New Roman"/>
                <w:sz w:val="20"/>
                <w:szCs w:val="20"/>
              </w:rPr>
              <w:t>11.4</w:t>
            </w:r>
          </w:p>
        </w:tc>
        <w:tc>
          <w:tcPr>
            <w:tcW w:w="1153" w:type="pct"/>
            <w:shd w:val="clear" w:color="auto" w:fill="auto"/>
            <w:vAlign w:val="center"/>
          </w:tcPr>
          <w:p w14:paraId="38D3642E" w14:textId="77777777" w:rsidR="00FB28D8" w:rsidRPr="00B0658A" w:rsidRDefault="00FB28D8" w:rsidP="000A4114">
            <w:pPr>
              <w:suppressAutoHyphens/>
              <w:spacing w:after="0" w:line="240" w:lineRule="auto"/>
              <w:rPr>
                <w:rFonts w:ascii="Times New Roman" w:hAnsi="Times New Roman"/>
                <w:sz w:val="20"/>
                <w:szCs w:val="20"/>
              </w:rPr>
            </w:pPr>
            <w:r w:rsidRPr="00B0658A">
              <w:rPr>
                <w:rFonts w:ascii="Times New Roman" w:hAnsi="Times New Roman"/>
                <w:sz w:val="20"/>
                <w:szCs w:val="20"/>
              </w:rPr>
              <w:t xml:space="preserve">Средства анализа данных/ </w:t>
            </w:r>
          </w:p>
          <w:p w14:paraId="20B70A3C" w14:textId="77777777" w:rsidR="00FB28D8" w:rsidRPr="00B0658A" w:rsidRDefault="00FB28D8" w:rsidP="000A4114">
            <w:pPr>
              <w:suppressAutoHyphens/>
              <w:spacing w:after="0" w:line="240" w:lineRule="auto"/>
              <w:rPr>
                <w:rFonts w:ascii="Times New Roman" w:hAnsi="Times New Roman"/>
                <w:sz w:val="20"/>
                <w:szCs w:val="20"/>
              </w:rPr>
            </w:pPr>
            <w:r w:rsidRPr="00B0658A">
              <w:rPr>
                <w:rFonts w:ascii="Times New Roman" w:hAnsi="Times New Roman"/>
                <w:sz w:val="20"/>
                <w:szCs w:val="20"/>
              </w:rPr>
              <w:t>Средства интеллектуального анализа данных (Data Mining)</w:t>
            </w:r>
          </w:p>
        </w:tc>
        <w:tc>
          <w:tcPr>
            <w:tcW w:w="624" w:type="pct"/>
          </w:tcPr>
          <w:p w14:paraId="29106B40" w14:textId="77777777" w:rsidR="00FB28D8" w:rsidRPr="00B0658A" w:rsidRDefault="00FB28D8" w:rsidP="000A4114">
            <w:pPr>
              <w:spacing w:after="0" w:line="240" w:lineRule="auto"/>
              <w:rPr>
                <w:rFonts w:ascii="Times New Roman" w:hAnsi="Times New Roman"/>
                <w:i/>
                <w:iCs/>
                <w:sz w:val="20"/>
                <w:szCs w:val="20"/>
              </w:rPr>
            </w:pPr>
          </w:p>
        </w:tc>
        <w:tc>
          <w:tcPr>
            <w:tcW w:w="1090" w:type="pct"/>
            <w:shd w:val="clear" w:color="auto" w:fill="auto"/>
          </w:tcPr>
          <w:p w14:paraId="75EF4CB7" w14:textId="77777777" w:rsidR="00FB28D8" w:rsidRPr="00B0658A" w:rsidRDefault="00FB28D8" w:rsidP="000A4114">
            <w:pPr>
              <w:spacing w:after="0" w:line="240" w:lineRule="auto"/>
              <w:rPr>
                <w:rFonts w:ascii="Times New Roman" w:hAnsi="Times New Roman"/>
                <w:i/>
                <w:iCs/>
                <w:sz w:val="20"/>
                <w:szCs w:val="20"/>
              </w:rPr>
            </w:pPr>
          </w:p>
        </w:tc>
        <w:tc>
          <w:tcPr>
            <w:tcW w:w="1036" w:type="pct"/>
            <w:shd w:val="clear" w:color="auto" w:fill="auto"/>
          </w:tcPr>
          <w:p w14:paraId="785EF9D8" w14:textId="77777777" w:rsidR="00FB28D8" w:rsidRPr="00B0658A" w:rsidRDefault="00FB28D8" w:rsidP="000A4114">
            <w:pPr>
              <w:spacing w:after="0" w:line="240" w:lineRule="auto"/>
              <w:rPr>
                <w:rFonts w:ascii="Times New Roman" w:hAnsi="Times New Roman"/>
                <w:i/>
                <w:iCs/>
                <w:sz w:val="20"/>
                <w:szCs w:val="20"/>
              </w:rPr>
            </w:pPr>
          </w:p>
        </w:tc>
        <w:tc>
          <w:tcPr>
            <w:tcW w:w="894" w:type="pct"/>
            <w:shd w:val="clear" w:color="auto" w:fill="auto"/>
          </w:tcPr>
          <w:p w14:paraId="6EA3CCED" w14:textId="77777777" w:rsidR="00FB28D8" w:rsidRPr="00B0658A" w:rsidRDefault="00FB28D8" w:rsidP="000A4114">
            <w:pPr>
              <w:spacing w:after="0" w:line="240" w:lineRule="auto"/>
              <w:jc w:val="both"/>
              <w:rPr>
                <w:rFonts w:ascii="Times New Roman" w:hAnsi="Times New Roman"/>
                <w:i/>
                <w:iCs/>
                <w:sz w:val="20"/>
                <w:szCs w:val="20"/>
              </w:rPr>
            </w:pPr>
          </w:p>
        </w:tc>
      </w:tr>
      <w:tr w:rsidR="00F52FED" w:rsidRPr="00B0658A" w14:paraId="67557F98" w14:textId="77777777" w:rsidTr="00B10FDE">
        <w:trPr>
          <w:trHeight w:val="170"/>
        </w:trPr>
        <w:tc>
          <w:tcPr>
            <w:tcW w:w="203" w:type="pct"/>
            <w:shd w:val="clear" w:color="auto" w:fill="auto"/>
          </w:tcPr>
          <w:p w14:paraId="2C5160B5" w14:textId="77777777" w:rsidR="00FB28D8" w:rsidRPr="00B0658A" w:rsidRDefault="00FB28D8" w:rsidP="000A4114">
            <w:pPr>
              <w:spacing w:after="0" w:line="240" w:lineRule="auto"/>
              <w:rPr>
                <w:rFonts w:ascii="Times New Roman" w:hAnsi="Times New Roman"/>
                <w:b/>
                <w:sz w:val="20"/>
                <w:szCs w:val="20"/>
              </w:rPr>
            </w:pPr>
            <w:r w:rsidRPr="00B0658A">
              <w:rPr>
                <w:rFonts w:ascii="Times New Roman" w:hAnsi="Times New Roman"/>
                <w:sz w:val="20"/>
                <w:szCs w:val="20"/>
              </w:rPr>
              <w:t>11.5</w:t>
            </w:r>
          </w:p>
        </w:tc>
        <w:tc>
          <w:tcPr>
            <w:tcW w:w="1153" w:type="pct"/>
            <w:shd w:val="clear" w:color="auto" w:fill="auto"/>
            <w:vAlign w:val="center"/>
          </w:tcPr>
          <w:p w14:paraId="48F7D579" w14:textId="77777777" w:rsidR="00FB28D8" w:rsidRPr="00B0658A" w:rsidRDefault="00FB28D8" w:rsidP="000A4114">
            <w:pPr>
              <w:suppressAutoHyphens/>
              <w:spacing w:after="0" w:line="240" w:lineRule="auto"/>
              <w:rPr>
                <w:rFonts w:ascii="Times New Roman" w:hAnsi="Times New Roman"/>
                <w:sz w:val="20"/>
                <w:szCs w:val="20"/>
              </w:rPr>
            </w:pPr>
            <w:r w:rsidRPr="00B0658A">
              <w:rPr>
                <w:rFonts w:ascii="Times New Roman" w:hAnsi="Times New Roman"/>
                <w:sz w:val="20"/>
                <w:szCs w:val="20"/>
              </w:rPr>
              <w:t xml:space="preserve">Средства анализа данных/ </w:t>
            </w:r>
          </w:p>
          <w:p w14:paraId="66C55500" w14:textId="77777777" w:rsidR="00FB28D8" w:rsidRPr="00B0658A" w:rsidRDefault="00FB28D8" w:rsidP="000A4114">
            <w:pPr>
              <w:suppressAutoHyphens/>
              <w:spacing w:after="0" w:line="240" w:lineRule="auto"/>
              <w:rPr>
                <w:rFonts w:ascii="Times New Roman" w:hAnsi="Times New Roman"/>
                <w:b/>
                <w:sz w:val="20"/>
                <w:szCs w:val="20"/>
              </w:rPr>
            </w:pPr>
            <w:r w:rsidRPr="00B0658A">
              <w:rPr>
                <w:rFonts w:ascii="Times New Roman" w:hAnsi="Times New Roman"/>
                <w:sz w:val="20"/>
                <w:szCs w:val="20"/>
              </w:rPr>
              <w:t>Средства поддержки принятия решений (DSS)</w:t>
            </w:r>
          </w:p>
        </w:tc>
        <w:tc>
          <w:tcPr>
            <w:tcW w:w="624" w:type="pct"/>
          </w:tcPr>
          <w:p w14:paraId="3B5ADD3B" w14:textId="77777777" w:rsidR="00FB28D8" w:rsidRPr="00B0658A" w:rsidRDefault="00FB28D8" w:rsidP="000A4114">
            <w:pPr>
              <w:spacing w:after="0" w:line="240" w:lineRule="auto"/>
              <w:rPr>
                <w:rFonts w:ascii="Times New Roman" w:hAnsi="Times New Roman"/>
                <w:i/>
                <w:iCs/>
                <w:sz w:val="20"/>
                <w:szCs w:val="20"/>
              </w:rPr>
            </w:pPr>
          </w:p>
        </w:tc>
        <w:tc>
          <w:tcPr>
            <w:tcW w:w="1090" w:type="pct"/>
            <w:shd w:val="clear" w:color="auto" w:fill="auto"/>
          </w:tcPr>
          <w:p w14:paraId="27E6006B" w14:textId="77777777" w:rsidR="00FB28D8" w:rsidRPr="00B0658A" w:rsidRDefault="00FB28D8" w:rsidP="000A4114">
            <w:pPr>
              <w:spacing w:after="0" w:line="240" w:lineRule="auto"/>
              <w:rPr>
                <w:rFonts w:ascii="Times New Roman" w:hAnsi="Times New Roman"/>
                <w:i/>
                <w:iCs/>
                <w:sz w:val="20"/>
                <w:szCs w:val="20"/>
              </w:rPr>
            </w:pPr>
          </w:p>
        </w:tc>
        <w:tc>
          <w:tcPr>
            <w:tcW w:w="1036" w:type="pct"/>
            <w:shd w:val="clear" w:color="auto" w:fill="auto"/>
          </w:tcPr>
          <w:p w14:paraId="3DAAD67F" w14:textId="77777777" w:rsidR="00FB28D8" w:rsidRPr="00B0658A" w:rsidRDefault="00FB28D8" w:rsidP="000A4114">
            <w:pPr>
              <w:spacing w:after="0" w:line="240" w:lineRule="auto"/>
              <w:rPr>
                <w:rFonts w:ascii="Times New Roman" w:hAnsi="Times New Roman"/>
                <w:i/>
                <w:iCs/>
                <w:sz w:val="20"/>
                <w:szCs w:val="20"/>
              </w:rPr>
            </w:pPr>
          </w:p>
        </w:tc>
        <w:tc>
          <w:tcPr>
            <w:tcW w:w="894" w:type="pct"/>
            <w:shd w:val="clear" w:color="auto" w:fill="auto"/>
          </w:tcPr>
          <w:p w14:paraId="5DF3A6DE" w14:textId="77777777" w:rsidR="00FB28D8" w:rsidRPr="00B0658A" w:rsidRDefault="00FB28D8" w:rsidP="000A4114">
            <w:pPr>
              <w:spacing w:after="0" w:line="240" w:lineRule="auto"/>
              <w:jc w:val="both"/>
              <w:rPr>
                <w:rFonts w:ascii="Times New Roman" w:hAnsi="Times New Roman"/>
                <w:i/>
                <w:iCs/>
                <w:sz w:val="20"/>
                <w:szCs w:val="20"/>
              </w:rPr>
            </w:pPr>
          </w:p>
        </w:tc>
      </w:tr>
      <w:tr w:rsidR="00FB28D8" w:rsidRPr="00B0658A" w14:paraId="388CC5EC" w14:textId="77777777" w:rsidTr="00B10FDE">
        <w:trPr>
          <w:trHeight w:val="170"/>
        </w:trPr>
        <w:tc>
          <w:tcPr>
            <w:tcW w:w="203" w:type="pct"/>
            <w:shd w:val="clear" w:color="auto" w:fill="auto"/>
          </w:tcPr>
          <w:p w14:paraId="560CC81A" w14:textId="77777777" w:rsidR="00FB28D8" w:rsidRPr="00B0658A" w:rsidRDefault="00FB28D8" w:rsidP="000A4114">
            <w:pPr>
              <w:spacing w:after="0" w:line="240" w:lineRule="auto"/>
              <w:rPr>
                <w:rFonts w:ascii="Times New Roman" w:hAnsi="Times New Roman"/>
                <w:b/>
                <w:sz w:val="20"/>
                <w:szCs w:val="20"/>
              </w:rPr>
            </w:pPr>
            <w:r w:rsidRPr="00B0658A">
              <w:rPr>
                <w:rFonts w:ascii="Times New Roman" w:hAnsi="Times New Roman"/>
                <w:sz w:val="20"/>
                <w:szCs w:val="20"/>
              </w:rPr>
              <w:t>11.6</w:t>
            </w:r>
          </w:p>
        </w:tc>
        <w:tc>
          <w:tcPr>
            <w:tcW w:w="1153" w:type="pct"/>
            <w:shd w:val="clear" w:color="auto" w:fill="auto"/>
            <w:vAlign w:val="center"/>
          </w:tcPr>
          <w:p w14:paraId="43657E23" w14:textId="77777777" w:rsidR="00FB28D8" w:rsidRPr="00B0658A" w:rsidRDefault="00FB28D8" w:rsidP="000A4114">
            <w:pPr>
              <w:spacing w:after="0" w:line="240" w:lineRule="auto"/>
              <w:rPr>
                <w:rFonts w:ascii="Times New Roman" w:hAnsi="Times New Roman"/>
                <w:b/>
                <w:sz w:val="20"/>
                <w:szCs w:val="20"/>
              </w:rPr>
            </w:pPr>
            <w:r w:rsidRPr="00B0658A">
              <w:rPr>
                <w:rFonts w:ascii="Times New Roman" w:hAnsi="Times New Roman"/>
                <w:sz w:val="20"/>
                <w:szCs w:val="20"/>
              </w:rPr>
              <w:t xml:space="preserve">Средства анализа данных/ Инструменты обработки, анализа </w:t>
            </w:r>
            <w:r w:rsidRPr="00B0658A">
              <w:rPr>
                <w:rFonts w:ascii="Times New Roman" w:hAnsi="Times New Roman"/>
                <w:sz w:val="20"/>
                <w:szCs w:val="20"/>
              </w:rPr>
              <w:br/>
              <w:t>и распознавания изображений</w:t>
            </w:r>
          </w:p>
        </w:tc>
        <w:tc>
          <w:tcPr>
            <w:tcW w:w="624" w:type="pct"/>
          </w:tcPr>
          <w:p w14:paraId="27A4E5C0" w14:textId="77777777" w:rsidR="00FB28D8" w:rsidRPr="00B0658A" w:rsidRDefault="00FB28D8" w:rsidP="000A4114">
            <w:pPr>
              <w:spacing w:after="0" w:line="240" w:lineRule="auto"/>
              <w:rPr>
                <w:rFonts w:ascii="Times New Roman" w:hAnsi="Times New Roman"/>
                <w:i/>
                <w:iCs/>
                <w:sz w:val="20"/>
                <w:szCs w:val="20"/>
              </w:rPr>
            </w:pPr>
          </w:p>
        </w:tc>
        <w:tc>
          <w:tcPr>
            <w:tcW w:w="1090" w:type="pct"/>
            <w:shd w:val="clear" w:color="auto" w:fill="auto"/>
          </w:tcPr>
          <w:p w14:paraId="7C0EB2D7" w14:textId="77777777" w:rsidR="00FB28D8" w:rsidRPr="00B0658A" w:rsidRDefault="00FB28D8" w:rsidP="000A4114">
            <w:pPr>
              <w:spacing w:after="0" w:line="240" w:lineRule="auto"/>
              <w:rPr>
                <w:rFonts w:ascii="Times New Roman" w:hAnsi="Times New Roman"/>
                <w:i/>
                <w:iCs/>
                <w:sz w:val="20"/>
                <w:szCs w:val="20"/>
              </w:rPr>
            </w:pPr>
          </w:p>
        </w:tc>
        <w:tc>
          <w:tcPr>
            <w:tcW w:w="1036" w:type="pct"/>
            <w:shd w:val="clear" w:color="auto" w:fill="auto"/>
          </w:tcPr>
          <w:p w14:paraId="5AEFD5DE" w14:textId="77777777" w:rsidR="00FB28D8" w:rsidRPr="00B0658A" w:rsidRDefault="00FB28D8" w:rsidP="000A4114">
            <w:pPr>
              <w:spacing w:after="0" w:line="240" w:lineRule="auto"/>
              <w:rPr>
                <w:rFonts w:ascii="Times New Roman" w:hAnsi="Times New Roman"/>
                <w:i/>
                <w:iCs/>
                <w:sz w:val="20"/>
                <w:szCs w:val="20"/>
              </w:rPr>
            </w:pPr>
          </w:p>
        </w:tc>
        <w:tc>
          <w:tcPr>
            <w:tcW w:w="894" w:type="pct"/>
            <w:shd w:val="clear" w:color="auto" w:fill="auto"/>
          </w:tcPr>
          <w:p w14:paraId="3DEC97EA" w14:textId="77777777" w:rsidR="00FB28D8" w:rsidRPr="00B0658A" w:rsidRDefault="00FB28D8" w:rsidP="000A4114">
            <w:pPr>
              <w:spacing w:after="0" w:line="240" w:lineRule="auto"/>
              <w:jc w:val="both"/>
              <w:rPr>
                <w:rFonts w:ascii="Times New Roman" w:hAnsi="Times New Roman"/>
                <w:i/>
                <w:iCs/>
                <w:sz w:val="20"/>
                <w:szCs w:val="20"/>
              </w:rPr>
            </w:pPr>
          </w:p>
        </w:tc>
      </w:tr>
    </w:tbl>
    <w:p w14:paraId="0B91C761" w14:textId="77777777" w:rsidR="00A97B77" w:rsidRDefault="00A97B77" w:rsidP="00FB28D8">
      <w:pPr>
        <w:spacing w:after="0" w:line="240" w:lineRule="auto"/>
        <w:rPr>
          <w:rFonts w:ascii="Times New Roman" w:hAnsi="Times New Roman"/>
          <w:sz w:val="32"/>
          <w:szCs w:val="24"/>
        </w:rPr>
      </w:pPr>
    </w:p>
    <w:p w14:paraId="729A8324" w14:textId="77777777" w:rsidR="00A97B77" w:rsidRDefault="00A97B77">
      <w:pPr>
        <w:spacing w:after="0" w:line="240" w:lineRule="auto"/>
        <w:rPr>
          <w:rFonts w:ascii="Times New Roman" w:hAnsi="Times New Roman"/>
          <w:sz w:val="32"/>
          <w:szCs w:val="24"/>
        </w:rPr>
      </w:pPr>
      <w:r>
        <w:rPr>
          <w:rFonts w:ascii="Times New Roman" w:hAnsi="Times New Roman"/>
          <w:sz w:val="32"/>
          <w:szCs w:val="24"/>
        </w:rPr>
        <w:br w:type="page"/>
      </w:r>
    </w:p>
    <w:p w14:paraId="2CA5F10B" w14:textId="77777777" w:rsidR="00FB28D8" w:rsidRPr="00B0658A" w:rsidRDefault="00FB28D8" w:rsidP="00FB28D8">
      <w:pPr>
        <w:pStyle w:val="ConsPlusNormal"/>
        <w:spacing w:before="120"/>
        <w:jc w:val="center"/>
        <w:rPr>
          <w:sz w:val="32"/>
        </w:rPr>
      </w:pPr>
      <w:r w:rsidRPr="00B0658A">
        <w:rPr>
          <w:sz w:val="32"/>
        </w:rPr>
        <w:t xml:space="preserve">Сведения о реализации детализированного плана перехода ______________ (полное наименование </w:t>
      </w:r>
      <w:r w:rsidR="00D92508" w:rsidRPr="00B0658A">
        <w:rPr>
          <w:sz w:val="32"/>
          <w:szCs w:val="28"/>
        </w:rPr>
        <w:t>подведомственной организации</w:t>
      </w:r>
      <w:r w:rsidRPr="00B0658A">
        <w:rPr>
          <w:sz w:val="32"/>
          <w:szCs w:val="28"/>
        </w:rPr>
        <w:t xml:space="preserve">) на использование российского </w:t>
      </w:r>
      <w:r w:rsidRPr="00B0658A">
        <w:rPr>
          <w:sz w:val="32"/>
        </w:rPr>
        <w:t xml:space="preserve">ПО на принадлежащих </w:t>
      </w:r>
      <w:r w:rsidR="00D92508" w:rsidRPr="00B0658A">
        <w:rPr>
          <w:sz w:val="32"/>
        </w:rPr>
        <w:t xml:space="preserve">подведомственной организации </w:t>
      </w:r>
      <w:r w:rsidRPr="00B0658A">
        <w:rPr>
          <w:sz w:val="32"/>
        </w:rPr>
        <w:t>значимых объектах КИИ</w:t>
      </w:r>
      <w:r w:rsidRPr="00B0658A">
        <w:rPr>
          <w:sz w:val="32"/>
          <w:szCs w:val="28"/>
        </w:rPr>
        <w:t xml:space="preserve"> </w:t>
      </w:r>
      <w:r w:rsidRPr="00B0658A">
        <w:rPr>
          <w:sz w:val="32"/>
        </w:rPr>
        <w:t xml:space="preserve">на период 2022-2024 годы за </w:t>
      </w:r>
      <w:r w:rsidRPr="00B0658A">
        <w:rPr>
          <w:sz w:val="32"/>
          <w:szCs w:val="28"/>
        </w:rPr>
        <w:t xml:space="preserve"> ______ год</w:t>
      </w:r>
    </w:p>
    <w:p w14:paraId="751CFB4D" w14:textId="77777777" w:rsidR="00FB28D8" w:rsidRPr="00B0658A" w:rsidRDefault="00FB28D8" w:rsidP="00FB28D8">
      <w:pPr>
        <w:spacing w:before="120" w:after="0" w:line="240" w:lineRule="auto"/>
        <w:rPr>
          <w:rFonts w:ascii="Times New Roman" w:hAnsi="Times New Roman"/>
          <w:sz w:val="28"/>
          <w:szCs w:val="24"/>
        </w:rPr>
      </w:pPr>
    </w:p>
    <w:p w14:paraId="73E19DAC" w14:textId="77777777" w:rsidR="00FB28D8" w:rsidRPr="00B0658A" w:rsidRDefault="00FB28D8" w:rsidP="00FB28D8">
      <w:pPr>
        <w:spacing w:before="120" w:after="0" w:line="240" w:lineRule="auto"/>
        <w:rPr>
          <w:rFonts w:ascii="Times New Roman" w:hAnsi="Times New Roman"/>
          <w:sz w:val="28"/>
          <w:szCs w:val="24"/>
        </w:rPr>
      </w:pPr>
    </w:p>
    <w:p w14:paraId="316AD47C" w14:textId="77777777" w:rsidR="00FB28D8" w:rsidRPr="00B0658A" w:rsidRDefault="00137AA5" w:rsidP="00137AA5">
      <w:pPr>
        <w:pStyle w:val="afd"/>
        <w:spacing w:line="240" w:lineRule="auto"/>
        <w:ind w:left="0" w:firstLine="709"/>
        <w:jc w:val="both"/>
        <w:rPr>
          <w:rFonts w:ascii="Times New Roman" w:hAnsi="Times New Roman"/>
          <w:sz w:val="28"/>
          <w:szCs w:val="28"/>
        </w:rPr>
      </w:pPr>
      <w:r w:rsidRPr="00B0658A">
        <w:rPr>
          <w:rFonts w:ascii="Times New Roman" w:hAnsi="Times New Roman"/>
          <w:sz w:val="28"/>
          <w:szCs w:val="28"/>
        </w:rPr>
        <w:t xml:space="preserve">1. </w:t>
      </w:r>
      <w:r w:rsidR="00FB28D8" w:rsidRPr="00B0658A">
        <w:rPr>
          <w:rFonts w:ascii="Times New Roman" w:hAnsi="Times New Roman"/>
          <w:sz w:val="28"/>
          <w:szCs w:val="28"/>
        </w:rPr>
        <w:t xml:space="preserve">Сведения о реализации мероприятий по переходу на использование российского ПО на принадлежащих _______ (полное наименование </w:t>
      </w:r>
      <w:r w:rsidR="00D37F0E" w:rsidRPr="00B0658A">
        <w:rPr>
          <w:rFonts w:ascii="Times New Roman" w:hAnsi="Times New Roman"/>
          <w:sz w:val="28"/>
          <w:szCs w:val="28"/>
        </w:rPr>
        <w:t>подведомственной организации</w:t>
      </w:r>
      <w:r w:rsidR="00FB28D8" w:rsidRPr="00B0658A">
        <w:rPr>
          <w:rFonts w:ascii="Times New Roman" w:hAnsi="Times New Roman"/>
          <w:sz w:val="28"/>
          <w:szCs w:val="28"/>
        </w:rPr>
        <w:t>) значимых объектах КИИ</w:t>
      </w:r>
    </w:p>
    <w:tbl>
      <w:tblPr>
        <w:tblStyle w:val="32"/>
        <w:tblW w:w="5000" w:type="pct"/>
        <w:tblLook w:val="04A0" w:firstRow="1" w:lastRow="0" w:firstColumn="1" w:lastColumn="0" w:noHBand="0" w:noVBand="1"/>
      </w:tblPr>
      <w:tblGrid>
        <w:gridCol w:w="513"/>
        <w:gridCol w:w="2853"/>
        <w:gridCol w:w="2471"/>
        <w:gridCol w:w="2496"/>
        <w:gridCol w:w="2435"/>
        <w:gridCol w:w="3176"/>
      </w:tblGrid>
      <w:tr w:rsidR="00F52FED" w:rsidRPr="00B0658A" w14:paraId="16601C0B" w14:textId="77777777" w:rsidTr="00F57B1F">
        <w:trPr>
          <w:tblHeader/>
        </w:trPr>
        <w:tc>
          <w:tcPr>
            <w:tcW w:w="184" w:type="pct"/>
          </w:tcPr>
          <w:p w14:paraId="6A665C68" w14:textId="77777777" w:rsidR="00FB28D8" w:rsidRPr="00B0658A" w:rsidRDefault="00FB28D8" w:rsidP="000A4114">
            <w:pPr>
              <w:spacing w:after="0" w:line="240" w:lineRule="auto"/>
              <w:jc w:val="center"/>
              <w:rPr>
                <w:rFonts w:ascii="Times New Roman"/>
                <w:b/>
                <w:bCs/>
                <w:color w:val="auto"/>
                <w:sz w:val="20"/>
                <w:szCs w:val="20"/>
              </w:rPr>
            </w:pPr>
            <w:r w:rsidRPr="00B0658A">
              <w:rPr>
                <w:rFonts w:ascii="Times New Roman"/>
                <w:b/>
                <w:bCs/>
                <w:color w:val="auto"/>
                <w:sz w:val="20"/>
                <w:szCs w:val="20"/>
              </w:rPr>
              <w:t>№</w:t>
            </w:r>
          </w:p>
        </w:tc>
        <w:tc>
          <w:tcPr>
            <w:tcW w:w="1023" w:type="pct"/>
          </w:tcPr>
          <w:p w14:paraId="73F3E6EE" w14:textId="77777777" w:rsidR="00FB28D8" w:rsidRPr="00B0658A" w:rsidRDefault="00FB28D8" w:rsidP="000A4114">
            <w:pPr>
              <w:spacing w:after="0" w:line="240" w:lineRule="auto"/>
              <w:jc w:val="center"/>
              <w:rPr>
                <w:rFonts w:ascii="Times New Roman"/>
                <w:b/>
                <w:bCs/>
                <w:color w:val="auto"/>
                <w:sz w:val="20"/>
                <w:szCs w:val="20"/>
              </w:rPr>
            </w:pPr>
            <w:r w:rsidRPr="00B0658A">
              <w:rPr>
                <w:rFonts w:ascii="Times New Roman"/>
                <w:b/>
                <w:bCs/>
                <w:color w:val="auto"/>
                <w:sz w:val="20"/>
                <w:szCs w:val="20"/>
              </w:rPr>
              <w:t xml:space="preserve">Наименование мероприятия в соответствии с утвержденным детализированным планом </w:t>
            </w:r>
          </w:p>
        </w:tc>
        <w:tc>
          <w:tcPr>
            <w:tcW w:w="886" w:type="pct"/>
          </w:tcPr>
          <w:p w14:paraId="6EEF40E7" w14:textId="77777777" w:rsidR="00FB28D8" w:rsidRPr="00B0658A" w:rsidRDefault="00FB28D8" w:rsidP="000A4114">
            <w:pPr>
              <w:spacing w:after="0" w:line="240" w:lineRule="auto"/>
              <w:jc w:val="center"/>
              <w:rPr>
                <w:rFonts w:ascii="Times New Roman"/>
                <w:b/>
                <w:bCs/>
                <w:color w:val="auto"/>
                <w:sz w:val="20"/>
                <w:szCs w:val="20"/>
              </w:rPr>
            </w:pPr>
            <w:r w:rsidRPr="00B0658A">
              <w:rPr>
                <w:rFonts w:ascii="Times New Roman"/>
                <w:b/>
                <w:bCs/>
                <w:color w:val="auto"/>
                <w:sz w:val="20"/>
                <w:szCs w:val="20"/>
              </w:rPr>
              <w:t xml:space="preserve">Планируемый результат в соответствии с утвержденным детализированным планом </w:t>
            </w:r>
          </w:p>
        </w:tc>
        <w:tc>
          <w:tcPr>
            <w:tcW w:w="895" w:type="pct"/>
          </w:tcPr>
          <w:p w14:paraId="6B99D547" w14:textId="77777777" w:rsidR="00FB28D8" w:rsidRPr="00B0658A" w:rsidRDefault="00FB28D8" w:rsidP="000A4114">
            <w:pPr>
              <w:spacing w:after="0" w:line="240" w:lineRule="auto"/>
              <w:jc w:val="center"/>
              <w:rPr>
                <w:rFonts w:ascii="Times New Roman"/>
                <w:b/>
                <w:bCs/>
                <w:color w:val="auto"/>
                <w:sz w:val="20"/>
                <w:szCs w:val="20"/>
              </w:rPr>
            </w:pPr>
            <w:r w:rsidRPr="00B0658A">
              <w:rPr>
                <w:rFonts w:ascii="Times New Roman"/>
                <w:b/>
                <w:bCs/>
                <w:color w:val="auto"/>
                <w:sz w:val="20"/>
                <w:szCs w:val="20"/>
              </w:rPr>
              <w:t>Сроки реализации запланированного мероприятия в соответствии с детализированным планом</w:t>
            </w:r>
          </w:p>
        </w:tc>
        <w:tc>
          <w:tcPr>
            <w:tcW w:w="873" w:type="pct"/>
          </w:tcPr>
          <w:p w14:paraId="0797EC46" w14:textId="77777777" w:rsidR="00FB28D8" w:rsidRPr="00B0658A" w:rsidRDefault="00FB28D8" w:rsidP="000A4114">
            <w:pPr>
              <w:spacing w:after="0" w:line="240" w:lineRule="auto"/>
              <w:jc w:val="center"/>
              <w:rPr>
                <w:rFonts w:ascii="Times New Roman"/>
                <w:b/>
                <w:bCs/>
                <w:color w:val="auto"/>
                <w:sz w:val="20"/>
                <w:szCs w:val="20"/>
              </w:rPr>
            </w:pPr>
            <w:r w:rsidRPr="00B0658A">
              <w:rPr>
                <w:rFonts w:ascii="Times New Roman"/>
                <w:b/>
                <w:bCs/>
                <w:color w:val="auto"/>
                <w:sz w:val="20"/>
                <w:szCs w:val="20"/>
              </w:rPr>
              <w:t>Статус выполнения мероприятия</w:t>
            </w:r>
          </w:p>
        </w:tc>
        <w:tc>
          <w:tcPr>
            <w:tcW w:w="1139" w:type="pct"/>
          </w:tcPr>
          <w:p w14:paraId="6A4FE70F" w14:textId="77777777" w:rsidR="00FB28D8" w:rsidRPr="00B0658A" w:rsidRDefault="00FB28D8" w:rsidP="000A4114">
            <w:pPr>
              <w:spacing w:after="0" w:line="240" w:lineRule="auto"/>
              <w:jc w:val="center"/>
              <w:rPr>
                <w:rFonts w:ascii="Times New Roman"/>
                <w:b/>
                <w:bCs/>
                <w:color w:val="auto"/>
                <w:sz w:val="20"/>
                <w:szCs w:val="20"/>
              </w:rPr>
            </w:pPr>
            <w:r w:rsidRPr="00B0658A">
              <w:rPr>
                <w:rFonts w:ascii="Times New Roman"/>
                <w:b/>
                <w:bCs/>
                <w:color w:val="auto"/>
                <w:sz w:val="20"/>
                <w:szCs w:val="20"/>
              </w:rPr>
              <w:t>Описание достигнутого фактического результата</w:t>
            </w:r>
          </w:p>
        </w:tc>
      </w:tr>
      <w:tr w:rsidR="00F52FED" w:rsidRPr="00B0658A" w14:paraId="7CC9AC50" w14:textId="77777777" w:rsidTr="00B10FDE">
        <w:tc>
          <w:tcPr>
            <w:tcW w:w="5000" w:type="pct"/>
            <w:gridSpan w:val="6"/>
            <w:vAlign w:val="center"/>
          </w:tcPr>
          <w:p w14:paraId="00209390" w14:textId="77777777" w:rsidR="00FB28D8" w:rsidRPr="00B0658A" w:rsidRDefault="00FB28D8" w:rsidP="000A4114">
            <w:pPr>
              <w:spacing w:after="0" w:line="240" w:lineRule="auto"/>
              <w:rPr>
                <w:rFonts w:ascii="Times New Roman"/>
                <w:b/>
                <w:i/>
                <w:iCs/>
                <w:color w:val="auto"/>
                <w:sz w:val="20"/>
                <w:szCs w:val="20"/>
              </w:rPr>
            </w:pPr>
            <w:r w:rsidRPr="00B0658A">
              <w:rPr>
                <w:rFonts w:ascii="Times New Roman"/>
                <w:b/>
                <w:color w:val="auto"/>
                <w:sz w:val="20"/>
                <w:szCs w:val="20"/>
              </w:rPr>
              <w:t>1. Мероприятия в отношении ________ (наименование значимого объекта КИИ №1)</w:t>
            </w:r>
          </w:p>
        </w:tc>
      </w:tr>
      <w:tr w:rsidR="00F52FED" w:rsidRPr="00B0658A" w14:paraId="45850B6B" w14:textId="77777777" w:rsidTr="00B10FDE">
        <w:tc>
          <w:tcPr>
            <w:tcW w:w="184" w:type="pct"/>
          </w:tcPr>
          <w:p w14:paraId="5FE47152" w14:textId="77777777" w:rsidR="00FB28D8" w:rsidRPr="00B0658A" w:rsidRDefault="00FB28D8" w:rsidP="000A4114">
            <w:pPr>
              <w:spacing w:after="0" w:line="240" w:lineRule="auto"/>
              <w:jc w:val="both"/>
              <w:rPr>
                <w:rFonts w:ascii="Times New Roman"/>
                <w:color w:val="auto"/>
                <w:sz w:val="20"/>
                <w:szCs w:val="20"/>
              </w:rPr>
            </w:pPr>
            <w:r w:rsidRPr="00B0658A">
              <w:rPr>
                <w:rFonts w:ascii="Times New Roman"/>
                <w:color w:val="auto"/>
                <w:sz w:val="20"/>
                <w:szCs w:val="20"/>
              </w:rPr>
              <w:t>1.1</w:t>
            </w:r>
          </w:p>
        </w:tc>
        <w:tc>
          <w:tcPr>
            <w:tcW w:w="1023" w:type="pct"/>
          </w:tcPr>
          <w:p w14:paraId="59DC538B" w14:textId="77777777" w:rsidR="00FB28D8" w:rsidRPr="00B0658A" w:rsidRDefault="00FB28D8" w:rsidP="000A4114">
            <w:pPr>
              <w:spacing w:after="0" w:line="240" w:lineRule="auto"/>
              <w:jc w:val="both"/>
              <w:rPr>
                <w:rFonts w:ascii="Times New Roman"/>
                <w:i/>
                <w:iCs/>
                <w:color w:val="auto"/>
                <w:sz w:val="20"/>
                <w:szCs w:val="20"/>
              </w:rPr>
            </w:pPr>
            <w:r w:rsidRPr="00B0658A">
              <w:rPr>
                <w:rFonts w:ascii="Times New Roman"/>
                <w:i/>
                <w:iCs/>
                <w:color w:val="auto"/>
                <w:sz w:val="20"/>
                <w:szCs w:val="20"/>
              </w:rPr>
              <w:t xml:space="preserve">Указывается наименование мероприятия в соответствии с утвержденным детализированным планом перехода на использование российского ПО на принадлежащих </w:t>
            </w:r>
            <w:r w:rsidR="00D37F0E" w:rsidRPr="00B0658A">
              <w:rPr>
                <w:rFonts w:ascii="Times New Roman"/>
                <w:i/>
                <w:iCs/>
                <w:color w:val="auto"/>
                <w:sz w:val="20"/>
                <w:szCs w:val="20"/>
              </w:rPr>
              <w:t xml:space="preserve">подведомственной организации </w:t>
            </w:r>
            <w:r w:rsidRPr="00B0658A">
              <w:rPr>
                <w:rFonts w:ascii="Times New Roman"/>
                <w:i/>
                <w:iCs/>
                <w:color w:val="auto"/>
                <w:sz w:val="20"/>
                <w:szCs w:val="20"/>
              </w:rPr>
              <w:t>значимых объектах КИИ</w:t>
            </w:r>
          </w:p>
          <w:p w14:paraId="747DE5E4" w14:textId="77777777" w:rsidR="00FB28D8" w:rsidRPr="00B0658A" w:rsidRDefault="00FB28D8" w:rsidP="000A4114">
            <w:pPr>
              <w:pStyle w:val="ConsPlusNormal"/>
              <w:jc w:val="both"/>
              <w:rPr>
                <w:color w:val="auto"/>
                <w:sz w:val="20"/>
                <w:szCs w:val="20"/>
              </w:rPr>
            </w:pPr>
          </w:p>
          <w:p w14:paraId="1CE95956" w14:textId="77777777" w:rsidR="00FB28D8" w:rsidRPr="00B0658A" w:rsidRDefault="00FB28D8" w:rsidP="000A4114">
            <w:pPr>
              <w:spacing w:after="0" w:line="240" w:lineRule="auto"/>
              <w:jc w:val="both"/>
              <w:rPr>
                <w:rFonts w:ascii="Times New Roman"/>
                <w:i/>
                <w:iCs/>
                <w:color w:val="auto"/>
                <w:sz w:val="20"/>
                <w:szCs w:val="20"/>
              </w:rPr>
            </w:pPr>
          </w:p>
        </w:tc>
        <w:tc>
          <w:tcPr>
            <w:tcW w:w="886" w:type="pct"/>
          </w:tcPr>
          <w:p w14:paraId="3F14F54F" w14:textId="77777777" w:rsidR="00FB28D8" w:rsidRPr="00B0658A" w:rsidRDefault="00FB28D8" w:rsidP="000A4114">
            <w:pPr>
              <w:spacing w:after="0" w:line="240" w:lineRule="auto"/>
              <w:jc w:val="both"/>
              <w:rPr>
                <w:rFonts w:ascii="Times New Roman"/>
                <w:i/>
                <w:iCs/>
                <w:color w:val="auto"/>
                <w:sz w:val="20"/>
                <w:szCs w:val="20"/>
              </w:rPr>
            </w:pPr>
            <w:r w:rsidRPr="00B0658A">
              <w:rPr>
                <w:rFonts w:ascii="Times New Roman"/>
                <w:i/>
                <w:iCs/>
                <w:color w:val="auto"/>
                <w:sz w:val="20"/>
                <w:szCs w:val="20"/>
              </w:rPr>
              <w:t xml:space="preserve">Указывается запланированный результат в соответствии с утвержденным детализированным планом перехода на использование российского ПО на принадлежащих </w:t>
            </w:r>
            <w:r w:rsidR="00D37F0E" w:rsidRPr="00B0658A">
              <w:rPr>
                <w:rFonts w:ascii="Times New Roman"/>
                <w:i/>
                <w:iCs/>
                <w:color w:val="auto"/>
                <w:sz w:val="20"/>
                <w:szCs w:val="20"/>
              </w:rPr>
              <w:t xml:space="preserve">подведомственной организации </w:t>
            </w:r>
            <w:r w:rsidRPr="00B0658A">
              <w:rPr>
                <w:rFonts w:ascii="Times New Roman"/>
                <w:i/>
                <w:iCs/>
                <w:color w:val="auto"/>
                <w:sz w:val="20"/>
                <w:szCs w:val="20"/>
              </w:rPr>
              <w:t>значимых объектах КИИ</w:t>
            </w:r>
          </w:p>
          <w:p w14:paraId="2213B2F7" w14:textId="77777777" w:rsidR="00FB28D8" w:rsidRPr="00B0658A" w:rsidRDefault="00FB28D8" w:rsidP="000A4114">
            <w:pPr>
              <w:spacing w:after="0" w:line="240" w:lineRule="auto"/>
              <w:jc w:val="both"/>
              <w:rPr>
                <w:rFonts w:ascii="Times New Roman"/>
                <w:color w:val="auto"/>
                <w:sz w:val="20"/>
                <w:szCs w:val="20"/>
              </w:rPr>
            </w:pPr>
          </w:p>
        </w:tc>
        <w:tc>
          <w:tcPr>
            <w:tcW w:w="895" w:type="pct"/>
          </w:tcPr>
          <w:p w14:paraId="68C56A58" w14:textId="77777777" w:rsidR="00FB28D8" w:rsidRPr="00B0658A" w:rsidRDefault="00FB28D8" w:rsidP="000A4114">
            <w:pPr>
              <w:spacing w:after="0" w:line="240" w:lineRule="auto"/>
              <w:jc w:val="both"/>
              <w:rPr>
                <w:rFonts w:ascii="Times New Roman"/>
                <w:i/>
                <w:iCs/>
                <w:color w:val="auto"/>
                <w:sz w:val="20"/>
                <w:szCs w:val="20"/>
              </w:rPr>
            </w:pPr>
            <w:r w:rsidRPr="00B0658A">
              <w:rPr>
                <w:rFonts w:ascii="Times New Roman"/>
                <w:i/>
                <w:iCs/>
                <w:color w:val="auto"/>
                <w:sz w:val="20"/>
                <w:szCs w:val="20"/>
              </w:rPr>
              <w:t xml:space="preserve">Указывается срок реализации (период выполнения) в соответствии с утвержденным детализированным планом перехода на использование российского ПО на принадлежащих </w:t>
            </w:r>
            <w:r w:rsidR="00D37F0E" w:rsidRPr="00B0658A">
              <w:rPr>
                <w:rFonts w:ascii="Times New Roman"/>
                <w:i/>
                <w:iCs/>
                <w:color w:val="auto"/>
                <w:sz w:val="20"/>
                <w:szCs w:val="20"/>
              </w:rPr>
              <w:t xml:space="preserve">подведомственной организации </w:t>
            </w:r>
            <w:r w:rsidRPr="00B0658A">
              <w:rPr>
                <w:rFonts w:ascii="Times New Roman"/>
                <w:i/>
                <w:iCs/>
                <w:color w:val="auto"/>
                <w:sz w:val="20"/>
                <w:szCs w:val="20"/>
              </w:rPr>
              <w:t>значимых объектах КИИ</w:t>
            </w:r>
          </w:p>
          <w:p w14:paraId="788DB025" w14:textId="77777777" w:rsidR="00FB28D8" w:rsidRPr="00B0658A" w:rsidRDefault="00FB28D8" w:rsidP="000A4114">
            <w:pPr>
              <w:spacing w:after="0" w:line="240" w:lineRule="auto"/>
              <w:jc w:val="both"/>
              <w:rPr>
                <w:rFonts w:ascii="Times New Roman"/>
                <w:i/>
                <w:iCs/>
                <w:color w:val="auto"/>
                <w:sz w:val="20"/>
                <w:szCs w:val="20"/>
              </w:rPr>
            </w:pPr>
          </w:p>
        </w:tc>
        <w:tc>
          <w:tcPr>
            <w:tcW w:w="873" w:type="pct"/>
          </w:tcPr>
          <w:p w14:paraId="6EAB7725" w14:textId="77777777" w:rsidR="00FB28D8" w:rsidRPr="00B0658A" w:rsidRDefault="00FB28D8" w:rsidP="000A4114">
            <w:pPr>
              <w:spacing w:after="0" w:line="240" w:lineRule="auto"/>
              <w:jc w:val="both"/>
              <w:rPr>
                <w:rFonts w:ascii="Times New Roman"/>
                <w:i/>
                <w:iCs/>
                <w:color w:val="auto"/>
                <w:sz w:val="20"/>
                <w:szCs w:val="20"/>
              </w:rPr>
            </w:pPr>
            <w:r w:rsidRPr="00B0658A">
              <w:rPr>
                <w:rFonts w:ascii="Times New Roman"/>
                <w:i/>
                <w:iCs/>
                <w:color w:val="auto"/>
                <w:sz w:val="20"/>
                <w:szCs w:val="20"/>
              </w:rPr>
              <w:t>Указывается статус: «выполнено» / «не выполнено».</w:t>
            </w:r>
          </w:p>
          <w:p w14:paraId="4306C273" w14:textId="77777777" w:rsidR="00FB28D8" w:rsidRPr="00B0658A" w:rsidRDefault="00FB28D8" w:rsidP="000A4114">
            <w:pPr>
              <w:spacing w:after="0" w:line="240" w:lineRule="auto"/>
              <w:jc w:val="both"/>
              <w:rPr>
                <w:rFonts w:ascii="Times New Roman"/>
                <w:color w:val="auto"/>
                <w:sz w:val="20"/>
                <w:szCs w:val="20"/>
              </w:rPr>
            </w:pPr>
            <w:r w:rsidRPr="00B0658A">
              <w:rPr>
                <w:rFonts w:ascii="Times New Roman"/>
                <w:i/>
                <w:iCs/>
                <w:color w:val="auto"/>
                <w:sz w:val="20"/>
                <w:szCs w:val="20"/>
              </w:rPr>
              <w:t>Если мероприятие выполнено частично, то указывается статус «не выполнено»</w:t>
            </w:r>
          </w:p>
        </w:tc>
        <w:tc>
          <w:tcPr>
            <w:tcW w:w="1139" w:type="pct"/>
          </w:tcPr>
          <w:p w14:paraId="755E80ED" w14:textId="77777777" w:rsidR="00FB28D8" w:rsidRPr="00B0658A" w:rsidRDefault="00FB28D8" w:rsidP="000A4114">
            <w:pPr>
              <w:spacing w:after="0" w:line="240" w:lineRule="auto"/>
              <w:jc w:val="both"/>
              <w:rPr>
                <w:rFonts w:ascii="Times New Roman"/>
                <w:i/>
                <w:iCs/>
                <w:color w:val="auto"/>
                <w:sz w:val="20"/>
                <w:szCs w:val="20"/>
              </w:rPr>
            </w:pPr>
            <w:r w:rsidRPr="00B0658A">
              <w:rPr>
                <w:rFonts w:ascii="Times New Roman"/>
                <w:i/>
                <w:iCs/>
                <w:color w:val="auto"/>
                <w:sz w:val="20"/>
                <w:szCs w:val="20"/>
              </w:rPr>
              <w:t>Указывается достигнутый результат. В случае если мероприятие не было выполнено, либо результат выполнения мероприятия был достигнут не полностью, указываются причины невыполнения мероприятия (частичного выполнения мероприятия), а также срок, в который мероприятие будет реализовано и достигнут запланированный результат</w:t>
            </w:r>
          </w:p>
        </w:tc>
      </w:tr>
      <w:tr w:rsidR="00F52FED" w:rsidRPr="00B0658A" w14:paraId="66A7F6B9" w14:textId="77777777" w:rsidTr="00B10FDE">
        <w:tc>
          <w:tcPr>
            <w:tcW w:w="184" w:type="pct"/>
          </w:tcPr>
          <w:p w14:paraId="1C13E383" w14:textId="77777777" w:rsidR="00FB28D8" w:rsidRPr="00B0658A" w:rsidRDefault="00FB28D8" w:rsidP="000A4114">
            <w:pPr>
              <w:spacing w:after="0" w:line="240" w:lineRule="auto"/>
              <w:jc w:val="both"/>
              <w:rPr>
                <w:rFonts w:ascii="Times New Roman"/>
                <w:color w:val="auto"/>
                <w:sz w:val="20"/>
                <w:szCs w:val="20"/>
              </w:rPr>
            </w:pPr>
            <w:r w:rsidRPr="00B0658A">
              <w:rPr>
                <w:rFonts w:ascii="Times New Roman"/>
                <w:color w:val="auto"/>
                <w:sz w:val="20"/>
                <w:szCs w:val="20"/>
              </w:rPr>
              <w:t>1.2</w:t>
            </w:r>
          </w:p>
        </w:tc>
        <w:tc>
          <w:tcPr>
            <w:tcW w:w="1023" w:type="pct"/>
          </w:tcPr>
          <w:p w14:paraId="420BD1AF" w14:textId="77777777" w:rsidR="00FB28D8" w:rsidRPr="00B0658A" w:rsidRDefault="00FB28D8" w:rsidP="000A4114">
            <w:pPr>
              <w:spacing w:after="0" w:line="240" w:lineRule="auto"/>
              <w:jc w:val="both"/>
              <w:rPr>
                <w:rFonts w:ascii="Times New Roman"/>
                <w:color w:val="auto"/>
                <w:sz w:val="20"/>
                <w:szCs w:val="20"/>
              </w:rPr>
            </w:pPr>
          </w:p>
        </w:tc>
        <w:tc>
          <w:tcPr>
            <w:tcW w:w="886" w:type="pct"/>
          </w:tcPr>
          <w:p w14:paraId="5A781026" w14:textId="77777777" w:rsidR="00FB28D8" w:rsidRPr="00B0658A" w:rsidRDefault="00FB28D8" w:rsidP="000A4114">
            <w:pPr>
              <w:spacing w:after="0" w:line="240" w:lineRule="auto"/>
              <w:jc w:val="both"/>
              <w:rPr>
                <w:rFonts w:ascii="Times New Roman"/>
                <w:color w:val="auto"/>
                <w:sz w:val="20"/>
                <w:szCs w:val="20"/>
              </w:rPr>
            </w:pPr>
          </w:p>
        </w:tc>
        <w:tc>
          <w:tcPr>
            <w:tcW w:w="895" w:type="pct"/>
          </w:tcPr>
          <w:p w14:paraId="4B105905" w14:textId="77777777" w:rsidR="00FB28D8" w:rsidRPr="00B0658A" w:rsidRDefault="00FB28D8" w:rsidP="000A4114">
            <w:pPr>
              <w:spacing w:after="0" w:line="240" w:lineRule="auto"/>
              <w:jc w:val="both"/>
              <w:rPr>
                <w:rFonts w:ascii="Times New Roman"/>
                <w:color w:val="auto"/>
                <w:sz w:val="20"/>
                <w:szCs w:val="20"/>
              </w:rPr>
            </w:pPr>
          </w:p>
        </w:tc>
        <w:tc>
          <w:tcPr>
            <w:tcW w:w="873" w:type="pct"/>
          </w:tcPr>
          <w:p w14:paraId="4D33FF24" w14:textId="77777777" w:rsidR="00FB28D8" w:rsidRPr="00B0658A" w:rsidRDefault="00FB28D8" w:rsidP="000A4114">
            <w:pPr>
              <w:spacing w:after="0" w:line="240" w:lineRule="auto"/>
              <w:jc w:val="both"/>
              <w:rPr>
                <w:rFonts w:ascii="Times New Roman"/>
                <w:color w:val="auto"/>
                <w:sz w:val="20"/>
                <w:szCs w:val="20"/>
              </w:rPr>
            </w:pPr>
          </w:p>
        </w:tc>
        <w:tc>
          <w:tcPr>
            <w:tcW w:w="1139" w:type="pct"/>
          </w:tcPr>
          <w:p w14:paraId="5ECFD840" w14:textId="77777777" w:rsidR="00FB28D8" w:rsidRPr="00B0658A" w:rsidRDefault="00FB28D8" w:rsidP="000A4114">
            <w:pPr>
              <w:spacing w:after="0" w:line="240" w:lineRule="auto"/>
              <w:jc w:val="both"/>
              <w:rPr>
                <w:rFonts w:ascii="Times New Roman"/>
                <w:color w:val="auto"/>
                <w:sz w:val="20"/>
                <w:szCs w:val="20"/>
              </w:rPr>
            </w:pPr>
          </w:p>
        </w:tc>
      </w:tr>
      <w:tr w:rsidR="00F52FED" w:rsidRPr="00B0658A" w14:paraId="2E495560" w14:textId="77777777" w:rsidTr="00B10FDE">
        <w:tc>
          <w:tcPr>
            <w:tcW w:w="184" w:type="pct"/>
          </w:tcPr>
          <w:p w14:paraId="54B1117D" w14:textId="77777777" w:rsidR="00FB28D8" w:rsidRPr="00B0658A" w:rsidRDefault="00FB28D8" w:rsidP="000A4114">
            <w:pPr>
              <w:spacing w:after="0" w:line="240" w:lineRule="auto"/>
              <w:jc w:val="both"/>
              <w:rPr>
                <w:rFonts w:ascii="Times New Roman"/>
                <w:color w:val="auto"/>
                <w:sz w:val="20"/>
                <w:szCs w:val="20"/>
              </w:rPr>
            </w:pPr>
            <w:r w:rsidRPr="00B0658A">
              <w:rPr>
                <w:rFonts w:ascii="Times New Roman"/>
                <w:color w:val="auto"/>
                <w:sz w:val="20"/>
                <w:szCs w:val="20"/>
              </w:rPr>
              <w:t>…</w:t>
            </w:r>
          </w:p>
        </w:tc>
        <w:tc>
          <w:tcPr>
            <w:tcW w:w="1023" w:type="pct"/>
          </w:tcPr>
          <w:p w14:paraId="27F8D309" w14:textId="77777777" w:rsidR="00FB28D8" w:rsidRPr="00B0658A" w:rsidRDefault="00FB28D8" w:rsidP="000A4114">
            <w:pPr>
              <w:spacing w:after="0" w:line="240" w:lineRule="auto"/>
              <w:jc w:val="both"/>
              <w:rPr>
                <w:rFonts w:ascii="Times New Roman"/>
                <w:color w:val="auto"/>
                <w:sz w:val="20"/>
                <w:szCs w:val="20"/>
              </w:rPr>
            </w:pPr>
          </w:p>
        </w:tc>
        <w:tc>
          <w:tcPr>
            <w:tcW w:w="886" w:type="pct"/>
          </w:tcPr>
          <w:p w14:paraId="0FC4C5F5" w14:textId="77777777" w:rsidR="00FB28D8" w:rsidRPr="00B0658A" w:rsidRDefault="00FB28D8" w:rsidP="000A4114">
            <w:pPr>
              <w:spacing w:after="0" w:line="240" w:lineRule="auto"/>
              <w:jc w:val="both"/>
              <w:rPr>
                <w:rFonts w:ascii="Times New Roman"/>
                <w:color w:val="auto"/>
                <w:sz w:val="20"/>
                <w:szCs w:val="20"/>
              </w:rPr>
            </w:pPr>
          </w:p>
        </w:tc>
        <w:tc>
          <w:tcPr>
            <w:tcW w:w="895" w:type="pct"/>
          </w:tcPr>
          <w:p w14:paraId="0AEAF8A3" w14:textId="77777777" w:rsidR="00FB28D8" w:rsidRPr="00B0658A" w:rsidRDefault="00FB28D8" w:rsidP="000A4114">
            <w:pPr>
              <w:spacing w:after="0" w:line="240" w:lineRule="auto"/>
              <w:jc w:val="both"/>
              <w:rPr>
                <w:rFonts w:ascii="Times New Roman"/>
                <w:color w:val="auto"/>
                <w:sz w:val="20"/>
                <w:szCs w:val="20"/>
              </w:rPr>
            </w:pPr>
          </w:p>
        </w:tc>
        <w:tc>
          <w:tcPr>
            <w:tcW w:w="873" w:type="pct"/>
          </w:tcPr>
          <w:p w14:paraId="73513444" w14:textId="77777777" w:rsidR="00FB28D8" w:rsidRPr="00B0658A" w:rsidRDefault="00FB28D8" w:rsidP="000A4114">
            <w:pPr>
              <w:spacing w:after="0" w:line="240" w:lineRule="auto"/>
              <w:jc w:val="both"/>
              <w:rPr>
                <w:rFonts w:ascii="Times New Roman"/>
                <w:color w:val="auto"/>
                <w:sz w:val="20"/>
                <w:szCs w:val="20"/>
              </w:rPr>
            </w:pPr>
          </w:p>
        </w:tc>
        <w:tc>
          <w:tcPr>
            <w:tcW w:w="1139" w:type="pct"/>
          </w:tcPr>
          <w:p w14:paraId="0D4F179B" w14:textId="77777777" w:rsidR="00FB28D8" w:rsidRPr="00B0658A" w:rsidRDefault="00FB28D8" w:rsidP="000A4114">
            <w:pPr>
              <w:spacing w:after="0" w:line="240" w:lineRule="auto"/>
              <w:jc w:val="both"/>
              <w:rPr>
                <w:rFonts w:ascii="Times New Roman"/>
                <w:color w:val="auto"/>
                <w:sz w:val="20"/>
                <w:szCs w:val="20"/>
              </w:rPr>
            </w:pPr>
          </w:p>
        </w:tc>
      </w:tr>
      <w:tr w:rsidR="00F52FED" w:rsidRPr="00B0658A" w14:paraId="1B32A7FA" w14:textId="77777777" w:rsidTr="00B10FDE">
        <w:tc>
          <w:tcPr>
            <w:tcW w:w="184" w:type="pct"/>
          </w:tcPr>
          <w:p w14:paraId="4E5D02F7" w14:textId="77777777" w:rsidR="00FB28D8" w:rsidRPr="00B0658A" w:rsidRDefault="00FB28D8" w:rsidP="000A4114">
            <w:pPr>
              <w:spacing w:after="0" w:line="240" w:lineRule="auto"/>
              <w:jc w:val="both"/>
              <w:rPr>
                <w:rFonts w:ascii="Times New Roman"/>
                <w:color w:val="auto"/>
                <w:sz w:val="20"/>
                <w:szCs w:val="20"/>
              </w:rPr>
            </w:pPr>
            <w:r w:rsidRPr="00B0658A">
              <w:rPr>
                <w:rFonts w:ascii="Times New Roman"/>
                <w:color w:val="auto"/>
                <w:sz w:val="20"/>
                <w:szCs w:val="20"/>
                <w:lang w:val="en-US"/>
              </w:rPr>
              <w:t>1.n</w:t>
            </w:r>
          </w:p>
        </w:tc>
        <w:tc>
          <w:tcPr>
            <w:tcW w:w="1023" w:type="pct"/>
          </w:tcPr>
          <w:p w14:paraId="61479552" w14:textId="77777777" w:rsidR="00FB28D8" w:rsidRPr="00B0658A" w:rsidRDefault="00FB28D8" w:rsidP="000A4114">
            <w:pPr>
              <w:spacing w:after="0" w:line="240" w:lineRule="auto"/>
              <w:jc w:val="both"/>
              <w:rPr>
                <w:rFonts w:ascii="Times New Roman"/>
                <w:color w:val="auto"/>
                <w:sz w:val="20"/>
                <w:szCs w:val="20"/>
              </w:rPr>
            </w:pPr>
          </w:p>
        </w:tc>
        <w:tc>
          <w:tcPr>
            <w:tcW w:w="886" w:type="pct"/>
          </w:tcPr>
          <w:p w14:paraId="12385198" w14:textId="77777777" w:rsidR="00FB28D8" w:rsidRPr="00B0658A" w:rsidRDefault="00FB28D8" w:rsidP="000A4114">
            <w:pPr>
              <w:spacing w:after="0" w:line="240" w:lineRule="auto"/>
              <w:jc w:val="both"/>
              <w:rPr>
                <w:rFonts w:ascii="Times New Roman"/>
                <w:color w:val="auto"/>
                <w:sz w:val="20"/>
                <w:szCs w:val="20"/>
              </w:rPr>
            </w:pPr>
          </w:p>
        </w:tc>
        <w:tc>
          <w:tcPr>
            <w:tcW w:w="895" w:type="pct"/>
          </w:tcPr>
          <w:p w14:paraId="159EEFCA" w14:textId="77777777" w:rsidR="00FB28D8" w:rsidRPr="00B0658A" w:rsidRDefault="00FB28D8" w:rsidP="000A4114">
            <w:pPr>
              <w:spacing w:after="0" w:line="240" w:lineRule="auto"/>
              <w:jc w:val="both"/>
              <w:rPr>
                <w:rFonts w:ascii="Times New Roman"/>
                <w:color w:val="auto"/>
                <w:sz w:val="20"/>
                <w:szCs w:val="20"/>
              </w:rPr>
            </w:pPr>
          </w:p>
        </w:tc>
        <w:tc>
          <w:tcPr>
            <w:tcW w:w="873" w:type="pct"/>
          </w:tcPr>
          <w:p w14:paraId="0D61DB5F" w14:textId="77777777" w:rsidR="00FB28D8" w:rsidRPr="00B0658A" w:rsidRDefault="00FB28D8" w:rsidP="000A4114">
            <w:pPr>
              <w:spacing w:after="0" w:line="240" w:lineRule="auto"/>
              <w:jc w:val="both"/>
              <w:rPr>
                <w:rFonts w:ascii="Times New Roman"/>
                <w:color w:val="auto"/>
                <w:sz w:val="20"/>
                <w:szCs w:val="20"/>
              </w:rPr>
            </w:pPr>
          </w:p>
        </w:tc>
        <w:tc>
          <w:tcPr>
            <w:tcW w:w="1139" w:type="pct"/>
          </w:tcPr>
          <w:p w14:paraId="7E298DD2" w14:textId="77777777" w:rsidR="00FB28D8" w:rsidRPr="00B0658A" w:rsidRDefault="00FB28D8" w:rsidP="000A4114">
            <w:pPr>
              <w:spacing w:after="0" w:line="240" w:lineRule="auto"/>
              <w:jc w:val="both"/>
              <w:rPr>
                <w:rFonts w:ascii="Times New Roman"/>
                <w:color w:val="auto"/>
                <w:sz w:val="20"/>
                <w:szCs w:val="20"/>
              </w:rPr>
            </w:pPr>
          </w:p>
        </w:tc>
      </w:tr>
      <w:tr w:rsidR="00F52FED" w:rsidRPr="00B0658A" w14:paraId="4BBF66B0" w14:textId="77777777" w:rsidTr="00B10FDE">
        <w:tc>
          <w:tcPr>
            <w:tcW w:w="5000" w:type="pct"/>
            <w:gridSpan w:val="6"/>
          </w:tcPr>
          <w:p w14:paraId="0162F0E0" w14:textId="77777777" w:rsidR="00FB28D8" w:rsidRPr="00B0658A" w:rsidRDefault="00FB28D8" w:rsidP="000A4114">
            <w:pPr>
              <w:spacing w:after="0" w:line="240" w:lineRule="auto"/>
              <w:rPr>
                <w:rFonts w:ascii="Times New Roman"/>
                <w:color w:val="auto"/>
                <w:sz w:val="20"/>
                <w:szCs w:val="20"/>
              </w:rPr>
            </w:pPr>
            <w:r w:rsidRPr="00B0658A">
              <w:rPr>
                <w:rFonts w:ascii="Times New Roman"/>
                <w:b/>
                <w:color w:val="auto"/>
                <w:sz w:val="20"/>
                <w:szCs w:val="20"/>
              </w:rPr>
              <w:t>2. Мероприятия в отношении ________ (наименование значимого объекта КИИ №2)</w:t>
            </w:r>
          </w:p>
        </w:tc>
      </w:tr>
      <w:tr w:rsidR="00F52FED" w:rsidRPr="00B0658A" w14:paraId="4588A545" w14:textId="77777777" w:rsidTr="00B10FDE">
        <w:tc>
          <w:tcPr>
            <w:tcW w:w="184" w:type="pct"/>
          </w:tcPr>
          <w:p w14:paraId="08D35951" w14:textId="77777777" w:rsidR="00FB28D8" w:rsidRPr="00B0658A" w:rsidRDefault="00FB28D8" w:rsidP="000A4114">
            <w:pPr>
              <w:spacing w:after="0" w:line="240" w:lineRule="auto"/>
              <w:jc w:val="both"/>
              <w:rPr>
                <w:rFonts w:ascii="Times New Roman"/>
                <w:color w:val="auto"/>
                <w:sz w:val="20"/>
                <w:szCs w:val="20"/>
                <w:lang w:val="en-US"/>
              </w:rPr>
            </w:pPr>
            <w:r w:rsidRPr="00B0658A">
              <w:rPr>
                <w:rFonts w:ascii="Times New Roman"/>
                <w:color w:val="auto"/>
                <w:sz w:val="20"/>
                <w:szCs w:val="20"/>
                <w:lang w:val="en-US"/>
              </w:rPr>
              <w:t>2.1</w:t>
            </w:r>
          </w:p>
        </w:tc>
        <w:tc>
          <w:tcPr>
            <w:tcW w:w="1023" w:type="pct"/>
          </w:tcPr>
          <w:p w14:paraId="2F161C2B" w14:textId="77777777" w:rsidR="00FB28D8" w:rsidRPr="00B0658A" w:rsidRDefault="00FB28D8" w:rsidP="000A4114">
            <w:pPr>
              <w:spacing w:after="0" w:line="240" w:lineRule="auto"/>
              <w:jc w:val="both"/>
              <w:rPr>
                <w:rFonts w:ascii="Times New Roman"/>
                <w:color w:val="auto"/>
                <w:sz w:val="20"/>
                <w:szCs w:val="20"/>
              </w:rPr>
            </w:pPr>
          </w:p>
        </w:tc>
        <w:tc>
          <w:tcPr>
            <w:tcW w:w="886" w:type="pct"/>
          </w:tcPr>
          <w:p w14:paraId="7E4369BF" w14:textId="77777777" w:rsidR="00FB28D8" w:rsidRPr="00B0658A" w:rsidRDefault="00FB28D8" w:rsidP="000A4114">
            <w:pPr>
              <w:spacing w:after="0" w:line="240" w:lineRule="auto"/>
              <w:jc w:val="both"/>
              <w:rPr>
                <w:rFonts w:ascii="Times New Roman"/>
                <w:color w:val="auto"/>
                <w:sz w:val="20"/>
                <w:szCs w:val="20"/>
              </w:rPr>
            </w:pPr>
          </w:p>
        </w:tc>
        <w:tc>
          <w:tcPr>
            <w:tcW w:w="895" w:type="pct"/>
          </w:tcPr>
          <w:p w14:paraId="7B3CB334" w14:textId="77777777" w:rsidR="00FB28D8" w:rsidRPr="00B0658A" w:rsidRDefault="00FB28D8" w:rsidP="000A4114">
            <w:pPr>
              <w:spacing w:after="0" w:line="240" w:lineRule="auto"/>
              <w:jc w:val="both"/>
              <w:rPr>
                <w:rFonts w:ascii="Times New Roman"/>
                <w:color w:val="auto"/>
                <w:sz w:val="20"/>
                <w:szCs w:val="20"/>
              </w:rPr>
            </w:pPr>
          </w:p>
        </w:tc>
        <w:tc>
          <w:tcPr>
            <w:tcW w:w="873" w:type="pct"/>
          </w:tcPr>
          <w:p w14:paraId="62B3C49B" w14:textId="77777777" w:rsidR="00FB28D8" w:rsidRPr="00B0658A" w:rsidRDefault="00FB28D8" w:rsidP="000A4114">
            <w:pPr>
              <w:spacing w:after="0" w:line="240" w:lineRule="auto"/>
              <w:jc w:val="both"/>
              <w:rPr>
                <w:rFonts w:ascii="Times New Roman"/>
                <w:color w:val="auto"/>
                <w:sz w:val="20"/>
                <w:szCs w:val="20"/>
              </w:rPr>
            </w:pPr>
          </w:p>
        </w:tc>
        <w:tc>
          <w:tcPr>
            <w:tcW w:w="1139" w:type="pct"/>
          </w:tcPr>
          <w:p w14:paraId="258A4BBF" w14:textId="77777777" w:rsidR="00FB28D8" w:rsidRPr="00B0658A" w:rsidRDefault="00FB28D8" w:rsidP="000A4114">
            <w:pPr>
              <w:spacing w:after="0" w:line="240" w:lineRule="auto"/>
              <w:jc w:val="both"/>
              <w:rPr>
                <w:rFonts w:ascii="Times New Roman"/>
                <w:color w:val="auto"/>
                <w:sz w:val="20"/>
                <w:szCs w:val="20"/>
              </w:rPr>
            </w:pPr>
          </w:p>
        </w:tc>
      </w:tr>
      <w:tr w:rsidR="00F52FED" w:rsidRPr="00B0658A" w14:paraId="7AD55A8F" w14:textId="77777777" w:rsidTr="00B10FDE">
        <w:tc>
          <w:tcPr>
            <w:tcW w:w="184" w:type="pct"/>
          </w:tcPr>
          <w:p w14:paraId="26391B77" w14:textId="77777777" w:rsidR="00FB28D8" w:rsidRPr="00B0658A" w:rsidRDefault="00FB28D8" w:rsidP="000A4114">
            <w:pPr>
              <w:spacing w:after="0" w:line="240" w:lineRule="auto"/>
              <w:jc w:val="both"/>
              <w:rPr>
                <w:rFonts w:ascii="Times New Roman"/>
                <w:color w:val="auto"/>
                <w:sz w:val="20"/>
                <w:szCs w:val="20"/>
                <w:lang w:val="en-US"/>
              </w:rPr>
            </w:pPr>
            <w:r w:rsidRPr="00B0658A">
              <w:rPr>
                <w:rFonts w:ascii="Times New Roman"/>
                <w:color w:val="auto"/>
                <w:sz w:val="20"/>
                <w:szCs w:val="20"/>
                <w:lang w:val="en-US"/>
              </w:rPr>
              <w:t>2.2</w:t>
            </w:r>
          </w:p>
        </w:tc>
        <w:tc>
          <w:tcPr>
            <w:tcW w:w="1023" w:type="pct"/>
          </w:tcPr>
          <w:p w14:paraId="77DF5E12" w14:textId="77777777" w:rsidR="00FB28D8" w:rsidRPr="00B0658A" w:rsidRDefault="00FB28D8" w:rsidP="000A4114">
            <w:pPr>
              <w:spacing w:after="0" w:line="240" w:lineRule="auto"/>
              <w:jc w:val="both"/>
              <w:rPr>
                <w:rFonts w:ascii="Times New Roman"/>
                <w:color w:val="auto"/>
                <w:sz w:val="20"/>
                <w:szCs w:val="20"/>
              </w:rPr>
            </w:pPr>
          </w:p>
        </w:tc>
        <w:tc>
          <w:tcPr>
            <w:tcW w:w="886" w:type="pct"/>
          </w:tcPr>
          <w:p w14:paraId="4F28E16F" w14:textId="77777777" w:rsidR="00FB28D8" w:rsidRPr="00B0658A" w:rsidRDefault="00FB28D8" w:rsidP="000A4114">
            <w:pPr>
              <w:spacing w:after="0" w:line="240" w:lineRule="auto"/>
              <w:jc w:val="both"/>
              <w:rPr>
                <w:rFonts w:ascii="Times New Roman"/>
                <w:color w:val="auto"/>
                <w:sz w:val="20"/>
                <w:szCs w:val="20"/>
              </w:rPr>
            </w:pPr>
          </w:p>
        </w:tc>
        <w:tc>
          <w:tcPr>
            <w:tcW w:w="895" w:type="pct"/>
          </w:tcPr>
          <w:p w14:paraId="6E5D33C4" w14:textId="77777777" w:rsidR="00FB28D8" w:rsidRPr="00B0658A" w:rsidRDefault="00FB28D8" w:rsidP="000A4114">
            <w:pPr>
              <w:spacing w:after="0" w:line="240" w:lineRule="auto"/>
              <w:jc w:val="both"/>
              <w:rPr>
                <w:rFonts w:ascii="Times New Roman"/>
                <w:color w:val="auto"/>
                <w:sz w:val="20"/>
                <w:szCs w:val="20"/>
              </w:rPr>
            </w:pPr>
          </w:p>
        </w:tc>
        <w:tc>
          <w:tcPr>
            <w:tcW w:w="873" w:type="pct"/>
          </w:tcPr>
          <w:p w14:paraId="0897DB3F" w14:textId="77777777" w:rsidR="00FB28D8" w:rsidRPr="00B0658A" w:rsidRDefault="00FB28D8" w:rsidP="000A4114">
            <w:pPr>
              <w:spacing w:after="0" w:line="240" w:lineRule="auto"/>
              <w:jc w:val="both"/>
              <w:rPr>
                <w:rFonts w:ascii="Times New Roman"/>
                <w:color w:val="auto"/>
                <w:sz w:val="20"/>
                <w:szCs w:val="20"/>
              </w:rPr>
            </w:pPr>
          </w:p>
        </w:tc>
        <w:tc>
          <w:tcPr>
            <w:tcW w:w="1139" w:type="pct"/>
          </w:tcPr>
          <w:p w14:paraId="44C2A8DF" w14:textId="77777777" w:rsidR="00FB28D8" w:rsidRPr="00B0658A" w:rsidRDefault="00FB28D8" w:rsidP="000A4114">
            <w:pPr>
              <w:spacing w:after="0" w:line="240" w:lineRule="auto"/>
              <w:jc w:val="both"/>
              <w:rPr>
                <w:rFonts w:ascii="Times New Roman"/>
                <w:color w:val="auto"/>
                <w:sz w:val="20"/>
                <w:szCs w:val="20"/>
              </w:rPr>
            </w:pPr>
          </w:p>
        </w:tc>
      </w:tr>
      <w:tr w:rsidR="00F52FED" w:rsidRPr="00B0658A" w14:paraId="07C1A120" w14:textId="77777777" w:rsidTr="00B10FDE">
        <w:tc>
          <w:tcPr>
            <w:tcW w:w="184" w:type="pct"/>
          </w:tcPr>
          <w:p w14:paraId="66002133" w14:textId="77777777" w:rsidR="00FB28D8" w:rsidRPr="00B0658A" w:rsidRDefault="00FB28D8" w:rsidP="000A4114">
            <w:pPr>
              <w:spacing w:after="0" w:line="240" w:lineRule="auto"/>
              <w:jc w:val="both"/>
              <w:rPr>
                <w:rFonts w:ascii="Times New Roman"/>
                <w:color w:val="auto"/>
                <w:sz w:val="20"/>
                <w:szCs w:val="20"/>
                <w:lang w:val="en-US"/>
              </w:rPr>
            </w:pPr>
            <w:r w:rsidRPr="00B0658A">
              <w:rPr>
                <w:rFonts w:ascii="Times New Roman"/>
                <w:color w:val="auto"/>
                <w:sz w:val="20"/>
                <w:szCs w:val="20"/>
                <w:lang w:val="en-US"/>
              </w:rPr>
              <w:t>…</w:t>
            </w:r>
          </w:p>
        </w:tc>
        <w:tc>
          <w:tcPr>
            <w:tcW w:w="1023" w:type="pct"/>
          </w:tcPr>
          <w:p w14:paraId="2E06881B" w14:textId="77777777" w:rsidR="00FB28D8" w:rsidRPr="00B0658A" w:rsidRDefault="00FB28D8" w:rsidP="000A4114">
            <w:pPr>
              <w:spacing w:after="0" w:line="240" w:lineRule="auto"/>
              <w:jc w:val="both"/>
              <w:rPr>
                <w:rFonts w:ascii="Times New Roman"/>
                <w:color w:val="auto"/>
                <w:sz w:val="20"/>
                <w:szCs w:val="20"/>
              </w:rPr>
            </w:pPr>
          </w:p>
        </w:tc>
        <w:tc>
          <w:tcPr>
            <w:tcW w:w="886" w:type="pct"/>
          </w:tcPr>
          <w:p w14:paraId="4BA040D6" w14:textId="77777777" w:rsidR="00FB28D8" w:rsidRPr="00B0658A" w:rsidRDefault="00FB28D8" w:rsidP="000A4114">
            <w:pPr>
              <w:spacing w:after="0" w:line="240" w:lineRule="auto"/>
              <w:jc w:val="both"/>
              <w:rPr>
                <w:rFonts w:ascii="Times New Roman"/>
                <w:color w:val="auto"/>
                <w:sz w:val="20"/>
                <w:szCs w:val="20"/>
              </w:rPr>
            </w:pPr>
          </w:p>
        </w:tc>
        <w:tc>
          <w:tcPr>
            <w:tcW w:w="895" w:type="pct"/>
          </w:tcPr>
          <w:p w14:paraId="5DE42117" w14:textId="77777777" w:rsidR="00FB28D8" w:rsidRPr="00B0658A" w:rsidRDefault="00FB28D8" w:rsidP="000A4114">
            <w:pPr>
              <w:spacing w:after="0" w:line="240" w:lineRule="auto"/>
              <w:jc w:val="both"/>
              <w:rPr>
                <w:rFonts w:ascii="Times New Roman"/>
                <w:color w:val="auto"/>
                <w:sz w:val="20"/>
                <w:szCs w:val="20"/>
              </w:rPr>
            </w:pPr>
          </w:p>
        </w:tc>
        <w:tc>
          <w:tcPr>
            <w:tcW w:w="873" w:type="pct"/>
          </w:tcPr>
          <w:p w14:paraId="13D656E9" w14:textId="77777777" w:rsidR="00FB28D8" w:rsidRPr="00B0658A" w:rsidRDefault="00FB28D8" w:rsidP="000A4114">
            <w:pPr>
              <w:spacing w:after="0" w:line="240" w:lineRule="auto"/>
              <w:jc w:val="both"/>
              <w:rPr>
                <w:rFonts w:ascii="Times New Roman"/>
                <w:color w:val="auto"/>
                <w:sz w:val="20"/>
                <w:szCs w:val="20"/>
              </w:rPr>
            </w:pPr>
          </w:p>
        </w:tc>
        <w:tc>
          <w:tcPr>
            <w:tcW w:w="1139" w:type="pct"/>
          </w:tcPr>
          <w:p w14:paraId="20D0DD2C" w14:textId="77777777" w:rsidR="00FB28D8" w:rsidRPr="00B0658A" w:rsidRDefault="00FB28D8" w:rsidP="000A4114">
            <w:pPr>
              <w:spacing w:after="0" w:line="240" w:lineRule="auto"/>
              <w:jc w:val="both"/>
              <w:rPr>
                <w:rFonts w:ascii="Times New Roman"/>
                <w:color w:val="auto"/>
                <w:sz w:val="20"/>
                <w:szCs w:val="20"/>
              </w:rPr>
            </w:pPr>
          </w:p>
        </w:tc>
      </w:tr>
      <w:tr w:rsidR="00F52FED" w:rsidRPr="00B0658A" w14:paraId="67FAED16" w14:textId="77777777" w:rsidTr="00B10FDE">
        <w:tc>
          <w:tcPr>
            <w:tcW w:w="184" w:type="pct"/>
          </w:tcPr>
          <w:p w14:paraId="2A4F0EAF" w14:textId="77777777" w:rsidR="00FB28D8" w:rsidRPr="00B0658A" w:rsidRDefault="00FB28D8" w:rsidP="000A4114">
            <w:pPr>
              <w:spacing w:after="0" w:line="240" w:lineRule="auto"/>
              <w:jc w:val="both"/>
              <w:rPr>
                <w:rFonts w:ascii="Times New Roman"/>
                <w:color w:val="auto"/>
                <w:sz w:val="20"/>
                <w:szCs w:val="20"/>
                <w:lang w:val="en-US"/>
              </w:rPr>
            </w:pPr>
            <w:r w:rsidRPr="00B0658A">
              <w:rPr>
                <w:rFonts w:ascii="Times New Roman"/>
                <w:color w:val="auto"/>
                <w:sz w:val="20"/>
                <w:szCs w:val="20"/>
                <w:lang w:val="en-US"/>
              </w:rPr>
              <w:t>2.n</w:t>
            </w:r>
          </w:p>
        </w:tc>
        <w:tc>
          <w:tcPr>
            <w:tcW w:w="1023" w:type="pct"/>
          </w:tcPr>
          <w:p w14:paraId="35F3230C" w14:textId="77777777" w:rsidR="00FB28D8" w:rsidRPr="00B0658A" w:rsidRDefault="00FB28D8" w:rsidP="000A4114">
            <w:pPr>
              <w:spacing w:after="0" w:line="240" w:lineRule="auto"/>
              <w:jc w:val="both"/>
              <w:rPr>
                <w:rFonts w:ascii="Times New Roman"/>
                <w:color w:val="auto"/>
                <w:sz w:val="20"/>
                <w:szCs w:val="20"/>
              </w:rPr>
            </w:pPr>
          </w:p>
        </w:tc>
        <w:tc>
          <w:tcPr>
            <w:tcW w:w="886" w:type="pct"/>
          </w:tcPr>
          <w:p w14:paraId="4B94442C" w14:textId="77777777" w:rsidR="00FB28D8" w:rsidRPr="00B0658A" w:rsidRDefault="00FB28D8" w:rsidP="000A4114">
            <w:pPr>
              <w:spacing w:after="0" w:line="240" w:lineRule="auto"/>
              <w:jc w:val="both"/>
              <w:rPr>
                <w:rFonts w:ascii="Times New Roman"/>
                <w:color w:val="auto"/>
                <w:sz w:val="20"/>
                <w:szCs w:val="20"/>
              </w:rPr>
            </w:pPr>
          </w:p>
        </w:tc>
        <w:tc>
          <w:tcPr>
            <w:tcW w:w="895" w:type="pct"/>
          </w:tcPr>
          <w:p w14:paraId="12082A66" w14:textId="77777777" w:rsidR="00FB28D8" w:rsidRPr="00B0658A" w:rsidRDefault="00FB28D8" w:rsidP="000A4114">
            <w:pPr>
              <w:spacing w:after="0" w:line="240" w:lineRule="auto"/>
              <w:jc w:val="both"/>
              <w:rPr>
                <w:rFonts w:ascii="Times New Roman"/>
                <w:color w:val="auto"/>
                <w:sz w:val="20"/>
                <w:szCs w:val="20"/>
              </w:rPr>
            </w:pPr>
          </w:p>
        </w:tc>
        <w:tc>
          <w:tcPr>
            <w:tcW w:w="873" w:type="pct"/>
          </w:tcPr>
          <w:p w14:paraId="5E4F396F" w14:textId="77777777" w:rsidR="00FB28D8" w:rsidRPr="00B0658A" w:rsidRDefault="00FB28D8" w:rsidP="000A4114">
            <w:pPr>
              <w:spacing w:after="0" w:line="240" w:lineRule="auto"/>
              <w:jc w:val="both"/>
              <w:rPr>
                <w:rFonts w:ascii="Times New Roman"/>
                <w:color w:val="auto"/>
                <w:sz w:val="20"/>
                <w:szCs w:val="20"/>
              </w:rPr>
            </w:pPr>
          </w:p>
        </w:tc>
        <w:tc>
          <w:tcPr>
            <w:tcW w:w="1139" w:type="pct"/>
          </w:tcPr>
          <w:p w14:paraId="205B41E0" w14:textId="77777777" w:rsidR="00FB28D8" w:rsidRPr="00B0658A" w:rsidRDefault="00FB28D8" w:rsidP="000A4114">
            <w:pPr>
              <w:spacing w:after="0" w:line="240" w:lineRule="auto"/>
              <w:jc w:val="both"/>
              <w:rPr>
                <w:rFonts w:ascii="Times New Roman"/>
                <w:color w:val="auto"/>
                <w:sz w:val="20"/>
                <w:szCs w:val="20"/>
              </w:rPr>
            </w:pPr>
          </w:p>
        </w:tc>
      </w:tr>
      <w:tr w:rsidR="00F52FED" w:rsidRPr="00B0658A" w14:paraId="1F664CC2" w14:textId="77777777" w:rsidTr="00B10FDE">
        <w:tc>
          <w:tcPr>
            <w:tcW w:w="184" w:type="pct"/>
          </w:tcPr>
          <w:p w14:paraId="20666678" w14:textId="77777777" w:rsidR="00FB28D8" w:rsidRPr="00B0658A" w:rsidRDefault="00FB28D8" w:rsidP="000A4114">
            <w:pPr>
              <w:spacing w:after="0" w:line="240" w:lineRule="auto"/>
              <w:jc w:val="both"/>
              <w:rPr>
                <w:rFonts w:ascii="Times New Roman"/>
                <w:color w:val="auto"/>
                <w:sz w:val="20"/>
                <w:szCs w:val="20"/>
                <w:lang w:val="en-US"/>
              </w:rPr>
            </w:pPr>
          </w:p>
        </w:tc>
        <w:tc>
          <w:tcPr>
            <w:tcW w:w="1023" w:type="pct"/>
          </w:tcPr>
          <w:p w14:paraId="1375DEA4" w14:textId="77777777" w:rsidR="00FB28D8" w:rsidRPr="00B0658A" w:rsidRDefault="00FB28D8" w:rsidP="000A4114">
            <w:pPr>
              <w:spacing w:after="0" w:line="240" w:lineRule="auto"/>
              <w:jc w:val="both"/>
              <w:rPr>
                <w:rFonts w:ascii="Times New Roman"/>
                <w:color w:val="auto"/>
                <w:sz w:val="20"/>
                <w:szCs w:val="20"/>
              </w:rPr>
            </w:pPr>
          </w:p>
        </w:tc>
        <w:tc>
          <w:tcPr>
            <w:tcW w:w="886" w:type="pct"/>
          </w:tcPr>
          <w:p w14:paraId="2BEAF346" w14:textId="77777777" w:rsidR="00FB28D8" w:rsidRPr="00B0658A" w:rsidRDefault="00FB28D8" w:rsidP="000A4114">
            <w:pPr>
              <w:spacing w:after="0" w:line="240" w:lineRule="auto"/>
              <w:jc w:val="both"/>
              <w:rPr>
                <w:rFonts w:ascii="Times New Roman"/>
                <w:color w:val="auto"/>
                <w:sz w:val="20"/>
                <w:szCs w:val="20"/>
              </w:rPr>
            </w:pPr>
          </w:p>
        </w:tc>
        <w:tc>
          <w:tcPr>
            <w:tcW w:w="895" w:type="pct"/>
          </w:tcPr>
          <w:p w14:paraId="6F839905" w14:textId="77777777" w:rsidR="00FB28D8" w:rsidRPr="00B0658A" w:rsidRDefault="00FB28D8" w:rsidP="000A4114">
            <w:pPr>
              <w:spacing w:after="0" w:line="240" w:lineRule="auto"/>
              <w:jc w:val="both"/>
              <w:rPr>
                <w:rFonts w:ascii="Times New Roman"/>
                <w:color w:val="auto"/>
                <w:sz w:val="20"/>
                <w:szCs w:val="20"/>
              </w:rPr>
            </w:pPr>
          </w:p>
        </w:tc>
        <w:tc>
          <w:tcPr>
            <w:tcW w:w="873" w:type="pct"/>
          </w:tcPr>
          <w:p w14:paraId="269257CB" w14:textId="77777777" w:rsidR="00FB28D8" w:rsidRPr="00B0658A" w:rsidRDefault="00FB28D8" w:rsidP="000A4114">
            <w:pPr>
              <w:spacing w:after="0" w:line="240" w:lineRule="auto"/>
              <w:jc w:val="both"/>
              <w:rPr>
                <w:rFonts w:ascii="Times New Roman"/>
                <w:color w:val="auto"/>
                <w:sz w:val="20"/>
                <w:szCs w:val="20"/>
              </w:rPr>
            </w:pPr>
          </w:p>
        </w:tc>
        <w:tc>
          <w:tcPr>
            <w:tcW w:w="1139" w:type="pct"/>
          </w:tcPr>
          <w:p w14:paraId="573ECDB4" w14:textId="77777777" w:rsidR="00FB28D8" w:rsidRPr="00B0658A" w:rsidRDefault="00FB28D8" w:rsidP="000A4114">
            <w:pPr>
              <w:spacing w:after="0" w:line="240" w:lineRule="auto"/>
              <w:jc w:val="both"/>
              <w:rPr>
                <w:rFonts w:ascii="Times New Roman"/>
                <w:color w:val="auto"/>
                <w:sz w:val="20"/>
                <w:szCs w:val="20"/>
              </w:rPr>
            </w:pPr>
          </w:p>
        </w:tc>
      </w:tr>
      <w:tr w:rsidR="00F52FED" w:rsidRPr="00B0658A" w14:paraId="0E5FDB70" w14:textId="77777777" w:rsidTr="00B10FDE">
        <w:tc>
          <w:tcPr>
            <w:tcW w:w="5000" w:type="pct"/>
            <w:gridSpan w:val="6"/>
          </w:tcPr>
          <w:p w14:paraId="329B6434" w14:textId="77777777" w:rsidR="00FB28D8" w:rsidRPr="00B0658A" w:rsidRDefault="00FB28D8" w:rsidP="000A4114">
            <w:pPr>
              <w:spacing w:after="0" w:line="240" w:lineRule="auto"/>
              <w:rPr>
                <w:rFonts w:ascii="Times New Roman"/>
                <w:color w:val="auto"/>
                <w:sz w:val="20"/>
                <w:szCs w:val="20"/>
              </w:rPr>
            </w:pPr>
            <w:r w:rsidRPr="00B0658A">
              <w:rPr>
                <w:rFonts w:ascii="Times New Roman"/>
                <w:b/>
                <w:color w:val="auto"/>
                <w:sz w:val="20"/>
                <w:szCs w:val="20"/>
              </w:rPr>
              <w:t>N. Мероприятия в отношении ________ (наименование значимого объекта КИИ №N)</w:t>
            </w:r>
          </w:p>
        </w:tc>
      </w:tr>
      <w:tr w:rsidR="00F52FED" w:rsidRPr="00B0658A" w14:paraId="51202CD0" w14:textId="77777777" w:rsidTr="00B10FDE">
        <w:tc>
          <w:tcPr>
            <w:tcW w:w="184" w:type="pct"/>
          </w:tcPr>
          <w:p w14:paraId="0E72022D" w14:textId="77777777" w:rsidR="00FB28D8" w:rsidRPr="00B0658A" w:rsidRDefault="00FB28D8" w:rsidP="000A4114">
            <w:pPr>
              <w:spacing w:after="0" w:line="240" w:lineRule="auto"/>
              <w:jc w:val="both"/>
              <w:rPr>
                <w:rFonts w:ascii="Times New Roman"/>
                <w:color w:val="auto"/>
                <w:sz w:val="20"/>
                <w:szCs w:val="20"/>
                <w:lang w:val="en-US"/>
              </w:rPr>
            </w:pPr>
            <w:r w:rsidRPr="00B0658A">
              <w:rPr>
                <w:rFonts w:ascii="Times New Roman"/>
                <w:color w:val="auto"/>
                <w:sz w:val="20"/>
                <w:szCs w:val="20"/>
                <w:lang w:val="en-US"/>
              </w:rPr>
              <w:t>N.1</w:t>
            </w:r>
          </w:p>
        </w:tc>
        <w:tc>
          <w:tcPr>
            <w:tcW w:w="1023" w:type="pct"/>
          </w:tcPr>
          <w:p w14:paraId="46CA2B73" w14:textId="77777777" w:rsidR="00FB28D8" w:rsidRPr="00B0658A" w:rsidRDefault="00FB28D8" w:rsidP="000A4114">
            <w:pPr>
              <w:spacing w:after="0" w:line="240" w:lineRule="auto"/>
              <w:jc w:val="both"/>
              <w:rPr>
                <w:rFonts w:ascii="Times New Roman"/>
                <w:color w:val="auto"/>
                <w:sz w:val="20"/>
                <w:szCs w:val="20"/>
              </w:rPr>
            </w:pPr>
          </w:p>
        </w:tc>
        <w:tc>
          <w:tcPr>
            <w:tcW w:w="886" w:type="pct"/>
          </w:tcPr>
          <w:p w14:paraId="54F1AFF8" w14:textId="77777777" w:rsidR="00FB28D8" w:rsidRPr="00B0658A" w:rsidRDefault="00FB28D8" w:rsidP="000A4114">
            <w:pPr>
              <w:spacing w:after="0" w:line="240" w:lineRule="auto"/>
              <w:jc w:val="both"/>
              <w:rPr>
                <w:rFonts w:ascii="Times New Roman"/>
                <w:color w:val="auto"/>
                <w:sz w:val="20"/>
                <w:szCs w:val="20"/>
              </w:rPr>
            </w:pPr>
          </w:p>
        </w:tc>
        <w:tc>
          <w:tcPr>
            <w:tcW w:w="895" w:type="pct"/>
          </w:tcPr>
          <w:p w14:paraId="56F8AB16" w14:textId="77777777" w:rsidR="00FB28D8" w:rsidRPr="00B0658A" w:rsidRDefault="00FB28D8" w:rsidP="000A4114">
            <w:pPr>
              <w:spacing w:after="0" w:line="240" w:lineRule="auto"/>
              <w:jc w:val="both"/>
              <w:rPr>
                <w:rFonts w:ascii="Times New Roman"/>
                <w:color w:val="auto"/>
                <w:sz w:val="20"/>
                <w:szCs w:val="20"/>
              </w:rPr>
            </w:pPr>
          </w:p>
        </w:tc>
        <w:tc>
          <w:tcPr>
            <w:tcW w:w="873" w:type="pct"/>
          </w:tcPr>
          <w:p w14:paraId="1CC85DB6" w14:textId="77777777" w:rsidR="00FB28D8" w:rsidRPr="00B0658A" w:rsidRDefault="00FB28D8" w:rsidP="000A4114">
            <w:pPr>
              <w:spacing w:after="0" w:line="240" w:lineRule="auto"/>
              <w:jc w:val="both"/>
              <w:rPr>
                <w:rFonts w:ascii="Times New Roman"/>
                <w:color w:val="auto"/>
                <w:sz w:val="20"/>
                <w:szCs w:val="20"/>
              </w:rPr>
            </w:pPr>
          </w:p>
        </w:tc>
        <w:tc>
          <w:tcPr>
            <w:tcW w:w="1139" w:type="pct"/>
          </w:tcPr>
          <w:p w14:paraId="4DBFC61D" w14:textId="77777777" w:rsidR="00FB28D8" w:rsidRPr="00B0658A" w:rsidRDefault="00FB28D8" w:rsidP="000A4114">
            <w:pPr>
              <w:spacing w:after="0" w:line="240" w:lineRule="auto"/>
              <w:jc w:val="both"/>
              <w:rPr>
                <w:rFonts w:ascii="Times New Roman"/>
                <w:color w:val="auto"/>
                <w:sz w:val="20"/>
                <w:szCs w:val="20"/>
              </w:rPr>
            </w:pPr>
          </w:p>
        </w:tc>
      </w:tr>
      <w:tr w:rsidR="00F52FED" w:rsidRPr="00B0658A" w14:paraId="27BA9685" w14:textId="77777777" w:rsidTr="00B10FDE">
        <w:tc>
          <w:tcPr>
            <w:tcW w:w="184" w:type="pct"/>
          </w:tcPr>
          <w:p w14:paraId="5A63FF14" w14:textId="77777777" w:rsidR="00FB28D8" w:rsidRPr="00B0658A" w:rsidRDefault="00FB28D8" w:rsidP="000A4114">
            <w:pPr>
              <w:spacing w:after="0" w:line="240" w:lineRule="auto"/>
              <w:jc w:val="both"/>
              <w:rPr>
                <w:rFonts w:ascii="Times New Roman"/>
                <w:color w:val="auto"/>
                <w:sz w:val="20"/>
                <w:szCs w:val="20"/>
                <w:lang w:val="en-US"/>
              </w:rPr>
            </w:pPr>
            <w:r w:rsidRPr="00B0658A">
              <w:rPr>
                <w:rFonts w:ascii="Times New Roman"/>
                <w:color w:val="auto"/>
                <w:sz w:val="20"/>
                <w:szCs w:val="20"/>
                <w:lang w:val="en-US"/>
              </w:rPr>
              <w:t>N.2</w:t>
            </w:r>
          </w:p>
        </w:tc>
        <w:tc>
          <w:tcPr>
            <w:tcW w:w="1023" w:type="pct"/>
          </w:tcPr>
          <w:p w14:paraId="493D8219" w14:textId="77777777" w:rsidR="00FB28D8" w:rsidRPr="00B0658A" w:rsidRDefault="00FB28D8" w:rsidP="000A4114">
            <w:pPr>
              <w:spacing w:after="0" w:line="240" w:lineRule="auto"/>
              <w:jc w:val="both"/>
              <w:rPr>
                <w:rFonts w:ascii="Times New Roman"/>
                <w:color w:val="auto"/>
                <w:sz w:val="20"/>
                <w:szCs w:val="20"/>
              </w:rPr>
            </w:pPr>
          </w:p>
        </w:tc>
        <w:tc>
          <w:tcPr>
            <w:tcW w:w="886" w:type="pct"/>
          </w:tcPr>
          <w:p w14:paraId="57B4DF22" w14:textId="77777777" w:rsidR="00FB28D8" w:rsidRPr="00B0658A" w:rsidRDefault="00FB28D8" w:rsidP="000A4114">
            <w:pPr>
              <w:spacing w:after="0" w:line="240" w:lineRule="auto"/>
              <w:jc w:val="both"/>
              <w:rPr>
                <w:rFonts w:ascii="Times New Roman"/>
                <w:color w:val="auto"/>
                <w:sz w:val="20"/>
                <w:szCs w:val="20"/>
              </w:rPr>
            </w:pPr>
          </w:p>
        </w:tc>
        <w:tc>
          <w:tcPr>
            <w:tcW w:w="895" w:type="pct"/>
          </w:tcPr>
          <w:p w14:paraId="50E10453" w14:textId="77777777" w:rsidR="00FB28D8" w:rsidRPr="00B0658A" w:rsidRDefault="00FB28D8" w:rsidP="000A4114">
            <w:pPr>
              <w:spacing w:after="0" w:line="240" w:lineRule="auto"/>
              <w:jc w:val="both"/>
              <w:rPr>
                <w:rFonts w:ascii="Times New Roman"/>
                <w:color w:val="auto"/>
                <w:sz w:val="20"/>
                <w:szCs w:val="20"/>
              </w:rPr>
            </w:pPr>
          </w:p>
        </w:tc>
        <w:tc>
          <w:tcPr>
            <w:tcW w:w="873" w:type="pct"/>
          </w:tcPr>
          <w:p w14:paraId="636FD059" w14:textId="77777777" w:rsidR="00FB28D8" w:rsidRPr="00B0658A" w:rsidRDefault="00FB28D8" w:rsidP="000A4114">
            <w:pPr>
              <w:spacing w:after="0" w:line="240" w:lineRule="auto"/>
              <w:jc w:val="both"/>
              <w:rPr>
                <w:rFonts w:ascii="Times New Roman"/>
                <w:color w:val="auto"/>
                <w:sz w:val="20"/>
                <w:szCs w:val="20"/>
              </w:rPr>
            </w:pPr>
          </w:p>
        </w:tc>
        <w:tc>
          <w:tcPr>
            <w:tcW w:w="1139" w:type="pct"/>
          </w:tcPr>
          <w:p w14:paraId="5398CB42" w14:textId="77777777" w:rsidR="00FB28D8" w:rsidRPr="00B0658A" w:rsidRDefault="00FB28D8" w:rsidP="000A4114">
            <w:pPr>
              <w:spacing w:after="0" w:line="240" w:lineRule="auto"/>
              <w:jc w:val="both"/>
              <w:rPr>
                <w:rFonts w:ascii="Times New Roman"/>
                <w:color w:val="auto"/>
                <w:sz w:val="20"/>
                <w:szCs w:val="20"/>
              </w:rPr>
            </w:pPr>
          </w:p>
        </w:tc>
      </w:tr>
      <w:tr w:rsidR="00F52FED" w:rsidRPr="00B0658A" w14:paraId="1C419A2E" w14:textId="77777777" w:rsidTr="00B10FDE">
        <w:tc>
          <w:tcPr>
            <w:tcW w:w="184" w:type="pct"/>
          </w:tcPr>
          <w:p w14:paraId="3C2D233D" w14:textId="77777777" w:rsidR="00FB28D8" w:rsidRPr="00B0658A" w:rsidRDefault="00FB28D8" w:rsidP="000A4114">
            <w:pPr>
              <w:spacing w:after="0" w:line="240" w:lineRule="auto"/>
              <w:jc w:val="both"/>
              <w:rPr>
                <w:rFonts w:ascii="Times New Roman"/>
                <w:color w:val="auto"/>
                <w:sz w:val="20"/>
                <w:szCs w:val="20"/>
                <w:lang w:val="en-US"/>
              </w:rPr>
            </w:pPr>
            <w:r w:rsidRPr="00B0658A">
              <w:rPr>
                <w:rFonts w:ascii="Times New Roman"/>
                <w:color w:val="auto"/>
                <w:sz w:val="20"/>
                <w:szCs w:val="20"/>
                <w:lang w:val="en-US"/>
              </w:rPr>
              <w:t>…</w:t>
            </w:r>
          </w:p>
        </w:tc>
        <w:tc>
          <w:tcPr>
            <w:tcW w:w="1023" w:type="pct"/>
          </w:tcPr>
          <w:p w14:paraId="2AADBA78" w14:textId="77777777" w:rsidR="00FB28D8" w:rsidRPr="00B0658A" w:rsidRDefault="00FB28D8" w:rsidP="000A4114">
            <w:pPr>
              <w:spacing w:after="0" w:line="240" w:lineRule="auto"/>
              <w:jc w:val="both"/>
              <w:rPr>
                <w:rFonts w:ascii="Times New Roman"/>
                <w:color w:val="auto"/>
                <w:sz w:val="20"/>
                <w:szCs w:val="20"/>
              </w:rPr>
            </w:pPr>
          </w:p>
        </w:tc>
        <w:tc>
          <w:tcPr>
            <w:tcW w:w="886" w:type="pct"/>
          </w:tcPr>
          <w:p w14:paraId="65D7693B" w14:textId="77777777" w:rsidR="00FB28D8" w:rsidRPr="00B0658A" w:rsidRDefault="00FB28D8" w:rsidP="000A4114">
            <w:pPr>
              <w:spacing w:after="0" w:line="240" w:lineRule="auto"/>
              <w:jc w:val="both"/>
              <w:rPr>
                <w:rFonts w:ascii="Times New Roman"/>
                <w:color w:val="auto"/>
                <w:sz w:val="20"/>
                <w:szCs w:val="20"/>
              </w:rPr>
            </w:pPr>
          </w:p>
        </w:tc>
        <w:tc>
          <w:tcPr>
            <w:tcW w:w="895" w:type="pct"/>
          </w:tcPr>
          <w:p w14:paraId="13ECDBE5" w14:textId="77777777" w:rsidR="00FB28D8" w:rsidRPr="00B0658A" w:rsidRDefault="00FB28D8" w:rsidP="000A4114">
            <w:pPr>
              <w:spacing w:after="0" w:line="240" w:lineRule="auto"/>
              <w:jc w:val="both"/>
              <w:rPr>
                <w:rFonts w:ascii="Times New Roman"/>
                <w:color w:val="auto"/>
                <w:sz w:val="20"/>
                <w:szCs w:val="20"/>
              </w:rPr>
            </w:pPr>
          </w:p>
        </w:tc>
        <w:tc>
          <w:tcPr>
            <w:tcW w:w="873" w:type="pct"/>
          </w:tcPr>
          <w:p w14:paraId="00BCA368" w14:textId="77777777" w:rsidR="00FB28D8" w:rsidRPr="00B0658A" w:rsidRDefault="00FB28D8" w:rsidP="000A4114">
            <w:pPr>
              <w:spacing w:after="0" w:line="240" w:lineRule="auto"/>
              <w:jc w:val="both"/>
              <w:rPr>
                <w:rFonts w:ascii="Times New Roman"/>
                <w:color w:val="auto"/>
                <w:sz w:val="20"/>
                <w:szCs w:val="20"/>
              </w:rPr>
            </w:pPr>
          </w:p>
        </w:tc>
        <w:tc>
          <w:tcPr>
            <w:tcW w:w="1139" w:type="pct"/>
          </w:tcPr>
          <w:p w14:paraId="5FD57DA2" w14:textId="77777777" w:rsidR="00FB28D8" w:rsidRPr="00B0658A" w:rsidRDefault="00FB28D8" w:rsidP="000A4114">
            <w:pPr>
              <w:spacing w:after="0" w:line="240" w:lineRule="auto"/>
              <w:jc w:val="both"/>
              <w:rPr>
                <w:rFonts w:ascii="Times New Roman"/>
                <w:color w:val="auto"/>
                <w:sz w:val="20"/>
                <w:szCs w:val="20"/>
              </w:rPr>
            </w:pPr>
          </w:p>
        </w:tc>
      </w:tr>
      <w:tr w:rsidR="00FB28D8" w:rsidRPr="00B0658A" w14:paraId="272D8AA4" w14:textId="77777777" w:rsidTr="00B10FDE">
        <w:tc>
          <w:tcPr>
            <w:tcW w:w="184" w:type="pct"/>
          </w:tcPr>
          <w:p w14:paraId="1BC48BFD" w14:textId="77777777" w:rsidR="00FB28D8" w:rsidRPr="00B0658A" w:rsidRDefault="00FB28D8" w:rsidP="000A4114">
            <w:pPr>
              <w:spacing w:after="0" w:line="240" w:lineRule="auto"/>
              <w:jc w:val="both"/>
              <w:rPr>
                <w:rFonts w:ascii="Times New Roman"/>
                <w:color w:val="auto"/>
                <w:sz w:val="20"/>
                <w:szCs w:val="20"/>
                <w:lang w:val="en-US"/>
              </w:rPr>
            </w:pPr>
            <w:r w:rsidRPr="00B0658A">
              <w:rPr>
                <w:rFonts w:ascii="Times New Roman"/>
                <w:color w:val="auto"/>
                <w:sz w:val="20"/>
                <w:szCs w:val="20"/>
                <w:lang w:val="en-US"/>
              </w:rPr>
              <w:t>N.n</w:t>
            </w:r>
          </w:p>
        </w:tc>
        <w:tc>
          <w:tcPr>
            <w:tcW w:w="1023" w:type="pct"/>
          </w:tcPr>
          <w:p w14:paraId="5E3B2201" w14:textId="77777777" w:rsidR="00FB28D8" w:rsidRPr="00B0658A" w:rsidRDefault="00FB28D8" w:rsidP="000A4114">
            <w:pPr>
              <w:spacing w:after="0" w:line="240" w:lineRule="auto"/>
              <w:jc w:val="both"/>
              <w:rPr>
                <w:rFonts w:ascii="Times New Roman"/>
                <w:color w:val="auto"/>
                <w:sz w:val="20"/>
                <w:szCs w:val="20"/>
              </w:rPr>
            </w:pPr>
          </w:p>
        </w:tc>
        <w:tc>
          <w:tcPr>
            <w:tcW w:w="886" w:type="pct"/>
          </w:tcPr>
          <w:p w14:paraId="1D9469F1" w14:textId="77777777" w:rsidR="00FB28D8" w:rsidRPr="00B0658A" w:rsidRDefault="00FB28D8" w:rsidP="000A4114">
            <w:pPr>
              <w:spacing w:after="0" w:line="240" w:lineRule="auto"/>
              <w:jc w:val="both"/>
              <w:rPr>
                <w:rFonts w:ascii="Times New Roman"/>
                <w:color w:val="auto"/>
                <w:sz w:val="20"/>
                <w:szCs w:val="20"/>
              </w:rPr>
            </w:pPr>
          </w:p>
        </w:tc>
        <w:tc>
          <w:tcPr>
            <w:tcW w:w="895" w:type="pct"/>
          </w:tcPr>
          <w:p w14:paraId="61B0F367" w14:textId="77777777" w:rsidR="00FB28D8" w:rsidRPr="00B0658A" w:rsidRDefault="00FB28D8" w:rsidP="000A4114">
            <w:pPr>
              <w:spacing w:after="0" w:line="240" w:lineRule="auto"/>
              <w:jc w:val="both"/>
              <w:rPr>
                <w:rFonts w:ascii="Times New Roman"/>
                <w:color w:val="auto"/>
                <w:sz w:val="20"/>
                <w:szCs w:val="20"/>
              </w:rPr>
            </w:pPr>
          </w:p>
        </w:tc>
        <w:tc>
          <w:tcPr>
            <w:tcW w:w="873" w:type="pct"/>
          </w:tcPr>
          <w:p w14:paraId="5C76A0BD" w14:textId="77777777" w:rsidR="00FB28D8" w:rsidRPr="00B0658A" w:rsidRDefault="00FB28D8" w:rsidP="000A4114">
            <w:pPr>
              <w:spacing w:after="0" w:line="240" w:lineRule="auto"/>
              <w:jc w:val="both"/>
              <w:rPr>
                <w:rFonts w:ascii="Times New Roman"/>
                <w:color w:val="auto"/>
                <w:sz w:val="20"/>
                <w:szCs w:val="20"/>
              </w:rPr>
            </w:pPr>
          </w:p>
        </w:tc>
        <w:tc>
          <w:tcPr>
            <w:tcW w:w="1139" w:type="pct"/>
          </w:tcPr>
          <w:p w14:paraId="4E016932" w14:textId="77777777" w:rsidR="00FB28D8" w:rsidRPr="00B0658A" w:rsidRDefault="00FB28D8" w:rsidP="000A4114">
            <w:pPr>
              <w:spacing w:after="0" w:line="240" w:lineRule="auto"/>
              <w:jc w:val="both"/>
              <w:rPr>
                <w:rFonts w:ascii="Times New Roman"/>
                <w:color w:val="auto"/>
                <w:sz w:val="20"/>
                <w:szCs w:val="20"/>
              </w:rPr>
            </w:pPr>
          </w:p>
        </w:tc>
      </w:tr>
    </w:tbl>
    <w:p w14:paraId="192C8980" w14:textId="77777777" w:rsidR="00067F30" w:rsidRPr="00B0658A" w:rsidRDefault="00067F30" w:rsidP="00FB28D8">
      <w:pPr>
        <w:spacing w:line="240" w:lineRule="auto"/>
        <w:jc w:val="both"/>
        <w:rPr>
          <w:rFonts w:ascii="Times New Roman" w:hAnsi="Times New Roman"/>
          <w:sz w:val="28"/>
          <w:szCs w:val="28"/>
        </w:rPr>
      </w:pPr>
    </w:p>
    <w:p w14:paraId="5CA3B7C2" w14:textId="77777777" w:rsidR="00FB28D8" w:rsidRPr="00B0658A" w:rsidRDefault="00137AA5" w:rsidP="00137AA5">
      <w:pPr>
        <w:spacing w:line="240" w:lineRule="auto"/>
        <w:ind w:firstLine="709"/>
        <w:jc w:val="both"/>
        <w:rPr>
          <w:rFonts w:ascii="Times New Roman" w:hAnsi="Times New Roman"/>
          <w:sz w:val="28"/>
          <w:szCs w:val="28"/>
        </w:rPr>
      </w:pPr>
      <w:r w:rsidRPr="00B0658A">
        <w:rPr>
          <w:rFonts w:ascii="Times New Roman" w:hAnsi="Times New Roman"/>
          <w:sz w:val="28"/>
          <w:szCs w:val="28"/>
        </w:rPr>
        <w:t xml:space="preserve">2. </w:t>
      </w:r>
      <w:r w:rsidR="00FB28D8" w:rsidRPr="00B0658A">
        <w:rPr>
          <w:rFonts w:ascii="Times New Roman" w:hAnsi="Times New Roman"/>
          <w:sz w:val="28"/>
          <w:szCs w:val="24"/>
        </w:rPr>
        <w:t>Сведения о достижении показателей эффективности перехода на использование российского ПО на значимых объектов КИИ</w:t>
      </w:r>
    </w:p>
    <w:tbl>
      <w:tblPr>
        <w:tblStyle w:val="afc"/>
        <w:tblW w:w="5000" w:type="pct"/>
        <w:tblLook w:val="0480" w:firstRow="0" w:lastRow="0" w:firstColumn="1" w:lastColumn="0" w:noHBand="0" w:noVBand="1"/>
      </w:tblPr>
      <w:tblGrid>
        <w:gridCol w:w="516"/>
        <w:gridCol w:w="3241"/>
        <w:gridCol w:w="1581"/>
        <w:gridCol w:w="3085"/>
        <w:gridCol w:w="2929"/>
        <w:gridCol w:w="2592"/>
      </w:tblGrid>
      <w:tr w:rsidR="00F52FED" w:rsidRPr="00B0658A" w14:paraId="289B54B1" w14:textId="77777777" w:rsidTr="00F57B1F">
        <w:trPr>
          <w:trHeight w:val="1309"/>
          <w:tblHeader/>
        </w:trPr>
        <w:tc>
          <w:tcPr>
            <w:tcW w:w="197" w:type="pct"/>
            <w:vMerge w:val="restart"/>
            <w:shd w:val="clear" w:color="auto" w:fill="auto"/>
            <w:vAlign w:val="center"/>
          </w:tcPr>
          <w:p w14:paraId="0FCD7987" w14:textId="77777777" w:rsidR="00FB28D8" w:rsidRPr="00B0658A" w:rsidRDefault="00FB28D8" w:rsidP="000A4114">
            <w:pPr>
              <w:spacing w:after="0" w:line="240" w:lineRule="auto"/>
              <w:jc w:val="center"/>
              <w:rPr>
                <w:rFonts w:ascii="Times New Roman" w:hAnsi="Times New Roman"/>
                <w:b/>
                <w:bCs/>
                <w:sz w:val="20"/>
                <w:szCs w:val="20"/>
              </w:rPr>
            </w:pPr>
            <w:r w:rsidRPr="00B0658A">
              <w:rPr>
                <w:rFonts w:ascii="Times New Roman" w:hAnsi="Times New Roman"/>
                <w:b/>
                <w:bCs/>
                <w:sz w:val="20"/>
                <w:szCs w:val="20"/>
              </w:rPr>
              <w:t>№</w:t>
            </w:r>
          </w:p>
          <w:p w14:paraId="58BBE0AC" w14:textId="77777777" w:rsidR="00FB28D8" w:rsidRPr="00B0658A" w:rsidRDefault="00FB28D8" w:rsidP="000A4114">
            <w:pPr>
              <w:spacing w:after="0" w:line="240" w:lineRule="auto"/>
              <w:jc w:val="center"/>
              <w:rPr>
                <w:rFonts w:ascii="Times New Roman" w:hAnsi="Times New Roman"/>
                <w:b/>
                <w:bCs/>
                <w:sz w:val="20"/>
                <w:szCs w:val="20"/>
              </w:rPr>
            </w:pPr>
          </w:p>
        </w:tc>
        <w:tc>
          <w:tcPr>
            <w:tcW w:w="1174" w:type="pct"/>
            <w:vMerge w:val="restart"/>
            <w:shd w:val="clear" w:color="auto" w:fill="auto"/>
            <w:vAlign w:val="center"/>
          </w:tcPr>
          <w:p w14:paraId="3AA6FBE7" w14:textId="77777777" w:rsidR="00FB28D8" w:rsidRPr="00B0658A" w:rsidRDefault="00FB28D8" w:rsidP="000A4114">
            <w:pPr>
              <w:spacing w:after="0" w:line="240" w:lineRule="auto"/>
              <w:jc w:val="center"/>
              <w:rPr>
                <w:rFonts w:ascii="Times New Roman" w:hAnsi="Times New Roman"/>
                <w:b/>
                <w:bCs/>
                <w:sz w:val="20"/>
                <w:szCs w:val="20"/>
              </w:rPr>
            </w:pPr>
            <w:r w:rsidRPr="00B0658A">
              <w:rPr>
                <w:rFonts w:ascii="Times New Roman" w:hAnsi="Times New Roman"/>
                <w:b/>
                <w:bCs/>
                <w:sz w:val="20"/>
                <w:szCs w:val="20"/>
              </w:rPr>
              <w:t xml:space="preserve">Наименование класса </w:t>
            </w:r>
            <w:r w:rsidRPr="00B0658A">
              <w:rPr>
                <w:rFonts w:ascii="Times New Roman" w:hAnsi="Times New Roman"/>
                <w:b/>
                <w:bCs/>
                <w:sz w:val="20"/>
                <w:szCs w:val="20"/>
                <w:lang w:val="en-US"/>
              </w:rPr>
              <w:t xml:space="preserve">/ </w:t>
            </w:r>
            <w:r w:rsidRPr="00B0658A">
              <w:rPr>
                <w:rFonts w:ascii="Times New Roman" w:hAnsi="Times New Roman"/>
                <w:b/>
                <w:bCs/>
                <w:sz w:val="20"/>
                <w:szCs w:val="20"/>
              </w:rPr>
              <w:t>типа ПО</w:t>
            </w:r>
          </w:p>
        </w:tc>
        <w:tc>
          <w:tcPr>
            <w:tcW w:w="508" w:type="pct"/>
            <w:vMerge w:val="restart"/>
            <w:vAlign w:val="center"/>
          </w:tcPr>
          <w:p w14:paraId="331AA975" w14:textId="77777777" w:rsidR="00FB28D8" w:rsidRPr="00B0658A" w:rsidRDefault="00FB28D8" w:rsidP="000A4114">
            <w:pPr>
              <w:spacing w:after="0" w:line="240" w:lineRule="auto"/>
              <w:jc w:val="center"/>
              <w:rPr>
                <w:rFonts w:ascii="Times New Roman" w:hAnsi="Times New Roman"/>
                <w:b/>
                <w:bCs/>
                <w:sz w:val="20"/>
                <w:szCs w:val="20"/>
              </w:rPr>
            </w:pPr>
            <w:r w:rsidRPr="00B0658A">
              <w:rPr>
                <w:rFonts w:ascii="Times New Roman" w:hAnsi="Times New Roman"/>
                <w:b/>
                <w:bCs/>
                <w:sz w:val="20"/>
                <w:szCs w:val="20"/>
              </w:rPr>
              <w:t>Единицы измерения уровня использования</w:t>
            </w:r>
          </w:p>
        </w:tc>
        <w:tc>
          <w:tcPr>
            <w:tcW w:w="2180" w:type="pct"/>
            <w:gridSpan w:val="2"/>
            <w:shd w:val="clear" w:color="auto" w:fill="auto"/>
            <w:vAlign w:val="center"/>
          </w:tcPr>
          <w:p w14:paraId="20E3AD7F" w14:textId="77777777" w:rsidR="00FB28D8" w:rsidRPr="00B0658A" w:rsidRDefault="00FB28D8" w:rsidP="000A4114">
            <w:pPr>
              <w:spacing w:after="0" w:line="240" w:lineRule="auto"/>
              <w:jc w:val="center"/>
              <w:rPr>
                <w:rFonts w:ascii="Times New Roman" w:hAnsi="Times New Roman"/>
                <w:b/>
                <w:bCs/>
                <w:sz w:val="20"/>
                <w:szCs w:val="20"/>
              </w:rPr>
            </w:pPr>
            <w:r w:rsidRPr="00B0658A">
              <w:rPr>
                <w:rFonts w:ascii="Times New Roman" w:hAnsi="Times New Roman"/>
                <w:b/>
                <w:bCs/>
                <w:sz w:val="20"/>
                <w:szCs w:val="20"/>
              </w:rPr>
              <w:t>Сведения о достижении показателей эффективности перехода на использование российского ПО на значимых объектах КИИ</w:t>
            </w:r>
            <w:r w:rsidRPr="00B0658A">
              <w:rPr>
                <w:rFonts w:ascii="Times New Roman" w:hAnsi="Times New Roman"/>
                <w:b/>
                <w:bCs/>
                <w:sz w:val="20"/>
                <w:szCs w:val="20"/>
              </w:rPr>
              <w:br/>
              <w:t>за _____ год</w:t>
            </w:r>
          </w:p>
        </w:tc>
        <w:tc>
          <w:tcPr>
            <w:tcW w:w="941" w:type="pct"/>
            <w:vMerge w:val="restart"/>
            <w:shd w:val="clear" w:color="auto" w:fill="auto"/>
            <w:vAlign w:val="center"/>
          </w:tcPr>
          <w:p w14:paraId="59839942" w14:textId="77777777" w:rsidR="00FB28D8" w:rsidRPr="00B0658A" w:rsidRDefault="00FB28D8" w:rsidP="000A4114">
            <w:pPr>
              <w:spacing w:after="0" w:line="240" w:lineRule="auto"/>
              <w:jc w:val="center"/>
              <w:rPr>
                <w:rFonts w:ascii="Times New Roman" w:hAnsi="Times New Roman"/>
                <w:b/>
                <w:bCs/>
                <w:sz w:val="20"/>
                <w:szCs w:val="20"/>
              </w:rPr>
            </w:pPr>
            <w:r w:rsidRPr="00B0658A">
              <w:rPr>
                <w:rFonts w:ascii="Times New Roman" w:hAnsi="Times New Roman"/>
                <w:b/>
                <w:bCs/>
                <w:sz w:val="20"/>
                <w:szCs w:val="20"/>
              </w:rPr>
              <w:t xml:space="preserve">Сведения о российском/евразийском ПО, на использование которого был осуществлен переход </w:t>
            </w:r>
          </w:p>
        </w:tc>
      </w:tr>
      <w:tr w:rsidR="00F52FED" w:rsidRPr="00B0658A" w14:paraId="53445AC7" w14:textId="77777777" w:rsidTr="00B10FDE">
        <w:trPr>
          <w:trHeight w:val="170"/>
        </w:trPr>
        <w:tc>
          <w:tcPr>
            <w:tcW w:w="197" w:type="pct"/>
            <w:vMerge/>
            <w:shd w:val="clear" w:color="auto" w:fill="auto"/>
          </w:tcPr>
          <w:p w14:paraId="6A0CCA5D" w14:textId="77777777" w:rsidR="00FB28D8" w:rsidRPr="00B0658A" w:rsidRDefault="00FB28D8" w:rsidP="000A4114">
            <w:pPr>
              <w:spacing w:after="0" w:line="240" w:lineRule="auto"/>
              <w:rPr>
                <w:rFonts w:ascii="Times New Roman" w:hAnsi="Times New Roman"/>
                <w:b/>
                <w:bCs/>
                <w:sz w:val="20"/>
                <w:szCs w:val="20"/>
              </w:rPr>
            </w:pPr>
          </w:p>
        </w:tc>
        <w:tc>
          <w:tcPr>
            <w:tcW w:w="1174" w:type="pct"/>
            <w:vMerge/>
            <w:shd w:val="clear" w:color="auto" w:fill="auto"/>
          </w:tcPr>
          <w:p w14:paraId="07BC373E" w14:textId="77777777" w:rsidR="00FB28D8" w:rsidRPr="00B0658A" w:rsidRDefault="00FB28D8" w:rsidP="000A4114">
            <w:pPr>
              <w:spacing w:after="0" w:line="240" w:lineRule="auto"/>
              <w:rPr>
                <w:rFonts w:ascii="Times New Roman" w:hAnsi="Times New Roman"/>
                <w:b/>
                <w:bCs/>
                <w:sz w:val="20"/>
                <w:szCs w:val="20"/>
              </w:rPr>
            </w:pPr>
          </w:p>
        </w:tc>
        <w:tc>
          <w:tcPr>
            <w:tcW w:w="508" w:type="pct"/>
            <w:vMerge/>
          </w:tcPr>
          <w:p w14:paraId="5A9FF6C0" w14:textId="77777777" w:rsidR="00FB28D8" w:rsidRPr="00B0658A" w:rsidRDefault="00FB28D8" w:rsidP="000A4114">
            <w:pPr>
              <w:spacing w:after="0" w:line="240" w:lineRule="auto"/>
              <w:jc w:val="center"/>
              <w:rPr>
                <w:rFonts w:ascii="Times New Roman" w:hAnsi="Times New Roman"/>
                <w:b/>
                <w:bCs/>
                <w:sz w:val="20"/>
                <w:szCs w:val="20"/>
              </w:rPr>
            </w:pPr>
          </w:p>
        </w:tc>
        <w:tc>
          <w:tcPr>
            <w:tcW w:w="1118" w:type="pct"/>
            <w:shd w:val="clear" w:color="auto" w:fill="auto"/>
            <w:vAlign w:val="center"/>
          </w:tcPr>
          <w:p w14:paraId="45CA0A8D" w14:textId="77777777" w:rsidR="00FB28D8" w:rsidRPr="00B0658A" w:rsidRDefault="00FB28D8" w:rsidP="000A4114">
            <w:pPr>
              <w:spacing w:after="0" w:line="240" w:lineRule="auto"/>
              <w:jc w:val="center"/>
              <w:rPr>
                <w:rFonts w:ascii="Times New Roman" w:hAnsi="Times New Roman"/>
                <w:b/>
                <w:bCs/>
                <w:sz w:val="20"/>
                <w:szCs w:val="20"/>
              </w:rPr>
            </w:pPr>
            <w:r w:rsidRPr="00B0658A">
              <w:rPr>
                <w:rFonts w:ascii="Times New Roman" w:hAnsi="Times New Roman"/>
                <w:b/>
                <w:bCs/>
                <w:sz w:val="20"/>
                <w:szCs w:val="20"/>
              </w:rPr>
              <w:t>План</w:t>
            </w:r>
          </w:p>
        </w:tc>
        <w:tc>
          <w:tcPr>
            <w:tcW w:w="1062" w:type="pct"/>
            <w:shd w:val="clear" w:color="auto" w:fill="auto"/>
          </w:tcPr>
          <w:p w14:paraId="7303A527" w14:textId="77777777" w:rsidR="00FB28D8" w:rsidRPr="00B0658A" w:rsidRDefault="00FB28D8" w:rsidP="000A4114">
            <w:pPr>
              <w:spacing w:after="0" w:line="240" w:lineRule="auto"/>
              <w:jc w:val="center"/>
              <w:rPr>
                <w:rFonts w:ascii="Times New Roman" w:hAnsi="Times New Roman"/>
                <w:b/>
                <w:bCs/>
                <w:sz w:val="20"/>
                <w:szCs w:val="20"/>
              </w:rPr>
            </w:pPr>
            <w:r w:rsidRPr="00B0658A">
              <w:rPr>
                <w:rFonts w:ascii="Times New Roman" w:hAnsi="Times New Roman"/>
                <w:b/>
                <w:bCs/>
                <w:sz w:val="20"/>
                <w:szCs w:val="20"/>
              </w:rPr>
              <w:t>Факт</w:t>
            </w:r>
          </w:p>
        </w:tc>
        <w:tc>
          <w:tcPr>
            <w:tcW w:w="941" w:type="pct"/>
            <w:vMerge/>
            <w:shd w:val="clear" w:color="auto" w:fill="auto"/>
          </w:tcPr>
          <w:p w14:paraId="6DE3B284" w14:textId="77777777" w:rsidR="00FB28D8" w:rsidRPr="00B0658A" w:rsidRDefault="00FB28D8" w:rsidP="000A4114">
            <w:pPr>
              <w:spacing w:after="0" w:line="240" w:lineRule="auto"/>
              <w:rPr>
                <w:rFonts w:ascii="Times New Roman" w:hAnsi="Times New Roman"/>
                <w:b/>
                <w:bCs/>
                <w:sz w:val="20"/>
                <w:szCs w:val="20"/>
              </w:rPr>
            </w:pPr>
          </w:p>
        </w:tc>
      </w:tr>
      <w:tr w:rsidR="00F52FED" w:rsidRPr="00B0658A" w14:paraId="4CE38843" w14:textId="77777777" w:rsidTr="00B10FDE">
        <w:trPr>
          <w:trHeight w:val="57"/>
        </w:trPr>
        <w:tc>
          <w:tcPr>
            <w:tcW w:w="5000" w:type="pct"/>
            <w:gridSpan w:val="6"/>
            <w:shd w:val="clear" w:color="auto" w:fill="auto"/>
            <w:vAlign w:val="center"/>
          </w:tcPr>
          <w:p w14:paraId="005B62A2" w14:textId="77777777" w:rsidR="00FB28D8" w:rsidRPr="00B0658A" w:rsidRDefault="00FB28D8" w:rsidP="00CB1F35">
            <w:pPr>
              <w:pStyle w:val="afd"/>
              <w:numPr>
                <w:ilvl w:val="0"/>
                <w:numId w:val="28"/>
              </w:numPr>
              <w:spacing w:after="0" w:line="240" w:lineRule="auto"/>
              <w:jc w:val="both"/>
              <w:rPr>
                <w:rFonts w:ascii="Times New Roman" w:hAnsi="Times New Roman"/>
                <w:i/>
                <w:iCs/>
                <w:sz w:val="20"/>
                <w:szCs w:val="20"/>
              </w:rPr>
            </w:pPr>
            <w:r w:rsidRPr="00B0658A">
              <w:rPr>
                <w:rFonts w:ascii="Times New Roman" w:hAnsi="Times New Roman"/>
                <w:b/>
                <w:sz w:val="20"/>
                <w:szCs w:val="20"/>
              </w:rPr>
              <w:t>Сведения о достижении показателей эффективности перехода в отношении ________ (наименование значимого объекта КИИ №1)</w:t>
            </w:r>
          </w:p>
        </w:tc>
      </w:tr>
      <w:tr w:rsidR="00F52FED" w:rsidRPr="00B0658A" w14:paraId="28083C7C" w14:textId="77777777" w:rsidTr="00B10FDE">
        <w:trPr>
          <w:trHeight w:val="3225"/>
        </w:trPr>
        <w:tc>
          <w:tcPr>
            <w:tcW w:w="197" w:type="pct"/>
            <w:shd w:val="clear" w:color="auto" w:fill="auto"/>
            <w:vAlign w:val="center"/>
          </w:tcPr>
          <w:p w14:paraId="4FEF6102" w14:textId="77777777" w:rsidR="00FB28D8" w:rsidRPr="00B0658A" w:rsidRDefault="00FB28D8" w:rsidP="000A4114">
            <w:pPr>
              <w:spacing w:after="0" w:line="240" w:lineRule="auto"/>
              <w:rPr>
                <w:rFonts w:ascii="Times New Roman" w:hAnsi="Times New Roman"/>
                <w:sz w:val="20"/>
                <w:szCs w:val="20"/>
              </w:rPr>
            </w:pPr>
            <w:r w:rsidRPr="00B0658A">
              <w:rPr>
                <w:rFonts w:ascii="Times New Roman" w:hAnsi="Times New Roman"/>
                <w:sz w:val="20"/>
                <w:szCs w:val="20"/>
              </w:rPr>
              <w:t>1.1</w:t>
            </w:r>
          </w:p>
        </w:tc>
        <w:tc>
          <w:tcPr>
            <w:tcW w:w="1174" w:type="pct"/>
            <w:shd w:val="clear" w:color="auto" w:fill="auto"/>
          </w:tcPr>
          <w:p w14:paraId="2D697CD1" w14:textId="77777777" w:rsidR="00FB28D8" w:rsidRPr="00B0658A" w:rsidRDefault="00FB28D8" w:rsidP="000A4114">
            <w:pPr>
              <w:spacing w:after="0" w:line="240" w:lineRule="auto"/>
              <w:rPr>
                <w:rFonts w:ascii="Times New Roman" w:hAnsi="Times New Roman"/>
                <w:i/>
                <w:sz w:val="20"/>
                <w:szCs w:val="20"/>
              </w:rPr>
            </w:pPr>
            <w:r w:rsidRPr="00B0658A">
              <w:rPr>
                <w:rFonts w:ascii="Times New Roman" w:hAnsi="Times New Roman"/>
                <w:i/>
                <w:sz w:val="20"/>
                <w:szCs w:val="20"/>
              </w:rPr>
              <w:t xml:space="preserve">Указывается класс (тип) №1 ПО, используемого на значимом объекте КИИ №1 в соответствии с утвержденным детализированным планом перехода </w:t>
            </w:r>
            <w:r w:rsidR="00D37F0E" w:rsidRPr="00B0658A">
              <w:rPr>
                <w:rFonts w:ascii="Times New Roman" w:hAnsi="Times New Roman"/>
                <w:i/>
                <w:iCs/>
                <w:sz w:val="20"/>
                <w:szCs w:val="20"/>
              </w:rPr>
              <w:t xml:space="preserve">подведомственной организации </w:t>
            </w:r>
            <w:r w:rsidRPr="00B0658A">
              <w:rPr>
                <w:rFonts w:ascii="Times New Roman" w:hAnsi="Times New Roman"/>
                <w:i/>
                <w:sz w:val="20"/>
                <w:szCs w:val="20"/>
              </w:rPr>
              <w:t>на использование российского ПО на значимых объектах КИИ</w:t>
            </w:r>
          </w:p>
        </w:tc>
        <w:tc>
          <w:tcPr>
            <w:tcW w:w="508" w:type="pct"/>
          </w:tcPr>
          <w:p w14:paraId="42E637C4" w14:textId="77777777" w:rsidR="00FB28D8" w:rsidRPr="00B0658A" w:rsidRDefault="00FB28D8" w:rsidP="000A4114">
            <w:pPr>
              <w:spacing w:after="0" w:line="240" w:lineRule="auto"/>
              <w:rPr>
                <w:rFonts w:ascii="Times New Roman" w:hAnsi="Times New Roman"/>
                <w:i/>
                <w:iCs/>
                <w:sz w:val="20"/>
                <w:szCs w:val="20"/>
              </w:rPr>
            </w:pPr>
            <w:r w:rsidRPr="00B0658A">
              <w:rPr>
                <w:rFonts w:ascii="Times New Roman" w:hAnsi="Times New Roman"/>
                <w:i/>
                <w:iCs/>
                <w:sz w:val="20"/>
                <w:szCs w:val="20"/>
              </w:rPr>
              <w:t xml:space="preserve">Указывается единица измерения уровня использования </w:t>
            </w:r>
          </w:p>
        </w:tc>
        <w:tc>
          <w:tcPr>
            <w:tcW w:w="1118" w:type="pct"/>
            <w:shd w:val="clear" w:color="auto" w:fill="auto"/>
          </w:tcPr>
          <w:p w14:paraId="14F62BE1" w14:textId="77777777" w:rsidR="00FB28D8" w:rsidRPr="00B0658A" w:rsidRDefault="00FB28D8" w:rsidP="000A4114">
            <w:pPr>
              <w:spacing w:after="0" w:line="240" w:lineRule="auto"/>
              <w:rPr>
                <w:rFonts w:ascii="Times New Roman" w:hAnsi="Times New Roman"/>
                <w:i/>
                <w:iCs/>
                <w:sz w:val="20"/>
                <w:szCs w:val="20"/>
              </w:rPr>
            </w:pPr>
            <w:r w:rsidRPr="00B0658A">
              <w:rPr>
                <w:rFonts w:ascii="Times New Roman" w:hAnsi="Times New Roman"/>
                <w:i/>
                <w:iCs/>
                <w:sz w:val="20"/>
                <w:szCs w:val="20"/>
              </w:rPr>
              <w:t xml:space="preserve">Указывается плановое значение показателя эффективности на соответствующий год для соответствующего класса ПО, используемого на значимом объекте КИИ, в соответствии с утвержденным </w:t>
            </w:r>
            <w:r w:rsidRPr="00B0658A">
              <w:rPr>
                <w:rFonts w:ascii="Times New Roman" w:hAnsi="Times New Roman"/>
                <w:i/>
                <w:sz w:val="20"/>
                <w:szCs w:val="20"/>
              </w:rPr>
              <w:t>детализированным</w:t>
            </w:r>
            <w:r w:rsidRPr="00B0658A">
              <w:rPr>
                <w:rFonts w:ascii="Times New Roman" w:hAnsi="Times New Roman"/>
                <w:i/>
                <w:iCs/>
                <w:sz w:val="20"/>
                <w:szCs w:val="20"/>
              </w:rPr>
              <w:t xml:space="preserve"> планом перехода </w:t>
            </w:r>
            <w:r w:rsidR="00D37F0E" w:rsidRPr="00B0658A">
              <w:rPr>
                <w:rFonts w:ascii="Times New Roman" w:hAnsi="Times New Roman"/>
                <w:i/>
                <w:iCs/>
                <w:sz w:val="20"/>
                <w:szCs w:val="20"/>
              </w:rPr>
              <w:t xml:space="preserve">подведомственной организации </w:t>
            </w:r>
            <w:r w:rsidRPr="00B0658A">
              <w:rPr>
                <w:rFonts w:ascii="Times New Roman" w:hAnsi="Times New Roman"/>
                <w:i/>
                <w:iCs/>
                <w:sz w:val="20"/>
                <w:szCs w:val="20"/>
              </w:rPr>
              <w:t>на использование российского ПО на значимых объектах КИИ</w:t>
            </w:r>
          </w:p>
        </w:tc>
        <w:tc>
          <w:tcPr>
            <w:tcW w:w="1062" w:type="pct"/>
            <w:shd w:val="clear" w:color="auto" w:fill="auto"/>
          </w:tcPr>
          <w:p w14:paraId="42FE09C4" w14:textId="77777777" w:rsidR="00FB28D8" w:rsidRPr="00B0658A" w:rsidRDefault="00FB28D8" w:rsidP="000A4114">
            <w:pPr>
              <w:spacing w:after="0" w:line="240" w:lineRule="auto"/>
              <w:rPr>
                <w:rFonts w:ascii="Times New Roman" w:hAnsi="Times New Roman"/>
                <w:i/>
                <w:iCs/>
                <w:sz w:val="20"/>
                <w:szCs w:val="20"/>
              </w:rPr>
            </w:pPr>
            <w:r w:rsidRPr="00B0658A">
              <w:rPr>
                <w:rFonts w:ascii="Times New Roman" w:hAnsi="Times New Roman"/>
                <w:i/>
                <w:iCs/>
                <w:sz w:val="20"/>
                <w:szCs w:val="20"/>
              </w:rPr>
              <w:t>Указывается фактически достигнутое значение показателя использования российского и евразийского ПО, используемого на значимом объекте КИИ, по итогам соответствующего отчетного периода.</w:t>
            </w:r>
          </w:p>
          <w:p w14:paraId="26C9726E" w14:textId="77777777" w:rsidR="00FB28D8" w:rsidRPr="00B0658A" w:rsidRDefault="00FB28D8" w:rsidP="000A4114">
            <w:pPr>
              <w:spacing w:after="0" w:line="240" w:lineRule="auto"/>
              <w:rPr>
                <w:rFonts w:ascii="Times New Roman" w:hAnsi="Times New Roman"/>
                <w:i/>
                <w:iCs/>
                <w:sz w:val="20"/>
                <w:szCs w:val="20"/>
              </w:rPr>
            </w:pPr>
          </w:p>
        </w:tc>
        <w:tc>
          <w:tcPr>
            <w:tcW w:w="941" w:type="pct"/>
            <w:shd w:val="clear" w:color="auto" w:fill="auto"/>
          </w:tcPr>
          <w:p w14:paraId="1937B1B7" w14:textId="77777777" w:rsidR="00FB28D8" w:rsidRPr="00B0658A" w:rsidRDefault="00FB28D8" w:rsidP="000A4114">
            <w:pPr>
              <w:spacing w:after="0" w:line="240" w:lineRule="auto"/>
              <w:jc w:val="both"/>
              <w:rPr>
                <w:rFonts w:ascii="Times New Roman" w:hAnsi="Times New Roman"/>
                <w:i/>
                <w:iCs/>
                <w:sz w:val="20"/>
                <w:szCs w:val="20"/>
              </w:rPr>
            </w:pPr>
            <w:r w:rsidRPr="00B0658A">
              <w:rPr>
                <w:rFonts w:ascii="Times New Roman" w:hAnsi="Times New Roman"/>
                <w:i/>
                <w:iCs/>
                <w:sz w:val="20"/>
                <w:szCs w:val="20"/>
              </w:rPr>
              <w:t>Указывается следующая информация:</w:t>
            </w:r>
          </w:p>
          <w:p w14:paraId="08A98576" w14:textId="77777777" w:rsidR="00FB28D8" w:rsidRPr="00B0658A" w:rsidRDefault="00FB28D8" w:rsidP="000A4114">
            <w:pPr>
              <w:spacing w:after="0" w:line="240" w:lineRule="auto"/>
              <w:jc w:val="both"/>
              <w:rPr>
                <w:rFonts w:ascii="Times New Roman" w:hAnsi="Times New Roman"/>
                <w:i/>
                <w:iCs/>
                <w:sz w:val="20"/>
                <w:szCs w:val="20"/>
              </w:rPr>
            </w:pPr>
            <w:r w:rsidRPr="00B0658A">
              <w:rPr>
                <w:rFonts w:ascii="Times New Roman" w:hAnsi="Times New Roman"/>
                <w:i/>
                <w:iCs/>
                <w:sz w:val="20"/>
                <w:szCs w:val="20"/>
              </w:rPr>
              <w:t>1. Наименование иностранного ПО, которое было замещено;</w:t>
            </w:r>
          </w:p>
          <w:p w14:paraId="6A71BA62" w14:textId="77777777" w:rsidR="00FB28D8" w:rsidRPr="00B0658A" w:rsidRDefault="00FB28D8" w:rsidP="000A4114">
            <w:pPr>
              <w:spacing w:after="0" w:line="240" w:lineRule="auto"/>
              <w:jc w:val="both"/>
              <w:rPr>
                <w:rFonts w:ascii="Times New Roman" w:hAnsi="Times New Roman"/>
                <w:i/>
                <w:iCs/>
                <w:sz w:val="20"/>
                <w:szCs w:val="20"/>
              </w:rPr>
            </w:pPr>
            <w:r w:rsidRPr="00B0658A">
              <w:rPr>
                <w:rFonts w:ascii="Times New Roman" w:hAnsi="Times New Roman"/>
                <w:i/>
                <w:iCs/>
                <w:sz w:val="20"/>
                <w:szCs w:val="20"/>
              </w:rPr>
              <w:t>2. Наименование российского ПО и евразийского ПО, на которое был осуществлен переход, с указанием сведений о номерах записей в едином реестре российского ПО или едином реестре евразийского ПО соответственно.</w:t>
            </w:r>
          </w:p>
        </w:tc>
      </w:tr>
      <w:tr w:rsidR="00F52FED" w:rsidRPr="00B0658A" w14:paraId="42932FEA" w14:textId="77777777" w:rsidTr="00B10FDE">
        <w:trPr>
          <w:trHeight w:val="170"/>
        </w:trPr>
        <w:tc>
          <w:tcPr>
            <w:tcW w:w="197" w:type="pct"/>
            <w:shd w:val="clear" w:color="auto" w:fill="auto"/>
            <w:vAlign w:val="center"/>
          </w:tcPr>
          <w:p w14:paraId="5F0536B0" w14:textId="77777777" w:rsidR="00FB28D8" w:rsidRPr="00B0658A" w:rsidRDefault="00FB28D8" w:rsidP="000A4114">
            <w:pPr>
              <w:spacing w:after="0" w:line="240" w:lineRule="auto"/>
              <w:rPr>
                <w:rFonts w:ascii="Times New Roman" w:hAnsi="Times New Roman"/>
                <w:sz w:val="20"/>
                <w:szCs w:val="20"/>
              </w:rPr>
            </w:pPr>
            <w:r w:rsidRPr="00B0658A">
              <w:rPr>
                <w:rFonts w:ascii="Times New Roman" w:hAnsi="Times New Roman"/>
                <w:sz w:val="20"/>
                <w:szCs w:val="20"/>
              </w:rPr>
              <w:t>1.2</w:t>
            </w:r>
          </w:p>
        </w:tc>
        <w:tc>
          <w:tcPr>
            <w:tcW w:w="1174" w:type="pct"/>
            <w:shd w:val="clear" w:color="auto" w:fill="auto"/>
            <w:vAlign w:val="center"/>
          </w:tcPr>
          <w:p w14:paraId="660FEF60" w14:textId="77777777" w:rsidR="00FB28D8" w:rsidRPr="00B0658A" w:rsidRDefault="00FB28D8" w:rsidP="000A4114">
            <w:pPr>
              <w:spacing w:after="0" w:line="240" w:lineRule="auto"/>
              <w:rPr>
                <w:rFonts w:ascii="Times New Roman" w:hAnsi="Times New Roman"/>
                <w:i/>
                <w:iCs/>
                <w:sz w:val="20"/>
                <w:szCs w:val="20"/>
              </w:rPr>
            </w:pPr>
            <w:r w:rsidRPr="00B0658A">
              <w:rPr>
                <w:rFonts w:ascii="Times New Roman" w:hAnsi="Times New Roman"/>
                <w:i/>
                <w:sz w:val="20"/>
                <w:szCs w:val="20"/>
              </w:rPr>
              <w:t>Указывается класс (тип) №2 ПО, используемого на значимом объекте КИИ №1 в соответствии с утвержденным детализированным</w:t>
            </w:r>
            <w:r w:rsidRPr="00B0658A">
              <w:rPr>
                <w:rFonts w:ascii="Times New Roman" w:hAnsi="Times New Roman"/>
                <w:i/>
                <w:iCs/>
                <w:sz w:val="20"/>
                <w:szCs w:val="20"/>
              </w:rPr>
              <w:t xml:space="preserve"> планом перехода </w:t>
            </w:r>
            <w:r w:rsidR="00D37F0E" w:rsidRPr="00B0658A">
              <w:rPr>
                <w:rFonts w:ascii="Times New Roman" w:hAnsi="Times New Roman"/>
                <w:i/>
                <w:iCs/>
                <w:sz w:val="20"/>
                <w:szCs w:val="20"/>
              </w:rPr>
              <w:t xml:space="preserve">подведомственной организации </w:t>
            </w:r>
            <w:r w:rsidRPr="00B0658A">
              <w:rPr>
                <w:rFonts w:ascii="Times New Roman" w:hAnsi="Times New Roman"/>
                <w:i/>
                <w:iCs/>
                <w:sz w:val="20"/>
                <w:szCs w:val="20"/>
              </w:rPr>
              <w:t>на использование российского ПО на значимых объектах КИИ</w:t>
            </w:r>
          </w:p>
        </w:tc>
        <w:tc>
          <w:tcPr>
            <w:tcW w:w="508" w:type="pct"/>
          </w:tcPr>
          <w:p w14:paraId="0C5F363B" w14:textId="77777777" w:rsidR="00FB28D8" w:rsidRPr="00B0658A" w:rsidRDefault="00FB28D8" w:rsidP="000A4114">
            <w:pPr>
              <w:spacing w:after="0" w:line="240" w:lineRule="auto"/>
              <w:rPr>
                <w:rFonts w:ascii="Times New Roman" w:hAnsi="Times New Roman"/>
                <w:i/>
                <w:iCs/>
                <w:sz w:val="20"/>
                <w:szCs w:val="20"/>
              </w:rPr>
            </w:pPr>
          </w:p>
        </w:tc>
        <w:tc>
          <w:tcPr>
            <w:tcW w:w="1118" w:type="pct"/>
            <w:shd w:val="clear" w:color="auto" w:fill="auto"/>
          </w:tcPr>
          <w:p w14:paraId="3BB02EAE" w14:textId="77777777" w:rsidR="00FB28D8" w:rsidRPr="00B0658A" w:rsidRDefault="00FB28D8" w:rsidP="000A4114">
            <w:pPr>
              <w:spacing w:after="0" w:line="240" w:lineRule="auto"/>
              <w:rPr>
                <w:rFonts w:ascii="Times New Roman" w:hAnsi="Times New Roman"/>
                <w:i/>
                <w:iCs/>
                <w:sz w:val="20"/>
                <w:szCs w:val="20"/>
              </w:rPr>
            </w:pPr>
          </w:p>
        </w:tc>
        <w:tc>
          <w:tcPr>
            <w:tcW w:w="1062" w:type="pct"/>
            <w:shd w:val="clear" w:color="auto" w:fill="auto"/>
          </w:tcPr>
          <w:p w14:paraId="70FB9A5B" w14:textId="77777777" w:rsidR="00FB28D8" w:rsidRPr="00B0658A" w:rsidRDefault="00FB28D8" w:rsidP="000A4114">
            <w:pPr>
              <w:spacing w:after="0" w:line="240" w:lineRule="auto"/>
              <w:rPr>
                <w:rFonts w:ascii="Times New Roman" w:hAnsi="Times New Roman"/>
                <w:i/>
                <w:iCs/>
                <w:sz w:val="20"/>
                <w:szCs w:val="20"/>
              </w:rPr>
            </w:pPr>
          </w:p>
        </w:tc>
        <w:tc>
          <w:tcPr>
            <w:tcW w:w="941" w:type="pct"/>
            <w:shd w:val="clear" w:color="auto" w:fill="auto"/>
          </w:tcPr>
          <w:p w14:paraId="7F5D8A65" w14:textId="77777777" w:rsidR="00FB28D8" w:rsidRPr="00B0658A" w:rsidRDefault="00FB28D8" w:rsidP="000A4114">
            <w:pPr>
              <w:spacing w:after="0" w:line="240" w:lineRule="auto"/>
              <w:jc w:val="both"/>
              <w:rPr>
                <w:rFonts w:ascii="Times New Roman" w:hAnsi="Times New Roman"/>
                <w:i/>
                <w:iCs/>
                <w:sz w:val="20"/>
                <w:szCs w:val="20"/>
              </w:rPr>
            </w:pPr>
          </w:p>
        </w:tc>
      </w:tr>
      <w:tr w:rsidR="00F52FED" w:rsidRPr="00B0658A" w14:paraId="43B71D07" w14:textId="77777777" w:rsidTr="00B10FDE">
        <w:trPr>
          <w:trHeight w:val="170"/>
        </w:trPr>
        <w:tc>
          <w:tcPr>
            <w:tcW w:w="197" w:type="pct"/>
            <w:shd w:val="clear" w:color="auto" w:fill="auto"/>
            <w:vAlign w:val="center"/>
          </w:tcPr>
          <w:p w14:paraId="23A1FB27" w14:textId="77777777" w:rsidR="00FB28D8" w:rsidRPr="00B0658A" w:rsidRDefault="00FB28D8" w:rsidP="000A4114">
            <w:pPr>
              <w:spacing w:after="0" w:line="240" w:lineRule="auto"/>
              <w:rPr>
                <w:rFonts w:ascii="Times New Roman" w:hAnsi="Times New Roman"/>
                <w:sz w:val="20"/>
                <w:szCs w:val="20"/>
                <w:lang w:val="en-US"/>
              </w:rPr>
            </w:pPr>
            <w:r w:rsidRPr="00B0658A">
              <w:rPr>
                <w:rFonts w:ascii="Times New Roman" w:hAnsi="Times New Roman"/>
                <w:sz w:val="20"/>
                <w:szCs w:val="20"/>
                <w:lang w:val="en-US"/>
              </w:rPr>
              <w:t>..</w:t>
            </w:r>
          </w:p>
        </w:tc>
        <w:tc>
          <w:tcPr>
            <w:tcW w:w="1174" w:type="pct"/>
            <w:shd w:val="clear" w:color="auto" w:fill="auto"/>
            <w:vAlign w:val="center"/>
          </w:tcPr>
          <w:p w14:paraId="182CC42A" w14:textId="77777777" w:rsidR="00FB28D8" w:rsidRPr="00B0658A" w:rsidRDefault="00FB28D8" w:rsidP="000A4114">
            <w:pPr>
              <w:spacing w:after="0" w:line="240" w:lineRule="auto"/>
              <w:rPr>
                <w:rFonts w:ascii="Times New Roman" w:hAnsi="Times New Roman"/>
                <w:i/>
                <w:iCs/>
                <w:sz w:val="20"/>
                <w:szCs w:val="20"/>
                <w:lang w:val="en-US"/>
              </w:rPr>
            </w:pPr>
            <w:r w:rsidRPr="00B0658A">
              <w:rPr>
                <w:rFonts w:ascii="Times New Roman" w:hAnsi="Times New Roman"/>
                <w:i/>
                <w:iCs/>
                <w:sz w:val="20"/>
                <w:szCs w:val="20"/>
                <w:lang w:val="en-US"/>
              </w:rPr>
              <w:t>….</w:t>
            </w:r>
          </w:p>
        </w:tc>
        <w:tc>
          <w:tcPr>
            <w:tcW w:w="508" w:type="pct"/>
          </w:tcPr>
          <w:p w14:paraId="086E2D31" w14:textId="77777777" w:rsidR="00FB28D8" w:rsidRPr="00B0658A" w:rsidRDefault="00FB28D8" w:rsidP="000A4114">
            <w:pPr>
              <w:spacing w:after="0" w:line="240" w:lineRule="auto"/>
              <w:rPr>
                <w:rFonts w:ascii="Times New Roman" w:hAnsi="Times New Roman"/>
                <w:i/>
                <w:iCs/>
                <w:sz w:val="20"/>
                <w:szCs w:val="20"/>
              </w:rPr>
            </w:pPr>
          </w:p>
        </w:tc>
        <w:tc>
          <w:tcPr>
            <w:tcW w:w="1118" w:type="pct"/>
            <w:shd w:val="clear" w:color="auto" w:fill="auto"/>
          </w:tcPr>
          <w:p w14:paraId="05C8718B" w14:textId="77777777" w:rsidR="00FB28D8" w:rsidRPr="00B0658A" w:rsidRDefault="00FB28D8" w:rsidP="000A4114">
            <w:pPr>
              <w:spacing w:after="0" w:line="240" w:lineRule="auto"/>
              <w:rPr>
                <w:rFonts w:ascii="Times New Roman" w:hAnsi="Times New Roman"/>
                <w:i/>
                <w:iCs/>
                <w:sz w:val="20"/>
                <w:szCs w:val="20"/>
              </w:rPr>
            </w:pPr>
          </w:p>
        </w:tc>
        <w:tc>
          <w:tcPr>
            <w:tcW w:w="1062" w:type="pct"/>
            <w:shd w:val="clear" w:color="auto" w:fill="auto"/>
          </w:tcPr>
          <w:p w14:paraId="75B89292" w14:textId="77777777" w:rsidR="00FB28D8" w:rsidRPr="00B0658A" w:rsidRDefault="00FB28D8" w:rsidP="000A4114">
            <w:pPr>
              <w:spacing w:after="0" w:line="240" w:lineRule="auto"/>
              <w:rPr>
                <w:rFonts w:ascii="Times New Roman" w:hAnsi="Times New Roman"/>
                <w:i/>
                <w:iCs/>
                <w:sz w:val="20"/>
                <w:szCs w:val="20"/>
              </w:rPr>
            </w:pPr>
          </w:p>
        </w:tc>
        <w:tc>
          <w:tcPr>
            <w:tcW w:w="941" w:type="pct"/>
            <w:shd w:val="clear" w:color="auto" w:fill="auto"/>
          </w:tcPr>
          <w:p w14:paraId="44DBEA44" w14:textId="77777777" w:rsidR="00FB28D8" w:rsidRPr="00B0658A" w:rsidRDefault="00FB28D8" w:rsidP="000A4114">
            <w:pPr>
              <w:spacing w:after="0" w:line="240" w:lineRule="auto"/>
              <w:jc w:val="both"/>
              <w:rPr>
                <w:rFonts w:ascii="Times New Roman" w:hAnsi="Times New Roman"/>
                <w:i/>
                <w:iCs/>
                <w:sz w:val="20"/>
                <w:szCs w:val="20"/>
              </w:rPr>
            </w:pPr>
          </w:p>
        </w:tc>
      </w:tr>
      <w:tr w:rsidR="00F52FED" w:rsidRPr="00B0658A" w14:paraId="6ECBB4E3" w14:textId="77777777" w:rsidTr="00B10FDE">
        <w:trPr>
          <w:trHeight w:val="170"/>
        </w:trPr>
        <w:tc>
          <w:tcPr>
            <w:tcW w:w="197" w:type="pct"/>
            <w:shd w:val="clear" w:color="auto" w:fill="auto"/>
            <w:vAlign w:val="center"/>
          </w:tcPr>
          <w:p w14:paraId="62E165B7" w14:textId="77777777" w:rsidR="00FB28D8" w:rsidRPr="00B0658A" w:rsidRDefault="00FB28D8" w:rsidP="000A4114">
            <w:pPr>
              <w:spacing w:after="0" w:line="240" w:lineRule="auto"/>
              <w:rPr>
                <w:rFonts w:ascii="Times New Roman" w:hAnsi="Times New Roman"/>
                <w:sz w:val="20"/>
                <w:szCs w:val="20"/>
                <w:lang w:val="en-US"/>
              </w:rPr>
            </w:pPr>
            <w:r w:rsidRPr="00B0658A">
              <w:rPr>
                <w:rFonts w:ascii="Times New Roman" w:hAnsi="Times New Roman"/>
                <w:sz w:val="20"/>
                <w:szCs w:val="20"/>
                <w:lang w:val="en-US"/>
              </w:rPr>
              <w:t>1</w:t>
            </w:r>
            <w:r w:rsidRPr="00B0658A">
              <w:rPr>
                <w:rFonts w:ascii="Times New Roman" w:hAnsi="Times New Roman"/>
                <w:sz w:val="20"/>
                <w:szCs w:val="20"/>
              </w:rPr>
              <w:t>.</w:t>
            </w:r>
            <w:r w:rsidRPr="00B0658A">
              <w:rPr>
                <w:rFonts w:ascii="Times New Roman" w:hAnsi="Times New Roman"/>
                <w:sz w:val="20"/>
                <w:szCs w:val="20"/>
                <w:lang w:val="en-US"/>
              </w:rPr>
              <w:t>n</w:t>
            </w:r>
          </w:p>
        </w:tc>
        <w:tc>
          <w:tcPr>
            <w:tcW w:w="1174" w:type="pct"/>
            <w:shd w:val="clear" w:color="auto" w:fill="auto"/>
            <w:vAlign w:val="center"/>
          </w:tcPr>
          <w:p w14:paraId="7C0804F4" w14:textId="77777777" w:rsidR="00FB28D8" w:rsidRPr="00B0658A" w:rsidRDefault="00FB28D8" w:rsidP="000A4114">
            <w:pPr>
              <w:spacing w:after="0" w:line="240" w:lineRule="auto"/>
              <w:rPr>
                <w:rFonts w:ascii="Times New Roman" w:hAnsi="Times New Roman"/>
                <w:i/>
                <w:iCs/>
                <w:sz w:val="20"/>
                <w:szCs w:val="20"/>
              </w:rPr>
            </w:pPr>
            <w:r w:rsidRPr="00B0658A">
              <w:rPr>
                <w:rFonts w:ascii="Times New Roman" w:hAnsi="Times New Roman"/>
                <w:i/>
                <w:sz w:val="20"/>
                <w:szCs w:val="20"/>
              </w:rPr>
              <w:t>Указывается класс (тип) №</w:t>
            </w:r>
            <w:r w:rsidRPr="00B0658A">
              <w:rPr>
                <w:rFonts w:ascii="Times New Roman" w:hAnsi="Times New Roman"/>
                <w:i/>
                <w:sz w:val="20"/>
                <w:szCs w:val="20"/>
                <w:lang w:val="en-US"/>
              </w:rPr>
              <w:t>n</w:t>
            </w:r>
            <w:r w:rsidRPr="00B0658A">
              <w:rPr>
                <w:rFonts w:ascii="Times New Roman" w:hAnsi="Times New Roman"/>
                <w:i/>
                <w:sz w:val="20"/>
                <w:szCs w:val="20"/>
              </w:rPr>
              <w:t xml:space="preserve"> ПО, используемого на значимом объекте КИИ №1 в соответствии с утвержденным детализированным</w:t>
            </w:r>
            <w:r w:rsidRPr="00B0658A">
              <w:rPr>
                <w:rFonts w:ascii="Times New Roman" w:hAnsi="Times New Roman"/>
                <w:i/>
                <w:iCs/>
                <w:sz w:val="20"/>
                <w:szCs w:val="20"/>
              </w:rPr>
              <w:t xml:space="preserve"> планом перехода </w:t>
            </w:r>
            <w:r w:rsidR="00D37F0E" w:rsidRPr="00B0658A">
              <w:rPr>
                <w:rFonts w:ascii="Times New Roman" w:hAnsi="Times New Roman"/>
                <w:i/>
                <w:iCs/>
                <w:sz w:val="20"/>
                <w:szCs w:val="20"/>
              </w:rPr>
              <w:t xml:space="preserve">подведомственной организации </w:t>
            </w:r>
            <w:r w:rsidRPr="00B0658A">
              <w:rPr>
                <w:rFonts w:ascii="Times New Roman" w:hAnsi="Times New Roman"/>
                <w:i/>
                <w:iCs/>
                <w:sz w:val="20"/>
                <w:szCs w:val="20"/>
              </w:rPr>
              <w:t>на использование российского ПО на значимых объектах КИИ</w:t>
            </w:r>
          </w:p>
        </w:tc>
        <w:tc>
          <w:tcPr>
            <w:tcW w:w="508" w:type="pct"/>
          </w:tcPr>
          <w:p w14:paraId="5AB2FEEC" w14:textId="77777777" w:rsidR="00FB28D8" w:rsidRPr="00B0658A" w:rsidRDefault="00FB28D8" w:rsidP="000A4114">
            <w:pPr>
              <w:spacing w:after="0" w:line="240" w:lineRule="auto"/>
              <w:rPr>
                <w:rFonts w:ascii="Times New Roman" w:hAnsi="Times New Roman"/>
                <w:i/>
                <w:iCs/>
                <w:sz w:val="20"/>
                <w:szCs w:val="20"/>
              </w:rPr>
            </w:pPr>
          </w:p>
        </w:tc>
        <w:tc>
          <w:tcPr>
            <w:tcW w:w="1118" w:type="pct"/>
            <w:shd w:val="clear" w:color="auto" w:fill="auto"/>
          </w:tcPr>
          <w:p w14:paraId="1FEA8E5C" w14:textId="77777777" w:rsidR="00FB28D8" w:rsidRPr="00B0658A" w:rsidRDefault="00FB28D8" w:rsidP="000A4114">
            <w:pPr>
              <w:spacing w:after="0" w:line="240" w:lineRule="auto"/>
              <w:rPr>
                <w:rFonts w:ascii="Times New Roman" w:hAnsi="Times New Roman"/>
                <w:i/>
                <w:iCs/>
                <w:sz w:val="20"/>
                <w:szCs w:val="20"/>
              </w:rPr>
            </w:pPr>
          </w:p>
        </w:tc>
        <w:tc>
          <w:tcPr>
            <w:tcW w:w="1062" w:type="pct"/>
            <w:shd w:val="clear" w:color="auto" w:fill="auto"/>
          </w:tcPr>
          <w:p w14:paraId="0464251C" w14:textId="77777777" w:rsidR="00FB28D8" w:rsidRPr="00B0658A" w:rsidRDefault="00FB28D8" w:rsidP="000A4114">
            <w:pPr>
              <w:spacing w:after="0" w:line="240" w:lineRule="auto"/>
              <w:rPr>
                <w:rFonts w:ascii="Times New Roman" w:hAnsi="Times New Roman"/>
                <w:i/>
                <w:iCs/>
                <w:sz w:val="20"/>
                <w:szCs w:val="20"/>
              </w:rPr>
            </w:pPr>
          </w:p>
        </w:tc>
        <w:tc>
          <w:tcPr>
            <w:tcW w:w="941" w:type="pct"/>
            <w:shd w:val="clear" w:color="auto" w:fill="auto"/>
          </w:tcPr>
          <w:p w14:paraId="10F053CE" w14:textId="77777777" w:rsidR="00FB28D8" w:rsidRPr="00B0658A" w:rsidRDefault="00FB28D8" w:rsidP="000A4114">
            <w:pPr>
              <w:spacing w:after="0" w:line="240" w:lineRule="auto"/>
              <w:jc w:val="both"/>
              <w:rPr>
                <w:rFonts w:ascii="Times New Roman" w:hAnsi="Times New Roman"/>
                <w:i/>
                <w:iCs/>
                <w:sz w:val="20"/>
                <w:szCs w:val="20"/>
              </w:rPr>
            </w:pPr>
          </w:p>
        </w:tc>
      </w:tr>
      <w:tr w:rsidR="00F52FED" w:rsidRPr="00B0658A" w14:paraId="240EB537" w14:textId="77777777" w:rsidTr="00B10FDE">
        <w:trPr>
          <w:trHeight w:val="170"/>
        </w:trPr>
        <w:tc>
          <w:tcPr>
            <w:tcW w:w="5000" w:type="pct"/>
            <w:gridSpan w:val="6"/>
            <w:shd w:val="clear" w:color="auto" w:fill="auto"/>
            <w:vAlign w:val="center"/>
          </w:tcPr>
          <w:p w14:paraId="17E76B5E" w14:textId="77777777" w:rsidR="00FB28D8" w:rsidRPr="00B0658A" w:rsidRDefault="00FB28D8" w:rsidP="00CB1F35">
            <w:pPr>
              <w:pStyle w:val="afd"/>
              <w:numPr>
                <w:ilvl w:val="0"/>
                <w:numId w:val="28"/>
              </w:numPr>
              <w:spacing w:after="0" w:line="240" w:lineRule="auto"/>
              <w:ind w:left="318" w:hanging="284"/>
              <w:rPr>
                <w:rFonts w:ascii="Times New Roman" w:hAnsi="Times New Roman"/>
                <w:i/>
                <w:iCs/>
                <w:sz w:val="20"/>
                <w:szCs w:val="20"/>
              </w:rPr>
            </w:pPr>
            <w:r w:rsidRPr="00B0658A">
              <w:rPr>
                <w:rFonts w:ascii="Times New Roman" w:hAnsi="Times New Roman"/>
                <w:b/>
                <w:sz w:val="20"/>
                <w:szCs w:val="20"/>
              </w:rPr>
              <w:t>Сведения о достижении показателей эффективности перехода в отношении ________ (наименование значимого объекта КИИ №2)</w:t>
            </w:r>
          </w:p>
        </w:tc>
      </w:tr>
      <w:tr w:rsidR="00F52FED" w:rsidRPr="00B0658A" w14:paraId="0776DD9E" w14:textId="77777777" w:rsidTr="00B10FDE">
        <w:trPr>
          <w:trHeight w:val="170"/>
        </w:trPr>
        <w:tc>
          <w:tcPr>
            <w:tcW w:w="197" w:type="pct"/>
            <w:shd w:val="clear" w:color="auto" w:fill="auto"/>
            <w:vAlign w:val="center"/>
          </w:tcPr>
          <w:p w14:paraId="634ABE11" w14:textId="77777777" w:rsidR="00FB28D8" w:rsidRPr="00B0658A" w:rsidRDefault="00FB28D8" w:rsidP="000A4114">
            <w:pPr>
              <w:spacing w:after="0" w:line="240" w:lineRule="auto"/>
              <w:rPr>
                <w:rFonts w:ascii="Times New Roman" w:hAnsi="Times New Roman"/>
                <w:sz w:val="20"/>
                <w:szCs w:val="20"/>
              </w:rPr>
            </w:pPr>
            <w:r w:rsidRPr="00B0658A">
              <w:rPr>
                <w:rFonts w:ascii="Times New Roman" w:hAnsi="Times New Roman"/>
                <w:sz w:val="20"/>
                <w:szCs w:val="20"/>
                <w:lang w:val="en-US"/>
              </w:rPr>
              <w:t>2</w:t>
            </w:r>
            <w:r w:rsidRPr="00B0658A">
              <w:rPr>
                <w:rFonts w:ascii="Times New Roman" w:hAnsi="Times New Roman"/>
                <w:sz w:val="20"/>
                <w:szCs w:val="20"/>
              </w:rPr>
              <w:t>.1</w:t>
            </w:r>
          </w:p>
        </w:tc>
        <w:tc>
          <w:tcPr>
            <w:tcW w:w="1174" w:type="pct"/>
            <w:shd w:val="clear" w:color="auto" w:fill="auto"/>
            <w:vAlign w:val="center"/>
          </w:tcPr>
          <w:p w14:paraId="456A9021" w14:textId="77777777" w:rsidR="00FB28D8" w:rsidRPr="00B0658A" w:rsidRDefault="00FB28D8" w:rsidP="000A4114">
            <w:pPr>
              <w:spacing w:after="0" w:line="240" w:lineRule="auto"/>
              <w:rPr>
                <w:rFonts w:ascii="Times New Roman" w:hAnsi="Times New Roman"/>
                <w:i/>
                <w:iCs/>
                <w:sz w:val="20"/>
                <w:szCs w:val="20"/>
              </w:rPr>
            </w:pPr>
            <w:r w:rsidRPr="00B0658A">
              <w:rPr>
                <w:rFonts w:ascii="Times New Roman" w:hAnsi="Times New Roman"/>
                <w:i/>
                <w:sz w:val="20"/>
                <w:szCs w:val="20"/>
              </w:rPr>
              <w:t>Указывается класс (тип) №1 ПО, используемого на значимом объекте КИИ №2 в соответствии с утвержденным детализированным</w:t>
            </w:r>
            <w:r w:rsidRPr="00B0658A">
              <w:rPr>
                <w:rFonts w:ascii="Times New Roman" w:hAnsi="Times New Roman"/>
                <w:i/>
                <w:iCs/>
                <w:sz w:val="20"/>
                <w:szCs w:val="20"/>
              </w:rPr>
              <w:t xml:space="preserve"> планом перехода </w:t>
            </w:r>
            <w:r w:rsidR="00D37F0E" w:rsidRPr="00B0658A">
              <w:rPr>
                <w:rFonts w:ascii="Times New Roman" w:hAnsi="Times New Roman"/>
                <w:i/>
                <w:iCs/>
                <w:sz w:val="20"/>
                <w:szCs w:val="20"/>
              </w:rPr>
              <w:t xml:space="preserve">подведомственной организации </w:t>
            </w:r>
            <w:r w:rsidRPr="00B0658A">
              <w:rPr>
                <w:rFonts w:ascii="Times New Roman" w:hAnsi="Times New Roman"/>
                <w:i/>
                <w:iCs/>
                <w:sz w:val="20"/>
                <w:szCs w:val="20"/>
              </w:rPr>
              <w:t>на использование российского ПО на значимых объектах КИИ</w:t>
            </w:r>
          </w:p>
        </w:tc>
        <w:tc>
          <w:tcPr>
            <w:tcW w:w="508" w:type="pct"/>
          </w:tcPr>
          <w:p w14:paraId="242828CB" w14:textId="77777777" w:rsidR="00FB28D8" w:rsidRPr="00B0658A" w:rsidRDefault="00FB28D8" w:rsidP="000A4114">
            <w:pPr>
              <w:spacing w:after="0" w:line="240" w:lineRule="auto"/>
              <w:rPr>
                <w:rFonts w:ascii="Times New Roman" w:hAnsi="Times New Roman"/>
                <w:i/>
                <w:iCs/>
                <w:sz w:val="20"/>
                <w:szCs w:val="20"/>
              </w:rPr>
            </w:pPr>
          </w:p>
        </w:tc>
        <w:tc>
          <w:tcPr>
            <w:tcW w:w="1118" w:type="pct"/>
            <w:shd w:val="clear" w:color="auto" w:fill="auto"/>
          </w:tcPr>
          <w:p w14:paraId="33B1AF51" w14:textId="77777777" w:rsidR="00FB28D8" w:rsidRPr="00B0658A" w:rsidRDefault="00FB28D8" w:rsidP="000A4114">
            <w:pPr>
              <w:spacing w:after="0" w:line="240" w:lineRule="auto"/>
              <w:rPr>
                <w:rFonts w:ascii="Times New Roman" w:hAnsi="Times New Roman"/>
                <w:i/>
                <w:iCs/>
                <w:sz w:val="20"/>
                <w:szCs w:val="20"/>
              </w:rPr>
            </w:pPr>
          </w:p>
        </w:tc>
        <w:tc>
          <w:tcPr>
            <w:tcW w:w="1062" w:type="pct"/>
            <w:shd w:val="clear" w:color="auto" w:fill="auto"/>
          </w:tcPr>
          <w:p w14:paraId="429F7969" w14:textId="77777777" w:rsidR="00FB28D8" w:rsidRPr="00B0658A" w:rsidRDefault="00FB28D8" w:rsidP="000A4114">
            <w:pPr>
              <w:spacing w:after="0" w:line="240" w:lineRule="auto"/>
              <w:rPr>
                <w:rFonts w:ascii="Times New Roman" w:hAnsi="Times New Roman"/>
                <w:i/>
                <w:iCs/>
                <w:sz w:val="20"/>
                <w:szCs w:val="20"/>
              </w:rPr>
            </w:pPr>
          </w:p>
        </w:tc>
        <w:tc>
          <w:tcPr>
            <w:tcW w:w="941" w:type="pct"/>
            <w:shd w:val="clear" w:color="auto" w:fill="auto"/>
          </w:tcPr>
          <w:p w14:paraId="7B0199D1" w14:textId="77777777" w:rsidR="00FB28D8" w:rsidRPr="00B0658A" w:rsidRDefault="00FB28D8" w:rsidP="000A4114">
            <w:pPr>
              <w:spacing w:after="0" w:line="240" w:lineRule="auto"/>
              <w:jc w:val="both"/>
              <w:rPr>
                <w:rFonts w:ascii="Times New Roman" w:hAnsi="Times New Roman"/>
                <w:i/>
                <w:iCs/>
                <w:sz w:val="20"/>
                <w:szCs w:val="20"/>
              </w:rPr>
            </w:pPr>
          </w:p>
        </w:tc>
      </w:tr>
      <w:tr w:rsidR="00F52FED" w:rsidRPr="00B0658A" w14:paraId="51FF379E" w14:textId="77777777" w:rsidTr="00B10FDE">
        <w:trPr>
          <w:trHeight w:val="170"/>
        </w:trPr>
        <w:tc>
          <w:tcPr>
            <w:tcW w:w="197" w:type="pct"/>
            <w:shd w:val="clear" w:color="auto" w:fill="auto"/>
            <w:vAlign w:val="center"/>
          </w:tcPr>
          <w:p w14:paraId="76209F15" w14:textId="77777777" w:rsidR="00FB28D8" w:rsidRPr="00B0658A" w:rsidRDefault="00FB28D8" w:rsidP="000A4114">
            <w:pPr>
              <w:spacing w:after="0" w:line="240" w:lineRule="auto"/>
              <w:rPr>
                <w:rFonts w:ascii="Times New Roman" w:hAnsi="Times New Roman"/>
                <w:sz w:val="20"/>
                <w:szCs w:val="20"/>
                <w:lang w:val="en-US"/>
              </w:rPr>
            </w:pPr>
            <w:r w:rsidRPr="00B0658A">
              <w:rPr>
                <w:rFonts w:ascii="Times New Roman" w:hAnsi="Times New Roman"/>
                <w:sz w:val="20"/>
                <w:szCs w:val="20"/>
                <w:lang w:val="en-US"/>
              </w:rPr>
              <w:t>2</w:t>
            </w:r>
            <w:r w:rsidRPr="00B0658A">
              <w:rPr>
                <w:rFonts w:ascii="Times New Roman" w:hAnsi="Times New Roman"/>
                <w:sz w:val="20"/>
                <w:szCs w:val="20"/>
              </w:rPr>
              <w:t>.</w:t>
            </w:r>
            <w:r w:rsidRPr="00B0658A">
              <w:rPr>
                <w:rFonts w:ascii="Times New Roman" w:hAnsi="Times New Roman"/>
                <w:sz w:val="20"/>
                <w:szCs w:val="20"/>
                <w:lang w:val="en-US"/>
              </w:rPr>
              <w:t>2</w:t>
            </w:r>
          </w:p>
        </w:tc>
        <w:tc>
          <w:tcPr>
            <w:tcW w:w="1174" w:type="pct"/>
            <w:shd w:val="clear" w:color="auto" w:fill="auto"/>
            <w:vAlign w:val="center"/>
          </w:tcPr>
          <w:p w14:paraId="5C83DAAB" w14:textId="77777777" w:rsidR="00FB28D8" w:rsidRPr="00B0658A" w:rsidRDefault="00FB28D8" w:rsidP="000A4114">
            <w:pPr>
              <w:spacing w:after="0" w:line="240" w:lineRule="auto"/>
              <w:rPr>
                <w:rFonts w:ascii="Times New Roman" w:hAnsi="Times New Roman"/>
                <w:i/>
                <w:iCs/>
                <w:sz w:val="20"/>
                <w:szCs w:val="20"/>
              </w:rPr>
            </w:pPr>
            <w:r w:rsidRPr="00B0658A">
              <w:rPr>
                <w:rFonts w:ascii="Times New Roman" w:hAnsi="Times New Roman"/>
                <w:i/>
                <w:sz w:val="20"/>
                <w:szCs w:val="20"/>
              </w:rPr>
              <w:t xml:space="preserve">Указывается класс (тип) №2 ПО, используемого на значимом объекте КИИ №2 в соответствии с утвержденным детализированным </w:t>
            </w:r>
            <w:r w:rsidRPr="00B0658A">
              <w:rPr>
                <w:rFonts w:ascii="Times New Roman" w:hAnsi="Times New Roman"/>
                <w:i/>
                <w:iCs/>
                <w:sz w:val="20"/>
                <w:szCs w:val="20"/>
              </w:rPr>
              <w:t xml:space="preserve">планом перехода </w:t>
            </w:r>
            <w:r w:rsidR="00D37F0E" w:rsidRPr="00B0658A">
              <w:rPr>
                <w:rFonts w:ascii="Times New Roman" w:hAnsi="Times New Roman"/>
                <w:i/>
                <w:iCs/>
                <w:sz w:val="20"/>
                <w:szCs w:val="20"/>
              </w:rPr>
              <w:t xml:space="preserve">подведомственной организации </w:t>
            </w:r>
            <w:r w:rsidRPr="00B0658A">
              <w:rPr>
                <w:rFonts w:ascii="Times New Roman" w:hAnsi="Times New Roman"/>
                <w:i/>
                <w:iCs/>
                <w:sz w:val="20"/>
                <w:szCs w:val="20"/>
              </w:rPr>
              <w:t>на использование российского ПО на значимых объектах КИИ</w:t>
            </w:r>
          </w:p>
        </w:tc>
        <w:tc>
          <w:tcPr>
            <w:tcW w:w="508" w:type="pct"/>
          </w:tcPr>
          <w:p w14:paraId="4968BDA5" w14:textId="77777777" w:rsidR="00FB28D8" w:rsidRPr="00B0658A" w:rsidRDefault="00FB28D8" w:rsidP="000A4114">
            <w:pPr>
              <w:spacing w:after="0" w:line="240" w:lineRule="auto"/>
              <w:rPr>
                <w:rFonts w:ascii="Times New Roman" w:hAnsi="Times New Roman"/>
                <w:i/>
                <w:iCs/>
                <w:sz w:val="20"/>
                <w:szCs w:val="20"/>
              </w:rPr>
            </w:pPr>
          </w:p>
        </w:tc>
        <w:tc>
          <w:tcPr>
            <w:tcW w:w="1118" w:type="pct"/>
            <w:shd w:val="clear" w:color="auto" w:fill="auto"/>
          </w:tcPr>
          <w:p w14:paraId="52402F84" w14:textId="77777777" w:rsidR="00FB28D8" w:rsidRPr="00B0658A" w:rsidRDefault="00FB28D8" w:rsidP="000A4114">
            <w:pPr>
              <w:spacing w:after="0" w:line="240" w:lineRule="auto"/>
              <w:rPr>
                <w:rFonts w:ascii="Times New Roman" w:hAnsi="Times New Roman"/>
                <w:i/>
                <w:iCs/>
                <w:sz w:val="20"/>
                <w:szCs w:val="20"/>
              </w:rPr>
            </w:pPr>
          </w:p>
        </w:tc>
        <w:tc>
          <w:tcPr>
            <w:tcW w:w="1062" w:type="pct"/>
            <w:shd w:val="clear" w:color="auto" w:fill="auto"/>
          </w:tcPr>
          <w:p w14:paraId="036BCD39" w14:textId="77777777" w:rsidR="00FB28D8" w:rsidRPr="00B0658A" w:rsidRDefault="00FB28D8" w:rsidP="000A4114">
            <w:pPr>
              <w:spacing w:after="0" w:line="240" w:lineRule="auto"/>
              <w:rPr>
                <w:rFonts w:ascii="Times New Roman" w:hAnsi="Times New Roman"/>
                <w:i/>
                <w:iCs/>
                <w:sz w:val="20"/>
                <w:szCs w:val="20"/>
              </w:rPr>
            </w:pPr>
          </w:p>
        </w:tc>
        <w:tc>
          <w:tcPr>
            <w:tcW w:w="941" w:type="pct"/>
            <w:shd w:val="clear" w:color="auto" w:fill="auto"/>
          </w:tcPr>
          <w:p w14:paraId="59ACB742" w14:textId="77777777" w:rsidR="00FB28D8" w:rsidRPr="00B0658A" w:rsidRDefault="00FB28D8" w:rsidP="000A4114">
            <w:pPr>
              <w:spacing w:after="0" w:line="240" w:lineRule="auto"/>
              <w:jc w:val="both"/>
              <w:rPr>
                <w:rFonts w:ascii="Times New Roman" w:hAnsi="Times New Roman"/>
                <w:i/>
                <w:iCs/>
                <w:sz w:val="20"/>
                <w:szCs w:val="20"/>
              </w:rPr>
            </w:pPr>
          </w:p>
        </w:tc>
      </w:tr>
      <w:tr w:rsidR="00F52FED" w:rsidRPr="00B0658A" w14:paraId="06F34687" w14:textId="77777777" w:rsidTr="00B10FDE">
        <w:trPr>
          <w:trHeight w:val="170"/>
        </w:trPr>
        <w:tc>
          <w:tcPr>
            <w:tcW w:w="197" w:type="pct"/>
            <w:shd w:val="clear" w:color="auto" w:fill="auto"/>
            <w:vAlign w:val="center"/>
          </w:tcPr>
          <w:p w14:paraId="47057DAB" w14:textId="77777777" w:rsidR="00FB28D8" w:rsidRPr="00B0658A" w:rsidRDefault="00FB28D8" w:rsidP="000A4114">
            <w:pPr>
              <w:spacing w:after="0" w:line="240" w:lineRule="auto"/>
              <w:rPr>
                <w:rFonts w:ascii="Times New Roman" w:hAnsi="Times New Roman"/>
                <w:sz w:val="20"/>
                <w:szCs w:val="20"/>
                <w:lang w:val="en-US"/>
              </w:rPr>
            </w:pPr>
            <w:r w:rsidRPr="00B0658A">
              <w:rPr>
                <w:rFonts w:ascii="Times New Roman" w:hAnsi="Times New Roman"/>
                <w:sz w:val="20"/>
                <w:szCs w:val="20"/>
                <w:lang w:val="en-US"/>
              </w:rPr>
              <w:t>..</w:t>
            </w:r>
          </w:p>
        </w:tc>
        <w:tc>
          <w:tcPr>
            <w:tcW w:w="1174" w:type="pct"/>
            <w:shd w:val="clear" w:color="auto" w:fill="auto"/>
            <w:vAlign w:val="center"/>
          </w:tcPr>
          <w:p w14:paraId="38B2D7B9" w14:textId="77777777" w:rsidR="00FB28D8" w:rsidRPr="00B0658A" w:rsidRDefault="00FB28D8" w:rsidP="000A4114">
            <w:pPr>
              <w:spacing w:after="0" w:line="240" w:lineRule="auto"/>
              <w:rPr>
                <w:rFonts w:ascii="Times New Roman" w:hAnsi="Times New Roman"/>
                <w:i/>
                <w:iCs/>
                <w:sz w:val="20"/>
                <w:szCs w:val="20"/>
              </w:rPr>
            </w:pPr>
          </w:p>
        </w:tc>
        <w:tc>
          <w:tcPr>
            <w:tcW w:w="508" w:type="pct"/>
          </w:tcPr>
          <w:p w14:paraId="400A9C70" w14:textId="77777777" w:rsidR="00FB28D8" w:rsidRPr="00B0658A" w:rsidRDefault="00FB28D8" w:rsidP="000A4114">
            <w:pPr>
              <w:spacing w:after="0" w:line="240" w:lineRule="auto"/>
              <w:rPr>
                <w:rFonts w:ascii="Times New Roman" w:hAnsi="Times New Roman"/>
                <w:i/>
                <w:iCs/>
                <w:sz w:val="20"/>
                <w:szCs w:val="20"/>
              </w:rPr>
            </w:pPr>
          </w:p>
        </w:tc>
        <w:tc>
          <w:tcPr>
            <w:tcW w:w="1118" w:type="pct"/>
            <w:shd w:val="clear" w:color="auto" w:fill="auto"/>
          </w:tcPr>
          <w:p w14:paraId="7220526C" w14:textId="77777777" w:rsidR="00FB28D8" w:rsidRPr="00B0658A" w:rsidRDefault="00FB28D8" w:rsidP="000A4114">
            <w:pPr>
              <w:spacing w:after="0" w:line="240" w:lineRule="auto"/>
              <w:rPr>
                <w:rFonts w:ascii="Times New Roman" w:hAnsi="Times New Roman"/>
                <w:i/>
                <w:iCs/>
                <w:sz w:val="20"/>
                <w:szCs w:val="20"/>
              </w:rPr>
            </w:pPr>
          </w:p>
        </w:tc>
        <w:tc>
          <w:tcPr>
            <w:tcW w:w="1062" w:type="pct"/>
            <w:shd w:val="clear" w:color="auto" w:fill="auto"/>
          </w:tcPr>
          <w:p w14:paraId="5D06DBFD" w14:textId="77777777" w:rsidR="00FB28D8" w:rsidRPr="00B0658A" w:rsidRDefault="00FB28D8" w:rsidP="000A4114">
            <w:pPr>
              <w:spacing w:after="0" w:line="240" w:lineRule="auto"/>
              <w:rPr>
                <w:rFonts w:ascii="Times New Roman" w:hAnsi="Times New Roman"/>
                <w:i/>
                <w:iCs/>
                <w:sz w:val="20"/>
                <w:szCs w:val="20"/>
              </w:rPr>
            </w:pPr>
          </w:p>
        </w:tc>
        <w:tc>
          <w:tcPr>
            <w:tcW w:w="941" w:type="pct"/>
            <w:shd w:val="clear" w:color="auto" w:fill="auto"/>
          </w:tcPr>
          <w:p w14:paraId="6B326255" w14:textId="77777777" w:rsidR="00FB28D8" w:rsidRPr="00B0658A" w:rsidRDefault="00FB28D8" w:rsidP="000A4114">
            <w:pPr>
              <w:spacing w:after="0" w:line="240" w:lineRule="auto"/>
              <w:jc w:val="both"/>
              <w:rPr>
                <w:rFonts w:ascii="Times New Roman" w:hAnsi="Times New Roman"/>
                <w:i/>
                <w:iCs/>
                <w:sz w:val="20"/>
                <w:szCs w:val="20"/>
              </w:rPr>
            </w:pPr>
          </w:p>
        </w:tc>
      </w:tr>
      <w:tr w:rsidR="00F52FED" w:rsidRPr="00B0658A" w14:paraId="14E7056F" w14:textId="77777777" w:rsidTr="00B10FDE">
        <w:trPr>
          <w:trHeight w:val="170"/>
        </w:trPr>
        <w:tc>
          <w:tcPr>
            <w:tcW w:w="197" w:type="pct"/>
            <w:shd w:val="clear" w:color="auto" w:fill="auto"/>
            <w:vAlign w:val="center"/>
          </w:tcPr>
          <w:p w14:paraId="3DE54F08" w14:textId="77777777" w:rsidR="00FB28D8" w:rsidRPr="00B0658A" w:rsidRDefault="00FB28D8" w:rsidP="000A4114">
            <w:pPr>
              <w:spacing w:after="0" w:line="240" w:lineRule="auto"/>
              <w:rPr>
                <w:rFonts w:ascii="Times New Roman" w:hAnsi="Times New Roman"/>
                <w:sz w:val="20"/>
                <w:szCs w:val="20"/>
              </w:rPr>
            </w:pPr>
            <w:r w:rsidRPr="00B0658A">
              <w:rPr>
                <w:rFonts w:ascii="Times New Roman" w:hAnsi="Times New Roman"/>
                <w:sz w:val="20"/>
                <w:szCs w:val="20"/>
                <w:lang w:val="en-US"/>
              </w:rPr>
              <w:t>2</w:t>
            </w:r>
            <w:r w:rsidRPr="00B0658A">
              <w:rPr>
                <w:rFonts w:ascii="Times New Roman" w:hAnsi="Times New Roman"/>
                <w:sz w:val="20"/>
                <w:szCs w:val="20"/>
              </w:rPr>
              <w:t>.</w:t>
            </w:r>
            <w:r w:rsidRPr="00B0658A">
              <w:rPr>
                <w:rFonts w:ascii="Times New Roman" w:hAnsi="Times New Roman"/>
                <w:sz w:val="20"/>
                <w:szCs w:val="20"/>
                <w:lang w:val="en-US"/>
              </w:rPr>
              <w:t>n</w:t>
            </w:r>
          </w:p>
        </w:tc>
        <w:tc>
          <w:tcPr>
            <w:tcW w:w="1174" w:type="pct"/>
            <w:shd w:val="clear" w:color="auto" w:fill="auto"/>
            <w:vAlign w:val="center"/>
          </w:tcPr>
          <w:p w14:paraId="2115C345" w14:textId="77777777" w:rsidR="00FB28D8" w:rsidRPr="00B0658A" w:rsidRDefault="00FB28D8" w:rsidP="000A4114">
            <w:pPr>
              <w:spacing w:after="0" w:line="240" w:lineRule="auto"/>
              <w:rPr>
                <w:rFonts w:ascii="Times New Roman" w:hAnsi="Times New Roman"/>
                <w:i/>
                <w:iCs/>
                <w:sz w:val="20"/>
                <w:szCs w:val="20"/>
              </w:rPr>
            </w:pPr>
            <w:r w:rsidRPr="00B0658A">
              <w:rPr>
                <w:rFonts w:ascii="Times New Roman" w:hAnsi="Times New Roman"/>
                <w:i/>
                <w:sz w:val="20"/>
                <w:szCs w:val="20"/>
              </w:rPr>
              <w:t xml:space="preserve">Указывается класс (тип) № </w:t>
            </w:r>
            <w:r w:rsidRPr="00B0658A">
              <w:rPr>
                <w:rFonts w:ascii="Times New Roman" w:hAnsi="Times New Roman"/>
                <w:i/>
                <w:sz w:val="20"/>
                <w:szCs w:val="20"/>
                <w:lang w:val="en-US"/>
              </w:rPr>
              <w:t>n</w:t>
            </w:r>
            <w:r w:rsidRPr="00B0658A">
              <w:rPr>
                <w:rFonts w:ascii="Times New Roman" w:hAnsi="Times New Roman"/>
                <w:i/>
                <w:sz w:val="20"/>
                <w:szCs w:val="20"/>
              </w:rPr>
              <w:t xml:space="preserve"> ПО, используемого на значимом объекте КИИ №2 в соответствии с утвержденным детализированным </w:t>
            </w:r>
            <w:r w:rsidRPr="00B0658A">
              <w:rPr>
                <w:rFonts w:ascii="Times New Roman" w:hAnsi="Times New Roman"/>
                <w:i/>
                <w:iCs/>
                <w:sz w:val="20"/>
                <w:szCs w:val="20"/>
              </w:rPr>
              <w:t xml:space="preserve">планом перехода </w:t>
            </w:r>
            <w:r w:rsidR="00D37F0E" w:rsidRPr="00B0658A">
              <w:rPr>
                <w:rFonts w:ascii="Times New Roman" w:hAnsi="Times New Roman"/>
                <w:i/>
                <w:iCs/>
                <w:sz w:val="20"/>
                <w:szCs w:val="20"/>
              </w:rPr>
              <w:t xml:space="preserve">подведомственной организации </w:t>
            </w:r>
            <w:r w:rsidRPr="00B0658A">
              <w:rPr>
                <w:rFonts w:ascii="Times New Roman" w:hAnsi="Times New Roman"/>
                <w:i/>
                <w:iCs/>
                <w:sz w:val="20"/>
                <w:szCs w:val="20"/>
              </w:rPr>
              <w:t>на использование российского ПО на значимых объектах КИИ</w:t>
            </w:r>
          </w:p>
        </w:tc>
        <w:tc>
          <w:tcPr>
            <w:tcW w:w="508" w:type="pct"/>
          </w:tcPr>
          <w:p w14:paraId="5AF0EDFB" w14:textId="77777777" w:rsidR="00FB28D8" w:rsidRPr="00B0658A" w:rsidRDefault="00FB28D8" w:rsidP="000A4114">
            <w:pPr>
              <w:spacing w:after="0" w:line="240" w:lineRule="auto"/>
              <w:rPr>
                <w:rFonts w:ascii="Times New Roman" w:hAnsi="Times New Roman"/>
                <w:i/>
                <w:iCs/>
                <w:sz w:val="20"/>
                <w:szCs w:val="20"/>
              </w:rPr>
            </w:pPr>
          </w:p>
        </w:tc>
        <w:tc>
          <w:tcPr>
            <w:tcW w:w="1118" w:type="pct"/>
            <w:shd w:val="clear" w:color="auto" w:fill="auto"/>
          </w:tcPr>
          <w:p w14:paraId="67E68DB3" w14:textId="77777777" w:rsidR="00FB28D8" w:rsidRPr="00B0658A" w:rsidRDefault="00FB28D8" w:rsidP="000A4114">
            <w:pPr>
              <w:spacing w:after="0" w:line="240" w:lineRule="auto"/>
              <w:rPr>
                <w:rFonts w:ascii="Times New Roman" w:hAnsi="Times New Roman"/>
                <w:i/>
                <w:iCs/>
                <w:sz w:val="20"/>
                <w:szCs w:val="20"/>
              </w:rPr>
            </w:pPr>
          </w:p>
        </w:tc>
        <w:tc>
          <w:tcPr>
            <w:tcW w:w="1062" w:type="pct"/>
            <w:shd w:val="clear" w:color="auto" w:fill="auto"/>
          </w:tcPr>
          <w:p w14:paraId="12D6EBDD" w14:textId="77777777" w:rsidR="00FB28D8" w:rsidRPr="00B0658A" w:rsidRDefault="00FB28D8" w:rsidP="000A4114">
            <w:pPr>
              <w:spacing w:after="0" w:line="240" w:lineRule="auto"/>
              <w:rPr>
                <w:rFonts w:ascii="Times New Roman" w:hAnsi="Times New Roman"/>
                <w:i/>
                <w:iCs/>
                <w:sz w:val="20"/>
                <w:szCs w:val="20"/>
              </w:rPr>
            </w:pPr>
          </w:p>
        </w:tc>
        <w:tc>
          <w:tcPr>
            <w:tcW w:w="941" w:type="pct"/>
            <w:shd w:val="clear" w:color="auto" w:fill="auto"/>
          </w:tcPr>
          <w:p w14:paraId="5A233CF9" w14:textId="77777777" w:rsidR="00FB28D8" w:rsidRPr="00B0658A" w:rsidRDefault="00FB28D8" w:rsidP="000A4114">
            <w:pPr>
              <w:spacing w:after="0" w:line="240" w:lineRule="auto"/>
              <w:jc w:val="both"/>
              <w:rPr>
                <w:rFonts w:ascii="Times New Roman" w:hAnsi="Times New Roman"/>
                <w:i/>
                <w:iCs/>
                <w:sz w:val="20"/>
                <w:szCs w:val="20"/>
              </w:rPr>
            </w:pPr>
          </w:p>
        </w:tc>
      </w:tr>
      <w:tr w:rsidR="00F52FED" w:rsidRPr="00B0658A" w14:paraId="69E31F79" w14:textId="77777777" w:rsidTr="00B10FDE">
        <w:trPr>
          <w:trHeight w:val="170"/>
        </w:trPr>
        <w:tc>
          <w:tcPr>
            <w:tcW w:w="197" w:type="pct"/>
            <w:shd w:val="clear" w:color="auto" w:fill="auto"/>
            <w:vAlign w:val="center"/>
          </w:tcPr>
          <w:p w14:paraId="7DC83927" w14:textId="77777777" w:rsidR="00FB28D8" w:rsidRPr="00B0658A" w:rsidRDefault="00FB28D8" w:rsidP="000A4114">
            <w:pPr>
              <w:spacing w:after="0" w:line="240" w:lineRule="auto"/>
              <w:rPr>
                <w:rFonts w:ascii="Times New Roman" w:hAnsi="Times New Roman"/>
                <w:sz w:val="20"/>
                <w:szCs w:val="20"/>
                <w:lang w:val="en-US"/>
              </w:rPr>
            </w:pPr>
            <w:r w:rsidRPr="00B0658A">
              <w:rPr>
                <w:rFonts w:ascii="Times New Roman" w:hAnsi="Times New Roman"/>
                <w:sz w:val="20"/>
                <w:szCs w:val="20"/>
                <w:lang w:val="en-US"/>
              </w:rPr>
              <w:t>…</w:t>
            </w:r>
          </w:p>
        </w:tc>
        <w:tc>
          <w:tcPr>
            <w:tcW w:w="1174" w:type="pct"/>
            <w:shd w:val="clear" w:color="auto" w:fill="auto"/>
            <w:vAlign w:val="center"/>
          </w:tcPr>
          <w:p w14:paraId="05459877" w14:textId="77777777" w:rsidR="00FB28D8" w:rsidRPr="00B0658A" w:rsidRDefault="00FB28D8" w:rsidP="000A4114">
            <w:pPr>
              <w:spacing w:after="0" w:line="240" w:lineRule="auto"/>
              <w:rPr>
                <w:rFonts w:ascii="Times New Roman" w:hAnsi="Times New Roman"/>
                <w:i/>
                <w:iCs/>
                <w:sz w:val="20"/>
                <w:szCs w:val="20"/>
              </w:rPr>
            </w:pPr>
          </w:p>
        </w:tc>
        <w:tc>
          <w:tcPr>
            <w:tcW w:w="508" w:type="pct"/>
          </w:tcPr>
          <w:p w14:paraId="59F6B41E" w14:textId="77777777" w:rsidR="00FB28D8" w:rsidRPr="00B0658A" w:rsidRDefault="00FB28D8" w:rsidP="000A4114">
            <w:pPr>
              <w:spacing w:after="0" w:line="240" w:lineRule="auto"/>
              <w:rPr>
                <w:rFonts w:ascii="Times New Roman" w:hAnsi="Times New Roman"/>
                <w:i/>
                <w:iCs/>
                <w:sz w:val="20"/>
                <w:szCs w:val="20"/>
              </w:rPr>
            </w:pPr>
          </w:p>
        </w:tc>
        <w:tc>
          <w:tcPr>
            <w:tcW w:w="1118" w:type="pct"/>
            <w:shd w:val="clear" w:color="auto" w:fill="auto"/>
          </w:tcPr>
          <w:p w14:paraId="6868C726" w14:textId="77777777" w:rsidR="00FB28D8" w:rsidRPr="00B0658A" w:rsidRDefault="00FB28D8" w:rsidP="000A4114">
            <w:pPr>
              <w:spacing w:after="0" w:line="240" w:lineRule="auto"/>
              <w:rPr>
                <w:rFonts w:ascii="Times New Roman" w:hAnsi="Times New Roman"/>
                <w:i/>
                <w:iCs/>
                <w:sz w:val="20"/>
                <w:szCs w:val="20"/>
              </w:rPr>
            </w:pPr>
          </w:p>
        </w:tc>
        <w:tc>
          <w:tcPr>
            <w:tcW w:w="1062" w:type="pct"/>
            <w:shd w:val="clear" w:color="auto" w:fill="auto"/>
          </w:tcPr>
          <w:p w14:paraId="16ACFE5C" w14:textId="77777777" w:rsidR="00FB28D8" w:rsidRPr="00B0658A" w:rsidRDefault="00FB28D8" w:rsidP="000A4114">
            <w:pPr>
              <w:spacing w:after="0" w:line="240" w:lineRule="auto"/>
              <w:rPr>
                <w:rFonts w:ascii="Times New Roman" w:hAnsi="Times New Roman"/>
                <w:i/>
                <w:iCs/>
                <w:sz w:val="20"/>
                <w:szCs w:val="20"/>
              </w:rPr>
            </w:pPr>
          </w:p>
        </w:tc>
        <w:tc>
          <w:tcPr>
            <w:tcW w:w="941" w:type="pct"/>
            <w:shd w:val="clear" w:color="auto" w:fill="auto"/>
          </w:tcPr>
          <w:p w14:paraId="05A6C513" w14:textId="77777777" w:rsidR="00FB28D8" w:rsidRPr="00B0658A" w:rsidRDefault="00FB28D8" w:rsidP="000A4114">
            <w:pPr>
              <w:spacing w:after="0" w:line="240" w:lineRule="auto"/>
              <w:jc w:val="both"/>
              <w:rPr>
                <w:rFonts w:ascii="Times New Roman" w:hAnsi="Times New Roman"/>
                <w:i/>
                <w:iCs/>
                <w:sz w:val="20"/>
                <w:szCs w:val="20"/>
              </w:rPr>
            </w:pPr>
          </w:p>
        </w:tc>
      </w:tr>
      <w:tr w:rsidR="00F52FED" w:rsidRPr="00B0658A" w14:paraId="05E9CFFA" w14:textId="77777777" w:rsidTr="00B10FDE">
        <w:trPr>
          <w:trHeight w:val="170"/>
        </w:trPr>
        <w:tc>
          <w:tcPr>
            <w:tcW w:w="5000" w:type="pct"/>
            <w:gridSpan w:val="6"/>
            <w:shd w:val="clear" w:color="auto" w:fill="auto"/>
            <w:vAlign w:val="center"/>
          </w:tcPr>
          <w:p w14:paraId="493B604A" w14:textId="77777777" w:rsidR="00FB28D8" w:rsidRPr="00B0658A" w:rsidRDefault="00FB28D8" w:rsidP="000A4114">
            <w:pPr>
              <w:spacing w:after="0" w:line="240" w:lineRule="auto"/>
              <w:rPr>
                <w:rFonts w:ascii="Times New Roman" w:hAnsi="Times New Roman"/>
                <w:i/>
                <w:iCs/>
                <w:sz w:val="20"/>
                <w:szCs w:val="20"/>
              </w:rPr>
            </w:pPr>
            <w:r w:rsidRPr="00B0658A">
              <w:rPr>
                <w:rFonts w:ascii="Times New Roman" w:hAnsi="Times New Roman"/>
                <w:b/>
                <w:sz w:val="20"/>
                <w:szCs w:val="20"/>
                <w:lang w:val="en-US"/>
              </w:rPr>
              <w:t>N</w:t>
            </w:r>
            <w:r w:rsidRPr="00B0658A">
              <w:rPr>
                <w:rFonts w:ascii="Times New Roman" w:hAnsi="Times New Roman"/>
                <w:b/>
                <w:sz w:val="20"/>
                <w:szCs w:val="20"/>
              </w:rPr>
              <w:t>. Сведения о достижении показателей эффективности перехода в отношении ________ (наименование значимого объекта КИИ №</w:t>
            </w:r>
            <w:r w:rsidRPr="00B0658A">
              <w:rPr>
                <w:rFonts w:ascii="Times New Roman" w:hAnsi="Times New Roman"/>
                <w:b/>
                <w:sz w:val="20"/>
                <w:szCs w:val="20"/>
                <w:lang w:val="en-US"/>
              </w:rPr>
              <w:t>N</w:t>
            </w:r>
            <w:r w:rsidRPr="00B0658A">
              <w:rPr>
                <w:rFonts w:ascii="Times New Roman" w:hAnsi="Times New Roman"/>
                <w:b/>
                <w:sz w:val="20"/>
                <w:szCs w:val="20"/>
              </w:rPr>
              <w:t>)</w:t>
            </w:r>
          </w:p>
        </w:tc>
      </w:tr>
      <w:tr w:rsidR="00F52FED" w:rsidRPr="00B0658A" w14:paraId="130B79B9" w14:textId="77777777" w:rsidTr="00B10FDE">
        <w:trPr>
          <w:trHeight w:val="170"/>
        </w:trPr>
        <w:tc>
          <w:tcPr>
            <w:tcW w:w="197" w:type="pct"/>
            <w:shd w:val="clear" w:color="auto" w:fill="auto"/>
            <w:vAlign w:val="center"/>
          </w:tcPr>
          <w:p w14:paraId="75DC5C2B" w14:textId="77777777" w:rsidR="00FB28D8" w:rsidRPr="00B0658A" w:rsidRDefault="00FB28D8" w:rsidP="000A4114">
            <w:pPr>
              <w:spacing w:after="0" w:line="240" w:lineRule="auto"/>
              <w:rPr>
                <w:rFonts w:ascii="Times New Roman" w:hAnsi="Times New Roman"/>
                <w:sz w:val="20"/>
                <w:szCs w:val="20"/>
              </w:rPr>
            </w:pPr>
            <w:r w:rsidRPr="00B0658A">
              <w:rPr>
                <w:rFonts w:ascii="Times New Roman" w:hAnsi="Times New Roman"/>
                <w:sz w:val="20"/>
                <w:szCs w:val="20"/>
                <w:lang w:val="en-US"/>
              </w:rPr>
              <w:t>N</w:t>
            </w:r>
            <w:r w:rsidRPr="00B0658A">
              <w:rPr>
                <w:rFonts w:ascii="Times New Roman" w:hAnsi="Times New Roman"/>
                <w:sz w:val="20"/>
                <w:szCs w:val="20"/>
              </w:rPr>
              <w:t>.1</w:t>
            </w:r>
          </w:p>
        </w:tc>
        <w:tc>
          <w:tcPr>
            <w:tcW w:w="1174" w:type="pct"/>
            <w:shd w:val="clear" w:color="auto" w:fill="auto"/>
            <w:vAlign w:val="center"/>
          </w:tcPr>
          <w:p w14:paraId="21C8E039" w14:textId="77777777" w:rsidR="00FB28D8" w:rsidRPr="00B0658A" w:rsidRDefault="00FB28D8" w:rsidP="000A4114">
            <w:pPr>
              <w:spacing w:after="0" w:line="240" w:lineRule="auto"/>
              <w:rPr>
                <w:rFonts w:ascii="Times New Roman" w:hAnsi="Times New Roman"/>
                <w:i/>
                <w:iCs/>
                <w:sz w:val="20"/>
                <w:szCs w:val="20"/>
              </w:rPr>
            </w:pPr>
            <w:r w:rsidRPr="00B0658A">
              <w:rPr>
                <w:rFonts w:ascii="Times New Roman" w:hAnsi="Times New Roman"/>
                <w:i/>
                <w:sz w:val="20"/>
                <w:szCs w:val="20"/>
              </w:rPr>
              <w:t>Указывается класс (тип) №1 ПО, используемого на значимом объекте КИИ №</w:t>
            </w:r>
            <w:r w:rsidRPr="00B0658A">
              <w:rPr>
                <w:rFonts w:ascii="Times New Roman" w:hAnsi="Times New Roman"/>
                <w:i/>
                <w:sz w:val="20"/>
                <w:szCs w:val="20"/>
                <w:lang w:val="en-US"/>
              </w:rPr>
              <w:t>N</w:t>
            </w:r>
            <w:r w:rsidRPr="00B0658A">
              <w:rPr>
                <w:rFonts w:ascii="Times New Roman" w:hAnsi="Times New Roman"/>
                <w:i/>
                <w:sz w:val="20"/>
                <w:szCs w:val="20"/>
              </w:rPr>
              <w:t xml:space="preserve"> в соответствии с утвержденным</w:t>
            </w:r>
            <w:r w:rsidRPr="00B0658A">
              <w:rPr>
                <w:rFonts w:ascii="Times New Roman" w:hAnsi="Times New Roman"/>
                <w:i/>
                <w:iCs/>
                <w:sz w:val="20"/>
                <w:szCs w:val="20"/>
              </w:rPr>
              <w:t xml:space="preserve"> детализированным планом перехода </w:t>
            </w:r>
            <w:r w:rsidR="00D37F0E" w:rsidRPr="00B0658A">
              <w:rPr>
                <w:rFonts w:ascii="Times New Roman" w:hAnsi="Times New Roman"/>
                <w:i/>
                <w:iCs/>
                <w:sz w:val="20"/>
                <w:szCs w:val="20"/>
              </w:rPr>
              <w:t xml:space="preserve">подведомственной организации </w:t>
            </w:r>
            <w:r w:rsidRPr="00B0658A">
              <w:rPr>
                <w:rFonts w:ascii="Times New Roman" w:hAnsi="Times New Roman"/>
                <w:i/>
                <w:iCs/>
                <w:sz w:val="20"/>
                <w:szCs w:val="20"/>
              </w:rPr>
              <w:t>на использование российского ПО на значимых объектах КИИ</w:t>
            </w:r>
          </w:p>
        </w:tc>
        <w:tc>
          <w:tcPr>
            <w:tcW w:w="508" w:type="pct"/>
          </w:tcPr>
          <w:p w14:paraId="324EB543" w14:textId="77777777" w:rsidR="00FB28D8" w:rsidRPr="00B0658A" w:rsidRDefault="00FB28D8" w:rsidP="000A4114">
            <w:pPr>
              <w:spacing w:after="0" w:line="240" w:lineRule="auto"/>
              <w:rPr>
                <w:rFonts w:ascii="Times New Roman" w:hAnsi="Times New Roman"/>
                <w:i/>
                <w:iCs/>
                <w:sz w:val="20"/>
                <w:szCs w:val="20"/>
              </w:rPr>
            </w:pPr>
          </w:p>
        </w:tc>
        <w:tc>
          <w:tcPr>
            <w:tcW w:w="1118" w:type="pct"/>
            <w:shd w:val="clear" w:color="auto" w:fill="auto"/>
          </w:tcPr>
          <w:p w14:paraId="108C9AEB" w14:textId="77777777" w:rsidR="00FB28D8" w:rsidRPr="00B0658A" w:rsidRDefault="00FB28D8" w:rsidP="000A4114">
            <w:pPr>
              <w:spacing w:after="0" w:line="240" w:lineRule="auto"/>
              <w:rPr>
                <w:rFonts w:ascii="Times New Roman" w:hAnsi="Times New Roman"/>
                <w:i/>
                <w:iCs/>
                <w:sz w:val="20"/>
                <w:szCs w:val="20"/>
              </w:rPr>
            </w:pPr>
          </w:p>
        </w:tc>
        <w:tc>
          <w:tcPr>
            <w:tcW w:w="1062" w:type="pct"/>
            <w:shd w:val="clear" w:color="auto" w:fill="auto"/>
          </w:tcPr>
          <w:p w14:paraId="7D1FD919" w14:textId="77777777" w:rsidR="00FB28D8" w:rsidRPr="00B0658A" w:rsidRDefault="00FB28D8" w:rsidP="000A4114">
            <w:pPr>
              <w:spacing w:after="0" w:line="240" w:lineRule="auto"/>
              <w:rPr>
                <w:rFonts w:ascii="Times New Roman" w:hAnsi="Times New Roman"/>
                <w:i/>
                <w:iCs/>
                <w:sz w:val="20"/>
                <w:szCs w:val="20"/>
              </w:rPr>
            </w:pPr>
          </w:p>
        </w:tc>
        <w:tc>
          <w:tcPr>
            <w:tcW w:w="941" w:type="pct"/>
            <w:shd w:val="clear" w:color="auto" w:fill="auto"/>
          </w:tcPr>
          <w:p w14:paraId="49D888F8" w14:textId="77777777" w:rsidR="00FB28D8" w:rsidRPr="00B0658A" w:rsidRDefault="00FB28D8" w:rsidP="000A4114">
            <w:pPr>
              <w:spacing w:after="0" w:line="240" w:lineRule="auto"/>
              <w:jc w:val="both"/>
              <w:rPr>
                <w:rFonts w:ascii="Times New Roman" w:hAnsi="Times New Roman"/>
                <w:i/>
                <w:iCs/>
                <w:sz w:val="20"/>
                <w:szCs w:val="20"/>
              </w:rPr>
            </w:pPr>
          </w:p>
        </w:tc>
      </w:tr>
      <w:tr w:rsidR="00F52FED" w:rsidRPr="00B0658A" w14:paraId="21F312F0" w14:textId="77777777" w:rsidTr="00B10FDE">
        <w:trPr>
          <w:trHeight w:val="170"/>
        </w:trPr>
        <w:tc>
          <w:tcPr>
            <w:tcW w:w="197" w:type="pct"/>
            <w:shd w:val="clear" w:color="auto" w:fill="auto"/>
            <w:vAlign w:val="center"/>
          </w:tcPr>
          <w:p w14:paraId="3A4969B3" w14:textId="77777777" w:rsidR="00FB28D8" w:rsidRPr="00B0658A" w:rsidRDefault="00FB28D8" w:rsidP="000A4114">
            <w:pPr>
              <w:spacing w:after="0" w:line="240" w:lineRule="auto"/>
              <w:rPr>
                <w:rFonts w:ascii="Times New Roman" w:hAnsi="Times New Roman"/>
                <w:sz w:val="20"/>
                <w:szCs w:val="20"/>
              </w:rPr>
            </w:pPr>
            <w:r w:rsidRPr="00B0658A">
              <w:rPr>
                <w:rFonts w:ascii="Times New Roman" w:hAnsi="Times New Roman"/>
                <w:sz w:val="20"/>
                <w:szCs w:val="20"/>
              </w:rPr>
              <w:t>N.</w:t>
            </w:r>
            <w:r w:rsidRPr="00B0658A">
              <w:rPr>
                <w:rFonts w:ascii="Times New Roman" w:hAnsi="Times New Roman"/>
                <w:sz w:val="20"/>
                <w:szCs w:val="20"/>
                <w:lang w:val="en-US"/>
              </w:rPr>
              <w:t>2</w:t>
            </w:r>
          </w:p>
        </w:tc>
        <w:tc>
          <w:tcPr>
            <w:tcW w:w="1174" w:type="pct"/>
            <w:shd w:val="clear" w:color="auto" w:fill="auto"/>
            <w:vAlign w:val="center"/>
          </w:tcPr>
          <w:p w14:paraId="2D68DA69" w14:textId="77777777" w:rsidR="00FB28D8" w:rsidRPr="00B0658A" w:rsidRDefault="00FB28D8" w:rsidP="000A4114">
            <w:pPr>
              <w:spacing w:after="0" w:line="240" w:lineRule="auto"/>
              <w:rPr>
                <w:rFonts w:ascii="Times New Roman" w:hAnsi="Times New Roman"/>
                <w:i/>
                <w:iCs/>
                <w:sz w:val="20"/>
                <w:szCs w:val="20"/>
              </w:rPr>
            </w:pPr>
            <w:r w:rsidRPr="00B0658A">
              <w:rPr>
                <w:rFonts w:ascii="Times New Roman" w:hAnsi="Times New Roman"/>
                <w:i/>
                <w:sz w:val="20"/>
                <w:szCs w:val="20"/>
              </w:rPr>
              <w:t>Указывается класс (тип) №2 ПО, используемого на значимом объекте КИИ №</w:t>
            </w:r>
            <w:r w:rsidRPr="00B0658A">
              <w:rPr>
                <w:rFonts w:ascii="Times New Roman" w:hAnsi="Times New Roman"/>
                <w:i/>
                <w:sz w:val="20"/>
                <w:szCs w:val="20"/>
                <w:lang w:val="en-US"/>
              </w:rPr>
              <w:t>N</w:t>
            </w:r>
            <w:r w:rsidRPr="00B0658A">
              <w:rPr>
                <w:rFonts w:ascii="Times New Roman" w:hAnsi="Times New Roman"/>
                <w:i/>
                <w:sz w:val="20"/>
                <w:szCs w:val="20"/>
              </w:rPr>
              <w:t xml:space="preserve"> в соответствии с утвержденным детализированным </w:t>
            </w:r>
            <w:r w:rsidRPr="00B0658A">
              <w:rPr>
                <w:rFonts w:ascii="Times New Roman" w:hAnsi="Times New Roman"/>
                <w:i/>
                <w:iCs/>
                <w:sz w:val="20"/>
                <w:szCs w:val="20"/>
              </w:rPr>
              <w:t xml:space="preserve">планом перехода </w:t>
            </w:r>
            <w:r w:rsidR="00D37F0E" w:rsidRPr="00B0658A">
              <w:rPr>
                <w:rFonts w:ascii="Times New Roman" w:hAnsi="Times New Roman"/>
                <w:i/>
                <w:iCs/>
                <w:sz w:val="20"/>
                <w:szCs w:val="20"/>
              </w:rPr>
              <w:t xml:space="preserve">подведомственной организации </w:t>
            </w:r>
            <w:r w:rsidRPr="00B0658A">
              <w:rPr>
                <w:rFonts w:ascii="Times New Roman" w:hAnsi="Times New Roman"/>
                <w:i/>
                <w:iCs/>
                <w:sz w:val="20"/>
                <w:szCs w:val="20"/>
              </w:rPr>
              <w:t>на использование российского ПО на значимых объектах КИИ</w:t>
            </w:r>
          </w:p>
        </w:tc>
        <w:tc>
          <w:tcPr>
            <w:tcW w:w="508" w:type="pct"/>
          </w:tcPr>
          <w:p w14:paraId="2A8FB494" w14:textId="77777777" w:rsidR="00FB28D8" w:rsidRPr="00B0658A" w:rsidRDefault="00FB28D8" w:rsidP="000A4114">
            <w:pPr>
              <w:spacing w:after="0" w:line="240" w:lineRule="auto"/>
              <w:rPr>
                <w:rFonts w:ascii="Times New Roman" w:hAnsi="Times New Roman"/>
                <w:i/>
                <w:iCs/>
                <w:sz w:val="20"/>
                <w:szCs w:val="20"/>
              </w:rPr>
            </w:pPr>
          </w:p>
        </w:tc>
        <w:tc>
          <w:tcPr>
            <w:tcW w:w="1118" w:type="pct"/>
            <w:shd w:val="clear" w:color="auto" w:fill="auto"/>
          </w:tcPr>
          <w:p w14:paraId="660F61B6" w14:textId="77777777" w:rsidR="00FB28D8" w:rsidRPr="00B0658A" w:rsidRDefault="00FB28D8" w:rsidP="000A4114">
            <w:pPr>
              <w:spacing w:after="0" w:line="240" w:lineRule="auto"/>
              <w:rPr>
                <w:rFonts w:ascii="Times New Roman" w:hAnsi="Times New Roman"/>
                <w:i/>
                <w:iCs/>
                <w:sz w:val="20"/>
                <w:szCs w:val="20"/>
              </w:rPr>
            </w:pPr>
          </w:p>
        </w:tc>
        <w:tc>
          <w:tcPr>
            <w:tcW w:w="1062" w:type="pct"/>
            <w:shd w:val="clear" w:color="auto" w:fill="auto"/>
          </w:tcPr>
          <w:p w14:paraId="77247C0C" w14:textId="77777777" w:rsidR="00FB28D8" w:rsidRPr="00B0658A" w:rsidRDefault="00FB28D8" w:rsidP="000A4114">
            <w:pPr>
              <w:spacing w:after="0" w:line="240" w:lineRule="auto"/>
              <w:rPr>
                <w:rFonts w:ascii="Times New Roman" w:hAnsi="Times New Roman"/>
                <w:i/>
                <w:iCs/>
                <w:sz w:val="20"/>
                <w:szCs w:val="20"/>
              </w:rPr>
            </w:pPr>
          </w:p>
        </w:tc>
        <w:tc>
          <w:tcPr>
            <w:tcW w:w="941" w:type="pct"/>
            <w:shd w:val="clear" w:color="auto" w:fill="auto"/>
          </w:tcPr>
          <w:p w14:paraId="4DB7DF01" w14:textId="77777777" w:rsidR="00FB28D8" w:rsidRPr="00B0658A" w:rsidRDefault="00FB28D8" w:rsidP="000A4114">
            <w:pPr>
              <w:spacing w:after="0" w:line="240" w:lineRule="auto"/>
              <w:jc w:val="both"/>
              <w:rPr>
                <w:rFonts w:ascii="Times New Roman" w:hAnsi="Times New Roman"/>
                <w:i/>
                <w:iCs/>
                <w:sz w:val="20"/>
                <w:szCs w:val="20"/>
              </w:rPr>
            </w:pPr>
          </w:p>
        </w:tc>
      </w:tr>
      <w:tr w:rsidR="00F52FED" w:rsidRPr="00B0658A" w14:paraId="21B85686" w14:textId="77777777" w:rsidTr="00B10FDE">
        <w:trPr>
          <w:trHeight w:val="170"/>
        </w:trPr>
        <w:tc>
          <w:tcPr>
            <w:tcW w:w="197" w:type="pct"/>
            <w:shd w:val="clear" w:color="auto" w:fill="auto"/>
            <w:vAlign w:val="center"/>
          </w:tcPr>
          <w:p w14:paraId="052A5868" w14:textId="77777777" w:rsidR="00FB28D8" w:rsidRPr="00B0658A" w:rsidRDefault="00FB28D8" w:rsidP="000A4114">
            <w:pPr>
              <w:spacing w:after="0" w:line="240" w:lineRule="auto"/>
              <w:rPr>
                <w:rFonts w:ascii="Times New Roman" w:hAnsi="Times New Roman"/>
                <w:sz w:val="20"/>
                <w:szCs w:val="20"/>
              </w:rPr>
            </w:pPr>
            <w:r w:rsidRPr="00B0658A">
              <w:rPr>
                <w:rFonts w:ascii="Times New Roman" w:hAnsi="Times New Roman"/>
                <w:sz w:val="20"/>
                <w:szCs w:val="20"/>
                <w:lang w:val="en-US"/>
              </w:rPr>
              <w:t>..</w:t>
            </w:r>
          </w:p>
        </w:tc>
        <w:tc>
          <w:tcPr>
            <w:tcW w:w="1174" w:type="pct"/>
            <w:shd w:val="clear" w:color="auto" w:fill="auto"/>
            <w:vAlign w:val="center"/>
          </w:tcPr>
          <w:p w14:paraId="448E51BE" w14:textId="77777777" w:rsidR="00FB28D8" w:rsidRPr="00B0658A" w:rsidRDefault="00FB28D8" w:rsidP="000A4114">
            <w:pPr>
              <w:spacing w:after="0" w:line="240" w:lineRule="auto"/>
              <w:rPr>
                <w:rFonts w:ascii="Times New Roman" w:hAnsi="Times New Roman"/>
                <w:i/>
                <w:iCs/>
                <w:sz w:val="20"/>
                <w:szCs w:val="20"/>
              </w:rPr>
            </w:pPr>
          </w:p>
        </w:tc>
        <w:tc>
          <w:tcPr>
            <w:tcW w:w="508" w:type="pct"/>
          </w:tcPr>
          <w:p w14:paraId="22E2B633" w14:textId="77777777" w:rsidR="00FB28D8" w:rsidRPr="00B0658A" w:rsidRDefault="00FB28D8" w:rsidP="000A4114">
            <w:pPr>
              <w:spacing w:after="0" w:line="240" w:lineRule="auto"/>
              <w:rPr>
                <w:rFonts w:ascii="Times New Roman" w:hAnsi="Times New Roman"/>
                <w:i/>
                <w:iCs/>
                <w:sz w:val="20"/>
                <w:szCs w:val="20"/>
              </w:rPr>
            </w:pPr>
          </w:p>
        </w:tc>
        <w:tc>
          <w:tcPr>
            <w:tcW w:w="1118" w:type="pct"/>
            <w:shd w:val="clear" w:color="auto" w:fill="auto"/>
          </w:tcPr>
          <w:p w14:paraId="6E7483A3" w14:textId="77777777" w:rsidR="00FB28D8" w:rsidRPr="00B0658A" w:rsidRDefault="00FB28D8" w:rsidP="000A4114">
            <w:pPr>
              <w:spacing w:after="0" w:line="240" w:lineRule="auto"/>
              <w:rPr>
                <w:rFonts w:ascii="Times New Roman" w:hAnsi="Times New Roman"/>
                <w:i/>
                <w:iCs/>
                <w:sz w:val="20"/>
                <w:szCs w:val="20"/>
              </w:rPr>
            </w:pPr>
          </w:p>
        </w:tc>
        <w:tc>
          <w:tcPr>
            <w:tcW w:w="1062" w:type="pct"/>
            <w:shd w:val="clear" w:color="auto" w:fill="auto"/>
          </w:tcPr>
          <w:p w14:paraId="06EAFE80" w14:textId="77777777" w:rsidR="00FB28D8" w:rsidRPr="00B0658A" w:rsidRDefault="00FB28D8" w:rsidP="000A4114">
            <w:pPr>
              <w:spacing w:after="0" w:line="240" w:lineRule="auto"/>
              <w:rPr>
                <w:rFonts w:ascii="Times New Roman" w:hAnsi="Times New Roman"/>
                <w:i/>
                <w:iCs/>
                <w:sz w:val="20"/>
                <w:szCs w:val="20"/>
              </w:rPr>
            </w:pPr>
          </w:p>
        </w:tc>
        <w:tc>
          <w:tcPr>
            <w:tcW w:w="941" w:type="pct"/>
            <w:shd w:val="clear" w:color="auto" w:fill="auto"/>
          </w:tcPr>
          <w:p w14:paraId="003238C4" w14:textId="77777777" w:rsidR="00FB28D8" w:rsidRPr="00B0658A" w:rsidRDefault="00FB28D8" w:rsidP="000A4114">
            <w:pPr>
              <w:spacing w:after="0" w:line="240" w:lineRule="auto"/>
              <w:jc w:val="both"/>
              <w:rPr>
                <w:rFonts w:ascii="Times New Roman" w:hAnsi="Times New Roman"/>
                <w:i/>
                <w:iCs/>
                <w:sz w:val="20"/>
                <w:szCs w:val="20"/>
              </w:rPr>
            </w:pPr>
          </w:p>
        </w:tc>
      </w:tr>
      <w:tr w:rsidR="00FB28D8" w:rsidRPr="00B0658A" w14:paraId="29361967" w14:textId="77777777" w:rsidTr="00B10FDE">
        <w:trPr>
          <w:trHeight w:val="170"/>
        </w:trPr>
        <w:tc>
          <w:tcPr>
            <w:tcW w:w="197" w:type="pct"/>
            <w:shd w:val="clear" w:color="auto" w:fill="auto"/>
            <w:vAlign w:val="center"/>
          </w:tcPr>
          <w:p w14:paraId="37DC29AC" w14:textId="77777777" w:rsidR="00FB28D8" w:rsidRPr="00B0658A" w:rsidRDefault="00FB28D8" w:rsidP="000A4114">
            <w:pPr>
              <w:spacing w:after="0" w:line="240" w:lineRule="auto"/>
              <w:rPr>
                <w:rFonts w:ascii="Times New Roman" w:hAnsi="Times New Roman"/>
                <w:sz w:val="20"/>
                <w:szCs w:val="20"/>
              </w:rPr>
            </w:pPr>
            <w:r w:rsidRPr="00B0658A">
              <w:rPr>
                <w:rFonts w:ascii="Times New Roman" w:hAnsi="Times New Roman"/>
                <w:sz w:val="20"/>
                <w:szCs w:val="20"/>
              </w:rPr>
              <w:t>N.</w:t>
            </w:r>
            <w:r w:rsidRPr="00B0658A">
              <w:rPr>
                <w:rFonts w:ascii="Times New Roman" w:hAnsi="Times New Roman"/>
                <w:sz w:val="20"/>
                <w:szCs w:val="20"/>
                <w:lang w:val="en-US"/>
              </w:rPr>
              <w:t>n</w:t>
            </w:r>
          </w:p>
        </w:tc>
        <w:tc>
          <w:tcPr>
            <w:tcW w:w="1174" w:type="pct"/>
            <w:shd w:val="clear" w:color="auto" w:fill="auto"/>
            <w:vAlign w:val="center"/>
          </w:tcPr>
          <w:p w14:paraId="14378F4B" w14:textId="77777777" w:rsidR="00FB28D8" w:rsidRPr="00B0658A" w:rsidRDefault="00FB28D8" w:rsidP="000A4114">
            <w:pPr>
              <w:spacing w:after="0" w:line="240" w:lineRule="auto"/>
              <w:rPr>
                <w:rFonts w:ascii="Times New Roman" w:hAnsi="Times New Roman"/>
                <w:i/>
                <w:iCs/>
                <w:sz w:val="20"/>
                <w:szCs w:val="20"/>
              </w:rPr>
            </w:pPr>
            <w:r w:rsidRPr="00B0658A">
              <w:rPr>
                <w:rFonts w:ascii="Times New Roman" w:hAnsi="Times New Roman"/>
                <w:i/>
                <w:sz w:val="20"/>
                <w:szCs w:val="20"/>
              </w:rPr>
              <w:t xml:space="preserve">Указывается класс (тип) № </w:t>
            </w:r>
            <w:r w:rsidRPr="00B0658A">
              <w:rPr>
                <w:rFonts w:ascii="Times New Roman" w:hAnsi="Times New Roman"/>
                <w:i/>
                <w:sz w:val="20"/>
                <w:szCs w:val="20"/>
                <w:lang w:val="en-US"/>
              </w:rPr>
              <w:t>n</w:t>
            </w:r>
            <w:r w:rsidRPr="00B0658A">
              <w:rPr>
                <w:rFonts w:ascii="Times New Roman" w:hAnsi="Times New Roman"/>
                <w:i/>
                <w:sz w:val="20"/>
                <w:szCs w:val="20"/>
              </w:rPr>
              <w:t xml:space="preserve"> ПО, используемого на значимом объекте КИИ №</w:t>
            </w:r>
            <w:r w:rsidRPr="00B0658A">
              <w:rPr>
                <w:rFonts w:ascii="Times New Roman" w:hAnsi="Times New Roman"/>
                <w:i/>
                <w:sz w:val="20"/>
                <w:szCs w:val="20"/>
                <w:lang w:val="en-US"/>
              </w:rPr>
              <w:t>N</w:t>
            </w:r>
            <w:r w:rsidRPr="00B0658A">
              <w:rPr>
                <w:rFonts w:ascii="Times New Roman" w:hAnsi="Times New Roman"/>
                <w:i/>
                <w:sz w:val="20"/>
                <w:szCs w:val="20"/>
              </w:rPr>
              <w:t xml:space="preserve"> в соответствии с утвержденным детализированным </w:t>
            </w:r>
            <w:r w:rsidRPr="00B0658A">
              <w:rPr>
                <w:rFonts w:ascii="Times New Roman" w:hAnsi="Times New Roman"/>
                <w:i/>
                <w:iCs/>
                <w:sz w:val="20"/>
                <w:szCs w:val="20"/>
              </w:rPr>
              <w:t xml:space="preserve">планом перехода </w:t>
            </w:r>
            <w:r w:rsidR="00D37F0E" w:rsidRPr="00B0658A">
              <w:rPr>
                <w:rFonts w:ascii="Times New Roman" w:hAnsi="Times New Roman"/>
                <w:i/>
                <w:iCs/>
                <w:sz w:val="20"/>
                <w:szCs w:val="20"/>
              </w:rPr>
              <w:t xml:space="preserve">подведомственной организации </w:t>
            </w:r>
            <w:r w:rsidRPr="00B0658A">
              <w:rPr>
                <w:rFonts w:ascii="Times New Roman" w:hAnsi="Times New Roman"/>
                <w:i/>
                <w:iCs/>
                <w:sz w:val="20"/>
                <w:szCs w:val="20"/>
              </w:rPr>
              <w:t>на использование российского ПО на значимых объектах КИИ</w:t>
            </w:r>
          </w:p>
        </w:tc>
        <w:tc>
          <w:tcPr>
            <w:tcW w:w="508" w:type="pct"/>
          </w:tcPr>
          <w:p w14:paraId="3280E1A0" w14:textId="77777777" w:rsidR="00FB28D8" w:rsidRPr="00B0658A" w:rsidRDefault="00FB28D8" w:rsidP="000A4114">
            <w:pPr>
              <w:spacing w:after="0" w:line="240" w:lineRule="auto"/>
              <w:rPr>
                <w:rFonts w:ascii="Times New Roman" w:hAnsi="Times New Roman"/>
                <w:i/>
                <w:iCs/>
                <w:sz w:val="20"/>
                <w:szCs w:val="20"/>
              </w:rPr>
            </w:pPr>
          </w:p>
        </w:tc>
        <w:tc>
          <w:tcPr>
            <w:tcW w:w="1118" w:type="pct"/>
            <w:shd w:val="clear" w:color="auto" w:fill="auto"/>
          </w:tcPr>
          <w:p w14:paraId="155C8581" w14:textId="77777777" w:rsidR="00FB28D8" w:rsidRPr="00B0658A" w:rsidRDefault="00FB28D8" w:rsidP="000A4114">
            <w:pPr>
              <w:spacing w:after="0" w:line="240" w:lineRule="auto"/>
              <w:rPr>
                <w:rFonts w:ascii="Times New Roman" w:hAnsi="Times New Roman"/>
                <w:i/>
                <w:iCs/>
                <w:sz w:val="20"/>
                <w:szCs w:val="20"/>
              </w:rPr>
            </w:pPr>
          </w:p>
        </w:tc>
        <w:tc>
          <w:tcPr>
            <w:tcW w:w="1062" w:type="pct"/>
            <w:shd w:val="clear" w:color="auto" w:fill="auto"/>
          </w:tcPr>
          <w:p w14:paraId="197A5931" w14:textId="77777777" w:rsidR="00FB28D8" w:rsidRPr="00B0658A" w:rsidRDefault="00FB28D8" w:rsidP="000A4114">
            <w:pPr>
              <w:spacing w:after="0" w:line="240" w:lineRule="auto"/>
              <w:rPr>
                <w:rFonts w:ascii="Times New Roman" w:hAnsi="Times New Roman"/>
                <w:i/>
                <w:iCs/>
                <w:sz w:val="20"/>
                <w:szCs w:val="20"/>
              </w:rPr>
            </w:pPr>
          </w:p>
        </w:tc>
        <w:tc>
          <w:tcPr>
            <w:tcW w:w="941" w:type="pct"/>
            <w:shd w:val="clear" w:color="auto" w:fill="auto"/>
          </w:tcPr>
          <w:p w14:paraId="05BC708A" w14:textId="77777777" w:rsidR="00FB28D8" w:rsidRPr="00B0658A" w:rsidRDefault="00FB28D8" w:rsidP="000A4114">
            <w:pPr>
              <w:spacing w:after="0" w:line="240" w:lineRule="auto"/>
              <w:jc w:val="both"/>
              <w:rPr>
                <w:rFonts w:ascii="Times New Roman" w:hAnsi="Times New Roman"/>
                <w:i/>
                <w:iCs/>
                <w:sz w:val="20"/>
                <w:szCs w:val="20"/>
              </w:rPr>
            </w:pPr>
          </w:p>
        </w:tc>
      </w:tr>
      <w:bookmarkEnd w:id="31"/>
    </w:tbl>
    <w:p w14:paraId="1B7951E5" w14:textId="77777777" w:rsidR="00896456" w:rsidRPr="00B0658A" w:rsidRDefault="00896456">
      <w:pPr>
        <w:spacing w:after="0" w:line="240" w:lineRule="auto"/>
        <w:rPr>
          <w:rFonts w:ascii="Times New Roman" w:hAnsi="Times New Roman"/>
          <w:sz w:val="28"/>
          <w:szCs w:val="24"/>
        </w:rPr>
      </w:pPr>
      <w:r w:rsidRPr="00B0658A">
        <w:rPr>
          <w:rFonts w:ascii="Times New Roman" w:hAnsi="Times New Roman"/>
          <w:sz w:val="28"/>
          <w:szCs w:val="24"/>
        </w:rPr>
        <w:br w:type="page"/>
      </w:r>
    </w:p>
    <w:p w14:paraId="184790FD" w14:textId="1F381616" w:rsidR="008319FB" w:rsidRPr="00B0658A" w:rsidRDefault="008319FB" w:rsidP="008319FB">
      <w:pPr>
        <w:pStyle w:val="11"/>
        <w:spacing w:before="120" w:after="0" w:line="240" w:lineRule="auto"/>
        <w:jc w:val="right"/>
        <w:rPr>
          <w:rFonts w:cs="Times New Roman"/>
          <w:szCs w:val="28"/>
        </w:rPr>
      </w:pPr>
      <w:bookmarkStart w:id="39" w:name="_Toc116390909"/>
      <w:bookmarkStart w:id="40" w:name="_Toc116632276"/>
      <w:r w:rsidRPr="00B0658A">
        <w:rPr>
          <w:rFonts w:cs="Times New Roman"/>
          <w:szCs w:val="28"/>
        </w:rPr>
        <w:t>Приложение № 9</w:t>
      </w:r>
      <w:r w:rsidRPr="00B0658A">
        <w:rPr>
          <w:rFonts w:cs="Times New Roman"/>
          <w:szCs w:val="28"/>
        </w:rPr>
        <w:br/>
        <w:t xml:space="preserve">Рекомендованная форма </w:t>
      </w:r>
      <w:r w:rsidRPr="00B0658A">
        <w:rPr>
          <w:rFonts w:cs="Times New Roman"/>
        </w:rPr>
        <w:t>детализированного плана перехода государственных корпораций и компаний с государственным участием, сведения о которых включены в специальный перечень №91-р, а также организаций, включенных в расширенный перечень организаций, в отношении которых принято решение о необходимости указанными организации разработки стратегий (программ) цифровой трансформации, их дочерних и зависимых обществ на использование российского ПО на принадлежащих им значимых объектах КИИ</w:t>
      </w:r>
      <w:bookmarkEnd w:id="39"/>
      <w:bookmarkEnd w:id="40"/>
    </w:p>
    <w:p w14:paraId="0C9208BD" w14:textId="77777777" w:rsidR="008319FB" w:rsidRPr="00B0658A" w:rsidRDefault="008319FB" w:rsidP="008319FB">
      <w:pPr>
        <w:spacing w:before="120" w:after="0" w:line="240" w:lineRule="auto"/>
        <w:rPr>
          <w:rFonts w:ascii="Times New Roman" w:hAnsi="Times New Roman"/>
          <w:sz w:val="28"/>
          <w:szCs w:val="24"/>
          <w:highlight w:val="yellow"/>
        </w:rPr>
      </w:pPr>
    </w:p>
    <w:p w14:paraId="5965F16E" w14:textId="77777777" w:rsidR="00896456" w:rsidRPr="00B0658A" w:rsidRDefault="00896456" w:rsidP="00896456">
      <w:pPr>
        <w:pStyle w:val="ConsPlusNormal"/>
        <w:spacing w:before="120"/>
        <w:jc w:val="center"/>
        <w:rPr>
          <w:sz w:val="32"/>
        </w:rPr>
      </w:pPr>
      <w:r w:rsidRPr="00B0658A">
        <w:rPr>
          <w:sz w:val="32"/>
        </w:rPr>
        <w:t xml:space="preserve">Детализированный план перехода ______________ (полное наименование </w:t>
      </w:r>
      <w:r w:rsidR="00D04454" w:rsidRPr="00B0658A">
        <w:rPr>
          <w:sz w:val="32"/>
          <w:szCs w:val="28"/>
        </w:rPr>
        <w:t>государственной корпорации или компании с государственным участием</w:t>
      </w:r>
      <w:r w:rsidRPr="00B0658A">
        <w:rPr>
          <w:sz w:val="32"/>
          <w:szCs w:val="28"/>
        </w:rPr>
        <w:t xml:space="preserve">) на использование российского </w:t>
      </w:r>
      <w:r w:rsidRPr="00B0658A">
        <w:rPr>
          <w:sz w:val="32"/>
        </w:rPr>
        <w:t xml:space="preserve">ПО на принадлежащих </w:t>
      </w:r>
      <w:r w:rsidR="00463BD4" w:rsidRPr="00B0658A">
        <w:rPr>
          <w:sz w:val="32"/>
          <w:szCs w:val="28"/>
        </w:rPr>
        <w:t>государственн</w:t>
      </w:r>
      <w:r w:rsidR="004C7EA8" w:rsidRPr="00B0658A">
        <w:rPr>
          <w:sz w:val="32"/>
          <w:szCs w:val="28"/>
        </w:rPr>
        <w:t>ой</w:t>
      </w:r>
      <w:r w:rsidR="00463BD4" w:rsidRPr="00B0658A">
        <w:rPr>
          <w:sz w:val="32"/>
          <w:szCs w:val="28"/>
        </w:rPr>
        <w:t xml:space="preserve"> корпорации и</w:t>
      </w:r>
      <w:r w:rsidR="004C7EA8" w:rsidRPr="00B0658A">
        <w:rPr>
          <w:sz w:val="32"/>
          <w:szCs w:val="28"/>
        </w:rPr>
        <w:t>ли</w:t>
      </w:r>
      <w:r w:rsidR="00463BD4" w:rsidRPr="00B0658A">
        <w:rPr>
          <w:sz w:val="32"/>
          <w:szCs w:val="28"/>
        </w:rPr>
        <w:t xml:space="preserve"> компании с государственным участием </w:t>
      </w:r>
      <w:r w:rsidRPr="00B0658A">
        <w:rPr>
          <w:sz w:val="32"/>
        </w:rPr>
        <w:t>значимых объектах КИИ</w:t>
      </w:r>
      <w:r w:rsidRPr="00B0658A">
        <w:rPr>
          <w:sz w:val="32"/>
          <w:szCs w:val="28"/>
        </w:rPr>
        <w:t xml:space="preserve"> </w:t>
      </w:r>
      <w:r w:rsidRPr="00B0658A">
        <w:rPr>
          <w:sz w:val="32"/>
        </w:rPr>
        <w:t>на период 2022-2024 годы</w:t>
      </w:r>
    </w:p>
    <w:p w14:paraId="36EC00B2" w14:textId="77777777" w:rsidR="00896456" w:rsidRPr="00B0658A" w:rsidRDefault="00896456" w:rsidP="00896456">
      <w:pPr>
        <w:pStyle w:val="ConsPlusNormal"/>
        <w:spacing w:before="120"/>
        <w:jc w:val="center"/>
        <w:rPr>
          <w:sz w:val="32"/>
        </w:rPr>
      </w:pPr>
    </w:p>
    <w:p w14:paraId="16E3908C" w14:textId="77777777" w:rsidR="00896456" w:rsidRPr="00B0658A" w:rsidRDefault="00896456" w:rsidP="00896456">
      <w:pPr>
        <w:pStyle w:val="ConsPlusNormal"/>
        <w:spacing w:before="120"/>
        <w:jc w:val="both"/>
      </w:pPr>
      <w:r w:rsidRPr="00B0658A">
        <w:rPr>
          <w:sz w:val="28"/>
        </w:rPr>
        <w:t xml:space="preserve">Раздел 1. «План-график мероприятий перехода </w:t>
      </w:r>
      <w:r w:rsidRPr="00B0658A">
        <w:rPr>
          <w:sz w:val="28"/>
          <w:szCs w:val="28"/>
        </w:rPr>
        <w:t xml:space="preserve">на использование российского ПО на принадлежащих _______ (полное наименование </w:t>
      </w:r>
      <w:r w:rsidR="004C7EA8" w:rsidRPr="00B0658A">
        <w:rPr>
          <w:sz w:val="28"/>
          <w:szCs w:val="28"/>
        </w:rPr>
        <w:t>государственной корпорации или компании с государственным</w:t>
      </w:r>
      <w:r w:rsidR="00951885" w:rsidRPr="00B0658A">
        <w:rPr>
          <w:sz w:val="28"/>
          <w:szCs w:val="28"/>
        </w:rPr>
        <w:t xml:space="preserve"> участием</w:t>
      </w:r>
      <w:r w:rsidRPr="00B0658A">
        <w:rPr>
          <w:sz w:val="28"/>
          <w:szCs w:val="28"/>
        </w:rPr>
        <w:t>) значимых объектах КИИ</w:t>
      </w:r>
      <w:r w:rsidRPr="00B0658A">
        <w:rPr>
          <w:sz w:val="28"/>
        </w:rPr>
        <w:t>»</w:t>
      </w:r>
    </w:p>
    <w:tbl>
      <w:tblPr>
        <w:tblW w:w="5000" w:type="pct"/>
        <w:tblCellMar>
          <w:top w:w="28" w:type="dxa"/>
          <w:left w:w="62" w:type="dxa"/>
          <w:bottom w:w="28" w:type="dxa"/>
          <w:right w:w="62" w:type="dxa"/>
        </w:tblCellMar>
        <w:tblLook w:val="0000" w:firstRow="0" w:lastRow="0" w:firstColumn="0" w:lastColumn="0" w:noHBand="0" w:noVBand="0"/>
      </w:tblPr>
      <w:tblGrid>
        <w:gridCol w:w="568"/>
        <w:gridCol w:w="2312"/>
        <w:gridCol w:w="3160"/>
        <w:gridCol w:w="3313"/>
        <w:gridCol w:w="1735"/>
        <w:gridCol w:w="2856"/>
      </w:tblGrid>
      <w:tr w:rsidR="00F52FED" w:rsidRPr="00B0658A" w14:paraId="24D088B0" w14:textId="77777777" w:rsidTr="00F57B1F">
        <w:trPr>
          <w:trHeight w:val="20"/>
          <w:tblHeader/>
        </w:trPr>
        <w:tc>
          <w:tcPr>
            <w:tcW w:w="204" w:type="pct"/>
            <w:tcBorders>
              <w:top w:val="single" w:sz="4" w:space="0" w:color="auto"/>
              <w:left w:val="single" w:sz="4" w:space="0" w:color="auto"/>
              <w:bottom w:val="single" w:sz="4" w:space="0" w:color="auto"/>
              <w:right w:val="single" w:sz="4" w:space="0" w:color="auto"/>
            </w:tcBorders>
            <w:shd w:val="clear" w:color="auto" w:fill="E7E6E6" w:themeFill="background2"/>
          </w:tcPr>
          <w:p w14:paraId="332D0335" w14:textId="77777777" w:rsidR="00896456" w:rsidRPr="00B0658A" w:rsidRDefault="00896456" w:rsidP="000A4114">
            <w:pPr>
              <w:pStyle w:val="ConsPlusNormal"/>
              <w:jc w:val="center"/>
            </w:pPr>
            <w:r w:rsidRPr="00B0658A">
              <w:t>N п.п.</w:t>
            </w:r>
          </w:p>
        </w:tc>
        <w:tc>
          <w:tcPr>
            <w:tcW w:w="829" w:type="pct"/>
            <w:tcBorders>
              <w:top w:val="single" w:sz="4" w:space="0" w:color="auto"/>
              <w:left w:val="single" w:sz="4" w:space="0" w:color="auto"/>
              <w:bottom w:val="single" w:sz="4" w:space="0" w:color="auto"/>
              <w:right w:val="single" w:sz="4" w:space="0" w:color="auto"/>
            </w:tcBorders>
            <w:shd w:val="clear" w:color="auto" w:fill="E7E6E6" w:themeFill="background2"/>
          </w:tcPr>
          <w:p w14:paraId="60E0D282" w14:textId="77777777" w:rsidR="00896456" w:rsidRPr="00B0658A" w:rsidRDefault="00896456" w:rsidP="000A4114">
            <w:pPr>
              <w:pStyle w:val="ConsPlusNormal"/>
              <w:jc w:val="center"/>
            </w:pPr>
            <w:r w:rsidRPr="00B0658A">
              <w:t>Наименование мероприятия</w:t>
            </w:r>
          </w:p>
        </w:tc>
        <w:tc>
          <w:tcPr>
            <w:tcW w:w="1133" w:type="pct"/>
            <w:tcBorders>
              <w:top w:val="single" w:sz="4" w:space="0" w:color="auto"/>
              <w:left w:val="single" w:sz="4" w:space="0" w:color="auto"/>
              <w:bottom w:val="single" w:sz="4" w:space="0" w:color="auto"/>
              <w:right w:val="single" w:sz="4" w:space="0" w:color="auto"/>
            </w:tcBorders>
            <w:shd w:val="clear" w:color="auto" w:fill="E7E6E6" w:themeFill="background2"/>
          </w:tcPr>
          <w:p w14:paraId="2BF89F4B" w14:textId="77777777" w:rsidR="00896456" w:rsidRPr="00B0658A" w:rsidRDefault="00896456" w:rsidP="000A4114">
            <w:pPr>
              <w:pStyle w:val="ConsPlusNormal"/>
              <w:jc w:val="center"/>
            </w:pPr>
            <w:r w:rsidRPr="00B0658A">
              <w:t>Краткое описание состава и содержания запланированного мероприятия</w:t>
            </w:r>
          </w:p>
        </w:tc>
        <w:tc>
          <w:tcPr>
            <w:tcW w:w="1188" w:type="pct"/>
            <w:tcBorders>
              <w:top w:val="single" w:sz="4" w:space="0" w:color="auto"/>
              <w:left w:val="single" w:sz="4" w:space="0" w:color="auto"/>
              <w:bottom w:val="single" w:sz="4" w:space="0" w:color="auto"/>
              <w:right w:val="single" w:sz="4" w:space="0" w:color="auto"/>
            </w:tcBorders>
            <w:shd w:val="clear" w:color="auto" w:fill="E7E6E6" w:themeFill="background2"/>
          </w:tcPr>
          <w:p w14:paraId="7C03C075" w14:textId="77777777" w:rsidR="00896456" w:rsidRPr="00B0658A" w:rsidRDefault="00896456" w:rsidP="000A4114">
            <w:pPr>
              <w:pStyle w:val="ConsPlusNormal"/>
              <w:jc w:val="center"/>
            </w:pPr>
            <w:r w:rsidRPr="00B0658A">
              <w:t>Наименование ответственного исполнителя/ ответственного структурного подразделения</w:t>
            </w:r>
          </w:p>
        </w:tc>
        <w:tc>
          <w:tcPr>
            <w:tcW w:w="622" w:type="pct"/>
            <w:tcBorders>
              <w:top w:val="single" w:sz="4" w:space="0" w:color="auto"/>
              <w:left w:val="single" w:sz="4" w:space="0" w:color="auto"/>
              <w:bottom w:val="single" w:sz="4" w:space="0" w:color="auto"/>
              <w:right w:val="single" w:sz="4" w:space="0" w:color="auto"/>
            </w:tcBorders>
            <w:shd w:val="clear" w:color="auto" w:fill="E7E6E6" w:themeFill="background2"/>
          </w:tcPr>
          <w:p w14:paraId="36FB3BE5" w14:textId="77777777" w:rsidR="00896456" w:rsidRPr="00B0658A" w:rsidRDefault="00896456" w:rsidP="000A4114">
            <w:pPr>
              <w:pStyle w:val="ConsPlusNormal"/>
              <w:jc w:val="center"/>
            </w:pPr>
            <w:r w:rsidRPr="00B0658A">
              <w:t>Срок /периодичность выполнения</w:t>
            </w:r>
          </w:p>
        </w:tc>
        <w:tc>
          <w:tcPr>
            <w:tcW w:w="1024" w:type="pct"/>
            <w:tcBorders>
              <w:top w:val="single" w:sz="4" w:space="0" w:color="auto"/>
              <w:left w:val="single" w:sz="4" w:space="0" w:color="auto"/>
              <w:bottom w:val="single" w:sz="4" w:space="0" w:color="auto"/>
              <w:right w:val="single" w:sz="4" w:space="0" w:color="auto"/>
            </w:tcBorders>
            <w:shd w:val="clear" w:color="auto" w:fill="E7E6E6" w:themeFill="background2"/>
          </w:tcPr>
          <w:p w14:paraId="5F358F8A" w14:textId="77777777" w:rsidR="00896456" w:rsidRPr="00B0658A" w:rsidRDefault="00896456" w:rsidP="000A4114">
            <w:pPr>
              <w:pStyle w:val="ConsPlusNormal"/>
              <w:jc w:val="center"/>
            </w:pPr>
            <w:r w:rsidRPr="00B0658A">
              <w:t>Ожидаемый результат</w:t>
            </w:r>
          </w:p>
        </w:tc>
      </w:tr>
      <w:tr w:rsidR="00F52FED" w:rsidRPr="00B0658A" w14:paraId="196BA15F" w14:textId="77777777" w:rsidTr="00B10FDE">
        <w:trPr>
          <w:trHeight w:val="20"/>
        </w:trPr>
        <w:tc>
          <w:tcPr>
            <w:tcW w:w="5000" w:type="pct"/>
            <w:gridSpan w:val="6"/>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F187C76" w14:textId="77777777" w:rsidR="00896456" w:rsidRPr="00B0658A" w:rsidRDefault="00896456" w:rsidP="000A4114">
            <w:pPr>
              <w:pStyle w:val="ConsPlusNormal"/>
            </w:pPr>
            <w:r w:rsidRPr="00B0658A">
              <w:t>1. Мероприятия в отношении ________ (наименование значимого объекта КИИ №1)</w:t>
            </w:r>
          </w:p>
        </w:tc>
      </w:tr>
      <w:tr w:rsidR="00F52FED" w:rsidRPr="00B0658A" w14:paraId="26BD3148" w14:textId="77777777" w:rsidTr="00B10FDE">
        <w:trPr>
          <w:trHeight w:val="20"/>
        </w:trPr>
        <w:tc>
          <w:tcPr>
            <w:tcW w:w="204" w:type="pct"/>
            <w:tcBorders>
              <w:top w:val="single" w:sz="4" w:space="0" w:color="auto"/>
              <w:left w:val="single" w:sz="4" w:space="0" w:color="auto"/>
              <w:bottom w:val="single" w:sz="4" w:space="0" w:color="auto"/>
              <w:right w:val="single" w:sz="4" w:space="0" w:color="auto"/>
            </w:tcBorders>
          </w:tcPr>
          <w:p w14:paraId="511A7F92" w14:textId="77777777" w:rsidR="00896456" w:rsidRPr="00B0658A" w:rsidRDefault="00896456" w:rsidP="000A4114">
            <w:pPr>
              <w:pStyle w:val="ConsPlusNormal"/>
            </w:pPr>
            <w:r w:rsidRPr="00B0658A">
              <w:t>1.1</w:t>
            </w:r>
          </w:p>
        </w:tc>
        <w:tc>
          <w:tcPr>
            <w:tcW w:w="829" w:type="pct"/>
            <w:tcBorders>
              <w:top w:val="single" w:sz="4" w:space="0" w:color="auto"/>
              <w:left w:val="single" w:sz="4" w:space="0" w:color="auto"/>
              <w:bottom w:val="single" w:sz="4" w:space="0" w:color="auto"/>
              <w:right w:val="single" w:sz="4" w:space="0" w:color="auto"/>
            </w:tcBorders>
          </w:tcPr>
          <w:p w14:paraId="009CD783" w14:textId="77777777" w:rsidR="00896456" w:rsidRPr="00B0658A" w:rsidRDefault="00896456" w:rsidP="000A4114">
            <w:pPr>
              <w:pStyle w:val="ConsPlusNormal"/>
            </w:pPr>
          </w:p>
        </w:tc>
        <w:tc>
          <w:tcPr>
            <w:tcW w:w="1133" w:type="pct"/>
            <w:tcBorders>
              <w:top w:val="single" w:sz="4" w:space="0" w:color="auto"/>
              <w:left w:val="single" w:sz="4" w:space="0" w:color="auto"/>
              <w:bottom w:val="single" w:sz="4" w:space="0" w:color="auto"/>
              <w:right w:val="single" w:sz="4" w:space="0" w:color="auto"/>
            </w:tcBorders>
          </w:tcPr>
          <w:p w14:paraId="1C047D68" w14:textId="77777777" w:rsidR="00896456" w:rsidRPr="00B0658A" w:rsidRDefault="00896456" w:rsidP="000A4114">
            <w:pPr>
              <w:pStyle w:val="ConsPlusNormal"/>
            </w:pPr>
          </w:p>
        </w:tc>
        <w:tc>
          <w:tcPr>
            <w:tcW w:w="1188" w:type="pct"/>
            <w:tcBorders>
              <w:top w:val="single" w:sz="4" w:space="0" w:color="auto"/>
              <w:left w:val="single" w:sz="4" w:space="0" w:color="auto"/>
              <w:bottom w:val="single" w:sz="4" w:space="0" w:color="auto"/>
              <w:right w:val="single" w:sz="4" w:space="0" w:color="auto"/>
            </w:tcBorders>
          </w:tcPr>
          <w:p w14:paraId="734BB6D3" w14:textId="77777777" w:rsidR="00896456" w:rsidRPr="00B0658A" w:rsidRDefault="00896456" w:rsidP="000A4114">
            <w:pPr>
              <w:pStyle w:val="ConsPlusNormal"/>
            </w:pPr>
          </w:p>
        </w:tc>
        <w:tc>
          <w:tcPr>
            <w:tcW w:w="622" w:type="pct"/>
            <w:tcBorders>
              <w:top w:val="single" w:sz="4" w:space="0" w:color="auto"/>
              <w:left w:val="single" w:sz="4" w:space="0" w:color="auto"/>
              <w:bottom w:val="single" w:sz="4" w:space="0" w:color="auto"/>
              <w:right w:val="single" w:sz="4" w:space="0" w:color="auto"/>
            </w:tcBorders>
          </w:tcPr>
          <w:p w14:paraId="3AB1C343" w14:textId="77777777" w:rsidR="00896456" w:rsidRPr="00B0658A" w:rsidRDefault="00896456" w:rsidP="000A4114">
            <w:pPr>
              <w:pStyle w:val="ConsPlusNormal"/>
            </w:pPr>
          </w:p>
        </w:tc>
        <w:tc>
          <w:tcPr>
            <w:tcW w:w="1024" w:type="pct"/>
            <w:tcBorders>
              <w:top w:val="single" w:sz="4" w:space="0" w:color="auto"/>
              <w:left w:val="single" w:sz="4" w:space="0" w:color="auto"/>
              <w:bottom w:val="single" w:sz="4" w:space="0" w:color="auto"/>
              <w:right w:val="single" w:sz="4" w:space="0" w:color="auto"/>
            </w:tcBorders>
          </w:tcPr>
          <w:p w14:paraId="509CB449" w14:textId="77777777" w:rsidR="00896456" w:rsidRPr="00B0658A" w:rsidRDefault="00896456" w:rsidP="000A4114">
            <w:pPr>
              <w:pStyle w:val="ConsPlusNormal"/>
            </w:pPr>
          </w:p>
        </w:tc>
      </w:tr>
      <w:tr w:rsidR="00F52FED" w:rsidRPr="00B0658A" w14:paraId="422996D3" w14:textId="77777777" w:rsidTr="00B10FDE">
        <w:trPr>
          <w:trHeight w:val="20"/>
        </w:trPr>
        <w:tc>
          <w:tcPr>
            <w:tcW w:w="204" w:type="pct"/>
            <w:tcBorders>
              <w:top w:val="single" w:sz="4" w:space="0" w:color="auto"/>
              <w:left w:val="single" w:sz="4" w:space="0" w:color="auto"/>
              <w:bottom w:val="single" w:sz="4" w:space="0" w:color="auto"/>
              <w:right w:val="single" w:sz="4" w:space="0" w:color="auto"/>
            </w:tcBorders>
          </w:tcPr>
          <w:p w14:paraId="43186C0D" w14:textId="77777777" w:rsidR="00896456" w:rsidRPr="00B0658A" w:rsidRDefault="00896456" w:rsidP="000A4114">
            <w:pPr>
              <w:pStyle w:val="ConsPlusNormal"/>
            </w:pPr>
            <w:r w:rsidRPr="00B0658A">
              <w:t>1.2</w:t>
            </w:r>
          </w:p>
        </w:tc>
        <w:tc>
          <w:tcPr>
            <w:tcW w:w="829" w:type="pct"/>
            <w:tcBorders>
              <w:top w:val="single" w:sz="4" w:space="0" w:color="auto"/>
              <w:left w:val="single" w:sz="4" w:space="0" w:color="auto"/>
              <w:bottom w:val="single" w:sz="4" w:space="0" w:color="auto"/>
              <w:right w:val="single" w:sz="4" w:space="0" w:color="auto"/>
            </w:tcBorders>
          </w:tcPr>
          <w:p w14:paraId="1AF600D9" w14:textId="77777777" w:rsidR="00896456" w:rsidRPr="00B0658A" w:rsidRDefault="00896456" w:rsidP="000A4114">
            <w:pPr>
              <w:pStyle w:val="ConsPlusNormal"/>
            </w:pPr>
          </w:p>
        </w:tc>
        <w:tc>
          <w:tcPr>
            <w:tcW w:w="1133" w:type="pct"/>
            <w:tcBorders>
              <w:top w:val="single" w:sz="4" w:space="0" w:color="auto"/>
              <w:left w:val="single" w:sz="4" w:space="0" w:color="auto"/>
              <w:bottom w:val="single" w:sz="4" w:space="0" w:color="auto"/>
              <w:right w:val="single" w:sz="4" w:space="0" w:color="auto"/>
            </w:tcBorders>
          </w:tcPr>
          <w:p w14:paraId="6A8B3B4D" w14:textId="77777777" w:rsidR="00896456" w:rsidRPr="00B0658A" w:rsidRDefault="00896456" w:rsidP="000A4114">
            <w:pPr>
              <w:pStyle w:val="ConsPlusNormal"/>
            </w:pPr>
          </w:p>
        </w:tc>
        <w:tc>
          <w:tcPr>
            <w:tcW w:w="1188" w:type="pct"/>
            <w:tcBorders>
              <w:top w:val="single" w:sz="4" w:space="0" w:color="auto"/>
              <w:left w:val="single" w:sz="4" w:space="0" w:color="auto"/>
              <w:bottom w:val="single" w:sz="4" w:space="0" w:color="auto"/>
              <w:right w:val="single" w:sz="4" w:space="0" w:color="auto"/>
            </w:tcBorders>
          </w:tcPr>
          <w:p w14:paraId="7A6EFB32" w14:textId="77777777" w:rsidR="00896456" w:rsidRPr="00B0658A" w:rsidRDefault="00896456" w:rsidP="000A4114">
            <w:pPr>
              <w:pStyle w:val="ConsPlusNormal"/>
            </w:pPr>
          </w:p>
        </w:tc>
        <w:tc>
          <w:tcPr>
            <w:tcW w:w="622" w:type="pct"/>
            <w:tcBorders>
              <w:top w:val="single" w:sz="4" w:space="0" w:color="auto"/>
              <w:left w:val="single" w:sz="4" w:space="0" w:color="auto"/>
              <w:bottom w:val="single" w:sz="4" w:space="0" w:color="auto"/>
              <w:right w:val="single" w:sz="4" w:space="0" w:color="auto"/>
            </w:tcBorders>
          </w:tcPr>
          <w:p w14:paraId="0EA7A188" w14:textId="77777777" w:rsidR="00896456" w:rsidRPr="00B0658A" w:rsidRDefault="00896456" w:rsidP="000A4114">
            <w:pPr>
              <w:pStyle w:val="ConsPlusNormal"/>
            </w:pPr>
          </w:p>
        </w:tc>
        <w:tc>
          <w:tcPr>
            <w:tcW w:w="1024" w:type="pct"/>
            <w:tcBorders>
              <w:top w:val="single" w:sz="4" w:space="0" w:color="auto"/>
              <w:left w:val="single" w:sz="4" w:space="0" w:color="auto"/>
              <w:bottom w:val="single" w:sz="4" w:space="0" w:color="auto"/>
              <w:right w:val="single" w:sz="4" w:space="0" w:color="auto"/>
            </w:tcBorders>
          </w:tcPr>
          <w:p w14:paraId="4FEC9554" w14:textId="77777777" w:rsidR="00896456" w:rsidRPr="00B0658A" w:rsidRDefault="00896456" w:rsidP="000A4114">
            <w:pPr>
              <w:pStyle w:val="ConsPlusNormal"/>
            </w:pPr>
          </w:p>
        </w:tc>
      </w:tr>
      <w:tr w:rsidR="00F52FED" w:rsidRPr="00B0658A" w14:paraId="432C7E42" w14:textId="77777777" w:rsidTr="00B10FDE">
        <w:trPr>
          <w:trHeight w:val="20"/>
        </w:trPr>
        <w:tc>
          <w:tcPr>
            <w:tcW w:w="204" w:type="pct"/>
            <w:tcBorders>
              <w:top w:val="single" w:sz="4" w:space="0" w:color="auto"/>
              <w:left w:val="single" w:sz="4" w:space="0" w:color="auto"/>
              <w:bottom w:val="single" w:sz="4" w:space="0" w:color="auto"/>
              <w:right w:val="single" w:sz="4" w:space="0" w:color="auto"/>
            </w:tcBorders>
          </w:tcPr>
          <w:p w14:paraId="508BF84A" w14:textId="77777777" w:rsidR="00896456" w:rsidRPr="00B0658A" w:rsidRDefault="00896456" w:rsidP="000A4114">
            <w:pPr>
              <w:pStyle w:val="ConsPlusNormal"/>
            </w:pPr>
            <w:r w:rsidRPr="00B0658A">
              <w:t>…</w:t>
            </w:r>
          </w:p>
        </w:tc>
        <w:tc>
          <w:tcPr>
            <w:tcW w:w="829" w:type="pct"/>
            <w:tcBorders>
              <w:top w:val="single" w:sz="4" w:space="0" w:color="auto"/>
              <w:left w:val="single" w:sz="4" w:space="0" w:color="auto"/>
              <w:bottom w:val="single" w:sz="4" w:space="0" w:color="auto"/>
              <w:right w:val="single" w:sz="4" w:space="0" w:color="auto"/>
            </w:tcBorders>
          </w:tcPr>
          <w:p w14:paraId="24C10E58" w14:textId="77777777" w:rsidR="00896456" w:rsidRPr="00B0658A" w:rsidRDefault="00896456" w:rsidP="000A4114">
            <w:pPr>
              <w:pStyle w:val="ConsPlusNormal"/>
            </w:pPr>
          </w:p>
        </w:tc>
        <w:tc>
          <w:tcPr>
            <w:tcW w:w="1133" w:type="pct"/>
            <w:tcBorders>
              <w:top w:val="single" w:sz="4" w:space="0" w:color="auto"/>
              <w:left w:val="single" w:sz="4" w:space="0" w:color="auto"/>
              <w:bottom w:val="single" w:sz="4" w:space="0" w:color="auto"/>
              <w:right w:val="single" w:sz="4" w:space="0" w:color="auto"/>
            </w:tcBorders>
          </w:tcPr>
          <w:p w14:paraId="1D50092F" w14:textId="77777777" w:rsidR="00896456" w:rsidRPr="00B0658A" w:rsidRDefault="00896456" w:rsidP="000A4114">
            <w:pPr>
              <w:pStyle w:val="ConsPlusNormal"/>
            </w:pPr>
          </w:p>
        </w:tc>
        <w:tc>
          <w:tcPr>
            <w:tcW w:w="1188" w:type="pct"/>
            <w:tcBorders>
              <w:top w:val="single" w:sz="4" w:space="0" w:color="auto"/>
              <w:left w:val="single" w:sz="4" w:space="0" w:color="auto"/>
              <w:bottom w:val="single" w:sz="4" w:space="0" w:color="auto"/>
              <w:right w:val="single" w:sz="4" w:space="0" w:color="auto"/>
            </w:tcBorders>
          </w:tcPr>
          <w:p w14:paraId="227D00EE" w14:textId="77777777" w:rsidR="00896456" w:rsidRPr="00B0658A" w:rsidRDefault="00896456" w:rsidP="000A4114">
            <w:pPr>
              <w:pStyle w:val="ConsPlusNormal"/>
            </w:pPr>
          </w:p>
        </w:tc>
        <w:tc>
          <w:tcPr>
            <w:tcW w:w="622" w:type="pct"/>
            <w:tcBorders>
              <w:top w:val="single" w:sz="4" w:space="0" w:color="auto"/>
              <w:left w:val="single" w:sz="4" w:space="0" w:color="auto"/>
              <w:bottom w:val="single" w:sz="4" w:space="0" w:color="auto"/>
              <w:right w:val="single" w:sz="4" w:space="0" w:color="auto"/>
            </w:tcBorders>
          </w:tcPr>
          <w:p w14:paraId="30996E6C" w14:textId="77777777" w:rsidR="00896456" w:rsidRPr="00B0658A" w:rsidRDefault="00896456" w:rsidP="000A4114">
            <w:pPr>
              <w:pStyle w:val="ConsPlusNormal"/>
            </w:pPr>
          </w:p>
        </w:tc>
        <w:tc>
          <w:tcPr>
            <w:tcW w:w="1024" w:type="pct"/>
            <w:tcBorders>
              <w:top w:val="single" w:sz="4" w:space="0" w:color="auto"/>
              <w:left w:val="single" w:sz="4" w:space="0" w:color="auto"/>
              <w:bottom w:val="single" w:sz="4" w:space="0" w:color="auto"/>
              <w:right w:val="single" w:sz="4" w:space="0" w:color="auto"/>
            </w:tcBorders>
          </w:tcPr>
          <w:p w14:paraId="092DF569" w14:textId="77777777" w:rsidR="00896456" w:rsidRPr="00B0658A" w:rsidRDefault="00896456" w:rsidP="000A4114">
            <w:pPr>
              <w:pStyle w:val="ConsPlusNormal"/>
            </w:pPr>
          </w:p>
        </w:tc>
      </w:tr>
      <w:tr w:rsidR="00F52FED" w:rsidRPr="00B0658A" w14:paraId="2541D559" w14:textId="77777777" w:rsidTr="00B10FDE">
        <w:trPr>
          <w:trHeight w:val="20"/>
        </w:trPr>
        <w:tc>
          <w:tcPr>
            <w:tcW w:w="204" w:type="pct"/>
            <w:tcBorders>
              <w:top w:val="single" w:sz="4" w:space="0" w:color="auto"/>
              <w:left w:val="single" w:sz="4" w:space="0" w:color="auto"/>
              <w:bottom w:val="single" w:sz="4" w:space="0" w:color="auto"/>
              <w:right w:val="single" w:sz="4" w:space="0" w:color="auto"/>
            </w:tcBorders>
          </w:tcPr>
          <w:p w14:paraId="1CF47DE6" w14:textId="77777777" w:rsidR="00896456" w:rsidRPr="00B0658A" w:rsidRDefault="00896456" w:rsidP="000A4114">
            <w:pPr>
              <w:pStyle w:val="ConsPlusNormal"/>
            </w:pPr>
            <w:r w:rsidRPr="00B0658A">
              <w:t>1</w:t>
            </w:r>
            <w:r w:rsidRPr="00B0658A">
              <w:rPr>
                <w:lang w:val="en-US"/>
              </w:rPr>
              <w:t>.n</w:t>
            </w:r>
          </w:p>
        </w:tc>
        <w:tc>
          <w:tcPr>
            <w:tcW w:w="829" w:type="pct"/>
            <w:tcBorders>
              <w:top w:val="single" w:sz="4" w:space="0" w:color="auto"/>
              <w:left w:val="single" w:sz="4" w:space="0" w:color="auto"/>
              <w:bottom w:val="single" w:sz="4" w:space="0" w:color="auto"/>
              <w:right w:val="single" w:sz="4" w:space="0" w:color="auto"/>
            </w:tcBorders>
          </w:tcPr>
          <w:p w14:paraId="6A8EA4D0" w14:textId="77777777" w:rsidR="00896456" w:rsidRPr="00B0658A" w:rsidRDefault="00896456" w:rsidP="000A4114">
            <w:pPr>
              <w:pStyle w:val="ConsPlusNormal"/>
            </w:pPr>
          </w:p>
        </w:tc>
        <w:tc>
          <w:tcPr>
            <w:tcW w:w="1133" w:type="pct"/>
            <w:tcBorders>
              <w:top w:val="single" w:sz="4" w:space="0" w:color="auto"/>
              <w:left w:val="single" w:sz="4" w:space="0" w:color="auto"/>
              <w:bottom w:val="single" w:sz="4" w:space="0" w:color="auto"/>
              <w:right w:val="single" w:sz="4" w:space="0" w:color="auto"/>
            </w:tcBorders>
          </w:tcPr>
          <w:p w14:paraId="7D55AB9B" w14:textId="77777777" w:rsidR="00896456" w:rsidRPr="00B0658A" w:rsidRDefault="00896456" w:rsidP="000A4114">
            <w:pPr>
              <w:pStyle w:val="ConsPlusNormal"/>
            </w:pPr>
          </w:p>
        </w:tc>
        <w:tc>
          <w:tcPr>
            <w:tcW w:w="1188" w:type="pct"/>
            <w:tcBorders>
              <w:top w:val="single" w:sz="4" w:space="0" w:color="auto"/>
              <w:left w:val="single" w:sz="4" w:space="0" w:color="auto"/>
              <w:bottom w:val="single" w:sz="4" w:space="0" w:color="auto"/>
              <w:right w:val="single" w:sz="4" w:space="0" w:color="auto"/>
            </w:tcBorders>
          </w:tcPr>
          <w:p w14:paraId="5AA556AA" w14:textId="77777777" w:rsidR="00896456" w:rsidRPr="00B0658A" w:rsidRDefault="00896456" w:rsidP="000A4114">
            <w:pPr>
              <w:pStyle w:val="ConsPlusNormal"/>
            </w:pPr>
          </w:p>
        </w:tc>
        <w:tc>
          <w:tcPr>
            <w:tcW w:w="622" w:type="pct"/>
            <w:tcBorders>
              <w:top w:val="single" w:sz="4" w:space="0" w:color="auto"/>
              <w:left w:val="single" w:sz="4" w:space="0" w:color="auto"/>
              <w:bottom w:val="single" w:sz="4" w:space="0" w:color="auto"/>
              <w:right w:val="single" w:sz="4" w:space="0" w:color="auto"/>
            </w:tcBorders>
          </w:tcPr>
          <w:p w14:paraId="13FA8D41" w14:textId="77777777" w:rsidR="00896456" w:rsidRPr="00B0658A" w:rsidRDefault="00896456" w:rsidP="000A4114">
            <w:pPr>
              <w:pStyle w:val="ConsPlusNormal"/>
            </w:pPr>
          </w:p>
        </w:tc>
        <w:tc>
          <w:tcPr>
            <w:tcW w:w="1024" w:type="pct"/>
            <w:tcBorders>
              <w:top w:val="single" w:sz="4" w:space="0" w:color="auto"/>
              <w:left w:val="single" w:sz="4" w:space="0" w:color="auto"/>
              <w:bottom w:val="single" w:sz="4" w:space="0" w:color="auto"/>
              <w:right w:val="single" w:sz="4" w:space="0" w:color="auto"/>
            </w:tcBorders>
          </w:tcPr>
          <w:p w14:paraId="0E09B3C2" w14:textId="77777777" w:rsidR="00896456" w:rsidRPr="00B0658A" w:rsidRDefault="00896456" w:rsidP="000A4114">
            <w:pPr>
              <w:pStyle w:val="ConsPlusNormal"/>
            </w:pPr>
          </w:p>
        </w:tc>
      </w:tr>
      <w:tr w:rsidR="00F52FED" w:rsidRPr="00B0658A" w14:paraId="17A8F036" w14:textId="77777777" w:rsidTr="00B10FDE">
        <w:trPr>
          <w:trHeight w:val="20"/>
        </w:trPr>
        <w:tc>
          <w:tcPr>
            <w:tcW w:w="5000" w:type="pct"/>
            <w:gridSpan w:val="6"/>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9A26FD3" w14:textId="77777777" w:rsidR="00896456" w:rsidRPr="00B0658A" w:rsidRDefault="00896456" w:rsidP="000A4114">
            <w:pPr>
              <w:pStyle w:val="ConsPlusNormal"/>
            </w:pPr>
            <w:r w:rsidRPr="00B0658A">
              <w:t>2. Мероприятия в отношении ________ (наименование значимого объекта КИИ № 2)</w:t>
            </w:r>
          </w:p>
        </w:tc>
      </w:tr>
      <w:tr w:rsidR="00F52FED" w:rsidRPr="00B0658A" w14:paraId="7A95BD0F" w14:textId="77777777" w:rsidTr="00B10FDE">
        <w:trPr>
          <w:trHeight w:val="20"/>
        </w:trPr>
        <w:tc>
          <w:tcPr>
            <w:tcW w:w="204" w:type="pct"/>
            <w:tcBorders>
              <w:top w:val="single" w:sz="4" w:space="0" w:color="auto"/>
              <w:left w:val="single" w:sz="4" w:space="0" w:color="auto"/>
              <w:bottom w:val="single" w:sz="4" w:space="0" w:color="auto"/>
              <w:right w:val="single" w:sz="4" w:space="0" w:color="auto"/>
            </w:tcBorders>
          </w:tcPr>
          <w:p w14:paraId="4713F313" w14:textId="77777777" w:rsidR="00896456" w:rsidRPr="00B0658A" w:rsidRDefault="00896456" w:rsidP="000A4114">
            <w:pPr>
              <w:pStyle w:val="ConsPlusNormal"/>
              <w:rPr>
                <w:lang w:val="en-US"/>
              </w:rPr>
            </w:pPr>
            <w:r w:rsidRPr="00B0658A">
              <w:rPr>
                <w:lang w:val="en-US"/>
              </w:rPr>
              <w:t>2.1</w:t>
            </w:r>
          </w:p>
        </w:tc>
        <w:tc>
          <w:tcPr>
            <w:tcW w:w="829" w:type="pct"/>
            <w:tcBorders>
              <w:top w:val="single" w:sz="4" w:space="0" w:color="auto"/>
              <w:left w:val="single" w:sz="4" w:space="0" w:color="auto"/>
              <w:bottom w:val="single" w:sz="4" w:space="0" w:color="auto"/>
              <w:right w:val="single" w:sz="4" w:space="0" w:color="auto"/>
            </w:tcBorders>
          </w:tcPr>
          <w:p w14:paraId="6361073A" w14:textId="77777777" w:rsidR="00896456" w:rsidRPr="00B0658A" w:rsidRDefault="00896456" w:rsidP="000A4114">
            <w:pPr>
              <w:pStyle w:val="ConsPlusNormal"/>
            </w:pPr>
          </w:p>
        </w:tc>
        <w:tc>
          <w:tcPr>
            <w:tcW w:w="1133" w:type="pct"/>
            <w:tcBorders>
              <w:top w:val="single" w:sz="4" w:space="0" w:color="auto"/>
              <w:left w:val="single" w:sz="4" w:space="0" w:color="auto"/>
              <w:bottom w:val="single" w:sz="4" w:space="0" w:color="auto"/>
              <w:right w:val="single" w:sz="4" w:space="0" w:color="auto"/>
            </w:tcBorders>
          </w:tcPr>
          <w:p w14:paraId="1C5F286B" w14:textId="77777777" w:rsidR="00896456" w:rsidRPr="00B0658A" w:rsidRDefault="00896456" w:rsidP="000A4114">
            <w:pPr>
              <w:pStyle w:val="ConsPlusNormal"/>
            </w:pPr>
          </w:p>
        </w:tc>
        <w:tc>
          <w:tcPr>
            <w:tcW w:w="1188" w:type="pct"/>
            <w:tcBorders>
              <w:top w:val="single" w:sz="4" w:space="0" w:color="auto"/>
              <w:left w:val="single" w:sz="4" w:space="0" w:color="auto"/>
              <w:bottom w:val="single" w:sz="4" w:space="0" w:color="auto"/>
              <w:right w:val="single" w:sz="4" w:space="0" w:color="auto"/>
            </w:tcBorders>
          </w:tcPr>
          <w:p w14:paraId="099E5D60" w14:textId="77777777" w:rsidR="00896456" w:rsidRPr="00B0658A" w:rsidRDefault="00896456" w:rsidP="000A4114">
            <w:pPr>
              <w:pStyle w:val="ConsPlusNormal"/>
            </w:pPr>
          </w:p>
        </w:tc>
        <w:tc>
          <w:tcPr>
            <w:tcW w:w="622" w:type="pct"/>
            <w:tcBorders>
              <w:top w:val="single" w:sz="4" w:space="0" w:color="auto"/>
              <w:left w:val="single" w:sz="4" w:space="0" w:color="auto"/>
              <w:bottom w:val="single" w:sz="4" w:space="0" w:color="auto"/>
              <w:right w:val="single" w:sz="4" w:space="0" w:color="auto"/>
            </w:tcBorders>
          </w:tcPr>
          <w:p w14:paraId="1B70F0D0" w14:textId="77777777" w:rsidR="00896456" w:rsidRPr="00B0658A" w:rsidRDefault="00896456" w:rsidP="000A4114">
            <w:pPr>
              <w:pStyle w:val="ConsPlusNormal"/>
            </w:pPr>
          </w:p>
        </w:tc>
        <w:tc>
          <w:tcPr>
            <w:tcW w:w="1024" w:type="pct"/>
            <w:tcBorders>
              <w:top w:val="single" w:sz="4" w:space="0" w:color="auto"/>
              <w:left w:val="single" w:sz="4" w:space="0" w:color="auto"/>
              <w:bottom w:val="single" w:sz="4" w:space="0" w:color="auto"/>
              <w:right w:val="single" w:sz="4" w:space="0" w:color="auto"/>
            </w:tcBorders>
          </w:tcPr>
          <w:p w14:paraId="56D3133C" w14:textId="77777777" w:rsidR="00896456" w:rsidRPr="00B0658A" w:rsidRDefault="00896456" w:rsidP="000A4114">
            <w:pPr>
              <w:pStyle w:val="ConsPlusNormal"/>
            </w:pPr>
          </w:p>
        </w:tc>
      </w:tr>
      <w:tr w:rsidR="00F52FED" w:rsidRPr="00B0658A" w14:paraId="691B2DBB" w14:textId="77777777" w:rsidTr="00B10FDE">
        <w:trPr>
          <w:trHeight w:val="20"/>
        </w:trPr>
        <w:tc>
          <w:tcPr>
            <w:tcW w:w="204" w:type="pct"/>
            <w:tcBorders>
              <w:top w:val="single" w:sz="4" w:space="0" w:color="auto"/>
              <w:left w:val="single" w:sz="4" w:space="0" w:color="auto"/>
              <w:bottom w:val="single" w:sz="4" w:space="0" w:color="auto"/>
              <w:right w:val="single" w:sz="4" w:space="0" w:color="auto"/>
            </w:tcBorders>
          </w:tcPr>
          <w:p w14:paraId="5D82E79A" w14:textId="77777777" w:rsidR="00896456" w:rsidRPr="00B0658A" w:rsidRDefault="00896456" w:rsidP="000A4114">
            <w:pPr>
              <w:pStyle w:val="ConsPlusNormal"/>
              <w:rPr>
                <w:lang w:val="en-US"/>
              </w:rPr>
            </w:pPr>
            <w:r w:rsidRPr="00B0658A">
              <w:rPr>
                <w:lang w:val="en-US"/>
              </w:rPr>
              <w:t>2.2</w:t>
            </w:r>
          </w:p>
        </w:tc>
        <w:tc>
          <w:tcPr>
            <w:tcW w:w="829" w:type="pct"/>
            <w:tcBorders>
              <w:top w:val="single" w:sz="4" w:space="0" w:color="auto"/>
              <w:left w:val="single" w:sz="4" w:space="0" w:color="auto"/>
              <w:bottom w:val="single" w:sz="4" w:space="0" w:color="auto"/>
              <w:right w:val="single" w:sz="4" w:space="0" w:color="auto"/>
            </w:tcBorders>
          </w:tcPr>
          <w:p w14:paraId="01FBE23B" w14:textId="77777777" w:rsidR="00896456" w:rsidRPr="00B0658A" w:rsidRDefault="00896456" w:rsidP="000A4114">
            <w:pPr>
              <w:pStyle w:val="ConsPlusNormal"/>
            </w:pPr>
          </w:p>
        </w:tc>
        <w:tc>
          <w:tcPr>
            <w:tcW w:w="1133" w:type="pct"/>
            <w:tcBorders>
              <w:top w:val="single" w:sz="4" w:space="0" w:color="auto"/>
              <w:left w:val="single" w:sz="4" w:space="0" w:color="auto"/>
              <w:bottom w:val="single" w:sz="4" w:space="0" w:color="auto"/>
              <w:right w:val="single" w:sz="4" w:space="0" w:color="auto"/>
            </w:tcBorders>
          </w:tcPr>
          <w:p w14:paraId="37229866" w14:textId="77777777" w:rsidR="00896456" w:rsidRPr="00B0658A" w:rsidRDefault="00896456" w:rsidP="000A4114">
            <w:pPr>
              <w:pStyle w:val="ConsPlusNormal"/>
            </w:pPr>
          </w:p>
        </w:tc>
        <w:tc>
          <w:tcPr>
            <w:tcW w:w="1188" w:type="pct"/>
            <w:tcBorders>
              <w:top w:val="single" w:sz="4" w:space="0" w:color="auto"/>
              <w:left w:val="single" w:sz="4" w:space="0" w:color="auto"/>
              <w:bottom w:val="single" w:sz="4" w:space="0" w:color="auto"/>
              <w:right w:val="single" w:sz="4" w:space="0" w:color="auto"/>
            </w:tcBorders>
          </w:tcPr>
          <w:p w14:paraId="453D45EB" w14:textId="77777777" w:rsidR="00896456" w:rsidRPr="00B0658A" w:rsidRDefault="00896456" w:rsidP="000A4114">
            <w:pPr>
              <w:pStyle w:val="ConsPlusNormal"/>
            </w:pPr>
          </w:p>
        </w:tc>
        <w:tc>
          <w:tcPr>
            <w:tcW w:w="622" w:type="pct"/>
            <w:tcBorders>
              <w:top w:val="single" w:sz="4" w:space="0" w:color="auto"/>
              <w:left w:val="single" w:sz="4" w:space="0" w:color="auto"/>
              <w:bottom w:val="single" w:sz="4" w:space="0" w:color="auto"/>
              <w:right w:val="single" w:sz="4" w:space="0" w:color="auto"/>
            </w:tcBorders>
          </w:tcPr>
          <w:p w14:paraId="5AB01013" w14:textId="77777777" w:rsidR="00896456" w:rsidRPr="00B0658A" w:rsidRDefault="00896456" w:rsidP="000A4114">
            <w:pPr>
              <w:pStyle w:val="ConsPlusNormal"/>
            </w:pPr>
          </w:p>
        </w:tc>
        <w:tc>
          <w:tcPr>
            <w:tcW w:w="1024" w:type="pct"/>
            <w:tcBorders>
              <w:top w:val="single" w:sz="4" w:space="0" w:color="auto"/>
              <w:left w:val="single" w:sz="4" w:space="0" w:color="auto"/>
              <w:bottom w:val="single" w:sz="4" w:space="0" w:color="auto"/>
              <w:right w:val="single" w:sz="4" w:space="0" w:color="auto"/>
            </w:tcBorders>
          </w:tcPr>
          <w:p w14:paraId="2F65A296" w14:textId="77777777" w:rsidR="00896456" w:rsidRPr="00B0658A" w:rsidRDefault="00896456" w:rsidP="000A4114">
            <w:pPr>
              <w:pStyle w:val="ConsPlusNormal"/>
            </w:pPr>
          </w:p>
        </w:tc>
      </w:tr>
      <w:tr w:rsidR="00F52FED" w:rsidRPr="00B0658A" w14:paraId="4B79CE11" w14:textId="77777777" w:rsidTr="00B10FDE">
        <w:trPr>
          <w:trHeight w:val="20"/>
        </w:trPr>
        <w:tc>
          <w:tcPr>
            <w:tcW w:w="204" w:type="pct"/>
            <w:tcBorders>
              <w:top w:val="single" w:sz="4" w:space="0" w:color="auto"/>
              <w:left w:val="single" w:sz="4" w:space="0" w:color="auto"/>
              <w:bottom w:val="single" w:sz="4" w:space="0" w:color="auto"/>
              <w:right w:val="single" w:sz="4" w:space="0" w:color="auto"/>
            </w:tcBorders>
          </w:tcPr>
          <w:p w14:paraId="52B64596" w14:textId="77777777" w:rsidR="00896456" w:rsidRPr="00B0658A" w:rsidRDefault="00896456" w:rsidP="000A4114">
            <w:pPr>
              <w:pStyle w:val="ConsPlusNormal"/>
              <w:rPr>
                <w:lang w:val="en-US"/>
              </w:rPr>
            </w:pPr>
            <w:r w:rsidRPr="00B0658A">
              <w:rPr>
                <w:lang w:val="en-US"/>
              </w:rPr>
              <w:t>….</w:t>
            </w:r>
          </w:p>
        </w:tc>
        <w:tc>
          <w:tcPr>
            <w:tcW w:w="829" w:type="pct"/>
            <w:tcBorders>
              <w:top w:val="single" w:sz="4" w:space="0" w:color="auto"/>
              <w:left w:val="single" w:sz="4" w:space="0" w:color="auto"/>
              <w:bottom w:val="single" w:sz="4" w:space="0" w:color="auto"/>
              <w:right w:val="single" w:sz="4" w:space="0" w:color="auto"/>
            </w:tcBorders>
          </w:tcPr>
          <w:p w14:paraId="35985F7D" w14:textId="77777777" w:rsidR="00896456" w:rsidRPr="00B0658A" w:rsidRDefault="00896456" w:rsidP="000A4114">
            <w:pPr>
              <w:pStyle w:val="ConsPlusNormal"/>
            </w:pPr>
          </w:p>
        </w:tc>
        <w:tc>
          <w:tcPr>
            <w:tcW w:w="1133" w:type="pct"/>
            <w:tcBorders>
              <w:top w:val="single" w:sz="4" w:space="0" w:color="auto"/>
              <w:left w:val="single" w:sz="4" w:space="0" w:color="auto"/>
              <w:bottom w:val="single" w:sz="4" w:space="0" w:color="auto"/>
              <w:right w:val="single" w:sz="4" w:space="0" w:color="auto"/>
            </w:tcBorders>
          </w:tcPr>
          <w:p w14:paraId="319409A4" w14:textId="77777777" w:rsidR="00896456" w:rsidRPr="00B0658A" w:rsidRDefault="00896456" w:rsidP="000A4114">
            <w:pPr>
              <w:pStyle w:val="ConsPlusNormal"/>
            </w:pPr>
          </w:p>
        </w:tc>
        <w:tc>
          <w:tcPr>
            <w:tcW w:w="1188" w:type="pct"/>
            <w:tcBorders>
              <w:top w:val="single" w:sz="4" w:space="0" w:color="auto"/>
              <w:left w:val="single" w:sz="4" w:space="0" w:color="auto"/>
              <w:bottom w:val="single" w:sz="4" w:space="0" w:color="auto"/>
              <w:right w:val="single" w:sz="4" w:space="0" w:color="auto"/>
            </w:tcBorders>
          </w:tcPr>
          <w:p w14:paraId="17429A25" w14:textId="77777777" w:rsidR="00896456" w:rsidRPr="00B0658A" w:rsidRDefault="00896456" w:rsidP="000A4114">
            <w:pPr>
              <w:pStyle w:val="ConsPlusNormal"/>
            </w:pPr>
          </w:p>
        </w:tc>
        <w:tc>
          <w:tcPr>
            <w:tcW w:w="622" w:type="pct"/>
            <w:tcBorders>
              <w:top w:val="single" w:sz="4" w:space="0" w:color="auto"/>
              <w:left w:val="single" w:sz="4" w:space="0" w:color="auto"/>
              <w:bottom w:val="single" w:sz="4" w:space="0" w:color="auto"/>
              <w:right w:val="single" w:sz="4" w:space="0" w:color="auto"/>
            </w:tcBorders>
          </w:tcPr>
          <w:p w14:paraId="71202E71" w14:textId="77777777" w:rsidR="00896456" w:rsidRPr="00B0658A" w:rsidRDefault="00896456" w:rsidP="000A4114">
            <w:pPr>
              <w:pStyle w:val="ConsPlusNormal"/>
            </w:pPr>
          </w:p>
        </w:tc>
        <w:tc>
          <w:tcPr>
            <w:tcW w:w="1024" w:type="pct"/>
            <w:tcBorders>
              <w:top w:val="single" w:sz="4" w:space="0" w:color="auto"/>
              <w:left w:val="single" w:sz="4" w:space="0" w:color="auto"/>
              <w:bottom w:val="single" w:sz="4" w:space="0" w:color="auto"/>
              <w:right w:val="single" w:sz="4" w:space="0" w:color="auto"/>
            </w:tcBorders>
          </w:tcPr>
          <w:p w14:paraId="7AA29D4F" w14:textId="77777777" w:rsidR="00896456" w:rsidRPr="00B0658A" w:rsidRDefault="00896456" w:rsidP="000A4114">
            <w:pPr>
              <w:pStyle w:val="ConsPlusNormal"/>
            </w:pPr>
          </w:p>
        </w:tc>
      </w:tr>
      <w:tr w:rsidR="00F52FED" w:rsidRPr="00B0658A" w14:paraId="4C09D0CF" w14:textId="77777777" w:rsidTr="00B10FDE">
        <w:trPr>
          <w:trHeight w:val="20"/>
        </w:trPr>
        <w:tc>
          <w:tcPr>
            <w:tcW w:w="204" w:type="pct"/>
            <w:tcBorders>
              <w:top w:val="single" w:sz="4" w:space="0" w:color="auto"/>
              <w:left w:val="single" w:sz="4" w:space="0" w:color="auto"/>
              <w:bottom w:val="single" w:sz="4" w:space="0" w:color="auto"/>
              <w:right w:val="single" w:sz="4" w:space="0" w:color="auto"/>
            </w:tcBorders>
          </w:tcPr>
          <w:p w14:paraId="1AE35172" w14:textId="77777777" w:rsidR="00896456" w:rsidRPr="00B0658A" w:rsidRDefault="00896456" w:rsidP="000A4114">
            <w:pPr>
              <w:pStyle w:val="ConsPlusNormal"/>
              <w:rPr>
                <w:lang w:val="en-US"/>
              </w:rPr>
            </w:pPr>
            <w:r w:rsidRPr="00B0658A">
              <w:rPr>
                <w:lang w:val="en-US"/>
              </w:rPr>
              <w:t>2.n</w:t>
            </w:r>
          </w:p>
        </w:tc>
        <w:tc>
          <w:tcPr>
            <w:tcW w:w="829" w:type="pct"/>
            <w:tcBorders>
              <w:top w:val="single" w:sz="4" w:space="0" w:color="auto"/>
              <w:left w:val="single" w:sz="4" w:space="0" w:color="auto"/>
              <w:bottom w:val="single" w:sz="4" w:space="0" w:color="auto"/>
              <w:right w:val="single" w:sz="4" w:space="0" w:color="auto"/>
            </w:tcBorders>
          </w:tcPr>
          <w:p w14:paraId="1DB85224" w14:textId="77777777" w:rsidR="00896456" w:rsidRPr="00B0658A" w:rsidRDefault="00896456" w:rsidP="000A4114">
            <w:pPr>
              <w:pStyle w:val="ConsPlusNormal"/>
            </w:pPr>
          </w:p>
        </w:tc>
        <w:tc>
          <w:tcPr>
            <w:tcW w:w="1133" w:type="pct"/>
            <w:tcBorders>
              <w:top w:val="single" w:sz="4" w:space="0" w:color="auto"/>
              <w:left w:val="single" w:sz="4" w:space="0" w:color="auto"/>
              <w:bottom w:val="single" w:sz="4" w:space="0" w:color="auto"/>
              <w:right w:val="single" w:sz="4" w:space="0" w:color="auto"/>
            </w:tcBorders>
          </w:tcPr>
          <w:p w14:paraId="4333ECBF" w14:textId="77777777" w:rsidR="00896456" w:rsidRPr="00B0658A" w:rsidRDefault="00896456" w:rsidP="000A4114">
            <w:pPr>
              <w:pStyle w:val="ConsPlusNormal"/>
            </w:pPr>
          </w:p>
        </w:tc>
        <w:tc>
          <w:tcPr>
            <w:tcW w:w="1188" w:type="pct"/>
            <w:tcBorders>
              <w:top w:val="single" w:sz="4" w:space="0" w:color="auto"/>
              <w:left w:val="single" w:sz="4" w:space="0" w:color="auto"/>
              <w:bottom w:val="single" w:sz="4" w:space="0" w:color="auto"/>
              <w:right w:val="single" w:sz="4" w:space="0" w:color="auto"/>
            </w:tcBorders>
          </w:tcPr>
          <w:p w14:paraId="3A0E21AC" w14:textId="77777777" w:rsidR="00896456" w:rsidRPr="00B0658A" w:rsidRDefault="00896456" w:rsidP="000A4114">
            <w:pPr>
              <w:pStyle w:val="ConsPlusNormal"/>
            </w:pPr>
          </w:p>
        </w:tc>
        <w:tc>
          <w:tcPr>
            <w:tcW w:w="622" w:type="pct"/>
            <w:tcBorders>
              <w:top w:val="single" w:sz="4" w:space="0" w:color="auto"/>
              <w:left w:val="single" w:sz="4" w:space="0" w:color="auto"/>
              <w:bottom w:val="single" w:sz="4" w:space="0" w:color="auto"/>
              <w:right w:val="single" w:sz="4" w:space="0" w:color="auto"/>
            </w:tcBorders>
          </w:tcPr>
          <w:p w14:paraId="4B2E857F" w14:textId="77777777" w:rsidR="00896456" w:rsidRPr="00B0658A" w:rsidRDefault="00896456" w:rsidP="000A4114">
            <w:pPr>
              <w:pStyle w:val="ConsPlusNormal"/>
            </w:pPr>
          </w:p>
        </w:tc>
        <w:tc>
          <w:tcPr>
            <w:tcW w:w="1024" w:type="pct"/>
            <w:tcBorders>
              <w:top w:val="single" w:sz="4" w:space="0" w:color="auto"/>
              <w:left w:val="single" w:sz="4" w:space="0" w:color="auto"/>
              <w:bottom w:val="single" w:sz="4" w:space="0" w:color="auto"/>
              <w:right w:val="single" w:sz="4" w:space="0" w:color="auto"/>
            </w:tcBorders>
          </w:tcPr>
          <w:p w14:paraId="52C433F3" w14:textId="77777777" w:rsidR="00896456" w:rsidRPr="00B0658A" w:rsidRDefault="00896456" w:rsidP="000A4114">
            <w:pPr>
              <w:pStyle w:val="ConsPlusNormal"/>
            </w:pPr>
          </w:p>
        </w:tc>
      </w:tr>
      <w:tr w:rsidR="00F52FED" w:rsidRPr="00B0658A" w14:paraId="22C39D1F" w14:textId="77777777" w:rsidTr="00B10FDE">
        <w:trPr>
          <w:trHeight w:val="20"/>
        </w:trPr>
        <w:tc>
          <w:tcPr>
            <w:tcW w:w="5000" w:type="pct"/>
            <w:gridSpan w:val="6"/>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F9C85BE" w14:textId="77777777" w:rsidR="00896456" w:rsidRPr="00B0658A" w:rsidRDefault="0008219B" w:rsidP="000A4114">
            <w:pPr>
              <w:pStyle w:val="ConsPlusNormal"/>
            </w:pPr>
            <w:r w:rsidRPr="00B0658A">
              <w:rPr>
                <w:lang w:val="en-US"/>
              </w:rPr>
              <w:t>N</w:t>
            </w:r>
            <w:r w:rsidR="00896456" w:rsidRPr="00B0658A">
              <w:t xml:space="preserve">. Мероприятия в отношении ________ (наименование значимого объекта КИИ № </w:t>
            </w:r>
            <w:r w:rsidR="00896456" w:rsidRPr="00B0658A">
              <w:rPr>
                <w:lang w:val="en-US"/>
              </w:rPr>
              <w:t>N</w:t>
            </w:r>
            <w:r w:rsidR="00896456" w:rsidRPr="00B0658A">
              <w:t>)</w:t>
            </w:r>
          </w:p>
        </w:tc>
      </w:tr>
      <w:tr w:rsidR="00F52FED" w:rsidRPr="00B0658A" w14:paraId="038B0676" w14:textId="77777777" w:rsidTr="00B10FDE">
        <w:trPr>
          <w:trHeight w:val="20"/>
        </w:trPr>
        <w:tc>
          <w:tcPr>
            <w:tcW w:w="204" w:type="pct"/>
            <w:tcBorders>
              <w:top w:val="single" w:sz="4" w:space="0" w:color="auto"/>
              <w:left w:val="single" w:sz="4" w:space="0" w:color="auto"/>
              <w:bottom w:val="single" w:sz="4" w:space="0" w:color="auto"/>
              <w:right w:val="single" w:sz="4" w:space="0" w:color="auto"/>
            </w:tcBorders>
          </w:tcPr>
          <w:p w14:paraId="456F7299" w14:textId="77777777" w:rsidR="00896456" w:rsidRPr="00B0658A" w:rsidRDefault="00896456" w:rsidP="000A4114">
            <w:pPr>
              <w:pStyle w:val="ConsPlusNormal"/>
              <w:rPr>
                <w:lang w:val="en-US"/>
              </w:rPr>
            </w:pPr>
            <w:r w:rsidRPr="00B0658A">
              <w:rPr>
                <w:lang w:val="en-US"/>
              </w:rPr>
              <w:t>N.1</w:t>
            </w:r>
          </w:p>
        </w:tc>
        <w:tc>
          <w:tcPr>
            <w:tcW w:w="829" w:type="pct"/>
            <w:tcBorders>
              <w:top w:val="single" w:sz="4" w:space="0" w:color="auto"/>
              <w:left w:val="single" w:sz="4" w:space="0" w:color="auto"/>
              <w:bottom w:val="single" w:sz="4" w:space="0" w:color="auto"/>
              <w:right w:val="single" w:sz="4" w:space="0" w:color="auto"/>
            </w:tcBorders>
          </w:tcPr>
          <w:p w14:paraId="5F8C243B" w14:textId="77777777" w:rsidR="00896456" w:rsidRPr="00B0658A" w:rsidRDefault="00896456" w:rsidP="000A4114">
            <w:pPr>
              <w:pStyle w:val="ConsPlusNormal"/>
            </w:pPr>
          </w:p>
        </w:tc>
        <w:tc>
          <w:tcPr>
            <w:tcW w:w="1133" w:type="pct"/>
            <w:tcBorders>
              <w:top w:val="single" w:sz="4" w:space="0" w:color="auto"/>
              <w:left w:val="single" w:sz="4" w:space="0" w:color="auto"/>
              <w:bottom w:val="single" w:sz="4" w:space="0" w:color="auto"/>
              <w:right w:val="single" w:sz="4" w:space="0" w:color="auto"/>
            </w:tcBorders>
          </w:tcPr>
          <w:p w14:paraId="1E56E4AC" w14:textId="77777777" w:rsidR="00896456" w:rsidRPr="00B0658A" w:rsidRDefault="00896456" w:rsidP="000A4114">
            <w:pPr>
              <w:pStyle w:val="ConsPlusNormal"/>
            </w:pPr>
          </w:p>
        </w:tc>
        <w:tc>
          <w:tcPr>
            <w:tcW w:w="1188" w:type="pct"/>
            <w:tcBorders>
              <w:top w:val="single" w:sz="4" w:space="0" w:color="auto"/>
              <w:left w:val="single" w:sz="4" w:space="0" w:color="auto"/>
              <w:bottom w:val="single" w:sz="4" w:space="0" w:color="auto"/>
              <w:right w:val="single" w:sz="4" w:space="0" w:color="auto"/>
            </w:tcBorders>
          </w:tcPr>
          <w:p w14:paraId="068F49EB" w14:textId="77777777" w:rsidR="00896456" w:rsidRPr="00B0658A" w:rsidRDefault="00896456" w:rsidP="000A4114">
            <w:pPr>
              <w:pStyle w:val="ConsPlusNormal"/>
            </w:pPr>
          </w:p>
        </w:tc>
        <w:tc>
          <w:tcPr>
            <w:tcW w:w="622" w:type="pct"/>
            <w:tcBorders>
              <w:top w:val="single" w:sz="4" w:space="0" w:color="auto"/>
              <w:left w:val="single" w:sz="4" w:space="0" w:color="auto"/>
              <w:bottom w:val="single" w:sz="4" w:space="0" w:color="auto"/>
              <w:right w:val="single" w:sz="4" w:space="0" w:color="auto"/>
            </w:tcBorders>
          </w:tcPr>
          <w:p w14:paraId="42136F06" w14:textId="77777777" w:rsidR="00896456" w:rsidRPr="00B0658A" w:rsidRDefault="00896456" w:rsidP="000A4114">
            <w:pPr>
              <w:pStyle w:val="ConsPlusNormal"/>
            </w:pPr>
          </w:p>
        </w:tc>
        <w:tc>
          <w:tcPr>
            <w:tcW w:w="1024" w:type="pct"/>
            <w:tcBorders>
              <w:top w:val="single" w:sz="4" w:space="0" w:color="auto"/>
              <w:left w:val="single" w:sz="4" w:space="0" w:color="auto"/>
              <w:bottom w:val="single" w:sz="4" w:space="0" w:color="auto"/>
              <w:right w:val="single" w:sz="4" w:space="0" w:color="auto"/>
            </w:tcBorders>
          </w:tcPr>
          <w:p w14:paraId="7E970AEC" w14:textId="77777777" w:rsidR="00896456" w:rsidRPr="00B0658A" w:rsidRDefault="00896456" w:rsidP="000A4114">
            <w:pPr>
              <w:pStyle w:val="ConsPlusNormal"/>
            </w:pPr>
          </w:p>
        </w:tc>
      </w:tr>
      <w:tr w:rsidR="00F52FED" w:rsidRPr="00B0658A" w14:paraId="69CF80B6" w14:textId="77777777" w:rsidTr="00B10FDE">
        <w:trPr>
          <w:trHeight w:val="20"/>
        </w:trPr>
        <w:tc>
          <w:tcPr>
            <w:tcW w:w="204" w:type="pct"/>
            <w:tcBorders>
              <w:top w:val="single" w:sz="4" w:space="0" w:color="auto"/>
              <w:left w:val="single" w:sz="4" w:space="0" w:color="auto"/>
              <w:bottom w:val="single" w:sz="4" w:space="0" w:color="auto"/>
              <w:right w:val="single" w:sz="4" w:space="0" w:color="auto"/>
            </w:tcBorders>
          </w:tcPr>
          <w:p w14:paraId="078380C3" w14:textId="77777777" w:rsidR="00896456" w:rsidRPr="00B0658A" w:rsidRDefault="00896456" w:rsidP="000A4114">
            <w:pPr>
              <w:pStyle w:val="ConsPlusNormal"/>
              <w:rPr>
                <w:lang w:val="en-US"/>
              </w:rPr>
            </w:pPr>
            <w:r w:rsidRPr="00B0658A">
              <w:rPr>
                <w:lang w:val="en-US"/>
              </w:rPr>
              <w:t>N.2</w:t>
            </w:r>
          </w:p>
        </w:tc>
        <w:tc>
          <w:tcPr>
            <w:tcW w:w="829" w:type="pct"/>
            <w:tcBorders>
              <w:top w:val="single" w:sz="4" w:space="0" w:color="auto"/>
              <w:left w:val="single" w:sz="4" w:space="0" w:color="auto"/>
              <w:bottom w:val="single" w:sz="4" w:space="0" w:color="auto"/>
              <w:right w:val="single" w:sz="4" w:space="0" w:color="auto"/>
            </w:tcBorders>
          </w:tcPr>
          <w:p w14:paraId="5AEF6C8A" w14:textId="77777777" w:rsidR="00896456" w:rsidRPr="00B0658A" w:rsidRDefault="00896456" w:rsidP="000A4114">
            <w:pPr>
              <w:pStyle w:val="ConsPlusNormal"/>
            </w:pPr>
          </w:p>
        </w:tc>
        <w:tc>
          <w:tcPr>
            <w:tcW w:w="1133" w:type="pct"/>
            <w:tcBorders>
              <w:top w:val="single" w:sz="4" w:space="0" w:color="auto"/>
              <w:left w:val="single" w:sz="4" w:space="0" w:color="auto"/>
              <w:bottom w:val="single" w:sz="4" w:space="0" w:color="auto"/>
              <w:right w:val="single" w:sz="4" w:space="0" w:color="auto"/>
            </w:tcBorders>
          </w:tcPr>
          <w:p w14:paraId="2E23D0B6" w14:textId="77777777" w:rsidR="00896456" w:rsidRPr="00B0658A" w:rsidRDefault="00896456" w:rsidP="000A4114">
            <w:pPr>
              <w:pStyle w:val="ConsPlusNormal"/>
            </w:pPr>
          </w:p>
        </w:tc>
        <w:tc>
          <w:tcPr>
            <w:tcW w:w="1188" w:type="pct"/>
            <w:tcBorders>
              <w:top w:val="single" w:sz="4" w:space="0" w:color="auto"/>
              <w:left w:val="single" w:sz="4" w:space="0" w:color="auto"/>
              <w:bottom w:val="single" w:sz="4" w:space="0" w:color="auto"/>
              <w:right w:val="single" w:sz="4" w:space="0" w:color="auto"/>
            </w:tcBorders>
          </w:tcPr>
          <w:p w14:paraId="2F0AA325" w14:textId="77777777" w:rsidR="00896456" w:rsidRPr="00B0658A" w:rsidRDefault="00896456" w:rsidP="000A4114">
            <w:pPr>
              <w:pStyle w:val="ConsPlusNormal"/>
            </w:pPr>
          </w:p>
        </w:tc>
        <w:tc>
          <w:tcPr>
            <w:tcW w:w="622" w:type="pct"/>
            <w:tcBorders>
              <w:top w:val="single" w:sz="4" w:space="0" w:color="auto"/>
              <w:left w:val="single" w:sz="4" w:space="0" w:color="auto"/>
              <w:bottom w:val="single" w:sz="4" w:space="0" w:color="auto"/>
              <w:right w:val="single" w:sz="4" w:space="0" w:color="auto"/>
            </w:tcBorders>
          </w:tcPr>
          <w:p w14:paraId="462191CA" w14:textId="77777777" w:rsidR="00896456" w:rsidRPr="00B0658A" w:rsidRDefault="00896456" w:rsidP="000A4114">
            <w:pPr>
              <w:pStyle w:val="ConsPlusNormal"/>
            </w:pPr>
          </w:p>
        </w:tc>
        <w:tc>
          <w:tcPr>
            <w:tcW w:w="1024" w:type="pct"/>
            <w:tcBorders>
              <w:top w:val="single" w:sz="4" w:space="0" w:color="auto"/>
              <w:left w:val="single" w:sz="4" w:space="0" w:color="auto"/>
              <w:bottom w:val="single" w:sz="4" w:space="0" w:color="auto"/>
              <w:right w:val="single" w:sz="4" w:space="0" w:color="auto"/>
            </w:tcBorders>
          </w:tcPr>
          <w:p w14:paraId="10E2D9F0" w14:textId="77777777" w:rsidR="00896456" w:rsidRPr="00B0658A" w:rsidRDefault="00896456" w:rsidP="000A4114">
            <w:pPr>
              <w:pStyle w:val="ConsPlusNormal"/>
            </w:pPr>
          </w:p>
        </w:tc>
      </w:tr>
      <w:tr w:rsidR="00F52FED" w:rsidRPr="00B0658A" w14:paraId="3A369146" w14:textId="77777777" w:rsidTr="00B10FDE">
        <w:trPr>
          <w:trHeight w:val="20"/>
        </w:trPr>
        <w:tc>
          <w:tcPr>
            <w:tcW w:w="204" w:type="pct"/>
            <w:tcBorders>
              <w:top w:val="single" w:sz="4" w:space="0" w:color="auto"/>
              <w:left w:val="single" w:sz="4" w:space="0" w:color="auto"/>
              <w:bottom w:val="single" w:sz="4" w:space="0" w:color="auto"/>
              <w:right w:val="single" w:sz="4" w:space="0" w:color="auto"/>
            </w:tcBorders>
          </w:tcPr>
          <w:p w14:paraId="5889AC9E" w14:textId="77777777" w:rsidR="00896456" w:rsidRPr="00B0658A" w:rsidRDefault="00896456" w:rsidP="000A4114">
            <w:pPr>
              <w:pStyle w:val="ConsPlusNormal"/>
            </w:pPr>
          </w:p>
        </w:tc>
        <w:tc>
          <w:tcPr>
            <w:tcW w:w="829" w:type="pct"/>
            <w:tcBorders>
              <w:top w:val="single" w:sz="4" w:space="0" w:color="auto"/>
              <w:left w:val="single" w:sz="4" w:space="0" w:color="auto"/>
              <w:bottom w:val="single" w:sz="4" w:space="0" w:color="auto"/>
              <w:right w:val="single" w:sz="4" w:space="0" w:color="auto"/>
            </w:tcBorders>
          </w:tcPr>
          <w:p w14:paraId="34B015D2" w14:textId="77777777" w:rsidR="00896456" w:rsidRPr="00B0658A" w:rsidRDefault="00896456" w:rsidP="000A4114">
            <w:pPr>
              <w:pStyle w:val="ConsPlusNormal"/>
            </w:pPr>
          </w:p>
        </w:tc>
        <w:tc>
          <w:tcPr>
            <w:tcW w:w="1133" w:type="pct"/>
            <w:tcBorders>
              <w:top w:val="single" w:sz="4" w:space="0" w:color="auto"/>
              <w:left w:val="single" w:sz="4" w:space="0" w:color="auto"/>
              <w:bottom w:val="single" w:sz="4" w:space="0" w:color="auto"/>
              <w:right w:val="single" w:sz="4" w:space="0" w:color="auto"/>
            </w:tcBorders>
          </w:tcPr>
          <w:p w14:paraId="6241ECC2" w14:textId="77777777" w:rsidR="00896456" w:rsidRPr="00B0658A" w:rsidRDefault="00896456" w:rsidP="000A4114">
            <w:pPr>
              <w:pStyle w:val="ConsPlusNormal"/>
            </w:pPr>
          </w:p>
        </w:tc>
        <w:tc>
          <w:tcPr>
            <w:tcW w:w="1188" w:type="pct"/>
            <w:tcBorders>
              <w:top w:val="single" w:sz="4" w:space="0" w:color="auto"/>
              <w:left w:val="single" w:sz="4" w:space="0" w:color="auto"/>
              <w:bottom w:val="single" w:sz="4" w:space="0" w:color="auto"/>
              <w:right w:val="single" w:sz="4" w:space="0" w:color="auto"/>
            </w:tcBorders>
          </w:tcPr>
          <w:p w14:paraId="1624B5A8" w14:textId="77777777" w:rsidR="00896456" w:rsidRPr="00B0658A" w:rsidRDefault="00896456" w:rsidP="000A4114">
            <w:pPr>
              <w:pStyle w:val="ConsPlusNormal"/>
            </w:pPr>
          </w:p>
        </w:tc>
        <w:tc>
          <w:tcPr>
            <w:tcW w:w="622" w:type="pct"/>
            <w:tcBorders>
              <w:top w:val="single" w:sz="4" w:space="0" w:color="auto"/>
              <w:left w:val="single" w:sz="4" w:space="0" w:color="auto"/>
              <w:bottom w:val="single" w:sz="4" w:space="0" w:color="auto"/>
              <w:right w:val="single" w:sz="4" w:space="0" w:color="auto"/>
            </w:tcBorders>
          </w:tcPr>
          <w:p w14:paraId="1959A615" w14:textId="77777777" w:rsidR="00896456" w:rsidRPr="00B0658A" w:rsidRDefault="00896456" w:rsidP="000A4114">
            <w:pPr>
              <w:pStyle w:val="ConsPlusNormal"/>
            </w:pPr>
          </w:p>
        </w:tc>
        <w:tc>
          <w:tcPr>
            <w:tcW w:w="1024" w:type="pct"/>
            <w:tcBorders>
              <w:top w:val="single" w:sz="4" w:space="0" w:color="auto"/>
              <w:left w:val="single" w:sz="4" w:space="0" w:color="auto"/>
              <w:bottom w:val="single" w:sz="4" w:space="0" w:color="auto"/>
              <w:right w:val="single" w:sz="4" w:space="0" w:color="auto"/>
            </w:tcBorders>
          </w:tcPr>
          <w:p w14:paraId="1F452203" w14:textId="77777777" w:rsidR="00896456" w:rsidRPr="00B0658A" w:rsidRDefault="00896456" w:rsidP="000A4114">
            <w:pPr>
              <w:pStyle w:val="ConsPlusNormal"/>
            </w:pPr>
          </w:p>
        </w:tc>
      </w:tr>
      <w:tr w:rsidR="00896456" w:rsidRPr="00B0658A" w14:paraId="563D1A27" w14:textId="77777777" w:rsidTr="00B10FDE">
        <w:trPr>
          <w:trHeight w:val="20"/>
        </w:trPr>
        <w:tc>
          <w:tcPr>
            <w:tcW w:w="204" w:type="pct"/>
            <w:tcBorders>
              <w:top w:val="single" w:sz="4" w:space="0" w:color="auto"/>
              <w:left w:val="single" w:sz="4" w:space="0" w:color="auto"/>
              <w:bottom w:val="single" w:sz="4" w:space="0" w:color="auto"/>
              <w:right w:val="single" w:sz="4" w:space="0" w:color="auto"/>
            </w:tcBorders>
          </w:tcPr>
          <w:p w14:paraId="5A700F82" w14:textId="77777777" w:rsidR="00896456" w:rsidRPr="00B0658A" w:rsidRDefault="00896456" w:rsidP="000A4114">
            <w:pPr>
              <w:pStyle w:val="ConsPlusNormal"/>
              <w:rPr>
                <w:lang w:val="en-US"/>
              </w:rPr>
            </w:pPr>
            <w:r w:rsidRPr="00B0658A">
              <w:rPr>
                <w:lang w:val="en-US"/>
              </w:rPr>
              <w:t>N.n</w:t>
            </w:r>
          </w:p>
        </w:tc>
        <w:tc>
          <w:tcPr>
            <w:tcW w:w="829" w:type="pct"/>
            <w:tcBorders>
              <w:top w:val="single" w:sz="4" w:space="0" w:color="auto"/>
              <w:left w:val="single" w:sz="4" w:space="0" w:color="auto"/>
              <w:bottom w:val="single" w:sz="4" w:space="0" w:color="auto"/>
              <w:right w:val="single" w:sz="4" w:space="0" w:color="auto"/>
            </w:tcBorders>
          </w:tcPr>
          <w:p w14:paraId="180FC958" w14:textId="77777777" w:rsidR="00896456" w:rsidRPr="00B0658A" w:rsidRDefault="00896456" w:rsidP="000A4114">
            <w:pPr>
              <w:pStyle w:val="ConsPlusNormal"/>
            </w:pPr>
          </w:p>
        </w:tc>
        <w:tc>
          <w:tcPr>
            <w:tcW w:w="1133" w:type="pct"/>
            <w:tcBorders>
              <w:top w:val="single" w:sz="4" w:space="0" w:color="auto"/>
              <w:left w:val="single" w:sz="4" w:space="0" w:color="auto"/>
              <w:bottom w:val="single" w:sz="4" w:space="0" w:color="auto"/>
              <w:right w:val="single" w:sz="4" w:space="0" w:color="auto"/>
            </w:tcBorders>
          </w:tcPr>
          <w:p w14:paraId="30ABE3A6" w14:textId="77777777" w:rsidR="00896456" w:rsidRPr="00B0658A" w:rsidRDefault="00896456" w:rsidP="000A4114">
            <w:pPr>
              <w:pStyle w:val="ConsPlusNormal"/>
            </w:pPr>
          </w:p>
        </w:tc>
        <w:tc>
          <w:tcPr>
            <w:tcW w:w="1188" w:type="pct"/>
            <w:tcBorders>
              <w:top w:val="single" w:sz="4" w:space="0" w:color="auto"/>
              <w:left w:val="single" w:sz="4" w:space="0" w:color="auto"/>
              <w:bottom w:val="single" w:sz="4" w:space="0" w:color="auto"/>
              <w:right w:val="single" w:sz="4" w:space="0" w:color="auto"/>
            </w:tcBorders>
          </w:tcPr>
          <w:p w14:paraId="4D49375D" w14:textId="77777777" w:rsidR="00896456" w:rsidRPr="00B0658A" w:rsidRDefault="00896456" w:rsidP="000A4114">
            <w:pPr>
              <w:pStyle w:val="ConsPlusNormal"/>
            </w:pPr>
          </w:p>
        </w:tc>
        <w:tc>
          <w:tcPr>
            <w:tcW w:w="622" w:type="pct"/>
            <w:tcBorders>
              <w:top w:val="single" w:sz="4" w:space="0" w:color="auto"/>
              <w:left w:val="single" w:sz="4" w:space="0" w:color="auto"/>
              <w:bottom w:val="single" w:sz="4" w:space="0" w:color="auto"/>
              <w:right w:val="single" w:sz="4" w:space="0" w:color="auto"/>
            </w:tcBorders>
          </w:tcPr>
          <w:p w14:paraId="0CDDBF62" w14:textId="77777777" w:rsidR="00896456" w:rsidRPr="00B0658A" w:rsidRDefault="00896456" w:rsidP="000A4114">
            <w:pPr>
              <w:pStyle w:val="ConsPlusNormal"/>
            </w:pPr>
          </w:p>
        </w:tc>
        <w:tc>
          <w:tcPr>
            <w:tcW w:w="1024" w:type="pct"/>
            <w:tcBorders>
              <w:top w:val="single" w:sz="4" w:space="0" w:color="auto"/>
              <w:left w:val="single" w:sz="4" w:space="0" w:color="auto"/>
              <w:bottom w:val="single" w:sz="4" w:space="0" w:color="auto"/>
              <w:right w:val="single" w:sz="4" w:space="0" w:color="auto"/>
            </w:tcBorders>
          </w:tcPr>
          <w:p w14:paraId="3203C8DA" w14:textId="77777777" w:rsidR="00896456" w:rsidRPr="00B0658A" w:rsidRDefault="00896456" w:rsidP="000A4114">
            <w:pPr>
              <w:pStyle w:val="ConsPlusNormal"/>
            </w:pPr>
          </w:p>
        </w:tc>
      </w:tr>
    </w:tbl>
    <w:p w14:paraId="01212489" w14:textId="77777777" w:rsidR="00896456" w:rsidRPr="00B0658A" w:rsidRDefault="00896456" w:rsidP="00896456">
      <w:pPr>
        <w:spacing w:before="120" w:after="0" w:line="240" w:lineRule="auto"/>
        <w:rPr>
          <w:rFonts w:ascii="Times New Roman" w:hAnsi="Times New Roman"/>
          <w:sz w:val="28"/>
          <w:szCs w:val="24"/>
        </w:rPr>
      </w:pPr>
    </w:p>
    <w:p w14:paraId="6F83517E" w14:textId="77777777" w:rsidR="00896456" w:rsidRPr="00B0658A" w:rsidRDefault="00896456" w:rsidP="00896456">
      <w:pPr>
        <w:spacing w:before="120" w:after="0" w:line="240" w:lineRule="auto"/>
        <w:jc w:val="both"/>
        <w:rPr>
          <w:rFonts w:ascii="Times New Roman" w:hAnsi="Times New Roman"/>
          <w:sz w:val="28"/>
          <w:szCs w:val="24"/>
        </w:rPr>
      </w:pPr>
      <w:r w:rsidRPr="00B0658A">
        <w:rPr>
          <w:rFonts w:ascii="Times New Roman" w:hAnsi="Times New Roman"/>
          <w:sz w:val="28"/>
          <w:szCs w:val="24"/>
        </w:rPr>
        <w:t>Раздел 2. «Показатели эффективности перехода на использование российского ПО и соответствующие им значения индикаторов эффективности в отношении значимых объектов КИИ»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5"/>
        <w:gridCol w:w="3432"/>
        <w:gridCol w:w="2043"/>
        <w:gridCol w:w="2629"/>
        <w:gridCol w:w="876"/>
        <w:gridCol w:w="876"/>
        <w:gridCol w:w="876"/>
        <w:gridCol w:w="876"/>
        <w:gridCol w:w="1581"/>
      </w:tblGrid>
      <w:tr w:rsidR="00F52FED" w:rsidRPr="00B0658A" w14:paraId="29DFCBAC" w14:textId="77777777" w:rsidTr="0057110B">
        <w:trPr>
          <w:trHeight w:val="20"/>
          <w:tblHeader/>
        </w:trPr>
        <w:tc>
          <w:tcPr>
            <w:tcW w:w="271" w:type="pct"/>
            <w:shd w:val="clear" w:color="000000" w:fill="E7E6E6"/>
            <w:vAlign w:val="center"/>
            <w:hideMark/>
          </w:tcPr>
          <w:p w14:paraId="1BDA31AF" w14:textId="77777777" w:rsidR="00896456" w:rsidRPr="00B0658A" w:rsidRDefault="00896456" w:rsidP="000A4114">
            <w:pPr>
              <w:spacing w:after="0" w:line="240" w:lineRule="auto"/>
              <w:jc w:val="center"/>
              <w:rPr>
                <w:rFonts w:ascii="Times New Roman" w:hAnsi="Times New Roman"/>
                <w:b/>
                <w:bCs/>
                <w:sz w:val="20"/>
                <w:szCs w:val="20"/>
              </w:rPr>
            </w:pPr>
            <w:r w:rsidRPr="00B0658A">
              <w:rPr>
                <w:rFonts w:ascii="Times New Roman" w:hAnsi="Times New Roman"/>
                <w:b/>
                <w:bCs/>
                <w:sz w:val="20"/>
                <w:szCs w:val="20"/>
              </w:rPr>
              <w:t>№ п/п</w:t>
            </w:r>
          </w:p>
        </w:tc>
        <w:tc>
          <w:tcPr>
            <w:tcW w:w="1231" w:type="pct"/>
            <w:shd w:val="clear" w:color="000000" w:fill="E7E6E6"/>
            <w:vAlign w:val="center"/>
            <w:hideMark/>
          </w:tcPr>
          <w:p w14:paraId="1CB0BC9A" w14:textId="77777777" w:rsidR="00896456" w:rsidRPr="00B0658A" w:rsidRDefault="00896456" w:rsidP="000A4114">
            <w:pPr>
              <w:spacing w:after="0" w:line="240" w:lineRule="auto"/>
              <w:jc w:val="center"/>
              <w:rPr>
                <w:rFonts w:ascii="Times New Roman" w:hAnsi="Times New Roman"/>
                <w:b/>
                <w:bCs/>
                <w:sz w:val="20"/>
                <w:szCs w:val="20"/>
              </w:rPr>
            </w:pPr>
            <w:r w:rsidRPr="00B0658A">
              <w:rPr>
                <w:rFonts w:ascii="Times New Roman" w:hAnsi="Times New Roman"/>
                <w:b/>
                <w:bCs/>
                <w:sz w:val="20"/>
                <w:szCs w:val="20"/>
              </w:rPr>
              <w:t>Наименование используемого класса (типа) ПО</w:t>
            </w:r>
          </w:p>
        </w:tc>
        <w:tc>
          <w:tcPr>
            <w:tcW w:w="733" w:type="pct"/>
            <w:shd w:val="clear" w:color="000000" w:fill="E7E6E6"/>
            <w:vAlign w:val="center"/>
          </w:tcPr>
          <w:p w14:paraId="434011FF" w14:textId="77777777" w:rsidR="00896456" w:rsidRPr="00B0658A" w:rsidRDefault="00896456" w:rsidP="000A4114">
            <w:pPr>
              <w:spacing w:after="0" w:line="240" w:lineRule="auto"/>
              <w:jc w:val="center"/>
              <w:rPr>
                <w:rFonts w:ascii="Times New Roman" w:hAnsi="Times New Roman"/>
                <w:b/>
                <w:bCs/>
                <w:sz w:val="20"/>
                <w:szCs w:val="20"/>
              </w:rPr>
            </w:pPr>
            <w:r w:rsidRPr="00B0658A">
              <w:rPr>
                <w:rFonts w:ascii="Times New Roman" w:hAnsi="Times New Roman"/>
                <w:b/>
                <w:bCs/>
                <w:sz w:val="20"/>
                <w:szCs w:val="20"/>
              </w:rPr>
              <w:t>Перечень иностранного ПО, подлежащего замещению</w:t>
            </w:r>
          </w:p>
        </w:tc>
        <w:tc>
          <w:tcPr>
            <w:tcW w:w="943" w:type="pct"/>
            <w:shd w:val="clear" w:color="000000" w:fill="E7E6E6"/>
            <w:vAlign w:val="center"/>
            <w:hideMark/>
          </w:tcPr>
          <w:p w14:paraId="0BFF4A5E" w14:textId="77777777" w:rsidR="00896456" w:rsidRPr="00B0658A" w:rsidRDefault="00896456" w:rsidP="000A4114">
            <w:pPr>
              <w:spacing w:after="0" w:line="240" w:lineRule="auto"/>
              <w:jc w:val="center"/>
              <w:rPr>
                <w:rFonts w:ascii="Times New Roman" w:hAnsi="Times New Roman"/>
                <w:b/>
                <w:bCs/>
                <w:sz w:val="20"/>
                <w:szCs w:val="20"/>
              </w:rPr>
            </w:pPr>
            <w:r w:rsidRPr="00B0658A">
              <w:rPr>
                <w:rFonts w:ascii="Times New Roman" w:hAnsi="Times New Roman"/>
                <w:b/>
                <w:bCs/>
                <w:sz w:val="20"/>
                <w:szCs w:val="20"/>
              </w:rPr>
              <w:t>Наименование целевого показателя</w:t>
            </w:r>
          </w:p>
        </w:tc>
        <w:tc>
          <w:tcPr>
            <w:tcW w:w="314" w:type="pct"/>
            <w:shd w:val="clear" w:color="000000" w:fill="E7E6E6"/>
            <w:vAlign w:val="center"/>
          </w:tcPr>
          <w:p w14:paraId="5BD4ACBF" w14:textId="77777777" w:rsidR="00896456" w:rsidRPr="00B0658A" w:rsidRDefault="00896456" w:rsidP="000A4114">
            <w:pPr>
              <w:spacing w:after="0" w:line="240" w:lineRule="auto"/>
              <w:jc w:val="center"/>
              <w:rPr>
                <w:rFonts w:ascii="Times New Roman" w:hAnsi="Times New Roman"/>
                <w:b/>
                <w:bCs/>
                <w:sz w:val="20"/>
                <w:szCs w:val="20"/>
              </w:rPr>
            </w:pPr>
            <w:r w:rsidRPr="00B0658A">
              <w:rPr>
                <w:rFonts w:ascii="Times New Roman" w:hAnsi="Times New Roman"/>
                <w:b/>
                <w:bCs/>
                <w:sz w:val="20"/>
                <w:szCs w:val="20"/>
              </w:rPr>
              <w:t>2021 г.</w:t>
            </w:r>
          </w:p>
          <w:p w14:paraId="08F408DC" w14:textId="77777777" w:rsidR="00896456" w:rsidRPr="00B0658A" w:rsidRDefault="00896456" w:rsidP="000A4114">
            <w:pPr>
              <w:spacing w:after="0" w:line="240" w:lineRule="auto"/>
              <w:jc w:val="center"/>
              <w:rPr>
                <w:rFonts w:ascii="Times New Roman" w:hAnsi="Times New Roman"/>
                <w:b/>
                <w:bCs/>
                <w:sz w:val="20"/>
                <w:szCs w:val="20"/>
              </w:rPr>
            </w:pPr>
            <w:r w:rsidRPr="00B0658A">
              <w:rPr>
                <w:rFonts w:ascii="Times New Roman" w:hAnsi="Times New Roman"/>
                <w:b/>
                <w:bCs/>
                <w:sz w:val="20"/>
                <w:szCs w:val="20"/>
              </w:rPr>
              <w:t>(факт)</w:t>
            </w:r>
          </w:p>
        </w:tc>
        <w:tc>
          <w:tcPr>
            <w:tcW w:w="314" w:type="pct"/>
            <w:shd w:val="clear" w:color="000000" w:fill="E7E6E6"/>
            <w:noWrap/>
            <w:vAlign w:val="center"/>
            <w:hideMark/>
          </w:tcPr>
          <w:p w14:paraId="1504A1DD" w14:textId="77777777" w:rsidR="00896456" w:rsidRPr="00B0658A" w:rsidRDefault="00896456" w:rsidP="000A4114">
            <w:pPr>
              <w:spacing w:after="0" w:line="240" w:lineRule="auto"/>
              <w:jc w:val="center"/>
              <w:rPr>
                <w:rFonts w:ascii="Times New Roman" w:hAnsi="Times New Roman"/>
                <w:b/>
                <w:bCs/>
                <w:sz w:val="20"/>
                <w:szCs w:val="20"/>
              </w:rPr>
            </w:pPr>
            <w:r w:rsidRPr="00B0658A">
              <w:rPr>
                <w:rFonts w:ascii="Times New Roman" w:hAnsi="Times New Roman"/>
                <w:b/>
                <w:bCs/>
                <w:sz w:val="20"/>
                <w:szCs w:val="20"/>
              </w:rPr>
              <w:t>2022 г.</w:t>
            </w:r>
          </w:p>
          <w:p w14:paraId="6DC248C4" w14:textId="77777777" w:rsidR="00896456" w:rsidRPr="00B0658A" w:rsidRDefault="00896456" w:rsidP="000A4114">
            <w:pPr>
              <w:spacing w:after="0" w:line="240" w:lineRule="auto"/>
              <w:jc w:val="center"/>
              <w:rPr>
                <w:rFonts w:ascii="Times New Roman" w:hAnsi="Times New Roman"/>
                <w:b/>
                <w:bCs/>
                <w:sz w:val="20"/>
                <w:szCs w:val="20"/>
              </w:rPr>
            </w:pPr>
            <w:r w:rsidRPr="00B0658A">
              <w:rPr>
                <w:rFonts w:ascii="Times New Roman" w:hAnsi="Times New Roman"/>
                <w:b/>
                <w:bCs/>
                <w:sz w:val="20"/>
                <w:szCs w:val="20"/>
              </w:rPr>
              <w:t>(план)</w:t>
            </w:r>
          </w:p>
        </w:tc>
        <w:tc>
          <w:tcPr>
            <w:tcW w:w="314" w:type="pct"/>
            <w:shd w:val="clear" w:color="000000" w:fill="E7E6E6"/>
            <w:vAlign w:val="center"/>
            <w:hideMark/>
          </w:tcPr>
          <w:p w14:paraId="516E6ADB" w14:textId="77777777" w:rsidR="00896456" w:rsidRPr="00B0658A" w:rsidRDefault="00896456" w:rsidP="000A4114">
            <w:pPr>
              <w:spacing w:after="0" w:line="240" w:lineRule="auto"/>
              <w:jc w:val="center"/>
              <w:rPr>
                <w:rFonts w:ascii="Times New Roman" w:hAnsi="Times New Roman"/>
                <w:b/>
                <w:bCs/>
                <w:sz w:val="20"/>
                <w:szCs w:val="20"/>
              </w:rPr>
            </w:pPr>
            <w:r w:rsidRPr="00B0658A">
              <w:rPr>
                <w:rFonts w:ascii="Times New Roman" w:hAnsi="Times New Roman"/>
                <w:b/>
                <w:bCs/>
                <w:sz w:val="20"/>
                <w:szCs w:val="20"/>
              </w:rPr>
              <w:t>2023 г.</w:t>
            </w:r>
          </w:p>
          <w:p w14:paraId="140643E1" w14:textId="77777777" w:rsidR="00896456" w:rsidRPr="00B0658A" w:rsidRDefault="00896456" w:rsidP="000A4114">
            <w:pPr>
              <w:spacing w:after="0" w:line="240" w:lineRule="auto"/>
              <w:jc w:val="center"/>
              <w:rPr>
                <w:rFonts w:ascii="Times New Roman" w:hAnsi="Times New Roman"/>
                <w:b/>
                <w:bCs/>
                <w:sz w:val="20"/>
                <w:szCs w:val="20"/>
              </w:rPr>
            </w:pPr>
            <w:r w:rsidRPr="00B0658A">
              <w:rPr>
                <w:rFonts w:ascii="Times New Roman" w:hAnsi="Times New Roman"/>
                <w:b/>
                <w:bCs/>
                <w:sz w:val="20"/>
                <w:szCs w:val="20"/>
              </w:rPr>
              <w:t>(план)</w:t>
            </w:r>
          </w:p>
        </w:tc>
        <w:tc>
          <w:tcPr>
            <w:tcW w:w="314" w:type="pct"/>
            <w:shd w:val="clear" w:color="000000" w:fill="E7E6E6"/>
            <w:noWrap/>
            <w:vAlign w:val="center"/>
            <w:hideMark/>
          </w:tcPr>
          <w:p w14:paraId="4F66CCEE" w14:textId="77777777" w:rsidR="00896456" w:rsidRPr="00B0658A" w:rsidRDefault="00896456" w:rsidP="000A4114">
            <w:pPr>
              <w:spacing w:after="0" w:line="240" w:lineRule="auto"/>
              <w:jc w:val="center"/>
              <w:rPr>
                <w:rFonts w:ascii="Times New Roman" w:hAnsi="Times New Roman"/>
                <w:b/>
                <w:bCs/>
                <w:sz w:val="20"/>
                <w:szCs w:val="20"/>
              </w:rPr>
            </w:pPr>
            <w:r w:rsidRPr="00B0658A">
              <w:rPr>
                <w:rFonts w:ascii="Times New Roman" w:hAnsi="Times New Roman"/>
                <w:b/>
                <w:bCs/>
                <w:sz w:val="20"/>
                <w:szCs w:val="20"/>
              </w:rPr>
              <w:t>2024 г.</w:t>
            </w:r>
          </w:p>
          <w:p w14:paraId="35D09729" w14:textId="77777777" w:rsidR="00896456" w:rsidRPr="00B0658A" w:rsidRDefault="00896456" w:rsidP="000A4114">
            <w:pPr>
              <w:spacing w:after="0" w:line="240" w:lineRule="auto"/>
              <w:jc w:val="center"/>
              <w:rPr>
                <w:rFonts w:ascii="Times New Roman" w:hAnsi="Times New Roman"/>
                <w:b/>
                <w:bCs/>
                <w:sz w:val="20"/>
                <w:szCs w:val="20"/>
              </w:rPr>
            </w:pPr>
            <w:r w:rsidRPr="00B0658A">
              <w:rPr>
                <w:rFonts w:ascii="Times New Roman" w:hAnsi="Times New Roman"/>
                <w:b/>
                <w:bCs/>
                <w:sz w:val="20"/>
                <w:szCs w:val="20"/>
              </w:rPr>
              <w:t>(план)</w:t>
            </w:r>
          </w:p>
        </w:tc>
        <w:tc>
          <w:tcPr>
            <w:tcW w:w="567" w:type="pct"/>
            <w:shd w:val="clear" w:color="000000" w:fill="E7E6E6"/>
            <w:vAlign w:val="center"/>
            <w:hideMark/>
          </w:tcPr>
          <w:p w14:paraId="1E43CB6D" w14:textId="77777777" w:rsidR="00896456" w:rsidRPr="00B0658A" w:rsidRDefault="00896456" w:rsidP="000A4114">
            <w:pPr>
              <w:spacing w:after="0" w:line="240" w:lineRule="auto"/>
              <w:jc w:val="center"/>
              <w:rPr>
                <w:rFonts w:ascii="Times New Roman" w:hAnsi="Times New Roman"/>
                <w:b/>
                <w:bCs/>
                <w:sz w:val="20"/>
                <w:szCs w:val="20"/>
              </w:rPr>
            </w:pPr>
            <w:r w:rsidRPr="00B0658A">
              <w:rPr>
                <w:rFonts w:ascii="Times New Roman" w:hAnsi="Times New Roman"/>
                <w:b/>
                <w:bCs/>
                <w:sz w:val="20"/>
                <w:szCs w:val="20"/>
              </w:rPr>
              <w:t>Единицы измерения уровня использования</w:t>
            </w:r>
          </w:p>
        </w:tc>
      </w:tr>
      <w:tr w:rsidR="00F52FED" w:rsidRPr="00B0658A" w14:paraId="3F9F858B" w14:textId="77777777" w:rsidTr="00B10FDE">
        <w:trPr>
          <w:trHeight w:val="20"/>
        </w:trPr>
        <w:tc>
          <w:tcPr>
            <w:tcW w:w="5000" w:type="pct"/>
            <w:gridSpan w:val="9"/>
            <w:shd w:val="clear" w:color="auto" w:fill="DEEAF6" w:themeFill="accent5" w:themeFillTint="33"/>
          </w:tcPr>
          <w:p w14:paraId="09954C5F" w14:textId="77777777" w:rsidR="00896456" w:rsidRPr="00B0658A" w:rsidRDefault="00896456" w:rsidP="000A4114">
            <w:pPr>
              <w:spacing w:after="0" w:line="240" w:lineRule="auto"/>
              <w:rPr>
                <w:rFonts w:ascii="Times New Roman" w:hAnsi="Times New Roman"/>
                <w:b/>
                <w:sz w:val="20"/>
                <w:szCs w:val="20"/>
              </w:rPr>
            </w:pPr>
            <w:r w:rsidRPr="00B0658A">
              <w:rPr>
                <w:rFonts w:ascii="Times New Roman" w:hAnsi="Times New Roman"/>
                <w:b/>
                <w:sz w:val="20"/>
                <w:szCs w:val="20"/>
              </w:rPr>
              <w:t>1. Показатели эффективности перехода в отношении________ (наименование значимого объекта КИИ №1)</w:t>
            </w:r>
          </w:p>
        </w:tc>
      </w:tr>
      <w:tr w:rsidR="00F52FED" w:rsidRPr="00B0658A" w14:paraId="2E62C697" w14:textId="77777777" w:rsidTr="0057110B">
        <w:trPr>
          <w:trHeight w:val="20"/>
        </w:trPr>
        <w:tc>
          <w:tcPr>
            <w:tcW w:w="271" w:type="pct"/>
            <w:shd w:val="clear" w:color="000000" w:fill="FFFFFF"/>
            <w:vAlign w:val="center"/>
          </w:tcPr>
          <w:p w14:paraId="65D305B4" w14:textId="77777777" w:rsidR="00896456" w:rsidRPr="00B0658A" w:rsidRDefault="00896456" w:rsidP="000A4114">
            <w:pPr>
              <w:spacing w:after="0" w:line="240" w:lineRule="auto"/>
              <w:jc w:val="center"/>
              <w:rPr>
                <w:rFonts w:ascii="Times New Roman" w:hAnsi="Times New Roman"/>
                <w:sz w:val="20"/>
                <w:szCs w:val="20"/>
              </w:rPr>
            </w:pPr>
            <w:r w:rsidRPr="00B0658A">
              <w:rPr>
                <w:rFonts w:ascii="Times New Roman" w:hAnsi="Times New Roman"/>
                <w:sz w:val="20"/>
                <w:szCs w:val="20"/>
              </w:rPr>
              <w:t>1.1</w:t>
            </w:r>
          </w:p>
        </w:tc>
        <w:tc>
          <w:tcPr>
            <w:tcW w:w="1231" w:type="pct"/>
            <w:shd w:val="clear" w:color="auto" w:fill="auto"/>
            <w:vAlign w:val="center"/>
            <w:hideMark/>
          </w:tcPr>
          <w:p w14:paraId="6B8EACEB" w14:textId="77777777" w:rsidR="00896456" w:rsidRPr="00B0658A" w:rsidRDefault="00896456" w:rsidP="000A4114">
            <w:pPr>
              <w:spacing w:after="0" w:line="240" w:lineRule="auto"/>
              <w:rPr>
                <w:rFonts w:ascii="Times New Roman" w:hAnsi="Times New Roman"/>
                <w:i/>
                <w:sz w:val="20"/>
                <w:szCs w:val="20"/>
              </w:rPr>
            </w:pPr>
            <w:r w:rsidRPr="00B0658A">
              <w:rPr>
                <w:rFonts w:ascii="Times New Roman" w:hAnsi="Times New Roman"/>
                <w:i/>
                <w:sz w:val="20"/>
                <w:szCs w:val="20"/>
              </w:rPr>
              <w:t>Указывается класс (тип) №1 ПО, используемого на значимом объекте КИИ №1 в соответствии с приказом Минцифры России от 22 сентября 2020 г. № 486)</w:t>
            </w:r>
          </w:p>
        </w:tc>
        <w:tc>
          <w:tcPr>
            <w:tcW w:w="733" w:type="pct"/>
          </w:tcPr>
          <w:p w14:paraId="5B8CAE1A" w14:textId="77777777" w:rsidR="00896456" w:rsidRPr="00B0658A" w:rsidRDefault="00896456" w:rsidP="000A4114">
            <w:pPr>
              <w:spacing w:after="0" w:line="240" w:lineRule="auto"/>
              <w:rPr>
                <w:rFonts w:ascii="Times New Roman" w:hAnsi="Times New Roman"/>
                <w:sz w:val="20"/>
                <w:szCs w:val="20"/>
              </w:rPr>
            </w:pPr>
            <w:r w:rsidRPr="00B0658A">
              <w:rPr>
                <w:rFonts w:ascii="Times New Roman" w:hAnsi="Times New Roman"/>
                <w:i/>
                <w:sz w:val="20"/>
                <w:szCs w:val="20"/>
              </w:rPr>
              <w:t>Указывается перечень используемого иностранного ПО на значимом объекте КИИ</w:t>
            </w:r>
          </w:p>
        </w:tc>
        <w:tc>
          <w:tcPr>
            <w:tcW w:w="943" w:type="pct"/>
            <w:shd w:val="clear" w:color="000000" w:fill="FFFFFF"/>
            <w:hideMark/>
          </w:tcPr>
          <w:p w14:paraId="3F0009AA" w14:textId="77777777" w:rsidR="00896456" w:rsidRPr="00B0658A" w:rsidRDefault="00896456" w:rsidP="000A4114">
            <w:pPr>
              <w:spacing w:after="0" w:line="240" w:lineRule="auto"/>
              <w:rPr>
                <w:rFonts w:ascii="Times New Roman" w:hAnsi="Times New Roman"/>
                <w:sz w:val="20"/>
                <w:szCs w:val="20"/>
              </w:rPr>
            </w:pPr>
            <w:r w:rsidRPr="00B0658A">
              <w:rPr>
                <w:rFonts w:ascii="Times New Roman" w:hAnsi="Times New Roman"/>
                <w:sz w:val="20"/>
                <w:szCs w:val="20"/>
              </w:rPr>
              <w:t>Доля используемого российского ПО и евразийского ПО, используемого на значимом объекте КИИ, в общем объёме используемого ПО на таком объекте, %</w:t>
            </w:r>
          </w:p>
        </w:tc>
        <w:tc>
          <w:tcPr>
            <w:tcW w:w="314" w:type="pct"/>
            <w:shd w:val="clear" w:color="000000" w:fill="FFFFFF"/>
            <w:vAlign w:val="center"/>
          </w:tcPr>
          <w:p w14:paraId="7F7FA003" w14:textId="77777777" w:rsidR="00896456" w:rsidRPr="00B0658A" w:rsidRDefault="00896456" w:rsidP="000A4114">
            <w:pPr>
              <w:spacing w:after="0" w:line="240" w:lineRule="auto"/>
              <w:jc w:val="center"/>
              <w:rPr>
                <w:rFonts w:ascii="Times New Roman" w:hAnsi="Times New Roman"/>
                <w:sz w:val="20"/>
                <w:szCs w:val="20"/>
              </w:rPr>
            </w:pPr>
          </w:p>
        </w:tc>
        <w:tc>
          <w:tcPr>
            <w:tcW w:w="314" w:type="pct"/>
            <w:shd w:val="clear" w:color="000000" w:fill="FFFFFF"/>
            <w:vAlign w:val="center"/>
            <w:hideMark/>
          </w:tcPr>
          <w:p w14:paraId="5E2A8A73" w14:textId="77777777" w:rsidR="00896456" w:rsidRPr="00B0658A" w:rsidRDefault="00896456" w:rsidP="000A4114">
            <w:pPr>
              <w:spacing w:after="0" w:line="240" w:lineRule="auto"/>
              <w:jc w:val="center"/>
              <w:rPr>
                <w:rFonts w:ascii="Times New Roman" w:hAnsi="Times New Roman"/>
                <w:sz w:val="20"/>
                <w:szCs w:val="20"/>
              </w:rPr>
            </w:pPr>
          </w:p>
        </w:tc>
        <w:tc>
          <w:tcPr>
            <w:tcW w:w="314" w:type="pct"/>
            <w:shd w:val="clear" w:color="000000" w:fill="FFFFFF"/>
            <w:vAlign w:val="center"/>
            <w:hideMark/>
          </w:tcPr>
          <w:p w14:paraId="210E4541" w14:textId="77777777" w:rsidR="00896456" w:rsidRPr="00B0658A" w:rsidRDefault="00896456" w:rsidP="000A4114">
            <w:pPr>
              <w:spacing w:after="0" w:line="240" w:lineRule="auto"/>
              <w:jc w:val="center"/>
              <w:rPr>
                <w:rFonts w:ascii="Times New Roman" w:hAnsi="Times New Roman"/>
                <w:sz w:val="20"/>
                <w:szCs w:val="20"/>
              </w:rPr>
            </w:pPr>
          </w:p>
        </w:tc>
        <w:tc>
          <w:tcPr>
            <w:tcW w:w="314" w:type="pct"/>
            <w:shd w:val="clear" w:color="000000" w:fill="FFFFFF"/>
            <w:vAlign w:val="center"/>
            <w:hideMark/>
          </w:tcPr>
          <w:p w14:paraId="3B83A289" w14:textId="77777777" w:rsidR="00896456" w:rsidRPr="00B0658A" w:rsidRDefault="00896456" w:rsidP="000A4114">
            <w:pPr>
              <w:spacing w:after="0" w:line="240" w:lineRule="auto"/>
              <w:jc w:val="center"/>
              <w:rPr>
                <w:rFonts w:ascii="Times New Roman" w:hAnsi="Times New Roman"/>
                <w:sz w:val="20"/>
                <w:szCs w:val="20"/>
              </w:rPr>
            </w:pPr>
          </w:p>
        </w:tc>
        <w:tc>
          <w:tcPr>
            <w:tcW w:w="567" w:type="pct"/>
            <w:shd w:val="clear" w:color="000000" w:fill="FFFFFF"/>
            <w:vAlign w:val="center"/>
            <w:hideMark/>
          </w:tcPr>
          <w:p w14:paraId="43FF2607" w14:textId="77777777" w:rsidR="00896456" w:rsidRPr="00B0658A" w:rsidRDefault="00896456" w:rsidP="000A4114">
            <w:pPr>
              <w:spacing w:after="0" w:line="240" w:lineRule="auto"/>
              <w:jc w:val="center"/>
              <w:rPr>
                <w:rFonts w:ascii="Times New Roman" w:hAnsi="Times New Roman"/>
                <w:sz w:val="20"/>
                <w:szCs w:val="20"/>
              </w:rPr>
            </w:pPr>
            <w:r w:rsidRPr="00B0658A">
              <w:rPr>
                <w:rFonts w:ascii="Times New Roman" w:hAnsi="Times New Roman"/>
                <w:i/>
                <w:sz w:val="20"/>
                <w:szCs w:val="20"/>
              </w:rPr>
              <w:t>Указывается единица измерения уровня использования</w:t>
            </w:r>
          </w:p>
        </w:tc>
      </w:tr>
      <w:tr w:rsidR="00F52FED" w:rsidRPr="00B0658A" w14:paraId="18208F0C" w14:textId="77777777" w:rsidTr="0057110B">
        <w:trPr>
          <w:trHeight w:val="20"/>
        </w:trPr>
        <w:tc>
          <w:tcPr>
            <w:tcW w:w="271" w:type="pct"/>
            <w:shd w:val="clear" w:color="000000" w:fill="FFFFFF"/>
            <w:vAlign w:val="center"/>
          </w:tcPr>
          <w:p w14:paraId="1E6965D9" w14:textId="77777777" w:rsidR="00896456" w:rsidRPr="00B0658A" w:rsidRDefault="00896456" w:rsidP="000A4114">
            <w:pPr>
              <w:spacing w:after="0" w:line="240" w:lineRule="auto"/>
              <w:jc w:val="center"/>
              <w:rPr>
                <w:rFonts w:ascii="Times New Roman" w:hAnsi="Times New Roman"/>
                <w:sz w:val="20"/>
                <w:szCs w:val="20"/>
              </w:rPr>
            </w:pPr>
            <w:r w:rsidRPr="00B0658A">
              <w:rPr>
                <w:rFonts w:ascii="Times New Roman" w:hAnsi="Times New Roman"/>
                <w:sz w:val="20"/>
                <w:szCs w:val="20"/>
              </w:rPr>
              <w:t>1.2</w:t>
            </w:r>
          </w:p>
        </w:tc>
        <w:tc>
          <w:tcPr>
            <w:tcW w:w="1231" w:type="pct"/>
            <w:shd w:val="clear" w:color="auto" w:fill="auto"/>
            <w:vAlign w:val="center"/>
            <w:hideMark/>
          </w:tcPr>
          <w:p w14:paraId="4C750B40" w14:textId="77777777" w:rsidR="00896456" w:rsidRPr="00B0658A" w:rsidRDefault="00896456" w:rsidP="000A4114">
            <w:pPr>
              <w:spacing w:after="0" w:line="240" w:lineRule="auto"/>
              <w:rPr>
                <w:rFonts w:ascii="Times New Roman" w:hAnsi="Times New Roman"/>
                <w:i/>
                <w:sz w:val="20"/>
                <w:szCs w:val="20"/>
              </w:rPr>
            </w:pPr>
            <w:r w:rsidRPr="00B0658A">
              <w:rPr>
                <w:rFonts w:ascii="Times New Roman" w:hAnsi="Times New Roman"/>
                <w:i/>
                <w:sz w:val="20"/>
                <w:szCs w:val="20"/>
              </w:rPr>
              <w:t>Указывается класс (тип) №2 ПО, используемого на значимом объекте КИИ №1 в соответствии с приказом Минцифры России от 22 сентября 2020 г. № 486)</w:t>
            </w:r>
          </w:p>
        </w:tc>
        <w:tc>
          <w:tcPr>
            <w:tcW w:w="733" w:type="pct"/>
          </w:tcPr>
          <w:p w14:paraId="413D72C9" w14:textId="77777777" w:rsidR="00896456" w:rsidRPr="00B0658A" w:rsidRDefault="00896456" w:rsidP="000A4114">
            <w:pPr>
              <w:spacing w:after="0" w:line="240" w:lineRule="auto"/>
              <w:rPr>
                <w:rFonts w:ascii="Times New Roman" w:hAnsi="Times New Roman"/>
                <w:sz w:val="20"/>
                <w:szCs w:val="20"/>
              </w:rPr>
            </w:pPr>
          </w:p>
        </w:tc>
        <w:tc>
          <w:tcPr>
            <w:tcW w:w="943" w:type="pct"/>
            <w:shd w:val="clear" w:color="000000" w:fill="FFFFFF"/>
            <w:hideMark/>
          </w:tcPr>
          <w:p w14:paraId="6D696F5E" w14:textId="77777777" w:rsidR="00896456" w:rsidRPr="00B0658A" w:rsidRDefault="00896456" w:rsidP="000A4114">
            <w:pPr>
              <w:spacing w:after="0" w:line="240" w:lineRule="auto"/>
              <w:rPr>
                <w:rFonts w:ascii="Times New Roman" w:hAnsi="Times New Roman"/>
                <w:sz w:val="20"/>
                <w:szCs w:val="20"/>
              </w:rPr>
            </w:pPr>
            <w:r w:rsidRPr="00B0658A">
              <w:rPr>
                <w:rFonts w:ascii="Times New Roman" w:hAnsi="Times New Roman"/>
                <w:sz w:val="20"/>
                <w:szCs w:val="20"/>
              </w:rPr>
              <w:t>Доля используемого российского ПО и евразийского ПО, используемого на значимом объекте КИИ, в общем объёме используемого ПО на таком объекте, %</w:t>
            </w:r>
          </w:p>
        </w:tc>
        <w:tc>
          <w:tcPr>
            <w:tcW w:w="314" w:type="pct"/>
            <w:shd w:val="clear" w:color="000000" w:fill="FFFFFF"/>
            <w:vAlign w:val="center"/>
          </w:tcPr>
          <w:p w14:paraId="00E26E00" w14:textId="77777777" w:rsidR="00896456" w:rsidRPr="00B0658A" w:rsidRDefault="00896456" w:rsidP="000A4114">
            <w:pPr>
              <w:spacing w:after="0" w:line="240" w:lineRule="auto"/>
              <w:jc w:val="center"/>
              <w:rPr>
                <w:rFonts w:ascii="Times New Roman" w:hAnsi="Times New Roman"/>
                <w:sz w:val="20"/>
                <w:szCs w:val="20"/>
              </w:rPr>
            </w:pPr>
          </w:p>
        </w:tc>
        <w:tc>
          <w:tcPr>
            <w:tcW w:w="314" w:type="pct"/>
            <w:shd w:val="clear" w:color="000000" w:fill="FFFFFF"/>
            <w:vAlign w:val="center"/>
            <w:hideMark/>
          </w:tcPr>
          <w:p w14:paraId="09A2AB6D" w14:textId="77777777" w:rsidR="00896456" w:rsidRPr="00B0658A" w:rsidRDefault="00896456" w:rsidP="000A4114">
            <w:pPr>
              <w:spacing w:after="0" w:line="240" w:lineRule="auto"/>
              <w:jc w:val="center"/>
              <w:rPr>
                <w:rFonts w:ascii="Times New Roman" w:hAnsi="Times New Roman"/>
                <w:sz w:val="20"/>
                <w:szCs w:val="20"/>
              </w:rPr>
            </w:pPr>
          </w:p>
        </w:tc>
        <w:tc>
          <w:tcPr>
            <w:tcW w:w="314" w:type="pct"/>
            <w:shd w:val="clear" w:color="000000" w:fill="FFFFFF"/>
            <w:vAlign w:val="center"/>
            <w:hideMark/>
          </w:tcPr>
          <w:p w14:paraId="40973BA2" w14:textId="77777777" w:rsidR="00896456" w:rsidRPr="00B0658A" w:rsidRDefault="00896456" w:rsidP="000A4114">
            <w:pPr>
              <w:spacing w:after="0" w:line="240" w:lineRule="auto"/>
              <w:jc w:val="center"/>
              <w:rPr>
                <w:rFonts w:ascii="Times New Roman" w:hAnsi="Times New Roman"/>
                <w:sz w:val="20"/>
                <w:szCs w:val="20"/>
              </w:rPr>
            </w:pPr>
          </w:p>
        </w:tc>
        <w:tc>
          <w:tcPr>
            <w:tcW w:w="314" w:type="pct"/>
            <w:shd w:val="clear" w:color="000000" w:fill="FFFFFF"/>
            <w:vAlign w:val="center"/>
            <w:hideMark/>
          </w:tcPr>
          <w:p w14:paraId="04D77C53" w14:textId="77777777" w:rsidR="00896456" w:rsidRPr="00B0658A" w:rsidRDefault="00896456" w:rsidP="000A4114">
            <w:pPr>
              <w:spacing w:after="0" w:line="240" w:lineRule="auto"/>
              <w:jc w:val="center"/>
              <w:rPr>
                <w:rFonts w:ascii="Times New Roman" w:hAnsi="Times New Roman"/>
                <w:sz w:val="20"/>
                <w:szCs w:val="20"/>
              </w:rPr>
            </w:pPr>
          </w:p>
        </w:tc>
        <w:tc>
          <w:tcPr>
            <w:tcW w:w="567" w:type="pct"/>
            <w:shd w:val="clear" w:color="000000" w:fill="FFFFFF"/>
            <w:vAlign w:val="center"/>
            <w:hideMark/>
          </w:tcPr>
          <w:p w14:paraId="59C93C71" w14:textId="77777777" w:rsidR="00896456" w:rsidRPr="00B0658A" w:rsidRDefault="00896456" w:rsidP="000A4114">
            <w:pPr>
              <w:spacing w:after="0" w:line="240" w:lineRule="auto"/>
              <w:jc w:val="center"/>
              <w:rPr>
                <w:rFonts w:ascii="Times New Roman" w:hAnsi="Times New Roman"/>
                <w:sz w:val="20"/>
                <w:szCs w:val="20"/>
              </w:rPr>
            </w:pPr>
          </w:p>
        </w:tc>
      </w:tr>
      <w:tr w:rsidR="00F52FED" w:rsidRPr="00B0658A" w14:paraId="211289BF" w14:textId="77777777" w:rsidTr="0057110B">
        <w:trPr>
          <w:trHeight w:val="20"/>
        </w:trPr>
        <w:tc>
          <w:tcPr>
            <w:tcW w:w="271" w:type="pct"/>
            <w:shd w:val="clear" w:color="000000" w:fill="FFFFFF"/>
            <w:vAlign w:val="center"/>
          </w:tcPr>
          <w:p w14:paraId="341C8A97" w14:textId="77777777" w:rsidR="00896456" w:rsidRPr="00B0658A" w:rsidRDefault="00896456" w:rsidP="000A4114">
            <w:pPr>
              <w:spacing w:after="0" w:line="240" w:lineRule="auto"/>
              <w:jc w:val="center"/>
              <w:rPr>
                <w:rFonts w:ascii="Times New Roman" w:hAnsi="Times New Roman"/>
                <w:sz w:val="20"/>
                <w:szCs w:val="20"/>
              </w:rPr>
            </w:pPr>
            <w:r w:rsidRPr="00B0658A">
              <w:rPr>
                <w:rFonts w:ascii="Times New Roman" w:hAnsi="Times New Roman"/>
                <w:sz w:val="20"/>
                <w:szCs w:val="20"/>
              </w:rPr>
              <w:t>…</w:t>
            </w:r>
          </w:p>
        </w:tc>
        <w:tc>
          <w:tcPr>
            <w:tcW w:w="1231" w:type="pct"/>
            <w:shd w:val="clear" w:color="auto" w:fill="auto"/>
            <w:vAlign w:val="center"/>
            <w:hideMark/>
          </w:tcPr>
          <w:p w14:paraId="45FD846B" w14:textId="77777777" w:rsidR="00896456" w:rsidRPr="00B0658A" w:rsidRDefault="00896456" w:rsidP="000A4114">
            <w:pPr>
              <w:spacing w:after="0" w:line="240" w:lineRule="auto"/>
              <w:rPr>
                <w:rFonts w:ascii="Times New Roman" w:hAnsi="Times New Roman"/>
                <w:i/>
                <w:sz w:val="20"/>
                <w:szCs w:val="20"/>
              </w:rPr>
            </w:pPr>
            <w:r w:rsidRPr="00B0658A">
              <w:rPr>
                <w:rFonts w:ascii="Times New Roman" w:hAnsi="Times New Roman"/>
                <w:i/>
                <w:sz w:val="20"/>
                <w:szCs w:val="20"/>
              </w:rPr>
              <w:t>…</w:t>
            </w:r>
          </w:p>
        </w:tc>
        <w:tc>
          <w:tcPr>
            <w:tcW w:w="733" w:type="pct"/>
          </w:tcPr>
          <w:p w14:paraId="29CDD43D" w14:textId="77777777" w:rsidR="00896456" w:rsidRPr="00B0658A" w:rsidRDefault="00896456" w:rsidP="000A4114">
            <w:pPr>
              <w:spacing w:after="0" w:line="240" w:lineRule="auto"/>
              <w:rPr>
                <w:rFonts w:ascii="Times New Roman" w:hAnsi="Times New Roman"/>
                <w:sz w:val="20"/>
                <w:szCs w:val="20"/>
              </w:rPr>
            </w:pPr>
          </w:p>
        </w:tc>
        <w:tc>
          <w:tcPr>
            <w:tcW w:w="943" w:type="pct"/>
            <w:shd w:val="clear" w:color="000000" w:fill="FFFFFF"/>
            <w:hideMark/>
          </w:tcPr>
          <w:p w14:paraId="5853FA0E" w14:textId="77777777" w:rsidR="00896456" w:rsidRPr="00B0658A" w:rsidRDefault="00896456" w:rsidP="000A4114">
            <w:pPr>
              <w:spacing w:after="0" w:line="240" w:lineRule="auto"/>
              <w:rPr>
                <w:rFonts w:ascii="Times New Roman" w:hAnsi="Times New Roman"/>
                <w:sz w:val="20"/>
                <w:szCs w:val="20"/>
              </w:rPr>
            </w:pPr>
            <w:r w:rsidRPr="00B0658A">
              <w:rPr>
                <w:rFonts w:ascii="Times New Roman" w:hAnsi="Times New Roman"/>
                <w:sz w:val="20"/>
                <w:szCs w:val="20"/>
              </w:rPr>
              <w:t>…...</w:t>
            </w:r>
          </w:p>
        </w:tc>
        <w:tc>
          <w:tcPr>
            <w:tcW w:w="314" w:type="pct"/>
            <w:shd w:val="clear" w:color="000000" w:fill="FFFFFF"/>
            <w:vAlign w:val="center"/>
          </w:tcPr>
          <w:p w14:paraId="28ACD962" w14:textId="77777777" w:rsidR="00896456" w:rsidRPr="00B0658A" w:rsidRDefault="00896456" w:rsidP="000A4114">
            <w:pPr>
              <w:spacing w:after="0" w:line="240" w:lineRule="auto"/>
              <w:jc w:val="center"/>
              <w:rPr>
                <w:rFonts w:ascii="Times New Roman" w:hAnsi="Times New Roman"/>
                <w:sz w:val="20"/>
                <w:szCs w:val="20"/>
              </w:rPr>
            </w:pPr>
          </w:p>
        </w:tc>
        <w:tc>
          <w:tcPr>
            <w:tcW w:w="314" w:type="pct"/>
            <w:shd w:val="clear" w:color="000000" w:fill="FFFFFF"/>
            <w:vAlign w:val="center"/>
            <w:hideMark/>
          </w:tcPr>
          <w:p w14:paraId="0A1C4678" w14:textId="77777777" w:rsidR="00896456" w:rsidRPr="00B0658A" w:rsidRDefault="00896456" w:rsidP="000A4114">
            <w:pPr>
              <w:spacing w:after="0" w:line="240" w:lineRule="auto"/>
              <w:jc w:val="center"/>
              <w:rPr>
                <w:rFonts w:ascii="Times New Roman" w:hAnsi="Times New Roman"/>
                <w:sz w:val="20"/>
                <w:szCs w:val="20"/>
              </w:rPr>
            </w:pPr>
          </w:p>
        </w:tc>
        <w:tc>
          <w:tcPr>
            <w:tcW w:w="314" w:type="pct"/>
            <w:shd w:val="clear" w:color="000000" w:fill="FFFFFF"/>
            <w:vAlign w:val="center"/>
            <w:hideMark/>
          </w:tcPr>
          <w:p w14:paraId="79C8101B" w14:textId="77777777" w:rsidR="00896456" w:rsidRPr="00B0658A" w:rsidRDefault="00896456" w:rsidP="000A4114">
            <w:pPr>
              <w:spacing w:after="0" w:line="240" w:lineRule="auto"/>
              <w:jc w:val="center"/>
              <w:rPr>
                <w:rFonts w:ascii="Times New Roman" w:hAnsi="Times New Roman"/>
                <w:sz w:val="20"/>
                <w:szCs w:val="20"/>
              </w:rPr>
            </w:pPr>
          </w:p>
        </w:tc>
        <w:tc>
          <w:tcPr>
            <w:tcW w:w="314" w:type="pct"/>
            <w:shd w:val="clear" w:color="000000" w:fill="FFFFFF"/>
            <w:vAlign w:val="center"/>
            <w:hideMark/>
          </w:tcPr>
          <w:p w14:paraId="0B1EC396" w14:textId="77777777" w:rsidR="00896456" w:rsidRPr="00B0658A" w:rsidRDefault="00896456" w:rsidP="000A4114">
            <w:pPr>
              <w:spacing w:after="0" w:line="240" w:lineRule="auto"/>
              <w:jc w:val="center"/>
              <w:rPr>
                <w:rFonts w:ascii="Times New Roman" w:hAnsi="Times New Roman"/>
                <w:sz w:val="20"/>
                <w:szCs w:val="20"/>
              </w:rPr>
            </w:pPr>
          </w:p>
        </w:tc>
        <w:tc>
          <w:tcPr>
            <w:tcW w:w="567" w:type="pct"/>
            <w:shd w:val="clear" w:color="000000" w:fill="FFFFFF"/>
            <w:vAlign w:val="center"/>
            <w:hideMark/>
          </w:tcPr>
          <w:p w14:paraId="36421AFF" w14:textId="77777777" w:rsidR="00896456" w:rsidRPr="00B0658A" w:rsidRDefault="00896456" w:rsidP="000A4114">
            <w:pPr>
              <w:spacing w:after="0" w:line="240" w:lineRule="auto"/>
              <w:jc w:val="center"/>
              <w:rPr>
                <w:rFonts w:ascii="Times New Roman" w:hAnsi="Times New Roman"/>
                <w:sz w:val="20"/>
                <w:szCs w:val="20"/>
              </w:rPr>
            </w:pPr>
          </w:p>
        </w:tc>
      </w:tr>
      <w:tr w:rsidR="00F52FED" w:rsidRPr="00B0658A" w14:paraId="4EE9B1B3" w14:textId="77777777" w:rsidTr="0057110B">
        <w:trPr>
          <w:trHeight w:val="20"/>
        </w:trPr>
        <w:tc>
          <w:tcPr>
            <w:tcW w:w="271" w:type="pct"/>
            <w:shd w:val="clear" w:color="000000" w:fill="FFFFFF"/>
            <w:vAlign w:val="center"/>
          </w:tcPr>
          <w:p w14:paraId="5F3B2772" w14:textId="77777777" w:rsidR="00896456" w:rsidRPr="00B0658A" w:rsidRDefault="00896456" w:rsidP="000A4114">
            <w:pPr>
              <w:spacing w:after="0" w:line="240" w:lineRule="auto"/>
              <w:jc w:val="center"/>
              <w:rPr>
                <w:rFonts w:ascii="Times New Roman" w:hAnsi="Times New Roman"/>
                <w:sz w:val="20"/>
                <w:szCs w:val="20"/>
                <w:lang w:val="en-US"/>
              </w:rPr>
            </w:pPr>
            <w:r w:rsidRPr="00B0658A">
              <w:rPr>
                <w:rFonts w:ascii="Times New Roman" w:hAnsi="Times New Roman"/>
                <w:sz w:val="20"/>
                <w:szCs w:val="20"/>
              </w:rPr>
              <w:t>1.</w:t>
            </w:r>
            <w:r w:rsidRPr="00B0658A">
              <w:rPr>
                <w:rFonts w:ascii="Times New Roman" w:hAnsi="Times New Roman"/>
                <w:sz w:val="20"/>
                <w:szCs w:val="20"/>
                <w:lang w:val="en-US"/>
              </w:rPr>
              <w:t>n</w:t>
            </w:r>
          </w:p>
        </w:tc>
        <w:tc>
          <w:tcPr>
            <w:tcW w:w="1231" w:type="pct"/>
            <w:shd w:val="clear" w:color="auto" w:fill="auto"/>
            <w:vAlign w:val="center"/>
            <w:hideMark/>
          </w:tcPr>
          <w:p w14:paraId="7B65300E" w14:textId="77777777" w:rsidR="00896456" w:rsidRPr="00B0658A" w:rsidRDefault="00896456" w:rsidP="000A4114">
            <w:pPr>
              <w:spacing w:after="0" w:line="240" w:lineRule="auto"/>
              <w:rPr>
                <w:rFonts w:ascii="Times New Roman" w:hAnsi="Times New Roman"/>
                <w:i/>
                <w:sz w:val="20"/>
                <w:szCs w:val="20"/>
              </w:rPr>
            </w:pPr>
            <w:r w:rsidRPr="00B0658A">
              <w:rPr>
                <w:rFonts w:ascii="Times New Roman" w:hAnsi="Times New Roman"/>
                <w:i/>
                <w:sz w:val="20"/>
                <w:szCs w:val="20"/>
              </w:rPr>
              <w:t>Указывается класс (тип) №</w:t>
            </w:r>
            <w:r w:rsidRPr="00B0658A">
              <w:rPr>
                <w:rFonts w:ascii="Times New Roman" w:hAnsi="Times New Roman"/>
                <w:i/>
                <w:sz w:val="20"/>
                <w:szCs w:val="20"/>
                <w:lang w:val="en-US"/>
              </w:rPr>
              <w:t>n</w:t>
            </w:r>
            <w:r w:rsidRPr="00B0658A">
              <w:rPr>
                <w:rFonts w:ascii="Times New Roman" w:hAnsi="Times New Roman"/>
                <w:i/>
                <w:sz w:val="20"/>
                <w:szCs w:val="20"/>
              </w:rPr>
              <w:t xml:space="preserve"> ПО, используемого на значимом объекте КИИ №1 в соответствии с приказом Минцифры России от 22 сентября 2020 г. № 486)</w:t>
            </w:r>
          </w:p>
        </w:tc>
        <w:tc>
          <w:tcPr>
            <w:tcW w:w="733" w:type="pct"/>
          </w:tcPr>
          <w:p w14:paraId="73F17BA6" w14:textId="77777777" w:rsidR="00896456" w:rsidRPr="00B0658A" w:rsidRDefault="00896456" w:rsidP="000A4114">
            <w:pPr>
              <w:spacing w:after="0" w:line="240" w:lineRule="auto"/>
              <w:rPr>
                <w:rFonts w:ascii="Times New Roman" w:hAnsi="Times New Roman"/>
                <w:sz w:val="20"/>
                <w:szCs w:val="20"/>
              </w:rPr>
            </w:pPr>
          </w:p>
        </w:tc>
        <w:tc>
          <w:tcPr>
            <w:tcW w:w="943" w:type="pct"/>
            <w:shd w:val="clear" w:color="000000" w:fill="FFFFFF"/>
            <w:hideMark/>
          </w:tcPr>
          <w:p w14:paraId="1221852C" w14:textId="77777777" w:rsidR="00896456" w:rsidRPr="00B0658A" w:rsidRDefault="00896456" w:rsidP="000A4114">
            <w:pPr>
              <w:spacing w:after="0" w:line="240" w:lineRule="auto"/>
              <w:rPr>
                <w:rFonts w:ascii="Times New Roman" w:hAnsi="Times New Roman"/>
                <w:sz w:val="20"/>
                <w:szCs w:val="20"/>
              </w:rPr>
            </w:pPr>
            <w:r w:rsidRPr="00B0658A">
              <w:rPr>
                <w:rFonts w:ascii="Times New Roman" w:hAnsi="Times New Roman"/>
                <w:sz w:val="20"/>
                <w:szCs w:val="20"/>
              </w:rPr>
              <w:t>Доля используемого российского ПО и евразийского ПО, используемого на значимом объекте КИИ, в общем объёме используемого ПО на таком объекте, %</w:t>
            </w:r>
          </w:p>
        </w:tc>
        <w:tc>
          <w:tcPr>
            <w:tcW w:w="314" w:type="pct"/>
            <w:shd w:val="clear" w:color="000000" w:fill="FFFFFF"/>
            <w:vAlign w:val="center"/>
          </w:tcPr>
          <w:p w14:paraId="2AFE91D2" w14:textId="77777777" w:rsidR="00896456" w:rsidRPr="00B0658A" w:rsidRDefault="00896456" w:rsidP="000A4114">
            <w:pPr>
              <w:spacing w:after="0" w:line="240" w:lineRule="auto"/>
              <w:jc w:val="center"/>
              <w:rPr>
                <w:rFonts w:ascii="Times New Roman" w:hAnsi="Times New Roman"/>
                <w:sz w:val="20"/>
                <w:szCs w:val="20"/>
              </w:rPr>
            </w:pPr>
          </w:p>
        </w:tc>
        <w:tc>
          <w:tcPr>
            <w:tcW w:w="314" w:type="pct"/>
            <w:shd w:val="clear" w:color="000000" w:fill="FFFFFF"/>
            <w:vAlign w:val="center"/>
            <w:hideMark/>
          </w:tcPr>
          <w:p w14:paraId="032CFEE8" w14:textId="77777777" w:rsidR="00896456" w:rsidRPr="00B0658A" w:rsidRDefault="00896456" w:rsidP="000A4114">
            <w:pPr>
              <w:spacing w:after="0" w:line="240" w:lineRule="auto"/>
              <w:jc w:val="center"/>
              <w:rPr>
                <w:rFonts w:ascii="Times New Roman" w:hAnsi="Times New Roman"/>
                <w:sz w:val="20"/>
                <w:szCs w:val="20"/>
              </w:rPr>
            </w:pPr>
          </w:p>
        </w:tc>
        <w:tc>
          <w:tcPr>
            <w:tcW w:w="314" w:type="pct"/>
            <w:shd w:val="clear" w:color="000000" w:fill="FFFFFF"/>
            <w:vAlign w:val="center"/>
            <w:hideMark/>
          </w:tcPr>
          <w:p w14:paraId="703BC70C" w14:textId="77777777" w:rsidR="00896456" w:rsidRPr="00B0658A" w:rsidRDefault="00896456" w:rsidP="000A4114">
            <w:pPr>
              <w:spacing w:after="0" w:line="240" w:lineRule="auto"/>
              <w:jc w:val="center"/>
              <w:rPr>
                <w:rFonts w:ascii="Times New Roman" w:hAnsi="Times New Roman"/>
                <w:sz w:val="20"/>
                <w:szCs w:val="20"/>
              </w:rPr>
            </w:pPr>
          </w:p>
        </w:tc>
        <w:tc>
          <w:tcPr>
            <w:tcW w:w="314" w:type="pct"/>
            <w:shd w:val="clear" w:color="000000" w:fill="FFFFFF"/>
            <w:vAlign w:val="center"/>
            <w:hideMark/>
          </w:tcPr>
          <w:p w14:paraId="404FFD1D" w14:textId="77777777" w:rsidR="00896456" w:rsidRPr="00B0658A" w:rsidRDefault="00896456" w:rsidP="000A4114">
            <w:pPr>
              <w:spacing w:after="0" w:line="240" w:lineRule="auto"/>
              <w:jc w:val="center"/>
              <w:rPr>
                <w:rFonts w:ascii="Times New Roman" w:hAnsi="Times New Roman"/>
                <w:sz w:val="20"/>
                <w:szCs w:val="20"/>
              </w:rPr>
            </w:pPr>
          </w:p>
        </w:tc>
        <w:tc>
          <w:tcPr>
            <w:tcW w:w="567" w:type="pct"/>
            <w:shd w:val="clear" w:color="000000" w:fill="FFFFFF"/>
            <w:vAlign w:val="center"/>
            <w:hideMark/>
          </w:tcPr>
          <w:p w14:paraId="57AE25B7" w14:textId="77777777" w:rsidR="00896456" w:rsidRPr="00B0658A" w:rsidRDefault="00896456" w:rsidP="000A4114">
            <w:pPr>
              <w:spacing w:after="0" w:line="240" w:lineRule="auto"/>
              <w:jc w:val="center"/>
              <w:rPr>
                <w:rFonts w:ascii="Times New Roman" w:hAnsi="Times New Roman"/>
                <w:sz w:val="20"/>
                <w:szCs w:val="20"/>
              </w:rPr>
            </w:pPr>
          </w:p>
        </w:tc>
      </w:tr>
      <w:tr w:rsidR="00F52FED" w:rsidRPr="00B0658A" w14:paraId="693A0074" w14:textId="77777777" w:rsidTr="00B10FDE">
        <w:trPr>
          <w:trHeight w:val="20"/>
        </w:trPr>
        <w:tc>
          <w:tcPr>
            <w:tcW w:w="5000" w:type="pct"/>
            <w:gridSpan w:val="9"/>
            <w:shd w:val="clear" w:color="auto" w:fill="DEEAF6" w:themeFill="accent5" w:themeFillTint="33"/>
          </w:tcPr>
          <w:p w14:paraId="76530028" w14:textId="77777777" w:rsidR="00896456" w:rsidRPr="00B0658A" w:rsidRDefault="00896456" w:rsidP="000A4114">
            <w:pPr>
              <w:spacing w:after="0" w:line="240" w:lineRule="auto"/>
              <w:rPr>
                <w:rFonts w:ascii="Times New Roman" w:hAnsi="Times New Roman"/>
                <w:b/>
                <w:sz w:val="20"/>
                <w:szCs w:val="20"/>
              </w:rPr>
            </w:pPr>
            <w:r w:rsidRPr="00B0658A">
              <w:rPr>
                <w:rFonts w:ascii="Times New Roman" w:hAnsi="Times New Roman"/>
                <w:b/>
                <w:sz w:val="20"/>
                <w:szCs w:val="20"/>
              </w:rPr>
              <w:t>2. Показатели эффективности перехода в отношении ________ (наименование значимого объекта КИИ № 2)</w:t>
            </w:r>
          </w:p>
        </w:tc>
      </w:tr>
      <w:tr w:rsidR="00F52FED" w:rsidRPr="00B0658A" w14:paraId="194D2BE3" w14:textId="77777777" w:rsidTr="0057110B">
        <w:trPr>
          <w:trHeight w:val="20"/>
        </w:trPr>
        <w:tc>
          <w:tcPr>
            <w:tcW w:w="271" w:type="pct"/>
            <w:shd w:val="clear" w:color="auto" w:fill="auto"/>
            <w:vAlign w:val="center"/>
          </w:tcPr>
          <w:p w14:paraId="71306124" w14:textId="77777777" w:rsidR="00896456" w:rsidRPr="00B0658A" w:rsidRDefault="00896456" w:rsidP="000A4114">
            <w:pPr>
              <w:spacing w:after="0" w:line="240" w:lineRule="auto"/>
              <w:jc w:val="center"/>
              <w:rPr>
                <w:rFonts w:ascii="Times New Roman" w:hAnsi="Times New Roman"/>
                <w:sz w:val="20"/>
                <w:szCs w:val="20"/>
              </w:rPr>
            </w:pPr>
            <w:r w:rsidRPr="00B0658A">
              <w:rPr>
                <w:rFonts w:ascii="Times New Roman" w:hAnsi="Times New Roman"/>
                <w:sz w:val="20"/>
                <w:szCs w:val="20"/>
                <w:lang w:val="en-US"/>
              </w:rPr>
              <w:t>2</w:t>
            </w:r>
            <w:r w:rsidRPr="00B0658A">
              <w:rPr>
                <w:rFonts w:ascii="Times New Roman" w:hAnsi="Times New Roman"/>
                <w:sz w:val="20"/>
                <w:szCs w:val="20"/>
              </w:rPr>
              <w:t>.1</w:t>
            </w:r>
          </w:p>
        </w:tc>
        <w:tc>
          <w:tcPr>
            <w:tcW w:w="1231" w:type="pct"/>
            <w:shd w:val="clear" w:color="auto" w:fill="auto"/>
            <w:vAlign w:val="center"/>
          </w:tcPr>
          <w:p w14:paraId="680B9DB5" w14:textId="77777777" w:rsidR="00896456" w:rsidRPr="00B0658A" w:rsidRDefault="00896456" w:rsidP="000A4114">
            <w:pPr>
              <w:spacing w:after="0" w:line="240" w:lineRule="auto"/>
              <w:rPr>
                <w:rFonts w:ascii="Times New Roman" w:hAnsi="Times New Roman"/>
                <w:i/>
                <w:sz w:val="20"/>
                <w:szCs w:val="20"/>
              </w:rPr>
            </w:pPr>
            <w:r w:rsidRPr="00B0658A">
              <w:rPr>
                <w:rFonts w:ascii="Times New Roman" w:hAnsi="Times New Roman"/>
                <w:i/>
                <w:sz w:val="20"/>
                <w:szCs w:val="20"/>
              </w:rPr>
              <w:t>Указывается класс (тип) №1 ПО, используемого на значимом объекте КИИ №2 в соответствии с приказом Минцифры России от 22 сентября 2020 г. № 486)</w:t>
            </w:r>
          </w:p>
        </w:tc>
        <w:tc>
          <w:tcPr>
            <w:tcW w:w="733" w:type="pct"/>
          </w:tcPr>
          <w:p w14:paraId="20AE1DDE" w14:textId="77777777" w:rsidR="00896456" w:rsidRPr="00B0658A" w:rsidRDefault="00896456" w:rsidP="000A4114">
            <w:pPr>
              <w:spacing w:after="0" w:line="240" w:lineRule="auto"/>
              <w:rPr>
                <w:rFonts w:ascii="Times New Roman" w:hAnsi="Times New Roman"/>
                <w:sz w:val="20"/>
                <w:szCs w:val="20"/>
              </w:rPr>
            </w:pPr>
          </w:p>
        </w:tc>
        <w:tc>
          <w:tcPr>
            <w:tcW w:w="943" w:type="pct"/>
            <w:shd w:val="clear" w:color="000000" w:fill="FFFFFF"/>
          </w:tcPr>
          <w:p w14:paraId="52BCA3D1" w14:textId="77777777" w:rsidR="00896456" w:rsidRPr="00B0658A" w:rsidRDefault="00896456" w:rsidP="000A4114">
            <w:pPr>
              <w:spacing w:after="0" w:line="240" w:lineRule="auto"/>
              <w:rPr>
                <w:rFonts w:ascii="Times New Roman" w:hAnsi="Times New Roman"/>
                <w:sz w:val="20"/>
                <w:szCs w:val="20"/>
              </w:rPr>
            </w:pPr>
            <w:r w:rsidRPr="00B0658A">
              <w:rPr>
                <w:rFonts w:ascii="Times New Roman" w:hAnsi="Times New Roman"/>
                <w:sz w:val="20"/>
                <w:szCs w:val="20"/>
              </w:rPr>
              <w:t>Доля используемого российского ПО и евразийского ПО, используемого на значимом объекте КИИ, в общем объёме используемого ПО на таком объекте, %</w:t>
            </w:r>
          </w:p>
        </w:tc>
        <w:tc>
          <w:tcPr>
            <w:tcW w:w="314" w:type="pct"/>
            <w:shd w:val="clear" w:color="000000" w:fill="FFFFFF"/>
            <w:vAlign w:val="center"/>
          </w:tcPr>
          <w:p w14:paraId="29E55E6C" w14:textId="77777777" w:rsidR="00896456" w:rsidRPr="00B0658A" w:rsidRDefault="00896456" w:rsidP="000A4114">
            <w:pPr>
              <w:spacing w:after="0" w:line="240" w:lineRule="auto"/>
              <w:jc w:val="center"/>
              <w:rPr>
                <w:rFonts w:ascii="Times New Roman" w:hAnsi="Times New Roman"/>
                <w:sz w:val="20"/>
                <w:szCs w:val="20"/>
              </w:rPr>
            </w:pPr>
          </w:p>
        </w:tc>
        <w:tc>
          <w:tcPr>
            <w:tcW w:w="314" w:type="pct"/>
            <w:shd w:val="clear" w:color="000000" w:fill="FFFFFF"/>
            <w:vAlign w:val="center"/>
          </w:tcPr>
          <w:p w14:paraId="5F641260" w14:textId="77777777" w:rsidR="00896456" w:rsidRPr="00B0658A" w:rsidRDefault="00896456" w:rsidP="000A4114">
            <w:pPr>
              <w:spacing w:after="0" w:line="240" w:lineRule="auto"/>
              <w:jc w:val="center"/>
              <w:rPr>
                <w:rFonts w:ascii="Times New Roman" w:hAnsi="Times New Roman"/>
                <w:sz w:val="20"/>
                <w:szCs w:val="20"/>
              </w:rPr>
            </w:pPr>
          </w:p>
        </w:tc>
        <w:tc>
          <w:tcPr>
            <w:tcW w:w="314" w:type="pct"/>
            <w:shd w:val="clear" w:color="000000" w:fill="FFFFFF"/>
            <w:vAlign w:val="center"/>
          </w:tcPr>
          <w:p w14:paraId="1D21CF1C" w14:textId="77777777" w:rsidR="00896456" w:rsidRPr="00B0658A" w:rsidRDefault="00896456" w:rsidP="000A4114">
            <w:pPr>
              <w:spacing w:after="0" w:line="240" w:lineRule="auto"/>
              <w:jc w:val="center"/>
              <w:rPr>
                <w:rFonts w:ascii="Times New Roman" w:hAnsi="Times New Roman"/>
                <w:sz w:val="20"/>
                <w:szCs w:val="20"/>
              </w:rPr>
            </w:pPr>
          </w:p>
        </w:tc>
        <w:tc>
          <w:tcPr>
            <w:tcW w:w="314" w:type="pct"/>
            <w:shd w:val="clear" w:color="000000" w:fill="FFFFFF"/>
            <w:vAlign w:val="center"/>
          </w:tcPr>
          <w:p w14:paraId="35131DAB" w14:textId="77777777" w:rsidR="00896456" w:rsidRPr="00B0658A" w:rsidRDefault="00896456" w:rsidP="000A4114">
            <w:pPr>
              <w:spacing w:after="0" w:line="240" w:lineRule="auto"/>
              <w:jc w:val="center"/>
              <w:rPr>
                <w:rFonts w:ascii="Times New Roman" w:hAnsi="Times New Roman"/>
                <w:sz w:val="20"/>
                <w:szCs w:val="20"/>
              </w:rPr>
            </w:pPr>
          </w:p>
        </w:tc>
        <w:tc>
          <w:tcPr>
            <w:tcW w:w="567" w:type="pct"/>
            <w:shd w:val="clear" w:color="000000" w:fill="FFFFFF"/>
            <w:vAlign w:val="center"/>
          </w:tcPr>
          <w:p w14:paraId="39660150" w14:textId="77777777" w:rsidR="00896456" w:rsidRPr="00B0658A" w:rsidRDefault="00896456" w:rsidP="000A4114">
            <w:pPr>
              <w:spacing w:after="0" w:line="240" w:lineRule="auto"/>
              <w:jc w:val="center"/>
              <w:rPr>
                <w:rFonts w:ascii="Times New Roman" w:hAnsi="Times New Roman"/>
                <w:sz w:val="20"/>
                <w:szCs w:val="20"/>
              </w:rPr>
            </w:pPr>
          </w:p>
        </w:tc>
      </w:tr>
      <w:tr w:rsidR="00F52FED" w:rsidRPr="00B0658A" w14:paraId="038A0FD2" w14:textId="77777777" w:rsidTr="0057110B">
        <w:trPr>
          <w:trHeight w:val="20"/>
        </w:trPr>
        <w:tc>
          <w:tcPr>
            <w:tcW w:w="271" w:type="pct"/>
            <w:shd w:val="clear" w:color="000000" w:fill="FFFFFF"/>
            <w:vAlign w:val="center"/>
          </w:tcPr>
          <w:p w14:paraId="4099646E" w14:textId="77777777" w:rsidR="00896456" w:rsidRPr="00B0658A" w:rsidRDefault="00896456" w:rsidP="000A4114">
            <w:pPr>
              <w:spacing w:after="0" w:line="240" w:lineRule="auto"/>
              <w:jc w:val="center"/>
              <w:rPr>
                <w:rFonts w:ascii="Times New Roman" w:hAnsi="Times New Roman"/>
                <w:sz w:val="20"/>
                <w:szCs w:val="20"/>
              </w:rPr>
            </w:pPr>
            <w:r w:rsidRPr="00B0658A">
              <w:rPr>
                <w:rFonts w:ascii="Times New Roman" w:hAnsi="Times New Roman"/>
                <w:sz w:val="20"/>
                <w:szCs w:val="20"/>
                <w:lang w:val="en-US"/>
              </w:rPr>
              <w:t>2</w:t>
            </w:r>
            <w:r w:rsidRPr="00B0658A">
              <w:rPr>
                <w:rFonts w:ascii="Times New Roman" w:hAnsi="Times New Roman"/>
                <w:sz w:val="20"/>
                <w:szCs w:val="20"/>
              </w:rPr>
              <w:t>.2</w:t>
            </w:r>
          </w:p>
        </w:tc>
        <w:tc>
          <w:tcPr>
            <w:tcW w:w="1231" w:type="pct"/>
            <w:shd w:val="clear" w:color="auto" w:fill="auto"/>
            <w:vAlign w:val="center"/>
          </w:tcPr>
          <w:p w14:paraId="57AE95F1" w14:textId="77777777" w:rsidR="00896456" w:rsidRPr="00B0658A" w:rsidRDefault="00896456" w:rsidP="000A4114">
            <w:pPr>
              <w:spacing w:after="0" w:line="240" w:lineRule="auto"/>
              <w:rPr>
                <w:rFonts w:ascii="Times New Roman" w:hAnsi="Times New Roman"/>
                <w:i/>
                <w:sz w:val="20"/>
                <w:szCs w:val="20"/>
              </w:rPr>
            </w:pPr>
            <w:r w:rsidRPr="00B0658A">
              <w:rPr>
                <w:rFonts w:ascii="Times New Roman" w:hAnsi="Times New Roman"/>
                <w:i/>
                <w:sz w:val="20"/>
                <w:szCs w:val="20"/>
              </w:rPr>
              <w:t>Указывается класс (тип) №2 ПО, используемого на значимом объекте КИИ №2 в соответствии с приказом Минцифры России от 22 сентября 2020 г. № 486)</w:t>
            </w:r>
          </w:p>
        </w:tc>
        <w:tc>
          <w:tcPr>
            <w:tcW w:w="733" w:type="pct"/>
          </w:tcPr>
          <w:p w14:paraId="5FBB316A" w14:textId="77777777" w:rsidR="00896456" w:rsidRPr="00B0658A" w:rsidRDefault="00896456" w:rsidP="000A4114">
            <w:pPr>
              <w:spacing w:after="0" w:line="240" w:lineRule="auto"/>
              <w:rPr>
                <w:rFonts w:ascii="Times New Roman" w:hAnsi="Times New Roman"/>
                <w:sz w:val="20"/>
                <w:szCs w:val="20"/>
              </w:rPr>
            </w:pPr>
          </w:p>
        </w:tc>
        <w:tc>
          <w:tcPr>
            <w:tcW w:w="943" w:type="pct"/>
            <w:shd w:val="clear" w:color="000000" w:fill="FFFFFF"/>
          </w:tcPr>
          <w:p w14:paraId="2B639ACF" w14:textId="77777777" w:rsidR="00896456" w:rsidRPr="00B0658A" w:rsidRDefault="00896456" w:rsidP="000A4114">
            <w:pPr>
              <w:spacing w:after="0" w:line="240" w:lineRule="auto"/>
              <w:rPr>
                <w:rFonts w:ascii="Times New Roman" w:hAnsi="Times New Roman"/>
                <w:sz w:val="20"/>
                <w:szCs w:val="20"/>
              </w:rPr>
            </w:pPr>
            <w:r w:rsidRPr="00B0658A">
              <w:rPr>
                <w:rFonts w:ascii="Times New Roman" w:hAnsi="Times New Roman"/>
                <w:sz w:val="20"/>
                <w:szCs w:val="20"/>
              </w:rPr>
              <w:t>Доля используемого российского ПО и евразийского ПО, используемого на значимом объекте КИИ, в общем объёме используемого ПО на таком объекте, %</w:t>
            </w:r>
          </w:p>
        </w:tc>
        <w:tc>
          <w:tcPr>
            <w:tcW w:w="314" w:type="pct"/>
            <w:shd w:val="clear" w:color="000000" w:fill="FFFFFF"/>
            <w:vAlign w:val="center"/>
          </w:tcPr>
          <w:p w14:paraId="2736AEDF" w14:textId="77777777" w:rsidR="00896456" w:rsidRPr="00B0658A" w:rsidRDefault="00896456" w:rsidP="000A4114">
            <w:pPr>
              <w:spacing w:after="0" w:line="240" w:lineRule="auto"/>
              <w:jc w:val="center"/>
              <w:rPr>
                <w:rFonts w:ascii="Times New Roman" w:hAnsi="Times New Roman"/>
                <w:sz w:val="20"/>
                <w:szCs w:val="20"/>
              </w:rPr>
            </w:pPr>
          </w:p>
        </w:tc>
        <w:tc>
          <w:tcPr>
            <w:tcW w:w="314" w:type="pct"/>
            <w:shd w:val="clear" w:color="000000" w:fill="FFFFFF"/>
            <w:vAlign w:val="center"/>
          </w:tcPr>
          <w:p w14:paraId="77DF7946" w14:textId="77777777" w:rsidR="00896456" w:rsidRPr="00B0658A" w:rsidRDefault="00896456" w:rsidP="000A4114">
            <w:pPr>
              <w:spacing w:after="0" w:line="240" w:lineRule="auto"/>
              <w:jc w:val="center"/>
              <w:rPr>
                <w:rFonts w:ascii="Times New Roman" w:hAnsi="Times New Roman"/>
                <w:sz w:val="20"/>
                <w:szCs w:val="20"/>
              </w:rPr>
            </w:pPr>
          </w:p>
        </w:tc>
        <w:tc>
          <w:tcPr>
            <w:tcW w:w="314" w:type="pct"/>
            <w:shd w:val="clear" w:color="000000" w:fill="FFFFFF"/>
            <w:vAlign w:val="center"/>
          </w:tcPr>
          <w:p w14:paraId="533C7195" w14:textId="77777777" w:rsidR="00896456" w:rsidRPr="00B0658A" w:rsidRDefault="00896456" w:rsidP="000A4114">
            <w:pPr>
              <w:spacing w:after="0" w:line="240" w:lineRule="auto"/>
              <w:jc w:val="center"/>
              <w:rPr>
                <w:rFonts w:ascii="Times New Roman" w:hAnsi="Times New Roman"/>
                <w:sz w:val="20"/>
                <w:szCs w:val="20"/>
              </w:rPr>
            </w:pPr>
          </w:p>
        </w:tc>
        <w:tc>
          <w:tcPr>
            <w:tcW w:w="314" w:type="pct"/>
            <w:shd w:val="clear" w:color="000000" w:fill="FFFFFF"/>
            <w:vAlign w:val="center"/>
          </w:tcPr>
          <w:p w14:paraId="50DE4468" w14:textId="77777777" w:rsidR="00896456" w:rsidRPr="00B0658A" w:rsidRDefault="00896456" w:rsidP="000A4114">
            <w:pPr>
              <w:spacing w:after="0" w:line="240" w:lineRule="auto"/>
              <w:jc w:val="center"/>
              <w:rPr>
                <w:rFonts w:ascii="Times New Roman" w:hAnsi="Times New Roman"/>
                <w:sz w:val="20"/>
                <w:szCs w:val="20"/>
              </w:rPr>
            </w:pPr>
          </w:p>
        </w:tc>
        <w:tc>
          <w:tcPr>
            <w:tcW w:w="567" w:type="pct"/>
            <w:shd w:val="clear" w:color="000000" w:fill="FFFFFF"/>
            <w:vAlign w:val="center"/>
          </w:tcPr>
          <w:p w14:paraId="79F33D78" w14:textId="77777777" w:rsidR="00896456" w:rsidRPr="00B0658A" w:rsidRDefault="00896456" w:rsidP="000A4114">
            <w:pPr>
              <w:spacing w:after="0" w:line="240" w:lineRule="auto"/>
              <w:jc w:val="center"/>
              <w:rPr>
                <w:rFonts w:ascii="Times New Roman" w:hAnsi="Times New Roman"/>
                <w:sz w:val="20"/>
                <w:szCs w:val="20"/>
              </w:rPr>
            </w:pPr>
          </w:p>
        </w:tc>
      </w:tr>
      <w:tr w:rsidR="00F52FED" w:rsidRPr="00B0658A" w14:paraId="5D21396B" w14:textId="77777777" w:rsidTr="0057110B">
        <w:trPr>
          <w:trHeight w:val="20"/>
        </w:trPr>
        <w:tc>
          <w:tcPr>
            <w:tcW w:w="271" w:type="pct"/>
            <w:shd w:val="clear" w:color="000000" w:fill="FFFFFF"/>
            <w:vAlign w:val="center"/>
          </w:tcPr>
          <w:p w14:paraId="628D9C11" w14:textId="77777777" w:rsidR="00896456" w:rsidRPr="00B0658A" w:rsidRDefault="00896456" w:rsidP="000A4114">
            <w:pPr>
              <w:spacing w:after="0" w:line="240" w:lineRule="auto"/>
              <w:jc w:val="center"/>
              <w:rPr>
                <w:rFonts w:ascii="Times New Roman" w:hAnsi="Times New Roman"/>
                <w:sz w:val="20"/>
                <w:szCs w:val="20"/>
              </w:rPr>
            </w:pPr>
            <w:r w:rsidRPr="00B0658A">
              <w:rPr>
                <w:rFonts w:ascii="Times New Roman" w:hAnsi="Times New Roman"/>
                <w:sz w:val="20"/>
                <w:szCs w:val="20"/>
              </w:rPr>
              <w:t>…</w:t>
            </w:r>
          </w:p>
        </w:tc>
        <w:tc>
          <w:tcPr>
            <w:tcW w:w="1231" w:type="pct"/>
            <w:shd w:val="clear" w:color="auto" w:fill="auto"/>
            <w:vAlign w:val="center"/>
          </w:tcPr>
          <w:p w14:paraId="6DA91B87" w14:textId="77777777" w:rsidR="00896456" w:rsidRPr="00B0658A" w:rsidRDefault="00896456" w:rsidP="000A4114">
            <w:pPr>
              <w:spacing w:after="0" w:line="240" w:lineRule="auto"/>
              <w:rPr>
                <w:rFonts w:ascii="Times New Roman" w:hAnsi="Times New Roman"/>
                <w:i/>
                <w:sz w:val="20"/>
                <w:szCs w:val="20"/>
              </w:rPr>
            </w:pPr>
            <w:r w:rsidRPr="00B0658A">
              <w:rPr>
                <w:rFonts w:ascii="Times New Roman" w:hAnsi="Times New Roman"/>
                <w:i/>
                <w:sz w:val="20"/>
                <w:szCs w:val="20"/>
              </w:rPr>
              <w:t>…</w:t>
            </w:r>
          </w:p>
        </w:tc>
        <w:tc>
          <w:tcPr>
            <w:tcW w:w="733" w:type="pct"/>
          </w:tcPr>
          <w:p w14:paraId="0B9204B4" w14:textId="77777777" w:rsidR="00896456" w:rsidRPr="00B0658A" w:rsidRDefault="00896456" w:rsidP="000A4114">
            <w:pPr>
              <w:spacing w:after="0" w:line="240" w:lineRule="auto"/>
              <w:rPr>
                <w:rFonts w:ascii="Times New Roman" w:hAnsi="Times New Roman"/>
                <w:sz w:val="20"/>
                <w:szCs w:val="20"/>
              </w:rPr>
            </w:pPr>
          </w:p>
        </w:tc>
        <w:tc>
          <w:tcPr>
            <w:tcW w:w="943" w:type="pct"/>
            <w:shd w:val="clear" w:color="000000" w:fill="FFFFFF"/>
          </w:tcPr>
          <w:p w14:paraId="7BCB2E33" w14:textId="77777777" w:rsidR="00896456" w:rsidRPr="00B0658A" w:rsidRDefault="00896456" w:rsidP="000A4114">
            <w:pPr>
              <w:spacing w:after="0" w:line="240" w:lineRule="auto"/>
              <w:rPr>
                <w:rFonts w:ascii="Times New Roman" w:hAnsi="Times New Roman"/>
                <w:sz w:val="20"/>
                <w:szCs w:val="20"/>
              </w:rPr>
            </w:pPr>
            <w:r w:rsidRPr="00B0658A">
              <w:rPr>
                <w:rFonts w:ascii="Times New Roman" w:hAnsi="Times New Roman"/>
                <w:sz w:val="20"/>
                <w:szCs w:val="20"/>
              </w:rPr>
              <w:t>…...</w:t>
            </w:r>
          </w:p>
        </w:tc>
        <w:tc>
          <w:tcPr>
            <w:tcW w:w="314" w:type="pct"/>
            <w:shd w:val="clear" w:color="000000" w:fill="FFFFFF"/>
            <w:vAlign w:val="center"/>
          </w:tcPr>
          <w:p w14:paraId="3CB85F4D" w14:textId="77777777" w:rsidR="00896456" w:rsidRPr="00B0658A" w:rsidRDefault="00896456" w:rsidP="000A4114">
            <w:pPr>
              <w:spacing w:after="0" w:line="240" w:lineRule="auto"/>
              <w:jc w:val="center"/>
              <w:rPr>
                <w:rFonts w:ascii="Times New Roman" w:hAnsi="Times New Roman"/>
                <w:sz w:val="20"/>
                <w:szCs w:val="20"/>
              </w:rPr>
            </w:pPr>
          </w:p>
        </w:tc>
        <w:tc>
          <w:tcPr>
            <w:tcW w:w="314" w:type="pct"/>
            <w:shd w:val="clear" w:color="000000" w:fill="FFFFFF"/>
            <w:vAlign w:val="center"/>
          </w:tcPr>
          <w:p w14:paraId="082CE1B8" w14:textId="77777777" w:rsidR="00896456" w:rsidRPr="00B0658A" w:rsidRDefault="00896456" w:rsidP="000A4114">
            <w:pPr>
              <w:spacing w:after="0" w:line="240" w:lineRule="auto"/>
              <w:jc w:val="center"/>
              <w:rPr>
                <w:rFonts w:ascii="Times New Roman" w:hAnsi="Times New Roman"/>
                <w:sz w:val="20"/>
                <w:szCs w:val="20"/>
              </w:rPr>
            </w:pPr>
          </w:p>
        </w:tc>
        <w:tc>
          <w:tcPr>
            <w:tcW w:w="314" w:type="pct"/>
            <w:shd w:val="clear" w:color="000000" w:fill="FFFFFF"/>
            <w:vAlign w:val="center"/>
          </w:tcPr>
          <w:p w14:paraId="3CDC1407" w14:textId="77777777" w:rsidR="00896456" w:rsidRPr="00B0658A" w:rsidRDefault="00896456" w:rsidP="000A4114">
            <w:pPr>
              <w:spacing w:after="0" w:line="240" w:lineRule="auto"/>
              <w:jc w:val="center"/>
              <w:rPr>
                <w:rFonts w:ascii="Times New Roman" w:hAnsi="Times New Roman"/>
                <w:sz w:val="20"/>
                <w:szCs w:val="20"/>
              </w:rPr>
            </w:pPr>
          </w:p>
        </w:tc>
        <w:tc>
          <w:tcPr>
            <w:tcW w:w="314" w:type="pct"/>
            <w:shd w:val="clear" w:color="000000" w:fill="FFFFFF"/>
            <w:vAlign w:val="center"/>
          </w:tcPr>
          <w:p w14:paraId="61F9359F" w14:textId="77777777" w:rsidR="00896456" w:rsidRPr="00B0658A" w:rsidRDefault="00896456" w:rsidP="000A4114">
            <w:pPr>
              <w:spacing w:after="0" w:line="240" w:lineRule="auto"/>
              <w:jc w:val="center"/>
              <w:rPr>
                <w:rFonts w:ascii="Times New Roman" w:hAnsi="Times New Roman"/>
                <w:sz w:val="20"/>
                <w:szCs w:val="20"/>
              </w:rPr>
            </w:pPr>
          </w:p>
        </w:tc>
        <w:tc>
          <w:tcPr>
            <w:tcW w:w="567" w:type="pct"/>
            <w:shd w:val="clear" w:color="000000" w:fill="FFFFFF"/>
            <w:vAlign w:val="center"/>
          </w:tcPr>
          <w:p w14:paraId="308AEFE0" w14:textId="77777777" w:rsidR="00896456" w:rsidRPr="00B0658A" w:rsidRDefault="00896456" w:rsidP="000A4114">
            <w:pPr>
              <w:spacing w:after="0" w:line="240" w:lineRule="auto"/>
              <w:jc w:val="center"/>
              <w:rPr>
                <w:rFonts w:ascii="Times New Roman" w:hAnsi="Times New Roman"/>
                <w:sz w:val="20"/>
                <w:szCs w:val="20"/>
              </w:rPr>
            </w:pPr>
          </w:p>
        </w:tc>
      </w:tr>
      <w:tr w:rsidR="00F52FED" w:rsidRPr="00B0658A" w14:paraId="1225C401" w14:textId="77777777" w:rsidTr="0057110B">
        <w:trPr>
          <w:trHeight w:val="20"/>
        </w:trPr>
        <w:tc>
          <w:tcPr>
            <w:tcW w:w="271" w:type="pct"/>
            <w:shd w:val="clear" w:color="000000" w:fill="FFFFFF"/>
            <w:vAlign w:val="center"/>
          </w:tcPr>
          <w:p w14:paraId="5EA49DED" w14:textId="77777777" w:rsidR="00896456" w:rsidRPr="00B0658A" w:rsidRDefault="00896456" w:rsidP="000A4114">
            <w:pPr>
              <w:spacing w:after="0" w:line="240" w:lineRule="auto"/>
              <w:jc w:val="center"/>
              <w:rPr>
                <w:rFonts w:ascii="Times New Roman" w:hAnsi="Times New Roman"/>
                <w:sz w:val="20"/>
                <w:szCs w:val="20"/>
              </w:rPr>
            </w:pPr>
            <w:r w:rsidRPr="00B0658A">
              <w:rPr>
                <w:rFonts w:ascii="Times New Roman" w:hAnsi="Times New Roman"/>
                <w:sz w:val="20"/>
                <w:szCs w:val="20"/>
                <w:lang w:val="en-US"/>
              </w:rPr>
              <w:t>2</w:t>
            </w:r>
            <w:r w:rsidRPr="00B0658A">
              <w:rPr>
                <w:rFonts w:ascii="Times New Roman" w:hAnsi="Times New Roman"/>
                <w:sz w:val="20"/>
                <w:szCs w:val="20"/>
              </w:rPr>
              <w:t>.</w:t>
            </w:r>
            <w:r w:rsidRPr="00B0658A">
              <w:rPr>
                <w:rFonts w:ascii="Times New Roman" w:hAnsi="Times New Roman"/>
                <w:sz w:val="20"/>
                <w:szCs w:val="20"/>
                <w:lang w:val="en-US"/>
              </w:rPr>
              <w:t>n</w:t>
            </w:r>
          </w:p>
        </w:tc>
        <w:tc>
          <w:tcPr>
            <w:tcW w:w="1231" w:type="pct"/>
            <w:shd w:val="clear" w:color="auto" w:fill="auto"/>
            <w:vAlign w:val="center"/>
          </w:tcPr>
          <w:p w14:paraId="6C4B880D" w14:textId="77777777" w:rsidR="00896456" w:rsidRPr="00B0658A" w:rsidRDefault="00896456" w:rsidP="000A4114">
            <w:pPr>
              <w:spacing w:after="0" w:line="240" w:lineRule="auto"/>
              <w:rPr>
                <w:rFonts w:ascii="Times New Roman" w:hAnsi="Times New Roman"/>
                <w:i/>
                <w:sz w:val="20"/>
                <w:szCs w:val="20"/>
              </w:rPr>
            </w:pPr>
            <w:r w:rsidRPr="00B0658A">
              <w:rPr>
                <w:rFonts w:ascii="Times New Roman" w:hAnsi="Times New Roman"/>
                <w:i/>
                <w:sz w:val="20"/>
                <w:szCs w:val="20"/>
              </w:rPr>
              <w:t>Указывается класс (тип) №</w:t>
            </w:r>
            <w:r w:rsidRPr="00B0658A">
              <w:rPr>
                <w:rFonts w:ascii="Times New Roman" w:hAnsi="Times New Roman"/>
                <w:i/>
                <w:sz w:val="20"/>
                <w:szCs w:val="20"/>
                <w:lang w:val="en-US"/>
              </w:rPr>
              <w:t>n</w:t>
            </w:r>
            <w:r w:rsidRPr="00B0658A">
              <w:rPr>
                <w:rFonts w:ascii="Times New Roman" w:hAnsi="Times New Roman"/>
                <w:i/>
                <w:sz w:val="20"/>
                <w:szCs w:val="20"/>
              </w:rPr>
              <w:t xml:space="preserve"> ПО, используемого на значимом объекте КИИ №2 в соответствии с приказом Минцифры России от 22 сентября 2020 г. № 486)</w:t>
            </w:r>
          </w:p>
        </w:tc>
        <w:tc>
          <w:tcPr>
            <w:tcW w:w="733" w:type="pct"/>
          </w:tcPr>
          <w:p w14:paraId="28AF5DB3" w14:textId="77777777" w:rsidR="00896456" w:rsidRPr="00B0658A" w:rsidRDefault="00896456" w:rsidP="000A4114">
            <w:pPr>
              <w:spacing w:after="0" w:line="240" w:lineRule="auto"/>
              <w:rPr>
                <w:rFonts w:ascii="Times New Roman" w:hAnsi="Times New Roman"/>
                <w:sz w:val="20"/>
                <w:szCs w:val="20"/>
              </w:rPr>
            </w:pPr>
          </w:p>
        </w:tc>
        <w:tc>
          <w:tcPr>
            <w:tcW w:w="943" w:type="pct"/>
            <w:shd w:val="clear" w:color="000000" w:fill="FFFFFF"/>
          </w:tcPr>
          <w:p w14:paraId="6AAA62FB" w14:textId="77777777" w:rsidR="00896456" w:rsidRPr="00B0658A" w:rsidRDefault="00896456" w:rsidP="000A4114">
            <w:pPr>
              <w:spacing w:after="0" w:line="240" w:lineRule="auto"/>
              <w:rPr>
                <w:rFonts w:ascii="Times New Roman" w:hAnsi="Times New Roman"/>
                <w:sz w:val="20"/>
                <w:szCs w:val="20"/>
              </w:rPr>
            </w:pPr>
            <w:r w:rsidRPr="00B0658A">
              <w:rPr>
                <w:rFonts w:ascii="Times New Roman" w:hAnsi="Times New Roman"/>
                <w:sz w:val="20"/>
                <w:szCs w:val="20"/>
              </w:rPr>
              <w:t>Доля используемого российского ПО и евразийского ПО, используемого на значимом объекте КИИ, в общем объёме используемого ПО на таком объекте, %</w:t>
            </w:r>
          </w:p>
        </w:tc>
        <w:tc>
          <w:tcPr>
            <w:tcW w:w="314" w:type="pct"/>
            <w:shd w:val="clear" w:color="000000" w:fill="FFFFFF"/>
            <w:vAlign w:val="center"/>
          </w:tcPr>
          <w:p w14:paraId="25A437EA" w14:textId="77777777" w:rsidR="00896456" w:rsidRPr="00B0658A" w:rsidRDefault="00896456" w:rsidP="000A4114">
            <w:pPr>
              <w:spacing w:after="0" w:line="240" w:lineRule="auto"/>
              <w:jc w:val="center"/>
              <w:rPr>
                <w:rFonts w:ascii="Times New Roman" w:hAnsi="Times New Roman"/>
                <w:sz w:val="20"/>
                <w:szCs w:val="20"/>
              </w:rPr>
            </w:pPr>
          </w:p>
        </w:tc>
        <w:tc>
          <w:tcPr>
            <w:tcW w:w="314" w:type="pct"/>
            <w:shd w:val="clear" w:color="000000" w:fill="FFFFFF"/>
            <w:vAlign w:val="center"/>
          </w:tcPr>
          <w:p w14:paraId="2801C1BC" w14:textId="77777777" w:rsidR="00896456" w:rsidRPr="00B0658A" w:rsidRDefault="00896456" w:rsidP="000A4114">
            <w:pPr>
              <w:spacing w:after="0" w:line="240" w:lineRule="auto"/>
              <w:jc w:val="center"/>
              <w:rPr>
                <w:rFonts w:ascii="Times New Roman" w:hAnsi="Times New Roman"/>
                <w:sz w:val="20"/>
                <w:szCs w:val="20"/>
              </w:rPr>
            </w:pPr>
          </w:p>
        </w:tc>
        <w:tc>
          <w:tcPr>
            <w:tcW w:w="314" w:type="pct"/>
            <w:shd w:val="clear" w:color="000000" w:fill="FFFFFF"/>
            <w:vAlign w:val="center"/>
          </w:tcPr>
          <w:p w14:paraId="667205D6" w14:textId="77777777" w:rsidR="00896456" w:rsidRPr="00B0658A" w:rsidRDefault="00896456" w:rsidP="000A4114">
            <w:pPr>
              <w:spacing w:after="0" w:line="240" w:lineRule="auto"/>
              <w:jc w:val="center"/>
              <w:rPr>
                <w:rFonts w:ascii="Times New Roman" w:hAnsi="Times New Roman"/>
                <w:sz w:val="20"/>
                <w:szCs w:val="20"/>
              </w:rPr>
            </w:pPr>
          </w:p>
        </w:tc>
        <w:tc>
          <w:tcPr>
            <w:tcW w:w="314" w:type="pct"/>
            <w:shd w:val="clear" w:color="000000" w:fill="FFFFFF"/>
            <w:vAlign w:val="center"/>
          </w:tcPr>
          <w:p w14:paraId="3F56D9F4" w14:textId="77777777" w:rsidR="00896456" w:rsidRPr="00B0658A" w:rsidRDefault="00896456" w:rsidP="000A4114">
            <w:pPr>
              <w:spacing w:after="0" w:line="240" w:lineRule="auto"/>
              <w:jc w:val="center"/>
              <w:rPr>
                <w:rFonts w:ascii="Times New Roman" w:hAnsi="Times New Roman"/>
                <w:sz w:val="20"/>
                <w:szCs w:val="20"/>
              </w:rPr>
            </w:pPr>
          </w:p>
        </w:tc>
        <w:tc>
          <w:tcPr>
            <w:tcW w:w="567" w:type="pct"/>
            <w:shd w:val="clear" w:color="000000" w:fill="FFFFFF"/>
            <w:vAlign w:val="center"/>
          </w:tcPr>
          <w:p w14:paraId="01F43F1C" w14:textId="77777777" w:rsidR="00896456" w:rsidRPr="00B0658A" w:rsidRDefault="00896456" w:rsidP="000A4114">
            <w:pPr>
              <w:spacing w:after="0" w:line="240" w:lineRule="auto"/>
              <w:jc w:val="center"/>
              <w:rPr>
                <w:rFonts w:ascii="Times New Roman" w:hAnsi="Times New Roman"/>
                <w:sz w:val="20"/>
                <w:szCs w:val="20"/>
              </w:rPr>
            </w:pPr>
          </w:p>
        </w:tc>
      </w:tr>
      <w:tr w:rsidR="00F52FED" w:rsidRPr="00B0658A" w14:paraId="376E16FE" w14:textId="77777777" w:rsidTr="00B10FDE">
        <w:trPr>
          <w:trHeight w:val="20"/>
        </w:trPr>
        <w:tc>
          <w:tcPr>
            <w:tcW w:w="5000" w:type="pct"/>
            <w:gridSpan w:val="9"/>
            <w:shd w:val="clear" w:color="auto" w:fill="DEEAF6" w:themeFill="accent5" w:themeFillTint="33"/>
          </w:tcPr>
          <w:p w14:paraId="4DDD21FF" w14:textId="77777777" w:rsidR="00896456" w:rsidRPr="00B0658A" w:rsidRDefault="00896456" w:rsidP="000A4114">
            <w:pPr>
              <w:spacing w:after="0" w:line="240" w:lineRule="auto"/>
              <w:rPr>
                <w:rFonts w:ascii="Times New Roman" w:hAnsi="Times New Roman"/>
                <w:b/>
                <w:sz w:val="20"/>
                <w:szCs w:val="20"/>
              </w:rPr>
            </w:pPr>
            <w:r w:rsidRPr="00B0658A">
              <w:rPr>
                <w:rFonts w:ascii="Times New Roman" w:hAnsi="Times New Roman"/>
                <w:b/>
                <w:sz w:val="20"/>
                <w:szCs w:val="20"/>
                <w:lang w:val="en-US"/>
              </w:rPr>
              <w:t>N</w:t>
            </w:r>
            <w:r w:rsidRPr="00B0658A">
              <w:rPr>
                <w:rFonts w:ascii="Times New Roman" w:hAnsi="Times New Roman"/>
                <w:b/>
                <w:sz w:val="20"/>
                <w:szCs w:val="20"/>
              </w:rPr>
              <w:t xml:space="preserve">. Показатели эффективности перехода в отношении ________ (наименование значимого объекта КИИ № </w:t>
            </w:r>
            <w:r w:rsidRPr="00B0658A">
              <w:rPr>
                <w:rFonts w:ascii="Times New Roman" w:hAnsi="Times New Roman"/>
                <w:b/>
                <w:sz w:val="20"/>
                <w:szCs w:val="20"/>
                <w:lang w:val="en-US"/>
              </w:rPr>
              <w:t>N</w:t>
            </w:r>
            <w:r w:rsidRPr="00B0658A">
              <w:rPr>
                <w:rFonts w:ascii="Times New Roman" w:hAnsi="Times New Roman"/>
                <w:b/>
                <w:sz w:val="20"/>
                <w:szCs w:val="20"/>
              </w:rPr>
              <w:t>)</w:t>
            </w:r>
          </w:p>
        </w:tc>
      </w:tr>
      <w:tr w:rsidR="00F52FED" w:rsidRPr="00B0658A" w14:paraId="387AC7A8" w14:textId="77777777" w:rsidTr="0057110B">
        <w:trPr>
          <w:trHeight w:val="20"/>
        </w:trPr>
        <w:tc>
          <w:tcPr>
            <w:tcW w:w="271" w:type="pct"/>
            <w:shd w:val="clear" w:color="000000" w:fill="FFFFFF"/>
            <w:vAlign w:val="center"/>
          </w:tcPr>
          <w:p w14:paraId="1574E292" w14:textId="77777777" w:rsidR="00896456" w:rsidRPr="00B0658A" w:rsidRDefault="00896456" w:rsidP="000A4114">
            <w:pPr>
              <w:spacing w:after="0" w:line="240" w:lineRule="auto"/>
              <w:jc w:val="center"/>
              <w:rPr>
                <w:rFonts w:ascii="Times New Roman" w:hAnsi="Times New Roman"/>
                <w:sz w:val="20"/>
                <w:szCs w:val="20"/>
              </w:rPr>
            </w:pPr>
            <w:r w:rsidRPr="00B0658A">
              <w:rPr>
                <w:rFonts w:ascii="Times New Roman" w:hAnsi="Times New Roman"/>
                <w:sz w:val="20"/>
                <w:szCs w:val="20"/>
                <w:lang w:val="en-US"/>
              </w:rPr>
              <w:t>N</w:t>
            </w:r>
            <w:r w:rsidRPr="00B0658A">
              <w:rPr>
                <w:rFonts w:ascii="Times New Roman" w:hAnsi="Times New Roman"/>
                <w:sz w:val="20"/>
                <w:szCs w:val="20"/>
              </w:rPr>
              <w:t>.1</w:t>
            </w:r>
          </w:p>
        </w:tc>
        <w:tc>
          <w:tcPr>
            <w:tcW w:w="1231" w:type="pct"/>
            <w:shd w:val="clear" w:color="auto" w:fill="auto"/>
            <w:vAlign w:val="center"/>
          </w:tcPr>
          <w:p w14:paraId="4024BBC7" w14:textId="77777777" w:rsidR="00896456" w:rsidRPr="00B0658A" w:rsidRDefault="00896456" w:rsidP="000A4114">
            <w:pPr>
              <w:spacing w:after="0" w:line="240" w:lineRule="auto"/>
              <w:rPr>
                <w:rFonts w:ascii="Times New Roman" w:hAnsi="Times New Roman"/>
                <w:i/>
                <w:sz w:val="20"/>
                <w:szCs w:val="20"/>
              </w:rPr>
            </w:pPr>
            <w:r w:rsidRPr="00B0658A">
              <w:rPr>
                <w:rFonts w:ascii="Times New Roman" w:hAnsi="Times New Roman"/>
                <w:i/>
                <w:sz w:val="20"/>
                <w:szCs w:val="20"/>
              </w:rPr>
              <w:t xml:space="preserve">Указывается класс (тип) №1 ПО, используемого на значимом объекте КИИ № </w:t>
            </w:r>
            <w:r w:rsidRPr="00B0658A">
              <w:rPr>
                <w:rFonts w:ascii="Times New Roman" w:hAnsi="Times New Roman"/>
                <w:i/>
                <w:sz w:val="20"/>
                <w:szCs w:val="20"/>
                <w:lang w:val="en-US"/>
              </w:rPr>
              <w:t>N</w:t>
            </w:r>
            <w:r w:rsidRPr="00B0658A">
              <w:rPr>
                <w:rFonts w:ascii="Times New Roman" w:hAnsi="Times New Roman"/>
                <w:i/>
                <w:sz w:val="20"/>
                <w:szCs w:val="20"/>
              </w:rPr>
              <w:t xml:space="preserve"> в соответствии с приказом Минцифры России от 22 сентября 2020 г. № 486)</w:t>
            </w:r>
          </w:p>
        </w:tc>
        <w:tc>
          <w:tcPr>
            <w:tcW w:w="733" w:type="pct"/>
          </w:tcPr>
          <w:p w14:paraId="5C4498BC" w14:textId="77777777" w:rsidR="00896456" w:rsidRPr="00B0658A" w:rsidRDefault="00896456" w:rsidP="000A4114">
            <w:pPr>
              <w:spacing w:after="0" w:line="240" w:lineRule="auto"/>
              <w:rPr>
                <w:rFonts w:ascii="Times New Roman" w:hAnsi="Times New Roman"/>
                <w:sz w:val="20"/>
                <w:szCs w:val="20"/>
              </w:rPr>
            </w:pPr>
          </w:p>
        </w:tc>
        <w:tc>
          <w:tcPr>
            <w:tcW w:w="943" w:type="pct"/>
            <w:shd w:val="clear" w:color="000000" w:fill="FFFFFF"/>
          </w:tcPr>
          <w:p w14:paraId="4EA43D29" w14:textId="77777777" w:rsidR="00896456" w:rsidRPr="00B0658A" w:rsidRDefault="00896456" w:rsidP="000A4114">
            <w:pPr>
              <w:spacing w:after="0" w:line="240" w:lineRule="auto"/>
              <w:rPr>
                <w:rFonts w:ascii="Times New Roman" w:hAnsi="Times New Roman"/>
                <w:sz w:val="20"/>
                <w:szCs w:val="20"/>
              </w:rPr>
            </w:pPr>
            <w:r w:rsidRPr="00B0658A">
              <w:rPr>
                <w:rFonts w:ascii="Times New Roman" w:hAnsi="Times New Roman"/>
                <w:sz w:val="20"/>
                <w:szCs w:val="20"/>
              </w:rPr>
              <w:t>Доля используемого российского ПО и евразийского ПО, используемого на значимом объекте КИИ, в общем объёме используемого ПО на таком объекте, %</w:t>
            </w:r>
          </w:p>
        </w:tc>
        <w:tc>
          <w:tcPr>
            <w:tcW w:w="314" w:type="pct"/>
            <w:shd w:val="clear" w:color="000000" w:fill="FFFFFF"/>
            <w:vAlign w:val="center"/>
          </w:tcPr>
          <w:p w14:paraId="0DCB3812" w14:textId="77777777" w:rsidR="00896456" w:rsidRPr="00B0658A" w:rsidRDefault="00896456" w:rsidP="000A4114">
            <w:pPr>
              <w:spacing w:after="0" w:line="240" w:lineRule="auto"/>
              <w:jc w:val="center"/>
              <w:rPr>
                <w:rFonts w:ascii="Times New Roman" w:hAnsi="Times New Roman"/>
                <w:sz w:val="20"/>
                <w:szCs w:val="20"/>
              </w:rPr>
            </w:pPr>
          </w:p>
        </w:tc>
        <w:tc>
          <w:tcPr>
            <w:tcW w:w="314" w:type="pct"/>
            <w:shd w:val="clear" w:color="000000" w:fill="FFFFFF"/>
            <w:vAlign w:val="center"/>
          </w:tcPr>
          <w:p w14:paraId="4832CCC7" w14:textId="77777777" w:rsidR="00896456" w:rsidRPr="00B0658A" w:rsidRDefault="00896456" w:rsidP="000A4114">
            <w:pPr>
              <w:spacing w:after="0" w:line="240" w:lineRule="auto"/>
              <w:jc w:val="center"/>
              <w:rPr>
                <w:rFonts w:ascii="Times New Roman" w:hAnsi="Times New Roman"/>
                <w:sz w:val="20"/>
                <w:szCs w:val="20"/>
              </w:rPr>
            </w:pPr>
          </w:p>
        </w:tc>
        <w:tc>
          <w:tcPr>
            <w:tcW w:w="314" w:type="pct"/>
            <w:shd w:val="clear" w:color="000000" w:fill="FFFFFF"/>
            <w:vAlign w:val="center"/>
          </w:tcPr>
          <w:p w14:paraId="5FE6B7A5" w14:textId="77777777" w:rsidR="00896456" w:rsidRPr="00B0658A" w:rsidRDefault="00896456" w:rsidP="000A4114">
            <w:pPr>
              <w:spacing w:after="0" w:line="240" w:lineRule="auto"/>
              <w:jc w:val="center"/>
              <w:rPr>
                <w:rFonts w:ascii="Times New Roman" w:hAnsi="Times New Roman"/>
                <w:sz w:val="20"/>
                <w:szCs w:val="20"/>
              </w:rPr>
            </w:pPr>
          </w:p>
        </w:tc>
        <w:tc>
          <w:tcPr>
            <w:tcW w:w="314" w:type="pct"/>
            <w:shd w:val="clear" w:color="000000" w:fill="FFFFFF"/>
            <w:vAlign w:val="center"/>
          </w:tcPr>
          <w:p w14:paraId="31202E7A" w14:textId="77777777" w:rsidR="00896456" w:rsidRPr="00B0658A" w:rsidRDefault="00896456" w:rsidP="000A4114">
            <w:pPr>
              <w:spacing w:after="0" w:line="240" w:lineRule="auto"/>
              <w:jc w:val="center"/>
              <w:rPr>
                <w:rFonts w:ascii="Times New Roman" w:hAnsi="Times New Roman"/>
                <w:sz w:val="20"/>
                <w:szCs w:val="20"/>
              </w:rPr>
            </w:pPr>
          </w:p>
        </w:tc>
        <w:tc>
          <w:tcPr>
            <w:tcW w:w="567" w:type="pct"/>
            <w:shd w:val="clear" w:color="000000" w:fill="FFFFFF"/>
            <w:vAlign w:val="center"/>
          </w:tcPr>
          <w:p w14:paraId="3AA3C9A0" w14:textId="77777777" w:rsidR="00896456" w:rsidRPr="00B0658A" w:rsidRDefault="00896456" w:rsidP="000A4114">
            <w:pPr>
              <w:spacing w:after="0" w:line="240" w:lineRule="auto"/>
              <w:jc w:val="center"/>
              <w:rPr>
                <w:rFonts w:ascii="Times New Roman" w:hAnsi="Times New Roman"/>
                <w:sz w:val="20"/>
                <w:szCs w:val="20"/>
              </w:rPr>
            </w:pPr>
          </w:p>
        </w:tc>
      </w:tr>
      <w:tr w:rsidR="00F52FED" w:rsidRPr="00B0658A" w14:paraId="0A7917E1" w14:textId="77777777" w:rsidTr="0057110B">
        <w:trPr>
          <w:trHeight w:val="20"/>
        </w:trPr>
        <w:tc>
          <w:tcPr>
            <w:tcW w:w="271" w:type="pct"/>
            <w:shd w:val="clear" w:color="000000" w:fill="FFFFFF"/>
            <w:vAlign w:val="center"/>
          </w:tcPr>
          <w:p w14:paraId="594A4B46" w14:textId="77777777" w:rsidR="00896456" w:rsidRPr="00B0658A" w:rsidRDefault="00896456" w:rsidP="000A4114">
            <w:pPr>
              <w:spacing w:after="0" w:line="240" w:lineRule="auto"/>
              <w:jc w:val="center"/>
              <w:rPr>
                <w:rFonts w:ascii="Times New Roman" w:hAnsi="Times New Roman"/>
                <w:sz w:val="20"/>
                <w:szCs w:val="20"/>
              </w:rPr>
            </w:pPr>
            <w:r w:rsidRPr="00B0658A">
              <w:rPr>
                <w:rFonts w:ascii="Times New Roman" w:hAnsi="Times New Roman"/>
                <w:sz w:val="20"/>
                <w:szCs w:val="20"/>
                <w:lang w:val="en-US"/>
              </w:rPr>
              <w:t>N</w:t>
            </w:r>
            <w:r w:rsidRPr="00B0658A">
              <w:rPr>
                <w:rFonts w:ascii="Times New Roman" w:hAnsi="Times New Roman"/>
                <w:sz w:val="20"/>
                <w:szCs w:val="20"/>
              </w:rPr>
              <w:t>.2</w:t>
            </w:r>
          </w:p>
        </w:tc>
        <w:tc>
          <w:tcPr>
            <w:tcW w:w="1231" w:type="pct"/>
            <w:shd w:val="clear" w:color="auto" w:fill="auto"/>
            <w:vAlign w:val="center"/>
          </w:tcPr>
          <w:p w14:paraId="1236B511" w14:textId="77777777" w:rsidR="00896456" w:rsidRPr="00B0658A" w:rsidRDefault="00896456" w:rsidP="000A4114">
            <w:pPr>
              <w:spacing w:after="0" w:line="240" w:lineRule="auto"/>
              <w:rPr>
                <w:rFonts w:ascii="Times New Roman" w:hAnsi="Times New Roman"/>
                <w:i/>
                <w:sz w:val="20"/>
                <w:szCs w:val="20"/>
              </w:rPr>
            </w:pPr>
            <w:r w:rsidRPr="00B0658A">
              <w:rPr>
                <w:rFonts w:ascii="Times New Roman" w:hAnsi="Times New Roman"/>
                <w:i/>
                <w:sz w:val="20"/>
                <w:szCs w:val="20"/>
              </w:rPr>
              <w:t xml:space="preserve">Указывается класс (тип) №2 ПО, используемого на значимом объекте КИИ № </w:t>
            </w:r>
            <w:r w:rsidRPr="00B0658A">
              <w:rPr>
                <w:rFonts w:ascii="Times New Roman" w:hAnsi="Times New Roman"/>
                <w:i/>
                <w:sz w:val="20"/>
                <w:szCs w:val="20"/>
                <w:lang w:val="en-US"/>
              </w:rPr>
              <w:t>N</w:t>
            </w:r>
            <w:r w:rsidRPr="00B0658A">
              <w:rPr>
                <w:rFonts w:ascii="Times New Roman" w:hAnsi="Times New Roman"/>
                <w:i/>
                <w:sz w:val="20"/>
                <w:szCs w:val="20"/>
              </w:rPr>
              <w:t xml:space="preserve"> в соответствии с приказом Минцифры России от 22 сентября 2020 г. № 486)</w:t>
            </w:r>
          </w:p>
        </w:tc>
        <w:tc>
          <w:tcPr>
            <w:tcW w:w="733" w:type="pct"/>
          </w:tcPr>
          <w:p w14:paraId="57CD1196" w14:textId="77777777" w:rsidR="00896456" w:rsidRPr="00B0658A" w:rsidRDefault="00896456" w:rsidP="000A4114">
            <w:pPr>
              <w:spacing w:after="0" w:line="240" w:lineRule="auto"/>
              <w:rPr>
                <w:rFonts w:ascii="Times New Roman" w:hAnsi="Times New Roman"/>
                <w:sz w:val="20"/>
                <w:szCs w:val="20"/>
              </w:rPr>
            </w:pPr>
          </w:p>
        </w:tc>
        <w:tc>
          <w:tcPr>
            <w:tcW w:w="943" w:type="pct"/>
            <w:shd w:val="clear" w:color="000000" w:fill="FFFFFF"/>
          </w:tcPr>
          <w:p w14:paraId="71287B1C" w14:textId="77777777" w:rsidR="00896456" w:rsidRPr="00B0658A" w:rsidRDefault="00896456" w:rsidP="000A4114">
            <w:pPr>
              <w:spacing w:after="0" w:line="240" w:lineRule="auto"/>
              <w:rPr>
                <w:rFonts w:ascii="Times New Roman" w:hAnsi="Times New Roman"/>
                <w:sz w:val="20"/>
                <w:szCs w:val="20"/>
              </w:rPr>
            </w:pPr>
            <w:r w:rsidRPr="00B0658A">
              <w:rPr>
                <w:rFonts w:ascii="Times New Roman" w:hAnsi="Times New Roman"/>
                <w:sz w:val="20"/>
                <w:szCs w:val="20"/>
              </w:rPr>
              <w:t>Доля используемого российского ПО и евразийского ПО, используемого на значимом объекте КИИ, в общем объёме используемого ПО на таком объекте, %</w:t>
            </w:r>
          </w:p>
        </w:tc>
        <w:tc>
          <w:tcPr>
            <w:tcW w:w="314" w:type="pct"/>
            <w:shd w:val="clear" w:color="000000" w:fill="FFFFFF"/>
            <w:vAlign w:val="center"/>
          </w:tcPr>
          <w:p w14:paraId="3907D649" w14:textId="77777777" w:rsidR="00896456" w:rsidRPr="00B0658A" w:rsidRDefault="00896456" w:rsidP="000A4114">
            <w:pPr>
              <w:spacing w:after="0" w:line="240" w:lineRule="auto"/>
              <w:jc w:val="center"/>
              <w:rPr>
                <w:rFonts w:ascii="Times New Roman" w:hAnsi="Times New Roman"/>
                <w:sz w:val="20"/>
                <w:szCs w:val="20"/>
              </w:rPr>
            </w:pPr>
          </w:p>
        </w:tc>
        <w:tc>
          <w:tcPr>
            <w:tcW w:w="314" w:type="pct"/>
            <w:shd w:val="clear" w:color="000000" w:fill="FFFFFF"/>
            <w:vAlign w:val="center"/>
          </w:tcPr>
          <w:p w14:paraId="7CB484C2" w14:textId="77777777" w:rsidR="00896456" w:rsidRPr="00B0658A" w:rsidRDefault="00896456" w:rsidP="000A4114">
            <w:pPr>
              <w:spacing w:after="0" w:line="240" w:lineRule="auto"/>
              <w:jc w:val="center"/>
              <w:rPr>
                <w:rFonts w:ascii="Times New Roman" w:hAnsi="Times New Roman"/>
                <w:sz w:val="20"/>
                <w:szCs w:val="20"/>
              </w:rPr>
            </w:pPr>
          </w:p>
        </w:tc>
        <w:tc>
          <w:tcPr>
            <w:tcW w:w="314" w:type="pct"/>
            <w:shd w:val="clear" w:color="000000" w:fill="FFFFFF"/>
            <w:vAlign w:val="center"/>
          </w:tcPr>
          <w:p w14:paraId="3456094D" w14:textId="77777777" w:rsidR="00896456" w:rsidRPr="00B0658A" w:rsidRDefault="00896456" w:rsidP="000A4114">
            <w:pPr>
              <w:spacing w:after="0" w:line="240" w:lineRule="auto"/>
              <w:jc w:val="center"/>
              <w:rPr>
                <w:rFonts w:ascii="Times New Roman" w:hAnsi="Times New Roman"/>
                <w:sz w:val="20"/>
                <w:szCs w:val="20"/>
              </w:rPr>
            </w:pPr>
          </w:p>
        </w:tc>
        <w:tc>
          <w:tcPr>
            <w:tcW w:w="314" w:type="pct"/>
            <w:shd w:val="clear" w:color="000000" w:fill="FFFFFF"/>
            <w:vAlign w:val="center"/>
          </w:tcPr>
          <w:p w14:paraId="63AFAE81" w14:textId="77777777" w:rsidR="00896456" w:rsidRPr="00B0658A" w:rsidRDefault="00896456" w:rsidP="000A4114">
            <w:pPr>
              <w:spacing w:after="0" w:line="240" w:lineRule="auto"/>
              <w:jc w:val="center"/>
              <w:rPr>
                <w:rFonts w:ascii="Times New Roman" w:hAnsi="Times New Roman"/>
                <w:sz w:val="20"/>
                <w:szCs w:val="20"/>
              </w:rPr>
            </w:pPr>
          </w:p>
        </w:tc>
        <w:tc>
          <w:tcPr>
            <w:tcW w:w="567" w:type="pct"/>
            <w:shd w:val="clear" w:color="000000" w:fill="FFFFFF"/>
            <w:vAlign w:val="center"/>
          </w:tcPr>
          <w:p w14:paraId="65C67B67" w14:textId="77777777" w:rsidR="00896456" w:rsidRPr="00B0658A" w:rsidRDefault="00896456" w:rsidP="000A4114">
            <w:pPr>
              <w:spacing w:after="0" w:line="240" w:lineRule="auto"/>
              <w:jc w:val="center"/>
              <w:rPr>
                <w:rFonts w:ascii="Times New Roman" w:hAnsi="Times New Roman"/>
                <w:sz w:val="20"/>
                <w:szCs w:val="20"/>
              </w:rPr>
            </w:pPr>
          </w:p>
        </w:tc>
      </w:tr>
      <w:tr w:rsidR="00F52FED" w:rsidRPr="00B0658A" w14:paraId="0C4C3027" w14:textId="77777777" w:rsidTr="0057110B">
        <w:trPr>
          <w:trHeight w:val="20"/>
        </w:trPr>
        <w:tc>
          <w:tcPr>
            <w:tcW w:w="271" w:type="pct"/>
            <w:shd w:val="clear" w:color="000000" w:fill="FFFFFF"/>
            <w:vAlign w:val="center"/>
          </w:tcPr>
          <w:p w14:paraId="6295D712" w14:textId="77777777" w:rsidR="00896456" w:rsidRPr="00B0658A" w:rsidRDefault="00896456" w:rsidP="000A4114">
            <w:pPr>
              <w:spacing w:after="0" w:line="240" w:lineRule="auto"/>
              <w:jc w:val="center"/>
              <w:rPr>
                <w:rFonts w:ascii="Times New Roman" w:hAnsi="Times New Roman"/>
                <w:sz w:val="20"/>
                <w:szCs w:val="20"/>
              </w:rPr>
            </w:pPr>
            <w:r w:rsidRPr="00B0658A">
              <w:rPr>
                <w:rFonts w:ascii="Times New Roman" w:hAnsi="Times New Roman"/>
                <w:sz w:val="20"/>
                <w:szCs w:val="20"/>
              </w:rPr>
              <w:t>…</w:t>
            </w:r>
          </w:p>
        </w:tc>
        <w:tc>
          <w:tcPr>
            <w:tcW w:w="1231" w:type="pct"/>
            <w:shd w:val="clear" w:color="auto" w:fill="auto"/>
            <w:vAlign w:val="center"/>
          </w:tcPr>
          <w:p w14:paraId="2968C08E" w14:textId="77777777" w:rsidR="00896456" w:rsidRPr="00B0658A" w:rsidRDefault="00896456" w:rsidP="000A4114">
            <w:pPr>
              <w:spacing w:after="0" w:line="240" w:lineRule="auto"/>
              <w:rPr>
                <w:rFonts w:ascii="Times New Roman" w:hAnsi="Times New Roman"/>
                <w:i/>
                <w:sz w:val="20"/>
                <w:szCs w:val="20"/>
              </w:rPr>
            </w:pPr>
            <w:r w:rsidRPr="00B0658A">
              <w:rPr>
                <w:rFonts w:ascii="Times New Roman" w:hAnsi="Times New Roman"/>
                <w:i/>
                <w:sz w:val="20"/>
                <w:szCs w:val="20"/>
              </w:rPr>
              <w:t>…</w:t>
            </w:r>
          </w:p>
        </w:tc>
        <w:tc>
          <w:tcPr>
            <w:tcW w:w="733" w:type="pct"/>
          </w:tcPr>
          <w:p w14:paraId="32AFDA75" w14:textId="77777777" w:rsidR="00896456" w:rsidRPr="00B0658A" w:rsidRDefault="00896456" w:rsidP="000A4114">
            <w:pPr>
              <w:spacing w:after="0" w:line="240" w:lineRule="auto"/>
              <w:rPr>
                <w:rFonts w:ascii="Times New Roman" w:hAnsi="Times New Roman"/>
                <w:sz w:val="20"/>
                <w:szCs w:val="20"/>
              </w:rPr>
            </w:pPr>
          </w:p>
        </w:tc>
        <w:tc>
          <w:tcPr>
            <w:tcW w:w="943" w:type="pct"/>
            <w:shd w:val="clear" w:color="000000" w:fill="FFFFFF"/>
          </w:tcPr>
          <w:p w14:paraId="1F5C904D" w14:textId="77777777" w:rsidR="00896456" w:rsidRPr="00B0658A" w:rsidRDefault="00896456" w:rsidP="000A4114">
            <w:pPr>
              <w:spacing w:after="0" w:line="240" w:lineRule="auto"/>
              <w:rPr>
                <w:rFonts w:ascii="Times New Roman" w:hAnsi="Times New Roman"/>
                <w:sz w:val="20"/>
                <w:szCs w:val="20"/>
              </w:rPr>
            </w:pPr>
            <w:r w:rsidRPr="00B0658A">
              <w:rPr>
                <w:rFonts w:ascii="Times New Roman" w:hAnsi="Times New Roman"/>
                <w:sz w:val="20"/>
                <w:szCs w:val="20"/>
              </w:rPr>
              <w:t>…...</w:t>
            </w:r>
          </w:p>
        </w:tc>
        <w:tc>
          <w:tcPr>
            <w:tcW w:w="314" w:type="pct"/>
            <w:shd w:val="clear" w:color="000000" w:fill="FFFFFF"/>
            <w:vAlign w:val="center"/>
          </w:tcPr>
          <w:p w14:paraId="3D188CA0" w14:textId="77777777" w:rsidR="00896456" w:rsidRPr="00B0658A" w:rsidRDefault="00896456" w:rsidP="000A4114">
            <w:pPr>
              <w:spacing w:after="0" w:line="240" w:lineRule="auto"/>
              <w:jc w:val="center"/>
              <w:rPr>
                <w:rFonts w:ascii="Times New Roman" w:hAnsi="Times New Roman"/>
                <w:sz w:val="20"/>
                <w:szCs w:val="20"/>
              </w:rPr>
            </w:pPr>
          </w:p>
        </w:tc>
        <w:tc>
          <w:tcPr>
            <w:tcW w:w="314" w:type="pct"/>
            <w:shd w:val="clear" w:color="000000" w:fill="FFFFFF"/>
            <w:vAlign w:val="center"/>
          </w:tcPr>
          <w:p w14:paraId="71D7A7DE" w14:textId="77777777" w:rsidR="00896456" w:rsidRPr="00B0658A" w:rsidRDefault="00896456" w:rsidP="000A4114">
            <w:pPr>
              <w:spacing w:after="0" w:line="240" w:lineRule="auto"/>
              <w:jc w:val="center"/>
              <w:rPr>
                <w:rFonts w:ascii="Times New Roman" w:hAnsi="Times New Roman"/>
                <w:sz w:val="20"/>
                <w:szCs w:val="20"/>
              </w:rPr>
            </w:pPr>
          </w:p>
        </w:tc>
        <w:tc>
          <w:tcPr>
            <w:tcW w:w="314" w:type="pct"/>
            <w:shd w:val="clear" w:color="000000" w:fill="FFFFFF"/>
            <w:vAlign w:val="center"/>
          </w:tcPr>
          <w:p w14:paraId="794FF65E" w14:textId="77777777" w:rsidR="00896456" w:rsidRPr="00B0658A" w:rsidRDefault="00896456" w:rsidP="000A4114">
            <w:pPr>
              <w:spacing w:after="0" w:line="240" w:lineRule="auto"/>
              <w:jc w:val="center"/>
              <w:rPr>
                <w:rFonts w:ascii="Times New Roman" w:hAnsi="Times New Roman"/>
                <w:sz w:val="20"/>
                <w:szCs w:val="20"/>
              </w:rPr>
            </w:pPr>
          </w:p>
        </w:tc>
        <w:tc>
          <w:tcPr>
            <w:tcW w:w="314" w:type="pct"/>
            <w:shd w:val="clear" w:color="000000" w:fill="FFFFFF"/>
            <w:vAlign w:val="center"/>
          </w:tcPr>
          <w:p w14:paraId="0BAB64C5" w14:textId="77777777" w:rsidR="00896456" w:rsidRPr="00B0658A" w:rsidRDefault="00896456" w:rsidP="000A4114">
            <w:pPr>
              <w:spacing w:after="0" w:line="240" w:lineRule="auto"/>
              <w:jc w:val="center"/>
              <w:rPr>
                <w:rFonts w:ascii="Times New Roman" w:hAnsi="Times New Roman"/>
                <w:sz w:val="20"/>
                <w:szCs w:val="20"/>
              </w:rPr>
            </w:pPr>
          </w:p>
        </w:tc>
        <w:tc>
          <w:tcPr>
            <w:tcW w:w="567" w:type="pct"/>
            <w:shd w:val="clear" w:color="000000" w:fill="FFFFFF"/>
            <w:vAlign w:val="center"/>
          </w:tcPr>
          <w:p w14:paraId="49458D57" w14:textId="77777777" w:rsidR="00896456" w:rsidRPr="00B0658A" w:rsidRDefault="00896456" w:rsidP="000A4114">
            <w:pPr>
              <w:spacing w:after="0" w:line="240" w:lineRule="auto"/>
              <w:jc w:val="center"/>
              <w:rPr>
                <w:rFonts w:ascii="Times New Roman" w:hAnsi="Times New Roman"/>
                <w:sz w:val="20"/>
                <w:szCs w:val="20"/>
              </w:rPr>
            </w:pPr>
          </w:p>
        </w:tc>
      </w:tr>
      <w:tr w:rsidR="00896456" w:rsidRPr="00B0658A" w14:paraId="49633C3C" w14:textId="77777777" w:rsidTr="0057110B">
        <w:trPr>
          <w:trHeight w:val="20"/>
        </w:trPr>
        <w:tc>
          <w:tcPr>
            <w:tcW w:w="271" w:type="pct"/>
            <w:shd w:val="clear" w:color="000000" w:fill="FFFFFF"/>
            <w:vAlign w:val="center"/>
          </w:tcPr>
          <w:p w14:paraId="61E01112" w14:textId="77777777" w:rsidR="00896456" w:rsidRPr="00B0658A" w:rsidRDefault="00896456" w:rsidP="000A4114">
            <w:pPr>
              <w:spacing w:after="0" w:line="240" w:lineRule="auto"/>
              <w:jc w:val="center"/>
              <w:rPr>
                <w:rFonts w:ascii="Times New Roman" w:hAnsi="Times New Roman"/>
                <w:sz w:val="20"/>
                <w:szCs w:val="20"/>
              </w:rPr>
            </w:pPr>
            <w:r w:rsidRPr="00B0658A">
              <w:rPr>
                <w:rFonts w:ascii="Times New Roman" w:hAnsi="Times New Roman"/>
                <w:sz w:val="20"/>
                <w:szCs w:val="20"/>
                <w:lang w:val="en-US"/>
              </w:rPr>
              <w:t>N</w:t>
            </w:r>
            <w:r w:rsidRPr="00B0658A">
              <w:rPr>
                <w:rFonts w:ascii="Times New Roman" w:hAnsi="Times New Roman"/>
                <w:sz w:val="20"/>
                <w:szCs w:val="20"/>
              </w:rPr>
              <w:t>.</w:t>
            </w:r>
            <w:r w:rsidRPr="00B0658A">
              <w:rPr>
                <w:rFonts w:ascii="Times New Roman" w:hAnsi="Times New Roman"/>
                <w:sz w:val="20"/>
                <w:szCs w:val="20"/>
                <w:lang w:val="en-US"/>
              </w:rPr>
              <w:t>n</w:t>
            </w:r>
          </w:p>
        </w:tc>
        <w:tc>
          <w:tcPr>
            <w:tcW w:w="1231" w:type="pct"/>
            <w:shd w:val="clear" w:color="auto" w:fill="auto"/>
            <w:vAlign w:val="center"/>
          </w:tcPr>
          <w:p w14:paraId="6BFBD5A0" w14:textId="77777777" w:rsidR="00896456" w:rsidRPr="00B0658A" w:rsidRDefault="00896456" w:rsidP="000A4114">
            <w:pPr>
              <w:spacing w:after="0" w:line="240" w:lineRule="auto"/>
              <w:rPr>
                <w:rFonts w:ascii="Times New Roman" w:hAnsi="Times New Roman"/>
                <w:i/>
                <w:sz w:val="20"/>
                <w:szCs w:val="20"/>
              </w:rPr>
            </w:pPr>
            <w:r w:rsidRPr="00B0658A">
              <w:rPr>
                <w:rFonts w:ascii="Times New Roman" w:hAnsi="Times New Roman"/>
                <w:i/>
                <w:sz w:val="20"/>
                <w:szCs w:val="20"/>
              </w:rPr>
              <w:t>Указывается класс (тип) №</w:t>
            </w:r>
            <w:r w:rsidRPr="00B0658A">
              <w:rPr>
                <w:rFonts w:ascii="Times New Roman" w:hAnsi="Times New Roman"/>
                <w:i/>
                <w:sz w:val="20"/>
                <w:szCs w:val="20"/>
                <w:lang w:val="en-US"/>
              </w:rPr>
              <w:t>n</w:t>
            </w:r>
            <w:r w:rsidRPr="00B0658A">
              <w:rPr>
                <w:rFonts w:ascii="Times New Roman" w:hAnsi="Times New Roman"/>
                <w:i/>
                <w:sz w:val="20"/>
                <w:szCs w:val="20"/>
              </w:rPr>
              <w:t xml:space="preserve"> ПО, используемого на значимом объекте КИИ № </w:t>
            </w:r>
            <w:r w:rsidRPr="00B0658A">
              <w:rPr>
                <w:rFonts w:ascii="Times New Roman" w:hAnsi="Times New Roman"/>
                <w:i/>
                <w:sz w:val="20"/>
                <w:szCs w:val="20"/>
                <w:lang w:val="en-US"/>
              </w:rPr>
              <w:t>N</w:t>
            </w:r>
            <w:r w:rsidRPr="00B0658A">
              <w:rPr>
                <w:rFonts w:ascii="Times New Roman" w:hAnsi="Times New Roman"/>
                <w:i/>
                <w:sz w:val="20"/>
                <w:szCs w:val="20"/>
              </w:rPr>
              <w:t xml:space="preserve"> в соответствии с приказом Минцифры России от 22 сентября 2020 г. № 486)</w:t>
            </w:r>
          </w:p>
        </w:tc>
        <w:tc>
          <w:tcPr>
            <w:tcW w:w="733" w:type="pct"/>
          </w:tcPr>
          <w:p w14:paraId="373F3F28" w14:textId="77777777" w:rsidR="00896456" w:rsidRPr="00B0658A" w:rsidRDefault="00896456" w:rsidP="000A4114">
            <w:pPr>
              <w:spacing w:after="0" w:line="240" w:lineRule="auto"/>
              <w:rPr>
                <w:rFonts w:ascii="Times New Roman" w:hAnsi="Times New Roman"/>
                <w:sz w:val="20"/>
                <w:szCs w:val="20"/>
              </w:rPr>
            </w:pPr>
          </w:p>
        </w:tc>
        <w:tc>
          <w:tcPr>
            <w:tcW w:w="943" w:type="pct"/>
            <w:shd w:val="clear" w:color="000000" w:fill="FFFFFF"/>
          </w:tcPr>
          <w:p w14:paraId="1066A7E4" w14:textId="77777777" w:rsidR="00896456" w:rsidRPr="00B0658A" w:rsidRDefault="00896456" w:rsidP="000A4114">
            <w:pPr>
              <w:spacing w:after="0" w:line="240" w:lineRule="auto"/>
              <w:rPr>
                <w:rFonts w:ascii="Times New Roman" w:hAnsi="Times New Roman"/>
                <w:sz w:val="20"/>
                <w:szCs w:val="20"/>
              </w:rPr>
            </w:pPr>
            <w:r w:rsidRPr="00B0658A">
              <w:rPr>
                <w:rFonts w:ascii="Times New Roman" w:hAnsi="Times New Roman"/>
                <w:sz w:val="20"/>
                <w:szCs w:val="20"/>
              </w:rPr>
              <w:t>Доля используемого российского ПО и евразийского ПО, используемого на значимом объекте КИИ, в общем объёме используемого ПО на таком объекте, %</w:t>
            </w:r>
          </w:p>
        </w:tc>
        <w:tc>
          <w:tcPr>
            <w:tcW w:w="314" w:type="pct"/>
            <w:shd w:val="clear" w:color="000000" w:fill="FFFFFF"/>
            <w:vAlign w:val="center"/>
          </w:tcPr>
          <w:p w14:paraId="4D439ECF" w14:textId="77777777" w:rsidR="00896456" w:rsidRPr="00B0658A" w:rsidRDefault="00896456" w:rsidP="000A4114">
            <w:pPr>
              <w:spacing w:after="0" w:line="240" w:lineRule="auto"/>
              <w:jc w:val="center"/>
              <w:rPr>
                <w:rFonts w:ascii="Times New Roman" w:hAnsi="Times New Roman"/>
                <w:sz w:val="20"/>
                <w:szCs w:val="20"/>
              </w:rPr>
            </w:pPr>
          </w:p>
        </w:tc>
        <w:tc>
          <w:tcPr>
            <w:tcW w:w="314" w:type="pct"/>
            <w:shd w:val="clear" w:color="000000" w:fill="FFFFFF"/>
            <w:vAlign w:val="center"/>
          </w:tcPr>
          <w:p w14:paraId="363041E4" w14:textId="77777777" w:rsidR="00896456" w:rsidRPr="00B0658A" w:rsidRDefault="00896456" w:rsidP="000A4114">
            <w:pPr>
              <w:spacing w:after="0" w:line="240" w:lineRule="auto"/>
              <w:jc w:val="center"/>
              <w:rPr>
                <w:rFonts w:ascii="Times New Roman" w:hAnsi="Times New Roman"/>
                <w:sz w:val="20"/>
                <w:szCs w:val="20"/>
              </w:rPr>
            </w:pPr>
          </w:p>
        </w:tc>
        <w:tc>
          <w:tcPr>
            <w:tcW w:w="314" w:type="pct"/>
            <w:shd w:val="clear" w:color="000000" w:fill="FFFFFF"/>
            <w:vAlign w:val="center"/>
          </w:tcPr>
          <w:p w14:paraId="745CA7BC" w14:textId="77777777" w:rsidR="00896456" w:rsidRPr="00B0658A" w:rsidRDefault="00896456" w:rsidP="000A4114">
            <w:pPr>
              <w:spacing w:after="0" w:line="240" w:lineRule="auto"/>
              <w:jc w:val="center"/>
              <w:rPr>
                <w:rFonts w:ascii="Times New Roman" w:hAnsi="Times New Roman"/>
                <w:sz w:val="20"/>
                <w:szCs w:val="20"/>
              </w:rPr>
            </w:pPr>
          </w:p>
        </w:tc>
        <w:tc>
          <w:tcPr>
            <w:tcW w:w="314" w:type="pct"/>
            <w:shd w:val="clear" w:color="000000" w:fill="FFFFFF"/>
            <w:vAlign w:val="center"/>
          </w:tcPr>
          <w:p w14:paraId="219BC452" w14:textId="77777777" w:rsidR="00896456" w:rsidRPr="00B0658A" w:rsidRDefault="00896456" w:rsidP="000A4114">
            <w:pPr>
              <w:spacing w:after="0" w:line="240" w:lineRule="auto"/>
              <w:jc w:val="center"/>
              <w:rPr>
                <w:rFonts w:ascii="Times New Roman" w:hAnsi="Times New Roman"/>
                <w:sz w:val="20"/>
                <w:szCs w:val="20"/>
              </w:rPr>
            </w:pPr>
          </w:p>
        </w:tc>
        <w:tc>
          <w:tcPr>
            <w:tcW w:w="567" w:type="pct"/>
            <w:shd w:val="clear" w:color="000000" w:fill="FFFFFF"/>
            <w:vAlign w:val="center"/>
          </w:tcPr>
          <w:p w14:paraId="6FC73C5A" w14:textId="77777777" w:rsidR="00896456" w:rsidRPr="00B0658A" w:rsidRDefault="00896456" w:rsidP="000A4114">
            <w:pPr>
              <w:spacing w:after="0" w:line="240" w:lineRule="auto"/>
              <w:jc w:val="center"/>
              <w:rPr>
                <w:rFonts w:ascii="Times New Roman" w:hAnsi="Times New Roman"/>
                <w:sz w:val="20"/>
                <w:szCs w:val="20"/>
              </w:rPr>
            </w:pPr>
          </w:p>
        </w:tc>
      </w:tr>
    </w:tbl>
    <w:p w14:paraId="7F0AA73B" w14:textId="77777777" w:rsidR="0057110B" w:rsidRPr="00B0658A" w:rsidRDefault="0057110B" w:rsidP="00896456">
      <w:pPr>
        <w:pStyle w:val="ConsPlusNormal"/>
        <w:spacing w:before="120"/>
        <w:rPr>
          <w:sz w:val="28"/>
        </w:rPr>
      </w:pPr>
    </w:p>
    <w:p w14:paraId="56BE6FAE" w14:textId="77777777" w:rsidR="0057110B" w:rsidRPr="00B0658A" w:rsidRDefault="0057110B">
      <w:pPr>
        <w:spacing w:after="0" w:line="240" w:lineRule="auto"/>
        <w:rPr>
          <w:rFonts w:ascii="Times New Roman" w:hAnsi="Times New Roman"/>
          <w:sz w:val="28"/>
          <w:szCs w:val="24"/>
        </w:rPr>
      </w:pPr>
      <w:r w:rsidRPr="00B0658A">
        <w:rPr>
          <w:rFonts w:ascii="Times New Roman" w:hAnsi="Times New Roman"/>
          <w:sz w:val="28"/>
        </w:rPr>
        <w:br w:type="page"/>
      </w:r>
    </w:p>
    <w:p w14:paraId="62CF39C1" w14:textId="7CE59319" w:rsidR="008319FB" w:rsidRPr="00B0658A" w:rsidRDefault="008319FB" w:rsidP="008319FB">
      <w:pPr>
        <w:pStyle w:val="11"/>
        <w:spacing w:before="120" w:after="0" w:line="240" w:lineRule="auto"/>
        <w:jc w:val="right"/>
        <w:rPr>
          <w:rFonts w:cs="Times New Roman"/>
          <w:szCs w:val="28"/>
        </w:rPr>
      </w:pPr>
      <w:bookmarkStart w:id="41" w:name="_Toc116390910"/>
      <w:bookmarkStart w:id="42" w:name="_Toc116632277"/>
      <w:r w:rsidRPr="00B0658A">
        <w:rPr>
          <w:rFonts w:cs="Times New Roman"/>
          <w:szCs w:val="28"/>
        </w:rPr>
        <w:t>Приложение № 10</w:t>
      </w:r>
      <w:r w:rsidRPr="00B0658A">
        <w:rPr>
          <w:rFonts w:cs="Times New Roman"/>
          <w:szCs w:val="28"/>
        </w:rPr>
        <w:br/>
      </w:r>
      <w:r w:rsidRPr="00B0658A">
        <w:rPr>
          <w:rFonts w:cs="Times New Roman"/>
        </w:rPr>
        <w:t xml:space="preserve">Рекомендованные показатели эффективности и соответствующие им значения индикаторов эффективности перехода государственных </w:t>
      </w:r>
      <w:r w:rsidR="00951885" w:rsidRPr="00B0658A">
        <w:rPr>
          <w:rFonts w:cs="Times New Roman"/>
        </w:rPr>
        <w:t>корпораций и компаний с государственным участием</w:t>
      </w:r>
      <w:r w:rsidRPr="00B0658A">
        <w:rPr>
          <w:rFonts w:cs="Times New Roman"/>
        </w:rPr>
        <w:t>, включенных в расширенный перечень организаций, в отношении которых принято решение о необходимости указанными организации разработки стратегий (программ) цифровой трансформации, их дочерних и зависимых обществ на использование российского ПО</w:t>
      </w:r>
      <w:bookmarkEnd w:id="41"/>
      <w:bookmarkEnd w:id="42"/>
    </w:p>
    <w:p w14:paraId="42E78F42" w14:textId="77777777" w:rsidR="008319FB" w:rsidRPr="00B0658A" w:rsidRDefault="008319FB" w:rsidP="008319FB">
      <w:pPr>
        <w:spacing w:before="120" w:after="0" w:line="240" w:lineRule="auto"/>
        <w:rPr>
          <w:rFonts w:ascii="Times New Roman" w:hAnsi="Times New Roman"/>
          <w:sz w:val="28"/>
          <w:szCs w:val="24"/>
          <w:highlight w:val="yellow"/>
        </w:rPr>
      </w:pPr>
    </w:p>
    <w:p w14:paraId="486FB144" w14:textId="77777777" w:rsidR="004C7EA8" w:rsidRPr="00B0658A" w:rsidRDefault="004C7EA8" w:rsidP="004C7EA8">
      <w:pPr>
        <w:spacing w:before="120" w:after="0" w:line="240" w:lineRule="auto"/>
        <w:ind w:firstLine="709"/>
        <w:jc w:val="both"/>
        <w:rPr>
          <w:rFonts w:ascii="Times New Roman" w:hAnsi="Times New Roman"/>
          <w:sz w:val="28"/>
          <w:szCs w:val="24"/>
        </w:rPr>
      </w:pPr>
      <w:r w:rsidRPr="00B0658A">
        <w:rPr>
          <w:rFonts w:ascii="Times New Roman" w:hAnsi="Times New Roman"/>
          <w:sz w:val="28"/>
          <w:szCs w:val="24"/>
        </w:rPr>
        <w:t xml:space="preserve">Ниже представлены рекомендованные показатели эффективности и соответствующие им значения индикаторов эффективности перехода </w:t>
      </w:r>
      <w:r w:rsidR="005B7E3E" w:rsidRPr="00B0658A">
        <w:rPr>
          <w:rFonts w:ascii="Times New Roman" w:hAnsi="Times New Roman"/>
          <w:sz w:val="28"/>
          <w:szCs w:val="24"/>
        </w:rPr>
        <w:t xml:space="preserve">государственных </w:t>
      </w:r>
      <w:r w:rsidR="00951885" w:rsidRPr="00B0658A">
        <w:rPr>
          <w:rFonts w:ascii="Times New Roman" w:hAnsi="Times New Roman"/>
          <w:sz w:val="28"/>
          <w:szCs w:val="24"/>
        </w:rPr>
        <w:t>корпораций и компаний с государственным участием</w:t>
      </w:r>
      <w:r w:rsidR="005B7E3E" w:rsidRPr="00B0658A">
        <w:rPr>
          <w:rFonts w:ascii="Times New Roman" w:hAnsi="Times New Roman"/>
          <w:sz w:val="28"/>
          <w:szCs w:val="24"/>
        </w:rPr>
        <w:t xml:space="preserve">, включенных в расширенный перечень организаций, в отношении которых принято решение о необходимости указанными организации разработки стратегий (программ) цифровой трансформации, их дочерних и зависимых обществ на использование российского ПО </w:t>
      </w:r>
      <w:r w:rsidRPr="00B0658A">
        <w:rPr>
          <w:rFonts w:ascii="Times New Roman" w:hAnsi="Times New Roman"/>
          <w:sz w:val="28"/>
          <w:szCs w:val="24"/>
        </w:rPr>
        <w:t>в отношении каждого используемого класса (типа) ПО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55"/>
        <w:gridCol w:w="3297"/>
        <w:gridCol w:w="2505"/>
        <w:gridCol w:w="1023"/>
        <w:gridCol w:w="1023"/>
        <w:gridCol w:w="1023"/>
        <w:gridCol w:w="1057"/>
        <w:gridCol w:w="1023"/>
        <w:gridCol w:w="1023"/>
        <w:gridCol w:w="1015"/>
      </w:tblGrid>
      <w:tr w:rsidR="00F52FED" w:rsidRPr="00B0658A" w14:paraId="7A3ECF34" w14:textId="77777777" w:rsidTr="00FE71B1">
        <w:trPr>
          <w:trHeight w:val="20"/>
          <w:tblHeader/>
        </w:trPr>
        <w:tc>
          <w:tcPr>
            <w:tcW w:w="342" w:type="pct"/>
            <w:shd w:val="clear" w:color="000000" w:fill="E7E6E6"/>
            <w:vAlign w:val="center"/>
            <w:hideMark/>
          </w:tcPr>
          <w:p w14:paraId="7FF052D1" w14:textId="77777777" w:rsidR="005B7E3E" w:rsidRPr="00B0658A" w:rsidRDefault="005B7E3E" w:rsidP="00FE71B1">
            <w:pPr>
              <w:spacing w:after="0" w:line="240" w:lineRule="auto"/>
              <w:jc w:val="center"/>
              <w:rPr>
                <w:rFonts w:ascii="Times New Roman" w:hAnsi="Times New Roman"/>
                <w:b/>
                <w:bCs/>
                <w:sz w:val="18"/>
                <w:szCs w:val="18"/>
              </w:rPr>
            </w:pPr>
            <w:r w:rsidRPr="00B0658A">
              <w:rPr>
                <w:rFonts w:ascii="Times New Roman" w:hAnsi="Times New Roman"/>
                <w:b/>
                <w:bCs/>
                <w:sz w:val="18"/>
                <w:szCs w:val="18"/>
              </w:rPr>
              <w:t>№ раздела/ класса</w:t>
            </w:r>
          </w:p>
        </w:tc>
        <w:tc>
          <w:tcPr>
            <w:tcW w:w="1182" w:type="pct"/>
            <w:shd w:val="clear" w:color="000000" w:fill="E7E6E6"/>
            <w:vAlign w:val="center"/>
            <w:hideMark/>
          </w:tcPr>
          <w:p w14:paraId="41A62951" w14:textId="77777777" w:rsidR="005B7E3E" w:rsidRPr="00B0658A" w:rsidRDefault="005B7E3E" w:rsidP="000A4114">
            <w:pPr>
              <w:spacing w:after="0" w:line="240" w:lineRule="auto"/>
              <w:jc w:val="center"/>
              <w:rPr>
                <w:rFonts w:ascii="Times New Roman" w:hAnsi="Times New Roman"/>
                <w:b/>
                <w:bCs/>
                <w:sz w:val="18"/>
                <w:szCs w:val="18"/>
              </w:rPr>
            </w:pPr>
            <w:r w:rsidRPr="00B0658A">
              <w:rPr>
                <w:rFonts w:ascii="Times New Roman" w:hAnsi="Times New Roman"/>
                <w:b/>
                <w:bCs/>
                <w:sz w:val="18"/>
                <w:szCs w:val="18"/>
              </w:rPr>
              <w:t>Наименование класса (типа) ПО</w:t>
            </w:r>
          </w:p>
        </w:tc>
        <w:tc>
          <w:tcPr>
            <w:tcW w:w="898" w:type="pct"/>
            <w:shd w:val="clear" w:color="000000" w:fill="E7E6E6"/>
            <w:vAlign w:val="center"/>
            <w:hideMark/>
          </w:tcPr>
          <w:p w14:paraId="1E8BD8FA" w14:textId="77777777" w:rsidR="005B7E3E" w:rsidRPr="00B0658A" w:rsidRDefault="005B7E3E" w:rsidP="000A4114">
            <w:pPr>
              <w:spacing w:after="0" w:line="240" w:lineRule="auto"/>
              <w:jc w:val="center"/>
              <w:rPr>
                <w:rFonts w:ascii="Times New Roman" w:hAnsi="Times New Roman"/>
                <w:b/>
                <w:bCs/>
                <w:sz w:val="18"/>
                <w:szCs w:val="18"/>
              </w:rPr>
            </w:pPr>
            <w:r w:rsidRPr="00B0658A">
              <w:rPr>
                <w:rFonts w:ascii="Times New Roman" w:hAnsi="Times New Roman"/>
                <w:b/>
                <w:bCs/>
                <w:sz w:val="18"/>
                <w:szCs w:val="18"/>
              </w:rPr>
              <w:t>Наименование целевого показателя</w:t>
            </w:r>
          </w:p>
        </w:tc>
        <w:tc>
          <w:tcPr>
            <w:tcW w:w="367" w:type="pct"/>
            <w:shd w:val="clear" w:color="000000" w:fill="E7E6E6"/>
            <w:noWrap/>
            <w:vAlign w:val="center"/>
            <w:hideMark/>
          </w:tcPr>
          <w:p w14:paraId="760FAC69" w14:textId="77777777" w:rsidR="005B7E3E" w:rsidRPr="00B0658A" w:rsidRDefault="005B7E3E" w:rsidP="000A4114">
            <w:pPr>
              <w:spacing w:after="0" w:line="240" w:lineRule="auto"/>
              <w:jc w:val="center"/>
              <w:rPr>
                <w:rFonts w:ascii="Times New Roman" w:hAnsi="Times New Roman"/>
                <w:b/>
                <w:bCs/>
                <w:sz w:val="18"/>
                <w:szCs w:val="18"/>
              </w:rPr>
            </w:pPr>
            <w:r w:rsidRPr="00B0658A">
              <w:rPr>
                <w:rFonts w:ascii="Times New Roman" w:hAnsi="Times New Roman"/>
                <w:b/>
                <w:bCs/>
                <w:sz w:val="18"/>
                <w:szCs w:val="18"/>
              </w:rPr>
              <w:t>2022 г.</w:t>
            </w:r>
          </w:p>
        </w:tc>
        <w:tc>
          <w:tcPr>
            <w:tcW w:w="367" w:type="pct"/>
            <w:shd w:val="clear" w:color="000000" w:fill="E7E6E6"/>
            <w:vAlign w:val="center"/>
            <w:hideMark/>
          </w:tcPr>
          <w:p w14:paraId="52561DD2" w14:textId="77777777" w:rsidR="005B7E3E" w:rsidRPr="00B0658A" w:rsidRDefault="005B7E3E" w:rsidP="000A4114">
            <w:pPr>
              <w:spacing w:after="0" w:line="240" w:lineRule="auto"/>
              <w:jc w:val="center"/>
              <w:rPr>
                <w:rFonts w:ascii="Times New Roman" w:hAnsi="Times New Roman"/>
                <w:b/>
                <w:bCs/>
                <w:sz w:val="18"/>
                <w:szCs w:val="18"/>
              </w:rPr>
            </w:pPr>
            <w:r w:rsidRPr="00B0658A">
              <w:rPr>
                <w:rFonts w:ascii="Times New Roman" w:hAnsi="Times New Roman"/>
                <w:b/>
                <w:bCs/>
                <w:sz w:val="18"/>
                <w:szCs w:val="18"/>
              </w:rPr>
              <w:t>2023 г.</w:t>
            </w:r>
          </w:p>
        </w:tc>
        <w:tc>
          <w:tcPr>
            <w:tcW w:w="367" w:type="pct"/>
            <w:shd w:val="clear" w:color="000000" w:fill="E7E6E6"/>
            <w:noWrap/>
            <w:vAlign w:val="center"/>
            <w:hideMark/>
          </w:tcPr>
          <w:p w14:paraId="4CC2EDDC" w14:textId="77777777" w:rsidR="005B7E3E" w:rsidRPr="00B0658A" w:rsidRDefault="005B7E3E" w:rsidP="000A4114">
            <w:pPr>
              <w:spacing w:after="0" w:line="240" w:lineRule="auto"/>
              <w:jc w:val="center"/>
              <w:rPr>
                <w:rFonts w:ascii="Times New Roman" w:hAnsi="Times New Roman"/>
                <w:b/>
                <w:bCs/>
                <w:sz w:val="18"/>
                <w:szCs w:val="18"/>
              </w:rPr>
            </w:pPr>
            <w:r w:rsidRPr="00B0658A">
              <w:rPr>
                <w:rFonts w:ascii="Times New Roman" w:hAnsi="Times New Roman"/>
                <w:b/>
                <w:bCs/>
                <w:sz w:val="18"/>
                <w:szCs w:val="18"/>
              </w:rPr>
              <w:t>2024 г.</w:t>
            </w:r>
          </w:p>
        </w:tc>
        <w:tc>
          <w:tcPr>
            <w:tcW w:w="379" w:type="pct"/>
            <w:shd w:val="clear" w:color="000000" w:fill="E7E6E6"/>
            <w:vAlign w:val="center"/>
          </w:tcPr>
          <w:p w14:paraId="6D2BF254" w14:textId="77777777" w:rsidR="005B7E3E" w:rsidRPr="00B0658A" w:rsidRDefault="005B7E3E" w:rsidP="000A4114">
            <w:pPr>
              <w:spacing w:after="0" w:line="240" w:lineRule="auto"/>
              <w:jc w:val="center"/>
              <w:rPr>
                <w:rFonts w:ascii="Times New Roman" w:hAnsi="Times New Roman"/>
                <w:b/>
                <w:bCs/>
                <w:sz w:val="18"/>
                <w:szCs w:val="18"/>
              </w:rPr>
            </w:pPr>
            <w:r w:rsidRPr="00B0658A">
              <w:rPr>
                <w:rFonts w:ascii="Times New Roman" w:hAnsi="Times New Roman"/>
                <w:b/>
                <w:bCs/>
                <w:sz w:val="18"/>
                <w:szCs w:val="18"/>
              </w:rPr>
              <w:t>2024 г.</w:t>
            </w:r>
            <w:r w:rsidRPr="00B0658A">
              <w:rPr>
                <w:rFonts w:ascii="Times New Roman" w:hAnsi="Times New Roman"/>
                <w:b/>
                <w:bCs/>
                <w:sz w:val="18"/>
                <w:szCs w:val="18"/>
              </w:rPr>
              <w:br/>
            </w:r>
            <w:r w:rsidRPr="00B0658A">
              <w:rPr>
                <w:rFonts w:ascii="Times New Roman" w:hAnsi="Times New Roman"/>
                <w:bCs/>
                <w:sz w:val="18"/>
                <w:szCs w:val="18"/>
              </w:rPr>
              <w:t>(для значимых объектов КИИ)</w:t>
            </w:r>
          </w:p>
        </w:tc>
        <w:tc>
          <w:tcPr>
            <w:tcW w:w="367" w:type="pct"/>
            <w:shd w:val="clear" w:color="000000" w:fill="E7E6E6"/>
            <w:vAlign w:val="center"/>
            <w:hideMark/>
          </w:tcPr>
          <w:p w14:paraId="49FC5F73" w14:textId="77777777" w:rsidR="005B7E3E" w:rsidRPr="00B0658A" w:rsidRDefault="005B7E3E" w:rsidP="000A4114">
            <w:pPr>
              <w:spacing w:after="0" w:line="240" w:lineRule="auto"/>
              <w:jc w:val="center"/>
              <w:rPr>
                <w:rFonts w:ascii="Times New Roman" w:hAnsi="Times New Roman"/>
                <w:b/>
                <w:bCs/>
                <w:sz w:val="18"/>
                <w:szCs w:val="18"/>
              </w:rPr>
            </w:pPr>
            <w:r w:rsidRPr="00B0658A">
              <w:rPr>
                <w:rFonts w:ascii="Times New Roman" w:hAnsi="Times New Roman"/>
                <w:b/>
                <w:bCs/>
                <w:sz w:val="18"/>
                <w:szCs w:val="18"/>
              </w:rPr>
              <w:t>2025 г.</w:t>
            </w:r>
          </w:p>
        </w:tc>
        <w:tc>
          <w:tcPr>
            <w:tcW w:w="367" w:type="pct"/>
            <w:shd w:val="clear" w:color="000000" w:fill="E7E6E6"/>
            <w:vAlign w:val="center"/>
            <w:hideMark/>
          </w:tcPr>
          <w:p w14:paraId="71E69E02" w14:textId="77777777" w:rsidR="005B7E3E" w:rsidRPr="00B0658A" w:rsidRDefault="005B7E3E" w:rsidP="000A4114">
            <w:pPr>
              <w:spacing w:after="0" w:line="240" w:lineRule="auto"/>
              <w:jc w:val="center"/>
              <w:rPr>
                <w:rFonts w:ascii="Times New Roman" w:hAnsi="Times New Roman"/>
                <w:b/>
                <w:bCs/>
                <w:sz w:val="18"/>
                <w:szCs w:val="18"/>
              </w:rPr>
            </w:pPr>
            <w:r w:rsidRPr="00B0658A">
              <w:rPr>
                <w:rFonts w:ascii="Times New Roman" w:hAnsi="Times New Roman"/>
                <w:b/>
                <w:bCs/>
                <w:sz w:val="18"/>
                <w:szCs w:val="18"/>
              </w:rPr>
              <w:t>2026 г.</w:t>
            </w:r>
          </w:p>
        </w:tc>
        <w:tc>
          <w:tcPr>
            <w:tcW w:w="364" w:type="pct"/>
            <w:shd w:val="clear" w:color="000000" w:fill="E7E6E6"/>
            <w:vAlign w:val="center"/>
            <w:hideMark/>
          </w:tcPr>
          <w:p w14:paraId="3748ADC2" w14:textId="77777777" w:rsidR="005B7E3E" w:rsidRPr="00B0658A" w:rsidRDefault="005B7E3E" w:rsidP="000A4114">
            <w:pPr>
              <w:spacing w:after="0" w:line="240" w:lineRule="auto"/>
              <w:jc w:val="center"/>
              <w:rPr>
                <w:rFonts w:ascii="Times New Roman" w:hAnsi="Times New Roman"/>
                <w:b/>
                <w:bCs/>
                <w:sz w:val="18"/>
                <w:szCs w:val="18"/>
              </w:rPr>
            </w:pPr>
            <w:r w:rsidRPr="00B0658A">
              <w:rPr>
                <w:rFonts w:ascii="Times New Roman" w:hAnsi="Times New Roman"/>
                <w:b/>
                <w:bCs/>
                <w:sz w:val="18"/>
                <w:szCs w:val="18"/>
              </w:rPr>
              <w:t>2027 г.</w:t>
            </w:r>
          </w:p>
        </w:tc>
      </w:tr>
      <w:tr w:rsidR="00F52FED" w:rsidRPr="00B0658A" w14:paraId="0925D1E4" w14:textId="77777777" w:rsidTr="00FE71B1">
        <w:trPr>
          <w:trHeight w:val="20"/>
        </w:trPr>
        <w:tc>
          <w:tcPr>
            <w:tcW w:w="342" w:type="pct"/>
            <w:shd w:val="clear" w:color="000000" w:fill="FFFFFF"/>
            <w:vAlign w:val="center"/>
          </w:tcPr>
          <w:p w14:paraId="569FF507" w14:textId="77777777" w:rsidR="005B7E3E" w:rsidRPr="00B0658A" w:rsidRDefault="005B7E3E" w:rsidP="00FE71B1">
            <w:pPr>
              <w:spacing w:after="0" w:line="240" w:lineRule="auto"/>
              <w:jc w:val="center"/>
              <w:rPr>
                <w:rFonts w:ascii="Times New Roman" w:hAnsi="Times New Roman"/>
                <w:sz w:val="18"/>
                <w:szCs w:val="18"/>
              </w:rPr>
            </w:pPr>
            <w:r w:rsidRPr="00B0658A">
              <w:rPr>
                <w:rFonts w:ascii="Times New Roman" w:hAnsi="Times New Roman"/>
                <w:sz w:val="18"/>
                <w:szCs w:val="18"/>
              </w:rPr>
              <w:t>1.1</w:t>
            </w:r>
          </w:p>
        </w:tc>
        <w:tc>
          <w:tcPr>
            <w:tcW w:w="1182" w:type="pct"/>
            <w:shd w:val="clear" w:color="auto" w:fill="auto"/>
            <w:vAlign w:val="center"/>
            <w:hideMark/>
          </w:tcPr>
          <w:p w14:paraId="5187E030" w14:textId="77777777" w:rsidR="005B7E3E" w:rsidRPr="00B0658A" w:rsidRDefault="005B7E3E" w:rsidP="000A4114">
            <w:pPr>
              <w:spacing w:after="0" w:line="240" w:lineRule="auto"/>
              <w:rPr>
                <w:rFonts w:ascii="Times New Roman" w:hAnsi="Times New Roman"/>
                <w:sz w:val="18"/>
                <w:szCs w:val="18"/>
              </w:rPr>
            </w:pPr>
            <w:r w:rsidRPr="00B0658A">
              <w:rPr>
                <w:rFonts w:ascii="Times New Roman" w:hAnsi="Times New Roman"/>
                <w:sz w:val="18"/>
                <w:szCs w:val="18"/>
              </w:rPr>
              <w:t>Встроенное программное обеспечение/ Встроенные системные программы: BIOS, UEFI и иные встроенные системные программы</w:t>
            </w:r>
          </w:p>
        </w:tc>
        <w:tc>
          <w:tcPr>
            <w:tcW w:w="898" w:type="pct"/>
            <w:shd w:val="clear" w:color="000000" w:fill="FFFFFF"/>
            <w:hideMark/>
          </w:tcPr>
          <w:p w14:paraId="64B078B0" w14:textId="77777777" w:rsidR="005B7E3E" w:rsidRPr="00B0658A" w:rsidRDefault="005B7E3E" w:rsidP="000A4114">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7" w:type="pct"/>
            <w:shd w:val="clear" w:color="000000" w:fill="FFFFFF"/>
            <w:vAlign w:val="center"/>
          </w:tcPr>
          <w:p w14:paraId="6112DD50"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rPr>
              <w:t>10%</w:t>
            </w:r>
          </w:p>
        </w:tc>
        <w:tc>
          <w:tcPr>
            <w:tcW w:w="367" w:type="pct"/>
            <w:shd w:val="clear" w:color="000000" w:fill="FFFFFF"/>
            <w:vAlign w:val="center"/>
          </w:tcPr>
          <w:p w14:paraId="2BC13D0D"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rPr>
              <w:t>2</w:t>
            </w:r>
            <w:r w:rsidRPr="00B0658A">
              <w:rPr>
                <w:rFonts w:ascii="Times New Roman" w:hAnsi="Times New Roman"/>
                <w:sz w:val="18"/>
                <w:szCs w:val="18"/>
                <w:lang w:val="en-US"/>
              </w:rPr>
              <w:t>5</w:t>
            </w:r>
            <w:r w:rsidRPr="00B0658A">
              <w:rPr>
                <w:rFonts w:ascii="Times New Roman" w:hAnsi="Times New Roman"/>
                <w:sz w:val="18"/>
                <w:szCs w:val="18"/>
              </w:rPr>
              <w:t>%</w:t>
            </w:r>
          </w:p>
        </w:tc>
        <w:tc>
          <w:tcPr>
            <w:tcW w:w="367" w:type="pct"/>
            <w:shd w:val="clear" w:color="000000" w:fill="FFFFFF"/>
            <w:vAlign w:val="center"/>
          </w:tcPr>
          <w:p w14:paraId="2F4FE049"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4</w:t>
            </w:r>
            <w:r w:rsidRPr="00B0658A">
              <w:rPr>
                <w:rFonts w:ascii="Times New Roman" w:hAnsi="Times New Roman"/>
                <w:sz w:val="18"/>
                <w:szCs w:val="18"/>
              </w:rPr>
              <w:t>0%</w:t>
            </w:r>
          </w:p>
        </w:tc>
        <w:tc>
          <w:tcPr>
            <w:tcW w:w="379" w:type="pct"/>
            <w:shd w:val="clear" w:color="000000" w:fill="FFFFFF"/>
            <w:vAlign w:val="center"/>
          </w:tcPr>
          <w:p w14:paraId="265C0BB7" w14:textId="77777777" w:rsidR="005B7E3E" w:rsidRPr="00B0658A" w:rsidRDefault="005B7E3E" w:rsidP="000A4114">
            <w:pPr>
              <w:spacing w:after="0" w:line="240" w:lineRule="auto"/>
              <w:jc w:val="center"/>
              <w:rPr>
                <w:rFonts w:ascii="Times New Roman" w:hAnsi="Times New Roman"/>
                <w:sz w:val="18"/>
                <w:szCs w:val="18"/>
                <w:lang w:val="en-US"/>
              </w:rPr>
            </w:pPr>
            <w:r w:rsidRPr="00B0658A">
              <w:rPr>
                <w:rFonts w:ascii="Times New Roman" w:hAnsi="Times New Roman"/>
                <w:sz w:val="18"/>
                <w:szCs w:val="18"/>
                <w:lang w:val="en-US"/>
              </w:rPr>
              <w:t>100%</w:t>
            </w:r>
          </w:p>
        </w:tc>
        <w:tc>
          <w:tcPr>
            <w:tcW w:w="367" w:type="pct"/>
            <w:shd w:val="clear" w:color="000000" w:fill="FFFFFF"/>
            <w:vAlign w:val="center"/>
          </w:tcPr>
          <w:p w14:paraId="343A31FD"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rPr>
              <w:t>50%</w:t>
            </w:r>
          </w:p>
        </w:tc>
        <w:tc>
          <w:tcPr>
            <w:tcW w:w="367" w:type="pct"/>
            <w:shd w:val="clear" w:color="000000" w:fill="FFFFFF"/>
            <w:vAlign w:val="center"/>
          </w:tcPr>
          <w:p w14:paraId="379C8DD4"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rPr>
              <w:t>70%</w:t>
            </w:r>
          </w:p>
        </w:tc>
        <w:tc>
          <w:tcPr>
            <w:tcW w:w="364" w:type="pct"/>
            <w:shd w:val="clear" w:color="000000" w:fill="FFFFFF"/>
            <w:vAlign w:val="center"/>
          </w:tcPr>
          <w:p w14:paraId="0BF9CC78"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F52FED" w:rsidRPr="00B0658A" w14:paraId="77FF26A3" w14:textId="77777777" w:rsidTr="00FE71B1">
        <w:trPr>
          <w:trHeight w:val="20"/>
        </w:trPr>
        <w:tc>
          <w:tcPr>
            <w:tcW w:w="342" w:type="pct"/>
            <w:shd w:val="clear" w:color="000000" w:fill="FFFFFF"/>
            <w:vAlign w:val="center"/>
          </w:tcPr>
          <w:p w14:paraId="0AF1D772" w14:textId="77777777" w:rsidR="005B7E3E" w:rsidRPr="00B0658A" w:rsidRDefault="005B7E3E" w:rsidP="00FE71B1">
            <w:pPr>
              <w:spacing w:after="0" w:line="240" w:lineRule="auto"/>
              <w:jc w:val="center"/>
              <w:rPr>
                <w:rFonts w:ascii="Times New Roman" w:hAnsi="Times New Roman"/>
                <w:sz w:val="18"/>
                <w:szCs w:val="18"/>
              </w:rPr>
            </w:pPr>
            <w:r w:rsidRPr="00B0658A">
              <w:rPr>
                <w:rFonts w:ascii="Times New Roman" w:hAnsi="Times New Roman"/>
                <w:sz w:val="18"/>
                <w:szCs w:val="18"/>
              </w:rPr>
              <w:t>1.2</w:t>
            </w:r>
          </w:p>
        </w:tc>
        <w:tc>
          <w:tcPr>
            <w:tcW w:w="1182" w:type="pct"/>
            <w:shd w:val="clear" w:color="auto" w:fill="auto"/>
            <w:vAlign w:val="center"/>
            <w:hideMark/>
          </w:tcPr>
          <w:p w14:paraId="7AE2EC0E" w14:textId="77777777" w:rsidR="005B7E3E" w:rsidRPr="00B0658A" w:rsidRDefault="005B7E3E" w:rsidP="000A4114">
            <w:pPr>
              <w:spacing w:after="0" w:line="240" w:lineRule="auto"/>
              <w:rPr>
                <w:rFonts w:ascii="Times New Roman" w:hAnsi="Times New Roman"/>
                <w:sz w:val="18"/>
                <w:szCs w:val="18"/>
              </w:rPr>
            </w:pPr>
            <w:r w:rsidRPr="00B0658A">
              <w:rPr>
                <w:rFonts w:ascii="Times New Roman" w:hAnsi="Times New Roman"/>
                <w:sz w:val="18"/>
                <w:szCs w:val="18"/>
              </w:rPr>
              <w:t>Встроенное программное обеспечение/ Встроенные системные программы – операционные системы</w:t>
            </w:r>
          </w:p>
        </w:tc>
        <w:tc>
          <w:tcPr>
            <w:tcW w:w="898" w:type="pct"/>
            <w:shd w:val="clear" w:color="000000" w:fill="FFFFFF"/>
            <w:hideMark/>
          </w:tcPr>
          <w:p w14:paraId="6E86C567" w14:textId="77777777" w:rsidR="005B7E3E" w:rsidRPr="00B0658A" w:rsidRDefault="005B7E3E" w:rsidP="000A4114">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7" w:type="pct"/>
            <w:shd w:val="clear" w:color="000000" w:fill="FFFFFF"/>
            <w:vAlign w:val="center"/>
          </w:tcPr>
          <w:p w14:paraId="434FE50C"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rPr>
              <w:t>10%</w:t>
            </w:r>
          </w:p>
        </w:tc>
        <w:tc>
          <w:tcPr>
            <w:tcW w:w="367" w:type="pct"/>
            <w:shd w:val="clear" w:color="000000" w:fill="FFFFFF"/>
            <w:vAlign w:val="center"/>
          </w:tcPr>
          <w:p w14:paraId="6B12D519"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rPr>
              <w:t>2</w:t>
            </w:r>
            <w:r w:rsidRPr="00B0658A">
              <w:rPr>
                <w:rFonts w:ascii="Times New Roman" w:hAnsi="Times New Roman"/>
                <w:sz w:val="18"/>
                <w:szCs w:val="18"/>
                <w:lang w:val="en-US"/>
              </w:rPr>
              <w:t>5</w:t>
            </w:r>
            <w:r w:rsidRPr="00B0658A">
              <w:rPr>
                <w:rFonts w:ascii="Times New Roman" w:hAnsi="Times New Roman"/>
                <w:sz w:val="18"/>
                <w:szCs w:val="18"/>
              </w:rPr>
              <w:t>%</w:t>
            </w:r>
          </w:p>
        </w:tc>
        <w:tc>
          <w:tcPr>
            <w:tcW w:w="367" w:type="pct"/>
            <w:shd w:val="clear" w:color="000000" w:fill="FFFFFF"/>
            <w:vAlign w:val="center"/>
          </w:tcPr>
          <w:p w14:paraId="4C8614D2"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4</w:t>
            </w:r>
            <w:r w:rsidRPr="00B0658A">
              <w:rPr>
                <w:rFonts w:ascii="Times New Roman" w:hAnsi="Times New Roman"/>
                <w:sz w:val="18"/>
                <w:szCs w:val="18"/>
              </w:rPr>
              <w:t>0%</w:t>
            </w:r>
          </w:p>
        </w:tc>
        <w:tc>
          <w:tcPr>
            <w:tcW w:w="379" w:type="pct"/>
            <w:shd w:val="clear" w:color="000000" w:fill="FFFFFF"/>
            <w:vAlign w:val="center"/>
          </w:tcPr>
          <w:p w14:paraId="4ED99621"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7" w:type="pct"/>
            <w:shd w:val="clear" w:color="000000" w:fill="FFFFFF"/>
            <w:vAlign w:val="center"/>
          </w:tcPr>
          <w:p w14:paraId="0C6141AA"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rPr>
              <w:t>50%</w:t>
            </w:r>
          </w:p>
        </w:tc>
        <w:tc>
          <w:tcPr>
            <w:tcW w:w="367" w:type="pct"/>
            <w:shd w:val="clear" w:color="000000" w:fill="FFFFFF"/>
            <w:vAlign w:val="center"/>
          </w:tcPr>
          <w:p w14:paraId="0A20C9CA"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rPr>
              <w:t>70%</w:t>
            </w:r>
          </w:p>
        </w:tc>
        <w:tc>
          <w:tcPr>
            <w:tcW w:w="364" w:type="pct"/>
            <w:shd w:val="clear" w:color="000000" w:fill="FFFFFF"/>
            <w:vAlign w:val="center"/>
          </w:tcPr>
          <w:p w14:paraId="26E9F23F"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F52FED" w:rsidRPr="00B0658A" w14:paraId="456FDB62" w14:textId="77777777" w:rsidTr="00FE71B1">
        <w:trPr>
          <w:trHeight w:val="20"/>
        </w:trPr>
        <w:tc>
          <w:tcPr>
            <w:tcW w:w="342" w:type="pct"/>
            <w:shd w:val="clear" w:color="000000" w:fill="FFFFFF"/>
            <w:vAlign w:val="center"/>
          </w:tcPr>
          <w:p w14:paraId="127A2D8F" w14:textId="77777777" w:rsidR="005B7E3E" w:rsidRPr="00B0658A" w:rsidRDefault="005B7E3E" w:rsidP="00FE71B1">
            <w:pPr>
              <w:spacing w:after="0" w:line="240" w:lineRule="auto"/>
              <w:jc w:val="center"/>
              <w:rPr>
                <w:rFonts w:ascii="Times New Roman" w:hAnsi="Times New Roman"/>
                <w:sz w:val="18"/>
                <w:szCs w:val="18"/>
              </w:rPr>
            </w:pPr>
            <w:r w:rsidRPr="00B0658A">
              <w:rPr>
                <w:rFonts w:ascii="Times New Roman" w:hAnsi="Times New Roman"/>
                <w:sz w:val="18"/>
                <w:szCs w:val="18"/>
              </w:rPr>
              <w:t>1.3</w:t>
            </w:r>
          </w:p>
        </w:tc>
        <w:tc>
          <w:tcPr>
            <w:tcW w:w="1182" w:type="pct"/>
            <w:shd w:val="clear" w:color="auto" w:fill="auto"/>
            <w:vAlign w:val="center"/>
            <w:hideMark/>
          </w:tcPr>
          <w:p w14:paraId="7432819D" w14:textId="77777777" w:rsidR="005B7E3E" w:rsidRPr="00B0658A" w:rsidRDefault="005B7E3E" w:rsidP="000A4114">
            <w:pPr>
              <w:spacing w:after="0" w:line="240" w:lineRule="auto"/>
              <w:rPr>
                <w:rFonts w:ascii="Times New Roman" w:hAnsi="Times New Roman"/>
                <w:sz w:val="18"/>
                <w:szCs w:val="18"/>
              </w:rPr>
            </w:pPr>
            <w:r w:rsidRPr="00B0658A">
              <w:rPr>
                <w:rFonts w:ascii="Times New Roman" w:hAnsi="Times New Roman"/>
                <w:sz w:val="18"/>
                <w:szCs w:val="18"/>
              </w:rPr>
              <w:t>Встроенное программное обеспечение/ Встроенные прикладные программы</w:t>
            </w:r>
          </w:p>
        </w:tc>
        <w:tc>
          <w:tcPr>
            <w:tcW w:w="898" w:type="pct"/>
            <w:shd w:val="clear" w:color="000000" w:fill="FFFFFF"/>
            <w:hideMark/>
          </w:tcPr>
          <w:p w14:paraId="50A36CDB" w14:textId="77777777" w:rsidR="005B7E3E" w:rsidRPr="00B0658A" w:rsidRDefault="005B7E3E" w:rsidP="000A4114">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7" w:type="pct"/>
            <w:shd w:val="clear" w:color="000000" w:fill="FFFFFF"/>
            <w:vAlign w:val="center"/>
          </w:tcPr>
          <w:p w14:paraId="2893DB1C"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rPr>
              <w:t>20%</w:t>
            </w:r>
          </w:p>
        </w:tc>
        <w:tc>
          <w:tcPr>
            <w:tcW w:w="367" w:type="pct"/>
            <w:shd w:val="clear" w:color="000000" w:fill="FFFFFF"/>
            <w:vAlign w:val="center"/>
          </w:tcPr>
          <w:p w14:paraId="4B499AF0"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rPr>
              <w:t>30%</w:t>
            </w:r>
          </w:p>
        </w:tc>
        <w:tc>
          <w:tcPr>
            <w:tcW w:w="367" w:type="pct"/>
            <w:shd w:val="clear" w:color="000000" w:fill="FFFFFF"/>
            <w:vAlign w:val="center"/>
          </w:tcPr>
          <w:p w14:paraId="61C9B3E4"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rPr>
              <w:t>45%</w:t>
            </w:r>
          </w:p>
        </w:tc>
        <w:tc>
          <w:tcPr>
            <w:tcW w:w="379" w:type="pct"/>
            <w:shd w:val="clear" w:color="000000" w:fill="FFFFFF"/>
            <w:vAlign w:val="center"/>
          </w:tcPr>
          <w:p w14:paraId="12070F57"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7" w:type="pct"/>
            <w:shd w:val="clear" w:color="000000" w:fill="FFFFFF"/>
            <w:vAlign w:val="center"/>
          </w:tcPr>
          <w:p w14:paraId="33E44A75"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rPr>
              <w:t>70%</w:t>
            </w:r>
          </w:p>
        </w:tc>
        <w:tc>
          <w:tcPr>
            <w:tcW w:w="367" w:type="pct"/>
            <w:shd w:val="clear" w:color="000000" w:fill="FFFFFF"/>
            <w:vAlign w:val="center"/>
          </w:tcPr>
          <w:p w14:paraId="580939C7"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rPr>
              <w:t>90%</w:t>
            </w:r>
          </w:p>
        </w:tc>
        <w:tc>
          <w:tcPr>
            <w:tcW w:w="364" w:type="pct"/>
            <w:shd w:val="clear" w:color="000000" w:fill="FFFFFF"/>
            <w:vAlign w:val="center"/>
          </w:tcPr>
          <w:p w14:paraId="74FA67DF"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F52FED" w:rsidRPr="00B0658A" w14:paraId="6CD764C9" w14:textId="77777777" w:rsidTr="00FE71B1">
        <w:trPr>
          <w:trHeight w:val="20"/>
        </w:trPr>
        <w:tc>
          <w:tcPr>
            <w:tcW w:w="342" w:type="pct"/>
            <w:shd w:val="clear" w:color="000000" w:fill="FFFFFF"/>
            <w:vAlign w:val="center"/>
          </w:tcPr>
          <w:p w14:paraId="6F4024BA" w14:textId="77777777" w:rsidR="005B7E3E" w:rsidRPr="00B0658A" w:rsidRDefault="005B7E3E" w:rsidP="00FE71B1">
            <w:pPr>
              <w:spacing w:after="0" w:line="240" w:lineRule="auto"/>
              <w:jc w:val="center"/>
              <w:rPr>
                <w:rFonts w:ascii="Times New Roman" w:hAnsi="Times New Roman"/>
                <w:sz w:val="18"/>
                <w:szCs w:val="18"/>
              </w:rPr>
            </w:pPr>
            <w:r w:rsidRPr="00B0658A">
              <w:rPr>
                <w:rFonts w:ascii="Times New Roman" w:hAnsi="Times New Roman"/>
                <w:sz w:val="18"/>
                <w:szCs w:val="18"/>
              </w:rPr>
              <w:t>1.4</w:t>
            </w:r>
          </w:p>
        </w:tc>
        <w:tc>
          <w:tcPr>
            <w:tcW w:w="1182" w:type="pct"/>
            <w:shd w:val="clear" w:color="auto" w:fill="auto"/>
            <w:vAlign w:val="center"/>
            <w:hideMark/>
          </w:tcPr>
          <w:p w14:paraId="0ACDE384" w14:textId="77777777" w:rsidR="005B7E3E" w:rsidRPr="00B0658A" w:rsidRDefault="005B7E3E" w:rsidP="000A4114">
            <w:pPr>
              <w:spacing w:after="0" w:line="240" w:lineRule="auto"/>
              <w:rPr>
                <w:rFonts w:ascii="Times New Roman" w:hAnsi="Times New Roman"/>
                <w:sz w:val="18"/>
                <w:szCs w:val="18"/>
              </w:rPr>
            </w:pPr>
            <w:r w:rsidRPr="00B0658A">
              <w:rPr>
                <w:rFonts w:ascii="Times New Roman" w:hAnsi="Times New Roman"/>
                <w:sz w:val="18"/>
                <w:szCs w:val="18"/>
              </w:rPr>
              <w:t>Встроенное программное обеспечение/ Программное обеспечение интернета вещей, робототехники и сенсорики</w:t>
            </w:r>
          </w:p>
        </w:tc>
        <w:tc>
          <w:tcPr>
            <w:tcW w:w="898" w:type="pct"/>
            <w:shd w:val="clear" w:color="000000" w:fill="FFFFFF"/>
            <w:hideMark/>
          </w:tcPr>
          <w:p w14:paraId="179E00D1" w14:textId="77777777" w:rsidR="005B7E3E" w:rsidRPr="00B0658A" w:rsidRDefault="005B7E3E" w:rsidP="000A4114">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7" w:type="pct"/>
            <w:shd w:val="clear" w:color="000000" w:fill="FFFFFF"/>
            <w:vAlign w:val="center"/>
          </w:tcPr>
          <w:p w14:paraId="23921ECE"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rPr>
              <w:t>20%</w:t>
            </w:r>
          </w:p>
        </w:tc>
        <w:tc>
          <w:tcPr>
            <w:tcW w:w="367" w:type="pct"/>
            <w:shd w:val="clear" w:color="000000" w:fill="FFFFFF"/>
            <w:vAlign w:val="center"/>
          </w:tcPr>
          <w:p w14:paraId="37B48640"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rPr>
              <w:t>30%</w:t>
            </w:r>
          </w:p>
        </w:tc>
        <w:tc>
          <w:tcPr>
            <w:tcW w:w="367" w:type="pct"/>
            <w:shd w:val="clear" w:color="000000" w:fill="FFFFFF"/>
            <w:vAlign w:val="center"/>
          </w:tcPr>
          <w:p w14:paraId="238F0EAF"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rPr>
              <w:t>45%</w:t>
            </w:r>
          </w:p>
        </w:tc>
        <w:tc>
          <w:tcPr>
            <w:tcW w:w="379" w:type="pct"/>
            <w:shd w:val="clear" w:color="000000" w:fill="FFFFFF"/>
            <w:vAlign w:val="center"/>
          </w:tcPr>
          <w:p w14:paraId="4233035A"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7" w:type="pct"/>
            <w:shd w:val="clear" w:color="000000" w:fill="FFFFFF"/>
            <w:vAlign w:val="center"/>
          </w:tcPr>
          <w:p w14:paraId="3A145AE1"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rPr>
              <w:t>70%</w:t>
            </w:r>
          </w:p>
        </w:tc>
        <w:tc>
          <w:tcPr>
            <w:tcW w:w="367" w:type="pct"/>
            <w:shd w:val="clear" w:color="000000" w:fill="FFFFFF"/>
            <w:vAlign w:val="center"/>
          </w:tcPr>
          <w:p w14:paraId="39EF32A5"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rPr>
              <w:t>90%</w:t>
            </w:r>
          </w:p>
        </w:tc>
        <w:tc>
          <w:tcPr>
            <w:tcW w:w="364" w:type="pct"/>
            <w:shd w:val="clear" w:color="000000" w:fill="FFFFFF"/>
            <w:vAlign w:val="center"/>
          </w:tcPr>
          <w:p w14:paraId="2876B3AB"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F52FED" w:rsidRPr="00B0658A" w14:paraId="7CDABA63" w14:textId="77777777" w:rsidTr="00FE71B1">
        <w:trPr>
          <w:trHeight w:val="20"/>
        </w:trPr>
        <w:tc>
          <w:tcPr>
            <w:tcW w:w="342" w:type="pct"/>
            <w:shd w:val="clear" w:color="auto" w:fill="auto"/>
            <w:vAlign w:val="center"/>
          </w:tcPr>
          <w:p w14:paraId="1E425FAB" w14:textId="77777777" w:rsidR="005B7E3E" w:rsidRPr="00B0658A" w:rsidRDefault="005B7E3E" w:rsidP="00FE71B1">
            <w:pPr>
              <w:spacing w:after="0" w:line="240" w:lineRule="auto"/>
              <w:jc w:val="center"/>
              <w:rPr>
                <w:rFonts w:ascii="Times New Roman" w:hAnsi="Times New Roman"/>
                <w:sz w:val="18"/>
                <w:szCs w:val="18"/>
              </w:rPr>
            </w:pPr>
            <w:r w:rsidRPr="00B0658A">
              <w:rPr>
                <w:rFonts w:ascii="Times New Roman" w:hAnsi="Times New Roman"/>
                <w:sz w:val="18"/>
                <w:szCs w:val="18"/>
              </w:rPr>
              <w:t>2.1</w:t>
            </w:r>
          </w:p>
        </w:tc>
        <w:tc>
          <w:tcPr>
            <w:tcW w:w="1182" w:type="pct"/>
            <w:shd w:val="clear" w:color="auto" w:fill="auto"/>
            <w:vAlign w:val="center"/>
            <w:hideMark/>
          </w:tcPr>
          <w:p w14:paraId="735CE548" w14:textId="77777777" w:rsidR="005B7E3E" w:rsidRPr="00B0658A" w:rsidRDefault="005B7E3E" w:rsidP="000A4114">
            <w:pPr>
              <w:spacing w:after="0" w:line="240" w:lineRule="auto"/>
              <w:rPr>
                <w:rFonts w:ascii="Times New Roman" w:hAnsi="Times New Roman"/>
                <w:sz w:val="18"/>
                <w:szCs w:val="18"/>
              </w:rPr>
            </w:pPr>
            <w:r w:rsidRPr="00B0658A">
              <w:rPr>
                <w:rFonts w:ascii="Times New Roman" w:hAnsi="Times New Roman"/>
                <w:sz w:val="18"/>
                <w:szCs w:val="18"/>
              </w:rPr>
              <w:t>Системное программное обеспечение/ Драйверы</w:t>
            </w:r>
          </w:p>
        </w:tc>
        <w:tc>
          <w:tcPr>
            <w:tcW w:w="898" w:type="pct"/>
            <w:shd w:val="clear" w:color="000000" w:fill="FFFFFF"/>
            <w:hideMark/>
          </w:tcPr>
          <w:p w14:paraId="4DD4E3E8" w14:textId="77777777" w:rsidR="005B7E3E" w:rsidRPr="00B0658A" w:rsidRDefault="005B7E3E" w:rsidP="000A4114">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7" w:type="pct"/>
            <w:shd w:val="clear" w:color="000000" w:fill="FFFFFF"/>
            <w:vAlign w:val="center"/>
          </w:tcPr>
          <w:p w14:paraId="7B3812B8"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rPr>
              <w:t>20%</w:t>
            </w:r>
          </w:p>
        </w:tc>
        <w:tc>
          <w:tcPr>
            <w:tcW w:w="367" w:type="pct"/>
            <w:shd w:val="clear" w:color="000000" w:fill="FFFFFF"/>
            <w:vAlign w:val="center"/>
          </w:tcPr>
          <w:p w14:paraId="31331C13"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rPr>
              <w:t>30%</w:t>
            </w:r>
          </w:p>
        </w:tc>
        <w:tc>
          <w:tcPr>
            <w:tcW w:w="367" w:type="pct"/>
            <w:shd w:val="clear" w:color="000000" w:fill="FFFFFF"/>
            <w:vAlign w:val="center"/>
          </w:tcPr>
          <w:p w14:paraId="10C8C8DE"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rPr>
              <w:t>45%</w:t>
            </w:r>
          </w:p>
        </w:tc>
        <w:tc>
          <w:tcPr>
            <w:tcW w:w="379" w:type="pct"/>
            <w:shd w:val="clear" w:color="000000" w:fill="FFFFFF"/>
            <w:vAlign w:val="center"/>
          </w:tcPr>
          <w:p w14:paraId="01CE9676"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7" w:type="pct"/>
            <w:shd w:val="clear" w:color="000000" w:fill="FFFFFF"/>
            <w:vAlign w:val="center"/>
          </w:tcPr>
          <w:p w14:paraId="6D6EEDFA"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rPr>
              <w:t>70%</w:t>
            </w:r>
          </w:p>
        </w:tc>
        <w:tc>
          <w:tcPr>
            <w:tcW w:w="367" w:type="pct"/>
            <w:shd w:val="clear" w:color="000000" w:fill="FFFFFF"/>
            <w:vAlign w:val="center"/>
          </w:tcPr>
          <w:p w14:paraId="53AC8A1B"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rPr>
              <w:t>90%</w:t>
            </w:r>
          </w:p>
        </w:tc>
        <w:tc>
          <w:tcPr>
            <w:tcW w:w="364" w:type="pct"/>
            <w:shd w:val="clear" w:color="000000" w:fill="FFFFFF"/>
            <w:vAlign w:val="center"/>
          </w:tcPr>
          <w:p w14:paraId="1D3B0926"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F52FED" w:rsidRPr="00B0658A" w14:paraId="6B720564" w14:textId="77777777" w:rsidTr="00FE71B1">
        <w:trPr>
          <w:trHeight w:val="20"/>
        </w:trPr>
        <w:tc>
          <w:tcPr>
            <w:tcW w:w="342" w:type="pct"/>
            <w:shd w:val="clear" w:color="auto" w:fill="auto"/>
            <w:vAlign w:val="center"/>
          </w:tcPr>
          <w:p w14:paraId="6E2D6205" w14:textId="77777777" w:rsidR="005B7E3E" w:rsidRPr="00B0658A" w:rsidRDefault="005B7E3E" w:rsidP="00FE71B1">
            <w:pPr>
              <w:spacing w:after="0" w:line="240" w:lineRule="auto"/>
              <w:jc w:val="center"/>
              <w:rPr>
                <w:rFonts w:ascii="Times New Roman" w:hAnsi="Times New Roman"/>
                <w:sz w:val="18"/>
                <w:szCs w:val="18"/>
              </w:rPr>
            </w:pPr>
            <w:r w:rsidRPr="00B0658A">
              <w:rPr>
                <w:rFonts w:ascii="Times New Roman" w:hAnsi="Times New Roman"/>
                <w:sz w:val="18"/>
                <w:szCs w:val="18"/>
              </w:rPr>
              <w:t>2.2</w:t>
            </w:r>
          </w:p>
        </w:tc>
        <w:tc>
          <w:tcPr>
            <w:tcW w:w="1182" w:type="pct"/>
            <w:shd w:val="clear" w:color="auto" w:fill="auto"/>
            <w:vAlign w:val="center"/>
            <w:hideMark/>
          </w:tcPr>
          <w:p w14:paraId="5E1655F9" w14:textId="77777777" w:rsidR="005B7E3E" w:rsidRPr="00B0658A" w:rsidRDefault="005B7E3E" w:rsidP="000A4114">
            <w:pPr>
              <w:spacing w:after="0" w:line="240" w:lineRule="auto"/>
              <w:rPr>
                <w:rFonts w:ascii="Times New Roman" w:hAnsi="Times New Roman"/>
                <w:sz w:val="18"/>
                <w:szCs w:val="18"/>
              </w:rPr>
            </w:pPr>
            <w:r w:rsidRPr="00B0658A">
              <w:rPr>
                <w:rFonts w:ascii="Times New Roman" w:hAnsi="Times New Roman"/>
                <w:sz w:val="18"/>
                <w:szCs w:val="18"/>
              </w:rPr>
              <w:t>Системное программное обеспечение/ Программы обслуживания</w:t>
            </w:r>
          </w:p>
        </w:tc>
        <w:tc>
          <w:tcPr>
            <w:tcW w:w="898" w:type="pct"/>
            <w:shd w:val="clear" w:color="000000" w:fill="FFFFFF"/>
            <w:hideMark/>
          </w:tcPr>
          <w:p w14:paraId="19ED0A8D" w14:textId="77777777" w:rsidR="005B7E3E" w:rsidRPr="00B0658A" w:rsidRDefault="005B7E3E" w:rsidP="000A4114">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7" w:type="pct"/>
            <w:shd w:val="clear" w:color="000000" w:fill="FFFFFF"/>
            <w:vAlign w:val="center"/>
          </w:tcPr>
          <w:p w14:paraId="35BA7593"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rPr>
              <w:t>20%</w:t>
            </w:r>
          </w:p>
        </w:tc>
        <w:tc>
          <w:tcPr>
            <w:tcW w:w="367" w:type="pct"/>
            <w:shd w:val="clear" w:color="000000" w:fill="FFFFFF"/>
            <w:vAlign w:val="center"/>
          </w:tcPr>
          <w:p w14:paraId="4D3D64A3"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rPr>
              <w:t>30%</w:t>
            </w:r>
          </w:p>
        </w:tc>
        <w:tc>
          <w:tcPr>
            <w:tcW w:w="367" w:type="pct"/>
            <w:shd w:val="clear" w:color="000000" w:fill="FFFFFF"/>
            <w:vAlign w:val="center"/>
          </w:tcPr>
          <w:p w14:paraId="474AB20F"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rPr>
              <w:t>45%</w:t>
            </w:r>
          </w:p>
        </w:tc>
        <w:tc>
          <w:tcPr>
            <w:tcW w:w="379" w:type="pct"/>
            <w:shd w:val="clear" w:color="000000" w:fill="FFFFFF"/>
            <w:vAlign w:val="center"/>
          </w:tcPr>
          <w:p w14:paraId="179DB20F"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7" w:type="pct"/>
            <w:shd w:val="clear" w:color="000000" w:fill="FFFFFF"/>
            <w:vAlign w:val="center"/>
          </w:tcPr>
          <w:p w14:paraId="17C49D4D"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rPr>
              <w:t>70%</w:t>
            </w:r>
          </w:p>
        </w:tc>
        <w:tc>
          <w:tcPr>
            <w:tcW w:w="367" w:type="pct"/>
            <w:shd w:val="clear" w:color="000000" w:fill="FFFFFF"/>
            <w:vAlign w:val="center"/>
          </w:tcPr>
          <w:p w14:paraId="6CD3611F"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rPr>
              <w:t>90%</w:t>
            </w:r>
          </w:p>
        </w:tc>
        <w:tc>
          <w:tcPr>
            <w:tcW w:w="364" w:type="pct"/>
            <w:shd w:val="clear" w:color="000000" w:fill="FFFFFF"/>
            <w:vAlign w:val="center"/>
          </w:tcPr>
          <w:p w14:paraId="0441CD6A"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F52FED" w:rsidRPr="00B0658A" w14:paraId="0FE38286" w14:textId="77777777" w:rsidTr="00FE71B1">
        <w:trPr>
          <w:trHeight w:val="20"/>
        </w:trPr>
        <w:tc>
          <w:tcPr>
            <w:tcW w:w="342" w:type="pct"/>
            <w:shd w:val="clear" w:color="000000" w:fill="FFFFFF"/>
            <w:vAlign w:val="center"/>
          </w:tcPr>
          <w:p w14:paraId="1045BBC7" w14:textId="77777777" w:rsidR="005B7E3E" w:rsidRPr="00B0658A" w:rsidRDefault="005B7E3E" w:rsidP="00FE71B1">
            <w:pPr>
              <w:spacing w:after="0" w:line="240" w:lineRule="auto"/>
              <w:jc w:val="center"/>
              <w:rPr>
                <w:rFonts w:ascii="Times New Roman" w:hAnsi="Times New Roman"/>
                <w:sz w:val="18"/>
                <w:szCs w:val="18"/>
                <w:lang w:val="en-US"/>
              </w:rPr>
            </w:pPr>
            <w:r w:rsidRPr="00B0658A">
              <w:rPr>
                <w:rFonts w:ascii="Times New Roman" w:hAnsi="Times New Roman"/>
                <w:sz w:val="18"/>
                <w:szCs w:val="18"/>
                <w:lang w:val="en-US"/>
              </w:rPr>
              <w:t>2.3</w:t>
            </w:r>
          </w:p>
        </w:tc>
        <w:tc>
          <w:tcPr>
            <w:tcW w:w="1182" w:type="pct"/>
            <w:shd w:val="clear" w:color="auto" w:fill="auto"/>
            <w:vAlign w:val="center"/>
            <w:hideMark/>
          </w:tcPr>
          <w:p w14:paraId="5E416AE0" w14:textId="77777777" w:rsidR="005B7E3E" w:rsidRPr="00B0658A" w:rsidRDefault="005B7E3E" w:rsidP="000A4114">
            <w:pPr>
              <w:spacing w:after="0" w:line="240" w:lineRule="auto"/>
              <w:rPr>
                <w:rFonts w:ascii="Times New Roman" w:hAnsi="Times New Roman"/>
                <w:sz w:val="18"/>
                <w:szCs w:val="18"/>
              </w:rPr>
            </w:pPr>
            <w:r w:rsidRPr="00B0658A">
              <w:rPr>
                <w:rFonts w:ascii="Times New Roman" w:hAnsi="Times New Roman"/>
                <w:sz w:val="18"/>
                <w:szCs w:val="18"/>
              </w:rPr>
              <w:t>Средства обеспечения облачных и распределенных вычислений</w:t>
            </w:r>
          </w:p>
        </w:tc>
        <w:tc>
          <w:tcPr>
            <w:tcW w:w="898" w:type="pct"/>
            <w:shd w:val="clear" w:color="000000" w:fill="FFFFFF"/>
            <w:hideMark/>
          </w:tcPr>
          <w:p w14:paraId="0EAE0C50" w14:textId="77777777" w:rsidR="005B7E3E" w:rsidRPr="00B0658A" w:rsidRDefault="005B7E3E" w:rsidP="000A4114">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7" w:type="pct"/>
            <w:shd w:val="clear" w:color="000000" w:fill="FFFFFF"/>
            <w:vAlign w:val="center"/>
          </w:tcPr>
          <w:p w14:paraId="461B12FB"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rPr>
              <w:t>20%</w:t>
            </w:r>
          </w:p>
        </w:tc>
        <w:tc>
          <w:tcPr>
            <w:tcW w:w="367" w:type="pct"/>
            <w:shd w:val="clear" w:color="000000" w:fill="FFFFFF"/>
            <w:vAlign w:val="center"/>
          </w:tcPr>
          <w:p w14:paraId="17B410AF"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rPr>
              <w:t>30%</w:t>
            </w:r>
          </w:p>
        </w:tc>
        <w:tc>
          <w:tcPr>
            <w:tcW w:w="367" w:type="pct"/>
            <w:shd w:val="clear" w:color="000000" w:fill="FFFFFF"/>
            <w:vAlign w:val="center"/>
          </w:tcPr>
          <w:p w14:paraId="71F0D9D2"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rPr>
              <w:t>45%</w:t>
            </w:r>
          </w:p>
        </w:tc>
        <w:tc>
          <w:tcPr>
            <w:tcW w:w="379" w:type="pct"/>
            <w:shd w:val="clear" w:color="000000" w:fill="FFFFFF"/>
            <w:vAlign w:val="center"/>
          </w:tcPr>
          <w:p w14:paraId="3FE13BBC"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7" w:type="pct"/>
            <w:shd w:val="clear" w:color="000000" w:fill="FFFFFF"/>
            <w:vAlign w:val="center"/>
          </w:tcPr>
          <w:p w14:paraId="3EBD6B3F"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rPr>
              <w:t>70%</w:t>
            </w:r>
          </w:p>
        </w:tc>
        <w:tc>
          <w:tcPr>
            <w:tcW w:w="367" w:type="pct"/>
            <w:shd w:val="clear" w:color="000000" w:fill="FFFFFF"/>
            <w:vAlign w:val="center"/>
          </w:tcPr>
          <w:p w14:paraId="03C82276"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rPr>
              <w:t>90%</w:t>
            </w:r>
          </w:p>
        </w:tc>
        <w:tc>
          <w:tcPr>
            <w:tcW w:w="364" w:type="pct"/>
            <w:shd w:val="clear" w:color="000000" w:fill="FFFFFF"/>
            <w:vAlign w:val="center"/>
          </w:tcPr>
          <w:p w14:paraId="2FDEC2CA"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F52FED" w:rsidRPr="00B0658A" w14:paraId="1A8D87C5" w14:textId="77777777" w:rsidTr="00FE71B1">
        <w:trPr>
          <w:trHeight w:val="20"/>
        </w:trPr>
        <w:tc>
          <w:tcPr>
            <w:tcW w:w="342" w:type="pct"/>
            <w:shd w:val="clear" w:color="000000" w:fill="FFFFFF"/>
            <w:vAlign w:val="center"/>
          </w:tcPr>
          <w:p w14:paraId="2612F891" w14:textId="77777777" w:rsidR="005B7E3E" w:rsidRPr="00B0658A" w:rsidRDefault="005B7E3E" w:rsidP="00FE71B1">
            <w:pPr>
              <w:spacing w:after="0" w:line="240" w:lineRule="auto"/>
              <w:jc w:val="center"/>
              <w:rPr>
                <w:rFonts w:ascii="Times New Roman" w:hAnsi="Times New Roman"/>
                <w:sz w:val="18"/>
                <w:szCs w:val="18"/>
              </w:rPr>
            </w:pPr>
            <w:r w:rsidRPr="00B0658A">
              <w:rPr>
                <w:rFonts w:ascii="Times New Roman" w:hAnsi="Times New Roman"/>
                <w:sz w:val="18"/>
                <w:szCs w:val="18"/>
              </w:rPr>
              <w:t>2.4</w:t>
            </w:r>
          </w:p>
        </w:tc>
        <w:tc>
          <w:tcPr>
            <w:tcW w:w="1182" w:type="pct"/>
            <w:shd w:val="clear" w:color="auto" w:fill="auto"/>
            <w:vAlign w:val="center"/>
            <w:hideMark/>
          </w:tcPr>
          <w:p w14:paraId="40D69AC2" w14:textId="77777777" w:rsidR="005B7E3E" w:rsidRPr="00B0658A" w:rsidRDefault="005B7E3E" w:rsidP="000A4114">
            <w:pPr>
              <w:spacing w:after="0" w:line="240" w:lineRule="auto"/>
              <w:rPr>
                <w:rFonts w:ascii="Times New Roman" w:hAnsi="Times New Roman"/>
                <w:sz w:val="18"/>
                <w:szCs w:val="18"/>
              </w:rPr>
            </w:pPr>
            <w:r w:rsidRPr="00B0658A">
              <w:rPr>
                <w:rFonts w:ascii="Times New Roman" w:hAnsi="Times New Roman"/>
                <w:sz w:val="18"/>
                <w:szCs w:val="18"/>
              </w:rPr>
              <w:t>Системное программное обеспечение / Средства виртуализации</w:t>
            </w:r>
          </w:p>
        </w:tc>
        <w:tc>
          <w:tcPr>
            <w:tcW w:w="898" w:type="pct"/>
            <w:shd w:val="clear" w:color="000000" w:fill="FFFFFF"/>
            <w:hideMark/>
          </w:tcPr>
          <w:p w14:paraId="03FBD447" w14:textId="77777777" w:rsidR="005B7E3E" w:rsidRPr="00B0658A" w:rsidRDefault="005B7E3E" w:rsidP="000A4114">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7" w:type="pct"/>
            <w:shd w:val="clear" w:color="000000" w:fill="FFFFFF"/>
            <w:vAlign w:val="center"/>
          </w:tcPr>
          <w:p w14:paraId="6F0B6C6D"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rPr>
              <w:t>30%</w:t>
            </w:r>
          </w:p>
        </w:tc>
        <w:tc>
          <w:tcPr>
            <w:tcW w:w="367" w:type="pct"/>
            <w:shd w:val="clear" w:color="000000" w:fill="FFFFFF"/>
            <w:vAlign w:val="center"/>
          </w:tcPr>
          <w:p w14:paraId="244B7A20"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rPr>
              <w:t>40%</w:t>
            </w:r>
          </w:p>
        </w:tc>
        <w:tc>
          <w:tcPr>
            <w:tcW w:w="367" w:type="pct"/>
            <w:shd w:val="clear" w:color="000000" w:fill="FFFFFF"/>
            <w:vAlign w:val="center"/>
          </w:tcPr>
          <w:p w14:paraId="7E98E015"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rPr>
              <w:t>55%</w:t>
            </w:r>
          </w:p>
        </w:tc>
        <w:tc>
          <w:tcPr>
            <w:tcW w:w="379" w:type="pct"/>
            <w:shd w:val="clear" w:color="000000" w:fill="FFFFFF"/>
            <w:vAlign w:val="center"/>
          </w:tcPr>
          <w:p w14:paraId="49D98A40"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7" w:type="pct"/>
            <w:shd w:val="clear" w:color="000000" w:fill="FFFFFF"/>
            <w:vAlign w:val="center"/>
          </w:tcPr>
          <w:p w14:paraId="3999A692"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rPr>
              <w:t>70%</w:t>
            </w:r>
          </w:p>
        </w:tc>
        <w:tc>
          <w:tcPr>
            <w:tcW w:w="367" w:type="pct"/>
            <w:shd w:val="clear" w:color="000000" w:fill="FFFFFF"/>
            <w:vAlign w:val="center"/>
          </w:tcPr>
          <w:p w14:paraId="56980967"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rPr>
              <w:t>85%</w:t>
            </w:r>
          </w:p>
        </w:tc>
        <w:tc>
          <w:tcPr>
            <w:tcW w:w="364" w:type="pct"/>
            <w:shd w:val="clear" w:color="000000" w:fill="FFFFFF"/>
            <w:vAlign w:val="center"/>
          </w:tcPr>
          <w:p w14:paraId="21AD9082"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F52FED" w:rsidRPr="00B0658A" w14:paraId="7CB231A9" w14:textId="77777777" w:rsidTr="00FE71B1">
        <w:trPr>
          <w:trHeight w:val="20"/>
        </w:trPr>
        <w:tc>
          <w:tcPr>
            <w:tcW w:w="342" w:type="pct"/>
            <w:shd w:val="clear" w:color="000000" w:fill="FFFFFF"/>
            <w:vAlign w:val="center"/>
          </w:tcPr>
          <w:p w14:paraId="429E616A" w14:textId="77777777" w:rsidR="005B7E3E" w:rsidRPr="00B0658A" w:rsidRDefault="005B7E3E" w:rsidP="00FE71B1">
            <w:pPr>
              <w:spacing w:after="0" w:line="240" w:lineRule="auto"/>
              <w:jc w:val="center"/>
              <w:rPr>
                <w:rFonts w:ascii="Times New Roman" w:hAnsi="Times New Roman"/>
                <w:sz w:val="18"/>
                <w:szCs w:val="18"/>
              </w:rPr>
            </w:pPr>
            <w:r w:rsidRPr="00B0658A">
              <w:rPr>
                <w:rFonts w:ascii="Times New Roman" w:hAnsi="Times New Roman"/>
                <w:sz w:val="18"/>
                <w:szCs w:val="18"/>
              </w:rPr>
              <w:t>2.5</w:t>
            </w:r>
          </w:p>
        </w:tc>
        <w:tc>
          <w:tcPr>
            <w:tcW w:w="1182" w:type="pct"/>
            <w:shd w:val="clear" w:color="auto" w:fill="auto"/>
            <w:vAlign w:val="center"/>
            <w:hideMark/>
          </w:tcPr>
          <w:p w14:paraId="510BF8F9" w14:textId="77777777" w:rsidR="005B7E3E" w:rsidRPr="00B0658A" w:rsidRDefault="005B7E3E" w:rsidP="000A4114">
            <w:pPr>
              <w:spacing w:after="0" w:line="240" w:lineRule="auto"/>
              <w:rPr>
                <w:rFonts w:ascii="Times New Roman" w:hAnsi="Times New Roman"/>
                <w:sz w:val="18"/>
                <w:szCs w:val="18"/>
              </w:rPr>
            </w:pPr>
            <w:r w:rsidRPr="00B0658A">
              <w:rPr>
                <w:rFonts w:ascii="Times New Roman" w:hAnsi="Times New Roman"/>
                <w:sz w:val="18"/>
                <w:szCs w:val="18"/>
              </w:rPr>
              <w:t>Системное программное обеспечение/ Средства хранения данных</w:t>
            </w:r>
          </w:p>
        </w:tc>
        <w:tc>
          <w:tcPr>
            <w:tcW w:w="898" w:type="pct"/>
            <w:shd w:val="clear" w:color="000000" w:fill="FFFFFF"/>
            <w:hideMark/>
          </w:tcPr>
          <w:p w14:paraId="535B3DA6" w14:textId="77777777" w:rsidR="005B7E3E" w:rsidRPr="00B0658A" w:rsidRDefault="005B7E3E" w:rsidP="000A4114">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7" w:type="pct"/>
            <w:shd w:val="clear" w:color="000000" w:fill="FFFFFF"/>
            <w:vAlign w:val="center"/>
          </w:tcPr>
          <w:p w14:paraId="6E58F74C"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rPr>
              <w:t>20%</w:t>
            </w:r>
          </w:p>
        </w:tc>
        <w:tc>
          <w:tcPr>
            <w:tcW w:w="367" w:type="pct"/>
            <w:shd w:val="clear" w:color="000000" w:fill="FFFFFF"/>
            <w:vAlign w:val="center"/>
          </w:tcPr>
          <w:p w14:paraId="66141153"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rPr>
              <w:t>30%</w:t>
            </w:r>
          </w:p>
        </w:tc>
        <w:tc>
          <w:tcPr>
            <w:tcW w:w="367" w:type="pct"/>
            <w:shd w:val="clear" w:color="000000" w:fill="FFFFFF"/>
            <w:vAlign w:val="center"/>
          </w:tcPr>
          <w:p w14:paraId="2AE97A97"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rPr>
              <w:t>45%</w:t>
            </w:r>
          </w:p>
        </w:tc>
        <w:tc>
          <w:tcPr>
            <w:tcW w:w="379" w:type="pct"/>
            <w:shd w:val="clear" w:color="000000" w:fill="FFFFFF"/>
            <w:vAlign w:val="center"/>
          </w:tcPr>
          <w:p w14:paraId="5A10B9BD"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7" w:type="pct"/>
            <w:shd w:val="clear" w:color="000000" w:fill="FFFFFF"/>
            <w:vAlign w:val="center"/>
          </w:tcPr>
          <w:p w14:paraId="4EB25B0E"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rPr>
              <w:t>70%</w:t>
            </w:r>
          </w:p>
        </w:tc>
        <w:tc>
          <w:tcPr>
            <w:tcW w:w="367" w:type="pct"/>
            <w:shd w:val="clear" w:color="000000" w:fill="FFFFFF"/>
            <w:vAlign w:val="center"/>
          </w:tcPr>
          <w:p w14:paraId="2B5C084C"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rPr>
              <w:t>90%</w:t>
            </w:r>
          </w:p>
        </w:tc>
        <w:tc>
          <w:tcPr>
            <w:tcW w:w="364" w:type="pct"/>
            <w:shd w:val="clear" w:color="000000" w:fill="FFFFFF"/>
            <w:vAlign w:val="center"/>
          </w:tcPr>
          <w:p w14:paraId="04B707C8"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F52FED" w:rsidRPr="00B0658A" w14:paraId="1479F779" w14:textId="77777777" w:rsidTr="00FE71B1">
        <w:trPr>
          <w:trHeight w:val="20"/>
        </w:trPr>
        <w:tc>
          <w:tcPr>
            <w:tcW w:w="342" w:type="pct"/>
            <w:shd w:val="clear" w:color="000000" w:fill="FFFFFF"/>
            <w:vAlign w:val="center"/>
          </w:tcPr>
          <w:p w14:paraId="5B280E76" w14:textId="77777777" w:rsidR="005B7E3E" w:rsidRPr="00B0658A" w:rsidRDefault="005B7E3E" w:rsidP="00FE71B1">
            <w:pPr>
              <w:spacing w:after="0" w:line="240" w:lineRule="auto"/>
              <w:jc w:val="center"/>
              <w:rPr>
                <w:rFonts w:ascii="Times New Roman" w:hAnsi="Times New Roman"/>
                <w:sz w:val="18"/>
                <w:szCs w:val="18"/>
              </w:rPr>
            </w:pPr>
            <w:r w:rsidRPr="00B0658A">
              <w:rPr>
                <w:rFonts w:ascii="Times New Roman" w:hAnsi="Times New Roman"/>
                <w:sz w:val="18"/>
                <w:szCs w:val="18"/>
              </w:rPr>
              <w:t>2.6</w:t>
            </w:r>
          </w:p>
        </w:tc>
        <w:tc>
          <w:tcPr>
            <w:tcW w:w="1182" w:type="pct"/>
            <w:shd w:val="clear" w:color="auto" w:fill="auto"/>
            <w:vAlign w:val="center"/>
            <w:hideMark/>
          </w:tcPr>
          <w:p w14:paraId="2ABFBEA1" w14:textId="77777777" w:rsidR="005B7E3E" w:rsidRPr="00B0658A" w:rsidRDefault="005B7E3E" w:rsidP="000A4114">
            <w:pPr>
              <w:spacing w:after="0" w:line="240" w:lineRule="auto"/>
              <w:rPr>
                <w:rFonts w:ascii="Times New Roman" w:hAnsi="Times New Roman"/>
                <w:sz w:val="18"/>
                <w:szCs w:val="18"/>
              </w:rPr>
            </w:pPr>
            <w:r w:rsidRPr="00B0658A">
              <w:rPr>
                <w:rFonts w:ascii="Times New Roman" w:hAnsi="Times New Roman"/>
                <w:sz w:val="18"/>
                <w:szCs w:val="18"/>
              </w:rPr>
              <w:t>Системное программное обеспечение / Серверное и связующее программное обеспечение</w:t>
            </w:r>
          </w:p>
        </w:tc>
        <w:tc>
          <w:tcPr>
            <w:tcW w:w="898" w:type="pct"/>
            <w:shd w:val="clear" w:color="000000" w:fill="FFFFFF"/>
            <w:hideMark/>
          </w:tcPr>
          <w:p w14:paraId="1900E056" w14:textId="77777777" w:rsidR="005B7E3E" w:rsidRPr="00B0658A" w:rsidRDefault="005B7E3E" w:rsidP="000A4114">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7" w:type="pct"/>
            <w:shd w:val="clear" w:color="000000" w:fill="FFFFFF"/>
            <w:vAlign w:val="center"/>
          </w:tcPr>
          <w:p w14:paraId="51AAFF69"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rPr>
              <w:t>20%</w:t>
            </w:r>
          </w:p>
        </w:tc>
        <w:tc>
          <w:tcPr>
            <w:tcW w:w="367" w:type="pct"/>
            <w:shd w:val="clear" w:color="000000" w:fill="FFFFFF"/>
            <w:vAlign w:val="center"/>
          </w:tcPr>
          <w:p w14:paraId="28153384"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rPr>
              <w:t>30%</w:t>
            </w:r>
          </w:p>
        </w:tc>
        <w:tc>
          <w:tcPr>
            <w:tcW w:w="367" w:type="pct"/>
            <w:shd w:val="clear" w:color="000000" w:fill="FFFFFF"/>
            <w:vAlign w:val="center"/>
          </w:tcPr>
          <w:p w14:paraId="506616A9"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rPr>
              <w:t>45%</w:t>
            </w:r>
          </w:p>
        </w:tc>
        <w:tc>
          <w:tcPr>
            <w:tcW w:w="379" w:type="pct"/>
            <w:shd w:val="clear" w:color="000000" w:fill="FFFFFF"/>
            <w:vAlign w:val="center"/>
          </w:tcPr>
          <w:p w14:paraId="778024B6"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7" w:type="pct"/>
            <w:shd w:val="clear" w:color="000000" w:fill="FFFFFF"/>
            <w:vAlign w:val="center"/>
          </w:tcPr>
          <w:p w14:paraId="0A0D59B9"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rPr>
              <w:t>70%</w:t>
            </w:r>
          </w:p>
        </w:tc>
        <w:tc>
          <w:tcPr>
            <w:tcW w:w="367" w:type="pct"/>
            <w:shd w:val="clear" w:color="000000" w:fill="FFFFFF"/>
            <w:vAlign w:val="center"/>
          </w:tcPr>
          <w:p w14:paraId="3D37CE92"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rPr>
              <w:t>90%</w:t>
            </w:r>
          </w:p>
        </w:tc>
        <w:tc>
          <w:tcPr>
            <w:tcW w:w="364" w:type="pct"/>
            <w:shd w:val="clear" w:color="000000" w:fill="FFFFFF"/>
            <w:vAlign w:val="center"/>
          </w:tcPr>
          <w:p w14:paraId="20FC9201"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F52FED" w:rsidRPr="00B0658A" w14:paraId="19245966" w14:textId="77777777" w:rsidTr="00FE71B1">
        <w:trPr>
          <w:trHeight w:val="20"/>
        </w:trPr>
        <w:tc>
          <w:tcPr>
            <w:tcW w:w="342" w:type="pct"/>
            <w:shd w:val="clear" w:color="000000" w:fill="FFFFFF"/>
            <w:vAlign w:val="center"/>
          </w:tcPr>
          <w:p w14:paraId="26179EE5" w14:textId="77777777" w:rsidR="005B7E3E" w:rsidRPr="00B0658A" w:rsidRDefault="005B7E3E" w:rsidP="00FE71B1">
            <w:pPr>
              <w:spacing w:after="0" w:line="240" w:lineRule="auto"/>
              <w:jc w:val="center"/>
              <w:rPr>
                <w:rFonts w:ascii="Times New Roman" w:hAnsi="Times New Roman"/>
                <w:sz w:val="18"/>
                <w:szCs w:val="18"/>
              </w:rPr>
            </w:pPr>
            <w:r w:rsidRPr="00B0658A">
              <w:rPr>
                <w:rFonts w:ascii="Times New Roman" w:hAnsi="Times New Roman"/>
                <w:sz w:val="18"/>
                <w:szCs w:val="18"/>
              </w:rPr>
              <w:t>2.7</w:t>
            </w:r>
          </w:p>
        </w:tc>
        <w:tc>
          <w:tcPr>
            <w:tcW w:w="1182" w:type="pct"/>
            <w:shd w:val="clear" w:color="auto" w:fill="auto"/>
            <w:vAlign w:val="center"/>
            <w:hideMark/>
          </w:tcPr>
          <w:p w14:paraId="73378B09" w14:textId="77777777" w:rsidR="005B7E3E" w:rsidRPr="00B0658A" w:rsidRDefault="005B7E3E" w:rsidP="000A4114">
            <w:pPr>
              <w:spacing w:after="0" w:line="240" w:lineRule="auto"/>
              <w:rPr>
                <w:rFonts w:ascii="Times New Roman" w:hAnsi="Times New Roman"/>
                <w:sz w:val="18"/>
                <w:szCs w:val="18"/>
              </w:rPr>
            </w:pPr>
            <w:r w:rsidRPr="00B0658A">
              <w:rPr>
                <w:rFonts w:ascii="Times New Roman" w:hAnsi="Times New Roman"/>
                <w:sz w:val="18"/>
                <w:szCs w:val="18"/>
              </w:rPr>
              <w:t>Системное программное обеспечение/ Средства управления базами данных</w:t>
            </w:r>
          </w:p>
        </w:tc>
        <w:tc>
          <w:tcPr>
            <w:tcW w:w="898" w:type="pct"/>
            <w:shd w:val="clear" w:color="000000" w:fill="FFFFFF"/>
            <w:hideMark/>
          </w:tcPr>
          <w:p w14:paraId="34DDBBED" w14:textId="77777777" w:rsidR="005B7E3E" w:rsidRPr="00B0658A" w:rsidRDefault="005B7E3E" w:rsidP="000A4114">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7" w:type="pct"/>
            <w:shd w:val="clear" w:color="auto" w:fill="auto"/>
            <w:vAlign w:val="center"/>
          </w:tcPr>
          <w:p w14:paraId="397F3D0D"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rPr>
              <w:t>25%</w:t>
            </w:r>
          </w:p>
        </w:tc>
        <w:tc>
          <w:tcPr>
            <w:tcW w:w="367" w:type="pct"/>
            <w:shd w:val="clear" w:color="auto" w:fill="auto"/>
            <w:vAlign w:val="center"/>
          </w:tcPr>
          <w:p w14:paraId="61560046"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rPr>
              <w:t>40%</w:t>
            </w:r>
          </w:p>
        </w:tc>
        <w:tc>
          <w:tcPr>
            <w:tcW w:w="367" w:type="pct"/>
            <w:shd w:val="clear" w:color="auto" w:fill="auto"/>
            <w:vAlign w:val="center"/>
          </w:tcPr>
          <w:p w14:paraId="3B55747E"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rPr>
              <w:t>60%</w:t>
            </w:r>
          </w:p>
        </w:tc>
        <w:tc>
          <w:tcPr>
            <w:tcW w:w="379" w:type="pct"/>
            <w:vAlign w:val="center"/>
          </w:tcPr>
          <w:p w14:paraId="5862D14D"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7" w:type="pct"/>
            <w:shd w:val="clear" w:color="auto" w:fill="auto"/>
            <w:vAlign w:val="center"/>
          </w:tcPr>
          <w:p w14:paraId="62045468"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rPr>
              <w:t>75%</w:t>
            </w:r>
          </w:p>
        </w:tc>
        <w:tc>
          <w:tcPr>
            <w:tcW w:w="367" w:type="pct"/>
            <w:shd w:val="clear" w:color="auto" w:fill="auto"/>
            <w:vAlign w:val="center"/>
          </w:tcPr>
          <w:p w14:paraId="5B270706"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rPr>
              <w:t>85%</w:t>
            </w:r>
          </w:p>
        </w:tc>
        <w:tc>
          <w:tcPr>
            <w:tcW w:w="364" w:type="pct"/>
            <w:shd w:val="clear" w:color="auto" w:fill="auto"/>
            <w:vAlign w:val="center"/>
          </w:tcPr>
          <w:p w14:paraId="03456AF1"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F52FED" w:rsidRPr="00B0658A" w14:paraId="6B712A7E" w14:textId="77777777" w:rsidTr="00FE71B1">
        <w:trPr>
          <w:trHeight w:val="20"/>
        </w:trPr>
        <w:tc>
          <w:tcPr>
            <w:tcW w:w="342" w:type="pct"/>
            <w:shd w:val="clear" w:color="000000" w:fill="FFFFFF"/>
            <w:vAlign w:val="center"/>
          </w:tcPr>
          <w:p w14:paraId="22865A3A" w14:textId="77777777" w:rsidR="005B7E3E" w:rsidRPr="00B0658A" w:rsidRDefault="005B7E3E" w:rsidP="00FE71B1">
            <w:pPr>
              <w:spacing w:after="0" w:line="240" w:lineRule="auto"/>
              <w:jc w:val="center"/>
              <w:rPr>
                <w:rFonts w:ascii="Times New Roman" w:hAnsi="Times New Roman"/>
                <w:sz w:val="18"/>
                <w:szCs w:val="18"/>
              </w:rPr>
            </w:pPr>
            <w:r w:rsidRPr="00B0658A">
              <w:rPr>
                <w:rFonts w:ascii="Times New Roman" w:hAnsi="Times New Roman"/>
                <w:sz w:val="18"/>
                <w:szCs w:val="18"/>
              </w:rPr>
              <w:t>2.8</w:t>
            </w:r>
          </w:p>
        </w:tc>
        <w:tc>
          <w:tcPr>
            <w:tcW w:w="1182" w:type="pct"/>
            <w:shd w:val="clear" w:color="auto" w:fill="auto"/>
            <w:vAlign w:val="center"/>
            <w:hideMark/>
          </w:tcPr>
          <w:p w14:paraId="17402815" w14:textId="77777777" w:rsidR="005B7E3E" w:rsidRPr="00B0658A" w:rsidRDefault="005B7E3E" w:rsidP="000A4114">
            <w:pPr>
              <w:spacing w:after="0" w:line="240" w:lineRule="auto"/>
              <w:rPr>
                <w:rFonts w:ascii="Times New Roman" w:hAnsi="Times New Roman"/>
                <w:sz w:val="18"/>
                <w:szCs w:val="18"/>
              </w:rPr>
            </w:pPr>
            <w:r w:rsidRPr="00B0658A">
              <w:rPr>
                <w:rFonts w:ascii="Times New Roman" w:hAnsi="Times New Roman"/>
                <w:sz w:val="18"/>
                <w:szCs w:val="18"/>
              </w:rPr>
              <w:t>Системное программное обеспечение/ Средства мониторинга и управления</w:t>
            </w:r>
          </w:p>
        </w:tc>
        <w:tc>
          <w:tcPr>
            <w:tcW w:w="898" w:type="pct"/>
            <w:shd w:val="clear" w:color="000000" w:fill="FFFFFF"/>
            <w:hideMark/>
          </w:tcPr>
          <w:p w14:paraId="134E6C46" w14:textId="77777777" w:rsidR="005B7E3E" w:rsidRPr="00B0658A" w:rsidRDefault="005B7E3E" w:rsidP="000A4114">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7" w:type="pct"/>
            <w:shd w:val="clear" w:color="auto" w:fill="auto"/>
            <w:vAlign w:val="center"/>
          </w:tcPr>
          <w:p w14:paraId="429C6736"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rPr>
              <w:t>20%</w:t>
            </w:r>
          </w:p>
        </w:tc>
        <w:tc>
          <w:tcPr>
            <w:tcW w:w="367" w:type="pct"/>
            <w:shd w:val="clear" w:color="auto" w:fill="auto"/>
            <w:vAlign w:val="center"/>
          </w:tcPr>
          <w:p w14:paraId="05305BC9"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rPr>
              <w:t>30%</w:t>
            </w:r>
          </w:p>
        </w:tc>
        <w:tc>
          <w:tcPr>
            <w:tcW w:w="367" w:type="pct"/>
            <w:shd w:val="clear" w:color="auto" w:fill="auto"/>
            <w:vAlign w:val="center"/>
          </w:tcPr>
          <w:p w14:paraId="2B3DE757"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rPr>
              <w:t>50%</w:t>
            </w:r>
          </w:p>
        </w:tc>
        <w:tc>
          <w:tcPr>
            <w:tcW w:w="379" w:type="pct"/>
            <w:vAlign w:val="center"/>
          </w:tcPr>
          <w:p w14:paraId="00E0CCBA"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7" w:type="pct"/>
            <w:shd w:val="clear" w:color="auto" w:fill="auto"/>
            <w:vAlign w:val="center"/>
          </w:tcPr>
          <w:p w14:paraId="4B1AA00F"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rPr>
              <w:t>70%</w:t>
            </w:r>
          </w:p>
        </w:tc>
        <w:tc>
          <w:tcPr>
            <w:tcW w:w="367" w:type="pct"/>
            <w:shd w:val="clear" w:color="auto" w:fill="auto"/>
            <w:vAlign w:val="center"/>
          </w:tcPr>
          <w:p w14:paraId="577B4AE5"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rPr>
              <w:t>90%</w:t>
            </w:r>
          </w:p>
        </w:tc>
        <w:tc>
          <w:tcPr>
            <w:tcW w:w="364" w:type="pct"/>
            <w:shd w:val="clear" w:color="auto" w:fill="auto"/>
            <w:vAlign w:val="center"/>
          </w:tcPr>
          <w:p w14:paraId="2FF52AA1"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F52FED" w:rsidRPr="00B0658A" w14:paraId="5E07BFCC" w14:textId="77777777" w:rsidTr="00FE71B1">
        <w:trPr>
          <w:trHeight w:val="20"/>
        </w:trPr>
        <w:tc>
          <w:tcPr>
            <w:tcW w:w="342" w:type="pct"/>
            <w:shd w:val="clear" w:color="auto" w:fill="auto"/>
            <w:vAlign w:val="center"/>
          </w:tcPr>
          <w:p w14:paraId="6F7812F7" w14:textId="77777777" w:rsidR="005B7E3E" w:rsidRPr="00B0658A" w:rsidRDefault="005B7E3E" w:rsidP="00FE71B1">
            <w:pPr>
              <w:spacing w:after="0" w:line="240" w:lineRule="auto"/>
              <w:jc w:val="center"/>
              <w:rPr>
                <w:rFonts w:ascii="Times New Roman" w:hAnsi="Times New Roman"/>
                <w:sz w:val="18"/>
                <w:szCs w:val="18"/>
              </w:rPr>
            </w:pPr>
            <w:r w:rsidRPr="00B0658A">
              <w:rPr>
                <w:rFonts w:ascii="Times New Roman" w:hAnsi="Times New Roman"/>
                <w:sz w:val="18"/>
                <w:szCs w:val="18"/>
              </w:rPr>
              <w:t>2.9</w:t>
            </w:r>
          </w:p>
        </w:tc>
        <w:tc>
          <w:tcPr>
            <w:tcW w:w="1182" w:type="pct"/>
            <w:shd w:val="clear" w:color="auto" w:fill="auto"/>
            <w:vAlign w:val="center"/>
            <w:hideMark/>
          </w:tcPr>
          <w:p w14:paraId="6C7C7CD9" w14:textId="77777777" w:rsidR="005B7E3E" w:rsidRPr="00B0658A" w:rsidRDefault="005B7E3E" w:rsidP="000A4114">
            <w:pPr>
              <w:spacing w:after="0" w:line="240" w:lineRule="auto"/>
              <w:rPr>
                <w:rFonts w:ascii="Times New Roman" w:hAnsi="Times New Roman"/>
                <w:sz w:val="18"/>
                <w:szCs w:val="18"/>
              </w:rPr>
            </w:pPr>
            <w:r w:rsidRPr="00B0658A">
              <w:rPr>
                <w:rFonts w:ascii="Times New Roman" w:hAnsi="Times New Roman"/>
                <w:sz w:val="18"/>
                <w:szCs w:val="18"/>
              </w:rPr>
              <w:t>Системное программное обеспечение/ Операционные системы общего назначения</w:t>
            </w:r>
          </w:p>
        </w:tc>
        <w:tc>
          <w:tcPr>
            <w:tcW w:w="898" w:type="pct"/>
            <w:shd w:val="clear" w:color="000000" w:fill="FFFFFF"/>
            <w:hideMark/>
          </w:tcPr>
          <w:p w14:paraId="7ECE790E" w14:textId="77777777" w:rsidR="005B7E3E" w:rsidRPr="00B0658A" w:rsidRDefault="005B7E3E" w:rsidP="000A4114">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7" w:type="pct"/>
            <w:shd w:val="clear" w:color="auto" w:fill="auto"/>
            <w:vAlign w:val="center"/>
          </w:tcPr>
          <w:p w14:paraId="52070166"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rPr>
              <w:t>50%</w:t>
            </w:r>
            <w:r w:rsidR="00EC74A7">
              <w:rPr>
                <w:rFonts w:ascii="Times New Roman" w:hAnsi="Times New Roman"/>
                <w:sz w:val="18"/>
                <w:szCs w:val="18"/>
              </w:rPr>
              <w:t>*</w:t>
            </w:r>
          </w:p>
        </w:tc>
        <w:tc>
          <w:tcPr>
            <w:tcW w:w="367" w:type="pct"/>
            <w:shd w:val="clear" w:color="auto" w:fill="auto"/>
            <w:vAlign w:val="center"/>
          </w:tcPr>
          <w:p w14:paraId="71CD94DF" w14:textId="77777777" w:rsidR="005B7E3E" w:rsidRPr="00EC74A7"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rPr>
              <w:t>65</w:t>
            </w:r>
            <w:r w:rsidRPr="00B0658A">
              <w:rPr>
                <w:rFonts w:ascii="Times New Roman" w:hAnsi="Times New Roman"/>
                <w:sz w:val="18"/>
                <w:szCs w:val="18"/>
                <w:lang w:val="en-US"/>
              </w:rPr>
              <w:t>%</w:t>
            </w:r>
            <w:r w:rsidR="00EC74A7">
              <w:rPr>
                <w:rFonts w:ascii="Times New Roman" w:hAnsi="Times New Roman"/>
                <w:sz w:val="18"/>
                <w:szCs w:val="18"/>
              </w:rPr>
              <w:t>*</w:t>
            </w:r>
          </w:p>
        </w:tc>
        <w:tc>
          <w:tcPr>
            <w:tcW w:w="367" w:type="pct"/>
            <w:shd w:val="clear" w:color="auto" w:fill="auto"/>
            <w:vAlign w:val="center"/>
          </w:tcPr>
          <w:p w14:paraId="76D521A6" w14:textId="77777777" w:rsidR="005B7E3E" w:rsidRPr="00EC74A7"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rPr>
              <w:t>80</w:t>
            </w:r>
            <w:r w:rsidRPr="00B0658A">
              <w:rPr>
                <w:rFonts w:ascii="Times New Roman" w:hAnsi="Times New Roman"/>
                <w:sz w:val="18"/>
                <w:szCs w:val="18"/>
                <w:lang w:val="en-US"/>
              </w:rPr>
              <w:t>%</w:t>
            </w:r>
            <w:r w:rsidR="00EC74A7">
              <w:rPr>
                <w:rFonts w:ascii="Times New Roman" w:hAnsi="Times New Roman"/>
                <w:sz w:val="18"/>
                <w:szCs w:val="18"/>
              </w:rPr>
              <w:t>*</w:t>
            </w:r>
          </w:p>
        </w:tc>
        <w:tc>
          <w:tcPr>
            <w:tcW w:w="379" w:type="pct"/>
            <w:vAlign w:val="center"/>
          </w:tcPr>
          <w:p w14:paraId="6978DA35"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7" w:type="pct"/>
            <w:shd w:val="clear" w:color="auto" w:fill="auto"/>
            <w:vAlign w:val="center"/>
          </w:tcPr>
          <w:p w14:paraId="5C581BAA" w14:textId="77777777" w:rsidR="005B7E3E" w:rsidRPr="00B0658A" w:rsidRDefault="00EC74A7" w:rsidP="000A4114">
            <w:pPr>
              <w:spacing w:after="0" w:line="240" w:lineRule="auto"/>
              <w:jc w:val="center"/>
              <w:rPr>
                <w:rFonts w:ascii="Times New Roman" w:hAnsi="Times New Roman"/>
                <w:sz w:val="18"/>
                <w:szCs w:val="18"/>
              </w:rPr>
            </w:pPr>
            <w:r>
              <w:rPr>
                <w:rFonts w:ascii="Times New Roman" w:hAnsi="Times New Roman"/>
                <w:sz w:val="18"/>
                <w:szCs w:val="18"/>
              </w:rPr>
              <w:t>100</w:t>
            </w:r>
            <w:r w:rsidR="005B7E3E" w:rsidRPr="00B0658A">
              <w:rPr>
                <w:rFonts w:ascii="Times New Roman" w:hAnsi="Times New Roman"/>
                <w:sz w:val="18"/>
                <w:szCs w:val="18"/>
                <w:lang w:val="en-US"/>
              </w:rPr>
              <w:t>%</w:t>
            </w:r>
          </w:p>
        </w:tc>
        <w:tc>
          <w:tcPr>
            <w:tcW w:w="367" w:type="pct"/>
            <w:shd w:val="clear" w:color="auto" w:fill="auto"/>
            <w:vAlign w:val="center"/>
          </w:tcPr>
          <w:p w14:paraId="3B2A1EA0"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rPr>
              <w:t>100</w:t>
            </w:r>
            <w:r w:rsidRPr="00B0658A">
              <w:rPr>
                <w:rFonts w:ascii="Times New Roman" w:hAnsi="Times New Roman"/>
                <w:sz w:val="18"/>
                <w:szCs w:val="18"/>
                <w:lang w:val="en-US"/>
              </w:rPr>
              <w:t>%</w:t>
            </w:r>
          </w:p>
        </w:tc>
        <w:tc>
          <w:tcPr>
            <w:tcW w:w="364" w:type="pct"/>
            <w:shd w:val="clear" w:color="auto" w:fill="auto"/>
            <w:vAlign w:val="center"/>
          </w:tcPr>
          <w:p w14:paraId="59E5C01B"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rPr>
              <w:t>100</w:t>
            </w:r>
            <w:r w:rsidRPr="00B0658A">
              <w:rPr>
                <w:rFonts w:ascii="Times New Roman" w:hAnsi="Times New Roman"/>
                <w:sz w:val="18"/>
                <w:szCs w:val="18"/>
                <w:lang w:val="en-US"/>
              </w:rPr>
              <w:t>%</w:t>
            </w:r>
          </w:p>
        </w:tc>
      </w:tr>
      <w:tr w:rsidR="00F52FED" w:rsidRPr="00B0658A" w14:paraId="5F291F04" w14:textId="77777777" w:rsidTr="00FE71B1">
        <w:trPr>
          <w:trHeight w:val="20"/>
        </w:trPr>
        <w:tc>
          <w:tcPr>
            <w:tcW w:w="342" w:type="pct"/>
            <w:shd w:val="clear" w:color="000000" w:fill="FFFFFF"/>
            <w:vAlign w:val="center"/>
          </w:tcPr>
          <w:p w14:paraId="6A55D5D7" w14:textId="77777777" w:rsidR="005B7E3E" w:rsidRPr="00B0658A" w:rsidRDefault="005B7E3E" w:rsidP="00FE71B1">
            <w:pPr>
              <w:spacing w:after="0" w:line="240" w:lineRule="auto"/>
              <w:jc w:val="center"/>
              <w:rPr>
                <w:rFonts w:ascii="Times New Roman" w:hAnsi="Times New Roman"/>
                <w:sz w:val="18"/>
                <w:szCs w:val="18"/>
              </w:rPr>
            </w:pPr>
            <w:r w:rsidRPr="00B0658A">
              <w:rPr>
                <w:rFonts w:ascii="Times New Roman" w:hAnsi="Times New Roman"/>
                <w:sz w:val="18"/>
                <w:szCs w:val="18"/>
              </w:rPr>
              <w:t>2.10</w:t>
            </w:r>
          </w:p>
        </w:tc>
        <w:tc>
          <w:tcPr>
            <w:tcW w:w="1182" w:type="pct"/>
            <w:shd w:val="clear" w:color="auto" w:fill="auto"/>
            <w:vAlign w:val="center"/>
            <w:hideMark/>
          </w:tcPr>
          <w:p w14:paraId="79F9860C" w14:textId="77777777" w:rsidR="005B7E3E" w:rsidRPr="00B0658A" w:rsidRDefault="005B7E3E" w:rsidP="000A4114">
            <w:pPr>
              <w:spacing w:after="0" w:line="240" w:lineRule="auto"/>
              <w:rPr>
                <w:rFonts w:ascii="Times New Roman" w:hAnsi="Times New Roman"/>
                <w:sz w:val="18"/>
                <w:szCs w:val="18"/>
              </w:rPr>
            </w:pPr>
            <w:r w:rsidRPr="00B0658A">
              <w:rPr>
                <w:rFonts w:ascii="Times New Roman" w:hAnsi="Times New Roman"/>
                <w:sz w:val="18"/>
                <w:szCs w:val="18"/>
              </w:rPr>
              <w:t>Системное программное обеспечение/ Операционные системы реального времени</w:t>
            </w:r>
          </w:p>
        </w:tc>
        <w:tc>
          <w:tcPr>
            <w:tcW w:w="898" w:type="pct"/>
            <w:shd w:val="clear" w:color="000000" w:fill="FFFFFF"/>
            <w:hideMark/>
          </w:tcPr>
          <w:p w14:paraId="74987E9B" w14:textId="77777777" w:rsidR="005B7E3E" w:rsidRPr="00B0658A" w:rsidRDefault="005B7E3E" w:rsidP="000A4114">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7" w:type="pct"/>
            <w:shd w:val="clear" w:color="auto" w:fill="auto"/>
            <w:vAlign w:val="center"/>
          </w:tcPr>
          <w:p w14:paraId="193DF114"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rPr>
              <w:t>10%</w:t>
            </w:r>
          </w:p>
        </w:tc>
        <w:tc>
          <w:tcPr>
            <w:tcW w:w="367" w:type="pct"/>
            <w:shd w:val="clear" w:color="auto" w:fill="auto"/>
            <w:vAlign w:val="center"/>
          </w:tcPr>
          <w:p w14:paraId="78564DFA"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rPr>
              <w:t>20%</w:t>
            </w:r>
          </w:p>
        </w:tc>
        <w:tc>
          <w:tcPr>
            <w:tcW w:w="367" w:type="pct"/>
            <w:shd w:val="clear" w:color="auto" w:fill="auto"/>
            <w:vAlign w:val="center"/>
          </w:tcPr>
          <w:p w14:paraId="21FA5520"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rPr>
              <w:t>30%</w:t>
            </w:r>
          </w:p>
        </w:tc>
        <w:tc>
          <w:tcPr>
            <w:tcW w:w="379" w:type="pct"/>
            <w:vAlign w:val="center"/>
          </w:tcPr>
          <w:p w14:paraId="1BA07648"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7" w:type="pct"/>
            <w:shd w:val="clear" w:color="auto" w:fill="auto"/>
            <w:vAlign w:val="center"/>
          </w:tcPr>
          <w:p w14:paraId="75E670D5"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rPr>
              <w:t>50%</w:t>
            </w:r>
          </w:p>
        </w:tc>
        <w:tc>
          <w:tcPr>
            <w:tcW w:w="367" w:type="pct"/>
            <w:shd w:val="clear" w:color="auto" w:fill="auto"/>
            <w:vAlign w:val="center"/>
          </w:tcPr>
          <w:p w14:paraId="2483A2ED"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rPr>
              <w:t>70%</w:t>
            </w:r>
          </w:p>
        </w:tc>
        <w:tc>
          <w:tcPr>
            <w:tcW w:w="364" w:type="pct"/>
            <w:shd w:val="clear" w:color="auto" w:fill="auto"/>
            <w:vAlign w:val="center"/>
          </w:tcPr>
          <w:p w14:paraId="690E2833"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F52FED" w:rsidRPr="00B0658A" w14:paraId="75979A51" w14:textId="77777777" w:rsidTr="00FE71B1">
        <w:trPr>
          <w:trHeight w:val="20"/>
        </w:trPr>
        <w:tc>
          <w:tcPr>
            <w:tcW w:w="342" w:type="pct"/>
            <w:shd w:val="clear" w:color="000000" w:fill="FFFFFF"/>
            <w:vAlign w:val="center"/>
          </w:tcPr>
          <w:p w14:paraId="4797CB46" w14:textId="77777777" w:rsidR="005B7E3E" w:rsidRPr="00B0658A" w:rsidRDefault="005B7E3E" w:rsidP="00FE71B1">
            <w:pPr>
              <w:spacing w:after="0" w:line="240" w:lineRule="auto"/>
              <w:jc w:val="center"/>
              <w:rPr>
                <w:rFonts w:ascii="Times New Roman" w:hAnsi="Times New Roman"/>
                <w:sz w:val="18"/>
                <w:szCs w:val="18"/>
              </w:rPr>
            </w:pPr>
            <w:r w:rsidRPr="00B0658A">
              <w:rPr>
                <w:rFonts w:ascii="Times New Roman" w:hAnsi="Times New Roman"/>
                <w:sz w:val="18"/>
                <w:szCs w:val="18"/>
              </w:rPr>
              <w:t>2.11</w:t>
            </w:r>
          </w:p>
        </w:tc>
        <w:tc>
          <w:tcPr>
            <w:tcW w:w="1182" w:type="pct"/>
            <w:shd w:val="clear" w:color="auto" w:fill="auto"/>
            <w:vAlign w:val="center"/>
            <w:hideMark/>
          </w:tcPr>
          <w:p w14:paraId="255E08B5" w14:textId="77777777" w:rsidR="005B7E3E" w:rsidRPr="00B0658A" w:rsidRDefault="005B7E3E" w:rsidP="000A4114">
            <w:pPr>
              <w:spacing w:after="0" w:line="240" w:lineRule="auto"/>
              <w:rPr>
                <w:rFonts w:ascii="Times New Roman" w:hAnsi="Times New Roman"/>
                <w:sz w:val="18"/>
                <w:szCs w:val="18"/>
              </w:rPr>
            </w:pPr>
            <w:r w:rsidRPr="00B0658A">
              <w:rPr>
                <w:rFonts w:ascii="Times New Roman" w:hAnsi="Times New Roman"/>
                <w:sz w:val="18"/>
                <w:szCs w:val="18"/>
              </w:rPr>
              <w:t>Системное программное обеспечение/ Мобильная операционная система</w:t>
            </w:r>
          </w:p>
        </w:tc>
        <w:tc>
          <w:tcPr>
            <w:tcW w:w="898" w:type="pct"/>
            <w:shd w:val="clear" w:color="000000" w:fill="FFFFFF"/>
            <w:hideMark/>
          </w:tcPr>
          <w:p w14:paraId="2380DE26" w14:textId="77777777" w:rsidR="005B7E3E" w:rsidRPr="00B0658A" w:rsidRDefault="005B7E3E" w:rsidP="000A4114">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7" w:type="pct"/>
            <w:shd w:val="clear" w:color="auto" w:fill="auto"/>
            <w:vAlign w:val="center"/>
          </w:tcPr>
          <w:p w14:paraId="21D71BD7"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rPr>
              <w:t>10%</w:t>
            </w:r>
          </w:p>
        </w:tc>
        <w:tc>
          <w:tcPr>
            <w:tcW w:w="367" w:type="pct"/>
            <w:shd w:val="clear" w:color="auto" w:fill="auto"/>
            <w:vAlign w:val="center"/>
          </w:tcPr>
          <w:p w14:paraId="5453DE3F"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rPr>
              <w:t>25%</w:t>
            </w:r>
          </w:p>
        </w:tc>
        <w:tc>
          <w:tcPr>
            <w:tcW w:w="367" w:type="pct"/>
            <w:shd w:val="clear" w:color="auto" w:fill="auto"/>
            <w:vAlign w:val="center"/>
          </w:tcPr>
          <w:p w14:paraId="3081FA3E"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rPr>
              <w:t>50%</w:t>
            </w:r>
          </w:p>
        </w:tc>
        <w:tc>
          <w:tcPr>
            <w:tcW w:w="379" w:type="pct"/>
            <w:vAlign w:val="center"/>
          </w:tcPr>
          <w:p w14:paraId="0569F0D2"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7" w:type="pct"/>
            <w:shd w:val="clear" w:color="auto" w:fill="auto"/>
            <w:vAlign w:val="center"/>
          </w:tcPr>
          <w:p w14:paraId="4C486907"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rPr>
              <w:t>70%</w:t>
            </w:r>
          </w:p>
        </w:tc>
        <w:tc>
          <w:tcPr>
            <w:tcW w:w="367" w:type="pct"/>
            <w:shd w:val="clear" w:color="auto" w:fill="auto"/>
            <w:vAlign w:val="center"/>
          </w:tcPr>
          <w:p w14:paraId="10F208FD"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rPr>
              <w:t>90%</w:t>
            </w:r>
          </w:p>
        </w:tc>
        <w:tc>
          <w:tcPr>
            <w:tcW w:w="364" w:type="pct"/>
            <w:shd w:val="clear" w:color="auto" w:fill="auto"/>
            <w:vAlign w:val="center"/>
          </w:tcPr>
          <w:p w14:paraId="304F846A"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F52FED" w:rsidRPr="00B0658A" w14:paraId="39892F2D" w14:textId="77777777" w:rsidTr="00FE71B1">
        <w:trPr>
          <w:trHeight w:val="20"/>
        </w:trPr>
        <w:tc>
          <w:tcPr>
            <w:tcW w:w="342" w:type="pct"/>
            <w:shd w:val="clear" w:color="000000" w:fill="FFFFFF"/>
            <w:vAlign w:val="center"/>
          </w:tcPr>
          <w:p w14:paraId="5407FE06" w14:textId="77777777" w:rsidR="005B7E3E" w:rsidRPr="00B0658A" w:rsidRDefault="005B7E3E" w:rsidP="00FE71B1">
            <w:pPr>
              <w:spacing w:after="0" w:line="240" w:lineRule="auto"/>
              <w:jc w:val="center"/>
              <w:rPr>
                <w:rFonts w:ascii="Times New Roman" w:hAnsi="Times New Roman"/>
                <w:sz w:val="18"/>
                <w:szCs w:val="18"/>
              </w:rPr>
            </w:pPr>
            <w:r w:rsidRPr="00B0658A">
              <w:rPr>
                <w:rFonts w:ascii="Times New Roman" w:hAnsi="Times New Roman"/>
                <w:sz w:val="18"/>
                <w:szCs w:val="18"/>
              </w:rPr>
              <w:t>2.12</w:t>
            </w:r>
          </w:p>
        </w:tc>
        <w:tc>
          <w:tcPr>
            <w:tcW w:w="1182" w:type="pct"/>
            <w:shd w:val="clear" w:color="auto" w:fill="auto"/>
            <w:vAlign w:val="center"/>
            <w:hideMark/>
          </w:tcPr>
          <w:p w14:paraId="51A91BE6" w14:textId="77777777" w:rsidR="005B7E3E" w:rsidRPr="00B0658A" w:rsidRDefault="005B7E3E" w:rsidP="000A4114">
            <w:pPr>
              <w:spacing w:after="0" w:line="240" w:lineRule="auto"/>
              <w:rPr>
                <w:rFonts w:ascii="Times New Roman" w:hAnsi="Times New Roman"/>
                <w:sz w:val="18"/>
                <w:szCs w:val="18"/>
              </w:rPr>
            </w:pPr>
            <w:r w:rsidRPr="00B0658A">
              <w:rPr>
                <w:rFonts w:ascii="Times New Roman" w:hAnsi="Times New Roman"/>
                <w:sz w:val="18"/>
                <w:szCs w:val="18"/>
              </w:rPr>
              <w:t>Системное программное обеспечение / Системы контейнеризации и контейнеры</w:t>
            </w:r>
          </w:p>
        </w:tc>
        <w:tc>
          <w:tcPr>
            <w:tcW w:w="898" w:type="pct"/>
            <w:shd w:val="clear" w:color="000000" w:fill="FFFFFF"/>
            <w:hideMark/>
          </w:tcPr>
          <w:p w14:paraId="5FA019B9" w14:textId="77777777" w:rsidR="005B7E3E" w:rsidRPr="00B0658A" w:rsidRDefault="005B7E3E" w:rsidP="000A4114">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7" w:type="pct"/>
            <w:shd w:val="clear" w:color="auto" w:fill="auto"/>
            <w:vAlign w:val="center"/>
          </w:tcPr>
          <w:p w14:paraId="1C07BFE0"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rPr>
              <w:t>25%</w:t>
            </w:r>
          </w:p>
        </w:tc>
        <w:tc>
          <w:tcPr>
            <w:tcW w:w="367" w:type="pct"/>
            <w:shd w:val="clear" w:color="auto" w:fill="auto"/>
            <w:vAlign w:val="center"/>
          </w:tcPr>
          <w:p w14:paraId="7058BCE7"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rPr>
              <w:t>35%</w:t>
            </w:r>
          </w:p>
        </w:tc>
        <w:tc>
          <w:tcPr>
            <w:tcW w:w="367" w:type="pct"/>
            <w:shd w:val="clear" w:color="auto" w:fill="auto"/>
            <w:vAlign w:val="center"/>
          </w:tcPr>
          <w:p w14:paraId="1753E388"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rPr>
              <w:t>50%</w:t>
            </w:r>
          </w:p>
        </w:tc>
        <w:tc>
          <w:tcPr>
            <w:tcW w:w="379" w:type="pct"/>
            <w:vAlign w:val="center"/>
          </w:tcPr>
          <w:p w14:paraId="084C8465"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7" w:type="pct"/>
            <w:shd w:val="clear" w:color="auto" w:fill="auto"/>
            <w:vAlign w:val="center"/>
          </w:tcPr>
          <w:p w14:paraId="7A7FBBB4"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rPr>
              <w:t>75%</w:t>
            </w:r>
          </w:p>
        </w:tc>
        <w:tc>
          <w:tcPr>
            <w:tcW w:w="367" w:type="pct"/>
            <w:shd w:val="clear" w:color="auto" w:fill="auto"/>
            <w:vAlign w:val="center"/>
          </w:tcPr>
          <w:p w14:paraId="1150DE42"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rPr>
              <w:t>85%</w:t>
            </w:r>
          </w:p>
        </w:tc>
        <w:tc>
          <w:tcPr>
            <w:tcW w:w="364" w:type="pct"/>
            <w:shd w:val="clear" w:color="auto" w:fill="auto"/>
            <w:vAlign w:val="center"/>
          </w:tcPr>
          <w:p w14:paraId="666B32CF"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57559E" w:rsidRPr="00B0658A" w14:paraId="1D487132" w14:textId="77777777" w:rsidTr="00FE71B1">
        <w:trPr>
          <w:trHeight w:val="20"/>
        </w:trPr>
        <w:tc>
          <w:tcPr>
            <w:tcW w:w="342" w:type="pct"/>
            <w:shd w:val="clear" w:color="000000" w:fill="FFFFFF"/>
            <w:vAlign w:val="center"/>
          </w:tcPr>
          <w:p w14:paraId="5EE3B47A" w14:textId="77777777" w:rsidR="0057559E" w:rsidRPr="00B0658A" w:rsidRDefault="0057559E" w:rsidP="00FE71B1">
            <w:pPr>
              <w:spacing w:after="0" w:line="240" w:lineRule="auto"/>
              <w:jc w:val="center"/>
              <w:rPr>
                <w:rFonts w:ascii="Times New Roman" w:hAnsi="Times New Roman"/>
                <w:sz w:val="18"/>
                <w:szCs w:val="18"/>
              </w:rPr>
            </w:pPr>
            <w:r w:rsidRPr="00B0658A">
              <w:rPr>
                <w:rFonts w:ascii="Times New Roman" w:hAnsi="Times New Roman"/>
                <w:sz w:val="18"/>
                <w:szCs w:val="18"/>
              </w:rPr>
              <w:t>3.1</w:t>
            </w:r>
          </w:p>
        </w:tc>
        <w:tc>
          <w:tcPr>
            <w:tcW w:w="1182" w:type="pct"/>
            <w:shd w:val="clear" w:color="auto" w:fill="auto"/>
            <w:vAlign w:val="center"/>
            <w:hideMark/>
          </w:tcPr>
          <w:p w14:paraId="608F9212" w14:textId="77777777" w:rsidR="0057559E" w:rsidRPr="00B0658A" w:rsidRDefault="0057559E" w:rsidP="0057559E">
            <w:pPr>
              <w:spacing w:after="0" w:line="240" w:lineRule="auto"/>
              <w:rPr>
                <w:rFonts w:ascii="Times New Roman" w:hAnsi="Times New Roman"/>
                <w:sz w:val="18"/>
                <w:szCs w:val="18"/>
              </w:rPr>
            </w:pPr>
            <w:r w:rsidRPr="00B0658A">
              <w:rPr>
                <w:rFonts w:ascii="Times New Roman" w:hAnsi="Times New Roman"/>
                <w:sz w:val="18"/>
                <w:szCs w:val="18"/>
              </w:rPr>
              <w:t>Средства обеспечения информационной безопасности/ Средства защиты от несанкционированного доступа к информации</w:t>
            </w:r>
          </w:p>
        </w:tc>
        <w:tc>
          <w:tcPr>
            <w:tcW w:w="898" w:type="pct"/>
            <w:shd w:val="clear" w:color="000000" w:fill="FFFFFF"/>
            <w:hideMark/>
          </w:tcPr>
          <w:p w14:paraId="7EE3B000" w14:textId="77777777" w:rsidR="0057559E" w:rsidRPr="00B0658A" w:rsidRDefault="0057559E" w:rsidP="0057559E">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7" w:type="pct"/>
            <w:shd w:val="clear" w:color="auto" w:fill="auto"/>
            <w:vAlign w:val="center"/>
          </w:tcPr>
          <w:p w14:paraId="7FE3ECAD" w14:textId="77777777" w:rsidR="0057559E" w:rsidRPr="00B0658A" w:rsidRDefault="0057559E" w:rsidP="0057559E">
            <w:pPr>
              <w:spacing w:after="0" w:line="240" w:lineRule="auto"/>
              <w:jc w:val="center"/>
              <w:rPr>
                <w:rFonts w:ascii="Times New Roman" w:hAnsi="Times New Roman"/>
                <w:sz w:val="18"/>
                <w:szCs w:val="18"/>
              </w:rPr>
            </w:pPr>
            <w:r>
              <w:rPr>
                <w:rFonts w:ascii="Times New Roman" w:hAnsi="Times New Roman"/>
                <w:sz w:val="18"/>
                <w:szCs w:val="18"/>
              </w:rPr>
              <w:t>60</w:t>
            </w:r>
            <w:r w:rsidRPr="00B0658A">
              <w:rPr>
                <w:rFonts w:ascii="Times New Roman" w:hAnsi="Times New Roman"/>
                <w:sz w:val="18"/>
                <w:szCs w:val="18"/>
                <w:lang w:val="en-US"/>
              </w:rPr>
              <w:t>%</w:t>
            </w:r>
          </w:p>
        </w:tc>
        <w:tc>
          <w:tcPr>
            <w:tcW w:w="367" w:type="pct"/>
            <w:shd w:val="clear" w:color="auto" w:fill="auto"/>
            <w:vAlign w:val="center"/>
          </w:tcPr>
          <w:p w14:paraId="65FBB2A4" w14:textId="77777777" w:rsidR="0057559E" w:rsidRPr="00B0658A" w:rsidRDefault="0057559E" w:rsidP="0057559E">
            <w:pPr>
              <w:spacing w:after="0" w:line="240" w:lineRule="auto"/>
              <w:jc w:val="center"/>
              <w:rPr>
                <w:rFonts w:ascii="Times New Roman" w:hAnsi="Times New Roman"/>
                <w:sz w:val="18"/>
                <w:szCs w:val="18"/>
              </w:rPr>
            </w:pPr>
            <w:r>
              <w:rPr>
                <w:rFonts w:ascii="Times New Roman" w:hAnsi="Times New Roman"/>
                <w:sz w:val="18"/>
                <w:szCs w:val="18"/>
              </w:rPr>
              <w:t>8</w:t>
            </w:r>
            <w:r w:rsidRPr="00B0658A">
              <w:rPr>
                <w:rFonts w:ascii="Times New Roman" w:hAnsi="Times New Roman"/>
                <w:sz w:val="18"/>
                <w:szCs w:val="18"/>
                <w:lang w:val="en-US"/>
              </w:rPr>
              <w:t>0%</w:t>
            </w:r>
          </w:p>
        </w:tc>
        <w:tc>
          <w:tcPr>
            <w:tcW w:w="367" w:type="pct"/>
            <w:shd w:val="clear" w:color="auto" w:fill="auto"/>
            <w:vAlign w:val="center"/>
          </w:tcPr>
          <w:p w14:paraId="040118EB" w14:textId="77777777" w:rsidR="0057559E" w:rsidRPr="00B0658A" w:rsidRDefault="0057559E" w:rsidP="0057559E">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79" w:type="pct"/>
            <w:vAlign w:val="center"/>
          </w:tcPr>
          <w:p w14:paraId="3925B2F5" w14:textId="77777777" w:rsidR="0057559E" w:rsidRPr="00B0658A" w:rsidRDefault="0057559E" w:rsidP="0057559E">
            <w:pPr>
              <w:spacing w:after="0" w:line="240" w:lineRule="auto"/>
              <w:jc w:val="center"/>
              <w:rPr>
                <w:rFonts w:ascii="Times New Roman" w:hAnsi="Times New Roman"/>
                <w:sz w:val="18"/>
                <w:szCs w:val="18"/>
                <w:lang w:val="en-US"/>
              </w:rPr>
            </w:pPr>
            <w:r w:rsidRPr="00B0658A">
              <w:rPr>
                <w:rFonts w:ascii="Times New Roman" w:hAnsi="Times New Roman"/>
                <w:sz w:val="18"/>
                <w:szCs w:val="18"/>
                <w:lang w:val="en-US"/>
              </w:rPr>
              <w:t>100%</w:t>
            </w:r>
          </w:p>
        </w:tc>
        <w:tc>
          <w:tcPr>
            <w:tcW w:w="367" w:type="pct"/>
            <w:shd w:val="clear" w:color="auto" w:fill="auto"/>
            <w:vAlign w:val="center"/>
          </w:tcPr>
          <w:p w14:paraId="764F34B2" w14:textId="77777777" w:rsidR="0057559E" w:rsidRPr="00B0658A" w:rsidRDefault="0057559E" w:rsidP="0057559E">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7" w:type="pct"/>
            <w:shd w:val="clear" w:color="auto" w:fill="auto"/>
            <w:vAlign w:val="center"/>
          </w:tcPr>
          <w:p w14:paraId="57A58CBF" w14:textId="77777777" w:rsidR="0057559E" w:rsidRPr="00B0658A" w:rsidRDefault="0057559E" w:rsidP="0057559E">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4" w:type="pct"/>
            <w:shd w:val="clear" w:color="auto" w:fill="auto"/>
            <w:vAlign w:val="center"/>
          </w:tcPr>
          <w:p w14:paraId="05154D70" w14:textId="77777777" w:rsidR="0057559E" w:rsidRPr="00B0658A" w:rsidRDefault="0057559E" w:rsidP="0057559E">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57559E" w:rsidRPr="00B0658A" w14:paraId="5CAF44E1" w14:textId="77777777" w:rsidTr="00FE71B1">
        <w:trPr>
          <w:trHeight w:val="20"/>
        </w:trPr>
        <w:tc>
          <w:tcPr>
            <w:tcW w:w="342" w:type="pct"/>
            <w:shd w:val="clear" w:color="000000" w:fill="FFFFFF"/>
            <w:vAlign w:val="center"/>
          </w:tcPr>
          <w:p w14:paraId="7F2B44C8" w14:textId="77777777" w:rsidR="0057559E" w:rsidRPr="00B0658A" w:rsidRDefault="0057559E" w:rsidP="00FE71B1">
            <w:pPr>
              <w:spacing w:after="0" w:line="240" w:lineRule="auto"/>
              <w:jc w:val="center"/>
              <w:rPr>
                <w:rFonts w:ascii="Times New Roman" w:hAnsi="Times New Roman"/>
                <w:sz w:val="18"/>
                <w:szCs w:val="18"/>
              </w:rPr>
            </w:pPr>
            <w:r w:rsidRPr="00B0658A">
              <w:rPr>
                <w:rFonts w:ascii="Times New Roman" w:hAnsi="Times New Roman"/>
                <w:sz w:val="18"/>
                <w:szCs w:val="18"/>
              </w:rPr>
              <w:t>3.2</w:t>
            </w:r>
          </w:p>
        </w:tc>
        <w:tc>
          <w:tcPr>
            <w:tcW w:w="1182" w:type="pct"/>
            <w:shd w:val="clear" w:color="auto" w:fill="auto"/>
            <w:vAlign w:val="center"/>
            <w:hideMark/>
          </w:tcPr>
          <w:p w14:paraId="39FAA0A5" w14:textId="77777777" w:rsidR="0057559E" w:rsidRPr="00B0658A" w:rsidRDefault="0057559E" w:rsidP="0057559E">
            <w:pPr>
              <w:spacing w:after="0" w:line="240" w:lineRule="auto"/>
              <w:rPr>
                <w:rFonts w:ascii="Times New Roman" w:hAnsi="Times New Roman"/>
                <w:sz w:val="18"/>
                <w:szCs w:val="18"/>
              </w:rPr>
            </w:pPr>
            <w:r w:rsidRPr="00B0658A">
              <w:rPr>
                <w:rFonts w:ascii="Times New Roman" w:hAnsi="Times New Roman"/>
                <w:sz w:val="18"/>
                <w:szCs w:val="18"/>
              </w:rPr>
              <w:t>Средства обеспечения информационной безопасности/ Средства управления событиями информационной безопасности</w:t>
            </w:r>
          </w:p>
        </w:tc>
        <w:tc>
          <w:tcPr>
            <w:tcW w:w="898" w:type="pct"/>
            <w:shd w:val="clear" w:color="000000" w:fill="FFFFFF"/>
            <w:hideMark/>
          </w:tcPr>
          <w:p w14:paraId="5EF1BAAC" w14:textId="77777777" w:rsidR="0057559E" w:rsidRPr="00B0658A" w:rsidRDefault="0057559E" w:rsidP="0057559E">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7" w:type="pct"/>
            <w:shd w:val="clear" w:color="auto" w:fill="auto"/>
            <w:vAlign w:val="center"/>
          </w:tcPr>
          <w:p w14:paraId="7A93456D" w14:textId="77777777" w:rsidR="0057559E" w:rsidRPr="00B0658A" w:rsidRDefault="0057559E" w:rsidP="0057559E">
            <w:pPr>
              <w:spacing w:after="0" w:line="240" w:lineRule="auto"/>
              <w:jc w:val="center"/>
              <w:rPr>
                <w:rFonts w:ascii="Times New Roman" w:hAnsi="Times New Roman"/>
                <w:sz w:val="18"/>
                <w:szCs w:val="18"/>
              </w:rPr>
            </w:pPr>
            <w:r>
              <w:rPr>
                <w:rFonts w:ascii="Times New Roman" w:hAnsi="Times New Roman"/>
                <w:sz w:val="18"/>
                <w:szCs w:val="18"/>
              </w:rPr>
              <w:t>60</w:t>
            </w:r>
            <w:r w:rsidRPr="00B0658A">
              <w:rPr>
                <w:rFonts w:ascii="Times New Roman" w:hAnsi="Times New Roman"/>
                <w:sz w:val="18"/>
                <w:szCs w:val="18"/>
                <w:lang w:val="en-US"/>
              </w:rPr>
              <w:t>%</w:t>
            </w:r>
          </w:p>
        </w:tc>
        <w:tc>
          <w:tcPr>
            <w:tcW w:w="367" w:type="pct"/>
            <w:shd w:val="clear" w:color="auto" w:fill="auto"/>
            <w:vAlign w:val="center"/>
          </w:tcPr>
          <w:p w14:paraId="7EDB6AD8" w14:textId="77777777" w:rsidR="0057559E" w:rsidRPr="00B0658A" w:rsidRDefault="0057559E" w:rsidP="0057559E">
            <w:pPr>
              <w:spacing w:after="0" w:line="240" w:lineRule="auto"/>
              <w:jc w:val="center"/>
              <w:rPr>
                <w:rFonts w:ascii="Times New Roman" w:hAnsi="Times New Roman"/>
                <w:sz w:val="18"/>
                <w:szCs w:val="18"/>
              </w:rPr>
            </w:pPr>
            <w:r>
              <w:rPr>
                <w:rFonts w:ascii="Times New Roman" w:hAnsi="Times New Roman"/>
                <w:sz w:val="18"/>
                <w:szCs w:val="18"/>
              </w:rPr>
              <w:t>8</w:t>
            </w:r>
            <w:r w:rsidRPr="00B0658A">
              <w:rPr>
                <w:rFonts w:ascii="Times New Roman" w:hAnsi="Times New Roman"/>
                <w:sz w:val="18"/>
                <w:szCs w:val="18"/>
                <w:lang w:val="en-US"/>
              </w:rPr>
              <w:t>0%</w:t>
            </w:r>
          </w:p>
        </w:tc>
        <w:tc>
          <w:tcPr>
            <w:tcW w:w="367" w:type="pct"/>
            <w:shd w:val="clear" w:color="auto" w:fill="auto"/>
            <w:vAlign w:val="center"/>
          </w:tcPr>
          <w:p w14:paraId="429ED13C" w14:textId="77777777" w:rsidR="0057559E" w:rsidRPr="00B0658A" w:rsidRDefault="0057559E" w:rsidP="0057559E">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79" w:type="pct"/>
            <w:vAlign w:val="center"/>
          </w:tcPr>
          <w:p w14:paraId="61CDD2DF" w14:textId="77777777" w:rsidR="0057559E" w:rsidRPr="00B0658A" w:rsidRDefault="0057559E" w:rsidP="0057559E">
            <w:pPr>
              <w:spacing w:after="0" w:line="240" w:lineRule="auto"/>
              <w:jc w:val="center"/>
              <w:rPr>
                <w:rFonts w:ascii="Times New Roman" w:hAnsi="Times New Roman"/>
                <w:sz w:val="18"/>
                <w:szCs w:val="18"/>
                <w:lang w:val="en-US"/>
              </w:rPr>
            </w:pPr>
            <w:r w:rsidRPr="00B0658A">
              <w:rPr>
                <w:rFonts w:ascii="Times New Roman" w:hAnsi="Times New Roman"/>
                <w:sz w:val="18"/>
                <w:szCs w:val="18"/>
                <w:lang w:val="en-US"/>
              </w:rPr>
              <w:t>100%</w:t>
            </w:r>
          </w:p>
        </w:tc>
        <w:tc>
          <w:tcPr>
            <w:tcW w:w="367" w:type="pct"/>
            <w:shd w:val="clear" w:color="auto" w:fill="auto"/>
            <w:vAlign w:val="center"/>
          </w:tcPr>
          <w:p w14:paraId="301F9A51" w14:textId="77777777" w:rsidR="0057559E" w:rsidRPr="00B0658A" w:rsidRDefault="0057559E" w:rsidP="0057559E">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7" w:type="pct"/>
            <w:shd w:val="clear" w:color="auto" w:fill="auto"/>
            <w:vAlign w:val="center"/>
          </w:tcPr>
          <w:p w14:paraId="476FDF15" w14:textId="77777777" w:rsidR="0057559E" w:rsidRPr="00B0658A" w:rsidRDefault="0057559E" w:rsidP="0057559E">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4" w:type="pct"/>
            <w:shd w:val="clear" w:color="auto" w:fill="auto"/>
            <w:vAlign w:val="center"/>
          </w:tcPr>
          <w:p w14:paraId="29CDF150" w14:textId="77777777" w:rsidR="0057559E" w:rsidRPr="00B0658A" w:rsidRDefault="0057559E" w:rsidP="0057559E">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BD279D" w:rsidRPr="00B0658A" w14:paraId="0A6DD3F3" w14:textId="77777777" w:rsidTr="00FE71B1">
        <w:trPr>
          <w:trHeight w:val="20"/>
        </w:trPr>
        <w:tc>
          <w:tcPr>
            <w:tcW w:w="342" w:type="pct"/>
            <w:shd w:val="clear" w:color="000000" w:fill="FFFFFF"/>
            <w:vAlign w:val="center"/>
          </w:tcPr>
          <w:p w14:paraId="4AF25C21" w14:textId="77777777" w:rsidR="00BD279D" w:rsidRPr="00B0658A" w:rsidRDefault="00BD279D" w:rsidP="00FE71B1">
            <w:pPr>
              <w:spacing w:after="0" w:line="240" w:lineRule="auto"/>
              <w:jc w:val="center"/>
              <w:rPr>
                <w:rFonts w:ascii="Times New Roman" w:hAnsi="Times New Roman"/>
                <w:sz w:val="18"/>
                <w:szCs w:val="18"/>
              </w:rPr>
            </w:pPr>
            <w:r w:rsidRPr="00B0658A">
              <w:rPr>
                <w:rFonts w:ascii="Times New Roman" w:hAnsi="Times New Roman"/>
                <w:sz w:val="18"/>
                <w:szCs w:val="18"/>
              </w:rPr>
              <w:t>3.3</w:t>
            </w:r>
          </w:p>
        </w:tc>
        <w:tc>
          <w:tcPr>
            <w:tcW w:w="1182" w:type="pct"/>
            <w:shd w:val="clear" w:color="auto" w:fill="auto"/>
            <w:vAlign w:val="center"/>
            <w:hideMark/>
          </w:tcPr>
          <w:p w14:paraId="4EC54983" w14:textId="77777777" w:rsidR="00BD279D" w:rsidRPr="00B0658A" w:rsidRDefault="00BD279D" w:rsidP="00BD279D">
            <w:pPr>
              <w:spacing w:after="0" w:line="240" w:lineRule="auto"/>
              <w:rPr>
                <w:rFonts w:ascii="Times New Roman" w:hAnsi="Times New Roman"/>
                <w:sz w:val="18"/>
                <w:szCs w:val="18"/>
              </w:rPr>
            </w:pPr>
            <w:r w:rsidRPr="00B0658A">
              <w:rPr>
                <w:rFonts w:ascii="Times New Roman" w:hAnsi="Times New Roman"/>
                <w:sz w:val="18"/>
                <w:szCs w:val="18"/>
              </w:rPr>
              <w:t>Средства обеспечения информационной безопасности/ Межсетевые экраны</w:t>
            </w:r>
          </w:p>
        </w:tc>
        <w:tc>
          <w:tcPr>
            <w:tcW w:w="898" w:type="pct"/>
            <w:shd w:val="clear" w:color="000000" w:fill="FFFFFF"/>
            <w:hideMark/>
          </w:tcPr>
          <w:p w14:paraId="01A1F32C" w14:textId="77777777" w:rsidR="00BD279D" w:rsidRPr="00B0658A" w:rsidRDefault="00BD279D" w:rsidP="00BD279D">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7" w:type="pct"/>
            <w:shd w:val="clear" w:color="auto" w:fill="auto"/>
            <w:vAlign w:val="center"/>
          </w:tcPr>
          <w:p w14:paraId="3CFA8486" w14:textId="77777777" w:rsidR="00BD279D" w:rsidRPr="00B0658A" w:rsidRDefault="00BD279D" w:rsidP="00BD279D">
            <w:pPr>
              <w:spacing w:after="0" w:line="240" w:lineRule="auto"/>
              <w:jc w:val="center"/>
              <w:rPr>
                <w:rFonts w:ascii="Times New Roman" w:hAnsi="Times New Roman"/>
                <w:sz w:val="18"/>
                <w:szCs w:val="18"/>
              </w:rPr>
            </w:pPr>
            <w:r w:rsidRPr="00B0658A">
              <w:rPr>
                <w:rFonts w:ascii="Times New Roman" w:hAnsi="Times New Roman"/>
                <w:sz w:val="18"/>
                <w:szCs w:val="18"/>
                <w:lang w:val="en-US"/>
              </w:rPr>
              <w:t>50%</w:t>
            </w:r>
          </w:p>
        </w:tc>
        <w:tc>
          <w:tcPr>
            <w:tcW w:w="367" w:type="pct"/>
            <w:shd w:val="clear" w:color="auto" w:fill="auto"/>
            <w:vAlign w:val="center"/>
          </w:tcPr>
          <w:p w14:paraId="71BAE298" w14:textId="77777777" w:rsidR="00BD279D" w:rsidRPr="00B0658A" w:rsidRDefault="00BD279D" w:rsidP="00BD279D">
            <w:pPr>
              <w:spacing w:after="0" w:line="240" w:lineRule="auto"/>
              <w:jc w:val="center"/>
              <w:rPr>
                <w:rFonts w:ascii="Times New Roman" w:hAnsi="Times New Roman"/>
                <w:sz w:val="18"/>
                <w:szCs w:val="18"/>
              </w:rPr>
            </w:pPr>
            <w:r>
              <w:rPr>
                <w:rFonts w:ascii="Times New Roman" w:hAnsi="Times New Roman"/>
                <w:sz w:val="18"/>
                <w:szCs w:val="18"/>
              </w:rPr>
              <w:t>8</w:t>
            </w:r>
            <w:r w:rsidRPr="00B0658A">
              <w:rPr>
                <w:rFonts w:ascii="Times New Roman" w:hAnsi="Times New Roman"/>
                <w:sz w:val="18"/>
                <w:szCs w:val="18"/>
                <w:lang w:val="en-US"/>
              </w:rPr>
              <w:t>0%</w:t>
            </w:r>
          </w:p>
        </w:tc>
        <w:tc>
          <w:tcPr>
            <w:tcW w:w="367" w:type="pct"/>
            <w:shd w:val="clear" w:color="auto" w:fill="auto"/>
            <w:vAlign w:val="center"/>
          </w:tcPr>
          <w:p w14:paraId="2993C553" w14:textId="77777777" w:rsidR="00BD279D" w:rsidRPr="00B0658A" w:rsidRDefault="00BD279D" w:rsidP="00BD279D">
            <w:pPr>
              <w:spacing w:after="0" w:line="240" w:lineRule="auto"/>
              <w:jc w:val="center"/>
              <w:rPr>
                <w:rFonts w:ascii="Times New Roman" w:hAnsi="Times New Roman"/>
                <w:sz w:val="18"/>
                <w:szCs w:val="18"/>
              </w:rPr>
            </w:pPr>
            <w:r>
              <w:rPr>
                <w:rFonts w:ascii="Times New Roman" w:hAnsi="Times New Roman"/>
                <w:sz w:val="18"/>
                <w:szCs w:val="18"/>
              </w:rPr>
              <w:t>9</w:t>
            </w:r>
            <w:r w:rsidRPr="00B0658A">
              <w:rPr>
                <w:rFonts w:ascii="Times New Roman" w:hAnsi="Times New Roman"/>
                <w:sz w:val="18"/>
                <w:szCs w:val="18"/>
                <w:lang w:val="en-US"/>
              </w:rPr>
              <w:t>0%</w:t>
            </w:r>
          </w:p>
        </w:tc>
        <w:tc>
          <w:tcPr>
            <w:tcW w:w="379" w:type="pct"/>
            <w:vAlign w:val="center"/>
          </w:tcPr>
          <w:p w14:paraId="2505CE68" w14:textId="77777777" w:rsidR="00BD279D" w:rsidRPr="00B0658A" w:rsidRDefault="00BD279D" w:rsidP="00BD279D">
            <w:pPr>
              <w:spacing w:after="0" w:line="240" w:lineRule="auto"/>
              <w:jc w:val="center"/>
              <w:rPr>
                <w:rFonts w:ascii="Times New Roman" w:hAnsi="Times New Roman"/>
                <w:sz w:val="18"/>
                <w:szCs w:val="18"/>
                <w:lang w:val="en-US"/>
              </w:rPr>
            </w:pPr>
            <w:r w:rsidRPr="00B0658A">
              <w:rPr>
                <w:rFonts w:ascii="Times New Roman" w:hAnsi="Times New Roman"/>
                <w:sz w:val="18"/>
                <w:szCs w:val="18"/>
                <w:lang w:val="en-US"/>
              </w:rPr>
              <w:t>100%</w:t>
            </w:r>
          </w:p>
        </w:tc>
        <w:tc>
          <w:tcPr>
            <w:tcW w:w="367" w:type="pct"/>
            <w:shd w:val="clear" w:color="auto" w:fill="auto"/>
            <w:vAlign w:val="center"/>
          </w:tcPr>
          <w:p w14:paraId="6ACC29AB" w14:textId="77777777" w:rsidR="00BD279D" w:rsidRPr="00B0658A" w:rsidRDefault="00BD279D" w:rsidP="00BD279D">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7" w:type="pct"/>
            <w:shd w:val="clear" w:color="auto" w:fill="auto"/>
            <w:vAlign w:val="center"/>
          </w:tcPr>
          <w:p w14:paraId="356786AC" w14:textId="77777777" w:rsidR="00BD279D" w:rsidRPr="00B0658A" w:rsidRDefault="00BD279D" w:rsidP="00BD279D">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4" w:type="pct"/>
            <w:shd w:val="clear" w:color="auto" w:fill="auto"/>
            <w:vAlign w:val="center"/>
          </w:tcPr>
          <w:p w14:paraId="5FA65092" w14:textId="77777777" w:rsidR="00BD279D" w:rsidRPr="00B0658A" w:rsidRDefault="00BD279D" w:rsidP="00BD279D">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57559E" w:rsidRPr="00B0658A" w14:paraId="30F5252F" w14:textId="77777777" w:rsidTr="00FE71B1">
        <w:trPr>
          <w:trHeight w:val="20"/>
        </w:trPr>
        <w:tc>
          <w:tcPr>
            <w:tcW w:w="342" w:type="pct"/>
            <w:shd w:val="clear" w:color="000000" w:fill="FFFFFF"/>
            <w:vAlign w:val="center"/>
          </w:tcPr>
          <w:p w14:paraId="3268BBC3" w14:textId="77777777" w:rsidR="0057559E" w:rsidRPr="00B0658A" w:rsidRDefault="0057559E" w:rsidP="00FE71B1">
            <w:pPr>
              <w:spacing w:after="0" w:line="240" w:lineRule="auto"/>
              <w:jc w:val="center"/>
              <w:rPr>
                <w:rFonts w:ascii="Times New Roman" w:hAnsi="Times New Roman"/>
                <w:sz w:val="18"/>
                <w:szCs w:val="18"/>
              </w:rPr>
            </w:pPr>
            <w:r w:rsidRPr="00B0658A">
              <w:rPr>
                <w:rFonts w:ascii="Times New Roman" w:hAnsi="Times New Roman"/>
                <w:sz w:val="18"/>
                <w:szCs w:val="18"/>
              </w:rPr>
              <w:t>3.4</w:t>
            </w:r>
          </w:p>
        </w:tc>
        <w:tc>
          <w:tcPr>
            <w:tcW w:w="1182" w:type="pct"/>
            <w:shd w:val="clear" w:color="auto" w:fill="auto"/>
            <w:vAlign w:val="center"/>
            <w:hideMark/>
          </w:tcPr>
          <w:p w14:paraId="76F8014D" w14:textId="77777777" w:rsidR="0057559E" w:rsidRPr="00B0658A" w:rsidRDefault="0057559E" w:rsidP="0057559E">
            <w:pPr>
              <w:spacing w:after="0" w:line="240" w:lineRule="auto"/>
              <w:rPr>
                <w:rFonts w:ascii="Times New Roman" w:hAnsi="Times New Roman"/>
                <w:sz w:val="18"/>
                <w:szCs w:val="18"/>
              </w:rPr>
            </w:pPr>
            <w:r w:rsidRPr="00B0658A">
              <w:rPr>
                <w:rFonts w:ascii="Times New Roman" w:hAnsi="Times New Roman"/>
                <w:sz w:val="18"/>
                <w:szCs w:val="18"/>
              </w:rPr>
              <w:t>Средства обеспечения информационной безопасности/ Средства фильтрации негативного контента</w:t>
            </w:r>
          </w:p>
        </w:tc>
        <w:tc>
          <w:tcPr>
            <w:tcW w:w="898" w:type="pct"/>
            <w:shd w:val="clear" w:color="000000" w:fill="FFFFFF"/>
            <w:hideMark/>
          </w:tcPr>
          <w:p w14:paraId="2356E288" w14:textId="77777777" w:rsidR="0057559E" w:rsidRPr="00B0658A" w:rsidRDefault="0057559E" w:rsidP="0057559E">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7" w:type="pct"/>
            <w:shd w:val="clear" w:color="auto" w:fill="auto"/>
            <w:vAlign w:val="center"/>
          </w:tcPr>
          <w:p w14:paraId="573D431D" w14:textId="77777777" w:rsidR="0057559E" w:rsidRPr="00B0658A" w:rsidRDefault="0057559E" w:rsidP="0057559E">
            <w:pPr>
              <w:spacing w:after="0" w:line="240" w:lineRule="auto"/>
              <w:jc w:val="center"/>
              <w:rPr>
                <w:rFonts w:ascii="Times New Roman" w:hAnsi="Times New Roman"/>
                <w:sz w:val="18"/>
                <w:szCs w:val="18"/>
              </w:rPr>
            </w:pPr>
            <w:r>
              <w:rPr>
                <w:rFonts w:ascii="Times New Roman" w:hAnsi="Times New Roman"/>
                <w:sz w:val="18"/>
                <w:szCs w:val="18"/>
              </w:rPr>
              <w:t>60</w:t>
            </w:r>
            <w:r w:rsidRPr="00B0658A">
              <w:rPr>
                <w:rFonts w:ascii="Times New Roman" w:hAnsi="Times New Roman"/>
                <w:sz w:val="18"/>
                <w:szCs w:val="18"/>
                <w:lang w:val="en-US"/>
              </w:rPr>
              <w:t>%</w:t>
            </w:r>
          </w:p>
        </w:tc>
        <w:tc>
          <w:tcPr>
            <w:tcW w:w="367" w:type="pct"/>
            <w:shd w:val="clear" w:color="auto" w:fill="auto"/>
            <w:vAlign w:val="center"/>
          </w:tcPr>
          <w:p w14:paraId="644482DB" w14:textId="77777777" w:rsidR="0057559E" w:rsidRPr="00B0658A" w:rsidRDefault="0057559E" w:rsidP="0057559E">
            <w:pPr>
              <w:spacing w:after="0" w:line="240" w:lineRule="auto"/>
              <w:jc w:val="center"/>
              <w:rPr>
                <w:rFonts w:ascii="Times New Roman" w:hAnsi="Times New Roman"/>
                <w:sz w:val="18"/>
                <w:szCs w:val="18"/>
              </w:rPr>
            </w:pPr>
            <w:r>
              <w:rPr>
                <w:rFonts w:ascii="Times New Roman" w:hAnsi="Times New Roman"/>
                <w:sz w:val="18"/>
                <w:szCs w:val="18"/>
              </w:rPr>
              <w:t>8</w:t>
            </w:r>
            <w:r w:rsidRPr="00B0658A">
              <w:rPr>
                <w:rFonts w:ascii="Times New Roman" w:hAnsi="Times New Roman"/>
                <w:sz w:val="18"/>
                <w:szCs w:val="18"/>
                <w:lang w:val="en-US"/>
              </w:rPr>
              <w:t>0%</w:t>
            </w:r>
          </w:p>
        </w:tc>
        <w:tc>
          <w:tcPr>
            <w:tcW w:w="367" w:type="pct"/>
            <w:shd w:val="clear" w:color="auto" w:fill="auto"/>
            <w:vAlign w:val="center"/>
          </w:tcPr>
          <w:p w14:paraId="335CE4CD" w14:textId="77777777" w:rsidR="0057559E" w:rsidRPr="00B0658A" w:rsidRDefault="0057559E" w:rsidP="0057559E">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79" w:type="pct"/>
            <w:vAlign w:val="center"/>
          </w:tcPr>
          <w:p w14:paraId="0DC24CC4" w14:textId="77777777" w:rsidR="0057559E" w:rsidRPr="00B0658A" w:rsidRDefault="0057559E" w:rsidP="0057559E">
            <w:pPr>
              <w:spacing w:after="0" w:line="240" w:lineRule="auto"/>
              <w:jc w:val="center"/>
              <w:rPr>
                <w:rFonts w:ascii="Times New Roman" w:hAnsi="Times New Roman"/>
                <w:sz w:val="18"/>
                <w:szCs w:val="18"/>
                <w:lang w:val="en-US"/>
              </w:rPr>
            </w:pPr>
            <w:r w:rsidRPr="00B0658A">
              <w:rPr>
                <w:rFonts w:ascii="Times New Roman" w:hAnsi="Times New Roman"/>
                <w:sz w:val="18"/>
                <w:szCs w:val="18"/>
                <w:lang w:val="en-US"/>
              </w:rPr>
              <w:t>100%</w:t>
            </w:r>
          </w:p>
        </w:tc>
        <w:tc>
          <w:tcPr>
            <w:tcW w:w="367" w:type="pct"/>
            <w:shd w:val="clear" w:color="auto" w:fill="auto"/>
            <w:vAlign w:val="center"/>
          </w:tcPr>
          <w:p w14:paraId="7207A8D5" w14:textId="77777777" w:rsidR="0057559E" w:rsidRPr="00B0658A" w:rsidRDefault="0057559E" w:rsidP="0057559E">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7" w:type="pct"/>
            <w:shd w:val="clear" w:color="auto" w:fill="auto"/>
            <w:vAlign w:val="center"/>
          </w:tcPr>
          <w:p w14:paraId="2AE4E4F9" w14:textId="77777777" w:rsidR="0057559E" w:rsidRPr="00B0658A" w:rsidRDefault="0057559E" w:rsidP="0057559E">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4" w:type="pct"/>
            <w:shd w:val="clear" w:color="auto" w:fill="auto"/>
            <w:vAlign w:val="center"/>
          </w:tcPr>
          <w:p w14:paraId="2A30E605" w14:textId="77777777" w:rsidR="0057559E" w:rsidRPr="00B0658A" w:rsidRDefault="0057559E" w:rsidP="0057559E">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57559E" w:rsidRPr="00B0658A" w14:paraId="7D074F5C" w14:textId="77777777" w:rsidTr="00FE71B1">
        <w:trPr>
          <w:trHeight w:val="20"/>
        </w:trPr>
        <w:tc>
          <w:tcPr>
            <w:tcW w:w="342" w:type="pct"/>
            <w:shd w:val="clear" w:color="000000" w:fill="FFFFFF"/>
            <w:vAlign w:val="center"/>
          </w:tcPr>
          <w:p w14:paraId="47A04DF8" w14:textId="77777777" w:rsidR="0057559E" w:rsidRPr="00B0658A" w:rsidRDefault="0057559E" w:rsidP="00FE71B1">
            <w:pPr>
              <w:spacing w:after="0" w:line="240" w:lineRule="auto"/>
              <w:jc w:val="center"/>
              <w:rPr>
                <w:rFonts w:ascii="Times New Roman" w:hAnsi="Times New Roman"/>
                <w:sz w:val="18"/>
                <w:szCs w:val="18"/>
              </w:rPr>
            </w:pPr>
            <w:r w:rsidRPr="00B0658A">
              <w:rPr>
                <w:rFonts w:ascii="Times New Roman" w:hAnsi="Times New Roman"/>
                <w:sz w:val="18"/>
                <w:szCs w:val="18"/>
              </w:rPr>
              <w:t>3.5</w:t>
            </w:r>
          </w:p>
        </w:tc>
        <w:tc>
          <w:tcPr>
            <w:tcW w:w="1182" w:type="pct"/>
            <w:shd w:val="clear" w:color="auto" w:fill="auto"/>
            <w:vAlign w:val="center"/>
            <w:hideMark/>
          </w:tcPr>
          <w:p w14:paraId="6BDC1163" w14:textId="77777777" w:rsidR="0057559E" w:rsidRPr="00B0658A" w:rsidRDefault="0057559E" w:rsidP="0057559E">
            <w:pPr>
              <w:spacing w:after="0" w:line="240" w:lineRule="auto"/>
              <w:rPr>
                <w:rFonts w:ascii="Times New Roman" w:hAnsi="Times New Roman"/>
                <w:sz w:val="18"/>
                <w:szCs w:val="18"/>
              </w:rPr>
            </w:pPr>
            <w:r w:rsidRPr="00B0658A">
              <w:rPr>
                <w:rFonts w:ascii="Times New Roman" w:hAnsi="Times New Roman"/>
                <w:sz w:val="18"/>
                <w:szCs w:val="18"/>
              </w:rPr>
              <w:t>Средства обеспечения информационной безопасности/ Средства защиты сервисов онлайн-платежей и дистанционного банковского обслуживания</w:t>
            </w:r>
          </w:p>
        </w:tc>
        <w:tc>
          <w:tcPr>
            <w:tcW w:w="898" w:type="pct"/>
            <w:shd w:val="clear" w:color="000000" w:fill="FFFFFF"/>
            <w:hideMark/>
          </w:tcPr>
          <w:p w14:paraId="7493EB30" w14:textId="77777777" w:rsidR="0057559E" w:rsidRPr="00B0658A" w:rsidRDefault="0057559E" w:rsidP="0057559E">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7" w:type="pct"/>
            <w:shd w:val="clear" w:color="auto" w:fill="auto"/>
            <w:vAlign w:val="center"/>
          </w:tcPr>
          <w:p w14:paraId="69B283C0" w14:textId="77777777" w:rsidR="0057559E" w:rsidRPr="00B0658A" w:rsidRDefault="0057559E" w:rsidP="0057559E">
            <w:pPr>
              <w:spacing w:after="0" w:line="240" w:lineRule="auto"/>
              <w:jc w:val="center"/>
              <w:rPr>
                <w:rFonts w:ascii="Times New Roman" w:hAnsi="Times New Roman"/>
                <w:sz w:val="18"/>
                <w:szCs w:val="18"/>
              </w:rPr>
            </w:pPr>
            <w:r>
              <w:rPr>
                <w:rFonts w:ascii="Times New Roman" w:hAnsi="Times New Roman"/>
                <w:sz w:val="18"/>
                <w:szCs w:val="18"/>
              </w:rPr>
              <w:t>60</w:t>
            </w:r>
            <w:r w:rsidRPr="00B0658A">
              <w:rPr>
                <w:rFonts w:ascii="Times New Roman" w:hAnsi="Times New Roman"/>
                <w:sz w:val="18"/>
                <w:szCs w:val="18"/>
                <w:lang w:val="en-US"/>
              </w:rPr>
              <w:t>%</w:t>
            </w:r>
          </w:p>
        </w:tc>
        <w:tc>
          <w:tcPr>
            <w:tcW w:w="367" w:type="pct"/>
            <w:shd w:val="clear" w:color="auto" w:fill="auto"/>
            <w:vAlign w:val="center"/>
          </w:tcPr>
          <w:p w14:paraId="00754B93" w14:textId="77777777" w:rsidR="0057559E" w:rsidRPr="00B0658A" w:rsidRDefault="0057559E" w:rsidP="0057559E">
            <w:pPr>
              <w:spacing w:after="0" w:line="240" w:lineRule="auto"/>
              <w:jc w:val="center"/>
              <w:rPr>
                <w:rFonts w:ascii="Times New Roman" w:hAnsi="Times New Roman"/>
                <w:sz w:val="18"/>
                <w:szCs w:val="18"/>
              </w:rPr>
            </w:pPr>
            <w:r>
              <w:rPr>
                <w:rFonts w:ascii="Times New Roman" w:hAnsi="Times New Roman"/>
                <w:sz w:val="18"/>
                <w:szCs w:val="18"/>
              </w:rPr>
              <w:t>8</w:t>
            </w:r>
            <w:r w:rsidRPr="00B0658A">
              <w:rPr>
                <w:rFonts w:ascii="Times New Roman" w:hAnsi="Times New Roman"/>
                <w:sz w:val="18"/>
                <w:szCs w:val="18"/>
                <w:lang w:val="en-US"/>
              </w:rPr>
              <w:t>0%</w:t>
            </w:r>
          </w:p>
        </w:tc>
        <w:tc>
          <w:tcPr>
            <w:tcW w:w="367" w:type="pct"/>
            <w:shd w:val="clear" w:color="auto" w:fill="auto"/>
            <w:vAlign w:val="center"/>
          </w:tcPr>
          <w:p w14:paraId="2EE0EC51" w14:textId="77777777" w:rsidR="0057559E" w:rsidRPr="00B0658A" w:rsidRDefault="0057559E" w:rsidP="0057559E">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79" w:type="pct"/>
            <w:vAlign w:val="center"/>
          </w:tcPr>
          <w:p w14:paraId="05D6B5D3" w14:textId="77777777" w:rsidR="0057559E" w:rsidRPr="00B0658A" w:rsidRDefault="0057559E" w:rsidP="0057559E">
            <w:pPr>
              <w:spacing w:after="0" w:line="240" w:lineRule="auto"/>
              <w:jc w:val="center"/>
              <w:rPr>
                <w:rFonts w:ascii="Times New Roman" w:hAnsi="Times New Roman"/>
                <w:sz w:val="18"/>
                <w:szCs w:val="18"/>
                <w:lang w:val="en-US"/>
              </w:rPr>
            </w:pPr>
            <w:r w:rsidRPr="00B0658A">
              <w:rPr>
                <w:rFonts w:ascii="Times New Roman" w:hAnsi="Times New Roman"/>
                <w:sz w:val="18"/>
                <w:szCs w:val="18"/>
                <w:lang w:val="en-US"/>
              </w:rPr>
              <w:t>100%</w:t>
            </w:r>
          </w:p>
        </w:tc>
        <w:tc>
          <w:tcPr>
            <w:tcW w:w="367" w:type="pct"/>
            <w:shd w:val="clear" w:color="auto" w:fill="auto"/>
            <w:vAlign w:val="center"/>
          </w:tcPr>
          <w:p w14:paraId="190A08D4" w14:textId="77777777" w:rsidR="0057559E" w:rsidRPr="00B0658A" w:rsidRDefault="0057559E" w:rsidP="0057559E">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7" w:type="pct"/>
            <w:shd w:val="clear" w:color="auto" w:fill="auto"/>
            <w:vAlign w:val="center"/>
          </w:tcPr>
          <w:p w14:paraId="31016C72" w14:textId="77777777" w:rsidR="0057559E" w:rsidRPr="00B0658A" w:rsidRDefault="0057559E" w:rsidP="0057559E">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4" w:type="pct"/>
            <w:shd w:val="clear" w:color="auto" w:fill="auto"/>
            <w:vAlign w:val="center"/>
          </w:tcPr>
          <w:p w14:paraId="1EAA0ED2" w14:textId="77777777" w:rsidR="0057559E" w:rsidRPr="00B0658A" w:rsidRDefault="0057559E" w:rsidP="0057559E">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F52FED" w:rsidRPr="00B0658A" w14:paraId="010ED6BE" w14:textId="77777777" w:rsidTr="00FE71B1">
        <w:trPr>
          <w:trHeight w:val="20"/>
        </w:trPr>
        <w:tc>
          <w:tcPr>
            <w:tcW w:w="342" w:type="pct"/>
            <w:shd w:val="clear" w:color="000000" w:fill="FFFFFF"/>
            <w:vAlign w:val="center"/>
          </w:tcPr>
          <w:p w14:paraId="1C7C8668" w14:textId="77777777" w:rsidR="005B7E3E" w:rsidRPr="00B0658A" w:rsidRDefault="005B7E3E" w:rsidP="00FE71B1">
            <w:pPr>
              <w:spacing w:after="0" w:line="240" w:lineRule="auto"/>
              <w:jc w:val="center"/>
              <w:rPr>
                <w:rFonts w:ascii="Times New Roman" w:hAnsi="Times New Roman"/>
                <w:sz w:val="18"/>
                <w:szCs w:val="18"/>
              </w:rPr>
            </w:pPr>
            <w:r w:rsidRPr="00B0658A">
              <w:rPr>
                <w:rFonts w:ascii="Times New Roman" w:hAnsi="Times New Roman"/>
                <w:sz w:val="18"/>
                <w:szCs w:val="18"/>
              </w:rPr>
              <w:t>3.6</w:t>
            </w:r>
          </w:p>
        </w:tc>
        <w:tc>
          <w:tcPr>
            <w:tcW w:w="1182" w:type="pct"/>
            <w:shd w:val="clear" w:color="auto" w:fill="auto"/>
            <w:vAlign w:val="center"/>
            <w:hideMark/>
          </w:tcPr>
          <w:p w14:paraId="703CF6F4" w14:textId="77777777" w:rsidR="005B7E3E" w:rsidRPr="00B0658A" w:rsidRDefault="005B7E3E" w:rsidP="000A4114">
            <w:pPr>
              <w:spacing w:after="0" w:line="240" w:lineRule="auto"/>
              <w:rPr>
                <w:rFonts w:ascii="Times New Roman" w:hAnsi="Times New Roman"/>
                <w:sz w:val="18"/>
                <w:szCs w:val="18"/>
              </w:rPr>
            </w:pPr>
            <w:r w:rsidRPr="00B0658A">
              <w:rPr>
                <w:rFonts w:ascii="Times New Roman" w:hAnsi="Times New Roman"/>
                <w:sz w:val="18"/>
                <w:szCs w:val="18"/>
              </w:rPr>
              <w:t>Средства обеспечения информационной безопасности/ Средства антивирусной защиты</w:t>
            </w:r>
          </w:p>
        </w:tc>
        <w:tc>
          <w:tcPr>
            <w:tcW w:w="898" w:type="pct"/>
            <w:shd w:val="clear" w:color="000000" w:fill="FFFFFF"/>
            <w:hideMark/>
          </w:tcPr>
          <w:p w14:paraId="6DDAF12A" w14:textId="77777777" w:rsidR="005B7E3E" w:rsidRPr="00B0658A" w:rsidRDefault="005B7E3E" w:rsidP="000A4114">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7" w:type="pct"/>
            <w:shd w:val="clear" w:color="auto" w:fill="auto"/>
            <w:vAlign w:val="center"/>
          </w:tcPr>
          <w:p w14:paraId="0362C249" w14:textId="77777777" w:rsidR="005B7E3E" w:rsidRPr="008C1E9B" w:rsidRDefault="008C1E9B" w:rsidP="000A4114">
            <w:pPr>
              <w:spacing w:after="0" w:line="240" w:lineRule="auto"/>
              <w:jc w:val="center"/>
              <w:rPr>
                <w:rFonts w:ascii="Times New Roman" w:hAnsi="Times New Roman"/>
                <w:sz w:val="18"/>
                <w:szCs w:val="18"/>
              </w:rPr>
            </w:pPr>
            <w:r>
              <w:rPr>
                <w:rFonts w:ascii="Times New Roman" w:hAnsi="Times New Roman"/>
                <w:sz w:val="18"/>
                <w:szCs w:val="18"/>
              </w:rPr>
              <w:t>80</w:t>
            </w:r>
            <w:r w:rsidR="005B7E3E" w:rsidRPr="00B0658A">
              <w:rPr>
                <w:rFonts w:ascii="Times New Roman" w:hAnsi="Times New Roman"/>
                <w:sz w:val="18"/>
                <w:szCs w:val="18"/>
                <w:lang w:val="en-US"/>
              </w:rPr>
              <w:t>%</w:t>
            </w:r>
            <w:r>
              <w:rPr>
                <w:rFonts w:ascii="Times New Roman" w:hAnsi="Times New Roman"/>
                <w:sz w:val="18"/>
                <w:szCs w:val="18"/>
              </w:rPr>
              <w:t>*</w:t>
            </w:r>
          </w:p>
        </w:tc>
        <w:tc>
          <w:tcPr>
            <w:tcW w:w="367" w:type="pct"/>
            <w:shd w:val="clear" w:color="auto" w:fill="auto"/>
            <w:vAlign w:val="center"/>
          </w:tcPr>
          <w:p w14:paraId="7EC41EE4" w14:textId="77777777" w:rsidR="005B7E3E" w:rsidRPr="008C1E9B" w:rsidRDefault="008C1E9B" w:rsidP="000A4114">
            <w:pPr>
              <w:spacing w:after="0" w:line="240" w:lineRule="auto"/>
              <w:jc w:val="center"/>
              <w:rPr>
                <w:rFonts w:ascii="Times New Roman" w:hAnsi="Times New Roman"/>
                <w:sz w:val="18"/>
                <w:szCs w:val="18"/>
              </w:rPr>
            </w:pPr>
            <w:r>
              <w:rPr>
                <w:rFonts w:ascii="Times New Roman" w:hAnsi="Times New Roman"/>
                <w:sz w:val="18"/>
                <w:szCs w:val="18"/>
              </w:rPr>
              <w:t>90</w:t>
            </w:r>
            <w:r w:rsidR="005B7E3E" w:rsidRPr="00B0658A">
              <w:rPr>
                <w:rFonts w:ascii="Times New Roman" w:hAnsi="Times New Roman"/>
                <w:sz w:val="18"/>
                <w:szCs w:val="18"/>
                <w:lang w:val="en-US"/>
              </w:rPr>
              <w:t>%</w:t>
            </w:r>
            <w:r>
              <w:rPr>
                <w:rFonts w:ascii="Times New Roman" w:hAnsi="Times New Roman"/>
                <w:sz w:val="18"/>
                <w:szCs w:val="18"/>
              </w:rPr>
              <w:t>*</w:t>
            </w:r>
          </w:p>
        </w:tc>
        <w:tc>
          <w:tcPr>
            <w:tcW w:w="367" w:type="pct"/>
            <w:shd w:val="clear" w:color="auto" w:fill="auto"/>
            <w:vAlign w:val="center"/>
          </w:tcPr>
          <w:p w14:paraId="44E20FC2" w14:textId="77777777" w:rsidR="005B7E3E" w:rsidRPr="008C1E9B"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r w:rsidR="008C1E9B">
              <w:rPr>
                <w:rFonts w:ascii="Times New Roman" w:hAnsi="Times New Roman"/>
                <w:sz w:val="18"/>
                <w:szCs w:val="18"/>
              </w:rPr>
              <w:t>*</w:t>
            </w:r>
          </w:p>
        </w:tc>
        <w:tc>
          <w:tcPr>
            <w:tcW w:w="379" w:type="pct"/>
            <w:vAlign w:val="center"/>
          </w:tcPr>
          <w:p w14:paraId="2F8353EE" w14:textId="77777777" w:rsidR="005B7E3E" w:rsidRPr="00B0658A" w:rsidRDefault="005B7E3E" w:rsidP="000A4114">
            <w:pPr>
              <w:spacing w:after="0" w:line="240" w:lineRule="auto"/>
              <w:jc w:val="center"/>
              <w:rPr>
                <w:rFonts w:ascii="Times New Roman" w:hAnsi="Times New Roman"/>
                <w:sz w:val="18"/>
                <w:szCs w:val="18"/>
                <w:lang w:val="en-US"/>
              </w:rPr>
            </w:pPr>
            <w:r w:rsidRPr="00B0658A">
              <w:rPr>
                <w:rFonts w:ascii="Times New Roman" w:hAnsi="Times New Roman"/>
                <w:sz w:val="18"/>
                <w:szCs w:val="18"/>
                <w:lang w:val="en-US"/>
              </w:rPr>
              <w:t>100%</w:t>
            </w:r>
          </w:p>
        </w:tc>
        <w:tc>
          <w:tcPr>
            <w:tcW w:w="367" w:type="pct"/>
            <w:shd w:val="clear" w:color="auto" w:fill="auto"/>
            <w:vAlign w:val="center"/>
          </w:tcPr>
          <w:p w14:paraId="5C378BC1"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7" w:type="pct"/>
            <w:shd w:val="clear" w:color="auto" w:fill="auto"/>
            <w:vAlign w:val="center"/>
          </w:tcPr>
          <w:p w14:paraId="59F95117"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4" w:type="pct"/>
            <w:shd w:val="clear" w:color="auto" w:fill="auto"/>
            <w:vAlign w:val="center"/>
          </w:tcPr>
          <w:p w14:paraId="4CA8C15C"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BD279D" w:rsidRPr="00B0658A" w14:paraId="68A847E0" w14:textId="77777777" w:rsidTr="00FE71B1">
        <w:trPr>
          <w:trHeight w:val="20"/>
        </w:trPr>
        <w:tc>
          <w:tcPr>
            <w:tcW w:w="342" w:type="pct"/>
            <w:shd w:val="clear" w:color="000000" w:fill="FFFFFF"/>
            <w:vAlign w:val="center"/>
          </w:tcPr>
          <w:p w14:paraId="3150F537" w14:textId="77777777" w:rsidR="00BD279D" w:rsidRPr="00B0658A" w:rsidRDefault="00BD279D" w:rsidP="00FE71B1">
            <w:pPr>
              <w:spacing w:after="0" w:line="240" w:lineRule="auto"/>
              <w:jc w:val="center"/>
              <w:rPr>
                <w:rFonts w:ascii="Times New Roman" w:hAnsi="Times New Roman"/>
                <w:sz w:val="18"/>
                <w:szCs w:val="18"/>
              </w:rPr>
            </w:pPr>
            <w:r w:rsidRPr="00B0658A">
              <w:rPr>
                <w:rFonts w:ascii="Times New Roman" w:hAnsi="Times New Roman"/>
                <w:sz w:val="18"/>
                <w:szCs w:val="18"/>
              </w:rPr>
              <w:t>3.7</w:t>
            </w:r>
          </w:p>
        </w:tc>
        <w:tc>
          <w:tcPr>
            <w:tcW w:w="1182" w:type="pct"/>
            <w:shd w:val="clear" w:color="auto" w:fill="auto"/>
            <w:vAlign w:val="center"/>
            <w:hideMark/>
          </w:tcPr>
          <w:p w14:paraId="09DC0FAF" w14:textId="77777777" w:rsidR="00BD279D" w:rsidRPr="00B0658A" w:rsidRDefault="00BD279D" w:rsidP="00BD279D">
            <w:pPr>
              <w:spacing w:after="0" w:line="240" w:lineRule="auto"/>
              <w:rPr>
                <w:rFonts w:ascii="Times New Roman" w:hAnsi="Times New Roman"/>
                <w:sz w:val="18"/>
                <w:szCs w:val="18"/>
              </w:rPr>
            </w:pPr>
            <w:r w:rsidRPr="00B0658A">
              <w:rPr>
                <w:rFonts w:ascii="Times New Roman" w:hAnsi="Times New Roman"/>
                <w:sz w:val="18"/>
                <w:szCs w:val="18"/>
              </w:rPr>
              <w:t>Средства обеспечения информационной безопасности/ Средства выявления целевых атак</w:t>
            </w:r>
          </w:p>
        </w:tc>
        <w:tc>
          <w:tcPr>
            <w:tcW w:w="898" w:type="pct"/>
            <w:shd w:val="clear" w:color="000000" w:fill="FFFFFF"/>
            <w:hideMark/>
          </w:tcPr>
          <w:p w14:paraId="5A525D3D" w14:textId="77777777" w:rsidR="00BD279D" w:rsidRPr="00B0658A" w:rsidRDefault="00BD279D" w:rsidP="00BD279D">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7" w:type="pct"/>
            <w:shd w:val="clear" w:color="auto" w:fill="auto"/>
            <w:vAlign w:val="center"/>
          </w:tcPr>
          <w:p w14:paraId="24CFD93F" w14:textId="77777777" w:rsidR="00BD279D" w:rsidRPr="00B0658A" w:rsidRDefault="00BD279D" w:rsidP="00BD279D">
            <w:pPr>
              <w:spacing w:after="0" w:line="240" w:lineRule="auto"/>
              <w:jc w:val="center"/>
              <w:rPr>
                <w:rFonts w:ascii="Times New Roman" w:hAnsi="Times New Roman"/>
                <w:sz w:val="18"/>
                <w:szCs w:val="18"/>
              </w:rPr>
            </w:pPr>
            <w:r>
              <w:rPr>
                <w:rFonts w:ascii="Times New Roman" w:hAnsi="Times New Roman"/>
                <w:sz w:val="18"/>
                <w:szCs w:val="18"/>
              </w:rPr>
              <w:t>60</w:t>
            </w:r>
            <w:r w:rsidRPr="00B0658A">
              <w:rPr>
                <w:rFonts w:ascii="Times New Roman" w:hAnsi="Times New Roman"/>
                <w:sz w:val="18"/>
                <w:szCs w:val="18"/>
                <w:lang w:val="en-US"/>
              </w:rPr>
              <w:t>%</w:t>
            </w:r>
          </w:p>
        </w:tc>
        <w:tc>
          <w:tcPr>
            <w:tcW w:w="367" w:type="pct"/>
            <w:shd w:val="clear" w:color="auto" w:fill="auto"/>
            <w:vAlign w:val="center"/>
          </w:tcPr>
          <w:p w14:paraId="54CE0D38" w14:textId="77777777" w:rsidR="00BD279D" w:rsidRPr="00B0658A" w:rsidRDefault="00BD279D" w:rsidP="00BD279D">
            <w:pPr>
              <w:spacing w:after="0" w:line="240" w:lineRule="auto"/>
              <w:jc w:val="center"/>
              <w:rPr>
                <w:rFonts w:ascii="Times New Roman" w:hAnsi="Times New Roman"/>
                <w:sz w:val="18"/>
                <w:szCs w:val="18"/>
              </w:rPr>
            </w:pPr>
            <w:r>
              <w:rPr>
                <w:rFonts w:ascii="Times New Roman" w:hAnsi="Times New Roman"/>
                <w:sz w:val="18"/>
                <w:szCs w:val="18"/>
              </w:rPr>
              <w:t>8</w:t>
            </w:r>
            <w:r w:rsidRPr="00B0658A">
              <w:rPr>
                <w:rFonts w:ascii="Times New Roman" w:hAnsi="Times New Roman"/>
                <w:sz w:val="18"/>
                <w:szCs w:val="18"/>
                <w:lang w:val="en-US"/>
              </w:rPr>
              <w:t>0%</w:t>
            </w:r>
          </w:p>
        </w:tc>
        <w:tc>
          <w:tcPr>
            <w:tcW w:w="367" w:type="pct"/>
            <w:shd w:val="clear" w:color="auto" w:fill="auto"/>
            <w:vAlign w:val="center"/>
          </w:tcPr>
          <w:p w14:paraId="7FDDF42F" w14:textId="77777777" w:rsidR="00BD279D" w:rsidRPr="00B0658A" w:rsidRDefault="00BD279D" w:rsidP="00BD279D">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79" w:type="pct"/>
            <w:vAlign w:val="center"/>
          </w:tcPr>
          <w:p w14:paraId="00ED9CEC" w14:textId="77777777" w:rsidR="00BD279D" w:rsidRPr="00B0658A" w:rsidRDefault="00BD279D" w:rsidP="00BD279D">
            <w:pPr>
              <w:spacing w:after="0" w:line="240" w:lineRule="auto"/>
              <w:jc w:val="center"/>
              <w:rPr>
                <w:rFonts w:ascii="Times New Roman" w:hAnsi="Times New Roman"/>
                <w:sz w:val="18"/>
                <w:szCs w:val="18"/>
                <w:lang w:val="en-US"/>
              </w:rPr>
            </w:pPr>
            <w:r w:rsidRPr="00B0658A">
              <w:rPr>
                <w:rFonts w:ascii="Times New Roman" w:hAnsi="Times New Roman"/>
                <w:sz w:val="18"/>
                <w:szCs w:val="18"/>
                <w:lang w:val="en-US"/>
              </w:rPr>
              <w:t>100%</w:t>
            </w:r>
          </w:p>
        </w:tc>
        <w:tc>
          <w:tcPr>
            <w:tcW w:w="367" w:type="pct"/>
            <w:shd w:val="clear" w:color="auto" w:fill="auto"/>
            <w:vAlign w:val="center"/>
          </w:tcPr>
          <w:p w14:paraId="36A9C84D" w14:textId="77777777" w:rsidR="00BD279D" w:rsidRPr="00B0658A" w:rsidRDefault="00BD279D" w:rsidP="00BD279D">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7" w:type="pct"/>
            <w:shd w:val="clear" w:color="auto" w:fill="auto"/>
            <w:vAlign w:val="center"/>
          </w:tcPr>
          <w:p w14:paraId="2A75FF27" w14:textId="77777777" w:rsidR="00BD279D" w:rsidRPr="00B0658A" w:rsidRDefault="00BD279D" w:rsidP="00BD279D">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4" w:type="pct"/>
            <w:shd w:val="clear" w:color="auto" w:fill="auto"/>
            <w:vAlign w:val="center"/>
          </w:tcPr>
          <w:p w14:paraId="0BCA3D8F" w14:textId="77777777" w:rsidR="00BD279D" w:rsidRPr="00B0658A" w:rsidRDefault="00BD279D" w:rsidP="00BD279D">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BD279D" w:rsidRPr="00B0658A" w14:paraId="77AA66AF" w14:textId="77777777" w:rsidTr="00FE71B1">
        <w:trPr>
          <w:trHeight w:val="20"/>
        </w:trPr>
        <w:tc>
          <w:tcPr>
            <w:tcW w:w="342" w:type="pct"/>
            <w:shd w:val="clear" w:color="000000" w:fill="FFFFFF"/>
            <w:vAlign w:val="center"/>
          </w:tcPr>
          <w:p w14:paraId="1ADA4DAB" w14:textId="77777777" w:rsidR="00BD279D" w:rsidRPr="00B0658A" w:rsidRDefault="00BD279D" w:rsidP="00FE71B1">
            <w:pPr>
              <w:spacing w:after="0" w:line="240" w:lineRule="auto"/>
              <w:jc w:val="center"/>
              <w:rPr>
                <w:rFonts w:ascii="Times New Roman" w:hAnsi="Times New Roman"/>
                <w:sz w:val="18"/>
                <w:szCs w:val="18"/>
              </w:rPr>
            </w:pPr>
            <w:r w:rsidRPr="00B0658A">
              <w:rPr>
                <w:rFonts w:ascii="Times New Roman" w:hAnsi="Times New Roman"/>
                <w:sz w:val="18"/>
                <w:szCs w:val="18"/>
              </w:rPr>
              <w:t>3.8</w:t>
            </w:r>
          </w:p>
        </w:tc>
        <w:tc>
          <w:tcPr>
            <w:tcW w:w="1182" w:type="pct"/>
            <w:shd w:val="clear" w:color="auto" w:fill="auto"/>
            <w:vAlign w:val="center"/>
            <w:hideMark/>
          </w:tcPr>
          <w:p w14:paraId="43E2652C" w14:textId="77777777" w:rsidR="00BD279D" w:rsidRPr="00B0658A" w:rsidRDefault="00BD279D" w:rsidP="00BD279D">
            <w:pPr>
              <w:spacing w:after="0" w:line="240" w:lineRule="auto"/>
              <w:rPr>
                <w:rFonts w:ascii="Times New Roman" w:hAnsi="Times New Roman"/>
                <w:sz w:val="18"/>
                <w:szCs w:val="18"/>
              </w:rPr>
            </w:pPr>
            <w:r w:rsidRPr="00B0658A">
              <w:rPr>
                <w:rFonts w:ascii="Times New Roman" w:hAnsi="Times New Roman"/>
                <w:sz w:val="18"/>
                <w:szCs w:val="18"/>
              </w:rPr>
              <w:t>Средства обеспечения информационной безопасности/ Средства гарантированного уничтожения данных</w:t>
            </w:r>
          </w:p>
        </w:tc>
        <w:tc>
          <w:tcPr>
            <w:tcW w:w="898" w:type="pct"/>
            <w:shd w:val="clear" w:color="000000" w:fill="FFFFFF"/>
            <w:hideMark/>
          </w:tcPr>
          <w:p w14:paraId="5F5030D5" w14:textId="77777777" w:rsidR="00BD279D" w:rsidRPr="00B0658A" w:rsidRDefault="00BD279D" w:rsidP="00BD279D">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7" w:type="pct"/>
            <w:shd w:val="clear" w:color="auto" w:fill="auto"/>
            <w:vAlign w:val="center"/>
          </w:tcPr>
          <w:p w14:paraId="226E5224" w14:textId="77777777" w:rsidR="00BD279D" w:rsidRPr="00B0658A" w:rsidRDefault="00BD279D" w:rsidP="00BD279D">
            <w:pPr>
              <w:spacing w:after="0" w:line="240" w:lineRule="auto"/>
              <w:jc w:val="center"/>
              <w:rPr>
                <w:rFonts w:ascii="Times New Roman" w:hAnsi="Times New Roman"/>
                <w:sz w:val="18"/>
                <w:szCs w:val="18"/>
              </w:rPr>
            </w:pPr>
            <w:r>
              <w:rPr>
                <w:rFonts w:ascii="Times New Roman" w:hAnsi="Times New Roman"/>
                <w:sz w:val="18"/>
                <w:szCs w:val="18"/>
              </w:rPr>
              <w:t>60</w:t>
            </w:r>
            <w:r w:rsidRPr="00B0658A">
              <w:rPr>
                <w:rFonts w:ascii="Times New Roman" w:hAnsi="Times New Roman"/>
                <w:sz w:val="18"/>
                <w:szCs w:val="18"/>
                <w:lang w:val="en-US"/>
              </w:rPr>
              <w:t>%</w:t>
            </w:r>
          </w:p>
        </w:tc>
        <w:tc>
          <w:tcPr>
            <w:tcW w:w="367" w:type="pct"/>
            <w:shd w:val="clear" w:color="auto" w:fill="auto"/>
            <w:vAlign w:val="center"/>
          </w:tcPr>
          <w:p w14:paraId="7D520518" w14:textId="77777777" w:rsidR="00BD279D" w:rsidRPr="00B0658A" w:rsidRDefault="00BD279D" w:rsidP="00BD279D">
            <w:pPr>
              <w:spacing w:after="0" w:line="240" w:lineRule="auto"/>
              <w:jc w:val="center"/>
              <w:rPr>
                <w:rFonts w:ascii="Times New Roman" w:hAnsi="Times New Roman"/>
                <w:sz w:val="18"/>
                <w:szCs w:val="18"/>
              </w:rPr>
            </w:pPr>
            <w:r>
              <w:rPr>
                <w:rFonts w:ascii="Times New Roman" w:hAnsi="Times New Roman"/>
                <w:sz w:val="18"/>
                <w:szCs w:val="18"/>
              </w:rPr>
              <w:t>8</w:t>
            </w:r>
            <w:r w:rsidRPr="00B0658A">
              <w:rPr>
                <w:rFonts w:ascii="Times New Roman" w:hAnsi="Times New Roman"/>
                <w:sz w:val="18"/>
                <w:szCs w:val="18"/>
                <w:lang w:val="en-US"/>
              </w:rPr>
              <w:t>0%</w:t>
            </w:r>
          </w:p>
        </w:tc>
        <w:tc>
          <w:tcPr>
            <w:tcW w:w="367" w:type="pct"/>
            <w:shd w:val="clear" w:color="auto" w:fill="auto"/>
            <w:vAlign w:val="center"/>
          </w:tcPr>
          <w:p w14:paraId="4E9A57A3" w14:textId="77777777" w:rsidR="00BD279D" w:rsidRPr="00B0658A" w:rsidRDefault="00BD279D" w:rsidP="00BD279D">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79" w:type="pct"/>
            <w:vAlign w:val="center"/>
          </w:tcPr>
          <w:p w14:paraId="1220F40A" w14:textId="77777777" w:rsidR="00BD279D" w:rsidRPr="00B0658A" w:rsidRDefault="00BD279D" w:rsidP="00BD279D">
            <w:pPr>
              <w:spacing w:after="0" w:line="240" w:lineRule="auto"/>
              <w:jc w:val="center"/>
              <w:rPr>
                <w:rFonts w:ascii="Times New Roman" w:hAnsi="Times New Roman"/>
                <w:sz w:val="18"/>
                <w:szCs w:val="18"/>
                <w:lang w:val="en-US"/>
              </w:rPr>
            </w:pPr>
            <w:r w:rsidRPr="00B0658A">
              <w:rPr>
                <w:rFonts w:ascii="Times New Roman" w:hAnsi="Times New Roman"/>
                <w:sz w:val="18"/>
                <w:szCs w:val="18"/>
                <w:lang w:val="en-US"/>
              </w:rPr>
              <w:t>100%</w:t>
            </w:r>
          </w:p>
        </w:tc>
        <w:tc>
          <w:tcPr>
            <w:tcW w:w="367" w:type="pct"/>
            <w:shd w:val="clear" w:color="auto" w:fill="auto"/>
            <w:vAlign w:val="center"/>
          </w:tcPr>
          <w:p w14:paraId="153EE5B9" w14:textId="26839294" w:rsidR="00BD279D" w:rsidRPr="00B0658A" w:rsidRDefault="00947DD4" w:rsidP="00BD279D">
            <w:pPr>
              <w:spacing w:after="0" w:line="240" w:lineRule="auto"/>
              <w:jc w:val="center"/>
              <w:rPr>
                <w:rFonts w:ascii="Times New Roman" w:hAnsi="Times New Roman"/>
                <w:sz w:val="18"/>
                <w:szCs w:val="18"/>
              </w:rPr>
            </w:pPr>
            <w:r>
              <w:rPr>
                <w:rFonts w:ascii="Times New Roman" w:hAnsi="Times New Roman"/>
                <w:sz w:val="18"/>
                <w:szCs w:val="18"/>
              </w:rPr>
              <w:t>100</w:t>
            </w:r>
            <w:r w:rsidR="00BD279D" w:rsidRPr="00B0658A">
              <w:rPr>
                <w:rFonts w:ascii="Times New Roman" w:hAnsi="Times New Roman"/>
                <w:sz w:val="18"/>
                <w:szCs w:val="18"/>
                <w:lang w:val="en-US"/>
              </w:rPr>
              <w:t>%</w:t>
            </w:r>
          </w:p>
        </w:tc>
        <w:tc>
          <w:tcPr>
            <w:tcW w:w="367" w:type="pct"/>
            <w:shd w:val="clear" w:color="auto" w:fill="auto"/>
            <w:vAlign w:val="center"/>
          </w:tcPr>
          <w:p w14:paraId="28FFA5A0" w14:textId="77777777" w:rsidR="00BD279D" w:rsidRPr="00B0658A" w:rsidRDefault="00BD279D" w:rsidP="00BD279D">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4" w:type="pct"/>
            <w:shd w:val="clear" w:color="auto" w:fill="auto"/>
            <w:vAlign w:val="center"/>
          </w:tcPr>
          <w:p w14:paraId="7281C689" w14:textId="77777777" w:rsidR="00BD279D" w:rsidRPr="00B0658A" w:rsidRDefault="00BD279D" w:rsidP="00BD279D">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BD279D" w:rsidRPr="00B0658A" w14:paraId="52212419" w14:textId="77777777" w:rsidTr="00FE71B1">
        <w:trPr>
          <w:trHeight w:val="20"/>
        </w:trPr>
        <w:tc>
          <w:tcPr>
            <w:tcW w:w="342" w:type="pct"/>
            <w:shd w:val="clear" w:color="000000" w:fill="FFFFFF"/>
            <w:vAlign w:val="center"/>
          </w:tcPr>
          <w:p w14:paraId="5F323D96" w14:textId="77777777" w:rsidR="00BD279D" w:rsidRPr="00B0658A" w:rsidRDefault="00BD279D" w:rsidP="00FE71B1">
            <w:pPr>
              <w:spacing w:after="0" w:line="240" w:lineRule="auto"/>
              <w:jc w:val="center"/>
              <w:rPr>
                <w:rFonts w:ascii="Times New Roman" w:hAnsi="Times New Roman"/>
                <w:sz w:val="18"/>
                <w:szCs w:val="18"/>
              </w:rPr>
            </w:pPr>
            <w:r w:rsidRPr="00B0658A">
              <w:rPr>
                <w:rFonts w:ascii="Times New Roman" w:hAnsi="Times New Roman"/>
                <w:sz w:val="18"/>
                <w:szCs w:val="18"/>
              </w:rPr>
              <w:t>3.9</w:t>
            </w:r>
          </w:p>
        </w:tc>
        <w:tc>
          <w:tcPr>
            <w:tcW w:w="1182" w:type="pct"/>
            <w:shd w:val="clear" w:color="auto" w:fill="auto"/>
            <w:vAlign w:val="center"/>
            <w:hideMark/>
          </w:tcPr>
          <w:p w14:paraId="257180A1" w14:textId="77777777" w:rsidR="00BD279D" w:rsidRPr="00B0658A" w:rsidRDefault="00BD279D" w:rsidP="00BD279D">
            <w:pPr>
              <w:spacing w:after="0" w:line="240" w:lineRule="auto"/>
              <w:rPr>
                <w:rFonts w:ascii="Times New Roman" w:hAnsi="Times New Roman"/>
                <w:sz w:val="18"/>
                <w:szCs w:val="18"/>
              </w:rPr>
            </w:pPr>
            <w:r w:rsidRPr="00B0658A">
              <w:rPr>
                <w:rFonts w:ascii="Times New Roman" w:hAnsi="Times New Roman"/>
                <w:sz w:val="18"/>
                <w:szCs w:val="18"/>
              </w:rPr>
              <w:t>Средства обеспечения информационной безопасности/ Средства обнаружения и предотвращения утечек информации</w:t>
            </w:r>
          </w:p>
        </w:tc>
        <w:tc>
          <w:tcPr>
            <w:tcW w:w="898" w:type="pct"/>
            <w:shd w:val="clear" w:color="000000" w:fill="FFFFFF"/>
            <w:hideMark/>
          </w:tcPr>
          <w:p w14:paraId="0E6071DD" w14:textId="77777777" w:rsidR="00BD279D" w:rsidRPr="00B0658A" w:rsidRDefault="00BD279D" w:rsidP="00BD279D">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7" w:type="pct"/>
            <w:shd w:val="clear" w:color="auto" w:fill="auto"/>
            <w:vAlign w:val="center"/>
          </w:tcPr>
          <w:p w14:paraId="24FCE8CE" w14:textId="77777777" w:rsidR="00BD279D" w:rsidRPr="00B0658A" w:rsidRDefault="00BD279D" w:rsidP="00BD279D">
            <w:pPr>
              <w:spacing w:after="0" w:line="240" w:lineRule="auto"/>
              <w:jc w:val="center"/>
              <w:rPr>
                <w:rFonts w:ascii="Times New Roman" w:hAnsi="Times New Roman"/>
                <w:sz w:val="18"/>
                <w:szCs w:val="18"/>
              </w:rPr>
            </w:pPr>
            <w:r>
              <w:rPr>
                <w:rFonts w:ascii="Times New Roman" w:hAnsi="Times New Roman"/>
                <w:sz w:val="18"/>
                <w:szCs w:val="18"/>
              </w:rPr>
              <w:t>60</w:t>
            </w:r>
            <w:r w:rsidRPr="00B0658A">
              <w:rPr>
                <w:rFonts w:ascii="Times New Roman" w:hAnsi="Times New Roman"/>
                <w:sz w:val="18"/>
                <w:szCs w:val="18"/>
                <w:lang w:val="en-US"/>
              </w:rPr>
              <w:t>%</w:t>
            </w:r>
          </w:p>
        </w:tc>
        <w:tc>
          <w:tcPr>
            <w:tcW w:w="367" w:type="pct"/>
            <w:shd w:val="clear" w:color="auto" w:fill="auto"/>
            <w:vAlign w:val="center"/>
          </w:tcPr>
          <w:p w14:paraId="157BDF2F" w14:textId="77777777" w:rsidR="00BD279D" w:rsidRPr="00B0658A" w:rsidRDefault="00BD279D" w:rsidP="00BD279D">
            <w:pPr>
              <w:spacing w:after="0" w:line="240" w:lineRule="auto"/>
              <w:jc w:val="center"/>
              <w:rPr>
                <w:rFonts w:ascii="Times New Roman" w:hAnsi="Times New Roman"/>
                <w:sz w:val="18"/>
                <w:szCs w:val="18"/>
              </w:rPr>
            </w:pPr>
            <w:r>
              <w:rPr>
                <w:rFonts w:ascii="Times New Roman" w:hAnsi="Times New Roman"/>
                <w:sz w:val="18"/>
                <w:szCs w:val="18"/>
              </w:rPr>
              <w:t>8</w:t>
            </w:r>
            <w:r w:rsidRPr="00B0658A">
              <w:rPr>
                <w:rFonts w:ascii="Times New Roman" w:hAnsi="Times New Roman"/>
                <w:sz w:val="18"/>
                <w:szCs w:val="18"/>
                <w:lang w:val="en-US"/>
              </w:rPr>
              <w:t>0%</w:t>
            </w:r>
          </w:p>
        </w:tc>
        <w:tc>
          <w:tcPr>
            <w:tcW w:w="367" w:type="pct"/>
            <w:shd w:val="clear" w:color="auto" w:fill="auto"/>
            <w:vAlign w:val="center"/>
          </w:tcPr>
          <w:p w14:paraId="4C2DD854" w14:textId="77777777" w:rsidR="00BD279D" w:rsidRPr="00B0658A" w:rsidRDefault="00BD279D" w:rsidP="00BD279D">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79" w:type="pct"/>
            <w:vAlign w:val="center"/>
          </w:tcPr>
          <w:p w14:paraId="15D0E895" w14:textId="77777777" w:rsidR="00BD279D" w:rsidRPr="00B0658A" w:rsidRDefault="00BD279D" w:rsidP="00BD279D">
            <w:pPr>
              <w:spacing w:after="0" w:line="240" w:lineRule="auto"/>
              <w:jc w:val="center"/>
              <w:rPr>
                <w:rFonts w:ascii="Times New Roman" w:hAnsi="Times New Roman"/>
                <w:sz w:val="18"/>
                <w:szCs w:val="18"/>
                <w:lang w:val="en-US"/>
              </w:rPr>
            </w:pPr>
            <w:r w:rsidRPr="00B0658A">
              <w:rPr>
                <w:rFonts w:ascii="Times New Roman" w:hAnsi="Times New Roman"/>
                <w:sz w:val="18"/>
                <w:szCs w:val="18"/>
                <w:lang w:val="en-US"/>
              </w:rPr>
              <w:t>100%</w:t>
            </w:r>
          </w:p>
        </w:tc>
        <w:tc>
          <w:tcPr>
            <w:tcW w:w="367" w:type="pct"/>
            <w:shd w:val="clear" w:color="auto" w:fill="auto"/>
            <w:vAlign w:val="center"/>
          </w:tcPr>
          <w:p w14:paraId="0A775C59" w14:textId="77777777" w:rsidR="00BD279D" w:rsidRPr="00B0658A" w:rsidRDefault="00BD279D" w:rsidP="00BD279D">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7" w:type="pct"/>
            <w:shd w:val="clear" w:color="auto" w:fill="auto"/>
            <w:vAlign w:val="center"/>
          </w:tcPr>
          <w:p w14:paraId="201E68FF" w14:textId="77777777" w:rsidR="00BD279D" w:rsidRPr="00B0658A" w:rsidRDefault="00BD279D" w:rsidP="00BD279D">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4" w:type="pct"/>
            <w:shd w:val="clear" w:color="auto" w:fill="auto"/>
            <w:vAlign w:val="center"/>
          </w:tcPr>
          <w:p w14:paraId="49AECDFC" w14:textId="77777777" w:rsidR="00BD279D" w:rsidRPr="00B0658A" w:rsidRDefault="00BD279D" w:rsidP="00BD279D">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F52FED" w:rsidRPr="00B0658A" w14:paraId="2119DCB8" w14:textId="77777777" w:rsidTr="00FE71B1">
        <w:trPr>
          <w:trHeight w:val="20"/>
        </w:trPr>
        <w:tc>
          <w:tcPr>
            <w:tcW w:w="342" w:type="pct"/>
            <w:shd w:val="clear" w:color="000000" w:fill="FFFFFF"/>
            <w:vAlign w:val="center"/>
          </w:tcPr>
          <w:p w14:paraId="5C72ADF8" w14:textId="77777777" w:rsidR="005B7E3E" w:rsidRPr="00B0658A" w:rsidRDefault="005B7E3E" w:rsidP="00FE71B1">
            <w:pPr>
              <w:spacing w:after="0" w:line="240" w:lineRule="auto"/>
              <w:jc w:val="center"/>
              <w:rPr>
                <w:rFonts w:ascii="Times New Roman" w:hAnsi="Times New Roman"/>
                <w:sz w:val="18"/>
                <w:szCs w:val="18"/>
              </w:rPr>
            </w:pPr>
            <w:r w:rsidRPr="00B0658A">
              <w:rPr>
                <w:rFonts w:ascii="Times New Roman" w:hAnsi="Times New Roman"/>
                <w:sz w:val="18"/>
                <w:szCs w:val="18"/>
              </w:rPr>
              <w:t>3.10</w:t>
            </w:r>
          </w:p>
        </w:tc>
        <w:tc>
          <w:tcPr>
            <w:tcW w:w="1182" w:type="pct"/>
            <w:shd w:val="clear" w:color="auto" w:fill="auto"/>
            <w:vAlign w:val="center"/>
            <w:hideMark/>
          </w:tcPr>
          <w:p w14:paraId="3688E999" w14:textId="77777777" w:rsidR="005B7E3E" w:rsidRPr="00B0658A" w:rsidRDefault="005B7E3E" w:rsidP="000A4114">
            <w:pPr>
              <w:spacing w:after="0" w:line="240" w:lineRule="auto"/>
              <w:rPr>
                <w:rFonts w:ascii="Times New Roman" w:hAnsi="Times New Roman"/>
                <w:sz w:val="18"/>
                <w:szCs w:val="18"/>
              </w:rPr>
            </w:pPr>
            <w:r w:rsidRPr="00B0658A">
              <w:rPr>
                <w:rFonts w:ascii="Times New Roman" w:hAnsi="Times New Roman"/>
                <w:sz w:val="18"/>
                <w:szCs w:val="18"/>
              </w:rPr>
              <w:t>Средства обеспечения информационной безопасности/ Средства криптографической защиты информации и электронной подписи</w:t>
            </w:r>
          </w:p>
        </w:tc>
        <w:tc>
          <w:tcPr>
            <w:tcW w:w="898" w:type="pct"/>
            <w:shd w:val="clear" w:color="000000" w:fill="FFFFFF"/>
            <w:hideMark/>
          </w:tcPr>
          <w:p w14:paraId="3D7658A4" w14:textId="77777777" w:rsidR="005B7E3E" w:rsidRPr="00B0658A" w:rsidRDefault="005B7E3E" w:rsidP="000A4114">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7" w:type="pct"/>
            <w:shd w:val="clear" w:color="auto" w:fill="auto"/>
            <w:vAlign w:val="center"/>
          </w:tcPr>
          <w:p w14:paraId="00335F0D"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7" w:type="pct"/>
            <w:shd w:val="clear" w:color="auto" w:fill="auto"/>
            <w:vAlign w:val="center"/>
          </w:tcPr>
          <w:p w14:paraId="4DD23689"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7" w:type="pct"/>
            <w:shd w:val="clear" w:color="auto" w:fill="auto"/>
            <w:vAlign w:val="center"/>
          </w:tcPr>
          <w:p w14:paraId="1483042F"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79" w:type="pct"/>
            <w:vAlign w:val="center"/>
          </w:tcPr>
          <w:p w14:paraId="01443BD8" w14:textId="77777777" w:rsidR="005B7E3E" w:rsidRPr="00B0658A" w:rsidRDefault="005B7E3E" w:rsidP="000A4114">
            <w:pPr>
              <w:spacing w:after="0" w:line="240" w:lineRule="auto"/>
              <w:jc w:val="center"/>
              <w:rPr>
                <w:rFonts w:ascii="Times New Roman" w:hAnsi="Times New Roman"/>
                <w:sz w:val="18"/>
                <w:szCs w:val="18"/>
                <w:lang w:val="en-US"/>
              </w:rPr>
            </w:pPr>
            <w:r w:rsidRPr="00B0658A">
              <w:rPr>
                <w:rFonts w:ascii="Times New Roman" w:hAnsi="Times New Roman"/>
                <w:sz w:val="18"/>
                <w:szCs w:val="18"/>
                <w:lang w:val="en-US"/>
              </w:rPr>
              <w:t>100%</w:t>
            </w:r>
          </w:p>
        </w:tc>
        <w:tc>
          <w:tcPr>
            <w:tcW w:w="367" w:type="pct"/>
            <w:shd w:val="clear" w:color="auto" w:fill="auto"/>
            <w:vAlign w:val="center"/>
          </w:tcPr>
          <w:p w14:paraId="31B88CDC"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7" w:type="pct"/>
            <w:shd w:val="clear" w:color="auto" w:fill="auto"/>
            <w:vAlign w:val="center"/>
          </w:tcPr>
          <w:p w14:paraId="1000A107"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4" w:type="pct"/>
            <w:shd w:val="clear" w:color="auto" w:fill="auto"/>
            <w:vAlign w:val="center"/>
          </w:tcPr>
          <w:p w14:paraId="032E4501"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BD279D" w:rsidRPr="00B0658A" w14:paraId="7517721E" w14:textId="77777777" w:rsidTr="00FE71B1">
        <w:trPr>
          <w:trHeight w:val="20"/>
        </w:trPr>
        <w:tc>
          <w:tcPr>
            <w:tcW w:w="342" w:type="pct"/>
            <w:shd w:val="clear" w:color="000000" w:fill="FFFFFF"/>
            <w:vAlign w:val="center"/>
          </w:tcPr>
          <w:p w14:paraId="78353428" w14:textId="77777777" w:rsidR="00BD279D" w:rsidRPr="00B0658A" w:rsidRDefault="00BD279D" w:rsidP="00FE71B1">
            <w:pPr>
              <w:spacing w:after="0" w:line="240" w:lineRule="auto"/>
              <w:jc w:val="center"/>
              <w:rPr>
                <w:rFonts w:ascii="Times New Roman" w:hAnsi="Times New Roman"/>
                <w:sz w:val="18"/>
                <w:szCs w:val="18"/>
              </w:rPr>
            </w:pPr>
            <w:r w:rsidRPr="00B0658A">
              <w:rPr>
                <w:rFonts w:ascii="Times New Roman" w:hAnsi="Times New Roman"/>
                <w:sz w:val="18"/>
                <w:szCs w:val="18"/>
              </w:rPr>
              <w:t>3.11</w:t>
            </w:r>
          </w:p>
        </w:tc>
        <w:tc>
          <w:tcPr>
            <w:tcW w:w="1182" w:type="pct"/>
            <w:shd w:val="clear" w:color="auto" w:fill="auto"/>
            <w:vAlign w:val="center"/>
            <w:hideMark/>
          </w:tcPr>
          <w:p w14:paraId="2C1EC94C" w14:textId="77777777" w:rsidR="00BD279D" w:rsidRPr="00B0658A" w:rsidRDefault="00BD279D" w:rsidP="00BD279D">
            <w:pPr>
              <w:spacing w:after="0" w:line="240" w:lineRule="auto"/>
              <w:rPr>
                <w:rFonts w:ascii="Times New Roman" w:hAnsi="Times New Roman"/>
                <w:sz w:val="18"/>
                <w:szCs w:val="18"/>
              </w:rPr>
            </w:pPr>
            <w:r w:rsidRPr="00B0658A">
              <w:rPr>
                <w:rFonts w:ascii="Times New Roman" w:hAnsi="Times New Roman"/>
                <w:sz w:val="18"/>
                <w:szCs w:val="18"/>
              </w:rPr>
              <w:t>Средства обеспечения информационной безопасности/ Средства защиты каналов передачи данных, в том числе криптографическими методами</w:t>
            </w:r>
          </w:p>
        </w:tc>
        <w:tc>
          <w:tcPr>
            <w:tcW w:w="898" w:type="pct"/>
            <w:shd w:val="clear" w:color="000000" w:fill="FFFFFF"/>
            <w:hideMark/>
          </w:tcPr>
          <w:p w14:paraId="341D33EA" w14:textId="77777777" w:rsidR="00BD279D" w:rsidRPr="00B0658A" w:rsidRDefault="00BD279D" w:rsidP="00BD279D">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7" w:type="pct"/>
            <w:shd w:val="clear" w:color="auto" w:fill="auto"/>
            <w:vAlign w:val="center"/>
          </w:tcPr>
          <w:p w14:paraId="5F5D6089" w14:textId="77777777" w:rsidR="00BD279D" w:rsidRPr="00B0658A" w:rsidRDefault="00BD279D" w:rsidP="00BD279D">
            <w:pPr>
              <w:spacing w:after="0" w:line="240" w:lineRule="auto"/>
              <w:jc w:val="center"/>
              <w:rPr>
                <w:rFonts w:ascii="Times New Roman" w:hAnsi="Times New Roman"/>
                <w:sz w:val="18"/>
                <w:szCs w:val="18"/>
              </w:rPr>
            </w:pPr>
            <w:r>
              <w:rPr>
                <w:rFonts w:ascii="Times New Roman" w:hAnsi="Times New Roman"/>
                <w:sz w:val="18"/>
                <w:szCs w:val="18"/>
              </w:rPr>
              <w:t>60</w:t>
            </w:r>
            <w:r w:rsidRPr="00B0658A">
              <w:rPr>
                <w:rFonts w:ascii="Times New Roman" w:hAnsi="Times New Roman"/>
                <w:sz w:val="18"/>
                <w:szCs w:val="18"/>
                <w:lang w:val="en-US"/>
              </w:rPr>
              <w:t>%</w:t>
            </w:r>
          </w:p>
        </w:tc>
        <w:tc>
          <w:tcPr>
            <w:tcW w:w="367" w:type="pct"/>
            <w:shd w:val="clear" w:color="auto" w:fill="auto"/>
            <w:vAlign w:val="center"/>
          </w:tcPr>
          <w:p w14:paraId="1C4D6161" w14:textId="77777777" w:rsidR="00BD279D" w:rsidRPr="00B0658A" w:rsidRDefault="00BD279D" w:rsidP="00BD279D">
            <w:pPr>
              <w:spacing w:after="0" w:line="240" w:lineRule="auto"/>
              <w:jc w:val="center"/>
              <w:rPr>
                <w:rFonts w:ascii="Times New Roman" w:hAnsi="Times New Roman"/>
                <w:sz w:val="18"/>
                <w:szCs w:val="18"/>
              </w:rPr>
            </w:pPr>
            <w:r>
              <w:rPr>
                <w:rFonts w:ascii="Times New Roman" w:hAnsi="Times New Roman"/>
                <w:sz w:val="18"/>
                <w:szCs w:val="18"/>
              </w:rPr>
              <w:t>8</w:t>
            </w:r>
            <w:r w:rsidRPr="00B0658A">
              <w:rPr>
                <w:rFonts w:ascii="Times New Roman" w:hAnsi="Times New Roman"/>
                <w:sz w:val="18"/>
                <w:szCs w:val="18"/>
                <w:lang w:val="en-US"/>
              </w:rPr>
              <w:t>0%</w:t>
            </w:r>
          </w:p>
        </w:tc>
        <w:tc>
          <w:tcPr>
            <w:tcW w:w="367" w:type="pct"/>
            <w:shd w:val="clear" w:color="auto" w:fill="auto"/>
            <w:vAlign w:val="center"/>
          </w:tcPr>
          <w:p w14:paraId="5F9D9882" w14:textId="77777777" w:rsidR="00BD279D" w:rsidRPr="00B0658A" w:rsidRDefault="00BD279D" w:rsidP="00BD279D">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79" w:type="pct"/>
            <w:vAlign w:val="center"/>
          </w:tcPr>
          <w:p w14:paraId="3BF09E00" w14:textId="77777777" w:rsidR="00BD279D" w:rsidRPr="00B0658A" w:rsidRDefault="00BD279D" w:rsidP="00BD279D">
            <w:pPr>
              <w:spacing w:after="0" w:line="240" w:lineRule="auto"/>
              <w:jc w:val="center"/>
              <w:rPr>
                <w:rFonts w:ascii="Times New Roman" w:hAnsi="Times New Roman"/>
                <w:sz w:val="18"/>
                <w:szCs w:val="18"/>
                <w:lang w:val="en-US"/>
              </w:rPr>
            </w:pPr>
            <w:r w:rsidRPr="00B0658A">
              <w:rPr>
                <w:rFonts w:ascii="Times New Roman" w:hAnsi="Times New Roman"/>
                <w:sz w:val="18"/>
                <w:szCs w:val="18"/>
                <w:lang w:val="en-US"/>
              </w:rPr>
              <w:t>100%</w:t>
            </w:r>
          </w:p>
        </w:tc>
        <w:tc>
          <w:tcPr>
            <w:tcW w:w="367" w:type="pct"/>
            <w:shd w:val="clear" w:color="auto" w:fill="auto"/>
            <w:vAlign w:val="center"/>
          </w:tcPr>
          <w:p w14:paraId="18EA399F" w14:textId="77777777" w:rsidR="00BD279D" w:rsidRPr="00B0658A" w:rsidRDefault="00BD279D" w:rsidP="00BD279D">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7" w:type="pct"/>
            <w:shd w:val="clear" w:color="auto" w:fill="auto"/>
            <w:vAlign w:val="center"/>
          </w:tcPr>
          <w:p w14:paraId="6CB15782" w14:textId="77777777" w:rsidR="00BD279D" w:rsidRPr="00B0658A" w:rsidRDefault="00BD279D" w:rsidP="00BD279D">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4" w:type="pct"/>
            <w:shd w:val="clear" w:color="auto" w:fill="auto"/>
            <w:vAlign w:val="center"/>
          </w:tcPr>
          <w:p w14:paraId="6A7712C1" w14:textId="77777777" w:rsidR="00BD279D" w:rsidRPr="00B0658A" w:rsidRDefault="00BD279D" w:rsidP="00BD279D">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BD279D" w:rsidRPr="00B0658A" w14:paraId="221CF901" w14:textId="77777777" w:rsidTr="00FE71B1">
        <w:trPr>
          <w:trHeight w:val="20"/>
        </w:trPr>
        <w:tc>
          <w:tcPr>
            <w:tcW w:w="342" w:type="pct"/>
            <w:shd w:val="clear" w:color="000000" w:fill="FFFFFF"/>
            <w:vAlign w:val="center"/>
          </w:tcPr>
          <w:p w14:paraId="1F81DA58" w14:textId="77777777" w:rsidR="00BD279D" w:rsidRPr="00B0658A" w:rsidRDefault="00BD279D" w:rsidP="00FE71B1">
            <w:pPr>
              <w:spacing w:after="0" w:line="240" w:lineRule="auto"/>
              <w:jc w:val="center"/>
              <w:rPr>
                <w:rFonts w:ascii="Times New Roman" w:hAnsi="Times New Roman"/>
                <w:sz w:val="18"/>
                <w:szCs w:val="18"/>
              </w:rPr>
            </w:pPr>
            <w:r w:rsidRPr="00B0658A">
              <w:rPr>
                <w:rFonts w:ascii="Times New Roman" w:hAnsi="Times New Roman"/>
                <w:sz w:val="18"/>
                <w:szCs w:val="18"/>
              </w:rPr>
              <w:t>3.12</w:t>
            </w:r>
          </w:p>
        </w:tc>
        <w:tc>
          <w:tcPr>
            <w:tcW w:w="1182" w:type="pct"/>
            <w:shd w:val="clear" w:color="auto" w:fill="auto"/>
            <w:vAlign w:val="center"/>
            <w:hideMark/>
          </w:tcPr>
          <w:p w14:paraId="53A215BE" w14:textId="77777777" w:rsidR="00BD279D" w:rsidRPr="00B0658A" w:rsidRDefault="00BD279D" w:rsidP="00BD279D">
            <w:pPr>
              <w:spacing w:after="0" w:line="240" w:lineRule="auto"/>
              <w:rPr>
                <w:rFonts w:ascii="Times New Roman" w:hAnsi="Times New Roman"/>
                <w:sz w:val="18"/>
                <w:szCs w:val="18"/>
              </w:rPr>
            </w:pPr>
            <w:r w:rsidRPr="00B0658A">
              <w:rPr>
                <w:rFonts w:ascii="Times New Roman" w:hAnsi="Times New Roman"/>
                <w:sz w:val="18"/>
                <w:szCs w:val="18"/>
              </w:rPr>
              <w:t>Средства обеспечения информационной безопасности/ Системы управления доступом к информационным ресурсам</w:t>
            </w:r>
          </w:p>
        </w:tc>
        <w:tc>
          <w:tcPr>
            <w:tcW w:w="898" w:type="pct"/>
            <w:shd w:val="clear" w:color="000000" w:fill="FFFFFF"/>
            <w:hideMark/>
          </w:tcPr>
          <w:p w14:paraId="0C290792" w14:textId="77777777" w:rsidR="00BD279D" w:rsidRPr="00B0658A" w:rsidRDefault="00BD279D" w:rsidP="00BD279D">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7" w:type="pct"/>
            <w:shd w:val="clear" w:color="auto" w:fill="auto"/>
            <w:vAlign w:val="center"/>
          </w:tcPr>
          <w:p w14:paraId="1D1434F2" w14:textId="77777777" w:rsidR="00BD279D" w:rsidRPr="00B0658A" w:rsidRDefault="00BD279D" w:rsidP="00BD279D">
            <w:pPr>
              <w:spacing w:after="0" w:line="240" w:lineRule="auto"/>
              <w:jc w:val="center"/>
              <w:rPr>
                <w:rFonts w:ascii="Times New Roman" w:hAnsi="Times New Roman"/>
                <w:sz w:val="18"/>
                <w:szCs w:val="18"/>
              </w:rPr>
            </w:pPr>
            <w:r>
              <w:rPr>
                <w:rFonts w:ascii="Times New Roman" w:hAnsi="Times New Roman"/>
                <w:sz w:val="18"/>
                <w:szCs w:val="18"/>
              </w:rPr>
              <w:t>60</w:t>
            </w:r>
            <w:r w:rsidRPr="00B0658A">
              <w:rPr>
                <w:rFonts w:ascii="Times New Roman" w:hAnsi="Times New Roman"/>
                <w:sz w:val="18"/>
                <w:szCs w:val="18"/>
                <w:lang w:val="en-US"/>
              </w:rPr>
              <w:t>%</w:t>
            </w:r>
          </w:p>
        </w:tc>
        <w:tc>
          <w:tcPr>
            <w:tcW w:w="367" w:type="pct"/>
            <w:shd w:val="clear" w:color="auto" w:fill="auto"/>
            <w:vAlign w:val="center"/>
          </w:tcPr>
          <w:p w14:paraId="2B3FF7A4" w14:textId="77777777" w:rsidR="00BD279D" w:rsidRPr="00B0658A" w:rsidRDefault="00BD279D" w:rsidP="00BD279D">
            <w:pPr>
              <w:spacing w:after="0" w:line="240" w:lineRule="auto"/>
              <w:jc w:val="center"/>
              <w:rPr>
                <w:rFonts w:ascii="Times New Roman" w:hAnsi="Times New Roman"/>
                <w:sz w:val="18"/>
                <w:szCs w:val="18"/>
              </w:rPr>
            </w:pPr>
            <w:r>
              <w:rPr>
                <w:rFonts w:ascii="Times New Roman" w:hAnsi="Times New Roman"/>
                <w:sz w:val="18"/>
                <w:szCs w:val="18"/>
              </w:rPr>
              <w:t>8</w:t>
            </w:r>
            <w:r w:rsidRPr="00B0658A">
              <w:rPr>
                <w:rFonts w:ascii="Times New Roman" w:hAnsi="Times New Roman"/>
                <w:sz w:val="18"/>
                <w:szCs w:val="18"/>
                <w:lang w:val="en-US"/>
              </w:rPr>
              <w:t>0%</w:t>
            </w:r>
          </w:p>
        </w:tc>
        <w:tc>
          <w:tcPr>
            <w:tcW w:w="367" w:type="pct"/>
            <w:shd w:val="clear" w:color="auto" w:fill="auto"/>
            <w:vAlign w:val="center"/>
          </w:tcPr>
          <w:p w14:paraId="500C0C3E" w14:textId="77777777" w:rsidR="00BD279D" w:rsidRPr="00B0658A" w:rsidRDefault="00BD279D" w:rsidP="00BD279D">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79" w:type="pct"/>
            <w:vAlign w:val="center"/>
          </w:tcPr>
          <w:p w14:paraId="793E932B" w14:textId="77777777" w:rsidR="00BD279D" w:rsidRPr="00B0658A" w:rsidRDefault="00BD279D" w:rsidP="00BD279D">
            <w:pPr>
              <w:spacing w:after="0" w:line="240" w:lineRule="auto"/>
              <w:jc w:val="center"/>
              <w:rPr>
                <w:rFonts w:ascii="Times New Roman" w:hAnsi="Times New Roman"/>
                <w:sz w:val="18"/>
                <w:szCs w:val="18"/>
                <w:lang w:val="en-US"/>
              </w:rPr>
            </w:pPr>
            <w:r w:rsidRPr="00B0658A">
              <w:rPr>
                <w:rFonts w:ascii="Times New Roman" w:hAnsi="Times New Roman"/>
                <w:sz w:val="18"/>
                <w:szCs w:val="18"/>
                <w:lang w:val="en-US"/>
              </w:rPr>
              <w:t>100%</w:t>
            </w:r>
          </w:p>
        </w:tc>
        <w:tc>
          <w:tcPr>
            <w:tcW w:w="367" w:type="pct"/>
            <w:shd w:val="clear" w:color="auto" w:fill="auto"/>
            <w:vAlign w:val="center"/>
          </w:tcPr>
          <w:p w14:paraId="70A0C0FE" w14:textId="77777777" w:rsidR="00BD279D" w:rsidRPr="00B0658A" w:rsidRDefault="0057559E" w:rsidP="00BD279D">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7" w:type="pct"/>
            <w:shd w:val="clear" w:color="auto" w:fill="auto"/>
            <w:vAlign w:val="center"/>
          </w:tcPr>
          <w:p w14:paraId="6218D186" w14:textId="77777777" w:rsidR="00BD279D" w:rsidRPr="00B0658A" w:rsidRDefault="00BD279D" w:rsidP="00BD279D">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4" w:type="pct"/>
            <w:shd w:val="clear" w:color="auto" w:fill="auto"/>
            <w:vAlign w:val="center"/>
          </w:tcPr>
          <w:p w14:paraId="6D2AE841" w14:textId="77777777" w:rsidR="00BD279D" w:rsidRPr="00B0658A" w:rsidRDefault="00BD279D" w:rsidP="00BD279D">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F52FED" w:rsidRPr="00B0658A" w14:paraId="606376C8" w14:textId="77777777" w:rsidTr="00FE71B1">
        <w:trPr>
          <w:trHeight w:val="20"/>
        </w:trPr>
        <w:tc>
          <w:tcPr>
            <w:tcW w:w="342" w:type="pct"/>
            <w:shd w:val="clear" w:color="000000" w:fill="FFFFFF"/>
            <w:vAlign w:val="center"/>
          </w:tcPr>
          <w:p w14:paraId="4C896AB6" w14:textId="77777777" w:rsidR="005B7E3E" w:rsidRPr="00B0658A" w:rsidRDefault="005B7E3E" w:rsidP="00FE71B1">
            <w:pPr>
              <w:spacing w:after="0" w:line="240" w:lineRule="auto"/>
              <w:jc w:val="center"/>
              <w:rPr>
                <w:rFonts w:ascii="Times New Roman" w:hAnsi="Times New Roman"/>
                <w:sz w:val="18"/>
                <w:szCs w:val="18"/>
              </w:rPr>
            </w:pPr>
            <w:r w:rsidRPr="00B0658A">
              <w:rPr>
                <w:rFonts w:ascii="Times New Roman" w:hAnsi="Times New Roman"/>
                <w:sz w:val="18"/>
                <w:szCs w:val="18"/>
              </w:rPr>
              <w:t>3.13</w:t>
            </w:r>
          </w:p>
        </w:tc>
        <w:tc>
          <w:tcPr>
            <w:tcW w:w="1182" w:type="pct"/>
            <w:shd w:val="clear" w:color="auto" w:fill="auto"/>
            <w:vAlign w:val="center"/>
            <w:hideMark/>
          </w:tcPr>
          <w:p w14:paraId="4ECFAFAB" w14:textId="77777777" w:rsidR="005B7E3E" w:rsidRPr="00B0658A" w:rsidRDefault="005B7E3E" w:rsidP="000A4114">
            <w:pPr>
              <w:spacing w:after="0" w:line="240" w:lineRule="auto"/>
              <w:rPr>
                <w:rFonts w:ascii="Times New Roman" w:hAnsi="Times New Roman"/>
                <w:sz w:val="18"/>
                <w:szCs w:val="18"/>
              </w:rPr>
            </w:pPr>
            <w:r w:rsidRPr="00B0658A">
              <w:rPr>
                <w:rFonts w:ascii="Times New Roman" w:hAnsi="Times New Roman"/>
                <w:sz w:val="18"/>
                <w:szCs w:val="18"/>
              </w:rPr>
              <w:t>Средства обеспечения информационной безопасности/ Средства резервного копирования</w:t>
            </w:r>
          </w:p>
        </w:tc>
        <w:tc>
          <w:tcPr>
            <w:tcW w:w="898" w:type="pct"/>
            <w:shd w:val="clear" w:color="000000" w:fill="FFFFFF"/>
            <w:hideMark/>
          </w:tcPr>
          <w:p w14:paraId="10930E03" w14:textId="77777777" w:rsidR="005B7E3E" w:rsidRPr="00B0658A" w:rsidRDefault="005B7E3E" w:rsidP="000A4114">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7" w:type="pct"/>
            <w:shd w:val="clear" w:color="auto" w:fill="auto"/>
            <w:vAlign w:val="center"/>
          </w:tcPr>
          <w:p w14:paraId="748D493A"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25%</w:t>
            </w:r>
          </w:p>
        </w:tc>
        <w:tc>
          <w:tcPr>
            <w:tcW w:w="367" w:type="pct"/>
            <w:shd w:val="clear" w:color="auto" w:fill="auto"/>
            <w:vAlign w:val="center"/>
          </w:tcPr>
          <w:p w14:paraId="6B3F227D"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35%</w:t>
            </w:r>
          </w:p>
        </w:tc>
        <w:tc>
          <w:tcPr>
            <w:tcW w:w="367" w:type="pct"/>
            <w:shd w:val="clear" w:color="auto" w:fill="auto"/>
            <w:vAlign w:val="center"/>
          </w:tcPr>
          <w:p w14:paraId="701B0F51"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50%</w:t>
            </w:r>
          </w:p>
        </w:tc>
        <w:tc>
          <w:tcPr>
            <w:tcW w:w="379" w:type="pct"/>
            <w:vAlign w:val="center"/>
          </w:tcPr>
          <w:p w14:paraId="592784A5" w14:textId="77777777" w:rsidR="005B7E3E" w:rsidRPr="00B0658A" w:rsidRDefault="005B7E3E" w:rsidP="000A4114">
            <w:pPr>
              <w:spacing w:after="0" w:line="240" w:lineRule="auto"/>
              <w:jc w:val="center"/>
              <w:rPr>
                <w:rFonts w:ascii="Times New Roman" w:hAnsi="Times New Roman"/>
                <w:sz w:val="18"/>
                <w:szCs w:val="18"/>
                <w:lang w:val="en-US"/>
              </w:rPr>
            </w:pPr>
            <w:r w:rsidRPr="00B0658A">
              <w:rPr>
                <w:rFonts w:ascii="Times New Roman" w:hAnsi="Times New Roman"/>
                <w:sz w:val="18"/>
                <w:szCs w:val="18"/>
                <w:lang w:val="en-US"/>
              </w:rPr>
              <w:t>100%</w:t>
            </w:r>
          </w:p>
        </w:tc>
        <w:tc>
          <w:tcPr>
            <w:tcW w:w="367" w:type="pct"/>
            <w:shd w:val="clear" w:color="auto" w:fill="auto"/>
            <w:vAlign w:val="center"/>
          </w:tcPr>
          <w:p w14:paraId="5C188F46"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75%</w:t>
            </w:r>
          </w:p>
        </w:tc>
        <w:tc>
          <w:tcPr>
            <w:tcW w:w="367" w:type="pct"/>
            <w:shd w:val="clear" w:color="auto" w:fill="auto"/>
            <w:vAlign w:val="center"/>
          </w:tcPr>
          <w:p w14:paraId="353D4866"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85%</w:t>
            </w:r>
          </w:p>
        </w:tc>
        <w:tc>
          <w:tcPr>
            <w:tcW w:w="364" w:type="pct"/>
            <w:shd w:val="clear" w:color="auto" w:fill="auto"/>
            <w:vAlign w:val="center"/>
          </w:tcPr>
          <w:p w14:paraId="0B0F2DFA"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BD279D" w:rsidRPr="00B0658A" w14:paraId="68684983" w14:textId="77777777" w:rsidTr="00FE71B1">
        <w:trPr>
          <w:trHeight w:val="20"/>
        </w:trPr>
        <w:tc>
          <w:tcPr>
            <w:tcW w:w="342" w:type="pct"/>
            <w:shd w:val="clear" w:color="000000" w:fill="FFFFFF"/>
            <w:vAlign w:val="center"/>
          </w:tcPr>
          <w:p w14:paraId="62D0C1E0" w14:textId="77777777" w:rsidR="00BD279D" w:rsidRPr="00B0658A" w:rsidRDefault="00BD279D" w:rsidP="00FE71B1">
            <w:pPr>
              <w:spacing w:after="0" w:line="240" w:lineRule="auto"/>
              <w:jc w:val="center"/>
              <w:rPr>
                <w:rFonts w:ascii="Times New Roman" w:hAnsi="Times New Roman"/>
                <w:sz w:val="18"/>
                <w:szCs w:val="18"/>
              </w:rPr>
            </w:pPr>
            <w:r w:rsidRPr="00B0658A">
              <w:rPr>
                <w:rFonts w:ascii="Times New Roman" w:hAnsi="Times New Roman"/>
                <w:sz w:val="18"/>
                <w:szCs w:val="18"/>
              </w:rPr>
              <w:t>3.14</w:t>
            </w:r>
          </w:p>
        </w:tc>
        <w:tc>
          <w:tcPr>
            <w:tcW w:w="1182" w:type="pct"/>
            <w:shd w:val="clear" w:color="auto" w:fill="auto"/>
            <w:vAlign w:val="center"/>
            <w:hideMark/>
          </w:tcPr>
          <w:p w14:paraId="7DAAABCD" w14:textId="77777777" w:rsidR="00BD279D" w:rsidRPr="00B0658A" w:rsidRDefault="00BD279D" w:rsidP="00BD279D">
            <w:pPr>
              <w:spacing w:after="0" w:line="240" w:lineRule="auto"/>
              <w:rPr>
                <w:rFonts w:ascii="Times New Roman" w:hAnsi="Times New Roman"/>
                <w:sz w:val="18"/>
                <w:szCs w:val="18"/>
              </w:rPr>
            </w:pPr>
            <w:r w:rsidRPr="00B0658A">
              <w:rPr>
                <w:rFonts w:ascii="Times New Roman" w:hAnsi="Times New Roman"/>
                <w:sz w:val="18"/>
                <w:szCs w:val="18"/>
              </w:rPr>
              <w:t>Средства обеспечения информационной безопасности/ Средства обнаружения и/или предотвращения вторжений (атак)</w:t>
            </w:r>
          </w:p>
        </w:tc>
        <w:tc>
          <w:tcPr>
            <w:tcW w:w="898" w:type="pct"/>
            <w:shd w:val="clear" w:color="000000" w:fill="FFFFFF"/>
            <w:hideMark/>
          </w:tcPr>
          <w:p w14:paraId="178DDA3A" w14:textId="77777777" w:rsidR="00BD279D" w:rsidRPr="00B0658A" w:rsidRDefault="00BD279D" w:rsidP="00BD279D">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7" w:type="pct"/>
            <w:shd w:val="clear" w:color="auto" w:fill="auto"/>
            <w:vAlign w:val="center"/>
          </w:tcPr>
          <w:p w14:paraId="37F99533" w14:textId="77777777" w:rsidR="00BD279D" w:rsidRPr="00B0658A" w:rsidRDefault="00BD279D" w:rsidP="00BD279D">
            <w:pPr>
              <w:spacing w:after="0" w:line="240" w:lineRule="auto"/>
              <w:jc w:val="center"/>
              <w:rPr>
                <w:rFonts w:ascii="Times New Roman" w:hAnsi="Times New Roman"/>
                <w:sz w:val="18"/>
                <w:szCs w:val="18"/>
              </w:rPr>
            </w:pPr>
            <w:r>
              <w:rPr>
                <w:rFonts w:ascii="Times New Roman" w:hAnsi="Times New Roman"/>
                <w:sz w:val="18"/>
                <w:szCs w:val="18"/>
              </w:rPr>
              <w:t>60</w:t>
            </w:r>
            <w:r w:rsidRPr="00B0658A">
              <w:rPr>
                <w:rFonts w:ascii="Times New Roman" w:hAnsi="Times New Roman"/>
                <w:sz w:val="18"/>
                <w:szCs w:val="18"/>
                <w:lang w:val="en-US"/>
              </w:rPr>
              <w:t>%</w:t>
            </w:r>
          </w:p>
        </w:tc>
        <w:tc>
          <w:tcPr>
            <w:tcW w:w="367" w:type="pct"/>
            <w:shd w:val="clear" w:color="auto" w:fill="auto"/>
            <w:vAlign w:val="center"/>
          </w:tcPr>
          <w:p w14:paraId="7CDD8CDB" w14:textId="77777777" w:rsidR="00BD279D" w:rsidRPr="00B0658A" w:rsidRDefault="00BD279D" w:rsidP="00BD279D">
            <w:pPr>
              <w:spacing w:after="0" w:line="240" w:lineRule="auto"/>
              <w:jc w:val="center"/>
              <w:rPr>
                <w:rFonts w:ascii="Times New Roman" w:hAnsi="Times New Roman"/>
                <w:sz w:val="18"/>
                <w:szCs w:val="18"/>
              </w:rPr>
            </w:pPr>
            <w:r>
              <w:rPr>
                <w:rFonts w:ascii="Times New Roman" w:hAnsi="Times New Roman"/>
                <w:sz w:val="18"/>
                <w:szCs w:val="18"/>
              </w:rPr>
              <w:t>8</w:t>
            </w:r>
            <w:r w:rsidRPr="00B0658A">
              <w:rPr>
                <w:rFonts w:ascii="Times New Roman" w:hAnsi="Times New Roman"/>
                <w:sz w:val="18"/>
                <w:szCs w:val="18"/>
                <w:lang w:val="en-US"/>
              </w:rPr>
              <w:t>0%</w:t>
            </w:r>
          </w:p>
        </w:tc>
        <w:tc>
          <w:tcPr>
            <w:tcW w:w="367" w:type="pct"/>
            <w:shd w:val="clear" w:color="auto" w:fill="auto"/>
            <w:vAlign w:val="center"/>
          </w:tcPr>
          <w:p w14:paraId="5A71AAC3" w14:textId="77777777" w:rsidR="00BD279D" w:rsidRPr="00B0658A" w:rsidRDefault="00BD279D" w:rsidP="00BD279D">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79" w:type="pct"/>
            <w:vAlign w:val="center"/>
          </w:tcPr>
          <w:p w14:paraId="55B0E8C2" w14:textId="77777777" w:rsidR="00BD279D" w:rsidRPr="00B0658A" w:rsidRDefault="00BD279D" w:rsidP="00BD279D">
            <w:pPr>
              <w:spacing w:after="0" w:line="240" w:lineRule="auto"/>
              <w:jc w:val="center"/>
              <w:rPr>
                <w:rFonts w:ascii="Times New Roman" w:hAnsi="Times New Roman"/>
                <w:sz w:val="18"/>
                <w:szCs w:val="18"/>
                <w:lang w:val="en-US"/>
              </w:rPr>
            </w:pPr>
            <w:r w:rsidRPr="00B0658A">
              <w:rPr>
                <w:rFonts w:ascii="Times New Roman" w:hAnsi="Times New Roman"/>
                <w:sz w:val="18"/>
                <w:szCs w:val="18"/>
                <w:lang w:val="en-US"/>
              </w:rPr>
              <w:t>100%</w:t>
            </w:r>
          </w:p>
        </w:tc>
        <w:tc>
          <w:tcPr>
            <w:tcW w:w="367" w:type="pct"/>
            <w:shd w:val="clear" w:color="auto" w:fill="auto"/>
            <w:vAlign w:val="center"/>
          </w:tcPr>
          <w:p w14:paraId="7EDE4638" w14:textId="77777777" w:rsidR="00BD279D" w:rsidRPr="00B0658A" w:rsidRDefault="00BD279D" w:rsidP="00BD279D">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7" w:type="pct"/>
            <w:shd w:val="clear" w:color="auto" w:fill="auto"/>
            <w:vAlign w:val="center"/>
          </w:tcPr>
          <w:p w14:paraId="3038DA31" w14:textId="77777777" w:rsidR="00BD279D" w:rsidRPr="00B0658A" w:rsidRDefault="00BD279D" w:rsidP="00BD279D">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4" w:type="pct"/>
            <w:shd w:val="clear" w:color="auto" w:fill="auto"/>
            <w:vAlign w:val="center"/>
          </w:tcPr>
          <w:p w14:paraId="1017496B" w14:textId="77777777" w:rsidR="00BD279D" w:rsidRPr="00B0658A" w:rsidRDefault="00BD279D" w:rsidP="00BD279D">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BD279D" w:rsidRPr="00B0658A" w14:paraId="295A9230" w14:textId="77777777" w:rsidTr="00FE71B1">
        <w:trPr>
          <w:trHeight w:val="20"/>
        </w:trPr>
        <w:tc>
          <w:tcPr>
            <w:tcW w:w="342" w:type="pct"/>
            <w:shd w:val="clear" w:color="000000" w:fill="FFFFFF"/>
            <w:vAlign w:val="center"/>
          </w:tcPr>
          <w:p w14:paraId="03D916E9" w14:textId="77777777" w:rsidR="00BD279D" w:rsidRPr="00B0658A" w:rsidRDefault="00BD279D" w:rsidP="00FE71B1">
            <w:pPr>
              <w:spacing w:after="0" w:line="240" w:lineRule="auto"/>
              <w:jc w:val="center"/>
              <w:rPr>
                <w:rFonts w:ascii="Times New Roman" w:hAnsi="Times New Roman"/>
                <w:sz w:val="18"/>
                <w:szCs w:val="18"/>
              </w:rPr>
            </w:pPr>
            <w:r w:rsidRPr="00B0658A">
              <w:rPr>
                <w:rFonts w:ascii="Times New Roman" w:hAnsi="Times New Roman"/>
                <w:sz w:val="18"/>
                <w:szCs w:val="18"/>
              </w:rPr>
              <w:t>3.15</w:t>
            </w:r>
          </w:p>
        </w:tc>
        <w:tc>
          <w:tcPr>
            <w:tcW w:w="1182" w:type="pct"/>
            <w:shd w:val="clear" w:color="auto" w:fill="auto"/>
            <w:vAlign w:val="center"/>
            <w:hideMark/>
          </w:tcPr>
          <w:p w14:paraId="3A50A6D6" w14:textId="77777777" w:rsidR="00BD279D" w:rsidRPr="00B0658A" w:rsidRDefault="00BD279D" w:rsidP="00BD279D">
            <w:pPr>
              <w:spacing w:after="0" w:line="240" w:lineRule="auto"/>
              <w:rPr>
                <w:rFonts w:ascii="Times New Roman" w:hAnsi="Times New Roman"/>
                <w:sz w:val="18"/>
                <w:szCs w:val="18"/>
              </w:rPr>
            </w:pPr>
            <w:r w:rsidRPr="00B0658A">
              <w:rPr>
                <w:rFonts w:ascii="Times New Roman" w:hAnsi="Times New Roman"/>
                <w:sz w:val="18"/>
                <w:szCs w:val="18"/>
              </w:rPr>
              <w:t>Средства обеспечения информационной безопасности/ Средства обнаружения угроз и расследования сетевых инцидентов</w:t>
            </w:r>
          </w:p>
        </w:tc>
        <w:tc>
          <w:tcPr>
            <w:tcW w:w="898" w:type="pct"/>
            <w:shd w:val="clear" w:color="000000" w:fill="FFFFFF"/>
            <w:hideMark/>
          </w:tcPr>
          <w:p w14:paraId="431D3071" w14:textId="77777777" w:rsidR="00BD279D" w:rsidRPr="00B0658A" w:rsidRDefault="00BD279D" w:rsidP="00BD279D">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7" w:type="pct"/>
            <w:shd w:val="clear" w:color="auto" w:fill="auto"/>
            <w:vAlign w:val="center"/>
          </w:tcPr>
          <w:p w14:paraId="51D82A94" w14:textId="77777777" w:rsidR="00BD279D" w:rsidRPr="00B0658A" w:rsidRDefault="00BD279D" w:rsidP="00BD279D">
            <w:pPr>
              <w:spacing w:after="0" w:line="240" w:lineRule="auto"/>
              <w:jc w:val="center"/>
              <w:rPr>
                <w:rFonts w:ascii="Times New Roman" w:hAnsi="Times New Roman"/>
                <w:sz w:val="18"/>
                <w:szCs w:val="18"/>
              </w:rPr>
            </w:pPr>
            <w:r>
              <w:rPr>
                <w:rFonts w:ascii="Times New Roman" w:hAnsi="Times New Roman"/>
                <w:sz w:val="18"/>
                <w:szCs w:val="18"/>
              </w:rPr>
              <w:t>60</w:t>
            </w:r>
            <w:r w:rsidRPr="00B0658A">
              <w:rPr>
                <w:rFonts w:ascii="Times New Roman" w:hAnsi="Times New Roman"/>
                <w:sz w:val="18"/>
                <w:szCs w:val="18"/>
                <w:lang w:val="en-US"/>
              </w:rPr>
              <w:t>%</w:t>
            </w:r>
          </w:p>
        </w:tc>
        <w:tc>
          <w:tcPr>
            <w:tcW w:w="367" w:type="pct"/>
            <w:shd w:val="clear" w:color="auto" w:fill="auto"/>
            <w:vAlign w:val="center"/>
          </w:tcPr>
          <w:p w14:paraId="6CE64D33" w14:textId="77777777" w:rsidR="00BD279D" w:rsidRPr="00B0658A" w:rsidRDefault="00BD279D" w:rsidP="00BD279D">
            <w:pPr>
              <w:spacing w:after="0" w:line="240" w:lineRule="auto"/>
              <w:jc w:val="center"/>
              <w:rPr>
                <w:rFonts w:ascii="Times New Roman" w:hAnsi="Times New Roman"/>
                <w:sz w:val="18"/>
                <w:szCs w:val="18"/>
              </w:rPr>
            </w:pPr>
            <w:r>
              <w:rPr>
                <w:rFonts w:ascii="Times New Roman" w:hAnsi="Times New Roman"/>
                <w:sz w:val="18"/>
                <w:szCs w:val="18"/>
              </w:rPr>
              <w:t>8</w:t>
            </w:r>
            <w:r w:rsidRPr="00B0658A">
              <w:rPr>
                <w:rFonts w:ascii="Times New Roman" w:hAnsi="Times New Roman"/>
                <w:sz w:val="18"/>
                <w:szCs w:val="18"/>
                <w:lang w:val="en-US"/>
              </w:rPr>
              <w:t>0%</w:t>
            </w:r>
          </w:p>
        </w:tc>
        <w:tc>
          <w:tcPr>
            <w:tcW w:w="367" w:type="pct"/>
            <w:shd w:val="clear" w:color="auto" w:fill="auto"/>
            <w:vAlign w:val="center"/>
          </w:tcPr>
          <w:p w14:paraId="5A2C8AC6" w14:textId="77777777" w:rsidR="00BD279D" w:rsidRPr="00B0658A" w:rsidRDefault="00BD279D" w:rsidP="00BD279D">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79" w:type="pct"/>
            <w:vAlign w:val="center"/>
          </w:tcPr>
          <w:p w14:paraId="79D4A179" w14:textId="77777777" w:rsidR="00BD279D" w:rsidRPr="00B0658A" w:rsidRDefault="00BD279D" w:rsidP="00BD279D">
            <w:pPr>
              <w:spacing w:after="0" w:line="240" w:lineRule="auto"/>
              <w:jc w:val="center"/>
              <w:rPr>
                <w:rFonts w:ascii="Times New Roman" w:hAnsi="Times New Roman"/>
                <w:sz w:val="18"/>
                <w:szCs w:val="18"/>
                <w:lang w:val="en-US"/>
              </w:rPr>
            </w:pPr>
            <w:r w:rsidRPr="00B0658A">
              <w:rPr>
                <w:rFonts w:ascii="Times New Roman" w:hAnsi="Times New Roman"/>
                <w:sz w:val="18"/>
                <w:szCs w:val="18"/>
                <w:lang w:val="en-US"/>
              </w:rPr>
              <w:t>100%</w:t>
            </w:r>
          </w:p>
        </w:tc>
        <w:tc>
          <w:tcPr>
            <w:tcW w:w="367" w:type="pct"/>
            <w:shd w:val="clear" w:color="auto" w:fill="auto"/>
            <w:vAlign w:val="center"/>
          </w:tcPr>
          <w:p w14:paraId="6D438D19" w14:textId="77777777" w:rsidR="00BD279D" w:rsidRPr="00B0658A" w:rsidRDefault="00BD279D" w:rsidP="00BD279D">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7" w:type="pct"/>
            <w:shd w:val="clear" w:color="auto" w:fill="auto"/>
            <w:vAlign w:val="center"/>
          </w:tcPr>
          <w:p w14:paraId="5388F8E2" w14:textId="77777777" w:rsidR="00BD279D" w:rsidRPr="00B0658A" w:rsidRDefault="00BD279D" w:rsidP="00BD279D">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4" w:type="pct"/>
            <w:shd w:val="clear" w:color="auto" w:fill="auto"/>
            <w:vAlign w:val="center"/>
          </w:tcPr>
          <w:p w14:paraId="48C0D93B" w14:textId="77777777" w:rsidR="00BD279D" w:rsidRPr="00B0658A" w:rsidRDefault="00BD279D" w:rsidP="00BD279D">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BD279D" w:rsidRPr="00B0658A" w14:paraId="776C4EE9" w14:textId="77777777" w:rsidTr="00FE71B1">
        <w:trPr>
          <w:trHeight w:val="20"/>
        </w:trPr>
        <w:tc>
          <w:tcPr>
            <w:tcW w:w="342" w:type="pct"/>
            <w:shd w:val="clear" w:color="000000" w:fill="FFFFFF"/>
            <w:vAlign w:val="center"/>
          </w:tcPr>
          <w:p w14:paraId="12A7088B" w14:textId="77777777" w:rsidR="00BD279D" w:rsidRPr="00B0658A" w:rsidRDefault="00BD279D" w:rsidP="00FE71B1">
            <w:pPr>
              <w:spacing w:after="0" w:line="240" w:lineRule="auto"/>
              <w:jc w:val="center"/>
              <w:rPr>
                <w:rFonts w:ascii="Times New Roman" w:hAnsi="Times New Roman"/>
                <w:sz w:val="18"/>
                <w:szCs w:val="18"/>
              </w:rPr>
            </w:pPr>
            <w:r w:rsidRPr="00B0658A">
              <w:rPr>
                <w:rFonts w:ascii="Times New Roman" w:hAnsi="Times New Roman"/>
                <w:sz w:val="18"/>
                <w:szCs w:val="18"/>
              </w:rPr>
              <w:t>3.16</w:t>
            </w:r>
          </w:p>
        </w:tc>
        <w:tc>
          <w:tcPr>
            <w:tcW w:w="1182" w:type="pct"/>
            <w:shd w:val="clear" w:color="auto" w:fill="auto"/>
            <w:vAlign w:val="center"/>
            <w:hideMark/>
          </w:tcPr>
          <w:p w14:paraId="2CFF6C74" w14:textId="77777777" w:rsidR="00BD279D" w:rsidRPr="00B0658A" w:rsidRDefault="00BD279D" w:rsidP="00BD279D">
            <w:pPr>
              <w:spacing w:after="0" w:line="240" w:lineRule="auto"/>
              <w:rPr>
                <w:rFonts w:ascii="Times New Roman" w:hAnsi="Times New Roman"/>
                <w:sz w:val="18"/>
                <w:szCs w:val="18"/>
              </w:rPr>
            </w:pPr>
            <w:r w:rsidRPr="00B0658A">
              <w:rPr>
                <w:rFonts w:ascii="Times New Roman" w:hAnsi="Times New Roman"/>
                <w:sz w:val="18"/>
                <w:szCs w:val="18"/>
              </w:rPr>
              <w:t>Средства обеспечения информационной безопасности/ Средства администрирования и управления жизненным циклом ключевых носителей</w:t>
            </w:r>
          </w:p>
        </w:tc>
        <w:tc>
          <w:tcPr>
            <w:tcW w:w="898" w:type="pct"/>
            <w:shd w:val="clear" w:color="000000" w:fill="FFFFFF"/>
            <w:hideMark/>
          </w:tcPr>
          <w:p w14:paraId="5DF05B35" w14:textId="77777777" w:rsidR="00BD279D" w:rsidRPr="00B0658A" w:rsidRDefault="00BD279D" w:rsidP="00BD279D">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7" w:type="pct"/>
            <w:shd w:val="clear" w:color="auto" w:fill="auto"/>
            <w:vAlign w:val="center"/>
          </w:tcPr>
          <w:p w14:paraId="68E7DB84" w14:textId="77777777" w:rsidR="00BD279D" w:rsidRPr="00B0658A" w:rsidRDefault="00BD279D" w:rsidP="00BD279D">
            <w:pPr>
              <w:spacing w:after="0" w:line="240" w:lineRule="auto"/>
              <w:jc w:val="center"/>
              <w:rPr>
                <w:rFonts w:ascii="Times New Roman" w:hAnsi="Times New Roman"/>
                <w:sz w:val="18"/>
                <w:szCs w:val="18"/>
              </w:rPr>
            </w:pPr>
            <w:r>
              <w:rPr>
                <w:rFonts w:ascii="Times New Roman" w:hAnsi="Times New Roman"/>
                <w:sz w:val="18"/>
                <w:szCs w:val="18"/>
              </w:rPr>
              <w:t>60</w:t>
            </w:r>
            <w:r w:rsidRPr="00B0658A">
              <w:rPr>
                <w:rFonts w:ascii="Times New Roman" w:hAnsi="Times New Roman"/>
                <w:sz w:val="18"/>
                <w:szCs w:val="18"/>
                <w:lang w:val="en-US"/>
              </w:rPr>
              <w:t>%</w:t>
            </w:r>
          </w:p>
        </w:tc>
        <w:tc>
          <w:tcPr>
            <w:tcW w:w="367" w:type="pct"/>
            <w:shd w:val="clear" w:color="auto" w:fill="auto"/>
            <w:vAlign w:val="center"/>
          </w:tcPr>
          <w:p w14:paraId="21DD39F0" w14:textId="77777777" w:rsidR="00BD279D" w:rsidRPr="00B0658A" w:rsidRDefault="00BD279D" w:rsidP="00BD279D">
            <w:pPr>
              <w:spacing w:after="0" w:line="240" w:lineRule="auto"/>
              <w:jc w:val="center"/>
              <w:rPr>
                <w:rFonts w:ascii="Times New Roman" w:hAnsi="Times New Roman"/>
                <w:sz w:val="18"/>
                <w:szCs w:val="18"/>
              </w:rPr>
            </w:pPr>
            <w:r>
              <w:rPr>
                <w:rFonts w:ascii="Times New Roman" w:hAnsi="Times New Roman"/>
                <w:sz w:val="18"/>
                <w:szCs w:val="18"/>
              </w:rPr>
              <w:t>8</w:t>
            </w:r>
            <w:r w:rsidRPr="00B0658A">
              <w:rPr>
                <w:rFonts w:ascii="Times New Roman" w:hAnsi="Times New Roman"/>
                <w:sz w:val="18"/>
                <w:szCs w:val="18"/>
                <w:lang w:val="en-US"/>
              </w:rPr>
              <w:t>0%</w:t>
            </w:r>
          </w:p>
        </w:tc>
        <w:tc>
          <w:tcPr>
            <w:tcW w:w="367" w:type="pct"/>
            <w:shd w:val="clear" w:color="auto" w:fill="auto"/>
            <w:vAlign w:val="center"/>
          </w:tcPr>
          <w:p w14:paraId="3F045DA4" w14:textId="77777777" w:rsidR="00BD279D" w:rsidRPr="00B0658A" w:rsidRDefault="00BD279D" w:rsidP="00BD279D">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79" w:type="pct"/>
            <w:vAlign w:val="center"/>
          </w:tcPr>
          <w:p w14:paraId="258931EC" w14:textId="77777777" w:rsidR="00BD279D" w:rsidRPr="00B0658A" w:rsidRDefault="00BD279D" w:rsidP="00BD279D">
            <w:pPr>
              <w:spacing w:after="0" w:line="240" w:lineRule="auto"/>
              <w:jc w:val="center"/>
              <w:rPr>
                <w:rFonts w:ascii="Times New Roman" w:hAnsi="Times New Roman"/>
                <w:sz w:val="18"/>
                <w:szCs w:val="18"/>
                <w:lang w:val="en-US"/>
              </w:rPr>
            </w:pPr>
            <w:r w:rsidRPr="00B0658A">
              <w:rPr>
                <w:rFonts w:ascii="Times New Roman" w:hAnsi="Times New Roman"/>
                <w:sz w:val="18"/>
                <w:szCs w:val="18"/>
                <w:lang w:val="en-US"/>
              </w:rPr>
              <w:t>100%</w:t>
            </w:r>
          </w:p>
        </w:tc>
        <w:tc>
          <w:tcPr>
            <w:tcW w:w="367" w:type="pct"/>
            <w:shd w:val="clear" w:color="auto" w:fill="auto"/>
            <w:vAlign w:val="center"/>
          </w:tcPr>
          <w:p w14:paraId="1B4D004E" w14:textId="77777777" w:rsidR="00BD279D" w:rsidRPr="00B0658A" w:rsidRDefault="00BD279D" w:rsidP="00BD279D">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7" w:type="pct"/>
            <w:shd w:val="clear" w:color="auto" w:fill="auto"/>
            <w:vAlign w:val="center"/>
          </w:tcPr>
          <w:p w14:paraId="74117471" w14:textId="77777777" w:rsidR="00BD279D" w:rsidRPr="00B0658A" w:rsidRDefault="00BD279D" w:rsidP="00BD279D">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4" w:type="pct"/>
            <w:shd w:val="clear" w:color="auto" w:fill="auto"/>
            <w:vAlign w:val="center"/>
          </w:tcPr>
          <w:p w14:paraId="5CAD1786" w14:textId="77777777" w:rsidR="00BD279D" w:rsidRPr="00B0658A" w:rsidRDefault="00BD279D" w:rsidP="00BD279D">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BD279D" w:rsidRPr="00B0658A" w14:paraId="58D9F8D3" w14:textId="77777777" w:rsidTr="00FE71B1">
        <w:trPr>
          <w:trHeight w:val="20"/>
        </w:trPr>
        <w:tc>
          <w:tcPr>
            <w:tcW w:w="342" w:type="pct"/>
            <w:shd w:val="clear" w:color="000000" w:fill="FFFFFF"/>
            <w:vAlign w:val="center"/>
          </w:tcPr>
          <w:p w14:paraId="111C3BAE" w14:textId="77777777" w:rsidR="00BD279D" w:rsidRPr="00B0658A" w:rsidRDefault="00BD279D" w:rsidP="00FE71B1">
            <w:pPr>
              <w:spacing w:after="0" w:line="240" w:lineRule="auto"/>
              <w:jc w:val="center"/>
              <w:rPr>
                <w:rFonts w:ascii="Times New Roman" w:hAnsi="Times New Roman"/>
                <w:sz w:val="18"/>
                <w:szCs w:val="18"/>
              </w:rPr>
            </w:pPr>
            <w:r w:rsidRPr="00B0658A">
              <w:rPr>
                <w:rFonts w:ascii="Times New Roman" w:hAnsi="Times New Roman"/>
                <w:sz w:val="18"/>
                <w:szCs w:val="18"/>
              </w:rPr>
              <w:t>3.17</w:t>
            </w:r>
          </w:p>
        </w:tc>
        <w:tc>
          <w:tcPr>
            <w:tcW w:w="1182" w:type="pct"/>
            <w:shd w:val="clear" w:color="auto" w:fill="auto"/>
            <w:vAlign w:val="center"/>
            <w:hideMark/>
          </w:tcPr>
          <w:p w14:paraId="032A3F95" w14:textId="77777777" w:rsidR="00BD279D" w:rsidRPr="00B0658A" w:rsidRDefault="00BD279D" w:rsidP="00BD279D">
            <w:pPr>
              <w:spacing w:after="0" w:line="240" w:lineRule="auto"/>
              <w:rPr>
                <w:rFonts w:ascii="Times New Roman" w:hAnsi="Times New Roman"/>
                <w:sz w:val="18"/>
                <w:szCs w:val="18"/>
              </w:rPr>
            </w:pPr>
            <w:r w:rsidRPr="00B0658A">
              <w:rPr>
                <w:rFonts w:ascii="Times New Roman" w:hAnsi="Times New Roman"/>
                <w:sz w:val="18"/>
                <w:szCs w:val="18"/>
              </w:rPr>
              <w:t>Средства обеспечения информационной безопасности/ Средства автоматизации процессов информационной безопасности</w:t>
            </w:r>
          </w:p>
        </w:tc>
        <w:tc>
          <w:tcPr>
            <w:tcW w:w="898" w:type="pct"/>
            <w:shd w:val="clear" w:color="000000" w:fill="FFFFFF"/>
            <w:hideMark/>
          </w:tcPr>
          <w:p w14:paraId="06D5E18B" w14:textId="77777777" w:rsidR="00BD279D" w:rsidRPr="00B0658A" w:rsidRDefault="00BD279D" w:rsidP="00BD279D">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7" w:type="pct"/>
            <w:shd w:val="clear" w:color="auto" w:fill="auto"/>
            <w:vAlign w:val="center"/>
          </w:tcPr>
          <w:p w14:paraId="563A3DA1" w14:textId="77777777" w:rsidR="00BD279D" w:rsidRPr="00B0658A" w:rsidRDefault="00BD279D" w:rsidP="00BD279D">
            <w:pPr>
              <w:spacing w:after="0" w:line="240" w:lineRule="auto"/>
              <w:jc w:val="center"/>
              <w:rPr>
                <w:rFonts w:ascii="Times New Roman" w:hAnsi="Times New Roman"/>
                <w:sz w:val="18"/>
                <w:szCs w:val="18"/>
              </w:rPr>
            </w:pPr>
            <w:r>
              <w:rPr>
                <w:rFonts w:ascii="Times New Roman" w:hAnsi="Times New Roman"/>
                <w:sz w:val="18"/>
                <w:szCs w:val="18"/>
              </w:rPr>
              <w:t>60</w:t>
            </w:r>
            <w:r w:rsidRPr="00B0658A">
              <w:rPr>
                <w:rFonts w:ascii="Times New Roman" w:hAnsi="Times New Roman"/>
                <w:sz w:val="18"/>
                <w:szCs w:val="18"/>
                <w:lang w:val="en-US"/>
              </w:rPr>
              <w:t>%</w:t>
            </w:r>
          </w:p>
        </w:tc>
        <w:tc>
          <w:tcPr>
            <w:tcW w:w="367" w:type="pct"/>
            <w:shd w:val="clear" w:color="auto" w:fill="auto"/>
            <w:vAlign w:val="center"/>
          </w:tcPr>
          <w:p w14:paraId="135B39CD" w14:textId="77777777" w:rsidR="00BD279D" w:rsidRPr="00B0658A" w:rsidRDefault="00BD279D" w:rsidP="00BD279D">
            <w:pPr>
              <w:spacing w:after="0" w:line="240" w:lineRule="auto"/>
              <w:jc w:val="center"/>
              <w:rPr>
                <w:rFonts w:ascii="Times New Roman" w:hAnsi="Times New Roman"/>
                <w:sz w:val="18"/>
                <w:szCs w:val="18"/>
              </w:rPr>
            </w:pPr>
            <w:r>
              <w:rPr>
                <w:rFonts w:ascii="Times New Roman" w:hAnsi="Times New Roman"/>
                <w:sz w:val="18"/>
                <w:szCs w:val="18"/>
              </w:rPr>
              <w:t>8</w:t>
            </w:r>
            <w:r w:rsidRPr="00B0658A">
              <w:rPr>
                <w:rFonts w:ascii="Times New Roman" w:hAnsi="Times New Roman"/>
                <w:sz w:val="18"/>
                <w:szCs w:val="18"/>
                <w:lang w:val="en-US"/>
              </w:rPr>
              <w:t>0%</w:t>
            </w:r>
          </w:p>
        </w:tc>
        <w:tc>
          <w:tcPr>
            <w:tcW w:w="367" w:type="pct"/>
            <w:shd w:val="clear" w:color="auto" w:fill="auto"/>
            <w:vAlign w:val="center"/>
          </w:tcPr>
          <w:p w14:paraId="2DC51C61" w14:textId="77777777" w:rsidR="00BD279D" w:rsidRPr="00B0658A" w:rsidRDefault="00BD279D" w:rsidP="00BD279D">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79" w:type="pct"/>
            <w:vAlign w:val="center"/>
          </w:tcPr>
          <w:p w14:paraId="7DDE83D6" w14:textId="77777777" w:rsidR="00BD279D" w:rsidRPr="00B0658A" w:rsidRDefault="00BD279D" w:rsidP="00BD279D">
            <w:pPr>
              <w:spacing w:after="0" w:line="240" w:lineRule="auto"/>
              <w:jc w:val="center"/>
              <w:rPr>
                <w:rFonts w:ascii="Times New Roman" w:hAnsi="Times New Roman"/>
                <w:sz w:val="18"/>
                <w:szCs w:val="18"/>
                <w:lang w:val="en-US"/>
              </w:rPr>
            </w:pPr>
            <w:r w:rsidRPr="00B0658A">
              <w:rPr>
                <w:rFonts w:ascii="Times New Roman" w:hAnsi="Times New Roman"/>
                <w:sz w:val="18"/>
                <w:szCs w:val="18"/>
                <w:lang w:val="en-US"/>
              </w:rPr>
              <w:t>100%</w:t>
            </w:r>
          </w:p>
        </w:tc>
        <w:tc>
          <w:tcPr>
            <w:tcW w:w="367" w:type="pct"/>
            <w:shd w:val="clear" w:color="auto" w:fill="auto"/>
            <w:vAlign w:val="center"/>
          </w:tcPr>
          <w:p w14:paraId="5C749756" w14:textId="77777777" w:rsidR="00BD279D" w:rsidRPr="00B0658A" w:rsidRDefault="00BD279D" w:rsidP="00BD279D">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7" w:type="pct"/>
            <w:shd w:val="clear" w:color="auto" w:fill="auto"/>
            <w:vAlign w:val="center"/>
          </w:tcPr>
          <w:p w14:paraId="7FDE9BF9" w14:textId="77777777" w:rsidR="00BD279D" w:rsidRPr="00B0658A" w:rsidRDefault="00BD279D" w:rsidP="00BD279D">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4" w:type="pct"/>
            <w:shd w:val="clear" w:color="auto" w:fill="auto"/>
            <w:vAlign w:val="center"/>
          </w:tcPr>
          <w:p w14:paraId="1A12A894" w14:textId="77777777" w:rsidR="00BD279D" w:rsidRPr="00B0658A" w:rsidRDefault="00BD279D" w:rsidP="00BD279D">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F52FED" w:rsidRPr="00B0658A" w14:paraId="281DBF32" w14:textId="77777777" w:rsidTr="00FE71B1">
        <w:trPr>
          <w:trHeight w:val="20"/>
        </w:trPr>
        <w:tc>
          <w:tcPr>
            <w:tcW w:w="342" w:type="pct"/>
            <w:shd w:val="clear" w:color="000000" w:fill="FFFFFF"/>
            <w:vAlign w:val="center"/>
          </w:tcPr>
          <w:p w14:paraId="3D2BA64C" w14:textId="77777777" w:rsidR="005B7E3E" w:rsidRPr="00B0658A" w:rsidRDefault="005B7E3E" w:rsidP="00FE71B1">
            <w:pPr>
              <w:spacing w:after="0" w:line="240" w:lineRule="auto"/>
              <w:jc w:val="center"/>
              <w:rPr>
                <w:rFonts w:ascii="Times New Roman" w:hAnsi="Times New Roman"/>
                <w:sz w:val="18"/>
                <w:szCs w:val="18"/>
              </w:rPr>
            </w:pPr>
            <w:r w:rsidRPr="00B0658A">
              <w:rPr>
                <w:rFonts w:ascii="Times New Roman" w:hAnsi="Times New Roman"/>
                <w:sz w:val="18"/>
                <w:szCs w:val="18"/>
              </w:rPr>
              <w:t>4.1</w:t>
            </w:r>
          </w:p>
        </w:tc>
        <w:tc>
          <w:tcPr>
            <w:tcW w:w="1182" w:type="pct"/>
            <w:shd w:val="clear" w:color="auto" w:fill="auto"/>
            <w:vAlign w:val="center"/>
            <w:hideMark/>
          </w:tcPr>
          <w:p w14:paraId="4E977DD0" w14:textId="77777777" w:rsidR="005B7E3E" w:rsidRPr="00B0658A" w:rsidRDefault="005B7E3E" w:rsidP="000A4114">
            <w:pPr>
              <w:spacing w:after="0" w:line="240" w:lineRule="auto"/>
              <w:rPr>
                <w:rFonts w:ascii="Times New Roman" w:hAnsi="Times New Roman"/>
                <w:sz w:val="18"/>
                <w:szCs w:val="18"/>
              </w:rPr>
            </w:pPr>
            <w:r w:rsidRPr="00B0658A">
              <w:rPr>
                <w:rFonts w:ascii="Times New Roman" w:hAnsi="Times New Roman"/>
                <w:sz w:val="18"/>
                <w:szCs w:val="18"/>
              </w:rPr>
              <w:t>Средства разработки программного обеспечения/ Средства подготовки исполнимого кода</w:t>
            </w:r>
          </w:p>
        </w:tc>
        <w:tc>
          <w:tcPr>
            <w:tcW w:w="898" w:type="pct"/>
            <w:shd w:val="clear" w:color="000000" w:fill="FFFFFF"/>
            <w:hideMark/>
          </w:tcPr>
          <w:p w14:paraId="24C263FD" w14:textId="77777777" w:rsidR="005B7E3E" w:rsidRPr="00B0658A" w:rsidRDefault="005B7E3E" w:rsidP="000A4114">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7" w:type="pct"/>
            <w:shd w:val="clear" w:color="auto" w:fill="auto"/>
            <w:vAlign w:val="center"/>
          </w:tcPr>
          <w:p w14:paraId="5082A911"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35%</w:t>
            </w:r>
          </w:p>
        </w:tc>
        <w:tc>
          <w:tcPr>
            <w:tcW w:w="367" w:type="pct"/>
            <w:shd w:val="clear" w:color="auto" w:fill="auto"/>
            <w:vAlign w:val="center"/>
          </w:tcPr>
          <w:p w14:paraId="3F9CC7F1"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45%</w:t>
            </w:r>
          </w:p>
        </w:tc>
        <w:tc>
          <w:tcPr>
            <w:tcW w:w="367" w:type="pct"/>
            <w:shd w:val="clear" w:color="auto" w:fill="auto"/>
            <w:vAlign w:val="center"/>
          </w:tcPr>
          <w:p w14:paraId="7CAF4F6D"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55%</w:t>
            </w:r>
          </w:p>
        </w:tc>
        <w:tc>
          <w:tcPr>
            <w:tcW w:w="379" w:type="pct"/>
            <w:vAlign w:val="center"/>
          </w:tcPr>
          <w:p w14:paraId="6C86F17F"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7" w:type="pct"/>
            <w:shd w:val="clear" w:color="auto" w:fill="auto"/>
            <w:vAlign w:val="center"/>
          </w:tcPr>
          <w:p w14:paraId="0FEB7A5E"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70%</w:t>
            </w:r>
          </w:p>
        </w:tc>
        <w:tc>
          <w:tcPr>
            <w:tcW w:w="367" w:type="pct"/>
            <w:shd w:val="clear" w:color="auto" w:fill="auto"/>
            <w:vAlign w:val="center"/>
          </w:tcPr>
          <w:p w14:paraId="57C22AE9"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90%</w:t>
            </w:r>
          </w:p>
        </w:tc>
        <w:tc>
          <w:tcPr>
            <w:tcW w:w="364" w:type="pct"/>
            <w:shd w:val="clear" w:color="auto" w:fill="auto"/>
            <w:vAlign w:val="center"/>
          </w:tcPr>
          <w:p w14:paraId="4EF5006A"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F52FED" w:rsidRPr="00B0658A" w14:paraId="6FE10330" w14:textId="77777777" w:rsidTr="00FE71B1">
        <w:trPr>
          <w:trHeight w:val="20"/>
        </w:trPr>
        <w:tc>
          <w:tcPr>
            <w:tcW w:w="342" w:type="pct"/>
            <w:shd w:val="clear" w:color="000000" w:fill="FFFFFF"/>
            <w:vAlign w:val="center"/>
          </w:tcPr>
          <w:p w14:paraId="183CAF18" w14:textId="77777777" w:rsidR="005B7E3E" w:rsidRPr="00B0658A" w:rsidRDefault="005B7E3E" w:rsidP="00FE71B1">
            <w:pPr>
              <w:spacing w:after="0" w:line="240" w:lineRule="auto"/>
              <w:jc w:val="center"/>
              <w:rPr>
                <w:rFonts w:ascii="Times New Roman" w:hAnsi="Times New Roman"/>
                <w:sz w:val="18"/>
                <w:szCs w:val="18"/>
              </w:rPr>
            </w:pPr>
            <w:r w:rsidRPr="00B0658A">
              <w:rPr>
                <w:rFonts w:ascii="Times New Roman" w:hAnsi="Times New Roman"/>
                <w:sz w:val="18"/>
                <w:szCs w:val="18"/>
              </w:rPr>
              <w:t>4.2</w:t>
            </w:r>
          </w:p>
        </w:tc>
        <w:tc>
          <w:tcPr>
            <w:tcW w:w="1182" w:type="pct"/>
            <w:shd w:val="clear" w:color="auto" w:fill="auto"/>
            <w:vAlign w:val="center"/>
            <w:hideMark/>
          </w:tcPr>
          <w:p w14:paraId="6B15DB98" w14:textId="77777777" w:rsidR="005B7E3E" w:rsidRPr="00B0658A" w:rsidRDefault="005B7E3E" w:rsidP="000A4114">
            <w:pPr>
              <w:spacing w:after="0" w:line="240" w:lineRule="auto"/>
              <w:rPr>
                <w:rFonts w:ascii="Times New Roman" w:hAnsi="Times New Roman"/>
                <w:sz w:val="18"/>
                <w:szCs w:val="18"/>
              </w:rPr>
            </w:pPr>
            <w:r w:rsidRPr="00B0658A">
              <w:rPr>
                <w:rFonts w:ascii="Times New Roman" w:hAnsi="Times New Roman"/>
                <w:sz w:val="18"/>
                <w:szCs w:val="18"/>
              </w:rPr>
              <w:t>Средства разработки программного обеспечения/ Средства версионного контроля исходного кода</w:t>
            </w:r>
          </w:p>
        </w:tc>
        <w:tc>
          <w:tcPr>
            <w:tcW w:w="898" w:type="pct"/>
            <w:shd w:val="clear" w:color="000000" w:fill="FFFFFF"/>
            <w:hideMark/>
          </w:tcPr>
          <w:p w14:paraId="4096590B" w14:textId="77777777" w:rsidR="005B7E3E" w:rsidRPr="00B0658A" w:rsidRDefault="005B7E3E" w:rsidP="000A4114">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7" w:type="pct"/>
            <w:shd w:val="clear" w:color="auto" w:fill="auto"/>
            <w:vAlign w:val="center"/>
          </w:tcPr>
          <w:p w14:paraId="62E2DA87"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35%</w:t>
            </w:r>
          </w:p>
        </w:tc>
        <w:tc>
          <w:tcPr>
            <w:tcW w:w="367" w:type="pct"/>
            <w:shd w:val="clear" w:color="auto" w:fill="auto"/>
            <w:vAlign w:val="center"/>
          </w:tcPr>
          <w:p w14:paraId="33E65D96"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45%</w:t>
            </w:r>
          </w:p>
        </w:tc>
        <w:tc>
          <w:tcPr>
            <w:tcW w:w="367" w:type="pct"/>
            <w:shd w:val="clear" w:color="auto" w:fill="auto"/>
            <w:vAlign w:val="center"/>
          </w:tcPr>
          <w:p w14:paraId="27A11697"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55%</w:t>
            </w:r>
          </w:p>
        </w:tc>
        <w:tc>
          <w:tcPr>
            <w:tcW w:w="379" w:type="pct"/>
            <w:vAlign w:val="center"/>
          </w:tcPr>
          <w:p w14:paraId="69EC6330"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7" w:type="pct"/>
            <w:shd w:val="clear" w:color="auto" w:fill="auto"/>
            <w:vAlign w:val="center"/>
          </w:tcPr>
          <w:p w14:paraId="2CA61B74"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70%</w:t>
            </w:r>
          </w:p>
        </w:tc>
        <w:tc>
          <w:tcPr>
            <w:tcW w:w="367" w:type="pct"/>
            <w:shd w:val="clear" w:color="auto" w:fill="auto"/>
            <w:vAlign w:val="center"/>
          </w:tcPr>
          <w:p w14:paraId="7B780402"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90%</w:t>
            </w:r>
          </w:p>
        </w:tc>
        <w:tc>
          <w:tcPr>
            <w:tcW w:w="364" w:type="pct"/>
            <w:shd w:val="clear" w:color="auto" w:fill="auto"/>
            <w:vAlign w:val="center"/>
          </w:tcPr>
          <w:p w14:paraId="463EBCE2"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rPr>
              <w:t>100</w:t>
            </w:r>
            <w:r w:rsidRPr="00B0658A">
              <w:rPr>
                <w:rFonts w:ascii="Times New Roman" w:hAnsi="Times New Roman"/>
                <w:sz w:val="18"/>
                <w:szCs w:val="18"/>
                <w:lang w:val="en-US"/>
              </w:rPr>
              <w:t>%</w:t>
            </w:r>
          </w:p>
        </w:tc>
      </w:tr>
      <w:tr w:rsidR="00F52FED" w:rsidRPr="00B0658A" w14:paraId="70F68B02" w14:textId="77777777" w:rsidTr="00FE71B1">
        <w:trPr>
          <w:trHeight w:val="20"/>
        </w:trPr>
        <w:tc>
          <w:tcPr>
            <w:tcW w:w="342" w:type="pct"/>
            <w:shd w:val="clear" w:color="000000" w:fill="FFFFFF"/>
            <w:vAlign w:val="center"/>
          </w:tcPr>
          <w:p w14:paraId="26444785" w14:textId="77777777" w:rsidR="005B7E3E" w:rsidRPr="00B0658A" w:rsidRDefault="005B7E3E" w:rsidP="00FE71B1">
            <w:pPr>
              <w:spacing w:after="0" w:line="240" w:lineRule="auto"/>
              <w:jc w:val="center"/>
              <w:rPr>
                <w:rFonts w:ascii="Times New Roman" w:hAnsi="Times New Roman"/>
                <w:sz w:val="18"/>
                <w:szCs w:val="18"/>
              </w:rPr>
            </w:pPr>
            <w:r w:rsidRPr="00B0658A">
              <w:rPr>
                <w:rFonts w:ascii="Times New Roman" w:hAnsi="Times New Roman"/>
                <w:sz w:val="18"/>
                <w:szCs w:val="18"/>
              </w:rPr>
              <w:t>4.3</w:t>
            </w:r>
          </w:p>
        </w:tc>
        <w:tc>
          <w:tcPr>
            <w:tcW w:w="1182" w:type="pct"/>
            <w:shd w:val="clear" w:color="auto" w:fill="auto"/>
            <w:vAlign w:val="center"/>
            <w:hideMark/>
          </w:tcPr>
          <w:p w14:paraId="24786F31" w14:textId="77777777" w:rsidR="005B7E3E" w:rsidRPr="00B0658A" w:rsidRDefault="005B7E3E" w:rsidP="000A4114">
            <w:pPr>
              <w:spacing w:after="0" w:line="240" w:lineRule="auto"/>
              <w:rPr>
                <w:rFonts w:ascii="Times New Roman" w:hAnsi="Times New Roman"/>
                <w:sz w:val="18"/>
                <w:szCs w:val="18"/>
              </w:rPr>
            </w:pPr>
            <w:r w:rsidRPr="00B0658A">
              <w:rPr>
                <w:rFonts w:ascii="Times New Roman" w:hAnsi="Times New Roman"/>
                <w:sz w:val="18"/>
                <w:szCs w:val="18"/>
              </w:rPr>
              <w:t>Средства разработки программного обеспечения/ Библиотеки подпрограмм (SDK)</w:t>
            </w:r>
          </w:p>
        </w:tc>
        <w:tc>
          <w:tcPr>
            <w:tcW w:w="898" w:type="pct"/>
            <w:shd w:val="clear" w:color="000000" w:fill="FFFFFF"/>
            <w:hideMark/>
          </w:tcPr>
          <w:p w14:paraId="3B4E7548" w14:textId="77777777" w:rsidR="005B7E3E" w:rsidRPr="00B0658A" w:rsidRDefault="005B7E3E" w:rsidP="000A4114">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7" w:type="pct"/>
            <w:shd w:val="clear" w:color="auto" w:fill="auto"/>
            <w:vAlign w:val="center"/>
          </w:tcPr>
          <w:p w14:paraId="4BF613C3"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35%</w:t>
            </w:r>
          </w:p>
        </w:tc>
        <w:tc>
          <w:tcPr>
            <w:tcW w:w="367" w:type="pct"/>
            <w:shd w:val="clear" w:color="auto" w:fill="auto"/>
            <w:vAlign w:val="center"/>
          </w:tcPr>
          <w:p w14:paraId="3A60FA0E"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45%</w:t>
            </w:r>
          </w:p>
        </w:tc>
        <w:tc>
          <w:tcPr>
            <w:tcW w:w="367" w:type="pct"/>
            <w:shd w:val="clear" w:color="auto" w:fill="auto"/>
            <w:vAlign w:val="center"/>
          </w:tcPr>
          <w:p w14:paraId="3565B93D"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55%</w:t>
            </w:r>
          </w:p>
        </w:tc>
        <w:tc>
          <w:tcPr>
            <w:tcW w:w="379" w:type="pct"/>
            <w:vAlign w:val="center"/>
          </w:tcPr>
          <w:p w14:paraId="1A801DF2"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7" w:type="pct"/>
            <w:shd w:val="clear" w:color="auto" w:fill="auto"/>
            <w:vAlign w:val="center"/>
          </w:tcPr>
          <w:p w14:paraId="40099D03"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70%</w:t>
            </w:r>
          </w:p>
        </w:tc>
        <w:tc>
          <w:tcPr>
            <w:tcW w:w="367" w:type="pct"/>
            <w:shd w:val="clear" w:color="auto" w:fill="auto"/>
            <w:vAlign w:val="center"/>
          </w:tcPr>
          <w:p w14:paraId="4BD95C99"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90%</w:t>
            </w:r>
          </w:p>
        </w:tc>
        <w:tc>
          <w:tcPr>
            <w:tcW w:w="364" w:type="pct"/>
            <w:shd w:val="clear" w:color="auto" w:fill="auto"/>
            <w:vAlign w:val="center"/>
          </w:tcPr>
          <w:p w14:paraId="6CC2319F"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F52FED" w:rsidRPr="00B0658A" w14:paraId="356C2894" w14:textId="77777777" w:rsidTr="00FE71B1">
        <w:trPr>
          <w:trHeight w:val="20"/>
        </w:trPr>
        <w:tc>
          <w:tcPr>
            <w:tcW w:w="342" w:type="pct"/>
            <w:shd w:val="clear" w:color="000000" w:fill="FFFFFF"/>
            <w:vAlign w:val="center"/>
          </w:tcPr>
          <w:p w14:paraId="3D3FBB72" w14:textId="77777777" w:rsidR="005B7E3E" w:rsidRPr="00B0658A" w:rsidRDefault="005B7E3E" w:rsidP="00FE71B1">
            <w:pPr>
              <w:spacing w:after="0" w:line="240" w:lineRule="auto"/>
              <w:jc w:val="center"/>
              <w:rPr>
                <w:rFonts w:ascii="Times New Roman" w:hAnsi="Times New Roman"/>
                <w:sz w:val="18"/>
                <w:szCs w:val="18"/>
              </w:rPr>
            </w:pPr>
            <w:r w:rsidRPr="00B0658A">
              <w:rPr>
                <w:rFonts w:ascii="Times New Roman" w:hAnsi="Times New Roman"/>
                <w:sz w:val="18"/>
                <w:szCs w:val="18"/>
              </w:rPr>
              <w:t>4.4</w:t>
            </w:r>
          </w:p>
        </w:tc>
        <w:tc>
          <w:tcPr>
            <w:tcW w:w="1182" w:type="pct"/>
            <w:shd w:val="clear" w:color="auto" w:fill="auto"/>
            <w:vAlign w:val="center"/>
            <w:hideMark/>
          </w:tcPr>
          <w:p w14:paraId="5106D7A9" w14:textId="77777777" w:rsidR="005B7E3E" w:rsidRPr="00B0658A" w:rsidRDefault="005B7E3E" w:rsidP="000A4114">
            <w:pPr>
              <w:spacing w:after="0" w:line="240" w:lineRule="auto"/>
              <w:rPr>
                <w:rFonts w:ascii="Times New Roman" w:hAnsi="Times New Roman"/>
                <w:sz w:val="18"/>
                <w:szCs w:val="18"/>
              </w:rPr>
            </w:pPr>
            <w:r w:rsidRPr="00B0658A">
              <w:rPr>
                <w:rFonts w:ascii="Times New Roman" w:hAnsi="Times New Roman"/>
                <w:sz w:val="18"/>
                <w:szCs w:val="18"/>
              </w:rPr>
              <w:t>Средства разработки программного обеспечения/ Среды разработки, тестирования и отладки</w:t>
            </w:r>
          </w:p>
        </w:tc>
        <w:tc>
          <w:tcPr>
            <w:tcW w:w="898" w:type="pct"/>
            <w:shd w:val="clear" w:color="000000" w:fill="FFFFFF"/>
            <w:hideMark/>
          </w:tcPr>
          <w:p w14:paraId="0E8C40AB" w14:textId="77777777" w:rsidR="005B7E3E" w:rsidRPr="00B0658A" w:rsidRDefault="005B7E3E" w:rsidP="000A4114">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7" w:type="pct"/>
            <w:shd w:val="clear" w:color="auto" w:fill="auto"/>
            <w:vAlign w:val="center"/>
          </w:tcPr>
          <w:p w14:paraId="3599A488"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35%</w:t>
            </w:r>
          </w:p>
        </w:tc>
        <w:tc>
          <w:tcPr>
            <w:tcW w:w="367" w:type="pct"/>
            <w:shd w:val="clear" w:color="auto" w:fill="auto"/>
            <w:vAlign w:val="center"/>
          </w:tcPr>
          <w:p w14:paraId="6249C906"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45%</w:t>
            </w:r>
          </w:p>
        </w:tc>
        <w:tc>
          <w:tcPr>
            <w:tcW w:w="367" w:type="pct"/>
            <w:shd w:val="clear" w:color="auto" w:fill="auto"/>
            <w:vAlign w:val="center"/>
          </w:tcPr>
          <w:p w14:paraId="43B1E04B"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55%</w:t>
            </w:r>
          </w:p>
        </w:tc>
        <w:tc>
          <w:tcPr>
            <w:tcW w:w="379" w:type="pct"/>
            <w:vAlign w:val="center"/>
          </w:tcPr>
          <w:p w14:paraId="19F6736B"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7" w:type="pct"/>
            <w:shd w:val="clear" w:color="auto" w:fill="auto"/>
            <w:vAlign w:val="center"/>
          </w:tcPr>
          <w:p w14:paraId="1EB67F01"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70%</w:t>
            </w:r>
          </w:p>
        </w:tc>
        <w:tc>
          <w:tcPr>
            <w:tcW w:w="367" w:type="pct"/>
            <w:shd w:val="clear" w:color="auto" w:fill="auto"/>
            <w:vAlign w:val="center"/>
          </w:tcPr>
          <w:p w14:paraId="5A330681"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90%</w:t>
            </w:r>
          </w:p>
        </w:tc>
        <w:tc>
          <w:tcPr>
            <w:tcW w:w="364" w:type="pct"/>
            <w:shd w:val="clear" w:color="auto" w:fill="auto"/>
            <w:vAlign w:val="center"/>
          </w:tcPr>
          <w:p w14:paraId="728D6517"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F52FED" w:rsidRPr="00B0658A" w14:paraId="4FA4AE7D" w14:textId="77777777" w:rsidTr="00FE71B1">
        <w:trPr>
          <w:trHeight w:val="20"/>
        </w:trPr>
        <w:tc>
          <w:tcPr>
            <w:tcW w:w="342" w:type="pct"/>
            <w:shd w:val="clear" w:color="000000" w:fill="FFFFFF"/>
            <w:vAlign w:val="center"/>
          </w:tcPr>
          <w:p w14:paraId="115D8E1C" w14:textId="77777777" w:rsidR="005B7E3E" w:rsidRPr="00B0658A" w:rsidRDefault="005B7E3E" w:rsidP="00FE71B1">
            <w:pPr>
              <w:spacing w:after="0" w:line="240" w:lineRule="auto"/>
              <w:jc w:val="center"/>
              <w:rPr>
                <w:rFonts w:ascii="Times New Roman" w:hAnsi="Times New Roman"/>
                <w:sz w:val="18"/>
                <w:szCs w:val="18"/>
              </w:rPr>
            </w:pPr>
            <w:r w:rsidRPr="00B0658A">
              <w:rPr>
                <w:rFonts w:ascii="Times New Roman" w:hAnsi="Times New Roman"/>
                <w:sz w:val="18"/>
                <w:szCs w:val="18"/>
              </w:rPr>
              <w:t>4.5</w:t>
            </w:r>
          </w:p>
        </w:tc>
        <w:tc>
          <w:tcPr>
            <w:tcW w:w="1182" w:type="pct"/>
            <w:shd w:val="clear" w:color="auto" w:fill="auto"/>
            <w:vAlign w:val="center"/>
            <w:hideMark/>
          </w:tcPr>
          <w:p w14:paraId="4D218191" w14:textId="77777777" w:rsidR="005B7E3E" w:rsidRPr="00B0658A" w:rsidRDefault="005B7E3E" w:rsidP="000A4114">
            <w:pPr>
              <w:spacing w:after="0" w:line="240" w:lineRule="auto"/>
              <w:rPr>
                <w:rFonts w:ascii="Times New Roman" w:hAnsi="Times New Roman"/>
                <w:sz w:val="18"/>
                <w:szCs w:val="18"/>
              </w:rPr>
            </w:pPr>
            <w:r w:rsidRPr="00B0658A">
              <w:rPr>
                <w:rFonts w:ascii="Times New Roman" w:hAnsi="Times New Roman"/>
                <w:sz w:val="18"/>
                <w:szCs w:val="18"/>
              </w:rPr>
              <w:t>Средства разработки программного обеспечения/ Средства анализа исходного кода на закладки и уязвимости</w:t>
            </w:r>
          </w:p>
        </w:tc>
        <w:tc>
          <w:tcPr>
            <w:tcW w:w="898" w:type="pct"/>
            <w:shd w:val="clear" w:color="000000" w:fill="FFFFFF"/>
            <w:hideMark/>
          </w:tcPr>
          <w:p w14:paraId="197476C3" w14:textId="77777777" w:rsidR="005B7E3E" w:rsidRPr="00B0658A" w:rsidRDefault="005B7E3E" w:rsidP="000A4114">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7" w:type="pct"/>
            <w:shd w:val="clear" w:color="auto" w:fill="auto"/>
            <w:vAlign w:val="center"/>
          </w:tcPr>
          <w:p w14:paraId="23FCDD93"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35%</w:t>
            </w:r>
          </w:p>
        </w:tc>
        <w:tc>
          <w:tcPr>
            <w:tcW w:w="367" w:type="pct"/>
            <w:shd w:val="clear" w:color="auto" w:fill="auto"/>
            <w:vAlign w:val="center"/>
          </w:tcPr>
          <w:p w14:paraId="36CD15DD"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45%</w:t>
            </w:r>
          </w:p>
        </w:tc>
        <w:tc>
          <w:tcPr>
            <w:tcW w:w="367" w:type="pct"/>
            <w:shd w:val="clear" w:color="auto" w:fill="auto"/>
            <w:vAlign w:val="center"/>
          </w:tcPr>
          <w:p w14:paraId="74CC815E"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55%</w:t>
            </w:r>
          </w:p>
        </w:tc>
        <w:tc>
          <w:tcPr>
            <w:tcW w:w="379" w:type="pct"/>
            <w:vAlign w:val="center"/>
          </w:tcPr>
          <w:p w14:paraId="648BFB4B"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7" w:type="pct"/>
            <w:shd w:val="clear" w:color="auto" w:fill="auto"/>
            <w:vAlign w:val="center"/>
          </w:tcPr>
          <w:p w14:paraId="693447BB"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70%</w:t>
            </w:r>
          </w:p>
        </w:tc>
        <w:tc>
          <w:tcPr>
            <w:tcW w:w="367" w:type="pct"/>
            <w:shd w:val="clear" w:color="auto" w:fill="auto"/>
            <w:vAlign w:val="center"/>
          </w:tcPr>
          <w:p w14:paraId="15B0C8D2"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90%</w:t>
            </w:r>
          </w:p>
        </w:tc>
        <w:tc>
          <w:tcPr>
            <w:tcW w:w="364" w:type="pct"/>
            <w:shd w:val="clear" w:color="auto" w:fill="auto"/>
            <w:vAlign w:val="center"/>
          </w:tcPr>
          <w:p w14:paraId="3A14EBBE"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F52FED" w:rsidRPr="00B0658A" w14:paraId="4D3F1453" w14:textId="77777777" w:rsidTr="00FE71B1">
        <w:trPr>
          <w:trHeight w:val="20"/>
        </w:trPr>
        <w:tc>
          <w:tcPr>
            <w:tcW w:w="342" w:type="pct"/>
            <w:shd w:val="clear" w:color="000000" w:fill="FFFFFF"/>
            <w:vAlign w:val="center"/>
          </w:tcPr>
          <w:p w14:paraId="7BC6E2C6" w14:textId="77777777" w:rsidR="005B7E3E" w:rsidRPr="00B0658A" w:rsidRDefault="005B7E3E" w:rsidP="00FE71B1">
            <w:pPr>
              <w:spacing w:after="0" w:line="240" w:lineRule="auto"/>
              <w:jc w:val="center"/>
              <w:rPr>
                <w:rFonts w:ascii="Times New Roman" w:hAnsi="Times New Roman"/>
                <w:sz w:val="18"/>
                <w:szCs w:val="18"/>
              </w:rPr>
            </w:pPr>
            <w:r w:rsidRPr="00B0658A">
              <w:rPr>
                <w:rFonts w:ascii="Times New Roman" w:hAnsi="Times New Roman"/>
                <w:sz w:val="18"/>
                <w:szCs w:val="18"/>
              </w:rPr>
              <w:t>4.6</w:t>
            </w:r>
          </w:p>
        </w:tc>
        <w:tc>
          <w:tcPr>
            <w:tcW w:w="1182" w:type="pct"/>
            <w:shd w:val="clear" w:color="auto" w:fill="auto"/>
            <w:vAlign w:val="center"/>
            <w:hideMark/>
          </w:tcPr>
          <w:p w14:paraId="17F6BF51" w14:textId="77777777" w:rsidR="005B7E3E" w:rsidRPr="00B0658A" w:rsidRDefault="005B7E3E" w:rsidP="000A4114">
            <w:pPr>
              <w:spacing w:after="0" w:line="240" w:lineRule="auto"/>
              <w:rPr>
                <w:rFonts w:ascii="Times New Roman" w:hAnsi="Times New Roman"/>
                <w:sz w:val="18"/>
                <w:szCs w:val="18"/>
              </w:rPr>
            </w:pPr>
            <w:r w:rsidRPr="00B0658A">
              <w:rPr>
                <w:rFonts w:ascii="Times New Roman" w:hAnsi="Times New Roman"/>
                <w:sz w:val="18"/>
                <w:szCs w:val="18"/>
              </w:rPr>
              <w:t>Средства разработки программного обеспечения/ Средства разработки программного обеспечения на основе нейротехнологий и искусственного интеллекта</w:t>
            </w:r>
          </w:p>
        </w:tc>
        <w:tc>
          <w:tcPr>
            <w:tcW w:w="898" w:type="pct"/>
            <w:shd w:val="clear" w:color="000000" w:fill="FFFFFF"/>
            <w:hideMark/>
          </w:tcPr>
          <w:p w14:paraId="701643CA" w14:textId="77777777" w:rsidR="005B7E3E" w:rsidRPr="00B0658A" w:rsidRDefault="005B7E3E" w:rsidP="000A4114">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7" w:type="pct"/>
            <w:shd w:val="clear" w:color="000000" w:fill="FFFFFF"/>
            <w:vAlign w:val="center"/>
          </w:tcPr>
          <w:p w14:paraId="21339385"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35%</w:t>
            </w:r>
          </w:p>
        </w:tc>
        <w:tc>
          <w:tcPr>
            <w:tcW w:w="367" w:type="pct"/>
            <w:shd w:val="clear" w:color="000000" w:fill="FFFFFF"/>
            <w:vAlign w:val="center"/>
          </w:tcPr>
          <w:p w14:paraId="52AF27F6"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45%</w:t>
            </w:r>
          </w:p>
        </w:tc>
        <w:tc>
          <w:tcPr>
            <w:tcW w:w="367" w:type="pct"/>
            <w:shd w:val="clear" w:color="000000" w:fill="FFFFFF"/>
            <w:vAlign w:val="center"/>
          </w:tcPr>
          <w:p w14:paraId="249CEF9F"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55%</w:t>
            </w:r>
          </w:p>
        </w:tc>
        <w:tc>
          <w:tcPr>
            <w:tcW w:w="379" w:type="pct"/>
            <w:shd w:val="clear" w:color="000000" w:fill="FFFFFF"/>
            <w:vAlign w:val="center"/>
          </w:tcPr>
          <w:p w14:paraId="33A165C7"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7" w:type="pct"/>
            <w:shd w:val="clear" w:color="000000" w:fill="FFFFFF"/>
            <w:vAlign w:val="center"/>
          </w:tcPr>
          <w:p w14:paraId="51CA53EA"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70%</w:t>
            </w:r>
          </w:p>
        </w:tc>
        <w:tc>
          <w:tcPr>
            <w:tcW w:w="367" w:type="pct"/>
            <w:shd w:val="clear" w:color="000000" w:fill="FFFFFF"/>
            <w:vAlign w:val="center"/>
          </w:tcPr>
          <w:p w14:paraId="5A0222EE"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90%</w:t>
            </w:r>
          </w:p>
        </w:tc>
        <w:tc>
          <w:tcPr>
            <w:tcW w:w="364" w:type="pct"/>
            <w:shd w:val="clear" w:color="000000" w:fill="FFFFFF"/>
            <w:vAlign w:val="center"/>
          </w:tcPr>
          <w:p w14:paraId="1F02E605"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F52FED" w:rsidRPr="00B0658A" w14:paraId="161115D7" w14:textId="77777777" w:rsidTr="00FE71B1">
        <w:trPr>
          <w:trHeight w:val="20"/>
        </w:trPr>
        <w:tc>
          <w:tcPr>
            <w:tcW w:w="342" w:type="pct"/>
            <w:shd w:val="clear" w:color="000000" w:fill="FFFFFF"/>
            <w:vAlign w:val="center"/>
          </w:tcPr>
          <w:p w14:paraId="07FB8B13" w14:textId="77777777" w:rsidR="005B7E3E" w:rsidRPr="00B0658A" w:rsidRDefault="005B7E3E" w:rsidP="00FE71B1">
            <w:pPr>
              <w:spacing w:after="0" w:line="240" w:lineRule="auto"/>
              <w:jc w:val="center"/>
              <w:rPr>
                <w:rFonts w:ascii="Times New Roman" w:hAnsi="Times New Roman"/>
                <w:sz w:val="18"/>
                <w:szCs w:val="18"/>
              </w:rPr>
            </w:pPr>
            <w:r w:rsidRPr="00B0658A">
              <w:rPr>
                <w:rFonts w:ascii="Times New Roman" w:hAnsi="Times New Roman"/>
                <w:sz w:val="18"/>
                <w:szCs w:val="18"/>
              </w:rPr>
              <w:t>4.7.</w:t>
            </w:r>
          </w:p>
        </w:tc>
        <w:tc>
          <w:tcPr>
            <w:tcW w:w="1182" w:type="pct"/>
            <w:shd w:val="clear" w:color="auto" w:fill="auto"/>
            <w:vAlign w:val="center"/>
          </w:tcPr>
          <w:p w14:paraId="5812FFFD" w14:textId="77777777" w:rsidR="005B7E3E" w:rsidRPr="00B0658A" w:rsidRDefault="005B7E3E" w:rsidP="000A4114">
            <w:pPr>
              <w:spacing w:after="0" w:line="240" w:lineRule="auto"/>
              <w:rPr>
                <w:rFonts w:ascii="Times New Roman" w:hAnsi="Times New Roman"/>
                <w:sz w:val="18"/>
                <w:szCs w:val="18"/>
              </w:rPr>
            </w:pPr>
            <w:r w:rsidRPr="00B0658A">
              <w:rPr>
                <w:rFonts w:ascii="Times New Roman" w:hAnsi="Times New Roman"/>
                <w:sz w:val="18"/>
                <w:szCs w:val="18"/>
              </w:rPr>
              <w:t>Средства разработки программного обеспечения/ Средства разработки программного обеспечения на основе квантовых технологий</w:t>
            </w:r>
          </w:p>
        </w:tc>
        <w:tc>
          <w:tcPr>
            <w:tcW w:w="898" w:type="pct"/>
            <w:shd w:val="clear" w:color="000000" w:fill="FFFFFF"/>
          </w:tcPr>
          <w:p w14:paraId="6BF36D91" w14:textId="77777777" w:rsidR="005B7E3E" w:rsidRPr="00B0658A" w:rsidRDefault="005B7E3E" w:rsidP="000A4114">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7" w:type="pct"/>
            <w:shd w:val="clear" w:color="000000" w:fill="FFFFFF"/>
            <w:vAlign w:val="center"/>
          </w:tcPr>
          <w:p w14:paraId="74BF39A6"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35%</w:t>
            </w:r>
          </w:p>
        </w:tc>
        <w:tc>
          <w:tcPr>
            <w:tcW w:w="367" w:type="pct"/>
            <w:shd w:val="clear" w:color="000000" w:fill="FFFFFF"/>
            <w:vAlign w:val="center"/>
          </w:tcPr>
          <w:p w14:paraId="67139DBF"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45%</w:t>
            </w:r>
          </w:p>
        </w:tc>
        <w:tc>
          <w:tcPr>
            <w:tcW w:w="367" w:type="pct"/>
            <w:shd w:val="clear" w:color="000000" w:fill="FFFFFF"/>
            <w:vAlign w:val="center"/>
          </w:tcPr>
          <w:p w14:paraId="76979FBF"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55%</w:t>
            </w:r>
          </w:p>
        </w:tc>
        <w:tc>
          <w:tcPr>
            <w:tcW w:w="379" w:type="pct"/>
            <w:shd w:val="clear" w:color="000000" w:fill="FFFFFF"/>
            <w:vAlign w:val="center"/>
          </w:tcPr>
          <w:p w14:paraId="31D849CA"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7" w:type="pct"/>
            <w:shd w:val="clear" w:color="000000" w:fill="FFFFFF"/>
            <w:vAlign w:val="center"/>
          </w:tcPr>
          <w:p w14:paraId="51939755"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70%</w:t>
            </w:r>
          </w:p>
        </w:tc>
        <w:tc>
          <w:tcPr>
            <w:tcW w:w="367" w:type="pct"/>
            <w:shd w:val="clear" w:color="000000" w:fill="FFFFFF"/>
            <w:vAlign w:val="center"/>
          </w:tcPr>
          <w:p w14:paraId="262186A0" w14:textId="77777777" w:rsidR="005B7E3E" w:rsidRPr="00B0658A" w:rsidRDefault="005B7E3E" w:rsidP="000A4114">
            <w:pPr>
              <w:spacing w:after="0" w:line="240" w:lineRule="auto"/>
              <w:jc w:val="center"/>
              <w:rPr>
                <w:rFonts w:ascii="Times New Roman" w:hAnsi="Times New Roman"/>
                <w:sz w:val="18"/>
                <w:szCs w:val="18"/>
                <w:lang w:val="en-US"/>
              </w:rPr>
            </w:pPr>
            <w:r w:rsidRPr="00B0658A">
              <w:rPr>
                <w:rFonts w:ascii="Times New Roman" w:hAnsi="Times New Roman"/>
                <w:sz w:val="18"/>
                <w:szCs w:val="18"/>
                <w:lang w:val="en-US"/>
              </w:rPr>
              <w:t>90%</w:t>
            </w:r>
          </w:p>
        </w:tc>
        <w:tc>
          <w:tcPr>
            <w:tcW w:w="364" w:type="pct"/>
            <w:shd w:val="clear" w:color="000000" w:fill="FFFFFF"/>
            <w:vAlign w:val="center"/>
          </w:tcPr>
          <w:p w14:paraId="6F366D6E"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F52FED" w:rsidRPr="00B0658A" w14:paraId="2ABE7B38" w14:textId="77777777" w:rsidTr="00FE71B1">
        <w:trPr>
          <w:trHeight w:val="20"/>
        </w:trPr>
        <w:tc>
          <w:tcPr>
            <w:tcW w:w="342" w:type="pct"/>
            <w:shd w:val="clear" w:color="000000" w:fill="FFFFFF"/>
            <w:vAlign w:val="center"/>
          </w:tcPr>
          <w:p w14:paraId="287F9CC4" w14:textId="77777777" w:rsidR="005B7E3E" w:rsidRPr="00B0658A" w:rsidRDefault="005B7E3E" w:rsidP="00FE71B1">
            <w:pPr>
              <w:spacing w:after="0" w:line="240" w:lineRule="auto"/>
              <w:jc w:val="center"/>
              <w:rPr>
                <w:rFonts w:ascii="Times New Roman" w:hAnsi="Times New Roman"/>
                <w:sz w:val="18"/>
                <w:szCs w:val="18"/>
              </w:rPr>
            </w:pPr>
            <w:r w:rsidRPr="00B0658A">
              <w:rPr>
                <w:rFonts w:ascii="Times New Roman" w:hAnsi="Times New Roman"/>
                <w:sz w:val="18"/>
                <w:szCs w:val="18"/>
              </w:rPr>
              <w:t>4.8.</w:t>
            </w:r>
          </w:p>
        </w:tc>
        <w:tc>
          <w:tcPr>
            <w:tcW w:w="1182" w:type="pct"/>
            <w:shd w:val="clear" w:color="auto" w:fill="auto"/>
            <w:vAlign w:val="center"/>
          </w:tcPr>
          <w:p w14:paraId="42ADE5DE" w14:textId="77777777" w:rsidR="005B7E3E" w:rsidRPr="00B0658A" w:rsidRDefault="005B7E3E" w:rsidP="000A4114">
            <w:pPr>
              <w:spacing w:after="0" w:line="240" w:lineRule="auto"/>
              <w:rPr>
                <w:rFonts w:ascii="Times New Roman" w:hAnsi="Times New Roman"/>
                <w:sz w:val="18"/>
                <w:szCs w:val="18"/>
              </w:rPr>
            </w:pPr>
            <w:r w:rsidRPr="00B0658A">
              <w:rPr>
                <w:rFonts w:ascii="Times New Roman" w:hAnsi="Times New Roman"/>
                <w:sz w:val="18"/>
                <w:szCs w:val="18"/>
              </w:rPr>
              <w:t>Средства разработки программного обеспечения/ Интегрированные платформы для создания приложений</w:t>
            </w:r>
          </w:p>
        </w:tc>
        <w:tc>
          <w:tcPr>
            <w:tcW w:w="898" w:type="pct"/>
            <w:shd w:val="clear" w:color="000000" w:fill="FFFFFF"/>
          </w:tcPr>
          <w:p w14:paraId="2458473F" w14:textId="77777777" w:rsidR="005B7E3E" w:rsidRPr="00B0658A" w:rsidRDefault="005B7E3E" w:rsidP="000A4114">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7" w:type="pct"/>
            <w:shd w:val="clear" w:color="000000" w:fill="FFFFFF"/>
            <w:vAlign w:val="center"/>
          </w:tcPr>
          <w:p w14:paraId="69B20E4E"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35%</w:t>
            </w:r>
          </w:p>
        </w:tc>
        <w:tc>
          <w:tcPr>
            <w:tcW w:w="367" w:type="pct"/>
            <w:shd w:val="clear" w:color="000000" w:fill="FFFFFF"/>
            <w:vAlign w:val="center"/>
          </w:tcPr>
          <w:p w14:paraId="6EDBBF0B"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45%</w:t>
            </w:r>
          </w:p>
        </w:tc>
        <w:tc>
          <w:tcPr>
            <w:tcW w:w="367" w:type="pct"/>
            <w:shd w:val="clear" w:color="000000" w:fill="FFFFFF"/>
            <w:vAlign w:val="center"/>
          </w:tcPr>
          <w:p w14:paraId="7F3CFABC"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55%</w:t>
            </w:r>
          </w:p>
        </w:tc>
        <w:tc>
          <w:tcPr>
            <w:tcW w:w="379" w:type="pct"/>
            <w:shd w:val="clear" w:color="000000" w:fill="FFFFFF"/>
            <w:vAlign w:val="center"/>
          </w:tcPr>
          <w:p w14:paraId="616BF44F"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7" w:type="pct"/>
            <w:shd w:val="clear" w:color="000000" w:fill="FFFFFF"/>
            <w:vAlign w:val="center"/>
          </w:tcPr>
          <w:p w14:paraId="058857D7"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70%</w:t>
            </w:r>
          </w:p>
        </w:tc>
        <w:tc>
          <w:tcPr>
            <w:tcW w:w="367" w:type="pct"/>
            <w:shd w:val="clear" w:color="000000" w:fill="FFFFFF"/>
            <w:vAlign w:val="center"/>
          </w:tcPr>
          <w:p w14:paraId="5A9E7E1D" w14:textId="77777777" w:rsidR="005B7E3E" w:rsidRPr="00B0658A" w:rsidRDefault="005B7E3E" w:rsidP="000A4114">
            <w:pPr>
              <w:spacing w:after="0" w:line="240" w:lineRule="auto"/>
              <w:jc w:val="center"/>
              <w:rPr>
                <w:rFonts w:ascii="Times New Roman" w:hAnsi="Times New Roman"/>
                <w:sz w:val="18"/>
                <w:szCs w:val="18"/>
                <w:lang w:val="en-US"/>
              </w:rPr>
            </w:pPr>
            <w:r w:rsidRPr="00B0658A">
              <w:rPr>
                <w:rFonts w:ascii="Times New Roman" w:hAnsi="Times New Roman"/>
                <w:sz w:val="18"/>
                <w:szCs w:val="18"/>
                <w:lang w:val="en-US"/>
              </w:rPr>
              <w:t>90%</w:t>
            </w:r>
          </w:p>
        </w:tc>
        <w:tc>
          <w:tcPr>
            <w:tcW w:w="364" w:type="pct"/>
            <w:shd w:val="clear" w:color="000000" w:fill="FFFFFF"/>
            <w:vAlign w:val="center"/>
          </w:tcPr>
          <w:p w14:paraId="0D59026B"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F52FED" w:rsidRPr="00B0658A" w14:paraId="3C88DED6" w14:textId="77777777" w:rsidTr="00FE71B1">
        <w:trPr>
          <w:trHeight w:val="20"/>
        </w:trPr>
        <w:tc>
          <w:tcPr>
            <w:tcW w:w="342" w:type="pct"/>
            <w:shd w:val="clear" w:color="000000" w:fill="FFFFFF"/>
            <w:vAlign w:val="center"/>
          </w:tcPr>
          <w:p w14:paraId="6889DD98" w14:textId="77777777" w:rsidR="005B7E3E" w:rsidRPr="00B0658A" w:rsidRDefault="005B7E3E" w:rsidP="00FE71B1">
            <w:pPr>
              <w:spacing w:after="0" w:line="240" w:lineRule="auto"/>
              <w:jc w:val="center"/>
              <w:rPr>
                <w:rFonts w:ascii="Times New Roman" w:hAnsi="Times New Roman"/>
                <w:sz w:val="18"/>
                <w:szCs w:val="18"/>
              </w:rPr>
            </w:pPr>
            <w:r w:rsidRPr="00B0658A">
              <w:rPr>
                <w:rFonts w:ascii="Times New Roman" w:hAnsi="Times New Roman"/>
                <w:sz w:val="18"/>
                <w:szCs w:val="18"/>
              </w:rPr>
              <w:t>4.9.</w:t>
            </w:r>
          </w:p>
        </w:tc>
        <w:tc>
          <w:tcPr>
            <w:tcW w:w="1182" w:type="pct"/>
            <w:shd w:val="clear" w:color="auto" w:fill="auto"/>
            <w:vAlign w:val="center"/>
          </w:tcPr>
          <w:p w14:paraId="0C0710A6" w14:textId="77777777" w:rsidR="005B7E3E" w:rsidRPr="00B0658A" w:rsidRDefault="005B7E3E" w:rsidP="000A4114">
            <w:pPr>
              <w:spacing w:after="0" w:line="240" w:lineRule="auto"/>
              <w:rPr>
                <w:rFonts w:ascii="Times New Roman" w:hAnsi="Times New Roman"/>
                <w:sz w:val="18"/>
                <w:szCs w:val="18"/>
              </w:rPr>
            </w:pPr>
            <w:r w:rsidRPr="00B0658A">
              <w:rPr>
                <w:rFonts w:ascii="Times New Roman" w:hAnsi="Times New Roman"/>
                <w:sz w:val="18"/>
                <w:szCs w:val="18"/>
              </w:rPr>
              <w:t xml:space="preserve">Средства разработки программного обеспечения/ Системы предотвращения анализа </w:t>
            </w:r>
            <w:r w:rsidRPr="00B0658A">
              <w:rPr>
                <w:rFonts w:ascii="Times New Roman" w:hAnsi="Times New Roman"/>
                <w:sz w:val="18"/>
                <w:szCs w:val="18"/>
              </w:rPr>
              <w:br/>
              <w:t>и восстановления исполняемого кода программ</w:t>
            </w:r>
          </w:p>
        </w:tc>
        <w:tc>
          <w:tcPr>
            <w:tcW w:w="898" w:type="pct"/>
            <w:shd w:val="clear" w:color="000000" w:fill="FFFFFF"/>
          </w:tcPr>
          <w:p w14:paraId="06167086" w14:textId="77777777" w:rsidR="005B7E3E" w:rsidRPr="00B0658A" w:rsidRDefault="005B7E3E" w:rsidP="000A4114">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7" w:type="pct"/>
            <w:shd w:val="clear" w:color="000000" w:fill="FFFFFF"/>
            <w:vAlign w:val="center"/>
          </w:tcPr>
          <w:p w14:paraId="25E76B58"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35%</w:t>
            </w:r>
          </w:p>
        </w:tc>
        <w:tc>
          <w:tcPr>
            <w:tcW w:w="367" w:type="pct"/>
            <w:shd w:val="clear" w:color="000000" w:fill="FFFFFF"/>
            <w:vAlign w:val="center"/>
          </w:tcPr>
          <w:p w14:paraId="3A0DDE52"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45%</w:t>
            </w:r>
          </w:p>
        </w:tc>
        <w:tc>
          <w:tcPr>
            <w:tcW w:w="367" w:type="pct"/>
            <w:shd w:val="clear" w:color="000000" w:fill="FFFFFF"/>
            <w:vAlign w:val="center"/>
          </w:tcPr>
          <w:p w14:paraId="4116B0FA"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55%</w:t>
            </w:r>
          </w:p>
        </w:tc>
        <w:tc>
          <w:tcPr>
            <w:tcW w:w="379" w:type="pct"/>
            <w:shd w:val="clear" w:color="000000" w:fill="FFFFFF"/>
            <w:vAlign w:val="center"/>
          </w:tcPr>
          <w:p w14:paraId="1E9041B6"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7" w:type="pct"/>
            <w:shd w:val="clear" w:color="000000" w:fill="FFFFFF"/>
            <w:vAlign w:val="center"/>
          </w:tcPr>
          <w:p w14:paraId="1F35A342"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70%</w:t>
            </w:r>
          </w:p>
        </w:tc>
        <w:tc>
          <w:tcPr>
            <w:tcW w:w="367" w:type="pct"/>
            <w:shd w:val="clear" w:color="000000" w:fill="FFFFFF"/>
            <w:vAlign w:val="center"/>
          </w:tcPr>
          <w:p w14:paraId="67C4E108" w14:textId="77777777" w:rsidR="005B7E3E" w:rsidRPr="00B0658A" w:rsidRDefault="005B7E3E" w:rsidP="000A4114">
            <w:pPr>
              <w:spacing w:after="0" w:line="240" w:lineRule="auto"/>
              <w:jc w:val="center"/>
              <w:rPr>
                <w:rFonts w:ascii="Times New Roman" w:hAnsi="Times New Roman"/>
                <w:sz w:val="18"/>
                <w:szCs w:val="18"/>
                <w:lang w:val="en-US"/>
              </w:rPr>
            </w:pPr>
            <w:r w:rsidRPr="00B0658A">
              <w:rPr>
                <w:rFonts w:ascii="Times New Roman" w:hAnsi="Times New Roman"/>
                <w:sz w:val="18"/>
                <w:szCs w:val="18"/>
                <w:lang w:val="en-US"/>
              </w:rPr>
              <w:t>90%</w:t>
            </w:r>
          </w:p>
        </w:tc>
        <w:tc>
          <w:tcPr>
            <w:tcW w:w="364" w:type="pct"/>
            <w:shd w:val="clear" w:color="000000" w:fill="FFFFFF"/>
            <w:vAlign w:val="center"/>
          </w:tcPr>
          <w:p w14:paraId="06F9E9BE"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F52FED" w:rsidRPr="00B0658A" w14:paraId="050B0F38" w14:textId="77777777" w:rsidTr="00FE71B1">
        <w:trPr>
          <w:trHeight w:val="20"/>
        </w:trPr>
        <w:tc>
          <w:tcPr>
            <w:tcW w:w="342" w:type="pct"/>
            <w:shd w:val="clear" w:color="000000" w:fill="FFFFFF"/>
            <w:vAlign w:val="center"/>
          </w:tcPr>
          <w:p w14:paraId="69D99626" w14:textId="77777777" w:rsidR="005B7E3E" w:rsidRPr="00B0658A" w:rsidRDefault="005B7E3E" w:rsidP="00FE71B1">
            <w:pPr>
              <w:spacing w:after="0" w:line="240" w:lineRule="auto"/>
              <w:jc w:val="center"/>
              <w:rPr>
                <w:rFonts w:ascii="Times New Roman" w:hAnsi="Times New Roman"/>
                <w:sz w:val="18"/>
                <w:szCs w:val="18"/>
              </w:rPr>
            </w:pPr>
            <w:r w:rsidRPr="00B0658A">
              <w:rPr>
                <w:rFonts w:ascii="Times New Roman" w:hAnsi="Times New Roman"/>
                <w:sz w:val="18"/>
                <w:szCs w:val="18"/>
              </w:rPr>
              <w:t>5.1</w:t>
            </w:r>
          </w:p>
        </w:tc>
        <w:tc>
          <w:tcPr>
            <w:tcW w:w="1182" w:type="pct"/>
            <w:shd w:val="clear" w:color="auto" w:fill="auto"/>
            <w:vAlign w:val="center"/>
          </w:tcPr>
          <w:p w14:paraId="5B622AE9" w14:textId="77777777" w:rsidR="005B7E3E" w:rsidRPr="00B0658A" w:rsidRDefault="005B7E3E" w:rsidP="000A4114">
            <w:pPr>
              <w:spacing w:after="0" w:line="240" w:lineRule="auto"/>
              <w:rPr>
                <w:rFonts w:ascii="Times New Roman" w:hAnsi="Times New Roman"/>
                <w:sz w:val="18"/>
                <w:szCs w:val="18"/>
              </w:rPr>
            </w:pPr>
            <w:r w:rsidRPr="00B0658A">
              <w:rPr>
                <w:rFonts w:ascii="Times New Roman" w:hAnsi="Times New Roman"/>
                <w:sz w:val="18"/>
                <w:szCs w:val="18"/>
              </w:rPr>
              <w:t>Прикладное программное обеспечение/ Мультимедийное программное обеспечение</w:t>
            </w:r>
          </w:p>
        </w:tc>
        <w:tc>
          <w:tcPr>
            <w:tcW w:w="898" w:type="pct"/>
            <w:shd w:val="clear" w:color="000000" w:fill="FFFFFF"/>
          </w:tcPr>
          <w:p w14:paraId="60151731" w14:textId="77777777" w:rsidR="005B7E3E" w:rsidRPr="00B0658A" w:rsidRDefault="005B7E3E" w:rsidP="000A4114">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7" w:type="pct"/>
            <w:shd w:val="clear" w:color="000000" w:fill="FFFFFF"/>
            <w:vAlign w:val="center"/>
          </w:tcPr>
          <w:p w14:paraId="242797E2"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20%</w:t>
            </w:r>
          </w:p>
        </w:tc>
        <w:tc>
          <w:tcPr>
            <w:tcW w:w="367" w:type="pct"/>
            <w:shd w:val="clear" w:color="000000" w:fill="FFFFFF"/>
            <w:vAlign w:val="center"/>
          </w:tcPr>
          <w:p w14:paraId="1DFA6DDA"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30%</w:t>
            </w:r>
          </w:p>
        </w:tc>
        <w:tc>
          <w:tcPr>
            <w:tcW w:w="367" w:type="pct"/>
            <w:shd w:val="clear" w:color="000000" w:fill="FFFFFF"/>
            <w:vAlign w:val="center"/>
          </w:tcPr>
          <w:p w14:paraId="2B55193E"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40%</w:t>
            </w:r>
          </w:p>
        </w:tc>
        <w:tc>
          <w:tcPr>
            <w:tcW w:w="379" w:type="pct"/>
            <w:shd w:val="clear" w:color="000000" w:fill="FFFFFF"/>
            <w:vAlign w:val="center"/>
          </w:tcPr>
          <w:p w14:paraId="7AB61937"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7" w:type="pct"/>
            <w:shd w:val="clear" w:color="000000" w:fill="FFFFFF"/>
            <w:vAlign w:val="center"/>
          </w:tcPr>
          <w:p w14:paraId="36F24DF0"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60%</w:t>
            </w:r>
          </w:p>
        </w:tc>
        <w:tc>
          <w:tcPr>
            <w:tcW w:w="367" w:type="pct"/>
            <w:shd w:val="clear" w:color="000000" w:fill="FFFFFF"/>
            <w:vAlign w:val="center"/>
          </w:tcPr>
          <w:p w14:paraId="08A4CCE1"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80%</w:t>
            </w:r>
          </w:p>
        </w:tc>
        <w:tc>
          <w:tcPr>
            <w:tcW w:w="364" w:type="pct"/>
            <w:shd w:val="clear" w:color="000000" w:fill="FFFFFF"/>
            <w:vAlign w:val="center"/>
          </w:tcPr>
          <w:p w14:paraId="35547B4D"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F52FED" w:rsidRPr="00B0658A" w14:paraId="6661BC2F" w14:textId="77777777" w:rsidTr="00FE71B1">
        <w:trPr>
          <w:trHeight w:val="20"/>
        </w:trPr>
        <w:tc>
          <w:tcPr>
            <w:tcW w:w="342" w:type="pct"/>
            <w:shd w:val="clear" w:color="000000" w:fill="FFFFFF"/>
            <w:vAlign w:val="center"/>
          </w:tcPr>
          <w:p w14:paraId="14538D72" w14:textId="77777777" w:rsidR="005B7E3E" w:rsidRPr="00B0658A" w:rsidRDefault="005B7E3E" w:rsidP="00FE71B1">
            <w:pPr>
              <w:spacing w:after="0" w:line="240" w:lineRule="auto"/>
              <w:jc w:val="center"/>
              <w:rPr>
                <w:rFonts w:ascii="Times New Roman" w:hAnsi="Times New Roman"/>
                <w:sz w:val="18"/>
                <w:szCs w:val="18"/>
              </w:rPr>
            </w:pPr>
            <w:r w:rsidRPr="00B0658A">
              <w:rPr>
                <w:rFonts w:ascii="Times New Roman" w:hAnsi="Times New Roman"/>
                <w:sz w:val="18"/>
                <w:szCs w:val="18"/>
              </w:rPr>
              <w:t>5.2</w:t>
            </w:r>
          </w:p>
        </w:tc>
        <w:tc>
          <w:tcPr>
            <w:tcW w:w="1182" w:type="pct"/>
            <w:shd w:val="clear" w:color="auto" w:fill="auto"/>
            <w:vAlign w:val="center"/>
          </w:tcPr>
          <w:p w14:paraId="6466076F" w14:textId="77777777" w:rsidR="005B7E3E" w:rsidRPr="00B0658A" w:rsidRDefault="005B7E3E" w:rsidP="000A4114">
            <w:pPr>
              <w:spacing w:after="0" w:line="240" w:lineRule="auto"/>
              <w:rPr>
                <w:rFonts w:ascii="Times New Roman" w:hAnsi="Times New Roman"/>
                <w:sz w:val="18"/>
                <w:szCs w:val="18"/>
              </w:rPr>
            </w:pPr>
            <w:r w:rsidRPr="00B0658A">
              <w:rPr>
                <w:rFonts w:ascii="Times New Roman" w:hAnsi="Times New Roman"/>
                <w:sz w:val="18"/>
                <w:szCs w:val="18"/>
              </w:rPr>
              <w:t>Прикладное программное обеспечение/ Дополнительные программные модули (плагины)</w:t>
            </w:r>
          </w:p>
        </w:tc>
        <w:tc>
          <w:tcPr>
            <w:tcW w:w="898" w:type="pct"/>
            <w:shd w:val="clear" w:color="000000" w:fill="FFFFFF"/>
          </w:tcPr>
          <w:p w14:paraId="39380FEE" w14:textId="77777777" w:rsidR="005B7E3E" w:rsidRPr="00B0658A" w:rsidRDefault="005B7E3E" w:rsidP="000A4114">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7" w:type="pct"/>
            <w:shd w:val="clear" w:color="000000" w:fill="FFFFFF"/>
            <w:vAlign w:val="center"/>
          </w:tcPr>
          <w:p w14:paraId="36C7F8CD"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20%</w:t>
            </w:r>
          </w:p>
        </w:tc>
        <w:tc>
          <w:tcPr>
            <w:tcW w:w="367" w:type="pct"/>
            <w:shd w:val="clear" w:color="000000" w:fill="FFFFFF"/>
            <w:vAlign w:val="center"/>
          </w:tcPr>
          <w:p w14:paraId="30A0940F"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30%</w:t>
            </w:r>
          </w:p>
        </w:tc>
        <w:tc>
          <w:tcPr>
            <w:tcW w:w="367" w:type="pct"/>
            <w:shd w:val="clear" w:color="000000" w:fill="FFFFFF"/>
            <w:vAlign w:val="center"/>
          </w:tcPr>
          <w:p w14:paraId="1B5CD726"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40%</w:t>
            </w:r>
          </w:p>
        </w:tc>
        <w:tc>
          <w:tcPr>
            <w:tcW w:w="379" w:type="pct"/>
            <w:shd w:val="clear" w:color="000000" w:fill="FFFFFF"/>
            <w:vAlign w:val="center"/>
          </w:tcPr>
          <w:p w14:paraId="53B67C29"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7" w:type="pct"/>
            <w:shd w:val="clear" w:color="000000" w:fill="FFFFFF"/>
            <w:vAlign w:val="center"/>
          </w:tcPr>
          <w:p w14:paraId="1AC602F2"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60%</w:t>
            </w:r>
          </w:p>
        </w:tc>
        <w:tc>
          <w:tcPr>
            <w:tcW w:w="367" w:type="pct"/>
            <w:shd w:val="clear" w:color="000000" w:fill="FFFFFF"/>
            <w:vAlign w:val="center"/>
          </w:tcPr>
          <w:p w14:paraId="396BAD6B"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80%</w:t>
            </w:r>
          </w:p>
        </w:tc>
        <w:tc>
          <w:tcPr>
            <w:tcW w:w="364" w:type="pct"/>
            <w:shd w:val="clear" w:color="000000" w:fill="FFFFFF"/>
            <w:vAlign w:val="center"/>
          </w:tcPr>
          <w:p w14:paraId="72E8C1DA"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F52FED" w:rsidRPr="00B0658A" w14:paraId="5810241D" w14:textId="77777777" w:rsidTr="00FE71B1">
        <w:trPr>
          <w:trHeight w:val="20"/>
        </w:trPr>
        <w:tc>
          <w:tcPr>
            <w:tcW w:w="342" w:type="pct"/>
            <w:shd w:val="clear" w:color="000000" w:fill="FFFFFF"/>
            <w:vAlign w:val="center"/>
          </w:tcPr>
          <w:p w14:paraId="4E7D37CE" w14:textId="77777777" w:rsidR="005B7E3E" w:rsidRPr="00B0658A" w:rsidRDefault="005B7E3E" w:rsidP="00FE71B1">
            <w:pPr>
              <w:spacing w:after="0" w:line="240" w:lineRule="auto"/>
              <w:jc w:val="center"/>
              <w:rPr>
                <w:rFonts w:ascii="Times New Roman" w:hAnsi="Times New Roman"/>
                <w:sz w:val="18"/>
                <w:szCs w:val="18"/>
              </w:rPr>
            </w:pPr>
            <w:r w:rsidRPr="00B0658A">
              <w:rPr>
                <w:rFonts w:ascii="Times New Roman" w:hAnsi="Times New Roman"/>
                <w:sz w:val="18"/>
                <w:szCs w:val="18"/>
              </w:rPr>
              <w:t>5.3</w:t>
            </w:r>
          </w:p>
        </w:tc>
        <w:tc>
          <w:tcPr>
            <w:tcW w:w="1182" w:type="pct"/>
            <w:shd w:val="clear" w:color="auto" w:fill="auto"/>
            <w:vAlign w:val="center"/>
          </w:tcPr>
          <w:p w14:paraId="34D2C6C8" w14:textId="77777777" w:rsidR="005B7E3E" w:rsidRPr="00B0658A" w:rsidRDefault="005B7E3E" w:rsidP="000A4114">
            <w:pPr>
              <w:spacing w:after="0" w:line="240" w:lineRule="auto"/>
              <w:rPr>
                <w:rFonts w:ascii="Times New Roman" w:hAnsi="Times New Roman"/>
                <w:sz w:val="18"/>
                <w:szCs w:val="18"/>
              </w:rPr>
            </w:pPr>
            <w:r w:rsidRPr="00B0658A">
              <w:rPr>
                <w:rFonts w:ascii="Times New Roman" w:hAnsi="Times New Roman"/>
                <w:sz w:val="18"/>
                <w:szCs w:val="18"/>
              </w:rPr>
              <w:t>Прикладное программное обеспечение/ Игры и развлечения</w:t>
            </w:r>
          </w:p>
        </w:tc>
        <w:tc>
          <w:tcPr>
            <w:tcW w:w="898" w:type="pct"/>
            <w:shd w:val="clear" w:color="000000" w:fill="FFFFFF"/>
          </w:tcPr>
          <w:p w14:paraId="1520C48B" w14:textId="77777777" w:rsidR="005B7E3E" w:rsidRPr="00B0658A" w:rsidRDefault="005B7E3E" w:rsidP="000A4114">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7" w:type="pct"/>
            <w:shd w:val="clear" w:color="000000" w:fill="FFFFFF"/>
            <w:vAlign w:val="center"/>
          </w:tcPr>
          <w:p w14:paraId="2520D2D4"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50%</w:t>
            </w:r>
          </w:p>
        </w:tc>
        <w:tc>
          <w:tcPr>
            <w:tcW w:w="367" w:type="pct"/>
            <w:shd w:val="clear" w:color="000000" w:fill="FFFFFF"/>
            <w:vAlign w:val="center"/>
          </w:tcPr>
          <w:p w14:paraId="7744C9AE"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60%</w:t>
            </w:r>
          </w:p>
        </w:tc>
        <w:tc>
          <w:tcPr>
            <w:tcW w:w="367" w:type="pct"/>
            <w:shd w:val="clear" w:color="000000" w:fill="FFFFFF"/>
            <w:vAlign w:val="center"/>
          </w:tcPr>
          <w:p w14:paraId="24FA2108"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70%</w:t>
            </w:r>
          </w:p>
        </w:tc>
        <w:tc>
          <w:tcPr>
            <w:tcW w:w="379" w:type="pct"/>
            <w:shd w:val="clear" w:color="000000" w:fill="FFFFFF"/>
            <w:vAlign w:val="center"/>
          </w:tcPr>
          <w:p w14:paraId="2AD1FD75"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7" w:type="pct"/>
            <w:shd w:val="clear" w:color="000000" w:fill="FFFFFF"/>
            <w:vAlign w:val="center"/>
          </w:tcPr>
          <w:p w14:paraId="54F54B44"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80%</w:t>
            </w:r>
          </w:p>
        </w:tc>
        <w:tc>
          <w:tcPr>
            <w:tcW w:w="367" w:type="pct"/>
            <w:shd w:val="clear" w:color="000000" w:fill="FFFFFF"/>
            <w:vAlign w:val="center"/>
          </w:tcPr>
          <w:p w14:paraId="615560C5"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90%</w:t>
            </w:r>
          </w:p>
        </w:tc>
        <w:tc>
          <w:tcPr>
            <w:tcW w:w="364" w:type="pct"/>
            <w:shd w:val="clear" w:color="000000" w:fill="FFFFFF"/>
            <w:vAlign w:val="center"/>
          </w:tcPr>
          <w:p w14:paraId="236E4314"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F52FED" w:rsidRPr="00B0658A" w14:paraId="7EB2789D" w14:textId="77777777" w:rsidTr="00FE71B1">
        <w:trPr>
          <w:trHeight w:val="20"/>
        </w:trPr>
        <w:tc>
          <w:tcPr>
            <w:tcW w:w="342" w:type="pct"/>
            <w:shd w:val="clear" w:color="000000" w:fill="FFFFFF"/>
            <w:vAlign w:val="center"/>
          </w:tcPr>
          <w:p w14:paraId="7E46622B" w14:textId="77777777" w:rsidR="005B7E3E" w:rsidRPr="00B0658A" w:rsidRDefault="005B7E3E" w:rsidP="00FE71B1">
            <w:pPr>
              <w:spacing w:after="0" w:line="240" w:lineRule="auto"/>
              <w:jc w:val="center"/>
              <w:rPr>
                <w:rFonts w:ascii="Times New Roman" w:hAnsi="Times New Roman"/>
                <w:sz w:val="18"/>
                <w:szCs w:val="18"/>
              </w:rPr>
            </w:pPr>
            <w:r w:rsidRPr="00B0658A">
              <w:rPr>
                <w:rFonts w:ascii="Times New Roman" w:hAnsi="Times New Roman"/>
                <w:sz w:val="18"/>
                <w:szCs w:val="18"/>
              </w:rPr>
              <w:t>5.4</w:t>
            </w:r>
          </w:p>
        </w:tc>
        <w:tc>
          <w:tcPr>
            <w:tcW w:w="1182" w:type="pct"/>
            <w:shd w:val="clear" w:color="auto" w:fill="auto"/>
            <w:vAlign w:val="center"/>
          </w:tcPr>
          <w:p w14:paraId="6D311291" w14:textId="77777777" w:rsidR="005B7E3E" w:rsidRPr="00B0658A" w:rsidRDefault="005B7E3E" w:rsidP="000A4114">
            <w:pPr>
              <w:spacing w:after="0" w:line="240" w:lineRule="auto"/>
              <w:rPr>
                <w:rFonts w:ascii="Times New Roman" w:hAnsi="Times New Roman"/>
                <w:sz w:val="18"/>
                <w:szCs w:val="18"/>
              </w:rPr>
            </w:pPr>
            <w:r w:rsidRPr="00B0658A">
              <w:rPr>
                <w:rFonts w:ascii="Times New Roman" w:hAnsi="Times New Roman"/>
                <w:sz w:val="18"/>
                <w:szCs w:val="18"/>
              </w:rPr>
              <w:t>Прикладное программное обеспечение/ Поисковые средства</w:t>
            </w:r>
          </w:p>
        </w:tc>
        <w:tc>
          <w:tcPr>
            <w:tcW w:w="898" w:type="pct"/>
            <w:shd w:val="clear" w:color="000000" w:fill="FFFFFF"/>
          </w:tcPr>
          <w:p w14:paraId="0EA223C3" w14:textId="77777777" w:rsidR="005B7E3E" w:rsidRPr="00B0658A" w:rsidRDefault="005B7E3E" w:rsidP="000A4114">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7" w:type="pct"/>
            <w:shd w:val="clear" w:color="000000" w:fill="FFFFFF"/>
            <w:vAlign w:val="center"/>
          </w:tcPr>
          <w:p w14:paraId="7D42B6A5"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50%</w:t>
            </w:r>
          </w:p>
        </w:tc>
        <w:tc>
          <w:tcPr>
            <w:tcW w:w="367" w:type="pct"/>
            <w:shd w:val="clear" w:color="000000" w:fill="FFFFFF"/>
            <w:vAlign w:val="center"/>
          </w:tcPr>
          <w:p w14:paraId="0365CABC"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60%</w:t>
            </w:r>
          </w:p>
        </w:tc>
        <w:tc>
          <w:tcPr>
            <w:tcW w:w="367" w:type="pct"/>
            <w:shd w:val="clear" w:color="000000" w:fill="FFFFFF"/>
            <w:vAlign w:val="center"/>
          </w:tcPr>
          <w:p w14:paraId="731F4C43"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80%</w:t>
            </w:r>
          </w:p>
        </w:tc>
        <w:tc>
          <w:tcPr>
            <w:tcW w:w="379" w:type="pct"/>
            <w:shd w:val="clear" w:color="000000" w:fill="FFFFFF"/>
            <w:vAlign w:val="center"/>
          </w:tcPr>
          <w:p w14:paraId="12BD8880"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7" w:type="pct"/>
            <w:shd w:val="clear" w:color="000000" w:fill="FFFFFF"/>
            <w:vAlign w:val="center"/>
          </w:tcPr>
          <w:p w14:paraId="0C2A482E"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7" w:type="pct"/>
            <w:shd w:val="clear" w:color="000000" w:fill="FFFFFF"/>
            <w:vAlign w:val="center"/>
          </w:tcPr>
          <w:p w14:paraId="4D1FD098"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4" w:type="pct"/>
            <w:shd w:val="clear" w:color="000000" w:fill="FFFFFF"/>
            <w:vAlign w:val="center"/>
          </w:tcPr>
          <w:p w14:paraId="589246C9"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F52FED" w:rsidRPr="00B0658A" w14:paraId="370C712F" w14:textId="77777777" w:rsidTr="00FE71B1">
        <w:trPr>
          <w:trHeight w:val="20"/>
        </w:trPr>
        <w:tc>
          <w:tcPr>
            <w:tcW w:w="342" w:type="pct"/>
            <w:shd w:val="clear" w:color="000000" w:fill="FFFFFF"/>
            <w:vAlign w:val="center"/>
          </w:tcPr>
          <w:p w14:paraId="1FCA18F2" w14:textId="77777777" w:rsidR="005B7E3E" w:rsidRPr="00B0658A" w:rsidRDefault="005B7E3E" w:rsidP="00FE71B1">
            <w:pPr>
              <w:spacing w:after="0" w:line="240" w:lineRule="auto"/>
              <w:jc w:val="center"/>
              <w:rPr>
                <w:rFonts w:ascii="Times New Roman" w:hAnsi="Times New Roman"/>
                <w:sz w:val="18"/>
                <w:szCs w:val="18"/>
              </w:rPr>
            </w:pPr>
            <w:r w:rsidRPr="00B0658A">
              <w:rPr>
                <w:rFonts w:ascii="Times New Roman" w:hAnsi="Times New Roman"/>
                <w:sz w:val="18"/>
                <w:szCs w:val="18"/>
              </w:rPr>
              <w:t>5.5</w:t>
            </w:r>
          </w:p>
        </w:tc>
        <w:tc>
          <w:tcPr>
            <w:tcW w:w="1182" w:type="pct"/>
            <w:shd w:val="clear" w:color="auto" w:fill="auto"/>
            <w:vAlign w:val="center"/>
          </w:tcPr>
          <w:p w14:paraId="272BC3C6" w14:textId="77777777" w:rsidR="005B7E3E" w:rsidRPr="00B0658A" w:rsidRDefault="005B7E3E" w:rsidP="000A4114">
            <w:pPr>
              <w:spacing w:after="0" w:line="240" w:lineRule="auto"/>
              <w:rPr>
                <w:rFonts w:ascii="Times New Roman" w:hAnsi="Times New Roman"/>
                <w:sz w:val="18"/>
                <w:szCs w:val="18"/>
              </w:rPr>
            </w:pPr>
            <w:r w:rsidRPr="00B0658A">
              <w:rPr>
                <w:rFonts w:ascii="Times New Roman" w:hAnsi="Times New Roman"/>
                <w:sz w:val="18"/>
                <w:szCs w:val="18"/>
              </w:rPr>
              <w:t>Прикладное программное обеспечение/ Средства управления проектами</w:t>
            </w:r>
          </w:p>
        </w:tc>
        <w:tc>
          <w:tcPr>
            <w:tcW w:w="898" w:type="pct"/>
            <w:shd w:val="clear" w:color="000000" w:fill="FFFFFF"/>
          </w:tcPr>
          <w:p w14:paraId="55023DD3" w14:textId="77777777" w:rsidR="005B7E3E" w:rsidRPr="00B0658A" w:rsidRDefault="005B7E3E" w:rsidP="000A4114">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7" w:type="pct"/>
            <w:shd w:val="clear" w:color="000000" w:fill="FFFFFF"/>
            <w:vAlign w:val="center"/>
          </w:tcPr>
          <w:p w14:paraId="520A98A6"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35%</w:t>
            </w:r>
          </w:p>
        </w:tc>
        <w:tc>
          <w:tcPr>
            <w:tcW w:w="367" w:type="pct"/>
            <w:shd w:val="clear" w:color="000000" w:fill="FFFFFF"/>
            <w:vAlign w:val="center"/>
          </w:tcPr>
          <w:p w14:paraId="7B8EFFB4"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55%</w:t>
            </w:r>
          </w:p>
        </w:tc>
        <w:tc>
          <w:tcPr>
            <w:tcW w:w="367" w:type="pct"/>
            <w:shd w:val="clear" w:color="000000" w:fill="FFFFFF"/>
            <w:vAlign w:val="center"/>
          </w:tcPr>
          <w:p w14:paraId="37F48FB5"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75%</w:t>
            </w:r>
          </w:p>
        </w:tc>
        <w:tc>
          <w:tcPr>
            <w:tcW w:w="379" w:type="pct"/>
            <w:shd w:val="clear" w:color="000000" w:fill="FFFFFF"/>
            <w:vAlign w:val="center"/>
          </w:tcPr>
          <w:p w14:paraId="3C39DB36"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7" w:type="pct"/>
            <w:shd w:val="clear" w:color="000000" w:fill="FFFFFF"/>
            <w:vAlign w:val="center"/>
          </w:tcPr>
          <w:p w14:paraId="129B72E6"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90%</w:t>
            </w:r>
          </w:p>
        </w:tc>
        <w:tc>
          <w:tcPr>
            <w:tcW w:w="367" w:type="pct"/>
            <w:shd w:val="clear" w:color="000000" w:fill="FFFFFF"/>
            <w:vAlign w:val="center"/>
          </w:tcPr>
          <w:p w14:paraId="70939195"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4" w:type="pct"/>
            <w:shd w:val="clear" w:color="000000" w:fill="FFFFFF"/>
            <w:vAlign w:val="center"/>
          </w:tcPr>
          <w:p w14:paraId="6844EB86"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F52FED" w:rsidRPr="00B0658A" w14:paraId="41FBAF64" w14:textId="77777777" w:rsidTr="00FE71B1">
        <w:trPr>
          <w:trHeight w:val="20"/>
        </w:trPr>
        <w:tc>
          <w:tcPr>
            <w:tcW w:w="342" w:type="pct"/>
            <w:shd w:val="clear" w:color="000000" w:fill="FFFFFF"/>
            <w:vAlign w:val="center"/>
          </w:tcPr>
          <w:p w14:paraId="735EFB6D" w14:textId="77777777" w:rsidR="005B7E3E" w:rsidRPr="00B0658A" w:rsidRDefault="005B7E3E" w:rsidP="00FE71B1">
            <w:pPr>
              <w:spacing w:after="0" w:line="240" w:lineRule="auto"/>
              <w:jc w:val="center"/>
              <w:rPr>
                <w:rFonts w:ascii="Times New Roman" w:hAnsi="Times New Roman"/>
                <w:sz w:val="18"/>
                <w:szCs w:val="18"/>
              </w:rPr>
            </w:pPr>
            <w:r w:rsidRPr="00B0658A">
              <w:rPr>
                <w:rFonts w:ascii="Times New Roman" w:hAnsi="Times New Roman"/>
                <w:sz w:val="18"/>
                <w:szCs w:val="18"/>
              </w:rPr>
              <w:t>5.6</w:t>
            </w:r>
          </w:p>
        </w:tc>
        <w:tc>
          <w:tcPr>
            <w:tcW w:w="1182" w:type="pct"/>
            <w:shd w:val="clear" w:color="auto" w:fill="auto"/>
            <w:vAlign w:val="center"/>
          </w:tcPr>
          <w:p w14:paraId="1DE07F42" w14:textId="77777777" w:rsidR="005B7E3E" w:rsidRPr="00B0658A" w:rsidRDefault="005B7E3E" w:rsidP="000A4114">
            <w:pPr>
              <w:spacing w:after="0" w:line="240" w:lineRule="auto"/>
              <w:rPr>
                <w:rFonts w:ascii="Times New Roman" w:hAnsi="Times New Roman"/>
                <w:sz w:val="18"/>
                <w:szCs w:val="18"/>
              </w:rPr>
            </w:pPr>
            <w:r w:rsidRPr="00B0658A">
              <w:rPr>
                <w:rFonts w:ascii="Times New Roman" w:hAnsi="Times New Roman"/>
                <w:sz w:val="18"/>
                <w:szCs w:val="18"/>
              </w:rPr>
              <w:t>Прикладное программное обеспечение/ Геоинформационные и навигационные средства (GIS)</w:t>
            </w:r>
          </w:p>
        </w:tc>
        <w:tc>
          <w:tcPr>
            <w:tcW w:w="898" w:type="pct"/>
            <w:shd w:val="clear" w:color="000000" w:fill="FFFFFF"/>
          </w:tcPr>
          <w:p w14:paraId="487EC7CA" w14:textId="77777777" w:rsidR="005B7E3E" w:rsidRPr="00B0658A" w:rsidRDefault="005B7E3E" w:rsidP="000A4114">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7" w:type="pct"/>
            <w:shd w:val="clear" w:color="000000" w:fill="FFFFFF"/>
            <w:vAlign w:val="center"/>
          </w:tcPr>
          <w:p w14:paraId="42C36ECB"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35%</w:t>
            </w:r>
          </w:p>
        </w:tc>
        <w:tc>
          <w:tcPr>
            <w:tcW w:w="367" w:type="pct"/>
            <w:shd w:val="clear" w:color="000000" w:fill="FFFFFF"/>
            <w:vAlign w:val="center"/>
          </w:tcPr>
          <w:p w14:paraId="5E7E367D"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45%</w:t>
            </w:r>
          </w:p>
        </w:tc>
        <w:tc>
          <w:tcPr>
            <w:tcW w:w="367" w:type="pct"/>
            <w:shd w:val="clear" w:color="000000" w:fill="FFFFFF"/>
            <w:vAlign w:val="center"/>
          </w:tcPr>
          <w:p w14:paraId="2AFD43F6"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55%</w:t>
            </w:r>
          </w:p>
        </w:tc>
        <w:tc>
          <w:tcPr>
            <w:tcW w:w="379" w:type="pct"/>
            <w:shd w:val="clear" w:color="000000" w:fill="FFFFFF"/>
            <w:vAlign w:val="center"/>
          </w:tcPr>
          <w:p w14:paraId="5124F315"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7" w:type="pct"/>
            <w:shd w:val="clear" w:color="000000" w:fill="FFFFFF"/>
            <w:vAlign w:val="center"/>
          </w:tcPr>
          <w:p w14:paraId="118E47BF"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70%</w:t>
            </w:r>
          </w:p>
        </w:tc>
        <w:tc>
          <w:tcPr>
            <w:tcW w:w="367" w:type="pct"/>
            <w:shd w:val="clear" w:color="000000" w:fill="FFFFFF"/>
            <w:vAlign w:val="center"/>
          </w:tcPr>
          <w:p w14:paraId="1A631912"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90%</w:t>
            </w:r>
          </w:p>
        </w:tc>
        <w:tc>
          <w:tcPr>
            <w:tcW w:w="364" w:type="pct"/>
            <w:shd w:val="clear" w:color="000000" w:fill="FFFFFF"/>
            <w:vAlign w:val="center"/>
          </w:tcPr>
          <w:p w14:paraId="66C5813B"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F52FED" w:rsidRPr="00B0658A" w14:paraId="3B19E15F" w14:textId="77777777" w:rsidTr="00FE71B1">
        <w:trPr>
          <w:trHeight w:val="20"/>
        </w:trPr>
        <w:tc>
          <w:tcPr>
            <w:tcW w:w="342" w:type="pct"/>
            <w:shd w:val="clear" w:color="000000" w:fill="FFFFFF"/>
            <w:vAlign w:val="center"/>
          </w:tcPr>
          <w:p w14:paraId="6F846BF0" w14:textId="77777777" w:rsidR="005B7E3E" w:rsidRPr="00B0658A" w:rsidRDefault="005B7E3E" w:rsidP="00FE71B1">
            <w:pPr>
              <w:spacing w:after="0" w:line="240" w:lineRule="auto"/>
              <w:jc w:val="center"/>
              <w:rPr>
                <w:rFonts w:ascii="Times New Roman" w:hAnsi="Times New Roman"/>
                <w:sz w:val="18"/>
                <w:szCs w:val="18"/>
              </w:rPr>
            </w:pPr>
            <w:r w:rsidRPr="00B0658A">
              <w:rPr>
                <w:rFonts w:ascii="Times New Roman" w:hAnsi="Times New Roman"/>
                <w:sz w:val="18"/>
                <w:szCs w:val="18"/>
              </w:rPr>
              <w:t>5.7</w:t>
            </w:r>
          </w:p>
        </w:tc>
        <w:tc>
          <w:tcPr>
            <w:tcW w:w="1182" w:type="pct"/>
            <w:shd w:val="clear" w:color="auto" w:fill="auto"/>
            <w:vAlign w:val="center"/>
          </w:tcPr>
          <w:p w14:paraId="462DC382" w14:textId="77777777" w:rsidR="005B7E3E" w:rsidRPr="00B0658A" w:rsidRDefault="005B7E3E" w:rsidP="000A4114">
            <w:pPr>
              <w:spacing w:after="0" w:line="240" w:lineRule="auto"/>
              <w:rPr>
                <w:rFonts w:ascii="Times New Roman" w:hAnsi="Times New Roman"/>
                <w:sz w:val="18"/>
                <w:szCs w:val="18"/>
              </w:rPr>
            </w:pPr>
            <w:r w:rsidRPr="00B0658A">
              <w:rPr>
                <w:rFonts w:ascii="Times New Roman" w:hAnsi="Times New Roman"/>
                <w:sz w:val="18"/>
                <w:szCs w:val="18"/>
              </w:rPr>
              <w:t>Прикладное программное обеспечение/ Специализированное ПО органов исполнительной власти Российской Федерации, государственных корпораций, компаний и юридических лиц с преимущественным участием Российской Федерации для внутреннего использования</w:t>
            </w:r>
          </w:p>
        </w:tc>
        <w:tc>
          <w:tcPr>
            <w:tcW w:w="898" w:type="pct"/>
            <w:shd w:val="clear" w:color="000000" w:fill="FFFFFF"/>
          </w:tcPr>
          <w:p w14:paraId="64B22CAA" w14:textId="77777777" w:rsidR="005B7E3E" w:rsidRPr="00B0658A" w:rsidRDefault="005B7E3E" w:rsidP="000A4114">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7" w:type="pct"/>
            <w:shd w:val="clear" w:color="000000" w:fill="FFFFFF"/>
            <w:vAlign w:val="center"/>
          </w:tcPr>
          <w:p w14:paraId="226858D1"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50%</w:t>
            </w:r>
          </w:p>
        </w:tc>
        <w:tc>
          <w:tcPr>
            <w:tcW w:w="367" w:type="pct"/>
            <w:shd w:val="clear" w:color="000000" w:fill="FFFFFF"/>
            <w:vAlign w:val="center"/>
          </w:tcPr>
          <w:p w14:paraId="18240259"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60%</w:t>
            </w:r>
          </w:p>
        </w:tc>
        <w:tc>
          <w:tcPr>
            <w:tcW w:w="367" w:type="pct"/>
            <w:shd w:val="clear" w:color="000000" w:fill="FFFFFF"/>
            <w:vAlign w:val="center"/>
          </w:tcPr>
          <w:p w14:paraId="387AE18E"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80%</w:t>
            </w:r>
          </w:p>
        </w:tc>
        <w:tc>
          <w:tcPr>
            <w:tcW w:w="379" w:type="pct"/>
            <w:shd w:val="clear" w:color="000000" w:fill="FFFFFF"/>
            <w:vAlign w:val="center"/>
          </w:tcPr>
          <w:p w14:paraId="5D2BDA87"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7" w:type="pct"/>
            <w:shd w:val="clear" w:color="000000" w:fill="FFFFFF"/>
            <w:vAlign w:val="center"/>
          </w:tcPr>
          <w:p w14:paraId="766B53FE"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7" w:type="pct"/>
            <w:shd w:val="clear" w:color="000000" w:fill="FFFFFF"/>
            <w:vAlign w:val="center"/>
          </w:tcPr>
          <w:p w14:paraId="0E822725"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4" w:type="pct"/>
            <w:shd w:val="clear" w:color="000000" w:fill="FFFFFF"/>
            <w:vAlign w:val="center"/>
          </w:tcPr>
          <w:p w14:paraId="32247143"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F52FED" w:rsidRPr="00B0658A" w14:paraId="07906DB4" w14:textId="77777777" w:rsidTr="00FE71B1">
        <w:trPr>
          <w:trHeight w:val="20"/>
        </w:trPr>
        <w:tc>
          <w:tcPr>
            <w:tcW w:w="342" w:type="pct"/>
            <w:shd w:val="clear" w:color="000000" w:fill="FFFFFF"/>
            <w:vAlign w:val="center"/>
          </w:tcPr>
          <w:p w14:paraId="6AE7BEAB" w14:textId="77777777" w:rsidR="005B7E3E" w:rsidRPr="00B0658A" w:rsidRDefault="005B7E3E" w:rsidP="00FE71B1">
            <w:pPr>
              <w:spacing w:after="0" w:line="240" w:lineRule="auto"/>
              <w:jc w:val="center"/>
              <w:rPr>
                <w:rFonts w:ascii="Times New Roman" w:hAnsi="Times New Roman"/>
                <w:sz w:val="18"/>
                <w:szCs w:val="18"/>
              </w:rPr>
            </w:pPr>
            <w:r w:rsidRPr="00B0658A">
              <w:rPr>
                <w:rFonts w:ascii="Times New Roman" w:hAnsi="Times New Roman"/>
                <w:sz w:val="18"/>
                <w:szCs w:val="18"/>
              </w:rPr>
              <w:t>5.8</w:t>
            </w:r>
          </w:p>
        </w:tc>
        <w:tc>
          <w:tcPr>
            <w:tcW w:w="1182" w:type="pct"/>
            <w:shd w:val="clear" w:color="auto" w:fill="auto"/>
            <w:vAlign w:val="center"/>
          </w:tcPr>
          <w:p w14:paraId="578A990F" w14:textId="77777777" w:rsidR="005B7E3E" w:rsidRPr="00B0658A" w:rsidRDefault="005B7E3E" w:rsidP="000A4114">
            <w:pPr>
              <w:spacing w:after="0" w:line="240" w:lineRule="auto"/>
              <w:rPr>
                <w:rFonts w:ascii="Times New Roman" w:hAnsi="Times New Roman"/>
                <w:sz w:val="18"/>
                <w:szCs w:val="18"/>
              </w:rPr>
            </w:pPr>
            <w:r w:rsidRPr="00B0658A">
              <w:rPr>
                <w:rFonts w:ascii="Times New Roman" w:hAnsi="Times New Roman"/>
                <w:sz w:val="18"/>
                <w:szCs w:val="18"/>
              </w:rPr>
              <w:t>Прикладное программное обеспечение/ Средства управления контактными центрами</w:t>
            </w:r>
          </w:p>
        </w:tc>
        <w:tc>
          <w:tcPr>
            <w:tcW w:w="898" w:type="pct"/>
            <w:shd w:val="clear" w:color="000000" w:fill="FFFFFF"/>
          </w:tcPr>
          <w:p w14:paraId="7B1EC6DD" w14:textId="77777777" w:rsidR="005B7E3E" w:rsidRPr="00B0658A" w:rsidRDefault="005B7E3E" w:rsidP="000A4114">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7" w:type="pct"/>
            <w:shd w:val="clear" w:color="000000" w:fill="FFFFFF"/>
            <w:vAlign w:val="center"/>
          </w:tcPr>
          <w:p w14:paraId="66BFF422"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35%</w:t>
            </w:r>
          </w:p>
        </w:tc>
        <w:tc>
          <w:tcPr>
            <w:tcW w:w="367" w:type="pct"/>
            <w:shd w:val="clear" w:color="000000" w:fill="FFFFFF"/>
            <w:vAlign w:val="center"/>
          </w:tcPr>
          <w:p w14:paraId="6D05B343"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45%</w:t>
            </w:r>
          </w:p>
        </w:tc>
        <w:tc>
          <w:tcPr>
            <w:tcW w:w="367" w:type="pct"/>
            <w:shd w:val="clear" w:color="000000" w:fill="FFFFFF"/>
            <w:vAlign w:val="center"/>
          </w:tcPr>
          <w:p w14:paraId="0EBAF54C"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55%</w:t>
            </w:r>
          </w:p>
        </w:tc>
        <w:tc>
          <w:tcPr>
            <w:tcW w:w="379" w:type="pct"/>
            <w:shd w:val="clear" w:color="000000" w:fill="FFFFFF"/>
            <w:vAlign w:val="center"/>
          </w:tcPr>
          <w:p w14:paraId="35612413"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7" w:type="pct"/>
            <w:shd w:val="clear" w:color="000000" w:fill="FFFFFF"/>
            <w:vAlign w:val="center"/>
          </w:tcPr>
          <w:p w14:paraId="6AB1C0F8"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70%</w:t>
            </w:r>
          </w:p>
        </w:tc>
        <w:tc>
          <w:tcPr>
            <w:tcW w:w="367" w:type="pct"/>
            <w:shd w:val="clear" w:color="000000" w:fill="FFFFFF"/>
            <w:vAlign w:val="center"/>
          </w:tcPr>
          <w:p w14:paraId="4044E2A7"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90%</w:t>
            </w:r>
          </w:p>
        </w:tc>
        <w:tc>
          <w:tcPr>
            <w:tcW w:w="364" w:type="pct"/>
            <w:shd w:val="clear" w:color="000000" w:fill="FFFFFF"/>
            <w:vAlign w:val="center"/>
          </w:tcPr>
          <w:p w14:paraId="2DB80479"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F52FED" w:rsidRPr="00B0658A" w14:paraId="244C3AB2" w14:textId="77777777" w:rsidTr="00FE71B1">
        <w:trPr>
          <w:trHeight w:val="20"/>
        </w:trPr>
        <w:tc>
          <w:tcPr>
            <w:tcW w:w="342" w:type="pct"/>
            <w:shd w:val="clear" w:color="000000" w:fill="FFFFFF"/>
            <w:vAlign w:val="center"/>
          </w:tcPr>
          <w:p w14:paraId="4ACD3A67" w14:textId="77777777" w:rsidR="005B7E3E" w:rsidRPr="00B0658A" w:rsidRDefault="005B7E3E" w:rsidP="00FE71B1">
            <w:pPr>
              <w:spacing w:after="0" w:line="240" w:lineRule="auto"/>
              <w:jc w:val="center"/>
              <w:rPr>
                <w:rFonts w:ascii="Times New Roman" w:hAnsi="Times New Roman"/>
                <w:sz w:val="18"/>
                <w:szCs w:val="18"/>
              </w:rPr>
            </w:pPr>
            <w:r w:rsidRPr="00B0658A">
              <w:rPr>
                <w:rFonts w:ascii="Times New Roman" w:hAnsi="Times New Roman"/>
                <w:sz w:val="18"/>
                <w:szCs w:val="18"/>
              </w:rPr>
              <w:t>5.9</w:t>
            </w:r>
          </w:p>
        </w:tc>
        <w:tc>
          <w:tcPr>
            <w:tcW w:w="1182" w:type="pct"/>
            <w:shd w:val="clear" w:color="auto" w:fill="auto"/>
            <w:vAlign w:val="center"/>
          </w:tcPr>
          <w:p w14:paraId="3E465B1C" w14:textId="77777777" w:rsidR="005B7E3E" w:rsidRPr="00B0658A" w:rsidRDefault="005B7E3E" w:rsidP="000A4114">
            <w:pPr>
              <w:spacing w:after="0" w:line="240" w:lineRule="auto"/>
              <w:rPr>
                <w:rFonts w:ascii="Times New Roman" w:hAnsi="Times New Roman"/>
                <w:sz w:val="18"/>
                <w:szCs w:val="18"/>
              </w:rPr>
            </w:pPr>
            <w:r w:rsidRPr="00B0658A">
              <w:rPr>
                <w:rFonts w:ascii="Times New Roman" w:hAnsi="Times New Roman"/>
                <w:sz w:val="18"/>
                <w:szCs w:val="18"/>
              </w:rPr>
              <w:t>Прикладное программное обеспечение/ Средства управления диалоговыми роботами (чат-боты и голосовые роботы)</w:t>
            </w:r>
          </w:p>
        </w:tc>
        <w:tc>
          <w:tcPr>
            <w:tcW w:w="898" w:type="pct"/>
            <w:shd w:val="clear" w:color="000000" w:fill="FFFFFF"/>
          </w:tcPr>
          <w:p w14:paraId="2C2204E9" w14:textId="77777777" w:rsidR="005B7E3E" w:rsidRPr="00B0658A" w:rsidRDefault="005B7E3E" w:rsidP="000A4114">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7" w:type="pct"/>
            <w:shd w:val="clear" w:color="000000" w:fill="FFFFFF"/>
            <w:vAlign w:val="center"/>
          </w:tcPr>
          <w:p w14:paraId="302319EA"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50%</w:t>
            </w:r>
          </w:p>
        </w:tc>
        <w:tc>
          <w:tcPr>
            <w:tcW w:w="367" w:type="pct"/>
            <w:shd w:val="clear" w:color="000000" w:fill="FFFFFF"/>
            <w:vAlign w:val="center"/>
          </w:tcPr>
          <w:p w14:paraId="4DA5F37C"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60%</w:t>
            </w:r>
          </w:p>
        </w:tc>
        <w:tc>
          <w:tcPr>
            <w:tcW w:w="367" w:type="pct"/>
            <w:shd w:val="clear" w:color="000000" w:fill="FFFFFF"/>
            <w:vAlign w:val="center"/>
          </w:tcPr>
          <w:p w14:paraId="727AAED7"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70%</w:t>
            </w:r>
          </w:p>
        </w:tc>
        <w:tc>
          <w:tcPr>
            <w:tcW w:w="379" w:type="pct"/>
            <w:shd w:val="clear" w:color="000000" w:fill="FFFFFF"/>
            <w:vAlign w:val="center"/>
          </w:tcPr>
          <w:p w14:paraId="6792634B" w14:textId="77777777" w:rsidR="005B7E3E" w:rsidRPr="00B0658A" w:rsidRDefault="005B7E3E" w:rsidP="000A4114">
            <w:pPr>
              <w:spacing w:after="0" w:line="240" w:lineRule="auto"/>
              <w:jc w:val="center"/>
              <w:rPr>
                <w:rFonts w:ascii="Times New Roman" w:hAnsi="Times New Roman"/>
                <w:sz w:val="18"/>
                <w:szCs w:val="18"/>
                <w:lang w:val="en-US"/>
              </w:rPr>
            </w:pPr>
            <w:r w:rsidRPr="00B0658A">
              <w:rPr>
                <w:rFonts w:ascii="Times New Roman" w:hAnsi="Times New Roman"/>
                <w:sz w:val="18"/>
                <w:szCs w:val="18"/>
                <w:lang w:val="en-US"/>
              </w:rPr>
              <w:t>100%</w:t>
            </w:r>
          </w:p>
        </w:tc>
        <w:tc>
          <w:tcPr>
            <w:tcW w:w="367" w:type="pct"/>
            <w:shd w:val="clear" w:color="000000" w:fill="FFFFFF"/>
            <w:vAlign w:val="center"/>
          </w:tcPr>
          <w:p w14:paraId="75F81161"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80%</w:t>
            </w:r>
          </w:p>
        </w:tc>
        <w:tc>
          <w:tcPr>
            <w:tcW w:w="367" w:type="pct"/>
            <w:shd w:val="clear" w:color="000000" w:fill="FFFFFF"/>
            <w:vAlign w:val="center"/>
          </w:tcPr>
          <w:p w14:paraId="48BFADF9"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90%</w:t>
            </w:r>
          </w:p>
        </w:tc>
        <w:tc>
          <w:tcPr>
            <w:tcW w:w="364" w:type="pct"/>
            <w:shd w:val="clear" w:color="000000" w:fill="FFFFFF"/>
            <w:vAlign w:val="center"/>
          </w:tcPr>
          <w:p w14:paraId="7C820D7C"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F52FED" w:rsidRPr="00B0658A" w14:paraId="2FBABD03" w14:textId="77777777" w:rsidTr="00FE71B1">
        <w:trPr>
          <w:trHeight w:val="20"/>
        </w:trPr>
        <w:tc>
          <w:tcPr>
            <w:tcW w:w="342" w:type="pct"/>
            <w:shd w:val="clear" w:color="000000" w:fill="FFFFFF"/>
            <w:vAlign w:val="center"/>
          </w:tcPr>
          <w:p w14:paraId="1B7480D4" w14:textId="77777777" w:rsidR="005B7E3E" w:rsidRPr="00B0658A" w:rsidRDefault="005B7E3E" w:rsidP="00FE71B1">
            <w:pPr>
              <w:spacing w:after="0" w:line="240" w:lineRule="auto"/>
              <w:jc w:val="center"/>
              <w:rPr>
                <w:rFonts w:ascii="Times New Roman" w:hAnsi="Times New Roman"/>
                <w:sz w:val="18"/>
                <w:szCs w:val="18"/>
              </w:rPr>
            </w:pPr>
            <w:r w:rsidRPr="00B0658A">
              <w:rPr>
                <w:rFonts w:ascii="Times New Roman" w:hAnsi="Times New Roman"/>
                <w:sz w:val="18"/>
                <w:szCs w:val="18"/>
              </w:rPr>
              <w:t>5.10</w:t>
            </w:r>
          </w:p>
        </w:tc>
        <w:tc>
          <w:tcPr>
            <w:tcW w:w="1182" w:type="pct"/>
            <w:shd w:val="clear" w:color="auto" w:fill="auto"/>
            <w:vAlign w:val="center"/>
          </w:tcPr>
          <w:p w14:paraId="5F7F0767" w14:textId="77777777" w:rsidR="005B7E3E" w:rsidRPr="00B0658A" w:rsidRDefault="005B7E3E" w:rsidP="000A4114">
            <w:pPr>
              <w:spacing w:after="0" w:line="240" w:lineRule="auto"/>
              <w:rPr>
                <w:rFonts w:ascii="Times New Roman" w:hAnsi="Times New Roman"/>
                <w:sz w:val="18"/>
                <w:szCs w:val="18"/>
              </w:rPr>
            </w:pPr>
            <w:r w:rsidRPr="00B0658A">
              <w:rPr>
                <w:rFonts w:ascii="Times New Roman" w:hAnsi="Times New Roman"/>
                <w:sz w:val="18"/>
                <w:szCs w:val="18"/>
              </w:rPr>
              <w:t>Прикладное программное обеспечение/ Базы знаний</w:t>
            </w:r>
          </w:p>
        </w:tc>
        <w:tc>
          <w:tcPr>
            <w:tcW w:w="898" w:type="pct"/>
            <w:shd w:val="clear" w:color="000000" w:fill="FFFFFF"/>
          </w:tcPr>
          <w:p w14:paraId="274BD1B6" w14:textId="77777777" w:rsidR="005B7E3E" w:rsidRPr="00B0658A" w:rsidRDefault="005B7E3E" w:rsidP="000A4114">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7" w:type="pct"/>
            <w:shd w:val="clear" w:color="000000" w:fill="FFFFFF"/>
            <w:vAlign w:val="center"/>
          </w:tcPr>
          <w:p w14:paraId="22B8FE0C"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50%</w:t>
            </w:r>
          </w:p>
        </w:tc>
        <w:tc>
          <w:tcPr>
            <w:tcW w:w="367" w:type="pct"/>
            <w:shd w:val="clear" w:color="000000" w:fill="FFFFFF"/>
            <w:vAlign w:val="center"/>
          </w:tcPr>
          <w:p w14:paraId="2DF6DE6A"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60%</w:t>
            </w:r>
          </w:p>
        </w:tc>
        <w:tc>
          <w:tcPr>
            <w:tcW w:w="367" w:type="pct"/>
            <w:shd w:val="clear" w:color="000000" w:fill="FFFFFF"/>
            <w:vAlign w:val="center"/>
          </w:tcPr>
          <w:p w14:paraId="72BF49FE"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70%</w:t>
            </w:r>
          </w:p>
        </w:tc>
        <w:tc>
          <w:tcPr>
            <w:tcW w:w="379" w:type="pct"/>
            <w:shd w:val="clear" w:color="000000" w:fill="FFFFFF"/>
            <w:vAlign w:val="center"/>
          </w:tcPr>
          <w:p w14:paraId="2F868C09" w14:textId="77777777" w:rsidR="005B7E3E" w:rsidRPr="00B0658A" w:rsidRDefault="005B7E3E" w:rsidP="000A4114">
            <w:pPr>
              <w:spacing w:after="0" w:line="240" w:lineRule="auto"/>
              <w:jc w:val="center"/>
              <w:rPr>
                <w:rFonts w:ascii="Times New Roman" w:hAnsi="Times New Roman"/>
                <w:sz w:val="18"/>
                <w:szCs w:val="18"/>
                <w:lang w:val="en-US"/>
              </w:rPr>
            </w:pPr>
            <w:r w:rsidRPr="00B0658A">
              <w:rPr>
                <w:rFonts w:ascii="Times New Roman" w:hAnsi="Times New Roman"/>
                <w:sz w:val="18"/>
                <w:szCs w:val="18"/>
                <w:lang w:val="en-US"/>
              </w:rPr>
              <w:t>100%</w:t>
            </w:r>
          </w:p>
        </w:tc>
        <w:tc>
          <w:tcPr>
            <w:tcW w:w="367" w:type="pct"/>
            <w:shd w:val="clear" w:color="000000" w:fill="FFFFFF"/>
            <w:vAlign w:val="center"/>
          </w:tcPr>
          <w:p w14:paraId="57B70B5C"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80%</w:t>
            </w:r>
          </w:p>
        </w:tc>
        <w:tc>
          <w:tcPr>
            <w:tcW w:w="367" w:type="pct"/>
            <w:shd w:val="clear" w:color="000000" w:fill="FFFFFF"/>
            <w:vAlign w:val="center"/>
          </w:tcPr>
          <w:p w14:paraId="243BBD50"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90%</w:t>
            </w:r>
          </w:p>
        </w:tc>
        <w:tc>
          <w:tcPr>
            <w:tcW w:w="364" w:type="pct"/>
            <w:shd w:val="clear" w:color="000000" w:fill="FFFFFF"/>
            <w:vAlign w:val="center"/>
          </w:tcPr>
          <w:p w14:paraId="22DA6754"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F52FED" w:rsidRPr="00B0658A" w14:paraId="4F5A86CA" w14:textId="77777777" w:rsidTr="00FE71B1">
        <w:trPr>
          <w:trHeight w:val="20"/>
        </w:trPr>
        <w:tc>
          <w:tcPr>
            <w:tcW w:w="342" w:type="pct"/>
            <w:shd w:val="clear" w:color="000000" w:fill="FFFFFF"/>
            <w:vAlign w:val="center"/>
          </w:tcPr>
          <w:p w14:paraId="29F1D81C" w14:textId="77777777" w:rsidR="005B7E3E" w:rsidRPr="00B0658A" w:rsidRDefault="005B7E3E" w:rsidP="00FE71B1">
            <w:pPr>
              <w:spacing w:after="0" w:line="240" w:lineRule="auto"/>
              <w:jc w:val="center"/>
              <w:rPr>
                <w:rFonts w:ascii="Times New Roman" w:hAnsi="Times New Roman"/>
                <w:sz w:val="18"/>
                <w:szCs w:val="18"/>
              </w:rPr>
            </w:pPr>
            <w:r w:rsidRPr="00B0658A">
              <w:rPr>
                <w:rFonts w:ascii="Times New Roman" w:hAnsi="Times New Roman"/>
                <w:sz w:val="18"/>
                <w:szCs w:val="18"/>
              </w:rPr>
              <w:t>5.11</w:t>
            </w:r>
          </w:p>
        </w:tc>
        <w:tc>
          <w:tcPr>
            <w:tcW w:w="1182" w:type="pct"/>
            <w:shd w:val="clear" w:color="auto" w:fill="auto"/>
            <w:vAlign w:val="center"/>
          </w:tcPr>
          <w:p w14:paraId="3DFC709B" w14:textId="77777777" w:rsidR="005B7E3E" w:rsidRPr="00B0658A" w:rsidRDefault="005B7E3E" w:rsidP="000A4114">
            <w:pPr>
              <w:spacing w:after="0" w:line="240" w:lineRule="auto"/>
              <w:rPr>
                <w:rFonts w:ascii="Times New Roman" w:hAnsi="Times New Roman"/>
                <w:sz w:val="18"/>
                <w:szCs w:val="18"/>
              </w:rPr>
            </w:pPr>
            <w:r w:rsidRPr="00B0658A">
              <w:rPr>
                <w:rFonts w:ascii="Times New Roman" w:hAnsi="Times New Roman"/>
                <w:sz w:val="18"/>
                <w:szCs w:val="18"/>
              </w:rPr>
              <w:t>Прикладное программное обеспечение/ Интеллектуальные средства управления экспертной деятельностью</w:t>
            </w:r>
          </w:p>
        </w:tc>
        <w:tc>
          <w:tcPr>
            <w:tcW w:w="898" w:type="pct"/>
            <w:shd w:val="clear" w:color="000000" w:fill="FFFFFF"/>
          </w:tcPr>
          <w:p w14:paraId="1878BA43" w14:textId="77777777" w:rsidR="005B7E3E" w:rsidRPr="00B0658A" w:rsidRDefault="005B7E3E" w:rsidP="000A4114">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7" w:type="pct"/>
            <w:shd w:val="clear" w:color="000000" w:fill="FFFFFF"/>
            <w:vAlign w:val="center"/>
          </w:tcPr>
          <w:p w14:paraId="6A8E488C"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50%</w:t>
            </w:r>
          </w:p>
        </w:tc>
        <w:tc>
          <w:tcPr>
            <w:tcW w:w="367" w:type="pct"/>
            <w:shd w:val="clear" w:color="000000" w:fill="FFFFFF"/>
            <w:vAlign w:val="center"/>
          </w:tcPr>
          <w:p w14:paraId="6F820324"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60%</w:t>
            </w:r>
          </w:p>
        </w:tc>
        <w:tc>
          <w:tcPr>
            <w:tcW w:w="367" w:type="pct"/>
            <w:shd w:val="clear" w:color="000000" w:fill="FFFFFF"/>
            <w:vAlign w:val="center"/>
          </w:tcPr>
          <w:p w14:paraId="69BF6593"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70%</w:t>
            </w:r>
          </w:p>
        </w:tc>
        <w:tc>
          <w:tcPr>
            <w:tcW w:w="379" w:type="pct"/>
            <w:shd w:val="clear" w:color="000000" w:fill="FFFFFF"/>
            <w:vAlign w:val="center"/>
          </w:tcPr>
          <w:p w14:paraId="6EA8AF03" w14:textId="77777777" w:rsidR="005B7E3E" w:rsidRPr="00B0658A" w:rsidRDefault="005B7E3E" w:rsidP="000A4114">
            <w:pPr>
              <w:spacing w:after="0" w:line="240" w:lineRule="auto"/>
              <w:jc w:val="center"/>
              <w:rPr>
                <w:rFonts w:ascii="Times New Roman" w:hAnsi="Times New Roman"/>
                <w:sz w:val="18"/>
                <w:szCs w:val="18"/>
                <w:lang w:val="en-US"/>
              </w:rPr>
            </w:pPr>
            <w:r w:rsidRPr="00B0658A">
              <w:rPr>
                <w:rFonts w:ascii="Times New Roman" w:hAnsi="Times New Roman"/>
                <w:sz w:val="18"/>
                <w:szCs w:val="18"/>
                <w:lang w:val="en-US"/>
              </w:rPr>
              <w:t>100%</w:t>
            </w:r>
          </w:p>
        </w:tc>
        <w:tc>
          <w:tcPr>
            <w:tcW w:w="367" w:type="pct"/>
            <w:shd w:val="clear" w:color="000000" w:fill="FFFFFF"/>
            <w:vAlign w:val="center"/>
          </w:tcPr>
          <w:p w14:paraId="584EF488"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80%</w:t>
            </w:r>
          </w:p>
        </w:tc>
        <w:tc>
          <w:tcPr>
            <w:tcW w:w="367" w:type="pct"/>
            <w:shd w:val="clear" w:color="000000" w:fill="FFFFFF"/>
            <w:vAlign w:val="center"/>
          </w:tcPr>
          <w:p w14:paraId="6807FBB7"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90%</w:t>
            </w:r>
          </w:p>
        </w:tc>
        <w:tc>
          <w:tcPr>
            <w:tcW w:w="364" w:type="pct"/>
            <w:shd w:val="clear" w:color="000000" w:fill="FFFFFF"/>
            <w:vAlign w:val="center"/>
          </w:tcPr>
          <w:p w14:paraId="1550946B"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F52FED" w:rsidRPr="00B0658A" w14:paraId="0A216DB8" w14:textId="77777777" w:rsidTr="00FE71B1">
        <w:trPr>
          <w:trHeight w:val="20"/>
        </w:trPr>
        <w:tc>
          <w:tcPr>
            <w:tcW w:w="342" w:type="pct"/>
            <w:shd w:val="clear" w:color="000000" w:fill="FFFFFF"/>
            <w:vAlign w:val="center"/>
          </w:tcPr>
          <w:p w14:paraId="5EF1DCE1" w14:textId="77777777" w:rsidR="005B7E3E" w:rsidRPr="00B0658A" w:rsidRDefault="005B7E3E" w:rsidP="00FE71B1">
            <w:pPr>
              <w:spacing w:after="0" w:line="240" w:lineRule="auto"/>
              <w:jc w:val="center"/>
              <w:rPr>
                <w:rFonts w:ascii="Times New Roman" w:hAnsi="Times New Roman"/>
                <w:sz w:val="18"/>
                <w:szCs w:val="18"/>
              </w:rPr>
            </w:pPr>
            <w:r w:rsidRPr="00B0658A">
              <w:rPr>
                <w:rFonts w:ascii="Times New Roman" w:hAnsi="Times New Roman"/>
                <w:sz w:val="18"/>
                <w:szCs w:val="18"/>
              </w:rPr>
              <w:t>5.12</w:t>
            </w:r>
          </w:p>
        </w:tc>
        <w:tc>
          <w:tcPr>
            <w:tcW w:w="1182" w:type="pct"/>
            <w:shd w:val="clear" w:color="auto" w:fill="auto"/>
            <w:vAlign w:val="center"/>
          </w:tcPr>
          <w:p w14:paraId="7FB39A59" w14:textId="77777777" w:rsidR="005B7E3E" w:rsidRPr="00B0658A" w:rsidRDefault="005B7E3E" w:rsidP="000A4114">
            <w:pPr>
              <w:spacing w:after="0" w:line="240" w:lineRule="auto"/>
              <w:rPr>
                <w:rFonts w:ascii="Times New Roman" w:hAnsi="Times New Roman"/>
                <w:sz w:val="18"/>
                <w:szCs w:val="18"/>
              </w:rPr>
            </w:pPr>
            <w:r w:rsidRPr="00B0658A">
              <w:rPr>
                <w:rFonts w:ascii="Times New Roman" w:hAnsi="Times New Roman"/>
                <w:sz w:val="18"/>
                <w:szCs w:val="18"/>
              </w:rPr>
              <w:t xml:space="preserve">Прикладное программное обеспечение/ Интеллектуальные средства разработки </w:t>
            </w:r>
            <w:r w:rsidRPr="00B0658A">
              <w:rPr>
                <w:rFonts w:ascii="Times New Roman" w:hAnsi="Times New Roman"/>
                <w:sz w:val="18"/>
                <w:szCs w:val="18"/>
              </w:rPr>
              <w:br/>
              <w:t xml:space="preserve">и управления стандартами </w:t>
            </w:r>
            <w:r w:rsidRPr="00B0658A">
              <w:rPr>
                <w:rFonts w:ascii="Times New Roman" w:hAnsi="Times New Roman"/>
                <w:sz w:val="18"/>
                <w:szCs w:val="18"/>
              </w:rPr>
              <w:br/>
              <w:t>и нормативами</w:t>
            </w:r>
          </w:p>
        </w:tc>
        <w:tc>
          <w:tcPr>
            <w:tcW w:w="898" w:type="pct"/>
            <w:shd w:val="clear" w:color="000000" w:fill="FFFFFF"/>
          </w:tcPr>
          <w:p w14:paraId="283536C7" w14:textId="77777777" w:rsidR="005B7E3E" w:rsidRPr="00B0658A" w:rsidRDefault="005B7E3E" w:rsidP="000A4114">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7" w:type="pct"/>
            <w:shd w:val="clear" w:color="000000" w:fill="FFFFFF"/>
            <w:vAlign w:val="center"/>
          </w:tcPr>
          <w:p w14:paraId="1C83403E"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50%</w:t>
            </w:r>
          </w:p>
        </w:tc>
        <w:tc>
          <w:tcPr>
            <w:tcW w:w="367" w:type="pct"/>
            <w:shd w:val="clear" w:color="000000" w:fill="FFFFFF"/>
            <w:vAlign w:val="center"/>
          </w:tcPr>
          <w:p w14:paraId="72445D17"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60%</w:t>
            </w:r>
          </w:p>
        </w:tc>
        <w:tc>
          <w:tcPr>
            <w:tcW w:w="367" w:type="pct"/>
            <w:shd w:val="clear" w:color="000000" w:fill="FFFFFF"/>
            <w:vAlign w:val="center"/>
          </w:tcPr>
          <w:p w14:paraId="43B44200"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70%</w:t>
            </w:r>
          </w:p>
        </w:tc>
        <w:tc>
          <w:tcPr>
            <w:tcW w:w="379" w:type="pct"/>
            <w:shd w:val="clear" w:color="000000" w:fill="FFFFFF"/>
            <w:vAlign w:val="center"/>
          </w:tcPr>
          <w:p w14:paraId="7554E392" w14:textId="77777777" w:rsidR="005B7E3E" w:rsidRPr="00B0658A" w:rsidRDefault="005B7E3E" w:rsidP="000A4114">
            <w:pPr>
              <w:spacing w:after="0" w:line="240" w:lineRule="auto"/>
              <w:jc w:val="center"/>
              <w:rPr>
                <w:rFonts w:ascii="Times New Roman" w:hAnsi="Times New Roman"/>
                <w:sz w:val="18"/>
                <w:szCs w:val="18"/>
                <w:lang w:val="en-US"/>
              </w:rPr>
            </w:pPr>
            <w:r w:rsidRPr="00B0658A">
              <w:rPr>
                <w:rFonts w:ascii="Times New Roman" w:hAnsi="Times New Roman"/>
                <w:sz w:val="18"/>
                <w:szCs w:val="18"/>
                <w:lang w:val="en-US"/>
              </w:rPr>
              <w:t>100%</w:t>
            </w:r>
          </w:p>
        </w:tc>
        <w:tc>
          <w:tcPr>
            <w:tcW w:w="367" w:type="pct"/>
            <w:shd w:val="clear" w:color="000000" w:fill="FFFFFF"/>
            <w:vAlign w:val="center"/>
          </w:tcPr>
          <w:p w14:paraId="54AB559E"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80%</w:t>
            </w:r>
          </w:p>
        </w:tc>
        <w:tc>
          <w:tcPr>
            <w:tcW w:w="367" w:type="pct"/>
            <w:shd w:val="clear" w:color="000000" w:fill="FFFFFF"/>
            <w:vAlign w:val="center"/>
          </w:tcPr>
          <w:p w14:paraId="4C0078B9"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90%</w:t>
            </w:r>
          </w:p>
        </w:tc>
        <w:tc>
          <w:tcPr>
            <w:tcW w:w="364" w:type="pct"/>
            <w:shd w:val="clear" w:color="000000" w:fill="FFFFFF"/>
            <w:vAlign w:val="center"/>
          </w:tcPr>
          <w:p w14:paraId="49242161"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F52FED" w:rsidRPr="00B0658A" w14:paraId="25DB41FC" w14:textId="77777777" w:rsidTr="00FE71B1">
        <w:trPr>
          <w:trHeight w:val="20"/>
        </w:trPr>
        <w:tc>
          <w:tcPr>
            <w:tcW w:w="342" w:type="pct"/>
            <w:shd w:val="clear" w:color="000000" w:fill="FFFFFF"/>
            <w:vAlign w:val="center"/>
          </w:tcPr>
          <w:p w14:paraId="3F7AD967" w14:textId="77777777" w:rsidR="005B7E3E" w:rsidRPr="00B0658A" w:rsidRDefault="005B7E3E" w:rsidP="00FE71B1">
            <w:pPr>
              <w:spacing w:after="0" w:line="240" w:lineRule="auto"/>
              <w:jc w:val="center"/>
              <w:rPr>
                <w:rFonts w:ascii="Times New Roman" w:hAnsi="Times New Roman"/>
                <w:sz w:val="18"/>
                <w:szCs w:val="18"/>
              </w:rPr>
            </w:pPr>
            <w:r w:rsidRPr="00B0658A">
              <w:rPr>
                <w:rFonts w:ascii="Times New Roman" w:hAnsi="Times New Roman"/>
                <w:sz w:val="18"/>
                <w:szCs w:val="18"/>
              </w:rPr>
              <w:t>5.13</w:t>
            </w:r>
          </w:p>
        </w:tc>
        <w:tc>
          <w:tcPr>
            <w:tcW w:w="1182" w:type="pct"/>
            <w:shd w:val="clear" w:color="auto" w:fill="auto"/>
            <w:vAlign w:val="center"/>
          </w:tcPr>
          <w:p w14:paraId="66F308AD" w14:textId="77777777" w:rsidR="005B7E3E" w:rsidRPr="00B0658A" w:rsidRDefault="005B7E3E" w:rsidP="000A4114">
            <w:pPr>
              <w:spacing w:after="0" w:line="240" w:lineRule="auto"/>
              <w:rPr>
                <w:rFonts w:ascii="Times New Roman" w:hAnsi="Times New Roman"/>
                <w:sz w:val="18"/>
                <w:szCs w:val="18"/>
              </w:rPr>
            </w:pPr>
            <w:r w:rsidRPr="00B0658A">
              <w:rPr>
                <w:rFonts w:ascii="Times New Roman" w:hAnsi="Times New Roman"/>
                <w:sz w:val="18"/>
                <w:szCs w:val="18"/>
              </w:rPr>
              <w:t>Прикладное программное обеспечение/ Средства интеллектуальной обработки информации и интеллектуального анализа бизнес-процессов</w:t>
            </w:r>
          </w:p>
        </w:tc>
        <w:tc>
          <w:tcPr>
            <w:tcW w:w="898" w:type="pct"/>
            <w:shd w:val="clear" w:color="000000" w:fill="FFFFFF"/>
          </w:tcPr>
          <w:p w14:paraId="14A0C0E6" w14:textId="77777777" w:rsidR="005B7E3E" w:rsidRPr="00B0658A" w:rsidRDefault="005B7E3E" w:rsidP="000A4114">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7" w:type="pct"/>
            <w:shd w:val="clear" w:color="000000" w:fill="FFFFFF"/>
            <w:vAlign w:val="center"/>
          </w:tcPr>
          <w:p w14:paraId="7614E82E"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50%</w:t>
            </w:r>
          </w:p>
        </w:tc>
        <w:tc>
          <w:tcPr>
            <w:tcW w:w="367" w:type="pct"/>
            <w:shd w:val="clear" w:color="000000" w:fill="FFFFFF"/>
            <w:vAlign w:val="center"/>
          </w:tcPr>
          <w:p w14:paraId="1B1C287F"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60%</w:t>
            </w:r>
          </w:p>
        </w:tc>
        <w:tc>
          <w:tcPr>
            <w:tcW w:w="367" w:type="pct"/>
            <w:shd w:val="clear" w:color="000000" w:fill="FFFFFF"/>
            <w:vAlign w:val="center"/>
          </w:tcPr>
          <w:p w14:paraId="224A4650"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70%</w:t>
            </w:r>
          </w:p>
        </w:tc>
        <w:tc>
          <w:tcPr>
            <w:tcW w:w="379" w:type="pct"/>
            <w:shd w:val="clear" w:color="000000" w:fill="FFFFFF"/>
            <w:vAlign w:val="center"/>
          </w:tcPr>
          <w:p w14:paraId="16782B0E" w14:textId="77777777" w:rsidR="005B7E3E" w:rsidRPr="00B0658A" w:rsidRDefault="005B7E3E" w:rsidP="000A4114">
            <w:pPr>
              <w:spacing w:after="0" w:line="240" w:lineRule="auto"/>
              <w:jc w:val="center"/>
              <w:rPr>
                <w:rFonts w:ascii="Times New Roman" w:hAnsi="Times New Roman"/>
                <w:sz w:val="18"/>
                <w:szCs w:val="18"/>
                <w:lang w:val="en-US"/>
              </w:rPr>
            </w:pPr>
            <w:r w:rsidRPr="00B0658A">
              <w:rPr>
                <w:rFonts w:ascii="Times New Roman" w:hAnsi="Times New Roman"/>
                <w:sz w:val="18"/>
                <w:szCs w:val="18"/>
                <w:lang w:val="en-US"/>
              </w:rPr>
              <w:t>100%</w:t>
            </w:r>
          </w:p>
        </w:tc>
        <w:tc>
          <w:tcPr>
            <w:tcW w:w="367" w:type="pct"/>
            <w:shd w:val="clear" w:color="000000" w:fill="FFFFFF"/>
            <w:vAlign w:val="center"/>
          </w:tcPr>
          <w:p w14:paraId="1B187036"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80%</w:t>
            </w:r>
          </w:p>
        </w:tc>
        <w:tc>
          <w:tcPr>
            <w:tcW w:w="367" w:type="pct"/>
            <w:shd w:val="clear" w:color="000000" w:fill="FFFFFF"/>
            <w:vAlign w:val="center"/>
          </w:tcPr>
          <w:p w14:paraId="13957CF8"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90%</w:t>
            </w:r>
          </w:p>
        </w:tc>
        <w:tc>
          <w:tcPr>
            <w:tcW w:w="364" w:type="pct"/>
            <w:shd w:val="clear" w:color="000000" w:fill="FFFFFF"/>
            <w:vAlign w:val="center"/>
          </w:tcPr>
          <w:p w14:paraId="68E7F628"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F52FED" w:rsidRPr="00B0658A" w14:paraId="5D94825A" w14:textId="77777777" w:rsidTr="00FE71B1">
        <w:trPr>
          <w:trHeight w:val="20"/>
        </w:trPr>
        <w:tc>
          <w:tcPr>
            <w:tcW w:w="342" w:type="pct"/>
            <w:shd w:val="clear" w:color="000000" w:fill="FFFFFF"/>
            <w:vAlign w:val="center"/>
          </w:tcPr>
          <w:p w14:paraId="677F3823" w14:textId="77777777" w:rsidR="005B7E3E" w:rsidRPr="00B0658A" w:rsidRDefault="005B7E3E" w:rsidP="00FE71B1">
            <w:pPr>
              <w:spacing w:after="0" w:line="240" w:lineRule="auto"/>
              <w:jc w:val="center"/>
              <w:rPr>
                <w:rFonts w:ascii="Times New Roman" w:hAnsi="Times New Roman"/>
                <w:sz w:val="18"/>
                <w:szCs w:val="18"/>
              </w:rPr>
            </w:pPr>
            <w:r w:rsidRPr="00B0658A">
              <w:rPr>
                <w:rFonts w:ascii="Times New Roman" w:hAnsi="Times New Roman"/>
                <w:sz w:val="18"/>
                <w:szCs w:val="18"/>
              </w:rPr>
              <w:t>5.14</w:t>
            </w:r>
          </w:p>
        </w:tc>
        <w:tc>
          <w:tcPr>
            <w:tcW w:w="1182" w:type="pct"/>
            <w:shd w:val="clear" w:color="auto" w:fill="auto"/>
            <w:vAlign w:val="center"/>
          </w:tcPr>
          <w:p w14:paraId="16997D85" w14:textId="77777777" w:rsidR="005B7E3E" w:rsidRPr="00B0658A" w:rsidRDefault="005B7E3E" w:rsidP="000A4114">
            <w:pPr>
              <w:spacing w:after="0" w:line="240" w:lineRule="auto"/>
              <w:rPr>
                <w:rFonts w:ascii="Times New Roman" w:hAnsi="Times New Roman"/>
                <w:sz w:val="18"/>
                <w:szCs w:val="18"/>
              </w:rPr>
            </w:pPr>
            <w:r w:rsidRPr="00B0658A">
              <w:rPr>
                <w:rFonts w:ascii="Times New Roman" w:hAnsi="Times New Roman"/>
                <w:sz w:val="18"/>
                <w:szCs w:val="18"/>
              </w:rPr>
              <w:t>Прикладное программное обеспечение/ Справочно-правовые системы</w:t>
            </w:r>
          </w:p>
        </w:tc>
        <w:tc>
          <w:tcPr>
            <w:tcW w:w="898" w:type="pct"/>
            <w:shd w:val="clear" w:color="000000" w:fill="FFFFFF"/>
          </w:tcPr>
          <w:p w14:paraId="197112E3" w14:textId="77777777" w:rsidR="005B7E3E" w:rsidRPr="00B0658A" w:rsidRDefault="005B7E3E" w:rsidP="000A4114">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7" w:type="pct"/>
            <w:shd w:val="clear" w:color="000000" w:fill="FFFFFF"/>
            <w:vAlign w:val="center"/>
          </w:tcPr>
          <w:p w14:paraId="21EE5174"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7" w:type="pct"/>
            <w:shd w:val="clear" w:color="000000" w:fill="FFFFFF"/>
            <w:vAlign w:val="center"/>
          </w:tcPr>
          <w:p w14:paraId="4EB79174"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7" w:type="pct"/>
            <w:shd w:val="clear" w:color="000000" w:fill="FFFFFF"/>
            <w:vAlign w:val="center"/>
          </w:tcPr>
          <w:p w14:paraId="7353DF76"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79" w:type="pct"/>
            <w:shd w:val="clear" w:color="000000" w:fill="FFFFFF"/>
            <w:vAlign w:val="center"/>
          </w:tcPr>
          <w:p w14:paraId="73B0A747" w14:textId="77777777" w:rsidR="005B7E3E" w:rsidRPr="00B0658A" w:rsidRDefault="005B7E3E" w:rsidP="000A4114">
            <w:pPr>
              <w:spacing w:after="0" w:line="240" w:lineRule="auto"/>
              <w:jc w:val="center"/>
              <w:rPr>
                <w:rFonts w:ascii="Times New Roman" w:hAnsi="Times New Roman"/>
                <w:sz w:val="18"/>
                <w:szCs w:val="18"/>
                <w:lang w:val="en-US"/>
              </w:rPr>
            </w:pPr>
            <w:r w:rsidRPr="00B0658A">
              <w:rPr>
                <w:rFonts w:ascii="Times New Roman" w:hAnsi="Times New Roman"/>
                <w:sz w:val="18"/>
                <w:szCs w:val="18"/>
                <w:lang w:val="en-US"/>
              </w:rPr>
              <w:t>100%</w:t>
            </w:r>
          </w:p>
        </w:tc>
        <w:tc>
          <w:tcPr>
            <w:tcW w:w="367" w:type="pct"/>
            <w:shd w:val="clear" w:color="000000" w:fill="FFFFFF"/>
            <w:vAlign w:val="center"/>
          </w:tcPr>
          <w:p w14:paraId="5B0E40E8"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7" w:type="pct"/>
            <w:shd w:val="clear" w:color="000000" w:fill="FFFFFF"/>
            <w:vAlign w:val="center"/>
          </w:tcPr>
          <w:p w14:paraId="4CDCF6B2"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4" w:type="pct"/>
            <w:shd w:val="clear" w:color="000000" w:fill="FFFFFF"/>
            <w:vAlign w:val="center"/>
          </w:tcPr>
          <w:p w14:paraId="53F0F284"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F52FED" w:rsidRPr="00B0658A" w14:paraId="3F1EF0A0" w14:textId="77777777" w:rsidTr="00FE71B1">
        <w:trPr>
          <w:trHeight w:val="20"/>
        </w:trPr>
        <w:tc>
          <w:tcPr>
            <w:tcW w:w="342" w:type="pct"/>
            <w:shd w:val="clear" w:color="000000" w:fill="FFFFFF"/>
            <w:vAlign w:val="center"/>
          </w:tcPr>
          <w:p w14:paraId="25598CB7" w14:textId="77777777" w:rsidR="005B7E3E" w:rsidRPr="00B0658A" w:rsidRDefault="005B7E3E" w:rsidP="00FE71B1">
            <w:pPr>
              <w:spacing w:after="0" w:line="240" w:lineRule="auto"/>
              <w:jc w:val="center"/>
              <w:rPr>
                <w:rFonts w:ascii="Times New Roman" w:hAnsi="Times New Roman"/>
                <w:sz w:val="18"/>
                <w:szCs w:val="18"/>
              </w:rPr>
            </w:pPr>
            <w:r w:rsidRPr="00B0658A">
              <w:rPr>
                <w:rFonts w:ascii="Times New Roman" w:hAnsi="Times New Roman"/>
                <w:sz w:val="18"/>
                <w:szCs w:val="18"/>
              </w:rPr>
              <w:t>5.15</w:t>
            </w:r>
          </w:p>
        </w:tc>
        <w:tc>
          <w:tcPr>
            <w:tcW w:w="1182" w:type="pct"/>
            <w:shd w:val="clear" w:color="auto" w:fill="auto"/>
            <w:vAlign w:val="center"/>
          </w:tcPr>
          <w:p w14:paraId="77781009" w14:textId="77777777" w:rsidR="005B7E3E" w:rsidRPr="00B0658A" w:rsidRDefault="005B7E3E" w:rsidP="000A4114">
            <w:pPr>
              <w:spacing w:after="0" w:line="240" w:lineRule="auto"/>
              <w:rPr>
                <w:rFonts w:ascii="Times New Roman" w:hAnsi="Times New Roman"/>
                <w:sz w:val="18"/>
                <w:szCs w:val="18"/>
              </w:rPr>
            </w:pPr>
            <w:r w:rsidRPr="00B0658A">
              <w:rPr>
                <w:rFonts w:ascii="Times New Roman" w:hAnsi="Times New Roman"/>
                <w:sz w:val="18"/>
                <w:szCs w:val="18"/>
              </w:rPr>
              <w:t>Прикладное программное обеспечение/ Информационные системы для решения специфических отраслевых задач</w:t>
            </w:r>
          </w:p>
        </w:tc>
        <w:tc>
          <w:tcPr>
            <w:tcW w:w="898" w:type="pct"/>
            <w:shd w:val="clear" w:color="000000" w:fill="FFFFFF"/>
          </w:tcPr>
          <w:p w14:paraId="540C1504" w14:textId="77777777" w:rsidR="005B7E3E" w:rsidRPr="00B0658A" w:rsidRDefault="005B7E3E" w:rsidP="000A4114">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7" w:type="pct"/>
            <w:shd w:val="clear" w:color="000000" w:fill="FFFFFF"/>
            <w:vAlign w:val="center"/>
          </w:tcPr>
          <w:p w14:paraId="6E8F1C15"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20%</w:t>
            </w:r>
          </w:p>
        </w:tc>
        <w:tc>
          <w:tcPr>
            <w:tcW w:w="367" w:type="pct"/>
            <w:shd w:val="clear" w:color="000000" w:fill="FFFFFF"/>
            <w:vAlign w:val="center"/>
          </w:tcPr>
          <w:p w14:paraId="03354579"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40%</w:t>
            </w:r>
          </w:p>
        </w:tc>
        <w:tc>
          <w:tcPr>
            <w:tcW w:w="367" w:type="pct"/>
            <w:shd w:val="clear" w:color="000000" w:fill="FFFFFF"/>
            <w:vAlign w:val="center"/>
          </w:tcPr>
          <w:p w14:paraId="2DB6DF8A"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60%</w:t>
            </w:r>
          </w:p>
        </w:tc>
        <w:tc>
          <w:tcPr>
            <w:tcW w:w="379" w:type="pct"/>
            <w:shd w:val="clear" w:color="000000" w:fill="FFFFFF"/>
            <w:vAlign w:val="center"/>
          </w:tcPr>
          <w:p w14:paraId="5BAA8DE5"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7" w:type="pct"/>
            <w:shd w:val="clear" w:color="000000" w:fill="FFFFFF"/>
            <w:vAlign w:val="center"/>
          </w:tcPr>
          <w:p w14:paraId="39127617"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80%</w:t>
            </w:r>
          </w:p>
        </w:tc>
        <w:tc>
          <w:tcPr>
            <w:tcW w:w="367" w:type="pct"/>
            <w:shd w:val="clear" w:color="000000" w:fill="FFFFFF"/>
            <w:vAlign w:val="center"/>
          </w:tcPr>
          <w:p w14:paraId="1449196A"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4" w:type="pct"/>
            <w:shd w:val="clear" w:color="000000" w:fill="FFFFFF"/>
            <w:vAlign w:val="center"/>
          </w:tcPr>
          <w:p w14:paraId="5360AECE"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F52FED" w:rsidRPr="00B0658A" w14:paraId="4C8A1B9A" w14:textId="77777777" w:rsidTr="00FE71B1">
        <w:trPr>
          <w:trHeight w:val="20"/>
        </w:trPr>
        <w:tc>
          <w:tcPr>
            <w:tcW w:w="342" w:type="pct"/>
            <w:shd w:val="clear" w:color="000000" w:fill="FFFFFF"/>
            <w:vAlign w:val="center"/>
          </w:tcPr>
          <w:p w14:paraId="2101F129" w14:textId="77777777" w:rsidR="005B7E3E" w:rsidRPr="00B0658A" w:rsidRDefault="005B7E3E" w:rsidP="00FE71B1">
            <w:pPr>
              <w:spacing w:after="0" w:line="240" w:lineRule="auto"/>
              <w:jc w:val="center"/>
              <w:rPr>
                <w:rFonts w:ascii="Times New Roman" w:hAnsi="Times New Roman"/>
                <w:sz w:val="18"/>
                <w:szCs w:val="18"/>
              </w:rPr>
            </w:pPr>
            <w:r w:rsidRPr="00B0658A">
              <w:rPr>
                <w:rFonts w:ascii="Times New Roman" w:hAnsi="Times New Roman"/>
                <w:sz w:val="18"/>
                <w:szCs w:val="18"/>
              </w:rPr>
              <w:t>5.16</w:t>
            </w:r>
          </w:p>
        </w:tc>
        <w:tc>
          <w:tcPr>
            <w:tcW w:w="1182" w:type="pct"/>
            <w:shd w:val="clear" w:color="auto" w:fill="auto"/>
            <w:vAlign w:val="center"/>
          </w:tcPr>
          <w:p w14:paraId="628D6CDC" w14:textId="77777777" w:rsidR="005B7E3E" w:rsidRPr="00B0658A" w:rsidRDefault="005B7E3E" w:rsidP="000A4114">
            <w:pPr>
              <w:spacing w:after="0" w:line="240" w:lineRule="auto"/>
              <w:rPr>
                <w:rFonts w:ascii="Times New Roman" w:hAnsi="Times New Roman"/>
                <w:sz w:val="18"/>
                <w:szCs w:val="18"/>
              </w:rPr>
            </w:pPr>
            <w:r w:rsidRPr="00B0658A">
              <w:rPr>
                <w:rFonts w:ascii="Times New Roman" w:hAnsi="Times New Roman"/>
                <w:sz w:val="18"/>
                <w:szCs w:val="18"/>
              </w:rPr>
              <w:t>Прикладное программное обеспечение/ Автоматизированные информационные системы оформления воздушных перевозок</w:t>
            </w:r>
          </w:p>
        </w:tc>
        <w:tc>
          <w:tcPr>
            <w:tcW w:w="898" w:type="pct"/>
            <w:shd w:val="clear" w:color="000000" w:fill="FFFFFF"/>
          </w:tcPr>
          <w:p w14:paraId="66963240" w14:textId="77777777" w:rsidR="005B7E3E" w:rsidRPr="00B0658A" w:rsidRDefault="005B7E3E" w:rsidP="000A4114">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7" w:type="pct"/>
            <w:shd w:val="clear" w:color="000000" w:fill="FFFFFF"/>
            <w:vAlign w:val="center"/>
          </w:tcPr>
          <w:p w14:paraId="2B12A488"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20%</w:t>
            </w:r>
          </w:p>
        </w:tc>
        <w:tc>
          <w:tcPr>
            <w:tcW w:w="367" w:type="pct"/>
            <w:shd w:val="clear" w:color="000000" w:fill="FFFFFF"/>
            <w:vAlign w:val="center"/>
          </w:tcPr>
          <w:p w14:paraId="053EC2BC"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30%</w:t>
            </w:r>
          </w:p>
        </w:tc>
        <w:tc>
          <w:tcPr>
            <w:tcW w:w="367" w:type="pct"/>
            <w:shd w:val="clear" w:color="000000" w:fill="FFFFFF"/>
            <w:vAlign w:val="center"/>
          </w:tcPr>
          <w:p w14:paraId="53C16B28"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45%</w:t>
            </w:r>
          </w:p>
        </w:tc>
        <w:tc>
          <w:tcPr>
            <w:tcW w:w="379" w:type="pct"/>
            <w:shd w:val="clear" w:color="000000" w:fill="FFFFFF"/>
            <w:vAlign w:val="center"/>
          </w:tcPr>
          <w:p w14:paraId="3E38B499"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7" w:type="pct"/>
            <w:shd w:val="clear" w:color="000000" w:fill="FFFFFF"/>
            <w:vAlign w:val="center"/>
          </w:tcPr>
          <w:p w14:paraId="20752DF9"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70%</w:t>
            </w:r>
          </w:p>
        </w:tc>
        <w:tc>
          <w:tcPr>
            <w:tcW w:w="367" w:type="pct"/>
            <w:shd w:val="clear" w:color="000000" w:fill="FFFFFF"/>
            <w:vAlign w:val="center"/>
          </w:tcPr>
          <w:p w14:paraId="4A715B82"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90%</w:t>
            </w:r>
          </w:p>
        </w:tc>
        <w:tc>
          <w:tcPr>
            <w:tcW w:w="364" w:type="pct"/>
            <w:shd w:val="clear" w:color="000000" w:fill="FFFFFF"/>
            <w:vAlign w:val="center"/>
          </w:tcPr>
          <w:p w14:paraId="79D070F3"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F52FED" w:rsidRPr="00B0658A" w14:paraId="728ABD51" w14:textId="77777777" w:rsidTr="00FE71B1">
        <w:trPr>
          <w:trHeight w:val="20"/>
        </w:trPr>
        <w:tc>
          <w:tcPr>
            <w:tcW w:w="342" w:type="pct"/>
            <w:shd w:val="clear" w:color="000000" w:fill="FFFFFF"/>
            <w:vAlign w:val="center"/>
          </w:tcPr>
          <w:p w14:paraId="6951D090" w14:textId="77777777" w:rsidR="005B7E3E" w:rsidRPr="00B0658A" w:rsidRDefault="005B7E3E" w:rsidP="00FE71B1">
            <w:pPr>
              <w:spacing w:after="0" w:line="240" w:lineRule="auto"/>
              <w:jc w:val="center"/>
              <w:rPr>
                <w:rFonts w:ascii="Times New Roman" w:hAnsi="Times New Roman"/>
                <w:sz w:val="18"/>
                <w:szCs w:val="18"/>
              </w:rPr>
            </w:pPr>
            <w:r w:rsidRPr="00B0658A">
              <w:rPr>
                <w:rFonts w:ascii="Times New Roman" w:hAnsi="Times New Roman"/>
                <w:sz w:val="18"/>
                <w:szCs w:val="18"/>
              </w:rPr>
              <w:t>6.1</w:t>
            </w:r>
          </w:p>
        </w:tc>
        <w:tc>
          <w:tcPr>
            <w:tcW w:w="1182" w:type="pct"/>
            <w:shd w:val="clear" w:color="auto" w:fill="auto"/>
            <w:vAlign w:val="center"/>
          </w:tcPr>
          <w:p w14:paraId="02BB1A8E" w14:textId="77777777" w:rsidR="005B7E3E" w:rsidRPr="00B0658A" w:rsidRDefault="005B7E3E" w:rsidP="000A4114">
            <w:pPr>
              <w:spacing w:after="0" w:line="240" w:lineRule="auto"/>
              <w:rPr>
                <w:rFonts w:ascii="Times New Roman" w:hAnsi="Times New Roman"/>
                <w:sz w:val="18"/>
                <w:szCs w:val="18"/>
              </w:rPr>
            </w:pPr>
            <w:r w:rsidRPr="00B0658A">
              <w:rPr>
                <w:rFonts w:ascii="Times New Roman" w:hAnsi="Times New Roman"/>
                <w:sz w:val="18"/>
                <w:szCs w:val="18"/>
              </w:rPr>
              <w:t>Офисные приложения/ Файловые менеджеры</w:t>
            </w:r>
          </w:p>
        </w:tc>
        <w:tc>
          <w:tcPr>
            <w:tcW w:w="898" w:type="pct"/>
            <w:shd w:val="clear" w:color="000000" w:fill="FFFFFF"/>
          </w:tcPr>
          <w:p w14:paraId="5EF65ED3" w14:textId="77777777" w:rsidR="005B7E3E" w:rsidRPr="00B0658A" w:rsidRDefault="005B7E3E" w:rsidP="000A4114">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7" w:type="pct"/>
            <w:shd w:val="clear" w:color="000000" w:fill="FFFFFF"/>
            <w:vAlign w:val="center"/>
          </w:tcPr>
          <w:p w14:paraId="2CA0A90F" w14:textId="77777777" w:rsidR="005B7E3E" w:rsidRPr="003E5305"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rPr>
              <w:t>60</w:t>
            </w:r>
            <w:r w:rsidRPr="00B0658A">
              <w:rPr>
                <w:rFonts w:ascii="Times New Roman" w:hAnsi="Times New Roman"/>
                <w:sz w:val="18"/>
                <w:szCs w:val="18"/>
                <w:lang w:val="en-US"/>
              </w:rPr>
              <w:t>%</w:t>
            </w:r>
            <w:r w:rsidR="003E5305">
              <w:rPr>
                <w:rFonts w:ascii="Times New Roman" w:hAnsi="Times New Roman"/>
                <w:sz w:val="18"/>
                <w:szCs w:val="18"/>
              </w:rPr>
              <w:t>*</w:t>
            </w:r>
          </w:p>
        </w:tc>
        <w:tc>
          <w:tcPr>
            <w:tcW w:w="367" w:type="pct"/>
            <w:shd w:val="clear" w:color="000000" w:fill="FFFFFF"/>
            <w:vAlign w:val="center"/>
          </w:tcPr>
          <w:p w14:paraId="2A827E37" w14:textId="77777777" w:rsidR="005B7E3E" w:rsidRPr="003E5305"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rPr>
              <w:t>70</w:t>
            </w:r>
            <w:r w:rsidRPr="00B0658A">
              <w:rPr>
                <w:rFonts w:ascii="Times New Roman" w:hAnsi="Times New Roman"/>
                <w:sz w:val="18"/>
                <w:szCs w:val="18"/>
                <w:lang w:val="en-US"/>
              </w:rPr>
              <w:t>%</w:t>
            </w:r>
            <w:r w:rsidR="003E5305">
              <w:rPr>
                <w:rFonts w:ascii="Times New Roman" w:hAnsi="Times New Roman"/>
                <w:sz w:val="18"/>
                <w:szCs w:val="18"/>
              </w:rPr>
              <w:t>*</w:t>
            </w:r>
          </w:p>
        </w:tc>
        <w:tc>
          <w:tcPr>
            <w:tcW w:w="367" w:type="pct"/>
            <w:shd w:val="clear" w:color="000000" w:fill="FFFFFF"/>
            <w:vAlign w:val="center"/>
          </w:tcPr>
          <w:p w14:paraId="6B30CEAF" w14:textId="77777777" w:rsidR="005B7E3E" w:rsidRPr="003E5305"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rPr>
              <w:t>8</w:t>
            </w:r>
            <w:r w:rsidRPr="00B0658A">
              <w:rPr>
                <w:rFonts w:ascii="Times New Roman" w:hAnsi="Times New Roman"/>
                <w:sz w:val="18"/>
                <w:szCs w:val="18"/>
                <w:lang w:val="en-US"/>
              </w:rPr>
              <w:t>0%</w:t>
            </w:r>
            <w:r w:rsidR="003E5305">
              <w:rPr>
                <w:rFonts w:ascii="Times New Roman" w:hAnsi="Times New Roman"/>
                <w:sz w:val="18"/>
                <w:szCs w:val="18"/>
              </w:rPr>
              <w:t>*</w:t>
            </w:r>
          </w:p>
        </w:tc>
        <w:tc>
          <w:tcPr>
            <w:tcW w:w="379" w:type="pct"/>
            <w:shd w:val="clear" w:color="000000" w:fill="FFFFFF"/>
            <w:vAlign w:val="center"/>
          </w:tcPr>
          <w:p w14:paraId="4A75ED16"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7" w:type="pct"/>
            <w:shd w:val="clear" w:color="000000" w:fill="FFFFFF"/>
            <w:vAlign w:val="center"/>
          </w:tcPr>
          <w:p w14:paraId="291532D8" w14:textId="77777777" w:rsidR="005B7E3E" w:rsidRPr="00B0658A" w:rsidRDefault="003E5305" w:rsidP="000A4114">
            <w:pPr>
              <w:spacing w:after="0" w:line="240" w:lineRule="auto"/>
              <w:jc w:val="center"/>
              <w:rPr>
                <w:rFonts w:ascii="Times New Roman" w:hAnsi="Times New Roman"/>
                <w:sz w:val="18"/>
                <w:szCs w:val="18"/>
              </w:rPr>
            </w:pPr>
            <w:r w:rsidRPr="00B0658A">
              <w:rPr>
                <w:rFonts w:ascii="Times New Roman" w:hAnsi="Times New Roman"/>
                <w:sz w:val="18"/>
                <w:szCs w:val="18"/>
              </w:rPr>
              <w:t>100</w:t>
            </w:r>
            <w:r w:rsidRPr="00B0658A">
              <w:rPr>
                <w:rFonts w:ascii="Times New Roman" w:hAnsi="Times New Roman"/>
                <w:sz w:val="18"/>
                <w:szCs w:val="18"/>
                <w:lang w:val="en-US"/>
              </w:rPr>
              <w:t>%</w:t>
            </w:r>
          </w:p>
        </w:tc>
        <w:tc>
          <w:tcPr>
            <w:tcW w:w="367" w:type="pct"/>
            <w:shd w:val="clear" w:color="000000" w:fill="FFFFFF"/>
            <w:vAlign w:val="center"/>
          </w:tcPr>
          <w:p w14:paraId="2D4C57BF"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rPr>
              <w:t>100</w:t>
            </w:r>
            <w:r w:rsidRPr="00B0658A">
              <w:rPr>
                <w:rFonts w:ascii="Times New Roman" w:hAnsi="Times New Roman"/>
                <w:sz w:val="18"/>
                <w:szCs w:val="18"/>
                <w:lang w:val="en-US"/>
              </w:rPr>
              <w:t>%</w:t>
            </w:r>
          </w:p>
        </w:tc>
        <w:tc>
          <w:tcPr>
            <w:tcW w:w="364" w:type="pct"/>
            <w:shd w:val="clear" w:color="000000" w:fill="FFFFFF"/>
            <w:vAlign w:val="center"/>
          </w:tcPr>
          <w:p w14:paraId="64CEF49B"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F52FED" w:rsidRPr="00B0658A" w14:paraId="07AFDA37" w14:textId="77777777" w:rsidTr="00FE71B1">
        <w:trPr>
          <w:trHeight w:val="20"/>
        </w:trPr>
        <w:tc>
          <w:tcPr>
            <w:tcW w:w="342" w:type="pct"/>
            <w:shd w:val="clear" w:color="000000" w:fill="FFFFFF"/>
            <w:vAlign w:val="center"/>
          </w:tcPr>
          <w:p w14:paraId="4F8DB28D" w14:textId="77777777" w:rsidR="005B7E3E" w:rsidRPr="00B0658A" w:rsidRDefault="005B7E3E" w:rsidP="00FE71B1">
            <w:pPr>
              <w:spacing w:after="0" w:line="240" w:lineRule="auto"/>
              <w:jc w:val="center"/>
              <w:rPr>
                <w:rFonts w:ascii="Times New Roman" w:hAnsi="Times New Roman"/>
                <w:sz w:val="18"/>
                <w:szCs w:val="18"/>
              </w:rPr>
            </w:pPr>
            <w:r w:rsidRPr="00B0658A">
              <w:rPr>
                <w:rFonts w:ascii="Times New Roman" w:hAnsi="Times New Roman"/>
                <w:sz w:val="18"/>
                <w:szCs w:val="18"/>
              </w:rPr>
              <w:t>6.2</w:t>
            </w:r>
          </w:p>
        </w:tc>
        <w:tc>
          <w:tcPr>
            <w:tcW w:w="1182" w:type="pct"/>
            <w:shd w:val="clear" w:color="auto" w:fill="auto"/>
            <w:vAlign w:val="center"/>
          </w:tcPr>
          <w:p w14:paraId="0A07BB3E" w14:textId="77777777" w:rsidR="005B7E3E" w:rsidRPr="00B0658A" w:rsidRDefault="005B7E3E" w:rsidP="000A4114">
            <w:pPr>
              <w:spacing w:after="0" w:line="240" w:lineRule="auto"/>
              <w:rPr>
                <w:rFonts w:ascii="Times New Roman" w:hAnsi="Times New Roman"/>
                <w:sz w:val="18"/>
                <w:szCs w:val="18"/>
              </w:rPr>
            </w:pPr>
            <w:r w:rsidRPr="00B0658A">
              <w:rPr>
                <w:rFonts w:ascii="Times New Roman" w:hAnsi="Times New Roman"/>
                <w:sz w:val="18"/>
                <w:szCs w:val="18"/>
              </w:rPr>
              <w:t>Офисные приложения/ Коммуникационное программное обеспечение</w:t>
            </w:r>
          </w:p>
        </w:tc>
        <w:tc>
          <w:tcPr>
            <w:tcW w:w="898" w:type="pct"/>
            <w:shd w:val="clear" w:color="000000" w:fill="FFFFFF"/>
          </w:tcPr>
          <w:p w14:paraId="65A70234" w14:textId="77777777" w:rsidR="005B7E3E" w:rsidRPr="00B0658A" w:rsidRDefault="005B7E3E" w:rsidP="000A4114">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7" w:type="pct"/>
            <w:shd w:val="clear" w:color="000000" w:fill="FFFFFF"/>
            <w:vAlign w:val="center"/>
          </w:tcPr>
          <w:p w14:paraId="530C6612" w14:textId="77777777" w:rsidR="005B7E3E" w:rsidRPr="00E44B76"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50%</w:t>
            </w:r>
            <w:r w:rsidR="00E44B76">
              <w:rPr>
                <w:rFonts w:ascii="Times New Roman" w:hAnsi="Times New Roman"/>
                <w:sz w:val="18"/>
                <w:szCs w:val="18"/>
              </w:rPr>
              <w:t>*</w:t>
            </w:r>
          </w:p>
        </w:tc>
        <w:tc>
          <w:tcPr>
            <w:tcW w:w="367" w:type="pct"/>
            <w:shd w:val="clear" w:color="000000" w:fill="FFFFFF"/>
            <w:vAlign w:val="center"/>
          </w:tcPr>
          <w:p w14:paraId="1DB4B0EF" w14:textId="77777777" w:rsidR="005B7E3E" w:rsidRPr="00E44B76"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60%</w:t>
            </w:r>
            <w:r w:rsidR="00E44B76">
              <w:rPr>
                <w:rFonts w:ascii="Times New Roman" w:hAnsi="Times New Roman"/>
                <w:sz w:val="18"/>
                <w:szCs w:val="18"/>
              </w:rPr>
              <w:t>*</w:t>
            </w:r>
          </w:p>
        </w:tc>
        <w:tc>
          <w:tcPr>
            <w:tcW w:w="367" w:type="pct"/>
            <w:shd w:val="clear" w:color="000000" w:fill="FFFFFF"/>
            <w:vAlign w:val="center"/>
          </w:tcPr>
          <w:p w14:paraId="37F485FC" w14:textId="77777777" w:rsidR="005B7E3E" w:rsidRPr="00E44B76"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80%</w:t>
            </w:r>
            <w:r w:rsidR="00E44B76">
              <w:rPr>
                <w:rFonts w:ascii="Times New Roman" w:hAnsi="Times New Roman"/>
                <w:sz w:val="18"/>
                <w:szCs w:val="18"/>
              </w:rPr>
              <w:t>*</w:t>
            </w:r>
          </w:p>
        </w:tc>
        <w:tc>
          <w:tcPr>
            <w:tcW w:w="379" w:type="pct"/>
            <w:shd w:val="clear" w:color="000000" w:fill="FFFFFF"/>
            <w:vAlign w:val="center"/>
          </w:tcPr>
          <w:p w14:paraId="3AC4E120"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7" w:type="pct"/>
            <w:shd w:val="clear" w:color="000000" w:fill="FFFFFF"/>
            <w:vAlign w:val="center"/>
          </w:tcPr>
          <w:p w14:paraId="2DFD5487"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7" w:type="pct"/>
            <w:shd w:val="clear" w:color="000000" w:fill="FFFFFF"/>
            <w:vAlign w:val="center"/>
          </w:tcPr>
          <w:p w14:paraId="6AA098F4"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4" w:type="pct"/>
            <w:shd w:val="clear" w:color="000000" w:fill="FFFFFF"/>
            <w:vAlign w:val="center"/>
          </w:tcPr>
          <w:p w14:paraId="2E18C7A5"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F52FED" w:rsidRPr="00B0658A" w14:paraId="1B9797F6" w14:textId="77777777" w:rsidTr="00FE71B1">
        <w:trPr>
          <w:trHeight w:val="20"/>
        </w:trPr>
        <w:tc>
          <w:tcPr>
            <w:tcW w:w="342" w:type="pct"/>
            <w:shd w:val="clear" w:color="000000" w:fill="FFFFFF"/>
            <w:vAlign w:val="center"/>
          </w:tcPr>
          <w:p w14:paraId="00531839" w14:textId="77777777" w:rsidR="005B7E3E" w:rsidRPr="00B0658A" w:rsidRDefault="005B7E3E" w:rsidP="00FE71B1">
            <w:pPr>
              <w:spacing w:after="0" w:line="240" w:lineRule="auto"/>
              <w:jc w:val="center"/>
              <w:rPr>
                <w:rFonts w:ascii="Times New Roman" w:hAnsi="Times New Roman"/>
                <w:sz w:val="18"/>
                <w:szCs w:val="18"/>
              </w:rPr>
            </w:pPr>
            <w:r w:rsidRPr="00B0658A">
              <w:rPr>
                <w:rFonts w:ascii="Times New Roman" w:hAnsi="Times New Roman"/>
                <w:sz w:val="18"/>
                <w:szCs w:val="18"/>
              </w:rPr>
              <w:t>6.3</w:t>
            </w:r>
          </w:p>
        </w:tc>
        <w:tc>
          <w:tcPr>
            <w:tcW w:w="1182" w:type="pct"/>
            <w:shd w:val="clear" w:color="auto" w:fill="auto"/>
            <w:vAlign w:val="center"/>
          </w:tcPr>
          <w:p w14:paraId="0ED4E494" w14:textId="77777777" w:rsidR="005B7E3E" w:rsidRPr="00B0658A" w:rsidRDefault="005B7E3E" w:rsidP="000A4114">
            <w:pPr>
              <w:spacing w:after="0" w:line="240" w:lineRule="auto"/>
              <w:rPr>
                <w:rFonts w:ascii="Times New Roman" w:hAnsi="Times New Roman"/>
                <w:sz w:val="18"/>
                <w:szCs w:val="18"/>
              </w:rPr>
            </w:pPr>
            <w:r w:rsidRPr="00B0658A">
              <w:rPr>
                <w:rFonts w:ascii="Times New Roman" w:hAnsi="Times New Roman"/>
                <w:sz w:val="18"/>
                <w:szCs w:val="18"/>
              </w:rPr>
              <w:t>Офисные приложения/ Офисные пакеты</w:t>
            </w:r>
          </w:p>
        </w:tc>
        <w:tc>
          <w:tcPr>
            <w:tcW w:w="898" w:type="pct"/>
            <w:shd w:val="clear" w:color="000000" w:fill="FFFFFF"/>
          </w:tcPr>
          <w:p w14:paraId="1851B924" w14:textId="77777777" w:rsidR="005B7E3E" w:rsidRPr="00B0658A" w:rsidRDefault="005B7E3E" w:rsidP="000A4114">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7" w:type="pct"/>
            <w:shd w:val="clear" w:color="000000" w:fill="FFFFFF"/>
            <w:vAlign w:val="center"/>
          </w:tcPr>
          <w:p w14:paraId="123864D7" w14:textId="77777777" w:rsidR="005B7E3E" w:rsidRPr="00E44B76"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rPr>
              <w:t>60</w:t>
            </w:r>
            <w:r w:rsidRPr="00B0658A">
              <w:rPr>
                <w:rFonts w:ascii="Times New Roman" w:hAnsi="Times New Roman"/>
                <w:sz w:val="18"/>
                <w:szCs w:val="18"/>
                <w:lang w:val="en-US"/>
              </w:rPr>
              <w:t>%</w:t>
            </w:r>
            <w:r w:rsidR="00E44B76">
              <w:rPr>
                <w:rFonts w:ascii="Times New Roman" w:hAnsi="Times New Roman"/>
                <w:sz w:val="18"/>
                <w:szCs w:val="18"/>
              </w:rPr>
              <w:t>*</w:t>
            </w:r>
          </w:p>
        </w:tc>
        <w:tc>
          <w:tcPr>
            <w:tcW w:w="367" w:type="pct"/>
            <w:shd w:val="clear" w:color="000000" w:fill="FFFFFF"/>
            <w:vAlign w:val="center"/>
          </w:tcPr>
          <w:p w14:paraId="18815213" w14:textId="77777777" w:rsidR="005B7E3E" w:rsidRPr="00E44B76"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rPr>
              <w:t>70</w:t>
            </w:r>
            <w:r w:rsidRPr="00B0658A">
              <w:rPr>
                <w:rFonts w:ascii="Times New Roman" w:hAnsi="Times New Roman"/>
                <w:sz w:val="18"/>
                <w:szCs w:val="18"/>
                <w:lang w:val="en-US"/>
              </w:rPr>
              <w:t>%</w:t>
            </w:r>
            <w:r w:rsidR="00E44B76">
              <w:rPr>
                <w:rFonts w:ascii="Times New Roman" w:hAnsi="Times New Roman"/>
                <w:sz w:val="18"/>
                <w:szCs w:val="18"/>
              </w:rPr>
              <w:t>*</w:t>
            </w:r>
          </w:p>
        </w:tc>
        <w:tc>
          <w:tcPr>
            <w:tcW w:w="367" w:type="pct"/>
            <w:shd w:val="clear" w:color="000000" w:fill="FFFFFF"/>
            <w:vAlign w:val="center"/>
          </w:tcPr>
          <w:p w14:paraId="343650E4" w14:textId="77777777" w:rsidR="005B7E3E" w:rsidRPr="00E44B76"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rPr>
              <w:t>8</w:t>
            </w:r>
            <w:r w:rsidRPr="00B0658A">
              <w:rPr>
                <w:rFonts w:ascii="Times New Roman" w:hAnsi="Times New Roman"/>
                <w:sz w:val="18"/>
                <w:szCs w:val="18"/>
                <w:lang w:val="en-US"/>
              </w:rPr>
              <w:t>0%</w:t>
            </w:r>
            <w:r w:rsidR="00E44B76">
              <w:rPr>
                <w:rFonts w:ascii="Times New Roman" w:hAnsi="Times New Roman"/>
                <w:sz w:val="18"/>
                <w:szCs w:val="18"/>
              </w:rPr>
              <w:t>*</w:t>
            </w:r>
          </w:p>
        </w:tc>
        <w:tc>
          <w:tcPr>
            <w:tcW w:w="379" w:type="pct"/>
            <w:shd w:val="clear" w:color="000000" w:fill="FFFFFF"/>
            <w:vAlign w:val="center"/>
          </w:tcPr>
          <w:p w14:paraId="22CA0A63"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7" w:type="pct"/>
            <w:shd w:val="clear" w:color="000000" w:fill="FFFFFF"/>
            <w:vAlign w:val="center"/>
          </w:tcPr>
          <w:p w14:paraId="3BFD2F90" w14:textId="77777777" w:rsidR="005B7E3E" w:rsidRPr="00B0658A" w:rsidRDefault="00E44B76"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7" w:type="pct"/>
            <w:shd w:val="clear" w:color="000000" w:fill="FFFFFF"/>
            <w:vAlign w:val="center"/>
          </w:tcPr>
          <w:p w14:paraId="7B16789B"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rPr>
              <w:t>100</w:t>
            </w:r>
            <w:r w:rsidRPr="00B0658A">
              <w:rPr>
                <w:rFonts w:ascii="Times New Roman" w:hAnsi="Times New Roman"/>
                <w:sz w:val="18"/>
                <w:szCs w:val="18"/>
                <w:lang w:val="en-US"/>
              </w:rPr>
              <w:t>%</w:t>
            </w:r>
          </w:p>
        </w:tc>
        <w:tc>
          <w:tcPr>
            <w:tcW w:w="364" w:type="pct"/>
            <w:shd w:val="clear" w:color="000000" w:fill="FFFFFF"/>
            <w:vAlign w:val="center"/>
          </w:tcPr>
          <w:p w14:paraId="281DD596"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E44B76" w:rsidRPr="00B0658A" w14:paraId="035B8345" w14:textId="77777777" w:rsidTr="00FE71B1">
        <w:trPr>
          <w:trHeight w:val="20"/>
        </w:trPr>
        <w:tc>
          <w:tcPr>
            <w:tcW w:w="342" w:type="pct"/>
            <w:shd w:val="clear" w:color="000000" w:fill="FFFFFF"/>
            <w:vAlign w:val="center"/>
          </w:tcPr>
          <w:p w14:paraId="21AD8240" w14:textId="77777777" w:rsidR="00E44B76" w:rsidRPr="00B0658A" w:rsidRDefault="00E44B76" w:rsidP="00FE71B1">
            <w:pPr>
              <w:spacing w:after="0" w:line="240" w:lineRule="auto"/>
              <w:jc w:val="center"/>
              <w:rPr>
                <w:rFonts w:ascii="Times New Roman" w:hAnsi="Times New Roman"/>
                <w:sz w:val="18"/>
                <w:szCs w:val="18"/>
              </w:rPr>
            </w:pPr>
            <w:r w:rsidRPr="00B0658A">
              <w:rPr>
                <w:rFonts w:ascii="Times New Roman" w:hAnsi="Times New Roman"/>
                <w:sz w:val="18"/>
                <w:szCs w:val="18"/>
              </w:rPr>
              <w:t>6.4</w:t>
            </w:r>
          </w:p>
        </w:tc>
        <w:tc>
          <w:tcPr>
            <w:tcW w:w="1182" w:type="pct"/>
            <w:shd w:val="clear" w:color="auto" w:fill="auto"/>
            <w:vAlign w:val="center"/>
          </w:tcPr>
          <w:p w14:paraId="186A887A" w14:textId="77777777" w:rsidR="00E44B76" w:rsidRPr="00B0658A" w:rsidRDefault="00E44B76" w:rsidP="00E44B76">
            <w:pPr>
              <w:spacing w:after="0" w:line="240" w:lineRule="auto"/>
              <w:rPr>
                <w:rFonts w:ascii="Times New Roman" w:hAnsi="Times New Roman"/>
                <w:sz w:val="18"/>
                <w:szCs w:val="18"/>
              </w:rPr>
            </w:pPr>
            <w:r w:rsidRPr="00B0658A">
              <w:rPr>
                <w:rFonts w:ascii="Times New Roman" w:hAnsi="Times New Roman"/>
                <w:sz w:val="18"/>
                <w:szCs w:val="18"/>
              </w:rPr>
              <w:t>Офисные приложения/ Почтовые приложения</w:t>
            </w:r>
          </w:p>
        </w:tc>
        <w:tc>
          <w:tcPr>
            <w:tcW w:w="898" w:type="pct"/>
            <w:shd w:val="clear" w:color="000000" w:fill="FFFFFF"/>
          </w:tcPr>
          <w:p w14:paraId="4A025EC7" w14:textId="77777777" w:rsidR="00E44B76" w:rsidRPr="00B0658A" w:rsidRDefault="00E44B76" w:rsidP="00E44B76">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7" w:type="pct"/>
            <w:shd w:val="clear" w:color="000000" w:fill="FFFFFF"/>
            <w:vAlign w:val="center"/>
          </w:tcPr>
          <w:p w14:paraId="57FAC372" w14:textId="77777777" w:rsidR="00E44B76" w:rsidRPr="00E44B76" w:rsidRDefault="00E44B76" w:rsidP="00E44B76">
            <w:pPr>
              <w:spacing w:after="0" w:line="240" w:lineRule="auto"/>
              <w:jc w:val="center"/>
              <w:rPr>
                <w:rFonts w:ascii="Times New Roman" w:hAnsi="Times New Roman"/>
                <w:sz w:val="18"/>
                <w:szCs w:val="18"/>
              </w:rPr>
            </w:pPr>
            <w:r w:rsidRPr="00B0658A">
              <w:rPr>
                <w:rFonts w:ascii="Times New Roman" w:hAnsi="Times New Roman"/>
                <w:sz w:val="18"/>
                <w:szCs w:val="18"/>
              </w:rPr>
              <w:t>6</w:t>
            </w:r>
            <w:r w:rsidRPr="00B0658A">
              <w:rPr>
                <w:rFonts w:ascii="Times New Roman" w:hAnsi="Times New Roman"/>
                <w:sz w:val="18"/>
                <w:szCs w:val="18"/>
                <w:lang w:val="en-US"/>
              </w:rPr>
              <w:t>0%</w:t>
            </w:r>
            <w:r>
              <w:rPr>
                <w:rFonts w:ascii="Times New Roman" w:hAnsi="Times New Roman"/>
                <w:sz w:val="18"/>
                <w:szCs w:val="18"/>
              </w:rPr>
              <w:t>*</w:t>
            </w:r>
          </w:p>
        </w:tc>
        <w:tc>
          <w:tcPr>
            <w:tcW w:w="367" w:type="pct"/>
            <w:shd w:val="clear" w:color="000000" w:fill="FFFFFF"/>
            <w:vAlign w:val="center"/>
          </w:tcPr>
          <w:p w14:paraId="4A28CD5F" w14:textId="77777777" w:rsidR="00E44B76" w:rsidRPr="00E44B76" w:rsidRDefault="00E44B76" w:rsidP="00E44B76">
            <w:pPr>
              <w:spacing w:after="0" w:line="240" w:lineRule="auto"/>
              <w:jc w:val="center"/>
              <w:rPr>
                <w:rFonts w:ascii="Times New Roman" w:hAnsi="Times New Roman"/>
                <w:sz w:val="18"/>
                <w:szCs w:val="18"/>
              </w:rPr>
            </w:pPr>
            <w:r w:rsidRPr="00B0658A">
              <w:rPr>
                <w:rFonts w:ascii="Times New Roman" w:hAnsi="Times New Roman"/>
                <w:sz w:val="18"/>
                <w:szCs w:val="18"/>
                <w:lang w:val="en-US"/>
              </w:rPr>
              <w:t>75%</w:t>
            </w:r>
            <w:r>
              <w:rPr>
                <w:rFonts w:ascii="Times New Roman" w:hAnsi="Times New Roman"/>
                <w:sz w:val="18"/>
                <w:szCs w:val="18"/>
              </w:rPr>
              <w:t>*</w:t>
            </w:r>
          </w:p>
        </w:tc>
        <w:tc>
          <w:tcPr>
            <w:tcW w:w="367" w:type="pct"/>
            <w:shd w:val="clear" w:color="000000" w:fill="FFFFFF"/>
            <w:vAlign w:val="center"/>
          </w:tcPr>
          <w:p w14:paraId="1A5B9100" w14:textId="77777777" w:rsidR="00E44B76" w:rsidRPr="00B0658A" w:rsidRDefault="00E44B76" w:rsidP="00E44B76">
            <w:pPr>
              <w:spacing w:after="0" w:line="240" w:lineRule="auto"/>
              <w:jc w:val="center"/>
              <w:rPr>
                <w:rFonts w:ascii="Times New Roman" w:hAnsi="Times New Roman"/>
                <w:sz w:val="18"/>
                <w:szCs w:val="18"/>
              </w:rPr>
            </w:pPr>
            <w:r w:rsidRPr="00B0658A">
              <w:rPr>
                <w:rFonts w:ascii="Times New Roman" w:hAnsi="Times New Roman"/>
                <w:sz w:val="18"/>
                <w:szCs w:val="18"/>
              </w:rPr>
              <w:t>90%</w:t>
            </w:r>
            <w:r>
              <w:rPr>
                <w:rFonts w:ascii="Times New Roman" w:hAnsi="Times New Roman"/>
                <w:sz w:val="18"/>
                <w:szCs w:val="18"/>
              </w:rPr>
              <w:t>*</w:t>
            </w:r>
          </w:p>
        </w:tc>
        <w:tc>
          <w:tcPr>
            <w:tcW w:w="379" w:type="pct"/>
            <w:shd w:val="clear" w:color="000000" w:fill="FFFFFF"/>
            <w:vAlign w:val="center"/>
          </w:tcPr>
          <w:p w14:paraId="45D67E86" w14:textId="77777777" w:rsidR="00E44B76" w:rsidRPr="00B0658A" w:rsidRDefault="00E44B76" w:rsidP="00E44B76">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7" w:type="pct"/>
            <w:shd w:val="clear" w:color="000000" w:fill="FFFFFF"/>
            <w:vAlign w:val="center"/>
          </w:tcPr>
          <w:p w14:paraId="50C0A622" w14:textId="77777777" w:rsidR="00E44B76" w:rsidRPr="00B0658A" w:rsidRDefault="00E44B76" w:rsidP="00E44B76">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7" w:type="pct"/>
            <w:shd w:val="clear" w:color="000000" w:fill="FFFFFF"/>
            <w:vAlign w:val="center"/>
          </w:tcPr>
          <w:p w14:paraId="09B23CD3" w14:textId="77777777" w:rsidR="00E44B76" w:rsidRPr="00B0658A" w:rsidRDefault="00E44B76" w:rsidP="00E44B76">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4" w:type="pct"/>
            <w:shd w:val="clear" w:color="000000" w:fill="FFFFFF"/>
            <w:vAlign w:val="center"/>
          </w:tcPr>
          <w:p w14:paraId="15D40F4C" w14:textId="77777777" w:rsidR="00E44B76" w:rsidRPr="00B0658A" w:rsidRDefault="00E44B76" w:rsidP="00E44B76">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E44B76" w:rsidRPr="00B0658A" w14:paraId="52DD62A8" w14:textId="77777777" w:rsidTr="00FE71B1">
        <w:trPr>
          <w:trHeight w:val="20"/>
        </w:trPr>
        <w:tc>
          <w:tcPr>
            <w:tcW w:w="342" w:type="pct"/>
            <w:shd w:val="clear" w:color="000000" w:fill="FFFFFF"/>
            <w:vAlign w:val="center"/>
          </w:tcPr>
          <w:p w14:paraId="68C7AB6E" w14:textId="77777777" w:rsidR="00E44B76" w:rsidRPr="00B0658A" w:rsidRDefault="00E44B76" w:rsidP="00FE71B1">
            <w:pPr>
              <w:spacing w:after="0" w:line="240" w:lineRule="auto"/>
              <w:jc w:val="center"/>
              <w:rPr>
                <w:rFonts w:ascii="Times New Roman" w:hAnsi="Times New Roman"/>
                <w:sz w:val="18"/>
                <w:szCs w:val="18"/>
              </w:rPr>
            </w:pPr>
            <w:r w:rsidRPr="00B0658A">
              <w:rPr>
                <w:rFonts w:ascii="Times New Roman" w:hAnsi="Times New Roman"/>
                <w:sz w:val="18"/>
                <w:szCs w:val="18"/>
              </w:rPr>
              <w:t>6.5</w:t>
            </w:r>
          </w:p>
        </w:tc>
        <w:tc>
          <w:tcPr>
            <w:tcW w:w="1182" w:type="pct"/>
            <w:shd w:val="clear" w:color="auto" w:fill="auto"/>
            <w:vAlign w:val="center"/>
          </w:tcPr>
          <w:p w14:paraId="4F089219" w14:textId="77777777" w:rsidR="00E44B76" w:rsidRPr="00B0658A" w:rsidRDefault="00E44B76" w:rsidP="00E44B76">
            <w:pPr>
              <w:spacing w:after="0" w:line="240" w:lineRule="auto"/>
              <w:rPr>
                <w:rFonts w:ascii="Times New Roman" w:hAnsi="Times New Roman"/>
                <w:sz w:val="18"/>
                <w:szCs w:val="18"/>
              </w:rPr>
            </w:pPr>
            <w:r w:rsidRPr="00B0658A">
              <w:rPr>
                <w:rFonts w:ascii="Times New Roman" w:hAnsi="Times New Roman"/>
                <w:sz w:val="18"/>
                <w:szCs w:val="18"/>
              </w:rPr>
              <w:t>Офисные приложения/ Органайзеры</w:t>
            </w:r>
          </w:p>
        </w:tc>
        <w:tc>
          <w:tcPr>
            <w:tcW w:w="898" w:type="pct"/>
            <w:shd w:val="clear" w:color="000000" w:fill="FFFFFF"/>
          </w:tcPr>
          <w:p w14:paraId="16D99B95" w14:textId="77777777" w:rsidR="00E44B76" w:rsidRPr="00B0658A" w:rsidRDefault="00E44B76" w:rsidP="00E44B76">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7" w:type="pct"/>
            <w:shd w:val="clear" w:color="000000" w:fill="FFFFFF"/>
            <w:vAlign w:val="center"/>
          </w:tcPr>
          <w:p w14:paraId="35325615" w14:textId="77777777" w:rsidR="00E44B76" w:rsidRPr="00B0658A" w:rsidRDefault="00E44B76" w:rsidP="00E44B76">
            <w:pPr>
              <w:spacing w:after="0" w:line="240" w:lineRule="auto"/>
              <w:jc w:val="center"/>
              <w:rPr>
                <w:rFonts w:ascii="Times New Roman" w:hAnsi="Times New Roman"/>
                <w:sz w:val="18"/>
                <w:szCs w:val="18"/>
              </w:rPr>
            </w:pPr>
            <w:r w:rsidRPr="00B0658A">
              <w:rPr>
                <w:rFonts w:ascii="Times New Roman" w:hAnsi="Times New Roman"/>
                <w:sz w:val="18"/>
                <w:szCs w:val="18"/>
              </w:rPr>
              <w:t>60</w:t>
            </w:r>
            <w:r w:rsidRPr="00B0658A">
              <w:rPr>
                <w:rFonts w:ascii="Times New Roman" w:hAnsi="Times New Roman"/>
                <w:sz w:val="18"/>
                <w:szCs w:val="18"/>
                <w:lang w:val="en-US"/>
              </w:rPr>
              <w:t>%</w:t>
            </w:r>
            <w:r>
              <w:rPr>
                <w:rFonts w:ascii="Times New Roman" w:hAnsi="Times New Roman"/>
                <w:sz w:val="18"/>
                <w:szCs w:val="18"/>
              </w:rPr>
              <w:t>*</w:t>
            </w:r>
          </w:p>
        </w:tc>
        <w:tc>
          <w:tcPr>
            <w:tcW w:w="367" w:type="pct"/>
            <w:shd w:val="clear" w:color="000000" w:fill="FFFFFF"/>
            <w:vAlign w:val="center"/>
          </w:tcPr>
          <w:p w14:paraId="671D2AE2" w14:textId="77777777" w:rsidR="00E44B76" w:rsidRPr="00B0658A" w:rsidRDefault="00E44B76" w:rsidP="00E44B76">
            <w:pPr>
              <w:spacing w:after="0" w:line="240" w:lineRule="auto"/>
              <w:jc w:val="center"/>
              <w:rPr>
                <w:rFonts w:ascii="Times New Roman" w:hAnsi="Times New Roman"/>
                <w:sz w:val="18"/>
                <w:szCs w:val="18"/>
              </w:rPr>
            </w:pPr>
            <w:r w:rsidRPr="00B0658A">
              <w:rPr>
                <w:rFonts w:ascii="Times New Roman" w:hAnsi="Times New Roman"/>
                <w:sz w:val="18"/>
                <w:szCs w:val="18"/>
              </w:rPr>
              <w:t>70</w:t>
            </w:r>
            <w:r w:rsidRPr="00B0658A">
              <w:rPr>
                <w:rFonts w:ascii="Times New Roman" w:hAnsi="Times New Roman"/>
                <w:sz w:val="18"/>
                <w:szCs w:val="18"/>
                <w:lang w:val="en-US"/>
              </w:rPr>
              <w:t>%</w:t>
            </w:r>
            <w:r>
              <w:rPr>
                <w:rFonts w:ascii="Times New Roman" w:hAnsi="Times New Roman"/>
                <w:sz w:val="18"/>
                <w:szCs w:val="18"/>
              </w:rPr>
              <w:t>*</w:t>
            </w:r>
          </w:p>
        </w:tc>
        <w:tc>
          <w:tcPr>
            <w:tcW w:w="367" w:type="pct"/>
            <w:shd w:val="clear" w:color="000000" w:fill="FFFFFF"/>
            <w:vAlign w:val="center"/>
          </w:tcPr>
          <w:p w14:paraId="65031656" w14:textId="77777777" w:rsidR="00E44B76" w:rsidRPr="00B0658A" w:rsidRDefault="00E44B76" w:rsidP="00E44B76">
            <w:pPr>
              <w:spacing w:after="0" w:line="240" w:lineRule="auto"/>
              <w:jc w:val="center"/>
              <w:rPr>
                <w:rFonts w:ascii="Times New Roman" w:hAnsi="Times New Roman"/>
                <w:sz w:val="18"/>
                <w:szCs w:val="18"/>
              </w:rPr>
            </w:pPr>
            <w:r w:rsidRPr="00B0658A">
              <w:rPr>
                <w:rFonts w:ascii="Times New Roman" w:hAnsi="Times New Roman"/>
                <w:sz w:val="18"/>
                <w:szCs w:val="18"/>
              </w:rPr>
              <w:t>8</w:t>
            </w:r>
            <w:r w:rsidRPr="00B0658A">
              <w:rPr>
                <w:rFonts w:ascii="Times New Roman" w:hAnsi="Times New Roman"/>
                <w:sz w:val="18"/>
                <w:szCs w:val="18"/>
                <w:lang w:val="en-US"/>
              </w:rPr>
              <w:t>0%</w:t>
            </w:r>
            <w:r>
              <w:rPr>
                <w:rFonts w:ascii="Times New Roman" w:hAnsi="Times New Roman"/>
                <w:sz w:val="18"/>
                <w:szCs w:val="18"/>
              </w:rPr>
              <w:t>*</w:t>
            </w:r>
          </w:p>
        </w:tc>
        <w:tc>
          <w:tcPr>
            <w:tcW w:w="379" w:type="pct"/>
            <w:shd w:val="clear" w:color="000000" w:fill="FFFFFF"/>
            <w:vAlign w:val="center"/>
          </w:tcPr>
          <w:p w14:paraId="427CD335" w14:textId="77777777" w:rsidR="00E44B76" w:rsidRPr="00B0658A" w:rsidRDefault="00E44B76" w:rsidP="00E44B76">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7" w:type="pct"/>
            <w:shd w:val="clear" w:color="000000" w:fill="FFFFFF"/>
            <w:vAlign w:val="center"/>
          </w:tcPr>
          <w:p w14:paraId="49BF7CA8" w14:textId="77777777" w:rsidR="00E44B76" w:rsidRPr="00B0658A" w:rsidRDefault="00E44B76" w:rsidP="00E44B76">
            <w:pPr>
              <w:spacing w:after="0" w:line="240" w:lineRule="auto"/>
              <w:jc w:val="center"/>
              <w:rPr>
                <w:rFonts w:ascii="Times New Roman" w:hAnsi="Times New Roman"/>
                <w:sz w:val="18"/>
                <w:szCs w:val="18"/>
              </w:rPr>
            </w:pPr>
            <w:r w:rsidRPr="00D73B93">
              <w:rPr>
                <w:rFonts w:ascii="Times New Roman" w:hAnsi="Times New Roman"/>
                <w:sz w:val="18"/>
                <w:szCs w:val="18"/>
                <w:lang w:val="en-US"/>
              </w:rPr>
              <w:t>100%</w:t>
            </w:r>
          </w:p>
        </w:tc>
        <w:tc>
          <w:tcPr>
            <w:tcW w:w="367" w:type="pct"/>
            <w:shd w:val="clear" w:color="000000" w:fill="FFFFFF"/>
            <w:vAlign w:val="center"/>
          </w:tcPr>
          <w:p w14:paraId="521E2228" w14:textId="77777777" w:rsidR="00E44B76" w:rsidRPr="00B0658A" w:rsidRDefault="00E44B76" w:rsidP="00E44B76">
            <w:pPr>
              <w:spacing w:after="0" w:line="240" w:lineRule="auto"/>
              <w:jc w:val="center"/>
              <w:rPr>
                <w:rFonts w:ascii="Times New Roman" w:hAnsi="Times New Roman"/>
                <w:sz w:val="18"/>
                <w:szCs w:val="18"/>
              </w:rPr>
            </w:pPr>
            <w:r w:rsidRPr="00B0658A">
              <w:rPr>
                <w:rFonts w:ascii="Times New Roman" w:hAnsi="Times New Roman"/>
                <w:sz w:val="18"/>
                <w:szCs w:val="18"/>
              </w:rPr>
              <w:t>100</w:t>
            </w:r>
            <w:r w:rsidRPr="00B0658A">
              <w:rPr>
                <w:rFonts w:ascii="Times New Roman" w:hAnsi="Times New Roman"/>
                <w:sz w:val="18"/>
                <w:szCs w:val="18"/>
                <w:lang w:val="en-US"/>
              </w:rPr>
              <w:t>%</w:t>
            </w:r>
          </w:p>
        </w:tc>
        <w:tc>
          <w:tcPr>
            <w:tcW w:w="364" w:type="pct"/>
            <w:shd w:val="clear" w:color="000000" w:fill="FFFFFF"/>
            <w:vAlign w:val="center"/>
          </w:tcPr>
          <w:p w14:paraId="69112C4D" w14:textId="77777777" w:rsidR="00E44B76" w:rsidRPr="00B0658A" w:rsidRDefault="00E44B76" w:rsidP="00E44B76">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E44B76" w:rsidRPr="00B0658A" w14:paraId="5FBB0E9D" w14:textId="77777777" w:rsidTr="00FE71B1">
        <w:trPr>
          <w:trHeight w:val="20"/>
        </w:trPr>
        <w:tc>
          <w:tcPr>
            <w:tcW w:w="342" w:type="pct"/>
            <w:shd w:val="clear" w:color="000000" w:fill="FFFFFF"/>
            <w:vAlign w:val="center"/>
          </w:tcPr>
          <w:p w14:paraId="121EBB53" w14:textId="77777777" w:rsidR="00E44B76" w:rsidRPr="00B0658A" w:rsidRDefault="00E44B76" w:rsidP="00FE71B1">
            <w:pPr>
              <w:spacing w:after="0" w:line="240" w:lineRule="auto"/>
              <w:jc w:val="center"/>
              <w:rPr>
                <w:rFonts w:ascii="Times New Roman" w:hAnsi="Times New Roman"/>
                <w:sz w:val="18"/>
                <w:szCs w:val="18"/>
              </w:rPr>
            </w:pPr>
            <w:r w:rsidRPr="00B0658A">
              <w:rPr>
                <w:rFonts w:ascii="Times New Roman" w:hAnsi="Times New Roman"/>
                <w:sz w:val="18"/>
                <w:szCs w:val="18"/>
              </w:rPr>
              <w:t>6.6</w:t>
            </w:r>
          </w:p>
        </w:tc>
        <w:tc>
          <w:tcPr>
            <w:tcW w:w="1182" w:type="pct"/>
            <w:shd w:val="clear" w:color="auto" w:fill="auto"/>
            <w:vAlign w:val="center"/>
          </w:tcPr>
          <w:p w14:paraId="40050F08" w14:textId="77777777" w:rsidR="00E44B76" w:rsidRPr="00B0658A" w:rsidRDefault="00E44B76" w:rsidP="00E44B76">
            <w:pPr>
              <w:spacing w:after="0" w:line="240" w:lineRule="auto"/>
              <w:rPr>
                <w:rFonts w:ascii="Times New Roman" w:hAnsi="Times New Roman"/>
                <w:sz w:val="18"/>
                <w:szCs w:val="18"/>
              </w:rPr>
            </w:pPr>
            <w:r w:rsidRPr="00B0658A">
              <w:rPr>
                <w:rFonts w:ascii="Times New Roman" w:hAnsi="Times New Roman"/>
                <w:sz w:val="18"/>
                <w:szCs w:val="18"/>
              </w:rPr>
              <w:t>Офисные приложения/ Средства просмотра</w:t>
            </w:r>
          </w:p>
        </w:tc>
        <w:tc>
          <w:tcPr>
            <w:tcW w:w="898" w:type="pct"/>
            <w:shd w:val="clear" w:color="000000" w:fill="FFFFFF"/>
          </w:tcPr>
          <w:p w14:paraId="1D1E825F" w14:textId="77777777" w:rsidR="00E44B76" w:rsidRPr="00B0658A" w:rsidRDefault="00E44B76" w:rsidP="00E44B76">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7" w:type="pct"/>
            <w:shd w:val="clear" w:color="000000" w:fill="FFFFFF"/>
            <w:vAlign w:val="center"/>
          </w:tcPr>
          <w:p w14:paraId="367C2F88" w14:textId="77777777" w:rsidR="00E44B76" w:rsidRPr="00E44B76" w:rsidRDefault="00E44B76" w:rsidP="00E44B76">
            <w:pPr>
              <w:spacing w:after="0" w:line="240" w:lineRule="auto"/>
              <w:jc w:val="center"/>
              <w:rPr>
                <w:rFonts w:ascii="Times New Roman" w:hAnsi="Times New Roman"/>
                <w:sz w:val="18"/>
                <w:szCs w:val="18"/>
              </w:rPr>
            </w:pPr>
            <w:r w:rsidRPr="00B0658A">
              <w:rPr>
                <w:rFonts w:ascii="Times New Roman" w:hAnsi="Times New Roman"/>
                <w:sz w:val="18"/>
                <w:szCs w:val="18"/>
              </w:rPr>
              <w:t>60</w:t>
            </w:r>
            <w:r w:rsidRPr="00B0658A">
              <w:rPr>
                <w:rFonts w:ascii="Times New Roman" w:hAnsi="Times New Roman"/>
                <w:sz w:val="18"/>
                <w:szCs w:val="18"/>
                <w:lang w:val="en-US"/>
              </w:rPr>
              <w:t>%</w:t>
            </w:r>
            <w:r>
              <w:rPr>
                <w:rFonts w:ascii="Times New Roman" w:hAnsi="Times New Roman"/>
                <w:sz w:val="18"/>
                <w:szCs w:val="18"/>
              </w:rPr>
              <w:t>*</w:t>
            </w:r>
          </w:p>
        </w:tc>
        <w:tc>
          <w:tcPr>
            <w:tcW w:w="367" w:type="pct"/>
            <w:shd w:val="clear" w:color="000000" w:fill="FFFFFF"/>
            <w:vAlign w:val="center"/>
          </w:tcPr>
          <w:p w14:paraId="55385703" w14:textId="77777777" w:rsidR="00E44B76" w:rsidRPr="00E44B76" w:rsidRDefault="00E44B76" w:rsidP="00E44B76">
            <w:pPr>
              <w:spacing w:after="0" w:line="240" w:lineRule="auto"/>
              <w:jc w:val="center"/>
              <w:rPr>
                <w:rFonts w:ascii="Times New Roman" w:hAnsi="Times New Roman"/>
                <w:sz w:val="18"/>
                <w:szCs w:val="18"/>
              </w:rPr>
            </w:pPr>
            <w:r w:rsidRPr="00B0658A">
              <w:rPr>
                <w:rFonts w:ascii="Times New Roman" w:hAnsi="Times New Roman"/>
                <w:sz w:val="18"/>
                <w:szCs w:val="18"/>
              </w:rPr>
              <w:t>70</w:t>
            </w:r>
            <w:r w:rsidRPr="00B0658A">
              <w:rPr>
                <w:rFonts w:ascii="Times New Roman" w:hAnsi="Times New Roman"/>
                <w:sz w:val="18"/>
                <w:szCs w:val="18"/>
                <w:lang w:val="en-US"/>
              </w:rPr>
              <w:t>%</w:t>
            </w:r>
            <w:r>
              <w:rPr>
                <w:rFonts w:ascii="Times New Roman" w:hAnsi="Times New Roman"/>
                <w:sz w:val="18"/>
                <w:szCs w:val="18"/>
              </w:rPr>
              <w:t>*</w:t>
            </w:r>
          </w:p>
        </w:tc>
        <w:tc>
          <w:tcPr>
            <w:tcW w:w="367" w:type="pct"/>
            <w:shd w:val="clear" w:color="000000" w:fill="FFFFFF"/>
            <w:vAlign w:val="center"/>
          </w:tcPr>
          <w:p w14:paraId="6D6EE96D" w14:textId="77777777" w:rsidR="00E44B76" w:rsidRPr="00E44B76" w:rsidRDefault="00E44B76" w:rsidP="00E44B76">
            <w:pPr>
              <w:spacing w:after="0" w:line="240" w:lineRule="auto"/>
              <w:jc w:val="center"/>
              <w:rPr>
                <w:rFonts w:ascii="Times New Roman" w:hAnsi="Times New Roman"/>
                <w:sz w:val="18"/>
                <w:szCs w:val="18"/>
              </w:rPr>
            </w:pPr>
            <w:r w:rsidRPr="00B0658A">
              <w:rPr>
                <w:rFonts w:ascii="Times New Roman" w:hAnsi="Times New Roman"/>
                <w:sz w:val="18"/>
                <w:szCs w:val="18"/>
              </w:rPr>
              <w:t>8</w:t>
            </w:r>
            <w:r w:rsidRPr="00B0658A">
              <w:rPr>
                <w:rFonts w:ascii="Times New Roman" w:hAnsi="Times New Roman"/>
                <w:sz w:val="18"/>
                <w:szCs w:val="18"/>
                <w:lang w:val="en-US"/>
              </w:rPr>
              <w:t>0%</w:t>
            </w:r>
            <w:r>
              <w:rPr>
                <w:rFonts w:ascii="Times New Roman" w:hAnsi="Times New Roman"/>
                <w:sz w:val="18"/>
                <w:szCs w:val="18"/>
              </w:rPr>
              <w:t>*</w:t>
            </w:r>
          </w:p>
        </w:tc>
        <w:tc>
          <w:tcPr>
            <w:tcW w:w="379" w:type="pct"/>
            <w:shd w:val="clear" w:color="000000" w:fill="FFFFFF"/>
            <w:vAlign w:val="center"/>
          </w:tcPr>
          <w:p w14:paraId="52FDE48C" w14:textId="77777777" w:rsidR="00E44B76" w:rsidRPr="00B0658A" w:rsidRDefault="00E44B76" w:rsidP="00E44B76">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7" w:type="pct"/>
            <w:shd w:val="clear" w:color="000000" w:fill="FFFFFF"/>
            <w:vAlign w:val="center"/>
          </w:tcPr>
          <w:p w14:paraId="7135A2B4" w14:textId="77777777" w:rsidR="00E44B76" w:rsidRPr="00B0658A" w:rsidRDefault="00E44B76" w:rsidP="00E44B76">
            <w:pPr>
              <w:spacing w:after="0" w:line="240" w:lineRule="auto"/>
              <w:jc w:val="center"/>
              <w:rPr>
                <w:rFonts w:ascii="Times New Roman" w:hAnsi="Times New Roman"/>
                <w:sz w:val="18"/>
                <w:szCs w:val="18"/>
              </w:rPr>
            </w:pPr>
            <w:r w:rsidRPr="00D73B93">
              <w:rPr>
                <w:rFonts w:ascii="Times New Roman" w:hAnsi="Times New Roman"/>
                <w:sz w:val="18"/>
                <w:szCs w:val="18"/>
                <w:lang w:val="en-US"/>
              </w:rPr>
              <w:t>100%</w:t>
            </w:r>
          </w:p>
        </w:tc>
        <w:tc>
          <w:tcPr>
            <w:tcW w:w="367" w:type="pct"/>
            <w:shd w:val="clear" w:color="000000" w:fill="FFFFFF"/>
            <w:vAlign w:val="center"/>
          </w:tcPr>
          <w:p w14:paraId="31AFB70C" w14:textId="77777777" w:rsidR="00E44B76" w:rsidRPr="00B0658A" w:rsidRDefault="00E44B76" w:rsidP="00E44B76">
            <w:pPr>
              <w:spacing w:after="0" w:line="240" w:lineRule="auto"/>
              <w:jc w:val="center"/>
              <w:rPr>
                <w:rFonts w:ascii="Times New Roman" w:hAnsi="Times New Roman"/>
                <w:sz w:val="18"/>
                <w:szCs w:val="18"/>
              </w:rPr>
            </w:pPr>
            <w:r w:rsidRPr="00B0658A">
              <w:rPr>
                <w:rFonts w:ascii="Times New Roman" w:hAnsi="Times New Roman"/>
                <w:sz w:val="18"/>
                <w:szCs w:val="18"/>
              </w:rPr>
              <w:t>100</w:t>
            </w:r>
            <w:r w:rsidRPr="00B0658A">
              <w:rPr>
                <w:rFonts w:ascii="Times New Roman" w:hAnsi="Times New Roman"/>
                <w:sz w:val="18"/>
                <w:szCs w:val="18"/>
                <w:lang w:val="en-US"/>
              </w:rPr>
              <w:t>%</w:t>
            </w:r>
          </w:p>
        </w:tc>
        <w:tc>
          <w:tcPr>
            <w:tcW w:w="364" w:type="pct"/>
            <w:shd w:val="clear" w:color="000000" w:fill="FFFFFF"/>
            <w:vAlign w:val="center"/>
          </w:tcPr>
          <w:p w14:paraId="3D0E1150" w14:textId="77777777" w:rsidR="00E44B76" w:rsidRPr="00B0658A" w:rsidRDefault="00E44B76" w:rsidP="00E44B76">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E44B76" w:rsidRPr="00B0658A" w14:paraId="26F0451C" w14:textId="77777777" w:rsidTr="00FE71B1">
        <w:trPr>
          <w:trHeight w:val="20"/>
        </w:trPr>
        <w:tc>
          <w:tcPr>
            <w:tcW w:w="342" w:type="pct"/>
            <w:shd w:val="clear" w:color="000000" w:fill="FFFFFF"/>
            <w:vAlign w:val="center"/>
          </w:tcPr>
          <w:p w14:paraId="262C9419" w14:textId="77777777" w:rsidR="00E44B76" w:rsidRPr="00B0658A" w:rsidRDefault="00E44B76" w:rsidP="00FE71B1">
            <w:pPr>
              <w:spacing w:after="0" w:line="240" w:lineRule="auto"/>
              <w:jc w:val="center"/>
              <w:rPr>
                <w:rFonts w:ascii="Times New Roman" w:hAnsi="Times New Roman"/>
                <w:sz w:val="18"/>
                <w:szCs w:val="18"/>
              </w:rPr>
            </w:pPr>
            <w:r w:rsidRPr="00B0658A">
              <w:rPr>
                <w:rFonts w:ascii="Times New Roman" w:hAnsi="Times New Roman"/>
                <w:sz w:val="18"/>
                <w:szCs w:val="18"/>
              </w:rPr>
              <w:t>6.7</w:t>
            </w:r>
          </w:p>
        </w:tc>
        <w:tc>
          <w:tcPr>
            <w:tcW w:w="1182" w:type="pct"/>
            <w:shd w:val="clear" w:color="auto" w:fill="auto"/>
            <w:vAlign w:val="center"/>
          </w:tcPr>
          <w:p w14:paraId="173A4E9D" w14:textId="77777777" w:rsidR="00E44B76" w:rsidRPr="00B0658A" w:rsidRDefault="00E44B76" w:rsidP="00E44B76">
            <w:pPr>
              <w:spacing w:after="0" w:line="240" w:lineRule="auto"/>
              <w:rPr>
                <w:rFonts w:ascii="Times New Roman" w:hAnsi="Times New Roman"/>
                <w:sz w:val="18"/>
                <w:szCs w:val="18"/>
              </w:rPr>
            </w:pPr>
            <w:r w:rsidRPr="00B0658A">
              <w:rPr>
                <w:rFonts w:ascii="Times New Roman" w:hAnsi="Times New Roman"/>
                <w:sz w:val="18"/>
                <w:szCs w:val="18"/>
              </w:rPr>
              <w:t>Офисные приложения/ Браузеры</w:t>
            </w:r>
          </w:p>
        </w:tc>
        <w:tc>
          <w:tcPr>
            <w:tcW w:w="898" w:type="pct"/>
            <w:shd w:val="clear" w:color="000000" w:fill="FFFFFF"/>
          </w:tcPr>
          <w:p w14:paraId="32E6941C" w14:textId="77777777" w:rsidR="00E44B76" w:rsidRPr="00B0658A" w:rsidRDefault="00E44B76" w:rsidP="00E44B76">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7" w:type="pct"/>
            <w:shd w:val="clear" w:color="000000" w:fill="FFFFFF"/>
            <w:vAlign w:val="center"/>
          </w:tcPr>
          <w:p w14:paraId="52CCBD0E" w14:textId="77777777" w:rsidR="00E44B76" w:rsidRPr="00B0658A" w:rsidRDefault="00E44B76" w:rsidP="00E44B76">
            <w:pPr>
              <w:spacing w:after="0" w:line="240" w:lineRule="auto"/>
              <w:jc w:val="center"/>
              <w:rPr>
                <w:rFonts w:ascii="Times New Roman" w:hAnsi="Times New Roman"/>
                <w:sz w:val="18"/>
                <w:szCs w:val="18"/>
              </w:rPr>
            </w:pPr>
            <w:r w:rsidRPr="00B0658A">
              <w:rPr>
                <w:rFonts w:ascii="Times New Roman" w:hAnsi="Times New Roman"/>
                <w:sz w:val="18"/>
                <w:szCs w:val="18"/>
              </w:rPr>
              <w:t>50%</w:t>
            </w:r>
            <w:r>
              <w:rPr>
                <w:rFonts w:ascii="Times New Roman" w:hAnsi="Times New Roman"/>
                <w:sz w:val="18"/>
                <w:szCs w:val="18"/>
              </w:rPr>
              <w:t>*</w:t>
            </w:r>
          </w:p>
        </w:tc>
        <w:tc>
          <w:tcPr>
            <w:tcW w:w="367" w:type="pct"/>
            <w:shd w:val="clear" w:color="000000" w:fill="FFFFFF"/>
            <w:vAlign w:val="center"/>
          </w:tcPr>
          <w:p w14:paraId="137D957C" w14:textId="77777777" w:rsidR="00E44B76" w:rsidRPr="00E44B76" w:rsidRDefault="00E44B76" w:rsidP="00E44B76">
            <w:pPr>
              <w:spacing w:after="0" w:line="240" w:lineRule="auto"/>
              <w:jc w:val="center"/>
              <w:rPr>
                <w:rFonts w:ascii="Times New Roman" w:hAnsi="Times New Roman"/>
                <w:sz w:val="18"/>
                <w:szCs w:val="18"/>
              </w:rPr>
            </w:pPr>
            <w:r w:rsidRPr="00B0658A">
              <w:rPr>
                <w:rFonts w:ascii="Times New Roman" w:hAnsi="Times New Roman"/>
                <w:sz w:val="18"/>
                <w:szCs w:val="18"/>
              </w:rPr>
              <w:t>65</w:t>
            </w:r>
            <w:r w:rsidRPr="00B0658A">
              <w:rPr>
                <w:rFonts w:ascii="Times New Roman" w:hAnsi="Times New Roman"/>
                <w:sz w:val="18"/>
                <w:szCs w:val="18"/>
                <w:lang w:val="en-US"/>
              </w:rPr>
              <w:t>%</w:t>
            </w:r>
            <w:r>
              <w:rPr>
                <w:rFonts w:ascii="Times New Roman" w:hAnsi="Times New Roman"/>
                <w:sz w:val="18"/>
                <w:szCs w:val="18"/>
              </w:rPr>
              <w:t>*</w:t>
            </w:r>
          </w:p>
        </w:tc>
        <w:tc>
          <w:tcPr>
            <w:tcW w:w="367" w:type="pct"/>
            <w:shd w:val="clear" w:color="000000" w:fill="FFFFFF"/>
            <w:vAlign w:val="center"/>
          </w:tcPr>
          <w:p w14:paraId="53DC6FE4" w14:textId="77777777" w:rsidR="00E44B76" w:rsidRPr="00E44B76" w:rsidRDefault="00E44B76" w:rsidP="00E44B76">
            <w:pPr>
              <w:spacing w:after="0" w:line="240" w:lineRule="auto"/>
              <w:jc w:val="center"/>
              <w:rPr>
                <w:rFonts w:ascii="Times New Roman" w:hAnsi="Times New Roman"/>
                <w:sz w:val="18"/>
                <w:szCs w:val="18"/>
              </w:rPr>
            </w:pPr>
            <w:r w:rsidRPr="00B0658A">
              <w:rPr>
                <w:rFonts w:ascii="Times New Roman" w:hAnsi="Times New Roman"/>
                <w:sz w:val="18"/>
                <w:szCs w:val="18"/>
              </w:rPr>
              <w:t>80</w:t>
            </w:r>
            <w:r w:rsidRPr="00B0658A">
              <w:rPr>
                <w:rFonts w:ascii="Times New Roman" w:hAnsi="Times New Roman"/>
                <w:sz w:val="18"/>
                <w:szCs w:val="18"/>
                <w:lang w:val="en-US"/>
              </w:rPr>
              <w:t>%</w:t>
            </w:r>
            <w:r>
              <w:rPr>
                <w:rFonts w:ascii="Times New Roman" w:hAnsi="Times New Roman"/>
                <w:sz w:val="18"/>
                <w:szCs w:val="18"/>
              </w:rPr>
              <w:t>*</w:t>
            </w:r>
          </w:p>
        </w:tc>
        <w:tc>
          <w:tcPr>
            <w:tcW w:w="379" w:type="pct"/>
            <w:shd w:val="clear" w:color="000000" w:fill="FFFFFF"/>
            <w:vAlign w:val="center"/>
          </w:tcPr>
          <w:p w14:paraId="4ABD605C" w14:textId="77777777" w:rsidR="00E44B76" w:rsidRPr="00B0658A" w:rsidRDefault="00E44B76" w:rsidP="00E44B76">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7" w:type="pct"/>
            <w:shd w:val="clear" w:color="000000" w:fill="FFFFFF"/>
            <w:vAlign w:val="center"/>
          </w:tcPr>
          <w:p w14:paraId="5E267DCA" w14:textId="77777777" w:rsidR="00E44B76" w:rsidRPr="00B0658A" w:rsidRDefault="00E44B76" w:rsidP="00E44B76">
            <w:pPr>
              <w:spacing w:after="0" w:line="240" w:lineRule="auto"/>
              <w:jc w:val="center"/>
              <w:rPr>
                <w:rFonts w:ascii="Times New Roman" w:hAnsi="Times New Roman"/>
                <w:sz w:val="18"/>
                <w:szCs w:val="18"/>
              </w:rPr>
            </w:pPr>
            <w:r w:rsidRPr="00D73B93">
              <w:rPr>
                <w:rFonts w:ascii="Times New Roman" w:hAnsi="Times New Roman"/>
                <w:sz w:val="18"/>
                <w:szCs w:val="18"/>
                <w:lang w:val="en-US"/>
              </w:rPr>
              <w:t>100%</w:t>
            </w:r>
          </w:p>
        </w:tc>
        <w:tc>
          <w:tcPr>
            <w:tcW w:w="367" w:type="pct"/>
            <w:shd w:val="clear" w:color="000000" w:fill="FFFFFF"/>
            <w:vAlign w:val="center"/>
          </w:tcPr>
          <w:p w14:paraId="05B49C75" w14:textId="77777777" w:rsidR="00E44B76" w:rsidRPr="00B0658A" w:rsidRDefault="00E44B76" w:rsidP="00E44B76">
            <w:pPr>
              <w:spacing w:after="0" w:line="240" w:lineRule="auto"/>
              <w:jc w:val="center"/>
              <w:rPr>
                <w:rFonts w:ascii="Times New Roman" w:hAnsi="Times New Roman"/>
                <w:sz w:val="18"/>
                <w:szCs w:val="18"/>
              </w:rPr>
            </w:pPr>
            <w:r w:rsidRPr="00B0658A">
              <w:rPr>
                <w:rFonts w:ascii="Times New Roman" w:hAnsi="Times New Roman"/>
                <w:sz w:val="18"/>
                <w:szCs w:val="18"/>
              </w:rPr>
              <w:t>100</w:t>
            </w:r>
            <w:r w:rsidRPr="00B0658A">
              <w:rPr>
                <w:rFonts w:ascii="Times New Roman" w:hAnsi="Times New Roman"/>
                <w:sz w:val="18"/>
                <w:szCs w:val="18"/>
                <w:lang w:val="en-US"/>
              </w:rPr>
              <w:t>%</w:t>
            </w:r>
          </w:p>
        </w:tc>
        <w:tc>
          <w:tcPr>
            <w:tcW w:w="364" w:type="pct"/>
            <w:shd w:val="clear" w:color="000000" w:fill="FFFFFF"/>
            <w:vAlign w:val="center"/>
          </w:tcPr>
          <w:p w14:paraId="7CE2E175" w14:textId="77777777" w:rsidR="00E44B76" w:rsidRPr="00B0658A" w:rsidRDefault="00E44B76" w:rsidP="00E44B76">
            <w:pPr>
              <w:spacing w:after="0" w:line="240" w:lineRule="auto"/>
              <w:jc w:val="center"/>
              <w:rPr>
                <w:rFonts w:ascii="Times New Roman" w:hAnsi="Times New Roman"/>
                <w:sz w:val="18"/>
                <w:szCs w:val="18"/>
              </w:rPr>
            </w:pPr>
            <w:r w:rsidRPr="00B0658A">
              <w:rPr>
                <w:rFonts w:ascii="Times New Roman" w:hAnsi="Times New Roman"/>
                <w:sz w:val="18"/>
                <w:szCs w:val="18"/>
              </w:rPr>
              <w:t>100</w:t>
            </w:r>
            <w:r w:rsidRPr="00B0658A">
              <w:rPr>
                <w:rFonts w:ascii="Times New Roman" w:hAnsi="Times New Roman"/>
                <w:sz w:val="18"/>
                <w:szCs w:val="18"/>
                <w:lang w:val="en-US"/>
              </w:rPr>
              <w:t>%</w:t>
            </w:r>
          </w:p>
        </w:tc>
      </w:tr>
      <w:tr w:rsidR="00E44B76" w:rsidRPr="00B0658A" w14:paraId="162DEE42" w14:textId="77777777" w:rsidTr="00FE71B1">
        <w:trPr>
          <w:trHeight w:val="20"/>
        </w:trPr>
        <w:tc>
          <w:tcPr>
            <w:tcW w:w="342" w:type="pct"/>
            <w:shd w:val="clear" w:color="000000" w:fill="FFFFFF"/>
            <w:vAlign w:val="center"/>
          </w:tcPr>
          <w:p w14:paraId="6A980388" w14:textId="77777777" w:rsidR="00E44B76" w:rsidRPr="00B0658A" w:rsidRDefault="00E44B76" w:rsidP="00FE71B1">
            <w:pPr>
              <w:spacing w:after="0" w:line="240" w:lineRule="auto"/>
              <w:jc w:val="center"/>
              <w:rPr>
                <w:rFonts w:ascii="Times New Roman" w:hAnsi="Times New Roman"/>
                <w:sz w:val="18"/>
                <w:szCs w:val="18"/>
              </w:rPr>
            </w:pPr>
            <w:r w:rsidRPr="00B0658A">
              <w:rPr>
                <w:rFonts w:ascii="Times New Roman" w:hAnsi="Times New Roman"/>
                <w:sz w:val="18"/>
                <w:szCs w:val="18"/>
              </w:rPr>
              <w:t>6.8</w:t>
            </w:r>
          </w:p>
        </w:tc>
        <w:tc>
          <w:tcPr>
            <w:tcW w:w="1182" w:type="pct"/>
            <w:shd w:val="clear" w:color="auto" w:fill="auto"/>
            <w:vAlign w:val="center"/>
          </w:tcPr>
          <w:p w14:paraId="64CC79BB" w14:textId="77777777" w:rsidR="00E44B76" w:rsidRPr="00B0658A" w:rsidRDefault="00E44B76" w:rsidP="00E44B76">
            <w:pPr>
              <w:spacing w:after="0" w:line="240" w:lineRule="auto"/>
              <w:rPr>
                <w:rFonts w:ascii="Times New Roman" w:hAnsi="Times New Roman"/>
                <w:sz w:val="18"/>
                <w:szCs w:val="18"/>
              </w:rPr>
            </w:pPr>
            <w:r w:rsidRPr="00B0658A">
              <w:rPr>
                <w:rFonts w:ascii="Times New Roman" w:hAnsi="Times New Roman"/>
                <w:sz w:val="18"/>
                <w:szCs w:val="18"/>
              </w:rPr>
              <w:t>Офисные приложения/ Редакторы мультимедиа</w:t>
            </w:r>
          </w:p>
        </w:tc>
        <w:tc>
          <w:tcPr>
            <w:tcW w:w="898" w:type="pct"/>
            <w:shd w:val="clear" w:color="000000" w:fill="FFFFFF"/>
          </w:tcPr>
          <w:p w14:paraId="1366E868" w14:textId="77777777" w:rsidR="00E44B76" w:rsidRPr="00B0658A" w:rsidRDefault="00E44B76" w:rsidP="00E44B76">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7" w:type="pct"/>
            <w:shd w:val="clear" w:color="000000" w:fill="FFFFFF"/>
            <w:vAlign w:val="center"/>
          </w:tcPr>
          <w:p w14:paraId="6DEE9FB7" w14:textId="77777777" w:rsidR="00E44B76" w:rsidRPr="00E44B76" w:rsidRDefault="00E44B76" w:rsidP="00E44B76">
            <w:pPr>
              <w:spacing w:after="0" w:line="240" w:lineRule="auto"/>
              <w:jc w:val="center"/>
              <w:rPr>
                <w:rFonts w:ascii="Times New Roman" w:hAnsi="Times New Roman"/>
                <w:sz w:val="18"/>
                <w:szCs w:val="18"/>
              </w:rPr>
            </w:pPr>
            <w:r w:rsidRPr="00B0658A">
              <w:rPr>
                <w:rFonts w:ascii="Times New Roman" w:hAnsi="Times New Roman"/>
                <w:sz w:val="18"/>
                <w:szCs w:val="18"/>
              </w:rPr>
              <w:t>60</w:t>
            </w:r>
            <w:r w:rsidRPr="00B0658A">
              <w:rPr>
                <w:rFonts w:ascii="Times New Roman" w:hAnsi="Times New Roman"/>
                <w:sz w:val="18"/>
                <w:szCs w:val="18"/>
                <w:lang w:val="en-US"/>
              </w:rPr>
              <w:t>%</w:t>
            </w:r>
            <w:r>
              <w:rPr>
                <w:rFonts w:ascii="Times New Roman" w:hAnsi="Times New Roman"/>
                <w:sz w:val="18"/>
                <w:szCs w:val="18"/>
              </w:rPr>
              <w:t>*</w:t>
            </w:r>
          </w:p>
        </w:tc>
        <w:tc>
          <w:tcPr>
            <w:tcW w:w="367" w:type="pct"/>
            <w:shd w:val="clear" w:color="000000" w:fill="FFFFFF"/>
            <w:vAlign w:val="center"/>
          </w:tcPr>
          <w:p w14:paraId="767229AF" w14:textId="77777777" w:rsidR="00E44B76" w:rsidRPr="00E44B76" w:rsidRDefault="00E44B76" w:rsidP="00E44B76">
            <w:pPr>
              <w:spacing w:after="0" w:line="240" w:lineRule="auto"/>
              <w:jc w:val="center"/>
              <w:rPr>
                <w:rFonts w:ascii="Times New Roman" w:hAnsi="Times New Roman"/>
                <w:sz w:val="18"/>
                <w:szCs w:val="18"/>
              </w:rPr>
            </w:pPr>
            <w:r w:rsidRPr="00B0658A">
              <w:rPr>
                <w:rFonts w:ascii="Times New Roman" w:hAnsi="Times New Roman"/>
                <w:sz w:val="18"/>
                <w:szCs w:val="18"/>
              </w:rPr>
              <w:t>70</w:t>
            </w:r>
            <w:r w:rsidRPr="00B0658A">
              <w:rPr>
                <w:rFonts w:ascii="Times New Roman" w:hAnsi="Times New Roman"/>
                <w:sz w:val="18"/>
                <w:szCs w:val="18"/>
                <w:lang w:val="en-US"/>
              </w:rPr>
              <w:t>%</w:t>
            </w:r>
            <w:r>
              <w:rPr>
                <w:rFonts w:ascii="Times New Roman" w:hAnsi="Times New Roman"/>
                <w:sz w:val="18"/>
                <w:szCs w:val="18"/>
              </w:rPr>
              <w:t>*</w:t>
            </w:r>
          </w:p>
        </w:tc>
        <w:tc>
          <w:tcPr>
            <w:tcW w:w="367" w:type="pct"/>
            <w:shd w:val="clear" w:color="000000" w:fill="FFFFFF"/>
            <w:vAlign w:val="center"/>
          </w:tcPr>
          <w:p w14:paraId="14B628AC" w14:textId="77777777" w:rsidR="00E44B76" w:rsidRPr="00E44B76" w:rsidRDefault="00E44B76" w:rsidP="00E44B76">
            <w:pPr>
              <w:spacing w:after="0" w:line="240" w:lineRule="auto"/>
              <w:jc w:val="center"/>
              <w:rPr>
                <w:rFonts w:ascii="Times New Roman" w:hAnsi="Times New Roman"/>
                <w:sz w:val="18"/>
                <w:szCs w:val="18"/>
              </w:rPr>
            </w:pPr>
            <w:r w:rsidRPr="00B0658A">
              <w:rPr>
                <w:rFonts w:ascii="Times New Roman" w:hAnsi="Times New Roman"/>
                <w:sz w:val="18"/>
                <w:szCs w:val="18"/>
              </w:rPr>
              <w:t>8</w:t>
            </w:r>
            <w:r w:rsidRPr="00B0658A">
              <w:rPr>
                <w:rFonts w:ascii="Times New Roman" w:hAnsi="Times New Roman"/>
                <w:sz w:val="18"/>
                <w:szCs w:val="18"/>
                <w:lang w:val="en-US"/>
              </w:rPr>
              <w:t>0%</w:t>
            </w:r>
            <w:r>
              <w:rPr>
                <w:rFonts w:ascii="Times New Roman" w:hAnsi="Times New Roman"/>
                <w:sz w:val="18"/>
                <w:szCs w:val="18"/>
              </w:rPr>
              <w:t>*</w:t>
            </w:r>
          </w:p>
        </w:tc>
        <w:tc>
          <w:tcPr>
            <w:tcW w:w="379" w:type="pct"/>
            <w:shd w:val="clear" w:color="000000" w:fill="FFFFFF"/>
            <w:vAlign w:val="center"/>
          </w:tcPr>
          <w:p w14:paraId="2B42F8F8" w14:textId="77777777" w:rsidR="00E44B76" w:rsidRPr="00B0658A" w:rsidRDefault="00E44B76" w:rsidP="00E44B76">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7" w:type="pct"/>
            <w:shd w:val="clear" w:color="000000" w:fill="FFFFFF"/>
            <w:vAlign w:val="center"/>
          </w:tcPr>
          <w:p w14:paraId="43561B8F" w14:textId="77777777" w:rsidR="00E44B76" w:rsidRPr="00B0658A" w:rsidRDefault="00E44B76" w:rsidP="00E44B76">
            <w:pPr>
              <w:spacing w:after="0" w:line="240" w:lineRule="auto"/>
              <w:jc w:val="center"/>
              <w:rPr>
                <w:rFonts w:ascii="Times New Roman" w:hAnsi="Times New Roman"/>
                <w:sz w:val="18"/>
                <w:szCs w:val="18"/>
              </w:rPr>
            </w:pPr>
            <w:r w:rsidRPr="00D73B93">
              <w:rPr>
                <w:rFonts w:ascii="Times New Roman" w:hAnsi="Times New Roman"/>
                <w:sz w:val="18"/>
                <w:szCs w:val="18"/>
                <w:lang w:val="en-US"/>
              </w:rPr>
              <w:t>100%</w:t>
            </w:r>
          </w:p>
        </w:tc>
        <w:tc>
          <w:tcPr>
            <w:tcW w:w="367" w:type="pct"/>
            <w:shd w:val="clear" w:color="000000" w:fill="FFFFFF"/>
            <w:vAlign w:val="center"/>
          </w:tcPr>
          <w:p w14:paraId="596C1224" w14:textId="77777777" w:rsidR="00E44B76" w:rsidRPr="00B0658A" w:rsidRDefault="00E44B76" w:rsidP="00E44B76">
            <w:pPr>
              <w:spacing w:after="0" w:line="240" w:lineRule="auto"/>
              <w:jc w:val="center"/>
              <w:rPr>
                <w:rFonts w:ascii="Times New Roman" w:hAnsi="Times New Roman"/>
                <w:sz w:val="18"/>
                <w:szCs w:val="18"/>
              </w:rPr>
            </w:pPr>
            <w:r w:rsidRPr="00B0658A">
              <w:rPr>
                <w:rFonts w:ascii="Times New Roman" w:hAnsi="Times New Roman"/>
                <w:sz w:val="18"/>
                <w:szCs w:val="18"/>
              </w:rPr>
              <w:t>100</w:t>
            </w:r>
            <w:r w:rsidRPr="00B0658A">
              <w:rPr>
                <w:rFonts w:ascii="Times New Roman" w:hAnsi="Times New Roman"/>
                <w:sz w:val="18"/>
                <w:szCs w:val="18"/>
                <w:lang w:val="en-US"/>
              </w:rPr>
              <w:t>%</w:t>
            </w:r>
          </w:p>
        </w:tc>
        <w:tc>
          <w:tcPr>
            <w:tcW w:w="364" w:type="pct"/>
            <w:shd w:val="clear" w:color="000000" w:fill="FFFFFF"/>
            <w:vAlign w:val="center"/>
          </w:tcPr>
          <w:p w14:paraId="2200DD13" w14:textId="77777777" w:rsidR="00E44B76" w:rsidRPr="00B0658A" w:rsidRDefault="00E44B76" w:rsidP="00E44B76">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E44B76" w:rsidRPr="00B0658A" w14:paraId="48C22881" w14:textId="77777777" w:rsidTr="00FE71B1">
        <w:trPr>
          <w:trHeight w:val="20"/>
        </w:trPr>
        <w:tc>
          <w:tcPr>
            <w:tcW w:w="342" w:type="pct"/>
            <w:shd w:val="clear" w:color="000000" w:fill="FFFFFF"/>
            <w:vAlign w:val="center"/>
          </w:tcPr>
          <w:p w14:paraId="7B1A10F8" w14:textId="77777777" w:rsidR="00E44B76" w:rsidRPr="00B0658A" w:rsidRDefault="00E44B76" w:rsidP="00FE71B1">
            <w:pPr>
              <w:spacing w:after="0" w:line="240" w:lineRule="auto"/>
              <w:jc w:val="center"/>
              <w:rPr>
                <w:rFonts w:ascii="Times New Roman" w:hAnsi="Times New Roman"/>
                <w:sz w:val="18"/>
                <w:szCs w:val="18"/>
              </w:rPr>
            </w:pPr>
            <w:r w:rsidRPr="00B0658A">
              <w:rPr>
                <w:rFonts w:ascii="Times New Roman" w:hAnsi="Times New Roman"/>
                <w:sz w:val="18"/>
                <w:szCs w:val="18"/>
              </w:rPr>
              <w:t>6.9</w:t>
            </w:r>
          </w:p>
        </w:tc>
        <w:tc>
          <w:tcPr>
            <w:tcW w:w="1182" w:type="pct"/>
            <w:shd w:val="clear" w:color="auto" w:fill="auto"/>
            <w:vAlign w:val="center"/>
          </w:tcPr>
          <w:p w14:paraId="320A06BC" w14:textId="77777777" w:rsidR="00E44B76" w:rsidRPr="00B0658A" w:rsidRDefault="00E44B76" w:rsidP="00E44B76">
            <w:pPr>
              <w:spacing w:after="0" w:line="240" w:lineRule="auto"/>
              <w:rPr>
                <w:rFonts w:ascii="Times New Roman" w:hAnsi="Times New Roman"/>
                <w:sz w:val="18"/>
                <w:szCs w:val="18"/>
              </w:rPr>
            </w:pPr>
            <w:r w:rsidRPr="00B0658A">
              <w:rPr>
                <w:rFonts w:ascii="Times New Roman" w:hAnsi="Times New Roman"/>
                <w:sz w:val="18"/>
                <w:szCs w:val="18"/>
              </w:rPr>
              <w:t>Офисные приложения/ Редакторы презентаций</w:t>
            </w:r>
          </w:p>
        </w:tc>
        <w:tc>
          <w:tcPr>
            <w:tcW w:w="898" w:type="pct"/>
            <w:shd w:val="clear" w:color="000000" w:fill="FFFFFF"/>
          </w:tcPr>
          <w:p w14:paraId="45B131E3" w14:textId="77777777" w:rsidR="00E44B76" w:rsidRPr="00B0658A" w:rsidRDefault="00E44B76" w:rsidP="00E44B76">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7" w:type="pct"/>
            <w:shd w:val="clear" w:color="000000" w:fill="FFFFFF"/>
            <w:vAlign w:val="center"/>
          </w:tcPr>
          <w:p w14:paraId="39D3B844" w14:textId="77777777" w:rsidR="00E44B76" w:rsidRPr="00B0658A" w:rsidRDefault="00E44B76" w:rsidP="00E44B76">
            <w:pPr>
              <w:spacing w:after="0" w:line="240" w:lineRule="auto"/>
              <w:jc w:val="center"/>
              <w:rPr>
                <w:rFonts w:ascii="Times New Roman" w:hAnsi="Times New Roman"/>
                <w:sz w:val="18"/>
                <w:szCs w:val="18"/>
              </w:rPr>
            </w:pPr>
            <w:r w:rsidRPr="00B0658A">
              <w:rPr>
                <w:rFonts w:ascii="Times New Roman" w:hAnsi="Times New Roman"/>
                <w:sz w:val="18"/>
                <w:szCs w:val="18"/>
              </w:rPr>
              <w:t>60</w:t>
            </w:r>
            <w:r w:rsidRPr="00B0658A">
              <w:rPr>
                <w:rFonts w:ascii="Times New Roman" w:hAnsi="Times New Roman"/>
                <w:sz w:val="18"/>
                <w:szCs w:val="18"/>
                <w:lang w:val="en-US"/>
              </w:rPr>
              <w:t>%</w:t>
            </w:r>
            <w:r>
              <w:rPr>
                <w:rFonts w:ascii="Times New Roman" w:hAnsi="Times New Roman"/>
                <w:sz w:val="18"/>
                <w:szCs w:val="18"/>
              </w:rPr>
              <w:t>*</w:t>
            </w:r>
          </w:p>
        </w:tc>
        <w:tc>
          <w:tcPr>
            <w:tcW w:w="367" w:type="pct"/>
            <w:shd w:val="clear" w:color="000000" w:fill="FFFFFF"/>
            <w:vAlign w:val="center"/>
          </w:tcPr>
          <w:p w14:paraId="0A50EAA3" w14:textId="77777777" w:rsidR="00E44B76" w:rsidRPr="00B0658A" w:rsidRDefault="00E44B76" w:rsidP="00E44B76">
            <w:pPr>
              <w:spacing w:after="0" w:line="240" w:lineRule="auto"/>
              <w:jc w:val="center"/>
              <w:rPr>
                <w:rFonts w:ascii="Times New Roman" w:hAnsi="Times New Roman"/>
                <w:sz w:val="18"/>
                <w:szCs w:val="18"/>
              </w:rPr>
            </w:pPr>
            <w:r w:rsidRPr="00B0658A">
              <w:rPr>
                <w:rFonts w:ascii="Times New Roman" w:hAnsi="Times New Roman"/>
                <w:sz w:val="18"/>
                <w:szCs w:val="18"/>
              </w:rPr>
              <w:t>70</w:t>
            </w:r>
            <w:r w:rsidRPr="00B0658A">
              <w:rPr>
                <w:rFonts w:ascii="Times New Roman" w:hAnsi="Times New Roman"/>
                <w:sz w:val="18"/>
                <w:szCs w:val="18"/>
                <w:lang w:val="en-US"/>
              </w:rPr>
              <w:t>%</w:t>
            </w:r>
            <w:r>
              <w:rPr>
                <w:rFonts w:ascii="Times New Roman" w:hAnsi="Times New Roman"/>
                <w:sz w:val="18"/>
                <w:szCs w:val="18"/>
              </w:rPr>
              <w:t>*</w:t>
            </w:r>
          </w:p>
        </w:tc>
        <w:tc>
          <w:tcPr>
            <w:tcW w:w="367" w:type="pct"/>
            <w:shd w:val="clear" w:color="000000" w:fill="FFFFFF"/>
            <w:vAlign w:val="center"/>
          </w:tcPr>
          <w:p w14:paraId="5D463233" w14:textId="77777777" w:rsidR="00E44B76" w:rsidRPr="00B0658A" w:rsidRDefault="00E44B76" w:rsidP="00E44B76">
            <w:pPr>
              <w:spacing w:after="0" w:line="240" w:lineRule="auto"/>
              <w:jc w:val="center"/>
              <w:rPr>
                <w:rFonts w:ascii="Times New Roman" w:hAnsi="Times New Roman"/>
                <w:sz w:val="18"/>
                <w:szCs w:val="18"/>
              </w:rPr>
            </w:pPr>
            <w:r w:rsidRPr="00B0658A">
              <w:rPr>
                <w:rFonts w:ascii="Times New Roman" w:hAnsi="Times New Roman"/>
                <w:sz w:val="18"/>
                <w:szCs w:val="18"/>
              </w:rPr>
              <w:t>8</w:t>
            </w:r>
            <w:r w:rsidRPr="00B0658A">
              <w:rPr>
                <w:rFonts w:ascii="Times New Roman" w:hAnsi="Times New Roman"/>
                <w:sz w:val="18"/>
                <w:szCs w:val="18"/>
                <w:lang w:val="en-US"/>
              </w:rPr>
              <w:t>0%</w:t>
            </w:r>
            <w:r>
              <w:rPr>
                <w:rFonts w:ascii="Times New Roman" w:hAnsi="Times New Roman"/>
                <w:sz w:val="18"/>
                <w:szCs w:val="18"/>
              </w:rPr>
              <w:t>*</w:t>
            </w:r>
          </w:p>
        </w:tc>
        <w:tc>
          <w:tcPr>
            <w:tcW w:w="379" w:type="pct"/>
            <w:shd w:val="clear" w:color="000000" w:fill="FFFFFF"/>
            <w:vAlign w:val="center"/>
          </w:tcPr>
          <w:p w14:paraId="6900B733" w14:textId="77777777" w:rsidR="00E44B76" w:rsidRPr="00B0658A" w:rsidRDefault="00E44B76" w:rsidP="00E44B76">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7" w:type="pct"/>
            <w:shd w:val="clear" w:color="000000" w:fill="FFFFFF"/>
            <w:vAlign w:val="center"/>
          </w:tcPr>
          <w:p w14:paraId="5B811636" w14:textId="77777777" w:rsidR="00E44B76" w:rsidRPr="00B0658A" w:rsidRDefault="00E44B76" w:rsidP="00E44B76">
            <w:pPr>
              <w:spacing w:after="0" w:line="240" w:lineRule="auto"/>
              <w:jc w:val="center"/>
              <w:rPr>
                <w:rFonts w:ascii="Times New Roman" w:hAnsi="Times New Roman"/>
                <w:sz w:val="18"/>
                <w:szCs w:val="18"/>
              </w:rPr>
            </w:pPr>
            <w:r w:rsidRPr="00D73B93">
              <w:rPr>
                <w:rFonts w:ascii="Times New Roman" w:hAnsi="Times New Roman"/>
                <w:sz w:val="18"/>
                <w:szCs w:val="18"/>
                <w:lang w:val="en-US"/>
              </w:rPr>
              <w:t>100%</w:t>
            </w:r>
          </w:p>
        </w:tc>
        <w:tc>
          <w:tcPr>
            <w:tcW w:w="367" w:type="pct"/>
            <w:shd w:val="clear" w:color="000000" w:fill="FFFFFF"/>
            <w:vAlign w:val="center"/>
          </w:tcPr>
          <w:p w14:paraId="023E0B09" w14:textId="77777777" w:rsidR="00E44B76" w:rsidRPr="00B0658A" w:rsidRDefault="00E44B76" w:rsidP="00E44B76">
            <w:pPr>
              <w:spacing w:after="0" w:line="240" w:lineRule="auto"/>
              <w:jc w:val="center"/>
              <w:rPr>
                <w:rFonts w:ascii="Times New Roman" w:hAnsi="Times New Roman"/>
                <w:sz w:val="18"/>
                <w:szCs w:val="18"/>
              </w:rPr>
            </w:pPr>
            <w:r w:rsidRPr="00B0658A">
              <w:rPr>
                <w:rFonts w:ascii="Times New Roman" w:hAnsi="Times New Roman"/>
                <w:sz w:val="18"/>
                <w:szCs w:val="18"/>
              </w:rPr>
              <w:t>100</w:t>
            </w:r>
            <w:r w:rsidRPr="00B0658A">
              <w:rPr>
                <w:rFonts w:ascii="Times New Roman" w:hAnsi="Times New Roman"/>
                <w:sz w:val="18"/>
                <w:szCs w:val="18"/>
                <w:lang w:val="en-US"/>
              </w:rPr>
              <w:t>%</w:t>
            </w:r>
          </w:p>
        </w:tc>
        <w:tc>
          <w:tcPr>
            <w:tcW w:w="364" w:type="pct"/>
            <w:shd w:val="clear" w:color="000000" w:fill="FFFFFF"/>
            <w:vAlign w:val="center"/>
          </w:tcPr>
          <w:p w14:paraId="2139FD96" w14:textId="77777777" w:rsidR="00E44B76" w:rsidRPr="00B0658A" w:rsidRDefault="00E44B76" w:rsidP="00E44B76">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E44B76" w:rsidRPr="00B0658A" w14:paraId="04994D10" w14:textId="77777777" w:rsidTr="00FE71B1">
        <w:trPr>
          <w:trHeight w:val="20"/>
        </w:trPr>
        <w:tc>
          <w:tcPr>
            <w:tcW w:w="342" w:type="pct"/>
            <w:shd w:val="clear" w:color="000000" w:fill="FFFFFF"/>
            <w:vAlign w:val="center"/>
          </w:tcPr>
          <w:p w14:paraId="5B98B281" w14:textId="77777777" w:rsidR="00E44B76" w:rsidRPr="00B0658A" w:rsidRDefault="00E44B76" w:rsidP="00FE71B1">
            <w:pPr>
              <w:spacing w:after="0" w:line="240" w:lineRule="auto"/>
              <w:jc w:val="center"/>
              <w:rPr>
                <w:rFonts w:ascii="Times New Roman" w:hAnsi="Times New Roman"/>
                <w:sz w:val="18"/>
                <w:szCs w:val="18"/>
              </w:rPr>
            </w:pPr>
            <w:r w:rsidRPr="00B0658A">
              <w:rPr>
                <w:rFonts w:ascii="Times New Roman" w:hAnsi="Times New Roman"/>
                <w:sz w:val="18"/>
                <w:szCs w:val="18"/>
              </w:rPr>
              <w:t>6.10</w:t>
            </w:r>
          </w:p>
        </w:tc>
        <w:tc>
          <w:tcPr>
            <w:tcW w:w="1182" w:type="pct"/>
            <w:shd w:val="clear" w:color="auto" w:fill="auto"/>
            <w:vAlign w:val="center"/>
          </w:tcPr>
          <w:p w14:paraId="0C04F04F" w14:textId="77777777" w:rsidR="00E44B76" w:rsidRPr="00B0658A" w:rsidRDefault="00E44B76" w:rsidP="00E44B76">
            <w:pPr>
              <w:spacing w:after="0" w:line="240" w:lineRule="auto"/>
              <w:rPr>
                <w:rFonts w:ascii="Times New Roman" w:hAnsi="Times New Roman"/>
                <w:sz w:val="18"/>
                <w:szCs w:val="18"/>
              </w:rPr>
            </w:pPr>
            <w:r w:rsidRPr="00B0658A">
              <w:rPr>
                <w:rFonts w:ascii="Times New Roman" w:hAnsi="Times New Roman"/>
                <w:sz w:val="18"/>
                <w:szCs w:val="18"/>
              </w:rPr>
              <w:t>Офисные приложения/ Табличные редакторы</w:t>
            </w:r>
          </w:p>
        </w:tc>
        <w:tc>
          <w:tcPr>
            <w:tcW w:w="898" w:type="pct"/>
            <w:shd w:val="clear" w:color="000000" w:fill="FFFFFF"/>
          </w:tcPr>
          <w:p w14:paraId="3483BA53" w14:textId="77777777" w:rsidR="00E44B76" w:rsidRPr="00B0658A" w:rsidRDefault="00E44B76" w:rsidP="00E44B76">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7" w:type="pct"/>
            <w:shd w:val="clear" w:color="000000" w:fill="FFFFFF"/>
            <w:vAlign w:val="center"/>
          </w:tcPr>
          <w:p w14:paraId="3C8FE1C3" w14:textId="77777777" w:rsidR="00E44B76" w:rsidRPr="00B0658A" w:rsidRDefault="00E44B76" w:rsidP="00E44B76">
            <w:pPr>
              <w:spacing w:after="0" w:line="240" w:lineRule="auto"/>
              <w:jc w:val="center"/>
              <w:rPr>
                <w:rFonts w:ascii="Times New Roman" w:hAnsi="Times New Roman"/>
                <w:sz w:val="18"/>
                <w:szCs w:val="18"/>
              </w:rPr>
            </w:pPr>
            <w:r w:rsidRPr="00B0658A">
              <w:rPr>
                <w:rFonts w:ascii="Times New Roman" w:hAnsi="Times New Roman"/>
                <w:sz w:val="18"/>
                <w:szCs w:val="18"/>
              </w:rPr>
              <w:t>60</w:t>
            </w:r>
            <w:r w:rsidRPr="00B0658A">
              <w:rPr>
                <w:rFonts w:ascii="Times New Roman" w:hAnsi="Times New Roman"/>
                <w:sz w:val="18"/>
                <w:szCs w:val="18"/>
                <w:lang w:val="en-US"/>
              </w:rPr>
              <w:t>%</w:t>
            </w:r>
            <w:r>
              <w:rPr>
                <w:rFonts w:ascii="Times New Roman" w:hAnsi="Times New Roman"/>
                <w:sz w:val="18"/>
                <w:szCs w:val="18"/>
              </w:rPr>
              <w:t>*</w:t>
            </w:r>
          </w:p>
        </w:tc>
        <w:tc>
          <w:tcPr>
            <w:tcW w:w="367" w:type="pct"/>
            <w:shd w:val="clear" w:color="000000" w:fill="FFFFFF"/>
            <w:vAlign w:val="center"/>
          </w:tcPr>
          <w:p w14:paraId="76D4C6FC" w14:textId="77777777" w:rsidR="00E44B76" w:rsidRPr="00B0658A" w:rsidRDefault="00E44B76" w:rsidP="00E44B76">
            <w:pPr>
              <w:spacing w:after="0" w:line="240" w:lineRule="auto"/>
              <w:jc w:val="center"/>
              <w:rPr>
                <w:rFonts w:ascii="Times New Roman" w:hAnsi="Times New Roman"/>
                <w:sz w:val="18"/>
                <w:szCs w:val="18"/>
              </w:rPr>
            </w:pPr>
            <w:r w:rsidRPr="00B0658A">
              <w:rPr>
                <w:rFonts w:ascii="Times New Roman" w:hAnsi="Times New Roman"/>
                <w:sz w:val="18"/>
                <w:szCs w:val="18"/>
              </w:rPr>
              <w:t>70</w:t>
            </w:r>
            <w:r w:rsidRPr="00B0658A">
              <w:rPr>
                <w:rFonts w:ascii="Times New Roman" w:hAnsi="Times New Roman"/>
                <w:sz w:val="18"/>
                <w:szCs w:val="18"/>
                <w:lang w:val="en-US"/>
              </w:rPr>
              <w:t>%</w:t>
            </w:r>
            <w:r>
              <w:rPr>
                <w:rFonts w:ascii="Times New Roman" w:hAnsi="Times New Roman"/>
                <w:sz w:val="18"/>
                <w:szCs w:val="18"/>
              </w:rPr>
              <w:t>*</w:t>
            </w:r>
          </w:p>
        </w:tc>
        <w:tc>
          <w:tcPr>
            <w:tcW w:w="367" w:type="pct"/>
            <w:shd w:val="clear" w:color="000000" w:fill="FFFFFF"/>
            <w:vAlign w:val="center"/>
          </w:tcPr>
          <w:p w14:paraId="5BE2A6E2" w14:textId="77777777" w:rsidR="00E44B76" w:rsidRPr="00B0658A" w:rsidRDefault="00E44B76" w:rsidP="00E44B76">
            <w:pPr>
              <w:spacing w:after="0" w:line="240" w:lineRule="auto"/>
              <w:jc w:val="center"/>
              <w:rPr>
                <w:rFonts w:ascii="Times New Roman" w:hAnsi="Times New Roman"/>
                <w:sz w:val="18"/>
                <w:szCs w:val="18"/>
              </w:rPr>
            </w:pPr>
            <w:r w:rsidRPr="00B0658A">
              <w:rPr>
                <w:rFonts w:ascii="Times New Roman" w:hAnsi="Times New Roman"/>
                <w:sz w:val="18"/>
                <w:szCs w:val="18"/>
              </w:rPr>
              <w:t>8</w:t>
            </w:r>
            <w:r w:rsidRPr="00B0658A">
              <w:rPr>
                <w:rFonts w:ascii="Times New Roman" w:hAnsi="Times New Roman"/>
                <w:sz w:val="18"/>
                <w:szCs w:val="18"/>
                <w:lang w:val="en-US"/>
              </w:rPr>
              <w:t>0%</w:t>
            </w:r>
            <w:r>
              <w:rPr>
                <w:rFonts w:ascii="Times New Roman" w:hAnsi="Times New Roman"/>
                <w:sz w:val="18"/>
                <w:szCs w:val="18"/>
              </w:rPr>
              <w:t>*</w:t>
            </w:r>
          </w:p>
        </w:tc>
        <w:tc>
          <w:tcPr>
            <w:tcW w:w="379" w:type="pct"/>
            <w:shd w:val="clear" w:color="000000" w:fill="FFFFFF"/>
            <w:vAlign w:val="center"/>
          </w:tcPr>
          <w:p w14:paraId="21291753" w14:textId="77777777" w:rsidR="00E44B76" w:rsidRPr="00B0658A" w:rsidRDefault="00E44B76" w:rsidP="00E44B76">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7" w:type="pct"/>
            <w:shd w:val="clear" w:color="000000" w:fill="FFFFFF"/>
            <w:vAlign w:val="center"/>
          </w:tcPr>
          <w:p w14:paraId="4070A238" w14:textId="77777777" w:rsidR="00E44B76" w:rsidRPr="00B0658A" w:rsidRDefault="00E44B76" w:rsidP="00E44B76">
            <w:pPr>
              <w:spacing w:after="0" w:line="240" w:lineRule="auto"/>
              <w:jc w:val="center"/>
              <w:rPr>
                <w:rFonts w:ascii="Times New Roman" w:hAnsi="Times New Roman"/>
                <w:sz w:val="18"/>
                <w:szCs w:val="18"/>
              </w:rPr>
            </w:pPr>
            <w:r w:rsidRPr="00D73B93">
              <w:rPr>
                <w:rFonts w:ascii="Times New Roman" w:hAnsi="Times New Roman"/>
                <w:sz w:val="18"/>
                <w:szCs w:val="18"/>
                <w:lang w:val="en-US"/>
              </w:rPr>
              <w:t>100%</w:t>
            </w:r>
          </w:p>
        </w:tc>
        <w:tc>
          <w:tcPr>
            <w:tcW w:w="367" w:type="pct"/>
            <w:shd w:val="clear" w:color="000000" w:fill="FFFFFF"/>
            <w:vAlign w:val="center"/>
          </w:tcPr>
          <w:p w14:paraId="3C0C1ABB" w14:textId="77777777" w:rsidR="00E44B76" w:rsidRPr="00B0658A" w:rsidRDefault="00E44B76" w:rsidP="00E44B76">
            <w:pPr>
              <w:spacing w:after="0" w:line="240" w:lineRule="auto"/>
              <w:jc w:val="center"/>
              <w:rPr>
                <w:rFonts w:ascii="Times New Roman" w:hAnsi="Times New Roman"/>
                <w:sz w:val="18"/>
                <w:szCs w:val="18"/>
              </w:rPr>
            </w:pPr>
            <w:r w:rsidRPr="00B0658A">
              <w:rPr>
                <w:rFonts w:ascii="Times New Roman" w:hAnsi="Times New Roman"/>
                <w:sz w:val="18"/>
                <w:szCs w:val="18"/>
              </w:rPr>
              <w:t>100</w:t>
            </w:r>
            <w:r w:rsidRPr="00B0658A">
              <w:rPr>
                <w:rFonts w:ascii="Times New Roman" w:hAnsi="Times New Roman"/>
                <w:sz w:val="18"/>
                <w:szCs w:val="18"/>
                <w:lang w:val="en-US"/>
              </w:rPr>
              <w:t>%</w:t>
            </w:r>
          </w:p>
        </w:tc>
        <w:tc>
          <w:tcPr>
            <w:tcW w:w="364" w:type="pct"/>
            <w:shd w:val="clear" w:color="000000" w:fill="FFFFFF"/>
            <w:vAlign w:val="center"/>
          </w:tcPr>
          <w:p w14:paraId="376A505A" w14:textId="77777777" w:rsidR="00E44B76" w:rsidRPr="00B0658A" w:rsidRDefault="00E44B76" w:rsidP="00E44B76">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E44B76" w:rsidRPr="00B0658A" w14:paraId="00D74049" w14:textId="77777777" w:rsidTr="00FE71B1">
        <w:trPr>
          <w:trHeight w:val="20"/>
        </w:trPr>
        <w:tc>
          <w:tcPr>
            <w:tcW w:w="342" w:type="pct"/>
            <w:shd w:val="clear" w:color="000000" w:fill="FFFFFF"/>
            <w:vAlign w:val="center"/>
          </w:tcPr>
          <w:p w14:paraId="082E136A" w14:textId="77777777" w:rsidR="00E44B76" w:rsidRPr="00B0658A" w:rsidRDefault="00E44B76" w:rsidP="00FE71B1">
            <w:pPr>
              <w:spacing w:after="0" w:line="240" w:lineRule="auto"/>
              <w:jc w:val="center"/>
              <w:rPr>
                <w:rFonts w:ascii="Times New Roman" w:hAnsi="Times New Roman"/>
                <w:sz w:val="18"/>
                <w:szCs w:val="18"/>
              </w:rPr>
            </w:pPr>
            <w:r w:rsidRPr="00B0658A">
              <w:rPr>
                <w:rFonts w:ascii="Times New Roman" w:hAnsi="Times New Roman"/>
                <w:sz w:val="18"/>
                <w:szCs w:val="18"/>
              </w:rPr>
              <w:t>6.11</w:t>
            </w:r>
          </w:p>
        </w:tc>
        <w:tc>
          <w:tcPr>
            <w:tcW w:w="1182" w:type="pct"/>
            <w:shd w:val="clear" w:color="auto" w:fill="auto"/>
            <w:vAlign w:val="center"/>
          </w:tcPr>
          <w:p w14:paraId="6AAB909D" w14:textId="77777777" w:rsidR="00E44B76" w:rsidRPr="00B0658A" w:rsidRDefault="00E44B76" w:rsidP="00E44B76">
            <w:pPr>
              <w:spacing w:after="0" w:line="240" w:lineRule="auto"/>
              <w:rPr>
                <w:rFonts w:ascii="Times New Roman" w:hAnsi="Times New Roman"/>
                <w:sz w:val="18"/>
                <w:szCs w:val="18"/>
              </w:rPr>
            </w:pPr>
            <w:r w:rsidRPr="00B0658A">
              <w:rPr>
                <w:rFonts w:ascii="Times New Roman" w:hAnsi="Times New Roman"/>
                <w:sz w:val="18"/>
                <w:szCs w:val="18"/>
              </w:rPr>
              <w:t>Офисные приложения/ Текстовые редакторы</w:t>
            </w:r>
          </w:p>
        </w:tc>
        <w:tc>
          <w:tcPr>
            <w:tcW w:w="898" w:type="pct"/>
            <w:shd w:val="clear" w:color="000000" w:fill="FFFFFF"/>
          </w:tcPr>
          <w:p w14:paraId="52D7BF56" w14:textId="77777777" w:rsidR="00E44B76" w:rsidRPr="00B0658A" w:rsidRDefault="00E44B76" w:rsidP="00E44B76">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7" w:type="pct"/>
            <w:shd w:val="clear" w:color="000000" w:fill="FFFFFF"/>
            <w:vAlign w:val="center"/>
          </w:tcPr>
          <w:p w14:paraId="39D41A16" w14:textId="77777777" w:rsidR="00E44B76" w:rsidRPr="00B0658A" w:rsidRDefault="00E44B76" w:rsidP="00E44B76">
            <w:pPr>
              <w:spacing w:after="0" w:line="240" w:lineRule="auto"/>
              <w:jc w:val="center"/>
              <w:rPr>
                <w:rFonts w:ascii="Times New Roman" w:hAnsi="Times New Roman"/>
                <w:sz w:val="18"/>
                <w:szCs w:val="18"/>
              </w:rPr>
            </w:pPr>
            <w:r w:rsidRPr="00B0658A">
              <w:rPr>
                <w:rFonts w:ascii="Times New Roman" w:hAnsi="Times New Roman"/>
                <w:sz w:val="18"/>
                <w:szCs w:val="18"/>
              </w:rPr>
              <w:t>60</w:t>
            </w:r>
            <w:r w:rsidRPr="00B0658A">
              <w:rPr>
                <w:rFonts w:ascii="Times New Roman" w:hAnsi="Times New Roman"/>
                <w:sz w:val="18"/>
                <w:szCs w:val="18"/>
                <w:lang w:val="en-US"/>
              </w:rPr>
              <w:t>%</w:t>
            </w:r>
            <w:r>
              <w:rPr>
                <w:rFonts w:ascii="Times New Roman" w:hAnsi="Times New Roman"/>
                <w:sz w:val="18"/>
                <w:szCs w:val="18"/>
              </w:rPr>
              <w:t>*</w:t>
            </w:r>
          </w:p>
        </w:tc>
        <w:tc>
          <w:tcPr>
            <w:tcW w:w="367" w:type="pct"/>
            <w:shd w:val="clear" w:color="000000" w:fill="FFFFFF"/>
            <w:vAlign w:val="center"/>
          </w:tcPr>
          <w:p w14:paraId="18F9A1A6" w14:textId="77777777" w:rsidR="00E44B76" w:rsidRPr="00B0658A" w:rsidRDefault="00E44B76" w:rsidP="00E44B76">
            <w:pPr>
              <w:spacing w:after="0" w:line="240" w:lineRule="auto"/>
              <w:jc w:val="center"/>
              <w:rPr>
                <w:rFonts w:ascii="Times New Roman" w:hAnsi="Times New Roman"/>
                <w:sz w:val="18"/>
                <w:szCs w:val="18"/>
              </w:rPr>
            </w:pPr>
            <w:r w:rsidRPr="00B0658A">
              <w:rPr>
                <w:rFonts w:ascii="Times New Roman" w:hAnsi="Times New Roman"/>
                <w:sz w:val="18"/>
                <w:szCs w:val="18"/>
              </w:rPr>
              <w:t>70</w:t>
            </w:r>
            <w:r w:rsidRPr="00B0658A">
              <w:rPr>
                <w:rFonts w:ascii="Times New Roman" w:hAnsi="Times New Roman"/>
                <w:sz w:val="18"/>
                <w:szCs w:val="18"/>
                <w:lang w:val="en-US"/>
              </w:rPr>
              <w:t>%</w:t>
            </w:r>
            <w:r>
              <w:rPr>
                <w:rFonts w:ascii="Times New Roman" w:hAnsi="Times New Roman"/>
                <w:sz w:val="18"/>
                <w:szCs w:val="18"/>
              </w:rPr>
              <w:t>*</w:t>
            </w:r>
          </w:p>
        </w:tc>
        <w:tc>
          <w:tcPr>
            <w:tcW w:w="367" w:type="pct"/>
            <w:shd w:val="clear" w:color="000000" w:fill="FFFFFF"/>
            <w:vAlign w:val="center"/>
          </w:tcPr>
          <w:p w14:paraId="3BBB271C" w14:textId="77777777" w:rsidR="00E44B76" w:rsidRPr="00B0658A" w:rsidRDefault="00E44B76" w:rsidP="00E44B76">
            <w:pPr>
              <w:spacing w:after="0" w:line="240" w:lineRule="auto"/>
              <w:jc w:val="center"/>
              <w:rPr>
                <w:rFonts w:ascii="Times New Roman" w:hAnsi="Times New Roman"/>
                <w:sz w:val="18"/>
                <w:szCs w:val="18"/>
              </w:rPr>
            </w:pPr>
            <w:r w:rsidRPr="00B0658A">
              <w:rPr>
                <w:rFonts w:ascii="Times New Roman" w:hAnsi="Times New Roman"/>
                <w:sz w:val="18"/>
                <w:szCs w:val="18"/>
              </w:rPr>
              <w:t>8</w:t>
            </w:r>
            <w:r w:rsidRPr="00B0658A">
              <w:rPr>
                <w:rFonts w:ascii="Times New Roman" w:hAnsi="Times New Roman"/>
                <w:sz w:val="18"/>
                <w:szCs w:val="18"/>
                <w:lang w:val="en-US"/>
              </w:rPr>
              <w:t>0%</w:t>
            </w:r>
            <w:r>
              <w:rPr>
                <w:rFonts w:ascii="Times New Roman" w:hAnsi="Times New Roman"/>
                <w:sz w:val="18"/>
                <w:szCs w:val="18"/>
              </w:rPr>
              <w:t>*</w:t>
            </w:r>
          </w:p>
        </w:tc>
        <w:tc>
          <w:tcPr>
            <w:tcW w:w="379" w:type="pct"/>
            <w:shd w:val="clear" w:color="000000" w:fill="FFFFFF"/>
            <w:vAlign w:val="center"/>
          </w:tcPr>
          <w:p w14:paraId="15D833CB" w14:textId="77777777" w:rsidR="00E44B76" w:rsidRPr="00B0658A" w:rsidRDefault="00E44B76" w:rsidP="00E44B76">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7" w:type="pct"/>
            <w:shd w:val="clear" w:color="000000" w:fill="FFFFFF"/>
            <w:vAlign w:val="center"/>
          </w:tcPr>
          <w:p w14:paraId="2247A553" w14:textId="77777777" w:rsidR="00E44B76" w:rsidRPr="00B0658A" w:rsidRDefault="00E44B76" w:rsidP="00E44B76">
            <w:pPr>
              <w:spacing w:after="0" w:line="240" w:lineRule="auto"/>
              <w:jc w:val="center"/>
              <w:rPr>
                <w:rFonts w:ascii="Times New Roman" w:hAnsi="Times New Roman"/>
                <w:sz w:val="18"/>
                <w:szCs w:val="18"/>
              </w:rPr>
            </w:pPr>
            <w:r w:rsidRPr="00D73B93">
              <w:rPr>
                <w:rFonts w:ascii="Times New Roman" w:hAnsi="Times New Roman"/>
                <w:sz w:val="18"/>
                <w:szCs w:val="18"/>
                <w:lang w:val="en-US"/>
              </w:rPr>
              <w:t>100%</w:t>
            </w:r>
          </w:p>
        </w:tc>
        <w:tc>
          <w:tcPr>
            <w:tcW w:w="367" w:type="pct"/>
            <w:shd w:val="clear" w:color="000000" w:fill="FFFFFF"/>
            <w:vAlign w:val="center"/>
          </w:tcPr>
          <w:p w14:paraId="319E2BEF" w14:textId="77777777" w:rsidR="00E44B76" w:rsidRPr="00B0658A" w:rsidRDefault="00E44B76" w:rsidP="00E44B76">
            <w:pPr>
              <w:spacing w:after="0" w:line="240" w:lineRule="auto"/>
              <w:jc w:val="center"/>
              <w:rPr>
                <w:rFonts w:ascii="Times New Roman" w:hAnsi="Times New Roman"/>
                <w:sz w:val="18"/>
                <w:szCs w:val="18"/>
              </w:rPr>
            </w:pPr>
            <w:r w:rsidRPr="00B0658A">
              <w:rPr>
                <w:rFonts w:ascii="Times New Roman" w:hAnsi="Times New Roman"/>
                <w:sz w:val="18"/>
                <w:szCs w:val="18"/>
              </w:rPr>
              <w:t>100</w:t>
            </w:r>
            <w:r w:rsidRPr="00B0658A">
              <w:rPr>
                <w:rFonts w:ascii="Times New Roman" w:hAnsi="Times New Roman"/>
                <w:sz w:val="18"/>
                <w:szCs w:val="18"/>
                <w:lang w:val="en-US"/>
              </w:rPr>
              <w:t>%</w:t>
            </w:r>
          </w:p>
        </w:tc>
        <w:tc>
          <w:tcPr>
            <w:tcW w:w="364" w:type="pct"/>
            <w:shd w:val="clear" w:color="000000" w:fill="FFFFFF"/>
            <w:vAlign w:val="center"/>
          </w:tcPr>
          <w:p w14:paraId="1C082DF1" w14:textId="77777777" w:rsidR="00E44B76" w:rsidRPr="00B0658A" w:rsidRDefault="00E44B76" w:rsidP="00E44B76">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F52FED" w:rsidRPr="00B0658A" w14:paraId="4630805C" w14:textId="77777777" w:rsidTr="00FE71B1">
        <w:trPr>
          <w:trHeight w:val="20"/>
        </w:trPr>
        <w:tc>
          <w:tcPr>
            <w:tcW w:w="342" w:type="pct"/>
            <w:shd w:val="clear" w:color="000000" w:fill="FFFFFF"/>
            <w:vAlign w:val="center"/>
          </w:tcPr>
          <w:p w14:paraId="5CC9D9CE" w14:textId="77777777" w:rsidR="005B7E3E" w:rsidRPr="00B0658A" w:rsidRDefault="005B7E3E" w:rsidP="00FE71B1">
            <w:pPr>
              <w:spacing w:after="0" w:line="240" w:lineRule="auto"/>
              <w:jc w:val="center"/>
              <w:rPr>
                <w:rFonts w:ascii="Times New Roman" w:hAnsi="Times New Roman"/>
                <w:sz w:val="18"/>
                <w:szCs w:val="18"/>
              </w:rPr>
            </w:pPr>
            <w:r w:rsidRPr="00B0658A">
              <w:rPr>
                <w:rFonts w:ascii="Times New Roman" w:hAnsi="Times New Roman"/>
                <w:sz w:val="18"/>
                <w:szCs w:val="18"/>
              </w:rPr>
              <w:t>6.12</w:t>
            </w:r>
          </w:p>
        </w:tc>
        <w:tc>
          <w:tcPr>
            <w:tcW w:w="1182" w:type="pct"/>
            <w:shd w:val="clear" w:color="auto" w:fill="auto"/>
            <w:vAlign w:val="center"/>
          </w:tcPr>
          <w:p w14:paraId="46B590E6" w14:textId="77777777" w:rsidR="005B7E3E" w:rsidRPr="00B0658A" w:rsidRDefault="005B7E3E" w:rsidP="000A4114">
            <w:pPr>
              <w:spacing w:after="0" w:line="240" w:lineRule="auto"/>
              <w:rPr>
                <w:rFonts w:ascii="Times New Roman" w:hAnsi="Times New Roman"/>
                <w:sz w:val="18"/>
                <w:szCs w:val="18"/>
              </w:rPr>
            </w:pPr>
            <w:r w:rsidRPr="00B0658A">
              <w:rPr>
                <w:rFonts w:ascii="Times New Roman" w:hAnsi="Times New Roman"/>
                <w:sz w:val="18"/>
                <w:szCs w:val="18"/>
              </w:rPr>
              <w:t>Офисные приложения/ Программное обеспечение средств электронного документооборота</w:t>
            </w:r>
          </w:p>
        </w:tc>
        <w:tc>
          <w:tcPr>
            <w:tcW w:w="898" w:type="pct"/>
            <w:shd w:val="clear" w:color="000000" w:fill="FFFFFF"/>
          </w:tcPr>
          <w:p w14:paraId="3E849D6C" w14:textId="77777777" w:rsidR="005B7E3E" w:rsidRPr="00B0658A" w:rsidRDefault="005B7E3E" w:rsidP="000A4114">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7" w:type="pct"/>
            <w:shd w:val="clear" w:color="000000" w:fill="FFFFFF"/>
            <w:vAlign w:val="center"/>
          </w:tcPr>
          <w:p w14:paraId="00981839"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r w:rsidR="00E44B76">
              <w:rPr>
                <w:rFonts w:ascii="Times New Roman" w:hAnsi="Times New Roman"/>
                <w:sz w:val="18"/>
                <w:szCs w:val="18"/>
              </w:rPr>
              <w:t>*</w:t>
            </w:r>
          </w:p>
        </w:tc>
        <w:tc>
          <w:tcPr>
            <w:tcW w:w="367" w:type="pct"/>
            <w:shd w:val="clear" w:color="000000" w:fill="FFFFFF"/>
            <w:vAlign w:val="center"/>
          </w:tcPr>
          <w:p w14:paraId="65E5E9F8"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r w:rsidR="00E44B76">
              <w:rPr>
                <w:rFonts w:ascii="Times New Roman" w:hAnsi="Times New Roman"/>
                <w:sz w:val="18"/>
                <w:szCs w:val="18"/>
              </w:rPr>
              <w:t>*</w:t>
            </w:r>
          </w:p>
        </w:tc>
        <w:tc>
          <w:tcPr>
            <w:tcW w:w="367" w:type="pct"/>
            <w:shd w:val="clear" w:color="000000" w:fill="FFFFFF"/>
            <w:vAlign w:val="center"/>
          </w:tcPr>
          <w:p w14:paraId="404DAFD4"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r w:rsidR="00E44B76">
              <w:rPr>
                <w:rFonts w:ascii="Times New Roman" w:hAnsi="Times New Roman"/>
                <w:sz w:val="18"/>
                <w:szCs w:val="18"/>
              </w:rPr>
              <w:t>*</w:t>
            </w:r>
          </w:p>
        </w:tc>
        <w:tc>
          <w:tcPr>
            <w:tcW w:w="379" w:type="pct"/>
            <w:shd w:val="clear" w:color="000000" w:fill="FFFFFF"/>
            <w:vAlign w:val="center"/>
          </w:tcPr>
          <w:p w14:paraId="7F5F2A0F"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7" w:type="pct"/>
            <w:shd w:val="clear" w:color="000000" w:fill="FFFFFF"/>
            <w:vAlign w:val="center"/>
          </w:tcPr>
          <w:p w14:paraId="00DD7DAF"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7" w:type="pct"/>
            <w:shd w:val="clear" w:color="000000" w:fill="FFFFFF"/>
            <w:vAlign w:val="center"/>
          </w:tcPr>
          <w:p w14:paraId="4C2B5C58"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4" w:type="pct"/>
            <w:shd w:val="clear" w:color="000000" w:fill="FFFFFF"/>
            <w:vAlign w:val="center"/>
          </w:tcPr>
          <w:p w14:paraId="36827788"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F52FED" w:rsidRPr="00B0658A" w14:paraId="03D09992" w14:textId="77777777" w:rsidTr="00FE71B1">
        <w:trPr>
          <w:trHeight w:val="20"/>
        </w:trPr>
        <w:tc>
          <w:tcPr>
            <w:tcW w:w="342" w:type="pct"/>
            <w:shd w:val="clear" w:color="000000" w:fill="FFFFFF"/>
            <w:vAlign w:val="center"/>
          </w:tcPr>
          <w:p w14:paraId="4DB92F19" w14:textId="77777777" w:rsidR="005B7E3E" w:rsidRPr="00B0658A" w:rsidRDefault="005B7E3E" w:rsidP="00FE71B1">
            <w:pPr>
              <w:spacing w:after="0" w:line="240" w:lineRule="auto"/>
              <w:jc w:val="center"/>
              <w:rPr>
                <w:rFonts w:ascii="Times New Roman" w:hAnsi="Times New Roman"/>
                <w:sz w:val="18"/>
                <w:szCs w:val="18"/>
              </w:rPr>
            </w:pPr>
            <w:r w:rsidRPr="00B0658A">
              <w:rPr>
                <w:rFonts w:ascii="Times New Roman" w:hAnsi="Times New Roman"/>
                <w:sz w:val="18"/>
                <w:szCs w:val="18"/>
              </w:rPr>
              <w:t>7.1</w:t>
            </w:r>
          </w:p>
        </w:tc>
        <w:tc>
          <w:tcPr>
            <w:tcW w:w="1182" w:type="pct"/>
            <w:shd w:val="clear" w:color="auto" w:fill="auto"/>
            <w:vAlign w:val="center"/>
          </w:tcPr>
          <w:p w14:paraId="5450BE94" w14:textId="77777777" w:rsidR="005B7E3E" w:rsidRPr="00B0658A" w:rsidRDefault="005B7E3E" w:rsidP="000A4114">
            <w:pPr>
              <w:spacing w:after="0" w:line="240" w:lineRule="auto"/>
              <w:rPr>
                <w:rFonts w:ascii="Times New Roman" w:hAnsi="Times New Roman"/>
                <w:sz w:val="18"/>
                <w:szCs w:val="18"/>
              </w:rPr>
            </w:pPr>
            <w:r w:rsidRPr="00B0658A">
              <w:rPr>
                <w:rFonts w:ascii="Times New Roman" w:hAnsi="Times New Roman"/>
                <w:sz w:val="18"/>
                <w:szCs w:val="18"/>
              </w:rPr>
              <w:t xml:space="preserve">Лингвистическое программное обеспечение/ Парсеры </w:t>
            </w:r>
            <w:r w:rsidRPr="00B0658A">
              <w:rPr>
                <w:rFonts w:ascii="Times New Roman" w:hAnsi="Times New Roman"/>
                <w:sz w:val="18"/>
                <w:szCs w:val="18"/>
              </w:rPr>
              <w:br/>
              <w:t>и семантические анализаторы</w:t>
            </w:r>
          </w:p>
        </w:tc>
        <w:tc>
          <w:tcPr>
            <w:tcW w:w="898" w:type="pct"/>
            <w:shd w:val="clear" w:color="000000" w:fill="FFFFFF"/>
          </w:tcPr>
          <w:p w14:paraId="38AC0E34" w14:textId="77777777" w:rsidR="005B7E3E" w:rsidRPr="00B0658A" w:rsidRDefault="005B7E3E" w:rsidP="000A4114">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7" w:type="pct"/>
            <w:shd w:val="clear" w:color="000000" w:fill="FFFFFF"/>
            <w:vAlign w:val="center"/>
          </w:tcPr>
          <w:p w14:paraId="3BA9C3F2"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50%</w:t>
            </w:r>
          </w:p>
        </w:tc>
        <w:tc>
          <w:tcPr>
            <w:tcW w:w="367" w:type="pct"/>
            <w:shd w:val="clear" w:color="000000" w:fill="FFFFFF"/>
            <w:vAlign w:val="center"/>
          </w:tcPr>
          <w:p w14:paraId="7ACEF9B2"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60%</w:t>
            </w:r>
          </w:p>
        </w:tc>
        <w:tc>
          <w:tcPr>
            <w:tcW w:w="367" w:type="pct"/>
            <w:shd w:val="clear" w:color="000000" w:fill="FFFFFF"/>
            <w:vAlign w:val="center"/>
          </w:tcPr>
          <w:p w14:paraId="714E193F"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70%</w:t>
            </w:r>
          </w:p>
        </w:tc>
        <w:tc>
          <w:tcPr>
            <w:tcW w:w="379" w:type="pct"/>
            <w:shd w:val="clear" w:color="000000" w:fill="FFFFFF"/>
            <w:vAlign w:val="center"/>
          </w:tcPr>
          <w:p w14:paraId="5C2B8231"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7" w:type="pct"/>
            <w:shd w:val="clear" w:color="000000" w:fill="FFFFFF"/>
            <w:vAlign w:val="center"/>
          </w:tcPr>
          <w:p w14:paraId="0C2E78D5"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80%</w:t>
            </w:r>
          </w:p>
        </w:tc>
        <w:tc>
          <w:tcPr>
            <w:tcW w:w="367" w:type="pct"/>
            <w:shd w:val="clear" w:color="000000" w:fill="FFFFFF"/>
            <w:vAlign w:val="center"/>
          </w:tcPr>
          <w:p w14:paraId="6DDE2D7C"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90%</w:t>
            </w:r>
          </w:p>
        </w:tc>
        <w:tc>
          <w:tcPr>
            <w:tcW w:w="364" w:type="pct"/>
            <w:shd w:val="clear" w:color="000000" w:fill="FFFFFF"/>
            <w:vAlign w:val="center"/>
          </w:tcPr>
          <w:p w14:paraId="7F83F165"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F52FED" w:rsidRPr="00B0658A" w14:paraId="1A826F1D" w14:textId="77777777" w:rsidTr="00FE71B1">
        <w:trPr>
          <w:trHeight w:val="20"/>
        </w:trPr>
        <w:tc>
          <w:tcPr>
            <w:tcW w:w="342" w:type="pct"/>
            <w:shd w:val="clear" w:color="000000" w:fill="FFFFFF"/>
            <w:vAlign w:val="center"/>
          </w:tcPr>
          <w:p w14:paraId="74A01C79" w14:textId="77777777" w:rsidR="005B7E3E" w:rsidRPr="00B0658A" w:rsidRDefault="005B7E3E" w:rsidP="00FE71B1">
            <w:pPr>
              <w:spacing w:after="0" w:line="240" w:lineRule="auto"/>
              <w:jc w:val="center"/>
              <w:rPr>
                <w:rFonts w:ascii="Times New Roman" w:hAnsi="Times New Roman"/>
                <w:sz w:val="18"/>
                <w:szCs w:val="18"/>
              </w:rPr>
            </w:pPr>
            <w:r w:rsidRPr="00B0658A">
              <w:rPr>
                <w:rFonts w:ascii="Times New Roman" w:hAnsi="Times New Roman"/>
                <w:sz w:val="18"/>
                <w:szCs w:val="18"/>
              </w:rPr>
              <w:t>7.2</w:t>
            </w:r>
          </w:p>
        </w:tc>
        <w:tc>
          <w:tcPr>
            <w:tcW w:w="1182" w:type="pct"/>
            <w:shd w:val="clear" w:color="auto" w:fill="auto"/>
            <w:vAlign w:val="center"/>
          </w:tcPr>
          <w:p w14:paraId="3D715521" w14:textId="77777777" w:rsidR="005B7E3E" w:rsidRPr="00B0658A" w:rsidRDefault="005B7E3E" w:rsidP="000A4114">
            <w:pPr>
              <w:spacing w:after="0" w:line="240" w:lineRule="auto"/>
              <w:rPr>
                <w:rFonts w:ascii="Times New Roman" w:hAnsi="Times New Roman"/>
                <w:sz w:val="18"/>
                <w:szCs w:val="18"/>
              </w:rPr>
            </w:pPr>
            <w:r w:rsidRPr="00B0658A">
              <w:rPr>
                <w:rFonts w:ascii="Times New Roman" w:hAnsi="Times New Roman"/>
                <w:sz w:val="18"/>
                <w:szCs w:val="18"/>
              </w:rPr>
              <w:t>Лингвистическое программное обеспечение/ Средства речевого перевода</w:t>
            </w:r>
          </w:p>
        </w:tc>
        <w:tc>
          <w:tcPr>
            <w:tcW w:w="898" w:type="pct"/>
            <w:shd w:val="clear" w:color="000000" w:fill="FFFFFF"/>
          </w:tcPr>
          <w:p w14:paraId="3FDBA08A" w14:textId="77777777" w:rsidR="005B7E3E" w:rsidRPr="00B0658A" w:rsidRDefault="005B7E3E" w:rsidP="000A4114">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7" w:type="pct"/>
            <w:shd w:val="clear" w:color="000000" w:fill="FFFFFF"/>
            <w:vAlign w:val="center"/>
          </w:tcPr>
          <w:p w14:paraId="67AAA7E5"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50%</w:t>
            </w:r>
          </w:p>
        </w:tc>
        <w:tc>
          <w:tcPr>
            <w:tcW w:w="367" w:type="pct"/>
            <w:shd w:val="clear" w:color="000000" w:fill="FFFFFF"/>
            <w:vAlign w:val="center"/>
          </w:tcPr>
          <w:p w14:paraId="18F7ED43"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60%</w:t>
            </w:r>
          </w:p>
        </w:tc>
        <w:tc>
          <w:tcPr>
            <w:tcW w:w="367" w:type="pct"/>
            <w:shd w:val="clear" w:color="000000" w:fill="FFFFFF"/>
            <w:vAlign w:val="center"/>
          </w:tcPr>
          <w:p w14:paraId="7A55DA7C"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70%</w:t>
            </w:r>
          </w:p>
        </w:tc>
        <w:tc>
          <w:tcPr>
            <w:tcW w:w="379" w:type="pct"/>
            <w:shd w:val="clear" w:color="000000" w:fill="FFFFFF"/>
            <w:vAlign w:val="center"/>
          </w:tcPr>
          <w:p w14:paraId="4AABBB43"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7" w:type="pct"/>
            <w:shd w:val="clear" w:color="000000" w:fill="FFFFFF"/>
            <w:vAlign w:val="center"/>
          </w:tcPr>
          <w:p w14:paraId="393BC8B1"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80%</w:t>
            </w:r>
          </w:p>
        </w:tc>
        <w:tc>
          <w:tcPr>
            <w:tcW w:w="367" w:type="pct"/>
            <w:shd w:val="clear" w:color="000000" w:fill="FFFFFF"/>
            <w:vAlign w:val="center"/>
          </w:tcPr>
          <w:p w14:paraId="458EEF7D"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90%</w:t>
            </w:r>
          </w:p>
        </w:tc>
        <w:tc>
          <w:tcPr>
            <w:tcW w:w="364" w:type="pct"/>
            <w:shd w:val="clear" w:color="000000" w:fill="FFFFFF"/>
            <w:vAlign w:val="center"/>
          </w:tcPr>
          <w:p w14:paraId="1786694D"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F52FED" w:rsidRPr="00B0658A" w14:paraId="6FB55596" w14:textId="77777777" w:rsidTr="00FE71B1">
        <w:trPr>
          <w:trHeight w:val="20"/>
        </w:trPr>
        <w:tc>
          <w:tcPr>
            <w:tcW w:w="342" w:type="pct"/>
            <w:shd w:val="clear" w:color="000000" w:fill="FFFFFF"/>
            <w:vAlign w:val="center"/>
          </w:tcPr>
          <w:p w14:paraId="18ED7199" w14:textId="77777777" w:rsidR="005B7E3E" w:rsidRPr="00B0658A" w:rsidRDefault="005B7E3E" w:rsidP="00FE71B1">
            <w:pPr>
              <w:spacing w:after="0" w:line="240" w:lineRule="auto"/>
              <w:jc w:val="center"/>
              <w:rPr>
                <w:rFonts w:ascii="Times New Roman" w:hAnsi="Times New Roman"/>
                <w:sz w:val="18"/>
                <w:szCs w:val="18"/>
              </w:rPr>
            </w:pPr>
            <w:r w:rsidRPr="00B0658A">
              <w:rPr>
                <w:rFonts w:ascii="Times New Roman" w:hAnsi="Times New Roman"/>
                <w:sz w:val="18"/>
                <w:szCs w:val="18"/>
              </w:rPr>
              <w:t>7.3</w:t>
            </w:r>
          </w:p>
        </w:tc>
        <w:tc>
          <w:tcPr>
            <w:tcW w:w="1182" w:type="pct"/>
            <w:shd w:val="clear" w:color="auto" w:fill="auto"/>
            <w:vAlign w:val="center"/>
          </w:tcPr>
          <w:p w14:paraId="682BA7B0" w14:textId="77777777" w:rsidR="005B7E3E" w:rsidRPr="00B0658A" w:rsidRDefault="005B7E3E" w:rsidP="000A4114">
            <w:pPr>
              <w:spacing w:after="0" w:line="240" w:lineRule="auto"/>
              <w:rPr>
                <w:rFonts w:ascii="Times New Roman" w:hAnsi="Times New Roman"/>
                <w:sz w:val="18"/>
                <w:szCs w:val="18"/>
              </w:rPr>
            </w:pPr>
            <w:r w:rsidRPr="00B0658A">
              <w:rPr>
                <w:rFonts w:ascii="Times New Roman" w:hAnsi="Times New Roman"/>
                <w:sz w:val="18"/>
                <w:szCs w:val="18"/>
              </w:rPr>
              <w:t>Лингвистическое программное обеспечение/ Средства распознавания символов</w:t>
            </w:r>
          </w:p>
        </w:tc>
        <w:tc>
          <w:tcPr>
            <w:tcW w:w="898" w:type="pct"/>
            <w:shd w:val="clear" w:color="000000" w:fill="FFFFFF"/>
          </w:tcPr>
          <w:p w14:paraId="6DCCF21C" w14:textId="77777777" w:rsidR="005B7E3E" w:rsidRPr="00B0658A" w:rsidRDefault="005B7E3E" w:rsidP="000A4114">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7" w:type="pct"/>
            <w:shd w:val="clear" w:color="000000" w:fill="FFFFFF"/>
            <w:vAlign w:val="center"/>
          </w:tcPr>
          <w:p w14:paraId="6A7120F1"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50%</w:t>
            </w:r>
          </w:p>
        </w:tc>
        <w:tc>
          <w:tcPr>
            <w:tcW w:w="367" w:type="pct"/>
            <w:shd w:val="clear" w:color="000000" w:fill="FFFFFF"/>
            <w:vAlign w:val="center"/>
          </w:tcPr>
          <w:p w14:paraId="1109B8A9"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60%</w:t>
            </w:r>
          </w:p>
        </w:tc>
        <w:tc>
          <w:tcPr>
            <w:tcW w:w="367" w:type="pct"/>
            <w:shd w:val="clear" w:color="000000" w:fill="FFFFFF"/>
            <w:vAlign w:val="center"/>
          </w:tcPr>
          <w:p w14:paraId="3CFDEF94"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70%</w:t>
            </w:r>
          </w:p>
        </w:tc>
        <w:tc>
          <w:tcPr>
            <w:tcW w:w="379" w:type="pct"/>
            <w:shd w:val="clear" w:color="000000" w:fill="FFFFFF"/>
            <w:vAlign w:val="center"/>
          </w:tcPr>
          <w:p w14:paraId="74DCE5D7"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7" w:type="pct"/>
            <w:shd w:val="clear" w:color="000000" w:fill="FFFFFF"/>
            <w:vAlign w:val="center"/>
          </w:tcPr>
          <w:p w14:paraId="596A6A95"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80%</w:t>
            </w:r>
          </w:p>
        </w:tc>
        <w:tc>
          <w:tcPr>
            <w:tcW w:w="367" w:type="pct"/>
            <w:shd w:val="clear" w:color="000000" w:fill="FFFFFF"/>
            <w:vAlign w:val="center"/>
          </w:tcPr>
          <w:p w14:paraId="6287AB2C"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90%</w:t>
            </w:r>
          </w:p>
        </w:tc>
        <w:tc>
          <w:tcPr>
            <w:tcW w:w="364" w:type="pct"/>
            <w:shd w:val="clear" w:color="000000" w:fill="FFFFFF"/>
            <w:vAlign w:val="center"/>
          </w:tcPr>
          <w:p w14:paraId="09BE970C"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F52FED" w:rsidRPr="00B0658A" w14:paraId="53905A7A" w14:textId="77777777" w:rsidTr="00FE71B1">
        <w:trPr>
          <w:trHeight w:val="20"/>
        </w:trPr>
        <w:tc>
          <w:tcPr>
            <w:tcW w:w="342" w:type="pct"/>
            <w:shd w:val="clear" w:color="000000" w:fill="FFFFFF"/>
            <w:vAlign w:val="center"/>
          </w:tcPr>
          <w:p w14:paraId="1AA15E78" w14:textId="77777777" w:rsidR="005B7E3E" w:rsidRPr="00B0658A" w:rsidRDefault="005B7E3E" w:rsidP="00FE71B1">
            <w:pPr>
              <w:spacing w:after="0" w:line="240" w:lineRule="auto"/>
              <w:jc w:val="center"/>
              <w:rPr>
                <w:rFonts w:ascii="Times New Roman" w:hAnsi="Times New Roman"/>
                <w:sz w:val="18"/>
                <w:szCs w:val="18"/>
              </w:rPr>
            </w:pPr>
            <w:r w:rsidRPr="00B0658A">
              <w:rPr>
                <w:rFonts w:ascii="Times New Roman" w:hAnsi="Times New Roman"/>
                <w:sz w:val="18"/>
                <w:szCs w:val="18"/>
              </w:rPr>
              <w:t>7.4</w:t>
            </w:r>
          </w:p>
        </w:tc>
        <w:tc>
          <w:tcPr>
            <w:tcW w:w="1182" w:type="pct"/>
            <w:shd w:val="clear" w:color="auto" w:fill="auto"/>
            <w:vAlign w:val="center"/>
          </w:tcPr>
          <w:p w14:paraId="3BB1E88D" w14:textId="77777777" w:rsidR="005B7E3E" w:rsidRPr="00B0658A" w:rsidRDefault="005B7E3E" w:rsidP="000A4114">
            <w:pPr>
              <w:spacing w:after="0" w:line="240" w:lineRule="auto"/>
              <w:rPr>
                <w:rFonts w:ascii="Times New Roman" w:hAnsi="Times New Roman"/>
                <w:sz w:val="18"/>
                <w:szCs w:val="18"/>
              </w:rPr>
            </w:pPr>
            <w:r w:rsidRPr="00B0658A">
              <w:rPr>
                <w:rFonts w:ascii="Times New Roman" w:hAnsi="Times New Roman"/>
                <w:sz w:val="18"/>
                <w:szCs w:val="18"/>
              </w:rPr>
              <w:t>Лингвистическое программное обеспечение/ Средства распознавания и синтеза речи</w:t>
            </w:r>
          </w:p>
        </w:tc>
        <w:tc>
          <w:tcPr>
            <w:tcW w:w="898" w:type="pct"/>
            <w:shd w:val="clear" w:color="000000" w:fill="FFFFFF"/>
          </w:tcPr>
          <w:p w14:paraId="33334396" w14:textId="77777777" w:rsidR="005B7E3E" w:rsidRPr="00B0658A" w:rsidRDefault="005B7E3E" w:rsidP="000A4114">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7" w:type="pct"/>
            <w:shd w:val="clear" w:color="000000" w:fill="FFFFFF"/>
            <w:vAlign w:val="center"/>
          </w:tcPr>
          <w:p w14:paraId="50B4AD94"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50%</w:t>
            </w:r>
          </w:p>
        </w:tc>
        <w:tc>
          <w:tcPr>
            <w:tcW w:w="367" w:type="pct"/>
            <w:shd w:val="clear" w:color="000000" w:fill="FFFFFF"/>
            <w:vAlign w:val="center"/>
          </w:tcPr>
          <w:p w14:paraId="3E73E9AC"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60%</w:t>
            </w:r>
          </w:p>
        </w:tc>
        <w:tc>
          <w:tcPr>
            <w:tcW w:w="367" w:type="pct"/>
            <w:shd w:val="clear" w:color="000000" w:fill="FFFFFF"/>
            <w:vAlign w:val="center"/>
          </w:tcPr>
          <w:p w14:paraId="7FD83C54"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70%</w:t>
            </w:r>
          </w:p>
        </w:tc>
        <w:tc>
          <w:tcPr>
            <w:tcW w:w="379" w:type="pct"/>
            <w:shd w:val="clear" w:color="000000" w:fill="FFFFFF"/>
            <w:vAlign w:val="center"/>
          </w:tcPr>
          <w:p w14:paraId="258F6258"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7" w:type="pct"/>
            <w:shd w:val="clear" w:color="000000" w:fill="FFFFFF"/>
            <w:vAlign w:val="center"/>
          </w:tcPr>
          <w:p w14:paraId="08BC9F51"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80%</w:t>
            </w:r>
          </w:p>
        </w:tc>
        <w:tc>
          <w:tcPr>
            <w:tcW w:w="367" w:type="pct"/>
            <w:shd w:val="clear" w:color="000000" w:fill="FFFFFF"/>
            <w:vAlign w:val="center"/>
          </w:tcPr>
          <w:p w14:paraId="473895A1"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90%</w:t>
            </w:r>
          </w:p>
        </w:tc>
        <w:tc>
          <w:tcPr>
            <w:tcW w:w="364" w:type="pct"/>
            <w:shd w:val="clear" w:color="000000" w:fill="FFFFFF"/>
            <w:vAlign w:val="center"/>
          </w:tcPr>
          <w:p w14:paraId="60D12BF6"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F52FED" w:rsidRPr="00B0658A" w14:paraId="45A73FC8" w14:textId="77777777" w:rsidTr="00FE71B1">
        <w:trPr>
          <w:trHeight w:val="20"/>
        </w:trPr>
        <w:tc>
          <w:tcPr>
            <w:tcW w:w="342" w:type="pct"/>
            <w:shd w:val="clear" w:color="000000" w:fill="FFFFFF"/>
            <w:vAlign w:val="center"/>
          </w:tcPr>
          <w:p w14:paraId="63EBD98D" w14:textId="77777777" w:rsidR="005B7E3E" w:rsidRPr="00B0658A" w:rsidRDefault="005B7E3E" w:rsidP="00FE71B1">
            <w:pPr>
              <w:spacing w:after="0" w:line="240" w:lineRule="auto"/>
              <w:jc w:val="center"/>
              <w:rPr>
                <w:rFonts w:ascii="Times New Roman" w:hAnsi="Times New Roman"/>
                <w:sz w:val="18"/>
                <w:szCs w:val="18"/>
              </w:rPr>
            </w:pPr>
            <w:r w:rsidRPr="00B0658A">
              <w:rPr>
                <w:rFonts w:ascii="Times New Roman" w:hAnsi="Times New Roman"/>
                <w:sz w:val="18"/>
                <w:szCs w:val="18"/>
              </w:rPr>
              <w:t>7.5</w:t>
            </w:r>
          </w:p>
        </w:tc>
        <w:tc>
          <w:tcPr>
            <w:tcW w:w="1182" w:type="pct"/>
            <w:shd w:val="clear" w:color="auto" w:fill="auto"/>
            <w:vAlign w:val="center"/>
          </w:tcPr>
          <w:p w14:paraId="6A05F141" w14:textId="77777777" w:rsidR="005B7E3E" w:rsidRPr="00B0658A" w:rsidRDefault="005B7E3E" w:rsidP="000A4114">
            <w:pPr>
              <w:spacing w:after="0" w:line="240" w:lineRule="auto"/>
              <w:rPr>
                <w:rFonts w:ascii="Times New Roman" w:hAnsi="Times New Roman"/>
                <w:sz w:val="18"/>
                <w:szCs w:val="18"/>
              </w:rPr>
            </w:pPr>
            <w:r w:rsidRPr="00B0658A">
              <w:rPr>
                <w:rFonts w:ascii="Times New Roman" w:hAnsi="Times New Roman"/>
                <w:sz w:val="18"/>
                <w:szCs w:val="18"/>
              </w:rPr>
              <w:t>Лингвистическое программное обеспечение/ Средства автоматизированного перевода</w:t>
            </w:r>
          </w:p>
        </w:tc>
        <w:tc>
          <w:tcPr>
            <w:tcW w:w="898" w:type="pct"/>
            <w:shd w:val="clear" w:color="000000" w:fill="FFFFFF"/>
          </w:tcPr>
          <w:p w14:paraId="01052E32" w14:textId="77777777" w:rsidR="005B7E3E" w:rsidRPr="00B0658A" w:rsidRDefault="005B7E3E" w:rsidP="000A4114">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7" w:type="pct"/>
            <w:shd w:val="clear" w:color="000000" w:fill="FFFFFF"/>
            <w:vAlign w:val="center"/>
          </w:tcPr>
          <w:p w14:paraId="3EC9F700"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50%</w:t>
            </w:r>
          </w:p>
        </w:tc>
        <w:tc>
          <w:tcPr>
            <w:tcW w:w="367" w:type="pct"/>
            <w:shd w:val="clear" w:color="000000" w:fill="FFFFFF"/>
            <w:vAlign w:val="center"/>
          </w:tcPr>
          <w:p w14:paraId="651595BD"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60%</w:t>
            </w:r>
          </w:p>
        </w:tc>
        <w:tc>
          <w:tcPr>
            <w:tcW w:w="367" w:type="pct"/>
            <w:shd w:val="clear" w:color="000000" w:fill="FFFFFF"/>
            <w:vAlign w:val="center"/>
          </w:tcPr>
          <w:p w14:paraId="081E57B1"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70%</w:t>
            </w:r>
          </w:p>
        </w:tc>
        <w:tc>
          <w:tcPr>
            <w:tcW w:w="379" w:type="pct"/>
            <w:shd w:val="clear" w:color="000000" w:fill="FFFFFF"/>
            <w:vAlign w:val="center"/>
          </w:tcPr>
          <w:p w14:paraId="0F16E796"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7" w:type="pct"/>
            <w:shd w:val="clear" w:color="000000" w:fill="FFFFFF"/>
            <w:vAlign w:val="center"/>
          </w:tcPr>
          <w:p w14:paraId="7CBF2780"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80%</w:t>
            </w:r>
          </w:p>
        </w:tc>
        <w:tc>
          <w:tcPr>
            <w:tcW w:w="367" w:type="pct"/>
            <w:shd w:val="clear" w:color="000000" w:fill="FFFFFF"/>
            <w:vAlign w:val="center"/>
          </w:tcPr>
          <w:p w14:paraId="4C5B5AAD"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90%</w:t>
            </w:r>
          </w:p>
        </w:tc>
        <w:tc>
          <w:tcPr>
            <w:tcW w:w="364" w:type="pct"/>
            <w:shd w:val="clear" w:color="000000" w:fill="FFFFFF"/>
            <w:vAlign w:val="center"/>
          </w:tcPr>
          <w:p w14:paraId="67B27E61"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F52FED" w:rsidRPr="00B0658A" w14:paraId="3E6A6B74" w14:textId="77777777" w:rsidTr="00FE71B1">
        <w:trPr>
          <w:trHeight w:val="20"/>
        </w:trPr>
        <w:tc>
          <w:tcPr>
            <w:tcW w:w="342" w:type="pct"/>
            <w:shd w:val="clear" w:color="000000" w:fill="FFFFFF"/>
            <w:vAlign w:val="center"/>
          </w:tcPr>
          <w:p w14:paraId="3C46AEC1" w14:textId="77777777" w:rsidR="005B7E3E" w:rsidRPr="00B0658A" w:rsidRDefault="005B7E3E" w:rsidP="00FE71B1">
            <w:pPr>
              <w:spacing w:after="0" w:line="240" w:lineRule="auto"/>
              <w:jc w:val="center"/>
              <w:rPr>
                <w:rFonts w:ascii="Times New Roman" w:hAnsi="Times New Roman"/>
                <w:sz w:val="18"/>
                <w:szCs w:val="18"/>
              </w:rPr>
            </w:pPr>
            <w:r w:rsidRPr="00B0658A">
              <w:rPr>
                <w:rFonts w:ascii="Times New Roman" w:hAnsi="Times New Roman"/>
                <w:sz w:val="18"/>
                <w:szCs w:val="18"/>
              </w:rPr>
              <w:t>7.6</w:t>
            </w:r>
          </w:p>
        </w:tc>
        <w:tc>
          <w:tcPr>
            <w:tcW w:w="1182" w:type="pct"/>
            <w:shd w:val="clear" w:color="auto" w:fill="auto"/>
            <w:vAlign w:val="center"/>
          </w:tcPr>
          <w:p w14:paraId="7EAAE672" w14:textId="77777777" w:rsidR="005B7E3E" w:rsidRPr="00B0658A" w:rsidRDefault="005B7E3E" w:rsidP="000A4114">
            <w:pPr>
              <w:spacing w:after="0" w:line="240" w:lineRule="auto"/>
              <w:rPr>
                <w:rFonts w:ascii="Times New Roman" w:hAnsi="Times New Roman"/>
                <w:sz w:val="18"/>
                <w:szCs w:val="18"/>
              </w:rPr>
            </w:pPr>
            <w:r w:rsidRPr="00B0658A">
              <w:rPr>
                <w:rFonts w:ascii="Times New Roman" w:hAnsi="Times New Roman"/>
                <w:sz w:val="18"/>
                <w:szCs w:val="18"/>
              </w:rPr>
              <w:t>Лингвистическое программное обеспечение/ Электронные словари</w:t>
            </w:r>
          </w:p>
        </w:tc>
        <w:tc>
          <w:tcPr>
            <w:tcW w:w="898" w:type="pct"/>
            <w:shd w:val="clear" w:color="000000" w:fill="FFFFFF"/>
          </w:tcPr>
          <w:p w14:paraId="7D57966D" w14:textId="77777777" w:rsidR="005B7E3E" w:rsidRPr="00B0658A" w:rsidRDefault="005B7E3E" w:rsidP="000A4114">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7" w:type="pct"/>
            <w:shd w:val="clear" w:color="000000" w:fill="FFFFFF"/>
            <w:vAlign w:val="center"/>
          </w:tcPr>
          <w:p w14:paraId="2432CCE9"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50%</w:t>
            </w:r>
          </w:p>
        </w:tc>
        <w:tc>
          <w:tcPr>
            <w:tcW w:w="367" w:type="pct"/>
            <w:shd w:val="clear" w:color="000000" w:fill="FFFFFF"/>
            <w:vAlign w:val="center"/>
          </w:tcPr>
          <w:p w14:paraId="4BEBBD1E"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60%</w:t>
            </w:r>
          </w:p>
        </w:tc>
        <w:tc>
          <w:tcPr>
            <w:tcW w:w="367" w:type="pct"/>
            <w:shd w:val="clear" w:color="000000" w:fill="FFFFFF"/>
            <w:vAlign w:val="center"/>
          </w:tcPr>
          <w:p w14:paraId="2DC303C3"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70%</w:t>
            </w:r>
          </w:p>
        </w:tc>
        <w:tc>
          <w:tcPr>
            <w:tcW w:w="379" w:type="pct"/>
            <w:shd w:val="clear" w:color="000000" w:fill="FFFFFF"/>
            <w:vAlign w:val="center"/>
          </w:tcPr>
          <w:p w14:paraId="2D741DD7"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7" w:type="pct"/>
            <w:shd w:val="clear" w:color="000000" w:fill="FFFFFF"/>
            <w:vAlign w:val="center"/>
          </w:tcPr>
          <w:p w14:paraId="5AA99E51"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80%</w:t>
            </w:r>
          </w:p>
        </w:tc>
        <w:tc>
          <w:tcPr>
            <w:tcW w:w="367" w:type="pct"/>
            <w:shd w:val="clear" w:color="000000" w:fill="FFFFFF"/>
            <w:vAlign w:val="center"/>
          </w:tcPr>
          <w:p w14:paraId="382B61C4"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90%</w:t>
            </w:r>
          </w:p>
        </w:tc>
        <w:tc>
          <w:tcPr>
            <w:tcW w:w="364" w:type="pct"/>
            <w:shd w:val="clear" w:color="000000" w:fill="FFFFFF"/>
            <w:vAlign w:val="center"/>
          </w:tcPr>
          <w:p w14:paraId="73527BF5"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F52FED" w:rsidRPr="00B0658A" w14:paraId="01FD9D6F" w14:textId="77777777" w:rsidTr="00FE71B1">
        <w:trPr>
          <w:trHeight w:val="20"/>
        </w:trPr>
        <w:tc>
          <w:tcPr>
            <w:tcW w:w="342" w:type="pct"/>
            <w:shd w:val="clear" w:color="000000" w:fill="FFFFFF"/>
            <w:vAlign w:val="center"/>
          </w:tcPr>
          <w:p w14:paraId="13A907F3" w14:textId="77777777" w:rsidR="005B7E3E" w:rsidRPr="00B0658A" w:rsidRDefault="005B7E3E" w:rsidP="00FE71B1">
            <w:pPr>
              <w:spacing w:after="0" w:line="240" w:lineRule="auto"/>
              <w:jc w:val="center"/>
              <w:rPr>
                <w:rFonts w:ascii="Times New Roman" w:hAnsi="Times New Roman"/>
                <w:sz w:val="18"/>
                <w:szCs w:val="18"/>
              </w:rPr>
            </w:pPr>
            <w:r w:rsidRPr="00B0658A">
              <w:rPr>
                <w:rFonts w:ascii="Times New Roman" w:hAnsi="Times New Roman"/>
                <w:sz w:val="18"/>
                <w:szCs w:val="18"/>
              </w:rPr>
              <w:t>7.7</w:t>
            </w:r>
          </w:p>
        </w:tc>
        <w:tc>
          <w:tcPr>
            <w:tcW w:w="1182" w:type="pct"/>
            <w:shd w:val="clear" w:color="auto" w:fill="auto"/>
            <w:vAlign w:val="center"/>
          </w:tcPr>
          <w:p w14:paraId="56A2C1B4" w14:textId="77777777" w:rsidR="005B7E3E" w:rsidRPr="00B0658A" w:rsidRDefault="005B7E3E" w:rsidP="000A4114">
            <w:pPr>
              <w:spacing w:after="0" w:line="240" w:lineRule="auto"/>
              <w:rPr>
                <w:rFonts w:ascii="Times New Roman" w:hAnsi="Times New Roman"/>
                <w:sz w:val="18"/>
                <w:szCs w:val="18"/>
              </w:rPr>
            </w:pPr>
            <w:r w:rsidRPr="00B0658A">
              <w:rPr>
                <w:rFonts w:ascii="Times New Roman" w:hAnsi="Times New Roman"/>
                <w:sz w:val="18"/>
                <w:szCs w:val="18"/>
              </w:rPr>
              <w:t>Лингвистическое программное обеспечение/ Средства проверки правописания</w:t>
            </w:r>
          </w:p>
        </w:tc>
        <w:tc>
          <w:tcPr>
            <w:tcW w:w="898" w:type="pct"/>
            <w:shd w:val="clear" w:color="000000" w:fill="FFFFFF"/>
          </w:tcPr>
          <w:p w14:paraId="3CEDFAB8" w14:textId="77777777" w:rsidR="005B7E3E" w:rsidRPr="00B0658A" w:rsidRDefault="005B7E3E" w:rsidP="000A4114">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7" w:type="pct"/>
            <w:shd w:val="clear" w:color="000000" w:fill="FFFFFF"/>
            <w:vAlign w:val="center"/>
          </w:tcPr>
          <w:p w14:paraId="10B84701"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50%</w:t>
            </w:r>
          </w:p>
        </w:tc>
        <w:tc>
          <w:tcPr>
            <w:tcW w:w="367" w:type="pct"/>
            <w:shd w:val="clear" w:color="000000" w:fill="FFFFFF"/>
            <w:vAlign w:val="center"/>
          </w:tcPr>
          <w:p w14:paraId="0888A2E5"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60%</w:t>
            </w:r>
          </w:p>
        </w:tc>
        <w:tc>
          <w:tcPr>
            <w:tcW w:w="367" w:type="pct"/>
            <w:shd w:val="clear" w:color="000000" w:fill="FFFFFF"/>
            <w:vAlign w:val="center"/>
          </w:tcPr>
          <w:p w14:paraId="7CDDE123"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70%</w:t>
            </w:r>
          </w:p>
        </w:tc>
        <w:tc>
          <w:tcPr>
            <w:tcW w:w="379" w:type="pct"/>
            <w:shd w:val="clear" w:color="000000" w:fill="FFFFFF"/>
            <w:vAlign w:val="center"/>
          </w:tcPr>
          <w:p w14:paraId="6712F386"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7" w:type="pct"/>
            <w:shd w:val="clear" w:color="000000" w:fill="FFFFFF"/>
            <w:vAlign w:val="center"/>
          </w:tcPr>
          <w:p w14:paraId="5D15469A"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80%</w:t>
            </w:r>
          </w:p>
        </w:tc>
        <w:tc>
          <w:tcPr>
            <w:tcW w:w="367" w:type="pct"/>
            <w:shd w:val="clear" w:color="000000" w:fill="FFFFFF"/>
            <w:vAlign w:val="center"/>
          </w:tcPr>
          <w:p w14:paraId="14426381"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90%</w:t>
            </w:r>
          </w:p>
        </w:tc>
        <w:tc>
          <w:tcPr>
            <w:tcW w:w="364" w:type="pct"/>
            <w:shd w:val="clear" w:color="000000" w:fill="FFFFFF"/>
            <w:vAlign w:val="center"/>
          </w:tcPr>
          <w:p w14:paraId="51F0125F"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F52FED" w:rsidRPr="00B0658A" w14:paraId="15A27EFF" w14:textId="77777777" w:rsidTr="00FE71B1">
        <w:trPr>
          <w:trHeight w:val="20"/>
        </w:trPr>
        <w:tc>
          <w:tcPr>
            <w:tcW w:w="342" w:type="pct"/>
            <w:shd w:val="clear" w:color="000000" w:fill="FFFFFF"/>
            <w:vAlign w:val="center"/>
          </w:tcPr>
          <w:p w14:paraId="798D5368" w14:textId="77777777" w:rsidR="005B7E3E" w:rsidRPr="00B0658A" w:rsidRDefault="005B7E3E" w:rsidP="00FE71B1">
            <w:pPr>
              <w:spacing w:after="0" w:line="240" w:lineRule="auto"/>
              <w:jc w:val="center"/>
              <w:rPr>
                <w:rFonts w:ascii="Times New Roman" w:hAnsi="Times New Roman"/>
                <w:sz w:val="18"/>
                <w:szCs w:val="18"/>
              </w:rPr>
            </w:pPr>
            <w:r w:rsidRPr="00B0658A">
              <w:rPr>
                <w:rFonts w:ascii="Times New Roman" w:hAnsi="Times New Roman"/>
                <w:sz w:val="18"/>
                <w:szCs w:val="18"/>
              </w:rPr>
              <w:t>8.1</w:t>
            </w:r>
          </w:p>
        </w:tc>
        <w:tc>
          <w:tcPr>
            <w:tcW w:w="1182" w:type="pct"/>
            <w:shd w:val="clear" w:color="auto" w:fill="auto"/>
            <w:vAlign w:val="center"/>
          </w:tcPr>
          <w:p w14:paraId="3DC5C3CE" w14:textId="77777777" w:rsidR="005B7E3E" w:rsidRPr="00B0658A" w:rsidRDefault="005B7E3E" w:rsidP="000A4114">
            <w:pPr>
              <w:spacing w:after="0" w:line="240" w:lineRule="auto"/>
              <w:rPr>
                <w:rFonts w:ascii="Times New Roman" w:hAnsi="Times New Roman"/>
                <w:sz w:val="18"/>
                <w:szCs w:val="18"/>
              </w:rPr>
            </w:pPr>
            <w:r w:rsidRPr="00B0658A">
              <w:rPr>
                <w:rFonts w:ascii="Times New Roman" w:hAnsi="Times New Roman"/>
                <w:sz w:val="18"/>
                <w:szCs w:val="18"/>
              </w:rPr>
              <w:t xml:space="preserve">Промышленное программное обеспечение/ Средства управления жизненным циклом изделия (PLM) </w:t>
            </w:r>
          </w:p>
        </w:tc>
        <w:tc>
          <w:tcPr>
            <w:tcW w:w="898" w:type="pct"/>
            <w:shd w:val="clear" w:color="000000" w:fill="FFFFFF"/>
          </w:tcPr>
          <w:p w14:paraId="66F58C87" w14:textId="77777777" w:rsidR="005B7E3E" w:rsidRPr="00B0658A" w:rsidRDefault="005B7E3E" w:rsidP="000A4114">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7" w:type="pct"/>
            <w:shd w:val="clear" w:color="000000" w:fill="FFFFFF"/>
            <w:vAlign w:val="center"/>
          </w:tcPr>
          <w:p w14:paraId="751CF6F3"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20%</w:t>
            </w:r>
          </w:p>
        </w:tc>
        <w:tc>
          <w:tcPr>
            <w:tcW w:w="367" w:type="pct"/>
            <w:shd w:val="clear" w:color="000000" w:fill="FFFFFF"/>
            <w:vAlign w:val="center"/>
          </w:tcPr>
          <w:p w14:paraId="733AB54C"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35%</w:t>
            </w:r>
          </w:p>
        </w:tc>
        <w:tc>
          <w:tcPr>
            <w:tcW w:w="367" w:type="pct"/>
            <w:shd w:val="clear" w:color="000000" w:fill="FFFFFF"/>
            <w:vAlign w:val="center"/>
          </w:tcPr>
          <w:p w14:paraId="2E4A098A"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55%</w:t>
            </w:r>
          </w:p>
        </w:tc>
        <w:tc>
          <w:tcPr>
            <w:tcW w:w="379" w:type="pct"/>
            <w:shd w:val="clear" w:color="000000" w:fill="FFFFFF"/>
            <w:vAlign w:val="center"/>
          </w:tcPr>
          <w:p w14:paraId="695CC062"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7" w:type="pct"/>
            <w:shd w:val="clear" w:color="000000" w:fill="FFFFFF"/>
            <w:vAlign w:val="center"/>
          </w:tcPr>
          <w:p w14:paraId="264D53DC"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75%</w:t>
            </w:r>
          </w:p>
        </w:tc>
        <w:tc>
          <w:tcPr>
            <w:tcW w:w="367" w:type="pct"/>
            <w:shd w:val="clear" w:color="000000" w:fill="FFFFFF"/>
            <w:vAlign w:val="center"/>
          </w:tcPr>
          <w:p w14:paraId="7F96D3BE"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90%</w:t>
            </w:r>
          </w:p>
        </w:tc>
        <w:tc>
          <w:tcPr>
            <w:tcW w:w="364" w:type="pct"/>
            <w:shd w:val="clear" w:color="000000" w:fill="FFFFFF"/>
            <w:vAlign w:val="center"/>
          </w:tcPr>
          <w:p w14:paraId="58462266"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F52FED" w:rsidRPr="00B0658A" w14:paraId="254017CD" w14:textId="77777777" w:rsidTr="00FE71B1">
        <w:trPr>
          <w:trHeight w:val="20"/>
        </w:trPr>
        <w:tc>
          <w:tcPr>
            <w:tcW w:w="342" w:type="pct"/>
            <w:shd w:val="clear" w:color="000000" w:fill="FFFFFF"/>
            <w:vAlign w:val="center"/>
          </w:tcPr>
          <w:p w14:paraId="15EEAB3F" w14:textId="77777777" w:rsidR="005B7E3E" w:rsidRPr="00B0658A" w:rsidRDefault="005B7E3E" w:rsidP="00FE71B1">
            <w:pPr>
              <w:spacing w:after="0" w:line="240" w:lineRule="auto"/>
              <w:jc w:val="center"/>
              <w:rPr>
                <w:rFonts w:ascii="Times New Roman" w:hAnsi="Times New Roman"/>
                <w:sz w:val="18"/>
                <w:szCs w:val="18"/>
              </w:rPr>
            </w:pPr>
            <w:r w:rsidRPr="00B0658A">
              <w:rPr>
                <w:rFonts w:ascii="Times New Roman" w:hAnsi="Times New Roman"/>
                <w:sz w:val="18"/>
                <w:szCs w:val="18"/>
              </w:rPr>
              <w:t>8.2</w:t>
            </w:r>
          </w:p>
        </w:tc>
        <w:tc>
          <w:tcPr>
            <w:tcW w:w="1182" w:type="pct"/>
            <w:shd w:val="clear" w:color="auto" w:fill="auto"/>
            <w:vAlign w:val="center"/>
          </w:tcPr>
          <w:p w14:paraId="002C429E" w14:textId="77777777" w:rsidR="005B7E3E" w:rsidRPr="00B0658A" w:rsidRDefault="005B7E3E" w:rsidP="000A4114">
            <w:pPr>
              <w:spacing w:after="0" w:line="240" w:lineRule="auto"/>
              <w:rPr>
                <w:rFonts w:ascii="Times New Roman" w:hAnsi="Times New Roman"/>
                <w:sz w:val="18"/>
                <w:szCs w:val="18"/>
              </w:rPr>
            </w:pPr>
            <w:r w:rsidRPr="00B0658A">
              <w:rPr>
                <w:rFonts w:ascii="Times New Roman" w:hAnsi="Times New Roman"/>
                <w:sz w:val="18"/>
                <w:szCs w:val="18"/>
              </w:rPr>
              <w:t>Промышленное программное обеспечение/ Универсальные машиностроительные средства автоматизированного проектирования (MCAD)</w:t>
            </w:r>
          </w:p>
        </w:tc>
        <w:tc>
          <w:tcPr>
            <w:tcW w:w="898" w:type="pct"/>
            <w:shd w:val="clear" w:color="000000" w:fill="FFFFFF"/>
          </w:tcPr>
          <w:p w14:paraId="3D0459C0" w14:textId="77777777" w:rsidR="005B7E3E" w:rsidRPr="00B0658A" w:rsidRDefault="005B7E3E" w:rsidP="000A4114">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7" w:type="pct"/>
            <w:shd w:val="clear" w:color="000000" w:fill="FFFFFF"/>
            <w:vAlign w:val="center"/>
          </w:tcPr>
          <w:p w14:paraId="6AF3F6FC"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30%</w:t>
            </w:r>
          </w:p>
        </w:tc>
        <w:tc>
          <w:tcPr>
            <w:tcW w:w="367" w:type="pct"/>
            <w:shd w:val="clear" w:color="000000" w:fill="FFFFFF"/>
            <w:vAlign w:val="center"/>
          </w:tcPr>
          <w:p w14:paraId="2C5720C7"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40%</w:t>
            </w:r>
          </w:p>
        </w:tc>
        <w:tc>
          <w:tcPr>
            <w:tcW w:w="367" w:type="pct"/>
            <w:shd w:val="clear" w:color="000000" w:fill="FFFFFF"/>
            <w:vAlign w:val="center"/>
          </w:tcPr>
          <w:p w14:paraId="25913641"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55%</w:t>
            </w:r>
          </w:p>
        </w:tc>
        <w:tc>
          <w:tcPr>
            <w:tcW w:w="379" w:type="pct"/>
            <w:shd w:val="clear" w:color="000000" w:fill="FFFFFF"/>
            <w:vAlign w:val="center"/>
          </w:tcPr>
          <w:p w14:paraId="4EDB2BC9"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7" w:type="pct"/>
            <w:shd w:val="clear" w:color="000000" w:fill="FFFFFF"/>
            <w:vAlign w:val="center"/>
          </w:tcPr>
          <w:p w14:paraId="492BA57F"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70%</w:t>
            </w:r>
          </w:p>
        </w:tc>
        <w:tc>
          <w:tcPr>
            <w:tcW w:w="367" w:type="pct"/>
            <w:shd w:val="clear" w:color="000000" w:fill="FFFFFF"/>
            <w:vAlign w:val="center"/>
          </w:tcPr>
          <w:p w14:paraId="2A78CD0F"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85%</w:t>
            </w:r>
          </w:p>
        </w:tc>
        <w:tc>
          <w:tcPr>
            <w:tcW w:w="364" w:type="pct"/>
            <w:shd w:val="clear" w:color="000000" w:fill="FFFFFF"/>
            <w:vAlign w:val="center"/>
          </w:tcPr>
          <w:p w14:paraId="775F7CB5"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F52FED" w:rsidRPr="00B0658A" w14:paraId="0A36EC4D" w14:textId="77777777" w:rsidTr="00FE71B1">
        <w:trPr>
          <w:trHeight w:val="20"/>
        </w:trPr>
        <w:tc>
          <w:tcPr>
            <w:tcW w:w="342" w:type="pct"/>
            <w:shd w:val="clear" w:color="000000" w:fill="FFFFFF"/>
            <w:vAlign w:val="center"/>
          </w:tcPr>
          <w:p w14:paraId="26DDEA9E" w14:textId="77777777" w:rsidR="005B7E3E" w:rsidRPr="00B0658A" w:rsidRDefault="005B7E3E" w:rsidP="00FE71B1">
            <w:pPr>
              <w:spacing w:after="0" w:line="240" w:lineRule="auto"/>
              <w:jc w:val="center"/>
              <w:rPr>
                <w:rFonts w:ascii="Times New Roman" w:hAnsi="Times New Roman"/>
                <w:sz w:val="18"/>
                <w:szCs w:val="18"/>
              </w:rPr>
            </w:pPr>
            <w:r w:rsidRPr="00B0658A">
              <w:rPr>
                <w:rFonts w:ascii="Times New Roman" w:hAnsi="Times New Roman"/>
                <w:sz w:val="18"/>
                <w:szCs w:val="18"/>
              </w:rPr>
              <w:t>8.3</w:t>
            </w:r>
          </w:p>
        </w:tc>
        <w:tc>
          <w:tcPr>
            <w:tcW w:w="1182" w:type="pct"/>
            <w:shd w:val="clear" w:color="auto" w:fill="auto"/>
            <w:vAlign w:val="center"/>
          </w:tcPr>
          <w:p w14:paraId="2A7E6C64" w14:textId="77777777" w:rsidR="005B7E3E" w:rsidRPr="00B0658A" w:rsidRDefault="005B7E3E" w:rsidP="000A4114">
            <w:pPr>
              <w:spacing w:after="0" w:line="240" w:lineRule="auto"/>
              <w:rPr>
                <w:rFonts w:ascii="Times New Roman" w:hAnsi="Times New Roman"/>
                <w:sz w:val="18"/>
                <w:szCs w:val="18"/>
              </w:rPr>
            </w:pPr>
            <w:r w:rsidRPr="00B0658A">
              <w:rPr>
                <w:rFonts w:ascii="Times New Roman" w:hAnsi="Times New Roman"/>
                <w:sz w:val="18"/>
                <w:szCs w:val="18"/>
              </w:rPr>
              <w:t>Промышленное программное обеспечение/ Средства автоматизированного проектирования (CAD)</w:t>
            </w:r>
          </w:p>
        </w:tc>
        <w:tc>
          <w:tcPr>
            <w:tcW w:w="898" w:type="pct"/>
            <w:shd w:val="clear" w:color="000000" w:fill="FFFFFF"/>
          </w:tcPr>
          <w:p w14:paraId="4F110C9F" w14:textId="77777777" w:rsidR="005B7E3E" w:rsidRPr="00B0658A" w:rsidRDefault="005B7E3E" w:rsidP="000A4114">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7" w:type="pct"/>
            <w:shd w:val="clear" w:color="000000" w:fill="FFFFFF"/>
            <w:vAlign w:val="center"/>
          </w:tcPr>
          <w:p w14:paraId="5C1E16DD"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30%</w:t>
            </w:r>
          </w:p>
        </w:tc>
        <w:tc>
          <w:tcPr>
            <w:tcW w:w="367" w:type="pct"/>
            <w:shd w:val="clear" w:color="000000" w:fill="FFFFFF"/>
            <w:vAlign w:val="center"/>
          </w:tcPr>
          <w:p w14:paraId="095FF3BB"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40%</w:t>
            </w:r>
          </w:p>
        </w:tc>
        <w:tc>
          <w:tcPr>
            <w:tcW w:w="367" w:type="pct"/>
            <w:shd w:val="clear" w:color="000000" w:fill="FFFFFF"/>
            <w:vAlign w:val="center"/>
          </w:tcPr>
          <w:p w14:paraId="4115FF6F"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55%</w:t>
            </w:r>
          </w:p>
        </w:tc>
        <w:tc>
          <w:tcPr>
            <w:tcW w:w="379" w:type="pct"/>
            <w:shd w:val="clear" w:color="000000" w:fill="FFFFFF"/>
            <w:vAlign w:val="center"/>
          </w:tcPr>
          <w:p w14:paraId="03F52F80"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7" w:type="pct"/>
            <w:shd w:val="clear" w:color="000000" w:fill="FFFFFF"/>
            <w:vAlign w:val="center"/>
          </w:tcPr>
          <w:p w14:paraId="702C03BC"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70%</w:t>
            </w:r>
          </w:p>
        </w:tc>
        <w:tc>
          <w:tcPr>
            <w:tcW w:w="367" w:type="pct"/>
            <w:shd w:val="clear" w:color="000000" w:fill="FFFFFF"/>
            <w:vAlign w:val="center"/>
          </w:tcPr>
          <w:p w14:paraId="63983303"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85%</w:t>
            </w:r>
          </w:p>
        </w:tc>
        <w:tc>
          <w:tcPr>
            <w:tcW w:w="364" w:type="pct"/>
            <w:shd w:val="clear" w:color="000000" w:fill="FFFFFF"/>
            <w:vAlign w:val="center"/>
          </w:tcPr>
          <w:p w14:paraId="60E9F3B2"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F52FED" w:rsidRPr="00B0658A" w14:paraId="7F395764" w14:textId="77777777" w:rsidTr="00FE71B1">
        <w:trPr>
          <w:trHeight w:val="20"/>
        </w:trPr>
        <w:tc>
          <w:tcPr>
            <w:tcW w:w="342" w:type="pct"/>
            <w:shd w:val="clear" w:color="000000" w:fill="FFFFFF"/>
            <w:vAlign w:val="center"/>
          </w:tcPr>
          <w:p w14:paraId="78140A61" w14:textId="77777777" w:rsidR="005B7E3E" w:rsidRPr="00B0658A" w:rsidRDefault="005B7E3E" w:rsidP="00FE71B1">
            <w:pPr>
              <w:spacing w:after="0" w:line="240" w:lineRule="auto"/>
              <w:jc w:val="center"/>
              <w:rPr>
                <w:rFonts w:ascii="Times New Roman" w:hAnsi="Times New Roman"/>
                <w:sz w:val="18"/>
                <w:szCs w:val="18"/>
              </w:rPr>
            </w:pPr>
            <w:r w:rsidRPr="00B0658A">
              <w:rPr>
                <w:rFonts w:ascii="Times New Roman" w:hAnsi="Times New Roman"/>
                <w:sz w:val="18"/>
                <w:szCs w:val="18"/>
              </w:rPr>
              <w:t>8.4</w:t>
            </w:r>
          </w:p>
        </w:tc>
        <w:tc>
          <w:tcPr>
            <w:tcW w:w="1182" w:type="pct"/>
            <w:shd w:val="clear" w:color="auto" w:fill="auto"/>
            <w:vAlign w:val="center"/>
          </w:tcPr>
          <w:p w14:paraId="33DF2539" w14:textId="77777777" w:rsidR="005B7E3E" w:rsidRPr="00B0658A" w:rsidRDefault="005B7E3E" w:rsidP="000A4114">
            <w:pPr>
              <w:spacing w:after="0" w:line="240" w:lineRule="auto"/>
              <w:rPr>
                <w:rFonts w:ascii="Times New Roman" w:hAnsi="Times New Roman"/>
                <w:sz w:val="18"/>
                <w:szCs w:val="18"/>
              </w:rPr>
            </w:pPr>
            <w:r w:rsidRPr="00B0658A">
              <w:rPr>
                <w:rFonts w:ascii="Times New Roman" w:hAnsi="Times New Roman"/>
                <w:sz w:val="18"/>
                <w:szCs w:val="18"/>
              </w:rPr>
              <w:t xml:space="preserve">Промышленное программное обеспечение/ Средства автоматизированного проектирования для радиоэлектроники </w:t>
            </w:r>
            <w:r w:rsidRPr="00B0658A">
              <w:rPr>
                <w:rFonts w:ascii="Times New Roman" w:hAnsi="Times New Roman"/>
                <w:sz w:val="18"/>
                <w:szCs w:val="18"/>
              </w:rPr>
              <w:br/>
              <w:t>и электротехники (ECAD, EDA)</w:t>
            </w:r>
          </w:p>
        </w:tc>
        <w:tc>
          <w:tcPr>
            <w:tcW w:w="898" w:type="pct"/>
            <w:shd w:val="clear" w:color="000000" w:fill="FFFFFF"/>
          </w:tcPr>
          <w:p w14:paraId="12A3CA76" w14:textId="77777777" w:rsidR="005B7E3E" w:rsidRPr="00B0658A" w:rsidRDefault="005B7E3E" w:rsidP="000A4114">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7" w:type="pct"/>
            <w:shd w:val="clear" w:color="000000" w:fill="FFFFFF"/>
            <w:vAlign w:val="center"/>
          </w:tcPr>
          <w:p w14:paraId="309AC0AC"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30%</w:t>
            </w:r>
          </w:p>
        </w:tc>
        <w:tc>
          <w:tcPr>
            <w:tcW w:w="367" w:type="pct"/>
            <w:shd w:val="clear" w:color="000000" w:fill="FFFFFF"/>
            <w:vAlign w:val="center"/>
          </w:tcPr>
          <w:p w14:paraId="3BDE5BFA"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40%</w:t>
            </w:r>
          </w:p>
        </w:tc>
        <w:tc>
          <w:tcPr>
            <w:tcW w:w="367" w:type="pct"/>
            <w:shd w:val="clear" w:color="000000" w:fill="FFFFFF"/>
            <w:vAlign w:val="center"/>
          </w:tcPr>
          <w:p w14:paraId="5C7B6953"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55%</w:t>
            </w:r>
          </w:p>
        </w:tc>
        <w:tc>
          <w:tcPr>
            <w:tcW w:w="379" w:type="pct"/>
            <w:shd w:val="clear" w:color="000000" w:fill="FFFFFF"/>
            <w:vAlign w:val="center"/>
          </w:tcPr>
          <w:p w14:paraId="05847763"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7" w:type="pct"/>
            <w:shd w:val="clear" w:color="000000" w:fill="FFFFFF"/>
            <w:vAlign w:val="center"/>
          </w:tcPr>
          <w:p w14:paraId="45E4C976"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70%</w:t>
            </w:r>
          </w:p>
        </w:tc>
        <w:tc>
          <w:tcPr>
            <w:tcW w:w="367" w:type="pct"/>
            <w:shd w:val="clear" w:color="000000" w:fill="FFFFFF"/>
            <w:vAlign w:val="center"/>
          </w:tcPr>
          <w:p w14:paraId="75118C0E"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85%</w:t>
            </w:r>
          </w:p>
        </w:tc>
        <w:tc>
          <w:tcPr>
            <w:tcW w:w="364" w:type="pct"/>
            <w:shd w:val="clear" w:color="000000" w:fill="FFFFFF"/>
            <w:vAlign w:val="center"/>
          </w:tcPr>
          <w:p w14:paraId="3D36ED45"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F52FED" w:rsidRPr="00B0658A" w14:paraId="184A1DB9" w14:textId="77777777" w:rsidTr="00FE71B1">
        <w:trPr>
          <w:trHeight w:val="20"/>
        </w:trPr>
        <w:tc>
          <w:tcPr>
            <w:tcW w:w="342" w:type="pct"/>
            <w:shd w:val="clear" w:color="000000" w:fill="FFFFFF"/>
            <w:vAlign w:val="center"/>
          </w:tcPr>
          <w:p w14:paraId="55DA83AC" w14:textId="77777777" w:rsidR="005B7E3E" w:rsidRPr="00B0658A" w:rsidRDefault="005B7E3E" w:rsidP="00FE71B1">
            <w:pPr>
              <w:spacing w:after="0" w:line="240" w:lineRule="auto"/>
              <w:jc w:val="center"/>
              <w:rPr>
                <w:rFonts w:ascii="Times New Roman" w:hAnsi="Times New Roman"/>
                <w:sz w:val="18"/>
                <w:szCs w:val="18"/>
              </w:rPr>
            </w:pPr>
            <w:r w:rsidRPr="00B0658A">
              <w:rPr>
                <w:rFonts w:ascii="Times New Roman" w:hAnsi="Times New Roman"/>
                <w:sz w:val="18"/>
                <w:szCs w:val="18"/>
              </w:rPr>
              <w:t>8.5</w:t>
            </w:r>
          </w:p>
        </w:tc>
        <w:tc>
          <w:tcPr>
            <w:tcW w:w="1182" w:type="pct"/>
            <w:shd w:val="clear" w:color="auto" w:fill="auto"/>
            <w:vAlign w:val="center"/>
          </w:tcPr>
          <w:p w14:paraId="3AFA5080" w14:textId="77777777" w:rsidR="005B7E3E" w:rsidRPr="00B0658A" w:rsidRDefault="005B7E3E" w:rsidP="000A4114">
            <w:pPr>
              <w:spacing w:after="0" w:line="240" w:lineRule="auto"/>
              <w:rPr>
                <w:rFonts w:ascii="Times New Roman" w:hAnsi="Times New Roman"/>
                <w:sz w:val="18"/>
                <w:szCs w:val="18"/>
              </w:rPr>
            </w:pPr>
            <w:r w:rsidRPr="00B0658A">
              <w:rPr>
                <w:rFonts w:ascii="Times New Roman" w:hAnsi="Times New Roman"/>
                <w:sz w:val="18"/>
                <w:szCs w:val="18"/>
              </w:rPr>
              <w:t>Промышленное программное обеспечение/ Средства инженерного анализа (CAE)</w:t>
            </w:r>
          </w:p>
        </w:tc>
        <w:tc>
          <w:tcPr>
            <w:tcW w:w="898" w:type="pct"/>
            <w:shd w:val="clear" w:color="000000" w:fill="FFFFFF"/>
          </w:tcPr>
          <w:p w14:paraId="2FEF115F" w14:textId="77777777" w:rsidR="005B7E3E" w:rsidRPr="00B0658A" w:rsidRDefault="005B7E3E" w:rsidP="000A4114">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7" w:type="pct"/>
            <w:shd w:val="clear" w:color="000000" w:fill="FFFFFF"/>
            <w:vAlign w:val="center"/>
          </w:tcPr>
          <w:p w14:paraId="017A3F4F"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30%</w:t>
            </w:r>
          </w:p>
        </w:tc>
        <w:tc>
          <w:tcPr>
            <w:tcW w:w="367" w:type="pct"/>
            <w:shd w:val="clear" w:color="000000" w:fill="FFFFFF"/>
            <w:vAlign w:val="center"/>
          </w:tcPr>
          <w:p w14:paraId="49DB6C5A"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40%</w:t>
            </w:r>
          </w:p>
        </w:tc>
        <w:tc>
          <w:tcPr>
            <w:tcW w:w="367" w:type="pct"/>
            <w:shd w:val="clear" w:color="000000" w:fill="FFFFFF"/>
            <w:vAlign w:val="center"/>
          </w:tcPr>
          <w:p w14:paraId="01D88A73"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55%</w:t>
            </w:r>
          </w:p>
        </w:tc>
        <w:tc>
          <w:tcPr>
            <w:tcW w:w="379" w:type="pct"/>
            <w:shd w:val="clear" w:color="000000" w:fill="FFFFFF"/>
            <w:vAlign w:val="center"/>
          </w:tcPr>
          <w:p w14:paraId="6B43FCDF"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7" w:type="pct"/>
            <w:shd w:val="clear" w:color="000000" w:fill="FFFFFF"/>
            <w:vAlign w:val="center"/>
          </w:tcPr>
          <w:p w14:paraId="2A48DF77"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70%</w:t>
            </w:r>
          </w:p>
        </w:tc>
        <w:tc>
          <w:tcPr>
            <w:tcW w:w="367" w:type="pct"/>
            <w:shd w:val="clear" w:color="000000" w:fill="FFFFFF"/>
            <w:vAlign w:val="center"/>
          </w:tcPr>
          <w:p w14:paraId="48B1AABA"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85%</w:t>
            </w:r>
          </w:p>
        </w:tc>
        <w:tc>
          <w:tcPr>
            <w:tcW w:w="364" w:type="pct"/>
            <w:shd w:val="clear" w:color="000000" w:fill="FFFFFF"/>
            <w:vAlign w:val="center"/>
          </w:tcPr>
          <w:p w14:paraId="62EF7AE2"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F52FED" w:rsidRPr="00B0658A" w14:paraId="2CB8D7BE" w14:textId="77777777" w:rsidTr="00FE71B1">
        <w:trPr>
          <w:trHeight w:val="20"/>
        </w:trPr>
        <w:tc>
          <w:tcPr>
            <w:tcW w:w="342" w:type="pct"/>
            <w:shd w:val="clear" w:color="000000" w:fill="FFFFFF"/>
            <w:vAlign w:val="center"/>
          </w:tcPr>
          <w:p w14:paraId="6E631214" w14:textId="77777777" w:rsidR="005B7E3E" w:rsidRPr="00B0658A" w:rsidRDefault="005B7E3E" w:rsidP="00FE71B1">
            <w:pPr>
              <w:spacing w:after="0" w:line="240" w:lineRule="auto"/>
              <w:jc w:val="center"/>
              <w:rPr>
                <w:rFonts w:ascii="Times New Roman" w:hAnsi="Times New Roman"/>
                <w:sz w:val="18"/>
                <w:szCs w:val="18"/>
              </w:rPr>
            </w:pPr>
            <w:r w:rsidRPr="00B0658A">
              <w:rPr>
                <w:rFonts w:ascii="Times New Roman" w:hAnsi="Times New Roman"/>
                <w:sz w:val="18"/>
                <w:szCs w:val="18"/>
              </w:rPr>
              <w:t>8.6</w:t>
            </w:r>
          </w:p>
        </w:tc>
        <w:tc>
          <w:tcPr>
            <w:tcW w:w="1182" w:type="pct"/>
            <w:shd w:val="clear" w:color="auto" w:fill="auto"/>
            <w:vAlign w:val="center"/>
          </w:tcPr>
          <w:p w14:paraId="69B97B3B" w14:textId="77777777" w:rsidR="005B7E3E" w:rsidRPr="00B0658A" w:rsidRDefault="005B7E3E" w:rsidP="000A4114">
            <w:pPr>
              <w:spacing w:after="0" w:line="240" w:lineRule="auto"/>
              <w:rPr>
                <w:rFonts w:ascii="Times New Roman" w:hAnsi="Times New Roman"/>
                <w:sz w:val="18"/>
                <w:szCs w:val="18"/>
              </w:rPr>
            </w:pPr>
            <w:r w:rsidRPr="00B0658A">
              <w:rPr>
                <w:rFonts w:ascii="Times New Roman" w:hAnsi="Times New Roman"/>
                <w:sz w:val="18"/>
                <w:szCs w:val="18"/>
              </w:rPr>
              <w:t>Промышленное программное обеспечение/ Средства управления оборудованием с числовым программным управлением (CAM)</w:t>
            </w:r>
          </w:p>
        </w:tc>
        <w:tc>
          <w:tcPr>
            <w:tcW w:w="898" w:type="pct"/>
            <w:shd w:val="clear" w:color="000000" w:fill="FFFFFF"/>
          </w:tcPr>
          <w:p w14:paraId="0BB96AEA" w14:textId="77777777" w:rsidR="005B7E3E" w:rsidRPr="00B0658A" w:rsidRDefault="005B7E3E" w:rsidP="000A4114">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7" w:type="pct"/>
            <w:shd w:val="clear" w:color="000000" w:fill="FFFFFF"/>
            <w:vAlign w:val="center"/>
          </w:tcPr>
          <w:p w14:paraId="63475CBC"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30%</w:t>
            </w:r>
          </w:p>
        </w:tc>
        <w:tc>
          <w:tcPr>
            <w:tcW w:w="367" w:type="pct"/>
            <w:shd w:val="clear" w:color="000000" w:fill="FFFFFF"/>
            <w:vAlign w:val="center"/>
          </w:tcPr>
          <w:p w14:paraId="43BD8E4F"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40%</w:t>
            </w:r>
          </w:p>
        </w:tc>
        <w:tc>
          <w:tcPr>
            <w:tcW w:w="367" w:type="pct"/>
            <w:shd w:val="clear" w:color="000000" w:fill="FFFFFF"/>
            <w:vAlign w:val="center"/>
          </w:tcPr>
          <w:p w14:paraId="5A0949C2"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55%</w:t>
            </w:r>
          </w:p>
        </w:tc>
        <w:tc>
          <w:tcPr>
            <w:tcW w:w="379" w:type="pct"/>
            <w:shd w:val="clear" w:color="000000" w:fill="FFFFFF"/>
            <w:vAlign w:val="center"/>
          </w:tcPr>
          <w:p w14:paraId="315F883F"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7" w:type="pct"/>
            <w:shd w:val="clear" w:color="000000" w:fill="FFFFFF"/>
            <w:vAlign w:val="center"/>
          </w:tcPr>
          <w:p w14:paraId="38FA9A86"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70%</w:t>
            </w:r>
          </w:p>
        </w:tc>
        <w:tc>
          <w:tcPr>
            <w:tcW w:w="367" w:type="pct"/>
            <w:shd w:val="clear" w:color="000000" w:fill="FFFFFF"/>
            <w:vAlign w:val="center"/>
          </w:tcPr>
          <w:p w14:paraId="0106E505"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85%</w:t>
            </w:r>
          </w:p>
        </w:tc>
        <w:tc>
          <w:tcPr>
            <w:tcW w:w="364" w:type="pct"/>
            <w:shd w:val="clear" w:color="000000" w:fill="FFFFFF"/>
            <w:vAlign w:val="center"/>
          </w:tcPr>
          <w:p w14:paraId="008C983C"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F52FED" w:rsidRPr="00B0658A" w14:paraId="499ABDE5" w14:textId="77777777" w:rsidTr="00FE71B1">
        <w:trPr>
          <w:trHeight w:val="20"/>
        </w:trPr>
        <w:tc>
          <w:tcPr>
            <w:tcW w:w="342" w:type="pct"/>
            <w:shd w:val="clear" w:color="000000" w:fill="FFFFFF"/>
            <w:vAlign w:val="center"/>
          </w:tcPr>
          <w:p w14:paraId="4A395DDD" w14:textId="77777777" w:rsidR="005B7E3E" w:rsidRPr="00B0658A" w:rsidRDefault="005B7E3E" w:rsidP="00FE71B1">
            <w:pPr>
              <w:spacing w:after="0" w:line="240" w:lineRule="auto"/>
              <w:jc w:val="center"/>
              <w:rPr>
                <w:rFonts w:ascii="Times New Roman" w:hAnsi="Times New Roman"/>
                <w:sz w:val="18"/>
                <w:szCs w:val="18"/>
              </w:rPr>
            </w:pPr>
            <w:r w:rsidRPr="00B0658A">
              <w:rPr>
                <w:rFonts w:ascii="Times New Roman" w:hAnsi="Times New Roman"/>
                <w:sz w:val="18"/>
                <w:szCs w:val="18"/>
              </w:rPr>
              <w:t>8.7</w:t>
            </w:r>
          </w:p>
        </w:tc>
        <w:tc>
          <w:tcPr>
            <w:tcW w:w="1182" w:type="pct"/>
            <w:shd w:val="clear" w:color="auto" w:fill="auto"/>
            <w:vAlign w:val="center"/>
          </w:tcPr>
          <w:p w14:paraId="15D2BD91" w14:textId="77777777" w:rsidR="005B7E3E" w:rsidRPr="00B0658A" w:rsidRDefault="005B7E3E" w:rsidP="000A4114">
            <w:pPr>
              <w:spacing w:after="0" w:line="240" w:lineRule="auto"/>
              <w:rPr>
                <w:rFonts w:ascii="Times New Roman" w:hAnsi="Times New Roman"/>
                <w:sz w:val="18"/>
                <w:szCs w:val="18"/>
              </w:rPr>
            </w:pPr>
            <w:r w:rsidRPr="00B0658A">
              <w:rPr>
                <w:rFonts w:ascii="Times New Roman" w:hAnsi="Times New Roman"/>
                <w:sz w:val="18"/>
                <w:szCs w:val="18"/>
              </w:rPr>
              <w:t>Промышленное программное обеспечение/ Средства технологической подготовки производства (CAPP)</w:t>
            </w:r>
          </w:p>
        </w:tc>
        <w:tc>
          <w:tcPr>
            <w:tcW w:w="898" w:type="pct"/>
            <w:shd w:val="clear" w:color="000000" w:fill="FFFFFF"/>
          </w:tcPr>
          <w:p w14:paraId="50BF3067" w14:textId="77777777" w:rsidR="005B7E3E" w:rsidRPr="00B0658A" w:rsidRDefault="005B7E3E" w:rsidP="000A4114">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7" w:type="pct"/>
            <w:shd w:val="clear" w:color="000000" w:fill="FFFFFF"/>
            <w:vAlign w:val="center"/>
          </w:tcPr>
          <w:p w14:paraId="51B0B942"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30%</w:t>
            </w:r>
          </w:p>
        </w:tc>
        <w:tc>
          <w:tcPr>
            <w:tcW w:w="367" w:type="pct"/>
            <w:shd w:val="clear" w:color="000000" w:fill="FFFFFF"/>
            <w:vAlign w:val="center"/>
          </w:tcPr>
          <w:p w14:paraId="03BFEAA7"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40%</w:t>
            </w:r>
          </w:p>
        </w:tc>
        <w:tc>
          <w:tcPr>
            <w:tcW w:w="367" w:type="pct"/>
            <w:shd w:val="clear" w:color="000000" w:fill="FFFFFF"/>
            <w:vAlign w:val="center"/>
          </w:tcPr>
          <w:p w14:paraId="7499BBB1"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55%</w:t>
            </w:r>
          </w:p>
        </w:tc>
        <w:tc>
          <w:tcPr>
            <w:tcW w:w="379" w:type="pct"/>
            <w:shd w:val="clear" w:color="000000" w:fill="FFFFFF"/>
            <w:vAlign w:val="center"/>
          </w:tcPr>
          <w:p w14:paraId="48C269E4"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7" w:type="pct"/>
            <w:shd w:val="clear" w:color="000000" w:fill="FFFFFF"/>
            <w:vAlign w:val="center"/>
          </w:tcPr>
          <w:p w14:paraId="65651B94"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70%</w:t>
            </w:r>
          </w:p>
        </w:tc>
        <w:tc>
          <w:tcPr>
            <w:tcW w:w="367" w:type="pct"/>
            <w:shd w:val="clear" w:color="000000" w:fill="FFFFFF"/>
            <w:vAlign w:val="center"/>
          </w:tcPr>
          <w:p w14:paraId="72DFEF1A"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85%</w:t>
            </w:r>
          </w:p>
        </w:tc>
        <w:tc>
          <w:tcPr>
            <w:tcW w:w="364" w:type="pct"/>
            <w:shd w:val="clear" w:color="000000" w:fill="FFFFFF"/>
            <w:vAlign w:val="center"/>
          </w:tcPr>
          <w:p w14:paraId="13E4BFB2"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F52FED" w:rsidRPr="00B0658A" w14:paraId="0876FDA1" w14:textId="77777777" w:rsidTr="00FE71B1">
        <w:trPr>
          <w:trHeight w:val="20"/>
        </w:trPr>
        <w:tc>
          <w:tcPr>
            <w:tcW w:w="342" w:type="pct"/>
            <w:shd w:val="clear" w:color="000000" w:fill="FFFFFF"/>
            <w:vAlign w:val="center"/>
          </w:tcPr>
          <w:p w14:paraId="5073D6CD" w14:textId="77777777" w:rsidR="005B7E3E" w:rsidRPr="00B0658A" w:rsidRDefault="005B7E3E" w:rsidP="00FE71B1">
            <w:pPr>
              <w:spacing w:after="0" w:line="240" w:lineRule="auto"/>
              <w:jc w:val="center"/>
              <w:rPr>
                <w:rFonts w:ascii="Times New Roman" w:hAnsi="Times New Roman"/>
                <w:sz w:val="18"/>
                <w:szCs w:val="18"/>
              </w:rPr>
            </w:pPr>
            <w:r w:rsidRPr="00B0658A">
              <w:rPr>
                <w:rFonts w:ascii="Times New Roman" w:hAnsi="Times New Roman"/>
                <w:sz w:val="18"/>
                <w:szCs w:val="18"/>
              </w:rPr>
              <w:t>8.8</w:t>
            </w:r>
          </w:p>
        </w:tc>
        <w:tc>
          <w:tcPr>
            <w:tcW w:w="1182" w:type="pct"/>
            <w:shd w:val="clear" w:color="auto" w:fill="auto"/>
            <w:vAlign w:val="center"/>
          </w:tcPr>
          <w:p w14:paraId="070463CC" w14:textId="77777777" w:rsidR="005B7E3E" w:rsidRPr="00B0658A" w:rsidRDefault="005B7E3E" w:rsidP="000A4114">
            <w:pPr>
              <w:spacing w:after="0" w:line="240" w:lineRule="auto"/>
              <w:rPr>
                <w:rFonts w:ascii="Times New Roman" w:hAnsi="Times New Roman"/>
                <w:sz w:val="18"/>
                <w:szCs w:val="18"/>
              </w:rPr>
            </w:pPr>
            <w:r w:rsidRPr="00B0658A">
              <w:rPr>
                <w:rFonts w:ascii="Times New Roman" w:hAnsi="Times New Roman"/>
                <w:sz w:val="18"/>
                <w:szCs w:val="18"/>
              </w:rPr>
              <w:t xml:space="preserve">Промышленное программное обеспечение/ Средства управления инженерными данными </w:t>
            </w:r>
            <w:r w:rsidRPr="00B0658A">
              <w:rPr>
                <w:rFonts w:ascii="Times New Roman" w:hAnsi="Times New Roman"/>
                <w:sz w:val="18"/>
                <w:szCs w:val="18"/>
              </w:rPr>
              <w:br/>
              <w:t>об изделии (PDM)</w:t>
            </w:r>
          </w:p>
        </w:tc>
        <w:tc>
          <w:tcPr>
            <w:tcW w:w="898" w:type="pct"/>
            <w:shd w:val="clear" w:color="000000" w:fill="FFFFFF"/>
          </w:tcPr>
          <w:p w14:paraId="4E753D1C" w14:textId="77777777" w:rsidR="005B7E3E" w:rsidRPr="00B0658A" w:rsidRDefault="005B7E3E" w:rsidP="000A4114">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7" w:type="pct"/>
            <w:shd w:val="clear" w:color="000000" w:fill="FFFFFF"/>
            <w:vAlign w:val="center"/>
          </w:tcPr>
          <w:p w14:paraId="02B63743"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30%</w:t>
            </w:r>
          </w:p>
        </w:tc>
        <w:tc>
          <w:tcPr>
            <w:tcW w:w="367" w:type="pct"/>
            <w:shd w:val="clear" w:color="000000" w:fill="FFFFFF"/>
            <w:vAlign w:val="center"/>
          </w:tcPr>
          <w:p w14:paraId="2372C1E2"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40%</w:t>
            </w:r>
          </w:p>
        </w:tc>
        <w:tc>
          <w:tcPr>
            <w:tcW w:w="367" w:type="pct"/>
            <w:shd w:val="clear" w:color="000000" w:fill="FFFFFF"/>
            <w:vAlign w:val="center"/>
          </w:tcPr>
          <w:p w14:paraId="0484CBF5"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55%</w:t>
            </w:r>
          </w:p>
        </w:tc>
        <w:tc>
          <w:tcPr>
            <w:tcW w:w="379" w:type="pct"/>
            <w:shd w:val="clear" w:color="000000" w:fill="FFFFFF"/>
            <w:vAlign w:val="center"/>
          </w:tcPr>
          <w:p w14:paraId="759119BE"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7" w:type="pct"/>
            <w:shd w:val="clear" w:color="000000" w:fill="FFFFFF"/>
            <w:vAlign w:val="center"/>
          </w:tcPr>
          <w:p w14:paraId="5A958083"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70%</w:t>
            </w:r>
          </w:p>
        </w:tc>
        <w:tc>
          <w:tcPr>
            <w:tcW w:w="367" w:type="pct"/>
            <w:shd w:val="clear" w:color="000000" w:fill="FFFFFF"/>
            <w:vAlign w:val="center"/>
          </w:tcPr>
          <w:p w14:paraId="34701069"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85%</w:t>
            </w:r>
          </w:p>
        </w:tc>
        <w:tc>
          <w:tcPr>
            <w:tcW w:w="364" w:type="pct"/>
            <w:shd w:val="clear" w:color="000000" w:fill="FFFFFF"/>
            <w:vAlign w:val="center"/>
          </w:tcPr>
          <w:p w14:paraId="4A32586C"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F52FED" w:rsidRPr="00B0658A" w14:paraId="3F171781" w14:textId="77777777" w:rsidTr="00FE71B1">
        <w:trPr>
          <w:trHeight w:val="20"/>
        </w:trPr>
        <w:tc>
          <w:tcPr>
            <w:tcW w:w="342" w:type="pct"/>
            <w:shd w:val="clear" w:color="000000" w:fill="FFFFFF"/>
            <w:vAlign w:val="center"/>
          </w:tcPr>
          <w:p w14:paraId="57ECCD86" w14:textId="77777777" w:rsidR="005B7E3E" w:rsidRPr="00B0658A" w:rsidRDefault="005B7E3E" w:rsidP="00FE71B1">
            <w:pPr>
              <w:spacing w:after="0" w:line="240" w:lineRule="auto"/>
              <w:jc w:val="center"/>
              <w:rPr>
                <w:rFonts w:ascii="Times New Roman" w:hAnsi="Times New Roman"/>
                <w:sz w:val="18"/>
                <w:szCs w:val="18"/>
              </w:rPr>
            </w:pPr>
            <w:r w:rsidRPr="00B0658A">
              <w:rPr>
                <w:rFonts w:ascii="Times New Roman" w:hAnsi="Times New Roman"/>
                <w:sz w:val="18"/>
                <w:szCs w:val="18"/>
              </w:rPr>
              <w:t>8.9</w:t>
            </w:r>
          </w:p>
        </w:tc>
        <w:tc>
          <w:tcPr>
            <w:tcW w:w="1182" w:type="pct"/>
            <w:shd w:val="clear" w:color="auto" w:fill="auto"/>
            <w:vAlign w:val="center"/>
          </w:tcPr>
          <w:p w14:paraId="329564D3" w14:textId="77777777" w:rsidR="005B7E3E" w:rsidRPr="00B0658A" w:rsidRDefault="005B7E3E" w:rsidP="000A4114">
            <w:pPr>
              <w:spacing w:after="0" w:line="240" w:lineRule="auto"/>
              <w:rPr>
                <w:rFonts w:ascii="Times New Roman" w:hAnsi="Times New Roman"/>
                <w:sz w:val="18"/>
                <w:szCs w:val="18"/>
              </w:rPr>
            </w:pPr>
            <w:r w:rsidRPr="00B0658A">
              <w:rPr>
                <w:rFonts w:ascii="Times New Roman" w:hAnsi="Times New Roman"/>
                <w:sz w:val="18"/>
                <w:szCs w:val="18"/>
              </w:rPr>
              <w:t xml:space="preserve">Промышленное программное обеспечение / Средства информационного моделирования зданий </w:t>
            </w:r>
            <w:r w:rsidRPr="00B0658A">
              <w:rPr>
                <w:rFonts w:ascii="Times New Roman" w:hAnsi="Times New Roman"/>
                <w:sz w:val="18"/>
                <w:szCs w:val="18"/>
              </w:rPr>
              <w:br/>
              <w:t>и сооружений, архитектурно-строительного проектирования (BIM, AEC CAD)</w:t>
            </w:r>
          </w:p>
        </w:tc>
        <w:tc>
          <w:tcPr>
            <w:tcW w:w="898" w:type="pct"/>
            <w:shd w:val="clear" w:color="000000" w:fill="FFFFFF"/>
          </w:tcPr>
          <w:p w14:paraId="2849AFA5" w14:textId="77777777" w:rsidR="005B7E3E" w:rsidRPr="00B0658A" w:rsidRDefault="005B7E3E" w:rsidP="000A4114">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7" w:type="pct"/>
            <w:shd w:val="clear" w:color="000000" w:fill="FFFFFF"/>
            <w:vAlign w:val="center"/>
          </w:tcPr>
          <w:p w14:paraId="2DE4213D"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30%</w:t>
            </w:r>
          </w:p>
        </w:tc>
        <w:tc>
          <w:tcPr>
            <w:tcW w:w="367" w:type="pct"/>
            <w:shd w:val="clear" w:color="000000" w:fill="FFFFFF"/>
            <w:vAlign w:val="center"/>
          </w:tcPr>
          <w:p w14:paraId="23DBE1E6"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40%</w:t>
            </w:r>
          </w:p>
        </w:tc>
        <w:tc>
          <w:tcPr>
            <w:tcW w:w="367" w:type="pct"/>
            <w:shd w:val="clear" w:color="000000" w:fill="FFFFFF"/>
            <w:vAlign w:val="center"/>
          </w:tcPr>
          <w:p w14:paraId="45760BFF"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55%</w:t>
            </w:r>
          </w:p>
        </w:tc>
        <w:tc>
          <w:tcPr>
            <w:tcW w:w="379" w:type="pct"/>
            <w:shd w:val="clear" w:color="000000" w:fill="FFFFFF"/>
            <w:vAlign w:val="center"/>
          </w:tcPr>
          <w:p w14:paraId="5CB70E80"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7" w:type="pct"/>
            <w:shd w:val="clear" w:color="000000" w:fill="FFFFFF"/>
            <w:vAlign w:val="center"/>
          </w:tcPr>
          <w:p w14:paraId="75B42EAC"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70%</w:t>
            </w:r>
          </w:p>
        </w:tc>
        <w:tc>
          <w:tcPr>
            <w:tcW w:w="367" w:type="pct"/>
            <w:shd w:val="clear" w:color="000000" w:fill="FFFFFF"/>
            <w:vAlign w:val="center"/>
          </w:tcPr>
          <w:p w14:paraId="1C6F6516"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85%</w:t>
            </w:r>
          </w:p>
        </w:tc>
        <w:tc>
          <w:tcPr>
            <w:tcW w:w="364" w:type="pct"/>
            <w:shd w:val="clear" w:color="000000" w:fill="FFFFFF"/>
            <w:vAlign w:val="center"/>
          </w:tcPr>
          <w:p w14:paraId="7885C658"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F52FED" w:rsidRPr="00B0658A" w14:paraId="66ED5901" w14:textId="77777777" w:rsidTr="00FE71B1">
        <w:trPr>
          <w:trHeight w:val="20"/>
        </w:trPr>
        <w:tc>
          <w:tcPr>
            <w:tcW w:w="342" w:type="pct"/>
            <w:shd w:val="clear" w:color="000000" w:fill="FFFFFF"/>
            <w:vAlign w:val="center"/>
          </w:tcPr>
          <w:p w14:paraId="73ED7B50" w14:textId="77777777" w:rsidR="005B7E3E" w:rsidRPr="00B0658A" w:rsidRDefault="005B7E3E" w:rsidP="00FE71B1">
            <w:pPr>
              <w:spacing w:after="0" w:line="240" w:lineRule="auto"/>
              <w:jc w:val="center"/>
              <w:rPr>
                <w:rFonts w:ascii="Times New Roman" w:hAnsi="Times New Roman"/>
                <w:sz w:val="18"/>
                <w:szCs w:val="18"/>
              </w:rPr>
            </w:pPr>
            <w:r w:rsidRPr="00B0658A">
              <w:rPr>
                <w:rFonts w:ascii="Times New Roman" w:hAnsi="Times New Roman"/>
                <w:sz w:val="18"/>
                <w:szCs w:val="18"/>
              </w:rPr>
              <w:t>8.10</w:t>
            </w:r>
          </w:p>
        </w:tc>
        <w:tc>
          <w:tcPr>
            <w:tcW w:w="1182" w:type="pct"/>
            <w:shd w:val="clear" w:color="auto" w:fill="auto"/>
            <w:vAlign w:val="center"/>
          </w:tcPr>
          <w:p w14:paraId="78A0A8E4" w14:textId="77777777" w:rsidR="005B7E3E" w:rsidRPr="00B0658A" w:rsidRDefault="005B7E3E" w:rsidP="000A4114">
            <w:pPr>
              <w:spacing w:after="0" w:line="240" w:lineRule="auto"/>
              <w:rPr>
                <w:rFonts w:ascii="Times New Roman" w:hAnsi="Times New Roman"/>
                <w:sz w:val="18"/>
                <w:szCs w:val="18"/>
              </w:rPr>
            </w:pPr>
            <w:r w:rsidRPr="00B0658A">
              <w:rPr>
                <w:rFonts w:ascii="Times New Roman" w:hAnsi="Times New Roman"/>
                <w:sz w:val="18"/>
                <w:szCs w:val="18"/>
              </w:rPr>
              <w:t>Промышленное программное обеспечение/ Средства усовершенствованного управления технологическими процессами (APC, RTO)</w:t>
            </w:r>
          </w:p>
        </w:tc>
        <w:tc>
          <w:tcPr>
            <w:tcW w:w="898" w:type="pct"/>
            <w:shd w:val="clear" w:color="000000" w:fill="FFFFFF"/>
          </w:tcPr>
          <w:p w14:paraId="467C2458" w14:textId="77777777" w:rsidR="005B7E3E" w:rsidRPr="00B0658A" w:rsidRDefault="005B7E3E" w:rsidP="000A4114">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7" w:type="pct"/>
            <w:shd w:val="clear" w:color="000000" w:fill="FFFFFF"/>
            <w:vAlign w:val="center"/>
          </w:tcPr>
          <w:p w14:paraId="238B2501"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30%</w:t>
            </w:r>
          </w:p>
        </w:tc>
        <w:tc>
          <w:tcPr>
            <w:tcW w:w="367" w:type="pct"/>
            <w:shd w:val="clear" w:color="000000" w:fill="FFFFFF"/>
            <w:vAlign w:val="center"/>
          </w:tcPr>
          <w:p w14:paraId="2C175375"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40%</w:t>
            </w:r>
          </w:p>
        </w:tc>
        <w:tc>
          <w:tcPr>
            <w:tcW w:w="367" w:type="pct"/>
            <w:shd w:val="clear" w:color="000000" w:fill="FFFFFF"/>
            <w:vAlign w:val="center"/>
          </w:tcPr>
          <w:p w14:paraId="15E97CE8"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55%</w:t>
            </w:r>
          </w:p>
        </w:tc>
        <w:tc>
          <w:tcPr>
            <w:tcW w:w="379" w:type="pct"/>
            <w:shd w:val="clear" w:color="000000" w:fill="FFFFFF"/>
            <w:vAlign w:val="center"/>
          </w:tcPr>
          <w:p w14:paraId="39699C1C"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7" w:type="pct"/>
            <w:shd w:val="clear" w:color="000000" w:fill="FFFFFF"/>
            <w:vAlign w:val="center"/>
          </w:tcPr>
          <w:p w14:paraId="2396B11F"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70%</w:t>
            </w:r>
          </w:p>
        </w:tc>
        <w:tc>
          <w:tcPr>
            <w:tcW w:w="367" w:type="pct"/>
            <w:shd w:val="clear" w:color="000000" w:fill="FFFFFF"/>
            <w:vAlign w:val="center"/>
          </w:tcPr>
          <w:p w14:paraId="6715A8A8"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85%</w:t>
            </w:r>
          </w:p>
        </w:tc>
        <w:tc>
          <w:tcPr>
            <w:tcW w:w="364" w:type="pct"/>
            <w:shd w:val="clear" w:color="000000" w:fill="FFFFFF"/>
            <w:vAlign w:val="center"/>
          </w:tcPr>
          <w:p w14:paraId="44F4304A"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F52FED" w:rsidRPr="00B0658A" w14:paraId="41688169" w14:textId="77777777" w:rsidTr="00FE71B1">
        <w:trPr>
          <w:trHeight w:val="20"/>
        </w:trPr>
        <w:tc>
          <w:tcPr>
            <w:tcW w:w="342" w:type="pct"/>
            <w:shd w:val="clear" w:color="000000" w:fill="FFFFFF"/>
            <w:vAlign w:val="center"/>
          </w:tcPr>
          <w:p w14:paraId="3A7C5833" w14:textId="77777777" w:rsidR="005B7E3E" w:rsidRPr="00B0658A" w:rsidRDefault="005B7E3E" w:rsidP="00FE71B1">
            <w:pPr>
              <w:spacing w:after="0" w:line="240" w:lineRule="auto"/>
              <w:jc w:val="center"/>
              <w:rPr>
                <w:rFonts w:ascii="Times New Roman" w:hAnsi="Times New Roman"/>
                <w:sz w:val="18"/>
                <w:szCs w:val="18"/>
              </w:rPr>
            </w:pPr>
            <w:r w:rsidRPr="00B0658A">
              <w:rPr>
                <w:rFonts w:ascii="Times New Roman" w:hAnsi="Times New Roman"/>
                <w:sz w:val="18"/>
                <w:szCs w:val="18"/>
              </w:rPr>
              <w:t>8.11</w:t>
            </w:r>
          </w:p>
        </w:tc>
        <w:tc>
          <w:tcPr>
            <w:tcW w:w="1182" w:type="pct"/>
            <w:shd w:val="clear" w:color="auto" w:fill="auto"/>
            <w:vAlign w:val="center"/>
          </w:tcPr>
          <w:p w14:paraId="4F507864" w14:textId="77777777" w:rsidR="005B7E3E" w:rsidRPr="00B0658A" w:rsidRDefault="005B7E3E" w:rsidP="000A4114">
            <w:pPr>
              <w:spacing w:after="0" w:line="240" w:lineRule="auto"/>
              <w:rPr>
                <w:rFonts w:ascii="Times New Roman" w:hAnsi="Times New Roman"/>
                <w:sz w:val="18"/>
                <w:szCs w:val="18"/>
              </w:rPr>
            </w:pPr>
            <w:r w:rsidRPr="00B0658A">
              <w:rPr>
                <w:rFonts w:ascii="Times New Roman" w:hAnsi="Times New Roman"/>
                <w:sz w:val="18"/>
                <w:szCs w:val="18"/>
              </w:rPr>
              <w:t>Промышленное программное обеспечение / Средства автоматизированного управления техникой</w:t>
            </w:r>
          </w:p>
        </w:tc>
        <w:tc>
          <w:tcPr>
            <w:tcW w:w="898" w:type="pct"/>
            <w:shd w:val="clear" w:color="000000" w:fill="FFFFFF"/>
          </w:tcPr>
          <w:p w14:paraId="5D276254" w14:textId="77777777" w:rsidR="005B7E3E" w:rsidRPr="00B0658A" w:rsidRDefault="005B7E3E" w:rsidP="000A4114">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7" w:type="pct"/>
            <w:shd w:val="clear" w:color="000000" w:fill="FFFFFF"/>
            <w:vAlign w:val="center"/>
          </w:tcPr>
          <w:p w14:paraId="4AF40DBA"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20%</w:t>
            </w:r>
          </w:p>
        </w:tc>
        <w:tc>
          <w:tcPr>
            <w:tcW w:w="367" w:type="pct"/>
            <w:shd w:val="clear" w:color="000000" w:fill="FFFFFF"/>
            <w:vAlign w:val="center"/>
          </w:tcPr>
          <w:p w14:paraId="0FBF70EA"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30%</w:t>
            </w:r>
          </w:p>
        </w:tc>
        <w:tc>
          <w:tcPr>
            <w:tcW w:w="367" w:type="pct"/>
            <w:shd w:val="clear" w:color="000000" w:fill="FFFFFF"/>
            <w:vAlign w:val="center"/>
          </w:tcPr>
          <w:p w14:paraId="3E5B7A67"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45%</w:t>
            </w:r>
          </w:p>
        </w:tc>
        <w:tc>
          <w:tcPr>
            <w:tcW w:w="379" w:type="pct"/>
            <w:shd w:val="clear" w:color="000000" w:fill="FFFFFF"/>
            <w:vAlign w:val="center"/>
          </w:tcPr>
          <w:p w14:paraId="5673A080"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7" w:type="pct"/>
            <w:shd w:val="clear" w:color="000000" w:fill="FFFFFF"/>
            <w:vAlign w:val="center"/>
          </w:tcPr>
          <w:p w14:paraId="2CE13B99"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70%</w:t>
            </w:r>
          </w:p>
        </w:tc>
        <w:tc>
          <w:tcPr>
            <w:tcW w:w="367" w:type="pct"/>
            <w:shd w:val="clear" w:color="000000" w:fill="FFFFFF"/>
            <w:vAlign w:val="center"/>
          </w:tcPr>
          <w:p w14:paraId="57B8220A"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90%</w:t>
            </w:r>
          </w:p>
        </w:tc>
        <w:tc>
          <w:tcPr>
            <w:tcW w:w="364" w:type="pct"/>
            <w:shd w:val="clear" w:color="000000" w:fill="FFFFFF"/>
            <w:vAlign w:val="center"/>
          </w:tcPr>
          <w:p w14:paraId="4DFEC215"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F52FED" w:rsidRPr="00B0658A" w14:paraId="2D412DF4" w14:textId="77777777" w:rsidTr="00FE71B1">
        <w:trPr>
          <w:trHeight w:val="20"/>
        </w:trPr>
        <w:tc>
          <w:tcPr>
            <w:tcW w:w="342" w:type="pct"/>
            <w:shd w:val="clear" w:color="000000" w:fill="FFFFFF"/>
            <w:vAlign w:val="center"/>
          </w:tcPr>
          <w:p w14:paraId="6139748E" w14:textId="77777777" w:rsidR="005B7E3E" w:rsidRPr="00B0658A" w:rsidRDefault="005B7E3E" w:rsidP="00FE71B1">
            <w:pPr>
              <w:spacing w:after="0" w:line="240" w:lineRule="auto"/>
              <w:jc w:val="center"/>
              <w:rPr>
                <w:rFonts w:ascii="Times New Roman" w:hAnsi="Times New Roman"/>
                <w:sz w:val="18"/>
                <w:szCs w:val="18"/>
              </w:rPr>
            </w:pPr>
            <w:r w:rsidRPr="00B0658A">
              <w:rPr>
                <w:rFonts w:ascii="Times New Roman" w:hAnsi="Times New Roman"/>
                <w:sz w:val="18"/>
                <w:szCs w:val="18"/>
              </w:rPr>
              <w:t>9.1</w:t>
            </w:r>
          </w:p>
        </w:tc>
        <w:tc>
          <w:tcPr>
            <w:tcW w:w="1182" w:type="pct"/>
            <w:shd w:val="clear" w:color="auto" w:fill="auto"/>
            <w:vAlign w:val="center"/>
          </w:tcPr>
          <w:p w14:paraId="74395C80" w14:textId="77777777" w:rsidR="005B7E3E" w:rsidRPr="00B0658A" w:rsidRDefault="005B7E3E" w:rsidP="000A4114">
            <w:pPr>
              <w:spacing w:after="0" w:line="240" w:lineRule="auto"/>
              <w:rPr>
                <w:rFonts w:ascii="Times New Roman" w:hAnsi="Times New Roman"/>
                <w:sz w:val="18"/>
                <w:szCs w:val="18"/>
              </w:rPr>
            </w:pPr>
            <w:r w:rsidRPr="00B0658A">
              <w:rPr>
                <w:rFonts w:ascii="Times New Roman" w:hAnsi="Times New Roman"/>
                <w:sz w:val="18"/>
                <w:szCs w:val="18"/>
              </w:rPr>
              <w:t>Средства управления процессами организации / Средства управления бизнес-процессами (BPM)</w:t>
            </w:r>
          </w:p>
        </w:tc>
        <w:tc>
          <w:tcPr>
            <w:tcW w:w="898" w:type="pct"/>
            <w:shd w:val="clear" w:color="000000" w:fill="FFFFFF"/>
          </w:tcPr>
          <w:p w14:paraId="579E9070" w14:textId="77777777" w:rsidR="005B7E3E" w:rsidRPr="00B0658A" w:rsidRDefault="005B7E3E" w:rsidP="000A4114">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7" w:type="pct"/>
            <w:shd w:val="clear" w:color="000000" w:fill="FFFFFF"/>
            <w:vAlign w:val="center"/>
          </w:tcPr>
          <w:p w14:paraId="7917EEED"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25%</w:t>
            </w:r>
          </w:p>
        </w:tc>
        <w:tc>
          <w:tcPr>
            <w:tcW w:w="367" w:type="pct"/>
            <w:shd w:val="clear" w:color="000000" w:fill="FFFFFF"/>
            <w:vAlign w:val="center"/>
          </w:tcPr>
          <w:p w14:paraId="2635FCED"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35%</w:t>
            </w:r>
          </w:p>
        </w:tc>
        <w:tc>
          <w:tcPr>
            <w:tcW w:w="367" w:type="pct"/>
            <w:shd w:val="clear" w:color="000000" w:fill="FFFFFF"/>
            <w:vAlign w:val="center"/>
          </w:tcPr>
          <w:p w14:paraId="0034C946"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50%</w:t>
            </w:r>
          </w:p>
        </w:tc>
        <w:tc>
          <w:tcPr>
            <w:tcW w:w="379" w:type="pct"/>
            <w:shd w:val="clear" w:color="000000" w:fill="FFFFFF"/>
            <w:vAlign w:val="center"/>
          </w:tcPr>
          <w:p w14:paraId="041A2640"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7" w:type="pct"/>
            <w:shd w:val="clear" w:color="000000" w:fill="FFFFFF"/>
            <w:vAlign w:val="center"/>
          </w:tcPr>
          <w:p w14:paraId="7A3A11FB"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75%</w:t>
            </w:r>
          </w:p>
        </w:tc>
        <w:tc>
          <w:tcPr>
            <w:tcW w:w="367" w:type="pct"/>
            <w:shd w:val="clear" w:color="000000" w:fill="FFFFFF"/>
            <w:vAlign w:val="center"/>
          </w:tcPr>
          <w:p w14:paraId="20D0C342"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85%</w:t>
            </w:r>
          </w:p>
        </w:tc>
        <w:tc>
          <w:tcPr>
            <w:tcW w:w="364" w:type="pct"/>
            <w:shd w:val="clear" w:color="000000" w:fill="FFFFFF"/>
            <w:vAlign w:val="center"/>
          </w:tcPr>
          <w:p w14:paraId="03DF6C0F"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F52FED" w:rsidRPr="00B0658A" w14:paraId="44D3FA14" w14:textId="77777777" w:rsidTr="00FE71B1">
        <w:trPr>
          <w:trHeight w:val="20"/>
        </w:trPr>
        <w:tc>
          <w:tcPr>
            <w:tcW w:w="342" w:type="pct"/>
            <w:shd w:val="clear" w:color="000000" w:fill="FFFFFF"/>
            <w:vAlign w:val="center"/>
          </w:tcPr>
          <w:p w14:paraId="388CAD74" w14:textId="77777777" w:rsidR="005B7E3E" w:rsidRPr="00B0658A" w:rsidRDefault="005B7E3E" w:rsidP="00FE71B1">
            <w:pPr>
              <w:spacing w:after="0" w:line="240" w:lineRule="auto"/>
              <w:jc w:val="center"/>
              <w:rPr>
                <w:rFonts w:ascii="Times New Roman" w:hAnsi="Times New Roman"/>
                <w:sz w:val="18"/>
                <w:szCs w:val="18"/>
              </w:rPr>
            </w:pPr>
            <w:r w:rsidRPr="00B0658A">
              <w:rPr>
                <w:rFonts w:ascii="Times New Roman" w:hAnsi="Times New Roman"/>
                <w:sz w:val="18"/>
                <w:szCs w:val="18"/>
              </w:rPr>
              <w:t>9.2</w:t>
            </w:r>
          </w:p>
        </w:tc>
        <w:tc>
          <w:tcPr>
            <w:tcW w:w="1182" w:type="pct"/>
            <w:shd w:val="clear" w:color="auto" w:fill="auto"/>
            <w:vAlign w:val="center"/>
          </w:tcPr>
          <w:p w14:paraId="07E6FD62" w14:textId="77777777" w:rsidR="005B7E3E" w:rsidRPr="00B0658A" w:rsidRDefault="005B7E3E" w:rsidP="000A4114">
            <w:pPr>
              <w:spacing w:after="0" w:line="240" w:lineRule="auto"/>
              <w:rPr>
                <w:rFonts w:ascii="Times New Roman" w:hAnsi="Times New Roman"/>
                <w:sz w:val="18"/>
                <w:szCs w:val="18"/>
              </w:rPr>
            </w:pPr>
            <w:r w:rsidRPr="00B0658A">
              <w:rPr>
                <w:rFonts w:ascii="Times New Roman" w:hAnsi="Times New Roman"/>
                <w:sz w:val="18"/>
                <w:szCs w:val="18"/>
              </w:rPr>
              <w:t>Средства управления процессами организации/ Средства управления производственными процессами (MES)</w:t>
            </w:r>
          </w:p>
        </w:tc>
        <w:tc>
          <w:tcPr>
            <w:tcW w:w="898" w:type="pct"/>
            <w:shd w:val="clear" w:color="000000" w:fill="FFFFFF"/>
          </w:tcPr>
          <w:p w14:paraId="43933B98" w14:textId="77777777" w:rsidR="005B7E3E" w:rsidRPr="00B0658A" w:rsidRDefault="005B7E3E" w:rsidP="000A4114">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7" w:type="pct"/>
            <w:shd w:val="clear" w:color="000000" w:fill="FFFFFF"/>
            <w:vAlign w:val="center"/>
          </w:tcPr>
          <w:p w14:paraId="02620965"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25%</w:t>
            </w:r>
          </w:p>
        </w:tc>
        <w:tc>
          <w:tcPr>
            <w:tcW w:w="367" w:type="pct"/>
            <w:shd w:val="clear" w:color="000000" w:fill="FFFFFF"/>
            <w:vAlign w:val="center"/>
          </w:tcPr>
          <w:p w14:paraId="060F0CA3"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35%</w:t>
            </w:r>
          </w:p>
        </w:tc>
        <w:tc>
          <w:tcPr>
            <w:tcW w:w="367" w:type="pct"/>
            <w:shd w:val="clear" w:color="000000" w:fill="FFFFFF"/>
            <w:vAlign w:val="center"/>
          </w:tcPr>
          <w:p w14:paraId="0A646B63"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50%</w:t>
            </w:r>
          </w:p>
        </w:tc>
        <w:tc>
          <w:tcPr>
            <w:tcW w:w="379" w:type="pct"/>
            <w:shd w:val="clear" w:color="000000" w:fill="FFFFFF"/>
            <w:vAlign w:val="center"/>
          </w:tcPr>
          <w:p w14:paraId="497878D7"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7" w:type="pct"/>
            <w:shd w:val="clear" w:color="000000" w:fill="FFFFFF"/>
            <w:vAlign w:val="center"/>
          </w:tcPr>
          <w:p w14:paraId="2DC0B06B"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75%</w:t>
            </w:r>
          </w:p>
        </w:tc>
        <w:tc>
          <w:tcPr>
            <w:tcW w:w="367" w:type="pct"/>
            <w:shd w:val="clear" w:color="000000" w:fill="FFFFFF"/>
            <w:vAlign w:val="center"/>
          </w:tcPr>
          <w:p w14:paraId="543CC36D"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85%</w:t>
            </w:r>
          </w:p>
        </w:tc>
        <w:tc>
          <w:tcPr>
            <w:tcW w:w="364" w:type="pct"/>
            <w:shd w:val="clear" w:color="000000" w:fill="FFFFFF"/>
            <w:vAlign w:val="center"/>
          </w:tcPr>
          <w:p w14:paraId="3A21FC2C"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F52FED" w:rsidRPr="00B0658A" w14:paraId="47CE03E0" w14:textId="77777777" w:rsidTr="00FE71B1">
        <w:trPr>
          <w:trHeight w:val="20"/>
        </w:trPr>
        <w:tc>
          <w:tcPr>
            <w:tcW w:w="342" w:type="pct"/>
            <w:shd w:val="clear" w:color="000000" w:fill="FFFFFF"/>
            <w:vAlign w:val="center"/>
          </w:tcPr>
          <w:p w14:paraId="132D9FCB" w14:textId="77777777" w:rsidR="005B7E3E" w:rsidRPr="00B0658A" w:rsidRDefault="005B7E3E" w:rsidP="00FE71B1">
            <w:pPr>
              <w:spacing w:after="0" w:line="240" w:lineRule="auto"/>
              <w:jc w:val="center"/>
              <w:rPr>
                <w:rFonts w:ascii="Times New Roman" w:hAnsi="Times New Roman"/>
                <w:sz w:val="18"/>
                <w:szCs w:val="18"/>
              </w:rPr>
            </w:pPr>
            <w:r w:rsidRPr="00B0658A">
              <w:rPr>
                <w:rFonts w:ascii="Times New Roman" w:hAnsi="Times New Roman"/>
                <w:sz w:val="18"/>
                <w:szCs w:val="18"/>
              </w:rPr>
              <w:t>9.3</w:t>
            </w:r>
          </w:p>
        </w:tc>
        <w:tc>
          <w:tcPr>
            <w:tcW w:w="1182" w:type="pct"/>
            <w:shd w:val="clear" w:color="auto" w:fill="auto"/>
            <w:vAlign w:val="center"/>
          </w:tcPr>
          <w:p w14:paraId="5857F002" w14:textId="77777777" w:rsidR="005B7E3E" w:rsidRPr="00B0658A" w:rsidRDefault="005B7E3E" w:rsidP="000A4114">
            <w:pPr>
              <w:spacing w:after="0" w:line="240" w:lineRule="auto"/>
              <w:rPr>
                <w:rFonts w:ascii="Times New Roman" w:hAnsi="Times New Roman"/>
                <w:sz w:val="18"/>
                <w:szCs w:val="18"/>
              </w:rPr>
            </w:pPr>
            <w:r w:rsidRPr="00B0658A">
              <w:rPr>
                <w:rFonts w:ascii="Times New Roman" w:hAnsi="Times New Roman"/>
                <w:sz w:val="18"/>
                <w:szCs w:val="18"/>
              </w:rPr>
              <w:t>Средства управления процессами организации / Средства управления лабораторными потоками работ и документов (LIMS)</w:t>
            </w:r>
          </w:p>
        </w:tc>
        <w:tc>
          <w:tcPr>
            <w:tcW w:w="898" w:type="pct"/>
            <w:shd w:val="clear" w:color="000000" w:fill="FFFFFF"/>
          </w:tcPr>
          <w:p w14:paraId="409F5E95" w14:textId="77777777" w:rsidR="005B7E3E" w:rsidRPr="00B0658A" w:rsidRDefault="005B7E3E" w:rsidP="000A4114">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7" w:type="pct"/>
            <w:shd w:val="clear" w:color="000000" w:fill="FFFFFF"/>
            <w:vAlign w:val="center"/>
          </w:tcPr>
          <w:p w14:paraId="3CFC5C83"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25%</w:t>
            </w:r>
          </w:p>
        </w:tc>
        <w:tc>
          <w:tcPr>
            <w:tcW w:w="367" w:type="pct"/>
            <w:shd w:val="clear" w:color="000000" w:fill="FFFFFF"/>
            <w:vAlign w:val="center"/>
          </w:tcPr>
          <w:p w14:paraId="3875D406"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35%</w:t>
            </w:r>
          </w:p>
        </w:tc>
        <w:tc>
          <w:tcPr>
            <w:tcW w:w="367" w:type="pct"/>
            <w:shd w:val="clear" w:color="000000" w:fill="FFFFFF"/>
            <w:vAlign w:val="center"/>
          </w:tcPr>
          <w:p w14:paraId="1B53BA21"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50%</w:t>
            </w:r>
          </w:p>
        </w:tc>
        <w:tc>
          <w:tcPr>
            <w:tcW w:w="379" w:type="pct"/>
            <w:shd w:val="clear" w:color="000000" w:fill="FFFFFF"/>
            <w:vAlign w:val="center"/>
          </w:tcPr>
          <w:p w14:paraId="7618568E"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7" w:type="pct"/>
            <w:shd w:val="clear" w:color="000000" w:fill="FFFFFF"/>
            <w:vAlign w:val="center"/>
          </w:tcPr>
          <w:p w14:paraId="1EBD8C3C"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75%</w:t>
            </w:r>
          </w:p>
        </w:tc>
        <w:tc>
          <w:tcPr>
            <w:tcW w:w="367" w:type="pct"/>
            <w:shd w:val="clear" w:color="000000" w:fill="FFFFFF"/>
            <w:vAlign w:val="center"/>
          </w:tcPr>
          <w:p w14:paraId="68B99D01"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85%</w:t>
            </w:r>
          </w:p>
        </w:tc>
        <w:tc>
          <w:tcPr>
            <w:tcW w:w="364" w:type="pct"/>
            <w:shd w:val="clear" w:color="000000" w:fill="FFFFFF"/>
            <w:vAlign w:val="center"/>
          </w:tcPr>
          <w:p w14:paraId="33C92CF2"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F52FED" w:rsidRPr="00B0658A" w14:paraId="2C0A0E9B" w14:textId="77777777" w:rsidTr="00FE71B1">
        <w:trPr>
          <w:trHeight w:val="20"/>
        </w:trPr>
        <w:tc>
          <w:tcPr>
            <w:tcW w:w="342" w:type="pct"/>
            <w:shd w:val="clear" w:color="000000" w:fill="FFFFFF"/>
            <w:vAlign w:val="center"/>
          </w:tcPr>
          <w:p w14:paraId="4577788C" w14:textId="77777777" w:rsidR="005B7E3E" w:rsidRPr="00B0658A" w:rsidRDefault="005B7E3E" w:rsidP="00FE71B1">
            <w:pPr>
              <w:spacing w:after="0" w:line="240" w:lineRule="auto"/>
              <w:jc w:val="center"/>
              <w:rPr>
                <w:rFonts w:ascii="Times New Roman" w:hAnsi="Times New Roman"/>
                <w:sz w:val="18"/>
                <w:szCs w:val="18"/>
              </w:rPr>
            </w:pPr>
            <w:r w:rsidRPr="00B0658A">
              <w:rPr>
                <w:rFonts w:ascii="Times New Roman" w:hAnsi="Times New Roman"/>
                <w:sz w:val="18"/>
                <w:szCs w:val="18"/>
              </w:rPr>
              <w:t>9.4</w:t>
            </w:r>
          </w:p>
        </w:tc>
        <w:tc>
          <w:tcPr>
            <w:tcW w:w="1182" w:type="pct"/>
            <w:shd w:val="clear" w:color="auto" w:fill="auto"/>
            <w:vAlign w:val="center"/>
          </w:tcPr>
          <w:p w14:paraId="13587A57" w14:textId="77777777" w:rsidR="005B7E3E" w:rsidRPr="00B0658A" w:rsidRDefault="005B7E3E" w:rsidP="000A4114">
            <w:pPr>
              <w:spacing w:after="0" w:line="240" w:lineRule="auto"/>
              <w:rPr>
                <w:rFonts w:ascii="Times New Roman" w:hAnsi="Times New Roman"/>
                <w:sz w:val="18"/>
                <w:szCs w:val="18"/>
              </w:rPr>
            </w:pPr>
            <w:r w:rsidRPr="00B0658A">
              <w:rPr>
                <w:rFonts w:ascii="Times New Roman" w:hAnsi="Times New Roman"/>
                <w:sz w:val="18"/>
                <w:szCs w:val="18"/>
              </w:rPr>
              <w:t>Средства управления процессами организации/ Средства управления технологическими процессами (АСУ ТП, SCADA)</w:t>
            </w:r>
          </w:p>
        </w:tc>
        <w:tc>
          <w:tcPr>
            <w:tcW w:w="898" w:type="pct"/>
            <w:shd w:val="clear" w:color="000000" w:fill="FFFFFF"/>
          </w:tcPr>
          <w:p w14:paraId="445A0929" w14:textId="77777777" w:rsidR="005B7E3E" w:rsidRPr="00B0658A" w:rsidRDefault="005B7E3E" w:rsidP="000A4114">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7" w:type="pct"/>
            <w:shd w:val="clear" w:color="000000" w:fill="FFFFFF"/>
            <w:vAlign w:val="center"/>
          </w:tcPr>
          <w:p w14:paraId="4D1E5484"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25%</w:t>
            </w:r>
          </w:p>
        </w:tc>
        <w:tc>
          <w:tcPr>
            <w:tcW w:w="367" w:type="pct"/>
            <w:shd w:val="clear" w:color="000000" w:fill="FFFFFF"/>
            <w:vAlign w:val="center"/>
          </w:tcPr>
          <w:p w14:paraId="1F9D3801"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35%</w:t>
            </w:r>
          </w:p>
        </w:tc>
        <w:tc>
          <w:tcPr>
            <w:tcW w:w="367" w:type="pct"/>
            <w:shd w:val="clear" w:color="000000" w:fill="FFFFFF"/>
            <w:vAlign w:val="center"/>
          </w:tcPr>
          <w:p w14:paraId="6D7A2EFD"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50%</w:t>
            </w:r>
          </w:p>
        </w:tc>
        <w:tc>
          <w:tcPr>
            <w:tcW w:w="379" w:type="pct"/>
            <w:shd w:val="clear" w:color="000000" w:fill="FFFFFF"/>
            <w:vAlign w:val="center"/>
          </w:tcPr>
          <w:p w14:paraId="03699BB2"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7" w:type="pct"/>
            <w:shd w:val="clear" w:color="000000" w:fill="FFFFFF"/>
            <w:vAlign w:val="center"/>
          </w:tcPr>
          <w:p w14:paraId="0586B1D7"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75%</w:t>
            </w:r>
          </w:p>
        </w:tc>
        <w:tc>
          <w:tcPr>
            <w:tcW w:w="367" w:type="pct"/>
            <w:shd w:val="clear" w:color="000000" w:fill="FFFFFF"/>
            <w:vAlign w:val="center"/>
          </w:tcPr>
          <w:p w14:paraId="1B614519"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85%</w:t>
            </w:r>
          </w:p>
        </w:tc>
        <w:tc>
          <w:tcPr>
            <w:tcW w:w="364" w:type="pct"/>
            <w:shd w:val="clear" w:color="000000" w:fill="FFFFFF"/>
            <w:vAlign w:val="center"/>
          </w:tcPr>
          <w:p w14:paraId="7DA48833"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F52FED" w:rsidRPr="00B0658A" w14:paraId="68BE0C4F" w14:textId="77777777" w:rsidTr="00FE71B1">
        <w:trPr>
          <w:trHeight w:val="20"/>
        </w:trPr>
        <w:tc>
          <w:tcPr>
            <w:tcW w:w="342" w:type="pct"/>
            <w:shd w:val="clear" w:color="000000" w:fill="FFFFFF"/>
            <w:vAlign w:val="center"/>
          </w:tcPr>
          <w:p w14:paraId="18DF1060" w14:textId="77777777" w:rsidR="005B7E3E" w:rsidRPr="00B0658A" w:rsidRDefault="005B7E3E" w:rsidP="00FE71B1">
            <w:pPr>
              <w:spacing w:after="0" w:line="240" w:lineRule="auto"/>
              <w:jc w:val="center"/>
              <w:rPr>
                <w:rFonts w:ascii="Times New Roman" w:hAnsi="Times New Roman"/>
                <w:sz w:val="18"/>
                <w:szCs w:val="18"/>
              </w:rPr>
            </w:pPr>
            <w:r w:rsidRPr="00B0658A">
              <w:rPr>
                <w:rFonts w:ascii="Times New Roman" w:hAnsi="Times New Roman"/>
                <w:sz w:val="18"/>
                <w:szCs w:val="18"/>
              </w:rPr>
              <w:t>9.5</w:t>
            </w:r>
          </w:p>
        </w:tc>
        <w:tc>
          <w:tcPr>
            <w:tcW w:w="1182" w:type="pct"/>
            <w:shd w:val="clear" w:color="auto" w:fill="auto"/>
            <w:vAlign w:val="center"/>
          </w:tcPr>
          <w:p w14:paraId="4083F1F7" w14:textId="77777777" w:rsidR="005B7E3E" w:rsidRPr="00B0658A" w:rsidRDefault="005B7E3E" w:rsidP="000A4114">
            <w:pPr>
              <w:spacing w:after="0" w:line="240" w:lineRule="auto"/>
              <w:rPr>
                <w:rFonts w:ascii="Times New Roman" w:hAnsi="Times New Roman"/>
                <w:sz w:val="18"/>
                <w:szCs w:val="18"/>
              </w:rPr>
            </w:pPr>
            <w:r w:rsidRPr="00B0658A">
              <w:rPr>
                <w:rFonts w:ascii="Times New Roman" w:hAnsi="Times New Roman"/>
                <w:sz w:val="18"/>
                <w:szCs w:val="18"/>
              </w:rPr>
              <w:t>Средства управления процессами организации/ Средства управления эффективностью предприятия (CPM/EPM)</w:t>
            </w:r>
          </w:p>
        </w:tc>
        <w:tc>
          <w:tcPr>
            <w:tcW w:w="898" w:type="pct"/>
            <w:shd w:val="clear" w:color="000000" w:fill="FFFFFF"/>
          </w:tcPr>
          <w:p w14:paraId="20E66853" w14:textId="77777777" w:rsidR="005B7E3E" w:rsidRPr="00B0658A" w:rsidRDefault="005B7E3E" w:rsidP="000A4114">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7" w:type="pct"/>
            <w:shd w:val="clear" w:color="000000" w:fill="FFFFFF"/>
            <w:vAlign w:val="center"/>
          </w:tcPr>
          <w:p w14:paraId="423CF897"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35%</w:t>
            </w:r>
          </w:p>
        </w:tc>
        <w:tc>
          <w:tcPr>
            <w:tcW w:w="367" w:type="pct"/>
            <w:shd w:val="clear" w:color="000000" w:fill="FFFFFF"/>
            <w:vAlign w:val="center"/>
          </w:tcPr>
          <w:p w14:paraId="38199ACA"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45%</w:t>
            </w:r>
          </w:p>
        </w:tc>
        <w:tc>
          <w:tcPr>
            <w:tcW w:w="367" w:type="pct"/>
            <w:shd w:val="clear" w:color="000000" w:fill="FFFFFF"/>
            <w:vAlign w:val="center"/>
          </w:tcPr>
          <w:p w14:paraId="4953FA5E"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55%</w:t>
            </w:r>
          </w:p>
        </w:tc>
        <w:tc>
          <w:tcPr>
            <w:tcW w:w="379" w:type="pct"/>
            <w:shd w:val="clear" w:color="000000" w:fill="FFFFFF"/>
            <w:vAlign w:val="center"/>
          </w:tcPr>
          <w:p w14:paraId="35B8D0D3"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7" w:type="pct"/>
            <w:shd w:val="clear" w:color="000000" w:fill="FFFFFF"/>
            <w:vAlign w:val="center"/>
          </w:tcPr>
          <w:p w14:paraId="0E2FFEFB"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70%</w:t>
            </w:r>
          </w:p>
        </w:tc>
        <w:tc>
          <w:tcPr>
            <w:tcW w:w="367" w:type="pct"/>
            <w:shd w:val="clear" w:color="000000" w:fill="FFFFFF"/>
            <w:vAlign w:val="center"/>
          </w:tcPr>
          <w:p w14:paraId="62558BDE"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90%</w:t>
            </w:r>
          </w:p>
        </w:tc>
        <w:tc>
          <w:tcPr>
            <w:tcW w:w="364" w:type="pct"/>
            <w:shd w:val="clear" w:color="000000" w:fill="FFFFFF"/>
            <w:vAlign w:val="center"/>
          </w:tcPr>
          <w:p w14:paraId="06E3B5B1"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F52FED" w:rsidRPr="00B0658A" w14:paraId="4770F150" w14:textId="77777777" w:rsidTr="00FE71B1">
        <w:trPr>
          <w:trHeight w:val="20"/>
        </w:trPr>
        <w:tc>
          <w:tcPr>
            <w:tcW w:w="342" w:type="pct"/>
            <w:shd w:val="clear" w:color="000000" w:fill="FFFFFF"/>
            <w:vAlign w:val="center"/>
          </w:tcPr>
          <w:p w14:paraId="5DEB17B3" w14:textId="77777777" w:rsidR="005B7E3E" w:rsidRPr="00B0658A" w:rsidRDefault="005B7E3E" w:rsidP="00FE71B1">
            <w:pPr>
              <w:spacing w:after="0" w:line="240" w:lineRule="auto"/>
              <w:jc w:val="center"/>
              <w:rPr>
                <w:rFonts w:ascii="Times New Roman" w:hAnsi="Times New Roman"/>
                <w:sz w:val="18"/>
                <w:szCs w:val="18"/>
              </w:rPr>
            </w:pPr>
            <w:r w:rsidRPr="00B0658A">
              <w:rPr>
                <w:rFonts w:ascii="Times New Roman" w:hAnsi="Times New Roman"/>
                <w:sz w:val="18"/>
                <w:szCs w:val="18"/>
              </w:rPr>
              <w:t>9.6</w:t>
            </w:r>
          </w:p>
        </w:tc>
        <w:tc>
          <w:tcPr>
            <w:tcW w:w="1182" w:type="pct"/>
            <w:shd w:val="clear" w:color="auto" w:fill="auto"/>
            <w:vAlign w:val="center"/>
          </w:tcPr>
          <w:p w14:paraId="1EF9288A" w14:textId="77777777" w:rsidR="005B7E3E" w:rsidRPr="00B0658A" w:rsidRDefault="005B7E3E" w:rsidP="000A4114">
            <w:pPr>
              <w:spacing w:after="0" w:line="240" w:lineRule="auto"/>
              <w:rPr>
                <w:rFonts w:ascii="Times New Roman" w:hAnsi="Times New Roman"/>
                <w:sz w:val="18"/>
                <w:szCs w:val="18"/>
              </w:rPr>
            </w:pPr>
            <w:r w:rsidRPr="00B0658A">
              <w:rPr>
                <w:rFonts w:ascii="Times New Roman" w:hAnsi="Times New Roman"/>
                <w:sz w:val="18"/>
                <w:szCs w:val="18"/>
              </w:rPr>
              <w:t>Средства управления процессами организации/ Средства управления основными фондами предприятия (EAM)</w:t>
            </w:r>
          </w:p>
        </w:tc>
        <w:tc>
          <w:tcPr>
            <w:tcW w:w="898" w:type="pct"/>
            <w:shd w:val="clear" w:color="000000" w:fill="FFFFFF"/>
          </w:tcPr>
          <w:p w14:paraId="5794E8EF" w14:textId="77777777" w:rsidR="005B7E3E" w:rsidRPr="00B0658A" w:rsidRDefault="005B7E3E" w:rsidP="000A4114">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7" w:type="pct"/>
            <w:shd w:val="clear" w:color="000000" w:fill="FFFFFF"/>
            <w:vAlign w:val="center"/>
          </w:tcPr>
          <w:p w14:paraId="06B8F883"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30%</w:t>
            </w:r>
          </w:p>
        </w:tc>
        <w:tc>
          <w:tcPr>
            <w:tcW w:w="367" w:type="pct"/>
            <w:shd w:val="clear" w:color="000000" w:fill="FFFFFF"/>
            <w:vAlign w:val="center"/>
          </w:tcPr>
          <w:p w14:paraId="01226B59"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45%</w:t>
            </w:r>
          </w:p>
        </w:tc>
        <w:tc>
          <w:tcPr>
            <w:tcW w:w="367" w:type="pct"/>
            <w:shd w:val="clear" w:color="000000" w:fill="FFFFFF"/>
            <w:vAlign w:val="center"/>
          </w:tcPr>
          <w:p w14:paraId="207CD9D3"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55%</w:t>
            </w:r>
          </w:p>
        </w:tc>
        <w:tc>
          <w:tcPr>
            <w:tcW w:w="379" w:type="pct"/>
            <w:shd w:val="clear" w:color="000000" w:fill="FFFFFF"/>
            <w:vAlign w:val="center"/>
          </w:tcPr>
          <w:p w14:paraId="70BD38BC"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7" w:type="pct"/>
            <w:shd w:val="clear" w:color="000000" w:fill="FFFFFF"/>
            <w:vAlign w:val="center"/>
          </w:tcPr>
          <w:p w14:paraId="26367BC6"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75%</w:t>
            </w:r>
          </w:p>
        </w:tc>
        <w:tc>
          <w:tcPr>
            <w:tcW w:w="367" w:type="pct"/>
            <w:shd w:val="clear" w:color="000000" w:fill="FFFFFF"/>
            <w:vAlign w:val="center"/>
          </w:tcPr>
          <w:p w14:paraId="1337135B"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90%</w:t>
            </w:r>
          </w:p>
        </w:tc>
        <w:tc>
          <w:tcPr>
            <w:tcW w:w="364" w:type="pct"/>
            <w:shd w:val="clear" w:color="000000" w:fill="FFFFFF"/>
            <w:vAlign w:val="center"/>
          </w:tcPr>
          <w:p w14:paraId="42EE34EB"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F52FED" w:rsidRPr="00B0658A" w14:paraId="4ABF3E19" w14:textId="77777777" w:rsidTr="00FE71B1">
        <w:trPr>
          <w:trHeight w:val="20"/>
        </w:trPr>
        <w:tc>
          <w:tcPr>
            <w:tcW w:w="342" w:type="pct"/>
            <w:shd w:val="clear" w:color="000000" w:fill="FFFFFF"/>
            <w:vAlign w:val="center"/>
          </w:tcPr>
          <w:p w14:paraId="52E67103" w14:textId="77777777" w:rsidR="005B7E3E" w:rsidRPr="00B0658A" w:rsidRDefault="005B7E3E" w:rsidP="00FE71B1">
            <w:pPr>
              <w:spacing w:after="0" w:line="240" w:lineRule="auto"/>
              <w:jc w:val="center"/>
              <w:rPr>
                <w:rFonts w:ascii="Times New Roman" w:hAnsi="Times New Roman"/>
                <w:sz w:val="18"/>
                <w:szCs w:val="18"/>
              </w:rPr>
            </w:pPr>
            <w:r w:rsidRPr="00B0658A">
              <w:rPr>
                <w:rFonts w:ascii="Times New Roman" w:hAnsi="Times New Roman"/>
                <w:sz w:val="18"/>
                <w:szCs w:val="18"/>
              </w:rPr>
              <w:t>9.7</w:t>
            </w:r>
          </w:p>
        </w:tc>
        <w:tc>
          <w:tcPr>
            <w:tcW w:w="1182" w:type="pct"/>
            <w:shd w:val="clear" w:color="auto" w:fill="auto"/>
            <w:vAlign w:val="center"/>
          </w:tcPr>
          <w:p w14:paraId="6D8A6FF5" w14:textId="77777777" w:rsidR="005B7E3E" w:rsidRPr="00B0658A" w:rsidRDefault="005B7E3E" w:rsidP="000A4114">
            <w:pPr>
              <w:spacing w:after="0" w:line="240" w:lineRule="auto"/>
              <w:rPr>
                <w:rFonts w:ascii="Times New Roman" w:hAnsi="Times New Roman"/>
                <w:sz w:val="18"/>
                <w:szCs w:val="18"/>
              </w:rPr>
            </w:pPr>
            <w:r w:rsidRPr="00B0658A">
              <w:rPr>
                <w:rFonts w:ascii="Times New Roman" w:hAnsi="Times New Roman"/>
                <w:sz w:val="18"/>
                <w:szCs w:val="18"/>
              </w:rPr>
              <w:t>Средства управления процессами организации/ Средства финансового менеджмента, управления активами и трудовыми ресурсами (ERP)</w:t>
            </w:r>
          </w:p>
        </w:tc>
        <w:tc>
          <w:tcPr>
            <w:tcW w:w="898" w:type="pct"/>
            <w:shd w:val="clear" w:color="000000" w:fill="FFFFFF"/>
          </w:tcPr>
          <w:p w14:paraId="72F5EB1C" w14:textId="77777777" w:rsidR="005B7E3E" w:rsidRPr="00B0658A" w:rsidRDefault="005B7E3E" w:rsidP="000A4114">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7" w:type="pct"/>
            <w:shd w:val="clear" w:color="000000" w:fill="FFFFFF"/>
            <w:vAlign w:val="center"/>
          </w:tcPr>
          <w:p w14:paraId="5F497A98"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30%</w:t>
            </w:r>
          </w:p>
        </w:tc>
        <w:tc>
          <w:tcPr>
            <w:tcW w:w="367" w:type="pct"/>
            <w:shd w:val="clear" w:color="000000" w:fill="FFFFFF"/>
            <w:vAlign w:val="center"/>
          </w:tcPr>
          <w:p w14:paraId="20F108F0"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45%</w:t>
            </w:r>
          </w:p>
        </w:tc>
        <w:tc>
          <w:tcPr>
            <w:tcW w:w="367" w:type="pct"/>
            <w:shd w:val="clear" w:color="000000" w:fill="FFFFFF"/>
            <w:vAlign w:val="center"/>
          </w:tcPr>
          <w:p w14:paraId="59F0B25B"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60%</w:t>
            </w:r>
          </w:p>
        </w:tc>
        <w:tc>
          <w:tcPr>
            <w:tcW w:w="379" w:type="pct"/>
            <w:shd w:val="clear" w:color="000000" w:fill="FFFFFF"/>
            <w:vAlign w:val="center"/>
          </w:tcPr>
          <w:p w14:paraId="01F73EBB"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7" w:type="pct"/>
            <w:shd w:val="clear" w:color="000000" w:fill="FFFFFF"/>
            <w:vAlign w:val="center"/>
          </w:tcPr>
          <w:p w14:paraId="052E2E1B"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75%</w:t>
            </w:r>
          </w:p>
        </w:tc>
        <w:tc>
          <w:tcPr>
            <w:tcW w:w="367" w:type="pct"/>
            <w:shd w:val="clear" w:color="000000" w:fill="FFFFFF"/>
            <w:vAlign w:val="center"/>
          </w:tcPr>
          <w:p w14:paraId="57AB6EB1"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90%</w:t>
            </w:r>
          </w:p>
        </w:tc>
        <w:tc>
          <w:tcPr>
            <w:tcW w:w="364" w:type="pct"/>
            <w:shd w:val="clear" w:color="000000" w:fill="FFFFFF"/>
            <w:vAlign w:val="center"/>
          </w:tcPr>
          <w:p w14:paraId="66C26590"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F52FED" w:rsidRPr="00B0658A" w14:paraId="0F093906" w14:textId="77777777" w:rsidTr="00FE71B1">
        <w:trPr>
          <w:trHeight w:val="20"/>
        </w:trPr>
        <w:tc>
          <w:tcPr>
            <w:tcW w:w="342" w:type="pct"/>
            <w:shd w:val="clear" w:color="000000" w:fill="FFFFFF"/>
            <w:vAlign w:val="center"/>
          </w:tcPr>
          <w:p w14:paraId="25BE176E" w14:textId="77777777" w:rsidR="005B7E3E" w:rsidRPr="00B0658A" w:rsidRDefault="005B7E3E" w:rsidP="00FE71B1">
            <w:pPr>
              <w:spacing w:after="0" w:line="240" w:lineRule="auto"/>
              <w:jc w:val="center"/>
              <w:rPr>
                <w:rFonts w:ascii="Times New Roman" w:hAnsi="Times New Roman"/>
                <w:sz w:val="18"/>
                <w:szCs w:val="18"/>
              </w:rPr>
            </w:pPr>
            <w:r w:rsidRPr="00B0658A">
              <w:rPr>
                <w:rFonts w:ascii="Times New Roman" w:hAnsi="Times New Roman"/>
                <w:sz w:val="18"/>
                <w:szCs w:val="18"/>
              </w:rPr>
              <w:t>9.9</w:t>
            </w:r>
          </w:p>
        </w:tc>
        <w:tc>
          <w:tcPr>
            <w:tcW w:w="1182" w:type="pct"/>
            <w:shd w:val="clear" w:color="auto" w:fill="auto"/>
            <w:vAlign w:val="center"/>
          </w:tcPr>
          <w:p w14:paraId="0895A258" w14:textId="77777777" w:rsidR="005B7E3E" w:rsidRPr="00B0658A" w:rsidRDefault="005B7E3E" w:rsidP="000A4114">
            <w:pPr>
              <w:spacing w:after="0" w:line="240" w:lineRule="auto"/>
              <w:rPr>
                <w:rFonts w:ascii="Times New Roman" w:hAnsi="Times New Roman"/>
                <w:sz w:val="18"/>
                <w:szCs w:val="18"/>
              </w:rPr>
            </w:pPr>
            <w:r w:rsidRPr="00B0658A">
              <w:rPr>
                <w:rFonts w:ascii="Times New Roman" w:hAnsi="Times New Roman"/>
                <w:sz w:val="18"/>
                <w:szCs w:val="18"/>
              </w:rPr>
              <w:t>Средства управления процессами организации/ Средства управления отношениями с клиентами (CRM)</w:t>
            </w:r>
          </w:p>
        </w:tc>
        <w:tc>
          <w:tcPr>
            <w:tcW w:w="898" w:type="pct"/>
            <w:shd w:val="clear" w:color="000000" w:fill="FFFFFF"/>
          </w:tcPr>
          <w:p w14:paraId="6F81B31A" w14:textId="77777777" w:rsidR="005B7E3E" w:rsidRPr="00B0658A" w:rsidRDefault="005B7E3E" w:rsidP="000A4114">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7" w:type="pct"/>
            <w:shd w:val="clear" w:color="000000" w:fill="FFFFFF"/>
            <w:vAlign w:val="center"/>
          </w:tcPr>
          <w:p w14:paraId="5DC0E1EE"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30%</w:t>
            </w:r>
          </w:p>
        </w:tc>
        <w:tc>
          <w:tcPr>
            <w:tcW w:w="367" w:type="pct"/>
            <w:shd w:val="clear" w:color="000000" w:fill="FFFFFF"/>
            <w:vAlign w:val="center"/>
          </w:tcPr>
          <w:p w14:paraId="4BA86078"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45%</w:t>
            </w:r>
          </w:p>
        </w:tc>
        <w:tc>
          <w:tcPr>
            <w:tcW w:w="367" w:type="pct"/>
            <w:shd w:val="clear" w:color="000000" w:fill="FFFFFF"/>
            <w:vAlign w:val="center"/>
          </w:tcPr>
          <w:p w14:paraId="1589C2D9"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60%</w:t>
            </w:r>
          </w:p>
        </w:tc>
        <w:tc>
          <w:tcPr>
            <w:tcW w:w="379" w:type="pct"/>
            <w:shd w:val="clear" w:color="000000" w:fill="FFFFFF"/>
            <w:vAlign w:val="center"/>
          </w:tcPr>
          <w:p w14:paraId="6104BDD8"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7" w:type="pct"/>
            <w:shd w:val="clear" w:color="000000" w:fill="FFFFFF"/>
            <w:vAlign w:val="center"/>
          </w:tcPr>
          <w:p w14:paraId="0DF3FE75"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75%</w:t>
            </w:r>
          </w:p>
        </w:tc>
        <w:tc>
          <w:tcPr>
            <w:tcW w:w="367" w:type="pct"/>
            <w:shd w:val="clear" w:color="000000" w:fill="FFFFFF"/>
            <w:vAlign w:val="center"/>
          </w:tcPr>
          <w:p w14:paraId="64759310"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90%</w:t>
            </w:r>
          </w:p>
        </w:tc>
        <w:tc>
          <w:tcPr>
            <w:tcW w:w="364" w:type="pct"/>
            <w:shd w:val="clear" w:color="000000" w:fill="FFFFFF"/>
            <w:vAlign w:val="center"/>
          </w:tcPr>
          <w:p w14:paraId="0D97AE5F"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F52FED" w:rsidRPr="00B0658A" w14:paraId="17E9303C" w14:textId="77777777" w:rsidTr="00FE71B1">
        <w:trPr>
          <w:trHeight w:val="20"/>
        </w:trPr>
        <w:tc>
          <w:tcPr>
            <w:tcW w:w="342" w:type="pct"/>
            <w:shd w:val="clear" w:color="000000" w:fill="FFFFFF"/>
            <w:vAlign w:val="center"/>
          </w:tcPr>
          <w:p w14:paraId="6FDD4BBB" w14:textId="77777777" w:rsidR="005B7E3E" w:rsidRPr="00B0658A" w:rsidRDefault="005B7E3E" w:rsidP="00FE71B1">
            <w:pPr>
              <w:spacing w:after="0" w:line="240" w:lineRule="auto"/>
              <w:jc w:val="center"/>
              <w:rPr>
                <w:rFonts w:ascii="Times New Roman" w:hAnsi="Times New Roman"/>
                <w:sz w:val="18"/>
                <w:szCs w:val="18"/>
              </w:rPr>
            </w:pPr>
            <w:r w:rsidRPr="00B0658A">
              <w:rPr>
                <w:rFonts w:ascii="Times New Roman" w:hAnsi="Times New Roman"/>
                <w:sz w:val="18"/>
                <w:szCs w:val="18"/>
              </w:rPr>
              <w:t>9.10</w:t>
            </w:r>
          </w:p>
        </w:tc>
        <w:tc>
          <w:tcPr>
            <w:tcW w:w="1182" w:type="pct"/>
            <w:shd w:val="clear" w:color="auto" w:fill="auto"/>
            <w:vAlign w:val="center"/>
          </w:tcPr>
          <w:p w14:paraId="17AF39C0" w14:textId="77777777" w:rsidR="005B7E3E" w:rsidRPr="00B0658A" w:rsidRDefault="005B7E3E" w:rsidP="000A4114">
            <w:pPr>
              <w:spacing w:after="0" w:line="240" w:lineRule="auto"/>
              <w:rPr>
                <w:rFonts w:ascii="Times New Roman" w:hAnsi="Times New Roman"/>
                <w:sz w:val="18"/>
                <w:szCs w:val="18"/>
              </w:rPr>
            </w:pPr>
            <w:r w:rsidRPr="00B0658A">
              <w:rPr>
                <w:rFonts w:ascii="Times New Roman" w:hAnsi="Times New Roman"/>
                <w:sz w:val="18"/>
                <w:szCs w:val="18"/>
              </w:rPr>
              <w:t>Средства управления процессами организации/ Средства управления ИТ-службой, ИТ-инфраструктурой и ИТ-активами (ITSM-ServiceDesk, SCCM, Asset Management)</w:t>
            </w:r>
          </w:p>
        </w:tc>
        <w:tc>
          <w:tcPr>
            <w:tcW w:w="898" w:type="pct"/>
            <w:shd w:val="clear" w:color="000000" w:fill="FFFFFF"/>
          </w:tcPr>
          <w:p w14:paraId="3847351F" w14:textId="77777777" w:rsidR="005B7E3E" w:rsidRPr="00B0658A" w:rsidRDefault="005B7E3E" w:rsidP="000A4114">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7" w:type="pct"/>
            <w:shd w:val="clear" w:color="000000" w:fill="FFFFFF"/>
            <w:vAlign w:val="center"/>
          </w:tcPr>
          <w:p w14:paraId="1ECDACD9"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30%</w:t>
            </w:r>
          </w:p>
        </w:tc>
        <w:tc>
          <w:tcPr>
            <w:tcW w:w="367" w:type="pct"/>
            <w:shd w:val="clear" w:color="000000" w:fill="FFFFFF"/>
            <w:vAlign w:val="center"/>
          </w:tcPr>
          <w:p w14:paraId="536CB85A"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45%</w:t>
            </w:r>
          </w:p>
        </w:tc>
        <w:tc>
          <w:tcPr>
            <w:tcW w:w="367" w:type="pct"/>
            <w:shd w:val="clear" w:color="000000" w:fill="FFFFFF"/>
            <w:vAlign w:val="center"/>
          </w:tcPr>
          <w:p w14:paraId="0CE94564"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60%</w:t>
            </w:r>
          </w:p>
        </w:tc>
        <w:tc>
          <w:tcPr>
            <w:tcW w:w="379" w:type="pct"/>
            <w:shd w:val="clear" w:color="000000" w:fill="FFFFFF"/>
            <w:vAlign w:val="center"/>
          </w:tcPr>
          <w:p w14:paraId="6C17C7FF"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7" w:type="pct"/>
            <w:shd w:val="clear" w:color="000000" w:fill="FFFFFF"/>
            <w:vAlign w:val="center"/>
          </w:tcPr>
          <w:p w14:paraId="67606417"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75%</w:t>
            </w:r>
          </w:p>
        </w:tc>
        <w:tc>
          <w:tcPr>
            <w:tcW w:w="367" w:type="pct"/>
            <w:shd w:val="clear" w:color="000000" w:fill="FFFFFF"/>
            <w:vAlign w:val="center"/>
          </w:tcPr>
          <w:p w14:paraId="77ECBA44"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90%</w:t>
            </w:r>
          </w:p>
        </w:tc>
        <w:tc>
          <w:tcPr>
            <w:tcW w:w="364" w:type="pct"/>
            <w:shd w:val="clear" w:color="000000" w:fill="FFFFFF"/>
            <w:vAlign w:val="center"/>
          </w:tcPr>
          <w:p w14:paraId="4FB2C2D4"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F52FED" w:rsidRPr="00B0658A" w14:paraId="45BC86D3" w14:textId="77777777" w:rsidTr="00FE71B1">
        <w:trPr>
          <w:trHeight w:val="20"/>
        </w:trPr>
        <w:tc>
          <w:tcPr>
            <w:tcW w:w="342" w:type="pct"/>
            <w:shd w:val="clear" w:color="000000" w:fill="FFFFFF"/>
            <w:vAlign w:val="center"/>
          </w:tcPr>
          <w:p w14:paraId="67EC32E1" w14:textId="77777777" w:rsidR="005B7E3E" w:rsidRPr="00B0658A" w:rsidRDefault="005B7E3E" w:rsidP="00FE71B1">
            <w:pPr>
              <w:spacing w:after="0" w:line="240" w:lineRule="auto"/>
              <w:jc w:val="center"/>
              <w:rPr>
                <w:rFonts w:ascii="Times New Roman" w:hAnsi="Times New Roman"/>
                <w:sz w:val="18"/>
                <w:szCs w:val="18"/>
              </w:rPr>
            </w:pPr>
            <w:r w:rsidRPr="00B0658A">
              <w:rPr>
                <w:rFonts w:ascii="Times New Roman" w:hAnsi="Times New Roman"/>
                <w:sz w:val="18"/>
                <w:szCs w:val="18"/>
              </w:rPr>
              <w:t>9.11</w:t>
            </w:r>
          </w:p>
        </w:tc>
        <w:tc>
          <w:tcPr>
            <w:tcW w:w="1182" w:type="pct"/>
            <w:shd w:val="clear" w:color="auto" w:fill="auto"/>
            <w:vAlign w:val="center"/>
          </w:tcPr>
          <w:p w14:paraId="6B68CDB5" w14:textId="77777777" w:rsidR="005B7E3E" w:rsidRPr="00B0658A" w:rsidRDefault="005B7E3E" w:rsidP="000A4114">
            <w:pPr>
              <w:suppressAutoHyphens/>
              <w:spacing w:after="0" w:line="240" w:lineRule="auto"/>
              <w:rPr>
                <w:rFonts w:ascii="Times New Roman" w:hAnsi="Times New Roman"/>
                <w:sz w:val="18"/>
                <w:szCs w:val="18"/>
              </w:rPr>
            </w:pPr>
            <w:r w:rsidRPr="00B0658A">
              <w:rPr>
                <w:rFonts w:ascii="Times New Roman" w:hAnsi="Times New Roman"/>
                <w:sz w:val="18"/>
                <w:szCs w:val="18"/>
              </w:rPr>
              <w:t xml:space="preserve">Средства управления процессами организации/ Средства управления содержимым (CMS), сайты </w:t>
            </w:r>
          </w:p>
          <w:p w14:paraId="2EA88F24" w14:textId="77777777" w:rsidR="005B7E3E" w:rsidRPr="00B0658A" w:rsidRDefault="005B7E3E" w:rsidP="000A4114">
            <w:pPr>
              <w:spacing w:after="0" w:line="240" w:lineRule="auto"/>
              <w:rPr>
                <w:rFonts w:ascii="Times New Roman" w:hAnsi="Times New Roman"/>
                <w:sz w:val="18"/>
                <w:szCs w:val="18"/>
              </w:rPr>
            </w:pPr>
            <w:r w:rsidRPr="00B0658A">
              <w:rPr>
                <w:rFonts w:ascii="Times New Roman" w:hAnsi="Times New Roman"/>
                <w:sz w:val="18"/>
                <w:szCs w:val="18"/>
              </w:rPr>
              <w:t>и портальные решения</w:t>
            </w:r>
          </w:p>
        </w:tc>
        <w:tc>
          <w:tcPr>
            <w:tcW w:w="898" w:type="pct"/>
            <w:shd w:val="clear" w:color="000000" w:fill="FFFFFF"/>
          </w:tcPr>
          <w:p w14:paraId="1388319F" w14:textId="77777777" w:rsidR="005B7E3E" w:rsidRPr="00B0658A" w:rsidRDefault="005B7E3E" w:rsidP="000A4114">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7" w:type="pct"/>
            <w:shd w:val="clear" w:color="000000" w:fill="FFFFFF"/>
            <w:vAlign w:val="center"/>
          </w:tcPr>
          <w:p w14:paraId="6AE4568F"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35%</w:t>
            </w:r>
          </w:p>
        </w:tc>
        <w:tc>
          <w:tcPr>
            <w:tcW w:w="367" w:type="pct"/>
            <w:shd w:val="clear" w:color="000000" w:fill="FFFFFF"/>
            <w:vAlign w:val="center"/>
          </w:tcPr>
          <w:p w14:paraId="54D995D2"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45%</w:t>
            </w:r>
          </w:p>
        </w:tc>
        <w:tc>
          <w:tcPr>
            <w:tcW w:w="367" w:type="pct"/>
            <w:shd w:val="clear" w:color="000000" w:fill="FFFFFF"/>
            <w:vAlign w:val="center"/>
          </w:tcPr>
          <w:p w14:paraId="3A558C74"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55%</w:t>
            </w:r>
          </w:p>
        </w:tc>
        <w:tc>
          <w:tcPr>
            <w:tcW w:w="379" w:type="pct"/>
            <w:shd w:val="clear" w:color="000000" w:fill="FFFFFF"/>
            <w:vAlign w:val="center"/>
          </w:tcPr>
          <w:p w14:paraId="7EFA1EF2"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7" w:type="pct"/>
            <w:shd w:val="clear" w:color="000000" w:fill="FFFFFF"/>
            <w:vAlign w:val="center"/>
          </w:tcPr>
          <w:p w14:paraId="5C821DD4"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70%</w:t>
            </w:r>
          </w:p>
        </w:tc>
        <w:tc>
          <w:tcPr>
            <w:tcW w:w="367" w:type="pct"/>
            <w:shd w:val="clear" w:color="000000" w:fill="FFFFFF"/>
            <w:vAlign w:val="center"/>
          </w:tcPr>
          <w:p w14:paraId="06BF27DC"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90%</w:t>
            </w:r>
          </w:p>
        </w:tc>
        <w:tc>
          <w:tcPr>
            <w:tcW w:w="364" w:type="pct"/>
            <w:shd w:val="clear" w:color="000000" w:fill="FFFFFF"/>
            <w:vAlign w:val="center"/>
          </w:tcPr>
          <w:p w14:paraId="6E68CE3A"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F52FED" w:rsidRPr="00B0658A" w14:paraId="07AEA804" w14:textId="77777777" w:rsidTr="00FE71B1">
        <w:trPr>
          <w:trHeight w:val="20"/>
        </w:trPr>
        <w:tc>
          <w:tcPr>
            <w:tcW w:w="342" w:type="pct"/>
            <w:shd w:val="clear" w:color="000000" w:fill="FFFFFF"/>
            <w:vAlign w:val="center"/>
          </w:tcPr>
          <w:p w14:paraId="6C8D1AF3" w14:textId="77777777" w:rsidR="005B7E3E" w:rsidRPr="00B0658A" w:rsidRDefault="005B7E3E" w:rsidP="00FE71B1">
            <w:pPr>
              <w:spacing w:after="0" w:line="240" w:lineRule="auto"/>
              <w:jc w:val="center"/>
              <w:rPr>
                <w:rFonts w:ascii="Times New Roman" w:hAnsi="Times New Roman"/>
                <w:sz w:val="18"/>
                <w:szCs w:val="18"/>
              </w:rPr>
            </w:pPr>
            <w:r w:rsidRPr="00B0658A">
              <w:rPr>
                <w:rFonts w:ascii="Times New Roman" w:hAnsi="Times New Roman"/>
                <w:sz w:val="18"/>
                <w:szCs w:val="18"/>
              </w:rPr>
              <w:t>9.12</w:t>
            </w:r>
          </w:p>
        </w:tc>
        <w:tc>
          <w:tcPr>
            <w:tcW w:w="1182" w:type="pct"/>
            <w:shd w:val="clear" w:color="auto" w:fill="auto"/>
            <w:vAlign w:val="center"/>
          </w:tcPr>
          <w:p w14:paraId="7C4FD55C" w14:textId="77777777" w:rsidR="005B7E3E" w:rsidRPr="00B0658A" w:rsidRDefault="005B7E3E" w:rsidP="000A4114">
            <w:pPr>
              <w:spacing w:after="0" w:line="240" w:lineRule="auto"/>
              <w:rPr>
                <w:rFonts w:ascii="Times New Roman" w:hAnsi="Times New Roman"/>
                <w:sz w:val="18"/>
                <w:szCs w:val="18"/>
              </w:rPr>
            </w:pPr>
            <w:r w:rsidRPr="00B0658A">
              <w:rPr>
                <w:rFonts w:ascii="Times New Roman" w:hAnsi="Times New Roman"/>
                <w:sz w:val="18"/>
                <w:szCs w:val="18"/>
              </w:rPr>
              <w:t>Средства управления процессами организации/ Средства электронной коммерции (e-commerce platform)</w:t>
            </w:r>
          </w:p>
        </w:tc>
        <w:tc>
          <w:tcPr>
            <w:tcW w:w="898" w:type="pct"/>
            <w:shd w:val="clear" w:color="000000" w:fill="FFFFFF"/>
          </w:tcPr>
          <w:p w14:paraId="1DB918A5" w14:textId="77777777" w:rsidR="005B7E3E" w:rsidRPr="00B0658A" w:rsidRDefault="005B7E3E" w:rsidP="000A4114">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7" w:type="pct"/>
            <w:shd w:val="clear" w:color="000000" w:fill="FFFFFF"/>
            <w:vAlign w:val="center"/>
          </w:tcPr>
          <w:p w14:paraId="60F32CE9"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35%</w:t>
            </w:r>
          </w:p>
        </w:tc>
        <w:tc>
          <w:tcPr>
            <w:tcW w:w="367" w:type="pct"/>
            <w:shd w:val="clear" w:color="000000" w:fill="FFFFFF"/>
            <w:vAlign w:val="center"/>
          </w:tcPr>
          <w:p w14:paraId="6C0EBE9C"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50%</w:t>
            </w:r>
          </w:p>
        </w:tc>
        <w:tc>
          <w:tcPr>
            <w:tcW w:w="367" w:type="pct"/>
            <w:shd w:val="clear" w:color="000000" w:fill="FFFFFF"/>
            <w:vAlign w:val="center"/>
          </w:tcPr>
          <w:p w14:paraId="0CB349F5"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60%</w:t>
            </w:r>
          </w:p>
        </w:tc>
        <w:tc>
          <w:tcPr>
            <w:tcW w:w="379" w:type="pct"/>
            <w:shd w:val="clear" w:color="000000" w:fill="FFFFFF"/>
            <w:vAlign w:val="center"/>
          </w:tcPr>
          <w:p w14:paraId="5528E30A"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7" w:type="pct"/>
            <w:shd w:val="clear" w:color="000000" w:fill="FFFFFF"/>
            <w:vAlign w:val="center"/>
          </w:tcPr>
          <w:p w14:paraId="1C9AE8D3"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80%</w:t>
            </w:r>
          </w:p>
        </w:tc>
        <w:tc>
          <w:tcPr>
            <w:tcW w:w="367" w:type="pct"/>
            <w:shd w:val="clear" w:color="000000" w:fill="FFFFFF"/>
            <w:vAlign w:val="center"/>
          </w:tcPr>
          <w:p w14:paraId="7DE2B998"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4" w:type="pct"/>
            <w:shd w:val="clear" w:color="000000" w:fill="FFFFFF"/>
            <w:vAlign w:val="center"/>
          </w:tcPr>
          <w:p w14:paraId="7DF6FF57"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F52FED" w:rsidRPr="00B0658A" w14:paraId="01E381E1" w14:textId="77777777" w:rsidTr="00FE71B1">
        <w:trPr>
          <w:trHeight w:val="20"/>
        </w:trPr>
        <w:tc>
          <w:tcPr>
            <w:tcW w:w="342" w:type="pct"/>
            <w:shd w:val="clear" w:color="000000" w:fill="FFFFFF"/>
            <w:vAlign w:val="center"/>
          </w:tcPr>
          <w:p w14:paraId="52705B39" w14:textId="77777777" w:rsidR="005B7E3E" w:rsidRPr="00B0658A" w:rsidRDefault="005B7E3E" w:rsidP="00FE71B1">
            <w:pPr>
              <w:spacing w:after="0" w:line="240" w:lineRule="auto"/>
              <w:jc w:val="center"/>
              <w:rPr>
                <w:rFonts w:ascii="Times New Roman" w:hAnsi="Times New Roman"/>
                <w:sz w:val="18"/>
                <w:szCs w:val="18"/>
              </w:rPr>
            </w:pPr>
            <w:r w:rsidRPr="00B0658A">
              <w:rPr>
                <w:rFonts w:ascii="Times New Roman" w:hAnsi="Times New Roman"/>
                <w:sz w:val="18"/>
                <w:szCs w:val="18"/>
              </w:rPr>
              <w:t>9.13</w:t>
            </w:r>
          </w:p>
        </w:tc>
        <w:tc>
          <w:tcPr>
            <w:tcW w:w="1182" w:type="pct"/>
            <w:shd w:val="clear" w:color="auto" w:fill="auto"/>
            <w:vAlign w:val="center"/>
          </w:tcPr>
          <w:p w14:paraId="3B687545" w14:textId="77777777" w:rsidR="005B7E3E" w:rsidRPr="00B0658A" w:rsidRDefault="005B7E3E" w:rsidP="000A4114">
            <w:pPr>
              <w:spacing w:after="0" w:line="240" w:lineRule="auto"/>
              <w:rPr>
                <w:rFonts w:ascii="Times New Roman" w:hAnsi="Times New Roman"/>
                <w:sz w:val="18"/>
                <w:szCs w:val="18"/>
              </w:rPr>
            </w:pPr>
            <w:r w:rsidRPr="00B0658A">
              <w:rPr>
                <w:rFonts w:ascii="Times New Roman" w:hAnsi="Times New Roman"/>
                <w:sz w:val="18"/>
                <w:szCs w:val="18"/>
              </w:rPr>
              <w:t>Средства управления процессами организации/ Средства управления складом и цепочками поставок (WMS, SCM)</w:t>
            </w:r>
          </w:p>
        </w:tc>
        <w:tc>
          <w:tcPr>
            <w:tcW w:w="898" w:type="pct"/>
            <w:shd w:val="clear" w:color="000000" w:fill="FFFFFF"/>
          </w:tcPr>
          <w:p w14:paraId="3167B08F" w14:textId="77777777" w:rsidR="005B7E3E" w:rsidRPr="00B0658A" w:rsidRDefault="005B7E3E" w:rsidP="000A4114">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7" w:type="pct"/>
            <w:shd w:val="clear" w:color="000000" w:fill="FFFFFF"/>
            <w:vAlign w:val="center"/>
          </w:tcPr>
          <w:p w14:paraId="71ED2547"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35%</w:t>
            </w:r>
          </w:p>
        </w:tc>
        <w:tc>
          <w:tcPr>
            <w:tcW w:w="367" w:type="pct"/>
            <w:shd w:val="clear" w:color="000000" w:fill="FFFFFF"/>
            <w:vAlign w:val="center"/>
          </w:tcPr>
          <w:p w14:paraId="31BC1200"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55%</w:t>
            </w:r>
          </w:p>
        </w:tc>
        <w:tc>
          <w:tcPr>
            <w:tcW w:w="367" w:type="pct"/>
            <w:shd w:val="clear" w:color="000000" w:fill="FFFFFF"/>
            <w:vAlign w:val="center"/>
          </w:tcPr>
          <w:p w14:paraId="170B518F"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75%</w:t>
            </w:r>
          </w:p>
        </w:tc>
        <w:tc>
          <w:tcPr>
            <w:tcW w:w="379" w:type="pct"/>
            <w:shd w:val="clear" w:color="000000" w:fill="FFFFFF"/>
            <w:vAlign w:val="center"/>
          </w:tcPr>
          <w:p w14:paraId="2844A056"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7" w:type="pct"/>
            <w:shd w:val="clear" w:color="000000" w:fill="FFFFFF"/>
            <w:vAlign w:val="center"/>
          </w:tcPr>
          <w:p w14:paraId="6BC7BE5C"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90%</w:t>
            </w:r>
          </w:p>
        </w:tc>
        <w:tc>
          <w:tcPr>
            <w:tcW w:w="367" w:type="pct"/>
            <w:shd w:val="clear" w:color="000000" w:fill="FFFFFF"/>
            <w:vAlign w:val="center"/>
          </w:tcPr>
          <w:p w14:paraId="68DEB552"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4" w:type="pct"/>
            <w:shd w:val="clear" w:color="000000" w:fill="FFFFFF"/>
            <w:vAlign w:val="center"/>
          </w:tcPr>
          <w:p w14:paraId="42DF0C31"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F52FED" w:rsidRPr="00B0658A" w14:paraId="1181D4C0" w14:textId="77777777" w:rsidTr="00FE71B1">
        <w:trPr>
          <w:trHeight w:val="20"/>
        </w:trPr>
        <w:tc>
          <w:tcPr>
            <w:tcW w:w="342" w:type="pct"/>
            <w:shd w:val="clear" w:color="000000" w:fill="FFFFFF"/>
            <w:vAlign w:val="center"/>
          </w:tcPr>
          <w:p w14:paraId="0FFA528F" w14:textId="77777777" w:rsidR="005B7E3E" w:rsidRPr="00B0658A" w:rsidRDefault="005B7E3E" w:rsidP="00FE71B1">
            <w:pPr>
              <w:spacing w:after="0" w:line="240" w:lineRule="auto"/>
              <w:jc w:val="center"/>
              <w:rPr>
                <w:rFonts w:ascii="Times New Roman" w:hAnsi="Times New Roman"/>
                <w:sz w:val="18"/>
                <w:szCs w:val="18"/>
              </w:rPr>
            </w:pPr>
            <w:r w:rsidRPr="00B0658A">
              <w:rPr>
                <w:rFonts w:ascii="Times New Roman" w:hAnsi="Times New Roman"/>
                <w:sz w:val="18"/>
                <w:szCs w:val="18"/>
              </w:rPr>
              <w:t>9.14</w:t>
            </w:r>
          </w:p>
        </w:tc>
        <w:tc>
          <w:tcPr>
            <w:tcW w:w="1182" w:type="pct"/>
            <w:shd w:val="clear" w:color="auto" w:fill="auto"/>
            <w:vAlign w:val="center"/>
          </w:tcPr>
          <w:p w14:paraId="113DE5D0" w14:textId="77777777" w:rsidR="005B7E3E" w:rsidRPr="00B0658A" w:rsidRDefault="005B7E3E" w:rsidP="000A4114">
            <w:pPr>
              <w:spacing w:after="0" w:line="240" w:lineRule="auto"/>
              <w:rPr>
                <w:rFonts w:ascii="Times New Roman" w:hAnsi="Times New Roman"/>
                <w:sz w:val="18"/>
                <w:szCs w:val="18"/>
              </w:rPr>
            </w:pPr>
            <w:r w:rsidRPr="00B0658A">
              <w:rPr>
                <w:rFonts w:ascii="Times New Roman" w:hAnsi="Times New Roman"/>
                <w:sz w:val="18"/>
                <w:szCs w:val="18"/>
              </w:rPr>
              <w:t>Средства управления процессами организации/ Средства централизованного управления конечными устройствами</w:t>
            </w:r>
          </w:p>
        </w:tc>
        <w:tc>
          <w:tcPr>
            <w:tcW w:w="898" w:type="pct"/>
            <w:shd w:val="clear" w:color="000000" w:fill="FFFFFF"/>
          </w:tcPr>
          <w:p w14:paraId="0EA606FA" w14:textId="77777777" w:rsidR="005B7E3E" w:rsidRPr="00B0658A" w:rsidRDefault="005B7E3E" w:rsidP="000A4114">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7" w:type="pct"/>
            <w:shd w:val="clear" w:color="000000" w:fill="FFFFFF"/>
            <w:vAlign w:val="center"/>
          </w:tcPr>
          <w:p w14:paraId="126650F5"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25%</w:t>
            </w:r>
          </w:p>
        </w:tc>
        <w:tc>
          <w:tcPr>
            <w:tcW w:w="367" w:type="pct"/>
            <w:shd w:val="clear" w:color="000000" w:fill="FFFFFF"/>
            <w:vAlign w:val="center"/>
          </w:tcPr>
          <w:p w14:paraId="7A3C79F4"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35%</w:t>
            </w:r>
          </w:p>
        </w:tc>
        <w:tc>
          <w:tcPr>
            <w:tcW w:w="367" w:type="pct"/>
            <w:shd w:val="clear" w:color="000000" w:fill="FFFFFF"/>
            <w:vAlign w:val="center"/>
          </w:tcPr>
          <w:p w14:paraId="7D1F7342"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50%</w:t>
            </w:r>
          </w:p>
        </w:tc>
        <w:tc>
          <w:tcPr>
            <w:tcW w:w="379" w:type="pct"/>
            <w:shd w:val="clear" w:color="000000" w:fill="FFFFFF"/>
            <w:vAlign w:val="center"/>
          </w:tcPr>
          <w:p w14:paraId="3A95A14A"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7" w:type="pct"/>
            <w:shd w:val="clear" w:color="000000" w:fill="FFFFFF"/>
            <w:vAlign w:val="center"/>
          </w:tcPr>
          <w:p w14:paraId="19596688"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75%</w:t>
            </w:r>
          </w:p>
        </w:tc>
        <w:tc>
          <w:tcPr>
            <w:tcW w:w="367" w:type="pct"/>
            <w:shd w:val="clear" w:color="000000" w:fill="FFFFFF"/>
            <w:vAlign w:val="center"/>
          </w:tcPr>
          <w:p w14:paraId="15BF304C"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85%</w:t>
            </w:r>
          </w:p>
        </w:tc>
        <w:tc>
          <w:tcPr>
            <w:tcW w:w="364" w:type="pct"/>
            <w:shd w:val="clear" w:color="000000" w:fill="FFFFFF"/>
            <w:vAlign w:val="center"/>
          </w:tcPr>
          <w:p w14:paraId="62AC929F"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F52FED" w:rsidRPr="00B0658A" w14:paraId="2E22FB07" w14:textId="77777777" w:rsidTr="00FE71B1">
        <w:trPr>
          <w:trHeight w:val="20"/>
        </w:trPr>
        <w:tc>
          <w:tcPr>
            <w:tcW w:w="342" w:type="pct"/>
            <w:shd w:val="clear" w:color="000000" w:fill="FFFFFF"/>
            <w:vAlign w:val="center"/>
          </w:tcPr>
          <w:p w14:paraId="3CCB8E4F" w14:textId="77777777" w:rsidR="005B7E3E" w:rsidRPr="00B0658A" w:rsidRDefault="005B7E3E" w:rsidP="00FE71B1">
            <w:pPr>
              <w:spacing w:after="0" w:line="240" w:lineRule="auto"/>
              <w:jc w:val="center"/>
              <w:rPr>
                <w:rFonts w:ascii="Times New Roman" w:hAnsi="Times New Roman"/>
                <w:sz w:val="18"/>
                <w:szCs w:val="18"/>
              </w:rPr>
            </w:pPr>
            <w:r w:rsidRPr="00B0658A">
              <w:rPr>
                <w:rFonts w:ascii="Times New Roman" w:hAnsi="Times New Roman"/>
                <w:sz w:val="18"/>
                <w:szCs w:val="18"/>
              </w:rPr>
              <w:t>10.1</w:t>
            </w:r>
          </w:p>
        </w:tc>
        <w:tc>
          <w:tcPr>
            <w:tcW w:w="1182" w:type="pct"/>
            <w:shd w:val="clear" w:color="auto" w:fill="auto"/>
            <w:vAlign w:val="center"/>
          </w:tcPr>
          <w:p w14:paraId="681F4E41" w14:textId="77777777" w:rsidR="005B7E3E" w:rsidRPr="00B0658A" w:rsidRDefault="005B7E3E" w:rsidP="000A4114">
            <w:pPr>
              <w:spacing w:after="0" w:line="240" w:lineRule="auto"/>
              <w:rPr>
                <w:rFonts w:ascii="Times New Roman" w:hAnsi="Times New Roman"/>
                <w:sz w:val="18"/>
                <w:szCs w:val="18"/>
              </w:rPr>
            </w:pPr>
            <w:r w:rsidRPr="00B0658A">
              <w:rPr>
                <w:rFonts w:ascii="Times New Roman" w:hAnsi="Times New Roman"/>
                <w:sz w:val="18"/>
                <w:szCs w:val="18"/>
              </w:rPr>
              <w:t>Средства обработки и визуализации массивов данных/ Средства обработки Больших Данных (BigData)</w:t>
            </w:r>
          </w:p>
        </w:tc>
        <w:tc>
          <w:tcPr>
            <w:tcW w:w="898" w:type="pct"/>
            <w:shd w:val="clear" w:color="000000" w:fill="FFFFFF"/>
          </w:tcPr>
          <w:p w14:paraId="140A007D" w14:textId="77777777" w:rsidR="005B7E3E" w:rsidRPr="00B0658A" w:rsidRDefault="005B7E3E" w:rsidP="000A4114">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7" w:type="pct"/>
            <w:shd w:val="clear" w:color="000000" w:fill="FFFFFF"/>
            <w:vAlign w:val="center"/>
          </w:tcPr>
          <w:p w14:paraId="5EC16BF6"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35%</w:t>
            </w:r>
          </w:p>
        </w:tc>
        <w:tc>
          <w:tcPr>
            <w:tcW w:w="367" w:type="pct"/>
            <w:shd w:val="clear" w:color="000000" w:fill="FFFFFF"/>
            <w:vAlign w:val="center"/>
          </w:tcPr>
          <w:p w14:paraId="3D57B12E"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45%</w:t>
            </w:r>
          </w:p>
        </w:tc>
        <w:tc>
          <w:tcPr>
            <w:tcW w:w="367" w:type="pct"/>
            <w:shd w:val="clear" w:color="000000" w:fill="FFFFFF"/>
            <w:vAlign w:val="center"/>
          </w:tcPr>
          <w:p w14:paraId="6835125E"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55%</w:t>
            </w:r>
          </w:p>
        </w:tc>
        <w:tc>
          <w:tcPr>
            <w:tcW w:w="379" w:type="pct"/>
            <w:shd w:val="clear" w:color="000000" w:fill="FFFFFF"/>
            <w:vAlign w:val="center"/>
          </w:tcPr>
          <w:p w14:paraId="570E8620"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7" w:type="pct"/>
            <w:shd w:val="clear" w:color="000000" w:fill="FFFFFF"/>
            <w:vAlign w:val="center"/>
          </w:tcPr>
          <w:p w14:paraId="633C5BA1"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70%</w:t>
            </w:r>
          </w:p>
        </w:tc>
        <w:tc>
          <w:tcPr>
            <w:tcW w:w="367" w:type="pct"/>
            <w:shd w:val="clear" w:color="000000" w:fill="FFFFFF"/>
            <w:vAlign w:val="center"/>
          </w:tcPr>
          <w:p w14:paraId="1D941FCF"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90%</w:t>
            </w:r>
          </w:p>
        </w:tc>
        <w:tc>
          <w:tcPr>
            <w:tcW w:w="364" w:type="pct"/>
            <w:shd w:val="clear" w:color="000000" w:fill="FFFFFF"/>
            <w:vAlign w:val="center"/>
          </w:tcPr>
          <w:p w14:paraId="56950663"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F52FED" w:rsidRPr="00B0658A" w14:paraId="54FA6E03" w14:textId="77777777" w:rsidTr="00FE71B1">
        <w:trPr>
          <w:trHeight w:val="20"/>
        </w:trPr>
        <w:tc>
          <w:tcPr>
            <w:tcW w:w="342" w:type="pct"/>
            <w:shd w:val="clear" w:color="000000" w:fill="FFFFFF"/>
            <w:vAlign w:val="center"/>
          </w:tcPr>
          <w:p w14:paraId="0F050713" w14:textId="77777777" w:rsidR="005B7E3E" w:rsidRPr="00B0658A" w:rsidRDefault="005B7E3E" w:rsidP="00FE71B1">
            <w:pPr>
              <w:spacing w:after="0" w:line="240" w:lineRule="auto"/>
              <w:jc w:val="center"/>
              <w:rPr>
                <w:rFonts w:ascii="Times New Roman" w:hAnsi="Times New Roman"/>
                <w:sz w:val="18"/>
                <w:szCs w:val="18"/>
              </w:rPr>
            </w:pPr>
            <w:r w:rsidRPr="00B0658A">
              <w:rPr>
                <w:rFonts w:ascii="Times New Roman" w:hAnsi="Times New Roman"/>
                <w:sz w:val="18"/>
                <w:szCs w:val="18"/>
              </w:rPr>
              <w:t>10.2</w:t>
            </w:r>
          </w:p>
        </w:tc>
        <w:tc>
          <w:tcPr>
            <w:tcW w:w="1182" w:type="pct"/>
            <w:shd w:val="clear" w:color="auto" w:fill="auto"/>
            <w:vAlign w:val="center"/>
          </w:tcPr>
          <w:p w14:paraId="4EED1AF9" w14:textId="77777777" w:rsidR="005B7E3E" w:rsidRPr="00B0658A" w:rsidRDefault="005B7E3E" w:rsidP="000A4114">
            <w:pPr>
              <w:spacing w:after="0" w:line="240" w:lineRule="auto"/>
              <w:rPr>
                <w:rFonts w:ascii="Times New Roman" w:hAnsi="Times New Roman"/>
                <w:sz w:val="18"/>
                <w:szCs w:val="18"/>
              </w:rPr>
            </w:pPr>
            <w:r w:rsidRPr="00B0658A">
              <w:rPr>
                <w:rFonts w:ascii="Times New Roman" w:hAnsi="Times New Roman"/>
                <w:sz w:val="18"/>
                <w:szCs w:val="18"/>
              </w:rPr>
              <w:t>Средства обработки и визуализации массивов данных/ Средства обработки и анализа геологических и геофизических данных</w:t>
            </w:r>
          </w:p>
        </w:tc>
        <w:tc>
          <w:tcPr>
            <w:tcW w:w="898" w:type="pct"/>
            <w:shd w:val="clear" w:color="000000" w:fill="FFFFFF"/>
          </w:tcPr>
          <w:p w14:paraId="7930AFB3" w14:textId="77777777" w:rsidR="005B7E3E" w:rsidRPr="00B0658A" w:rsidRDefault="005B7E3E" w:rsidP="000A4114">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7" w:type="pct"/>
            <w:shd w:val="clear" w:color="000000" w:fill="FFFFFF"/>
            <w:vAlign w:val="center"/>
          </w:tcPr>
          <w:p w14:paraId="5BD15FC9"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25%</w:t>
            </w:r>
          </w:p>
        </w:tc>
        <w:tc>
          <w:tcPr>
            <w:tcW w:w="367" w:type="pct"/>
            <w:shd w:val="clear" w:color="000000" w:fill="FFFFFF"/>
            <w:vAlign w:val="center"/>
          </w:tcPr>
          <w:p w14:paraId="0A54824E"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40%</w:t>
            </w:r>
          </w:p>
        </w:tc>
        <w:tc>
          <w:tcPr>
            <w:tcW w:w="367" w:type="pct"/>
            <w:shd w:val="clear" w:color="000000" w:fill="FFFFFF"/>
            <w:vAlign w:val="center"/>
          </w:tcPr>
          <w:p w14:paraId="6717AD78"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60%</w:t>
            </w:r>
          </w:p>
        </w:tc>
        <w:tc>
          <w:tcPr>
            <w:tcW w:w="379" w:type="pct"/>
            <w:shd w:val="clear" w:color="000000" w:fill="FFFFFF"/>
            <w:vAlign w:val="center"/>
          </w:tcPr>
          <w:p w14:paraId="1266CB35"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7" w:type="pct"/>
            <w:shd w:val="clear" w:color="000000" w:fill="FFFFFF"/>
            <w:vAlign w:val="center"/>
          </w:tcPr>
          <w:p w14:paraId="0C8E7857"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75%</w:t>
            </w:r>
          </w:p>
        </w:tc>
        <w:tc>
          <w:tcPr>
            <w:tcW w:w="367" w:type="pct"/>
            <w:shd w:val="clear" w:color="000000" w:fill="FFFFFF"/>
            <w:vAlign w:val="center"/>
          </w:tcPr>
          <w:p w14:paraId="50AB4B0A"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90%</w:t>
            </w:r>
          </w:p>
        </w:tc>
        <w:tc>
          <w:tcPr>
            <w:tcW w:w="364" w:type="pct"/>
            <w:shd w:val="clear" w:color="000000" w:fill="FFFFFF"/>
            <w:vAlign w:val="center"/>
          </w:tcPr>
          <w:p w14:paraId="566AA9A1"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F52FED" w:rsidRPr="00B0658A" w14:paraId="1774B00D" w14:textId="77777777" w:rsidTr="00FE71B1">
        <w:trPr>
          <w:trHeight w:val="20"/>
        </w:trPr>
        <w:tc>
          <w:tcPr>
            <w:tcW w:w="342" w:type="pct"/>
            <w:shd w:val="clear" w:color="000000" w:fill="FFFFFF"/>
            <w:vAlign w:val="center"/>
          </w:tcPr>
          <w:p w14:paraId="265B51D7" w14:textId="77777777" w:rsidR="005B7E3E" w:rsidRPr="00B0658A" w:rsidRDefault="005B7E3E" w:rsidP="00FE71B1">
            <w:pPr>
              <w:spacing w:after="0" w:line="240" w:lineRule="auto"/>
              <w:jc w:val="center"/>
              <w:rPr>
                <w:rFonts w:ascii="Times New Roman" w:hAnsi="Times New Roman"/>
                <w:sz w:val="18"/>
                <w:szCs w:val="18"/>
              </w:rPr>
            </w:pPr>
            <w:r w:rsidRPr="00B0658A">
              <w:rPr>
                <w:rFonts w:ascii="Times New Roman" w:hAnsi="Times New Roman"/>
                <w:sz w:val="18"/>
                <w:szCs w:val="18"/>
              </w:rPr>
              <w:t>10.3</w:t>
            </w:r>
          </w:p>
        </w:tc>
        <w:tc>
          <w:tcPr>
            <w:tcW w:w="1182" w:type="pct"/>
            <w:shd w:val="clear" w:color="auto" w:fill="auto"/>
            <w:vAlign w:val="center"/>
          </w:tcPr>
          <w:p w14:paraId="185F7C66" w14:textId="77777777" w:rsidR="005B7E3E" w:rsidRPr="00B0658A" w:rsidRDefault="005B7E3E" w:rsidP="000A4114">
            <w:pPr>
              <w:spacing w:after="0" w:line="240" w:lineRule="auto"/>
              <w:rPr>
                <w:rFonts w:ascii="Times New Roman" w:hAnsi="Times New Roman"/>
                <w:sz w:val="18"/>
                <w:szCs w:val="18"/>
              </w:rPr>
            </w:pPr>
            <w:r w:rsidRPr="00B0658A">
              <w:rPr>
                <w:rFonts w:ascii="Times New Roman" w:hAnsi="Times New Roman"/>
                <w:sz w:val="18"/>
                <w:szCs w:val="18"/>
              </w:rPr>
              <w:t>Средства обработки и визуализации массивов данных/ Средства математического и имитационного моделирования</w:t>
            </w:r>
          </w:p>
        </w:tc>
        <w:tc>
          <w:tcPr>
            <w:tcW w:w="898" w:type="pct"/>
            <w:shd w:val="clear" w:color="000000" w:fill="FFFFFF"/>
          </w:tcPr>
          <w:p w14:paraId="22341FFC" w14:textId="77777777" w:rsidR="005B7E3E" w:rsidRPr="00B0658A" w:rsidRDefault="005B7E3E" w:rsidP="000A4114">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7" w:type="pct"/>
            <w:shd w:val="clear" w:color="000000" w:fill="FFFFFF"/>
            <w:vAlign w:val="center"/>
          </w:tcPr>
          <w:p w14:paraId="44BBD299"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20%</w:t>
            </w:r>
          </w:p>
        </w:tc>
        <w:tc>
          <w:tcPr>
            <w:tcW w:w="367" w:type="pct"/>
            <w:shd w:val="clear" w:color="000000" w:fill="FFFFFF"/>
            <w:vAlign w:val="center"/>
          </w:tcPr>
          <w:p w14:paraId="748B1F6E"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40%</w:t>
            </w:r>
          </w:p>
        </w:tc>
        <w:tc>
          <w:tcPr>
            <w:tcW w:w="367" w:type="pct"/>
            <w:shd w:val="clear" w:color="000000" w:fill="FFFFFF"/>
            <w:vAlign w:val="center"/>
          </w:tcPr>
          <w:p w14:paraId="1841B5BA"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60%</w:t>
            </w:r>
          </w:p>
        </w:tc>
        <w:tc>
          <w:tcPr>
            <w:tcW w:w="379" w:type="pct"/>
            <w:shd w:val="clear" w:color="000000" w:fill="FFFFFF"/>
            <w:vAlign w:val="center"/>
          </w:tcPr>
          <w:p w14:paraId="2BE5504D"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7" w:type="pct"/>
            <w:shd w:val="clear" w:color="000000" w:fill="FFFFFF"/>
            <w:vAlign w:val="center"/>
          </w:tcPr>
          <w:p w14:paraId="17466880"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80%</w:t>
            </w:r>
          </w:p>
        </w:tc>
        <w:tc>
          <w:tcPr>
            <w:tcW w:w="367" w:type="pct"/>
            <w:shd w:val="clear" w:color="000000" w:fill="FFFFFF"/>
            <w:vAlign w:val="center"/>
          </w:tcPr>
          <w:p w14:paraId="0323B7C4"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90%</w:t>
            </w:r>
          </w:p>
        </w:tc>
        <w:tc>
          <w:tcPr>
            <w:tcW w:w="364" w:type="pct"/>
            <w:shd w:val="clear" w:color="000000" w:fill="FFFFFF"/>
            <w:vAlign w:val="center"/>
          </w:tcPr>
          <w:p w14:paraId="0C4D95B3"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F52FED" w:rsidRPr="00B0658A" w14:paraId="3B6E132E" w14:textId="77777777" w:rsidTr="00FE71B1">
        <w:trPr>
          <w:trHeight w:val="20"/>
        </w:trPr>
        <w:tc>
          <w:tcPr>
            <w:tcW w:w="342" w:type="pct"/>
            <w:shd w:val="clear" w:color="000000" w:fill="FFFFFF"/>
            <w:vAlign w:val="center"/>
          </w:tcPr>
          <w:p w14:paraId="729299C8" w14:textId="77777777" w:rsidR="005B7E3E" w:rsidRPr="00B0658A" w:rsidRDefault="005B7E3E" w:rsidP="00FE71B1">
            <w:pPr>
              <w:spacing w:after="0" w:line="240" w:lineRule="auto"/>
              <w:jc w:val="center"/>
              <w:rPr>
                <w:rFonts w:ascii="Times New Roman" w:hAnsi="Times New Roman"/>
                <w:sz w:val="18"/>
                <w:szCs w:val="18"/>
              </w:rPr>
            </w:pPr>
            <w:r w:rsidRPr="00B0658A">
              <w:rPr>
                <w:rFonts w:ascii="Times New Roman" w:hAnsi="Times New Roman"/>
                <w:sz w:val="18"/>
                <w:szCs w:val="18"/>
              </w:rPr>
              <w:t>10.4</w:t>
            </w:r>
          </w:p>
        </w:tc>
        <w:tc>
          <w:tcPr>
            <w:tcW w:w="1182" w:type="pct"/>
            <w:shd w:val="clear" w:color="auto" w:fill="auto"/>
            <w:vAlign w:val="center"/>
          </w:tcPr>
          <w:p w14:paraId="7D229204" w14:textId="77777777" w:rsidR="005B7E3E" w:rsidRPr="00B0658A" w:rsidRDefault="005B7E3E" w:rsidP="000A4114">
            <w:pPr>
              <w:spacing w:after="0" w:line="240" w:lineRule="auto"/>
              <w:rPr>
                <w:rFonts w:ascii="Times New Roman" w:hAnsi="Times New Roman"/>
                <w:sz w:val="18"/>
                <w:szCs w:val="18"/>
              </w:rPr>
            </w:pPr>
            <w:r w:rsidRPr="00B0658A">
              <w:rPr>
                <w:rFonts w:ascii="Times New Roman" w:hAnsi="Times New Roman"/>
                <w:sz w:val="18"/>
                <w:szCs w:val="18"/>
              </w:rPr>
              <w:t>Средства обработки и визуализации массивов данных/ Средства управления информационными ресурсами и средства управления основными данными (ECM, MDM)</w:t>
            </w:r>
          </w:p>
        </w:tc>
        <w:tc>
          <w:tcPr>
            <w:tcW w:w="898" w:type="pct"/>
            <w:shd w:val="clear" w:color="000000" w:fill="FFFFFF"/>
          </w:tcPr>
          <w:p w14:paraId="32488B88" w14:textId="77777777" w:rsidR="005B7E3E" w:rsidRPr="00B0658A" w:rsidRDefault="005B7E3E" w:rsidP="000A4114">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7" w:type="pct"/>
            <w:shd w:val="clear" w:color="000000" w:fill="FFFFFF"/>
            <w:vAlign w:val="center"/>
          </w:tcPr>
          <w:p w14:paraId="241D9F6C"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35%</w:t>
            </w:r>
          </w:p>
        </w:tc>
        <w:tc>
          <w:tcPr>
            <w:tcW w:w="367" w:type="pct"/>
            <w:shd w:val="clear" w:color="000000" w:fill="FFFFFF"/>
            <w:vAlign w:val="center"/>
          </w:tcPr>
          <w:p w14:paraId="1F79C2DC"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45%</w:t>
            </w:r>
          </w:p>
        </w:tc>
        <w:tc>
          <w:tcPr>
            <w:tcW w:w="367" w:type="pct"/>
            <w:shd w:val="clear" w:color="000000" w:fill="FFFFFF"/>
            <w:vAlign w:val="center"/>
          </w:tcPr>
          <w:p w14:paraId="1D35367C"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55%</w:t>
            </w:r>
          </w:p>
        </w:tc>
        <w:tc>
          <w:tcPr>
            <w:tcW w:w="379" w:type="pct"/>
            <w:shd w:val="clear" w:color="000000" w:fill="FFFFFF"/>
            <w:vAlign w:val="center"/>
          </w:tcPr>
          <w:p w14:paraId="1D77EE3E"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7" w:type="pct"/>
            <w:shd w:val="clear" w:color="000000" w:fill="FFFFFF"/>
            <w:vAlign w:val="center"/>
          </w:tcPr>
          <w:p w14:paraId="1CFB8709"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70%</w:t>
            </w:r>
          </w:p>
        </w:tc>
        <w:tc>
          <w:tcPr>
            <w:tcW w:w="367" w:type="pct"/>
            <w:shd w:val="clear" w:color="000000" w:fill="FFFFFF"/>
            <w:vAlign w:val="center"/>
          </w:tcPr>
          <w:p w14:paraId="787814D2"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90%</w:t>
            </w:r>
          </w:p>
        </w:tc>
        <w:tc>
          <w:tcPr>
            <w:tcW w:w="364" w:type="pct"/>
            <w:shd w:val="clear" w:color="000000" w:fill="FFFFFF"/>
            <w:vAlign w:val="center"/>
          </w:tcPr>
          <w:p w14:paraId="31C3B11A"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F52FED" w:rsidRPr="00B0658A" w14:paraId="4F301821" w14:textId="77777777" w:rsidTr="00FE71B1">
        <w:trPr>
          <w:trHeight w:val="20"/>
        </w:trPr>
        <w:tc>
          <w:tcPr>
            <w:tcW w:w="342" w:type="pct"/>
            <w:shd w:val="clear" w:color="000000" w:fill="FFFFFF"/>
            <w:vAlign w:val="center"/>
          </w:tcPr>
          <w:p w14:paraId="08E2924C" w14:textId="77777777" w:rsidR="005B7E3E" w:rsidRPr="00B0658A" w:rsidRDefault="005B7E3E" w:rsidP="00FE71B1">
            <w:pPr>
              <w:spacing w:after="0" w:line="240" w:lineRule="auto"/>
              <w:jc w:val="center"/>
              <w:rPr>
                <w:rFonts w:ascii="Times New Roman" w:hAnsi="Times New Roman"/>
                <w:sz w:val="18"/>
                <w:szCs w:val="18"/>
              </w:rPr>
            </w:pPr>
            <w:r w:rsidRPr="00B0658A">
              <w:rPr>
                <w:rFonts w:ascii="Times New Roman" w:hAnsi="Times New Roman"/>
                <w:sz w:val="18"/>
                <w:szCs w:val="18"/>
              </w:rPr>
              <w:t>11.1</w:t>
            </w:r>
          </w:p>
        </w:tc>
        <w:tc>
          <w:tcPr>
            <w:tcW w:w="1182" w:type="pct"/>
            <w:shd w:val="clear" w:color="auto" w:fill="auto"/>
            <w:vAlign w:val="center"/>
          </w:tcPr>
          <w:p w14:paraId="77132521" w14:textId="77777777" w:rsidR="005B7E3E" w:rsidRPr="00B0658A" w:rsidRDefault="005B7E3E" w:rsidP="000A4114">
            <w:pPr>
              <w:spacing w:after="0" w:line="240" w:lineRule="auto"/>
              <w:rPr>
                <w:rFonts w:ascii="Times New Roman" w:hAnsi="Times New Roman"/>
                <w:sz w:val="18"/>
                <w:szCs w:val="18"/>
              </w:rPr>
            </w:pPr>
            <w:r w:rsidRPr="00B0658A">
              <w:rPr>
                <w:rFonts w:ascii="Times New Roman" w:hAnsi="Times New Roman"/>
                <w:sz w:val="18"/>
                <w:szCs w:val="18"/>
              </w:rPr>
              <w:t>Средства анализа данных/ Инструменты извлечения и трансформации данных (ETL)</w:t>
            </w:r>
          </w:p>
        </w:tc>
        <w:tc>
          <w:tcPr>
            <w:tcW w:w="898" w:type="pct"/>
            <w:shd w:val="clear" w:color="000000" w:fill="FFFFFF"/>
          </w:tcPr>
          <w:p w14:paraId="348453AE" w14:textId="77777777" w:rsidR="005B7E3E" w:rsidRPr="00B0658A" w:rsidRDefault="005B7E3E" w:rsidP="000A4114">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7" w:type="pct"/>
            <w:shd w:val="clear" w:color="000000" w:fill="FFFFFF"/>
            <w:vAlign w:val="center"/>
          </w:tcPr>
          <w:p w14:paraId="538B1B3E"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25%</w:t>
            </w:r>
          </w:p>
        </w:tc>
        <w:tc>
          <w:tcPr>
            <w:tcW w:w="367" w:type="pct"/>
            <w:shd w:val="clear" w:color="000000" w:fill="FFFFFF"/>
            <w:vAlign w:val="center"/>
          </w:tcPr>
          <w:p w14:paraId="1AA0FBFB"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35%</w:t>
            </w:r>
          </w:p>
        </w:tc>
        <w:tc>
          <w:tcPr>
            <w:tcW w:w="367" w:type="pct"/>
            <w:shd w:val="clear" w:color="000000" w:fill="FFFFFF"/>
            <w:vAlign w:val="center"/>
          </w:tcPr>
          <w:p w14:paraId="2CEF9996"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50%</w:t>
            </w:r>
          </w:p>
        </w:tc>
        <w:tc>
          <w:tcPr>
            <w:tcW w:w="379" w:type="pct"/>
            <w:shd w:val="clear" w:color="000000" w:fill="FFFFFF"/>
            <w:vAlign w:val="center"/>
          </w:tcPr>
          <w:p w14:paraId="7EE3DB51"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7" w:type="pct"/>
            <w:shd w:val="clear" w:color="000000" w:fill="FFFFFF"/>
            <w:vAlign w:val="center"/>
          </w:tcPr>
          <w:p w14:paraId="0661ABBD"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75%</w:t>
            </w:r>
          </w:p>
        </w:tc>
        <w:tc>
          <w:tcPr>
            <w:tcW w:w="367" w:type="pct"/>
            <w:shd w:val="clear" w:color="000000" w:fill="FFFFFF"/>
            <w:vAlign w:val="center"/>
          </w:tcPr>
          <w:p w14:paraId="6C062821"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85%</w:t>
            </w:r>
          </w:p>
        </w:tc>
        <w:tc>
          <w:tcPr>
            <w:tcW w:w="364" w:type="pct"/>
            <w:shd w:val="clear" w:color="000000" w:fill="FFFFFF"/>
            <w:vAlign w:val="center"/>
          </w:tcPr>
          <w:p w14:paraId="433E7C37"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F52FED" w:rsidRPr="00B0658A" w14:paraId="5F341C61" w14:textId="77777777" w:rsidTr="00FE71B1">
        <w:trPr>
          <w:trHeight w:val="20"/>
        </w:trPr>
        <w:tc>
          <w:tcPr>
            <w:tcW w:w="342" w:type="pct"/>
            <w:shd w:val="clear" w:color="000000" w:fill="FFFFFF"/>
            <w:vAlign w:val="center"/>
          </w:tcPr>
          <w:p w14:paraId="031A9524" w14:textId="77777777" w:rsidR="005B7E3E" w:rsidRPr="00B0658A" w:rsidRDefault="005B7E3E" w:rsidP="00FE71B1">
            <w:pPr>
              <w:spacing w:after="0" w:line="240" w:lineRule="auto"/>
              <w:jc w:val="center"/>
              <w:rPr>
                <w:rFonts w:ascii="Times New Roman" w:hAnsi="Times New Roman"/>
                <w:sz w:val="18"/>
                <w:szCs w:val="18"/>
              </w:rPr>
            </w:pPr>
            <w:r w:rsidRPr="00B0658A">
              <w:rPr>
                <w:rFonts w:ascii="Times New Roman" w:hAnsi="Times New Roman"/>
                <w:sz w:val="18"/>
                <w:szCs w:val="18"/>
              </w:rPr>
              <w:t>11.2</w:t>
            </w:r>
          </w:p>
        </w:tc>
        <w:tc>
          <w:tcPr>
            <w:tcW w:w="1182" w:type="pct"/>
            <w:shd w:val="clear" w:color="auto" w:fill="auto"/>
            <w:vAlign w:val="center"/>
          </w:tcPr>
          <w:p w14:paraId="2DD82FD1" w14:textId="77777777" w:rsidR="005B7E3E" w:rsidRPr="00B0658A" w:rsidRDefault="005B7E3E" w:rsidP="000A4114">
            <w:pPr>
              <w:spacing w:after="0" w:line="240" w:lineRule="auto"/>
              <w:rPr>
                <w:rFonts w:ascii="Times New Roman" w:hAnsi="Times New Roman"/>
                <w:sz w:val="18"/>
                <w:szCs w:val="18"/>
              </w:rPr>
            </w:pPr>
            <w:r w:rsidRPr="00B0658A">
              <w:rPr>
                <w:rFonts w:ascii="Times New Roman" w:hAnsi="Times New Roman"/>
                <w:sz w:val="18"/>
                <w:szCs w:val="18"/>
              </w:rPr>
              <w:t>Средства анализа данных/ Предметно-ориентированные информационные базы данных (EDW)</w:t>
            </w:r>
          </w:p>
        </w:tc>
        <w:tc>
          <w:tcPr>
            <w:tcW w:w="898" w:type="pct"/>
            <w:shd w:val="clear" w:color="000000" w:fill="FFFFFF"/>
          </w:tcPr>
          <w:p w14:paraId="59AF1F12" w14:textId="77777777" w:rsidR="005B7E3E" w:rsidRPr="00B0658A" w:rsidRDefault="005B7E3E" w:rsidP="000A4114">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7" w:type="pct"/>
            <w:shd w:val="clear" w:color="000000" w:fill="FFFFFF"/>
            <w:vAlign w:val="center"/>
          </w:tcPr>
          <w:p w14:paraId="2E47E496"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20%</w:t>
            </w:r>
          </w:p>
        </w:tc>
        <w:tc>
          <w:tcPr>
            <w:tcW w:w="367" w:type="pct"/>
            <w:shd w:val="clear" w:color="000000" w:fill="FFFFFF"/>
            <w:vAlign w:val="center"/>
          </w:tcPr>
          <w:p w14:paraId="17190950"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30%</w:t>
            </w:r>
          </w:p>
        </w:tc>
        <w:tc>
          <w:tcPr>
            <w:tcW w:w="367" w:type="pct"/>
            <w:shd w:val="clear" w:color="000000" w:fill="FFFFFF"/>
            <w:vAlign w:val="center"/>
          </w:tcPr>
          <w:p w14:paraId="36870C18"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45%</w:t>
            </w:r>
          </w:p>
        </w:tc>
        <w:tc>
          <w:tcPr>
            <w:tcW w:w="379" w:type="pct"/>
            <w:shd w:val="clear" w:color="000000" w:fill="FFFFFF"/>
            <w:vAlign w:val="center"/>
          </w:tcPr>
          <w:p w14:paraId="75E7B9E0"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7" w:type="pct"/>
            <w:shd w:val="clear" w:color="000000" w:fill="FFFFFF"/>
            <w:vAlign w:val="center"/>
          </w:tcPr>
          <w:p w14:paraId="55D2B950"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70%</w:t>
            </w:r>
          </w:p>
        </w:tc>
        <w:tc>
          <w:tcPr>
            <w:tcW w:w="367" w:type="pct"/>
            <w:shd w:val="clear" w:color="000000" w:fill="FFFFFF"/>
            <w:vAlign w:val="center"/>
          </w:tcPr>
          <w:p w14:paraId="101C247B"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90%</w:t>
            </w:r>
          </w:p>
        </w:tc>
        <w:tc>
          <w:tcPr>
            <w:tcW w:w="364" w:type="pct"/>
            <w:shd w:val="clear" w:color="000000" w:fill="FFFFFF"/>
            <w:vAlign w:val="center"/>
          </w:tcPr>
          <w:p w14:paraId="22B0442C"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F52FED" w:rsidRPr="00B0658A" w14:paraId="2A2BD901" w14:textId="77777777" w:rsidTr="00FE71B1">
        <w:trPr>
          <w:trHeight w:val="20"/>
        </w:trPr>
        <w:tc>
          <w:tcPr>
            <w:tcW w:w="342" w:type="pct"/>
            <w:shd w:val="clear" w:color="000000" w:fill="FFFFFF"/>
            <w:vAlign w:val="center"/>
          </w:tcPr>
          <w:p w14:paraId="6D31B19E" w14:textId="77777777" w:rsidR="005B7E3E" w:rsidRPr="00B0658A" w:rsidRDefault="005B7E3E" w:rsidP="00FE71B1">
            <w:pPr>
              <w:spacing w:after="0" w:line="240" w:lineRule="auto"/>
              <w:jc w:val="center"/>
              <w:rPr>
                <w:rFonts w:ascii="Times New Roman" w:hAnsi="Times New Roman"/>
                <w:sz w:val="18"/>
                <w:szCs w:val="18"/>
              </w:rPr>
            </w:pPr>
            <w:r w:rsidRPr="00B0658A">
              <w:rPr>
                <w:rFonts w:ascii="Times New Roman" w:hAnsi="Times New Roman"/>
                <w:sz w:val="18"/>
                <w:szCs w:val="18"/>
              </w:rPr>
              <w:t>11.3</w:t>
            </w:r>
          </w:p>
        </w:tc>
        <w:tc>
          <w:tcPr>
            <w:tcW w:w="1182" w:type="pct"/>
            <w:shd w:val="clear" w:color="auto" w:fill="auto"/>
            <w:vAlign w:val="center"/>
          </w:tcPr>
          <w:p w14:paraId="2677E852" w14:textId="77777777" w:rsidR="005B7E3E" w:rsidRPr="00B0658A" w:rsidRDefault="005B7E3E" w:rsidP="000A4114">
            <w:pPr>
              <w:suppressAutoHyphens/>
              <w:spacing w:after="0" w:line="240" w:lineRule="auto"/>
              <w:rPr>
                <w:rFonts w:ascii="Times New Roman" w:hAnsi="Times New Roman"/>
                <w:sz w:val="18"/>
                <w:szCs w:val="18"/>
              </w:rPr>
            </w:pPr>
            <w:r w:rsidRPr="00B0658A">
              <w:rPr>
                <w:rFonts w:ascii="Times New Roman" w:hAnsi="Times New Roman"/>
                <w:sz w:val="18"/>
                <w:szCs w:val="18"/>
              </w:rPr>
              <w:t>Средства анализа данных/</w:t>
            </w:r>
          </w:p>
          <w:p w14:paraId="6118573F" w14:textId="77777777" w:rsidR="005B7E3E" w:rsidRPr="00B0658A" w:rsidRDefault="005B7E3E" w:rsidP="000A4114">
            <w:pPr>
              <w:suppressAutoHyphens/>
              <w:spacing w:after="0" w:line="240" w:lineRule="auto"/>
              <w:rPr>
                <w:rFonts w:ascii="Times New Roman" w:hAnsi="Times New Roman"/>
                <w:sz w:val="18"/>
                <w:szCs w:val="18"/>
              </w:rPr>
            </w:pPr>
            <w:r w:rsidRPr="00B0658A">
              <w:rPr>
                <w:rFonts w:ascii="Times New Roman" w:hAnsi="Times New Roman"/>
                <w:sz w:val="18"/>
                <w:szCs w:val="18"/>
              </w:rPr>
              <w:t>Средства аналитической обработки в реальном времени (OLAP)</w:t>
            </w:r>
          </w:p>
        </w:tc>
        <w:tc>
          <w:tcPr>
            <w:tcW w:w="898" w:type="pct"/>
            <w:shd w:val="clear" w:color="000000" w:fill="FFFFFF"/>
          </w:tcPr>
          <w:p w14:paraId="7DD7F455" w14:textId="77777777" w:rsidR="005B7E3E" w:rsidRPr="00B0658A" w:rsidRDefault="005B7E3E" w:rsidP="000A4114">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7" w:type="pct"/>
            <w:shd w:val="clear" w:color="000000" w:fill="FFFFFF"/>
            <w:vAlign w:val="center"/>
          </w:tcPr>
          <w:p w14:paraId="60C56906"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35%</w:t>
            </w:r>
          </w:p>
        </w:tc>
        <w:tc>
          <w:tcPr>
            <w:tcW w:w="367" w:type="pct"/>
            <w:shd w:val="clear" w:color="000000" w:fill="FFFFFF"/>
            <w:vAlign w:val="center"/>
          </w:tcPr>
          <w:p w14:paraId="105AE6AC"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45%</w:t>
            </w:r>
          </w:p>
        </w:tc>
        <w:tc>
          <w:tcPr>
            <w:tcW w:w="367" w:type="pct"/>
            <w:shd w:val="clear" w:color="000000" w:fill="FFFFFF"/>
            <w:vAlign w:val="center"/>
          </w:tcPr>
          <w:p w14:paraId="0A4FFFA6"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55%</w:t>
            </w:r>
          </w:p>
        </w:tc>
        <w:tc>
          <w:tcPr>
            <w:tcW w:w="379" w:type="pct"/>
            <w:shd w:val="clear" w:color="000000" w:fill="FFFFFF"/>
            <w:vAlign w:val="center"/>
          </w:tcPr>
          <w:p w14:paraId="3A0F2865"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7" w:type="pct"/>
            <w:shd w:val="clear" w:color="000000" w:fill="FFFFFF"/>
            <w:vAlign w:val="center"/>
          </w:tcPr>
          <w:p w14:paraId="728D8128"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70%</w:t>
            </w:r>
          </w:p>
        </w:tc>
        <w:tc>
          <w:tcPr>
            <w:tcW w:w="367" w:type="pct"/>
            <w:shd w:val="clear" w:color="000000" w:fill="FFFFFF"/>
            <w:vAlign w:val="center"/>
          </w:tcPr>
          <w:p w14:paraId="39A0CCE6"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90%</w:t>
            </w:r>
          </w:p>
        </w:tc>
        <w:tc>
          <w:tcPr>
            <w:tcW w:w="364" w:type="pct"/>
            <w:shd w:val="clear" w:color="000000" w:fill="FFFFFF"/>
            <w:vAlign w:val="center"/>
          </w:tcPr>
          <w:p w14:paraId="68E166A6"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F52FED" w:rsidRPr="00B0658A" w14:paraId="1EC73A88" w14:textId="77777777" w:rsidTr="00FE71B1">
        <w:trPr>
          <w:trHeight w:val="20"/>
        </w:trPr>
        <w:tc>
          <w:tcPr>
            <w:tcW w:w="342" w:type="pct"/>
            <w:shd w:val="clear" w:color="000000" w:fill="FFFFFF"/>
            <w:vAlign w:val="center"/>
          </w:tcPr>
          <w:p w14:paraId="6F30C803" w14:textId="77777777" w:rsidR="005B7E3E" w:rsidRPr="00B0658A" w:rsidRDefault="005B7E3E" w:rsidP="00FE71B1">
            <w:pPr>
              <w:spacing w:after="0" w:line="240" w:lineRule="auto"/>
              <w:jc w:val="center"/>
              <w:rPr>
                <w:rFonts w:ascii="Times New Roman" w:hAnsi="Times New Roman"/>
                <w:sz w:val="18"/>
                <w:szCs w:val="18"/>
              </w:rPr>
            </w:pPr>
            <w:r w:rsidRPr="00B0658A">
              <w:rPr>
                <w:rFonts w:ascii="Times New Roman" w:hAnsi="Times New Roman"/>
                <w:sz w:val="18"/>
                <w:szCs w:val="18"/>
              </w:rPr>
              <w:t>11.4</w:t>
            </w:r>
          </w:p>
        </w:tc>
        <w:tc>
          <w:tcPr>
            <w:tcW w:w="1182" w:type="pct"/>
            <w:shd w:val="clear" w:color="auto" w:fill="auto"/>
            <w:vAlign w:val="center"/>
          </w:tcPr>
          <w:p w14:paraId="3D761453" w14:textId="77777777" w:rsidR="005B7E3E" w:rsidRPr="00B0658A" w:rsidRDefault="005B7E3E" w:rsidP="000A4114">
            <w:pPr>
              <w:suppressAutoHyphens/>
              <w:spacing w:after="0" w:line="240" w:lineRule="auto"/>
              <w:rPr>
                <w:rFonts w:ascii="Times New Roman" w:hAnsi="Times New Roman"/>
                <w:sz w:val="18"/>
                <w:szCs w:val="18"/>
              </w:rPr>
            </w:pPr>
            <w:r w:rsidRPr="00B0658A">
              <w:rPr>
                <w:rFonts w:ascii="Times New Roman" w:hAnsi="Times New Roman"/>
                <w:sz w:val="18"/>
                <w:szCs w:val="18"/>
              </w:rPr>
              <w:t xml:space="preserve">Средства анализа данных/ </w:t>
            </w:r>
          </w:p>
          <w:p w14:paraId="75F68A18" w14:textId="77777777" w:rsidR="005B7E3E" w:rsidRPr="00B0658A" w:rsidRDefault="005B7E3E" w:rsidP="000A4114">
            <w:pPr>
              <w:suppressAutoHyphens/>
              <w:spacing w:after="0" w:line="240" w:lineRule="auto"/>
              <w:rPr>
                <w:rFonts w:ascii="Times New Roman" w:hAnsi="Times New Roman"/>
                <w:sz w:val="18"/>
                <w:szCs w:val="18"/>
              </w:rPr>
            </w:pPr>
            <w:r w:rsidRPr="00B0658A">
              <w:rPr>
                <w:rFonts w:ascii="Times New Roman" w:hAnsi="Times New Roman"/>
                <w:sz w:val="18"/>
                <w:szCs w:val="18"/>
              </w:rPr>
              <w:t>Средства интеллектуального анализа данных (Data Mining)</w:t>
            </w:r>
          </w:p>
        </w:tc>
        <w:tc>
          <w:tcPr>
            <w:tcW w:w="898" w:type="pct"/>
            <w:shd w:val="clear" w:color="000000" w:fill="FFFFFF"/>
          </w:tcPr>
          <w:p w14:paraId="0E1CA1AC" w14:textId="77777777" w:rsidR="005B7E3E" w:rsidRPr="00B0658A" w:rsidRDefault="005B7E3E" w:rsidP="000A4114">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7" w:type="pct"/>
            <w:shd w:val="clear" w:color="000000" w:fill="FFFFFF"/>
            <w:vAlign w:val="center"/>
          </w:tcPr>
          <w:p w14:paraId="7B730D23"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35%</w:t>
            </w:r>
          </w:p>
        </w:tc>
        <w:tc>
          <w:tcPr>
            <w:tcW w:w="367" w:type="pct"/>
            <w:shd w:val="clear" w:color="000000" w:fill="FFFFFF"/>
            <w:vAlign w:val="center"/>
          </w:tcPr>
          <w:p w14:paraId="07CBE6C3"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45%</w:t>
            </w:r>
          </w:p>
        </w:tc>
        <w:tc>
          <w:tcPr>
            <w:tcW w:w="367" w:type="pct"/>
            <w:shd w:val="clear" w:color="000000" w:fill="FFFFFF"/>
            <w:vAlign w:val="center"/>
          </w:tcPr>
          <w:p w14:paraId="346081CF"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55%</w:t>
            </w:r>
          </w:p>
        </w:tc>
        <w:tc>
          <w:tcPr>
            <w:tcW w:w="379" w:type="pct"/>
            <w:shd w:val="clear" w:color="000000" w:fill="FFFFFF"/>
            <w:vAlign w:val="center"/>
          </w:tcPr>
          <w:p w14:paraId="7560BA29"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7" w:type="pct"/>
            <w:shd w:val="clear" w:color="000000" w:fill="FFFFFF"/>
            <w:vAlign w:val="center"/>
          </w:tcPr>
          <w:p w14:paraId="1AD2C08A"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70%</w:t>
            </w:r>
          </w:p>
        </w:tc>
        <w:tc>
          <w:tcPr>
            <w:tcW w:w="367" w:type="pct"/>
            <w:shd w:val="clear" w:color="000000" w:fill="FFFFFF"/>
            <w:vAlign w:val="center"/>
          </w:tcPr>
          <w:p w14:paraId="22313B89"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90%</w:t>
            </w:r>
          </w:p>
        </w:tc>
        <w:tc>
          <w:tcPr>
            <w:tcW w:w="364" w:type="pct"/>
            <w:shd w:val="clear" w:color="000000" w:fill="FFFFFF"/>
            <w:vAlign w:val="center"/>
          </w:tcPr>
          <w:p w14:paraId="55C5C299"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F52FED" w:rsidRPr="00B0658A" w14:paraId="3E980F2C" w14:textId="77777777" w:rsidTr="00FE71B1">
        <w:trPr>
          <w:trHeight w:val="20"/>
        </w:trPr>
        <w:tc>
          <w:tcPr>
            <w:tcW w:w="342" w:type="pct"/>
            <w:shd w:val="clear" w:color="000000" w:fill="FFFFFF"/>
            <w:vAlign w:val="center"/>
          </w:tcPr>
          <w:p w14:paraId="5C1D29CE" w14:textId="77777777" w:rsidR="005B7E3E" w:rsidRPr="00B0658A" w:rsidRDefault="005B7E3E" w:rsidP="00FE71B1">
            <w:pPr>
              <w:spacing w:after="0" w:line="240" w:lineRule="auto"/>
              <w:jc w:val="center"/>
              <w:rPr>
                <w:rFonts w:ascii="Times New Roman" w:hAnsi="Times New Roman"/>
                <w:sz w:val="18"/>
                <w:szCs w:val="18"/>
              </w:rPr>
            </w:pPr>
            <w:r w:rsidRPr="00B0658A">
              <w:rPr>
                <w:rFonts w:ascii="Times New Roman" w:hAnsi="Times New Roman"/>
                <w:sz w:val="18"/>
                <w:szCs w:val="18"/>
              </w:rPr>
              <w:t>11.5</w:t>
            </w:r>
          </w:p>
        </w:tc>
        <w:tc>
          <w:tcPr>
            <w:tcW w:w="1182" w:type="pct"/>
            <w:shd w:val="clear" w:color="auto" w:fill="auto"/>
            <w:vAlign w:val="center"/>
          </w:tcPr>
          <w:p w14:paraId="65D998BA" w14:textId="77777777" w:rsidR="005B7E3E" w:rsidRPr="00B0658A" w:rsidRDefault="005B7E3E" w:rsidP="000A4114">
            <w:pPr>
              <w:suppressAutoHyphens/>
              <w:spacing w:after="0" w:line="240" w:lineRule="auto"/>
              <w:rPr>
                <w:rFonts w:ascii="Times New Roman" w:hAnsi="Times New Roman"/>
                <w:sz w:val="18"/>
                <w:szCs w:val="18"/>
              </w:rPr>
            </w:pPr>
            <w:r w:rsidRPr="00B0658A">
              <w:rPr>
                <w:rFonts w:ascii="Times New Roman" w:hAnsi="Times New Roman"/>
                <w:sz w:val="18"/>
                <w:szCs w:val="18"/>
              </w:rPr>
              <w:t xml:space="preserve">Средства анализа данных/ </w:t>
            </w:r>
          </w:p>
          <w:p w14:paraId="67C5100E" w14:textId="77777777" w:rsidR="005B7E3E" w:rsidRPr="00B0658A" w:rsidRDefault="005B7E3E" w:rsidP="000A4114">
            <w:pPr>
              <w:suppressAutoHyphens/>
              <w:spacing w:after="0" w:line="240" w:lineRule="auto"/>
              <w:rPr>
                <w:rFonts w:ascii="Times New Roman" w:hAnsi="Times New Roman"/>
                <w:sz w:val="18"/>
                <w:szCs w:val="18"/>
              </w:rPr>
            </w:pPr>
            <w:r w:rsidRPr="00B0658A">
              <w:rPr>
                <w:rFonts w:ascii="Times New Roman" w:hAnsi="Times New Roman"/>
                <w:sz w:val="18"/>
                <w:szCs w:val="18"/>
              </w:rPr>
              <w:t>Средства поддержки принятия решений (DSS)</w:t>
            </w:r>
          </w:p>
        </w:tc>
        <w:tc>
          <w:tcPr>
            <w:tcW w:w="898" w:type="pct"/>
            <w:shd w:val="clear" w:color="000000" w:fill="FFFFFF"/>
          </w:tcPr>
          <w:p w14:paraId="0E05C5ED" w14:textId="77777777" w:rsidR="005B7E3E" w:rsidRPr="00B0658A" w:rsidRDefault="005B7E3E" w:rsidP="000A4114">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7" w:type="pct"/>
            <w:shd w:val="clear" w:color="000000" w:fill="FFFFFF"/>
            <w:vAlign w:val="center"/>
          </w:tcPr>
          <w:p w14:paraId="0E86CA9A"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35%</w:t>
            </w:r>
          </w:p>
        </w:tc>
        <w:tc>
          <w:tcPr>
            <w:tcW w:w="367" w:type="pct"/>
            <w:shd w:val="clear" w:color="000000" w:fill="FFFFFF"/>
            <w:vAlign w:val="center"/>
          </w:tcPr>
          <w:p w14:paraId="64171D95"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45%</w:t>
            </w:r>
          </w:p>
        </w:tc>
        <w:tc>
          <w:tcPr>
            <w:tcW w:w="367" w:type="pct"/>
            <w:shd w:val="clear" w:color="000000" w:fill="FFFFFF"/>
            <w:vAlign w:val="center"/>
          </w:tcPr>
          <w:p w14:paraId="65D6BA56"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55%</w:t>
            </w:r>
          </w:p>
        </w:tc>
        <w:tc>
          <w:tcPr>
            <w:tcW w:w="379" w:type="pct"/>
            <w:shd w:val="clear" w:color="000000" w:fill="FFFFFF"/>
            <w:vAlign w:val="center"/>
          </w:tcPr>
          <w:p w14:paraId="79B773F1"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7" w:type="pct"/>
            <w:shd w:val="clear" w:color="000000" w:fill="FFFFFF"/>
            <w:vAlign w:val="center"/>
          </w:tcPr>
          <w:p w14:paraId="0DE7EAAD"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70%</w:t>
            </w:r>
          </w:p>
        </w:tc>
        <w:tc>
          <w:tcPr>
            <w:tcW w:w="367" w:type="pct"/>
            <w:shd w:val="clear" w:color="000000" w:fill="FFFFFF"/>
            <w:vAlign w:val="center"/>
          </w:tcPr>
          <w:p w14:paraId="1522A7B9"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90%</w:t>
            </w:r>
          </w:p>
        </w:tc>
        <w:tc>
          <w:tcPr>
            <w:tcW w:w="364" w:type="pct"/>
            <w:shd w:val="clear" w:color="000000" w:fill="FFFFFF"/>
            <w:vAlign w:val="center"/>
          </w:tcPr>
          <w:p w14:paraId="6D891283"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5B7E3E" w:rsidRPr="00B0658A" w14:paraId="061D4D69" w14:textId="77777777" w:rsidTr="00FE71B1">
        <w:trPr>
          <w:trHeight w:val="535"/>
        </w:trPr>
        <w:tc>
          <w:tcPr>
            <w:tcW w:w="342" w:type="pct"/>
            <w:shd w:val="clear" w:color="000000" w:fill="FFFFFF"/>
            <w:vAlign w:val="center"/>
          </w:tcPr>
          <w:p w14:paraId="6A8ACDE5" w14:textId="77777777" w:rsidR="005B7E3E" w:rsidRPr="00B0658A" w:rsidRDefault="005B7E3E" w:rsidP="00FE71B1">
            <w:pPr>
              <w:spacing w:after="0" w:line="240" w:lineRule="auto"/>
              <w:jc w:val="center"/>
              <w:rPr>
                <w:rFonts w:ascii="Times New Roman" w:hAnsi="Times New Roman"/>
                <w:sz w:val="18"/>
                <w:szCs w:val="18"/>
              </w:rPr>
            </w:pPr>
            <w:r w:rsidRPr="00B0658A">
              <w:rPr>
                <w:rFonts w:ascii="Times New Roman" w:hAnsi="Times New Roman"/>
                <w:sz w:val="18"/>
                <w:szCs w:val="18"/>
              </w:rPr>
              <w:t>11.6</w:t>
            </w:r>
          </w:p>
        </w:tc>
        <w:tc>
          <w:tcPr>
            <w:tcW w:w="1182" w:type="pct"/>
            <w:shd w:val="clear" w:color="auto" w:fill="auto"/>
            <w:vAlign w:val="center"/>
          </w:tcPr>
          <w:p w14:paraId="6A09ABE5" w14:textId="77777777" w:rsidR="005B7E3E" w:rsidRPr="00B0658A" w:rsidRDefault="005B7E3E" w:rsidP="000A4114">
            <w:pPr>
              <w:spacing w:after="0" w:line="240" w:lineRule="auto"/>
              <w:rPr>
                <w:rFonts w:ascii="Times New Roman" w:hAnsi="Times New Roman"/>
                <w:sz w:val="18"/>
                <w:szCs w:val="18"/>
              </w:rPr>
            </w:pPr>
            <w:r w:rsidRPr="00B0658A">
              <w:rPr>
                <w:rFonts w:ascii="Times New Roman" w:hAnsi="Times New Roman"/>
                <w:sz w:val="18"/>
                <w:szCs w:val="18"/>
              </w:rPr>
              <w:t xml:space="preserve">Средства анализа данных/ Инструменты обработки, анализа </w:t>
            </w:r>
            <w:r w:rsidRPr="00B0658A">
              <w:rPr>
                <w:rFonts w:ascii="Times New Roman" w:hAnsi="Times New Roman"/>
                <w:sz w:val="18"/>
                <w:szCs w:val="18"/>
              </w:rPr>
              <w:br/>
              <w:t>и распознавания изображений</w:t>
            </w:r>
          </w:p>
        </w:tc>
        <w:tc>
          <w:tcPr>
            <w:tcW w:w="898" w:type="pct"/>
            <w:shd w:val="clear" w:color="000000" w:fill="FFFFFF"/>
          </w:tcPr>
          <w:p w14:paraId="10146B01" w14:textId="77777777" w:rsidR="005B7E3E" w:rsidRPr="00B0658A" w:rsidRDefault="005B7E3E" w:rsidP="000A4114">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7" w:type="pct"/>
            <w:shd w:val="clear" w:color="000000" w:fill="FFFFFF"/>
            <w:vAlign w:val="center"/>
          </w:tcPr>
          <w:p w14:paraId="7A59ADAC"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35%</w:t>
            </w:r>
          </w:p>
        </w:tc>
        <w:tc>
          <w:tcPr>
            <w:tcW w:w="367" w:type="pct"/>
            <w:shd w:val="clear" w:color="000000" w:fill="FFFFFF"/>
            <w:vAlign w:val="center"/>
          </w:tcPr>
          <w:p w14:paraId="5D68950C"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45%</w:t>
            </w:r>
          </w:p>
        </w:tc>
        <w:tc>
          <w:tcPr>
            <w:tcW w:w="367" w:type="pct"/>
            <w:shd w:val="clear" w:color="000000" w:fill="FFFFFF"/>
            <w:vAlign w:val="center"/>
          </w:tcPr>
          <w:p w14:paraId="102AC70D"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55%</w:t>
            </w:r>
          </w:p>
        </w:tc>
        <w:tc>
          <w:tcPr>
            <w:tcW w:w="379" w:type="pct"/>
            <w:shd w:val="clear" w:color="000000" w:fill="FFFFFF"/>
            <w:vAlign w:val="center"/>
          </w:tcPr>
          <w:p w14:paraId="54230175"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7" w:type="pct"/>
            <w:shd w:val="clear" w:color="000000" w:fill="FFFFFF"/>
            <w:vAlign w:val="center"/>
          </w:tcPr>
          <w:p w14:paraId="5DFBC722"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70%</w:t>
            </w:r>
          </w:p>
        </w:tc>
        <w:tc>
          <w:tcPr>
            <w:tcW w:w="367" w:type="pct"/>
            <w:shd w:val="clear" w:color="000000" w:fill="FFFFFF"/>
            <w:vAlign w:val="center"/>
          </w:tcPr>
          <w:p w14:paraId="1F135731"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lang w:val="en-US"/>
              </w:rPr>
              <w:t>90%</w:t>
            </w:r>
          </w:p>
        </w:tc>
        <w:tc>
          <w:tcPr>
            <w:tcW w:w="364" w:type="pct"/>
            <w:shd w:val="clear" w:color="000000" w:fill="FFFFFF"/>
            <w:vAlign w:val="center"/>
          </w:tcPr>
          <w:p w14:paraId="4404C599" w14:textId="77777777" w:rsidR="005B7E3E" w:rsidRPr="00B0658A" w:rsidRDefault="005B7E3E" w:rsidP="000A4114">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bl>
    <w:p w14:paraId="34FAE8E7" w14:textId="1D2D42E9" w:rsidR="00D236DD" w:rsidRDefault="0057559E" w:rsidP="0057559E">
      <w:pPr>
        <w:spacing w:before="120" w:after="0" w:line="240" w:lineRule="auto"/>
        <w:ind w:firstLine="142"/>
        <w:jc w:val="both"/>
        <w:rPr>
          <w:rFonts w:ascii="Times New Roman" w:hAnsi="Times New Roman"/>
          <w:sz w:val="20"/>
          <w:szCs w:val="24"/>
        </w:rPr>
      </w:pPr>
      <w:r w:rsidRPr="00216F73">
        <w:rPr>
          <w:rFonts w:ascii="Times New Roman" w:hAnsi="Times New Roman"/>
          <w:sz w:val="20"/>
          <w:szCs w:val="24"/>
        </w:rPr>
        <w:t>*</w:t>
      </w:r>
      <w:r w:rsidRPr="00766F9E">
        <w:rPr>
          <w:rFonts w:ascii="Times New Roman" w:hAnsi="Times New Roman"/>
          <w:sz w:val="20"/>
          <w:szCs w:val="24"/>
        </w:rPr>
        <w:t xml:space="preserve"> </w:t>
      </w:r>
      <w:r w:rsidR="00D236DD">
        <w:rPr>
          <w:rFonts w:ascii="Times New Roman" w:hAnsi="Times New Roman"/>
          <w:sz w:val="20"/>
          <w:szCs w:val="24"/>
        </w:rPr>
        <w:t>В случае если организация</w:t>
      </w:r>
      <w:r w:rsidR="00AE30B9" w:rsidRPr="00AE30B9">
        <w:rPr>
          <w:rFonts w:ascii="Times New Roman" w:hAnsi="Times New Roman"/>
          <w:sz w:val="20"/>
          <w:szCs w:val="24"/>
        </w:rPr>
        <w:t xml:space="preserve"> в</w:t>
      </w:r>
      <w:r w:rsidR="00D236DD">
        <w:rPr>
          <w:rFonts w:ascii="Times New Roman" w:hAnsi="Times New Roman"/>
          <w:sz w:val="20"/>
          <w:szCs w:val="24"/>
        </w:rPr>
        <w:t>ключена</w:t>
      </w:r>
      <w:r w:rsidR="00AE30B9" w:rsidRPr="00AE30B9">
        <w:rPr>
          <w:rFonts w:ascii="Times New Roman" w:hAnsi="Times New Roman"/>
          <w:sz w:val="20"/>
          <w:szCs w:val="24"/>
        </w:rPr>
        <w:t xml:space="preserve"> </w:t>
      </w:r>
      <w:r w:rsidR="00D236DD">
        <w:rPr>
          <w:rFonts w:ascii="Times New Roman" w:hAnsi="Times New Roman"/>
          <w:sz w:val="20"/>
          <w:szCs w:val="24"/>
        </w:rPr>
        <w:t xml:space="preserve">в </w:t>
      </w:r>
      <w:r w:rsidR="00AE30B9" w:rsidRPr="00AE30B9">
        <w:rPr>
          <w:rFonts w:ascii="Times New Roman" w:hAnsi="Times New Roman"/>
          <w:sz w:val="20"/>
          <w:szCs w:val="24"/>
        </w:rPr>
        <w:t>расширенный перечень организаций, в отношении которых принято решение о необходимости указанными организации разработки стратегий (программ) цифровой трансформации</w:t>
      </w:r>
      <w:r w:rsidR="00AE30B9">
        <w:rPr>
          <w:rFonts w:ascii="Times New Roman" w:hAnsi="Times New Roman"/>
          <w:sz w:val="20"/>
          <w:szCs w:val="24"/>
        </w:rPr>
        <w:t>,</w:t>
      </w:r>
      <w:r w:rsidRPr="00216F73">
        <w:rPr>
          <w:rFonts w:ascii="Times New Roman" w:hAnsi="Times New Roman"/>
          <w:sz w:val="20"/>
          <w:szCs w:val="24"/>
        </w:rPr>
        <w:t xml:space="preserve"> </w:t>
      </w:r>
      <w:r w:rsidR="00D236DD">
        <w:rPr>
          <w:rFonts w:ascii="Times New Roman" w:hAnsi="Times New Roman"/>
          <w:sz w:val="20"/>
          <w:szCs w:val="24"/>
        </w:rPr>
        <w:t>но при этом является организаций, подведомственной органам государственной власти и государственным внебюджетным фондам, показатели эффективности устанавливаются в соответствии с пунктами 75 и 76 настоящих методических рекомендаций.</w:t>
      </w:r>
    </w:p>
    <w:p w14:paraId="71D3AFC1" w14:textId="77777777" w:rsidR="00D236DD" w:rsidRDefault="00D236DD" w:rsidP="0057559E">
      <w:pPr>
        <w:spacing w:before="120" w:after="0" w:line="240" w:lineRule="auto"/>
        <w:ind w:firstLine="142"/>
        <w:jc w:val="both"/>
        <w:rPr>
          <w:rFonts w:ascii="Times New Roman" w:hAnsi="Times New Roman"/>
          <w:sz w:val="20"/>
          <w:szCs w:val="24"/>
        </w:rPr>
      </w:pPr>
    </w:p>
    <w:p w14:paraId="69252ACB" w14:textId="77777777" w:rsidR="00D236DD" w:rsidRDefault="00D236DD" w:rsidP="0057559E">
      <w:pPr>
        <w:spacing w:before="120" w:after="0" w:line="240" w:lineRule="auto"/>
        <w:ind w:firstLine="142"/>
        <w:jc w:val="both"/>
        <w:rPr>
          <w:rFonts w:ascii="Times New Roman" w:hAnsi="Times New Roman"/>
          <w:sz w:val="20"/>
          <w:szCs w:val="24"/>
        </w:rPr>
      </w:pPr>
    </w:p>
    <w:p w14:paraId="0F4BE7BF" w14:textId="77777777" w:rsidR="005B7E3E" w:rsidRPr="00B0658A" w:rsidRDefault="005B7E3E" w:rsidP="004C7EA8">
      <w:pPr>
        <w:spacing w:before="120" w:after="0" w:line="240" w:lineRule="auto"/>
        <w:ind w:firstLine="709"/>
        <w:jc w:val="both"/>
        <w:rPr>
          <w:rFonts w:ascii="Times New Roman" w:hAnsi="Times New Roman"/>
          <w:sz w:val="28"/>
          <w:szCs w:val="24"/>
        </w:rPr>
      </w:pPr>
    </w:p>
    <w:p w14:paraId="6E0647E6" w14:textId="77777777" w:rsidR="0057110B" w:rsidRPr="00B0658A" w:rsidRDefault="0057110B">
      <w:pPr>
        <w:spacing w:after="0" w:line="240" w:lineRule="auto"/>
        <w:rPr>
          <w:rFonts w:ascii="Times New Roman" w:hAnsi="Times New Roman"/>
          <w:sz w:val="28"/>
          <w:szCs w:val="24"/>
        </w:rPr>
      </w:pPr>
      <w:r w:rsidRPr="00B0658A">
        <w:rPr>
          <w:rFonts w:ascii="Times New Roman" w:hAnsi="Times New Roman"/>
          <w:sz w:val="28"/>
          <w:szCs w:val="24"/>
        </w:rPr>
        <w:br w:type="page"/>
      </w:r>
    </w:p>
    <w:p w14:paraId="020147A2" w14:textId="77777777" w:rsidR="008319FB" w:rsidRPr="00B0658A" w:rsidRDefault="008319FB" w:rsidP="008319FB">
      <w:pPr>
        <w:pStyle w:val="11"/>
        <w:spacing w:before="120" w:after="0" w:line="240" w:lineRule="auto"/>
        <w:jc w:val="right"/>
        <w:rPr>
          <w:rFonts w:cs="Times New Roman"/>
          <w:szCs w:val="28"/>
        </w:rPr>
      </w:pPr>
      <w:bookmarkStart w:id="43" w:name="_Toc116390912"/>
      <w:bookmarkStart w:id="44" w:name="_Toc116632278"/>
      <w:r w:rsidRPr="00B0658A">
        <w:rPr>
          <w:rFonts w:cs="Times New Roman"/>
          <w:szCs w:val="28"/>
        </w:rPr>
        <w:t>Приложение № 12</w:t>
      </w:r>
      <w:r w:rsidRPr="00B0658A">
        <w:rPr>
          <w:rFonts w:cs="Times New Roman"/>
          <w:szCs w:val="28"/>
        </w:rPr>
        <w:br/>
      </w:r>
      <w:r w:rsidRPr="00B0658A">
        <w:rPr>
          <w:rFonts w:cs="Times New Roman"/>
          <w:szCs w:val="24"/>
        </w:rPr>
        <w:t xml:space="preserve">Рекомендованные отчетные формы для представления сведений о ходе реализации </w:t>
      </w:r>
      <w:r w:rsidRPr="00B0658A">
        <w:rPr>
          <w:rFonts w:cs="Times New Roman"/>
        </w:rPr>
        <w:t>плана перехода государственных корпораций и компаний с государственным участием, сведения о которых включены в специальный перечень №91-р, а также организаций, включенных в расширенный перечень организаций, в отношении которых принято решение о необходимости указанными организации разработки стратегий (программ) цифровой трансформации, их дочерних и зависимых обществ на использование российского ПО на принадлежащих им значимых объектах КИИ</w:t>
      </w:r>
      <w:bookmarkEnd w:id="43"/>
      <w:bookmarkEnd w:id="44"/>
    </w:p>
    <w:p w14:paraId="0625B5BF" w14:textId="77777777" w:rsidR="008319FB" w:rsidRPr="00B0658A" w:rsidRDefault="008319FB" w:rsidP="008319FB">
      <w:pPr>
        <w:rPr>
          <w:rFonts w:ascii="Times New Roman" w:hAnsi="Times New Roman"/>
          <w:highlight w:val="yellow"/>
        </w:rPr>
      </w:pPr>
    </w:p>
    <w:p w14:paraId="6FBA1416" w14:textId="77777777" w:rsidR="008319FB" w:rsidRPr="00B0658A" w:rsidRDefault="008319FB" w:rsidP="00FB2975">
      <w:pPr>
        <w:rPr>
          <w:rFonts w:ascii="Times New Roman" w:hAnsi="Times New Roman"/>
          <w:b/>
          <w:sz w:val="28"/>
          <w:szCs w:val="28"/>
        </w:rPr>
      </w:pPr>
      <w:bookmarkStart w:id="45" w:name="_Toc116390913"/>
      <w:r w:rsidRPr="00B0658A">
        <w:rPr>
          <w:rFonts w:ascii="Times New Roman" w:hAnsi="Times New Roman"/>
          <w:b/>
          <w:sz w:val="28"/>
          <w:szCs w:val="28"/>
        </w:rPr>
        <w:t>Форма отчетности за полугодовой период</w:t>
      </w:r>
      <w:bookmarkEnd w:id="45"/>
    </w:p>
    <w:p w14:paraId="50A18D90" w14:textId="77777777" w:rsidR="00782875" w:rsidRPr="00B0658A" w:rsidRDefault="00782875" w:rsidP="00782875">
      <w:pPr>
        <w:rPr>
          <w:rFonts w:ascii="Times New Roman" w:hAnsi="Times New Roman"/>
        </w:rPr>
      </w:pPr>
    </w:p>
    <w:p w14:paraId="60C0A880" w14:textId="77777777" w:rsidR="00782875" w:rsidRPr="00B0658A" w:rsidRDefault="00782875" w:rsidP="005E0FC3">
      <w:pPr>
        <w:pStyle w:val="ConsPlusNormal"/>
        <w:spacing w:before="120"/>
        <w:jc w:val="center"/>
        <w:rPr>
          <w:sz w:val="32"/>
        </w:rPr>
      </w:pPr>
      <w:r w:rsidRPr="00B0658A">
        <w:rPr>
          <w:sz w:val="32"/>
        </w:rPr>
        <w:t>Сведения о реализации детализированного плана перехода ______________ (полное наименование</w:t>
      </w:r>
      <w:r w:rsidR="00951885" w:rsidRPr="00B0658A">
        <w:rPr>
          <w:sz w:val="32"/>
        </w:rPr>
        <w:t xml:space="preserve"> </w:t>
      </w:r>
      <w:r w:rsidRPr="00B0658A">
        <w:rPr>
          <w:sz w:val="32"/>
          <w:szCs w:val="28"/>
        </w:rPr>
        <w:t xml:space="preserve">государственной корпорации или компании с государственным участием на использование российского </w:t>
      </w:r>
      <w:r w:rsidRPr="00B0658A">
        <w:rPr>
          <w:sz w:val="32"/>
        </w:rPr>
        <w:t xml:space="preserve">ПО на принадлежащих </w:t>
      </w:r>
      <w:r w:rsidRPr="00B0658A">
        <w:rPr>
          <w:sz w:val="32"/>
          <w:szCs w:val="28"/>
        </w:rPr>
        <w:t>государственной корпорации или компании с государственным участием</w:t>
      </w:r>
      <w:r w:rsidRPr="00B0658A">
        <w:rPr>
          <w:sz w:val="32"/>
        </w:rPr>
        <w:t xml:space="preserve"> значимых объектах КИИ</w:t>
      </w:r>
      <w:r w:rsidRPr="00B0658A">
        <w:rPr>
          <w:sz w:val="32"/>
          <w:szCs w:val="28"/>
        </w:rPr>
        <w:t xml:space="preserve"> </w:t>
      </w:r>
      <w:r w:rsidRPr="00B0658A">
        <w:rPr>
          <w:sz w:val="32"/>
        </w:rPr>
        <w:t xml:space="preserve">на период 2022-2024 годы за </w:t>
      </w:r>
      <w:r w:rsidRPr="00B0658A">
        <w:rPr>
          <w:sz w:val="32"/>
          <w:szCs w:val="28"/>
        </w:rPr>
        <w:t xml:space="preserve"> ____ полугодие _______ года</w:t>
      </w:r>
    </w:p>
    <w:p w14:paraId="5A0D1283" w14:textId="77777777" w:rsidR="00751DD3" w:rsidRPr="00B0658A" w:rsidRDefault="00751DD3" w:rsidP="00782875">
      <w:pPr>
        <w:spacing w:line="240" w:lineRule="auto"/>
        <w:ind w:firstLine="709"/>
        <w:jc w:val="both"/>
        <w:rPr>
          <w:rFonts w:ascii="Times New Roman" w:hAnsi="Times New Roman"/>
          <w:sz w:val="28"/>
          <w:szCs w:val="28"/>
        </w:rPr>
      </w:pPr>
    </w:p>
    <w:p w14:paraId="428C0787" w14:textId="77777777" w:rsidR="00782875" w:rsidRPr="00B0658A" w:rsidRDefault="00782875" w:rsidP="00782875">
      <w:pPr>
        <w:spacing w:line="240" w:lineRule="auto"/>
        <w:ind w:firstLine="709"/>
        <w:jc w:val="both"/>
        <w:rPr>
          <w:rFonts w:ascii="Times New Roman" w:hAnsi="Times New Roman"/>
          <w:sz w:val="28"/>
          <w:szCs w:val="28"/>
        </w:rPr>
      </w:pPr>
      <w:r w:rsidRPr="00B0658A">
        <w:rPr>
          <w:rFonts w:ascii="Times New Roman" w:hAnsi="Times New Roman"/>
          <w:sz w:val="28"/>
          <w:szCs w:val="28"/>
        </w:rPr>
        <w:t xml:space="preserve">Сведения о реализации мероприятий по переходу на использование российского ПО на принадлежащих _______ </w:t>
      </w:r>
      <w:r w:rsidR="005E0FC3" w:rsidRPr="00B0658A">
        <w:rPr>
          <w:rFonts w:ascii="Times New Roman" w:hAnsi="Times New Roman"/>
          <w:sz w:val="28"/>
          <w:szCs w:val="28"/>
        </w:rPr>
        <w:t>_____</w:t>
      </w:r>
      <w:r w:rsidRPr="00B0658A">
        <w:rPr>
          <w:rFonts w:ascii="Times New Roman" w:hAnsi="Times New Roman"/>
          <w:sz w:val="28"/>
          <w:szCs w:val="28"/>
        </w:rPr>
        <w:t xml:space="preserve">(полное наименование </w:t>
      </w:r>
      <w:r w:rsidR="005E0FC3" w:rsidRPr="00B0658A">
        <w:rPr>
          <w:rFonts w:ascii="Times New Roman" w:hAnsi="Times New Roman"/>
          <w:sz w:val="28"/>
          <w:szCs w:val="28"/>
        </w:rPr>
        <w:t>государственной корпорации или компании с государственным участием</w:t>
      </w:r>
      <w:r w:rsidRPr="00B0658A">
        <w:rPr>
          <w:rFonts w:ascii="Times New Roman" w:hAnsi="Times New Roman"/>
          <w:sz w:val="28"/>
          <w:szCs w:val="28"/>
        </w:rPr>
        <w:t>) значимых объектах КИИ</w:t>
      </w:r>
    </w:p>
    <w:tbl>
      <w:tblPr>
        <w:tblStyle w:val="32"/>
        <w:tblW w:w="5000" w:type="pct"/>
        <w:tblLook w:val="04A0" w:firstRow="1" w:lastRow="0" w:firstColumn="1" w:lastColumn="0" w:noHBand="0" w:noVBand="1"/>
      </w:tblPr>
      <w:tblGrid>
        <w:gridCol w:w="513"/>
        <w:gridCol w:w="2853"/>
        <w:gridCol w:w="2471"/>
        <w:gridCol w:w="2496"/>
        <w:gridCol w:w="2435"/>
        <w:gridCol w:w="3176"/>
      </w:tblGrid>
      <w:tr w:rsidR="00F52FED" w:rsidRPr="00B0658A" w14:paraId="0FD07B48" w14:textId="77777777" w:rsidTr="00F57B1F">
        <w:trPr>
          <w:tblHeader/>
        </w:trPr>
        <w:tc>
          <w:tcPr>
            <w:tcW w:w="184" w:type="pct"/>
          </w:tcPr>
          <w:p w14:paraId="11099B04" w14:textId="77777777" w:rsidR="00782875" w:rsidRPr="00B0658A" w:rsidRDefault="00782875" w:rsidP="000A4114">
            <w:pPr>
              <w:spacing w:after="0" w:line="240" w:lineRule="auto"/>
              <w:jc w:val="center"/>
              <w:rPr>
                <w:rFonts w:ascii="Times New Roman"/>
                <w:b/>
                <w:bCs/>
                <w:color w:val="auto"/>
                <w:sz w:val="20"/>
                <w:szCs w:val="20"/>
              </w:rPr>
            </w:pPr>
            <w:r w:rsidRPr="00B0658A">
              <w:rPr>
                <w:rFonts w:ascii="Times New Roman"/>
                <w:b/>
                <w:bCs/>
                <w:color w:val="auto"/>
                <w:sz w:val="20"/>
                <w:szCs w:val="20"/>
              </w:rPr>
              <w:t>№</w:t>
            </w:r>
          </w:p>
        </w:tc>
        <w:tc>
          <w:tcPr>
            <w:tcW w:w="1023" w:type="pct"/>
          </w:tcPr>
          <w:p w14:paraId="388C9B2E" w14:textId="77777777" w:rsidR="00782875" w:rsidRPr="00B0658A" w:rsidRDefault="00782875" w:rsidP="000A4114">
            <w:pPr>
              <w:spacing w:after="0" w:line="240" w:lineRule="auto"/>
              <w:jc w:val="center"/>
              <w:rPr>
                <w:rFonts w:ascii="Times New Roman"/>
                <w:b/>
                <w:bCs/>
                <w:color w:val="auto"/>
                <w:sz w:val="20"/>
                <w:szCs w:val="20"/>
              </w:rPr>
            </w:pPr>
            <w:r w:rsidRPr="00B0658A">
              <w:rPr>
                <w:rFonts w:ascii="Times New Roman"/>
                <w:b/>
                <w:bCs/>
                <w:color w:val="auto"/>
                <w:sz w:val="20"/>
                <w:szCs w:val="20"/>
              </w:rPr>
              <w:t xml:space="preserve">Наименование мероприятия в соответствии с утвержденным детализированным планом </w:t>
            </w:r>
          </w:p>
        </w:tc>
        <w:tc>
          <w:tcPr>
            <w:tcW w:w="886" w:type="pct"/>
          </w:tcPr>
          <w:p w14:paraId="052A0C6E" w14:textId="77777777" w:rsidR="00782875" w:rsidRPr="00B0658A" w:rsidRDefault="00782875" w:rsidP="000A4114">
            <w:pPr>
              <w:spacing w:after="0" w:line="240" w:lineRule="auto"/>
              <w:jc w:val="center"/>
              <w:rPr>
                <w:rFonts w:ascii="Times New Roman"/>
                <w:b/>
                <w:bCs/>
                <w:color w:val="auto"/>
                <w:sz w:val="20"/>
                <w:szCs w:val="20"/>
              </w:rPr>
            </w:pPr>
            <w:r w:rsidRPr="00B0658A">
              <w:rPr>
                <w:rFonts w:ascii="Times New Roman"/>
                <w:b/>
                <w:bCs/>
                <w:color w:val="auto"/>
                <w:sz w:val="20"/>
                <w:szCs w:val="20"/>
              </w:rPr>
              <w:t xml:space="preserve">Планируемый результат в соответствии с утвержденным детализированным планом </w:t>
            </w:r>
          </w:p>
        </w:tc>
        <w:tc>
          <w:tcPr>
            <w:tcW w:w="895" w:type="pct"/>
          </w:tcPr>
          <w:p w14:paraId="392B8DD6" w14:textId="77777777" w:rsidR="00782875" w:rsidRPr="00B0658A" w:rsidRDefault="00782875" w:rsidP="000A4114">
            <w:pPr>
              <w:spacing w:after="0" w:line="240" w:lineRule="auto"/>
              <w:jc w:val="center"/>
              <w:rPr>
                <w:rFonts w:ascii="Times New Roman"/>
                <w:b/>
                <w:bCs/>
                <w:color w:val="auto"/>
                <w:sz w:val="20"/>
                <w:szCs w:val="20"/>
              </w:rPr>
            </w:pPr>
            <w:r w:rsidRPr="00B0658A">
              <w:rPr>
                <w:rFonts w:ascii="Times New Roman"/>
                <w:b/>
                <w:bCs/>
                <w:color w:val="auto"/>
                <w:sz w:val="20"/>
                <w:szCs w:val="20"/>
              </w:rPr>
              <w:t>Сроки реализации запланированного мероприятия в соответствии с детализированным планом</w:t>
            </w:r>
          </w:p>
        </w:tc>
        <w:tc>
          <w:tcPr>
            <w:tcW w:w="873" w:type="pct"/>
          </w:tcPr>
          <w:p w14:paraId="56ED1538" w14:textId="77777777" w:rsidR="00782875" w:rsidRPr="00B0658A" w:rsidRDefault="00782875" w:rsidP="000A4114">
            <w:pPr>
              <w:spacing w:after="0" w:line="240" w:lineRule="auto"/>
              <w:jc w:val="center"/>
              <w:rPr>
                <w:rFonts w:ascii="Times New Roman"/>
                <w:b/>
                <w:bCs/>
                <w:color w:val="auto"/>
                <w:sz w:val="20"/>
                <w:szCs w:val="20"/>
              </w:rPr>
            </w:pPr>
            <w:r w:rsidRPr="00B0658A">
              <w:rPr>
                <w:rFonts w:ascii="Times New Roman"/>
                <w:b/>
                <w:bCs/>
                <w:color w:val="auto"/>
                <w:sz w:val="20"/>
                <w:szCs w:val="20"/>
              </w:rPr>
              <w:t>Статус выполнения мероприятия</w:t>
            </w:r>
          </w:p>
        </w:tc>
        <w:tc>
          <w:tcPr>
            <w:tcW w:w="1139" w:type="pct"/>
          </w:tcPr>
          <w:p w14:paraId="6053F450" w14:textId="77777777" w:rsidR="00782875" w:rsidRPr="00B0658A" w:rsidRDefault="00782875" w:rsidP="000A4114">
            <w:pPr>
              <w:spacing w:after="0" w:line="240" w:lineRule="auto"/>
              <w:jc w:val="center"/>
              <w:rPr>
                <w:rFonts w:ascii="Times New Roman"/>
                <w:b/>
                <w:bCs/>
                <w:color w:val="auto"/>
                <w:sz w:val="20"/>
                <w:szCs w:val="20"/>
              </w:rPr>
            </w:pPr>
            <w:r w:rsidRPr="00B0658A">
              <w:rPr>
                <w:rFonts w:ascii="Times New Roman"/>
                <w:b/>
                <w:bCs/>
                <w:color w:val="auto"/>
                <w:sz w:val="20"/>
                <w:szCs w:val="20"/>
              </w:rPr>
              <w:t>Описание достигнутого фактического результата</w:t>
            </w:r>
          </w:p>
        </w:tc>
      </w:tr>
      <w:tr w:rsidR="00F52FED" w:rsidRPr="00B0658A" w14:paraId="07FAA8B4" w14:textId="77777777" w:rsidTr="00B10FDE">
        <w:tc>
          <w:tcPr>
            <w:tcW w:w="5000" w:type="pct"/>
            <w:gridSpan w:val="6"/>
            <w:vAlign w:val="center"/>
          </w:tcPr>
          <w:p w14:paraId="4C1620F1" w14:textId="77777777" w:rsidR="00782875" w:rsidRPr="00B0658A" w:rsidRDefault="00782875" w:rsidP="000A4114">
            <w:pPr>
              <w:spacing w:after="0" w:line="240" w:lineRule="auto"/>
              <w:rPr>
                <w:rFonts w:ascii="Times New Roman"/>
                <w:b/>
                <w:i/>
                <w:iCs/>
                <w:color w:val="auto"/>
                <w:sz w:val="20"/>
                <w:szCs w:val="20"/>
              </w:rPr>
            </w:pPr>
            <w:r w:rsidRPr="00B0658A">
              <w:rPr>
                <w:rFonts w:ascii="Times New Roman"/>
                <w:b/>
                <w:color w:val="auto"/>
                <w:sz w:val="20"/>
                <w:szCs w:val="20"/>
              </w:rPr>
              <w:t>1. Мероприятия в отношении ________ (наименование значимого объекта КИИ №1)</w:t>
            </w:r>
          </w:p>
        </w:tc>
      </w:tr>
      <w:tr w:rsidR="00F52FED" w:rsidRPr="00B0658A" w14:paraId="501E8658" w14:textId="77777777" w:rsidTr="00B10FDE">
        <w:tc>
          <w:tcPr>
            <w:tcW w:w="184" w:type="pct"/>
          </w:tcPr>
          <w:p w14:paraId="3626AB20" w14:textId="77777777" w:rsidR="00782875" w:rsidRPr="00B0658A" w:rsidRDefault="00782875" w:rsidP="000A4114">
            <w:pPr>
              <w:spacing w:after="0" w:line="240" w:lineRule="auto"/>
              <w:jc w:val="both"/>
              <w:rPr>
                <w:rFonts w:ascii="Times New Roman"/>
                <w:color w:val="auto"/>
                <w:sz w:val="20"/>
                <w:szCs w:val="20"/>
              </w:rPr>
            </w:pPr>
            <w:r w:rsidRPr="00B0658A">
              <w:rPr>
                <w:rFonts w:ascii="Times New Roman"/>
                <w:color w:val="auto"/>
                <w:sz w:val="20"/>
                <w:szCs w:val="20"/>
              </w:rPr>
              <w:t>1.1</w:t>
            </w:r>
          </w:p>
        </w:tc>
        <w:tc>
          <w:tcPr>
            <w:tcW w:w="1023" w:type="pct"/>
          </w:tcPr>
          <w:p w14:paraId="047FCB23" w14:textId="77777777" w:rsidR="00782875" w:rsidRPr="00B0658A" w:rsidRDefault="00782875" w:rsidP="000A4114">
            <w:pPr>
              <w:spacing w:after="0" w:line="240" w:lineRule="auto"/>
              <w:jc w:val="both"/>
              <w:rPr>
                <w:rFonts w:ascii="Times New Roman"/>
                <w:i/>
                <w:iCs/>
                <w:color w:val="auto"/>
                <w:sz w:val="20"/>
                <w:szCs w:val="20"/>
              </w:rPr>
            </w:pPr>
            <w:r w:rsidRPr="00B0658A">
              <w:rPr>
                <w:rFonts w:ascii="Times New Roman"/>
                <w:i/>
                <w:iCs/>
                <w:color w:val="auto"/>
                <w:sz w:val="20"/>
                <w:szCs w:val="20"/>
              </w:rPr>
              <w:t xml:space="preserve">Указывается наименование мероприятия в соответствии с утвержденным детализированным планом перехода на использование российского ПО на принадлежащих </w:t>
            </w:r>
            <w:r w:rsidR="005E0FC3" w:rsidRPr="00B0658A">
              <w:rPr>
                <w:rFonts w:ascii="Times New Roman"/>
                <w:i/>
                <w:iCs/>
                <w:color w:val="auto"/>
                <w:sz w:val="20"/>
                <w:szCs w:val="20"/>
              </w:rPr>
              <w:t xml:space="preserve">государственной корпорации или компании с государственным участием </w:t>
            </w:r>
            <w:r w:rsidRPr="00B0658A">
              <w:rPr>
                <w:rFonts w:ascii="Times New Roman"/>
                <w:i/>
                <w:iCs/>
                <w:color w:val="auto"/>
                <w:sz w:val="20"/>
                <w:szCs w:val="20"/>
              </w:rPr>
              <w:t>значимых объектах КИИ</w:t>
            </w:r>
          </w:p>
          <w:p w14:paraId="35A0AF65" w14:textId="77777777" w:rsidR="00782875" w:rsidRPr="00B0658A" w:rsidRDefault="00782875" w:rsidP="000A4114">
            <w:pPr>
              <w:pStyle w:val="ConsPlusNormal"/>
              <w:jc w:val="both"/>
              <w:rPr>
                <w:color w:val="auto"/>
                <w:sz w:val="20"/>
                <w:szCs w:val="20"/>
              </w:rPr>
            </w:pPr>
          </w:p>
          <w:p w14:paraId="70757993" w14:textId="77777777" w:rsidR="00782875" w:rsidRPr="00B0658A" w:rsidRDefault="00782875" w:rsidP="000A4114">
            <w:pPr>
              <w:spacing w:after="0" w:line="240" w:lineRule="auto"/>
              <w:jc w:val="both"/>
              <w:rPr>
                <w:rFonts w:ascii="Times New Roman"/>
                <w:i/>
                <w:iCs/>
                <w:color w:val="auto"/>
                <w:sz w:val="20"/>
                <w:szCs w:val="20"/>
              </w:rPr>
            </w:pPr>
          </w:p>
        </w:tc>
        <w:tc>
          <w:tcPr>
            <w:tcW w:w="886" w:type="pct"/>
          </w:tcPr>
          <w:p w14:paraId="65C5EBF8" w14:textId="77777777" w:rsidR="00782875" w:rsidRPr="00B0658A" w:rsidRDefault="00782875" w:rsidP="000A4114">
            <w:pPr>
              <w:spacing w:after="0" w:line="240" w:lineRule="auto"/>
              <w:jc w:val="both"/>
              <w:rPr>
                <w:rFonts w:ascii="Times New Roman"/>
                <w:i/>
                <w:iCs/>
                <w:color w:val="auto"/>
                <w:sz w:val="20"/>
                <w:szCs w:val="20"/>
              </w:rPr>
            </w:pPr>
            <w:r w:rsidRPr="00B0658A">
              <w:rPr>
                <w:rFonts w:ascii="Times New Roman"/>
                <w:i/>
                <w:iCs/>
                <w:color w:val="auto"/>
                <w:sz w:val="20"/>
                <w:szCs w:val="20"/>
              </w:rPr>
              <w:t xml:space="preserve">Указывается запланированный результат в соответствии с утвержденным детализированным планом перехода на использование российского ПО на принадлежащих </w:t>
            </w:r>
            <w:r w:rsidR="00B10FDE" w:rsidRPr="00B0658A">
              <w:rPr>
                <w:rFonts w:ascii="Times New Roman"/>
                <w:i/>
                <w:iCs/>
                <w:color w:val="auto"/>
                <w:sz w:val="20"/>
                <w:szCs w:val="20"/>
              </w:rPr>
              <w:t xml:space="preserve">государственной корпорации или компании с государственным участием </w:t>
            </w:r>
            <w:r w:rsidRPr="00B0658A">
              <w:rPr>
                <w:rFonts w:ascii="Times New Roman"/>
                <w:i/>
                <w:iCs/>
                <w:color w:val="auto"/>
                <w:sz w:val="20"/>
                <w:szCs w:val="20"/>
              </w:rPr>
              <w:t>значимых объектах КИИ</w:t>
            </w:r>
          </w:p>
          <w:p w14:paraId="74FA74C3" w14:textId="77777777" w:rsidR="00782875" w:rsidRPr="00B0658A" w:rsidRDefault="00782875" w:rsidP="000A4114">
            <w:pPr>
              <w:spacing w:after="0" w:line="240" w:lineRule="auto"/>
              <w:jc w:val="both"/>
              <w:rPr>
                <w:rFonts w:ascii="Times New Roman"/>
                <w:color w:val="auto"/>
                <w:sz w:val="20"/>
                <w:szCs w:val="20"/>
              </w:rPr>
            </w:pPr>
          </w:p>
        </w:tc>
        <w:tc>
          <w:tcPr>
            <w:tcW w:w="895" w:type="pct"/>
          </w:tcPr>
          <w:p w14:paraId="475E5DB7" w14:textId="77777777" w:rsidR="00782875" w:rsidRPr="00B0658A" w:rsidRDefault="00782875" w:rsidP="000A4114">
            <w:pPr>
              <w:spacing w:after="0" w:line="240" w:lineRule="auto"/>
              <w:jc w:val="both"/>
              <w:rPr>
                <w:rFonts w:ascii="Times New Roman"/>
                <w:i/>
                <w:iCs/>
                <w:color w:val="auto"/>
                <w:sz w:val="20"/>
                <w:szCs w:val="20"/>
              </w:rPr>
            </w:pPr>
            <w:r w:rsidRPr="00B0658A">
              <w:rPr>
                <w:rFonts w:ascii="Times New Roman"/>
                <w:i/>
                <w:iCs/>
                <w:color w:val="auto"/>
                <w:sz w:val="20"/>
                <w:szCs w:val="20"/>
              </w:rPr>
              <w:t xml:space="preserve">Указывается срок реализации (период выполнения) в соответствии с утвержденным детализированным планом перехода на использование российского ПО на принадлежащих </w:t>
            </w:r>
            <w:r w:rsidR="00B10FDE" w:rsidRPr="00B0658A">
              <w:rPr>
                <w:rFonts w:ascii="Times New Roman"/>
                <w:i/>
                <w:iCs/>
                <w:color w:val="auto"/>
                <w:sz w:val="20"/>
                <w:szCs w:val="20"/>
              </w:rPr>
              <w:t xml:space="preserve">государственной корпорации или компании с государственным участием </w:t>
            </w:r>
            <w:r w:rsidRPr="00B0658A">
              <w:rPr>
                <w:rFonts w:ascii="Times New Roman"/>
                <w:i/>
                <w:iCs/>
                <w:color w:val="auto"/>
                <w:sz w:val="20"/>
                <w:szCs w:val="20"/>
              </w:rPr>
              <w:t>значимых объектах КИИ</w:t>
            </w:r>
          </w:p>
          <w:p w14:paraId="0A3E1F82" w14:textId="77777777" w:rsidR="00782875" w:rsidRPr="00B0658A" w:rsidRDefault="00782875" w:rsidP="000A4114">
            <w:pPr>
              <w:spacing w:after="0" w:line="240" w:lineRule="auto"/>
              <w:jc w:val="both"/>
              <w:rPr>
                <w:rFonts w:ascii="Times New Roman"/>
                <w:i/>
                <w:iCs/>
                <w:color w:val="auto"/>
                <w:sz w:val="20"/>
                <w:szCs w:val="20"/>
              </w:rPr>
            </w:pPr>
          </w:p>
        </w:tc>
        <w:tc>
          <w:tcPr>
            <w:tcW w:w="873" w:type="pct"/>
          </w:tcPr>
          <w:p w14:paraId="0C4B7288" w14:textId="77777777" w:rsidR="00782875" w:rsidRPr="00B0658A" w:rsidRDefault="00782875" w:rsidP="000A4114">
            <w:pPr>
              <w:spacing w:after="0" w:line="240" w:lineRule="auto"/>
              <w:jc w:val="both"/>
              <w:rPr>
                <w:rFonts w:ascii="Times New Roman"/>
                <w:i/>
                <w:iCs/>
                <w:color w:val="auto"/>
                <w:sz w:val="20"/>
                <w:szCs w:val="20"/>
              </w:rPr>
            </w:pPr>
            <w:r w:rsidRPr="00B0658A">
              <w:rPr>
                <w:rFonts w:ascii="Times New Roman"/>
                <w:i/>
                <w:iCs/>
                <w:color w:val="auto"/>
                <w:sz w:val="20"/>
                <w:szCs w:val="20"/>
              </w:rPr>
              <w:t>Указывается статус: «выполнено» / «не выполнено».</w:t>
            </w:r>
          </w:p>
          <w:p w14:paraId="457576A4" w14:textId="77777777" w:rsidR="00782875" w:rsidRPr="00B0658A" w:rsidRDefault="00782875" w:rsidP="000A4114">
            <w:pPr>
              <w:spacing w:after="0" w:line="240" w:lineRule="auto"/>
              <w:jc w:val="both"/>
              <w:rPr>
                <w:rFonts w:ascii="Times New Roman"/>
                <w:color w:val="auto"/>
                <w:sz w:val="20"/>
                <w:szCs w:val="20"/>
              </w:rPr>
            </w:pPr>
            <w:r w:rsidRPr="00B0658A">
              <w:rPr>
                <w:rFonts w:ascii="Times New Roman"/>
                <w:i/>
                <w:iCs/>
                <w:color w:val="auto"/>
                <w:sz w:val="20"/>
                <w:szCs w:val="20"/>
              </w:rPr>
              <w:t>Если мероприятие выполнено частично, то указывается статус «не выполнено»</w:t>
            </w:r>
          </w:p>
        </w:tc>
        <w:tc>
          <w:tcPr>
            <w:tcW w:w="1139" w:type="pct"/>
          </w:tcPr>
          <w:p w14:paraId="46554400" w14:textId="77777777" w:rsidR="00782875" w:rsidRPr="00B0658A" w:rsidRDefault="00782875" w:rsidP="000A4114">
            <w:pPr>
              <w:spacing w:after="0" w:line="240" w:lineRule="auto"/>
              <w:jc w:val="both"/>
              <w:rPr>
                <w:rFonts w:ascii="Times New Roman"/>
                <w:i/>
                <w:iCs/>
                <w:color w:val="auto"/>
                <w:sz w:val="20"/>
                <w:szCs w:val="20"/>
              </w:rPr>
            </w:pPr>
            <w:r w:rsidRPr="00B0658A">
              <w:rPr>
                <w:rFonts w:ascii="Times New Roman"/>
                <w:i/>
                <w:iCs/>
                <w:color w:val="auto"/>
                <w:sz w:val="20"/>
                <w:szCs w:val="20"/>
              </w:rPr>
              <w:t>Указывается достигнутый результат. В случае если мероприятие не было выполнено, либо результат выполнения мероприятия был достигнут не полностью, указываются причины невыполнения мероприятия (частичного выполнения мероприятия), а также срок, в который мероприятие будет реализовано и достигнут запланированный результат</w:t>
            </w:r>
          </w:p>
        </w:tc>
      </w:tr>
      <w:tr w:rsidR="00F52FED" w:rsidRPr="00B0658A" w14:paraId="50DE069F" w14:textId="77777777" w:rsidTr="00B10FDE">
        <w:tc>
          <w:tcPr>
            <w:tcW w:w="184" w:type="pct"/>
          </w:tcPr>
          <w:p w14:paraId="3E14CFB6" w14:textId="77777777" w:rsidR="00782875" w:rsidRPr="00B0658A" w:rsidRDefault="00782875" w:rsidP="000A4114">
            <w:pPr>
              <w:spacing w:after="0" w:line="240" w:lineRule="auto"/>
              <w:jc w:val="both"/>
              <w:rPr>
                <w:rFonts w:ascii="Times New Roman"/>
                <w:color w:val="auto"/>
                <w:sz w:val="20"/>
                <w:szCs w:val="20"/>
              </w:rPr>
            </w:pPr>
            <w:r w:rsidRPr="00B0658A">
              <w:rPr>
                <w:rFonts w:ascii="Times New Roman"/>
                <w:color w:val="auto"/>
                <w:sz w:val="20"/>
                <w:szCs w:val="20"/>
              </w:rPr>
              <w:t>1.2</w:t>
            </w:r>
          </w:p>
        </w:tc>
        <w:tc>
          <w:tcPr>
            <w:tcW w:w="1023" w:type="pct"/>
          </w:tcPr>
          <w:p w14:paraId="3F71489E" w14:textId="77777777" w:rsidR="00782875" w:rsidRPr="00B0658A" w:rsidRDefault="00782875" w:rsidP="000A4114">
            <w:pPr>
              <w:spacing w:after="0" w:line="240" w:lineRule="auto"/>
              <w:jc w:val="both"/>
              <w:rPr>
                <w:rFonts w:ascii="Times New Roman"/>
                <w:color w:val="auto"/>
                <w:sz w:val="20"/>
                <w:szCs w:val="20"/>
              </w:rPr>
            </w:pPr>
          </w:p>
        </w:tc>
        <w:tc>
          <w:tcPr>
            <w:tcW w:w="886" w:type="pct"/>
          </w:tcPr>
          <w:p w14:paraId="77FBA485" w14:textId="77777777" w:rsidR="00782875" w:rsidRPr="00B0658A" w:rsidRDefault="00782875" w:rsidP="000A4114">
            <w:pPr>
              <w:spacing w:after="0" w:line="240" w:lineRule="auto"/>
              <w:jc w:val="both"/>
              <w:rPr>
                <w:rFonts w:ascii="Times New Roman"/>
                <w:color w:val="auto"/>
                <w:sz w:val="20"/>
                <w:szCs w:val="20"/>
              </w:rPr>
            </w:pPr>
          </w:p>
        </w:tc>
        <w:tc>
          <w:tcPr>
            <w:tcW w:w="895" w:type="pct"/>
          </w:tcPr>
          <w:p w14:paraId="0BE37B54" w14:textId="77777777" w:rsidR="00782875" w:rsidRPr="00B0658A" w:rsidRDefault="00782875" w:rsidP="000A4114">
            <w:pPr>
              <w:spacing w:after="0" w:line="240" w:lineRule="auto"/>
              <w:jc w:val="both"/>
              <w:rPr>
                <w:rFonts w:ascii="Times New Roman"/>
                <w:color w:val="auto"/>
                <w:sz w:val="20"/>
                <w:szCs w:val="20"/>
              </w:rPr>
            </w:pPr>
          </w:p>
        </w:tc>
        <w:tc>
          <w:tcPr>
            <w:tcW w:w="873" w:type="pct"/>
          </w:tcPr>
          <w:p w14:paraId="30FF067B" w14:textId="77777777" w:rsidR="00782875" w:rsidRPr="00B0658A" w:rsidRDefault="00782875" w:rsidP="000A4114">
            <w:pPr>
              <w:spacing w:after="0" w:line="240" w:lineRule="auto"/>
              <w:jc w:val="both"/>
              <w:rPr>
                <w:rFonts w:ascii="Times New Roman"/>
                <w:color w:val="auto"/>
                <w:sz w:val="20"/>
                <w:szCs w:val="20"/>
              </w:rPr>
            </w:pPr>
          </w:p>
        </w:tc>
        <w:tc>
          <w:tcPr>
            <w:tcW w:w="1139" w:type="pct"/>
          </w:tcPr>
          <w:p w14:paraId="42A862AB" w14:textId="77777777" w:rsidR="00782875" w:rsidRPr="00B0658A" w:rsidRDefault="00782875" w:rsidP="000A4114">
            <w:pPr>
              <w:spacing w:after="0" w:line="240" w:lineRule="auto"/>
              <w:jc w:val="both"/>
              <w:rPr>
                <w:rFonts w:ascii="Times New Roman"/>
                <w:color w:val="auto"/>
                <w:sz w:val="20"/>
                <w:szCs w:val="20"/>
              </w:rPr>
            </w:pPr>
          </w:p>
        </w:tc>
      </w:tr>
      <w:tr w:rsidR="00F52FED" w:rsidRPr="00B0658A" w14:paraId="3B0E3597" w14:textId="77777777" w:rsidTr="00B10FDE">
        <w:tc>
          <w:tcPr>
            <w:tcW w:w="184" w:type="pct"/>
          </w:tcPr>
          <w:p w14:paraId="70B0ED0E" w14:textId="77777777" w:rsidR="00782875" w:rsidRPr="00B0658A" w:rsidRDefault="00782875" w:rsidP="000A4114">
            <w:pPr>
              <w:spacing w:after="0" w:line="240" w:lineRule="auto"/>
              <w:jc w:val="both"/>
              <w:rPr>
                <w:rFonts w:ascii="Times New Roman"/>
                <w:color w:val="auto"/>
                <w:sz w:val="20"/>
                <w:szCs w:val="20"/>
              </w:rPr>
            </w:pPr>
            <w:r w:rsidRPr="00B0658A">
              <w:rPr>
                <w:rFonts w:ascii="Times New Roman"/>
                <w:color w:val="auto"/>
                <w:sz w:val="20"/>
                <w:szCs w:val="20"/>
              </w:rPr>
              <w:t>…</w:t>
            </w:r>
          </w:p>
        </w:tc>
        <w:tc>
          <w:tcPr>
            <w:tcW w:w="1023" w:type="pct"/>
          </w:tcPr>
          <w:p w14:paraId="4E83367C" w14:textId="77777777" w:rsidR="00782875" w:rsidRPr="00B0658A" w:rsidRDefault="00782875" w:rsidP="000A4114">
            <w:pPr>
              <w:spacing w:after="0" w:line="240" w:lineRule="auto"/>
              <w:jc w:val="both"/>
              <w:rPr>
                <w:rFonts w:ascii="Times New Roman"/>
                <w:color w:val="auto"/>
                <w:sz w:val="20"/>
                <w:szCs w:val="20"/>
              </w:rPr>
            </w:pPr>
          </w:p>
        </w:tc>
        <w:tc>
          <w:tcPr>
            <w:tcW w:w="886" w:type="pct"/>
          </w:tcPr>
          <w:p w14:paraId="1ACE0B64" w14:textId="77777777" w:rsidR="00782875" w:rsidRPr="00B0658A" w:rsidRDefault="00782875" w:rsidP="000A4114">
            <w:pPr>
              <w:spacing w:after="0" w:line="240" w:lineRule="auto"/>
              <w:jc w:val="both"/>
              <w:rPr>
                <w:rFonts w:ascii="Times New Roman"/>
                <w:color w:val="auto"/>
                <w:sz w:val="20"/>
                <w:szCs w:val="20"/>
              </w:rPr>
            </w:pPr>
          </w:p>
        </w:tc>
        <w:tc>
          <w:tcPr>
            <w:tcW w:w="895" w:type="pct"/>
          </w:tcPr>
          <w:p w14:paraId="6D97B4B9" w14:textId="77777777" w:rsidR="00782875" w:rsidRPr="00B0658A" w:rsidRDefault="00782875" w:rsidP="000A4114">
            <w:pPr>
              <w:spacing w:after="0" w:line="240" w:lineRule="auto"/>
              <w:jc w:val="both"/>
              <w:rPr>
                <w:rFonts w:ascii="Times New Roman"/>
                <w:color w:val="auto"/>
                <w:sz w:val="20"/>
                <w:szCs w:val="20"/>
              </w:rPr>
            </w:pPr>
          </w:p>
        </w:tc>
        <w:tc>
          <w:tcPr>
            <w:tcW w:w="873" w:type="pct"/>
          </w:tcPr>
          <w:p w14:paraId="6FFCFC4A" w14:textId="77777777" w:rsidR="00782875" w:rsidRPr="00B0658A" w:rsidRDefault="00782875" w:rsidP="000A4114">
            <w:pPr>
              <w:spacing w:after="0" w:line="240" w:lineRule="auto"/>
              <w:jc w:val="both"/>
              <w:rPr>
                <w:rFonts w:ascii="Times New Roman"/>
                <w:color w:val="auto"/>
                <w:sz w:val="20"/>
                <w:szCs w:val="20"/>
              </w:rPr>
            </w:pPr>
          </w:p>
        </w:tc>
        <w:tc>
          <w:tcPr>
            <w:tcW w:w="1139" w:type="pct"/>
          </w:tcPr>
          <w:p w14:paraId="5767900D" w14:textId="77777777" w:rsidR="00782875" w:rsidRPr="00B0658A" w:rsidRDefault="00782875" w:rsidP="000A4114">
            <w:pPr>
              <w:spacing w:after="0" w:line="240" w:lineRule="auto"/>
              <w:jc w:val="both"/>
              <w:rPr>
                <w:rFonts w:ascii="Times New Roman"/>
                <w:color w:val="auto"/>
                <w:sz w:val="20"/>
                <w:szCs w:val="20"/>
              </w:rPr>
            </w:pPr>
          </w:p>
        </w:tc>
      </w:tr>
      <w:tr w:rsidR="00F52FED" w:rsidRPr="00B0658A" w14:paraId="535C9189" w14:textId="77777777" w:rsidTr="00B10FDE">
        <w:tc>
          <w:tcPr>
            <w:tcW w:w="184" w:type="pct"/>
          </w:tcPr>
          <w:p w14:paraId="2B2AA6CB" w14:textId="77777777" w:rsidR="00782875" w:rsidRPr="00B0658A" w:rsidRDefault="00782875" w:rsidP="000A4114">
            <w:pPr>
              <w:spacing w:after="0" w:line="240" w:lineRule="auto"/>
              <w:jc w:val="both"/>
              <w:rPr>
                <w:rFonts w:ascii="Times New Roman"/>
                <w:color w:val="auto"/>
                <w:sz w:val="20"/>
                <w:szCs w:val="20"/>
              </w:rPr>
            </w:pPr>
            <w:r w:rsidRPr="00B0658A">
              <w:rPr>
                <w:rFonts w:ascii="Times New Roman"/>
                <w:color w:val="auto"/>
                <w:sz w:val="20"/>
                <w:szCs w:val="20"/>
                <w:lang w:val="en-US"/>
              </w:rPr>
              <w:t>1.n</w:t>
            </w:r>
          </w:p>
        </w:tc>
        <w:tc>
          <w:tcPr>
            <w:tcW w:w="1023" w:type="pct"/>
          </w:tcPr>
          <w:p w14:paraId="1E4D716C" w14:textId="77777777" w:rsidR="00782875" w:rsidRPr="00B0658A" w:rsidRDefault="00782875" w:rsidP="000A4114">
            <w:pPr>
              <w:spacing w:after="0" w:line="240" w:lineRule="auto"/>
              <w:jc w:val="both"/>
              <w:rPr>
                <w:rFonts w:ascii="Times New Roman"/>
                <w:color w:val="auto"/>
                <w:sz w:val="20"/>
                <w:szCs w:val="20"/>
              </w:rPr>
            </w:pPr>
          </w:p>
        </w:tc>
        <w:tc>
          <w:tcPr>
            <w:tcW w:w="886" w:type="pct"/>
          </w:tcPr>
          <w:p w14:paraId="1C04EE24" w14:textId="77777777" w:rsidR="00782875" w:rsidRPr="00B0658A" w:rsidRDefault="00782875" w:rsidP="000A4114">
            <w:pPr>
              <w:spacing w:after="0" w:line="240" w:lineRule="auto"/>
              <w:jc w:val="both"/>
              <w:rPr>
                <w:rFonts w:ascii="Times New Roman"/>
                <w:color w:val="auto"/>
                <w:sz w:val="20"/>
                <w:szCs w:val="20"/>
              </w:rPr>
            </w:pPr>
          </w:p>
        </w:tc>
        <w:tc>
          <w:tcPr>
            <w:tcW w:w="895" w:type="pct"/>
          </w:tcPr>
          <w:p w14:paraId="04308D82" w14:textId="77777777" w:rsidR="00782875" w:rsidRPr="00B0658A" w:rsidRDefault="00782875" w:rsidP="000A4114">
            <w:pPr>
              <w:spacing w:after="0" w:line="240" w:lineRule="auto"/>
              <w:jc w:val="both"/>
              <w:rPr>
                <w:rFonts w:ascii="Times New Roman"/>
                <w:color w:val="auto"/>
                <w:sz w:val="20"/>
                <w:szCs w:val="20"/>
              </w:rPr>
            </w:pPr>
          </w:p>
        </w:tc>
        <w:tc>
          <w:tcPr>
            <w:tcW w:w="873" w:type="pct"/>
          </w:tcPr>
          <w:p w14:paraId="55B17111" w14:textId="77777777" w:rsidR="00782875" w:rsidRPr="00B0658A" w:rsidRDefault="00782875" w:rsidP="000A4114">
            <w:pPr>
              <w:spacing w:after="0" w:line="240" w:lineRule="auto"/>
              <w:jc w:val="both"/>
              <w:rPr>
                <w:rFonts w:ascii="Times New Roman"/>
                <w:color w:val="auto"/>
                <w:sz w:val="20"/>
                <w:szCs w:val="20"/>
              </w:rPr>
            </w:pPr>
          </w:p>
        </w:tc>
        <w:tc>
          <w:tcPr>
            <w:tcW w:w="1139" w:type="pct"/>
          </w:tcPr>
          <w:p w14:paraId="134B85E6" w14:textId="77777777" w:rsidR="00782875" w:rsidRPr="00B0658A" w:rsidRDefault="00782875" w:rsidP="000A4114">
            <w:pPr>
              <w:spacing w:after="0" w:line="240" w:lineRule="auto"/>
              <w:jc w:val="both"/>
              <w:rPr>
                <w:rFonts w:ascii="Times New Roman"/>
                <w:color w:val="auto"/>
                <w:sz w:val="20"/>
                <w:szCs w:val="20"/>
              </w:rPr>
            </w:pPr>
          </w:p>
        </w:tc>
      </w:tr>
      <w:tr w:rsidR="00F52FED" w:rsidRPr="00B0658A" w14:paraId="63EC8DC6" w14:textId="77777777" w:rsidTr="00B10FDE">
        <w:tc>
          <w:tcPr>
            <w:tcW w:w="5000" w:type="pct"/>
            <w:gridSpan w:val="6"/>
          </w:tcPr>
          <w:p w14:paraId="21480B77" w14:textId="77777777" w:rsidR="00782875" w:rsidRPr="00B0658A" w:rsidRDefault="00782875" w:rsidP="000A4114">
            <w:pPr>
              <w:spacing w:after="0" w:line="240" w:lineRule="auto"/>
              <w:rPr>
                <w:rFonts w:ascii="Times New Roman"/>
                <w:color w:val="auto"/>
                <w:sz w:val="20"/>
                <w:szCs w:val="20"/>
              </w:rPr>
            </w:pPr>
            <w:r w:rsidRPr="00B0658A">
              <w:rPr>
                <w:rFonts w:ascii="Times New Roman"/>
                <w:b/>
                <w:color w:val="auto"/>
                <w:sz w:val="20"/>
                <w:szCs w:val="20"/>
              </w:rPr>
              <w:t>2. Мероприятия в отношении ________ (наименование значимого объекта КИИ №2)</w:t>
            </w:r>
          </w:p>
        </w:tc>
      </w:tr>
      <w:tr w:rsidR="00F52FED" w:rsidRPr="00B0658A" w14:paraId="21ADE107" w14:textId="77777777" w:rsidTr="00B10FDE">
        <w:tc>
          <w:tcPr>
            <w:tcW w:w="184" w:type="pct"/>
          </w:tcPr>
          <w:p w14:paraId="0507D1F4" w14:textId="77777777" w:rsidR="00782875" w:rsidRPr="00B0658A" w:rsidRDefault="00782875" w:rsidP="000A4114">
            <w:pPr>
              <w:spacing w:after="0" w:line="240" w:lineRule="auto"/>
              <w:jc w:val="both"/>
              <w:rPr>
                <w:rFonts w:ascii="Times New Roman"/>
                <w:color w:val="auto"/>
                <w:sz w:val="20"/>
                <w:szCs w:val="20"/>
                <w:lang w:val="en-US"/>
              </w:rPr>
            </w:pPr>
            <w:r w:rsidRPr="00B0658A">
              <w:rPr>
                <w:rFonts w:ascii="Times New Roman"/>
                <w:color w:val="auto"/>
                <w:sz w:val="20"/>
                <w:szCs w:val="20"/>
                <w:lang w:val="en-US"/>
              </w:rPr>
              <w:t>2.1</w:t>
            </w:r>
          </w:p>
        </w:tc>
        <w:tc>
          <w:tcPr>
            <w:tcW w:w="1023" w:type="pct"/>
          </w:tcPr>
          <w:p w14:paraId="180E3C22" w14:textId="77777777" w:rsidR="00782875" w:rsidRPr="00B0658A" w:rsidRDefault="00782875" w:rsidP="000A4114">
            <w:pPr>
              <w:spacing w:after="0" w:line="240" w:lineRule="auto"/>
              <w:jc w:val="both"/>
              <w:rPr>
                <w:rFonts w:ascii="Times New Roman"/>
                <w:color w:val="auto"/>
                <w:sz w:val="20"/>
                <w:szCs w:val="20"/>
              </w:rPr>
            </w:pPr>
          </w:p>
        </w:tc>
        <w:tc>
          <w:tcPr>
            <w:tcW w:w="886" w:type="pct"/>
          </w:tcPr>
          <w:p w14:paraId="7525AA8E" w14:textId="77777777" w:rsidR="00782875" w:rsidRPr="00B0658A" w:rsidRDefault="00782875" w:rsidP="000A4114">
            <w:pPr>
              <w:spacing w:after="0" w:line="240" w:lineRule="auto"/>
              <w:jc w:val="both"/>
              <w:rPr>
                <w:rFonts w:ascii="Times New Roman"/>
                <w:color w:val="auto"/>
                <w:sz w:val="20"/>
                <w:szCs w:val="20"/>
              </w:rPr>
            </w:pPr>
          </w:p>
        </w:tc>
        <w:tc>
          <w:tcPr>
            <w:tcW w:w="895" w:type="pct"/>
          </w:tcPr>
          <w:p w14:paraId="410D115B" w14:textId="77777777" w:rsidR="00782875" w:rsidRPr="00B0658A" w:rsidRDefault="00782875" w:rsidP="000A4114">
            <w:pPr>
              <w:spacing w:after="0" w:line="240" w:lineRule="auto"/>
              <w:jc w:val="both"/>
              <w:rPr>
                <w:rFonts w:ascii="Times New Roman"/>
                <w:color w:val="auto"/>
                <w:sz w:val="20"/>
                <w:szCs w:val="20"/>
              </w:rPr>
            </w:pPr>
          </w:p>
        </w:tc>
        <w:tc>
          <w:tcPr>
            <w:tcW w:w="873" w:type="pct"/>
          </w:tcPr>
          <w:p w14:paraId="2D5FAEFF" w14:textId="77777777" w:rsidR="00782875" w:rsidRPr="00B0658A" w:rsidRDefault="00782875" w:rsidP="000A4114">
            <w:pPr>
              <w:spacing w:after="0" w:line="240" w:lineRule="auto"/>
              <w:jc w:val="both"/>
              <w:rPr>
                <w:rFonts w:ascii="Times New Roman"/>
                <w:color w:val="auto"/>
                <w:sz w:val="20"/>
                <w:szCs w:val="20"/>
              </w:rPr>
            </w:pPr>
          </w:p>
        </w:tc>
        <w:tc>
          <w:tcPr>
            <w:tcW w:w="1139" w:type="pct"/>
          </w:tcPr>
          <w:p w14:paraId="4AC9256F" w14:textId="77777777" w:rsidR="00782875" w:rsidRPr="00B0658A" w:rsidRDefault="00782875" w:rsidP="000A4114">
            <w:pPr>
              <w:spacing w:after="0" w:line="240" w:lineRule="auto"/>
              <w:jc w:val="both"/>
              <w:rPr>
                <w:rFonts w:ascii="Times New Roman"/>
                <w:color w:val="auto"/>
                <w:sz w:val="20"/>
                <w:szCs w:val="20"/>
              </w:rPr>
            </w:pPr>
          </w:p>
        </w:tc>
      </w:tr>
      <w:tr w:rsidR="00F52FED" w:rsidRPr="00B0658A" w14:paraId="18792A50" w14:textId="77777777" w:rsidTr="00B10FDE">
        <w:tc>
          <w:tcPr>
            <w:tcW w:w="184" w:type="pct"/>
          </w:tcPr>
          <w:p w14:paraId="269E8AE2" w14:textId="77777777" w:rsidR="00782875" w:rsidRPr="00B0658A" w:rsidRDefault="00782875" w:rsidP="000A4114">
            <w:pPr>
              <w:spacing w:after="0" w:line="240" w:lineRule="auto"/>
              <w:jc w:val="both"/>
              <w:rPr>
                <w:rFonts w:ascii="Times New Roman"/>
                <w:color w:val="auto"/>
                <w:sz w:val="20"/>
                <w:szCs w:val="20"/>
                <w:lang w:val="en-US"/>
              </w:rPr>
            </w:pPr>
            <w:r w:rsidRPr="00B0658A">
              <w:rPr>
                <w:rFonts w:ascii="Times New Roman"/>
                <w:color w:val="auto"/>
                <w:sz w:val="20"/>
                <w:szCs w:val="20"/>
                <w:lang w:val="en-US"/>
              </w:rPr>
              <w:t>2.2</w:t>
            </w:r>
          </w:p>
        </w:tc>
        <w:tc>
          <w:tcPr>
            <w:tcW w:w="1023" w:type="pct"/>
          </w:tcPr>
          <w:p w14:paraId="2B42C291" w14:textId="77777777" w:rsidR="00782875" w:rsidRPr="00B0658A" w:rsidRDefault="00782875" w:rsidP="000A4114">
            <w:pPr>
              <w:spacing w:after="0" w:line="240" w:lineRule="auto"/>
              <w:jc w:val="both"/>
              <w:rPr>
                <w:rFonts w:ascii="Times New Roman"/>
                <w:color w:val="auto"/>
                <w:sz w:val="20"/>
                <w:szCs w:val="20"/>
              </w:rPr>
            </w:pPr>
          </w:p>
        </w:tc>
        <w:tc>
          <w:tcPr>
            <w:tcW w:w="886" w:type="pct"/>
          </w:tcPr>
          <w:p w14:paraId="3B2EEC93" w14:textId="77777777" w:rsidR="00782875" w:rsidRPr="00B0658A" w:rsidRDefault="00782875" w:rsidP="000A4114">
            <w:pPr>
              <w:spacing w:after="0" w:line="240" w:lineRule="auto"/>
              <w:jc w:val="both"/>
              <w:rPr>
                <w:rFonts w:ascii="Times New Roman"/>
                <w:color w:val="auto"/>
                <w:sz w:val="20"/>
                <w:szCs w:val="20"/>
              </w:rPr>
            </w:pPr>
          </w:p>
        </w:tc>
        <w:tc>
          <w:tcPr>
            <w:tcW w:w="895" w:type="pct"/>
          </w:tcPr>
          <w:p w14:paraId="12368A36" w14:textId="77777777" w:rsidR="00782875" w:rsidRPr="00B0658A" w:rsidRDefault="00782875" w:rsidP="000A4114">
            <w:pPr>
              <w:spacing w:after="0" w:line="240" w:lineRule="auto"/>
              <w:jc w:val="both"/>
              <w:rPr>
                <w:rFonts w:ascii="Times New Roman"/>
                <w:color w:val="auto"/>
                <w:sz w:val="20"/>
                <w:szCs w:val="20"/>
              </w:rPr>
            </w:pPr>
          </w:p>
        </w:tc>
        <w:tc>
          <w:tcPr>
            <w:tcW w:w="873" w:type="pct"/>
          </w:tcPr>
          <w:p w14:paraId="5161060B" w14:textId="77777777" w:rsidR="00782875" w:rsidRPr="00B0658A" w:rsidRDefault="00782875" w:rsidP="000A4114">
            <w:pPr>
              <w:spacing w:after="0" w:line="240" w:lineRule="auto"/>
              <w:jc w:val="both"/>
              <w:rPr>
                <w:rFonts w:ascii="Times New Roman"/>
                <w:color w:val="auto"/>
                <w:sz w:val="20"/>
                <w:szCs w:val="20"/>
              </w:rPr>
            </w:pPr>
          </w:p>
        </w:tc>
        <w:tc>
          <w:tcPr>
            <w:tcW w:w="1139" w:type="pct"/>
          </w:tcPr>
          <w:p w14:paraId="1231B854" w14:textId="77777777" w:rsidR="00782875" w:rsidRPr="00B0658A" w:rsidRDefault="00782875" w:rsidP="000A4114">
            <w:pPr>
              <w:spacing w:after="0" w:line="240" w:lineRule="auto"/>
              <w:jc w:val="both"/>
              <w:rPr>
                <w:rFonts w:ascii="Times New Roman"/>
                <w:color w:val="auto"/>
                <w:sz w:val="20"/>
                <w:szCs w:val="20"/>
              </w:rPr>
            </w:pPr>
          </w:p>
        </w:tc>
      </w:tr>
      <w:tr w:rsidR="00F52FED" w:rsidRPr="00B0658A" w14:paraId="762953B4" w14:textId="77777777" w:rsidTr="00B10FDE">
        <w:tc>
          <w:tcPr>
            <w:tcW w:w="184" w:type="pct"/>
          </w:tcPr>
          <w:p w14:paraId="7B58F096" w14:textId="77777777" w:rsidR="00782875" w:rsidRPr="00B0658A" w:rsidRDefault="00782875" w:rsidP="000A4114">
            <w:pPr>
              <w:spacing w:after="0" w:line="240" w:lineRule="auto"/>
              <w:jc w:val="both"/>
              <w:rPr>
                <w:rFonts w:ascii="Times New Roman"/>
                <w:color w:val="auto"/>
                <w:sz w:val="20"/>
                <w:szCs w:val="20"/>
                <w:lang w:val="en-US"/>
              </w:rPr>
            </w:pPr>
            <w:r w:rsidRPr="00B0658A">
              <w:rPr>
                <w:rFonts w:ascii="Times New Roman"/>
                <w:color w:val="auto"/>
                <w:sz w:val="20"/>
                <w:szCs w:val="20"/>
                <w:lang w:val="en-US"/>
              </w:rPr>
              <w:t>…</w:t>
            </w:r>
          </w:p>
        </w:tc>
        <w:tc>
          <w:tcPr>
            <w:tcW w:w="1023" w:type="pct"/>
          </w:tcPr>
          <w:p w14:paraId="1E12AD2B" w14:textId="77777777" w:rsidR="00782875" w:rsidRPr="00B0658A" w:rsidRDefault="00782875" w:rsidP="000A4114">
            <w:pPr>
              <w:spacing w:after="0" w:line="240" w:lineRule="auto"/>
              <w:jc w:val="both"/>
              <w:rPr>
                <w:rFonts w:ascii="Times New Roman"/>
                <w:color w:val="auto"/>
                <w:sz w:val="20"/>
                <w:szCs w:val="20"/>
              </w:rPr>
            </w:pPr>
          </w:p>
        </w:tc>
        <w:tc>
          <w:tcPr>
            <w:tcW w:w="886" w:type="pct"/>
          </w:tcPr>
          <w:p w14:paraId="4D8A1C11" w14:textId="77777777" w:rsidR="00782875" w:rsidRPr="00B0658A" w:rsidRDefault="00782875" w:rsidP="000A4114">
            <w:pPr>
              <w:spacing w:after="0" w:line="240" w:lineRule="auto"/>
              <w:jc w:val="both"/>
              <w:rPr>
                <w:rFonts w:ascii="Times New Roman"/>
                <w:color w:val="auto"/>
                <w:sz w:val="20"/>
                <w:szCs w:val="20"/>
              </w:rPr>
            </w:pPr>
          </w:p>
        </w:tc>
        <w:tc>
          <w:tcPr>
            <w:tcW w:w="895" w:type="pct"/>
          </w:tcPr>
          <w:p w14:paraId="4663A306" w14:textId="77777777" w:rsidR="00782875" w:rsidRPr="00B0658A" w:rsidRDefault="00782875" w:rsidP="000A4114">
            <w:pPr>
              <w:spacing w:after="0" w:line="240" w:lineRule="auto"/>
              <w:jc w:val="both"/>
              <w:rPr>
                <w:rFonts w:ascii="Times New Roman"/>
                <w:color w:val="auto"/>
                <w:sz w:val="20"/>
                <w:szCs w:val="20"/>
              </w:rPr>
            </w:pPr>
          </w:p>
        </w:tc>
        <w:tc>
          <w:tcPr>
            <w:tcW w:w="873" w:type="pct"/>
          </w:tcPr>
          <w:p w14:paraId="7771F7C4" w14:textId="77777777" w:rsidR="00782875" w:rsidRPr="00B0658A" w:rsidRDefault="00782875" w:rsidP="000A4114">
            <w:pPr>
              <w:spacing w:after="0" w:line="240" w:lineRule="auto"/>
              <w:jc w:val="both"/>
              <w:rPr>
                <w:rFonts w:ascii="Times New Roman"/>
                <w:color w:val="auto"/>
                <w:sz w:val="20"/>
                <w:szCs w:val="20"/>
              </w:rPr>
            </w:pPr>
          </w:p>
        </w:tc>
        <w:tc>
          <w:tcPr>
            <w:tcW w:w="1139" w:type="pct"/>
          </w:tcPr>
          <w:p w14:paraId="6A3B0B31" w14:textId="77777777" w:rsidR="00782875" w:rsidRPr="00B0658A" w:rsidRDefault="00782875" w:rsidP="000A4114">
            <w:pPr>
              <w:spacing w:after="0" w:line="240" w:lineRule="auto"/>
              <w:jc w:val="both"/>
              <w:rPr>
                <w:rFonts w:ascii="Times New Roman"/>
                <w:color w:val="auto"/>
                <w:sz w:val="20"/>
                <w:szCs w:val="20"/>
              </w:rPr>
            </w:pPr>
          </w:p>
        </w:tc>
      </w:tr>
      <w:tr w:rsidR="00F52FED" w:rsidRPr="00B0658A" w14:paraId="20C86CB0" w14:textId="77777777" w:rsidTr="00B10FDE">
        <w:tc>
          <w:tcPr>
            <w:tcW w:w="184" w:type="pct"/>
          </w:tcPr>
          <w:p w14:paraId="2A7D18BA" w14:textId="77777777" w:rsidR="00782875" w:rsidRPr="00B0658A" w:rsidRDefault="00782875" w:rsidP="000A4114">
            <w:pPr>
              <w:spacing w:after="0" w:line="240" w:lineRule="auto"/>
              <w:jc w:val="both"/>
              <w:rPr>
                <w:rFonts w:ascii="Times New Roman"/>
                <w:color w:val="auto"/>
                <w:sz w:val="20"/>
                <w:szCs w:val="20"/>
                <w:lang w:val="en-US"/>
              </w:rPr>
            </w:pPr>
            <w:r w:rsidRPr="00B0658A">
              <w:rPr>
                <w:rFonts w:ascii="Times New Roman"/>
                <w:color w:val="auto"/>
                <w:sz w:val="20"/>
                <w:szCs w:val="20"/>
                <w:lang w:val="en-US"/>
              </w:rPr>
              <w:t>2.n</w:t>
            </w:r>
          </w:p>
        </w:tc>
        <w:tc>
          <w:tcPr>
            <w:tcW w:w="1023" w:type="pct"/>
          </w:tcPr>
          <w:p w14:paraId="1C2A669F" w14:textId="77777777" w:rsidR="00782875" w:rsidRPr="00B0658A" w:rsidRDefault="00782875" w:rsidP="000A4114">
            <w:pPr>
              <w:spacing w:after="0" w:line="240" w:lineRule="auto"/>
              <w:jc w:val="both"/>
              <w:rPr>
                <w:rFonts w:ascii="Times New Roman"/>
                <w:color w:val="auto"/>
                <w:sz w:val="20"/>
                <w:szCs w:val="20"/>
              </w:rPr>
            </w:pPr>
          </w:p>
        </w:tc>
        <w:tc>
          <w:tcPr>
            <w:tcW w:w="886" w:type="pct"/>
          </w:tcPr>
          <w:p w14:paraId="21AFAD71" w14:textId="77777777" w:rsidR="00782875" w:rsidRPr="00B0658A" w:rsidRDefault="00782875" w:rsidP="000A4114">
            <w:pPr>
              <w:spacing w:after="0" w:line="240" w:lineRule="auto"/>
              <w:jc w:val="both"/>
              <w:rPr>
                <w:rFonts w:ascii="Times New Roman"/>
                <w:color w:val="auto"/>
                <w:sz w:val="20"/>
                <w:szCs w:val="20"/>
              </w:rPr>
            </w:pPr>
          </w:p>
        </w:tc>
        <w:tc>
          <w:tcPr>
            <w:tcW w:w="895" w:type="pct"/>
          </w:tcPr>
          <w:p w14:paraId="6B9D8D0F" w14:textId="77777777" w:rsidR="00782875" w:rsidRPr="00B0658A" w:rsidRDefault="00782875" w:rsidP="000A4114">
            <w:pPr>
              <w:spacing w:after="0" w:line="240" w:lineRule="auto"/>
              <w:jc w:val="both"/>
              <w:rPr>
                <w:rFonts w:ascii="Times New Roman"/>
                <w:color w:val="auto"/>
                <w:sz w:val="20"/>
                <w:szCs w:val="20"/>
              </w:rPr>
            </w:pPr>
          </w:p>
        </w:tc>
        <w:tc>
          <w:tcPr>
            <w:tcW w:w="873" w:type="pct"/>
          </w:tcPr>
          <w:p w14:paraId="16395D75" w14:textId="77777777" w:rsidR="00782875" w:rsidRPr="00B0658A" w:rsidRDefault="00782875" w:rsidP="000A4114">
            <w:pPr>
              <w:spacing w:after="0" w:line="240" w:lineRule="auto"/>
              <w:jc w:val="both"/>
              <w:rPr>
                <w:rFonts w:ascii="Times New Roman"/>
                <w:color w:val="auto"/>
                <w:sz w:val="20"/>
                <w:szCs w:val="20"/>
              </w:rPr>
            </w:pPr>
          </w:p>
        </w:tc>
        <w:tc>
          <w:tcPr>
            <w:tcW w:w="1139" w:type="pct"/>
          </w:tcPr>
          <w:p w14:paraId="31C2FF49" w14:textId="77777777" w:rsidR="00782875" w:rsidRPr="00B0658A" w:rsidRDefault="00782875" w:rsidP="000A4114">
            <w:pPr>
              <w:spacing w:after="0" w:line="240" w:lineRule="auto"/>
              <w:jc w:val="both"/>
              <w:rPr>
                <w:rFonts w:ascii="Times New Roman"/>
                <w:color w:val="auto"/>
                <w:sz w:val="20"/>
                <w:szCs w:val="20"/>
              </w:rPr>
            </w:pPr>
          </w:p>
        </w:tc>
      </w:tr>
      <w:tr w:rsidR="00F52FED" w:rsidRPr="00B0658A" w14:paraId="2A9375A5" w14:textId="77777777" w:rsidTr="00B10FDE">
        <w:tc>
          <w:tcPr>
            <w:tcW w:w="184" w:type="pct"/>
          </w:tcPr>
          <w:p w14:paraId="43FE5542" w14:textId="77777777" w:rsidR="00782875" w:rsidRPr="00B0658A" w:rsidRDefault="00782875" w:rsidP="000A4114">
            <w:pPr>
              <w:spacing w:after="0" w:line="240" w:lineRule="auto"/>
              <w:jc w:val="both"/>
              <w:rPr>
                <w:rFonts w:ascii="Times New Roman"/>
                <w:color w:val="auto"/>
                <w:sz w:val="20"/>
                <w:szCs w:val="20"/>
                <w:lang w:val="en-US"/>
              </w:rPr>
            </w:pPr>
          </w:p>
        </w:tc>
        <w:tc>
          <w:tcPr>
            <w:tcW w:w="1023" w:type="pct"/>
          </w:tcPr>
          <w:p w14:paraId="0F199D18" w14:textId="77777777" w:rsidR="00782875" w:rsidRPr="00B0658A" w:rsidRDefault="00782875" w:rsidP="000A4114">
            <w:pPr>
              <w:spacing w:after="0" w:line="240" w:lineRule="auto"/>
              <w:jc w:val="both"/>
              <w:rPr>
                <w:rFonts w:ascii="Times New Roman"/>
                <w:color w:val="auto"/>
                <w:sz w:val="20"/>
                <w:szCs w:val="20"/>
              </w:rPr>
            </w:pPr>
          </w:p>
        </w:tc>
        <w:tc>
          <w:tcPr>
            <w:tcW w:w="886" w:type="pct"/>
          </w:tcPr>
          <w:p w14:paraId="64AC6C92" w14:textId="77777777" w:rsidR="00782875" w:rsidRPr="00B0658A" w:rsidRDefault="00782875" w:rsidP="000A4114">
            <w:pPr>
              <w:spacing w:after="0" w:line="240" w:lineRule="auto"/>
              <w:jc w:val="both"/>
              <w:rPr>
                <w:rFonts w:ascii="Times New Roman"/>
                <w:color w:val="auto"/>
                <w:sz w:val="20"/>
                <w:szCs w:val="20"/>
              </w:rPr>
            </w:pPr>
          </w:p>
        </w:tc>
        <w:tc>
          <w:tcPr>
            <w:tcW w:w="895" w:type="pct"/>
          </w:tcPr>
          <w:p w14:paraId="45CE087C" w14:textId="77777777" w:rsidR="00782875" w:rsidRPr="00B0658A" w:rsidRDefault="00782875" w:rsidP="000A4114">
            <w:pPr>
              <w:spacing w:after="0" w:line="240" w:lineRule="auto"/>
              <w:jc w:val="both"/>
              <w:rPr>
                <w:rFonts w:ascii="Times New Roman"/>
                <w:color w:val="auto"/>
                <w:sz w:val="20"/>
                <w:szCs w:val="20"/>
              </w:rPr>
            </w:pPr>
          </w:p>
        </w:tc>
        <w:tc>
          <w:tcPr>
            <w:tcW w:w="873" w:type="pct"/>
          </w:tcPr>
          <w:p w14:paraId="0C286906" w14:textId="77777777" w:rsidR="00782875" w:rsidRPr="00B0658A" w:rsidRDefault="00782875" w:rsidP="000A4114">
            <w:pPr>
              <w:spacing w:after="0" w:line="240" w:lineRule="auto"/>
              <w:jc w:val="both"/>
              <w:rPr>
                <w:rFonts w:ascii="Times New Roman"/>
                <w:color w:val="auto"/>
                <w:sz w:val="20"/>
                <w:szCs w:val="20"/>
              </w:rPr>
            </w:pPr>
          </w:p>
        </w:tc>
        <w:tc>
          <w:tcPr>
            <w:tcW w:w="1139" w:type="pct"/>
          </w:tcPr>
          <w:p w14:paraId="0551B4D8" w14:textId="77777777" w:rsidR="00782875" w:rsidRPr="00B0658A" w:rsidRDefault="00782875" w:rsidP="000A4114">
            <w:pPr>
              <w:spacing w:after="0" w:line="240" w:lineRule="auto"/>
              <w:jc w:val="both"/>
              <w:rPr>
                <w:rFonts w:ascii="Times New Roman"/>
                <w:color w:val="auto"/>
                <w:sz w:val="20"/>
                <w:szCs w:val="20"/>
              </w:rPr>
            </w:pPr>
          </w:p>
        </w:tc>
      </w:tr>
      <w:tr w:rsidR="00F52FED" w:rsidRPr="00B0658A" w14:paraId="22242A52" w14:textId="77777777" w:rsidTr="00B10FDE">
        <w:tc>
          <w:tcPr>
            <w:tcW w:w="5000" w:type="pct"/>
            <w:gridSpan w:val="6"/>
          </w:tcPr>
          <w:p w14:paraId="7615171A" w14:textId="77777777" w:rsidR="00782875" w:rsidRPr="00B0658A" w:rsidRDefault="00782875" w:rsidP="000A4114">
            <w:pPr>
              <w:spacing w:after="0" w:line="240" w:lineRule="auto"/>
              <w:rPr>
                <w:rFonts w:ascii="Times New Roman"/>
                <w:color w:val="auto"/>
                <w:sz w:val="20"/>
                <w:szCs w:val="20"/>
              </w:rPr>
            </w:pPr>
            <w:r w:rsidRPr="00B0658A">
              <w:rPr>
                <w:rFonts w:ascii="Times New Roman"/>
                <w:b/>
                <w:color w:val="auto"/>
                <w:sz w:val="20"/>
                <w:szCs w:val="20"/>
              </w:rPr>
              <w:t>N. Мероприятия в отношении ________ (наименование значимого объекта КИИ №N)</w:t>
            </w:r>
          </w:p>
        </w:tc>
      </w:tr>
      <w:tr w:rsidR="00F52FED" w:rsidRPr="00B0658A" w14:paraId="373EFE06" w14:textId="77777777" w:rsidTr="00B10FDE">
        <w:tc>
          <w:tcPr>
            <w:tcW w:w="184" w:type="pct"/>
          </w:tcPr>
          <w:p w14:paraId="60785897" w14:textId="77777777" w:rsidR="00782875" w:rsidRPr="00B0658A" w:rsidRDefault="00782875" w:rsidP="000A4114">
            <w:pPr>
              <w:spacing w:after="0" w:line="240" w:lineRule="auto"/>
              <w:jc w:val="both"/>
              <w:rPr>
                <w:rFonts w:ascii="Times New Roman"/>
                <w:color w:val="auto"/>
                <w:sz w:val="20"/>
                <w:szCs w:val="20"/>
                <w:lang w:val="en-US"/>
              </w:rPr>
            </w:pPr>
            <w:r w:rsidRPr="00B0658A">
              <w:rPr>
                <w:rFonts w:ascii="Times New Roman"/>
                <w:color w:val="auto"/>
                <w:sz w:val="20"/>
                <w:szCs w:val="20"/>
                <w:lang w:val="en-US"/>
              </w:rPr>
              <w:t>N.1</w:t>
            </w:r>
          </w:p>
        </w:tc>
        <w:tc>
          <w:tcPr>
            <w:tcW w:w="1023" w:type="pct"/>
          </w:tcPr>
          <w:p w14:paraId="03EB79AB" w14:textId="77777777" w:rsidR="00782875" w:rsidRPr="00B0658A" w:rsidRDefault="00782875" w:rsidP="000A4114">
            <w:pPr>
              <w:spacing w:after="0" w:line="240" w:lineRule="auto"/>
              <w:jc w:val="both"/>
              <w:rPr>
                <w:rFonts w:ascii="Times New Roman"/>
                <w:color w:val="auto"/>
                <w:sz w:val="20"/>
                <w:szCs w:val="20"/>
              </w:rPr>
            </w:pPr>
          </w:p>
        </w:tc>
        <w:tc>
          <w:tcPr>
            <w:tcW w:w="886" w:type="pct"/>
          </w:tcPr>
          <w:p w14:paraId="7BA73C4E" w14:textId="77777777" w:rsidR="00782875" w:rsidRPr="00B0658A" w:rsidRDefault="00782875" w:rsidP="000A4114">
            <w:pPr>
              <w:spacing w:after="0" w:line="240" w:lineRule="auto"/>
              <w:jc w:val="both"/>
              <w:rPr>
                <w:rFonts w:ascii="Times New Roman"/>
                <w:color w:val="auto"/>
                <w:sz w:val="20"/>
                <w:szCs w:val="20"/>
              </w:rPr>
            </w:pPr>
          </w:p>
        </w:tc>
        <w:tc>
          <w:tcPr>
            <w:tcW w:w="895" w:type="pct"/>
          </w:tcPr>
          <w:p w14:paraId="59C17C76" w14:textId="77777777" w:rsidR="00782875" w:rsidRPr="00B0658A" w:rsidRDefault="00782875" w:rsidP="000A4114">
            <w:pPr>
              <w:spacing w:after="0" w:line="240" w:lineRule="auto"/>
              <w:jc w:val="both"/>
              <w:rPr>
                <w:rFonts w:ascii="Times New Roman"/>
                <w:color w:val="auto"/>
                <w:sz w:val="20"/>
                <w:szCs w:val="20"/>
              </w:rPr>
            </w:pPr>
          </w:p>
        </w:tc>
        <w:tc>
          <w:tcPr>
            <w:tcW w:w="873" w:type="pct"/>
          </w:tcPr>
          <w:p w14:paraId="6ED0AC15" w14:textId="77777777" w:rsidR="00782875" w:rsidRPr="00B0658A" w:rsidRDefault="00782875" w:rsidP="000A4114">
            <w:pPr>
              <w:spacing w:after="0" w:line="240" w:lineRule="auto"/>
              <w:jc w:val="both"/>
              <w:rPr>
                <w:rFonts w:ascii="Times New Roman"/>
                <w:color w:val="auto"/>
                <w:sz w:val="20"/>
                <w:szCs w:val="20"/>
              </w:rPr>
            </w:pPr>
          </w:p>
        </w:tc>
        <w:tc>
          <w:tcPr>
            <w:tcW w:w="1139" w:type="pct"/>
          </w:tcPr>
          <w:p w14:paraId="56668D13" w14:textId="77777777" w:rsidR="00782875" w:rsidRPr="00B0658A" w:rsidRDefault="00782875" w:rsidP="000A4114">
            <w:pPr>
              <w:spacing w:after="0" w:line="240" w:lineRule="auto"/>
              <w:jc w:val="both"/>
              <w:rPr>
                <w:rFonts w:ascii="Times New Roman"/>
                <w:color w:val="auto"/>
                <w:sz w:val="20"/>
                <w:szCs w:val="20"/>
              </w:rPr>
            </w:pPr>
          </w:p>
        </w:tc>
      </w:tr>
      <w:tr w:rsidR="00F52FED" w:rsidRPr="00B0658A" w14:paraId="1310611F" w14:textId="77777777" w:rsidTr="00B10FDE">
        <w:tc>
          <w:tcPr>
            <w:tcW w:w="184" w:type="pct"/>
          </w:tcPr>
          <w:p w14:paraId="06A40A25" w14:textId="77777777" w:rsidR="00782875" w:rsidRPr="00B0658A" w:rsidRDefault="00782875" w:rsidP="000A4114">
            <w:pPr>
              <w:spacing w:after="0" w:line="240" w:lineRule="auto"/>
              <w:jc w:val="both"/>
              <w:rPr>
                <w:rFonts w:ascii="Times New Roman"/>
                <w:color w:val="auto"/>
                <w:sz w:val="20"/>
                <w:szCs w:val="20"/>
                <w:lang w:val="en-US"/>
              </w:rPr>
            </w:pPr>
            <w:r w:rsidRPr="00B0658A">
              <w:rPr>
                <w:rFonts w:ascii="Times New Roman"/>
                <w:color w:val="auto"/>
                <w:sz w:val="20"/>
                <w:szCs w:val="20"/>
                <w:lang w:val="en-US"/>
              </w:rPr>
              <w:t>N.2</w:t>
            </w:r>
          </w:p>
        </w:tc>
        <w:tc>
          <w:tcPr>
            <w:tcW w:w="1023" w:type="pct"/>
          </w:tcPr>
          <w:p w14:paraId="5E25D860" w14:textId="77777777" w:rsidR="00782875" w:rsidRPr="00B0658A" w:rsidRDefault="00782875" w:rsidP="000A4114">
            <w:pPr>
              <w:spacing w:after="0" w:line="240" w:lineRule="auto"/>
              <w:jc w:val="both"/>
              <w:rPr>
                <w:rFonts w:ascii="Times New Roman"/>
                <w:color w:val="auto"/>
                <w:sz w:val="20"/>
                <w:szCs w:val="20"/>
              </w:rPr>
            </w:pPr>
          </w:p>
        </w:tc>
        <w:tc>
          <w:tcPr>
            <w:tcW w:w="886" w:type="pct"/>
          </w:tcPr>
          <w:p w14:paraId="6CEAB7C9" w14:textId="77777777" w:rsidR="00782875" w:rsidRPr="00B0658A" w:rsidRDefault="00782875" w:rsidP="000A4114">
            <w:pPr>
              <w:spacing w:after="0" w:line="240" w:lineRule="auto"/>
              <w:jc w:val="both"/>
              <w:rPr>
                <w:rFonts w:ascii="Times New Roman"/>
                <w:color w:val="auto"/>
                <w:sz w:val="20"/>
                <w:szCs w:val="20"/>
              </w:rPr>
            </w:pPr>
          </w:p>
        </w:tc>
        <w:tc>
          <w:tcPr>
            <w:tcW w:w="895" w:type="pct"/>
          </w:tcPr>
          <w:p w14:paraId="03997CDB" w14:textId="77777777" w:rsidR="00782875" w:rsidRPr="00B0658A" w:rsidRDefault="00782875" w:rsidP="000A4114">
            <w:pPr>
              <w:spacing w:after="0" w:line="240" w:lineRule="auto"/>
              <w:jc w:val="both"/>
              <w:rPr>
                <w:rFonts w:ascii="Times New Roman"/>
                <w:color w:val="auto"/>
                <w:sz w:val="20"/>
                <w:szCs w:val="20"/>
              </w:rPr>
            </w:pPr>
          </w:p>
        </w:tc>
        <w:tc>
          <w:tcPr>
            <w:tcW w:w="873" w:type="pct"/>
          </w:tcPr>
          <w:p w14:paraId="32578127" w14:textId="77777777" w:rsidR="00782875" w:rsidRPr="00B0658A" w:rsidRDefault="00782875" w:rsidP="000A4114">
            <w:pPr>
              <w:spacing w:after="0" w:line="240" w:lineRule="auto"/>
              <w:jc w:val="both"/>
              <w:rPr>
                <w:rFonts w:ascii="Times New Roman"/>
                <w:color w:val="auto"/>
                <w:sz w:val="20"/>
                <w:szCs w:val="20"/>
              </w:rPr>
            </w:pPr>
          </w:p>
        </w:tc>
        <w:tc>
          <w:tcPr>
            <w:tcW w:w="1139" w:type="pct"/>
          </w:tcPr>
          <w:p w14:paraId="6202735B" w14:textId="77777777" w:rsidR="00782875" w:rsidRPr="00B0658A" w:rsidRDefault="00782875" w:rsidP="000A4114">
            <w:pPr>
              <w:spacing w:after="0" w:line="240" w:lineRule="auto"/>
              <w:jc w:val="both"/>
              <w:rPr>
                <w:rFonts w:ascii="Times New Roman"/>
                <w:color w:val="auto"/>
                <w:sz w:val="20"/>
                <w:szCs w:val="20"/>
              </w:rPr>
            </w:pPr>
          </w:p>
        </w:tc>
      </w:tr>
      <w:tr w:rsidR="00F52FED" w:rsidRPr="00B0658A" w14:paraId="1C0850DC" w14:textId="77777777" w:rsidTr="00B10FDE">
        <w:tc>
          <w:tcPr>
            <w:tcW w:w="184" w:type="pct"/>
          </w:tcPr>
          <w:p w14:paraId="766AADC9" w14:textId="77777777" w:rsidR="00782875" w:rsidRPr="00B0658A" w:rsidRDefault="00782875" w:rsidP="000A4114">
            <w:pPr>
              <w:spacing w:after="0" w:line="240" w:lineRule="auto"/>
              <w:jc w:val="both"/>
              <w:rPr>
                <w:rFonts w:ascii="Times New Roman"/>
                <w:color w:val="auto"/>
                <w:sz w:val="20"/>
                <w:szCs w:val="20"/>
                <w:lang w:val="en-US"/>
              </w:rPr>
            </w:pPr>
            <w:r w:rsidRPr="00B0658A">
              <w:rPr>
                <w:rFonts w:ascii="Times New Roman"/>
                <w:color w:val="auto"/>
                <w:sz w:val="20"/>
                <w:szCs w:val="20"/>
                <w:lang w:val="en-US"/>
              </w:rPr>
              <w:t>…</w:t>
            </w:r>
          </w:p>
        </w:tc>
        <w:tc>
          <w:tcPr>
            <w:tcW w:w="1023" w:type="pct"/>
          </w:tcPr>
          <w:p w14:paraId="7599FBD1" w14:textId="77777777" w:rsidR="00782875" w:rsidRPr="00B0658A" w:rsidRDefault="00782875" w:rsidP="000A4114">
            <w:pPr>
              <w:spacing w:after="0" w:line="240" w:lineRule="auto"/>
              <w:jc w:val="both"/>
              <w:rPr>
                <w:rFonts w:ascii="Times New Roman"/>
                <w:color w:val="auto"/>
                <w:sz w:val="20"/>
                <w:szCs w:val="20"/>
              </w:rPr>
            </w:pPr>
          </w:p>
        </w:tc>
        <w:tc>
          <w:tcPr>
            <w:tcW w:w="886" w:type="pct"/>
          </w:tcPr>
          <w:p w14:paraId="2F5E6E3F" w14:textId="77777777" w:rsidR="00782875" w:rsidRPr="00B0658A" w:rsidRDefault="00782875" w:rsidP="000A4114">
            <w:pPr>
              <w:spacing w:after="0" w:line="240" w:lineRule="auto"/>
              <w:jc w:val="both"/>
              <w:rPr>
                <w:rFonts w:ascii="Times New Roman"/>
                <w:color w:val="auto"/>
                <w:sz w:val="20"/>
                <w:szCs w:val="20"/>
              </w:rPr>
            </w:pPr>
          </w:p>
        </w:tc>
        <w:tc>
          <w:tcPr>
            <w:tcW w:w="895" w:type="pct"/>
          </w:tcPr>
          <w:p w14:paraId="54B84153" w14:textId="77777777" w:rsidR="00782875" w:rsidRPr="00B0658A" w:rsidRDefault="00782875" w:rsidP="000A4114">
            <w:pPr>
              <w:spacing w:after="0" w:line="240" w:lineRule="auto"/>
              <w:jc w:val="both"/>
              <w:rPr>
                <w:rFonts w:ascii="Times New Roman"/>
                <w:color w:val="auto"/>
                <w:sz w:val="20"/>
                <w:szCs w:val="20"/>
              </w:rPr>
            </w:pPr>
          </w:p>
        </w:tc>
        <w:tc>
          <w:tcPr>
            <w:tcW w:w="873" w:type="pct"/>
          </w:tcPr>
          <w:p w14:paraId="3BAEF035" w14:textId="77777777" w:rsidR="00782875" w:rsidRPr="00B0658A" w:rsidRDefault="00782875" w:rsidP="000A4114">
            <w:pPr>
              <w:spacing w:after="0" w:line="240" w:lineRule="auto"/>
              <w:jc w:val="both"/>
              <w:rPr>
                <w:rFonts w:ascii="Times New Roman"/>
                <w:color w:val="auto"/>
                <w:sz w:val="20"/>
                <w:szCs w:val="20"/>
              </w:rPr>
            </w:pPr>
          </w:p>
        </w:tc>
        <w:tc>
          <w:tcPr>
            <w:tcW w:w="1139" w:type="pct"/>
          </w:tcPr>
          <w:p w14:paraId="4142000A" w14:textId="77777777" w:rsidR="00782875" w:rsidRPr="00B0658A" w:rsidRDefault="00782875" w:rsidP="000A4114">
            <w:pPr>
              <w:spacing w:after="0" w:line="240" w:lineRule="auto"/>
              <w:jc w:val="both"/>
              <w:rPr>
                <w:rFonts w:ascii="Times New Roman"/>
                <w:color w:val="auto"/>
                <w:sz w:val="20"/>
                <w:szCs w:val="20"/>
              </w:rPr>
            </w:pPr>
          </w:p>
        </w:tc>
      </w:tr>
      <w:tr w:rsidR="00782875" w:rsidRPr="00B0658A" w14:paraId="1FB12D54" w14:textId="77777777" w:rsidTr="00B10FDE">
        <w:tc>
          <w:tcPr>
            <w:tcW w:w="184" w:type="pct"/>
          </w:tcPr>
          <w:p w14:paraId="0612B781" w14:textId="77777777" w:rsidR="00782875" w:rsidRPr="00B0658A" w:rsidRDefault="00782875" w:rsidP="000A4114">
            <w:pPr>
              <w:spacing w:after="0" w:line="240" w:lineRule="auto"/>
              <w:jc w:val="both"/>
              <w:rPr>
                <w:rFonts w:ascii="Times New Roman"/>
                <w:color w:val="auto"/>
                <w:sz w:val="20"/>
                <w:szCs w:val="20"/>
                <w:lang w:val="en-US"/>
              </w:rPr>
            </w:pPr>
            <w:r w:rsidRPr="00B0658A">
              <w:rPr>
                <w:rFonts w:ascii="Times New Roman"/>
                <w:color w:val="auto"/>
                <w:sz w:val="20"/>
                <w:szCs w:val="20"/>
                <w:lang w:val="en-US"/>
              </w:rPr>
              <w:t>N.n</w:t>
            </w:r>
          </w:p>
        </w:tc>
        <w:tc>
          <w:tcPr>
            <w:tcW w:w="1023" w:type="pct"/>
          </w:tcPr>
          <w:p w14:paraId="17169074" w14:textId="77777777" w:rsidR="00782875" w:rsidRPr="00B0658A" w:rsidRDefault="00782875" w:rsidP="000A4114">
            <w:pPr>
              <w:spacing w:after="0" w:line="240" w:lineRule="auto"/>
              <w:jc w:val="both"/>
              <w:rPr>
                <w:rFonts w:ascii="Times New Roman"/>
                <w:color w:val="auto"/>
                <w:sz w:val="20"/>
                <w:szCs w:val="20"/>
              </w:rPr>
            </w:pPr>
          </w:p>
        </w:tc>
        <w:tc>
          <w:tcPr>
            <w:tcW w:w="886" w:type="pct"/>
          </w:tcPr>
          <w:p w14:paraId="57B07BA5" w14:textId="77777777" w:rsidR="00782875" w:rsidRPr="00B0658A" w:rsidRDefault="00782875" w:rsidP="000A4114">
            <w:pPr>
              <w:spacing w:after="0" w:line="240" w:lineRule="auto"/>
              <w:jc w:val="both"/>
              <w:rPr>
                <w:rFonts w:ascii="Times New Roman"/>
                <w:color w:val="auto"/>
                <w:sz w:val="20"/>
                <w:szCs w:val="20"/>
              </w:rPr>
            </w:pPr>
          </w:p>
        </w:tc>
        <w:tc>
          <w:tcPr>
            <w:tcW w:w="895" w:type="pct"/>
          </w:tcPr>
          <w:p w14:paraId="28844A0D" w14:textId="77777777" w:rsidR="00782875" w:rsidRPr="00B0658A" w:rsidRDefault="00782875" w:rsidP="000A4114">
            <w:pPr>
              <w:spacing w:after="0" w:line="240" w:lineRule="auto"/>
              <w:jc w:val="both"/>
              <w:rPr>
                <w:rFonts w:ascii="Times New Roman"/>
                <w:color w:val="auto"/>
                <w:sz w:val="20"/>
                <w:szCs w:val="20"/>
              </w:rPr>
            </w:pPr>
          </w:p>
        </w:tc>
        <w:tc>
          <w:tcPr>
            <w:tcW w:w="873" w:type="pct"/>
          </w:tcPr>
          <w:p w14:paraId="761997C8" w14:textId="77777777" w:rsidR="00782875" w:rsidRPr="00B0658A" w:rsidRDefault="00782875" w:rsidP="000A4114">
            <w:pPr>
              <w:spacing w:after="0" w:line="240" w:lineRule="auto"/>
              <w:jc w:val="both"/>
              <w:rPr>
                <w:rFonts w:ascii="Times New Roman"/>
                <w:color w:val="auto"/>
                <w:sz w:val="20"/>
                <w:szCs w:val="20"/>
              </w:rPr>
            </w:pPr>
          </w:p>
        </w:tc>
        <w:tc>
          <w:tcPr>
            <w:tcW w:w="1139" w:type="pct"/>
          </w:tcPr>
          <w:p w14:paraId="4EE0C34D" w14:textId="77777777" w:rsidR="00782875" w:rsidRPr="00B0658A" w:rsidRDefault="00782875" w:rsidP="000A4114">
            <w:pPr>
              <w:spacing w:after="0" w:line="240" w:lineRule="auto"/>
              <w:jc w:val="both"/>
              <w:rPr>
                <w:rFonts w:ascii="Times New Roman"/>
                <w:color w:val="auto"/>
                <w:sz w:val="20"/>
                <w:szCs w:val="20"/>
              </w:rPr>
            </w:pPr>
          </w:p>
        </w:tc>
      </w:tr>
    </w:tbl>
    <w:p w14:paraId="6B24A683" w14:textId="77777777" w:rsidR="009F4B0E" w:rsidRDefault="009F4B0E">
      <w:pPr>
        <w:spacing w:after="0" w:line="240" w:lineRule="auto"/>
        <w:rPr>
          <w:rFonts w:ascii="Times New Roman" w:hAnsi="Times New Roman"/>
          <w:b/>
          <w:sz w:val="28"/>
          <w:szCs w:val="28"/>
        </w:rPr>
      </w:pPr>
      <w:bookmarkStart w:id="46" w:name="_Toc116390914"/>
      <w:r>
        <w:rPr>
          <w:rFonts w:ascii="Times New Roman" w:hAnsi="Times New Roman"/>
          <w:b/>
          <w:sz w:val="28"/>
          <w:szCs w:val="28"/>
        </w:rPr>
        <w:br w:type="page"/>
      </w:r>
    </w:p>
    <w:p w14:paraId="7814D5DD" w14:textId="77777777" w:rsidR="008319FB" w:rsidRPr="00B0658A" w:rsidRDefault="008319FB" w:rsidP="00FB2975">
      <w:pPr>
        <w:rPr>
          <w:rFonts w:ascii="Times New Roman" w:hAnsi="Times New Roman"/>
          <w:b/>
          <w:sz w:val="28"/>
          <w:szCs w:val="28"/>
        </w:rPr>
      </w:pPr>
      <w:r w:rsidRPr="00B0658A">
        <w:rPr>
          <w:rFonts w:ascii="Times New Roman" w:hAnsi="Times New Roman"/>
          <w:b/>
          <w:sz w:val="28"/>
          <w:szCs w:val="28"/>
        </w:rPr>
        <w:t>Форма отчетности за годовой период</w:t>
      </w:r>
      <w:bookmarkEnd w:id="46"/>
    </w:p>
    <w:p w14:paraId="525D7D3D" w14:textId="77777777" w:rsidR="00B10FDE" w:rsidRPr="00B0658A" w:rsidRDefault="00B10FDE" w:rsidP="00F80D0D">
      <w:pPr>
        <w:rPr>
          <w:rFonts w:ascii="Times New Roman" w:hAnsi="Times New Roman"/>
        </w:rPr>
      </w:pPr>
    </w:p>
    <w:p w14:paraId="679A7409" w14:textId="77777777" w:rsidR="00B10FDE" w:rsidRPr="00B0658A" w:rsidRDefault="00B10FDE" w:rsidP="00B10FDE">
      <w:pPr>
        <w:pStyle w:val="ConsPlusNormal"/>
        <w:spacing w:before="120"/>
        <w:jc w:val="center"/>
        <w:rPr>
          <w:sz w:val="32"/>
        </w:rPr>
      </w:pPr>
      <w:r w:rsidRPr="00B0658A">
        <w:rPr>
          <w:sz w:val="32"/>
        </w:rPr>
        <w:t xml:space="preserve">Сведения о реализации детализированного плана перехода ______________ (полное наименование </w:t>
      </w:r>
      <w:r w:rsidR="00E8582F" w:rsidRPr="00B0658A">
        <w:rPr>
          <w:sz w:val="32"/>
          <w:szCs w:val="28"/>
        </w:rPr>
        <w:t>государственной корпорации или компании с государственным участием</w:t>
      </w:r>
      <w:r w:rsidRPr="00B0658A">
        <w:rPr>
          <w:sz w:val="32"/>
          <w:szCs w:val="28"/>
        </w:rPr>
        <w:t xml:space="preserve">) на использование российского </w:t>
      </w:r>
      <w:r w:rsidRPr="00B0658A">
        <w:rPr>
          <w:sz w:val="32"/>
        </w:rPr>
        <w:t xml:space="preserve">ПО на принадлежащих </w:t>
      </w:r>
      <w:r w:rsidR="00E8582F" w:rsidRPr="00B0658A">
        <w:rPr>
          <w:sz w:val="32"/>
          <w:szCs w:val="28"/>
        </w:rPr>
        <w:t xml:space="preserve">государственной корпорации или компании с государственным участием </w:t>
      </w:r>
      <w:r w:rsidRPr="00B0658A">
        <w:rPr>
          <w:sz w:val="32"/>
        </w:rPr>
        <w:t>значимых объектах КИИ</w:t>
      </w:r>
      <w:r w:rsidRPr="00B0658A">
        <w:rPr>
          <w:sz w:val="32"/>
          <w:szCs w:val="28"/>
        </w:rPr>
        <w:t xml:space="preserve"> </w:t>
      </w:r>
      <w:r w:rsidRPr="00B0658A">
        <w:rPr>
          <w:sz w:val="32"/>
        </w:rPr>
        <w:t xml:space="preserve">на период 2022-2024 годы за </w:t>
      </w:r>
      <w:r w:rsidRPr="00B0658A">
        <w:rPr>
          <w:sz w:val="32"/>
          <w:szCs w:val="28"/>
        </w:rPr>
        <w:t xml:space="preserve"> ______ год</w:t>
      </w:r>
    </w:p>
    <w:p w14:paraId="2B62662C" w14:textId="77777777" w:rsidR="00B10FDE" w:rsidRPr="00B0658A" w:rsidRDefault="00B10FDE" w:rsidP="00B10FDE">
      <w:pPr>
        <w:spacing w:before="120" w:after="0" w:line="240" w:lineRule="auto"/>
        <w:rPr>
          <w:rFonts w:ascii="Times New Roman" w:hAnsi="Times New Roman"/>
          <w:sz w:val="28"/>
          <w:szCs w:val="24"/>
        </w:rPr>
      </w:pPr>
    </w:p>
    <w:p w14:paraId="78F664D9" w14:textId="77777777" w:rsidR="00B10FDE" w:rsidRPr="00B0658A" w:rsidRDefault="00B10FDE" w:rsidP="00B10FDE">
      <w:pPr>
        <w:spacing w:before="120" w:after="0" w:line="240" w:lineRule="auto"/>
        <w:rPr>
          <w:rFonts w:ascii="Times New Roman" w:hAnsi="Times New Roman"/>
          <w:sz w:val="28"/>
          <w:szCs w:val="24"/>
        </w:rPr>
      </w:pPr>
    </w:p>
    <w:p w14:paraId="1F87C1E2" w14:textId="77777777" w:rsidR="00B10FDE" w:rsidRPr="00B0658A" w:rsidRDefault="00B10FDE" w:rsidP="00B10FDE">
      <w:pPr>
        <w:pStyle w:val="afd"/>
        <w:spacing w:line="240" w:lineRule="auto"/>
        <w:ind w:left="0" w:firstLine="709"/>
        <w:jc w:val="both"/>
        <w:rPr>
          <w:rFonts w:ascii="Times New Roman" w:hAnsi="Times New Roman"/>
          <w:sz w:val="28"/>
          <w:szCs w:val="28"/>
        </w:rPr>
      </w:pPr>
      <w:r w:rsidRPr="00B0658A">
        <w:rPr>
          <w:rFonts w:ascii="Times New Roman" w:hAnsi="Times New Roman"/>
          <w:sz w:val="28"/>
          <w:szCs w:val="28"/>
        </w:rPr>
        <w:t xml:space="preserve">1. Сведения о реализации мероприятий по переходу на использование российского ПО на принадлежащих _______ (полное наименование </w:t>
      </w:r>
      <w:r w:rsidR="00E8582F" w:rsidRPr="00B0658A">
        <w:rPr>
          <w:rFonts w:ascii="Times New Roman" w:hAnsi="Times New Roman"/>
          <w:sz w:val="28"/>
          <w:szCs w:val="28"/>
        </w:rPr>
        <w:t>государственной корпорации или компании с государственным участием</w:t>
      </w:r>
      <w:r w:rsidRPr="00B0658A">
        <w:rPr>
          <w:rFonts w:ascii="Times New Roman" w:hAnsi="Times New Roman"/>
          <w:sz w:val="28"/>
          <w:szCs w:val="28"/>
        </w:rPr>
        <w:t>) значимых объектах КИИ</w:t>
      </w:r>
    </w:p>
    <w:tbl>
      <w:tblPr>
        <w:tblStyle w:val="32"/>
        <w:tblW w:w="5000" w:type="pct"/>
        <w:tblLook w:val="04A0" w:firstRow="1" w:lastRow="0" w:firstColumn="1" w:lastColumn="0" w:noHBand="0" w:noVBand="1"/>
      </w:tblPr>
      <w:tblGrid>
        <w:gridCol w:w="513"/>
        <w:gridCol w:w="2853"/>
        <w:gridCol w:w="2471"/>
        <w:gridCol w:w="2496"/>
        <w:gridCol w:w="2435"/>
        <w:gridCol w:w="3176"/>
      </w:tblGrid>
      <w:tr w:rsidR="00F52FED" w:rsidRPr="00B0658A" w14:paraId="2DCC8937" w14:textId="77777777" w:rsidTr="00F57B1F">
        <w:trPr>
          <w:tblHeader/>
        </w:trPr>
        <w:tc>
          <w:tcPr>
            <w:tcW w:w="184" w:type="pct"/>
          </w:tcPr>
          <w:p w14:paraId="3625C80E" w14:textId="77777777" w:rsidR="00B10FDE" w:rsidRPr="00B0658A" w:rsidRDefault="00B10FDE" w:rsidP="000A4114">
            <w:pPr>
              <w:spacing w:after="0" w:line="240" w:lineRule="auto"/>
              <w:jc w:val="center"/>
              <w:rPr>
                <w:rFonts w:ascii="Times New Roman"/>
                <w:b/>
                <w:bCs/>
                <w:color w:val="auto"/>
                <w:sz w:val="20"/>
                <w:szCs w:val="20"/>
              </w:rPr>
            </w:pPr>
            <w:r w:rsidRPr="00B0658A">
              <w:rPr>
                <w:rFonts w:ascii="Times New Roman"/>
                <w:b/>
                <w:bCs/>
                <w:color w:val="auto"/>
                <w:sz w:val="20"/>
                <w:szCs w:val="20"/>
              </w:rPr>
              <w:t>№</w:t>
            </w:r>
          </w:p>
        </w:tc>
        <w:tc>
          <w:tcPr>
            <w:tcW w:w="1023" w:type="pct"/>
          </w:tcPr>
          <w:p w14:paraId="62788977" w14:textId="77777777" w:rsidR="00B10FDE" w:rsidRPr="00B0658A" w:rsidRDefault="00B10FDE" w:rsidP="000A4114">
            <w:pPr>
              <w:spacing w:after="0" w:line="240" w:lineRule="auto"/>
              <w:jc w:val="center"/>
              <w:rPr>
                <w:rFonts w:ascii="Times New Roman"/>
                <w:b/>
                <w:bCs/>
                <w:color w:val="auto"/>
                <w:sz w:val="20"/>
                <w:szCs w:val="20"/>
              </w:rPr>
            </w:pPr>
            <w:r w:rsidRPr="00B0658A">
              <w:rPr>
                <w:rFonts w:ascii="Times New Roman"/>
                <w:b/>
                <w:bCs/>
                <w:color w:val="auto"/>
                <w:sz w:val="20"/>
                <w:szCs w:val="20"/>
              </w:rPr>
              <w:t xml:space="preserve">Наименование мероприятия в соответствии с утвержденным детализированным планом </w:t>
            </w:r>
          </w:p>
        </w:tc>
        <w:tc>
          <w:tcPr>
            <w:tcW w:w="886" w:type="pct"/>
          </w:tcPr>
          <w:p w14:paraId="453E85E7" w14:textId="77777777" w:rsidR="00B10FDE" w:rsidRPr="00B0658A" w:rsidRDefault="00B10FDE" w:rsidP="000A4114">
            <w:pPr>
              <w:spacing w:after="0" w:line="240" w:lineRule="auto"/>
              <w:jc w:val="center"/>
              <w:rPr>
                <w:rFonts w:ascii="Times New Roman"/>
                <w:b/>
                <w:bCs/>
                <w:color w:val="auto"/>
                <w:sz w:val="20"/>
                <w:szCs w:val="20"/>
              </w:rPr>
            </w:pPr>
            <w:r w:rsidRPr="00B0658A">
              <w:rPr>
                <w:rFonts w:ascii="Times New Roman"/>
                <w:b/>
                <w:bCs/>
                <w:color w:val="auto"/>
                <w:sz w:val="20"/>
                <w:szCs w:val="20"/>
              </w:rPr>
              <w:t xml:space="preserve">Планируемый результат в соответствии с утвержденным детализированным планом </w:t>
            </w:r>
          </w:p>
        </w:tc>
        <w:tc>
          <w:tcPr>
            <w:tcW w:w="895" w:type="pct"/>
          </w:tcPr>
          <w:p w14:paraId="0AA3C96F" w14:textId="77777777" w:rsidR="00B10FDE" w:rsidRPr="00B0658A" w:rsidRDefault="00B10FDE" w:rsidP="000A4114">
            <w:pPr>
              <w:spacing w:after="0" w:line="240" w:lineRule="auto"/>
              <w:jc w:val="center"/>
              <w:rPr>
                <w:rFonts w:ascii="Times New Roman"/>
                <w:b/>
                <w:bCs/>
                <w:color w:val="auto"/>
                <w:sz w:val="20"/>
                <w:szCs w:val="20"/>
              </w:rPr>
            </w:pPr>
            <w:r w:rsidRPr="00B0658A">
              <w:rPr>
                <w:rFonts w:ascii="Times New Roman"/>
                <w:b/>
                <w:bCs/>
                <w:color w:val="auto"/>
                <w:sz w:val="20"/>
                <w:szCs w:val="20"/>
              </w:rPr>
              <w:t>Сроки реализации запланированного мероприятия в соответствии с детализированным планом</w:t>
            </w:r>
          </w:p>
        </w:tc>
        <w:tc>
          <w:tcPr>
            <w:tcW w:w="873" w:type="pct"/>
          </w:tcPr>
          <w:p w14:paraId="48736AFC" w14:textId="77777777" w:rsidR="00B10FDE" w:rsidRPr="00B0658A" w:rsidRDefault="00B10FDE" w:rsidP="000A4114">
            <w:pPr>
              <w:spacing w:after="0" w:line="240" w:lineRule="auto"/>
              <w:jc w:val="center"/>
              <w:rPr>
                <w:rFonts w:ascii="Times New Roman"/>
                <w:b/>
                <w:bCs/>
                <w:color w:val="auto"/>
                <w:sz w:val="20"/>
                <w:szCs w:val="20"/>
              </w:rPr>
            </w:pPr>
            <w:r w:rsidRPr="00B0658A">
              <w:rPr>
                <w:rFonts w:ascii="Times New Roman"/>
                <w:b/>
                <w:bCs/>
                <w:color w:val="auto"/>
                <w:sz w:val="20"/>
                <w:szCs w:val="20"/>
              </w:rPr>
              <w:t>Статус выполнения мероприятия</w:t>
            </w:r>
          </w:p>
        </w:tc>
        <w:tc>
          <w:tcPr>
            <w:tcW w:w="1139" w:type="pct"/>
          </w:tcPr>
          <w:p w14:paraId="0EDC2037" w14:textId="77777777" w:rsidR="00B10FDE" w:rsidRPr="00B0658A" w:rsidRDefault="00B10FDE" w:rsidP="000A4114">
            <w:pPr>
              <w:spacing w:after="0" w:line="240" w:lineRule="auto"/>
              <w:jc w:val="center"/>
              <w:rPr>
                <w:rFonts w:ascii="Times New Roman"/>
                <w:b/>
                <w:bCs/>
                <w:color w:val="auto"/>
                <w:sz w:val="20"/>
                <w:szCs w:val="20"/>
              </w:rPr>
            </w:pPr>
            <w:r w:rsidRPr="00B0658A">
              <w:rPr>
                <w:rFonts w:ascii="Times New Roman"/>
                <w:b/>
                <w:bCs/>
                <w:color w:val="auto"/>
                <w:sz w:val="20"/>
                <w:szCs w:val="20"/>
              </w:rPr>
              <w:t>Описание достигнутого фактического результата</w:t>
            </w:r>
          </w:p>
        </w:tc>
      </w:tr>
      <w:tr w:rsidR="00F52FED" w:rsidRPr="00B0658A" w14:paraId="3FDFA2C4" w14:textId="77777777" w:rsidTr="00B10FDE">
        <w:tc>
          <w:tcPr>
            <w:tcW w:w="5000" w:type="pct"/>
            <w:gridSpan w:val="6"/>
            <w:vAlign w:val="center"/>
          </w:tcPr>
          <w:p w14:paraId="1AB8D567" w14:textId="77777777" w:rsidR="00B10FDE" w:rsidRPr="00B0658A" w:rsidRDefault="00B10FDE" w:rsidP="000A4114">
            <w:pPr>
              <w:spacing w:after="0" w:line="240" w:lineRule="auto"/>
              <w:rPr>
                <w:rFonts w:ascii="Times New Roman"/>
                <w:b/>
                <w:i/>
                <w:iCs/>
                <w:color w:val="auto"/>
                <w:sz w:val="20"/>
                <w:szCs w:val="20"/>
              </w:rPr>
            </w:pPr>
            <w:r w:rsidRPr="00B0658A">
              <w:rPr>
                <w:rFonts w:ascii="Times New Roman"/>
                <w:b/>
                <w:color w:val="auto"/>
                <w:sz w:val="20"/>
                <w:szCs w:val="20"/>
              </w:rPr>
              <w:t>1. Мероприятия в отношении ________ (наименование значимого объекта КИИ №1)</w:t>
            </w:r>
          </w:p>
        </w:tc>
      </w:tr>
      <w:tr w:rsidR="00F52FED" w:rsidRPr="00B0658A" w14:paraId="3481CBE1" w14:textId="77777777" w:rsidTr="00B10FDE">
        <w:tc>
          <w:tcPr>
            <w:tcW w:w="184" w:type="pct"/>
          </w:tcPr>
          <w:p w14:paraId="01740496" w14:textId="77777777" w:rsidR="00B10FDE" w:rsidRPr="00B0658A" w:rsidRDefault="00B10FDE" w:rsidP="000A4114">
            <w:pPr>
              <w:spacing w:after="0" w:line="240" w:lineRule="auto"/>
              <w:jc w:val="both"/>
              <w:rPr>
                <w:rFonts w:ascii="Times New Roman"/>
                <w:color w:val="auto"/>
                <w:sz w:val="20"/>
                <w:szCs w:val="20"/>
              </w:rPr>
            </w:pPr>
            <w:r w:rsidRPr="00B0658A">
              <w:rPr>
                <w:rFonts w:ascii="Times New Roman"/>
                <w:color w:val="auto"/>
                <w:sz w:val="20"/>
                <w:szCs w:val="20"/>
              </w:rPr>
              <w:t>1.1</w:t>
            </w:r>
          </w:p>
        </w:tc>
        <w:tc>
          <w:tcPr>
            <w:tcW w:w="1023" w:type="pct"/>
          </w:tcPr>
          <w:p w14:paraId="5AE097A0" w14:textId="77777777" w:rsidR="00B10FDE" w:rsidRPr="00B0658A" w:rsidRDefault="00B10FDE" w:rsidP="000A4114">
            <w:pPr>
              <w:spacing w:after="0" w:line="240" w:lineRule="auto"/>
              <w:jc w:val="both"/>
              <w:rPr>
                <w:rFonts w:ascii="Times New Roman"/>
                <w:i/>
                <w:iCs/>
                <w:color w:val="auto"/>
                <w:sz w:val="20"/>
                <w:szCs w:val="20"/>
              </w:rPr>
            </w:pPr>
            <w:r w:rsidRPr="00B0658A">
              <w:rPr>
                <w:rFonts w:ascii="Times New Roman"/>
                <w:i/>
                <w:iCs/>
                <w:color w:val="auto"/>
                <w:sz w:val="20"/>
                <w:szCs w:val="20"/>
              </w:rPr>
              <w:t xml:space="preserve">Указывается наименование мероприятия в соответствии с утвержденным детализированным планом перехода на использование российского ПО на принадлежащих </w:t>
            </w:r>
            <w:r w:rsidR="00E8582F" w:rsidRPr="00B0658A">
              <w:rPr>
                <w:rFonts w:ascii="Times New Roman"/>
                <w:i/>
                <w:iCs/>
                <w:color w:val="auto"/>
                <w:sz w:val="20"/>
                <w:szCs w:val="20"/>
              </w:rPr>
              <w:t xml:space="preserve">государственной корпорации или компании с государственным участием </w:t>
            </w:r>
            <w:r w:rsidRPr="00B0658A">
              <w:rPr>
                <w:rFonts w:ascii="Times New Roman"/>
                <w:i/>
                <w:iCs/>
                <w:color w:val="auto"/>
                <w:sz w:val="20"/>
                <w:szCs w:val="20"/>
              </w:rPr>
              <w:t>значимых объектах КИИ</w:t>
            </w:r>
          </w:p>
          <w:p w14:paraId="7525CA9C" w14:textId="77777777" w:rsidR="00B10FDE" w:rsidRPr="00B0658A" w:rsidRDefault="00B10FDE" w:rsidP="000A4114">
            <w:pPr>
              <w:pStyle w:val="ConsPlusNormal"/>
              <w:jc w:val="both"/>
              <w:rPr>
                <w:color w:val="auto"/>
                <w:sz w:val="20"/>
                <w:szCs w:val="20"/>
              </w:rPr>
            </w:pPr>
          </w:p>
          <w:p w14:paraId="45DAC725" w14:textId="77777777" w:rsidR="00B10FDE" w:rsidRPr="00B0658A" w:rsidRDefault="00B10FDE" w:rsidP="000A4114">
            <w:pPr>
              <w:spacing w:after="0" w:line="240" w:lineRule="auto"/>
              <w:jc w:val="both"/>
              <w:rPr>
                <w:rFonts w:ascii="Times New Roman"/>
                <w:i/>
                <w:iCs/>
                <w:color w:val="auto"/>
                <w:sz w:val="20"/>
                <w:szCs w:val="20"/>
              </w:rPr>
            </w:pPr>
          </w:p>
        </w:tc>
        <w:tc>
          <w:tcPr>
            <w:tcW w:w="886" w:type="pct"/>
          </w:tcPr>
          <w:p w14:paraId="7516B5AC" w14:textId="77777777" w:rsidR="00B10FDE" w:rsidRPr="00B0658A" w:rsidRDefault="00B10FDE" w:rsidP="000A4114">
            <w:pPr>
              <w:spacing w:after="0" w:line="240" w:lineRule="auto"/>
              <w:jc w:val="both"/>
              <w:rPr>
                <w:rFonts w:ascii="Times New Roman"/>
                <w:i/>
                <w:iCs/>
                <w:color w:val="auto"/>
                <w:sz w:val="20"/>
                <w:szCs w:val="20"/>
              </w:rPr>
            </w:pPr>
            <w:r w:rsidRPr="00B0658A">
              <w:rPr>
                <w:rFonts w:ascii="Times New Roman"/>
                <w:i/>
                <w:iCs/>
                <w:color w:val="auto"/>
                <w:sz w:val="20"/>
                <w:szCs w:val="20"/>
              </w:rPr>
              <w:t xml:space="preserve">Указывается запланированный результат в соответствии с утвержденным детализированным планом перехода на использование российского ПО на принадлежащих </w:t>
            </w:r>
            <w:r w:rsidR="00E8582F" w:rsidRPr="00B0658A">
              <w:rPr>
                <w:rFonts w:ascii="Times New Roman"/>
                <w:i/>
                <w:iCs/>
                <w:color w:val="auto"/>
                <w:sz w:val="20"/>
                <w:szCs w:val="20"/>
              </w:rPr>
              <w:t xml:space="preserve">государственной корпорации или компании с государственным участием </w:t>
            </w:r>
            <w:r w:rsidRPr="00B0658A">
              <w:rPr>
                <w:rFonts w:ascii="Times New Roman"/>
                <w:i/>
                <w:iCs/>
                <w:color w:val="auto"/>
                <w:sz w:val="20"/>
                <w:szCs w:val="20"/>
              </w:rPr>
              <w:t>значимых объектах КИИ</w:t>
            </w:r>
          </w:p>
          <w:p w14:paraId="03448285" w14:textId="77777777" w:rsidR="00B10FDE" w:rsidRPr="00B0658A" w:rsidRDefault="00B10FDE" w:rsidP="000A4114">
            <w:pPr>
              <w:spacing w:after="0" w:line="240" w:lineRule="auto"/>
              <w:jc w:val="both"/>
              <w:rPr>
                <w:rFonts w:ascii="Times New Roman"/>
                <w:color w:val="auto"/>
                <w:sz w:val="20"/>
                <w:szCs w:val="20"/>
              </w:rPr>
            </w:pPr>
          </w:p>
        </w:tc>
        <w:tc>
          <w:tcPr>
            <w:tcW w:w="895" w:type="pct"/>
          </w:tcPr>
          <w:p w14:paraId="764FE5AE" w14:textId="77777777" w:rsidR="00B10FDE" w:rsidRPr="00B0658A" w:rsidRDefault="00B10FDE" w:rsidP="000A4114">
            <w:pPr>
              <w:spacing w:after="0" w:line="240" w:lineRule="auto"/>
              <w:jc w:val="both"/>
              <w:rPr>
                <w:rFonts w:ascii="Times New Roman"/>
                <w:i/>
                <w:iCs/>
                <w:color w:val="auto"/>
                <w:sz w:val="20"/>
                <w:szCs w:val="20"/>
              </w:rPr>
            </w:pPr>
            <w:r w:rsidRPr="00B0658A">
              <w:rPr>
                <w:rFonts w:ascii="Times New Roman"/>
                <w:i/>
                <w:iCs/>
                <w:color w:val="auto"/>
                <w:sz w:val="20"/>
                <w:szCs w:val="20"/>
              </w:rPr>
              <w:t xml:space="preserve">Указывается срок реализации (период выполнения) в соответствии с утвержденным детализированным планом перехода на использование российского ПО на принадлежащих </w:t>
            </w:r>
            <w:r w:rsidR="00E8582F" w:rsidRPr="00B0658A">
              <w:rPr>
                <w:rFonts w:ascii="Times New Roman"/>
                <w:i/>
                <w:iCs/>
                <w:color w:val="auto"/>
                <w:sz w:val="20"/>
                <w:szCs w:val="20"/>
              </w:rPr>
              <w:t xml:space="preserve">государственной корпорации или компании с государственным участием </w:t>
            </w:r>
            <w:r w:rsidRPr="00B0658A">
              <w:rPr>
                <w:rFonts w:ascii="Times New Roman"/>
                <w:i/>
                <w:iCs/>
                <w:color w:val="auto"/>
                <w:sz w:val="20"/>
                <w:szCs w:val="20"/>
              </w:rPr>
              <w:t>значимых объектах КИИ</w:t>
            </w:r>
          </w:p>
          <w:p w14:paraId="722B3B59" w14:textId="77777777" w:rsidR="00B10FDE" w:rsidRPr="00B0658A" w:rsidRDefault="00B10FDE" w:rsidP="000A4114">
            <w:pPr>
              <w:spacing w:after="0" w:line="240" w:lineRule="auto"/>
              <w:jc w:val="both"/>
              <w:rPr>
                <w:rFonts w:ascii="Times New Roman"/>
                <w:i/>
                <w:iCs/>
                <w:color w:val="auto"/>
                <w:sz w:val="20"/>
                <w:szCs w:val="20"/>
              </w:rPr>
            </w:pPr>
          </w:p>
        </w:tc>
        <w:tc>
          <w:tcPr>
            <w:tcW w:w="873" w:type="pct"/>
          </w:tcPr>
          <w:p w14:paraId="7F90AEE7" w14:textId="77777777" w:rsidR="00B10FDE" w:rsidRPr="00B0658A" w:rsidRDefault="00B10FDE" w:rsidP="000A4114">
            <w:pPr>
              <w:spacing w:after="0" w:line="240" w:lineRule="auto"/>
              <w:jc w:val="both"/>
              <w:rPr>
                <w:rFonts w:ascii="Times New Roman"/>
                <w:i/>
                <w:iCs/>
                <w:color w:val="auto"/>
                <w:sz w:val="20"/>
                <w:szCs w:val="20"/>
              </w:rPr>
            </w:pPr>
            <w:r w:rsidRPr="00B0658A">
              <w:rPr>
                <w:rFonts w:ascii="Times New Roman"/>
                <w:i/>
                <w:iCs/>
                <w:color w:val="auto"/>
                <w:sz w:val="20"/>
                <w:szCs w:val="20"/>
              </w:rPr>
              <w:t>Указывается статус: «выполнено» / «не выполнено».</w:t>
            </w:r>
          </w:p>
          <w:p w14:paraId="6C92D192" w14:textId="77777777" w:rsidR="00B10FDE" w:rsidRPr="00B0658A" w:rsidRDefault="00B10FDE" w:rsidP="000A4114">
            <w:pPr>
              <w:spacing w:after="0" w:line="240" w:lineRule="auto"/>
              <w:jc w:val="both"/>
              <w:rPr>
                <w:rFonts w:ascii="Times New Roman"/>
                <w:color w:val="auto"/>
                <w:sz w:val="20"/>
                <w:szCs w:val="20"/>
              </w:rPr>
            </w:pPr>
            <w:r w:rsidRPr="00B0658A">
              <w:rPr>
                <w:rFonts w:ascii="Times New Roman"/>
                <w:i/>
                <w:iCs/>
                <w:color w:val="auto"/>
                <w:sz w:val="20"/>
                <w:szCs w:val="20"/>
              </w:rPr>
              <w:t>Если мероприятие выполнено частично, то указывается статус «не выполнено»</w:t>
            </w:r>
          </w:p>
        </w:tc>
        <w:tc>
          <w:tcPr>
            <w:tcW w:w="1139" w:type="pct"/>
          </w:tcPr>
          <w:p w14:paraId="577EBF68" w14:textId="77777777" w:rsidR="00B10FDE" w:rsidRPr="00B0658A" w:rsidRDefault="00B10FDE" w:rsidP="000A4114">
            <w:pPr>
              <w:spacing w:after="0" w:line="240" w:lineRule="auto"/>
              <w:jc w:val="both"/>
              <w:rPr>
                <w:rFonts w:ascii="Times New Roman"/>
                <w:i/>
                <w:iCs/>
                <w:color w:val="auto"/>
                <w:sz w:val="20"/>
                <w:szCs w:val="20"/>
              </w:rPr>
            </w:pPr>
            <w:r w:rsidRPr="00B0658A">
              <w:rPr>
                <w:rFonts w:ascii="Times New Roman"/>
                <w:i/>
                <w:iCs/>
                <w:color w:val="auto"/>
                <w:sz w:val="20"/>
                <w:szCs w:val="20"/>
              </w:rPr>
              <w:t>Указывается достигнутый результат. В случае если мероприятие не было выполнено, либо результат выполнения мероприятия был достигнут не полностью, указываются причины невыполнения мероприятия (частичного выполнения мероприятия), а также срок, в который мероприятие будет реализовано и достигнут запланированный результат</w:t>
            </w:r>
          </w:p>
        </w:tc>
      </w:tr>
      <w:tr w:rsidR="00F52FED" w:rsidRPr="00B0658A" w14:paraId="2236719C" w14:textId="77777777" w:rsidTr="00B10FDE">
        <w:tc>
          <w:tcPr>
            <w:tcW w:w="184" w:type="pct"/>
          </w:tcPr>
          <w:p w14:paraId="72773B12" w14:textId="77777777" w:rsidR="00B10FDE" w:rsidRPr="00B0658A" w:rsidRDefault="00B10FDE" w:rsidP="000A4114">
            <w:pPr>
              <w:spacing w:after="0" w:line="240" w:lineRule="auto"/>
              <w:jc w:val="both"/>
              <w:rPr>
                <w:rFonts w:ascii="Times New Roman"/>
                <w:color w:val="auto"/>
                <w:sz w:val="20"/>
                <w:szCs w:val="20"/>
              </w:rPr>
            </w:pPr>
            <w:r w:rsidRPr="00B0658A">
              <w:rPr>
                <w:rFonts w:ascii="Times New Roman"/>
                <w:color w:val="auto"/>
                <w:sz w:val="20"/>
                <w:szCs w:val="20"/>
              </w:rPr>
              <w:t>1.2</w:t>
            </w:r>
          </w:p>
        </w:tc>
        <w:tc>
          <w:tcPr>
            <w:tcW w:w="1023" w:type="pct"/>
          </w:tcPr>
          <w:p w14:paraId="6322148D" w14:textId="77777777" w:rsidR="00B10FDE" w:rsidRPr="00B0658A" w:rsidRDefault="00B10FDE" w:rsidP="000A4114">
            <w:pPr>
              <w:spacing w:after="0" w:line="240" w:lineRule="auto"/>
              <w:jc w:val="both"/>
              <w:rPr>
                <w:rFonts w:ascii="Times New Roman"/>
                <w:color w:val="auto"/>
                <w:sz w:val="20"/>
                <w:szCs w:val="20"/>
              </w:rPr>
            </w:pPr>
          </w:p>
        </w:tc>
        <w:tc>
          <w:tcPr>
            <w:tcW w:w="886" w:type="pct"/>
          </w:tcPr>
          <w:p w14:paraId="2D7B5E88" w14:textId="77777777" w:rsidR="00B10FDE" w:rsidRPr="00B0658A" w:rsidRDefault="00B10FDE" w:rsidP="000A4114">
            <w:pPr>
              <w:spacing w:after="0" w:line="240" w:lineRule="auto"/>
              <w:jc w:val="both"/>
              <w:rPr>
                <w:rFonts w:ascii="Times New Roman"/>
                <w:color w:val="auto"/>
                <w:sz w:val="20"/>
                <w:szCs w:val="20"/>
              </w:rPr>
            </w:pPr>
          </w:p>
        </w:tc>
        <w:tc>
          <w:tcPr>
            <w:tcW w:w="895" w:type="pct"/>
          </w:tcPr>
          <w:p w14:paraId="70E6642A" w14:textId="77777777" w:rsidR="00B10FDE" w:rsidRPr="00B0658A" w:rsidRDefault="00B10FDE" w:rsidP="000A4114">
            <w:pPr>
              <w:spacing w:after="0" w:line="240" w:lineRule="auto"/>
              <w:jc w:val="both"/>
              <w:rPr>
                <w:rFonts w:ascii="Times New Roman"/>
                <w:color w:val="auto"/>
                <w:sz w:val="20"/>
                <w:szCs w:val="20"/>
              </w:rPr>
            </w:pPr>
          </w:p>
        </w:tc>
        <w:tc>
          <w:tcPr>
            <w:tcW w:w="873" w:type="pct"/>
          </w:tcPr>
          <w:p w14:paraId="519D9A84" w14:textId="77777777" w:rsidR="00B10FDE" w:rsidRPr="00B0658A" w:rsidRDefault="00B10FDE" w:rsidP="000A4114">
            <w:pPr>
              <w:spacing w:after="0" w:line="240" w:lineRule="auto"/>
              <w:jc w:val="both"/>
              <w:rPr>
                <w:rFonts w:ascii="Times New Roman"/>
                <w:color w:val="auto"/>
                <w:sz w:val="20"/>
                <w:szCs w:val="20"/>
              </w:rPr>
            </w:pPr>
          </w:p>
        </w:tc>
        <w:tc>
          <w:tcPr>
            <w:tcW w:w="1139" w:type="pct"/>
          </w:tcPr>
          <w:p w14:paraId="263D8C27" w14:textId="77777777" w:rsidR="00B10FDE" w:rsidRPr="00B0658A" w:rsidRDefault="00B10FDE" w:rsidP="000A4114">
            <w:pPr>
              <w:spacing w:after="0" w:line="240" w:lineRule="auto"/>
              <w:jc w:val="both"/>
              <w:rPr>
                <w:rFonts w:ascii="Times New Roman"/>
                <w:color w:val="auto"/>
                <w:sz w:val="20"/>
                <w:szCs w:val="20"/>
              </w:rPr>
            </w:pPr>
          </w:p>
        </w:tc>
      </w:tr>
      <w:tr w:rsidR="00F52FED" w:rsidRPr="00B0658A" w14:paraId="31076FDD" w14:textId="77777777" w:rsidTr="00B10FDE">
        <w:tc>
          <w:tcPr>
            <w:tcW w:w="184" w:type="pct"/>
          </w:tcPr>
          <w:p w14:paraId="1DB1456A" w14:textId="77777777" w:rsidR="00B10FDE" w:rsidRPr="00B0658A" w:rsidRDefault="00B10FDE" w:rsidP="000A4114">
            <w:pPr>
              <w:spacing w:after="0" w:line="240" w:lineRule="auto"/>
              <w:jc w:val="both"/>
              <w:rPr>
                <w:rFonts w:ascii="Times New Roman"/>
                <w:color w:val="auto"/>
                <w:sz w:val="20"/>
                <w:szCs w:val="20"/>
              </w:rPr>
            </w:pPr>
            <w:r w:rsidRPr="00B0658A">
              <w:rPr>
                <w:rFonts w:ascii="Times New Roman"/>
                <w:color w:val="auto"/>
                <w:sz w:val="20"/>
                <w:szCs w:val="20"/>
              </w:rPr>
              <w:t>…</w:t>
            </w:r>
          </w:p>
        </w:tc>
        <w:tc>
          <w:tcPr>
            <w:tcW w:w="1023" w:type="pct"/>
          </w:tcPr>
          <w:p w14:paraId="34C0C1E2" w14:textId="77777777" w:rsidR="00B10FDE" w:rsidRPr="00B0658A" w:rsidRDefault="00B10FDE" w:rsidP="000A4114">
            <w:pPr>
              <w:spacing w:after="0" w:line="240" w:lineRule="auto"/>
              <w:jc w:val="both"/>
              <w:rPr>
                <w:rFonts w:ascii="Times New Roman"/>
                <w:color w:val="auto"/>
                <w:sz w:val="20"/>
                <w:szCs w:val="20"/>
              </w:rPr>
            </w:pPr>
          </w:p>
        </w:tc>
        <w:tc>
          <w:tcPr>
            <w:tcW w:w="886" w:type="pct"/>
          </w:tcPr>
          <w:p w14:paraId="61DAD4CA" w14:textId="77777777" w:rsidR="00B10FDE" w:rsidRPr="00B0658A" w:rsidRDefault="00B10FDE" w:rsidP="000A4114">
            <w:pPr>
              <w:spacing w:after="0" w:line="240" w:lineRule="auto"/>
              <w:jc w:val="both"/>
              <w:rPr>
                <w:rFonts w:ascii="Times New Roman"/>
                <w:color w:val="auto"/>
                <w:sz w:val="20"/>
                <w:szCs w:val="20"/>
              </w:rPr>
            </w:pPr>
          </w:p>
        </w:tc>
        <w:tc>
          <w:tcPr>
            <w:tcW w:w="895" w:type="pct"/>
          </w:tcPr>
          <w:p w14:paraId="2322337C" w14:textId="77777777" w:rsidR="00B10FDE" w:rsidRPr="00B0658A" w:rsidRDefault="00B10FDE" w:rsidP="000A4114">
            <w:pPr>
              <w:spacing w:after="0" w:line="240" w:lineRule="auto"/>
              <w:jc w:val="both"/>
              <w:rPr>
                <w:rFonts w:ascii="Times New Roman"/>
                <w:color w:val="auto"/>
                <w:sz w:val="20"/>
                <w:szCs w:val="20"/>
              </w:rPr>
            </w:pPr>
          </w:p>
        </w:tc>
        <w:tc>
          <w:tcPr>
            <w:tcW w:w="873" w:type="pct"/>
          </w:tcPr>
          <w:p w14:paraId="721DD750" w14:textId="77777777" w:rsidR="00B10FDE" w:rsidRPr="00B0658A" w:rsidRDefault="00B10FDE" w:rsidP="000A4114">
            <w:pPr>
              <w:spacing w:after="0" w:line="240" w:lineRule="auto"/>
              <w:jc w:val="both"/>
              <w:rPr>
                <w:rFonts w:ascii="Times New Roman"/>
                <w:color w:val="auto"/>
                <w:sz w:val="20"/>
                <w:szCs w:val="20"/>
              </w:rPr>
            </w:pPr>
          </w:p>
        </w:tc>
        <w:tc>
          <w:tcPr>
            <w:tcW w:w="1139" w:type="pct"/>
          </w:tcPr>
          <w:p w14:paraId="7DDA0BE6" w14:textId="77777777" w:rsidR="00B10FDE" w:rsidRPr="00B0658A" w:rsidRDefault="00B10FDE" w:rsidP="000A4114">
            <w:pPr>
              <w:spacing w:after="0" w:line="240" w:lineRule="auto"/>
              <w:jc w:val="both"/>
              <w:rPr>
                <w:rFonts w:ascii="Times New Roman"/>
                <w:color w:val="auto"/>
                <w:sz w:val="20"/>
                <w:szCs w:val="20"/>
              </w:rPr>
            </w:pPr>
          </w:p>
        </w:tc>
      </w:tr>
      <w:tr w:rsidR="00F52FED" w:rsidRPr="00B0658A" w14:paraId="21A5648D" w14:textId="77777777" w:rsidTr="00B10FDE">
        <w:tc>
          <w:tcPr>
            <w:tcW w:w="184" w:type="pct"/>
          </w:tcPr>
          <w:p w14:paraId="055B4E20" w14:textId="77777777" w:rsidR="00B10FDE" w:rsidRPr="00B0658A" w:rsidRDefault="00B10FDE" w:rsidP="000A4114">
            <w:pPr>
              <w:spacing w:after="0" w:line="240" w:lineRule="auto"/>
              <w:jc w:val="both"/>
              <w:rPr>
                <w:rFonts w:ascii="Times New Roman"/>
                <w:color w:val="auto"/>
                <w:sz w:val="20"/>
                <w:szCs w:val="20"/>
              </w:rPr>
            </w:pPr>
            <w:r w:rsidRPr="00B0658A">
              <w:rPr>
                <w:rFonts w:ascii="Times New Roman"/>
                <w:color w:val="auto"/>
                <w:sz w:val="20"/>
                <w:szCs w:val="20"/>
                <w:lang w:val="en-US"/>
              </w:rPr>
              <w:t>1.n</w:t>
            </w:r>
          </w:p>
        </w:tc>
        <w:tc>
          <w:tcPr>
            <w:tcW w:w="1023" w:type="pct"/>
          </w:tcPr>
          <w:p w14:paraId="1AD0D720" w14:textId="77777777" w:rsidR="00B10FDE" w:rsidRPr="00B0658A" w:rsidRDefault="00B10FDE" w:rsidP="000A4114">
            <w:pPr>
              <w:spacing w:after="0" w:line="240" w:lineRule="auto"/>
              <w:jc w:val="both"/>
              <w:rPr>
                <w:rFonts w:ascii="Times New Roman"/>
                <w:color w:val="auto"/>
                <w:sz w:val="20"/>
                <w:szCs w:val="20"/>
              </w:rPr>
            </w:pPr>
          </w:p>
        </w:tc>
        <w:tc>
          <w:tcPr>
            <w:tcW w:w="886" w:type="pct"/>
          </w:tcPr>
          <w:p w14:paraId="58D9B4A0" w14:textId="77777777" w:rsidR="00B10FDE" w:rsidRPr="00B0658A" w:rsidRDefault="00B10FDE" w:rsidP="000A4114">
            <w:pPr>
              <w:spacing w:after="0" w:line="240" w:lineRule="auto"/>
              <w:jc w:val="both"/>
              <w:rPr>
                <w:rFonts w:ascii="Times New Roman"/>
                <w:color w:val="auto"/>
                <w:sz w:val="20"/>
                <w:szCs w:val="20"/>
              </w:rPr>
            </w:pPr>
          </w:p>
        </w:tc>
        <w:tc>
          <w:tcPr>
            <w:tcW w:w="895" w:type="pct"/>
          </w:tcPr>
          <w:p w14:paraId="32F33B56" w14:textId="77777777" w:rsidR="00B10FDE" w:rsidRPr="00B0658A" w:rsidRDefault="00B10FDE" w:rsidP="000A4114">
            <w:pPr>
              <w:spacing w:after="0" w:line="240" w:lineRule="auto"/>
              <w:jc w:val="both"/>
              <w:rPr>
                <w:rFonts w:ascii="Times New Roman"/>
                <w:color w:val="auto"/>
                <w:sz w:val="20"/>
                <w:szCs w:val="20"/>
              </w:rPr>
            </w:pPr>
          </w:p>
        </w:tc>
        <w:tc>
          <w:tcPr>
            <w:tcW w:w="873" w:type="pct"/>
          </w:tcPr>
          <w:p w14:paraId="38382A95" w14:textId="77777777" w:rsidR="00B10FDE" w:rsidRPr="00B0658A" w:rsidRDefault="00B10FDE" w:rsidP="000A4114">
            <w:pPr>
              <w:spacing w:after="0" w:line="240" w:lineRule="auto"/>
              <w:jc w:val="both"/>
              <w:rPr>
                <w:rFonts w:ascii="Times New Roman"/>
                <w:color w:val="auto"/>
                <w:sz w:val="20"/>
                <w:szCs w:val="20"/>
              </w:rPr>
            </w:pPr>
          </w:p>
        </w:tc>
        <w:tc>
          <w:tcPr>
            <w:tcW w:w="1139" w:type="pct"/>
          </w:tcPr>
          <w:p w14:paraId="5DC675E3" w14:textId="77777777" w:rsidR="00B10FDE" w:rsidRPr="00B0658A" w:rsidRDefault="00B10FDE" w:rsidP="000A4114">
            <w:pPr>
              <w:spacing w:after="0" w:line="240" w:lineRule="auto"/>
              <w:jc w:val="both"/>
              <w:rPr>
                <w:rFonts w:ascii="Times New Roman"/>
                <w:color w:val="auto"/>
                <w:sz w:val="20"/>
                <w:szCs w:val="20"/>
              </w:rPr>
            </w:pPr>
          </w:p>
        </w:tc>
      </w:tr>
      <w:tr w:rsidR="00F52FED" w:rsidRPr="00B0658A" w14:paraId="207BEB77" w14:textId="77777777" w:rsidTr="00B10FDE">
        <w:tc>
          <w:tcPr>
            <w:tcW w:w="5000" w:type="pct"/>
            <w:gridSpan w:val="6"/>
          </w:tcPr>
          <w:p w14:paraId="610F3BF4" w14:textId="77777777" w:rsidR="00B10FDE" w:rsidRPr="00B0658A" w:rsidRDefault="00B10FDE" w:rsidP="000A4114">
            <w:pPr>
              <w:spacing w:after="0" w:line="240" w:lineRule="auto"/>
              <w:rPr>
                <w:rFonts w:ascii="Times New Roman"/>
                <w:color w:val="auto"/>
                <w:sz w:val="20"/>
                <w:szCs w:val="20"/>
              </w:rPr>
            </w:pPr>
            <w:r w:rsidRPr="00B0658A">
              <w:rPr>
                <w:rFonts w:ascii="Times New Roman"/>
                <w:b/>
                <w:color w:val="auto"/>
                <w:sz w:val="20"/>
                <w:szCs w:val="20"/>
              </w:rPr>
              <w:t>2. Мероприятия в отношении ________ (наименование значимого объекта КИИ №2)</w:t>
            </w:r>
          </w:p>
        </w:tc>
      </w:tr>
      <w:tr w:rsidR="00F52FED" w:rsidRPr="00B0658A" w14:paraId="0B68170B" w14:textId="77777777" w:rsidTr="00B10FDE">
        <w:tc>
          <w:tcPr>
            <w:tcW w:w="184" w:type="pct"/>
          </w:tcPr>
          <w:p w14:paraId="4D04F651" w14:textId="77777777" w:rsidR="00B10FDE" w:rsidRPr="00B0658A" w:rsidRDefault="00B10FDE" w:rsidP="000A4114">
            <w:pPr>
              <w:spacing w:after="0" w:line="240" w:lineRule="auto"/>
              <w:jc w:val="both"/>
              <w:rPr>
                <w:rFonts w:ascii="Times New Roman"/>
                <w:color w:val="auto"/>
                <w:sz w:val="20"/>
                <w:szCs w:val="20"/>
                <w:lang w:val="en-US"/>
              </w:rPr>
            </w:pPr>
            <w:r w:rsidRPr="00B0658A">
              <w:rPr>
                <w:rFonts w:ascii="Times New Roman"/>
                <w:color w:val="auto"/>
                <w:sz w:val="20"/>
                <w:szCs w:val="20"/>
                <w:lang w:val="en-US"/>
              </w:rPr>
              <w:t>2.1</w:t>
            </w:r>
          </w:p>
        </w:tc>
        <w:tc>
          <w:tcPr>
            <w:tcW w:w="1023" w:type="pct"/>
          </w:tcPr>
          <w:p w14:paraId="526A6335" w14:textId="77777777" w:rsidR="00B10FDE" w:rsidRPr="00B0658A" w:rsidRDefault="00B10FDE" w:rsidP="000A4114">
            <w:pPr>
              <w:spacing w:after="0" w:line="240" w:lineRule="auto"/>
              <w:jc w:val="both"/>
              <w:rPr>
                <w:rFonts w:ascii="Times New Roman"/>
                <w:color w:val="auto"/>
                <w:sz w:val="20"/>
                <w:szCs w:val="20"/>
              </w:rPr>
            </w:pPr>
          </w:p>
        </w:tc>
        <w:tc>
          <w:tcPr>
            <w:tcW w:w="886" w:type="pct"/>
          </w:tcPr>
          <w:p w14:paraId="566CC3AA" w14:textId="77777777" w:rsidR="00B10FDE" w:rsidRPr="00B0658A" w:rsidRDefault="00B10FDE" w:rsidP="000A4114">
            <w:pPr>
              <w:spacing w:after="0" w:line="240" w:lineRule="auto"/>
              <w:jc w:val="both"/>
              <w:rPr>
                <w:rFonts w:ascii="Times New Roman"/>
                <w:color w:val="auto"/>
                <w:sz w:val="20"/>
                <w:szCs w:val="20"/>
              </w:rPr>
            </w:pPr>
          </w:p>
        </w:tc>
        <w:tc>
          <w:tcPr>
            <w:tcW w:w="895" w:type="pct"/>
          </w:tcPr>
          <w:p w14:paraId="259B41AD" w14:textId="77777777" w:rsidR="00B10FDE" w:rsidRPr="00B0658A" w:rsidRDefault="00B10FDE" w:rsidP="000A4114">
            <w:pPr>
              <w:spacing w:after="0" w:line="240" w:lineRule="auto"/>
              <w:jc w:val="both"/>
              <w:rPr>
                <w:rFonts w:ascii="Times New Roman"/>
                <w:color w:val="auto"/>
                <w:sz w:val="20"/>
                <w:szCs w:val="20"/>
              </w:rPr>
            </w:pPr>
          </w:p>
        </w:tc>
        <w:tc>
          <w:tcPr>
            <w:tcW w:w="873" w:type="pct"/>
          </w:tcPr>
          <w:p w14:paraId="5033596C" w14:textId="77777777" w:rsidR="00B10FDE" w:rsidRPr="00B0658A" w:rsidRDefault="00B10FDE" w:rsidP="000A4114">
            <w:pPr>
              <w:spacing w:after="0" w:line="240" w:lineRule="auto"/>
              <w:jc w:val="both"/>
              <w:rPr>
                <w:rFonts w:ascii="Times New Roman"/>
                <w:color w:val="auto"/>
                <w:sz w:val="20"/>
                <w:szCs w:val="20"/>
              </w:rPr>
            </w:pPr>
          </w:p>
        </w:tc>
        <w:tc>
          <w:tcPr>
            <w:tcW w:w="1139" w:type="pct"/>
          </w:tcPr>
          <w:p w14:paraId="5CFA5A53" w14:textId="77777777" w:rsidR="00B10FDE" w:rsidRPr="00B0658A" w:rsidRDefault="00B10FDE" w:rsidP="000A4114">
            <w:pPr>
              <w:spacing w:after="0" w:line="240" w:lineRule="auto"/>
              <w:jc w:val="both"/>
              <w:rPr>
                <w:rFonts w:ascii="Times New Roman"/>
                <w:color w:val="auto"/>
                <w:sz w:val="20"/>
                <w:szCs w:val="20"/>
              </w:rPr>
            </w:pPr>
          </w:p>
        </w:tc>
      </w:tr>
      <w:tr w:rsidR="00F52FED" w:rsidRPr="00B0658A" w14:paraId="6658F45A" w14:textId="77777777" w:rsidTr="00B10FDE">
        <w:tc>
          <w:tcPr>
            <w:tcW w:w="184" w:type="pct"/>
          </w:tcPr>
          <w:p w14:paraId="3348C242" w14:textId="77777777" w:rsidR="00B10FDE" w:rsidRPr="00B0658A" w:rsidRDefault="00B10FDE" w:rsidP="000A4114">
            <w:pPr>
              <w:spacing w:after="0" w:line="240" w:lineRule="auto"/>
              <w:jc w:val="both"/>
              <w:rPr>
                <w:rFonts w:ascii="Times New Roman"/>
                <w:color w:val="auto"/>
                <w:sz w:val="20"/>
                <w:szCs w:val="20"/>
                <w:lang w:val="en-US"/>
              </w:rPr>
            </w:pPr>
            <w:r w:rsidRPr="00B0658A">
              <w:rPr>
                <w:rFonts w:ascii="Times New Roman"/>
                <w:color w:val="auto"/>
                <w:sz w:val="20"/>
                <w:szCs w:val="20"/>
                <w:lang w:val="en-US"/>
              </w:rPr>
              <w:t>2.2</w:t>
            </w:r>
          </w:p>
        </w:tc>
        <w:tc>
          <w:tcPr>
            <w:tcW w:w="1023" w:type="pct"/>
          </w:tcPr>
          <w:p w14:paraId="09513FD6" w14:textId="77777777" w:rsidR="00B10FDE" w:rsidRPr="00B0658A" w:rsidRDefault="00B10FDE" w:rsidP="000A4114">
            <w:pPr>
              <w:spacing w:after="0" w:line="240" w:lineRule="auto"/>
              <w:jc w:val="both"/>
              <w:rPr>
                <w:rFonts w:ascii="Times New Roman"/>
                <w:color w:val="auto"/>
                <w:sz w:val="20"/>
                <w:szCs w:val="20"/>
              </w:rPr>
            </w:pPr>
          </w:p>
        </w:tc>
        <w:tc>
          <w:tcPr>
            <w:tcW w:w="886" w:type="pct"/>
          </w:tcPr>
          <w:p w14:paraId="0D0AB0C3" w14:textId="77777777" w:rsidR="00B10FDE" w:rsidRPr="00B0658A" w:rsidRDefault="00B10FDE" w:rsidP="000A4114">
            <w:pPr>
              <w:spacing w:after="0" w:line="240" w:lineRule="auto"/>
              <w:jc w:val="both"/>
              <w:rPr>
                <w:rFonts w:ascii="Times New Roman"/>
                <w:color w:val="auto"/>
                <w:sz w:val="20"/>
                <w:szCs w:val="20"/>
              </w:rPr>
            </w:pPr>
          </w:p>
        </w:tc>
        <w:tc>
          <w:tcPr>
            <w:tcW w:w="895" w:type="pct"/>
          </w:tcPr>
          <w:p w14:paraId="6E2BEF45" w14:textId="77777777" w:rsidR="00B10FDE" w:rsidRPr="00B0658A" w:rsidRDefault="00B10FDE" w:rsidP="000A4114">
            <w:pPr>
              <w:spacing w:after="0" w:line="240" w:lineRule="auto"/>
              <w:jc w:val="both"/>
              <w:rPr>
                <w:rFonts w:ascii="Times New Roman"/>
                <w:color w:val="auto"/>
                <w:sz w:val="20"/>
                <w:szCs w:val="20"/>
              </w:rPr>
            </w:pPr>
          </w:p>
        </w:tc>
        <w:tc>
          <w:tcPr>
            <w:tcW w:w="873" w:type="pct"/>
          </w:tcPr>
          <w:p w14:paraId="26872061" w14:textId="77777777" w:rsidR="00B10FDE" w:rsidRPr="00B0658A" w:rsidRDefault="00B10FDE" w:rsidP="000A4114">
            <w:pPr>
              <w:spacing w:after="0" w:line="240" w:lineRule="auto"/>
              <w:jc w:val="both"/>
              <w:rPr>
                <w:rFonts w:ascii="Times New Roman"/>
                <w:color w:val="auto"/>
                <w:sz w:val="20"/>
                <w:szCs w:val="20"/>
              </w:rPr>
            </w:pPr>
          </w:p>
        </w:tc>
        <w:tc>
          <w:tcPr>
            <w:tcW w:w="1139" w:type="pct"/>
          </w:tcPr>
          <w:p w14:paraId="28F1FBE3" w14:textId="77777777" w:rsidR="00B10FDE" w:rsidRPr="00B0658A" w:rsidRDefault="00B10FDE" w:rsidP="000A4114">
            <w:pPr>
              <w:spacing w:after="0" w:line="240" w:lineRule="auto"/>
              <w:jc w:val="both"/>
              <w:rPr>
                <w:rFonts w:ascii="Times New Roman"/>
                <w:color w:val="auto"/>
                <w:sz w:val="20"/>
                <w:szCs w:val="20"/>
              </w:rPr>
            </w:pPr>
          </w:p>
        </w:tc>
      </w:tr>
      <w:tr w:rsidR="00F52FED" w:rsidRPr="00B0658A" w14:paraId="3F41B79D" w14:textId="77777777" w:rsidTr="00B10FDE">
        <w:tc>
          <w:tcPr>
            <w:tcW w:w="184" w:type="pct"/>
          </w:tcPr>
          <w:p w14:paraId="7DA30612" w14:textId="77777777" w:rsidR="00B10FDE" w:rsidRPr="00B0658A" w:rsidRDefault="00B10FDE" w:rsidP="000A4114">
            <w:pPr>
              <w:spacing w:after="0" w:line="240" w:lineRule="auto"/>
              <w:jc w:val="both"/>
              <w:rPr>
                <w:rFonts w:ascii="Times New Roman"/>
                <w:color w:val="auto"/>
                <w:sz w:val="20"/>
                <w:szCs w:val="20"/>
                <w:lang w:val="en-US"/>
              </w:rPr>
            </w:pPr>
            <w:r w:rsidRPr="00B0658A">
              <w:rPr>
                <w:rFonts w:ascii="Times New Roman"/>
                <w:color w:val="auto"/>
                <w:sz w:val="20"/>
                <w:szCs w:val="20"/>
                <w:lang w:val="en-US"/>
              </w:rPr>
              <w:t>…</w:t>
            </w:r>
          </w:p>
        </w:tc>
        <w:tc>
          <w:tcPr>
            <w:tcW w:w="1023" w:type="pct"/>
          </w:tcPr>
          <w:p w14:paraId="722CD786" w14:textId="77777777" w:rsidR="00B10FDE" w:rsidRPr="00B0658A" w:rsidRDefault="00B10FDE" w:rsidP="000A4114">
            <w:pPr>
              <w:spacing w:after="0" w:line="240" w:lineRule="auto"/>
              <w:jc w:val="both"/>
              <w:rPr>
                <w:rFonts w:ascii="Times New Roman"/>
                <w:color w:val="auto"/>
                <w:sz w:val="20"/>
                <w:szCs w:val="20"/>
              </w:rPr>
            </w:pPr>
          </w:p>
        </w:tc>
        <w:tc>
          <w:tcPr>
            <w:tcW w:w="886" w:type="pct"/>
          </w:tcPr>
          <w:p w14:paraId="3D551A9A" w14:textId="77777777" w:rsidR="00B10FDE" w:rsidRPr="00B0658A" w:rsidRDefault="00B10FDE" w:rsidP="000A4114">
            <w:pPr>
              <w:spacing w:after="0" w:line="240" w:lineRule="auto"/>
              <w:jc w:val="both"/>
              <w:rPr>
                <w:rFonts w:ascii="Times New Roman"/>
                <w:color w:val="auto"/>
                <w:sz w:val="20"/>
                <w:szCs w:val="20"/>
              </w:rPr>
            </w:pPr>
          </w:p>
        </w:tc>
        <w:tc>
          <w:tcPr>
            <w:tcW w:w="895" w:type="pct"/>
          </w:tcPr>
          <w:p w14:paraId="04EA6795" w14:textId="77777777" w:rsidR="00B10FDE" w:rsidRPr="00B0658A" w:rsidRDefault="00B10FDE" w:rsidP="000A4114">
            <w:pPr>
              <w:spacing w:after="0" w:line="240" w:lineRule="auto"/>
              <w:jc w:val="both"/>
              <w:rPr>
                <w:rFonts w:ascii="Times New Roman"/>
                <w:color w:val="auto"/>
                <w:sz w:val="20"/>
                <w:szCs w:val="20"/>
              </w:rPr>
            </w:pPr>
          </w:p>
        </w:tc>
        <w:tc>
          <w:tcPr>
            <w:tcW w:w="873" w:type="pct"/>
          </w:tcPr>
          <w:p w14:paraId="2F94663E" w14:textId="77777777" w:rsidR="00B10FDE" w:rsidRPr="00B0658A" w:rsidRDefault="00B10FDE" w:rsidP="000A4114">
            <w:pPr>
              <w:spacing w:after="0" w:line="240" w:lineRule="auto"/>
              <w:jc w:val="both"/>
              <w:rPr>
                <w:rFonts w:ascii="Times New Roman"/>
                <w:color w:val="auto"/>
                <w:sz w:val="20"/>
                <w:szCs w:val="20"/>
              </w:rPr>
            </w:pPr>
          </w:p>
        </w:tc>
        <w:tc>
          <w:tcPr>
            <w:tcW w:w="1139" w:type="pct"/>
          </w:tcPr>
          <w:p w14:paraId="6B232B51" w14:textId="77777777" w:rsidR="00B10FDE" w:rsidRPr="00B0658A" w:rsidRDefault="00B10FDE" w:rsidP="000A4114">
            <w:pPr>
              <w:spacing w:after="0" w:line="240" w:lineRule="auto"/>
              <w:jc w:val="both"/>
              <w:rPr>
                <w:rFonts w:ascii="Times New Roman"/>
                <w:color w:val="auto"/>
                <w:sz w:val="20"/>
                <w:szCs w:val="20"/>
              </w:rPr>
            </w:pPr>
          </w:p>
        </w:tc>
      </w:tr>
      <w:tr w:rsidR="00F52FED" w:rsidRPr="00B0658A" w14:paraId="54E487EA" w14:textId="77777777" w:rsidTr="00B10FDE">
        <w:tc>
          <w:tcPr>
            <w:tcW w:w="184" w:type="pct"/>
          </w:tcPr>
          <w:p w14:paraId="572DDF2C" w14:textId="77777777" w:rsidR="00B10FDE" w:rsidRPr="00B0658A" w:rsidRDefault="00B10FDE" w:rsidP="000A4114">
            <w:pPr>
              <w:spacing w:after="0" w:line="240" w:lineRule="auto"/>
              <w:jc w:val="both"/>
              <w:rPr>
                <w:rFonts w:ascii="Times New Roman"/>
                <w:color w:val="auto"/>
                <w:sz w:val="20"/>
                <w:szCs w:val="20"/>
                <w:lang w:val="en-US"/>
              </w:rPr>
            </w:pPr>
            <w:r w:rsidRPr="00B0658A">
              <w:rPr>
                <w:rFonts w:ascii="Times New Roman"/>
                <w:color w:val="auto"/>
                <w:sz w:val="20"/>
                <w:szCs w:val="20"/>
                <w:lang w:val="en-US"/>
              </w:rPr>
              <w:t>2.n</w:t>
            </w:r>
          </w:p>
        </w:tc>
        <w:tc>
          <w:tcPr>
            <w:tcW w:w="1023" w:type="pct"/>
          </w:tcPr>
          <w:p w14:paraId="15D76C5C" w14:textId="77777777" w:rsidR="00B10FDE" w:rsidRPr="00B0658A" w:rsidRDefault="00B10FDE" w:rsidP="000A4114">
            <w:pPr>
              <w:spacing w:after="0" w:line="240" w:lineRule="auto"/>
              <w:jc w:val="both"/>
              <w:rPr>
                <w:rFonts w:ascii="Times New Roman"/>
                <w:color w:val="auto"/>
                <w:sz w:val="20"/>
                <w:szCs w:val="20"/>
              </w:rPr>
            </w:pPr>
          </w:p>
        </w:tc>
        <w:tc>
          <w:tcPr>
            <w:tcW w:w="886" w:type="pct"/>
          </w:tcPr>
          <w:p w14:paraId="0464C2F1" w14:textId="77777777" w:rsidR="00B10FDE" w:rsidRPr="00B0658A" w:rsidRDefault="00B10FDE" w:rsidP="000A4114">
            <w:pPr>
              <w:spacing w:after="0" w:line="240" w:lineRule="auto"/>
              <w:jc w:val="both"/>
              <w:rPr>
                <w:rFonts w:ascii="Times New Roman"/>
                <w:color w:val="auto"/>
                <w:sz w:val="20"/>
                <w:szCs w:val="20"/>
              </w:rPr>
            </w:pPr>
          </w:p>
        </w:tc>
        <w:tc>
          <w:tcPr>
            <w:tcW w:w="895" w:type="pct"/>
          </w:tcPr>
          <w:p w14:paraId="28974FE6" w14:textId="77777777" w:rsidR="00B10FDE" w:rsidRPr="00B0658A" w:rsidRDefault="00B10FDE" w:rsidP="000A4114">
            <w:pPr>
              <w:spacing w:after="0" w:line="240" w:lineRule="auto"/>
              <w:jc w:val="both"/>
              <w:rPr>
                <w:rFonts w:ascii="Times New Roman"/>
                <w:color w:val="auto"/>
                <w:sz w:val="20"/>
                <w:szCs w:val="20"/>
              </w:rPr>
            </w:pPr>
          </w:p>
        </w:tc>
        <w:tc>
          <w:tcPr>
            <w:tcW w:w="873" w:type="pct"/>
          </w:tcPr>
          <w:p w14:paraId="4FE0F4CF" w14:textId="77777777" w:rsidR="00B10FDE" w:rsidRPr="00B0658A" w:rsidRDefault="00B10FDE" w:rsidP="000A4114">
            <w:pPr>
              <w:spacing w:after="0" w:line="240" w:lineRule="auto"/>
              <w:jc w:val="both"/>
              <w:rPr>
                <w:rFonts w:ascii="Times New Roman"/>
                <w:color w:val="auto"/>
                <w:sz w:val="20"/>
                <w:szCs w:val="20"/>
              </w:rPr>
            </w:pPr>
          </w:p>
        </w:tc>
        <w:tc>
          <w:tcPr>
            <w:tcW w:w="1139" w:type="pct"/>
          </w:tcPr>
          <w:p w14:paraId="041C8344" w14:textId="77777777" w:rsidR="00B10FDE" w:rsidRPr="00B0658A" w:rsidRDefault="00B10FDE" w:rsidP="000A4114">
            <w:pPr>
              <w:spacing w:after="0" w:line="240" w:lineRule="auto"/>
              <w:jc w:val="both"/>
              <w:rPr>
                <w:rFonts w:ascii="Times New Roman"/>
                <w:color w:val="auto"/>
                <w:sz w:val="20"/>
                <w:szCs w:val="20"/>
              </w:rPr>
            </w:pPr>
          </w:p>
        </w:tc>
      </w:tr>
      <w:tr w:rsidR="00F52FED" w:rsidRPr="00B0658A" w14:paraId="201A4F1C" w14:textId="77777777" w:rsidTr="00B10FDE">
        <w:tc>
          <w:tcPr>
            <w:tcW w:w="184" w:type="pct"/>
          </w:tcPr>
          <w:p w14:paraId="5E3F0F65" w14:textId="77777777" w:rsidR="00B10FDE" w:rsidRPr="00B0658A" w:rsidRDefault="00B10FDE" w:rsidP="000A4114">
            <w:pPr>
              <w:spacing w:after="0" w:line="240" w:lineRule="auto"/>
              <w:jc w:val="both"/>
              <w:rPr>
                <w:rFonts w:ascii="Times New Roman"/>
                <w:color w:val="auto"/>
                <w:sz w:val="20"/>
                <w:szCs w:val="20"/>
                <w:lang w:val="en-US"/>
              </w:rPr>
            </w:pPr>
          </w:p>
        </w:tc>
        <w:tc>
          <w:tcPr>
            <w:tcW w:w="1023" w:type="pct"/>
          </w:tcPr>
          <w:p w14:paraId="343E8B68" w14:textId="77777777" w:rsidR="00B10FDE" w:rsidRPr="00B0658A" w:rsidRDefault="00B10FDE" w:rsidP="000A4114">
            <w:pPr>
              <w:spacing w:after="0" w:line="240" w:lineRule="auto"/>
              <w:jc w:val="both"/>
              <w:rPr>
                <w:rFonts w:ascii="Times New Roman"/>
                <w:color w:val="auto"/>
                <w:sz w:val="20"/>
                <w:szCs w:val="20"/>
              </w:rPr>
            </w:pPr>
          </w:p>
        </w:tc>
        <w:tc>
          <w:tcPr>
            <w:tcW w:w="886" w:type="pct"/>
          </w:tcPr>
          <w:p w14:paraId="5E76D5F8" w14:textId="77777777" w:rsidR="00B10FDE" w:rsidRPr="00B0658A" w:rsidRDefault="00B10FDE" w:rsidP="000A4114">
            <w:pPr>
              <w:spacing w:after="0" w:line="240" w:lineRule="auto"/>
              <w:jc w:val="both"/>
              <w:rPr>
                <w:rFonts w:ascii="Times New Roman"/>
                <w:color w:val="auto"/>
                <w:sz w:val="20"/>
                <w:szCs w:val="20"/>
              </w:rPr>
            </w:pPr>
          </w:p>
        </w:tc>
        <w:tc>
          <w:tcPr>
            <w:tcW w:w="895" w:type="pct"/>
          </w:tcPr>
          <w:p w14:paraId="0FFB65FC" w14:textId="77777777" w:rsidR="00B10FDE" w:rsidRPr="00B0658A" w:rsidRDefault="00B10FDE" w:rsidP="000A4114">
            <w:pPr>
              <w:spacing w:after="0" w:line="240" w:lineRule="auto"/>
              <w:jc w:val="both"/>
              <w:rPr>
                <w:rFonts w:ascii="Times New Roman"/>
                <w:color w:val="auto"/>
                <w:sz w:val="20"/>
                <w:szCs w:val="20"/>
              </w:rPr>
            </w:pPr>
          </w:p>
        </w:tc>
        <w:tc>
          <w:tcPr>
            <w:tcW w:w="873" w:type="pct"/>
          </w:tcPr>
          <w:p w14:paraId="3A8434B0" w14:textId="77777777" w:rsidR="00B10FDE" w:rsidRPr="00B0658A" w:rsidRDefault="00B10FDE" w:rsidP="000A4114">
            <w:pPr>
              <w:spacing w:after="0" w:line="240" w:lineRule="auto"/>
              <w:jc w:val="both"/>
              <w:rPr>
                <w:rFonts w:ascii="Times New Roman"/>
                <w:color w:val="auto"/>
                <w:sz w:val="20"/>
                <w:szCs w:val="20"/>
              </w:rPr>
            </w:pPr>
          </w:p>
        </w:tc>
        <w:tc>
          <w:tcPr>
            <w:tcW w:w="1139" w:type="pct"/>
          </w:tcPr>
          <w:p w14:paraId="7CE609FE" w14:textId="77777777" w:rsidR="00B10FDE" w:rsidRPr="00B0658A" w:rsidRDefault="00B10FDE" w:rsidP="000A4114">
            <w:pPr>
              <w:spacing w:after="0" w:line="240" w:lineRule="auto"/>
              <w:jc w:val="both"/>
              <w:rPr>
                <w:rFonts w:ascii="Times New Roman"/>
                <w:color w:val="auto"/>
                <w:sz w:val="20"/>
                <w:szCs w:val="20"/>
              </w:rPr>
            </w:pPr>
          </w:p>
        </w:tc>
      </w:tr>
      <w:tr w:rsidR="00F52FED" w:rsidRPr="00B0658A" w14:paraId="064752B4" w14:textId="77777777" w:rsidTr="00B10FDE">
        <w:tc>
          <w:tcPr>
            <w:tcW w:w="5000" w:type="pct"/>
            <w:gridSpan w:val="6"/>
          </w:tcPr>
          <w:p w14:paraId="2C59A623" w14:textId="77777777" w:rsidR="00B10FDE" w:rsidRPr="00B0658A" w:rsidRDefault="00B10FDE" w:rsidP="000A4114">
            <w:pPr>
              <w:spacing w:after="0" w:line="240" w:lineRule="auto"/>
              <w:rPr>
                <w:rFonts w:ascii="Times New Roman"/>
                <w:color w:val="auto"/>
                <w:sz w:val="20"/>
                <w:szCs w:val="20"/>
              </w:rPr>
            </w:pPr>
            <w:r w:rsidRPr="00B0658A">
              <w:rPr>
                <w:rFonts w:ascii="Times New Roman"/>
                <w:b/>
                <w:color w:val="auto"/>
                <w:sz w:val="20"/>
                <w:szCs w:val="20"/>
              </w:rPr>
              <w:t>N. Мероприятия в отношении ________ (наименование значимого объекта КИИ №N)</w:t>
            </w:r>
          </w:p>
        </w:tc>
      </w:tr>
      <w:tr w:rsidR="00F52FED" w:rsidRPr="00B0658A" w14:paraId="3BA984CB" w14:textId="77777777" w:rsidTr="00B10FDE">
        <w:tc>
          <w:tcPr>
            <w:tcW w:w="184" w:type="pct"/>
          </w:tcPr>
          <w:p w14:paraId="793C6987" w14:textId="77777777" w:rsidR="00B10FDE" w:rsidRPr="00B0658A" w:rsidRDefault="00B10FDE" w:rsidP="000A4114">
            <w:pPr>
              <w:spacing w:after="0" w:line="240" w:lineRule="auto"/>
              <w:jc w:val="both"/>
              <w:rPr>
                <w:rFonts w:ascii="Times New Roman"/>
                <w:color w:val="auto"/>
                <w:sz w:val="20"/>
                <w:szCs w:val="20"/>
                <w:lang w:val="en-US"/>
              </w:rPr>
            </w:pPr>
            <w:r w:rsidRPr="00B0658A">
              <w:rPr>
                <w:rFonts w:ascii="Times New Roman"/>
                <w:color w:val="auto"/>
                <w:sz w:val="20"/>
                <w:szCs w:val="20"/>
                <w:lang w:val="en-US"/>
              </w:rPr>
              <w:t>N.1</w:t>
            </w:r>
          </w:p>
        </w:tc>
        <w:tc>
          <w:tcPr>
            <w:tcW w:w="1023" w:type="pct"/>
          </w:tcPr>
          <w:p w14:paraId="1DA94B58" w14:textId="77777777" w:rsidR="00B10FDE" w:rsidRPr="00B0658A" w:rsidRDefault="00B10FDE" w:rsidP="000A4114">
            <w:pPr>
              <w:spacing w:after="0" w:line="240" w:lineRule="auto"/>
              <w:jc w:val="both"/>
              <w:rPr>
                <w:rFonts w:ascii="Times New Roman"/>
                <w:color w:val="auto"/>
                <w:sz w:val="20"/>
                <w:szCs w:val="20"/>
              </w:rPr>
            </w:pPr>
          </w:p>
        </w:tc>
        <w:tc>
          <w:tcPr>
            <w:tcW w:w="886" w:type="pct"/>
          </w:tcPr>
          <w:p w14:paraId="02BC26A5" w14:textId="77777777" w:rsidR="00B10FDE" w:rsidRPr="00B0658A" w:rsidRDefault="00B10FDE" w:rsidP="000A4114">
            <w:pPr>
              <w:spacing w:after="0" w:line="240" w:lineRule="auto"/>
              <w:jc w:val="both"/>
              <w:rPr>
                <w:rFonts w:ascii="Times New Roman"/>
                <w:color w:val="auto"/>
                <w:sz w:val="20"/>
                <w:szCs w:val="20"/>
              </w:rPr>
            </w:pPr>
          </w:p>
        </w:tc>
        <w:tc>
          <w:tcPr>
            <w:tcW w:w="895" w:type="pct"/>
          </w:tcPr>
          <w:p w14:paraId="072339D9" w14:textId="77777777" w:rsidR="00B10FDE" w:rsidRPr="00B0658A" w:rsidRDefault="00B10FDE" w:rsidP="000A4114">
            <w:pPr>
              <w:spacing w:after="0" w:line="240" w:lineRule="auto"/>
              <w:jc w:val="both"/>
              <w:rPr>
                <w:rFonts w:ascii="Times New Roman"/>
                <w:color w:val="auto"/>
                <w:sz w:val="20"/>
                <w:szCs w:val="20"/>
              </w:rPr>
            </w:pPr>
          </w:p>
        </w:tc>
        <w:tc>
          <w:tcPr>
            <w:tcW w:w="873" w:type="pct"/>
          </w:tcPr>
          <w:p w14:paraId="6D6EEC42" w14:textId="77777777" w:rsidR="00B10FDE" w:rsidRPr="00B0658A" w:rsidRDefault="00B10FDE" w:rsidP="000A4114">
            <w:pPr>
              <w:spacing w:after="0" w:line="240" w:lineRule="auto"/>
              <w:jc w:val="both"/>
              <w:rPr>
                <w:rFonts w:ascii="Times New Roman"/>
                <w:color w:val="auto"/>
                <w:sz w:val="20"/>
                <w:szCs w:val="20"/>
              </w:rPr>
            </w:pPr>
          </w:p>
        </w:tc>
        <w:tc>
          <w:tcPr>
            <w:tcW w:w="1139" w:type="pct"/>
          </w:tcPr>
          <w:p w14:paraId="536A9A2D" w14:textId="77777777" w:rsidR="00B10FDE" w:rsidRPr="00B0658A" w:rsidRDefault="00B10FDE" w:rsidP="000A4114">
            <w:pPr>
              <w:spacing w:after="0" w:line="240" w:lineRule="auto"/>
              <w:jc w:val="both"/>
              <w:rPr>
                <w:rFonts w:ascii="Times New Roman"/>
                <w:color w:val="auto"/>
                <w:sz w:val="20"/>
                <w:szCs w:val="20"/>
              </w:rPr>
            </w:pPr>
          </w:p>
        </w:tc>
      </w:tr>
      <w:tr w:rsidR="00F52FED" w:rsidRPr="00B0658A" w14:paraId="42B58840" w14:textId="77777777" w:rsidTr="00B10FDE">
        <w:tc>
          <w:tcPr>
            <w:tcW w:w="184" w:type="pct"/>
          </w:tcPr>
          <w:p w14:paraId="71582E6B" w14:textId="77777777" w:rsidR="00B10FDE" w:rsidRPr="00B0658A" w:rsidRDefault="00B10FDE" w:rsidP="000A4114">
            <w:pPr>
              <w:spacing w:after="0" w:line="240" w:lineRule="auto"/>
              <w:jc w:val="both"/>
              <w:rPr>
                <w:rFonts w:ascii="Times New Roman"/>
                <w:color w:val="auto"/>
                <w:sz w:val="20"/>
                <w:szCs w:val="20"/>
                <w:lang w:val="en-US"/>
              </w:rPr>
            </w:pPr>
            <w:r w:rsidRPr="00B0658A">
              <w:rPr>
                <w:rFonts w:ascii="Times New Roman"/>
                <w:color w:val="auto"/>
                <w:sz w:val="20"/>
                <w:szCs w:val="20"/>
                <w:lang w:val="en-US"/>
              </w:rPr>
              <w:t>N.2</w:t>
            </w:r>
          </w:p>
        </w:tc>
        <w:tc>
          <w:tcPr>
            <w:tcW w:w="1023" w:type="pct"/>
          </w:tcPr>
          <w:p w14:paraId="5EF9B46F" w14:textId="77777777" w:rsidR="00B10FDE" w:rsidRPr="00B0658A" w:rsidRDefault="00B10FDE" w:rsidP="000A4114">
            <w:pPr>
              <w:spacing w:after="0" w:line="240" w:lineRule="auto"/>
              <w:jc w:val="both"/>
              <w:rPr>
                <w:rFonts w:ascii="Times New Roman"/>
                <w:color w:val="auto"/>
                <w:sz w:val="20"/>
                <w:szCs w:val="20"/>
              </w:rPr>
            </w:pPr>
          </w:p>
        </w:tc>
        <w:tc>
          <w:tcPr>
            <w:tcW w:w="886" w:type="pct"/>
          </w:tcPr>
          <w:p w14:paraId="2C8BE004" w14:textId="77777777" w:rsidR="00B10FDE" w:rsidRPr="00B0658A" w:rsidRDefault="00B10FDE" w:rsidP="000A4114">
            <w:pPr>
              <w:spacing w:after="0" w:line="240" w:lineRule="auto"/>
              <w:jc w:val="both"/>
              <w:rPr>
                <w:rFonts w:ascii="Times New Roman"/>
                <w:color w:val="auto"/>
                <w:sz w:val="20"/>
                <w:szCs w:val="20"/>
              </w:rPr>
            </w:pPr>
          </w:p>
        </w:tc>
        <w:tc>
          <w:tcPr>
            <w:tcW w:w="895" w:type="pct"/>
          </w:tcPr>
          <w:p w14:paraId="0D1DBD31" w14:textId="77777777" w:rsidR="00B10FDE" w:rsidRPr="00B0658A" w:rsidRDefault="00B10FDE" w:rsidP="000A4114">
            <w:pPr>
              <w:spacing w:after="0" w:line="240" w:lineRule="auto"/>
              <w:jc w:val="both"/>
              <w:rPr>
                <w:rFonts w:ascii="Times New Roman"/>
                <w:color w:val="auto"/>
                <w:sz w:val="20"/>
                <w:szCs w:val="20"/>
              </w:rPr>
            </w:pPr>
          </w:p>
        </w:tc>
        <w:tc>
          <w:tcPr>
            <w:tcW w:w="873" w:type="pct"/>
          </w:tcPr>
          <w:p w14:paraId="48EFBC12" w14:textId="77777777" w:rsidR="00B10FDE" w:rsidRPr="00B0658A" w:rsidRDefault="00B10FDE" w:rsidP="000A4114">
            <w:pPr>
              <w:spacing w:after="0" w:line="240" w:lineRule="auto"/>
              <w:jc w:val="both"/>
              <w:rPr>
                <w:rFonts w:ascii="Times New Roman"/>
                <w:color w:val="auto"/>
                <w:sz w:val="20"/>
                <w:szCs w:val="20"/>
              </w:rPr>
            </w:pPr>
          </w:p>
        </w:tc>
        <w:tc>
          <w:tcPr>
            <w:tcW w:w="1139" w:type="pct"/>
          </w:tcPr>
          <w:p w14:paraId="300ECC04" w14:textId="77777777" w:rsidR="00B10FDE" w:rsidRPr="00B0658A" w:rsidRDefault="00B10FDE" w:rsidP="000A4114">
            <w:pPr>
              <w:spacing w:after="0" w:line="240" w:lineRule="auto"/>
              <w:jc w:val="both"/>
              <w:rPr>
                <w:rFonts w:ascii="Times New Roman"/>
                <w:color w:val="auto"/>
                <w:sz w:val="20"/>
                <w:szCs w:val="20"/>
              </w:rPr>
            </w:pPr>
          </w:p>
        </w:tc>
      </w:tr>
      <w:tr w:rsidR="00F52FED" w:rsidRPr="00B0658A" w14:paraId="72CB94C9" w14:textId="77777777" w:rsidTr="00B10FDE">
        <w:tc>
          <w:tcPr>
            <w:tcW w:w="184" w:type="pct"/>
          </w:tcPr>
          <w:p w14:paraId="4938CE13" w14:textId="77777777" w:rsidR="00B10FDE" w:rsidRPr="00B0658A" w:rsidRDefault="00B10FDE" w:rsidP="000A4114">
            <w:pPr>
              <w:spacing w:after="0" w:line="240" w:lineRule="auto"/>
              <w:jc w:val="both"/>
              <w:rPr>
                <w:rFonts w:ascii="Times New Roman"/>
                <w:color w:val="auto"/>
                <w:sz w:val="20"/>
                <w:szCs w:val="20"/>
                <w:lang w:val="en-US"/>
              </w:rPr>
            </w:pPr>
            <w:r w:rsidRPr="00B0658A">
              <w:rPr>
                <w:rFonts w:ascii="Times New Roman"/>
                <w:color w:val="auto"/>
                <w:sz w:val="20"/>
                <w:szCs w:val="20"/>
                <w:lang w:val="en-US"/>
              </w:rPr>
              <w:t>…</w:t>
            </w:r>
          </w:p>
        </w:tc>
        <w:tc>
          <w:tcPr>
            <w:tcW w:w="1023" w:type="pct"/>
          </w:tcPr>
          <w:p w14:paraId="23468C0A" w14:textId="77777777" w:rsidR="00B10FDE" w:rsidRPr="00B0658A" w:rsidRDefault="00B10FDE" w:rsidP="000A4114">
            <w:pPr>
              <w:spacing w:after="0" w:line="240" w:lineRule="auto"/>
              <w:jc w:val="both"/>
              <w:rPr>
                <w:rFonts w:ascii="Times New Roman"/>
                <w:color w:val="auto"/>
                <w:sz w:val="20"/>
                <w:szCs w:val="20"/>
              </w:rPr>
            </w:pPr>
          </w:p>
        </w:tc>
        <w:tc>
          <w:tcPr>
            <w:tcW w:w="886" w:type="pct"/>
          </w:tcPr>
          <w:p w14:paraId="64772D01" w14:textId="77777777" w:rsidR="00B10FDE" w:rsidRPr="00B0658A" w:rsidRDefault="00B10FDE" w:rsidP="000A4114">
            <w:pPr>
              <w:spacing w:after="0" w:line="240" w:lineRule="auto"/>
              <w:jc w:val="both"/>
              <w:rPr>
                <w:rFonts w:ascii="Times New Roman"/>
                <w:color w:val="auto"/>
                <w:sz w:val="20"/>
                <w:szCs w:val="20"/>
              </w:rPr>
            </w:pPr>
          </w:p>
        </w:tc>
        <w:tc>
          <w:tcPr>
            <w:tcW w:w="895" w:type="pct"/>
          </w:tcPr>
          <w:p w14:paraId="4B06633E" w14:textId="77777777" w:rsidR="00B10FDE" w:rsidRPr="00B0658A" w:rsidRDefault="00B10FDE" w:rsidP="000A4114">
            <w:pPr>
              <w:spacing w:after="0" w:line="240" w:lineRule="auto"/>
              <w:jc w:val="both"/>
              <w:rPr>
                <w:rFonts w:ascii="Times New Roman"/>
                <w:color w:val="auto"/>
                <w:sz w:val="20"/>
                <w:szCs w:val="20"/>
              </w:rPr>
            </w:pPr>
          </w:p>
        </w:tc>
        <w:tc>
          <w:tcPr>
            <w:tcW w:w="873" w:type="pct"/>
          </w:tcPr>
          <w:p w14:paraId="4F1A203B" w14:textId="77777777" w:rsidR="00B10FDE" w:rsidRPr="00B0658A" w:rsidRDefault="00B10FDE" w:rsidP="000A4114">
            <w:pPr>
              <w:spacing w:after="0" w:line="240" w:lineRule="auto"/>
              <w:jc w:val="both"/>
              <w:rPr>
                <w:rFonts w:ascii="Times New Roman"/>
                <w:color w:val="auto"/>
                <w:sz w:val="20"/>
                <w:szCs w:val="20"/>
              </w:rPr>
            </w:pPr>
          </w:p>
        </w:tc>
        <w:tc>
          <w:tcPr>
            <w:tcW w:w="1139" w:type="pct"/>
          </w:tcPr>
          <w:p w14:paraId="3853680D" w14:textId="77777777" w:rsidR="00B10FDE" w:rsidRPr="00B0658A" w:rsidRDefault="00B10FDE" w:rsidP="000A4114">
            <w:pPr>
              <w:spacing w:after="0" w:line="240" w:lineRule="auto"/>
              <w:jc w:val="both"/>
              <w:rPr>
                <w:rFonts w:ascii="Times New Roman"/>
                <w:color w:val="auto"/>
                <w:sz w:val="20"/>
                <w:szCs w:val="20"/>
              </w:rPr>
            </w:pPr>
          </w:p>
        </w:tc>
      </w:tr>
      <w:tr w:rsidR="00B10FDE" w:rsidRPr="00B0658A" w14:paraId="191116E6" w14:textId="77777777" w:rsidTr="00B10FDE">
        <w:tc>
          <w:tcPr>
            <w:tcW w:w="184" w:type="pct"/>
          </w:tcPr>
          <w:p w14:paraId="0717C99A" w14:textId="77777777" w:rsidR="00B10FDE" w:rsidRPr="00B0658A" w:rsidRDefault="00B10FDE" w:rsidP="000A4114">
            <w:pPr>
              <w:spacing w:after="0" w:line="240" w:lineRule="auto"/>
              <w:jc w:val="both"/>
              <w:rPr>
                <w:rFonts w:ascii="Times New Roman"/>
                <w:color w:val="auto"/>
                <w:sz w:val="20"/>
                <w:szCs w:val="20"/>
                <w:lang w:val="en-US"/>
              </w:rPr>
            </w:pPr>
            <w:r w:rsidRPr="00B0658A">
              <w:rPr>
                <w:rFonts w:ascii="Times New Roman"/>
                <w:color w:val="auto"/>
                <w:sz w:val="20"/>
                <w:szCs w:val="20"/>
                <w:lang w:val="en-US"/>
              </w:rPr>
              <w:t>N.n</w:t>
            </w:r>
          </w:p>
        </w:tc>
        <w:tc>
          <w:tcPr>
            <w:tcW w:w="1023" w:type="pct"/>
          </w:tcPr>
          <w:p w14:paraId="369DBFAF" w14:textId="77777777" w:rsidR="00B10FDE" w:rsidRPr="00B0658A" w:rsidRDefault="00B10FDE" w:rsidP="000A4114">
            <w:pPr>
              <w:spacing w:after="0" w:line="240" w:lineRule="auto"/>
              <w:jc w:val="both"/>
              <w:rPr>
                <w:rFonts w:ascii="Times New Roman"/>
                <w:color w:val="auto"/>
                <w:sz w:val="20"/>
                <w:szCs w:val="20"/>
              </w:rPr>
            </w:pPr>
          </w:p>
        </w:tc>
        <w:tc>
          <w:tcPr>
            <w:tcW w:w="886" w:type="pct"/>
          </w:tcPr>
          <w:p w14:paraId="5CCF72E4" w14:textId="77777777" w:rsidR="00B10FDE" w:rsidRPr="00B0658A" w:rsidRDefault="00B10FDE" w:rsidP="000A4114">
            <w:pPr>
              <w:spacing w:after="0" w:line="240" w:lineRule="auto"/>
              <w:jc w:val="both"/>
              <w:rPr>
                <w:rFonts w:ascii="Times New Roman"/>
                <w:color w:val="auto"/>
                <w:sz w:val="20"/>
                <w:szCs w:val="20"/>
              </w:rPr>
            </w:pPr>
          </w:p>
        </w:tc>
        <w:tc>
          <w:tcPr>
            <w:tcW w:w="895" w:type="pct"/>
          </w:tcPr>
          <w:p w14:paraId="1D777843" w14:textId="77777777" w:rsidR="00B10FDE" w:rsidRPr="00B0658A" w:rsidRDefault="00B10FDE" w:rsidP="000A4114">
            <w:pPr>
              <w:spacing w:after="0" w:line="240" w:lineRule="auto"/>
              <w:jc w:val="both"/>
              <w:rPr>
                <w:rFonts w:ascii="Times New Roman"/>
                <w:color w:val="auto"/>
                <w:sz w:val="20"/>
                <w:szCs w:val="20"/>
              </w:rPr>
            </w:pPr>
          </w:p>
        </w:tc>
        <w:tc>
          <w:tcPr>
            <w:tcW w:w="873" w:type="pct"/>
          </w:tcPr>
          <w:p w14:paraId="0B4D573E" w14:textId="77777777" w:rsidR="00B10FDE" w:rsidRPr="00B0658A" w:rsidRDefault="00B10FDE" w:rsidP="000A4114">
            <w:pPr>
              <w:spacing w:after="0" w:line="240" w:lineRule="auto"/>
              <w:jc w:val="both"/>
              <w:rPr>
                <w:rFonts w:ascii="Times New Roman"/>
                <w:color w:val="auto"/>
                <w:sz w:val="20"/>
                <w:szCs w:val="20"/>
              </w:rPr>
            </w:pPr>
          </w:p>
        </w:tc>
        <w:tc>
          <w:tcPr>
            <w:tcW w:w="1139" w:type="pct"/>
          </w:tcPr>
          <w:p w14:paraId="3118A224" w14:textId="77777777" w:rsidR="00B10FDE" w:rsidRPr="00B0658A" w:rsidRDefault="00B10FDE" w:rsidP="000A4114">
            <w:pPr>
              <w:spacing w:after="0" w:line="240" w:lineRule="auto"/>
              <w:jc w:val="both"/>
              <w:rPr>
                <w:rFonts w:ascii="Times New Roman"/>
                <w:color w:val="auto"/>
                <w:sz w:val="20"/>
                <w:szCs w:val="20"/>
              </w:rPr>
            </w:pPr>
          </w:p>
        </w:tc>
      </w:tr>
    </w:tbl>
    <w:p w14:paraId="3FA82489" w14:textId="77777777" w:rsidR="00B10FDE" w:rsidRPr="00B0658A" w:rsidRDefault="00B10FDE" w:rsidP="00B10FDE">
      <w:pPr>
        <w:spacing w:line="240" w:lineRule="auto"/>
        <w:jc w:val="both"/>
        <w:rPr>
          <w:rFonts w:ascii="Times New Roman" w:hAnsi="Times New Roman"/>
          <w:sz w:val="28"/>
          <w:szCs w:val="28"/>
        </w:rPr>
      </w:pPr>
    </w:p>
    <w:p w14:paraId="308E7157" w14:textId="77777777" w:rsidR="00B10FDE" w:rsidRPr="00B0658A" w:rsidRDefault="00B10FDE" w:rsidP="00B10FDE">
      <w:pPr>
        <w:spacing w:line="240" w:lineRule="auto"/>
        <w:ind w:firstLine="709"/>
        <w:jc w:val="both"/>
        <w:rPr>
          <w:rFonts w:ascii="Times New Roman" w:hAnsi="Times New Roman"/>
          <w:sz w:val="28"/>
          <w:szCs w:val="28"/>
        </w:rPr>
      </w:pPr>
      <w:r w:rsidRPr="00B0658A">
        <w:rPr>
          <w:rFonts w:ascii="Times New Roman" w:hAnsi="Times New Roman"/>
          <w:sz w:val="28"/>
          <w:szCs w:val="28"/>
        </w:rPr>
        <w:t xml:space="preserve">2. </w:t>
      </w:r>
      <w:r w:rsidRPr="00B0658A">
        <w:rPr>
          <w:rFonts w:ascii="Times New Roman" w:hAnsi="Times New Roman"/>
          <w:sz w:val="28"/>
          <w:szCs w:val="24"/>
        </w:rPr>
        <w:t>Сведения о достижении показателей эффективности перехода на использование российского ПО на значимых объектов КИИ</w:t>
      </w:r>
    </w:p>
    <w:tbl>
      <w:tblPr>
        <w:tblStyle w:val="afc"/>
        <w:tblW w:w="5000" w:type="pct"/>
        <w:tblLook w:val="0480" w:firstRow="0" w:lastRow="0" w:firstColumn="1" w:lastColumn="0" w:noHBand="0" w:noVBand="1"/>
      </w:tblPr>
      <w:tblGrid>
        <w:gridCol w:w="516"/>
        <w:gridCol w:w="3241"/>
        <w:gridCol w:w="1581"/>
        <w:gridCol w:w="3085"/>
        <w:gridCol w:w="2929"/>
        <w:gridCol w:w="2592"/>
      </w:tblGrid>
      <w:tr w:rsidR="00F52FED" w:rsidRPr="00B0658A" w14:paraId="5F6D7696" w14:textId="77777777" w:rsidTr="00F57B1F">
        <w:trPr>
          <w:trHeight w:val="1309"/>
          <w:tblHeader/>
        </w:trPr>
        <w:tc>
          <w:tcPr>
            <w:tcW w:w="197" w:type="pct"/>
            <w:vMerge w:val="restart"/>
            <w:shd w:val="clear" w:color="auto" w:fill="auto"/>
            <w:vAlign w:val="center"/>
          </w:tcPr>
          <w:p w14:paraId="639EDAB7" w14:textId="77777777" w:rsidR="00B10FDE" w:rsidRPr="00B0658A" w:rsidRDefault="00B10FDE" w:rsidP="000A4114">
            <w:pPr>
              <w:spacing w:after="0" w:line="240" w:lineRule="auto"/>
              <w:jc w:val="center"/>
              <w:rPr>
                <w:rFonts w:ascii="Times New Roman" w:hAnsi="Times New Roman"/>
                <w:b/>
                <w:bCs/>
                <w:sz w:val="20"/>
                <w:szCs w:val="20"/>
              </w:rPr>
            </w:pPr>
            <w:r w:rsidRPr="00B0658A">
              <w:rPr>
                <w:rFonts w:ascii="Times New Roman" w:hAnsi="Times New Roman"/>
                <w:b/>
                <w:bCs/>
                <w:sz w:val="20"/>
                <w:szCs w:val="20"/>
              </w:rPr>
              <w:t>№</w:t>
            </w:r>
          </w:p>
          <w:p w14:paraId="60397C97" w14:textId="77777777" w:rsidR="00B10FDE" w:rsidRPr="00B0658A" w:rsidRDefault="00B10FDE" w:rsidP="000A4114">
            <w:pPr>
              <w:spacing w:after="0" w:line="240" w:lineRule="auto"/>
              <w:jc w:val="center"/>
              <w:rPr>
                <w:rFonts w:ascii="Times New Roman" w:hAnsi="Times New Roman"/>
                <w:b/>
                <w:bCs/>
                <w:sz w:val="20"/>
                <w:szCs w:val="20"/>
              </w:rPr>
            </w:pPr>
          </w:p>
        </w:tc>
        <w:tc>
          <w:tcPr>
            <w:tcW w:w="1174" w:type="pct"/>
            <w:vMerge w:val="restart"/>
            <w:shd w:val="clear" w:color="auto" w:fill="auto"/>
            <w:vAlign w:val="center"/>
          </w:tcPr>
          <w:p w14:paraId="186D8C18" w14:textId="77777777" w:rsidR="00B10FDE" w:rsidRPr="00B0658A" w:rsidRDefault="00B10FDE" w:rsidP="000A4114">
            <w:pPr>
              <w:spacing w:after="0" w:line="240" w:lineRule="auto"/>
              <w:jc w:val="center"/>
              <w:rPr>
                <w:rFonts w:ascii="Times New Roman" w:hAnsi="Times New Roman"/>
                <w:b/>
                <w:bCs/>
                <w:sz w:val="20"/>
                <w:szCs w:val="20"/>
              </w:rPr>
            </w:pPr>
            <w:r w:rsidRPr="00B0658A">
              <w:rPr>
                <w:rFonts w:ascii="Times New Roman" w:hAnsi="Times New Roman"/>
                <w:b/>
                <w:bCs/>
                <w:sz w:val="20"/>
                <w:szCs w:val="20"/>
              </w:rPr>
              <w:t xml:space="preserve">Наименование класса </w:t>
            </w:r>
            <w:r w:rsidRPr="00B0658A">
              <w:rPr>
                <w:rFonts w:ascii="Times New Roman" w:hAnsi="Times New Roman"/>
                <w:b/>
                <w:bCs/>
                <w:sz w:val="20"/>
                <w:szCs w:val="20"/>
                <w:lang w:val="en-US"/>
              </w:rPr>
              <w:t xml:space="preserve">/ </w:t>
            </w:r>
            <w:r w:rsidRPr="00B0658A">
              <w:rPr>
                <w:rFonts w:ascii="Times New Roman" w:hAnsi="Times New Roman"/>
                <w:b/>
                <w:bCs/>
                <w:sz w:val="20"/>
                <w:szCs w:val="20"/>
              </w:rPr>
              <w:t>типа ПО</w:t>
            </w:r>
          </w:p>
        </w:tc>
        <w:tc>
          <w:tcPr>
            <w:tcW w:w="508" w:type="pct"/>
            <w:vMerge w:val="restart"/>
            <w:vAlign w:val="center"/>
          </w:tcPr>
          <w:p w14:paraId="3DA42306" w14:textId="77777777" w:rsidR="00B10FDE" w:rsidRPr="00B0658A" w:rsidRDefault="00B10FDE" w:rsidP="000A4114">
            <w:pPr>
              <w:spacing w:after="0" w:line="240" w:lineRule="auto"/>
              <w:jc w:val="center"/>
              <w:rPr>
                <w:rFonts w:ascii="Times New Roman" w:hAnsi="Times New Roman"/>
                <w:b/>
                <w:bCs/>
                <w:sz w:val="20"/>
                <w:szCs w:val="20"/>
              </w:rPr>
            </w:pPr>
            <w:r w:rsidRPr="00B0658A">
              <w:rPr>
                <w:rFonts w:ascii="Times New Roman" w:hAnsi="Times New Roman"/>
                <w:b/>
                <w:bCs/>
                <w:sz w:val="20"/>
                <w:szCs w:val="20"/>
              </w:rPr>
              <w:t>Единицы измерения уровня использования</w:t>
            </w:r>
          </w:p>
        </w:tc>
        <w:tc>
          <w:tcPr>
            <w:tcW w:w="2180" w:type="pct"/>
            <w:gridSpan w:val="2"/>
            <w:shd w:val="clear" w:color="auto" w:fill="auto"/>
            <w:vAlign w:val="center"/>
          </w:tcPr>
          <w:p w14:paraId="5CE080C2" w14:textId="77777777" w:rsidR="00B10FDE" w:rsidRPr="00B0658A" w:rsidRDefault="00B10FDE" w:rsidP="000A4114">
            <w:pPr>
              <w:spacing w:after="0" w:line="240" w:lineRule="auto"/>
              <w:jc w:val="center"/>
              <w:rPr>
                <w:rFonts w:ascii="Times New Roman" w:hAnsi="Times New Roman"/>
                <w:b/>
                <w:bCs/>
                <w:sz w:val="20"/>
                <w:szCs w:val="20"/>
              </w:rPr>
            </w:pPr>
            <w:r w:rsidRPr="00B0658A">
              <w:rPr>
                <w:rFonts w:ascii="Times New Roman" w:hAnsi="Times New Roman"/>
                <w:b/>
                <w:bCs/>
                <w:sz w:val="20"/>
                <w:szCs w:val="20"/>
              </w:rPr>
              <w:t>Сведения о достижении показателей эффективности перехода на использование российского ПО на значимых объектах КИИ</w:t>
            </w:r>
            <w:r w:rsidRPr="00B0658A">
              <w:rPr>
                <w:rFonts w:ascii="Times New Roman" w:hAnsi="Times New Roman"/>
                <w:b/>
                <w:bCs/>
                <w:sz w:val="20"/>
                <w:szCs w:val="20"/>
              </w:rPr>
              <w:br/>
              <w:t>за _____ год</w:t>
            </w:r>
          </w:p>
        </w:tc>
        <w:tc>
          <w:tcPr>
            <w:tcW w:w="941" w:type="pct"/>
            <w:vMerge w:val="restart"/>
            <w:shd w:val="clear" w:color="auto" w:fill="auto"/>
            <w:vAlign w:val="center"/>
          </w:tcPr>
          <w:p w14:paraId="2BB87BAD" w14:textId="77777777" w:rsidR="00B10FDE" w:rsidRPr="00B0658A" w:rsidRDefault="00B10FDE" w:rsidP="000A4114">
            <w:pPr>
              <w:spacing w:after="0" w:line="240" w:lineRule="auto"/>
              <w:jc w:val="center"/>
              <w:rPr>
                <w:rFonts w:ascii="Times New Roman" w:hAnsi="Times New Roman"/>
                <w:b/>
                <w:bCs/>
                <w:sz w:val="20"/>
                <w:szCs w:val="20"/>
              </w:rPr>
            </w:pPr>
            <w:r w:rsidRPr="00B0658A">
              <w:rPr>
                <w:rFonts w:ascii="Times New Roman" w:hAnsi="Times New Roman"/>
                <w:b/>
                <w:bCs/>
                <w:sz w:val="20"/>
                <w:szCs w:val="20"/>
              </w:rPr>
              <w:t xml:space="preserve">Сведения о российском/евразийском ПО, на использование которого был осуществлен переход </w:t>
            </w:r>
          </w:p>
        </w:tc>
      </w:tr>
      <w:tr w:rsidR="00F52FED" w:rsidRPr="00B0658A" w14:paraId="01FDFFAB" w14:textId="77777777" w:rsidTr="00B10FDE">
        <w:trPr>
          <w:trHeight w:val="170"/>
        </w:trPr>
        <w:tc>
          <w:tcPr>
            <w:tcW w:w="197" w:type="pct"/>
            <w:vMerge/>
            <w:shd w:val="clear" w:color="auto" w:fill="auto"/>
          </w:tcPr>
          <w:p w14:paraId="056B3110" w14:textId="77777777" w:rsidR="00B10FDE" w:rsidRPr="00B0658A" w:rsidRDefault="00B10FDE" w:rsidP="000A4114">
            <w:pPr>
              <w:spacing w:after="0" w:line="240" w:lineRule="auto"/>
              <w:rPr>
                <w:rFonts w:ascii="Times New Roman" w:hAnsi="Times New Roman"/>
                <w:b/>
                <w:bCs/>
                <w:sz w:val="20"/>
                <w:szCs w:val="20"/>
              </w:rPr>
            </w:pPr>
          </w:p>
        </w:tc>
        <w:tc>
          <w:tcPr>
            <w:tcW w:w="1174" w:type="pct"/>
            <w:vMerge/>
            <w:shd w:val="clear" w:color="auto" w:fill="auto"/>
          </w:tcPr>
          <w:p w14:paraId="7C45DABF" w14:textId="77777777" w:rsidR="00B10FDE" w:rsidRPr="00B0658A" w:rsidRDefault="00B10FDE" w:rsidP="000A4114">
            <w:pPr>
              <w:spacing w:after="0" w:line="240" w:lineRule="auto"/>
              <w:rPr>
                <w:rFonts w:ascii="Times New Roman" w:hAnsi="Times New Roman"/>
                <w:b/>
                <w:bCs/>
                <w:sz w:val="20"/>
                <w:szCs w:val="20"/>
              </w:rPr>
            </w:pPr>
          </w:p>
        </w:tc>
        <w:tc>
          <w:tcPr>
            <w:tcW w:w="508" w:type="pct"/>
            <w:vMerge/>
          </w:tcPr>
          <w:p w14:paraId="1EE5CA79" w14:textId="77777777" w:rsidR="00B10FDE" w:rsidRPr="00B0658A" w:rsidRDefault="00B10FDE" w:rsidP="000A4114">
            <w:pPr>
              <w:spacing w:after="0" w:line="240" w:lineRule="auto"/>
              <w:jc w:val="center"/>
              <w:rPr>
                <w:rFonts w:ascii="Times New Roman" w:hAnsi="Times New Roman"/>
                <w:b/>
                <w:bCs/>
                <w:sz w:val="20"/>
                <w:szCs w:val="20"/>
              </w:rPr>
            </w:pPr>
          </w:p>
        </w:tc>
        <w:tc>
          <w:tcPr>
            <w:tcW w:w="1118" w:type="pct"/>
            <w:shd w:val="clear" w:color="auto" w:fill="auto"/>
            <w:vAlign w:val="center"/>
          </w:tcPr>
          <w:p w14:paraId="70954BD0" w14:textId="77777777" w:rsidR="00B10FDE" w:rsidRPr="00B0658A" w:rsidRDefault="00B10FDE" w:rsidP="000A4114">
            <w:pPr>
              <w:spacing w:after="0" w:line="240" w:lineRule="auto"/>
              <w:jc w:val="center"/>
              <w:rPr>
                <w:rFonts w:ascii="Times New Roman" w:hAnsi="Times New Roman"/>
                <w:b/>
                <w:bCs/>
                <w:sz w:val="20"/>
                <w:szCs w:val="20"/>
              </w:rPr>
            </w:pPr>
            <w:r w:rsidRPr="00B0658A">
              <w:rPr>
                <w:rFonts w:ascii="Times New Roman" w:hAnsi="Times New Roman"/>
                <w:b/>
                <w:bCs/>
                <w:sz w:val="20"/>
                <w:szCs w:val="20"/>
              </w:rPr>
              <w:t>План</w:t>
            </w:r>
          </w:p>
        </w:tc>
        <w:tc>
          <w:tcPr>
            <w:tcW w:w="1062" w:type="pct"/>
            <w:shd w:val="clear" w:color="auto" w:fill="auto"/>
          </w:tcPr>
          <w:p w14:paraId="2A8A4BD2" w14:textId="77777777" w:rsidR="00B10FDE" w:rsidRPr="00B0658A" w:rsidRDefault="00B10FDE" w:rsidP="000A4114">
            <w:pPr>
              <w:spacing w:after="0" w:line="240" w:lineRule="auto"/>
              <w:jc w:val="center"/>
              <w:rPr>
                <w:rFonts w:ascii="Times New Roman" w:hAnsi="Times New Roman"/>
                <w:b/>
                <w:bCs/>
                <w:sz w:val="20"/>
                <w:szCs w:val="20"/>
              </w:rPr>
            </w:pPr>
            <w:r w:rsidRPr="00B0658A">
              <w:rPr>
                <w:rFonts w:ascii="Times New Roman" w:hAnsi="Times New Roman"/>
                <w:b/>
                <w:bCs/>
                <w:sz w:val="20"/>
                <w:szCs w:val="20"/>
              </w:rPr>
              <w:t>Факт</w:t>
            </w:r>
          </w:p>
        </w:tc>
        <w:tc>
          <w:tcPr>
            <w:tcW w:w="941" w:type="pct"/>
            <w:vMerge/>
            <w:shd w:val="clear" w:color="auto" w:fill="auto"/>
          </w:tcPr>
          <w:p w14:paraId="168B8870" w14:textId="77777777" w:rsidR="00B10FDE" w:rsidRPr="00B0658A" w:rsidRDefault="00B10FDE" w:rsidP="000A4114">
            <w:pPr>
              <w:spacing w:after="0" w:line="240" w:lineRule="auto"/>
              <w:rPr>
                <w:rFonts w:ascii="Times New Roman" w:hAnsi="Times New Roman"/>
                <w:b/>
                <w:bCs/>
                <w:sz w:val="20"/>
                <w:szCs w:val="20"/>
              </w:rPr>
            </w:pPr>
          </w:p>
        </w:tc>
      </w:tr>
      <w:tr w:rsidR="00F52FED" w:rsidRPr="00B0658A" w14:paraId="7BE781B9" w14:textId="77777777" w:rsidTr="00B10FDE">
        <w:trPr>
          <w:trHeight w:val="57"/>
        </w:trPr>
        <w:tc>
          <w:tcPr>
            <w:tcW w:w="5000" w:type="pct"/>
            <w:gridSpan w:val="6"/>
            <w:shd w:val="clear" w:color="auto" w:fill="auto"/>
            <w:vAlign w:val="center"/>
          </w:tcPr>
          <w:p w14:paraId="0845E179" w14:textId="77777777" w:rsidR="00B10FDE" w:rsidRPr="00B0658A" w:rsidRDefault="00B10FDE" w:rsidP="00CB1F35">
            <w:pPr>
              <w:pStyle w:val="afd"/>
              <w:numPr>
                <w:ilvl w:val="0"/>
                <w:numId w:val="29"/>
              </w:numPr>
              <w:spacing w:after="0" w:line="240" w:lineRule="auto"/>
              <w:ind w:left="315"/>
              <w:jc w:val="both"/>
              <w:rPr>
                <w:rFonts w:ascii="Times New Roman" w:hAnsi="Times New Roman"/>
                <w:i/>
                <w:iCs/>
                <w:sz w:val="20"/>
                <w:szCs w:val="20"/>
              </w:rPr>
            </w:pPr>
            <w:r w:rsidRPr="00B0658A">
              <w:rPr>
                <w:rFonts w:ascii="Times New Roman" w:hAnsi="Times New Roman"/>
                <w:b/>
                <w:sz w:val="20"/>
                <w:szCs w:val="20"/>
              </w:rPr>
              <w:t>Сведения о достижении показателей эффективности перехода в отношении ________ (наименование значимого объекта КИИ №1)</w:t>
            </w:r>
          </w:p>
        </w:tc>
      </w:tr>
      <w:tr w:rsidR="00F52FED" w:rsidRPr="00B0658A" w14:paraId="4AE30A42" w14:textId="77777777" w:rsidTr="00B10FDE">
        <w:trPr>
          <w:trHeight w:val="3225"/>
        </w:trPr>
        <w:tc>
          <w:tcPr>
            <w:tcW w:w="197" w:type="pct"/>
            <w:shd w:val="clear" w:color="auto" w:fill="auto"/>
            <w:vAlign w:val="center"/>
          </w:tcPr>
          <w:p w14:paraId="7B6891D3" w14:textId="77777777" w:rsidR="00B10FDE" w:rsidRPr="00B0658A" w:rsidRDefault="00B10FDE" w:rsidP="000A4114">
            <w:pPr>
              <w:spacing w:after="0" w:line="240" w:lineRule="auto"/>
              <w:rPr>
                <w:rFonts w:ascii="Times New Roman" w:hAnsi="Times New Roman"/>
                <w:sz w:val="20"/>
                <w:szCs w:val="20"/>
              </w:rPr>
            </w:pPr>
            <w:r w:rsidRPr="00B0658A">
              <w:rPr>
                <w:rFonts w:ascii="Times New Roman" w:hAnsi="Times New Roman"/>
                <w:sz w:val="20"/>
                <w:szCs w:val="20"/>
              </w:rPr>
              <w:t>1.1</w:t>
            </w:r>
          </w:p>
        </w:tc>
        <w:tc>
          <w:tcPr>
            <w:tcW w:w="1174" w:type="pct"/>
            <w:shd w:val="clear" w:color="auto" w:fill="auto"/>
          </w:tcPr>
          <w:p w14:paraId="75AF57D7" w14:textId="77777777" w:rsidR="00B10FDE" w:rsidRPr="00B0658A" w:rsidRDefault="00B10FDE" w:rsidP="000A4114">
            <w:pPr>
              <w:spacing w:after="0" w:line="240" w:lineRule="auto"/>
              <w:rPr>
                <w:rFonts w:ascii="Times New Roman" w:hAnsi="Times New Roman"/>
                <w:i/>
                <w:sz w:val="20"/>
                <w:szCs w:val="20"/>
              </w:rPr>
            </w:pPr>
            <w:r w:rsidRPr="00B0658A">
              <w:rPr>
                <w:rFonts w:ascii="Times New Roman" w:hAnsi="Times New Roman"/>
                <w:i/>
                <w:sz w:val="20"/>
                <w:szCs w:val="20"/>
              </w:rPr>
              <w:t xml:space="preserve">Указывается класс (тип) №1 ПО, используемого на значимом объекте КИИ №1 в соответствии с утвержденным детализированным планом перехода </w:t>
            </w:r>
            <w:r w:rsidR="00F80D0D" w:rsidRPr="00B0658A">
              <w:rPr>
                <w:rFonts w:ascii="Times New Roman" w:hAnsi="Times New Roman"/>
                <w:i/>
                <w:sz w:val="20"/>
                <w:szCs w:val="20"/>
              </w:rPr>
              <w:t xml:space="preserve">государственной корпорации или компании с государственным участием </w:t>
            </w:r>
            <w:r w:rsidRPr="00B0658A">
              <w:rPr>
                <w:rFonts w:ascii="Times New Roman" w:hAnsi="Times New Roman"/>
                <w:i/>
                <w:sz w:val="20"/>
                <w:szCs w:val="20"/>
              </w:rPr>
              <w:t>на использование российского ПО на значимых объектах КИИ</w:t>
            </w:r>
          </w:p>
        </w:tc>
        <w:tc>
          <w:tcPr>
            <w:tcW w:w="508" w:type="pct"/>
          </w:tcPr>
          <w:p w14:paraId="62C9CD9D" w14:textId="77777777" w:rsidR="00B10FDE" w:rsidRPr="00B0658A" w:rsidRDefault="00B10FDE" w:rsidP="000A4114">
            <w:pPr>
              <w:spacing w:after="0" w:line="240" w:lineRule="auto"/>
              <w:rPr>
                <w:rFonts w:ascii="Times New Roman" w:hAnsi="Times New Roman"/>
                <w:i/>
                <w:iCs/>
                <w:sz w:val="20"/>
                <w:szCs w:val="20"/>
              </w:rPr>
            </w:pPr>
            <w:r w:rsidRPr="00B0658A">
              <w:rPr>
                <w:rFonts w:ascii="Times New Roman" w:hAnsi="Times New Roman"/>
                <w:i/>
                <w:iCs/>
                <w:sz w:val="20"/>
                <w:szCs w:val="20"/>
              </w:rPr>
              <w:t xml:space="preserve">Указывается единица измерения уровня использования </w:t>
            </w:r>
          </w:p>
        </w:tc>
        <w:tc>
          <w:tcPr>
            <w:tcW w:w="1118" w:type="pct"/>
            <w:shd w:val="clear" w:color="auto" w:fill="auto"/>
          </w:tcPr>
          <w:p w14:paraId="72E1D946" w14:textId="77777777" w:rsidR="00B10FDE" w:rsidRPr="00B0658A" w:rsidRDefault="00B10FDE" w:rsidP="000A4114">
            <w:pPr>
              <w:spacing w:after="0" w:line="240" w:lineRule="auto"/>
              <w:rPr>
                <w:rFonts w:ascii="Times New Roman" w:hAnsi="Times New Roman"/>
                <w:i/>
                <w:iCs/>
                <w:sz w:val="20"/>
                <w:szCs w:val="20"/>
              </w:rPr>
            </w:pPr>
            <w:r w:rsidRPr="00B0658A">
              <w:rPr>
                <w:rFonts w:ascii="Times New Roman" w:hAnsi="Times New Roman"/>
                <w:i/>
                <w:iCs/>
                <w:sz w:val="20"/>
                <w:szCs w:val="20"/>
              </w:rPr>
              <w:t xml:space="preserve">Указывается плановое значение показателя эффективности на соответствующий год для соответствующего класса ПО, используемого на значимом объекте КИИ, в соответствии с утвержденным </w:t>
            </w:r>
            <w:r w:rsidRPr="00B0658A">
              <w:rPr>
                <w:rFonts w:ascii="Times New Roman" w:hAnsi="Times New Roman"/>
                <w:i/>
                <w:sz w:val="20"/>
                <w:szCs w:val="20"/>
              </w:rPr>
              <w:t>детализированным</w:t>
            </w:r>
            <w:r w:rsidRPr="00B0658A">
              <w:rPr>
                <w:rFonts w:ascii="Times New Roman" w:hAnsi="Times New Roman"/>
                <w:i/>
                <w:iCs/>
                <w:sz w:val="20"/>
                <w:szCs w:val="20"/>
              </w:rPr>
              <w:t xml:space="preserve"> планом перехода </w:t>
            </w:r>
            <w:r w:rsidR="00F80D0D" w:rsidRPr="00B0658A">
              <w:rPr>
                <w:rFonts w:ascii="Times New Roman" w:hAnsi="Times New Roman"/>
                <w:i/>
                <w:iCs/>
                <w:sz w:val="20"/>
                <w:szCs w:val="20"/>
              </w:rPr>
              <w:t xml:space="preserve">государственной корпорации или компании с государственным участием </w:t>
            </w:r>
            <w:r w:rsidRPr="00B0658A">
              <w:rPr>
                <w:rFonts w:ascii="Times New Roman" w:hAnsi="Times New Roman"/>
                <w:i/>
                <w:iCs/>
                <w:sz w:val="20"/>
                <w:szCs w:val="20"/>
              </w:rPr>
              <w:t>на использование российского ПО на значимых объектах КИИ</w:t>
            </w:r>
          </w:p>
        </w:tc>
        <w:tc>
          <w:tcPr>
            <w:tcW w:w="1062" w:type="pct"/>
            <w:shd w:val="clear" w:color="auto" w:fill="auto"/>
          </w:tcPr>
          <w:p w14:paraId="5D593914" w14:textId="77777777" w:rsidR="00B10FDE" w:rsidRPr="00B0658A" w:rsidRDefault="00B10FDE" w:rsidP="000A4114">
            <w:pPr>
              <w:spacing w:after="0" w:line="240" w:lineRule="auto"/>
              <w:rPr>
                <w:rFonts w:ascii="Times New Roman" w:hAnsi="Times New Roman"/>
                <w:i/>
                <w:iCs/>
                <w:sz w:val="20"/>
                <w:szCs w:val="20"/>
              </w:rPr>
            </w:pPr>
            <w:r w:rsidRPr="00B0658A">
              <w:rPr>
                <w:rFonts w:ascii="Times New Roman" w:hAnsi="Times New Roman"/>
                <w:i/>
                <w:iCs/>
                <w:sz w:val="20"/>
                <w:szCs w:val="20"/>
              </w:rPr>
              <w:t>Указывается фактически достигнутое значение показателя использования российского и евразийского ПО, используемого на значимом объекте КИИ, по итогам соответствующего отчетного периода.</w:t>
            </w:r>
          </w:p>
          <w:p w14:paraId="42EFAEC6" w14:textId="77777777" w:rsidR="00B10FDE" w:rsidRPr="00B0658A" w:rsidRDefault="00B10FDE" w:rsidP="000A4114">
            <w:pPr>
              <w:spacing w:after="0" w:line="240" w:lineRule="auto"/>
              <w:rPr>
                <w:rFonts w:ascii="Times New Roman" w:hAnsi="Times New Roman"/>
                <w:i/>
                <w:iCs/>
                <w:sz w:val="20"/>
                <w:szCs w:val="20"/>
              </w:rPr>
            </w:pPr>
          </w:p>
        </w:tc>
        <w:tc>
          <w:tcPr>
            <w:tcW w:w="941" w:type="pct"/>
            <w:shd w:val="clear" w:color="auto" w:fill="auto"/>
          </w:tcPr>
          <w:p w14:paraId="0010BB19" w14:textId="77777777" w:rsidR="00B10FDE" w:rsidRPr="00B0658A" w:rsidRDefault="00B10FDE" w:rsidP="000A4114">
            <w:pPr>
              <w:spacing w:after="0" w:line="240" w:lineRule="auto"/>
              <w:jc w:val="both"/>
              <w:rPr>
                <w:rFonts w:ascii="Times New Roman" w:hAnsi="Times New Roman"/>
                <w:i/>
                <w:iCs/>
                <w:sz w:val="20"/>
                <w:szCs w:val="20"/>
              </w:rPr>
            </w:pPr>
            <w:r w:rsidRPr="00B0658A">
              <w:rPr>
                <w:rFonts w:ascii="Times New Roman" w:hAnsi="Times New Roman"/>
                <w:i/>
                <w:iCs/>
                <w:sz w:val="20"/>
                <w:szCs w:val="20"/>
              </w:rPr>
              <w:t>Указывается следующая информация:</w:t>
            </w:r>
          </w:p>
          <w:p w14:paraId="1CE66768" w14:textId="77777777" w:rsidR="00B10FDE" w:rsidRPr="00B0658A" w:rsidRDefault="00B10FDE" w:rsidP="000A4114">
            <w:pPr>
              <w:spacing w:after="0" w:line="240" w:lineRule="auto"/>
              <w:jc w:val="both"/>
              <w:rPr>
                <w:rFonts w:ascii="Times New Roman" w:hAnsi="Times New Roman"/>
                <w:i/>
                <w:iCs/>
                <w:sz w:val="20"/>
                <w:szCs w:val="20"/>
              </w:rPr>
            </w:pPr>
            <w:r w:rsidRPr="00B0658A">
              <w:rPr>
                <w:rFonts w:ascii="Times New Roman" w:hAnsi="Times New Roman"/>
                <w:i/>
                <w:iCs/>
                <w:sz w:val="20"/>
                <w:szCs w:val="20"/>
              </w:rPr>
              <w:t>1. Наименование иностранного ПО, которое было замещено;</w:t>
            </w:r>
          </w:p>
          <w:p w14:paraId="4E19B289" w14:textId="77777777" w:rsidR="00B10FDE" w:rsidRPr="00B0658A" w:rsidRDefault="00B10FDE" w:rsidP="000A4114">
            <w:pPr>
              <w:spacing w:after="0" w:line="240" w:lineRule="auto"/>
              <w:jc w:val="both"/>
              <w:rPr>
                <w:rFonts w:ascii="Times New Roman" w:hAnsi="Times New Roman"/>
                <w:i/>
                <w:iCs/>
                <w:sz w:val="20"/>
                <w:szCs w:val="20"/>
              </w:rPr>
            </w:pPr>
            <w:r w:rsidRPr="00B0658A">
              <w:rPr>
                <w:rFonts w:ascii="Times New Roman" w:hAnsi="Times New Roman"/>
                <w:i/>
                <w:iCs/>
                <w:sz w:val="20"/>
                <w:szCs w:val="20"/>
              </w:rPr>
              <w:t>2. Наименование российского ПО и евразийского ПО, на которое был осуществлен переход, с указанием сведений о номерах записей в едином реестре российского ПО или едином реестре евразийского ПО соответственно.</w:t>
            </w:r>
          </w:p>
        </w:tc>
      </w:tr>
      <w:tr w:rsidR="00F52FED" w:rsidRPr="00B0658A" w14:paraId="068F4AD7" w14:textId="77777777" w:rsidTr="00B10FDE">
        <w:trPr>
          <w:trHeight w:val="170"/>
        </w:trPr>
        <w:tc>
          <w:tcPr>
            <w:tcW w:w="197" w:type="pct"/>
            <w:shd w:val="clear" w:color="auto" w:fill="auto"/>
            <w:vAlign w:val="center"/>
          </w:tcPr>
          <w:p w14:paraId="030D73AD" w14:textId="77777777" w:rsidR="00B10FDE" w:rsidRPr="00B0658A" w:rsidRDefault="00B10FDE" w:rsidP="000A4114">
            <w:pPr>
              <w:spacing w:after="0" w:line="240" w:lineRule="auto"/>
              <w:rPr>
                <w:rFonts w:ascii="Times New Roman" w:hAnsi="Times New Roman"/>
                <w:sz w:val="20"/>
                <w:szCs w:val="20"/>
              </w:rPr>
            </w:pPr>
            <w:r w:rsidRPr="00B0658A">
              <w:rPr>
                <w:rFonts w:ascii="Times New Roman" w:hAnsi="Times New Roman"/>
                <w:sz w:val="20"/>
                <w:szCs w:val="20"/>
              </w:rPr>
              <w:t>1.2</w:t>
            </w:r>
          </w:p>
        </w:tc>
        <w:tc>
          <w:tcPr>
            <w:tcW w:w="1174" w:type="pct"/>
            <w:shd w:val="clear" w:color="auto" w:fill="auto"/>
            <w:vAlign w:val="center"/>
          </w:tcPr>
          <w:p w14:paraId="361B6454" w14:textId="77777777" w:rsidR="00B10FDE" w:rsidRPr="00B0658A" w:rsidRDefault="00B10FDE" w:rsidP="000A4114">
            <w:pPr>
              <w:spacing w:after="0" w:line="240" w:lineRule="auto"/>
              <w:rPr>
                <w:rFonts w:ascii="Times New Roman" w:hAnsi="Times New Roman"/>
                <w:i/>
                <w:iCs/>
                <w:sz w:val="20"/>
                <w:szCs w:val="20"/>
              </w:rPr>
            </w:pPr>
            <w:r w:rsidRPr="00B0658A">
              <w:rPr>
                <w:rFonts w:ascii="Times New Roman" w:hAnsi="Times New Roman"/>
                <w:i/>
                <w:sz w:val="20"/>
                <w:szCs w:val="20"/>
              </w:rPr>
              <w:t>Указывается класс (тип) №2 ПО, используемого на значимом объекте КИИ №1 в соответствии с утвержденным детализированным</w:t>
            </w:r>
            <w:r w:rsidRPr="00B0658A">
              <w:rPr>
                <w:rFonts w:ascii="Times New Roman" w:hAnsi="Times New Roman"/>
                <w:i/>
                <w:iCs/>
                <w:sz w:val="20"/>
                <w:szCs w:val="20"/>
              </w:rPr>
              <w:t xml:space="preserve"> планом перехода </w:t>
            </w:r>
            <w:r w:rsidR="00F80D0D" w:rsidRPr="00B0658A">
              <w:rPr>
                <w:rFonts w:ascii="Times New Roman" w:hAnsi="Times New Roman"/>
                <w:i/>
                <w:iCs/>
                <w:sz w:val="20"/>
                <w:szCs w:val="20"/>
              </w:rPr>
              <w:t>государственной корпорации или компании с государственным участием</w:t>
            </w:r>
            <w:r w:rsidRPr="00B0658A">
              <w:rPr>
                <w:rFonts w:ascii="Times New Roman" w:hAnsi="Times New Roman"/>
                <w:i/>
                <w:iCs/>
                <w:sz w:val="20"/>
                <w:szCs w:val="20"/>
              </w:rPr>
              <w:t xml:space="preserve"> на использование российского ПО на значимых объектах КИИ</w:t>
            </w:r>
          </w:p>
        </w:tc>
        <w:tc>
          <w:tcPr>
            <w:tcW w:w="508" w:type="pct"/>
          </w:tcPr>
          <w:p w14:paraId="53E4B200" w14:textId="77777777" w:rsidR="00B10FDE" w:rsidRPr="00B0658A" w:rsidRDefault="00B10FDE" w:rsidP="000A4114">
            <w:pPr>
              <w:spacing w:after="0" w:line="240" w:lineRule="auto"/>
              <w:rPr>
                <w:rFonts w:ascii="Times New Roman" w:hAnsi="Times New Roman"/>
                <w:i/>
                <w:iCs/>
                <w:sz w:val="20"/>
                <w:szCs w:val="20"/>
              </w:rPr>
            </w:pPr>
          </w:p>
        </w:tc>
        <w:tc>
          <w:tcPr>
            <w:tcW w:w="1118" w:type="pct"/>
            <w:shd w:val="clear" w:color="auto" w:fill="auto"/>
          </w:tcPr>
          <w:p w14:paraId="078D7F6C" w14:textId="77777777" w:rsidR="00B10FDE" w:rsidRPr="00B0658A" w:rsidRDefault="00B10FDE" w:rsidP="000A4114">
            <w:pPr>
              <w:spacing w:after="0" w:line="240" w:lineRule="auto"/>
              <w:rPr>
                <w:rFonts w:ascii="Times New Roman" w:hAnsi="Times New Roman"/>
                <w:i/>
                <w:iCs/>
                <w:sz w:val="20"/>
                <w:szCs w:val="20"/>
              </w:rPr>
            </w:pPr>
          </w:p>
        </w:tc>
        <w:tc>
          <w:tcPr>
            <w:tcW w:w="1062" w:type="pct"/>
            <w:shd w:val="clear" w:color="auto" w:fill="auto"/>
          </w:tcPr>
          <w:p w14:paraId="5A5E0868" w14:textId="77777777" w:rsidR="00B10FDE" w:rsidRPr="00B0658A" w:rsidRDefault="00B10FDE" w:rsidP="000A4114">
            <w:pPr>
              <w:spacing w:after="0" w:line="240" w:lineRule="auto"/>
              <w:rPr>
                <w:rFonts w:ascii="Times New Roman" w:hAnsi="Times New Roman"/>
                <w:i/>
                <w:iCs/>
                <w:sz w:val="20"/>
                <w:szCs w:val="20"/>
              </w:rPr>
            </w:pPr>
          </w:p>
        </w:tc>
        <w:tc>
          <w:tcPr>
            <w:tcW w:w="941" w:type="pct"/>
            <w:shd w:val="clear" w:color="auto" w:fill="auto"/>
          </w:tcPr>
          <w:p w14:paraId="64756422" w14:textId="77777777" w:rsidR="00B10FDE" w:rsidRPr="00B0658A" w:rsidRDefault="00B10FDE" w:rsidP="000A4114">
            <w:pPr>
              <w:spacing w:after="0" w:line="240" w:lineRule="auto"/>
              <w:jc w:val="both"/>
              <w:rPr>
                <w:rFonts w:ascii="Times New Roman" w:hAnsi="Times New Roman"/>
                <w:i/>
                <w:iCs/>
                <w:sz w:val="20"/>
                <w:szCs w:val="20"/>
              </w:rPr>
            </w:pPr>
          </w:p>
        </w:tc>
      </w:tr>
      <w:tr w:rsidR="00F52FED" w:rsidRPr="00B0658A" w14:paraId="39A5EFA9" w14:textId="77777777" w:rsidTr="00B10FDE">
        <w:trPr>
          <w:trHeight w:val="170"/>
        </w:trPr>
        <w:tc>
          <w:tcPr>
            <w:tcW w:w="197" w:type="pct"/>
            <w:shd w:val="clear" w:color="auto" w:fill="auto"/>
            <w:vAlign w:val="center"/>
          </w:tcPr>
          <w:p w14:paraId="4236CF74" w14:textId="77777777" w:rsidR="00B10FDE" w:rsidRPr="00B0658A" w:rsidRDefault="00B10FDE" w:rsidP="000A4114">
            <w:pPr>
              <w:spacing w:after="0" w:line="240" w:lineRule="auto"/>
              <w:rPr>
                <w:rFonts w:ascii="Times New Roman" w:hAnsi="Times New Roman"/>
                <w:sz w:val="20"/>
                <w:szCs w:val="20"/>
                <w:lang w:val="en-US"/>
              </w:rPr>
            </w:pPr>
            <w:r w:rsidRPr="00B0658A">
              <w:rPr>
                <w:rFonts w:ascii="Times New Roman" w:hAnsi="Times New Roman"/>
                <w:sz w:val="20"/>
                <w:szCs w:val="20"/>
                <w:lang w:val="en-US"/>
              </w:rPr>
              <w:t>..</w:t>
            </w:r>
          </w:p>
        </w:tc>
        <w:tc>
          <w:tcPr>
            <w:tcW w:w="1174" w:type="pct"/>
            <w:shd w:val="clear" w:color="auto" w:fill="auto"/>
            <w:vAlign w:val="center"/>
          </w:tcPr>
          <w:p w14:paraId="4BC17B91" w14:textId="77777777" w:rsidR="00B10FDE" w:rsidRPr="00B0658A" w:rsidRDefault="00B10FDE" w:rsidP="000A4114">
            <w:pPr>
              <w:spacing w:after="0" w:line="240" w:lineRule="auto"/>
              <w:rPr>
                <w:rFonts w:ascii="Times New Roman" w:hAnsi="Times New Roman"/>
                <w:i/>
                <w:iCs/>
                <w:sz w:val="20"/>
                <w:szCs w:val="20"/>
                <w:lang w:val="en-US"/>
              </w:rPr>
            </w:pPr>
            <w:r w:rsidRPr="00B0658A">
              <w:rPr>
                <w:rFonts w:ascii="Times New Roman" w:hAnsi="Times New Roman"/>
                <w:i/>
                <w:iCs/>
                <w:sz w:val="20"/>
                <w:szCs w:val="20"/>
                <w:lang w:val="en-US"/>
              </w:rPr>
              <w:t>….</w:t>
            </w:r>
          </w:p>
        </w:tc>
        <w:tc>
          <w:tcPr>
            <w:tcW w:w="508" w:type="pct"/>
          </w:tcPr>
          <w:p w14:paraId="58AE4F21" w14:textId="77777777" w:rsidR="00B10FDE" w:rsidRPr="00B0658A" w:rsidRDefault="00B10FDE" w:rsidP="000A4114">
            <w:pPr>
              <w:spacing w:after="0" w:line="240" w:lineRule="auto"/>
              <w:rPr>
                <w:rFonts w:ascii="Times New Roman" w:hAnsi="Times New Roman"/>
                <w:i/>
                <w:iCs/>
                <w:sz w:val="20"/>
                <w:szCs w:val="20"/>
              </w:rPr>
            </w:pPr>
          </w:p>
        </w:tc>
        <w:tc>
          <w:tcPr>
            <w:tcW w:w="1118" w:type="pct"/>
            <w:shd w:val="clear" w:color="auto" w:fill="auto"/>
          </w:tcPr>
          <w:p w14:paraId="321E7C95" w14:textId="77777777" w:rsidR="00B10FDE" w:rsidRPr="00B0658A" w:rsidRDefault="00B10FDE" w:rsidP="000A4114">
            <w:pPr>
              <w:spacing w:after="0" w:line="240" w:lineRule="auto"/>
              <w:rPr>
                <w:rFonts w:ascii="Times New Roman" w:hAnsi="Times New Roman"/>
                <w:i/>
                <w:iCs/>
                <w:sz w:val="20"/>
                <w:szCs w:val="20"/>
              </w:rPr>
            </w:pPr>
          </w:p>
        </w:tc>
        <w:tc>
          <w:tcPr>
            <w:tcW w:w="1062" w:type="pct"/>
            <w:shd w:val="clear" w:color="auto" w:fill="auto"/>
          </w:tcPr>
          <w:p w14:paraId="569E2091" w14:textId="77777777" w:rsidR="00B10FDE" w:rsidRPr="00B0658A" w:rsidRDefault="00B10FDE" w:rsidP="000A4114">
            <w:pPr>
              <w:spacing w:after="0" w:line="240" w:lineRule="auto"/>
              <w:rPr>
                <w:rFonts w:ascii="Times New Roman" w:hAnsi="Times New Roman"/>
                <w:i/>
                <w:iCs/>
                <w:sz w:val="20"/>
                <w:szCs w:val="20"/>
              </w:rPr>
            </w:pPr>
          </w:p>
        </w:tc>
        <w:tc>
          <w:tcPr>
            <w:tcW w:w="941" w:type="pct"/>
            <w:shd w:val="clear" w:color="auto" w:fill="auto"/>
          </w:tcPr>
          <w:p w14:paraId="0B543C9C" w14:textId="77777777" w:rsidR="00B10FDE" w:rsidRPr="00B0658A" w:rsidRDefault="00B10FDE" w:rsidP="000A4114">
            <w:pPr>
              <w:spacing w:after="0" w:line="240" w:lineRule="auto"/>
              <w:jc w:val="both"/>
              <w:rPr>
                <w:rFonts w:ascii="Times New Roman" w:hAnsi="Times New Roman"/>
                <w:i/>
                <w:iCs/>
                <w:sz w:val="20"/>
                <w:szCs w:val="20"/>
              </w:rPr>
            </w:pPr>
          </w:p>
        </w:tc>
      </w:tr>
      <w:tr w:rsidR="00F52FED" w:rsidRPr="00B0658A" w14:paraId="1F66FD7A" w14:textId="77777777" w:rsidTr="00B10FDE">
        <w:trPr>
          <w:trHeight w:val="170"/>
        </w:trPr>
        <w:tc>
          <w:tcPr>
            <w:tcW w:w="197" w:type="pct"/>
            <w:shd w:val="clear" w:color="auto" w:fill="auto"/>
            <w:vAlign w:val="center"/>
          </w:tcPr>
          <w:p w14:paraId="2DE7E8B5" w14:textId="77777777" w:rsidR="00B10FDE" w:rsidRPr="00B0658A" w:rsidRDefault="00B10FDE" w:rsidP="000A4114">
            <w:pPr>
              <w:spacing w:after="0" w:line="240" w:lineRule="auto"/>
              <w:rPr>
                <w:rFonts w:ascii="Times New Roman" w:hAnsi="Times New Roman"/>
                <w:sz w:val="20"/>
                <w:szCs w:val="20"/>
                <w:lang w:val="en-US"/>
              </w:rPr>
            </w:pPr>
            <w:r w:rsidRPr="00B0658A">
              <w:rPr>
                <w:rFonts w:ascii="Times New Roman" w:hAnsi="Times New Roman"/>
                <w:sz w:val="20"/>
                <w:szCs w:val="20"/>
                <w:lang w:val="en-US"/>
              </w:rPr>
              <w:t>1</w:t>
            </w:r>
            <w:r w:rsidRPr="00B0658A">
              <w:rPr>
                <w:rFonts w:ascii="Times New Roman" w:hAnsi="Times New Roman"/>
                <w:sz w:val="20"/>
                <w:szCs w:val="20"/>
              </w:rPr>
              <w:t>.</w:t>
            </w:r>
            <w:r w:rsidRPr="00B0658A">
              <w:rPr>
                <w:rFonts w:ascii="Times New Roman" w:hAnsi="Times New Roman"/>
                <w:sz w:val="20"/>
                <w:szCs w:val="20"/>
                <w:lang w:val="en-US"/>
              </w:rPr>
              <w:t>n</w:t>
            </w:r>
          </w:p>
        </w:tc>
        <w:tc>
          <w:tcPr>
            <w:tcW w:w="1174" w:type="pct"/>
            <w:shd w:val="clear" w:color="auto" w:fill="auto"/>
            <w:vAlign w:val="center"/>
          </w:tcPr>
          <w:p w14:paraId="34D73814" w14:textId="77777777" w:rsidR="00B10FDE" w:rsidRPr="00B0658A" w:rsidRDefault="00B10FDE" w:rsidP="000A4114">
            <w:pPr>
              <w:spacing w:after="0" w:line="240" w:lineRule="auto"/>
              <w:rPr>
                <w:rFonts w:ascii="Times New Roman" w:hAnsi="Times New Roman"/>
                <w:i/>
                <w:iCs/>
                <w:sz w:val="20"/>
                <w:szCs w:val="20"/>
              </w:rPr>
            </w:pPr>
            <w:r w:rsidRPr="00B0658A">
              <w:rPr>
                <w:rFonts w:ascii="Times New Roman" w:hAnsi="Times New Roman"/>
                <w:i/>
                <w:sz w:val="20"/>
                <w:szCs w:val="20"/>
              </w:rPr>
              <w:t>Указывается класс (тип) №</w:t>
            </w:r>
            <w:r w:rsidRPr="00B0658A">
              <w:rPr>
                <w:rFonts w:ascii="Times New Roman" w:hAnsi="Times New Roman"/>
                <w:i/>
                <w:sz w:val="20"/>
                <w:szCs w:val="20"/>
                <w:lang w:val="en-US"/>
              </w:rPr>
              <w:t>n</w:t>
            </w:r>
            <w:r w:rsidRPr="00B0658A">
              <w:rPr>
                <w:rFonts w:ascii="Times New Roman" w:hAnsi="Times New Roman"/>
                <w:i/>
                <w:sz w:val="20"/>
                <w:szCs w:val="20"/>
              </w:rPr>
              <w:t xml:space="preserve"> ПО, используемого на значимом объекте КИИ №1 в соответствии с утвержденным детализированным</w:t>
            </w:r>
            <w:r w:rsidRPr="00B0658A">
              <w:rPr>
                <w:rFonts w:ascii="Times New Roman" w:hAnsi="Times New Roman"/>
                <w:i/>
                <w:iCs/>
                <w:sz w:val="20"/>
                <w:szCs w:val="20"/>
              </w:rPr>
              <w:t xml:space="preserve"> планом перехода </w:t>
            </w:r>
            <w:r w:rsidR="00F80D0D" w:rsidRPr="00B0658A">
              <w:rPr>
                <w:rFonts w:ascii="Times New Roman" w:hAnsi="Times New Roman"/>
                <w:i/>
                <w:iCs/>
                <w:sz w:val="20"/>
                <w:szCs w:val="20"/>
              </w:rPr>
              <w:t>государственной корпорации или компании с государственным участием</w:t>
            </w:r>
            <w:r w:rsidRPr="00B0658A">
              <w:rPr>
                <w:rFonts w:ascii="Times New Roman" w:hAnsi="Times New Roman"/>
                <w:i/>
                <w:iCs/>
                <w:sz w:val="20"/>
                <w:szCs w:val="20"/>
              </w:rPr>
              <w:t xml:space="preserve"> на использование российского ПО на значимых объектах КИИ</w:t>
            </w:r>
          </w:p>
        </w:tc>
        <w:tc>
          <w:tcPr>
            <w:tcW w:w="508" w:type="pct"/>
          </w:tcPr>
          <w:p w14:paraId="3F8F2651" w14:textId="77777777" w:rsidR="00B10FDE" w:rsidRPr="00B0658A" w:rsidRDefault="00B10FDE" w:rsidP="000A4114">
            <w:pPr>
              <w:spacing w:after="0" w:line="240" w:lineRule="auto"/>
              <w:rPr>
                <w:rFonts w:ascii="Times New Roman" w:hAnsi="Times New Roman"/>
                <w:i/>
                <w:iCs/>
                <w:sz w:val="20"/>
                <w:szCs w:val="20"/>
              </w:rPr>
            </w:pPr>
          </w:p>
        </w:tc>
        <w:tc>
          <w:tcPr>
            <w:tcW w:w="1118" w:type="pct"/>
            <w:shd w:val="clear" w:color="auto" w:fill="auto"/>
          </w:tcPr>
          <w:p w14:paraId="71BDBD1A" w14:textId="77777777" w:rsidR="00B10FDE" w:rsidRPr="00B0658A" w:rsidRDefault="00B10FDE" w:rsidP="000A4114">
            <w:pPr>
              <w:spacing w:after="0" w:line="240" w:lineRule="auto"/>
              <w:rPr>
                <w:rFonts w:ascii="Times New Roman" w:hAnsi="Times New Roman"/>
                <w:i/>
                <w:iCs/>
                <w:sz w:val="20"/>
                <w:szCs w:val="20"/>
              </w:rPr>
            </w:pPr>
          </w:p>
        </w:tc>
        <w:tc>
          <w:tcPr>
            <w:tcW w:w="1062" w:type="pct"/>
            <w:shd w:val="clear" w:color="auto" w:fill="auto"/>
          </w:tcPr>
          <w:p w14:paraId="170C79D2" w14:textId="77777777" w:rsidR="00B10FDE" w:rsidRPr="00B0658A" w:rsidRDefault="00B10FDE" w:rsidP="000A4114">
            <w:pPr>
              <w:spacing w:after="0" w:line="240" w:lineRule="auto"/>
              <w:rPr>
                <w:rFonts w:ascii="Times New Roman" w:hAnsi="Times New Roman"/>
                <w:i/>
                <w:iCs/>
                <w:sz w:val="20"/>
                <w:szCs w:val="20"/>
              </w:rPr>
            </w:pPr>
          </w:p>
        </w:tc>
        <w:tc>
          <w:tcPr>
            <w:tcW w:w="941" w:type="pct"/>
            <w:shd w:val="clear" w:color="auto" w:fill="auto"/>
          </w:tcPr>
          <w:p w14:paraId="54AA2C01" w14:textId="77777777" w:rsidR="00B10FDE" w:rsidRPr="00B0658A" w:rsidRDefault="00B10FDE" w:rsidP="000A4114">
            <w:pPr>
              <w:spacing w:after="0" w:line="240" w:lineRule="auto"/>
              <w:jc w:val="both"/>
              <w:rPr>
                <w:rFonts w:ascii="Times New Roman" w:hAnsi="Times New Roman"/>
                <w:i/>
                <w:iCs/>
                <w:sz w:val="20"/>
                <w:szCs w:val="20"/>
              </w:rPr>
            </w:pPr>
          </w:p>
        </w:tc>
      </w:tr>
      <w:tr w:rsidR="00F52FED" w:rsidRPr="00B0658A" w14:paraId="075BFDD9" w14:textId="77777777" w:rsidTr="00B10FDE">
        <w:trPr>
          <w:trHeight w:val="170"/>
        </w:trPr>
        <w:tc>
          <w:tcPr>
            <w:tcW w:w="5000" w:type="pct"/>
            <w:gridSpan w:val="6"/>
            <w:shd w:val="clear" w:color="auto" w:fill="auto"/>
            <w:vAlign w:val="center"/>
          </w:tcPr>
          <w:p w14:paraId="4D17065D" w14:textId="77777777" w:rsidR="00B10FDE" w:rsidRPr="00B0658A" w:rsidRDefault="00B10FDE" w:rsidP="00CB1F35">
            <w:pPr>
              <w:pStyle w:val="afd"/>
              <w:numPr>
                <w:ilvl w:val="0"/>
                <w:numId w:val="29"/>
              </w:numPr>
              <w:spacing w:after="0" w:line="240" w:lineRule="auto"/>
              <w:ind w:left="318" w:hanging="284"/>
              <w:rPr>
                <w:rFonts w:ascii="Times New Roman" w:hAnsi="Times New Roman"/>
                <w:i/>
                <w:iCs/>
                <w:sz w:val="20"/>
                <w:szCs w:val="20"/>
              </w:rPr>
            </w:pPr>
            <w:r w:rsidRPr="00B0658A">
              <w:rPr>
                <w:rFonts w:ascii="Times New Roman" w:hAnsi="Times New Roman"/>
                <w:b/>
                <w:sz w:val="20"/>
                <w:szCs w:val="20"/>
              </w:rPr>
              <w:t>Сведения о достижении показателей эффективности перехода в отношении ________ (наименование значимого объекта КИИ №2)</w:t>
            </w:r>
          </w:p>
        </w:tc>
      </w:tr>
      <w:tr w:rsidR="00F52FED" w:rsidRPr="00B0658A" w14:paraId="7887C1ED" w14:textId="77777777" w:rsidTr="00B10FDE">
        <w:trPr>
          <w:trHeight w:val="170"/>
        </w:trPr>
        <w:tc>
          <w:tcPr>
            <w:tcW w:w="197" w:type="pct"/>
            <w:shd w:val="clear" w:color="auto" w:fill="auto"/>
            <w:vAlign w:val="center"/>
          </w:tcPr>
          <w:p w14:paraId="6F261C0F" w14:textId="77777777" w:rsidR="00B10FDE" w:rsidRPr="00B0658A" w:rsidRDefault="00B10FDE" w:rsidP="000A4114">
            <w:pPr>
              <w:spacing w:after="0" w:line="240" w:lineRule="auto"/>
              <w:rPr>
                <w:rFonts w:ascii="Times New Roman" w:hAnsi="Times New Roman"/>
                <w:sz w:val="20"/>
                <w:szCs w:val="20"/>
              </w:rPr>
            </w:pPr>
            <w:r w:rsidRPr="00B0658A">
              <w:rPr>
                <w:rFonts w:ascii="Times New Roman" w:hAnsi="Times New Roman"/>
                <w:sz w:val="20"/>
                <w:szCs w:val="20"/>
                <w:lang w:val="en-US"/>
              </w:rPr>
              <w:t>2</w:t>
            </w:r>
            <w:r w:rsidRPr="00B0658A">
              <w:rPr>
                <w:rFonts w:ascii="Times New Roman" w:hAnsi="Times New Roman"/>
                <w:sz w:val="20"/>
                <w:szCs w:val="20"/>
              </w:rPr>
              <w:t>.1</w:t>
            </w:r>
          </w:p>
        </w:tc>
        <w:tc>
          <w:tcPr>
            <w:tcW w:w="1174" w:type="pct"/>
            <w:shd w:val="clear" w:color="auto" w:fill="auto"/>
            <w:vAlign w:val="center"/>
          </w:tcPr>
          <w:p w14:paraId="240F6E6D" w14:textId="77777777" w:rsidR="00B10FDE" w:rsidRPr="00B0658A" w:rsidRDefault="00B10FDE" w:rsidP="000A4114">
            <w:pPr>
              <w:spacing w:after="0" w:line="240" w:lineRule="auto"/>
              <w:rPr>
                <w:rFonts w:ascii="Times New Roman" w:hAnsi="Times New Roman"/>
                <w:i/>
                <w:iCs/>
                <w:sz w:val="20"/>
                <w:szCs w:val="20"/>
              </w:rPr>
            </w:pPr>
            <w:r w:rsidRPr="00B0658A">
              <w:rPr>
                <w:rFonts w:ascii="Times New Roman" w:hAnsi="Times New Roman"/>
                <w:i/>
                <w:sz w:val="20"/>
                <w:szCs w:val="20"/>
              </w:rPr>
              <w:t>Указывается класс (тип) №1 ПО, используемого на значимом объекте КИИ №2 в соответствии с утвержденным детализированным</w:t>
            </w:r>
            <w:r w:rsidRPr="00B0658A">
              <w:rPr>
                <w:rFonts w:ascii="Times New Roman" w:hAnsi="Times New Roman"/>
                <w:i/>
                <w:iCs/>
                <w:sz w:val="20"/>
                <w:szCs w:val="20"/>
              </w:rPr>
              <w:t xml:space="preserve"> планом перехода </w:t>
            </w:r>
            <w:r w:rsidR="00F80D0D" w:rsidRPr="00B0658A">
              <w:rPr>
                <w:rFonts w:ascii="Times New Roman" w:hAnsi="Times New Roman"/>
                <w:i/>
                <w:iCs/>
                <w:sz w:val="20"/>
                <w:szCs w:val="20"/>
              </w:rPr>
              <w:t xml:space="preserve">государственной корпорации или компании с государственным участием </w:t>
            </w:r>
            <w:r w:rsidRPr="00B0658A">
              <w:rPr>
                <w:rFonts w:ascii="Times New Roman" w:hAnsi="Times New Roman"/>
                <w:i/>
                <w:iCs/>
                <w:sz w:val="20"/>
                <w:szCs w:val="20"/>
              </w:rPr>
              <w:t>на использование российского ПО на значимых объектах КИИ</w:t>
            </w:r>
          </w:p>
        </w:tc>
        <w:tc>
          <w:tcPr>
            <w:tcW w:w="508" w:type="pct"/>
          </w:tcPr>
          <w:p w14:paraId="7F0C128D" w14:textId="77777777" w:rsidR="00B10FDE" w:rsidRPr="00B0658A" w:rsidRDefault="00B10FDE" w:rsidP="000A4114">
            <w:pPr>
              <w:spacing w:after="0" w:line="240" w:lineRule="auto"/>
              <w:rPr>
                <w:rFonts w:ascii="Times New Roman" w:hAnsi="Times New Roman"/>
                <w:i/>
                <w:iCs/>
                <w:sz w:val="20"/>
                <w:szCs w:val="20"/>
              </w:rPr>
            </w:pPr>
          </w:p>
        </w:tc>
        <w:tc>
          <w:tcPr>
            <w:tcW w:w="1118" w:type="pct"/>
            <w:shd w:val="clear" w:color="auto" w:fill="auto"/>
          </w:tcPr>
          <w:p w14:paraId="0D30ABF4" w14:textId="77777777" w:rsidR="00B10FDE" w:rsidRPr="00B0658A" w:rsidRDefault="00B10FDE" w:rsidP="000A4114">
            <w:pPr>
              <w:spacing w:after="0" w:line="240" w:lineRule="auto"/>
              <w:rPr>
                <w:rFonts w:ascii="Times New Roman" w:hAnsi="Times New Roman"/>
                <w:i/>
                <w:iCs/>
                <w:sz w:val="20"/>
                <w:szCs w:val="20"/>
              </w:rPr>
            </w:pPr>
          </w:p>
        </w:tc>
        <w:tc>
          <w:tcPr>
            <w:tcW w:w="1062" w:type="pct"/>
            <w:shd w:val="clear" w:color="auto" w:fill="auto"/>
          </w:tcPr>
          <w:p w14:paraId="1F416584" w14:textId="77777777" w:rsidR="00B10FDE" w:rsidRPr="00B0658A" w:rsidRDefault="00B10FDE" w:rsidP="000A4114">
            <w:pPr>
              <w:spacing w:after="0" w:line="240" w:lineRule="auto"/>
              <w:rPr>
                <w:rFonts w:ascii="Times New Roman" w:hAnsi="Times New Roman"/>
                <w:i/>
                <w:iCs/>
                <w:sz w:val="20"/>
                <w:szCs w:val="20"/>
              </w:rPr>
            </w:pPr>
          </w:p>
        </w:tc>
        <w:tc>
          <w:tcPr>
            <w:tcW w:w="941" w:type="pct"/>
            <w:shd w:val="clear" w:color="auto" w:fill="auto"/>
          </w:tcPr>
          <w:p w14:paraId="2AE0436F" w14:textId="77777777" w:rsidR="00B10FDE" w:rsidRPr="00B0658A" w:rsidRDefault="00B10FDE" w:rsidP="000A4114">
            <w:pPr>
              <w:spacing w:after="0" w:line="240" w:lineRule="auto"/>
              <w:jc w:val="both"/>
              <w:rPr>
                <w:rFonts w:ascii="Times New Roman" w:hAnsi="Times New Roman"/>
                <w:i/>
                <w:iCs/>
                <w:sz w:val="20"/>
                <w:szCs w:val="20"/>
              </w:rPr>
            </w:pPr>
          </w:p>
        </w:tc>
      </w:tr>
      <w:tr w:rsidR="00F52FED" w:rsidRPr="00B0658A" w14:paraId="0629198B" w14:textId="77777777" w:rsidTr="00B10FDE">
        <w:trPr>
          <w:trHeight w:val="170"/>
        </w:trPr>
        <w:tc>
          <w:tcPr>
            <w:tcW w:w="197" w:type="pct"/>
            <w:shd w:val="clear" w:color="auto" w:fill="auto"/>
            <w:vAlign w:val="center"/>
          </w:tcPr>
          <w:p w14:paraId="0B27A1AE" w14:textId="77777777" w:rsidR="00B10FDE" w:rsidRPr="00B0658A" w:rsidRDefault="00B10FDE" w:rsidP="000A4114">
            <w:pPr>
              <w:spacing w:after="0" w:line="240" w:lineRule="auto"/>
              <w:rPr>
                <w:rFonts w:ascii="Times New Roman" w:hAnsi="Times New Roman"/>
                <w:sz w:val="20"/>
                <w:szCs w:val="20"/>
                <w:lang w:val="en-US"/>
              </w:rPr>
            </w:pPr>
            <w:r w:rsidRPr="00B0658A">
              <w:rPr>
                <w:rFonts w:ascii="Times New Roman" w:hAnsi="Times New Roman"/>
                <w:sz w:val="20"/>
                <w:szCs w:val="20"/>
                <w:lang w:val="en-US"/>
              </w:rPr>
              <w:t>2</w:t>
            </w:r>
            <w:r w:rsidRPr="00B0658A">
              <w:rPr>
                <w:rFonts w:ascii="Times New Roman" w:hAnsi="Times New Roman"/>
                <w:sz w:val="20"/>
                <w:szCs w:val="20"/>
              </w:rPr>
              <w:t>.</w:t>
            </w:r>
            <w:r w:rsidRPr="00B0658A">
              <w:rPr>
                <w:rFonts w:ascii="Times New Roman" w:hAnsi="Times New Roman"/>
                <w:sz w:val="20"/>
                <w:szCs w:val="20"/>
                <w:lang w:val="en-US"/>
              </w:rPr>
              <w:t>2</w:t>
            </w:r>
          </w:p>
        </w:tc>
        <w:tc>
          <w:tcPr>
            <w:tcW w:w="1174" w:type="pct"/>
            <w:shd w:val="clear" w:color="auto" w:fill="auto"/>
            <w:vAlign w:val="center"/>
          </w:tcPr>
          <w:p w14:paraId="0A723800" w14:textId="77777777" w:rsidR="00B10FDE" w:rsidRPr="00B0658A" w:rsidRDefault="00B10FDE" w:rsidP="000A4114">
            <w:pPr>
              <w:spacing w:after="0" w:line="240" w:lineRule="auto"/>
              <w:rPr>
                <w:rFonts w:ascii="Times New Roman" w:hAnsi="Times New Roman"/>
                <w:i/>
                <w:iCs/>
                <w:sz w:val="20"/>
                <w:szCs w:val="20"/>
              </w:rPr>
            </w:pPr>
            <w:r w:rsidRPr="00B0658A">
              <w:rPr>
                <w:rFonts w:ascii="Times New Roman" w:hAnsi="Times New Roman"/>
                <w:i/>
                <w:sz w:val="20"/>
                <w:szCs w:val="20"/>
              </w:rPr>
              <w:t xml:space="preserve">Указывается класс (тип) №2 ПО, используемого на значимом объекте КИИ №2 в соответствии с утвержденным детализированным </w:t>
            </w:r>
            <w:r w:rsidRPr="00B0658A">
              <w:rPr>
                <w:rFonts w:ascii="Times New Roman" w:hAnsi="Times New Roman"/>
                <w:i/>
                <w:iCs/>
                <w:sz w:val="20"/>
                <w:szCs w:val="20"/>
              </w:rPr>
              <w:t xml:space="preserve">планом перехода </w:t>
            </w:r>
            <w:r w:rsidR="00F80D0D" w:rsidRPr="00B0658A">
              <w:rPr>
                <w:rFonts w:ascii="Times New Roman" w:hAnsi="Times New Roman"/>
                <w:i/>
                <w:iCs/>
                <w:sz w:val="20"/>
                <w:szCs w:val="20"/>
              </w:rPr>
              <w:t xml:space="preserve">государственной корпорации или компании с государственным участием </w:t>
            </w:r>
            <w:r w:rsidRPr="00B0658A">
              <w:rPr>
                <w:rFonts w:ascii="Times New Roman" w:hAnsi="Times New Roman"/>
                <w:i/>
                <w:iCs/>
                <w:sz w:val="20"/>
                <w:szCs w:val="20"/>
              </w:rPr>
              <w:t>на использование российского ПО на значимых объектах КИИ</w:t>
            </w:r>
          </w:p>
        </w:tc>
        <w:tc>
          <w:tcPr>
            <w:tcW w:w="508" w:type="pct"/>
          </w:tcPr>
          <w:p w14:paraId="5ADB1CC8" w14:textId="77777777" w:rsidR="00B10FDE" w:rsidRPr="00B0658A" w:rsidRDefault="00B10FDE" w:rsidP="000A4114">
            <w:pPr>
              <w:spacing w:after="0" w:line="240" w:lineRule="auto"/>
              <w:rPr>
                <w:rFonts w:ascii="Times New Roman" w:hAnsi="Times New Roman"/>
                <w:i/>
                <w:iCs/>
                <w:sz w:val="20"/>
                <w:szCs w:val="20"/>
              </w:rPr>
            </w:pPr>
          </w:p>
        </w:tc>
        <w:tc>
          <w:tcPr>
            <w:tcW w:w="1118" w:type="pct"/>
            <w:shd w:val="clear" w:color="auto" w:fill="auto"/>
          </w:tcPr>
          <w:p w14:paraId="22EC1B1F" w14:textId="77777777" w:rsidR="00B10FDE" w:rsidRPr="00B0658A" w:rsidRDefault="00B10FDE" w:rsidP="000A4114">
            <w:pPr>
              <w:spacing w:after="0" w:line="240" w:lineRule="auto"/>
              <w:rPr>
                <w:rFonts w:ascii="Times New Roman" w:hAnsi="Times New Roman"/>
                <w:i/>
                <w:iCs/>
                <w:sz w:val="20"/>
                <w:szCs w:val="20"/>
              </w:rPr>
            </w:pPr>
          </w:p>
        </w:tc>
        <w:tc>
          <w:tcPr>
            <w:tcW w:w="1062" w:type="pct"/>
            <w:shd w:val="clear" w:color="auto" w:fill="auto"/>
          </w:tcPr>
          <w:p w14:paraId="56D92E68" w14:textId="77777777" w:rsidR="00B10FDE" w:rsidRPr="00B0658A" w:rsidRDefault="00B10FDE" w:rsidP="000A4114">
            <w:pPr>
              <w:spacing w:after="0" w:line="240" w:lineRule="auto"/>
              <w:rPr>
                <w:rFonts w:ascii="Times New Roman" w:hAnsi="Times New Roman"/>
                <w:i/>
                <w:iCs/>
                <w:sz w:val="20"/>
                <w:szCs w:val="20"/>
              </w:rPr>
            </w:pPr>
          </w:p>
        </w:tc>
        <w:tc>
          <w:tcPr>
            <w:tcW w:w="941" w:type="pct"/>
            <w:shd w:val="clear" w:color="auto" w:fill="auto"/>
          </w:tcPr>
          <w:p w14:paraId="64D623D2" w14:textId="77777777" w:rsidR="00B10FDE" w:rsidRPr="00B0658A" w:rsidRDefault="00B10FDE" w:rsidP="000A4114">
            <w:pPr>
              <w:spacing w:after="0" w:line="240" w:lineRule="auto"/>
              <w:jc w:val="both"/>
              <w:rPr>
                <w:rFonts w:ascii="Times New Roman" w:hAnsi="Times New Roman"/>
                <w:i/>
                <w:iCs/>
                <w:sz w:val="20"/>
                <w:szCs w:val="20"/>
              </w:rPr>
            </w:pPr>
          </w:p>
        </w:tc>
      </w:tr>
      <w:tr w:rsidR="00F52FED" w:rsidRPr="00B0658A" w14:paraId="15080A47" w14:textId="77777777" w:rsidTr="00B10FDE">
        <w:trPr>
          <w:trHeight w:val="170"/>
        </w:trPr>
        <w:tc>
          <w:tcPr>
            <w:tcW w:w="197" w:type="pct"/>
            <w:shd w:val="clear" w:color="auto" w:fill="auto"/>
            <w:vAlign w:val="center"/>
          </w:tcPr>
          <w:p w14:paraId="71C58C56" w14:textId="77777777" w:rsidR="00B10FDE" w:rsidRPr="00B0658A" w:rsidRDefault="00B10FDE" w:rsidP="000A4114">
            <w:pPr>
              <w:spacing w:after="0" w:line="240" w:lineRule="auto"/>
              <w:rPr>
                <w:rFonts w:ascii="Times New Roman" w:hAnsi="Times New Roman"/>
                <w:sz w:val="20"/>
                <w:szCs w:val="20"/>
                <w:lang w:val="en-US"/>
              </w:rPr>
            </w:pPr>
            <w:r w:rsidRPr="00B0658A">
              <w:rPr>
                <w:rFonts w:ascii="Times New Roman" w:hAnsi="Times New Roman"/>
                <w:sz w:val="20"/>
                <w:szCs w:val="20"/>
                <w:lang w:val="en-US"/>
              </w:rPr>
              <w:t>..</w:t>
            </w:r>
          </w:p>
        </w:tc>
        <w:tc>
          <w:tcPr>
            <w:tcW w:w="1174" w:type="pct"/>
            <w:shd w:val="clear" w:color="auto" w:fill="auto"/>
            <w:vAlign w:val="center"/>
          </w:tcPr>
          <w:p w14:paraId="42A5AAD7" w14:textId="77777777" w:rsidR="00B10FDE" w:rsidRPr="00B0658A" w:rsidRDefault="00B10FDE" w:rsidP="000A4114">
            <w:pPr>
              <w:spacing w:after="0" w:line="240" w:lineRule="auto"/>
              <w:rPr>
                <w:rFonts w:ascii="Times New Roman" w:hAnsi="Times New Roman"/>
                <w:i/>
                <w:iCs/>
                <w:sz w:val="20"/>
                <w:szCs w:val="20"/>
              </w:rPr>
            </w:pPr>
          </w:p>
        </w:tc>
        <w:tc>
          <w:tcPr>
            <w:tcW w:w="508" w:type="pct"/>
          </w:tcPr>
          <w:p w14:paraId="6897CDA6" w14:textId="77777777" w:rsidR="00B10FDE" w:rsidRPr="00B0658A" w:rsidRDefault="00B10FDE" w:rsidP="000A4114">
            <w:pPr>
              <w:spacing w:after="0" w:line="240" w:lineRule="auto"/>
              <w:rPr>
                <w:rFonts w:ascii="Times New Roman" w:hAnsi="Times New Roman"/>
                <w:i/>
                <w:iCs/>
                <w:sz w:val="20"/>
                <w:szCs w:val="20"/>
              </w:rPr>
            </w:pPr>
          </w:p>
        </w:tc>
        <w:tc>
          <w:tcPr>
            <w:tcW w:w="1118" w:type="pct"/>
            <w:shd w:val="clear" w:color="auto" w:fill="auto"/>
          </w:tcPr>
          <w:p w14:paraId="22B94774" w14:textId="77777777" w:rsidR="00B10FDE" w:rsidRPr="00B0658A" w:rsidRDefault="00B10FDE" w:rsidP="000A4114">
            <w:pPr>
              <w:spacing w:after="0" w:line="240" w:lineRule="auto"/>
              <w:rPr>
                <w:rFonts w:ascii="Times New Roman" w:hAnsi="Times New Roman"/>
                <w:i/>
                <w:iCs/>
                <w:sz w:val="20"/>
                <w:szCs w:val="20"/>
              </w:rPr>
            </w:pPr>
          </w:p>
        </w:tc>
        <w:tc>
          <w:tcPr>
            <w:tcW w:w="1062" w:type="pct"/>
            <w:shd w:val="clear" w:color="auto" w:fill="auto"/>
          </w:tcPr>
          <w:p w14:paraId="38F6E111" w14:textId="77777777" w:rsidR="00B10FDE" w:rsidRPr="00B0658A" w:rsidRDefault="00B10FDE" w:rsidP="000A4114">
            <w:pPr>
              <w:spacing w:after="0" w:line="240" w:lineRule="auto"/>
              <w:rPr>
                <w:rFonts w:ascii="Times New Roman" w:hAnsi="Times New Roman"/>
                <w:i/>
                <w:iCs/>
                <w:sz w:val="20"/>
                <w:szCs w:val="20"/>
              </w:rPr>
            </w:pPr>
          </w:p>
        </w:tc>
        <w:tc>
          <w:tcPr>
            <w:tcW w:w="941" w:type="pct"/>
            <w:shd w:val="clear" w:color="auto" w:fill="auto"/>
          </w:tcPr>
          <w:p w14:paraId="72251E4B" w14:textId="77777777" w:rsidR="00B10FDE" w:rsidRPr="00B0658A" w:rsidRDefault="00B10FDE" w:rsidP="000A4114">
            <w:pPr>
              <w:spacing w:after="0" w:line="240" w:lineRule="auto"/>
              <w:jc w:val="both"/>
              <w:rPr>
                <w:rFonts w:ascii="Times New Roman" w:hAnsi="Times New Roman"/>
                <w:i/>
                <w:iCs/>
                <w:sz w:val="20"/>
                <w:szCs w:val="20"/>
              </w:rPr>
            </w:pPr>
          </w:p>
        </w:tc>
      </w:tr>
      <w:tr w:rsidR="00F52FED" w:rsidRPr="00B0658A" w14:paraId="3ECF0B92" w14:textId="77777777" w:rsidTr="00B10FDE">
        <w:trPr>
          <w:trHeight w:val="170"/>
        </w:trPr>
        <w:tc>
          <w:tcPr>
            <w:tcW w:w="197" w:type="pct"/>
            <w:shd w:val="clear" w:color="auto" w:fill="auto"/>
            <w:vAlign w:val="center"/>
          </w:tcPr>
          <w:p w14:paraId="707EEFFA" w14:textId="77777777" w:rsidR="00B10FDE" w:rsidRPr="00B0658A" w:rsidRDefault="00B10FDE" w:rsidP="000A4114">
            <w:pPr>
              <w:spacing w:after="0" w:line="240" w:lineRule="auto"/>
              <w:rPr>
                <w:rFonts w:ascii="Times New Roman" w:hAnsi="Times New Roman"/>
                <w:sz w:val="20"/>
                <w:szCs w:val="20"/>
              </w:rPr>
            </w:pPr>
            <w:r w:rsidRPr="00B0658A">
              <w:rPr>
                <w:rFonts w:ascii="Times New Roman" w:hAnsi="Times New Roman"/>
                <w:sz w:val="20"/>
                <w:szCs w:val="20"/>
                <w:lang w:val="en-US"/>
              </w:rPr>
              <w:t>2</w:t>
            </w:r>
            <w:r w:rsidRPr="00B0658A">
              <w:rPr>
                <w:rFonts w:ascii="Times New Roman" w:hAnsi="Times New Roman"/>
                <w:sz w:val="20"/>
                <w:szCs w:val="20"/>
              </w:rPr>
              <w:t>.</w:t>
            </w:r>
            <w:r w:rsidRPr="00B0658A">
              <w:rPr>
                <w:rFonts w:ascii="Times New Roman" w:hAnsi="Times New Roman"/>
                <w:sz w:val="20"/>
                <w:szCs w:val="20"/>
                <w:lang w:val="en-US"/>
              </w:rPr>
              <w:t>n</w:t>
            </w:r>
          </w:p>
        </w:tc>
        <w:tc>
          <w:tcPr>
            <w:tcW w:w="1174" w:type="pct"/>
            <w:shd w:val="clear" w:color="auto" w:fill="auto"/>
            <w:vAlign w:val="center"/>
          </w:tcPr>
          <w:p w14:paraId="50C92DC6" w14:textId="77777777" w:rsidR="00B10FDE" w:rsidRPr="00B0658A" w:rsidRDefault="00B10FDE" w:rsidP="000A4114">
            <w:pPr>
              <w:spacing w:after="0" w:line="240" w:lineRule="auto"/>
              <w:rPr>
                <w:rFonts w:ascii="Times New Roman" w:hAnsi="Times New Roman"/>
                <w:i/>
                <w:iCs/>
                <w:sz w:val="20"/>
                <w:szCs w:val="20"/>
              </w:rPr>
            </w:pPr>
            <w:r w:rsidRPr="00B0658A">
              <w:rPr>
                <w:rFonts w:ascii="Times New Roman" w:hAnsi="Times New Roman"/>
                <w:i/>
                <w:sz w:val="20"/>
                <w:szCs w:val="20"/>
              </w:rPr>
              <w:t xml:space="preserve">Указывается класс (тип) № </w:t>
            </w:r>
            <w:r w:rsidRPr="00B0658A">
              <w:rPr>
                <w:rFonts w:ascii="Times New Roman" w:hAnsi="Times New Roman"/>
                <w:i/>
                <w:sz w:val="20"/>
                <w:szCs w:val="20"/>
                <w:lang w:val="en-US"/>
              </w:rPr>
              <w:t>n</w:t>
            </w:r>
            <w:r w:rsidRPr="00B0658A">
              <w:rPr>
                <w:rFonts w:ascii="Times New Roman" w:hAnsi="Times New Roman"/>
                <w:i/>
                <w:sz w:val="20"/>
                <w:szCs w:val="20"/>
              </w:rPr>
              <w:t xml:space="preserve"> ПО, используемого на значимом объекте КИИ №2 в соответствии с утвержденным детализированным </w:t>
            </w:r>
            <w:r w:rsidRPr="00B0658A">
              <w:rPr>
                <w:rFonts w:ascii="Times New Roman" w:hAnsi="Times New Roman"/>
                <w:i/>
                <w:iCs/>
                <w:sz w:val="20"/>
                <w:szCs w:val="20"/>
              </w:rPr>
              <w:t xml:space="preserve">планом перехода </w:t>
            </w:r>
            <w:r w:rsidR="00F80D0D" w:rsidRPr="00B0658A">
              <w:rPr>
                <w:rFonts w:ascii="Times New Roman" w:hAnsi="Times New Roman"/>
                <w:i/>
                <w:iCs/>
                <w:sz w:val="20"/>
                <w:szCs w:val="20"/>
              </w:rPr>
              <w:t xml:space="preserve">государственной корпорации или компании с государственным участием </w:t>
            </w:r>
            <w:r w:rsidRPr="00B0658A">
              <w:rPr>
                <w:rFonts w:ascii="Times New Roman" w:hAnsi="Times New Roman"/>
                <w:i/>
                <w:iCs/>
                <w:sz w:val="20"/>
                <w:szCs w:val="20"/>
              </w:rPr>
              <w:t>на использование российского ПО на значимых объектах КИИ</w:t>
            </w:r>
          </w:p>
        </w:tc>
        <w:tc>
          <w:tcPr>
            <w:tcW w:w="508" w:type="pct"/>
          </w:tcPr>
          <w:p w14:paraId="50EDEAC2" w14:textId="77777777" w:rsidR="00B10FDE" w:rsidRPr="00B0658A" w:rsidRDefault="00B10FDE" w:rsidP="000A4114">
            <w:pPr>
              <w:spacing w:after="0" w:line="240" w:lineRule="auto"/>
              <w:rPr>
                <w:rFonts w:ascii="Times New Roman" w:hAnsi="Times New Roman"/>
                <w:i/>
                <w:iCs/>
                <w:sz w:val="20"/>
                <w:szCs w:val="20"/>
              </w:rPr>
            </w:pPr>
          </w:p>
        </w:tc>
        <w:tc>
          <w:tcPr>
            <w:tcW w:w="1118" w:type="pct"/>
            <w:shd w:val="clear" w:color="auto" w:fill="auto"/>
          </w:tcPr>
          <w:p w14:paraId="5253E88C" w14:textId="77777777" w:rsidR="00B10FDE" w:rsidRPr="00B0658A" w:rsidRDefault="00B10FDE" w:rsidP="000A4114">
            <w:pPr>
              <w:spacing w:after="0" w:line="240" w:lineRule="auto"/>
              <w:rPr>
                <w:rFonts w:ascii="Times New Roman" w:hAnsi="Times New Roman"/>
                <w:i/>
                <w:iCs/>
                <w:sz w:val="20"/>
                <w:szCs w:val="20"/>
              </w:rPr>
            </w:pPr>
          </w:p>
        </w:tc>
        <w:tc>
          <w:tcPr>
            <w:tcW w:w="1062" w:type="pct"/>
            <w:shd w:val="clear" w:color="auto" w:fill="auto"/>
          </w:tcPr>
          <w:p w14:paraId="780D150D" w14:textId="77777777" w:rsidR="00B10FDE" w:rsidRPr="00B0658A" w:rsidRDefault="00B10FDE" w:rsidP="000A4114">
            <w:pPr>
              <w:spacing w:after="0" w:line="240" w:lineRule="auto"/>
              <w:rPr>
                <w:rFonts w:ascii="Times New Roman" w:hAnsi="Times New Roman"/>
                <w:i/>
                <w:iCs/>
                <w:sz w:val="20"/>
                <w:szCs w:val="20"/>
              </w:rPr>
            </w:pPr>
          </w:p>
        </w:tc>
        <w:tc>
          <w:tcPr>
            <w:tcW w:w="941" w:type="pct"/>
            <w:shd w:val="clear" w:color="auto" w:fill="auto"/>
          </w:tcPr>
          <w:p w14:paraId="28ED9DE4" w14:textId="77777777" w:rsidR="00B10FDE" w:rsidRPr="00B0658A" w:rsidRDefault="00B10FDE" w:rsidP="000A4114">
            <w:pPr>
              <w:spacing w:after="0" w:line="240" w:lineRule="auto"/>
              <w:jc w:val="both"/>
              <w:rPr>
                <w:rFonts w:ascii="Times New Roman" w:hAnsi="Times New Roman"/>
                <w:i/>
                <w:iCs/>
                <w:sz w:val="20"/>
                <w:szCs w:val="20"/>
              </w:rPr>
            </w:pPr>
          </w:p>
        </w:tc>
      </w:tr>
      <w:tr w:rsidR="00F52FED" w:rsidRPr="00B0658A" w14:paraId="68ED2796" w14:textId="77777777" w:rsidTr="00B10FDE">
        <w:trPr>
          <w:trHeight w:val="170"/>
        </w:trPr>
        <w:tc>
          <w:tcPr>
            <w:tcW w:w="197" w:type="pct"/>
            <w:shd w:val="clear" w:color="auto" w:fill="auto"/>
            <w:vAlign w:val="center"/>
          </w:tcPr>
          <w:p w14:paraId="27FBAE6A" w14:textId="77777777" w:rsidR="00B10FDE" w:rsidRPr="00B0658A" w:rsidRDefault="00B10FDE" w:rsidP="000A4114">
            <w:pPr>
              <w:spacing w:after="0" w:line="240" w:lineRule="auto"/>
              <w:rPr>
                <w:rFonts w:ascii="Times New Roman" w:hAnsi="Times New Roman"/>
                <w:sz w:val="20"/>
                <w:szCs w:val="20"/>
                <w:lang w:val="en-US"/>
              </w:rPr>
            </w:pPr>
            <w:r w:rsidRPr="00B0658A">
              <w:rPr>
                <w:rFonts w:ascii="Times New Roman" w:hAnsi="Times New Roman"/>
                <w:sz w:val="20"/>
                <w:szCs w:val="20"/>
                <w:lang w:val="en-US"/>
              </w:rPr>
              <w:t>…</w:t>
            </w:r>
          </w:p>
        </w:tc>
        <w:tc>
          <w:tcPr>
            <w:tcW w:w="1174" w:type="pct"/>
            <w:shd w:val="clear" w:color="auto" w:fill="auto"/>
            <w:vAlign w:val="center"/>
          </w:tcPr>
          <w:p w14:paraId="7D5EF232" w14:textId="77777777" w:rsidR="00B10FDE" w:rsidRPr="00B0658A" w:rsidRDefault="00B10FDE" w:rsidP="000A4114">
            <w:pPr>
              <w:spacing w:after="0" w:line="240" w:lineRule="auto"/>
              <w:rPr>
                <w:rFonts w:ascii="Times New Roman" w:hAnsi="Times New Roman"/>
                <w:i/>
                <w:iCs/>
                <w:sz w:val="20"/>
                <w:szCs w:val="20"/>
              </w:rPr>
            </w:pPr>
          </w:p>
        </w:tc>
        <w:tc>
          <w:tcPr>
            <w:tcW w:w="508" w:type="pct"/>
          </w:tcPr>
          <w:p w14:paraId="3E7E5243" w14:textId="77777777" w:rsidR="00B10FDE" w:rsidRPr="00B0658A" w:rsidRDefault="00B10FDE" w:rsidP="000A4114">
            <w:pPr>
              <w:spacing w:after="0" w:line="240" w:lineRule="auto"/>
              <w:rPr>
                <w:rFonts w:ascii="Times New Roman" w:hAnsi="Times New Roman"/>
                <w:i/>
                <w:iCs/>
                <w:sz w:val="20"/>
                <w:szCs w:val="20"/>
              </w:rPr>
            </w:pPr>
          </w:p>
        </w:tc>
        <w:tc>
          <w:tcPr>
            <w:tcW w:w="1118" w:type="pct"/>
            <w:shd w:val="clear" w:color="auto" w:fill="auto"/>
          </w:tcPr>
          <w:p w14:paraId="0F26B5FA" w14:textId="77777777" w:rsidR="00B10FDE" w:rsidRPr="00B0658A" w:rsidRDefault="00B10FDE" w:rsidP="000A4114">
            <w:pPr>
              <w:spacing w:after="0" w:line="240" w:lineRule="auto"/>
              <w:rPr>
                <w:rFonts w:ascii="Times New Roman" w:hAnsi="Times New Roman"/>
                <w:i/>
                <w:iCs/>
                <w:sz w:val="20"/>
                <w:szCs w:val="20"/>
              </w:rPr>
            </w:pPr>
          </w:p>
        </w:tc>
        <w:tc>
          <w:tcPr>
            <w:tcW w:w="1062" w:type="pct"/>
            <w:shd w:val="clear" w:color="auto" w:fill="auto"/>
          </w:tcPr>
          <w:p w14:paraId="5B1FDEEE" w14:textId="77777777" w:rsidR="00B10FDE" w:rsidRPr="00B0658A" w:rsidRDefault="00B10FDE" w:rsidP="000A4114">
            <w:pPr>
              <w:spacing w:after="0" w:line="240" w:lineRule="auto"/>
              <w:rPr>
                <w:rFonts w:ascii="Times New Roman" w:hAnsi="Times New Roman"/>
                <w:i/>
                <w:iCs/>
                <w:sz w:val="20"/>
                <w:szCs w:val="20"/>
              </w:rPr>
            </w:pPr>
          </w:p>
        </w:tc>
        <w:tc>
          <w:tcPr>
            <w:tcW w:w="941" w:type="pct"/>
            <w:shd w:val="clear" w:color="auto" w:fill="auto"/>
          </w:tcPr>
          <w:p w14:paraId="70B8499E" w14:textId="77777777" w:rsidR="00B10FDE" w:rsidRPr="00B0658A" w:rsidRDefault="00B10FDE" w:rsidP="000A4114">
            <w:pPr>
              <w:spacing w:after="0" w:line="240" w:lineRule="auto"/>
              <w:jc w:val="both"/>
              <w:rPr>
                <w:rFonts w:ascii="Times New Roman" w:hAnsi="Times New Roman"/>
                <w:i/>
                <w:iCs/>
                <w:sz w:val="20"/>
                <w:szCs w:val="20"/>
              </w:rPr>
            </w:pPr>
          </w:p>
        </w:tc>
      </w:tr>
      <w:tr w:rsidR="00F52FED" w:rsidRPr="00B0658A" w14:paraId="46E42BDC" w14:textId="77777777" w:rsidTr="00B10FDE">
        <w:trPr>
          <w:trHeight w:val="170"/>
        </w:trPr>
        <w:tc>
          <w:tcPr>
            <w:tcW w:w="5000" w:type="pct"/>
            <w:gridSpan w:val="6"/>
            <w:shd w:val="clear" w:color="auto" w:fill="auto"/>
            <w:vAlign w:val="center"/>
          </w:tcPr>
          <w:p w14:paraId="6D1482A0" w14:textId="77777777" w:rsidR="00B10FDE" w:rsidRPr="00B0658A" w:rsidRDefault="00B10FDE" w:rsidP="000A4114">
            <w:pPr>
              <w:spacing w:after="0" w:line="240" w:lineRule="auto"/>
              <w:rPr>
                <w:rFonts w:ascii="Times New Roman" w:hAnsi="Times New Roman"/>
                <w:i/>
                <w:iCs/>
                <w:sz w:val="20"/>
                <w:szCs w:val="20"/>
              </w:rPr>
            </w:pPr>
            <w:r w:rsidRPr="00B0658A">
              <w:rPr>
                <w:rFonts w:ascii="Times New Roman" w:hAnsi="Times New Roman"/>
                <w:b/>
                <w:sz w:val="20"/>
                <w:szCs w:val="20"/>
                <w:lang w:val="en-US"/>
              </w:rPr>
              <w:t>N</w:t>
            </w:r>
            <w:r w:rsidRPr="00B0658A">
              <w:rPr>
                <w:rFonts w:ascii="Times New Roman" w:hAnsi="Times New Roman"/>
                <w:b/>
                <w:sz w:val="20"/>
                <w:szCs w:val="20"/>
              </w:rPr>
              <w:t>. Сведения о достижении показателей эффективности перехода в отношении ________ (наименование значимого объекта КИИ №</w:t>
            </w:r>
            <w:r w:rsidRPr="00B0658A">
              <w:rPr>
                <w:rFonts w:ascii="Times New Roman" w:hAnsi="Times New Roman"/>
                <w:b/>
                <w:sz w:val="20"/>
                <w:szCs w:val="20"/>
                <w:lang w:val="en-US"/>
              </w:rPr>
              <w:t>N</w:t>
            </w:r>
            <w:r w:rsidRPr="00B0658A">
              <w:rPr>
                <w:rFonts w:ascii="Times New Roman" w:hAnsi="Times New Roman"/>
                <w:b/>
                <w:sz w:val="20"/>
                <w:szCs w:val="20"/>
              </w:rPr>
              <w:t>)</w:t>
            </w:r>
          </w:p>
        </w:tc>
      </w:tr>
      <w:tr w:rsidR="00F52FED" w:rsidRPr="00B0658A" w14:paraId="7AA22A41" w14:textId="77777777" w:rsidTr="00B10FDE">
        <w:trPr>
          <w:trHeight w:val="170"/>
        </w:trPr>
        <w:tc>
          <w:tcPr>
            <w:tcW w:w="197" w:type="pct"/>
            <w:shd w:val="clear" w:color="auto" w:fill="auto"/>
            <w:vAlign w:val="center"/>
          </w:tcPr>
          <w:p w14:paraId="3A737AF4" w14:textId="77777777" w:rsidR="00B10FDE" w:rsidRPr="00B0658A" w:rsidRDefault="00B10FDE" w:rsidP="000A4114">
            <w:pPr>
              <w:spacing w:after="0" w:line="240" w:lineRule="auto"/>
              <w:rPr>
                <w:rFonts w:ascii="Times New Roman" w:hAnsi="Times New Roman"/>
                <w:sz w:val="20"/>
                <w:szCs w:val="20"/>
              </w:rPr>
            </w:pPr>
            <w:r w:rsidRPr="00B0658A">
              <w:rPr>
                <w:rFonts w:ascii="Times New Roman" w:hAnsi="Times New Roman"/>
                <w:sz w:val="20"/>
                <w:szCs w:val="20"/>
                <w:lang w:val="en-US"/>
              </w:rPr>
              <w:t>N</w:t>
            </w:r>
            <w:r w:rsidRPr="00B0658A">
              <w:rPr>
                <w:rFonts w:ascii="Times New Roman" w:hAnsi="Times New Roman"/>
                <w:sz w:val="20"/>
                <w:szCs w:val="20"/>
              </w:rPr>
              <w:t>.1</w:t>
            </w:r>
          </w:p>
        </w:tc>
        <w:tc>
          <w:tcPr>
            <w:tcW w:w="1174" w:type="pct"/>
            <w:shd w:val="clear" w:color="auto" w:fill="auto"/>
            <w:vAlign w:val="center"/>
          </w:tcPr>
          <w:p w14:paraId="7B40A8EC" w14:textId="77777777" w:rsidR="00B10FDE" w:rsidRPr="00B0658A" w:rsidRDefault="00B10FDE" w:rsidP="000A4114">
            <w:pPr>
              <w:spacing w:after="0" w:line="240" w:lineRule="auto"/>
              <w:rPr>
                <w:rFonts w:ascii="Times New Roman" w:hAnsi="Times New Roman"/>
                <w:i/>
                <w:iCs/>
                <w:sz w:val="20"/>
                <w:szCs w:val="20"/>
              </w:rPr>
            </w:pPr>
            <w:r w:rsidRPr="00B0658A">
              <w:rPr>
                <w:rFonts w:ascii="Times New Roman" w:hAnsi="Times New Roman"/>
                <w:i/>
                <w:sz w:val="20"/>
                <w:szCs w:val="20"/>
              </w:rPr>
              <w:t>Указывается класс (тип) №1 ПО, используемого на значимом объекте КИИ №</w:t>
            </w:r>
            <w:r w:rsidRPr="00B0658A">
              <w:rPr>
                <w:rFonts w:ascii="Times New Roman" w:hAnsi="Times New Roman"/>
                <w:i/>
                <w:sz w:val="20"/>
                <w:szCs w:val="20"/>
                <w:lang w:val="en-US"/>
              </w:rPr>
              <w:t>N</w:t>
            </w:r>
            <w:r w:rsidRPr="00B0658A">
              <w:rPr>
                <w:rFonts w:ascii="Times New Roman" w:hAnsi="Times New Roman"/>
                <w:i/>
                <w:sz w:val="20"/>
                <w:szCs w:val="20"/>
              </w:rPr>
              <w:t xml:space="preserve"> в соответствии с утвержденным</w:t>
            </w:r>
            <w:r w:rsidRPr="00B0658A">
              <w:rPr>
                <w:rFonts w:ascii="Times New Roman" w:hAnsi="Times New Roman"/>
                <w:i/>
                <w:iCs/>
                <w:sz w:val="20"/>
                <w:szCs w:val="20"/>
              </w:rPr>
              <w:t xml:space="preserve"> детализированным планом перехода </w:t>
            </w:r>
            <w:r w:rsidR="00F80D0D" w:rsidRPr="00B0658A">
              <w:rPr>
                <w:rFonts w:ascii="Times New Roman" w:hAnsi="Times New Roman"/>
                <w:i/>
                <w:iCs/>
                <w:sz w:val="20"/>
                <w:szCs w:val="20"/>
              </w:rPr>
              <w:t xml:space="preserve">государственной корпорации или компании с государственным участием </w:t>
            </w:r>
            <w:r w:rsidRPr="00B0658A">
              <w:rPr>
                <w:rFonts w:ascii="Times New Roman" w:hAnsi="Times New Roman"/>
                <w:i/>
                <w:iCs/>
                <w:sz w:val="20"/>
                <w:szCs w:val="20"/>
              </w:rPr>
              <w:t>на использование российского ПО на значимых объектах КИИ</w:t>
            </w:r>
          </w:p>
        </w:tc>
        <w:tc>
          <w:tcPr>
            <w:tcW w:w="508" w:type="pct"/>
          </w:tcPr>
          <w:p w14:paraId="7A9D4E1B" w14:textId="77777777" w:rsidR="00B10FDE" w:rsidRPr="00B0658A" w:rsidRDefault="00B10FDE" w:rsidP="000A4114">
            <w:pPr>
              <w:spacing w:after="0" w:line="240" w:lineRule="auto"/>
              <w:rPr>
                <w:rFonts w:ascii="Times New Roman" w:hAnsi="Times New Roman"/>
                <w:i/>
                <w:iCs/>
                <w:sz w:val="20"/>
                <w:szCs w:val="20"/>
              </w:rPr>
            </w:pPr>
          </w:p>
        </w:tc>
        <w:tc>
          <w:tcPr>
            <w:tcW w:w="1118" w:type="pct"/>
            <w:shd w:val="clear" w:color="auto" w:fill="auto"/>
          </w:tcPr>
          <w:p w14:paraId="7FCA630E" w14:textId="77777777" w:rsidR="00B10FDE" w:rsidRPr="00B0658A" w:rsidRDefault="00B10FDE" w:rsidP="000A4114">
            <w:pPr>
              <w:spacing w:after="0" w:line="240" w:lineRule="auto"/>
              <w:rPr>
                <w:rFonts w:ascii="Times New Roman" w:hAnsi="Times New Roman"/>
                <w:i/>
                <w:iCs/>
                <w:sz w:val="20"/>
                <w:szCs w:val="20"/>
              </w:rPr>
            </w:pPr>
          </w:p>
        </w:tc>
        <w:tc>
          <w:tcPr>
            <w:tcW w:w="1062" w:type="pct"/>
            <w:shd w:val="clear" w:color="auto" w:fill="auto"/>
          </w:tcPr>
          <w:p w14:paraId="12471D07" w14:textId="77777777" w:rsidR="00B10FDE" w:rsidRPr="00B0658A" w:rsidRDefault="00B10FDE" w:rsidP="000A4114">
            <w:pPr>
              <w:spacing w:after="0" w:line="240" w:lineRule="auto"/>
              <w:rPr>
                <w:rFonts w:ascii="Times New Roman" w:hAnsi="Times New Roman"/>
                <w:i/>
                <w:iCs/>
                <w:sz w:val="20"/>
                <w:szCs w:val="20"/>
              </w:rPr>
            </w:pPr>
          </w:p>
        </w:tc>
        <w:tc>
          <w:tcPr>
            <w:tcW w:w="941" w:type="pct"/>
            <w:shd w:val="clear" w:color="auto" w:fill="auto"/>
          </w:tcPr>
          <w:p w14:paraId="4D3162A5" w14:textId="77777777" w:rsidR="00B10FDE" w:rsidRPr="00B0658A" w:rsidRDefault="00B10FDE" w:rsidP="000A4114">
            <w:pPr>
              <w:spacing w:after="0" w:line="240" w:lineRule="auto"/>
              <w:jc w:val="both"/>
              <w:rPr>
                <w:rFonts w:ascii="Times New Roman" w:hAnsi="Times New Roman"/>
                <w:i/>
                <w:iCs/>
                <w:sz w:val="20"/>
                <w:szCs w:val="20"/>
              </w:rPr>
            </w:pPr>
          </w:p>
        </w:tc>
      </w:tr>
      <w:tr w:rsidR="00F52FED" w:rsidRPr="00B0658A" w14:paraId="502A9439" w14:textId="77777777" w:rsidTr="00B10FDE">
        <w:trPr>
          <w:trHeight w:val="170"/>
        </w:trPr>
        <w:tc>
          <w:tcPr>
            <w:tcW w:w="197" w:type="pct"/>
            <w:shd w:val="clear" w:color="auto" w:fill="auto"/>
            <w:vAlign w:val="center"/>
          </w:tcPr>
          <w:p w14:paraId="3A3C0968" w14:textId="77777777" w:rsidR="00B10FDE" w:rsidRPr="00B0658A" w:rsidRDefault="00B10FDE" w:rsidP="000A4114">
            <w:pPr>
              <w:spacing w:after="0" w:line="240" w:lineRule="auto"/>
              <w:rPr>
                <w:rFonts w:ascii="Times New Roman" w:hAnsi="Times New Roman"/>
                <w:sz w:val="20"/>
                <w:szCs w:val="20"/>
              </w:rPr>
            </w:pPr>
            <w:r w:rsidRPr="00B0658A">
              <w:rPr>
                <w:rFonts w:ascii="Times New Roman" w:hAnsi="Times New Roman"/>
                <w:sz w:val="20"/>
                <w:szCs w:val="20"/>
              </w:rPr>
              <w:t>N.</w:t>
            </w:r>
            <w:r w:rsidRPr="00B0658A">
              <w:rPr>
                <w:rFonts w:ascii="Times New Roman" w:hAnsi="Times New Roman"/>
                <w:sz w:val="20"/>
                <w:szCs w:val="20"/>
                <w:lang w:val="en-US"/>
              </w:rPr>
              <w:t>2</w:t>
            </w:r>
          </w:p>
        </w:tc>
        <w:tc>
          <w:tcPr>
            <w:tcW w:w="1174" w:type="pct"/>
            <w:shd w:val="clear" w:color="auto" w:fill="auto"/>
            <w:vAlign w:val="center"/>
          </w:tcPr>
          <w:p w14:paraId="2C41B61F" w14:textId="77777777" w:rsidR="00B10FDE" w:rsidRPr="00B0658A" w:rsidRDefault="00B10FDE" w:rsidP="000A4114">
            <w:pPr>
              <w:spacing w:after="0" w:line="240" w:lineRule="auto"/>
              <w:rPr>
                <w:rFonts w:ascii="Times New Roman" w:hAnsi="Times New Roman"/>
                <w:i/>
                <w:iCs/>
                <w:sz w:val="20"/>
                <w:szCs w:val="20"/>
              </w:rPr>
            </w:pPr>
            <w:r w:rsidRPr="00B0658A">
              <w:rPr>
                <w:rFonts w:ascii="Times New Roman" w:hAnsi="Times New Roman"/>
                <w:i/>
                <w:sz w:val="20"/>
                <w:szCs w:val="20"/>
              </w:rPr>
              <w:t>Указывается класс (тип) №2 ПО, используемого на значимом объекте КИИ №</w:t>
            </w:r>
            <w:r w:rsidRPr="00B0658A">
              <w:rPr>
                <w:rFonts w:ascii="Times New Roman" w:hAnsi="Times New Roman"/>
                <w:i/>
                <w:sz w:val="20"/>
                <w:szCs w:val="20"/>
                <w:lang w:val="en-US"/>
              </w:rPr>
              <w:t>N</w:t>
            </w:r>
            <w:r w:rsidRPr="00B0658A">
              <w:rPr>
                <w:rFonts w:ascii="Times New Roman" w:hAnsi="Times New Roman"/>
                <w:i/>
                <w:sz w:val="20"/>
                <w:szCs w:val="20"/>
              </w:rPr>
              <w:t xml:space="preserve"> в соответствии с утвержденным детализированным </w:t>
            </w:r>
            <w:r w:rsidRPr="00B0658A">
              <w:rPr>
                <w:rFonts w:ascii="Times New Roman" w:hAnsi="Times New Roman"/>
                <w:i/>
                <w:iCs/>
                <w:sz w:val="20"/>
                <w:szCs w:val="20"/>
              </w:rPr>
              <w:t xml:space="preserve">планом перехода </w:t>
            </w:r>
            <w:r w:rsidR="00F80D0D" w:rsidRPr="00B0658A">
              <w:rPr>
                <w:rFonts w:ascii="Times New Roman" w:hAnsi="Times New Roman"/>
                <w:i/>
                <w:iCs/>
                <w:sz w:val="20"/>
                <w:szCs w:val="20"/>
              </w:rPr>
              <w:t xml:space="preserve">государственной корпорации или компании с государственным участием </w:t>
            </w:r>
            <w:r w:rsidRPr="00B0658A">
              <w:rPr>
                <w:rFonts w:ascii="Times New Roman" w:hAnsi="Times New Roman"/>
                <w:i/>
                <w:iCs/>
                <w:sz w:val="20"/>
                <w:szCs w:val="20"/>
              </w:rPr>
              <w:t>на использование российского ПО на значимых объектах КИИ</w:t>
            </w:r>
          </w:p>
        </w:tc>
        <w:tc>
          <w:tcPr>
            <w:tcW w:w="508" w:type="pct"/>
          </w:tcPr>
          <w:p w14:paraId="6FF486D8" w14:textId="77777777" w:rsidR="00B10FDE" w:rsidRPr="00B0658A" w:rsidRDefault="00B10FDE" w:rsidP="000A4114">
            <w:pPr>
              <w:spacing w:after="0" w:line="240" w:lineRule="auto"/>
              <w:rPr>
                <w:rFonts w:ascii="Times New Roman" w:hAnsi="Times New Roman"/>
                <w:i/>
                <w:iCs/>
                <w:sz w:val="20"/>
                <w:szCs w:val="20"/>
              </w:rPr>
            </w:pPr>
          </w:p>
        </w:tc>
        <w:tc>
          <w:tcPr>
            <w:tcW w:w="1118" w:type="pct"/>
            <w:shd w:val="clear" w:color="auto" w:fill="auto"/>
          </w:tcPr>
          <w:p w14:paraId="12E60688" w14:textId="77777777" w:rsidR="00B10FDE" w:rsidRPr="00B0658A" w:rsidRDefault="00B10FDE" w:rsidP="000A4114">
            <w:pPr>
              <w:spacing w:after="0" w:line="240" w:lineRule="auto"/>
              <w:rPr>
                <w:rFonts w:ascii="Times New Roman" w:hAnsi="Times New Roman"/>
                <w:i/>
                <w:iCs/>
                <w:sz w:val="20"/>
                <w:szCs w:val="20"/>
              </w:rPr>
            </w:pPr>
          </w:p>
        </w:tc>
        <w:tc>
          <w:tcPr>
            <w:tcW w:w="1062" w:type="pct"/>
            <w:shd w:val="clear" w:color="auto" w:fill="auto"/>
          </w:tcPr>
          <w:p w14:paraId="1D953ED7" w14:textId="77777777" w:rsidR="00B10FDE" w:rsidRPr="00B0658A" w:rsidRDefault="00B10FDE" w:rsidP="000A4114">
            <w:pPr>
              <w:spacing w:after="0" w:line="240" w:lineRule="auto"/>
              <w:rPr>
                <w:rFonts w:ascii="Times New Roman" w:hAnsi="Times New Roman"/>
                <w:i/>
                <w:iCs/>
                <w:sz w:val="20"/>
                <w:szCs w:val="20"/>
              </w:rPr>
            </w:pPr>
          </w:p>
        </w:tc>
        <w:tc>
          <w:tcPr>
            <w:tcW w:w="941" w:type="pct"/>
            <w:shd w:val="clear" w:color="auto" w:fill="auto"/>
          </w:tcPr>
          <w:p w14:paraId="019870C3" w14:textId="77777777" w:rsidR="00B10FDE" w:rsidRPr="00B0658A" w:rsidRDefault="00B10FDE" w:rsidP="000A4114">
            <w:pPr>
              <w:spacing w:after="0" w:line="240" w:lineRule="auto"/>
              <w:jc w:val="both"/>
              <w:rPr>
                <w:rFonts w:ascii="Times New Roman" w:hAnsi="Times New Roman"/>
                <w:i/>
                <w:iCs/>
                <w:sz w:val="20"/>
                <w:szCs w:val="20"/>
              </w:rPr>
            </w:pPr>
          </w:p>
        </w:tc>
      </w:tr>
      <w:tr w:rsidR="00F52FED" w:rsidRPr="00B0658A" w14:paraId="413FC222" w14:textId="77777777" w:rsidTr="00B10FDE">
        <w:trPr>
          <w:trHeight w:val="170"/>
        </w:trPr>
        <w:tc>
          <w:tcPr>
            <w:tcW w:w="197" w:type="pct"/>
            <w:shd w:val="clear" w:color="auto" w:fill="auto"/>
            <w:vAlign w:val="center"/>
          </w:tcPr>
          <w:p w14:paraId="0C852F12" w14:textId="77777777" w:rsidR="00B10FDE" w:rsidRPr="00B0658A" w:rsidRDefault="00B10FDE" w:rsidP="000A4114">
            <w:pPr>
              <w:spacing w:after="0" w:line="240" w:lineRule="auto"/>
              <w:rPr>
                <w:rFonts w:ascii="Times New Roman" w:hAnsi="Times New Roman"/>
                <w:sz w:val="20"/>
                <w:szCs w:val="20"/>
              </w:rPr>
            </w:pPr>
            <w:r w:rsidRPr="00B0658A">
              <w:rPr>
                <w:rFonts w:ascii="Times New Roman" w:hAnsi="Times New Roman"/>
                <w:sz w:val="20"/>
                <w:szCs w:val="20"/>
                <w:lang w:val="en-US"/>
              </w:rPr>
              <w:t>..</w:t>
            </w:r>
          </w:p>
        </w:tc>
        <w:tc>
          <w:tcPr>
            <w:tcW w:w="1174" w:type="pct"/>
            <w:shd w:val="clear" w:color="auto" w:fill="auto"/>
            <w:vAlign w:val="center"/>
          </w:tcPr>
          <w:p w14:paraId="6C6B74BE" w14:textId="77777777" w:rsidR="00B10FDE" w:rsidRPr="00B0658A" w:rsidRDefault="00B10FDE" w:rsidP="000A4114">
            <w:pPr>
              <w:spacing w:after="0" w:line="240" w:lineRule="auto"/>
              <w:rPr>
                <w:rFonts w:ascii="Times New Roman" w:hAnsi="Times New Roman"/>
                <w:i/>
                <w:iCs/>
                <w:sz w:val="20"/>
                <w:szCs w:val="20"/>
              </w:rPr>
            </w:pPr>
          </w:p>
        </w:tc>
        <w:tc>
          <w:tcPr>
            <w:tcW w:w="508" w:type="pct"/>
          </w:tcPr>
          <w:p w14:paraId="716A877E" w14:textId="77777777" w:rsidR="00B10FDE" w:rsidRPr="00B0658A" w:rsidRDefault="00B10FDE" w:rsidP="000A4114">
            <w:pPr>
              <w:spacing w:after="0" w:line="240" w:lineRule="auto"/>
              <w:rPr>
                <w:rFonts w:ascii="Times New Roman" w:hAnsi="Times New Roman"/>
                <w:i/>
                <w:iCs/>
                <w:sz w:val="20"/>
                <w:szCs w:val="20"/>
              </w:rPr>
            </w:pPr>
          </w:p>
        </w:tc>
        <w:tc>
          <w:tcPr>
            <w:tcW w:w="1118" w:type="pct"/>
            <w:shd w:val="clear" w:color="auto" w:fill="auto"/>
          </w:tcPr>
          <w:p w14:paraId="1EDCF153" w14:textId="77777777" w:rsidR="00B10FDE" w:rsidRPr="00B0658A" w:rsidRDefault="00B10FDE" w:rsidP="000A4114">
            <w:pPr>
              <w:spacing w:after="0" w:line="240" w:lineRule="auto"/>
              <w:rPr>
                <w:rFonts w:ascii="Times New Roman" w:hAnsi="Times New Roman"/>
                <w:i/>
                <w:iCs/>
                <w:sz w:val="20"/>
                <w:szCs w:val="20"/>
              </w:rPr>
            </w:pPr>
          </w:p>
        </w:tc>
        <w:tc>
          <w:tcPr>
            <w:tcW w:w="1062" w:type="pct"/>
            <w:shd w:val="clear" w:color="auto" w:fill="auto"/>
          </w:tcPr>
          <w:p w14:paraId="1D22BD12" w14:textId="77777777" w:rsidR="00B10FDE" w:rsidRPr="00B0658A" w:rsidRDefault="00B10FDE" w:rsidP="000A4114">
            <w:pPr>
              <w:spacing w:after="0" w:line="240" w:lineRule="auto"/>
              <w:rPr>
                <w:rFonts w:ascii="Times New Roman" w:hAnsi="Times New Roman"/>
                <w:i/>
                <w:iCs/>
                <w:sz w:val="20"/>
                <w:szCs w:val="20"/>
              </w:rPr>
            </w:pPr>
          </w:p>
        </w:tc>
        <w:tc>
          <w:tcPr>
            <w:tcW w:w="941" w:type="pct"/>
            <w:shd w:val="clear" w:color="auto" w:fill="auto"/>
          </w:tcPr>
          <w:p w14:paraId="58BC0CB1" w14:textId="77777777" w:rsidR="00B10FDE" w:rsidRPr="00B0658A" w:rsidRDefault="00B10FDE" w:rsidP="000A4114">
            <w:pPr>
              <w:spacing w:after="0" w:line="240" w:lineRule="auto"/>
              <w:jc w:val="both"/>
              <w:rPr>
                <w:rFonts w:ascii="Times New Roman" w:hAnsi="Times New Roman"/>
                <w:i/>
                <w:iCs/>
                <w:sz w:val="20"/>
                <w:szCs w:val="20"/>
              </w:rPr>
            </w:pPr>
          </w:p>
        </w:tc>
      </w:tr>
      <w:tr w:rsidR="00B10FDE" w:rsidRPr="00B0658A" w14:paraId="2A1FC235" w14:textId="77777777" w:rsidTr="00B10FDE">
        <w:trPr>
          <w:trHeight w:val="170"/>
        </w:trPr>
        <w:tc>
          <w:tcPr>
            <w:tcW w:w="197" w:type="pct"/>
            <w:shd w:val="clear" w:color="auto" w:fill="auto"/>
            <w:vAlign w:val="center"/>
          </w:tcPr>
          <w:p w14:paraId="46077867" w14:textId="77777777" w:rsidR="00B10FDE" w:rsidRPr="00B0658A" w:rsidRDefault="00B10FDE" w:rsidP="000A4114">
            <w:pPr>
              <w:spacing w:after="0" w:line="240" w:lineRule="auto"/>
              <w:rPr>
                <w:rFonts w:ascii="Times New Roman" w:hAnsi="Times New Roman"/>
                <w:sz w:val="20"/>
                <w:szCs w:val="20"/>
              </w:rPr>
            </w:pPr>
            <w:r w:rsidRPr="00B0658A">
              <w:rPr>
                <w:rFonts w:ascii="Times New Roman" w:hAnsi="Times New Roman"/>
                <w:sz w:val="20"/>
                <w:szCs w:val="20"/>
              </w:rPr>
              <w:t>N.</w:t>
            </w:r>
            <w:r w:rsidRPr="00B0658A">
              <w:rPr>
                <w:rFonts w:ascii="Times New Roman" w:hAnsi="Times New Roman"/>
                <w:sz w:val="20"/>
                <w:szCs w:val="20"/>
                <w:lang w:val="en-US"/>
              </w:rPr>
              <w:t>n</w:t>
            </w:r>
          </w:p>
        </w:tc>
        <w:tc>
          <w:tcPr>
            <w:tcW w:w="1174" w:type="pct"/>
            <w:shd w:val="clear" w:color="auto" w:fill="auto"/>
            <w:vAlign w:val="center"/>
          </w:tcPr>
          <w:p w14:paraId="27A2F065" w14:textId="77777777" w:rsidR="00B10FDE" w:rsidRPr="00B0658A" w:rsidRDefault="00B10FDE" w:rsidP="000A4114">
            <w:pPr>
              <w:spacing w:after="0" w:line="240" w:lineRule="auto"/>
              <w:rPr>
                <w:rFonts w:ascii="Times New Roman" w:hAnsi="Times New Roman"/>
                <w:i/>
                <w:iCs/>
                <w:sz w:val="20"/>
                <w:szCs w:val="20"/>
              </w:rPr>
            </w:pPr>
            <w:r w:rsidRPr="00B0658A">
              <w:rPr>
                <w:rFonts w:ascii="Times New Roman" w:hAnsi="Times New Roman"/>
                <w:i/>
                <w:sz w:val="20"/>
                <w:szCs w:val="20"/>
              </w:rPr>
              <w:t xml:space="preserve">Указывается класс (тип) № </w:t>
            </w:r>
            <w:r w:rsidRPr="00B0658A">
              <w:rPr>
                <w:rFonts w:ascii="Times New Roman" w:hAnsi="Times New Roman"/>
                <w:i/>
                <w:sz w:val="20"/>
                <w:szCs w:val="20"/>
                <w:lang w:val="en-US"/>
              </w:rPr>
              <w:t>n</w:t>
            </w:r>
            <w:r w:rsidRPr="00B0658A">
              <w:rPr>
                <w:rFonts w:ascii="Times New Roman" w:hAnsi="Times New Roman"/>
                <w:i/>
                <w:sz w:val="20"/>
                <w:szCs w:val="20"/>
              </w:rPr>
              <w:t xml:space="preserve"> ПО, используемого на значимом объекте КИИ №</w:t>
            </w:r>
            <w:r w:rsidRPr="00B0658A">
              <w:rPr>
                <w:rFonts w:ascii="Times New Roman" w:hAnsi="Times New Roman"/>
                <w:i/>
                <w:sz w:val="20"/>
                <w:szCs w:val="20"/>
                <w:lang w:val="en-US"/>
              </w:rPr>
              <w:t>N</w:t>
            </w:r>
            <w:r w:rsidRPr="00B0658A">
              <w:rPr>
                <w:rFonts w:ascii="Times New Roman" w:hAnsi="Times New Roman"/>
                <w:i/>
                <w:sz w:val="20"/>
                <w:szCs w:val="20"/>
              </w:rPr>
              <w:t xml:space="preserve"> в соответствии с утвержденным детализированным </w:t>
            </w:r>
            <w:r w:rsidRPr="00B0658A">
              <w:rPr>
                <w:rFonts w:ascii="Times New Roman" w:hAnsi="Times New Roman"/>
                <w:i/>
                <w:iCs/>
                <w:sz w:val="20"/>
                <w:szCs w:val="20"/>
              </w:rPr>
              <w:t xml:space="preserve">планом перехода </w:t>
            </w:r>
            <w:r w:rsidR="00F80D0D" w:rsidRPr="00B0658A">
              <w:rPr>
                <w:rFonts w:ascii="Times New Roman" w:hAnsi="Times New Roman"/>
                <w:i/>
                <w:iCs/>
                <w:sz w:val="20"/>
                <w:szCs w:val="20"/>
              </w:rPr>
              <w:t xml:space="preserve">государственной корпорации или компании с государственным участием </w:t>
            </w:r>
            <w:r w:rsidRPr="00B0658A">
              <w:rPr>
                <w:rFonts w:ascii="Times New Roman" w:hAnsi="Times New Roman"/>
                <w:i/>
                <w:iCs/>
                <w:sz w:val="20"/>
                <w:szCs w:val="20"/>
              </w:rPr>
              <w:t>на использование российского ПО на значимых объектах КИИ</w:t>
            </w:r>
          </w:p>
        </w:tc>
        <w:tc>
          <w:tcPr>
            <w:tcW w:w="508" w:type="pct"/>
          </w:tcPr>
          <w:p w14:paraId="30ED1887" w14:textId="77777777" w:rsidR="00B10FDE" w:rsidRPr="00B0658A" w:rsidRDefault="00B10FDE" w:rsidP="000A4114">
            <w:pPr>
              <w:spacing w:after="0" w:line="240" w:lineRule="auto"/>
              <w:rPr>
                <w:rFonts w:ascii="Times New Roman" w:hAnsi="Times New Roman"/>
                <w:i/>
                <w:iCs/>
                <w:sz w:val="20"/>
                <w:szCs w:val="20"/>
              </w:rPr>
            </w:pPr>
          </w:p>
        </w:tc>
        <w:tc>
          <w:tcPr>
            <w:tcW w:w="1118" w:type="pct"/>
            <w:shd w:val="clear" w:color="auto" w:fill="auto"/>
          </w:tcPr>
          <w:p w14:paraId="12D2B19C" w14:textId="77777777" w:rsidR="00B10FDE" w:rsidRPr="00B0658A" w:rsidRDefault="00B10FDE" w:rsidP="000A4114">
            <w:pPr>
              <w:spacing w:after="0" w:line="240" w:lineRule="auto"/>
              <w:rPr>
                <w:rFonts w:ascii="Times New Roman" w:hAnsi="Times New Roman"/>
                <w:i/>
                <w:iCs/>
                <w:sz w:val="20"/>
                <w:szCs w:val="20"/>
              </w:rPr>
            </w:pPr>
          </w:p>
        </w:tc>
        <w:tc>
          <w:tcPr>
            <w:tcW w:w="1062" w:type="pct"/>
            <w:shd w:val="clear" w:color="auto" w:fill="auto"/>
          </w:tcPr>
          <w:p w14:paraId="37F47AD9" w14:textId="77777777" w:rsidR="00B10FDE" w:rsidRPr="00B0658A" w:rsidRDefault="00B10FDE" w:rsidP="000A4114">
            <w:pPr>
              <w:spacing w:after="0" w:line="240" w:lineRule="auto"/>
              <w:rPr>
                <w:rFonts w:ascii="Times New Roman" w:hAnsi="Times New Roman"/>
                <w:i/>
                <w:iCs/>
                <w:sz w:val="20"/>
                <w:szCs w:val="20"/>
              </w:rPr>
            </w:pPr>
          </w:p>
        </w:tc>
        <w:tc>
          <w:tcPr>
            <w:tcW w:w="941" w:type="pct"/>
            <w:shd w:val="clear" w:color="auto" w:fill="auto"/>
          </w:tcPr>
          <w:p w14:paraId="3919B41E" w14:textId="77777777" w:rsidR="00B10FDE" w:rsidRPr="00B0658A" w:rsidRDefault="00B10FDE" w:rsidP="000A4114">
            <w:pPr>
              <w:spacing w:after="0" w:line="240" w:lineRule="auto"/>
              <w:jc w:val="both"/>
              <w:rPr>
                <w:rFonts w:ascii="Times New Roman" w:hAnsi="Times New Roman"/>
                <w:i/>
                <w:iCs/>
                <w:sz w:val="20"/>
                <w:szCs w:val="20"/>
              </w:rPr>
            </w:pPr>
          </w:p>
        </w:tc>
      </w:tr>
    </w:tbl>
    <w:p w14:paraId="1F6A46E5" w14:textId="77777777" w:rsidR="00B10FDE" w:rsidRPr="00B0658A" w:rsidRDefault="00B10FDE" w:rsidP="00B10FDE">
      <w:pPr>
        <w:spacing w:line="240" w:lineRule="auto"/>
        <w:ind w:firstLine="709"/>
        <w:jc w:val="both"/>
        <w:rPr>
          <w:rFonts w:ascii="Times New Roman" w:hAnsi="Times New Roman"/>
        </w:rPr>
      </w:pPr>
    </w:p>
    <w:p w14:paraId="4B2E7849" w14:textId="77777777" w:rsidR="00B10FDE" w:rsidRPr="00B0658A" w:rsidRDefault="00B10FDE">
      <w:pPr>
        <w:spacing w:after="0" w:line="240" w:lineRule="auto"/>
        <w:rPr>
          <w:rFonts w:ascii="Times New Roman" w:hAnsi="Times New Roman"/>
        </w:rPr>
      </w:pPr>
      <w:r w:rsidRPr="00B0658A">
        <w:rPr>
          <w:rFonts w:ascii="Times New Roman" w:hAnsi="Times New Roman"/>
        </w:rPr>
        <w:br w:type="page"/>
      </w:r>
    </w:p>
    <w:p w14:paraId="50C97218" w14:textId="184A675B" w:rsidR="008319FB" w:rsidRPr="00B0658A" w:rsidRDefault="008319FB" w:rsidP="008319FB">
      <w:pPr>
        <w:pStyle w:val="11"/>
        <w:spacing w:before="120" w:after="0" w:line="240" w:lineRule="auto"/>
        <w:jc w:val="right"/>
        <w:rPr>
          <w:rFonts w:cs="Times New Roman"/>
          <w:szCs w:val="28"/>
        </w:rPr>
      </w:pPr>
      <w:bookmarkStart w:id="47" w:name="_Toc116390915"/>
      <w:bookmarkStart w:id="48" w:name="_Toc116632279"/>
      <w:r w:rsidRPr="00B0658A">
        <w:rPr>
          <w:rFonts w:cs="Times New Roman"/>
          <w:szCs w:val="28"/>
        </w:rPr>
        <w:t>Приложение № 13</w:t>
      </w:r>
      <w:r w:rsidRPr="00B0658A">
        <w:rPr>
          <w:rFonts w:cs="Times New Roman"/>
          <w:szCs w:val="28"/>
        </w:rPr>
        <w:br/>
        <w:t>Рекомендованная форма плана перехода организаций, осуществляющих закупки товаров, работ, услуг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Федеральным законом «О закупках товаров, работ, услуг отдельными видами юридических лиц» (за исключением организаций с муниципальным участием), не являющихся организациями, подведомственными органам государственной власти и государственным внебюджетным фондам, не включенных в специальный перечень №91-р и в отношении которых не приняты решения о разработке стратегии (программы) цифровой трансформации, на использование российского ПО</w:t>
      </w:r>
      <w:bookmarkEnd w:id="47"/>
      <w:bookmarkEnd w:id="48"/>
    </w:p>
    <w:p w14:paraId="5B2AD9EF" w14:textId="77777777" w:rsidR="008319FB" w:rsidRPr="00B0658A" w:rsidRDefault="008319FB" w:rsidP="008319FB">
      <w:pPr>
        <w:pStyle w:val="ConsPlusNormal"/>
        <w:spacing w:before="120"/>
        <w:jc w:val="both"/>
        <w:rPr>
          <w:sz w:val="28"/>
          <w:highlight w:val="yellow"/>
        </w:rPr>
      </w:pPr>
    </w:p>
    <w:p w14:paraId="15F79026" w14:textId="77777777" w:rsidR="00A775DB" w:rsidRPr="00B0658A" w:rsidRDefault="00A775DB" w:rsidP="00A775DB">
      <w:pPr>
        <w:pStyle w:val="ConsPlusNormal"/>
        <w:spacing w:before="120"/>
        <w:jc w:val="center"/>
        <w:rPr>
          <w:sz w:val="32"/>
        </w:rPr>
      </w:pPr>
      <w:r w:rsidRPr="00B0658A">
        <w:rPr>
          <w:sz w:val="32"/>
        </w:rPr>
        <w:t xml:space="preserve">План перехода ______________ (полное наименование </w:t>
      </w:r>
      <w:r w:rsidR="003A353A" w:rsidRPr="00B0658A">
        <w:rPr>
          <w:sz w:val="32"/>
        </w:rPr>
        <w:t>заказчика 44-ФЗ или заказчика 223-ФЗ</w:t>
      </w:r>
      <w:r w:rsidRPr="00B0658A">
        <w:rPr>
          <w:sz w:val="32"/>
          <w:szCs w:val="28"/>
        </w:rPr>
        <w:t xml:space="preserve">) на использование российского </w:t>
      </w:r>
      <w:r w:rsidRPr="00B0658A">
        <w:rPr>
          <w:sz w:val="32"/>
        </w:rPr>
        <w:t>ПО</w:t>
      </w:r>
      <w:r w:rsidRPr="00B0658A">
        <w:rPr>
          <w:sz w:val="32"/>
          <w:szCs w:val="28"/>
        </w:rPr>
        <w:t xml:space="preserve"> </w:t>
      </w:r>
      <w:r w:rsidRPr="00B0658A">
        <w:rPr>
          <w:sz w:val="32"/>
        </w:rPr>
        <w:t>на период 2022-2027 годы</w:t>
      </w:r>
    </w:p>
    <w:p w14:paraId="5561D1FA" w14:textId="77777777" w:rsidR="00A775DB" w:rsidRPr="00B0658A" w:rsidRDefault="00A775DB" w:rsidP="00A775DB">
      <w:pPr>
        <w:pStyle w:val="ConsPlusNormal"/>
        <w:spacing w:before="120"/>
        <w:jc w:val="both"/>
        <w:rPr>
          <w:sz w:val="28"/>
        </w:rPr>
      </w:pPr>
    </w:p>
    <w:p w14:paraId="24C14B4C" w14:textId="77777777" w:rsidR="00A775DB" w:rsidRPr="00B0658A" w:rsidRDefault="00A775DB" w:rsidP="00A775DB">
      <w:pPr>
        <w:pStyle w:val="ConsPlusNormal"/>
        <w:spacing w:before="120"/>
        <w:jc w:val="both"/>
      </w:pPr>
      <w:r w:rsidRPr="00B0658A">
        <w:rPr>
          <w:sz w:val="28"/>
        </w:rPr>
        <w:t>Раздел 1. «Организационно-технические мероприятия по переходу на использование российского ПО»</w:t>
      </w:r>
    </w:p>
    <w:tbl>
      <w:tblPr>
        <w:tblW w:w="5000" w:type="pct"/>
        <w:tblCellMar>
          <w:top w:w="102" w:type="dxa"/>
          <w:left w:w="62" w:type="dxa"/>
          <w:bottom w:w="102" w:type="dxa"/>
          <w:right w:w="62" w:type="dxa"/>
        </w:tblCellMar>
        <w:tblLook w:val="0000" w:firstRow="0" w:lastRow="0" w:firstColumn="0" w:lastColumn="0" w:noHBand="0" w:noVBand="0"/>
      </w:tblPr>
      <w:tblGrid>
        <w:gridCol w:w="568"/>
        <w:gridCol w:w="2312"/>
        <w:gridCol w:w="3160"/>
        <w:gridCol w:w="3313"/>
        <w:gridCol w:w="1735"/>
        <w:gridCol w:w="2856"/>
      </w:tblGrid>
      <w:tr w:rsidR="00F52FED" w:rsidRPr="00B0658A" w14:paraId="42765346" w14:textId="77777777" w:rsidTr="00F57B1F">
        <w:trPr>
          <w:trHeight w:val="20"/>
          <w:tblHeader/>
        </w:trPr>
        <w:tc>
          <w:tcPr>
            <w:tcW w:w="204" w:type="pct"/>
            <w:tcBorders>
              <w:top w:val="single" w:sz="4" w:space="0" w:color="auto"/>
              <w:left w:val="single" w:sz="4" w:space="0" w:color="auto"/>
              <w:bottom w:val="single" w:sz="4" w:space="0" w:color="auto"/>
              <w:right w:val="single" w:sz="4" w:space="0" w:color="auto"/>
            </w:tcBorders>
            <w:shd w:val="clear" w:color="auto" w:fill="E7E6E6" w:themeFill="background2"/>
          </w:tcPr>
          <w:p w14:paraId="26727688" w14:textId="77777777" w:rsidR="00A775DB" w:rsidRPr="00B0658A" w:rsidRDefault="00A775DB" w:rsidP="00215984">
            <w:pPr>
              <w:pStyle w:val="ConsPlusNormal"/>
              <w:jc w:val="center"/>
            </w:pPr>
            <w:r w:rsidRPr="00B0658A">
              <w:t>N п.п.</w:t>
            </w:r>
          </w:p>
        </w:tc>
        <w:tc>
          <w:tcPr>
            <w:tcW w:w="829" w:type="pct"/>
            <w:tcBorders>
              <w:top w:val="single" w:sz="4" w:space="0" w:color="auto"/>
              <w:left w:val="single" w:sz="4" w:space="0" w:color="auto"/>
              <w:bottom w:val="single" w:sz="4" w:space="0" w:color="auto"/>
              <w:right w:val="single" w:sz="4" w:space="0" w:color="auto"/>
            </w:tcBorders>
            <w:shd w:val="clear" w:color="auto" w:fill="E7E6E6" w:themeFill="background2"/>
          </w:tcPr>
          <w:p w14:paraId="103A03AB" w14:textId="77777777" w:rsidR="00A775DB" w:rsidRPr="00B0658A" w:rsidRDefault="00A775DB" w:rsidP="00215984">
            <w:pPr>
              <w:pStyle w:val="ConsPlusNormal"/>
              <w:jc w:val="center"/>
            </w:pPr>
            <w:r w:rsidRPr="00B0658A">
              <w:t>Наименование мероприятия</w:t>
            </w:r>
          </w:p>
        </w:tc>
        <w:tc>
          <w:tcPr>
            <w:tcW w:w="1133" w:type="pct"/>
            <w:tcBorders>
              <w:top w:val="single" w:sz="4" w:space="0" w:color="auto"/>
              <w:left w:val="single" w:sz="4" w:space="0" w:color="auto"/>
              <w:bottom w:val="single" w:sz="4" w:space="0" w:color="auto"/>
              <w:right w:val="single" w:sz="4" w:space="0" w:color="auto"/>
            </w:tcBorders>
            <w:shd w:val="clear" w:color="auto" w:fill="E7E6E6" w:themeFill="background2"/>
          </w:tcPr>
          <w:p w14:paraId="1CAB7CCF" w14:textId="77777777" w:rsidR="00A775DB" w:rsidRPr="00B0658A" w:rsidRDefault="00A775DB" w:rsidP="00215984">
            <w:pPr>
              <w:pStyle w:val="ConsPlusNormal"/>
              <w:jc w:val="center"/>
            </w:pPr>
            <w:r w:rsidRPr="00B0658A">
              <w:t>Краткое описание состава и содержания запланированного мероприятия</w:t>
            </w:r>
          </w:p>
        </w:tc>
        <w:tc>
          <w:tcPr>
            <w:tcW w:w="1188" w:type="pct"/>
            <w:tcBorders>
              <w:top w:val="single" w:sz="4" w:space="0" w:color="auto"/>
              <w:left w:val="single" w:sz="4" w:space="0" w:color="auto"/>
              <w:bottom w:val="single" w:sz="4" w:space="0" w:color="auto"/>
              <w:right w:val="single" w:sz="4" w:space="0" w:color="auto"/>
            </w:tcBorders>
            <w:shd w:val="clear" w:color="auto" w:fill="E7E6E6" w:themeFill="background2"/>
          </w:tcPr>
          <w:p w14:paraId="79DFC1D3" w14:textId="77777777" w:rsidR="00A775DB" w:rsidRPr="00B0658A" w:rsidRDefault="00A775DB" w:rsidP="00215984">
            <w:pPr>
              <w:pStyle w:val="ConsPlusNormal"/>
              <w:jc w:val="center"/>
            </w:pPr>
            <w:r w:rsidRPr="00B0658A">
              <w:t>Наименование ответственного исполнителя/ ответственного структурного подразделения</w:t>
            </w:r>
          </w:p>
        </w:tc>
        <w:tc>
          <w:tcPr>
            <w:tcW w:w="622" w:type="pct"/>
            <w:tcBorders>
              <w:top w:val="single" w:sz="4" w:space="0" w:color="auto"/>
              <w:left w:val="single" w:sz="4" w:space="0" w:color="auto"/>
              <w:bottom w:val="single" w:sz="4" w:space="0" w:color="auto"/>
              <w:right w:val="single" w:sz="4" w:space="0" w:color="auto"/>
            </w:tcBorders>
            <w:shd w:val="clear" w:color="auto" w:fill="E7E6E6" w:themeFill="background2"/>
          </w:tcPr>
          <w:p w14:paraId="181BB770" w14:textId="77777777" w:rsidR="00A775DB" w:rsidRPr="00B0658A" w:rsidRDefault="00A775DB" w:rsidP="00215984">
            <w:pPr>
              <w:pStyle w:val="ConsPlusNormal"/>
              <w:jc w:val="center"/>
            </w:pPr>
            <w:r w:rsidRPr="00B0658A">
              <w:t>Срок /периодичность выполнения</w:t>
            </w:r>
          </w:p>
        </w:tc>
        <w:tc>
          <w:tcPr>
            <w:tcW w:w="1024" w:type="pct"/>
            <w:tcBorders>
              <w:top w:val="single" w:sz="4" w:space="0" w:color="auto"/>
              <w:left w:val="single" w:sz="4" w:space="0" w:color="auto"/>
              <w:bottom w:val="single" w:sz="4" w:space="0" w:color="auto"/>
              <w:right w:val="single" w:sz="4" w:space="0" w:color="auto"/>
            </w:tcBorders>
            <w:shd w:val="clear" w:color="auto" w:fill="E7E6E6" w:themeFill="background2"/>
          </w:tcPr>
          <w:p w14:paraId="7A58F9DC" w14:textId="77777777" w:rsidR="00A775DB" w:rsidRPr="00B0658A" w:rsidRDefault="00A775DB" w:rsidP="00215984">
            <w:pPr>
              <w:pStyle w:val="ConsPlusNormal"/>
              <w:jc w:val="center"/>
            </w:pPr>
            <w:r w:rsidRPr="00B0658A">
              <w:t>Ожидаемый результат</w:t>
            </w:r>
          </w:p>
        </w:tc>
      </w:tr>
      <w:tr w:rsidR="00F52FED" w:rsidRPr="00B0658A" w14:paraId="6161E676" w14:textId="77777777" w:rsidTr="004F1366">
        <w:trPr>
          <w:trHeight w:val="20"/>
        </w:trPr>
        <w:tc>
          <w:tcPr>
            <w:tcW w:w="5000" w:type="pct"/>
            <w:gridSpan w:val="6"/>
            <w:tcBorders>
              <w:top w:val="single" w:sz="4" w:space="0" w:color="auto"/>
              <w:left w:val="single" w:sz="4" w:space="0" w:color="auto"/>
              <w:bottom w:val="single" w:sz="4" w:space="0" w:color="auto"/>
              <w:right w:val="single" w:sz="4" w:space="0" w:color="auto"/>
            </w:tcBorders>
          </w:tcPr>
          <w:p w14:paraId="50658310" w14:textId="77777777" w:rsidR="00A775DB" w:rsidRPr="00B0658A" w:rsidRDefault="00A775DB" w:rsidP="00CB1F35">
            <w:pPr>
              <w:pStyle w:val="ConsPlusNormal"/>
              <w:numPr>
                <w:ilvl w:val="0"/>
                <w:numId w:val="27"/>
              </w:numPr>
              <w:ind w:left="504"/>
            </w:pPr>
            <w:r w:rsidRPr="00B0658A">
              <w:t>Организационные мероприятия, направленные на подготовку к переходу на использование российского ПО</w:t>
            </w:r>
          </w:p>
        </w:tc>
      </w:tr>
      <w:tr w:rsidR="00F52FED" w:rsidRPr="00B0658A" w14:paraId="789FD8E0" w14:textId="77777777" w:rsidTr="004F1366">
        <w:trPr>
          <w:trHeight w:val="20"/>
        </w:trPr>
        <w:tc>
          <w:tcPr>
            <w:tcW w:w="204" w:type="pct"/>
            <w:tcBorders>
              <w:top w:val="single" w:sz="4" w:space="0" w:color="auto"/>
              <w:left w:val="single" w:sz="4" w:space="0" w:color="auto"/>
              <w:bottom w:val="single" w:sz="4" w:space="0" w:color="auto"/>
              <w:right w:val="single" w:sz="4" w:space="0" w:color="auto"/>
            </w:tcBorders>
          </w:tcPr>
          <w:p w14:paraId="03D31B0E" w14:textId="77777777" w:rsidR="00A775DB" w:rsidRPr="00B0658A" w:rsidRDefault="00A775DB" w:rsidP="00215984">
            <w:pPr>
              <w:pStyle w:val="ConsPlusNormal"/>
            </w:pPr>
          </w:p>
        </w:tc>
        <w:tc>
          <w:tcPr>
            <w:tcW w:w="829" w:type="pct"/>
            <w:tcBorders>
              <w:top w:val="single" w:sz="4" w:space="0" w:color="auto"/>
              <w:left w:val="single" w:sz="4" w:space="0" w:color="auto"/>
              <w:bottom w:val="single" w:sz="4" w:space="0" w:color="auto"/>
              <w:right w:val="single" w:sz="4" w:space="0" w:color="auto"/>
            </w:tcBorders>
          </w:tcPr>
          <w:p w14:paraId="54C1A7ED" w14:textId="77777777" w:rsidR="00A775DB" w:rsidRPr="00B0658A" w:rsidRDefault="00A775DB" w:rsidP="00215984">
            <w:pPr>
              <w:pStyle w:val="ConsPlusNormal"/>
            </w:pPr>
          </w:p>
        </w:tc>
        <w:tc>
          <w:tcPr>
            <w:tcW w:w="1133" w:type="pct"/>
            <w:tcBorders>
              <w:top w:val="single" w:sz="4" w:space="0" w:color="auto"/>
              <w:left w:val="single" w:sz="4" w:space="0" w:color="auto"/>
              <w:bottom w:val="single" w:sz="4" w:space="0" w:color="auto"/>
              <w:right w:val="single" w:sz="4" w:space="0" w:color="auto"/>
            </w:tcBorders>
          </w:tcPr>
          <w:p w14:paraId="2453FFA6" w14:textId="77777777" w:rsidR="00A775DB" w:rsidRPr="00B0658A" w:rsidRDefault="00A775DB" w:rsidP="00215984">
            <w:pPr>
              <w:pStyle w:val="ConsPlusNormal"/>
            </w:pPr>
          </w:p>
        </w:tc>
        <w:tc>
          <w:tcPr>
            <w:tcW w:w="1188" w:type="pct"/>
            <w:tcBorders>
              <w:top w:val="single" w:sz="4" w:space="0" w:color="auto"/>
              <w:left w:val="single" w:sz="4" w:space="0" w:color="auto"/>
              <w:bottom w:val="single" w:sz="4" w:space="0" w:color="auto"/>
              <w:right w:val="single" w:sz="4" w:space="0" w:color="auto"/>
            </w:tcBorders>
          </w:tcPr>
          <w:p w14:paraId="458340E5" w14:textId="77777777" w:rsidR="00A775DB" w:rsidRPr="00B0658A" w:rsidRDefault="00A775DB" w:rsidP="00215984">
            <w:pPr>
              <w:pStyle w:val="ConsPlusNormal"/>
            </w:pPr>
          </w:p>
        </w:tc>
        <w:tc>
          <w:tcPr>
            <w:tcW w:w="622" w:type="pct"/>
            <w:tcBorders>
              <w:top w:val="single" w:sz="4" w:space="0" w:color="auto"/>
              <w:left w:val="single" w:sz="4" w:space="0" w:color="auto"/>
              <w:bottom w:val="single" w:sz="4" w:space="0" w:color="auto"/>
              <w:right w:val="single" w:sz="4" w:space="0" w:color="auto"/>
            </w:tcBorders>
          </w:tcPr>
          <w:p w14:paraId="575D76DE" w14:textId="77777777" w:rsidR="00A775DB" w:rsidRPr="00B0658A" w:rsidRDefault="00A775DB" w:rsidP="00215984">
            <w:pPr>
              <w:pStyle w:val="ConsPlusNormal"/>
            </w:pPr>
          </w:p>
        </w:tc>
        <w:tc>
          <w:tcPr>
            <w:tcW w:w="1024" w:type="pct"/>
            <w:tcBorders>
              <w:top w:val="single" w:sz="4" w:space="0" w:color="auto"/>
              <w:left w:val="single" w:sz="4" w:space="0" w:color="auto"/>
              <w:bottom w:val="single" w:sz="4" w:space="0" w:color="auto"/>
              <w:right w:val="single" w:sz="4" w:space="0" w:color="auto"/>
            </w:tcBorders>
          </w:tcPr>
          <w:p w14:paraId="37A60F25" w14:textId="77777777" w:rsidR="00A775DB" w:rsidRPr="00B0658A" w:rsidRDefault="00A775DB" w:rsidP="00215984">
            <w:pPr>
              <w:pStyle w:val="ConsPlusNormal"/>
            </w:pPr>
          </w:p>
        </w:tc>
      </w:tr>
      <w:tr w:rsidR="00F52FED" w:rsidRPr="00B0658A" w14:paraId="28151096" w14:textId="77777777" w:rsidTr="004F1366">
        <w:trPr>
          <w:trHeight w:val="20"/>
        </w:trPr>
        <w:tc>
          <w:tcPr>
            <w:tcW w:w="204" w:type="pct"/>
            <w:tcBorders>
              <w:top w:val="single" w:sz="4" w:space="0" w:color="auto"/>
              <w:left w:val="single" w:sz="4" w:space="0" w:color="auto"/>
              <w:bottom w:val="single" w:sz="4" w:space="0" w:color="auto"/>
              <w:right w:val="single" w:sz="4" w:space="0" w:color="auto"/>
            </w:tcBorders>
          </w:tcPr>
          <w:p w14:paraId="275012CC" w14:textId="77777777" w:rsidR="00A775DB" w:rsidRPr="00B0658A" w:rsidRDefault="00A775DB" w:rsidP="00215984">
            <w:pPr>
              <w:pStyle w:val="ConsPlusNormal"/>
            </w:pPr>
          </w:p>
        </w:tc>
        <w:tc>
          <w:tcPr>
            <w:tcW w:w="829" w:type="pct"/>
            <w:tcBorders>
              <w:top w:val="single" w:sz="4" w:space="0" w:color="auto"/>
              <w:left w:val="single" w:sz="4" w:space="0" w:color="auto"/>
              <w:bottom w:val="single" w:sz="4" w:space="0" w:color="auto"/>
              <w:right w:val="single" w:sz="4" w:space="0" w:color="auto"/>
            </w:tcBorders>
          </w:tcPr>
          <w:p w14:paraId="45EDD4AE" w14:textId="77777777" w:rsidR="00A775DB" w:rsidRPr="00B0658A" w:rsidRDefault="00A775DB" w:rsidP="00215984">
            <w:pPr>
              <w:pStyle w:val="ConsPlusNormal"/>
            </w:pPr>
          </w:p>
        </w:tc>
        <w:tc>
          <w:tcPr>
            <w:tcW w:w="1133" w:type="pct"/>
            <w:tcBorders>
              <w:top w:val="single" w:sz="4" w:space="0" w:color="auto"/>
              <w:left w:val="single" w:sz="4" w:space="0" w:color="auto"/>
              <w:bottom w:val="single" w:sz="4" w:space="0" w:color="auto"/>
              <w:right w:val="single" w:sz="4" w:space="0" w:color="auto"/>
            </w:tcBorders>
          </w:tcPr>
          <w:p w14:paraId="5004F65F" w14:textId="77777777" w:rsidR="00A775DB" w:rsidRPr="00B0658A" w:rsidRDefault="00A775DB" w:rsidP="00215984">
            <w:pPr>
              <w:pStyle w:val="ConsPlusNormal"/>
            </w:pPr>
          </w:p>
        </w:tc>
        <w:tc>
          <w:tcPr>
            <w:tcW w:w="1188" w:type="pct"/>
            <w:tcBorders>
              <w:top w:val="single" w:sz="4" w:space="0" w:color="auto"/>
              <w:left w:val="single" w:sz="4" w:space="0" w:color="auto"/>
              <w:bottom w:val="single" w:sz="4" w:space="0" w:color="auto"/>
              <w:right w:val="single" w:sz="4" w:space="0" w:color="auto"/>
            </w:tcBorders>
          </w:tcPr>
          <w:p w14:paraId="696C6836" w14:textId="77777777" w:rsidR="00A775DB" w:rsidRPr="00B0658A" w:rsidRDefault="00A775DB" w:rsidP="00215984">
            <w:pPr>
              <w:pStyle w:val="ConsPlusNormal"/>
            </w:pPr>
          </w:p>
        </w:tc>
        <w:tc>
          <w:tcPr>
            <w:tcW w:w="622" w:type="pct"/>
            <w:tcBorders>
              <w:top w:val="single" w:sz="4" w:space="0" w:color="auto"/>
              <w:left w:val="single" w:sz="4" w:space="0" w:color="auto"/>
              <w:bottom w:val="single" w:sz="4" w:space="0" w:color="auto"/>
              <w:right w:val="single" w:sz="4" w:space="0" w:color="auto"/>
            </w:tcBorders>
          </w:tcPr>
          <w:p w14:paraId="7EE6C750" w14:textId="77777777" w:rsidR="00A775DB" w:rsidRPr="00B0658A" w:rsidRDefault="00A775DB" w:rsidP="00215984">
            <w:pPr>
              <w:pStyle w:val="ConsPlusNormal"/>
            </w:pPr>
          </w:p>
        </w:tc>
        <w:tc>
          <w:tcPr>
            <w:tcW w:w="1024" w:type="pct"/>
            <w:tcBorders>
              <w:top w:val="single" w:sz="4" w:space="0" w:color="auto"/>
              <w:left w:val="single" w:sz="4" w:space="0" w:color="auto"/>
              <w:bottom w:val="single" w:sz="4" w:space="0" w:color="auto"/>
              <w:right w:val="single" w:sz="4" w:space="0" w:color="auto"/>
            </w:tcBorders>
          </w:tcPr>
          <w:p w14:paraId="7679573F" w14:textId="77777777" w:rsidR="00A775DB" w:rsidRPr="00B0658A" w:rsidRDefault="00A775DB" w:rsidP="00215984">
            <w:pPr>
              <w:pStyle w:val="ConsPlusNormal"/>
            </w:pPr>
          </w:p>
        </w:tc>
      </w:tr>
      <w:tr w:rsidR="00F52FED" w:rsidRPr="00B0658A" w14:paraId="6FA68BFB" w14:textId="77777777" w:rsidTr="004F1366">
        <w:trPr>
          <w:trHeight w:val="20"/>
        </w:trPr>
        <w:tc>
          <w:tcPr>
            <w:tcW w:w="204" w:type="pct"/>
            <w:tcBorders>
              <w:top w:val="single" w:sz="4" w:space="0" w:color="auto"/>
              <w:left w:val="single" w:sz="4" w:space="0" w:color="auto"/>
              <w:bottom w:val="single" w:sz="4" w:space="0" w:color="auto"/>
              <w:right w:val="single" w:sz="4" w:space="0" w:color="auto"/>
            </w:tcBorders>
          </w:tcPr>
          <w:p w14:paraId="4B2A1858" w14:textId="77777777" w:rsidR="00A775DB" w:rsidRPr="00B0658A" w:rsidRDefault="00A775DB" w:rsidP="00215984">
            <w:pPr>
              <w:pStyle w:val="ConsPlusNormal"/>
            </w:pPr>
          </w:p>
        </w:tc>
        <w:tc>
          <w:tcPr>
            <w:tcW w:w="829" w:type="pct"/>
            <w:tcBorders>
              <w:top w:val="single" w:sz="4" w:space="0" w:color="auto"/>
              <w:left w:val="single" w:sz="4" w:space="0" w:color="auto"/>
              <w:bottom w:val="single" w:sz="4" w:space="0" w:color="auto"/>
              <w:right w:val="single" w:sz="4" w:space="0" w:color="auto"/>
            </w:tcBorders>
          </w:tcPr>
          <w:p w14:paraId="28F4B73F" w14:textId="77777777" w:rsidR="00A775DB" w:rsidRPr="00B0658A" w:rsidRDefault="00A775DB" w:rsidP="00215984">
            <w:pPr>
              <w:pStyle w:val="ConsPlusNormal"/>
            </w:pPr>
          </w:p>
        </w:tc>
        <w:tc>
          <w:tcPr>
            <w:tcW w:w="1133" w:type="pct"/>
            <w:tcBorders>
              <w:top w:val="single" w:sz="4" w:space="0" w:color="auto"/>
              <w:left w:val="single" w:sz="4" w:space="0" w:color="auto"/>
              <w:bottom w:val="single" w:sz="4" w:space="0" w:color="auto"/>
              <w:right w:val="single" w:sz="4" w:space="0" w:color="auto"/>
            </w:tcBorders>
          </w:tcPr>
          <w:p w14:paraId="4F26A61B" w14:textId="77777777" w:rsidR="00A775DB" w:rsidRPr="00B0658A" w:rsidRDefault="00A775DB" w:rsidP="00215984">
            <w:pPr>
              <w:pStyle w:val="ConsPlusNormal"/>
            </w:pPr>
          </w:p>
        </w:tc>
        <w:tc>
          <w:tcPr>
            <w:tcW w:w="1188" w:type="pct"/>
            <w:tcBorders>
              <w:top w:val="single" w:sz="4" w:space="0" w:color="auto"/>
              <w:left w:val="single" w:sz="4" w:space="0" w:color="auto"/>
              <w:bottom w:val="single" w:sz="4" w:space="0" w:color="auto"/>
              <w:right w:val="single" w:sz="4" w:space="0" w:color="auto"/>
            </w:tcBorders>
          </w:tcPr>
          <w:p w14:paraId="18BF38D2" w14:textId="77777777" w:rsidR="00A775DB" w:rsidRPr="00B0658A" w:rsidRDefault="00A775DB" w:rsidP="00215984">
            <w:pPr>
              <w:pStyle w:val="ConsPlusNormal"/>
            </w:pPr>
          </w:p>
        </w:tc>
        <w:tc>
          <w:tcPr>
            <w:tcW w:w="622" w:type="pct"/>
            <w:tcBorders>
              <w:top w:val="single" w:sz="4" w:space="0" w:color="auto"/>
              <w:left w:val="single" w:sz="4" w:space="0" w:color="auto"/>
              <w:bottom w:val="single" w:sz="4" w:space="0" w:color="auto"/>
              <w:right w:val="single" w:sz="4" w:space="0" w:color="auto"/>
            </w:tcBorders>
          </w:tcPr>
          <w:p w14:paraId="7AF3900D" w14:textId="77777777" w:rsidR="00A775DB" w:rsidRPr="00B0658A" w:rsidRDefault="00A775DB" w:rsidP="00215984">
            <w:pPr>
              <w:pStyle w:val="ConsPlusNormal"/>
            </w:pPr>
          </w:p>
        </w:tc>
        <w:tc>
          <w:tcPr>
            <w:tcW w:w="1024" w:type="pct"/>
            <w:tcBorders>
              <w:top w:val="single" w:sz="4" w:space="0" w:color="auto"/>
              <w:left w:val="single" w:sz="4" w:space="0" w:color="auto"/>
              <w:bottom w:val="single" w:sz="4" w:space="0" w:color="auto"/>
              <w:right w:val="single" w:sz="4" w:space="0" w:color="auto"/>
            </w:tcBorders>
          </w:tcPr>
          <w:p w14:paraId="6CEA32AA" w14:textId="77777777" w:rsidR="00A775DB" w:rsidRPr="00B0658A" w:rsidRDefault="00A775DB" w:rsidP="00215984">
            <w:pPr>
              <w:pStyle w:val="ConsPlusNormal"/>
            </w:pPr>
          </w:p>
        </w:tc>
      </w:tr>
      <w:tr w:rsidR="00F52FED" w:rsidRPr="00B0658A" w14:paraId="40176641" w14:textId="77777777" w:rsidTr="004F1366">
        <w:trPr>
          <w:trHeight w:val="20"/>
        </w:trPr>
        <w:tc>
          <w:tcPr>
            <w:tcW w:w="204" w:type="pct"/>
            <w:tcBorders>
              <w:top w:val="single" w:sz="4" w:space="0" w:color="auto"/>
              <w:left w:val="single" w:sz="4" w:space="0" w:color="auto"/>
              <w:bottom w:val="single" w:sz="4" w:space="0" w:color="auto"/>
              <w:right w:val="single" w:sz="4" w:space="0" w:color="auto"/>
            </w:tcBorders>
          </w:tcPr>
          <w:p w14:paraId="63550F7F" w14:textId="77777777" w:rsidR="00A775DB" w:rsidRPr="00B0658A" w:rsidRDefault="00A775DB" w:rsidP="00215984">
            <w:pPr>
              <w:pStyle w:val="ConsPlusNormal"/>
            </w:pPr>
          </w:p>
        </w:tc>
        <w:tc>
          <w:tcPr>
            <w:tcW w:w="829" w:type="pct"/>
            <w:tcBorders>
              <w:top w:val="single" w:sz="4" w:space="0" w:color="auto"/>
              <w:left w:val="single" w:sz="4" w:space="0" w:color="auto"/>
              <w:bottom w:val="single" w:sz="4" w:space="0" w:color="auto"/>
              <w:right w:val="single" w:sz="4" w:space="0" w:color="auto"/>
            </w:tcBorders>
          </w:tcPr>
          <w:p w14:paraId="514069F4" w14:textId="77777777" w:rsidR="00A775DB" w:rsidRPr="00B0658A" w:rsidRDefault="00A775DB" w:rsidP="00215984">
            <w:pPr>
              <w:pStyle w:val="ConsPlusNormal"/>
            </w:pPr>
          </w:p>
        </w:tc>
        <w:tc>
          <w:tcPr>
            <w:tcW w:w="1133" w:type="pct"/>
            <w:tcBorders>
              <w:top w:val="single" w:sz="4" w:space="0" w:color="auto"/>
              <w:left w:val="single" w:sz="4" w:space="0" w:color="auto"/>
              <w:bottom w:val="single" w:sz="4" w:space="0" w:color="auto"/>
              <w:right w:val="single" w:sz="4" w:space="0" w:color="auto"/>
            </w:tcBorders>
          </w:tcPr>
          <w:p w14:paraId="2F2DA848" w14:textId="77777777" w:rsidR="00A775DB" w:rsidRPr="00B0658A" w:rsidRDefault="00A775DB" w:rsidP="00215984">
            <w:pPr>
              <w:pStyle w:val="ConsPlusNormal"/>
            </w:pPr>
          </w:p>
        </w:tc>
        <w:tc>
          <w:tcPr>
            <w:tcW w:w="1188" w:type="pct"/>
            <w:tcBorders>
              <w:top w:val="single" w:sz="4" w:space="0" w:color="auto"/>
              <w:left w:val="single" w:sz="4" w:space="0" w:color="auto"/>
              <w:bottom w:val="single" w:sz="4" w:space="0" w:color="auto"/>
              <w:right w:val="single" w:sz="4" w:space="0" w:color="auto"/>
            </w:tcBorders>
          </w:tcPr>
          <w:p w14:paraId="059DA88D" w14:textId="77777777" w:rsidR="00A775DB" w:rsidRPr="00B0658A" w:rsidRDefault="00A775DB" w:rsidP="00215984">
            <w:pPr>
              <w:pStyle w:val="ConsPlusNormal"/>
            </w:pPr>
          </w:p>
        </w:tc>
        <w:tc>
          <w:tcPr>
            <w:tcW w:w="622" w:type="pct"/>
            <w:tcBorders>
              <w:top w:val="single" w:sz="4" w:space="0" w:color="auto"/>
              <w:left w:val="single" w:sz="4" w:space="0" w:color="auto"/>
              <w:bottom w:val="single" w:sz="4" w:space="0" w:color="auto"/>
              <w:right w:val="single" w:sz="4" w:space="0" w:color="auto"/>
            </w:tcBorders>
          </w:tcPr>
          <w:p w14:paraId="0C57ED43" w14:textId="77777777" w:rsidR="00A775DB" w:rsidRPr="00B0658A" w:rsidRDefault="00A775DB" w:rsidP="00215984">
            <w:pPr>
              <w:pStyle w:val="ConsPlusNormal"/>
            </w:pPr>
          </w:p>
        </w:tc>
        <w:tc>
          <w:tcPr>
            <w:tcW w:w="1024" w:type="pct"/>
            <w:tcBorders>
              <w:top w:val="single" w:sz="4" w:space="0" w:color="auto"/>
              <w:left w:val="single" w:sz="4" w:space="0" w:color="auto"/>
              <w:bottom w:val="single" w:sz="4" w:space="0" w:color="auto"/>
              <w:right w:val="single" w:sz="4" w:space="0" w:color="auto"/>
            </w:tcBorders>
          </w:tcPr>
          <w:p w14:paraId="2435D41F" w14:textId="77777777" w:rsidR="00A775DB" w:rsidRPr="00B0658A" w:rsidRDefault="00A775DB" w:rsidP="00215984">
            <w:pPr>
              <w:pStyle w:val="ConsPlusNormal"/>
            </w:pPr>
          </w:p>
        </w:tc>
      </w:tr>
      <w:tr w:rsidR="00F52FED" w:rsidRPr="00B0658A" w14:paraId="7E956E61" w14:textId="77777777" w:rsidTr="004F1366">
        <w:trPr>
          <w:trHeight w:val="20"/>
        </w:trPr>
        <w:tc>
          <w:tcPr>
            <w:tcW w:w="5000" w:type="pct"/>
            <w:gridSpan w:val="6"/>
            <w:tcBorders>
              <w:top w:val="single" w:sz="4" w:space="0" w:color="auto"/>
              <w:left w:val="single" w:sz="4" w:space="0" w:color="auto"/>
              <w:bottom w:val="single" w:sz="4" w:space="0" w:color="auto"/>
              <w:right w:val="single" w:sz="4" w:space="0" w:color="auto"/>
            </w:tcBorders>
          </w:tcPr>
          <w:p w14:paraId="5CBA9FE8" w14:textId="77777777" w:rsidR="00A775DB" w:rsidRPr="00B0658A" w:rsidRDefault="00A775DB" w:rsidP="00CB1F35">
            <w:pPr>
              <w:pStyle w:val="ConsPlusNormal"/>
              <w:numPr>
                <w:ilvl w:val="0"/>
                <w:numId w:val="27"/>
              </w:numPr>
              <w:ind w:left="504"/>
            </w:pPr>
            <w:r w:rsidRPr="00B0658A">
              <w:t>Технические мероприятия, направленные на подготовку к переходу на использование российского ПО</w:t>
            </w:r>
          </w:p>
        </w:tc>
      </w:tr>
      <w:tr w:rsidR="00F52FED" w:rsidRPr="00B0658A" w14:paraId="09E68840" w14:textId="77777777" w:rsidTr="004F1366">
        <w:trPr>
          <w:trHeight w:val="20"/>
        </w:trPr>
        <w:tc>
          <w:tcPr>
            <w:tcW w:w="204" w:type="pct"/>
            <w:tcBorders>
              <w:top w:val="single" w:sz="4" w:space="0" w:color="auto"/>
              <w:left w:val="single" w:sz="4" w:space="0" w:color="auto"/>
              <w:bottom w:val="single" w:sz="4" w:space="0" w:color="auto"/>
              <w:right w:val="single" w:sz="4" w:space="0" w:color="auto"/>
            </w:tcBorders>
          </w:tcPr>
          <w:p w14:paraId="45B87D0B" w14:textId="77777777" w:rsidR="00A775DB" w:rsidRPr="00B0658A" w:rsidRDefault="00A775DB" w:rsidP="00215984">
            <w:pPr>
              <w:pStyle w:val="ConsPlusNormal"/>
            </w:pPr>
          </w:p>
        </w:tc>
        <w:tc>
          <w:tcPr>
            <w:tcW w:w="829" w:type="pct"/>
            <w:tcBorders>
              <w:top w:val="single" w:sz="4" w:space="0" w:color="auto"/>
              <w:left w:val="single" w:sz="4" w:space="0" w:color="auto"/>
              <w:bottom w:val="single" w:sz="4" w:space="0" w:color="auto"/>
              <w:right w:val="single" w:sz="4" w:space="0" w:color="auto"/>
            </w:tcBorders>
          </w:tcPr>
          <w:p w14:paraId="51A1E7EF" w14:textId="77777777" w:rsidR="00A775DB" w:rsidRPr="00B0658A" w:rsidRDefault="00A775DB" w:rsidP="00215984">
            <w:pPr>
              <w:pStyle w:val="ConsPlusNormal"/>
            </w:pPr>
          </w:p>
        </w:tc>
        <w:tc>
          <w:tcPr>
            <w:tcW w:w="1133" w:type="pct"/>
            <w:tcBorders>
              <w:top w:val="single" w:sz="4" w:space="0" w:color="auto"/>
              <w:left w:val="single" w:sz="4" w:space="0" w:color="auto"/>
              <w:bottom w:val="single" w:sz="4" w:space="0" w:color="auto"/>
              <w:right w:val="single" w:sz="4" w:space="0" w:color="auto"/>
            </w:tcBorders>
          </w:tcPr>
          <w:p w14:paraId="4B4BACF7" w14:textId="77777777" w:rsidR="00A775DB" w:rsidRPr="00B0658A" w:rsidRDefault="00A775DB" w:rsidP="00215984">
            <w:pPr>
              <w:pStyle w:val="ConsPlusNormal"/>
            </w:pPr>
          </w:p>
        </w:tc>
        <w:tc>
          <w:tcPr>
            <w:tcW w:w="1188" w:type="pct"/>
            <w:tcBorders>
              <w:top w:val="single" w:sz="4" w:space="0" w:color="auto"/>
              <w:left w:val="single" w:sz="4" w:space="0" w:color="auto"/>
              <w:bottom w:val="single" w:sz="4" w:space="0" w:color="auto"/>
              <w:right w:val="single" w:sz="4" w:space="0" w:color="auto"/>
            </w:tcBorders>
          </w:tcPr>
          <w:p w14:paraId="31376436" w14:textId="77777777" w:rsidR="00A775DB" w:rsidRPr="00B0658A" w:rsidRDefault="00A775DB" w:rsidP="00215984">
            <w:pPr>
              <w:pStyle w:val="ConsPlusNormal"/>
            </w:pPr>
          </w:p>
        </w:tc>
        <w:tc>
          <w:tcPr>
            <w:tcW w:w="622" w:type="pct"/>
            <w:tcBorders>
              <w:top w:val="single" w:sz="4" w:space="0" w:color="auto"/>
              <w:left w:val="single" w:sz="4" w:space="0" w:color="auto"/>
              <w:bottom w:val="single" w:sz="4" w:space="0" w:color="auto"/>
              <w:right w:val="single" w:sz="4" w:space="0" w:color="auto"/>
            </w:tcBorders>
          </w:tcPr>
          <w:p w14:paraId="350C3559" w14:textId="77777777" w:rsidR="00A775DB" w:rsidRPr="00B0658A" w:rsidRDefault="00A775DB" w:rsidP="00215984">
            <w:pPr>
              <w:pStyle w:val="ConsPlusNormal"/>
            </w:pPr>
          </w:p>
        </w:tc>
        <w:tc>
          <w:tcPr>
            <w:tcW w:w="1024" w:type="pct"/>
            <w:tcBorders>
              <w:top w:val="single" w:sz="4" w:space="0" w:color="auto"/>
              <w:left w:val="single" w:sz="4" w:space="0" w:color="auto"/>
              <w:bottom w:val="single" w:sz="4" w:space="0" w:color="auto"/>
              <w:right w:val="single" w:sz="4" w:space="0" w:color="auto"/>
            </w:tcBorders>
          </w:tcPr>
          <w:p w14:paraId="306766FB" w14:textId="77777777" w:rsidR="00A775DB" w:rsidRPr="00B0658A" w:rsidRDefault="00A775DB" w:rsidP="00215984">
            <w:pPr>
              <w:pStyle w:val="ConsPlusNormal"/>
            </w:pPr>
          </w:p>
        </w:tc>
      </w:tr>
      <w:tr w:rsidR="00F52FED" w:rsidRPr="00B0658A" w14:paraId="6187FC97" w14:textId="77777777" w:rsidTr="004F1366">
        <w:trPr>
          <w:trHeight w:val="20"/>
        </w:trPr>
        <w:tc>
          <w:tcPr>
            <w:tcW w:w="204" w:type="pct"/>
            <w:tcBorders>
              <w:top w:val="single" w:sz="4" w:space="0" w:color="auto"/>
              <w:left w:val="single" w:sz="4" w:space="0" w:color="auto"/>
              <w:bottom w:val="single" w:sz="4" w:space="0" w:color="auto"/>
              <w:right w:val="single" w:sz="4" w:space="0" w:color="auto"/>
            </w:tcBorders>
          </w:tcPr>
          <w:p w14:paraId="6C05A34A" w14:textId="77777777" w:rsidR="00A775DB" w:rsidRPr="00B0658A" w:rsidRDefault="00A775DB" w:rsidP="00215984">
            <w:pPr>
              <w:pStyle w:val="ConsPlusNormal"/>
            </w:pPr>
          </w:p>
        </w:tc>
        <w:tc>
          <w:tcPr>
            <w:tcW w:w="829" w:type="pct"/>
            <w:tcBorders>
              <w:top w:val="single" w:sz="4" w:space="0" w:color="auto"/>
              <w:left w:val="single" w:sz="4" w:space="0" w:color="auto"/>
              <w:bottom w:val="single" w:sz="4" w:space="0" w:color="auto"/>
              <w:right w:val="single" w:sz="4" w:space="0" w:color="auto"/>
            </w:tcBorders>
          </w:tcPr>
          <w:p w14:paraId="2F5635E2" w14:textId="77777777" w:rsidR="00A775DB" w:rsidRPr="00B0658A" w:rsidRDefault="00A775DB" w:rsidP="00215984">
            <w:pPr>
              <w:pStyle w:val="ConsPlusNormal"/>
            </w:pPr>
          </w:p>
        </w:tc>
        <w:tc>
          <w:tcPr>
            <w:tcW w:w="1133" w:type="pct"/>
            <w:tcBorders>
              <w:top w:val="single" w:sz="4" w:space="0" w:color="auto"/>
              <w:left w:val="single" w:sz="4" w:space="0" w:color="auto"/>
              <w:bottom w:val="single" w:sz="4" w:space="0" w:color="auto"/>
              <w:right w:val="single" w:sz="4" w:space="0" w:color="auto"/>
            </w:tcBorders>
          </w:tcPr>
          <w:p w14:paraId="195DFD70" w14:textId="77777777" w:rsidR="00A775DB" w:rsidRPr="00B0658A" w:rsidRDefault="00A775DB" w:rsidP="00215984">
            <w:pPr>
              <w:pStyle w:val="ConsPlusNormal"/>
            </w:pPr>
          </w:p>
        </w:tc>
        <w:tc>
          <w:tcPr>
            <w:tcW w:w="1188" w:type="pct"/>
            <w:tcBorders>
              <w:top w:val="single" w:sz="4" w:space="0" w:color="auto"/>
              <w:left w:val="single" w:sz="4" w:space="0" w:color="auto"/>
              <w:bottom w:val="single" w:sz="4" w:space="0" w:color="auto"/>
              <w:right w:val="single" w:sz="4" w:space="0" w:color="auto"/>
            </w:tcBorders>
          </w:tcPr>
          <w:p w14:paraId="45D07F77" w14:textId="77777777" w:rsidR="00A775DB" w:rsidRPr="00B0658A" w:rsidRDefault="00A775DB" w:rsidP="00215984">
            <w:pPr>
              <w:pStyle w:val="ConsPlusNormal"/>
            </w:pPr>
          </w:p>
        </w:tc>
        <w:tc>
          <w:tcPr>
            <w:tcW w:w="622" w:type="pct"/>
            <w:tcBorders>
              <w:top w:val="single" w:sz="4" w:space="0" w:color="auto"/>
              <w:left w:val="single" w:sz="4" w:space="0" w:color="auto"/>
              <w:bottom w:val="single" w:sz="4" w:space="0" w:color="auto"/>
              <w:right w:val="single" w:sz="4" w:space="0" w:color="auto"/>
            </w:tcBorders>
          </w:tcPr>
          <w:p w14:paraId="6AB6C089" w14:textId="77777777" w:rsidR="00A775DB" w:rsidRPr="00B0658A" w:rsidRDefault="00A775DB" w:rsidP="00215984">
            <w:pPr>
              <w:pStyle w:val="ConsPlusNormal"/>
            </w:pPr>
          </w:p>
        </w:tc>
        <w:tc>
          <w:tcPr>
            <w:tcW w:w="1024" w:type="pct"/>
            <w:tcBorders>
              <w:top w:val="single" w:sz="4" w:space="0" w:color="auto"/>
              <w:left w:val="single" w:sz="4" w:space="0" w:color="auto"/>
              <w:bottom w:val="single" w:sz="4" w:space="0" w:color="auto"/>
              <w:right w:val="single" w:sz="4" w:space="0" w:color="auto"/>
            </w:tcBorders>
          </w:tcPr>
          <w:p w14:paraId="00052C7A" w14:textId="77777777" w:rsidR="00A775DB" w:rsidRPr="00B0658A" w:rsidRDefault="00A775DB" w:rsidP="00215984">
            <w:pPr>
              <w:pStyle w:val="ConsPlusNormal"/>
            </w:pPr>
          </w:p>
        </w:tc>
      </w:tr>
      <w:tr w:rsidR="00F52FED" w:rsidRPr="00B0658A" w14:paraId="776109E8" w14:textId="77777777" w:rsidTr="004F1366">
        <w:trPr>
          <w:trHeight w:val="20"/>
        </w:trPr>
        <w:tc>
          <w:tcPr>
            <w:tcW w:w="204" w:type="pct"/>
            <w:tcBorders>
              <w:top w:val="single" w:sz="4" w:space="0" w:color="auto"/>
              <w:left w:val="single" w:sz="4" w:space="0" w:color="auto"/>
              <w:bottom w:val="single" w:sz="4" w:space="0" w:color="auto"/>
              <w:right w:val="single" w:sz="4" w:space="0" w:color="auto"/>
            </w:tcBorders>
          </w:tcPr>
          <w:p w14:paraId="38F21682" w14:textId="77777777" w:rsidR="00A775DB" w:rsidRPr="00B0658A" w:rsidRDefault="00A775DB" w:rsidP="00215984">
            <w:pPr>
              <w:pStyle w:val="ConsPlusNormal"/>
            </w:pPr>
          </w:p>
        </w:tc>
        <w:tc>
          <w:tcPr>
            <w:tcW w:w="829" w:type="pct"/>
            <w:tcBorders>
              <w:top w:val="single" w:sz="4" w:space="0" w:color="auto"/>
              <w:left w:val="single" w:sz="4" w:space="0" w:color="auto"/>
              <w:bottom w:val="single" w:sz="4" w:space="0" w:color="auto"/>
              <w:right w:val="single" w:sz="4" w:space="0" w:color="auto"/>
            </w:tcBorders>
          </w:tcPr>
          <w:p w14:paraId="3A563EE9" w14:textId="77777777" w:rsidR="00A775DB" w:rsidRPr="00B0658A" w:rsidRDefault="00A775DB" w:rsidP="00215984">
            <w:pPr>
              <w:pStyle w:val="ConsPlusNormal"/>
            </w:pPr>
          </w:p>
        </w:tc>
        <w:tc>
          <w:tcPr>
            <w:tcW w:w="1133" w:type="pct"/>
            <w:tcBorders>
              <w:top w:val="single" w:sz="4" w:space="0" w:color="auto"/>
              <w:left w:val="single" w:sz="4" w:space="0" w:color="auto"/>
              <w:bottom w:val="single" w:sz="4" w:space="0" w:color="auto"/>
              <w:right w:val="single" w:sz="4" w:space="0" w:color="auto"/>
            </w:tcBorders>
          </w:tcPr>
          <w:p w14:paraId="19B847A4" w14:textId="77777777" w:rsidR="00A775DB" w:rsidRPr="00B0658A" w:rsidRDefault="00A775DB" w:rsidP="00215984">
            <w:pPr>
              <w:pStyle w:val="ConsPlusNormal"/>
            </w:pPr>
          </w:p>
        </w:tc>
        <w:tc>
          <w:tcPr>
            <w:tcW w:w="1188" w:type="pct"/>
            <w:tcBorders>
              <w:top w:val="single" w:sz="4" w:space="0" w:color="auto"/>
              <w:left w:val="single" w:sz="4" w:space="0" w:color="auto"/>
              <w:bottom w:val="single" w:sz="4" w:space="0" w:color="auto"/>
              <w:right w:val="single" w:sz="4" w:space="0" w:color="auto"/>
            </w:tcBorders>
          </w:tcPr>
          <w:p w14:paraId="4DA10DA2" w14:textId="77777777" w:rsidR="00A775DB" w:rsidRPr="00B0658A" w:rsidRDefault="00A775DB" w:rsidP="00215984">
            <w:pPr>
              <w:pStyle w:val="ConsPlusNormal"/>
            </w:pPr>
          </w:p>
        </w:tc>
        <w:tc>
          <w:tcPr>
            <w:tcW w:w="622" w:type="pct"/>
            <w:tcBorders>
              <w:top w:val="single" w:sz="4" w:space="0" w:color="auto"/>
              <w:left w:val="single" w:sz="4" w:space="0" w:color="auto"/>
              <w:bottom w:val="single" w:sz="4" w:space="0" w:color="auto"/>
              <w:right w:val="single" w:sz="4" w:space="0" w:color="auto"/>
            </w:tcBorders>
          </w:tcPr>
          <w:p w14:paraId="3694DC64" w14:textId="77777777" w:rsidR="00A775DB" w:rsidRPr="00B0658A" w:rsidRDefault="00A775DB" w:rsidP="00215984">
            <w:pPr>
              <w:pStyle w:val="ConsPlusNormal"/>
            </w:pPr>
          </w:p>
        </w:tc>
        <w:tc>
          <w:tcPr>
            <w:tcW w:w="1024" w:type="pct"/>
            <w:tcBorders>
              <w:top w:val="single" w:sz="4" w:space="0" w:color="auto"/>
              <w:left w:val="single" w:sz="4" w:space="0" w:color="auto"/>
              <w:bottom w:val="single" w:sz="4" w:space="0" w:color="auto"/>
              <w:right w:val="single" w:sz="4" w:space="0" w:color="auto"/>
            </w:tcBorders>
          </w:tcPr>
          <w:p w14:paraId="07D7A852" w14:textId="77777777" w:rsidR="00A775DB" w:rsidRPr="00B0658A" w:rsidRDefault="00A775DB" w:rsidP="00215984">
            <w:pPr>
              <w:pStyle w:val="ConsPlusNormal"/>
            </w:pPr>
          </w:p>
        </w:tc>
      </w:tr>
      <w:tr w:rsidR="00F52FED" w:rsidRPr="00B0658A" w14:paraId="49517938" w14:textId="77777777" w:rsidTr="004F1366">
        <w:trPr>
          <w:trHeight w:val="20"/>
        </w:trPr>
        <w:tc>
          <w:tcPr>
            <w:tcW w:w="204" w:type="pct"/>
            <w:tcBorders>
              <w:top w:val="single" w:sz="4" w:space="0" w:color="auto"/>
              <w:left w:val="single" w:sz="4" w:space="0" w:color="auto"/>
              <w:bottom w:val="single" w:sz="4" w:space="0" w:color="auto"/>
              <w:right w:val="single" w:sz="4" w:space="0" w:color="auto"/>
            </w:tcBorders>
          </w:tcPr>
          <w:p w14:paraId="60C60B5B" w14:textId="77777777" w:rsidR="00A775DB" w:rsidRPr="00B0658A" w:rsidRDefault="00A775DB" w:rsidP="00215984">
            <w:pPr>
              <w:pStyle w:val="ConsPlusNormal"/>
            </w:pPr>
          </w:p>
        </w:tc>
        <w:tc>
          <w:tcPr>
            <w:tcW w:w="829" w:type="pct"/>
            <w:tcBorders>
              <w:top w:val="single" w:sz="4" w:space="0" w:color="auto"/>
              <w:left w:val="single" w:sz="4" w:space="0" w:color="auto"/>
              <w:bottom w:val="single" w:sz="4" w:space="0" w:color="auto"/>
              <w:right w:val="single" w:sz="4" w:space="0" w:color="auto"/>
            </w:tcBorders>
          </w:tcPr>
          <w:p w14:paraId="28AE887D" w14:textId="77777777" w:rsidR="00A775DB" w:rsidRPr="00B0658A" w:rsidRDefault="00A775DB" w:rsidP="00215984">
            <w:pPr>
              <w:pStyle w:val="ConsPlusNormal"/>
            </w:pPr>
          </w:p>
        </w:tc>
        <w:tc>
          <w:tcPr>
            <w:tcW w:w="1133" w:type="pct"/>
            <w:tcBorders>
              <w:top w:val="single" w:sz="4" w:space="0" w:color="auto"/>
              <w:left w:val="single" w:sz="4" w:space="0" w:color="auto"/>
              <w:bottom w:val="single" w:sz="4" w:space="0" w:color="auto"/>
              <w:right w:val="single" w:sz="4" w:space="0" w:color="auto"/>
            </w:tcBorders>
          </w:tcPr>
          <w:p w14:paraId="4AB6E280" w14:textId="77777777" w:rsidR="00A775DB" w:rsidRPr="00B0658A" w:rsidRDefault="00A775DB" w:rsidP="00215984">
            <w:pPr>
              <w:pStyle w:val="ConsPlusNormal"/>
            </w:pPr>
          </w:p>
        </w:tc>
        <w:tc>
          <w:tcPr>
            <w:tcW w:w="1188" w:type="pct"/>
            <w:tcBorders>
              <w:top w:val="single" w:sz="4" w:space="0" w:color="auto"/>
              <w:left w:val="single" w:sz="4" w:space="0" w:color="auto"/>
              <w:bottom w:val="single" w:sz="4" w:space="0" w:color="auto"/>
              <w:right w:val="single" w:sz="4" w:space="0" w:color="auto"/>
            </w:tcBorders>
          </w:tcPr>
          <w:p w14:paraId="651C2017" w14:textId="77777777" w:rsidR="00A775DB" w:rsidRPr="00B0658A" w:rsidRDefault="00A775DB" w:rsidP="00215984">
            <w:pPr>
              <w:pStyle w:val="ConsPlusNormal"/>
            </w:pPr>
          </w:p>
        </w:tc>
        <w:tc>
          <w:tcPr>
            <w:tcW w:w="622" w:type="pct"/>
            <w:tcBorders>
              <w:top w:val="single" w:sz="4" w:space="0" w:color="auto"/>
              <w:left w:val="single" w:sz="4" w:space="0" w:color="auto"/>
              <w:bottom w:val="single" w:sz="4" w:space="0" w:color="auto"/>
              <w:right w:val="single" w:sz="4" w:space="0" w:color="auto"/>
            </w:tcBorders>
          </w:tcPr>
          <w:p w14:paraId="0307F929" w14:textId="77777777" w:rsidR="00A775DB" w:rsidRPr="00B0658A" w:rsidRDefault="00A775DB" w:rsidP="00215984">
            <w:pPr>
              <w:pStyle w:val="ConsPlusNormal"/>
            </w:pPr>
          </w:p>
        </w:tc>
        <w:tc>
          <w:tcPr>
            <w:tcW w:w="1024" w:type="pct"/>
            <w:tcBorders>
              <w:top w:val="single" w:sz="4" w:space="0" w:color="auto"/>
              <w:left w:val="single" w:sz="4" w:space="0" w:color="auto"/>
              <w:bottom w:val="single" w:sz="4" w:space="0" w:color="auto"/>
              <w:right w:val="single" w:sz="4" w:space="0" w:color="auto"/>
            </w:tcBorders>
          </w:tcPr>
          <w:p w14:paraId="63EE5576" w14:textId="77777777" w:rsidR="00A775DB" w:rsidRPr="00B0658A" w:rsidRDefault="00A775DB" w:rsidP="00215984">
            <w:pPr>
              <w:pStyle w:val="ConsPlusNormal"/>
            </w:pPr>
          </w:p>
        </w:tc>
      </w:tr>
      <w:tr w:rsidR="00F52FED" w:rsidRPr="00B0658A" w14:paraId="173844A7" w14:textId="77777777" w:rsidTr="004F1366">
        <w:trPr>
          <w:trHeight w:val="20"/>
        </w:trPr>
        <w:tc>
          <w:tcPr>
            <w:tcW w:w="5000" w:type="pct"/>
            <w:gridSpan w:val="6"/>
            <w:tcBorders>
              <w:top w:val="single" w:sz="4" w:space="0" w:color="auto"/>
              <w:left w:val="single" w:sz="4" w:space="0" w:color="auto"/>
              <w:bottom w:val="single" w:sz="4" w:space="0" w:color="auto"/>
              <w:right w:val="single" w:sz="4" w:space="0" w:color="auto"/>
            </w:tcBorders>
          </w:tcPr>
          <w:p w14:paraId="55A432A8" w14:textId="77777777" w:rsidR="00A775DB" w:rsidRPr="00B0658A" w:rsidRDefault="00A775DB" w:rsidP="00CB1F35">
            <w:pPr>
              <w:pStyle w:val="ConsPlusNormal"/>
              <w:numPr>
                <w:ilvl w:val="0"/>
                <w:numId w:val="27"/>
              </w:numPr>
              <w:ind w:left="504"/>
            </w:pPr>
            <w:r w:rsidRPr="00B0658A">
              <w:t>Мероприятия, направленные на обеспечение перехода на использование российского ПО</w:t>
            </w:r>
          </w:p>
        </w:tc>
      </w:tr>
      <w:tr w:rsidR="00F52FED" w:rsidRPr="00B0658A" w14:paraId="27511424" w14:textId="77777777" w:rsidTr="004F1366">
        <w:trPr>
          <w:trHeight w:val="20"/>
        </w:trPr>
        <w:tc>
          <w:tcPr>
            <w:tcW w:w="204" w:type="pct"/>
            <w:tcBorders>
              <w:top w:val="single" w:sz="4" w:space="0" w:color="auto"/>
              <w:left w:val="single" w:sz="4" w:space="0" w:color="auto"/>
              <w:bottom w:val="single" w:sz="4" w:space="0" w:color="auto"/>
              <w:right w:val="single" w:sz="4" w:space="0" w:color="auto"/>
            </w:tcBorders>
          </w:tcPr>
          <w:p w14:paraId="64AE8A8A" w14:textId="77777777" w:rsidR="00A775DB" w:rsidRPr="00B0658A" w:rsidRDefault="00A775DB" w:rsidP="00215984">
            <w:pPr>
              <w:pStyle w:val="ConsPlusNormal"/>
            </w:pPr>
          </w:p>
        </w:tc>
        <w:tc>
          <w:tcPr>
            <w:tcW w:w="829" w:type="pct"/>
            <w:tcBorders>
              <w:top w:val="single" w:sz="4" w:space="0" w:color="auto"/>
              <w:left w:val="single" w:sz="4" w:space="0" w:color="auto"/>
              <w:bottom w:val="single" w:sz="4" w:space="0" w:color="auto"/>
              <w:right w:val="single" w:sz="4" w:space="0" w:color="auto"/>
            </w:tcBorders>
          </w:tcPr>
          <w:p w14:paraId="1705C21A" w14:textId="77777777" w:rsidR="00A775DB" w:rsidRPr="00B0658A" w:rsidRDefault="00A775DB" w:rsidP="00215984">
            <w:pPr>
              <w:pStyle w:val="ConsPlusNormal"/>
            </w:pPr>
          </w:p>
        </w:tc>
        <w:tc>
          <w:tcPr>
            <w:tcW w:w="1133" w:type="pct"/>
            <w:tcBorders>
              <w:top w:val="single" w:sz="4" w:space="0" w:color="auto"/>
              <w:left w:val="single" w:sz="4" w:space="0" w:color="auto"/>
              <w:bottom w:val="single" w:sz="4" w:space="0" w:color="auto"/>
              <w:right w:val="single" w:sz="4" w:space="0" w:color="auto"/>
            </w:tcBorders>
          </w:tcPr>
          <w:p w14:paraId="52F41D7C" w14:textId="77777777" w:rsidR="00A775DB" w:rsidRPr="00B0658A" w:rsidRDefault="00A775DB" w:rsidP="00215984">
            <w:pPr>
              <w:pStyle w:val="ConsPlusNormal"/>
            </w:pPr>
          </w:p>
        </w:tc>
        <w:tc>
          <w:tcPr>
            <w:tcW w:w="1188" w:type="pct"/>
            <w:tcBorders>
              <w:top w:val="single" w:sz="4" w:space="0" w:color="auto"/>
              <w:left w:val="single" w:sz="4" w:space="0" w:color="auto"/>
              <w:bottom w:val="single" w:sz="4" w:space="0" w:color="auto"/>
              <w:right w:val="single" w:sz="4" w:space="0" w:color="auto"/>
            </w:tcBorders>
          </w:tcPr>
          <w:p w14:paraId="7A1C072B" w14:textId="77777777" w:rsidR="00A775DB" w:rsidRPr="00B0658A" w:rsidRDefault="00A775DB" w:rsidP="00215984">
            <w:pPr>
              <w:pStyle w:val="ConsPlusNormal"/>
            </w:pPr>
          </w:p>
        </w:tc>
        <w:tc>
          <w:tcPr>
            <w:tcW w:w="622" w:type="pct"/>
            <w:tcBorders>
              <w:top w:val="single" w:sz="4" w:space="0" w:color="auto"/>
              <w:left w:val="single" w:sz="4" w:space="0" w:color="auto"/>
              <w:bottom w:val="single" w:sz="4" w:space="0" w:color="auto"/>
              <w:right w:val="single" w:sz="4" w:space="0" w:color="auto"/>
            </w:tcBorders>
          </w:tcPr>
          <w:p w14:paraId="204BF6C2" w14:textId="77777777" w:rsidR="00A775DB" w:rsidRPr="00B0658A" w:rsidRDefault="00A775DB" w:rsidP="00215984">
            <w:pPr>
              <w:pStyle w:val="ConsPlusNormal"/>
            </w:pPr>
          </w:p>
        </w:tc>
        <w:tc>
          <w:tcPr>
            <w:tcW w:w="1024" w:type="pct"/>
            <w:tcBorders>
              <w:top w:val="single" w:sz="4" w:space="0" w:color="auto"/>
              <w:left w:val="single" w:sz="4" w:space="0" w:color="auto"/>
              <w:bottom w:val="single" w:sz="4" w:space="0" w:color="auto"/>
              <w:right w:val="single" w:sz="4" w:space="0" w:color="auto"/>
            </w:tcBorders>
          </w:tcPr>
          <w:p w14:paraId="1D4626F4" w14:textId="77777777" w:rsidR="00A775DB" w:rsidRPr="00B0658A" w:rsidRDefault="00A775DB" w:rsidP="00215984">
            <w:pPr>
              <w:pStyle w:val="ConsPlusNormal"/>
            </w:pPr>
          </w:p>
        </w:tc>
      </w:tr>
      <w:tr w:rsidR="00F52FED" w:rsidRPr="00B0658A" w14:paraId="5FD528CA" w14:textId="77777777" w:rsidTr="004F1366">
        <w:trPr>
          <w:trHeight w:val="20"/>
        </w:trPr>
        <w:tc>
          <w:tcPr>
            <w:tcW w:w="204" w:type="pct"/>
            <w:tcBorders>
              <w:top w:val="single" w:sz="4" w:space="0" w:color="auto"/>
              <w:left w:val="single" w:sz="4" w:space="0" w:color="auto"/>
              <w:bottom w:val="single" w:sz="4" w:space="0" w:color="auto"/>
              <w:right w:val="single" w:sz="4" w:space="0" w:color="auto"/>
            </w:tcBorders>
          </w:tcPr>
          <w:p w14:paraId="6C7E7713" w14:textId="77777777" w:rsidR="00A775DB" w:rsidRPr="00B0658A" w:rsidRDefault="00A775DB" w:rsidP="00215984">
            <w:pPr>
              <w:pStyle w:val="ConsPlusNormal"/>
            </w:pPr>
          </w:p>
        </w:tc>
        <w:tc>
          <w:tcPr>
            <w:tcW w:w="829" w:type="pct"/>
            <w:tcBorders>
              <w:top w:val="single" w:sz="4" w:space="0" w:color="auto"/>
              <w:left w:val="single" w:sz="4" w:space="0" w:color="auto"/>
              <w:bottom w:val="single" w:sz="4" w:space="0" w:color="auto"/>
              <w:right w:val="single" w:sz="4" w:space="0" w:color="auto"/>
            </w:tcBorders>
          </w:tcPr>
          <w:p w14:paraId="4AAB177A" w14:textId="77777777" w:rsidR="00A775DB" w:rsidRPr="00B0658A" w:rsidRDefault="00A775DB" w:rsidP="00215984">
            <w:pPr>
              <w:pStyle w:val="ConsPlusNormal"/>
            </w:pPr>
          </w:p>
        </w:tc>
        <w:tc>
          <w:tcPr>
            <w:tcW w:w="1133" w:type="pct"/>
            <w:tcBorders>
              <w:top w:val="single" w:sz="4" w:space="0" w:color="auto"/>
              <w:left w:val="single" w:sz="4" w:space="0" w:color="auto"/>
              <w:bottom w:val="single" w:sz="4" w:space="0" w:color="auto"/>
              <w:right w:val="single" w:sz="4" w:space="0" w:color="auto"/>
            </w:tcBorders>
          </w:tcPr>
          <w:p w14:paraId="20B07BAA" w14:textId="77777777" w:rsidR="00A775DB" w:rsidRPr="00B0658A" w:rsidRDefault="00A775DB" w:rsidP="00215984">
            <w:pPr>
              <w:pStyle w:val="ConsPlusNormal"/>
            </w:pPr>
          </w:p>
        </w:tc>
        <w:tc>
          <w:tcPr>
            <w:tcW w:w="1188" w:type="pct"/>
            <w:tcBorders>
              <w:top w:val="single" w:sz="4" w:space="0" w:color="auto"/>
              <w:left w:val="single" w:sz="4" w:space="0" w:color="auto"/>
              <w:bottom w:val="single" w:sz="4" w:space="0" w:color="auto"/>
              <w:right w:val="single" w:sz="4" w:space="0" w:color="auto"/>
            </w:tcBorders>
          </w:tcPr>
          <w:p w14:paraId="2D84E228" w14:textId="77777777" w:rsidR="00A775DB" w:rsidRPr="00B0658A" w:rsidRDefault="00A775DB" w:rsidP="00215984">
            <w:pPr>
              <w:pStyle w:val="ConsPlusNormal"/>
            </w:pPr>
          </w:p>
        </w:tc>
        <w:tc>
          <w:tcPr>
            <w:tcW w:w="622" w:type="pct"/>
            <w:tcBorders>
              <w:top w:val="single" w:sz="4" w:space="0" w:color="auto"/>
              <w:left w:val="single" w:sz="4" w:space="0" w:color="auto"/>
              <w:bottom w:val="single" w:sz="4" w:space="0" w:color="auto"/>
              <w:right w:val="single" w:sz="4" w:space="0" w:color="auto"/>
            </w:tcBorders>
          </w:tcPr>
          <w:p w14:paraId="5DE4D140" w14:textId="77777777" w:rsidR="00A775DB" w:rsidRPr="00B0658A" w:rsidRDefault="00A775DB" w:rsidP="00215984">
            <w:pPr>
              <w:pStyle w:val="ConsPlusNormal"/>
            </w:pPr>
          </w:p>
        </w:tc>
        <w:tc>
          <w:tcPr>
            <w:tcW w:w="1024" w:type="pct"/>
            <w:tcBorders>
              <w:top w:val="single" w:sz="4" w:space="0" w:color="auto"/>
              <w:left w:val="single" w:sz="4" w:space="0" w:color="auto"/>
              <w:bottom w:val="single" w:sz="4" w:space="0" w:color="auto"/>
              <w:right w:val="single" w:sz="4" w:space="0" w:color="auto"/>
            </w:tcBorders>
          </w:tcPr>
          <w:p w14:paraId="2E3C7159" w14:textId="77777777" w:rsidR="00A775DB" w:rsidRPr="00B0658A" w:rsidRDefault="00A775DB" w:rsidP="00215984">
            <w:pPr>
              <w:pStyle w:val="ConsPlusNormal"/>
            </w:pPr>
          </w:p>
        </w:tc>
      </w:tr>
      <w:tr w:rsidR="00F52FED" w:rsidRPr="00B0658A" w14:paraId="65ACCAAC" w14:textId="77777777" w:rsidTr="004F1366">
        <w:trPr>
          <w:trHeight w:val="20"/>
        </w:trPr>
        <w:tc>
          <w:tcPr>
            <w:tcW w:w="204" w:type="pct"/>
            <w:tcBorders>
              <w:top w:val="single" w:sz="4" w:space="0" w:color="auto"/>
              <w:left w:val="single" w:sz="4" w:space="0" w:color="auto"/>
              <w:bottom w:val="single" w:sz="4" w:space="0" w:color="auto"/>
              <w:right w:val="single" w:sz="4" w:space="0" w:color="auto"/>
            </w:tcBorders>
          </w:tcPr>
          <w:p w14:paraId="0F8AB5D6" w14:textId="77777777" w:rsidR="00A775DB" w:rsidRPr="00B0658A" w:rsidRDefault="00A775DB" w:rsidP="00215984">
            <w:pPr>
              <w:pStyle w:val="ConsPlusNormal"/>
            </w:pPr>
          </w:p>
        </w:tc>
        <w:tc>
          <w:tcPr>
            <w:tcW w:w="829" w:type="pct"/>
            <w:tcBorders>
              <w:top w:val="single" w:sz="4" w:space="0" w:color="auto"/>
              <w:left w:val="single" w:sz="4" w:space="0" w:color="auto"/>
              <w:bottom w:val="single" w:sz="4" w:space="0" w:color="auto"/>
              <w:right w:val="single" w:sz="4" w:space="0" w:color="auto"/>
            </w:tcBorders>
          </w:tcPr>
          <w:p w14:paraId="576E8E29" w14:textId="77777777" w:rsidR="00A775DB" w:rsidRPr="00B0658A" w:rsidRDefault="00A775DB" w:rsidP="00215984">
            <w:pPr>
              <w:pStyle w:val="ConsPlusNormal"/>
            </w:pPr>
          </w:p>
        </w:tc>
        <w:tc>
          <w:tcPr>
            <w:tcW w:w="1133" w:type="pct"/>
            <w:tcBorders>
              <w:top w:val="single" w:sz="4" w:space="0" w:color="auto"/>
              <w:left w:val="single" w:sz="4" w:space="0" w:color="auto"/>
              <w:bottom w:val="single" w:sz="4" w:space="0" w:color="auto"/>
              <w:right w:val="single" w:sz="4" w:space="0" w:color="auto"/>
            </w:tcBorders>
          </w:tcPr>
          <w:p w14:paraId="4750964F" w14:textId="77777777" w:rsidR="00A775DB" w:rsidRPr="00B0658A" w:rsidRDefault="00A775DB" w:rsidP="00215984">
            <w:pPr>
              <w:pStyle w:val="ConsPlusNormal"/>
            </w:pPr>
          </w:p>
        </w:tc>
        <w:tc>
          <w:tcPr>
            <w:tcW w:w="1188" w:type="pct"/>
            <w:tcBorders>
              <w:top w:val="single" w:sz="4" w:space="0" w:color="auto"/>
              <w:left w:val="single" w:sz="4" w:space="0" w:color="auto"/>
              <w:bottom w:val="single" w:sz="4" w:space="0" w:color="auto"/>
              <w:right w:val="single" w:sz="4" w:space="0" w:color="auto"/>
            </w:tcBorders>
          </w:tcPr>
          <w:p w14:paraId="79A31F40" w14:textId="77777777" w:rsidR="00A775DB" w:rsidRPr="00B0658A" w:rsidRDefault="00A775DB" w:rsidP="00215984">
            <w:pPr>
              <w:pStyle w:val="ConsPlusNormal"/>
            </w:pPr>
          </w:p>
        </w:tc>
        <w:tc>
          <w:tcPr>
            <w:tcW w:w="622" w:type="pct"/>
            <w:tcBorders>
              <w:top w:val="single" w:sz="4" w:space="0" w:color="auto"/>
              <w:left w:val="single" w:sz="4" w:space="0" w:color="auto"/>
              <w:bottom w:val="single" w:sz="4" w:space="0" w:color="auto"/>
              <w:right w:val="single" w:sz="4" w:space="0" w:color="auto"/>
            </w:tcBorders>
          </w:tcPr>
          <w:p w14:paraId="01F2D031" w14:textId="77777777" w:rsidR="00A775DB" w:rsidRPr="00B0658A" w:rsidRDefault="00A775DB" w:rsidP="00215984">
            <w:pPr>
              <w:pStyle w:val="ConsPlusNormal"/>
            </w:pPr>
          </w:p>
        </w:tc>
        <w:tc>
          <w:tcPr>
            <w:tcW w:w="1024" w:type="pct"/>
            <w:tcBorders>
              <w:top w:val="single" w:sz="4" w:space="0" w:color="auto"/>
              <w:left w:val="single" w:sz="4" w:space="0" w:color="auto"/>
              <w:bottom w:val="single" w:sz="4" w:space="0" w:color="auto"/>
              <w:right w:val="single" w:sz="4" w:space="0" w:color="auto"/>
            </w:tcBorders>
          </w:tcPr>
          <w:p w14:paraId="5B2997AE" w14:textId="77777777" w:rsidR="00A775DB" w:rsidRPr="00B0658A" w:rsidRDefault="00A775DB" w:rsidP="00215984">
            <w:pPr>
              <w:pStyle w:val="ConsPlusNormal"/>
            </w:pPr>
          </w:p>
        </w:tc>
      </w:tr>
      <w:tr w:rsidR="00F52FED" w:rsidRPr="00B0658A" w14:paraId="69A61716" w14:textId="77777777" w:rsidTr="004F1366">
        <w:trPr>
          <w:trHeight w:val="20"/>
        </w:trPr>
        <w:tc>
          <w:tcPr>
            <w:tcW w:w="204" w:type="pct"/>
            <w:tcBorders>
              <w:top w:val="single" w:sz="4" w:space="0" w:color="auto"/>
              <w:left w:val="single" w:sz="4" w:space="0" w:color="auto"/>
              <w:bottom w:val="single" w:sz="4" w:space="0" w:color="auto"/>
              <w:right w:val="single" w:sz="4" w:space="0" w:color="auto"/>
            </w:tcBorders>
          </w:tcPr>
          <w:p w14:paraId="30E81EDF" w14:textId="77777777" w:rsidR="00A775DB" w:rsidRPr="00B0658A" w:rsidRDefault="00A775DB" w:rsidP="00215984">
            <w:pPr>
              <w:pStyle w:val="ConsPlusNormal"/>
            </w:pPr>
          </w:p>
        </w:tc>
        <w:tc>
          <w:tcPr>
            <w:tcW w:w="829" w:type="pct"/>
            <w:tcBorders>
              <w:top w:val="single" w:sz="4" w:space="0" w:color="auto"/>
              <w:left w:val="single" w:sz="4" w:space="0" w:color="auto"/>
              <w:bottom w:val="single" w:sz="4" w:space="0" w:color="auto"/>
              <w:right w:val="single" w:sz="4" w:space="0" w:color="auto"/>
            </w:tcBorders>
          </w:tcPr>
          <w:p w14:paraId="53F52A8D" w14:textId="77777777" w:rsidR="00A775DB" w:rsidRPr="00B0658A" w:rsidRDefault="00A775DB" w:rsidP="00215984">
            <w:pPr>
              <w:pStyle w:val="ConsPlusNormal"/>
            </w:pPr>
          </w:p>
        </w:tc>
        <w:tc>
          <w:tcPr>
            <w:tcW w:w="1133" w:type="pct"/>
            <w:tcBorders>
              <w:top w:val="single" w:sz="4" w:space="0" w:color="auto"/>
              <w:left w:val="single" w:sz="4" w:space="0" w:color="auto"/>
              <w:bottom w:val="single" w:sz="4" w:space="0" w:color="auto"/>
              <w:right w:val="single" w:sz="4" w:space="0" w:color="auto"/>
            </w:tcBorders>
          </w:tcPr>
          <w:p w14:paraId="7F6E3F62" w14:textId="77777777" w:rsidR="00A775DB" w:rsidRPr="00B0658A" w:rsidRDefault="00A775DB" w:rsidP="00215984">
            <w:pPr>
              <w:pStyle w:val="ConsPlusNormal"/>
            </w:pPr>
          </w:p>
        </w:tc>
        <w:tc>
          <w:tcPr>
            <w:tcW w:w="1188" w:type="pct"/>
            <w:tcBorders>
              <w:top w:val="single" w:sz="4" w:space="0" w:color="auto"/>
              <w:left w:val="single" w:sz="4" w:space="0" w:color="auto"/>
              <w:bottom w:val="single" w:sz="4" w:space="0" w:color="auto"/>
              <w:right w:val="single" w:sz="4" w:space="0" w:color="auto"/>
            </w:tcBorders>
          </w:tcPr>
          <w:p w14:paraId="43827C7A" w14:textId="77777777" w:rsidR="00A775DB" w:rsidRPr="00B0658A" w:rsidRDefault="00A775DB" w:rsidP="00215984">
            <w:pPr>
              <w:pStyle w:val="ConsPlusNormal"/>
            </w:pPr>
          </w:p>
        </w:tc>
        <w:tc>
          <w:tcPr>
            <w:tcW w:w="622" w:type="pct"/>
            <w:tcBorders>
              <w:top w:val="single" w:sz="4" w:space="0" w:color="auto"/>
              <w:left w:val="single" w:sz="4" w:space="0" w:color="auto"/>
              <w:bottom w:val="single" w:sz="4" w:space="0" w:color="auto"/>
              <w:right w:val="single" w:sz="4" w:space="0" w:color="auto"/>
            </w:tcBorders>
          </w:tcPr>
          <w:p w14:paraId="7FEE211E" w14:textId="77777777" w:rsidR="00A775DB" w:rsidRPr="00B0658A" w:rsidRDefault="00A775DB" w:rsidP="00215984">
            <w:pPr>
              <w:pStyle w:val="ConsPlusNormal"/>
            </w:pPr>
          </w:p>
        </w:tc>
        <w:tc>
          <w:tcPr>
            <w:tcW w:w="1024" w:type="pct"/>
            <w:tcBorders>
              <w:top w:val="single" w:sz="4" w:space="0" w:color="auto"/>
              <w:left w:val="single" w:sz="4" w:space="0" w:color="auto"/>
              <w:bottom w:val="single" w:sz="4" w:space="0" w:color="auto"/>
              <w:right w:val="single" w:sz="4" w:space="0" w:color="auto"/>
            </w:tcBorders>
          </w:tcPr>
          <w:p w14:paraId="6D798311" w14:textId="77777777" w:rsidR="00A775DB" w:rsidRPr="00B0658A" w:rsidRDefault="00A775DB" w:rsidP="00215984">
            <w:pPr>
              <w:pStyle w:val="ConsPlusNormal"/>
            </w:pPr>
          </w:p>
        </w:tc>
      </w:tr>
      <w:tr w:rsidR="00F52FED" w:rsidRPr="00B0658A" w14:paraId="16AAFAD7" w14:textId="77777777" w:rsidTr="004F1366">
        <w:trPr>
          <w:trHeight w:val="20"/>
        </w:trPr>
        <w:tc>
          <w:tcPr>
            <w:tcW w:w="5000" w:type="pct"/>
            <w:gridSpan w:val="6"/>
            <w:tcBorders>
              <w:top w:val="single" w:sz="4" w:space="0" w:color="auto"/>
              <w:left w:val="single" w:sz="4" w:space="0" w:color="auto"/>
              <w:bottom w:val="single" w:sz="4" w:space="0" w:color="auto"/>
              <w:right w:val="single" w:sz="4" w:space="0" w:color="auto"/>
            </w:tcBorders>
          </w:tcPr>
          <w:p w14:paraId="23D0A732" w14:textId="77777777" w:rsidR="00A775DB" w:rsidRPr="00B0658A" w:rsidRDefault="00A775DB" w:rsidP="00CB1F35">
            <w:pPr>
              <w:pStyle w:val="ConsPlusNormal"/>
              <w:numPr>
                <w:ilvl w:val="0"/>
                <w:numId w:val="27"/>
              </w:numPr>
              <w:ind w:left="504"/>
            </w:pPr>
            <w:r w:rsidRPr="00B0658A">
              <w:t>Иные организационно-технические мероприятия</w:t>
            </w:r>
          </w:p>
        </w:tc>
      </w:tr>
      <w:tr w:rsidR="00F52FED" w:rsidRPr="00B0658A" w14:paraId="31DF4A17" w14:textId="77777777" w:rsidTr="004F1366">
        <w:trPr>
          <w:trHeight w:val="20"/>
        </w:trPr>
        <w:tc>
          <w:tcPr>
            <w:tcW w:w="204" w:type="pct"/>
            <w:tcBorders>
              <w:top w:val="single" w:sz="4" w:space="0" w:color="auto"/>
              <w:left w:val="single" w:sz="4" w:space="0" w:color="auto"/>
              <w:bottom w:val="single" w:sz="4" w:space="0" w:color="auto"/>
              <w:right w:val="single" w:sz="4" w:space="0" w:color="auto"/>
            </w:tcBorders>
          </w:tcPr>
          <w:p w14:paraId="3865BD22" w14:textId="77777777" w:rsidR="00A775DB" w:rsidRPr="00B0658A" w:rsidRDefault="00A775DB" w:rsidP="00215984">
            <w:pPr>
              <w:pStyle w:val="ConsPlusNormal"/>
            </w:pPr>
          </w:p>
        </w:tc>
        <w:tc>
          <w:tcPr>
            <w:tcW w:w="829" w:type="pct"/>
            <w:tcBorders>
              <w:top w:val="single" w:sz="4" w:space="0" w:color="auto"/>
              <w:left w:val="single" w:sz="4" w:space="0" w:color="auto"/>
              <w:bottom w:val="single" w:sz="4" w:space="0" w:color="auto"/>
              <w:right w:val="single" w:sz="4" w:space="0" w:color="auto"/>
            </w:tcBorders>
          </w:tcPr>
          <w:p w14:paraId="32158F94" w14:textId="77777777" w:rsidR="00A775DB" w:rsidRPr="00B0658A" w:rsidRDefault="00A775DB" w:rsidP="00215984">
            <w:pPr>
              <w:pStyle w:val="ConsPlusNormal"/>
            </w:pPr>
          </w:p>
        </w:tc>
        <w:tc>
          <w:tcPr>
            <w:tcW w:w="1133" w:type="pct"/>
            <w:tcBorders>
              <w:top w:val="single" w:sz="4" w:space="0" w:color="auto"/>
              <w:left w:val="single" w:sz="4" w:space="0" w:color="auto"/>
              <w:bottom w:val="single" w:sz="4" w:space="0" w:color="auto"/>
              <w:right w:val="single" w:sz="4" w:space="0" w:color="auto"/>
            </w:tcBorders>
          </w:tcPr>
          <w:p w14:paraId="0031EC86" w14:textId="77777777" w:rsidR="00A775DB" w:rsidRPr="00B0658A" w:rsidRDefault="00A775DB" w:rsidP="00215984">
            <w:pPr>
              <w:pStyle w:val="ConsPlusNormal"/>
            </w:pPr>
          </w:p>
        </w:tc>
        <w:tc>
          <w:tcPr>
            <w:tcW w:w="1188" w:type="pct"/>
            <w:tcBorders>
              <w:top w:val="single" w:sz="4" w:space="0" w:color="auto"/>
              <w:left w:val="single" w:sz="4" w:space="0" w:color="auto"/>
              <w:bottom w:val="single" w:sz="4" w:space="0" w:color="auto"/>
              <w:right w:val="single" w:sz="4" w:space="0" w:color="auto"/>
            </w:tcBorders>
          </w:tcPr>
          <w:p w14:paraId="164B764C" w14:textId="77777777" w:rsidR="00A775DB" w:rsidRPr="00B0658A" w:rsidRDefault="00A775DB" w:rsidP="00215984">
            <w:pPr>
              <w:pStyle w:val="ConsPlusNormal"/>
            </w:pPr>
          </w:p>
        </w:tc>
        <w:tc>
          <w:tcPr>
            <w:tcW w:w="622" w:type="pct"/>
            <w:tcBorders>
              <w:top w:val="single" w:sz="4" w:space="0" w:color="auto"/>
              <w:left w:val="single" w:sz="4" w:space="0" w:color="auto"/>
              <w:bottom w:val="single" w:sz="4" w:space="0" w:color="auto"/>
              <w:right w:val="single" w:sz="4" w:space="0" w:color="auto"/>
            </w:tcBorders>
          </w:tcPr>
          <w:p w14:paraId="6805FC21" w14:textId="77777777" w:rsidR="00A775DB" w:rsidRPr="00B0658A" w:rsidRDefault="00A775DB" w:rsidP="00215984">
            <w:pPr>
              <w:pStyle w:val="ConsPlusNormal"/>
            </w:pPr>
          </w:p>
        </w:tc>
        <w:tc>
          <w:tcPr>
            <w:tcW w:w="1024" w:type="pct"/>
            <w:tcBorders>
              <w:top w:val="single" w:sz="4" w:space="0" w:color="auto"/>
              <w:left w:val="single" w:sz="4" w:space="0" w:color="auto"/>
              <w:bottom w:val="single" w:sz="4" w:space="0" w:color="auto"/>
              <w:right w:val="single" w:sz="4" w:space="0" w:color="auto"/>
            </w:tcBorders>
          </w:tcPr>
          <w:p w14:paraId="48A660E0" w14:textId="77777777" w:rsidR="00A775DB" w:rsidRPr="00B0658A" w:rsidRDefault="00A775DB" w:rsidP="00215984">
            <w:pPr>
              <w:pStyle w:val="ConsPlusNormal"/>
            </w:pPr>
          </w:p>
        </w:tc>
      </w:tr>
      <w:tr w:rsidR="00F52FED" w:rsidRPr="00B0658A" w14:paraId="5E0F0FF1" w14:textId="77777777" w:rsidTr="004F1366">
        <w:trPr>
          <w:trHeight w:val="20"/>
        </w:trPr>
        <w:tc>
          <w:tcPr>
            <w:tcW w:w="204" w:type="pct"/>
            <w:tcBorders>
              <w:top w:val="single" w:sz="4" w:space="0" w:color="auto"/>
              <w:left w:val="single" w:sz="4" w:space="0" w:color="auto"/>
              <w:bottom w:val="single" w:sz="4" w:space="0" w:color="auto"/>
              <w:right w:val="single" w:sz="4" w:space="0" w:color="auto"/>
            </w:tcBorders>
          </w:tcPr>
          <w:p w14:paraId="5E2A3097" w14:textId="77777777" w:rsidR="00A775DB" w:rsidRPr="00B0658A" w:rsidRDefault="00A775DB" w:rsidP="00215984">
            <w:pPr>
              <w:pStyle w:val="ConsPlusNormal"/>
            </w:pPr>
          </w:p>
        </w:tc>
        <w:tc>
          <w:tcPr>
            <w:tcW w:w="829" w:type="pct"/>
            <w:tcBorders>
              <w:top w:val="single" w:sz="4" w:space="0" w:color="auto"/>
              <w:left w:val="single" w:sz="4" w:space="0" w:color="auto"/>
              <w:bottom w:val="single" w:sz="4" w:space="0" w:color="auto"/>
              <w:right w:val="single" w:sz="4" w:space="0" w:color="auto"/>
            </w:tcBorders>
          </w:tcPr>
          <w:p w14:paraId="139701B3" w14:textId="77777777" w:rsidR="00A775DB" w:rsidRPr="00B0658A" w:rsidRDefault="00A775DB" w:rsidP="00215984">
            <w:pPr>
              <w:pStyle w:val="ConsPlusNormal"/>
            </w:pPr>
          </w:p>
        </w:tc>
        <w:tc>
          <w:tcPr>
            <w:tcW w:w="1133" w:type="pct"/>
            <w:tcBorders>
              <w:top w:val="single" w:sz="4" w:space="0" w:color="auto"/>
              <w:left w:val="single" w:sz="4" w:space="0" w:color="auto"/>
              <w:bottom w:val="single" w:sz="4" w:space="0" w:color="auto"/>
              <w:right w:val="single" w:sz="4" w:space="0" w:color="auto"/>
            </w:tcBorders>
          </w:tcPr>
          <w:p w14:paraId="2328F8A3" w14:textId="77777777" w:rsidR="00A775DB" w:rsidRPr="00B0658A" w:rsidRDefault="00A775DB" w:rsidP="00215984">
            <w:pPr>
              <w:pStyle w:val="ConsPlusNormal"/>
            </w:pPr>
          </w:p>
        </w:tc>
        <w:tc>
          <w:tcPr>
            <w:tcW w:w="1188" w:type="pct"/>
            <w:tcBorders>
              <w:top w:val="single" w:sz="4" w:space="0" w:color="auto"/>
              <w:left w:val="single" w:sz="4" w:space="0" w:color="auto"/>
              <w:bottom w:val="single" w:sz="4" w:space="0" w:color="auto"/>
              <w:right w:val="single" w:sz="4" w:space="0" w:color="auto"/>
            </w:tcBorders>
          </w:tcPr>
          <w:p w14:paraId="75D73910" w14:textId="77777777" w:rsidR="00A775DB" w:rsidRPr="00B0658A" w:rsidRDefault="00A775DB" w:rsidP="00215984">
            <w:pPr>
              <w:pStyle w:val="ConsPlusNormal"/>
            </w:pPr>
          </w:p>
        </w:tc>
        <w:tc>
          <w:tcPr>
            <w:tcW w:w="622" w:type="pct"/>
            <w:tcBorders>
              <w:top w:val="single" w:sz="4" w:space="0" w:color="auto"/>
              <w:left w:val="single" w:sz="4" w:space="0" w:color="auto"/>
              <w:bottom w:val="single" w:sz="4" w:space="0" w:color="auto"/>
              <w:right w:val="single" w:sz="4" w:space="0" w:color="auto"/>
            </w:tcBorders>
          </w:tcPr>
          <w:p w14:paraId="5CB50F53" w14:textId="77777777" w:rsidR="00A775DB" w:rsidRPr="00B0658A" w:rsidRDefault="00A775DB" w:rsidP="00215984">
            <w:pPr>
              <w:pStyle w:val="ConsPlusNormal"/>
            </w:pPr>
          </w:p>
        </w:tc>
        <w:tc>
          <w:tcPr>
            <w:tcW w:w="1024" w:type="pct"/>
            <w:tcBorders>
              <w:top w:val="single" w:sz="4" w:space="0" w:color="auto"/>
              <w:left w:val="single" w:sz="4" w:space="0" w:color="auto"/>
              <w:bottom w:val="single" w:sz="4" w:space="0" w:color="auto"/>
              <w:right w:val="single" w:sz="4" w:space="0" w:color="auto"/>
            </w:tcBorders>
          </w:tcPr>
          <w:p w14:paraId="2919CE60" w14:textId="77777777" w:rsidR="00A775DB" w:rsidRPr="00B0658A" w:rsidRDefault="00A775DB" w:rsidP="00215984">
            <w:pPr>
              <w:pStyle w:val="ConsPlusNormal"/>
            </w:pPr>
          </w:p>
        </w:tc>
      </w:tr>
      <w:tr w:rsidR="00F52FED" w:rsidRPr="00B0658A" w14:paraId="6BF9C966" w14:textId="77777777" w:rsidTr="004F1366">
        <w:trPr>
          <w:trHeight w:val="20"/>
        </w:trPr>
        <w:tc>
          <w:tcPr>
            <w:tcW w:w="204" w:type="pct"/>
            <w:tcBorders>
              <w:top w:val="single" w:sz="4" w:space="0" w:color="auto"/>
              <w:left w:val="single" w:sz="4" w:space="0" w:color="auto"/>
              <w:bottom w:val="single" w:sz="4" w:space="0" w:color="auto"/>
              <w:right w:val="single" w:sz="4" w:space="0" w:color="auto"/>
            </w:tcBorders>
          </w:tcPr>
          <w:p w14:paraId="02E36CF1" w14:textId="77777777" w:rsidR="00A775DB" w:rsidRPr="00B0658A" w:rsidRDefault="00A775DB" w:rsidP="00215984">
            <w:pPr>
              <w:pStyle w:val="ConsPlusNormal"/>
            </w:pPr>
          </w:p>
        </w:tc>
        <w:tc>
          <w:tcPr>
            <w:tcW w:w="829" w:type="pct"/>
            <w:tcBorders>
              <w:top w:val="single" w:sz="4" w:space="0" w:color="auto"/>
              <w:left w:val="single" w:sz="4" w:space="0" w:color="auto"/>
              <w:bottom w:val="single" w:sz="4" w:space="0" w:color="auto"/>
              <w:right w:val="single" w:sz="4" w:space="0" w:color="auto"/>
            </w:tcBorders>
          </w:tcPr>
          <w:p w14:paraId="69D70B9A" w14:textId="77777777" w:rsidR="00A775DB" w:rsidRPr="00B0658A" w:rsidRDefault="00A775DB" w:rsidP="00215984">
            <w:pPr>
              <w:pStyle w:val="ConsPlusNormal"/>
            </w:pPr>
          </w:p>
        </w:tc>
        <w:tc>
          <w:tcPr>
            <w:tcW w:w="1133" w:type="pct"/>
            <w:tcBorders>
              <w:top w:val="single" w:sz="4" w:space="0" w:color="auto"/>
              <w:left w:val="single" w:sz="4" w:space="0" w:color="auto"/>
              <w:bottom w:val="single" w:sz="4" w:space="0" w:color="auto"/>
              <w:right w:val="single" w:sz="4" w:space="0" w:color="auto"/>
            </w:tcBorders>
          </w:tcPr>
          <w:p w14:paraId="79E4F9AC" w14:textId="77777777" w:rsidR="00A775DB" w:rsidRPr="00B0658A" w:rsidRDefault="00A775DB" w:rsidP="00215984">
            <w:pPr>
              <w:pStyle w:val="ConsPlusNormal"/>
            </w:pPr>
          </w:p>
        </w:tc>
        <w:tc>
          <w:tcPr>
            <w:tcW w:w="1188" w:type="pct"/>
            <w:tcBorders>
              <w:top w:val="single" w:sz="4" w:space="0" w:color="auto"/>
              <w:left w:val="single" w:sz="4" w:space="0" w:color="auto"/>
              <w:bottom w:val="single" w:sz="4" w:space="0" w:color="auto"/>
              <w:right w:val="single" w:sz="4" w:space="0" w:color="auto"/>
            </w:tcBorders>
          </w:tcPr>
          <w:p w14:paraId="604B2D73" w14:textId="77777777" w:rsidR="00A775DB" w:rsidRPr="00B0658A" w:rsidRDefault="00A775DB" w:rsidP="00215984">
            <w:pPr>
              <w:pStyle w:val="ConsPlusNormal"/>
            </w:pPr>
          </w:p>
        </w:tc>
        <w:tc>
          <w:tcPr>
            <w:tcW w:w="622" w:type="pct"/>
            <w:tcBorders>
              <w:top w:val="single" w:sz="4" w:space="0" w:color="auto"/>
              <w:left w:val="single" w:sz="4" w:space="0" w:color="auto"/>
              <w:bottom w:val="single" w:sz="4" w:space="0" w:color="auto"/>
              <w:right w:val="single" w:sz="4" w:space="0" w:color="auto"/>
            </w:tcBorders>
          </w:tcPr>
          <w:p w14:paraId="3F1B7942" w14:textId="77777777" w:rsidR="00A775DB" w:rsidRPr="00B0658A" w:rsidRDefault="00A775DB" w:rsidP="00215984">
            <w:pPr>
              <w:pStyle w:val="ConsPlusNormal"/>
            </w:pPr>
          </w:p>
        </w:tc>
        <w:tc>
          <w:tcPr>
            <w:tcW w:w="1024" w:type="pct"/>
            <w:tcBorders>
              <w:top w:val="single" w:sz="4" w:space="0" w:color="auto"/>
              <w:left w:val="single" w:sz="4" w:space="0" w:color="auto"/>
              <w:bottom w:val="single" w:sz="4" w:space="0" w:color="auto"/>
              <w:right w:val="single" w:sz="4" w:space="0" w:color="auto"/>
            </w:tcBorders>
          </w:tcPr>
          <w:p w14:paraId="1C07A2B5" w14:textId="77777777" w:rsidR="00A775DB" w:rsidRPr="00B0658A" w:rsidRDefault="00A775DB" w:rsidP="00215984">
            <w:pPr>
              <w:pStyle w:val="ConsPlusNormal"/>
            </w:pPr>
          </w:p>
        </w:tc>
      </w:tr>
    </w:tbl>
    <w:p w14:paraId="4F32A63D" w14:textId="16B5D63D" w:rsidR="009F4B0E" w:rsidRDefault="009F4B0E">
      <w:pPr>
        <w:spacing w:after="0" w:line="240" w:lineRule="auto"/>
        <w:rPr>
          <w:rFonts w:ascii="Times New Roman" w:hAnsi="Times New Roman"/>
          <w:sz w:val="28"/>
          <w:szCs w:val="24"/>
        </w:rPr>
      </w:pPr>
    </w:p>
    <w:p w14:paraId="652041BB" w14:textId="77777777" w:rsidR="00A775DB" w:rsidRPr="00B0658A" w:rsidRDefault="00A775DB" w:rsidP="00A775DB">
      <w:pPr>
        <w:spacing w:before="120" w:after="0" w:line="240" w:lineRule="auto"/>
        <w:jc w:val="both"/>
        <w:rPr>
          <w:rFonts w:ascii="Times New Roman" w:hAnsi="Times New Roman"/>
          <w:sz w:val="28"/>
          <w:szCs w:val="24"/>
        </w:rPr>
      </w:pPr>
      <w:r w:rsidRPr="00B0658A">
        <w:rPr>
          <w:rFonts w:ascii="Times New Roman" w:hAnsi="Times New Roman"/>
          <w:sz w:val="28"/>
          <w:szCs w:val="24"/>
        </w:rPr>
        <w:t>Раздел 2. «Показатели эффективности и соответствующие им значения индикаторов эффективности перехода на использование российского ПО»</w:t>
      </w: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78"/>
        <w:gridCol w:w="3812"/>
        <w:gridCol w:w="1842"/>
        <w:gridCol w:w="779"/>
        <w:gridCol w:w="780"/>
        <w:gridCol w:w="780"/>
        <w:gridCol w:w="780"/>
        <w:gridCol w:w="992"/>
        <w:gridCol w:w="803"/>
        <w:gridCol w:w="803"/>
        <w:gridCol w:w="804"/>
        <w:gridCol w:w="1530"/>
      </w:tblGrid>
      <w:tr w:rsidR="00F52FED" w:rsidRPr="00B0658A" w14:paraId="579E8938" w14:textId="77777777" w:rsidTr="004F1366">
        <w:trPr>
          <w:trHeight w:val="20"/>
          <w:tblHeader/>
        </w:trPr>
        <w:tc>
          <w:tcPr>
            <w:tcW w:w="578" w:type="dxa"/>
            <w:shd w:val="clear" w:color="000000" w:fill="E7E6E6"/>
            <w:vAlign w:val="center"/>
            <w:hideMark/>
          </w:tcPr>
          <w:p w14:paraId="21869F64" w14:textId="77777777" w:rsidR="00A775DB" w:rsidRPr="00B0658A" w:rsidRDefault="00A775DB" w:rsidP="004F1366">
            <w:pPr>
              <w:spacing w:after="0" w:line="240" w:lineRule="auto"/>
              <w:jc w:val="center"/>
              <w:rPr>
                <w:rFonts w:ascii="Times New Roman" w:hAnsi="Times New Roman"/>
                <w:b/>
                <w:bCs/>
                <w:sz w:val="18"/>
                <w:szCs w:val="18"/>
              </w:rPr>
            </w:pPr>
            <w:r w:rsidRPr="00B0658A">
              <w:rPr>
                <w:rFonts w:ascii="Times New Roman" w:hAnsi="Times New Roman"/>
                <w:b/>
                <w:bCs/>
                <w:sz w:val="18"/>
                <w:szCs w:val="18"/>
              </w:rPr>
              <w:t>№ раздела/ класса</w:t>
            </w:r>
          </w:p>
        </w:tc>
        <w:tc>
          <w:tcPr>
            <w:tcW w:w="3812" w:type="dxa"/>
            <w:shd w:val="clear" w:color="000000" w:fill="E7E6E6"/>
            <w:vAlign w:val="center"/>
            <w:hideMark/>
          </w:tcPr>
          <w:p w14:paraId="449D8DDA" w14:textId="77777777" w:rsidR="00A775DB" w:rsidRPr="00B0658A" w:rsidRDefault="00A775DB" w:rsidP="004F1366">
            <w:pPr>
              <w:spacing w:after="0" w:line="240" w:lineRule="auto"/>
              <w:jc w:val="center"/>
              <w:rPr>
                <w:rFonts w:ascii="Times New Roman" w:hAnsi="Times New Roman"/>
                <w:b/>
                <w:bCs/>
                <w:sz w:val="18"/>
                <w:szCs w:val="18"/>
              </w:rPr>
            </w:pPr>
            <w:r w:rsidRPr="00B0658A">
              <w:rPr>
                <w:rFonts w:ascii="Times New Roman" w:hAnsi="Times New Roman"/>
                <w:b/>
                <w:bCs/>
                <w:sz w:val="18"/>
                <w:szCs w:val="18"/>
              </w:rPr>
              <w:t>Наименование класса (типа) ПО</w:t>
            </w:r>
          </w:p>
        </w:tc>
        <w:tc>
          <w:tcPr>
            <w:tcW w:w="1842" w:type="dxa"/>
            <w:shd w:val="clear" w:color="000000" w:fill="E7E6E6"/>
            <w:vAlign w:val="center"/>
            <w:hideMark/>
          </w:tcPr>
          <w:p w14:paraId="6B57CBD2" w14:textId="77777777" w:rsidR="00A775DB" w:rsidRPr="00B0658A" w:rsidRDefault="00A775DB" w:rsidP="004F1366">
            <w:pPr>
              <w:spacing w:after="0" w:line="240" w:lineRule="auto"/>
              <w:jc w:val="center"/>
              <w:rPr>
                <w:rFonts w:ascii="Times New Roman" w:hAnsi="Times New Roman"/>
                <w:b/>
                <w:bCs/>
                <w:sz w:val="18"/>
                <w:szCs w:val="18"/>
              </w:rPr>
            </w:pPr>
            <w:r w:rsidRPr="00B0658A">
              <w:rPr>
                <w:rFonts w:ascii="Times New Roman" w:hAnsi="Times New Roman"/>
                <w:b/>
                <w:bCs/>
                <w:sz w:val="18"/>
                <w:szCs w:val="18"/>
              </w:rPr>
              <w:t>Наименование целевого показателя</w:t>
            </w:r>
          </w:p>
        </w:tc>
        <w:tc>
          <w:tcPr>
            <w:tcW w:w="779" w:type="dxa"/>
            <w:shd w:val="clear" w:color="000000" w:fill="E7E6E6"/>
            <w:vAlign w:val="center"/>
          </w:tcPr>
          <w:p w14:paraId="22331926" w14:textId="77777777" w:rsidR="00A775DB" w:rsidRPr="00B0658A" w:rsidRDefault="00A775DB" w:rsidP="004F1366">
            <w:pPr>
              <w:spacing w:after="0" w:line="240" w:lineRule="auto"/>
              <w:jc w:val="center"/>
              <w:rPr>
                <w:rFonts w:ascii="Times New Roman" w:hAnsi="Times New Roman"/>
                <w:b/>
                <w:bCs/>
                <w:sz w:val="18"/>
                <w:szCs w:val="18"/>
              </w:rPr>
            </w:pPr>
            <w:r w:rsidRPr="00B0658A">
              <w:rPr>
                <w:rFonts w:ascii="Times New Roman" w:hAnsi="Times New Roman"/>
                <w:b/>
                <w:bCs/>
                <w:sz w:val="18"/>
                <w:szCs w:val="18"/>
              </w:rPr>
              <w:t>2021 г.</w:t>
            </w:r>
          </w:p>
          <w:p w14:paraId="1D5882F9" w14:textId="77777777" w:rsidR="00A775DB" w:rsidRPr="00B0658A" w:rsidRDefault="00A775DB" w:rsidP="004F1366">
            <w:pPr>
              <w:spacing w:after="0" w:line="240" w:lineRule="auto"/>
              <w:jc w:val="center"/>
              <w:rPr>
                <w:rFonts w:ascii="Times New Roman" w:hAnsi="Times New Roman"/>
                <w:b/>
                <w:bCs/>
                <w:sz w:val="18"/>
                <w:szCs w:val="18"/>
              </w:rPr>
            </w:pPr>
            <w:r w:rsidRPr="00B0658A">
              <w:rPr>
                <w:rFonts w:ascii="Times New Roman" w:hAnsi="Times New Roman"/>
                <w:b/>
                <w:bCs/>
                <w:sz w:val="18"/>
                <w:szCs w:val="18"/>
              </w:rPr>
              <w:t>(факт)</w:t>
            </w:r>
          </w:p>
        </w:tc>
        <w:tc>
          <w:tcPr>
            <w:tcW w:w="780" w:type="dxa"/>
            <w:shd w:val="clear" w:color="000000" w:fill="E7E6E6"/>
            <w:noWrap/>
            <w:vAlign w:val="center"/>
            <w:hideMark/>
          </w:tcPr>
          <w:p w14:paraId="67A55ED3" w14:textId="77777777" w:rsidR="00A775DB" w:rsidRPr="00B0658A" w:rsidRDefault="00A775DB" w:rsidP="004F1366">
            <w:pPr>
              <w:spacing w:after="0" w:line="240" w:lineRule="auto"/>
              <w:jc w:val="center"/>
              <w:rPr>
                <w:rFonts w:ascii="Times New Roman" w:hAnsi="Times New Roman"/>
                <w:b/>
                <w:bCs/>
                <w:sz w:val="18"/>
                <w:szCs w:val="18"/>
              </w:rPr>
            </w:pPr>
            <w:r w:rsidRPr="00B0658A">
              <w:rPr>
                <w:rFonts w:ascii="Times New Roman" w:hAnsi="Times New Roman"/>
                <w:b/>
                <w:bCs/>
                <w:sz w:val="18"/>
                <w:szCs w:val="18"/>
              </w:rPr>
              <w:t>2022 г.</w:t>
            </w:r>
          </w:p>
          <w:p w14:paraId="4E33B2B9" w14:textId="77777777" w:rsidR="00A775DB" w:rsidRPr="00B0658A" w:rsidRDefault="00A775DB" w:rsidP="004F1366">
            <w:pPr>
              <w:spacing w:after="0" w:line="240" w:lineRule="auto"/>
              <w:jc w:val="center"/>
              <w:rPr>
                <w:rFonts w:ascii="Times New Roman" w:hAnsi="Times New Roman"/>
                <w:b/>
                <w:bCs/>
                <w:sz w:val="18"/>
                <w:szCs w:val="18"/>
              </w:rPr>
            </w:pPr>
            <w:r w:rsidRPr="00B0658A">
              <w:rPr>
                <w:rFonts w:ascii="Times New Roman" w:hAnsi="Times New Roman"/>
                <w:b/>
                <w:bCs/>
                <w:sz w:val="18"/>
                <w:szCs w:val="18"/>
              </w:rPr>
              <w:t>(план)</w:t>
            </w:r>
          </w:p>
        </w:tc>
        <w:tc>
          <w:tcPr>
            <w:tcW w:w="780" w:type="dxa"/>
            <w:shd w:val="clear" w:color="000000" w:fill="E7E6E6"/>
            <w:vAlign w:val="center"/>
            <w:hideMark/>
          </w:tcPr>
          <w:p w14:paraId="305C3687" w14:textId="77777777" w:rsidR="00A775DB" w:rsidRPr="00B0658A" w:rsidRDefault="00A775DB" w:rsidP="004F1366">
            <w:pPr>
              <w:spacing w:after="0" w:line="240" w:lineRule="auto"/>
              <w:jc w:val="center"/>
              <w:rPr>
                <w:rFonts w:ascii="Times New Roman" w:hAnsi="Times New Roman"/>
                <w:b/>
                <w:bCs/>
                <w:sz w:val="18"/>
                <w:szCs w:val="18"/>
              </w:rPr>
            </w:pPr>
            <w:r w:rsidRPr="00B0658A">
              <w:rPr>
                <w:rFonts w:ascii="Times New Roman" w:hAnsi="Times New Roman"/>
                <w:b/>
                <w:bCs/>
                <w:sz w:val="18"/>
                <w:szCs w:val="18"/>
              </w:rPr>
              <w:t>2023 г.</w:t>
            </w:r>
          </w:p>
          <w:p w14:paraId="5CA4B248" w14:textId="77777777" w:rsidR="00A775DB" w:rsidRPr="00B0658A" w:rsidRDefault="00A775DB" w:rsidP="004F1366">
            <w:pPr>
              <w:spacing w:after="0" w:line="240" w:lineRule="auto"/>
              <w:jc w:val="center"/>
              <w:rPr>
                <w:rFonts w:ascii="Times New Roman" w:hAnsi="Times New Roman"/>
                <w:b/>
                <w:bCs/>
                <w:sz w:val="18"/>
                <w:szCs w:val="18"/>
              </w:rPr>
            </w:pPr>
            <w:r w:rsidRPr="00B0658A">
              <w:rPr>
                <w:rFonts w:ascii="Times New Roman" w:hAnsi="Times New Roman"/>
                <w:b/>
                <w:bCs/>
                <w:sz w:val="18"/>
                <w:szCs w:val="18"/>
              </w:rPr>
              <w:t>(план)</w:t>
            </w:r>
          </w:p>
        </w:tc>
        <w:tc>
          <w:tcPr>
            <w:tcW w:w="780" w:type="dxa"/>
            <w:shd w:val="clear" w:color="000000" w:fill="E7E6E6"/>
            <w:noWrap/>
            <w:vAlign w:val="center"/>
            <w:hideMark/>
          </w:tcPr>
          <w:p w14:paraId="35585ACF" w14:textId="77777777" w:rsidR="00A775DB" w:rsidRPr="00B0658A" w:rsidRDefault="00A775DB" w:rsidP="004F1366">
            <w:pPr>
              <w:spacing w:after="0" w:line="240" w:lineRule="auto"/>
              <w:jc w:val="center"/>
              <w:rPr>
                <w:rFonts w:ascii="Times New Roman" w:hAnsi="Times New Roman"/>
                <w:b/>
                <w:bCs/>
                <w:sz w:val="18"/>
                <w:szCs w:val="18"/>
              </w:rPr>
            </w:pPr>
            <w:r w:rsidRPr="00B0658A">
              <w:rPr>
                <w:rFonts w:ascii="Times New Roman" w:hAnsi="Times New Roman"/>
                <w:b/>
                <w:bCs/>
                <w:sz w:val="18"/>
                <w:szCs w:val="18"/>
              </w:rPr>
              <w:t>2024 г.</w:t>
            </w:r>
          </w:p>
          <w:p w14:paraId="19A08B32" w14:textId="77777777" w:rsidR="00A775DB" w:rsidRPr="00B0658A" w:rsidRDefault="00A775DB" w:rsidP="004F1366">
            <w:pPr>
              <w:spacing w:after="0" w:line="240" w:lineRule="auto"/>
              <w:jc w:val="center"/>
              <w:rPr>
                <w:rFonts w:ascii="Times New Roman" w:hAnsi="Times New Roman"/>
                <w:b/>
                <w:bCs/>
                <w:sz w:val="18"/>
                <w:szCs w:val="18"/>
              </w:rPr>
            </w:pPr>
            <w:r w:rsidRPr="00B0658A">
              <w:rPr>
                <w:rFonts w:ascii="Times New Roman" w:hAnsi="Times New Roman"/>
                <w:b/>
                <w:bCs/>
                <w:sz w:val="18"/>
                <w:szCs w:val="18"/>
              </w:rPr>
              <w:t>(план)</w:t>
            </w:r>
          </w:p>
        </w:tc>
        <w:tc>
          <w:tcPr>
            <w:tcW w:w="992" w:type="dxa"/>
            <w:shd w:val="clear" w:color="auto" w:fill="E7E6E6" w:themeFill="background2"/>
            <w:vAlign w:val="center"/>
          </w:tcPr>
          <w:p w14:paraId="3F08C864" w14:textId="77777777" w:rsidR="00A775DB" w:rsidRPr="00B0658A" w:rsidRDefault="00A775DB" w:rsidP="004F1366">
            <w:pPr>
              <w:spacing w:after="0" w:line="240" w:lineRule="auto"/>
              <w:jc w:val="center"/>
              <w:rPr>
                <w:rFonts w:ascii="Times New Roman" w:hAnsi="Times New Roman"/>
                <w:b/>
                <w:bCs/>
                <w:sz w:val="18"/>
                <w:szCs w:val="18"/>
              </w:rPr>
            </w:pPr>
            <w:r w:rsidRPr="00B0658A">
              <w:rPr>
                <w:rFonts w:ascii="Times New Roman" w:hAnsi="Times New Roman"/>
                <w:b/>
                <w:bCs/>
                <w:sz w:val="18"/>
                <w:szCs w:val="18"/>
              </w:rPr>
              <w:t>2024 г.</w:t>
            </w:r>
            <w:r w:rsidRPr="00B0658A">
              <w:rPr>
                <w:rFonts w:ascii="Times New Roman" w:hAnsi="Times New Roman"/>
                <w:b/>
                <w:bCs/>
                <w:sz w:val="18"/>
                <w:szCs w:val="18"/>
              </w:rPr>
              <w:br/>
            </w:r>
            <w:r w:rsidRPr="00B0658A">
              <w:rPr>
                <w:rFonts w:ascii="Times New Roman" w:hAnsi="Times New Roman"/>
                <w:bCs/>
                <w:sz w:val="18"/>
                <w:szCs w:val="18"/>
              </w:rPr>
              <w:t>(для значимых объектов КИИ)</w:t>
            </w:r>
          </w:p>
        </w:tc>
        <w:tc>
          <w:tcPr>
            <w:tcW w:w="803" w:type="dxa"/>
            <w:shd w:val="clear" w:color="000000" w:fill="E7E6E6"/>
            <w:vAlign w:val="center"/>
            <w:hideMark/>
          </w:tcPr>
          <w:p w14:paraId="4EFC8C41" w14:textId="77777777" w:rsidR="00A775DB" w:rsidRPr="00B0658A" w:rsidRDefault="00A775DB" w:rsidP="004F1366">
            <w:pPr>
              <w:spacing w:after="0" w:line="240" w:lineRule="auto"/>
              <w:jc w:val="center"/>
              <w:rPr>
                <w:rFonts w:ascii="Times New Roman" w:hAnsi="Times New Roman"/>
                <w:b/>
                <w:bCs/>
                <w:sz w:val="18"/>
                <w:szCs w:val="18"/>
              </w:rPr>
            </w:pPr>
            <w:r w:rsidRPr="00B0658A">
              <w:rPr>
                <w:rFonts w:ascii="Times New Roman" w:hAnsi="Times New Roman"/>
                <w:b/>
                <w:bCs/>
                <w:sz w:val="18"/>
                <w:szCs w:val="18"/>
              </w:rPr>
              <w:t>2025 г.</w:t>
            </w:r>
          </w:p>
          <w:p w14:paraId="499D70FB" w14:textId="77777777" w:rsidR="00A775DB" w:rsidRPr="00B0658A" w:rsidRDefault="00A775DB" w:rsidP="004F1366">
            <w:pPr>
              <w:spacing w:after="0" w:line="240" w:lineRule="auto"/>
              <w:jc w:val="center"/>
              <w:rPr>
                <w:rFonts w:ascii="Times New Roman" w:hAnsi="Times New Roman"/>
                <w:b/>
                <w:bCs/>
                <w:sz w:val="18"/>
                <w:szCs w:val="18"/>
              </w:rPr>
            </w:pPr>
            <w:r w:rsidRPr="00B0658A">
              <w:rPr>
                <w:rFonts w:ascii="Times New Roman" w:hAnsi="Times New Roman"/>
                <w:b/>
                <w:bCs/>
                <w:sz w:val="18"/>
                <w:szCs w:val="18"/>
              </w:rPr>
              <w:t>(план)</w:t>
            </w:r>
          </w:p>
        </w:tc>
        <w:tc>
          <w:tcPr>
            <w:tcW w:w="803" w:type="dxa"/>
            <w:shd w:val="clear" w:color="000000" w:fill="E7E6E6"/>
            <w:vAlign w:val="center"/>
            <w:hideMark/>
          </w:tcPr>
          <w:p w14:paraId="38041F15" w14:textId="77777777" w:rsidR="00A775DB" w:rsidRPr="00B0658A" w:rsidRDefault="00A775DB" w:rsidP="004F1366">
            <w:pPr>
              <w:spacing w:after="0" w:line="240" w:lineRule="auto"/>
              <w:jc w:val="center"/>
              <w:rPr>
                <w:rFonts w:ascii="Times New Roman" w:hAnsi="Times New Roman"/>
                <w:b/>
                <w:bCs/>
                <w:sz w:val="18"/>
                <w:szCs w:val="18"/>
              </w:rPr>
            </w:pPr>
            <w:r w:rsidRPr="00B0658A">
              <w:rPr>
                <w:rFonts w:ascii="Times New Roman" w:hAnsi="Times New Roman"/>
                <w:b/>
                <w:bCs/>
                <w:sz w:val="18"/>
                <w:szCs w:val="18"/>
              </w:rPr>
              <w:t>2026 г.</w:t>
            </w:r>
          </w:p>
          <w:p w14:paraId="11293090" w14:textId="77777777" w:rsidR="00A775DB" w:rsidRPr="00B0658A" w:rsidRDefault="00A775DB" w:rsidP="004F1366">
            <w:pPr>
              <w:spacing w:after="0" w:line="240" w:lineRule="auto"/>
              <w:jc w:val="center"/>
              <w:rPr>
                <w:rFonts w:ascii="Times New Roman" w:hAnsi="Times New Roman"/>
                <w:b/>
                <w:bCs/>
                <w:sz w:val="18"/>
                <w:szCs w:val="18"/>
              </w:rPr>
            </w:pPr>
            <w:r w:rsidRPr="00B0658A">
              <w:rPr>
                <w:rFonts w:ascii="Times New Roman" w:hAnsi="Times New Roman"/>
                <w:b/>
                <w:bCs/>
                <w:sz w:val="18"/>
                <w:szCs w:val="18"/>
              </w:rPr>
              <w:t>(план)</w:t>
            </w:r>
          </w:p>
        </w:tc>
        <w:tc>
          <w:tcPr>
            <w:tcW w:w="804" w:type="dxa"/>
            <w:shd w:val="clear" w:color="000000" w:fill="E7E6E6"/>
            <w:vAlign w:val="center"/>
            <w:hideMark/>
          </w:tcPr>
          <w:p w14:paraId="7438C62C" w14:textId="77777777" w:rsidR="00A775DB" w:rsidRPr="00B0658A" w:rsidRDefault="00A775DB" w:rsidP="004F1366">
            <w:pPr>
              <w:spacing w:after="0" w:line="240" w:lineRule="auto"/>
              <w:jc w:val="center"/>
              <w:rPr>
                <w:rFonts w:ascii="Times New Roman" w:hAnsi="Times New Roman"/>
                <w:b/>
                <w:bCs/>
                <w:sz w:val="18"/>
                <w:szCs w:val="18"/>
              </w:rPr>
            </w:pPr>
            <w:r w:rsidRPr="00B0658A">
              <w:rPr>
                <w:rFonts w:ascii="Times New Roman" w:hAnsi="Times New Roman"/>
                <w:b/>
                <w:bCs/>
                <w:sz w:val="18"/>
                <w:szCs w:val="18"/>
              </w:rPr>
              <w:t>2027 г.</w:t>
            </w:r>
          </w:p>
          <w:p w14:paraId="41177939" w14:textId="77777777" w:rsidR="00A775DB" w:rsidRPr="00B0658A" w:rsidRDefault="00A775DB" w:rsidP="004F1366">
            <w:pPr>
              <w:spacing w:after="0" w:line="240" w:lineRule="auto"/>
              <w:jc w:val="center"/>
              <w:rPr>
                <w:rFonts w:ascii="Times New Roman" w:hAnsi="Times New Roman"/>
                <w:b/>
                <w:bCs/>
                <w:sz w:val="18"/>
                <w:szCs w:val="18"/>
              </w:rPr>
            </w:pPr>
            <w:r w:rsidRPr="00B0658A">
              <w:rPr>
                <w:rFonts w:ascii="Times New Roman" w:hAnsi="Times New Roman"/>
                <w:b/>
                <w:bCs/>
                <w:sz w:val="18"/>
                <w:szCs w:val="18"/>
              </w:rPr>
              <w:t>(план)</w:t>
            </w:r>
          </w:p>
        </w:tc>
        <w:tc>
          <w:tcPr>
            <w:tcW w:w="1530" w:type="dxa"/>
            <w:shd w:val="clear" w:color="000000" w:fill="E7E6E6"/>
            <w:vAlign w:val="center"/>
          </w:tcPr>
          <w:p w14:paraId="3C9267A2" w14:textId="77777777" w:rsidR="00A775DB" w:rsidRPr="00B0658A" w:rsidRDefault="00A775DB" w:rsidP="004F1366">
            <w:pPr>
              <w:spacing w:after="0" w:line="240" w:lineRule="auto"/>
              <w:jc w:val="center"/>
              <w:rPr>
                <w:rFonts w:ascii="Times New Roman" w:hAnsi="Times New Roman"/>
                <w:b/>
                <w:bCs/>
                <w:sz w:val="18"/>
                <w:szCs w:val="18"/>
              </w:rPr>
            </w:pPr>
            <w:r w:rsidRPr="00B0658A">
              <w:rPr>
                <w:rFonts w:ascii="Times New Roman" w:hAnsi="Times New Roman"/>
                <w:b/>
                <w:bCs/>
                <w:sz w:val="18"/>
                <w:szCs w:val="18"/>
              </w:rPr>
              <w:t>Единицы измерения уровня использования</w:t>
            </w:r>
          </w:p>
        </w:tc>
      </w:tr>
      <w:tr w:rsidR="00F52FED" w:rsidRPr="00B0658A" w14:paraId="78EF84C9" w14:textId="77777777" w:rsidTr="004F1366">
        <w:trPr>
          <w:trHeight w:val="20"/>
        </w:trPr>
        <w:tc>
          <w:tcPr>
            <w:tcW w:w="578" w:type="dxa"/>
            <w:shd w:val="clear" w:color="000000" w:fill="FFFFFF"/>
            <w:vAlign w:val="center"/>
          </w:tcPr>
          <w:p w14:paraId="7802FB3D" w14:textId="77777777" w:rsidR="00A775DB" w:rsidRPr="00B0658A" w:rsidRDefault="00A775DB" w:rsidP="004F1366">
            <w:pPr>
              <w:spacing w:after="0" w:line="240" w:lineRule="auto"/>
              <w:jc w:val="center"/>
              <w:rPr>
                <w:rFonts w:ascii="Times New Roman" w:hAnsi="Times New Roman"/>
                <w:sz w:val="18"/>
                <w:szCs w:val="18"/>
              </w:rPr>
            </w:pPr>
            <w:r w:rsidRPr="00B0658A">
              <w:rPr>
                <w:rFonts w:ascii="Times New Roman" w:hAnsi="Times New Roman"/>
                <w:sz w:val="18"/>
                <w:szCs w:val="18"/>
              </w:rPr>
              <w:t>1.1</w:t>
            </w:r>
          </w:p>
        </w:tc>
        <w:tc>
          <w:tcPr>
            <w:tcW w:w="3812" w:type="dxa"/>
            <w:shd w:val="clear" w:color="auto" w:fill="auto"/>
            <w:vAlign w:val="center"/>
            <w:hideMark/>
          </w:tcPr>
          <w:p w14:paraId="256D4175" w14:textId="77777777" w:rsidR="00A775DB" w:rsidRPr="00B0658A" w:rsidRDefault="00A775DB" w:rsidP="004F1366">
            <w:pPr>
              <w:spacing w:after="0" w:line="240" w:lineRule="auto"/>
              <w:rPr>
                <w:rFonts w:ascii="Times New Roman" w:hAnsi="Times New Roman"/>
                <w:sz w:val="18"/>
                <w:szCs w:val="18"/>
              </w:rPr>
            </w:pPr>
            <w:r w:rsidRPr="00B0658A">
              <w:rPr>
                <w:rFonts w:ascii="Times New Roman" w:hAnsi="Times New Roman"/>
                <w:sz w:val="18"/>
                <w:szCs w:val="18"/>
              </w:rPr>
              <w:t>Встроенное программное обеспечение/ Встроенные системные программы: BIOS, UEFI и иные встроенные системные программы</w:t>
            </w:r>
          </w:p>
        </w:tc>
        <w:tc>
          <w:tcPr>
            <w:tcW w:w="1842" w:type="dxa"/>
            <w:shd w:val="clear" w:color="000000" w:fill="FFFFFF"/>
            <w:hideMark/>
          </w:tcPr>
          <w:p w14:paraId="6B74E75D" w14:textId="77777777" w:rsidR="00A775DB" w:rsidRPr="00B0658A" w:rsidRDefault="00A775DB" w:rsidP="004F1366">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79" w:type="dxa"/>
            <w:shd w:val="clear" w:color="000000" w:fill="FFFFFF"/>
            <w:vAlign w:val="center"/>
          </w:tcPr>
          <w:p w14:paraId="7EDCCE05"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000000" w:fill="FFFFFF"/>
            <w:vAlign w:val="center"/>
            <w:hideMark/>
          </w:tcPr>
          <w:p w14:paraId="77D8A41A"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000000" w:fill="FFFFFF"/>
            <w:vAlign w:val="center"/>
            <w:hideMark/>
          </w:tcPr>
          <w:p w14:paraId="4D1C7740"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000000" w:fill="FFFFFF"/>
            <w:vAlign w:val="center"/>
            <w:hideMark/>
          </w:tcPr>
          <w:p w14:paraId="5817AB30" w14:textId="77777777" w:rsidR="00A775DB" w:rsidRPr="00B0658A" w:rsidRDefault="00A775DB" w:rsidP="004F1366">
            <w:pPr>
              <w:spacing w:after="0" w:line="240" w:lineRule="auto"/>
              <w:jc w:val="center"/>
              <w:rPr>
                <w:rFonts w:ascii="Times New Roman" w:hAnsi="Times New Roman"/>
                <w:sz w:val="18"/>
                <w:szCs w:val="18"/>
              </w:rPr>
            </w:pPr>
          </w:p>
        </w:tc>
        <w:tc>
          <w:tcPr>
            <w:tcW w:w="992" w:type="dxa"/>
            <w:shd w:val="clear" w:color="000000" w:fill="FFFFFF"/>
            <w:vAlign w:val="center"/>
          </w:tcPr>
          <w:p w14:paraId="1F0F4195" w14:textId="77777777" w:rsidR="00A775DB" w:rsidRPr="00B0658A" w:rsidRDefault="00A775DB" w:rsidP="004F1366">
            <w:pPr>
              <w:spacing w:after="0" w:line="240" w:lineRule="auto"/>
              <w:jc w:val="center"/>
              <w:rPr>
                <w:rFonts w:ascii="Times New Roman" w:hAnsi="Times New Roman"/>
                <w:sz w:val="18"/>
                <w:szCs w:val="18"/>
              </w:rPr>
            </w:pPr>
          </w:p>
        </w:tc>
        <w:tc>
          <w:tcPr>
            <w:tcW w:w="803" w:type="dxa"/>
            <w:shd w:val="clear" w:color="000000" w:fill="FFFFFF"/>
            <w:vAlign w:val="center"/>
            <w:hideMark/>
          </w:tcPr>
          <w:p w14:paraId="2753AF3F" w14:textId="77777777" w:rsidR="00A775DB" w:rsidRPr="00B0658A" w:rsidRDefault="00A775DB" w:rsidP="004F1366">
            <w:pPr>
              <w:spacing w:after="0" w:line="240" w:lineRule="auto"/>
              <w:jc w:val="center"/>
              <w:rPr>
                <w:rFonts w:ascii="Times New Roman" w:hAnsi="Times New Roman"/>
                <w:sz w:val="18"/>
                <w:szCs w:val="18"/>
              </w:rPr>
            </w:pPr>
          </w:p>
        </w:tc>
        <w:tc>
          <w:tcPr>
            <w:tcW w:w="803" w:type="dxa"/>
            <w:shd w:val="clear" w:color="000000" w:fill="FFFFFF"/>
            <w:vAlign w:val="center"/>
            <w:hideMark/>
          </w:tcPr>
          <w:p w14:paraId="5076CD9E" w14:textId="77777777" w:rsidR="00A775DB" w:rsidRPr="00B0658A" w:rsidRDefault="00A775DB" w:rsidP="004F1366">
            <w:pPr>
              <w:spacing w:after="0" w:line="240" w:lineRule="auto"/>
              <w:jc w:val="center"/>
              <w:rPr>
                <w:rFonts w:ascii="Times New Roman" w:hAnsi="Times New Roman"/>
                <w:sz w:val="18"/>
                <w:szCs w:val="18"/>
              </w:rPr>
            </w:pPr>
          </w:p>
        </w:tc>
        <w:tc>
          <w:tcPr>
            <w:tcW w:w="804" w:type="dxa"/>
            <w:shd w:val="clear" w:color="000000" w:fill="FFFFFF"/>
            <w:vAlign w:val="center"/>
            <w:hideMark/>
          </w:tcPr>
          <w:p w14:paraId="78BAF60B" w14:textId="77777777" w:rsidR="00A775DB" w:rsidRPr="00B0658A" w:rsidRDefault="00A775DB" w:rsidP="004F1366">
            <w:pPr>
              <w:spacing w:after="0" w:line="240" w:lineRule="auto"/>
              <w:jc w:val="center"/>
              <w:rPr>
                <w:rFonts w:ascii="Times New Roman" w:hAnsi="Times New Roman"/>
                <w:sz w:val="18"/>
                <w:szCs w:val="18"/>
              </w:rPr>
            </w:pPr>
          </w:p>
        </w:tc>
        <w:tc>
          <w:tcPr>
            <w:tcW w:w="1530" w:type="dxa"/>
            <w:shd w:val="clear" w:color="000000" w:fill="FFFFFF"/>
            <w:vAlign w:val="center"/>
          </w:tcPr>
          <w:p w14:paraId="377E076C" w14:textId="77777777" w:rsidR="00A775DB" w:rsidRPr="00B0658A" w:rsidRDefault="00A775DB" w:rsidP="004F1366">
            <w:pPr>
              <w:spacing w:after="0" w:line="240" w:lineRule="auto"/>
              <w:jc w:val="center"/>
              <w:rPr>
                <w:rFonts w:ascii="Times New Roman" w:hAnsi="Times New Roman"/>
                <w:i/>
                <w:sz w:val="18"/>
                <w:szCs w:val="18"/>
              </w:rPr>
            </w:pPr>
            <w:r w:rsidRPr="00B0658A">
              <w:rPr>
                <w:rFonts w:ascii="Times New Roman" w:hAnsi="Times New Roman"/>
                <w:i/>
                <w:sz w:val="18"/>
                <w:szCs w:val="18"/>
              </w:rPr>
              <w:t>Указывается единица измерения уровня использования, применяемая при расчете относительной доли использования</w:t>
            </w:r>
          </w:p>
        </w:tc>
      </w:tr>
      <w:tr w:rsidR="00F52FED" w:rsidRPr="00B0658A" w14:paraId="3E759357" w14:textId="77777777" w:rsidTr="004F1366">
        <w:trPr>
          <w:trHeight w:val="20"/>
        </w:trPr>
        <w:tc>
          <w:tcPr>
            <w:tcW w:w="578" w:type="dxa"/>
            <w:shd w:val="clear" w:color="000000" w:fill="FFFFFF"/>
            <w:vAlign w:val="center"/>
          </w:tcPr>
          <w:p w14:paraId="17C608F6" w14:textId="77777777" w:rsidR="00A775DB" w:rsidRPr="00B0658A" w:rsidRDefault="00A775DB" w:rsidP="004F1366">
            <w:pPr>
              <w:spacing w:after="0" w:line="240" w:lineRule="auto"/>
              <w:jc w:val="center"/>
              <w:rPr>
                <w:rFonts w:ascii="Times New Roman" w:hAnsi="Times New Roman"/>
                <w:sz w:val="18"/>
                <w:szCs w:val="18"/>
              </w:rPr>
            </w:pPr>
            <w:r w:rsidRPr="00B0658A">
              <w:rPr>
                <w:rFonts w:ascii="Times New Roman" w:hAnsi="Times New Roman"/>
                <w:sz w:val="18"/>
                <w:szCs w:val="18"/>
              </w:rPr>
              <w:t>1.2</w:t>
            </w:r>
          </w:p>
        </w:tc>
        <w:tc>
          <w:tcPr>
            <w:tcW w:w="3812" w:type="dxa"/>
            <w:shd w:val="clear" w:color="auto" w:fill="auto"/>
            <w:vAlign w:val="center"/>
            <w:hideMark/>
          </w:tcPr>
          <w:p w14:paraId="23527540" w14:textId="77777777" w:rsidR="00A775DB" w:rsidRPr="00B0658A" w:rsidRDefault="00A775DB" w:rsidP="004F1366">
            <w:pPr>
              <w:spacing w:after="0" w:line="240" w:lineRule="auto"/>
              <w:rPr>
                <w:rFonts w:ascii="Times New Roman" w:hAnsi="Times New Roman"/>
                <w:sz w:val="18"/>
                <w:szCs w:val="18"/>
              </w:rPr>
            </w:pPr>
            <w:r w:rsidRPr="00B0658A">
              <w:rPr>
                <w:rFonts w:ascii="Times New Roman" w:hAnsi="Times New Roman"/>
                <w:sz w:val="18"/>
                <w:szCs w:val="18"/>
              </w:rPr>
              <w:t>Встроенное программное обеспечение/ Встроенные системные программы – операционные системы</w:t>
            </w:r>
          </w:p>
        </w:tc>
        <w:tc>
          <w:tcPr>
            <w:tcW w:w="1842" w:type="dxa"/>
            <w:shd w:val="clear" w:color="000000" w:fill="FFFFFF"/>
            <w:hideMark/>
          </w:tcPr>
          <w:p w14:paraId="2D68CE5A" w14:textId="77777777" w:rsidR="00A775DB" w:rsidRPr="00B0658A" w:rsidRDefault="00A775DB" w:rsidP="004F1366">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79" w:type="dxa"/>
            <w:shd w:val="clear" w:color="000000" w:fill="FFFFFF"/>
            <w:vAlign w:val="center"/>
          </w:tcPr>
          <w:p w14:paraId="28C10BB8"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000000" w:fill="FFFFFF"/>
            <w:vAlign w:val="center"/>
            <w:hideMark/>
          </w:tcPr>
          <w:p w14:paraId="10EB4E17"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000000" w:fill="FFFFFF"/>
            <w:vAlign w:val="center"/>
            <w:hideMark/>
          </w:tcPr>
          <w:p w14:paraId="2E1F7D55"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000000" w:fill="FFFFFF"/>
            <w:vAlign w:val="center"/>
            <w:hideMark/>
          </w:tcPr>
          <w:p w14:paraId="0917E978" w14:textId="77777777" w:rsidR="00A775DB" w:rsidRPr="00B0658A" w:rsidRDefault="00A775DB" w:rsidP="004F1366">
            <w:pPr>
              <w:spacing w:after="0" w:line="240" w:lineRule="auto"/>
              <w:jc w:val="center"/>
              <w:rPr>
                <w:rFonts w:ascii="Times New Roman" w:hAnsi="Times New Roman"/>
                <w:sz w:val="18"/>
                <w:szCs w:val="18"/>
              </w:rPr>
            </w:pPr>
          </w:p>
        </w:tc>
        <w:tc>
          <w:tcPr>
            <w:tcW w:w="992" w:type="dxa"/>
            <w:shd w:val="clear" w:color="000000" w:fill="FFFFFF"/>
            <w:vAlign w:val="center"/>
          </w:tcPr>
          <w:p w14:paraId="75644DEC" w14:textId="77777777" w:rsidR="00A775DB" w:rsidRPr="00B0658A" w:rsidRDefault="00A775DB" w:rsidP="004F1366">
            <w:pPr>
              <w:spacing w:after="0" w:line="240" w:lineRule="auto"/>
              <w:jc w:val="center"/>
              <w:rPr>
                <w:rFonts w:ascii="Times New Roman" w:hAnsi="Times New Roman"/>
                <w:sz w:val="18"/>
                <w:szCs w:val="18"/>
              </w:rPr>
            </w:pPr>
          </w:p>
        </w:tc>
        <w:tc>
          <w:tcPr>
            <w:tcW w:w="803" w:type="dxa"/>
            <w:shd w:val="clear" w:color="000000" w:fill="FFFFFF"/>
            <w:vAlign w:val="center"/>
            <w:hideMark/>
          </w:tcPr>
          <w:p w14:paraId="240E52D1" w14:textId="77777777" w:rsidR="00A775DB" w:rsidRPr="00B0658A" w:rsidRDefault="00A775DB" w:rsidP="004F1366">
            <w:pPr>
              <w:spacing w:after="0" w:line="240" w:lineRule="auto"/>
              <w:jc w:val="center"/>
              <w:rPr>
                <w:rFonts w:ascii="Times New Roman" w:hAnsi="Times New Roman"/>
                <w:sz w:val="18"/>
                <w:szCs w:val="18"/>
              </w:rPr>
            </w:pPr>
          </w:p>
        </w:tc>
        <w:tc>
          <w:tcPr>
            <w:tcW w:w="803" w:type="dxa"/>
            <w:shd w:val="clear" w:color="000000" w:fill="FFFFFF"/>
            <w:vAlign w:val="center"/>
            <w:hideMark/>
          </w:tcPr>
          <w:p w14:paraId="548BEDF9" w14:textId="77777777" w:rsidR="00A775DB" w:rsidRPr="00B0658A" w:rsidRDefault="00A775DB" w:rsidP="004F1366">
            <w:pPr>
              <w:spacing w:after="0" w:line="240" w:lineRule="auto"/>
              <w:jc w:val="center"/>
              <w:rPr>
                <w:rFonts w:ascii="Times New Roman" w:hAnsi="Times New Roman"/>
                <w:sz w:val="18"/>
                <w:szCs w:val="18"/>
              </w:rPr>
            </w:pPr>
          </w:p>
        </w:tc>
        <w:tc>
          <w:tcPr>
            <w:tcW w:w="804" w:type="dxa"/>
            <w:shd w:val="clear" w:color="000000" w:fill="FFFFFF"/>
            <w:vAlign w:val="center"/>
            <w:hideMark/>
          </w:tcPr>
          <w:p w14:paraId="17353F54" w14:textId="77777777" w:rsidR="00A775DB" w:rsidRPr="00B0658A" w:rsidRDefault="00A775DB" w:rsidP="004F1366">
            <w:pPr>
              <w:spacing w:after="0" w:line="240" w:lineRule="auto"/>
              <w:jc w:val="center"/>
              <w:rPr>
                <w:rFonts w:ascii="Times New Roman" w:hAnsi="Times New Roman"/>
                <w:sz w:val="18"/>
                <w:szCs w:val="18"/>
              </w:rPr>
            </w:pPr>
          </w:p>
        </w:tc>
        <w:tc>
          <w:tcPr>
            <w:tcW w:w="1530" w:type="dxa"/>
            <w:shd w:val="clear" w:color="000000" w:fill="FFFFFF"/>
            <w:vAlign w:val="center"/>
          </w:tcPr>
          <w:p w14:paraId="70CB3322" w14:textId="77777777" w:rsidR="00A775DB" w:rsidRPr="00B0658A" w:rsidRDefault="00A775DB" w:rsidP="004F1366">
            <w:pPr>
              <w:spacing w:after="0" w:line="240" w:lineRule="auto"/>
              <w:jc w:val="center"/>
              <w:rPr>
                <w:rFonts w:ascii="Times New Roman" w:hAnsi="Times New Roman"/>
                <w:sz w:val="18"/>
                <w:szCs w:val="18"/>
              </w:rPr>
            </w:pPr>
          </w:p>
        </w:tc>
      </w:tr>
      <w:tr w:rsidR="00F52FED" w:rsidRPr="00B0658A" w14:paraId="220DF636" w14:textId="77777777" w:rsidTr="004F1366">
        <w:trPr>
          <w:trHeight w:val="20"/>
        </w:trPr>
        <w:tc>
          <w:tcPr>
            <w:tcW w:w="578" w:type="dxa"/>
            <w:shd w:val="clear" w:color="000000" w:fill="FFFFFF"/>
            <w:vAlign w:val="center"/>
          </w:tcPr>
          <w:p w14:paraId="3FA25157" w14:textId="77777777" w:rsidR="00A775DB" w:rsidRPr="00B0658A" w:rsidRDefault="00A775DB" w:rsidP="004F1366">
            <w:pPr>
              <w:spacing w:after="0" w:line="240" w:lineRule="auto"/>
              <w:jc w:val="center"/>
              <w:rPr>
                <w:rFonts w:ascii="Times New Roman" w:hAnsi="Times New Roman"/>
                <w:sz w:val="18"/>
                <w:szCs w:val="18"/>
              </w:rPr>
            </w:pPr>
            <w:r w:rsidRPr="00B0658A">
              <w:rPr>
                <w:rFonts w:ascii="Times New Roman" w:hAnsi="Times New Roman"/>
                <w:sz w:val="18"/>
                <w:szCs w:val="18"/>
              </w:rPr>
              <w:t>1.3</w:t>
            </w:r>
          </w:p>
        </w:tc>
        <w:tc>
          <w:tcPr>
            <w:tcW w:w="3812" w:type="dxa"/>
            <w:shd w:val="clear" w:color="auto" w:fill="auto"/>
            <w:vAlign w:val="center"/>
            <w:hideMark/>
          </w:tcPr>
          <w:p w14:paraId="51173D30" w14:textId="77777777" w:rsidR="00A775DB" w:rsidRPr="00B0658A" w:rsidRDefault="00A775DB" w:rsidP="004F1366">
            <w:pPr>
              <w:spacing w:after="0" w:line="240" w:lineRule="auto"/>
              <w:rPr>
                <w:rFonts w:ascii="Times New Roman" w:hAnsi="Times New Roman"/>
                <w:sz w:val="18"/>
                <w:szCs w:val="18"/>
              </w:rPr>
            </w:pPr>
            <w:r w:rsidRPr="00B0658A">
              <w:rPr>
                <w:rFonts w:ascii="Times New Roman" w:hAnsi="Times New Roman"/>
                <w:sz w:val="18"/>
                <w:szCs w:val="18"/>
              </w:rPr>
              <w:t>Встроенное программное обеспечение/ Встроенные прикладные программы</w:t>
            </w:r>
          </w:p>
        </w:tc>
        <w:tc>
          <w:tcPr>
            <w:tcW w:w="1842" w:type="dxa"/>
            <w:shd w:val="clear" w:color="000000" w:fill="FFFFFF"/>
            <w:hideMark/>
          </w:tcPr>
          <w:p w14:paraId="03933854" w14:textId="77777777" w:rsidR="00A775DB" w:rsidRPr="00B0658A" w:rsidRDefault="00A775DB" w:rsidP="004F1366">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79" w:type="dxa"/>
            <w:shd w:val="clear" w:color="000000" w:fill="FFFFFF"/>
            <w:vAlign w:val="center"/>
          </w:tcPr>
          <w:p w14:paraId="41E4927B"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000000" w:fill="FFFFFF"/>
            <w:vAlign w:val="center"/>
            <w:hideMark/>
          </w:tcPr>
          <w:p w14:paraId="78D459B6"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000000" w:fill="FFFFFF"/>
            <w:vAlign w:val="center"/>
            <w:hideMark/>
          </w:tcPr>
          <w:p w14:paraId="0582A3F1"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000000" w:fill="FFFFFF"/>
            <w:vAlign w:val="center"/>
            <w:hideMark/>
          </w:tcPr>
          <w:p w14:paraId="7FD7FBBC" w14:textId="77777777" w:rsidR="00A775DB" w:rsidRPr="00B0658A" w:rsidRDefault="00A775DB" w:rsidP="004F1366">
            <w:pPr>
              <w:spacing w:after="0" w:line="240" w:lineRule="auto"/>
              <w:jc w:val="center"/>
              <w:rPr>
                <w:rFonts w:ascii="Times New Roman" w:hAnsi="Times New Roman"/>
                <w:sz w:val="18"/>
                <w:szCs w:val="18"/>
              </w:rPr>
            </w:pPr>
          </w:p>
        </w:tc>
        <w:tc>
          <w:tcPr>
            <w:tcW w:w="992" w:type="dxa"/>
            <w:shd w:val="clear" w:color="000000" w:fill="FFFFFF"/>
            <w:vAlign w:val="center"/>
          </w:tcPr>
          <w:p w14:paraId="1BE15B6D" w14:textId="77777777" w:rsidR="00A775DB" w:rsidRPr="00B0658A" w:rsidRDefault="00A775DB" w:rsidP="004F1366">
            <w:pPr>
              <w:spacing w:after="0" w:line="240" w:lineRule="auto"/>
              <w:jc w:val="center"/>
              <w:rPr>
                <w:rFonts w:ascii="Times New Roman" w:hAnsi="Times New Roman"/>
                <w:sz w:val="18"/>
                <w:szCs w:val="18"/>
              </w:rPr>
            </w:pPr>
          </w:p>
        </w:tc>
        <w:tc>
          <w:tcPr>
            <w:tcW w:w="803" w:type="dxa"/>
            <w:shd w:val="clear" w:color="000000" w:fill="FFFFFF"/>
            <w:vAlign w:val="center"/>
            <w:hideMark/>
          </w:tcPr>
          <w:p w14:paraId="2F7D2F74" w14:textId="77777777" w:rsidR="00A775DB" w:rsidRPr="00B0658A" w:rsidRDefault="00A775DB" w:rsidP="004F1366">
            <w:pPr>
              <w:spacing w:after="0" w:line="240" w:lineRule="auto"/>
              <w:jc w:val="center"/>
              <w:rPr>
                <w:rFonts w:ascii="Times New Roman" w:hAnsi="Times New Roman"/>
                <w:sz w:val="18"/>
                <w:szCs w:val="18"/>
              </w:rPr>
            </w:pPr>
          </w:p>
        </w:tc>
        <w:tc>
          <w:tcPr>
            <w:tcW w:w="803" w:type="dxa"/>
            <w:shd w:val="clear" w:color="000000" w:fill="FFFFFF"/>
            <w:vAlign w:val="center"/>
            <w:hideMark/>
          </w:tcPr>
          <w:p w14:paraId="70923A39" w14:textId="77777777" w:rsidR="00A775DB" w:rsidRPr="00B0658A" w:rsidRDefault="00A775DB" w:rsidP="004F1366">
            <w:pPr>
              <w:spacing w:after="0" w:line="240" w:lineRule="auto"/>
              <w:jc w:val="center"/>
              <w:rPr>
                <w:rFonts w:ascii="Times New Roman" w:hAnsi="Times New Roman"/>
                <w:sz w:val="18"/>
                <w:szCs w:val="18"/>
              </w:rPr>
            </w:pPr>
          </w:p>
        </w:tc>
        <w:tc>
          <w:tcPr>
            <w:tcW w:w="804" w:type="dxa"/>
            <w:shd w:val="clear" w:color="000000" w:fill="FFFFFF"/>
            <w:vAlign w:val="center"/>
            <w:hideMark/>
          </w:tcPr>
          <w:p w14:paraId="34D088AE" w14:textId="77777777" w:rsidR="00A775DB" w:rsidRPr="00B0658A" w:rsidRDefault="00A775DB" w:rsidP="004F1366">
            <w:pPr>
              <w:spacing w:after="0" w:line="240" w:lineRule="auto"/>
              <w:jc w:val="center"/>
              <w:rPr>
                <w:rFonts w:ascii="Times New Roman" w:hAnsi="Times New Roman"/>
                <w:sz w:val="18"/>
                <w:szCs w:val="18"/>
              </w:rPr>
            </w:pPr>
          </w:p>
        </w:tc>
        <w:tc>
          <w:tcPr>
            <w:tcW w:w="1530" w:type="dxa"/>
            <w:shd w:val="clear" w:color="000000" w:fill="FFFFFF"/>
            <w:vAlign w:val="center"/>
          </w:tcPr>
          <w:p w14:paraId="3F184B4F" w14:textId="77777777" w:rsidR="00A775DB" w:rsidRPr="00B0658A" w:rsidRDefault="00A775DB" w:rsidP="004F1366">
            <w:pPr>
              <w:spacing w:after="0" w:line="240" w:lineRule="auto"/>
              <w:jc w:val="center"/>
              <w:rPr>
                <w:rFonts w:ascii="Times New Roman" w:hAnsi="Times New Roman"/>
                <w:sz w:val="18"/>
                <w:szCs w:val="18"/>
              </w:rPr>
            </w:pPr>
          </w:p>
        </w:tc>
      </w:tr>
      <w:tr w:rsidR="00F52FED" w:rsidRPr="00B0658A" w14:paraId="545C9FEF" w14:textId="77777777" w:rsidTr="004F1366">
        <w:trPr>
          <w:trHeight w:val="20"/>
        </w:trPr>
        <w:tc>
          <w:tcPr>
            <w:tcW w:w="578" w:type="dxa"/>
            <w:shd w:val="clear" w:color="000000" w:fill="FFFFFF"/>
            <w:vAlign w:val="center"/>
          </w:tcPr>
          <w:p w14:paraId="0CAB274C" w14:textId="77777777" w:rsidR="00A775DB" w:rsidRPr="00B0658A" w:rsidRDefault="00A775DB" w:rsidP="004F1366">
            <w:pPr>
              <w:spacing w:after="0" w:line="240" w:lineRule="auto"/>
              <w:jc w:val="center"/>
              <w:rPr>
                <w:rFonts w:ascii="Times New Roman" w:hAnsi="Times New Roman"/>
                <w:sz w:val="18"/>
                <w:szCs w:val="18"/>
              </w:rPr>
            </w:pPr>
            <w:r w:rsidRPr="00B0658A">
              <w:rPr>
                <w:rFonts w:ascii="Times New Roman" w:hAnsi="Times New Roman"/>
                <w:sz w:val="18"/>
                <w:szCs w:val="18"/>
              </w:rPr>
              <w:t>1.4</w:t>
            </w:r>
          </w:p>
        </w:tc>
        <w:tc>
          <w:tcPr>
            <w:tcW w:w="3812" w:type="dxa"/>
            <w:shd w:val="clear" w:color="auto" w:fill="auto"/>
            <w:vAlign w:val="center"/>
            <w:hideMark/>
          </w:tcPr>
          <w:p w14:paraId="1D0F527F" w14:textId="77777777" w:rsidR="00A775DB" w:rsidRPr="00B0658A" w:rsidRDefault="00A775DB" w:rsidP="004F1366">
            <w:pPr>
              <w:spacing w:after="0" w:line="240" w:lineRule="auto"/>
              <w:rPr>
                <w:rFonts w:ascii="Times New Roman" w:hAnsi="Times New Roman"/>
                <w:sz w:val="18"/>
                <w:szCs w:val="18"/>
              </w:rPr>
            </w:pPr>
            <w:r w:rsidRPr="00B0658A">
              <w:rPr>
                <w:rFonts w:ascii="Times New Roman" w:hAnsi="Times New Roman"/>
                <w:sz w:val="18"/>
                <w:szCs w:val="18"/>
              </w:rPr>
              <w:t>Встроенное программное обеспечение/ Программное обеспечение интернета вещей, робототехники и сенсорики</w:t>
            </w:r>
          </w:p>
        </w:tc>
        <w:tc>
          <w:tcPr>
            <w:tcW w:w="1842" w:type="dxa"/>
            <w:shd w:val="clear" w:color="000000" w:fill="FFFFFF"/>
            <w:hideMark/>
          </w:tcPr>
          <w:p w14:paraId="6FDC9B57" w14:textId="77777777" w:rsidR="00A775DB" w:rsidRPr="00B0658A" w:rsidRDefault="00A775DB" w:rsidP="004F1366">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79" w:type="dxa"/>
            <w:shd w:val="clear" w:color="000000" w:fill="FFFFFF"/>
            <w:vAlign w:val="center"/>
          </w:tcPr>
          <w:p w14:paraId="7D404433"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000000" w:fill="FFFFFF"/>
            <w:vAlign w:val="center"/>
            <w:hideMark/>
          </w:tcPr>
          <w:p w14:paraId="25855270"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000000" w:fill="FFFFFF"/>
            <w:vAlign w:val="center"/>
            <w:hideMark/>
          </w:tcPr>
          <w:p w14:paraId="06B85A8C"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000000" w:fill="FFFFFF"/>
            <w:vAlign w:val="center"/>
            <w:hideMark/>
          </w:tcPr>
          <w:p w14:paraId="697667C0" w14:textId="77777777" w:rsidR="00A775DB" w:rsidRPr="00B0658A" w:rsidRDefault="00A775DB" w:rsidP="004F1366">
            <w:pPr>
              <w:spacing w:after="0" w:line="240" w:lineRule="auto"/>
              <w:jc w:val="center"/>
              <w:rPr>
                <w:rFonts w:ascii="Times New Roman" w:hAnsi="Times New Roman"/>
                <w:sz w:val="18"/>
                <w:szCs w:val="18"/>
              </w:rPr>
            </w:pPr>
          </w:p>
        </w:tc>
        <w:tc>
          <w:tcPr>
            <w:tcW w:w="992" w:type="dxa"/>
            <w:shd w:val="clear" w:color="000000" w:fill="FFFFFF"/>
            <w:vAlign w:val="center"/>
          </w:tcPr>
          <w:p w14:paraId="7E77281B" w14:textId="77777777" w:rsidR="00A775DB" w:rsidRPr="00B0658A" w:rsidRDefault="00A775DB" w:rsidP="004F1366">
            <w:pPr>
              <w:spacing w:after="0" w:line="240" w:lineRule="auto"/>
              <w:jc w:val="center"/>
              <w:rPr>
                <w:rFonts w:ascii="Times New Roman" w:hAnsi="Times New Roman"/>
                <w:sz w:val="18"/>
                <w:szCs w:val="18"/>
              </w:rPr>
            </w:pPr>
          </w:p>
        </w:tc>
        <w:tc>
          <w:tcPr>
            <w:tcW w:w="803" w:type="dxa"/>
            <w:shd w:val="clear" w:color="000000" w:fill="FFFFFF"/>
            <w:vAlign w:val="center"/>
            <w:hideMark/>
          </w:tcPr>
          <w:p w14:paraId="3C4AA193" w14:textId="77777777" w:rsidR="00A775DB" w:rsidRPr="00B0658A" w:rsidRDefault="00A775DB" w:rsidP="004F1366">
            <w:pPr>
              <w:spacing w:after="0" w:line="240" w:lineRule="auto"/>
              <w:jc w:val="center"/>
              <w:rPr>
                <w:rFonts w:ascii="Times New Roman" w:hAnsi="Times New Roman"/>
                <w:sz w:val="18"/>
                <w:szCs w:val="18"/>
              </w:rPr>
            </w:pPr>
          </w:p>
        </w:tc>
        <w:tc>
          <w:tcPr>
            <w:tcW w:w="803" w:type="dxa"/>
            <w:shd w:val="clear" w:color="000000" w:fill="FFFFFF"/>
            <w:vAlign w:val="center"/>
            <w:hideMark/>
          </w:tcPr>
          <w:p w14:paraId="1625515B" w14:textId="77777777" w:rsidR="00A775DB" w:rsidRPr="00B0658A" w:rsidRDefault="00A775DB" w:rsidP="004F1366">
            <w:pPr>
              <w:spacing w:after="0" w:line="240" w:lineRule="auto"/>
              <w:jc w:val="center"/>
              <w:rPr>
                <w:rFonts w:ascii="Times New Roman" w:hAnsi="Times New Roman"/>
                <w:sz w:val="18"/>
                <w:szCs w:val="18"/>
              </w:rPr>
            </w:pPr>
          </w:p>
        </w:tc>
        <w:tc>
          <w:tcPr>
            <w:tcW w:w="804" w:type="dxa"/>
            <w:shd w:val="clear" w:color="000000" w:fill="FFFFFF"/>
            <w:vAlign w:val="center"/>
            <w:hideMark/>
          </w:tcPr>
          <w:p w14:paraId="30AED871" w14:textId="77777777" w:rsidR="00A775DB" w:rsidRPr="00B0658A" w:rsidRDefault="00A775DB" w:rsidP="004F1366">
            <w:pPr>
              <w:spacing w:after="0" w:line="240" w:lineRule="auto"/>
              <w:jc w:val="center"/>
              <w:rPr>
                <w:rFonts w:ascii="Times New Roman" w:hAnsi="Times New Roman"/>
                <w:sz w:val="18"/>
                <w:szCs w:val="18"/>
              </w:rPr>
            </w:pPr>
          </w:p>
        </w:tc>
        <w:tc>
          <w:tcPr>
            <w:tcW w:w="1530" w:type="dxa"/>
            <w:shd w:val="clear" w:color="000000" w:fill="FFFFFF"/>
            <w:vAlign w:val="center"/>
          </w:tcPr>
          <w:p w14:paraId="3EB22C5C" w14:textId="77777777" w:rsidR="00A775DB" w:rsidRPr="00B0658A" w:rsidRDefault="00A775DB" w:rsidP="004F1366">
            <w:pPr>
              <w:spacing w:after="0" w:line="240" w:lineRule="auto"/>
              <w:jc w:val="center"/>
              <w:rPr>
                <w:rFonts w:ascii="Times New Roman" w:hAnsi="Times New Roman"/>
                <w:sz w:val="18"/>
                <w:szCs w:val="18"/>
              </w:rPr>
            </w:pPr>
          </w:p>
        </w:tc>
      </w:tr>
      <w:tr w:rsidR="00F52FED" w:rsidRPr="00B0658A" w14:paraId="05B15FDF" w14:textId="77777777" w:rsidTr="004F1366">
        <w:trPr>
          <w:trHeight w:val="20"/>
        </w:trPr>
        <w:tc>
          <w:tcPr>
            <w:tcW w:w="578" w:type="dxa"/>
            <w:shd w:val="clear" w:color="auto" w:fill="auto"/>
            <w:vAlign w:val="center"/>
          </w:tcPr>
          <w:p w14:paraId="00707DDA" w14:textId="77777777" w:rsidR="00A775DB" w:rsidRPr="00B0658A" w:rsidRDefault="00A775DB" w:rsidP="004F1366">
            <w:pPr>
              <w:spacing w:after="0" w:line="240" w:lineRule="auto"/>
              <w:jc w:val="center"/>
              <w:rPr>
                <w:rFonts w:ascii="Times New Roman" w:hAnsi="Times New Roman"/>
                <w:sz w:val="18"/>
                <w:szCs w:val="18"/>
              </w:rPr>
            </w:pPr>
            <w:r w:rsidRPr="00B0658A">
              <w:rPr>
                <w:rFonts w:ascii="Times New Roman" w:hAnsi="Times New Roman"/>
                <w:sz w:val="18"/>
                <w:szCs w:val="18"/>
              </w:rPr>
              <w:t>2.1</w:t>
            </w:r>
          </w:p>
        </w:tc>
        <w:tc>
          <w:tcPr>
            <w:tcW w:w="3812" w:type="dxa"/>
            <w:shd w:val="clear" w:color="auto" w:fill="auto"/>
            <w:vAlign w:val="center"/>
            <w:hideMark/>
          </w:tcPr>
          <w:p w14:paraId="7698C87E" w14:textId="77777777" w:rsidR="00A775DB" w:rsidRPr="00B0658A" w:rsidRDefault="00A775DB" w:rsidP="004F1366">
            <w:pPr>
              <w:spacing w:after="0" w:line="240" w:lineRule="auto"/>
              <w:rPr>
                <w:rFonts w:ascii="Times New Roman" w:hAnsi="Times New Roman"/>
                <w:sz w:val="18"/>
                <w:szCs w:val="18"/>
              </w:rPr>
            </w:pPr>
            <w:r w:rsidRPr="00B0658A">
              <w:rPr>
                <w:rFonts w:ascii="Times New Roman" w:hAnsi="Times New Roman"/>
                <w:sz w:val="18"/>
                <w:szCs w:val="18"/>
              </w:rPr>
              <w:t>Системное программное обеспечение/ Драйверы</w:t>
            </w:r>
          </w:p>
        </w:tc>
        <w:tc>
          <w:tcPr>
            <w:tcW w:w="1842" w:type="dxa"/>
            <w:shd w:val="clear" w:color="000000" w:fill="FFFFFF"/>
            <w:hideMark/>
          </w:tcPr>
          <w:p w14:paraId="5E5081BC" w14:textId="77777777" w:rsidR="00A775DB" w:rsidRPr="00B0658A" w:rsidRDefault="00A775DB" w:rsidP="004F1366">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79" w:type="dxa"/>
            <w:shd w:val="clear" w:color="000000" w:fill="FFFFFF"/>
            <w:vAlign w:val="center"/>
          </w:tcPr>
          <w:p w14:paraId="518DE755"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000000" w:fill="FFFFFF"/>
            <w:vAlign w:val="center"/>
            <w:hideMark/>
          </w:tcPr>
          <w:p w14:paraId="4BF08025"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000000" w:fill="FFFFFF"/>
            <w:vAlign w:val="center"/>
            <w:hideMark/>
          </w:tcPr>
          <w:p w14:paraId="6470E43B"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000000" w:fill="FFFFFF"/>
            <w:vAlign w:val="center"/>
            <w:hideMark/>
          </w:tcPr>
          <w:p w14:paraId="59F08EA3" w14:textId="77777777" w:rsidR="00A775DB" w:rsidRPr="00B0658A" w:rsidRDefault="00A775DB" w:rsidP="004F1366">
            <w:pPr>
              <w:spacing w:after="0" w:line="240" w:lineRule="auto"/>
              <w:jc w:val="center"/>
              <w:rPr>
                <w:rFonts w:ascii="Times New Roman" w:hAnsi="Times New Roman"/>
                <w:sz w:val="18"/>
                <w:szCs w:val="18"/>
              </w:rPr>
            </w:pPr>
          </w:p>
        </w:tc>
        <w:tc>
          <w:tcPr>
            <w:tcW w:w="992" w:type="dxa"/>
            <w:shd w:val="clear" w:color="000000" w:fill="FFFFFF"/>
            <w:vAlign w:val="center"/>
          </w:tcPr>
          <w:p w14:paraId="7C9CEFEF" w14:textId="77777777" w:rsidR="00A775DB" w:rsidRPr="00B0658A" w:rsidRDefault="00A775DB" w:rsidP="004F1366">
            <w:pPr>
              <w:spacing w:after="0" w:line="240" w:lineRule="auto"/>
              <w:jc w:val="center"/>
              <w:rPr>
                <w:rFonts w:ascii="Times New Roman" w:hAnsi="Times New Roman"/>
                <w:sz w:val="18"/>
                <w:szCs w:val="18"/>
              </w:rPr>
            </w:pPr>
          </w:p>
        </w:tc>
        <w:tc>
          <w:tcPr>
            <w:tcW w:w="803" w:type="dxa"/>
            <w:shd w:val="clear" w:color="000000" w:fill="FFFFFF"/>
            <w:vAlign w:val="center"/>
            <w:hideMark/>
          </w:tcPr>
          <w:p w14:paraId="2BAD932B" w14:textId="77777777" w:rsidR="00A775DB" w:rsidRPr="00B0658A" w:rsidRDefault="00A775DB" w:rsidP="004F1366">
            <w:pPr>
              <w:spacing w:after="0" w:line="240" w:lineRule="auto"/>
              <w:jc w:val="center"/>
              <w:rPr>
                <w:rFonts w:ascii="Times New Roman" w:hAnsi="Times New Roman"/>
                <w:sz w:val="18"/>
                <w:szCs w:val="18"/>
              </w:rPr>
            </w:pPr>
          </w:p>
        </w:tc>
        <w:tc>
          <w:tcPr>
            <w:tcW w:w="803" w:type="dxa"/>
            <w:shd w:val="clear" w:color="000000" w:fill="FFFFFF"/>
            <w:vAlign w:val="center"/>
            <w:hideMark/>
          </w:tcPr>
          <w:p w14:paraId="3CF3AF77" w14:textId="77777777" w:rsidR="00A775DB" w:rsidRPr="00B0658A" w:rsidRDefault="00A775DB" w:rsidP="004F1366">
            <w:pPr>
              <w:spacing w:after="0" w:line="240" w:lineRule="auto"/>
              <w:jc w:val="center"/>
              <w:rPr>
                <w:rFonts w:ascii="Times New Roman" w:hAnsi="Times New Roman"/>
                <w:sz w:val="18"/>
                <w:szCs w:val="18"/>
              </w:rPr>
            </w:pPr>
          </w:p>
        </w:tc>
        <w:tc>
          <w:tcPr>
            <w:tcW w:w="804" w:type="dxa"/>
            <w:shd w:val="clear" w:color="000000" w:fill="FFFFFF"/>
            <w:vAlign w:val="center"/>
            <w:hideMark/>
          </w:tcPr>
          <w:p w14:paraId="6B9F2FB6" w14:textId="77777777" w:rsidR="00A775DB" w:rsidRPr="00B0658A" w:rsidRDefault="00A775DB" w:rsidP="004F1366">
            <w:pPr>
              <w:spacing w:after="0" w:line="240" w:lineRule="auto"/>
              <w:jc w:val="center"/>
              <w:rPr>
                <w:rFonts w:ascii="Times New Roman" w:hAnsi="Times New Roman"/>
                <w:sz w:val="18"/>
                <w:szCs w:val="18"/>
              </w:rPr>
            </w:pPr>
          </w:p>
        </w:tc>
        <w:tc>
          <w:tcPr>
            <w:tcW w:w="1530" w:type="dxa"/>
            <w:shd w:val="clear" w:color="000000" w:fill="FFFFFF"/>
            <w:vAlign w:val="center"/>
          </w:tcPr>
          <w:p w14:paraId="54F63DE5" w14:textId="77777777" w:rsidR="00A775DB" w:rsidRPr="00B0658A" w:rsidRDefault="00A775DB" w:rsidP="004F1366">
            <w:pPr>
              <w:spacing w:after="0" w:line="240" w:lineRule="auto"/>
              <w:jc w:val="center"/>
              <w:rPr>
                <w:rFonts w:ascii="Times New Roman" w:hAnsi="Times New Roman"/>
                <w:sz w:val="18"/>
                <w:szCs w:val="18"/>
              </w:rPr>
            </w:pPr>
          </w:p>
        </w:tc>
      </w:tr>
      <w:tr w:rsidR="00F52FED" w:rsidRPr="00B0658A" w14:paraId="3067A8A0" w14:textId="77777777" w:rsidTr="004F1366">
        <w:trPr>
          <w:trHeight w:val="20"/>
        </w:trPr>
        <w:tc>
          <w:tcPr>
            <w:tcW w:w="578" w:type="dxa"/>
            <w:shd w:val="clear" w:color="auto" w:fill="auto"/>
            <w:vAlign w:val="center"/>
          </w:tcPr>
          <w:p w14:paraId="00B7B426" w14:textId="77777777" w:rsidR="00A775DB" w:rsidRPr="00B0658A" w:rsidRDefault="00A775DB" w:rsidP="004F1366">
            <w:pPr>
              <w:spacing w:after="0" w:line="240" w:lineRule="auto"/>
              <w:jc w:val="center"/>
              <w:rPr>
                <w:rFonts w:ascii="Times New Roman" w:hAnsi="Times New Roman"/>
                <w:sz w:val="18"/>
                <w:szCs w:val="18"/>
              </w:rPr>
            </w:pPr>
            <w:r w:rsidRPr="00B0658A">
              <w:rPr>
                <w:rFonts w:ascii="Times New Roman" w:hAnsi="Times New Roman"/>
                <w:sz w:val="18"/>
                <w:szCs w:val="18"/>
              </w:rPr>
              <w:t>2.2</w:t>
            </w:r>
          </w:p>
        </w:tc>
        <w:tc>
          <w:tcPr>
            <w:tcW w:w="3812" w:type="dxa"/>
            <w:shd w:val="clear" w:color="auto" w:fill="auto"/>
            <w:vAlign w:val="center"/>
            <w:hideMark/>
          </w:tcPr>
          <w:p w14:paraId="2286C9E2" w14:textId="77777777" w:rsidR="00A775DB" w:rsidRPr="00B0658A" w:rsidRDefault="00A775DB" w:rsidP="004F1366">
            <w:pPr>
              <w:spacing w:after="0" w:line="240" w:lineRule="auto"/>
              <w:rPr>
                <w:rFonts w:ascii="Times New Roman" w:hAnsi="Times New Roman"/>
                <w:sz w:val="18"/>
                <w:szCs w:val="18"/>
              </w:rPr>
            </w:pPr>
            <w:r w:rsidRPr="00B0658A">
              <w:rPr>
                <w:rFonts w:ascii="Times New Roman" w:hAnsi="Times New Roman"/>
                <w:sz w:val="18"/>
                <w:szCs w:val="18"/>
              </w:rPr>
              <w:t>Системное программное обеспечение/ Программы обслуживания</w:t>
            </w:r>
          </w:p>
        </w:tc>
        <w:tc>
          <w:tcPr>
            <w:tcW w:w="1842" w:type="dxa"/>
            <w:shd w:val="clear" w:color="000000" w:fill="FFFFFF"/>
            <w:hideMark/>
          </w:tcPr>
          <w:p w14:paraId="27FB9FCC" w14:textId="77777777" w:rsidR="00A775DB" w:rsidRPr="00B0658A" w:rsidRDefault="00A775DB" w:rsidP="004F1366">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79" w:type="dxa"/>
            <w:shd w:val="clear" w:color="000000" w:fill="FFFFFF"/>
            <w:vAlign w:val="center"/>
          </w:tcPr>
          <w:p w14:paraId="7B2E1907"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000000" w:fill="FFFFFF"/>
            <w:vAlign w:val="center"/>
            <w:hideMark/>
          </w:tcPr>
          <w:p w14:paraId="328327C7"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000000" w:fill="FFFFFF"/>
            <w:vAlign w:val="center"/>
            <w:hideMark/>
          </w:tcPr>
          <w:p w14:paraId="6C99D3AF"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000000" w:fill="FFFFFF"/>
            <w:vAlign w:val="center"/>
            <w:hideMark/>
          </w:tcPr>
          <w:p w14:paraId="645ACAF8" w14:textId="77777777" w:rsidR="00A775DB" w:rsidRPr="00B0658A" w:rsidRDefault="00A775DB" w:rsidP="004F1366">
            <w:pPr>
              <w:spacing w:after="0" w:line="240" w:lineRule="auto"/>
              <w:jc w:val="center"/>
              <w:rPr>
                <w:rFonts w:ascii="Times New Roman" w:hAnsi="Times New Roman"/>
                <w:sz w:val="18"/>
                <w:szCs w:val="18"/>
              </w:rPr>
            </w:pPr>
          </w:p>
        </w:tc>
        <w:tc>
          <w:tcPr>
            <w:tcW w:w="992" w:type="dxa"/>
            <w:shd w:val="clear" w:color="000000" w:fill="FFFFFF"/>
            <w:vAlign w:val="center"/>
          </w:tcPr>
          <w:p w14:paraId="0A29899A" w14:textId="77777777" w:rsidR="00A775DB" w:rsidRPr="00B0658A" w:rsidRDefault="00A775DB" w:rsidP="004F1366">
            <w:pPr>
              <w:spacing w:after="0" w:line="240" w:lineRule="auto"/>
              <w:jc w:val="center"/>
              <w:rPr>
                <w:rFonts w:ascii="Times New Roman" w:hAnsi="Times New Roman"/>
                <w:sz w:val="18"/>
                <w:szCs w:val="18"/>
              </w:rPr>
            </w:pPr>
          </w:p>
        </w:tc>
        <w:tc>
          <w:tcPr>
            <w:tcW w:w="803" w:type="dxa"/>
            <w:shd w:val="clear" w:color="000000" w:fill="FFFFFF"/>
            <w:vAlign w:val="center"/>
            <w:hideMark/>
          </w:tcPr>
          <w:p w14:paraId="769095EF" w14:textId="77777777" w:rsidR="00A775DB" w:rsidRPr="00B0658A" w:rsidRDefault="00A775DB" w:rsidP="004F1366">
            <w:pPr>
              <w:spacing w:after="0" w:line="240" w:lineRule="auto"/>
              <w:jc w:val="center"/>
              <w:rPr>
                <w:rFonts w:ascii="Times New Roman" w:hAnsi="Times New Roman"/>
                <w:sz w:val="18"/>
                <w:szCs w:val="18"/>
              </w:rPr>
            </w:pPr>
          </w:p>
        </w:tc>
        <w:tc>
          <w:tcPr>
            <w:tcW w:w="803" w:type="dxa"/>
            <w:shd w:val="clear" w:color="000000" w:fill="FFFFFF"/>
            <w:vAlign w:val="center"/>
            <w:hideMark/>
          </w:tcPr>
          <w:p w14:paraId="23D4EC7C" w14:textId="77777777" w:rsidR="00A775DB" w:rsidRPr="00B0658A" w:rsidRDefault="00A775DB" w:rsidP="004F1366">
            <w:pPr>
              <w:spacing w:after="0" w:line="240" w:lineRule="auto"/>
              <w:jc w:val="center"/>
              <w:rPr>
                <w:rFonts w:ascii="Times New Roman" w:hAnsi="Times New Roman"/>
                <w:sz w:val="18"/>
                <w:szCs w:val="18"/>
              </w:rPr>
            </w:pPr>
          </w:p>
        </w:tc>
        <w:tc>
          <w:tcPr>
            <w:tcW w:w="804" w:type="dxa"/>
            <w:shd w:val="clear" w:color="000000" w:fill="FFFFFF"/>
            <w:vAlign w:val="center"/>
            <w:hideMark/>
          </w:tcPr>
          <w:p w14:paraId="3A8111DC" w14:textId="77777777" w:rsidR="00A775DB" w:rsidRPr="00B0658A" w:rsidRDefault="00A775DB" w:rsidP="004F1366">
            <w:pPr>
              <w:spacing w:after="0" w:line="240" w:lineRule="auto"/>
              <w:jc w:val="center"/>
              <w:rPr>
                <w:rFonts w:ascii="Times New Roman" w:hAnsi="Times New Roman"/>
                <w:sz w:val="18"/>
                <w:szCs w:val="18"/>
              </w:rPr>
            </w:pPr>
          </w:p>
        </w:tc>
        <w:tc>
          <w:tcPr>
            <w:tcW w:w="1530" w:type="dxa"/>
            <w:shd w:val="clear" w:color="000000" w:fill="FFFFFF"/>
            <w:vAlign w:val="center"/>
          </w:tcPr>
          <w:p w14:paraId="04970356" w14:textId="77777777" w:rsidR="00A775DB" w:rsidRPr="00B0658A" w:rsidRDefault="00A775DB" w:rsidP="004F1366">
            <w:pPr>
              <w:spacing w:after="0" w:line="240" w:lineRule="auto"/>
              <w:jc w:val="center"/>
              <w:rPr>
                <w:rFonts w:ascii="Times New Roman" w:hAnsi="Times New Roman"/>
                <w:sz w:val="18"/>
                <w:szCs w:val="18"/>
              </w:rPr>
            </w:pPr>
          </w:p>
        </w:tc>
      </w:tr>
      <w:tr w:rsidR="00F52FED" w:rsidRPr="00B0658A" w14:paraId="67A99A79" w14:textId="77777777" w:rsidTr="004F1366">
        <w:trPr>
          <w:trHeight w:val="20"/>
        </w:trPr>
        <w:tc>
          <w:tcPr>
            <w:tcW w:w="578" w:type="dxa"/>
            <w:shd w:val="clear" w:color="000000" w:fill="FFFFFF"/>
            <w:vAlign w:val="center"/>
          </w:tcPr>
          <w:p w14:paraId="13BCC650" w14:textId="77777777" w:rsidR="00A775DB" w:rsidRPr="00B0658A" w:rsidRDefault="00A775DB" w:rsidP="004F1366">
            <w:pPr>
              <w:spacing w:after="0" w:line="240" w:lineRule="auto"/>
              <w:jc w:val="center"/>
              <w:rPr>
                <w:rFonts w:ascii="Times New Roman" w:hAnsi="Times New Roman"/>
                <w:sz w:val="18"/>
                <w:szCs w:val="18"/>
                <w:lang w:val="en-US"/>
              </w:rPr>
            </w:pPr>
            <w:r w:rsidRPr="00B0658A">
              <w:rPr>
                <w:rFonts w:ascii="Times New Roman" w:hAnsi="Times New Roman"/>
                <w:sz w:val="18"/>
                <w:szCs w:val="18"/>
                <w:lang w:val="en-US"/>
              </w:rPr>
              <w:t>2.3</w:t>
            </w:r>
          </w:p>
        </w:tc>
        <w:tc>
          <w:tcPr>
            <w:tcW w:w="3812" w:type="dxa"/>
            <w:shd w:val="clear" w:color="auto" w:fill="auto"/>
            <w:vAlign w:val="center"/>
            <w:hideMark/>
          </w:tcPr>
          <w:p w14:paraId="4C10A9C7" w14:textId="77777777" w:rsidR="00A775DB" w:rsidRPr="00B0658A" w:rsidRDefault="00A775DB" w:rsidP="004F1366">
            <w:pPr>
              <w:spacing w:after="0" w:line="240" w:lineRule="auto"/>
              <w:rPr>
                <w:rFonts w:ascii="Times New Roman" w:hAnsi="Times New Roman"/>
                <w:sz w:val="18"/>
                <w:szCs w:val="18"/>
              </w:rPr>
            </w:pPr>
            <w:r w:rsidRPr="00B0658A">
              <w:rPr>
                <w:rFonts w:ascii="Times New Roman" w:hAnsi="Times New Roman"/>
                <w:sz w:val="18"/>
                <w:szCs w:val="18"/>
              </w:rPr>
              <w:t>Средства обеспечения облачных и распределенных вычислений</w:t>
            </w:r>
          </w:p>
        </w:tc>
        <w:tc>
          <w:tcPr>
            <w:tcW w:w="1842" w:type="dxa"/>
            <w:shd w:val="clear" w:color="000000" w:fill="FFFFFF"/>
            <w:hideMark/>
          </w:tcPr>
          <w:p w14:paraId="364E1268" w14:textId="77777777" w:rsidR="00A775DB" w:rsidRPr="00B0658A" w:rsidRDefault="00A775DB" w:rsidP="004F1366">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79" w:type="dxa"/>
            <w:shd w:val="clear" w:color="000000" w:fill="FFFFFF"/>
            <w:vAlign w:val="center"/>
          </w:tcPr>
          <w:p w14:paraId="6C24F4D3"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000000" w:fill="FFFFFF"/>
            <w:vAlign w:val="center"/>
            <w:hideMark/>
          </w:tcPr>
          <w:p w14:paraId="60D122B5"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000000" w:fill="FFFFFF"/>
            <w:vAlign w:val="center"/>
            <w:hideMark/>
          </w:tcPr>
          <w:p w14:paraId="522D74DC"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000000" w:fill="FFFFFF"/>
            <w:vAlign w:val="center"/>
            <w:hideMark/>
          </w:tcPr>
          <w:p w14:paraId="34E90679" w14:textId="77777777" w:rsidR="00A775DB" w:rsidRPr="00B0658A" w:rsidRDefault="00A775DB" w:rsidP="004F1366">
            <w:pPr>
              <w:spacing w:after="0" w:line="240" w:lineRule="auto"/>
              <w:jc w:val="center"/>
              <w:rPr>
                <w:rFonts w:ascii="Times New Roman" w:hAnsi="Times New Roman"/>
                <w:sz w:val="18"/>
                <w:szCs w:val="18"/>
              </w:rPr>
            </w:pPr>
          </w:p>
        </w:tc>
        <w:tc>
          <w:tcPr>
            <w:tcW w:w="992" w:type="dxa"/>
            <w:shd w:val="clear" w:color="000000" w:fill="FFFFFF"/>
            <w:vAlign w:val="center"/>
          </w:tcPr>
          <w:p w14:paraId="6AAA0EAB" w14:textId="77777777" w:rsidR="00A775DB" w:rsidRPr="00B0658A" w:rsidRDefault="00A775DB" w:rsidP="004F1366">
            <w:pPr>
              <w:spacing w:after="0" w:line="240" w:lineRule="auto"/>
              <w:jc w:val="center"/>
              <w:rPr>
                <w:rFonts w:ascii="Times New Roman" w:hAnsi="Times New Roman"/>
                <w:sz w:val="18"/>
                <w:szCs w:val="18"/>
              </w:rPr>
            </w:pPr>
          </w:p>
        </w:tc>
        <w:tc>
          <w:tcPr>
            <w:tcW w:w="803" w:type="dxa"/>
            <w:shd w:val="clear" w:color="000000" w:fill="FFFFFF"/>
            <w:vAlign w:val="center"/>
            <w:hideMark/>
          </w:tcPr>
          <w:p w14:paraId="1901B79A" w14:textId="77777777" w:rsidR="00A775DB" w:rsidRPr="00B0658A" w:rsidRDefault="00A775DB" w:rsidP="004F1366">
            <w:pPr>
              <w:spacing w:after="0" w:line="240" w:lineRule="auto"/>
              <w:jc w:val="center"/>
              <w:rPr>
                <w:rFonts w:ascii="Times New Roman" w:hAnsi="Times New Roman"/>
                <w:sz w:val="18"/>
                <w:szCs w:val="18"/>
              </w:rPr>
            </w:pPr>
          </w:p>
        </w:tc>
        <w:tc>
          <w:tcPr>
            <w:tcW w:w="803" w:type="dxa"/>
            <w:shd w:val="clear" w:color="000000" w:fill="FFFFFF"/>
            <w:vAlign w:val="center"/>
            <w:hideMark/>
          </w:tcPr>
          <w:p w14:paraId="71ED3D9F" w14:textId="77777777" w:rsidR="00A775DB" w:rsidRPr="00B0658A" w:rsidRDefault="00A775DB" w:rsidP="004F1366">
            <w:pPr>
              <w:spacing w:after="0" w:line="240" w:lineRule="auto"/>
              <w:jc w:val="center"/>
              <w:rPr>
                <w:rFonts w:ascii="Times New Roman" w:hAnsi="Times New Roman"/>
                <w:sz w:val="18"/>
                <w:szCs w:val="18"/>
              </w:rPr>
            </w:pPr>
          </w:p>
        </w:tc>
        <w:tc>
          <w:tcPr>
            <w:tcW w:w="804" w:type="dxa"/>
            <w:shd w:val="clear" w:color="000000" w:fill="FFFFFF"/>
            <w:vAlign w:val="center"/>
            <w:hideMark/>
          </w:tcPr>
          <w:p w14:paraId="3562032F" w14:textId="77777777" w:rsidR="00A775DB" w:rsidRPr="00B0658A" w:rsidRDefault="00A775DB" w:rsidP="004F1366">
            <w:pPr>
              <w:spacing w:after="0" w:line="240" w:lineRule="auto"/>
              <w:jc w:val="center"/>
              <w:rPr>
                <w:rFonts w:ascii="Times New Roman" w:hAnsi="Times New Roman"/>
                <w:sz w:val="18"/>
                <w:szCs w:val="18"/>
              </w:rPr>
            </w:pPr>
          </w:p>
        </w:tc>
        <w:tc>
          <w:tcPr>
            <w:tcW w:w="1530" w:type="dxa"/>
            <w:shd w:val="clear" w:color="000000" w:fill="FFFFFF"/>
            <w:vAlign w:val="center"/>
          </w:tcPr>
          <w:p w14:paraId="0C20F6D2" w14:textId="77777777" w:rsidR="00A775DB" w:rsidRPr="00B0658A" w:rsidRDefault="00A775DB" w:rsidP="004F1366">
            <w:pPr>
              <w:spacing w:after="0" w:line="240" w:lineRule="auto"/>
              <w:jc w:val="center"/>
              <w:rPr>
                <w:rFonts w:ascii="Times New Roman" w:hAnsi="Times New Roman"/>
                <w:sz w:val="18"/>
                <w:szCs w:val="18"/>
              </w:rPr>
            </w:pPr>
          </w:p>
        </w:tc>
      </w:tr>
      <w:tr w:rsidR="00F52FED" w:rsidRPr="00B0658A" w14:paraId="10B3C543" w14:textId="77777777" w:rsidTr="004F1366">
        <w:trPr>
          <w:trHeight w:val="20"/>
        </w:trPr>
        <w:tc>
          <w:tcPr>
            <w:tcW w:w="578" w:type="dxa"/>
            <w:shd w:val="clear" w:color="000000" w:fill="FFFFFF"/>
            <w:vAlign w:val="center"/>
          </w:tcPr>
          <w:p w14:paraId="7097F908" w14:textId="77777777" w:rsidR="00A775DB" w:rsidRPr="00B0658A" w:rsidRDefault="00A775DB" w:rsidP="004F1366">
            <w:pPr>
              <w:spacing w:after="0" w:line="240" w:lineRule="auto"/>
              <w:jc w:val="center"/>
              <w:rPr>
                <w:rFonts w:ascii="Times New Roman" w:hAnsi="Times New Roman"/>
                <w:sz w:val="18"/>
                <w:szCs w:val="18"/>
              </w:rPr>
            </w:pPr>
            <w:r w:rsidRPr="00B0658A">
              <w:rPr>
                <w:rFonts w:ascii="Times New Roman" w:hAnsi="Times New Roman"/>
                <w:sz w:val="18"/>
                <w:szCs w:val="18"/>
              </w:rPr>
              <w:t>2.4</w:t>
            </w:r>
          </w:p>
        </w:tc>
        <w:tc>
          <w:tcPr>
            <w:tcW w:w="3812" w:type="dxa"/>
            <w:shd w:val="clear" w:color="auto" w:fill="auto"/>
            <w:vAlign w:val="center"/>
            <w:hideMark/>
          </w:tcPr>
          <w:p w14:paraId="1139A963" w14:textId="77777777" w:rsidR="00A775DB" w:rsidRPr="00B0658A" w:rsidRDefault="00A775DB" w:rsidP="004F1366">
            <w:pPr>
              <w:spacing w:after="0" w:line="240" w:lineRule="auto"/>
              <w:rPr>
                <w:rFonts w:ascii="Times New Roman" w:hAnsi="Times New Roman"/>
                <w:sz w:val="18"/>
                <w:szCs w:val="18"/>
              </w:rPr>
            </w:pPr>
            <w:r w:rsidRPr="00B0658A">
              <w:rPr>
                <w:rFonts w:ascii="Times New Roman" w:hAnsi="Times New Roman"/>
                <w:sz w:val="18"/>
                <w:szCs w:val="18"/>
              </w:rPr>
              <w:t>Системное программное обеспечение / Средства виртуализации</w:t>
            </w:r>
          </w:p>
        </w:tc>
        <w:tc>
          <w:tcPr>
            <w:tcW w:w="1842" w:type="dxa"/>
            <w:shd w:val="clear" w:color="000000" w:fill="FFFFFF"/>
            <w:hideMark/>
          </w:tcPr>
          <w:p w14:paraId="6C23E9A5" w14:textId="77777777" w:rsidR="00A775DB" w:rsidRPr="00B0658A" w:rsidRDefault="00A775DB" w:rsidP="004F1366">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79" w:type="dxa"/>
            <w:shd w:val="clear" w:color="000000" w:fill="FFFFFF"/>
            <w:vAlign w:val="center"/>
          </w:tcPr>
          <w:p w14:paraId="38C73F00"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000000" w:fill="FFFFFF"/>
            <w:vAlign w:val="center"/>
            <w:hideMark/>
          </w:tcPr>
          <w:p w14:paraId="4EC8B7BE"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000000" w:fill="FFFFFF"/>
            <w:vAlign w:val="center"/>
            <w:hideMark/>
          </w:tcPr>
          <w:p w14:paraId="053DDE93"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000000" w:fill="FFFFFF"/>
            <w:vAlign w:val="center"/>
            <w:hideMark/>
          </w:tcPr>
          <w:p w14:paraId="31906C1E" w14:textId="77777777" w:rsidR="00A775DB" w:rsidRPr="00B0658A" w:rsidRDefault="00A775DB" w:rsidP="004F1366">
            <w:pPr>
              <w:spacing w:after="0" w:line="240" w:lineRule="auto"/>
              <w:jc w:val="center"/>
              <w:rPr>
                <w:rFonts w:ascii="Times New Roman" w:hAnsi="Times New Roman"/>
                <w:sz w:val="18"/>
                <w:szCs w:val="18"/>
              </w:rPr>
            </w:pPr>
          </w:p>
        </w:tc>
        <w:tc>
          <w:tcPr>
            <w:tcW w:w="992" w:type="dxa"/>
            <w:shd w:val="clear" w:color="000000" w:fill="FFFFFF"/>
            <w:vAlign w:val="center"/>
          </w:tcPr>
          <w:p w14:paraId="0C909604" w14:textId="77777777" w:rsidR="00A775DB" w:rsidRPr="00B0658A" w:rsidRDefault="00A775DB" w:rsidP="004F1366">
            <w:pPr>
              <w:spacing w:after="0" w:line="240" w:lineRule="auto"/>
              <w:jc w:val="center"/>
              <w:rPr>
                <w:rFonts w:ascii="Times New Roman" w:hAnsi="Times New Roman"/>
                <w:sz w:val="18"/>
                <w:szCs w:val="18"/>
              </w:rPr>
            </w:pPr>
          </w:p>
        </w:tc>
        <w:tc>
          <w:tcPr>
            <w:tcW w:w="803" w:type="dxa"/>
            <w:shd w:val="clear" w:color="000000" w:fill="FFFFFF"/>
            <w:vAlign w:val="center"/>
            <w:hideMark/>
          </w:tcPr>
          <w:p w14:paraId="21D7C623" w14:textId="77777777" w:rsidR="00A775DB" w:rsidRPr="00B0658A" w:rsidRDefault="00A775DB" w:rsidP="004F1366">
            <w:pPr>
              <w:spacing w:after="0" w:line="240" w:lineRule="auto"/>
              <w:jc w:val="center"/>
              <w:rPr>
                <w:rFonts w:ascii="Times New Roman" w:hAnsi="Times New Roman"/>
                <w:sz w:val="18"/>
                <w:szCs w:val="18"/>
              </w:rPr>
            </w:pPr>
          </w:p>
        </w:tc>
        <w:tc>
          <w:tcPr>
            <w:tcW w:w="803" w:type="dxa"/>
            <w:shd w:val="clear" w:color="000000" w:fill="FFFFFF"/>
            <w:vAlign w:val="center"/>
            <w:hideMark/>
          </w:tcPr>
          <w:p w14:paraId="6DD8E668" w14:textId="77777777" w:rsidR="00A775DB" w:rsidRPr="00B0658A" w:rsidRDefault="00A775DB" w:rsidP="004F1366">
            <w:pPr>
              <w:spacing w:after="0" w:line="240" w:lineRule="auto"/>
              <w:jc w:val="center"/>
              <w:rPr>
                <w:rFonts w:ascii="Times New Roman" w:hAnsi="Times New Roman"/>
                <w:sz w:val="18"/>
                <w:szCs w:val="18"/>
              </w:rPr>
            </w:pPr>
          </w:p>
        </w:tc>
        <w:tc>
          <w:tcPr>
            <w:tcW w:w="804" w:type="dxa"/>
            <w:shd w:val="clear" w:color="000000" w:fill="FFFFFF"/>
            <w:vAlign w:val="center"/>
            <w:hideMark/>
          </w:tcPr>
          <w:p w14:paraId="350C1EBD" w14:textId="77777777" w:rsidR="00A775DB" w:rsidRPr="00B0658A" w:rsidRDefault="00A775DB" w:rsidP="004F1366">
            <w:pPr>
              <w:spacing w:after="0" w:line="240" w:lineRule="auto"/>
              <w:jc w:val="center"/>
              <w:rPr>
                <w:rFonts w:ascii="Times New Roman" w:hAnsi="Times New Roman"/>
                <w:sz w:val="18"/>
                <w:szCs w:val="18"/>
              </w:rPr>
            </w:pPr>
          </w:p>
        </w:tc>
        <w:tc>
          <w:tcPr>
            <w:tcW w:w="1530" w:type="dxa"/>
            <w:shd w:val="clear" w:color="000000" w:fill="FFFFFF"/>
            <w:vAlign w:val="center"/>
          </w:tcPr>
          <w:p w14:paraId="2D041559" w14:textId="77777777" w:rsidR="00A775DB" w:rsidRPr="00B0658A" w:rsidRDefault="00A775DB" w:rsidP="004F1366">
            <w:pPr>
              <w:spacing w:after="0" w:line="240" w:lineRule="auto"/>
              <w:jc w:val="center"/>
              <w:rPr>
                <w:rFonts w:ascii="Times New Roman" w:hAnsi="Times New Roman"/>
                <w:sz w:val="18"/>
                <w:szCs w:val="18"/>
              </w:rPr>
            </w:pPr>
          </w:p>
        </w:tc>
      </w:tr>
      <w:tr w:rsidR="00F52FED" w:rsidRPr="00B0658A" w14:paraId="6D572A07" w14:textId="77777777" w:rsidTr="004F1366">
        <w:trPr>
          <w:trHeight w:val="20"/>
        </w:trPr>
        <w:tc>
          <w:tcPr>
            <w:tcW w:w="578" w:type="dxa"/>
            <w:shd w:val="clear" w:color="000000" w:fill="FFFFFF"/>
            <w:vAlign w:val="center"/>
          </w:tcPr>
          <w:p w14:paraId="5BA34B38" w14:textId="77777777" w:rsidR="00A775DB" w:rsidRPr="00B0658A" w:rsidRDefault="00A775DB" w:rsidP="004F1366">
            <w:pPr>
              <w:spacing w:after="0" w:line="240" w:lineRule="auto"/>
              <w:jc w:val="center"/>
              <w:rPr>
                <w:rFonts w:ascii="Times New Roman" w:hAnsi="Times New Roman"/>
                <w:sz w:val="18"/>
                <w:szCs w:val="18"/>
              </w:rPr>
            </w:pPr>
            <w:r w:rsidRPr="00B0658A">
              <w:rPr>
                <w:rFonts w:ascii="Times New Roman" w:hAnsi="Times New Roman"/>
                <w:sz w:val="18"/>
                <w:szCs w:val="18"/>
              </w:rPr>
              <w:t>2.5</w:t>
            </w:r>
          </w:p>
        </w:tc>
        <w:tc>
          <w:tcPr>
            <w:tcW w:w="3812" w:type="dxa"/>
            <w:shd w:val="clear" w:color="auto" w:fill="auto"/>
            <w:vAlign w:val="center"/>
            <w:hideMark/>
          </w:tcPr>
          <w:p w14:paraId="22897FCF" w14:textId="77777777" w:rsidR="00A775DB" w:rsidRPr="00B0658A" w:rsidRDefault="00A775DB" w:rsidP="004F1366">
            <w:pPr>
              <w:spacing w:after="0" w:line="240" w:lineRule="auto"/>
              <w:rPr>
                <w:rFonts w:ascii="Times New Roman" w:hAnsi="Times New Roman"/>
                <w:sz w:val="18"/>
                <w:szCs w:val="18"/>
              </w:rPr>
            </w:pPr>
            <w:r w:rsidRPr="00B0658A">
              <w:rPr>
                <w:rFonts w:ascii="Times New Roman" w:hAnsi="Times New Roman"/>
                <w:sz w:val="18"/>
                <w:szCs w:val="18"/>
              </w:rPr>
              <w:t>Системное программное обеспечение/ Средства хранения данных</w:t>
            </w:r>
          </w:p>
        </w:tc>
        <w:tc>
          <w:tcPr>
            <w:tcW w:w="1842" w:type="dxa"/>
            <w:shd w:val="clear" w:color="000000" w:fill="FFFFFF"/>
            <w:hideMark/>
          </w:tcPr>
          <w:p w14:paraId="0FF8E139" w14:textId="77777777" w:rsidR="00A775DB" w:rsidRPr="00B0658A" w:rsidRDefault="00A775DB" w:rsidP="004F1366">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79" w:type="dxa"/>
            <w:shd w:val="clear" w:color="000000" w:fill="FFFFFF"/>
            <w:vAlign w:val="center"/>
          </w:tcPr>
          <w:p w14:paraId="59E503F3"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000000" w:fill="FFFFFF"/>
            <w:vAlign w:val="center"/>
            <w:hideMark/>
          </w:tcPr>
          <w:p w14:paraId="41D55C9D"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000000" w:fill="FFFFFF"/>
            <w:vAlign w:val="center"/>
            <w:hideMark/>
          </w:tcPr>
          <w:p w14:paraId="314EDCFC"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000000" w:fill="FFFFFF"/>
            <w:vAlign w:val="center"/>
            <w:hideMark/>
          </w:tcPr>
          <w:p w14:paraId="3980833E" w14:textId="77777777" w:rsidR="00A775DB" w:rsidRPr="00B0658A" w:rsidRDefault="00A775DB" w:rsidP="004F1366">
            <w:pPr>
              <w:spacing w:after="0" w:line="240" w:lineRule="auto"/>
              <w:jc w:val="center"/>
              <w:rPr>
                <w:rFonts w:ascii="Times New Roman" w:hAnsi="Times New Roman"/>
                <w:sz w:val="18"/>
                <w:szCs w:val="18"/>
              </w:rPr>
            </w:pPr>
          </w:p>
        </w:tc>
        <w:tc>
          <w:tcPr>
            <w:tcW w:w="992" w:type="dxa"/>
            <w:shd w:val="clear" w:color="000000" w:fill="FFFFFF"/>
            <w:vAlign w:val="center"/>
          </w:tcPr>
          <w:p w14:paraId="1237B73F" w14:textId="77777777" w:rsidR="00A775DB" w:rsidRPr="00B0658A" w:rsidRDefault="00A775DB" w:rsidP="004F1366">
            <w:pPr>
              <w:spacing w:after="0" w:line="240" w:lineRule="auto"/>
              <w:jc w:val="center"/>
              <w:rPr>
                <w:rFonts w:ascii="Times New Roman" w:hAnsi="Times New Roman"/>
                <w:sz w:val="18"/>
                <w:szCs w:val="18"/>
              </w:rPr>
            </w:pPr>
          </w:p>
        </w:tc>
        <w:tc>
          <w:tcPr>
            <w:tcW w:w="803" w:type="dxa"/>
            <w:shd w:val="clear" w:color="000000" w:fill="FFFFFF"/>
            <w:vAlign w:val="center"/>
            <w:hideMark/>
          </w:tcPr>
          <w:p w14:paraId="7E7D9791" w14:textId="77777777" w:rsidR="00A775DB" w:rsidRPr="00B0658A" w:rsidRDefault="00A775DB" w:rsidP="004F1366">
            <w:pPr>
              <w:spacing w:after="0" w:line="240" w:lineRule="auto"/>
              <w:jc w:val="center"/>
              <w:rPr>
                <w:rFonts w:ascii="Times New Roman" w:hAnsi="Times New Roman"/>
                <w:sz w:val="18"/>
                <w:szCs w:val="18"/>
              </w:rPr>
            </w:pPr>
          </w:p>
        </w:tc>
        <w:tc>
          <w:tcPr>
            <w:tcW w:w="803" w:type="dxa"/>
            <w:shd w:val="clear" w:color="000000" w:fill="FFFFFF"/>
            <w:vAlign w:val="center"/>
            <w:hideMark/>
          </w:tcPr>
          <w:p w14:paraId="332C91E8" w14:textId="77777777" w:rsidR="00A775DB" w:rsidRPr="00B0658A" w:rsidRDefault="00A775DB" w:rsidP="004F1366">
            <w:pPr>
              <w:spacing w:after="0" w:line="240" w:lineRule="auto"/>
              <w:jc w:val="center"/>
              <w:rPr>
                <w:rFonts w:ascii="Times New Roman" w:hAnsi="Times New Roman"/>
                <w:sz w:val="18"/>
                <w:szCs w:val="18"/>
              </w:rPr>
            </w:pPr>
          </w:p>
        </w:tc>
        <w:tc>
          <w:tcPr>
            <w:tcW w:w="804" w:type="dxa"/>
            <w:shd w:val="clear" w:color="000000" w:fill="FFFFFF"/>
            <w:vAlign w:val="center"/>
            <w:hideMark/>
          </w:tcPr>
          <w:p w14:paraId="4FE6516A" w14:textId="77777777" w:rsidR="00A775DB" w:rsidRPr="00B0658A" w:rsidRDefault="00A775DB" w:rsidP="004F1366">
            <w:pPr>
              <w:spacing w:after="0" w:line="240" w:lineRule="auto"/>
              <w:jc w:val="center"/>
              <w:rPr>
                <w:rFonts w:ascii="Times New Roman" w:hAnsi="Times New Roman"/>
                <w:sz w:val="18"/>
                <w:szCs w:val="18"/>
              </w:rPr>
            </w:pPr>
          </w:p>
        </w:tc>
        <w:tc>
          <w:tcPr>
            <w:tcW w:w="1530" w:type="dxa"/>
            <w:shd w:val="clear" w:color="000000" w:fill="FFFFFF"/>
            <w:vAlign w:val="center"/>
          </w:tcPr>
          <w:p w14:paraId="51CE2B12" w14:textId="77777777" w:rsidR="00A775DB" w:rsidRPr="00B0658A" w:rsidRDefault="00A775DB" w:rsidP="004F1366">
            <w:pPr>
              <w:spacing w:after="0" w:line="240" w:lineRule="auto"/>
              <w:jc w:val="center"/>
              <w:rPr>
                <w:rFonts w:ascii="Times New Roman" w:hAnsi="Times New Roman"/>
                <w:sz w:val="18"/>
                <w:szCs w:val="18"/>
              </w:rPr>
            </w:pPr>
          </w:p>
        </w:tc>
      </w:tr>
      <w:tr w:rsidR="00F52FED" w:rsidRPr="00B0658A" w14:paraId="49CA50A9" w14:textId="77777777" w:rsidTr="004F1366">
        <w:trPr>
          <w:trHeight w:val="20"/>
        </w:trPr>
        <w:tc>
          <w:tcPr>
            <w:tcW w:w="578" w:type="dxa"/>
            <w:shd w:val="clear" w:color="000000" w:fill="FFFFFF"/>
            <w:vAlign w:val="center"/>
          </w:tcPr>
          <w:p w14:paraId="43F43C3D" w14:textId="77777777" w:rsidR="00A775DB" w:rsidRPr="00B0658A" w:rsidRDefault="00A775DB" w:rsidP="004F1366">
            <w:pPr>
              <w:spacing w:after="0" w:line="240" w:lineRule="auto"/>
              <w:jc w:val="center"/>
              <w:rPr>
                <w:rFonts w:ascii="Times New Roman" w:hAnsi="Times New Roman"/>
                <w:sz w:val="18"/>
                <w:szCs w:val="18"/>
              </w:rPr>
            </w:pPr>
            <w:r w:rsidRPr="00B0658A">
              <w:rPr>
                <w:rFonts w:ascii="Times New Roman" w:hAnsi="Times New Roman"/>
                <w:sz w:val="18"/>
                <w:szCs w:val="18"/>
              </w:rPr>
              <w:t>2.6</w:t>
            </w:r>
          </w:p>
        </w:tc>
        <w:tc>
          <w:tcPr>
            <w:tcW w:w="3812" w:type="dxa"/>
            <w:shd w:val="clear" w:color="auto" w:fill="auto"/>
            <w:vAlign w:val="center"/>
            <w:hideMark/>
          </w:tcPr>
          <w:p w14:paraId="0BB7C701" w14:textId="77777777" w:rsidR="00A775DB" w:rsidRPr="00B0658A" w:rsidRDefault="00A775DB" w:rsidP="004F1366">
            <w:pPr>
              <w:spacing w:after="0" w:line="240" w:lineRule="auto"/>
              <w:rPr>
                <w:rFonts w:ascii="Times New Roman" w:hAnsi="Times New Roman"/>
                <w:sz w:val="18"/>
                <w:szCs w:val="18"/>
              </w:rPr>
            </w:pPr>
            <w:r w:rsidRPr="00B0658A">
              <w:rPr>
                <w:rFonts w:ascii="Times New Roman" w:hAnsi="Times New Roman"/>
                <w:sz w:val="18"/>
                <w:szCs w:val="18"/>
              </w:rPr>
              <w:t>Системное программное обеспечение / Серверное и связующее программное обеспечение</w:t>
            </w:r>
          </w:p>
        </w:tc>
        <w:tc>
          <w:tcPr>
            <w:tcW w:w="1842" w:type="dxa"/>
            <w:shd w:val="clear" w:color="000000" w:fill="FFFFFF"/>
            <w:hideMark/>
          </w:tcPr>
          <w:p w14:paraId="245A38D9" w14:textId="77777777" w:rsidR="00A775DB" w:rsidRPr="00B0658A" w:rsidRDefault="00A775DB" w:rsidP="004F1366">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79" w:type="dxa"/>
            <w:shd w:val="clear" w:color="000000" w:fill="FFFFFF"/>
            <w:vAlign w:val="center"/>
          </w:tcPr>
          <w:p w14:paraId="34439B40"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000000" w:fill="FFFFFF"/>
            <w:vAlign w:val="center"/>
            <w:hideMark/>
          </w:tcPr>
          <w:p w14:paraId="20A7A57E"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000000" w:fill="FFFFFF"/>
            <w:vAlign w:val="center"/>
            <w:hideMark/>
          </w:tcPr>
          <w:p w14:paraId="5A8491F0"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000000" w:fill="FFFFFF"/>
            <w:vAlign w:val="center"/>
            <w:hideMark/>
          </w:tcPr>
          <w:p w14:paraId="2ADF82C0" w14:textId="77777777" w:rsidR="00A775DB" w:rsidRPr="00B0658A" w:rsidRDefault="00A775DB" w:rsidP="004F1366">
            <w:pPr>
              <w:spacing w:after="0" w:line="240" w:lineRule="auto"/>
              <w:jc w:val="center"/>
              <w:rPr>
                <w:rFonts w:ascii="Times New Roman" w:hAnsi="Times New Roman"/>
                <w:sz w:val="18"/>
                <w:szCs w:val="18"/>
              </w:rPr>
            </w:pPr>
          </w:p>
        </w:tc>
        <w:tc>
          <w:tcPr>
            <w:tcW w:w="992" w:type="dxa"/>
            <w:shd w:val="clear" w:color="000000" w:fill="FFFFFF"/>
            <w:vAlign w:val="center"/>
          </w:tcPr>
          <w:p w14:paraId="5BA7BC11" w14:textId="77777777" w:rsidR="00A775DB" w:rsidRPr="00B0658A" w:rsidRDefault="00A775DB" w:rsidP="004F1366">
            <w:pPr>
              <w:spacing w:after="0" w:line="240" w:lineRule="auto"/>
              <w:jc w:val="center"/>
              <w:rPr>
                <w:rFonts w:ascii="Times New Roman" w:hAnsi="Times New Roman"/>
                <w:sz w:val="18"/>
                <w:szCs w:val="18"/>
              </w:rPr>
            </w:pPr>
          </w:p>
        </w:tc>
        <w:tc>
          <w:tcPr>
            <w:tcW w:w="803" w:type="dxa"/>
            <w:shd w:val="clear" w:color="000000" w:fill="FFFFFF"/>
            <w:vAlign w:val="center"/>
            <w:hideMark/>
          </w:tcPr>
          <w:p w14:paraId="4CE6BA7B" w14:textId="77777777" w:rsidR="00A775DB" w:rsidRPr="00B0658A" w:rsidRDefault="00A775DB" w:rsidP="004F1366">
            <w:pPr>
              <w:spacing w:after="0" w:line="240" w:lineRule="auto"/>
              <w:jc w:val="center"/>
              <w:rPr>
                <w:rFonts w:ascii="Times New Roman" w:hAnsi="Times New Roman"/>
                <w:sz w:val="18"/>
                <w:szCs w:val="18"/>
              </w:rPr>
            </w:pPr>
          </w:p>
        </w:tc>
        <w:tc>
          <w:tcPr>
            <w:tcW w:w="803" w:type="dxa"/>
            <w:shd w:val="clear" w:color="000000" w:fill="FFFFFF"/>
            <w:vAlign w:val="center"/>
            <w:hideMark/>
          </w:tcPr>
          <w:p w14:paraId="4A8CE683" w14:textId="77777777" w:rsidR="00A775DB" w:rsidRPr="00B0658A" w:rsidRDefault="00A775DB" w:rsidP="004F1366">
            <w:pPr>
              <w:spacing w:after="0" w:line="240" w:lineRule="auto"/>
              <w:jc w:val="center"/>
              <w:rPr>
                <w:rFonts w:ascii="Times New Roman" w:hAnsi="Times New Roman"/>
                <w:sz w:val="18"/>
                <w:szCs w:val="18"/>
              </w:rPr>
            </w:pPr>
          </w:p>
        </w:tc>
        <w:tc>
          <w:tcPr>
            <w:tcW w:w="804" w:type="dxa"/>
            <w:shd w:val="clear" w:color="000000" w:fill="FFFFFF"/>
            <w:vAlign w:val="center"/>
            <w:hideMark/>
          </w:tcPr>
          <w:p w14:paraId="1A7403A9" w14:textId="77777777" w:rsidR="00A775DB" w:rsidRPr="00B0658A" w:rsidRDefault="00A775DB" w:rsidP="004F1366">
            <w:pPr>
              <w:spacing w:after="0" w:line="240" w:lineRule="auto"/>
              <w:jc w:val="center"/>
              <w:rPr>
                <w:rFonts w:ascii="Times New Roman" w:hAnsi="Times New Roman"/>
                <w:sz w:val="18"/>
                <w:szCs w:val="18"/>
              </w:rPr>
            </w:pPr>
          </w:p>
        </w:tc>
        <w:tc>
          <w:tcPr>
            <w:tcW w:w="1530" w:type="dxa"/>
            <w:shd w:val="clear" w:color="000000" w:fill="FFFFFF"/>
            <w:vAlign w:val="center"/>
          </w:tcPr>
          <w:p w14:paraId="6FBD3C97" w14:textId="77777777" w:rsidR="00A775DB" w:rsidRPr="00B0658A" w:rsidRDefault="00A775DB" w:rsidP="004F1366">
            <w:pPr>
              <w:spacing w:after="0" w:line="240" w:lineRule="auto"/>
              <w:jc w:val="center"/>
              <w:rPr>
                <w:rFonts w:ascii="Times New Roman" w:hAnsi="Times New Roman"/>
                <w:sz w:val="18"/>
                <w:szCs w:val="18"/>
              </w:rPr>
            </w:pPr>
          </w:p>
        </w:tc>
      </w:tr>
      <w:tr w:rsidR="00F52FED" w:rsidRPr="00B0658A" w14:paraId="553DED58" w14:textId="77777777" w:rsidTr="004F1366">
        <w:trPr>
          <w:trHeight w:val="20"/>
        </w:trPr>
        <w:tc>
          <w:tcPr>
            <w:tcW w:w="578" w:type="dxa"/>
            <w:shd w:val="clear" w:color="000000" w:fill="FFFFFF"/>
            <w:vAlign w:val="center"/>
          </w:tcPr>
          <w:p w14:paraId="71853B22" w14:textId="77777777" w:rsidR="00A775DB" w:rsidRPr="00B0658A" w:rsidRDefault="00A775DB" w:rsidP="004F1366">
            <w:pPr>
              <w:spacing w:after="0" w:line="240" w:lineRule="auto"/>
              <w:jc w:val="center"/>
              <w:rPr>
                <w:rFonts w:ascii="Times New Roman" w:hAnsi="Times New Roman"/>
                <w:sz w:val="18"/>
                <w:szCs w:val="18"/>
              </w:rPr>
            </w:pPr>
            <w:r w:rsidRPr="00B0658A">
              <w:rPr>
                <w:rFonts w:ascii="Times New Roman" w:hAnsi="Times New Roman"/>
                <w:sz w:val="18"/>
                <w:szCs w:val="18"/>
              </w:rPr>
              <w:t>2.7</w:t>
            </w:r>
          </w:p>
        </w:tc>
        <w:tc>
          <w:tcPr>
            <w:tcW w:w="3812" w:type="dxa"/>
            <w:shd w:val="clear" w:color="auto" w:fill="auto"/>
            <w:vAlign w:val="center"/>
            <w:hideMark/>
          </w:tcPr>
          <w:p w14:paraId="1F3A7C18" w14:textId="77777777" w:rsidR="00A775DB" w:rsidRPr="00B0658A" w:rsidRDefault="00A775DB" w:rsidP="004F1366">
            <w:pPr>
              <w:spacing w:after="0" w:line="240" w:lineRule="auto"/>
              <w:rPr>
                <w:rFonts w:ascii="Times New Roman" w:hAnsi="Times New Roman"/>
                <w:sz w:val="18"/>
                <w:szCs w:val="18"/>
              </w:rPr>
            </w:pPr>
            <w:r w:rsidRPr="00B0658A">
              <w:rPr>
                <w:rFonts w:ascii="Times New Roman" w:hAnsi="Times New Roman"/>
                <w:sz w:val="18"/>
                <w:szCs w:val="18"/>
              </w:rPr>
              <w:t>Системное программное обеспечение/ Средства управления базами данных</w:t>
            </w:r>
          </w:p>
        </w:tc>
        <w:tc>
          <w:tcPr>
            <w:tcW w:w="1842" w:type="dxa"/>
            <w:shd w:val="clear" w:color="000000" w:fill="FFFFFF"/>
            <w:hideMark/>
          </w:tcPr>
          <w:p w14:paraId="21B75832" w14:textId="77777777" w:rsidR="00A775DB" w:rsidRPr="00B0658A" w:rsidRDefault="00A775DB" w:rsidP="004F1366">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79" w:type="dxa"/>
            <w:vAlign w:val="center"/>
          </w:tcPr>
          <w:p w14:paraId="11BF47D7"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auto" w:fill="auto"/>
            <w:vAlign w:val="center"/>
            <w:hideMark/>
          </w:tcPr>
          <w:p w14:paraId="7233B621"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auto" w:fill="auto"/>
            <w:vAlign w:val="center"/>
            <w:hideMark/>
          </w:tcPr>
          <w:p w14:paraId="44DF0494"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auto" w:fill="auto"/>
            <w:vAlign w:val="center"/>
            <w:hideMark/>
          </w:tcPr>
          <w:p w14:paraId="3ABF6D85" w14:textId="77777777" w:rsidR="00A775DB" w:rsidRPr="00B0658A" w:rsidRDefault="00A775DB" w:rsidP="004F1366">
            <w:pPr>
              <w:spacing w:after="0" w:line="240" w:lineRule="auto"/>
              <w:jc w:val="center"/>
              <w:rPr>
                <w:rFonts w:ascii="Times New Roman" w:hAnsi="Times New Roman"/>
                <w:sz w:val="18"/>
                <w:szCs w:val="18"/>
              </w:rPr>
            </w:pPr>
          </w:p>
        </w:tc>
        <w:tc>
          <w:tcPr>
            <w:tcW w:w="992" w:type="dxa"/>
            <w:vAlign w:val="center"/>
          </w:tcPr>
          <w:p w14:paraId="5CD9534B" w14:textId="77777777" w:rsidR="00A775DB" w:rsidRPr="00B0658A" w:rsidRDefault="00A775DB" w:rsidP="004F1366">
            <w:pPr>
              <w:spacing w:after="0" w:line="240" w:lineRule="auto"/>
              <w:jc w:val="center"/>
              <w:rPr>
                <w:rFonts w:ascii="Times New Roman" w:hAnsi="Times New Roman"/>
                <w:sz w:val="18"/>
                <w:szCs w:val="18"/>
              </w:rPr>
            </w:pPr>
          </w:p>
        </w:tc>
        <w:tc>
          <w:tcPr>
            <w:tcW w:w="803" w:type="dxa"/>
            <w:shd w:val="clear" w:color="auto" w:fill="auto"/>
            <w:vAlign w:val="center"/>
            <w:hideMark/>
          </w:tcPr>
          <w:p w14:paraId="185D4522" w14:textId="77777777" w:rsidR="00A775DB" w:rsidRPr="00B0658A" w:rsidRDefault="00A775DB" w:rsidP="004F1366">
            <w:pPr>
              <w:spacing w:after="0" w:line="240" w:lineRule="auto"/>
              <w:jc w:val="center"/>
              <w:rPr>
                <w:rFonts w:ascii="Times New Roman" w:hAnsi="Times New Roman"/>
                <w:sz w:val="18"/>
                <w:szCs w:val="18"/>
              </w:rPr>
            </w:pPr>
          </w:p>
        </w:tc>
        <w:tc>
          <w:tcPr>
            <w:tcW w:w="803" w:type="dxa"/>
            <w:shd w:val="clear" w:color="auto" w:fill="auto"/>
            <w:vAlign w:val="center"/>
            <w:hideMark/>
          </w:tcPr>
          <w:p w14:paraId="4D31D782" w14:textId="77777777" w:rsidR="00A775DB" w:rsidRPr="00B0658A" w:rsidRDefault="00A775DB" w:rsidP="004F1366">
            <w:pPr>
              <w:spacing w:after="0" w:line="240" w:lineRule="auto"/>
              <w:jc w:val="center"/>
              <w:rPr>
                <w:rFonts w:ascii="Times New Roman" w:hAnsi="Times New Roman"/>
                <w:sz w:val="18"/>
                <w:szCs w:val="18"/>
              </w:rPr>
            </w:pPr>
          </w:p>
        </w:tc>
        <w:tc>
          <w:tcPr>
            <w:tcW w:w="804" w:type="dxa"/>
            <w:shd w:val="clear" w:color="auto" w:fill="auto"/>
            <w:vAlign w:val="center"/>
            <w:hideMark/>
          </w:tcPr>
          <w:p w14:paraId="0C256BE0" w14:textId="77777777" w:rsidR="00A775DB" w:rsidRPr="00B0658A" w:rsidRDefault="00A775DB" w:rsidP="004F1366">
            <w:pPr>
              <w:spacing w:after="0" w:line="240" w:lineRule="auto"/>
              <w:jc w:val="center"/>
              <w:rPr>
                <w:rFonts w:ascii="Times New Roman" w:hAnsi="Times New Roman"/>
                <w:sz w:val="18"/>
                <w:szCs w:val="18"/>
              </w:rPr>
            </w:pPr>
          </w:p>
        </w:tc>
        <w:tc>
          <w:tcPr>
            <w:tcW w:w="1530" w:type="dxa"/>
            <w:vAlign w:val="center"/>
          </w:tcPr>
          <w:p w14:paraId="12A81518" w14:textId="77777777" w:rsidR="00A775DB" w:rsidRPr="00B0658A" w:rsidRDefault="00A775DB" w:rsidP="004F1366">
            <w:pPr>
              <w:spacing w:after="0" w:line="240" w:lineRule="auto"/>
              <w:jc w:val="center"/>
              <w:rPr>
                <w:rFonts w:ascii="Times New Roman" w:hAnsi="Times New Roman"/>
                <w:sz w:val="18"/>
                <w:szCs w:val="18"/>
              </w:rPr>
            </w:pPr>
          </w:p>
        </w:tc>
      </w:tr>
      <w:tr w:rsidR="00F52FED" w:rsidRPr="00B0658A" w14:paraId="0E404CB2" w14:textId="77777777" w:rsidTr="004F1366">
        <w:trPr>
          <w:trHeight w:val="20"/>
        </w:trPr>
        <w:tc>
          <w:tcPr>
            <w:tcW w:w="578" w:type="dxa"/>
            <w:shd w:val="clear" w:color="000000" w:fill="FFFFFF"/>
            <w:vAlign w:val="center"/>
          </w:tcPr>
          <w:p w14:paraId="43C72894" w14:textId="77777777" w:rsidR="00A775DB" w:rsidRPr="00B0658A" w:rsidRDefault="00A775DB" w:rsidP="004F1366">
            <w:pPr>
              <w:spacing w:after="0" w:line="240" w:lineRule="auto"/>
              <w:jc w:val="center"/>
              <w:rPr>
                <w:rFonts w:ascii="Times New Roman" w:hAnsi="Times New Roman"/>
                <w:sz w:val="18"/>
                <w:szCs w:val="18"/>
              </w:rPr>
            </w:pPr>
            <w:r w:rsidRPr="00B0658A">
              <w:rPr>
                <w:rFonts w:ascii="Times New Roman" w:hAnsi="Times New Roman"/>
                <w:sz w:val="18"/>
                <w:szCs w:val="18"/>
              </w:rPr>
              <w:t>2.8</w:t>
            </w:r>
          </w:p>
        </w:tc>
        <w:tc>
          <w:tcPr>
            <w:tcW w:w="3812" w:type="dxa"/>
            <w:shd w:val="clear" w:color="auto" w:fill="auto"/>
            <w:vAlign w:val="center"/>
            <w:hideMark/>
          </w:tcPr>
          <w:p w14:paraId="4A6C86EA" w14:textId="77777777" w:rsidR="00A775DB" w:rsidRPr="00B0658A" w:rsidRDefault="00A775DB" w:rsidP="004F1366">
            <w:pPr>
              <w:spacing w:after="0" w:line="240" w:lineRule="auto"/>
              <w:rPr>
                <w:rFonts w:ascii="Times New Roman" w:hAnsi="Times New Roman"/>
                <w:sz w:val="18"/>
                <w:szCs w:val="18"/>
              </w:rPr>
            </w:pPr>
            <w:r w:rsidRPr="00B0658A">
              <w:rPr>
                <w:rFonts w:ascii="Times New Roman" w:hAnsi="Times New Roman"/>
                <w:sz w:val="18"/>
                <w:szCs w:val="18"/>
              </w:rPr>
              <w:t>Системное программное обеспечение/ Средства мониторинга и управления</w:t>
            </w:r>
          </w:p>
        </w:tc>
        <w:tc>
          <w:tcPr>
            <w:tcW w:w="1842" w:type="dxa"/>
            <w:shd w:val="clear" w:color="000000" w:fill="FFFFFF"/>
            <w:hideMark/>
          </w:tcPr>
          <w:p w14:paraId="40808DFC" w14:textId="77777777" w:rsidR="00A775DB" w:rsidRPr="00B0658A" w:rsidRDefault="00A775DB" w:rsidP="004F1366">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79" w:type="dxa"/>
            <w:vAlign w:val="center"/>
          </w:tcPr>
          <w:p w14:paraId="1ED3C142"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auto" w:fill="auto"/>
            <w:vAlign w:val="center"/>
            <w:hideMark/>
          </w:tcPr>
          <w:p w14:paraId="3CA9CA1B"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auto" w:fill="auto"/>
            <w:vAlign w:val="center"/>
            <w:hideMark/>
          </w:tcPr>
          <w:p w14:paraId="58BB5270"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auto" w:fill="auto"/>
            <w:vAlign w:val="center"/>
            <w:hideMark/>
          </w:tcPr>
          <w:p w14:paraId="25566A5B" w14:textId="77777777" w:rsidR="00A775DB" w:rsidRPr="00B0658A" w:rsidRDefault="00A775DB" w:rsidP="004F1366">
            <w:pPr>
              <w:spacing w:after="0" w:line="240" w:lineRule="auto"/>
              <w:jc w:val="center"/>
              <w:rPr>
                <w:rFonts w:ascii="Times New Roman" w:hAnsi="Times New Roman"/>
                <w:sz w:val="18"/>
                <w:szCs w:val="18"/>
              </w:rPr>
            </w:pPr>
          </w:p>
        </w:tc>
        <w:tc>
          <w:tcPr>
            <w:tcW w:w="992" w:type="dxa"/>
            <w:vAlign w:val="center"/>
          </w:tcPr>
          <w:p w14:paraId="7F3AEC76" w14:textId="77777777" w:rsidR="00A775DB" w:rsidRPr="00B0658A" w:rsidRDefault="00A775DB" w:rsidP="004F1366">
            <w:pPr>
              <w:spacing w:after="0" w:line="240" w:lineRule="auto"/>
              <w:jc w:val="center"/>
              <w:rPr>
                <w:rFonts w:ascii="Times New Roman" w:hAnsi="Times New Roman"/>
                <w:sz w:val="18"/>
                <w:szCs w:val="18"/>
              </w:rPr>
            </w:pPr>
          </w:p>
        </w:tc>
        <w:tc>
          <w:tcPr>
            <w:tcW w:w="803" w:type="dxa"/>
            <w:shd w:val="clear" w:color="auto" w:fill="auto"/>
            <w:vAlign w:val="center"/>
            <w:hideMark/>
          </w:tcPr>
          <w:p w14:paraId="128E6F0B" w14:textId="77777777" w:rsidR="00A775DB" w:rsidRPr="00B0658A" w:rsidRDefault="00A775DB" w:rsidP="004F1366">
            <w:pPr>
              <w:spacing w:after="0" w:line="240" w:lineRule="auto"/>
              <w:jc w:val="center"/>
              <w:rPr>
                <w:rFonts w:ascii="Times New Roman" w:hAnsi="Times New Roman"/>
                <w:sz w:val="18"/>
                <w:szCs w:val="18"/>
              </w:rPr>
            </w:pPr>
          </w:p>
        </w:tc>
        <w:tc>
          <w:tcPr>
            <w:tcW w:w="803" w:type="dxa"/>
            <w:shd w:val="clear" w:color="auto" w:fill="auto"/>
            <w:vAlign w:val="center"/>
            <w:hideMark/>
          </w:tcPr>
          <w:p w14:paraId="7D46BC5A" w14:textId="77777777" w:rsidR="00A775DB" w:rsidRPr="00B0658A" w:rsidRDefault="00A775DB" w:rsidP="004F1366">
            <w:pPr>
              <w:spacing w:after="0" w:line="240" w:lineRule="auto"/>
              <w:jc w:val="center"/>
              <w:rPr>
                <w:rFonts w:ascii="Times New Roman" w:hAnsi="Times New Roman"/>
                <w:sz w:val="18"/>
                <w:szCs w:val="18"/>
              </w:rPr>
            </w:pPr>
          </w:p>
        </w:tc>
        <w:tc>
          <w:tcPr>
            <w:tcW w:w="804" w:type="dxa"/>
            <w:shd w:val="clear" w:color="auto" w:fill="auto"/>
            <w:vAlign w:val="center"/>
            <w:hideMark/>
          </w:tcPr>
          <w:p w14:paraId="1DB4D437" w14:textId="77777777" w:rsidR="00A775DB" w:rsidRPr="00B0658A" w:rsidRDefault="00A775DB" w:rsidP="004F1366">
            <w:pPr>
              <w:spacing w:after="0" w:line="240" w:lineRule="auto"/>
              <w:jc w:val="center"/>
              <w:rPr>
                <w:rFonts w:ascii="Times New Roman" w:hAnsi="Times New Roman"/>
                <w:sz w:val="18"/>
                <w:szCs w:val="18"/>
              </w:rPr>
            </w:pPr>
          </w:p>
        </w:tc>
        <w:tc>
          <w:tcPr>
            <w:tcW w:w="1530" w:type="dxa"/>
            <w:vAlign w:val="center"/>
          </w:tcPr>
          <w:p w14:paraId="3D3DFDD9" w14:textId="77777777" w:rsidR="00A775DB" w:rsidRPr="00B0658A" w:rsidRDefault="00A775DB" w:rsidP="004F1366">
            <w:pPr>
              <w:spacing w:after="0" w:line="240" w:lineRule="auto"/>
              <w:jc w:val="center"/>
              <w:rPr>
                <w:rFonts w:ascii="Times New Roman" w:hAnsi="Times New Roman"/>
                <w:sz w:val="18"/>
                <w:szCs w:val="18"/>
              </w:rPr>
            </w:pPr>
          </w:p>
        </w:tc>
      </w:tr>
      <w:tr w:rsidR="00F52FED" w:rsidRPr="00B0658A" w14:paraId="1DA1450B" w14:textId="77777777" w:rsidTr="004F1366">
        <w:trPr>
          <w:trHeight w:val="20"/>
        </w:trPr>
        <w:tc>
          <w:tcPr>
            <w:tcW w:w="578" w:type="dxa"/>
            <w:shd w:val="clear" w:color="auto" w:fill="auto"/>
            <w:vAlign w:val="center"/>
          </w:tcPr>
          <w:p w14:paraId="53CAFA7E" w14:textId="77777777" w:rsidR="00A775DB" w:rsidRPr="00B0658A" w:rsidRDefault="00A775DB" w:rsidP="004F1366">
            <w:pPr>
              <w:spacing w:after="0" w:line="240" w:lineRule="auto"/>
              <w:jc w:val="center"/>
              <w:rPr>
                <w:rFonts w:ascii="Times New Roman" w:hAnsi="Times New Roman"/>
                <w:sz w:val="18"/>
                <w:szCs w:val="18"/>
              </w:rPr>
            </w:pPr>
            <w:r w:rsidRPr="00B0658A">
              <w:rPr>
                <w:rFonts w:ascii="Times New Roman" w:hAnsi="Times New Roman"/>
                <w:sz w:val="18"/>
                <w:szCs w:val="18"/>
              </w:rPr>
              <w:t>2.9</w:t>
            </w:r>
          </w:p>
        </w:tc>
        <w:tc>
          <w:tcPr>
            <w:tcW w:w="3812" w:type="dxa"/>
            <w:shd w:val="clear" w:color="auto" w:fill="auto"/>
            <w:vAlign w:val="center"/>
            <w:hideMark/>
          </w:tcPr>
          <w:p w14:paraId="2CF88599" w14:textId="77777777" w:rsidR="00A775DB" w:rsidRPr="00B0658A" w:rsidRDefault="00A775DB" w:rsidP="004F1366">
            <w:pPr>
              <w:spacing w:after="0" w:line="240" w:lineRule="auto"/>
              <w:rPr>
                <w:rFonts w:ascii="Times New Roman" w:hAnsi="Times New Roman"/>
                <w:sz w:val="18"/>
                <w:szCs w:val="18"/>
              </w:rPr>
            </w:pPr>
            <w:r w:rsidRPr="00B0658A">
              <w:rPr>
                <w:rFonts w:ascii="Times New Roman" w:hAnsi="Times New Roman"/>
                <w:sz w:val="18"/>
                <w:szCs w:val="18"/>
              </w:rPr>
              <w:t>Системное программное обеспечение/ Операционные системы общего назначения</w:t>
            </w:r>
          </w:p>
        </w:tc>
        <w:tc>
          <w:tcPr>
            <w:tcW w:w="1842" w:type="dxa"/>
            <w:shd w:val="clear" w:color="000000" w:fill="FFFFFF"/>
            <w:hideMark/>
          </w:tcPr>
          <w:p w14:paraId="5529FF8B" w14:textId="77777777" w:rsidR="00A775DB" w:rsidRPr="00B0658A" w:rsidRDefault="00A775DB" w:rsidP="004F1366">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79" w:type="dxa"/>
            <w:vAlign w:val="center"/>
          </w:tcPr>
          <w:p w14:paraId="473D63D8"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auto" w:fill="auto"/>
            <w:vAlign w:val="center"/>
            <w:hideMark/>
          </w:tcPr>
          <w:p w14:paraId="192C21F9"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auto" w:fill="auto"/>
            <w:vAlign w:val="center"/>
            <w:hideMark/>
          </w:tcPr>
          <w:p w14:paraId="4D201264"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auto" w:fill="auto"/>
            <w:vAlign w:val="center"/>
            <w:hideMark/>
          </w:tcPr>
          <w:p w14:paraId="626E645D" w14:textId="77777777" w:rsidR="00A775DB" w:rsidRPr="00B0658A" w:rsidRDefault="00A775DB" w:rsidP="004F1366">
            <w:pPr>
              <w:spacing w:after="0" w:line="240" w:lineRule="auto"/>
              <w:jc w:val="center"/>
              <w:rPr>
                <w:rFonts w:ascii="Times New Roman" w:hAnsi="Times New Roman"/>
                <w:sz w:val="18"/>
                <w:szCs w:val="18"/>
              </w:rPr>
            </w:pPr>
          </w:p>
        </w:tc>
        <w:tc>
          <w:tcPr>
            <w:tcW w:w="992" w:type="dxa"/>
            <w:vAlign w:val="center"/>
          </w:tcPr>
          <w:p w14:paraId="400D1C0D" w14:textId="77777777" w:rsidR="00A775DB" w:rsidRPr="00B0658A" w:rsidRDefault="00A775DB" w:rsidP="004F1366">
            <w:pPr>
              <w:spacing w:after="0" w:line="240" w:lineRule="auto"/>
              <w:jc w:val="center"/>
              <w:rPr>
                <w:rFonts w:ascii="Times New Roman" w:hAnsi="Times New Roman"/>
                <w:sz w:val="18"/>
                <w:szCs w:val="18"/>
              </w:rPr>
            </w:pPr>
          </w:p>
        </w:tc>
        <w:tc>
          <w:tcPr>
            <w:tcW w:w="803" w:type="dxa"/>
            <w:shd w:val="clear" w:color="auto" w:fill="auto"/>
            <w:vAlign w:val="center"/>
            <w:hideMark/>
          </w:tcPr>
          <w:p w14:paraId="51F9F783" w14:textId="77777777" w:rsidR="00A775DB" w:rsidRPr="00B0658A" w:rsidRDefault="00A775DB" w:rsidP="004F1366">
            <w:pPr>
              <w:spacing w:after="0" w:line="240" w:lineRule="auto"/>
              <w:jc w:val="center"/>
              <w:rPr>
                <w:rFonts w:ascii="Times New Roman" w:hAnsi="Times New Roman"/>
                <w:sz w:val="18"/>
                <w:szCs w:val="18"/>
              </w:rPr>
            </w:pPr>
          </w:p>
        </w:tc>
        <w:tc>
          <w:tcPr>
            <w:tcW w:w="803" w:type="dxa"/>
            <w:shd w:val="clear" w:color="auto" w:fill="auto"/>
            <w:vAlign w:val="center"/>
            <w:hideMark/>
          </w:tcPr>
          <w:p w14:paraId="7D993FCB" w14:textId="77777777" w:rsidR="00A775DB" w:rsidRPr="00B0658A" w:rsidRDefault="00A775DB" w:rsidP="004F1366">
            <w:pPr>
              <w:spacing w:after="0" w:line="240" w:lineRule="auto"/>
              <w:jc w:val="center"/>
              <w:rPr>
                <w:rFonts w:ascii="Times New Roman" w:hAnsi="Times New Roman"/>
                <w:sz w:val="18"/>
                <w:szCs w:val="18"/>
              </w:rPr>
            </w:pPr>
          </w:p>
        </w:tc>
        <w:tc>
          <w:tcPr>
            <w:tcW w:w="804" w:type="dxa"/>
            <w:shd w:val="clear" w:color="auto" w:fill="auto"/>
            <w:vAlign w:val="center"/>
            <w:hideMark/>
          </w:tcPr>
          <w:p w14:paraId="7B313B77" w14:textId="77777777" w:rsidR="00A775DB" w:rsidRPr="00B0658A" w:rsidRDefault="00A775DB" w:rsidP="004F1366">
            <w:pPr>
              <w:spacing w:after="0" w:line="240" w:lineRule="auto"/>
              <w:jc w:val="center"/>
              <w:rPr>
                <w:rFonts w:ascii="Times New Roman" w:hAnsi="Times New Roman"/>
                <w:sz w:val="18"/>
                <w:szCs w:val="18"/>
              </w:rPr>
            </w:pPr>
          </w:p>
        </w:tc>
        <w:tc>
          <w:tcPr>
            <w:tcW w:w="1530" w:type="dxa"/>
            <w:vAlign w:val="center"/>
          </w:tcPr>
          <w:p w14:paraId="2AC333A7" w14:textId="77777777" w:rsidR="00A775DB" w:rsidRPr="00B0658A" w:rsidRDefault="00A775DB" w:rsidP="004F1366">
            <w:pPr>
              <w:spacing w:after="0" w:line="240" w:lineRule="auto"/>
              <w:jc w:val="center"/>
              <w:rPr>
                <w:rFonts w:ascii="Times New Roman" w:hAnsi="Times New Roman"/>
                <w:sz w:val="18"/>
                <w:szCs w:val="18"/>
              </w:rPr>
            </w:pPr>
          </w:p>
        </w:tc>
      </w:tr>
      <w:tr w:rsidR="00F52FED" w:rsidRPr="00B0658A" w14:paraId="462C1E26" w14:textId="77777777" w:rsidTr="004F1366">
        <w:trPr>
          <w:trHeight w:val="20"/>
        </w:trPr>
        <w:tc>
          <w:tcPr>
            <w:tcW w:w="578" w:type="dxa"/>
            <w:shd w:val="clear" w:color="000000" w:fill="FFFFFF"/>
            <w:vAlign w:val="center"/>
          </w:tcPr>
          <w:p w14:paraId="4EE27363" w14:textId="77777777" w:rsidR="00A775DB" w:rsidRPr="00B0658A" w:rsidRDefault="00A775DB" w:rsidP="004F1366">
            <w:pPr>
              <w:spacing w:after="0" w:line="240" w:lineRule="auto"/>
              <w:jc w:val="center"/>
              <w:rPr>
                <w:rFonts w:ascii="Times New Roman" w:hAnsi="Times New Roman"/>
                <w:sz w:val="18"/>
                <w:szCs w:val="18"/>
              </w:rPr>
            </w:pPr>
            <w:r w:rsidRPr="00B0658A">
              <w:rPr>
                <w:rFonts w:ascii="Times New Roman" w:hAnsi="Times New Roman"/>
                <w:sz w:val="18"/>
                <w:szCs w:val="18"/>
              </w:rPr>
              <w:t>2.10</w:t>
            </w:r>
          </w:p>
        </w:tc>
        <w:tc>
          <w:tcPr>
            <w:tcW w:w="3812" w:type="dxa"/>
            <w:shd w:val="clear" w:color="auto" w:fill="auto"/>
            <w:vAlign w:val="center"/>
            <w:hideMark/>
          </w:tcPr>
          <w:p w14:paraId="6071863D" w14:textId="77777777" w:rsidR="00A775DB" w:rsidRPr="00B0658A" w:rsidRDefault="00A775DB" w:rsidP="004F1366">
            <w:pPr>
              <w:spacing w:after="0" w:line="240" w:lineRule="auto"/>
              <w:rPr>
                <w:rFonts w:ascii="Times New Roman" w:hAnsi="Times New Roman"/>
                <w:sz w:val="18"/>
                <w:szCs w:val="18"/>
              </w:rPr>
            </w:pPr>
            <w:r w:rsidRPr="00B0658A">
              <w:rPr>
                <w:rFonts w:ascii="Times New Roman" w:hAnsi="Times New Roman"/>
                <w:sz w:val="18"/>
                <w:szCs w:val="18"/>
              </w:rPr>
              <w:t>Системное программное обеспечение/ Операционные системы реального времени</w:t>
            </w:r>
          </w:p>
        </w:tc>
        <w:tc>
          <w:tcPr>
            <w:tcW w:w="1842" w:type="dxa"/>
            <w:shd w:val="clear" w:color="000000" w:fill="FFFFFF"/>
            <w:hideMark/>
          </w:tcPr>
          <w:p w14:paraId="7E37B3DD" w14:textId="77777777" w:rsidR="00A775DB" w:rsidRPr="00B0658A" w:rsidRDefault="00A775DB" w:rsidP="004F1366">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79" w:type="dxa"/>
            <w:vAlign w:val="center"/>
          </w:tcPr>
          <w:p w14:paraId="39FC2018"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auto" w:fill="auto"/>
            <w:vAlign w:val="center"/>
            <w:hideMark/>
          </w:tcPr>
          <w:p w14:paraId="18680779"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auto" w:fill="auto"/>
            <w:vAlign w:val="center"/>
            <w:hideMark/>
          </w:tcPr>
          <w:p w14:paraId="69F35CC2"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auto" w:fill="auto"/>
            <w:vAlign w:val="center"/>
            <w:hideMark/>
          </w:tcPr>
          <w:p w14:paraId="383A7A55" w14:textId="77777777" w:rsidR="00A775DB" w:rsidRPr="00B0658A" w:rsidRDefault="00A775DB" w:rsidP="004F1366">
            <w:pPr>
              <w:spacing w:after="0" w:line="240" w:lineRule="auto"/>
              <w:jc w:val="center"/>
              <w:rPr>
                <w:rFonts w:ascii="Times New Roman" w:hAnsi="Times New Roman"/>
                <w:sz w:val="18"/>
                <w:szCs w:val="18"/>
              </w:rPr>
            </w:pPr>
          </w:p>
        </w:tc>
        <w:tc>
          <w:tcPr>
            <w:tcW w:w="992" w:type="dxa"/>
            <w:vAlign w:val="center"/>
          </w:tcPr>
          <w:p w14:paraId="3673F262" w14:textId="77777777" w:rsidR="00A775DB" w:rsidRPr="00B0658A" w:rsidRDefault="00A775DB" w:rsidP="004F1366">
            <w:pPr>
              <w:spacing w:after="0" w:line="240" w:lineRule="auto"/>
              <w:jc w:val="center"/>
              <w:rPr>
                <w:rFonts w:ascii="Times New Roman" w:hAnsi="Times New Roman"/>
                <w:sz w:val="18"/>
                <w:szCs w:val="18"/>
              </w:rPr>
            </w:pPr>
          </w:p>
        </w:tc>
        <w:tc>
          <w:tcPr>
            <w:tcW w:w="803" w:type="dxa"/>
            <w:shd w:val="clear" w:color="auto" w:fill="auto"/>
            <w:vAlign w:val="center"/>
            <w:hideMark/>
          </w:tcPr>
          <w:p w14:paraId="19267BD6" w14:textId="77777777" w:rsidR="00A775DB" w:rsidRPr="00B0658A" w:rsidRDefault="00A775DB" w:rsidP="004F1366">
            <w:pPr>
              <w:spacing w:after="0" w:line="240" w:lineRule="auto"/>
              <w:jc w:val="center"/>
              <w:rPr>
                <w:rFonts w:ascii="Times New Roman" w:hAnsi="Times New Roman"/>
                <w:sz w:val="18"/>
                <w:szCs w:val="18"/>
              </w:rPr>
            </w:pPr>
          </w:p>
        </w:tc>
        <w:tc>
          <w:tcPr>
            <w:tcW w:w="803" w:type="dxa"/>
            <w:shd w:val="clear" w:color="auto" w:fill="auto"/>
            <w:vAlign w:val="center"/>
            <w:hideMark/>
          </w:tcPr>
          <w:p w14:paraId="7469793C" w14:textId="77777777" w:rsidR="00A775DB" w:rsidRPr="00B0658A" w:rsidRDefault="00A775DB" w:rsidP="004F1366">
            <w:pPr>
              <w:spacing w:after="0" w:line="240" w:lineRule="auto"/>
              <w:jc w:val="center"/>
              <w:rPr>
                <w:rFonts w:ascii="Times New Roman" w:hAnsi="Times New Roman"/>
                <w:sz w:val="18"/>
                <w:szCs w:val="18"/>
              </w:rPr>
            </w:pPr>
          </w:p>
        </w:tc>
        <w:tc>
          <w:tcPr>
            <w:tcW w:w="804" w:type="dxa"/>
            <w:shd w:val="clear" w:color="auto" w:fill="auto"/>
            <w:vAlign w:val="center"/>
            <w:hideMark/>
          </w:tcPr>
          <w:p w14:paraId="0D5CF15B" w14:textId="77777777" w:rsidR="00A775DB" w:rsidRPr="00B0658A" w:rsidRDefault="00A775DB" w:rsidP="004F1366">
            <w:pPr>
              <w:spacing w:after="0" w:line="240" w:lineRule="auto"/>
              <w:jc w:val="center"/>
              <w:rPr>
                <w:rFonts w:ascii="Times New Roman" w:hAnsi="Times New Roman"/>
                <w:sz w:val="18"/>
                <w:szCs w:val="18"/>
              </w:rPr>
            </w:pPr>
          </w:p>
        </w:tc>
        <w:tc>
          <w:tcPr>
            <w:tcW w:w="1530" w:type="dxa"/>
            <w:vAlign w:val="center"/>
          </w:tcPr>
          <w:p w14:paraId="41A3DB98" w14:textId="77777777" w:rsidR="00A775DB" w:rsidRPr="00B0658A" w:rsidRDefault="00A775DB" w:rsidP="004F1366">
            <w:pPr>
              <w:spacing w:after="0" w:line="240" w:lineRule="auto"/>
              <w:jc w:val="center"/>
              <w:rPr>
                <w:rFonts w:ascii="Times New Roman" w:hAnsi="Times New Roman"/>
                <w:sz w:val="18"/>
                <w:szCs w:val="18"/>
              </w:rPr>
            </w:pPr>
          </w:p>
        </w:tc>
      </w:tr>
      <w:tr w:rsidR="00F52FED" w:rsidRPr="00B0658A" w14:paraId="420D66CE" w14:textId="77777777" w:rsidTr="004F1366">
        <w:trPr>
          <w:trHeight w:val="20"/>
        </w:trPr>
        <w:tc>
          <w:tcPr>
            <w:tcW w:w="578" w:type="dxa"/>
            <w:shd w:val="clear" w:color="000000" w:fill="FFFFFF"/>
            <w:vAlign w:val="center"/>
          </w:tcPr>
          <w:p w14:paraId="258D8008" w14:textId="77777777" w:rsidR="00A775DB" w:rsidRPr="00B0658A" w:rsidRDefault="00A775DB" w:rsidP="004F1366">
            <w:pPr>
              <w:spacing w:after="0" w:line="240" w:lineRule="auto"/>
              <w:jc w:val="center"/>
              <w:rPr>
                <w:rFonts w:ascii="Times New Roman" w:hAnsi="Times New Roman"/>
                <w:sz w:val="18"/>
                <w:szCs w:val="18"/>
              </w:rPr>
            </w:pPr>
            <w:r w:rsidRPr="00B0658A">
              <w:rPr>
                <w:rFonts w:ascii="Times New Roman" w:hAnsi="Times New Roman"/>
                <w:sz w:val="18"/>
                <w:szCs w:val="18"/>
              </w:rPr>
              <w:t>2.11</w:t>
            </w:r>
          </w:p>
        </w:tc>
        <w:tc>
          <w:tcPr>
            <w:tcW w:w="3812" w:type="dxa"/>
            <w:shd w:val="clear" w:color="auto" w:fill="auto"/>
            <w:vAlign w:val="center"/>
            <w:hideMark/>
          </w:tcPr>
          <w:p w14:paraId="40757FC8" w14:textId="77777777" w:rsidR="00A775DB" w:rsidRPr="00B0658A" w:rsidRDefault="00A775DB" w:rsidP="004F1366">
            <w:pPr>
              <w:spacing w:after="0" w:line="240" w:lineRule="auto"/>
              <w:rPr>
                <w:rFonts w:ascii="Times New Roman" w:hAnsi="Times New Roman"/>
                <w:sz w:val="18"/>
                <w:szCs w:val="18"/>
              </w:rPr>
            </w:pPr>
            <w:r w:rsidRPr="00B0658A">
              <w:rPr>
                <w:rFonts w:ascii="Times New Roman" w:hAnsi="Times New Roman"/>
                <w:sz w:val="18"/>
                <w:szCs w:val="18"/>
              </w:rPr>
              <w:t>Системное программное обеспечение/ Мобильная операционная система</w:t>
            </w:r>
          </w:p>
        </w:tc>
        <w:tc>
          <w:tcPr>
            <w:tcW w:w="1842" w:type="dxa"/>
            <w:shd w:val="clear" w:color="000000" w:fill="FFFFFF"/>
            <w:hideMark/>
          </w:tcPr>
          <w:p w14:paraId="76B4036E" w14:textId="77777777" w:rsidR="00A775DB" w:rsidRPr="00B0658A" w:rsidRDefault="00A775DB" w:rsidP="004F1366">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79" w:type="dxa"/>
            <w:vAlign w:val="center"/>
          </w:tcPr>
          <w:p w14:paraId="72F482C0"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auto" w:fill="auto"/>
            <w:vAlign w:val="center"/>
            <w:hideMark/>
          </w:tcPr>
          <w:p w14:paraId="29490041"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auto" w:fill="auto"/>
            <w:vAlign w:val="center"/>
            <w:hideMark/>
          </w:tcPr>
          <w:p w14:paraId="709B84DE"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auto" w:fill="auto"/>
            <w:vAlign w:val="center"/>
            <w:hideMark/>
          </w:tcPr>
          <w:p w14:paraId="19452EE3" w14:textId="77777777" w:rsidR="00A775DB" w:rsidRPr="00B0658A" w:rsidRDefault="00A775DB" w:rsidP="004F1366">
            <w:pPr>
              <w:spacing w:after="0" w:line="240" w:lineRule="auto"/>
              <w:jc w:val="center"/>
              <w:rPr>
                <w:rFonts w:ascii="Times New Roman" w:hAnsi="Times New Roman"/>
                <w:sz w:val="18"/>
                <w:szCs w:val="18"/>
              </w:rPr>
            </w:pPr>
          </w:p>
        </w:tc>
        <w:tc>
          <w:tcPr>
            <w:tcW w:w="992" w:type="dxa"/>
            <w:vAlign w:val="center"/>
          </w:tcPr>
          <w:p w14:paraId="0E248639" w14:textId="77777777" w:rsidR="00A775DB" w:rsidRPr="00B0658A" w:rsidRDefault="00A775DB" w:rsidP="004F1366">
            <w:pPr>
              <w:spacing w:after="0" w:line="240" w:lineRule="auto"/>
              <w:jc w:val="center"/>
              <w:rPr>
                <w:rFonts w:ascii="Times New Roman" w:hAnsi="Times New Roman"/>
                <w:sz w:val="18"/>
                <w:szCs w:val="18"/>
              </w:rPr>
            </w:pPr>
          </w:p>
        </w:tc>
        <w:tc>
          <w:tcPr>
            <w:tcW w:w="803" w:type="dxa"/>
            <w:shd w:val="clear" w:color="auto" w:fill="auto"/>
            <w:vAlign w:val="center"/>
            <w:hideMark/>
          </w:tcPr>
          <w:p w14:paraId="2A3DDE53" w14:textId="77777777" w:rsidR="00A775DB" w:rsidRPr="00B0658A" w:rsidRDefault="00A775DB" w:rsidP="004F1366">
            <w:pPr>
              <w:spacing w:after="0" w:line="240" w:lineRule="auto"/>
              <w:jc w:val="center"/>
              <w:rPr>
                <w:rFonts w:ascii="Times New Roman" w:hAnsi="Times New Roman"/>
                <w:sz w:val="18"/>
                <w:szCs w:val="18"/>
              </w:rPr>
            </w:pPr>
          </w:p>
        </w:tc>
        <w:tc>
          <w:tcPr>
            <w:tcW w:w="803" w:type="dxa"/>
            <w:shd w:val="clear" w:color="auto" w:fill="auto"/>
            <w:vAlign w:val="center"/>
            <w:hideMark/>
          </w:tcPr>
          <w:p w14:paraId="2286D0AC" w14:textId="77777777" w:rsidR="00A775DB" w:rsidRPr="00B0658A" w:rsidRDefault="00A775DB" w:rsidP="004F1366">
            <w:pPr>
              <w:spacing w:after="0" w:line="240" w:lineRule="auto"/>
              <w:jc w:val="center"/>
              <w:rPr>
                <w:rFonts w:ascii="Times New Roman" w:hAnsi="Times New Roman"/>
                <w:sz w:val="18"/>
                <w:szCs w:val="18"/>
              </w:rPr>
            </w:pPr>
          </w:p>
        </w:tc>
        <w:tc>
          <w:tcPr>
            <w:tcW w:w="804" w:type="dxa"/>
            <w:shd w:val="clear" w:color="auto" w:fill="auto"/>
            <w:vAlign w:val="center"/>
            <w:hideMark/>
          </w:tcPr>
          <w:p w14:paraId="29002B01" w14:textId="77777777" w:rsidR="00A775DB" w:rsidRPr="00B0658A" w:rsidRDefault="00A775DB" w:rsidP="004F1366">
            <w:pPr>
              <w:spacing w:after="0" w:line="240" w:lineRule="auto"/>
              <w:jc w:val="center"/>
              <w:rPr>
                <w:rFonts w:ascii="Times New Roman" w:hAnsi="Times New Roman"/>
                <w:sz w:val="18"/>
                <w:szCs w:val="18"/>
              </w:rPr>
            </w:pPr>
          </w:p>
        </w:tc>
        <w:tc>
          <w:tcPr>
            <w:tcW w:w="1530" w:type="dxa"/>
            <w:vAlign w:val="center"/>
          </w:tcPr>
          <w:p w14:paraId="067E9B03" w14:textId="77777777" w:rsidR="00A775DB" w:rsidRPr="00B0658A" w:rsidRDefault="00A775DB" w:rsidP="004F1366">
            <w:pPr>
              <w:spacing w:after="0" w:line="240" w:lineRule="auto"/>
              <w:jc w:val="center"/>
              <w:rPr>
                <w:rFonts w:ascii="Times New Roman" w:hAnsi="Times New Roman"/>
                <w:sz w:val="18"/>
                <w:szCs w:val="18"/>
              </w:rPr>
            </w:pPr>
          </w:p>
        </w:tc>
      </w:tr>
      <w:tr w:rsidR="00F52FED" w:rsidRPr="00B0658A" w14:paraId="2CBB2052" w14:textId="77777777" w:rsidTr="004F1366">
        <w:trPr>
          <w:trHeight w:val="20"/>
        </w:trPr>
        <w:tc>
          <w:tcPr>
            <w:tcW w:w="578" w:type="dxa"/>
            <w:shd w:val="clear" w:color="000000" w:fill="FFFFFF"/>
            <w:vAlign w:val="center"/>
          </w:tcPr>
          <w:p w14:paraId="172DC6D4" w14:textId="77777777" w:rsidR="00A775DB" w:rsidRPr="00B0658A" w:rsidRDefault="00A775DB" w:rsidP="004F1366">
            <w:pPr>
              <w:spacing w:after="0" w:line="240" w:lineRule="auto"/>
              <w:jc w:val="center"/>
              <w:rPr>
                <w:rFonts w:ascii="Times New Roman" w:hAnsi="Times New Roman"/>
                <w:sz w:val="18"/>
                <w:szCs w:val="18"/>
              </w:rPr>
            </w:pPr>
            <w:r w:rsidRPr="00B0658A">
              <w:rPr>
                <w:rFonts w:ascii="Times New Roman" w:hAnsi="Times New Roman"/>
                <w:sz w:val="18"/>
                <w:szCs w:val="18"/>
              </w:rPr>
              <w:t>2.12</w:t>
            </w:r>
          </w:p>
        </w:tc>
        <w:tc>
          <w:tcPr>
            <w:tcW w:w="3812" w:type="dxa"/>
            <w:shd w:val="clear" w:color="auto" w:fill="auto"/>
            <w:vAlign w:val="center"/>
            <w:hideMark/>
          </w:tcPr>
          <w:p w14:paraId="52316C43" w14:textId="77777777" w:rsidR="00A775DB" w:rsidRPr="00B0658A" w:rsidRDefault="00A775DB" w:rsidP="004F1366">
            <w:pPr>
              <w:spacing w:after="0" w:line="240" w:lineRule="auto"/>
              <w:rPr>
                <w:rFonts w:ascii="Times New Roman" w:hAnsi="Times New Roman"/>
                <w:sz w:val="18"/>
                <w:szCs w:val="18"/>
              </w:rPr>
            </w:pPr>
            <w:r w:rsidRPr="00B0658A">
              <w:rPr>
                <w:rFonts w:ascii="Times New Roman" w:hAnsi="Times New Roman"/>
                <w:sz w:val="18"/>
                <w:szCs w:val="18"/>
              </w:rPr>
              <w:t>Системное программное обеспечение / Системы контейнеризации и контейнеры</w:t>
            </w:r>
          </w:p>
        </w:tc>
        <w:tc>
          <w:tcPr>
            <w:tcW w:w="1842" w:type="dxa"/>
            <w:shd w:val="clear" w:color="000000" w:fill="FFFFFF"/>
            <w:hideMark/>
          </w:tcPr>
          <w:p w14:paraId="4D13177D" w14:textId="77777777" w:rsidR="00A775DB" w:rsidRPr="00B0658A" w:rsidRDefault="00A775DB" w:rsidP="004F1366">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79" w:type="dxa"/>
            <w:vAlign w:val="center"/>
          </w:tcPr>
          <w:p w14:paraId="7078E562"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auto" w:fill="auto"/>
            <w:vAlign w:val="center"/>
            <w:hideMark/>
          </w:tcPr>
          <w:p w14:paraId="6904CBAC"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auto" w:fill="auto"/>
            <w:vAlign w:val="center"/>
            <w:hideMark/>
          </w:tcPr>
          <w:p w14:paraId="7806750D"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auto" w:fill="auto"/>
            <w:vAlign w:val="center"/>
            <w:hideMark/>
          </w:tcPr>
          <w:p w14:paraId="2AC55F52" w14:textId="77777777" w:rsidR="00A775DB" w:rsidRPr="00B0658A" w:rsidRDefault="00A775DB" w:rsidP="004F1366">
            <w:pPr>
              <w:spacing w:after="0" w:line="240" w:lineRule="auto"/>
              <w:jc w:val="center"/>
              <w:rPr>
                <w:rFonts w:ascii="Times New Roman" w:hAnsi="Times New Roman"/>
                <w:sz w:val="18"/>
                <w:szCs w:val="18"/>
              </w:rPr>
            </w:pPr>
          </w:p>
        </w:tc>
        <w:tc>
          <w:tcPr>
            <w:tcW w:w="992" w:type="dxa"/>
            <w:vAlign w:val="center"/>
          </w:tcPr>
          <w:p w14:paraId="70E6A055" w14:textId="77777777" w:rsidR="00A775DB" w:rsidRPr="00B0658A" w:rsidRDefault="00A775DB" w:rsidP="004F1366">
            <w:pPr>
              <w:spacing w:after="0" w:line="240" w:lineRule="auto"/>
              <w:jc w:val="center"/>
              <w:rPr>
                <w:rFonts w:ascii="Times New Roman" w:hAnsi="Times New Roman"/>
                <w:sz w:val="18"/>
                <w:szCs w:val="18"/>
              </w:rPr>
            </w:pPr>
          </w:p>
        </w:tc>
        <w:tc>
          <w:tcPr>
            <w:tcW w:w="803" w:type="dxa"/>
            <w:shd w:val="clear" w:color="auto" w:fill="auto"/>
            <w:vAlign w:val="center"/>
            <w:hideMark/>
          </w:tcPr>
          <w:p w14:paraId="5AA1CB06" w14:textId="77777777" w:rsidR="00A775DB" w:rsidRPr="00B0658A" w:rsidRDefault="00A775DB" w:rsidP="004F1366">
            <w:pPr>
              <w:spacing w:after="0" w:line="240" w:lineRule="auto"/>
              <w:jc w:val="center"/>
              <w:rPr>
                <w:rFonts w:ascii="Times New Roman" w:hAnsi="Times New Roman"/>
                <w:sz w:val="18"/>
                <w:szCs w:val="18"/>
              </w:rPr>
            </w:pPr>
          </w:p>
        </w:tc>
        <w:tc>
          <w:tcPr>
            <w:tcW w:w="803" w:type="dxa"/>
            <w:shd w:val="clear" w:color="auto" w:fill="auto"/>
            <w:vAlign w:val="center"/>
            <w:hideMark/>
          </w:tcPr>
          <w:p w14:paraId="0BF67F9F" w14:textId="77777777" w:rsidR="00A775DB" w:rsidRPr="00B0658A" w:rsidRDefault="00A775DB" w:rsidP="004F1366">
            <w:pPr>
              <w:spacing w:after="0" w:line="240" w:lineRule="auto"/>
              <w:jc w:val="center"/>
              <w:rPr>
                <w:rFonts w:ascii="Times New Roman" w:hAnsi="Times New Roman"/>
                <w:sz w:val="18"/>
                <w:szCs w:val="18"/>
              </w:rPr>
            </w:pPr>
          </w:p>
        </w:tc>
        <w:tc>
          <w:tcPr>
            <w:tcW w:w="804" w:type="dxa"/>
            <w:shd w:val="clear" w:color="auto" w:fill="auto"/>
            <w:vAlign w:val="center"/>
            <w:hideMark/>
          </w:tcPr>
          <w:p w14:paraId="0A8AB375" w14:textId="77777777" w:rsidR="00A775DB" w:rsidRPr="00B0658A" w:rsidRDefault="00A775DB" w:rsidP="004F1366">
            <w:pPr>
              <w:spacing w:after="0" w:line="240" w:lineRule="auto"/>
              <w:jc w:val="center"/>
              <w:rPr>
                <w:rFonts w:ascii="Times New Roman" w:hAnsi="Times New Roman"/>
                <w:sz w:val="18"/>
                <w:szCs w:val="18"/>
              </w:rPr>
            </w:pPr>
          </w:p>
        </w:tc>
        <w:tc>
          <w:tcPr>
            <w:tcW w:w="1530" w:type="dxa"/>
            <w:vAlign w:val="center"/>
          </w:tcPr>
          <w:p w14:paraId="061347EE" w14:textId="77777777" w:rsidR="00A775DB" w:rsidRPr="00B0658A" w:rsidRDefault="00A775DB" w:rsidP="004F1366">
            <w:pPr>
              <w:spacing w:after="0" w:line="240" w:lineRule="auto"/>
              <w:jc w:val="center"/>
              <w:rPr>
                <w:rFonts w:ascii="Times New Roman" w:hAnsi="Times New Roman"/>
                <w:sz w:val="18"/>
                <w:szCs w:val="18"/>
              </w:rPr>
            </w:pPr>
          </w:p>
        </w:tc>
      </w:tr>
      <w:tr w:rsidR="00F52FED" w:rsidRPr="00B0658A" w14:paraId="2CE5518A" w14:textId="77777777" w:rsidTr="004F1366">
        <w:trPr>
          <w:trHeight w:val="20"/>
        </w:trPr>
        <w:tc>
          <w:tcPr>
            <w:tcW w:w="578" w:type="dxa"/>
            <w:shd w:val="clear" w:color="000000" w:fill="FFFFFF"/>
            <w:vAlign w:val="center"/>
          </w:tcPr>
          <w:p w14:paraId="21D3BFBC" w14:textId="77777777" w:rsidR="00A775DB" w:rsidRPr="00B0658A" w:rsidRDefault="00A775DB" w:rsidP="004F1366">
            <w:pPr>
              <w:spacing w:after="0" w:line="240" w:lineRule="auto"/>
              <w:jc w:val="center"/>
              <w:rPr>
                <w:rFonts w:ascii="Times New Roman" w:hAnsi="Times New Roman"/>
                <w:sz w:val="18"/>
                <w:szCs w:val="18"/>
              </w:rPr>
            </w:pPr>
            <w:r w:rsidRPr="00B0658A">
              <w:rPr>
                <w:rFonts w:ascii="Times New Roman" w:hAnsi="Times New Roman"/>
                <w:sz w:val="18"/>
                <w:szCs w:val="18"/>
              </w:rPr>
              <w:t>3.1</w:t>
            </w:r>
          </w:p>
        </w:tc>
        <w:tc>
          <w:tcPr>
            <w:tcW w:w="3812" w:type="dxa"/>
            <w:shd w:val="clear" w:color="auto" w:fill="auto"/>
            <w:vAlign w:val="center"/>
            <w:hideMark/>
          </w:tcPr>
          <w:p w14:paraId="536F4FE2" w14:textId="77777777" w:rsidR="00A775DB" w:rsidRPr="00B0658A" w:rsidRDefault="00A775DB" w:rsidP="004F1366">
            <w:pPr>
              <w:spacing w:after="0" w:line="240" w:lineRule="auto"/>
              <w:rPr>
                <w:rFonts w:ascii="Times New Roman" w:hAnsi="Times New Roman"/>
                <w:sz w:val="18"/>
                <w:szCs w:val="18"/>
              </w:rPr>
            </w:pPr>
            <w:r w:rsidRPr="00B0658A">
              <w:rPr>
                <w:rFonts w:ascii="Times New Roman" w:hAnsi="Times New Roman"/>
                <w:sz w:val="18"/>
                <w:szCs w:val="18"/>
              </w:rPr>
              <w:t>Средства обеспечения информационной безопасности/ Средства защиты от несанкционированного доступа к информации</w:t>
            </w:r>
          </w:p>
        </w:tc>
        <w:tc>
          <w:tcPr>
            <w:tcW w:w="1842" w:type="dxa"/>
            <w:shd w:val="clear" w:color="000000" w:fill="FFFFFF"/>
            <w:hideMark/>
          </w:tcPr>
          <w:p w14:paraId="705880F8" w14:textId="77777777" w:rsidR="00A775DB" w:rsidRPr="00B0658A" w:rsidRDefault="00A775DB" w:rsidP="004F1366">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79" w:type="dxa"/>
            <w:vAlign w:val="center"/>
          </w:tcPr>
          <w:p w14:paraId="0E588B34"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auto" w:fill="auto"/>
            <w:vAlign w:val="center"/>
            <w:hideMark/>
          </w:tcPr>
          <w:p w14:paraId="75E10CF3"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auto" w:fill="auto"/>
            <w:vAlign w:val="center"/>
            <w:hideMark/>
          </w:tcPr>
          <w:p w14:paraId="55BAB5EB"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auto" w:fill="auto"/>
            <w:vAlign w:val="center"/>
            <w:hideMark/>
          </w:tcPr>
          <w:p w14:paraId="76E1EB15" w14:textId="77777777" w:rsidR="00A775DB" w:rsidRPr="00B0658A" w:rsidRDefault="00A775DB" w:rsidP="004F1366">
            <w:pPr>
              <w:spacing w:after="0" w:line="240" w:lineRule="auto"/>
              <w:jc w:val="center"/>
              <w:rPr>
                <w:rFonts w:ascii="Times New Roman" w:hAnsi="Times New Roman"/>
                <w:sz w:val="18"/>
                <w:szCs w:val="18"/>
              </w:rPr>
            </w:pPr>
          </w:p>
        </w:tc>
        <w:tc>
          <w:tcPr>
            <w:tcW w:w="992" w:type="dxa"/>
            <w:vAlign w:val="center"/>
          </w:tcPr>
          <w:p w14:paraId="5404885A" w14:textId="77777777" w:rsidR="00A775DB" w:rsidRPr="00B0658A" w:rsidRDefault="00A775DB" w:rsidP="004F1366">
            <w:pPr>
              <w:spacing w:after="0" w:line="240" w:lineRule="auto"/>
              <w:jc w:val="center"/>
              <w:rPr>
                <w:rFonts w:ascii="Times New Roman" w:hAnsi="Times New Roman"/>
                <w:sz w:val="18"/>
                <w:szCs w:val="18"/>
              </w:rPr>
            </w:pPr>
          </w:p>
        </w:tc>
        <w:tc>
          <w:tcPr>
            <w:tcW w:w="803" w:type="dxa"/>
            <w:shd w:val="clear" w:color="auto" w:fill="auto"/>
            <w:vAlign w:val="center"/>
            <w:hideMark/>
          </w:tcPr>
          <w:p w14:paraId="4CEFCB1F" w14:textId="77777777" w:rsidR="00A775DB" w:rsidRPr="00B0658A" w:rsidRDefault="00A775DB" w:rsidP="004F1366">
            <w:pPr>
              <w:spacing w:after="0" w:line="240" w:lineRule="auto"/>
              <w:jc w:val="center"/>
              <w:rPr>
                <w:rFonts w:ascii="Times New Roman" w:hAnsi="Times New Roman"/>
                <w:sz w:val="18"/>
                <w:szCs w:val="18"/>
              </w:rPr>
            </w:pPr>
          </w:p>
        </w:tc>
        <w:tc>
          <w:tcPr>
            <w:tcW w:w="803" w:type="dxa"/>
            <w:shd w:val="clear" w:color="auto" w:fill="auto"/>
            <w:vAlign w:val="center"/>
            <w:hideMark/>
          </w:tcPr>
          <w:p w14:paraId="265049B7" w14:textId="77777777" w:rsidR="00A775DB" w:rsidRPr="00B0658A" w:rsidRDefault="00A775DB" w:rsidP="004F1366">
            <w:pPr>
              <w:spacing w:after="0" w:line="240" w:lineRule="auto"/>
              <w:jc w:val="center"/>
              <w:rPr>
                <w:rFonts w:ascii="Times New Roman" w:hAnsi="Times New Roman"/>
                <w:sz w:val="18"/>
                <w:szCs w:val="18"/>
              </w:rPr>
            </w:pPr>
          </w:p>
        </w:tc>
        <w:tc>
          <w:tcPr>
            <w:tcW w:w="804" w:type="dxa"/>
            <w:shd w:val="clear" w:color="auto" w:fill="auto"/>
            <w:vAlign w:val="center"/>
            <w:hideMark/>
          </w:tcPr>
          <w:p w14:paraId="7128C912" w14:textId="77777777" w:rsidR="00A775DB" w:rsidRPr="00B0658A" w:rsidRDefault="00A775DB" w:rsidP="004F1366">
            <w:pPr>
              <w:spacing w:after="0" w:line="240" w:lineRule="auto"/>
              <w:jc w:val="center"/>
              <w:rPr>
                <w:rFonts w:ascii="Times New Roman" w:hAnsi="Times New Roman"/>
                <w:sz w:val="18"/>
                <w:szCs w:val="18"/>
              </w:rPr>
            </w:pPr>
          </w:p>
        </w:tc>
        <w:tc>
          <w:tcPr>
            <w:tcW w:w="1530" w:type="dxa"/>
            <w:vAlign w:val="center"/>
          </w:tcPr>
          <w:p w14:paraId="44B69E57" w14:textId="77777777" w:rsidR="00A775DB" w:rsidRPr="00B0658A" w:rsidRDefault="00A775DB" w:rsidP="004F1366">
            <w:pPr>
              <w:spacing w:after="0" w:line="240" w:lineRule="auto"/>
              <w:jc w:val="center"/>
              <w:rPr>
                <w:rFonts w:ascii="Times New Roman" w:hAnsi="Times New Roman"/>
                <w:sz w:val="18"/>
                <w:szCs w:val="18"/>
              </w:rPr>
            </w:pPr>
          </w:p>
        </w:tc>
      </w:tr>
      <w:tr w:rsidR="00F52FED" w:rsidRPr="00B0658A" w14:paraId="56C8D7E0" w14:textId="77777777" w:rsidTr="004F1366">
        <w:trPr>
          <w:trHeight w:val="20"/>
        </w:trPr>
        <w:tc>
          <w:tcPr>
            <w:tcW w:w="578" w:type="dxa"/>
            <w:shd w:val="clear" w:color="000000" w:fill="FFFFFF"/>
            <w:vAlign w:val="center"/>
          </w:tcPr>
          <w:p w14:paraId="7475DE1E" w14:textId="77777777" w:rsidR="00A775DB" w:rsidRPr="00B0658A" w:rsidRDefault="00A775DB" w:rsidP="004F1366">
            <w:pPr>
              <w:spacing w:after="0" w:line="240" w:lineRule="auto"/>
              <w:jc w:val="center"/>
              <w:rPr>
                <w:rFonts w:ascii="Times New Roman" w:hAnsi="Times New Roman"/>
                <w:sz w:val="18"/>
                <w:szCs w:val="18"/>
              </w:rPr>
            </w:pPr>
            <w:r w:rsidRPr="00B0658A">
              <w:rPr>
                <w:rFonts w:ascii="Times New Roman" w:hAnsi="Times New Roman"/>
                <w:sz w:val="18"/>
                <w:szCs w:val="18"/>
              </w:rPr>
              <w:t>3.2</w:t>
            </w:r>
          </w:p>
        </w:tc>
        <w:tc>
          <w:tcPr>
            <w:tcW w:w="3812" w:type="dxa"/>
            <w:shd w:val="clear" w:color="auto" w:fill="auto"/>
            <w:vAlign w:val="center"/>
            <w:hideMark/>
          </w:tcPr>
          <w:p w14:paraId="68D70D92" w14:textId="77777777" w:rsidR="00A775DB" w:rsidRPr="00B0658A" w:rsidRDefault="00A775DB" w:rsidP="004F1366">
            <w:pPr>
              <w:spacing w:after="0" w:line="240" w:lineRule="auto"/>
              <w:rPr>
                <w:rFonts w:ascii="Times New Roman" w:hAnsi="Times New Roman"/>
                <w:sz w:val="18"/>
                <w:szCs w:val="18"/>
              </w:rPr>
            </w:pPr>
            <w:r w:rsidRPr="00B0658A">
              <w:rPr>
                <w:rFonts w:ascii="Times New Roman" w:hAnsi="Times New Roman"/>
                <w:sz w:val="18"/>
                <w:szCs w:val="18"/>
              </w:rPr>
              <w:t>Средства обеспечения информационной безопасности/ Средства управления событиями информационной безопасности</w:t>
            </w:r>
          </w:p>
        </w:tc>
        <w:tc>
          <w:tcPr>
            <w:tcW w:w="1842" w:type="dxa"/>
            <w:shd w:val="clear" w:color="000000" w:fill="FFFFFF"/>
            <w:hideMark/>
          </w:tcPr>
          <w:p w14:paraId="1D3090CE" w14:textId="77777777" w:rsidR="00A775DB" w:rsidRPr="00B0658A" w:rsidRDefault="00A775DB" w:rsidP="004F1366">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79" w:type="dxa"/>
            <w:vAlign w:val="center"/>
          </w:tcPr>
          <w:p w14:paraId="6B2FDE7D"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auto" w:fill="auto"/>
            <w:vAlign w:val="center"/>
            <w:hideMark/>
          </w:tcPr>
          <w:p w14:paraId="26774F55"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auto" w:fill="auto"/>
            <w:vAlign w:val="center"/>
            <w:hideMark/>
          </w:tcPr>
          <w:p w14:paraId="4A2B3556"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auto" w:fill="auto"/>
            <w:vAlign w:val="center"/>
            <w:hideMark/>
          </w:tcPr>
          <w:p w14:paraId="76AA0CB0" w14:textId="77777777" w:rsidR="00A775DB" w:rsidRPr="00B0658A" w:rsidRDefault="00A775DB" w:rsidP="004F1366">
            <w:pPr>
              <w:spacing w:after="0" w:line="240" w:lineRule="auto"/>
              <w:jc w:val="center"/>
              <w:rPr>
                <w:rFonts w:ascii="Times New Roman" w:hAnsi="Times New Roman"/>
                <w:sz w:val="18"/>
                <w:szCs w:val="18"/>
              </w:rPr>
            </w:pPr>
          </w:p>
        </w:tc>
        <w:tc>
          <w:tcPr>
            <w:tcW w:w="992" w:type="dxa"/>
            <w:vAlign w:val="center"/>
          </w:tcPr>
          <w:p w14:paraId="74B5C414" w14:textId="77777777" w:rsidR="00A775DB" w:rsidRPr="00B0658A" w:rsidRDefault="00A775DB" w:rsidP="004F1366">
            <w:pPr>
              <w:spacing w:after="0" w:line="240" w:lineRule="auto"/>
              <w:jc w:val="center"/>
              <w:rPr>
                <w:rFonts w:ascii="Times New Roman" w:hAnsi="Times New Roman"/>
                <w:sz w:val="18"/>
                <w:szCs w:val="18"/>
              </w:rPr>
            </w:pPr>
          </w:p>
        </w:tc>
        <w:tc>
          <w:tcPr>
            <w:tcW w:w="803" w:type="dxa"/>
            <w:shd w:val="clear" w:color="auto" w:fill="auto"/>
            <w:vAlign w:val="center"/>
            <w:hideMark/>
          </w:tcPr>
          <w:p w14:paraId="7C30351D" w14:textId="77777777" w:rsidR="00A775DB" w:rsidRPr="00B0658A" w:rsidRDefault="00A775DB" w:rsidP="004F1366">
            <w:pPr>
              <w:spacing w:after="0" w:line="240" w:lineRule="auto"/>
              <w:jc w:val="center"/>
              <w:rPr>
                <w:rFonts w:ascii="Times New Roman" w:hAnsi="Times New Roman"/>
                <w:sz w:val="18"/>
                <w:szCs w:val="18"/>
              </w:rPr>
            </w:pPr>
          </w:p>
        </w:tc>
        <w:tc>
          <w:tcPr>
            <w:tcW w:w="803" w:type="dxa"/>
            <w:shd w:val="clear" w:color="auto" w:fill="auto"/>
            <w:vAlign w:val="center"/>
            <w:hideMark/>
          </w:tcPr>
          <w:p w14:paraId="6072917E" w14:textId="77777777" w:rsidR="00A775DB" w:rsidRPr="00B0658A" w:rsidRDefault="00A775DB" w:rsidP="004F1366">
            <w:pPr>
              <w:spacing w:after="0" w:line="240" w:lineRule="auto"/>
              <w:jc w:val="center"/>
              <w:rPr>
                <w:rFonts w:ascii="Times New Roman" w:hAnsi="Times New Roman"/>
                <w:sz w:val="18"/>
                <w:szCs w:val="18"/>
              </w:rPr>
            </w:pPr>
          </w:p>
        </w:tc>
        <w:tc>
          <w:tcPr>
            <w:tcW w:w="804" w:type="dxa"/>
            <w:shd w:val="clear" w:color="auto" w:fill="auto"/>
            <w:vAlign w:val="center"/>
            <w:hideMark/>
          </w:tcPr>
          <w:p w14:paraId="264487A2" w14:textId="77777777" w:rsidR="00A775DB" w:rsidRPr="00B0658A" w:rsidRDefault="00A775DB" w:rsidP="004F1366">
            <w:pPr>
              <w:spacing w:after="0" w:line="240" w:lineRule="auto"/>
              <w:jc w:val="center"/>
              <w:rPr>
                <w:rFonts w:ascii="Times New Roman" w:hAnsi="Times New Roman"/>
                <w:sz w:val="18"/>
                <w:szCs w:val="18"/>
              </w:rPr>
            </w:pPr>
          </w:p>
        </w:tc>
        <w:tc>
          <w:tcPr>
            <w:tcW w:w="1530" w:type="dxa"/>
            <w:vAlign w:val="center"/>
          </w:tcPr>
          <w:p w14:paraId="2E142B2B" w14:textId="77777777" w:rsidR="00A775DB" w:rsidRPr="00B0658A" w:rsidRDefault="00A775DB" w:rsidP="004F1366">
            <w:pPr>
              <w:spacing w:after="0" w:line="240" w:lineRule="auto"/>
              <w:jc w:val="center"/>
              <w:rPr>
                <w:rFonts w:ascii="Times New Roman" w:hAnsi="Times New Roman"/>
                <w:sz w:val="18"/>
                <w:szCs w:val="18"/>
              </w:rPr>
            </w:pPr>
          </w:p>
        </w:tc>
      </w:tr>
      <w:tr w:rsidR="00F52FED" w:rsidRPr="00B0658A" w14:paraId="0F98B7DD" w14:textId="77777777" w:rsidTr="004F1366">
        <w:trPr>
          <w:trHeight w:val="20"/>
        </w:trPr>
        <w:tc>
          <w:tcPr>
            <w:tcW w:w="578" w:type="dxa"/>
            <w:shd w:val="clear" w:color="000000" w:fill="FFFFFF"/>
            <w:vAlign w:val="center"/>
          </w:tcPr>
          <w:p w14:paraId="720EA29C" w14:textId="77777777" w:rsidR="00A775DB" w:rsidRPr="00B0658A" w:rsidRDefault="00A775DB" w:rsidP="004F1366">
            <w:pPr>
              <w:spacing w:after="0" w:line="240" w:lineRule="auto"/>
              <w:jc w:val="center"/>
              <w:rPr>
                <w:rFonts w:ascii="Times New Roman" w:hAnsi="Times New Roman"/>
                <w:sz w:val="18"/>
                <w:szCs w:val="18"/>
              </w:rPr>
            </w:pPr>
            <w:r w:rsidRPr="00B0658A">
              <w:rPr>
                <w:rFonts w:ascii="Times New Roman" w:hAnsi="Times New Roman"/>
                <w:sz w:val="18"/>
                <w:szCs w:val="18"/>
              </w:rPr>
              <w:t>3.3</w:t>
            </w:r>
          </w:p>
        </w:tc>
        <w:tc>
          <w:tcPr>
            <w:tcW w:w="3812" w:type="dxa"/>
            <w:shd w:val="clear" w:color="auto" w:fill="auto"/>
            <w:vAlign w:val="center"/>
            <w:hideMark/>
          </w:tcPr>
          <w:p w14:paraId="36812CA4" w14:textId="77777777" w:rsidR="00A775DB" w:rsidRPr="00B0658A" w:rsidRDefault="00A775DB" w:rsidP="004F1366">
            <w:pPr>
              <w:spacing w:after="0" w:line="240" w:lineRule="auto"/>
              <w:rPr>
                <w:rFonts w:ascii="Times New Roman" w:hAnsi="Times New Roman"/>
                <w:sz w:val="18"/>
                <w:szCs w:val="18"/>
              </w:rPr>
            </w:pPr>
            <w:r w:rsidRPr="00B0658A">
              <w:rPr>
                <w:rFonts w:ascii="Times New Roman" w:hAnsi="Times New Roman"/>
                <w:sz w:val="18"/>
                <w:szCs w:val="18"/>
              </w:rPr>
              <w:t>Средства обеспечения информационной безопасности/ Межсетевые экраны</w:t>
            </w:r>
          </w:p>
        </w:tc>
        <w:tc>
          <w:tcPr>
            <w:tcW w:w="1842" w:type="dxa"/>
            <w:shd w:val="clear" w:color="000000" w:fill="FFFFFF"/>
            <w:hideMark/>
          </w:tcPr>
          <w:p w14:paraId="149A4DB2" w14:textId="77777777" w:rsidR="00A775DB" w:rsidRPr="00B0658A" w:rsidRDefault="00A775DB" w:rsidP="004F1366">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79" w:type="dxa"/>
            <w:vAlign w:val="center"/>
          </w:tcPr>
          <w:p w14:paraId="7EA36F64"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auto" w:fill="auto"/>
            <w:vAlign w:val="center"/>
            <w:hideMark/>
          </w:tcPr>
          <w:p w14:paraId="5EF54557"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auto" w:fill="auto"/>
            <w:vAlign w:val="center"/>
            <w:hideMark/>
          </w:tcPr>
          <w:p w14:paraId="0271F7BF"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auto" w:fill="auto"/>
            <w:vAlign w:val="center"/>
            <w:hideMark/>
          </w:tcPr>
          <w:p w14:paraId="693A0565" w14:textId="77777777" w:rsidR="00A775DB" w:rsidRPr="00B0658A" w:rsidRDefault="00A775DB" w:rsidP="004F1366">
            <w:pPr>
              <w:spacing w:after="0" w:line="240" w:lineRule="auto"/>
              <w:jc w:val="center"/>
              <w:rPr>
                <w:rFonts w:ascii="Times New Roman" w:hAnsi="Times New Roman"/>
                <w:sz w:val="18"/>
                <w:szCs w:val="18"/>
              </w:rPr>
            </w:pPr>
          </w:p>
        </w:tc>
        <w:tc>
          <w:tcPr>
            <w:tcW w:w="992" w:type="dxa"/>
            <w:vAlign w:val="center"/>
          </w:tcPr>
          <w:p w14:paraId="71EDD792" w14:textId="77777777" w:rsidR="00A775DB" w:rsidRPr="00B0658A" w:rsidRDefault="00A775DB" w:rsidP="004F1366">
            <w:pPr>
              <w:spacing w:after="0" w:line="240" w:lineRule="auto"/>
              <w:jc w:val="center"/>
              <w:rPr>
                <w:rFonts w:ascii="Times New Roman" w:hAnsi="Times New Roman"/>
                <w:sz w:val="18"/>
                <w:szCs w:val="18"/>
              </w:rPr>
            </w:pPr>
          </w:p>
        </w:tc>
        <w:tc>
          <w:tcPr>
            <w:tcW w:w="803" w:type="dxa"/>
            <w:shd w:val="clear" w:color="auto" w:fill="auto"/>
            <w:vAlign w:val="center"/>
            <w:hideMark/>
          </w:tcPr>
          <w:p w14:paraId="4C73F1C0" w14:textId="77777777" w:rsidR="00A775DB" w:rsidRPr="00B0658A" w:rsidRDefault="00A775DB" w:rsidP="004F1366">
            <w:pPr>
              <w:spacing w:after="0" w:line="240" w:lineRule="auto"/>
              <w:jc w:val="center"/>
              <w:rPr>
                <w:rFonts w:ascii="Times New Roman" w:hAnsi="Times New Roman"/>
                <w:sz w:val="18"/>
                <w:szCs w:val="18"/>
              </w:rPr>
            </w:pPr>
          </w:p>
        </w:tc>
        <w:tc>
          <w:tcPr>
            <w:tcW w:w="803" w:type="dxa"/>
            <w:shd w:val="clear" w:color="auto" w:fill="auto"/>
            <w:vAlign w:val="center"/>
            <w:hideMark/>
          </w:tcPr>
          <w:p w14:paraId="170E3A61" w14:textId="77777777" w:rsidR="00A775DB" w:rsidRPr="00B0658A" w:rsidRDefault="00A775DB" w:rsidP="004F1366">
            <w:pPr>
              <w:spacing w:after="0" w:line="240" w:lineRule="auto"/>
              <w:jc w:val="center"/>
              <w:rPr>
                <w:rFonts w:ascii="Times New Roman" w:hAnsi="Times New Roman"/>
                <w:sz w:val="18"/>
                <w:szCs w:val="18"/>
              </w:rPr>
            </w:pPr>
          </w:p>
        </w:tc>
        <w:tc>
          <w:tcPr>
            <w:tcW w:w="804" w:type="dxa"/>
            <w:shd w:val="clear" w:color="auto" w:fill="auto"/>
            <w:vAlign w:val="center"/>
            <w:hideMark/>
          </w:tcPr>
          <w:p w14:paraId="17E256BC" w14:textId="77777777" w:rsidR="00A775DB" w:rsidRPr="00B0658A" w:rsidRDefault="00A775DB" w:rsidP="004F1366">
            <w:pPr>
              <w:spacing w:after="0" w:line="240" w:lineRule="auto"/>
              <w:jc w:val="center"/>
              <w:rPr>
                <w:rFonts w:ascii="Times New Roman" w:hAnsi="Times New Roman"/>
                <w:sz w:val="18"/>
                <w:szCs w:val="18"/>
              </w:rPr>
            </w:pPr>
          </w:p>
        </w:tc>
        <w:tc>
          <w:tcPr>
            <w:tcW w:w="1530" w:type="dxa"/>
            <w:vAlign w:val="center"/>
          </w:tcPr>
          <w:p w14:paraId="61262650" w14:textId="77777777" w:rsidR="00A775DB" w:rsidRPr="00B0658A" w:rsidRDefault="00A775DB" w:rsidP="004F1366">
            <w:pPr>
              <w:spacing w:after="0" w:line="240" w:lineRule="auto"/>
              <w:jc w:val="center"/>
              <w:rPr>
                <w:rFonts w:ascii="Times New Roman" w:hAnsi="Times New Roman"/>
                <w:sz w:val="18"/>
                <w:szCs w:val="18"/>
              </w:rPr>
            </w:pPr>
          </w:p>
        </w:tc>
      </w:tr>
      <w:tr w:rsidR="00F52FED" w:rsidRPr="00B0658A" w14:paraId="73DF694C" w14:textId="77777777" w:rsidTr="004F1366">
        <w:trPr>
          <w:trHeight w:val="20"/>
        </w:trPr>
        <w:tc>
          <w:tcPr>
            <w:tcW w:w="578" w:type="dxa"/>
            <w:shd w:val="clear" w:color="000000" w:fill="FFFFFF"/>
            <w:vAlign w:val="center"/>
          </w:tcPr>
          <w:p w14:paraId="70D242DE" w14:textId="77777777" w:rsidR="00A775DB" w:rsidRPr="00B0658A" w:rsidRDefault="00A775DB" w:rsidP="004F1366">
            <w:pPr>
              <w:spacing w:after="0" w:line="240" w:lineRule="auto"/>
              <w:jc w:val="center"/>
              <w:rPr>
                <w:rFonts w:ascii="Times New Roman" w:hAnsi="Times New Roman"/>
                <w:sz w:val="18"/>
                <w:szCs w:val="18"/>
              </w:rPr>
            </w:pPr>
            <w:r w:rsidRPr="00B0658A">
              <w:rPr>
                <w:rFonts w:ascii="Times New Roman" w:hAnsi="Times New Roman"/>
                <w:sz w:val="18"/>
                <w:szCs w:val="18"/>
              </w:rPr>
              <w:t>3.4</w:t>
            </w:r>
          </w:p>
        </w:tc>
        <w:tc>
          <w:tcPr>
            <w:tcW w:w="3812" w:type="dxa"/>
            <w:shd w:val="clear" w:color="auto" w:fill="auto"/>
            <w:vAlign w:val="center"/>
            <w:hideMark/>
          </w:tcPr>
          <w:p w14:paraId="4D5C3795" w14:textId="77777777" w:rsidR="00A775DB" w:rsidRPr="00B0658A" w:rsidRDefault="00A775DB" w:rsidP="004F1366">
            <w:pPr>
              <w:spacing w:after="0" w:line="240" w:lineRule="auto"/>
              <w:rPr>
                <w:rFonts w:ascii="Times New Roman" w:hAnsi="Times New Roman"/>
                <w:sz w:val="18"/>
                <w:szCs w:val="18"/>
              </w:rPr>
            </w:pPr>
            <w:r w:rsidRPr="00B0658A">
              <w:rPr>
                <w:rFonts w:ascii="Times New Roman" w:hAnsi="Times New Roman"/>
                <w:sz w:val="18"/>
                <w:szCs w:val="18"/>
              </w:rPr>
              <w:t>Средства обеспечения информационной безопасности/ Средства фильтрации негативного контента</w:t>
            </w:r>
          </w:p>
        </w:tc>
        <w:tc>
          <w:tcPr>
            <w:tcW w:w="1842" w:type="dxa"/>
            <w:shd w:val="clear" w:color="000000" w:fill="FFFFFF"/>
            <w:hideMark/>
          </w:tcPr>
          <w:p w14:paraId="65CD2F8F" w14:textId="77777777" w:rsidR="00A775DB" w:rsidRPr="00B0658A" w:rsidRDefault="00A775DB" w:rsidP="004F1366">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79" w:type="dxa"/>
            <w:vAlign w:val="center"/>
          </w:tcPr>
          <w:p w14:paraId="0BA67863"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auto" w:fill="auto"/>
            <w:vAlign w:val="center"/>
            <w:hideMark/>
          </w:tcPr>
          <w:p w14:paraId="0C6535F9"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auto" w:fill="auto"/>
            <w:vAlign w:val="center"/>
            <w:hideMark/>
          </w:tcPr>
          <w:p w14:paraId="21D45A4A"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auto" w:fill="auto"/>
            <w:vAlign w:val="center"/>
            <w:hideMark/>
          </w:tcPr>
          <w:p w14:paraId="6A9891A3" w14:textId="77777777" w:rsidR="00A775DB" w:rsidRPr="00B0658A" w:rsidRDefault="00A775DB" w:rsidP="004F1366">
            <w:pPr>
              <w:spacing w:after="0" w:line="240" w:lineRule="auto"/>
              <w:jc w:val="center"/>
              <w:rPr>
                <w:rFonts w:ascii="Times New Roman" w:hAnsi="Times New Roman"/>
                <w:sz w:val="18"/>
                <w:szCs w:val="18"/>
              </w:rPr>
            </w:pPr>
          </w:p>
        </w:tc>
        <w:tc>
          <w:tcPr>
            <w:tcW w:w="992" w:type="dxa"/>
            <w:vAlign w:val="center"/>
          </w:tcPr>
          <w:p w14:paraId="7A18025D" w14:textId="77777777" w:rsidR="00A775DB" w:rsidRPr="00B0658A" w:rsidRDefault="00A775DB" w:rsidP="004F1366">
            <w:pPr>
              <w:spacing w:after="0" w:line="240" w:lineRule="auto"/>
              <w:jc w:val="center"/>
              <w:rPr>
                <w:rFonts w:ascii="Times New Roman" w:hAnsi="Times New Roman"/>
                <w:sz w:val="18"/>
                <w:szCs w:val="18"/>
              </w:rPr>
            </w:pPr>
          </w:p>
        </w:tc>
        <w:tc>
          <w:tcPr>
            <w:tcW w:w="803" w:type="dxa"/>
            <w:shd w:val="clear" w:color="auto" w:fill="auto"/>
            <w:vAlign w:val="center"/>
            <w:hideMark/>
          </w:tcPr>
          <w:p w14:paraId="061F960F" w14:textId="77777777" w:rsidR="00A775DB" w:rsidRPr="00B0658A" w:rsidRDefault="00A775DB" w:rsidP="004F1366">
            <w:pPr>
              <w:spacing w:after="0" w:line="240" w:lineRule="auto"/>
              <w:jc w:val="center"/>
              <w:rPr>
                <w:rFonts w:ascii="Times New Roman" w:hAnsi="Times New Roman"/>
                <w:sz w:val="18"/>
                <w:szCs w:val="18"/>
              </w:rPr>
            </w:pPr>
          </w:p>
        </w:tc>
        <w:tc>
          <w:tcPr>
            <w:tcW w:w="803" w:type="dxa"/>
            <w:shd w:val="clear" w:color="auto" w:fill="auto"/>
            <w:vAlign w:val="center"/>
            <w:hideMark/>
          </w:tcPr>
          <w:p w14:paraId="04CC8310" w14:textId="77777777" w:rsidR="00A775DB" w:rsidRPr="00B0658A" w:rsidRDefault="00A775DB" w:rsidP="004F1366">
            <w:pPr>
              <w:spacing w:after="0" w:line="240" w:lineRule="auto"/>
              <w:jc w:val="center"/>
              <w:rPr>
                <w:rFonts w:ascii="Times New Roman" w:hAnsi="Times New Roman"/>
                <w:sz w:val="18"/>
                <w:szCs w:val="18"/>
              </w:rPr>
            </w:pPr>
          </w:p>
        </w:tc>
        <w:tc>
          <w:tcPr>
            <w:tcW w:w="804" w:type="dxa"/>
            <w:shd w:val="clear" w:color="auto" w:fill="auto"/>
            <w:vAlign w:val="center"/>
            <w:hideMark/>
          </w:tcPr>
          <w:p w14:paraId="34CCA679" w14:textId="77777777" w:rsidR="00A775DB" w:rsidRPr="00B0658A" w:rsidRDefault="00A775DB" w:rsidP="004F1366">
            <w:pPr>
              <w:spacing w:after="0" w:line="240" w:lineRule="auto"/>
              <w:jc w:val="center"/>
              <w:rPr>
                <w:rFonts w:ascii="Times New Roman" w:hAnsi="Times New Roman"/>
                <w:sz w:val="18"/>
                <w:szCs w:val="18"/>
              </w:rPr>
            </w:pPr>
          </w:p>
        </w:tc>
        <w:tc>
          <w:tcPr>
            <w:tcW w:w="1530" w:type="dxa"/>
            <w:vAlign w:val="center"/>
          </w:tcPr>
          <w:p w14:paraId="2A1B497F" w14:textId="77777777" w:rsidR="00A775DB" w:rsidRPr="00B0658A" w:rsidRDefault="00A775DB" w:rsidP="004F1366">
            <w:pPr>
              <w:spacing w:after="0" w:line="240" w:lineRule="auto"/>
              <w:jc w:val="center"/>
              <w:rPr>
                <w:rFonts w:ascii="Times New Roman" w:hAnsi="Times New Roman"/>
                <w:sz w:val="18"/>
                <w:szCs w:val="18"/>
              </w:rPr>
            </w:pPr>
          </w:p>
        </w:tc>
      </w:tr>
      <w:tr w:rsidR="00F52FED" w:rsidRPr="00B0658A" w14:paraId="26E1D01C" w14:textId="77777777" w:rsidTr="004F1366">
        <w:trPr>
          <w:trHeight w:val="20"/>
        </w:trPr>
        <w:tc>
          <w:tcPr>
            <w:tcW w:w="578" w:type="dxa"/>
            <w:shd w:val="clear" w:color="000000" w:fill="FFFFFF"/>
            <w:vAlign w:val="center"/>
          </w:tcPr>
          <w:p w14:paraId="5CD7727B" w14:textId="77777777" w:rsidR="00A775DB" w:rsidRPr="00B0658A" w:rsidRDefault="00A775DB" w:rsidP="004F1366">
            <w:pPr>
              <w:spacing w:after="0" w:line="240" w:lineRule="auto"/>
              <w:jc w:val="center"/>
              <w:rPr>
                <w:rFonts w:ascii="Times New Roman" w:hAnsi="Times New Roman"/>
                <w:sz w:val="18"/>
                <w:szCs w:val="18"/>
              </w:rPr>
            </w:pPr>
            <w:r w:rsidRPr="00B0658A">
              <w:rPr>
                <w:rFonts w:ascii="Times New Roman" w:hAnsi="Times New Roman"/>
                <w:sz w:val="18"/>
                <w:szCs w:val="18"/>
              </w:rPr>
              <w:t>3.5</w:t>
            </w:r>
          </w:p>
        </w:tc>
        <w:tc>
          <w:tcPr>
            <w:tcW w:w="3812" w:type="dxa"/>
            <w:shd w:val="clear" w:color="auto" w:fill="auto"/>
            <w:vAlign w:val="center"/>
            <w:hideMark/>
          </w:tcPr>
          <w:p w14:paraId="504FCBD9" w14:textId="77777777" w:rsidR="00A775DB" w:rsidRPr="00B0658A" w:rsidRDefault="00A775DB" w:rsidP="004F1366">
            <w:pPr>
              <w:spacing w:after="0" w:line="240" w:lineRule="auto"/>
              <w:rPr>
                <w:rFonts w:ascii="Times New Roman" w:hAnsi="Times New Roman"/>
                <w:sz w:val="18"/>
                <w:szCs w:val="18"/>
              </w:rPr>
            </w:pPr>
            <w:r w:rsidRPr="00B0658A">
              <w:rPr>
                <w:rFonts w:ascii="Times New Roman" w:hAnsi="Times New Roman"/>
                <w:sz w:val="18"/>
                <w:szCs w:val="18"/>
              </w:rPr>
              <w:t>Средства обеспечения информационной безопасности/ Средства защиты сервисов онлайн-платежей и дистанционного банковского обслуживания</w:t>
            </w:r>
          </w:p>
        </w:tc>
        <w:tc>
          <w:tcPr>
            <w:tcW w:w="1842" w:type="dxa"/>
            <w:shd w:val="clear" w:color="000000" w:fill="FFFFFF"/>
            <w:hideMark/>
          </w:tcPr>
          <w:p w14:paraId="204C24A4" w14:textId="77777777" w:rsidR="00A775DB" w:rsidRPr="00B0658A" w:rsidRDefault="00A775DB" w:rsidP="004F1366">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79" w:type="dxa"/>
            <w:vAlign w:val="center"/>
          </w:tcPr>
          <w:p w14:paraId="24267522"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auto" w:fill="auto"/>
            <w:vAlign w:val="center"/>
            <w:hideMark/>
          </w:tcPr>
          <w:p w14:paraId="72684CC0"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auto" w:fill="auto"/>
            <w:vAlign w:val="center"/>
            <w:hideMark/>
          </w:tcPr>
          <w:p w14:paraId="265552D2"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auto" w:fill="auto"/>
            <w:vAlign w:val="center"/>
            <w:hideMark/>
          </w:tcPr>
          <w:p w14:paraId="3256F983" w14:textId="77777777" w:rsidR="00A775DB" w:rsidRPr="00B0658A" w:rsidRDefault="00A775DB" w:rsidP="004F1366">
            <w:pPr>
              <w:spacing w:after="0" w:line="240" w:lineRule="auto"/>
              <w:jc w:val="center"/>
              <w:rPr>
                <w:rFonts w:ascii="Times New Roman" w:hAnsi="Times New Roman"/>
                <w:sz w:val="18"/>
                <w:szCs w:val="18"/>
              </w:rPr>
            </w:pPr>
          </w:p>
        </w:tc>
        <w:tc>
          <w:tcPr>
            <w:tcW w:w="992" w:type="dxa"/>
            <w:vAlign w:val="center"/>
          </w:tcPr>
          <w:p w14:paraId="4DAEEB68" w14:textId="77777777" w:rsidR="00A775DB" w:rsidRPr="00B0658A" w:rsidRDefault="00A775DB" w:rsidP="004F1366">
            <w:pPr>
              <w:spacing w:after="0" w:line="240" w:lineRule="auto"/>
              <w:jc w:val="center"/>
              <w:rPr>
                <w:rFonts w:ascii="Times New Roman" w:hAnsi="Times New Roman"/>
                <w:sz w:val="18"/>
                <w:szCs w:val="18"/>
              </w:rPr>
            </w:pPr>
          </w:p>
        </w:tc>
        <w:tc>
          <w:tcPr>
            <w:tcW w:w="803" w:type="dxa"/>
            <w:shd w:val="clear" w:color="auto" w:fill="auto"/>
            <w:vAlign w:val="center"/>
            <w:hideMark/>
          </w:tcPr>
          <w:p w14:paraId="4A89E64C" w14:textId="77777777" w:rsidR="00A775DB" w:rsidRPr="00B0658A" w:rsidRDefault="00A775DB" w:rsidP="004F1366">
            <w:pPr>
              <w:spacing w:after="0" w:line="240" w:lineRule="auto"/>
              <w:jc w:val="center"/>
              <w:rPr>
                <w:rFonts w:ascii="Times New Roman" w:hAnsi="Times New Roman"/>
                <w:sz w:val="18"/>
                <w:szCs w:val="18"/>
              </w:rPr>
            </w:pPr>
          </w:p>
        </w:tc>
        <w:tc>
          <w:tcPr>
            <w:tcW w:w="803" w:type="dxa"/>
            <w:shd w:val="clear" w:color="auto" w:fill="auto"/>
            <w:vAlign w:val="center"/>
            <w:hideMark/>
          </w:tcPr>
          <w:p w14:paraId="2754D292" w14:textId="77777777" w:rsidR="00A775DB" w:rsidRPr="00B0658A" w:rsidRDefault="00A775DB" w:rsidP="004F1366">
            <w:pPr>
              <w:spacing w:after="0" w:line="240" w:lineRule="auto"/>
              <w:jc w:val="center"/>
              <w:rPr>
                <w:rFonts w:ascii="Times New Roman" w:hAnsi="Times New Roman"/>
                <w:sz w:val="18"/>
                <w:szCs w:val="18"/>
              </w:rPr>
            </w:pPr>
          </w:p>
        </w:tc>
        <w:tc>
          <w:tcPr>
            <w:tcW w:w="804" w:type="dxa"/>
            <w:shd w:val="clear" w:color="auto" w:fill="auto"/>
            <w:vAlign w:val="center"/>
            <w:hideMark/>
          </w:tcPr>
          <w:p w14:paraId="7C1EE029" w14:textId="77777777" w:rsidR="00A775DB" w:rsidRPr="00B0658A" w:rsidRDefault="00A775DB" w:rsidP="004F1366">
            <w:pPr>
              <w:spacing w:after="0" w:line="240" w:lineRule="auto"/>
              <w:jc w:val="center"/>
              <w:rPr>
                <w:rFonts w:ascii="Times New Roman" w:hAnsi="Times New Roman"/>
                <w:sz w:val="18"/>
                <w:szCs w:val="18"/>
              </w:rPr>
            </w:pPr>
          </w:p>
        </w:tc>
        <w:tc>
          <w:tcPr>
            <w:tcW w:w="1530" w:type="dxa"/>
            <w:vAlign w:val="center"/>
          </w:tcPr>
          <w:p w14:paraId="478A7CC8" w14:textId="77777777" w:rsidR="00A775DB" w:rsidRPr="00B0658A" w:rsidRDefault="00A775DB" w:rsidP="004F1366">
            <w:pPr>
              <w:spacing w:after="0" w:line="240" w:lineRule="auto"/>
              <w:jc w:val="center"/>
              <w:rPr>
                <w:rFonts w:ascii="Times New Roman" w:hAnsi="Times New Roman"/>
                <w:sz w:val="18"/>
                <w:szCs w:val="18"/>
              </w:rPr>
            </w:pPr>
          </w:p>
        </w:tc>
      </w:tr>
      <w:tr w:rsidR="00F52FED" w:rsidRPr="00B0658A" w14:paraId="093FE847" w14:textId="77777777" w:rsidTr="004F1366">
        <w:trPr>
          <w:trHeight w:val="20"/>
        </w:trPr>
        <w:tc>
          <w:tcPr>
            <w:tcW w:w="578" w:type="dxa"/>
            <w:shd w:val="clear" w:color="000000" w:fill="FFFFFF"/>
            <w:vAlign w:val="center"/>
          </w:tcPr>
          <w:p w14:paraId="3FF998A4" w14:textId="77777777" w:rsidR="00A775DB" w:rsidRPr="00B0658A" w:rsidRDefault="00A775DB" w:rsidP="004F1366">
            <w:pPr>
              <w:spacing w:after="0" w:line="240" w:lineRule="auto"/>
              <w:jc w:val="center"/>
              <w:rPr>
                <w:rFonts w:ascii="Times New Roman" w:hAnsi="Times New Roman"/>
                <w:sz w:val="18"/>
                <w:szCs w:val="18"/>
              </w:rPr>
            </w:pPr>
            <w:r w:rsidRPr="00B0658A">
              <w:rPr>
                <w:rFonts w:ascii="Times New Roman" w:hAnsi="Times New Roman"/>
                <w:sz w:val="18"/>
                <w:szCs w:val="18"/>
              </w:rPr>
              <w:t>3.6</w:t>
            </w:r>
          </w:p>
        </w:tc>
        <w:tc>
          <w:tcPr>
            <w:tcW w:w="3812" w:type="dxa"/>
            <w:shd w:val="clear" w:color="auto" w:fill="auto"/>
            <w:vAlign w:val="center"/>
            <w:hideMark/>
          </w:tcPr>
          <w:p w14:paraId="65619694" w14:textId="77777777" w:rsidR="00A775DB" w:rsidRPr="00B0658A" w:rsidRDefault="00A775DB" w:rsidP="004F1366">
            <w:pPr>
              <w:spacing w:after="0" w:line="240" w:lineRule="auto"/>
              <w:rPr>
                <w:rFonts w:ascii="Times New Roman" w:hAnsi="Times New Roman"/>
                <w:sz w:val="18"/>
                <w:szCs w:val="18"/>
              </w:rPr>
            </w:pPr>
            <w:r w:rsidRPr="00B0658A">
              <w:rPr>
                <w:rFonts w:ascii="Times New Roman" w:hAnsi="Times New Roman"/>
                <w:sz w:val="18"/>
                <w:szCs w:val="18"/>
              </w:rPr>
              <w:t>Средства обеспечения информационной безопасности/ Средства антивирусной защиты</w:t>
            </w:r>
          </w:p>
        </w:tc>
        <w:tc>
          <w:tcPr>
            <w:tcW w:w="1842" w:type="dxa"/>
            <w:shd w:val="clear" w:color="000000" w:fill="FFFFFF"/>
            <w:hideMark/>
          </w:tcPr>
          <w:p w14:paraId="6BDAA526" w14:textId="77777777" w:rsidR="00A775DB" w:rsidRPr="00B0658A" w:rsidRDefault="00A775DB" w:rsidP="004F1366">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79" w:type="dxa"/>
            <w:vAlign w:val="center"/>
          </w:tcPr>
          <w:p w14:paraId="3DFE8689"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auto" w:fill="auto"/>
            <w:vAlign w:val="center"/>
            <w:hideMark/>
          </w:tcPr>
          <w:p w14:paraId="687C069D"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auto" w:fill="auto"/>
            <w:vAlign w:val="center"/>
            <w:hideMark/>
          </w:tcPr>
          <w:p w14:paraId="7916B4DC"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auto" w:fill="auto"/>
            <w:vAlign w:val="center"/>
            <w:hideMark/>
          </w:tcPr>
          <w:p w14:paraId="7725577A" w14:textId="77777777" w:rsidR="00A775DB" w:rsidRPr="00B0658A" w:rsidRDefault="00A775DB" w:rsidP="004F1366">
            <w:pPr>
              <w:spacing w:after="0" w:line="240" w:lineRule="auto"/>
              <w:jc w:val="center"/>
              <w:rPr>
                <w:rFonts w:ascii="Times New Roman" w:hAnsi="Times New Roman"/>
                <w:sz w:val="18"/>
                <w:szCs w:val="18"/>
              </w:rPr>
            </w:pPr>
          </w:p>
        </w:tc>
        <w:tc>
          <w:tcPr>
            <w:tcW w:w="992" w:type="dxa"/>
            <w:vAlign w:val="center"/>
          </w:tcPr>
          <w:p w14:paraId="6E99D163" w14:textId="77777777" w:rsidR="00A775DB" w:rsidRPr="00B0658A" w:rsidRDefault="00A775DB" w:rsidP="004F1366">
            <w:pPr>
              <w:spacing w:after="0" w:line="240" w:lineRule="auto"/>
              <w:jc w:val="center"/>
              <w:rPr>
                <w:rFonts w:ascii="Times New Roman" w:hAnsi="Times New Roman"/>
                <w:sz w:val="18"/>
                <w:szCs w:val="18"/>
              </w:rPr>
            </w:pPr>
          </w:p>
        </w:tc>
        <w:tc>
          <w:tcPr>
            <w:tcW w:w="803" w:type="dxa"/>
            <w:shd w:val="clear" w:color="auto" w:fill="auto"/>
            <w:vAlign w:val="center"/>
            <w:hideMark/>
          </w:tcPr>
          <w:p w14:paraId="1E02BCBA" w14:textId="77777777" w:rsidR="00A775DB" w:rsidRPr="00B0658A" w:rsidRDefault="00A775DB" w:rsidP="004F1366">
            <w:pPr>
              <w:spacing w:after="0" w:line="240" w:lineRule="auto"/>
              <w:jc w:val="center"/>
              <w:rPr>
                <w:rFonts w:ascii="Times New Roman" w:hAnsi="Times New Roman"/>
                <w:sz w:val="18"/>
                <w:szCs w:val="18"/>
              </w:rPr>
            </w:pPr>
          </w:p>
        </w:tc>
        <w:tc>
          <w:tcPr>
            <w:tcW w:w="803" w:type="dxa"/>
            <w:shd w:val="clear" w:color="auto" w:fill="auto"/>
            <w:vAlign w:val="center"/>
            <w:hideMark/>
          </w:tcPr>
          <w:p w14:paraId="6A0EE57D" w14:textId="77777777" w:rsidR="00A775DB" w:rsidRPr="00B0658A" w:rsidRDefault="00A775DB" w:rsidP="004F1366">
            <w:pPr>
              <w:spacing w:after="0" w:line="240" w:lineRule="auto"/>
              <w:jc w:val="center"/>
              <w:rPr>
                <w:rFonts w:ascii="Times New Roman" w:hAnsi="Times New Roman"/>
                <w:sz w:val="18"/>
                <w:szCs w:val="18"/>
              </w:rPr>
            </w:pPr>
          </w:p>
        </w:tc>
        <w:tc>
          <w:tcPr>
            <w:tcW w:w="804" w:type="dxa"/>
            <w:shd w:val="clear" w:color="auto" w:fill="auto"/>
            <w:vAlign w:val="center"/>
            <w:hideMark/>
          </w:tcPr>
          <w:p w14:paraId="5886D5E8" w14:textId="77777777" w:rsidR="00A775DB" w:rsidRPr="00B0658A" w:rsidRDefault="00A775DB" w:rsidP="004F1366">
            <w:pPr>
              <w:spacing w:after="0" w:line="240" w:lineRule="auto"/>
              <w:jc w:val="center"/>
              <w:rPr>
                <w:rFonts w:ascii="Times New Roman" w:hAnsi="Times New Roman"/>
                <w:sz w:val="18"/>
                <w:szCs w:val="18"/>
              </w:rPr>
            </w:pPr>
          </w:p>
        </w:tc>
        <w:tc>
          <w:tcPr>
            <w:tcW w:w="1530" w:type="dxa"/>
            <w:vAlign w:val="center"/>
          </w:tcPr>
          <w:p w14:paraId="47C91BE5" w14:textId="77777777" w:rsidR="00A775DB" w:rsidRPr="00B0658A" w:rsidRDefault="00A775DB" w:rsidP="004F1366">
            <w:pPr>
              <w:spacing w:after="0" w:line="240" w:lineRule="auto"/>
              <w:jc w:val="center"/>
              <w:rPr>
                <w:rFonts w:ascii="Times New Roman" w:hAnsi="Times New Roman"/>
                <w:sz w:val="18"/>
                <w:szCs w:val="18"/>
              </w:rPr>
            </w:pPr>
          </w:p>
        </w:tc>
      </w:tr>
      <w:tr w:rsidR="00F52FED" w:rsidRPr="00B0658A" w14:paraId="47B3313B" w14:textId="77777777" w:rsidTr="004F1366">
        <w:trPr>
          <w:trHeight w:val="20"/>
        </w:trPr>
        <w:tc>
          <w:tcPr>
            <w:tcW w:w="578" w:type="dxa"/>
            <w:shd w:val="clear" w:color="000000" w:fill="FFFFFF"/>
            <w:vAlign w:val="center"/>
          </w:tcPr>
          <w:p w14:paraId="73BE953A" w14:textId="77777777" w:rsidR="00A775DB" w:rsidRPr="00B0658A" w:rsidRDefault="00A775DB" w:rsidP="004F1366">
            <w:pPr>
              <w:spacing w:after="0" w:line="240" w:lineRule="auto"/>
              <w:jc w:val="center"/>
              <w:rPr>
                <w:rFonts w:ascii="Times New Roman" w:hAnsi="Times New Roman"/>
                <w:sz w:val="18"/>
                <w:szCs w:val="18"/>
              </w:rPr>
            </w:pPr>
            <w:r w:rsidRPr="00B0658A">
              <w:rPr>
                <w:rFonts w:ascii="Times New Roman" w:hAnsi="Times New Roman"/>
                <w:sz w:val="18"/>
                <w:szCs w:val="18"/>
              </w:rPr>
              <w:t>3.7</w:t>
            </w:r>
          </w:p>
        </w:tc>
        <w:tc>
          <w:tcPr>
            <w:tcW w:w="3812" w:type="dxa"/>
            <w:shd w:val="clear" w:color="auto" w:fill="auto"/>
            <w:vAlign w:val="center"/>
            <w:hideMark/>
          </w:tcPr>
          <w:p w14:paraId="716FBD11" w14:textId="77777777" w:rsidR="00A775DB" w:rsidRPr="00B0658A" w:rsidRDefault="00A775DB" w:rsidP="004F1366">
            <w:pPr>
              <w:spacing w:after="0" w:line="240" w:lineRule="auto"/>
              <w:rPr>
                <w:rFonts w:ascii="Times New Roman" w:hAnsi="Times New Roman"/>
                <w:sz w:val="18"/>
                <w:szCs w:val="18"/>
              </w:rPr>
            </w:pPr>
            <w:r w:rsidRPr="00B0658A">
              <w:rPr>
                <w:rFonts w:ascii="Times New Roman" w:hAnsi="Times New Roman"/>
                <w:sz w:val="18"/>
                <w:szCs w:val="18"/>
              </w:rPr>
              <w:t>Средства обеспечения информационной безопасности/ Средства выявления целевых атак</w:t>
            </w:r>
          </w:p>
        </w:tc>
        <w:tc>
          <w:tcPr>
            <w:tcW w:w="1842" w:type="dxa"/>
            <w:shd w:val="clear" w:color="000000" w:fill="FFFFFF"/>
            <w:hideMark/>
          </w:tcPr>
          <w:p w14:paraId="66B51DB3" w14:textId="77777777" w:rsidR="00A775DB" w:rsidRPr="00B0658A" w:rsidRDefault="00A775DB" w:rsidP="004F1366">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79" w:type="dxa"/>
            <w:vAlign w:val="center"/>
          </w:tcPr>
          <w:p w14:paraId="4D4144DA"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auto" w:fill="auto"/>
            <w:vAlign w:val="center"/>
            <w:hideMark/>
          </w:tcPr>
          <w:p w14:paraId="5BFB3D74"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auto" w:fill="auto"/>
            <w:vAlign w:val="center"/>
            <w:hideMark/>
          </w:tcPr>
          <w:p w14:paraId="5071784F"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auto" w:fill="auto"/>
            <w:vAlign w:val="center"/>
            <w:hideMark/>
          </w:tcPr>
          <w:p w14:paraId="2C21617E" w14:textId="77777777" w:rsidR="00A775DB" w:rsidRPr="00B0658A" w:rsidRDefault="00A775DB" w:rsidP="004F1366">
            <w:pPr>
              <w:spacing w:after="0" w:line="240" w:lineRule="auto"/>
              <w:jc w:val="center"/>
              <w:rPr>
                <w:rFonts w:ascii="Times New Roman" w:hAnsi="Times New Roman"/>
                <w:sz w:val="18"/>
                <w:szCs w:val="18"/>
              </w:rPr>
            </w:pPr>
          </w:p>
        </w:tc>
        <w:tc>
          <w:tcPr>
            <w:tcW w:w="992" w:type="dxa"/>
            <w:vAlign w:val="center"/>
          </w:tcPr>
          <w:p w14:paraId="17A5DCBE" w14:textId="77777777" w:rsidR="00A775DB" w:rsidRPr="00B0658A" w:rsidRDefault="00A775DB" w:rsidP="004F1366">
            <w:pPr>
              <w:spacing w:after="0" w:line="240" w:lineRule="auto"/>
              <w:jc w:val="center"/>
              <w:rPr>
                <w:rFonts w:ascii="Times New Roman" w:hAnsi="Times New Roman"/>
                <w:sz w:val="18"/>
                <w:szCs w:val="18"/>
              </w:rPr>
            </w:pPr>
          </w:p>
        </w:tc>
        <w:tc>
          <w:tcPr>
            <w:tcW w:w="803" w:type="dxa"/>
            <w:shd w:val="clear" w:color="auto" w:fill="auto"/>
            <w:vAlign w:val="center"/>
            <w:hideMark/>
          </w:tcPr>
          <w:p w14:paraId="511220D1" w14:textId="77777777" w:rsidR="00A775DB" w:rsidRPr="00B0658A" w:rsidRDefault="00A775DB" w:rsidP="004F1366">
            <w:pPr>
              <w:spacing w:after="0" w:line="240" w:lineRule="auto"/>
              <w:jc w:val="center"/>
              <w:rPr>
                <w:rFonts w:ascii="Times New Roman" w:hAnsi="Times New Roman"/>
                <w:sz w:val="18"/>
                <w:szCs w:val="18"/>
              </w:rPr>
            </w:pPr>
          </w:p>
        </w:tc>
        <w:tc>
          <w:tcPr>
            <w:tcW w:w="803" w:type="dxa"/>
            <w:shd w:val="clear" w:color="auto" w:fill="auto"/>
            <w:vAlign w:val="center"/>
            <w:hideMark/>
          </w:tcPr>
          <w:p w14:paraId="3F81C9D1" w14:textId="77777777" w:rsidR="00A775DB" w:rsidRPr="00B0658A" w:rsidRDefault="00A775DB" w:rsidP="004F1366">
            <w:pPr>
              <w:spacing w:after="0" w:line="240" w:lineRule="auto"/>
              <w:jc w:val="center"/>
              <w:rPr>
                <w:rFonts w:ascii="Times New Roman" w:hAnsi="Times New Roman"/>
                <w:sz w:val="18"/>
                <w:szCs w:val="18"/>
              </w:rPr>
            </w:pPr>
          </w:p>
        </w:tc>
        <w:tc>
          <w:tcPr>
            <w:tcW w:w="804" w:type="dxa"/>
            <w:shd w:val="clear" w:color="auto" w:fill="auto"/>
            <w:vAlign w:val="center"/>
            <w:hideMark/>
          </w:tcPr>
          <w:p w14:paraId="7128333C" w14:textId="77777777" w:rsidR="00A775DB" w:rsidRPr="00B0658A" w:rsidRDefault="00A775DB" w:rsidP="004F1366">
            <w:pPr>
              <w:spacing w:after="0" w:line="240" w:lineRule="auto"/>
              <w:jc w:val="center"/>
              <w:rPr>
                <w:rFonts w:ascii="Times New Roman" w:hAnsi="Times New Roman"/>
                <w:sz w:val="18"/>
                <w:szCs w:val="18"/>
              </w:rPr>
            </w:pPr>
          </w:p>
        </w:tc>
        <w:tc>
          <w:tcPr>
            <w:tcW w:w="1530" w:type="dxa"/>
            <w:vAlign w:val="center"/>
          </w:tcPr>
          <w:p w14:paraId="2E427C9C" w14:textId="77777777" w:rsidR="00A775DB" w:rsidRPr="00B0658A" w:rsidRDefault="00A775DB" w:rsidP="004F1366">
            <w:pPr>
              <w:spacing w:after="0" w:line="240" w:lineRule="auto"/>
              <w:jc w:val="center"/>
              <w:rPr>
                <w:rFonts w:ascii="Times New Roman" w:hAnsi="Times New Roman"/>
                <w:sz w:val="18"/>
                <w:szCs w:val="18"/>
              </w:rPr>
            </w:pPr>
          </w:p>
        </w:tc>
      </w:tr>
      <w:tr w:rsidR="00F52FED" w:rsidRPr="00B0658A" w14:paraId="0D548B74" w14:textId="77777777" w:rsidTr="004F1366">
        <w:trPr>
          <w:trHeight w:val="20"/>
        </w:trPr>
        <w:tc>
          <w:tcPr>
            <w:tcW w:w="578" w:type="dxa"/>
            <w:shd w:val="clear" w:color="000000" w:fill="FFFFFF"/>
            <w:vAlign w:val="center"/>
          </w:tcPr>
          <w:p w14:paraId="407485FE" w14:textId="77777777" w:rsidR="00A775DB" w:rsidRPr="00B0658A" w:rsidRDefault="00A775DB" w:rsidP="004F1366">
            <w:pPr>
              <w:spacing w:after="0" w:line="240" w:lineRule="auto"/>
              <w:jc w:val="center"/>
              <w:rPr>
                <w:rFonts w:ascii="Times New Roman" w:hAnsi="Times New Roman"/>
                <w:sz w:val="18"/>
                <w:szCs w:val="18"/>
              </w:rPr>
            </w:pPr>
            <w:r w:rsidRPr="00B0658A">
              <w:rPr>
                <w:rFonts w:ascii="Times New Roman" w:hAnsi="Times New Roman"/>
                <w:sz w:val="18"/>
                <w:szCs w:val="18"/>
              </w:rPr>
              <w:t>3.8</w:t>
            </w:r>
          </w:p>
        </w:tc>
        <w:tc>
          <w:tcPr>
            <w:tcW w:w="3812" w:type="dxa"/>
            <w:shd w:val="clear" w:color="auto" w:fill="auto"/>
            <w:vAlign w:val="center"/>
            <w:hideMark/>
          </w:tcPr>
          <w:p w14:paraId="514527C8" w14:textId="77777777" w:rsidR="00A775DB" w:rsidRPr="00B0658A" w:rsidRDefault="00A775DB" w:rsidP="004F1366">
            <w:pPr>
              <w:spacing w:after="0" w:line="240" w:lineRule="auto"/>
              <w:rPr>
                <w:rFonts w:ascii="Times New Roman" w:hAnsi="Times New Roman"/>
                <w:sz w:val="18"/>
                <w:szCs w:val="18"/>
              </w:rPr>
            </w:pPr>
            <w:r w:rsidRPr="00B0658A">
              <w:rPr>
                <w:rFonts w:ascii="Times New Roman" w:hAnsi="Times New Roman"/>
                <w:sz w:val="18"/>
                <w:szCs w:val="18"/>
              </w:rPr>
              <w:t>Средства обеспечения информационной безопасности/ Средства гарантированного уничтожения данных</w:t>
            </w:r>
          </w:p>
        </w:tc>
        <w:tc>
          <w:tcPr>
            <w:tcW w:w="1842" w:type="dxa"/>
            <w:shd w:val="clear" w:color="000000" w:fill="FFFFFF"/>
            <w:hideMark/>
          </w:tcPr>
          <w:p w14:paraId="6513FA92" w14:textId="77777777" w:rsidR="00A775DB" w:rsidRPr="00B0658A" w:rsidRDefault="00A775DB" w:rsidP="004F1366">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79" w:type="dxa"/>
            <w:vAlign w:val="center"/>
          </w:tcPr>
          <w:p w14:paraId="4A80A7DA"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auto" w:fill="auto"/>
            <w:vAlign w:val="center"/>
            <w:hideMark/>
          </w:tcPr>
          <w:p w14:paraId="44B436DA"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auto" w:fill="auto"/>
            <w:vAlign w:val="center"/>
            <w:hideMark/>
          </w:tcPr>
          <w:p w14:paraId="50A92F2C"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auto" w:fill="auto"/>
            <w:vAlign w:val="center"/>
            <w:hideMark/>
          </w:tcPr>
          <w:p w14:paraId="05838CFF" w14:textId="77777777" w:rsidR="00A775DB" w:rsidRPr="00B0658A" w:rsidRDefault="00A775DB" w:rsidP="004F1366">
            <w:pPr>
              <w:spacing w:after="0" w:line="240" w:lineRule="auto"/>
              <w:jc w:val="center"/>
              <w:rPr>
                <w:rFonts w:ascii="Times New Roman" w:hAnsi="Times New Roman"/>
                <w:sz w:val="18"/>
                <w:szCs w:val="18"/>
              </w:rPr>
            </w:pPr>
          </w:p>
        </w:tc>
        <w:tc>
          <w:tcPr>
            <w:tcW w:w="992" w:type="dxa"/>
            <w:vAlign w:val="center"/>
          </w:tcPr>
          <w:p w14:paraId="22C4B63B" w14:textId="77777777" w:rsidR="00A775DB" w:rsidRPr="00B0658A" w:rsidRDefault="00A775DB" w:rsidP="004F1366">
            <w:pPr>
              <w:spacing w:after="0" w:line="240" w:lineRule="auto"/>
              <w:jc w:val="center"/>
              <w:rPr>
                <w:rFonts w:ascii="Times New Roman" w:hAnsi="Times New Roman"/>
                <w:sz w:val="18"/>
                <w:szCs w:val="18"/>
              </w:rPr>
            </w:pPr>
          </w:p>
        </w:tc>
        <w:tc>
          <w:tcPr>
            <w:tcW w:w="803" w:type="dxa"/>
            <w:shd w:val="clear" w:color="auto" w:fill="auto"/>
            <w:vAlign w:val="center"/>
            <w:hideMark/>
          </w:tcPr>
          <w:p w14:paraId="6F8FB39F" w14:textId="77777777" w:rsidR="00A775DB" w:rsidRPr="00B0658A" w:rsidRDefault="00A775DB" w:rsidP="004F1366">
            <w:pPr>
              <w:spacing w:after="0" w:line="240" w:lineRule="auto"/>
              <w:jc w:val="center"/>
              <w:rPr>
                <w:rFonts w:ascii="Times New Roman" w:hAnsi="Times New Roman"/>
                <w:sz w:val="18"/>
                <w:szCs w:val="18"/>
              </w:rPr>
            </w:pPr>
          </w:p>
        </w:tc>
        <w:tc>
          <w:tcPr>
            <w:tcW w:w="803" w:type="dxa"/>
            <w:shd w:val="clear" w:color="auto" w:fill="auto"/>
            <w:vAlign w:val="center"/>
            <w:hideMark/>
          </w:tcPr>
          <w:p w14:paraId="76EAD1D2" w14:textId="77777777" w:rsidR="00A775DB" w:rsidRPr="00B0658A" w:rsidRDefault="00A775DB" w:rsidP="004F1366">
            <w:pPr>
              <w:spacing w:after="0" w:line="240" w:lineRule="auto"/>
              <w:jc w:val="center"/>
              <w:rPr>
                <w:rFonts w:ascii="Times New Roman" w:hAnsi="Times New Roman"/>
                <w:sz w:val="18"/>
                <w:szCs w:val="18"/>
              </w:rPr>
            </w:pPr>
          </w:p>
        </w:tc>
        <w:tc>
          <w:tcPr>
            <w:tcW w:w="804" w:type="dxa"/>
            <w:shd w:val="clear" w:color="auto" w:fill="auto"/>
            <w:vAlign w:val="center"/>
            <w:hideMark/>
          </w:tcPr>
          <w:p w14:paraId="29805742" w14:textId="77777777" w:rsidR="00A775DB" w:rsidRPr="00B0658A" w:rsidRDefault="00A775DB" w:rsidP="004F1366">
            <w:pPr>
              <w:spacing w:after="0" w:line="240" w:lineRule="auto"/>
              <w:jc w:val="center"/>
              <w:rPr>
                <w:rFonts w:ascii="Times New Roman" w:hAnsi="Times New Roman"/>
                <w:sz w:val="18"/>
                <w:szCs w:val="18"/>
              </w:rPr>
            </w:pPr>
          </w:p>
        </w:tc>
        <w:tc>
          <w:tcPr>
            <w:tcW w:w="1530" w:type="dxa"/>
            <w:vAlign w:val="center"/>
          </w:tcPr>
          <w:p w14:paraId="3BA03D18" w14:textId="77777777" w:rsidR="00A775DB" w:rsidRPr="00B0658A" w:rsidRDefault="00A775DB" w:rsidP="004F1366">
            <w:pPr>
              <w:spacing w:after="0" w:line="240" w:lineRule="auto"/>
              <w:jc w:val="center"/>
              <w:rPr>
                <w:rFonts w:ascii="Times New Roman" w:hAnsi="Times New Roman"/>
                <w:sz w:val="18"/>
                <w:szCs w:val="18"/>
              </w:rPr>
            </w:pPr>
          </w:p>
        </w:tc>
      </w:tr>
      <w:tr w:rsidR="00F52FED" w:rsidRPr="00B0658A" w14:paraId="6B001A6A" w14:textId="77777777" w:rsidTr="004F1366">
        <w:trPr>
          <w:trHeight w:val="20"/>
        </w:trPr>
        <w:tc>
          <w:tcPr>
            <w:tcW w:w="578" w:type="dxa"/>
            <w:shd w:val="clear" w:color="000000" w:fill="FFFFFF"/>
            <w:vAlign w:val="center"/>
          </w:tcPr>
          <w:p w14:paraId="7F768A6C" w14:textId="77777777" w:rsidR="00A775DB" w:rsidRPr="00B0658A" w:rsidRDefault="00A775DB" w:rsidP="004F1366">
            <w:pPr>
              <w:spacing w:after="0" w:line="240" w:lineRule="auto"/>
              <w:jc w:val="center"/>
              <w:rPr>
                <w:rFonts w:ascii="Times New Roman" w:hAnsi="Times New Roman"/>
                <w:sz w:val="18"/>
                <w:szCs w:val="18"/>
              </w:rPr>
            </w:pPr>
            <w:r w:rsidRPr="00B0658A">
              <w:rPr>
                <w:rFonts w:ascii="Times New Roman" w:hAnsi="Times New Roman"/>
                <w:sz w:val="18"/>
                <w:szCs w:val="18"/>
              </w:rPr>
              <w:t>3.9</w:t>
            </w:r>
          </w:p>
        </w:tc>
        <w:tc>
          <w:tcPr>
            <w:tcW w:w="3812" w:type="dxa"/>
            <w:shd w:val="clear" w:color="auto" w:fill="auto"/>
            <w:vAlign w:val="center"/>
            <w:hideMark/>
          </w:tcPr>
          <w:p w14:paraId="01A954AA" w14:textId="77777777" w:rsidR="00A775DB" w:rsidRPr="00B0658A" w:rsidRDefault="00A775DB" w:rsidP="004F1366">
            <w:pPr>
              <w:spacing w:after="0" w:line="240" w:lineRule="auto"/>
              <w:rPr>
                <w:rFonts w:ascii="Times New Roman" w:hAnsi="Times New Roman"/>
                <w:sz w:val="18"/>
                <w:szCs w:val="18"/>
              </w:rPr>
            </w:pPr>
            <w:r w:rsidRPr="00B0658A">
              <w:rPr>
                <w:rFonts w:ascii="Times New Roman" w:hAnsi="Times New Roman"/>
                <w:sz w:val="18"/>
                <w:szCs w:val="18"/>
              </w:rPr>
              <w:t>Средства обеспечения информационной безопасности/ Средства обнаружения и предотвращения утечек информации</w:t>
            </w:r>
          </w:p>
        </w:tc>
        <w:tc>
          <w:tcPr>
            <w:tcW w:w="1842" w:type="dxa"/>
            <w:shd w:val="clear" w:color="000000" w:fill="FFFFFF"/>
            <w:hideMark/>
          </w:tcPr>
          <w:p w14:paraId="5821A1F2" w14:textId="77777777" w:rsidR="00A775DB" w:rsidRPr="00B0658A" w:rsidRDefault="00A775DB" w:rsidP="004F1366">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79" w:type="dxa"/>
            <w:vAlign w:val="center"/>
          </w:tcPr>
          <w:p w14:paraId="1D4EB6DB"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auto" w:fill="auto"/>
            <w:vAlign w:val="center"/>
            <w:hideMark/>
          </w:tcPr>
          <w:p w14:paraId="6FC9AAC0"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auto" w:fill="auto"/>
            <w:vAlign w:val="center"/>
            <w:hideMark/>
          </w:tcPr>
          <w:p w14:paraId="26A8749F"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auto" w:fill="auto"/>
            <w:vAlign w:val="center"/>
            <w:hideMark/>
          </w:tcPr>
          <w:p w14:paraId="278ECEC1" w14:textId="77777777" w:rsidR="00A775DB" w:rsidRPr="00B0658A" w:rsidRDefault="00A775DB" w:rsidP="004F1366">
            <w:pPr>
              <w:spacing w:after="0" w:line="240" w:lineRule="auto"/>
              <w:jc w:val="center"/>
              <w:rPr>
                <w:rFonts w:ascii="Times New Roman" w:hAnsi="Times New Roman"/>
                <w:sz w:val="18"/>
                <w:szCs w:val="18"/>
              </w:rPr>
            </w:pPr>
          </w:p>
        </w:tc>
        <w:tc>
          <w:tcPr>
            <w:tcW w:w="992" w:type="dxa"/>
            <w:vAlign w:val="center"/>
          </w:tcPr>
          <w:p w14:paraId="2C9E9788" w14:textId="77777777" w:rsidR="00A775DB" w:rsidRPr="00B0658A" w:rsidRDefault="00A775DB" w:rsidP="004F1366">
            <w:pPr>
              <w:spacing w:after="0" w:line="240" w:lineRule="auto"/>
              <w:jc w:val="center"/>
              <w:rPr>
                <w:rFonts w:ascii="Times New Roman" w:hAnsi="Times New Roman"/>
                <w:sz w:val="18"/>
                <w:szCs w:val="18"/>
              </w:rPr>
            </w:pPr>
          </w:p>
        </w:tc>
        <w:tc>
          <w:tcPr>
            <w:tcW w:w="803" w:type="dxa"/>
            <w:shd w:val="clear" w:color="auto" w:fill="auto"/>
            <w:vAlign w:val="center"/>
            <w:hideMark/>
          </w:tcPr>
          <w:p w14:paraId="5B2818F1" w14:textId="77777777" w:rsidR="00A775DB" w:rsidRPr="00B0658A" w:rsidRDefault="00A775DB" w:rsidP="004F1366">
            <w:pPr>
              <w:spacing w:after="0" w:line="240" w:lineRule="auto"/>
              <w:jc w:val="center"/>
              <w:rPr>
                <w:rFonts w:ascii="Times New Roman" w:hAnsi="Times New Roman"/>
                <w:sz w:val="18"/>
                <w:szCs w:val="18"/>
              </w:rPr>
            </w:pPr>
          </w:p>
        </w:tc>
        <w:tc>
          <w:tcPr>
            <w:tcW w:w="803" w:type="dxa"/>
            <w:shd w:val="clear" w:color="auto" w:fill="auto"/>
            <w:vAlign w:val="center"/>
            <w:hideMark/>
          </w:tcPr>
          <w:p w14:paraId="2C51BBE8" w14:textId="77777777" w:rsidR="00A775DB" w:rsidRPr="00B0658A" w:rsidRDefault="00A775DB" w:rsidP="004F1366">
            <w:pPr>
              <w:spacing w:after="0" w:line="240" w:lineRule="auto"/>
              <w:jc w:val="center"/>
              <w:rPr>
                <w:rFonts w:ascii="Times New Roman" w:hAnsi="Times New Roman"/>
                <w:sz w:val="18"/>
                <w:szCs w:val="18"/>
              </w:rPr>
            </w:pPr>
          </w:p>
        </w:tc>
        <w:tc>
          <w:tcPr>
            <w:tcW w:w="804" w:type="dxa"/>
            <w:shd w:val="clear" w:color="auto" w:fill="auto"/>
            <w:vAlign w:val="center"/>
            <w:hideMark/>
          </w:tcPr>
          <w:p w14:paraId="56A26B67" w14:textId="77777777" w:rsidR="00A775DB" w:rsidRPr="00B0658A" w:rsidRDefault="00A775DB" w:rsidP="004F1366">
            <w:pPr>
              <w:spacing w:after="0" w:line="240" w:lineRule="auto"/>
              <w:jc w:val="center"/>
              <w:rPr>
                <w:rFonts w:ascii="Times New Roman" w:hAnsi="Times New Roman"/>
                <w:sz w:val="18"/>
                <w:szCs w:val="18"/>
              </w:rPr>
            </w:pPr>
          </w:p>
        </w:tc>
        <w:tc>
          <w:tcPr>
            <w:tcW w:w="1530" w:type="dxa"/>
            <w:vAlign w:val="center"/>
          </w:tcPr>
          <w:p w14:paraId="2FFF2A22" w14:textId="77777777" w:rsidR="00A775DB" w:rsidRPr="00B0658A" w:rsidRDefault="00A775DB" w:rsidP="004F1366">
            <w:pPr>
              <w:spacing w:after="0" w:line="240" w:lineRule="auto"/>
              <w:jc w:val="center"/>
              <w:rPr>
                <w:rFonts w:ascii="Times New Roman" w:hAnsi="Times New Roman"/>
                <w:sz w:val="18"/>
                <w:szCs w:val="18"/>
              </w:rPr>
            </w:pPr>
          </w:p>
        </w:tc>
      </w:tr>
      <w:tr w:rsidR="00F52FED" w:rsidRPr="00B0658A" w14:paraId="347D9F00" w14:textId="77777777" w:rsidTr="004F1366">
        <w:trPr>
          <w:trHeight w:val="20"/>
        </w:trPr>
        <w:tc>
          <w:tcPr>
            <w:tcW w:w="578" w:type="dxa"/>
            <w:shd w:val="clear" w:color="000000" w:fill="FFFFFF"/>
            <w:vAlign w:val="center"/>
          </w:tcPr>
          <w:p w14:paraId="7E0239F5" w14:textId="77777777" w:rsidR="00A775DB" w:rsidRPr="00B0658A" w:rsidRDefault="00A775DB" w:rsidP="004F1366">
            <w:pPr>
              <w:spacing w:after="0" w:line="240" w:lineRule="auto"/>
              <w:jc w:val="center"/>
              <w:rPr>
                <w:rFonts w:ascii="Times New Roman" w:hAnsi="Times New Roman"/>
                <w:sz w:val="18"/>
                <w:szCs w:val="18"/>
              </w:rPr>
            </w:pPr>
            <w:r w:rsidRPr="00B0658A">
              <w:rPr>
                <w:rFonts w:ascii="Times New Roman" w:hAnsi="Times New Roman"/>
                <w:sz w:val="18"/>
                <w:szCs w:val="18"/>
              </w:rPr>
              <w:t>3.10</w:t>
            </w:r>
          </w:p>
        </w:tc>
        <w:tc>
          <w:tcPr>
            <w:tcW w:w="3812" w:type="dxa"/>
            <w:shd w:val="clear" w:color="auto" w:fill="auto"/>
            <w:vAlign w:val="center"/>
            <w:hideMark/>
          </w:tcPr>
          <w:p w14:paraId="36766A1C" w14:textId="77777777" w:rsidR="00A775DB" w:rsidRPr="00B0658A" w:rsidRDefault="00A775DB" w:rsidP="004F1366">
            <w:pPr>
              <w:spacing w:after="0" w:line="240" w:lineRule="auto"/>
              <w:rPr>
                <w:rFonts w:ascii="Times New Roman" w:hAnsi="Times New Roman"/>
                <w:sz w:val="18"/>
                <w:szCs w:val="18"/>
              </w:rPr>
            </w:pPr>
            <w:r w:rsidRPr="00B0658A">
              <w:rPr>
                <w:rFonts w:ascii="Times New Roman" w:hAnsi="Times New Roman"/>
                <w:sz w:val="18"/>
                <w:szCs w:val="18"/>
              </w:rPr>
              <w:t>Средства обеспечения информационной безопасности/ Средства криптографической защиты информации и электронной подписи</w:t>
            </w:r>
          </w:p>
        </w:tc>
        <w:tc>
          <w:tcPr>
            <w:tcW w:w="1842" w:type="dxa"/>
            <w:shd w:val="clear" w:color="000000" w:fill="FFFFFF"/>
            <w:hideMark/>
          </w:tcPr>
          <w:p w14:paraId="77D1829E" w14:textId="77777777" w:rsidR="00A775DB" w:rsidRPr="00B0658A" w:rsidRDefault="00A775DB" w:rsidP="004F1366">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79" w:type="dxa"/>
            <w:vAlign w:val="center"/>
          </w:tcPr>
          <w:p w14:paraId="3B8CEE6B"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auto" w:fill="auto"/>
            <w:vAlign w:val="center"/>
            <w:hideMark/>
          </w:tcPr>
          <w:p w14:paraId="28A36500"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auto" w:fill="auto"/>
            <w:vAlign w:val="center"/>
            <w:hideMark/>
          </w:tcPr>
          <w:p w14:paraId="1F667A95"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auto" w:fill="auto"/>
            <w:vAlign w:val="center"/>
            <w:hideMark/>
          </w:tcPr>
          <w:p w14:paraId="397967D7" w14:textId="77777777" w:rsidR="00A775DB" w:rsidRPr="00B0658A" w:rsidRDefault="00A775DB" w:rsidP="004F1366">
            <w:pPr>
              <w:spacing w:after="0" w:line="240" w:lineRule="auto"/>
              <w:jc w:val="center"/>
              <w:rPr>
                <w:rFonts w:ascii="Times New Roman" w:hAnsi="Times New Roman"/>
                <w:sz w:val="18"/>
                <w:szCs w:val="18"/>
              </w:rPr>
            </w:pPr>
          </w:p>
        </w:tc>
        <w:tc>
          <w:tcPr>
            <w:tcW w:w="992" w:type="dxa"/>
            <w:vAlign w:val="center"/>
          </w:tcPr>
          <w:p w14:paraId="0191886A" w14:textId="77777777" w:rsidR="00A775DB" w:rsidRPr="00B0658A" w:rsidRDefault="00A775DB" w:rsidP="004F1366">
            <w:pPr>
              <w:spacing w:after="0" w:line="240" w:lineRule="auto"/>
              <w:jc w:val="center"/>
              <w:rPr>
                <w:rFonts w:ascii="Times New Roman" w:hAnsi="Times New Roman"/>
                <w:sz w:val="18"/>
                <w:szCs w:val="18"/>
              </w:rPr>
            </w:pPr>
          </w:p>
        </w:tc>
        <w:tc>
          <w:tcPr>
            <w:tcW w:w="803" w:type="dxa"/>
            <w:shd w:val="clear" w:color="auto" w:fill="auto"/>
            <w:vAlign w:val="center"/>
            <w:hideMark/>
          </w:tcPr>
          <w:p w14:paraId="472AEDCD" w14:textId="77777777" w:rsidR="00A775DB" w:rsidRPr="00B0658A" w:rsidRDefault="00A775DB" w:rsidP="004F1366">
            <w:pPr>
              <w:spacing w:after="0" w:line="240" w:lineRule="auto"/>
              <w:jc w:val="center"/>
              <w:rPr>
                <w:rFonts w:ascii="Times New Roman" w:hAnsi="Times New Roman"/>
                <w:sz w:val="18"/>
                <w:szCs w:val="18"/>
              </w:rPr>
            </w:pPr>
          </w:p>
        </w:tc>
        <w:tc>
          <w:tcPr>
            <w:tcW w:w="803" w:type="dxa"/>
            <w:shd w:val="clear" w:color="auto" w:fill="auto"/>
            <w:vAlign w:val="center"/>
            <w:hideMark/>
          </w:tcPr>
          <w:p w14:paraId="54F19A27" w14:textId="77777777" w:rsidR="00A775DB" w:rsidRPr="00B0658A" w:rsidRDefault="00A775DB" w:rsidP="004F1366">
            <w:pPr>
              <w:spacing w:after="0" w:line="240" w:lineRule="auto"/>
              <w:jc w:val="center"/>
              <w:rPr>
                <w:rFonts w:ascii="Times New Roman" w:hAnsi="Times New Roman"/>
                <w:sz w:val="18"/>
                <w:szCs w:val="18"/>
              </w:rPr>
            </w:pPr>
          </w:p>
        </w:tc>
        <w:tc>
          <w:tcPr>
            <w:tcW w:w="804" w:type="dxa"/>
            <w:shd w:val="clear" w:color="auto" w:fill="auto"/>
            <w:vAlign w:val="center"/>
            <w:hideMark/>
          </w:tcPr>
          <w:p w14:paraId="53B3B6D0" w14:textId="77777777" w:rsidR="00A775DB" w:rsidRPr="00B0658A" w:rsidRDefault="00A775DB" w:rsidP="004F1366">
            <w:pPr>
              <w:spacing w:after="0" w:line="240" w:lineRule="auto"/>
              <w:jc w:val="center"/>
              <w:rPr>
                <w:rFonts w:ascii="Times New Roman" w:hAnsi="Times New Roman"/>
                <w:sz w:val="18"/>
                <w:szCs w:val="18"/>
              </w:rPr>
            </w:pPr>
          </w:p>
        </w:tc>
        <w:tc>
          <w:tcPr>
            <w:tcW w:w="1530" w:type="dxa"/>
            <w:vAlign w:val="center"/>
          </w:tcPr>
          <w:p w14:paraId="307931F0" w14:textId="77777777" w:rsidR="00A775DB" w:rsidRPr="00B0658A" w:rsidRDefault="00A775DB" w:rsidP="004F1366">
            <w:pPr>
              <w:spacing w:after="0" w:line="240" w:lineRule="auto"/>
              <w:jc w:val="center"/>
              <w:rPr>
                <w:rFonts w:ascii="Times New Roman" w:hAnsi="Times New Roman"/>
                <w:sz w:val="18"/>
                <w:szCs w:val="18"/>
              </w:rPr>
            </w:pPr>
          </w:p>
        </w:tc>
      </w:tr>
      <w:tr w:rsidR="00F52FED" w:rsidRPr="00B0658A" w14:paraId="17ED2DCF" w14:textId="77777777" w:rsidTr="004F1366">
        <w:trPr>
          <w:trHeight w:val="20"/>
        </w:trPr>
        <w:tc>
          <w:tcPr>
            <w:tcW w:w="578" w:type="dxa"/>
            <w:shd w:val="clear" w:color="000000" w:fill="FFFFFF"/>
            <w:vAlign w:val="center"/>
          </w:tcPr>
          <w:p w14:paraId="5249A288" w14:textId="77777777" w:rsidR="00A775DB" w:rsidRPr="00B0658A" w:rsidRDefault="00A775DB" w:rsidP="004F1366">
            <w:pPr>
              <w:spacing w:after="0" w:line="240" w:lineRule="auto"/>
              <w:jc w:val="center"/>
              <w:rPr>
                <w:rFonts w:ascii="Times New Roman" w:hAnsi="Times New Roman"/>
                <w:sz w:val="18"/>
                <w:szCs w:val="18"/>
              </w:rPr>
            </w:pPr>
            <w:r w:rsidRPr="00B0658A">
              <w:rPr>
                <w:rFonts w:ascii="Times New Roman" w:hAnsi="Times New Roman"/>
                <w:sz w:val="18"/>
                <w:szCs w:val="18"/>
              </w:rPr>
              <w:t>3.11</w:t>
            </w:r>
          </w:p>
        </w:tc>
        <w:tc>
          <w:tcPr>
            <w:tcW w:w="3812" w:type="dxa"/>
            <w:shd w:val="clear" w:color="auto" w:fill="auto"/>
            <w:vAlign w:val="center"/>
            <w:hideMark/>
          </w:tcPr>
          <w:p w14:paraId="6DED2BF2" w14:textId="77777777" w:rsidR="00A775DB" w:rsidRPr="00B0658A" w:rsidRDefault="00A775DB" w:rsidP="004F1366">
            <w:pPr>
              <w:spacing w:after="0" w:line="240" w:lineRule="auto"/>
              <w:rPr>
                <w:rFonts w:ascii="Times New Roman" w:hAnsi="Times New Roman"/>
                <w:sz w:val="18"/>
                <w:szCs w:val="18"/>
              </w:rPr>
            </w:pPr>
            <w:r w:rsidRPr="00B0658A">
              <w:rPr>
                <w:rFonts w:ascii="Times New Roman" w:hAnsi="Times New Roman"/>
                <w:sz w:val="18"/>
                <w:szCs w:val="18"/>
              </w:rPr>
              <w:t>Средства обеспечения информационной безопасности/ Средства защиты каналов передачи данных, в том числе криптографическими методами</w:t>
            </w:r>
          </w:p>
        </w:tc>
        <w:tc>
          <w:tcPr>
            <w:tcW w:w="1842" w:type="dxa"/>
            <w:shd w:val="clear" w:color="000000" w:fill="FFFFFF"/>
            <w:hideMark/>
          </w:tcPr>
          <w:p w14:paraId="3EBBDC60" w14:textId="77777777" w:rsidR="00A775DB" w:rsidRPr="00B0658A" w:rsidRDefault="00A775DB" w:rsidP="004F1366">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79" w:type="dxa"/>
            <w:vAlign w:val="center"/>
          </w:tcPr>
          <w:p w14:paraId="48021349"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auto" w:fill="auto"/>
            <w:vAlign w:val="center"/>
            <w:hideMark/>
          </w:tcPr>
          <w:p w14:paraId="12AAAB25"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auto" w:fill="auto"/>
            <w:vAlign w:val="center"/>
            <w:hideMark/>
          </w:tcPr>
          <w:p w14:paraId="387452D4"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auto" w:fill="auto"/>
            <w:vAlign w:val="center"/>
            <w:hideMark/>
          </w:tcPr>
          <w:p w14:paraId="619A652E" w14:textId="77777777" w:rsidR="00A775DB" w:rsidRPr="00B0658A" w:rsidRDefault="00A775DB" w:rsidP="004F1366">
            <w:pPr>
              <w:spacing w:after="0" w:line="240" w:lineRule="auto"/>
              <w:jc w:val="center"/>
              <w:rPr>
                <w:rFonts w:ascii="Times New Roman" w:hAnsi="Times New Roman"/>
                <w:sz w:val="18"/>
                <w:szCs w:val="18"/>
              </w:rPr>
            </w:pPr>
          </w:p>
        </w:tc>
        <w:tc>
          <w:tcPr>
            <w:tcW w:w="992" w:type="dxa"/>
            <w:vAlign w:val="center"/>
          </w:tcPr>
          <w:p w14:paraId="7B289190" w14:textId="77777777" w:rsidR="00A775DB" w:rsidRPr="00B0658A" w:rsidRDefault="00A775DB" w:rsidP="004F1366">
            <w:pPr>
              <w:spacing w:after="0" w:line="240" w:lineRule="auto"/>
              <w:jc w:val="center"/>
              <w:rPr>
                <w:rFonts w:ascii="Times New Roman" w:hAnsi="Times New Roman"/>
                <w:sz w:val="18"/>
                <w:szCs w:val="18"/>
              </w:rPr>
            </w:pPr>
          </w:p>
        </w:tc>
        <w:tc>
          <w:tcPr>
            <w:tcW w:w="803" w:type="dxa"/>
            <w:shd w:val="clear" w:color="auto" w:fill="auto"/>
            <w:vAlign w:val="center"/>
            <w:hideMark/>
          </w:tcPr>
          <w:p w14:paraId="5E654B2E" w14:textId="77777777" w:rsidR="00A775DB" w:rsidRPr="00B0658A" w:rsidRDefault="00A775DB" w:rsidP="004F1366">
            <w:pPr>
              <w:spacing w:after="0" w:line="240" w:lineRule="auto"/>
              <w:jc w:val="center"/>
              <w:rPr>
                <w:rFonts w:ascii="Times New Roman" w:hAnsi="Times New Roman"/>
                <w:sz w:val="18"/>
                <w:szCs w:val="18"/>
              </w:rPr>
            </w:pPr>
          </w:p>
        </w:tc>
        <w:tc>
          <w:tcPr>
            <w:tcW w:w="803" w:type="dxa"/>
            <w:shd w:val="clear" w:color="auto" w:fill="auto"/>
            <w:vAlign w:val="center"/>
            <w:hideMark/>
          </w:tcPr>
          <w:p w14:paraId="6F0205F0" w14:textId="77777777" w:rsidR="00A775DB" w:rsidRPr="00B0658A" w:rsidRDefault="00A775DB" w:rsidP="004F1366">
            <w:pPr>
              <w:spacing w:after="0" w:line="240" w:lineRule="auto"/>
              <w:jc w:val="center"/>
              <w:rPr>
                <w:rFonts w:ascii="Times New Roman" w:hAnsi="Times New Roman"/>
                <w:sz w:val="18"/>
                <w:szCs w:val="18"/>
              </w:rPr>
            </w:pPr>
          </w:p>
        </w:tc>
        <w:tc>
          <w:tcPr>
            <w:tcW w:w="804" w:type="dxa"/>
            <w:shd w:val="clear" w:color="auto" w:fill="auto"/>
            <w:vAlign w:val="center"/>
            <w:hideMark/>
          </w:tcPr>
          <w:p w14:paraId="3BAACD69" w14:textId="77777777" w:rsidR="00A775DB" w:rsidRPr="00B0658A" w:rsidRDefault="00A775DB" w:rsidP="004F1366">
            <w:pPr>
              <w:spacing w:after="0" w:line="240" w:lineRule="auto"/>
              <w:jc w:val="center"/>
              <w:rPr>
                <w:rFonts w:ascii="Times New Roman" w:hAnsi="Times New Roman"/>
                <w:sz w:val="18"/>
                <w:szCs w:val="18"/>
              </w:rPr>
            </w:pPr>
          </w:p>
        </w:tc>
        <w:tc>
          <w:tcPr>
            <w:tcW w:w="1530" w:type="dxa"/>
            <w:vAlign w:val="center"/>
          </w:tcPr>
          <w:p w14:paraId="22970D7D" w14:textId="77777777" w:rsidR="00A775DB" w:rsidRPr="00B0658A" w:rsidRDefault="00A775DB" w:rsidP="004F1366">
            <w:pPr>
              <w:spacing w:after="0" w:line="240" w:lineRule="auto"/>
              <w:jc w:val="center"/>
              <w:rPr>
                <w:rFonts w:ascii="Times New Roman" w:hAnsi="Times New Roman"/>
                <w:sz w:val="18"/>
                <w:szCs w:val="18"/>
              </w:rPr>
            </w:pPr>
          </w:p>
        </w:tc>
      </w:tr>
      <w:tr w:rsidR="00F52FED" w:rsidRPr="00B0658A" w14:paraId="45E68007" w14:textId="77777777" w:rsidTr="004F1366">
        <w:trPr>
          <w:trHeight w:val="20"/>
        </w:trPr>
        <w:tc>
          <w:tcPr>
            <w:tcW w:w="578" w:type="dxa"/>
            <w:shd w:val="clear" w:color="000000" w:fill="FFFFFF"/>
            <w:vAlign w:val="center"/>
          </w:tcPr>
          <w:p w14:paraId="010316ED" w14:textId="77777777" w:rsidR="00A775DB" w:rsidRPr="00B0658A" w:rsidRDefault="00A775DB" w:rsidP="004F1366">
            <w:pPr>
              <w:spacing w:after="0" w:line="240" w:lineRule="auto"/>
              <w:jc w:val="center"/>
              <w:rPr>
                <w:rFonts w:ascii="Times New Roman" w:hAnsi="Times New Roman"/>
                <w:sz w:val="18"/>
                <w:szCs w:val="18"/>
              </w:rPr>
            </w:pPr>
            <w:r w:rsidRPr="00B0658A">
              <w:rPr>
                <w:rFonts w:ascii="Times New Roman" w:hAnsi="Times New Roman"/>
                <w:sz w:val="18"/>
                <w:szCs w:val="18"/>
              </w:rPr>
              <w:t>3.12</w:t>
            </w:r>
          </w:p>
        </w:tc>
        <w:tc>
          <w:tcPr>
            <w:tcW w:w="3812" w:type="dxa"/>
            <w:shd w:val="clear" w:color="auto" w:fill="auto"/>
            <w:vAlign w:val="center"/>
            <w:hideMark/>
          </w:tcPr>
          <w:p w14:paraId="6E932277" w14:textId="77777777" w:rsidR="00A775DB" w:rsidRPr="00B0658A" w:rsidRDefault="00A775DB" w:rsidP="004F1366">
            <w:pPr>
              <w:spacing w:after="0" w:line="240" w:lineRule="auto"/>
              <w:rPr>
                <w:rFonts w:ascii="Times New Roman" w:hAnsi="Times New Roman"/>
                <w:sz w:val="18"/>
                <w:szCs w:val="18"/>
              </w:rPr>
            </w:pPr>
            <w:r w:rsidRPr="00B0658A">
              <w:rPr>
                <w:rFonts w:ascii="Times New Roman" w:hAnsi="Times New Roman"/>
                <w:sz w:val="18"/>
                <w:szCs w:val="18"/>
              </w:rPr>
              <w:t>Средства обеспечения информационной безопасности/ Системы управления доступом к информационным ресурсам</w:t>
            </w:r>
          </w:p>
        </w:tc>
        <w:tc>
          <w:tcPr>
            <w:tcW w:w="1842" w:type="dxa"/>
            <w:shd w:val="clear" w:color="000000" w:fill="FFFFFF"/>
            <w:hideMark/>
          </w:tcPr>
          <w:p w14:paraId="1D9E1B0E" w14:textId="77777777" w:rsidR="00A775DB" w:rsidRPr="00B0658A" w:rsidRDefault="00A775DB" w:rsidP="004F1366">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79" w:type="dxa"/>
            <w:vAlign w:val="center"/>
          </w:tcPr>
          <w:p w14:paraId="5580B5C9"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auto" w:fill="auto"/>
            <w:vAlign w:val="center"/>
            <w:hideMark/>
          </w:tcPr>
          <w:p w14:paraId="45CAC7B8"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auto" w:fill="auto"/>
            <w:vAlign w:val="center"/>
            <w:hideMark/>
          </w:tcPr>
          <w:p w14:paraId="0F5CC6AC"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auto" w:fill="auto"/>
            <w:vAlign w:val="center"/>
            <w:hideMark/>
          </w:tcPr>
          <w:p w14:paraId="753E6C61" w14:textId="77777777" w:rsidR="00A775DB" w:rsidRPr="00B0658A" w:rsidRDefault="00A775DB" w:rsidP="004F1366">
            <w:pPr>
              <w:spacing w:after="0" w:line="240" w:lineRule="auto"/>
              <w:jc w:val="center"/>
              <w:rPr>
                <w:rFonts w:ascii="Times New Roman" w:hAnsi="Times New Roman"/>
                <w:sz w:val="18"/>
                <w:szCs w:val="18"/>
              </w:rPr>
            </w:pPr>
          </w:p>
        </w:tc>
        <w:tc>
          <w:tcPr>
            <w:tcW w:w="992" w:type="dxa"/>
            <w:vAlign w:val="center"/>
          </w:tcPr>
          <w:p w14:paraId="76D0B268" w14:textId="77777777" w:rsidR="00A775DB" w:rsidRPr="00B0658A" w:rsidRDefault="00A775DB" w:rsidP="004F1366">
            <w:pPr>
              <w:spacing w:after="0" w:line="240" w:lineRule="auto"/>
              <w:jc w:val="center"/>
              <w:rPr>
                <w:rFonts w:ascii="Times New Roman" w:hAnsi="Times New Roman"/>
                <w:sz w:val="18"/>
                <w:szCs w:val="18"/>
              </w:rPr>
            </w:pPr>
          </w:p>
        </w:tc>
        <w:tc>
          <w:tcPr>
            <w:tcW w:w="803" w:type="dxa"/>
            <w:shd w:val="clear" w:color="auto" w:fill="auto"/>
            <w:vAlign w:val="center"/>
            <w:hideMark/>
          </w:tcPr>
          <w:p w14:paraId="3F5932A6" w14:textId="77777777" w:rsidR="00A775DB" w:rsidRPr="00B0658A" w:rsidRDefault="00A775DB" w:rsidP="004F1366">
            <w:pPr>
              <w:spacing w:after="0" w:line="240" w:lineRule="auto"/>
              <w:jc w:val="center"/>
              <w:rPr>
                <w:rFonts w:ascii="Times New Roman" w:hAnsi="Times New Roman"/>
                <w:sz w:val="18"/>
                <w:szCs w:val="18"/>
              </w:rPr>
            </w:pPr>
          </w:p>
        </w:tc>
        <w:tc>
          <w:tcPr>
            <w:tcW w:w="803" w:type="dxa"/>
            <w:shd w:val="clear" w:color="auto" w:fill="auto"/>
            <w:vAlign w:val="center"/>
            <w:hideMark/>
          </w:tcPr>
          <w:p w14:paraId="5BF8CF50" w14:textId="77777777" w:rsidR="00A775DB" w:rsidRPr="00B0658A" w:rsidRDefault="00A775DB" w:rsidP="004F1366">
            <w:pPr>
              <w:spacing w:after="0" w:line="240" w:lineRule="auto"/>
              <w:jc w:val="center"/>
              <w:rPr>
                <w:rFonts w:ascii="Times New Roman" w:hAnsi="Times New Roman"/>
                <w:sz w:val="18"/>
                <w:szCs w:val="18"/>
              </w:rPr>
            </w:pPr>
          </w:p>
        </w:tc>
        <w:tc>
          <w:tcPr>
            <w:tcW w:w="804" w:type="dxa"/>
            <w:shd w:val="clear" w:color="auto" w:fill="auto"/>
            <w:vAlign w:val="center"/>
            <w:hideMark/>
          </w:tcPr>
          <w:p w14:paraId="73361510" w14:textId="77777777" w:rsidR="00A775DB" w:rsidRPr="00B0658A" w:rsidRDefault="00A775DB" w:rsidP="004F1366">
            <w:pPr>
              <w:spacing w:after="0" w:line="240" w:lineRule="auto"/>
              <w:jc w:val="center"/>
              <w:rPr>
                <w:rFonts w:ascii="Times New Roman" w:hAnsi="Times New Roman"/>
                <w:sz w:val="18"/>
                <w:szCs w:val="18"/>
              </w:rPr>
            </w:pPr>
          </w:p>
        </w:tc>
        <w:tc>
          <w:tcPr>
            <w:tcW w:w="1530" w:type="dxa"/>
            <w:vAlign w:val="center"/>
          </w:tcPr>
          <w:p w14:paraId="7CD30151" w14:textId="77777777" w:rsidR="00A775DB" w:rsidRPr="00B0658A" w:rsidRDefault="00A775DB" w:rsidP="004F1366">
            <w:pPr>
              <w:spacing w:after="0" w:line="240" w:lineRule="auto"/>
              <w:jc w:val="center"/>
              <w:rPr>
                <w:rFonts w:ascii="Times New Roman" w:hAnsi="Times New Roman"/>
                <w:sz w:val="18"/>
                <w:szCs w:val="18"/>
              </w:rPr>
            </w:pPr>
          </w:p>
        </w:tc>
      </w:tr>
      <w:tr w:rsidR="00F52FED" w:rsidRPr="00B0658A" w14:paraId="274112B1" w14:textId="77777777" w:rsidTr="004F1366">
        <w:trPr>
          <w:trHeight w:val="20"/>
        </w:trPr>
        <w:tc>
          <w:tcPr>
            <w:tcW w:w="578" w:type="dxa"/>
            <w:shd w:val="clear" w:color="000000" w:fill="FFFFFF"/>
            <w:vAlign w:val="center"/>
          </w:tcPr>
          <w:p w14:paraId="36CA7345" w14:textId="77777777" w:rsidR="00A775DB" w:rsidRPr="00B0658A" w:rsidRDefault="00A775DB" w:rsidP="004F1366">
            <w:pPr>
              <w:spacing w:after="0" w:line="240" w:lineRule="auto"/>
              <w:jc w:val="center"/>
              <w:rPr>
                <w:rFonts w:ascii="Times New Roman" w:hAnsi="Times New Roman"/>
                <w:sz w:val="18"/>
                <w:szCs w:val="18"/>
              </w:rPr>
            </w:pPr>
            <w:r w:rsidRPr="00B0658A">
              <w:rPr>
                <w:rFonts w:ascii="Times New Roman" w:hAnsi="Times New Roman"/>
                <w:sz w:val="18"/>
                <w:szCs w:val="18"/>
              </w:rPr>
              <w:t>3.13</w:t>
            </w:r>
          </w:p>
        </w:tc>
        <w:tc>
          <w:tcPr>
            <w:tcW w:w="3812" w:type="dxa"/>
            <w:shd w:val="clear" w:color="auto" w:fill="auto"/>
            <w:vAlign w:val="center"/>
            <w:hideMark/>
          </w:tcPr>
          <w:p w14:paraId="0FB4F908" w14:textId="77777777" w:rsidR="00A775DB" w:rsidRPr="00B0658A" w:rsidRDefault="00A775DB" w:rsidP="004F1366">
            <w:pPr>
              <w:spacing w:after="0" w:line="240" w:lineRule="auto"/>
              <w:rPr>
                <w:rFonts w:ascii="Times New Roman" w:hAnsi="Times New Roman"/>
                <w:sz w:val="18"/>
                <w:szCs w:val="18"/>
              </w:rPr>
            </w:pPr>
            <w:r w:rsidRPr="00B0658A">
              <w:rPr>
                <w:rFonts w:ascii="Times New Roman" w:hAnsi="Times New Roman"/>
                <w:sz w:val="18"/>
                <w:szCs w:val="18"/>
              </w:rPr>
              <w:t>Средства обеспечения информационной безопасности/ Средства резервного копирования</w:t>
            </w:r>
          </w:p>
        </w:tc>
        <w:tc>
          <w:tcPr>
            <w:tcW w:w="1842" w:type="dxa"/>
            <w:shd w:val="clear" w:color="000000" w:fill="FFFFFF"/>
            <w:hideMark/>
          </w:tcPr>
          <w:p w14:paraId="2CC26F04" w14:textId="77777777" w:rsidR="00A775DB" w:rsidRPr="00B0658A" w:rsidRDefault="00A775DB" w:rsidP="004F1366">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79" w:type="dxa"/>
            <w:vAlign w:val="center"/>
          </w:tcPr>
          <w:p w14:paraId="3A29AE64"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auto" w:fill="auto"/>
            <w:vAlign w:val="center"/>
            <w:hideMark/>
          </w:tcPr>
          <w:p w14:paraId="6C14062C"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auto" w:fill="auto"/>
            <w:vAlign w:val="center"/>
            <w:hideMark/>
          </w:tcPr>
          <w:p w14:paraId="573DA9A3"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auto" w:fill="auto"/>
            <w:vAlign w:val="center"/>
            <w:hideMark/>
          </w:tcPr>
          <w:p w14:paraId="73A1C288" w14:textId="77777777" w:rsidR="00A775DB" w:rsidRPr="00B0658A" w:rsidRDefault="00A775DB" w:rsidP="004F1366">
            <w:pPr>
              <w:spacing w:after="0" w:line="240" w:lineRule="auto"/>
              <w:jc w:val="center"/>
              <w:rPr>
                <w:rFonts w:ascii="Times New Roman" w:hAnsi="Times New Roman"/>
                <w:sz w:val="18"/>
                <w:szCs w:val="18"/>
              </w:rPr>
            </w:pPr>
          </w:p>
        </w:tc>
        <w:tc>
          <w:tcPr>
            <w:tcW w:w="992" w:type="dxa"/>
            <w:vAlign w:val="center"/>
          </w:tcPr>
          <w:p w14:paraId="1FB0BFF6" w14:textId="77777777" w:rsidR="00A775DB" w:rsidRPr="00B0658A" w:rsidRDefault="00A775DB" w:rsidP="004F1366">
            <w:pPr>
              <w:spacing w:after="0" w:line="240" w:lineRule="auto"/>
              <w:jc w:val="center"/>
              <w:rPr>
                <w:rFonts w:ascii="Times New Roman" w:hAnsi="Times New Roman"/>
                <w:sz w:val="18"/>
                <w:szCs w:val="18"/>
              </w:rPr>
            </w:pPr>
          </w:p>
        </w:tc>
        <w:tc>
          <w:tcPr>
            <w:tcW w:w="803" w:type="dxa"/>
            <w:shd w:val="clear" w:color="auto" w:fill="auto"/>
            <w:vAlign w:val="center"/>
            <w:hideMark/>
          </w:tcPr>
          <w:p w14:paraId="5AC11137" w14:textId="77777777" w:rsidR="00A775DB" w:rsidRPr="00B0658A" w:rsidRDefault="00A775DB" w:rsidP="004F1366">
            <w:pPr>
              <w:spacing w:after="0" w:line="240" w:lineRule="auto"/>
              <w:jc w:val="center"/>
              <w:rPr>
                <w:rFonts w:ascii="Times New Roman" w:hAnsi="Times New Roman"/>
                <w:sz w:val="18"/>
                <w:szCs w:val="18"/>
              </w:rPr>
            </w:pPr>
          </w:p>
        </w:tc>
        <w:tc>
          <w:tcPr>
            <w:tcW w:w="803" w:type="dxa"/>
            <w:shd w:val="clear" w:color="auto" w:fill="auto"/>
            <w:vAlign w:val="center"/>
            <w:hideMark/>
          </w:tcPr>
          <w:p w14:paraId="3BBE4472" w14:textId="77777777" w:rsidR="00A775DB" w:rsidRPr="00B0658A" w:rsidRDefault="00A775DB" w:rsidP="004F1366">
            <w:pPr>
              <w:spacing w:after="0" w:line="240" w:lineRule="auto"/>
              <w:jc w:val="center"/>
              <w:rPr>
                <w:rFonts w:ascii="Times New Roman" w:hAnsi="Times New Roman"/>
                <w:sz w:val="18"/>
                <w:szCs w:val="18"/>
              </w:rPr>
            </w:pPr>
          </w:p>
        </w:tc>
        <w:tc>
          <w:tcPr>
            <w:tcW w:w="804" w:type="dxa"/>
            <w:shd w:val="clear" w:color="auto" w:fill="auto"/>
            <w:vAlign w:val="center"/>
            <w:hideMark/>
          </w:tcPr>
          <w:p w14:paraId="0D549E9C" w14:textId="77777777" w:rsidR="00A775DB" w:rsidRPr="00B0658A" w:rsidRDefault="00A775DB" w:rsidP="004F1366">
            <w:pPr>
              <w:spacing w:after="0" w:line="240" w:lineRule="auto"/>
              <w:jc w:val="center"/>
              <w:rPr>
                <w:rFonts w:ascii="Times New Roman" w:hAnsi="Times New Roman"/>
                <w:sz w:val="18"/>
                <w:szCs w:val="18"/>
              </w:rPr>
            </w:pPr>
          </w:p>
        </w:tc>
        <w:tc>
          <w:tcPr>
            <w:tcW w:w="1530" w:type="dxa"/>
            <w:vAlign w:val="center"/>
          </w:tcPr>
          <w:p w14:paraId="02558E4F" w14:textId="77777777" w:rsidR="00A775DB" w:rsidRPr="00B0658A" w:rsidRDefault="00A775DB" w:rsidP="004F1366">
            <w:pPr>
              <w:spacing w:after="0" w:line="240" w:lineRule="auto"/>
              <w:jc w:val="center"/>
              <w:rPr>
                <w:rFonts w:ascii="Times New Roman" w:hAnsi="Times New Roman"/>
                <w:sz w:val="18"/>
                <w:szCs w:val="18"/>
              </w:rPr>
            </w:pPr>
          </w:p>
        </w:tc>
      </w:tr>
      <w:tr w:rsidR="00F52FED" w:rsidRPr="00B0658A" w14:paraId="3AEB925D" w14:textId="77777777" w:rsidTr="004F1366">
        <w:trPr>
          <w:trHeight w:val="20"/>
        </w:trPr>
        <w:tc>
          <w:tcPr>
            <w:tcW w:w="578" w:type="dxa"/>
            <w:shd w:val="clear" w:color="000000" w:fill="FFFFFF"/>
            <w:vAlign w:val="center"/>
          </w:tcPr>
          <w:p w14:paraId="0676C74E" w14:textId="77777777" w:rsidR="00A775DB" w:rsidRPr="00B0658A" w:rsidRDefault="00A775DB" w:rsidP="004F1366">
            <w:pPr>
              <w:spacing w:after="0" w:line="240" w:lineRule="auto"/>
              <w:jc w:val="center"/>
              <w:rPr>
                <w:rFonts w:ascii="Times New Roman" w:hAnsi="Times New Roman"/>
                <w:sz w:val="18"/>
                <w:szCs w:val="18"/>
              </w:rPr>
            </w:pPr>
            <w:r w:rsidRPr="00B0658A">
              <w:rPr>
                <w:rFonts w:ascii="Times New Roman" w:hAnsi="Times New Roman"/>
                <w:sz w:val="18"/>
                <w:szCs w:val="18"/>
              </w:rPr>
              <w:t>3.14</w:t>
            </w:r>
          </w:p>
        </w:tc>
        <w:tc>
          <w:tcPr>
            <w:tcW w:w="3812" w:type="dxa"/>
            <w:shd w:val="clear" w:color="auto" w:fill="auto"/>
            <w:vAlign w:val="center"/>
            <w:hideMark/>
          </w:tcPr>
          <w:p w14:paraId="15C8ABE4" w14:textId="77777777" w:rsidR="00A775DB" w:rsidRPr="00B0658A" w:rsidRDefault="00A775DB" w:rsidP="004F1366">
            <w:pPr>
              <w:spacing w:after="0" w:line="240" w:lineRule="auto"/>
              <w:rPr>
                <w:rFonts w:ascii="Times New Roman" w:hAnsi="Times New Roman"/>
                <w:sz w:val="18"/>
                <w:szCs w:val="18"/>
              </w:rPr>
            </w:pPr>
            <w:r w:rsidRPr="00B0658A">
              <w:rPr>
                <w:rFonts w:ascii="Times New Roman" w:hAnsi="Times New Roman"/>
                <w:sz w:val="18"/>
                <w:szCs w:val="18"/>
              </w:rPr>
              <w:t>Средства обеспечения информационной безопасности/ Средства обнаружения и/или предотвращения вторжений (атак)</w:t>
            </w:r>
          </w:p>
        </w:tc>
        <w:tc>
          <w:tcPr>
            <w:tcW w:w="1842" w:type="dxa"/>
            <w:shd w:val="clear" w:color="000000" w:fill="FFFFFF"/>
            <w:hideMark/>
          </w:tcPr>
          <w:p w14:paraId="4E771847" w14:textId="77777777" w:rsidR="00A775DB" w:rsidRPr="00B0658A" w:rsidRDefault="00A775DB" w:rsidP="004F1366">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79" w:type="dxa"/>
            <w:vAlign w:val="center"/>
          </w:tcPr>
          <w:p w14:paraId="49EB3C73"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auto" w:fill="auto"/>
            <w:vAlign w:val="center"/>
            <w:hideMark/>
          </w:tcPr>
          <w:p w14:paraId="607AEDC1"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auto" w:fill="auto"/>
            <w:vAlign w:val="center"/>
            <w:hideMark/>
          </w:tcPr>
          <w:p w14:paraId="66FFE71E"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auto" w:fill="auto"/>
            <w:vAlign w:val="center"/>
            <w:hideMark/>
          </w:tcPr>
          <w:p w14:paraId="02525A38" w14:textId="77777777" w:rsidR="00A775DB" w:rsidRPr="00B0658A" w:rsidRDefault="00A775DB" w:rsidP="004F1366">
            <w:pPr>
              <w:spacing w:after="0" w:line="240" w:lineRule="auto"/>
              <w:jc w:val="center"/>
              <w:rPr>
                <w:rFonts w:ascii="Times New Roman" w:hAnsi="Times New Roman"/>
                <w:sz w:val="18"/>
                <w:szCs w:val="18"/>
              </w:rPr>
            </w:pPr>
          </w:p>
        </w:tc>
        <w:tc>
          <w:tcPr>
            <w:tcW w:w="992" w:type="dxa"/>
            <w:vAlign w:val="center"/>
          </w:tcPr>
          <w:p w14:paraId="2C5BD489" w14:textId="77777777" w:rsidR="00A775DB" w:rsidRPr="00B0658A" w:rsidRDefault="00A775DB" w:rsidP="004F1366">
            <w:pPr>
              <w:spacing w:after="0" w:line="240" w:lineRule="auto"/>
              <w:jc w:val="center"/>
              <w:rPr>
                <w:rFonts w:ascii="Times New Roman" w:hAnsi="Times New Roman"/>
                <w:sz w:val="18"/>
                <w:szCs w:val="18"/>
              </w:rPr>
            </w:pPr>
          </w:p>
        </w:tc>
        <w:tc>
          <w:tcPr>
            <w:tcW w:w="803" w:type="dxa"/>
            <w:shd w:val="clear" w:color="auto" w:fill="auto"/>
            <w:vAlign w:val="center"/>
            <w:hideMark/>
          </w:tcPr>
          <w:p w14:paraId="59F55C78" w14:textId="77777777" w:rsidR="00A775DB" w:rsidRPr="00B0658A" w:rsidRDefault="00A775DB" w:rsidP="004F1366">
            <w:pPr>
              <w:spacing w:after="0" w:line="240" w:lineRule="auto"/>
              <w:jc w:val="center"/>
              <w:rPr>
                <w:rFonts w:ascii="Times New Roman" w:hAnsi="Times New Roman"/>
                <w:sz w:val="18"/>
                <w:szCs w:val="18"/>
              </w:rPr>
            </w:pPr>
          </w:p>
        </w:tc>
        <w:tc>
          <w:tcPr>
            <w:tcW w:w="803" w:type="dxa"/>
            <w:shd w:val="clear" w:color="auto" w:fill="auto"/>
            <w:vAlign w:val="center"/>
            <w:hideMark/>
          </w:tcPr>
          <w:p w14:paraId="34E94A20" w14:textId="77777777" w:rsidR="00A775DB" w:rsidRPr="00B0658A" w:rsidRDefault="00A775DB" w:rsidP="004F1366">
            <w:pPr>
              <w:spacing w:after="0" w:line="240" w:lineRule="auto"/>
              <w:jc w:val="center"/>
              <w:rPr>
                <w:rFonts w:ascii="Times New Roman" w:hAnsi="Times New Roman"/>
                <w:sz w:val="18"/>
                <w:szCs w:val="18"/>
              </w:rPr>
            </w:pPr>
          </w:p>
        </w:tc>
        <w:tc>
          <w:tcPr>
            <w:tcW w:w="804" w:type="dxa"/>
            <w:shd w:val="clear" w:color="auto" w:fill="auto"/>
            <w:vAlign w:val="center"/>
            <w:hideMark/>
          </w:tcPr>
          <w:p w14:paraId="74CD81FE" w14:textId="77777777" w:rsidR="00A775DB" w:rsidRPr="00B0658A" w:rsidRDefault="00A775DB" w:rsidP="004F1366">
            <w:pPr>
              <w:spacing w:after="0" w:line="240" w:lineRule="auto"/>
              <w:jc w:val="center"/>
              <w:rPr>
                <w:rFonts w:ascii="Times New Roman" w:hAnsi="Times New Roman"/>
                <w:sz w:val="18"/>
                <w:szCs w:val="18"/>
              </w:rPr>
            </w:pPr>
          </w:p>
        </w:tc>
        <w:tc>
          <w:tcPr>
            <w:tcW w:w="1530" w:type="dxa"/>
            <w:vAlign w:val="center"/>
          </w:tcPr>
          <w:p w14:paraId="0B00DB59" w14:textId="77777777" w:rsidR="00A775DB" w:rsidRPr="00B0658A" w:rsidRDefault="00A775DB" w:rsidP="004F1366">
            <w:pPr>
              <w:spacing w:after="0" w:line="240" w:lineRule="auto"/>
              <w:jc w:val="center"/>
              <w:rPr>
                <w:rFonts w:ascii="Times New Roman" w:hAnsi="Times New Roman"/>
                <w:sz w:val="18"/>
                <w:szCs w:val="18"/>
              </w:rPr>
            </w:pPr>
          </w:p>
        </w:tc>
      </w:tr>
      <w:tr w:rsidR="00F52FED" w:rsidRPr="00B0658A" w14:paraId="69C6DB38" w14:textId="77777777" w:rsidTr="004F1366">
        <w:trPr>
          <w:trHeight w:val="20"/>
        </w:trPr>
        <w:tc>
          <w:tcPr>
            <w:tcW w:w="578" w:type="dxa"/>
            <w:shd w:val="clear" w:color="000000" w:fill="FFFFFF"/>
            <w:vAlign w:val="center"/>
          </w:tcPr>
          <w:p w14:paraId="7A5AD9FD" w14:textId="77777777" w:rsidR="00A775DB" w:rsidRPr="00B0658A" w:rsidRDefault="00A775DB" w:rsidP="004F1366">
            <w:pPr>
              <w:spacing w:after="0" w:line="240" w:lineRule="auto"/>
              <w:jc w:val="center"/>
              <w:rPr>
                <w:rFonts w:ascii="Times New Roman" w:hAnsi="Times New Roman"/>
                <w:sz w:val="18"/>
                <w:szCs w:val="18"/>
              </w:rPr>
            </w:pPr>
            <w:r w:rsidRPr="00B0658A">
              <w:rPr>
                <w:rFonts w:ascii="Times New Roman" w:hAnsi="Times New Roman"/>
                <w:sz w:val="18"/>
                <w:szCs w:val="18"/>
              </w:rPr>
              <w:t>3.15</w:t>
            </w:r>
          </w:p>
        </w:tc>
        <w:tc>
          <w:tcPr>
            <w:tcW w:w="3812" w:type="dxa"/>
            <w:shd w:val="clear" w:color="auto" w:fill="auto"/>
            <w:vAlign w:val="center"/>
            <w:hideMark/>
          </w:tcPr>
          <w:p w14:paraId="0A69C7CF" w14:textId="77777777" w:rsidR="00A775DB" w:rsidRPr="00B0658A" w:rsidRDefault="00A775DB" w:rsidP="004F1366">
            <w:pPr>
              <w:spacing w:after="0" w:line="240" w:lineRule="auto"/>
              <w:rPr>
                <w:rFonts w:ascii="Times New Roman" w:hAnsi="Times New Roman"/>
                <w:sz w:val="18"/>
                <w:szCs w:val="18"/>
              </w:rPr>
            </w:pPr>
            <w:r w:rsidRPr="00B0658A">
              <w:rPr>
                <w:rFonts w:ascii="Times New Roman" w:hAnsi="Times New Roman"/>
                <w:sz w:val="18"/>
                <w:szCs w:val="18"/>
              </w:rPr>
              <w:t>Средства обеспечения информационной безопасности/ Средства обнаружения угроз и расследования сетевых инцидентов</w:t>
            </w:r>
          </w:p>
        </w:tc>
        <w:tc>
          <w:tcPr>
            <w:tcW w:w="1842" w:type="dxa"/>
            <w:shd w:val="clear" w:color="000000" w:fill="FFFFFF"/>
            <w:hideMark/>
          </w:tcPr>
          <w:p w14:paraId="1722FE48" w14:textId="77777777" w:rsidR="00A775DB" w:rsidRPr="00B0658A" w:rsidRDefault="00A775DB" w:rsidP="004F1366">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79" w:type="dxa"/>
            <w:vAlign w:val="center"/>
          </w:tcPr>
          <w:p w14:paraId="3481DED5"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auto" w:fill="auto"/>
            <w:vAlign w:val="center"/>
            <w:hideMark/>
          </w:tcPr>
          <w:p w14:paraId="754E6093"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auto" w:fill="auto"/>
            <w:vAlign w:val="center"/>
            <w:hideMark/>
          </w:tcPr>
          <w:p w14:paraId="5ADBE761"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auto" w:fill="auto"/>
            <w:vAlign w:val="center"/>
            <w:hideMark/>
          </w:tcPr>
          <w:p w14:paraId="4148575E" w14:textId="77777777" w:rsidR="00A775DB" w:rsidRPr="00B0658A" w:rsidRDefault="00A775DB" w:rsidP="004F1366">
            <w:pPr>
              <w:spacing w:after="0" w:line="240" w:lineRule="auto"/>
              <w:jc w:val="center"/>
              <w:rPr>
                <w:rFonts w:ascii="Times New Roman" w:hAnsi="Times New Roman"/>
                <w:sz w:val="18"/>
                <w:szCs w:val="18"/>
              </w:rPr>
            </w:pPr>
          </w:p>
        </w:tc>
        <w:tc>
          <w:tcPr>
            <w:tcW w:w="992" w:type="dxa"/>
            <w:vAlign w:val="center"/>
          </w:tcPr>
          <w:p w14:paraId="0F4C96E8" w14:textId="77777777" w:rsidR="00A775DB" w:rsidRPr="00B0658A" w:rsidRDefault="00A775DB" w:rsidP="004F1366">
            <w:pPr>
              <w:spacing w:after="0" w:line="240" w:lineRule="auto"/>
              <w:jc w:val="center"/>
              <w:rPr>
                <w:rFonts w:ascii="Times New Roman" w:hAnsi="Times New Roman"/>
                <w:sz w:val="18"/>
                <w:szCs w:val="18"/>
              </w:rPr>
            </w:pPr>
          </w:p>
        </w:tc>
        <w:tc>
          <w:tcPr>
            <w:tcW w:w="803" w:type="dxa"/>
            <w:shd w:val="clear" w:color="auto" w:fill="auto"/>
            <w:vAlign w:val="center"/>
            <w:hideMark/>
          </w:tcPr>
          <w:p w14:paraId="0845E906" w14:textId="77777777" w:rsidR="00A775DB" w:rsidRPr="00B0658A" w:rsidRDefault="00A775DB" w:rsidP="004F1366">
            <w:pPr>
              <w:spacing w:after="0" w:line="240" w:lineRule="auto"/>
              <w:jc w:val="center"/>
              <w:rPr>
                <w:rFonts w:ascii="Times New Roman" w:hAnsi="Times New Roman"/>
                <w:sz w:val="18"/>
                <w:szCs w:val="18"/>
              </w:rPr>
            </w:pPr>
          </w:p>
        </w:tc>
        <w:tc>
          <w:tcPr>
            <w:tcW w:w="803" w:type="dxa"/>
            <w:shd w:val="clear" w:color="auto" w:fill="auto"/>
            <w:vAlign w:val="center"/>
            <w:hideMark/>
          </w:tcPr>
          <w:p w14:paraId="7D093B21" w14:textId="77777777" w:rsidR="00A775DB" w:rsidRPr="00B0658A" w:rsidRDefault="00A775DB" w:rsidP="004F1366">
            <w:pPr>
              <w:spacing w:after="0" w:line="240" w:lineRule="auto"/>
              <w:jc w:val="center"/>
              <w:rPr>
                <w:rFonts w:ascii="Times New Roman" w:hAnsi="Times New Roman"/>
                <w:sz w:val="18"/>
                <w:szCs w:val="18"/>
              </w:rPr>
            </w:pPr>
          </w:p>
        </w:tc>
        <w:tc>
          <w:tcPr>
            <w:tcW w:w="804" w:type="dxa"/>
            <w:shd w:val="clear" w:color="auto" w:fill="auto"/>
            <w:vAlign w:val="center"/>
            <w:hideMark/>
          </w:tcPr>
          <w:p w14:paraId="662E6AC8" w14:textId="77777777" w:rsidR="00A775DB" w:rsidRPr="00B0658A" w:rsidRDefault="00A775DB" w:rsidP="004F1366">
            <w:pPr>
              <w:spacing w:after="0" w:line="240" w:lineRule="auto"/>
              <w:jc w:val="center"/>
              <w:rPr>
                <w:rFonts w:ascii="Times New Roman" w:hAnsi="Times New Roman"/>
                <w:sz w:val="18"/>
                <w:szCs w:val="18"/>
              </w:rPr>
            </w:pPr>
          </w:p>
        </w:tc>
        <w:tc>
          <w:tcPr>
            <w:tcW w:w="1530" w:type="dxa"/>
            <w:vAlign w:val="center"/>
          </w:tcPr>
          <w:p w14:paraId="1DC355FF" w14:textId="77777777" w:rsidR="00A775DB" w:rsidRPr="00B0658A" w:rsidRDefault="00A775DB" w:rsidP="004F1366">
            <w:pPr>
              <w:spacing w:after="0" w:line="240" w:lineRule="auto"/>
              <w:jc w:val="center"/>
              <w:rPr>
                <w:rFonts w:ascii="Times New Roman" w:hAnsi="Times New Roman"/>
                <w:sz w:val="18"/>
                <w:szCs w:val="18"/>
              </w:rPr>
            </w:pPr>
          </w:p>
        </w:tc>
      </w:tr>
      <w:tr w:rsidR="00F52FED" w:rsidRPr="00B0658A" w14:paraId="48742C95" w14:textId="77777777" w:rsidTr="004F1366">
        <w:trPr>
          <w:trHeight w:val="20"/>
        </w:trPr>
        <w:tc>
          <w:tcPr>
            <w:tcW w:w="578" w:type="dxa"/>
            <w:shd w:val="clear" w:color="000000" w:fill="FFFFFF"/>
            <w:vAlign w:val="center"/>
          </w:tcPr>
          <w:p w14:paraId="0CD4ED68" w14:textId="77777777" w:rsidR="00A775DB" w:rsidRPr="00B0658A" w:rsidRDefault="00A775DB" w:rsidP="004F1366">
            <w:pPr>
              <w:spacing w:after="0" w:line="240" w:lineRule="auto"/>
              <w:jc w:val="center"/>
              <w:rPr>
                <w:rFonts w:ascii="Times New Roman" w:hAnsi="Times New Roman"/>
                <w:sz w:val="18"/>
                <w:szCs w:val="18"/>
              </w:rPr>
            </w:pPr>
            <w:r w:rsidRPr="00B0658A">
              <w:rPr>
                <w:rFonts w:ascii="Times New Roman" w:hAnsi="Times New Roman"/>
                <w:sz w:val="18"/>
                <w:szCs w:val="18"/>
              </w:rPr>
              <w:t>3.16</w:t>
            </w:r>
          </w:p>
        </w:tc>
        <w:tc>
          <w:tcPr>
            <w:tcW w:w="3812" w:type="dxa"/>
            <w:shd w:val="clear" w:color="auto" w:fill="auto"/>
            <w:vAlign w:val="center"/>
            <w:hideMark/>
          </w:tcPr>
          <w:p w14:paraId="5FA45E22" w14:textId="77777777" w:rsidR="00A775DB" w:rsidRPr="00B0658A" w:rsidRDefault="00A775DB" w:rsidP="004F1366">
            <w:pPr>
              <w:spacing w:after="0" w:line="240" w:lineRule="auto"/>
              <w:rPr>
                <w:rFonts w:ascii="Times New Roman" w:hAnsi="Times New Roman"/>
                <w:sz w:val="18"/>
                <w:szCs w:val="18"/>
              </w:rPr>
            </w:pPr>
            <w:r w:rsidRPr="00B0658A">
              <w:rPr>
                <w:rFonts w:ascii="Times New Roman" w:hAnsi="Times New Roman"/>
                <w:sz w:val="18"/>
                <w:szCs w:val="18"/>
              </w:rPr>
              <w:t>Средства обеспечения информационной безопасности/ Средства администрирования и управления жизненным циклом ключевых носителей</w:t>
            </w:r>
          </w:p>
        </w:tc>
        <w:tc>
          <w:tcPr>
            <w:tcW w:w="1842" w:type="dxa"/>
            <w:shd w:val="clear" w:color="000000" w:fill="FFFFFF"/>
            <w:hideMark/>
          </w:tcPr>
          <w:p w14:paraId="3FBC36C3" w14:textId="77777777" w:rsidR="00A775DB" w:rsidRPr="00B0658A" w:rsidRDefault="00A775DB" w:rsidP="004F1366">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79" w:type="dxa"/>
            <w:vAlign w:val="center"/>
          </w:tcPr>
          <w:p w14:paraId="328DACB5"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auto" w:fill="auto"/>
            <w:vAlign w:val="center"/>
            <w:hideMark/>
          </w:tcPr>
          <w:p w14:paraId="00277BBE"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auto" w:fill="auto"/>
            <w:vAlign w:val="center"/>
            <w:hideMark/>
          </w:tcPr>
          <w:p w14:paraId="05C2CF4A"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auto" w:fill="auto"/>
            <w:vAlign w:val="center"/>
            <w:hideMark/>
          </w:tcPr>
          <w:p w14:paraId="1D970441" w14:textId="77777777" w:rsidR="00A775DB" w:rsidRPr="00B0658A" w:rsidRDefault="00A775DB" w:rsidP="004F1366">
            <w:pPr>
              <w:spacing w:after="0" w:line="240" w:lineRule="auto"/>
              <w:jc w:val="center"/>
              <w:rPr>
                <w:rFonts w:ascii="Times New Roman" w:hAnsi="Times New Roman"/>
                <w:sz w:val="18"/>
                <w:szCs w:val="18"/>
              </w:rPr>
            </w:pPr>
          </w:p>
        </w:tc>
        <w:tc>
          <w:tcPr>
            <w:tcW w:w="992" w:type="dxa"/>
            <w:vAlign w:val="center"/>
          </w:tcPr>
          <w:p w14:paraId="458B0691" w14:textId="77777777" w:rsidR="00A775DB" w:rsidRPr="00B0658A" w:rsidRDefault="00A775DB" w:rsidP="004F1366">
            <w:pPr>
              <w:spacing w:after="0" w:line="240" w:lineRule="auto"/>
              <w:jc w:val="center"/>
              <w:rPr>
                <w:rFonts w:ascii="Times New Roman" w:hAnsi="Times New Roman"/>
                <w:sz w:val="18"/>
                <w:szCs w:val="18"/>
              </w:rPr>
            </w:pPr>
          </w:p>
        </w:tc>
        <w:tc>
          <w:tcPr>
            <w:tcW w:w="803" w:type="dxa"/>
            <w:shd w:val="clear" w:color="auto" w:fill="auto"/>
            <w:vAlign w:val="center"/>
            <w:hideMark/>
          </w:tcPr>
          <w:p w14:paraId="0187D13E" w14:textId="77777777" w:rsidR="00A775DB" w:rsidRPr="00B0658A" w:rsidRDefault="00A775DB" w:rsidP="004F1366">
            <w:pPr>
              <w:spacing w:after="0" w:line="240" w:lineRule="auto"/>
              <w:jc w:val="center"/>
              <w:rPr>
                <w:rFonts w:ascii="Times New Roman" w:hAnsi="Times New Roman"/>
                <w:sz w:val="18"/>
                <w:szCs w:val="18"/>
              </w:rPr>
            </w:pPr>
          </w:p>
        </w:tc>
        <w:tc>
          <w:tcPr>
            <w:tcW w:w="803" w:type="dxa"/>
            <w:shd w:val="clear" w:color="auto" w:fill="auto"/>
            <w:vAlign w:val="center"/>
            <w:hideMark/>
          </w:tcPr>
          <w:p w14:paraId="5272EA2D" w14:textId="77777777" w:rsidR="00A775DB" w:rsidRPr="00B0658A" w:rsidRDefault="00A775DB" w:rsidP="004F1366">
            <w:pPr>
              <w:spacing w:after="0" w:line="240" w:lineRule="auto"/>
              <w:jc w:val="center"/>
              <w:rPr>
                <w:rFonts w:ascii="Times New Roman" w:hAnsi="Times New Roman"/>
                <w:sz w:val="18"/>
                <w:szCs w:val="18"/>
              </w:rPr>
            </w:pPr>
          </w:p>
        </w:tc>
        <w:tc>
          <w:tcPr>
            <w:tcW w:w="804" w:type="dxa"/>
            <w:shd w:val="clear" w:color="auto" w:fill="auto"/>
            <w:vAlign w:val="center"/>
            <w:hideMark/>
          </w:tcPr>
          <w:p w14:paraId="1D8E9219" w14:textId="77777777" w:rsidR="00A775DB" w:rsidRPr="00B0658A" w:rsidRDefault="00A775DB" w:rsidP="004F1366">
            <w:pPr>
              <w:spacing w:after="0" w:line="240" w:lineRule="auto"/>
              <w:jc w:val="center"/>
              <w:rPr>
                <w:rFonts w:ascii="Times New Roman" w:hAnsi="Times New Roman"/>
                <w:sz w:val="18"/>
                <w:szCs w:val="18"/>
              </w:rPr>
            </w:pPr>
          </w:p>
        </w:tc>
        <w:tc>
          <w:tcPr>
            <w:tcW w:w="1530" w:type="dxa"/>
            <w:vAlign w:val="center"/>
          </w:tcPr>
          <w:p w14:paraId="01878E8B" w14:textId="77777777" w:rsidR="00A775DB" w:rsidRPr="00B0658A" w:rsidRDefault="00A775DB" w:rsidP="004F1366">
            <w:pPr>
              <w:spacing w:after="0" w:line="240" w:lineRule="auto"/>
              <w:jc w:val="center"/>
              <w:rPr>
                <w:rFonts w:ascii="Times New Roman" w:hAnsi="Times New Roman"/>
                <w:sz w:val="18"/>
                <w:szCs w:val="18"/>
              </w:rPr>
            </w:pPr>
          </w:p>
        </w:tc>
      </w:tr>
      <w:tr w:rsidR="00F52FED" w:rsidRPr="00B0658A" w14:paraId="391BD3A2" w14:textId="77777777" w:rsidTr="004F1366">
        <w:trPr>
          <w:trHeight w:val="20"/>
        </w:trPr>
        <w:tc>
          <w:tcPr>
            <w:tcW w:w="578" w:type="dxa"/>
            <w:shd w:val="clear" w:color="000000" w:fill="FFFFFF"/>
            <w:vAlign w:val="center"/>
          </w:tcPr>
          <w:p w14:paraId="2BDF31EA" w14:textId="77777777" w:rsidR="00A775DB" w:rsidRPr="00B0658A" w:rsidRDefault="00A775DB" w:rsidP="004F1366">
            <w:pPr>
              <w:spacing w:after="0" w:line="240" w:lineRule="auto"/>
              <w:jc w:val="center"/>
              <w:rPr>
                <w:rFonts w:ascii="Times New Roman" w:hAnsi="Times New Roman"/>
                <w:sz w:val="18"/>
                <w:szCs w:val="18"/>
              </w:rPr>
            </w:pPr>
            <w:r w:rsidRPr="00B0658A">
              <w:rPr>
                <w:rFonts w:ascii="Times New Roman" w:hAnsi="Times New Roman"/>
                <w:sz w:val="18"/>
                <w:szCs w:val="18"/>
              </w:rPr>
              <w:t>3.17</w:t>
            </w:r>
          </w:p>
        </w:tc>
        <w:tc>
          <w:tcPr>
            <w:tcW w:w="3812" w:type="dxa"/>
            <w:shd w:val="clear" w:color="auto" w:fill="auto"/>
            <w:vAlign w:val="center"/>
            <w:hideMark/>
          </w:tcPr>
          <w:p w14:paraId="2C8A9E86" w14:textId="77777777" w:rsidR="00A775DB" w:rsidRPr="00B0658A" w:rsidRDefault="00A775DB" w:rsidP="004F1366">
            <w:pPr>
              <w:spacing w:after="0" w:line="240" w:lineRule="auto"/>
              <w:rPr>
                <w:rFonts w:ascii="Times New Roman" w:hAnsi="Times New Roman"/>
                <w:sz w:val="18"/>
                <w:szCs w:val="18"/>
              </w:rPr>
            </w:pPr>
            <w:r w:rsidRPr="00B0658A">
              <w:rPr>
                <w:rFonts w:ascii="Times New Roman" w:hAnsi="Times New Roman"/>
                <w:sz w:val="18"/>
                <w:szCs w:val="18"/>
              </w:rPr>
              <w:t>Средства обеспечения информационной безопасности/ Средства автоматизации процессов информационной безопасности</w:t>
            </w:r>
          </w:p>
        </w:tc>
        <w:tc>
          <w:tcPr>
            <w:tcW w:w="1842" w:type="dxa"/>
            <w:shd w:val="clear" w:color="000000" w:fill="FFFFFF"/>
            <w:hideMark/>
          </w:tcPr>
          <w:p w14:paraId="5CF03D37" w14:textId="77777777" w:rsidR="00A775DB" w:rsidRPr="00B0658A" w:rsidRDefault="00A775DB" w:rsidP="004F1366">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79" w:type="dxa"/>
            <w:vAlign w:val="center"/>
          </w:tcPr>
          <w:p w14:paraId="07694C36"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auto" w:fill="auto"/>
            <w:vAlign w:val="center"/>
            <w:hideMark/>
          </w:tcPr>
          <w:p w14:paraId="6D9D764D"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auto" w:fill="auto"/>
            <w:vAlign w:val="center"/>
            <w:hideMark/>
          </w:tcPr>
          <w:p w14:paraId="4CD05B23"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auto" w:fill="auto"/>
            <w:vAlign w:val="center"/>
            <w:hideMark/>
          </w:tcPr>
          <w:p w14:paraId="70452E98" w14:textId="77777777" w:rsidR="00A775DB" w:rsidRPr="00B0658A" w:rsidRDefault="00A775DB" w:rsidP="004F1366">
            <w:pPr>
              <w:spacing w:after="0" w:line="240" w:lineRule="auto"/>
              <w:jc w:val="center"/>
              <w:rPr>
                <w:rFonts w:ascii="Times New Roman" w:hAnsi="Times New Roman"/>
                <w:sz w:val="18"/>
                <w:szCs w:val="18"/>
              </w:rPr>
            </w:pPr>
          </w:p>
        </w:tc>
        <w:tc>
          <w:tcPr>
            <w:tcW w:w="992" w:type="dxa"/>
            <w:vAlign w:val="center"/>
          </w:tcPr>
          <w:p w14:paraId="2919781A" w14:textId="77777777" w:rsidR="00A775DB" w:rsidRPr="00B0658A" w:rsidRDefault="00A775DB" w:rsidP="004F1366">
            <w:pPr>
              <w:spacing w:after="0" w:line="240" w:lineRule="auto"/>
              <w:jc w:val="center"/>
              <w:rPr>
                <w:rFonts w:ascii="Times New Roman" w:hAnsi="Times New Roman"/>
                <w:sz w:val="18"/>
                <w:szCs w:val="18"/>
              </w:rPr>
            </w:pPr>
          </w:p>
        </w:tc>
        <w:tc>
          <w:tcPr>
            <w:tcW w:w="803" w:type="dxa"/>
            <w:shd w:val="clear" w:color="auto" w:fill="auto"/>
            <w:vAlign w:val="center"/>
            <w:hideMark/>
          </w:tcPr>
          <w:p w14:paraId="51215316" w14:textId="77777777" w:rsidR="00A775DB" w:rsidRPr="00B0658A" w:rsidRDefault="00A775DB" w:rsidP="004F1366">
            <w:pPr>
              <w:spacing w:after="0" w:line="240" w:lineRule="auto"/>
              <w:jc w:val="center"/>
              <w:rPr>
                <w:rFonts w:ascii="Times New Roman" w:hAnsi="Times New Roman"/>
                <w:sz w:val="18"/>
                <w:szCs w:val="18"/>
              </w:rPr>
            </w:pPr>
          </w:p>
        </w:tc>
        <w:tc>
          <w:tcPr>
            <w:tcW w:w="803" w:type="dxa"/>
            <w:shd w:val="clear" w:color="auto" w:fill="auto"/>
            <w:vAlign w:val="center"/>
            <w:hideMark/>
          </w:tcPr>
          <w:p w14:paraId="067D6470" w14:textId="77777777" w:rsidR="00A775DB" w:rsidRPr="00B0658A" w:rsidRDefault="00A775DB" w:rsidP="004F1366">
            <w:pPr>
              <w:spacing w:after="0" w:line="240" w:lineRule="auto"/>
              <w:jc w:val="center"/>
              <w:rPr>
                <w:rFonts w:ascii="Times New Roman" w:hAnsi="Times New Roman"/>
                <w:sz w:val="18"/>
                <w:szCs w:val="18"/>
              </w:rPr>
            </w:pPr>
          </w:p>
        </w:tc>
        <w:tc>
          <w:tcPr>
            <w:tcW w:w="804" w:type="dxa"/>
            <w:shd w:val="clear" w:color="auto" w:fill="auto"/>
            <w:vAlign w:val="center"/>
            <w:hideMark/>
          </w:tcPr>
          <w:p w14:paraId="1382D051" w14:textId="77777777" w:rsidR="00A775DB" w:rsidRPr="00B0658A" w:rsidRDefault="00A775DB" w:rsidP="004F1366">
            <w:pPr>
              <w:spacing w:after="0" w:line="240" w:lineRule="auto"/>
              <w:jc w:val="center"/>
              <w:rPr>
                <w:rFonts w:ascii="Times New Roman" w:hAnsi="Times New Roman"/>
                <w:sz w:val="18"/>
                <w:szCs w:val="18"/>
              </w:rPr>
            </w:pPr>
          </w:p>
        </w:tc>
        <w:tc>
          <w:tcPr>
            <w:tcW w:w="1530" w:type="dxa"/>
            <w:vAlign w:val="center"/>
          </w:tcPr>
          <w:p w14:paraId="1C7E6CAC" w14:textId="77777777" w:rsidR="00A775DB" w:rsidRPr="00B0658A" w:rsidRDefault="00A775DB" w:rsidP="004F1366">
            <w:pPr>
              <w:spacing w:after="0" w:line="240" w:lineRule="auto"/>
              <w:jc w:val="center"/>
              <w:rPr>
                <w:rFonts w:ascii="Times New Roman" w:hAnsi="Times New Roman"/>
                <w:sz w:val="18"/>
                <w:szCs w:val="18"/>
              </w:rPr>
            </w:pPr>
          </w:p>
        </w:tc>
      </w:tr>
      <w:tr w:rsidR="00F52FED" w:rsidRPr="00B0658A" w14:paraId="2E040835" w14:textId="77777777" w:rsidTr="004F1366">
        <w:trPr>
          <w:trHeight w:val="20"/>
        </w:trPr>
        <w:tc>
          <w:tcPr>
            <w:tcW w:w="578" w:type="dxa"/>
            <w:shd w:val="clear" w:color="000000" w:fill="FFFFFF"/>
            <w:vAlign w:val="center"/>
          </w:tcPr>
          <w:p w14:paraId="7B92BCD3" w14:textId="77777777" w:rsidR="00A775DB" w:rsidRPr="00B0658A" w:rsidRDefault="00A775DB" w:rsidP="004F1366">
            <w:pPr>
              <w:spacing w:after="0" w:line="240" w:lineRule="auto"/>
              <w:jc w:val="center"/>
              <w:rPr>
                <w:rFonts w:ascii="Times New Roman" w:hAnsi="Times New Roman"/>
                <w:sz w:val="18"/>
                <w:szCs w:val="18"/>
              </w:rPr>
            </w:pPr>
            <w:r w:rsidRPr="00B0658A">
              <w:rPr>
                <w:rFonts w:ascii="Times New Roman" w:hAnsi="Times New Roman"/>
                <w:sz w:val="18"/>
                <w:szCs w:val="18"/>
              </w:rPr>
              <w:t>4.1</w:t>
            </w:r>
          </w:p>
        </w:tc>
        <w:tc>
          <w:tcPr>
            <w:tcW w:w="3812" w:type="dxa"/>
            <w:shd w:val="clear" w:color="auto" w:fill="auto"/>
            <w:vAlign w:val="center"/>
            <w:hideMark/>
          </w:tcPr>
          <w:p w14:paraId="4762D5BA" w14:textId="77777777" w:rsidR="00A775DB" w:rsidRPr="00B0658A" w:rsidRDefault="00A775DB" w:rsidP="004F1366">
            <w:pPr>
              <w:spacing w:after="0" w:line="240" w:lineRule="auto"/>
              <w:rPr>
                <w:rFonts w:ascii="Times New Roman" w:hAnsi="Times New Roman"/>
                <w:sz w:val="18"/>
                <w:szCs w:val="18"/>
              </w:rPr>
            </w:pPr>
            <w:r w:rsidRPr="00B0658A">
              <w:rPr>
                <w:rFonts w:ascii="Times New Roman" w:hAnsi="Times New Roman"/>
                <w:sz w:val="18"/>
                <w:szCs w:val="18"/>
              </w:rPr>
              <w:t>Средства разработки программного обеспечения/ Средства подготовки исполнимого кода</w:t>
            </w:r>
          </w:p>
        </w:tc>
        <w:tc>
          <w:tcPr>
            <w:tcW w:w="1842" w:type="dxa"/>
            <w:shd w:val="clear" w:color="000000" w:fill="FFFFFF"/>
            <w:hideMark/>
          </w:tcPr>
          <w:p w14:paraId="35AE09C7" w14:textId="77777777" w:rsidR="00A775DB" w:rsidRPr="00B0658A" w:rsidRDefault="00A775DB" w:rsidP="004F1366">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79" w:type="dxa"/>
            <w:vAlign w:val="center"/>
          </w:tcPr>
          <w:p w14:paraId="70B9DC86"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auto" w:fill="auto"/>
            <w:vAlign w:val="center"/>
            <w:hideMark/>
          </w:tcPr>
          <w:p w14:paraId="254DFA97"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auto" w:fill="auto"/>
            <w:vAlign w:val="center"/>
            <w:hideMark/>
          </w:tcPr>
          <w:p w14:paraId="3B933AB6"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auto" w:fill="auto"/>
            <w:vAlign w:val="center"/>
            <w:hideMark/>
          </w:tcPr>
          <w:p w14:paraId="1A403960" w14:textId="77777777" w:rsidR="00A775DB" w:rsidRPr="00B0658A" w:rsidRDefault="00A775DB" w:rsidP="004F1366">
            <w:pPr>
              <w:spacing w:after="0" w:line="240" w:lineRule="auto"/>
              <w:jc w:val="center"/>
              <w:rPr>
                <w:rFonts w:ascii="Times New Roman" w:hAnsi="Times New Roman"/>
                <w:sz w:val="18"/>
                <w:szCs w:val="18"/>
              </w:rPr>
            </w:pPr>
          </w:p>
        </w:tc>
        <w:tc>
          <w:tcPr>
            <w:tcW w:w="992" w:type="dxa"/>
            <w:vAlign w:val="center"/>
          </w:tcPr>
          <w:p w14:paraId="2CE5E8E0" w14:textId="77777777" w:rsidR="00A775DB" w:rsidRPr="00B0658A" w:rsidRDefault="00A775DB" w:rsidP="004F1366">
            <w:pPr>
              <w:spacing w:after="0" w:line="240" w:lineRule="auto"/>
              <w:jc w:val="center"/>
              <w:rPr>
                <w:rFonts w:ascii="Times New Roman" w:hAnsi="Times New Roman"/>
                <w:sz w:val="18"/>
                <w:szCs w:val="18"/>
              </w:rPr>
            </w:pPr>
          </w:p>
        </w:tc>
        <w:tc>
          <w:tcPr>
            <w:tcW w:w="803" w:type="dxa"/>
            <w:shd w:val="clear" w:color="auto" w:fill="auto"/>
            <w:vAlign w:val="center"/>
            <w:hideMark/>
          </w:tcPr>
          <w:p w14:paraId="0B239A6B" w14:textId="77777777" w:rsidR="00A775DB" w:rsidRPr="00B0658A" w:rsidRDefault="00A775DB" w:rsidP="004F1366">
            <w:pPr>
              <w:spacing w:after="0" w:line="240" w:lineRule="auto"/>
              <w:jc w:val="center"/>
              <w:rPr>
                <w:rFonts w:ascii="Times New Roman" w:hAnsi="Times New Roman"/>
                <w:sz w:val="18"/>
                <w:szCs w:val="18"/>
              </w:rPr>
            </w:pPr>
          </w:p>
        </w:tc>
        <w:tc>
          <w:tcPr>
            <w:tcW w:w="803" w:type="dxa"/>
            <w:shd w:val="clear" w:color="auto" w:fill="auto"/>
            <w:vAlign w:val="center"/>
            <w:hideMark/>
          </w:tcPr>
          <w:p w14:paraId="6FE7A175" w14:textId="77777777" w:rsidR="00A775DB" w:rsidRPr="00B0658A" w:rsidRDefault="00A775DB" w:rsidP="004F1366">
            <w:pPr>
              <w:spacing w:after="0" w:line="240" w:lineRule="auto"/>
              <w:jc w:val="center"/>
              <w:rPr>
                <w:rFonts w:ascii="Times New Roman" w:hAnsi="Times New Roman"/>
                <w:sz w:val="18"/>
                <w:szCs w:val="18"/>
              </w:rPr>
            </w:pPr>
          </w:p>
        </w:tc>
        <w:tc>
          <w:tcPr>
            <w:tcW w:w="804" w:type="dxa"/>
            <w:shd w:val="clear" w:color="auto" w:fill="auto"/>
            <w:vAlign w:val="center"/>
            <w:hideMark/>
          </w:tcPr>
          <w:p w14:paraId="2429F440" w14:textId="77777777" w:rsidR="00A775DB" w:rsidRPr="00B0658A" w:rsidRDefault="00A775DB" w:rsidP="004F1366">
            <w:pPr>
              <w:spacing w:after="0" w:line="240" w:lineRule="auto"/>
              <w:jc w:val="center"/>
              <w:rPr>
                <w:rFonts w:ascii="Times New Roman" w:hAnsi="Times New Roman"/>
                <w:sz w:val="18"/>
                <w:szCs w:val="18"/>
              </w:rPr>
            </w:pPr>
          </w:p>
        </w:tc>
        <w:tc>
          <w:tcPr>
            <w:tcW w:w="1530" w:type="dxa"/>
            <w:vAlign w:val="center"/>
          </w:tcPr>
          <w:p w14:paraId="788C00B5" w14:textId="77777777" w:rsidR="00A775DB" w:rsidRPr="00B0658A" w:rsidRDefault="00A775DB" w:rsidP="004F1366">
            <w:pPr>
              <w:spacing w:after="0" w:line="240" w:lineRule="auto"/>
              <w:jc w:val="center"/>
              <w:rPr>
                <w:rFonts w:ascii="Times New Roman" w:hAnsi="Times New Roman"/>
                <w:sz w:val="18"/>
                <w:szCs w:val="18"/>
              </w:rPr>
            </w:pPr>
          </w:p>
        </w:tc>
      </w:tr>
      <w:tr w:rsidR="00F52FED" w:rsidRPr="00B0658A" w14:paraId="01CE9BD0" w14:textId="77777777" w:rsidTr="004F1366">
        <w:trPr>
          <w:trHeight w:val="20"/>
        </w:trPr>
        <w:tc>
          <w:tcPr>
            <w:tcW w:w="578" w:type="dxa"/>
            <w:shd w:val="clear" w:color="000000" w:fill="FFFFFF"/>
            <w:vAlign w:val="center"/>
          </w:tcPr>
          <w:p w14:paraId="6BBB94D2" w14:textId="77777777" w:rsidR="00A775DB" w:rsidRPr="00B0658A" w:rsidRDefault="00A775DB" w:rsidP="004F1366">
            <w:pPr>
              <w:spacing w:after="0" w:line="240" w:lineRule="auto"/>
              <w:jc w:val="center"/>
              <w:rPr>
                <w:rFonts w:ascii="Times New Roman" w:hAnsi="Times New Roman"/>
                <w:sz w:val="18"/>
                <w:szCs w:val="18"/>
              </w:rPr>
            </w:pPr>
            <w:r w:rsidRPr="00B0658A">
              <w:rPr>
                <w:rFonts w:ascii="Times New Roman" w:hAnsi="Times New Roman"/>
                <w:sz w:val="18"/>
                <w:szCs w:val="18"/>
              </w:rPr>
              <w:t>4.2</w:t>
            </w:r>
          </w:p>
        </w:tc>
        <w:tc>
          <w:tcPr>
            <w:tcW w:w="3812" w:type="dxa"/>
            <w:shd w:val="clear" w:color="auto" w:fill="auto"/>
            <w:vAlign w:val="center"/>
            <w:hideMark/>
          </w:tcPr>
          <w:p w14:paraId="164925A4" w14:textId="77777777" w:rsidR="00A775DB" w:rsidRPr="00B0658A" w:rsidRDefault="00A775DB" w:rsidP="004F1366">
            <w:pPr>
              <w:spacing w:after="0" w:line="240" w:lineRule="auto"/>
              <w:rPr>
                <w:rFonts w:ascii="Times New Roman" w:hAnsi="Times New Roman"/>
                <w:sz w:val="18"/>
                <w:szCs w:val="18"/>
              </w:rPr>
            </w:pPr>
            <w:r w:rsidRPr="00B0658A">
              <w:rPr>
                <w:rFonts w:ascii="Times New Roman" w:hAnsi="Times New Roman"/>
                <w:sz w:val="18"/>
                <w:szCs w:val="18"/>
              </w:rPr>
              <w:t>Средства разработки программного обеспечения/ Средства версионного контроля исходного кода</w:t>
            </w:r>
          </w:p>
        </w:tc>
        <w:tc>
          <w:tcPr>
            <w:tcW w:w="1842" w:type="dxa"/>
            <w:shd w:val="clear" w:color="000000" w:fill="FFFFFF"/>
            <w:hideMark/>
          </w:tcPr>
          <w:p w14:paraId="0F35C70B" w14:textId="77777777" w:rsidR="00A775DB" w:rsidRPr="00B0658A" w:rsidRDefault="00A775DB" w:rsidP="004F1366">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79" w:type="dxa"/>
            <w:vAlign w:val="center"/>
          </w:tcPr>
          <w:p w14:paraId="1D21A8E5"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auto" w:fill="auto"/>
            <w:vAlign w:val="center"/>
            <w:hideMark/>
          </w:tcPr>
          <w:p w14:paraId="2F592000"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auto" w:fill="auto"/>
            <w:vAlign w:val="center"/>
            <w:hideMark/>
          </w:tcPr>
          <w:p w14:paraId="092D6C6E"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auto" w:fill="auto"/>
            <w:vAlign w:val="center"/>
            <w:hideMark/>
          </w:tcPr>
          <w:p w14:paraId="2EA575EE" w14:textId="77777777" w:rsidR="00A775DB" w:rsidRPr="00B0658A" w:rsidRDefault="00A775DB" w:rsidP="004F1366">
            <w:pPr>
              <w:spacing w:after="0" w:line="240" w:lineRule="auto"/>
              <w:jc w:val="center"/>
              <w:rPr>
                <w:rFonts w:ascii="Times New Roman" w:hAnsi="Times New Roman"/>
                <w:sz w:val="18"/>
                <w:szCs w:val="18"/>
              </w:rPr>
            </w:pPr>
          </w:p>
        </w:tc>
        <w:tc>
          <w:tcPr>
            <w:tcW w:w="992" w:type="dxa"/>
            <w:vAlign w:val="center"/>
          </w:tcPr>
          <w:p w14:paraId="1CA9E742" w14:textId="77777777" w:rsidR="00A775DB" w:rsidRPr="00B0658A" w:rsidRDefault="00A775DB" w:rsidP="004F1366">
            <w:pPr>
              <w:spacing w:after="0" w:line="240" w:lineRule="auto"/>
              <w:jc w:val="center"/>
              <w:rPr>
                <w:rFonts w:ascii="Times New Roman" w:hAnsi="Times New Roman"/>
                <w:sz w:val="18"/>
                <w:szCs w:val="18"/>
              </w:rPr>
            </w:pPr>
          </w:p>
        </w:tc>
        <w:tc>
          <w:tcPr>
            <w:tcW w:w="803" w:type="dxa"/>
            <w:shd w:val="clear" w:color="auto" w:fill="auto"/>
            <w:vAlign w:val="center"/>
            <w:hideMark/>
          </w:tcPr>
          <w:p w14:paraId="3D198081" w14:textId="77777777" w:rsidR="00A775DB" w:rsidRPr="00B0658A" w:rsidRDefault="00A775DB" w:rsidP="004F1366">
            <w:pPr>
              <w:spacing w:after="0" w:line="240" w:lineRule="auto"/>
              <w:jc w:val="center"/>
              <w:rPr>
                <w:rFonts w:ascii="Times New Roman" w:hAnsi="Times New Roman"/>
                <w:sz w:val="18"/>
                <w:szCs w:val="18"/>
              </w:rPr>
            </w:pPr>
          </w:p>
        </w:tc>
        <w:tc>
          <w:tcPr>
            <w:tcW w:w="803" w:type="dxa"/>
            <w:shd w:val="clear" w:color="auto" w:fill="auto"/>
            <w:vAlign w:val="center"/>
            <w:hideMark/>
          </w:tcPr>
          <w:p w14:paraId="1663B12E" w14:textId="77777777" w:rsidR="00A775DB" w:rsidRPr="00B0658A" w:rsidRDefault="00A775DB" w:rsidP="004F1366">
            <w:pPr>
              <w:spacing w:after="0" w:line="240" w:lineRule="auto"/>
              <w:jc w:val="center"/>
              <w:rPr>
                <w:rFonts w:ascii="Times New Roman" w:hAnsi="Times New Roman"/>
                <w:sz w:val="18"/>
                <w:szCs w:val="18"/>
              </w:rPr>
            </w:pPr>
          </w:p>
        </w:tc>
        <w:tc>
          <w:tcPr>
            <w:tcW w:w="804" w:type="dxa"/>
            <w:shd w:val="clear" w:color="auto" w:fill="auto"/>
            <w:vAlign w:val="center"/>
            <w:hideMark/>
          </w:tcPr>
          <w:p w14:paraId="0990DCCC" w14:textId="77777777" w:rsidR="00A775DB" w:rsidRPr="00B0658A" w:rsidRDefault="00A775DB" w:rsidP="004F1366">
            <w:pPr>
              <w:spacing w:after="0" w:line="240" w:lineRule="auto"/>
              <w:jc w:val="center"/>
              <w:rPr>
                <w:rFonts w:ascii="Times New Roman" w:hAnsi="Times New Roman"/>
                <w:sz w:val="18"/>
                <w:szCs w:val="18"/>
              </w:rPr>
            </w:pPr>
          </w:p>
        </w:tc>
        <w:tc>
          <w:tcPr>
            <w:tcW w:w="1530" w:type="dxa"/>
            <w:vAlign w:val="center"/>
          </w:tcPr>
          <w:p w14:paraId="15734299" w14:textId="77777777" w:rsidR="00A775DB" w:rsidRPr="00B0658A" w:rsidRDefault="00A775DB" w:rsidP="004F1366">
            <w:pPr>
              <w:spacing w:after="0" w:line="240" w:lineRule="auto"/>
              <w:jc w:val="center"/>
              <w:rPr>
                <w:rFonts w:ascii="Times New Roman" w:hAnsi="Times New Roman"/>
                <w:sz w:val="18"/>
                <w:szCs w:val="18"/>
              </w:rPr>
            </w:pPr>
          </w:p>
        </w:tc>
      </w:tr>
      <w:tr w:rsidR="00F52FED" w:rsidRPr="00B0658A" w14:paraId="2D805D94" w14:textId="77777777" w:rsidTr="004F1366">
        <w:trPr>
          <w:trHeight w:val="20"/>
        </w:trPr>
        <w:tc>
          <w:tcPr>
            <w:tcW w:w="578" w:type="dxa"/>
            <w:shd w:val="clear" w:color="000000" w:fill="FFFFFF"/>
            <w:vAlign w:val="center"/>
          </w:tcPr>
          <w:p w14:paraId="6E3C1ED3" w14:textId="77777777" w:rsidR="00A775DB" w:rsidRPr="00B0658A" w:rsidRDefault="00A775DB" w:rsidP="004F1366">
            <w:pPr>
              <w:spacing w:after="0" w:line="240" w:lineRule="auto"/>
              <w:jc w:val="center"/>
              <w:rPr>
                <w:rFonts w:ascii="Times New Roman" w:hAnsi="Times New Roman"/>
                <w:sz w:val="18"/>
                <w:szCs w:val="18"/>
              </w:rPr>
            </w:pPr>
            <w:r w:rsidRPr="00B0658A">
              <w:rPr>
                <w:rFonts w:ascii="Times New Roman" w:hAnsi="Times New Roman"/>
                <w:sz w:val="18"/>
                <w:szCs w:val="18"/>
              </w:rPr>
              <w:t>4.3</w:t>
            </w:r>
          </w:p>
        </w:tc>
        <w:tc>
          <w:tcPr>
            <w:tcW w:w="3812" w:type="dxa"/>
            <w:shd w:val="clear" w:color="auto" w:fill="auto"/>
            <w:vAlign w:val="center"/>
            <w:hideMark/>
          </w:tcPr>
          <w:p w14:paraId="13778190" w14:textId="77777777" w:rsidR="00A775DB" w:rsidRPr="00B0658A" w:rsidRDefault="00A775DB" w:rsidP="004F1366">
            <w:pPr>
              <w:spacing w:after="0" w:line="240" w:lineRule="auto"/>
              <w:rPr>
                <w:rFonts w:ascii="Times New Roman" w:hAnsi="Times New Roman"/>
                <w:sz w:val="18"/>
                <w:szCs w:val="18"/>
              </w:rPr>
            </w:pPr>
            <w:r w:rsidRPr="00B0658A">
              <w:rPr>
                <w:rFonts w:ascii="Times New Roman" w:hAnsi="Times New Roman"/>
                <w:sz w:val="18"/>
                <w:szCs w:val="18"/>
              </w:rPr>
              <w:t>Средства разработки программного обеспечения/ Библиотеки подпрограмм (SDK)</w:t>
            </w:r>
          </w:p>
        </w:tc>
        <w:tc>
          <w:tcPr>
            <w:tcW w:w="1842" w:type="dxa"/>
            <w:shd w:val="clear" w:color="000000" w:fill="FFFFFF"/>
            <w:hideMark/>
          </w:tcPr>
          <w:p w14:paraId="6AB233EC" w14:textId="77777777" w:rsidR="00A775DB" w:rsidRPr="00B0658A" w:rsidRDefault="00A775DB" w:rsidP="004F1366">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79" w:type="dxa"/>
            <w:vAlign w:val="center"/>
          </w:tcPr>
          <w:p w14:paraId="517ED0EE"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auto" w:fill="auto"/>
            <w:vAlign w:val="center"/>
            <w:hideMark/>
          </w:tcPr>
          <w:p w14:paraId="09221F65"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auto" w:fill="auto"/>
            <w:vAlign w:val="center"/>
            <w:hideMark/>
          </w:tcPr>
          <w:p w14:paraId="7D1B0C80"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auto" w:fill="auto"/>
            <w:vAlign w:val="center"/>
            <w:hideMark/>
          </w:tcPr>
          <w:p w14:paraId="11BB8E27" w14:textId="77777777" w:rsidR="00A775DB" w:rsidRPr="00B0658A" w:rsidRDefault="00A775DB" w:rsidP="004F1366">
            <w:pPr>
              <w:spacing w:after="0" w:line="240" w:lineRule="auto"/>
              <w:jc w:val="center"/>
              <w:rPr>
                <w:rFonts w:ascii="Times New Roman" w:hAnsi="Times New Roman"/>
                <w:sz w:val="18"/>
                <w:szCs w:val="18"/>
              </w:rPr>
            </w:pPr>
          </w:p>
        </w:tc>
        <w:tc>
          <w:tcPr>
            <w:tcW w:w="992" w:type="dxa"/>
            <w:vAlign w:val="center"/>
          </w:tcPr>
          <w:p w14:paraId="63492730" w14:textId="77777777" w:rsidR="00A775DB" w:rsidRPr="00B0658A" w:rsidRDefault="00A775DB" w:rsidP="004F1366">
            <w:pPr>
              <w:spacing w:after="0" w:line="240" w:lineRule="auto"/>
              <w:jc w:val="center"/>
              <w:rPr>
                <w:rFonts w:ascii="Times New Roman" w:hAnsi="Times New Roman"/>
                <w:sz w:val="18"/>
                <w:szCs w:val="18"/>
              </w:rPr>
            </w:pPr>
          </w:p>
        </w:tc>
        <w:tc>
          <w:tcPr>
            <w:tcW w:w="803" w:type="dxa"/>
            <w:shd w:val="clear" w:color="auto" w:fill="auto"/>
            <w:vAlign w:val="center"/>
            <w:hideMark/>
          </w:tcPr>
          <w:p w14:paraId="08713F0C" w14:textId="77777777" w:rsidR="00A775DB" w:rsidRPr="00B0658A" w:rsidRDefault="00A775DB" w:rsidP="004F1366">
            <w:pPr>
              <w:spacing w:after="0" w:line="240" w:lineRule="auto"/>
              <w:jc w:val="center"/>
              <w:rPr>
                <w:rFonts w:ascii="Times New Roman" w:hAnsi="Times New Roman"/>
                <w:sz w:val="18"/>
                <w:szCs w:val="18"/>
              </w:rPr>
            </w:pPr>
          </w:p>
        </w:tc>
        <w:tc>
          <w:tcPr>
            <w:tcW w:w="803" w:type="dxa"/>
            <w:shd w:val="clear" w:color="auto" w:fill="auto"/>
            <w:vAlign w:val="center"/>
            <w:hideMark/>
          </w:tcPr>
          <w:p w14:paraId="7B8C6455" w14:textId="77777777" w:rsidR="00A775DB" w:rsidRPr="00B0658A" w:rsidRDefault="00A775DB" w:rsidP="004F1366">
            <w:pPr>
              <w:spacing w:after="0" w:line="240" w:lineRule="auto"/>
              <w:jc w:val="center"/>
              <w:rPr>
                <w:rFonts w:ascii="Times New Roman" w:hAnsi="Times New Roman"/>
                <w:sz w:val="18"/>
                <w:szCs w:val="18"/>
              </w:rPr>
            </w:pPr>
          </w:p>
        </w:tc>
        <w:tc>
          <w:tcPr>
            <w:tcW w:w="804" w:type="dxa"/>
            <w:shd w:val="clear" w:color="auto" w:fill="auto"/>
            <w:vAlign w:val="center"/>
            <w:hideMark/>
          </w:tcPr>
          <w:p w14:paraId="53F1FAD4" w14:textId="77777777" w:rsidR="00A775DB" w:rsidRPr="00B0658A" w:rsidRDefault="00A775DB" w:rsidP="004F1366">
            <w:pPr>
              <w:spacing w:after="0" w:line="240" w:lineRule="auto"/>
              <w:jc w:val="center"/>
              <w:rPr>
                <w:rFonts w:ascii="Times New Roman" w:hAnsi="Times New Roman"/>
                <w:sz w:val="18"/>
                <w:szCs w:val="18"/>
              </w:rPr>
            </w:pPr>
          </w:p>
        </w:tc>
        <w:tc>
          <w:tcPr>
            <w:tcW w:w="1530" w:type="dxa"/>
            <w:vAlign w:val="center"/>
          </w:tcPr>
          <w:p w14:paraId="05306ADD" w14:textId="77777777" w:rsidR="00A775DB" w:rsidRPr="00B0658A" w:rsidRDefault="00A775DB" w:rsidP="004F1366">
            <w:pPr>
              <w:spacing w:after="0" w:line="240" w:lineRule="auto"/>
              <w:jc w:val="center"/>
              <w:rPr>
                <w:rFonts w:ascii="Times New Roman" w:hAnsi="Times New Roman"/>
                <w:sz w:val="18"/>
                <w:szCs w:val="18"/>
              </w:rPr>
            </w:pPr>
          </w:p>
        </w:tc>
      </w:tr>
      <w:tr w:rsidR="00F52FED" w:rsidRPr="00B0658A" w14:paraId="70DA1D8E" w14:textId="77777777" w:rsidTr="004F1366">
        <w:trPr>
          <w:trHeight w:val="20"/>
        </w:trPr>
        <w:tc>
          <w:tcPr>
            <w:tcW w:w="578" w:type="dxa"/>
            <w:shd w:val="clear" w:color="000000" w:fill="FFFFFF"/>
            <w:vAlign w:val="center"/>
          </w:tcPr>
          <w:p w14:paraId="3092C092" w14:textId="77777777" w:rsidR="00A775DB" w:rsidRPr="00B0658A" w:rsidRDefault="00A775DB" w:rsidP="004F1366">
            <w:pPr>
              <w:spacing w:after="0" w:line="240" w:lineRule="auto"/>
              <w:jc w:val="center"/>
              <w:rPr>
                <w:rFonts w:ascii="Times New Roman" w:hAnsi="Times New Roman"/>
                <w:sz w:val="18"/>
                <w:szCs w:val="18"/>
              </w:rPr>
            </w:pPr>
            <w:r w:rsidRPr="00B0658A">
              <w:rPr>
                <w:rFonts w:ascii="Times New Roman" w:hAnsi="Times New Roman"/>
                <w:sz w:val="18"/>
                <w:szCs w:val="18"/>
              </w:rPr>
              <w:t>4.4</w:t>
            </w:r>
          </w:p>
        </w:tc>
        <w:tc>
          <w:tcPr>
            <w:tcW w:w="3812" w:type="dxa"/>
            <w:shd w:val="clear" w:color="auto" w:fill="auto"/>
            <w:vAlign w:val="center"/>
            <w:hideMark/>
          </w:tcPr>
          <w:p w14:paraId="08F277A9" w14:textId="77777777" w:rsidR="00A775DB" w:rsidRPr="00B0658A" w:rsidRDefault="00A775DB" w:rsidP="004F1366">
            <w:pPr>
              <w:spacing w:after="0" w:line="240" w:lineRule="auto"/>
              <w:rPr>
                <w:rFonts w:ascii="Times New Roman" w:hAnsi="Times New Roman"/>
                <w:sz w:val="18"/>
                <w:szCs w:val="18"/>
              </w:rPr>
            </w:pPr>
            <w:r w:rsidRPr="00B0658A">
              <w:rPr>
                <w:rFonts w:ascii="Times New Roman" w:hAnsi="Times New Roman"/>
                <w:sz w:val="18"/>
                <w:szCs w:val="18"/>
              </w:rPr>
              <w:t>Средства разработки программного обеспечения/ Среды разработки, тестирования и отладки</w:t>
            </w:r>
          </w:p>
        </w:tc>
        <w:tc>
          <w:tcPr>
            <w:tcW w:w="1842" w:type="dxa"/>
            <w:shd w:val="clear" w:color="000000" w:fill="FFFFFF"/>
            <w:hideMark/>
          </w:tcPr>
          <w:p w14:paraId="58E540F8" w14:textId="77777777" w:rsidR="00A775DB" w:rsidRPr="00B0658A" w:rsidRDefault="00A775DB" w:rsidP="004F1366">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79" w:type="dxa"/>
            <w:vAlign w:val="center"/>
          </w:tcPr>
          <w:p w14:paraId="6DFA5B3C"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auto" w:fill="auto"/>
            <w:vAlign w:val="center"/>
            <w:hideMark/>
          </w:tcPr>
          <w:p w14:paraId="388AF147"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auto" w:fill="auto"/>
            <w:vAlign w:val="center"/>
            <w:hideMark/>
          </w:tcPr>
          <w:p w14:paraId="4556FA99"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auto" w:fill="auto"/>
            <w:vAlign w:val="center"/>
            <w:hideMark/>
          </w:tcPr>
          <w:p w14:paraId="34D89633" w14:textId="77777777" w:rsidR="00A775DB" w:rsidRPr="00B0658A" w:rsidRDefault="00A775DB" w:rsidP="004F1366">
            <w:pPr>
              <w:spacing w:after="0" w:line="240" w:lineRule="auto"/>
              <w:jc w:val="center"/>
              <w:rPr>
                <w:rFonts w:ascii="Times New Roman" w:hAnsi="Times New Roman"/>
                <w:sz w:val="18"/>
                <w:szCs w:val="18"/>
              </w:rPr>
            </w:pPr>
          </w:p>
        </w:tc>
        <w:tc>
          <w:tcPr>
            <w:tcW w:w="992" w:type="dxa"/>
            <w:vAlign w:val="center"/>
          </w:tcPr>
          <w:p w14:paraId="7406FB77" w14:textId="77777777" w:rsidR="00A775DB" w:rsidRPr="00B0658A" w:rsidRDefault="00A775DB" w:rsidP="004F1366">
            <w:pPr>
              <w:spacing w:after="0" w:line="240" w:lineRule="auto"/>
              <w:jc w:val="center"/>
              <w:rPr>
                <w:rFonts w:ascii="Times New Roman" w:hAnsi="Times New Roman"/>
                <w:sz w:val="18"/>
                <w:szCs w:val="18"/>
              </w:rPr>
            </w:pPr>
          </w:p>
        </w:tc>
        <w:tc>
          <w:tcPr>
            <w:tcW w:w="803" w:type="dxa"/>
            <w:shd w:val="clear" w:color="auto" w:fill="auto"/>
            <w:vAlign w:val="center"/>
            <w:hideMark/>
          </w:tcPr>
          <w:p w14:paraId="4AE9F55F" w14:textId="77777777" w:rsidR="00A775DB" w:rsidRPr="00B0658A" w:rsidRDefault="00A775DB" w:rsidP="004F1366">
            <w:pPr>
              <w:spacing w:after="0" w:line="240" w:lineRule="auto"/>
              <w:jc w:val="center"/>
              <w:rPr>
                <w:rFonts w:ascii="Times New Roman" w:hAnsi="Times New Roman"/>
                <w:sz w:val="18"/>
                <w:szCs w:val="18"/>
              </w:rPr>
            </w:pPr>
          </w:p>
        </w:tc>
        <w:tc>
          <w:tcPr>
            <w:tcW w:w="803" w:type="dxa"/>
            <w:shd w:val="clear" w:color="auto" w:fill="auto"/>
            <w:vAlign w:val="center"/>
            <w:hideMark/>
          </w:tcPr>
          <w:p w14:paraId="0C772225" w14:textId="77777777" w:rsidR="00A775DB" w:rsidRPr="00B0658A" w:rsidRDefault="00A775DB" w:rsidP="004F1366">
            <w:pPr>
              <w:spacing w:after="0" w:line="240" w:lineRule="auto"/>
              <w:jc w:val="center"/>
              <w:rPr>
                <w:rFonts w:ascii="Times New Roman" w:hAnsi="Times New Roman"/>
                <w:sz w:val="18"/>
                <w:szCs w:val="18"/>
              </w:rPr>
            </w:pPr>
          </w:p>
        </w:tc>
        <w:tc>
          <w:tcPr>
            <w:tcW w:w="804" w:type="dxa"/>
            <w:shd w:val="clear" w:color="auto" w:fill="auto"/>
            <w:vAlign w:val="center"/>
            <w:hideMark/>
          </w:tcPr>
          <w:p w14:paraId="516596BE" w14:textId="77777777" w:rsidR="00A775DB" w:rsidRPr="00B0658A" w:rsidRDefault="00A775DB" w:rsidP="004F1366">
            <w:pPr>
              <w:spacing w:after="0" w:line="240" w:lineRule="auto"/>
              <w:jc w:val="center"/>
              <w:rPr>
                <w:rFonts w:ascii="Times New Roman" w:hAnsi="Times New Roman"/>
                <w:sz w:val="18"/>
                <w:szCs w:val="18"/>
              </w:rPr>
            </w:pPr>
          </w:p>
        </w:tc>
        <w:tc>
          <w:tcPr>
            <w:tcW w:w="1530" w:type="dxa"/>
            <w:vAlign w:val="center"/>
          </w:tcPr>
          <w:p w14:paraId="4154E4CB" w14:textId="77777777" w:rsidR="00A775DB" w:rsidRPr="00B0658A" w:rsidRDefault="00A775DB" w:rsidP="004F1366">
            <w:pPr>
              <w:spacing w:after="0" w:line="240" w:lineRule="auto"/>
              <w:jc w:val="center"/>
              <w:rPr>
                <w:rFonts w:ascii="Times New Roman" w:hAnsi="Times New Roman"/>
                <w:sz w:val="18"/>
                <w:szCs w:val="18"/>
              </w:rPr>
            </w:pPr>
          </w:p>
        </w:tc>
      </w:tr>
      <w:tr w:rsidR="00F52FED" w:rsidRPr="00B0658A" w14:paraId="62C5B086" w14:textId="77777777" w:rsidTr="004F1366">
        <w:trPr>
          <w:trHeight w:val="20"/>
        </w:trPr>
        <w:tc>
          <w:tcPr>
            <w:tcW w:w="578" w:type="dxa"/>
            <w:shd w:val="clear" w:color="000000" w:fill="FFFFFF"/>
            <w:vAlign w:val="center"/>
          </w:tcPr>
          <w:p w14:paraId="7AACBA4E" w14:textId="77777777" w:rsidR="00A775DB" w:rsidRPr="00B0658A" w:rsidRDefault="00A775DB" w:rsidP="004F1366">
            <w:pPr>
              <w:spacing w:after="0" w:line="240" w:lineRule="auto"/>
              <w:jc w:val="center"/>
              <w:rPr>
                <w:rFonts w:ascii="Times New Roman" w:hAnsi="Times New Roman"/>
                <w:sz w:val="18"/>
                <w:szCs w:val="18"/>
              </w:rPr>
            </w:pPr>
            <w:r w:rsidRPr="00B0658A">
              <w:rPr>
                <w:rFonts w:ascii="Times New Roman" w:hAnsi="Times New Roman"/>
                <w:sz w:val="18"/>
                <w:szCs w:val="18"/>
              </w:rPr>
              <w:t>4.5</w:t>
            </w:r>
          </w:p>
        </w:tc>
        <w:tc>
          <w:tcPr>
            <w:tcW w:w="3812" w:type="dxa"/>
            <w:shd w:val="clear" w:color="auto" w:fill="auto"/>
            <w:vAlign w:val="center"/>
            <w:hideMark/>
          </w:tcPr>
          <w:p w14:paraId="4F744DED" w14:textId="77777777" w:rsidR="00A775DB" w:rsidRPr="00B0658A" w:rsidRDefault="00A775DB" w:rsidP="004F1366">
            <w:pPr>
              <w:spacing w:after="0" w:line="240" w:lineRule="auto"/>
              <w:rPr>
                <w:rFonts w:ascii="Times New Roman" w:hAnsi="Times New Roman"/>
                <w:sz w:val="18"/>
                <w:szCs w:val="18"/>
              </w:rPr>
            </w:pPr>
            <w:r w:rsidRPr="00B0658A">
              <w:rPr>
                <w:rFonts w:ascii="Times New Roman" w:hAnsi="Times New Roman"/>
                <w:sz w:val="18"/>
                <w:szCs w:val="18"/>
              </w:rPr>
              <w:t>Средства разработки программного обеспечения/ Средства анализа исходного кода на закладки и уязвимости</w:t>
            </w:r>
          </w:p>
        </w:tc>
        <w:tc>
          <w:tcPr>
            <w:tcW w:w="1842" w:type="dxa"/>
            <w:shd w:val="clear" w:color="000000" w:fill="FFFFFF"/>
            <w:hideMark/>
          </w:tcPr>
          <w:p w14:paraId="3BDE6639" w14:textId="77777777" w:rsidR="00A775DB" w:rsidRPr="00B0658A" w:rsidRDefault="00A775DB" w:rsidP="004F1366">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79" w:type="dxa"/>
            <w:vAlign w:val="center"/>
          </w:tcPr>
          <w:p w14:paraId="5E046C7A"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auto" w:fill="auto"/>
            <w:vAlign w:val="center"/>
            <w:hideMark/>
          </w:tcPr>
          <w:p w14:paraId="6AC26101"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auto" w:fill="auto"/>
            <w:vAlign w:val="center"/>
            <w:hideMark/>
          </w:tcPr>
          <w:p w14:paraId="3E1057A7"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auto" w:fill="auto"/>
            <w:vAlign w:val="center"/>
            <w:hideMark/>
          </w:tcPr>
          <w:p w14:paraId="13FF77EA" w14:textId="77777777" w:rsidR="00A775DB" w:rsidRPr="00B0658A" w:rsidRDefault="00A775DB" w:rsidP="004F1366">
            <w:pPr>
              <w:spacing w:after="0" w:line="240" w:lineRule="auto"/>
              <w:jc w:val="center"/>
              <w:rPr>
                <w:rFonts w:ascii="Times New Roman" w:hAnsi="Times New Roman"/>
                <w:sz w:val="18"/>
                <w:szCs w:val="18"/>
              </w:rPr>
            </w:pPr>
          </w:p>
        </w:tc>
        <w:tc>
          <w:tcPr>
            <w:tcW w:w="992" w:type="dxa"/>
            <w:vAlign w:val="center"/>
          </w:tcPr>
          <w:p w14:paraId="4AA8021B" w14:textId="77777777" w:rsidR="00A775DB" w:rsidRPr="00B0658A" w:rsidRDefault="00A775DB" w:rsidP="004F1366">
            <w:pPr>
              <w:spacing w:after="0" w:line="240" w:lineRule="auto"/>
              <w:jc w:val="center"/>
              <w:rPr>
                <w:rFonts w:ascii="Times New Roman" w:hAnsi="Times New Roman"/>
                <w:sz w:val="18"/>
                <w:szCs w:val="18"/>
              </w:rPr>
            </w:pPr>
          </w:p>
        </w:tc>
        <w:tc>
          <w:tcPr>
            <w:tcW w:w="803" w:type="dxa"/>
            <w:shd w:val="clear" w:color="auto" w:fill="auto"/>
            <w:vAlign w:val="center"/>
            <w:hideMark/>
          </w:tcPr>
          <w:p w14:paraId="2A65A532" w14:textId="77777777" w:rsidR="00A775DB" w:rsidRPr="00B0658A" w:rsidRDefault="00A775DB" w:rsidP="004F1366">
            <w:pPr>
              <w:spacing w:after="0" w:line="240" w:lineRule="auto"/>
              <w:jc w:val="center"/>
              <w:rPr>
                <w:rFonts w:ascii="Times New Roman" w:hAnsi="Times New Roman"/>
                <w:sz w:val="18"/>
                <w:szCs w:val="18"/>
              </w:rPr>
            </w:pPr>
          </w:p>
        </w:tc>
        <w:tc>
          <w:tcPr>
            <w:tcW w:w="803" w:type="dxa"/>
            <w:shd w:val="clear" w:color="auto" w:fill="auto"/>
            <w:vAlign w:val="center"/>
            <w:hideMark/>
          </w:tcPr>
          <w:p w14:paraId="187F2B69" w14:textId="77777777" w:rsidR="00A775DB" w:rsidRPr="00B0658A" w:rsidRDefault="00A775DB" w:rsidP="004F1366">
            <w:pPr>
              <w:spacing w:after="0" w:line="240" w:lineRule="auto"/>
              <w:jc w:val="center"/>
              <w:rPr>
                <w:rFonts w:ascii="Times New Roman" w:hAnsi="Times New Roman"/>
                <w:sz w:val="18"/>
                <w:szCs w:val="18"/>
              </w:rPr>
            </w:pPr>
          </w:p>
        </w:tc>
        <w:tc>
          <w:tcPr>
            <w:tcW w:w="804" w:type="dxa"/>
            <w:shd w:val="clear" w:color="auto" w:fill="auto"/>
            <w:vAlign w:val="center"/>
            <w:hideMark/>
          </w:tcPr>
          <w:p w14:paraId="61B1101E" w14:textId="77777777" w:rsidR="00A775DB" w:rsidRPr="00B0658A" w:rsidRDefault="00A775DB" w:rsidP="004F1366">
            <w:pPr>
              <w:spacing w:after="0" w:line="240" w:lineRule="auto"/>
              <w:jc w:val="center"/>
              <w:rPr>
                <w:rFonts w:ascii="Times New Roman" w:hAnsi="Times New Roman"/>
                <w:sz w:val="18"/>
                <w:szCs w:val="18"/>
              </w:rPr>
            </w:pPr>
          </w:p>
        </w:tc>
        <w:tc>
          <w:tcPr>
            <w:tcW w:w="1530" w:type="dxa"/>
            <w:vAlign w:val="center"/>
          </w:tcPr>
          <w:p w14:paraId="60C438D8" w14:textId="77777777" w:rsidR="00A775DB" w:rsidRPr="00B0658A" w:rsidRDefault="00A775DB" w:rsidP="004F1366">
            <w:pPr>
              <w:spacing w:after="0" w:line="240" w:lineRule="auto"/>
              <w:jc w:val="center"/>
              <w:rPr>
                <w:rFonts w:ascii="Times New Roman" w:hAnsi="Times New Roman"/>
                <w:sz w:val="18"/>
                <w:szCs w:val="18"/>
              </w:rPr>
            </w:pPr>
          </w:p>
        </w:tc>
      </w:tr>
      <w:tr w:rsidR="00F52FED" w:rsidRPr="00B0658A" w14:paraId="599A783D" w14:textId="77777777" w:rsidTr="004F1366">
        <w:trPr>
          <w:trHeight w:val="20"/>
        </w:trPr>
        <w:tc>
          <w:tcPr>
            <w:tcW w:w="578" w:type="dxa"/>
            <w:shd w:val="clear" w:color="000000" w:fill="FFFFFF"/>
            <w:vAlign w:val="center"/>
          </w:tcPr>
          <w:p w14:paraId="551200C3" w14:textId="77777777" w:rsidR="00A775DB" w:rsidRPr="00B0658A" w:rsidRDefault="00A775DB" w:rsidP="004F1366">
            <w:pPr>
              <w:spacing w:after="0" w:line="240" w:lineRule="auto"/>
              <w:jc w:val="center"/>
              <w:rPr>
                <w:rFonts w:ascii="Times New Roman" w:hAnsi="Times New Roman"/>
                <w:sz w:val="18"/>
                <w:szCs w:val="18"/>
              </w:rPr>
            </w:pPr>
            <w:r w:rsidRPr="00B0658A">
              <w:rPr>
                <w:rFonts w:ascii="Times New Roman" w:hAnsi="Times New Roman"/>
                <w:sz w:val="18"/>
                <w:szCs w:val="18"/>
              </w:rPr>
              <w:t>4.6</w:t>
            </w:r>
          </w:p>
        </w:tc>
        <w:tc>
          <w:tcPr>
            <w:tcW w:w="3812" w:type="dxa"/>
            <w:shd w:val="clear" w:color="auto" w:fill="auto"/>
            <w:vAlign w:val="center"/>
            <w:hideMark/>
          </w:tcPr>
          <w:p w14:paraId="2EB40AE3" w14:textId="77777777" w:rsidR="00A775DB" w:rsidRPr="00B0658A" w:rsidRDefault="00A775DB" w:rsidP="004F1366">
            <w:pPr>
              <w:spacing w:after="0" w:line="240" w:lineRule="auto"/>
              <w:rPr>
                <w:rFonts w:ascii="Times New Roman" w:hAnsi="Times New Roman"/>
                <w:sz w:val="18"/>
                <w:szCs w:val="18"/>
              </w:rPr>
            </w:pPr>
            <w:r w:rsidRPr="00B0658A">
              <w:rPr>
                <w:rFonts w:ascii="Times New Roman" w:hAnsi="Times New Roman"/>
                <w:sz w:val="18"/>
                <w:szCs w:val="18"/>
              </w:rPr>
              <w:t>Средства разработки программного обеспечения/ Средства разработки программного обеспечения на основе нейротехнологий и искусственного интеллекта</w:t>
            </w:r>
          </w:p>
        </w:tc>
        <w:tc>
          <w:tcPr>
            <w:tcW w:w="1842" w:type="dxa"/>
            <w:shd w:val="clear" w:color="000000" w:fill="FFFFFF"/>
            <w:hideMark/>
          </w:tcPr>
          <w:p w14:paraId="4C127C55" w14:textId="77777777" w:rsidR="00A775DB" w:rsidRPr="00B0658A" w:rsidRDefault="00A775DB" w:rsidP="004F1366">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79" w:type="dxa"/>
            <w:shd w:val="clear" w:color="000000" w:fill="FFFFFF"/>
            <w:vAlign w:val="center"/>
          </w:tcPr>
          <w:p w14:paraId="7C38A8DC"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000000" w:fill="FFFFFF"/>
            <w:vAlign w:val="center"/>
            <w:hideMark/>
          </w:tcPr>
          <w:p w14:paraId="24B2F3EA"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000000" w:fill="FFFFFF"/>
            <w:vAlign w:val="center"/>
            <w:hideMark/>
          </w:tcPr>
          <w:p w14:paraId="00441262"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000000" w:fill="FFFFFF"/>
            <w:vAlign w:val="center"/>
            <w:hideMark/>
          </w:tcPr>
          <w:p w14:paraId="4E81D9D2" w14:textId="77777777" w:rsidR="00A775DB" w:rsidRPr="00B0658A" w:rsidRDefault="00A775DB" w:rsidP="004F1366">
            <w:pPr>
              <w:spacing w:after="0" w:line="240" w:lineRule="auto"/>
              <w:jc w:val="center"/>
              <w:rPr>
                <w:rFonts w:ascii="Times New Roman" w:hAnsi="Times New Roman"/>
                <w:sz w:val="18"/>
                <w:szCs w:val="18"/>
              </w:rPr>
            </w:pPr>
          </w:p>
        </w:tc>
        <w:tc>
          <w:tcPr>
            <w:tcW w:w="992" w:type="dxa"/>
            <w:shd w:val="clear" w:color="000000" w:fill="FFFFFF"/>
            <w:vAlign w:val="center"/>
          </w:tcPr>
          <w:p w14:paraId="668E2B2C" w14:textId="77777777" w:rsidR="00A775DB" w:rsidRPr="00B0658A" w:rsidRDefault="00A775DB" w:rsidP="004F1366">
            <w:pPr>
              <w:spacing w:after="0" w:line="240" w:lineRule="auto"/>
              <w:jc w:val="center"/>
              <w:rPr>
                <w:rFonts w:ascii="Times New Roman" w:hAnsi="Times New Roman"/>
                <w:sz w:val="18"/>
                <w:szCs w:val="18"/>
              </w:rPr>
            </w:pPr>
          </w:p>
        </w:tc>
        <w:tc>
          <w:tcPr>
            <w:tcW w:w="803" w:type="dxa"/>
            <w:shd w:val="clear" w:color="000000" w:fill="FFFFFF"/>
            <w:vAlign w:val="center"/>
            <w:hideMark/>
          </w:tcPr>
          <w:p w14:paraId="771B360F" w14:textId="77777777" w:rsidR="00A775DB" w:rsidRPr="00B0658A" w:rsidRDefault="00A775DB" w:rsidP="004F1366">
            <w:pPr>
              <w:spacing w:after="0" w:line="240" w:lineRule="auto"/>
              <w:jc w:val="center"/>
              <w:rPr>
                <w:rFonts w:ascii="Times New Roman" w:hAnsi="Times New Roman"/>
                <w:sz w:val="18"/>
                <w:szCs w:val="18"/>
              </w:rPr>
            </w:pPr>
          </w:p>
        </w:tc>
        <w:tc>
          <w:tcPr>
            <w:tcW w:w="803" w:type="dxa"/>
            <w:shd w:val="clear" w:color="000000" w:fill="FFFFFF"/>
            <w:vAlign w:val="center"/>
            <w:hideMark/>
          </w:tcPr>
          <w:p w14:paraId="69F5E00C" w14:textId="77777777" w:rsidR="00A775DB" w:rsidRPr="00B0658A" w:rsidRDefault="00A775DB" w:rsidP="004F1366">
            <w:pPr>
              <w:spacing w:after="0" w:line="240" w:lineRule="auto"/>
              <w:jc w:val="center"/>
              <w:rPr>
                <w:rFonts w:ascii="Times New Roman" w:hAnsi="Times New Roman"/>
                <w:sz w:val="18"/>
                <w:szCs w:val="18"/>
              </w:rPr>
            </w:pPr>
          </w:p>
        </w:tc>
        <w:tc>
          <w:tcPr>
            <w:tcW w:w="804" w:type="dxa"/>
            <w:shd w:val="clear" w:color="000000" w:fill="FFFFFF"/>
            <w:vAlign w:val="center"/>
            <w:hideMark/>
          </w:tcPr>
          <w:p w14:paraId="18A11D47" w14:textId="77777777" w:rsidR="00A775DB" w:rsidRPr="00B0658A" w:rsidRDefault="00A775DB" w:rsidP="004F1366">
            <w:pPr>
              <w:spacing w:after="0" w:line="240" w:lineRule="auto"/>
              <w:jc w:val="center"/>
              <w:rPr>
                <w:rFonts w:ascii="Times New Roman" w:hAnsi="Times New Roman"/>
                <w:sz w:val="18"/>
                <w:szCs w:val="18"/>
              </w:rPr>
            </w:pPr>
          </w:p>
        </w:tc>
        <w:tc>
          <w:tcPr>
            <w:tcW w:w="1530" w:type="dxa"/>
            <w:shd w:val="clear" w:color="000000" w:fill="FFFFFF"/>
            <w:vAlign w:val="center"/>
          </w:tcPr>
          <w:p w14:paraId="77ECFC5D" w14:textId="77777777" w:rsidR="00A775DB" w:rsidRPr="00B0658A" w:rsidRDefault="00A775DB" w:rsidP="004F1366">
            <w:pPr>
              <w:spacing w:after="0" w:line="240" w:lineRule="auto"/>
              <w:jc w:val="center"/>
              <w:rPr>
                <w:rFonts w:ascii="Times New Roman" w:hAnsi="Times New Roman"/>
                <w:sz w:val="18"/>
                <w:szCs w:val="18"/>
              </w:rPr>
            </w:pPr>
          </w:p>
        </w:tc>
      </w:tr>
      <w:tr w:rsidR="00F52FED" w:rsidRPr="00B0658A" w14:paraId="64F4DDFD" w14:textId="77777777" w:rsidTr="004F1366">
        <w:trPr>
          <w:trHeight w:val="20"/>
        </w:trPr>
        <w:tc>
          <w:tcPr>
            <w:tcW w:w="578" w:type="dxa"/>
            <w:shd w:val="clear" w:color="000000" w:fill="FFFFFF"/>
            <w:vAlign w:val="center"/>
          </w:tcPr>
          <w:p w14:paraId="1603B120" w14:textId="77777777" w:rsidR="00A775DB" w:rsidRPr="00B0658A" w:rsidRDefault="00A775DB" w:rsidP="004F1366">
            <w:pPr>
              <w:spacing w:after="0" w:line="240" w:lineRule="auto"/>
              <w:jc w:val="center"/>
              <w:rPr>
                <w:rFonts w:ascii="Times New Roman" w:hAnsi="Times New Roman"/>
                <w:sz w:val="18"/>
                <w:szCs w:val="18"/>
              </w:rPr>
            </w:pPr>
            <w:r w:rsidRPr="00B0658A">
              <w:rPr>
                <w:rFonts w:ascii="Times New Roman" w:hAnsi="Times New Roman"/>
                <w:sz w:val="18"/>
                <w:szCs w:val="18"/>
              </w:rPr>
              <w:t>4.7</w:t>
            </w:r>
          </w:p>
        </w:tc>
        <w:tc>
          <w:tcPr>
            <w:tcW w:w="3812" w:type="dxa"/>
            <w:shd w:val="clear" w:color="auto" w:fill="auto"/>
            <w:vAlign w:val="center"/>
            <w:hideMark/>
          </w:tcPr>
          <w:p w14:paraId="26AEE0DC" w14:textId="77777777" w:rsidR="00A775DB" w:rsidRPr="00B0658A" w:rsidRDefault="00A775DB" w:rsidP="004F1366">
            <w:pPr>
              <w:spacing w:after="0" w:line="240" w:lineRule="auto"/>
              <w:rPr>
                <w:rFonts w:ascii="Times New Roman" w:hAnsi="Times New Roman"/>
                <w:sz w:val="18"/>
                <w:szCs w:val="18"/>
              </w:rPr>
            </w:pPr>
            <w:r w:rsidRPr="00B0658A">
              <w:rPr>
                <w:rFonts w:ascii="Times New Roman" w:hAnsi="Times New Roman"/>
                <w:sz w:val="18"/>
                <w:szCs w:val="18"/>
              </w:rPr>
              <w:t>Средства разработки программного обеспечения/ Средства разработки программного обеспечения на основе квантовых технологий</w:t>
            </w:r>
          </w:p>
        </w:tc>
        <w:tc>
          <w:tcPr>
            <w:tcW w:w="1842" w:type="dxa"/>
            <w:shd w:val="clear" w:color="000000" w:fill="FFFFFF"/>
            <w:hideMark/>
          </w:tcPr>
          <w:p w14:paraId="1DF50F4C" w14:textId="77777777" w:rsidR="00A775DB" w:rsidRPr="00B0658A" w:rsidRDefault="00A775DB" w:rsidP="004F1366">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79" w:type="dxa"/>
            <w:shd w:val="clear" w:color="000000" w:fill="FFFFFF"/>
            <w:vAlign w:val="center"/>
          </w:tcPr>
          <w:p w14:paraId="5D589300"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000000" w:fill="FFFFFF"/>
            <w:vAlign w:val="center"/>
            <w:hideMark/>
          </w:tcPr>
          <w:p w14:paraId="2A0C5047"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000000" w:fill="FFFFFF"/>
            <w:vAlign w:val="center"/>
            <w:hideMark/>
          </w:tcPr>
          <w:p w14:paraId="35706F23"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000000" w:fill="FFFFFF"/>
            <w:vAlign w:val="center"/>
            <w:hideMark/>
          </w:tcPr>
          <w:p w14:paraId="35646629" w14:textId="77777777" w:rsidR="00A775DB" w:rsidRPr="00B0658A" w:rsidRDefault="00A775DB" w:rsidP="004F1366">
            <w:pPr>
              <w:spacing w:after="0" w:line="240" w:lineRule="auto"/>
              <w:jc w:val="center"/>
              <w:rPr>
                <w:rFonts w:ascii="Times New Roman" w:hAnsi="Times New Roman"/>
                <w:sz w:val="18"/>
                <w:szCs w:val="18"/>
              </w:rPr>
            </w:pPr>
          </w:p>
        </w:tc>
        <w:tc>
          <w:tcPr>
            <w:tcW w:w="992" w:type="dxa"/>
            <w:shd w:val="clear" w:color="000000" w:fill="FFFFFF"/>
            <w:vAlign w:val="center"/>
          </w:tcPr>
          <w:p w14:paraId="67B00191" w14:textId="77777777" w:rsidR="00A775DB" w:rsidRPr="00B0658A" w:rsidRDefault="00A775DB" w:rsidP="004F1366">
            <w:pPr>
              <w:spacing w:after="0" w:line="240" w:lineRule="auto"/>
              <w:jc w:val="center"/>
              <w:rPr>
                <w:rFonts w:ascii="Times New Roman" w:hAnsi="Times New Roman"/>
                <w:sz w:val="18"/>
                <w:szCs w:val="18"/>
              </w:rPr>
            </w:pPr>
          </w:p>
        </w:tc>
        <w:tc>
          <w:tcPr>
            <w:tcW w:w="803" w:type="dxa"/>
            <w:shd w:val="clear" w:color="000000" w:fill="FFFFFF"/>
            <w:vAlign w:val="center"/>
            <w:hideMark/>
          </w:tcPr>
          <w:p w14:paraId="66390D3C" w14:textId="77777777" w:rsidR="00A775DB" w:rsidRPr="00B0658A" w:rsidRDefault="00A775DB" w:rsidP="004F1366">
            <w:pPr>
              <w:spacing w:after="0" w:line="240" w:lineRule="auto"/>
              <w:jc w:val="center"/>
              <w:rPr>
                <w:rFonts w:ascii="Times New Roman" w:hAnsi="Times New Roman"/>
                <w:sz w:val="18"/>
                <w:szCs w:val="18"/>
              </w:rPr>
            </w:pPr>
          </w:p>
        </w:tc>
        <w:tc>
          <w:tcPr>
            <w:tcW w:w="803" w:type="dxa"/>
            <w:shd w:val="clear" w:color="000000" w:fill="FFFFFF"/>
            <w:vAlign w:val="center"/>
            <w:hideMark/>
          </w:tcPr>
          <w:p w14:paraId="35BDB6C6" w14:textId="77777777" w:rsidR="00A775DB" w:rsidRPr="00B0658A" w:rsidRDefault="00A775DB" w:rsidP="004F1366">
            <w:pPr>
              <w:spacing w:after="0" w:line="240" w:lineRule="auto"/>
              <w:jc w:val="center"/>
              <w:rPr>
                <w:rFonts w:ascii="Times New Roman" w:hAnsi="Times New Roman"/>
                <w:sz w:val="18"/>
                <w:szCs w:val="18"/>
              </w:rPr>
            </w:pPr>
          </w:p>
        </w:tc>
        <w:tc>
          <w:tcPr>
            <w:tcW w:w="804" w:type="dxa"/>
            <w:shd w:val="clear" w:color="000000" w:fill="FFFFFF"/>
            <w:vAlign w:val="center"/>
            <w:hideMark/>
          </w:tcPr>
          <w:p w14:paraId="4A19AD0F" w14:textId="77777777" w:rsidR="00A775DB" w:rsidRPr="00B0658A" w:rsidRDefault="00A775DB" w:rsidP="004F1366">
            <w:pPr>
              <w:spacing w:after="0" w:line="240" w:lineRule="auto"/>
              <w:jc w:val="center"/>
              <w:rPr>
                <w:rFonts w:ascii="Times New Roman" w:hAnsi="Times New Roman"/>
                <w:sz w:val="18"/>
                <w:szCs w:val="18"/>
              </w:rPr>
            </w:pPr>
          </w:p>
        </w:tc>
        <w:tc>
          <w:tcPr>
            <w:tcW w:w="1530" w:type="dxa"/>
            <w:shd w:val="clear" w:color="000000" w:fill="FFFFFF"/>
            <w:vAlign w:val="center"/>
          </w:tcPr>
          <w:p w14:paraId="5610FE33" w14:textId="77777777" w:rsidR="00A775DB" w:rsidRPr="00B0658A" w:rsidRDefault="00A775DB" w:rsidP="004F1366">
            <w:pPr>
              <w:spacing w:after="0" w:line="240" w:lineRule="auto"/>
              <w:jc w:val="center"/>
              <w:rPr>
                <w:rFonts w:ascii="Times New Roman" w:hAnsi="Times New Roman"/>
                <w:sz w:val="18"/>
                <w:szCs w:val="18"/>
              </w:rPr>
            </w:pPr>
          </w:p>
        </w:tc>
      </w:tr>
      <w:tr w:rsidR="00F52FED" w:rsidRPr="00B0658A" w14:paraId="3EAD6960" w14:textId="77777777" w:rsidTr="004F1366">
        <w:trPr>
          <w:trHeight w:val="20"/>
        </w:trPr>
        <w:tc>
          <w:tcPr>
            <w:tcW w:w="578" w:type="dxa"/>
            <w:shd w:val="clear" w:color="000000" w:fill="FFFFFF"/>
            <w:vAlign w:val="center"/>
          </w:tcPr>
          <w:p w14:paraId="20F52F98" w14:textId="77777777" w:rsidR="00A775DB" w:rsidRPr="00B0658A" w:rsidRDefault="00A775DB" w:rsidP="004F1366">
            <w:pPr>
              <w:spacing w:after="0" w:line="240" w:lineRule="auto"/>
              <w:jc w:val="center"/>
              <w:rPr>
                <w:rFonts w:ascii="Times New Roman" w:hAnsi="Times New Roman"/>
                <w:sz w:val="18"/>
                <w:szCs w:val="18"/>
              </w:rPr>
            </w:pPr>
            <w:r w:rsidRPr="00B0658A">
              <w:rPr>
                <w:rFonts w:ascii="Times New Roman" w:hAnsi="Times New Roman"/>
                <w:sz w:val="18"/>
                <w:szCs w:val="18"/>
              </w:rPr>
              <w:t>4.8</w:t>
            </w:r>
          </w:p>
        </w:tc>
        <w:tc>
          <w:tcPr>
            <w:tcW w:w="3812" w:type="dxa"/>
            <w:shd w:val="clear" w:color="auto" w:fill="auto"/>
            <w:vAlign w:val="center"/>
            <w:hideMark/>
          </w:tcPr>
          <w:p w14:paraId="792F9748" w14:textId="77777777" w:rsidR="00A775DB" w:rsidRPr="00B0658A" w:rsidRDefault="00A775DB" w:rsidP="004F1366">
            <w:pPr>
              <w:spacing w:after="0" w:line="240" w:lineRule="auto"/>
              <w:rPr>
                <w:rFonts w:ascii="Times New Roman" w:hAnsi="Times New Roman"/>
                <w:sz w:val="18"/>
                <w:szCs w:val="18"/>
              </w:rPr>
            </w:pPr>
            <w:r w:rsidRPr="00B0658A">
              <w:rPr>
                <w:rFonts w:ascii="Times New Roman" w:hAnsi="Times New Roman"/>
                <w:sz w:val="18"/>
                <w:szCs w:val="18"/>
              </w:rPr>
              <w:t>Средства разработки программного обеспечения/ Интегрированные платформы для создания приложений</w:t>
            </w:r>
          </w:p>
        </w:tc>
        <w:tc>
          <w:tcPr>
            <w:tcW w:w="1842" w:type="dxa"/>
            <w:shd w:val="clear" w:color="000000" w:fill="FFFFFF"/>
            <w:hideMark/>
          </w:tcPr>
          <w:p w14:paraId="31CBA6C9" w14:textId="77777777" w:rsidR="00A775DB" w:rsidRPr="00B0658A" w:rsidRDefault="00A775DB" w:rsidP="004F1366">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79" w:type="dxa"/>
            <w:shd w:val="clear" w:color="000000" w:fill="FFFFFF"/>
            <w:vAlign w:val="center"/>
          </w:tcPr>
          <w:p w14:paraId="6CCA29C9"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000000" w:fill="FFFFFF"/>
            <w:vAlign w:val="center"/>
            <w:hideMark/>
          </w:tcPr>
          <w:p w14:paraId="22B1E9C6"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000000" w:fill="FFFFFF"/>
            <w:vAlign w:val="center"/>
            <w:hideMark/>
          </w:tcPr>
          <w:p w14:paraId="1E621E2F"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000000" w:fill="FFFFFF"/>
            <w:vAlign w:val="center"/>
            <w:hideMark/>
          </w:tcPr>
          <w:p w14:paraId="352CAEF7" w14:textId="77777777" w:rsidR="00A775DB" w:rsidRPr="00B0658A" w:rsidRDefault="00A775DB" w:rsidP="004F1366">
            <w:pPr>
              <w:spacing w:after="0" w:line="240" w:lineRule="auto"/>
              <w:jc w:val="center"/>
              <w:rPr>
                <w:rFonts w:ascii="Times New Roman" w:hAnsi="Times New Roman"/>
                <w:sz w:val="18"/>
                <w:szCs w:val="18"/>
              </w:rPr>
            </w:pPr>
          </w:p>
        </w:tc>
        <w:tc>
          <w:tcPr>
            <w:tcW w:w="992" w:type="dxa"/>
            <w:shd w:val="clear" w:color="000000" w:fill="FFFFFF"/>
            <w:vAlign w:val="center"/>
          </w:tcPr>
          <w:p w14:paraId="0E4114EC" w14:textId="77777777" w:rsidR="00A775DB" w:rsidRPr="00B0658A" w:rsidRDefault="00A775DB" w:rsidP="004F1366">
            <w:pPr>
              <w:spacing w:after="0" w:line="240" w:lineRule="auto"/>
              <w:jc w:val="center"/>
              <w:rPr>
                <w:rFonts w:ascii="Times New Roman" w:hAnsi="Times New Roman"/>
                <w:sz w:val="18"/>
                <w:szCs w:val="18"/>
              </w:rPr>
            </w:pPr>
          </w:p>
        </w:tc>
        <w:tc>
          <w:tcPr>
            <w:tcW w:w="803" w:type="dxa"/>
            <w:shd w:val="clear" w:color="000000" w:fill="FFFFFF"/>
            <w:vAlign w:val="center"/>
            <w:hideMark/>
          </w:tcPr>
          <w:p w14:paraId="71CC5761" w14:textId="77777777" w:rsidR="00A775DB" w:rsidRPr="00B0658A" w:rsidRDefault="00A775DB" w:rsidP="004F1366">
            <w:pPr>
              <w:spacing w:after="0" w:line="240" w:lineRule="auto"/>
              <w:jc w:val="center"/>
              <w:rPr>
                <w:rFonts w:ascii="Times New Roman" w:hAnsi="Times New Roman"/>
                <w:sz w:val="18"/>
                <w:szCs w:val="18"/>
              </w:rPr>
            </w:pPr>
          </w:p>
        </w:tc>
        <w:tc>
          <w:tcPr>
            <w:tcW w:w="803" w:type="dxa"/>
            <w:shd w:val="clear" w:color="000000" w:fill="FFFFFF"/>
            <w:vAlign w:val="center"/>
            <w:hideMark/>
          </w:tcPr>
          <w:p w14:paraId="4741268A" w14:textId="77777777" w:rsidR="00A775DB" w:rsidRPr="00B0658A" w:rsidRDefault="00A775DB" w:rsidP="004F1366">
            <w:pPr>
              <w:spacing w:after="0" w:line="240" w:lineRule="auto"/>
              <w:jc w:val="center"/>
              <w:rPr>
                <w:rFonts w:ascii="Times New Roman" w:hAnsi="Times New Roman"/>
                <w:sz w:val="18"/>
                <w:szCs w:val="18"/>
              </w:rPr>
            </w:pPr>
          </w:p>
        </w:tc>
        <w:tc>
          <w:tcPr>
            <w:tcW w:w="804" w:type="dxa"/>
            <w:shd w:val="clear" w:color="000000" w:fill="FFFFFF"/>
            <w:vAlign w:val="center"/>
            <w:hideMark/>
          </w:tcPr>
          <w:p w14:paraId="2970512E" w14:textId="77777777" w:rsidR="00A775DB" w:rsidRPr="00B0658A" w:rsidRDefault="00A775DB" w:rsidP="004F1366">
            <w:pPr>
              <w:spacing w:after="0" w:line="240" w:lineRule="auto"/>
              <w:jc w:val="center"/>
              <w:rPr>
                <w:rFonts w:ascii="Times New Roman" w:hAnsi="Times New Roman"/>
                <w:sz w:val="18"/>
                <w:szCs w:val="18"/>
              </w:rPr>
            </w:pPr>
          </w:p>
        </w:tc>
        <w:tc>
          <w:tcPr>
            <w:tcW w:w="1530" w:type="dxa"/>
            <w:shd w:val="clear" w:color="000000" w:fill="FFFFFF"/>
            <w:vAlign w:val="center"/>
          </w:tcPr>
          <w:p w14:paraId="54E70B68" w14:textId="77777777" w:rsidR="00A775DB" w:rsidRPr="00B0658A" w:rsidRDefault="00A775DB" w:rsidP="004F1366">
            <w:pPr>
              <w:spacing w:after="0" w:line="240" w:lineRule="auto"/>
              <w:jc w:val="center"/>
              <w:rPr>
                <w:rFonts w:ascii="Times New Roman" w:hAnsi="Times New Roman"/>
                <w:sz w:val="18"/>
                <w:szCs w:val="18"/>
              </w:rPr>
            </w:pPr>
          </w:p>
        </w:tc>
      </w:tr>
      <w:tr w:rsidR="00F52FED" w:rsidRPr="00B0658A" w14:paraId="28543DBA" w14:textId="77777777" w:rsidTr="004F1366">
        <w:trPr>
          <w:trHeight w:val="20"/>
        </w:trPr>
        <w:tc>
          <w:tcPr>
            <w:tcW w:w="578" w:type="dxa"/>
            <w:shd w:val="clear" w:color="000000" w:fill="FFFFFF"/>
            <w:vAlign w:val="center"/>
          </w:tcPr>
          <w:p w14:paraId="1DB0647D" w14:textId="77777777" w:rsidR="00A775DB" w:rsidRPr="00B0658A" w:rsidRDefault="00A775DB" w:rsidP="004F1366">
            <w:pPr>
              <w:spacing w:after="0" w:line="240" w:lineRule="auto"/>
              <w:jc w:val="center"/>
              <w:rPr>
                <w:rFonts w:ascii="Times New Roman" w:hAnsi="Times New Roman"/>
                <w:sz w:val="18"/>
                <w:szCs w:val="18"/>
              </w:rPr>
            </w:pPr>
            <w:r w:rsidRPr="00B0658A">
              <w:rPr>
                <w:rFonts w:ascii="Times New Roman" w:hAnsi="Times New Roman"/>
                <w:sz w:val="18"/>
                <w:szCs w:val="18"/>
              </w:rPr>
              <w:t>4.9</w:t>
            </w:r>
          </w:p>
        </w:tc>
        <w:tc>
          <w:tcPr>
            <w:tcW w:w="3812" w:type="dxa"/>
            <w:shd w:val="clear" w:color="auto" w:fill="auto"/>
            <w:vAlign w:val="center"/>
            <w:hideMark/>
          </w:tcPr>
          <w:p w14:paraId="130BD65F" w14:textId="77777777" w:rsidR="00A775DB" w:rsidRPr="00B0658A" w:rsidRDefault="00A775DB" w:rsidP="004F1366">
            <w:pPr>
              <w:spacing w:after="0" w:line="240" w:lineRule="auto"/>
              <w:rPr>
                <w:rFonts w:ascii="Times New Roman" w:hAnsi="Times New Roman"/>
                <w:sz w:val="18"/>
                <w:szCs w:val="18"/>
              </w:rPr>
            </w:pPr>
            <w:r w:rsidRPr="00B0658A">
              <w:rPr>
                <w:rFonts w:ascii="Times New Roman" w:hAnsi="Times New Roman"/>
                <w:sz w:val="18"/>
                <w:szCs w:val="18"/>
              </w:rPr>
              <w:t>Средства разработки программного обеспечения/ Системы предотвращения анализа и восстановления исполняемого кода программ</w:t>
            </w:r>
          </w:p>
        </w:tc>
        <w:tc>
          <w:tcPr>
            <w:tcW w:w="1842" w:type="dxa"/>
            <w:shd w:val="clear" w:color="000000" w:fill="FFFFFF"/>
            <w:hideMark/>
          </w:tcPr>
          <w:p w14:paraId="482BAE83" w14:textId="77777777" w:rsidR="00A775DB" w:rsidRPr="00B0658A" w:rsidRDefault="00A775DB" w:rsidP="004F1366">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79" w:type="dxa"/>
            <w:shd w:val="clear" w:color="000000" w:fill="FFFFFF"/>
            <w:vAlign w:val="center"/>
          </w:tcPr>
          <w:p w14:paraId="4ED2B3AD"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000000" w:fill="FFFFFF"/>
            <w:vAlign w:val="center"/>
            <w:hideMark/>
          </w:tcPr>
          <w:p w14:paraId="0443D6C2"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000000" w:fill="FFFFFF"/>
            <w:vAlign w:val="center"/>
            <w:hideMark/>
          </w:tcPr>
          <w:p w14:paraId="39927AF6"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000000" w:fill="FFFFFF"/>
            <w:vAlign w:val="center"/>
            <w:hideMark/>
          </w:tcPr>
          <w:p w14:paraId="438408D5" w14:textId="77777777" w:rsidR="00A775DB" w:rsidRPr="00B0658A" w:rsidRDefault="00A775DB" w:rsidP="004F1366">
            <w:pPr>
              <w:spacing w:after="0" w:line="240" w:lineRule="auto"/>
              <w:jc w:val="center"/>
              <w:rPr>
                <w:rFonts w:ascii="Times New Roman" w:hAnsi="Times New Roman"/>
                <w:sz w:val="18"/>
                <w:szCs w:val="18"/>
              </w:rPr>
            </w:pPr>
          </w:p>
        </w:tc>
        <w:tc>
          <w:tcPr>
            <w:tcW w:w="992" w:type="dxa"/>
            <w:shd w:val="clear" w:color="000000" w:fill="FFFFFF"/>
            <w:vAlign w:val="center"/>
          </w:tcPr>
          <w:p w14:paraId="3B53A893" w14:textId="77777777" w:rsidR="00A775DB" w:rsidRPr="00B0658A" w:rsidRDefault="00A775DB" w:rsidP="004F1366">
            <w:pPr>
              <w:spacing w:after="0" w:line="240" w:lineRule="auto"/>
              <w:jc w:val="center"/>
              <w:rPr>
                <w:rFonts w:ascii="Times New Roman" w:hAnsi="Times New Roman"/>
                <w:sz w:val="18"/>
                <w:szCs w:val="18"/>
              </w:rPr>
            </w:pPr>
          </w:p>
        </w:tc>
        <w:tc>
          <w:tcPr>
            <w:tcW w:w="803" w:type="dxa"/>
            <w:shd w:val="clear" w:color="000000" w:fill="FFFFFF"/>
            <w:vAlign w:val="center"/>
            <w:hideMark/>
          </w:tcPr>
          <w:p w14:paraId="1376D709" w14:textId="77777777" w:rsidR="00A775DB" w:rsidRPr="00B0658A" w:rsidRDefault="00A775DB" w:rsidP="004F1366">
            <w:pPr>
              <w:spacing w:after="0" w:line="240" w:lineRule="auto"/>
              <w:jc w:val="center"/>
              <w:rPr>
                <w:rFonts w:ascii="Times New Roman" w:hAnsi="Times New Roman"/>
                <w:sz w:val="18"/>
                <w:szCs w:val="18"/>
              </w:rPr>
            </w:pPr>
          </w:p>
        </w:tc>
        <w:tc>
          <w:tcPr>
            <w:tcW w:w="803" w:type="dxa"/>
            <w:shd w:val="clear" w:color="000000" w:fill="FFFFFF"/>
            <w:vAlign w:val="center"/>
            <w:hideMark/>
          </w:tcPr>
          <w:p w14:paraId="5124409F" w14:textId="77777777" w:rsidR="00A775DB" w:rsidRPr="00B0658A" w:rsidRDefault="00A775DB" w:rsidP="004F1366">
            <w:pPr>
              <w:spacing w:after="0" w:line="240" w:lineRule="auto"/>
              <w:jc w:val="center"/>
              <w:rPr>
                <w:rFonts w:ascii="Times New Roman" w:hAnsi="Times New Roman"/>
                <w:sz w:val="18"/>
                <w:szCs w:val="18"/>
              </w:rPr>
            </w:pPr>
          </w:p>
        </w:tc>
        <w:tc>
          <w:tcPr>
            <w:tcW w:w="804" w:type="dxa"/>
            <w:shd w:val="clear" w:color="000000" w:fill="FFFFFF"/>
            <w:vAlign w:val="center"/>
            <w:hideMark/>
          </w:tcPr>
          <w:p w14:paraId="76CFF11F" w14:textId="77777777" w:rsidR="00A775DB" w:rsidRPr="00B0658A" w:rsidRDefault="00A775DB" w:rsidP="004F1366">
            <w:pPr>
              <w:spacing w:after="0" w:line="240" w:lineRule="auto"/>
              <w:jc w:val="center"/>
              <w:rPr>
                <w:rFonts w:ascii="Times New Roman" w:hAnsi="Times New Roman"/>
                <w:sz w:val="18"/>
                <w:szCs w:val="18"/>
              </w:rPr>
            </w:pPr>
          </w:p>
        </w:tc>
        <w:tc>
          <w:tcPr>
            <w:tcW w:w="1530" w:type="dxa"/>
            <w:shd w:val="clear" w:color="000000" w:fill="FFFFFF"/>
            <w:vAlign w:val="center"/>
          </w:tcPr>
          <w:p w14:paraId="2262188A" w14:textId="77777777" w:rsidR="00A775DB" w:rsidRPr="00B0658A" w:rsidRDefault="00A775DB" w:rsidP="004F1366">
            <w:pPr>
              <w:spacing w:after="0" w:line="240" w:lineRule="auto"/>
              <w:jc w:val="center"/>
              <w:rPr>
                <w:rFonts w:ascii="Times New Roman" w:hAnsi="Times New Roman"/>
                <w:sz w:val="18"/>
                <w:szCs w:val="18"/>
              </w:rPr>
            </w:pPr>
          </w:p>
        </w:tc>
      </w:tr>
      <w:tr w:rsidR="00F52FED" w:rsidRPr="00B0658A" w14:paraId="06E7B34C" w14:textId="77777777" w:rsidTr="004F1366">
        <w:trPr>
          <w:trHeight w:val="20"/>
        </w:trPr>
        <w:tc>
          <w:tcPr>
            <w:tcW w:w="578" w:type="dxa"/>
            <w:shd w:val="clear" w:color="000000" w:fill="FFFFFF"/>
            <w:vAlign w:val="center"/>
          </w:tcPr>
          <w:p w14:paraId="42D0C902" w14:textId="77777777" w:rsidR="00A775DB" w:rsidRPr="00B0658A" w:rsidRDefault="00A775DB" w:rsidP="004F1366">
            <w:pPr>
              <w:spacing w:after="0" w:line="240" w:lineRule="auto"/>
              <w:jc w:val="center"/>
              <w:rPr>
                <w:rFonts w:ascii="Times New Roman" w:hAnsi="Times New Roman"/>
                <w:sz w:val="18"/>
                <w:szCs w:val="18"/>
              </w:rPr>
            </w:pPr>
            <w:r w:rsidRPr="00B0658A">
              <w:rPr>
                <w:rFonts w:ascii="Times New Roman" w:hAnsi="Times New Roman"/>
                <w:sz w:val="18"/>
                <w:szCs w:val="18"/>
              </w:rPr>
              <w:t>5.1</w:t>
            </w:r>
          </w:p>
        </w:tc>
        <w:tc>
          <w:tcPr>
            <w:tcW w:w="3812" w:type="dxa"/>
            <w:shd w:val="clear" w:color="auto" w:fill="auto"/>
            <w:vAlign w:val="center"/>
            <w:hideMark/>
          </w:tcPr>
          <w:p w14:paraId="5EBC33A8" w14:textId="77777777" w:rsidR="00A775DB" w:rsidRPr="00B0658A" w:rsidRDefault="00A775DB" w:rsidP="004F1366">
            <w:pPr>
              <w:spacing w:after="0" w:line="240" w:lineRule="auto"/>
              <w:rPr>
                <w:rFonts w:ascii="Times New Roman" w:hAnsi="Times New Roman"/>
                <w:sz w:val="18"/>
                <w:szCs w:val="18"/>
              </w:rPr>
            </w:pPr>
            <w:r w:rsidRPr="00B0658A">
              <w:rPr>
                <w:rFonts w:ascii="Times New Roman" w:hAnsi="Times New Roman"/>
                <w:sz w:val="18"/>
                <w:szCs w:val="18"/>
              </w:rPr>
              <w:t>Прикладное программное обеспечение/ Мультимедийное программное обеспечение</w:t>
            </w:r>
          </w:p>
        </w:tc>
        <w:tc>
          <w:tcPr>
            <w:tcW w:w="1842" w:type="dxa"/>
            <w:shd w:val="clear" w:color="000000" w:fill="FFFFFF"/>
            <w:hideMark/>
          </w:tcPr>
          <w:p w14:paraId="75169D61" w14:textId="77777777" w:rsidR="00A775DB" w:rsidRPr="00B0658A" w:rsidRDefault="00A775DB" w:rsidP="004F1366">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79" w:type="dxa"/>
            <w:vAlign w:val="center"/>
          </w:tcPr>
          <w:p w14:paraId="7FA07AE9"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auto" w:fill="auto"/>
            <w:vAlign w:val="center"/>
            <w:hideMark/>
          </w:tcPr>
          <w:p w14:paraId="4A983368"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auto" w:fill="auto"/>
            <w:vAlign w:val="center"/>
            <w:hideMark/>
          </w:tcPr>
          <w:p w14:paraId="4BF8F2E0"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auto" w:fill="auto"/>
            <w:vAlign w:val="center"/>
            <w:hideMark/>
          </w:tcPr>
          <w:p w14:paraId="288A49E7" w14:textId="77777777" w:rsidR="00A775DB" w:rsidRPr="00B0658A" w:rsidRDefault="00A775DB" w:rsidP="004F1366">
            <w:pPr>
              <w:spacing w:after="0" w:line="240" w:lineRule="auto"/>
              <w:jc w:val="center"/>
              <w:rPr>
                <w:rFonts w:ascii="Times New Roman" w:hAnsi="Times New Roman"/>
                <w:sz w:val="18"/>
                <w:szCs w:val="18"/>
              </w:rPr>
            </w:pPr>
          </w:p>
        </w:tc>
        <w:tc>
          <w:tcPr>
            <w:tcW w:w="992" w:type="dxa"/>
            <w:vAlign w:val="center"/>
          </w:tcPr>
          <w:p w14:paraId="5C41E42E" w14:textId="77777777" w:rsidR="00A775DB" w:rsidRPr="00B0658A" w:rsidRDefault="00A775DB" w:rsidP="004F1366">
            <w:pPr>
              <w:spacing w:after="0" w:line="240" w:lineRule="auto"/>
              <w:jc w:val="center"/>
              <w:rPr>
                <w:rFonts w:ascii="Times New Roman" w:hAnsi="Times New Roman"/>
                <w:sz w:val="18"/>
                <w:szCs w:val="18"/>
              </w:rPr>
            </w:pPr>
          </w:p>
        </w:tc>
        <w:tc>
          <w:tcPr>
            <w:tcW w:w="803" w:type="dxa"/>
            <w:shd w:val="clear" w:color="auto" w:fill="auto"/>
            <w:vAlign w:val="center"/>
            <w:hideMark/>
          </w:tcPr>
          <w:p w14:paraId="66DB9A91" w14:textId="77777777" w:rsidR="00A775DB" w:rsidRPr="00B0658A" w:rsidRDefault="00A775DB" w:rsidP="004F1366">
            <w:pPr>
              <w:spacing w:after="0" w:line="240" w:lineRule="auto"/>
              <w:jc w:val="center"/>
              <w:rPr>
                <w:rFonts w:ascii="Times New Roman" w:hAnsi="Times New Roman"/>
                <w:sz w:val="18"/>
                <w:szCs w:val="18"/>
              </w:rPr>
            </w:pPr>
          </w:p>
        </w:tc>
        <w:tc>
          <w:tcPr>
            <w:tcW w:w="803" w:type="dxa"/>
            <w:shd w:val="clear" w:color="auto" w:fill="auto"/>
            <w:vAlign w:val="center"/>
            <w:hideMark/>
          </w:tcPr>
          <w:p w14:paraId="11C58F0F" w14:textId="77777777" w:rsidR="00A775DB" w:rsidRPr="00B0658A" w:rsidRDefault="00A775DB" w:rsidP="004F1366">
            <w:pPr>
              <w:spacing w:after="0" w:line="240" w:lineRule="auto"/>
              <w:jc w:val="center"/>
              <w:rPr>
                <w:rFonts w:ascii="Times New Roman" w:hAnsi="Times New Roman"/>
                <w:sz w:val="18"/>
                <w:szCs w:val="18"/>
              </w:rPr>
            </w:pPr>
          </w:p>
        </w:tc>
        <w:tc>
          <w:tcPr>
            <w:tcW w:w="804" w:type="dxa"/>
            <w:shd w:val="clear" w:color="auto" w:fill="auto"/>
            <w:vAlign w:val="center"/>
            <w:hideMark/>
          </w:tcPr>
          <w:p w14:paraId="630DF8E1" w14:textId="77777777" w:rsidR="00A775DB" w:rsidRPr="00B0658A" w:rsidRDefault="00A775DB" w:rsidP="004F1366">
            <w:pPr>
              <w:spacing w:after="0" w:line="240" w:lineRule="auto"/>
              <w:jc w:val="center"/>
              <w:rPr>
                <w:rFonts w:ascii="Times New Roman" w:hAnsi="Times New Roman"/>
                <w:sz w:val="18"/>
                <w:szCs w:val="18"/>
              </w:rPr>
            </w:pPr>
          </w:p>
        </w:tc>
        <w:tc>
          <w:tcPr>
            <w:tcW w:w="1530" w:type="dxa"/>
            <w:vAlign w:val="center"/>
          </w:tcPr>
          <w:p w14:paraId="2A11C60D" w14:textId="77777777" w:rsidR="00A775DB" w:rsidRPr="00B0658A" w:rsidRDefault="00A775DB" w:rsidP="004F1366">
            <w:pPr>
              <w:spacing w:after="0" w:line="240" w:lineRule="auto"/>
              <w:jc w:val="center"/>
              <w:rPr>
                <w:rFonts w:ascii="Times New Roman" w:hAnsi="Times New Roman"/>
                <w:sz w:val="18"/>
                <w:szCs w:val="18"/>
              </w:rPr>
            </w:pPr>
          </w:p>
        </w:tc>
      </w:tr>
      <w:tr w:rsidR="00F52FED" w:rsidRPr="00B0658A" w14:paraId="4B6D3B46" w14:textId="77777777" w:rsidTr="004F1366">
        <w:trPr>
          <w:trHeight w:val="20"/>
        </w:trPr>
        <w:tc>
          <w:tcPr>
            <w:tcW w:w="578" w:type="dxa"/>
            <w:shd w:val="clear" w:color="000000" w:fill="FFFFFF"/>
            <w:vAlign w:val="center"/>
          </w:tcPr>
          <w:p w14:paraId="01D62488" w14:textId="77777777" w:rsidR="00A775DB" w:rsidRPr="00B0658A" w:rsidRDefault="00A775DB" w:rsidP="004F1366">
            <w:pPr>
              <w:spacing w:after="0" w:line="240" w:lineRule="auto"/>
              <w:jc w:val="center"/>
              <w:rPr>
                <w:rFonts w:ascii="Times New Roman" w:hAnsi="Times New Roman"/>
                <w:sz w:val="18"/>
                <w:szCs w:val="18"/>
              </w:rPr>
            </w:pPr>
            <w:r w:rsidRPr="00B0658A">
              <w:rPr>
                <w:rFonts w:ascii="Times New Roman" w:hAnsi="Times New Roman"/>
                <w:sz w:val="18"/>
                <w:szCs w:val="18"/>
              </w:rPr>
              <w:t>5.2</w:t>
            </w:r>
          </w:p>
        </w:tc>
        <w:tc>
          <w:tcPr>
            <w:tcW w:w="3812" w:type="dxa"/>
            <w:shd w:val="clear" w:color="auto" w:fill="auto"/>
            <w:vAlign w:val="center"/>
            <w:hideMark/>
          </w:tcPr>
          <w:p w14:paraId="0F44388C" w14:textId="77777777" w:rsidR="00A775DB" w:rsidRPr="00B0658A" w:rsidRDefault="00A775DB" w:rsidP="004F1366">
            <w:pPr>
              <w:spacing w:after="0" w:line="240" w:lineRule="auto"/>
              <w:rPr>
                <w:rFonts w:ascii="Times New Roman" w:hAnsi="Times New Roman"/>
                <w:sz w:val="18"/>
                <w:szCs w:val="18"/>
              </w:rPr>
            </w:pPr>
            <w:r w:rsidRPr="00B0658A">
              <w:rPr>
                <w:rFonts w:ascii="Times New Roman" w:hAnsi="Times New Roman"/>
                <w:sz w:val="18"/>
                <w:szCs w:val="18"/>
              </w:rPr>
              <w:t>Прикладное программное обеспечение/ Дополнительные программные модули (плагины)</w:t>
            </w:r>
          </w:p>
        </w:tc>
        <w:tc>
          <w:tcPr>
            <w:tcW w:w="1842" w:type="dxa"/>
            <w:shd w:val="clear" w:color="000000" w:fill="FFFFFF"/>
            <w:hideMark/>
          </w:tcPr>
          <w:p w14:paraId="4739FCBF" w14:textId="77777777" w:rsidR="00A775DB" w:rsidRPr="00B0658A" w:rsidRDefault="00A775DB" w:rsidP="004F1366">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79" w:type="dxa"/>
            <w:shd w:val="clear" w:color="000000" w:fill="FFFFFF"/>
            <w:vAlign w:val="center"/>
          </w:tcPr>
          <w:p w14:paraId="16A20A79"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000000" w:fill="FFFFFF"/>
            <w:vAlign w:val="center"/>
            <w:hideMark/>
          </w:tcPr>
          <w:p w14:paraId="61788AB0"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000000" w:fill="FFFFFF"/>
            <w:vAlign w:val="center"/>
            <w:hideMark/>
          </w:tcPr>
          <w:p w14:paraId="686D6DC2"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000000" w:fill="FFFFFF"/>
            <w:vAlign w:val="center"/>
            <w:hideMark/>
          </w:tcPr>
          <w:p w14:paraId="491893ED" w14:textId="77777777" w:rsidR="00A775DB" w:rsidRPr="00B0658A" w:rsidRDefault="00A775DB" w:rsidP="004F1366">
            <w:pPr>
              <w:spacing w:after="0" w:line="240" w:lineRule="auto"/>
              <w:jc w:val="center"/>
              <w:rPr>
                <w:rFonts w:ascii="Times New Roman" w:hAnsi="Times New Roman"/>
                <w:sz w:val="18"/>
                <w:szCs w:val="18"/>
              </w:rPr>
            </w:pPr>
          </w:p>
        </w:tc>
        <w:tc>
          <w:tcPr>
            <w:tcW w:w="992" w:type="dxa"/>
            <w:shd w:val="clear" w:color="000000" w:fill="FFFFFF"/>
            <w:vAlign w:val="center"/>
          </w:tcPr>
          <w:p w14:paraId="4EEFCCE1" w14:textId="77777777" w:rsidR="00A775DB" w:rsidRPr="00B0658A" w:rsidRDefault="00A775DB" w:rsidP="004F1366">
            <w:pPr>
              <w:spacing w:after="0" w:line="240" w:lineRule="auto"/>
              <w:jc w:val="center"/>
              <w:rPr>
                <w:rFonts w:ascii="Times New Roman" w:hAnsi="Times New Roman"/>
                <w:sz w:val="18"/>
                <w:szCs w:val="18"/>
              </w:rPr>
            </w:pPr>
          </w:p>
        </w:tc>
        <w:tc>
          <w:tcPr>
            <w:tcW w:w="803" w:type="dxa"/>
            <w:shd w:val="clear" w:color="000000" w:fill="FFFFFF"/>
            <w:vAlign w:val="center"/>
            <w:hideMark/>
          </w:tcPr>
          <w:p w14:paraId="6093AF26" w14:textId="77777777" w:rsidR="00A775DB" w:rsidRPr="00B0658A" w:rsidRDefault="00A775DB" w:rsidP="004F1366">
            <w:pPr>
              <w:spacing w:after="0" w:line="240" w:lineRule="auto"/>
              <w:jc w:val="center"/>
              <w:rPr>
                <w:rFonts w:ascii="Times New Roman" w:hAnsi="Times New Roman"/>
                <w:sz w:val="18"/>
                <w:szCs w:val="18"/>
              </w:rPr>
            </w:pPr>
          </w:p>
        </w:tc>
        <w:tc>
          <w:tcPr>
            <w:tcW w:w="803" w:type="dxa"/>
            <w:shd w:val="clear" w:color="000000" w:fill="FFFFFF"/>
            <w:vAlign w:val="center"/>
            <w:hideMark/>
          </w:tcPr>
          <w:p w14:paraId="1CB335B9" w14:textId="77777777" w:rsidR="00A775DB" w:rsidRPr="00B0658A" w:rsidRDefault="00A775DB" w:rsidP="004F1366">
            <w:pPr>
              <w:spacing w:after="0" w:line="240" w:lineRule="auto"/>
              <w:jc w:val="center"/>
              <w:rPr>
                <w:rFonts w:ascii="Times New Roman" w:hAnsi="Times New Roman"/>
                <w:sz w:val="18"/>
                <w:szCs w:val="18"/>
              </w:rPr>
            </w:pPr>
          </w:p>
        </w:tc>
        <w:tc>
          <w:tcPr>
            <w:tcW w:w="804" w:type="dxa"/>
            <w:shd w:val="clear" w:color="000000" w:fill="FFFFFF"/>
            <w:vAlign w:val="center"/>
            <w:hideMark/>
          </w:tcPr>
          <w:p w14:paraId="2220C9C8" w14:textId="77777777" w:rsidR="00A775DB" w:rsidRPr="00B0658A" w:rsidRDefault="00A775DB" w:rsidP="004F1366">
            <w:pPr>
              <w:spacing w:after="0" w:line="240" w:lineRule="auto"/>
              <w:jc w:val="center"/>
              <w:rPr>
                <w:rFonts w:ascii="Times New Roman" w:hAnsi="Times New Roman"/>
                <w:sz w:val="18"/>
                <w:szCs w:val="18"/>
              </w:rPr>
            </w:pPr>
          </w:p>
        </w:tc>
        <w:tc>
          <w:tcPr>
            <w:tcW w:w="1530" w:type="dxa"/>
            <w:shd w:val="clear" w:color="000000" w:fill="FFFFFF"/>
            <w:vAlign w:val="center"/>
          </w:tcPr>
          <w:p w14:paraId="5EE9D3BF" w14:textId="77777777" w:rsidR="00A775DB" w:rsidRPr="00B0658A" w:rsidRDefault="00A775DB" w:rsidP="004F1366">
            <w:pPr>
              <w:spacing w:after="0" w:line="240" w:lineRule="auto"/>
              <w:jc w:val="center"/>
              <w:rPr>
                <w:rFonts w:ascii="Times New Roman" w:hAnsi="Times New Roman"/>
                <w:sz w:val="18"/>
                <w:szCs w:val="18"/>
              </w:rPr>
            </w:pPr>
          </w:p>
        </w:tc>
      </w:tr>
      <w:tr w:rsidR="00F52FED" w:rsidRPr="00B0658A" w14:paraId="4CFF078D" w14:textId="77777777" w:rsidTr="004F1366">
        <w:trPr>
          <w:trHeight w:val="20"/>
        </w:trPr>
        <w:tc>
          <w:tcPr>
            <w:tcW w:w="578" w:type="dxa"/>
            <w:shd w:val="clear" w:color="000000" w:fill="FFFFFF"/>
            <w:vAlign w:val="center"/>
          </w:tcPr>
          <w:p w14:paraId="3887D40E" w14:textId="77777777" w:rsidR="00A775DB" w:rsidRPr="00B0658A" w:rsidRDefault="00A775DB" w:rsidP="004F1366">
            <w:pPr>
              <w:spacing w:after="0" w:line="240" w:lineRule="auto"/>
              <w:jc w:val="center"/>
              <w:rPr>
                <w:rFonts w:ascii="Times New Roman" w:hAnsi="Times New Roman"/>
                <w:sz w:val="18"/>
                <w:szCs w:val="18"/>
              </w:rPr>
            </w:pPr>
            <w:r w:rsidRPr="00B0658A">
              <w:rPr>
                <w:rFonts w:ascii="Times New Roman" w:hAnsi="Times New Roman"/>
                <w:sz w:val="18"/>
                <w:szCs w:val="18"/>
              </w:rPr>
              <w:t>5.3</w:t>
            </w:r>
          </w:p>
        </w:tc>
        <w:tc>
          <w:tcPr>
            <w:tcW w:w="3812" w:type="dxa"/>
            <w:shd w:val="clear" w:color="auto" w:fill="auto"/>
            <w:vAlign w:val="center"/>
            <w:hideMark/>
          </w:tcPr>
          <w:p w14:paraId="4DDEFEF1" w14:textId="77777777" w:rsidR="00A775DB" w:rsidRPr="00B0658A" w:rsidRDefault="00A775DB" w:rsidP="004F1366">
            <w:pPr>
              <w:spacing w:after="0" w:line="240" w:lineRule="auto"/>
              <w:rPr>
                <w:rFonts w:ascii="Times New Roman" w:hAnsi="Times New Roman"/>
                <w:sz w:val="18"/>
                <w:szCs w:val="18"/>
              </w:rPr>
            </w:pPr>
            <w:r w:rsidRPr="00B0658A">
              <w:rPr>
                <w:rFonts w:ascii="Times New Roman" w:hAnsi="Times New Roman"/>
                <w:sz w:val="18"/>
                <w:szCs w:val="18"/>
              </w:rPr>
              <w:t>Прикладное программное обеспечение/ Игры и развлечения</w:t>
            </w:r>
          </w:p>
        </w:tc>
        <w:tc>
          <w:tcPr>
            <w:tcW w:w="1842" w:type="dxa"/>
            <w:shd w:val="clear" w:color="000000" w:fill="FFFFFF"/>
            <w:hideMark/>
          </w:tcPr>
          <w:p w14:paraId="7EE745EE" w14:textId="77777777" w:rsidR="00A775DB" w:rsidRPr="00B0658A" w:rsidRDefault="00A775DB" w:rsidP="004F1366">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79" w:type="dxa"/>
            <w:shd w:val="clear" w:color="000000" w:fill="FFFFFF"/>
            <w:vAlign w:val="center"/>
          </w:tcPr>
          <w:p w14:paraId="0972A843"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000000" w:fill="FFFFFF"/>
            <w:vAlign w:val="center"/>
            <w:hideMark/>
          </w:tcPr>
          <w:p w14:paraId="0EADBBEE"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000000" w:fill="FFFFFF"/>
            <w:vAlign w:val="center"/>
            <w:hideMark/>
          </w:tcPr>
          <w:p w14:paraId="3A0F45AB"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000000" w:fill="FFFFFF"/>
            <w:vAlign w:val="center"/>
            <w:hideMark/>
          </w:tcPr>
          <w:p w14:paraId="76F09167" w14:textId="77777777" w:rsidR="00A775DB" w:rsidRPr="00B0658A" w:rsidRDefault="00A775DB" w:rsidP="004F1366">
            <w:pPr>
              <w:spacing w:after="0" w:line="240" w:lineRule="auto"/>
              <w:jc w:val="center"/>
              <w:rPr>
                <w:rFonts w:ascii="Times New Roman" w:hAnsi="Times New Roman"/>
                <w:sz w:val="18"/>
                <w:szCs w:val="18"/>
              </w:rPr>
            </w:pPr>
          </w:p>
        </w:tc>
        <w:tc>
          <w:tcPr>
            <w:tcW w:w="992" w:type="dxa"/>
            <w:shd w:val="clear" w:color="000000" w:fill="FFFFFF"/>
            <w:vAlign w:val="center"/>
          </w:tcPr>
          <w:p w14:paraId="060705EC" w14:textId="77777777" w:rsidR="00A775DB" w:rsidRPr="00B0658A" w:rsidRDefault="00A775DB" w:rsidP="004F1366">
            <w:pPr>
              <w:spacing w:after="0" w:line="240" w:lineRule="auto"/>
              <w:jc w:val="center"/>
              <w:rPr>
                <w:rFonts w:ascii="Times New Roman" w:hAnsi="Times New Roman"/>
                <w:sz w:val="18"/>
                <w:szCs w:val="18"/>
              </w:rPr>
            </w:pPr>
          </w:p>
        </w:tc>
        <w:tc>
          <w:tcPr>
            <w:tcW w:w="803" w:type="dxa"/>
            <w:shd w:val="clear" w:color="000000" w:fill="FFFFFF"/>
            <w:vAlign w:val="center"/>
            <w:hideMark/>
          </w:tcPr>
          <w:p w14:paraId="567AD89E" w14:textId="77777777" w:rsidR="00A775DB" w:rsidRPr="00B0658A" w:rsidRDefault="00A775DB" w:rsidP="004F1366">
            <w:pPr>
              <w:spacing w:after="0" w:line="240" w:lineRule="auto"/>
              <w:jc w:val="center"/>
              <w:rPr>
                <w:rFonts w:ascii="Times New Roman" w:hAnsi="Times New Roman"/>
                <w:sz w:val="18"/>
                <w:szCs w:val="18"/>
              </w:rPr>
            </w:pPr>
          </w:p>
        </w:tc>
        <w:tc>
          <w:tcPr>
            <w:tcW w:w="803" w:type="dxa"/>
            <w:shd w:val="clear" w:color="000000" w:fill="FFFFFF"/>
            <w:vAlign w:val="center"/>
            <w:hideMark/>
          </w:tcPr>
          <w:p w14:paraId="41D513D8" w14:textId="77777777" w:rsidR="00A775DB" w:rsidRPr="00B0658A" w:rsidRDefault="00A775DB" w:rsidP="004F1366">
            <w:pPr>
              <w:spacing w:after="0" w:line="240" w:lineRule="auto"/>
              <w:jc w:val="center"/>
              <w:rPr>
                <w:rFonts w:ascii="Times New Roman" w:hAnsi="Times New Roman"/>
                <w:sz w:val="18"/>
                <w:szCs w:val="18"/>
              </w:rPr>
            </w:pPr>
          </w:p>
        </w:tc>
        <w:tc>
          <w:tcPr>
            <w:tcW w:w="804" w:type="dxa"/>
            <w:shd w:val="clear" w:color="000000" w:fill="FFFFFF"/>
            <w:vAlign w:val="center"/>
            <w:hideMark/>
          </w:tcPr>
          <w:p w14:paraId="26671545" w14:textId="77777777" w:rsidR="00A775DB" w:rsidRPr="00B0658A" w:rsidRDefault="00A775DB" w:rsidP="004F1366">
            <w:pPr>
              <w:spacing w:after="0" w:line="240" w:lineRule="auto"/>
              <w:jc w:val="center"/>
              <w:rPr>
                <w:rFonts w:ascii="Times New Roman" w:hAnsi="Times New Roman"/>
                <w:sz w:val="18"/>
                <w:szCs w:val="18"/>
              </w:rPr>
            </w:pPr>
          </w:p>
        </w:tc>
        <w:tc>
          <w:tcPr>
            <w:tcW w:w="1530" w:type="dxa"/>
            <w:shd w:val="clear" w:color="000000" w:fill="FFFFFF"/>
            <w:vAlign w:val="center"/>
          </w:tcPr>
          <w:p w14:paraId="5BA7BCB3" w14:textId="77777777" w:rsidR="00A775DB" w:rsidRPr="00B0658A" w:rsidRDefault="00A775DB" w:rsidP="004F1366">
            <w:pPr>
              <w:spacing w:after="0" w:line="240" w:lineRule="auto"/>
              <w:jc w:val="center"/>
              <w:rPr>
                <w:rFonts w:ascii="Times New Roman" w:hAnsi="Times New Roman"/>
                <w:sz w:val="18"/>
                <w:szCs w:val="18"/>
              </w:rPr>
            </w:pPr>
          </w:p>
        </w:tc>
      </w:tr>
      <w:tr w:rsidR="00F52FED" w:rsidRPr="00B0658A" w14:paraId="6C44D8A9" w14:textId="77777777" w:rsidTr="004F1366">
        <w:trPr>
          <w:trHeight w:val="20"/>
        </w:trPr>
        <w:tc>
          <w:tcPr>
            <w:tcW w:w="578" w:type="dxa"/>
            <w:shd w:val="clear" w:color="000000" w:fill="FFFFFF"/>
            <w:vAlign w:val="center"/>
          </w:tcPr>
          <w:p w14:paraId="6ED194F8" w14:textId="77777777" w:rsidR="00A775DB" w:rsidRPr="00B0658A" w:rsidRDefault="00A775DB" w:rsidP="004F1366">
            <w:pPr>
              <w:spacing w:after="0" w:line="240" w:lineRule="auto"/>
              <w:jc w:val="center"/>
              <w:rPr>
                <w:rFonts w:ascii="Times New Roman" w:hAnsi="Times New Roman"/>
                <w:sz w:val="18"/>
                <w:szCs w:val="18"/>
              </w:rPr>
            </w:pPr>
            <w:r w:rsidRPr="00B0658A">
              <w:rPr>
                <w:rFonts w:ascii="Times New Roman" w:hAnsi="Times New Roman"/>
                <w:sz w:val="18"/>
                <w:szCs w:val="18"/>
              </w:rPr>
              <w:t>5.4</w:t>
            </w:r>
          </w:p>
        </w:tc>
        <w:tc>
          <w:tcPr>
            <w:tcW w:w="3812" w:type="dxa"/>
            <w:shd w:val="clear" w:color="auto" w:fill="auto"/>
            <w:vAlign w:val="center"/>
            <w:hideMark/>
          </w:tcPr>
          <w:p w14:paraId="794CEBBF" w14:textId="77777777" w:rsidR="00A775DB" w:rsidRPr="00B0658A" w:rsidRDefault="00A775DB" w:rsidP="004F1366">
            <w:pPr>
              <w:spacing w:after="0" w:line="240" w:lineRule="auto"/>
              <w:rPr>
                <w:rFonts w:ascii="Times New Roman" w:hAnsi="Times New Roman"/>
                <w:sz w:val="18"/>
                <w:szCs w:val="18"/>
              </w:rPr>
            </w:pPr>
            <w:r w:rsidRPr="00B0658A">
              <w:rPr>
                <w:rFonts w:ascii="Times New Roman" w:hAnsi="Times New Roman"/>
                <w:sz w:val="18"/>
                <w:szCs w:val="18"/>
              </w:rPr>
              <w:t>Прикладное программное обеспечение/ Поисковые средства</w:t>
            </w:r>
          </w:p>
        </w:tc>
        <w:tc>
          <w:tcPr>
            <w:tcW w:w="1842" w:type="dxa"/>
            <w:shd w:val="clear" w:color="000000" w:fill="FFFFFF"/>
            <w:hideMark/>
          </w:tcPr>
          <w:p w14:paraId="16FCEFC2" w14:textId="77777777" w:rsidR="00A775DB" w:rsidRPr="00B0658A" w:rsidRDefault="00A775DB" w:rsidP="004F1366">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79" w:type="dxa"/>
            <w:shd w:val="clear" w:color="000000" w:fill="FFFFFF"/>
            <w:vAlign w:val="center"/>
          </w:tcPr>
          <w:p w14:paraId="00869237"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000000" w:fill="FFFFFF"/>
            <w:vAlign w:val="center"/>
            <w:hideMark/>
          </w:tcPr>
          <w:p w14:paraId="45A3E5F4"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000000" w:fill="FFFFFF"/>
            <w:vAlign w:val="center"/>
            <w:hideMark/>
          </w:tcPr>
          <w:p w14:paraId="3BB98E4B"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000000" w:fill="FFFFFF"/>
            <w:vAlign w:val="center"/>
            <w:hideMark/>
          </w:tcPr>
          <w:p w14:paraId="5894B194" w14:textId="77777777" w:rsidR="00A775DB" w:rsidRPr="00B0658A" w:rsidRDefault="00A775DB" w:rsidP="004F1366">
            <w:pPr>
              <w:spacing w:after="0" w:line="240" w:lineRule="auto"/>
              <w:jc w:val="center"/>
              <w:rPr>
                <w:rFonts w:ascii="Times New Roman" w:hAnsi="Times New Roman"/>
                <w:sz w:val="18"/>
                <w:szCs w:val="18"/>
              </w:rPr>
            </w:pPr>
          </w:p>
        </w:tc>
        <w:tc>
          <w:tcPr>
            <w:tcW w:w="992" w:type="dxa"/>
            <w:shd w:val="clear" w:color="000000" w:fill="FFFFFF"/>
            <w:vAlign w:val="center"/>
          </w:tcPr>
          <w:p w14:paraId="5B6D6EE7" w14:textId="77777777" w:rsidR="00A775DB" w:rsidRPr="00B0658A" w:rsidRDefault="00A775DB" w:rsidP="004F1366">
            <w:pPr>
              <w:spacing w:after="0" w:line="240" w:lineRule="auto"/>
              <w:jc w:val="center"/>
              <w:rPr>
                <w:rFonts w:ascii="Times New Roman" w:hAnsi="Times New Roman"/>
                <w:sz w:val="18"/>
                <w:szCs w:val="18"/>
              </w:rPr>
            </w:pPr>
          </w:p>
        </w:tc>
        <w:tc>
          <w:tcPr>
            <w:tcW w:w="803" w:type="dxa"/>
            <w:shd w:val="clear" w:color="000000" w:fill="FFFFFF"/>
            <w:vAlign w:val="center"/>
            <w:hideMark/>
          </w:tcPr>
          <w:p w14:paraId="10448297" w14:textId="77777777" w:rsidR="00A775DB" w:rsidRPr="00B0658A" w:rsidRDefault="00A775DB" w:rsidP="004F1366">
            <w:pPr>
              <w:spacing w:after="0" w:line="240" w:lineRule="auto"/>
              <w:jc w:val="center"/>
              <w:rPr>
                <w:rFonts w:ascii="Times New Roman" w:hAnsi="Times New Roman"/>
                <w:sz w:val="18"/>
                <w:szCs w:val="18"/>
              </w:rPr>
            </w:pPr>
          </w:p>
        </w:tc>
        <w:tc>
          <w:tcPr>
            <w:tcW w:w="803" w:type="dxa"/>
            <w:shd w:val="clear" w:color="000000" w:fill="FFFFFF"/>
            <w:vAlign w:val="center"/>
            <w:hideMark/>
          </w:tcPr>
          <w:p w14:paraId="2F529932" w14:textId="77777777" w:rsidR="00A775DB" w:rsidRPr="00B0658A" w:rsidRDefault="00A775DB" w:rsidP="004F1366">
            <w:pPr>
              <w:spacing w:after="0" w:line="240" w:lineRule="auto"/>
              <w:jc w:val="center"/>
              <w:rPr>
                <w:rFonts w:ascii="Times New Roman" w:hAnsi="Times New Roman"/>
                <w:sz w:val="18"/>
                <w:szCs w:val="18"/>
              </w:rPr>
            </w:pPr>
          </w:p>
        </w:tc>
        <w:tc>
          <w:tcPr>
            <w:tcW w:w="804" w:type="dxa"/>
            <w:shd w:val="clear" w:color="000000" w:fill="FFFFFF"/>
            <w:vAlign w:val="center"/>
            <w:hideMark/>
          </w:tcPr>
          <w:p w14:paraId="0ECBF1CD" w14:textId="77777777" w:rsidR="00A775DB" w:rsidRPr="00B0658A" w:rsidRDefault="00A775DB" w:rsidP="004F1366">
            <w:pPr>
              <w:spacing w:after="0" w:line="240" w:lineRule="auto"/>
              <w:jc w:val="center"/>
              <w:rPr>
                <w:rFonts w:ascii="Times New Roman" w:hAnsi="Times New Roman"/>
                <w:sz w:val="18"/>
                <w:szCs w:val="18"/>
              </w:rPr>
            </w:pPr>
          </w:p>
        </w:tc>
        <w:tc>
          <w:tcPr>
            <w:tcW w:w="1530" w:type="dxa"/>
            <w:shd w:val="clear" w:color="000000" w:fill="FFFFFF"/>
            <w:vAlign w:val="center"/>
          </w:tcPr>
          <w:p w14:paraId="410808C2" w14:textId="77777777" w:rsidR="00A775DB" w:rsidRPr="00B0658A" w:rsidRDefault="00A775DB" w:rsidP="004F1366">
            <w:pPr>
              <w:spacing w:after="0" w:line="240" w:lineRule="auto"/>
              <w:jc w:val="center"/>
              <w:rPr>
                <w:rFonts w:ascii="Times New Roman" w:hAnsi="Times New Roman"/>
                <w:sz w:val="18"/>
                <w:szCs w:val="18"/>
              </w:rPr>
            </w:pPr>
          </w:p>
        </w:tc>
      </w:tr>
      <w:tr w:rsidR="00F52FED" w:rsidRPr="00B0658A" w14:paraId="355DDF6E" w14:textId="77777777" w:rsidTr="004F1366">
        <w:trPr>
          <w:trHeight w:val="20"/>
        </w:trPr>
        <w:tc>
          <w:tcPr>
            <w:tcW w:w="578" w:type="dxa"/>
            <w:shd w:val="clear" w:color="000000" w:fill="FFFFFF"/>
            <w:vAlign w:val="center"/>
          </w:tcPr>
          <w:p w14:paraId="2838B199" w14:textId="77777777" w:rsidR="00A775DB" w:rsidRPr="00B0658A" w:rsidRDefault="00A775DB" w:rsidP="004F1366">
            <w:pPr>
              <w:spacing w:after="0" w:line="240" w:lineRule="auto"/>
              <w:jc w:val="center"/>
              <w:rPr>
                <w:rFonts w:ascii="Times New Roman" w:hAnsi="Times New Roman"/>
                <w:sz w:val="18"/>
                <w:szCs w:val="18"/>
              </w:rPr>
            </w:pPr>
            <w:r w:rsidRPr="00B0658A">
              <w:rPr>
                <w:rFonts w:ascii="Times New Roman" w:hAnsi="Times New Roman"/>
                <w:sz w:val="18"/>
                <w:szCs w:val="18"/>
              </w:rPr>
              <w:t>5.5</w:t>
            </w:r>
          </w:p>
        </w:tc>
        <w:tc>
          <w:tcPr>
            <w:tcW w:w="3812" w:type="dxa"/>
            <w:shd w:val="clear" w:color="auto" w:fill="auto"/>
            <w:vAlign w:val="center"/>
            <w:hideMark/>
          </w:tcPr>
          <w:p w14:paraId="22020B22" w14:textId="77777777" w:rsidR="00A775DB" w:rsidRPr="00B0658A" w:rsidRDefault="00A775DB" w:rsidP="004F1366">
            <w:pPr>
              <w:spacing w:after="0" w:line="240" w:lineRule="auto"/>
              <w:rPr>
                <w:rFonts w:ascii="Times New Roman" w:hAnsi="Times New Roman"/>
                <w:sz w:val="18"/>
                <w:szCs w:val="18"/>
              </w:rPr>
            </w:pPr>
            <w:r w:rsidRPr="00B0658A">
              <w:rPr>
                <w:rFonts w:ascii="Times New Roman" w:hAnsi="Times New Roman"/>
                <w:sz w:val="18"/>
                <w:szCs w:val="18"/>
              </w:rPr>
              <w:t>Прикладное программное обеспечение/ Средства управления проектами</w:t>
            </w:r>
          </w:p>
        </w:tc>
        <w:tc>
          <w:tcPr>
            <w:tcW w:w="1842" w:type="dxa"/>
            <w:shd w:val="clear" w:color="000000" w:fill="FFFFFF"/>
            <w:hideMark/>
          </w:tcPr>
          <w:p w14:paraId="4371D4F1" w14:textId="77777777" w:rsidR="00A775DB" w:rsidRPr="00B0658A" w:rsidRDefault="00A775DB" w:rsidP="004F1366">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79" w:type="dxa"/>
            <w:shd w:val="clear" w:color="000000" w:fill="FFFFFF"/>
            <w:vAlign w:val="center"/>
          </w:tcPr>
          <w:p w14:paraId="0103073C"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000000" w:fill="FFFFFF"/>
            <w:vAlign w:val="center"/>
            <w:hideMark/>
          </w:tcPr>
          <w:p w14:paraId="6C392890"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000000" w:fill="FFFFFF"/>
            <w:vAlign w:val="center"/>
            <w:hideMark/>
          </w:tcPr>
          <w:p w14:paraId="67D61D1D"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000000" w:fill="FFFFFF"/>
            <w:vAlign w:val="center"/>
            <w:hideMark/>
          </w:tcPr>
          <w:p w14:paraId="1C27D035" w14:textId="77777777" w:rsidR="00A775DB" w:rsidRPr="00B0658A" w:rsidRDefault="00A775DB" w:rsidP="004F1366">
            <w:pPr>
              <w:spacing w:after="0" w:line="240" w:lineRule="auto"/>
              <w:jc w:val="center"/>
              <w:rPr>
                <w:rFonts w:ascii="Times New Roman" w:hAnsi="Times New Roman"/>
                <w:sz w:val="18"/>
                <w:szCs w:val="18"/>
              </w:rPr>
            </w:pPr>
          </w:p>
        </w:tc>
        <w:tc>
          <w:tcPr>
            <w:tcW w:w="992" w:type="dxa"/>
            <w:shd w:val="clear" w:color="000000" w:fill="FFFFFF"/>
            <w:vAlign w:val="center"/>
          </w:tcPr>
          <w:p w14:paraId="3E6B3F98" w14:textId="77777777" w:rsidR="00A775DB" w:rsidRPr="00B0658A" w:rsidRDefault="00A775DB" w:rsidP="004F1366">
            <w:pPr>
              <w:spacing w:after="0" w:line="240" w:lineRule="auto"/>
              <w:jc w:val="center"/>
              <w:rPr>
                <w:rFonts w:ascii="Times New Roman" w:hAnsi="Times New Roman"/>
                <w:sz w:val="18"/>
                <w:szCs w:val="18"/>
              </w:rPr>
            </w:pPr>
          </w:p>
        </w:tc>
        <w:tc>
          <w:tcPr>
            <w:tcW w:w="803" w:type="dxa"/>
            <w:shd w:val="clear" w:color="000000" w:fill="FFFFFF"/>
            <w:vAlign w:val="center"/>
            <w:hideMark/>
          </w:tcPr>
          <w:p w14:paraId="337388DB" w14:textId="77777777" w:rsidR="00A775DB" w:rsidRPr="00B0658A" w:rsidRDefault="00A775DB" w:rsidP="004F1366">
            <w:pPr>
              <w:spacing w:after="0" w:line="240" w:lineRule="auto"/>
              <w:jc w:val="center"/>
              <w:rPr>
                <w:rFonts w:ascii="Times New Roman" w:hAnsi="Times New Roman"/>
                <w:sz w:val="18"/>
                <w:szCs w:val="18"/>
              </w:rPr>
            </w:pPr>
          </w:p>
        </w:tc>
        <w:tc>
          <w:tcPr>
            <w:tcW w:w="803" w:type="dxa"/>
            <w:shd w:val="clear" w:color="000000" w:fill="FFFFFF"/>
            <w:vAlign w:val="center"/>
            <w:hideMark/>
          </w:tcPr>
          <w:p w14:paraId="7255FCD7" w14:textId="77777777" w:rsidR="00A775DB" w:rsidRPr="00B0658A" w:rsidRDefault="00A775DB" w:rsidP="004F1366">
            <w:pPr>
              <w:spacing w:after="0" w:line="240" w:lineRule="auto"/>
              <w:jc w:val="center"/>
              <w:rPr>
                <w:rFonts w:ascii="Times New Roman" w:hAnsi="Times New Roman"/>
                <w:sz w:val="18"/>
                <w:szCs w:val="18"/>
              </w:rPr>
            </w:pPr>
          </w:p>
        </w:tc>
        <w:tc>
          <w:tcPr>
            <w:tcW w:w="804" w:type="dxa"/>
            <w:shd w:val="clear" w:color="000000" w:fill="FFFFFF"/>
            <w:vAlign w:val="center"/>
            <w:hideMark/>
          </w:tcPr>
          <w:p w14:paraId="67D1C8A7" w14:textId="77777777" w:rsidR="00A775DB" w:rsidRPr="00B0658A" w:rsidRDefault="00A775DB" w:rsidP="004F1366">
            <w:pPr>
              <w:spacing w:after="0" w:line="240" w:lineRule="auto"/>
              <w:jc w:val="center"/>
              <w:rPr>
                <w:rFonts w:ascii="Times New Roman" w:hAnsi="Times New Roman"/>
                <w:sz w:val="18"/>
                <w:szCs w:val="18"/>
              </w:rPr>
            </w:pPr>
          </w:p>
        </w:tc>
        <w:tc>
          <w:tcPr>
            <w:tcW w:w="1530" w:type="dxa"/>
            <w:shd w:val="clear" w:color="000000" w:fill="FFFFFF"/>
            <w:vAlign w:val="center"/>
          </w:tcPr>
          <w:p w14:paraId="760B94F1" w14:textId="77777777" w:rsidR="00A775DB" w:rsidRPr="00B0658A" w:rsidRDefault="00A775DB" w:rsidP="004F1366">
            <w:pPr>
              <w:spacing w:after="0" w:line="240" w:lineRule="auto"/>
              <w:jc w:val="center"/>
              <w:rPr>
                <w:rFonts w:ascii="Times New Roman" w:hAnsi="Times New Roman"/>
                <w:sz w:val="18"/>
                <w:szCs w:val="18"/>
              </w:rPr>
            </w:pPr>
          </w:p>
        </w:tc>
      </w:tr>
      <w:tr w:rsidR="00F52FED" w:rsidRPr="00B0658A" w14:paraId="6F73265A" w14:textId="77777777" w:rsidTr="004F1366">
        <w:trPr>
          <w:trHeight w:val="20"/>
        </w:trPr>
        <w:tc>
          <w:tcPr>
            <w:tcW w:w="578" w:type="dxa"/>
            <w:shd w:val="clear" w:color="000000" w:fill="FFFFFF"/>
            <w:vAlign w:val="center"/>
          </w:tcPr>
          <w:p w14:paraId="6D515ECB" w14:textId="77777777" w:rsidR="00A775DB" w:rsidRPr="00B0658A" w:rsidRDefault="00A775DB" w:rsidP="004F1366">
            <w:pPr>
              <w:spacing w:after="0" w:line="240" w:lineRule="auto"/>
              <w:jc w:val="center"/>
              <w:rPr>
                <w:rFonts w:ascii="Times New Roman" w:hAnsi="Times New Roman"/>
                <w:sz w:val="18"/>
                <w:szCs w:val="18"/>
              </w:rPr>
            </w:pPr>
            <w:r w:rsidRPr="00B0658A">
              <w:rPr>
                <w:rFonts w:ascii="Times New Roman" w:hAnsi="Times New Roman"/>
                <w:sz w:val="18"/>
                <w:szCs w:val="18"/>
              </w:rPr>
              <w:t>5.6</w:t>
            </w:r>
          </w:p>
        </w:tc>
        <w:tc>
          <w:tcPr>
            <w:tcW w:w="3812" w:type="dxa"/>
            <w:shd w:val="clear" w:color="auto" w:fill="auto"/>
            <w:vAlign w:val="center"/>
            <w:hideMark/>
          </w:tcPr>
          <w:p w14:paraId="65AE77CC" w14:textId="77777777" w:rsidR="00A775DB" w:rsidRPr="00B0658A" w:rsidRDefault="00A775DB" w:rsidP="004F1366">
            <w:pPr>
              <w:spacing w:after="0" w:line="240" w:lineRule="auto"/>
              <w:rPr>
                <w:rFonts w:ascii="Times New Roman" w:hAnsi="Times New Roman"/>
                <w:sz w:val="18"/>
                <w:szCs w:val="18"/>
              </w:rPr>
            </w:pPr>
            <w:r w:rsidRPr="00B0658A">
              <w:rPr>
                <w:rFonts w:ascii="Times New Roman" w:hAnsi="Times New Roman"/>
                <w:sz w:val="18"/>
                <w:szCs w:val="18"/>
              </w:rPr>
              <w:t>Прикладное программное обеспечение/ Геоинформационные и навигационные средства (GIS)</w:t>
            </w:r>
          </w:p>
        </w:tc>
        <w:tc>
          <w:tcPr>
            <w:tcW w:w="1842" w:type="dxa"/>
            <w:shd w:val="clear" w:color="000000" w:fill="FFFFFF"/>
            <w:hideMark/>
          </w:tcPr>
          <w:p w14:paraId="7136B63B" w14:textId="77777777" w:rsidR="00A775DB" w:rsidRPr="00B0658A" w:rsidRDefault="00A775DB" w:rsidP="004F1366">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79" w:type="dxa"/>
            <w:shd w:val="clear" w:color="000000" w:fill="FFFFFF"/>
            <w:vAlign w:val="center"/>
          </w:tcPr>
          <w:p w14:paraId="5AF9EF91"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000000" w:fill="FFFFFF"/>
            <w:vAlign w:val="center"/>
            <w:hideMark/>
          </w:tcPr>
          <w:p w14:paraId="41686A83"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000000" w:fill="FFFFFF"/>
            <w:vAlign w:val="center"/>
            <w:hideMark/>
          </w:tcPr>
          <w:p w14:paraId="5DCAFF73"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000000" w:fill="FFFFFF"/>
            <w:vAlign w:val="center"/>
            <w:hideMark/>
          </w:tcPr>
          <w:p w14:paraId="4FB6D324" w14:textId="77777777" w:rsidR="00A775DB" w:rsidRPr="00B0658A" w:rsidRDefault="00A775DB" w:rsidP="004F1366">
            <w:pPr>
              <w:spacing w:after="0" w:line="240" w:lineRule="auto"/>
              <w:jc w:val="center"/>
              <w:rPr>
                <w:rFonts w:ascii="Times New Roman" w:hAnsi="Times New Roman"/>
                <w:sz w:val="18"/>
                <w:szCs w:val="18"/>
              </w:rPr>
            </w:pPr>
          </w:p>
        </w:tc>
        <w:tc>
          <w:tcPr>
            <w:tcW w:w="992" w:type="dxa"/>
            <w:shd w:val="clear" w:color="000000" w:fill="FFFFFF"/>
            <w:vAlign w:val="center"/>
          </w:tcPr>
          <w:p w14:paraId="33CEE94A" w14:textId="77777777" w:rsidR="00A775DB" w:rsidRPr="00B0658A" w:rsidRDefault="00A775DB" w:rsidP="004F1366">
            <w:pPr>
              <w:spacing w:after="0" w:line="240" w:lineRule="auto"/>
              <w:jc w:val="center"/>
              <w:rPr>
                <w:rFonts w:ascii="Times New Roman" w:hAnsi="Times New Roman"/>
                <w:sz w:val="18"/>
                <w:szCs w:val="18"/>
              </w:rPr>
            </w:pPr>
          </w:p>
        </w:tc>
        <w:tc>
          <w:tcPr>
            <w:tcW w:w="803" w:type="dxa"/>
            <w:shd w:val="clear" w:color="000000" w:fill="FFFFFF"/>
            <w:vAlign w:val="center"/>
            <w:hideMark/>
          </w:tcPr>
          <w:p w14:paraId="23D8943A" w14:textId="77777777" w:rsidR="00A775DB" w:rsidRPr="00B0658A" w:rsidRDefault="00A775DB" w:rsidP="004F1366">
            <w:pPr>
              <w:spacing w:after="0" w:line="240" w:lineRule="auto"/>
              <w:jc w:val="center"/>
              <w:rPr>
                <w:rFonts w:ascii="Times New Roman" w:hAnsi="Times New Roman"/>
                <w:sz w:val="18"/>
                <w:szCs w:val="18"/>
              </w:rPr>
            </w:pPr>
          </w:p>
        </w:tc>
        <w:tc>
          <w:tcPr>
            <w:tcW w:w="803" w:type="dxa"/>
            <w:shd w:val="clear" w:color="000000" w:fill="FFFFFF"/>
            <w:vAlign w:val="center"/>
            <w:hideMark/>
          </w:tcPr>
          <w:p w14:paraId="46BB2E77" w14:textId="77777777" w:rsidR="00A775DB" w:rsidRPr="00B0658A" w:rsidRDefault="00A775DB" w:rsidP="004F1366">
            <w:pPr>
              <w:spacing w:after="0" w:line="240" w:lineRule="auto"/>
              <w:jc w:val="center"/>
              <w:rPr>
                <w:rFonts w:ascii="Times New Roman" w:hAnsi="Times New Roman"/>
                <w:sz w:val="18"/>
                <w:szCs w:val="18"/>
              </w:rPr>
            </w:pPr>
          </w:p>
        </w:tc>
        <w:tc>
          <w:tcPr>
            <w:tcW w:w="804" w:type="dxa"/>
            <w:shd w:val="clear" w:color="000000" w:fill="FFFFFF"/>
            <w:vAlign w:val="center"/>
            <w:hideMark/>
          </w:tcPr>
          <w:p w14:paraId="15F26A51" w14:textId="77777777" w:rsidR="00A775DB" w:rsidRPr="00B0658A" w:rsidRDefault="00A775DB" w:rsidP="004F1366">
            <w:pPr>
              <w:spacing w:after="0" w:line="240" w:lineRule="auto"/>
              <w:jc w:val="center"/>
              <w:rPr>
                <w:rFonts w:ascii="Times New Roman" w:hAnsi="Times New Roman"/>
                <w:sz w:val="18"/>
                <w:szCs w:val="18"/>
              </w:rPr>
            </w:pPr>
          </w:p>
        </w:tc>
        <w:tc>
          <w:tcPr>
            <w:tcW w:w="1530" w:type="dxa"/>
            <w:shd w:val="clear" w:color="000000" w:fill="FFFFFF"/>
            <w:vAlign w:val="center"/>
          </w:tcPr>
          <w:p w14:paraId="0FE56C29" w14:textId="77777777" w:rsidR="00A775DB" w:rsidRPr="00B0658A" w:rsidRDefault="00A775DB" w:rsidP="004F1366">
            <w:pPr>
              <w:spacing w:after="0" w:line="240" w:lineRule="auto"/>
              <w:jc w:val="center"/>
              <w:rPr>
                <w:rFonts w:ascii="Times New Roman" w:hAnsi="Times New Roman"/>
                <w:sz w:val="18"/>
                <w:szCs w:val="18"/>
              </w:rPr>
            </w:pPr>
          </w:p>
        </w:tc>
      </w:tr>
      <w:tr w:rsidR="00F52FED" w:rsidRPr="00B0658A" w14:paraId="0FA1DC9D" w14:textId="77777777" w:rsidTr="004F1366">
        <w:trPr>
          <w:trHeight w:val="20"/>
        </w:trPr>
        <w:tc>
          <w:tcPr>
            <w:tcW w:w="578" w:type="dxa"/>
            <w:shd w:val="clear" w:color="000000" w:fill="FFFFFF"/>
            <w:vAlign w:val="center"/>
          </w:tcPr>
          <w:p w14:paraId="2F933326" w14:textId="77777777" w:rsidR="00A775DB" w:rsidRPr="00B0658A" w:rsidRDefault="00A775DB" w:rsidP="004F1366">
            <w:pPr>
              <w:spacing w:after="0" w:line="240" w:lineRule="auto"/>
              <w:jc w:val="center"/>
              <w:rPr>
                <w:rFonts w:ascii="Times New Roman" w:hAnsi="Times New Roman"/>
                <w:sz w:val="18"/>
                <w:szCs w:val="18"/>
              </w:rPr>
            </w:pPr>
            <w:r w:rsidRPr="00B0658A">
              <w:rPr>
                <w:rFonts w:ascii="Times New Roman" w:hAnsi="Times New Roman"/>
                <w:sz w:val="18"/>
                <w:szCs w:val="18"/>
              </w:rPr>
              <w:t>5.7</w:t>
            </w:r>
          </w:p>
        </w:tc>
        <w:tc>
          <w:tcPr>
            <w:tcW w:w="3812" w:type="dxa"/>
            <w:shd w:val="clear" w:color="auto" w:fill="auto"/>
            <w:vAlign w:val="center"/>
            <w:hideMark/>
          </w:tcPr>
          <w:p w14:paraId="3D1DF460" w14:textId="77777777" w:rsidR="00A775DB" w:rsidRPr="00B0658A" w:rsidRDefault="00A775DB" w:rsidP="004F1366">
            <w:pPr>
              <w:spacing w:after="0" w:line="240" w:lineRule="auto"/>
              <w:rPr>
                <w:rFonts w:ascii="Times New Roman" w:hAnsi="Times New Roman"/>
                <w:sz w:val="18"/>
                <w:szCs w:val="18"/>
              </w:rPr>
            </w:pPr>
            <w:r w:rsidRPr="00B0658A">
              <w:rPr>
                <w:rFonts w:ascii="Times New Roman" w:hAnsi="Times New Roman"/>
                <w:sz w:val="18"/>
                <w:szCs w:val="18"/>
              </w:rPr>
              <w:t>Прикладное программное обеспечение/ Специализированное ПО органов исполнительной власти Российской Федерации, государственных корпораций, компаний и юридических лиц с преимущественным участием Российской Федерации для внутреннего использования</w:t>
            </w:r>
          </w:p>
        </w:tc>
        <w:tc>
          <w:tcPr>
            <w:tcW w:w="1842" w:type="dxa"/>
            <w:shd w:val="clear" w:color="000000" w:fill="FFFFFF"/>
            <w:hideMark/>
          </w:tcPr>
          <w:p w14:paraId="4134C9DC" w14:textId="77777777" w:rsidR="00A775DB" w:rsidRPr="00B0658A" w:rsidRDefault="00A775DB" w:rsidP="004F1366">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79" w:type="dxa"/>
            <w:shd w:val="clear" w:color="000000" w:fill="FFFFFF"/>
            <w:vAlign w:val="center"/>
          </w:tcPr>
          <w:p w14:paraId="2130E599"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000000" w:fill="FFFFFF"/>
            <w:vAlign w:val="center"/>
            <w:hideMark/>
          </w:tcPr>
          <w:p w14:paraId="6BE4EEE7"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000000" w:fill="FFFFFF"/>
            <w:vAlign w:val="center"/>
            <w:hideMark/>
          </w:tcPr>
          <w:p w14:paraId="48AE0955"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000000" w:fill="FFFFFF"/>
            <w:vAlign w:val="center"/>
            <w:hideMark/>
          </w:tcPr>
          <w:p w14:paraId="57A8CDA1" w14:textId="77777777" w:rsidR="00A775DB" w:rsidRPr="00B0658A" w:rsidRDefault="00A775DB" w:rsidP="004F1366">
            <w:pPr>
              <w:spacing w:after="0" w:line="240" w:lineRule="auto"/>
              <w:jc w:val="center"/>
              <w:rPr>
                <w:rFonts w:ascii="Times New Roman" w:hAnsi="Times New Roman"/>
                <w:sz w:val="18"/>
                <w:szCs w:val="18"/>
              </w:rPr>
            </w:pPr>
          </w:p>
        </w:tc>
        <w:tc>
          <w:tcPr>
            <w:tcW w:w="992" w:type="dxa"/>
            <w:shd w:val="clear" w:color="000000" w:fill="FFFFFF"/>
            <w:vAlign w:val="center"/>
          </w:tcPr>
          <w:p w14:paraId="01E58BD5" w14:textId="77777777" w:rsidR="00A775DB" w:rsidRPr="00B0658A" w:rsidRDefault="00A775DB" w:rsidP="004F1366">
            <w:pPr>
              <w:spacing w:after="0" w:line="240" w:lineRule="auto"/>
              <w:jc w:val="center"/>
              <w:rPr>
                <w:rFonts w:ascii="Times New Roman" w:hAnsi="Times New Roman"/>
                <w:sz w:val="18"/>
                <w:szCs w:val="18"/>
              </w:rPr>
            </w:pPr>
          </w:p>
        </w:tc>
        <w:tc>
          <w:tcPr>
            <w:tcW w:w="803" w:type="dxa"/>
            <w:shd w:val="clear" w:color="000000" w:fill="FFFFFF"/>
            <w:vAlign w:val="center"/>
            <w:hideMark/>
          </w:tcPr>
          <w:p w14:paraId="5E3224E5" w14:textId="77777777" w:rsidR="00A775DB" w:rsidRPr="00B0658A" w:rsidRDefault="00A775DB" w:rsidP="004F1366">
            <w:pPr>
              <w:spacing w:after="0" w:line="240" w:lineRule="auto"/>
              <w:jc w:val="center"/>
              <w:rPr>
                <w:rFonts w:ascii="Times New Roman" w:hAnsi="Times New Roman"/>
                <w:sz w:val="18"/>
                <w:szCs w:val="18"/>
              </w:rPr>
            </w:pPr>
          </w:p>
        </w:tc>
        <w:tc>
          <w:tcPr>
            <w:tcW w:w="803" w:type="dxa"/>
            <w:shd w:val="clear" w:color="000000" w:fill="FFFFFF"/>
            <w:vAlign w:val="center"/>
            <w:hideMark/>
          </w:tcPr>
          <w:p w14:paraId="44BE6014" w14:textId="77777777" w:rsidR="00A775DB" w:rsidRPr="00B0658A" w:rsidRDefault="00A775DB" w:rsidP="004F1366">
            <w:pPr>
              <w:spacing w:after="0" w:line="240" w:lineRule="auto"/>
              <w:jc w:val="center"/>
              <w:rPr>
                <w:rFonts w:ascii="Times New Roman" w:hAnsi="Times New Roman"/>
                <w:sz w:val="18"/>
                <w:szCs w:val="18"/>
              </w:rPr>
            </w:pPr>
          </w:p>
        </w:tc>
        <w:tc>
          <w:tcPr>
            <w:tcW w:w="804" w:type="dxa"/>
            <w:shd w:val="clear" w:color="000000" w:fill="FFFFFF"/>
            <w:vAlign w:val="center"/>
            <w:hideMark/>
          </w:tcPr>
          <w:p w14:paraId="5678A58C" w14:textId="77777777" w:rsidR="00A775DB" w:rsidRPr="00B0658A" w:rsidRDefault="00A775DB" w:rsidP="004F1366">
            <w:pPr>
              <w:spacing w:after="0" w:line="240" w:lineRule="auto"/>
              <w:jc w:val="center"/>
              <w:rPr>
                <w:rFonts w:ascii="Times New Roman" w:hAnsi="Times New Roman"/>
                <w:sz w:val="18"/>
                <w:szCs w:val="18"/>
              </w:rPr>
            </w:pPr>
          </w:p>
        </w:tc>
        <w:tc>
          <w:tcPr>
            <w:tcW w:w="1530" w:type="dxa"/>
            <w:shd w:val="clear" w:color="000000" w:fill="FFFFFF"/>
            <w:vAlign w:val="center"/>
          </w:tcPr>
          <w:p w14:paraId="6D73D43B" w14:textId="77777777" w:rsidR="00A775DB" w:rsidRPr="00B0658A" w:rsidRDefault="00A775DB" w:rsidP="004F1366">
            <w:pPr>
              <w:spacing w:after="0" w:line="240" w:lineRule="auto"/>
              <w:jc w:val="center"/>
              <w:rPr>
                <w:rFonts w:ascii="Times New Roman" w:hAnsi="Times New Roman"/>
                <w:sz w:val="18"/>
                <w:szCs w:val="18"/>
              </w:rPr>
            </w:pPr>
          </w:p>
        </w:tc>
      </w:tr>
      <w:tr w:rsidR="00F52FED" w:rsidRPr="00B0658A" w14:paraId="4E84816B" w14:textId="77777777" w:rsidTr="004F1366">
        <w:trPr>
          <w:trHeight w:val="20"/>
        </w:trPr>
        <w:tc>
          <w:tcPr>
            <w:tcW w:w="578" w:type="dxa"/>
            <w:shd w:val="clear" w:color="000000" w:fill="FFFFFF"/>
            <w:vAlign w:val="center"/>
          </w:tcPr>
          <w:p w14:paraId="4F992C34" w14:textId="77777777" w:rsidR="00A775DB" w:rsidRPr="00B0658A" w:rsidRDefault="00A775DB" w:rsidP="004F1366">
            <w:pPr>
              <w:spacing w:after="0" w:line="240" w:lineRule="auto"/>
              <w:jc w:val="center"/>
              <w:rPr>
                <w:rFonts w:ascii="Times New Roman" w:hAnsi="Times New Roman"/>
                <w:sz w:val="18"/>
                <w:szCs w:val="18"/>
              </w:rPr>
            </w:pPr>
            <w:r w:rsidRPr="00B0658A">
              <w:rPr>
                <w:rFonts w:ascii="Times New Roman" w:hAnsi="Times New Roman"/>
                <w:sz w:val="18"/>
                <w:szCs w:val="18"/>
              </w:rPr>
              <w:t>5.8</w:t>
            </w:r>
          </w:p>
        </w:tc>
        <w:tc>
          <w:tcPr>
            <w:tcW w:w="3812" w:type="dxa"/>
            <w:shd w:val="clear" w:color="auto" w:fill="auto"/>
            <w:vAlign w:val="center"/>
            <w:hideMark/>
          </w:tcPr>
          <w:p w14:paraId="4241B76F" w14:textId="77777777" w:rsidR="00A775DB" w:rsidRPr="00B0658A" w:rsidRDefault="00A775DB" w:rsidP="004F1366">
            <w:pPr>
              <w:spacing w:after="0" w:line="240" w:lineRule="auto"/>
              <w:rPr>
                <w:rFonts w:ascii="Times New Roman" w:hAnsi="Times New Roman"/>
                <w:sz w:val="18"/>
                <w:szCs w:val="18"/>
              </w:rPr>
            </w:pPr>
            <w:r w:rsidRPr="00B0658A">
              <w:rPr>
                <w:rFonts w:ascii="Times New Roman" w:hAnsi="Times New Roman"/>
                <w:sz w:val="18"/>
                <w:szCs w:val="18"/>
              </w:rPr>
              <w:t>Прикладное программное обеспечение/ Средства управления контактными центрами</w:t>
            </w:r>
          </w:p>
        </w:tc>
        <w:tc>
          <w:tcPr>
            <w:tcW w:w="1842" w:type="dxa"/>
            <w:shd w:val="clear" w:color="000000" w:fill="FFFFFF"/>
            <w:hideMark/>
          </w:tcPr>
          <w:p w14:paraId="6E26F06B" w14:textId="77777777" w:rsidR="00A775DB" w:rsidRPr="00B0658A" w:rsidRDefault="00A775DB" w:rsidP="004F1366">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79" w:type="dxa"/>
            <w:vAlign w:val="center"/>
          </w:tcPr>
          <w:p w14:paraId="66E22391"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auto" w:fill="auto"/>
            <w:vAlign w:val="center"/>
            <w:hideMark/>
          </w:tcPr>
          <w:p w14:paraId="0C7B64B2"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auto" w:fill="auto"/>
            <w:vAlign w:val="center"/>
            <w:hideMark/>
          </w:tcPr>
          <w:p w14:paraId="74D2AD2B"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auto" w:fill="auto"/>
            <w:vAlign w:val="center"/>
            <w:hideMark/>
          </w:tcPr>
          <w:p w14:paraId="514A46C7" w14:textId="77777777" w:rsidR="00A775DB" w:rsidRPr="00B0658A" w:rsidRDefault="00A775DB" w:rsidP="004F1366">
            <w:pPr>
              <w:spacing w:after="0" w:line="240" w:lineRule="auto"/>
              <w:jc w:val="center"/>
              <w:rPr>
                <w:rFonts w:ascii="Times New Roman" w:hAnsi="Times New Roman"/>
                <w:sz w:val="18"/>
                <w:szCs w:val="18"/>
              </w:rPr>
            </w:pPr>
          </w:p>
        </w:tc>
        <w:tc>
          <w:tcPr>
            <w:tcW w:w="992" w:type="dxa"/>
            <w:vAlign w:val="center"/>
          </w:tcPr>
          <w:p w14:paraId="298A1962" w14:textId="77777777" w:rsidR="00A775DB" w:rsidRPr="00B0658A" w:rsidRDefault="00A775DB" w:rsidP="004F1366">
            <w:pPr>
              <w:spacing w:after="0" w:line="240" w:lineRule="auto"/>
              <w:jc w:val="center"/>
              <w:rPr>
                <w:rFonts w:ascii="Times New Roman" w:hAnsi="Times New Roman"/>
                <w:sz w:val="18"/>
                <w:szCs w:val="18"/>
              </w:rPr>
            </w:pPr>
          </w:p>
        </w:tc>
        <w:tc>
          <w:tcPr>
            <w:tcW w:w="803" w:type="dxa"/>
            <w:shd w:val="clear" w:color="auto" w:fill="auto"/>
            <w:vAlign w:val="center"/>
            <w:hideMark/>
          </w:tcPr>
          <w:p w14:paraId="31FC9D51" w14:textId="77777777" w:rsidR="00A775DB" w:rsidRPr="00B0658A" w:rsidRDefault="00A775DB" w:rsidP="004F1366">
            <w:pPr>
              <w:spacing w:after="0" w:line="240" w:lineRule="auto"/>
              <w:jc w:val="center"/>
              <w:rPr>
                <w:rFonts w:ascii="Times New Roman" w:hAnsi="Times New Roman"/>
                <w:sz w:val="18"/>
                <w:szCs w:val="18"/>
              </w:rPr>
            </w:pPr>
          </w:p>
        </w:tc>
        <w:tc>
          <w:tcPr>
            <w:tcW w:w="803" w:type="dxa"/>
            <w:shd w:val="clear" w:color="auto" w:fill="auto"/>
            <w:vAlign w:val="center"/>
            <w:hideMark/>
          </w:tcPr>
          <w:p w14:paraId="432C08AA" w14:textId="77777777" w:rsidR="00A775DB" w:rsidRPr="00B0658A" w:rsidRDefault="00A775DB" w:rsidP="004F1366">
            <w:pPr>
              <w:spacing w:after="0" w:line="240" w:lineRule="auto"/>
              <w:jc w:val="center"/>
              <w:rPr>
                <w:rFonts w:ascii="Times New Roman" w:hAnsi="Times New Roman"/>
                <w:sz w:val="18"/>
                <w:szCs w:val="18"/>
              </w:rPr>
            </w:pPr>
          </w:p>
        </w:tc>
        <w:tc>
          <w:tcPr>
            <w:tcW w:w="804" w:type="dxa"/>
            <w:shd w:val="clear" w:color="auto" w:fill="auto"/>
            <w:vAlign w:val="center"/>
            <w:hideMark/>
          </w:tcPr>
          <w:p w14:paraId="0B552C3D" w14:textId="77777777" w:rsidR="00A775DB" w:rsidRPr="00B0658A" w:rsidRDefault="00A775DB" w:rsidP="004F1366">
            <w:pPr>
              <w:spacing w:after="0" w:line="240" w:lineRule="auto"/>
              <w:jc w:val="center"/>
              <w:rPr>
                <w:rFonts w:ascii="Times New Roman" w:hAnsi="Times New Roman"/>
                <w:sz w:val="18"/>
                <w:szCs w:val="18"/>
              </w:rPr>
            </w:pPr>
          </w:p>
        </w:tc>
        <w:tc>
          <w:tcPr>
            <w:tcW w:w="1530" w:type="dxa"/>
            <w:vAlign w:val="center"/>
          </w:tcPr>
          <w:p w14:paraId="5D8EE8C4" w14:textId="77777777" w:rsidR="00A775DB" w:rsidRPr="00B0658A" w:rsidRDefault="00A775DB" w:rsidP="004F1366">
            <w:pPr>
              <w:spacing w:after="0" w:line="240" w:lineRule="auto"/>
              <w:jc w:val="center"/>
              <w:rPr>
                <w:rFonts w:ascii="Times New Roman" w:hAnsi="Times New Roman"/>
                <w:sz w:val="18"/>
                <w:szCs w:val="18"/>
              </w:rPr>
            </w:pPr>
          </w:p>
        </w:tc>
      </w:tr>
      <w:tr w:rsidR="00F52FED" w:rsidRPr="00B0658A" w14:paraId="4B4638C4" w14:textId="77777777" w:rsidTr="004F1366">
        <w:trPr>
          <w:trHeight w:val="20"/>
        </w:trPr>
        <w:tc>
          <w:tcPr>
            <w:tcW w:w="578" w:type="dxa"/>
            <w:shd w:val="clear" w:color="000000" w:fill="FFFFFF"/>
            <w:vAlign w:val="center"/>
          </w:tcPr>
          <w:p w14:paraId="4C65B405" w14:textId="77777777" w:rsidR="00A775DB" w:rsidRPr="00B0658A" w:rsidRDefault="00A775DB" w:rsidP="004F1366">
            <w:pPr>
              <w:spacing w:after="0" w:line="240" w:lineRule="auto"/>
              <w:jc w:val="center"/>
              <w:rPr>
                <w:rFonts w:ascii="Times New Roman" w:hAnsi="Times New Roman"/>
                <w:sz w:val="18"/>
                <w:szCs w:val="18"/>
              </w:rPr>
            </w:pPr>
            <w:r w:rsidRPr="00B0658A">
              <w:rPr>
                <w:rFonts w:ascii="Times New Roman" w:hAnsi="Times New Roman"/>
                <w:sz w:val="18"/>
                <w:szCs w:val="18"/>
              </w:rPr>
              <w:t>5.9</w:t>
            </w:r>
          </w:p>
        </w:tc>
        <w:tc>
          <w:tcPr>
            <w:tcW w:w="3812" w:type="dxa"/>
            <w:shd w:val="clear" w:color="auto" w:fill="auto"/>
            <w:vAlign w:val="center"/>
            <w:hideMark/>
          </w:tcPr>
          <w:p w14:paraId="74B80EF6" w14:textId="77777777" w:rsidR="00A775DB" w:rsidRPr="00B0658A" w:rsidRDefault="00A775DB" w:rsidP="004F1366">
            <w:pPr>
              <w:spacing w:after="0" w:line="240" w:lineRule="auto"/>
              <w:rPr>
                <w:rFonts w:ascii="Times New Roman" w:hAnsi="Times New Roman"/>
                <w:sz w:val="18"/>
                <w:szCs w:val="18"/>
              </w:rPr>
            </w:pPr>
            <w:r w:rsidRPr="00B0658A">
              <w:rPr>
                <w:rFonts w:ascii="Times New Roman" w:hAnsi="Times New Roman"/>
                <w:sz w:val="18"/>
                <w:szCs w:val="18"/>
              </w:rPr>
              <w:t>Прикладное программное обеспечение/ Средства управления диалоговыми роботами (чат-боты и голосовые роботы)</w:t>
            </w:r>
          </w:p>
        </w:tc>
        <w:tc>
          <w:tcPr>
            <w:tcW w:w="1842" w:type="dxa"/>
            <w:shd w:val="clear" w:color="000000" w:fill="FFFFFF"/>
            <w:hideMark/>
          </w:tcPr>
          <w:p w14:paraId="5422E9D4" w14:textId="77777777" w:rsidR="00A775DB" w:rsidRPr="00B0658A" w:rsidRDefault="00A775DB" w:rsidP="004F1366">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79" w:type="dxa"/>
            <w:vAlign w:val="center"/>
          </w:tcPr>
          <w:p w14:paraId="5A714A99"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auto" w:fill="auto"/>
            <w:vAlign w:val="center"/>
            <w:hideMark/>
          </w:tcPr>
          <w:p w14:paraId="4747AE97"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auto" w:fill="auto"/>
            <w:vAlign w:val="center"/>
            <w:hideMark/>
          </w:tcPr>
          <w:p w14:paraId="2401BCFC"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auto" w:fill="auto"/>
            <w:vAlign w:val="center"/>
            <w:hideMark/>
          </w:tcPr>
          <w:p w14:paraId="71BBD920" w14:textId="77777777" w:rsidR="00A775DB" w:rsidRPr="00B0658A" w:rsidRDefault="00A775DB" w:rsidP="004F1366">
            <w:pPr>
              <w:spacing w:after="0" w:line="240" w:lineRule="auto"/>
              <w:jc w:val="center"/>
              <w:rPr>
                <w:rFonts w:ascii="Times New Roman" w:hAnsi="Times New Roman"/>
                <w:sz w:val="18"/>
                <w:szCs w:val="18"/>
              </w:rPr>
            </w:pPr>
          </w:p>
        </w:tc>
        <w:tc>
          <w:tcPr>
            <w:tcW w:w="992" w:type="dxa"/>
            <w:vAlign w:val="center"/>
          </w:tcPr>
          <w:p w14:paraId="4E8588B3" w14:textId="77777777" w:rsidR="00A775DB" w:rsidRPr="00B0658A" w:rsidRDefault="00A775DB" w:rsidP="004F1366">
            <w:pPr>
              <w:spacing w:after="0" w:line="240" w:lineRule="auto"/>
              <w:jc w:val="center"/>
              <w:rPr>
                <w:rFonts w:ascii="Times New Roman" w:hAnsi="Times New Roman"/>
                <w:sz w:val="18"/>
                <w:szCs w:val="18"/>
              </w:rPr>
            </w:pPr>
          </w:p>
        </w:tc>
        <w:tc>
          <w:tcPr>
            <w:tcW w:w="803" w:type="dxa"/>
            <w:shd w:val="clear" w:color="auto" w:fill="auto"/>
            <w:vAlign w:val="center"/>
            <w:hideMark/>
          </w:tcPr>
          <w:p w14:paraId="73DA2067" w14:textId="77777777" w:rsidR="00A775DB" w:rsidRPr="00B0658A" w:rsidRDefault="00A775DB" w:rsidP="004F1366">
            <w:pPr>
              <w:spacing w:after="0" w:line="240" w:lineRule="auto"/>
              <w:jc w:val="center"/>
              <w:rPr>
                <w:rFonts w:ascii="Times New Roman" w:hAnsi="Times New Roman"/>
                <w:sz w:val="18"/>
                <w:szCs w:val="18"/>
              </w:rPr>
            </w:pPr>
          </w:p>
        </w:tc>
        <w:tc>
          <w:tcPr>
            <w:tcW w:w="803" w:type="dxa"/>
            <w:shd w:val="clear" w:color="auto" w:fill="auto"/>
            <w:vAlign w:val="center"/>
            <w:hideMark/>
          </w:tcPr>
          <w:p w14:paraId="121A0668" w14:textId="77777777" w:rsidR="00A775DB" w:rsidRPr="00B0658A" w:rsidRDefault="00A775DB" w:rsidP="004F1366">
            <w:pPr>
              <w:spacing w:after="0" w:line="240" w:lineRule="auto"/>
              <w:jc w:val="center"/>
              <w:rPr>
                <w:rFonts w:ascii="Times New Roman" w:hAnsi="Times New Roman"/>
                <w:sz w:val="18"/>
                <w:szCs w:val="18"/>
              </w:rPr>
            </w:pPr>
          </w:p>
        </w:tc>
        <w:tc>
          <w:tcPr>
            <w:tcW w:w="804" w:type="dxa"/>
            <w:shd w:val="clear" w:color="auto" w:fill="auto"/>
            <w:vAlign w:val="center"/>
            <w:hideMark/>
          </w:tcPr>
          <w:p w14:paraId="0B748858" w14:textId="77777777" w:rsidR="00A775DB" w:rsidRPr="00B0658A" w:rsidRDefault="00A775DB" w:rsidP="004F1366">
            <w:pPr>
              <w:spacing w:after="0" w:line="240" w:lineRule="auto"/>
              <w:jc w:val="center"/>
              <w:rPr>
                <w:rFonts w:ascii="Times New Roman" w:hAnsi="Times New Roman"/>
                <w:sz w:val="18"/>
                <w:szCs w:val="18"/>
              </w:rPr>
            </w:pPr>
          </w:p>
        </w:tc>
        <w:tc>
          <w:tcPr>
            <w:tcW w:w="1530" w:type="dxa"/>
            <w:vAlign w:val="center"/>
          </w:tcPr>
          <w:p w14:paraId="109F532A" w14:textId="77777777" w:rsidR="00A775DB" w:rsidRPr="00B0658A" w:rsidRDefault="00A775DB" w:rsidP="004F1366">
            <w:pPr>
              <w:spacing w:after="0" w:line="240" w:lineRule="auto"/>
              <w:jc w:val="center"/>
              <w:rPr>
                <w:rFonts w:ascii="Times New Roman" w:hAnsi="Times New Roman"/>
                <w:sz w:val="18"/>
                <w:szCs w:val="18"/>
              </w:rPr>
            </w:pPr>
          </w:p>
        </w:tc>
      </w:tr>
      <w:tr w:rsidR="00F52FED" w:rsidRPr="00B0658A" w14:paraId="0D88D701" w14:textId="77777777" w:rsidTr="004F1366">
        <w:trPr>
          <w:trHeight w:val="20"/>
        </w:trPr>
        <w:tc>
          <w:tcPr>
            <w:tcW w:w="578" w:type="dxa"/>
            <w:shd w:val="clear" w:color="000000" w:fill="FFFFFF"/>
            <w:vAlign w:val="center"/>
          </w:tcPr>
          <w:p w14:paraId="5FFC8E1E" w14:textId="77777777" w:rsidR="00A775DB" w:rsidRPr="00B0658A" w:rsidRDefault="00A775DB" w:rsidP="004F1366">
            <w:pPr>
              <w:spacing w:after="0" w:line="240" w:lineRule="auto"/>
              <w:jc w:val="center"/>
              <w:rPr>
                <w:rFonts w:ascii="Times New Roman" w:hAnsi="Times New Roman"/>
                <w:sz w:val="18"/>
                <w:szCs w:val="18"/>
              </w:rPr>
            </w:pPr>
            <w:r w:rsidRPr="00B0658A">
              <w:rPr>
                <w:rFonts w:ascii="Times New Roman" w:hAnsi="Times New Roman"/>
                <w:sz w:val="18"/>
                <w:szCs w:val="18"/>
              </w:rPr>
              <w:t>5.10</w:t>
            </w:r>
          </w:p>
        </w:tc>
        <w:tc>
          <w:tcPr>
            <w:tcW w:w="3812" w:type="dxa"/>
            <w:shd w:val="clear" w:color="auto" w:fill="auto"/>
            <w:vAlign w:val="center"/>
            <w:hideMark/>
          </w:tcPr>
          <w:p w14:paraId="76E509B5" w14:textId="77777777" w:rsidR="00A775DB" w:rsidRPr="00B0658A" w:rsidRDefault="00A775DB" w:rsidP="004F1366">
            <w:pPr>
              <w:spacing w:after="0" w:line="240" w:lineRule="auto"/>
              <w:rPr>
                <w:rFonts w:ascii="Times New Roman" w:hAnsi="Times New Roman"/>
                <w:sz w:val="18"/>
                <w:szCs w:val="18"/>
              </w:rPr>
            </w:pPr>
            <w:r w:rsidRPr="00B0658A">
              <w:rPr>
                <w:rFonts w:ascii="Times New Roman" w:hAnsi="Times New Roman"/>
                <w:sz w:val="18"/>
                <w:szCs w:val="18"/>
              </w:rPr>
              <w:t>Прикладное программное обеспечение/ Базы знаний</w:t>
            </w:r>
          </w:p>
        </w:tc>
        <w:tc>
          <w:tcPr>
            <w:tcW w:w="1842" w:type="dxa"/>
            <w:shd w:val="clear" w:color="000000" w:fill="FFFFFF"/>
            <w:hideMark/>
          </w:tcPr>
          <w:p w14:paraId="4BB26BC6" w14:textId="77777777" w:rsidR="00A775DB" w:rsidRPr="00B0658A" w:rsidRDefault="00A775DB" w:rsidP="004F1366">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79" w:type="dxa"/>
            <w:shd w:val="clear" w:color="000000" w:fill="FFFFFF"/>
            <w:vAlign w:val="center"/>
          </w:tcPr>
          <w:p w14:paraId="16DD710F"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000000" w:fill="FFFFFF"/>
            <w:vAlign w:val="center"/>
            <w:hideMark/>
          </w:tcPr>
          <w:p w14:paraId="48471607"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000000" w:fill="FFFFFF"/>
            <w:vAlign w:val="center"/>
            <w:hideMark/>
          </w:tcPr>
          <w:p w14:paraId="6A24F29E"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000000" w:fill="FFFFFF"/>
            <w:vAlign w:val="center"/>
            <w:hideMark/>
          </w:tcPr>
          <w:p w14:paraId="267C7CB4" w14:textId="77777777" w:rsidR="00A775DB" w:rsidRPr="00B0658A" w:rsidRDefault="00A775DB" w:rsidP="004F1366">
            <w:pPr>
              <w:spacing w:after="0" w:line="240" w:lineRule="auto"/>
              <w:jc w:val="center"/>
              <w:rPr>
                <w:rFonts w:ascii="Times New Roman" w:hAnsi="Times New Roman"/>
                <w:sz w:val="18"/>
                <w:szCs w:val="18"/>
              </w:rPr>
            </w:pPr>
          </w:p>
        </w:tc>
        <w:tc>
          <w:tcPr>
            <w:tcW w:w="992" w:type="dxa"/>
            <w:shd w:val="clear" w:color="000000" w:fill="FFFFFF"/>
            <w:vAlign w:val="center"/>
          </w:tcPr>
          <w:p w14:paraId="10C8CF0C" w14:textId="77777777" w:rsidR="00A775DB" w:rsidRPr="00B0658A" w:rsidRDefault="00A775DB" w:rsidP="004F1366">
            <w:pPr>
              <w:spacing w:after="0" w:line="240" w:lineRule="auto"/>
              <w:jc w:val="center"/>
              <w:rPr>
                <w:rFonts w:ascii="Times New Roman" w:hAnsi="Times New Roman"/>
                <w:sz w:val="18"/>
                <w:szCs w:val="18"/>
              </w:rPr>
            </w:pPr>
          </w:p>
        </w:tc>
        <w:tc>
          <w:tcPr>
            <w:tcW w:w="803" w:type="dxa"/>
            <w:shd w:val="clear" w:color="000000" w:fill="FFFFFF"/>
            <w:vAlign w:val="center"/>
            <w:hideMark/>
          </w:tcPr>
          <w:p w14:paraId="02BBC80B" w14:textId="77777777" w:rsidR="00A775DB" w:rsidRPr="00B0658A" w:rsidRDefault="00A775DB" w:rsidP="004F1366">
            <w:pPr>
              <w:spacing w:after="0" w:line="240" w:lineRule="auto"/>
              <w:jc w:val="center"/>
              <w:rPr>
                <w:rFonts w:ascii="Times New Roman" w:hAnsi="Times New Roman"/>
                <w:sz w:val="18"/>
                <w:szCs w:val="18"/>
              </w:rPr>
            </w:pPr>
          </w:p>
        </w:tc>
        <w:tc>
          <w:tcPr>
            <w:tcW w:w="803" w:type="dxa"/>
            <w:shd w:val="clear" w:color="000000" w:fill="FFFFFF"/>
            <w:vAlign w:val="center"/>
            <w:hideMark/>
          </w:tcPr>
          <w:p w14:paraId="78F608D0" w14:textId="77777777" w:rsidR="00A775DB" w:rsidRPr="00B0658A" w:rsidRDefault="00A775DB" w:rsidP="004F1366">
            <w:pPr>
              <w:spacing w:after="0" w:line="240" w:lineRule="auto"/>
              <w:jc w:val="center"/>
              <w:rPr>
                <w:rFonts w:ascii="Times New Roman" w:hAnsi="Times New Roman"/>
                <w:sz w:val="18"/>
                <w:szCs w:val="18"/>
              </w:rPr>
            </w:pPr>
          </w:p>
        </w:tc>
        <w:tc>
          <w:tcPr>
            <w:tcW w:w="804" w:type="dxa"/>
            <w:shd w:val="clear" w:color="000000" w:fill="FFFFFF"/>
            <w:vAlign w:val="center"/>
            <w:hideMark/>
          </w:tcPr>
          <w:p w14:paraId="11BD03F6" w14:textId="77777777" w:rsidR="00A775DB" w:rsidRPr="00B0658A" w:rsidRDefault="00A775DB" w:rsidP="004F1366">
            <w:pPr>
              <w:spacing w:after="0" w:line="240" w:lineRule="auto"/>
              <w:jc w:val="center"/>
              <w:rPr>
                <w:rFonts w:ascii="Times New Roman" w:hAnsi="Times New Roman"/>
                <w:sz w:val="18"/>
                <w:szCs w:val="18"/>
              </w:rPr>
            </w:pPr>
          </w:p>
        </w:tc>
        <w:tc>
          <w:tcPr>
            <w:tcW w:w="1530" w:type="dxa"/>
            <w:shd w:val="clear" w:color="000000" w:fill="FFFFFF"/>
            <w:vAlign w:val="center"/>
          </w:tcPr>
          <w:p w14:paraId="1B4DAA3E" w14:textId="77777777" w:rsidR="00A775DB" w:rsidRPr="00B0658A" w:rsidRDefault="00A775DB" w:rsidP="004F1366">
            <w:pPr>
              <w:spacing w:after="0" w:line="240" w:lineRule="auto"/>
              <w:jc w:val="center"/>
              <w:rPr>
                <w:rFonts w:ascii="Times New Roman" w:hAnsi="Times New Roman"/>
                <w:sz w:val="18"/>
                <w:szCs w:val="18"/>
              </w:rPr>
            </w:pPr>
          </w:p>
        </w:tc>
      </w:tr>
      <w:tr w:rsidR="00F52FED" w:rsidRPr="00B0658A" w14:paraId="15BC4477" w14:textId="77777777" w:rsidTr="004F1366">
        <w:trPr>
          <w:trHeight w:val="20"/>
        </w:trPr>
        <w:tc>
          <w:tcPr>
            <w:tcW w:w="578" w:type="dxa"/>
            <w:shd w:val="clear" w:color="000000" w:fill="FFFFFF"/>
            <w:vAlign w:val="center"/>
          </w:tcPr>
          <w:p w14:paraId="55AD09F8" w14:textId="77777777" w:rsidR="00A775DB" w:rsidRPr="00B0658A" w:rsidRDefault="00A775DB" w:rsidP="004F1366">
            <w:pPr>
              <w:spacing w:after="0" w:line="240" w:lineRule="auto"/>
              <w:jc w:val="center"/>
              <w:rPr>
                <w:rFonts w:ascii="Times New Roman" w:hAnsi="Times New Roman"/>
                <w:sz w:val="18"/>
                <w:szCs w:val="18"/>
              </w:rPr>
            </w:pPr>
            <w:r w:rsidRPr="00B0658A">
              <w:rPr>
                <w:rFonts w:ascii="Times New Roman" w:hAnsi="Times New Roman"/>
                <w:sz w:val="18"/>
                <w:szCs w:val="18"/>
              </w:rPr>
              <w:t>5.11</w:t>
            </w:r>
          </w:p>
        </w:tc>
        <w:tc>
          <w:tcPr>
            <w:tcW w:w="3812" w:type="dxa"/>
            <w:shd w:val="clear" w:color="auto" w:fill="auto"/>
            <w:vAlign w:val="center"/>
            <w:hideMark/>
          </w:tcPr>
          <w:p w14:paraId="6A64494E" w14:textId="77777777" w:rsidR="00A775DB" w:rsidRPr="00B0658A" w:rsidRDefault="00A775DB" w:rsidP="004F1366">
            <w:pPr>
              <w:spacing w:after="0" w:line="240" w:lineRule="auto"/>
              <w:rPr>
                <w:rFonts w:ascii="Times New Roman" w:hAnsi="Times New Roman"/>
                <w:sz w:val="18"/>
                <w:szCs w:val="18"/>
              </w:rPr>
            </w:pPr>
            <w:r w:rsidRPr="00B0658A">
              <w:rPr>
                <w:rFonts w:ascii="Times New Roman" w:hAnsi="Times New Roman"/>
                <w:sz w:val="18"/>
                <w:szCs w:val="18"/>
              </w:rPr>
              <w:t>Прикладное программное обеспечение/ Интеллектуальные средства управления экспертной деятельностью</w:t>
            </w:r>
          </w:p>
        </w:tc>
        <w:tc>
          <w:tcPr>
            <w:tcW w:w="1842" w:type="dxa"/>
            <w:shd w:val="clear" w:color="000000" w:fill="FFFFFF"/>
            <w:hideMark/>
          </w:tcPr>
          <w:p w14:paraId="245D29DA" w14:textId="77777777" w:rsidR="00A775DB" w:rsidRPr="00B0658A" w:rsidRDefault="00A775DB" w:rsidP="004F1366">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79" w:type="dxa"/>
            <w:shd w:val="clear" w:color="000000" w:fill="FFFFFF"/>
            <w:vAlign w:val="center"/>
          </w:tcPr>
          <w:p w14:paraId="251B54FB"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000000" w:fill="FFFFFF"/>
            <w:vAlign w:val="center"/>
            <w:hideMark/>
          </w:tcPr>
          <w:p w14:paraId="2497F149"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000000" w:fill="FFFFFF"/>
            <w:vAlign w:val="center"/>
            <w:hideMark/>
          </w:tcPr>
          <w:p w14:paraId="741037A9"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000000" w:fill="FFFFFF"/>
            <w:vAlign w:val="center"/>
            <w:hideMark/>
          </w:tcPr>
          <w:p w14:paraId="2D344CCD" w14:textId="77777777" w:rsidR="00A775DB" w:rsidRPr="00B0658A" w:rsidRDefault="00A775DB" w:rsidP="004F1366">
            <w:pPr>
              <w:spacing w:after="0" w:line="240" w:lineRule="auto"/>
              <w:jc w:val="center"/>
              <w:rPr>
                <w:rFonts w:ascii="Times New Roman" w:hAnsi="Times New Roman"/>
                <w:sz w:val="18"/>
                <w:szCs w:val="18"/>
              </w:rPr>
            </w:pPr>
          </w:p>
        </w:tc>
        <w:tc>
          <w:tcPr>
            <w:tcW w:w="992" w:type="dxa"/>
            <w:shd w:val="clear" w:color="000000" w:fill="FFFFFF"/>
            <w:vAlign w:val="center"/>
          </w:tcPr>
          <w:p w14:paraId="4A73186F" w14:textId="77777777" w:rsidR="00A775DB" w:rsidRPr="00B0658A" w:rsidRDefault="00A775DB" w:rsidP="004F1366">
            <w:pPr>
              <w:spacing w:after="0" w:line="240" w:lineRule="auto"/>
              <w:jc w:val="center"/>
              <w:rPr>
                <w:rFonts w:ascii="Times New Roman" w:hAnsi="Times New Roman"/>
                <w:sz w:val="18"/>
                <w:szCs w:val="18"/>
              </w:rPr>
            </w:pPr>
          </w:p>
        </w:tc>
        <w:tc>
          <w:tcPr>
            <w:tcW w:w="803" w:type="dxa"/>
            <w:shd w:val="clear" w:color="000000" w:fill="FFFFFF"/>
            <w:vAlign w:val="center"/>
            <w:hideMark/>
          </w:tcPr>
          <w:p w14:paraId="3C7D2A7F" w14:textId="77777777" w:rsidR="00A775DB" w:rsidRPr="00B0658A" w:rsidRDefault="00A775DB" w:rsidP="004F1366">
            <w:pPr>
              <w:spacing w:after="0" w:line="240" w:lineRule="auto"/>
              <w:jc w:val="center"/>
              <w:rPr>
                <w:rFonts w:ascii="Times New Roman" w:hAnsi="Times New Roman"/>
                <w:sz w:val="18"/>
                <w:szCs w:val="18"/>
              </w:rPr>
            </w:pPr>
          </w:p>
        </w:tc>
        <w:tc>
          <w:tcPr>
            <w:tcW w:w="803" w:type="dxa"/>
            <w:shd w:val="clear" w:color="000000" w:fill="FFFFFF"/>
            <w:vAlign w:val="center"/>
            <w:hideMark/>
          </w:tcPr>
          <w:p w14:paraId="28D4319D" w14:textId="77777777" w:rsidR="00A775DB" w:rsidRPr="00B0658A" w:rsidRDefault="00A775DB" w:rsidP="004F1366">
            <w:pPr>
              <w:spacing w:after="0" w:line="240" w:lineRule="auto"/>
              <w:jc w:val="center"/>
              <w:rPr>
                <w:rFonts w:ascii="Times New Roman" w:hAnsi="Times New Roman"/>
                <w:sz w:val="18"/>
                <w:szCs w:val="18"/>
              </w:rPr>
            </w:pPr>
          </w:p>
        </w:tc>
        <w:tc>
          <w:tcPr>
            <w:tcW w:w="804" w:type="dxa"/>
            <w:shd w:val="clear" w:color="000000" w:fill="FFFFFF"/>
            <w:vAlign w:val="center"/>
            <w:hideMark/>
          </w:tcPr>
          <w:p w14:paraId="6F8027F4" w14:textId="77777777" w:rsidR="00A775DB" w:rsidRPr="00B0658A" w:rsidRDefault="00A775DB" w:rsidP="004F1366">
            <w:pPr>
              <w:spacing w:after="0" w:line="240" w:lineRule="auto"/>
              <w:jc w:val="center"/>
              <w:rPr>
                <w:rFonts w:ascii="Times New Roman" w:hAnsi="Times New Roman"/>
                <w:sz w:val="18"/>
                <w:szCs w:val="18"/>
              </w:rPr>
            </w:pPr>
          </w:p>
        </w:tc>
        <w:tc>
          <w:tcPr>
            <w:tcW w:w="1530" w:type="dxa"/>
            <w:shd w:val="clear" w:color="000000" w:fill="FFFFFF"/>
            <w:vAlign w:val="center"/>
          </w:tcPr>
          <w:p w14:paraId="2289A644" w14:textId="77777777" w:rsidR="00A775DB" w:rsidRPr="00B0658A" w:rsidRDefault="00A775DB" w:rsidP="004F1366">
            <w:pPr>
              <w:spacing w:after="0" w:line="240" w:lineRule="auto"/>
              <w:jc w:val="center"/>
              <w:rPr>
                <w:rFonts w:ascii="Times New Roman" w:hAnsi="Times New Roman"/>
                <w:sz w:val="18"/>
                <w:szCs w:val="18"/>
              </w:rPr>
            </w:pPr>
          </w:p>
        </w:tc>
      </w:tr>
      <w:tr w:rsidR="00F52FED" w:rsidRPr="00B0658A" w14:paraId="4AA03CD7" w14:textId="77777777" w:rsidTr="004F1366">
        <w:trPr>
          <w:trHeight w:val="20"/>
        </w:trPr>
        <w:tc>
          <w:tcPr>
            <w:tcW w:w="578" w:type="dxa"/>
            <w:shd w:val="clear" w:color="000000" w:fill="FFFFFF"/>
            <w:vAlign w:val="center"/>
          </w:tcPr>
          <w:p w14:paraId="729B40D3" w14:textId="77777777" w:rsidR="00A775DB" w:rsidRPr="00B0658A" w:rsidRDefault="00A775DB" w:rsidP="004F1366">
            <w:pPr>
              <w:spacing w:after="0" w:line="240" w:lineRule="auto"/>
              <w:jc w:val="center"/>
              <w:rPr>
                <w:rFonts w:ascii="Times New Roman" w:hAnsi="Times New Roman"/>
                <w:sz w:val="18"/>
                <w:szCs w:val="18"/>
              </w:rPr>
            </w:pPr>
            <w:r w:rsidRPr="00B0658A">
              <w:rPr>
                <w:rFonts w:ascii="Times New Roman" w:hAnsi="Times New Roman"/>
                <w:sz w:val="18"/>
                <w:szCs w:val="18"/>
              </w:rPr>
              <w:t>5.12</w:t>
            </w:r>
          </w:p>
        </w:tc>
        <w:tc>
          <w:tcPr>
            <w:tcW w:w="3812" w:type="dxa"/>
            <w:shd w:val="clear" w:color="auto" w:fill="auto"/>
            <w:vAlign w:val="center"/>
            <w:hideMark/>
          </w:tcPr>
          <w:p w14:paraId="4912D650" w14:textId="77777777" w:rsidR="00A775DB" w:rsidRPr="00B0658A" w:rsidRDefault="00A775DB" w:rsidP="004F1366">
            <w:pPr>
              <w:spacing w:after="0" w:line="240" w:lineRule="auto"/>
              <w:rPr>
                <w:rFonts w:ascii="Times New Roman" w:hAnsi="Times New Roman"/>
                <w:sz w:val="18"/>
                <w:szCs w:val="18"/>
              </w:rPr>
            </w:pPr>
            <w:r w:rsidRPr="00B0658A">
              <w:rPr>
                <w:rFonts w:ascii="Times New Roman" w:hAnsi="Times New Roman"/>
                <w:sz w:val="18"/>
                <w:szCs w:val="18"/>
              </w:rPr>
              <w:t xml:space="preserve">Прикладное программное обеспечение/ Интеллектуальные средства разработки </w:t>
            </w:r>
            <w:r w:rsidRPr="00B0658A">
              <w:rPr>
                <w:rFonts w:ascii="Times New Roman" w:hAnsi="Times New Roman"/>
                <w:sz w:val="18"/>
                <w:szCs w:val="18"/>
              </w:rPr>
              <w:br/>
              <w:t xml:space="preserve">и управления стандартами </w:t>
            </w:r>
            <w:r w:rsidRPr="00B0658A">
              <w:rPr>
                <w:rFonts w:ascii="Times New Roman" w:hAnsi="Times New Roman"/>
                <w:sz w:val="18"/>
                <w:szCs w:val="18"/>
              </w:rPr>
              <w:br/>
              <w:t>и нормативами</w:t>
            </w:r>
          </w:p>
        </w:tc>
        <w:tc>
          <w:tcPr>
            <w:tcW w:w="1842" w:type="dxa"/>
            <w:shd w:val="clear" w:color="000000" w:fill="FFFFFF"/>
            <w:hideMark/>
          </w:tcPr>
          <w:p w14:paraId="72B4980C" w14:textId="77777777" w:rsidR="00A775DB" w:rsidRPr="00B0658A" w:rsidRDefault="00A775DB" w:rsidP="004F1366">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79" w:type="dxa"/>
            <w:vAlign w:val="center"/>
          </w:tcPr>
          <w:p w14:paraId="1539EE29"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auto" w:fill="auto"/>
            <w:vAlign w:val="center"/>
            <w:hideMark/>
          </w:tcPr>
          <w:p w14:paraId="6A7260A7"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auto" w:fill="auto"/>
            <w:vAlign w:val="center"/>
            <w:hideMark/>
          </w:tcPr>
          <w:p w14:paraId="40F2C4A1"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auto" w:fill="auto"/>
            <w:vAlign w:val="center"/>
            <w:hideMark/>
          </w:tcPr>
          <w:p w14:paraId="3C6E25C9" w14:textId="77777777" w:rsidR="00A775DB" w:rsidRPr="00B0658A" w:rsidRDefault="00A775DB" w:rsidP="004F1366">
            <w:pPr>
              <w:spacing w:after="0" w:line="240" w:lineRule="auto"/>
              <w:jc w:val="center"/>
              <w:rPr>
                <w:rFonts w:ascii="Times New Roman" w:hAnsi="Times New Roman"/>
                <w:sz w:val="18"/>
                <w:szCs w:val="18"/>
              </w:rPr>
            </w:pPr>
          </w:p>
        </w:tc>
        <w:tc>
          <w:tcPr>
            <w:tcW w:w="992" w:type="dxa"/>
            <w:vAlign w:val="center"/>
          </w:tcPr>
          <w:p w14:paraId="68AC6CEE" w14:textId="77777777" w:rsidR="00A775DB" w:rsidRPr="00B0658A" w:rsidRDefault="00A775DB" w:rsidP="004F1366">
            <w:pPr>
              <w:spacing w:after="0" w:line="240" w:lineRule="auto"/>
              <w:jc w:val="center"/>
              <w:rPr>
                <w:rFonts w:ascii="Times New Roman" w:hAnsi="Times New Roman"/>
                <w:sz w:val="18"/>
                <w:szCs w:val="18"/>
              </w:rPr>
            </w:pPr>
          </w:p>
        </w:tc>
        <w:tc>
          <w:tcPr>
            <w:tcW w:w="803" w:type="dxa"/>
            <w:shd w:val="clear" w:color="auto" w:fill="auto"/>
            <w:vAlign w:val="center"/>
            <w:hideMark/>
          </w:tcPr>
          <w:p w14:paraId="39DBC94B" w14:textId="77777777" w:rsidR="00A775DB" w:rsidRPr="00B0658A" w:rsidRDefault="00A775DB" w:rsidP="004F1366">
            <w:pPr>
              <w:spacing w:after="0" w:line="240" w:lineRule="auto"/>
              <w:jc w:val="center"/>
              <w:rPr>
                <w:rFonts w:ascii="Times New Roman" w:hAnsi="Times New Roman"/>
                <w:sz w:val="18"/>
                <w:szCs w:val="18"/>
              </w:rPr>
            </w:pPr>
          </w:p>
        </w:tc>
        <w:tc>
          <w:tcPr>
            <w:tcW w:w="803" w:type="dxa"/>
            <w:shd w:val="clear" w:color="auto" w:fill="auto"/>
            <w:vAlign w:val="center"/>
            <w:hideMark/>
          </w:tcPr>
          <w:p w14:paraId="3FC60C20" w14:textId="77777777" w:rsidR="00A775DB" w:rsidRPr="00B0658A" w:rsidRDefault="00A775DB" w:rsidP="004F1366">
            <w:pPr>
              <w:spacing w:after="0" w:line="240" w:lineRule="auto"/>
              <w:jc w:val="center"/>
              <w:rPr>
                <w:rFonts w:ascii="Times New Roman" w:hAnsi="Times New Roman"/>
                <w:sz w:val="18"/>
                <w:szCs w:val="18"/>
              </w:rPr>
            </w:pPr>
          </w:p>
        </w:tc>
        <w:tc>
          <w:tcPr>
            <w:tcW w:w="804" w:type="dxa"/>
            <w:shd w:val="clear" w:color="auto" w:fill="auto"/>
            <w:vAlign w:val="center"/>
            <w:hideMark/>
          </w:tcPr>
          <w:p w14:paraId="2BCC0536" w14:textId="77777777" w:rsidR="00A775DB" w:rsidRPr="00B0658A" w:rsidRDefault="00A775DB" w:rsidP="004F1366">
            <w:pPr>
              <w:spacing w:after="0" w:line="240" w:lineRule="auto"/>
              <w:jc w:val="center"/>
              <w:rPr>
                <w:rFonts w:ascii="Times New Roman" w:hAnsi="Times New Roman"/>
                <w:sz w:val="18"/>
                <w:szCs w:val="18"/>
              </w:rPr>
            </w:pPr>
          </w:p>
        </w:tc>
        <w:tc>
          <w:tcPr>
            <w:tcW w:w="1530" w:type="dxa"/>
            <w:vAlign w:val="center"/>
          </w:tcPr>
          <w:p w14:paraId="4CF0BD70" w14:textId="77777777" w:rsidR="00A775DB" w:rsidRPr="00B0658A" w:rsidRDefault="00A775DB" w:rsidP="004F1366">
            <w:pPr>
              <w:spacing w:after="0" w:line="240" w:lineRule="auto"/>
              <w:jc w:val="center"/>
              <w:rPr>
                <w:rFonts w:ascii="Times New Roman" w:hAnsi="Times New Roman"/>
                <w:sz w:val="18"/>
                <w:szCs w:val="18"/>
              </w:rPr>
            </w:pPr>
          </w:p>
        </w:tc>
      </w:tr>
      <w:tr w:rsidR="00F52FED" w:rsidRPr="00B0658A" w14:paraId="3268E8BF" w14:textId="77777777" w:rsidTr="004F1366">
        <w:trPr>
          <w:trHeight w:val="20"/>
        </w:trPr>
        <w:tc>
          <w:tcPr>
            <w:tcW w:w="578" w:type="dxa"/>
            <w:shd w:val="clear" w:color="000000" w:fill="FFFFFF"/>
            <w:vAlign w:val="center"/>
          </w:tcPr>
          <w:p w14:paraId="004AE511" w14:textId="77777777" w:rsidR="00A775DB" w:rsidRPr="00B0658A" w:rsidRDefault="00A775DB" w:rsidP="004F1366">
            <w:pPr>
              <w:spacing w:after="0" w:line="240" w:lineRule="auto"/>
              <w:jc w:val="center"/>
              <w:rPr>
                <w:rFonts w:ascii="Times New Roman" w:hAnsi="Times New Roman"/>
                <w:sz w:val="18"/>
                <w:szCs w:val="18"/>
              </w:rPr>
            </w:pPr>
            <w:r w:rsidRPr="00B0658A">
              <w:rPr>
                <w:rFonts w:ascii="Times New Roman" w:hAnsi="Times New Roman"/>
                <w:sz w:val="18"/>
                <w:szCs w:val="18"/>
              </w:rPr>
              <w:t>5.13</w:t>
            </w:r>
          </w:p>
        </w:tc>
        <w:tc>
          <w:tcPr>
            <w:tcW w:w="3812" w:type="dxa"/>
            <w:shd w:val="clear" w:color="auto" w:fill="auto"/>
            <w:vAlign w:val="center"/>
            <w:hideMark/>
          </w:tcPr>
          <w:p w14:paraId="5442724D" w14:textId="77777777" w:rsidR="00A775DB" w:rsidRPr="00B0658A" w:rsidRDefault="00A775DB" w:rsidP="004F1366">
            <w:pPr>
              <w:spacing w:after="0" w:line="240" w:lineRule="auto"/>
              <w:rPr>
                <w:rFonts w:ascii="Times New Roman" w:hAnsi="Times New Roman"/>
                <w:sz w:val="18"/>
                <w:szCs w:val="18"/>
              </w:rPr>
            </w:pPr>
            <w:r w:rsidRPr="00B0658A">
              <w:rPr>
                <w:rFonts w:ascii="Times New Roman" w:hAnsi="Times New Roman"/>
                <w:sz w:val="18"/>
                <w:szCs w:val="18"/>
              </w:rPr>
              <w:t>Прикладное программное обеспечение/ Средства интеллектуальной обработки информации и интеллектуального анализа бизнес-процессов</w:t>
            </w:r>
          </w:p>
        </w:tc>
        <w:tc>
          <w:tcPr>
            <w:tcW w:w="1842" w:type="dxa"/>
            <w:shd w:val="clear" w:color="000000" w:fill="FFFFFF"/>
            <w:hideMark/>
          </w:tcPr>
          <w:p w14:paraId="1427C580" w14:textId="77777777" w:rsidR="00A775DB" w:rsidRPr="00B0658A" w:rsidRDefault="00A775DB" w:rsidP="004F1366">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79" w:type="dxa"/>
            <w:shd w:val="clear" w:color="000000" w:fill="FFFFFF"/>
            <w:vAlign w:val="center"/>
          </w:tcPr>
          <w:p w14:paraId="54D072FA"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000000" w:fill="FFFFFF"/>
            <w:vAlign w:val="center"/>
            <w:hideMark/>
          </w:tcPr>
          <w:p w14:paraId="5BD7B27E"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000000" w:fill="FFFFFF"/>
            <w:vAlign w:val="center"/>
            <w:hideMark/>
          </w:tcPr>
          <w:p w14:paraId="7CE76529"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000000" w:fill="FFFFFF"/>
            <w:vAlign w:val="center"/>
            <w:hideMark/>
          </w:tcPr>
          <w:p w14:paraId="5420CA7B" w14:textId="77777777" w:rsidR="00A775DB" w:rsidRPr="00B0658A" w:rsidRDefault="00A775DB" w:rsidP="004F1366">
            <w:pPr>
              <w:spacing w:after="0" w:line="240" w:lineRule="auto"/>
              <w:jc w:val="center"/>
              <w:rPr>
                <w:rFonts w:ascii="Times New Roman" w:hAnsi="Times New Roman"/>
                <w:sz w:val="18"/>
                <w:szCs w:val="18"/>
              </w:rPr>
            </w:pPr>
          </w:p>
        </w:tc>
        <w:tc>
          <w:tcPr>
            <w:tcW w:w="992" w:type="dxa"/>
            <w:shd w:val="clear" w:color="000000" w:fill="FFFFFF"/>
            <w:vAlign w:val="center"/>
          </w:tcPr>
          <w:p w14:paraId="0904C2CE" w14:textId="77777777" w:rsidR="00A775DB" w:rsidRPr="00B0658A" w:rsidRDefault="00A775DB" w:rsidP="004F1366">
            <w:pPr>
              <w:spacing w:after="0" w:line="240" w:lineRule="auto"/>
              <w:jc w:val="center"/>
              <w:rPr>
                <w:rFonts w:ascii="Times New Roman" w:hAnsi="Times New Roman"/>
                <w:sz w:val="18"/>
                <w:szCs w:val="18"/>
              </w:rPr>
            </w:pPr>
          </w:p>
        </w:tc>
        <w:tc>
          <w:tcPr>
            <w:tcW w:w="803" w:type="dxa"/>
            <w:shd w:val="clear" w:color="000000" w:fill="FFFFFF"/>
            <w:vAlign w:val="center"/>
            <w:hideMark/>
          </w:tcPr>
          <w:p w14:paraId="16B1FE74" w14:textId="77777777" w:rsidR="00A775DB" w:rsidRPr="00B0658A" w:rsidRDefault="00A775DB" w:rsidP="004F1366">
            <w:pPr>
              <w:spacing w:after="0" w:line="240" w:lineRule="auto"/>
              <w:jc w:val="center"/>
              <w:rPr>
                <w:rFonts w:ascii="Times New Roman" w:hAnsi="Times New Roman"/>
                <w:sz w:val="18"/>
                <w:szCs w:val="18"/>
              </w:rPr>
            </w:pPr>
          </w:p>
        </w:tc>
        <w:tc>
          <w:tcPr>
            <w:tcW w:w="803" w:type="dxa"/>
            <w:shd w:val="clear" w:color="000000" w:fill="FFFFFF"/>
            <w:vAlign w:val="center"/>
            <w:hideMark/>
          </w:tcPr>
          <w:p w14:paraId="457B62A9" w14:textId="77777777" w:rsidR="00A775DB" w:rsidRPr="00B0658A" w:rsidRDefault="00A775DB" w:rsidP="004F1366">
            <w:pPr>
              <w:spacing w:after="0" w:line="240" w:lineRule="auto"/>
              <w:jc w:val="center"/>
              <w:rPr>
                <w:rFonts w:ascii="Times New Roman" w:hAnsi="Times New Roman"/>
                <w:sz w:val="18"/>
                <w:szCs w:val="18"/>
              </w:rPr>
            </w:pPr>
          </w:p>
        </w:tc>
        <w:tc>
          <w:tcPr>
            <w:tcW w:w="804" w:type="dxa"/>
            <w:shd w:val="clear" w:color="000000" w:fill="FFFFFF"/>
            <w:vAlign w:val="center"/>
            <w:hideMark/>
          </w:tcPr>
          <w:p w14:paraId="2984C1EA" w14:textId="77777777" w:rsidR="00A775DB" w:rsidRPr="00B0658A" w:rsidRDefault="00A775DB" w:rsidP="004F1366">
            <w:pPr>
              <w:spacing w:after="0" w:line="240" w:lineRule="auto"/>
              <w:jc w:val="center"/>
              <w:rPr>
                <w:rFonts w:ascii="Times New Roman" w:hAnsi="Times New Roman"/>
                <w:sz w:val="18"/>
                <w:szCs w:val="18"/>
              </w:rPr>
            </w:pPr>
          </w:p>
        </w:tc>
        <w:tc>
          <w:tcPr>
            <w:tcW w:w="1530" w:type="dxa"/>
            <w:shd w:val="clear" w:color="000000" w:fill="FFFFFF"/>
            <w:vAlign w:val="center"/>
          </w:tcPr>
          <w:p w14:paraId="651003A6" w14:textId="77777777" w:rsidR="00A775DB" w:rsidRPr="00B0658A" w:rsidRDefault="00A775DB" w:rsidP="004F1366">
            <w:pPr>
              <w:spacing w:after="0" w:line="240" w:lineRule="auto"/>
              <w:jc w:val="center"/>
              <w:rPr>
                <w:rFonts w:ascii="Times New Roman" w:hAnsi="Times New Roman"/>
                <w:sz w:val="18"/>
                <w:szCs w:val="18"/>
              </w:rPr>
            </w:pPr>
          </w:p>
        </w:tc>
      </w:tr>
      <w:tr w:rsidR="00F52FED" w:rsidRPr="00B0658A" w14:paraId="6F5FA560" w14:textId="77777777" w:rsidTr="004F1366">
        <w:trPr>
          <w:trHeight w:val="20"/>
        </w:trPr>
        <w:tc>
          <w:tcPr>
            <w:tcW w:w="578" w:type="dxa"/>
            <w:shd w:val="clear" w:color="000000" w:fill="FFFFFF"/>
            <w:vAlign w:val="center"/>
          </w:tcPr>
          <w:p w14:paraId="7DB5C15F" w14:textId="77777777" w:rsidR="00A775DB" w:rsidRPr="00B0658A" w:rsidRDefault="00A775DB" w:rsidP="004F1366">
            <w:pPr>
              <w:spacing w:after="0" w:line="240" w:lineRule="auto"/>
              <w:jc w:val="center"/>
              <w:rPr>
                <w:rFonts w:ascii="Times New Roman" w:hAnsi="Times New Roman"/>
                <w:sz w:val="18"/>
                <w:szCs w:val="18"/>
              </w:rPr>
            </w:pPr>
            <w:r w:rsidRPr="00B0658A">
              <w:rPr>
                <w:rFonts w:ascii="Times New Roman" w:hAnsi="Times New Roman"/>
                <w:sz w:val="18"/>
                <w:szCs w:val="18"/>
              </w:rPr>
              <w:t>5.14</w:t>
            </w:r>
          </w:p>
        </w:tc>
        <w:tc>
          <w:tcPr>
            <w:tcW w:w="3812" w:type="dxa"/>
            <w:shd w:val="clear" w:color="auto" w:fill="auto"/>
            <w:vAlign w:val="center"/>
            <w:hideMark/>
          </w:tcPr>
          <w:p w14:paraId="40C85F7C" w14:textId="77777777" w:rsidR="00A775DB" w:rsidRPr="00B0658A" w:rsidRDefault="00A775DB" w:rsidP="004F1366">
            <w:pPr>
              <w:spacing w:after="0" w:line="240" w:lineRule="auto"/>
              <w:rPr>
                <w:rFonts w:ascii="Times New Roman" w:hAnsi="Times New Roman"/>
                <w:sz w:val="18"/>
                <w:szCs w:val="18"/>
              </w:rPr>
            </w:pPr>
            <w:r w:rsidRPr="00B0658A">
              <w:rPr>
                <w:rFonts w:ascii="Times New Roman" w:hAnsi="Times New Roman"/>
                <w:sz w:val="18"/>
                <w:szCs w:val="18"/>
              </w:rPr>
              <w:t>Прикладное программное обеспечение/ Справочно-правовые системы</w:t>
            </w:r>
          </w:p>
        </w:tc>
        <w:tc>
          <w:tcPr>
            <w:tcW w:w="1842" w:type="dxa"/>
            <w:shd w:val="clear" w:color="000000" w:fill="FFFFFF"/>
            <w:hideMark/>
          </w:tcPr>
          <w:p w14:paraId="6203E931" w14:textId="77777777" w:rsidR="00A775DB" w:rsidRPr="00B0658A" w:rsidRDefault="00A775DB" w:rsidP="004F1366">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79" w:type="dxa"/>
            <w:shd w:val="clear" w:color="000000" w:fill="FFFFFF"/>
            <w:vAlign w:val="center"/>
          </w:tcPr>
          <w:p w14:paraId="4B15F223"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000000" w:fill="FFFFFF"/>
            <w:vAlign w:val="center"/>
            <w:hideMark/>
          </w:tcPr>
          <w:p w14:paraId="23F713CA"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000000" w:fill="FFFFFF"/>
            <w:vAlign w:val="center"/>
            <w:hideMark/>
          </w:tcPr>
          <w:p w14:paraId="58BEF583"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000000" w:fill="FFFFFF"/>
            <w:vAlign w:val="center"/>
            <w:hideMark/>
          </w:tcPr>
          <w:p w14:paraId="30DD8738" w14:textId="77777777" w:rsidR="00A775DB" w:rsidRPr="00B0658A" w:rsidRDefault="00A775DB" w:rsidP="004F1366">
            <w:pPr>
              <w:spacing w:after="0" w:line="240" w:lineRule="auto"/>
              <w:jc w:val="center"/>
              <w:rPr>
                <w:rFonts w:ascii="Times New Roman" w:hAnsi="Times New Roman"/>
                <w:sz w:val="18"/>
                <w:szCs w:val="18"/>
              </w:rPr>
            </w:pPr>
          </w:p>
        </w:tc>
        <w:tc>
          <w:tcPr>
            <w:tcW w:w="992" w:type="dxa"/>
            <w:shd w:val="clear" w:color="000000" w:fill="FFFFFF"/>
            <w:vAlign w:val="center"/>
          </w:tcPr>
          <w:p w14:paraId="3D994703" w14:textId="77777777" w:rsidR="00A775DB" w:rsidRPr="00B0658A" w:rsidRDefault="00A775DB" w:rsidP="004F1366">
            <w:pPr>
              <w:spacing w:after="0" w:line="240" w:lineRule="auto"/>
              <w:jc w:val="center"/>
              <w:rPr>
                <w:rFonts w:ascii="Times New Roman" w:hAnsi="Times New Roman"/>
                <w:sz w:val="18"/>
                <w:szCs w:val="18"/>
              </w:rPr>
            </w:pPr>
          </w:p>
        </w:tc>
        <w:tc>
          <w:tcPr>
            <w:tcW w:w="803" w:type="dxa"/>
            <w:shd w:val="clear" w:color="000000" w:fill="FFFFFF"/>
            <w:vAlign w:val="center"/>
            <w:hideMark/>
          </w:tcPr>
          <w:p w14:paraId="3C46057F" w14:textId="77777777" w:rsidR="00A775DB" w:rsidRPr="00B0658A" w:rsidRDefault="00A775DB" w:rsidP="004F1366">
            <w:pPr>
              <w:spacing w:after="0" w:line="240" w:lineRule="auto"/>
              <w:jc w:val="center"/>
              <w:rPr>
                <w:rFonts w:ascii="Times New Roman" w:hAnsi="Times New Roman"/>
                <w:sz w:val="18"/>
                <w:szCs w:val="18"/>
              </w:rPr>
            </w:pPr>
          </w:p>
        </w:tc>
        <w:tc>
          <w:tcPr>
            <w:tcW w:w="803" w:type="dxa"/>
            <w:shd w:val="clear" w:color="000000" w:fill="FFFFFF"/>
            <w:vAlign w:val="center"/>
            <w:hideMark/>
          </w:tcPr>
          <w:p w14:paraId="654DB6F2" w14:textId="77777777" w:rsidR="00A775DB" w:rsidRPr="00B0658A" w:rsidRDefault="00A775DB" w:rsidP="004F1366">
            <w:pPr>
              <w:spacing w:after="0" w:line="240" w:lineRule="auto"/>
              <w:jc w:val="center"/>
              <w:rPr>
                <w:rFonts w:ascii="Times New Roman" w:hAnsi="Times New Roman"/>
                <w:sz w:val="18"/>
                <w:szCs w:val="18"/>
              </w:rPr>
            </w:pPr>
          </w:p>
        </w:tc>
        <w:tc>
          <w:tcPr>
            <w:tcW w:w="804" w:type="dxa"/>
            <w:shd w:val="clear" w:color="000000" w:fill="FFFFFF"/>
            <w:vAlign w:val="center"/>
            <w:hideMark/>
          </w:tcPr>
          <w:p w14:paraId="71704BA3" w14:textId="77777777" w:rsidR="00A775DB" w:rsidRPr="00B0658A" w:rsidRDefault="00A775DB" w:rsidP="004F1366">
            <w:pPr>
              <w:spacing w:after="0" w:line="240" w:lineRule="auto"/>
              <w:jc w:val="center"/>
              <w:rPr>
                <w:rFonts w:ascii="Times New Roman" w:hAnsi="Times New Roman"/>
                <w:sz w:val="18"/>
                <w:szCs w:val="18"/>
              </w:rPr>
            </w:pPr>
          </w:p>
        </w:tc>
        <w:tc>
          <w:tcPr>
            <w:tcW w:w="1530" w:type="dxa"/>
            <w:shd w:val="clear" w:color="000000" w:fill="FFFFFF"/>
            <w:vAlign w:val="center"/>
          </w:tcPr>
          <w:p w14:paraId="7C12915D" w14:textId="77777777" w:rsidR="00A775DB" w:rsidRPr="00B0658A" w:rsidRDefault="00A775DB" w:rsidP="004F1366">
            <w:pPr>
              <w:spacing w:after="0" w:line="240" w:lineRule="auto"/>
              <w:jc w:val="center"/>
              <w:rPr>
                <w:rFonts w:ascii="Times New Roman" w:hAnsi="Times New Roman"/>
                <w:sz w:val="18"/>
                <w:szCs w:val="18"/>
              </w:rPr>
            </w:pPr>
          </w:p>
        </w:tc>
      </w:tr>
      <w:tr w:rsidR="00F52FED" w:rsidRPr="00B0658A" w14:paraId="6CF7E7B0" w14:textId="77777777" w:rsidTr="004F1366">
        <w:trPr>
          <w:trHeight w:val="20"/>
        </w:trPr>
        <w:tc>
          <w:tcPr>
            <w:tcW w:w="578" w:type="dxa"/>
            <w:shd w:val="clear" w:color="000000" w:fill="FFFFFF"/>
            <w:vAlign w:val="center"/>
          </w:tcPr>
          <w:p w14:paraId="4358592C" w14:textId="77777777" w:rsidR="00A775DB" w:rsidRPr="00B0658A" w:rsidRDefault="00A775DB" w:rsidP="004F1366">
            <w:pPr>
              <w:spacing w:after="0" w:line="240" w:lineRule="auto"/>
              <w:jc w:val="center"/>
              <w:rPr>
                <w:rFonts w:ascii="Times New Roman" w:hAnsi="Times New Roman"/>
                <w:sz w:val="18"/>
                <w:szCs w:val="18"/>
              </w:rPr>
            </w:pPr>
            <w:r w:rsidRPr="00B0658A">
              <w:rPr>
                <w:rFonts w:ascii="Times New Roman" w:hAnsi="Times New Roman"/>
                <w:sz w:val="18"/>
                <w:szCs w:val="18"/>
              </w:rPr>
              <w:t>5.15</w:t>
            </w:r>
          </w:p>
        </w:tc>
        <w:tc>
          <w:tcPr>
            <w:tcW w:w="3812" w:type="dxa"/>
            <w:shd w:val="clear" w:color="auto" w:fill="auto"/>
            <w:vAlign w:val="center"/>
            <w:hideMark/>
          </w:tcPr>
          <w:p w14:paraId="2F61CC38" w14:textId="77777777" w:rsidR="00A775DB" w:rsidRPr="00B0658A" w:rsidRDefault="00A775DB" w:rsidP="004F1366">
            <w:pPr>
              <w:spacing w:after="0" w:line="240" w:lineRule="auto"/>
              <w:rPr>
                <w:rFonts w:ascii="Times New Roman" w:hAnsi="Times New Roman"/>
                <w:sz w:val="18"/>
                <w:szCs w:val="18"/>
              </w:rPr>
            </w:pPr>
            <w:r w:rsidRPr="00B0658A">
              <w:rPr>
                <w:rFonts w:ascii="Times New Roman" w:hAnsi="Times New Roman"/>
                <w:sz w:val="18"/>
                <w:szCs w:val="18"/>
              </w:rPr>
              <w:t>Прикладное программное обеспечение/ Информационные системы для решения специфических отраслевых задач</w:t>
            </w:r>
          </w:p>
        </w:tc>
        <w:tc>
          <w:tcPr>
            <w:tcW w:w="1842" w:type="dxa"/>
            <w:shd w:val="clear" w:color="000000" w:fill="FFFFFF"/>
            <w:hideMark/>
          </w:tcPr>
          <w:p w14:paraId="55E45503" w14:textId="77777777" w:rsidR="00A775DB" w:rsidRPr="00B0658A" w:rsidRDefault="00A775DB" w:rsidP="004F1366">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79" w:type="dxa"/>
            <w:shd w:val="clear" w:color="000000" w:fill="FFFFFF"/>
            <w:vAlign w:val="center"/>
          </w:tcPr>
          <w:p w14:paraId="339E37AC"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000000" w:fill="FFFFFF"/>
            <w:vAlign w:val="center"/>
            <w:hideMark/>
          </w:tcPr>
          <w:p w14:paraId="57CA8452"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000000" w:fill="FFFFFF"/>
            <w:vAlign w:val="center"/>
            <w:hideMark/>
          </w:tcPr>
          <w:p w14:paraId="0F431888"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000000" w:fill="FFFFFF"/>
            <w:vAlign w:val="center"/>
            <w:hideMark/>
          </w:tcPr>
          <w:p w14:paraId="1C10CB9C" w14:textId="77777777" w:rsidR="00A775DB" w:rsidRPr="00B0658A" w:rsidRDefault="00A775DB" w:rsidP="004F1366">
            <w:pPr>
              <w:spacing w:after="0" w:line="240" w:lineRule="auto"/>
              <w:jc w:val="center"/>
              <w:rPr>
                <w:rFonts w:ascii="Times New Roman" w:hAnsi="Times New Roman"/>
                <w:sz w:val="18"/>
                <w:szCs w:val="18"/>
              </w:rPr>
            </w:pPr>
          </w:p>
        </w:tc>
        <w:tc>
          <w:tcPr>
            <w:tcW w:w="992" w:type="dxa"/>
            <w:shd w:val="clear" w:color="000000" w:fill="FFFFFF"/>
            <w:vAlign w:val="center"/>
          </w:tcPr>
          <w:p w14:paraId="4B5FEDF9" w14:textId="77777777" w:rsidR="00A775DB" w:rsidRPr="00B0658A" w:rsidRDefault="00A775DB" w:rsidP="004F1366">
            <w:pPr>
              <w:spacing w:after="0" w:line="240" w:lineRule="auto"/>
              <w:jc w:val="center"/>
              <w:rPr>
                <w:rFonts w:ascii="Times New Roman" w:hAnsi="Times New Roman"/>
                <w:sz w:val="18"/>
                <w:szCs w:val="18"/>
              </w:rPr>
            </w:pPr>
          </w:p>
        </w:tc>
        <w:tc>
          <w:tcPr>
            <w:tcW w:w="803" w:type="dxa"/>
            <w:shd w:val="clear" w:color="000000" w:fill="FFFFFF"/>
            <w:vAlign w:val="center"/>
            <w:hideMark/>
          </w:tcPr>
          <w:p w14:paraId="3A393C2E" w14:textId="77777777" w:rsidR="00A775DB" w:rsidRPr="00B0658A" w:rsidRDefault="00A775DB" w:rsidP="004F1366">
            <w:pPr>
              <w:spacing w:after="0" w:line="240" w:lineRule="auto"/>
              <w:jc w:val="center"/>
              <w:rPr>
                <w:rFonts w:ascii="Times New Roman" w:hAnsi="Times New Roman"/>
                <w:sz w:val="18"/>
                <w:szCs w:val="18"/>
              </w:rPr>
            </w:pPr>
          </w:p>
        </w:tc>
        <w:tc>
          <w:tcPr>
            <w:tcW w:w="803" w:type="dxa"/>
            <w:shd w:val="clear" w:color="000000" w:fill="FFFFFF"/>
            <w:vAlign w:val="center"/>
            <w:hideMark/>
          </w:tcPr>
          <w:p w14:paraId="40C67891" w14:textId="77777777" w:rsidR="00A775DB" w:rsidRPr="00B0658A" w:rsidRDefault="00A775DB" w:rsidP="004F1366">
            <w:pPr>
              <w:spacing w:after="0" w:line="240" w:lineRule="auto"/>
              <w:jc w:val="center"/>
              <w:rPr>
                <w:rFonts w:ascii="Times New Roman" w:hAnsi="Times New Roman"/>
                <w:sz w:val="18"/>
                <w:szCs w:val="18"/>
              </w:rPr>
            </w:pPr>
          </w:p>
        </w:tc>
        <w:tc>
          <w:tcPr>
            <w:tcW w:w="804" w:type="dxa"/>
            <w:shd w:val="clear" w:color="000000" w:fill="FFFFFF"/>
            <w:vAlign w:val="center"/>
            <w:hideMark/>
          </w:tcPr>
          <w:p w14:paraId="190C33EF" w14:textId="77777777" w:rsidR="00A775DB" w:rsidRPr="00B0658A" w:rsidRDefault="00A775DB" w:rsidP="004F1366">
            <w:pPr>
              <w:spacing w:after="0" w:line="240" w:lineRule="auto"/>
              <w:jc w:val="center"/>
              <w:rPr>
                <w:rFonts w:ascii="Times New Roman" w:hAnsi="Times New Roman"/>
                <w:sz w:val="18"/>
                <w:szCs w:val="18"/>
              </w:rPr>
            </w:pPr>
          </w:p>
        </w:tc>
        <w:tc>
          <w:tcPr>
            <w:tcW w:w="1530" w:type="dxa"/>
            <w:shd w:val="clear" w:color="000000" w:fill="FFFFFF"/>
            <w:vAlign w:val="center"/>
          </w:tcPr>
          <w:p w14:paraId="043128D3" w14:textId="77777777" w:rsidR="00A775DB" w:rsidRPr="00B0658A" w:rsidRDefault="00A775DB" w:rsidP="004F1366">
            <w:pPr>
              <w:spacing w:after="0" w:line="240" w:lineRule="auto"/>
              <w:jc w:val="center"/>
              <w:rPr>
                <w:rFonts w:ascii="Times New Roman" w:hAnsi="Times New Roman"/>
                <w:sz w:val="18"/>
                <w:szCs w:val="18"/>
              </w:rPr>
            </w:pPr>
          </w:p>
        </w:tc>
      </w:tr>
      <w:tr w:rsidR="00F52FED" w:rsidRPr="00B0658A" w14:paraId="624E716E" w14:textId="77777777" w:rsidTr="004F1366">
        <w:trPr>
          <w:trHeight w:val="20"/>
        </w:trPr>
        <w:tc>
          <w:tcPr>
            <w:tcW w:w="578" w:type="dxa"/>
            <w:shd w:val="clear" w:color="000000" w:fill="FFFFFF"/>
            <w:vAlign w:val="center"/>
          </w:tcPr>
          <w:p w14:paraId="7D803E40" w14:textId="77777777" w:rsidR="00A775DB" w:rsidRPr="00B0658A" w:rsidRDefault="00A775DB" w:rsidP="004F1366">
            <w:pPr>
              <w:spacing w:after="0" w:line="240" w:lineRule="auto"/>
              <w:jc w:val="center"/>
              <w:rPr>
                <w:rFonts w:ascii="Times New Roman" w:hAnsi="Times New Roman"/>
                <w:sz w:val="18"/>
                <w:szCs w:val="18"/>
              </w:rPr>
            </w:pPr>
            <w:r w:rsidRPr="00B0658A">
              <w:rPr>
                <w:rFonts w:ascii="Times New Roman" w:hAnsi="Times New Roman"/>
                <w:sz w:val="18"/>
                <w:szCs w:val="18"/>
              </w:rPr>
              <w:t>5.16</w:t>
            </w:r>
          </w:p>
        </w:tc>
        <w:tc>
          <w:tcPr>
            <w:tcW w:w="3812" w:type="dxa"/>
            <w:shd w:val="clear" w:color="auto" w:fill="auto"/>
            <w:vAlign w:val="center"/>
            <w:hideMark/>
          </w:tcPr>
          <w:p w14:paraId="3BE10C12" w14:textId="77777777" w:rsidR="00A775DB" w:rsidRPr="00B0658A" w:rsidRDefault="00A775DB" w:rsidP="004F1366">
            <w:pPr>
              <w:spacing w:after="0" w:line="240" w:lineRule="auto"/>
              <w:rPr>
                <w:rFonts w:ascii="Times New Roman" w:hAnsi="Times New Roman"/>
                <w:sz w:val="18"/>
                <w:szCs w:val="18"/>
              </w:rPr>
            </w:pPr>
            <w:r w:rsidRPr="00B0658A">
              <w:rPr>
                <w:rFonts w:ascii="Times New Roman" w:hAnsi="Times New Roman"/>
                <w:sz w:val="18"/>
                <w:szCs w:val="18"/>
              </w:rPr>
              <w:t>Прикладное программное обеспечение/ Автоматизированные информационные системы оформления воздушных перевозок</w:t>
            </w:r>
          </w:p>
        </w:tc>
        <w:tc>
          <w:tcPr>
            <w:tcW w:w="1842" w:type="dxa"/>
            <w:shd w:val="clear" w:color="000000" w:fill="FFFFFF"/>
            <w:hideMark/>
          </w:tcPr>
          <w:p w14:paraId="4398DAE4" w14:textId="77777777" w:rsidR="00A775DB" w:rsidRPr="00B0658A" w:rsidRDefault="00A775DB" w:rsidP="004F1366">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79" w:type="dxa"/>
            <w:shd w:val="clear" w:color="000000" w:fill="FFFFFF"/>
            <w:vAlign w:val="center"/>
          </w:tcPr>
          <w:p w14:paraId="5A123A30"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000000" w:fill="FFFFFF"/>
            <w:vAlign w:val="center"/>
            <w:hideMark/>
          </w:tcPr>
          <w:p w14:paraId="084F29B8"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000000" w:fill="FFFFFF"/>
            <w:vAlign w:val="center"/>
            <w:hideMark/>
          </w:tcPr>
          <w:p w14:paraId="600028FF"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000000" w:fill="FFFFFF"/>
            <w:vAlign w:val="center"/>
            <w:hideMark/>
          </w:tcPr>
          <w:p w14:paraId="01319E79" w14:textId="77777777" w:rsidR="00A775DB" w:rsidRPr="00B0658A" w:rsidRDefault="00A775DB" w:rsidP="004F1366">
            <w:pPr>
              <w:spacing w:after="0" w:line="240" w:lineRule="auto"/>
              <w:jc w:val="center"/>
              <w:rPr>
                <w:rFonts w:ascii="Times New Roman" w:hAnsi="Times New Roman"/>
                <w:sz w:val="18"/>
                <w:szCs w:val="18"/>
              </w:rPr>
            </w:pPr>
          </w:p>
        </w:tc>
        <w:tc>
          <w:tcPr>
            <w:tcW w:w="992" w:type="dxa"/>
            <w:shd w:val="clear" w:color="000000" w:fill="FFFFFF"/>
            <w:vAlign w:val="center"/>
          </w:tcPr>
          <w:p w14:paraId="679947A5" w14:textId="77777777" w:rsidR="00A775DB" w:rsidRPr="00B0658A" w:rsidRDefault="00A775DB" w:rsidP="004F1366">
            <w:pPr>
              <w:spacing w:after="0" w:line="240" w:lineRule="auto"/>
              <w:jc w:val="center"/>
              <w:rPr>
                <w:rFonts w:ascii="Times New Roman" w:hAnsi="Times New Roman"/>
                <w:sz w:val="18"/>
                <w:szCs w:val="18"/>
              </w:rPr>
            </w:pPr>
          </w:p>
        </w:tc>
        <w:tc>
          <w:tcPr>
            <w:tcW w:w="803" w:type="dxa"/>
            <w:shd w:val="clear" w:color="000000" w:fill="FFFFFF"/>
            <w:vAlign w:val="center"/>
            <w:hideMark/>
          </w:tcPr>
          <w:p w14:paraId="7E5E6DEA" w14:textId="77777777" w:rsidR="00A775DB" w:rsidRPr="00B0658A" w:rsidRDefault="00A775DB" w:rsidP="004F1366">
            <w:pPr>
              <w:spacing w:after="0" w:line="240" w:lineRule="auto"/>
              <w:jc w:val="center"/>
              <w:rPr>
                <w:rFonts w:ascii="Times New Roman" w:hAnsi="Times New Roman"/>
                <w:sz w:val="18"/>
                <w:szCs w:val="18"/>
              </w:rPr>
            </w:pPr>
          </w:p>
        </w:tc>
        <w:tc>
          <w:tcPr>
            <w:tcW w:w="803" w:type="dxa"/>
            <w:shd w:val="clear" w:color="000000" w:fill="FFFFFF"/>
            <w:vAlign w:val="center"/>
            <w:hideMark/>
          </w:tcPr>
          <w:p w14:paraId="07ABA1AC" w14:textId="77777777" w:rsidR="00A775DB" w:rsidRPr="00B0658A" w:rsidRDefault="00A775DB" w:rsidP="004F1366">
            <w:pPr>
              <w:spacing w:after="0" w:line="240" w:lineRule="auto"/>
              <w:jc w:val="center"/>
              <w:rPr>
                <w:rFonts w:ascii="Times New Roman" w:hAnsi="Times New Roman"/>
                <w:sz w:val="18"/>
                <w:szCs w:val="18"/>
              </w:rPr>
            </w:pPr>
          </w:p>
        </w:tc>
        <w:tc>
          <w:tcPr>
            <w:tcW w:w="804" w:type="dxa"/>
            <w:shd w:val="clear" w:color="000000" w:fill="FFFFFF"/>
            <w:vAlign w:val="center"/>
            <w:hideMark/>
          </w:tcPr>
          <w:p w14:paraId="5E65FA1B" w14:textId="77777777" w:rsidR="00A775DB" w:rsidRPr="00B0658A" w:rsidRDefault="00A775DB" w:rsidP="004F1366">
            <w:pPr>
              <w:spacing w:after="0" w:line="240" w:lineRule="auto"/>
              <w:jc w:val="center"/>
              <w:rPr>
                <w:rFonts w:ascii="Times New Roman" w:hAnsi="Times New Roman"/>
                <w:sz w:val="18"/>
                <w:szCs w:val="18"/>
              </w:rPr>
            </w:pPr>
          </w:p>
        </w:tc>
        <w:tc>
          <w:tcPr>
            <w:tcW w:w="1530" w:type="dxa"/>
            <w:shd w:val="clear" w:color="000000" w:fill="FFFFFF"/>
            <w:vAlign w:val="center"/>
          </w:tcPr>
          <w:p w14:paraId="0938C79C" w14:textId="77777777" w:rsidR="00A775DB" w:rsidRPr="00B0658A" w:rsidRDefault="00A775DB" w:rsidP="004F1366">
            <w:pPr>
              <w:spacing w:after="0" w:line="240" w:lineRule="auto"/>
              <w:jc w:val="center"/>
              <w:rPr>
                <w:rFonts w:ascii="Times New Roman" w:hAnsi="Times New Roman"/>
                <w:sz w:val="18"/>
                <w:szCs w:val="18"/>
              </w:rPr>
            </w:pPr>
          </w:p>
        </w:tc>
      </w:tr>
      <w:tr w:rsidR="00F52FED" w:rsidRPr="00B0658A" w14:paraId="5B398057" w14:textId="77777777" w:rsidTr="004F1366">
        <w:trPr>
          <w:trHeight w:val="20"/>
        </w:trPr>
        <w:tc>
          <w:tcPr>
            <w:tcW w:w="578" w:type="dxa"/>
            <w:shd w:val="clear" w:color="auto" w:fill="auto"/>
            <w:vAlign w:val="center"/>
          </w:tcPr>
          <w:p w14:paraId="766266EB" w14:textId="77777777" w:rsidR="00A775DB" w:rsidRPr="00B0658A" w:rsidRDefault="00A775DB" w:rsidP="004F1366">
            <w:pPr>
              <w:spacing w:after="0" w:line="240" w:lineRule="auto"/>
              <w:jc w:val="center"/>
              <w:rPr>
                <w:rFonts w:ascii="Times New Roman" w:hAnsi="Times New Roman"/>
                <w:sz w:val="18"/>
                <w:szCs w:val="18"/>
              </w:rPr>
            </w:pPr>
            <w:r w:rsidRPr="00B0658A">
              <w:rPr>
                <w:rFonts w:ascii="Times New Roman" w:hAnsi="Times New Roman"/>
                <w:sz w:val="18"/>
                <w:szCs w:val="18"/>
              </w:rPr>
              <w:t>6.1</w:t>
            </w:r>
          </w:p>
        </w:tc>
        <w:tc>
          <w:tcPr>
            <w:tcW w:w="3812" w:type="dxa"/>
            <w:shd w:val="clear" w:color="auto" w:fill="auto"/>
            <w:vAlign w:val="center"/>
            <w:hideMark/>
          </w:tcPr>
          <w:p w14:paraId="38133D08" w14:textId="77777777" w:rsidR="00A775DB" w:rsidRPr="00B0658A" w:rsidRDefault="00A775DB" w:rsidP="004F1366">
            <w:pPr>
              <w:spacing w:after="0" w:line="240" w:lineRule="auto"/>
              <w:rPr>
                <w:rFonts w:ascii="Times New Roman" w:hAnsi="Times New Roman"/>
                <w:sz w:val="18"/>
                <w:szCs w:val="18"/>
              </w:rPr>
            </w:pPr>
            <w:r w:rsidRPr="00B0658A">
              <w:rPr>
                <w:rFonts w:ascii="Times New Roman" w:hAnsi="Times New Roman"/>
                <w:sz w:val="18"/>
                <w:szCs w:val="18"/>
              </w:rPr>
              <w:t>Офисные приложения/ Файловые менеджеры</w:t>
            </w:r>
          </w:p>
        </w:tc>
        <w:tc>
          <w:tcPr>
            <w:tcW w:w="1842" w:type="dxa"/>
            <w:shd w:val="clear" w:color="000000" w:fill="FFFFFF"/>
            <w:hideMark/>
          </w:tcPr>
          <w:p w14:paraId="551938E4" w14:textId="77777777" w:rsidR="00A775DB" w:rsidRPr="00B0658A" w:rsidRDefault="00A775DB" w:rsidP="004F1366">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79" w:type="dxa"/>
            <w:shd w:val="clear" w:color="000000" w:fill="FFFFFF"/>
            <w:vAlign w:val="center"/>
          </w:tcPr>
          <w:p w14:paraId="43A86CA1"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000000" w:fill="FFFFFF"/>
            <w:vAlign w:val="center"/>
            <w:hideMark/>
          </w:tcPr>
          <w:p w14:paraId="2F5C223F"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000000" w:fill="FFFFFF"/>
            <w:vAlign w:val="center"/>
            <w:hideMark/>
          </w:tcPr>
          <w:p w14:paraId="7C9AA8D8"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000000" w:fill="FFFFFF"/>
            <w:vAlign w:val="center"/>
            <w:hideMark/>
          </w:tcPr>
          <w:p w14:paraId="544C5E21" w14:textId="77777777" w:rsidR="00A775DB" w:rsidRPr="00B0658A" w:rsidRDefault="00A775DB" w:rsidP="004F1366">
            <w:pPr>
              <w:spacing w:after="0" w:line="240" w:lineRule="auto"/>
              <w:jc w:val="center"/>
              <w:rPr>
                <w:rFonts w:ascii="Times New Roman" w:hAnsi="Times New Roman"/>
                <w:sz w:val="18"/>
                <w:szCs w:val="18"/>
              </w:rPr>
            </w:pPr>
          </w:p>
        </w:tc>
        <w:tc>
          <w:tcPr>
            <w:tcW w:w="992" w:type="dxa"/>
            <w:shd w:val="clear" w:color="000000" w:fill="FFFFFF"/>
            <w:vAlign w:val="center"/>
          </w:tcPr>
          <w:p w14:paraId="10C3F4FA" w14:textId="77777777" w:rsidR="00A775DB" w:rsidRPr="00B0658A" w:rsidRDefault="00A775DB" w:rsidP="004F1366">
            <w:pPr>
              <w:spacing w:after="0" w:line="240" w:lineRule="auto"/>
              <w:jc w:val="center"/>
              <w:rPr>
                <w:rFonts w:ascii="Times New Roman" w:hAnsi="Times New Roman"/>
                <w:sz w:val="18"/>
                <w:szCs w:val="18"/>
              </w:rPr>
            </w:pPr>
          </w:p>
        </w:tc>
        <w:tc>
          <w:tcPr>
            <w:tcW w:w="803" w:type="dxa"/>
            <w:shd w:val="clear" w:color="000000" w:fill="FFFFFF"/>
            <w:vAlign w:val="center"/>
            <w:hideMark/>
          </w:tcPr>
          <w:p w14:paraId="4899DE41" w14:textId="77777777" w:rsidR="00A775DB" w:rsidRPr="00B0658A" w:rsidRDefault="00A775DB" w:rsidP="004F1366">
            <w:pPr>
              <w:spacing w:after="0" w:line="240" w:lineRule="auto"/>
              <w:jc w:val="center"/>
              <w:rPr>
                <w:rFonts w:ascii="Times New Roman" w:hAnsi="Times New Roman"/>
                <w:sz w:val="18"/>
                <w:szCs w:val="18"/>
              </w:rPr>
            </w:pPr>
          </w:p>
        </w:tc>
        <w:tc>
          <w:tcPr>
            <w:tcW w:w="803" w:type="dxa"/>
            <w:shd w:val="clear" w:color="000000" w:fill="FFFFFF"/>
            <w:vAlign w:val="center"/>
            <w:hideMark/>
          </w:tcPr>
          <w:p w14:paraId="51F04FBC" w14:textId="77777777" w:rsidR="00A775DB" w:rsidRPr="00B0658A" w:rsidRDefault="00A775DB" w:rsidP="004F1366">
            <w:pPr>
              <w:spacing w:after="0" w:line="240" w:lineRule="auto"/>
              <w:jc w:val="center"/>
              <w:rPr>
                <w:rFonts w:ascii="Times New Roman" w:hAnsi="Times New Roman"/>
                <w:sz w:val="18"/>
                <w:szCs w:val="18"/>
              </w:rPr>
            </w:pPr>
          </w:p>
        </w:tc>
        <w:tc>
          <w:tcPr>
            <w:tcW w:w="804" w:type="dxa"/>
            <w:shd w:val="clear" w:color="000000" w:fill="FFFFFF"/>
            <w:vAlign w:val="center"/>
            <w:hideMark/>
          </w:tcPr>
          <w:p w14:paraId="0B2FBD43" w14:textId="77777777" w:rsidR="00A775DB" w:rsidRPr="00B0658A" w:rsidRDefault="00A775DB" w:rsidP="004F1366">
            <w:pPr>
              <w:spacing w:after="0" w:line="240" w:lineRule="auto"/>
              <w:jc w:val="center"/>
              <w:rPr>
                <w:rFonts w:ascii="Times New Roman" w:hAnsi="Times New Roman"/>
                <w:sz w:val="18"/>
                <w:szCs w:val="18"/>
              </w:rPr>
            </w:pPr>
          </w:p>
        </w:tc>
        <w:tc>
          <w:tcPr>
            <w:tcW w:w="1530" w:type="dxa"/>
            <w:shd w:val="clear" w:color="000000" w:fill="FFFFFF"/>
            <w:vAlign w:val="center"/>
          </w:tcPr>
          <w:p w14:paraId="417C5E46" w14:textId="77777777" w:rsidR="00A775DB" w:rsidRPr="00B0658A" w:rsidRDefault="00A775DB" w:rsidP="004F1366">
            <w:pPr>
              <w:spacing w:after="0" w:line="240" w:lineRule="auto"/>
              <w:jc w:val="center"/>
              <w:rPr>
                <w:rFonts w:ascii="Times New Roman" w:hAnsi="Times New Roman"/>
                <w:sz w:val="18"/>
                <w:szCs w:val="18"/>
              </w:rPr>
            </w:pPr>
          </w:p>
        </w:tc>
      </w:tr>
      <w:tr w:rsidR="00F52FED" w:rsidRPr="00B0658A" w14:paraId="4863A949" w14:textId="77777777" w:rsidTr="004F1366">
        <w:trPr>
          <w:trHeight w:val="20"/>
        </w:trPr>
        <w:tc>
          <w:tcPr>
            <w:tcW w:w="578" w:type="dxa"/>
            <w:shd w:val="clear" w:color="000000" w:fill="FFFFFF"/>
            <w:vAlign w:val="center"/>
          </w:tcPr>
          <w:p w14:paraId="47FD6C70" w14:textId="77777777" w:rsidR="00A775DB" w:rsidRPr="00B0658A" w:rsidRDefault="00A775DB" w:rsidP="004F1366">
            <w:pPr>
              <w:spacing w:after="0" w:line="240" w:lineRule="auto"/>
              <w:jc w:val="center"/>
              <w:rPr>
                <w:rFonts w:ascii="Times New Roman" w:hAnsi="Times New Roman"/>
                <w:sz w:val="18"/>
                <w:szCs w:val="18"/>
              </w:rPr>
            </w:pPr>
            <w:r w:rsidRPr="00B0658A">
              <w:rPr>
                <w:rFonts w:ascii="Times New Roman" w:hAnsi="Times New Roman"/>
                <w:sz w:val="18"/>
                <w:szCs w:val="18"/>
              </w:rPr>
              <w:t>6.2</w:t>
            </w:r>
          </w:p>
        </w:tc>
        <w:tc>
          <w:tcPr>
            <w:tcW w:w="3812" w:type="dxa"/>
            <w:shd w:val="clear" w:color="auto" w:fill="auto"/>
            <w:vAlign w:val="center"/>
            <w:hideMark/>
          </w:tcPr>
          <w:p w14:paraId="6035CE91" w14:textId="77777777" w:rsidR="00A775DB" w:rsidRPr="00B0658A" w:rsidRDefault="00A775DB" w:rsidP="004F1366">
            <w:pPr>
              <w:spacing w:after="0" w:line="240" w:lineRule="auto"/>
              <w:rPr>
                <w:rFonts w:ascii="Times New Roman" w:hAnsi="Times New Roman"/>
                <w:sz w:val="18"/>
                <w:szCs w:val="18"/>
              </w:rPr>
            </w:pPr>
            <w:r w:rsidRPr="00B0658A">
              <w:rPr>
                <w:rFonts w:ascii="Times New Roman" w:hAnsi="Times New Roman"/>
                <w:sz w:val="18"/>
                <w:szCs w:val="18"/>
              </w:rPr>
              <w:t>Офисные приложения/ Коммуникационное программное обеспечение</w:t>
            </w:r>
          </w:p>
        </w:tc>
        <w:tc>
          <w:tcPr>
            <w:tcW w:w="1842" w:type="dxa"/>
            <w:shd w:val="clear" w:color="000000" w:fill="FFFFFF"/>
            <w:hideMark/>
          </w:tcPr>
          <w:p w14:paraId="0B426E44" w14:textId="77777777" w:rsidR="00A775DB" w:rsidRPr="00B0658A" w:rsidRDefault="00A775DB" w:rsidP="004F1366">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79" w:type="dxa"/>
            <w:shd w:val="clear" w:color="000000" w:fill="FFFFFF"/>
            <w:vAlign w:val="center"/>
          </w:tcPr>
          <w:p w14:paraId="0E8CD529"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000000" w:fill="FFFFFF"/>
            <w:vAlign w:val="center"/>
            <w:hideMark/>
          </w:tcPr>
          <w:p w14:paraId="4BDA510C"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000000" w:fill="FFFFFF"/>
            <w:vAlign w:val="center"/>
            <w:hideMark/>
          </w:tcPr>
          <w:p w14:paraId="11641A52"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000000" w:fill="FFFFFF"/>
            <w:vAlign w:val="center"/>
            <w:hideMark/>
          </w:tcPr>
          <w:p w14:paraId="485270EA" w14:textId="77777777" w:rsidR="00A775DB" w:rsidRPr="00B0658A" w:rsidRDefault="00A775DB" w:rsidP="004F1366">
            <w:pPr>
              <w:spacing w:after="0" w:line="240" w:lineRule="auto"/>
              <w:jc w:val="center"/>
              <w:rPr>
                <w:rFonts w:ascii="Times New Roman" w:hAnsi="Times New Roman"/>
                <w:sz w:val="18"/>
                <w:szCs w:val="18"/>
              </w:rPr>
            </w:pPr>
          </w:p>
        </w:tc>
        <w:tc>
          <w:tcPr>
            <w:tcW w:w="992" w:type="dxa"/>
            <w:shd w:val="clear" w:color="000000" w:fill="FFFFFF"/>
            <w:vAlign w:val="center"/>
          </w:tcPr>
          <w:p w14:paraId="1DC29288" w14:textId="77777777" w:rsidR="00A775DB" w:rsidRPr="00B0658A" w:rsidRDefault="00A775DB" w:rsidP="004F1366">
            <w:pPr>
              <w:spacing w:after="0" w:line="240" w:lineRule="auto"/>
              <w:jc w:val="center"/>
              <w:rPr>
                <w:rFonts w:ascii="Times New Roman" w:hAnsi="Times New Roman"/>
                <w:sz w:val="18"/>
                <w:szCs w:val="18"/>
              </w:rPr>
            </w:pPr>
          </w:p>
        </w:tc>
        <w:tc>
          <w:tcPr>
            <w:tcW w:w="803" w:type="dxa"/>
            <w:shd w:val="clear" w:color="000000" w:fill="FFFFFF"/>
            <w:vAlign w:val="center"/>
            <w:hideMark/>
          </w:tcPr>
          <w:p w14:paraId="4C7C36DC" w14:textId="77777777" w:rsidR="00A775DB" w:rsidRPr="00B0658A" w:rsidRDefault="00A775DB" w:rsidP="004F1366">
            <w:pPr>
              <w:spacing w:after="0" w:line="240" w:lineRule="auto"/>
              <w:jc w:val="center"/>
              <w:rPr>
                <w:rFonts w:ascii="Times New Roman" w:hAnsi="Times New Roman"/>
                <w:sz w:val="18"/>
                <w:szCs w:val="18"/>
              </w:rPr>
            </w:pPr>
          </w:p>
        </w:tc>
        <w:tc>
          <w:tcPr>
            <w:tcW w:w="803" w:type="dxa"/>
            <w:shd w:val="clear" w:color="000000" w:fill="FFFFFF"/>
            <w:vAlign w:val="center"/>
            <w:hideMark/>
          </w:tcPr>
          <w:p w14:paraId="54516C63" w14:textId="77777777" w:rsidR="00A775DB" w:rsidRPr="00B0658A" w:rsidRDefault="00A775DB" w:rsidP="004F1366">
            <w:pPr>
              <w:spacing w:after="0" w:line="240" w:lineRule="auto"/>
              <w:jc w:val="center"/>
              <w:rPr>
                <w:rFonts w:ascii="Times New Roman" w:hAnsi="Times New Roman"/>
                <w:sz w:val="18"/>
                <w:szCs w:val="18"/>
              </w:rPr>
            </w:pPr>
          </w:p>
        </w:tc>
        <w:tc>
          <w:tcPr>
            <w:tcW w:w="804" w:type="dxa"/>
            <w:shd w:val="clear" w:color="000000" w:fill="FFFFFF"/>
            <w:vAlign w:val="center"/>
            <w:hideMark/>
          </w:tcPr>
          <w:p w14:paraId="52B80355" w14:textId="77777777" w:rsidR="00A775DB" w:rsidRPr="00B0658A" w:rsidRDefault="00A775DB" w:rsidP="004F1366">
            <w:pPr>
              <w:spacing w:after="0" w:line="240" w:lineRule="auto"/>
              <w:jc w:val="center"/>
              <w:rPr>
                <w:rFonts w:ascii="Times New Roman" w:hAnsi="Times New Roman"/>
                <w:sz w:val="18"/>
                <w:szCs w:val="18"/>
              </w:rPr>
            </w:pPr>
          </w:p>
        </w:tc>
        <w:tc>
          <w:tcPr>
            <w:tcW w:w="1530" w:type="dxa"/>
            <w:shd w:val="clear" w:color="000000" w:fill="FFFFFF"/>
            <w:vAlign w:val="center"/>
          </w:tcPr>
          <w:p w14:paraId="7864A6E5" w14:textId="77777777" w:rsidR="00A775DB" w:rsidRPr="00B0658A" w:rsidRDefault="00A775DB" w:rsidP="004F1366">
            <w:pPr>
              <w:spacing w:after="0" w:line="240" w:lineRule="auto"/>
              <w:jc w:val="center"/>
              <w:rPr>
                <w:rFonts w:ascii="Times New Roman" w:hAnsi="Times New Roman"/>
                <w:sz w:val="18"/>
                <w:szCs w:val="18"/>
              </w:rPr>
            </w:pPr>
          </w:p>
        </w:tc>
      </w:tr>
      <w:tr w:rsidR="00F52FED" w:rsidRPr="00B0658A" w14:paraId="0E469FB3" w14:textId="77777777" w:rsidTr="004F1366">
        <w:trPr>
          <w:trHeight w:val="20"/>
        </w:trPr>
        <w:tc>
          <w:tcPr>
            <w:tcW w:w="578" w:type="dxa"/>
            <w:shd w:val="clear" w:color="000000" w:fill="FFFFFF"/>
            <w:vAlign w:val="center"/>
          </w:tcPr>
          <w:p w14:paraId="3262265E" w14:textId="77777777" w:rsidR="00A775DB" w:rsidRPr="00B0658A" w:rsidRDefault="00A775DB" w:rsidP="004F1366">
            <w:pPr>
              <w:spacing w:after="0" w:line="240" w:lineRule="auto"/>
              <w:jc w:val="center"/>
              <w:rPr>
                <w:rFonts w:ascii="Times New Roman" w:hAnsi="Times New Roman"/>
                <w:sz w:val="18"/>
                <w:szCs w:val="18"/>
              </w:rPr>
            </w:pPr>
            <w:r w:rsidRPr="00B0658A">
              <w:rPr>
                <w:rFonts w:ascii="Times New Roman" w:hAnsi="Times New Roman"/>
                <w:sz w:val="18"/>
                <w:szCs w:val="18"/>
              </w:rPr>
              <w:t>6.3</w:t>
            </w:r>
          </w:p>
        </w:tc>
        <w:tc>
          <w:tcPr>
            <w:tcW w:w="3812" w:type="dxa"/>
            <w:shd w:val="clear" w:color="auto" w:fill="auto"/>
            <w:vAlign w:val="center"/>
            <w:hideMark/>
          </w:tcPr>
          <w:p w14:paraId="7A66BD9C" w14:textId="77777777" w:rsidR="00A775DB" w:rsidRPr="00B0658A" w:rsidRDefault="00A775DB" w:rsidP="004F1366">
            <w:pPr>
              <w:spacing w:after="0" w:line="240" w:lineRule="auto"/>
              <w:rPr>
                <w:rFonts w:ascii="Times New Roman" w:hAnsi="Times New Roman"/>
                <w:sz w:val="18"/>
                <w:szCs w:val="18"/>
              </w:rPr>
            </w:pPr>
            <w:r w:rsidRPr="00B0658A">
              <w:rPr>
                <w:rFonts w:ascii="Times New Roman" w:hAnsi="Times New Roman"/>
                <w:sz w:val="18"/>
                <w:szCs w:val="18"/>
              </w:rPr>
              <w:t>Офисные приложения/ Офисные пакеты</w:t>
            </w:r>
          </w:p>
        </w:tc>
        <w:tc>
          <w:tcPr>
            <w:tcW w:w="1842" w:type="dxa"/>
            <w:shd w:val="clear" w:color="000000" w:fill="FFFFFF"/>
            <w:hideMark/>
          </w:tcPr>
          <w:p w14:paraId="5285053A" w14:textId="77777777" w:rsidR="00A775DB" w:rsidRPr="00B0658A" w:rsidRDefault="00A775DB" w:rsidP="004F1366">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79" w:type="dxa"/>
            <w:shd w:val="clear" w:color="000000" w:fill="FFFFFF"/>
            <w:vAlign w:val="center"/>
          </w:tcPr>
          <w:p w14:paraId="54267024"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000000" w:fill="FFFFFF"/>
            <w:vAlign w:val="center"/>
            <w:hideMark/>
          </w:tcPr>
          <w:p w14:paraId="61A8E866"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000000" w:fill="FFFFFF"/>
            <w:vAlign w:val="center"/>
            <w:hideMark/>
          </w:tcPr>
          <w:p w14:paraId="27E86A4C"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000000" w:fill="FFFFFF"/>
            <w:vAlign w:val="center"/>
            <w:hideMark/>
          </w:tcPr>
          <w:p w14:paraId="1A42A5E7" w14:textId="77777777" w:rsidR="00A775DB" w:rsidRPr="00B0658A" w:rsidRDefault="00A775DB" w:rsidP="004F1366">
            <w:pPr>
              <w:spacing w:after="0" w:line="240" w:lineRule="auto"/>
              <w:jc w:val="center"/>
              <w:rPr>
                <w:rFonts w:ascii="Times New Roman" w:hAnsi="Times New Roman"/>
                <w:sz w:val="18"/>
                <w:szCs w:val="18"/>
              </w:rPr>
            </w:pPr>
          </w:p>
        </w:tc>
        <w:tc>
          <w:tcPr>
            <w:tcW w:w="992" w:type="dxa"/>
            <w:shd w:val="clear" w:color="000000" w:fill="FFFFFF"/>
            <w:vAlign w:val="center"/>
          </w:tcPr>
          <w:p w14:paraId="09E33C8E" w14:textId="77777777" w:rsidR="00A775DB" w:rsidRPr="00B0658A" w:rsidRDefault="00A775DB" w:rsidP="004F1366">
            <w:pPr>
              <w:spacing w:after="0" w:line="240" w:lineRule="auto"/>
              <w:jc w:val="center"/>
              <w:rPr>
                <w:rFonts w:ascii="Times New Roman" w:hAnsi="Times New Roman"/>
                <w:sz w:val="18"/>
                <w:szCs w:val="18"/>
              </w:rPr>
            </w:pPr>
          </w:p>
        </w:tc>
        <w:tc>
          <w:tcPr>
            <w:tcW w:w="803" w:type="dxa"/>
            <w:shd w:val="clear" w:color="000000" w:fill="FFFFFF"/>
            <w:vAlign w:val="center"/>
            <w:hideMark/>
          </w:tcPr>
          <w:p w14:paraId="6D96B873" w14:textId="77777777" w:rsidR="00A775DB" w:rsidRPr="00B0658A" w:rsidRDefault="00A775DB" w:rsidP="004F1366">
            <w:pPr>
              <w:spacing w:after="0" w:line="240" w:lineRule="auto"/>
              <w:jc w:val="center"/>
              <w:rPr>
                <w:rFonts w:ascii="Times New Roman" w:hAnsi="Times New Roman"/>
                <w:sz w:val="18"/>
                <w:szCs w:val="18"/>
              </w:rPr>
            </w:pPr>
          </w:p>
        </w:tc>
        <w:tc>
          <w:tcPr>
            <w:tcW w:w="803" w:type="dxa"/>
            <w:shd w:val="clear" w:color="000000" w:fill="FFFFFF"/>
            <w:vAlign w:val="center"/>
            <w:hideMark/>
          </w:tcPr>
          <w:p w14:paraId="4A2EFBB4" w14:textId="77777777" w:rsidR="00A775DB" w:rsidRPr="00B0658A" w:rsidRDefault="00A775DB" w:rsidP="004F1366">
            <w:pPr>
              <w:spacing w:after="0" w:line="240" w:lineRule="auto"/>
              <w:jc w:val="center"/>
              <w:rPr>
                <w:rFonts w:ascii="Times New Roman" w:hAnsi="Times New Roman"/>
                <w:sz w:val="18"/>
                <w:szCs w:val="18"/>
              </w:rPr>
            </w:pPr>
          </w:p>
        </w:tc>
        <w:tc>
          <w:tcPr>
            <w:tcW w:w="804" w:type="dxa"/>
            <w:shd w:val="clear" w:color="000000" w:fill="FFFFFF"/>
            <w:vAlign w:val="center"/>
            <w:hideMark/>
          </w:tcPr>
          <w:p w14:paraId="077AFFD6" w14:textId="77777777" w:rsidR="00A775DB" w:rsidRPr="00B0658A" w:rsidRDefault="00A775DB" w:rsidP="004F1366">
            <w:pPr>
              <w:spacing w:after="0" w:line="240" w:lineRule="auto"/>
              <w:jc w:val="center"/>
              <w:rPr>
                <w:rFonts w:ascii="Times New Roman" w:hAnsi="Times New Roman"/>
                <w:sz w:val="18"/>
                <w:szCs w:val="18"/>
              </w:rPr>
            </w:pPr>
          </w:p>
        </w:tc>
        <w:tc>
          <w:tcPr>
            <w:tcW w:w="1530" w:type="dxa"/>
            <w:shd w:val="clear" w:color="000000" w:fill="FFFFFF"/>
            <w:vAlign w:val="center"/>
          </w:tcPr>
          <w:p w14:paraId="14B5673F" w14:textId="77777777" w:rsidR="00A775DB" w:rsidRPr="00B0658A" w:rsidRDefault="00A775DB" w:rsidP="004F1366">
            <w:pPr>
              <w:spacing w:after="0" w:line="240" w:lineRule="auto"/>
              <w:jc w:val="center"/>
              <w:rPr>
                <w:rFonts w:ascii="Times New Roman" w:hAnsi="Times New Roman"/>
                <w:sz w:val="18"/>
                <w:szCs w:val="18"/>
              </w:rPr>
            </w:pPr>
          </w:p>
        </w:tc>
      </w:tr>
      <w:tr w:rsidR="00F52FED" w:rsidRPr="00B0658A" w14:paraId="73A25A88" w14:textId="77777777" w:rsidTr="004F1366">
        <w:trPr>
          <w:trHeight w:val="20"/>
        </w:trPr>
        <w:tc>
          <w:tcPr>
            <w:tcW w:w="578" w:type="dxa"/>
            <w:shd w:val="clear" w:color="000000" w:fill="FFFFFF"/>
            <w:vAlign w:val="center"/>
          </w:tcPr>
          <w:p w14:paraId="46695844" w14:textId="77777777" w:rsidR="00A775DB" w:rsidRPr="00B0658A" w:rsidRDefault="00A775DB" w:rsidP="004F1366">
            <w:pPr>
              <w:spacing w:after="0" w:line="240" w:lineRule="auto"/>
              <w:jc w:val="center"/>
              <w:rPr>
                <w:rFonts w:ascii="Times New Roman" w:hAnsi="Times New Roman"/>
                <w:sz w:val="18"/>
                <w:szCs w:val="18"/>
              </w:rPr>
            </w:pPr>
            <w:r w:rsidRPr="00B0658A">
              <w:rPr>
                <w:rFonts w:ascii="Times New Roman" w:hAnsi="Times New Roman"/>
                <w:sz w:val="18"/>
                <w:szCs w:val="18"/>
              </w:rPr>
              <w:t>6.4</w:t>
            </w:r>
          </w:p>
        </w:tc>
        <w:tc>
          <w:tcPr>
            <w:tcW w:w="3812" w:type="dxa"/>
            <w:shd w:val="clear" w:color="auto" w:fill="auto"/>
            <w:vAlign w:val="center"/>
            <w:hideMark/>
          </w:tcPr>
          <w:p w14:paraId="526BF20F" w14:textId="77777777" w:rsidR="00A775DB" w:rsidRPr="00B0658A" w:rsidRDefault="00A775DB" w:rsidP="004F1366">
            <w:pPr>
              <w:spacing w:after="0" w:line="240" w:lineRule="auto"/>
              <w:rPr>
                <w:rFonts w:ascii="Times New Roman" w:hAnsi="Times New Roman"/>
                <w:sz w:val="18"/>
                <w:szCs w:val="18"/>
              </w:rPr>
            </w:pPr>
            <w:r w:rsidRPr="00B0658A">
              <w:rPr>
                <w:rFonts w:ascii="Times New Roman" w:hAnsi="Times New Roman"/>
                <w:sz w:val="18"/>
                <w:szCs w:val="18"/>
              </w:rPr>
              <w:t>Офисные приложения/ Почтовые приложения</w:t>
            </w:r>
          </w:p>
        </w:tc>
        <w:tc>
          <w:tcPr>
            <w:tcW w:w="1842" w:type="dxa"/>
            <w:shd w:val="clear" w:color="000000" w:fill="FFFFFF"/>
            <w:hideMark/>
          </w:tcPr>
          <w:p w14:paraId="1231FC9F" w14:textId="77777777" w:rsidR="00A775DB" w:rsidRPr="00B0658A" w:rsidRDefault="00A775DB" w:rsidP="004F1366">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79" w:type="dxa"/>
            <w:shd w:val="clear" w:color="000000" w:fill="FFFFFF"/>
            <w:vAlign w:val="center"/>
          </w:tcPr>
          <w:p w14:paraId="22B52B11"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000000" w:fill="FFFFFF"/>
            <w:vAlign w:val="center"/>
            <w:hideMark/>
          </w:tcPr>
          <w:p w14:paraId="1B41F3B5"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000000" w:fill="FFFFFF"/>
            <w:vAlign w:val="center"/>
            <w:hideMark/>
          </w:tcPr>
          <w:p w14:paraId="4C2F3A00"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000000" w:fill="FFFFFF"/>
            <w:vAlign w:val="center"/>
            <w:hideMark/>
          </w:tcPr>
          <w:p w14:paraId="4AD0E445" w14:textId="77777777" w:rsidR="00A775DB" w:rsidRPr="00B0658A" w:rsidRDefault="00A775DB" w:rsidP="004F1366">
            <w:pPr>
              <w:spacing w:after="0" w:line="240" w:lineRule="auto"/>
              <w:jc w:val="center"/>
              <w:rPr>
                <w:rFonts w:ascii="Times New Roman" w:hAnsi="Times New Roman"/>
                <w:sz w:val="18"/>
                <w:szCs w:val="18"/>
              </w:rPr>
            </w:pPr>
          </w:p>
        </w:tc>
        <w:tc>
          <w:tcPr>
            <w:tcW w:w="992" w:type="dxa"/>
            <w:shd w:val="clear" w:color="000000" w:fill="FFFFFF"/>
            <w:vAlign w:val="center"/>
          </w:tcPr>
          <w:p w14:paraId="4AD215D7" w14:textId="77777777" w:rsidR="00A775DB" w:rsidRPr="00B0658A" w:rsidRDefault="00A775DB" w:rsidP="004F1366">
            <w:pPr>
              <w:spacing w:after="0" w:line="240" w:lineRule="auto"/>
              <w:jc w:val="center"/>
              <w:rPr>
                <w:rFonts w:ascii="Times New Roman" w:hAnsi="Times New Roman"/>
                <w:sz w:val="18"/>
                <w:szCs w:val="18"/>
              </w:rPr>
            </w:pPr>
          </w:p>
        </w:tc>
        <w:tc>
          <w:tcPr>
            <w:tcW w:w="803" w:type="dxa"/>
            <w:shd w:val="clear" w:color="000000" w:fill="FFFFFF"/>
            <w:vAlign w:val="center"/>
            <w:hideMark/>
          </w:tcPr>
          <w:p w14:paraId="789CACB9" w14:textId="77777777" w:rsidR="00A775DB" w:rsidRPr="00B0658A" w:rsidRDefault="00A775DB" w:rsidP="004F1366">
            <w:pPr>
              <w:spacing w:after="0" w:line="240" w:lineRule="auto"/>
              <w:jc w:val="center"/>
              <w:rPr>
                <w:rFonts w:ascii="Times New Roman" w:hAnsi="Times New Roman"/>
                <w:sz w:val="18"/>
                <w:szCs w:val="18"/>
              </w:rPr>
            </w:pPr>
          </w:p>
        </w:tc>
        <w:tc>
          <w:tcPr>
            <w:tcW w:w="803" w:type="dxa"/>
            <w:shd w:val="clear" w:color="000000" w:fill="FFFFFF"/>
            <w:vAlign w:val="center"/>
            <w:hideMark/>
          </w:tcPr>
          <w:p w14:paraId="2D9B2A52" w14:textId="77777777" w:rsidR="00A775DB" w:rsidRPr="00B0658A" w:rsidRDefault="00A775DB" w:rsidP="004F1366">
            <w:pPr>
              <w:spacing w:after="0" w:line="240" w:lineRule="auto"/>
              <w:jc w:val="center"/>
              <w:rPr>
                <w:rFonts w:ascii="Times New Roman" w:hAnsi="Times New Roman"/>
                <w:sz w:val="18"/>
                <w:szCs w:val="18"/>
              </w:rPr>
            </w:pPr>
          </w:p>
        </w:tc>
        <w:tc>
          <w:tcPr>
            <w:tcW w:w="804" w:type="dxa"/>
            <w:shd w:val="clear" w:color="000000" w:fill="FFFFFF"/>
            <w:vAlign w:val="center"/>
            <w:hideMark/>
          </w:tcPr>
          <w:p w14:paraId="34B36208" w14:textId="77777777" w:rsidR="00A775DB" w:rsidRPr="00B0658A" w:rsidRDefault="00A775DB" w:rsidP="004F1366">
            <w:pPr>
              <w:spacing w:after="0" w:line="240" w:lineRule="auto"/>
              <w:jc w:val="center"/>
              <w:rPr>
                <w:rFonts w:ascii="Times New Roman" w:hAnsi="Times New Roman"/>
                <w:sz w:val="18"/>
                <w:szCs w:val="18"/>
              </w:rPr>
            </w:pPr>
          </w:p>
        </w:tc>
        <w:tc>
          <w:tcPr>
            <w:tcW w:w="1530" w:type="dxa"/>
            <w:shd w:val="clear" w:color="000000" w:fill="FFFFFF"/>
            <w:vAlign w:val="center"/>
          </w:tcPr>
          <w:p w14:paraId="60C4A95E" w14:textId="77777777" w:rsidR="00A775DB" w:rsidRPr="00B0658A" w:rsidRDefault="00A775DB" w:rsidP="004F1366">
            <w:pPr>
              <w:spacing w:after="0" w:line="240" w:lineRule="auto"/>
              <w:jc w:val="center"/>
              <w:rPr>
                <w:rFonts w:ascii="Times New Roman" w:hAnsi="Times New Roman"/>
                <w:sz w:val="18"/>
                <w:szCs w:val="18"/>
              </w:rPr>
            </w:pPr>
          </w:p>
        </w:tc>
      </w:tr>
      <w:tr w:rsidR="00F52FED" w:rsidRPr="00B0658A" w14:paraId="43B8AC18" w14:textId="77777777" w:rsidTr="004F1366">
        <w:trPr>
          <w:trHeight w:val="20"/>
        </w:trPr>
        <w:tc>
          <w:tcPr>
            <w:tcW w:w="578" w:type="dxa"/>
            <w:shd w:val="clear" w:color="000000" w:fill="FFFFFF"/>
            <w:vAlign w:val="center"/>
          </w:tcPr>
          <w:p w14:paraId="3677F603" w14:textId="77777777" w:rsidR="00A775DB" w:rsidRPr="00B0658A" w:rsidRDefault="00A775DB" w:rsidP="004F1366">
            <w:pPr>
              <w:spacing w:after="0" w:line="240" w:lineRule="auto"/>
              <w:jc w:val="center"/>
              <w:rPr>
                <w:rFonts w:ascii="Times New Roman" w:hAnsi="Times New Roman"/>
                <w:sz w:val="18"/>
                <w:szCs w:val="18"/>
              </w:rPr>
            </w:pPr>
            <w:r w:rsidRPr="00B0658A">
              <w:rPr>
                <w:rFonts w:ascii="Times New Roman" w:hAnsi="Times New Roman"/>
                <w:sz w:val="18"/>
                <w:szCs w:val="18"/>
              </w:rPr>
              <w:t>6.5</w:t>
            </w:r>
          </w:p>
        </w:tc>
        <w:tc>
          <w:tcPr>
            <w:tcW w:w="3812" w:type="dxa"/>
            <w:shd w:val="clear" w:color="auto" w:fill="auto"/>
            <w:vAlign w:val="center"/>
            <w:hideMark/>
          </w:tcPr>
          <w:p w14:paraId="3325AC6E" w14:textId="77777777" w:rsidR="00A775DB" w:rsidRPr="00B0658A" w:rsidRDefault="00A775DB" w:rsidP="004F1366">
            <w:pPr>
              <w:spacing w:after="0" w:line="240" w:lineRule="auto"/>
              <w:rPr>
                <w:rFonts w:ascii="Times New Roman" w:hAnsi="Times New Roman"/>
                <w:sz w:val="18"/>
                <w:szCs w:val="18"/>
              </w:rPr>
            </w:pPr>
            <w:r w:rsidRPr="00B0658A">
              <w:rPr>
                <w:rFonts w:ascii="Times New Roman" w:hAnsi="Times New Roman"/>
                <w:sz w:val="18"/>
                <w:szCs w:val="18"/>
              </w:rPr>
              <w:t>Офисные приложения/ Органайзеры</w:t>
            </w:r>
          </w:p>
        </w:tc>
        <w:tc>
          <w:tcPr>
            <w:tcW w:w="1842" w:type="dxa"/>
            <w:shd w:val="clear" w:color="000000" w:fill="FFFFFF"/>
            <w:hideMark/>
          </w:tcPr>
          <w:p w14:paraId="4754BB8C" w14:textId="77777777" w:rsidR="00A775DB" w:rsidRPr="00B0658A" w:rsidRDefault="00A775DB" w:rsidP="004F1366">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79" w:type="dxa"/>
            <w:shd w:val="clear" w:color="000000" w:fill="FFFFFF"/>
            <w:vAlign w:val="center"/>
          </w:tcPr>
          <w:p w14:paraId="18ABBD8F"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000000" w:fill="FFFFFF"/>
            <w:vAlign w:val="center"/>
            <w:hideMark/>
          </w:tcPr>
          <w:p w14:paraId="0F93C64F"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000000" w:fill="FFFFFF"/>
            <w:vAlign w:val="center"/>
            <w:hideMark/>
          </w:tcPr>
          <w:p w14:paraId="332B7062"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000000" w:fill="FFFFFF"/>
            <w:vAlign w:val="center"/>
            <w:hideMark/>
          </w:tcPr>
          <w:p w14:paraId="24833579" w14:textId="77777777" w:rsidR="00A775DB" w:rsidRPr="00B0658A" w:rsidRDefault="00A775DB" w:rsidP="004F1366">
            <w:pPr>
              <w:spacing w:after="0" w:line="240" w:lineRule="auto"/>
              <w:jc w:val="center"/>
              <w:rPr>
                <w:rFonts w:ascii="Times New Roman" w:hAnsi="Times New Roman"/>
                <w:sz w:val="18"/>
                <w:szCs w:val="18"/>
              </w:rPr>
            </w:pPr>
          </w:p>
        </w:tc>
        <w:tc>
          <w:tcPr>
            <w:tcW w:w="992" w:type="dxa"/>
            <w:shd w:val="clear" w:color="000000" w:fill="FFFFFF"/>
            <w:vAlign w:val="center"/>
          </w:tcPr>
          <w:p w14:paraId="58A71C93" w14:textId="77777777" w:rsidR="00A775DB" w:rsidRPr="00B0658A" w:rsidRDefault="00A775DB" w:rsidP="004F1366">
            <w:pPr>
              <w:spacing w:after="0" w:line="240" w:lineRule="auto"/>
              <w:jc w:val="center"/>
              <w:rPr>
                <w:rFonts w:ascii="Times New Roman" w:hAnsi="Times New Roman"/>
                <w:sz w:val="18"/>
                <w:szCs w:val="18"/>
              </w:rPr>
            </w:pPr>
          </w:p>
        </w:tc>
        <w:tc>
          <w:tcPr>
            <w:tcW w:w="803" w:type="dxa"/>
            <w:shd w:val="clear" w:color="000000" w:fill="FFFFFF"/>
            <w:vAlign w:val="center"/>
            <w:hideMark/>
          </w:tcPr>
          <w:p w14:paraId="1E002765" w14:textId="77777777" w:rsidR="00A775DB" w:rsidRPr="00B0658A" w:rsidRDefault="00A775DB" w:rsidP="004F1366">
            <w:pPr>
              <w:spacing w:after="0" w:line="240" w:lineRule="auto"/>
              <w:jc w:val="center"/>
              <w:rPr>
                <w:rFonts w:ascii="Times New Roman" w:hAnsi="Times New Roman"/>
                <w:sz w:val="18"/>
                <w:szCs w:val="18"/>
              </w:rPr>
            </w:pPr>
          </w:p>
        </w:tc>
        <w:tc>
          <w:tcPr>
            <w:tcW w:w="803" w:type="dxa"/>
            <w:shd w:val="clear" w:color="000000" w:fill="FFFFFF"/>
            <w:vAlign w:val="center"/>
            <w:hideMark/>
          </w:tcPr>
          <w:p w14:paraId="06F40810" w14:textId="77777777" w:rsidR="00A775DB" w:rsidRPr="00B0658A" w:rsidRDefault="00A775DB" w:rsidP="004F1366">
            <w:pPr>
              <w:spacing w:after="0" w:line="240" w:lineRule="auto"/>
              <w:jc w:val="center"/>
              <w:rPr>
                <w:rFonts w:ascii="Times New Roman" w:hAnsi="Times New Roman"/>
                <w:sz w:val="18"/>
                <w:szCs w:val="18"/>
              </w:rPr>
            </w:pPr>
          </w:p>
        </w:tc>
        <w:tc>
          <w:tcPr>
            <w:tcW w:w="804" w:type="dxa"/>
            <w:shd w:val="clear" w:color="000000" w:fill="FFFFFF"/>
            <w:vAlign w:val="center"/>
            <w:hideMark/>
          </w:tcPr>
          <w:p w14:paraId="5AE61465" w14:textId="77777777" w:rsidR="00A775DB" w:rsidRPr="00B0658A" w:rsidRDefault="00A775DB" w:rsidP="004F1366">
            <w:pPr>
              <w:spacing w:after="0" w:line="240" w:lineRule="auto"/>
              <w:jc w:val="center"/>
              <w:rPr>
                <w:rFonts w:ascii="Times New Roman" w:hAnsi="Times New Roman"/>
                <w:sz w:val="18"/>
                <w:szCs w:val="18"/>
              </w:rPr>
            </w:pPr>
          </w:p>
        </w:tc>
        <w:tc>
          <w:tcPr>
            <w:tcW w:w="1530" w:type="dxa"/>
            <w:shd w:val="clear" w:color="000000" w:fill="FFFFFF"/>
            <w:vAlign w:val="center"/>
          </w:tcPr>
          <w:p w14:paraId="47A94494" w14:textId="77777777" w:rsidR="00A775DB" w:rsidRPr="00B0658A" w:rsidRDefault="00A775DB" w:rsidP="004F1366">
            <w:pPr>
              <w:spacing w:after="0" w:line="240" w:lineRule="auto"/>
              <w:jc w:val="center"/>
              <w:rPr>
                <w:rFonts w:ascii="Times New Roman" w:hAnsi="Times New Roman"/>
                <w:sz w:val="18"/>
                <w:szCs w:val="18"/>
              </w:rPr>
            </w:pPr>
          </w:p>
        </w:tc>
      </w:tr>
      <w:tr w:rsidR="00F52FED" w:rsidRPr="00B0658A" w14:paraId="0E2AF589" w14:textId="77777777" w:rsidTr="004F1366">
        <w:trPr>
          <w:trHeight w:val="20"/>
        </w:trPr>
        <w:tc>
          <w:tcPr>
            <w:tcW w:w="578" w:type="dxa"/>
            <w:shd w:val="clear" w:color="000000" w:fill="FFFFFF"/>
            <w:vAlign w:val="center"/>
          </w:tcPr>
          <w:p w14:paraId="1EAEF5C1" w14:textId="77777777" w:rsidR="00A775DB" w:rsidRPr="00B0658A" w:rsidRDefault="00A775DB" w:rsidP="004F1366">
            <w:pPr>
              <w:spacing w:after="0" w:line="240" w:lineRule="auto"/>
              <w:jc w:val="center"/>
              <w:rPr>
                <w:rFonts w:ascii="Times New Roman" w:hAnsi="Times New Roman"/>
                <w:sz w:val="18"/>
                <w:szCs w:val="18"/>
              </w:rPr>
            </w:pPr>
            <w:r w:rsidRPr="00B0658A">
              <w:rPr>
                <w:rFonts w:ascii="Times New Roman" w:hAnsi="Times New Roman"/>
                <w:sz w:val="18"/>
                <w:szCs w:val="18"/>
              </w:rPr>
              <w:t>6.6</w:t>
            </w:r>
          </w:p>
        </w:tc>
        <w:tc>
          <w:tcPr>
            <w:tcW w:w="3812" w:type="dxa"/>
            <w:shd w:val="clear" w:color="auto" w:fill="auto"/>
            <w:vAlign w:val="center"/>
            <w:hideMark/>
          </w:tcPr>
          <w:p w14:paraId="3916A935" w14:textId="77777777" w:rsidR="00A775DB" w:rsidRPr="00B0658A" w:rsidRDefault="00A775DB" w:rsidP="004F1366">
            <w:pPr>
              <w:spacing w:after="0" w:line="240" w:lineRule="auto"/>
              <w:rPr>
                <w:rFonts w:ascii="Times New Roman" w:hAnsi="Times New Roman"/>
                <w:sz w:val="18"/>
                <w:szCs w:val="18"/>
              </w:rPr>
            </w:pPr>
            <w:r w:rsidRPr="00B0658A">
              <w:rPr>
                <w:rFonts w:ascii="Times New Roman" w:hAnsi="Times New Roman"/>
                <w:sz w:val="18"/>
                <w:szCs w:val="18"/>
              </w:rPr>
              <w:t>Офисные приложения/ Средства просмотра</w:t>
            </w:r>
          </w:p>
        </w:tc>
        <w:tc>
          <w:tcPr>
            <w:tcW w:w="1842" w:type="dxa"/>
            <w:shd w:val="clear" w:color="000000" w:fill="FFFFFF"/>
            <w:hideMark/>
          </w:tcPr>
          <w:p w14:paraId="356623A8" w14:textId="77777777" w:rsidR="00A775DB" w:rsidRPr="00B0658A" w:rsidRDefault="00A775DB" w:rsidP="004F1366">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79" w:type="dxa"/>
            <w:shd w:val="clear" w:color="000000" w:fill="FFFFFF"/>
            <w:vAlign w:val="center"/>
          </w:tcPr>
          <w:p w14:paraId="2A72AFDC"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000000" w:fill="FFFFFF"/>
            <w:vAlign w:val="center"/>
            <w:hideMark/>
          </w:tcPr>
          <w:p w14:paraId="0CD15DDF"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000000" w:fill="FFFFFF"/>
            <w:vAlign w:val="center"/>
            <w:hideMark/>
          </w:tcPr>
          <w:p w14:paraId="570AEA69"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000000" w:fill="FFFFFF"/>
            <w:vAlign w:val="center"/>
            <w:hideMark/>
          </w:tcPr>
          <w:p w14:paraId="58CF9309" w14:textId="77777777" w:rsidR="00A775DB" w:rsidRPr="00B0658A" w:rsidRDefault="00A775DB" w:rsidP="004F1366">
            <w:pPr>
              <w:spacing w:after="0" w:line="240" w:lineRule="auto"/>
              <w:jc w:val="center"/>
              <w:rPr>
                <w:rFonts w:ascii="Times New Roman" w:hAnsi="Times New Roman"/>
                <w:sz w:val="18"/>
                <w:szCs w:val="18"/>
              </w:rPr>
            </w:pPr>
          </w:p>
        </w:tc>
        <w:tc>
          <w:tcPr>
            <w:tcW w:w="992" w:type="dxa"/>
            <w:shd w:val="clear" w:color="000000" w:fill="FFFFFF"/>
            <w:vAlign w:val="center"/>
          </w:tcPr>
          <w:p w14:paraId="2E48B8C1" w14:textId="77777777" w:rsidR="00A775DB" w:rsidRPr="00B0658A" w:rsidRDefault="00A775DB" w:rsidP="004F1366">
            <w:pPr>
              <w:spacing w:after="0" w:line="240" w:lineRule="auto"/>
              <w:jc w:val="center"/>
              <w:rPr>
                <w:rFonts w:ascii="Times New Roman" w:hAnsi="Times New Roman"/>
                <w:sz w:val="18"/>
                <w:szCs w:val="18"/>
              </w:rPr>
            </w:pPr>
          </w:p>
        </w:tc>
        <w:tc>
          <w:tcPr>
            <w:tcW w:w="803" w:type="dxa"/>
            <w:shd w:val="clear" w:color="000000" w:fill="FFFFFF"/>
            <w:vAlign w:val="center"/>
            <w:hideMark/>
          </w:tcPr>
          <w:p w14:paraId="36E4A0F3" w14:textId="77777777" w:rsidR="00A775DB" w:rsidRPr="00B0658A" w:rsidRDefault="00A775DB" w:rsidP="004F1366">
            <w:pPr>
              <w:spacing w:after="0" w:line="240" w:lineRule="auto"/>
              <w:jc w:val="center"/>
              <w:rPr>
                <w:rFonts w:ascii="Times New Roman" w:hAnsi="Times New Roman"/>
                <w:sz w:val="18"/>
                <w:szCs w:val="18"/>
              </w:rPr>
            </w:pPr>
          </w:p>
        </w:tc>
        <w:tc>
          <w:tcPr>
            <w:tcW w:w="803" w:type="dxa"/>
            <w:shd w:val="clear" w:color="000000" w:fill="FFFFFF"/>
            <w:vAlign w:val="center"/>
            <w:hideMark/>
          </w:tcPr>
          <w:p w14:paraId="7BFF6623" w14:textId="77777777" w:rsidR="00A775DB" w:rsidRPr="00B0658A" w:rsidRDefault="00A775DB" w:rsidP="004F1366">
            <w:pPr>
              <w:spacing w:after="0" w:line="240" w:lineRule="auto"/>
              <w:jc w:val="center"/>
              <w:rPr>
                <w:rFonts w:ascii="Times New Roman" w:hAnsi="Times New Roman"/>
                <w:sz w:val="18"/>
                <w:szCs w:val="18"/>
              </w:rPr>
            </w:pPr>
          </w:p>
        </w:tc>
        <w:tc>
          <w:tcPr>
            <w:tcW w:w="804" w:type="dxa"/>
            <w:shd w:val="clear" w:color="000000" w:fill="FFFFFF"/>
            <w:vAlign w:val="center"/>
            <w:hideMark/>
          </w:tcPr>
          <w:p w14:paraId="0FFE4115" w14:textId="77777777" w:rsidR="00A775DB" w:rsidRPr="00B0658A" w:rsidRDefault="00A775DB" w:rsidP="004F1366">
            <w:pPr>
              <w:spacing w:after="0" w:line="240" w:lineRule="auto"/>
              <w:jc w:val="center"/>
              <w:rPr>
                <w:rFonts w:ascii="Times New Roman" w:hAnsi="Times New Roman"/>
                <w:sz w:val="18"/>
                <w:szCs w:val="18"/>
              </w:rPr>
            </w:pPr>
          </w:p>
        </w:tc>
        <w:tc>
          <w:tcPr>
            <w:tcW w:w="1530" w:type="dxa"/>
            <w:shd w:val="clear" w:color="000000" w:fill="FFFFFF"/>
            <w:vAlign w:val="center"/>
          </w:tcPr>
          <w:p w14:paraId="2813798E" w14:textId="77777777" w:rsidR="00A775DB" w:rsidRPr="00B0658A" w:rsidRDefault="00A775DB" w:rsidP="004F1366">
            <w:pPr>
              <w:spacing w:after="0" w:line="240" w:lineRule="auto"/>
              <w:jc w:val="center"/>
              <w:rPr>
                <w:rFonts w:ascii="Times New Roman" w:hAnsi="Times New Roman"/>
                <w:sz w:val="18"/>
                <w:szCs w:val="18"/>
              </w:rPr>
            </w:pPr>
          </w:p>
        </w:tc>
      </w:tr>
      <w:tr w:rsidR="00F52FED" w:rsidRPr="00B0658A" w14:paraId="567C065B" w14:textId="77777777" w:rsidTr="004F1366">
        <w:trPr>
          <w:trHeight w:val="20"/>
        </w:trPr>
        <w:tc>
          <w:tcPr>
            <w:tcW w:w="578" w:type="dxa"/>
            <w:shd w:val="clear" w:color="000000" w:fill="FFFFFF"/>
            <w:vAlign w:val="center"/>
          </w:tcPr>
          <w:p w14:paraId="211A3E0C" w14:textId="77777777" w:rsidR="00A775DB" w:rsidRPr="00B0658A" w:rsidRDefault="00A775DB" w:rsidP="004F1366">
            <w:pPr>
              <w:spacing w:after="0" w:line="240" w:lineRule="auto"/>
              <w:jc w:val="center"/>
              <w:rPr>
                <w:rFonts w:ascii="Times New Roman" w:hAnsi="Times New Roman"/>
                <w:sz w:val="18"/>
                <w:szCs w:val="18"/>
              </w:rPr>
            </w:pPr>
            <w:r w:rsidRPr="00B0658A">
              <w:rPr>
                <w:rFonts w:ascii="Times New Roman" w:hAnsi="Times New Roman"/>
                <w:sz w:val="18"/>
                <w:szCs w:val="18"/>
              </w:rPr>
              <w:t>6.7</w:t>
            </w:r>
          </w:p>
        </w:tc>
        <w:tc>
          <w:tcPr>
            <w:tcW w:w="3812" w:type="dxa"/>
            <w:shd w:val="clear" w:color="auto" w:fill="auto"/>
            <w:vAlign w:val="center"/>
            <w:hideMark/>
          </w:tcPr>
          <w:p w14:paraId="06CB0B75" w14:textId="77777777" w:rsidR="00A775DB" w:rsidRPr="00B0658A" w:rsidRDefault="00A775DB" w:rsidP="004F1366">
            <w:pPr>
              <w:spacing w:after="0" w:line="240" w:lineRule="auto"/>
              <w:rPr>
                <w:rFonts w:ascii="Times New Roman" w:hAnsi="Times New Roman"/>
                <w:sz w:val="18"/>
                <w:szCs w:val="18"/>
              </w:rPr>
            </w:pPr>
            <w:r w:rsidRPr="00B0658A">
              <w:rPr>
                <w:rFonts w:ascii="Times New Roman" w:hAnsi="Times New Roman"/>
                <w:sz w:val="18"/>
                <w:szCs w:val="18"/>
              </w:rPr>
              <w:t>Офисные приложения/ Браузеры</w:t>
            </w:r>
          </w:p>
        </w:tc>
        <w:tc>
          <w:tcPr>
            <w:tcW w:w="1842" w:type="dxa"/>
            <w:shd w:val="clear" w:color="000000" w:fill="FFFFFF"/>
            <w:hideMark/>
          </w:tcPr>
          <w:p w14:paraId="36834AB7" w14:textId="77777777" w:rsidR="00A775DB" w:rsidRPr="00B0658A" w:rsidRDefault="00A775DB" w:rsidP="004F1366">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79" w:type="dxa"/>
            <w:shd w:val="clear" w:color="000000" w:fill="FFFFFF"/>
            <w:vAlign w:val="center"/>
          </w:tcPr>
          <w:p w14:paraId="65D625B2"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000000" w:fill="FFFFFF"/>
            <w:vAlign w:val="center"/>
            <w:hideMark/>
          </w:tcPr>
          <w:p w14:paraId="637107FC"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000000" w:fill="FFFFFF"/>
            <w:vAlign w:val="center"/>
            <w:hideMark/>
          </w:tcPr>
          <w:p w14:paraId="024C4516"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000000" w:fill="FFFFFF"/>
            <w:vAlign w:val="center"/>
            <w:hideMark/>
          </w:tcPr>
          <w:p w14:paraId="43031E1B" w14:textId="77777777" w:rsidR="00A775DB" w:rsidRPr="00B0658A" w:rsidRDefault="00A775DB" w:rsidP="004F1366">
            <w:pPr>
              <w:spacing w:after="0" w:line="240" w:lineRule="auto"/>
              <w:jc w:val="center"/>
              <w:rPr>
                <w:rFonts w:ascii="Times New Roman" w:hAnsi="Times New Roman"/>
                <w:sz w:val="18"/>
                <w:szCs w:val="18"/>
              </w:rPr>
            </w:pPr>
          </w:p>
        </w:tc>
        <w:tc>
          <w:tcPr>
            <w:tcW w:w="992" w:type="dxa"/>
            <w:shd w:val="clear" w:color="000000" w:fill="FFFFFF"/>
            <w:vAlign w:val="center"/>
          </w:tcPr>
          <w:p w14:paraId="69A6C5BA" w14:textId="77777777" w:rsidR="00A775DB" w:rsidRPr="00B0658A" w:rsidRDefault="00A775DB" w:rsidP="004F1366">
            <w:pPr>
              <w:spacing w:after="0" w:line="240" w:lineRule="auto"/>
              <w:jc w:val="center"/>
              <w:rPr>
                <w:rFonts w:ascii="Times New Roman" w:hAnsi="Times New Roman"/>
                <w:sz w:val="18"/>
                <w:szCs w:val="18"/>
              </w:rPr>
            </w:pPr>
          </w:p>
        </w:tc>
        <w:tc>
          <w:tcPr>
            <w:tcW w:w="803" w:type="dxa"/>
            <w:shd w:val="clear" w:color="000000" w:fill="FFFFFF"/>
            <w:vAlign w:val="center"/>
            <w:hideMark/>
          </w:tcPr>
          <w:p w14:paraId="3DFC7232" w14:textId="77777777" w:rsidR="00A775DB" w:rsidRPr="00B0658A" w:rsidRDefault="00A775DB" w:rsidP="004F1366">
            <w:pPr>
              <w:spacing w:after="0" w:line="240" w:lineRule="auto"/>
              <w:jc w:val="center"/>
              <w:rPr>
                <w:rFonts w:ascii="Times New Roman" w:hAnsi="Times New Roman"/>
                <w:sz w:val="18"/>
                <w:szCs w:val="18"/>
              </w:rPr>
            </w:pPr>
          </w:p>
        </w:tc>
        <w:tc>
          <w:tcPr>
            <w:tcW w:w="803" w:type="dxa"/>
            <w:shd w:val="clear" w:color="000000" w:fill="FFFFFF"/>
            <w:vAlign w:val="center"/>
            <w:hideMark/>
          </w:tcPr>
          <w:p w14:paraId="18B5CB26" w14:textId="77777777" w:rsidR="00A775DB" w:rsidRPr="00B0658A" w:rsidRDefault="00A775DB" w:rsidP="004F1366">
            <w:pPr>
              <w:spacing w:after="0" w:line="240" w:lineRule="auto"/>
              <w:jc w:val="center"/>
              <w:rPr>
                <w:rFonts w:ascii="Times New Roman" w:hAnsi="Times New Roman"/>
                <w:sz w:val="18"/>
                <w:szCs w:val="18"/>
              </w:rPr>
            </w:pPr>
          </w:p>
        </w:tc>
        <w:tc>
          <w:tcPr>
            <w:tcW w:w="804" w:type="dxa"/>
            <w:shd w:val="clear" w:color="000000" w:fill="FFFFFF"/>
            <w:vAlign w:val="center"/>
            <w:hideMark/>
          </w:tcPr>
          <w:p w14:paraId="113F2243" w14:textId="77777777" w:rsidR="00A775DB" w:rsidRPr="00B0658A" w:rsidRDefault="00A775DB" w:rsidP="004F1366">
            <w:pPr>
              <w:spacing w:after="0" w:line="240" w:lineRule="auto"/>
              <w:jc w:val="center"/>
              <w:rPr>
                <w:rFonts w:ascii="Times New Roman" w:hAnsi="Times New Roman"/>
                <w:sz w:val="18"/>
                <w:szCs w:val="18"/>
              </w:rPr>
            </w:pPr>
          </w:p>
        </w:tc>
        <w:tc>
          <w:tcPr>
            <w:tcW w:w="1530" w:type="dxa"/>
            <w:shd w:val="clear" w:color="000000" w:fill="FFFFFF"/>
            <w:vAlign w:val="center"/>
          </w:tcPr>
          <w:p w14:paraId="3E121352" w14:textId="77777777" w:rsidR="00A775DB" w:rsidRPr="00B0658A" w:rsidRDefault="00A775DB" w:rsidP="004F1366">
            <w:pPr>
              <w:spacing w:after="0" w:line="240" w:lineRule="auto"/>
              <w:jc w:val="center"/>
              <w:rPr>
                <w:rFonts w:ascii="Times New Roman" w:hAnsi="Times New Roman"/>
                <w:sz w:val="18"/>
                <w:szCs w:val="18"/>
              </w:rPr>
            </w:pPr>
          </w:p>
        </w:tc>
      </w:tr>
      <w:tr w:rsidR="00F52FED" w:rsidRPr="00B0658A" w14:paraId="528E5C76" w14:textId="77777777" w:rsidTr="004F1366">
        <w:trPr>
          <w:trHeight w:val="20"/>
        </w:trPr>
        <w:tc>
          <w:tcPr>
            <w:tcW w:w="578" w:type="dxa"/>
            <w:shd w:val="clear" w:color="000000" w:fill="FFFFFF"/>
            <w:vAlign w:val="center"/>
          </w:tcPr>
          <w:p w14:paraId="6F0CBB87" w14:textId="77777777" w:rsidR="00A775DB" w:rsidRPr="00B0658A" w:rsidRDefault="00A775DB" w:rsidP="004F1366">
            <w:pPr>
              <w:spacing w:after="0" w:line="240" w:lineRule="auto"/>
              <w:jc w:val="center"/>
              <w:rPr>
                <w:rFonts w:ascii="Times New Roman" w:hAnsi="Times New Roman"/>
                <w:sz w:val="18"/>
                <w:szCs w:val="18"/>
              </w:rPr>
            </w:pPr>
            <w:r w:rsidRPr="00B0658A">
              <w:rPr>
                <w:rFonts w:ascii="Times New Roman" w:hAnsi="Times New Roman"/>
                <w:sz w:val="18"/>
                <w:szCs w:val="18"/>
              </w:rPr>
              <w:t>6.8</w:t>
            </w:r>
          </w:p>
        </w:tc>
        <w:tc>
          <w:tcPr>
            <w:tcW w:w="3812" w:type="dxa"/>
            <w:shd w:val="clear" w:color="auto" w:fill="auto"/>
            <w:vAlign w:val="center"/>
            <w:hideMark/>
          </w:tcPr>
          <w:p w14:paraId="56832E84" w14:textId="77777777" w:rsidR="00A775DB" w:rsidRPr="00B0658A" w:rsidRDefault="00A775DB" w:rsidP="004F1366">
            <w:pPr>
              <w:spacing w:after="0" w:line="240" w:lineRule="auto"/>
              <w:rPr>
                <w:rFonts w:ascii="Times New Roman" w:hAnsi="Times New Roman"/>
                <w:sz w:val="18"/>
                <w:szCs w:val="18"/>
              </w:rPr>
            </w:pPr>
            <w:r w:rsidRPr="00B0658A">
              <w:rPr>
                <w:rFonts w:ascii="Times New Roman" w:hAnsi="Times New Roman"/>
                <w:sz w:val="18"/>
                <w:szCs w:val="18"/>
              </w:rPr>
              <w:t>Офисные приложения/ Редакторы мультимедиа</w:t>
            </w:r>
          </w:p>
        </w:tc>
        <w:tc>
          <w:tcPr>
            <w:tcW w:w="1842" w:type="dxa"/>
            <w:shd w:val="clear" w:color="000000" w:fill="FFFFFF"/>
            <w:hideMark/>
          </w:tcPr>
          <w:p w14:paraId="019C5D31" w14:textId="77777777" w:rsidR="00A775DB" w:rsidRPr="00B0658A" w:rsidRDefault="00A775DB" w:rsidP="004F1366">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79" w:type="dxa"/>
            <w:vAlign w:val="center"/>
          </w:tcPr>
          <w:p w14:paraId="66AFCF1B"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auto" w:fill="auto"/>
            <w:vAlign w:val="center"/>
            <w:hideMark/>
          </w:tcPr>
          <w:p w14:paraId="01A92265"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auto" w:fill="auto"/>
            <w:vAlign w:val="center"/>
            <w:hideMark/>
          </w:tcPr>
          <w:p w14:paraId="509924A1"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auto" w:fill="auto"/>
            <w:vAlign w:val="center"/>
            <w:hideMark/>
          </w:tcPr>
          <w:p w14:paraId="1E1F0736" w14:textId="77777777" w:rsidR="00A775DB" w:rsidRPr="00B0658A" w:rsidRDefault="00A775DB" w:rsidP="004F1366">
            <w:pPr>
              <w:spacing w:after="0" w:line="240" w:lineRule="auto"/>
              <w:jc w:val="center"/>
              <w:rPr>
                <w:rFonts w:ascii="Times New Roman" w:hAnsi="Times New Roman"/>
                <w:sz w:val="18"/>
                <w:szCs w:val="18"/>
              </w:rPr>
            </w:pPr>
          </w:p>
        </w:tc>
        <w:tc>
          <w:tcPr>
            <w:tcW w:w="992" w:type="dxa"/>
            <w:vAlign w:val="center"/>
          </w:tcPr>
          <w:p w14:paraId="276475F0" w14:textId="77777777" w:rsidR="00A775DB" w:rsidRPr="00B0658A" w:rsidRDefault="00A775DB" w:rsidP="004F1366">
            <w:pPr>
              <w:spacing w:after="0" w:line="240" w:lineRule="auto"/>
              <w:jc w:val="center"/>
              <w:rPr>
                <w:rFonts w:ascii="Times New Roman" w:hAnsi="Times New Roman"/>
                <w:sz w:val="18"/>
                <w:szCs w:val="18"/>
              </w:rPr>
            </w:pPr>
          </w:p>
        </w:tc>
        <w:tc>
          <w:tcPr>
            <w:tcW w:w="803" w:type="dxa"/>
            <w:shd w:val="clear" w:color="auto" w:fill="auto"/>
            <w:vAlign w:val="center"/>
            <w:hideMark/>
          </w:tcPr>
          <w:p w14:paraId="540D516D" w14:textId="77777777" w:rsidR="00A775DB" w:rsidRPr="00B0658A" w:rsidRDefault="00A775DB" w:rsidP="004F1366">
            <w:pPr>
              <w:spacing w:after="0" w:line="240" w:lineRule="auto"/>
              <w:jc w:val="center"/>
              <w:rPr>
                <w:rFonts w:ascii="Times New Roman" w:hAnsi="Times New Roman"/>
                <w:sz w:val="18"/>
                <w:szCs w:val="18"/>
              </w:rPr>
            </w:pPr>
          </w:p>
        </w:tc>
        <w:tc>
          <w:tcPr>
            <w:tcW w:w="803" w:type="dxa"/>
            <w:shd w:val="clear" w:color="auto" w:fill="auto"/>
            <w:vAlign w:val="center"/>
            <w:hideMark/>
          </w:tcPr>
          <w:p w14:paraId="1DF9A940" w14:textId="77777777" w:rsidR="00A775DB" w:rsidRPr="00B0658A" w:rsidRDefault="00A775DB" w:rsidP="004F1366">
            <w:pPr>
              <w:spacing w:after="0" w:line="240" w:lineRule="auto"/>
              <w:jc w:val="center"/>
              <w:rPr>
                <w:rFonts w:ascii="Times New Roman" w:hAnsi="Times New Roman"/>
                <w:sz w:val="18"/>
                <w:szCs w:val="18"/>
              </w:rPr>
            </w:pPr>
          </w:p>
        </w:tc>
        <w:tc>
          <w:tcPr>
            <w:tcW w:w="804" w:type="dxa"/>
            <w:shd w:val="clear" w:color="auto" w:fill="auto"/>
            <w:vAlign w:val="center"/>
            <w:hideMark/>
          </w:tcPr>
          <w:p w14:paraId="0DDED03F" w14:textId="77777777" w:rsidR="00A775DB" w:rsidRPr="00B0658A" w:rsidRDefault="00A775DB" w:rsidP="004F1366">
            <w:pPr>
              <w:spacing w:after="0" w:line="240" w:lineRule="auto"/>
              <w:jc w:val="center"/>
              <w:rPr>
                <w:rFonts w:ascii="Times New Roman" w:hAnsi="Times New Roman"/>
                <w:sz w:val="18"/>
                <w:szCs w:val="18"/>
              </w:rPr>
            </w:pPr>
          </w:p>
        </w:tc>
        <w:tc>
          <w:tcPr>
            <w:tcW w:w="1530" w:type="dxa"/>
            <w:vAlign w:val="center"/>
          </w:tcPr>
          <w:p w14:paraId="37E7CC1E" w14:textId="77777777" w:rsidR="00A775DB" w:rsidRPr="00B0658A" w:rsidRDefault="00A775DB" w:rsidP="004F1366">
            <w:pPr>
              <w:spacing w:after="0" w:line="240" w:lineRule="auto"/>
              <w:jc w:val="center"/>
              <w:rPr>
                <w:rFonts w:ascii="Times New Roman" w:hAnsi="Times New Roman"/>
                <w:sz w:val="18"/>
                <w:szCs w:val="18"/>
              </w:rPr>
            </w:pPr>
          </w:p>
        </w:tc>
      </w:tr>
      <w:tr w:rsidR="00F52FED" w:rsidRPr="00B0658A" w14:paraId="417D8D47" w14:textId="77777777" w:rsidTr="004F1366">
        <w:trPr>
          <w:trHeight w:val="20"/>
        </w:trPr>
        <w:tc>
          <w:tcPr>
            <w:tcW w:w="578" w:type="dxa"/>
            <w:shd w:val="clear" w:color="000000" w:fill="FFFFFF"/>
            <w:vAlign w:val="center"/>
          </w:tcPr>
          <w:p w14:paraId="3A7DF23C" w14:textId="77777777" w:rsidR="00A775DB" w:rsidRPr="00B0658A" w:rsidRDefault="00A775DB" w:rsidP="004F1366">
            <w:pPr>
              <w:spacing w:after="0" w:line="240" w:lineRule="auto"/>
              <w:jc w:val="center"/>
              <w:rPr>
                <w:rFonts w:ascii="Times New Roman" w:hAnsi="Times New Roman"/>
                <w:sz w:val="18"/>
                <w:szCs w:val="18"/>
              </w:rPr>
            </w:pPr>
            <w:r w:rsidRPr="00B0658A">
              <w:rPr>
                <w:rFonts w:ascii="Times New Roman" w:hAnsi="Times New Roman"/>
                <w:sz w:val="18"/>
                <w:szCs w:val="18"/>
              </w:rPr>
              <w:t>6.9</w:t>
            </w:r>
          </w:p>
        </w:tc>
        <w:tc>
          <w:tcPr>
            <w:tcW w:w="3812" w:type="dxa"/>
            <w:shd w:val="clear" w:color="auto" w:fill="auto"/>
            <w:vAlign w:val="center"/>
            <w:hideMark/>
          </w:tcPr>
          <w:p w14:paraId="0CC2B9B2" w14:textId="77777777" w:rsidR="00A775DB" w:rsidRPr="00B0658A" w:rsidRDefault="00A775DB" w:rsidP="004F1366">
            <w:pPr>
              <w:spacing w:after="0" w:line="240" w:lineRule="auto"/>
              <w:rPr>
                <w:rFonts w:ascii="Times New Roman" w:hAnsi="Times New Roman"/>
                <w:sz w:val="18"/>
                <w:szCs w:val="18"/>
              </w:rPr>
            </w:pPr>
            <w:r w:rsidRPr="00B0658A">
              <w:rPr>
                <w:rFonts w:ascii="Times New Roman" w:hAnsi="Times New Roman"/>
                <w:sz w:val="18"/>
                <w:szCs w:val="18"/>
              </w:rPr>
              <w:t>Офисные приложения/ Редакторы презентаций</w:t>
            </w:r>
          </w:p>
        </w:tc>
        <w:tc>
          <w:tcPr>
            <w:tcW w:w="1842" w:type="dxa"/>
            <w:shd w:val="clear" w:color="000000" w:fill="FFFFFF"/>
            <w:hideMark/>
          </w:tcPr>
          <w:p w14:paraId="255AA999" w14:textId="77777777" w:rsidR="00A775DB" w:rsidRPr="00B0658A" w:rsidRDefault="00A775DB" w:rsidP="004F1366">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79" w:type="dxa"/>
            <w:vAlign w:val="center"/>
          </w:tcPr>
          <w:p w14:paraId="22291472"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auto" w:fill="auto"/>
            <w:vAlign w:val="center"/>
            <w:hideMark/>
          </w:tcPr>
          <w:p w14:paraId="1D02264B"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auto" w:fill="auto"/>
            <w:vAlign w:val="center"/>
            <w:hideMark/>
          </w:tcPr>
          <w:p w14:paraId="7683CCA8"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auto" w:fill="auto"/>
            <w:vAlign w:val="center"/>
            <w:hideMark/>
          </w:tcPr>
          <w:p w14:paraId="394F38D3" w14:textId="77777777" w:rsidR="00A775DB" w:rsidRPr="00B0658A" w:rsidRDefault="00A775DB" w:rsidP="004F1366">
            <w:pPr>
              <w:spacing w:after="0" w:line="240" w:lineRule="auto"/>
              <w:jc w:val="center"/>
              <w:rPr>
                <w:rFonts w:ascii="Times New Roman" w:hAnsi="Times New Roman"/>
                <w:sz w:val="18"/>
                <w:szCs w:val="18"/>
              </w:rPr>
            </w:pPr>
          </w:p>
        </w:tc>
        <w:tc>
          <w:tcPr>
            <w:tcW w:w="992" w:type="dxa"/>
            <w:vAlign w:val="center"/>
          </w:tcPr>
          <w:p w14:paraId="2F43D0CB" w14:textId="77777777" w:rsidR="00A775DB" w:rsidRPr="00B0658A" w:rsidRDefault="00A775DB" w:rsidP="004F1366">
            <w:pPr>
              <w:spacing w:after="0" w:line="240" w:lineRule="auto"/>
              <w:jc w:val="center"/>
              <w:rPr>
                <w:rFonts w:ascii="Times New Roman" w:hAnsi="Times New Roman"/>
                <w:sz w:val="18"/>
                <w:szCs w:val="18"/>
              </w:rPr>
            </w:pPr>
          </w:p>
        </w:tc>
        <w:tc>
          <w:tcPr>
            <w:tcW w:w="803" w:type="dxa"/>
            <w:shd w:val="clear" w:color="auto" w:fill="auto"/>
            <w:vAlign w:val="center"/>
            <w:hideMark/>
          </w:tcPr>
          <w:p w14:paraId="57ADC2ED" w14:textId="77777777" w:rsidR="00A775DB" w:rsidRPr="00B0658A" w:rsidRDefault="00A775DB" w:rsidP="004F1366">
            <w:pPr>
              <w:spacing w:after="0" w:line="240" w:lineRule="auto"/>
              <w:jc w:val="center"/>
              <w:rPr>
                <w:rFonts w:ascii="Times New Roman" w:hAnsi="Times New Roman"/>
                <w:sz w:val="18"/>
                <w:szCs w:val="18"/>
              </w:rPr>
            </w:pPr>
          </w:p>
        </w:tc>
        <w:tc>
          <w:tcPr>
            <w:tcW w:w="803" w:type="dxa"/>
            <w:shd w:val="clear" w:color="auto" w:fill="auto"/>
            <w:vAlign w:val="center"/>
            <w:hideMark/>
          </w:tcPr>
          <w:p w14:paraId="401BED5E" w14:textId="77777777" w:rsidR="00A775DB" w:rsidRPr="00B0658A" w:rsidRDefault="00A775DB" w:rsidP="004F1366">
            <w:pPr>
              <w:spacing w:after="0" w:line="240" w:lineRule="auto"/>
              <w:jc w:val="center"/>
              <w:rPr>
                <w:rFonts w:ascii="Times New Roman" w:hAnsi="Times New Roman"/>
                <w:sz w:val="18"/>
                <w:szCs w:val="18"/>
              </w:rPr>
            </w:pPr>
          </w:p>
        </w:tc>
        <w:tc>
          <w:tcPr>
            <w:tcW w:w="804" w:type="dxa"/>
            <w:shd w:val="clear" w:color="auto" w:fill="auto"/>
            <w:vAlign w:val="center"/>
            <w:hideMark/>
          </w:tcPr>
          <w:p w14:paraId="0A6DFEE0" w14:textId="77777777" w:rsidR="00A775DB" w:rsidRPr="00B0658A" w:rsidRDefault="00A775DB" w:rsidP="004F1366">
            <w:pPr>
              <w:spacing w:after="0" w:line="240" w:lineRule="auto"/>
              <w:jc w:val="center"/>
              <w:rPr>
                <w:rFonts w:ascii="Times New Roman" w:hAnsi="Times New Roman"/>
                <w:sz w:val="18"/>
                <w:szCs w:val="18"/>
              </w:rPr>
            </w:pPr>
          </w:p>
        </w:tc>
        <w:tc>
          <w:tcPr>
            <w:tcW w:w="1530" w:type="dxa"/>
            <w:vAlign w:val="center"/>
          </w:tcPr>
          <w:p w14:paraId="38D7950B" w14:textId="77777777" w:rsidR="00A775DB" w:rsidRPr="00B0658A" w:rsidRDefault="00A775DB" w:rsidP="004F1366">
            <w:pPr>
              <w:spacing w:after="0" w:line="240" w:lineRule="auto"/>
              <w:jc w:val="center"/>
              <w:rPr>
                <w:rFonts w:ascii="Times New Roman" w:hAnsi="Times New Roman"/>
                <w:sz w:val="18"/>
                <w:szCs w:val="18"/>
              </w:rPr>
            </w:pPr>
          </w:p>
        </w:tc>
      </w:tr>
      <w:tr w:rsidR="00F52FED" w:rsidRPr="00B0658A" w14:paraId="189555F1" w14:textId="77777777" w:rsidTr="004F1366">
        <w:trPr>
          <w:trHeight w:val="20"/>
        </w:trPr>
        <w:tc>
          <w:tcPr>
            <w:tcW w:w="578" w:type="dxa"/>
            <w:shd w:val="clear" w:color="000000" w:fill="FFFFFF"/>
            <w:vAlign w:val="center"/>
          </w:tcPr>
          <w:p w14:paraId="08A1C52C" w14:textId="77777777" w:rsidR="00A775DB" w:rsidRPr="00B0658A" w:rsidRDefault="00A775DB" w:rsidP="004F1366">
            <w:pPr>
              <w:spacing w:after="0" w:line="240" w:lineRule="auto"/>
              <w:jc w:val="center"/>
              <w:rPr>
                <w:rFonts w:ascii="Times New Roman" w:hAnsi="Times New Roman"/>
                <w:sz w:val="18"/>
                <w:szCs w:val="18"/>
              </w:rPr>
            </w:pPr>
            <w:r w:rsidRPr="00B0658A">
              <w:rPr>
                <w:rFonts w:ascii="Times New Roman" w:hAnsi="Times New Roman"/>
                <w:sz w:val="18"/>
                <w:szCs w:val="18"/>
              </w:rPr>
              <w:t>6.10</w:t>
            </w:r>
          </w:p>
        </w:tc>
        <w:tc>
          <w:tcPr>
            <w:tcW w:w="3812" w:type="dxa"/>
            <w:shd w:val="clear" w:color="auto" w:fill="auto"/>
            <w:vAlign w:val="center"/>
            <w:hideMark/>
          </w:tcPr>
          <w:p w14:paraId="4115DD6F" w14:textId="77777777" w:rsidR="00A775DB" w:rsidRPr="00B0658A" w:rsidRDefault="00A775DB" w:rsidP="004F1366">
            <w:pPr>
              <w:spacing w:after="0" w:line="240" w:lineRule="auto"/>
              <w:rPr>
                <w:rFonts w:ascii="Times New Roman" w:hAnsi="Times New Roman"/>
                <w:sz w:val="18"/>
                <w:szCs w:val="18"/>
              </w:rPr>
            </w:pPr>
            <w:r w:rsidRPr="00B0658A">
              <w:rPr>
                <w:rFonts w:ascii="Times New Roman" w:hAnsi="Times New Roman"/>
                <w:sz w:val="18"/>
                <w:szCs w:val="18"/>
              </w:rPr>
              <w:t>Офисные приложения/ Табличные редакторы</w:t>
            </w:r>
          </w:p>
        </w:tc>
        <w:tc>
          <w:tcPr>
            <w:tcW w:w="1842" w:type="dxa"/>
            <w:shd w:val="clear" w:color="000000" w:fill="FFFFFF"/>
            <w:hideMark/>
          </w:tcPr>
          <w:p w14:paraId="7EDCCADB" w14:textId="77777777" w:rsidR="00A775DB" w:rsidRPr="00B0658A" w:rsidRDefault="00A775DB" w:rsidP="004F1366">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79" w:type="dxa"/>
            <w:vAlign w:val="center"/>
          </w:tcPr>
          <w:p w14:paraId="775F2419"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auto" w:fill="auto"/>
            <w:vAlign w:val="center"/>
            <w:hideMark/>
          </w:tcPr>
          <w:p w14:paraId="17F8CCB2"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auto" w:fill="auto"/>
            <w:vAlign w:val="center"/>
            <w:hideMark/>
          </w:tcPr>
          <w:p w14:paraId="3ED174A6"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auto" w:fill="auto"/>
            <w:vAlign w:val="center"/>
            <w:hideMark/>
          </w:tcPr>
          <w:p w14:paraId="0474CFB0" w14:textId="77777777" w:rsidR="00A775DB" w:rsidRPr="00B0658A" w:rsidRDefault="00A775DB" w:rsidP="004F1366">
            <w:pPr>
              <w:spacing w:after="0" w:line="240" w:lineRule="auto"/>
              <w:jc w:val="center"/>
              <w:rPr>
                <w:rFonts w:ascii="Times New Roman" w:hAnsi="Times New Roman"/>
                <w:sz w:val="18"/>
                <w:szCs w:val="18"/>
              </w:rPr>
            </w:pPr>
          </w:p>
        </w:tc>
        <w:tc>
          <w:tcPr>
            <w:tcW w:w="992" w:type="dxa"/>
            <w:vAlign w:val="center"/>
          </w:tcPr>
          <w:p w14:paraId="10503C14" w14:textId="77777777" w:rsidR="00A775DB" w:rsidRPr="00B0658A" w:rsidRDefault="00A775DB" w:rsidP="004F1366">
            <w:pPr>
              <w:spacing w:after="0" w:line="240" w:lineRule="auto"/>
              <w:jc w:val="center"/>
              <w:rPr>
                <w:rFonts w:ascii="Times New Roman" w:hAnsi="Times New Roman"/>
                <w:sz w:val="18"/>
                <w:szCs w:val="18"/>
              </w:rPr>
            </w:pPr>
          </w:p>
        </w:tc>
        <w:tc>
          <w:tcPr>
            <w:tcW w:w="803" w:type="dxa"/>
            <w:shd w:val="clear" w:color="auto" w:fill="auto"/>
            <w:vAlign w:val="center"/>
            <w:hideMark/>
          </w:tcPr>
          <w:p w14:paraId="711D7406" w14:textId="77777777" w:rsidR="00A775DB" w:rsidRPr="00B0658A" w:rsidRDefault="00A775DB" w:rsidP="004F1366">
            <w:pPr>
              <w:spacing w:after="0" w:line="240" w:lineRule="auto"/>
              <w:jc w:val="center"/>
              <w:rPr>
                <w:rFonts w:ascii="Times New Roman" w:hAnsi="Times New Roman"/>
                <w:sz w:val="18"/>
                <w:szCs w:val="18"/>
              </w:rPr>
            </w:pPr>
          </w:p>
        </w:tc>
        <w:tc>
          <w:tcPr>
            <w:tcW w:w="803" w:type="dxa"/>
            <w:shd w:val="clear" w:color="auto" w:fill="auto"/>
            <w:vAlign w:val="center"/>
            <w:hideMark/>
          </w:tcPr>
          <w:p w14:paraId="11F90331" w14:textId="77777777" w:rsidR="00A775DB" w:rsidRPr="00B0658A" w:rsidRDefault="00A775DB" w:rsidP="004F1366">
            <w:pPr>
              <w:spacing w:after="0" w:line="240" w:lineRule="auto"/>
              <w:jc w:val="center"/>
              <w:rPr>
                <w:rFonts w:ascii="Times New Roman" w:hAnsi="Times New Roman"/>
                <w:sz w:val="18"/>
                <w:szCs w:val="18"/>
              </w:rPr>
            </w:pPr>
          </w:p>
        </w:tc>
        <w:tc>
          <w:tcPr>
            <w:tcW w:w="804" w:type="dxa"/>
            <w:shd w:val="clear" w:color="auto" w:fill="auto"/>
            <w:vAlign w:val="center"/>
            <w:hideMark/>
          </w:tcPr>
          <w:p w14:paraId="18FC2FC4" w14:textId="77777777" w:rsidR="00A775DB" w:rsidRPr="00B0658A" w:rsidRDefault="00A775DB" w:rsidP="004F1366">
            <w:pPr>
              <w:spacing w:after="0" w:line="240" w:lineRule="auto"/>
              <w:jc w:val="center"/>
              <w:rPr>
                <w:rFonts w:ascii="Times New Roman" w:hAnsi="Times New Roman"/>
                <w:sz w:val="18"/>
                <w:szCs w:val="18"/>
              </w:rPr>
            </w:pPr>
          </w:p>
        </w:tc>
        <w:tc>
          <w:tcPr>
            <w:tcW w:w="1530" w:type="dxa"/>
            <w:vAlign w:val="center"/>
          </w:tcPr>
          <w:p w14:paraId="1DC13830" w14:textId="77777777" w:rsidR="00A775DB" w:rsidRPr="00B0658A" w:rsidRDefault="00A775DB" w:rsidP="004F1366">
            <w:pPr>
              <w:spacing w:after="0" w:line="240" w:lineRule="auto"/>
              <w:jc w:val="center"/>
              <w:rPr>
                <w:rFonts w:ascii="Times New Roman" w:hAnsi="Times New Roman"/>
                <w:sz w:val="18"/>
                <w:szCs w:val="18"/>
              </w:rPr>
            </w:pPr>
          </w:p>
        </w:tc>
      </w:tr>
      <w:tr w:rsidR="00F52FED" w:rsidRPr="00B0658A" w14:paraId="589F2014" w14:textId="77777777" w:rsidTr="004F1366">
        <w:trPr>
          <w:trHeight w:val="20"/>
        </w:trPr>
        <w:tc>
          <w:tcPr>
            <w:tcW w:w="578" w:type="dxa"/>
            <w:shd w:val="clear" w:color="000000" w:fill="FFFFFF"/>
            <w:vAlign w:val="center"/>
          </w:tcPr>
          <w:p w14:paraId="340EC37C" w14:textId="77777777" w:rsidR="00A775DB" w:rsidRPr="00B0658A" w:rsidRDefault="00A775DB" w:rsidP="004F1366">
            <w:pPr>
              <w:spacing w:after="0" w:line="240" w:lineRule="auto"/>
              <w:jc w:val="center"/>
              <w:rPr>
                <w:rFonts w:ascii="Times New Roman" w:hAnsi="Times New Roman"/>
                <w:sz w:val="18"/>
                <w:szCs w:val="18"/>
              </w:rPr>
            </w:pPr>
            <w:r w:rsidRPr="00B0658A">
              <w:rPr>
                <w:rFonts w:ascii="Times New Roman" w:hAnsi="Times New Roman"/>
                <w:sz w:val="18"/>
                <w:szCs w:val="18"/>
              </w:rPr>
              <w:t>6.11</w:t>
            </w:r>
          </w:p>
        </w:tc>
        <w:tc>
          <w:tcPr>
            <w:tcW w:w="3812" w:type="dxa"/>
            <w:shd w:val="clear" w:color="auto" w:fill="auto"/>
            <w:vAlign w:val="center"/>
            <w:hideMark/>
          </w:tcPr>
          <w:p w14:paraId="356E4A15" w14:textId="77777777" w:rsidR="00A775DB" w:rsidRPr="00B0658A" w:rsidRDefault="00A775DB" w:rsidP="004F1366">
            <w:pPr>
              <w:spacing w:after="0" w:line="240" w:lineRule="auto"/>
              <w:rPr>
                <w:rFonts w:ascii="Times New Roman" w:hAnsi="Times New Roman"/>
                <w:sz w:val="18"/>
                <w:szCs w:val="18"/>
              </w:rPr>
            </w:pPr>
            <w:r w:rsidRPr="00B0658A">
              <w:rPr>
                <w:rFonts w:ascii="Times New Roman" w:hAnsi="Times New Roman"/>
                <w:sz w:val="18"/>
                <w:szCs w:val="18"/>
              </w:rPr>
              <w:t>Офисные приложения/ Текстовые редакторы</w:t>
            </w:r>
          </w:p>
        </w:tc>
        <w:tc>
          <w:tcPr>
            <w:tcW w:w="1842" w:type="dxa"/>
            <w:shd w:val="clear" w:color="000000" w:fill="FFFFFF"/>
            <w:hideMark/>
          </w:tcPr>
          <w:p w14:paraId="631CDFE5" w14:textId="77777777" w:rsidR="00A775DB" w:rsidRPr="00B0658A" w:rsidRDefault="00A775DB" w:rsidP="004F1366">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79" w:type="dxa"/>
            <w:vAlign w:val="center"/>
          </w:tcPr>
          <w:p w14:paraId="65C62CFB"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auto" w:fill="auto"/>
            <w:vAlign w:val="center"/>
            <w:hideMark/>
          </w:tcPr>
          <w:p w14:paraId="7EB87C63"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auto" w:fill="auto"/>
            <w:vAlign w:val="center"/>
            <w:hideMark/>
          </w:tcPr>
          <w:p w14:paraId="0688CEB1"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auto" w:fill="auto"/>
            <w:vAlign w:val="center"/>
            <w:hideMark/>
          </w:tcPr>
          <w:p w14:paraId="496DFEFE" w14:textId="77777777" w:rsidR="00A775DB" w:rsidRPr="00B0658A" w:rsidRDefault="00A775DB" w:rsidP="004F1366">
            <w:pPr>
              <w:spacing w:after="0" w:line="240" w:lineRule="auto"/>
              <w:jc w:val="center"/>
              <w:rPr>
                <w:rFonts w:ascii="Times New Roman" w:hAnsi="Times New Roman"/>
                <w:sz w:val="18"/>
                <w:szCs w:val="18"/>
              </w:rPr>
            </w:pPr>
          </w:p>
        </w:tc>
        <w:tc>
          <w:tcPr>
            <w:tcW w:w="992" w:type="dxa"/>
            <w:vAlign w:val="center"/>
          </w:tcPr>
          <w:p w14:paraId="1BDC33F0" w14:textId="77777777" w:rsidR="00A775DB" w:rsidRPr="00B0658A" w:rsidRDefault="00A775DB" w:rsidP="004F1366">
            <w:pPr>
              <w:spacing w:after="0" w:line="240" w:lineRule="auto"/>
              <w:jc w:val="center"/>
              <w:rPr>
                <w:rFonts w:ascii="Times New Roman" w:hAnsi="Times New Roman"/>
                <w:sz w:val="18"/>
                <w:szCs w:val="18"/>
              </w:rPr>
            </w:pPr>
          </w:p>
        </w:tc>
        <w:tc>
          <w:tcPr>
            <w:tcW w:w="803" w:type="dxa"/>
            <w:shd w:val="clear" w:color="auto" w:fill="auto"/>
            <w:vAlign w:val="center"/>
            <w:hideMark/>
          </w:tcPr>
          <w:p w14:paraId="69C1339C" w14:textId="77777777" w:rsidR="00A775DB" w:rsidRPr="00B0658A" w:rsidRDefault="00A775DB" w:rsidP="004F1366">
            <w:pPr>
              <w:spacing w:after="0" w:line="240" w:lineRule="auto"/>
              <w:jc w:val="center"/>
              <w:rPr>
                <w:rFonts w:ascii="Times New Roman" w:hAnsi="Times New Roman"/>
                <w:sz w:val="18"/>
                <w:szCs w:val="18"/>
              </w:rPr>
            </w:pPr>
          </w:p>
        </w:tc>
        <w:tc>
          <w:tcPr>
            <w:tcW w:w="803" w:type="dxa"/>
            <w:shd w:val="clear" w:color="auto" w:fill="auto"/>
            <w:vAlign w:val="center"/>
            <w:hideMark/>
          </w:tcPr>
          <w:p w14:paraId="33E5D511" w14:textId="77777777" w:rsidR="00A775DB" w:rsidRPr="00B0658A" w:rsidRDefault="00A775DB" w:rsidP="004F1366">
            <w:pPr>
              <w:spacing w:after="0" w:line="240" w:lineRule="auto"/>
              <w:jc w:val="center"/>
              <w:rPr>
                <w:rFonts w:ascii="Times New Roman" w:hAnsi="Times New Roman"/>
                <w:sz w:val="18"/>
                <w:szCs w:val="18"/>
              </w:rPr>
            </w:pPr>
          </w:p>
        </w:tc>
        <w:tc>
          <w:tcPr>
            <w:tcW w:w="804" w:type="dxa"/>
            <w:shd w:val="clear" w:color="auto" w:fill="auto"/>
            <w:vAlign w:val="center"/>
            <w:hideMark/>
          </w:tcPr>
          <w:p w14:paraId="132BCE83" w14:textId="77777777" w:rsidR="00A775DB" w:rsidRPr="00B0658A" w:rsidRDefault="00A775DB" w:rsidP="004F1366">
            <w:pPr>
              <w:spacing w:after="0" w:line="240" w:lineRule="auto"/>
              <w:jc w:val="center"/>
              <w:rPr>
                <w:rFonts w:ascii="Times New Roman" w:hAnsi="Times New Roman"/>
                <w:sz w:val="18"/>
                <w:szCs w:val="18"/>
              </w:rPr>
            </w:pPr>
          </w:p>
        </w:tc>
        <w:tc>
          <w:tcPr>
            <w:tcW w:w="1530" w:type="dxa"/>
            <w:vAlign w:val="center"/>
          </w:tcPr>
          <w:p w14:paraId="129E2932" w14:textId="77777777" w:rsidR="00A775DB" w:rsidRPr="00B0658A" w:rsidRDefault="00A775DB" w:rsidP="004F1366">
            <w:pPr>
              <w:spacing w:after="0" w:line="240" w:lineRule="auto"/>
              <w:jc w:val="center"/>
              <w:rPr>
                <w:rFonts w:ascii="Times New Roman" w:hAnsi="Times New Roman"/>
                <w:sz w:val="18"/>
                <w:szCs w:val="18"/>
              </w:rPr>
            </w:pPr>
          </w:p>
        </w:tc>
      </w:tr>
      <w:tr w:rsidR="00F52FED" w:rsidRPr="00B0658A" w14:paraId="1E389D0A" w14:textId="77777777" w:rsidTr="004F1366">
        <w:trPr>
          <w:trHeight w:val="20"/>
        </w:trPr>
        <w:tc>
          <w:tcPr>
            <w:tcW w:w="578" w:type="dxa"/>
            <w:shd w:val="clear" w:color="000000" w:fill="FFFFFF"/>
            <w:vAlign w:val="center"/>
          </w:tcPr>
          <w:p w14:paraId="6B9E92F4" w14:textId="77777777" w:rsidR="00A775DB" w:rsidRPr="00B0658A" w:rsidRDefault="00A775DB" w:rsidP="004F1366">
            <w:pPr>
              <w:spacing w:after="0" w:line="240" w:lineRule="auto"/>
              <w:jc w:val="center"/>
              <w:rPr>
                <w:rFonts w:ascii="Times New Roman" w:hAnsi="Times New Roman"/>
                <w:sz w:val="18"/>
                <w:szCs w:val="18"/>
              </w:rPr>
            </w:pPr>
            <w:r w:rsidRPr="00B0658A">
              <w:rPr>
                <w:rFonts w:ascii="Times New Roman" w:hAnsi="Times New Roman"/>
                <w:sz w:val="18"/>
                <w:szCs w:val="18"/>
              </w:rPr>
              <w:t>6.12</w:t>
            </w:r>
          </w:p>
        </w:tc>
        <w:tc>
          <w:tcPr>
            <w:tcW w:w="3812" w:type="dxa"/>
            <w:shd w:val="clear" w:color="auto" w:fill="auto"/>
            <w:vAlign w:val="center"/>
            <w:hideMark/>
          </w:tcPr>
          <w:p w14:paraId="3D7885DD" w14:textId="77777777" w:rsidR="00A775DB" w:rsidRPr="00B0658A" w:rsidRDefault="00A775DB" w:rsidP="004F1366">
            <w:pPr>
              <w:spacing w:after="0" w:line="240" w:lineRule="auto"/>
              <w:rPr>
                <w:rFonts w:ascii="Times New Roman" w:hAnsi="Times New Roman"/>
                <w:sz w:val="18"/>
                <w:szCs w:val="18"/>
              </w:rPr>
            </w:pPr>
            <w:r w:rsidRPr="00B0658A">
              <w:rPr>
                <w:rFonts w:ascii="Times New Roman" w:hAnsi="Times New Roman"/>
                <w:sz w:val="18"/>
                <w:szCs w:val="18"/>
              </w:rPr>
              <w:t>Офисные приложения/ Программное обеспечение средств электронного документооборота</w:t>
            </w:r>
          </w:p>
        </w:tc>
        <w:tc>
          <w:tcPr>
            <w:tcW w:w="1842" w:type="dxa"/>
            <w:shd w:val="clear" w:color="000000" w:fill="FFFFFF"/>
            <w:hideMark/>
          </w:tcPr>
          <w:p w14:paraId="53B4466D" w14:textId="77777777" w:rsidR="00A775DB" w:rsidRPr="00B0658A" w:rsidRDefault="00A775DB" w:rsidP="004F1366">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79" w:type="dxa"/>
            <w:vAlign w:val="center"/>
          </w:tcPr>
          <w:p w14:paraId="45FEA6F4"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auto" w:fill="auto"/>
            <w:vAlign w:val="center"/>
            <w:hideMark/>
          </w:tcPr>
          <w:p w14:paraId="5557B2EF"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auto" w:fill="auto"/>
            <w:vAlign w:val="center"/>
            <w:hideMark/>
          </w:tcPr>
          <w:p w14:paraId="207861EE"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auto" w:fill="auto"/>
            <w:vAlign w:val="center"/>
            <w:hideMark/>
          </w:tcPr>
          <w:p w14:paraId="4551988A" w14:textId="77777777" w:rsidR="00A775DB" w:rsidRPr="00B0658A" w:rsidRDefault="00A775DB" w:rsidP="004F1366">
            <w:pPr>
              <w:spacing w:after="0" w:line="240" w:lineRule="auto"/>
              <w:jc w:val="center"/>
              <w:rPr>
                <w:rFonts w:ascii="Times New Roman" w:hAnsi="Times New Roman"/>
                <w:sz w:val="18"/>
                <w:szCs w:val="18"/>
              </w:rPr>
            </w:pPr>
          </w:p>
        </w:tc>
        <w:tc>
          <w:tcPr>
            <w:tcW w:w="992" w:type="dxa"/>
            <w:vAlign w:val="center"/>
          </w:tcPr>
          <w:p w14:paraId="6655BEFF" w14:textId="77777777" w:rsidR="00A775DB" w:rsidRPr="00B0658A" w:rsidRDefault="00A775DB" w:rsidP="004F1366">
            <w:pPr>
              <w:spacing w:after="0" w:line="240" w:lineRule="auto"/>
              <w:jc w:val="center"/>
              <w:rPr>
                <w:rFonts w:ascii="Times New Roman" w:hAnsi="Times New Roman"/>
                <w:sz w:val="18"/>
                <w:szCs w:val="18"/>
              </w:rPr>
            </w:pPr>
          </w:p>
        </w:tc>
        <w:tc>
          <w:tcPr>
            <w:tcW w:w="803" w:type="dxa"/>
            <w:shd w:val="clear" w:color="auto" w:fill="auto"/>
            <w:vAlign w:val="center"/>
            <w:hideMark/>
          </w:tcPr>
          <w:p w14:paraId="028D26D0" w14:textId="77777777" w:rsidR="00A775DB" w:rsidRPr="00B0658A" w:rsidRDefault="00A775DB" w:rsidP="004F1366">
            <w:pPr>
              <w:spacing w:after="0" w:line="240" w:lineRule="auto"/>
              <w:jc w:val="center"/>
              <w:rPr>
                <w:rFonts w:ascii="Times New Roman" w:hAnsi="Times New Roman"/>
                <w:sz w:val="18"/>
                <w:szCs w:val="18"/>
              </w:rPr>
            </w:pPr>
          </w:p>
        </w:tc>
        <w:tc>
          <w:tcPr>
            <w:tcW w:w="803" w:type="dxa"/>
            <w:shd w:val="clear" w:color="auto" w:fill="auto"/>
            <w:vAlign w:val="center"/>
            <w:hideMark/>
          </w:tcPr>
          <w:p w14:paraId="7C16BBCC" w14:textId="77777777" w:rsidR="00A775DB" w:rsidRPr="00B0658A" w:rsidRDefault="00A775DB" w:rsidP="004F1366">
            <w:pPr>
              <w:spacing w:after="0" w:line="240" w:lineRule="auto"/>
              <w:jc w:val="center"/>
              <w:rPr>
                <w:rFonts w:ascii="Times New Roman" w:hAnsi="Times New Roman"/>
                <w:sz w:val="18"/>
                <w:szCs w:val="18"/>
              </w:rPr>
            </w:pPr>
          </w:p>
        </w:tc>
        <w:tc>
          <w:tcPr>
            <w:tcW w:w="804" w:type="dxa"/>
            <w:shd w:val="clear" w:color="auto" w:fill="auto"/>
            <w:vAlign w:val="center"/>
            <w:hideMark/>
          </w:tcPr>
          <w:p w14:paraId="0F2F70D5" w14:textId="77777777" w:rsidR="00A775DB" w:rsidRPr="00B0658A" w:rsidRDefault="00A775DB" w:rsidP="004F1366">
            <w:pPr>
              <w:spacing w:after="0" w:line="240" w:lineRule="auto"/>
              <w:jc w:val="center"/>
              <w:rPr>
                <w:rFonts w:ascii="Times New Roman" w:hAnsi="Times New Roman"/>
                <w:sz w:val="18"/>
                <w:szCs w:val="18"/>
              </w:rPr>
            </w:pPr>
          </w:p>
        </w:tc>
        <w:tc>
          <w:tcPr>
            <w:tcW w:w="1530" w:type="dxa"/>
            <w:vAlign w:val="center"/>
          </w:tcPr>
          <w:p w14:paraId="2A085F31" w14:textId="77777777" w:rsidR="00A775DB" w:rsidRPr="00B0658A" w:rsidRDefault="00A775DB" w:rsidP="004F1366">
            <w:pPr>
              <w:spacing w:after="0" w:line="240" w:lineRule="auto"/>
              <w:jc w:val="center"/>
              <w:rPr>
                <w:rFonts w:ascii="Times New Roman" w:hAnsi="Times New Roman"/>
                <w:sz w:val="18"/>
                <w:szCs w:val="18"/>
              </w:rPr>
            </w:pPr>
          </w:p>
        </w:tc>
      </w:tr>
      <w:tr w:rsidR="00F52FED" w:rsidRPr="00B0658A" w14:paraId="3B012BBF" w14:textId="77777777" w:rsidTr="004F1366">
        <w:trPr>
          <w:trHeight w:val="20"/>
        </w:trPr>
        <w:tc>
          <w:tcPr>
            <w:tcW w:w="578" w:type="dxa"/>
            <w:shd w:val="clear" w:color="000000" w:fill="FFFFFF"/>
            <w:vAlign w:val="center"/>
          </w:tcPr>
          <w:p w14:paraId="7CED51FC" w14:textId="77777777" w:rsidR="00A775DB" w:rsidRPr="00B0658A" w:rsidRDefault="00A775DB" w:rsidP="004F1366">
            <w:pPr>
              <w:spacing w:after="0" w:line="240" w:lineRule="auto"/>
              <w:jc w:val="center"/>
              <w:rPr>
                <w:rFonts w:ascii="Times New Roman" w:hAnsi="Times New Roman"/>
                <w:sz w:val="18"/>
                <w:szCs w:val="18"/>
              </w:rPr>
            </w:pPr>
            <w:r w:rsidRPr="00B0658A">
              <w:rPr>
                <w:rFonts w:ascii="Times New Roman" w:hAnsi="Times New Roman"/>
                <w:sz w:val="18"/>
                <w:szCs w:val="18"/>
              </w:rPr>
              <w:t>7.1</w:t>
            </w:r>
          </w:p>
        </w:tc>
        <w:tc>
          <w:tcPr>
            <w:tcW w:w="3812" w:type="dxa"/>
            <w:shd w:val="clear" w:color="auto" w:fill="auto"/>
            <w:vAlign w:val="center"/>
            <w:hideMark/>
          </w:tcPr>
          <w:p w14:paraId="376F2A15" w14:textId="77777777" w:rsidR="00A775DB" w:rsidRPr="00B0658A" w:rsidRDefault="00A775DB" w:rsidP="004F1366">
            <w:pPr>
              <w:spacing w:after="0" w:line="240" w:lineRule="auto"/>
              <w:rPr>
                <w:rFonts w:ascii="Times New Roman" w:hAnsi="Times New Roman"/>
                <w:sz w:val="18"/>
                <w:szCs w:val="18"/>
              </w:rPr>
            </w:pPr>
            <w:r w:rsidRPr="00B0658A">
              <w:rPr>
                <w:rFonts w:ascii="Times New Roman" w:hAnsi="Times New Roman"/>
                <w:sz w:val="18"/>
                <w:szCs w:val="18"/>
              </w:rPr>
              <w:t xml:space="preserve">Лингвистическое программное обеспечение/ Парсеры </w:t>
            </w:r>
            <w:r w:rsidRPr="00B0658A">
              <w:rPr>
                <w:rFonts w:ascii="Times New Roman" w:hAnsi="Times New Roman"/>
                <w:sz w:val="18"/>
                <w:szCs w:val="18"/>
              </w:rPr>
              <w:br/>
              <w:t>и семантические анализаторы</w:t>
            </w:r>
          </w:p>
        </w:tc>
        <w:tc>
          <w:tcPr>
            <w:tcW w:w="1842" w:type="dxa"/>
            <w:shd w:val="clear" w:color="000000" w:fill="FFFFFF"/>
            <w:hideMark/>
          </w:tcPr>
          <w:p w14:paraId="3EAE3315" w14:textId="77777777" w:rsidR="00A775DB" w:rsidRPr="00B0658A" w:rsidRDefault="00A775DB" w:rsidP="004F1366">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79" w:type="dxa"/>
            <w:vAlign w:val="center"/>
          </w:tcPr>
          <w:p w14:paraId="3BEA8319"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auto" w:fill="auto"/>
            <w:vAlign w:val="center"/>
            <w:hideMark/>
          </w:tcPr>
          <w:p w14:paraId="2EB42116"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auto" w:fill="auto"/>
            <w:vAlign w:val="center"/>
            <w:hideMark/>
          </w:tcPr>
          <w:p w14:paraId="4F661C03"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auto" w:fill="auto"/>
            <w:vAlign w:val="center"/>
            <w:hideMark/>
          </w:tcPr>
          <w:p w14:paraId="1B4D82D2" w14:textId="77777777" w:rsidR="00A775DB" w:rsidRPr="00B0658A" w:rsidRDefault="00A775DB" w:rsidP="004F1366">
            <w:pPr>
              <w:spacing w:after="0" w:line="240" w:lineRule="auto"/>
              <w:jc w:val="center"/>
              <w:rPr>
                <w:rFonts w:ascii="Times New Roman" w:hAnsi="Times New Roman"/>
                <w:sz w:val="18"/>
                <w:szCs w:val="18"/>
              </w:rPr>
            </w:pPr>
          </w:p>
        </w:tc>
        <w:tc>
          <w:tcPr>
            <w:tcW w:w="992" w:type="dxa"/>
            <w:vAlign w:val="center"/>
          </w:tcPr>
          <w:p w14:paraId="07A08311" w14:textId="77777777" w:rsidR="00A775DB" w:rsidRPr="00B0658A" w:rsidRDefault="00A775DB" w:rsidP="004F1366">
            <w:pPr>
              <w:spacing w:after="0" w:line="240" w:lineRule="auto"/>
              <w:jc w:val="center"/>
              <w:rPr>
                <w:rFonts w:ascii="Times New Roman" w:hAnsi="Times New Roman"/>
                <w:sz w:val="18"/>
                <w:szCs w:val="18"/>
              </w:rPr>
            </w:pPr>
          </w:p>
        </w:tc>
        <w:tc>
          <w:tcPr>
            <w:tcW w:w="803" w:type="dxa"/>
            <w:shd w:val="clear" w:color="auto" w:fill="auto"/>
            <w:vAlign w:val="center"/>
            <w:hideMark/>
          </w:tcPr>
          <w:p w14:paraId="33D0CF4F" w14:textId="77777777" w:rsidR="00A775DB" w:rsidRPr="00B0658A" w:rsidRDefault="00A775DB" w:rsidP="004F1366">
            <w:pPr>
              <w:spacing w:after="0" w:line="240" w:lineRule="auto"/>
              <w:jc w:val="center"/>
              <w:rPr>
                <w:rFonts w:ascii="Times New Roman" w:hAnsi="Times New Roman"/>
                <w:sz w:val="18"/>
                <w:szCs w:val="18"/>
              </w:rPr>
            </w:pPr>
          </w:p>
        </w:tc>
        <w:tc>
          <w:tcPr>
            <w:tcW w:w="803" w:type="dxa"/>
            <w:shd w:val="clear" w:color="auto" w:fill="auto"/>
            <w:vAlign w:val="center"/>
            <w:hideMark/>
          </w:tcPr>
          <w:p w14:paraId="6CADE303" w14:textId="77777777" w:rsidR="00A775DB" w:rsidRPr="00B0658A" w:rsidRDefault="00A775DB" w:rsidP="004F1366">
            <w:pPr>
              <w:spacing w:after="0" w:line="240" w:lineRule="auto"/>
              <w:jc w:val="center"/>
              <w:rPr>
                <w:rFonts w:ascii="Times New Roman" w:hAnsi="Times New Roman"/>
                <w:sz w:val="18"/>
                <w:szCs w:val="18"/>
              </w:rPr>
            </w:pPr>
          </w:p>
        </w:tc>
        <w:tc>
          <w:tcPr>
            <w:tcW w:w="804" w:type="dxa"/>
            <w:shd w:val="clear" w:color="auto" w:fill="auto"/>
            <w:vAlign w:val="center"/>
            <w:hideMark/>
          </w:tcPr>
          <w:p w14:paraId="65EAD7B5" w14:textId="77777777" w:rsidR="00A775DB" w:rsidRPr="00B0658A" w:rsidRDefault="00A775DB" w:rsidP="004F1366">
            <w:pPr>
              <w:spacing w:after="0" w:line="240" w:lineRule="auto"/>
              <w:jc w:val="center"/>
              <w:rPr>
                <w:rFonts w:ascii="Times New Roman" w:hAnsi="Times New Roman"/>
                <w:sz w:val="18"/>
                <w:szCs w:val="18"/>
              </w:rPr>
            </w:pPr>
          </w:p>
        </w:tc>
        <w:tc>
          <w:tcPr>
            <w:tcW w:w="1530" w:type="dxa"/>
            <w:vAlign w:val="center"/>
          </w:tcPr>
          <w:p w14:paraId="7D623110" w14:textId="77777777" w:rsidR="00A775DB" w:rsidRPr="00B0658A" w:rsidRDefault="00A775DB" w:rsidP="004F1366">
            <w:pPr>
              <w:spacing w:after="0" w:line="240" w:lineRule="auto"/>
              <w:jc w:val="center"/>
              <w:rPr>
                <w:rFonts w:ascii="Times New Roman" w:hAnsi="Times New Roman"/>
                <w:sz w:val="18"/>
                <w:szCs w:val="18"/>
              </w:rPr>
            </w:pPr>
          </w:p>
        </w:tc>
      </w:tr>
      <w:tr w:rsidR="00F52FED" w:rsidRPr="00B0658A" w14:paraId="0408E901" w14:textId="77777777" w:rsidTr="004F1366">
        <w:trPr>
          <w:trHeight w:val="20"/>
        </w:trPr>
        <w:tc>
          <w:tcPr>
            <w:tcW w:w="578" w:type="dxa"/>
            <w:shd w:val="clear" w:color="000000" w:fill="FFFFFF"/>
            <w:vAlign w:val="center"/>
          </w:tcPr>
          <w:p w14:paraId="36F81ED2" w14:textId="77777777" w:rsidR="00A775DB" w:rsidRPr="00B0658A" w:rsidRDefault="00A775DB" w:rsidP="004F1366">
            <w:pPr>
              <w:spacing w:after="0" w:line="240" w:lineRule="auto"/>
              <w:jc w:val="center"/>
              <w:rPr>
                <w:rFonts w:ascii="Times New Roman" w:hAnsi="Times New Roman"/>
                <w:sz w:val="18"/>
                <w:szCs w:val="18"/>
              </w:rPr>
            </w:pPr>
            <w:r w:rsidRPr="00B0658A">
              <w:rPr>
                <w:rFonts w:ascii="Times New Roman" w:hAnsi="Times New Roman"/>
                <w:sz w:val="18"/>
                <w:szCs w:val="18"/>
              </w:rPr>
              <w:t>7.2</w:t>
            </w:r>
          </w:p>
        </w:tc>
        <w:tc>
          <w:tcPr>
            <w:tcW w:w="3812" w:type="dxa"/>
            <w:shd w:val="clear" w:color="auto" w:fill="auto"/>
            <w:vAlign w:val="center"/>
            <w:hideMark/>
          </w:tcPr>
          <w:p w14:paraId="67C32F5C" w14:textId="77777777" w:rsidR="00A775DB" w:rsidRPr="00B0658A" w:rsidRDefault="00A775DB" w:rsidP="004F1366">
            <w:pPr>
              <w:spacing w:after="0" w:line="240" w:lineRule="auto"/>
              <w:rPr>
                <w:rFonts w:ascii="Times New Roman" w:hAnsi="Times New Roman"/>
                <w:sz w:val="18"/>
                <w:szCs w:val="18"/>
              </w:rPr>
            </w:pPr>
            <w:r w:rsidRPr="00B0658A">
              <w:rPr>
                <w:rFonts w:ascii="Times New Roman" w:hAnsi="Times New Roman"/>
                <w:sz w:val="18"/>
                <w:szCs w:val="18"/>
              </w:rPr>
              <w:t>Лингвистическое программное обеспечение/ Средства речевого перевода</w:t>
            </w:r>
          </w:p>
        </w:tc>
        <w:tc>
          <w:tcPr>
            <w:tcW w:w="1842" w:type="dxa"/>
            <w:shd w:val="clear" w:color="000000" w:fill="FFFFFF"/>
            <w:hideMark/>
          </w:tcPr>
          <w:p w14:paraId="45FCCACB" w14:textId="77777777" w:rsidR="00A775DB" w:rsidRPr="00B0658A" w:rsidRDefault="00A775DB" w:rsidP="004F1366">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79" w:type="dxa"/>
            <w:shd w:val="clear" w:color="000000" w:fill="FFFFFF"/>
            <w:vAlign w:val="center"/>
          </w:tcPr>
          <w:p w14:paraId="0DFC9694"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000000" w:fill="FFFFFF"/>
            <w:vAlign w:val="center"/>
            <w:hideMark/>
          </w:tcPr>
          <w:p w14:paraId="2E297486"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000000" w:fill="FFFFFF"/>
            <w:vAlign w:val="center"/>
            <w:hideMark/>
          </w:tcPr>
          <w:p w14:paraId="0767FA78"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000000" w:fill="FFFFFF"/>
            <w:vAlign w:val="center"/>
            <w:hideMark/>
          </w:tcPr>
          <w:p w14:paraId="3B009381" w14:textId="77777777" w:rsidR="00A775DB" w:rsidRPr="00B0658A" w:rsidRDefault="00A775DB" w:rsidP="004F1366">
            <w:pPr>
              <w:spacing w:after="0" w:line="240" w:lineRule="auto"/>
              <w:jc w:val="center"/>
              <w:rPr>
                <w:rFonts w:ascii="Times New Roman" w:hAnsi="Times New Roman"/>
                <w:sz w:val="18"/>
                <w:szCs w:val="18"/>
              </w:rPr>
            </w:pPr>
          </w:p>
        </w:tc>
        <w:tc>
          <w:tcPr>
            <w:tcW w:w="992" w:type="dxa"/>
            <w:shd w:val="clear" w:color="000000" w:fill="FFFFFF"/>
            <w:vAlign w:val="center"/>
          </w:tcPr>
          <w:p w14:paraId="20278166" w14:textId="77777777" w:rsidR="00A775DB" w:rsidRPr="00B0658A" w:rsidRDefault="00A775DB" w:rsidP="004F1366">
            <w:pPr>
              <w:spacing w:after="0" w:line="240" w:lineRule="auto"/>
              <w:jc w:val="center"/>
              <w:rPr>
                <w:rFonts w:ascii="Times New Roman" w:hAnsi="Times New Roman"/>
                <w:sz w:val="18"/>
                <w:szCs w:val="18"/>
              </w:rPr>
            </w:pPr>
          </w:p>
        </w:tc>
        <w:tc>
          <w:tcPr>
            <w:tcW w:w="803" w:type="dxa"/>
            <w:shd w:val="clear" w:color="000000" w:fill="FFFFFF"/>
            <w:vAlign w:val="center"/>
            <w:hideMark/>
          </w:tcPr>
          <w:p w14:paraId="269BEF1D" w14:textId="77777777" w:rsidR="00A775DB" w:rsidRPr="00B0658A" w:rsidRDefault="00A775DB" w:rsidP="004F1366">
            <w:pPr>
              <w:spacing w:after="0" w:line="240" w:lineRule="auto"/>
              <w:jc w:val="center"/>
              <w:rPr>
                <w:rFonts w:ascii="Times New Roman" w:hAnsi="Times New Roman"/>
                <w:sz w:val="18"/>
                <w:szCs w:val="18"/>
              </w:rPr>
            </w:pPr>
          </w:p>
        </w:tc>
        <w:tc>
          <w:tcPr>
            <w:tcW w:w="803" w:type="dxa"/>
            <w:shd w:val="clear" w:color="000000" w:fill="FFFFFF"/>
            <w:vAlign w:val="center"/>
            <w:hideMark/>
          </w:tcPr>
          <w:p w14:paraId="4730E2D5" w14:textId="77777777" w:rsidR="00A775DB" w:rsidRPr="00B0658A" w:rsidRDefault="00A775DB" w:rsidP="004F1366">
            <w:pPr>
              <w:spacing w:after="0" w:line="240" w:lineRule="auto"/>
              <w:jc w:val="center"/>
              <w:rPr>
                <w:rFonts w:ascii="Times New Roman" w:hAnsi="Times New Roman"/>
                <w:sz w:val="18"/>
                <w:szCs w:val="18"/>
              </w:rPr>
            </w:pPr>
          </w:p>
        </w:tc>
        <w:tc>
          <w:tcPr>
            <w:tcW w:w="804" w:type="dxa"/>
            <w:shd w:val="clear" w:color="000000" w:fill="FFFFFF"/>
            <w:vAlign w:val="center"/>
            <w:hideMark/>
          </w:tcPr>
          <w:p w14:paraId="397AE12B" w14:textId="77777777" w:rsidR="00A775DB" w:rsidRPr="00B0658A" w:rsidRDefault="00A775DB" w:rsidP="004F1366">
            <w:pPr>
              <w:spacing w:after="0" w:line="240" w:lineRule="auto"/>
              <w:jc w:val="center"/>
              <w:rPr>
                <w:rFonts w:ascii="Times New Roman" w:hAnsi="Times New Roman"/>
                <w:sz w:val="18"/>
                <w:szCs w:val="18"/>
              </w:rPr>
            </w:pPr>
          </w:p>
        </w:tc>
        <w:tc>
          <w:tcPr>
            <w:tcW w:w="1530" w:type="dxa"/>
            <w:shd w:val="clear" w:color="000000" w:fill="FFFFFF"/>
            <w:vAlign w:val="center"/>
          </w:tcPr>
          <w:p w14:paraId="3A1CF5A7" w14:textId="77777777" w:rsidR="00A775DB" w:rsidRPr="00B0658A" w:rsidRDefault="00A775DB" w:rsidP="004F1366">
            <w:pPr>
              <w:spacing w:after="0" w:line="240" w:lineRule="auto"/>
              <w:jc w:val="center"/>
              <w:rPr>
                <w:rFonts w:ascii="Times New Roman" w:hAnsi="Times New Roman"/>
                <w:sz w:val="18"/>
                <w:szCs w:val="18"/>
              </w:rPr>
            </w:pPr>
          </w:p>
        </w:tc>
      </w:tr>
      <w:tr w:rsidR="00F52FED" w:rsidRPr="00B0658A" w14:paraId="5EF7D16D" w14:textId="77777777" w:rsidTr="004F1366">
        <w:trPr>
          <w:trHeight w:val="20"/>
        </w:trPr>
        <w:tc>
          <w:tcPr>
            <w:tcW w:w="578" w:type="dxa"/>
            <w:shd w:val="clear" w:color="000000" w:fill="FFFFFF"/>
            <w:vAlign w:val="center"/>
          </w:tcPr>
          <w:p w14:paraId="64DF7CF7" w14:textId="77777777" w:rsidR="00A775DB" w:rsidRPr="00B0658A" w:rsidRDefault="00A775DB" w:rsidP="004F1366">
            <w:pPr>
              <w:spacing w:after="0" w:line="240" w:lineRule="auto"/>
              <w:jc w:val="center"/>
              <w:rPr>
                <w:rFonts w:ascii="Times New Roman" w:hAnsi="Times New Roman"/>
                <w:sz w:val="18"/>
                <w:szCs w:val="18"/>
                <w:lang w:val="en-US"/>
              </w:rPr>
            </w:pPr>
            <w:r w:rsidRPr="00B0658A">
              <w:rPr>
                <w:rFonts w:ascii="Times New Roman" w:hAnsi="Times New Roman"/>
                <w:sz w:val="18"/>
                <w:szCs w:val="18"/>
                <w:lang w:val="en-US"/>
              </w:rPr>
              <w:t>7.3</w:t>
            </w:r>
          </w:p>
        </w:tc>
        <w:tc>
          <w:tcPr>
            <w:tcW w:w="3812" w:type="dxa"/>
            <w:shd w:val="clear" w:color="auto" w:fill="auto"/>
            <w:vAlign w:val="center"/>
            <w:hideMark/>
          </w:tcPr>
          <w:p w14:paraId="6CC9F302" w14:textId="77777777" w:rsidR="00A775DB" w:rsidRPr="00B0658A" w:rsidRDefault="00A775DB" w:rsidP="004F1366">
            <w:pPr>
              <w:spacing w:after="0" w:line="240" w:lineRule="auto"/>
              <w:rPr>
                <w:rFonts w:ascii="Times New Roman" w:hAnsi="Times New Roman"/>
                <w:sz w:val="18"/>
                <w:szCs w:val="18"/>
              </w:rPr>
            </w:pPr>
            <w:r w:rsidRPr="00B0658A">
              <w:rPr>
                <w:rFonts w:ascii="Times New Roman" w:hAnsi="Times New Roman"/>
                <w:sz w:val="18"/>
                <w:szCs w:val="18"/>
              </w:rPr>
              <w:t>Лингвистическое программное обеспечение/ Средства распознавания символов</w:t>
            </w:r>
          </w:p>
        </w:tc>
        <w:tc>
          <w:tcPr>
            <w:tcW w:w="1842" w:type="dxa"/>
            <w:shd w:val="clear" w:color="000000" w:fill="FFFFFF"/>
            <w:hideMark/>
          </w:tcPr>
          <w:p w14:paraId="1A7C876B" w14:textId="77777777" w:rsidR="00A775DB" w:rsidRPr="00B0658A" w:rsidRDefault="00A775DB" w:rsidP="004F1366">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79" w:type="dxa"/>
            <w:vAlign w:val="center"/>
          </w:tcPr>
          <w:p w14:paraId="3663D8BB"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auto" w:fill="auto"/>
            <w:vAlign w:val="center"/>
            <w:hideMark/>
          </w:tcPr>
          <w:p w14:paraId="2F7E5500"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auto" w:fill="auto"/>
            <w:vAlign w:val="center"/>
            <w:hideMark/>
          </w:tcPr>
          <w:p w14:paraId="1C8FBD64"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auto" w:fill="auto"/>
            <w:vAlign w:val="center"/>
            <w:hideMark/>
          </w:tcPr>
          <w:p w14:paraId="51615761" w14:textId="77777777" w:rsidR="00A775DB" w:rsidRPr="00B0658A" w:rsidRDefault="00A775DB" w:rsidP="004F1366">
            <w:pPr>
              <w:spacing w:after="0" w:line="240" w:lineRule="auto"/>
              <w:jc w:val="center"/>
              <w:rPr>
                <w:rFonts w:ascii="Times New Roman" w:hAnsi="Times New Roman"/>
                <w:sz w:val="18"/>
                <w:szCs w:val="18"/>
              </w:rPr>
            </w:pPr>
          </w:p>
        </w:tc>
        <w:tc>
          <w:tcPr>
            <w:tcW w:w="992" w:type="dxa"/>
            <w:vAlign w:val="center"/>
          </w:tcPr>
          <w:p w14:paraId="1E620AF8" w14:textId="77777777" w:rsidR="00A775DB" w:rsidRPr="00B0658A" w:rsidRDefault="00A775DB" w:rsidP="004F1366">
            <w:pPr>
              <w:spacing w:after="0" w:line="240" w:lineRule="auto"/>
              <w:jc w:val="center"/>
              <w:rPr>
                <w:rFonts w:ascii="Times New Roman" w:hAnsi="Times New Roman"/>
                <w:sz w:val="18"/>
                <w:szCs w:val="18"/>
              </w:rPr>
            </w:pPr>
          </w:p>
        </w:tc>
        <w:tc>
          <w:tcPr>
            <w:tcW w:w="803" w:type="dxa"/>
            <w:shd w:val="clear" w:color="auto" w:fill="auto"/>
            <w:vAlign w:val="center"/>
            <w:hideMark/>
          </w:tcPr>
          <w:p w14:paraId="324B80B2" w14:textId="77777777" w:rsidR="00A775DB" w:rsidRPr="00B0658A" w:rsidRDefault="00A775DB" w:rsidP="004F1366">
            <w:pPr>
              <w:spacing w:after="0" w:line="240" w:lineRule="auto"/>
              <w:jc w:val="center"/>
              <w:rPr>
                <w:rFonts w:ascii="Times New Roman" w:hAnsi="Times New Roman"/>
                <w:sz w:val="18"/>
                <w:szCs w:val="18"/>
              </w:rPr>
            </w:pPr>
          </w:p>
        </w:tc>
        <w:tc>
          <w:tcPr>
            <w:tcW w:w="803" w:type="dxa"/>
            <w:shd w:val="clear" w:color="auto" w:fill="auto"/>
            <w:vAlign w:val="center"/>
            <w:hideMark/>
          </w:tcPr>
          <w:p w14:paraId="1594F3C6" w14:textId="77777777" w:rsidR="00A775DB" w:rsidRPr="00B0658A" w:rsidRDefault="00A775DB" w:rsidP="004F1366">
            <w:pPr>
              <w:spacing w:after="0" w:line="240" w:lineRule="auto"/>
              <w:jc w:val="center"/>
              <w:rPr>
                <w:rFonts w:ascii="Times New Roman" w:hAnsi="Times New Roman"/>
                <w:sz w:val="18"/>
                <w:szCs w:val="18"/>
              </w:rPr>
            </w:pPr>
          </w:p>
        </w:tc>
        <w:tc>
          <w:tcPr>
            <w:tcW w:w="804" w:type="dxa"/>
            <w:shd w:val="clear" w:color="auto" w:fill="auto"/>
            <w:vAlign w:val="center"/>
            <w:hideMark/>
          </w:tcPr>
          <w:p w14:paraId="0E58B4DF" w14:textId="77777777" w:rsidR="00A775DB" w:rsidRPr="00B0658A" w:rsidRDefault="00A775DB" w:rsidP="004F1366">
            <w:pPr>
              <w:spacing w:after="0" w:line="240" w:lineRule="auto"/>
              <w:jc w:val="center"/>
              <w:rPr>
                <w:rFonts w:ascii="Times New Roman" w:hAnsi="Times New Roman"/>
                <w:sz w:val="18"/>
                <w:szCs w:val="18"/>
              </w:rPr>
            </w:pPr>
          </w:p>
        </w:tc>
        <w:tc>
          <w:tcPr>
            <w:tcW w:w="1530" w:type="dxa"/>
            <w:vAlign w:val="center"/>
          </w:tcPr>
          <w:p w14:paraId="7C1F7C7D" w14:textId="77777777" w:rsidR="00A775DB" w:rsidRPr="00B0658A" w:rsidRDefault="00A775DB" w:rsidP="004F1366">
            <w:pPr>
              <w:spacing w:after="0" w:line="240" w:lineRule="auto"/>
              <w:jc w:val="center"/>
              <w:rPr>
                <w:rFonts w:ascii="Times New Roman" w:hAnsi="Times New Roman"/>
                <w:sz w:val="18"/>
                <w:szCs w:val="18"/>
              </w:rPr>
            </w:pPr>
          </w:p>
        </w:tc>
      </w:tr>
      <w:tr w:rsidR="00F52FED" w:rsidRPr="00B0658A" w14:paraId="089F61DE" w14:textId="77777777" w:rsidTr="004F1366">
        <w:trPr>
          <w:trHeight w:val="20"/>
        </w:trPr>
        <w:tc>
          <w:tcPr>
            <w:tcW w:w="578" w:type="dxa"/>
            <w:shd w:val="clear" w:color="000000" w:fill="FFFFFF"/>
            <w:vAlign w:val="center"/>
          </w:tcPr>
          <w:p w14:paraId="642A32EA" w14:textId="77777777" w:rsidR="00A775DB" w:rsidRPr="00B0658A" w:rsidRDefault="00A775DB" w:rsidP="004F1366">
            <w:pPr>
              <w:spacing w:after="0" w:line="240" w:lineRule="auto"/>
              <w:jc w:val="center"/>
              <w:rPr>
                <w:rFonts w:ascii="Times New Roman" w:hAnsi="Times New Roman"/>
                <w:sz w:val="18"/>
                <w:szCs w:val="18"/>
              </w:rPr>
            </w:pPr>
            <w:r w:rsidRPr="00B0658A">
              <w:rPr>
                <w:rFonts w:ascii="Times New Roman" w:hAnsi="Times New Roman"/>
                <w:sz w:val="18"/>
                <w:szCs w:val="18"/>
              </w:rPr>
              <w:t>7.4</w:t>
            </w:r>
          </w:p>
        </w:tc>
        <w:tc>
          <w:tcPr>
            <w:tcW w:w="3812" w:type="dxa"/>
            <w:shd w:val="clear" w:color="auto" w:fill="auto"/>
            <w:vAlign w:val="center"/>
            <w:hideMark/>
          </w:tcPr>
          <w:p w14:paraId="41F01F90" w14:textId="77777777" w:rsidR="00A775DB" w:rsidRPr="00B0658A" w:rsidRDefault="00A775DB" w:rsidP="004F1366">
            <w:pPr>
              <w:spacing w:after="0" w:line="240" w:lineRule="auto"/>
              <w:rPr>
                <w:rFonts w:ascii="Times New Roman" w:hAnsi="Times New Roman"/>
                <w:sz w:val="18"/>
                <w:szCs w:val="18"/>
              </w:rPr>
            </w:pPr>
            <w:r w:rsidRPr="00B0658A">
              <w:rPr>
                <w:rFonts w:ascii="Times New Roman" w:hAnsi="Times New Roman"/>
                <w:sz w:val="18"/>
                <w:szCs w:val="18"/>
              </w:rPr>
              <w:t>Лингвистическое программное обеспечение/ Средства распознавания и синтеза речи</w:t>
            </w:r>
          </w:p>
        </w:tc>
        <w:tc>
          <w:tcPr>
            <w:tcW w:w="1842" w:type="dxa"/>
            <w:shd w:val="clear" w:color="000000" w:fill="FFFFFF"/>
            <w:hideMark/>
          </w:tcPr>
          <w:p w14:paraId="33F7A803" w14:textId="77777777" w:rsidR="00A775DB" w:rsidRPr="00B0658A" w:rsidRDefault="00A775DB" w:rsidP="004F1366">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79" w:type="dxa"/>
            <w:shd w:val="clear" w:color="000000" w:fill="FFFFFF"/>
            <w:vAlign w:val="center"/>
          </w:tcPr>
          <w:p w14:paraId="3EF5469E"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000000" w:fill="FFFFFF"/>
            <w:vAlign w:val="center"/>
            <w:hideMark/>
          </w:tcPr>
          <w:p w14:paraId="62A2F8D5"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000000" w:fill="FFFFFF"/>
            <w:vAlign w:val="center"/>
            <w:hideMark/>
          </w:tcPr>
          <w:p w14:paraId="2130F0A0"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000000" w:fill="FFFFFF"/>
            <w:vAlign w:val="center"/>
            <w:hideMark/>
          </w:tcPr>
          <w:p w14:paraId="6D8BFD85" w14:textId="77777777" w:rsidR="00A775DB" w:rsidRPr="00B0658A" w:rsidRDefault="00A775DB" w:rsidP="004F1366">
            <w:pPr>
              <w:spacing w:after="0" w:line="240" w:lineRule="auto"/>
              <w:jc w:val="center"/>
              <w:rPr>
                <w:rFonts w:ascii="Times New Roman" w:hAnsi="Times New Roman"/>
                <w:sz w:val="18"/>
                <w:szCs w:val="18"/>
              </w:rPr>
            </w:pPr>
          </w:p>
        </w:tc>
        <w:tc>
          <w:tcPr>
            <w:tcW w:w="992" w:type="dxa"/>
            <w:shd w:val="clear" w:color="000000" w:fill="FFFFFF"/>
            <w:vAlign w:val="center"/>
          </w:tcPr>
          <w:p w14:paraId="2E89B787" w14:textId="77777777" w:rsidR="00A775DB" w:rsidRPr="00B0658A" w:rsidRDefault="00A775DB" w:rsidP="004F1366">
            <w:pPr>
              <w:spacing w:after="0" w:line="240" w:lineRule="auto"/>
              <w:jc w:val="center"/>
              <w:rPr>
                <w:rFonts w:ascii="Times New Roman" w:hAnsi="Times New Roman"/>
                <w:sz w:val="18"/>
                <w:szCs w:val="18"/>
              </w:rPr>
            </w:pPr>
          </w:p>
        </w:tc>
        <w:tc>
          <w:tcPr>
            <w:tcW w:w="803" w:type="dxa"/>
            <w:shd w:val="clear" w:color="000000" w:fill="FFFFFF"/>
            <w:vAlign w:val="center"/>
            <w:hideMark/>
          </w:tcPr>
          <w:p w14:paraId="74527235" w14:textId="77777777" w:rsidR="00A775DB" w:rsidRPr="00B0658A" w:rsidRDefault="00A775DB" w:rsidP="004F1366">
            <w:pPr>
              <w:spacing w:after="0" w:line="240" w:lineRule="auto"/>
              <w:jc w:val="center"/>
              <w:rPr>
                <w:rFonts w:ascii="Times New Roman" w:hAnsi="Times New Roman"/>
                <w:sz w:val="18"/>
                <w:szCs w:val="18"/>
              </w:rPr>
            </w:pPr>
          </w:p>
        </w:tc>
        <w:tc>
          <w:tcPr>
            <w:tcW w:w="803" w:type="dxa"/>
            <w:shd w:val="clear" w:color="000000" w:fill="FFFFFF"/>
            <w:vAlign w:val="center"/>
            <w:hideMark/>
          </w:tcPr>
          <w:p w14:paraId="19F455FD" w14:textId="77777777" w:rsidR="00A775DB" w:rsidRPr="00B0658A" w:rsidRDefault="00A775DB" w:rsidP="004F1366">
            <w:pPr>
              <w:spacing w:after="0" w:line="240" w:lineRule="auto"/>
              <w:jc w:val="center"/>
              <w:rPr>
                <w:rFonts w:ascii="Times New Roman" w:hAnsi="Times New Roman"/>
                <w:sz w:val="18"/>
                <w:szCs w:val="18"/>
              </w:rPr>
            </w:pPr>
          </w:p>
        </w:tc>
        <w:tc>
          <w:tcPr>
            <w:tcW w:w="804" w:type="dxa"/>
            <w:shd w:val="clear" w:color="000000" w:fill="FFFFFF"/>
            <w:vAlign w:val="center"/>
            <w:hideMark/>
          </w:tcPr>
          <w:p w14:paraId="4D9392C4" w14:textId="77777777" w:rsidR="00A775DB" w:rsidRPr="00B0658A" w:rsidRDefault="00A775DB" w:rsidP="004F1366">
            <w:pPr>
              <w:spacing w:after="0" w:line="240" w:lineRule="auto"/>
              <w:jc w:val="center"/>
              <w:rPr>
                <w:rFonts w:ascii="Times New Roman" w:hAnsi="Times New Roman"/>
                <w:sz w:val="18"/>
                <w:szCs w:val="18"/>
              </w:rPr>
            </w:pPr>
          </w:p>
        </w:tc>
        <w:tc>
          <w:tcPr>
            <w:tcW w:w="1530" w:type="dxa"/>
            <w:shd w:val="clear" w:color="000000" w:fill="FFFFFF"/>
            <w:vAlign w:val="center"/>
          </w:tcPr>
          <w:p w14:paraId="31724A76" w14:textId="77777777" w:rsidR="00A775DB" w:rsidRPr="00B0658A" w:rsidRDefault="00A775DB" w:rsidP="004F1366">
            <w:pPr>
              <w:spacing w:after="0" w:line="240" w:lineRule="auto"/>
              <w:jc w:val="center"/>
              <w:rPr>
                <w:rFonts w:ascii="Times New Roman" w:hAnsi="Times New Roman"/>
                <w:sz w:val="18"/>
                <w:szCs w:val="18"/>
              </w:rPr>
            </w:pPr>
          </w:p>
        </w:tc>
      </w:tr>
      <w:tr w:rsidR="00F52FED" w:rsidRPr="00B0658A" w14:paraId="23FFD566" w14:textId="77777777" w:rsidTr="004F1366">
        <w:trPr>
          <w:trHeight w:val="20"/>
        </w:trPr>
        <w:tc>
          <w:tcPr>
            <w:tcW w:w="578" w:type="dxa"/>
            <w:shd w:val="clear" w:color="000000" w:fill="FFFFFF"/>
            <w:vAlign w:val="center"/>
          </w:tcPr>
          <w:p w14:paraId="657A42AF" w14:textId="77777777" w:rsidR="00A775DB" w:rsidRPr="00B0658A" w:rsidRDefault="00A775DB" w:rsidP="004F1366">
            <w:pPr>
              <w:spacing w:after="0" w:line="240" w:lineRule="auto"/>
              <w:jc w:val="center"/>
              <w:rPr>
                <w:rFonts w:ascii="Times New Roman" w:hAnsi="Times New Roman"/>
                <w:sz w:val="18"/>
                <w:szCs w:val="18"/>
              </w:rPr>
            </w:pPr>
            <w:r w:rsidRPr="00B0658A">
              <w:rPr>
                <w:rFonts w:ascii="Times New Roman" w:hAnsi="Times New Roman"/>
                <w:sz w:val="18"/>
                <w:szCs w:val="18"/>
              </w:rPr>
              <w:t>7.5</w:t>
            </w:r>
          </w:p>
        </w:tc>
        <w:tc>
          <w:tcPr>
            <w:tcW w:w="3812" w:type="dxa"/>
            <w:shd w:val="clear" w:color="auto" w:fill="auto"/>
            <w:vAlign w:val="center"/>
            <w:hideMark/>
          </w:tcPr>
          <w:p w14:paraId="1E5D26E4" w14:textId="77777777" w:rsidR="00A775DB" w:rsidRPr="00B0658A" w:rsidRDefault="00A775DB" w:rsidP="004F1366">
            <w:pPr>
              <w:spacing w:after="0" w:line="240" w:lineRule="auto"/>
              <w:rPr>
                <w:rFonts w:ascii="Times New Roman" w:hAnsi="Times New Roman"/>
                <w:sz w:val="18"/>
                <w:szCs w:val="18"/>
              </w:rPr>
            </w:pPr>
            <w:r w:rsidRPr="00B0658A">
              <w:rPr>
                <w:rFonts w:ascii="Times New Roman" w:hAnsi="Times New Roman"/>
                <w:sz w:val="18"/>
                <w:szCs w:val="18"/>
              </w:rPr>
              <w:t>Лингвистическое программное обеспечение/ Средства автоматизированного перевода</w:t>
            </w:r>
          </w:p>
        </w:tc>
        <w:tc>
          <w:tcPr>
            <w:tcW w:w="1842" w:type="dxa"/>
            <w:shd w:val="clear" w:color="000000" w:fill="FFFFFF"/>
            <w:hideMark/>
          </w:tcPr>
          <w:p w14:paraId="76A9C135" w14:textId="77777777" w:rsidR="00A775DB" w:rsidRPr="00B0658A" w:rsidRDefault="00A775DB" w:rsidP="004F1366">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79" w:type="dxa"/>
            <w:shd w:val="clear" w:color="000000" w:fill="FFFFFF"/>
            <w:vAlign w:val="center"/>
          </w:tcPr>
          <w:p w14:paraId="6965F9EC"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000000" w:fill="FFFFFF"/>
            <w:vAlign w:val="center"/>
            <w:hideMark/>
          </w:tcPr>
          <w:p w14:paraId="0831D3B1"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000000" w:fill="FFFFFF"/>
            <w:vAlign w:val="center"/>
            <w:hideMark/>
          </w:tcPr>
          <w:p w14:paraId="7A92D190"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000000" w:fill="FFFFFF"/>
            <w:vAlign w:val="center"/>
            <w:hideMark/>
          </w:tcPr>
          <w:p w14:paraId="6D7E7E37" w14:textId="77777777" w:rsidR="00A775DB" w:rsidRPr="00B0658A" w:rsidRDefault="00A775DB" w:rsidP="004F1366">
            <w:pPr>
              <w:spacing w:after="0" w:line="240" w:lineRule="auto"/>
              <w:jc w:val="center"/>
              <w:rPr>
                <w:rFonts w:ascii="Times New Roman" w:hAnsi="Times New Roman"/>
                <w:sz w:val="18"/>
                <w:szCs w:val="18"/>
              </w:rPr>
            </w:pPr>
          </w:p>
        </w:tc>
        <w:tc>
          <w:tcPr>
            <w:tcW w:w="992" w:type="dxa"/>
            <w:shd w:val="clear" w:color="000000" w:fill="FFFFFF"/>
            <w:vAlign w:val="center"/>
          </w:tcPr>
          <w:p w14:paraId="28BCFC64" w14:textId="77777777" w:rsidR="00A775DB" w:rsidRPr="00B0658A" w:rsidRDefault="00A775DB" w:rsidP="004F1366">
            <w:pPr>
              <w:spacing w:after="0" w:line="240" w:lineRule="auto"/>
              <w:jc w:val="center"/>
              <w:rPr>
                <w:rFonts w:ascii="Times New Roman" w:hAnsi="Times New Roman"/>
                <w:sz w:val="18"/>
                <w:szCs w:val="18"/>
              </w:rPr>
            </w:pPr>
          </w:p>
        </w:tc>
        <w:tc>
          <w:tcPr>
            <w:tcW w:w="803" w:type="dxa"/>
            <w:shd w:val="clear" w:color="000000" w:fill="FFFFFF"/>
            <w:vAlign w:val="center"/>
            <w:hideMark/>
          </w:tcPr>
          <w:p w14:paraId="752B5E45" w14:textId="77777777" w:rsidR="00A775DB" w:rsidRPr="00B0658A" w:rsidRDefault="00A775DB" w:rsidP="004F1366">
            <w:pPr>
              <w:spacing w:after="0" w:line="240" w:lineRule="auto"/>
              <w:jc w:val="center"/>
              <w:rPr>
                <w:rFonts w:ascii="Times New Roman" w:hAnsi="Times New Roman"/>
                <w:sz w:val="18"/>
                <w:szCs w:val="18"/>
              </w:rPr>
            </w:pPr>
          </w:p>
        </w:tc>
        <w:tc>
          <w:tcPr>
            <w:tcW w:w="803" w:type="dxa"/>
            <w:shd w:val="clear" w:color="000000" w:fill="FFFFFF"/>
            <w:vAlign w:val="center"/>
            <w:hideMark/>
          </w:tcPr>
          <w:p w14:paraId="1BCC6405" w14:textId="77777777" w:rsidR="00A775DB" w:rsidRPr="00B0658A" w:rsidRDefault="00A775DB" w:rsidP="004F1366">
            <w:pPr>
              <w:spacing w:after="0" w:line="240" w:lineRule="auto"/>
              <w:jc w:val="center"/>
              <w:rPr>
                <w:rFonts w:ascii="Times New Roman" w:hAnsi="Times New Roman"/>
                <w:sz w:val="18"/>
                <w:szCs w:val="18"/>
              </w:rPr>
            </w:pPr>
          </w:p>
        </w:tc>
        <w:tc>
          <w:tcPr>
            <w:tcW w:w="804" w:type="dxa"/>
            <w:shd w:val="clear" w:color="000000" w:fill="FFFFFF"/>
            <w:vAlign w:val="center"/>
            <w:hideMark/>
          </w:tcPr>
          <w:p w14:paraId="0B25DD79" w14:textId="77777777" w:rsidR="00A775DB" w:rsidRPr="00B0658A" w:rsidRDefault="00A775DB" w:rsidP="004F1366">
            <w:pPr>
              <w:spacing w:after="0" w:line="240" w:lineRule="auto"/>
              <w:jc w:val="center"/>
              <w:rPr>
                <w:rFonts w:ascii="Times New Roman" w:hAnsi="Times New Roman"/>
                <w:sz w:val="18"/>
                <w:szCs w:val="18"/>
              </w:rPr>
            </w:pPr>
          </w:p>
        </w:tc>
        <w:tc>
          <w:tcPr>
            <w:tcW w:w="1530" w:type="dxa"/>
            <w:shd w:val="clear" w:color="000000" w:fill="FFFFFF"/>
            <w:vAlign w:val="center"/>
          </w:tcPr>
          <w:p w14:paraId="46AE33A3" w14:textId="77777777" w:rsidR="00A775DB" w:rsidRPr="00B0658A" w:rsidRDefault="00A775DB" w:rsidP="004F1366">
            <w:pPr>
              <w:spacing w:after="0" w:line="240" w:lineRule="auto"/>
              <w:jc w:val="center"/>
              <w:rPr>
                <w:rFonts w:ascii="Times New Roman" w:hAnsi="Times New Roman"/>
                <w:sz w:val="18"/>
                <w:szCs w:val="18"/>
              </w:rPr>
            </w:pPr>
          </w:p>
        </w:tc>
      </w:tr>
      <w:tr w:rsidR="00F52FED" w:rsidRPr="00B0658A" w14:paraId="5F205291" w14:textId="77777777" w:rsidTr="004F1366">
        <w:trPr>
          <w:trHeight w:val="20"/>
        </w:trPr>
        <w:tc>
          <w:tcPr>
            <w:tcW w:w="578" w:type="dxa"/>
            <w:shd w:val="clear" w:color="000000" w:fill="FFFFFF"/>
            <w:vAlign w:val="center"/>
          </w:tcPr>
          <w:p w14:paraId="28AA7416" w14:textId="77777777" w:rsidR="00A775DB" w:rsidRPr="00B0658A" w:rsidRDefault="00A775DB" w:rsidP="004F1366">
            <w:pPr>
              <w:spacing w:after="0" w:line="240" w:lineRule="auto"/>
              <w:jc w:val="center"/>
              <w:rPr>
                <w:rFonts w:ascii="Times New Roman" w:hAnsi="Times New Roman"/>
                <w:sz w:val="18"/>
                <w:szCs w:val="18"/>
              </w:rPr>
            </w:pPr>
            <w:r w:rsidRPr="00B0658A">
              <w:rPr>
                <w:rFonts w:ascii="Times New Roman" w:hAnsi="Times New Roman"/>
                <w:sz w:val="18"/>
                <w:szCs w:val="18"/>
              </w:rPr>
              <w:t>7.6</w:t>
            </w:r>
          </w:p>
        </w:tc>
        <w:tc>
          <w:tcPr>
            <w:tcW w:w="3812" w:type="dxa"/>
            <w:shd w:val="clear" w:color="auto" w:fill="auto"/>
            <w:vAlign w:val="center"/>
            <w:hideMark/>
          </w:tcPr>
          <w:p w14:paraId="2E343527" w14:textId="77777777" w:rsidR="00A775DB" w:rsidRPr="00B0658A" w:rsidRDefault="00A775DB" w:rsidP="004F1366">
            <w:pPr>
              <w:spacing w:after="0" w:line="240" w:lineRule="auto"/>
              <w:rPr>
                <w:rFonts w:ascii="Times New Roman" w:hAnsi="Times New Roman"/>
                <w:sz w:val="18"/>
                <w:szCs w:val="18"/>
              </w:rPr>
            </w:pPr>
            <w:r w:rsidRPr="00B0658A">
              <w:rPr>
                <w:rFonts w:ascii="Times New Roman" w:hAnsi="Times New Roman"/>
                <w:sz w:val="18"/>
                <w:szCs w:val="18"/>
              </w:rPr>
              <w:t>Лингвистическое программное обеспечение/ Электронные словари</w:t>
            </w:r>
          </w:p>
        </w:tc>
        <w:tc>
          <w:tcPr>
            <w:tcW w:w="1842" w:type="dxa"/>
            <w:shd w:val="clear" w:color="000000" w:fill="FFFFFF"/>
            <w:hideMark/>
          </w:tcPr>
          <w:p w14:paraId="23E7E5BF" w14:textId="77777777" w:rsidR="00A775DB" w:rsidRPr="00B0658A" w:rsidRDefault="00A775DB" w:rsidP="004F1366">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79" w:type="dxa"/>
            <w:shd w:val="clear" w:color="000000" w:fill="FFFFFF"/>
            <w:vAlign w:val="center"/>
          </w:tcPr>
          <w:p w14:paraId="12659C4B"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000000" w:fill="FFFFFF"/>
            <w:vAlign w:val="center"/>
            <w:hideMark/>
          </w:tcPr>
          <w:p w14:paraId="5F299CCC"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000000" w:fill="FFFFFF"/>
            <w:vAlign w:val="center"/>
            <w:hideMark/>
          </w:tcPr>
          <w:p w14:paraId="5A7116C0"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000000" w:fill="FFFFFF"/>
            <w:vAlign w:val="center"/>
            <w:hideMark/>
          </w:tcPr>
          <w:p w14:paraId="3F829905" w14:textId="77777777" w:rsidR="00A775DB" w:rsidRPr="00B0658A" w:rsidRDefault="00A775DB" w:rsidP="004F1366">
            <w:pPr>
              <w:spacing w:after="0" w:line="240" w:lineRule="auto"/>
              <w:jc w:val="center"/>
              <w:rPr>
                <w:rFonts w:ascii="Times New Roman" w:hAnsi="Times New Roman"/>
                <w:sz w:val="18"/>
                <w:szCs w:val="18"/>
              </w:rPr>
            </w:pPr>
          </w:p>
        </w:tc>
        <w:tc>
          <w:tcPr>
            <w:tcW w:w="992" w:type="dxa"/>
            <w:shd w:val="clear" w:color="000000" w:fill="FFFFFF"/>
            <w:vAlign w:val="center"/>
          </w:tcPr>
          <w:p w14:paraId="1035236B" w14:textId="77777777" w:rsidR="00A775DB" w:rsidRPr="00B0658A" w:rsidRDefault="00A775DB" w:rsidP="004F1366">
            <w:pPr>
              <w:spacing w:after="0" w:line="240" w:lineRule="auto"/>
              <w:jc w:val="center"/>
              <w:rPr>
                <w:rFonts w:ascii="Times New Roman" w:hAnsi="Times New Roman"/>
                <w:sz w:val="18"/>
                <w:szCs w:val="18"/>
              </w:rPr>
            </w:pPr>
          </w:p>
        </w:tc>
        <w:tc>
          <w:tcPr>
            <w:tcW w:w="803" w:type="dxa"/>
            <w:shd w:val="clear" w:color="000000" w:fill="FFFFFF"/>
            <w:vAlign w:val="center"/>
            <w:hideMark/>
          </w:tcPr>
          <w:p w14:paraId="619C881A" w14:textId="77777777" w:rsidR="00A775DB" w:rsidRPr="00B0658A" w:rsidRDefault="00A775DB" w:rsidP="004F1366">
            <w:pPr>
              <w:spacing w:after="0" w:line="240" w:lineRule="auto"/>
              <w:jc w:val="center"/>
              <w:rPr>
                <w:rFonts w:ascii="Times New Roman" w:hAnsi="Times New Roman"/>
                <w:sz w:val="18"/>
                <w:szCs w:val="18"/>
              </w:rPr>
            </w:pPr>
          </w:p>
        </w:tc>
        <w:tc>
          <w:tcPr>
            <w:tcW w:w="803" w:type="dxa"/>
            <w:shd w:val="clear" w:color="000000" w:fill="FFFFFF"/>
            <w:vAlign w:val="center"/>
            <w:hideMark/>
          </w:tcPr>
          <w:p w14:paraId="4D1E2B2E" w14:textId="77777777" w:rsidR="00A775DB" w:rsidRPr="00B0658A" w:rsidRDefault="00A775DB" w:rsidP="004F1366">
            <w:pPr>
              <w:spacing w:after="0" w:line="240" w:lineRule="auto"/>
              <w:jc w:val="center"/>
              <w:rPr>
                <w:rFonts w:ascii="Times New Roman" w:hAnsi="Times New Roman"/>
                <w:sz w:val="18"/>
                <w:szCs w:val="18"/>
              </w:rPr>
            </w:pPr>
          </w:p>
        </w:tc>
        <w:tc>
          <w:tcPr>
            <w:tcW w:w="804" w:type="dxa"/>
            <w:shd w:val="clear" w:color="000000" w:fill="FFFFFF"/>
            <w:vAlign w:val="center"/>
            <w:hideMark/>
          </w:tcPr>
          <w:p w14:paraId="196B6678" w14:textId="77777777" w:rsidR="00A775DB" w:rsidRPr="00B0658A" w:rsidRDefault="00A775DB" w:rsidP="004F1366">
            <w:pPr>
              <w:spacing w:after="0" w:line="240" w:lineRule="auto"/>
              <w:jc w:val="center"/>
              <w:rPr>
                <w:rFonts w:ascii="Times New Roman" w:hAnsi="Times New Roman"/>
                <w:sz w:val="18"/>
                <w:szCs w:val="18"/>
              </w:rPr>
            </w:pPr>
          </w:p>
        </w:tc>
        <w:tc>
          <w:tcPr>
            <w:tcW w:w="1530" w:type="dxa"/>
            <w:shd w:val="clear" w:color="000000" w:fill="FFFFFF"/>
            <w:vAlign w:val="center"/>
          </w:tcPr>
          <w:p w14:paraId="4846CC81" w14:textId="77777777" w:rsidR="00A775DB" w:rsidRPr="00B0658A" w:rsidRDefault="00A775DB" w:rsidP="004F1366">
            <w:pPr>
              <w:spacing w:after="0" w:line="240" w:lineRule="auto"/>
              <w:jc w:val="center"/>
              <w:rPr>
                <w:rFonts w:ascii="Times New Roman" w:hAnsi="Times New Roman"/>
                <w:sz w:val="18"/>
                <w:szCs w:val="18"/>
              </w:rPr>
            </w:pPr>
          </w:p>
        </w:tc>
      </w:tr>
      <w:tr w:rsidR="00F52FED" w:rsidRPr="00B0658A" w14:paraId="40E1F2CE" w14:textId="77777777" w:rsidTr="004F1366">
        <w:trPr>
          <w:trHeight w:val="20"/>
        </w:trPr>
        <w:tc>
          <w:tcPr>
            <w:tcW w:w="578" w:type="dxa"/>
            <w:shd w:val="clear" w:color="000000" w:fill="FFFFFF"/>
            <w:vAlign w:val="center"/>
          </w:tcPr>
          <w:p w14:paraId="760C7F7B" w14:textId="77777777" w:rsidR="00A775DB" w:rsidRPr="00B0658A" w:rsidRDefault="00A775DB" w:rsidP="004F1366">
            <w:pPr>
              <w:spacing w:after="0" w:line="240" w:lineRule="auto"/>
              <w:jc w:val="center"/>
              <w:rPr>
                <w:rFonts w:ascii="Times New Roman" w:hAnsi="Times New Roman"/>
                <w:sz w:val="18"/>
                <w:szCs w:val="18"/>
              </w:rPr>
            </w:pPr>
            <w:r w:rsidRPr="00B0658A">
              <w:rPr>
                <w:rFonts w:ascii="Times New Roman" w:hAnsi="Times New Roman"/>
                <w:sz w:val="18"/>
                <w:szCs w:val="18"/>
              </w:rPr>
              <w:t>7.7</w:t>
            </w:r>
          </w:p>
        </w:tc>
        <w:tc>
          <w:tcPr>
            <w:tcW w:w="3812" w:type="dxa"/>
            <w:shd w:val="clear" w:color="auto" w:fill="auto"/>
            <w:vAlign w:val="center"/>
            <w:hideMark/>
          </w:tcPr>
          <w:p w14:paraId="588386B8" w14:textId="77777777" w:rsidR="00A775DB" w:rsidRPr="00B0658A" w:rsidRDefault="00A775DB" w:rsidP="004F1366">
            <w:pPr>
              <w:spacing w:after="0" w:line="240" w:lineRule="auto"/>
              <w:rPr>
                <w:rFonts w:ascii="Times New Roman" w:hAnsi="Times New Roman"/>
                <w:sz w:val="18"/>
                <w:szCs w:val="18"/>
              </w:rPr>
            </w:pPr>
            <w:r w:rsidRPr="00B0658A">
              <w:rPr>
                <w:rFonts w:ascii="Times New Roman" w:hAnsi="Times New Roman"/>
                <w:sz w:val="18"/>
                <w:szCs w:val="18"/>
              </w:rPr>
              <w:t>Лингвистическое программное обеспечение/ Средства проверки правописания</w:t>
            </w:r>
          </w:p>
        </w:tc>
        <w:tc>
          <w:tcPr>
            <w:tcW w:w="1842" w:type="dxa"/>
            <w:shd w:val="clear" w:color="000000" w:fill="FFFFFF"/>
            <w:hideMark/>
          </w:tcPr>
          <w:p w14:paraId="48D4368E" w14:textId="77777777" w:rsidR="00A775DB" w:rsidRPr="00B0658A" w:rsidRDefault="00A775DB" w:rsidP="004F1366">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79" w:type="dxa"/>
            <w:shd w:val="clear" w:color="000000" w:fill="FFFFFF"/>
            <w:vAlign w:val="center"/>
          </w:tcPr>
          <w:p w14:paraId="103DCD24"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000000" w:fill="FFFFFF"/>
            <w:vAlign w:val="center"/>
            <w:hideMark/>
          </w:tcPr>
          <w:p w14:paraId="2DF3929B"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000000" w:fill="FFFFFF"/>
            <w:vAlign w:val="center"/>
            <w:hideMark/>
          </w:tcPr>
          <w:p w14:paraId="744C0472"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000000" w:fill="FFFFFF"/>
            <w:vAlign w:val="center"/>
            <w:hideMark/>
          </w:tcPr>
          <w:p w14:paraId="235375D6" w14:textId="77777777" w:rsidR="00A775DB" w:rsidRPr="00B0658A" w:rsidRDefault="00A775DB" w:rsidP="004F1366">
            <w:pPr>
              <w:spacing w:after="0" w:line="240" w:lineRule="auto"/>
              <w:jc w:val="center"/>
              <w:rPr>
                <w:rFonts w:ascii="Times New Roman" w:hAnsi="Times New Roman"/>
                <w:sz w:val="18"/>
                <w:szCs w:val="18"/>
              </w:rPr>
            </w:pPr>
          </w:p>
        </w:tc>
        <w:tc>
          <w:tcPr>
            <w:tcW w:w="992" w:type="dxa"/>
            <w:shd w:val="clear" w:color="000000" w:fill="FFFFFF"/>
            <w:vAlign w:val="center"/>
          </w:tcPr>
          <w:p w14:paraId="53DC6649" w14:textId="77777777" w:rsidR="00A775DB" w:rsidRPr="00B0658A" w:rsidRDefault="00A775DB" w:rsidP="004F1366">
            <w:pPr>
              <w:spacing w:after="0" w:line="240" w:lineRule="auto"/>
              <w:jc w:val="center"/>
              <w:rPr>
                <w:rFonts w:ascii="Times New Roman" w:hAnsi="Times New Roman"/>
                <w:sz w:val="18"/>
                <w:szCs w:val="18"/>
              </w:rPr>
            </w:pPr>
          </w:p>
        </w:tc>
        <w:tc>
          <w:tcPr>
            <w:tcW w:w="803" w:type="dxa"/>
            <w:shd w:val="clear" w:color="000000" w:fill="FFFFFF"/>
            <w:vAlign w:val="center"/>
            <w:hideMark/>
          </w:tcPr>
          <w:p w14:paraId="494CECAA" w14:textId="77777777" w:rsidR="00A775DB" w:rsidRPr="00B0658A" w:rsidRDefault="00A775DB" w:rsidP="004F1366">
            <w:pPr>
              <w:spacing w:after="0" w:line="240" w:lineRule="auto"/>
              <w:jc w:val="center"/>
              <w:rPr>
                <w:rFonts w:ascii="Times New Roman" w:hAnsi="Times New Roman"/>
                <w:sz w:val="18"/>
                <w:szCs w:val="18"/>
              </w:rPr>
            </w:pPr>
          </w:p>
        </w:tc>
        <w:tc>
          <w:tcPr>
            <w:tcW w:w="803" w:type="dxa"/>
            <w:shd w:val="clear" w:color="000000" w:fill="FFFFFF"/>
            <w:vAlign w:val="center"/>
            <w:hideMark/>
          </w:tcPr>
          <w:p w14:paraId="2720100C" w14:textId="77777777" w:rsidR="00A775DB" w:rsidRPr="00B0658A" w:rsidRDefault="00A775DB" w:rsidP="004F1366">
            <w:pPr>
              <w:spacing w:after="0" w:line="240" w:lineRule="auto"/>
              <w:jc w:val="center"/>
              <w:rPr>
                <w:rFonts w:ascii="Times New Roman" w:hAnsi="Times New Roman"/>
                <w:sz w:val="18"/>
                <w:szCs w:val="18"/>
              </w:rPr>
            </w:pPr>
          </w:p>
        </w:tc>
        <w:tc>
          <w:tcPr>
            <w:tcW w:w="804" w:type="dxa"/>
            <w:shd w:val="clear" w:color="000000" w:fill="FFFFFF"/>
            <w:vAlign w:val="center"/>
            <w:hideMark/>
          </w:tcPr>
          <w:p w14:paraId="1414717B" w14:textId="77777777" w:rsidR="00A775DB" w:rsidRPr="00B0658A" w:rsidRDefault="00A775DB" w:rsidP="004F1366">
            <w:pPr>
              <w:spacing w:after="0" w:line="240" w:lineRule="auto"/>
              <w:jc w:val="center"/>
              <w:rPr>
                <w:rFonts w:ascii="Times New Roman" w:hAnsi="Times New Roman"/>
                <w:sz w:val="18"/>
                <w:szCs w:val="18"/>
              </w:rPr>
            </w:pPr>
          </w:p>
        </w:tc>
        <w:tc>
          <w:tcPr>
            <w:tcW w:w="1530" w:type="dxa"/>
            <w:shd w:val="clear" w:color="000000" w:fill="FFFFFF"/>
            <w:vAlign w:val="center"/>
          </w:tcPr>
          <w:p w14:paraId="6F523C58" w14:textId="77777777" w:rsidR="00A775DB" w:rsidRPr="00B0658A" w:rsidRDefault="00A775DB" w:rsidP="004F1366">
            <w:pPr>
              <w:spacing w:after="0" w:line="240" w:lineRule="auto"/>
              <w:jc w:val="center"/>
              <w:rPr>
                <w:rFonts w:ascii="Times New Roman" w:hAnsi="Times New Roman"/>
                <w:sz w:val="18"/>
                <w:szCs w:val="18"/>
              </w:rPr>
            </w:pPr>
          </w:p>
        </w:tc>
      </w:tr>
      <w:tr w:rsidR="00F52FED" w:rsidRPr="00B0658A" w14:paraId="18F05845" w14:textId="77777777" w:rsidTr="004F1366">
        <w:trPr>
          <w:trHeight w:val="20"/>
        </w:trPr>
        <w:tc>
          <w:tcPr>
            <w:tcW w:w="578" w:type="dxa"/>
            <w:shd w:val="clear" w:color="000000" w:fill="FFFFFF"/>
            <w:vAlign w:val="center"/>
          </w:tcPr>
          <w:p w14:paraId="372CA5F9" w14:textId="77777777" w:rsidR="00A775DB" w:rsidRPr="00B0658A" w:rsidRDefault="00A775DB" w:rsidP="004F1366">
            <w:pPr>
              <w:spacing w:after="0" w:line="240" w:lineRule="auto"/>
              <w:jc w:val="center"/>
              <w:rPr>
                <w:rFonts w:ascii="Times New Roman" w:hAnsi="Times New Roman"/>
                <w:sz w:val="18"/>
                <w:szCs w:val="18"/>
              </w:rPr>
            </w:pPr>
            <w:r w:rsidRPr="00B0658A">
              <w:rPr>
                <w:rFonts w:ascii="Times New Roman" w:hAnsi="Times New Roman"/>
                <w:sz w:val="18"/>
                <w:szCs w:val="18"/>
              </w:rPr>
              <w:t>8.1</w:t>
            </w:r>
          </w:p>
        </w:tc>
        <w:tc>
          <w:tcPr>
            <w:tcW w:w="3812" w:type="dxa"/>
            <w:shd w:val="clear" w:color="auto" w:fill="auto"/>
            <w:noWrap/>
            <w:vAlign w:val="center"/>
            <w:hideMark/>
          </w:tcPr>
          <w:p w14:paraId="46E812D4" w14:textId="77777777" w:rsidR="00A775DB" w:rsidRPr="00B0658A" w:rsidRDefault="00A775DB" w:rsidP="004F1366">
            <w:pPr>
              <w:spacing w:after="0" w:line="240" w:lineRule="auto"/>
              <w:rPr>
                <w:rFonts w:ascii="Times New Roman" w:hAnsi="Times New Roman"/>
                <w:sz w:val="18"/>
                <w:szCs w:val="18"/>
              </w:rPr>
            </w:pPr>
            <w:r w:rsidRPr="00B0658A">
              <w:rPr>
                <w:rFonts w:ascii="Times New Roman" w:hAnsi="Times New Roman"/>
                <w:sz w:val="18"/>
                <w:szCs w:val="18"/>
              </w:rPr>
              <w:t xml:space="preserve">Промышленное программное обеспечение/ Средства управления жизненным циклом изделия (PLM) </w:t>
            </w:r>
          </w:p>
        </w:tc>
        <w:tc>
          <w:tcPr>
            <w:tcW w:w="1842" w:type="dxa"/>
            <w:shd w:val="clear" w:color="000000" w:fill="FFFFFF"/>
            <w:hideMark/>
          </w:tcPr>
          <w:p w14:paraId="502732E5" w14:textId="77777777" w:rsidR="00A775DB" w:rsidRPr="00B0658A" w:rsidRDefault="00A775DB" w:rsidP="004F1366">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79" w:type="dxa"/>
            <w:vAlign w:val="center"/>
          </w:tcPr>
          <w:p w14:paraId="0AD859E8"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auto" w:fill="auto"/>
            <w:noWrap/>
            <w:vAlign w:val="center"/>
            <w:hideMark/>
          </w:tcPr>
          <w:p w14:paraId="28FDBD2C"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auto" w:fill="auto"/>
            <w:noWrap/>
            <w:vAlign w:val="center"/>
            <w:hideMark/>
          </w:tcPr>
          <w:p w14:paraId="294F1B0D"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auto" w:fill="auto"/>
            <w:vAlign w:val="center"/>
            <w:hideMark/>
          </w:tcPr>
          <w:p w14:paraId="5ACD81EF" w14:textId="77777777" w:rsidR="00A775DB" w:rsidRPr="00B0658A" w:rsidRDefault="00A775DB" w:rsidP="004F1366">
            <w:pPr>
              <w:spacing w:after="0" w:line="240" w:lineRule="auto"/>
              <w:jc w:val="center"/>
              <w:rPr>
                <w:rFonts w:ascii="Times New Roman" w:hAnsi="Times New Roman"/>
                <w:sz w:val="18"/>
                <w:szCs w:val="18"/>
              </w:rPr>
            </w:pPr>
          </w:p>
        </w:tc>
        <w:tc>
          <w:tcPr>
            <w:tcW w:w="992" w:type="dxa"/>
            <w:vAlign w:val="center"/>
          </w:tcPr>
          <w:p w14:paraId="18FEA137" w14:textId="77777777" w:rsidR="00A775DB" w:rsidRPr="00B0658A" w:rsidRDefault="00A775DB" w:rsidP="004F1366">
            <w:pPr>
              <w:spacing w:after="0" w:line="240" w:lineRule="auto"/>
              <w:jc w:val="center"/>
              <w:rPr>
                <w:rFonts w:ascii="Times New Roman" w:hAnsi="Times New Roman"/>
                <w:sz w:val="18"/>
                <w:szCs w:val="18"/>
              </w:rPr>
            </w:pPr>
          </w:p>
        </w:tc>
        <w:tc>
          <w:tcPr>
            <w:tcW w:w="803" w:type="dxa"/>
            <w:shd w:val="clear" w:color="auto" w:fill="auto"/>
            <w:vAlign w:val="center"/>
            <w:hideMark/>
          </w:tcPr>
          <w:p w14:paraId="7B7B8A54" w14:textId="77777777" w:rsidR="00A775DB" w:rsidRPr="00B0658A" w:rsidRDefault="00A775DB" w:rsidP="004F1366">
            <w:pPr>
              <w:spacing w:after="0" w:line="240" w:lineRule="auto"/>
              <w:jc w:val="center"/>
              <w:rPr>
                <w:rFonts w:ascii="Times New Roman" w:hAnsi="Times New Roman"/>
                <w:sz w:val="18"/>
                <w:szCs w:val="18"/>
              </w:rPr>
            </w:pPr>
          </w:p>
        </w:tc>
        <w:tc>
          <w:tcPr>
            <w:tcW w:w="803" w:type="dxa"/>
            <w:shd w:val="clear" w:color="auto" w:fill="auto"/>
            <w:vAlign w:val="center"/>
            <w:hideMark/>
          </w:tcPr>
          <w:p w14:paraId="4D76A011" w14:textId="77777777" w:rsidR="00A775DB" w:rsidRPr="00B0658A" w:rsidRDefault="00A775DB" w:rsidP="004F1366">
            <w:pPr>
              <w:spacing w:after="0" w:line="240" w:lineRule="auto"/>
              <w:jc w:val="center"/>
              <w:rPr>
                <w:rFonts w:ascii="Times New Roman" w:hAnsi="Times New Roman"/>
                <w:sz w:val="18"/>
                <w:szCs w:val="18"/>
              </w:rPr>
            </w:pPr>
          </w:p>
        </w:tc>
        <w:tc>
          <w:tcPr>
            <w:tcW w:w="804" w:type="dxa"/>
            <w:shd w:val="clear" w:color="auto" w:fill="auto"/>
            <w:noWrap/>
            <w:vAlign w:val="center"/>
            <w:hideMark/>
          </w:tcPr>
          <w:p w14:paraId="5AE78736" w14:textId="77777777" w:rsidR="00A775DB" w:rsidRPr="00B0658A" w:rsidRDefault="00A775DB" w:rsidP="004F1366">
            <w:pPr>
              <w:spacing w:after="0" w:line="240" w:lineRule="auto"/>
              <w:jc w:val="center"/>
              <w:rPr>
                <w:rFonts w:ascii="Times New Roman" w:hAnsi="Times New Roman"/>
                <w:sz w:val="18"/>
                <w:szCs w:val="18"/>
              </w:rPr>
            </w:pPr>
          </w:p>
        </w:tc>
        <w:tc>
          <w:tcPr>
            <w:tcW w:w="1530" w:type="dxa"/>
            <w:vAlign w:val="center"/>
          </w:tcPr>
          <w:p w14:paraId="7F3B170D" w14:textId="77777777" w:rsidR="00A775DB" w:rsidRPr="00B0658A" w:rsidRDefault="00A775DB" w:rsidP="004F1366">
            <w:pPr>
              <w:spacing w:after="0" w:line="240" w:lineRule="auto"/>
              <w:jc w:val="center"/>
              <w:rPr>
                <w:rFonts w:ascii="Times New Roman" w:hAnsi="Times New Roman"/>
                <w:sz w:val="18"/>
                <w:szCs w:val="18"/>
              </w:rPr>
            </w:pPr>
          </w:p>
        </w:tc>
      </w:tr>
      <w:tr w:rsidR="00F52FED" w:rsidRPr="00B0658A" w14:paraId="2C105824" w14:textId="77777777" w:rsidTr="004F1366">
        <w:trPr>
          <w:trHeight w:val="20"/>
        </w:trPr>
        <w:tc>
          <w:tcPr>
            <w:tcW w:w="578" w:type="dxa"/>
            <w:shd w:val="clear" w:color="000000" w:fill="FFFFFF"/>
            <w:vAlign w:val="center"/>
          </w:tcPr>
          <w:p w14:paraId="5776FCFF" w14:textId="77777777" w:rsidR="00A775DB" w:rsidRPr="00B0658A" w:rsidRDefault="00A775DB" w:rsidP="004F1366">
            <w:pPr>
              <w:spacing w:after="0" w:line="240" w:lineRule="auto"/>
              <w:jc w:val="center"/>
              <w:rPr>
                <w:rFonts w:ascii="Times New Roman" w:hAnsi="Times New Roman"/>
                <w:sz w:val="18"/>
                <w:szCs w:val="18"/>
              </w:rPr>
            </w:pPr>
            <w:r w:rsidRPr="00B0658A">
              <w:rPr>
                <w:rFonts w:ascii="Times New Roman" w:hAnsi="Times New Roman"/>
                <w:sz w:val="18"/>
                <w:szCs w:val="18"/>
              </w:rPr>
              <w:t>8.2</w:t>
            </w:r>
          </w:p>
        </w:tc>
        <w:tc>
          <w:tcPr>
            <w:tcW w:w="3812" w:type="dxa"/>
            <w:shd w:val="clear" w:color="auto" w:fill="auto"/>
            <w:noWrap/>
            <w:vAlign w:val="center"/>
            <w:hideMark/>
          </w:tcPr>
          <w:p w14:paraId="0AD4A9BE" w14:textId="77777777" w:rsidR="00A775DB" w:rsidRPr="00B0658A" w:rsidRDefault="00A775DB" w:rsidP="004F1366">
            <w:pPr>
              <w:spacing w:after="0" w:line="240" w:lineRule="auto"/>
              <w:rPr>
                <w:rFonts w:ascii="Times New Roman" w:hAnsi="Times New Roman"/>
                <w:sz w:val="18"/>
                <w:szCs w:val="18"/>
              </w:rPr>
            </w:pPr>
            <w:r w:rsidRPr="00B0658A">
              <w:rPr>
                <w:rFonts w:ascii="Times New Roman" w:hAnsi="Times New Roman"/>
                <w:sz w:val="18"/>
                <w:szCs w:val="18"/>
              </w:rPr>
              <w:t>Промышленное программное обеспечение/ Универсальные машиностроительные средства автоматизированного проектирования (MCAD)</w:t>
            </w:r>
          </w:p>
        </w:tc>
        <w:tc>
          <w:tcPr>
            <w:tcW w:w="1842" w:type="dxa"/>
            <w:shd w:val="clear" w:color="000000" w:fill="FFFFFF"/>
            <w:hideMark/>
          </w:tcPr>
          <w:p w14:paraId="1B808F1B" w14:textId="77777777" w:rsidR="00A775DB" w:rsidRPr="00B0658A" w:rsidRDefault="00A775DB" w:rsidP="004F1366">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79" w:type="dxa"/>
            <w:vAlign w:val="center"/>
          </w:tcPr>
          <w:p w14:paraId="2DFEB150"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auto" w:fill="auto"/>
            <w:noWrap/>
            <w:vAlign w:val="center"/>
            <w:hideMark/>
          </w:tcPr>
          <w:p w14:paraId="1EE50DE0"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auto" w:fill="auto"/>
            <w:noWrap/>
            <w:vAlign w:val="center"/>
            <w:hideMark/>
          </w:tcPr>
          <w:p w14:paraId="54520C9C"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auto" w:fill="auto"/>
            <w:vAlign w:val="center"/>
            <w:hideMark/>
          </w:tcPr>
          <w:p w14:paraId="6ABAAC63" w14:textId="77777777" w:rsidR="00A775DB" w:rsidRPr="00B0658A" w:rsidRDefault="00A775DB" w:rsidP="004F1366">
            <w:pPr>
              <w:spacing w:after="0" w:line="240" w:lineRule="auto"/>
              <w:jc w:val="center"/>
              <w:rPr>
                <w:rFonts w:ascii="Times New Roman" w:hAnsi="Times New Roman"/>
                <w:sz w:val="18"/>
                <w:szCs w:val="18"/>
              </w:rPr>
            </w:pPr>
          </w:p>
        </w:tc>
        <w:tc>
          <w:tcPr>
            <w:tcW w:w="992" w:type="dxa"/>
            <w:vAlign w:val="center"/>
          </w:tcPr>
          <w:p w14:paraId="16744B80" w14:textId="77777777" w:rsidR="00A775DB" w:rsidRPr="00B0658A" w:rsidRDefault="00A775DB" w:rsidP="004F1366">
            <w:pPr>
              <w:spacing w:after="0" w:line="240" w:lineRule="auto"/>
              <w:jc w:val="center"/>
              <w:rPr>
                <w:rFonts w:ascii="Times New Roman" w:hAnsi="Times New Roman"/>
                <w:sz w:val="18"/>
                <w:szCs w:val="18"/>
              </w:rPr>
            </w:pPr>
          </w:p>
        </w:tc>
        <w:tc>
          <w:tcPr>
            <w:tcW w:w="803" w:type="dxa"/>
            <w:shd w:val="clear" w:color="auto" w:fill="auto"/>
            <w:vAlign w:val="center"/>
            <w:hideMark/>
          </w:tcPr>
          <w:p w14:paraId="068138CF" w14:textId="77777777" w:rsidR="00A775DB" w:rsidRPr="00B0658A" w:rsidRDefault="00A775DB" w:rsidP="004F1366">
            <w:pPr>
              <w:spacing w:after="0" w:line="240" w:lineRule="auto"/>
              <w:jc w:val="center"/>
              <w:rPr>
                <w:rFonts w:ascii="Times New Roman" w:hAnsi="Times New Roman"/>
                <w:sz w:val="18"/>
                <w:szCs w:val="18"/>
              </w:rPr>
            </w:pPr>
          </w:p>
        </w:tc>
        <w:tc>
          <w:tcPr>
            <w:tcW w:w="803" w:type="dxa"/>
            <w:shd w:val="clear" w:color="auto" w:fill="auto"/>
            <w:vAlign w:val="center"/>
            <w:hideMark/>
          </w:tcPr>
          <w:p w14:paraId="266CFF5E" w14:textId="77777777" w:rsidR="00A775DB" w:rsidRPr="00B0658A" w:rsidRDefault="00A775DB" w:rsidP="004F1366">
            <w:pPr>
              <w:spacing w:after="0" w:line="240" w:lineRule="auto"/>
              <w:jc w:val="center"/>
              <w:rPr>
                <w:rFonts w:ascii="Times New Roman" w:hAnsi="Times New Roman"/>
                <w:sz w:val="18"/>
                <w:szCs w:val="18"/>
              </w:rPr>
            </w:pPr>
          </w:p>
        </w:tc>
        <w:tc>
          <w:tcPr>
            <w:tcW w:w="804" w:type="dxa"/>
            <w:shd w:val="clear" w:color="auto" w:fill="auto"/>
            <w:noWrap/>
            <w:vAlign w:val="center"/>
            <w:hideMark/>
          </w:tcPr>
          <w:p w14:paraId="3E8D8C65" w14:textId="77777777" w:rsidR="00A775DB" w:rsidRPr="00B0658A" w:rsidRDefault="00A775DB" w:rsidP="004F1366">
            <w:pPr>
              <w:spacing w:after="0" w:line="240" w:lineRule="auto"/>
              <w:jc w:val="center"/>
              <w:rPr>
                <w:rFonts w:ascii="Times New Roman" w:hAnsi="Times New Roman"/>
                <w:sz w:val="18"/>
                <w:szCs w:val="18"/>
              </w:rPr>
            </w:pPr>
          </w:p>
        </w:tc>
        <w:tc>
          <w:tcPr>
            <w:tcW w:w="1530" w:type="dxa"/>
            <w:vAlign w:val="center"/>
          </w:tcPr>
          <w:p w14:paraId="574FD0F6" w14:textId="77777777" w:rsidR="00A775DB" w:rsidRPr="00B0658A" w:rsidRDefault="00A775DB" w:rsidP="004F1366">
            <w:pPr>
              <w:spacing w:after="0" w:line="240" w:lineRule="auto"/>
              <w:jc w:val="center"/>
              <w:rPr>
                <w:rFonts w:ascii="Times New Roman" w:hAnsi="Times New Roman"/>
                <w:sz w:val="18"/>
                <w:szCs w:val="18"/>
              </w:rPr>
            </w:pPr>
          </w:p>
        </w:tc>
      </w:tr>
      <w:tr w:rsidR="00F52FED" w:rsidRPr="00B0658A" w14:paraId="4161E0AB" w14:textId="77777777" w:rsidTr="004F1366">
        <w:trPr>
          <w:trHeight w:val="20"/>
        </w:trPr>
        <w:tc>
          <w:tcPr>
            <w:tcW w:w="578" w:type="dxa"/>
            <w:shd w:val="clear" w:color="000000" w:fill="FFFFFF"/>
            <w:vAlign w:val="center"/>
          </w:tcPr>
          <w:p w14:paraId="0A1230B4" w14:textId="77777777" w:rsidR="00A775DB" w:rsidRPr="00B0658A" w:rsidRDefault="00A775DB" w:rsidP="004F1366">
            <w:pPr>
              <w:spacing w:after="0" w:line="240" w:lineRule="auto"/>
              <w:jc w:val="center"/>
              <w:rPr>
                <w:rFonts w:ascii="Times New Roman" w:hAnsi="Times New Roman"/>
                <w:sz w:val="18"/>
                <w:szCs w:val="18"/>
              </w:rPr>
            </w:pPr>
            <w:r w:rsidRPr="00B0658A">
              <w:rPr>
                <w:rFonts w:ascii="Times New Roman" w:hAnsi="Times New Roman"/>
                <w:sz w:val="18"/>
                <w:szCs w:val="18"/>
              </w:rPr>
              <w:t>8.3</w:t>
            </w:r>
          </w:p>
        </w:tc>
        <w:tc>
          <w:tcPr>
            <w:tcW w:w="3812" w:type="dxa"/>
            <w:shd w:val="clear" w:color="auto" w:fill="auto"/>
            <w:noWrap/>
            <w:vAlign w:val="center"/>
            <w:hideMark/>
          </w:tcPr>
          <w:p w14:paraId="76E311C6" w14:textId="77777777" w:rsidR="00A775DB" w:rsidRPr="00B0658A" w:rsidRDefault="00A775DB" w:rsidP="004F1366">
            <w:pPr>
              <w:spacing w:after="0" w:line="240" w:lineRule="auto"/>
              <w:rPr>
                <w:rFonts w:ascii="Times New Roman" w:hAnsi="Times New Roman"/>
                <w:sz w:val="18"/>
                <w:szCs w:val="18"/>
              </w:rPr>
            </w:pPr>
            <w:r w:rsidRPr="00B0658A">
              <w:rPr>
                <w:rFonts w:ascii="Times New Roman" w:hAnsi="Times New Roman"/>
                <w:sz w:val="18"/>
                <w:szCs w:val="18"/>
              </w:rPr>
              <w:t>Промышленное программное обеспечение/ Средства автоматизированного проектирования (CAD)</w:t>
            </w:r>
          </w:p>
        </w:tc>
        <w:tc>
          <w:tcPr>
            <w:tcW w:w="1842" w:type="dxa"/>
            <w:shd w:val="clear" w:color="000000" w:fill="FFFFFF"/>
            <w:hideMark/>
          </w:tcPr>
          <w:p w14:paraId="002DD577" w14:textId="77777777" w:rsidR="00A775DB" w:rsidRPr="00B0658A" w:rsidRDefault="00A775DB" w:rsidP="004F1366">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79" w:type="dxa"/>
            <w:vAlign w:val="center"/>
          </w:tcPr>
          <w:p w14:paraId="7962E582"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auto" w:fill="auto"/>
            <w:noWrap/>
            <w:vAlign w:val="center"/>
            <w:hideMark/>
          </w:tcPr>
          <w:p w14:paraId="620B9DAB"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auto" w:fill="auto"/>
            <w:noWrap/>
            <w:vAlign w:val="center"/>
            <w:hideMark/>
          </w:tcPr>
          <w:p w14:paraId="72AC917E"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auto" w:fill="auto"/>
            <w:vAlign w:val="center"/>
            <w:hideMark/>
          </w:tcPr>
          <w:p w14:paraId="61568FF3" w14:textId="77777777" w:rsidR="00A775DB" w:rsidRPr="00B0658A" w:rsidRDefault="00A775DB" w:rsidP="004F1366">
            <w:pPr>
              <w:spacing w:after="0" w:line="240" w:lineRule="auto"/>
              <w:jc w:val="center"/>
              <w:rPr>
                <w:rFonts w:ascii="Times New Roman" w:hAnsi="Times New Roman"/>
                <w:sz w:val="18"/>
                <w:szCs w:val="18"/>
              </w:rPr>
            </w:pPr>
          </w:p>
        </w:tc>
        <w:tc>
          <w:tcPr>
            <w:tcW w:w="992" w:type="dxa"/>
            <w:vAlign w:val="center"/>
          </w:tcPr>
          <w:p w14:paraId="50DD3CCF" w14:textId="77777777" w:rsidR="00A775DB" w:rsidRPr="00B0658A" w:rsidRDefault="00A775DB" w:rsidP="004F1366">
            <w:pPr>
              <w:spacing w:after="0" w:line="240" w:lineRule="auto"/>
              <w:jc w:val="center"/>
              <w:rPr>
                <w:rFonts w:ascii="Times New Roman" w:hAnsi="Times New Roman"/>
                <w:sz w:val="18"/>
                <w:szCs w:val="18"/>
              </w:rPr>
            </w:pPr>
          </w:p>
        </w:tc>
        <w:tc>
          <w:tcPr>
            <w:tcW w:w="803" w:type="dxa"/>
            <w:shd w:val="clear" w:color="auto" w:fill="auto"/>
            <w:vAlign w:val="center"/>
            <w:hideMark/>
          </w:tcPr>
          <w:p w14:paraId="5272C1BE" w14:textId="77777777" w:rsidR="00A775DB" w:rsidRPr="00B0658A" w:rsidRDefault="00A775DB" w:rsidP="004F1366">
            <w:pPr>
              <w:spacing w:after="0" w:line="240" w:lineRule="auto"/>
              <w:jc w:val="center"/>
              <w:rPr>
                <w:rFonts w:ascii="Times New Roman" w:hAnsi="Times New Roman"/>
                <w:sz w:val="18"/>
                <w:szCs w:val="18"/>
              </w:rPr>
            </w:pPr>
          </w:p>
        </w:tc>
        <w:tc>
          <w:tcPr>
            <w:tcW w:w="803" w:type="dxa"/>
            <w:shd w:val="clear" w:color="auto" w:fill="auto"/>
            <w:vAlign w:val="center"/>
            <w:hideMark/>
          </w:tcPr>
          <w:p w14:paraId="177F691F" w14:textId="77777777" w:rsidR="00A775DB" w:rsidRPr="00B0658A" w:rsidRDefault="00A775DB" w:rsidP="004F1366">
            <w:pPr>
              <w:spacing w:after="0" w:line="240" w:lineRule="auto"/>
              <w:jc w:val="center"/>
              <w:rPr>
                <w:rFonts w:ascii="Times New Roman" w:hAnsi="Times New Roman"/>
                <w:sz w:val="18"/>
                <w:szCs w:val="18"/>
              </w:rPr>
            </w:pPr>
          </w:p>
        </w:tc>
        <w:tc>
          <w:tcPr>
            <w:tcW w:w="804" w:type="dxa"/>
            <w:shd w:val="clear" w:color="auto" w:fill="auto"/>
            <w:noWrap/>
            <w:vAlign w:val="center"/>
            <w:hideMark/>
          </w:tcPr>
          <w:p w14:paraId="0DF08E9A" w14:textId="77777777" w:rsidR="00A775DB" w:rsidRPr="00B0658A" w:rsidRDefault="00A775DB" w:rsidP="004F1366">
            <w:pPr>
              <w:spacing w:after="0" w:line="240" w:lineRule="auto"/>
              <w:jc w:val="center"/>
              <w:rPr>
                <w:rFonts w:ascii="Times New Roman" w:hAnsi="Times New Roman"/>
                <w:sz w:val="18"/>
                <w:szCs w:val="18"/>
              </w:rPr>
            </w:pPr>
          </w:p>
        </w:tc>
        <w:tc>
          <w:tcPr>
            <w:tcW w:w="1530" w:type="dxa"/>
            <w:vAlign w:val="center"/>
          </w:tcPr>
          <w:p w14:paraId="609B503B" w14:textId="77777777" w:rsidR="00A775DB" w:rsidRPr="00B0658A" w:rsidRDefault="00A775DB" w:rsidP="004F1366">
            <w:pPr>
              <w:spacing w:after="0" w:line="240" w:lineRule="auto"/>
              <w:jc w:val="center"/>
              <w:rPr>
                <w:rFonts w:ascii="Times New Roman" w:hAnsi="Times New Roman"/>
                <w:sz w:val="18"/>
                <w:szCs w:val="18"/>
              </w:rPr>
            </w:pPr>
          </w:p>
        </w:tc>
      </w:tr>
      <w:tr w:rsidR="00F52FED" w:rsidRPr="00B0658A" w14:paraId="581DC1B0" w14:textId="77777777" w:rsidTr="004F1366">
        <w:trPr>
          <w:trHeight w:val="20"/>
        </w:trPr>
        <w:tc>
          <w:tcPr>
            <w:tcW w:w="578" w:type="dxa"/>
            <w:shd w:val="clear" w:color="000000" w:fill="FFFFFF"/>
            <w:vAlign w:val="center"/>
          </w:tcPr>
          <w:p w14:paraId="62F4D5EA" w14:textId="77777777" w:rsidR="00A775DB" w:rsidRPr="00B0658A" w:rsidRDefault="00A775DB" w:rsidP="004F1366">
            <w:pPr>
              <w:spacing w:after="0" w:line="240" w:lineRule="auto"/>
              <w:jc w:val="center"/>
              <w:rPr>
                <w:rFonts w:ascii="Times New Roman" w:hAnsi="Times New Roman"/>
                <w:sz w:val="18"/>
                <w:szCs w:val="18"/>
              </w:rPr>
            </w:pPr>
            <w:r w:rsidRPr="00B0658A">
              <w:rPr>
                <w:rFonts w:ascii="Times New Roman" w:hAnsi="Times New Roman"/>
                <w:sz w:val="18"/>
                <w:szCs w:val="18"/>
              </w:rPr>
              <w:t>8.4</w:t>
            </w:r>
          </w:p>
        </w:tc>
        <w:tc>
          <w:tcPr>
            <w:tcW w:w="3812" w:type="dxa"/>
            <w:shd w:val="clear" w:color="auto" w:fill="auto"/>
            <w:vAlign w:val="center"/>
            <w:hideMark/>
          </w:tcPr>
          <w:p w14:paraId="65BF4B05" w14:textId="77777777" w:rsidR="00A775DB" w:rsidRPr="00B0658A" w:rsidRDefault="00A775DB" w:rsidP="004F1366">
            <w:pPr>
              <w:spacing w:after="0" w:line="240" w:lineRule="auto"/>
              <w:rPr>
                <w:rFonts w:ascii="Times New Roman" w:hAnsi="Times New Roman"/>
                <w:sz w:val="18"/>
                <w:szCs w:val="18"/>
              </w:rPr>
            </w:pPr>
            <w:r w:rsidRPr="00B0658A">
              <w:rPr>
                <w:rFonts w:ascii="Times New Roman" w:hAnsi="Times New Roman"/>
                <w:sz w:val="18"/>
                <w:szCs w:val="18"/>
              </w:rPr>
              <w:t>Промышленное программное обеспечение/ Средства автоматизированного проектирования для радиоэлектроники и электротехники (ECAD, EDA)</w:t>
            </w:r>
          </w:p>
        </w:tc>
        <w:tc>
          <w:tcPr>
            <w:tcW w:w="1842" w:type="dxa"/>
            <w:shd w:val="clear" w:color="000000" w:fill="FFFFFF"/>
            <w:hideMark/>
          </w:tcPr>
          <w:p w14:paraId="76ADF6EC" w14:textId="77777777" w:rsidR="00A775DB" w:rsidRPr="00B0658A" w:rsidRDefault="00A775DB" w:rsidP="004F1366">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79" w:type="dxa"/>
            <w:vAlign w:val="center"/>
          </w:tcPr>
          <w:p w14:paraId="0AE6C276"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auto" w:fill="auto"/>
            <w:noWrap/>
            <w:vAlign w:val="center"/>
            <w:hideMark/>
          </w:tcPr>
          <w:p w14:paraId="51BECCC2"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auto" w:fill="auto"/>
            <w:noWrap/>
            <w:vAlign w:val="center"/>
            <w:hideMark/>
          </w:tcPr>
          <w:p w14:paraId="1FC2088B"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auto" w:fill="auto"/>
            <w:vAlign w:val="center"/>
            <w:hideMark/>
          </w:tcPr>
          <w:p w14:paraId="71CE7CB5" w14:textId="77777777" w:rsidR="00A775DB" w:rsidRPr="00B0658A" w:rsidRDefault="00A775DB" w:rsidP="004F1366">
            <w:pPr>
              <w:spacing w:after="0" w:line="240" w:lineRule="auto"/>
              <w:jc w:val="center"/>
              <w:rPr>
                <w:rFonts w:ascii="Times New Roman" w:hAnsi="Times New Roman"/>
                <w:sz w:val="18"/>
                <w:szCs w:val="18"/>
              </w:rPr>
            </w:pPr>
          </w:p>
        </w:tc>
        <w:tc>
          <w:tcPr>
            <w:tcW w:w="992" w:type="dxa"/>
            <w:vAlign w:val="center"/>
          </w:tcPr>
          <w:p w14:paraId="19931F25" w14:textId="77777777" w:rsidR="00A775DB" w:rsidRPr="00B0658A" w:rsidRDefault="00A775DB" w:rsidP="004F1366">
            <w:pPr>
              <w:spacing w:after="0" w:line="240" w:lineRule="auto"/>
              <w:jc w:val="center"/>
              <w:rPr>
                <w:rFonts w:ascii="Times New Roman" w:hAnsi="Times New Roman"/>
                <w:sz w:val="18"/>
                <w:szCs w:val="18"/>
              </w:rPr>
            </w:pPr>
          </w:p>
        </w:tc>
        <w:tc>
          <w:tcPr>
            <w:tcW w:w="803" w:type="dxa"/>
            <w:shd w:val="clear" w:color="auto" w:fill="auto"/>
            <w:vAlign w:val="center"/>
            <w:hideMark/>
          </w:tcPr>
          <w:p w14:paraId="3C1E9DCB" w14:textId="77777777" w:rsidR="00A775DB" w:rsidRPr="00B0658A" w:rsidRDefault="00A775DB" w:rsidP="004F1366">
            <w:pPr>
              <w:spacing w:after="0" w:line="240" w:lineRule="auto"/>
              <w:jc w:val="center"/>
              <w:rPr>
                <w:rFonts w:ascii="Times New Roman" w:hAnsi="Times New Roman"/>
                <w:sz w:val="18"/>
                <w:szCs w:val="18"/>
              </w:rPr>
            </w:pPr>
          </w:p>
        </w:tc>
        <w:tc>
          <w:tcPr>
            <w:tcW w:w="803" w:type="dxa"/>
            <w:shd w:val="clear" w:color="auto" w:fill="auto"/>
            <w:vAlign w:val="center"/>
            <w:hideMark/>
          </w:tcPr>
          <w:p w14:paraId="7D9835EE" w14:textId="77777777" w:rsidR="00A775DB" w:rsidRPr="00B0658A" w:rsidRDefault="00A775DB" w:rsidP="004F1366">
            <w:pPr>
              <w:spacing w:after="0" w:line="240" w:lineRule="auto"/>
              <w:jc w:val="center"/>
              <w:rPr>
                <w:rFonts w:ascii="Times New Roman" w:hAnsi="Times New Roman"/>
                <w:sz w:val="18"/>
                <w:szCs w:val="18"/>
              </w:rPr>
            </w:pPr>
          </w:p>
        </w:tc>
        <w:tc>
          <w:tcPr>
            <w:tcW w:w="804" w:type="dxa"/>
            <w:shd w:val="clear" w:color="auto" w:fill="auto"/>
            <w:noWrap/>
            <w:vAlign w:val="center"/>
            <w:hideMark/>
          </w:tcPr>
          <w:p w14:paraId="5359ECB6" w14:textId="77777777" w:rsidR="00A775DB" w:rsidRPr="00B0658A" w:rsidRDefault="00A775DB" w:rsidP="004F1366">
            <w:pPr>
              <w:spacing w:after="0" w:line="240" w:lineRule="auto"/>
              <w:jc w:val="center"/>
              <w:rPr>
                <w:rFonts w:ascii="Times New Roman" w:hAnsi="Times New Roman"/>
                <w:sz w:val="18"/>
                <w:szCs w:val="18"/>
              </w:rPr>
            </w:pPr>
          </w:p>
        </w:tc>
        <w:tc>
          <w:tcPr>
            <w:tcW w:w="1530" w:type="dxa"/>
            <w:vAlign w:val="center"/>
          </w:tcPr>
          <w:p w14:paraId="3BDAE8B2" w14:textId="77777777" w:rsidR="00A775DB" w:rsidRPr="00B0658A" w:rsidRDefault="00A775DB" w:rsidP="004F1366">
            <w:pPr>
              <w:spacing w:after="0" w:line="240" w:lineRule="auto"/>
              <w:jc w:val="center"/>
              <w:rPr>
                <w:rFonts w:ascii="Times New Roman" w:hAnsi="Times New Roman"/>
                <w:sz w:val="18"/>
                <w:szCs w:val="18"/>
              </w:rPr>
            </w:pPr>
          </w:p>
        </w:tc>
      </w:tr>
      <w:tr w:rsidR="00F52FED" w:rsidRPr="00B0658A" w14:paraId="004DE8FB" w14:textId="77777777" w:rsidTr="004F1366">
        <w:trPr>
          <w:trHeight w:val="20"/>
        </w:trPr>
        <w:tc>
          <w:tcPr>
            <w:tcW w:w="578" w:type="dxa"/>
            <w:shd w:val="clear" w:color="000000" w:fill="FFFFFF"/>
            <w:vAlign w:val="center"/>
          </w:tcPr>
          <w:p w14:paraId="089C72A7" w14:textId="77777777" w:rsidR="00A775DB" w:rsidRPr="00B0658A" w:rsidRDefault="00A775DB" w:rsidP="004F1366">
            <w:pPr>
              <w:spacing w:after="0" w:line="240" w:lineRule="auto"/>
              <w:jc w:val="center"/>
              <w:rPr>
                <w:rFonts w:ascii="Times New Roman" w:hAnsi="Times New Roman"/>
                <w:sz w:val="18"/>
                <w:szCs w:val="18"/>
              </w:rPr>
            </w:pPr>
            <w:r w:rsidRPr="00B0658A">
              <w:rPr>
                <w:rFonts w:ascii="Times New Roman" w:hAnsi="Times New Roman"/>
                <w:sz w:val="18"/>
                <w:szCs w:val="18"/>
              </w:rPr>
              <w:t>8.5</w:t>
            </w:r>
          </w:p>
        </w:tc>
        <w:tc>
          <w:tcPr>
            <w:tcW w:w="3812" w:type="dxa"/>
            <w:shd w:val="clear" w:color="auto" w:fill="auto"/>
            <w:vAlign w:val="center"/>
            <w:hideMark/>
          </w:tcPr>
          <w:p w14:paraId="74E731DA" w14:textId="77777777" w:rsidR="00A775DB" w:rsidRPr="00B0658A" w:rsidRDefault="00A775DB" w:rsidP="004F1366">
            <w:pPr>
              <w:spacing w:after="0" w:line="240" w:lineRule="auto"/>
              <w:rPr>
                <w:rFonts w:ascii="Times New Roman" w:hAnsi="Times New Roman"/>
                <w:sz w:val="18"/>
                <w:szCs w:val="18"/>
              </w:rPr>
            </w:pPr>
            <w:r w:rsidRPr="00B0658A">
              <w:rPr>
                <w:rFonts w:ascii="Times New Roman" w:hAnsi="Times New Roman"/>
                <w:sz w:val="18"/>
                <w:szCs w:val="18"/>
              </w:rPr>
              <w:t>Промышленное программное обеспечение/ Средства инженерного анализа (CAE)</w:t>
            </w:r>
          </w:p>
        </w:tc>
        <w:tc>
          <w:tcPr>
            <w:tcW w:w="1842" w:type="dxa"/>
            <w:shd w:val="clear" w:color="000000" w:fill="FFFFFF"/>
            <w:hideMark/>
          </w:tcPr>
          <w:p w14:paraId="64707972" w14:textId="77777777" w:rsidR="00A775DB" w:rsidRPr="00B0658A" w:rsidRDefault="00A775DB" w:rsidP="004F1366">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79" w:type="dxa"/>
            <w:shd w:val="clear" w:color="000000" w:fill="FFFFFF"/>
            <w:vAlign w:val="center"/>
          </w:tcPr>
          <w:p w14:paraId="49EFF0FE"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000000" w:fill="FFFFFF"/>
            <w:vAlign w:val="center"/>
            <w:hideMark/>
          </w:tcPr>
          <w:p w14:paraId="14FD0D4D"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000000" w:fill="FFFFFF"/>
            <w:vAlign w:val="center"/>
            <w:hideMark/>
          </w:tcPr>
          <w:p w14:paraId="4AF41252"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000000" w:fill="FFFFFF"/>
            <w:vAlign w:val="center"/>
            <w:hideMark/>
          </w:tcPr>
          <w:p w14:paraId="106FBB58" w14:textId="77777777" w:rsidR="00A775DB" w:rsidRPr="00B0658A" w:rsidRDefault="00A775DB" w:rsidP="004F1366">
            <w:pPr>
              <w:spacing w:after="0" w:line="240" w:lineRule="auto"/>
              <w:jc w:val="center"/>
              <w:rPr>
                <w:rFonts w:ascii="Times New Roman" w:hAnsi="Times New Roman"/>
                <w:sz w:val="18"/>
                <w:szCs w:val="18"/>
              </w:rPr>
            </w:pPr>
          </w:p>
        </w:tc>
        <w:tc>
          <w:tcPr>
            <w:tcW w:w="992" w:type="dxa"/>
            <w:shd w:val="clear" w:color="000000" w:fill="FFFFFF"/>
            <w:vAlign w:val="center"/>
          </w:tcPr>
          <w:p w14:paraId="2972D37F" w14:textId="77777777" w:rsidR="00A775DB" w:rsidRPr="00B0658A" w:rsidRDefault="00A775DB" w:rsidP="004F1366">
            <w:pPr>
              <w:spacing w:after="0" w:line="240" w:lineRule="auto"/>
              <w:jc w:val="center"/>
              <w:rPr>
                <w:rFonts w:ascii="Times New Roman" w:hAnsi="Times New Roman"/>
                <w:sz w:val="18"/>
                <w:szCs w:val="18"/>
              </w:rPr>
            </w:pPr>
          </w:p>
        </w:tc>
        <w:tc>
          <w:tcPr>
            <w:tcW w:w="803" w:type="dxa"/>
            <w:shd w:val="clear" w:color="000000" w:fill="FFFFFF"/>
            <w:vAlign w:val="center"/>
            <w:hideMark/>
          </w:tcPr>
          <w:p w14:paraId="35286F47" w14:textId="77777777" w:rsidR="00A775DB" w:rsidRPr="00B0658A" w:rsidRDefault="00A775DB" w:rsidP="004F1366">
            <w:pPr>
              <w:spacing w:after="0" w:line="240" w:lineRule="auto"/>
              <w:jc w:val="center"/>
              <w:rPr>
                <w:rFonts w:ascii="Times New Roman" w:hAnsi="Times New Roman"/>
                <w:sz w:val="18"/>
                <w:szCs w:val="18"/>
              </w:rPr>
            </w:pPr>
          </w:p>
        </w:tc>
        <w:tc>
          <w:tcPr>
            <w:tcW w:w="803" w:type="dxa"/>
            <w:shd w:val="clear" w:color="000000" w:fill="FFFFFF"/>
            <w:vAlign w:val="center"/>
            <w:hideMark/>
          </w:tcPr>
          <w:p w14:paraId="6B41BCD9" w14:textId="77777777" w:rsidR="00A775DB" w:rsidRPr="00B0658A" w:rsidRDefault="00A775DB" w:rsidP="004F1366">
            <w:pPr>
              <w:spacing w:after="0" w:line="240" w:lineRule="auto"/>
              <w:jc w:val="center"/>
              <w:rPr>
                <w:rFonts w:ascii="Times New Roman" w:hAnsi="Times New Roman"/>
                <w:sz w:val="18"/>
                <w:szCs w:val="18"/>
              </w:rPr>
            </w:pPr>
          </w:p>
        </w:tc>
        <w:tc>
          <w:tcPr>
            <w:tcW w:w="804" w:type="dxa"/>
            <w:shd w:val="clear" w:color="000000" w:fill="FFFFFF"/>
            <w:vAlign w:val="center"/>
            <w:hideMark/>
          </w:tcPr>
          <w:p w14:paraId="53F6CAAA" w14:textId="77777777" w:rsidR="00A775DB" w:rsidRPr="00B0658A" w:rsidRDefault="00A775DB" w:rsidP="004F1366">
            <w:pPr>
              <w:spacing w:after="0" w:line="240" w:lineRule="auto"/>
              <w:jc w:val="center"/>
              <w:rPr>
                <w:rFonts w:ascii="Times New Roman" w:hAnsi="Times New Roman"/>
                <w:sz w:val="18"/>
                <w:szCs w:val="18"/>
              </w:rPr>
            </w:pPr>
          </w:p>
        </w:tc>
        <w:tc>
          <w:tcPr>
            <w:tcW w:w="1530" w:type="dxa"/>
            <w:shd w:val="clear" w:color="000000" w:fill="FFFFFF"/>
            <w:vAlign w:val="center"/>
          </w:tcPr>
          <w:p w14:paraId="3DC9C316" w14:textId="77777777" w:rsidR="00A775DB" w:rsidRPr="00B0658A" w:rsidRDefault="00A775DB" w:rsidP="004F1366">
            <w:pPr>
              <w:spacing w:after="0" w:line="240" w:lineRule="auto"/>
              <w:jc w:val="center"/>
              <w:rPr>
                <w:rFonts w:ascii="Times New Roman" w:hAnsi="Times New Roman"/>
                <w:sz w:val="18"/>
                <w:szCs w:val="18"/>
              </w:rPr>
            </w:pPr>
          </w:p>
        </w:tc>
      </w:tr>
      <w:tr w:rsidR="00F52FED" w:rsidRPr="00B0658A" w14:paraId="5A583BB9" w14:textId="77777777" w:rsidTr="004F1366">
        <w:trPr>
          <w:trHeight w:val="20"/>
        </w:trPr>
        <w:tc>
          <w:tcPr>
            <w:tcW w:w="578" w:type="dxa"/>
            <w:shd w:val="clear" w:color="000000" w:fill="FFFFFF"/>
            <w:vAlign w:val="center"/>
          </w:tcPr>
          <w:p w14:paraId="47EF8B52" w14:textId="77777777" w:rsidR="00A775DB" w:rsidRPr="00B0658A" w:rsidRDefault="00A775DB" w:rsidP="004F1366">
            <w:pPr>
              <w:spacing w:after="0" w:line="240" w:lineRule="auto"/>
              <w:jc w:val="center"/>
              <w:rPr>
                <w:rFonts w:ascii="Times New Roman" w:hAnsi="Times New Roman"/>
                <w:sz w:val="18"/>
                <w:szCs w:val="18"/>
              </w:rPr>
            </w:pPr>
            <w:r w:rsidRPr="00B0658A">
              <w:rPr>
                <w:rFonts w:ascii="Times New Roman" w:hAnsi="Times New Roman"/>
                <w:sz w:val="18"/>
                <w:szCs w:val="18"/>
              </w:rPr>
              <w:t>8.6</w:t>
            </w:r>
          </w:p>
        </w:tc>
        <w:tc>
          <w:tcPr>
            <w:tcW w:w="3812" w:type="dxa"/>
            <w:shd w:val="clear" w:color="auto" w:fill="auto"/>
            <w:vAlign w:val="center"/>
            <w:hideMark/>
          </w:tcPr>
          <w:p w14:paraId="4BC0B416" w14:textId="77777777" w:rsidR="00A775DB" w:rsidRPr="00B0658A" w:rsidRDefault="00A775DB" w:rsidP="004F1366">
            <w:pPr>
              <w:spacing w:after="0" w:line="240" w:lineRule="auto"/>
              <w:rPr>
                <w:rFonts w:ascii="Times New Roman" w:hAnsi="Times New Roman"/>
                <w:sz w:val="18"/>
                <w:szCs w:val="18"/>
              </w:rPr>
            </w:pPr>
            <w:r w:rsidRPr="00B0658A">
              <w:rPr>
                <w:rFonts w:ascii="Times New Roman" w:hAnsi="Times New Roman"/>
                <w:sz w:val="18"/>
                <w:szCs w:val="18"/>
              </w:rPr>
              <w:t>Промышленное программное обеспечение/ Средства управления оборудованием с числовым программным управлением (CAM)</w:t>
            </w:r>
          </w:p>
        </w:tc>
        <w:tc>
          <w:tcPr>
            <w:tcW w:w="1842" w:type="dxa"/>
            <w:shd w:val="clear" w:color="000000" w:fill="FFFFFF"/>
            <w:hideMark/>
          </w:tcPr>
          <w:p w14:paraId="3AC99C6A" w14:textId="77777777" w:rsidR="00A775DB" w:rsidRPr="00B0658A" w:rsidRDefault="00A775DB" w:rsidP="004F1366">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79" w:type="dxa"/>
            <w:shd w:val="clear" w:color="000000" w:fill="FFFFFF"/>
            <w:vAlign w:val="center"/>
          </w:tcPr>
          <w:p w14:paraId="638261FA"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000000" w:fill="FFFFFF"/>
            <w:vAlign w:val="center"/>
            <w:hideMark/>
          </w:tcPr>
          <w:p w14:paraId="1BF59B00"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000000" w:fill="FFFFFF"/>
            <w:vAlign w:val="center"/>
            <w:hideMark/>
          </w:tcPr>
          <w:p w14:paraId="3848070C"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000000" w:fill="FFFFFF"/>
            <w:vAlign w:val="center"/>
            <w:hideMark/>
          </w:tcPr>
          <w:p w14:paraId="3E432C1B" w14:textId="77777777" w:rsidR="00A775DB" w:rsidRPr="00B0658A" w:rsidRDefault="00A775DB" w:rsidP="004F1366">
            <w:pPr>
              <w:spacing w:after="0" w:line="240" w:lineRule="auto"/>
              <w:jc w:val="center"/>
              <w:rPr>
                <w:rFonts w:ascii="Times New Roman" w:hAnsi="Times New Roman"/>
                <w:sz w:val="18"/>
                <w:szCs w:val="18"/>
              </w:rPr>
            </w:pPr>
          </w:p>
        </w:tc>
        <w:tc>
          <w:tcPr>
            <w:tcW w:w="992" w:type="dxa"/>
            <w:shd w:val="clear" w:color="000000" w:fill="FFFFFF"/>
            <w:vAlign w:val="center"/>
          </w:tcPr>
          <w:p w14:paraId="31FFCBFF" w14:textId="77777777" w:rsidR="00A775DB" w:rsidRPr="00B0658A" w:rsidRDefault="00A775DB" w:rsidP="004F1366">
            <w:pPr>
              <w:spacing w:after="0" w:line="240" w:lineRule="auto"/>
              <w:jc w:val="center"/>
              <w:rPr>
                <w:rFonts w:ascii="Times New Roman" w:hAnsi="Times New Roman"/>
                <w:sz w:val="18"/>
                <w:szCs w:val="18"/>
              </w:rPr>
            </w:pPr>
          </w:p>
        </w:tc>
        <w:tc>
          <w:tcPr>
            <w:tcW w:w="803" w:type="dxa"/>
            <w:shd w:val="clear" w:color="000000" w:fill="FFFFFF"/>
            <w:vAlign w:val="center"/>
            <w:hideMark/>
          </w:tcPr>
          <w:p w14:paraId="3D41B45A" w14:textId="77777777" w:rsidR="00A775DB" w:rsidRPr="00B0658A" w:rsidRDefault="00A775DB" w:rsidP="004F1366">
            <w:pPr>
              <w:spacing w:after="0" w:line="240" w:lineRule="auto"/>
              <w:jc w:val="center"/>
              <w:rPr>
                <w:rFonts w:ascii="Times New Roman" w:hAnsi="Times New Roman"/>
                <w:sz w:val="18"/>
                <w:szCs w:val="18"/>
              </w:rPr>
            </w:pPr>
          </w:p>
        </w:tc>
        <w:tc>
          <w:tcPr>
            <w:tcW w:w="803" w:type="dxa"/>
            <w:shd w:val="clear" w:color="000000" w:fill="FFFFFF"/>
            <w:vAlign w:val="center"/>
            <w:hideMark/>
          </w:tcPr>
          <w:p w14:paraId="1CB0BBD0" w14:textId="77777777" w:rsidR="00A775DB" w:rsidRPr="00B0658A" w:rsidRDefault="00A775DB" w:rsidP="004F1366">
            <w:pPr>
              <w:spacing w:after="0" w:line="240" w:lineRule="auto"/>
              <w:jc w:val="center"/>
              <w:rPr>
                <w:rFonts w:ascii="Times New Roman" w:hAnsi="Times New Roman"/>
                <w:sz w:val="18"/>
                <w:szCs w:val="18"/>
              </w:rPr>
            </w:pPr>
          </w:p>
        </w:tc>
        <w:tc>
          <w:tcPr>
            <w:tcW w:w="804" w:type="dxa"/>
            <w:shd w:val="clear" w:color="000000" w:fill="FFFFFF"/>
            <w:vAlign w:val="center"/>
            <w:hideMark/>
          </w:tcPr>
          <w:p w14:paraId="4321C93E" w14:textId="77777777" w:rsidR="00A775DB" w:rsidRPr="00B0658A" w:rsidRDefault="00A775DB" w:rsidP="004F1366">
            <w:pPr>
              <w:spacing w:after="0" w:line="240" w:lineRule="auto"/>
              <w:jc w:val="center"/>
              <w:rPr>
                <w:rFonts w:ascii="Times New Roman" w:hAnsi="Times New Roman"/>
                <w:sz w:val="18"/>
                <w:szCs w:val="18"/>
              </w:rPr>
            </w:pPr>
          </w:p>
        </w:tc>
        <w:tc>
          <w:tcPr>
            <w:tcW w:w="1530" w:type="dxa"/>
            <w:shd w:val="clear" w:color="000000" w:fill="FFFFFF"/>
            <w:vAlign w:val="center"/>
          </w:tcPr>
          <w:p w14:paraId="02322F96" w14:textId="77777777" w:rsidR="00A775DB" w:rsidRPr="00B0658A" w:rsidRDefault="00A775DB" w:rsidP="004F1366">
            <w:pPr>
              <w:spacing w:after="0" w:line="240" w:lineRule="auto"/>
              <w:jc w:val="center"/>
              <w:rPr>
                <w:rFonts w:ascii="Times New Roman" w:hAnsi="Times New Roman"/>
                <w:sz w:val="18"/>
                <w:szCs w:val="18"/>
              </w:rPr>
            </w:pPr>
          </w:p>
        </w:tc>
      </w:tr>
      <w:tr w:rsidR="00F52FED" w:rsidRPr="00B0658A" w14:paraId="43671192" w14:textId="77777777" w:rsidTr="004F1366">
        <w:trPr>
          <w:trHeight w:val="20"/>
        </w:trPr>
        <w:tc>
          <w:tcPr>
            <w:tcW w:w="578" w:type="dxa"/>
            <w:shd w:val="clear" w:color="000000" w:fill="FFFFFF"/>
            <w:vAlign w:val="center"/>
          </w:tcPr>
          <w:p w14:paraId="05F804D3" w14:textId="77777777" w:rsidR="00A775DB" w:rsidRPr="00B0658A" w:rsidRDefault="00A775DB" w:rsidP="004F1366">
            <w:pPr>
              <w:spacing w:after="0" w:line="240" w:lineRule="auto"/>
              <w:jc w:val="center"/>
              <w:rPr>
                <w:rFonts w:ascii="Times New Roman" w:hAnsi="Times New Roman"/>
                <w:sz w:val="18"/>
                <w:szCs w:val="18"/>
              </w:rPr>
            </w:pPr>
            <w:r w:rsidRPr="00B0658A">
              <w:rPr>
                <w:rFonts w:ascii="Times New Roman" w:hAnsi="Times New Roman"/>
                <w:sz w:val="18"/>
                <w:szCs w:val="18"/>
              </w:rPr>
              <w:t>8.7</w:t>
            </w:r>
          </w:p>
        </w:tc>
        <w:tc>
          <w:tcPr>
            <w:tcW w:w="3812" w:type="dxa"/>
            <w:shd w:val="clear" w:color="auto" w:fill="auto"/>
            <w:vAlign w:val="center"/>
            <w:hideMark/>
          </w:tcPr>
          <w:p w14:paraId="16DDCA41" w14:textId="77777777" w:rsidR="00A775DB" w:rsidRPr="00B0658A" w:rsidRDefault="00A775DB" w:rsidP="004F1366">
            <w:pPr>
              <w:spacing w:after="0" w:line="240" w:lineRule="auto"/>
              <w:rPr>
                <w:rFonts w:ascii="Times New Roman" w:hAnsi="Times New Roman"/>
                <w:sz w:val="18"/>
                <w:szCs w:val="18"/>
              </w:rPr>
            </w:pPr>
            <w:r w:rsidRPr="00B0658A">
              <w:rPr>
                <w:rFonts w:ascii="Times New Roman" w:hAnsi="Times New Roman"/>
                <w:sz w:val="18"/>
                <w:szCs w:val="18"/>
              </w:rPr>
              <w:t>Промышленное программное обеспечение/ Средства технологической подготовки производства (CAPP)</w:t>
            </w:r>
          </w:p>
        </w:tc>
        <w:tc>
          <w:tcPr>
            <w:tcW w:w="1842" w:type="dxa"/>
            <w:shd w:val="clear" w:color="000000" w:fill="FFFFFF"/>
            <w:hideMark/>
          </w:tcPr>
          <w:p w14:paraId="55A4CA8C" w14:textId="77777777" w:rsidR="00A775DB" w:rsidRPr="00B0658A" w:rsidRDefault="00A775DB" w:rsidP="004F1366">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79" w:type="dxa"/>
            <w:shd w:val="clear" w:color="000000" w:fill="FFFFFF"/>
            <w:vAlign w:val="center"/>
          </w:tcPr>
          <w:p w14:paraId="2DFB39C6"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000000" w:fill="FFFFFF"/>
            <w:vAlign w:val="center"/>
            <w:hideMark/>
          </w:tcPr>
          <w:p w14:paraId="19E41D66"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000000" w:fill="FFFFFF"/>
            <w:vAlign w:val="center"/>
            <w:hideMark/>
          </w:tcPr>
          <w:p w14:paraId="5F489BEF"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000000" w:fill="FFFFFF"/>
            <w:vAlign w:val="center"/>
            <w:hideMark/>
          </w:tcPr>
          <w:p w14:paraId="7F92FD68" w14:textId="77777777" w:rsidR="00A775DB" w:rsidRPr="00B0658A" w:rsidRDefault="00A775DB" w:rsidP="004F1366">
            <w:pPr>
              <w:spacing w:after="0" w:line="240" w:lineRule="auto"/>
              <w:jc w:val="center"/>
              <w:rPr>
                <w:rFonts w:ascii="Times New Roman" w:hAnsi="Times New Roman"/>
                <w:sz w:val="18"/>
                <w:szCs w:val="18"/>
              </w:rPr>
            </w:pPr>
          </w:p>
        </w:tc>
        <w:tc>
          <w:tcPr>
            <w:tcW w:w="992" w:type="dxa"/>
            <w:shd w:val="clear" w:color="000000" w:fill="FFFFFF"/>
            <w:vAlign w:val="center"/>
          </w:tcPr>
          <w:p w14:paraId="451079F7" w14:textId="77777777" w:rsidR="00A775DB" w:rsidRPr="00B0658A" w:rsidRDefault="00A775DB" w:rsidP="004F1366">
            <w:pPr>
              <w:spacing w:after="0" w:line="240" w:lineRule="auto"/>
              <w:jc w:val="center"/>
              <w:rPr>
                <w:rFonts w:ascii="Times New Roman" w:hAnsi="Times New Roman"/>
                <w:sz w:val="18"/>
                <w:szCs w:val="18"/>
              </w:rPr>
            </w:pPr>
          </w:p>
        </w:tc>
        <w:tc>
          <w:tcPr>
            <w:tcW w:w="803" w:type="dxa"/>
            <w:shd w:val="clear" w:color="000000" w:fill="FFFFFF"/>
            <w:vAlign w:val="center"/>
            <w:hideMark/>
          </w:tcPr>
          <w:p w14:paraId="2423C3E3" w14:textId="77777777" w:rsidR="00A775DB" w:rsidRPr="00B0658A" w:rsidRDefault="00A775DB" w:rsidP="004F1366">
            <w:pPr>
              <w:spacing w:after="0" w:line="240" w:lineRule="auto"/>
              <w:jc w:val="center"/>
              <w:rPr>
                <w:rFonts w:ascii="Times New Roman" w:hAnsi="Times New Roman"/>
                <w:sz w:val="18"/>
                <w:szCs w:val="18"/>
              </w:rPr>
            </w:pPr>
          </w:p>
        </w:tc>
        <w:tc>
          <w:tcPr>
            <w:tcW w:w="803" w:type="dxa"/>
            <w:shd w:val="clear" w:color="000000" w:fill="FFFFFF"/>
            <w:vAlign w:val="center"/>
            <w:hideMark/>
          </w:tcPr>
          <w:p w14:paraId="0B1E9610" w14:textId="77777777" w:rsidR="00A775DB" w:rsidRPr="00B0658A" w:rsidRDefault="00A775DB" w:rsidP="004F1366">
            <w:pPr>
              <w:spacing w:after="0" w:line="240" w:lineRule="auto"/>
              <w:jc w:val="center"/>
              <w:rPr>
                <w:rFonts w:ascii="Times New Roman" w:hAnsi="Times New Roman"/>
                <w:sz w:val="18"/>
                <w:szCs w:val="18"/>
              </w:rPr>
            </w:pPr>
          </w:p>
        </w:tc>
        <w:tc>
          <w:tcPr>
            <w:tcW w:w="804" w:type="dxa"/>
            <w:shd w:val="clear" w:color="000000" w:fill="FFFFFF"/>
            <w:vAlign w:val="center"/>
            <w:hideMark/>
          </w:tcPr>
          <w:p w14:paraId="2F6F98F0" w14:textId="77777777" w:rsidR="00A775DB" w:rsidRPr="00B0658A" w:rsidRDefault="00A775DB" w:rsidP="004F1366">
            <w:pPr>
              <w:spacing w:after="0" w:line="240" w:lineRule="auto"/>
              <w:jc w:val="center"/>
              <w:rPr>
                <w:rFonts w:ascii="Times New Roman" w:hAnsi="Times New Roman"/>
                <w:sz w:val="18"/>
                <w:szCs w:val="18"/>
              </w:rPr>
            </w:pPr>
          </w:p>
        </w:tc>
        <w:tc>
          <w:tcPr>
            <w:tcW w:w="1530" w:type="dxa"/>
            <w:shd w:val="clear" w:color="000000" w:fill="FFFFFF"/>
            <w:vAlign w:val="center"/>
          </w:tcPr>
          <w:p w14:paraId="674B00B5" w14:textId="77777777" w:rsidR="00A775DB" w:rsidRPr="00B0658A" w:rsidRDefault="00A775DB" w:rsidP="004F1366">
            <w:pPr>
              <w:spacing w:after="0" w:line="240" w:lineRule="auto"/>
              <w:jc w:val="center"/>
              <w:rPr>
                <w:rFonts w:ascii="Times New Roman" w:hAnsi="Times New Roman"/>
                <w:sz w:val="18"/>
                <w:szCs w:val="18"/>
              </w:rPr>
            </w:pPr>
          </w:p>
        </w:tc>
      </w:tr>
      <w:tr w:rsidR="00F52FED" w:rsidRPr="00B0658A" w14:paraId="3E4F90FD" w14:textId="77777777" w:rsidTr="004F1366">
        <w:trPr>
          <w:trHeight w:val="20"/>
        </w:trPr>
        <w:tc>
          <w:tcPr>
            <w:tcW w:w="578" w:type="dxa"/>
            <w:shd w:val="clear" w:color="000000" w:fill="FFFFFF"/>
            <w:vAlign w:val="center"/>
          </w:tcPr>
          <w:p w14:paraId="6419E481" w14:textId="77777777" w:rsidR="00A775DB" w:rsidRPr="00B0658A" w:rsidRDefault="00A775DB" w:rsidP="004F1366">
            <w:pPr>
              <w:spacing w:after="0" w:line="240" w:lineRule="auto"/>
              <w:jc w:val="center"/>
              <w:rPr>
                <w:rFonts w:ascii="Times New Roman" w:hAnsi="Times New Roman"/>
                <w:sz w:val="18"/>
                <w:szCs w:val="18"/>
              </w:rPr>
            </w:pPr>
            <w:r w:rsidRPr="00B0658A">
              <w:rPr>
                <w:rFonts w:ascii="Times New Roman" w:hAnsi="Times New Roman"/>
                <w:sz w:val="18"/>
                <w:szCs w:val="18"/>
              </w:rPr>
              <w:t>8.8</w:t>
            </w:r>
          </w:p>
        </w:tc>
        <w:tc>
          <w:tcPr>
            <w:tcW w:w="3812" w:type="dxa"/>
            <w:shd w:val="clear" w:color="auto" w:fill="auto"/>
            <w:vAlign w:val="center"/>
            <w:hideMark/>
          </w:tcPr>
          <w:p w14:paraId="50601A3B" w14:textId="77777777" w:rsidR="00A775DB" w:rsidRPr="00B0658A" w:rsidRDefault="00A775DB" w:rsidP="004F1366">
            <w:pPr>
              <w:spacing w:after="0" w:line="240" w:lineRule="auto"/>
              <w:rPr>
                <w:rFonts w:ascii="Times New Roman" w:hAnsi="Times New Roman"/>
                <w:sz w:val="18"/>
                <w:szCs w:val="18"/>
              </w:rPr>
            </w:pPr>
            <w:r w:rsidRPr="00B0658A">
              <w:rPr>
                <w:rFonts w:ascii="Times New Roman" w:hAnsi="Times New Roman"/>
                <w:sz w:val="18"/>
                <w:szCs w:val="18"/>
              </w:rPr>
              <w:t xml:space="preserve">Промышленное программное обеспечение/ Средства управления инженерными данными </w:t>
            </w:r>
            <w:r w:rsidRPr="00B0658A">
              <w:rPr>
                <w:rFonts w:ascii="Times New Roman" w:hAnsi="Times New Roman"/>
                <w:sz w:val="18"/>
                <w:szCs w:val="18"/>
              </w:rPr>
              <w:br/>
              <w:t>об изделии (PDM)</w:t>
            </w:r>
          </w:p>
        </w:tc>
        <w:tc>
          <w:tcPr>
            <w:tcW w:w="1842" w:type="dxa"/>
            <w:shd w:val="clear" w:color="000000" w:fill="FFFFFF"/>
            <w:hideMark/>
          </w:tcPr>
          <w:p w14:paraId="11DB1C75" w14:textId="77777777" w:rsidR="00A775DB" w:rsidRPr="00B0658A" w:rsidRDefault="00A775DB" w:rsidP="004F1366">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79" w:type="dxa"/>
            <w:shd w:val="clear" w:color="000000" w:fill="FFFFFF"/>
            <w:vAlign w:val="center"/>
          </w:tcPr>
          <w:p w14:paraId="1DDF71DF"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000000" w:fill="FFFFFF"/>
            <w:vAlign w:val="center"/>
            <w:hideMark/>
          </w:tcPr>
          <w:p w14:paraId="202048C9"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000000" w:fill="FFFFFF"/>
            <w:vAlign w:val="center"/>
            <w:hideMark/>
          </w:tcPr>
          <w:p w14:paraId="11951985"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000000" w:fill="FFFFFF"/>
            <w:vAlign w:val="center"/>
            <w:hideMark/>
          </w:tcPr>
          <w:p w14:paraId="2000B645" w14:textId="77777777" w:rsidR="00A775DB" w:rsidRPr="00B0658A" w:rsidRDefault="00A775DB" w:rsidP="004F1366">
            <w:pPr>
              <w:spacing w:after="0" w:line="240" w:lineRule="auto"/>
              <w:jc w:val="center"/>
              <w:rPr>
                <w:rFonts w:ascii="Times New Roman" w:hAnsi="Times New Roman"/>
                <w:sz w:val="18"/>
                <w:szCs w:val="18"/>
              </w:rPr>
            </w:pPr>
          </w:p>
        </w:tc>
        <w:tc>
          <w:tcPr>
            <w:tcW w:w="992" w:type="dxa"/>
            <w:shd w:val="clear" w:color="000000" w:fill="FFFFFF"/>
            <w:vAlign w:val="center"/>
          </w:tcPr>
          <w:p w14:paraId="565D3C52" w14:textId="77777777" w:rsidR="00A775DB" w:rsidRPr="00B0658A" w:rsidRDefault="00A775DB" w:rsidP="004F1366">
            <w:pPr>
              <w:spacing w:after="0" w:line="240" w:lineRule="auto"/>
              <w:jc w:val="center"/>
              <w:rPr>
                <w:rFonts w:ascii="Times New Roman" w:hAnsi="Times New Roman"/>
                <w:sz w:val="18"/>
                <w:szCs w:val="18"/>
              </w:rPr>
            </w:pPr>
          </w:p>
        </w:tc>
        <w:tc>
          <w:tcPr>
            <w:tcW w:w="803" w:type="dxa"/>
            <w:shd w:val="clear" w:color="000000" w:fill="FFFFFF"/>
            <w:vAlign w:val="center"/>
            <w:hideMark/>
          </w:tcPr>
          <w:p w14:paraId="51E00C06" w14:textId="77777777" w:rsidR="00A775DB" w:rsidRPr="00B0658A" w:rsidRDefault="00A775DB" w:rsidP="004F1366">
            <w:pPr>
              <w:spacing w:after="0" w:line="240" w:lineRule="auto"/>
              <w:jc w:val="center"/>
              <w:rPr>
                <w:rFonts w:ascii="Times New Roman" w:hAnsi="Times New Roman"/>
                <w:sz w:val="18"/>
                <w:szCs w:val="18"/>
              </w:rPr>
            </w:pPr>
          </w:p>
        </w:tc>
        <w:tc>
          <w:tcPr>
            <w:tcW w:w="803" w:type="dxa"/>
            <w:shd w:val="clear" w:color="000000" w:fill="FFFFFF"/>
            <w:vAlign w:val="center"/>
            <w:hideMark/>
          </w:tcPr>
          <w:p w14:paraId="1B3A3426" w14:textId="77777777" w:rsidR="00A775DB" w:rsidRPr="00B0658A" w:rsidRDefault="00A775DB" w:rsidP="004F1366">
            <w:pPr>
              <w:spacing w:after="0" w:line="240" w:lineRule="auto"/>
              <w:jc w:val="center"/>
              <w:rPr>
                <w:rFonts w:ascii="Times New Roman" w:hAnsi="Times New Roman"/>
                <w:sz w:val="18"/>
                <w:szCs w:val="18"/>
              </w:rPr>
            </w:pPr>
          </w:p>
        </w:tc>
        <w:tc>
          <w:tcPr>
            <w:tcW w:w="804" w:type="dxa"/>
            <w:shd w:val="clear" w:color="000000" w:fill="FFFFFF"/>
            <w:vAlign w:val="center"/>
            <w:hideMark/>
          </w:tcPr>
          <w:p w14:paraId="22EF53D9" w14:textId="77777777" w:rsidR="00A775DB" w:rsidRPr="00B0658A" w:rsidRDefault="00A775DB" w:rsidP="004F1366">
            <w:pPr>
              <w:spacing w:after="0" w:line="240" w:lineRule="auto"/>
              <w:jc w:val="center"/>
              <w:rPr>
                <w:rFonts w:ascii="Times New Roman" w:hAnsi="Times New Roman"/>
                <w:sz w:val="18"/>
                <w:szCs w:val="18"/>
              </w:rPr>
            </w:pPr>
          </w:p>
        </w:tc>
        <w:tc>
          <w:tcPr>
            <w:tcW w:w="1530" w:type="dxa"/>
            <w:shd w:val="clear" w:color="000000" w:fill="FFFFFF"/>
            <w:vAlign w:val="center"/>
          </w:tcPr>
          <w:p w14:paraId="52706E98" w14:textId="77777777" w:rsidR="00A775DB" w:rsidRPr="00B0658A" w:rsidRDefault="00A775DB" w:rsidP="004F1366">
            <w:pPr>
              <w:spacing w:after="0" w:line="240" w:lineRule="auto"/>
              <w:jc w:val="center"/>
              <w:rPr>
                <w:rFonts w:ascii="Times New Roman" w:hAnsi="Times New Roman"/>
                <w:sz w:val="18"/>
                <w:szCs w:val="18"/>
              </w:rPr>
            </w:pPr>
          </w:p>
        </w:tc>
      </w:tr>
      <w:tr w:rsidR="00F52FED" w:rsidRPr="00B0658A" w14:paraId="7B4A3E62" w14:textId="77777777" w:rsidTr="004F1366">
        <w:trPr>
          <w:trHeight w:val="20"/>
        </w:trPr>
        <w:tc>
          <w:tcPr>
            <w:tcW w:w="578" w:type="dxa"/>
            <w:shd w:val="clear" w:color="000000" w:fill="FFFFFF"/>
            <w:vAlign w:val="center"/>
          </w:tcPr>
          <w:p w14:paraId="0D7A169A" w14:textId="77777777" w:rsidR="00A775DB" w:rsidRPr="00B0658A" w:rsidRDefault="00A775DB" w:rsidP="004F1366">
            <w:pPr>
              <w:spacing w:after="0" w:line="240" w:lineRule="auto"/>
              <w:jc w:val="center"/>
              <w:rPr>
                <w:rFonts w:ascii="Times New Roman" w:hAnsi="Times New Roman"/>
                <w:sz w:val="18"/>
                <w:szCs w:val="18"/>
              </w:rPr>
            </w:pPr>
            <w:r w:rsidRPr="00B0658A">
              <w:rPr>
                <w:rFonts w:ascii="Times New Roman" w:hAnsi="Times New Roman"/>
                <w:sz w:val="18"/>
                <w:szCs w:val="18"/>
              </w:rPr>
              <w:t>8.9</w:t>
            </w:r>
          </w:p>
        </w:tc>
        <w:tc>
          <w:tcPr>
            <w:tcW w:w="3812" w:type="dxa"/>
            <w:shd w:val="clear" w:color="auto" w:fill="auto"/>
            <w:vAlign w:val="center"/>
            <w:hideMark/>
          </w:tcPr>
          <w:p w14:paraId="1FC1B982" w14:textId="77777777" w:rsidR="00A775DB" w:rsidRPr="00B0658A" w:rsidRDefault="00A775DB" w:rsidP="004F1366">
            <w:pPr>
              <w:spacing w:after="0" w:line="240" w:lineRule="auto"/>
              <w:rPr>
                <w:rFonts w:ascii="Times New Roman" w:hAnsi="Times New Roman"/>
                <w:sz w:val="18"/>
                <w:szCs w:val="18"/>
              </w:rPr>
            </w:pPr>
            <w:r w:rsidRPr="00B0658A">
              <w:rPr>
                <w:rFonts w:ascii="Times New Roman" w:hAnsi="Times New Roman"/>
                <w:sz w:val="18"/>
                <w:szCs w:val="18"/>
              </w:rPr>
              <w:t>Промышленное программное обеспечение / Средства информационного моделирования зданий и сооружений, архитектурно-строительного проектирования (BIM, AEC CAD)</w:t>
            </w:r>
          </w:p>
        </w:tc>
        <w:tc>
          <w:tcPr>
            <w:tcW w:w="1842" w:type="dxa"/>
            <w:shd w:val="clear" w:color="000000" w:fill="FFFFFF"/>
            <w:hideMark/>
          </w:tcPr>
          <w:p w14:paraId="65F68678" w14:textId="77777777" w:rsidR="00A775DB" w:rsidRPr="00B0658A" w:rsidRDefault="00A775DB" w:rsidP="004F1366">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79" w:type="dxa"/>
            <w:shd w:val="clear" w:color="000000" w:fill="FFFFFF"/>
            <w:vAlign w:val="center"/>
          </w:tcPr>
          <w:p w14:paraId="3D91860E"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000000" w:fill="FFFFFF"/>
            <w:vAlign w:val="center"/>
            <w:hideMark/>
          </w:tcPr>
          <w:p w14:paraId="12D0A679"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000000" w:fill="FFFFFF"/>
            <w:vAlign w:val="center"/>
            <w:hideMark/>
          </w:tcPr>
          <w:p w14:paraId="698F2C32"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000000" w:fill="FFFFFF"/>
            <w:vAlign w:val="center"/>
            <w:hideMark/>
          </w:tcPr>
          <w:p w14:paraId="349F7BDE" w14:textId="77777777" w:rsidR="00A775DB" w:rsidRPr="00B0658A" w:rsidRDefault="00A775DB" w:rsidP="004F1366">
            <w:pPr>
              <w:spacing w:after="0" w:line="240" w:lineRule="auto"/>
              <w:jc w:val="center"/>
              <w:rPr>
                <w:rFonts w:ascii="Times New Roman" w:hAnsi="Times New Roman"/>
                <w:sz w:val="18"/>
                <w:szCs w:val="18"/>
              </w:rPr>
            </w:pPr>
          </w:p>
        </w:tc>
        <w:tc>
          <w:tcPr>
            <w:tcW w:w="992" w:type="dxa"/>
            <w:shd w:val="clear" w:color="000000" w:fill="FFFFFF"/>
            <w:vAlign w:val="center"/>
          </w:tcPr>
          <w:p w14:paraId="655FB73B" w14:textId="77777777" w:rsidR="00A775DB" w:rsidRPr="00B0658A" w:rsidRDefault="00A775DB" w:rsidP="004F1366">
            <w:pPr>
              <w:spacing w:after="0" w:line="240" w:lineRule="auto"/>
              <w:jc w:val="center"/>
              <w:rPr>
                <w:rFonts w:ascii="Times New Roman" w:hAnsi="Times New Roman"/>
                <w:sz w:val="18"/>
                <w:szCs w:val="18"/>
              </w:rPr>
            </w:pPr>
          </w:p>
        </w:tc>
        <w:tc>
          <w:tcPr>
            <w:tcW w:w="803" w:type="dxa"/>
            <w:shd w:val="clear" w:color="000000" w:fill="FFFFFF"/>
            <w:vAlign w:val="center"/>
            <w:hideMark/>
          </w:tcPr>
          <w:p w14:paraId="24054C7E" w14:textId="77777777" w:rsidR="00A775DB" w:rsidRPr="00B0658A" w:rsidRDefault="00A775DB" w:rsidP="004F1366">
            <w:pPr>
              <w:spacing w:after="0" w:line="240" w:lineRule="auto"/>
              <w:jc w:val="center"/>
              <w:rPr>
                <w:rFonts w:ascii="Times New Roman" w:hAnsi="Times New Roman"/>
                <w:sz w:val="18"/>
                <w:szCs w:val="18"/>
              </w:rPr>
            </w:pPr>
          </w:p>
        </w:tc>
        <w:tc>
          <w:tcPr>
            <w:tcW w:w="803" w:type="dxa"/>
            <w:shd w:val="clear" w:color="000000" w:fill="FFFFFF"/>
            <w:vAlign w:val="center"/>
            <w:hideMark/>
          </w:tcPr>
          <w:p w14:paraId="7A54537D" w14:textId="77777777" w:rsidR="00A775DB" w:rsidRPr="00B0658A" w:rsidRDefault="00A775DB" w:rsidP="004F1366">
            <w:pPr>
              <w:spacing w:after="0" w:line="240" w:lineRule="auto"/>
              <w:jc w:val="center"/>
              <w:rPr>
                <w:rFonts w:ascii="Times New Roman" w:hAnsi="Times New Roman"/>
                <w:sz w:val="18"/>
                <w:szCs w:val="18"/>
              </w:rPr>
            </w:pPr>
          </w:p>
        </w:tc>
        <w:tc>
          <w:tcPr>
            <w:tcW w:w="804" w:type="dxa"/>
            <w:shd w:val="clear" w:color="000000" w:fill="FFFFFF"/>
            <w:vAlign w:val="center"/>
            <w:hideMark/>
          </w:tcPr>
          <w:p w14:paraId="1013DAD3" w14:textId="77777777" w:rsidR="00A775DB" w:rsidRPr="00B0658A" w:rsidRDefault="00A775DB" w:rsidP="004F1366">
            <w:pPr>
              <w:spacing w:after="0" w:line="240" w:lineRule="auto"/>
              <w:jc w:val="center"/>
              <w:rPr>
                <w:rFonts w:ascii="Times New Roman" w:hAnsi="Times New Roman"/>
                <w:sz w:val="18"/>
                <w:szCs w:val="18"/>
              </w:rPr>
            </w:pPr>
          </w:p>
        </w:tc>
        <w:tc>
          <w:tcPr>
            <w:tcW w:w="1530" w:type="dxa"/>
            <w:shd w:val="clear" w:color="000000" w:fill="FFFFFF"/>
            <w:vAlign w:val="center"/>
          </w:tcPr>
          <w:p w14:paraId="64BE803B" w14:textId="77777777" w:rsidR="00A775DB" w:rsidRPr="00B0658A" w:rsidRDefault="00A775DB" w:rsidP="004F1366">
            <w:pPr>
              <w:spacing w:after="0" w:line="240" w:lineRule="auto"/>
              <w:jc w:val="center"/>
              <w:rPr>
                <w:rFonts w:ascii="Times New Roman" w:hAnsi="Times New Roman"/>
                <w:sz w:val="18"/>
                <w:szCs w:val="18"/>
              </w:rPr>
            </w:pPr>
          </w:p>
        </w:tc>
      </w:tr>
      <w:tr w:rsidR="00F52FED" w:rsidRPr="00B0658A" w14:paraId="7517B338" w14:textId="77777777" w:rsidTr="004F1366">
        <w:trPr>
          <w:trHeight w:val="20"/>
        </w:trPr>
        <w:tc>
          <w:tcPr>
            <w:tcW w:w="578" w:type="dxa"/>
            <w:shd w:val="clear" w:color="000000" w:fill="FFFFFF"/>
            <w:vAlign w:val="center"/>
          </w:tcPr>
          <w:p w14:paraId="6A482578" w14:textId="77777777" w:rsidR="00A775DB" w:rsidRPr="00B0658A" w:rsidRDefault="00A775DB" w:rsidP="004F1366">
            <w:pPr>
              <w:spacing w:after="0" w:line="240" w:lineRule="auto"/>
              <w:jc w:val="center"/>
              <w:rPr>
                <w:rFonts w:ascii="Times New Roman" w:hAnsi="Times New Roman"/>
                <w:sz w:val="18"/>
                <w:szCs w:val="18"/>
              </w:rPr>
            </w:pPr>
            <w:r w:rsidRPr="00B0658A">
              <w:rPr>
                <w:rFonts w:ascii="Times New Roman" w:hAnsi="Times New Roman"/>
                <w:sz w:val="18"/>
                <w:szCs w:val="18"/>
              </w:rPr>
              <w:t>8.10</w:t>
            </w:r>
          </w:p>
        </w:tc>
        <w:tc>
          <w:tcPr>
            <w:tcW w:w="3812" w:type="dxa"/>
            <w:shd w:val="clear" w:color="auto" w:fill="auto"/>
            <w:vAlign w:val="center"/>
            <w:hideMark/>
          </w:tcPr>
          <w:p w14:paraId="6CD24DC6" w14:textId="77777777" w:rsidR="00A775DB" w:rsidRPr="00B0658A" w:rsidRDefault="00A775DB" w:rsidP="004F1366">
            <w:pPr>
              <w:spacing w:after="0" w:line="240" w:lineRule="auto"/>
              <w:rPr>
                <w:rFonts w:ascii="Times New Roman" w:hAnsi="Times New Roman"/>
                <w:sz w:val="18"/>
                <w:szCs w:val="18"/>
              </w:rPr>
            </w:pPr>
            <w:r w:rsidRPr="00B0658A">
              <w:rPr>
                <w:rFonts w:ascii="Times New Roman" w:hAnsi="Times New Roman"/>
                <w:sz w:val="18"/>
                <w:szCs w:val="18"/>
              </w:rPr>
              <w:t>Промышленное программное обеспечение/ Средства усовершенствованного управления технологическими процессами (APC, RTO)</w:t>
            </w:r>
          </w:p>
        </w:tc>
        <w:tc>
          <w:tcPr>
            <w:tcW w:w="1842" w:type="dxa"/>
            <w:shd w:val="clear" w:color="000000" w:fill="FFFFFF"/>
            <w:hideMark/>
          </w:tcPr>
          <w:p w14:paraId="5AFE9552" w14:textId="77777777" w:rsidR="00A775DB" w:rsidRPr="00B0658A" w:rsidRDefault="00A775DB" w:rsidP="004F1366">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79" w:type="dxa"/>
            <w:shd w:val="clear" w:color="000000" w:fill="FFFFFF"/>
            <w:vAlign w:val="center"/>
          </w:tcPr>
          <w:p w14:paraId="73B3564F"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000000" w:fill="FFFFFF"/>
            <w:vAlign w:val="center"/>
            <w:hideMark/>
          </w:tcPr>
          <w:p w14:paraId="420307A4"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000000" w:fill="FFFFFF"/>
            <w:vAlign w:val="center"/>
            <w:hideMark/>
          </w:tcPr>
          <w:p w14:paraId="0948EAA2"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000000" w:fill="FFFFFF"/>
            <w:vAlign w:val="center"/>
            <w:hideMark/>
          </w:tcPr>
          <w:p w14:paraId="4D5E0A57" w14:textId="77777777" w:rsidR="00A775DB" w:rsidRPr="00B0658A" w:rsidRDefault="00A775DB" w:rsidP="004F1366">
            <w:pPr>
              <w:spacing w:after="0" w:line="240" w:lineRule="auto"/>
              <w:jc w:val="center"/>
              <w:rPr>
                <w:rFonts w:ascii="Times New Roman" w:hAnsi="Times New Roman"/>
                <w:sz w:val="18"/>
                <w:szCs w:val="18"/>
              </w:rPr>
            </w:pPr>
          </w:p>
        </w:tc>
        <w:tc>
          <w:tcPr>
            <w:tcW w:w="992" w:type="dxa"/>
            <w:shd w:val="clear" w:color="000000" w:fill="FFFFFF"/>
            <w:vAlign w:val="center"/>
          </w:tcPr>
          <w:p w14:paraId="2BBF7C01" w14:textId="77777777" w:rsidR="00A775DB" w:rsidRPr="00B0658A" w:rsidRDefault="00A775DB" w:rsidP="004F1366">
            <w:pPr>
              <w:spacing w:after="0" w:line="240" w:lineRule="auto"/>
              <w:jc w:val="center"/>
              <w:rPr>
                <w:rFonts w:ascii="Times New Roman" w:hAnsi="Times New Roman"/>
                <w:sz w:val="18"/>
                <w:szCs w:val="18"/>
              </w:rPr>
            </w:pPr>
          </w:p>
        </w:tc>
        <w:tc>
          <w:tcPr>
            <w:tcW w:w="803" w:type="dxa"/>
            <w:shd w:val="clear" w:color="000000" w:fill="FFFFFF"/>
            <w:vAlign w:val="center"/>
            <w:hideMark/>
          </w:tcPr>
          <w:p w14:paraId="6C050861" w14:textId="77777777" w:rsidR="00A775DB" w:rsidRPr="00B0658A" w:rsidRDefault="00A775DB" w:rsidP="004F1366">
            <w:pPr>
              <w:spacing w:after="0" w:line="240" w:lineRule="auto"/>
              <w:jc w:val="center"/>
              <w:rPr>
                <w:rFonts w:ascii="Times New Roman" w:hAnsi="Times New Roman"/>
                <w:sz w:val="18"/>
                <w:szCs w:val="18"/>
              </w:rPr>
            </w:pPr>
          </w:p>
        </w:tc>
        <w:tc>
          <w:tcPr>
            <w:tcW w:w="803" w:type="dxa"/>
            <w:shd w:val="clear" w:color="000000" w:fill="FFFFFF"/>
            <w:vAlign w:val="center"/>
            <w:hideMark/>
          </w:tcPr>
          <w:p w14:paraId="181F5F29" w14:textId="77777777" w:rsidR="00A775DB" w:rsidRPr="00B0658A" w:rsidRDefault="00A775DB" w:rsidP="004F1366">
            <w:pPr>
              <w:spacing w:after="0" w:line="240" w:lineRule="auto"/>
              <w:jc w:val="center"/>
              <w:rPr>
                <w:rFonts w:ascii="Times New Roman" w:hAnsi="Times New Roman"/>
                <w:sz w:val="18"/>
                <w:szCs w:val="18"/>
              </w:rPr>
            </w:pPr>
          </w:p>
        </w:tc>
        <w:tc>
          <w:tcPr>
            <w:tcW w:w="804" w:type="dxa"/>
            <w:shd w:val="clear" w:color="000000" w:fill="FFFFFF"/>
            <w:vAlign w:val="center"/>
            <w:hideMark/>
          </w:tcPr>
          <w:p w14:paraId="06926D5B" w14:textId="77777777" w:rsidR="00A775DB" w:rsidRPr="00B0658A" w:rsidRDefault="00A775DB" w:rsidP="004F1366">
            <w:pPr>
              <w:spacing w:after="0" w:line="240" w:lineRule="auto"/>
              <w:jc w:val="center"/>
              <w:rPr>
                <w:rFonts w:ascii="Times New Roman" w:hAnsi="Times New Roman"/>
                <w:sz w:val="18"/>
                <w:szCs w:val="18"/>
              </w:rPr>
            </w:pPr>
          </w:p>
        </w:tc>
        <w:tc>
          <w:tcPr>
            <w:tcW w:w="1530" w:type="dxa"/>
            <w:shd w:val="clear" w:color="000000" w:fill="FFFFFF"/>
            <w:vAlign w:val="center"/>
          </w:tcPr>
          <w:p w14:paraId="3A79FE25" w14:textId="77777777" w:rsidR="00A775DB" w:rsidRPr="00B0658A" w:rsidRDefault="00A775DB" w:rsidP="004F1366">
            <w:pPr>
              <w:spacing w:after="0" w:line="240" w:lineRule="auto"/>
              <w:jc w:val="center"/>
              <w:rPr>
                <w:rFonts w:ascii="Times New Roman" w:hAnsi="Times New Roman"/>
                <w:sz w:val="18"/>
                <w:szCs w:val="18"/>
              </w:rPr>
            </w:pPr>
          </w:p>
        </w:tc>
      </w:tr>
      <w:tr w:rsidR="00F52FED" w:rsidRPr="00B0658A" w14:paraId="2944FEA3" w14:textId="77777777" w:rsidTr="004F1366">
        <w:trPr>
          <w:trHeight w:val="20"/>
        </w:trPr>
        <w:tc>
          <w:tcPr>
            <w:tcW w:w="578" w:type="dxa"/>
            <w:shd w:val="clear" w:color="000000" w:fill="FFFFFF"/>
            <w:vAlign w:val="center"/>
          </w:tcPr>
          <w:p w14:paraId="29436D1F" w14:textId="77777777" w:rsidR="00A775DB" w:rsidRPr="00B0658A" w:rsidRDefault="00A775DB" w:rsidP="004F1366">
            <w:pPr>
              <w:spacing w:after="0" w:line="240" w:lineRule="auto"/>
              <w:jc w:val="center"/>
              <w:rPr>
                <w:rFonts w:ascii="Times New Roman" w:hAnsi="Times New Roman"/>
                <w:sz w:val="18"/>
                <w:szCs w:val="18"/>
              </w:rPr>
            </w:pPr>
            <w:r w:rsidRPr="00B0658A">
              <w:rPr>
                <w:rFonts w:ascii="Times New Roman" w:hAnsi="Times New Roman"/>
                <w:sz w:val="18"/>
                <w:szCs w:val="18"/>
              </w:rPr>
              <w:t>8.11</w:t>
            </w:r>
          </w:p>
        </w:tc>
        <w:tc>
          <w:tcPr>
            <w:tcW w:w="3812" w:type="dxa"/>
            <w:shd w:val="clear" w:color="auto" w:fill="auto"/>
            <w:vAlign w:val="center"/>
            <w:hideMark/>
          </w:tcPr>
          <w:p w14:paraId="1ABE08D1" w14:textId="77777777" w:rsidR="00A775DB" w:rsidRPr="00B0658A" w:rsidRDefault="00A775DB" w:rsidP="004F1366">
            <w:pPr>
              <w:spacing w:after="0" w:line="240" w:lineRule="auto"/>
              <w:rPr>
                <w:rFonts w:ascii="Times New Roman" w:hAnsi="Times New Roman"/>
                <w:sz w:val="18"/>
                <w:szCs w:val="18"/>
              </w:rPr>
            </w:pPr>
            <w:r w:rsidRPr="00B0658A">
              <w:rPr>
                <w:rFonts w:ascii="Times New Roman" w:hAnsi="Times New Roman"/>
                <w:sz w:val="18"/>
                <w:szCs w:val="18"/>
              </w:rPr>
              <w:t>Промышленное программное обеспечение / Средства автоматизированного управления техникой</w:t>
            </w:r>
          </w:p>
        </w:tc>
        <w:tc>
          <w:tcPr>
            <w:tcW w:w="1842" w:type="dxa"/>
            <w:shd w:val="clear" w:color="000000" w:fill="FFFFFF"/>
            <w:hideMark/>
          </w:tcPr>
          <w:p w14:paraId="07650981" w14:textId="77777777" w:rsidR="00A775DB" w:rsidRPr="00B0658A" w:rsidRDefault="00A775DB" w:rsidP="004F1366">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79" w:type="dxa"/>
            <w:shd w:val="clear" w:color="000000" w:fill="FFFFFF"/>
            <w:vAlign w:val="center"/>
          </w:tcPr>
          <w:p w14:paraId="4A2A4998"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000000" w:fill="FFFFFF"/>
            <w:vAlign w:val="center"/>
            <w:hideMark/>
          </w:tcPr>
          <w:p w14:paraId="53561ABE"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000000" w:fill="FFFFFF"/>
            <w:vAlign w:val="center"/>
            <w:hideMark/>
          </w:tcPr>
          <w:p w14:paraId="294CD2A7"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000000" w:fill="FFFFFF"/>
            <w:vAlign w:val="center"/>
            <w:hideMark/>
          </w:tcPr>
          <w:p w14:paraId="033A0C2A" w14:textId="77777777" w:rsidR="00A775DB" w:rsidRPr="00B0658A" w:rsidRDefault="00A775DB" w:rsidP="004F1366">
            <w:pPr>
              <w:spacing w:after="0" w:line="240" w:lineRule="auto"/>
              <w:jc w:val="center"/>
              <w:rPr>
                <w:rFonts w:ascii="Times New Roman" w:hAnsi="Times New Roman"/>
                <w:sz w:val="18"/>
                <w:szCs w:val="18"/>
              </w:rPr>
            </w:pPr>
          </w:p>
        </w:tc>
        <w:tc>
          <w:tcPr>
            <w:tcW w:w="992" w:type="dxa"/>
            <w:shd w:val="clear" w:color="000000" w:fill="FFFFFF"/>
            <w:vAlign w:val="center"/>
          </w:tcPr>
          <w:p w14:paraId="64F16346" w14:textId="77777777" w:rsidR="00A775DB" w:rsidRPr="00B0658A" w:rsidRDefault="00A775DB" w:rsidP="004F1366">
            <w:pPr>
              <w:spacing w:after="0" w:line="240" w:lineRule="auto"/>
              <w:jc w:val="center"/>
              <w:rPr>
                <w:rFonts w:ascii="Times New Roman" w:hAnsi="Times New Roman"/>
                <w:sz w:val="18"/>
                <w:szCs w:val="18"/>
              </w:rPr>
            </w:pPr>
          </w:p>
        </w:tc>
        <w:tc>
          <w:tcPr>
            <w:tcW w:w="803" w:type="dxa"/>
            <w:shd w:val="clear" w:color="000000" w:fill="FFFFFF"/>
            <w:vAlign w:val="center"/>
            <w:hideMark/>
          </w:tcPr>
          <w:p w14:paraId="1B7A613B" w14:textId="77777777" w:rsidR="00A775DB" w:rsidRPr="00B0658A" w:rsidRDefault="00A775DB" w:rsidP="004F1366">
            <w:pPr>
              <w:spacing w:after="0" w:line="240" w:lineRule="auto"/>
              <w:jc w:val="center"/>
              <w:rPr>
                <w:rFonts w:ascii="Times New Roman" w:hAnsi="Times New Roman"/>
                <w:sz w:val="18"/>
                <w:szCs w:val="18"/>
              </w:rPr>
            </w:pPr>
          </w:p>
        </w:tc>
        <w:tc>
          <w:tcPr>
            <w:tcW w:w="803" w:type="dxa"/>
            <w:shd w:val="clear" w:color="000000" w:fill="FFFFFF"/>
            <w:vAlign w:val="center"/>
            <w:hideMark/>
          </w:tcPr>
          <w:p w14:paraId="40F0D506" w14:textId="77777777" w:rsidR="00A775DB" w:rsidRPr="00B0658A" w:rsidRDefault="00A775DB" w:rsidP="004F1366">
            <w:pPr>
              <w:spacing w:after="0" w:line="240" w:lineRule="auto"/>
              <w:jc w:val="center"/>
              <w:rPr>
                <w:rFonts w:ascii="Times New Roman" w:hAnsi="Times New Roman"/>
                <w:sz w:val="18"/>
                <w:szCs w:val="18"/>
              </w:rPr>
            </w:pPr>
          </w:p>
        </w:tc>
        <w:tc>
          <w:tcPr>
            <w:tcW w:w="804" w:type="dxa"/>
            <w:shd w:val="clear" w:color="000000" w:fill="FFFFFF"/>
            <w:vAlign w:val="center"/>
            <w:hideMark/>
          </w:tcPr>
          <w:p w14:paraId="722910AE" w14:textId="77777777" w:rsidR="00A775DB" w:rsidRPr="00B0658A" w:rsidRDefault="00A775DB" w:rsidP="004F1366">
            <w:pPr>
              <w:spacing w:after="0" w:line="240" w:lineRule="auto"/>
              <w:jc w:val="center"/>
              <w:rPr>
                <w:rFonts w:ascii="Times New Roman" w:hAnsi="Times New Roman"/>
                <w:sz w:val="18"/>
                <w:szCs w:val="18"/>
              </w:rPr>
            </w:pPr>
          </w:p>
        </w:tc>
        <w:tc>
          <w:tcPr>
            <w:tcW w:w="1530" w:type="dxa"/>
            <w:shd w:val="clear" w:color="000000" w:fill="FFFFFF"/>
            <w:vAlign w:val="center"/>
          </w:tcPr>
          <w:p w14:paraId="2C71EAAF" w14:textId="77777777" w:rsidR="00A775DB" w:rsidRPr="00B0658A" w:rsidRDefault="00A775DB" w:rsidP="004F1366">
            <w:pPr>
              <w:spacing w:after="0" w:line="240" w:lineRule="auto"/>
              <w:jc w:val="center"/>
              <w:rPr>
                <w:rFonts w:ascii="Times New Roman" w:hAnsi="Times New Roman"/>
                <w:sz w:val="18"/>
                <w:szCs w:val="18"/>
              </w:rPr>
            </w:pPr>
          </w:p>
        </w:tc>
      </w:tr>
      <w:tr w:rsidR="00F52FED" w:rsidRPr="00B0658A" w14:paraId="1692D6BE" w14:textId="77777777" w:rsidTr="004F1366">
        <w:trPr>
          <w:trHeight w:val="20"/>
        </w:trPr>
        <w:tc>
          <w:tcPr>
            <w:tcW w:w="578" w:type="dxa"/>
            <w:shd w:val="clear" w:color="000000" w:fill="FFFFFF"/>
            <w:vAlign w:val="center"/>
          </w:tcPr>
          <w:p w14:paraId="56E97C7E" w14:textId="77777777" w:rsidR="00A775DB" w:rsidRPr="00B0658A" w:rsidRDefault="00A775DB" w:rsidP="004F1366">
            <w:pPr>
              <w:spacing w:after="0" w:line="240" w:lineRule="auto"/>
              <w:jc w:val="center"/>
              <w:rPr>
                <w:rFonts w:ascii="Times New Roman" w:hAnsi="Times New Roman"/>
                <w:sz w:val="18"/>
                <w:szCs w:val="18"/>
              </w:rPr>
            </w:pPr>
            <w:r w:rsidRPr="00B0658A">
              <w:rPr>
                <w:rFonts w:ascii="Times New Roman" w:hAnsi="Times New Roman"/>
                <w:sz w:val="18"/>
                <w:szCs w:val="18"/>
              </w:rPr>
              <w:t>9.1</w:t>
            </w:r>
          </w:p>
        </w:tc>
        <w:tc>
          <w:tcPr>
            <w:tcW w:w="3812" w:type="dxa"/>
            <w:shd w:val="clear" w:color="auto" w:fill="auto"/>
            <w:noWrap/>
            <w:vAlign w:val="center"/>
            <w:hideMark/>
          </w:tcPr>
          <w:p w14:paraId="5659E056" w14:textId="77777777" w:rsidR="00A775DB" w:rsidRPr="00B0658A" w:rsidRDefault="00A775DB" w:rsidP="004F1366">
            <w:pPr>
              <w:spacing w:after="0" w:line="240" w:lineRule="auto"/>
              <w:rPr>
                <w:rFonts w:ascii="Times New Roman" w:hAnsi="Times New Roman"/>
                <w:sz w:val="18"/>
                <w:szCs w:val="18"/>
              </w:rPr>
            </w:pPr>
            <w:r w:rsidRPr="00B0658A">
              <w:rPr>
                <w:rFonts w:ascii="Times New Roman" w:hAnsi="Times New Roman"/>
                <w:sz w:val="18"/>
                <w:szCs w:val="18"/>
              </w:rPr>
              <w:t>Средства управления процессами организации / Средства управления бизнес-процессами (BPM)</w:t>
            </w:r>
          </w:p>
        </w:tc>
        <w:tc>
          <w:tcPr>
            <w:tcW w:w="1842" w:type="dxa"/>
            <w:shd w:val="clear" w:color="000000" w:fill="FFFFFF"/>
            <w:hideMark/>
          </w:tcPr>
          <w:p w14:paraId="51003907" w14:textId="77777777" w:rsidR="00A775DB" w:rsidRPr="00B0658A" w:rsidRDefault="00A775DB" w:rsidP="004F1366">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79" w:type="dxa"/>
            <w:vAlign w:val="center"/>
          </w:tcPr>
          <w:p w14:paraId="1098B011"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auto" w:fill="auto"/>
            <w:noWrap/>
            <w:vAlign w:val="center"/>
            <w:hideMark/>
          </w:tcPr>
          <w:p w14:paraId="4CA72C94"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auto" w:fill="auto"/>
            <w:noWrap/>
            <w:vAlign w:val="center"/>
            <w:hideMark/>
          </w:tcPr>
          <w:p w14:paraId="446610A4"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auto" w:fill="auto"/>
            <w:noWrap/>
            <w:vAlign w:val="center"/>
            <w:hideMark/>
          </w:tcPr>
          <w:p w14:paraId="1A994C7B" w14:textId="77777777" w:rsidR="00A775DB" w:rsidRPr="00B0658A" w:rsidRDefault="00A775DB" w:rsidP="004F1366">
            <w:pPr>
              <w:spacing w:after="0" w:line="240" w:lineRule="auto"/>
              <w:jc w:val="center"/>
              <w:rPr>
                <w:rFonts w:ascii="Times New Roman" w:hAnsi="Times New Roman"/>
                <w:sz w:val="18"/>
                <w:szCs w:val="18"/>
              </w:rPr>
            </w:pPr>
          </w:p>
        </w:tc>
        <w:tc>
          <w:tcPr>
            <w:tcW w:w="992" w:type="dxa"/>
            <w:vAlign w:val="center"/>
          </w:tcPr>
          <w:p w14:paraId="0617C98D" w14:textId="77777777" w:rsidR="00A775DB" w:rsidRPr="00B0658A" w:rsidRDefault="00A775DB" w:rsidP="004F1366">
            <w:pPr>
              <w:spacing w:after="0" w:line="240" w:lineRule="auto"/>
              <w:jc w:val="center"/>
              <w:rPr>
                <w:rFonts w:ascii="Times New Roman" w:hAnsi="Times New Roman"/>
                <w:sz w:val="18"/>
                <w:szCs w:val="18"/>
              </w:rPr>
            </w:pPr>
          </w:p>
        </w:tc>
        <w:tc>
          <w:tcPr>
            <w:tcW w:w="803" w:type="dxa"/>
            <w:shd w:val="clear" w:color="auto" w:fill="auto"/>
            <w:vAlign w:val="center"/>
            <w:hideMark/>
          </w:tcPr>
          <w:p w14:paraId="599BE8E8" w14:textId="77777777" w:rsidR="00A775DB" w:rsidRPr="00B0658A" w:rsidRDefault="00A775DB" w:rsidP="004F1366">
            <w:pPr>
              <w:spacing w:after="0" w:line="240" w:lineRule="auto"/>
              <w:jc w:val="center"/>
              <w:rPr>
                <w:rFonts w:ascii="Times New Roman" w:hAnsi="Times New Roman"/>
                <w:sz w:val="18"/>
                <w:szCs w:val="18"/>
              </w:rPr>
            </w:pPr>
          </w:p>
        </w:tc>
        <w:tc>
          <w:tcPr>
            <w:tcW w:w="803" w:type="dxa"/>
            <w:shd w:val="clear" w:color="auto" w:fill="auto"/>
            <w:vAlign w:val="center"/>
            <w:hideMark/>
          </w:tcPr>
          <w:p w14:paraId="4D42FF72" w14:textId="77777777" w:rsidR="00A775DB" w:rsidRPr="00B0658A" w:rsidRDefault="00A775DB" w:rsidP="004F1366">
            <w:pPr>
              <w:spacing w:after="0" w:line="240" w:lineRule="auto"/>
              <w:jc w:val="center"/>
              <w:rPr>
                <w:rFonts w:ascii="Times New Roman" w:hAnsi="Times New Roman"/>
                <w:sz w:val="18"/>
                <w:szCs w:val="18"/>
              </w:rPr>
            </w:pPr>
          </w:p>
        </w:tc>
        <w:tc>
          <w:tcPr>
            <w:tcW w:w="804" w:type="dxa"/>
            <w:shd w:val="clear" w:color="auto" w:fill="auto"/>
            <w:vAlign w:val="center"/>
            <w:hideMark/>
          </w:tcPr>
          <w:p w14:paraId="1E4E9939" w14:textId="77777777" w:rsidR="00A775DB" w:rsidRPr="00B0658A" w:rsidRDefault="00A775DB" w:rsidP="004F1366">
            <w:pPr>
              <w:spacing w:after="0" w:line="240" w:lineRule="auto"/>
              <w:jc w:val="center"/>
              <w:rPr>
                <w:rFonts w:ascii="Times New Roman" w:hAnsi="Times New Roman"/>
                <w:sz w:val="18"/>
                <w:szCs w:val="18"/>
              </w:rPr>
            </w:pPr>
          </w:p>
        </w:tc>
        <w:tc>
          <w:tcPr>
            <w:tcW w:w="1530" w:type="dxa"/>
            <w:vAlign w:val="center"/>
          </w:tcPr>
          <w:p w14:paraId="4858ED42" w14:textId="77777777" w:rsidR="00A775DB" w:rsidRPr="00B0658A" w:rsidRDefault="00A775DB" w:rsidP="004F1366">
            <w:pPr>
              <w:spacing w:after="0" w:line="240" w:lineRule="auto"/>
              <w:jc w:val="center"/>
              <w:rPr>
                <w:rFonts w:ascii="Times New Roman" w:hAnsi="Times New Roman"/>
                <w:sz w:val="18"/>
                <w:szCs w:val="18"/>
              </w:rPr>
            </w:pPr>
          </w:p>
        </w:tc>
      </w:tr>
      <w:tr w:rsidR="00F52FED" w:rsidRPr="00B0658A" w14:paraId="1E1BC900" w14:textId="77777777" w:rsidTr="004F1366">
        <w:trPr>
          <w:trHeight w:val="20"/>
        </w:trPr>
        <w:tc>
          <w:tcPr>
            <w:tcW w:w="578" w:type="dxa"/>
            <w:shd w:val="clear" w:color="000000" w:fill="FFFFFF"/>
            <w:vAlign w:val="center"/>
          </w:tcPr>
          <w:p w14:paraId="1A4501BB" w14:textId="77777777" w:rsidR="00A775DB" w:rsidRPr="00B0658A" w:rsidRDefault="00A775DB" w:rsidP="004F1366">
            <w:pPr>
              <w:spacing w:after="0" w:line="240" w:lineRule="auto"/>
              <w:jc w:val="center"/>
              <w:rPr>
                <w:rFonts w:ascii="Times New Roman" w:hAnsi="Times New Roman"/>
                <w:sz w:val="18"/>
                <w:szCs w:val="18"/>
              </w:rPr>
            </w:pPr>
            <w:r w:rsidRPr="00B0658A">
              <w:rPr>
                <w:rFonts w:ascii="Times New Roman" w:hAnsi="Times New Roman"/>
                <w:sz w:val="18"/>
                <w:szCs w:val="18"/>
              </w:rPr>
              <w:t>9.2</w:t>
            </w:r>
          </w:p>
        </w:tc>
        <w:tc>
          <w:tcPr>
            <w:tcW w:w="3812" w:type="dxa"/>
            <w:shd w:val="clear" w:color="auto" w:fill="auto"/>
            <w:vAlign w:val="center"/>
            <w:hideMark/>
          </w:tcPr>
          <w:p w14:paraId="64601A14" w14:textId="77777777" w:rsidR="00A775DB" w:rsidRPr="00B0658A" w:rsidRDefault="00A775DB" w:rsidP="004F1366">
            <w:pPr>
              <w:spacing w:after="0" w:line="240" w:lineRule="auto"/>
              <w:rPr>
                <w:rFonts w:ascii="Times New Roman" w:hAnsi="Times New Roman"/>
                <w:sz w:val="18"/>
                <w:szCs w:val="18"/>
              </w:rPr>
            </w:pPr>
            <w:r w:rsidRPr="00B0658A">
              <w:rPr>
                <w:rFonts w:ascii="Times New Roman" w:hAnsi="Times New Roman"/>
                <w:sz w:val="18"/>
                <w:szCs w:val="18"/>
              </w:rPr>
              <w:t>Средства управления процессами организации/ Средства управления производственными процессами (MES)</w:t>
            </w:r>
          </w:p>
        </w:tc>
        <w:tc>
          <w:tcPr>
            <w:tcW w:w="1842" w:type="dxa"/>
            <w:shd w:val="clear" w:color="000000" w:fill="FFFFFF"/>
            <w:hideMark/>
          </w:tcPr>
          <w:p w14:paraId="55D5657A" w14:textId="77777777" w:rsidR="00A775DB" w:rsidRPr="00B0658A" w:rsidRDefault="00A775DB" w:rsidP="004F1366">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79" w:type="dxa"/>
            <w:shd w:val="clear" w:color="000000" w:fill="FFFFFF"/>
            <w:vAlign w:val="center"/>
          </w:tcPr>
          <w:p w14:paraId="76A2EEF4"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000000" w:fill="FFFFFF"/>
            <w:vAlign w:val="center"/>
            <w:hideMark/>
          </w:tcPr>
          <w:p w14:paraId="63B60D96"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000000" w:fill="FFFFFF"/>
            <w:vAlign w:val="center"/>
            <w:hideMark/>
          </w:tcPr>
          <w:p w14:paraId="5A341293"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000000" w:fill="FFFFFF"/>
            <w:vAlign w:val="center"/>
            <w:hideMark/>
          </w:tcPr>
          <w:p w14:paraId="1AB97E80" w14:textId="77777777" w:rsidR="00A775DB" w:rsidRPr="00B0658A" w:rsidRDefault="00A775DB" w:rsidP="004F1366">
            <w:pPr>
              <w:spacing w:after="0" w:line="240" w:lineRule="auto"/>
              <w:jc w:val="center"/>
              <w:rPr>
                <w:rFonts w:ascii="Times New Roman" w:hAnsi="Times New Roman"/>
                <w:sz w:val="18"/>
                <w:szCs w:val="18"/>
              </w:rPr>
            </w:pPr>
          </w:p>
        </w:tc>
        <w:tc>
          <w:tcPr>
            <w:tcW w:w="992" w:type="dxa"/>
            <w:shd w:val="clear" w:color="000000" w:fill="FFFFFF"/>
            <w:vAlign w:val="center"/>
          </w:tcPr>
          <w:p w14:paraId="5936B9F5" w14:textId="77777777" w:rsidR="00A775DB" w:rsidRPr="00B0658A" w:rsidRDefault="00A775DB" w:rsidP="004F1366">
            <w:pPr>
              <w:spacing w:after="0" w:line="240" w:lineRule="auto"/>
              <w:jc w:val="center"/>
              <w:rPr>
                <w:rFonts w:ascii="Times New Roman" w:hAnsi="Times New Roman"/>
                <w:sz w:val="18"/>
                <w:szCs w:val="18"/>
              </w:rPr>
            </w:pPr>
          </w:p>
        </w:tc>
        <w:tc>
          <w:tcPr>
            <w:tcW w:w="803" w:type="dxa"/>
            <w:shd w:val="clear" w:color="000000" w:fill="FFFFFF"/>
            <w:vAlign w:val="center"/>
            <w:hideMark/>
          </w:tcPr>
          <w:p w14:paraId="2388D475" w14:textId="77777777" w:rsidR="00A775DB" w:rsidRPr="00B0658A" w:rsidRDefault="00A775DB" w:rsidP="004F1366">
            <w:pPr>
              <w:spacing w:after="0" w:line="240" w:lineRule="auto"/>
              <w:jc w:val="center"/>
              <w:rPr>
                <w:rFonts w:ascii="Times New Roman" w:hAnsi="Times New Roman"/>
                <w:sz w:val="18"/>
                <w:szCs w:val="18"/>
              </w:rPr>
            </w:pPr>
          </w:p>
        </w:tc>
        <w:tc>
          <w:tcPr>
            <w:tcW w:w="803" w:type="dxa"/>
            <w:shd w:val="clear" w:color="000000" w:fill="FFFFFF"/>
            <w:vAlign w:val="center"/>
            <w:hideMark/>
          </w:tcPr>
          <w:p w14:paraId="534B47EC" w14:textId="77777777" w:rsidR="00A775DB" w:rsidRPr="00B0658A" w:rsidRDefault="00A775DB" w:rsidP="004F1366">
            <w:pPr>
              <w:spacing w:after="0" w:line="240" w:lineRule="auto"/>
              <w:jc w:val="center"/>
              <w:rPr>
                <w:rFonts w:ascii="Times New Roman" w:hAnsi="Times New Roman"/>
                <w:sz w:val="18"/>
                <w:szCs w:val="18"/>
              </w:rPr>
            </w:pPr>
          </w:p>
        </w:tc>
        <w:tc>
          <w:tcPr>
            <w:tcW w:w="804" w:type="dxa"/>
            <w:shd w:val="clear" w:color="000000" w:fill="FFFFFF"/>
            <w:vAlign w:val="center"/>
            <w:hideMark/>
          </w:tcPr>
          <w:p w14:paraId="0A130427" w14:textId="77777777" w:rsidR="00A775DB" w:rsidRPr="00B0658A" w:rsidRDefault="00A775DB" w:rsidP="004F1366">
            <w:pPr>
              <w:spacing w:after="0" w:line="240" w:lineRule="auto"/>
              <w:jc w:val="center"/>
              <w:rPr>
                <w:rFonts w:ascii="Times New Roman" w:hAnsi="Times New Roman"/>
                <w:sz w:val="18"/>
                <w:szCs w:val="18"/>
              </w:rPr>
            </w:pPr>
          </w:p>
        </w:tc>
        <w:tc>
          <w:tcPr>
            <w:tcW w:w="1530" w:type="dxa"/>
            <w:shd w:val="clear" w:color="000000" w:fill="FFFFFF"/>
            <w:vAlign w:val="center"/>
          </w:tcPr>
          <w:p w14:paraId="1692F05C" w14:textId="77777777" w:rsidR="00A775DB" w:rsidRPr="00B0658A" w:rsidRDefault="00A775DB" w:rsidP="004F1366">
            <w:pPr>
              <w:spacing w:after="0" w:line="240" w:lineRule="auto"/>
              <w:jc w:val="center"/>
              <w:rPr>
                <w:rFonts w:ascii="Times New Roman" w:hAnsi="Times New Roman"/>
                <w:sz w:val="18"/>
                <w:szCs w:val="18"/>
              </w:rPr>
            </w:pPr>
          </w:p>
        </w:tc>
      </w:tr>
      <w:tr w:rsidR="00F52FED" w:rsidRPr="00B0658A" w14:paraId="34B4504C" w14:textId="77777777" w:rsidTr="004F1366">
        <w:trPr>
          <w:trHeight w:val="20"/>
        </w:trPr>
        <w:tc>
          <w:tcPr>
            <w:tcW w:w="578" w:type="dxa"/>
            <w:shd w:val="clear" w:color="000000" w:fill="FFFFFF"/>
            <w:vAlign w:val="center"/>
          </w:tcPr>
          <w:p w14:paraId="2AFAB4BB" w14:textId="77777777" w:rsidR="00A775DB" w:rsidRPr="00B0658A" w:rsidRDefault="00A775DB" w:rsidP="004F1366">
            <w:pPr>
              <w:spacing w:after="0" w:line="240" w:lineRule="auto"/>
              <w:jc w:val="center"/>
              <w:rPr>
                <w:rFonts w:ascii="Times New Roman" w:hAnsi="Times New Roman"/>
                <w:sz w:val="18"/>
                <w:szCs w:val="18"/>
              </w:rPr>
            </w:pPr>
            <w:r w:rsidRPr="00B0658A">
              <w:rPr>
                <w:rFonts w:ascii="Times New Roman" w:hAnsi="Times New Roman"/>
                <w:sz w:val="18"/>
                <w:szCs w:val="18"/>
              </w:rPr>
              <w:t>9.3</w:t>
            </w:r>
          </w:p>
        </w:tc>
        <w:tc>
          <w:tcPr>
            <w:tcW w:w="3812" w:type="dxa"/>
            <w:shd w:val="clear" w:color="auto" w:fill="auto"/>
            <w:vAlign w:val="center"/>
            <w:hideMark/>
          </w:tcPr>
          <w:p w14:paraId="6EF43875" w14:textId="77777777" w:rsidR="00A775DB" w:rsidRPr="00B0658A" w:rsidRDefault="00A775DB" w:rsidP="004F1366">
            <w:pPr>
              <w:spacing w:after="0" w:line="240" w:lineRule="auto"/>
              <w:rPr>
                <w:rFonts w:ascii="Times New Roman" w:hAnsi="Times New Roman"/>
                <w:sz w:val="18"/>
                <w:szCs w:val="18"/>
              </w:rPr>
            </w:pPr>
            <w:r w:rsidRPr="00B0658A">
              <w:rPr>
                <w:rFonts w:ascii="Times New Roman" w:hAnsi="Times New Roman"/>
                <w:sz w:val="18"/>
                <w:szCs w:val="18"/>
              </w:rPr>
              <w:t>Средства управления процессами организации / Средства управления лабораторными потоками работ и документов (LIMS)</w:t>
            </w:r>
          </w:p>
        </w:tc>
        <w:tc>
          <w:tcPr>
            <w:tcW w:w="1842" w:type="dxa"/>
            <w:shd w:val="clear" w:color="000000" w:fill="FFFFFF"/>
            <w:hideMark/>
          </w:tcPr>
          <w:p w14:paraId="2A26C822" w14:textId="77777777" w:rsidR="00A775DB" w:rsidRPr="00B0658A" w:rsidRDefault="00A775DB" w:rsidP="004F1366">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79" w:type="dxa"/>
            <w:shd w:val="clear" w:color="000000" w:fill="FFFFFF"/>
            <w:vAlign w:val="center"/>
          </w:tcPr>
          <w:p w14:paraId="2CD87BEC"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000000" w:fill="FFFFFF"/>
            <w:vAlign w:val="center"/>
            <w:hideMark/>
          </w:tcPr>
          <w:p w14:paraId="0816CFB9"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000000" w:fill="FFFFFF"/>
            <w:vAlign w:val="center"/>
            <w:hideMark/>
          </w:tcPr>
          <w:p w14:paraId="6E2BAE84"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000000" w:fill="FFFFFF"/>
            <w:vAlign w:val="center"/>
            <w:hideMark/>
          </w:tcPr>
          <w:p w14:paraId="1CD2F4A4" w14:textId="77777777" w:rsidR="00A775DB" w:rsidRPr="00B0658A" w:rsidRDefault="00A775DB" w:rsidP="004F1366">
            <w:pPr>
              <w:spacing w:after="0" w:line="240" w:lineRule="auto"/>
              <w:jc w:val="center"/>
              <w:rPr>
                <w:rFonts w:ascii="Times New Roman" w:hAnsi="Times New Roman"/>
                <w:sz w:val="18"/>
                <w:szCs w:val="18"/>
              </w:rPr>
            </w:pPr>
          </w:p>
        </w:tc>
        <w:tc>
          <w:tcPr>
            <w:tcW w:w="992" w:type="dxa"/>
            <w:shd w:val="clear" w:color="000000" w:fill="FFFFFF"/>
            <w:vAlign w:val="center"/>
          </w:tcPr>
          <w:p w14:paraId="640006A0" w14:textId="77777777" w:rsidR="00A775DB" w:rsidRPr="00B0658A" w:rsidRDefault="00A775DB" w:rsidP="004F1366">
            <w:pPr>
              <w:spacing w:after="0" w:line="240" w:lineRule="auto"/>
              <w:jc w:val="center"/>
              <w:rPr>
                <w:rFonts w:ascii="Times New Roman" w:hAnsi="Times New Roman"/>
                <w:sz w:val="18"/>
                <w:szCs w:val="18"/>
              </w:rPr>
            </w:pPr>
          </w:p>
        </w:tc>
        <w:tc>
          <w:tcPr>
            <w:tcW w:w="803" w:type="dxa"/>
            <w:shd w:val="clear" w:color="000000" w:fill="FFFFFF"/>
            <w:vAlign w:val="center"/>
            <w:hideMark/>
          </w:tcPr>
          <w:p w14:paraId="700B1A2A" w14:textId="77777777" w:rsidR="00A775DB" w:rsidRPr="00B0658A" w:rsidRDefault="00A775DB" w:rsidP="004F1366">
            <w:pPr>
              <w:spacing w:after="0" w:line="240" w:lineRule="auto"/>
              <w:jc w:val="center"/>
              <w:rPr>
                <w:rFonts w:ascii="Times New Roman" w:hAnsi="Times New Roman"/>
                <w:sz w:val="18"/>
                <w:szCs w:val="18"/>
              </w:rPr>
            </w:pPr>
          </w:p>
        </w:tc>
        <w:tc>
          <w:tcPr>
            <w:tcW w:w="803" w:type="dxa"/>
            <w:shd w:val="clear" w:color="000000" w:fill="FFFFFF"/>
            <w:vAlign w:val="center"/>
            <w:hideMark/>
          </w:tcPr>
          <w:p w14:paraId="74F7A8A1" w14:textId="77777777" w:rsidR="00A775DB" w:rsidRPr="00B0658A" w:rsidRDefault="00A775DB" w:rsidP="004F1366">
            <w:pPr>
              <w:spacing w:after="0" w:line="240" w:lineRule="auto"/>
              <w:jc w:val="center"/>
              <w:rPr>
                <w:rFonts w:ascii="Times New Roman" w:hAnsi="Times New Roman"/>
                <w:sz w:val="18"/>
                <w:szCs w:val="18"/>
              </w:rPr>
            </w:pPr>
          </w:p>
        </w:tc>
        <w:tc>
          <w:tcPr>
            <w:tcW w:w="804" w:type="dxa"/>
            <w:shd w:val="clear" w:color="000000" w:fill="FFFFFF"/>
            <w:vAlign w:val="center"/>
            <w:hideMark/>
          </w:tcPr>
          <w:p w14:paraId="5C0D0D91" w14:textId="77777777" w:rsidR="00A775DB" w:rsidRPr="00B0658A" w:rsidRDefault="00A775DB" w:rsidP="004F1366">
            <w:pPr>
              <w:spacing w:after="0" w:line="240" w:lineRule="auto"/>
              <w:jc w:val="center"/>
              <w:rPr>
                <w:rFonts w:ascii="Times New Roman" w:hAnsi="Times New Roman"/>
                <w:sz w:val="18"/>
                <w:szCs w:val="18"/>
              </w:rPr>
            </w:pPr>
          </w:p>
        </w:tc>
        <w:tc>
          <w:tcPr>
            <w:tcW w:w="1530" w:type="dxa"/>
            <w:shd w:val="clear" w:color="000000" w:fill="FFFFFF"/>
            <w:vAlign w:val="center"/>
          </w:tcPr>
          <w:p w14:paraId="7BCE4EDC" w14:textId="77777777" w:rsidR="00A775DB" w:rsidRPr="00B0658A" w:rsidRDefault="00A775DB" w:rsidP="004F1366">
            <w:pPr>
              <w:spacing w:after="0" w:line="240" w:lineRule="auto"/>
              <w:jc w:val="center"/>
              <w:rPr>
                <w:rFonts w:ascii="Times New Roman" w:hAnsi="Times New Roman"/>
                <w:sz w:val="18"/>
                <w:szCs w:val="18"/>
              </w:rPr>
            </w:pPr>
          </w:p>
        </w:tc>
      </w:tr>
      <w:tr w:rsidR="00F52FED" w:rsidRPr="00B0658A" w14:paraId="45FEDD6F" w14:textId="77777777" w:rsidTr="004F1366">
        <w:trPr>
          <w:trHeight w:val="20"/>
        </w:trPr>
        <w:tc>
          <w:tcPr>
            <w:tcW w:w="578" w:type="dxa"/>
            <w:shd w:val="clear" w:color="000000" w:fill="FFFFFF"/>
            <w:vAlign w:val="center"/>
          </w:tcPr>
          <w:p w14:paraId="04794F8D" w14:textId="77777777" w:rsidR="00A775DB" w:rsidRPr="00B0658A" w:rsidRDefault="00A775DB" w:rsidP="004F1366">
            <w:pPr>
              <w:spacing w:after="0" w:line="240" w:lineRule="auto"/>
              <w:jc w:val="center"/>
              <w:rPr>
                <w:rFonts w:ascii="Times New Roman" w:hAnsi="Times New Roman"/>
                <w:sz w:val="18"/>
                <w:szCs w:val="18"/>
              </w:rPr>
            </w:pPr>
            <w:r w:rsidRPr="00B0658A">
              <w:rPr>
                <w:rFonts w:ascii="Times New Roman" w:hAnsi="Times New Roman"/>
                <w:sz w:val="18"/>
                <w:szCs w:val="18"/>
              </w:rPr>
              <w:t>9.4</w:t>
            </w:r>
          </w:p>
        </w:tc>
        <w:tc>
          <w:tcPr>
            <w:tcW w:w="3812" w:type="dxa"/>
            <w:shd w:val="clear" w:color="auto" w:fill="auto"/>
            <w:vAlign w:val="center"/>
            <w:hideMark/>
          </w:tcPr>
          <w:p w14:paraId="3CED82D4" w14:textId="77777777" w:rsidR="00A775DB" w:rsidRPr="00B0658A" w:rsidRDefault="00A775DB" w:rsidP="004F1366">
            <w:pPr>
              <w:spacing w:after="0" w:line="240" w:lineRule="auto"/>
              <w:rPr>
                <w:rFonts w:ascii="Times New Roman" w:hAnsi="Times New Roman"/>
                <w:sz w:val="18"/>
                <w:szCs w:val="18"/>
              </w:rPr>
            </w:pPr>
            <w:r w:rsidRPr="00B0658A">
              <w:rPr>
                <w:rFonts w:ascii="Times New Roman" w:hAnsi="Times New Roman"/>
                <w:sz w:val="18"/>
                <w:szCs w:val="18"/>
              </w:rPr>
              <w:t>Средства управления процессами организации/ Средства управления технологическими процессами (АСУ ТП, SCADA)</w:t>
            </w:r>
          </w:p>
        </w:tc>
        <w:tc>
          <w:tcPr>
            <w:tcW w:w="1842" w:type="dxa"/>
            <w:shd w:val="clear" w:color="000000" w:fill="FFFFFF"/>
            <w:hideMark/>
          </w:tcPr>
          <w:p w14:paraId="7EC0D81A" w14:textId="77777777" w:rsidR="00A775DB" w:rsidRPr="00B0658A" w:rsidRDefault="00A775DB" w:rsidP="004F1366">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79" w:type="dxa"/>
            <w:shd w:val="clear" w:color="000000" w:fill="FFFFFF"/>
            <w:vAlign w:val="center"/>
          </w:tcPr>
          <w:p w14:paraId="472F5C86"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000000" w:fill="FFFFFF"/>
            <w:vAlign w:val="center"/>
            <w:hideMark/>
          </w:tcPr>
          <w:p w14:paraId="7EFD5CEA"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000000" w:fill="FFFFFF"/>
            <w:vAlign w:val="center"/>
            <w:hideMark/>
          </w:tcPr>
          <w:p w14:paraId="58E26DD9"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000000" w:fill="FFFFFF"/>
            <w:vAlign w:val="center"/>
            <w:hideMark/>
          </w:tcPr>
          <w:p w14:paraId="019D0CF4" w14:textId="77777777" w:rsidR="00A775DB" w:rsidRPr="00B0658A" w:rsidRDefault="00A775DB" w:rsidP="004F1366">
            <w:pPr>
              <w:spacing w:after="0" w:line="240" w:lineRule="auto"/>
              <w:jc w:val="center"/>
              <w:rPr>
                <w:rFonts w:ascii="Times New Roman" w:hAnsi="Times New Roman"/>
                <w:sz w:val="18"/>
                <w:szCs w:val="18"/>
              </w:rPr>
            </w:pPr>
          </w:p>
        </w:tc>
        <w:tc>
          <w:tcPr>
            <w:tcW w:w="992" w:type="dxa"/>
            <w:shd w:val="clear" w:color="000000" w:fill="FFFFFF"/>
            <w:vAlign w:val="center"/>
          </w:tcPr>
          <w:p w14:paraId="0106AE6F" w14:textId="77777777" w:rsidR="00A775DB" w:rsidRPr="00B0658A" w:rsidRDefault="00A775DB" w:rsidP="004F1366">
            <w:pPr>
              <w:spacing w:after="0" w:line="240" w:lineRule="auto"/>
              <w:jc w:val="center"/>
              <w:rPr>
                <w:rFonts w:ascii="Times New Roman" w:hAnsi="Times New Roman"/>
                <w:sz w:val="18"/>
                <w:szCs w:val="18"/>
              </w:rPr>
            </w:pPr>
          </w:p>
        </w:tc>
        <w:tc>
          <w:tcPr>
            <w:tcW w:w="803" w:type="dxa"/>
            <w:shd w:val="clear" w:color="000000" w:fill="FFFFFF"/>
            <w:vAlign w:val="center"/>
            <w:hideMark/>
          </w:tcPr>
          <w:p w14:paraId="785E77DE" w14:textId="77777777" w:rsidR="00A775DB" w:rsidRPr="00B0658A" w:rsidRDefault="00A775DB" w:rsidP="004F1366">
            <w:pPr>
              <w:spacing w:after="0" w:line="240" w:lineRule="auto"/>
              <w:jc w:val="center"/>
              <w:rPr>
                <w:rFonts w:ascii="Times New Roman" w:hAnsi="Times New Roman"/>
                <w:sz w:val="18"/>
                <w:szCs w:val="18"/>
              </w:rPr>
            </w:pPr>
          </w:p>
        </w:tc>
        <w:tc>
          <w:tcPr>
            <w:tcW w:w="803" w:type="dxa"/>
            <w:shd w:val="clear" w:color="000000" w:fill="FFFFFF"/>
            <w:vAlign w:val="center"/>
            <w:hideMark/>
          </w:tcPr>
          <w:p w14:paraId="5B29770B" w14:textId="77777777" w:rsidR="00A775DB" w:rsidRPr="00B0658A" w:rsidRDefault="00A775DB" w:rsidP="004F1366">
            <w:pPr>
              <w:spacing w:after="0" w:line="240" w:lineRule="auto"/>
              <w:jc w:val="center"/>
              <w:rPr>
                <w:rFonts w:ascii="Times New Roman" w:hAnsi="Times New Roman"/>
                <w:sz w:val="18"/>
                <w:szCs w:val="18"/>
              </w:rPr>
            </w:pPr>
          </w:p>
        </w:tc>
        <w:tc>
          <w:tcPr>
            <w:tcW w:w="804" w:type="dxa"/>
            <w:shd w:val="clear" w:color="000000" w:fill="FFFFFF"/>
            <w:vAlign w:val="center"/>
            <w:hideMark/>
          </w:tcPr>
          <w:p w14:paraId="60C8C82C" w14:textId="77777777" w:rsidR="00A775DB" w:rsidRPr="00B0658A" w:rsidRDefault="00A775DB" w:rsidP="004F1366">
            <w:pPr>
              <w:spacing w:after="0" w:line="240" w:lineRule="auto"/>
              <w:jc w:val="center"/>
              <w:rPr>
                <w:rFonts w:ascii="Times New Roman" w:hAnsi="Times New Roman"/>
                <w:sz w:val="18"/>
                <w:szCs w:val="18"/>
              </w:rPr>
            </w:pPr>
          </w:p>
        </w:tc>
        <w:tc>
          <w:tcPr>
            <w:tcW w:w="1530" w:type="dxa"/>
            <w:shd w:val="clear" w:color="000000" w:fill="FFFFFF"/>
            <w:vAlign w:val="center"/>
          </w:tcPr>
          <w:p w14:paraId="11B41E66" w14:textId="77777777" w:rsidR="00A775DB" w:rsidRPr="00B0658A" w:rsidRDefault="00A775DB" w:rsidP="004F1366">
            <w:pPr>
              <w:spacing w:after="0" w:line="240" w:lineRule="auto"/>
              <w:jc w:val="center"/>
              <w:rPr>
                <w:rFonts w:ascii="Times New Roman" w:hAnsi="Times New Roman"/>
                <w:sz w:val="18"/>
                <w:szCs w:val="18"/>
              </w:rPr>
            </w:pPr>
          </w:p>
        </w:tc>
      </w:tr>
      <w:tr w:rsidR="00F52FED" w:rsidRPr="00B0658A" w14:paraId="56797F73" w14:textId="77777777" w:rsidTr="004F1366">
        <w:trPr>
          <w:trHeight w:val="20"/>
        </w:trPr>
        <w:tc>
          <w:tcPr>
            <w:tcW w:w="578" w:type="dxa"/>
            <w:shd w:val="clear" w:color="000000" w:fill="FFFFFF"/>
            <w:vAlign w:val="center"/>
          </w:tcPr>
          <w:p w14:paraId="5D81D5DF" w14:textId="77777777" w:rsidR="00A775DB" w:rsidRPr="00B0658A" w:rsidRDefault="00A775DB" w:rsidP="004F1366">
            <w:pPr>
              <w:spacing w:after="0" w:line="240" w:lineRule="auto"/>
              <w:jc w:val="center"/>
              <w:rPr>
                <w:rFonts w:ascii="Times New Roman" w:hAnsi="Times New Roman"/>
                <w:sz w:val="18"/>
                <w:szCs w:val="18"/>
              </w:rPr>
            </w:pPr>
            <w:r w:rsidRPr="00B0658A">
              <w:rPr>
                <w:rFonts w:ascii="Times New Roman" w:hAnsi="Times New Roman"/>
                <w:sz w:val="18"/>
                <w:szCs w:val="18"/>
              </w:rPr>
              <w:t>9.5</w:t>
            </w:r>
          </w:p>
        </w:tc>
        <w:tc>
          <w:tcPr>
            <w:tcW w:w="3812" w:type="dxa"/>
            <w:shd w:val="clear" w:color="auto" w:fill="auto"/>
            <w:vAlign w:val="center"/>
            <w:hideMark/>
          </w:tcPr>
          <w:p w14:paraId="58F6B117" w14:textId="77777777" w:rsidR="00A775DB" w:rsidRPr="00B0658A" w:rsidRDefault="00A775DB" w:rsidP="004F1366">
            <w:pPr>
              <w:spacing w:after="0" w:line="240" w:lineRule="auto"/>
              <w:rPr>
                <w:rFonts w:ascii="Times New Roman" w:hAnsi="Times New Roman"/>
                <w:sz w:val="18"/>
                <w:szCs w:val="18"/>
              </w:rPr>
            </w:pPr>
            <w:r w:rsidRPr="00B0658A">
              <w:rPr>
                <w:rFonts w:ascii="Times New Roman" w:hAnsi="Times New Roman"/>
                <w:sz w:val="18"/>
                <w:szCs w:val="18"/>
              </w:rPr>
              <w:t>Средства управления процессами организации/ Средства управления эффективностью предприятия (CPM/EPM)</w:t>
            </w:r>
          </w:p>
        </w:tc>
        <w:tc>
          <w:tcPr>
            <w:tcW w:w="1842" w:type="dxa"/>
            <w:shd w:val="clear" w:color="000000" w:fill="FFFFFF"/>
            <w:hideMark/>
          </w:tcPr>
          <w:p w14:paraId="0AF49A79" w14:textId="77777777" w:rsidR="00A775DB" w:rsidRPr="00B0658A" w:rsidRDefault="00A775DB" w:rsidP="004F1366">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79" w:type="dxa"/>
            <w:shd w:val="clear" w:color="000000" w:fill="FFFFFF"/>
            <w:vAlign w:val="center"/>
          </w:tcPr>
          <w:p w14:paraId="64D6C2A3"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000000" w:fill="FFFFFF"/>
            <w:vAlign w:val="center"/>
            <w:hideMark/>
          </w:tcPr>
          <w:p w14:paraId="1DF5C746"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000000" w:fill="FFFFFF"/>
            <w:vAlign w:val="center"/>
            <w:hideMark/>
          </w:tcPr>
          <w:p w14:paraId="78EA9D05"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000000" w:fill="FFFFFF"/>
            <w:vAlign w:val="center"/>
            <w:hideMark/>
          </w:tcPr>
          <w:p w14:paraId="5B96CBCA" w14:textId="77777777" w:rsidR="00A775DB" w:rsidRPr="00B0658A" w:rsidRDefault="00A775DB" w:rsidP="004F1366">
            <w:pPr>
              <w:spacing w:after="0" w:line="240" w:lineRule="auto"/>
              <w:jc w:val="center"/>
              <w:rPr>
                <w:rFonts w:ascii="Times New Roman" w:hAnsi="Times New Roman"/>
                <w:sz w:val="18"/>
                <w:szCs w:val="18"/>
              </w:rPr>
            </w:pPr>
          </w:p>
        </w:tc>
        <w:tc>
          <w:tcPr>
            <w:tcW w:w="992" w:type="dxa"/>
            <w:shd w:val="clear" w:color="000000" w:fill="FFFFFF"/>
            <w:vAlign w:val="center"/>
          </w:tcPr>
          <w:p w14:paraId="4314F1B4" w14:textId="77777777" w:rsidR="00A775DB" w:rsidRPr="00B0658A" w:rsidRDefault="00A775DB" w:rsidP="004F1366">
            <w:pPr>
              <w:spacing w:after="0" w:line="240" w:lineRule="auto"/>
              <w:jc w:val="center"/>
              <w:rPr>
                <w:rFonts w:ascii="Times New Roman" w:hAnsi="Times New Roman"/>
                <w:sz w:val="18"/>
                <w:szCs w:val="18"/>
              </w:rPr>
            </w:pPr>
          </w:p>
        </w:tc>
        <w:tc>
          <w:tcPr>
            <w:tcW w:w="803" w:type="dxa"/>
            <w:shd w:val="clear" w:color="000000" w:fill="FFFFFF"/>
            <w:vAlign w:val="center"/>
            <w:hideMark/>
          </w:tcPr>
          <w:p w14:paraId="158960C2" w14:textId="77777777" w:rsidR="00A775DB" w:rsidRPr="00B0658A" w:rsidRDefault="00A775DB" w:rsidP="004F1366">
            <w:pPr>
              <w:spacing w:after="0" w:line="240" w:lineRule="auto"/>
              <w:jc w:val="center"/>
              <w:rPr>
                <w:rFonts w:ascii="Times New Roman" w:hAnsi="Times New Roman"/>
                <w:sz w:val="18"/>
                <w:szCs w:val="18"/>
              </w:rPr>
            </w:pPr>
          </w:p>
        </w:tc>
        <w:tc>
          <w:tcPr>
            <w:tcW w:w="803" w:type="dxa"/>
            <w:shd w:val="clear" w:color="000000" w:fill="FFFFFF"/>
            <w:vAlign w:val="center"/>
            <w:hideMark/>
          </w:tcPr>
          <w:p w14:paraId="5251A833" w14:textId="77777777" w:rsidR="00A775DB" w:rsidRPr="00B0658A" w:rsidRDefault="00A775DB" w:rsidP="004F1366">
            <w:pPr>
              <w:spacing w:after="0" w:line="240" w:lineRule="auto"/>
              <w:jc w:val="center"/>
              <w:rPr>
                <w:rFonts w:ascii="Times New Roman" w:hAnsi="Times New Roman"/>
                <w:sz w:val="18"/>
                <w:szCs w:val="18"/>
              </w:rPr>
            </w:pPr>
          </w:p>
        </w:tc>
        <w:tc>
          <w:tcPr>
            <w:tcW w:w="804" w:type="dxa"/>
            <w:shd w:val="clear" w:color="000000" w:fill="FFFFFF"/>
            <w:vAlign w:val="center"/>
            <w:hideMark/>
          </w:tcPr>
          <w:p w14:paraId="21AE8F6F" w14:textId="77777777" w:rsidR="00A775DB" w:rsidRPr="00B0658A" w:rsidRDefault="00A775DB" w:rsidP="004F1366">
            <w:pPr>
              <w:spacing w:after="0" w:line="240" w:lineRule="auto"/>
              <w:jc w:val="center"/>
              <w:rPr>
                <w:rFonts w:ascii="Times New Roman" w:hAnsi="Times New Roman"/>
                <w:sz w:val="18"/>
                <w:szCs w:val="18"/>
              </w:rPr>
            </w:pPr>
          </w:p>
        </w:tc>
        <w:tc>
          <w:tcPr>
            <w:tcW w:w="1530" w:type="dxa"/>
            <w:shd w:val="clear" w:color="000000" w:fill="FFFFFF"/>
            <w:vAlign w:val="center"/>
          </w:tcPr>
          <w:p w14:paraId="40C1662C" w14:textId="77777777" w:rsidR="00A775DB" w:rsidRPr="00B0658A" w:rsidRDefault="00A775DB" w:rsidP="004F1366">
            <w:pPr>
              <w:spacing w:after="0" w:line="240" w:lineRule="auto"/>
              <w:jc w:val="center"/>
              <w:rPr>
                <w:rFonts w:ascii="Times New Roman" w:hAnsi="Times New Roman"/>
                <w:sz w:val="18"/>
                <w:szCs w:val="18"/>
              </w:rPr>
            </w:pPr>
          </w:p>
        </w:tc>
      </w:tr>
      <w:tr w:rsidR="00F52FED" w:rsidRPr="00B0658A" w14:paraId="0D6EAA26" w14:textId="77777777" w:rsidTr="004F1366">
        <w:trPr>
          <w:trHeight w:val="20"/>
        </w:trPr>
        <w:tc>
          <w:tcPr>
            <w:tcW w:w="578" w:type="dxa"/>
            <w:shd w:val="clear" w:color="000000" w:fill="FFFFFF"/>
            <w:vAlign w:val="center"/>
          </w:tcPr>
          <w:p w14:paraId="0E1B33F9" w14:textId="77777777" w:rsidR="00A775DB" w:rsidRPr="00B0658A" w:rsidRDefault="00A775DB" w:rsidP="004F1366">
            <w:pPr>
              <w:spacing w:after="0" w:line="240" w:lineRule="auto"/>
              <w:jc w:val="center"/>
              <w:rPr>
                <w:rFonts w:ascii="Times New Roman" w:hAnsi="Times New Roman"/>
                <w:sz w:val="18"/>
                <w:szCs w:val="18"/>
              </w:rPr>
            </w:pPr>
            <w:r w:rsidRPr="00B0658A">
              <w:rPr>
                <w:rFonts w:ascii="Times New Roman" w:hAnsi="Times New Roman"/>
                <w:sz w:val="18"/>
                <w:szCs w:val="18"/>
              </w:rPr>
              <w:t>9.6</w:t>
            </w:r>
          </w:p>
        </w:tc>
        <w:tc>
          <w:tcPr>
            <w:tcW w:w="3812" w:type="dxa"/>
            <w:shd w:val="clear" w:color="auto" w:fill="auto"/>
            <w:vAlign w:val="center"/>
            <w:hideMark/>
          </w:tcPr>
          <w:p w14:paraId="44A59F17" w14:textId="77777777" w:rsidR="00A775DB" w:rsidRPr="00B0658A" w:rsidRDefault="00A775DB" w:rsidP="004F1366">
            <w:pPr>
              <w:spacing w:after="0" w:line="240" w:lineRule="auto"/>
              <w:rPr>
                <w:rFonts w:ascii="Times New Roman" w:hAnsi="Times New Roman"/>
                <w:sz w:val="18"/>
                <w:szCs w:val="18"/>
              </w:rPr>
            </w:pPr>
            <w:r w:rsidRPr="00B0658A">
              <w:rPr>
                <w:rFonts w:ascii="Times New Roman" w:hAnsi="Times New Roman"/>
                <w:sz w:val="18"/>
                <w:szCs w:val="18"/>
              </w:rPr>
              <w:t>Средства управления процессами организации/ Средства управления основными фондами предприятия (EAM)</w:t>
            </w:r>
          </w:p>
        </w:tc>
        <w:tc>
          <w:tcPr>
            <w:tcW w:w="1842" w:type="dxa"/>
            <w:shd w:val="clear" w:color="000000" w:fill="FFFFFF"/>
            <w:hideMark/>
          </w:tcPr>
          <w:p w14:paraId="20D501B6" w14:textId="77777777" w:rsidR="00A775DB" w:rsidRPr="00B0658A" w:rsidRDefault="00A775DB" w:rsidP="004F1366">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79" w:type="dxa"/>
            <w:shd w:val="clear" w:color="000000" w:fill="FFFFFF"/>
            <w:vAlign w:val="center"/>
          </w:tcPr>
          <w:p w14:paraId="26AF5A1E"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000000" w:fill="FFFFFF"/>
            <w:vAlign w:val="center"/>
            <w:hideMark/>
          </w:tcPr>
          <w:p w14:paraId="3020F0D0"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000000" w:fill="FFFFFF"/>
            <w:vAlign w:val="center"/>
            <w:hideMark/>
          </w:tcPr>
          <w:p w14:paraId="7AC33313"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000000" w:fill="FFFFFF"/>
            <w:vAlign w:val="center"/>
            <w:hideMark/>
          </w:tcPr>
          <w:p w14:paraId="2D8B661A" w14:textId="77777777" w:rsidR="00A775DB" w:rsidRPr="00B0658A" w:rsidRDefault="00A775DB" w:rsidP="004F1366">
            <w:pPr>
              <w:spacing w:after="0" w:line="240" w:lineRule="auto"/>
              <w:jc w:val="center"/>
              <w:rPr>
                <w:rFonts w:ascii="Times New Roman" w:hAnsi="Times New Roman"/>
                <w:sz w:val="18"/>
                <w:szCs w:val="18"/>
              </w:rPr>
            </w:pPr>
          </w:p>
        </w:tc>
        <w:tc>
          <w:tcPr>
            <w:tcW w:w="992" w:type="dxa"/>
            <w:shd w:val="clear" w:color="000000" w:fill="FFFFFF"/>
            <w:vAlign w:val="center"/>
          </w:tcPr>
          <w:p w14:paraId="57D8B335" w14:textId="77777777" w:rsidR="00A775DB" w:rsidRPr="00B0658A" w:rsidRDefault="00A775DB" w:rsidP="004F1366">
            <w:pPr>
              <w:spacing w:after="0" w:line="240" w:lineRule="auto"/>
              <w:jc w:val="center"/>
              <w:rPr>
                <w:rFonts w:ascii="Times New Roman" w:hAnsi="Times New Roman"/>
                <w:sz w:val="18"/>
                <w:szCs w:val="18"/>
              </w:rPr>
            </w:pPr>
          </w:p>
        </w:tc>
        <w:tc>
          <w:tcPr>
            <w:tcW w:w="803" w:type="dxa"/>
            <w:shd w:val="clear" w:color="000000" w:fill="FFFFFF"/>
            <w:vAlign w:val="center"/>
            <w:hideMark/>
          </w:tcPr>
          <w:p w14:paraId="2F5FE833" w14:textId="77777777" w:rsidR="00A775DB" w:rsidRPr="00B0658A" w:rsidRDefault="00A775DB" w:rsidP="004F1366">
            <w:pPr>
              <w:spacing w:after="0" w:line="240" w:lineRule="auto"/>
              <w:jc w:val="center"/>
              <w:rPr>
                <w:rFonts w:ascii="Times New Roman" w:hAnsi="Times New Roman"/>
                <w:sz w:val="18"/>
                <w:szCs w:val="18"/>
              </w:rPr>
            </w:pPr>
          </w:p>
        </w:tc>
        <w:tc>
          <w:tcPr>
            <w:tcW w:w="803" w:type="dxa"/>
            <w:shd w:val="clear" w:color="000000" w:fill="FFFFFF"/>
            <w:vAlign w:val="center"/>
            <w:hideMark/>
          </w:tcPr>
          <w:p w14:paraId="0D5BAE3E" w14:textId="77777777" w:rsidR="00A775DB" w:rsidRPr="00B0658A" w:rsidRDefault="00A775DB" w:rsidP="004F1366">
            <w:pPr>
              <w:spacing w:after="0" w:line="240" w:lineRule="auto"/>
              <w:jc w:val="center"/>
              <w:rPr>
                <w:rFonts w:ascii="Times New Roman" w:hAnsi="Times New Roman"/>
                <w:sz w:val="18"/>
                <w:szCs w:val="18"/>
              </w:rPr>
            </w:pPr>
          </w:p>
        </w:tc>
        <w:tc>
          <w:tcPr>
            <w:tcW w:w="804" w:type="dxa"/>
            <w:shd w:val="clear" w:color="000000" w:fill="FFFFFF"/>
            <w:vAlign w:val="center"/>
            <w:hideMark/>
          </w:tcPr>
          <w:p w14:paraId="11383F77" w14:textId="77777777" w:rsidR="00A775DB" w:rsidRPr="00B0658A" w:rsidRDefault="00A775DB" w:rsidP="004F1366">
            <w:pPr>
              <w:spacing w:after="0" w:line="240" w:lineRule="auto"/>
              <w:jc w:val="center"/>
              <w:rPr>
                <w:rFonts w:ascii="Times New Roman" w:hAnsi="Times New Roman"/>
                <w:sz w:val="18"/>
                <w:szCs w:val="18"/>
              </w:rPr>
            </w:pPr>
          </w:p>
        </w:tc>
        <w:tc>
          <w:tcPr>
            <w:tcW w:w="1530" w:type="dxa"/>
            <w:shd w:val="clear" w:color="000000" w:fill="FFFFFF"/>
            <w:vAlign w:val="center"/>
          </w:tcPr>
          <w:p w14:paraId="35E781E3" w14:textId="77777777" w:rsidR="00A775DB" w:rsidRPr="00B0658A" w:rsidRDefault="00A775DB" w:rsidP="004F1366">
            <w:pPr>
              <w:spacing w:after="0" w:line="240" w:lineRule="auto"/>
              <w:jc w:val="center"/>
              <w:rPr>
                <w:rFonts w:ascii="Times New Roman" w:hAnsi="Times New Roman"/>
                <w:sz w:val="18"/>
                <w:szCs w:val="18"/>
              </w:rPr>
            </w:pPr>
          </w:p>
        </w:tc>
      </w:tr>
      <w:tr w:rsidR="00F52FED" w:rsidRPr="00B0658A" w14:paraId="2AFAE342" w14:textId="77777777" w:rsidTr="004F1366">
        <w:trPr>
          <w:trHeight w:val="20"/>
        </w:trPr>
        <w:tc>
          <w:tcPr>
            <w:tcW w:w="578" w:type="dxa"/>
            <w:shd w:val="clear" w:color="000000" w:fill="FFFFFF"/>
            <w:vAlign w:val="center"/>
          </w:tcPr>
          <w:p w14:paraId="69822E9F" w14:textId="77777777" w:rsidR="00A775DB" w:rsidRPr="00B0658A" w:rsidRDefault="00A775DB" w:rsidP="004F1366">
            <w:pPr>
              <w:spacing w:after="0" w:line="240" w:lineRule="auto"/>
              <w:jc w:val="center"/>
              <w:rPr>
                <w:rFonts w:ascii="Times New Roman" w:hAnsi="Times New Roman"/>
                <w:sz w:val="18"/>
                <w:szCs w:val="18"/>
              </w:rPr>
            </w:pPr>
            <w:r w:rsidRPr="00B0658A">
              <w:rPr>
                <w:rFonts w:ascii="Times New Roman" w:hAnsi="Times New Roman"/>
                <w:sz w:val="18"/>
                <w:szCs w:val="18"/>
              </w:rPr>
              <w:t>9.7</w:t>
            </w:r>
          </w:p>
        </w:tc>
        <w:tc>
          <w:tcPr>
            <w:tcW w:w="3812" w:type="dxa"/>
            <w:shd w:val="clear" w:color="auto" w:fill="auto"/>
            <w:vAlign w:val="center"/>
            <w:hideMark/>
          </w:tcPr>
          <w:p w14:paraId="42437A28" w14:textId="77777777" w:rsidR="00A775DB" w:rsidRPr="00B0658A" w:rsidRDefault="00A775DB" w:rsidP="004F1366">
            <w:pPr>
              <w:spacing w:after="0" w:line="240" w:lineRule="auto"/>
              <w:rPr>
                <w:rFonts w:ascii="Times New Roman" w:hAnsi="Times New Roman"/>
                <w:sz w:val="18"/>
                <w:szCs w:val="18"/>
              </w:rPr>
            </w:pPr>
            <w:r w:rsidRPr="00B0658A">
              <w:rPr>
                <w:rFonts w:ascii="Times New Roman" w:hAnsi="Times New Roman"/>
                <w:sz w:val="18"/>
                <w:szCs w:val="18"/>
              </w:rPr>
              <w:t>Средства управления процессами организации/ Средства финансового менеджмента, управления активами и трудовыми ресурсами (ERP)</w:t>
            </w:r>
          </w:p>
        </w:tc>
        <w:tc>
          <w:tcPr>
            <w:tcW w:w="1842" w:type="dxa"/>
            <w:shd w:val="clear" w:color="000000" w:fill="FFFFFF"/>
            <w:hideMark/>
          </w:tcPr>
          <w:p w14:paraId="31B215B1" w14:textId="77777777" w:rsidR="00A775DB" w:rsidRPr="00B0658A" w:rsidRDefault="00A775DB" w:rsidP="004F1366">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79" w:type="dxa"/>
            <w:shd w:val="clear" w:color="000000" w:fill="FFFFFF"/>
            <w:vAlign w:val="center"/>
          </w:tcPr>
          <w:p w14:paraId="17F6F3E1"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000000" w:fill="FFFFFF"/>
            <w:vAlign w:val="center"/>
            <w:hideMark/>
          </w:tcPr>
          <w:p w14:paraId="77F6CAA3"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000000" w:fill="FFFFFF"/>
            <w:vAlign w:val="center"/>
            <w:hideMark/>
          </w:tcPr>
          <w:p w14:paraId="51C8CF7E"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000000" w:fill="FFFFFF"/>
            <w:vAlign w:val="center"/>
            <w:hideMark/>
          </w:tcPr>
          <w:p w14:paraId="1FCCED6A" w14:textId="77777777" w:rsidR="00A775DB" w:rsidRPr="00B0658A" w:rsidRDefault="00A775DB" w:rsidP="004F1366">
            <w:pPr>
              <w:spacing w:after="0" w:line="240" w:lineRule="auto"/>
              <w:jc w:val="center"/>
              <w:rPr>
                <w:rFonts w:ascii="Times New Roman" w:hAnsi="Times New Roman"/>
                <w:sz w:val="18"/>
                <w:szCs w:val="18"/>
              </w:rPr>
            </w:pPr>
          </w:p>
        </w:tc>
        <w:tc>
          <w:tcPr>
            <w:tcW w:w="992" w:type="dxa"/>
            <w:shd w:val="clear" w:color="000000" w:fill="FFFFFF"/>
            <w:vAlign w:val="center"/>
          </w:tcPr>
          <w:p w14:paraId="13BCD0C7" w14:textId="77777777" w:rsidR="00A775DB" w:rsidRPr="00B0658A" w:rsidRDefault="00A775DB" w:rsidP="004F1366">
            <w:pPr>
              <w:spacing w:after="0" w:line="240" w:lineRule="auto"/>
              <w:jc w:val="center"/>
              <w:rPr>
                <w:rFonts w:ascii="Times New Roman" w:hAnsi="Times New Roman"/>
                <w:sz w:val="18"/>
                <w:szCs w:val="18"/>
              </w:rPr>
            </w:pPr>
          </w:p>
        </w:tc>
        <w:tc>
          <w:tcPr>
            <w:tcW w:w="803" w:type="dxa"/>
            <w:shd w:val="clear" w:color="000000" w:fill="FFFFFF"/>
            <w:vAlign w:val="center"/>
            <w:hideMark/>
          </w:tcPr>
          <w:p w14:paraId="4DA230E4" w14:textId="77777777" w:rsidR="00A775DB" w:rsidRPr="00B0658A" w:rsidRDefault="00A775DB" w:rsidP="004F1366">
            <w:pPr>
              <w:spacing w:after="0" w:line="240" w:lineRule="auto"/>
              <w:jc w:val="center"/>
              <w:rPr>
                <w:rFonts w:ascii="Times New Roman" w:hAnsi="Times New Roman"/>
                <w:sz w:val="18"/>
                <w:szCs w:val="18"/>
              </w:rPr>
            </w:pPr>
          </w:p>
        </w:tc>
        <w:tc>
          <w:tcPr>
            <w:tcW w:w="803" w:type="dxa"/>
            <w:shd w:val="clear" w:color="000000" w:fill="FFFFFF"/>
            <w:vAlign w:val="center"/>
            <w:hideMark/>
          </w:tcPr>
          <w:p w14:paraId="623A896C" w14:textId="77777777" w:rsidR="00A775DB" w:rsidRPr="00B0658A" w:rsidRDefault="00A775DB" w:rsidP="004F1366">
            <w:pPr>
              <w:spacing w:after="0" w:line="240" w:lineRule="auto"/>
              <w:jc w:val="center"/>
              <w:rPr>
                <w:rFonts w:ascii="Times New Roman" w:hAnsi="Times New Roman"/>
                <w:sz w:val="18"/>
                <w:szCs w:val="18"/>
              </w:rPr>
            </w:pPr>
          </w:p>
        </w:tc>
        <w:tc>
          <w:tcPr>
            <w:tcW w:w="804" w:type="dxa"/>
            <w:shd w:val="clear" w:color="000000" w:fill="FFFFFF"/>
            <w:vAlign w:val="center"/>
            <w:hideMark/>
          </w:tcPr>
          <w:p w14:paraId="7AB6D1F7" w14:textId="77777777" w:rsidR="00A775DB" w:rsidRPr="00B0658A" w:rsidRDefault="00A775DB" w:rsidP="004F1366">
            <w:pPr>
              <w:spacing w:after="0" w:line="240" w:lineRule="auto"/>
              <w:jc w:val="center"/>
              <w:rPr>
                <w:rFonts w:ascii="Times New Roman" w:hAnsi="Times New Roman"/>
                <w:sz w:val="18"/>
                <w:szCs w:val="18"/>
              </w:rPr>
            </w:pPr>
          </w:p>
        </w:tc>
        <w:tc>
          <w:tcPr>
            <w:tcW w:w="1530" w:type="dxa"/>
            <w:shd w:val="clear" w:color="000000" w:fill="FFFFFF"/>
            <w:vAlign w:val="center"/>
          </w:tcPr>
          <w:p w14:paraId="52A1F9D9" w14:textId="77777777" w:rsidR="00A775DB" w:rsidRPr="00B0658A" w:rsidRDefault="00A775DB" w:rsidP="004F1366">
            <w:pPr>
              <w:spacing w:after="0" w:line="240" w:lineRule="auto"/>
              <w:jc w:val="center"/>
              <w:rPr>
                <w:rFonts w:ascii="Times New Roman" w:hAnsi="Times New Roman"/>
                <w:sz w:val="18"/>
                <w:szCs w:val="18"/>
              </w:rPr>
            </w:pPr>
          </w:p>
        </w:tc>
      </w:tr>
      <w:tr w:rsidR="00F52FED" w:rsidRPr="00B0658A" w14:paraId="42824FBF" w14:textId="77777777" w:rsidTr="004F1366">
        <w:trPr>
          <w:trHeight w:val="20"/>
        </w:trPr>
        <w:tc>
          <w:tcPr>
            <w:tcW w:w="578" w:type="dxa"/>
            <w:shd w:val="clear" w:color="000000" w:fill="FFFFFF"/>
            <w:vAlign w:val="center"/>
          </w:tcPr>
          <w:p w14:paraId="75ED2441" w14:textId="77777777" w:rsidR="00A775DB" w:rsidRPr="00B0658A" w:rsidRDefault="00A775DB" w:rsidP="004F1366">
            <w:pPr>
              <w:spacing w:after="0" w:line="240" w:lineRule="auto"/>
              <w:jc w:val="center"/>
              <w:rPr>
                <w:rFonts w:ascii="Times New Roman" w:hAnsi="Times New Roman"/>
                <w:sz w:val="18"/>
                <w:szCs w:val="18"/>
                <w:lang w:val="en-US"/>
              </w:rPr>
            </w:pPr>
            <w:r w:rsidRPr="00B0658A">
              <w:rPr>
                <w:rFonts w:ascii="Times New Roman" w:hAnsi="Times New Roman"/>
                <w:sz w:val="18"/>
                <w:szCs w:val="18"/>
                <w:lang w:val="en-US"/>
              </w:rPr>
              <w:t>9.9</w:t>
            </w:r>
          </w:p>
        </w:tc>
        <w:tc>
          <w:tcPr>
            <w:tcW w:w="3812" w:type="dxa"/>
            <w:shd w:val="clear" w:color="auto" w:fill="auto"/>
            <w:vAlign w:val="center"/>
            <w:hideMark/>
          </w:tcPr>
          <w:p w14:paraId="2594C42E" w14:textId="77777777" w:rsidR="00A775DB" w:rsidRPr="00B0658A" w:rsidRDefault="00A775DB" w:rsidP="004F1366">
            <w:pPr>
              <w:spacing w:after="0" w:line="240" w:lineRule="auto"/>
              <w:rPr>
                <w:rFonts w:ascii="Times New Roman" w:hAnsi="Times New Roman"/>
                <w:sz w:val="18"/>
                <w:szCs w:val="18"/>
              </w:rPr>
            </w:pPr>
            <w:r w:rsidRPr="00B0658A">
              <w:rPr>
                <w:rFonts w:ascii="Times New Roman" w:hAnsi="Times New Roman"/>
                <w:sz w:val="18"/>
                <w:szCs w:val="18"/>
              </w:rPr>
              <w:t>Средства управления процессами организации/ Средства управления отношениями с клиентами (CRM)</w:t>
            </w:r>
          </w:p>
        </w:tc>
        <w:tc>
          <w:tcPr>
            <w:tcW w:w="1842" w:type="dxa"/>
            <w:shd w:val="clear" w:color="000000" w:fill="FFFFFF"/>
            <w:hideMark/>
          </w:tcPr>
          <w:p w14:paraId="5736E835" w14:textId="77777777" w:rsidR="00A775DB" w:rsidRPr="00B0658A" w:rsidRDefault="00A775DB" w:rsidP="004F1366">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79" w:type="dxa"/>
            <w:shd w:val="clear" w:color="000000" w:fill="FFFFFF"/>
            <w:vAlign w:val="center"/>
          </w:tcPr>
          <w:p w14:paraId="70772EBD"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000000" w:fill="FFFFFF"/>
            <w:vAlign w:val="center"/>
            <w:hideMark/>
          </w:tcPr>
          <w:p w14:paraId="274901AC"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000000" w:fill="FFFFFF"/>
            <w:vAlign w:val="center"/>
            <w:hideMark/>
          </w:tcPr>
          <w:p w14:paraId="36D1E473"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000000" w:fill="FFFFFF"/>
            <w:vAlign w:val="center"/>
            <w:hideMark/>
          </w:tcPr>
          <w:p w14:paraId="2D35D5C3" w14:textId="77777777" w:rsidR="00A775DB" w:rsidRPr="00B0658A" w:rsidRDefault="00A775DB" w:rsidP="004F1366">
            <w:pPr>
              <w:spacing w:after="0" w:line="240" w:lineRule="auto"/>
              <w:jc w:val="center"/>
              <w:rPr>
                <w:rFonts w:ascii="Times New Roman" w:hAnsi="Times New Roman"/>
                <w:sz w:val="18"/>
                <w:szCs w:val="18"/>
              </w:rPr>
            </w:pPr>
          </w:p>
        </w:tc>
        <w:tc>
          <w:tcPr>
            <w:tcW w:w="992" w:type="dxa"/>
            <w:shd w:val="clear" w:color="000000" w:fill="FFFFFF"/>
            <w:vAlign w:val="center"/>
          </w:tcPr>
          <w:p w14:paraId="05566658" w14:textId="77777777" w:rsidR="00A775DB" w:rsidRPr="00B0658A" w:rsidRDefault="00A775DB" w:rsidP="004F1366">
            <w:pPr>
              <w:spacing w:after="0" w:line="240" w:lineRule="auto"/>
              <w:jc w:val="center"/>
              <w:rPr>
                <w:rFonts w:ascii="Times New Roman" w:hAnsi="Times New Roman"/>
                <w:sz w:val="18"/>
                <w:szCs w:val="18"/>
              </w:rPr>
            </w:pPr>
          </w:p>
        </w:tc>
        <w:tc>
          <w:tcPr>
            <w:tcW w:w="803" w:type="dxa"/>
            <w:shd w:val="clear" w:color="000000" w:fill="FFFFFF"/>
            <w:vAlign w:val="center"/>
            <w:hideMark/>
          </w:tcPr>
          <w:p w14:paraId="5EA102E7" w14:textId="77777777" w:rsidR="00A775DB" w:rsidRPr="00B0658A" w:rsidRDefault="00A775DB" w:rsidP="004F1366">
            <w:pPr>
              <w:spacing w:after="0" w:line="240" w:lineRule="auto"/>
              <w:jc w:val="center"/>
              <w:rPr>
                <w:rFonts w:ascii="Times New Roman" w:hAnsi="Times New Roman"/>
                <w:sz w:val="18"/>
                <w:szCs w:val="18"/>
              </w:rPr>
            </w:pPr>
          </w:p>
        </w:tc>
        <w:tc>
          <w:tcPr>
            <w:tcW w:w="803" w:type="dxa"/>
            <w:shd w:val="clear" w:color="000000" w:fill="FFFFFF"/>
            <w:vAlign w:val="center"/>
            <w:hideMark/>
          </w:tcPr>
          <w:p w14:paraId="61F935F4" w14:textId="77777777" w:rsidR="00A775DB" w:rsidRPr="00B0658A" w:rsidRDefault="00A775DB" w:rsidP="004F1366">
            <w:pPr>
              <w:spacing w:after="0" w:line="240" w:lineRule="auto"/>
              <w:jc w:val="center"/>
              <w:rPr>
                <w:rFonts w:ascii="Times New Roman" w:hAnsi="Times New Roman"/>
                <w:sz w:val="18"/>
                <w:szCs w:val="18"/>
              </w:rPr>
            </w:pPr>
          </w:p>
        </w:tc>
        <w:tc>
          <w:tcPr>
            <w:tcW w:w="804" w:type="dxa"/>
            <w:shd w:val="clear" w:color="000000" w:fill="FFFFFF"/>
            <w:vAlign w:val="center"/>
            <w:hideMark/>
          </w:tcPr>
          <w:p w14:paraId="3097A9E8" w14:textId="77777777" w:rsidR="00A775DB" w:rsidRPr="00B0658A" w:rsidRDefault="00A775DB" w:rsidP="004F1366">
            <w:pPr>
              <w:spacing w:after="0" w:line="240" w:lineRule="auto"/>
              <w:jc w:val="center"/>
              <w:rPr>
                <w:rFonts w:ascii="Times New Roman" w:hAnsi="Times New Roman"/>
                <w:sz w:val="18"/>
                <w:szCs w:val="18"/>
              </w:rPr>
            </w:pPr>
          </w:p>
        </w:tc>
        <w:tc>
          <w:tcPr>
            <w:tcW w:w="1530" w:type="dxa"/>
            <w:shd w:val="clear" w:color="000000" w:fill="FFFFFF"/>
            <w:vAlign w:val="center"/>
          </w:tcPr>
          <w:p w14:paraId="455E0212" w14:textId="77777777" w:rsidR="00A775DB" w:rsidRPr="00B0658A" w:rsidRDefault="00A775DB" w:rsidP="004F1366">
            <w:pPr>
              <w:spacing w:after="0" w:line="240" w:lineRule="auto"/>
              <w:jc w:val="center"/>
              <w:rPr>
                <w:rFonts w:ascii="Times New Roman" w:hAnsi="Times New Roman"/>
                <w:sz w:val="18"/>
                <w:szCs w:val="18"/>
              </w:rPr>
            </w:pPr>
          </w:p>
        </w:tc>
      </w:tr>
      <w:tr w:rsidR="00F52FED" w:rsidRPr="00B0658A" w14:paraId="384172FB" w14:textId="77777777" w:rsidTr="004F1366">
        <w:trPr>
          <w:trHeight w:val="20"/>
        </w:trPr>
        <w:tc>
          <w:tcPr>
            <w:tcW w:w="578" w:type="dxa"/>
            <w:shd w:val="clear" w:color="000000" w:fill="FFFFFF"/>
            <w:vAlign w:val="center"/>
          </w:tcPr>
          <w:p w14:paraId="1C3A18BF" w14:textId="77777777" w:rsidR="00A775DB" w:rsidRPr="00B0658A" w:rsidRDefault="00A775DB" w:rsidP="004F1366">
            <w:pPr>
              <w:spacing w:after="0" w:line="240" w:lineRule="auto"/>
              <w:jc w:val="center"/>
              <w:rPr>
                <w:rFonts w:ascii="Times New Roman" w:hAnsi="Times New Roman"/>
                <w:sz w:val="18"/>
                <w:szCs w:val="18"/>
                <w:lang w:val="en-US"/>
              </w:rPr>
            </w:pPr>
            <w:r w:rsidRPr="00B0658A">
              <w:rPr>
                <w:rFonts w:ascii="Times New Roman" w:hAnsi="Times New Roman"/>
                <w:sz w:val="18"/>
                <w:szCs w:val="18"/>
                <w:lang w:val="en-US"/>
              </w:rPr>
              <w:t>9.10</w:t>
            </w:r>
          </w:p>
        </w:tc>
        <w:tc>
          <w:tcPr>
            <w:tcW w:w="3812" w:type="dxa"/>
            <w:shd w:val="clear" w:color="auto" w:fill="auto"/>
            <w:vAlign w:val="center"/>
            <w:hideMark/>
          </w:tcPr>
          <w:p w14:paraId="7BD4205D" w14:textId="77777777" w:rsidR="00A775DB" w:rsidRPr="00B0658A" w:rsidRDefault="00A775DB" w:rsidP="004F1366">
            <w:pPr>
              <w:spacing w:after="0" w:line="240" w:lineRule="auto"/>
              <w:rPr>
                <w:rFonts w:ascii="Times New Roman" w:hAnsi="Times New Roman"/>
                <w:sz w:val="18"/>
                <w:szCs w:val="18"/>
              </w:rPr>
            </w:pPr>
            <w:r w:rsidRPr="00B0658A">
              <w:rPr>
                <w:rFonts w:ascii="Times New Roman" w:hAnsi="Times New Roman"/>
                <w:sz w:val="18"/>
                <w:szCs w:val="18"/>
              </w:rPr>
              <w:t>Средства управления процессами организации/ Средства управления ИТ-службой, ИТ-инфраструктурой и ИТ-активами (ITSM-ServiceDesk, SCCM, Asset Management)</w:t>
            </w:r>
          </w:p>
        </w:tc>
        <w:tc>
          <w:tcPr>
            <w:tcW w:w="1842" w:type="dxa"/>
            <w:shd w:val="clear" w:color="000000" w:fill="FFFFFF"/>
            <w:hideMark/>
          </w:tcPr>
          <w:p w14:paraId="13EA8CD8" w14:textId="77777777" w:rsidR="00A775DB" w:rsidRPr="00B0658A" w:rsidRDefault="00A775DB" w:rsidP="004F1366">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79" w:type="dxa"/>
            <w:shd w:val="clear" w:color="000000" w:fill="FFFFFF"/>
            <w:vAlign w:val="center"/>
          </w:tcPr>
          <w:p w14:paraId="2829F417"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000000" w:fill="FFFFFF"/>
            <w:vAlign w:val="center"/>
            <w:hideMark/>
          </w:tcPr>
          <w:p w14:paraId="6C85E3FB"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000000" w:fill="FFFFFF"/>
            <w:vAlign w:val="center"/>
            <w:hideMark/>
          </w:tcPr>
          <w:p w14:paraId="6787F4EA"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000000" w:fill="FFFFFF"/>
            <w:vAlign w:val="center"/>
            <w:hideMark/>
          </w:tcPr>
          <w:p w14:paraId="65CBA207" w14:textId="77777777" w:rsidR="00A775DB" w:rsidRPr="00B0658A" w:rsidRDefault="00A775DB" w:rsidP="004F1366">
            <w:pPr>
              <w:spacing w:after="0" w:line="240" w:lineRule="auto"/>
              <w:jc w:val="center"/>
              <w:rPr>
                <w:rFonts w:ascii="Times New Roman" w:hAnsi="Times New Roman"/>
                <w:sz w:val="18"/>
                <w:szCs w:val="18"/>
              </w:rPr>
            </w:pPr>
          </w:p>
        </w:tc>
        <w:tc>
          <w:tcPr>
            <w:tcW w:w="992" w:type="dxa"/>
            <w:shd w:val="clear" w:color="000000" w:fill="FFFFFF"/>
            <w:vAlign w:val="center"/>
          </w:tcPr>
          <w:p w14:paraId="5013CB65" w14:textId="77777777" w:rsidR="00A775DB" w:rsidRPr="00B0658A" w:rsidRDefault="00A775DB" w:rsidP="004F1366">
            <w:pPr>
              <w:spacing w:after="0" w:line="240" w:lineRule="auto"/>
              <w:jc w:val="center"/>
              <w:rPr>
                <w:rFonts w:ascii="Times New Roman" w:hAnsi="Times New Roman"/>
                <w:sz w:val="18"/>
                <w:szCs w:val="18"/>
              </w:rPr>
            </w:pPr>
          </w:p>
        </w:tc>
        <w:tc>
          <w:tcPr>
            <w:tcW w:w="803" w:type="dxa"/>
            <w:shd w:val="clear" w:color="000000" w:fill="FFFFFF"/>
            <w:vAlign w:val="center"/>
            <w:hideMark/>
          </w:tcPr>
          <w:p w14:paraId="226ECE44" w14:textId="77777777" w:rsidR="00A775DB" w:rsidRPr="00B0658A" w:rsidRDefault="00A775DB" w:rsidP="004F1366">
            <w:pPr>
              <w:spacing w:after="0" w:line="240" w:lineRule="auto"/>
              <w:jc w:val="center"/>
              <w:rPr>
                <w:rFonts w:ascii="Times New Roman" w:hAnsi="Times New Roman"/>
                <w:sz w:val="18"/>
                <w:szCs w:val="18"/>
              </w:rPr>
            </w:pPr>
          </w:p>
        </w:tc>
        <w:tc>
          <w:tcPr>
            <w:tcW w:w="803" w:type="dxa"/>
            <w:shd w:val="clear" w:color="000000" w:fill="FFFFFF"/>
            <w:vAlign w:val="center"/>
            <w:hideMark/>
          </w:tcPr>
          <w:p w14:paraId="0FEBC1C0" w14:textId="77777777" w:rsidR="00A775DB" w:rsidRPr="00B0658A" w:rsidRDefault="00A775DB" w:rsidP="004F1366">
            <w:pPr>
              <w:spacing w:after="0" w:line="240" w:lineRule="auto"/>
              <w:jc w:val="center"/>
              <w:rPr>
                <w:rFonts w:ascii="Times New Roman" w:hAnsi="Times New Roman"/>
                <w:sz w:val="18"/>
                <w:szCs w:val="18"/>
              </w:rPr>
            </w:pPr>
          </w:p>
        </w:tc>
        <w:tc>
          <w:tcPr>
            <w:tcW w:w="804" w:type="dxa"/>
            <w:shd w:val="clear" w:color="000000" w:fill="FFFFFF"/>
            <w:vAlign w:val="center"/>
            <w:hideMark/>
          </w:tcPr>
          <w:p w14:paraId="62749B52" w14:textId="77777777" w:rsidR="00A775DB" w:rsidRPr="00B0658A" w:rsidRDefault="00A775DB" w:rsidP="004F1366">
            <w:pPr>
              <w:spacing w:after="0" w:line="240" w:lineRule="auto"/>
              <w:jc w:val="center"/>
              <w:rPr>
                <w:rFonts w:ascii="Times New Roman" w:hAnsi="Times New Roman"/>
                <w:sz w:val="18"/>
                <w:szCs w:val="18"/>
              </w:rPr>
            </w:pPr>
          </w:p>
        </w:tc>
        <w:tc>
          <w:tcPr>
            <w:tcW w:w="1530" w:type="dxa"/>
            <w:shd w:val="clear" w:color="000000" w:fill="FFFFFF"/>
            <w:vAlign w:val="center"/>
          </w:tcPr>
          <w:p w14:paraId="2E7777F3" w14:textId="77777777" w:rsidR="00A775DB" w:rsidRPr="00B0658A" w:rsidRDefault="00A775DB" w:rsidP="004F1366">
            <w:pPr>
              <w:spacing w:after="0" w:line="240" w:lineRule="auto"/>
              <w:jc w:val="center"/>
              <w:rPr>
                <w:rFonts w:ascii="Times New Roman" w:hAnsi="Times New Roman"/>
                <w:sz w:val="18"/>
                <w:szCs w:val="18"/>
              </w:rPr>
            </w:pPr>
          </w:p>
        </w:tc>
      </w:tr>
      <w:tr w:rsidR="00F52FED" w:rsidRPr="00B0658A" w14:paraId="4B2681E9" w14:textId="77777777" w:rsidTr="004F1366">
        <w:trPr>
          <w:trHeight w:val="20"/>
        </w:trPr>
        <w:tc>
          <w:tcPr>
            <w:tcW w:w="578" w:type="dxa"/>
            <w:shd w:val="clear" w:color="000000" w:fill="FFFFFF"/>
            <w:vAlign w:val="center"/>
          </w:tcPr>
          <w:p w14:paraId="41E4C885" w14:textId="77777777" w:rsidR="00A775DB" w:rsidRPr="00B0658A" w:rsidRDefault="00A775DB" w:rsidP="004F1366">
            <w:pPr>
              <w:spacing w:after="0" w:line="240" w:lineRule="auto"/>
              <w:jc w:val="center"/>
              <w:rPr>
                <w:rFonts w:ascii="Times New Roman" w:hAnsi="Times New Roman"/>
                <w:sz w:val="18"/>
                <w:szCs w:val="18"/>
                <w:lang w:val="en-US"/>
              </w:rPr>
            </w:pPr>
            <w:r w:rsidRPr="00B0658A">
              <w:rPr>
                <w:rFonts w:ascii="Times New Roman" w:hAnsi="Times New Roman"/>
                <w:sz w:val="18"/>
                <w:szCs w:val="18"/>
                <w:lang w:val="en-US"/>
              </w:rPr>
              <w:t>9.11</w:t>
            </w:r>
          </w:p>
        </w:tc>
        <w:tc>
          <w:tcPr>
            <w:tcW w:w="3812" w:type="dxa"/>
            <w:shd w:val="clear" w:color="auto" w:fill="auto"/>
            <w:vAlign w:val="center"/>
            <w:hideMark/>
          </w:tcPr>
          <w:p w14:paraId="00ED7F25" w14:textId="77777777" w:rsidR="00A775DB" w:rsidRPr="00B0658A" w:rsidRDefault="00A775DB" w:rsidP="004F1366">
            <w:pPr>
              <w:suppressAutoHyphens/>
              <w:spacing w:after="0" w:line="240" w:lineRule="auto"/>
              <w:rPr>
                <w:rFonts w:ascii="Times New Roman" w:hAnsi="Times New Roman"/>
                <w:sz w:val="18"/>
                <w:szCs w:val="18"/>
              </w:rPr>
            </w:pPr>
            <w:r w:rsidRPr="00B0658A">
              <w:rPr>
                <w:rFonts w:ascii="Times New Roman" w:hAnsi="Times New Roman"/>
                <w:sz w:val="18"/>
                <w:szCs w:val="18"/>
              </w:rPr>
              <w:t xml:space="preserve">Средства управления процессами организации/ Средства управления содержимым (CMS), сайты </w:t>
            </w:r>
          </w:p>
          <w:p w14:paraId="32336657" w14:textId="77777777" w:rsidR="00A775DB" w:rsidRPr="00B0658A" w:rsidRDefault="00A775DB" w:rsidP="004F1366">
            <w:pPr>
              <w:spacing w:after="0" w:line="240" w:lineRule="auto"/>
              <w:rPr>
                <w:rFonts w:ascii="Times New Roman" w:hAnsi="Times New Roman"/>
                <w:sz w:val="18"/>
                <w:szCs w:val="18"/>
              </w:rPr>
            </w:pPr>
            <w:r w:rsidRPr="00B0658A">
              <w:rPr>
                <w:rFonts w:ascii="Times New Roman" w:hAnsi="Times New Roman"/>
                <w:sz w:val="18"/>
                <w:szCs w:val="18"/>
              </w:rPr>
              <w:t>и портальные решения</w:t>
            </w:r>
          </w:p>
        </w:tc>
        <w:tc>
          <w:tcPr>
            <w:tcW w:w="1842" w:type="dxa"/>
            <w:shd w:val="clear" w:color="000000" w:fill="FFFFFF"/>
            <w:hideMark/>
          </w:tcPr>
          <w:p w14:paraId="78E9DE69" w14:textId="77777777" w:rsidR="00A775DB" w:rsidRPr="00B0658A" w:rsidRDefault="00A775DB" w:rsidP="004F1366">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79" w:type="dxa"/>
            <w:shd w:val="clear" w:color="000000" w:fill="FFFFFF"/>
            <w:vAlign w:val="center"/>
          </w:tcPr>
          <w:p w14:paraId="3F066070"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000000" w:fill="FFFFFF"/>
            <w:vAlign w:val="center"/>
            <w:hideMark/>
          </w:tcPr>
          <w:p w14:paraId="72AE7556"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000000" w:fill="FFFFFF"/>
            <w:vAlign w:val="center"/>
            <w:hideMark/>
          </w:tcPr>
          <w:p w14:paraId="29D85D7A"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000000" w:fill="FFFFFF"/>
            <w:vAlign w:val="center"/>
            <w:hideMark/>
          </w:tcPr>
          <w:p w14:paraId="6C86E743" w14:textId="77777777" w:rsidR="00A775DB" w:rsidRPr="00B0658A" w:rsidRDefault="00A775DB" w:rsidP="004F1366">
            <w:pPr>
              <w:spacing w:after="0" w:line="240" w:lineRule="auto"/>
              <w:jc w:val="center"/>
              <w:rPr>
                <w:rFonts w:ascii="Times New Roman" w:hAnsi="Times New Roman"/>
                <w:sz w:val="18"/>
                <w:szCs w:val="18"/>
              </w:rPr>
            </w:pPr>
          </w:p>
        </w:tc>
        <w:tc>
          <w:tcPr>
            <w:tcW w:w="992" w:type="dxa"/>
            <w:shd w:val="clear" w:color="000000" w:fill="FFFFFF"/>
            <w:vAlign w:val="center"/>
          </w:tcPr>
          <w:p w14:paraId="0E62DC4B" w14:textId="77777777" w:rsidR="00A775DB" w:rsidRPr="00B0658A" w:rsidRDefault="00A775DB" w:rsidP="004F1366">
            <w:pPr>
              <w:spacing w:after="0" w:line="240" w:lineRule="auto"/>
              <w:jc w:val="center"/>
              <w:rPr>
                <w:rFonts w:ascii="Times New Roman" w:hAnsi="Times New Roman"/>
                <w:sz w:val="18"/>
                <w:szCs w:val="18"/>
              </w:rPr>
            </w:pPr>
          </w:p>
        </w:tc>
        <w:tc>
          <w:tcPr>
            <w:tcW w:w="803" w:type="dxa"/>
            <w:shd w:val="clear" w:color="000000" w:fill="FFFFFF"/>
            <w:vAlign w:val="center"/>
            <w:hideMark/>
          </w:tcPr>
          <w:p w14:paraId="01A9F2E8" w14:textId="77777777" w:rsidR="00A775DB" w:rsidRPr="00B0658A" w:rsidRDefault="00A775DB" w:rsidP="004F1366">
            <w:pPr>
              <w:spacing w:after="0" w:line="240" w:lineRule="auto"/>
              <w:jc w:val="center"/>
              <w:rPr>
                <w:rFonts w:ascii="Times New Roman" w:hAnsi="Times New Roman"/>
                <w:sz w:val="18"/>
                <w:szCs w:val="18"/>
              </w:rPr>
            </w:pPr>
          </w:p>
        </w:tc>
        <w:tc>
          <w:tcPr>
            <w:tcW w:w="803" w:type="dxa"/>
            <w:shd w:val="clear" w:color="000000" w:fill="FFFFFF"/>
            <w:vAlign w:val="center"/>
            <w:hideMark/>
          </w:tcPr>
          <w:p w14:paraId="6FD85099" w14:textId="77777777" w:rsidR="00A775DB" w:rsidRPr="00B0658A" w:rsidRDefault="00A775DB" w:rsidP="004F1366">
            <w:pPr>
              <w:spacing w:after="0" w:line="240" w:lineRule="auto"/>
              <w:jc w:val="center"/>
              <w:rPr>
                <w:rFonts w:ascii="Times New Roman" w:hAnsi="Times New Roman"/>
                <w:sz w:val="18"/>
                <w:szCs w:val="18"/>
              </w:rPr>
            </w:pPr>
          </w:p>
        </w:tc>
        <w:tc>
          <w:tcPr>
            <w:tcW w:w="804" w:type="dxa"/>
            <w:shd w:val="clear" w:color="000000" w:fill="FFFFFF"/>
            <w:vAlign w:val="center"/>
            <w:hideMark/>
          </w:tcPr>
          <w:p w14:paraId="5898DEC4" w14:textId="77777777" w:rsidR="00A775DB" w:rsidRPr="00B0658A" w:rsidRDefault="00A775DB" w:rsidP="004F1366">
            <w:pPr>
              <w:spacing w:after="0" w:line="240" w:lineRule="auto"/>
              <w:jc w:val="center"/>
              <w:rPr>
                <w:rFonts w:ascii="Times New Roman" w:hAnsi="Times New Roman"/>
                <w:sz w:val="18"/>
                <w:szCs w:val="18"/>
              </w:rPr>
            </w:pPr>
          </w:p>
        </w:tc>
        <w:tc>
          <w:tcPr>
            <w:tcW w:w="1530" w:type="dxa"/>
            <w:shd w:val="clear" w:color="000000" w:fill="FFFFFF"/>
            <w:vAlign w:val="center"/>
          </w:tcPr>
          <w:p w14:paraId="7BA6DAD8" w14:textId="77777777" w:rsidR="00A775DB" w:rsidRPr="00B0658A" w:rsidRDefault="00A775DB" w:rsidP="004F1366">
            <w:pPr>
              <w:spacing w:after="0" w:line="240" w:lineRule="auto"/>
              <w:jc w:val="center"/>
              <w:rPr>
                <w:rFonts w:ascii="Times New Roman" w:hAnsi="Times New Roman"/>
                <w:sz w:val="18"/>
                <w:szCs w:val="18"/>
              </w:rPr>
            </w:pPr>
          </w:p>
        </w:tc>
      </w:tr>
      <w:tr w:rsidR="00F52FED" w:rsidRPr="00B0658A" w14:paraId="2CE92241" w14:textId="77777777" w:rsidTr="004F1366">
        <w:trPr>
          <w:trHeight w:val="20"/>
        </w:trPr>
        <w:tc>
          <w:tcPr>
            <w:tcW w:w="578" w:type="dxa"/>
            <w:shd w:val="clear" w:color="000000" w:fill="FFFFFF"/>
            <w:vAlign w:val="center"/>
          </w:tcPr>
          <w:p w14:paraId="1F52A1C9" w14:textId="77777777" w:rsidR="00A775DB" w:rsidRPr="00B0658A" w:rsidRDefault="00A775DB" w:rsidP="004F1366">
            <w:pPr>
              <w:spacing w:after="0" w:line="240" w:lineRule="auto"/>
              <w:jc w:val="center"/>
              <w:rPr>
                <w:rFonts w:ascii="Times New Roman" w:hAnsi="Times New Roman"/>
                <w:sz w:val="18"/>
                <w:szCs w:val="18"/>
                <w:lang w:val="en-US"/>
              </w:rPr>
            </w:pPr>
            <w:r w:rsidRPr="00B0658A">
              <w:rPr>
                <w:rFonts w:ascii="Times New Roman" w:hAnsi="Times New Roman"/>
                <w:sz w:val="18"/>
                <w:szCs w:val="18"/>
                <w:lang w:val="en-US"/>
              </w:rPr>
              <w:t>9.12</w:t>
            </w:r>
          </w:p>
        </w:tc>
        <w:tc>
          <w:tcPr>
            <w:tcW w:w="3812" w:type="dxa"/>
            <w:shd w:val="clear" w:color="auto" w:fill="auto"/>
            <w:vAlign w:val="center"/>
            <w:hideMark/>
          </w:tcPr>
          <w:p w14:paraId="40156334" w14:textId="77777777" w:rsidR="00A775DB" w:rsidRPr="00B0658A" w:rsidRDefault="00A775DB" w:rsidP="004F1366">
            <w:pPr>
              <w:spacing w:after="0" w:line="240" w:lineRule="auto"/>
              <w:rPr>
                <w:rFonts w:ascii="Times New Roman" w:hAnsi="Times New Roman"/>
                <w:sz w:val="18"/>
                <w:szCs w:val="18"/>
              </w:rPr>
            </w:pPr>
            <w:r w:rsidRPr="00B0658A">
              <w:rPr>
                <w:rFonts w:ascii="Times New Roman" w:hAnsi="Times New Roman"/>
                <w:sz w:val="18"/>
                <w:szCs w:val="18"/>
              </w:rPr>
              <w:t>Средства управления процессами организации/ Средства электронной коммерции (e-commerce platform)</w:t>
            </w:r>
          </w:p>
        </w:tc>
        <w:tc>
          <w:tcPr>
            <w:tcW w:w="1842" w:type="dxa"/>
            <w:shd w:val="clear" w:color="000000" w:fill="FFFFFF"/>
            <w:hideMark/>
          </w:tcPr>
          <w:p w14:paraId="0F8B8ACD" w14:textId="77777777" w:rsidR="00A775DB" w:rsidRPr="00B0658A" w:rsidRDefault="00A775DB" w:rsidP="004F1366">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79" w:type="dxa"/>
            <w:shd w:val="clear" w:color="000000" w:fill="FFFFFF"/>
            <w:vAlign w:val="center"/>
          </w:tcPr>
          <w:p w14:paraId="775883D4"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000000" w:fill="FFFFFF"/>
            <w:vAlign w:val="center"/>
            <w:hideMark/>
          </w:tcPr>
          <w:p w14:paraId="19C66669"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000000" w:fill="FFFFFF"/>
            <w:vAlign w:val="center"/>
            <w:hideMark/>
          </w:tcPr>
          <w:p w14:paraId="6B539080"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000000" w:fill="FFFFFF"/>
            <w:vAlign w:val="center"/>
            <w:hideMark/>
          </w:tcPr>
          <w:p w14:paraId="7FDB6DD7" w14:textId="77777777" w:rsidR="00A775DB" w:rsidRPr="00B0658A" w:rsidRDefault="00A775DB" w:rsidP="004F1366">
            <w:pPr>
              <w:spacing w:after="0" w:line="240" w:lineRule="auto"/>
              <w:jc w:val="center"/>
              <w:rPr>
                <w:rFonts w:ascii="Times New Roman" w:hAnsi="Times New Roman"/>
                <w:sz w:val="18"/>
                <w:szCs w:val="18"/>
              </w:rPr>
            </w:pPr>
          </w:p>
        </w:tc>
        <w:tc>
          <w:tcPr>
            <w:tcW w:w="992" w:type="dxa"/>
            <w:shd w:val="clear" w:color="000000" w:fill="FFFFFF"/>
            <w:vAlign w:val="center"/>
          </w:tcPr>
          <w:p w14:paraId="2011CE50" w14:textId="77777777" w:rsidR="00A775DB" w:rsidRPr="00B0658A" w:rsidRDefault="00A775DB" w:rsidP="004F1366">
            <w:pPr>
              <w:spacing w:after="0" w:line="240" w:lineRule="auto"/>
              <w:jc w:val="center"/>
              <w:rPr>
                <w:rFonts w:ascii="Times New Roman" w:hAnsi="Times New Roman"/>
                <w:sz w:val="18"/>
                <w:szCs w:val="18"/>
              </w:rPr>
            </w:pPr>
          </w:p>
        </w:tc>
        <w:tc>
          <w:tcPr>
            <w:tcW w:w="803" w:type="dxa"/>
            <w:shd w:val="clear" w:color="000000" w:fill="FFFFFF"/>
            <w:vAlign w:val="center"/>
            <w:hideMark/>
          </w:tcPr>
          <w:p w14:paraId="66249A9E" w14:textId="77777777" w:rsidR="00A775DB" w:rsidRPr="00B0658A" w:rsidRDefault="00A775DB" w:rsidP="004F1366">
            <w:pPr>
              <w:spacing w:after="0" w:line="240" w:lineRule="auto"/>
              <w:jc w:val="center"/>
              <w:rPr>
                <w:rFonts w:ascii="Times New Roman" w:hAnsi="Times New Roman"/>
                <w:sz w:val="18"/>
                <w:szCs w:val="18"/>
              </w:rPr>
            </w:pPr>
          </w:p>
        </w:tc>
        <w:tc>
          <w:tcPr>
            <w:tcW w:w="803" w:type="dxa"/>
            <w:shd w:val="clear" w:color="000000" w:fill="FFFFFF"/>
            <w:vAlign w:val="center"/>
            <w:hideMark/>
          </w:tcPr>
          <w:p w14:paraId="254C8B26" w14:textId="77777777" w:rsidR="00A775DB" w:rsidRPr="00B0658A" w:rsidRDefault="00A775DB" w:rsidP="004F1366">
            <w:pPr>
              <w:spacing w:after="0" w:line="240" w:lineRule="auto"/>
              <w:jc w:val="center"/>
              <w:rPr>
                <w:rFonts w:ascii="Times New Roman" w:hAnsi="Times New Roman"/>
                <w:sz w:val="18"/>
                <w:szCs w:val="18"/>
              </w:rPr>
            </w:pPr>
          </w:p>
        </w:tc>
        <w:tc>
          <w:tcPr>
            <w:tcW w:w="804" w:type="dxa"/>
            <w:shd w:val="clear" w:color="000000" w:fill="FFFFFF"/>
            <w:vAlign w:val="center"/>
            <w:hideMark/>
          </w:tcPr>
          <w:p w14:paraId="0482EBED" w14:textId="77777777" w:rsidR="00A775DB" w:rsidRPr="00B0658A" w:rsidRDefault="00A775DB" w:rsidP="004F1366">
            <w:pPr>
              <w:spacing w:after="0" w:line="240" w:lineRule="auto"/>
              <w:jc w:val="center"/>
              <w:rPr>
                <w:rFonts w:ascii="Times New Roman" w:hAnsi="Times New Roman"/>
                <w:sz w:val="18"/>
                <w:szCs w:val="18"/>
              </w:rPr>
            </w:pPr>
          </w:p>
        </w:tc>
        <w:tc>
          <w:tcPr>
            <w:tcW w:w="1530" w:type="dxa"/>
            <w:shd w:val="clear" w:color="000000" w:fill="FFFFFF"/>
            <w:vAlign w:val="center"/>
          </w:tcPr>
          <w:p w14:paraId="2DA1A2A3" w14:textId="77777777" w:rsidR="00A775DB" w:rsidRPr="00B0658A" w:rsidRDefault="00A775DB" w:rsidP="004F1366">
            <w:pPr>
              <w:spacing w:after="0" w:line="240" w:lineRule="auto"/>
              <w:jc w:val="center"/>
              <w:rPr>
                <w:rFonts w:ascii="Times New Roman" w:hAnsi="Times New Roman"/>
                <w:sz w:val="18"/>
                <w:szCs w:val="18"/>
              </w:rPr>
            </w:pPr>
          </w:p>
        </w:tc>
      </w:tr>
      <w:tr w:rsidR="00F52FED" w:rsidRPr="00B0658A" w14:paraId="604D056D" w14:textId="77777777" w:rsidTr="004F1366">
        <w:trPr>
          <w:trHeight w:val="20"/>
        </w:trPr>
        <w:tc>
          <w:tcPr>
            <w:tcW w:w="578" w:type="dxa"/>
            <w:shd w:val="clear" w:color="000000" w:fill="FFFFFF"/>
            <w:vAlign w:val="center"/>
          </w:tcPr>
          <w:p w14:paraId="06D3E5B1" w14:textId="77777777" w:rsidR="00A775DB" w:rsidRPr="00B0658A" w:rsidRDefault="00A775DB" w:rsidP="004F1366">
            <w:pPr>
              <w:spacing w:after="0" w:line="240" w:lineRule="auto"/>
              <w:jc w:val="center"/>
              <w:rPr>
                <w:rFonts w:ascii="Times New Roman" w:hAnsi="Times New Roman"/>
                <w:sz w:val="18"/>
                <w:szCs w:val="18"/>
                <w:lang w:val="en-US"/>
              </w:rPr>
            </w:pPr>
            <w:r w:rsidRPr="00B0658A">
              <w:rPr>
                <w:rFonts w:ascii="Times New Roman" w:hAnsi="Times New Roman"/>
                <w:sz w:val="18"/>
                <w:szCs w:val="18"/>
                <w:lang w:val="en-US"/>
              </w:rPr>
              <w:t>9.13</w:t>
            </w:r>
          </w:p>
        </w:tc>
        <w:tc>
          <w:tcPr>
            <w:tcW w:w="3812" w:type="dxa"/>
            <w:shd w:val="clear" w:color="auto" w:fill="auto"/>
            <w:vAlign w:val="center"/>
            <w:hideMark/>
          </w:tcPr>
          <w:p w14:paraId="0A1F751F" w14:textId="77777777" w:rsidR="00A775DB" w:rsidRPr="00B0658A" w:rsidRDefault="00A775DB" w:rsidP="004F1366">
            <w:pPr>
              <w:spacing w:after="0" w:line="240" w:lineRule="auto"/>
              <w:rPr>
                <w:rFonts w:ascii="Times New Roman" w:hAnsi="Times New Roman"/>
                <w:sz w:val="18"/>
                <w:szCs w:val="18"/>
              </w:rPr>
            </w:pPr>
            <w:r w:rsidRPr="00B0658A">
              <w:rPr>
                <w:rFonts w:ascii="Times New Roman" w:hAnsi="Times New Roman"/>
                <w:sz w:val="18"/>
                <w:szCs w:val="18"/>
              </w:rPr>
              <w:t>Средства управления процессами организации/ Средства управления складом и цепочками поставок (WMS, SCM)</w:t>
            </w:r>
          </w:p>
        </w:tc>
        <w:tc>
          <w:tcPr>
            <w:tcW w:w="1842" w:type="dxa"/>
            <w:shd w:val="clear" w:color="000000" w:fill="FFFFFF"/>
            <w:hideMark/>
          </w:tcPr>
          <w:p w14:paraId="73DCD41D" w14:textId="77777777" w:rsidR="00A775DB" w:rsidRPr="00B0658A" w:rsidRDefault="00A775DB" w:rsidP="004F1366">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79" w:type="dxa"/>
            <w:shd w:val="clear" w:color="000000" w:fill="FFFFFF"/>
            <w:vAlign w:val="center"/>
          </w:tcPr>
          <w:p w14:paraId="79C26307"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000000" w:fill="FFFFFF"/>
            <w:vAlign w:val="center"/>
            <w:hideMark/>
          </w:tcPr>
          <w:p w14:paraId="315E058B"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000000" w:fill="FFFFFF"/>
            <w:vAlign w:val="center"/>
            <w:hideMark/>
          </w:tcPr>
          <w:p w14:paraId="7F078507"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000000" w:fill="FFFFFF"/>
            <w:vAlign w:val="center"/>
            <w:hideMark/>
          </w:tcPr>
          <w:p w14:paraId="5E874E15" w14:textId="77777777" w:rsidR="00A775DB" w:rsidRPr="00B0658A" w:rsidRDefault="00A775DB" w:rsidP="004F1366">
            <w:pPr>
              <w:spacing w:after="0" w:line="240" w:lineRule="auto"/>
              <w:jc w:val="center"/>
              <w:rPr>
                <w:rFonts w:ascii="Times New Roman" w:hAnsi="Times New Roman"/>
                <w:sz w:val="18"/>
                <w:szCs w:val="18"/>
              </w:rPr>
            </w:pPr>
          </w:p>
        </w:tc>
        <w:tc>
          <w:tcPr>
            <w:tcW w:w="992" w:type="dxa"/>
            <w:shd w:val="clear" w:color="000000" w:fill="FFFFFF"/>
            <w:vAlign w:val="center"/>
          </w:tcPr>
          <w:p w14:paraId="07CB753E" w14:textId="77777777" w:rsidR="00A775DB" w:rsidRPr="00B0658A" w:rsidRDefault="00A775DB" w:rsidP="004F1366">
            <w:pPr>
              <w:spacing w:after="0" w:line="240" w:lineRule="auto"/>
              <w:jc w:val="center"/>
              <w:rPr>
                <w:rFonts w:ascii="Times New Roman" w:hAnsi="Times New Roman"/>
                <w:sz w:val="18"/>
                <w:szCs w:val="18"/>
              </w:rPr>
            </w:pPr>
          </w:p>
        </w:tc>
        <w:tc>
          <w:tcPr>
            <w:tcW w:w="803" w:type="dxa"/>
            <w:shd w:val="clear" w:color="000000" w:fill="FFFFFF"/>
            <w:vAlign w:val="center"/>
            <w:hideMark/>
          </w:tcPr>
          <w:p w14:paraId="235D776F" w14:textId="77777777" w:rsidR="00A775DB" w:rsidRPr="00B0658A" w:rsidRDefault="00A775DB" w:rsidP="004F1366">
            <w:pPr>
              <w:spacing w:after="0" w:line="240" w:lineRule="auto"/>
              <w:jc w:val="center"/>
              <w:rPr>
                <w:rFonts w:ascii="Times New Roman" w:hAnsi="Times New Roman"/>
                <w:sz w:val="18"/>
                <w:szCs w:val="18"/>
              </w:rPr>
            </w:pPr>
          </w:p>
        </w:tc>
        <w:tc>
          <w:tcPr>
            <w:tcW w:w="803" w:type="dxa"/>
            <w:shd w:val="clear" w:color="000000" w:fill="FFFFFF"/>
            <w:vAlign w:val="center"/>
            <w:hideMark/>
          </w:tcPr>
          <w:p w14:paraId="53BBA1BC" w14:textId="77777777" w:rsidR="00A775DB" w:rsidRPr="00B0658A" w:rsidRDefault="00A775DB" w:rsidP="004F1366">
            <w:pPr>
              <w:spacing w:after="0" w:line="240" w:lineRule="auto"/>
              <w:jc w:val="center"/>
              <w:rPr>
                <w:rFonts w:ascii="Times New Roman" w:hAnsi="Times New Roman"/>
                <w:sz w:val="18"/>
                <w:szCs w:val="18"/>
              </w:rPr>
            </w:pPr>
          </w:p>
        </w:tc>
        <w:tc>
          <w:tcPr>
            <w:tcW w:w="804" w:type="dxa"/>
            <w:shd w:val="clear" w:color="000000" w:fill="FFFFFF"/>
            <w:vAlign w:val="center"/>
            <w:hideMark/>
          </w:tcPr>
          <w:p w14:paraId="60387CEA" w14:textId="77777777" w:rsidR="00A775DB" w:rsidRPr="00B0658A" w:rsidRDefault="00A775DB" w:rsidP="004F1366">
            <w:pPr>
              <w:spacing w:after="0" w:line="240" w:lineRule="auto"/>
              <w:jc w:val="center"/>
              <w:rPr>
                <w:rFonts w:ascii="Times New Roman" w:hAnsi="Times New Roman"/>
                <w:sz w:val="18"/>
                <w:szCs w:val="18"/>
              </w:rPr>
            </w:pPr>
          </w:p>
        </w:tc>
        <w:tc>
          <w:tcPr>
            <w:tcW w:w="1530" w:type="dxa"/>
            <w:shd w:val="clear" w:color="000000" w:fill="FFFFFF"/>
            <w:vAlign w:val="center"/>
          </w:tcPr>
          <w:p w14:paraId="721D121E" w14:textId="77777777" w:rsidR="00A775DB" w:rsidRPr="00B0658A" w:rsidRDefault="00A775DB" w:rsidP="004F1366">
            <w:pPr>
              <w:spacing w:after="0" w:line="240" w:lineRule="auto"/>
              <w:jc w:val="center"/>
              <w:rPr>
                <w:rFonts w:ascii="Times New Roman" w:hAnsi="Times New Roman"/>
                <w:sz w:val="18"/>
                <w:szCs w:val="18"/>
              </w:rPr>
            </w:pPr>
          </w:p>
        </w:tc>
      </w:tr>
      <w:tr w:rsidR="00F52FED" w:rsidRPr="00B0658A" w14:paraId="5849F146" w14:textId="77777777" w:rsidTr="004F1366">
        <w:trPr>
          <w:trHeight w:val="20"/>
        </w:trPr>
        <w:tc>
          <w:tcPr>
            <w:tcW w:w="578" w:type="dxa"/>
            <w:shd w:val="clear" w:color="000000" w:fill="FFFFFF"/>
            <w:vAlign w:val="center"/>
          </w:tcPr>
          <w:p w14:paraId="05D6229C" w14:textId="77777777" w:rsidR="00A775DB" w:rsidRPr="00B0658A" w:rsidRDefault="00A775DB" w:rsidP="004F1366">
            <w:pPr>
              <w:spacing w:after="0" w:line="240" w:lineRule="auto"/>
              <w:jc w:val="center"/>
              <w:rPr>
                <w:rFonts w:ascii="Times New Roman" w:hAnsi="Times New Roman"/>
                <w:sz w:val="18"/>
                <w:szCs w:val="18"/>
                <w:lang w:val="en-US"/>
              </w:rPr>
            </w:pPr>
            <w:r w:rsidRPr="00B0658A">
              <w:rPr>
                <w:rFonts w:ascii="Times New Roman" w:hAnsi="Times New Roman"/>
                <w:sz w:val="18"/>
                <w:szCs w:val="18"/>
                <w:lang w:val="en-US"/>
              </w:rPr>
              <w:t>9.14</w:t>
            </w:r>
          </w:p>
        </w:tc>
        <w:tc>
          <w:tcPr>
            <w:tcW w:w="3812" w:type="dxa"/>
            <w:shd w:val="clear" w:color="auto" w:fill="auto"/>
            <w:vAlign w:val="center"/>
            <w:hideMark/>
          </w:tcPr>
          <w:p w14:paraId="02FA5F64" w14:textId="77777777" w:rsidR="00A775DB" w:rsidRPr="00B0658A" w:rsidRDefault="00A775DB" w:rsidP="004F1366">
            <w:pPr>
              <w:spacing w:after="0" w:line="240" w:lineRule="auto"/>
              <w:rPr>
                <w:rFonts w:ascii="Times New Roman" w:hAnsi="Times New Roman"/>
                <w:sz w:val="18"/>
                <w:szCs w:val="18"/>
              </w:rPr>
            </w:pPr>
            <w:r w:rsidRPr="00B0658A">
              <w:rPr>
                <w:rFonts w:ascii="Times New Roman" w:hAnsi="Times New Roman"/>
                <w:sz w:val="18"/>
                <w:szCs w:val="18"/>
              </w:rPr>
              <w:t>Средства управления процессами организации/ Средства централизованного управления конечными устройствами</w:t>
            </w:r>
          </w:p>
        </w:tc>
        <w:tc>
          <w:tcPr>
            <w:tcW w:w="1842" w:type="dxa"/>
            <w:shd w:val="clear" w:color="000000" w:fill="FFFFFF"/>
            <w:hideMark/>
          </w:tcPr>
          <w:p w14:paraId="5A2A32F4" w14:textId="77777777" w:rsidR="00A775DB" w:rsidRPr="00B0658A" w:rsidRDefault="00A775DB" w:rsidP="004F1366">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79" w:type="dxa"/>
            <w:shd w:val="clear" w:color="000000" w:fill="FFFFFF"/>
            <w:vAlign w:val="center"/>
          </w:tcPr>
          <w:p w14:paraId="1FF19A41"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000000" w:fill="FFFFFF"/>
            <w:vAlign w:val="center"/>
            <w:hideMark/>
          </w:tcPr>
          <w:p w14:paraId="12B77167"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000000" w:fill="FFFFFF"/>
            <w:vAlign w:val="center"/>
            <w:hideMark/>
          </w:tcPr>
          <w:p w14:paraId="22864254"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000000" w:fill="FFFFFF"/>
            <w:vAlign w:val="center"/>
            <w:hideMark/>
          </w:tcPr>
          <w:p w14:paraId="13AB560D" w14:textId="77777777" w:rsidR="00A775DB" w:rsidRPr="00B0658A" w:rsidRDefault="00A775DB" w:rsidP="004F1366">
            <w:pPr>
              <w:spacing w:after="0" w:line="240" w:lineRule="auto"/>
              <w:jc w:val="center"/>
              <w:rPr>
                <w:rFonts w:ascii="Times New Roman" w:hAnsi="Times New Roman"/>
                <w:sz w:val="18"/>
                <w:szCs w:val="18"/>
              </w:rPr>
            </w:pPr>
          </w:p>
        </w:tc>
        <w:tc>
          <w:tcPr>
            <w:tcW w:w="992" w:type="dxa"/>
            <w:shd w:val="clear" w:color="000000" w:fill="FFFFFF"/>
            <w:vAlign w:val="center"/>
          </w:tcPr>
          <w:p w14:paraId="2F10F9C7" w14:textId="77777777" w:rsidR="00A775DB" w:rsidRPr="00B0658A" w:rsidRDefault="00A775DB" w:rsidP="004F1366">
            <w:pPr>
              <w:spacing w:after="0" w:line="240" w:lineRule="auto"/>
              <w:jc w:val="center"/>
              <w:rPr>
                <w:rFonts w:ascii="Times New Roman" w:hAnsi="Times New Roman"/>
                <w:sz w:val="18"/>
                <w:szCs w:val="18"/>
              </w:rPr>
            </w:pPr>
          </w:p>
        </w:tc>
        <w:tc>
          <w:tcPr>
            <w:tcW w:w="803" w:type="dxa"/>
            <w:shd w:val="clear" w:color="000000" w:fill="FFFFFF"/>
            <w:vAlign w:val="center"/>
            <w:hideMark/>
          </w:tcPr>
          <w:p w14:paraId="394B24F4" w14:textId="77777777" w:rsidR="00A775DB" w:rsidRPr="00B0658A" w:rsidRDefault="00A775DB" w:rsidP="004F1366">
            <w:pPr>
              <w:spacing w:after="0" w:line="240" w:lineRule="auto"/>
              <w:jc w:val="center"/>
              <w:rPr>
                <w:rFonts w:ascii="Times New Roman" w:hAnsi="Times New Roman"/>
                <w:sz w:val="18"/>
                <w:szCs w:val="18"/>
              </w:rPr>
            </w:pPr>
          </w:p>
        </w:tc>
        <w:tc>
          <w:tcPr>
            <w:tcW w:w="803" w:type="dxa"/>
            <w:shd w:val="clear" w:color="000000" w:fill="FFFFFF"/>
            <w:vAlign w:val="center"/>
            <w:hideMark/>
          </w:tcPr>
          <w:p w14:paraId="12D5806E" w14:textId="77777777" w:rsidR="00A775DB" w:rsidRPr="00B0658A" w:rsidRDefault="00A775DB" w:rsidP="004F1366">
            <w:pPr>
              <w:spacing w:after="0" w:line="240" w:lineRule="auto"/>
              <w:jc w:val="center"/>
              <w:rPr>
                <w:rFonts w:ascii="Times New Roman" w:hAnsi="Times New Roman"/>
                <w:sz w:val="18"/>
                <w:szCs w:val="18"/>
              </w:rPr>
            </w:pPr>
          </w:p>
        </w:tc>
        <w:tc>
          <w:tcPr>
            <w:tcW w:w="804" w:type="dxa"/>
            <w:shd w:val="clear" w:color="000000" w:fill="FFFFFF"/>
            <w:vAlign w:val="center"/>
            <w:hideMark/>
          </w:tcPr>
          <w:p w14:paraId="23ACC2FF" w14:textId="77777777" w:rsidR="00A775DB" w:rsidRPr="00B0658A" w:rsidRDefault="00A775DB" w:rsidP="004F1366">
            <w:pPr>
              <w:spacing w:after="0" w:line="240" w:lineRule="auto"/>
              <w:jc w:val="center"/>
              <w:rPr>
                <w:rFonts w:ascii="Times New Roman" w:hAnsi="Times New Roman"/>
                <w:sz w:val="18"/>
                <w:szCs w:val="18"/>
              </w:rPr>
            </w:pPr>
          </w:p>
        </w:tc>
        <w:tc>
          <w:tcPr>
            <w:tcW w:w="1530" w:type="dxa"/>
            <w:shd w:val="clear" w:color="000000" w:fill="FFFFFF"/>
            <w:vAlign w:val="center"/>
          </w:tcPr>
          <w:p w14:paraId="35C16B9B" w14:textId="77777777" w:rsidR="00A775DB" w:rsidRPr="00B0658A" w:rsidRDefault="00A775DB" w:rsidP="004F1366">
            <w:pPr>
              <w:spacing w:after="0" w:line="240" w:lineRule="auto"/>
              <w:jc w:val="center"/>
              <w:rPr>
                <w:rFonts w:ascii="Times New Roman" w:hAnsi="Times New Roman"/>
                <w:sz w:val="18"/>
                <w:szCs w:val="18"/>
              </w:rPr>
            </w:pPr>
          </w:p>
        </w:tc>
      </w:tr>
      <w:tr w:rsidR="00F52FED" w:rsidRPr="00B0658A" w14:paraId="082FCE94" w14:textId="77777777" w:rsidTr="004F1366">
        <w:trPr>
          <w:trHeight w:val="20"/>
        </w:trPr>
        <w:tc>
          <w:tcPr>
            <w:tcW w:w="578" w:type="dxa"/>
            <w:shd w:val="clear" w:color="000000" w:fill="FFFFFF"/>
            <w:vAlign w:val="center"/>
          </w:tcPr>
          <w:p w14:paraId="27B9EDB6" w14:textId="77777777" w:rsidR="00A775DB" w:rsidRPr="00B0658A" w:rsidRDefault="00A775DB" w:rsidP="004F1366">
            <w:pPr>
              <w:spacing w:after="0" w:line="240" w:lineRule="auto"/>
              <w:jc w:val="center"/>
              <w:rPr>
                <w:rFonts w:ascii="Times New Roman" w:hAnsi="Times New Roman"/>
                <w:sz w:val="18"/>
                <w:szCs w:val="18"/>
              </w:rPr>
            </w:pPr>
            <w:r w:rsidRPr="00B0658A">
              <w:rPr>
                <w:rFonts w:ascii="Times New Roman" w:hAnsi="Times New Roman"/>
                <w:sz w:val="18"/>
                <w:szCs w:val="18"/>
              </w:rPr>
              <w:t>10.1</w:t>
            </w:r>
          </w:p>
        </w:tc>
        <w:tc>
          <w:tcPr>
            <w:tcW w:w="3812" w:type="dxa"/>
            <w:shd w:val="clear" w:color="auto" w:fill="auto"/>
            <w:vAlign w:val="center"/>
            <w:hideMark/>
          </w:tcPr>
          <w:p w14:paraId="22E12C72" w14:textId="77777777" w:rsidR="00A775DB" w:rsidRPr="00B0658A" w:rsidRDefault="00A775DB" w:rsidP="004F1366">
            <w:pPr>
              <w:spacing w:after="0" w:line="240" w:lineRule="auto"/>
              <w:rPr>
                <w:rFonts w:ascii="Times New Roman" w:hAnsi="Times New Roman"/>
                <w:sz w:val="18"/>
                <w:szCs w:val="18"/>
              </w:rPr>
            </w:pPr>
            <w:r w:rsidRPr="00B0658A">
              <w:rPr>
                <w:rFonts w:ascii="Times New Roman" w:hAnsi="Times New Roman"/>
                <w:sz w:val="18"/>
                <w:szCs w:val="18"/>
              </w:rPr>
              <w:t>Средства обработки и визуализации массивов данных/ Средства обработки Больших Данных (BigData)</w:t>
            </w:r>
          </w:p>
        </w:tc>
        <w:tc>
          <w:tcPr>
            <w:tcW w:w="1842" w:type="dxa"/>
            <w:shd w:val="clear" w:color="000000" w:fill="FFFFFF"/>
            <w:hideMark/>
          </w:tcPr>
          <w:p w14:paraId="3372D646" w14:textId="77777777" w:rsidR="00A775DB" w:rsidRPr="00B0658A" w:rsidRDefault="00A775DB" w:rsidP="004F1366">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79" w:type="dxa"/>
            <w:shd w:val="clear" w:color="000000" w:fill="FFFFFF"/>
            <w:vAlign w:val="center"/>
          </w:tcPr>
          <w:p w14:paraId="5793127F"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000000" w:fill="FFFFFF"/>
            <w:vAlign w:val="center"/>
            <w:hideMark/>
          </w:tcPr>
          <w:p w14:paraId="40396E86"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000000" w:fill="FFFFFF"/>
            <w:vAlign w:val="center"/>
            <w:hideMark/>
          </w:tcPr>
          <w:p w14:paraId="7651E318"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000000" w:fill="FFFFFF"/>
            <w:vAlign w:val="center"/>
            <w:hideMark/>
          </w:tcPr>
          <w:p w14:paraId="3E81F672" w14:textId="77777777" w:rsidR="00A775DB" w:rsidRPr="00B0658A" w:rsidRDefault="00A775DB" w:rsidP="004F1366">
            <w:pPr>
              <w:spacing w:after="0" w:line="240" w:lineRule="auto"/>
              <w:jc w:val="center"/>
              <w:rPr>
                <w:rFonts w:ascii="Times New Roman" w:hAnsi="Times New Roman"/>
                <w:sz w:val="18"/>
                <w:szCs w:val="18"/>
              </w:rPr>
            </w:pPr>
          </w:p>
        </w:tc>
        <w:tc>
          <w:tcPr>
            <w:tcW w:w="992" w:type="dxa"/>
            <w:shd w:val="clear" w:color="000000" w:fill="FFFFFF"/>
            <w:vAlign w:val="center"/>
          </w:tcPr>
          <w:p w14:paraId="1AD84E74" w14:textId="77777777" w:rsidR="00A775DB" w:rsidRPr="00B0658A" w:rsidRDefault="00A775DB" w:rsidP="004F1366">
            <w:pPr>
              <w:spacing w:after="0" w:line="240" w:lineRule="auto"/>
              <w:jc w:val="center"/>
              <w:rPr>
                <w:rFonts w:ascii="Times New Roman" w:hAnsi="Times New Roman"/>
                <w:sz w:val="18"/>
                <w:szCs w:val="18"/>
              </w:rPr>
            </w:pPr>
          </w:p>
        </w:tc>
        <w:tc>
          <w:tcPr>
            <w:tcW w:w="803" w:type="dxa"/>
            <w:shd w:val="clear" w:color="000000" w:fill="FFFFFF"/>
            <w:vAlign w:val="center"/>
            <w:hideMark/>
          </w:tcPr>
          <w:p w14:paraId="77468636" w14:textId="77777777" w:rsidR="00A775DB" w:rsidRPr="00B0658A" w:rsidRDefault="00A775DB" w:rsidP="004F1366">
            <w:pPr>
              <w:spacing w:after="0" w:line="240" w:lineRule="auto"/>
              <w:jc w:val="center"/>
              <w:rPr>
                <w:rFonts w:ascii="Times New Roman" w:hAnsi="Times New Roman"/>
                <w:sz w:val="18"/>
                <w:szCs w:val="18"/>
              </w:rPr>
            </w:pPr>
          </w:p>
        </w:tc>
        <w:tc>
          <w:tcPr>
            <w:tcW w:w="803" w:type="dxa"/>
            <w:shd w:val="clear" w:color="000000" w:fill="FFFFFF"/>
            <w:vAlign w:val="center"/>
            <w:hideMark/>
          </w:tcPr>
          <w:p w14:paraId="6797D028" w14:textId="77777777" w:rsidR="00A775DB" w:rsidRPr="00B0658A" w:rsidRDefault="00A775DB" w:rsidP="004F1366">
            <w:pPr>
              <w:spacing w:after="0" w:line="240" w:lineRule="auto"/>
              <w:jc w:val="center"/>
              <w:rPr>
                <w:rFonts w:ascii="Times New Roman" w:hAnsi="Times New Roman"/>
                <w:sz w:val="18"/>
                <w:szCs w:val="18"/>
              </w:rPr>
            </w:pPr>
          </w:p>
        </w:tc>
        <w:tc>
          <w:tcPr>
            <w:tcW w:w="804" w:type="dxa"/>
            <w:shd w:val="clear" w:color="000000" w:fill="FFFFFF"/>
            <w:vAlign w:val="center"/>
            <w:hideMark/>
          </w:tcPr>
          <w:p w14:paraId="46198930" w14:textId="77777777" w:rsidR="00A775DB" w:rsidRPr="00B0658A" w:rsidRDefault="00A775DB" w:rsidP="004F1366">
            <w:pPr>
              <w:spacing w:after="0" w:line="240" w:lineRule="auto"/>
              <w:jc w:val="center"/>
              <w:rPr>
                <w:rFonts w:ascii="Times New Roman" w:hAnsi="Times New Roman"/>
                <w:sz w:val="18"/>
                <w:szCs w:val="18"/>
              </w:rPr>
            </w:pPr>
          </w:p>
        </w:tc>
        <w:tc>
          <w:tcPr>
            <w:tcW w:w="1530" w:type="dxa"/>
            <w:shd w:val="clear" w:color="000000" w:fill="FFFFFF"/>
            <w:vAlign w:val="center"/>
          </w:tcPr>
          <w:p w14:paraId="5CB0DD8A" w14:textId="77777777" w:rsidR="00A775DB" w:rsidRPr="00B0658A" w:rsidRDefault="00A775DB" w:rsidP="004F1366">
            <w:pPr>
              <w:spacing w:after="0" w:line="240" w:lineRule="auto"/>
              <w:jc w:val="center"/>
              <w:rPr>
                <w:rFonts w:ascii="Times New Roman" w:hAnsi="Times New Roman"/>
                <w:sz w:val="18"/>
                <w:szCs w:val="18"/>
              </w:rPr>
            </w:pPr>
          </w:p>
        </w:tc>
      </w:tr>
      <w:tr w:rsidR="00F52FED" w:rsidRPr="00B0658A" w14:paraId="27930F9B" w14:textId="77777777" w:rsidTr="004F1366">
        <w:trPr>
          <w:trHeight w:val="20"/>
        </w:trPr>
        <w:tc>
          <w:tcPr>
            <w:tcW w:w="578" w:type="dxa"/>
            <w:shd w:val="clear" w:color="000000" w:fill="FFFFFF"/>
            <w:vAlign w:val="center"/>
          </w:tcPr>
          <w:p w14:paraId="2D14B645" w14:textId="77777777" w:rsidR="00A775DB" w:rsidRPr="00B0658A" w:rsidRDefault="00A775DB" w:rsidP="004F1366">
            <w:pPr>
              <w:spacing w:after="0" w:line="240" w:lineRule="auto"/>
              <w:jc w:val="center"/>
              <w:rPr>
                <w:rFonts w:ascii="Times New Roman" w:hAnsi="Times New Roman"/>
                <w:sz w:val="18"/>
                <w:szCs w:val="18"/>
              </w:rPr>
            </w:pPr>
            <w:r w:rsidRPr="00B0658A">
              <w:rPr>
                <w:rFonts w:ascii="Times New Roman" w:hAnsi="Times New Roman"/>
                <w:sz w:val="18"/>
                <w:szCs w:val="18"/>
              </w:rPr>
              <w:t>10.2</w:t>
            </w:r>
          </w:p>
        </w:tc>
        <w:tc>
          <w:tcPr>
            <w:tcW w:w="3812" w:type="dxa"/>
            <w:shd w:val="clear" w:color="auto" w:fill="auto"/>
            <w:vAlign w:val="center"/>
            <w:hideMark/>
          </w:tcPr>
          <w:p w14:paraId="0EA138E1" w14:textId="77777777" w:rsidR="00A775DB" w:rsidRPr="00B0658A" w:rsidRDefault="00A775DB" w:rsidP="004F1366">
            <w:pPr>
              <w:spacing w:after="0" w:line="240" w:lineRule="auto"/>
              <w:rPr>
                <w:rFonts w:ascii="Times New Roman" w:hAnsi="Times New Roman"/>
                <w:sz w:val="18"/>
                <w:szCs w:val="18"/>
              </w:rPr>
            </w:pPr>
            <w:r w:rsidRPr="00B0658A">
              <w:rPr>
                <w:rFonts w:ascii="Times New Roman" w:hAnsi="Times New Roman"/>
                <w:sz w:val="18"/>
                <w:szCs w:val="18"/>
              </w:rPr>
              <w:t>Средства обработки и визуализации массивов данных/ Средства обработки и анализа геологических и геофизических данных</w:t>
            </w:r>
          </w:p>
        </w:tc>
        <w:tc>
          <w:tcPr>
            <w:tcW w:w="1842" w:type="dxa"/>
            <w:shd w:val="clear" w:color="000000" w:fill="FFFFFF"/>
            <w:hideMark/>
          </w:tcPr>
          <w:p w14:paraId="5A0FD1F9" w14:textId="77777777" w:rsidR="00A775DB" w:rsidRPr="00B0658A" w:rsidRDefault="00A775DB" w:rsidP="004F1366">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79" w:type="dxa"/>
            <w:shd w:val="clear" w:color="000000" w:fill="FFFFFF"/>
            <w:vAlign w:val="center"/>
          </w:tcPr>
          <w:p w14:paraId="2BF72D2D"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000000" w:fill="FFFFFF"/>
            <w:vAlign w:val="center"/>
            <w:hideMark/>
          </w:tcPr>
          <w:p w14:paraId="448CEA85"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000000" w:fill="FFFFFF"/>
            <w:vAlign w:val="center"/>
            <w:hideMark/>
          </w:tcPr>
          <w:p w14:paraId="6D0DBB9E"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000000" w:fill="FFFFFF"/>
            <w:vAlign w:val="center"/>
            <w:hideMark/>
          </w:tcPr>
          <w:p w14:paraId="42E38B4B" w14:textId="77777777" w:rsidR="00A775DB" w:rsidRPr="00B0658A" w:rsidRDefault="00A775DB" w:rsidP="004F1366">
            <w:pPr>
              <w:spacing w:after="0" w:line="240" w:lineRule="auto"/>
              <w:jc w:val="center"/>
              <w:rPr>
                <w:rFonts w:ascii="Times New Roman" w:hAnsi="Times New Roman"/>
                <w:sz w:val="18"/>
                <w:szCs w:val="18"/>
              </w:rPr>
            </w:pPr>
          </w:p>
        </w:tc>
        <w:tc>
          <w:tcPr>
            <w:tcW w:w="992" w:type="dxa"/>
            <w:shd w:val="clear" w:color="000000" w:fill="FFFFFF"/>
            <w:vAlign w:val="center"/>
          </w:tcPr>
          <w:p w14:paraId="2E638F7E" w14:textId="77777777" w:rsidR="00A775DB" w:rsidRPr="00B0658A" w:rsidRDefault="00A775DB" w:rsidP="004F1366">
            <w:pPr>
              <w:spacing w:after="0" w:line="240" w:lineRule="auto"/>
              <w:jc w:val="center"/>
              <w:rPr>
                <w:rFonts w:ascii="Times New Roman" w:hAnsi="Times New Roman"/>
                <w:sz w:val="18"/>
                <w:szCs w:val="18"/>
              </w:rPr>
            </w:pPr>
          </w:p>
        </w:tc>
        <w:tc>
          <w:tcPr>
            <w:tcW w:w="803" w:type="dxa"/>
            <w:shd w:val="clear" w:color="000000" w:fill="FFFFFF"/>
            <w:vAlign w:val="center"/>
            <w:hideMark/>
          </w:tcPr>
          <w:p w14:paraId="3C84A70C" w14:textId="77777777" w:rsidR="00A775DB" w:rsidRPr="00B0658A" w:rsidRDefault="00A775DB" w:rsidP="004F1366">
            <w:pPr>
              <w:spacing w:after="0" w:line="240" w:lineRule="auto"/>
              <w:jc w:val="center"/>
              <w:rPr>
                <w:rFonts w:ascii="Times New Roman" w:hAnsi="Times New Roman"/>
                <w:sz w:val="18"/>
                <w:szCs w:val="18"/>
              </w:rPr>
            </w:pPr>
          </w:p>
        </w:tc>
        <w:tc>
          <w:tcPr>
            <w:tcW w:w="803" w:type="dxa"/>
            <w:shd w:val="clear" w:color="000000" w:fill="FFFFFF"/>
            <w:vAlign w:val="center"/>
            <w:hideMark/>
          </w:tcPr>
          <w:p w14:paraId="48093BC5" w14:textId="77777777" w:rsidR="00A775DB" w:rsidRPr="00B0658A" w:rsidRDefault="00A775DB" w:rsidP="004F1366">
            <w:pPr>
              <w:spacing w:after="0" w:line="240" w:lineRule="auto"/>
              <w:jc w:val="center"/>
              <w:rPr>
                <w:rFonts w:ascii="Times New Roman" w:hAnsi="Times New Roman"/>
                <w:sz w:val="18"/>
                <w:szCs w:val="18"/>
              </w:rPr>
            </w:pPr>
          </w:p>
        </w:tc>
        <w:tc>
          <w:tcPr>
            <w:tcW w:w="804" w:type="dxa"/>
            <w:shd w:val="clear" w:color="000000" w:fill="FFFFFF"/>
            <w:vAlign w:val="center"/>
            <w:hideMark/>
          </w:tcPr>
          <w:p w14:paraId="2546C830" w14:textId="77777777" w:rsidR="00A775DB" w:rsidRPr="00B0658A" w:rsidRDefault="00A775DB" w:rsidP="004F1366">
            <w:pPr>
              <w:spacing w:after="0" w:line="240" w:lineRule="auto"/>
              <w:jc w:val="center"/>
              <w:rPr>
                <w:rFonts w:ascii="Times New Roman" w:hAnsi="Times New Roman"/>
                <w:sz w:val="18"/>
                <w:szCs w:val="18"/>
              </w:rPr>
            </w:pPr>
          </w:p>
        </w:tc>
        <w:tc>
          <w:tcPr>
            <w:tcW w:w="1530" w:type="dxa"/>
            <w:shd w:val="clear" w:color="000000" w:fill="FFFFFF"/>
            <w:vAlign w:val="center"/>
          </w:tcPr>
          <w:p w14:paraId="277AA830" w14:textId="77777777" w:rsidR="00A775DB" w:rsidRPr="00B0658A" w:rsidRDefault="00A775DB" w:rsidP="004F1366">
            <w:pPr>
              <w:spacing w:after="0" w:line="240" w:lineRule="auto"/>
              <w:jc w:val="center"/>
              <w:rPr>
                <w:rFonts w:ascii="Times New Roman" w:hAnsi="Times New Roman"/>
                <w:sz w:val="18"/>
                <w:szCs w:val="18"/>
              </w:rPr>
            </w:pPr>
          </w:p>
        </w:tc>
      </w:tr>
      <w:tr w:rsidR="00F52FED" w:rsidRPr="00B0658A" w14:paraId="796B84D6" w14:textId="77777777" w:rsidTr="004F1366">
        <w:trPr>
          <w:trHeight w:val="20"/>
        </w:trPr>
        <w:tc>
          <w:tcPr>
            <w:tcW w:w="578" w:type="dxa"/>
            <w:shd w:val="clear" w:color="000000" w:fill="FFFFFF"/>
            <w:vAlign w:val="center"/>
          </w:tcPr>
          <w:p w14:paraId="4FCA82CD" w14:textId="77777777" w:rsidR="00A775DB" w:rsidRPr="00B0658A" w:rsidRDefault="00A775DB" w:rsidP="004F1366">
            <w:pPr>
              <w:spacing w:after="0" w:line="240" w:lineRule="auto"/>
              <w:jc w:val="center"/>
              <w:rPr>
                <w:rFonts w:ascii="Times New Roman" w:hAnsi="Times New Roman"/>
                <w:sz w:val="18"/>
                <w:szCs w:val="18"/>
              </w:rPr>
            </w:pPr>
            <w:r w:rsidRPr="00B0658A">
              <w:rPr>
                <w:rFonts w:ascii="Times New Roman" w:hAnsi="Times New Roman"/>
                <w:sz w:val="18"/>
                <w:szCs w:val="18"/>
              </w:rPr>
              <w:t>10.3</w:t>
            </w:r>
          </w:p>
        </w:tc>
        <w:tc>
          <w:tcPr>
            <w:tcW w:w="3812" w:type="dxa"/>
            <w:shd w:val="clear" w:color="auto" w:fill="auto"/>
            <w:vAlign w:val="center"/>
            <w:hideMark/>
          </w:tcPr>
          <w:p w14:paraId="2708D5FB" w14:textId="77777777" w:rsidR="00A775DB" w:rsidRPr="00B0658A" w:rsidRDefault="00A775DB" w:rsidP="004F1366">
            <w:pPr>
              <w:spacing w:after="0" w:line="240" w:lineRule="auto"/>
              <w:rPr>
                <w:rFonts w:ascii="Times New Roman" w:hAnsi="Times New Roman"/>
                <w:sz w:val="18"/>
                <w:szCs w:val="18"/>
              </w:rPr>
            </w:pPr>
            <w:r w:rsidRPr="00B0658A">
              <w:rPr>
                <w:rFonts w:ascii="Times New Roman" w:hAnsi="Times New Roman"/>
                <w:sz w:val="18"/>
                <w:szCs w:val="18"/>
              </w:rPr>
              <w:t>Средства обработки и визуализации массивов данных/ Средства математического и имитационного моделирования</w:t>
            </w:r>
          </w:p>
        </w:tc>
        <w:tc>
          <w:tcPr>
            <w:tcW w:w="1842" w:type="dxa"/>
            <w:shd w:val="clear" w:color="000000" w:fill="FFFFFF"/>
            <w:hideMark/>
          </w:tcPr>
          <w:p w14:paraId="1905BA0E" w14:textId="77777777" w:rsidR="00A775DB" w:rsidRPr="00B0658A" w:rsidRDefault="00A775DB" w:rsidP="004F1366">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79" w:type="dxa"/>
            <w:shd w:val="clear" w:color="000000" w:fill="FFFFFF"/>
            <w:vAlign w:val="center"/>
          </w:tcPr>
          <w:p w14:paraId="0BBF6396"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000000" w:fill="FFFFFF"/>
            <w:vAlign w:val="center"/>
            <w:hideMark/>
          </w:tcPr>
          <w:p w14:paraId="485C2352"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000000" w:fill="FFFFFF"/>
            <w:vAlign w:val="center"/>
            <w:hideMark/>
          </w:tcPr>
          <w:p w14:paraId="11C3D29D"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000000" w:fill="FFFFFF"/>
            <w:vAlign w:val="center"/>
            <w:hideMark/>
          </w:tcPr>
          <w:p w14:paraId="20739200" w14:textId="77777777" w:rsidR="00A775DB" w:rsidRPr="00B0658A" w:rsidRDefault="00A775DB" w:rsidP="004F1366">
            <w:pPr>
              <w:spacing w:after="0" w:line="240" w:lineRule="auto"/>
              <w:jc w:val="center"/>
              <w:rPr>
                <w:rFonts w:ascii="Times New Roman" w:hAnsi="Times New Roman"/>
                <w:sz w:val="18"/>
                <w:szCs w:val="18"/>
              </w:rPr>
            </w:pPr>
          </w:p>
        </w:tc>
        <w:tc>
          <w:tcPr>
            <w:tcW w:w="992" w:type="dxa"/>
            <w:shd w:val="clear" w:color="000000" w:fill="FFFFFF"/>
            <w:vAlign w:val="center"/>
          </w:tcPr>
          <w:p w14:paraId="0CB4CFFD" w14:textId="77777777" w:rsidR="00A775DB" w:rsidRPr="00B0658A" w:rsidRDefault="00A775DB" w:rsidP="004F1366">
            <w:pPr>
              <w:spacing w:after="0" w:line="240" w:lineRule="auto"/>
              <w:jc w:val="center"/>
              <w:rPr>
                <w:rFonts w:ascii="Times New Roman" w:hAnsi="Times New Roman"/>
                <w:sz w:val="18"/>
                <w:szCs w:val="18"/>
              </w:rPr>
            </w:pPr>
          </w:p>
        </w:tc>
        <w:tc>
          <w:tcPr>
            <w:tcW w:w="803" w:type="dxa"/>
            <w:shd w:val="clear" w:color="000000" w:fill="FFFFFF"/>
            <w:vAlign w:val="center"/>
            <w:hideMark/>
          </w:tcPr>
          <w:p w14:paraId="0F9BC30D" w14:textId="77777777" w:rsidR="00A775DB" w:rsidRPr="00B0658A" w:rsidRDefault="00A775DB" w:rsidP="004F1366">
            <w:pPr>
              <w:spacing w:after="0" w:line="240" w:lineRule="auto"/>
              <w:jc w:val="center"/>
              <w:rPr>
                <w:rFonts w:ascii="Times New Roman" w:hAnsi="Times New Roman"/>
                <w:sz w:val="18"/>
                <w:szCs w:val="18"/>
              </w:rPr>
            </w:pPr>
          </w:p>
        </w:tc>
        <w:tc>
          <w:tcPr>
            <w:tcW w:w="803" w:type="dxa"/>
            <w:shd w:val="clear" w:color="000000" w:fill="FFFFFF"/>
            <w:vAlign w:val="center"/>
            <w:hideMark/>
          </w:tcPr>
          <w:p w14:paraId="65968EA8" w14:textId="77777777" w:rsidR="00A775DB" w:rsidRPr="00B0658A" w:rsidRDefault="00A775DB" w:rsidP="004F1366">
            <w:pPr>
              <w:spacing w:after="0" w:line="240" w:lineRule="auto"/>
              <w:jc w:val="center"/>
              <w:rPr>
                <w:rFonts w:ascii="Times New Roman" w:hAnsi="Times New Roman"/>
                <w:sz w:val="18"/>
                <w:szCs w:val="18"/>
              </w:rPr>
            </w:pPr>
          </w:p>
        </w:tc>
        <w:tc>
          <w:tcPr>
            <w:tcW w:w="804" w:type="dxa"/>
            <w:shd w:val="clear" w:color="000000" w:fill="FFFFFF"/>
            <w:vAlign w:val="center"/>
            <w:hideMark/>
          </w:tcPr>
          <w:p w14:paraId="5BEBA111" w14:textId="77777777" w:rsidR="00A775DB" w:rsidRPr="00B0658A" w:rsidRDefault="00A775DB" w:rsidP="004F1366">
            <w:pPr>
              <w:spacing w:after="0" w:line="240" w:lineRule="auto"/>
              <w:jc w:val="center"/>
              <w:rPr>
                <w:rFonts w:ascii="Times New Roman" w:hAnsi="Times New Roman"/>
                <w:sz w:val="18"/>
                <w:szCs w:val="18"/>
              </w:rPr>
            </w:pPr>
          </w:p>
        </w:tc>
        <w:tc>
          <w:tcPr>
            <w:tcW w:w="1530" w:type="dxa"/>
            <w:shd w:val="clear" w:color="000000" w:fill="FFFFFF"/>
            <w:vAlign w:val="center"/>
          </w:tcPr>
          <w:p w14:paraId="798EE170" w14:textId="77777777" w:rsidR="00A775DB" w:rsidRPr="00B0658A" w:rsidRDefault="00A775DB" w:rsidP="004F1366">
            <w:pPr>
              <w:spacing w:after="0" w:line="240" w:lineRule="auto"/>
              <w:jc w:val="center"/>
              <w:rPr>
                <w:rFonts w:ascii="Times New Roman" w:hAnsi="Times New Roman"/>
                <w:sz w:val="18"/>
                <w:szCs w:val="18"/>
              </w:rPr>
            </w:pPr>
          </w:p>
        </w:tc>
      </w:tr>
      <w:tr w:rsidR="00F52FED" w:rsidRPr="00B0658A" w14:paraId="4FA39A3B" w14:textId="77777777" w:rsidTr="004F1366">
        <w:trPr>
          <w:trHeight w:val="20"/>
        </w:trPr>
        <w:tc>
          <w:tcPr>
            <w:tcW w:w="578" w:type="dxa"/>
            <w:shd w:val="clear" w:color="000000" w:fill="FFFFFF"/>
            <w:vAlign w:val="center"/>
          </w:tcPr>
          <w:p w14:paraId="2CD40F63" w14:textId="77777777" w:rsidR="00A775DB" w:rsidRPr="00B0658A" w:rsidRDefault="00A775DB" w:rsidP="004F1366">
            <w:pPr>
              <w:spacing w:after="0" w:line="240" w:lineRule="auto"/>
              <w:jc w:val="center"/>
              <w:rPr>
                <w:rFonts w:ascii="Times New Roman" w:hAnsi="Times New Roman"/>
                <w:sz w:val="18"/>
                <w:szCs w:val="18"/>
              </w:rPr>
            </w:pPr>
            <w:r w:rsidRPr="00B0658A">
              <w:rPr>
                <w:rFonts w:ascii="Times New Roman" w:hAnsi="Times New Roman"/>
                <w:sz w:val="18"/>
                <w:szCs w:val="18"/>
              </w:rPr>
              <w:t>10.4</w:t>
            </w:r>
          </w:p>
        </w:tc>
        <w:tc>
          <w:tcPr>
            <w:tcW w:w="3812" w:type="dxa"/>
            <w:shd w:val="clear" w:color="auto" w:fill="auto"/>
            <w:vAlign w:val="center"/>
            <w:hideMark/>
          </w:tcPr>
          <w:p w14:paraId="5E5F165D" w14:textId="77777777" w:rsidR="00A775DB" w:rsidRPr="00B0658A" w:rsidRDefault="00A775DB" w:rsidP="004F1366">
            <w:pPr>
              <w:spacing w:after="0" w:line="240" w:lineRule="auto"/>
              <w:rPr>
                <w:rFonts w:ascii="Times New Roman" w:hAnsi="Times New Roman"/>
                <w:sz w:val="18"/>
                <w:szCs w:val="18"/>
              </w:rPr>
            </w:pPr>
            <w:r w:rsidRPr="00B0658A">
              <w:rPr>
                <w:rFonts w:ascii="Times New Roman" w:hAnsi="Times New Roman"/>
                <w:sz w:val="18"/>
                <w:szCs w:val="18"/>
              </w:rPr>
              <w:t>Средства обработки и визуализации массивов данных/ Средства управления информационными ресурсами и средства управления основными данными (ECM, MDM)</w:t>
            </w:r>
          </w:p>
        </w:tc>
        <w:tc>
          <w:tcPr>
            <w:tcW w:w="1842" w:type="dxa"/>
            <w:shd w:val="clear" w:color="000000" w:fill="FFFFFF"/>
            <w:hideMark/>
          </w:tcPr>
          <w:p w14:paraId="00E9DFFB" w14:textId="77777777" w:rsidR="00A775DB" w:rsidRPr="00B0658A" w:rsidRDefault="00A775DB" w:rsidP="004F1366">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79" w:type="dxa"/>
            <w:shd w:val="clear" w:color="000000" w:fill="FFFFFF"/>
            <w:vAlign w:val="center"/>
          </w:tcPr>
          <w:p w14:paraId="27424CC5"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000000" w:fill="FFFFFF"/>
            <w:vAlign w:val="center"/>
            <w:hideMark/>
          </w:tcPr>
          <w:p w14:paraId="3587D7F7"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000000" w:fill="FFFFFF"/>
            <w:vAlign w:val="center"/>
            <w:hideMark/>
          </w:tcPr>
          <w:p w14:paraId="3774FF20"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000000" w:fill="FFFFFF"/>
            <w:vAlign w:val="center"/>
            <w:hideMark/>
          </w:tcPr>
          <w:p w14:paraId="1E6C4F6F" w14:textId="77777777" w:rsidR="00A775DB" w:rsidRPr="00B0658A" w:rsidRDefault="00A775DB" w:rsidP="004F1366">
            <w:pPr>
              <w:spacing w:after="0" w:line="240" w:lineRule="auto"/>
              <w:jc w:val="center"/>
              <w:rPr>
                <w:rFonts w:ascii="Times New Roman" w:hAnsi="Times New Roman"/>
                <w:sz w:val="18"/>
                <w:szCs w:val="18"/>
              </w:rPr>
            </w:pPr>
          </w:p>
        </w:tc>
        <w:tc>
          <w:tcPr>
            <w:tcW w:w="992" w:type="dxa"/>
            <w:shd w:val="clear" w:color="000000" w:fill="FFFFFF"/>
            <w:vAlign w:val="center"/>
          </w:tcPr>
          <w:p w14:paraId="3C3022E0" w14:textId="77777777" w:rsidR="00A775DB" w:rsidRPr="00B0658A" w:rsidRDefault="00A775DB" w:rsidP="004F1366">
            <w:pPr>
              <w:spacing w:after="0" w:line="240" w:lineRule="auto"/>
              <w:jc w:val="center"/>
              <w:rPr>
                <w:rFonts w:ascii="Times New Roman" w:hAnsi="Times New Roman"/>
                <w:sz w:val="18"/>
                <w:szCs w:val="18"/>
              </w:rPr>
            </w:pPr>
          </w:p>
        </w:tc>
        <w:tc>
          <w:tcPr>
            <w:tcW w:w="803" w:type="dxa"/>
            <w:shd w:val="clear" w:color="000000" w:fill="FFFFFF"/>
            <w:vAlign w:val="center"/>
            <w:hideMark/>
          </w:tcPr>
          <w:p w14:paraId="1DB6C524" w14:textId="77777777" w:rsidR="00A775DB" w:rsidRPr="00B0658A" w:rsidRDefault="00A775DB" w:rsidP="004F1366">
            <w:pPr>
              <w:spacing w:after="0" w:line="240" w:lineRule="auto"/>
              <w:jc w:val="center"/>
              <w:rPr>
                <w:rFonts w:ascii="Times New Roman" w:hAnsi="Times New Roman"/>
                <w:sz w:val="18"/>
                <w:szCs w:val="18"/>
              </w:rPr>
            </w:pPr>
          </w:p>
        </w:tc>
        <w:tc>
          <w:tcPr>
            <w:tcW w:w="803" w:type="dxa"/>
            <w:shd w:val="clear" w:color="000000" w:fill="FFFFFF"/>
            <w:vAlign w:val="center"/>
            <w:hideMark/>
          </w:tcPr>
          <w:p w14:paraId="07B5C0C9" w14:textId="77777777" w:rsidR="00A775DB" w:rsidRPr="00B0658A" w:rsidRDefault="00A775DB" w:rsidP="004F1366">
            <w:pPr>
              <w:spacing w:after="0" w:line="240" w:lineRule="auto"/>
              <w:jc w:val="center"/>
              <w:rPr>
                <w:rFonts w:ascii="Times New Roman" w:hAnsi="Times New Roman"/>
                <w:sz w:val="18"/>
                <w:szCs w:val="18"/>
              </w:rPr>
            </w:pPr>
          </w:p>
        </w:tc>
        <w:tc>
          <w:tcPr>
            <w:tcW w:w="804" w:type="dxa"/>
            <w:shd w:val="clear" w:color="000000" w:fill="FFFFFF"/>
            <w:vAlign w:val="center"/>
            <w:hideMark/>
          </w:tcPr>
          <w:p w14:paraId="62B1962A" w14:textId="77777777" w:rsidR="00A775DB" w:rsidRPr="00B0658A" w:rsidRDefault="00A775DB" w:rsidP="004F1366">
            <w:pPr>
              <w:spacing w:after="0" w:line="240" w:lineRule="auto"/>
              <w:jc w:val="center"/>
              <w:rPr>
                <w:rFonts w:ascii="Times New Roman" w:hAnsi="Times New Roman"/>
                <w:sz w:val="18"/>
                <w:szCs w:val="18"/>
              </w:rPr>
            </w:pPr>
          </w:p>
        </w:tc>
        <w:tc>
          <w:tcPr>
            <w:tcW w:w="1530" w:type="dxa"/>
            <w:shd w:val="clear" w:color="000000" w:fill="FFFFFF"/>
            <w:vAlign w:val="center"/>
          </w:tcPr>
          <w:p w14:paraId="51DABD79" w14:textId="77777777" w:rsidR="00A775DB" w:rsidRPr="00B0658A" w:rsidRDefault="00A775DB" w:rsidP="004F1366">
            <w:pPr>
              <w:spacing w:after="0" w:line="240" w:lineRule="auto"/>
              <w:jc w:val="center"/>
              <w:rPr>
                <w:rFonts w:ascii="Times New Roman" w:hAnsi="Times New Roman"/>
                <w:sz w:val="18"/>
                <w:szCs w:val="18"/>
              </w:rPr>
            </w:pPr>
          </w:p>
        </w:tc>
      </w:tr>
      <w:tr w:rsidR="00F52FED" w:rsidRPr="00B0658A" w14:paraId="0BF34015" w14:textId="77777777" w:rsidTr="004F1366">
        <w:trPr>
          <w:trHeight w:val="20"/>
        </w:trPr>
        <w:tc>
          <w:tcPr>
            <w:tcW w:w="578" w:type="dxa"/>
            <w:shd w:val="clear" w:color="000000" w:fill="FFFFFF"/>
            <w:vAlign w:val="center"/>
          </w:tcPr>
          <w:p w14:paraId="5260AA04" w14:textId="77777777" w:rsidR="00A775DB" w:rsidRPr="00B0658A" w:rsidRDefault="00A775DB" w:rsidP="004F1366">
            <w:pPr>
              <w:spacing w:after="0" w:line="240" w:lineRule="auto"/>
              <w:jc w:val="center"/>
              <w:rPr>
                <w:rFonts w:ascii="Times New Roman" w:hAnsi="Times New Roman"/>
                <w:sz w:val="18"/>
                <w:szCs w:val="18"/>
              </w:rPr>
            </w:pPr>
            <w:r w:rsidRPr="00B0658A">
              <w:rPr>
                <w:rFonts w:ascii="Times New Roman" w:hAnsi="Times New Roman"/>
                <w:sz w:val="18"/>
                <w:szCs w:val="18"/>
              </w:rPr>
              <w:t>11.1</w:t>
            </w:r>
          </w:p>
        </w:tc>
        <w:tc>
          <w:tcPr>
            <w:tcW w:w="3812" w:type="dxa"/>
            <w:shd w:val="clear" w:color="auto" w:fill="auto"/>
            <w:vAlign w:val="center"/>
            <w:hideMark/>
          </w:tcPr>
          <w:p w14:paraId="61673A76" w14:textId="77777777" w:rsidR="00A775DB" w:rsidRPr="00B0658A" w:rsidRDefault="00A775DB" w:rsidP="004F1366">
            <w:pPr>
              <w:spacing w:after="0" w:line="240" w:lineRule="auto"/>
              <w:rPr>
                <w:rFonts w:ascii="Times New Roman" w:hAnsi="Times New Roman"/>
                <w:sz w:val="18"/>
                <w:szCs w:val="18"/>
              </w:rPr>
            </w:pPr>
            <w:r w:rsidRPr="00B0658A">
              <w:rPr>
                <w:rFonts w:ascii="Times New Roman" w:hAnsi="Times New Roman"/>
                <w:sz w:val="18"/>
                <w:szCs w:val="18"/>
              </w:rPr>
              <w:t>Средства анализа данных/ Инструменты извлечения и трансформации данных (ETL)</w:t>
            </w:r>
          </w:p>
        </w:tc>
        <w:tc>
          <w:tcPr>
            <w:tcW w:w="1842" w:type="dxa"/>
            <w:shd w:val="clear" w:color="000000" w:fill="FFFFFF"/>
            <w:hideMark/>
          </w:tcPr>
          <w:p w14:paraId="503AA6FE" w14:textId="77777777" w:rsidR="00A775DB" w:rsidRPr="00B0658A" w:rsidRDefault="00A775DB" w:rsidP="004F1366">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79" w:type="dxa"/>
            <w:shd w:val="clear" w:color="000000" w:fill="FFFFFF"/>
            <w:vAlign w:val="center"/>
          </w:tcPr>
          <w:p w14:paraId="75254E37"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000000" w:fill="FFFFFF"/>
            <w:vAlign w:val="center"/>
            <w:hideMark/>
          </w:tcPr>
          <w:p w14:paraId="33367C0F"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000000" w:fill="FFFFFF"/>
            <w:vAlign w:val="center"/>
            <w:hideMark/>
          </w:tcPr>
          <w:p w14:paraId="4C420A77"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000000" w:fill="FFFFFF"/>
            <w:vAlign w:val="center"/>
            <w:hideMark/>
          </w:tcPr>
          <w:p w14:paraId="1C9847DB" w14:textId="77777777" w:rsidR="00A775DB" w:rsidRPr="00B0658A" w:rsidRDefault="00A775DB" w:rsidP="004F1366">
            <w:pPr>
              <w:spacing w:after="0" w:line="240" w:lineRule="auto"/>
              <w:jc w:val="center"/>
              <w:rPr>
                <w:rFonts w:ascii="Times New Roman" w:hAnsi="Times New Roman"/>
                <w:sz w:val="18"/>
                <w:szCs w:val="18"/>
              </w:rPr>
            </w:pPr>
          </w:p>
        </w:tc>
        <w:tc>
          <w:tcPr>
            <w:tcW w:w="992" w:type="dxa"/>
            <w:shd w:val="clear" w:color="000000" w:fill="FFFFFF"/>
            <w:vAlign w:val="center"/>
          </w:tcPr>
          <w:p w14:paraId="1909611F" w14:textId="77777777" w:rsidR="00A775DB" w:rsidRPr="00B0658A" w:rsidRDefault="00A775DB" w:rsidP="004F1366">
            <w:pPr>
              <w:spacing w:after="0" w:line="240" w:lineRule="auto"/>
              <w:jc w:val="center"/>
              <w:rPr>
                <w:rFonts w:ascii="Times New Roman" w:hAnsi="Times New Roman"/>
                <w:sz w:val="18"/>
                <w:szCs w:val="18"/>
              </w:rPr>
            </w:pPr>
          </w:p>
        </w:tc>
        <w:tc>
          <w:tcPr>
            <w:tcW w:w="803" w:type="dxa"/>
            <w:shd w:val="clear" w:color="000000" w:fill="FFFFFF"/>
            <w:vAlign w:val="center"/>
            <w:hideMark/>
          </w:tcPr>
          <w:p w14:paraId="17DF9D75" w14:textId="77777777" w:rsidR="00A775DB" w:rsidRPr="00B0658A" w:rsidRDefault="00A775DB" w:rsidP="004F1366">
            <w:pPr>
              <w:spacing w:after="0" w:line="240" w:lineRule="auto"/>
              <w:jc w:val="center"/>
              <w:rPr>
                <w:rFonts w:ascii="Times New Roman" w:hAnsi="Times New Roman"/>
                <w:sz w:val="18"/>
                <w:szCs w:val="18"/>
              </w:rPr>
            </w:pPr>
          </w:p>
        </w:tc>
        <w:tc>
          <w:tcPr>
            <w:tcW w:w="803" w:type="dxa"/>
            <w:shd w:val="clear" w:color="000000" w:fill="FFFFFF"/>
            <w:vAlign w:val="center"/>
            <w:hideMark/>
          </w:tcPr>
          <w:p w14:paraId="78A85802" w14:textId="77777777" w:rsidR="00A775DB" w:rsidRPr="00B0658A" w:rsidRDefault="00A775DB" w:rsidP="004F1366">
            <w:pPr>
              <w:spacing w:after="0" w:line="240" w:lineRule="auto"/>
              <w:jc w:val="center"/>
              <w:rPr>
                <w:rFonts w:ascii="Times New Roman" w:hAnsi="Times New Roman"/>
                <w:sz w:val="18"/>
                <w:szCs w:val="18"/>
              </w:rPr>
            </w:pPr>
          </w:p>
        </w:tc>
        <w:tc>
          <w:tcPr>
            <w:tcW w:w="804" w:type="dxa"/>
            <w:shd w:val="clear" w:color="000000" w:fill="FFFFFF"/>
            <w:vAlign w:val="center"/>
            <w:hideMark/>
          </w:tcPr>
          <w:p w14:paraId="6D454201" w14:textId="77777777" w:rsidR="00A775DB" w:rsidRPr="00B0658A" w:rsidRDefault="00A775DB" w:rsidP="004F1366">
            <w:pPr>
              <w:spacing w:after="0" w:line="240" w:lineRule="auto"/>
              <w:jc w:val="center"/>
              <w:rPr>
                <w:rFonts w:ascii="Times New Roman" w:hAnsi="Times New Roman"/>
                <w:sz w:val="18"/>
                <w:szCs w:val="18"/>
              </w:rPr>
            </w:pPr>
          </w:p>
        </w:tc>
        <w:tc>
          <w:tcPr>
            <w:tcW w:w="1530" w:type="dxa"/>
            <w:shd w:val="clear" w:color="000000" w:fill="FFFFFF"/>
            <w:vAlign w:val="center"/>
          </w:tcPr>
          <w:p w14:paraId="1502152E" w14:textId="77777777" w:rsidR="00A775DB" w:rsidRPr="00B0658A" w:rsidRDefault="00A775DB" w:rsidP="004F1366">
            <w:pPr>
              <w:spacing w:after="0" w:line="240" w:lineRule="auto"/>
              <w:jc w:val="center"/>
              <w:rPr>
                <w:rFonts w:ascii="Times New Roman" w:hAnsi="Times New Roman"/>
                <w:sz w:val="18"/>
                <w:szCs w:val="18"/>
              </w:rPr>
            </w:pPr>
          </w:p>
        </w:tc>
      </w:tr>
      <w:tr w:rsidR="00F52FED" w:rsidRPr="00B0658A" w14:paraId="76662B64" w14:textId="77777777" w:rsidTr="004F1366">
        <w:trPr>
          <w:trHeight w:val="20"/>
        </w:trPr>
        <w:tc>
          <w:tcPr>
            <w:tcW w:w="578" w:type="dxa"/>
            <w:shd w:val="clear" w:color="000000" w:fill="FFFFFF"/>
            <w:vAlign w:val="center"/>
          </w:tcPr>
          <w:p w14:paraId="0DEE2C37" w14:textId="77777777" w:rsidR="00A775DB" w:rsidRPr="00B0658A" w:rsidRDefault="00A775DB" w:rsidP="004F1366">
            <w:pPr>
              <w:spacing w:after="0" w:line="240" w:lineRule="auto"/>
              <w:jc w:val="center"/>
              <w:rPr>
                <w:rFonts w:ascii="Times New Roman" w:hAnsi="Times New Roman"/>
                <w:sz w:val="18"/>
                <w:szCs w:val="18"/>
              </w:rPr>
            </w:pPr>
            <w:r w:rsidRPr="00B0658A">
              <w:rPr>
                <w:rFonts w:ascii="Times New Roman" w:hAnsi="Times New Roman"/>
                <w:sz w:val="18"/>
                <w:szCs w:val="18"/>
              </w:rPr>
              <w:t>11.2</w:t>
            </w:r>
          </w:p>
        </w:tc>
        <w:tc>
          <w:tcPr>
            <w:tcW w:w="3812" w:type="dxa"/>
            <w:shd w:val="clear" w:color="auto" w:fill="auto"/>
            <w:vAlign w:val="center"/>
            <w:hideMark/>
          </w:tcPr>
          <w:p w14:paraId="0522F182" w14:textId="77777777" w:rsidR="00A775DB" w:rsidRPr="00B0658A" w:rsidRDefault="00A775DB" w:rsidP="004F1366">
            <w:pPr>
              <w:spacing w:after="0" w:line="240" w:lineRule="auto"/>
              <w:rPr>
                <w:rFonts w:ascii="Times New Roman" w:hAnsi="Times New Roman"/>
                <w:sz w:val="18"/>
                <w:szCs w:val="18"/>
              </w:rPr>
            </w:pPr>
            <w:r w:rsidRPr="00B0658A">
              <w:rPr>
                <w:rFonts w:ascii="Times New Roman" w:hAnsi="Times New Roman"/>
                <w:sz w:val="18"/>
                <w:szCs w:val="18"/>
              </w:rPr>
              <w:t>Средства анализа данных/ Предметно-ориентированные информационные базы данных (EDW)</w:t>
            </w:r>
          </w:p>
        </w:tc>
        <w:tc>
          <w:tcPr>
            <w:tcW w:w="1842" w:type="dxa"/>
            <w:shd w:val="clear" w:color="000000" w:fill="FFFFFF"/>
            <w:hideMark/>
          </w:tcPr>
          <w:p w14:paraId="2897AC32" w14:textId="77777777" w:rsidR="00A775DB" w:rsidRPr="00B0658A" w:rsidRDefault="00A775DB" w:rsidP="004F1366">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79" w:type="dxa"/>
            <w:shd w:val="clear" w:color="000000" w:fill="FFFFFF"/>
            <w:vAlign w:val="center"/>
          </w:tcPr>
          <w:p w14:paraId="5DB5B4D5"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000000" w:fill="FFFFFF"/>
            <w:vAlign w:val="center"/>
            <w:hideMark/>
          </w:tcPr>
          <w:p w14:paraId="1EE731D6"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000000" w:fill="FFFFFF"/>
            <w:vAlign w:val="center"/>
            <w:hideMark/>
          </w:tcPr>
          <w:p w14:paraId="266FAC25"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000000" w:fill="FFFFFF"/>
            <w:vAlign w:val="center"/>
            <w:hideMark/>
          </w:tcPr>
          <w:p w14:paraId="252BD345" w14:textId="77777777" w:rsidR="00A775DB" w:rsidRPr="00B0658A" w:rsidRDefault="00A775DB" w:rsidP="004F1366">
            <w:pPr>
              <w:spacing w:after="0" w:line="240" w:lineRule="auto"/>
              <w:jc w:val="center"/>
              <w:rPr>
                <w:rFonts w:ascii="Times New Roman" w:hAnsi="Times New Roman"/>
                <w:sz w:val="18"/>
                <w:szCs w:val="18"/>
              </w:rPr>
            </w:pPr>
          </w:p>
        </w:tc>
        <w:tc>
          <w:tcPr>
            <w:tcW w:w="992" w:type="dxa"/>
            <w:shd w:val="clear" w:color="000000" w:fill="FFFFFF"/>
            <w:vAlign w:val="center"/>
          </w:tcPr>
          <w:p w14:paraId="1D54D104" w14:textId="77777777" w:rsidR="00A775DB" w:rsidRPr="00B0658A" w:rsidRDefault="00A775DB" w:rsidP="004F1366">
            <w:pPr>
              <w:spacing w:after="0" w:line="240" w:lineRule="auto"/>
              <w:jc w:val="center"/>
              <w:rPr>
                <w:rFonts w:ascii="Times New Roman" w:hAnsi="Times New Roman"/>
                <w:sz w:val="18"/>
                <w:szCs w:val="18"/>
              </w:rPr>
            </w:pPr>
          </w:p>
        </w:tc>
        <w:tc>
          <w:tcPr>
            <w:tcW w:w="803" w:type="dxa"/>
            <w:shd w:val="clear" w:color="000000" w:fill="FFFFFF"/>
            <w:vAlign w:val="center"/>
            <w:hideMark/>
          </w:tcPr>
          <w:p w14:paraId="59E33CDA" w14:textId="77777777" w:rsidR="00A775DB" w:rsidRPr="00B0658A" w:rsidRDefault="00A775DB" w:rsidP="004F1366">
            <w:pPr>
              <w:spacing w:after="0" w:line="240" w:lineRule="auto"/>
              <w:jc w:val="center"/>
              <w:rPr>
                <w:rFonts w:ascii="Times New Roman" w:hAnsi="Times New Roman"/>
                <w:sz w:val="18"/>
                <w:szCs w:val="18"/>
              </w:rPr>
            </w:pPr>
          </w:p>
        </w:tc>
        <w:tc>
          <w:tcPr>
            <w:tcW w:w="803" w:type="dxa"/>
            <w:shd w:val="clear" w:color="000000" w:fill="FFFFFF"/>
            <w:vAlign w:val="center"/>
            <w:hideMark/>
          </w:tcPr>
          <w:p w14:paraId="7DA24C16" w14:textId="77777777" w:rsidR="00A775DB" w:rsidRPr="00B0658A" w:rsidRDefault="00A775DB" w:rsidP="004F1366">
            <w:pPr>
              <w:spacing w:after="0" w:line="240" w:lineRule="auto"/>
              <w:jc w:val="center"/>
              <w:rPr>
                <w:rFonts w:ascii="Times New Roman" w:hAnsi="Times New Roman"/>
                <w:sz w:val="18"/>
                <w:szCs w:val="18"/>
              </w:rPr>
            </w:pPr>
          </w:p>
        </w:tc>
        <w:tc>
          <w:tcPr>
            <w:tcW w:w="804" w:type="dxa"/>
            <w:shd w:val="clear" w:color="000000" w:fill="FFFFFF"/>
            <w:vAlign w:val="center"/>
            <w:hideMark/>
          </w:tcPr>
          <w:p w14:paraId="564DE07A" w14:textId="77777777" w:rsidR="00A775DB" w:rsidRPr="00B0658A" w:rsidRDefault="00A775DB" w:rsidP="004F1366">
            <w:pPr>
              <w:spacing w:after="0" w:line="240" w:lineRule="auto"/>
              <w:jc w:val="center"/>
              <w:rPr>
                <w:rFonts w:ascii="Times New Roman" w:hAnsi="Times New Roman"/>
                <w:sz w:val="18"/>
                <w:szCs w:val="18"/>
              </w:rPr>
            </w:pPr>
          </w:p>
        </w:tc>
        <w:tc>
          <w:tcPr>
            <w:tcW w:w="1530" w:type="dxa"/>
            <w:shd w:val="clear" w:color="000000" w:fill="FFFFFF"/>
            <w:vAlign w:val="center"/>
          </w:tcPr>
          <w:p w14:paraId="04A98529" w14:textId="77777777" w:rsidR="00A775DB" w:rsidRPr="00B0658A" w:rsidRDefault="00A775DB" w:rsidP="004F1366">
            <w:pPr>
              <w:spacing w:after="0" w:line="240" w:lineRule="auto"/>
              <w:jc w:val="center"/>
              <w:rPr>
                <w:rFonts w:ascii="Times New Roman" w:hAnsi="Times New Roman"/>
                <w:sz w:val="18"/>
                <w:szCs w:val="18"/>
              </w:rPr>
            </w:pPr>
          </w:p>
        </w:tc>
      </w:tr>
      <w:tr w:rsidR="00F52FED" w:rsidRPr="00B0658A" w14:paraId="131168F3" w14:textId="77777777" w:rsidTr="004F1366">
        <w:trPr>
          <w:trHeight w:val="20"/>
        </w:trPr>
        <w:tc>
          <w:tcPr>
            <w:tcW w:w="578" w:type="dxa"/>
            <w:shd w:val="clear" w:color="000000" w:fill="FFFFFF"/>
            <w:vAlign w:val="center"/>
          </w:tcPr>
          <w:p w14:paraId="489B8FB1" w14:textId="77777777" w:rsidR="00A775DB" w:rsidRPr="00B0658A" w:rsidRDefault="00A775DB" w:rsidP="004F1366">
            <w:pPr>
              <w:spacing w:after="0" w:line="240" w:lineRule="auto"/>
              <w:jc w:val="center"/>
              <w:rPr>
                <w:rFonts w:ascii="Times New Roman" w:hAnsi="Times New Roman"/>
                <w:sz w:val="18"/>
                <w:szCs w:val="18"/>
              </w:rPr>
            </w:pPr>
            <w:r w:rsidRPr="00B0658A">
              <w:rPr>
                <w:rFonts w:ascii="Times New Roman" w:hAnsi="Times New Roman"/>
                <w:sz w:val="18"/>
                <w:szCs w:val="18"/>
              </w:rPr>
              <w:t>11.3</w:t>
            </w:r>
          </w:p>
        </w:tc>
        <w:tc>
          <w:tcPr>
            <w:tcW w:w="3812" w:type="dxa"/>
            <w:shd w:val="clear" w:color="auto" w:fill="auto"/>
            <w:vAlign w:val="center"/>
            <w:hideMark/>
          </w:tcPr>
          <w:p w14:paraId="12E45697" w14:textId="77777777" w:rsidR="00A775DB" w:rsidRPr="00B0658A" w:rsidRDefault="00A775DB" w:rsidP="004F1366">
            <w:pPr>
              <w:suppressAutoHyphens/>
              <w:spacing w:after="0" w:line="240" w:lineRule="auto"/>
              <w:rPr>
                <w:rFonts w:ascii="Times New Roman" w:hAnsi="Times New Roman"/>
                <w:sz w:val="18"/>
                <w:szCs w:val="18"/>
              </w:rPr>
            </w:pPr>
            <w:r w:rsidRPr="00B0658A">
              <w:rPr>
                <w:rFonts w:ascii="Times New Roman" w:hAnsi="Times New Roman"/>
                <w:sz w:val="18"/>
                <w:szCs w:val="18"/>
              </w:rPr>
              <w:t>Средства анализа данных/</w:t>
            </w:r>
          </w:p>
          <w:p w14:paraId="5CDA97CD" w14:textId="77777777" w:rsidR="00A775DB" w:rsidRPr="00B0658A" w:rsidRDefault="00A775DB" w:rsidP="004F1366">
            <w:pPr>
              <w:suppressAutoHyphens/>
              <w:spacing w:after="0" w:line="240" w:lineRule="auto"/>
              <w:rPr>
                <w:rFonts w:ascii="Times New Roman" w:hAnsi="Times New Roman"/>
                <w:sz w:val="18"/>
                <w:szCs w:val="18"/>
              </w:rPr>
            </w:pPr>
            <w:r w:rsidRPr="00B0658A">
              <w:rPr>
                <w:rFonts w:ascii="Times New Roman" w:hAnsi="Times New Roman"/>
                <w:sz w:val="18"/>
                <w:szCs w:val="18"/>
              </w:rPr>
              <w:t>Средства аналитической обработки в реальном времени (OLAP)</w:t>
            </w:r>
          </w:p>
        </w:tc>
        <w:tc>
          <w:tcPr>
            <w:tcW w:w="1842" w:type="dxa"/>
            <w:shd w:val="clear" w:color="000000" w:fill="FFFFFF"/>
            <w:hideMark/>
          </w:tcPr>
          <w:p w14:paraId="48FE6F1C" w14:textId="77777777" w:rsidR="00A775DB" w:rsidRPr="00B0658A" w:rsidRDefault="00A775DB" w:rsidP="004F1366">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79" w:type="dxa"/>
            <w:shd w:val="clear" w:color="000000" w:fill="FFFFFF"/>
            <w:vAlign w:val="center"/>
          </w:tcPr>
          <w:p w14:paraId="63F964A1"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000000" w:fill="FFFFFF"/>
            <w:vAlign w:val="center"/>
            <w:hideMark/>
          </w:tcPr>
          <w:p w14:paraId="71965E0F"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000000" w:fill="FFFFFF"/>
            <w:vAlign w:val="center"/>
            <w:hideMark/>
          </w:tcPr>
          <w:p w14:paraId="30A36308"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000000" w:fill="FFFFFF"/>
            <w:vAlign w:val="center"/>
            <w:hideMark/>
          </w:tcPr>
          <w:p w14:paraId="071AEDDF" w14:textId="77777777" w:rsidR="00A775DB" w:rsidRPr="00B0658A" w:rsidRDefault="00A775DB" w:rsidP="004F1366">
            <w:pPr>
              <w:spacing w:after="0" w:line="240" w:lineRule="auto"/>
              <w:jc w:val="center"/>
              <w:rPr>
                <w:rFonts w:ascii="Times New Roman" w:hAnsi="Times New Roman"/>
                <w:sz w:val="18"/>
                <w:szCs w:val="18"/>
              </w:rPr>
            </w:pPr>
          </w:p>
        </w:tc>
        <w:tc>
          <w:tcPr>
            <w:tcW w:w="992" w:type="dxa"/>
            <w:shd w:val="clear" w:color="000000" w:fill="FFFFFF"/>
            <w:vAlign w:val="center"/>
          </w:tcPr>
          <w:p w14:paraId="2F242DD3" w14:textId="77777777" w:rsidR="00A775DB" w:rsidRPr="00B0658A" w:rsidRDefault="00A775DB" w:rsidP="004F1366">
            <w:pPr>
              <w:spacing w:after="0" w:line="240" w:lineRule="auto"/>
              <w:jc w:val="center"/>
              <w:rPr>
                <w:rFonts w:ascii="Times New Roman" w:hAnsi="Times New Roman"/>
                <w:sz w:val="18"/>
                <w:szCs w:val="18"/>
              </w:rPr>
            </w:pPr>
          </w:p>
        </w:tc>
        <w:tc>
          <w:tcPr>
            <w:tcW w:w="803" w:type="dxa"/>
            <w:shd w:val="clear" w:color="000000" w:fill="FFFFFF"/>
            <w:vAlign w:val="center"/>
            <w:hideMark/>
          </w:tcPr>
          <w:p w14:paraId="19FEB8C5" w14:textId="77777777" w:rsidR="00A775DB" w:rsidRPr="00B0658A" w:rsidRDefault="00A775DB" w:rsidP="004F1366">
            <w:pPr>
              <w:spacing w:after="0" w:line="240" w:lineRule="auto"/>
              <w:jc w:val="center"/>
              <w:rPr>
                <w:rFonts w:ascii="Times New Roman" w:hAnsi="Times New Roman"/>
                <w:sz w:val="18"/>
                <w:szCs w:val="18"/>
              </w:rPr>
            </w:pPr>
          </w:p>
        </w:tc>
        <w:tc>
          <w:tcPr>
            <w:tcW w:w="803" w:type="dxa"/>
            <w:shd w:val="clear" w:color="000000" w:fill="FFFFFF"/>
            <w:vAlign w:val="center"/>
            <w:hideMark/>
          </w:tcPr>
          <w:p w14:paraId="5C030B1F" w14:textId="77777777" w:rsidR="00A775DB" w:rsidRPr="00B0658A" w:rsidRDefault="00A775DB" w:rsidP="004F1366">
            <w:pPr>
              <w:spacing w:after="0" w:line="240" w:lineRule="auto"/>
              <w:jc w:val="center"/>
              <w:rPr>
                <w:rFonts w:ascii="Times New Roman" w:hAnsi="Times New Roman"/>
                <w:sz w:val="18"/>
                <w:szCs w:val="18"/>
              </w:rPr>
            </w:pPr>
          </w:p>
        </w:tc>
        <w:tc>
          <w:tcPr>
            <w:tcW w:w="804" w:type="dxa"/>
            <w:shd w:val="clear" w:color="000000" w:fill="FFFFFF"/>
            <w:vAlign w:val="center"/>
            <w:hideMark/>
          </w:tcPr>
          <w:p w14:paraId="7BCE8EE2" w14:textId="77777777" w:rsidR="00A775DB" w:rsidRPr="00B0658A" w:rsidRDefault="00A775DB" w:rsidP="004F1366">
            <w:pPr>
              <w:spacing w:after="0" w:line="240" w:lineRule="auto"/>
              <w:jc w:val="center"/>
              <w:rPr>
                <w:rFonts w:ascii="Times New Roman" w:hAnsi="Times New Roman"/>
                <w:sz w:val="18"/>
                <w:szCs w:val="18"/>
              </w:rPr>
            </w:pPr>
          </w:p>
        </w:tc>
        <w:tc>
          <w:tcPr>
            <w:tcW w:w="1530" w:type="dxa"/>
            <w:shd w:val="clear" w:color="000000" w:fill="FFFFFF"/>
            <w:vAlign w:val="center"/>
          </w:tcPr>
          <w:p w14:paraId="3E4C6026" w14:textId="77777777" w:rsidR="00A775DB" w:rsidRPr="00B0658A" w:rsidRDefault="00A775DB" w:rsidP="004F1366">
            <w:pPr>
              <w:spacing w:after="0" w:line="240" w:lineRule="auto"/>
              <w:jc w:val="center"/>
              <w:rPr>
                <w:rFonts w:ascii="Times New Roman" w:hAnsi="Times New Roman"/>
                <w:sz w:val="18"/>
                <w:szCs w:val="18"/>
              </w:rPr>
            </w:pPr>
          </w:p>
        </w:tc>
      </w:tr>
      <w:tr w:rsidR="00F52FED" w:rsidRPr="00B0658A" w14:paraId="0DE60F2D" w14:textId="77777777" w:rsidTr="004F1366">
        <w:trPr>
          <w:trHeight w:val="20"/>
        </w:trPr>
        <w:tc>
          <w:tcPr>
            <w:tcW w:w="578" w:type="dxa"/>
            <w:shd w:val="clear" w:color="000000" w:fill="FFFFFF"/>
            <w:vAlign w:val="center"/>
          </w:tcPr>
          <w:p w14:paraId="1DF3EF45" w14:textId="77777777" w:rsidR="00A775DB" w:rsidRPr="00B0658A" w:rsidRDefault="00A775DB" w:rsidP="004F1366">
            <w:pPr>
              <w:spacing w:after="0" w:line="240" w:lineRule="auto"/>
              <w:jc w:val="center"/>
              <w:rPr>
                <w:rFonts w:ascii="Times New Roman" w:hAnsi="Times New Roman"/>
                <w:sz w:val="18"/>
                <w:szCs w:val="18"/>
              </w:rPr>
            </w:pPr>
            <w:r w:rsidRPr="00B0658A">
              <w:rPr>
                <w:rFonts w:ascii="Times New Roman" w:hAnsi="Times New Roman"/>
                <w:sz w:val="18"/>
                <w:szCs w:val="18"/>
              </w:rPr>
              <w:t>11.4</w:t>
            </w:r>
          </w:p>
        </w:tc>
        <w:tc>
          <w:tcPr>
            <w:tcW w:w="3812" w:type="dxa"/>
            <w:shd w:val="clear" w:color="auto" w:fill="auto"/>
            <w:vAlign w:val="center"/>
            <w:hideMark/>
          </w:tcPr>
          <w:p w14:paraId="322EFE5D" w14:textId="77777777" w:rsidR="00A775DB" w:rsidRPr="00B0658A" w:rsidRDefault="00A775DB" w:rsidP="004F1366">
            <w:pPr>
              <w:suppressAutoHyphens/>
              <w:spacing w:after="0" w:line="240" w:lineRule="auto"/>
              <w:rPr>
                <w:rFonts w:ascii="Times New Roman" w:hAnsi="Times New Roman"/>
                <w:sz w:val="18"/>
                <w:szCs w:val="18"/>
              </w:rPr>
            </w:pPr>
            <w:r w:rsidRPr="00B0658A">
              <w:rPr>
                <w:rFonts w:ascii="Times New Roman" w:hAnsi="Times New Roman"/>
                <w:sz w:val="18"/>
                <w:szCs w:val="18"/>
              </w:rPr>
              <w:t xml:space="preserve">Средства анализа данных/ </w:t>
            </w:r>
          </w:p>
          <w:p w14:paraId="4FE0F686" w14:textId="77777777" w:rsidR="00A775DB" w:rsidRPr="00B0658A" w:rsidRDefault="00A775DB" w:rsidP="004F1366">
            <w:pPr>
              <w:suppressAutoHyphens/>
              <w:spacing w:after="0" w:line="240" w:lineRule="auto"/>
              <w:rPr>
                <w:rFonts w:ascii="Times New Roman" w:hAnsi="Times New Roman"/>
                <w:sz w:val="18"/>
                <w:szCs w:val="18"/>
              </w:rPr>
            </w:pPr>
            <w:r w:rsidRPr="00B0658A">
              <w:rPr>
                <w:rFonts w:ascii="Times New Roman" w:hAnsi="Times New Roman"/>
                <w:sz w:val="18"/>
                <w:szCs w:val="18"/>
              </w:rPr>
              <w:t>Средства интеллектуального анализа данных (Data Mining)</w:t>
            </w:r>
          </w:p>
        </w:tc>
        <w:tc>
          <w:tcPr>
            <w:tcW w:w="1842" w:type="dxa"/>
            <w:shd w:val="clear" w:color="000000" w:fill="FFFFFF"/>
            <w:hideMark/>
          </w:tcPr>
          <w:p w14:paraId="045E4A20" w14:textId="77777777" w:rsidR="00A775DB" w:rsidRPr="00B0658A" w:rsidRDefault="00A775DB" w:rsidP="004F1366">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79" w:type="dxa"/>
            <w:shd w:val="clear" w:color="000000" w:fill="FFFFFF"/>
            <w:vAlign w:val="center"/>
          </w:tcPr>
          <w:p w14:paraId="304E6021"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000000" w:fill="FFFFFF"/>
            <w:vAlign w:val="center"/>
            <w:hideMark/>
          </w:tcPr>
          <w:p w14:paraId="49CA95CC"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000000" w:fill="FFFFFF"/>
            <w:vAlign w:val="center"/>
            <w:hideMark/>
          </w:tcPr>
          <w:p w14:paraId="7BE19BB5"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000000" w:fill="FFFFFF"/>
            <w:vAlign w:val="center"/>
            <w:hideMark/>
          </w:tcPr>
          <w:p w14:paraId="191F5E7A" w14:textId="77777777" w:rsidR="00A775DB" w:rsidRPr="00B0658A" w:rsidRDefault="00A775DB" w:rsidP="004F1366">
            <w:pPr>
              <w:spacing w:after="0" w:line="240" w:lineRule="auto"/>
              <w:jc w:val="center"/>
              <w:rPr>
                <w:rFonts w:ascii="Times New Roman" w:hAnsi="Times New Roman"/>
                <w:sz w:val="18"/>
                <w:szCs w:val="18"/>
              </w:rPr>
            </w:pPr>
          </w:p>
        </w:tc>
        <w:tc>
          <w:tcPr>
            <w:tcW w:w="992" w:type="dxa"/>
            <w:shd w:val="clear" w:color="000000" w:fill="FFFFFF"/>
            <w:vAlign w:val="center"/>
          </w:tcPr>
          <w:p w14:paraId="63781B33" w14:textId="77777777" w:rsidR="00A775DB" w:rsidRPr="00B0658A" w:rsidRDefault="00A775DB" w:rsidP="004F1366">
            <w:pPr>
              <w:spacing w:after="0" w:line="240" w:lineRule="auto"/>
              <w:jc w:val="center"/>
              <w:rPr>
                <w:rFonts w:ascii="Times New Roman" w:hAnsi="Times New Roman"/>
                <w:sz w:val="18"/>
                <w:szCs w:val="18"/>
              </w:rPr>
            </w:pPr>
          </w:p>
        </w:tc>
        <w:tc>
          <w:tcPr>
            <w:tcW w:w="803" w:type="dxa"/>
            <w:shd w:val="clear" w:color="000000" w:fill="FFFFFF"/>
            <w:vAlign w:val="center"/>
            <w:hideMark/>
          </w:tcPr>
          <w:p w14:paraId="11B86C2A" w14:textId="77777777" w:rsidR="00A775DB" w:rsidRPr="00B0658A" w:rsidRDefault="00A775DB" w:rsidP="004F1366">
            <w:pPr>
              <w:spacing w:after="0" w:line="240" w:lineRule="auto"/>
              <w:jc w:val="center"/>
              <w:rPr>
                <w:rFonts w:ascii="Times New Roman" w:hAnsi="Times New Roman"/>
                <w:sz w:val="18"/>
                <w:szCs w:val="18"/>
              </w:rPr>
            </w:pPr>
          </w:p>
        </w:tc>
        <w:tc>
          <w:tcPr>
            <w:tcW w:w="803" w:type="dxa"/>
            <w:shd w:val="clear" w:color="000000" w:fill="FFFFFF"/>
            <w:vAlign w:val="center"/>
            <w:hideMark/>
          </w:tcPr>
          <w:p w14:paraId="6B1A4BAA" w14:textId="77777777" w:rsidR="00A775DB" w:rsidRPr="00B0658A" w:rsidRDefault="00A775DB" w:rsidP="004F1366">
            <w:pPr>
              <w:spacing w:after="0" w:line="240" w:lineRule="auto"/>
              <w:jc w:val="center"/>
              <w:rPr>
                <w:rFonts w:ascii="Times New Roman" w:hAnsi="Times New Roman"/>
                <w:sz w:val="18"/>
                <w:szCs w:val="18"/>
              </w:rPr>
            </w:pPr>
          </w:p>
        </w:tc>
        <w:tc>
          <w:tcPr>
            <w:tcW w:w="804" w:type="dxa"/>
            <w:shd w:val="clear" w:color="000000" w:fill="FFFFFF"/>
            <w:vAlign w:val="center"/>
            <w:hideMark/>
          </w:tcPr>
          <w:p w14:paraId="6AD5B2BD" w14:textId="77777777" w:rsidR="00A775DB" w:rsidRPr="00B0658A" w:rsidRDefault="00A775DB" w:rsidP="004F1366">
            <w:pPr>
              <w:spacing w:after="0" w:line="240" w:lineRule="auto"/>
              <w:jc w:val="center"/>
              <w:rPr>
                <w:rFonts w:ascii="Times New Roman" w:hAnsi="Times New Roman"/>
                <w:sz w:val="18"/>
                <w:szCs w:val="18"/>
              </w:rPr>
            </w:pPr>
          </w:p>
        </w:tc>
        <w:tc>
          <w:tcPr>
            <w:tcW w:w="1530" w:type="dxa"/>
            <w:shd w:val="clear" w:color="000000" w:fill="FFFFFF"/>
            <w:vAlign w:val="center"/>
          </w:tcPr>
          <w:p w14:paraId="2336F1C6" w14:textId="77777777" w:rsidR="00A775DB" w:rsidRPr="00B0658A" w:rsidRDefault="00A775DB" w:rsidP="004F1366">
            <w:pPr>
              <w:spacing w:after="0" w:line="240" w:lineRule="auto"/>
              <w:jc w:val="center"/>
              <w:rPr>
                <w:rFonts w:ascii="Times New Roman" w:hAnsi="Times New Roman"/>
                <w:sz w:val="18"/>
                <w:szCs w:val="18"/>
              </w:rPr>
            </w:pPr>
          </w:p>
        </w:tc>
      </w:tr>
      <w:tr w:rsidR="00F52FED" w:rsidRPr="00B0658A" w14:paraId="12E2D1DE" w14:textId="77777777" w:rsidTr="004F1366">
        <w:trPr>
          <w:trHeight w:val="20"/>
        </w:trPr>
        <w:tc>
          <w:tcPr>
            <w:tcW w:w="578" w:type="dxa"/>
            <w:shd w:val="clear" w:color="000000" w:fill="FFFFFF"/>
            <w:vAlign w:val="center"/>
          </w:tcPr>
          <w:p w14:paraId="4DE0E772" w14:textId="77777777" w:rsidR="00A775DB" w:rsidRPr="00B0658A" w:rsidRDefault="00A775DB" w:rsidP="004F1366">
            <w:pPr>
              <w:spacing w:after="0" w:line="240" w:lineRule="auto"/>
              <w:jc w:val="center"/>
              <w:rPr>
                <w:rFonts w:ascii="Times New Roman" w:hAnsi="Times New Roman"/>
                <w:sz w:val="18"/>
                <w:szCs w:val="18"/>
              </w:rPr>
            </w:pPr>
            <w:r w:rsidRPr="00B0658A">
              <w:rPr>
                <w:rFonts w:ascii="Times New Roman" w:hAnsi="Times New Roman"/>
                <w:sz w:val="18"/>
                <w:szCs w:val="18"/>
              </w:rPr>
              <w:t>11.5</w:t>
            </w:r>
          </w:p>
        </w:tc>
        <w:tc>
          <w:tcPr>
            <w:tcW w:w="3812" w:type="dxa"/>
            <w:shd w:val="clear" w:color="auto" w:fill="auto"/>
            <w:vAlign w:val="center"/>
            <w:hideMark/>
          </w:tcPr>
          <w:p w14:paraId="481BDFCC" w14:textId="77777777" w:rsidR="00A775DB" w:rsidRPr="00B0658A" w:rsidRDefault="00A775DB" w:rsidP="004F1366">
            <w:pPr>
              <w:suppressAutoHyphens/>
              <w:spacing w:after="0" w:line="240" w:lineRule="auto"/>
              <w:rPr>
                <w:rFonts w:ascii="Times New Roman" w:hAnsi="Times New Roman"/>
                <w:sz w:val="18"/>
                <w:szCs w:val="18"/>
              </w:rPr>
            </w:pPr>
            <w:r w:rsidRPr="00B0658A">
              <w:rPr>
                <w:rFonts w:ascii="Times New Roman" w:hAnsi="Times New Roman"/>
                <w:sz w:val="18"/>
                <w:szCs w:val="18"/>
              </w:rPr>
              <w:t xml:space="preserve">Средства анализа данных/ </w:t>
            </w:r>
          </w:p>
          <w:p w14:paraId="706577B6" w14:textId="77777777" w:rsidR="00A775DB" w:rsidRPr="00B0658A" w:rsidRDefault="00A775DB" w:rsidP="004F1366">
            <w:pPr>
              <w:suppressAutoHyphens/>
              <w:spacing w:after="0" w:line="240" w:lineRule="auto"/>
              <w:rPr>
                <w:rFonts w:ascii="Times New Roman" w:hAnsi="Times New Roman"/>
                <w:sz w:val="18"/>
                <w:szCs w:val="18"/>
              </w:rPr>
            </w:pPr>
            <w:r w:rsidRPr="00B0658A">
              <w:rPr>
                <w:rFonts w:ascii="Times New Roman" w:hAnsi="Times New Roman"/>
                <w:sz w:val="18"/>
                <w:szCs w:val="18"/>
              </w:rPr>
              <w:t>Средства поддержки принятия решений (DSS)</w:t>
            </w:r>
          </w:p>
        </w:tc>
        <w:tc>
          <w:tcPr>
            <w:tcW w:w="1842" w:type="dxa"/>
            <w:shd w:val="clear" w:color="000000" w:fill="FFFFFF"/>
            <w:hideMark/>
          </w:tcPr>
          <w:p w14:paraId="7FAE82D1" w14:textId="77777777" w:rsidR="00A775DB" w:rsidRPr="00B0658A" w:rsidRDefault="00A775DB" w:rsidP="004F1366">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79" w:type="dxa"/>
            <w:shd w:val="clear" w:color="000000" w:fill="FFFFFF"/>
            <w:vAlign w:val="center"/>
          </w:tcPr>
          <w:p w14:paraId="64DD75F3"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000000" w:fill="FFFFFF"/>
            <w:vAlign w:val="center"/>
            <w:hideMark/>
          </w:tcPr>
          <w:p w14:paraId="1F02C605"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000000" w:fill="FFFFFF"/>
            <w:vAlign w:val="center"/>
            <w:hideMark/>
          </w:tcPr>
          <w:p w14:paraId="48736005"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000000" w:fill="FFFFFF"/>
            <w:vAlign w:val="center"/>
            <w:hideMark/>
          </w:tcPr>
          <w:p w14:paraId="0D376E1F" w14:textId="77777777" w:rsidR="00A775DB" w:rsidRPr="00B0658A" w:rsidRDefault="00A775DB" w:rsidP="004F1366">
            <w:pPr>
              <w:spacing w:after="0" w:line="240" w:lineRule="auto"/>
              <w:jc w:val="center"/>
              <w:rPr>
                <w:rFonts w:ascii="Times New Roman" w:hAnsi="Times New Roman"/>
                <w:sz w:val="18"/>
                <w:szCs w:val="18"/>
              </w:rPr>
            </w:pPr>
          </w:p>
        </w:tc>
        <w:tc>
          <w:tcPr>
            <w:tcW w:w="992" w:type="dxa"/>
            <w:shd w:val="clear" w:color="000000" w:fill="FFFFFF"/>
            <w:vAlign w:val="center"/>
          </w:tcPr>
          <w:p w14:paraId="2288479F" w14:textId="77777777" w:rsidR="00A775DB" w:rsidRPr="00B0658A" w:rsidRDefault="00A775DB" w:rsidP="004F1366">
            <w:pPr>
              <w:spacing w:after="0" w:line="240" w:lineRule="auto"/>
              <w:jc w:val="center"/>
              <w:rPr>
                <w:rFonts w:ascii="Times New Roman" w:hAnsi="Times New Roman"/>
                <w:sz w:val="18"/>
                <w:szCs w:val="18"/>
              </w:rPr>
            </w:pPr>
          </w:p>
        </w:tc>
        <w:tc>
          <w:tcPr>
            <w:tcW w:w="803" w:type="dxa"/>
            <w:shd w:val="clear" w:color="000000" w:fill="FFFFFF"/>
            <w:vAlign w:val="center"/>
            <w:hideMark/>
          </w:tcPr>
          <w:p w14:paraId="6130669E" w14:textId="77777777" w:rsidR="00A775DB" w:rsidRPr="00B0658A" w:rsidRDefault="00A775DB" w:rsidP="004F1366">
            <w:pPr>
              <w:spacing w:after="0" w:line="240" w:lineRule="auto"/>
              <w:jc w:val="center"/>
              <w:rPr>
                <w:rFonts w:ascii="Times New Roman" w:hAnsi="Times New Roman"/>
                <w:sz w:val="18"/>
                <w:szCs w:val="18"/>
              </w:rPr>
            </w:pPr>
          </w:p>
        </w:tc>
        <w:tc>
          <w:tcPr>
            <w:tcW w:w="803" w:type="dxa"/>
            <w:shd w:val="clear" w:color="000000" w:fill="FFFFFF"/>
            <w:vAlign w:val="center"/>
            <w:hideMark/>
          </w:tcPr>
          <w:p w14:paraId="18DD9CA8" w14:textId="77777777" w:rsidR="00A775DB" w:rsidRPr="00B0658A" w:rsidRDefault="00A775DB" w:rsidP="004F1366">
            <w:pPr>
              <w:spacing w:after="0" w:line="240" w:lineRule="auto"/>
              <w:jc w:val="center"/>
              <w:rPr>
                <w:rFonts w:ascii="Times New Roman" w:hAnsi="Times New Roman"/>
                <w:sz w:val="18"/>
                <w:szCs w:val="18"/>
              </w:rPr>
            </w:pPr>
          </w:p>
        </w:tc>
        <w:tc>
          <w:tcPr>
            <w:tcW w:w="804" w:type="dxa"/>
            <w:shd w:val="clear" w:color="000000" w:fill="FFFFFF"/>
            <w:vAlign w:val="center"/>
            <w:hideMark/>
          </w:tcPr>
          <w:p w14:paraId="08CFAA08" w14:textId="77777777" w:rsidR="00A775DB" w:rsidRPr="00B0658A" w:rsidRDefault="00A775DB" w:rsidP="004F1366">
            <w:pPr>
              <w:spacing w:after="0" w:line="240" w:lineRule="auto"/>
              <w:jc w:val="center"/>
              <w:rPr>
                <w:rFonts w:ascii="Times New Roman" w:hAnsi="Times New Roman"/>
                <w:sz w:val="18"/>
                <w:szCs w:val="18"/>
              </w:rPr>
            </w:pPr>
          </w:p>
        </w:tc>
        <w:tc>
          <w:tcPr>
            <w:tcW w:w="1530" w:type="dxa"/>
            <w:shd w:val="clear" w:color="000000" w:fill="FFFFFF"/>
            <w:vAlign w:val="center"/>
          </w:tcPr>
          <w:p w14:paraId="21BAB5F2" w14:textId="77777777" w:rsidR="00A775DB" w:rsidRPr="00B0658A" w:rsidRDefault="00A775DB" w:rsidP="004F1366">
            <w:pPr>
              <w:spacing w:after="0" w:line="240" w:lineRule="auto"/>
              <w:jc w:val="center"/>
              <w:rPr>
                <w:rFonts w:ascii="Times New Roman" w:hAnsi="Times New Roman"/>
                <w:sz w:val="18"/>
                <w:szCs w:val="18"/>
              </w:rPr>
            </w:pPr>
          </w:p>
        </w:tc>
      </w:tr>
      <w:tr w:rsidR="00A775DB" w:rsidRPr="00B0658A" w14:paraId="0E7CB907" w14:textId="77777777" w:rsidTr="004F1366">
        <w:trPr>
          <w:trHeight w:val="20"/>
        </w:trPr>
        <w:tc>
          <w:tcPr>
            <w:tcW w:w="578" w:type="dxa"/>
            <w:shd w:val="clear" w:color="000000" w:fill="FFFFFF"/>
            <w:vAlign w:val="center"/>
          </w:tcPr>
          <w:p w14:paraId="2299FA08" w14:textId="77777777" w:rsidR="00A775DB" w:rsidRPr="00B0658A" w:rsidRDefault="00A775DB" w:rsidP="004F1366">
            <w:pPr>
              <w:spacing w:after="0" w:line="240" w:lineRule="auto"/>
              <w:jc w:val="center"/>
              <w:rPr>
                <w:rFonts w:ascii="Times New Roman" w:hAnsi="Times New Roman"/>
                <w:sz w:val="18"/>
                <w:szCs w:val="18"/>
              </w:rPr>
            </w:pPr>
            <w:r w:rsidRPr="00B0658A">
              <w:rPr>
                <w:rFonts w:ascii="Times New Roman" w:hAnsi="Times New Roman"/>
                <w:sz w:val="18"/>
                <w:szCs w:val="18"/>
              </w:rPr>
              <w:t>11.6</w:t>
            </w:r>
          </w:p>
        </w:tc>
        <w:tc>
          <w:tcPr>
            <w:tcW w:w="3812" w:type="dxa"/>
            <w:shd w:val="clear" w:color="auto" w:fill="auto"/>
            <w:vAlign w:val="center"/>
            <w:hideMark/>
          </w:tcPr>
          <w:p w14:paraId="0819CA38" w14:textId="77777777" w:rsidR="00A775DB" w:rsidRPr="00B0658A" w:rsidRDefault="00A775DB" w:rsidP="004F1366">
            <w:pPr>
              <w:spacing w:after="0" w:line="240" w:lineRule="auto"/>
              <w:rPr>
                <w:rFonts w:ascii="Times New Roman" w:hAnsi="Times New Roman"/>
                <w:sz w:val="18"/>
                <w:szCs w:val="18"/>
              </w:rPr>
            </w:pPr>
            <w:r w:rsidRPr="00B0658A">
              <w:rPr>
                <w:rFonts w:ascii="Times New Roman" w:hAnsi="Times New Roman"/>
                <w:sz w:val="18"/>
                <w:szCs w:val="18"/>
              </w:rPr>
              <w:t xml:space="preserve">Средства анализа данных/ Инструменты обработки, анализа </w:t>
            </w:r>
            <w:r w:rsidRPr="00B0658A">
              <w:rPr>
                <w:rFonts w:ascii="Times New Roman" w:hAnsi="Times New Roman"/>
                <w:sz w:val="18"/>
                <w:szCs w:val="18"/>
              </w:rPr>
              <w:br/>
              <w:t>и распознавания изображений</w:t>
            </w:r>
          </w:p>
        </w:tc>
        <w:tc>
          <w:tcPr>
            <w:tcW w:w="1842" w:type="dxa"/>
            <w:shd w:val="clear" w:color="000000" w:fill="FFFFFF"/>
            <w:hideMark/>
          </w:tcPr>
          <w:p w14:paraId="606F7A7E" w14:textId="77777777" w:rsidR="00A775DB" w:rsidRPr="00B0658A" w:rsidRDefault="00A775DB" w:rsidP="004F1366">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779" w:type="dxa"/>
            <w:shd w:val="clear" w:color="000000" w:fill="FFFFFF"/>
            <w:vAlign w:val="center"/>
          </w:tcPr>
          <w:p w14:paraId="2FBB1DCC"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000000" w:fill="FFFFFF"/>
            <w:vAlign w:val="center"/>
            <w:hideMark/>
          </w:tcPr>
          <w:p w14:paraId="3872F5C6"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000000" w:fill="FFFFFF"/>
            <w:vAlign w:val="center"/>
            <w:hideMark/>
          </w:tcPr>
          <w:p w14:paraId="2D4B7E87" w14:textId="77777777" w:rsidR="00A775DB" w:rsidRPr="00B0658A" w:rsidRDefault="00A775DB" w:rsidP="004F1366">
            <w:pPr>
              <w:spacing w:after="0" w:line="240" w:lineRule="auto"/>
              <w:jc w:val="center"/>
              <w:rPr>
                <w:rFonts w:ascii="Times New Roman" w:hAnsi="Times New Roman"/>
                <w:sz w:val="18"/>
                <w:szCs w:val="18"/>
              </w:rPr>
            </w:pPr>
          </w:p>
        </w:tc>
        <w:tc>
          <w:tcPr>
            <w:tcW w:w="780" w:type="dxa"/>
            <w:shd w:val="clear" w:color="000000" w:fill="FFFFFF"/>
            <w:vAlign w:val="center"/>
            <w:hideMark/>
          </w:tcPr>
          <w:p w14:paraId="4441D377" w14:textId="77777777" w:rsidR="00A775DB" w:rsidRPr="00B0658A" w:rsidRDefault="00A775DB" w:rsidP="004F1366">
            <w:pPr>
              <w:spacing w:after="0" w:line="240" w:lineRule="auto"/>
              <w:jc w:val="center"/>
              <w:rPr>
                <w:rFonts w:ascii="Times New Roman" w:hAnsi="Times New Roman"/>
                <w:sz w:val="18"/>
                <w:szCs w:val="18"/>
              </w:rPr>
            </w:pPr>
          </w:p>
        </w:tc>
        <w:tc>
          <w:tcPr>
            <w:tcW w:w="992" w:type="dxa"/>
            <w:shd w:val="clear" w:color="000000" w:fill="FFFFFF"/>
            <w:vAlign w:val="center"/>
          </w:tcPr>
          <w:p w14:paraId="2C5A4E94" w14:textId="77777777" w:rsidR="00A775DB" w:rsidRPr="00B0658A" w:rsidRDefault="00A775DB" w:rsidP="004F1366">
            <w:pPr>
              <w:spacing w:after="0" w:line="240" w:lineRule="auto"/>
              <w:jc w:val="center"/>
              <w:rPr>
                <w:rFonts w:ascii="Times New Roman" w:hAnsi="Times New Roman"/>
                <w:sz w:val="18"/>
                <w:szCs w:val="18"/>
              </w:rPr>
            </w:pPr>
          </w:p>
        </w:tc>
        <w:tc>
          <w:tcPr>
            <w:tcW w:w="803" w:type="dxa"/>
            <w:shd w:val="clear" w:color="000000" w:fill="FFFFFF"/>
            <w:vAlign w:val="center"/>
            <w:hideMark/>
          </w:tcPr>
          <w:p w14:paraId="1F854F25" w14:textId="77777777" w:rsidR="00A775DB" w:rsidRPr="00B0658A" w:rsidRDefault="00A775DB" w:rsidP="004F1366">
            <w:pPr>
              <w:spacing w:after="0" w:line="240" w:lineRule="auto"/>
              <w:jc w:val="center"/>
              <w:rPr>
                <w:rFonts w:ascii="Times New Roman" w:hAnsi="Times New Roman"/>
                <w:sz w:val="18"/>
                <w:szCs w:val="18"/>
              </w:rPr>
            </w:pPr>
          </w:p>
        </w:tc>
        <w:tc>
          <w:tcPr>
            <w:tcW w:w="803" w:type="dxa"/>
            <w:shd w:val="clear" w:color="000000" w:fill="FFFFFF"/>
            <w:vAlign w:val="center"/>
            <w:hideMark/>
          </w:tcPr>
          <w:p w14:paraId="583A0DF0" w14:textId="77777777" w:rsidR="00A775DB" w:rsidRPr="00B0658A" w:rsidRDefault="00A775DB" w:rsidP="004F1366">
            <w:pPr>
              <w:spacing w:after="0" w:line="240" w:lineRule="auto"/>
              <w:jc w:val="center"/>
              <w:rPr>
                <w:rFonts w:ascii="Times New Roman" w:hAnsi="Times New Roman"/>
                <w:sz w:val="18"/>
                <w:szCs w:val="18"/>
              </w:rPr>
            </w:pPr>
          </w:p>
        </w:tc>
        <w:tc>
          <w:tcPr>
            <w:tcW w:w="804" w:type="dxa"/>
            <w:shd w:val="clear" w:color="000000" w:fill="FFFFFF"/>
            <w:vAlign w:val="center"/>
            <w:hideMark/>
          </w:tcPr>
          <w:p w14:paraId="4635A5AD" w14:textId="77777777" w:rsidR="00A775DB" w:rsidRPr="00B0658A" w:rsidRDefault="00A775DB" w:rsidP="004F1366">
            <w:pPr>
              <w:spacing w:after="0" w:line="240" w:lineRule="auto"/>
              <w:jc w:val="center"/>
              <w:rPr>
                <w:rFonts w:ascii="Times New Roman" w:hAnsi="Times New Roman"/>
                <w:sz w:val="18"/>
                <w:szCs w:val="18"/>
              </w:rPr>
            </w:pPr>
          </w:p>
        </w:tc>
        <w:tc>
          <w:tcPr>
            <w:tcW w:w="1530" w:type="dxa"/>
            <w:shd w:val="clear" w:color="000000" w:fill="FFFFFF"/>
            <w:vAlign w:val="center"/>
          </w:tcPr>
          <w:p w14:paraId="1321B07F" w14:textId="77777777" w:rsidR="00A775DB" w:rsidRPr="00B0658A" w:rsidRDefault="00A775DB" w:rsidP="004F1366">
            <w:pPr>
              <w:spacing w:after="0" w:line="240" w:lineRule="auto"/>
              <w:jc w:val="center"/>
              <w:rPr>
                <w:rFonts w:ascii="Times New Roman" w:hAnsi="Times New Roman"/>
                <w:sz w:val="18"/>
                <w:szCs w:val="18"/>
              </w:rPr>
            </w:pPr>
          </w:p>
        </w:tc>
      </w:tr>
    </w:tbl>
    <w:p w14:paraId="61D3008E" w14:textId="77777777" w:rsidR="009F4B0E" w:rsidRDefault="009F4B0E" w:rsidP="00A775DB">
      <w:pPr>
        <w:pStyle w:val="ConsPlusNormal"/>
        <w:spacing w:before="120"/>
        <w:jc w:val="both"/>
        <w:rPr>
          <w:sz w:val="28"/>
        </w:rPr>
      </w:pPr>
    </w:p>
    <w:p w14:paraId="76C93E92" w14:textId="77777777" w:rsidR="009F4B0E" w:rsidRDefault="009F4B0E">
      <w:pPr>
        <w:spacing w:after="0" w:line="240" w:lineRule="auto"/>
        <w:rPr>
          <w:rFonts w:ascii="Times New Roman" w:hAnsi="Times New Roman"/>
          <w:sz w:val="28"/>
          <w:szCs w:val="24"/>
        </w:rPr>
      </w:pPr>
      <w:r>
        <w:rPr>
          <w:sz w:val="28"/>
        </w:rPr>
        <w:br w:type="page"/>
      </w:r>
    </w:p>
    <w:p w14:paraId="217251F7" w14:textId="77777777" w:rsidR="00A775DB" w:rsidRPr="00B0658A" w:rsidRDefault="00A775DB" w:rsidP="00A775DB">
      <w:pPr>
        <w:pStyle w:val="ConsPlusNormal"/>
        <w:spacing w:before="120"/>
        <w:jc w:val="both"/>
      </w:pPr>
      <w:r w:rsidRPr="00B0658A">
        <w:rPr>
          <w:sz w:val="28"/>
        </w:rPr>
        <w:t>Раздел 3. «Показатели эффективности в отношении закупок ПО и связанных с ним работ и услуг»</w:t>
      </w:r>
    </w:p>
    <w:tbl>
      <w:tblPr>
        <w:tblW w:w="5000" w:type="pct"/>
        <w:tblCellMar>
          <w:top w:w="102" w:type="dxa"/>
          <w:left w:w="62" w:type="dxa"/>
          <w:bottom w:w="102" w:type="dxa"/>
          <w:right w:w="62" w:type="dxa"/>
        </w:tblCellMar>
        <w:tblLook w:val="0000" w:firstRow="0" w:lastRow="0" w:firstColumn="0" w:lastColumn="0" w:noHBand="0" w:noVBand="0"/>
      </w:tblPr>
      <w:tblGrid>
        <w:gridCol w:w="4633"/>
        <w:gridCol w:w="1331"/>
        <w:gridCol w:w="1330"/>
        <w:gridCol w:w="1330"/>
        <w:gridCol w:w="1330"/>
        <w:gridCol w:w="1330"/>
        <w:gridCol w:w="1330"/>
        <w:gridCol w:w="1330"/>
      </w:tblGrid>
      <w:tr w:rsidR="00F52FED" w:rsidRPr="00B0658A" w14:paraId="044B1F91" w14:textId="77777777" w:rsidTr="004F1366">
        <w:trPr>
          <w:trHeight w:val="409"/>
        </w:trPr>
        <w:tc>
          <w:tcPr>
            <w:tcW w:w="1661"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9BF2C00" w14:textId="77777777" w:rsidR="00A775DB" w:rsidRPr="00B0658A" w:rsidRDefault="00A775DB" w:rsidP="000A4114">
            <w:pPr>
              <w:spacing w:after="0" w:line="240" w:lineRule="auto"/>
              <w:jc w:val="center"/>
              <w:rPr>
                <w:rFonts w:ascii="Times New Roman" w:hAnsi="Times New Roman"/>
                <w:sz w:val="24"/>
                <w:szCs w:val="24"/>
              </w:rPr>
            </w:pPr>
            <w:r w:rsidRPr="00B0658A">
              <w:rPr>
                <w:rFonts w:ascii="Times New Roman" w:hAnsi="Times New Roman"/>
                <w:b/>
                <w:bCs/>
                <w:sz w:val="24"/>
                <w:szCs w:val="24"/>
              </w:rPr>
              <w:t>Показатель</w:t>
            </w:r>
          </w:p>
        </w:tc>
        <w:tc>
          <w:tcPr>
            <w:tcW w:w="477"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607C979" w14:textId="77777777" w:rsidR="00A775DB" w:rsidRPr="00B0658A" w:rsidRDefault="00A775DB" w:rsidP="000A4114">
            <w:pPr>
              <w:spacing w:after="0" w:line="240" w:lineRule="auto"/>
              <w:jc w:val="center"/>
              <w:rPr>
                <w:rFonts w:ascii="Times New Roman" w:hAnsi="Times New Roman"/>
                <w:b/>
                <w:bCs/>
                <w:sz w:val="24"/>
                <w:szCs w:val="24"/>
              </w:rPr>
            </w:pPr>
            <w:r w:rsidRPr="00B0658A">
              <w:rPr>
                <w:rFonts w:ascii="Times New Roman" w:hAnsi="Times New Roman"/>
                <w:b/>
                <w:bCs/>
                <w:sz w:val="24"/>
                <w:szCs w:val="24"/>
              </w:rPr>
              <w:t>2021 г.</w:t>
            </w:r>
          </w:p>
          <w:p w14:paraId="23C9201E" w14:textId="77777777" w:rsidR="00A775DB" w:rsidRPr="00B0658A" w:rsidRDefault="00A775DB" w:rsidP="000A4114">
            <w:pPr>
              <w:pStyle w:val="ConsPlusNormal"/>
              <w:jc w:val="center"/>
            </w:pPr>
            <w:r w:rsidRPr="00B0658A">
              <w:rPr>
                <w:b/>
                <w:bCs/>
              </w:rPr>
              <w:t>(факт)</w:t>
            </w:r>
          </w:p>
        </w:tc>
        <w:tc>
          <w:tcPr>
            <w:tcW w:w="477"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5E1EDCC" w14:textId="77777777" w:rsidR="00A775DB" w:rsidRPr="00B0658A" w:rsidRDefault="00A775DB" w:rsidP="000A4114">
            <w:pPr>
              <w:spacing w:after="0" w:line="240" w:lineRule="auto"/>
              <w:jc w:val="center"/>
              <w:rPr>
                <w:rFonts w:ascii="Times New Roman" w:hAnsi="Times New Roman"/>
                <w:b/>
                <w:bCs/>
                <w:sz w:val="24"/>
                <w:szCs w:val="24"/>
              </w:rPr>
            </w:pPr>
            <w:r w:rsidRPr="00B0658A">
              <w:rPr>
                <w:rFonts w:ascii="Times New Roman" w:hAnsi="Times New Roman"/>
                <w:b/>
                <w:bCs/>
                <w:sz w:val="24"/>
                <w:szCs w:val="24"/>
              </w:rPr>
              <w:t>2022 г.</w:t>
            </w:r>
          </w:p>
          <w:p w14:paraId="776C8F36" w14:textId="77777777" w:rsidR="00A775DB" w:rsidRPr="00B0658A" w:rsidRDefault="00A775DB" w:rsidP="000A4114">
            <w:pPr>
              <w:pStyle w:val="ConsPlusNormal"/>
              <w:jc w:val="center"/>
              <w:rPr>
                <w:b/>
                <w:bCs/>
              </w:rPr>
            </w:pPr>
            <w:r w:rsidRPr="00B0658A">
              <w:rPr>
                <w:b/>
                <w:bCs/>
              </w:rPr>
              <w:t>(план)</w:t>
            </w:r>
          </w:p>
        </w:tc>
        <w:tc>
          <w:tcPr>
            <w:tcW w:w="477"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ABEFE3C" w14:textId="77777777" w:rsidR="00A775DB" w:rsidRPr="00B0658A" w:rsidRDefault="00A775DB" w:rsidP="000A4114">
            <w:pPr>
              <w:spacing w:after="0" w:line="240" w:lineRule="auto"/>
              <w:jc w:val="center"/>
              <w:rPr>
                <w:rFonts w:ascii="Times New Roman" w:hAnsi="Times New Roman"/>
                <w:b/>
                <w:bCs/>
                <w:sz w:val="24"/>
                <w:szCs w:val="24"/>
              </w:rPr>
            </w:pPr>
            <w:r w:rsidRPr="00B0658A">
              <w:rPr>
                <w:rFonts w:ascii="Times New Roman" w:hAnsi="Times New Roman"/>
                <w:b/>
                <w:bCs/>
                <w:sz w:val="24"/>
                <w:szCs w:val="24"/>
              </w:rPr>
              <w:t>2023 г.</w:t>
            </w:r>
          </w:p>
          <w:p w14:paraId="2C2C01C4" w14:textId="77777777" w:rsidR="00A775DB" w:rsidRPr="00B0658A" w:rsidRDefault="00A775DB" w:rsidP="000A4114">
            <w:pPr>
              <w:pStyle w:val="ConsPlusNormal"/>
              <w:jc w:val="center"/>
              <w:rPr>
                <w:b/>
                <w:bCs/>
              </w:rPr>
            </w:pPr>
            <w:r w:rsidRPr="00B0658A">
              <w:rPr>
                <w:b/>
                <w:bCs/>
              </w:rPr>
              <w:t>(план)</w:t>
            </w:r>
          </w:p>
        </w:tc>
        <w:tc>
          <w:tcPr>
            <w:tcW w:w="477"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F4C77FF" w14:textId="77777777" w:rsidR="00A775DB" w:rsidRPr="00B0658A" w:rsidRDefault="00A775DB" w:rsidP="000A4114">
            <w:pPr>
              <w:spacing w:after="0" w:line="240" w:lineRule="auto"/>
              <w:jc w:val="center"/>
              <w:rPr>
                <w:rFonts w:ascii="Times New Roman" w:hAnsi="Times New Roman"/>
                <w:b/>
                <w:bCs/>
                <w:sz w:val="24"/>
                <w:szCs w:val="24"/>
              </w:rPr>
            </w:pPr>
            <w:r w:rsidRPr="00B0658A">
              <w:rPr>
                <w:rFonts w:ascii="Times New Roman" w:hAnsi="Times New Roman"/>
                <w:b/>
                <w:bCs/>
                <w:sz w:val="24"/>
                <w:szCs w:val="24"/>
              </w:rPr>
              <w:t>2024 г.</w:t>
            </w:r>
          </w:p>
          <w:p w14:paraId="23A44988" w14:textId="77777777" w:rsidR="00A775DB" w:rsidRPr="00B0658A" w:rsidRDefault="00A775DB" w:rsidP="000A4114">
            <w:pPr>
              <w:pStyle w:val="ConsPlusNormal"/>
              <w:jc w:val="center"/>
              <w:rPr>
                <w:b/>
                <w:bCs/>
              </w:rPr>
            </w:pPr>
            <w:r w:rsidRPr="00B0658A">
              <w:rPr>
                <w:b/>
                <w:bCs/>
              </w:rPr>
              <w:t>(план)</w:t>
            </w:r>
          </w:p>
        </w:tc>
        <w:tc>
          <w:tcPr>
            <w:tcW w:w="477"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0A59C5A" w14:textId="77777777" w:rsidR="00A775DB" w:rsidRPr="00B0658A" w:rsidRDefault="00A775DB" w:rsidP="000A4114">
            <w:pPr>
              <w:spacing w:after="0" w:line="240" w:lineRule="auto"/>
              <w:jc w:val="center"/>
              <w:rPr>
                <w:rFonts w:ascii="Times New Roman" w:hAnsi="Times New Roman"/>
                <w:b/>
                <w:bCs/>
                <w:sz w:val="24"/>
                <w:szCs w:val="24"/>
              </w:rPr>
            </w:pPr>
            <w:r w:rsidRPr="00B0658A">
              <w:rPr>
                <w:rFonts w:ascii="Times New Roman" w:hAnsi="Times New Roman"/>
                <w:b/>
                <w:bCs/>
                <w:sz w:val="24"/>
                <w:szCs w:val="24"/>
              </w:rPr>
              <w:t>2025 г.</w:t>
            </w:r>
          </w:p>
          <w:p w14:paraId="1C6C2082" w14:textId="77777777" w:rsidR="00A775DB" w:rsidRPr="00B0658A" w:rsidRDefault="00A775DB" w:rsidP="000A4114">
            <w:pPr>
              <w:pStyle w:val="ConsPlusNormal"/>
              <w:jc w:val="center"/>
              <w:rPr>
                <w:b/>
                <w:bCs/>
              </w:rPr>
            </w:pPr>
            <w:r w:rsidRPr="00B0658A">
              <w:rPr>
                <w:b/>
                <w:bCs/>
              </w:rPr>
              <w:t>(план)</w:t>
            </w:r>
          </w:p>
        </w:tc>
        <w:tc>
          <w:tcPr>
            <w:tcW w:w="477"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B27DFC8" w14:textId="77777777" w:rsidR="00A775DB" w:rsidRPr="00B0658A" w:rsidRDefault="00A775DB" w:rsidP="000A4114">
            <w:pPr>
              <w:spacing w:after="0" w:line="240" w:lineRule="auto"/>
              <w:jc w:val="center"/>
              <w:rPr>
                <w:rFonts w:ascii="Times New Roman" w:hAnsi="Times New Roman"/>
                <w:b/>
                <w:bCs/>
                <w:sz w:val="24"/>
                <w:szCs w:val="24"/>
              </w:rPr>
            </w:pPr>
            <w:r w:rsidRPr="00B0658A">
              <w:rPr>
                <w:rFonts w:ascii="Times New Roman" w:hAnsi="Times New Roman"/>
                <w:b/>
                <w:bCs/>
                <w:sz w:val="24"/>
                <w:szCs w:val="24"/>
              </w:rPr>
              <w:t>2026 г.</w:t>
            </w:r>
          </w:p>
          <w:p w14:paraId="43C10394" w14:textId="77777777" w:rsidR="00A775DB" w:rsidRPr="00B0658A" w:rsidRDefault="00A775DB" w:rsidP="000A4114">
            <w:pPr>
              <w:pStyle w:val="ConsPlusNormal"/>
              <w:jc w:val="center"/>
              <w:rPr>
                <w:b/>
                <w:bCs/>
              </w:rPr>
            </w:pPr>
            <w:r w:rsidRPr="00B0658A">
              <w:rPr>
                <w:b/>
                <w:bCs/>
              </w:rPr>
              <w:t>(план)</w:t>
            </w:r>
          </w:p>
        </w:tc>
        <w:tc>
          <w:tcPr>
            <w:tcW w:w="477"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EB30B6C" w14:textId="77777777" w:rsidR="00A775DB" w:rsidRPr="00B0658A" w:rsidRDefault="00A775DB" w:rsidP="000A4114">
            <w:pPr>
              <w:spacing w:after="0" w:line="240" w:lineRule="auto"/>
              <w:jc w:val="center"/>
              <w:rPr>
                <w:rFonts w:ascii="Times New Roman" w:hAnsi="Times New Roman"/>
                <w:b/>
                <w:bCs/>
                <w:sz w:val="24"/>
                <w:szCs w:val="24"/>
              </w:rPr>
            </w:pPr>
            <w:r w:rsidRPr="00B0658A">
              <w:rPr>
                <w:rFonts w:ascii="Times New Roman" w:hAnsi="Times New Roman"/>
                <w:b/>
                <w:bCs/>
                <w:sz w:val="24"/>
                <w:szCs w:val="24"/>
              </w:rPr>
              <w:t>2027 г.</w:t>
            </w:r>
          </w:p>
          <w:p w14:paraId="15CA1317" w14:textId="77777777" w:rsidR="00A775DB" w:rsidRPr="00B0658A" w:rsidRDefault="00A775DB" w:rsidP="000A4114">
            <w:pPr>
              <w:pStyle w:val="ConsPlusNormal"/>
              <w:jc w:val="center"/>
              <w:rPr>
                <w:b/>
                <w:bCs/>
              </w:rPr>
            </w:pPr>
            <w:r w:rsidRPr="00B0658A">
              <w:rPr>
                <w:b/>
                <w:bCs/>
              </w:rPr>
              <w:t>(план)</w:t>
            </w:r>
          </w:p>
        </w:tc>
      </w:tr>
      <w:tr w:rsidR="00A775DB" w:rsidRPr="00B0658A" w14:paraId="6335296C" w14:textId="77777777" w:rsidTr="004F1366">
        <w:trPr>
          <w:trHeight w:val="409"/>
        </w:trPr>
        <w:tc>
          <w:tcPr>
            <w:tcW w:w="1661" w:type="pct"/>
            <w:tcBorders>
              <w:top w:val="single" w:sz="4" w:space="0" w:color="auto"/>
              <w:left w:val="single" w:sz="4" w:space="0" w:color="auto"/>
              <w:bottom w:val="single" w:sz="4" w:space="0" w:color="auto"/>
              <w:right w:val="single" w:sz="4" w:space="0" w:color="auto"/>
            </w:tcBorders>
          </w:tcPr>
          <w:p w14:paraId="5106B8B8" w14:textId="77777777" w:rsidR="00A775DB" w:rsidRPr="00B0658A" w:rsidRDefault="00A775DB" w:rsidP="000A4114">
            <w:pPr>
              <w:pStyle w:val="ConsPlusNormal"/>
            </w:pPr>
            <w:r w:rsidRPr="00B0658A">
              <w:t>Доля расходов на закупку российского ПО и связанных с ним работ (услуг) в общем объеме расходов на закупку ПО и связанных с ним работ (услуг), %</w:t>
            </w:r>
          </w:p>
        </w:tc>
        <w:tc>
          <w:tcPr>
            <w:tcW w:w="477" w:type="pct"/>
            <w:tcBorders>
              <w:top w:val="single" w:sz="4" w:space="0" w:color="auto"/>
              <w:left w:val="single" w:sz="4" w:space="0" w:color="auto"/>
              <w:bottom w:val="single" w:sz="4" w:space="0" w:color="auto"/>
              <w:right w:val="single" w:sz="4" w:space="0" w:color="auto"/>
            </w:tcBorders>
            <w:vAlign w:val="center"/>
          </w:tcPr>
          <w:p w14:paraId="09E949C8" w14:textId="77777777" w:rsidR="00A775DB" w:rsidRPr="00B0658A" w:rsidRDefault="00A775DB" w:rsidP="000A4114">
            <w:pPr>
              <w:pStyle w:val="ConsPlusNormal"/>
              <w:jc w:val="center"/>
            </w:pPr>
          </w:p>
        </w:tc>
        <w:tc>
          <w:tcPr>
            <w:tcW w:w="477" w:type="pct"/>
            <w:tcBorders>
              <w:top w:val="single" w:sz="4" w:space="0" w:color="auto"/>
              <w:left w:val="single" w:sz="4" w:space="0" w:color="auto"/>
              <w:bottom w:val="single" w:sz="4" w:space="0" w:color="auto"/>
              <w:right w:val="single" w:sz="4" w:space="0" w:color="auto"/>
            </w:tcBorders>
            <w:vAlign w:val="center"/>
          </w:tcPr>
          <w:p w14:paraId="55C03673" w14:textId="77777777" w:rsidR="00A775DB" w:rsidRPr="00B0658A" w:rsidRDefault="00A775DB" w:rsidP="000A4114">
            <w:pPr>
              <w:pStyle w:val="ConsPlusNormal"/>
              <w:jc w:val="center"/>
            </w:pPr>
          </w:p>
        </w:tc>
        <w:tc>
          <w:tcPr>
            <w:tcW w:w="477" w:type="pct"/>
            <w:tcBorders>
              <w:top w:val="single" w:sz="4" w:space="0" w:color="auto"/>
              <w:left w:val="single" w:sz="4" w:space="0" w:color="auto"/>
              <w:bottom w:val="single" w:sz="4" w:space="0" w:color="auto"/>
              <w:right w:val="single" w:sz="4" w:space="0" w:color="auto"/>
            </w:tcBorders>
            <w:vAlign w:val="center"/>
          </w:tcPr>
          <w:p w14:paraId="49F5CDD7" w14:textId="77777777" w:rsidR="00A775DB" w:rsidRPr="00B0658A" w:rsidRDefault="00A775DB" w:rsidP="000A4114">
            <w:pPr>
              <w:pStyle w:val="ConsPlusNormal"/>
              <w:jc w:val="center"/>
            </w:pPr>
          </w:p>
        </w:tc>
        <w:tc>
          <w:tcPr>
            <w:tcW w:w="477" w:type="pct"/>
            <w:tcBorders>
              <w:top w:val="single" w:sz="4" w:space="0" w:color="auto"/>
              <w:left w:val="single" w:sz="4" w:space="0" w:color="auto"/>
              <w:bottom w:val="single" w:sz="4" w:space="0" w:color="auto"/>
              <w:right w:val="single" w:sz="4" w:space="0" w:color="auto"/>
            </w:tcBorders>
            <w:vAlign w:val="center"/>
          </w:tcPr>
          <w:p w14:paraId="75E698CE" w14:textId="77777777" w:rsidR="00A775DB" w:rsidRPr="00B0658A" w:rsidRDefault="00A775DB" w:rsidP="000A4114">
            <w:pPr>
              <w:pStyle w:val="ConsPlusNormal"/>
              <w:jc w:val="center"/>
            </w:pPr>
          </w:p>
        </w:tc>
        <w:tc>
          <w:tcPr>
            <w:tcW w:w="477" w:type="pct"/>
            <w:tcBorders>
              <w:top w:val="single" w:sz="4" w:space="0" w:color="auto"/>
              <w:left w:val="single" w:sz="4" w:space="0" w:color="auto"/>
              <w:bottom w:val="single" w:sz="4" w:space="0" w:color="auto"/>
              <w:right w:val="single" w:sz="4" w:space="0" w:color="auto"/>
            </w:tcBorders>
            <w:vAlign w:val="center"/>
          </w:tcPr>
          <w:p w14:paraId="2A80FFAA" w14:textId="77777777" w:rsidR="00A775DB" w:rsidRPr="00B0658A" w:rsidRDefault="00A775DB" w:rsidP="000A4114">
            <w:pPr>
              <w:pStyle w:val="ConsPlusNormal"/>
              <w:jc w:val="center"/>
            </w:pPr>
          </w:p>
        </w:tc>
        <w:tc>
          <w:tcPr>
            <w:tcW w:w="477" w:type="pct"/>
            <w:tcBorders>
              <w:top w:val="single" w:sz="4" w:space="0" w:color="auto"/>
              <w:left w:val="single" w:sz="4" w:space="0" w:color="auto"/>
              <w:bottom w:val="single" w:sz="4" w:space="0" w:color="auto"/>
              <w:right w:val="single" w:sz="4" w:space="0" w:color="auto"/>
            </w:tcBorders>
            <w:vAlign w:val="center"/>
          </w:tcPr>
          <w:p w14:paraId="31DCD4BB" w14:textId="77777777" w:rsidR="00A775DB" w:rsidRPr="00B0658A" w:rsidRDefault="00A775DB" w:rsidP="000A4114">
            <w:pPr>
              <w:pStyle w:val="ConsPlusNormal"/>
              <w:jc w:val="center"/>
            </w:pPr>
          </w:p>
        </w:tc>
        <w:tc>
          <w:tcPr>
            <w:tcW w:w="477" w:type="pct"/>
            <w:tcBorders>
              <w:top w:val="single" w:sz="4" w:space="0" w:color="auto"/>
              <w:left w:val="single" w:sz="4" w:space="0" w:color="auto"/>
              <w:bottom w:val="single" w:sz="4" w:space="0" w:color="auto"/>
              <w:right w:val="single" w:sz="4" w:space="0" w:color="auto"/>
            </w:tcBorders>
            <w:vAlign w:val="center"/>
          </w:tcPr>
          <w:p w14:paraId="7FD9D7B5" w14:textId="77777777" w:rsidR="00A775DB" w:rsidRPr="00B0658A" w:rsidRDefault="00A775DB" w:rsidP="000A4114">
            <w:pPr>
              <w:pStyle w:val="ConsPlusNormal"/>
              <w:jc w:val="center"/>
            </w:pPr>
          </w:p>
        </w:tc>
      </w:tr>
    </w:tbl>
    <w:p w14:paraId="0982F904" w14:textId="77777777" w:rsidR="00A775DB" w:rsidRPr="00B0658A" w:rsidRDefault="00A775DB" w:rsidP="00A775DB">
      <w:pPr>
        <w:spacing w:before="120" w:after="0" w:line="240" w:lineRule="auto"/>
        <w:rPr>
          <w:rFonts w:ascii="Times New Roman" w:hAnsi="Times New Roman"/>
          <w:sz w:val="28"/>
          <w:szCs w:val="24"/>
        </w:rPr>
      </w:pPr>
    </w:p>
    <w:p w14:paraId="0097CDB2" w14:textId="77777777" w:rsidR="00A775DB" w:rsidRPr="00B0658A" w:rsidRDefault="00A775DB" w:rsidP="00A775DB">
      <w:pPr>
        <w:pStyle w:val="ConsPlusNormal"/>
        <w:spacing w:before="120"/>
        <w:jc w:val="both"/>
      </w:pPr>
      <w:r w:rsidRPr="00B0658A">
        <w:rPr>
          <w:sz w:val="28"/>
        </w:rPr>
        <w:t>Раздел 4. «</w:t>
      </w:r>
      <w:r w:rsidRPr="00B0658A">
        <w:rPr>
          <w:sz w:val="28"/>
          <w:lang w:val="en-US"/>
        </w:rPr>
        <w:t>C</w:t>
      </w:r>
      <w:r w:rsidRPr="00B0658A">
        <w:rPr>
          <w:sz w:val="28"/>
        </w:rPr>
        <w:t>ведения об объемах и источниках финансовых ресурсов, планируемых для решения задач по переходу на использование российского ПО»</w:t>
      </w:r>
    </w:p>
    <w:tbl>
      <w:tblPr>
        <w:tblW w:w="5000" w:type="pct"/>
        <w:tblCellMar>
          <w:top w:w="102" w:type="dxa"/>
          <w:left w:w="62" w:type="dxa"/>
          <w:bottom w:w="102" w:type="dxa"/>
          <w:right w:w="62" w:type="dxa"/>
        </w:tblCellMar>
        <w:tblLook w:val="0000" w:firstRow="0" w:lastRow="0" w:firstColumn="0" w:lastColumn="0" w:noHBand="0" w:noVBand="0"/>
      </w:tblPr>
      <w:tblGrid>
        <w:gridCol w:w="3607"/>
        <w:gridCol w:w="1297"/>
        <w:gridCol w:w="1302"/>
        <w:gridCol w:w="1302"/>
        <w:gridCol w:w="1302"/>
        <w:gridCol w:w="1297"/>
        <w:gridCol w:w="1302"/>
        <w:gridCol w:w="2535"/>
      </w:tblGrid>
      <w:tr w:rsidR="00F52FED" w:rsidRPr="00B0658A" w14:paraId="6CEB6B86" w14:textId="77777777" w:rsidTr="004F1366">
        <w:trPr>
          <w:trHeight w:val="404"/>
        </w:trPr>
        <w:tc>
          <w:tcPr>
            <w:tcW w:w="1293"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ABAE4D4" w14:textId="77777777" w:rsidR="00A775DB" w:rsidRPr="00B0658A" w:rsidRDefault="00A775DB" w:rsidP="000A4114">
            <w:pPr>
              <w:spacing w:after="0" w:line="240" w:lineRule="auto"/>
              <w:jc w:val="center"/>
              <w:rPr>
                <w:rFonts w:ascii="Times New Roman" w:hAnsi="Times New Roman"/>
                <w:b/>
                <w:bCs/>
                <w:sz w:val="24"/>
                <w:szCs w:val="24"/>
              </w:rPr>
            </w:pPr>
            <w:r w:rsidRPr="00B0658A">
              <w:rPr>
                <w:rFonts w:ascii="Times New Roman" w:hAnsi="Times New Roman"/>
                <w:b/>
                <w:bCs/>
                <w:sz w:val="24"/>
                <w:szCs w:val="24"/>
              </w:rPr>
              <w:t>Показатель</w:t>
            </w:r>
          </w:p>
        </w:tc>
        <w:tc>
          <w:tcPr>
            <w:tcW w:w="465"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EE97793" w14:textId="77777777" w:rsidR="00A775DB" w:rsidRPr="00B0658A" w:rsidRDefault="00A775DB" w:rsidP="000A4114">
            <w:pPr>
              <w:spacing w:after="0" w:line="240" w:lineRule="auto"/>
              <w:jc w:val="center"/>
              <w:rPr>
                <w:rFonts w:ascii="Times New Roman" w:hAnsi="Times New Roman"/>
                <w:b/>
                <w:bCs/>
                <w:sz w:val="24"/>
                <w:szCs w:val="24"/>
              </w:rPr>
            </w:pPr>
            <w:r w:rsidRPr="00B0658A">
              <w:rPr>
                <w:rFonts w:ascii="Times New Roman" w:hAnsi="Times New Roman"/>
                <w:b/>
                <w:bCs/>
                <w:sz w:val="24"/>
                <w:szCs w:val="24"/>
              </w:rPr>
              <w:t>2022 г.</w:t>
            </w:r>
          </w:p>
        </w:tc>
        <w:tc>
          <w:tcPr>
            <w:tcW w:w="467"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D9D308B" w14:textId="77777777" w:rsidR="00A775DB" w:rsidRPr="00B0658A" w:rsidRDefault="00A775DB" w:rsidP="000A4114">
            <w:pPr>
              <w:spacing w:after="0" w:line="240" w:lineRule="auto"/>
              <w:jc w:val="center"/>
              <w:rPr>
                <w:rFonts w:ascii="Times New Roman" w:hAnsi="Times New Roman"/>
                <w:b/>
                <w:bCs/>
                <w:sz w:val="24"/>
                <w:szCs w:val="24"/>
              </w:rPr>
            </w:pPr>
            <w:r w:rsidRPr="00B0658A">
              <w:rPr>
                <w:rFonts w:ascii="Times New Roman" w:hAnsi="Times New Roman"/>
                <w:b/>
                <w:bCs/>
                <w:sz w:val="24"/>
                <w:szCs w:val="24"/>
              </w:rPr>
              <w:t>2023 г.</w:t>
            </w:r>
          </w:p>
        </w:tc>
        <w:tc>
          <w:tcPr>
            <w:tcW w:w="467"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25C4526" w14:textId="77777777" w:rsidR="00A775DB" w:rsidRPr="00B0658A" w:rsidRDefault="00A775DB" w:rsidP="000A4114">
            <w:pPr>
              <w:spacing w:after="0" w:line="240" w:lineRule="auto"/>
              <w:jc w:val="center"/>
              <w:rPr>
                <w:rFonts w:ascii="Times New Roman" w:hAnsi="Times New Roman"/>
                <w:b/>
                <w:bCs/>
                <w:sz w:val="24"/>
                <w:szCs w:val="24"/>
              </w:rPr>
            </w:pPr>
            <w:r w:rsidRPr="00B0658A">
              <w:rPr>
                <w:rFonts w:ascii="Times New Roman" w:hAnsi="Times New Roman"/>
                <w:b/>
                <w:bCs/>
                <w:sz w:val="24"/>
                <w:szCs w:val="24"/>
              </w:rPr>
              <w:t>2024 г.</w:t>
            </w:r>
          </w:p>
        </w:tc>
        <w:tc>
          <w:tcPr>
            <w:tcW w:w="467"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8D597FF" w14:textId="77777777" w:rsidR="00A775DB" w:rsidRPr="00B0658A" w:rsidRDefault="00A775DB" w:rsidP="000A4114">
            <w:pPr>
              <w:spacing w:after="0" w:line="240" w:lineRule="auto"/>
              <w:jc w:val="center"/>
              <w:rPr>
                <w:rFonts w:ascii="Times New Roman" w:hAnsi="Times New Roman"/>
                <w:b/>
                <w:bCs/>
                <w:sz w:val="24"/>
                <w:szCs w:val="24"/>
              </w:rPr>
            </w:pPr>
            <w:r w:rsidRPr="00B0658A">
              <w:rPr>
                <w:rFonts w:ascii="Times New Roman" w:hAnsi="Times New Roman"/>
                <w:b/>
                <w:bCs/>
                <w:sz w:val="24"/>
                <w:szCs w:val="24"/>
              </w:rPr>
              <w:t>2025 г.</w:t>
            </w:r>
          </w:p>
        </w:tc>
        <w:tc>
          <w:tcPr>
            <w:tcW w:w="465"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534FFA1" w14:textId="77777777" w:rsidR="00A775DB" w:rsidRPr="00B0658A" w:rsidRDefault="00A775DB" w:rsidP="000A4114">
            <w:pPr>
              <w:spacing w:after="0" w:line="240" w:lineRule="auto"/>
              <w:jc w:val="center"/>
              <w:rPr>
                <w:rFonts w:ascii="Times New Roman" w:hAnsi="Times New Roman"/>
                <w:b/>
                <w:bCs/>
                <w:sz w:val="24"/>
                <w:szCs w:val="24"/>
              </w:rPr>
            </w:pPr>
            <w:r w:rsidRPr="00B0658A">
              <w:rPr>
                <w:rFonts w:ascii="Times New Roman" w:hAnsi="Times New Roman"/>
                <w:b/>
                <w:bCs/>
                <w:sz w:val="24"/>
                <w:szCs w:val="24"/>
              </w:rPr>
              <w:t>2026 г.</w:t>
            </w:r>
          </w:p>
        </w:tc>
        <w:tc>
          <w:tcPr>
            <w:tcW w:w="467"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D3FB634" w14:textId="77777777" w:rsidR="00A775DB" w:rsidRPr="00B0658A" w:rsidRDefault="00A775DB" w:rsidP="000A4114">
            <w:pPr>
              <w:spacing w:after="0" w:line="240" w:lineRule="auto"/>
              <w:jc w:val="center"/>
              <w:rPr>
                <w:rFonts w:ascii="Times New Roman" w:hAnsi="Times New Roman"/>
                <w:b/>
                <w:bCs/>
                <w:sz w:val="24"/>
                <w:szCs w:val="24"/>
              </w:rPr>
            </w:pPr>
            <w:r w:rsidRPr="00B0658A">
              <w:rPr>
                <w:rFonts w:ascii="Times New Roman" w:hAnsi="Times New Roman"/>
                <w:b/>
                <w:bCs/>
                <w:sz w:val="24"/>
                <w:szCs w:val="24"/>
              </w:rPr>
              <w:t>2027 г.</w:t>
            </w:r>
          </w:p>
        </w:tc>
        <w:tc>
          <w:tcPr>
            <w:tcW w:w="909"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03DC640" w14:textId="77777777" w:rsidR="00A775DB" w:rsidRPr="00B0658A" w:rsidRDefault="00A775DB" w:rsidP="000A4114">
            <w:pPr>
              <w:spacing w:after="0" w:line="240" w:lineRule="auto"/>
              <w:jc w:val="center"/>
              <w:rPr>
                <w:rFonts w:ascii="Times New Roman" w:hAnsi="Times New Roman"/>
                <w:b/>
                <w:bCs/>
                <w:sz w:val="24"/>
                <w:szCs w:val="24"/>
              </w:rPr>
            </w:pPr>
            <w:r w:rsidRPr="00B0658A">
              <w:rPr>
                <w:rFonts w:ascii="Times New Roman" w:hAnsi="Times New Roman"/>
                <w:b/>
                <w:bCs/>
                <w:sz w:val="24"/>
                <w:szCs w:val="24"/>
              </w:rPr>
              <w:t>Источник финансирования</w:t>
            </w:r>
          </w:p>
        </w:tc>
      </w:tr>
      <w:tr w:rsidR="00A775DB" w:rsidRPr="00B0658A" w14:paraId="6AE5D931" w14:textId="77777777" w:rsidTr="004F1366">
        <w:trPr>
          <w:trHeight w:val="404"/>
        </w:trPr>
        <w:tc>
          <w:tcPr>
            <w:tcW w:w="1293" w:type="pct"/>
            <w:tcBorders>
              <w:top w:val="single" w:sz="4" w:space="0" w:color="auto"/>
              <w:left w:val="single" w:sz="4" w:space="0" w:color="auto"/>
              <w:bottom w:val="single" w:sz="4" w:space="0" w:color="auto"/>
              <w:right w:val="single" w:sz="4" w:space="0" w:color="auto"/>
            </w:tcBorders>
            <w:vAlign w:val="center"/>
          </w:tcPr>
          <w:p w14:paraId="1E88F190" w14:textId="77777777" w:rsidR="00A775DB" w:rsidRPr="00B0658A" w:rsidRDefault="00A775DB" w:rsidP="000A4114">
            <w:pPr>
              <w:pStyle w:val="ConsPlusNormal"/>
            </w:pPr>
            <w:r w:rsidRPr="00B0658A">
              <w:t>Объём финансовых ресурсов, необходимых для обеспечения перехода на использование российского ПО, тыс. руб.</w:t>
            </w:r>
          </w:p>
        </w:tc>
        <w:tc>
          <w:tcPr>
            <w:tcW w:w="465" w:type="pct"/>
            <w:tcBorders>
              <w:top w:val="single" w:sz="4" w:space="0" w:color="auto"/>
              <w:left w:val="single" w:sz="4" w:space="0" w:color="auto"/>
              <w:bottom w:val="single" w:sz="4" w:space="0" w:color="auto"/>
              <w:right w:val="single" w:sz="4" w:space="0" w:color="auto"/>
            </w:tcBorders>
            <w:vAlign w:val="center"/>
          </w:tcPr>
          <w:p w14:paraId="06A7DAC9" w14:textId="77777777" w:rsidR="00A775DB" w:rsidRPr="00B0658A" w:rsidRDefault="00A775DB" w:rsidP="000A4114">
            <w:pPr>
              <w:pStyle w:val="ConsPlusNormal"/>
              <w:jc w:val="center"/>
            </w:pPr>
          </w:p>
        </w:tc>
        <w:tc>
          <w:tcPr>
            <w:tcW w:w="467" w:type="pct"/>
            <w:tcBorders>
              <w:top w:val="single" w:sz="4" w:space="0" w:color="auto"/>
              <w:left w:val="single" w:sz="4" w:space="0" w:color="auto"/>
              <w:bottom w:val="single" w:sz="4" w:space="0" w:color="auto"/>
              <w:right w:val="single" w:sz="4" w:space="0" w:color="auto"/>
            </w:tcBorders>
            <w:vAlign w:val="center"/>
          </w:tcPr>
          <w:p w14:paraId="708110B5" w14:textId="77777777" w:rsidR="00A775DB" w:rsidRPr="00B0658A" w:rsidRDefault="00A775DB" w:rsidP="000A4114">
            <w:pPr>
              <w:pStyle w:val="ConsPlusNormal"/>
              <w:jc w:val="center"/>
            </w:pPr>
          </w:p>
        </w:tc>
        <w:tc>
          <w:tcPr>
            <w:tcW w:w="467" w:type="pct"/>
            <w:tcBorders>
              <w:top w:val="single" w:sz="4" w:space="0" w:color="auto"/>
              <w:left w:val="single" w:sz="4" w:space="0" w:color="auto"/>
              <w:bottom w:val="single" w:sz="4" w:space="0" w:color="auto"/>
              <w:right w:val="single" w:sz="4" w:space="0" w:color="auto"/>
            </w:tcBorders>
            <w:vAlign w:val="center"/>
          </w:tcPr>
          <w:p w14:paraId="226AD8BB" w14:textId="77777777" w:rsidR="00A775DB" w:rsidRPr="00B0658A" w:rsidRDefault="00A775DB" w:rsidP="000A4114">
            <w:pPr>
              <w:pStyle w:val="ConsPlusNormal"/>
              <w:jc w:val="center"/>
            </w:pPr>
          </w:p>
        </w:tc>
        <w:tc>
          <w:tcPr>
            <w:tcW w:w="467" w:type="pct"/>
            <w:tcBorders>
              <w:top w:val="single" w:sz="4" w:space="0" w:color="auto"/>
              <w:left w:val="single" w:sz="4" w:space="0" w:color="auto"/>
              <w:bottom w:val="single" w:sz="4" w:space="0" w:color="auto"/>
              <w:right w:val="single" w:sz="4" w:space="0" w:color="auto"/>
            </w:tcBorders>
            <w:vAlign w:val="center"/>
          </w:tcPr>
          <w:p w14:paraId="780943D7" w14:textId="77777777" w:rsidR="00A775DB" w:rsidRPr="00B0658A" w:rsidRDefault="00A775DB" w:rsidP="000A4114">
            <w:pPr>
              <w:pStyle w:val="ConsPlusNormal"/>
              <w:jc w:val="center"/>
            </w:pPr>
          </w:p>
        </w:tc>
        <w:tc>
          <w:tcPr>
            <w:tcW w:w="465" w:type="pct"/>
            <w:tcBorders>
              <w:top w:val="single" w:sz="4" w:space="0" w:color="auto"/>
              <w:left w:val="single" w:sz="4" w:space="0" w:color="auto"/>
              <w:bottom w:val="single" w:sz="4" w:space="0" w:color="auto"/>
              <w:right w:val="single" w:sz="4" w:space="0" w:color="auto"/>
            </w:tcBorders>
            <w:vAlign w:val="center"/>
          </w:tcPr>
          <w:p w14:paraId="167C7B01" w14:textId="77777777" w:rsidR="00A775DB" w:rsidRPr="00B0658A" w:rsidRDefault="00A775DB" w:rsidP="000A4114">
            <w:pPr>
              <w:pStyle w:val="ConsPlusNormal"/>
              <w:jc w:val="center"/>
            </w:pPr>
          </w:p>
        </w:tc>
        <w:tc>
          <w:tcPr>
            <w:tcW w:w="467" w:type="pct"/>
            <w:tcBorders>
              <w:top w:val="single" w:sz="4" w:space="0" w:color="auto"/>
              <w:left w:val="single" w:sz="4" w:space="0" w:color="auto"/>
              <w:bottom w:val="single" w:sz="4" w:space="0" w:color="auto"/>
              <w:right w:val="single" w:sz="4" w:space="0" w:color="auto"/>
            </w:tcBorders>
            <w:vAlign w:val="center"/>
          </w:tcPr>
          <w:p w14:paraId="40879E6B" w14:textId="77777777" w:rsidR="00A775DB" w:rsidRPr="00B0658A" w:rsidRDefault="00A775DB" w:rsidP="000A4114">
            <w:pPr>
              <w:pStyle w:val="ConsPlusNormal"/>
              <w:jc w:val="center"/>
            </w:pPr>
          </w:p>
        </w:tc>
        <w:tc>
          <w:tcPr>
            <w:tcW w:w="909" w:type="pct"/>
            <w:tcBorders>
              <w:top w:val="single" w:sz="4" w:space="0" w:color="auto"/>
              <w:left w:val="single" w:sz="4" w:space="0" w:color="auto"/>
              <w:bottom w:val="single" w:sz="4" w:space="0" w:color="auto"/>
              <w:right w:val="single" w:sz="4" w:space="0" w:color="auto"/>
            </w:tcBorders>
            <w:vAlign w:val="center"/>
          </w:tcPr>
          <w:p w14:paraId="2DD54C88" w14:textId="77777777" w:rsidR="00A775DB" w:rsidRPr="00B0658A" w:rsidRDefault="00A775DB" w:rsidP="000A4114">
            <w:pPr>
              <w:pStyle w:val="ConsPlusNormal"/>
              <w:jc w:val="center"/>
            </w:pPr>
          </w:p>
        </w:tc>
      </w:tr>
    </w:tbl>
    <w:p w14:paraId="0ECA1A33" w14:textId="77777777" w:rsidR="00A775DB" w:rsidRPr="00B0658A" w:rsidRDefault="00A775DB" w:rsidP="00A775DB">
      <w:pPr>
        <w:pStyle w:val="ConsPlusNormal"/>
        <w:spacing w:before="120"/>
        <w:jc w:val="center"/>
        <w:rPr>
          <w:sz w:val="32"/>
        </w:rPr>
      </w:pPr>
    </w:p>
    <w:p w14:paraId="7A5BD17E" w14:textId="77777777" w:rsidR="009F4B0E" w:rsidRPr="009F4B0E" w:rsidRDefault="009F4B0E">
      <w:pPr>
        <w:spacing w:after="0" w:line="240" w:lineRule="auto"/>
        <w:rPr>
          <w:rFonts w:ascii="Times New Roman" w:hAnsi="Times New Roman"/>
          <w:sz w:val="28"/>
          <w:szCs w:val="24"/>
        </w:rPr>
      </w:pPr>
      <w:r w:rsidRPr="009F4B0E">
        <w:rPr>
          <w:rFonts w:ascii="Times New Roman" w:hAnsi="Times New Roman"/>
          <w:sz w:val="28"/>
          <w:szCs w:val="24"/>
        </w:rPr>
        <w:br w:type="page"/>
      </w:r>
    </w:p>
    <w:p w14:paraId="2F80CD1B" w14:textId="77777777" w:rsidR="00A775DB" w:rsidRPr="00B0658A" w:rsidRDefault="00A775DB" w:rsidP="00A775DB">
      <w:pPr>
        <w:pStyle w:val="ConsPlusNormal"/>
        <w:spacing w:before="120"/>
        <w:jc w:val="center"/>
        <w:rPr>
          <w:sz w:val="32"/>
        </w:rPr>
      </w:pPr>
      <w:bookmarkStart w:id="49" w:name="_Hlk116557896"/>
      <w:r w:rsidRPr="00B0658A">
        <w:rPr>
          <w:sz w:val="32"/>
        </w:rPr>
        <w:t xml:space="preserve">Детализированный план перехода ______________ (полное наименование </w:t>
      </w:r>
      <w:r w:rsidR="003A353A" w:rsidRPr="00B0658A">
        <w:rPr>
          <w:sz w:val="32"/>
        </w:rPr>
        <w:t>заказчика 44-ФЗ или заказчика 223-ФЗ</w:t>
      </w:r>
      <w:r w:rsidRPr="00B0658A">
        <w:rPr>
          <w:sz w:val="32"/>
          <w:szCs w:val="28"/>
        </w:rPr>
        <w:t xml:space="preserve">) на использование российского </w:t>
      </w:r>
      <w:r w:rsidRPr="00B0658A">
        <w:rPr>
          <w:sz w:val="32"/>
        </w:rPr>
        <w:t xml:space="preserve">ПО на принадлежащих </w:t>
      </w:r>
      <w:r w:rsidR="003A353A" w:rsidRPr="00B0658A">
        <w:rPr>
          <w:sz w:val="32"/>
        </w:rPr>
        <w:t>заказчик</w:t>
      </w:r>
      <w:r w:rsidR="004F3263" w:rsidRPr="00B0658A">
        <w:rPr>
          <w:sz w:val="32"/>
        </w:rPr>
        <w:t>у</w:t>
      </w:r>
      <w:r w:rsidR="003A353A" w:rsidRPr="00B0658A">
        <w:rPr>
          <w:sz w:val="32"/>
        </w:rPr>
        <w:t xml:space="preserve"> 44-ФЗ или заказчик</w:t>
      </w:r>
      <w:r w:rsidR="004F3263" w:rsidRPr="00B0658A">
        <w:rPr>
          <w:sz w:val="32"/>
        </w:rPr>
        <w:t>у</w:t>
      </w:r>
      <w:r w:rsidR="003A353A" w:rsidRPr="00B0658A">
        <w:rPr>
          <w:sz w:val="32"/>
        </w:rPr>
        <w:t xml:space="preserve"> 223-ФЗ</w:t>
      </w:r>
      <w:r w:rsidRPr="00B0658A">
        <w:rPr>
          <w:sz w:val="32"/>
        </w:rPr>
        <w:t xml:space="preserve"> значимых объектах КИИ</w:t>
      </w:r>
      <w:r w:rsidRPr="00B0658A">
        <w:rPr>
          <w:sz w:val="32"/>
          <w:szCs w:val="28"/>
        </w:rPr>
        <w:t xml:space="preserve"> </w:t>
      </w:r>
      <w:r w:rsidRPr="00B0658A">
        <w:rPr>
          <w:sz w:val="32"/>
        </w:rPr>
        <w:t>на период 2022-2024 годы</w:t>
      </w:r>
    </w:p>
    <w:p w14:paraId="7B4941DF" w14:textId="77777777" w:rsidR="00A775DB" w:rsidRPr="00B0658A" w:rsidRDefault="00A775DB" w:rsidP="00A775DB">
      <w:pPr>
        <w:pStyle w:val="ConsPlusNormal"/>
        <w:spacing w:before="120"/>
        <w:jc w:val="center"/>
        <w:rPr>
          <w:sz w:val="32"/>
        </w:rPr>
      </w:pPr>
    </w:p>
    <w:p w14:paraId="447109A3" w14:textId="77777777" w:rsidR="00A775DB" w:rsidRPr="00B0658A" w:rsidRDefault="00A775DB" w:rsidP="00A775DB">
      <w:pPr>
        <w:pStyle w:val="ConsPlusNormal"/>
        <w:spacing w:before="120"/>
        <w:jc w:val="both"/>
      </w:pPr>
      <w:r w:rsidRPr="00B0658A">
        <w:rPr>
          <w:sz w:val="28"/>
        </w:rPr>
        <w:t xml:space="preserve">Раздел 1. «План-график мероприятий перехода </w:t>
      </w:r>
      <w:r w:rsidRPr="00B0658A">
        <w:rPr>
          <w:sz w:val="28"/>
          <w:szCs w:val="28"/>
        </w:rPr>
        <w:t xml:space="preserve">на использование российского ПО на принадлежащих _______ (полное наименование </w:t>
      </w:r>
      <w:r w:rsidR="003A353A" w:rsidRPr="00B0658A">
        <w:rPr>
          <w:sz w:val="28"/>
          <w:szCs w:val="28"/>
        </w:rPr>
        <w:t>заказчика 44-ФЗ или заказчика 223-ФЗ</w:t>
      </w:r>
      <w:r w:rsidRPr="00B0658A">
        <w:rPr>
          <w:sz w:val="28"/>
          <w:szCs w:val="28"/>
        </w:rPr>
        <w:t>) значимых объектах КИИ</w:t>
      </w:r>
      <w:r w:rsidRPr="00B0658A">
        <w:rPr>
          <w:sz w:val="28"/>
        </w:rPr>
        <w:t>»</w:t>
      </w:r>
    </w:p>
    <w:tbl>
      <w:tblPr>
        <w:tblW w:w="5000" w:type="pct"/>
        <w:tblCellMar>
          <w:top w:w="28" w:type="dxa"/>
          <w:left w:w="62" w:type="dxa"/>
          <w:bottom w:w="28" w:type="dxa"/>
          <w:right w:w="62" w:type="dxa"/>
        </w:tblCellMar>
        <w:tblLook w:val="0000" w:firstRow="0" w:lastRow="0" w:firstColumn="0" w:lastColumn="0" w:noHBand="0" w:noVBand="0"/>
      </w:tblPr>
      <w:tblGrid>
        <w:gridCol w:w="568"/>
        <w:gridCol w:w="2312"/>
        <w:gridCol w:w="3160"/>
        <w:gridCol w:w="3313"/>
        <w:gridCol w:w="1735"/>
        <w:gridCol w:w="2856"/>
      </w:tblGrid>
      <w:tr w:rsidR="00F52FED" w:rsidRPr="00B0658A" w14:paraId="4B9228C4" w14:textId="77777777" w:rsidTr="004F1366">
        <w:trPr>
          <w:trHeight w:val="20"/>
        </w:trPr>
        <w:tc>
          <w:tcPr>
            <w:tcW w:w="204" w:type="pct"/>
            <w:tcBorders>
              <w:top w:val="single" w:sz="4" w:space="0" w:color="auto"/>
              <w:left w:val="single" w:sz="4" w:space="0" w:color="auto"/>
              <w:bottom w:val="single" w:sz="4" w:space="0" w:color="auto"/>
              <w:right w:val="single" w:sz="4" w:space="0" w:color="auto"/>
            </w:tcBorders>
            <w:shd w:val="clear" w:color="auto" w:fill="E7E6E6" w:themeFill="background2"/>
          </w:tcPr>
          <w:p w14:paraId="3F8B9558" w14:textId="77777777" w:rsidR="00A775DB" w:rsidRPr="00B0658A" w:rsidRDefault="00A775DB" w:rsidP="000A4114">
            <w:pPr>
              <w:pStyle w:val="ConsPlusNormal"/>
              <w:jc w:val="center"/>
            </w:pPr>
            <w:r w:rsidRPr="00B0658A">
              <w:t>N п.п.</w:t>
            </w:r>
          </w:p>
        </w:tc>
        <w:tc>
          <w:tcPr>
            <w:tcW w:w="829" w:type="pct"/>
            <w:tcBorders>
              <w:top w:val="single" w:sz="4" w:space="0" w:color="auto"/>
              <w:left w:val="single" w:sz="4" w:space="0" w:color="auto"/>
              <w:bottom w:val="single" w:sz="4" w:space="0" w:color="auto"/>
              <w:right w:val="single" w:sz="4" w:space="0" w:color="auto"/>
            </w:tcBorders>
            <w:shd w:val="clear" w:color="auto" w:fill="E7E6E6" w:themeFill="background2"/>
          </w:tcPr>
          <w:p w14:paraId="68ED36B8" w14:textId="77777777" w:rsidR="00A775DB" w:rsidRPr="00B0658A" w:rsidRDefault="00A775DB" w:rsidP="000A4114">
            <w:pPr>
              <w:pStyle w:val="ConsPlusNormal"/>
              <w:jc w:val="center"/>
            </w:pPr>
            <w:r w:rsidRPr="00B0658A">
              <w:t>Наименование мероприятия</w:t>
            </w:r>
          </w:p>
        </w:tc>
        <w:tc>
          <w:tcPr>
            <w:tcW w:w="1133" w:type="pct"/>
            <w:tcBorders>
              <w:top w:val="single" w:sz="4" w:space="0" w:color="auto"/>
              <w:left w:val="single" w:sz="4" w:space="0" w:color="auto"/>
              <w:bottom w:val="single" w:sz="4" w:space="0" w:color="auto"/>
              <w:right w:val="single" w:sz="4" w:space="0" w:color="auto"/>
            </w:tcBorders>
            <w:shd w:val="clear" w:color="auto" w:fill="E7E6E6" w:themeFill="background2"/>
          </w:tcPr>
          <w:p w14:paraId="6F59244E" w14:textId="77777777" w:rsidR="00A775DB" w:rsidRPr="00B0658A" w:rsidRDefault="00A775DB" w:rsidP="000A4114">
            <w:pPr>
              <w:pStyle w:val="ConsPlusNormal"/>
              <w:jc w:val="center"/>
            </w:pPr>
            <w:r w:rsidRPr="00B0658A">
              <w:t>Краткое описание состава и содержания запланированного мероприятия</w:t>
            </w:r>
          </w:p>
        </w:tc>
        <w:tc>
          <w:tcPr>
            <w:tcW w:w="1188" w:type="pct"/>
            <w:tcBorders>
              <w:top w:val="single" w:sz="4" w:space="0" w:color="auto"/>
              <w:left w:val="single" w:sz="4" w:space="0" w:color="auto"/>
              <w:bottom w:val="single" w:sz="4" w:space="0" w:color="auto"/>
              <w:right w:val="single" w:sz="4" w:space="0" w:color="auto"/>
            </w:tcBorders>
            <w:shd w:val="clear" w:color="auto" w:fill="E7E6E6" w:themeFill="background2"/>
          </w:tcPr>
          <w:p w14:paraId="49D2C104" w14:textId="77777777" w:rsidR="00A775DB" w:rsidRPr="00B0658A" w:rsidRDefault="00A775DB" w:rsidP="000A4114">
            <w:pPr>
              <w:pStyle w:val="ConsPlusNormal"/>
              <w:jc w:val="center"/>
            </w:pPr>
            <w:r w:rsidRPr="00B0658A">
              <w:t>Наименование ответственного исполнителя/ ответственного структурного подразделения</w:t>
            </w:r>
          </w:p>
        </w:tc>
        <w:tc>
          <w:tcPr>
            <w:tcW w:w="622" w:type="pct"/>
            <w:tcBorders>
              <w:top w:val="single" w:sz="4" w:space="0" w:color="auto"/>
              <w:left w:val="single" w:sz="4" w:space="0" w:color="auto"/>
              <w:bottom w:val="single" w:sz="4" w:space="0" w:color="auto"/>
              <w:right w:val="single" w:sz="4" w:space="0" w:color="auto"/>
            </w:tcBorders>
            <w:shd w:val="clear" w:color="auto" w:fill="E7E6E6" w:themeFill="background2"/>
          </w:tcPr>
          <w:p w14:paraId="354399E2" w14:textId="77777777" w:rsidR="00A775DB" w:rsidRPr="00B0658A" w:rsidRDefault="00A775DB" w:rsidP="000A4114">
            <w:pPr>
              <w:pStyle w:val="ConsPlusNormal"/>
              <w:jc w:val="center"/>
            </w:pPr>
            <w:r w:rsidRPr="00B0658A">
              <w:t>Срок /периодичность выполнения</w:t>
            </w:r>
          </w:p>
        </w:tc>
        <w:tc>
          <w:tcPr>
            <w:tcW w:w="1024" w:type="pct"/>
            <w:tcBorders>
              <w:top w:val="single" w:sz="4" w:space="0" w:color="auto"/>
              <w:left w:val="single" w:sz="4" w:space="0" w:color="auto"/>
              <w:bottom w:val="single" w:sz="4" w:space="0" w:color="auto"/>
              <w:right w:val="single" w:sz="4" w:space="0" w:color="auto"/>
            </w:tcBorders>
            <w:shd w:val="clear" w:color="auto" w:fill="E7E6E6" w:themeFill="background2"/>
          </w:tcPr>
          <w:p w14:paraId="7D734E5C" w14:textId="77777777" w:rsidR="00A775DB" w:rsidRPr="00B0658A" w:rsidRDefault="00A775DB" w:rsidP="000A4114">
            <w:pPr>
              <w:pStyle w:val="ConsPlusNormal"/>
              <w:jc w:val="center"/>
            </w:pPr>
            <w:r w:rsidRPr="00B0658A">
              <w:t>Ожидаемый результат</w:t>
            </w:r>
          </w:p>
        </w:tc>
      </w:tr>
      <w:tr w:rsidR="00F52FED" w:rsidRPr="00B0658A" w14:paraId="52D9D808" w14:textId="77777777" w:rsidTr="004F1366">
        <w:trPr>
          <w:trHeight w:val="20"/>
        </w:trPr>
        <w:tc>
          <w:tcPr>
            <w:tcW w:w="5000" w:type="pct"/>
            <w:gridSpan w:val="6"/>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132BF18" w14:textId="77777777" w:rsidR="00A775DB" w:rsidRPr="00B0658A" w:rsidRDefault="00A775DB" w:rsidP="000A4114">
            <w:pPr>
              <w:pStyle w:val="ConsPlusNormal"/>
            </w:pPr>
            <w:r w:rsidRPr="00B0658A">
              <w:t>1. Мероприятия в отношении ________ (наименование значимого объекта КИИ №1)</w:t>
            </w:r>
          </w:p>
        </w:tc>
      </w:tr>
      <w:tr w:rsidR="00F52FED" w:rsidRPr="00B0658A" w14:paraId="3A3B1D99" w14:textId="77777777" w:rsidTr="004F1366">
        <w:trPr>
          <w:trHeight w:val="20"/>
        </w:trPr>
        <w:tc>
          <w:tcPr>
            <w:tcW w:w="204" w:type="pct"/>
            <w:tcBorders>
              <w:top w:val="single" w:sz="4" w:space="0" w:color="auto"/>
              <w:left w:val="single" w:sz="4" w:space="0" w:color="auto"/>
              <w:bottom w:val="single" w:sz="4" w:space="0" w:color="auto"/>
              <w:right w:val="single" w:sz="4" w:space="0" w:color="auto"/>
            </w:tcBorders>
          </w:tcPr>
          <w:p w14:paraId="0A417C5B" w14:textId="77777777" w:rsidR="00A775DB" w:rsidRPr="00B0658A" w:rsidRDefault="00A775DB" w:rsidP="000A4114">
            <w:pPr>
              <w:pStyle w:val="ConsPlusNormal"/>
            </w:pPr>
            <w:r w:rsidRPr="00B0658A">
              <w:t>1.1</w:t>
            </w:r>
          </w:p>
        </w:tc>
        <w:tc>
          <w:tcPr>
            <w:tcW w:w="829" w:type="pct"/>
            <w:tcBorders>
              <w:top w:val="single" w:sz="4" w:space="0" w:color="auto"/>
              <w:left w:val="single" w:sz="4" w:space="0" w:color="auto"/>
              <w:bottom w:val="single" w:sz="4" w:space="0" w:color="auto"/>
              <w:right w:val="single" w:sz="4" w:space="0" w:color="auto"/>
            </w:tcBorders>
          </w:tcPr>
          <w:p w14:paraId="0D4C738C" w14:textId="77777777" w:rsidR="00A775DB" w:rsidRPr="00B0658A" w:rsidRDefault="00A775DB" w:rsidP="000A4114">
            <w:pPr>
              <w:pStyle w:val="ConsPlusNormal"/>
            </w:pPr>
          </w:p>
        </w:tc>
        <w:tc>
          <w:tcPr>
            <w:tcW w:w="1133" w:type="pct"/>
            <w:tcBorders>
              <w:top w:val="single" w:sz="4" w:space="0" w:color="auto"/>
              <w:left w:val="single" w:sz="4" w:space="0" w:color="auto"/>
              <w:bottom w:val="single" w:sz="4" w:space="0" w:color="auto"/>
              <w:right w:val="single" w:sz="4" w:space="0" w:color="auto"/>
            </w:tcBorders>
          </w:tcPr>
          <w:p w14:paraId="48F97616" w14:textId="77777777" w:rsidR="00A775DB" w:rsidRPr="00B0658A" w:rsidRDefault="00A775DB" w:rsidP="000A4114">
            <w:pPr>
              <w:pStyle w:val="ConsPlusNormal"/>
            </w:pPr>
          </w:p>
        </w:tc>
        <w:tc>
          <w:tcPr>
            <w:tcW w:w="1188" w:type="pct"/>
            <w:tcBorders>
              <w:top w:val="single" w:sz="4" w:space="0" w:color="auto"/>
              <w:left w:val="single" w:sz="4" w:space="0" w:color="auto"/>
              <w:bottom w:val="single" w:sz="4" w:space="0" w:color="auto"/>
              <w:right w:val="single" w:sz="4" w:space="0" w:color="auto"/>
            </w:tcBorders>
          </w:tcPr>
          <w:p w14:paraId="2533F49F" w14:textId="77777777" w:rsidR="00A775DB" w:rsidRPr="00B0658A" w:rsidRDefault="00A775DB" w:rsidP="000A4114">
            <w:pPr>
              <w:pStyle w:val="ConsPlusNormal"/>
            </w:pPr>
          </w:p>
        </w:tc>
        <w:tc>
          <w:tcPr>
            <w:tcW w:w="622" w:type="pct"/>
            <w:tcBorders>
              <w:top w:val="single" w:sz="4" w:space="0" w:color="auto"/>
              <w:left w:val="single" w:sz="4" w:space="0" w:color="auto"/>
              <w:bottom w:val="single" w:sz="4" w:space="0" w:color="auto"/>
              <w:right w:val="single" w:sz="4" w:space="0" w:color="auto"/>
            </w:tcBorders>
          </w:tcPr>
          <w:p w14:paraId="553C4E4E" w14:textId="77777777" w:rsidR="00A775DB" w:rsidRPr="00B0658A" w:rsidRDefault="00A775DB" w:rsidP="000A4114">
            <w:pPr>
              <w:pStyle w:val="ConsPlusNormal"/>
            </w:pPr>
          </w:p>
        </w:tc>
        <w:tc>
          <w:tcPr>
            <w:tcW w:w="1024" w:type="pct"/>
            <w:tcBorders>
              <w:top w:val="single" w:sz="4" w:space="0" w:color="auto"/>
              <w:left w:val="single" w:sz="4" w:space="0" w:color="auto"/>
              <w:bottom w:val="single" w:sz="4" w:space="0" w:color="auto"/>
              <w:right w:val="single" w:sz="4" w:space="0" w:color="auto"/>
            </w:tcBorders>
          </w:tcPr>
          <w:p w14:paraId="0594D850" w14:textId="77777777" w:rsidR="00A775DB" w:rsidRPr="00B0658A" w:rsidRDefault="00A775DB" w:rsidP="000A4114">
            <w:pPr>
              <w:pStyle w:val="ConsPlusNormal"/>
            </w:pPr>
          </w:p>
        </w:tc>
      </w:tr>
      <w:tr w:rsidR="00F52FED" w:rsidRPr="00B0658A" w14:paraId="725C77F3" w14:textId="77777777" w:rsidTr="004F1366">
        <w:trPr>
          <w:trHeight w:val="20"/>
        </w:trPr>
        <w:tc>
          <w:tcPr>
            <w:tcW w:w="204" w:type="pct"/>
            <w:tcBorders>
              <w:top w:val="single" w:sz="4" w:space="0" w:color="auto"/>
              <w:left w:val="single" w:sz="4" w:space="0" w:color="auto"/>
              <w:bottom w:val="single" w:sz="4" w:space="0" w:color="auto"/>
              <w:right w:val="single" w:sz="4" w:space="0" w:color="auto"/>
            </w:tcBorders>
          </w:tcPr>
          <w:p w14:paraId="08EB5AB1" w14:textId="77777777" w:rsidR="00A775DB" w:rsidRPr="00B0658A" w:rsidRDefault="00A775DB" w:rsidP="000A4114">
            <w:pPr>
              <w:pStyle w:val="ConsPlusNormal"/>
            </w:pPr>
            <w:r w:rsidRPr="00B0658A">
              <w:t>1.2</w:t>
            </w:r>
          </w:p>
        </w:tc>
        <w:tc>
          <w:tcPr>
            <w:tcW w:w="829" w:type="pct"/>
            <w:tcBorders>
              <w:top w:val="single" w:sz="4" w:space="0" w:color="auto"/>
              <w:left w:val="single" w:sz="4" w:space="0" w:color="auto"/>
              <w:bottom w:val="single" w:sz="4" w:space="0" w:color="auto"/>
              <w:right w:val="single" w:sz="4" w:space="0" w:color="auto"/>
            </w:tcBorders>
          </w:tcPr>
          <w:p w14:paraId="4802DF30" w14:textId="77777777" w:rsidR="00A775DB" w:rsidRPr="00B0658A" w:rsidRDefault="00A775DB" w:rsidP="000A4114">
            <w:pPr>
              <w:pStyle w:val="ConsPlusNormal"/>
            </w:pPr>
          </w:p>
        </w:tc>
        <w:tc>
          <w:tcPr>
            <w:tcW w:w="1133" w:type="pct"/>
            <w:tcBorders>
              <w:top w:val="single" w:sz="4" w:space="0" w:color="auto"/>
              <w:left w:val="single" w:sz="4" w:space="0" w:color="auto"/>
              <w:bottom w:val="single" w:sz="4" w:space="0" w:color="auto"/>
              <w:right w:val="single" w:sz="4" w:space="0" w:color="auto"/>
            </w:tcBorders>
          </w:tcPr>
          <w:p w14:paraId="313918B1" w14:textId="77777777" w:rsidR="00A775DB" w:rsidRPr="00B0658A" w:rsidRDefault="00A775DB" w:rsidP="000A4114">
            <w:pPr>
              <w:pStyle w:val="ConsPlusNormal"/>
            </w:pPr>
          </w:p>
        </w:tc>
        <w:tc>
          <w:tcPr>
            <w:tcW w:w="1188" w:type="pct"/>
            <w:tcBorders>
              <w:top w:val="single" w:sz="4" w:space="0" w:color="auto"/>
              <w:left w:val="single" w:sz="4" w:space="0" w:color="auto"/>
              <w:bottom w:val="single" w:sz="4" w:space="0" w:color="auto"/>
              <w:right w:val="single" w:sz="4" w:space="0" w:color="auto"/>
            </w:tcBorders>
          </w:tcPr>
          <w:p w14:paraId="7675197C" w14:textId="77777777" w:rsidR="00A775DB" w:rsidRPr="00B0658A" w:rsidRDefault="00A775DB" w:rsidP="000A4114">
            <w:pPr>
              <w:pStyle w:val="ConsPlusNormal"/>
            </w:pPr>
          </w:p>
        </w:tc>
        <w:tc>
          <w:tcPr>
            <w:tcW w:w="622" w:type="pct"/>
            <w:tcBorders>
              <w:top w:val="single" w:sz="4" w:space="0" w:color="auto"/>
              <w:left w:val="single" w:sz="4" w:space="0" w:color="auto"/>
              <w:bottom w:val="single" w:sz="4" w:space="0" w:color="auto"/>
              <w:right w:val="single" w:sz="4" w:space="0" w:color="auto"/>
            </w:tcBorders>
          </w:tcPr>
          <w:p w14:paraId="055FAC6D" w14:textId="77777777" w:rsidR="00A775DB" w:rsidRPr="00B0658A" w:rsidRDefault="00A775DB" w:rsidP="000A4114">
            <w:pPr>
              <w:pStyle w:val="ConsPlusNormal"/>
            </w:pPr>
          </w:p>
        </w:tc>
        <w:tc>
          <w:tcPr>
            <w:tcW w:w="1024" w:type="pct"/>
            <w:tcBorders>
              <w:top w:val="single" w:sz="4" w:space="0" w:color="auto"/>
              <w:left w:val="single" w:sz="4" w:space="0" w:color="auto"/>
              <w:bottom w:val="single" w:sz="4" w:space="0" w:color="auto"/>
              <w:right w:val="single" w:sz="4" w:space="0" w:color="auto"/>
            </w:tcBorders>
          </w:tcPr>
          <w:p w14:paraId="4266872C" w14:textId="77777777" w:rsidR="00A775DB" w:rsidRPr="00B0658A" w:rsidRDefault="00A775DB" w:rsidP="000A4114">
            <w:pPr>
              <w:pStyle w:val="ConsPlusNormal"/>
            </w:pPr>
          </w:p>
        </w:tc>
      </w:tr>
      <w:tr w:rsidR="00F52FED" w:rsidRPr="00B0658A" w14:paraId="33F6E29F" w14:textId="77777777" w:rsidTr="004F1366">
        <w:trPr>
          <w:trHeight w:val="20"/>
        </w:trPr>
        <w:tc>
          <w:tcPr>
            <w:tcW w:w="204" w:type="pct"/>
            <w:tcBorders>
              <w:top w:val="single" w:sz="4" w:space="0" w:color="auto"/>
              <w:left w:val="single" w:sz="4" w:space="0" w:color="auto"/>
              <w:bottom w:val="single" w:sz="4" w:space="0" w:color="auto"/>
              <w:right w:val="single" w:sz="4" w:space="0" w:color="auto"/>
            </w:tcBorders>
          </w:tcPr>
          <w:p w14:paraId="6072A4BB" w14:textId="77777777" w:rsidR="00A775DB" w:rsidRPr="00B0658A" w:rsidRDefault="00A775DB" w:rsidP="000A4114">
            <w:pPr>
              <w:pStyle w:val="ConsPlusNormal"/>
            </w:pPr>
            <w:r w:rsidRPr="00B0658A">
              <w:t>…</w:t>
            </w:r>
          </w:p>
        </w:tc>
        <w:tc>
          <w:tcPr>
            <w:tcW w:w="829" w:type="pct"/>
            <w:tcBorders>
              <w:top w:val="single" w:sz="4" w:space="0" w:color="auto"/>
              <w:left w:val="single" w:sz="4" w:space="0" w:color="auto"/>
              <w:bottom w:val="single" w:sz="4" w:space="0" w:color="auto"/>
              <w:right w:val="single" w:sz="4" w:space="0" w:color="auto"/>
            </w:tcBorders>
          </w:tcPr>
          <w:p w14:paraId="292672BA" w14:textId="77777777" w:rsidR="00A775DB" w:rsidRPr="00B0658A" w:rsidRDefault="00A775DB" w:rsidP="000A4114">
            <w:pPr>
              <w:pStyle w:val="ConsPlusNormal"/>
            </w:pPr>
          </w:p>
        </w:tc>
        <w:tc>
          <w:tcPr>
            <w:tcW w:w="1133" w:type="pct"/>
            <w:tcBorders>
              <w:top w:val="single" w:sz="4" w:space="0" w:color="auto"/>
              <w:left w:val="single" w:sz="4" w:space="0" w:color="auto"/>
              <w:bottom w:val="single" w:sz="4" w:space="0" w:color="auto"/>
              <w:right w:val="single" w:sz="4" w:space="0" w:color="auto"/>
            </w:tcBorders>
          </w:tcPr>
          <w:p w14:paraId="430C066A" w14:textId="77777777" w:rsidR="00A775DB" w:rsidRPr="00B0658A" w:rsidRDefault="00A775DB" w:rsidP="000A4114">
            <w:pPr>
              <w:pStyle w:val="ConsPlusNormal"/>
            </w:pPr>
          </w:p>
        </w:tc>
        <w:tc>
          <w:tcPr>
            <w:tcW w:w="1188" w:type="pct"/>
            <w:tcBorders>
              <w:top w:val="single" w:sz="4" w:space="0" w:color="auto"/>
              <w:left w:val="single" w:sz="4" w:space="0" w:color="auto"/>
              <w:bottom w:val="single" w:sz="4" w:space="0" w:color="auto"/>
              <w:right w:val="single" w:sz="4" w:space="0" w:color="auto"/>
            </w:tcBorders>
          </w:tcPr>
          <w:p w14:paraId="3F5ED6DE" w14:textId="77777777" w:rsidR="00A775DB" w:rsidRPr="00B0658A" w:rsidRDefault="00A775DB" w:rsidP="000A4114">
            <w:pPr>
              <w:pStyle w:val="ConsPlusNormal"/>
            </w:pPr>
          </w:p>
        </w:tc>
        <w:tc>
          <w:tcPr>
            <w:tcW w:w="622" w:type="pct"/>
            <w:tcBorders>
              <w:top w:val="single" w:sz="4" w:space="0" w:color="auto"/>
              <w:left w:val="single" w:sz="4" w:space="0" w:color="auto"/>
              <w:bottom w:val="single" w:sz="4" w:space="0" w:color="auto"/>
              <w:right w:val="single" w:sz="4" w:space="0" w:color="auto"/>
            </w:tcBorders>
          </w:tcPr>
          <w:p w14:paraId="3465CBA1" w14:textId="77777777" w:rsidR="00A775DB" w:rsidRPr="00B0658A" w:rsidRDefault="00A775DB" w:rsidP="000A4114">
            <w:pPr>
              <w:pStyle w:val="ConsPlusNormal"/>
            </w:pPr>
          </w:p>
        </w:tc>
        <w:tc>
          <w:tcPr>
            <w:tcW w:w="1024" w:type="pct"/>
            <w:tcBorders>
              <w:top w:val="single" w:sz="4" w:space="0" w:color="auto"/>
              <w:left w:val="single" w:sz="4" w:space="0" w:color="auto"/>
              <w:bottom w:val="single" w:sz="4" w:space="0" w:color="auto"/>
              <w:right w:val="single" w:sz="4" w:space="0" w:color="auto"/>
            </w:tcBorders>
          </w:tcPr>
          <w:p w14:paraId="4041B62E" w14:textId="77777777" w:rsidR="00A775DB" w:rsidRPr="00B0658A" w:rsidRDefault="00A775DB" w:rsidP="000A4114">
            <w:pPr>
              <w:pStyle w:val="ConsPlusNormal"/>
            </w:pPr>
          </w:p>
        </w:tc>
      </w:tr>
      <w:tr w:rsidR="00F52FED" w:rsidRPr="00B0658A" w14:paraId="66B57EBE" w14:textId="77777777" w:rsidTr="004F1366">
        <w:trPr>
          <w:trHeight w:val="20"/>
        </w:trPr>
        <w:tc>
          <w:tcPr>
            <w:tcW w:w="204" w:type="pct"/>
            <w:tcBorders>
              <w:top w:val="single" w:sz="4" w:space="0" w:color="auto"/>
              <w:left w:val="single" w:sz="4" w:space="0" w:color="auto"/>
              <w:bottom w:val="single" w:sz="4" w:space="0" w:color="auto"/>
              <w:right w:val="single" w:sz="4" w:space="0" w:color="auto"/>
            </w:tcBorders>
          </w:tcPr>
          <w:p w14:paraId="2160B46C" w14:textId="77777777" w:rsidR="00A775DB" w:rsidRPr="00B0658A" w:rsidRDefault="00A775DB" w:rsidP="000A4114">
            <w:pPr>
              <w:pStyle w:val="ConsPlusNormal"/>
            </w:pPr>
            <w:r w:rsidRPr="00B0658A">
              <w:t>1</w:t>
            </w:r>
            <w:r w:rsidRPr="00B0658A">
              <w:rPr>
                <w:lang w:val="en-US"/>
              </w:rPr>
              <w:t>.n</w:t>
            </w:r>
          </w:p>
        </w:tc>
        <w:tc>
          <w:tcPr>
            <w:tcW w:w="829" w:type="pct"/>
            <w:tcBorders>
              <w:top w:val="single" w:sz="4" w:space="0" w:color="auto"/>
              <w:left w:val="single" w:sz="4" w:space="0" w:color="auto"/>
              <w:bottom w:val="single" w:sz="4" w:space="0" w:color="auto"/>
              <w:right w:val="single" w:sz="4" w:space="0" w:color="auto"/>
            </w:tcBorders>
          </w:tcPr>
          <w:p w14:paraId="15F651BA" w14:textId="77777777" w:rsidR="00A775DB" w:rsidRPr="00B0658A" w:rsidRDefault="00A775DB" w:rsidP="000A4114">
            <w:pPr>
              <w:pStyle w:val="ConsPlusNormal"/>
            </w:pPr>
          </w:p>
        </w:tc>
        <w:tc>
          <w:tcPr>
            <w:tcW w:w="1133" w:type="pct"/>
            <w:tcBorders>
              <w:top w:val="single" w:sz="4" w:space="0" w:color="auto"/>
              <w:left w:val="single" w:sz="4" w:space="0" w:color="auto"/>
              <w:bottom w:val="single" w:sz="4" w:space="0" w:color="auto"/>
              <w:right w:val="single" w:sz="4" w:space="0" w:color="auto"/>
            </w:tcBorders>
          </w:tcPr>
          <w:p w14:paraId="25AA12C8" w14:textId="77777777" w:rsidR="00A775DB" w:rsidRPr="00B0658A" w:rsidRDefault="00A775DB" w:rsidP="000A4114">
            <w:pPr>
              <w:pStyle w:val="ConsPlusNormal"/>
            </w:pPr>
          </w:p>
        </w:tc>
        <w:tc>
          <w:tcPr>
            <w:tcW w:w="1188" w:type="pct"/>
            <w:tcBorders>
              <w:top w:val="single" w:sz="4" w:space="0" w:color="auto"/>
              <w:left w:val="single" w:sz="4" w:space="0" w:color="auto"/>
              <w:bottom w:val="single" w:sz="4" w:space="0" w:color="auto"/>
              <w:right w:val="single" w:sz="4" w:space="0" w:color="auto"/>
            </w:tcBorders>
          </w:tcPr>
          <w:p w14:paraId="089F3DB4" w14:textId="77777777" w:rsidR="00A775DB" w:rsidRPr="00B0658A" w:rsidRDefault="00A775DB" w:rsidP="000A4114">
            <w:pPr>
              <w:pStyle w:val="ConsPlusNormal"/>
            </w:pPr>
          </w:p>
        </w:tc>
        <w:tc>
          <w:tcPr>
            <w:tcW w:w="622" w:type="pct"/>
            <w:tcBorders>
              <w:top w:val="single" w:sz="4" w:space="0" w:color="auto"/>
              <w:left w:val="single" w:sz="4" w:space="0" w:color="auto"/>
              <w:bottom w:val="single" w:sz="4" w:space="0" w:color="auto"/>
              <w:right w:val="single" w:sz="4" w:space="0" w:color="auto"/>
            </w:tcBorders>
          </w:tcPr>
          <w:p w14:paraId="600EDAF6" w14:textId="77777777" w:rsidR="00A775DB" w:rsidRPr="00B0658A" w:rsidRDefault="00A775DB" w:rsidP="000A4114">
            <w:pPr>
              <w:pStyle w:val="ConsPlusNormal"/>
            </w:pPr>
          </w:p>
        </w:tc>
        <w:tc>
          <w:tcPr>
            <w:tcW w:w="1024" w:type="pct"/>
            <w:tcBorders>
              <w:top w:val="single" w:sz="4" w:space="0" w:color="auto"/>
              <w:left w:val="single" w:sz="4" w:space="0" w:color="auto"/>
              <w:bottom w:val="single" w:sz="4" w:space="0" w:color="auto"/>
              <w:right w:val="single" w:sz="4" w:space="0" w:color="auto"/>
            </w:tcBorders>
          </w:tcPr>
          <w:p w14:paraId="34F2EE87" w14:textId="77777777" w:rsidR="00A775DB" w:rsidRPr="00B0658A" w:rsidRDefault="00A775DB" w:rsidP="000A4114">
            <w:pPr>
              <w:pStyle w:val="ConsPlusNormal"/>
            </w:pPr>
          </w:p>
        </w:tc>
      </w:tr>
      <w:tr w:rsidR="00F52FED" w:rsidRPr="00B0658A" w14:paraId="41F67008" w14:textId="77777777" w:rsidTr="004F1366">
        <w:trPr>
          <w:trHeight w:val="20"/>
        </w:trPr>
        <w:tc>
          <w:tcPr>
            <w:tcW w:w="5000" w:type="pct"/>
            <w:gridSpan w:val="6"/>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BCC26B9" w14:textId="77777777" w:rsidR="00A775DB" w:rsidRPr="00B0658A" w:rsidRDefault="00A775DB" w:rsidP="000A4114">
            <w:pPr>
              <w:pStyle w:val="ConsPlusNormal"/>
            </w:pPr>
            <w:r w:rsidRPr="00B0658A">
              <w:t>2. Мероприятия в отношении ________ (наименование значимого объекта КИИ № 2)</w:t>
            </w:r>
          </w:p>
        </w:tc>
      </w:tr>
      <w:tr w:rsidR="00F52FED" w:rsidRPr="00B0658A" w14:paraId="6157F016" w14:textId="77777777" w:rsidTr="004F1366">
        <w:trPr>
          <w:trHeight w:val="20"/>
        </w:trPr>
        <w:tc>
          <w:tcPr>
            <w:tcW w:w="204" w:type="pct"/>
            <w:tcBorders>
              <w:top w:val="single" w:sz="4" w:space="0" w:color="auto"/>
              <w:left w:val="single" w:sz="4" w:space="0" w:color="auto"/>
              <w:bottom w:val="single" w:sz="4" w:space="0" w:color="auto"/>
              <w:right w:val="single" w:sz="4" w:space="0" w:color="auto"/>
            </w:tcBorders>
          </w:tcPr>
          <w:p w14:paraId="2634C12B" w14:textId="77777777" w:rsidR="00A775DB" w:rsidRPr="00B0658A" w:rsidRDefault="00A775DB" w:rsidP="000A4114">
            <w:pPr>
              <w:pStyle w:val="ConsPlusNormal"/>
              <w:rPr>
                <w:lang w:val="en-US"/>
              </w:rPr>
            </w:pPr>
            <w:r w:rsidRPr="00B0658A">
              <w:rPr>
                <w:lang w:val="en-US"/>
              </w:rPr>
              <w:t>2.1</w:t>
            </w:r>
          </w:p>
        </w:tc>
        <w:tc>
          <w:tcPr>
            <w:tcW w:w="829" w:type="pct"/>
            <w:tcBorders>
              <w:top w:val="single" w:sz="4" w:space="0" w:color="auto"/>
              <w:left w:val="single" w:sz="4" w:space="0" w:color="auto"/>
              <w:bottom w:val="single" w:sz="4" w:space="0" w:color="auto"/>
              <w:right w:val="single" w:sz="4" w:space="0" w:color="auto"/>
            </w:tcBorders>
          </w:tcPr>
          <w:p w14:paraId="50E3556D" w14:textId="77777777" w:rsidR="00A775DB" w:rsidRPr="00B0658A" w:rsidRDefault="00A775DB" w:rsidP="000A4114">
            <w:pPr>
              <w:pStyle w:val="ConsPlusNormal"/>
            </w:pPr>
          </w:p>
        </w:tc>
        <w:tc>
          <w:tcPr>
            <w:tcW w:w="1133" w:type="pct"/>
            <w:tcBorders>
              <w:top w:val="single" w:sz="4" w:space="0" w:color="auto"/>
              <w:left w:val="single" w:sz="4" w:space="0" w:color="auto"/>
              <w:bottom w:val="single" w:sz="4" w:space="0" w:color="auto"/>
              <w:right w:val="single" w:sz="4" w:space="0" w:color="auto"/>
            </w:tcBorders>
          </w:tcPr>
          <w:p w14:paraId="3C512963" w14:textId="77777777" w:rsidR="00A775DB" w:rsidRPr="00B0658A" w:rsidRDefault="00A775DB" w:rsidP="000A4114">
            <w:pPr>
              <w:pStyle w:val="ConsPlusNormal"/>
            </w:pPr>
          </w:p>
        </w:tc>
        <w:tc>
          <w:tcPr>
            <w:tcW w:w="1188" w:type="pct"/>
            <w:tcBorders>
              <w:top w:val="single" w:sz="4" w:space="0" w:color="auto"/>
              <w:left w:val="single" w:sz="4" w:space="0" w:color="auto"/>
              <w:bottom w:val="single" w:sz="4" w:space="0" w:color="auto"/>
              <w:right w:val="single" w:sz="4" w:space="0" w:color="auto"/>
            </w:tcBorders>
          </w:tcPr>
          <w:p w14:paraId="10AD9F4C" w14:textId="77777777" w:rsidR="00A775DB" w:rsidRPr="00B0658A" w:rsidRDefault="00A775DB" w:rsidP="000A4114">
            <w:pPr>
              <w:pStyle w:val="ConsPlusNormal"/>
            </w:pPr>
          </w:p>
        </w:tc>
        <w:tc>
          <w:tcPr>
            <w:tcW w:w="622" w:type="pct"/>
            <w:tcBorders>
              <w:top w:val="single" w:sz="4" w:space="0" w:color="auto"/>
              <w:left w:val="single" w:sz="4" w:space="0" w:color="auto"/>
              <w:bottom w:val="single" w:sz="4" w:space="0" w:color="auto"/>
              <w:right w:val="single" w:sz="4" w:space="0" w:color="auto"/>
            </w:tcBorders>
          </w:tcPr>
          <w:p w14:paraId="6FC4E266" w14:textId="77777777" w:rsidR="00A775DB" w:rsidRPr="00B0658A" w:rsidRDefault="00A775DB" w:rsidP="000A4114">
            <w:pPr>
              <w:pStyle w:val="ConsPlusNormal"/>
            </w:pPr>
          </w:p>
        </w:tc>
        <w:tc>
          <w:tcPr>
            <w:tcW w:w="1024" w:type="pct"/>
            <w:tcBorders>
              <w:top w:val="single" w:sz="4" w:space="0" w:color="auto"/>
              <w:left w:val="single" w:sz="4" w:space="0" w:color="auto"/>
              <w:bottom w:val="single" w:sz="4" w:space="0" w:color="auto"/>
              <w:right w:val="single" w:sz="4" w:space="0" w:color="auto"/>
            </w:tcBorders>
          </w:tcPr>
          <w:p w14:paraId="6F2E614E" w14:textId="77777777" w:rsidR="00A775DB" w:rsidRPr="00B0658A" w:rsidRDefault="00A775DB" w:rsidP="000A4114">
            <w:pPr>
              <w:pStyle w:val="ConsPlusNormal"/>
            </w:pPr>
          </w:p>
        </w:tc>
      </w:tr>
      <w:tr w:rsidR="00F52FED" w:rsidRPr="00B0658A" w14:paraId="4A9DF744" w14:textId="77777777" w:rsidTr="004F1366">
        <w:trPr>
          <w:trHeight w:val="20"/>
        </w:trPr>
        <w:tc>
          <w:tcPr>
            <w:tcW w:w="204" w:type="pct"/>
            <w:tcBorders>
              <w:top w:val="single" w:sz="4" w:space="0" w:color="auto"/>
              <w:left w:val="single" w:sz="4" w:space="0" w:color="auto"/>
              <w:bottom w:val="single" w:sz="4" w:space="0" w:color="auto"/>
              <w:right w:val="single" w:sz="4" w:space="0" w:color="auto"/>
            </w:tcBorders>
          </w:tcPr>
          <w:p w14:paraId="05A2547D" w14:textId="77777777" w:rsidR="00A775DB" w:rsidRPr="00B0658A" w:rsidRDefault="00A775DB" w:rsidP="000A4114">
            <w:pPr>
              <w:pStyle w:val="ConsPlusNormal"/>
              <w:rPr>
                <w:lang w:val="en-US"/>
              </w:rPr>
            </w:pPr>
            <w:r w:rsidRPr="00B0658A">
              <w:rPr>
                <w:lang w:val="en-US"/>
              </w:rPr>
              <w:t>2.2</w:t>
            </w:r>
          </w:p>
        </w:tc>
        <w:tc>
          <w:tcPr>
            <w:tcW w:w="829" w:type="pct"/>
            <w:tcBorders>
              <w:top w:val="single" w:sz="4" w:space="0" w:color="auto"/>
              <w:left w:val="single" w:sz="4" w:space="0" w:color="auto"/>
              <w:bottom w:val="single" w:sz="4" w:space="0" w:color="auto"/>
              <w:right w:val="single" w:sz="4" w:space="0" w:color="auto"/>
            </w:tcBorders>
          </w:tcPr>
          <w:p w14:paraId="3F8FE061" w14:textId="77777777" w:rsidR="00A775DB" w:rsidRPr="00B0658A" w:rsidRDefault="00A775DB" w:rsidP="000A4114">
            <w:pPr>
              <w:pStyle w:val="ConsPlusNormal"/>
            </w:pPr>
          </w:p>
        </w:tc>
        <w:tc>
          <w:tcPr>
            <w:tcW w:w="1133" w:type="pct"/>
            <w:tcBorders>
              <w:top w:val="single" w:sz="4" w:space="0" w:color="auto"/>
              <w:left w:val="single" w:sz="4" w:space="0" w:color="auto"/>
              <w:bottom w:val="single" w:sz="4" w:space="0" w:color="auto"/>
              <w:right w:val="single" w:sz="4" w:space="0" w:color="auto"/>
            </w:tcBorders>
          </w:tcPr>
          <w:p w14:paraId="0D9FC015" w14:textId="77777777" w:rsidR="00A775DB" w:rsidRPr="00B0658A" w:rsidRDefault="00A775DB" w:rsidP="000A4114">
            <w:pPr>
              <w:pStyle w:val="ConsPlusNormal"/>
            </w:pPr>
          </w:p>
        </w:tc>
        <w:tc>
          <w:tcPr>
            <w:tcW w:w="1188" w:type="pct"/>
            <w:tcBorders>
              <w:top w:val="single" w:sz="4" w:space="0" w:color="auto"/>
              <w:left w:val="single" w:sz="4" w:space="0" w:color="auto"/>
              <w:bottom w:val="single" w:sz="4" w:space="0" w:color="auto"/>
              <w:right w:val="single" w:sz="4" w:space="0" w:color="auto"/>
            </w:tcBorders>
          </w:tcPr>
          <w:p w14:paraId="4498AD1C" w14:textId="77777777" w:rsidR="00A775DB" w:rsidRPr="00B0658A" w:rsidRDefault="00A775DB" w:rsidP="000A4114">
            <w:pPr>
              <w:pStyle w:val="ConsPlusNormal"/>
            </w:pPr>
          </w:p>
        </w:tc>
        <w:tc>
          <w:tcPr>
            <w:tcW w:w="622" w:type="pct"/>
            <w:tcBorders>
              <w:top w:val="single" w:sz="4" w:space="0" w:color="auto"/>
              <w:left w:val="single" w:sz="4" w:space="0" w:color="auto"/>
              <w:bottom w:val="single" w:sz="4" w:space="0" w:color="auto"/>
              <w:right w:val="single" w:sz="4" w:space="0" w:color="auto"/>
            </w:tcBorders>
          </w:tcPr>
          <w:p w14:paraId="3035EFF4" w14:textId="77777777" w:rsidR="00A775DB" w:rsidRPr="00B0658A" w:rsidRDefault="00A775DB" w:rsidP="000A4114">
            <w:pPr>
              <w:pStyle w:val="ConsPlusNormal"/>
            </w:pPr>
          </w:p>
        </w:tc>
        <w:tc>
          <w:tcPr>
            <w:tcW w:w="1024" w:type="pct"/>
            <w:tcBorders>
              <w:top w:val="single" w:sz="4" w:space="0" w:color="auto"/>
              <w:left w:val="single" w:sz="4" w:space="0" w:color="auto"/>
              <w:bottom w:val="single" w:sz="4" w:space="0" w:color="auto"/>
              <w:right w:val="single" w:sz="4" w:space="0" w:color="auto"/>
            </w:tcBorders>
          </w:tcPr>
          <w:p w14:paraId="204322E2" w14:textId="77777777" w:rsidR="00A775DB" w:rsidRPr="00B0658A" w:rsidRDefault="00A775DB" w:rsidP="000A4114">
            <w:pPr>
              <w:pStyle w:val="ConsPlusNormal"/>
            </w:pPr>
          </w:p>
        </w:tc>
      </w:tr>
      <w:tr w:rsidR="00F52FED" w:rsidRPr="00B0658A" w14:paraId="70248C8C" w14:textId="77777777" w:rsidTr="004F1366">
        <w:trPr>
          <w:trHeight w:val="20"/>
        </w:trPr>
        <w:tc>
          <w:tcPr>
            <w:tcW w:w="204" w:type="pct"/>
            <w:tcBorders>
              <w:top w:val="single" w:sz="4" w:space="0" w:color="auto"/>
              <w:left w:val="single" w:sz="4" w:space="0" w:color="auto"/>
              <w:bottom w:val="single" w:sz="4" w:space="0" w:color="auto"/>
              <w:right w:val="single" w:sz="4" w:space="0" w:color="auto"/>
            </w:tcBorders>
          </w:tcPr>
          <w:p w14:paraId="2923CA44" w14:textId="77777777" w:rsidR="00A775DB" w:rsidRPr="00B0658A" w:rsidRDefault="00A775DB" w:rsidP="000A4114">
            <w:pPr>
              <w:pStyle w:val="ConsPlusNormal"/>
              <w:rPr>
                <w:lang w:val="en-US"/>
              </w:rPr>
            </w:pPr>
            <w:r w:rsidRPr="00B0658A">
              <w:rPr>
                <w:lang w:val="en-US"/>
              </w:rPr>
              <w:t>….</w:t>
            </w:r>
          </w:p>
        </w:tc>
        <w:tc>
          <w:tcPr>
            <w:tcW w:w="829" w:type="pct"/>
            <w:tcBorders>
              <w:top w:val="single" w:sz="4" w:space="0" w:color="auto"/>
              <w:left w:val="single" w:sz="4" w:space="0" w:color="auto"/>
              <w:bottom w:val="single" w:sz="4" w:space="0" w:color="auto"/>
              <w:right w:val="single" w:sz="4" w:space="0" w:color="auto"/>
            </w:tcBorders>
          </w:tcPr>
          <w:p w14:paraId="5D134F05" w14:textId="77777777" w:rsidR="00A775DB" w:rsidRPr="00B0658A" w:rsidRDefault="00A775DB" w:rsidP="000A4114">
            <w:pPr>
              <w:pStyle w:val="ConsPlusNormal"/>
            </w:pPr>
          </w:p>
        </w:tc>
        <w:tc>
          <w:tcPr>
            <w:tcW w:w="1133" w:type="pct"/>
            <w:tcBorders>
              <w:top w:val="single" w:sz="4" w:space="0" w:color="auto"/>
              <w:left w:val="single" w:sz="4" w:space="0" w:color="auto"/>
              <w:bottom w:val="single" w:sz="4" w:space="0" w:color="auto"/>
              <w:right w:val="single" w:sz="4" w:space="0" w:color="auto"/>
            </w:tcBorders>
          </w:tcPr>
          <w:p w14:paraId="48CB551F" w14:textId="77777777" w:rsidR="00A775DB" w:rsidRPr="00B0658A" w:rsidRDefault="00A775DB" w:rsidP="000A4114">
            <w:pPr>
              <w:pStyle w:val="ConsPlusNormal"/>
            </w:pPr>
          </w:p>
        </w:tc>
        <w:tc>
          <w:tcPr>
            <w:tcW w:w="1188" w:type="pct"/>
            <w:tcBorders>
              <w:top w:val="single" w:sz="4" w:space="0" w:color="auto"/>
              <w:left w:val="single" w:sz="4" w:space="0" w:color="auto"/>
              <w:bottom w:val="single" w:sz="4" w:space="0" w:color="auto"/>
              <w:right w:val="single" w:sz="4" w:space="0" w:color="auto"/>
            </w:tcBorders>
          </w:tcPr>
          <w:p w14:paraId="3B8D6C17" w14:textId="77777777" w:rsidR="00A775DB" w:rsidRPr="00B0658A" w:rsidRDefault="00A775DB" w:rsidP="000A4114">
            <w:pPr>
              <w:pStyle w:val="ConsPlusNormal"/>
            </w:pPr>
          </w:p>
        </w:tc>
        <w:tc>
          <w:tcPr>
            <w:tcW w:w="622" w:type="pct"/>
            <w:tcBorders>
              <w:top w:val="single" w:sz="4" w:space="0" w:color="auto"/>
              <w:left w:val="single" w:sz="4" w:space="0" w:color="auto"/>
              <w:bottom w:val="single" w:sz="4" w:space="0" w:color="auto"/>
              <w:right w:val="single" w:sz="4" w:space="0" w:color="auto"/>
            </w:tcBorders>
          </w:tcPr>
          <w:p w14:paraId="3B78826D" w14:textId="77777777" w:rsidR="00A775DB" w:rsidRPr="00B0658A" w:rsidRDefault="00A775DB" w:rsidP="000A4114">
            <w:pPr>
              <w:pStyle w:val="ConsPlusNormal"/>
            </w:pPr>
          </w:p>
        </w:tc>
        <w:tc>
          <w:tcPr>
            <w:tcW w:w="1024" w:type="pct"/>
            <w:tcBorders>
              <w:top w:val="single" w:sz="4" w:space="0" w:color="auto"/>
              <w:left w:val="single" w:sz="4" w:space="0" w:color="auto"/>
              <w:bottom w:val="single" w:sz="4" w:space="0" w:color="auto"/>
              <w:right w:val="single" w:sz="4" w:space="0" w:color="auto"/>
            </w:tcBorders>
          </w:tcPr>
          <w:p w14:paraId="193061CC" w14:textId="77777777" w:rsidR="00A775DB" w:rsidRPr="00B0658A" w:rsidRDefault="00A775DB" w:rsidP="000A4114">
            <w:pPr>
              <w:pStyle w:val="ConsPlusNormal"/>
            </w:pPr>
          </w:p>
        </w:tc>
      </w:tr>
      <w:tr w:rsidR="00F52FED" w:rsidRPr="00B0658A" w14:paraId="5EA831A1" w14:textId="77777777" w:rsidTr="004F1366">
        <w:trPr>
          <w:trHeight w:val="20"/>
        </w:trPr>
        <w:tc>
          <w:tcPr>
            <w:tcW w:w="204" w:type="pct"/>
            <w:tcBorders>
              <w:top w:val="single" w:sz="4" w:space="0" w:color="auto"/>
              <w:left w:val="single" w:sz="4" w:space="0" w:color="auto"/>
              <w:bottom w:val="single" w:sz="4" w:space="0" w:color="auto"/>
              <w:right w:val="single" w:sz="4" w:space="0" w:color="auto"/>
            </w:tcBorders>
          </w:tcPr>
          <w:p w14:paraId="4530D4F7" w14:textId="77777777" w:rsidR="00A775DB" w:rsidRPr="00B0658A" w:rsidRDefault="00A775DB" w:rsidP="000A4114">
            <w:pPr>
              <w:pStyle w:val="ConsPlusNormal"/>
              <w:rPr>
                <w:lang w:val="en-US"/>
              </w:rPr>
            </w:pPr>
            <w:r w:rsidRPr="00B0658A">
              <w:rPr>
                <w:lang w:val="en-US"/>
              </w:rPr>
              <w:t>2.n</w:t>
            </w:r>
          </w:p>
        </w:tc>
        <w:tc>
          <w:tcPr>
            <w:tcW w:w="829" w:type="pct"/>
            <w:tcBorders>
              <w:top w:val="single" w:sz="4" w:space="0" w:color="auto"/>
              <w:left w:val="single" w:sz="4" w:space="0" w:color="auto"/>
              <w:bottom w:val="single" w:sz="4" w:space="0" w:color="auto"/>
              <w:right w:val="single" w:sz="4" w:space="0" w:color="auto"/>
            </w:tcBorders>
          </w:tcPr>
          <w:p w14:paraId="7D66D62D" w14:textId="77777777" w:rsidR="00A775DB" w:rsidRPr="00B0658A" w:rsidRDefault="00A775DB" w:rsidP="000A4114">
            <w:pPr>
              <w:pStyle w:val="ConsPlusNormal"/>
            </w:pPr>
          </w:p>
        </w:tc>
        <w:tc>
          <w:tcPr>
            <w:tcW w:w="1133" w:type="pct"/>
            <w:tcBorders>
              <w:top w:val="single" w:sz="4" w:space="0" w:color="auto"/>
              <w:left w:val="single" w:sz="4" w:space="0" w:color="auto"/>
              <w:bottom w:val="single" w:sz="4" w:space="0" w:color="auto"/>
              <w:right w:val="single" w:sz="4" w:space="0" w:color="auto"/>
            </w:tcBorders>
          </w:tcPr>
          <w:p w14:paraId="6D33835E" w14:textId="77777777" w:rsidR="00A775DB" w:rsidRPr="00B0658A" w:rsidRDefault="00A775DB" w:rsidP="000A4114">
            <w:pPr>
              <w:pStyle w:val="ConsPlusNormal"/>
            </w:pPr>
          </w:p>
        </w:tc>
        <w:tc>
          <w:tcPr>
            <w:tcW w:w="1188" w:type="pct"/>
            <w:tcBorders>
              <w:top w:val="single" w:sz="4" w:space="0" w:color="auto"/>
              <w:left w:val="single" w:sz="4" w:space="0" w:color="auto"/>
              <w:bottom w:val="single" w:sz="4" w:space="0" w:color="auto"/>
              <w:right w:val="single" w:sz="4" w:space="0" w:color="auto"/>
            </w:tcBorders>
          </w:tcPr>
          <w:p w14:paraId="6C439346" w14:textId="77777777" w:rsidR="00A775DB" w:rsidRPr="00B0658A" w:rsidRDefault="00A775DB" w:rsidP="000A4114">
            <w:pPr>
              <w:pStyle w:val="ConsPlusNormal"/>
            </w:pPr>
          </w:p>
        </w:tc>
        <w:tc>
          <w:tcPr>
            <w:tcW w:w="622" w:type="pct"/>
            <w:tcBorders>
              <w:top w:val="single" w:sz="4" w:space="0" w:color="auto"/>
              <w:left w:val="single" w:sz="4" w:space="0" w:color="auto"/>
              <w:bottom w:val="single" w:sz="4" w:space="0" w:color="auto"/>
              <w:right w:val="single" w:sz="4" w:space="0" w:color="auto"/>
            </w:tcBorders>
          </w:tcPr>
          <w:p w14:paraId="7775D472" w14:textId="77777777" w:rsidR="00A775DB" w:rsidRPr="00B0658A" w:rsidRDefault="00A775DB" w:rsidP="000A4114">
            <w:pPr>
              <w:pStyle w:val="ConsPlusNormal"/>
            </w:pPr>
          </w:p>
        </w:tc>
        <w:tc>
          <w:tcPr>
            <w:tcW w:w="1024" w:type="pct"/>
            <w:tcBorders>
              <w:top w:val="single" w:sz="4" w:space="0" w:color="auto"/>
              <w:left w:val="single" w:sz="4" w:space="0" w:color="auto"/>
              <w:bottom w:val="single" w:sz="4" w:space="0" w:color="auto"/>
              <w:right w:val="single" w:sz="4" w:space="0" w:color="auto"/>
            </w:tcBorders>
          </w:tcPr>
          <w:p w14:paraId="7E640887" w14:textId="77777777" w:rsidR="00A775DB" w:rsidRPr="00B0658A" w:rsidRDefault="00A775DB" w:rsidP="000A4114">
            <w:pPr>
              <w:pStyle w:val="ConsPlusNormal"/>
            </w:pPr>
          </w:p>
        </w:tc>
      </w:tr>
      <w:tr w:rsidR="00F52FED" w:rsidRPr="00B0658A" w14:paraId="05B10738" w14:textId="77777777" w:rsidTr="004F1366">
        <w:trPr>
          <w:trHeight w:val="20"/>
        </w:trPr>
        <w:tc>
          <w:tcPr>
            <w:tcW w:w="5000" w:type="pct"/>
            <w:gridSpan w:val="6"/>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584E0CD" w14:textId="55DE00E6" w:rsidR="00A775DB" w:rsidRPr="00B0658A" w:rsidRDefault="00C20C87" w:rsidP="000A4114">
            <w:pPr>
              <w:pStyle w:val="ConsPlusNormal"/>
            </w:pPr>
            <w:r>
              <w:rPr>
                <w:lang w:val="en-US"/>
              </w:rPr>
              <w:t>N</w:t>
            </w:r>
            <w:r w:rsidR="00A775DB" w:rsidRPr="00B0658A">
              <w:t xml:space="preserve">. Мероприятия в отношении ________ (наименование значимого объекта КИИ № </w:t>
            </w:r>
            <w:r w:rsidR="00A775DB" w:rsidRPr="00B0658A">
              <w:rPr>
                <w:lang w:val="en-US"/>
              </w:rPr>
              <w:t>N</w:t>
            </w:r>
            <w:r w:rsidR="00A775DB" w:rsidRPr="00B0658A">
              <w:t>)</w:t>
            </w:r>
          </w:p>
        </w:tc>
      </w:tr>
      <w:tr w:rsidR="00F52FED" w:rsidRPr="00B0658A" w14:paraId="3907B2C4" w14:textId="77777777" w:rsidTr="004F1366">
        <w:trPr>
          <w:trHeight w:val="20"/>
        </w:trPr>
        <w:tc>
          <w:tcPr>
            <w:tcW w:w="204" w:type="pct"/>
            <w:tcBorders>
              <w:top w:val="single" w:sz="4" w:space="0" w:color="auto"/>
              <w:left w:val="single" w:sz="4" w:space="0" w:color="auto"/>
              <w:bottom w:val="single" w:sz="4" w:space="0" w:color="auto"/>
              <w:right w:val="single" w:sz="4" w:space="0" w:color="auto"/>
            </w:tcBorders>
          </w:tcPr>
          <w:p w14:paraId="736EB4CD" w14:textId="77777777" w:rsidR="00A775DB" w:rsidRPr="00B0658A" w:rsidRDefault="00A775DB" w:rsidP="000A4114">
            <w:pPr>
              <w:pStyle w:val="ConsPlusNormal"/>
              <w:rPr>
                <w:lang w:val="en-US"/>
              </w:rPr>
            </w:pPr>
            <w:r w:rsidRPr="00B0658A">
              <w:rPr>
                <w:lang w:val="en-US"/>
              </w:rPr>
              <w:t>N.1</w:t>
            </w:r>
          </w:p>
        </w:tc>
        <w:tc>
          <w:tcPr>
            <w:tcW w:w="829" w:type="pct"/>
            <w:tcBorders>
              <w:top w:val="single" w:sz="4" w:space="0" w:color="auto"/>
              <w:left w:val="single" w:sz="4" w:space="0" w:color="auto"/>
              <w:bottom w:val="single" w:sz="4" w:space="0" w:color="auto"/>
              <w:right w:val="single" w:sz="4" w:space="0" w:color="auto"/>
            </w:tcBorders>
          </w:tcPr>
          <w:p w14:paraId="791B04EB" w14:textId="77777777" w:rsidR="00A775DB" w:rsidRPr="00B0658A" w:rsidRDefault="00A775DB" w:rsidP="000A4114">
            <w:pPr>
              <w:pStyle w:val="ConsPlusNormal"/>
            </w:pPr>
          </w:p>
        </w:tc>
        <w:tc>
          <w:tcPr>
            <w:tcW w:w="1133" w:type="pct"/>
            <w:tcBorders>
              <w:top w:val="single" w:sz="4" w:space="0" w:color="auto"/>
              <w:left w:val="single" w:sz="4" w:space="0" w:color="auto"/>
              <w:bottom w:val="single" w:sz="4" w:space="0" w:color="auto"/>
              <w:right w:val="single" w:sz="4" w:space="0" w:color="auto"/>
            </w:tcBorders>
          </w:tcPr>
          <w:p w14:paraId="1C98B3AB" w14:textId="77777777" w:rsidR="00A775DB" w:rsidRPr="00B0658A" w:rsidRDefault="00A775DB" w:rsidP="000A4114">
            <w:pPr>
              <w:pStyle w:val="ConsPlusNormal"/>
            </w:pPr>
          </w:p>
        </w:tc>
        <w:tc>
          <w:tcPr>
            <w:tcW w:w="1188" w:type="pct"/>
            <w:tcBorders>
              <w:top w:val="single" w:sz="4" w:space="0" w:color="auto"/>
              <w:left w:val="single" w:sz="4" w:space="0" w:color="auto"/>
              <w:bottom w:val="single" w:sz="4" w:space="0" w:color="auto"/>
              <w:right w:val="single" w:sz="4" w:space="0" w:color="auto"/>
            </w:tcBorders>
          </w:tcPr>
          <w:p w14:paraId="29316A2F" w14:textId="77777777" w:rsidR="00A775DB" w:rsidRPr="00B0658A" w:rsidRDefault="00A775DB" w:rsidP="000A4114">
            <w:pPr>
              <w:pStyle w:val="ConsPlusNormal"/>
            </w:pPr>
          </w:p>
        </w:tc>
        <w:tc>
          <w:tcPr>
            <w:tcW w:w="622" w:type="pct"/>
            <w:tcBorders>
              <w:top w:val="single" w:sz="4" w:space="0" w:color="auto"/>
              <w:left w:val="single" w:sz="4" w:space="0" w:color="auto"/>
              <w:bottom w:val="single" w:sz="4" w:space="0" w:color="auto"/>
              <w:right w:val="single" w:sz="4" w:space="0" w:color="auto"/>
            </w:tcBorders>
          </w:tcPr>
          <w:p w14:paraId="67C3565A" w14:textId="77777777" w:rsidR="00A775DB" w:rsidRPr="00B0658A" w:rsidRDefault="00A775DB" w:rsidP="000A4114">
            <w:pPr>
              <w:pStyle w:val="ConsPlusNormal"/>
            </w:pPr>
          </w:p>
        </w:tc>
        <w:tc>
          <w:tcPr>
            <w:tcW w:w="1024" w:type="pct"/>
            <w:tcBorders>
              <w:top w:val="single" w:sz="4" w:space="0" w:color="auto"/>
              <w:left w:val="single" w:sz="4" w:space="0" w:color="auto"/>
              <w:bottom w:val="single" w:sz="4" w:space="0" w:color="auto"/>
              <w:right w:val="single" w:sz="4" w:space="0" w:color="auto"/>
            </w:tcBorders>
          </w:tcPr>
          <w:p w14:paraId="4BD4AD43" w14:textId="77777777" w:rsidR="00A775DB" w:rsidRPr="00B0658A" w:rsidRDefault="00A775DB" w:rsidP="000A4114">
            <w:pPr>
              <w:pStyle w:val="ConsPlusNormal"/>
            </w:pPr>
          </w:p>
        </w:tc>
      </w:tr>
      <w:tr w:rsidR="00F52FED" w:rsidRPr="00B0658A" w14:paraId="2EFEFECF" w14:textId="77777777" w:rsidTr="004F1366">
        <w:trPr>
          <w:trHeight w:val="20"/>
        </w:trPr>
        <w:tc>
          <w:tcPr>
            <w:tcW w:w="204" w:type="pct"/>
            <w:tcBorders>
              <w:top w:val="single" w:sz="4" w:space="0" w:color="auto"/>
              <w:left w:val="single" w:sz="4" w:space="0" w:color="auto"/>
              <w:bottom w:val="single" w:sz="4" w:space="0" w:color="auto"/>
              <w:right w:val="single" w:sz="4" w:space="0" w:color="auto"/>
            </w:tcBorders>
          </w:tcPr>
          <w:p w14:paraId="7761D15B" w14:textId="77777777" w:rsidR="00A775DB" w:rsidRPr="00B0658A" w:rsidRDefault="00A775DB" w:rsidP="000A4114">
            <w:pPr>
              <w:pStyle w:val="ConsPlusNormal"/>
              <w:rPr>
                <w:lang w:val="en-US"/>
              </w:rPr>
            </w:pPr>
            <w:r w:rsidRPr="00B0658A">
              <w:rPr>
                <w:lang w:val="en-US"/>
              </w:rPr>
              <w:t>N.2</w:t>
            </w:r>
          </w:p>
        </w:tc>
        <w:tc>
          <w:tcPr>
            <w:tcW w:w="829" w:type="pct"/>
            <w:tcBorders>
              <w:top w:val="single" w:sz="4" w:space="0" w:color="auto"/>
              <w:left w:val="single" w:sz="4" w:space="0" w:color="auto"/>
              <w:bottom w:val="single" w:sz="4" w:space="0" w:color="auto"/>
              <w:right w:val="single" w:sz="4" w:space="0" w:color="auto"/>
            </w:tcBorders>
          </w:tcPr>
          <w:p w14:paraId="7EA98D2F" w14:textId="77777777" w:rsidR="00A775DB" w:rsidRPr="00B0658A" w:rsidRDefault="00A775DB" w:rsidP="000A4114">
            <w:pPr>
              <w:pStyle w:val="ConsPlusNormal"/>
            </w:pPr>
          </w:p>
        </w:tc>
        <w:tc>
          <w:tcPr>
            <w:tcW w:w="1133" w:type="pct"/>
            <w:tcBorders>
              <w:top w:val="single" w:sz="4" w:space="0" w:color="auto"/>
              <w:left w:val="single" w:sz="4" w:space="0" w:color="auto"/>
              <w:bottom w:val="single" w:sz="4" w:space="0" w:color="auto"/>
              <w:right w:val="single" w:sz="4" w:space="0" w:color="auto"/>
            </w:tcBorders>
          </w:tcPr>
          <w:p w14:paraId="499A5177" w14:textId="77777777" w:rsidR="00A775DB" w:rsidRPr="00B0658A" w:rsidRDefault="00A775DB" w:rsidP="000A4114">
            <w:pPr>
              <w:pStyle w:val="ConsPlusNormal"/>
            </w:pPr>
          </w:p>
        </w:tc>
        <w:tc>
          <w:tcPr>
            <w:tcW w:w="1188" w:type="pct"/>
            <w:tcBorders>
              <w:top w:val="single" w:sz="4" w:space="0" w:color="auto"/>
              <w:left w:val="single" w:sz="4" w:space="0" w:color="auto"/>
              <w:bottom w:val="single" w:sz="4" w:space="0" w:color="auto"/>
              <w:right w:val="single" w:sz="4" w:space="0" w:color="auto"/>
            </w:tcBorders>
          </w:tcPr>
          <w:p w14:paraId="403412C7" w14:textId="77777777" w:rsidR="00A775DB" w:rsidRPr="00B0658A" w:rsidRDefault="00A775DB" w:rsidP="000A4114">
            <w:pPr>
              <w:pStyle w:val="ConsPlusNormal"/>
            </w:pPr>
          </w:p>
        </w:tc>
        <w:tc>
          <w:tcPr>
            <w:tcW w:w="622" w:type="pct"/>
            <w:tcBorders>
              <w:top w:val="single" w:sz="4" w:space="0" w:color="auto"/>
              <w:left w:val="single" w:sz="4" w:space="0" w:color="auto"/>
              <w:bottom w:val="single" w:sz="4" w:space="0" w:color="auto"/>
              <w:right w:val="single" w:sz="4" w:space="0" w:color="auto"/>
            </w:tcBorders>
          </w:tcPr>
          <w:p w14:paraId="28C14040" w14:textId="77777777" w:rsidR="00A775DB" w:rsidRPr="00B0658A" w:rsidRDefault="00A775DB" w:rsidP="000A4114">
            <w:pPr>
              <w:pStyle w:val="ConsPlusNormal"/>
            </w:pPr>
          </w:p>
        </w:tc>
        <w:tc>
          <w:tcPr>
            <w:tcW w:w="1024" w:type="pct"/>
            <w:tcBorders>
              <w:top w:val="single" w:sz="4" w:space="0" w:color="auto"/>
              <w:left w:val="single" w:sz="4" w:space="0" w:color="auto"/>
              <w:bottom w:val="single" w:sz="4" w:space="0" w:color="auto"/>
              <w:right w:val="single" w:sz="4" w:space="0" w:color="auto"/>
            </w:tcBorders>
          </w:tcPr>
          <w:p w14:paraId="18CA9691" w14:textId="77777777" w:rsidR="00A775DB" w:rsidRPr="00B0658A" w:rsidRDefault="00A775DB" w:rsidP="000A4114">
            <w:pPr>
              <w:pStyle w:val="ConsPlusNormal"/>
            </w:pPr>
          </w:p>
        </w:tc>
      </w:tr>
      <w:tr w:rsidR="00F52FED" w:rsidRPr="00B0658A" w14:paraId="3478C775" w14:textId="77777777" w:rsidTr="004F1366">
        <w:trPr>
          <w:trHeight w:val="20"/>
        </w:trPr>
        <w:tc>
          <w:tcPr>
            <w:tcW w:w="204" w:type="pct"/>
            <w:tcBorders>
              <w:top w:val="single" w:sz="4" w:space="0" w:color="auto"/>
              <w:left w:val="single" w:sz="4" w:space="0" w:color="auto"/>
              <w:bottom w:val="single" w:sz="4" w:space="0" w:color="auto"/>
              <w:right w:val="single" w:sz="4" w:space="0" w:color="auto"/>
            </w:tcBorders>
          </w:tcPr>
          <w:p w14:paraId="078225A4" w14:textId="77777777" w:rsidR="00A775DB" w:rsidRPr="00B0658A" w:rsidRDefault="00A775DB" w:rsidP="000A4114">
            <w:pPr>
              <w:pStyle w:val="ConsPlusNormal"/>
            </w:pPr>
          </w:p>
        </w:tc>
        <w:tc>
          <w:tcPr>
            <w:tcW w:w="829" w:type="pct"/>
            <w:tcBorders>
              <w:top w:val="single" w:sz="4" w:space="0" w:color="auto"/>
              <w:left w:val="single" w:sz="4" w:space="0" w:color="auto"/>
              <w:bottom w:val="single" w:sz="4" w:space="0" w:color="auto"/>
              <w:right w:val="single" w:sz="4" w:space="0" w:color="auto"/>
            </w:tcBorders>
          </w:tcPr>
          <w:p w14:paraId="26EAC146" w14:textId="77777777" w:rsidR="00A775DB" w:rsidRPr="00B0658A" w:rsidRDefault="00A775DB" w:rsidP="000A4114">
            <w:pPr>
              <w:pStyle w:val="ConsPlusNormal"/>
            </w:pPr>
          </w:p>
        </w:tc>
        <w:tc>
          <w:tcPr>
            <w:tcW w:w="1133" w:type="pct"/>
            <w:tcBorders>
              <w:top w:val="single" w:sz="4" w:space="0" w:color="auto"/>
              <w:left w:val="single" w:sz="4" w:space="0" w:color="auto"/>
              <w:bottom w:val="single" w:sz="4" w:space="0" w:color="auto"/>
              <w:right w:val="single" w:sz="4" w:space="0" w:color="auto"/>
            </w:tcBorders>
          </w:tcPr>
          <w:p w14:paraId="170552DB" w14:textId="77777777" w:rsidR="00A775DB" w:rsidRPr="00B0658A" w:rsidRDefault="00A775DB" w:rsidP="000A4114">
            <w:pPr>
              <w:pStyle w:val="ConsPlusNormal"/>
            </w:pPr>
          </w:p>
        </w:tc>
        <w:tc>
          <w:tcPr>
            <w:tcW w:w="1188" w:type="pct"/>
            <w:tcBorders>
              <w:top w:val="single" w:sz="4" w:space="0" w:color="auto"/>
              <w:left w:val="single" w:sz="4" w:space="0" w:color="auto"/>
              <w:bottom w:val="single" w:sz="4" w:space="0" w:color="auto"/>
              <w:right w:val="single" w:sz="4" w:space="0" w:color="auto"/>
            </w:tcBorders>
          </w:tcPr>
          <w:p w14:paraId="4248466B" w14:textId="77777777" w:rsidR="00A775DB" w:rsidRPr="00B0658A" w:rsidRDefault="00A775DB" w:rsidP="000A4114">
            <w:pPr>
              <w:pStyle w:val="ConsPlusNormal"/>
            </w:pPr>
          </w:p>
        </w:tc>
        <w:tc>
          <w:tcPr>
            <w:tcW w:w="622" w:type="pct"/>
            <w:tcBorders>
              <w:top w:val="single" w:sz="4" w:space="0" w:color="auto"/>
              <w:left w:val="single" w:sz="4" w:space="0" w:color="auto"/>
              <w:bottom w:val="single" w:sz="4" w:space="0" w:color="auto"/>
              <w:right w:val="single" w:sz="4" w:space="0" w:color="auto"/>
            </w:tcBorders>
          </w:tcPr>
          <w:p w14:paraId="69C24CD0" w14:textId="77777777" w:rsidR="00A775DB" w:rsidRPr="00B0658A" w:rsidRDefault="00A775DB" w:rsidP="000A4114">
            <w:pPr>
              <w:pStyle w:val="ConsPlusNormal"/>
            </w:pPr>
          </w:p>
        </w:tc>
        <w:tc>
          <w:tcPr>
            <w:tcW w:w="1024" w:type="pct"/>
            <w:tcBorders>
              <w:top w:val="single" w:sz="4" w:space="0" w:color="auto"/>
              <w:left w:val="single" w:sz="4" w:space="0" w:color="auto"/>
              <w:bottom w:val="single" w:sz="4" w:space="0" w:color="auto"/>
              <w:right w:val="single" w:sz="4" w:space="0" w:color="auto"/>
            </w:tcBorders>
          </w:tcPr>
          <w:p w14:paraId="5E09AE83" w14:textId="77777777" w:rsidR="00A775DB" w:rsidRPr="00B0658A" w:rsidRDefault="00A775DB" w:rsidP="000A4114">
            <w:pPr>
              <w:pStyle w:val="ConsPlusNormal"/>
            </w:pPr>
          </w:p>
        </w:tc>
      </w:tr>
      <w:tr w:rsidR="00A775DB" w:rsidRPr="00B0658A" w14:paraId="6F9844D2" w14:textId="77777777" w:rsidTr="004F1366">
        <w:trPr>
          <w:trHeight w:val="20"/>
        </w:trPr>
        <w:tc>
          <w:tcPr>
            <w:tcW w:w="204" w:type="pct"/>
            <w:tcBorders>
              <w:top w:val="single" w:sz="4" w:space="0" w:color="auto"/>
              <w:left w:val="single" w:sz="4" w:space="0" w:color="auto"/>
              <w:bottom w:val="single" w:sz="4" w:space="0" w:color="auto"/>
              <w:right w:val="single" w:sz="4" w:space="0" w:color="auto"/>
            </w:tcBorders>
          </w:tcPr>
          <w:p w14:paraId="1888B49D" w14:textId="77777777" w:rsidR="00A775DB" w:rsidRPr="00B0658A" w:rsidRDefault="00A775DB" w:rsidP="000A4114">
            <w:pPr>
              <w:pStyle w:val="ConsPlusNormal"/>
              <w:rPr>
                <w:lang w:val="en-US"/>
              </w:rPr>
            </w:pPr>
            <w:r w:rsidRPr="00B0658A">
              <w:rPr>
                <w:lang w:val="en-US"/>
              </w:rPr>
              <w:t>N.n</w:t>
            </w:r>
          </w:p>
        </w:tc>
        <w:tc>
          <w:tcPr>
            <w:tcW w:w="829" w:type="pct"/>
            <w:tcBorders>
              <w:top w:val="single" w:sz="4" w:space="0" w:color="auto"/>
              <w:left w:val="single" w:sz="4" w:space="0" w:color="auto"/>
              <w:bottom w:val="single" w:sz="4" w:space="0" w:color="auto"/>
              <w:right w:val="single" w:sz="4" w:space="0" w:color="auto"/>
            </w:tcBorders>
          </w:tcPr>
          <w:p w14:paraId="4F85AE18" w14:textId="77777777" w:rsidR="00A775DB" w:rsidRPr="00B0658A" w:rsidRDefault="00A775DB" w:rsidP="000A4114">
            <w:pPr>
              <w:pStyle w:val="ConsPlusNormal"/>
            </w:pPr>
          </w:p>
        </w:tc>
        <w:tc>
          <w:tcPr>
            <w:tcW w:w="1133" w:type="pct"/>
            <w:tcBorders>
              <w:top w:val="single" w:sz="4" w:space="0" w:color="auto"/>
              <w:left w:val="single" w:sz="4" w:space="0" w:color="auto"/>
              <w:bottom w:val="single" w:sz="4" w:space="0" w:color="auto"/>
              <w:right w:val="single" w:sz="4" w:space="0" w:color="auto"/>
            </w:tcBorders>
          </w:tcPr>
          <w:p w14:paraId="5674BE5C" w14:textId="77777777" w:rsidR="00A775DB" w:rsidRPr="00B0658A" w:rsidRDefault="00A775DB" w:rsidP="000A4114">
            <w:pPr>
              <w:pStyle w:val="ConsPlusNormal"/>
            </w:pPr>
          </w:p>
        </w:tc>
        <w:tc>
          <w:tcPr>
            <w:tcW w:w="1188" w:type="pct"/>
            <w:tcBorders>
              <w:top w:val="single" w:sz="4" w:space="0" w:color="auto"/>
              <w:left w:val="single" w:sz="4" w:space="0" w:color="auto"/>
              <w:bottom w:val="single" w:sz="4" w:space="0" w:color="auto"/>
              <w:right w:val="single" w:sz="4" w:space="0" w:color="auto"/>
            </w:tcBorders>
          </w:tcPr>
          <w:p w14:paraId="57B7C1FC" w14:textId="77777777" w:rsidR="00A775DB" w:rsidRPr="00B0658A" w:rsidRDefault="00A775DB" w:rsidP="000A4114">
            <w:pPr>
              <w:pStyle w:val="ConsPlusNormal"/>
            </w:pPr>
          </w:p>
        </w:tc>
        <w:tc>
          <w:tcPr>
            <w:tcW w:w="622" w:type="pct"/>
            <w:tcBorders>
              <w:top w:val="single" w:sz="4" w:space="0" w:color="auto"/>
              <w:left w:val="single" w:sz="4" w:space="0" w:color="auto"/>
              <w:bottom w:val="single" w:sz="4" w:space="0" w:color="auto"/>
              <w:right w:val="single" w:sz="4" w:space="0" w:color="auto"/>
            </w:tcBorders>
          </w:tcPr>
          <w:p w14:paraId="3F99D656" w14:textId="77777777" w:rsidR="00A775DB" w:rsidRPr="00B0658A" w:rsidRDefault="00A775DB" w:rsidP="000A4114">
            <w:pPr>
              <w:pStyle w:val="ConsPlusNormal"/>
            </w:pPr>
          </w:p>
        </w:tc>
        <w:tc>
          <w:tcPr>
            <w:tcW w:w="1024" w:type="pct"/>
            <w:tcBorders>
              <w:top w:val="single" w:sz="4" w:space="0" w:color="auto"/>
              <w:left w:val="single" w:sz="4" w:space="0" w:color="auto"/>
              <w:bottom w:val="single" w:sz="4" w:space="0" w:color="auto"/>
              <w:right w:val="single" w:sz="4" w:space="0" w:color="auto"/>
            </w:tcBorders>
          </w:tcPr>
          <w:p w14:paraId="0BC06967" w14:textId="77777777" w:rsidR="00A775DB" w:rsidRPr="00B0658A" w:rsidRDefault="00A775DB" w:rsidP="000A4114">
            <w:pPr>
              <w:pStyle w:val="ConsPlusNormal"/>
            </w:pPr>
          </w:p>
        </w:tc>
      </w:tr>
    </w:tbl>
    <w:p w14:paraId="3F95132A" w14:textId="77777777" w:rsidR="00A775DB" w:rsidRPr="00B0658A" w:rsidRDefault="00A775DB" w:rsidP="00A775DB">
      <w:pPr>
        <w:spacing w:before="120" w:after="0" w:line="240" w:lineRule="auto"/>
        <w:jc w:val="both"/>
        <w:rPr>
          <w:rFonts w:ascii="Times New Roman" w:hAnsi="Times New Roman"/>
          <w:sz w:val="28"/>
          <w:szCs w:val="24"/>
        </w:rPr>
      </w:pPr>
      <w:r w:rsidRPr="00B0658A">
        <w:rPr>
          <w:rFonts w:ascii="Times New Roman" w:hAnsi="Times New Roman"/>
          <w:sz w:val="28"/>
          <w:szCs w:val="24"/>
        </w:rPr>
        <w:t>Раздел 2. «Показатели эффективности перехода на использование российского ПО и соответствующие им значения индикаторов эффективности в отношении значимых объектов КИИ»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7"/>
        <w:gridCol w:w="3432"/>
        <w:gridCol w:w="2337"/>
        <w:gridCol w:w="2337"/>
        <w:gridCol w:w="875"/>
        <w:gridCol w:w="875"/>
        <w:gridCol w:w="875"/>
        <w:gridCol w:w="875"/>
        <w:gridCol w:w="1581"/>
      </w:tblGrid>
      <w:tr w:rsidR="00F52FED" w:rsidRPr="00B0658A" w14:paraId="0963BC41" w14:textId="77777777" w:rsidTr="004F1366">
        <w:trPr>
          <w:trHeight w:val="20"/>
          <w:tblHeader/>
        </w:trPr>
        <w:tc>
          <w:tcPr>
            <w:tcW w:w="278" w:type="pct"/>
            <w:shd w:val="clear" w:color="000000" w:fill="E7E6E6"/>
            <w:vAlign w:val="center"/>
            <w:hideMark/>
          </w:tcPr>
          <w:p w14:paraId="550D1B3B" w14:textId="77777777" w:rsidR="00A775DB" w:rsidRPr="00B0658A" w:rsidRDefault="00A775DB" w:rsidP="004F1366">
            <w:pPr>
              <w:spacing w:after="0" w:line="240" w:lineRule="auto"/>
              <w:jc w:val="center"/>
              <w:rPr>
                <w:rFonts w:ascii="Times New Roman" w:hAnsi="Times New Roman"/>
                <w:b/>
                <w:bCs/>
                <w:sz w:val="20"/>
                <w:szCs w:val="20"/>
              </w:rPr>
            </w:pPr>
            <w:r w:rsidRPr="00B0658A">
              <w:rPr>
                <w:rFonts w:ascii="Times New Roman" w:hAnsi="Times New Roman"/>
                <w:b/>
                <w:bCs/>
                <w:sz w:val="20"/>
                <w:szCs w:val="20"/>
              </w:rPr>
              <w:t>№ п/п</w:t>
            </w:r>
          </w:p>
        </w:tc>
        <w:tc>
          <w:tcPr>
            <w:tcW w:w="1237" w:type="pct"/>
            <w:shd w:val="clear" w:color="000000" w:fill="E7E6E6"/>
            <w:vAlign w:val="center"/>
            <w:hideMark/>
          </w:tcPr>
          <w:p w14:paraId="72DA92A1" w14:textId="77777777" w:rsidR="00A775DB" w:rsidRPr="00B0658A" w:rsidRDefault="00A775DB" w:rsidP="004F1366">
            <w:pPr>
              <w:spacing w:after="0" w:line="240" w:lineRule="auto"/>
              <w:jc w:val="center"/>
              <w:rPr>
                <w:rFonts w:ascii="Times New Roman" w:hAnsi="Times New Roman"/>
                <w:b/>
                <w:bCs/>
                <w:sz w:val="20"/>
                <w:szCs w:val="20"/>
              </w:rPr>
            </w:pPr>
            <w:r w:rsidRPr="00B0658A">
              <w:rPr>
                <w:rFonts w:ascii="Times New Roman" w:hAnsi="Times New Roman"/>
                <w:b/>
                <w:bCs/>
                <w:sz w:val="20"/>
                <w:szCs w:val="20"/>
              </w:rPr>
              <w:t>Наименование используемого класса (типа) ПО</w:t>
            </w:r>
          </w:p>
        </w:tc>
        <w:tc>
          <w:tcPr>
            <w:tcW w:w="844" w:type="pct"/>
            <w:shd w:val="clear" w:color="000000" w:fill="E7E6E6"/>
            <w:vAlign w:val="center"/>
          </w:tcPr>
          <w:p w14:paraId="46380F6B" w14:textId="77777777" w:rsidR="00A775DB" w:rsidRPr="00B0658A" w:rsidRDefault="00A775DB" w:rsidP="004F1366">
            <w:pPr>
              <w:spacing w:after="0" w:line="240" w:lineRule="auto"/>
              <w:jc w:val="center"/>
              <w:rPr>
                <w:rFonts w:ascii="Times New Roman" w:hAnsi="Times New Roman"/>
                <w:b/>
                <w:bCs/>
                <w:sz w:val="20"/>
                <w:szCs w:val="20"/>
              </w:rPr>
            </w:pPr>
            <w:r w:rsidRPr="00B0658A">
              <w:rPr>
                <w:rFonts w:ascii="Times New Roman" w:hAnsi="Times New Roman"/>
                <w:b/>
                <w:bCs/>
                <w:sz w:val="20"/>
                <w:szCs w:val="20"/>
              </w:rPr>
              <w:t>Перечень иностранного ПО, подлежащего замещению</w:t>
            </w:r>
          </w:p>
        </w:tc>
        <w:tc>
          <w:tcPr>
            <w:tcW w:w="844" w:type="pct"/>
            <w:shd w:val="clear" w:color="000000" w:fill="E7E6E6"/>
            <w:vAlign w:val="center"/>
            <w:hideMark/>
          </w:tcPr>
          <w:p w14:paraId="6FB4491F" w14:textId="77777777" w:rsidR="00A775DB" w:rsidRPr="00B0658A" w:rsidRDefault="00A775DB" w:rsidP="004F1366">
            <w:pPr>
              <w:spacing w:after="0" w:line="240" w:lineRule="auto"/>
              <w:jc w:val="center"/>
              <w:rPr>
                <w:rFonts w:ascii="Times New Roman" w:hAnsi="Times New Roman"/>
                <w:b/>
                <w:bCs/>
                <w:sz w:val="20"/>
                <w:szCs w:val="20"/>
              </w:rPr>
            </w:pPr>
            <w:r w:rsidRPr="00B0658A">
              <w:rPr>
                <w:rFonts w:ascii="Times New Roman" w:hAnsi="Times New Roman"/>
                <w:b/>
                <w:bCs/>
                <w:sz w:val="20"/>
                <w:szCs w:val="20"/>
              </w:rPr>
              <w:t>Наименование целевого показателя</w:t>
            </w:r>
          </w:p>
        </w:tc>
        <w:tc>
          <w:tcPr>
            <w:tcW w:w="320" w:type="pct"/>
            <w:shd w:val="clear" w:color="000000" w:fill="E7E6E6"/>
            <w:vAlign w:val="center"/>
          </w:tcPr>
          <w:p w14:paraId="72660E83" w14:textId="77777777" w:rsidR="00A775DB" w:rsidRPr="00B0658A" w:rsidRDefault="00A775DB" w:rsidP="004F1366">
            <w:pPr>
              <w:spacing w:after="0" w:line="240" w:lineRule="auto"/>
              <w:jc w:val="center"/>
              <w:rPr>
                <w:rFonts w:ascii="Times New Roman" w:hAnsi="Times New Roman"/>
                <w:b/>
                <w:bCs/>
                <w:sz w:val="20"/>
                <w:szCs w:val="20"/>
              </w:rPr>
            </w:pPr>
            <w:r w:rsidRPr="00B0658A">
              <w:rPr>
                <w:rFonts w:ascii="Times New Roman" w:hAnsi="Times New Roman"/>
                <w:b/>
                <w:bCs/>
                <w:sz w:val="20"/>
                <w:szCs w:val="20"/>
              </w:rPr>
              <w:t>2021 г.</w:t>
            </w:r>
          </w:p>
          <w:p w14:paraId="5047B94A" w14:textId="77777777" w:rsidR="00A775DB" w:rsidRPr="00B0658A" w:rsidRDefault="00A775DB" w:rsidP="004F1366">
            <w:pPr>
              <w:spacing w:after="0" w:line="240" w:lineRule="auto"/>
              <w:jc w:val="center"/>
              <w:rPr>
                <w:rFonts w:ascii="Times New Roman" w:hAnsi="Times New Roman"/>
                <w:b/>
                <w:bCs/>
                <w:sz w:val="20"/>
                <w:szCs w:val="20"/>
              </w:rPr>
            </w:pPr>
            <w:r w:rsidRPr="00B0658A">
              <w:rPr>
                <w:rFonts w:ascii="Times New Roman" w:hAnsi="Times New Roman"/>
                <w:b/>
                <w:bCs/>
                <w:sz w:val="20"/>
                <w:szCs w:val="20"/>
              </w:rPr>
              <w:t>(факт)</w:t>
            </w:r>
          </w:p>
        </w:tc>
        <w:tc>
          <w:tcPr>
            <w:tcW w:w="320" w:type="pct"/>
            <w:shd w:val="clear" w:color="000000" w:fill="E7E6E6"/>
            <w:noWrap/>
            <w:vAlign w:val="center"/>
            <w:hideMark/>
          </w:tcPr>
          <w:p w14:paraId="6A9C35E7" w14:textId="77777777" w:rsidR="00A775DB" w:rsidRPr="00B0658A" w:rsidRDefault="00A775DB" w:rsidP="004F1366">
            <w:pPr>
              <w:spacing w:after="0" w:line="240" w:lineRule="auto"/>
              <w:jc w:val="center"/>
              <w:rPr>
                <w:rFonts w:ascii="Times New Roman" w:hAnsi="Times New Roman"/>
                <w:b/>
                <w:bCs/>
                <w:sz w:val="20"/>
                <w:szCs w:val="20"/>
              </w:rPr>
            </w:pPr>
            <w:r w:rsidRPr="00B0658A">
              <w:rPr>
                <w:rFonts w:ascii="Times New Roman" w:hAnsi="Times New Roman"/>
                <w:b/>
                <w:bCs/>
                <w:sz w:val="20"/>
                <w:szCs w:val="20"/>
              </w:rPr>
              <w:t>2022 г.</w:t>
            </w:r>
          </w:p>
          <w:p w14:paraId="05CCDFF3" w14:textId="77777777" w:rsidR="00A775DB" w:rsidRPr="00B0658A" w:rsidRDefault="00A775DB" w:rsidP="004F1366">
            <w:pPr>
              <w:spacing w:after="0" w:line="240" w:lineRule="auto"/>
              <w:jc w:val="center"/>
              <w:rPr>
                <w:rFonts w:ascii="Times New Roman" w:hAnsi="Times New Roman"/>
                <w:b/>
                <w:bCs/>
                <w:sz w:val="20"/>
                <w:szCs w:val="20"/>
              </w:rPr>
            </w:pPr>
            <w:r w:rsidRPr="00B0658A">
              <w:rPr>
                <w:rFonts w:ascii="Times New Roman" w:hAnsi="Times New Roman"/>
                <w:b/>
                <w:bCs/>
                <w:sz w:val="20"/>
                <w:szCs w:val="20"/>
              </w:rPr>
              <w:t>(план)</w:t>
            </w:r>
          </w:p>
        </w:tc>
        <w:tc>
          <w:tcPr>
            <w:tcW w:w="320" w:type="pct"/>
            <w:shd w:val="clear" w:color="000000" w:fill="E7E6E6"/>
            <w:vAlign w:val="center"/>
            <w:hideMark/>
          </w:tcPr>
          <w:p w14:paraId="1FB81883" w14:textId="77777777" w:rsidR="00A775DB" w:rsidRPr="00B0658A" w:rsidRDefault="00A775DB" w:rsidP="004F1366">
            <w:pPr>
              <w:spacing w:after="0" w:line="240" w:lineRule="auto"/>
              <w:jc w:val="center"/>
              <w:rPr>
                <w:rFonts w:ascii="Times New Roman" w:hAnsi="Times New Roman"/>
                <w:b/>
                <w:bCs/>
                <w:sz w:val="20"/>
                <w:szCs w:val="20"/>
              </w:rPr>
            </w:pPr>
            <w:r w:rsidRPr="00B0658A">
              <w:rPr>
                <w:rFonts w:ascii="Times New Roman" w:hAnsi="Times New Roman"/>
                <w:b/>
                <w:bCs/>
                <w:sz w:val="20"/>
                <w:szCs w:val="20"/>
              </w:rPr>
              <w:t>2023 г.</w:t>
            </w:r>
          </w:p>
          <w:p w14:paraId="74912C02" w14:textId="77777777" w:rsidR="00A775DB" w:rsidRPr="00B0658A" w:rsidRDefault="00A775DB" w:rsidP="004F1366">
            <w:pPr>
              <w:spacing w:after="0" w:line="240" w:lineRule="auto"/>
              <w:jc w:val="center"/>
              <w:rPr>
                <w:rFonts w:ascii="Times New Roman" w:hAnsi="Times New Roman"/>
                <w:b/>
                <w:bCs/>
                <w:sz w:val="20"/>
                <w:szCs w:val="20"/>
              </w:rPr>
            </w:pPr>
            <w:r w:rsidRPr="00B0658A">
              <w:rPr>
                <w:rFonts w:ascii="Times New Roman" w:hAnsi="Times New Roman"/>
                <w:b/>
                <w:bCs/>
                <w:sz w:val="20"/>
                <w:szCs w:val="20"/>
              </w:rPr>
              <w:t>(план)</w:t>
            </w:r>
          </w:p>
        </w:tc>
        <w:tc>
          <w:tcPr>
            <w:tcW w:w="320" w:type="pct"/>
            <w:shd w:val="clear" w:color="000000" w:fill="E7E6E6"/>
            <w:noWrap/>
            <w:vAlign w:val="center"/>
            <w:hideMark/>
          </w:tcPr>
          <w:p w14:paraId="00524171" w14:textId="77777777" w:rsidR="00A775DB" w:rsidRPr="00B0658A" w:rsidRDefault="00A775DB" w:rsidP="004F1366">
            <w:pPr>
              <w:spacing w:after="0" w:line="240" w:lineRule="auto"/>
              <w:jc w:val="center"/>
              <w:rPr>
                <w:rFonts w:ascii="Times New Roman" w:hAnsi="Times New Roman"/>
                <w:b/>
                <w:bCs/>
                <w:sz w:val="20"/>
                <w:szCs w:val="20"/>
              </w:rPr>
            </w:pPr>
            <w:r w:rsidRPr="00B0658A">
              <w:rPr>
                <w:rFonts w:ascii="Times New Roman" w:hAnsi="Times New Roman"/>
                <w:b/>
                <w:bCs/>
                <w:sz w:val="20"/>
                <w:szCs w:val="20"/>
              </w:rPr>
              <w:t>2024 г.</w:t>
            </w:r>
          </w:p>
          <w:p w14:paraId="6EA53123" w14:textId="77777777" w:rsidR="00A775DB" w:rsidRPr="00B0658A" w:rsidRDefault="00A775DB" w:rsidP="004F1366">
            <w:pPr>
              <w:spacing w:after="0" w:line="240" w:lineRule="auto"/>
              <w:jc w:val="center"/>
              <w:rPr>
                <w:rFonts w:ascii="Times New Roman" w:hAnsi="Times New Roman"/>
                <w:b/>
                <w:bCs/>
                <w:sz w:val="20"/>
                <w:szCs w:val="20"/>
              </w:rPr>
            </w:pPr>
            <w:r w:rsidRPr="00B0658A">
              <w:rPr>
                <w:rFonts w:ascii="Times New Roman" w:hAnsi="Times New Roman"/>
                <w:b/>
                <w:bCs/>
                <w:sz w:val="20"/>
                <w:szCs w:val="20"/>
              </w:rPr>
              <w:t>(план)</w:t>
            </w:r>
          </w:p>
        </w:tc>
        <w:tc>
          <w:tcPr>
            <w:tcW w:w="518" w:type="pct"/>
            <w:shd w:val="clear" w:color="000000" w:fill="E7E6E6"/>
            <w:vAlign w:val="center"/>
            <w:hideMark/>
          </w:tcPr>
          <w:p w14:paraId="525B088C" w14:textId="77777777" w:rsidR="00A775DB" w:rsidRPr="00B0658A" w:rsidRDefault="00A775DB" w:rsidP="004F1366">
            <w:pPr>
              <w:spacing w:after="0" w:line="240" w:lineRule="auto"/>
              <w:jc w:val="center"/>
              <w:rPr>
                <w:rFonts w:ascii="Times New Roman" w:hAnsi="Times New Roman"/>
                <w:b/>
                <w:bCs/>
                <w:sz w:val="20"/>
                <w:szCs w:val="20"/>
              </w:rPr>
            </w:pPr>
            <w:r w:rsidRPr="00B0658A">
              <w:rPr>
                <w:rFonts w:ascii="Times New Roman" w:hAnsi="Times New Roman"/>
                <w:b/>
                <w:bCs/>
                <w:sz w:val="20"/>
                <w:szCs w:val="20"/>
              </w:rPr>
              <w:t>Единицы измерения уровня использования</w:t>
            </w:r>
          </w:p>
        </w:tc>
      </w:tr>
      <w:tr w:rsidR="00F52FED" w:rsidRPr="00B0658A" w14:paraId="0A5A6114" w14:textId="77777777" w:rsidTr="004F1366">
        <w:trPr>
          <w:trHeight w:val="20"/>
        </w:trPr>
        <w:tc>
          <w:tcPr>
            <w:tcW w:w="5000" w:type="pct"/>
            <w:gridSpan w:val="9"/>
            <w:shd w:val="clear" w:color="auto" w:fill="DEEAF6" w:themeFill="accent5" w:themeFillTint="33"/>
          </w:tcPr>
          <w:p w14:paraId="5239B179" w14:textId="77777777" w:rsidR="00A775DB" w:rsidRPr="00B0658A" w:rsidRDefault="00A775DB" w:rsidP="004F1366">
            <w:pPr>
              <w:spacing w:after="0" w:line="240" w:lineRule="auto"/>
              <w:rPr>
                <w:rFonts w:ascii="Times New Roman" w:hAnsi="Times New Roman"/>
                <w:b/>
                <w:sz w:val="20"/>
                <w:szCs w:val="20"/>
              </w:rPr>
            </w:pPr>
            <w:r w:rsidRPr="00B0658A">
              <w:rPr>
                <w:rFonts w:ascii="Times New Roman" w:hAnsi="Times New Roman"/>
                <w:b/>
                <w:sz w:val="20"/>
                <w:szCs w:val="20"/>
              </w:rPr>
              <w:t>1. Показатели эффективности перехода в отношении________ (наименование значимого объекта КИИ №1)</w:t>
            </w:r>
          </w:p>
        </w:tc>
      </w:tr>
      <w:tr w:rsidR="00F52FED" w:rsidRPr="00B0658A" w14:paraId="78E170A5" w14:textId="77777777" w:rsidTr="004F1366">
        <w:trPr>
          <w:trHeight w:val="20"/>
        </w:trPr>
        <w:tc>
          <w:tcPr>
            <w:tcW w:w="278" w:type="pct"/>
            <w:shd w:val="clear" w:color="000000" w:fill="FFFFFF"/>
            <w:vAlign w:val="center"/>
          </w:tcPr>
          <w:p w14:paraId="484AE1E1" w14:textId="77777777" w:rsidR="00A775DB" w:rsidRPr="00B0658A" w:rsidRDefault="00A775DB" w:rsidP="004F1366">
            <w:pPr>
              <w:spacing w:after="0" w:line="240" w:lineRule="auto"/>
              <w:jc w:val="center"/>
              <w:rPr>
                <w:rFonts w:ascii="Times New Roman" w:hAnsi="Times New Roman"/>
                <w:sz w:val="20"/>
                <w:szCs w:val="20"/>
              </w:rPr>
            </w:pPr>
            <w:r w:rsidRPr="00B0658A">
              <w:rPr>
                <w:rFonts w:ascii="Times New Roman" w:hAnsi="Times New Roman"/>
                <w:sz w:val="20"/>
                <w:szCs w:val="20"/>
              </w:rPr>
              <w:t>1.1</w:t>
            </w:r>
          </w:p>
        </w:tc>
        <w:tc>
          <w:tcPr>
            <w:tcW w:w="1237" w:type="pct"/>
            <w:shd w:val="clear" w:color="auto" w:fill="auto"/>
            <w:vAlign w:val="center"/>
            <w:hideMark/>
          </w:tcPr>
          <w:p w14:paraId="7BC8559E" w14:textId="77777777" w:rsidR="00A775DB" w:rsidRPr="00B0658A" w:rsidRDefault="00A775DB" w:rsidP="004F1366">
            <w:pPr>
              <w:spacing w:after="0" w:line="240" w:lineRule="auto"/>
              <w:rPr>
                <w:rFonts w:ascii="Times New Roman" w:hAnsi="Times New Roman"/>
                <w:i/>
                <w:sz w:val="20"/>
                <w:szCs w:val="20"/>
              </w:rPr>
            </w:pPr>
            <w:r w:rsidRPr="00B0658A">
              <w:rPr>
                <w:rFonts w:ascii="Times New Roman" w:hAnsi="Times New Roman"/>
                <w:i/>
                <w:sz w:val="20"/>
                <w:szCs w:val="20"/>
              </w:rPr>
              <w:t>Указывается класс (тип) №1 ПО, используемого на значимом объекте КИИ №1 в соответствии с приказом Минцифры России от 22 сентября 2020 г. № 486)</w:t>
            </w:r>
          </w:p>
        </w:tc>
        <w:tc>
          <w:tcPr>
            <w:tcW w:w="844" w:type="pct"/>
          </w:tcPr>
          <w:p w14:paraId="4F898948" w14:textId="77777777" w:rsidR="00A775DB" w:rsidRPr="00B0658A" w:rsidRDefault="00A775DB" w:rsidP="004F1366">
            <w:pPr>
              <w:spacing w:after="0" w:line="240" w:lineRule="auto"/>
              <w:rPr>
                <w:rFonts w:ascii="Times New Roman" w:hAnsi="Times New Roman"/>
                <w:sz w:val="20"/>
                <w:szCs w:val="20"/>
              </w:rPr>
            </w:pPr>
            <w:r w:rsidRPr="00B0658A">
              <w:rPr>
                <w:rFonts w:ascii="Times New Roman" w:hAnsi="Times New Roman"/>
                <w:i/>
                <w:sz w:val="20"/>
                <w:szCs w:val="20"/>
              </w:rPr>
              <w:t>Указывается перечень используемого иностранного ПО на значимом объекте КИИ</w:t>
            </w:r>
          </w:p>
        </w:tc>
        <w:tc>
          <w:tcPr>
            <w:tcW w:w="844" w:type="pct"/>
            <w:shd w:val="clear" w:color="000000" w:fill="FFFFFF"/>
            <w:hideMark/>
          </w:tcPr>
          <w:p w14:paraId="6A6464CC" w14:textId="77777777" w:rsidR="00A775DB" w:rsidRPr="00B0658A" w:rsidRDefault="00A775DB" w:rsidP="004F1366">
            <w:pPr>
              <w:spacing w:after="0" w:line="240" w:lineRule="auto"/>
              <w:rPr>
                <w:rFonts w:ascii="Times New Roman" w:hAnsi="Times New Roman"/>
                <w:sz w:val="20"/>
                <w:szCs w:val="20"/>
              </w:rPr>
            </w:pPr>
            <w:r w:rsidRPr="00B0658A">
              <w:rPr>
                <w:rFonts w:ascii="Times New Roman" w:hAnsi="Times New Roman"/>
                <w:sz w:val="20"/>
                <w:szCs w:val="20"/>
              </w:rPr>
              <w:t>Доля используемого российского ПО и евразийского ПО, используемого на значимом объекте КИИ, в общем объёме используемого ПО на таком объекте, %</w:t>
            </w:r>
          </w:p>
        </w:tc>
        <w:tc>
          <w:tcPr>
            <w:tcW w:w="320" w:type="pct"/>
            <w:shd w:val="clear" w:color="000000" w:fill="FFFFFF"/>
            <w:vAlign w:val="center"/>
          </w:tcPr>
          <w:p w14:paraId="287BD78D" w14:textId="77777777" w:rsidR="00A775DB" w:rsidRPr="00B0658A" w:rsidRDefault="00A775DB" w:rsidP="004F1366">
            <w:pPr>
              <w:spacing w:after="0" w:line="240" w:lineRule="auto"/>
              <w:jc w:val="center"/>
              <w:rPr>
                <w:rFonts w:ascii="Times New Roman" w:hAnsi="Times New Roman"/>
                <w:sz w:val="20"/>
                <w:szCs w:val="20"/>
              </w:rPr>
            </w:pPr>
          </w:p>
        </w:tc>
        <w:tc>
          <w:tcPr>
            <w:tcW w:w="320" w:type="pct"/>
            <w:shd w:val="clear" w:color="000000" w:fill="FFFFFF"/>
            <w:vAlign w:val="center"/>
            <w:hideMark/>
          </w:tcPr>
          <w:p w14:paraId="32091636" w14:textId="77777777" w:rsidR="00A775DB" w:rsidRPr="00B0658A" w:rsidRDefault="00A775DB" w:rsidP="004F1366">
            <w:pPr>
              <w:spacing w:after="0" w:line="240" w:lineRule="auto"/>
              <w:jc w:val="center"/>
              <w:rPr>
                <w:rFonts w:ascii="Times New Roman" w:hAnsi="Times New Roman"/>
                <w:sz w:val="20"/>
                <w:szCs w:val="20"/>
              </w:rPr>
            </w:pPr>
          </w:p>
        </w:tc>
        <w:tc>
          <w:tcPr>
            <w:tcW w:w="320" w:type="pct"/>
            <w:shd w:val="clear" w:color="000000" w:fill="FFFFFF"/>
            <w:vAlign w:val="center"/>
            <w:hideMark/>
          </w:tcPr>
          <w:p w14:paraId="21A5F53A" w14:textId="77777777" w:rsidR="00A775DB" w:rsidRPr="00B0658A" w:rsidRDefault="00A775DB" w:rsidP="004F1366">
            <w:pPr>
              <w:spacing w:after="0" w:line="240" w:lineRule="auto"/>
              <w:jc w:val="center"/>
              <w:rPr>
                <w:rFonts w:ascii="Times New Roman" w:hAnsi="Times New Roman"/>
                <w:sz w:val="20"/>
                <w:szCs w:val="20"/>
              </w:rPr>
            </w:pPr>
          </w:p>
        </w:tc>
        <w:tc>
          <w:tcPr>
            <w:tcW w:w="320" w:type="pct"/>
            <w:shd w:val="clear" w:color="000000" w:fill="FFFFFF"/>
            <w:vAlign w:val="center"/>
            <w:hideMark/>
          </w:tcPr>
          <w:p w14:paraId="76BD8337" w14:textId="77777777" w:rsidR="00A775DB" w:rsidRPr="00B0658A" w:rsidRDefault="00A775DB" w:rsidP="004F1366">
            <w:pPr>
              <w:spacing w:after="0" w:line="240" w:lineRule="auto"/>
              <w:jc w:val="center"/>
              <w:rPr>
                <w:rFonts w:ascii="Times New Roman" w:hAnsi="Times New Roman"/>
                <w:sz w:val="20"/>
                <w:szCs w:val="20"/>
              </w:rPr>
            </w:pPr>
          </w:p>
        </w:tc>
        <w:tc>
          <w:tcPr>
            <w:tcW w:w="518" w:type="pct"/>
            <w:shd w:val="clear" w:color="000000" w:fill="FFFFFF"/>
            <w:vAlign w:val="center"/>
            <w:hideMark/>
          </w:tcPr>
          <w:p w14:paraId="5F5FCA51" w14:textId="77777777" w:rsidR="00A775DB" w:rsidRPr="00B0658A" w:rsidRDefault="00A775DB" w:rsidP="004F1366">
            <w:pPr>
              <w:spacing w:after="0" w:line="240" w:lineRule="auto"/>
              <w:jc w:val="center"/>
              <w:rPr>
                <w:rFonts w:ascii="Times New Roman" w:hAnsi="Times New Roman"/>
                <w:sz w:val="20"/>
                <w:szCs w:val="20"/>
              </w:rPr>
            </w:pPr>
            <w:r w:rsidRPr="00B0658A">
              <w:rPr>
                <w:rFonts w:ascii="Times New Roman" w:hAnsi="Times New Roman"/>
                <w:i/>
                <w:sz w:val="20"/>
                <w:szCs w:val="20"/>
              </w:rPr>
              <w:t>Указывается единица измерения уровня использования</w:t>
            </w:r>
          </w:p>
        </w:tc>
      </w:tr>
      <w:tr w:rsidR="00F52FED" w:rsidRPr="00B0658A" w14:paraId="50AE0EBB" w14:textId="77777777" w:rsidTr="004F1366">
        <w:trPr>
          <w:trHeight w:val="20"/>
        </w:trPr>
        <w:tc>
          <w:tcPr>
            <w:tcW w:w="278" w:type="pct"/>
            <w:shd w:val="clear" w:color="000000" w:fill="FFFFFF"/>
            <w:vAlign w:val="center"/>
          </w:tcPr>
          <w:p w14:paraId="7BAB675E" w14:textId="77777777" w:rsidR="00A775DB" w:rsidRPr="00B0658A" w:rsidRDefault="00A775DB" w:rsidP="004F1366">
            <w:pPr>
              <w:spacing w:after="0" w:line="240" w:lineRule="auto"/>
              <w:jc w:val="center"/>
              <w:rPr>
                <w:rFonts w:ascii="Times New Roman" w:hAnsi="Times New Roman"/>
                <w:sz w:val="20"/>
                <w:szCs w:val="20"/>
              </w:rPr>
            </w:pPr>
            <w:r w:rsidRPr="00B0658A">
              <w:rPr>
                <w:rFonts w:ascii="Times New Roman" w:hAnsi="Times New Roman"/>
                <w:sz w:val="20"/>
                <w:szCs w:val="20"/>
              </w:rPr>
              <w:t>1.2</w:t>
            </w:r>
          </w:p>
        </w:tc>
        <w:tc>
          <w:tcPr>
            <w:tcW w:w="1237" w:type="pct"/>
            <w:shd w:val="clear" w:color="auto" w:fill="auto"/>
            <w:vAlign w:val="center"/>
            <w:hideMark/>
          </w:tcPr>
          <w:p w14:paraId="79A9840C" w14:textId="77777777" w:rsidR="00A775DB" w:rsidRPr="00B0658A" w:rsidRDefault="00A775DB" w:rsidP="004F1366">
            <w:pPr>
              <w:spacing w:after="0" w:line="240" w:lineRule="auto"/>
              <w:rPr>
                <w:rFonts w:ascii="Times New Roman" w:hAnsi="Times New Roman"/>
                <w:i/>
                <w:sz w:val="20"/>
                <w:szCs w:val="20"/>
              </w:rPr>
            </w:pPr>
            <w:r w:rsidRPr="00B0658A">
              <w:rPr>
                <w:rFonts w:ascii="Times New Roman" w:hAnsi="Times New Roman"/>
                <w:i/>
                <w:sz w:val="20"/>
                <w:szCs w:val="20"/>
              </w:rPr>
              <w:t>Указывается класс (тип) №2 ПО, используемого на значимом объекте КИИ №1 в соответствии с приказом Минцифры России от 22 сентября 2020 г. № 486)</w:t>
            </w:r>
          </w:p>
        </w:tc>
        <w:tc>
          <w:tcPr>
            <w:tcW w:w="844" w:type="pct"/>
          </w:tcPr>
          <w:p w14:paraId="773BA6C9" w14:textId="77777777" w:rsidR="00A775DB" w:rsidRPr="00B0658A" w:rsidRDefault="00A775DB" w:rsidP="004F1366">
            <w:pPr>
              <w:spacing w:after="0" w:line="240" w:lineRule="auto"/>
              <w:rPr>
                <w:rFonts w:ascii="Times New Roman" w:hAnsi="Times New Roman"/>
                <w:sz w:val="20"/>
                <w:szCs w:val="20"/>
              </w:rPr>
            </w:pPr>
          </w:p>
        </w:tc>
        <w:tc>
          <w:tcPr>
            <w:tcW w:w="844" w:type="pct"/>
            <w:shd w:val="clear" w:color="000000" w:fill="FFFFFF"/>
            <w:hideMark/>
          </w:tcPr>
          <w:p w14:paraId="467A528C" w14:textId="77777777" w:rsidR="00A775DB" w:rsidRPr="00B0658A" w:rsidRDefault="00A775DB" w:rsidP="004F1366">
            <w:pPr>
              <w:spacing w:after="0" w:line="240" w:lineRule="auto"/>
              <w:rPr>
                <w:rFonts w:ascii="Times New Roman" w:hAnsi="Times New Roman"/>
                <w:sz w:val="20"/>
                <w:szCs w:val="20"/>
              </w:rPr>
            </w:pPr>
            <w:r w:rsidRPr="00B0658A">
              <w:rPr>
                <w:rFonts w:ascii="Times New Roman" w:hAnsi="Times New Roman"/>
                <w:sz w:val="20"/>
                <w:szCs w:val="20"/>
              </w:rPr>
              <w:t>Доля используемого российского ПО и евразийского ПО, используемого на значимом объекте КИИ, в общем объёме используемого ПО на таком объекте, %</w:t>
            </w:r>
          </w:p>
        </w:tc>
        <w:tc>
          <w:tcPr>
            <w:tcW w:w="320" w:type="pct"/>
            <w:shd w:val="clear" w:color="000000" w:fill="FFFFFF"/>
            <w:vAlign w:val="center"/>
          </w:tcPr>
          <w:p w14:paraId="5DBDA37E" w14:textId="77777777" w:rsidR="00A775DB" w:rsidRPr="00B0658A" w:rsidRDefault="00A775DB" w:rsidP="004F1366">
            <w:pPr>
              <w:spacing w:after="0" w:line="240" w:lineRule="auto"/>
              <w:jc w:val="center"/>
              <w:rPr>
                <w:rFonts w:ascii="Times New Roman" w:hAnsi="Times New Roman"/>
                <w:sz w:val="20"/>
                <w:szCs w:val="20"/>
              </w:rPr>
            </w:pPr>
          </w:p>
        </w:tc>
        <w:tc>
          <w:tcPr>
            <w:tcW w:w="320" w:type="pct"/>
            <w:shd w:val="clear" w:color="000000" w:fill="FFFFFF"/>
            <w:vAlign w:val="center"/>
            <w:hideMark/>
          </w:tcPr>
          <w:p w14:paraId="4F36026C" w14:textId="77777777" w:rsidR="00A775DB" w:rsidRPr="00B0658A" w:rsidRDefault="00A775DB" w:rsidP="004F1366">
            <w:pPr>
              <w:spacing w:after="0" w:line="240" w:lineRule="auto"/>
              <w:jc w:val="center"/>
              <w:rPr>
                <w:rFonts w:ascii="Times New Roman" w:hAnsi="Times New Roman"/>
                <w:sz w:val="20"/>
                <w:szCs w:val="20"/>
              </w:rPr>
            </w:pPr>
          </w:p>
        </w:tc>
        <w:tc>
          <w:tcPr>
            <w:tcW w:w="320" w:type="pct"/>
            <w:shd w:val="clear" w:color="000000" w:fill="FFFFFF"/>
            <w:vAlign w:val="center"/>
            <w:hideMark/>
          </w:tcPr>
          <w:p w14:paraId="6607C76B" w14:textId="77777777" w:rsidR="00A775DB" w:rsidRPr="00B0658A" w:rsidRDefault="00A775DB" w:rsidP="004F1366">
            <w:pPr>
              <w:spacing w:after="0" w:line="240" w:lineRule="auto"/>
              <w:jc w:val="center"/>
              <w:rPr>
                <w:rFonts w:ascii="Times New Roman" w:hAnsi="Times New Roman"/>
                <w:sz w:val="20"/>
                <w:szCs w:val="20"/>
              </w:rPr>
            </w:pPr>
          </w:p>
        </w:tc>
        <w:tc>
          <w:tcPr>
            <w:tcW w:w="320" w:type="pct"/>
            <w:shd w:val="clear" w:color="000000" w:fill="FFFFFF"/>
            <w:vAlign w:val="center"/>
            <w:hideMark/>
          </w:tcPr>
          <w:p w14:paraId="537A3A13" w14:textId="77777777" w:rsidR="00A775DB" w:rsidRPr="00B0658A" w:rsidRDefault="00A775DB" w:rsidP="004F1366">
            <w:pPr>
              <w:spacing w:after="0" w:line="240" w:lineRule="auto"/>
              <w:jc w:val="center"/>
              <w:rPr>
                <w:rFonts w:ascii="Times New Roman" w:hAnsi="Times New Roman"/>
                <w:sz w:val="20"/>
                <w:szCs w:val="20"/>
              </w:rPr>
            </w:pPr>
          </w:p>
        </w:tc>
        <w:tc>
          <w:tcPr>
            <w:tcW w:w="518" w:type="pct"/>
            <w:shd w:val="clear" w:color="000000" w:fill="FFFFFF"/>
            <w:vAlign w:val="center"/>
            <w:hideMark/>
          </w:tcPr>
          <w:p w14:paraId="1312BB74" w14:textId="77777777" w:rsidR="00A775DB" w:rsidRPr="00B0658A" w:rsidRDefault="00A775DB" w:rsidP="004F1366">
            <w:pPr>
              <w:spacing w:after="0" w:line="240" w:lineRule="auto"/>
              <w:jc w:val="center"/>
              <w:rPr>
                <w:rFonts w:ascii="Times New Roman" w:hAnsi="Times New Roman"/>
                <w:sz w:val="20"/>
                <w:szCs w:val="20"/>
              </w:rPr>
            </w:pPr>
          </w:p>
        </w:tc>
      </w:tr>
      <w:tr w:rsidR="00F52FED" w:rsidRPr="00B0658A" w14:paraId="7E491978" w14:textId="77777777" w:rsidTr="004F1366">
        <w:trPr>
          <w:trHeight w:val="20"/>
        </w:trPr>
        <w:tc>
          <w:tcPr>
            <w:tcW w:w="278" w:type="pct"/>
            <w:shd w:val="clear" w:color="000000" w:fill="FFFFFF"/>
            <w:vAlign w:val="center"/>
          </w:tcPr>
          <w:p w14:paraId="4078019D" w14:textId="77777777" w:rsidR="00A775DB" w:rsidRPr="00B0658A" w:rsidRDefault="00A775DB" w:rsidP="004F1366">
            <w:pPr>
              <w:spacing w:after="0" w:line="240" w:lineRule="auto"/>
              <w:jc w:val="center"/>
              <w:rPr>
                <w:rFonts w:ascii="Times New Roman" w:hAnsi="Times New Roman"/>
                <w:sz w:val="20"/>
                <w:szCs w:val="20"/>
              </w:rPr>
            </w:pPr>
            <w:r w:rsidRPr="00B0658A">
              <w:rPr>
                <w:rFonts w:ascii="Times New Roman" w:hAnsi="Times New Roman"/>
                <w:sz w:val="20"/>
                <w:szCs w:val="20"/>
              </w:rPr>
              <w:t>…</w:t>
            </w:r>
          </w:p>
        </w:tc>
        <w:tc>
          <w:tcPr>
            <w:tcW w:w="1237" w:type="pct"/>
            <w:shd w:val="clear" w:color="auto" w:fill="auto"/>
            <w:vAlign w:val="center"/>
            <w:hideMark/>
          </w:tcPr>
          <w:p w14:paraId="56E2AA2B" w14:textId="77777777" w:rsidR="00A775DB" w:rsidRPr="00B0658A" w:rsidRDefault="00A775DB" w:rsidP="004F1366">
            <w:pPr>
              <w:spacing w:after="0" w:line="240" w:lineRule="auto"/>
              <w:rPr>
                <w:rFonts w:ascii="Times New Roman" w:hAnsi="Times New Roman"/>
                <w:i/>
                <w:sz w:val="20"/>
                <w:szCs w:val="20"/>
              </w:rPr>
            </w:pPr>
            <w:r w:rsidRPr="00B0658A">
              <w:rPr>
                <w:rFonts w:ascii="Times New Roman" w:hAnsi="Times New Roman"/>
                <w:i/>
                <w:sz w:val="20"/>
                <w:szCs w:val="20"/>
              </w:rPr>
              <w:t>…</w:t>
            </w:r>
          </w:p>
        </w:tc>
        <w:tc>
          <w:tcPr>
            <w:tcW w:w="844" w:type="pct"/>
          </w:tcPr>
          <w:p w14:paraId="50A70E0F" w14:textId="77777777" w:rsidR="00A775DB" w:rsidRPr="00B0658A" w:rsidRDefault="00A775DB" w:rsidP="004F1366">
            <w:pPr>
              <w:spacing w:after="0" w:line="240" w:lineRule="auto"/>
              <w:rPr>
                <w:rFonts w:ascii="Times New Roman" w:hAnsi="Times New Roman"/>
                <w:sz w:val="20"/>
                <w:szCs w:val="20"/>
              </w:rPr>
            </w:pPr>
          </w:p>
        </w:tc>
        <w:tc>
          <w:tcPr>
            <w:tcW w:w="844" w:type="pct"/>
            <w:shd w:val="clear" w:color="000000" w:fill="FFFFFF"/>
            <w:hideMark/>
          </w:tcPr>
          <w:p w14:paraId="33D33881" w14:textId="77777777" w:rsidR="00A775DB" w:rsidRPr="00B0658A" w:rsidRDefault="00A775DB" w:rsidP="004F1366">
            <w:pPr>
              <w:spacing w:after="0" w:line="240" w:lineRule="auto"/>
              <w:rPr>
                <w:rFonts w:ascii="Times New Roman" w:hAnsi="Times New Roman"/>
                <w:sz w:val="20"/>
                <w:szCs w:val="20"/>
              </w:rPr>
            </w:pPr>
            <w:r w:rsidRPr="00B0658A">
              <w:rPr>
                <w:rFonts w:ascii="Times New Roman" w:hAnsi="Times New Roman"/>
                <w:sz w:val="20"/>
                <w:szCs w:val="20"/>
              </w:rPr>
              <w:t>…...</w:t>
            </w:r>
          </w:p>
        </w:tc>
        <w:tc>
          <w:tcPr>
            <w:tcW w:w="320" w:type="pct"/>
            <w:shd w:val="clear" w:color="000000" w:fill="FFFFFF"/>
            <w:vAlign w:val="center"/>
          </w:tcPr>
          <w:p w14:paraId="492B8BA6" w14:textId="77777777" w:rsidR="00A775DB" w:rsidRPr="00B0658A" w:rsidRDefault="00A775DB" w:rsidP="004F1366">
            <w:pPr>
              <w:spacing w:after="0" w:line="240" w:lineRule="auto"/>
              <w:jc w:val="center"/>
              <w:rPr>
                <w:rFonts w:ascii="Times New Roman" w:hAnsi="Times New Roman"/>
                <w:sz w:val="20"/>
                <w:szCs w:val="20"/>
              </w:rPr>
            </w:pPr>
          </w:p>
        </w:tc>
        <w:tc>
          <w:tcPr>
            <w:tcW w:w="320" w:type="pct"/>
            <w:shd w:val="clear" w:color="000000" w:fill="FFFFFF"/>
            <w:vAlign w:val="center"/>
            <w:hideMark/>
          </w:tcPr>
          <w:p w14:paraId="26993087" w14:textId="77777777" w:rsidR="00A775DB" w:rsidRPr="00B0658A" w:rsidRDefault="00A775DB" w:rsidP="004F1366">
            <w:pPr>
              <w:spacing w:after="0" w:line="240" w:lineRule="auto"/>
              <w:jc w:val="center"/>
              <w:rPr>
                <w:rFonts w:ascii="Times New Roman" w:hAnsi="Times New Roman"/>
                <w:sz w:val="20"/>
                <w:szCs w:val="20"/>
              </w:rPr>
            </w:pPr>
          </w:p>
        </w:tc>
        <w:tc>
          <w:tcPr>
            <w:tcW w:w="320" w:type="pct"/>
            <w:shd w:val="clear" w:color="000000" w:fill="FFFFFF"/>
            <w:vAlign w:val="center"/>
            <w:hideMark/>
          </w:tcPr>
          <w:p w14:paraId="5DE780FC" w14:textId="77777777" w:rsidR="00A775DB" w:rsidRPr="00B0658A" w:rsidRDefault="00A775DB" w:rsidP="004F1366">
            <w:pPr>
              <w:spacing w:after="0" w:line="240" w:lineRule="auto"/>
              <w:jc w:val="center"/>
              <w:rPr>
                <w:rFonts w:ascii="Times New Roman" w:hAnsi="Times New Roman"/>
                <w:sz w:val="20"/>
                <w:szCs w:val="20"/>
              </w:rPr>
            </w:pPr>
          </w:p>
        </w:tc>
        <w:tc>
          <w:tcPr>
            <w:tcW w:w="320" w:type="pct"/>
            <w:shd w:val="clear" w:color="000000" w:fill="FFFFFF"/>
            <w:vAlign w:val="center"/>
            <w:hideMark/>
          </w:tcPr>
          <w:p w14:paraId="154C2A80" w14:textId="77777777" w:rsidR="00A775DB" w:rsidRPr="00B0658A" w:rsidRDefault="00A775DB" w:rsidP="004F1366">
            <w:pPr>
              <w:spacing w:after="0" w:line="240" w:lineRule="auto"/>
              <w:jc w:val="center"/>
              <w:rPr>
                <w:rFonts w:ascii="Times New Roman" w:hAnsi="Times New Roman"/>
                <w:sz w:val="20"/>
                <w:szCs w:val="20"/>
              </w:rPr>
            </w:pPr>
          </w:p>
        </w:tc>
        <w:tc>
          <w:tcPr>
            <w:tcW w:w="518" w:type="pct"/>
            <w:shd w:val="clear" w:color="000000" w:fill="FFFFFF"/>
            <w:vAlign w:val="center"/>
            <w:hideMark/>
          </w:tcPr>
          <w:p w14:paraId="26073A02" w14:textId="77777777" w:rsidR="00A775DB" w:rsidRPr="00B0658A" w:rsidRDefault="00A775DB" w:rsidP="004F1366">
            <w:pPr>
              <w:spacing w:after="0" w:line="240" w:lineRule="auto"/>
              <w:jc w:val="center"/>
              <w:rPr>
                <w:rFonts w:ascii="Times New Roman" w:hAnsi="Times New Roman"/>
                <w:sz w:val="20"/>
                <w:szCs w:val="20"/>
              </w:rPr>
            </w:pPr>
          </w:p>
        </w:tc>
      </w:tr>
      <w:tr w:rsidR="00F52FED" w:rsidRPr="00B0658A" w14:paraId="642777A6" w14:textId="77777777" w:rsidTr="004F1366">
        <w:trPr>
          <w:trHeight w:val="20"/>
        </w:trPr>
        <w:tc>
          <w:tcPr>
            <w:tcW w:w="278" w:type="pct"/>
            <w:shd w:val="clear" w:color="000000" w:fill="FFFFFF"/>
            <w:vAlign w:val="center"/>
          </w:tcPr>
          <w:p w14:paraId="5562FA04" w14:textId="77777777" w:rsidR="00A775DB" w:rsidRPr="00B0658A" w:rsidRDefault="00A775DB" w:rsidP="004F1366">
            <w:pPr>
              <w:spacing w:after="0" w:line="240" w:lineRule="auto"/>
              <w:jc w:val="center"/>
              <w:rPr>
                <w:rFonts w:ascii="Times New Roman" w:hAnsi="Times New Roman"/>
                <w:sz w:val="20"/>
                <w:szCs w:val="20"/>
                <w:lang w:val="en-US"/>
              </w:rPr>
            </w:pPr>
            <w:r w:rsidRPr="00B0658A">
              <w:rPr>
                <w:rFonts w:ascii="Times New Roman" w:hAnsi="Times New Roman"/>
                <w:sz w:val="20"/>
                <w:szCs w:val="20"/>
              </w:rPr>
              <w:t>1.</w:t>
            </w:r>
            <w:r w:rsidRPr="00B0658A">
              <w:rPr>
                <w:rFonts w:ascii="Times New Roman" w:hAnsi="Times New Roman"/>
                <w:sz w:val="20"/>
                <w:szCs w:val="20"/>
                <w:lang w:val="en-US"/>
              </w:rPr>
              <w:t>n</w:t>
            </w:r>
          </w:p>
        </w:tc>
        <w:tc>
          <w:tcPr>
            <w:tcW w:w="1237" w:type="pct"/>
            <w:shd w:val="clear" w:color="auto" w:fill="auto"/>
            <w:vAlign w:val="center"/>
            <w:hideMark/>
          </w:tcPr>
          <w:p w14:paraId="511E5B2C" w14:textId="77777777" w:rsidR="00A775DB" w:rsidRPr="00B0658A" w:rsidRDefault="00A775DB" w:rsidP="004F1366">
            <w:pPr>
              <w:spacing w:after="0" w:line="240" w:lineRule="auto"/>
              <w:rPr>
                <w:rFonts w:ascii="Times New Roman" w:hAnsi="Times New Roman"/>
                <w:i/>
                <w:sz w:val="20"/>
                <w:szCs w:val="20"/>
              </w:rPr>
            </w:pPr>
            <w:r w:rsidRPr="00B0658A">
              <w:rPr>
                <w:rFonts w:ascii="Times New Roman" w:hAnsi="Times New Roman"/>
                <w:i/>
                <w:sz w:val="20"/>
                <w:szCs w:val="20"/>
              </w:rPr>
              <w:t>Указывается класс (тип) №</w:t>
            </w:r>
            <w:r w:rsidRPr="00B0658A">
              <w:rPr>
                <w:rFonts w:ascii="Times New Roman" w:hAnsi="Times New Roman"/>
                <w:i/>
                <w:sz w:val="20"/>
                <w:szCs w:val="20"/>
                <w:lang w:val="en-US"/>
              </w:rPr>
              <w:t>n</w:t>
            </w:r>
            <w:r w:rsidRPr="00B0658A">
              <w:rPr>
                <w:rFonts w:ascii="Times New Roman" w:hAnsi="Times New Roman"/>
                <w:i/>
                <w:sz w:val="20"/>
                <w:szCs w:val="20"/>
              </w:rPr>
              <w:t xml:space="preserve"> ПО, используемого на значимом объекте КИИ №1 в соответствии с приказом Минцифры России от 22 сентября 2020 г. № 486)</w:t>
            </w:r>
          </w:p>
        </w:tc>
        <w:tc>
          <w:tcPr>
            <w:tcW w:w="844" w:type="pct"/>
          </w:tcPr>
          <w:p w14:paraId="149C7A28" w14:textId="77777777" w:rsidR="00A775DB" w:rsidRPr="00B0658A" w:rsidRDefault="00A775DB" w:rsidP="004F1366">
            <w:pPr>
              <w:spacing w:after="0" w:line="240" w:lineRule="auto"/>
              <w:rPr>
                <w:rFonts w:ascii="Times New Roman" w:hAnsi="Times New Roman"/>
                <w:sz w:val="20"/>
                <w:szCs w:val="20"/>
              </w:rPr>
            </w:pPr>
          </w:p>
        </w:tc>
        <w:tc>
          <w:tcPr>
            <w:tcW w:w="844" w:type="pct"/>
            <w:shd w:val="clear" w:color="000000" w:fill="FFFFFF"/>
            <w:hideMark/>
          </w:tcPr>
          <w:p w14:paraId="52071BD5" w14:textId="77777777" w:rsidR="00A775DB" w:rsidRPr="00B0658A" w:rsidRDefault="00A775DB" w:rsidP="004F1366">
            <w:pPr>
              <w:spacing w:after="0" w:line="240" w:lineRule="auto"/>
              <w:rPr>
                <w:rFonts w:ascii="Times New Roman" w:hAnsi="Times New Roman"/>
                <w:sz w:val="20"/>
                <w:szCs w:val="20"/>
              </w:rPr>
            </w:pPr>
            <w:r w:rsidRPr="00B0658A">
              <w:rPr>
                <w:rFonts w:ascii="Times New Roman" w:hAnsi="Times New Roman"/>
                <w:sz w:val="20"/>
                <w:szCs w:val="20"/>
              </w:rPr>
              <w:t>Доля используемого российского ПО и евразийского ПО, используемого на значимом объекте КИИ, в общем объёме используемого ПО на таком объекте, %</w:t>
            </w:r>
          </w:p>
        </w:tc>
        <w:tc>
          <w:tcPr>
            <w:tcW w:w="320" w:type="pct"/>
            <w:shd w:val="clear" w:color="000000" w:fill="FFFFFF"/>
            <w:vAlign w:val="center"/>
          </w:tcPr>
          <w:p w14:paraId="75C3A945" w14:textId="77777777" w:rsidR="00A775DB" w:rsidRPr="00B0658A" w:rsidRDefault="00A775DB" w:rsidP="004F1366">
            <w:pPr>
              <w:spacing w:after="0" w:line="240" w:lineRule="auto"/>
              <w:jc w:val="center"/>
              <w:rPr>
                <w:rFonts w:ascii="Times New Roman" w:hAnsi="Times New Roman"/>
                <w:sz w:val="20"/>
                <w:szCs w:val="20"/>
              </w:rPr>
            </w:pPr>
          </w:p>
        </w:tc>
        <w:tc>
          <w:tcPr>
            <w:tcW w:w="320" w:type="pct"/>
            <w:shd w:val="clear" w:color="000000" w:fill="FFFFFF"/>
            <w:vAlign w:val="center"/>
            <w:hideMark/>
          </w:tcPr>
          <w:p w14:paraId="6E41B5AC" w14:textId="77777777" w:rsidR="00A775DB" w:rsidRPr="00B0658A" w:rsidRDefault="00A775DB" w:rsidP="004F1366">
            <w:pPr>
              <w:spacing w:after="0" w:line="240" w:lineRule="auto"/>
              <w:jc w:val="center"/>
              <w:rPr>
                <w:rFonts w:ascii="Times New Roman" w:hAnsi="Times New Roman"/>
                <w:sz w:val="20"/>
                <w:szCs w:val="20"/>
              </w:rPr>
            </w:pPr>
          </w:p>
        </w:tc>
        <w:tc>
          <w:tcPr>
            <w:tcW w:w="320" w:type="pct"/>
            <w:shd w:val="clear" w:color="000000" w:fill="FFFFFF"/>
            <w:vAlign w:val="center"/>
            <w:hideMark/>
          </w:tcPr>
          <w:p w14:paraId="69E38031" w14:textId="77777777" w:rsidR="00A775DB" w:rsidRPr="00B0658A" w:rsidRDefault="00A775DB" w:rsidP="004F1366">
            <w:pPr>
              <w:spacing w:after="0" w:line="240" w:lineRule="auto"/>
              <w:jc w:val="center"/>
              <w:rPr>
                <w:rFonts w:ascii="Times New Roman" w:hAnsi="Times New Roman"/>
                <w:sz w:val="20"/>
                <w:szCs w:val="20"/>
              </w:rPr>
            </w:pPr>
          </w:p>
        </w:tc>
        <w:tc>
          <w:tcPr>
            <w:tcW w:w="320" w:type="pct"/>
            <w:shd w:val="clear" w:color="000000" w:fill="FFFFFF"/>
            <w:vAlign w:val="center"/>
            <w:hideMark/>
          </w:tcPr>
          <w:p w14:paraId="57B9C99E" w14:textId="77777777" w:rsidR="00A775DB" w:rsidRPr="00B0658A" w:rsidRDefault="00A775DB" w:rsidP="004F1366">
            <w:pPr>
              <w:spacing w:after="0" w:line="240" w:lineRule="auto"/>
              <w:jc w:val="center"/>
              <w:rPr>
                <w:rFonts w:ascii="Times New Roman" w:hAnsi="Times New Roman"/>
                <w:sz w:val="20"/>
                <w:szCs w:val="20"/>
              </w:rPr>
            </w:pPr>
          </w:p>
        </w:tc>
        <w:tc>
          <w:tcPr>
            <w:tcW w:w="518" w:type="pct"/>
            <w:shd w:val="clear" w:color="000000" w:fill="FFFFFF"/>
            <w:vAlign w:val="center"/>
            <w:hideMark/>
          </w:tcPr>
          <w:p w14:paraId="0D7888DE" w14:textId="77777777" w:rsidR="00A775DB" w:rsidRPr="00B0658A" w:rsidRDefault="00A775DB" w:rsidP="004F1366">
            <w:pPr>
              <w:spacing w:after="0" w:line="240" w:lineRule="auto"/>
              <w:jc w:val="center"/>
              <w:rPr>
                <w:rFonts w:ascii="Times New Roman" w:hAnsi="Times New Roman"/>
                <w:sz w:val="20"/>
                <w:szCs w:val="20"/>
              </w:rPr>
            </w:pPr>
          </w:p>
        </w:tc>
      </w:tr>
      <w:tr w:rsidR="00F52FED" w:rsidRPr="00B0658A" w14:paraId="24F487AB" w14:textId="77777777" w:rsidTr="004F1366">
        <w:trPr>
          <w:trHeight w:val="20"/>
        </w:trPr>
        <w:tc>
          <w:tcPr>
            <w:tcW w:w="5000" w:type="pct"/>
            <w:gridSpan w:val="9"/>
            <w:shd w:val="clear" w:color="auto" w:fill="DEEAF6" w:themeFill="accent5" w:themeFillTint="33"/>
          </w:tcPr>
          <w:p w14:paraId="592614B0" w14:textId="77777777" w:rsidR="00A775DB" w:rsidRPr="00B0658A" w:rsidRDefault="00A775DB" w:rsidP="004F1366">
            <w:pPr>
              <w:spacing w:after="0" w:line="240" w:lineRule="auto"/>
              <w:rPr>
                <w:rFonts w:ascii="Times New Roman" w:hAnsi="Times New Roman"/>
                <w:b/>
                <w:sz w:val="20"/>
                <w:szCs w:val="20"/>
              </w:rPr>
            </w:pPr>
            <w:r w:rsidRPr="00B0658A">
              <w:rPr>
                <w:rFonts w:ascii="Times New Roman" w:hAnsi="Times New Roman"/>
                <w:b/>
                <w:sz w:val="20"/>
                <w:szCs w:val="20"/>
              </w:rPr>
              <w:t>2. Показатели эффективности перехода в отношении ________ (наименование значимого объекта КИИ № 2)</w:t>
            </w:r>
          </w:p>
        </w:tc>
      </w:tr>
      <w:tr w:rsidR="00F52FED" w:rsidRPr="00B0658A" w14:paraId="413CFB79" w14:textId="77777777" w:rsidTr="004F1366">
        <w:trPr>
          <w:trHeight w:val="20"/>
        </w:trPr>
        <w:tc>
          <w:tcPr>
            <w:tcW w:w="278" w:type="pct"/>
            <w:shd w:val="clear" w:color="auto" w:fill="auto"/>
            <w:vAlign w:val="center"/>
          </w:tcPr>
          <w:p w14:paraId="54057BE5" w14:textId="77777777" w:rsidR="00A775DB" w:rsidRPr="00B0658A" w:rsidRDefault="00A775DB" w:rsidP="004F1366">
            <w:pPr>
              <w:spacing w:after="0" w:line="240" w:lineRule="auto"/>
              <w:jc w:val="center"/>
              <w:rPr>
                <w:rFonts w:ascii="Times New Roman" w:hAnsi="Times New Roman"/>
                <w:sz w:val="20"/>
                <w:szCs w:val="20"/>
              </w:rPr>
            </w:pPr>
            <w:r w:rsidRPr="00B0658A">
              <w:rPr>
                <w:rFonts w:ascii="Times New Roman" w:hAnsi="Times New Roman"/>
                <w:sz w:val="20"/>
                <w:szCs w:val="20"/>
                <w:lang w:val="en-US"/>
              </w:rPr>
              <w:t>2</w:t>
            </w:r>
            <w:r w:rsidRPr="00B0658A">
              <w:rPr>
                <w:rFonts w:ascii="Times New Roman" w:hAnsi="Times New Roman"/>
                <w:sz w:val="20"/>
                <w:szCs w:val="20"/>
              </w:rPr>
              <w:t>.1</w:t>
            </w:r>
          </w:p>
        </w:tc>
        <w:tc>
          <w:tcPr>
            <w:tcW w:w="1237" w:type="pct"/>
            <w:shd w:val="clear" w:color="auto" w:fill="auto"/>
            <w:vAlign w:val="center"/>
          </w:tcPr>
          <w:p w14:paraId="716ED2AF" w14:textId="77777777" w:rsidR="00A775DB" w:rsidRPr="00B0658A" w:rsidRDefault="00A775DB" w:rsidP="004F1366">
            <w:pPr>
              <w:spacing w:after="0" w:line="240" w:lineRule="auto"/>
              <w:rPr>
                <w:rFonts w:ascii="Times New Roman" w:hAnsi="Times New Roman"/>
                <w:i/>
                <w:sz w:val="20"/>
                <w:szCs w:val="20"/>
              </w:rPr>
            </w:pPr>
            <w:r w:rsidRPr="00B0658A">
              <w:rPr>
                <w:rFonts w:ascii="Times New Roman" w:hAnsi="Times New Roman"/>
                <w:i/>
                <w:sz w:val="20"/>
                <w:szCs w:val="20"/>
              </w:rPr>
              <w:t>Указывается класс (тип) №1 ПО, используемого на значимом объекте КИИ №2 в соответствии с приказом Минцифры России от 22 сентября 2020 г. № 486)</w:t>
            </w:r>
          </w:p>
        </w:tc>
        <w:tc>
          <w:tcPr>
            <w:tcW w:w="844" w:type="pct"/>
          </w:tcPr>
          <w:p w14:paraId="43958341" w14:textId="77777777" w:rsidR="00A775DB" w:rsidRPr="00B0658A" w:rsidRDefault="00A775DB" w:rsidP="004F1366">
            <w:pPr>
              <w:spacing w:after="0" w:line="240" w:lineRule="auto"/>
              <w:rPr>
                <w:rFonts w:ascii="Times New Roman" w:hAnsi="Times New Roman"/>
                <w:sz w:val="20"/>
                <w:szCs w:val="20"/>
              </w:rPr>
            </w:pPr>
          </w:p>
        </w:tc>
        <w:tc>
          <w:tcPr>
            <w:tcW w:w="844" w:type="pct"/>
            <w:shd w:val="clear" w:color="000000" w:fill="FFFFFF"/>
          </w:tcPr>
          <w:p w14:paraId="59D91BDE" w14:textId="77777777" w:rsidR="00A775DB" w:rsidRPr="00B0658A" w:rsidRDefault="00A775DB" w:rsidP="004F1366">
            <w:pPr>
              <w:spacing w:after="0" w:line="240" w:lineRule="auto"/>
              <w:rPr>
                <w:rFonts w:ascii="Times New Roman" w:hAnsi="Times New Roman"/>
                <w:sz w:val="20"/>
                <w:szCs w:val="20"/>
              </w:rPr>
            </w:pPr>
            <w:r w:rsidRPr="00B0658A">
              <w:rPr>
                <w:rFonts w:ascii="Times New Roman" w:hAnsi="Times New Roman"/>
                <w:sz w:val="20"/>
                <w:szCs w:val="20"/>
              </w:rPr>
              <w:t>Доля используемого российского ПО и евразийского ПО, используемого на значимом объекте КИИ, в общем объёме используемого ПО на таком объекте, %</w:t>
            </w:r>
          </w:p>
        </w:tc>
        <w:tc>
          <w:tcPr>
            <w:tcW w:w="320" w:type="pct"/>
            <w:shd w:val="clear" w:color="000000" w:fill="FFFFFF"/>
            <w:vAlign w:val="center"/>
          </w:tcPr>
          <w:p w14:paraId="790F09E2" w14:textId="77777777" w:rsidR="00A775DB" w:rsidRPr="00B0658A" w:rsidRDefault="00A775DB" w:rsidP="004F1366">
            <w:pPr>
              <w:spacing w:after="0" w:line="240" w:lineRule="auto"/>
              <w:jc w:val="center"/>
              <w:rPr>
                <w:rFonts w:ascii="Times New Roman" w:hAnsi="Times New Roman"/>
                <w:sz w:val="20"/>
                <w:szCs w:val="20"/>
              </w:rPr>
            </w:pPr>
          </w:p>
        </w:tc>
        <w:tc>
          <w:tcPr>
            <w:tcW w:w="320" w:type="pct"/>
            <w:shd w:val="clear" w:color="000000" w:fill="FFFFFF"/>
            <w:vAlign w:val="center"/>
          </w:tcPr>
          <w:p w14:paraId="50FB1511" w14:textId="77777777" w:rsidR="00A775DB" w:rsidRPr="00B0658A" w:rsidRDefault="00A775DB" w:rsidP="004F1366">
            <w:pPr>
              <w:spacing w:after="0" w:line="240" w:lineRule="auto"/>
              <w:jc w:val="center"/>
              <w:rPr>
                <w:rFonts w:ascii="Times New Roman" w:hAnsi="Times New Roman"/>
                <w:sz w:val="20"/>
                <w:szCs w:val="20"/>
              </w:rPr>
            </w:pPr>
          </w:p>
        </w:tc>
        <w:tc>
          <w:tcPr>
            <w:tcW w:w="320" w:type="pct"/>
            <w:shd w:val="clear" w:color="000000" w:fill="FFFFFF"/>
            <w:vAlign w:val="center"/>
          </w:tcPr>
          <w:p w14:paraId="4B6411A7" w14:textId="77777777" w:rsidR="00A775DB" w:rsidRPr="00B0658A" w:rsidRDefault="00A775DB" w:rsidP="004F1366">
            <w:pPr>
              <w:spacing w:after="0" w:line="240" w:lineRule="auto"/>
              <w:jc w:val="center"/>
              <w:rPr>
                <w:rFonts w:ascii="Times New Roman" w:hAnsi="Times New Roman"/>
                <w:sz w:val="20"/>
                <w:szCs w:val="20"/>
              </w:rPr>
            </w:pPr>
          </w:p>
        </w:tc>
        <w:tc>
          <w:tcPr>
            <w:tcW w:w="320" w:type="pct"/>
            <w:shd w:val="clear" w:color="000000" w:fill="FFFFFF"/>
            <w:vAlign w:val="center"/>
          </w:tcPr>
          <w:p w14:paraId="590623C2" w14:textId="77777777" w:rsidR="00A775DB" w:rsidRPr="00B0658A" w:rsidRDefault="00A775DB" w:rsidP="004F1366">
            <w:pPr>
              <w:spacing w:after="0" w:line="240" w:lineRule="auto"/>
              <w:jc w:val="center"/>
              <w:rPr>
                <w:rFonts w:ascii="Times New Roman" w:hAnsi="Times New Roman"/>
                <w:sz w:val="20"/>
                <w:szCs w:val="20"/>
              </w:rPr>
            </w:pPr>
          </w:p>
        </w:tc>
        <w:tc>
          <w:tcPr>
            <w:tcW w:w="518" w:type="pct"/>
            <w:shd w:val="clear" w:color="000000" w:fill="FFFFFF"/>
            <w:vAlign w:val="center"/>
          </w:tcPr>
          <w:p w14:paraId="5B96BF7D" w14:textId="77777777" w:rsidR="00A775DB" w:rsidRPr="00B0658A" w:rsidRDefault="00A775DB" w:rsidP="004F1366">
            <w:pPr>
              <w:spacing w:after="0" w:line="240" w:lineRule="auto"/>
              <w:jc w:val="center"/>
              <w:rPr>
                <w:rFonts w:ascii="Times New Roman" w:hAnsi="Times New Roman"/>
                <w:sz w:val="20"/>
                <w:szCs w:val="20"/>
              </w:rPr>
            </w:pPr>
          </w:p>
        </w:tc>
      </w:tr>
      <w:tr w:rsidR="00F52FED" w:rsidRPr="00B0658A" w14:paraId="39E9DEBA" w14:textId="77777777" w:rsidTr="004F1366">
        <w:trPr>
          <w:trHeight w:val="20"/>
        </w:trPr>
        <w:tc>
          <w:tcPr>
            <w:tcW w:w="278" w:type="pct"/>
            <w:shd w:val="clear" w:color="000000" w:fill="FFFFFF"/>
            <w:vAlign w:val="center"/>
          </w:tcPr>
          <w:p w14:paraId="5B881B5C" w14:textId="77777777" w:rsidR="00A775DB" w:rsidRPr="00B0658A" w:rsidRDefault="00A775DB" w:rsidP="004F1366">
            <w:pPr>
              <w:spacing w:after="0" w:line="240" w:lineRule="auto"/>
              <w:jc w:val="center"/>
              <w:rPr>
                <w:rFonts w:ascii="Times New Roman" w:hAnsi="Times New Roman"/>
                <w:sz w:val="20"/>
                <w:szCs w:val="20"/>
              </w:rPr>
            </w:pPr>
            <w:r w:rsidRPr="00B0658A">
              <w:rPr>
                <w:rFonts w:ascii="Times New Roman" w:hAnsi="Times New Roman"/>
                <w:sz w:val="20"/>
                <w:szCs w:val="20"/>
                <w:lang w:val="en-US"/>
              </w:rPr>
              <w:t>2</w:t>
            </w:r>
            <w:r w:rsidRPr="00B0658A">
              <w:rPr>
                <w:rFonts w:ascii="Times New Roman" w:hAnsi="Times New Roman"/>
                <w:sz w:val="20"/>
                <w:szCs w:val="20"/>
              </w:rPr>
              <w:t>.2</w:t>
            </w:r>
          </w:p>
        </w:tc>
        <w:tc>
          <w:tcPr>
            <w:tcW w:w="1237" w:type="pct"/>
            <w:shd w:val="clear" w:color="auto" w:fill="auto"/>
            <w:vAlign w:val="center"/>
          </w:tcPr>
          <w:p w14:paraId="0F8E806D" w14:textId="77777777" w:rsidR="00A775DB" w:rsidRPr="00B0658A" w:rsidRDefault="00A775DB" w:rsidP="004F1366">
            <w:pPr>
              <w:spacing w:after="0" w:line="240" w:lineRule="auto"/>
              <w:rPr>
                <w:rFonts w:ascii="Times New Roman" w:hAnsi="Times New Roman"/>
                <w:i/>
                <w:sz w:val="20"/>
                <w:szCs w:val="20"/>
              </w:rPr>
            </w:pPr>
            <w:r w:rsidRPr="00B0658A">
              <w:rPr>
                <w:rFonts w:ascii="Times New Roman" w:hAnsi="Times New Roman"/>
                <w:i/>
                <w:sz w:val="20"/>
                <w:szCs w:val="20"/>
              </w:rPr>
              <w:t>Указывается класс (тип) №2 ПО, используемого на значимом объекте КИИ №2 в соответствии с приказом Минцифры России от 22 сентября 2020 г. № 486)</w:t>
            </w:r>
          </w:p>
        </w:tc>
        <w:tc>
          <w:tcPr>
            <w:tcW w:w="844" w:type="pct"/>
          </w:tcPr>
          <w:p w14:paraId="68E18D91" w14:textId="77777777" w:rsidR="00A775DB" w:rsidRPr="00B0658A" w:rsidRDefault="00A775DB" w:rsidP="004F1366">
            <w:pPr>
              <w:spacing w:after="0" w:line="240" w:lineRule="auto"/>
              <w:rPr>
                <w:rFonts w:ascii="Times New Roman" w:hAnsi="Times New Roman"/>
                <w:sz w:val="20"/>
                <w:szCs w:val="20"/>
              </w:rPr>
            </w:pPr>
          </w:p>
        </w:tc>
        <w:tc>
          <w:tcPr>
            <w:tcW w:w="844" w:type="pct"/>
            <w:shd w:val="clear" w:color="000000" w:fill="FFFFFF"/>
          </w:tcPr>
          <w:p w14:paraId="3000E7D1" w14:textId="77777777" w:rsidR="00A775DB" w:rsidRPr="00B0658A" w:rsidRDefault="00A775DB" w:rsidP="004F1366">
            <w:pPr>
              <w:spacing w:after="0" w:line="240" w:lineRule="auto"/>
              <w:rPr>
                <w:rFonts w:ascii="Times New Roman" w:hAnsi="Times New Roman"/>
                <w:sz w:val="20"/>
                <w:szCs w:val="20"/>
              </w:rPr>
            </w:pPr>
            <w:r w:rsidRPr="00B0658A">
              <w:rPr>
                <w:rFonts w:ascii="Times New Roman" w:hAnsi="Times New Roman"/>
                <w:sz w:val="20"/>
                <w:szCs w:val="20"/>
              </w:rPr>
              <w:t>Доля используемого российского ПО и евразийского ПО, используемого на значимом объекте КИИ, в общем объёме используемого ПО на таком объекте, %</w:t>
            </w:r>
          </w:p>
        </w:tc>
        <w:tc>
          <w:tcPr>
            <w:tcW w:w="320" w:type="pct"/>
            <w:shd w:val="clear" w:color="000000" w:fill="FFFFFF"/>
            <w:vAlign w:val="center"/>
          </w:tcPr>
          <w:p w14:paraId="2DCA053C" w14:textId="77777777" w:rsidR="00A775DB" w:rsidRPr="00B0658A" w:rsidRDefault="00A775DB" w:rsidP="004F1366">
            <w:pPr>
              <w:spacing w:after="0" w:line="240" w:lineRule="auto"/>
              <w:jc w:val="center"/>
              <w:rPr>
                <w:rFonts w:ascii="Times New Roman" w:hAnsi="Times New Roman"/>
                <w:sz w:val="20"/>
                <w:szCs w:val="20"/>
              </w:rPr>
            </w:pPr>
          </w:p>
        </w:tc>
        <w:tc>
          <w:tcPr>
            <w:tcW w:w="320" w:type="pct"/>
            <w:shd w:val="clear" w:color="000000" w:fill="FFFFFF"/>
            <w:vAlign w:val="center"/>
          </w:tcPr>
          <w:p w14:paraId="3A378D23" w14:textId="77777777" w:rsidR="00A775DB" w:rsidRPr="00B0658A" w:rsidRDefault="00A775DB" w:rsidP="004F1366">
            <w:pPr>
              <w:spacing w:after="0" w:line="240" w:lineRule="auto"/>
              <w:jc w:val="center"/>
              <w:rPr>
                <w:rFonts w:ascii="Times New Roman" w:hAnsi="Times New Roman"/>
                <w:sz w:val="20"/>
                <w:szCs w:val="20"/>
              </w:rPr>
            </w:pPr>
          </w:p>
        </w:tc>
        <w:tc>
          <w:tcPr>
            <w:tcW w:w="320" w:type="pct"/>
            <w:shd w:val="clear" w:color="000000" w:fill="FFFFFF"/>
            <w:vAlign w:val="center"/>
          </w:tcPr>
          <w:p w14:paraId="002E565A" w14:textId="77777777" w:rsidR="00A775DB" w:rsidRPr="00B0658A" w:rsidRDefault="00A775DB" w:rsidP="004F1366">
            <w:pPr>
              <w:spacing w:after="0" w:line="240" w:lineRule="auto"/>
              <w:jc w:val="center"/>
              <w:rPr>
                <w:rFonts w:ascii="Times New Roman" w:hAnsi="Times New Roman"/>
                <w:sz w:val="20"/>
                <w:szCs w:val="20"/>
              </w:rPr>
            </w:pPr>
          </w:p>
        </w:tc>
        <w:tc>
          <w:tcPr>
            <w:tcW w:w="320" w:type="pct"/>
            <w:shd w:val="clear" w:color="000000" w:fill="FFFFFF"/>
            <w:vAlign w:val="center"/>
          </w:tcPr>
          <w:p w14:paraId="0CB37DFC" w14:textId="77777777" w:rsidR="00A775DB" w:rsidRPr="00B0658A" w:rsidRDefault="00A775DB" w:rsidP="004F1366">
            <w:pPr>
              <w:spacing w:after="0" w:line="240" w:lineRule="auto"/>
              <w:jc w:val="center"/>
              <w:rPr>
                <w:rFonts w:ascii="Times New Roman" w:hAnsi="Times New Roman"/>
                <w:sz w:val="20"/>
                <w:szCs w:val="20"/>
              </w:rPr>
            </w:pPr>
          </w:p>
        </w:tc>
        <w:tc>
          <w:tcPr>
            <w:tcW w:w="518" w:type="pct"/>
            <w:shd w:val="clear" w:color="000000" w:fill="FFFFFF"/>
            <w:vAlign w:val="center"/>
          </w:tcPr>
          <w:p w14:paraId="5CF4E45E" w14:textId="77777777" w:rsidR="00A775DB" w:rsidRPr="00B0658A" w:rsidRDefault="00A775DB" w:rsidP="004F1366">
            <w:pPr>
              <w:spacing w:after="0" w:line="240" w:lineRule="auto"/>
              <w:jc w:val="center"/>
              <w:rPr>
                <w:rFonts w:ascii="Times New Roman" w:hAnsi="Times New Roman"/>
                <w:sz w:val="20"/>
                <w:szCs w:val="20"/>
              </w:rPr>
            </w:pPr>
          </w:p>
        </w:tc>
      </w:tr>
      <w:tr w:rsidR="00F52FED" w:rsidRPr="00B0658A" w14:paraId="64081BFE" w14:textId="77777777" w:rsidTr="004F1366">
        <w:trPr>
          <w:trHeight w:val="20"/>
        </w:trPr>
        <w:tc>
          <w:tcPr>
            <w:tcW w:w="278" w:type="pct"/>
            <w:shd w:val="clear" w:color="000000" w:fill="FFFFFF"/>
            <w:vAlign w:val="center"/>
          </w:tcPr>
          <w:p w14:paraId="5C126866" w14:textId="77777777" w:rsidR="00A775DB" w:rsidRPr="00B0658A" w:rsidRDefault="00A775DB" w:rsidP="004F1366">
            <w:pPr>
              <w:spacing w:after="0" w:line="240" w:lineRule="auto"/>
              <w:jc w:val="center"/>
              <w:rPr>
                <w:rFonts w:ascii="Times New Roman" w:hAnsi="Times New Roman"/>
                <w:sz w:val="20"/>
                <w:szCs w:val="20"/>
              </w:rPr>
            </w:pPr>
            <w:r w:rsidRPr="00B0658A">
              <w:rPr>
                <w:rFonts w:ascii="Times New Roman" w:hAnsi="Times New Roman"/>
                <w:sz w:val="20"/>
                <w:szCs w:val="20"/>
              </w:rPr>
              <w:t>…</w:t>
            </w:r>
          </w:p>
        </w:tc>
        <w:tc>
          <w:tcPr>
            <w:tcW w:w="1237" w:type="pct"/>
            <w:shd w:val="clear" w:color="auto" w:fill="auto"/>
            <w:vAlign w:val="center"/>
          </w:tcPr>
          <w:p w14:paraId="493C014C" w14:textId="77777777" w:rsidR="00A775DB" w:rsidRPr="00B0658A" w:rsidRDefault="00A775DB" w:rsidP="004F1366">
            <w:pPr>
              <w:spacing w:after="0" w:line="240" w:lineRule="auto"/>
              <w:rPr>
                <w:rFonts w:ascii="Times New Roman" w:hAnsi="Times New Roman"/>
                <w:i/>
                <w:sz w:val="20"/>
                <w:szCs w:val="20"/>
              </w:rPr>
            </w:pPr>
            <w:r w:rsidRPr="00B0658A">
              <w:rPr>
                <w:rFonts w:ascii="Times New Roman" w:hAnsi="Times New Roman"/>
                <w:i/>
                <w:sz w:val="20"/>
                <w:szCs w:val="20"/>
              </w:rPr>
              <w:t>…</w:t>
            </w:r>
          </w:p>
        </w:tc>
        <w:tc>
          <w:tcPr>
            <w:tcW w:w="844" w:type="pct"/>
          </w:tcPr>
          <w:p w14:paraId="1E0A9E32" w14:textId="77777777" w:rsidR="00A775DB" w:rsidRPr="00B0658A" w:rsidRDefault="00A775DB" w:rsidP="004F1366">
            <w:pPr>
              <w:spacing w:after="0" w:line="240" w:lineRule="auto"/>
              <w:rPr>
                <w:rFonts w:ascii="Times New Roman" w:hAnsi="Times New Roman"/>
                <w:sz w:val="20"/>
                <w:szCs w:val="20"/>
              </w:rPr>
            </w:pPr>
          </w:p>
        </w:tc>
        <w:tc>
          <w:tcPr>
            <w:tcW w:w="844" w:type="pct"/>
            <w:shd w:val="clear" w:color="000000" w:fill="FFFFFF"/>
          </w:tcPr>
          <w:p w14:paraId="1863B8FC" w14:textId="77777777" w:rsidR="00A775DB" w:rsidRPr="00B0658A" w:rsidRDefault="00A775DB" w:rsidP="004F1366">
            <w:pPr>
              <w:spacing w:after="0" w:line="240" w:lineRule="auto"/>
              <w:rPr>
                <w:rFonts w:ascii="Times New Roman" w:hAnsi="Times New Roman"/>
                <w:sz w:val="20"/>
                <w:szCs w:val="20"/>
              </w:rPr>
            </w:pPr>
            <w:r w:rsidRPr="00B0658A">
              <w:rPr>
                <w:rFonts w:ascii="Times New Roman" w:hAnsi="Times New Roman"/>
                <w:sz w:val="20"/>
                <w:szCs w:val="20"/>
              </w:rPr>
              <w:t>…...</w:t>
            </w:r>
          </w:p>
        </w:tc>
        <w:tc>
          <w:tcPr>
            <w:tcW w:w="320" w:type="pct"/>
            <w:shd w:val="clear" w:color="000000" w:fill="FFFFFF"/>
            <w:vAlign w:val="center"/>
          </w:tcPr>
          <w:p w14:paraId="44BC66B3" w14:textId="77777777" w:rsidR="00A775DB" w:rsidRPr="00B0658A" w:rsidRDefault="00A775DB" w:rsidP="004F1366">
            <w:pPr>
              <w:spacing w:after="0" w:line="240" w:lineRule="auto"/>
              <w:jc w:val="center"/>
              <w:rPr>
                <w:rFonts w:ascii="Times New Roman" w:hAnsi="Times New Roman"/>
                <w:sz w:val="20"/>
                <w:szCs w:val="20"/>
              </w:rPr>
            </w:pPr>
          </w:p>
        </w:tc>
        <w:tc>
          <w:tcPr>
            <w:tcW w:w="320" w:type="pct"/>
            <w:shd w:val="clear" w:color="000000" w:fill="FFFFFF"/>
            <w:vAlign w:val="center"/>
          </w:tcPr>
          <w:p w14:paraId="0ABCC1FD" w14:textId="77777777" w:rsidR="00A775DB" w:rsidRPr="00B0658A" w:rsidRDefault="00A775DB" w:rsidP="004F1366">
            <w:pPr>
              <w:spacing w:after="0" w:line="240" w:lineRule="auto"/>
              <w:jc w:val="center"/>
              <w:rPr>
                <w:rFonts w:ascii="Times New Roman" w:hAnsi="Times New Roman"/>
                <w:sz w:val="20"/>
                <w:szCs w:val="20"/>
              </w:rPr>
            </w:pPr>
          </w:p>
        </w:tc>
        <w:tc>
          <w:tcPr>
            <w:tcW w:w="320" w:type="pct"/>
            <w:shd w:val="clear" w:color="000000" w:fill="FFFFFF"/>
            <w:vAlign w:val="center"/>
          </w:tcPr>
          <w:p w14:paraId="066ABC0A" w14:textId="77777777" w:rsidR="00A775DB" w:rsidRPr="00B0658A" w:rsidRDefault="00A775DB" w:rsidP="004F1366">
            <w:pPr>
              <w:spacing w:after="0" w:line="240" w:lineRule="auto"/>
              <w:jc w:val="center"/>
              <w:rPr>
                <w:rFonts w:ascii="Times New Roman" w:hAnsi="Times New Roman"/>
                <w:sz w:val="20"/>
                <w:szCs w:val="20"/>
              </w:rPr>
            </w:pPr>
          </w:p>
        </w:tc>
        <w:tc>
          <w:tcPr>
            <w:tcW w:w="320" w:type="pct"/>
            <w:shd w:val="clear" w:color="000000" w:fill="FFFFFF"/>
            <w:vAlign w:val="center"/>
          </w:tcPr>
          <w:p w14:paraId="47BC76CB" w14:textId="77777777" w:rsidR="00A775DB" w:rsidRPr="00B0658A" w:rsidRDefault="00A775DB" w:rsidP="004F1366">
            <w:pPr>
              <w:spacing w:after="0" w:line="240" w:lineRule="auto"/>
              <w:jc w:val="center"/>
              <w:rPr>
                <w:rFonts w:ascii="Times New Roman" w:hAnsi="Times New Roman"/>
                <w:sz w:val="20"/>
                <w:szCs w:val="20"/>
              </w:rPr>
            </w:pPr>
          </w:p>
        </w:tc>
        <w:tc>
          <w:tcPr>
            <w:tcW w:w="518" w:type="pct"/>
            <w:shd w:val="clear" w:color="000000" w:fill="FFFFFF"/>
            <w:vAlign w:val="center"/>
          </w:tcPr>
          <w:p w14:paraId="24261533" w14:textId="77777777" w:rsidR="00A775DB" w:rsidRPr="00B0658A" w:rsidRDefault="00A775DB" w:rsidP="004F1366">
            <w:pPr>
              <w:spacing w:after="0" w:line="240" w:lineRule="auto"/>
              <w:jc w:val="center"/>
              <w:rPr>
                <w:rFonts w:ascii="Times New Roman" w:hAnsi="Times New Roman"/>
                <w:sz w:val="20"/>
                <w:szCs w:val="20"/>
              </w:rPr>
            </w:pPr>
          </w:p>
        </w:tc>
      </w:tr>
      <w:tr w:rsidR="00F52FED" w:rsidRPr="00B0658A" w14:paraId="0787BD1E" w14:textId="77777777" w:rsidTr="004F1366">
        <w:trPr>
          <w:trHeight w:val="20"/>
        </w:trPr>
        <w:tc>
          <w:tcPr>
            <w:tcW w:w="278" w:type="pct"/>
            <w:shd w:val="clear" w:color="000000" w:fill="FFFFFF"/>
            <w:vAlign w:val="center"/>
          </w:tcPr>
          <w:p w14:paraId="2626D0A4" w14:textId="77777777" w:rsidR="00A775DB" w:rsidRPr="00B0658A" w:rsidRDefault="00A775DB" w:rsidP="004F1366">
            <w:pPr>
              <w:spacing w:after="0" w:line="240" w:lineRule="auto"/>
              <w:jc w:val="center"/>
              <w:rPr>
                <w:rFonts w:ascii="Times New Roman" w:hAnsi="Times New Roman"/>
                <w:sz w:val="20"/>
                <w:szCs w:val="20"/>
              </w:rPr>
            </w:pPr>
            <w:r w:rsidRPr="00B0658A">
              <w:rPr>
                <w:rFonts w:ascii="Times New Roman" w:hAnsi="Times New Roman"/>
                <w:sz w:val="20"/>
                <w:szCs w:val="20"/>
                <w:lang w:val="en-US"/>
              </w:rPr>
              <w:t>2</w:t>
            </w:r>
            <w:r w:rsidRPr="00B0658A">
              <w:rPr>
                <w:rFonts w:ascii="Times New Roman" w:hAnsi="Times New Roman"/>
                <w:sz w:val="20"/>
                <w:szCs w:val="20"/>
              </w:rPr>
              <w:t>.</w:t>
            </w:r>
            <w:r w:rsidRPr="00B0658A">
              <w:rPr>
                <w:rFonts w:ascii="Times New Roman" w:hAnsi="Times New Roman"/>
                <w:sz w:val="20"/>
                <w:szCs w:val="20"/>
                <w:lang w:val="en-US"/>
              </w:rPr>
              <w:t>n</w:t>
            </w:r>
          </w:p>
        </w:tc>
        <w:tc>
          <w:tcPr>
            <w:tcW w:w="1237" w:type="pct"/>
            <w:shd w:val="clear" w:color="auto" w:fill="auto"/>
            <w:vAlign w:val="center"/>
          </w:tcPr>
          <w:p w14:paraId="3A1EF699" w14:textId="77777777" w:rsidR="00A775DB" w:rsidRPr="00B0658A" w:rsidRDefault="00A775DB" w:rsidP="004F1366">
            <w:pPr>
              <w:spacing w:after="0" w:line="240" w:lineRule="auto"/>
              <w:rPr>
                <w:rFonts w:ascii="Times New Roman" w:hAnsi="Times New Roman"/>
                <w:i/>
                <w:sz w:val="20"/>
                <w:szCs w:val="20"/>
              </w:rPr>
            </w:pPr>
            <w:r w:rsidRPr="00B0658A">
              <w:rPr>
                <w:rFonts w:ascii="Times New Roman" w:hAnsi="Times New Roman"/>
                <w:i/>
                <w:sz w:val="20"/>
                <w:szCs w:val="20"/>
              </w:rPr>
              <w:t>Указывается класс (тип) №</w:t>
            </w:r>
            <w:r w:rsidRPr="00B0658A">
              <w:rPr>
                <w:rFonts w:ascii="Times New Roman" w:hAnsi="Times New Roman"/>
                <w:i/>
                <w:sz w:val="20"/>
                <w:szCs w:val="20"/>
                <w:lang w:val="en-US"/>
              </w:rPr>
              <w:t>n</w:t>
            </w:r>
            <w:r w:rsidRPr="00B0658A">
              <w:rPr>
                <w:rFonts w:ascii="Times New Roman" w:hAnsi="Times New Roman"/>
                <w:i/>
                <w:sz w:val="20"/>
                <w:szCs w:val="20"/>
              </w:rPr>
              <w:t xml:space="preserve"> ПО, используемого на значимом объекте КИИ №2 в соответствии с приказом Минцифры России от 22 сентября 2020 г. № 486)</w:t>
            </w:r>
          </w:p>
        </w:tc>
        <w:tc>
          <w:tcPr>
            <w:tcW w:w="844" w:type="pct"/>
          </w:tcPr>
          <w:p w14:paraId="50E72F50" w14:textId="77777777" w:rsidR="00A775DB" w:rsidRPr="00B0658A" w:rsidRDefault="00A775DB" w:rsidP="004F1366">
            <w:pPr>
              <w:spacing w:after="0" w:line="240" w:lineRule="auto"/>
              <w:rPr>
                <w:rFonts w:ascii="Times New Roman" w:hAnsi="Times New Roman"/>
                <w:sz w:val="20"/>
                <w:szCs w:val="20"/>
              </w:rPr>
            </w:pPr>
          </w:p>
        </w:tc>
        <w:tc>
          <w:tcPr>
            <w:tcW w:w="844" w:type="pct"/>
            <w:shd w:val="clear" w:color="000000" w:fill="FFFFFF"/>
          </w:tcPr>
          <w:p w14:paraId="500EE0D6" w14:textId="77777777" w:rsidR="00A775DB" w:rsidRPr="00B0658A" w:rsidRDefault="00A775DB" w:rsidP="004F1366">
            <w:pPr>
              <w:spacing w:after="0" w:line="240" w:lineRule="auto"/>
              <w:rPr>
                <w:rFonts w:ascii="Times New Roman" w:hAnsi="Times New Roman"/>
                <w:sz w:val="20"/>
                <w:szCs w:val="20"/>
              </w:rPr>
            </w:pPr>
            <w:r w:rsidRPr="00B0658A">
              <w:rPr>
                <w:rFonts w:ascii="Times New Roman" w:hAnsi="Times New Roman"/>
                <w:sz w:val="20"/>
                <w:szCs w:val="20"/>
              </w:rPr>
              <w:t>Доля используемого российского ПО и евразийского ПО, используемого на значимом объекте КИИ, в общем объёме используемого ПО на таком объекте, %</w:t>
            </w:r>
          </w:p>
        </w:tc>
        <w:tc>
          <w:tcPr>
            <w:tcW w:w="320" w:type="pct"/>
            <w:shd w:val="clear" w:color="000000" w:fill="FFFFFF"/>
            <w:vAlign w:val="center"/>
          </w:tcPr>
          <w:p w14:paraId="65D4443C" w14:textId="77777777" w:rsidR="00A775DB" w:rsidRPr="00B0658A" w:rsidRDefault="00A775DB" w:rsidP="004F1366">
            <w:pPr>
              <w:spacing w:after="0" w:line="240" w:lineRule="auto"/>
              <w:jc w:val="center"/>
              <w:rPr>
                <w:rFonts w:ascii="Times New Roman" w:hAnsi="Times New Roman"/>
                <w:sz w:val="20"/>
                <w:szCs w:val="20"/>
              </w:rPr>
            </w:pPr>
          </w:p>
        </w:tc>
        <w:tc>
          <w:tcPr>
            <w:tcW w:w="320" w:type="pct"/>
            <w:shd w:val="clear" w:color="000000" w:fill="FFFFFF"/>
            <w:vAlign w:val="center"/>
          </w:tcPr>
          <w:p w14:paraId="1B4AB17A" w14:textId="77777777" w:rsidR="00A775DB" w:rsidRPr="00B0658A" w:rsidRDefault="00A775DB" w:rsidP="004F1366">
            <w:pPr>
              <w:spacing w:after="0" w:line="240" w:lineRule="auto"/>
              <w:jc w:val="center"/>
              <w:rPr>
                <w:rFonts w:ascii="Times New Roman" w:hAnsi="Times New Roman"/>
                <w:sz w:val="20"/>
                <w:szCs w:val="20"/>
              </w:rPr>
            </w:pPr>
          </w:p>
        </w:tc>
        <w:tc>
          <w:tcPr>
            <w:tcW w:w="320" w:type="pct"/>
            <w:shd w:val="clear" w:color="000000" w:fill="FFFFFF"/>
            <w:vAlign w:val="center"/>
          </w:tcPr>
          <w:p w14:paraId="1B875C94" w14:textId="77777777" w:rsidR="00A775DB" w:rsidRPr="00B0658A" w:rsidRDefault="00A775DB" w:rsidP="004F1366">
            <w:pPr>
              <w:spacing w:after="0" w:line="240" w:lineRule="auto"/>
              <w:jc w:val="center"/>
              <w:rPr>
                <w:rFonts w:ascii="Times New Roman" w:hAnsi="Times New Roman"/>
                <w:sz w:val="20"/>
                <w:szCs w:val="20"/>
              </w:rPr>
            </w:pPr>
          </w:p>
        </w:tc>
        <w:tc>
          <w:tcPr>
            <w:tcW w:w="320" w:type="pct"/>
            <w:shd w:val="clear" w:color="000000" w:fill="FFFFFF"/>
            <w:vAlign w:val="center"/>
          </w:tcPr>
          <w:p w14:paraId="32F769A4" w14:textId="77777777" w:rsidR="00A775DB" w:rsidRPr="00B0658A" w:rsidRDefault="00A775DB" w:rsidP="004F1366">
            <w:pPr>
              <w:spacing w:after="0" w:line="240" w:lineRule="auto"/>
              <w:jc w:val="center"/>
              <w:rPr>
                <w:rFonts w:ascii="Times New Roman" w:hAnsi="Times New Roman"/>
                <w:sz w:val="20"/>
                <w:szCs w:val="20"/>
              </w:rPr>
            </w:pPr>
          </w:p>
        </w:tc>
        <w:tc>
          <w:tcPr>
            <w:tcW w:w="518" w:type="pct"/>
            <w:shd w:val="clear" w:color="000000" w:fill="FFFFFF"/>
            <w:vAlign w:val="center"/>
          </w:tcPr>
          <w:p w14:paraId="589C842E" w14:textId="77777777" w:rsidR="00A775DB" w:rsidRPr="00B0658A" w:rsidRDefault="00A775DB" w:rsidP="004F1366">
            <w:pPr>
              <w:spacing w:after="0" w:line="240" w:lineRule="auto"/>
              <w:jc w:val="center"/>
              <w:rPr>
                <w:rFonts w:ascii="Times New Roman" w:hAnsi="Times New Roman"/>
                <w:sz w:val="20"/>
                <w:szCs w:val="20"/>
              </w:rPr>
            </w:pPr>
          </w:p>
        </w:tc>
      </w:tr>
      <w:tr w:rsidR="00F52FED" w:rsidRPr="00B0658A" w14:paraId="232D292B" w14:textId="77777777" w:rsidTr="004F1366">
        <w:trPr>
          <w:trHeight w:val="20"/>
        </w:trPr>
        <w:tc>
          <w:tcPr>
            <w:tcW w:w="5000" w:type="pct"/>
            <w:gridSpan w:val="9"/>
            <w:shd w:val="clear" w:color="auto" w:fill="DEEAF6" w:themeFill="accent5" w:themeFillTint="33"/>
          </w:tcPr>
          <w:p w14:paraId="7D6EEAA8" w14:textId="77777777" w:rsidR="00A775DB" w:rsidRPr="00B0658A" w:rsidRDefault="00A775DB" w:rsidP="004F1366">
            <w:pPr>
              <w:spacing w:after="0" w:line="240" w:lineRule="auto"/>
              <w:rPr>
                <w:rFonts w:ascii="Times New Roman" w:hAnsi="Times New Roman"/>
                <w:b/>
                <w:sz w:val="20"/>
                <w:szCs w:val="20"/>
              </w:rPr>
            </w:pPr>
            <w:r w:rsidRPr="00B0658A">
              <w:rPr>
                <w:rFonts w:ascii="Times New Roman" w:hAnsi="Times New Roman"/>
                <w:b/>
                <w:sz w:val="20"/>
                <w:szCs w:val="20"/>
                <w:lang w:val="en-US"/>
              </w:rPr>
              <w:t>N</w:t>
            </w:r>
            <w:r w:rsidRPr="00B0658A">
              <w:rPr>
                <w:rFonts w:ascii="Times New Roman" w:hAnsi="Times New Roman"/>
                <w:b/>
                <w:sz w:val="20"/>
                <w:szCs w:val="20"/>
              </w:rPr>
              <w:t xml:space="preserve">. Показатели эффективности перехода в отношении ________ (наименование значимого объекта КИИ № </w:t>
            </w:r>
            <w:r w:rsidRPr="00B0658A">
              <w:rPr>
                <w:rFonts w:ascii="Times New Roman" w:hAnsi="Times New Roman"/>
                <w:b/>
                <w:sz w:val="20"/>
                <w:szCs w:val="20"/>
                <w:lang w:val="en-US"/>
              </w:rPr>
              <w:t>N</w:t>
            </w:r>
            <w:r w:rsidRPr="00B0658A">
              <w:rPr>
                <w:rFonts w:ascii="Times New Roman" w:hAnsi="Times New Roman"/>
                <w:b/>
                <w:sz w:val="20"/>
                <w:szCs w:val="20"/>
              </w:rPr>
              <w:t>)</w:t>
            </w:r>
          </w:p>
        </w:tc>
      </w:tr>
      <w:tr w:rsidR="00F52FED" w:rsidRPr="00B0658A" w14:paraId="7E1A0DE5" w14:textId="77777777" w:rsidTr="004F1366">
        <w:trPr>
          <w:trHeight w:val="20"/>
        </w:trPr>
        <w:tc>
          <w:tcPr>
            <w:tcW w:w="278" w:type="pct"/>
            <w:shd w:val="clear" w:color="000000" w:fill="FFFFFF"/>
            <w:vAlign w:val="center"/>
          </w:tcPr>
          <w:p w14:paraId="16910D19" w14:textId="77777777" w:rsidR="00A775DB" w:rsidRPr="00B0658A" w:rsidRDefault="00A775DB" w:rsidP="004F1366">
            <w:pPr>
              <w:spacing w:after="0" w:line="240" w:lineRule="auto"/>
              <w:jc w:val="center"/>
              <w:rPr>
                <w:rFonts w:ascii="Times New Roman" w:hAnsi="Times New Roman"/>
                <w:sz w:val="20"/>
                <w:szCs w:val="20"/>
              </w:rPr>
            </w:pPr>
            <w:r w:rsidRPr="00B0658A">
              <w:rPr>
                <w:rFonts w:ascii="Times New Roman" w:hAnsi="Times New Roman"/>
                <w:sz w:val="20"/>
                <w:szCs w:val="20"/>
                <w:lang w:val="en-US"/>
              </w:rPr>
              <w:t>N</w:t>
            </w:r>
            <w:r w:rsidRPr="00B0658A">
              <w:rPr>
                <w:rFonts w:ascii="Times New Roman" w:hAnsi="Times New Roman"/>
                <w:sz w:val="20"/>
                <w:szCs w:val="20"/>
              </w:rPr>
              <w:t>.1</w:t>
            </w:r>
          </w:p>
        </w:tc>
        <w:tc>
          <w:tcPr>
            <w:tcW w:w="1237" w:type="pct"/>
            <w:shd w:val="clear" w:color="auto" w:fill="auto"/>
            <w:vAlign w:val="center"/>
          </w:tcPr>
          <w:p w14:paraId="55B02D94" w14:textId="77777777" w:rsidR="00A775DB" w:rsidRPr="00B0658A" w:rsidRDefault="00A775DB" w:rsidP="004F1366">
            <w:pPr>
              <w:spacing w:after="0" w:line="240" w:lineRule="auto"/>
              <w:rPr>
                <w:rFonts w:ascii="Times New Roman" w:hAnsi="Times New Roman"/>
                <w:i/>
                <w:sz w:val="20"/>
                <w:szCs w:val="20"/>
              </w:rPr>
            </w:pPr>
            <w:r w:rsidRPr="00B0658A">
              <w:rPr>
                <w:rFonts w:ascii="Times New Roman" w:hAnsi="Times New Roman"/>
                <w:i/>
                <w:sz w:val="20"/>
                <w:szCs w:val="20"/>
              </w:rPr>
              <w:t xml:space="preserve">Указывается класс (тип) №1 ПО, используемого на значимом объекте КИИ № </w:t>
            </w:r>
            <w:r w:rsidRPr="00B0658A">
              <w:rPr>
                <w:rFonts w:ascii="Times New Roman" w:hAnsi="Times New Roman"/>
                <w:i/>
                <w:sz w:val="20"/>
                <w:szCs w:val="20"/>
                <w:lang w:val="en-US"/>
              </w:rPr>
              <w:t>N</w:t>
            </w:r>
            <w:r w:rsidRPr="00B0658A">
              <w:rPr>
                <w:rFonts w:ascii="Times New Roman" w:hAnsi="Times New Roman"/>
                <w:i/>
                <w:sz w:val="20"/>
                <w:szCs w:val="20"/>
              </w:rPr>
              <w:t xml:space="preserve"> в соответствии с приказом Минцифры России от 22 сентября 2020 г. № 486)</w:t>
            </w:r>
          </w:p>
        </w:tc>
        <w:tc>
          <w:tcPr>
            <w:tcW w:w="844" w:type="pct"/>
          </w:tcPr>
          <w:p w14:paraId="62D17B21" w14:textId="77777777" w:rsidR="00A775DB" w:rsidRPr="00B0658A" w:rsidRDefault="00A775DB" w:rsidP="004F1366">
            <w:pPr>
              <w:spacing w:after="0" w:line="240" w:lineRule="auto"/>
              <w:rPr>
                <w:rFonts w:ascii="Times New Roman" w:hAnsi="Times New Roman"/>
                <w:sz w:val="20"/>
                <w:szCs w:val="20"/>
              </w:rPr>
            </w:pPr>
          </w:p>
        </w:tc>
        <w:tc>
          <w:tcPr>
            <w:tcW w:w="844" w:type="pct"/>
            <w:shd w:val="clear" w:color="000000" w:fill="FFFFFF"/>
          </w:tcPr>
          <w:p w14:paraId="196D7E34" w14:textId="77777777" w:rsidR="00A775DB" w:rsidRPr="00B0658A" w:rsidRDefault="00A775DB" w:rsidP="004F1366">
            <w:pPr>
              <w:spacing w:after="0" w:line="240" w:lineRule="auto"/>
              <w:rPr>
                <w:rFonts w:ascii="Times New Roman" w:hAnsi="Times New Roman"/>
                <w:sz w:val="20"/>
                <w:szCs w:val="20"/>
              </w:rPr>
            </w:pPr>
            <w:r w:rsidRPr="00B0658A">
              <w:rPr>
                <w:rFonts w:ascii="Times New Roman" w:hAnsi="Times New Roman"/>
                <w:sz w:val="20"/>
                <w:szCs w:val="20"/>
              </w:rPr>
              <w:t>Доля используемого российского ПО и евразийского ПО, используемого на значимом объекте КИИ, в общем объёме используемого ПО на таком объекте, %</w:t>
            </w:r>
          </w:p>
        </w:tc>
        <w:tc>
          <w:tcPr>
            <w:tcW w:w="320" w:type="pct"/>
            <w:shd w:val="clear" w:color="000000" w:fill="FFFFFF"/>
            <w:vAlign w:val="center"/>
          </w:tcPr>
          <w:p w14:paraId="188F42DF" w14:textId="77777777" w:rsidR="00A775DB" w:rsidRPr="00B0658A" w:rsidRDefault="00A775DB" w:rsidP="004F1366">
            <w:pPr>
              <w:spacing w:after="0" w:line="240" w:lineRule="auto"/>
              <w:jc w:val="center"/>
              <w:rPr>
                <w:rFonts w:ascii="Times New Roman" w:hAnsi="Times New Roman"/>
                <w:sz w:val="20"/>
                <w:szCs w:val="20"/>
              </w:rPr>
            </w:pPr>
          </w:p>
        </w:tc>
        <w:tc>
          <w:tcPr>
            <w:tcW w:w="320" w:type="pct"/>
            <w:shd w:val="clear" w:color="000000" w:fill="FFFFFF"/>
            <w:vAlign w:val="center"/>
          </w:tcPr>
          <w:p w14:paraId="4B051E68" w14:textId="77777777" w:rsidR="00A775DB" w:rsidRPr="00B0658A" w:rsidRDefault="00A775DB" w:rsidP="004F1366">
            <w:pPr>
              <w:spacing w:after="0" w:line="240" w:lineRule="auto"/>
              <w:jc w:val="center"/>
              <w:rPr>
                <w:rFonts w:ascii="Times New Roman" w:hAnsi="Times New Roman"/>
                <w:sz w:val="20"/>
                <w:szCs w:val="20"/>
              </w:rPr>
            </w:pPr>
          </w:p>
        </w:tc>
        <w:tc>
          <w:tcPr>
            <w:tcW w:w="320" w:type="pct"/>
            <w:shd w:val="clear" w:color="000000" w:fill="FFFFFF"/>
            <w:vAlign w:val="center"/>
          </w:tcPr>
          <w:p w14:paraId="1E6C5ADE" w14:textId="77777777" w:rsidR="00A775DB" w:rsidRPr="00B0658A" w:rsidRDefault="00A775DB" w:rsidP="004F1366">
            <w:pPr>
              <w:spacing w:after="0" w:line="240" w:lineRule="auto"/>
              <w:jc w:val="center"/>
              <w:rPr>
                <w:rFonts w:ascii="Times New Roman" w:hAnsi="Times New Roman"/>
                <w:sz w:val="20"/>
                <w:szCs w:val="20"/>
              </w:rPr>
            </w:pPr>
          </w:p>
        </w:tc>
        <w:tc>
          <w:tcPr>
            <w:tcW w:w="320" w:type="pct"/>
            <w:shd w:val="clear" w:color="000000" w:fill="FFFFFF"/>
            <w:vAlign w:val="center"/>
          </w:tcPr>
          <w:p w14:paraId="3DE6BD62" w14:textId="77777777" w:rsidR="00A775DB" w:rsidRPr="00B0658A" w:rsidRDefault="00A775DB" w:rsidP="004F1366">
            <w:pPr>
              <w:spacing w:after="0" w:line="240" w:lineRule="auto"/>
              <w:jc w:val="center"/>
              <w:rPr>
                <w:rFonts w:ascii="Times New Roman" w:hAnsi="Times New Roman"/>
                <w:sz w:val="20"/>
                <w:szCs w:val="20"/>
              </w:rPr>
            </w:pPr>
          </w:p>
        </w:tc>
        <w:tc>
          <w:tcPr>
            <w:tcW w:w="518" w:type="pct"/>
            <w:shd w:val="clear" w:color="000000" w:fill="FFFFFF"/>
            <w:vAlign w:val="center"/>
          </w:tcPr>
          <w:p w14:paraId="57FC1E0F" w14:textId="77777777" w:rsidR="00A775DB" w:rsidRPr="00B0658A" w:rsidRDefault="00A775DB" w:rsidP="004F1366">
            <w:pPr>
              <w:spacing w:after="0" w:line="240" w:lineRule="auto"/>
              <w:jc w:val="center"/>
              <w:rPr>
                <w:rFonts w:ascii="Times New Roman" w:hAnsi="Times New Roman"/>
                <w:sz w:val="20"/>
                <w:szCs w:val="20"/>
              </w:rPr>
            </w:pPr>
          </w:p>
        </w:tc>
      </w:tr>
      <w:tr w:rsidR="00F52FED" w:rsidRPr="00B0658A" w14:paraId="5B6083E9" w14:textId="77777777" w:rsidTr="004F1366">
        <w:trPr>
          <w:trHeight w:val="20"/>
        </w:trPr>
        <w:tc>
          <w:tcPr>
            <w:tcW w:w="278" w:type="pct"/>
            <w:shd w:val="clear" w:color="000000" w:fill="FFFFFF"/>
            <w:vAlign w:val="center"/>
          </w:tcPr>
          <w:p w14:paraId="48941256" w14:textId="77777777" w:rsidR="00A775DB" w:rsidRPr="00B0658A" w:rsidRDefault="00A775DB" w:rsidP="004F1366">
            <w:pPr>
              <w:spacing w:after="0" w:line="240" w:lineRule="auto"/>
              <w:jc w:val="center"/>
              <w:rPr>
                <w:rFonts w:ascii="Times New Roman" w:hAnsi="Times New Roman"/>
                <w:sz w:val="20"/>
                <w:szCs w:val="20"/>
              </w:rPr>
            </w:pPr>
            <w:r w:rsidRPr="00B0658A">
              <w:rPr>
                <w:rFonts w:ascii="Times New Roman" w:hAnsi="Times New Roman"/>
                <w:sz w:val="20"/>
                <w:szCs w:val="20"/>
                <w:lang w:val="en-US"/>
              </w:rPr>
              <w:t>N</w:t>
            </w:r>
            <w:r w:rsidRPr="00B0658A">
              <w:rPr>
                <w:rFonts w:ascii="Times New Roman" w:hAnsi="Times New Roman"/>
                <w:sz w:val="20"/>
                <w:szCs w:val="20"/>
              </w:rPr>
              <w:t>.2</w:t>
            </w:r>
          </w:p>
        </w:tc>
        <w:tc>
          <w:tcPr>
            <w:tcW w:w="1237" w:type="pct"/>
            <w:shd w:val="clear" w:color="auto" w:fill="auto"/>
            <w:vAlign w:val="center"/>
          </w:tcPr>
          <w:p w14:paraId="739048BA" w14:textId="77777777" w:rsidR="00A775DB" w:rsidRPr="00B0658A" w:rsidRDefault="00A775DB" w:rsidP="004F1366">
            <w:pPr>
              <w:spacing w:after="0" w:line="240" w:lineRule="auto"/>
              <w:rPr>
                <w:rFonts w:ascii="Times New Roman" w:hAnsi="Times New Roman"/>
                <w:i/>
                <w:sz w:val="20"/>
                <w:szCs w:val="20"/>
              </w:rPr>
            </w:pPr>
            <w:r w:rsidRPr="00B0658A">
              <w:rPr>
                <w:rFonts w:ascii="Times New Roman" w:hAnsi="Times New Roman"/>
                <w:i/>
                <w:sz w:val="20"/>
                <w:szCs w:val="20"/>
              </w:rPr>
              <w:t xml:space="preserve">Указывается класс (тип) №2 ПО, используемого на значимом объекте КИИ № </w:t>
            </w:r>
            <w:r w:rsidRPr="00B0658A">
              <w:rPr>
                <w:rFonts w:ascii="Times New Roman" w:hAnsi="Times New Roman"/>
                <w:i/>
                <w:sz w:val="20"/>
                <w:szCs w:val="20"/>
                <w:lang w:val="en-US"/>
              </w:rPr>
              <w:t>N</w:t>
            </w:r>
            <w:r w:rsidRPr="00B0658A">
              <w:rPr>
                <w:rFonts w:ascii="Times New Roman" w:hAnsi="Times New Roman"/>
                <w:i/>
                <w:sz w:val="20"/>
                <w:szCs w:val="20"/>
              </w:rPr>
              <w:t xml:space="preserve"> в соответствии с приказом Минцифры России от 22 сентября 2020 г. № 486)</w:t>
            </w:r>
          </w:p>
        </w:tc>
        <w:tc>
          <w:tcPr>
            <w:tcW w:w="844" w:type="pct"/>
          </w:tcPr>
          <w:p w14:paraId="0142FF76" w14:textId="77777777" w:rsidR="00A775DB" w:rsidRPr="00B0658A" w:rsidRDefault="00A775DB" w:rsidP="004F1366">
            <w:pPr>
              <w:spacing w:after="0" w:line="240" w:lineRule="auto"/>
              <w:rPr>
                <w:rFonts w:ascii="Times New Roman" w:hAnsi="Times New Roman"/>
                <w:sz w:val="20"/>
                <w:szCs w:val="20"/>
              </w:rPr>
            </w:pPr>
          </w:p>
        </w:tc>
        <w:tc>
          <w:tcPr>
            <w:tcW w:w="844" w:type="pct"/>
            <w:shd w:val="clear" w:color="000000" w:fill="FFFFFF"/>
          </w:tcPr>
          <w:p w14:paraId="024EF6F6" w14:textId="77777777" w:rsidR="00A775DB" w:rsidRPr="00B0658A" w:rsidRDefault="00A775DB" w:rsidP="004F1366">
            <w:pPr>
              <w:spacing w:after="0" w:line="240" w:lineRule="auto"/>
              <w:rPr>
                <w:rFonts w:ascii="Times New Roman" w:hAnsi="Times New Roman"/>
                <w:sz w:val="20"/>
                <w:szCs w:val="20"/>
              </w:rPr>
            </w:pPr>
            <w:r w:rsidRPr="00B0658A">
              <w:rPr>
                <w:rFonts w:ascii="Times New Roman" w:hAnsi="Times New Roman"/>
                <w:sz w:val="20"/>
                <w:szCs w:val="20"/>
              </w:rPr>
              <w:t>Доля используемого российского ПО и евразийского ПО, используемого на значимом объекте КИИ, в общем объёме используемого ПО на таком объекте, %</w:t>
            </w:r>
          </w:p>
        </w:tc>
        <w:tc>
          <w:tcPr>
            <w:tcW w:w="320" w:type="pct"/>
            <w:shd w:val="clear" w:color="000000" w:fill="FFFFFF"/>
            <w:vAlign w:val="center"/>
          </w:tcPr>
          <w:p w14:paraId="2A64EB79" w14:textId="77777777" w:rsidR="00A775DB" w:rsidRPr="00B0658A" w:rsidRDefault="00A775DB" w:rsidP="004F1366">
            <w:pPr>
              <w:spacing w:after="0" w:line="240" w:lineRule="auto"/>
              <w:jc w:val="center"/>
              <w:rPr>
                <w:rFonts w:ascii="Times New Roman" w:hAnsi="Times New Roman"/>
                <w:sz w:val="20"/>
                <w:szCs w:val="20"/>
              </w:rPr>
            </w:pPr>
          </w:p>
        </w:tc>
        <w:tc>
          <w:tcPr>
            <w:tcW w:w="320" w:type="pct"/>
            <w:shd w:val="clear" w:color="000000" w:fill="FFFFFF"/>
            <w:vAlign w:val="center"/>
          </w:tcPr>
          <w:p w14:paraId="7CAA5775" w14:textId="77777777" w:rsidR="00A775DB" w:rsidRPr="00B0658A" w:rsidRDefault="00A775DB" w:rsidP="004F1366">
            <w:pPr>
              <w:spacing w:after="0" w:line="240" w:lineRule="auto"/>
              <w:jc w:val="center"/>
              <w:rPr>
                <w:rFonts w:ascii="Times New Roman" w:hAnsi="Times New Roman"/>
                <w:sz w:val="20"/>
                <w:szCs w:val="20"/>
              </w:rPr>
            </w:pPr>
          </w:p>
        </w:tc>
        <w:tc>
          <w:tcPr>
            <w:tcW w:w="320" w:type="pct"/>
            <w:shd w:val="clear" w:color="000000" w:fill="FFFFFF"/>
            <w:vAlign w:val="center"/>
          </w:tcPr>
          <w:p w14:paraId="2DEA1489" w14:textId="77777777" w:rsidR="00A775DB" w:rsidRPr="00B0658A" w:rsidRDefault="00A775DB" w:rsidP="004F1366">
            <w:pPr>
              <w:spacing w:after="0" w:line="240" w:lineRule="auto"/>
              <w:jc w:val="center"/>
              <w:rPr>
                <w:rFonts w:ascii="Times New Roman" w:hAnsi="Times New Roman"/>
                <w:sz w:val="20"/>
                <w:szCs w:val="20"/>
              </w:rPr>
            </w:pPr>
          </w:p>
        </w:tc>
        <w:tc>
          <w:tcPr>
            <w:tcW w:w="320" w:type="pct"/>
            <w:shd w:val="clear" w:color="000000" w:fill="FFFFFF"/>
            <w:vAlign w:val="center"/>
          </w:tcPr>
          <w:p w14:paraId="082292BB" w14:textId="77777777" w:rsidR="00A775DB" w:rsidRPr="00B0658A" w:rsidRDefault="00A775DB" w:rsidP="004F1366">
            <w:pPr>
              <w:spacing w:after="0" w:line="240" w:lineRule="auto"/>
              <w:jc w:val="center"/>
              <w:rPr>
                <w:rFonts w:ascii="Times New Roman" w:hAnsi="Times New Roman"/>
                <w:sz w:val="20"/>
                <w:szCs w:val="20"/>
              </w:rPr>
            </w:pPr>
          </w:p>
        </w:tc>
        <w:tc>
          <w:tcPr>
            <w:tcW w:w="518" w:type="pct"/>
            <w:shd w:val="clear" w:color="000000" w:fill="FFFFFF"/>
            <w:vAlign w:val="center"/>
          </w:tcPr>
          <w:p w14:paraId="3163C3EF" w14:textId="77777777" w:rsidR="00A775DB" w:rsidRPr="00B0658A" w:rsidRDefault="00A775DB" w:rsidP="004F1366">
            <w:pPr>
              <w:spacing w:after="0" w:line="240" w:lineRule="auto"/>
              <w:jc w:val="center"/>
              <w:rPr>
                <w:rFonts w:ascii="Times New Roman" w:hAnsi="Times New Roman"/>
                <w:sz w:val="20"/>
                <w:szCs w:val="20"/>
              </w:rPr>
            </w:pPr>
          </w:p>
        </w:tc>
      </w:tr>
      <w:tr w:rsidR="00F52FED" w:rsidRPr="00B0658A" w14:paraId="0D44259F" w14:textId="77777777" w:rsidTr="004F1366">
        <w:trPr>
          <w:trHeight w:val="20"/>
        </w:trPr>
        <w:tc>
          <w:tcPr>
            <w:tcW w:w="278" w:type="pct"/>
            <w:shd w:val="clear" w:color="000000" w:fill="FFFFFF"/>
            <w:vAlign w:val="center"/>
          </w:tcPr>
          <w:p w14:paraId="20B1648D" w14:textId="77777777" w:rsidR="00A775DB" w:rsidRPr="00B0658A" w:rsidRDefault="00A775DB" w:rsidP="004F1366">
            <w:pPr>
              <w:spacing w:after="0" w:line="240" w:lineRule="auto"/>
              <w:jc w:val="center"/>
              <w:rPr>
                <w:rFonts w:ascii="Times New Roman" w:hAnsi="Times New Roman"/>
                <w:sz w:val="20"/>
                <w:szCs w:val="20"/>
              </w:rPr>
            </w:pPr>
            <w:r w:rsidRPr="00B0658A">
              <w:rPr>
                <w:rFonts w:ascii="Times New Roman" w:hAnsi="Times New Roman"/>
                <w:sz w:val="20"/>
                <w:szCs w:val="20"/>
              </w:rPr>
              <w:t>…</w:t>
            </w:r>
          </w:p>
        </w:tc>
        <w:tc>
          <w:tcPr>
            <w:tcW w:w="1237" w:type="pct"/>
            <w:shd w:val="clear" w:color="auto" w:fill="auto"/>
            <w:vAlign w:val="center"/>
          </w:tcPr>
          <w:p w14:paraId="506B4612" w14:textId="77777777" w:rsidR="00A775DB" w:rsidRPr="00B0658A" w:rsidRDefault="00A775DB" w:rsidP="004F1366">
            <w:pPr>
              <w:spacing w:after="0" w:line="240" w:lineRule="auto"/>
              <w:rPr>
                <w:rFonts w:ascii="Times New Roman" w:hAnsi="Times New Roman"/>
                <w:i/>
                <w:sz w:val="20"/>
                <w:szCs w:val="20"/>
              </w:rPr>
            </w:pPr>
            <w:r w:rsidRPr="00B0658A">
              <w:rPr>
                <w:rFonts w:ascii="Times New Roman" w:hAnsi="Times New Roman"/>
                <w:i/>
                <w:sz w:val="20"/>
                <w:szCs w:val="20"/>
              </w:rPr>
              <w:t>…</w:t>
            </w:r>
          </w:p>
        </w:tc>
        <w:tc>
          <w:tcPr>
            <w:tcW w:w="844" w:type="pct"/>
          </w:tcPr>
          <w:p w14:paraId="3E6BFA01" w14:textId="77777777" w:rsidR="00A775DB" w:rsidRPr="00B0658A" w:rsidRDefault="00A775DB" w:rsidP="004F1366">
            <w:pPr>
              <w:spacing w:after="0" w:line="240" w:lineRule="auto"/>
              <w:rPr>
                <w:rFonts w:ascii="Times New Roman" w:hAnsi="Times New Roman"/>
                <w:sz w:val="20"/>
                <w:szCs w:val="20"/>
              </w:rPr>
            </w:pPr>
          </w:p>
        </w:tc>
        <w:tc>
          <w:tcPr>
            <w:tcW w:w="844" w:type="pct"/>
            <w:shd w:val="clear" w:color="000000" w:fill="FFFFFF"/>
          </w:tcPr>
          <w:p w14:paraId="4F62CD8E" w14:textId="77777777" w:rsidR="00A775DB" w:rsidRPr="00B0658A" w:rsidRDefault="00A775DB" w:rsidP="004F1366">
            <w:pPr>
              <w:spacing w:after="0" w:line="240" w:lineRule="auto"/>
              <w:rPr>
                <w:rFonts w:ascii="Times New Roman" w:hAnsi="Times New Roman"/>
                <w:sz w:val="20"/>
                <w:szCs w:val="20"/>
              </w:rPr>
            </w:pPr>
            <w:r w:rsidRPr="00B0658A">
              <w:rPr>
                <w:rFonts w:ascii="Times New Roman" w:hAnsi="Times New Roman"/>
                <w:sz w:val="20"/>
                <w:szCs w:val="20"/>
              </w:rPr>
              <w:t>…...</w:t>
            </w:r>
          </w:p>
        </w:tc>
        <w:tc>
          <w:tcPr>
            <w:tcW w:w="320" w:type="pct"/>
            <w:shd w:val="clear" w:color="000000" w:fill="FFFFFF"/>
            <w:vAlign w:val="center"/>
          </w:tcPr>
          <w:p w14:paraId="1C74AE95" w14:textId="77777777" w:rsidR="00A775DB" w:rsidRPr="00B0658A" w:rsidRDefault="00A775DB" w:rsidP="004F1366">
            <w:pPr>
              <w:spacing w:after="0" w:line="240" w:lineRule="auto"/>
              <w:jc w:val="center"/>
              <w:rPr>
                <w:rFonts w:ascii="Times New Roman" w:hAnsi="Times New Roman"/>
                <w:sz w:val="20"/>
                <w:szCs w:val="20"/>
              </w:rPr>
            </w:pPr>
          </w:p>
        </w:tc>
        <w:tc>
          <w:tcPr>
            <w:tcW w:w="320" w:type="pct"/>
            <w:shd w:val="clear" w:color="000000" w:fill="FFFFFF"/>
            <w:vAlign w:val="center"/>
          </w:tcPr>
          <w:p w14:paraId="435A567B" w14:textId="77777777" w:rsidR="00A775DB" w:rsidRPr="00B0658A" w:rsidRDefault="00A775DB" w:rsidP="004F1366">
            <w:pPr>
              <w:spacing w:after="0" w:line="240" w:lineRule="auto"/>
              <w:jc w:val="center"/>
              <w:rPr>
                <w:rFonts w:ascii="Times New Roman" w:hAnsi="Times New Roman"/>
                <w:sz w:val="20"/>
                <w:szCs w:val="20"/>
              </w:rPr>
            </w:pPr>
          </w:p>
        </w:tc>
        <w:tc>
          <w:tcPr>
            <w:tcW w:w="320" w:type="pct"/>
            <w:shd w:val="clear" w:color="000000" w:fill="FFFFFF"/>
            <w:vAlign w:val="center"/>
          </w:tcPr>
          <w:p w14:paraId="7BB48A0A" w14:textId="77777777" w:rsidR="00A775DB" w:rsidRPr="00B0658A" w:rsidRDefault="00A775DB" w:rsidP="004F1366">
            <w:pPr>
              <w:spacing w:after="0" w:line="240" w:lineRule="auto"/>
              <w:jc w:val="center"/>
              <w:rPr>
                <w:rFonts w:ascii="Times New Roman" w:hAnsi="Times New Roman"/>
                <w:sz w:val="20"/>
                <w:szCs w:val="20"/>
              </w:rPr>
            </w:pPr>
          </w:p>
        </w:tc>
        <w:tc>
          <w:tcPr>
            <w:tcW w:w="320" w:type="pct"/>
            <w:shd w:val="clear" w:color="000000" w:fill="FFFFFF"/>
            <w:vAlign w:val="center"/>
          </w:tcPr>
          <w:p w14:paraId="5820AE46" w14:textId="77777777" w:rsidR="00A775DB" w:rsidRPr="00B0658A" w:rsidRDefault="00A775DB" w:rsidP="004F1366">
            <w:pPr>
              <w:spacing w:after="0" w:line="240" w:lineRule="auto"/>
              <w:jc w:val="center"/>
              <w:rPr>
                <w:rFonts w:ascii="Times New Roman" w:hAnsi="Times New Roman"/>
                <w:sz w:val="20"/>
                <w:szCs w:val="20"/>
              </w:rPr>
            </w:pPr>
          </w:p>
        </w:tc>
        <w:tc>
          <w:tcPr>
            <w:tcW w:w="518" w:type="pct"/>
            <w:shd w:val="clear" w:color="000000" w:fill="FFFFFF"/>
            <w:vAlign w:val="center"/>
          </w:tcPr>
          <w:p w14:paraId="78CA8B05" w14:textId="77777777" w:rsidR="00A775DB" w:rsidRPr="00B0658A" w:rsidRDefault="00A775DB" w:rsidP="004F1366">
            <w:pPr>
              <w:spacing w:after="0" w:line="240" w:lineRule="auto"/>
              <w:jc w:val="center"/>
              <w:rPr>
                <w:rFonts w:ascii="Times New Roman" w:hAnsi="Times New Roman"/>
                <w:sz w:val="20"/>
                <w:szCs w:val="20"/>
              </w:rPr>
            </w:pPr>
          </w:p>
        </w:tc>
      </w:tr>
      <w:tr w:rsidR="00F52FED" w:rsidRPr="00B0658A" w14:paraId="34592D61" w14:textId="77777777" w:rsidTr="004F1366">
        <w:trPr>
          <w:trHeight w:val="20"/>
        </w:trPr>
        <w:tc>
          <w:tcPr>
            <w:tcW w:w="278" w:type="pct"/>
            <w:shd w:val="clear" w:color="000000" w:fill="FFFFFF"/>
            <w:vAlign w:val="center"/>
          </w:tcPr>
          <w:p w14:paraId="0A640055" w14:textId="77777777" w:rsidR="00A775DB" w:rsidRPr="00B0658A" w:rsidRDefault="00A775DB" w:rsidP="004F1366">
            <w:pPr>
              <w:spacing w:after="0" w:line="240" w:lineRule="auto"/>
              <w:jc w:val="center"/>
              <w:rPr>
                <w:rFonts w:ascii="Times New Roman" w:hAnsi="Times New Roman"/>
                <w:sz w:val="20"/>
                <w:szCs w:val="20"/>
              </w:rPr>
            </w:pPr>
            <w:r w:rsidRPr="00B0658A">
              <w:rPr>
                <w:rFonts w:ascii="Times New Roman" w:hAnsi="Times New Roman"/>
                <w:sz w:val="20"/>
                <w:szCs w:val="20"/>
                <w:lang w:val="en-US"/>
              </w:rPr>
              <w:t>N</w:t>
            </w:r>
            <w:r w:rsidRPr="00B0658A">
              <w:rPr>
                <w:rFonts w:ascii="Times New Roman" w:hAnsi="Times New Roman"/>
                <w:sz w:val="20"/>
                <w:szCs w:val="20"/>
              </w:rPr>
              <w:t>.</w:t>
            </w:r>
            <w:r w:rsidRPr="00B0658A">
              <w:rPr>
                <w:rFonts w:ascii="Times New Roman" w:hAnsi="Times New Roman"/>
                <w:sz w:val="20"/>
                <w:szCs w:val="20"/>
                <w:lang w:val="en-US"/>
              </w:rPr>
              <w:t>n</w:t>
            </w:r>
          </w:p>
        </w:tc>
        <w:tc>
          <w:tcPr>
            <w:tcW w:w="1237" w:type="pct"/>
            <w:shd w:val="clear" w:color="auto" w:fill="auto"/>
            <w:vAlign w:val="center"/>
          </w:tcPr>
          <w:p w14:paraId="396D7FDE" w14:textId="77777777" w:rsidR="00A775DB" w:rsidRPr="00B0658A" w:rsidRDefault="00A775DB" w:rsidP="004F1366">
            <w:pPr>
              <w:spacing w:after="0" w:line="240" w:lineRule="auto"/>
              <w:rPr>
                <w:rFonts w:ascii="Times New Roman" w:hAnsi="Times New Roman"/>
                <w:i/>
                <w:sz w:val="20"/>
                <w:szCs w:val="20"/>
              </w:rPr>
            </w:pPr>
            <w:r w:rsidRPr="00B0658A">
              <w:rPr>
                <w:rFonts w:ascii="Times New Roman" w:hAnsi="Times New Roman"/>
                <w:i/>
                <w:sz w:val="20"/>
                <w:szCs w:val="20"/>
              </w:rPr>
              <w:t>Указывается класс (тип) №</w:t>
            </w:r>
            <w:r w:rsidRPr="00B0658A">
              <w:rPr>
                <w:rFonts w:ascii="Times New Roman" w:hAnsi="Times New Roman"/>
                <w:i/>
                <w:sz w:val="20"/>
                <w:szCs w:val="20"/>
                <w:lang w:val="en-US"/>
              </w:rPr>
              <w:t>n</w:t>
            </w:r>
            <w:r w:rsidRPr="00B0658A">
              <w:rPr>
                <w:rFonts w:ascii="Times New Roman" w:hAnsi="Times New Roman"/>
                <w:i/>
                <w:sz w:val="20"/>
                <w:szCs w:val="20"/>
              </w:rPr>
              <w:t xml:space="preserve"> ПО, используемого на значимом объекте КИИ № </w:t>
            </w:r>
            <w:r w:rsidRPr="00B0658A">
              <w:rPr>
                <w:rFonts w:ascii="Times New Roman" w:hAnsi="Times New Roman"/>
                <w:i/>
                <w:sz w:val="20"/>
                <w:szCs w:val="20"/>
                <w:lang w:val="en-US"/>
              </w:rPr>
              <w:t>N</w:t>
            </w:r>
            <w:r w:rsidRPr="00B0658A">
              <w:rPr>
                <w:rFonts w:ascii="Times New Roman" w:hAnsi="Times New Roman"/>
                <w:i/>
                <w:sz w:val="20"/>
                <w:szCs w:val="20"/>
              </w:rPr>
              <w:t xml:space="preserve"> в соответствии с приказом Минцифры России от 22 сентября 2020 г. № 486)</w:t>
            </w:r>
          </w:p>
        </w:tc>
        <w:tc>
          <w:tcPr>
            <w:tcW w:w="844" w:type="pct"/>
          </w:tcPr>
          <w:p w14:paraId="38CF29F6" w14:textId="77777777" w:rsidR="00A775DB" w:rsidRPr="00B0658A" w:rsidRDefault="00A775DB" w:rsidP="004F1366">
            <w:pPr>
              <w:spacing w:after="0" w:line="240" w:lineRule="auto"/>
              <w:rPr>
                <w:rFonts w:ascii="Times New Roman" w:hAnsi="Times New Roman"/>
                <w:sz w:val="20"/>
                <w:szCs w:val="20"/>
              </w:rPr>
            </w:pPr>
          </w:p>
        </w:tc>
        <w:tc>
          <w:tcPr>
            <w:tcW w:w="844" w:type="pct"/>
            <w:shd w:val="clear" w:color="000000" w:fill="FFFFFF"/>
          </w:tcPr>
          <w:p w14:paraId="7E8992B0" w14:textId="77777777" w:rsidR="00A775DB" w:rsidRPr="00B0658A" w:rsidRDefault="00A775DB" w:rsidP="004F1366">
            <w:pPr>
              <w:spacing w:after="0" w:line="240" w:lineRule="auto"/>
              <w:rPr>
                <w:rFonts w:ascii="Times New Roman" w:hAnsi="Times New Roman"/>
                <w:sz w:val="20"/>
                <w:szCs w:val="20"/>
              </w:rPr>
            </w:pPr>
            <w:r w:rsidRPr="00B0658A">
              <w:rPr>
                <w:rFonts w:ascii="Times New Roman" w:hAnsi="Times New Roman"/>
                <w:sz w:val="20"/>
                <w:szCs w:val="20"/>
              </w:rPr>
              <w:t>Доля используемого российского ПО и евразийского ПО, используемого на значимом объекте КИИ, в общем объёме используемого ПО на таком объекте, %</w:t>
            </w:r>
          </w:p>
        </w:tc>
        <w:tc>
          <w:tcPr>
            <w:tcW w:w="320" w:type="pct"/>
            <w:shd w:val="clear" w:color="000000" w:fill="FFFFFF"/>
            <w:vAlign w:val="center"/>
          </w:tcPr>
          <w:p w14:paraId="7ECD5F59" w14:textId="77777777" w:rsidR="00A775DB" w:rsidRPr="00B0658A" w:rsidRDefault="00A775DB" w:rsidP="004F1366">
            <w:pPr>
              <w:spacing w:after="0" w:line="240" w:lineRule="auto"/>
              <w:jc w:val="center"/>
              <w:rPr>
                <w:rFonts w:ascii="Times New Roman" w:hAnsi="Times New Roman"/>
                <w:sz w:val="20"/>
                <w:szCs w:val="20"/>
              </w:rPr>
            </w:pPr>
          </w:p>
        </w:tc>
        <w:tc>
          <w:tcPr>
            <w:tcW w:w="320" w:type="pct"/>
            <w:shd w:val="clear" w:color="000000" w:fill="FFFFFF"/>
            <w:vAlign w:val="center"/>
          </w:tcPr>
          <w:p w14:paraId="27CFCB73" w14:textId="77777777" w:rsidR="00A775DB" w:rsidRPr="00B0658A" w:rsidRDefault="00A775DB" w:rsidP="004F1366">
            <w:pPr>
              <w:spacing w:after="0" w:line="240" w:lineRule="auto"/>
              <w:jc w:val="center"/>
              <w:rPr>
                <w:rFonts w:ascii="Times New Roman" w:hAnsi="Times New Roman"/>
                <w:sz w:val="20"/>
                <w:szCs w:val="20"/>
              </w:rPr>
            </w:pPr>
          </w:p>
        </w:tc>
        <w:tc>
          <w:tcPr>
            <w:tcW w:w="320" w:type="pct"/>
            <w:shd w:val="clear" w:color="000000" w:fill="FFFFFF"/>
            <w:vAlign w:val="center"/>
          </w:tcPr>
          <w:p w14:paraId="69BCC6D4" w14:textId="77777777" w:rsidR="00A775DB" w:rsidRPr="00B0658A" w:rsidRDefault="00A775DB" w:rsidP="004F1366">
            <w:pPr>
              <w:spacing w:after="0" w:line="240" w:lineRule="auto"/>
              <w:jc w:val="center"/>
              <w:rPr>
                <w:rFonts w:ascii="Times New Roman" w:hAnsi="Times New Roman"/>
                <w:sz w:val="20"/>
                <w:szCs w:val="20"/>
              </w:rPr>
            </w:pPr>
          </w:p>
        </w:tc>
        <w:tc>
          <w:tcPr>
            <w:tcW w:w="320" w:type="pct"/>
            <w:shd w:val="clear" w:color="000000" w:fill="FFFFFF"/>
            <w:vAlign w:val="center"/>
          </w:tcPr>
          <w:p w14:paraId="0A249ADF" w14:textId="77777777" w:rsidR="00A775DB" w:rsidRPr="00B0658A" w:rsidRDefault="00A775DB" w:rsidP="004F1366">
            <w:pPr>
              <w:spacing w:after="0" w:line="240" w:lineRule="auto"/>
              <w:jc w:val="center"/>
              <w:rPr>
                <w:rFonts w:ascii="Times New Roman" w:hAnsi="Times New Roman"/>
                <w:sz w:val="20"/>
                <w:szCs w:val="20"/>
              </w:rPr>
            </w:pPr>
          </w:p>
        </w:tc>
        <w:tc>
          <w:tcPr>
            <w:tcW w:w="518" w:type="pct"/>
            <w:shd w:val="clear" w:color="000000" w:fill="FFFFFF"/>
            <w:vAlign w:val="center"/>
          </w:tcPr>
          <w:p w14:paraId="3956070C" w14:textId="77777777" w:rsidR="00A775DB" w:rsidRPr="00B0658A" w:rsidRDefault="00A775DB" w:rsidP="004F1366">
            <w:pPr>
              <w:spacing w:after="0" w:line="240" w:lineRule="auto"/>
              <w:jc w:val="center"/>
              <w:rPr>
                <w:rFonts w:ascii="Times New Roman" w:hAnsi="Times New Roman"/>
                <w:sz w:val="20"/>
                <w:szCs w:val="20"/>
              </w:rPr>
            </w:pPr>
          </w:p>
        </w:tc>
      </w:tr>
    </w:tbl>
    <w:p w14:paraId="5C2EA9CB" w14:textId="77777777" w:rsidR="0057110B" w:rsidRPr="00B0658A" w:rsidRDefault="0057110B">
      <w:pPr>
        <w:spacing w:after="0" w:line="240" w:lineRule="auto"/>
        <w:rPr>
          <w:rFonts w:ascii="Times New Roman" w:hAnsi="Times New Roman"/>
          <w:sz w:val="28"/>
          <w:szCs w:val="24"/>
        </w:rPr>
      </w:pPr>
      <w:r w:rsidRPr="00B0658A">
        <w:rPr>
          <w:rFonts w:ascii="Times New Roman" w:hAnsi="Times New Roman"/>
          <w:sz w:val="28"/>
        </w:rPr>
        <w:br w:type="page"/>
      </w:r>
    </w:p>
    <w:p w14:paraId="0534BC7F" w14:textId="4C8E567F" w:rsidR="008319FB" w:rsidRPr="00B0658A" w:rsidRDefault="008319FB" w:rsidP="008319FB">
      <w:pPr>
        <w:pStyle w:val="11"/>
        <w:spacing w:before="120" w:after="0" w:line="240" w:lineRule="auto"/>
        <w:jc w:val="right"/>
        <w:rPr>
          <w:rFonts w:cs="Times New Roman"/>
          <w:szCs w:val="24"/>
        </w:rPr>
      </w:pPr>
      <w:bookmarkStart w:id="50" w:name="_Toc116390916"/>
      <w:bookmarkStart w:id="51" w:name="_Toc116632280"/>
      <w:bookmarkEnd w:id="49"/>
      <w:r w:rsidRPr="00B0658A">
        <w:rPr>
          <w:rFonts w:cs="Times New Roman"/>
          <w:szCs w:val="28"/>
        </w:rPr>
        <w:t>Приложение № 14</w:t>
      </w:r>
      <w:r w:rsidRPr="00B0658A">
        <w:rPr>
          <w:rFonts w:cs="Times New Roman"/>
          <w:szCs w:val="28"/>
        </w:rPr>
        <w:br/>
      </w:r>
      <w:r w:rsidRPr="00B0658A">
        <w:rPr>
          <w:rFonts w:cs="Times New Roman"/>
        </w:rPr>
        <w:t>Рекомендованные показатели эффективности и соответствующие им значения индикаторов эффективности перехода</w:t>
      </w:r>
      <w:r w:rsidRPr="00B0658A">
        <w:rPr>
          <w:rFonts w:cs="Times New Roman"/>
          <w:szCs w:val="28"/>
        </w:rPr>
        <w:t xml:space="preserve"> организаций, осуществляющих закупки товаров, работ, услуг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Федеральным законом «О закупках товаров, работ, услуг отдельными видами юридических лиц» (за исключением организаций с муниципальным участием), не являющихся организациями, подведомственными органам государственной власти и государственным внебюджетным фондам, не включенных в специальный перечень №91-р и в отношении которых не приняты решения о разработке стратегии (программы) цифровой трансформации</w:t>
      </w:r>
      <w:bookmarkEnd w:id="50"/>
      <w:bookmarkEnd w:id="51"/>
    </w:p>
    <w:p w14:paraId="53300F41" w14:textId="77777777" w:rsidR="008319FB" w:rsidRPr="00B0658A" w:rsidRDefault="008319FB" w:rsidP="008319FB">
      <w:pPr>
        <w:spacing w:line="240" w:lineRule="auto"/>
        <w:jc w:val="both"/>
        <w:rPr>
          <w:rFonts w:ascii="Times New Roman" w:hAnsi="Times New Roman"/>
          <w:sz w:val="28"/>
          <w:szCs w:val="28"/>
          <w:highlight w:val="yellow"/>
        </w:rPr>
      </w:pPr>
    </w:p>
    <w:p w14:paraId="75C61683" w14:textId="785FAAB7" w:rsidR="007B1A0D" w:rsidRDefault="007B1A0D" w:rsidP="007B1A0D">
      <w:pPr>
        <w:spacing w:before="120" w:after="0" w:line="240" w:lineRule="auto"/>
        <w:ind w:firstLine="709"/>
        <w:jc w:val="both"/>
        <w:rPr>
          <w:rFonts w:ascii="Times New Roman" w:hAnsi="Times New Roman"/>
          <w:sz w:val="28"/>
          <w:szCs w:val="24"/>
        </w:rPr>
      </w:pPr>
      <w:bookmarkStart w:id="52" w:name="_Hlk116558705"/>
      <w:r w:rsidRPr="00B0658A">
        <w:rPr>
          <w:rFonts w:ascii="Times New Roman" w:hAnsi="Times New Roman"/>
          <w:sz w:val="28"/>
          <w:szCs w:val="24"/>
        </w:rPr>
        <w:t>Ниже представлены рекомендованные показатели эффективности и соответствующие им значения индикаторов эффективности перехода</w:t>
      </w:r>
      <w:r w:rsidR="009E7059" w:rsidRPr="00B0658A">
        <w:rPr>
          <w:rFonts w:ascii="Times New Roman" w:hAnsi="Times New Roman"/>
          <w:sz w:val="28"/>
          <w:szCs w:val="24"/>
        </w:rPr>
        <w:t xml:space="preserve"> заказчиков 44-ФЗ и заказчиков 223-ФЗ</w:t>
      </w:r>
      <w:r w:rsidRPr="00B0658A">
        <w:rPr>
          <w:rFonts w:ascii="Times New Roman" w:hAnsi="Times New Roman"/>
          <w:sz w:val="28"/>
          <w:szCs w:val="24"/>
        </w:rPr>
        <w:t xml:space="preserve"> на использование российского ПО в отношении каждого используемого класса (типа) ПО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55"/>
        <w:gridCol w:w="3297"/>
        <w:gridCol w:w="2505"/>
        <w:gridCol w:w="1023"/>
        <w:gridCol w:w="1023"/>
        <w:gridCol w:w="1023"/>
        <w:gridCol w:w="1057"/>
        <w:gridCol w:w="1023"/>
        <w:gridCol w:w="1023"/>
        <w:gridCol w:w="1015"/>
      </w:tblGrid>
      <w:tr w:rsidR="00207C19" w:rsidRPr="00B0658A" w14:paraId="0B0F44CA" w14:textId="77777777" w:rsidTr="00FE71B1">
        <w:trPr>
          <w:trHeight w:val="20"/>
          <w:tblHeader/>
        </w:trPr>
        <w:tc>
          <w:tcPr>
            <w:tcW w:w="342" w:type="pct"/>
            <w:shd w:val="clear" w:color="000000" w:fill="E7E6E6"/>
            <w:vAlign w:val="center"/>
            <w:hideMark/>
          </w:tcPr>
          <w:p w14:paraId="7185A342" w14:textId="77777777" w:rsidR="00207C19" w:rsidRPr="00B0658A" w:rsidRDefault="00207C19" w:rsidP="00FE71B1">
            <w:pPr>
              <w:spacing w:after="0" w:line="240" w:lineRule="auto"/>
              <w:jc w:val="center"/>
              <w:rPr>
                <w:rFonts w:ascii="Times New Roman" w:hAnsi="Times New Roman"/>
                <w:b/>
                <w:bCs/>
                <w:sz w:val="18"/>
                <w:szCs w:val="18"/>
              </w:rPr>
            </w:pPr>
            <w:r w:rsidRPr="00B0658A">
              <w:rPr>
                <w:rFonts w:ascii="Times New Roman" w:hAnsi="Times New Roman"/>
                <w:b/>
                <w:bCs/>
                <w:sz w:val="18"/>
                <w:szCs w:val="18"/>
              </w:rPr>
              <w:t>№ раздела/ класса</w:t>
            </w:r>
          </w:p>
        </w:tc>
        <w:tc>
          <w:tcPr>
            <w:tcW w:w="1182" w:type="pct"/>
            <w:shd w:val="clear" w:color="000000" w:fill="E7E6E6"/>
            <w:vAlign w:val="center"/>
            <w:hideMark/>
          </w:tcPr>
          <w:p w14:paraId="2ED50035" w14:textId="77777777" w:rsidR="00207C19" w:rsidRPr="00B0658A" w:rsidRDefault="00207C19" w:rsidP="00E766E3">
            <w:pPr>
              <w:spacing w:after="0" w:line="240" w:lineRule="auto"/>
              <w:jc w:val="center"/>
              <w:rPr>
                <w:rFonts w:ascii="Times New Roman" w:hAnsi="Times New Roman"/>
                <w:b/>
                <w:bCs/>
                <w:sz w:val="18"/>
                <w:szCs w:val="18"/>
              </w:rPr>
            </w:pPr>
            <w:r w:rsidRPr="00B0658A">
              <w:rPr>
                <w:rFonts w:ascii="Times New Roman" w:hAnsi="Times New Roman"/>
                <w:b/>
                <w:bCs/>
                <w:sz w:val="18"/>
                <w:szCs w:val="18"/>
              </w:rPr>
              <w:t>Наименование класса (типа) ПО</w:t>
            </w:r>
          </w:p>
        </w:tc>
        <w:tc>
          <w:tcPr>
            <w:tcW w:w="898" w:type="pct"/>
            <w:shd w:val="clear" w:color="000000" w:fill="E7E6E6"/>
            <w:vAlign w:val="center"/>
            <w:hideMark/>
          </w:tcPr>
          <w:p w14:paraId="3C75B404" w14:textId="77777777" w:rsidR="00207C19" w:rsidRPr="00B0658A" w:rsidRDefault="00207C19" w:rsidP="00E766E3">
            <w:pPr>
              <w:spacing w:after="0" w:line="240" w:lineRule="auto"/>
              <w:jc w:val="center"/>
              <w:rPr>
                <w:rFonts w:ascii="Times New Roman" w:hAnsi="Times New Roman"/>
                <w:b/>
                <w:bCs/>
                <w:sz w:val="18"/>
                <w:szCs w:val="18"/>
              </w:rPr>
            </w:pPr>
            <w:r w:rsidRPr="00B0658A">
              <w:rPr>
                <w:rFonts w:ascii="Times New Roman" w:hAnsi="Times New Roman"/>
                <w:b/>
                <w:bCs/>
                <w:sz w:val="18"/>
                <w:szCs w:val="18"/>
              </w:rPr>
              <w:t>Наименование целевого показателя</w:t>
            </w:r>
          </w:p>
        </w:tc>
        <w:tc>
          <w:tcPr>
            <w:tcW w:w="367" w:type="pct"/>
            <w:shd w:val="clear" w:color="000000" w:fill="E7E6E6"/>
            <w:noWrap/>
            <w:vAlign w:val="center"/>
            <w:hideMark/>
          </w:tcPr>
          <w:p w14:paraId="0A87D13A" w14:textId="77777777" w:rsidR="00207C19" w:rsidRPr="00B0658A" w:rsidRDefault="00207C19" w:rsidP="00E766E3">
            <w:pPr>
              <w:spacing w:after="0" w:line="240" w:lineRule="auto"/>
              <w:jc w:val="center"/>
              <w:rPr>
                <w:rFonts w:ascii="Times New Roman" w:hAnsi="Times New Roman"/>
                <w:b/>
                <w:bCs/>
                <w:sz w:val="18"/>
                <w:szCs w:val="18"/>
              </w:rPr>
            </w:pPr>
            <w:r w:rsidRPr="00B0658A">
              <w:rPr>
                <w:rFonts w:ascii="Times New Roman" w:hAnsi="Times New Roman"/>
                <w:b/>
                <w:bCs/>
                <w:sz w:val="18"/>
                <w:szCs w:val="18"/>
              </w:rPr>
              <w:t>2022 г.</w:t>
            </w:r>
          </w:p>
        </w:tc>
        <w:tc>
          <w:tcPr>
            <w:tcW w:w="367" w:type="pct"/>
            <w:shd w:val="clear" w:color="000000" w:fill="E7E6E6"/>
            <w:vAlign w:val="center"/>
            <w:hideMark/>
          </w:tcPr>
          <w:p w14:paraId="17725465" w14:textId="77777777" w:rsidR="00207C19" w:rsidRPr="00B0658A" w:rsidRDefault="00207C19" w:rsidP="00E766E3">
            <w:pPr>
              <w:spacing w:after="0" w:line="240" w:lineRule="auto"/>
              <w:jc w:val="center"/>
              <w:rPr>
                <w:rFonts w:ascii="Times New Roman" w:hAnsi="Times New Roman"/>
                <w:b/>
                <w:bCs/>
                <w:sz w:val="18"/>
                <w:szCs w:val="18"/>
              </w:rPr>
            </w:pPr>
            <w:r w:rsidRPr="00B0658A">
              <w:rPr>
                <w:rFonts w:ascii="Times New Roman" w:hAnsi="Times New Roman"/>
                <w:b/>
                <w:bCs/>
                <w:sz w:val="18"/>
                <w:szCs w:val="18"/>
              </w:rPr>
              <w:t>2023 г.</w:t>
            </w:r>
          </w:p>
        </w:tc>
        <w:tc>
          <w:tcPr>
            <w:tcW w:w="367" w:type="pct"/>
            <w:shd w:val="clear" w:color="000000" w:fill="E7E6E6"/>
            <w:noWrap/>
            <w:vAlign w:val="center"/>
            <w:hideMark/>
          </w:tcPr>
          <w:p w14:paraId="181C749F" w14:textId="77777777" w:rsidR="00207C19" w:rsidRPr="00B0658A" w:rsidRDefault="00207C19" w:rsidP="00E766E3">
            <w:pPr>
              <w:spacing w:after="0" w:line="240" w:lineRule="auto"/>
              <w:jc w:val="center"/>
              <w:rPr>
                <w:rFonts w:ascii="Times New Roman" w:hAnsi="Times New Roman"/>
                <w:b/>
                <w:bCs/>
                <w:sz w:val="18"/>
                <w:szCs w:val="18"/>
              </w:rPr>
            </w:pPr>
            <w:r w:rsidRPr="00B0658A">
              <w:rPr>
                <w:rFonts w:ascii="Times New Roman" w:hAnsi="Times New Roman"/>
                <w:b/>
                <w:bCs/>
                <w:sz w:val="18"/>
                <w:szCs w:val="18"/>
              </w:rPr>
              <w:t>2024 г.</w:t>
            </w:r>
          </w:p>
        </w:tc>
        <w:tc>
          <w:tcPr>
            <w:tcW w:w="379" w:type="pct"/>
            <w:shd w:val="clear" w:color="000000" w:fill="E7E6E6"/>
            <w:vAlign w:val="center"/>
          </w:tcPr>
          <w:p w14:paraId="16B2A7A5" w14:textId="77777777" w:rsidR="00207C19" w:rsidRPr="00B0658A" w:rsidRDefault="00207C19" w:rsidP="00E766E3">
            <w:pPr>
              <w:spacing w:after="0" w:line="240" w:lineRule="auto"/>
              <w:jc w:val="center"/>
              <w:rPr>
                <w:rFonts w:ascii="Times New Roman" w:hAnsi="Times New Roman"/>
                <w:b/>
                <w:bCs/>
                <w:sz w:val="18"/>
                <w:szCs w:val="18"/>
              </w:rPr>
            </w:pPr>
            <w:r w:rsidRPr="00B0658A">
              <w:rPr>
                <w:rFonts w:ascii="Times New Roman" w:hAnsi="Times New Roman"/>
                <w:b/>
                <w:bCs/>
                <w:sz w:val="18"/>
                <w:szCs w:val="18"/>
              </w:rPr>
              <w:t>2024 г.</w:t>
            </w:r>
            <w:r w:rsidRPr="00B0658A">
              <w:rPr>
                <w:rFonts w:ascii="Times New Roman" w:hAnsi="Times New Roman"/>
                <w:b/>
                <w:bCs/>
                <w:sz w:val="18"/>
                <w:szCs w:val="18"/>
              </w:rPr>
              <w:br/>
            </w:r>
            <w:r w:rsidRPr="00B0658A">
              <w:rPr>
                <w:rFonts w:ascii="Times New Roman" w:hAnsi="Times New Roman"/>
                <w:bCs/>
                <w:sz w:val="18"/>
                <w:szCs w:val="18"/>
              </w:rPr>
              <w:t>(для значимых объектов КИИ)</w:t>
            </w:r>
          </w:p>
        </w:tc>
        <w:tc>
          <w:tcPr>
            <w:tcW w:w="367" w:type="pct"/>
            <w:shd w:val="clear" w:color="000000" w:fill="E7E6E6"/>
            <w:vAlign w:val="center"/>
            <w:hideMark/>
          </w:tcPr>
          <w:p w14:paraId="5ED61B0A" w14:textId="77777777" w:rsidR="00207C19" w:rsidRPr="00B0658A" w:rsidRDefault="00207C19" w:rsidP="00E766E3">
            <w:pPr>
              <w:spacing w:after="0" w:line="240" w:lineRule="auto"/>
              <w:jc w:val="center"/>
              <w:rPr>
                <w:rFonts w:ascii="Times New Roman" w:hAnsi="Times New Roman"/>
                <w:b/>
                <w:bCs/>
                <w:sz w:val="18"/>
                <w:szCs w:val="18"/>
              </w:rPr>
            </w:pPr>
            <w:r w:rsidRPr="00B0658A">
              <w:rPr>
                <w:rFonts w:ascii="Times New Roman" w:hAnsi="Times New Roman"/>
                <w:b/>
                <w:bCs/>
                <w:sz w:val="18"/>
                <w:szCs w:val="18"/>
              </w:rPr>
              <w:t>2025 г.</w:t>
            </w:r>
          </w:p>
        </w:tc>
        <w:tc>
          <w:tcPr>
            <w:tcW w:w="367" w:type="pct"/>
            <w:shd w:val="clear" w:color="000000" w:fill="E7E6E6"/>
            <w:vAlign w:val="center"/>
            <w:hideMark/>
          </w:tcPr>
          <w:p w14:paraId="56D82E04" w14:textId="77777777" w:rsidR="00207C19" w:rsidRPr="00B0658A" w:rsidRDefault="00207C19" w:rsidP="00E766E3">
            <w:pPr>
              <w:spacing w:after="0" w:line="240" w:lineRule="auto"/>
              <w:jc w:val="center"/>
              <w:rPr>
                <w:rFonts w:ascii="Times New Roman" w:hAnsi="Times New Roman"/>
                <w:b/>
                <w:bCs/>
                <w:sz w:val="18"/>
                <w:szCs w:val="18"/>
              </w:rPr>
            </w:pPr>
            <w:r w:rsidRPr="00B0658A">
              <w:rPr>
                <w:rFonts w:ascii="Times New Roman" w:hAnsi="Times New Roman"/>
                <w:b/>
                <w:bCs/>
                <w:sz w:val="18"/>
                <w:szCs w:val="18"/>
              </w:rPr>
              <w:t>2026 г.</w:t>
            </w:r>
          </w:p>
        </w:tc>
        <w:tc>
          <w:tcPr>
            <w:tcW w:w="364" w:type="pct"/>
            <w:shd w:val="clear" w:color="000000" w:fill="E7E6E6"/>
            <w:vAlign w:val="center"/>
            <w:hideMark/>
          </w:tcPr>
          <w:p w14:paraId="3E6A320F" w14:textId="77777777" w:rsidR="00207C19" w:rsidRPr="00B0658A" w:rsidRDefault="00207C19" w:rsidP="00E766E3">
            <w:pPr>
              <w:spacing w:after="0" w:line="240" w:lineRule="auto"/>
              <w:jc w:val="center"/>
              <w:rPr>
                <w:rFonts w:ascii="Times New Roman" w:hAnsi="Times New Roman"/>
                <w:b/>
                <w:bCs/>
                <w:sz w:val="18"/>
                <w:szCs w:val="18"/>
              </w:rPr>
            </w:pPr>
            <w:r w:rsidRPr="00B0658A">
              <w:rPr>
                <w:rFonts w:ascii="Times New Roman" w:hAnsi="Times New Roman"/>
                <w:b/>
                <w:bCs/>
                <w:sz w:val="18"/>
                <w:szCs w:val="18"/>
              </w:rPr>
              <w:t>2027 г.</w:t>
            </w:r>
          </w:p>
        </w:tc>
      </w:tr>
      <w:tr w:rsidR="00207C19" w:rsidRPr="00B0658A" w14:paraId="53DD9CC2" w14:textId="77777777" w:rsidTr="00FE71B1">
        <w:trPr>
          <w:trHeight w:val="20"/>
        </w:trPr>
        <w:tc>
          <w:tcPr>
            <w:tcW w:w="342" w:type="pct"/>
            <w:shd w:val="clear" w:color="000000" w:fill="FFFFFF"/>
            <w:vAlign w:val="center"/>
          </w:tcPr>
          <w:p w14:paraId="63CEBCF7" w14:textId="77777777" w:rsidR="00207C19" w:rsidRPr="00B0658A" w:rsidRDefault="00207C19" w:rsidP="00FE71B1">
            <w:pPr>
              <w:spacing w:after="0" w:line="240" w:lineRule="auto"/>
              <w:jc w:val="center"/>
              <w:rPr>
                <w:rFonts w:ascii="Times New Roman" w:hAnsi="Times New Roman"/>
                <w:sz w:val="18"/>
                <w:szCs w:val="18"/>
              </w:rPr>
            </w:pPr>
            <w:r w:rsidRPr="00B0658A">
              <w:rPr>
                <w:rFonts w:ascii="Times New Roman" w:hAnsi="Times New Roman"/>
                <w:sz w:val="18"/>
                <w:szCs w:val="18"/>
              </w:rPr>
              <w:t>1.1</w:t>
            </w:r>
          </w:p>
        </w:tc>
        <w:tc>
          <w:tcPr>
            <w:tcW w:w="1182" w:type="pct"/>
            <w:shd w:val="clear" w:color="auto" w:fill="auto"/>
            <w:vAlign w:val="center"/>
            <w:hideMark/>
          </w:tcPr>
          <w:p w14:paraId="0D3449CB" w14:textId="77777777" w:rsidR="00207C19" w:rsidRPr="00B0658A" w:rsidRDefault="00207C19" w:rsidP="00E766E3">
            <w:pPr>
              <w:spacing w:after="0" w:line="240" w:lineRule="auto"/>
              <w:rPr>
                <w:rFonts w:ascii="Times New Roman" w:hAnsi="Times New Roman"/>
                <w:sz w:val="18"/>
                <w:szCs w:val="18"/>
              </w:rPr>
            </w:pPr>
            <w:r w:rsidRPr="00B0658A">
              <w:rPr>
                <w:rFonts w:ascii="Times New Roman" w:hAnsi="Times New Roman"/>
                <w:sz w:val="18"/>
                <w:szCs w:val="18"/>
              </w:rPr>
              <w:t>Встроенное программное обеспечение/ Встроенные системные программы: BIOS, UEFI и иные встроенные системные программы</w:t>
            </w:r>
          </w:p>
        </w:tc>
        <w:tc>
          <w:tcPr>
            <w:tcW w:w="898" w:type="pct"/>
            <w:shd w:val="clear" w:color="000000" w:fill="FFFFFF"/>
            <w:hideMark/>
          </w:tcPr>
          <w:p w14:paraId="29FFA01A" w14:textId="77777777" w:rsidR="00207C19" w:rsidRPr="00B0658A" w:rsidRDefault="00207C19" w:rsidP="00E766E3">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7" w:type="pct"/>
            <w:shd w:val="clear" w:color="000000" w:fill="FFFFFF"/>
            <w:vAlign w:val="center"/>
          </w:tcPr>
          <w:p w14:paraId="4EADD77E"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rPr>
              <w:t>10%</w:t>
            </w:r>
          </w:p>
        </w:tc>
        <w:tc>
          <w:tcPr>
            <w:tcW w:w="367" w:type="pct"/>
            <w:shd w:val="clear" w:color="000000" w:fill="FFFFFF"/>
            <w:vAlign w:val="center"/>
          </w:tcPr>
          <w:p w14:paraId="7E30D2A3"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rPr>
              <w:t>2</w:t>
            </w:r>
            <w:r w:rsidRPr="00B0658A">
              <w:rPr>
                <w:rFonts w:ascii="Times New Roman" w:hAnsi="Times New Roman"/>
                <w:sz w:val="18"/>
                <w:szCs w:val="18"/>
                <w:lang w:val="en-US"/>
              </w:rPr>
              <w:t>5</w:t>
            </w:r>
            <w:r w:rsidRPr="00B0658A">
              <w:rPr>
                <w:rFonts w:ascii="Times New Roman" w:hAnsi="Times New Roman"/>
                <w:sz w:val="18"/>
                <w:szCs w:val="18"/>
              </w:rPr>
              <w:t>%</w:t>
            </w:r>
          </w:p>
        </w:tc>
        <w:tc>
          <w:tcPr>
            <w:tcW w:w="367" w:type="pct"/>
            <w:shd w:val="clear" w:color="000000" w:fill="FFFFFF"/>
            <w:vAlign w:val="center"/>
          </w:tcPr>
          <w:p w14:paraId="320DBD90"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4</w:t>
            </w:r>
            <w:r w:rsidRPr="00B0658A">
              <w:rPr>
                <w:rFonts w:ascii="Times New Roman" w:hAnsi="Times New Roman"/>
                <w:sz w:val="18"/>
                <w:szCs w:val="18"/>
              </w:rPr>
              <w:t>0%</w:t>
            </w:r>
          </w:p>
        </w:tc>
        <w:tc>
          <w:tcPr>
            <w:tcW w:w="379" w:type="pct"/>
            <w:shd w:val="clear" w:color="000000" w:fill="FFFFFF"/>
            <w:vAlign w:val="center"/>
          </w:tcPr>
          <w:p w14:paraId="542E0B03" w14:textId="77777777" w:rsidR="00207C19" w:rsidRPr="00B0658A" w:rsidRDefault="00207C19" w:rsidP="00E766E3">
            <w:pPr>
              <w:spacing w:after="0" w:line="240" w:lineRule="auto"/>
              <w:jc w:val="center"/>
              <w:rPr>
                <w:rFonts w:ascii="Times New Roman" w:hAnsi="Times New Roman"/>
                <w:sz w:val="18"/>
                <w:szCs w:val="18"/>
                <w:lang w:val="en-US"/>
              </w:rPr>
            </w:pPr>
            <w:r w:rsidRPr="00B0658A">
              <w:rPr>
                <w:rFonts w:ascii="Times New Roman" w:hAnsi="Times New Roman"/>
                <w:sz w:val="18"/>
                <w:szCs w:val="18"/>
                <w:lang w:val="en-US"/>
              </w:rPr>
              <w:t>100%</w:t>
            </w:r>
          </w:p>
        </w:tc>
        <w:tc>
          <w:tcPr>
            <w:tcW w:w="367" w:type="pct"/>
            <w:shd w:val="clear" w:color="000000" w:fill="FFFFFF"/>
            <w:vAlign w:val="center"/>
          </w:tcPr>
          <w:p w14:paraId="056959CB"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rPr>
              <w:t>50%</w:t>
            </w:r>
          </w:p>
        </w:tc>
        <w:tc>
          <w:tcPr>
            <w:tcW w:w="367" w:type="pct"/>
            <w:shd w:val="clear" w:color="000000" w:fill="FFFFFF"/>
            <w:vAlign w:val="center"/>
          </w:tcPr>
          <w:p w14:paraId="35A68335"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rPr>
              <w:t>70%</w:t>
            </w:r>
          </w:p>
        </w:tc>
        <w:tc>
          <w:tcPr>
            <w:tcW w:w="364" w:type="pct"/>
            <w:shd w:val="clear" w:color="000000" w:fill="FFFFFF"/>
            <w:vAlign w:val="center"/>
          </w:tcPr>
          <w:p w14:paraId="50046683"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207C19" w:rsidRPr="00B0658A" w14:paraId="4C8DA41B" w14:textId="77777777" w:rsidTr="00FE71B1">
        <w:trPr>
          <w:trHeight w:val="20"/>
        </w:trPr>
        <w:tc>
          <w:tcPr>
            <w:tcW w:w="342" w:type="pct"/>
            <w:shd w:val="clear" w:color="000000" w:fill="FFFFFF"/>
            <w:vAlign w:val="center"/>
          </w:tcPr>
          <w:p w14:paraId="77D3B143" w14:textId="77777777" w:rsidR="00207C19" w:rsidRPr="00B0658A" w:rsidRDefault="00207C19" w:rsidP="00FE71B1">
            <w:pPr>
              <w:spacing w:after="0" w:line="240" w:lineRule="auto"/>
              <w:jc w:val="center"/>
              <w:rPr>
                <w:rFonts w:ascii="Times New Roman" w:hAnsi="Times New Roman"/>
                <w:sz w:val="18"/>
                <w:szCs w:val="18"/>
              </w:rPr>
            </w:pPr>
            <w:r w:rsidRPr="00B0658A">
              <w:rPr>
                <w:rFonts w:ascii="Times New Roman" w:hAnsi="Times New Roman"/>
                <w:sz w:val="18"/>
                <w:szCs w:val="18"/>
              </w:rPr>
              <w:t>1.2</w:t>
            </w:r>
          </w:p>
        </w:tc>
        <w:tc>
          <w:tcPr>
            <w:tcW w:w="1182" w:type="pct"/>
            <w:shd w:val="clear" w:color="auto" w:fill="auto"/>
            <w:vAlign w:val="center"/>
            <w:hideMark/>
          </w:tcPr>
          <w:p w14:paraId="0F446209" w14:textId="77777777" w:rsidR="00207C19" w:rsidRPr="00B0658A" w:rsidRDefault="00207C19" w:rsidP="00E766E3">
            <w:pPr>
              <w:spacing w:after="0" w:line="240" w:lineRule="auto"/>
              <w:rPr>
                <w:rFonts w:ascii="Times New Roman" w:hAnsi="Times New Roman"/>
                <w:sz w:val="18"/>
                <w:szCs w:val="18"/>
              </w:rPr>
            </w:pPr>
            <w:r w:rsidRPr="00B0658A">
              <w:rPr>
                <w:rFonts w:ascii="Times New Roman" w:hAnsi="Times New Roman"/>
                <w:sz w:val="18"/>
                <w:szCs w:val="18"/>
              </w:rPr>
              <w:t>Встроенное программное обеспечение/ Встроенные системные программы – операционные системы</w:t>
            </w:r>
          </w:p>
        </w:tc>
        <w:tc>
          <w:tcPr>
            <w:tcW w:w="898" w:type="pct"/>
            <w:shd w:val="clear" w:color="000000" w:fill="FFFFFF"/>
            <w:hideMark/>
          </w:tcPr>
          <w:p w14:paraId="4D71AF23" w14:textId="77777777" w:rsidR="00207C19" w:rsidRPr="00B0658A" w:rsidRDefault="00207C19" w:rsidP="00E766E3">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7" w:type="pct"/>
            <w:shd w:val="clear" w:color="000000" w:fill="FFFFFF"/>
            <w:vAlign w:val="center"/>
          </w:tcPr>
          <w:p w14:paraId="1D58B094"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rPr>
              <w:t>10%</w:t>
            </w:r>
          </w:p>
        </w:tc>
        <w:tc>
          <w:tcPr>
            <w:tcW w:w="367" w:type="pct"/>
            <w:shd w:val="clear" w:color="000000" w:fill="FFFFFF"/>
            <w:vAlign w:val="center"/>
          </w:tcPr>
          <w:p w14:paraId="6E7ACF97"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rPr>
              <w:t>2</w:t>
            </w:r>
            <w:r w:rsidRPr="00B0658A">
              <w:rPr>
                <w:rFonts w:ascii="Times New Roman" w:hAnsi="Times New Roman"/>
                <w:sz w:val="18"/>
                <w:szCs w:val="18"/>
                <w:lang w:val="en-US"/>
              </w:rPr>
              <w:t>5</w:t>
            </w:r>
            <w:r w:rsidRPr="00B0658A">
              <w:rPr>
                <w:rFonts w:ascii="Times New Roman" w:hAnsi="Times New Roman"/>
                <w:sz w:val="18"/>
                <w:szCs w:val="18"/>
              </w:rPr>
              <w:t>%</w:t>
            </w:r>
          </w:p>
        </w:tc>
        <w:tc>
          <w:tcPr>
            <w:tcW w:w="367" w:type="pct"/>
            <w:shd w:val="clear" w:color="000000" w:fill="FFFFFF"/>
            <w:vAlign w:val="center"/>
          </w:tcPr>
          <w:p w14:paraId="787ACC0A"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4</w:t>
            </w:r>
            <w:r w:rsidRPr="00B0658A">
              <w:rPr>
                <w:rFonts w:ascii="Times New Roman" w:hAnsi="Times New Roman"/>
                <w:sz w:val="18"/>
                <w:szCs w:val="18"/>
              </w:rPr>
              <w:t>0%</w:t>
            </w:r>
          </w:p>
        </w:tc>
        <w:tc>
          <w:tcPr>
            <w:tcW w:w="379" w:type="pct"/>
            <w:shd w:val="clear" w:color="000000" w:fill="FFFFFF"/>
            <w:vAlign w:val="center"/>
          </w:tcPr>
          <w:p w14:paraId="19F282F6"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7" w:type="pct"/>
            <w:shd w:val="clear" w:color="000000" w:fill="FFFFFF"/>
            <w:vAlign w:val="center"/>
          </w:tcPr>
          <w:p w14:paraId="0796DD6E"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rPr>
              <w:t>50%</w:t>
            </w:r>
          </w:p>
        </w:tc>
        <w:tc>
          <w:tcPr>
            <w:tcW w:w="367" w:type="pct"/>
            <w:shd w:val="clear" w:color="000000" w:fill="FFFFFF"/>
            <w:vAlign w:val="center"/>
          </w:tcPr>
          <w:p w14:paraId="41B97211"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rPr>
              <w:t>70%</w:t>
            </w:r>
          </w:p>
        </w:tc>
        <w:tc>
          <w:tcPr>
            <w:tcW w:w="364" w:type="pct"/>
            <w:shd w:val="clear" w:color="000000" w:fill="FFFFFF"/>
            <w:vAlign w:val="center"/>
          </w:tcPr>
          <w:p w14:paraId="0259DD5B"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207C19" w:rsidRPr="00B0658A" w14:paraId="477A86A8" w14:textId="77777777" w:rsidTr="00FE71B1">
        <w:trPr>
          <w:trHeight w:val="20"/>
        </w:trPr>
        <w:tc>
          <w:tcPr>
            <w:tcW w:w="342" w:type="pct"/>
            <w:shd w:val="clear" w:color="000000" w:fill="FFFFFF"/>
            <w:vAlign w:val="center"/>
          </w:tcPr>
          <w:p w14:paraId="70DD748D" w14:textId="77777777" w:rsidR="00207C19" w:rsidRPr="00B0658A" w:rsidRDefault="00207C19" w:rsidP="00FE71B1">
            <w:pPr>
              <w:spacing w:after="0" w:line="240" w:lineRule="auto"/>
              <w:jc w:val="center"/>
              <w:rPr>
                <w:rFonts w:ascii="Times New Roman" w:hAnsi="Times New Roman"/>
                <w:sz w:val="18"/>
                <w:szCs w:val="18"/>
              </w:rPr>
            </w:pPr>
            <w:r w:rsidRPr="00B0658A">
              <w:rPr>
                <w:rFonts w:ascii="Times New Roman" w:hAnsi="Times New Roman"/>
                <w:sz w:val="18"/>
                <w:szCs w:val="18"/>
              </w:rPr>
              <w:t>1.3</w:t>
            </w:r>
          </w:p>
        </w:tc>
        <w:tc>
          <w:tcPr>
            <w:tcW w:w="1182" w:type="pct"/>
            <w:shd w:val="clear" w:color="auto" w:fill="auto"/>
            <w:vAlign w:val="center"/>
            <w:hideMark/>
          </w:tcPr>
          <w:p w14:paraId="7ACD46C5" w14:textId="77777777" w:rsidR="00207C19" w:rsidRPr="00B0658A" w:rsidRDefault="00207C19" w:rsidP="00E766E3">
            <w:pPr>
              <w:spacing w:after="0" w:line="240" w:lineRule="auto"/>
              <w:rPr>
                <w:rFonts w:ascii="Times New Roman" w:hAnsi="Times New Roman"/>
                <w:sz w:val="18"/>
                <w:szCs w:val="18"/>
              </w:rPr>
            </w:pPr>
            <w:r w:rsidRPr="00B0658A">
              <w:rPr>
                <w:rFonts w:ascii="Times New Roman" w:hAnsi="Times New Roman"/>
                <w:sz w:val="18"/>
                <w:szCs w:val="18"/>
              </w:rPr>
              <w:t>Встроенное программное обеспечение/ Встроенные прикладные программы</w:t>
            </w:r>
          </w:p>
        </w:tc>
        <w:tc>
          <w:tcPr>
            <w:tcW w:w="898" w:type="pct"/>
            <w:shd w:val="clear" w:color="000000" w:fill="FFFFFF"/>
            <w:hideMark/>
          </w:tcPr>
          <w:p w14:paraId="3020F605" w14:textId="77777777" w:rsidR="00207C19" w:rsidRPr="00B0658A" w:rsidRDefault="00207C19" w:rsidP="00E766E3">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7" w:type="pct"/>
            <w:shd w:val="clear" w:color="000000" w:fill="FFFFFF"/>
            <w:vAlign w:val="center"/>
          </w:tcPr>
          <w:p w14:paraId="7B8ADA6E"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rPr>
              <w:t>20%</w:t>
            </w:r>
          </w:p>
        </w:tc>
        <w:tc>
          <w:tcPr>
            <w:tcW w:w="367" w:type="pct"/>
            <w:shd w:val="clear" w:color="000000" w:fill="FFFFFF"/>
            <w:vAlign w:val="center"/>
          </w:tcPr>
          <w:p w14:paraId="18EAAC25"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rPr>
              <w:t>30%</w:t>
            </w:r>
          </w:p>
        </w:tc>
        <w:tc>
          <w:tcPr>
            <w:tcW w:w="367" w:type="pct"/>
            <w:shd w:val="clear" w:color="000000" w:fill="FFFFFF"/>
            <w:vAlign w:val="center"/>
          </w:tcPr>
          <w:p w14:paraId="7DDAB66B"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rPr>
              <w:t>45%</w:t>
            </w:r>
          </w:p>
        </w:tc>
        <w:tc>
          <w:tcPr>
            <w:tcW w:w="379" w:type="pct"/>
            <w:shd w:val="clear" w:color="000000" w:fill="FFFFFF"/>
            <w:vAlign w:val="center"/>
          </w:tcPr>
          <w:p w14:paraId="4A9522CD"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7" w:type="pct"/>
            <w:shd w:val="clear" w:color="000000" w:fill="FFFFFF"/>
            <w:vAlign w:val="center"/>
          </w:tcPr>
          <w:p w14:paraId="5664FD18"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rPr>
              <w:t>70%</w:t>
            </w:r>
          </w:p>
        </w:tc>
        <w:tc>
          <w:tcPr>
            <w:tcW w:w="367" w:type="pct"/>
            <w:shd w:val="clear" w:color="000000" w:fill="FFFFFF"/>
            <w:vAlign w:val="center"/>
          </w:tcPr>
          <w:p w14:paraId="7B4E6DC3"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rPr>
              <w:t>90%</w:t>
            </w:r>
          </w:p>
        </w:tc>
        <w:tc>
          <w:tcPr>
            <w:tcW w:w="364" w:type="pct"/>
            <w:shd w:val="clear" w:color="000000" w:fill="FFFFFF"/>
            <w:vAlign w:val="center"/>
          </w:tcPr>
          <w:p w14:paraId="0AD5CF33"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207C19" w:rsidRPr="00B0658A" w14:paraId="46510118" w14:textId="77777777" w:rsidTr="00FE71B1">
        <w:trPr>
          <w:trHeight w:val="20"/>
        </w:trPr>
        <w:tc>
          <w:tcPr>
            <w:tcW w:w="342" w:type="pct"/>
            <w:shd w:val="clear" w:color="000000" w:fill="FFFFFF"/>
            <w:vAlign w:val="center"/>
          </w:tcPr>
          <w:p w14:paraId="428CBE89" w14:textId="77777777" w:rsidR="00207C19" w:rsidRPr="00B0658A" w:rsidRDefault="00207C19" w:rsidP="00FE71B1">
            <w:pPr>
              <w:spacing w:after="0" w:line="240" w:lineRule="auto"/>
              <w:jc w:val="center"/>
              <w:rPr>
                <w:rFonts w:ascii="Times New Roman" w:hAnsi="Times New Roman"/>
                <w:sz w:val="18"/>
                <w:szCs w:val="18"/>
              </w:rPr>
            </w:pPr>
            <w:r w:rsidRPr="00B0658A">
              <w:rPr>
                <w:rFonts w:ascii="Times New Roman" w:hAnsi="Times New Roman"/>
                <w:sz w:val="18"/>
                <w:szCs w:val="18"/>
              </w:rPr>
              <w:t>1.4</w:t>
            </w:r>
          </w:p>
        </w:tc>
        <w:tc>
          <w:tcPr>
            <w:tcW w:w="1182" w:type="pct"/>
            <w:shd w:val="clear" w:color="auto" w:fill="auto"/>
            <w:vAlign w:val="center"/>
            <w:hideMark/>
          </w:tcPr>
          <w:p w14:paraId="2C767001" w14:textId="77777777" w:rsidR="00207C19" w:rsidRPr="00B0658A" w:rsidRDefault="00207C19" w:rsidP="00E766E3">
            <w:pPr>
              <w:spacing w:after="0" w:line="240" w:lineRule="auto"/>
              <w:rPr>
                <w:rFonts w:ascii="Times New Roman" w:hAnsi="Times New Roman"/>
                <w:sz w:val="18"/>
                <w:szCs w:val="18"/>
              </w:rPr>
            </w:pPr>
            <w:r w:rsidRPr="00B0658A">
              <w:rPr>
                <w:rFonts w:ascii="Times New Roman" w:hAnsi="Times New Roman"/>
                <w:sz w:val="18"/>
                <w:szCs w:val="18"/>
              </w:rPr>
              <w:t>Встроенное программное обеспечение/ Программное обеспечение интернета вещей, робототехники и сенсорики</w:t>
            </w:r>
          </w:p>
        </w:tc>
        <w:tc>
          <w:tcPr>
            <w:tcW w:w="898" w:type="pct"/>
            <w:shd w:val="clear" w:color="000000" w:fill="FFFFFF"/>
            <w:hideMark/>
          </w:tcPr>
          <w:p w14:paraId="56B38EDC" w14:textId="77777777" w:rsidR="00207C19" w:rsidRPr="00B0658A" w:rsidRDefault="00207C19" w:rsidP="00E766E3">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7" w:type="pct"/>
            <w:shd w:val="clear" w:color="000000" w:fill="FFFFFF"/>
            <w:vAlign w:val="center"/>
          </w:tcPr>
          <w:p w14:paraId="417C661D"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rPr>
              <w:t>20%</w:t>
            </w:r>
          </w:p>
        </w:tc>
        <w:tc>
          <w:tcPr>
            <w:tcW w:w="367" w:type="pct"/>
            <w:shd w:val="clear" w:color="000000" w:fill="FFFFFF"/>
            <w:vAlign w:val="center"/>
          </w:tcPr>
          <w:p w14:paraId="5C66385B"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rPr>
              <w:t>30%</w:t>
            </w:r>
          </w:p>
        </w:tc>
        <w:tc>
          <w:tcPr>
            <w:tcW w:w="367" w:type="pct"/>
            <w:shd w:val="clear" w:color="000000" w:fill="FFFFFF"/>
            <w:vAlign w:val="center"/>
          </w:tcPr>
          <w:p w14:paraId="588CE262"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rPr>
              <w:t>45%</w:t>
            </w:r>
          </w:p>
        </w:tc>
        <w:tc>
          <w:tcPr>
            <w:tcW w:w="379" w:type="pct"/>
            <w:shd w:val="clear" w:color="000000" w:fill="FFFFFF"/>
            <w:vAlign w:val="center"/>
          </w:tcPr>
          <w:p w14:paraId="2FD5B5F3"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7" w:type="pct"/>
            <w:shd w:val="clear" w:color="000000" w:fill="FFFFFF"/>
            <w:vAlign w:val="center"/>
          </w:tcPr>
          <w:p w14:paraId="34B1F7C8"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rPr>
              <w:t>70%</w:t>
            </w:r>
          </w:p>
        </w:tc>
        <w:tc>
          <w:tcPr>
            <w:tcW w:w="367" w:type="pct"/>
            <w:shd w:val="clear" w:color="000000" w:fill="FFFFFF"/>
            <w:vAlign w:val="center"/>
          </w:tcPr>
          <w:p w14:paraId="2A7B7898"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rPr>
              <w:t>90%</w:t>
            </w:r>
          </w:p>
        </w:tc>
        <w:tc>
          <w:tcPr>
            <w:tcW w:w="364" w:type="pct"/>
            <w:shd w:val="clear" w:color="000000" w:fill="FFFFFF"/>
            <w:vAlign w:val="center"/>
          </w:tcPr>
          <w:p w14:paraId="5DCE16E4"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207C19" w:rsidRPr="00B0658A" w14:paraId="711ACBB6" w14:textId="77777777" w:rsidTr="00FE71B1">
        <w:trPr>
          <w:trHeight w:val="20"/>
        </w:trPr>
        <w:tc>
          <w:tcPr>
            <w:tcW w:w="342" w:type="pct"/>
            <w:shd w:val="clear" w:color="auto" w:fill="auto"/>
            <w:vAlign w:val="center"/>
          </w:tcPr>
          <w:p w14:paraId="2CA3CE83" w14:textId="77777777" w:rsidR="00207C19" w:rsidRPr="00B0658A" w:rsidRDefault="00207C19" w:rsidP="00FE71B1">
            <w:pPr>
              <w:spacing w:after="0" w:line="240" w:lineRule="auto"/>
              <w:jc w:val="center"/>
              <w:rPr>
                <w:rFonts w:ascii="Times New Roman" w:hAnsi="Times New Roman"/>
                <w:sz w:val="18"/>
                <w:szCs w:val="18"/>
              </w:rPr>
            </w:pPr>
            <w:r w:rsidRPr="00B0658A">
              <w:rPr>
                <w:rFonts w:ascii="Times New Roman" w:hAnsi="Times New Roman"/>
                <w:sz w:val="18"/>
                <w:szCs w:val="18"/>
              </w:rPr>
              <w:t>2.1</w:t>
            </w:r>
          </w:p>
        </w:tc>
        <w:tc>
          <w:tcPr>
            <w:tcW w:w="1182" w:type="pct"/>
            <w:shd w:val="clear" w:color="auto" w:fill="auto"/>
            <w:vAlign w:val="center"/>
            <w:hideMark/>
          </w:tcPr>
          <w:p w14:paraId="2336346F" w14:textId="77777777" w:rsidR="00207C19" w:rsidRPr="00B0658A" w:rsidRDefault="00207C19" w:rsidP="00E766E3">
            <w:pPr>
              <w:spacing w:after="0" w:line="240" w:lineRule="auto"/>
              <w:rPr>
                <w:rFonts w:ascii="Times New Roman" w:hAnsi="Times New Roman"/>
                <w:sz w:val="18"/>
                <w:szCs w:val="18"/>
              </w:rPr>
            </w:pPr>
            <w:r w:rsidRPr="00B0658A">
              <w:rPr>
                <w:rFonts w:ascii="Times New Roman" w:hAnsi="Times New Roman"/>
                <w:sz w:val="18"/>
                <w:szCs w:val="18"/>
              </w:rPr>
              <w:t>Системное программное обеспечение/ Драйверы</w:t>
            </w:r>
          </w:p>
        </w:tc>
        <w:tc>
          <w:tcPr>
            <w:tcW w:w="898" w:type="pct"/>
            <w:shd w:val="clear" w:color="000000" w:fill="FFFFFF"/>
            <w:hideMark/>
          </w:tcPr>
          <w:p w14:paraId="71864CAE" w14:textId="77777777" w:rsidR="00207C19" w:rsidRPr="00B0658A" w:rsidRDefault="00207C19" w:rsidP="00E766E3">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7" w:type="pct"/>
            <w:shd w:val="clear" w:color="000000" w:fill="FFFFFF"/>
            <w:vAlign w:val="center"/>
          </w:tcPr>
          <w:p w14:paraId="48389E8E"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rPr>
              <w:t>20%</w:t>
            </w:r>
          </w:p>
        </w:tc>
        <w:tc>
          <w:tcPr>
            <w:tcW w:w="367" w:type="pct"/>
            <w:shd w:val="clear" w:color="000000" w:fill="FFFFFF"/>
            <w:vAlign w:val="center"/>
          </w:tcPr>
          <w:p w14:paraId="3F27846E"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rPr>
              <w:t>30%</w:t>
            </w:r>
          </w:p>
        </w:tc>
        <w:tc>
          <w:tcPr>
            <w:tcW w:w="367" w:type="pct"/>
            <w:shd w:val="clear" w:color="000000" w:fill="FFFFFF"/>
            <w:vAlign w:val="center"/>
          </w:tcPr>
          <w:p w14:paraId="6A103771"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rPr>
              <w:t>45%</w:t>
            </w:r>
          </w:p>
        </w:tc>
        <w:tc>
          <w:tcPr>
            <w:tcW w:w="379" w:type="pct"/>
            <w:shd w:val="clear" w:color="000000" w:fill="FFFFFF"/>
            <w:vAlign w:val="center"/>
          </w:tcPr>
          <w:p w14:paraId="0B2BCED5"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7" w:type="pct"/>
            <w:shd w:val="clear" w:color="000000" w:fill="FFFFFF"/>
            <w:vAlign w:val="center"/>
          </w:tcPr>
          <w:p w14:paraId="2AAA809F"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rPr>
              <w:t>70%</w:t>
            </w:r>
          </w:p>
        </w:tc>
        <w:tc>
          <w:tcPr>
            <w:tcW w:w="367" w:type="pct"/>
            <w:shd w:val="clear" w:color="000000" w:fill="FFFFFF"/>
            <w:vAlign w:val="center"/>
          </w:tcPr>
          <w:p w14:paraId="6A1512ED"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rPr>
              <w:t>90%</w:t>
            </w:r>
          </w:p>
        </w:tc>
        <w:tc>
          <w:tcPr>
            <w:tcW w:w="364" w:type="pct"/>
            <w:shd w:val="clear" w:color="000000" w:fill="FFFFFF"/>
            <w:vAlign w:val="center"/>
          </w:tcPr>
          <w:p w14:paraId="4583ECA8"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207C19" w:rsidRPr="00B0658A" w14:paraId="7D551614" w14:textId="77777777" w:rsidTr="00FE71B1">
        <w:trPr>
          <w:trHeight w:val="20"/>
        </w:trPr>
        <w:tc>
          <w:tcPr>
            <w:tcW w:w="342" w:type="pct"/>
            <w:shd w:val="clear" w:color="auto" w:fill="auto"/>
            <w:vAlign w:val="center"/>
          </w:tcPr>
          <w:p w14:paraId="2C05E76D" w14:textId="77777777" w:rsidR="00207C19" w:rsidRPr="00B0658A" w:rsidRDefault="00207C19" w:rsidP="00FE71B1">
            <w:pPr>
              <w:spacing w:after="0" w:line="240" w:lineRule="auto"/>
              <w:jc w:val="center"/>
              <w:rPr>
                <w:rFonts w:ascii="Times New Roman" w:hAnsi="Times New Roman"/>
                <w:sz w:val="18"/>
                <w:szCs w:val="18"/>
              </w:rPr>
            </w:pPr>
            <w:r w:rsidRPr="00B0658A">
              <w:rPr>
                <w:rFonts w:ascii="Times New Roman" w:hAnsi="Times New Roman"/>
                <w:sz w:val="18"/>
                <w:szCs w:val="18"/>
              </w:rPr>
              <w:t>2.2</w:t>
            </w:r>
          </w:p>
        </w:tc>
        <w:tc>
          <w:tcPr>
            <w:tcW w:w="1182" w:type="pct"/>
            <w:shd w:val="clear" w:color="auto" w:fill="auto"/>
            <w:vAlign w:val="center"/>
            <w:hideMark/>
          </w:tcPr>
          <w:p w14:paraId="798C000F" w14:textId="77777777" w:rsidR="00207C19" w:rsidRPr="00B0658A" w:rsidRDefault="00207C19" w:rsidP="00E766E3">
            <w:pPr>
              <w:spacing w:after="0" w:line="240" w:lineRule="auto"/>
              <w:rPr>
                <w:rFonts w:ascii="Times New Roman" w:hAnsi="Times New Roman"/>
                <w:sz w:val="18"/>
                <w:szCs w:val="18"/>
              </w:rPr>
            </w:pPr>
            <w:r w:rsidRPr="00B0658A">
              <w:rPr>
                <w:rFonts w:ascii="Times New Roman" w:hAnsi="Times New Roman"/>
                <w:sz w:val="18"/>
                <w:szCs w:val="18"/>
              </w:rPr>
              <w:t>Системное программное обеспечение/ Программы обслуживания</w:t>
            </w:r>
          </w:p>
        </w:tc>
        <w:tc>
          <w:tcPr>
            <w:tcW w:w="898" w:type="pct"/>
            <w:shd w:val="clear" w:color="000000" w:fill="FFFFFF"/>
            <w:hideMark/>
          </w:tcPr>
          <w:p w14:paraId="0AEB39E3" w14:textId="77777777" w:rsidR="00207C19" w:rsidRPr="00B0658A" w:rsidRDefault="00207C19" w:rsidP="00E766E3">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7" w:type="pct"/>
            <w:shd w:val="clear" w:color="000000" w:fill="FFFFFF"/>
            <w:vAlign w:val="center"/>
          </w:tcPr>
          <w:p w14:paraId="7D186572"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rPr>
              <w:t>20%</w:t>
            </w:r>
          </w:p>
        </w:tc>
        <w:tc>
          <w:tcPr>
            <w:tcW w:w="367" w:type="pct"/>
            <w:shd w:val="clear" w:color="000000" w:fill="FFFFFF"/>
            <w:vAlign w:val="center"/>
          </w:tcPr>
          <w:p w14:paraId="2BF8B828"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rPr>
              <w:t>30%</w:t>
            </w:r>
          </w:p>
        </w:tc>
        <w:tc>
          <w:tcPr>
            <w:tcW w:w="367" w:type="pct"/>
            <w:shd w:val="clear" w:color="000000" w:fill="FFFFFF"/>
            <w:vAlign w:val="center"/>
          </w:tcPr>
          <w:p w14:paraId="7FBDA62D"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rPr>
              <w:t>45%</w:t>
            </w:r>
          </w:p>
        </w:tc>
        <w:tc>
          <w:tcPr>
            <w:tcW w:w="379" w:type="pct"/>
            <w:shd w:val="clear" w:color="000000" w:fill="FFFFFF"/>
            <w:vAlign w:val="center"/>
          </w:tcPr>
          <w:p w14:paraId="299D0FC6"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7" w:type="pct"/>
            <w:shd w:val="clear" w:color="000000" w:fill="FFFFFF"/>
            <w:vAlign w:val="center"/>
          </w:tcPr>
          <w:p w14:paraId="0972E97D"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rPr>
              <w:t>70%</w:t>
            </w:r>
          </w:p>
        </w:tc>
        <w:tc>
          <w:tcPr>
            <w:tcW w:w="367" w:type="pct"/>
            <w:shd w:val="clear" w:color="000000" w:fill="FFFFFF"/>
            <w:vAlign w:val="center"/>
          </w:tcPr>
          <w:p w14:paraId="187409A0"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rPr>
              <w:t>90%</w:t>
            </w:r>
          </w:p>
        </w:tc>
        <w:tc>
          <w:tcPr>
            <w:tcW w:w="364" w:type="pct"/>
            <w:shd w:val="clear" w:color="000000" w:fill="FFFFFF"/>
            <w:vAlign w:val="center"/>
          </w:tcPr>
          <w:p w14:paraId="36A1EEDB"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207C19" w:rsidRPr="00B0658A" w14:paraId="0F791D69" w14:textId="77777777" w:rsidTr="00FE71B1">
        <w:trPr>
          <w:trHeight w:val="20"/>
        </w:trPr>
        <w:tc>
          <w:tcPr>
            <w:tcW w:w="342" w:type="pct"/>
            <w:shd w:val="clear" w:color="000000" w:fill="FFFFFF"/>
            <w:vAlign w:val="center"/>
          </w:tcPr>
          <w:p w14:paraId="443D0B41" w14:textId="77777777" w:rsidR="00207C19" w:rsidRPr="00B0658A" w:rsidRDefault="00207C19" w:rsidP="00FE71B1">
            <w:pPr>
              <w:spacing w:after="0" w:line="240" w:lineRule="auto"/>
              <w:jc w:val="center"/>
              <w:rPr>
                <w:rFonts w:ascii="Times New Roman" w:hAnsi="Times New Roman"/>
                <w:sz w:val="18"/>
                <w:szCs w:val="18"/>
                <w:lang w:val="en-US"/>
              </w:rPr>
            </w:pPr>
            <w:r w:rsidRPr="00B0658A">
              <w:rPr>
                <w:rFonts w:ascii="Times New Roman" w:hAnsi="Times New Roman"/>
                <w:sz w:val="18"/>
                <w:szCs w:val="18"/>
                <w:lang w:val="en-US"/>
              </w:rPr>
              <w:t>2.3</w:t>
            </w:r>
          </w:p>
        </w:tc>
        <w:tc>
          <w:tcPr>
            <w:tcW w:w="1182" w:type="pct"/>
            <w:shd w:val="clear" w:color="auto" w:fill="auto"/>
            <w:vAlign w:val="center"/>
            <w:hideMark/>
          </w:tcPr>
          <w:p w14:paraId="74E59E8B" w14:textId="77777777" w:rsidR="00207C19" w:rsidRPr="00B0658A" w:rsidRDefault="00207C19" w:rsidP="00E766E3">
            <w:pPr>
              <w:spacing w:after="0" w:line="240" w:lineRule="auto"/>
              <w:rPr>
                <w:rFonts w:ascii="Times New Roman" w:hAnsi="Times New Roman"/>
                <w:sz w:val="18"/>
                <w:szCs w:val="18"/>
              </w:rPr>
            </w:pPr>
            <w:r w:rsidRPr="00B0658A">
              <w:rPr>
                <w:rFonts w:ascii="Times New Roman" w:hAnsi="Times New Roman"/>
                <w:sz w:val="18"/>
                <w:szCs w:val="18"/>
              </w:rPr>
              <w:t>Средства обеспечения облачных и распределенных вычислений</w:t>
            </w:r>
          </w:p>
        </w:tc>
        <w:tc>
          <w:tcPr>
            <w:tcW w:w="898" w:type="pct"/>
            <w:shd w:val="clear" w:color="000000" w:fill="FFFFFF"/>
            <w:hideMark/>
          </w:tcPr>
          <w:p w14:paraId="280023D9" w14:textId="77777777" w:rsidR="00207C19" w:rsidRPr="00B0658A" w:rsidRDefault="00207C19" w:rsidP="00E766E3">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7" w:type="pct"/>
            <w:shd w:val="clear" w:color="000000" w:fill="FFFFFF"/>
            <w:vAlign w:val="center"/>
          </w:tcPr>
          <w:p w14:paraId="286BFE4C"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rPr>
              <w:t>20%</w:t>
            </w:r>
          </w:p>
        </w:tc>
        <w:tc>
          <w:tcPr>
            <w:tcW w:w="367" w:type="pct"/>
            <w:shd w:val="clear" w:color="000000" w:fill="FFFFFF"/>
            <w:vAlign w:val="center"/>
          </w:tcPr>
          <w:p w14:paraId="52076181"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rPr>
              <w:t>30%</w:t>
            </w:r>
          </w:p>
        </w:tc>
        <w:tc>
          <w:tcPr>
            <w:tcW w:w="367" w:type="pct"/>
            <w:shd w:val="clear" w:color="000000" w:fill="FFFFFF"/>
            <w:vAlign w:val="center"/>
          </w:tcPr>
          <w:p w14:paraId="00347F0A"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rPr>
              <w:t>45%</w:t>
            </w:r>
          </w:p>
        </w:tc>
        <w:tc>
          <w:tcPr>
            <w:tcW w:w="379" w:type="pct"/>
            <w:shd w:val="clear" w:color="000000" w:fill="FFFFFF"/>
            <w:vAlign w:val="center"/>
          </w:tcPr>
          <w:p w14:paraId="78FA48B1"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7" w:type="pct"/>
            <w:shd w:val="clear" w:color="000000" w:fill="FFFFFF"/>
            <w:vAlign w:val="center"/>
          </w:tcPr>
          <w:p w14:paraId="34C3B8FF"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rPr>
              <w:t>70%</w:t>
            </w:r>
          </w:p>
        </w:tc>
        <w:tc>
          <w:tcPr>
            <w:tcW w:w="367" w:type="pct"/>
            <w:shd w:val="clear" w:color="000000" w:fill="FFFFFF"/>
            <w:vAlign w:val="center"/>
          </w:tcPr>
          <w:p w14:paraId="539CD8E4"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rPr>
              <w:t>90%</w:t>
            </w:r>
          </w:p>
        </w:tc>
        <w:tc>
          <w:tcPr>
            <w:tcW w:w="364" w:type="pct"/>
            <w:shd w:val="clear" w:color="000000" w:fill="FFFFFF"/>
            <w:vAlign w:val="center"/>
          </w:tcPr>
          <w:p w14:paraId="43397CE4"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207C19" w:rsidRPr="00B0658A" w14:paraId="11D8743E" w14:textId="77777777" w:rsidTr="00FE71B1">
        <w:trPr>
          <w:trHeight w:val="20"/>
        </w:trPr>
        <w:tc>
          <w:tcPr>
            <w:tcW w:w="342" w:type="pct"/>
            <w:shd w:val="clear" w:color="000000" w:fill="FFFFFF"/>
            <w:vAlign w:val="center"/>
          </w:tcPr>
          <w:p w14:paraId="3469EBCF" w14:textId="77777777" w:rsidR="00207C19" w:rsidRPr="00B0658A" w:rsidRDefault="00207C19" w:rsidP="00FE71B1">
            <w:pPr>
              <w:spacing w:after="0" w:line="240" w:lineRule="auto"/>
              <w:jc w:val="center"/>
              <w:rPr>
                <w:rFonts w:ascii="Times New Roman" w:hAnsi="Times New Roman"/>
                <w:sz w:val="18"/>
                <w:szCs w:val="18"/>
              </w:rPr>
            </w:pPr>
            <w:r w:rsidRPr="00B0658A">
              <w:rPr>
                <w:rFonts w:ascii="Times New Roman" w:hAnsi="Times New Roman"/>
                <w:sz w:val="18"/>
                <w:szCs w:val="18"/>
              </w:rPr>
              <w:t>2.4</w:t>
            </w:r>
          </w:p>
        </w:tc>
        <w:tc>
          <w:tcPr>
            <w:tcW w:w="1182" w:type="pct"/>
            <w:shd w:val="clear" w:color="auto" w:fill="auto"/>
            <w:vAlign w:val="center"/>
            <w:hideMark/>
          </w:tcPr>
          <w:p w14:paraId="5E88338C" w14:textId="77777777" w:rsidR="00207C19" w:rsidRPr="00B0658A" w:rsidRDefault="00207C19" w:rsidP="00E766E3">
            <w:pPr>
              <w:spacing w:after="0" w:line="240" w:lineRule="auto"/>
              <w:rPr>
                <w:rFonts w:ascii="Times New Roman" w:hAnsi="Times New Roman"/>
                <w:sz w:val="18"/>
                <w:szCs w:val="18"/>
              </w:rPr>
            </w:pPr>
            <w:r w:rsidRPr="00B0658A">
              <w:rPr>
                <w:rFonts w:ascii="Times New Roman" w:hAnsi="Times New Roman"/>
                <w:sz w:val="18"/>
                <w:szCs w:val="18"/>
              </w:rPr>
              <w:t>Системное программное обеспечение / Средства виртуализации</w:t>
            </w:r>
          </w:p>
        </w:tc>
        <w:tc>
          <w:tcPr>
            <w:tcW w:w="898" w:type="pct"/>
            <w:shd w:val="clear" w:color="000000" w:fill="FFFFFF"/>
            <w:hideMark/>
          </w:tcPr>
          <w:p w14:paraId="2A2E6969" w14:textId="77777777" w:rsidR="00207C19" w:rsidRPr="00B0658A" w:rsidRDefault="00207C19" w:rsidP="00E766E3">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7" w:type="pct"/>
            <w:shd w:val="clear" w:color="000000" w:fill="FFFFFF"/>
            <w:vAlign w:val="center"/>
          </w:tcPr>
          <w:p w14:paraId="518EBC08"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rPr>
              <w:t>30%</w:t>
            </w:r>
          </w:p>
        </w:tc>
        <w:tc>
          <w:tcPr>
            <w:tcW w:w="367" w:type="pct"/>
            <w:shd w:val="clear" w:color="000000" w:fill="FFFFFF"/>
            <w:vAlign w:val="center"/>
          </w:tcPr>
          <w:p w14:paraId="6BD06568"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rPr>
              <w:t>40%</w:t>
            </w:r>
          </w:p>
        </w:tc>
        <w:tc>
          <w:tcPr>
            <w:tcW w:w="367" w:type="pct"/>
            <w:shd w:val="clear" w:color="000000" w:fill="FFFFFF"/>
            <w:vAlign w:val="center"/>
          </w:tcPr>
          <w:p w14:paraId="34CF3334"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rPr>
              <w:t>55%</w:t>
            </w:r>
          </w:p>
        </w:tc>
        <w:tc>
          <w:tcPr>
            <w:tcW w:w="379" w:type="pct"/>
            <w:shd w:val="clear" w:color="000000" w:fill="FFFFFF"/>
            <w:vAlign w:val="center"/>
          </w:tcPr>
          <w:p w14:paraId="0BEC2570"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7" w:type="pct"/>
            <w:shd w:val="clear" w:color="000000" w:fill="FFFFFF"/>
            <w:vAlign w:val="center"/>
          </w:tcPr>
          <w:p w14:paraId="7D650177"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rPr>
              <w:t>70%</w:t>
            </w:r>
          </w:p>
        </w:tc>
        <w:tc>
          <w:tcPr>
            <w:tcW w:w="367" w:type="pct"/>
            <w:shd w:val="clear" w:color="000000" w:fill="FFFFFF"/>
            <w:vAlign w:val="center"/>
          </w:tcPr>
          <w:p w14:paraId="26F632E2"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rPr>
              <w:t>85%</w:t>
            </w:r>
          </w:p>
        </w:tc>
        <w:tc>
          <w:tcPr>
            <w:tcW w:w="364" w:type="pct"/>
            <w:shd w:val="clear" w:color="000000" w:fill="FFFFFF"/>
            <w:vAlign w:val="center"/>
          </w:tcPr>
          <w:p w14:paraId="4E0ADD4B"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207C19" w:rsidRPr="00B0658A" w14:paraId="6C0434B1" w14:textId="77777777" w:rsidTr="00FE71B1">
        <w:trPr>
          <w:trHeight w:val="20"/>
        </w:trPr>
        <w:tc>
          <w:tcPr>
            <w:tcW w:w="342" w:type="pct"/>
            <w:shd w:val="clear" w:color="000000" w:fill="FFFFFF"/>
            <w:vAlign w:val="center"/>
          </w:tcPr>
          <w:p w14:paraId="37F03AE0" w14:textId="77777777" w:rsidR="00207C19" w:rsidRPr="00B0658A" w:rsidRDefault="00207C19" w:rsidP="00FE71B1">
            <w:pPr>
              <w:spacing w:after="0" w:line="240" w:lineRule="auto"/>
              <w:jc w:val="center"/>
              <w:rPr>
                <w:rFonts w:ascii="Times New Roman" w:hAnsi="Times New Roman"/>
                <w:sz w:val="18"/>
                <w:szCs w:val="18"/>
              </w:rPr>
            </w:pPr>
            <w:r w:rsidRPr="00B0658A">
              <w:rPr>
                <w:rFonts w:ascii="Times New Roman" w:hAnsi="Times New Roman"/>
                <w:sz w:val="18"/>
                <w:szCs w:val="18"/>
              </w:rPr>
              <w:t>2.5</w:t>
            </w:r>
          </w:p>
        </w:tc>
        <w:tc>
          <w:tcPr>
            <w:tcW w:w="1182" w:type="pct"/>
            <w:shd w:val="clear" w:color="auto" w:fill="auto"/>
            <w:vAlign w:val="center"/>
            <w:hideMark/>
          </w:tcPr>
          <w:p w14:paraId="160F80BD" w14:textId="77777777" w:rsidR="00207C19" w:rsidRPr="00B0658A" w:rsidRDefault="00207C19" w:rsidP="00E766E3">
            <w:pPr>
              <w:spacing w:after="0" w:line="240" w:lineRule="auto"/>
              <w:rPr>
                <w:rFonts w:ascii="Times New Roman" w:hAnsi="Times New Roman"/>
                <w:sz w:val="18"/>
                <w:szCs w:val="18"/>
              </w:rPr>
            </w:pPr>
            <w:r w:rsidRPr="00B0658A">
              <w:rPr>
                <w:rFonts w:ascii="Times New Roman" w:hAnsi="Times New Roman"/>
                <w:sz w:val="18"/>
                <w:szCs w:val="18"/>
              </w:rPr>
              <w:t>Системное программное обеспечение/ Средства хранения данных</w:t>
            </w:r>
          </w:p>
        </w:tc>
        <w:tc>
          <w:tcPr>
            <w:tcW w:w="898" w:type="pct"/>
            <w:shd w:val="clear" w:color="000000" w:fill="FFFFFF"/>
            <w:hideMark/>
          </w:tcPr>
          <w:p w14:paraId="6BCA9292" w14:textId="77777777" w:rsidR="00207C19" w:rsidRPr="00B0658A" w:rsidRDefault="00207C19" w:rsidP="00E766E3">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7" w:type="pct"/>
            <w:shd w:val="clear" w:color="000000" w:fill="FFFFFF"/>
            <w:vAlign w:val="center"/>
          </w:tcPr>
          <w:p w14:paraId="5565E8EB"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rPr>
              <w:t>20%</w:t>
            </w:r>
          </w:p>
        </w:tc>
        <w:tc>
          <w:tcPr>
            <w:tcW w:w="367" w:type="pct"/>
            <w:shd w:val="clear" w:color="000000" w:fill="FFFFFF"/>
            <w:vAlign w:val="center"/>
          </w:tcPr>
          <w:p w14:paraId="41A55F34"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rPr>
              <w:t>30%</w:t>
            </w:r>
          </w:p>
        </w:tc>
        <w:tc>
          <w:tcPr>
            <w:tcW w:w="367" w:type="pct"/>
            <w:shd w:val="clear" w:color="000000" w:fill="FFFFFF"/>
            <w:vAlign w:val="center"/>
          </w:tcPr>
          <w:p w14:paraId="004233F2"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rPr>
              <w:t>45%</w:t>
            </w:r>
          </w:p>
        </w:tc>
        <w:tc>
          <w:tcPr>
            <w:tcW w:w="379" w:type="pct"/>
            <w:shd w:val="clear" w:color="000000" w:fill="FFFFFF"/>
            <w:vAlign w:val="center"/>
          </w:tcPr>
          <w:p w14:paraId="06CF8D87"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7" w:type="pct"/>
            <w:shd w:val="clear" w:color="000000" w:fill="FFFFFF"/>
            <w:vAlign w:val="center"/>
          </w:tcPr>
          <w:p w14:paraId="637539E0"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rPr>
              <w:t>70%</w:t>
            </w:r>
          </w:p>
        </w:tc>
        <w:tc>
          <w:tcPr>
            <w:tcW w:w="367" w:type="pct"/>
            <w:shd w:val="clear" w:color="000000" w:fill="FFFFFF"/>
            <w:vAlign w:val="center"/>
          </w:tcPr>
          <w:p w14:paraId="233A39AF"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rPr>
              <w:t>90%</w:t>
            </w:r>
          </w:p>
        </w:tc>
        <w:tc>
          <w:tcPr>
            <w:tcW w:w="364" w:type="pct"/>
            <w:shd w:val="clear" w:color="000000" w:fill="FFFFFF"/>
            <w:vAlign w:val="center"/>
          </w:tcPr>
          <w:p w14:paraId="0BC3A7AC"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207C19" w:rsidRPr="00B0658A" w14:paraId="0239FB1D" w14:textId="77777777" w:rsidTr="00FE71B1">
        <w:trPr>
          <w:trHeight w:val="20"/>
        </w:trPr>
        <w:tc>
          <w:tcPr>
            <w:tcW w:w="342" w:type="pct"/>
            <w:shd w:val="clear" w:color="000000" w:fill="FFFFFF"/>
            <w:vAlign w:val="center"/>
          </w:tcPr>
          <w:p w14:paraId="786667E1" w14:textId="77777777" w:rsidR="00207C19" w:rsidRPr="00B0658A" w:rsidRDefault="00207C19" w:rsidP="00FE71B1">
            <w:pPr>
              <w:spacing w:after="0" w:line="240" w:lineRule="auto"/>
              <w:jc w:val="center"/>
              <w:rPr>
                <w:rFonts w:ascii="Times New Roman" w:hAnsi="Times New Roman"/>
                <w:sz w:val="18"/>
                <w:szCs w:val="18"/>
              </w:rPr>
            </w:pPr>
            <w:r w:rsidRPr="00B0658A">
              <w:rPr>
                <w:rFonts w:ascii="Times New Roman" w:hAnsi="Times New Roman"/>
                <w:sz w:val="18"/>
                <w:szCs w:val="18"/>
              </w:rPr>
              <w:t>2.6</w:t>
            </w:r>
          </w:p>
        </w:tc>
        <w:tc>
          <w:tcPr>
            <w:tcW w:w="1182" w:type="pct"/>
            <w:shd w:val="clear" w:color="auto" w:fill="auto"/>
            <w:vAlign w:val="center"/>
            <w:hideMark/>
          </w:tcPr>
          <w:p w14:paraId="0BAC0D11" w14:textId="77777777" w:rsidR="00207C19" w:rsidRPr="00B0658A" w:rsidRDefault="00207C19" w:rsidP="00E766E3">
            <w:pPr>
              <w:spacing w:after="0" w:line="240" w:lineRule="auto"/>
              <w:rPr>
                <w:rFonts w:ascii="Times New Roman" w:hAnsi="Times New Roman"/>
                <w:sz w:val="18"/>
                <w:szCs w:val="18"/>
              </w:rPr>
            </w:pPr>
            <w:r w:rsidRPr="00B0658A">
              <w:rPr>
                <w:rFonts w:ascii="Times New Roman" w:hAnsi="Times New Roman"/>
                <w:sz w:val="18"/>
                <w:szCs w:val="18"/>
              </w:rPr>
              <w:t>Системное программное обеспечение / Серверное и связующее программное обеспечение</w:t>
            </w:r>
          </w:p>
        </w:tc>
        <w:tc>
          <w:tcPr>
            <w:tcW w:w="898" w:type="pct"/>
            <w:shd w:val="clear" w:color="000000" w:fill="FFFFFF"/>
            <w:hideMark/>
          </w:tcPr>
          <w:p w14:paraId="627DEF0F" w14:textId="77777777" w:rsidR="00207C19" w:rsidRPr="00B0658A" w:rsidRDefault="00207C19" w:rsidP="00E766E3">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7" w:type="pct"/>
            <w:shd w:val="clear" w:color="000000" w:fill="FFFFFF"/>
            <w:vAlign w:val="center"/>
          </w:tcPr>
          <w:p w14:paraId="144900E6"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rPr>
              <w:t>20%</w:t>
            </w:r>
          </w:p>
        </w:tc>
        <w:tc>
          <w:tcPr>
            <w:tcW w:w="367" w:type="pct"/>
            <w:shd w:val="clear" w:color="000000" w:fill="FFFFFF"/>
            <w:vAlign w:val="center"/>
          </w:tcPr>
          <w:p w14:paraId="4FB420FD"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rPr>
              <w:t>30%</w:t>
            </w:r>
          </w:p>
        </w:tc>
        <w:tc>
          <w:tcPr>
            <w:tcW w:w="367" w:type="pct"/>
            <w:shd w:val="clear" w:color="000000" w:fill="FFFFFF"/>
            <w:vAlign w:val="center"/>
          </w:tcPr>
          <w:p w14:paraId="4C6274E8"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rPr>
              <w:t>45%</w:t>
            </w:r>
          </w:p>
        </w:tc>
        <w:tc>
          <w:tcPr>
            <w:tcW w:w="379" w:type="pct"/>
            <w:shd w:val="clear" w:color="000000" w:fill="FFFFFF"/>
            <w:vAlign w:val="center"/>
          </w:tcPr>
          <w:p w14:paraId="782BD0CE"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7" w:type="pct"/>
            <w:shd w:val="clear" w:color="000000" w:fill="FFFFFF"/>
            <w:vAlign w:val="center"/>
          </w:tcPr>
          <w:p w14:paraId="43F65796"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rPr>
              <w:t>70%</w:t>
            </w:r>
          </w:p>
        </w:tc>
        <w:tc>
          <w:tcPr>
            <w:tcW w:w="367" w:type="pct"/>
            <w:shd w:val="clear" w:color="000000" w:fill="FFFFFF"/>
            <w:vAlign w:val="center"/>
          </w:tcPr>
          <w:p w14:paraId="5C8AECEF"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rPr>
              <w:t>90%</w:t>
            </w:r>
          </w:p>
        </w:tc>
        <w:tc>
          <w:tcPr>
            <w:tcW w:w="364" w:type="pct"/>
            <w:shd w:val="clear" w:color="000000" w:fill="FFFFFF"/>
            <w:vAlign w:val="center"/>
          </w:tcPr>
          <w:p w14:paraId="58B065B0"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207C19" w:rsidRPr="00B0658A" w14:paraId="44DBECCA" w14:textId="77777777" w:rsidTr="00FE71B1">
        <w:trPr>
          <w:trHeight w:val="20"/>
        </w:trPr>
        <w:tc>
          <w:tcPr>
            <w:tcW w:w="342" w:type="pct"/>
            <w:shd w:val="clear" w:color="000000" w:fill="FFFFFF"/>
            <w:vAlign w:val="center"/>
          </w:tcPr>
          <w:p w14:paraId="056349C7" w14:textId="77777777" w:rsidR="00207C19" w:rsidRPr="00B0658A" w:rsidRDefault="00207C19" w:rsidP="00FE71B1">
            <w:pPr>
              <w:spacing w:after="0" w:line="240" w:lineRule="auto"/>
              <w:jc w:val="center"/>
              <w:rPr>
                <w:rFonts w:ascii="Times New Roman" w:hAnsi="Times New Roman"/>
                <w:sz w:val="18"/>
                <w:szCs w:val="18"/>
              </w:rPr>
            </w:pPr>
            <w:r w:rsidRPr="00B0658A">
              <w:rPr>
                <w:rFonts w:ascii="Times New Roman" w:hAnsi="Times New Roman"/>
                <w:sz w:val="18"/>
                <w:szCs w:val="18"/>
              </w:rPr>
              <w:t>2.7</w:t>
            </w:r>
          </w:p>
        </w:tc>
        <w:tc>
          <w:tcPr>
            <w:tcW w:w="1182" w:type="pct"/>
            <w:shd w:val="clear" w:color="auto" w:fill="auto"/>
            <w:vAlign w:val="center"/>
            <w:hideMark/>
          </w:tcPr>
          <w:p w14:paraId="4D11FA49" w14:textId="77777777" w:rsidR="00207C19" w:rsidRPr="00B0658A" w:rsidRDefault="00207C19" w:rsidP="00E766E3">
            <w:pPr>
              <w:spacing w:after="0" w:line="240" w:lineRule="auto"/>
              <w:rPr>
                <w:rFonts w:ascii="Times New Roman" w:hAnsi="Times New Roman"/>
                <w:sz w:val="18"/>
                <w:szCs w:val="18"/>
              </w:rPr>
            </w:pPr>
            <w:r w:rsidRPr="00B0658A">
              <w:rPr>
                <w:rFonts w:ascii="Times New Roman" w:hAnsi="Times New Roman"/>
                <w:sz w:val="18"/>
                <w:szCs w:val="18"/>
              </w:rPr>
              <w:t>Системное программное обеспечение/ Средства управления базами данных</w:t>
            </w:r>
          </w:p>
        </w:tc>
        <w:tc>
          <w:tcPr>
            <w:tcW w:w="898" w:type="pct"/>
            <w:shd w:val="clear" w:color="000000" w:fill="FFFFFF"/>
            <w:hideMark/>
          </w:tcPr>
          <w:p w14:paraId="45BBACAF" w14:textId="77777777" w:rsidR="00207C19" w:rsidRPr="00B0658A" w:rsidRDefault="00207C19" w:rsidP="00E766E3">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7" w:type="pct"/>
            <w:shd w:val="clear" w:color="auto" w:fill="auto"/>
            <w:vAlign w:val="center"/>
          </w:tcPr>
          <w:p w14:paraId="4BDC8EE3"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rPr>
              <w:t>25%</w:t>
            </w:r>
          </w:p>
        </w:tc>
        <w:tc>
          <w:tcPr>
            <w:tcW w:w="367" w:type="pct"/>
            <w:shd w:val="clear" w:color="auto" w:fill="auto"/>
            <w:vAlign w:val="center"/>
          </w:tcPr>
          <w:p w14:paraId="67628815"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rPr>
              <w:t>40%</w:t>
            </w:r>
          </w:p>
        </w:tc>
        <w:tc>
          <w:tcPr>
            <w:tcW w:w="367" w:type="pct"/>
            <w:shd w:val="clear" w:color="auto" w:fill="auto"/>
            <w:vAlign w:val="center"/>
          </w:tcPr>
          <w:p w14:paraId="4A0B83DE"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rPr>
              <w:t>60%</w:t>
            </w:r>
          </w:p>
        </w:tc>
        <w:tc>
          <w:tcPr>
            <w:tcW w:w="379" w:type="pct"/>
            <w:vAlign w:val="center"/>
          </w:tcPr>
          <w:p w14:paraId="36CEA741"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7" w:type="pct"/>
            <w:shd w:val="clear" w:color="auto" w:fill="auto"/>
            <w:vAlign w:val="center"/>
          </w:tcPr>
          <w:p w14:paraId="30F326A8"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rPr>
              <w:t>75%</w:t>
            </w:r>
          </w:p>
        </w:tc>
        <w:tc>
          <w:tcPr>
            <w:tcW w:w="367" w:type="pct"/>
            <w:shd w:val="clear" w:color="auto" w:fill="auto"/>
            <w:vAlign w:val="center"/>
          </w:tcPr>
          <w:p w14:paraId="7B1EBDCA"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rPr>
              <w:t>85%</w:t>
            </w:r>
          </w:p>
        </w:tc>
        <w:tc>
          <w:tcPr>
            <w:tcW w:w="364" w:type="pct"/>
            <w:shd w:val="clear" w:color="auto" w:fill="auto"/>
            <w:vAlign w:val="center"/>
          </w:tcPr>
          <w:p w14:paraId="6563E884"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207C19" w:rsidRPr="00B0658A" w14:paraId="6FB601FE" w14:textId="77777777" w:rsidTr="00FE71B1">
        <w:trPr>
          <w:trHeight w:val="20"/>
        </w:trPr>
        <w:tc>
          <w:tcPr>
            <w:tcW w:w="342" w:type="pct"/>
            <w:shd w:val="clear" w:color="000000" w:fill="FFFFFF"/>
            <w:vAlign w:val="center"/>
          </w:tcPr>
          <w:p w14:paraId="4417DD3F" w14:textId="77777777" w:rsidR="00207C19" w:rsidRPr="00B0658A" w:rsidRDefault="00207C19" w:rsidP="00FE71B1">
            <w:pPr>
              <w:spacing w:after="0" w:line="240" w:lineRule="auto"/>
              <w:jc w:val="center"/>
              <w:rPr>
                <w:rFonts w:ascii="Times New Roman" w:hAnsi="Times New Roman"/>
                <w:sz w:val="18"/>
                <w:szCs w:val="18"/>
              </w:rPr>
            </w:pPr>
            <w:r w:rsidRPr="00B0658A">
              <w:rPr>
                <w:rFonts w:ascii="Times New Roman" w:hAnsi="Times New Roman"/>
                <w:sz w:val="18"/>
                <w:szCs w:val="18"/>
              </w:rPr>
              <w:t>2.8</w:t>
            </w:r>
          </w:p>
        </w:tc>
        <w:tc>
          <w:tcPr>
            <w:tcW w:w="1182" w:type="pct"/>
            <w:shd w:val="clear" w:color="auto" w:fill="auto"/>
            <w:vAlign w:val="center"/>
            <w:hideMark/>
          </w:tcPr>
          <w:p w14:paraId="628F87E3" w14:textId="77777777" w:rsidR="00207C19" w:rsidRPr="00B0658A" w:rsidRDefault="00207C19" w:rsidP="00E766E3">
            <w:pPr>
              <w:spacing w:after="0" w:line="240" w:lineRule="auto"/>
              <w:rPr>
                <w:rFonts w:ascii="Times New Roman" w:hAnsi="Times New Roman"/>
                <w:sz w:val="18"/>
                <w:szCs w:val="18"/>
              </w:rPr>
            </w:pPr>
            <w:r w:rsidRPr="00B0658A">
              <w:rPr>
                <w:rFonts w:ascii="Times New Roman" w:hAnsi="Times New Roman"/>
                <w:sz w:val="18"/>
                <w:szCs w:val="18"/>
              </w:rPr>
              <w:t>Системное программное обеспечение/ Средства мониторинга и управления</w:t>
            </w:r>
          </w:p>
        </w:tc>
        <w:tc>
          <w:tcPr>
            <w:tcW w:w="898" w:type="pct"/>
            <w:shd w:val="clear" w:color="000000" w:fill="FFFFFF"/>
            <w:hideMark/>
          </w:tcPr>
          <w:p w14:paraId="375CECAD" w14:textId="77777777" w:rsidR="00207C19" w:rsidRPr="00B0658A" w:rsidRDefault="00207C19" w:rsidP="00E766E3">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7" w:type="pct"/>
            <w:shd w:val="clear" w:color="auto" w:fill="auto"/>
            <w:vAlign w:val="center"/>
          </w:tcPr>
          <w:p w14:paraId="02F08131"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rPr>
              <w:t>20%</w:t>
            </w:r>
          </w:p>
        </w:tc>
        <w:tc>
          <w:tcPr>
            <w:tcW w:w="367" w:type="pct"/>
            <w:shd w:val="clear" w:color="auto" w:fill="auto"/>
            <w:vAlign w:val="center"/>
          </w:tcPr>
          <w:p w14:paraId="5F98EE32"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rPr>
              <w:t>30%</w:t>
            </w:r>
          </w:p>
        </w:tc>
        <w:tc>
          <w:tcPr>
            <w:tcW w:w="367" w:type="pct"/>
            <w:shd w:val="clear" w:color="auto" w:fill="auto"/>
            <w:vAlign w:val="center"/>
          </w:tcPr>
          <w:p w14:paraId="08F6D341"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rPr>
              <w:t>50%</w:t>
            </w:r>
          </w:p>
        </w:tc>
        <w:tc>
          <w:tcPr>
            <w:tcW w:w="379" w:type="pct"/>
            <w:vAlign w:val="center"/>
          </w:tcPr>
          <w:p w14:paraId="00131BFD"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7" w:type="pct"/>
            <w:shd w:val="clear" w:color="auto" w:fill="auto"/>
            <w:vAlign w:val="center"/>
          </w:tcPr>
          <w:p w14:paraId="7825754D"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rPr>
              <w:t>70%</w:t>
            </w:r>
          </w:p>
        </w:tc>
        <w:tc>
          <w:tcPr>
            <w:tcW w:w="367" w:type="pct"/>
            <w:shd w:val="clear" w:color="auto" w:fill="auto"/>
            <w:vAlign w:val="center"/>
          </w:tcPr>
          <w:p w14:paraId="5011F43F"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rPr>
              <w:t>90%</w:t>
            </w:r>
          </w:p>
        </w:tc>
        <w:tc>
          <w:tcPr>
            <w:tcW w:w="364" w:type="pct"/>
            <w:shd w:val="clear" w:color="auto" w:fill="auto"/>
            <w:vAlign w:val="center"/>
          </w:tcPr>
          <w:p w14:paraId="5BD4044E"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207C19" w:rsidRPr="00B0658A" w14:paraId="0F2196AB" w14:textId="77777777" w:rsidTr="00FE71B1">
        <w:trPr>
          <w:trHeight w:val="20"/>
        </w:trPr>
        <w:tc>
          <w:tcPr>
            <w:tcW w:w="342" w:type="pct"/>
            <w:shd w:val="clear" w:color="auto" w:fill="auto"/>
            <w:vAlign w:val="center"/>
          </w:tcPr>
          <w:p w14:paraId="34776F6D" w14:textId="77777777" w:rsidR="00207C19" w:rsidRPr="00B0658A" w:rsidRDefault="00207C19" w:rsidP="00FE71B1">
            <w:pPr>
              <w:spacing w:after="0" w:line="240" w:lineRule="auto"/>
              <w:jc w:val="center"/>
              <w:rPr>
                <w:rFonts w:ascii="Times New Roman" w:hAnsi="Times New Roman"/>
                <w:sz w:val="18"/>
                <w:szCs w:val="18"/>
              </w:rPr>
            </w:pPr>
            <w:r w:rsidRPr="00B0658A">
              <w:rPr>
                <w:rFonts w:ascii="Times New Roman" w:hAnsi="Times New Roman"/>
                <w:sz w:val="18"/>
                <w:szCs w:val="18"/>
              </w:rPr>
              <w:t>2.9</w:t>
            </w:r>
          </w:p>
        </w:tc>
        <w:tc>
          <w:tcPr>
            <w:tcW w:w="1182" w:type="pct"/>
            <w:shd w:val="clear" w:color="auto" w:fill="auto"/>
            <w:vAlign w:val="center"/>
            <w:hideMark/>
          </w:tcPr>
          <w:p w14:paraId="64FA6FB4" w14:textId="77777777" w:rsidR="00207C19" w:rsidRPr="00B0658A" w:rsidRDefault="00207C19" w:rsidP="00E766E3">
            <w:pPr>
              <w:spacing w:after="0" w:line="240" w:lineRule="auto"/>
              <w:rPr>
                <w:rFonts w:ascii="Times New Roman" w:hAnsi="Times New Roman"/>
                <w:sz w:val="18"/>
                <w:szCs w:val="18"/>
              </w:rPr>
            </w:pPr>
            <w:r w:rsidRPr="00B0658A">
              <w:rPr>
                <w:rFonts w:ascii="Times New Roman" w:hAnsi="Times New Roman"/>
                <w:sz w:val="18"/>
                <w:szCs w:val="18"/>
              </w:rPr>
              <w:t>Системное программное обеспечение/ Операционные системы общего назначения</w:t>
            </w:r>
          </w:p>
        </w:tc>
        <w:tc>
          <w:tcPr>
            <w:tcW w:w="898" w:type="pct"/>
            <w:shd w:val="clear" w:color="000000" w:fill="FFFFFF"/>
            <w:hideMark/>
          </w:tcPr>
          <w:p w14:paraId="769C34B0" w14:textId="77777777" w:rsidR="00207C19" w:rsidRPr="00B0658A" w:rsidRDefault="00207C19" w:rsidP="00E766E3">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7" w:type="pct"/>
            <w:shd w:val="clear" w:color="auto" w:fill="auto"/>
            <w:vAlign w:val="center"/>
          </w:tcPr>
          <w:p w14:paraId="619E3E25" w14:textId="3726448D"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rPr>
              <w:t>50%</w:t>
            </w:r>
          </w:p>
        </w:tc>
        <w:tc>
          <w:tcPr>
            <w:tcW w:w="367" w:type="pct"/>
            <w:shd w:val="clear" w:color="auto" w:fill="auto"/>
            <w:vAlign w:val="center"/>
          </w:tcPr>
          <w:p w14:paraId="0EC2F52D" w14:textId="5220B4D5" w:rsidR="00207C19" w:rsidRPr="00EC74A7"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rPr>
              <w:t>65</w:t>
            </w:r>
            <w:r w:rsidRPr="00B0658A">
              <w:rPr>
                <w:rFonts w:ascii="Times New Roman" w:hAnsi="Times New Roman"/>
                <w:sz w:val="18"/>
                <w:szCs w:val="18"/>
                <w:lang w:val="en-US"/>
              </w:rPr>
              <w:t>%</w:t>
            </w:r>
          </w:p>
        </w:tc>
        <w:tc>
          <w:tcPr>
            <w:tcW w:w="367" w:type="pct"/>
            <w:shd w:val="clear" w:color="auto" w:fill="auto"/>
            <w:vAlign w:val="center"/>
          </w:tcPr>
          <w:p w14:paraId="684469C1" w14:textId="4BC62087" w:rsidR="00207C19" w:rsidRPr="00EC74A7"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rPr>
              <w:t>80</w:t>
            </w:r>
            <w:r w:rsidRPr="00B0658A">
              <w:rPr>
                <w:rFonts w:ascii="Times New Roman" w:hAnsi="Times New Roman"/>
                <w:sz w:val="18"/>
                <w:szCs w:val="18"/>
                <w:lang w:val="en-US"/>
              </w:rPr>
              <w:t>%</w:t>
            </w:r>
          </w:p>
        </w:tc>
        <w:tc>
          <w:tcPr>
            <w:tcW w:w="379" w:type="pct"/>
            <w:vAlign w:val="center"/>
          </w:tcPr>
          <w:p w14:paraId="239A09FA"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7" w:type="pct"/>
            <w:shd w:val="clear" w:color="auto" w:fill="auto"/>
            <w:vAlign w:val="center"/>
          </w:tcPr>
          <w:p w14:paraId="677D6EC5" w14:textId="77777777" w:rsidR="00207C19" w:rsidRPr="00B0658A" w:rsidRDefault="00207C19" w:rsidP="00E766E3">
            <w:pPr>
              <w:spacing w:after="0" w:line="240" w:lineRule="auto"/>
              <w:jc w:val="center"/>
              <w:rPr>
                <w:rFonts w:ascii="Times New Roman" w:hAnsi="Times New Roman"/>
                <w:sz w:val="18"/>
                <w:szCs w:val="18"/>
              </w:rPr>
            </w:pPr>
            <w:r>
              <w:rPr>
                <w:rFonts w:ascii="Times New Roman" w:hAnsi="Times New Roman"/>
                <w:sz w:val="18"/>
                <w:szCs w:val="18"/>
              </w:rPr>
              <w:t>100</w:t>
            </w:r>
            <w:r w:rsidRPr="00B0658A">
              <w:rPr>
                <w:rFonts w:ascii="Times New Roman" w:hAnsi="Times New Roman"/>
                <w:sz w:val="18"/>
                <w:szCs w:val="18"/>
                <w:lang w:val="en-US"/>
              </w:rPr>
              <w:t>%</w:t>
            </w:r>
          </w:p>
        </w:tc>
        <w:tc>
          <w:tcPr>
            <w:tcW w:w="367" w:type="pct"/>
            <w:shd w:val="clear" w:color="auto" w:fill="auto"/>
            <w:vAlign w:val="center"/>
          </w:tcPr>
          <w:p w14:paraId="520F6930"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rPr>
              <w:t>100</w:t>
            </w:r>
            <w:r w:rsidRPr="00B0658A">
              <w:rPr>
                <w:rFonts w:ascii="Times New Roman" w:hAnsi="Times New Roman"/>
                <w:sz w:val="18"/>
                <w:szCs w:val="18"/>
                <w:lang w:val="en-US"/>
              </w:rPr>
              <w:t>%</w:t>
            </w:r>
          </w:p>
        </w:tc>
        <w:tc>
          <w:tcPr>
            <w:tcW w:w="364" w:type="pct"/>
            <w:shd w:val="clear" w:color="auto" w:fill="auto"/>
            <w:vAlign w:val="center"/>
          </w:tcPr>
          <w:p w14:paraId="34432650"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rPr>
              <w:t>100</w:t>
            </w:r>
            <w:r w:rsidRPr="00B0658A">
              <w:rPr>
                <w:rFonts w:ascii="Times New Roman" w:hAnsi="Times New Roman"/>
                <w:sz w:val="18"/>
                <w:szCs w:val="18"/>
                <w:lang w:val="en-US"/>
              </w:rPr>
              <w:t>%</w:t>
            </w:r>
          </w:p>
        </w:tc>
      </w:tr>
      <w:tr w:rsidR="00207C19" w:rsidRPr="00B0658A" w14:paraId="5A728375" w14:textId="77777777" w:rsidTr="00FE71B1">
        <w:trPr>
          <w:trHeight w:val="20"/>
        </w:trPr>
        <w:tc>
          <w:tcPr>
            <w:tcW w:w="342" w:type="pct"/>
            <w:shd w:val="clear" w:color="000000" w:fill="FFFFFF"/>
            <w:vAlign w:val="center"/>
          </w:tcPr>
          <w:p w14:paraId="169DDC2A" w14:textId="77777777" w:rsidR="00207C19" w:rsidRPr="00B0658A" w:rsidRDefault="00207C19" w:rsidP="00FE71B1">
            <w:pPr>
              <w:spacing w:after="0" w:line="240" w:lineRule="auto"/>
              <w:jc w:val="center"/>
              <w:rPr>
                <w:rFonts w:ascii="Times New Roman" w:hAnsi="Times New Roman"/>
                <w:sz w:val="18"/>
                <w:szCs w:val="18"/>
              </w:rPr>
            </w:pPr>
            <w:r w:rsidRPr="00B0658A">
              <w:rPr>
                <w:rFonts w:ascii="Times New Roman" w:hAnsi="Times New Roman"/>
                <w:sz w:val="18"/>
                <w:szCs w:val="18"/>
              </w:rPr>
              <w:t>2.10</w:t>
            </w:r>
          </w:p>
        </w:tc>
        <w:tc>
          <w:tcPr>
            <w:tcW w:w="1182" w:type="pct"/>
            <w:shd w:val="clear" w:color="auto" w:fill="auto"/>
            <w:vAlign w:val="center"/>
            <w:hideMark/>
          </w:tcPr>
          <w:p w14:paraId="4113FA05" w14:textId="77777777" w:rsidR="00207C19" w:rsidRPr="00B0658A" w:rsidRDefault="00207C19" w:rsidP="00E766E3">
            <w:pPr>
              <w:spacing w:after="0" w:line="240" w:lineRule="auto"/>
              <w:rPr>
                <w:rFonts w:ascii="Times New Roman" w:hAnsi="Times New Roman"/>
                <w:sz w:val="18"/>
                <w:szCs w:val="18"/>
              </w:rPr>
            </w:pPr>
            <w:r w:rsidRPr="00B0658A">
              <w:rPr>
                <w:rFonts w:ascii="Times New Roman" w:hAnsi="Times New Roman"/>
                <w:sz w:val="18"/>
                <w:szCs w:val="18"/>
              </w:rPr>
              <w:t>Системное программное обеспечение/ Операционные системы реального времени</w:t>
            </w:r>
          </w:p>
        </w:tc>
        <w:tc>
          <w:tcPr>
            <w:tcW w:w="898" w:type="pct"/>
            <w:shd w:val="clear" w:color="000000" w:fill="FFFFFF"/>
            <w:hideMark/>
          </w:tcPr>
          <w:p w14:paraId="366B6596" w14:textId="77777777" w:rsidR="00207C19" w:rsidRPr="00B0658A" w:rsidRDefault="00207C19" w:rsidP="00E766E3">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7" w:type="pct"/>
            <w:shd w:val="clear" w:color="auto" w:fill="auto"/>
            <w:vAlign w:val="center"/>
          </w:tcPr>
          <w:p w14:paraId="5125082E"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rPr>
              <w:t>10%</w:t>
            </w:r>
          </w:p>
        </w:tc>
        <w:tc>
          <w:tcPr>
            <w:tcW w:w="367" w:type="pct"/>
            <w:shd w:val="clear" w:color="auto" w:fill="auto"/>
            <w:vAlign w:val="center"/>
          </w:tcPr>
          <w:p w14:paraId="14B79AA4"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rPr>
              <w:t>20%</w:t>
            </w:r>
          </w:p>
        </w:tc>
        <w:tc>
          <w:tcPr>
            <w:tcW w:w="367" w:type="pct"/>
            <w:shd w:val="clear" w:color="auto" w:fill="auto"/>
            <w:vAlign w:val="center"/>
          </w:tcPr>
          <w:p w14:paraId="62B43575"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rPr>
              <w:t>30%</w:t>
            </w:r>
          </w:p>
        </w:tc>
        <w:tc>
          <w:tcPr>
            <w:tcW w:w="379" w:type="pct"/>
            <w:vAlign w:val="center"/>
          </w:tcPr>
          <w:p w14:paraId="3673A5F7"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7" w:type="pct"/>
            <w:shd w:val="clear" w:color="auto" w:fill="auto"/>
            <w:vAlign w:val="center"/>
          </w:tcPr>
          <w:p w14:paraId="0DB2D41E"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rPr>
              <w:t>50%</w:t>
            </w:r>
          </w:p>
        </w:tc>
        <w:tc>
          <w:tcPr>
            <w:tcW w:w="367" w:type="pct"/>
            <w:shd w:val="clear" w:color="auto" w:fill="auto"/>
            <w:vAlign w:val="center"/>
          </w:tcPr>
          <w:p w14:paraId="20803F25"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rPr>
              <w:t>70%</w:t>
            </w:r>
          </w:p>
        </w:tc>
        <w:tc>
          <w:tcPr>
            <w:tcW w:w="364" w:type="pct"/>
            <w:shd w:val="clear" w:color="auto" w:fill="auto"/>
            <w:vAlign w:val="center"/>
          </w:tcPr>
          <w:p w14:paraId="7303236A"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207C19" w:rsidRPr="00B0658A" w14:paraId="1077130A" w14:textId="77777777" w:rsidTr="00FE71B1">
        <w:trPr>
          <w:trHeight w:val="20"/>
        </w:trPr>
        <w:tc>
          <w:tcPr>
            <w:tcW w:w="342" w:type="pct"/>
            <w:shd w:val="clear" w:color="000000" w:fill="FFFFFF"/>
            <w:vAlign w:val="center"/>
          </w:tcPr>
          <w:p w14:paraId="7629F358" w14:textId="77777777" w:rsidR="00207C19" w:rsidRPr="00B0658A" w:rsidRDefault="00207C19" w:rsidP="00FE71B1">
            <w:pPr>
              <w:spacing w:after="0" w:line="240" w:lineRule="auto"/>
              <w:jc w:val="center"/>
              <w:rPr>
                <w:rFonts w:ascii="Times New Roman" w:hAnsi="Times New Roman"/>
                <w:sz w:val="18"/>
                <w:szCs w:val="18"/>
              </w:rPr>
            </w:pPr>
            <w:r w:rsidRPr="00B0658A">
              <w:rPr>
                <w:rFonts w:ascii="Times New Roman" w:hAnsi="Times New Roman"/>
                <w:sz w:val="18"/>
                <w:szCs w:val="18"/>
              </w:rPr>
              <w:t>2.11</w:t>
            </w:r>
          </w:p>
        </w:tc>
        <w:tc>
          <w:tcPr>
            <w:tcW w:w="1182" w:type="pct"/>
            <w:shd w:val="clear" w:color="auto" w:fill="auto"/>
            <w:vAlign w:val="center"/>
            <w:hideMark/>
          </w:tcPr>
          <w:p w14:paraId="426980FD" w14:textId="77777777" w:rsidR="00207C19" w:rsidRPr="00B0658A" w:rsidRDefault="00207C19" w:rsidP="00E766E3">
            <w:pPr>
              <w:spacing w:after="0" w:line="240" w:lineRule="auto"/>
              <w:rPr>
                <w:rFonts w:ascii="Times New Roman" w:hAnsi="Times New Roman"/>
                <w:sz w:val="18"/>
                <w:szCs w:val="18"/>
              </w:rPr>
            </w:pPr>
            <w:r w:rsidRPr="00B0658A">
              <w:rPr>
                <w:rFonts w:ascii="Times New Roman" w:hAnsi="Times New Roman"/>
                <w:sz w:val="18"/>
                <w:szCs w:val="18"/>
              </w:rPr>
              <w:t>Системное программное обеспечение/ Мобильная операционная система</w:t>
            </w:r>
          </w:p>
        </w:tc>
        <w:tc>
          <w:tcPr>
            <w:tcW w:w="898" w:type="pct"/>
            <w:shd w:val="clear" w:color="000000" w:fill="FFFFFF"/>
            <w:hideMark/>
          </w:tcPr>
          <w:p w14:paraId="648633DD" w14:textId="77777777" w:rsidR="00207C19" w:rsidRPr="00B0658A" w:rsidRDefault="00207C19" w:rsidP="00E766E3">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7" w:type="pct"/>
            <w:shd w:val="clear" w:color="auto" w:fill="auto"/>
            <w:vAlign w:val="center"/>
          </w:tcPr>
          <w:p w14:paraId="0B8089D8"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rPr>
              <w:t>10%</w:t>
            </w:r>
          </w:p>
        </w:tc>
        <w:tc>
          <w:tcPr>
            <w:tcW w:w="367" w:type="pct"/>
            <w:shd w:val="clear" w:color="auto" w:fill="auto"/>
            <w:vAlign w:val="center"/>
          </w:tcPr>
          <w:p w14:paraId="5D34CDCD"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rPr>
              <w:t>25%</w:t>
            </w:r>
          </w:p>
        </w:tc>
        <w:tc>
          <w:tcPr>
            <w:tcW w:w="367" w:type="pct"/>
            <w:shd w:val="clear" w:color="auto" w:fill="auto"/>
            <w:vAlign w:val="center"/>
          </w:tcPr>
          <w:p w14:paraId="4DC8235D"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rPr>
              <w:t>50%</w:t>
            </w:r>
          </w:p>
        </w:tc>
        <w:tc>
          <w:tcPr>
            <w:tcW w:w="379" w:type="pct"/>
            <w:vAlign w:val="center"/>
          </w:tcPr>
          <w:p w14:paraId="12018439"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7" w:type="pct"/>
            <w:shd w:val="clear" w:color="auto" w:fill="auto"/>
            <w:vAlign w:val="center"/>
          </w:tcPr>
          <w:p w14:paraId="5F3A4596"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rPr>
              <w:t>70%</w:t>
            </w:r>
          </w:p>
        </w:tc>
        <w:tc>
          <w:tcPr>
            <w:tcW w:w="367" w:type="pct"/>
            <w:shd w:val="clear" w:color="auto" w:fill="auto"/>
            <w:vAlign w:val="center"/>
          </w:tcPr>
          <w:p w14:paraId="598C8540"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rPr>
              <w:t>90%</w:t>
            </w:r>
          </w:p>
        </w:tc>
        <w:tc>
          <w:tcPr>
            <w:tcW w:w="364" w:type="pct"/>
            <w:shd w:val="clear" w:color="auto" w:fill="auto"/>
            <w:vAlign w:val="center"/>
          </w:tcPr>
          <w:p w14:paraId="7EE0C874"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207C19" w:rsidRPr="00B0658A" w14:paraId="42978BE1" w14:textId="77777777" w:rsidTr="00FE71B1">
        <w:trPr>
          <w:trHeight w:val="20"/>
        </w:trPr>
        <w:tc>
          <w:tcPr>
            <w:tcW w:w="342" w:type="pct"/>
            <w:shd w:val="clear" w:color="000000" w:fill="FFFFFF"/>
            <w:vAlign w:val="center"/>
          </w:tcPr>
          <w:p w14:paraId="432214B7" w14:textId="77777777" w:rsidR="00207C19" w:rsidRPr="00B0658A" w:rsidRDefault="00207C19" w:rsidP="00FE71B1">
            <w:pPr>
              <w:spacing w:after="0" w:line="240" w:lineRule="auto"/>
              <w:jc w:val="center"/>
              <w:rPr>
                <w:rFonts w:ascii="Times New Roman" w:hAnsi="Times New Roman"/>
                <w:sz w:val="18"/>
                <w:szCs w:val="18"/>
              </w:rPr>
            </w:pPr>
            <w:r w:rsidRPr="00B0658A">
              <w:rPr>
                <w:rFonts w:ascii="Times New Roman" w:hAnsi="Times New Roman"/>
                <w:sz w:val="18"/>
                <w:szCs w:val="18"/>
              </w:rPr>
              <w:t>2.12</w:t>
            </w:r>
          </w:p>
        </w:tc>
        <w:tc>
          <w:tcPr>
            <w:tcW w:w="1182" w:type="pct"/>
            <w:shd w:val="clear" w:color="auto" w:fill="auto"/>
            <w:vAlign w:val="center"/>
            <w:hideMark/>
          </w:tcPr>
          <w:p w14:paraId="0D817F29" w14:textId="77777777" w:rsidR="00207C19" w:rsidRPr="00B0658A" w:rsidRDefault="00207C19" w:rsidP="00E766E3">
            <w:pPr>
              <w:spacing w:after="0" w:line="240" w:lineRule="auto"/>
              <w:rPr>
                <w:rFonts w:ascii="Times New Roman" w:hAnsi="Times New Roman"/>
                <w:sz w:val="18"/>
                <w:szCs w:val="18"/>
              </w:rPr>
            </w:pPr>
            <w:r w:rsidRPr="00B0658A">
              <w:rPr>
                <w:rFonts w:ascii="Times New Roman" w:hAnsi="Times New Roman"/>
                <w:sz w:val="18"/>
                <w:szCs w:val="18"/>
              </w:rPr>
              <w:t>Системное программное обеспечение / Системы контейнеризации и контейнеры</w:t>
            </w:r>
          </w:p>
        </w:tc>
        <w:tc>
          <w:tcPr>
            <w:tcW w:w="898" w:type="pct"/>
            <w:shd w:val="clear" w:color="000000" w:fill="FFFFFF"/>
            <w:hideMark/>
          </w:tcPr>
          <w:p w14:paraId="3BF7F0BB" w14:textId="77777777" w:rsidR="00207C19" w:rsidRPr="00B0658A" w:rsidRDefault="00207C19" w:rsidP="00E766E3">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7" w:type="pct"/>
            <w:shd w:val="clear" w:color="auto" w:fill="auto"/>
            <w:vAlign w:val="center"/>
          </w:tcPr>
          <w:p w14:paraId="31DB0F8D"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rPr>
              <w:t>25%</w:t>
            </w:r>
          </w:p>
        </w:tc>
        <w:tc>
          <w:tcPr>
            <w:tcW w:w="367" w:type="pct"/>
            <w:shd w:val="clear" w:color="auto" w:fill="auto"/>
            <w:vAlign w:val="center"/>
          </w:tcPr>
          <w:p w14:paraId="3BF050FD"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rPr>
              <w:t>35%</w:t>
            </w:r>
          </w:p>
        </w:tc>
        <w:tc>
          <w:tcPr>
            <w:tcW w:w="367" w:type="pct"/>
            <w:shd w:val="clear" w:color="auto" w:fill="auto"/>
            <w:vAlign w:val="center"/>
          </w:tcPr>
          <w:p w14:paraId="0D5FDFAB"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rPr>
              <w:t>50%</w:t>
            </w:r>
          </w:p>
        </w:tc>
        <w:tc>
          <w:tcPr>
            <w:tcW w:w="379" w:type="pct"/>
            <w:vAlign w:val="center"/>
          </w:tcPr>
          <w:p w14:paraId="321449DC"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7" w:type="pct"/>
            <w:shd w:val="clear" w:color="auto" w:fill="auto"/>
            <w:vAlign w:val="center"/>
          </w:tcPr>
          <w:p w14:paraId="4F62533D"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rPr>
              <w:t>75%</w:t>
            </w:r>
          </w:p>
        </w:tc>
        <w:tc>
          <w:tcPr>
            <w:tcW w:w="367" w:type="pct"/>
            <w:shd w:val="clear" w:color="auto" w:fill="auto"/>
            <w:vAlign w:val="center"/>
          </w:tcPr>
          <w:p w14:paraId="0A202E98"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rPr>
              <w:t>85%</w:t>
            </w:r>
          </w:p>
        </w:tc>
        <w:tc>
          <w:tcPr>
            <w:tcW w:w="364" w:type="pct"/>
            <w:shd w:val="clear" w:color="auto" w:fill="auto"/>
            <w:vAlign w:val="center"/>
          </w:tcPr>
          <w:p w14:paraId="0FA8321F"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207C19" w:rsidRPr="00B0658A" w14:paraId="51C93AD2" w14:textId="77777777" w:rsidTr="00FE71B1">
        <w:trPr>
          <w:trHeight w:val="20"/>
        </w:trPr>
        <w:tc>
          <w:tcPr>
            <w:tcW w:w="342" w:type="pct"/>
            <w:shd w:val="clear" w:color="000000" w:fill="FFFFFF"/>
            <w:vAlign w:val="center"/>
          </w:tcPr>
          <w:p w14:paraId="4ADE0E8E" w14:textId="77777777" w:rsidR="00207C19" w:rsidRPr="00B0658A" w:rsidRDefault="00207C19" w:rsidP="00FE71B1">
            <w:pPr>
              <w:spacing w:after="0" w:line="240" w:lineRule="auto"/>
              <w:jc w:val="center"/>
              <w:rPr>
                <w:rFonts w:ascii="Times New Roman" w:hAnsi="Times New Roman"/>
                <w:sz w:val="18"/>
                <w:szCs w:val="18"/>
              </w:rPr>
            </w:pPr>
            <w:r w:rsidRPr="00B0658A">
              <w:rPr>
                <w:rFonts w:ascii="Times New Roman" w:hAnsi="Times New Roman"/>
                <w:sz w:val="18"/>
                <w:szCs w:val="18"/>
              </w:rPr>
              <w:t>3.1</w:t>
            </w:r>
          </w:p>
        </w:tc>
        <w:tc>
          <w:tcPr>
            <w:tcW w:w="1182" w:type="pct"/>
            <w:shd w:val="clear" w:color="auto" w:fill="auto"/>
            <w:vAlign w:val="center"/>
            <w:hideMark/>
          </w:tcPr>
          <w:p w14:paraId="43E132EE" w14:textId="77777777" w:rsidR="00207C19" w:rsidRPr="00B0658A" w:rsidRDefault="00207C19" w:rsidP="00E766E3">
            <w:pPr>
              <w:spacing w:after="0" w:line="240" w:lineRule="auto"/>
              <w:rPr>
                <w:rFonts w:ascii="Times New Roman" w:hAnsi="Times New Roman"/>
                <w:sz w:val="18"/>
                <w:szCs w:val="18"/>
              </w:rPr>
            </w:pPr>
            <w:r w:rsidRPr="00B0658A">
              <w:rPr>
                <w:rFonts w:ascii="Times New Roman" w:hAnsi="Times New Roman"/>
                <w:sz w:val="18"/>
                <w:szCs w:val="18"/>
              </w:rPr>
              <w:t>Средства обеспечения информационной безопасности/ Средства защиты от несанкционированного доступа к информации</w:t>
            </w:r>
          </w:p>
        </w:tc>
        <w:tc>
          <w:tcPr>
            <w:tcW w:w="898" w:type="pct"/>
            <w:shd w:val="clear" w:color="000000" w:fill="FFFFFF"/>
            <w:hideMark/>
          </w:tcPr>
          <w:p w14:paraId="316BAA08" w14:textId="77777777" w:rsidR="00207C19" w:rsidRPr="00B0658A" w:rsidRDefault="00207C19" w:rsidP="00E766E3">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7" w:type="pct"/>
            <w:shd w:val="clear" w:color="auto" w:fill="auto"/>
            <w:vAlign w:val="center"/>
          </w:tcPr>
          <w:p w14:paraId="0A66B905" w14:textId="77777777" w:rsidR="00207C19" w:rsidRPr="00B0658A" w:rsidRDefault="00207C19" w:rsidP="00E766E3">
            <w:pPr>
              <w:spacing w:after="0" w:line="240" w:lineRule="auto"/>
              <w:jc w:val="center"/>
              <w:rPr>
                <w:rFonts w:ascii="Times New Roman" w:hAnsi="Times New Roman"/>
                <w:sz w:val="18"/>
                <w:szCs w:val="18"/>
              </w:rPr>
            </w:pPr>
            <w:r>
              <w:rPr>
                <w:rFonts w:ascii="Times New Roman" w:hAnsi="Times New Roman"/>
                <w:sz w:val="18"/>
                <w:szCs w:val="18"/>
              </w:rPr>
              <w:t>60</w:t>
            </w:r>
            <w:r w:rsidRPr="00B0658A">
              <w:rPr>
                <w:rFonts w:ascii="Times New Roman" w:hAnsi="Times New Roman"/>
                <w:sz w:val="18"/>
                <w:szCs w:val="18"/>
                <w:lang w:val="en-US"/>
              </w:rPr>
              <w:t>%</w:t>
            </w:r>
          </w:p>
        </w:tc>
        <w:tc>
          <w:tcPr>
            <w:tcW w:w="367" w:type="pct"/>
            <w:shd w:val="clear" w:color="auto" w:fill="auto"/>
            <w:vAlign w:val="center"/>
          </w:tcPr>
          <w:p w14:paraId="21D4AC91" w14:textId="77777777" w:rsidR="00207C19" w:rsidRPr="00B0658A" w:rsidRDefault="00207C19" w:rsidP="00E766E3">
            <w:pPr>
              <w:spacing w:after="0" w:line="240" w:lineRule="auto"/>
              <w:jc w:val="center"/>
              <w:rPr>
                <w:rFonts w:ascii="Times New Roman" w:hAnsi="Times New Roman"/>
                <w:sz w:val="18"/>
                <w:szCs w:val="18"/>
              </w:rPr>
            </w:pPr>
            <w:r>
              <w:rPr>
                <w:rFonts w:ascii="Times New Roman" w:hAnsi="Times New Roman"/>
                <w:sz w:val="18"/>
                <w:szCs w:val="18"/>
              </w:rPr>
              <w:t>8</w:t>
            </w:r>
            <w:r w:rsidRPr="00B0658A">
              <w:rPr>
                <w:rFonts w:ascii="Times New Roman" w:hAnsi="Times New Roman"/>
                <w:sz w:val="18"/>
                <w:szCs w:val="18"/>
                <w:lang w:val="en-US"/>
              </w:rPr>
              <w:t>0%</w:t>
            </w:r>
          </w:p>
        </w:tc>
        <w:tc>
          <w:tcPr>
            <w:tcW w:w="367" w:type="pct"/>
            <w:shd w:val="clear" w:color="auto" w:fill="auto"/>
            <w:vAlign w:val="center"/>
          </w:tcPr>
          <w:p w14:paraId="76ECEF8B"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79" w:type="pct"/>
            <w:vAlign w:val="center"/>
          </w:tcPr>
          <w:p w14:paraId="7AAEA286" w14:textId="77777777" w:rsidR="00207C19" w:rsidRPr="00B0658A" w:rsidRDefault="00207C19" w:rsidP="00E766E3">
            <w:pPr>
              <w:spacing w:after="0" w:line="240" w:lineRule="auto"/>
              <w:jc w:val="center"/>
              <w:rPr>
                <w:rFonts w:ascii="Times New Roman" w:hAnsi="Times New Roman"/>
                <w:sz w:val="18"/>
                <w:szCs w:val="18"/>
                <w:lang w:val="en-US"/>
              </w:rPr>
            </w:pPr>
            <w:r w:rsidRPr="00B0658A">
              <w:rPr>
                <w:rFonts w:ascii="Times New Roman" w:hAnsi="Times New Roman"/>
                <w:sz w:val="18"/>
                <w:szCs w:val="18"/>
                <w:lang w:val="en-US"/>
              </w:rPr>
              <w:t>100%</w:t>
            </w:r>
          </w:p>
        </w:tc>
        <w:tc>
          <w:tcPr>
            <w:tcW w:w="367" w:type="pct"/>
            <w:shd w:val="clear" w:color="auto" w:fill="auto"/>
            <w:vAlign w:val="center"/>
          </w:tcPr>
          <w:p w14:paraId="189DF8C6"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7" w:type="pct"/>
            <w:shd w:val="clear" w:color="auto" w:fill="auto"/>
            <w:vAlign w:val="center"/>
          </w:tcPr>
          <w:p w14:paraId="7F5D94C6"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4" w:type="pct"/>
            <w:shd w:val="clear" w:color="auto" w:fill="auto"/>
            <w:vAlign w:val="center"/>
          </w:tcPr>
          <w:p w14:paraId="44216FC2"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207C19" w:rsidRPr="00B0658A" w14:paraId="3F1B52DC" w14:textId="77777777" w:rsidTr="00FE71B1">
        <w:trPr>
          <w:trHeight w:val="20"/>
        </w:trPr>
        <w:tc>
          <w:tcPr>
            <w:tcW w:w="342" w:type="pct"/>
            <w:shd w:val="clear" w:color="000000" w:fill="FFFFFF"/>
            <w:vAlign w:val="center"/>
          </w:tcPr>
          <w:p w14:paraId="2FE25FDC" w14:textId="77777777" w:rsidR="00207C19" w:rsidRPr="00B0658A" w:rsidRDefault="00207C19" w:rsidP="00FE71B1">
            <w:pPr>
              <w:spacing w:after="0" w:line="240" w:lineRule="auto"/>
              <w:jc w:val="center"/>
              <w:rPr>
                <w:rFonts w:ascii="Times New Roman" w:hAnsi="Times New Roman"/>
                <w:sz w:val="18"/>
                <w:szCs w:val="18"/>
              </w:rPr>
            </w:pPr>
            <w:r w:rsidRPr="00B0658A">
              <w:rPr>
                <w:rFonts w:ascii="Times New Roman" w:hAnsi="Times New Roman"/>
                <w:sz w:val="18"/>
                <w:szCs w:val="18"/>
              </w:rPr>
              <w:t>3.2</w:t>
            </w:r>
          </w:p>
        </w:tc>
        <w:tc>
          <w:tcPr>
            <w:tcW w:w="1182" w:type="pct"/>
            <w:shd w:val="clear" w:color="auto" w:fill="auto"/>
            <w:vAlign w:val="center"/>
            <w:hideMark/>
          </w:tcPr>
          <w:p w14:paraId="1A843F09" w14:textId="77777777" w:rsidR="00207C19" w:rsidRPr="00B0658A" w:rsidRDefault="00207C19" w:rsidP="00E766E3">
            <w:pPr>
              <w:spacing w:after="0" w:line="240" w:lineRule="auto"/>
              <w:rPr>
                <w:rFonts w:ascii="Times New Roman" w:hAnsi="Times New Roman"/>
                <w:sz w:val="18"/>
                <w:szCs w:val="18"/>
              </w:rPr>
            </w:pPr>
            <w:r w:rsidRPr="00B0658A">
              <w:rPr>
                <w:rFonts w:ascii="Times New Roman" w:hAnsi="Times New Roman"/>
                <w:sz w:val="18"/>
                <w:szCs w:val="18"/>
              </w:rPr>
              <w:t>Средства обеспечения информационной безопасности/ Средства управления событиями информационной безопасности</w:t>
            </w:r>
          </w:p>
        </w:tc>
        <w:tc>
          <w:tcPr>
            <w:tcW w:w="898" w:type="pct"/>
            <w:shd w:val="clear" w:color="000000" w:fill="FFFFFF"/>
            <w:hideMark/>
          </w:tcPr>
          <w:p w14:paraId="5E72F404" w14:textId="77777777" w:rsidR="00207C19" w:rsidRPr="00B0658A" w:rsidRDefault="00207C19" w:rsidP="00E766E3">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7" w:type="pct"/>
            <w:shd w:val="clear" w:color="auto" w:fill="auto"/>
            <w:vAlign w:val="center"/>
          </w:tcPr>
          <w:p w14:paraId="7B081CAF" w14:textId="77777777" w:rsidR="00207C19" w:rsidRPr="00B0658A" w:rsidRDefault="00207C19" w:rsidP="00E766E3">
            <w:pPr>
              <w:spacing w:after="0" w:line="240" w:lineRule="auto"/>
              <w:jc w:val="center"/>
              <w:rPr>
                <w:rFonts w:ascii="Times New Roman" w:hAnsi="Times New Roman"/>
                <w:sz w:val="18"/>
                <w:szCs w:val="18"/>
              </w:rPr>
            </w:pPr>
            <w:r>
              <w:rPr>
                <w:rFonts w:ascii="Times New Roman" w:hAnsi="Times New Roman"/>
                <w:sz w:val="18"/>
                <w:szCs w:val="18"/>
              </w:rPr>
              <w:t>60</w:t>
            </w:r>
            <w:r w:rsidRPr="00B0658A">
              <w:rPr>
                <w:rFonts w:ascii="Times New Roman" w:hAnsi="Times New Roman"/>
                <w:sz w:val="18"/>
                <w:szCs w:val="18"/>
                <w:lang w:val="en-US"/>
              </w:rPr>
              <w:t>%</w:t>
            </w:r>
          </w:p>
        </w:tc>
        <w:tc>
          <w:tcPr>
            <w:tcW w:w="367" w:type="pct"/>
            <w:shd w:val="clear" w:color="auto" w:fill="auto"/>
            <w:vAlign w:val="center"/>
          </w:tcPr>
          <w:p w14:paraId="0141609C" w14:textId="77777777" w:rsidR="00207C19" w:rsidRPr="00B0658A" w:rsidRDefault="00207C19" w:rsidP="00E766E3">
            <w:pPr>
              <w:spacing w:after="0" w:line="240" w:lineRule="auto"/>
              <w:jc w:val="center"/>
              <w:rPr>
                <w:rFonts w:ascii="Times New Roman" w:hAnsi="Times New Roman"/>
                <w:sz w:val="18"/>
                <w:szCs w:val="18"/>
              </w:rPr>
            </w:pPr>
            <w:r>
              <w:rPr>
                <w:rFonts w:ascii="Times New Roman" w:hAnsi="Times New Roman"/>
                <w:sz w:val="18"/>
                <w:szCs w:val="18"/>
              </w:rPr>
              <w:t>8</w:t>
            </w:r>
            <w:r w:rsidRPr="00B0658A">
              <w:rPr>
                <w:rFonts w:ascii="Times New Roman" w:hAnsi="Times New Roman"/>
                <w:sz w:val="18"/>
                <w:szCs w:val="18"/>
                <w:lang w:val="en-US"/>
              </w:rPr>
              <w:t>0%</w:t>
            </w:r>
          </w:p>
        </w:tc>
        <w:tc>
          <w:tcPr>
            <w:tcW w:w="367" w:type="pct"/>
            <w:shd w:val="clear" w:color="auto" w:fill="auto"/>
            <w:vAlign w:val="center"/>
          </w:tcPr>
          <w:p w14:paraId="4423FE0A"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79" w:type="pct"/>
            <w:vAlign w:val="center"/>
          </w:tcPr>
          <w:p w14:paraId="33D59668" w14:textId="77777777" w:rsidR="00207C19" w:rsidRPr="00B0658A" w:rsidRDefault="00207C19" w:rsidP="00E766E3">
            <w:pPr>
              <w:spacing w:after="0" w:line="240" w:lineRule="auto"/>
              <w:jc w:val="center"/>
              <w:rPr>
                <w:rFonts w:ascii="Times New Roman" w:hAnsi="Times New Roman"/>
                <w:sz w:val="18"/>
                <w:szCs w:val="18"/>
                <w:lang w:val="en-US"/>
              </w:rPr>
            </w:pPr>
            <w:r w:rsidRPr="00B0658A">
              <w:rPr>
                <w:rFonts w:ascii="Times New Roman" w:hAnsi="Times New Roman"/>
                <w:sz w:val="18"/>
                <w:szCs w:val="18"/>
                <w:lang w:val="en-US"/>
              </w:rPr>
              <w:t>100%</w:t>
            </w:r>
          </w:p>
        </w:tc>
        <w:tc>
          <w:tcPr>
            <w:tcW w:w="367" w:type="pct"/>
            <w:shd w:val="clear" w:color="auto" w:fill="auto"/>
            <w:vAlign w:val="center"/>
          </w:tcPr>
          <w:p w14:paraId="23F7F1BE"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7" w:type="pct"/>
            <w:shd w:val="clear" w:color="auto" w:fill="auto"/>
            <w:vAlign w:val="center"/>
          </w:tcPr>
          <w:p w14:paraId="7A01D751"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4" w:type="pct"/>
            <w:shd w:val="clear" w:color="auto" w:fill="auto"/>
            <w:vAlign w:val="center"/>
          </w:tcPr>
          <w:p w14:paraId="33AE41B4"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207C19" w:rsidRPr="00B0658A" w14:paraId="48823883" w14:textId="77777777" w:rsidTr="00FE71B1">
        <w:trPr>
          <w:trHeight w:val="20"/>
        </w:trPr>
        <w:tc>
          <w:tcPr>
            <w:tcW w:w="342" w:type="pct"/>
            <w:shd w:val="clear" w:color="000000" w:fill="FFFFFF"/>
            <w:vAlign w:val="center"/>
          </w:tcPr>
          <w:p w14:paraId="16468BCE" w14:textId="77777777" w:rsidR="00207C19" w:rsidRPr="00B0658A" w:rsidRDefault="00207C19" w:rsidP="00FE71B1">
            <w:pPr>
              <w:spacing w:after="0" w:line="240" w:lineRule="auto"/>
              <w:jc w:val="center"/>
              <w:rPr>
                <w:rFonts w:ascii="Times New Roman" w:hAnsi="Times New Roman"/>
                <w:sz w:val="18"/>
                <w:szCs w:val="18"/>
              </w:rPr>
            </w:pPr>
            <w:r w:rsidRPr="00B0658A">
              <w:rPr>
                <w:rFonts w:ascii="Times New Roman" w:hAnsi="Times New Roman"/>
                <w:sz w:val="18"/>
                <w:szCs w:val="18"/>
              </w:rPr>
              <w:t>3.3</w:t>
            </w:r>
          </w:p>
        </w:tc>
        <w:tc>
          <w:tcPr>
            <w:tcW w:w="1182" w:type="pct"/>
            <w:shd w:val="clear" w:color="auto" w:fill="auto"/>
            <w:vAlign w:val="center"/>
            <w:hideMark/>
          </w:tcPr>
          <w:p w14:paraId="2B6E150F" w14:textId="77777777" w:rsidR="00207C19" w:rsidRPr="00B0658A" w:rsidRDefault="00207C19" w:rsidP="00E766E3">
            <w:pPr>
              <w:spacing w:after="0" w:line="240" w:lineRule="auto"/>
              <w:rPr>
                <w:rFonts w:ascii="Times New Roman" w:hAnsi="Times New Roman"/>
                <w:sz w:val="18"/>
                <w:szCs w:val="18"/>
              </w:rPr>
            </w:pPr>
            <w:r w:rsidRPr="00B0658A">
              <w:rPr>
                <w:rFonts w:ascii="Times New Roman" w:hAnsi="Times New Roman"/>
                <w:sz w:val="18"/>
                <w:szCs w:val="18"/>
              </w:rPr>
              <w:t>Средства обеспечения информационной безопасности/ Межсетевые экраны</w:t>
            </w:r>
          </w:p>
        </w:tc>
        <w:tc>
          <w:tcPr>
            <w:tcW w:w="898" w:type="pct"/>
            <w:shd w:val="clear" w:color="000000" w:fill="FFFFFF"/>
            <w:hideMark/>
          </w:tcPr>
          <w:p w14:paraId="392AB545" w14:textId="77777777" w:rsidR="00207C19" w:rsidRPr="00B0658A" w:rsidRDefault="00207C19" w:rsidP="00E766E3">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7" w:type="pct"/>
            <w:shd w:val="clear" w:color="auto" w:fill="auto"/>
            <w:vAlign w:val="center"/>
          </w:tcPr>
          <w:p w14:paraId="3678E338"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50%</w:t>
            </w:r>
          </w:p>
        </w:tc>
        <w:tc>
          <w:tcPr>
            <w:tcW w:w="367" w:type="pct"/>
            <w:shd w:val="clear" w:color="auto" w:fill="auto"/>
            <w:vAlign w:val="center"/>
          </w:tcPr>
          <w:p w14:paraId="56B1BC4D" w14:textId="77777777" w:rsidR="00207C19" w:rsidRPr="00B0658A" w:rsidRDefault="00207C19" w:rsidP="00E766E3">
            <w:pPr>
              <w:spacing w:after="0" w:line="240" w:lineRule="auto"/>
              <w:jc w:val="center"/>
              <w:rPr>
                <w:rFonts w:ascii="Times New Roman" w:hAnsi="Times New Roman"/>
                <w:sz w:val="18"/>
                <w:szCs w:val="18"/>
              </w:rPr>
            </w:pPr>
            <w:r>
              <w:rPr>
                <w:rFonts w:ascii="Times New Roman" w:hAnsi="Times New Roman"/>
                <w:sz w:val="18"/>
                <w:szCs w:val="18"/>
              </w:rPr>
              <w:t>8</w:t>
            </w:r>
            <w:r w:rsidRPr="00B0658A">
              <w:rPr>
                <w:rFonts w:ascii="Times New Roman" w:hAnsi="Times New Roman"/>
                <w:sz w:val="18"/>
                <w:szCs w:val="18"/>
                <w:lang w:val="en-US"/>
              </w:rPr>
              <w:t>0%</w:t>
            </w:r>
          </w:p>
        </w:tc>
        <w:tc>
          <w:tcPr>
            <w:tcW w:w="367" w:type="pct"/>
            <w:shd w:val="clear" w:color="auto" w:fill="auto"/>
            <w:vAlign w:val="center"/>
          </w:tcPr>
          <w:p w14:paraId="7B91B175" w14:textId="77777777" w:rsidR="00207C19" w:rsidRPr="00B0658A" w:rsidRDefault="00207C19" w:rsidP="00E766E3">
            <w:pPr>
              <w:spacing w:after="0" w:line="240" w:lineRule="auto"/>
              <w:jc w:val="center"/>
              <w:rPr>
                <w:rFonts w:ascii="Times New Roman" w:hAnsi="Times New Roman"/>
                <w:sz w:val="18"/>
                <w:szCs w:val="18"/>
              </w:rPr>
            </w:pPr>
            <w:r>
              <w:rPr>
                <w:rFonts w:ascii="Times New Roman" w:hAnsi="Times New Roman"/>
                <w:sz w:val="18"/>
                <w:szCs w:val="18"/>
              </w:rPr>
              <w:t>9</w:t>
            </w:r>
            <w:r w:rsidRPr="00B0658A">
              <w:rPr>
                <w:rFonts w:ascii="Times New Roman" w:hAnsi="Times New Roman"/>
                <w:sz w:val="18"/>
                <w:szCs w:val="18"/>
                <w:lang w:val="en-US"/>
              </w:rPr>
              <w:t>0%</w:t>
            </w:r>
          </w:p>
        </w:tc>
        <w:tc>
          <w:tcPr>
            <w:tcW w:w="379" w:type="pct"/>
            <w:vAlign w:val="center"/>
          </w:tcPr>
          <w:p w14:paraId="1F51CD64" w14:textId="77777777" w:rsidR="00207C19" w:rsidRPr="00B0658A" w:rsidRDefault="00207C19" w:rsidP="00E766E3">
            <w:pPr>
              <w:spacing w:after="0" w:line="240" w:lineRule="auto"/>
              <w:jc w:val="center"/>
              <w:rPr>
                <w:rFonts w:ascii="Times New Roman" w:hAnsi="Times New Roman"/>
                <w:sz w:val="18"/>
                <w:szCs w:val="18"/>
                <w:lang w:val="en-US"/>
              </w:rPr>
            </w:pPr>
            <w:r w:rsidRPr="00B0658A">
              <w:rPr>
                <w:rFonts w:ascii="Times New Roman" w:hAnsi="Times New Roman"/>
                <w:sz w:val="18"/>
                <w:szCs w:val="18"/>
                <w:lang w:val="en-US"/>
              </w:rPr>
              <w:t>100%</w:t>
            </w:r>
          </w:p>
        </w:tc>
        <w:tc>
          <w:tcPr>
            <w:tcW w:w="367" w:type="pct"/>
            <w:shd w:val="clear" w:color="auto" w:fill="auto"/>
            <w:vAlign w:val="center"/>
          </w:tcPr>
          <w:p w14:paraId="204140C8"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7" w:type="pct"/>
            <w:shd w:val="clear" w:color="auto" w:fill="auto"/>
            <w:vAlign w:val="center"/>
          </w:tcPr>
          <w:p w14:paraId="025F0F21"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4" w:type="pct"/>
            <w:shd w:val="clear" w:color="auto" w:fill="auto"/>
            <w:vAlign w:val="center"/>
          </w:tcPr>
          <w:p w14:paraId="13D409A2"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207C19" w:rsidRPr="00B0658A" w14:paraId="014ACB40" w14:textId="77777777" w:rsidTr="00FE71B1">
        <w:trPr>
          <w:trHeight w:val="20"/>
        </w:trPr>
        <w:tc>
          <w:tcPr>
            <w:tcW w:w="342" w:type="pct"/>
            <w:shd w:val="clear" w:color="000000" w:fill="FFFFFF"/>
            <w:vAlign w:val="center"/>
          </w:tcPr>
          <w:p w14:paraId="46BECDF6" w14:textId="77777777" w:rsidR="00207C19" w:rsidRPr="00B0658A" w:rsidRDefault="00207C19" w:rsidP="00FE71B1">
            <w:pPr>
              <w:spacing w:after="0" w:line="240" w:lineRule="auto"/>
              <w:jc w:val="center"/>
              <w:rPr>
                <w:rFonts w:ascii="Times New Roman" w:hAnsi="Times New Roman"/>
                <w:sz w:val="18"/>
                <w:szCs w:val="18"/>
              </w:rPr>
            </w:pPr>
            <w:r w:rsidRPr="00B0658A">
              <w:rPr>
                <w:rFonts w:ascii="Times New Roman" w:hAnsi="Times New Roman"/>
                <w:sz w:val="18"/>
                <w:szCs w:val="18"/>
              </w:rPr>
              <w:t>3.4</w:t>
            </w:r>
          </w:p>
        </w:tc>
        <w:tc>
          <w:tcPr>
            <w:tcW w:w="1182" w:type="pct"/>
            <w:shd w:val="clear" w:color="auto" w:fill="auto"/>
            <w:vAlign w:val="center"/>
            <w:hideMark/>
          </w:tcPr>
          <w:p w14:paraId="20F01E13" w14:textId="77777777" w:rsidR="00207C19" w:rsidRPr="00B0658A" w:rsidRDefault="00207C19" w:rsidP="00E766E3">
            <w:pPr>
              <w:spacing w:after="0" w:line="240" w:lineRule="auto"/>
              <w:rPr>
                <w:rFonts w:ascii="Times New Roman" w:hAnsi="Times New Roman"/>
                <w:sz w:val="18"/>
                <w:szCs w:val="18"/>
              </w:rPr>
            </w:pPr>
            <w:r w:rsidRPr="00B0658A">
              <w:rPr>
                <w:rFonts w:ascii="Times New Roman" w:hAnsi="Times New Roman"/>
                <w:sz w:val="18"/>
                <w:szCs w:val="18"/>
              </w:rPr>
              <w:t>Средства обеспечения информационной безопасности/ Средства фильтрации негативного контента</w:t>
            </w:r>
          </w:p>
        </w:tc>
        <w:tc>
          <w:tcPr>
            <w:tcW w:w="898" w:type="pct"/>
            <w:shd w:val="clear" w:color="000000" w:fill="FFFFFF"/>
            <w:hideMark/>
          </w:tcPr>
          <w:p w14:paraId="36BE9239" w14:textId="77777777" w:rsidR="00207C19" w:rsidRPr="00B0658A" w:rsidRDefault="00207C19" w:rsidP="00E766E3">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7" w:type="pct"/>
            <w:shd w:val="clear" w:color="auto" w:fill="auto"/>
            <w:vAlign w:val="center"/>
          </w:tcPr>
          <w:p w14:paraId="47FC6DF2" w14:textId="77777777" w:rsidR="00207C19" w:rsidRPr="00B0658A" w:rsidRDefault="00207C19" w:rsidP="00E766E3">
            <w:pPr>
              <w:spacing w:after="0" w:line="240" w:lineRule="auto"/>
              <w:jc w:val="center"/>
              <w:rPr>
                <w:rFonts w:ascii="Times New Roman" w:hAnsi="Times New Roman"/>
                <w:sz w:val="18"/>
                <w:szCs w:val="18"/>
              </w:rPr>
            </w:pPr>
            <w:r>
              <w:rPr>
                <w:rFonts w:ascii="Times New Roman" w:hAnsi="Times New Roman"/>
                <w:sz w:val="18"/>
                <w:szCs w:val="18"/>
              </w:rPr>
              <w:t>60</w:t>
            </w:r>
            <w:r w:rsidRPr="00B0658A">
              <w:rPr>
                <w:rFonts w:ascii="Times New Roman" w:hAnsi="Times New Roman"/>
                <w:sz w:val="18"/>
                <w:szCs w:val="18"/>
                <w:lang w:val="en-US"/>
              </w:rPr>
              <w:t>%</w:t>
            </w:r>
          </w:p>
        </w:tc>
        <w:tc>
          <w:tcPr>
            <w:tcW w:w="367" w:type="pct"/>
            <w:shd w:val="clear" w:color="auto" w:fill="auto"/>
            <w:vAlign w:val="center"/>
          </w:tcPr>
          <w:p w14:paraId="3A12C391" w14:textId="77777777" w:rsidR="00207C19" w:rsidRPr="00B0658A" w:rsidRDefault="00207C19" w:rsidP="00E766E3">
            <w:pPr>
              <w:spacing w:after="0" w:line="240" w:lineRule="auto"/>
              <w:jc w:val="center"/>
              <w:rPr>
                <w:rFonts w:ascii="Times New Roman" w:hAnsi="Times New Roman"/>
                <w:sz w:val="18"/>
                <w:szCs w:val="18"/>
              </w:rPr>
            </w:pPr>
            <w:r>
              <w:rPr>
                <w:rFonts w:ascii="Times New Roman" w:hAnsi="Times New Roman"/>
                <w:sz w:val="18"/>
                <w:szCs w:val="18"/>
              </w:rPr>
              <w:t>8</w:t>
            </w:r>
            <w:r w:rsidRPr="00B0658A">
              <w:rPr>
                <w:rFonts w:ascii="Times New Roman" w:hAnsi="Times New Roman"/>
                <w:sz w:val="18"/>
                <w:szCs w:val="18"/>
                <w:lang w:val="en-US"/>
              </w:rPr>
              <w:t>0%</w:t>
            </w:r>
          </w:p>
        </w:tc>
        <w:tc>
          <w:tcPr>
            <w:tcW w:w="367" w:type="pct"/>
            <w:shd w:val="clear" w:color="auto" w:fill="auto"/>
            <w:vAlign w:val="center"/>
          </w:tcPr>
          <w:p w14:paraId="7CE565AB"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79" w:type="pct"/>
            <w:vAlign w:val="center"/>
          </w:tcPr>
          <w:p w14:paraId="077A42B7" w14:textId="77777777" w:rsidR="00207C19" w:rsidRPr="00B0658A" w:rsidRDefault="00207C19" w:rsidP="00E766E3">
            <w:pPr>
              <w:spacing w:after="0" w:line="240" w:lineRule="auto"/>
              <w:jc w:val="center"/>
              <w:rPr>
                <w:rFonts w:ascii="Times New Roman" w:hAnsi="Times New Roman"/>
                <w:sz w:val="18"/>
                <w:szCs w:val="18"/>
                <w:lang w:val="en-US"/>
              </w:rPr>
            </w:pPr>
            <w:r w:rsidRPr="00B0658A">
              <w:rPr>
                <w:rFonts w:ascii="Times New Roman" w:hAnsi="Times New Roman"/>
                <w:sz w:val="18"/>
                <w:szCs w:val="18"/>
                <w:lang w:val="en-US"/>
              </w:rPr>
              <w:t>100%</w:t>
            </w:r>
          </w:p>
        </w:tc>
        <w:tc>
          <w:tcPr>
            <w:tcW w:w="367" w:type="pct"/>
            <w:shd w:val="clear" w:color="auto" w:fill="auto"/>
            <w:vAlign w:val="center"/>
          </w:tcPr>
          <w:p w14:paraId="785E280A"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7" w:type="pct"/>
            <w:shd w:val="clear" w:color="auto" w:fill="auto"/>
            <w:vAlign w:val="center"/>
          </w:tcPr>
          <w:p w14:paraId="4F33055D"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4" w:type="pct"/>
            <w:shd w:val="clear" w:color="auto" w:fill="auto"/>
            <w:vAlign w:val="center"/>
          </w:tcPr>
          <w:p w14:paraId="736192D4"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207C19" w:rsidRPr="00B0658A" w14:paraId="557B57FF" w14:textId="77777777" w:rsidTr="00FE71B1">
        <w:trPr>
          <w:trHeight w:val="20"/>
        </w:trPr>
        <w:tc>
          <w:tcPr>
            <w:tcW w:w="342" w:type="pct"/>
            <w:shd w:val="clear" w:color="000000" w:fill="FFFFFF"/>
            <w:vAlign w:val="center"/>
          </w:tcPr>
          <w:p w14:paraId="2D641005" w14:textId="77777777" w:rsidR="00207C19" w:rsidRPr="00B0658A" w:rsidRDefault="00207C19" w:rsidP="00FE71B1">
            <w:pPr>
              <w:spacing w:after="0" w:line="240" w:lineRule="auto"/>
              <w:jc w:val="center"/>
              <w:rPr>
                <w:rFonts w:ascii="Times New Roman" w:hAnsi="Times New Roman"/>
                <w:sz w:val="18"/>
                <w:szCs w:val="18"/>
              </w:rPr>
            </w:pPr>
            <w:r w:rsidRPr="00B0658A">
              <w:rPr>
                <w:rFonts w:ascii="Times New Roman" w:hAnsi="Times New Roman"/>
                <w:sz w:val="18"/>
                <w:szCs w:val="18"/>
              </w:rPr>
              <w:t>3.5</w:t>
            </w:r>
          </w:p>
        </w:tc>
        <w:tc>
          <w:tcPr>
            <w:tcW w:w="1182" w:type="pct"/>
            <w:shd w:val="clear" w:color="auto" w:fill="auto"/>
            <w:vAlign w:val="center"/>
            <w:hideMark/>
          </w:tcPr>
          <w:p w14:paraId="72C76B61" w14:textId="77777777" w:rsidR="00207C19" w:rsidRPr="00B0658A" w:rsidRDefault="00207C19" w:rsidP="00E766E3">
            <w:pPr>
              <w:spacing w:after="0" w:line="240" w:lineRule="auto"/>
              <w:rPr>
                <w:rFonts w:ascii="Times New Roman" w:hAnsi="Times New Roman"/>
                <w:sz w:val="18"/>
                <w:szCs w:val="18"/>
              </w:rPr>
            </w:pPr>
            <w:r w:rsidRPr="00B0658A">
              <w:rPr>
                <w:rFonts w:ascii="Times New Roman" w:hAnsi="Times New Roman"/>
                <w:sz w:val="18"/>
                <w:szCs w:val="18"/>
              </w:rPr>
              <w:t>Средства обеспечения информационной безопасности/ Средства защиты сервисов онлайн-платежей и дистанционного банковского обслуживания</w:t>
            </w:r>
          </w:p>
        </w:tc>
        <w:tc>
          <w:tcPr>
            <w:tcW w:w="898" w:type="pct"/>
            <w:shd w:val="clear" w:color="000000" w:fill="FFFFFF"/>
            <w:hideMark/>
          </w:tcPr>
          <w:p w14:paraId="676F4C3A" w14:textId="77777777" w:rsidR="00207C19" w:rsidRPr="00B0658A" w:rsidRDefault="00207C19" w:rsidP="00E766E3">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7" w:type="pct"/>
            <w:shd w:val="clear" w:color="auto" w:fill="auto"/>
            <w:vAlign w:val="center"/>
          </w:tcPr>
          <w:p w14:paraId="33CC4987" w14:textId="77777777" w:rsidR="00207C19" w:rsidRPr="00B0658A" w:rsidRDefault="00207C19" w:rsidP="00E766E3">
            <w:pPr>
              <w:spacing w:after="0" w:line="240" w:lineRule="auto"/>
              <w:jc w:val="center"/>
              <w:rPr>
                <w:rFonts w:ascii="Times New Roman" w:hAnsi="Times New Roman"/>
                <w:sz w:val="18"/>
                <w:szCs w:val="18"/>
              </w:rPr>
            </w:pPr>
            <w:r>
              <w:rPr>
                <w:rFonts w:ascii="Times New Roman" w:hAnsi="Times New Roman"/>
                <w:sz w:val="18"/>
                <w:szCs w:val="18"/>
              </w:rPr>
              <w:t>60</w:t>
            </w:r>
            <w:r w:rsidRPr="00B0658A">
              <w:rPr>
                <w:rFonts w:ascii="Times New Roman" w:hAnsi="Times New Roman"/>
                <w:sz w:val="18"/>
                <w:szCs w:val="18"/>
                <w:lang w:val="en-US"/>
              </w:rPr>
              <w:t>%</w:t>
            </w:r>
          </w:p>
        </w:tc>
        <w:tc>
          <w:tcPr>
            <w:tcW w:w="367" w:type="pct"/>
            <w:shd w:val="clear" w:color="auto" w:fill="auto"/>
            <w:vAlign w:val="center"/>
          </w:tcPr>
          <w:p w14:paraId="3F2D8E91" w14:textId="77777777" w:rsidR="00207C19" w:rsidRPr="00B0658A" w:rsidRDefault="00207C19" w:rsidP="00E766E3">
            <w:pPr>
              <w:spacing w:after="0" w:line="240" w:lineRule="auto"/>
              <w:jc w:val="center"/>
              <w:rPr>
                <w:rFonts w:ascii="Times New Roman" w:hAnsi="Times New Roman"/>
                <w:sz w:val="18"/>
                <w:szCs w:val="18"/>
              </w:rPr>
            </w:pPr>
            <w:r>
              <w:rPr>
                <w:rFonts w:ascii="Times New Roman" w:hAnsi="Times New Roman"/>
                <w:sz w:val="18"/>
                <w:szCs w:val="18"/>
              </w:rPr>
              <w:t>8</w:t>
            </w:r>
            <w:r w:rsidRPr="00B0658A">
              <w:rPr>
                <w:rFonts w:ascii="Times New Roman" w:hAnsi="Times New Roman"/>
                <w:sz w:val="18"/>
                <w:szCs w:val="18"/>
                <w:lang w:val="en-US"/>
              </w:rPr>
              <w:t>0%</w:t>
            </w:r>
          </w:p>
        </w:tc>
        <w:tc>
          <w:tcPr>
            <w:tcW w:w="367" w:type="pct"/>
            <w:shd w:val="clear" w:color="auto" w:fill="auto"/>
            <w:vAlign w:val="center"/>
          </w:tcPr>
          <w:p w14:paraId="51C3384D"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79" w:type="pct"/>
            <w:vAlign w:val="center"/>
          </w:tcPr>
          <w:p w14:paraId="4953C3D4" w14:textId="77777777" w:rsidR="00207C19" w:rsidRPr="00B0658A" w:rsidRDefault="00207C19" w:rsidP="00E766E3">
            <w:pPr>
              <w:spacing w:after="0" w:line="240" w:lineRule="auto"/>
              <w:jc w:val="center"/>
              <w:rPr>
                <w:rFonts w:ascii="Times New Roman" w:hAnsi="Times New Roman"/>
                <w:sz w:val="18"/>
                <w:szCs w:val="18"/>
                <w:lang w:val="en-US"/>
              </w:rPr>
            </w:pPr>
            <w:r w:rsidRPr="00B0658A">
              <w:rPr>
                <w:rFonts w:ascii="Times New Roman" w:hAnsi="Times New Roman"/>
                <w:sz w:val="18"/>
                <w:szCs w:val="18"/>
                <w:lang w:val="en-US"/>
              </w:rPr>
              <w:t>100%</w:t>
            </w:r>
          </w:p>
        </w:tc>
        <w:tc>
          <w:tcPr>
            <w:tcW w:w="367" w:type="pct"/>
            <w:shd w:val="clear" w:color="auto" w:fill="auto"/>
            <w:vAlign w:val="center"/>
          </w:tcPr>
          <w:p w14:paraId="2D8C7E66"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7" w:type="pct"/>
            <w:shd w:val="clear" w:color="auto" w:fill="auto"/>
            <w:vAlign w:val="center"/>
          </w:tcPr>
          <w:p w14:paraId="01D9D57E"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4" w:type="pct"/>
            <w:shd w:val="clear" w:color="auto" w:fill="auto"/>
            <w:vAlign w:val="center"/>
          </w:tcPr>
          <w:p w14:paraId="1CDFEC5C"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207C19" w:rsidRPr="00B0658A" w14:paraId="028CC7BA" w14:textId="77777777" w:rsidTr="00FE71B1">
        <w:trPr>
          <w:trHeight w:val="20"/>
        </w:trPr>
        <w:tc>
          <w:tcPr>
            <w:tcW w:w="342" w:type="pct"/>
            <w:shd w:val="clear" w:color="000000" w:fill="FFFFFF"/>
            <w:vAlign w:val="center"/>
          </w:tcPr>
          <w:p w14:paraId="77EBA28E" w14:textId="77777777" w:rsidR="00207C19" w:rsidRPr="00B0658A" w:rsidRDefault="00207C19" w:rsidP="00FE71B1">
            <w:pPr>
              <w:spacing w:after="0" w:line="240" w:lineRule="auto"/>
              <w:jc w:val="center"/>
              <w:rPr>
                <w:rFonts w:ascii="Times New Roman" w:hAnsi="Times New Roman"/>
                <w:sz w:val="18"/>
                <w:szCs w:val="18"/>
              </w:rPr>
            </w:pPr>
            <w:r w:rsidRPr="00B0658A">
              <w:rPr>
                <w:rFonts w:ascii="Times New Roman" w:hAnsi="Times New Roman"/>
                <w:sz w:val="18"/>
                <w:szCs w:val="18"/>
              </w:rPr>
              <w:t>3.6</w:t>
            </w:r>
          </w:p>
        </w:tc>
        <w:tc>
          <w:tcPr>
            <w:tcW w:w="1182" w:type="pct"/>
            <w:shd w:val="clear" w:color="auto" w:fill="auto"/>
            <w:vAlign w:val="center"/>
            <w:hideMark/>
          </w:tcPr>
          <w:p w14:paraId="25C82862" w14:textId="77777777" w:rsidR="00207C19" w:rsidRPr="00B0658A" w:rsidRDefault="00207C19" w:rsidP="00E766E3">
            <w:pPr>
              <w:spacing w:after="0" w:line="240" w:lineRule="auto"/>
              <w:rPr>
                <w:rFonts w:ascii="Times New Roman" w:hAnsi="Times New Roman"/>
                <w:sz w:val="18"/>
                <w:szCs w:val="18"/>
              </w:rPr>
            </w:pPr>
            <w:r w:rsidRPr="00B0658A">
              <w:rPr>
                <w:rFonts w:ascii="Times New Roman" w:hAnsi="Times New Roman"/>
                <w:sz w:val="18"/>
                <w:szCs w:val="18"/>
              </w:rPr>
              <w:t>Средства обеспечения информационной безопасности/ Средства антивирусной защиты</w:t>
            </w:r>
          </w:p>
        </w:tc>
        <w:tc>
          <w:tcPr>
            <w:tcW w:w="898" w:type="pct"/>
            <w:shd w:val="clear" w:color="000000" w:fill="FFFFFF"/>
            <w:hideMark/>
          </w:tcPr>
          <w:p w14:paraId="0AC208C1" w14:textId="77777777" w:rsidR="00207C19" w:rsidRPr="00B0658A" w:rsidRDefault="00207C19" w:rsidP="00E766E3">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7" w:type="pct"/>
            <w:shd w:val="clear" w:color="auto" w:fill="auto"/>
            <w:vAlign w:val="center"/>
          </w:tcPr>
          <w:p w14:paraId="50D67CB9" w14:textId="0ADAAA05" w:rsidR="00207C19" w:rsidRPr="008C1E9B" w:rsidRDefault="00207C19" w:rsidP="00E766E3">
            <w:pPr>
              <w:spacing w:after="0" w:line="240" w:lineRule="auto"/>
              <w:jc w:val="center"/>
              <w:rPr>
                <w:rFonts w:ascii="Times New Roman" w:hAnsi="Times New Roman"/>
                <w:sz w:val="18"/>
                <w:szCs w:val="18"/>
              </w:rPr>
            </w:pPr>
            <w:r>
              <w:rPr>
                <w:rFonts w:ascii="Times New Roman" w:hAnsi="Times New Roman"/>
                <w:sz w:val="18"/>
                <w:szCs w:val="18"/>
              </w:rPr>
              <w:t>80</w:t>
            </w:r>
            <w:r w:rsidRPr="00B0658A">
              <w:rPr>
                <w:rFonts w:ascii="Times New Roman" w:hAnsi="Times New Roman"/>
                <w:sz w:val="18"/>
                <w:szCs w:val="18"/>
                <w:lang w:val="en-US"/>
              </w:rPr>
              <w:t>%</w:t>
            </w:r>
          </w:p>
        </w:tc>
        <w:tc>
          <w:tcPr>
            <w:tcW w:w="367" w:type="pct"/>
            <w:shd w:val="clear" w:color="auto" w:fill="auto"/>
            <w:vAlign w:val="center"/>
          </w:tcPr>
          <w:p w14:paraId="4F7BB047" w14:textId="01B94688" w:rsidR="00207C19" w:rsidRPr="008C1E9B" w:rsidRDefault="00207C19" w:rsidP="00E766E3">
            <w:pPr>
              <w:spacing w:after="0" w:line="240" w:lineRule="auto"/>
              <w:jc w:val="center"/>
              <w:rPr>
                <w:rFonts w:ascii="Times New Roman" w:hAnsi="Times New Roman"/>
                <w:sz w:val="18"/>
                <w:szCs w:val="18"/>
              </w:rPr>
            </w:pPr>
            <w:r>
              <w:rPr>
                <w:rFonts w:ascii="Times New Roman" w:hAnsi="Times New Roman"/>
                <w:sz w:val="18"/>
                <w:szCs w:val="18"/>
              </w:rPr>
              <w:t>90</w:t>
            </w:r>
            <w:r w:rsidRPr="00B0658A">
              <w:rPr>
                <w:rFonts w:ascii="Times New Roman" w:hAnsi="Times New Roman"/>
                <w:sz w:val="18"/>
                <w:szCs w:val="18"/>
                <w:lang w:val="en-US"/>
              </w:rPr>
              <w:t>%</w:t>
            </w:r>
          </w:p>
        </w:tc>
        <w:tc>
          <w:tcPr>
            <w:tcW w:w="367" w:type="pct"/>
            <w:shd w:val="clear" w:color="auto" w:fill="auto"/>
            <w:vAlign w:val="center"/>
          </w:tcPr>
          <w:p w14:paraId="57268349" w14:textId="3BD3722C" w:rsidR="00207C19" w:rsidRPr="008C1E9B"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79" w:type="pct"/>
            <w:vAlign w:val="center"/>
          </w:tcPr>
          <w:p w14:paraId="7B876C25" w14:textId="77777777" w:rsidR="00207C19" w:rsidRPr="00B0658A" w:rsidRDefault="00207C19" w:rsidP="00E766E3">
            <w:pPr>
              <w:spacing w:after="0" w:line="240" w:lineRule="auto"/>
              <w:jc w:val="center"/>
              <w:rPr>
                <w:rFonts w:ascii="Times New Roman" w:hAnsi="Times New Roman"/>
                <w:sz w:val="18"/>
                <w:szCs w:val="18"/>
                <w:lang w:val="en-US"/>
              </w:rPr>
            </w:pPr>
            <w:r w:rsidRPr="00B0658A">
              <w:rPr>
                <w:rFonts w:ascii="Times New Roman" w:hAnsi="Times New Roman"/>
                <w:sz w:val="18"/>
                <w:szCs w:val="18"/>
                <w:lang w:val="en-US"/>
              </w:rPr>
              <w:t>100%</w:t>
            </w:r>
          </w:p>
        </w:tc>
        <w:tc>
          <w:tcPr>
            <w:tcW w:w="367" w:type="pct"/>
            <w:shd w:val="clear" w:color="auto" w:fill="auto"/>
            <w:vAlign w:val="center"/>
          </w:tcPr>
          <w:p w14:paraId="154CC579"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7" w:type="pct"/>
            <w:shd w:val="clear" w:color="auto" w:fill="auto"/>
            <w:vAlign w:val="center"/>
          </w:tcPr>
          <w:p w14:paraId="3D407A84"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4" w:type="pct"/>
            <w:shd w:val="clear" w:color="auto" w:fill="auto"/>
            <w:vAlign w:val="center"/>
          </w:tcPr>
          <w:p w14:paraId="6DA8DF56"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207C19" w:rsidRPr="00B0658A" w14:paraId="67EC8E7C" w14:textId="77777777" w:rsidTr="00FE71B1">
        <w:trPr>
          <w:trHeight w:val="20"/>
        </w:trPr>
        <w:tc>
          <w:tcPr>
            <w:tcW w:w="342" w:type="pct"/>
            <w:shd w:val="clear" w:color="000000" w:fill="FFFFFF"/>
            <w:vAlign w:val="center"/>
          </w:tcPr>
          <w:p w14:paraId="6DD6EA2F" w14:textId="77777777" w:rsidR="00207C19" w:rsidRPr="00B0658A" w:rsidRDefault="00207C19" w:rsidP="00FE71B1">
            <w:pPr>
              <w:spacing w:after="0" w:line="240" w:lineRule="auto"/>
              <w:jc w:val="center"/>
              <w:rPr>
                <w:rFonts w:ascii="Times New Roman" w:hAnsi="Times New Roman"/>
                <w:sz w:val="18"/>
                <w:szCs w:val="18"/>
              </w:rPr>
            </w:pPr>
            <w:r w:rsidRPr="00B0658A">
              <w:rPr>
                <w:rFonts w:ascii="Times New Roman" w:hAnsi="Times New Roman"/>
                <w:sz w:val="18"/>
                <w:szCs w:val="18"/>
              </w:rPr>
              <w:t>3.7</w:t>
            </w:r>
          </w:p>
        </w:tc>
        <w:tc>
          <w:tcPr>
            <w:tcW w:w="1182" w:type="pct"/>
            <w:shd w:val="clear" w:color="auto" w:fill="auto"/>
            <w:vAlign w:val="center"/>
            <w:hideMark/>
          </w:tcPr>
          <w:p w14:paraId="68E2EF15" w14:textId="77777777" w:rsidR="00207C19" w:rsidRPr="00B0658A" w:rsidRDefault="00207C19" w:rsidP="00E766E3">
            <w:pPr>
              <w:spacing w:after="0" w:line="240" w:lineRule="auto"/>
              <w:rPr>
                <w:rFonts w:ascii="Times New Roman" w:hAnsi="Times New Roman"/>
                <w:sz w:val="18"/>
                <w:szCs w:val="18"/>
              </w:rPr>
            </w:pPr>
            <w:r w:rsidRPr="00B0658A">
              <w:rPr>
                <w:rFonts w:ascii="Times New Roman" w:hAnsi="Times New Roman"/>
                <w:sz w:val="18"/>
                <w:szCs w:val="18"/>
              </w:rPr>
              <w:t>Средства обеспечения информационной безопасности/ Средства выявления целевых атак</w:t>
            </w:r>
          </w:p>
        </w:tc>
        <w:tc>
          <w:tcPr>
            <w:tcW w:w="898" w:type="pct"/>
            <w:shd w:val="clear" w:color="000000" w:fill="FFFFFF"/>
            <w:hideMark/>
          </w:tcPr>
          <w:p w14:paraId="64FAD9A9" w14:textId="77777777" w:rsidR="00207C19" w:rsidRPr="00B0658A" w:rsidRDefault="00207C19" w:rsidP="00E766E3">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7" w:type="pct"/>
            <w:shd w:val="clear" w:color="auto" w:fill="auto"/>
            <w:vAlign w:val="center"/>
          </w:tcPr>
          <w:p w14:paraId="067D0ADB" w14:textId="77777777" w:rsidR="00207C19" w:rsidRPr="00B0658A" w:rsidRDefault="00207C19" w:rsidP="00E766E3">
            <w:pPr>
              <w:spacing w:after="0" w:line="240" w:lineRule="auto"/>
              <w:jc w:val="center"/>
              <w:rPr>
                <w:rFonts w:ascii="Times New Roman" w:hAnsi="Times New Roman"/>
                <w:sz w:val="18"/>
                <w:szCs w:val="18"/>
              </w:rPr>
            </w:pPr>
            <w:r>
              <w:rPr>
                <w:rFonts w:ascii="Times New Roman" w:hAnsi="Times New Roman"/>
                <w:sz w:val="18"/>
                <w:szCs w:val="18"/>
              </w:rPr>
              <w:t>60</w:t>
            </w:r>
            <w:r w:rsidRPr="00B0658A">
              <w:rPr>
                <w:rFonts w:ascii="Times New Roman" w:hAnsi="Times New Roman"/>
                <w:sz w:val="18"/>
                <w:szCs w:val="18"/>
                <w:lang w:val="en-US"/>
              </w:rPr>
              <w:t>%</w:t>
            </w:r>
          </w:p>
        </w:tc>
        <w:tc>
          <w:tcPr>
            <w:tcW w:w="367" w:type="pct"/>
            <w:shd w:val="clear" w:color="auto" w:fill="auto"/>
            <w:vAlign w:val="center"/>
          </w:tcPr>
          <w:p w14:paraId="06161A9A" w14:textId="77777777" w:rsidR="00207C19" w:rsidRPr="00B0658A" w:rsidRDefault="00207C19" w:rsidP="00E766E3">
            <w:pPr>
              <w:spacing w:after="0" w:line="240" w:lineRule="auto"/>
              <w:jc w:val="center"/>
              <w:rPr>
                <w:rFonts w:ascii="Times New Roman" w:hAnsi="Times New Roman"/>
                <w:sz w:val="18"/>
                <w:szCs w:val="18"/>
              </w:rPr>
            </w:pPr>
            <w:r>
              <w:rPr>
                <w:rFonts w:ascii="Times New Roman" w:hAnsi="Times New Roman"/>
                <w:sz w:val="18"/>
                <w:szCs w:val="18"/>
              </w:rPr>
              <w:t>8</w:t>
            </w:r>
            <w:r w:rsidRPr="00B0658A">
              <w:rPr>
                <w:rFonts w:ascii="Times New Roman" w:hAnsi="Times New Roman"/>
                <w:sz w:val="18"/>
                <w:szCs w:val="18"/>
                <w:lang w:val="en-US"/>
              </w:rPr>
              <w:t>0%</w:t>
            </w:r>
          </w:p>
        </w:tc>
        <w:tc>
          <w:tcPr>
            <w:tcW w:w="367" w:type="pct"/>
            <w:shd w:val="clear" w:color="auto" w:fill="auto"/>
            <w:vAlign w:val="center"/>
          </w:tcPr>
          <w:p w14:paraId="19072B6A"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79" w:type="pct"/>
            <w:vAlign w:val="center"/>
          </w:tcPr>
          <w:p w14:paraId="43192E17" w14:textId="77777777" w:rsidR="00207C19" w:rsidRPr="00B0658A" w:rsidRDefault="00207C19" w:rsidP="00E766E3">
            <w:pPr>
              <w:spacing w:after="0" w:line="240" w:lineRule="auto"/>
              <w:jc w:val="center"/>
              <w:rPr>
                <w:rFonts w:ascii="Times New Roman" w:hAnsi="Times New Roman"/>
                <w:sz w:val="18"/>
                <w:szCs w:val="18"/>
                <w:lang w:val="en-US"/>
              </w:rPr>
            </w:pPr>
            <w:r w:rsidRPr="00B0658A">
              <w:rPr>
                <w:rFonts w:ascii="Times New Roman" w:hAnsi="Times New Roman"/>
                <w:sz w:val="18"/>
                <w:szCs w:val="18"/>
                <w:lang w:val="en-US"/>
              </w:rPr>
              <w:t>100%</w:t>
            </w:r>
          </w:p>
        </w:tc>
        <w:tc>
          <w:tcPr>
            <w:tcW w:w="367" w:type="pct"/>
            <w:shd w:val="clear" w:color="auto" w:fill="auto"/>
            <w:vAlign w:val="center"/>
          </w:tcPr>
          <w:p w14:paraId="380A051E"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7" w:type="pct"/>
            <w:shd w:val="clear" w:color="auto" w:fill="auto"/>
            <w:vAlign w:val="center"/>
          </w:tcPr>
          <w:p w14:paraId="737324CA"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4" w:type="pct"/>
            <w:shd w:val="clear" w:color="auto" w:fill="auto"/>
            <w:vAlign w:val="center"/>
          </w:tcPr>
          <w:p w14:paraId="235751DF"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207C19" w:rsidRPr="00B0658A" w14:paraId="02D54A30" w14:textId="77777777" w:rsidTr="00FE71B1">
        <w:trPr>
          <w:trHeight w:val="20"/>
        </w:trPr>
        <w:tc>
          <w:tcPr>
            <w:tcW w:w="342" w:type="pct"/>
            <w:shd w:val="clear" w:color="000000" w:fill="FFFFFF"/>
            <w:vAlign w:val="center"/>
          </w:tcPr>
          <w:p w14:paraId="792306E8" w14:textId="77777777" w:rsidR="00207C19" w:rsidRPr="00B0658A" w:rsidRDefault="00207C19" w:rsidP="00FE71B1">
            <w:pPr>
              <w:spacing w:after="0" w:line="240" w:lineRule="auto"/>
              <w:jc w:val="center"/>
              <w:rPr>
                <w:rFonts w:ascii="Times New Roman" w:hAnsi="Times New Roman"/>
                <w:sz w:val="18"/>
                <w:szCs w:val="18"/>
              </w:rPr>
            </w:pPr>
            <w:r w:rsidRPr="00B0658A">
              <w:rPr>
                <w:rFonts w:ascii="Times New Roman" w:hAnsi="Times New Roman"/>
                <w:sz w:val="18"/>
                <w:szCs w:val="18"/>
              </w:rPr>
              <w:t>3.8</w:t>
            </w:r>
          </w:p>
        </w:tc>
        <w:tc>
          <w:tcPr>
            <w:tcW w:w="1182" w:type="pct"/>
            <w:shd w:val="clear" w:color="auto" w:fill="auto"/>
            <w:vAlign w:val="center"/>
            <w:hideMark/>
          </w:tcPr>
          <w:p w14:paraId="4FCCE6A5" w14:textId="77777777" w:rsidR="00207C19" w:rsidRPr="00B0658A" w:rsidRDefault="00207C19" w:rsidP="00E766E3">
            <w:pPr>
              <w:spacing w:after="0" w:line="240" w:lineRule="auto"/>
              <w:rPr>
                <w:rFonts w:ascii="Times New Roman" w:hAnsi="Times New Roman"/>
                <w:sz w:val="18"/>
                <w:szCs w:val="18"/>
              </w:rPr>
            </w:pPr>
            <w:r w:rsidRPr="00B0658A">
              <w:rPr>
                <w:rFonts w:ascii="Times New Roman" w:hAnsi="Times New Roman"/>
                <w:sz w:val="18"/>
                <w:szCs w:val="18"/>
              </w:rPr>
              <w:t>Средства обеспечения информационной безопасности/ Средства гарантированного уничтожения данных</w:t>
            </w:r>
          </w:p>
        </w:tc>
        <w:tc>
          <w:tcPr>
            <w:tcW w:w="898" w:type="pct"/>
            <w:shd w:val="clear" w:color="000000" w:fill="FFFFFF"/>
            <w:hideMark/>
          </w:tcPr>
          <w:p w14:paraId="02B9253B" w14:textId="77777777" w:rsidR="00207C19" w:rsidRPr="00B0658A" w:rsidRDefault="00207C19" w:rsidP="00E766E3">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7" w:type="pct"/>
            <w:shd w:val="clear" w:color="auto" w:fill="auto"/>
            <w:vAlign w:val="center"/>
          </w:tcPr>
          <w:p w14:paraId="13D60162" w14:textId="77777777" w:rsidR="00207C19" w:rsidRPr="00B0658A" w:rsidRDefault="00207C19" w:rsidP="00E766E3">
            <w:pPr>
              <w:spacing w:after="0" w:line="240" w:lineRule="auto"/>
              <w:jc w:val="center"/>
              <w:rPr>
                <w:rFonts w:ascii="Times New Roman" w:hAnsi="Times New Roman"/>
                <w:sz w:val="18"/>
                <w:szCs w:val="18"/>
              </w:rPr>
            </w:pPr>
            <w:r>
              <w:rPr>
                <w:rFonts w:ascii="Times New Roman" w:hAnsi="Times New Roman"/>
                <w:sz w:val="18"/>
                <w:szCs w:val="18"/>
              </w:rPr>
              <w:t>60</w:t>
            </w:r>
            <w:r w:rsidRPr="00B0658A">
              <w:rPr>
                <w:rFonts w:ascii="Times New Roman" w:hAnsi="Times New Roman"/>
                <w:sz w:val="18"/>
                <w:szCs w:val="18"/>
                <w:lang w:val="en-US"/>
              </w:rPr>
              <w:t>%</w:t>
            </w:r>
          </w:p>
        </w:tc>
        <w:tc>
          <w:tcPr>
            <w:tcW w:w="367" w:type="pct"/>
            <w:shd w:val="clear" w:color="auto" w:fill="auto"/>
            <w:vAlign w:val="center"/>
          </w:tcPr>
          <w:p w14:paraId="13FFC1E2" w14:textId="77777777" w:rsidR="00207C19" w:rsidRPr="00B0658A" w:rsidRDefault="00207C19" w:rsidP="00E766E3">
            <w:pPr>
              <w:spacing w:after="0" w:line="240" w:lineRule="auto"/>
              <w:jc w:val="center"/>
              <w:rPr>
                <w:rFonts w:ascii="Times New Roman" w:hAnsi="Times New Roman"/>
                <w:sz w:val="18"/>
                <w:szCs w:val="18"/>
              </w:rPr>
            </w:pPr>
            <w:r>
              <w:rPr>
                <w:rFonts w:ascii="Times New Roman" w:hAnsi="Times New Roman"/>
                <w:sz w:val="18"/>
                <w:szCs w:val="18"/>
              </w:rPr>
              <w:t>8</w:t>
            </w:r>
            <w:r w:rsidRPr="00B0658A">
              <w:rPr>
                <w:rFonts w:ascii="Times New Roman" w:hAnsi="Times New Roman"/>
                <w:sz w:val="18"/>
                <w:szCs w:val="18"/>
                <w:lang w:val="en-US"/>
              </w:rPr>
              <w:t>0%</w:t>
            </w:r>
          </w:p>
        </w:tc>
        <w:tc>
          <w:tcPr>
            <w:tcW w:w="367" w:type="pct"/>
            <w:shd w:val="clear" w:color="auto" w:fill="auto"/>
            <w:vAlign w:val="center"/>
          </w:tcPr>
          <w:p w14:paraId="55BDA4D6"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79" w:type="pct"/>
            <w:vAlign w:val="center"/>
          </w:tcPr>
          <w:p w14:paraId="6769863F" w14:textId="77777777" w:rsidR="00207C19" w:rsidRPr="00B0658A" w:rsidRDefault="00207C19" w:rsidP="00E766E3">
            <w:pPr>
              <w:spacing w:after="0" w:line="240" w:lineRule="auto"/>
              <w:jc w:val="center"/>
              <w:rPr>
                <w:rFonts w:ascii="Times New Roman" w:hAnsi="Times New Roman"/>
                <w:sz w:val="18"/>
                <w:szCs w:val="18"/>
                <w:lang w:val="en-US"/>
              </w:rPr>
            </w:pPr>
            <w:r w:rsidRPr="00B0658A">
              <w:rPr>
                <w:rFonts w:ascii="Times New Roman" w:hAnsi="Times New Roman"/>
                <w:sz w:val="18"/>
                <w:szCs w:val="18"/>
                <w:lang w:val="en-US"/>
              </w:rPr>
              <w:t>100%</w:t>
            </w:r>
          </w:p>
        </w:tc>
        <w:tc>
          <w:tcPr>
            <w:tcW w:w="367" w:type="pct"/>
            <w:shd w:val="clear" w:color="auto" w:fill="auto"/>
            <w:vAlign w:val="center"/>
          </w:tcPr>
          <w:p w14:paraId="56501D4A" w14:textId="77777777" w:rsidR="00207C19" w:rsidRPr="00B0658A" w:rsidRDefault="00207C19" w:rsidP="00E766E3">
            <w:pPr>
              <w:spacing w:after="0" w:line="240" w:lineRule="auto"/>
              <w:jc w:val="center"/>
              <w:rPr>
                <w:rFonts w:ascii="Times New Roman" w:hAnsi="Times New Roman"/>
                <w:sz w:val="18"/>
                <w:szCs w:val="18"/>
              </w:rPr>
            </w:pPr>
            <w:r>
              <w:rPr>
                <w:rFonts w:ascii="Times New Roman" w:hAnsi="Times New Roman"/>
                <w:sz w:val="18"/>
                <w:szCs w:val="18"/>
              </w:rPr>
              <w:t>100</w:t>
            </w:r>
            <w:r w:rsidRPr="00B0658A">
              <w:rPr>
                <w:rFonts w:ascii="Times New Roman" w:hAnsi="Times New Roman"/>
                <w:sz w:val="18"/>
                <w:szCs w:val="18"/>
                <w:lang w:val="en-US"/>
              </w:rPr>
              <w:t>%</w:t>
            </w:r>
          </w:p>
        </w:tc>
        <w:tc>
          <w:tcPr>
            <w:tcW w:w="367" w:type="pct"/>
            <w:shd w:val="clear" w:color="auto" w:fill="auto"/>
            <w:vAlign w:val="center"/>
          </w:tcPr>
          <w:p w14:paraId="5A808A21"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4" w:type="pct"/>
            <w:shd w:val="clear" w:color="auto" w:fill="auto"/>
            <w:vAlign w:val="center"/>
          </w:tcPr>
          <w:p w14:paraId="1040038F"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207C19" w:rsidRPr="00B0658A" w14:paraId="308CC846" w14:textId="77777777" w:rsidTr="00FE71B1">
        <w:trPr>
          <w:trHeight w:val="20"/>
        </w:trPr>
        <w:tc>
          <w:tcPr>
            <w:tcW w:w="342" w:type="pct"/>
            <w:shd w:val="clear" w:color="000000" w:fill="FFFFFF"/>
            <w:vAlign w:val="center"/>
          </w:tcPr>
          <w:p w14:paraId="4B8BC09E" w14:textId="77777777" w:rsidR="00207C19" w:rsidRPr="00B0658A" w:rsidRDefault="00207C19" w:rsidP="00FE71B1">
            <w:pPr>
              <w:spacing w:after="0" w:line="240" w:lineRule="auto"/>
              <w:jc w:val="center"/>
              <w:rPr>
                <w:rFonts w:ascii="Times New Roman" w:hAnsi="Times New Roman"/>
                <w:sz w:val="18"/>
                <w:szCs w:val="18"/>
              </w:rPr>
            </w:pPr>
            <w:r w:rsidRPr="00B0658A">
              <w:rPr>
                <w:rFonts w:ascii="Times New Roman" w:hAnsi="Times New Roman"/>
                <w:sz w:val="18"/>
                <w:szCs w:val="18"/>
              </w:rPr>
              <w:t>3.9</w:t>
            </w:r>
          </w:p>
        </w:tc>
        <w:tc>
          <w:tcPr>
            <w:tcW w:w="1182" w:type="pct"/>
            <w:shd w:val="clear" w:color="auto" w:fill="auto"/>
            <w:vAlign w:val="center"/>
            <w:hideMark/>
          </w:tcPr>
          <w:p w14:paraId="4B695B8C" w14:textId="77777777" w:rsidR="00207C19" w:rsidRPr="00B0658A" w:rsidRDefault="00207C19" w:rsidP="00E766E3">
            <w:pPr>
              <w:spacing w:after="0" w:line="240" w:lineRule="auto"/>
              <w:rPr>
                <w:rFonts w:ascii="Times New Roman" w:hAnsi="Times New Roman"/>
                <w:sz w:val="18"/>
                <w:szCs w:val="18"/>
              </w:rPr>
            </w:pPr>
            <w:r w:rsidRPr="00B0658A">
              <w:rPr>
                <w:rFonts w:ascii="Times New Roman" w:hAnsi="Times New Roman"/>
                <w:sz w:val="18"/>
                <w:szCs w:val="18"/>
              </w:rPr>
              <w:t>Средства обеспечения информационной безопасности/ Средства обнаружения и предотвращения утечек информации</w:t>
            </w:r>
          </w:p>
        </w:tc>
        <w:tc>
          <w:tcPr>
            <w:tcW w:w="898" w:type="pct"/>
            <w:shd w:val="clear" w:color="000000" w:fill="FFFFFF"/>
            <w:hideMark/>
          </w:tcPr>
          <w:p w14:paraId="23E9D4CA" w14:textId="77777777" w:rsidR="00207C19" w:rsidRPr="00B0658A" w:rsidRDefault="00207C19" w:rsidP="00E766E3">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7" w:type="pct"/>
            <w:shd w:val="clear" w:color="auto" w:fill="auto"/>
            <w:vAlign w:val="center"/>
          </w:tcPr>
          <w:p w14:paraId="5C95156F" w14:textId="77777777" w:rsidR="00207C19" w:rsidRPr="00B0658A" w:rsidRDefault="00207C19" w:rsidP="00E766E3">
            <w:pPr>
              <w:spacing w:after="0" w:line="240" w:lineRule="auto"/>
              <w:jc w:val="center"/>
              <w:rPr>
                <w:rFonts w:ascii="Times New Roman" w:hAnsi="Times New Roman"/>
                <w:sz w:val="18"/>
                <w:szCs w:val="18"/>
              </w:rPr>
            </w:pPr>
            <w:r>
              <w:rPr>
                <w:rFonts w:ascii="Times New Roman" w:hAnsi="Times New Roman"/>
                <w:sz w:val="18"/>
                <w:szCs w:val="18"/>
              </w:rPr>
              <w:t>60</w:t>
            </w:r>
            <w:r w:rsidRPr="00B0658A">
              <w:rPr>
                <w:rFonts w:ascii="Times New Roman" w:hAnsi="Times New Roman"/>
                <w:sz w:val="18"/>
                <w:szCs w:val="18"/>
                <w:lang w:val="en-US"/>
              </w:rPr>
              <w:t>%</w:t>
            </w:r>
          </w:p>
        </w:tc>
        <w:tc>
          <w:tcPr>
            <w:tcW w:w="367" w:type="pct"/>
            <w:shd w:val="clear" w:color="auto" w:fill="auto"/>
            <w:vAlign w:val="center"/>
          </w:tcPr>
          <w:p w14:paraId="5E642B2C" w14:textId="77777777" w:rsidR="00207C19" w:rsidRPr="00B0658A" w:rsidRDefault="00207C19" w:rsidP="00E766E3">
            <w:pPr>
              <w:spacing w:after="0" w:line="240" w:lineRule="auto"/>
              <w:jc w:val="center"/>
              <w:rPr>
                <w:rFonts w:ascii="Times New Roman" w:hAnsi="Times New Roman"/>
                <w:sz w:val="18"/>
                <w:szCs w:val="18"/>
              </w:rPr>
            </w:pPr>
            <w:r>
              <w:rPr>
                <w:rFonts w:ascii="Times New Roman" w:hAnsi="Times New Roman"/>
                <w:sz w:val="18"/>
                <w:szCs w:val="18"/>
              </w:rPr>
              <w:t>8</w:t>
            </w:r>
            <w:r w:rsidRPr="00B0658A">
              <w:rPr>
                <w:rFonts w:ascii="Times New Roman" w:hAnsi="Times New Roman"/>
                <w:sz w:val="18"/>
                <w:szCs w:val="18"/>
                <w:lang w:val="en-US"/>
              </w:rPr>
              <w:t>0%</w:t>
            </w:r>
          </w:p>
        </w:tc>
        <w:tc>
          <w:tcPr>
            <w:tcW w:w="367" w:type="pct"/>
            <w:shd w:val="clear" w:color="auto" w:fill="auto"/>
            <w:vAlign w:val="center"/>
          </w:tcPr>
          <w:p w14:paraId="43D92DBF"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79" w:type="pct"/>
            <w:vAlign w:val="center"/>
          </w:tcPr>
          <w:p w14:paraId="7DBCCE67" w14:textId="77777777" w:rsidR="00207C19" w:rsidRPr="00B0658A" w:rsidRDefault="00207C19" w:rsidP="00E766E3">
            <w:pPr>
              <w:spacing w:after="0" w:line="240" w:lineRule="auto"/>
              <w:jc w:val="center"/>
              <w:rPr>
                <w:rFonts w:ascii="Times New Roman" w:hAnsi="Times New Roman"/>
                <w:sz w:val="18"/>
                <w:szCs w:val="18"/>
                <w:lang w:val="en-US"/>
              </w:rPr>
            </w:pPr>
            <w:r w:rsidRPr="00B0658A">
              <w:rPr>
                <w:rFonts w:ascii="Times New Roman" w:hAnsi="Times New Roman"/>
                <w:sz w:val="18"/>
                <w:szCs w:val="18"/>
                <w:lang w:val="en-US"/>
              </w:rPr>
              <w:t>100%</w:t>
            </w:r>
          </w:p>
        </w:tc>
        <w:tc>
          <w:tcPr>
            <w:tcW w:w="367" w:type="pct"/>
            <w:shd w:val="clear" w:color="auto" w:fill="auto"/>
            <w:vAlign w:val="center"/>
          </w:tcPr>
          <w:p w14:paraId="4F473356"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7" w:type="pct"/>
            <w:shd w:val="clear" w:color="auto" w:fill="auto"/>
            <w:vAlign w:val="center"/>
          </w:tcPr>
          <w:p w14:paraId="79895610"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4" w:type="pct"/>
            <w:shd w:val="clear" w:color="auto" w:fill="auto"/>
            <w:vAlign w:val="center"/>
          </w:tcPr>
          <w:p w14:paraId="24B78C44"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207C19" w:rsidRPr="00B0658A" w14:paraId="4B887244" w14:textId="77777777" w:rsidTr="00FE71B1">
        <w:trPr>
          <w:trHeight w:val="20"/>
        </w:trPr>
        <w:tc>
          <w:tcPr>
            <w:tcW w:w="342" w:type="pct"/>
            <w:shd w:val="clear" w:color="000000" w:fill="FFFFFF"/>
            <w:vAlign w:val="center"/>
          </w:tcPr>
          <w:p w14:paraId="23EBE86B" w14:textId="77777777" w:rsidR="00207C19" w:rsidRPr="00B0658A" w:rsidRDefault="00207C19" w:rsidP="00FE71B1">
            <w:pPr>
              <w:spacing w:after="0" w:line="240" w:lineRule="auto"/>
              <w:jc w:val="center"/>
              <w:rPr>
                <w:rFonts w:ascii="Times New Roman" w:hAnsi="Times New Roman"/>
                <w:sz w:val="18"/>
                <w:szCs w:val="18"/>
              </w:rPr>
            </w:pPr>
            <w:r w:rsidRPr="00B0658A">
              <w:rPr>
                <w:rFonts w:ascii="Times New Roman" w:hAnsi="Times New Roman"/>
                <w:sz w:val="18"/>
                <w:szCs w:val="18"/>
              </w:rPr>
              <w:t>3.10</w:t>
            </w:r>
          </w:p>
        </w:tc>
        <w:tc>
          <w:tcPr>
            <w:tcW w:w="1182" w:type="pct"/>
            <w:shd w:val="clear" w:color="auto" w:fill="auto"/>
            <w:vAlign w:val="center"/>
            <w:hideMark/>
          </w:tcPr>
          <w:p w14:paraId="2C40132F" w14:textId="77777777" w:rsidR="00207C19" w:rsidRPr="00B0658A" w:rsidRDefault="00207C19" w:rsidP="00E766E3">
            <w:pPr>
              <w:spacing w:after="0" w:line="240" w:lineRule="auto"/>
              <w:rPr>
                <w:rFonts w:ascii="Times New Roman" w:hAnsi="Times New Roman"/>
                <w:sz w:val="18"/>
                <w:szCs w:val="18"/>
              </w:rPr>
            </w:pPr>
            <w:r w:rsidRPr="00B0658A">
              <w:rPr>
                <w:rFonts w:ascii="Times New Roman" w:hAnsi="Times New Roman"/>
                <w:sz w:val="18"/>
                <w:szCs w:val="18"/>
              </w:rPr>
              <w:t>Средства обеспечения информационной безопасности/ Средства криптографической защиты информации и электронной подписи</w:t>
            </w:r>
          </w:p>
        </w:tc>
        <w:tc>
          <w:tcPr>
            <w:tcW w:w="898" w:type="pct"/>
            <w:shd w:val="clear" w:color="000000" w:fill="FFFFFF"/>
            <w:hideMark/>
          </w:tcPr>
          <w:p w14:paraId="312CC266" w14:textId="77777777" w:rsidR="00207C19" w:rsidRPr="00B0658A" w:rsidRDefault="00207C19" w:rsidP="00E766E3">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7" w:type="pct"/>
            <w:shd w:val="clear" w:color="auto" w:fill="auto"/>
            <w:vAlign w:val="center"/>
          </w:tcPr>
          <w:p w14:paraId="1D2A921B"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7" w:type="pct"/>
            <w:shd w:val="clear" w:color="auto" w:fill="auto"/>
            <w:vAlign w:val="center"/>
          </w:tcPr>
          <w:p w14:paraId="0533E17D"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7" w:type="pct"/>
            <w:shd w:val="clear" w:color="auto" w:fill="auto"/>
            <w:vAlign w:val="center"/>
          </w:tcPr>
          <w:p w14:paraId="325E3D6C"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79" w:type="pct"/>
            <w:vAlign w:val="center"/>
          </w:tcPr>
          <w:p w14:paraId="646716DF" w14:textId="77777777" w:rsidR="00207C19" w:rsidRPr="00B0658A" w:rsidRDefault="00207C19" w:rsidP="00E766E3">
            <w:pPr>
              <w:spacing w:after="0" w:line="240" w:lineRule="auto"/>
              <w:jc w:val="center"/>
              <w:rPr>
                <w:rFonts w:ascii="Times New Roman" w:hAnsi="Times New Roman"/>
                <w:sz w:val="18"/>
                <w:szCs w:val="18"/>
                <w:lang w:val="en-US"/>
              </w:rPr>
            </w:pPr>
            <w:r w:rsidRPr="00B0658A">
              <w:rPr>
                <w:rFonts w:ascii="Times New Roman" w:hAnsi="Times New Roman"/>
                <w:sz w:val="18"/>
                <w:szCs w:val="18"/>
                <w:lang w:val="en-US"/>
              </w:rPr>
              <w:t>100%</w:t>
            </w:r>
          </w:p>
        </w:tc>
        <w:tc>
          <w:tcPr>
            <w:tcW w:w="367" w:type="pct"/>
            <w:shd w:val="clear" w:color="auto" w:fill="auto"/>
            <w:vAlign w:val="center"/>
          </w:tcPr>
          <w:p w14:paraId="61E56385"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7" w:type="pct"/>
            <w:shd w:val="clear" w:color="auto" w:fill="auto"/>
            <w:vAlign w:val="center"/>
          </w:tcPr>
          <w:p w14:paraId="3827BE7B"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4" w:type="pct"/>
            <w:shd w:val="clear" w:color="auto" w:fill="auto"/>
            <w:vAlign w:val="center"/>
          </w:tcPr>
          <w:p w14:paraId="67C3545D"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207C19" w:rsidRPr="00B0658A" w14:paraId="58E7966F" w14:textId="77777777" w:rsidTr="00FE71B1">
        <w:trPr>
          <w:trHeight w:val="20"/>
        </w:trPr>
        <w:tc>
          <w:tcPr>
            <w:tcW w:w="342" w:type="pct"/>
            <w:shd w:val="clear" w:color="000000" w:fill="FFFFFF"/>
            <w:vAlign w:val="center"/>
          </w:tcPr>
          <w:p w14:paraId="4C94658E" w14:textId="77777777" w:rsidR="00207C19" w:rsidRPr="00B0658A" w:rsidRDefault="00207C19" w:rsidP="00FE71B1">
            <w:pPr>
              <w:spacing w:after="0" w:line="240" w:lineRule="auto"/>
              <w:jc w:val="center"/>
              <w:rPr>
                <w:rFonts w:ascii="Times New Roman" w:hAnsi="Times New Roman"/>
                <w:sz w:val="18"/>
                <w:szCs w:val="18"/>
              </w:rPr>
            </w:pPr>
            <w:r w:rsidRPr="00B0658A">
              <w:rPr>
                <w:rFonts w:ascii="Times New Roman" w:hAnsi="Times New Roman"/>
                <w:sz w:val="18"/>
                <w:szCs w:val="18"/>
              </w:rPr>
              <w:t>3.11</w:t>
            </w:r>
          </w:p>
        </w:tc>
        <w:tc>
          <w:tcPr>
            <w:tcW w:w="1182" w:type="pct"/>
            <w:shd w:val="clear" w:color="auto" w:fill="auto"/>
            <w:vAlign w:val="center"/>
            <w:hideMark/>
          </w:tcPr>
          <w:p w14:paraId="7408E408" w14:textId="77777777" w:rsidR="00207C19" w:rsidRPr="00B0658A" w:rsidRDefault="00207C19" w:rsidP="00E766E3">
            <w:pPr>
              <w:spacing w:after="0" w:line="240" w:lineRule="auto"/>
              <w:rPr>
                <w:rFonts w:ascii="Times New Roman" w:hAnsi="Times New Roman"/>
                <w:sz w:val="18"/>
                <w:szCs w:val="18"/>
              </w:rPr>
            </w:pPr>
            <w:r w:rsidRPr="00B0658A">
              <w:rPr>
                <w:rFonts w:ascii="Times New Roman" w:hAnsi="Times New Roman"/>
                <w:sz w:val="18"/>
                <w:szCs w:val="18"/>
              </w:rPr>
              <w:t>Средства обеспечения информационной безопасности/ Средства защиты каналов передачи данных, в том числе криптографическими методами</w:t>
            </w:r>
          </w:p>
        </w:tc>
        <w:tc>
          <w:tcPr>
            <w:tcW w:w="898" w:type="pct"/>
            <w:shd w:val="clear" w:color="000000" w:fill="FFFFFF"/>
            <w:hideMark/>
          </w:tcPr>
          <w:p w14:paraId="1420F2E2" w14:textId="77777777" w:rsidR="00207C19" w:rsidRPr="00B0658A" w:rsidRDefault="00207C19" w:rsidP="00E766E3">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7" w:type="pct"/>
            <w:shd w:val="clear" w:color="auto" w:fill="auto"/>
            <w:vAlign w:val="center"/>
          </w:tcPr>
          <w:p w14:paraId="4F1271D6" w14:textId="77777777" w:rsidR="00207C19" w:rsidRPr="00B0658A" w:rsidRDefault="00207C19" w:rsidP="00E766E3">
            <w:pPr>
              <w:spacing w:after="0" w:line="240" w:lineRule="auto"/>
              <w:jc w:val="center"/>
              <w:rPr>
                <w:rFonts w:ascii="Times New Roman" w:hAnsi="Times New Roman"/>
                <w:sz w:val="18"/>
                <w:szCs w:val="18"/>
              </w:rPr>
            </w:pPr>
            <w:r>
              <w:rPr>
                <w:rFonts w:ascii="Times New Roman" w:hAnsi="Times New Roman"/>
                <w:sz w:val="18"/>
                <w:szCs w:val="18"/>
              </w:rPr>
              <w:t>60</w:t>
            </w:r>
            <w:r w:rsidRPr="00B0658A">
              <w:rPr>
                <w:rFonts w:ascii="Times New Roman" w:hAnsi="Times New Roman"/>
                <w:sz w:val="18"/>
                <w:szCs w:val="18"/>
                <w:lang w:val="en-US"/>
              </w:rPr>
              <w:t>%</w:t>
            </w:r>
          </w:p>
        </w:tc>
        <w:tc>
          <w:tcPr>
            <w:tcW w:w="367" w:type="pct"/>
            <w:shd w:val="clear" w:color="auto" w:fill="auto"/>
            <w:vAlign w:val="center"/>
          </w:tcPr>
          <w:p w14:paraId="11A5FF41" w14:textId="77777777" w:rsidR="00207C19" w:rsidRPr="00B0658A" w:rsidRDefault="00207C19" w:rsidP="00E766E3">
            <w:pPr>
              <w:spacing w:after="0" w:line="240" w:lineRule="auto"/>
              <w:jc w:val="center"/>
              <w:rPr>
                <w:rFonts w:ascii="Times New Roman" w:hAnsi="Times New Roman"/>
                <w:sz w:val="18"/>
                <w:szCs w:val="18"/>
              </w:rPr>
            </w:pPr>
            <w:r>
              <w:rPr>
                <w:rFonts w:ascii="Times New Roman" w:hAnsi="Times New Roman"/>
                <w:sz w:val="18"/>
                <w:szCs w:val="18"/>
              </w:rPr>
              <w:t>8</w:t>
            </w:r>
            <w:r w:rsidRPr="00B0658A">
              <w:rPr>
                <w:rFonts w:ascii="Times New Roman" w:hAnsi="Times New Roman"/>
                <w:sz w:val="18"/>
                <w:szCs w:val="18"/>
                <w:lang w:val="en-US"/>
              </w:rPr>
              <w:t>0%</w:t>
            </w:r>
          </w:p>
        </w:tc>
        <w:tc>
          <w:tcPr>
            <w:tcW w:w="367" w:type="pct"/>
            <w:shd w:val="clear" w:color="auto" w:fill="auto"/>
            <w:vAlign w:val="center"/>
          </w:tcPr>
          <w:p w14:paraId="283E124B"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79" w:type="pct"/>
            <w:vAlign w:val="center"/>
          </w:tcPr>
          <w:p w14:paraId="70508B21" w14:textId="77777777" w:rsidR="00207C19" w:rsidRPr="00B0658A" w:rsidRDefault="00207C19" w:rsidP="00E766E3">
            <w:pPr>
              <w:spacing w:after="0" w:line="240" w:lineRule="auto"/>
              <w:jc w:val="center"/>
              <w:rPr>
                <w:rFonts w:ascii="Times New Roman" w:hAnsi="Times New Roman"/>
                <w:sz w:val="18"/>
                <w:szCs w:val="18"/>
                <w:lang w:val="en-US"/>
              </w:rPr>
            </w:pPr>
            <w:r w:rsidRPr="00B0658A">
              <w:rPr>
                <w:rFonts w:ascii="Times New Roman" w:hAnsi="Times New Roman"/>
                <w:sz w:val="18"/>
                <w:szCs w:val="18"/>
                <w:lang w:val="en-US"/>
              </w:rPr>
              <w:t>100%</w:t>
            </w:r>
          </w:p>
        </w:tc>
        <w:tc>
          <w:tcPr>
            <w:tcW w:w="367" w:type="pct"/>
            <w:shd w:val="clear" w:color="auto" w:fill="auto"/>
            <w:vAlign w:val="center"/>
          </w:tcPr>
          <w:p w14:paraId="5CF6608E"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7" w:type="pct"/>
            <w:shd w:val="clear" w:color="auto" w:fill="auto"/>
            <w:vAlign w:val="center"/>
          </w:tcPr>
          <w:p w14:paraId="72E31341"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4" w:type="pct"/>
            <w:shd w:val="clear" w:color="auto" w:fill="auto"/>
            <w:vAlign w:val="center"/>
          </w:tcPr>
          <w:p w14:paraId="0C66A57E"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207C19" w:rsidRPr="00B0658A" w14:paraId="42F69721" w14:textId="77777777" w:rsidTr="00FE71B1">
        <w:trPr>
          <w:trHeight w:val="20"/>
        </w:trPr>
        <w:tc>
          <w:tcPr>
            <w:tcW w:w="342" w:type="pct"/>
            <w:shd w:val="clear" w:color="000000" w:fill="FFFFFF"/>
            <w:vAlign w:val="center"/>
          </w:tcPr>
          <w:p w14:paraId="4782FAFD" w14:textId="77777777" w:rsidR="00207C19" w:rsidRPr="00B0658A" w:rsidRDefault="00207C19" w:rsidP="00FE71B1">
            <w:pPr>
              <w:spacing w:after="0" w:line="240" w:lineRule="auto"/>
              <w:jc w:val="center"/>
              <w:rPr>
                <w:rFonts w:ascii="Times New Roman" w:hAnsi="Times New Roman"/>
                <w:sz w:val="18"/>
                <w:szCs w:val="18"/>
              </w:rPr>
            </w:pPr>
            <w:r w:rsidRPr="00B0658A">
              <w:rPr>
                <w:rFonts w:ascii="Times New Roman" w:hAnsi="Times New Roman"/>
                <w:sz w:val="18"/>
                <w:szCs w:val="18"/>
              </w:rPr>
              <w:t>3.12</w:t>
            </w:r>
          </w:p>
        </w:tc>
        <w:tc>
          <w:tcPr>
            <w:tcW w:w="1182" w:type="pct"/>
            <w:shd w:val="clear" w:color="auto" w:fill="auto"/>
            <w:vAlign w:val="center"/>
            <w:hideMark/>
          </w:tcPr>
          <w:p w14:paraId="06E38D83" w14:textId="77777777" w:rsidR="00207C19" w:rsidRPr="00B0658A" w:rsidRDefault="00207C19" w:rsidP="00E766E3">
            <w:pPr>
              <w:spacing w:after="0" w:line="240" w:lineRule="auto"/>
              <w:rPr>
                <w:rFonts w:ascii="Times New Roman" w:hAnsi="Times New Roman"/>
                <w:sz w:val="18"/>
                <w:szCs w:val="18"/>
              </w:rPr>
            </w:pPr>
            <w:r w:rsidRPr="00B0658A">
              <w:rPr>
                <w:rFonts w:ascii="Times New Roman" w:hAnsi="Times New Roman"/>
                <w:sz w:val="18"/>
                <w:szCs w:val="18"/>
              </w:rPr>
              <w:t>Средства обеспечения информационной безопасности/ Системы управления доступом к информационным ресурсам</w:t>
            </w:r>
          </w:p>
        </w:tc>
        <w:tc>
          <w:tcPr>
            <w:tcW w:w="898" w:type="pct"/>
            <w:shd w:val="clear" w:color="000000" w:fill="FFFFFF"/>
            <w:hideMark/>
          </w:tcPr>
          <w:p w14:paraId="62B886A5" w14:textId="77777777" w:rsidR="00207C19" w:rsidRPr="00B0658A" w:rsidRDefault="00207C19" w:rsidP="00E766E3">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7" w:type="pct"/>
            <w:shd w:val="clear" w:color="auto" w:fill="auto"/>
            <w:vAlign w:val="center"/>
          </w:tcPr>
          <w:p w14:paraId="5C1260A6" w14:textId="77777777" w:rsidR="00207C19" w:rsidRPr="00B0658A" w:rsidRDefault="00207C19" w:rsidP="00E766E3">
            <w:pPr>
              <w:spacing w:after="0" w:line="240" w:lineRule="auto"/>
              <w:jc w:val="center"/>
              <w:rPr>
                <w:rFonts w:ascii="Times New Roman" w:hAnsi="Times New Roman"/>
                <w:sz w:val="18"/>
                <w:szCs w:val="18"/>
              </w:rPr>
            </w:pPr>
            <w:r>
              <w:rPr>
                <w:rFonts w:ascii="Times New Roman" w:hAnsi="Times New Roman"/>
                <w:sz w:val="18"/>
                <w:szCs w:val="18"/>
              </w:rPr>
              <w:t>60</w:t>
            </w:r>
            <w:r w:rsidRPr="00B0658A">
              <w:rPr>
                <w:rFonts w:ascii="Times New Roman" w:hAnsi="Times New Roman"/>
                <w:sz w:val="18"/>
                <w:szCs w:val="18"/>
                <w:lang w:val="en-US"/>
              </w:rPr>
              <w:t>%</w:t>
            </w:r>
          </w:p>
        </w:tc>
        <w:tc>
          <w:tcPr>
            <w:tcW w:w="367" w:type="pct"/>
            <w:shd w:val="clear" w:color="auto" w:fill="auto"/>
            <w:vAlign w:val="center"/>
          </w:tcPr>
          <w:p w14:paraId="4812B20C" w14:textId="77777777" w:rsidR="00207C19" w:rsidRPr="00B0658A" w:rsidRDefault="00207C19" w:rsidP="00E766E3">
            <w:pPr>
              <w:spacing w:after="0" w:line="240" w:lineRule="auto"/>
              <w:jc w:val="center"/>
              <w:rPr>
                <w:rFonts w:ascii="Times New Roman" w:hAnsi="Times New Roman"/>
                <w:sz w:val="18"/>
                <w:szCs w:val="18"/>
              </w:rPr>
            </w:pPr>
            <w:r>
              <w:rPr>
                <w:rFonts w:ascii="Times New Roman" w:hAnsi="Times New Roman"/>
                <w:sz w:val="18"/>
                <w:szCs w:val="18"/>
              </w:rPr>
              <w:t>8</w:t>
            </w:r>
            <w:r w:rsidRPr="00B0658A">
              <w:rPr>
                <w:rFonts w:ascii="Times New Roman" w:hAnsi="Times New Roman"/>
                <w:sz w:val="18"/>
                <w:szCs w:val="18"/>
                <w:lang w:val="en-US"/>
              </w:rPr>
              <w:t>0%</w:t>
            </w:r>
          </w:p>
        </w:tc>
        <w:tc>
          <w:tcPr>
            <w:tcW w:w="367" w:type="pct"/>
            <w:shd w:val="clear" w:color="auto" w:fill="auto"/>
            <w:vAlign w:val="center"/>
          </w:tcPr>
          <w:p w14:paraId="104545DD"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79" w:type="pct"/>
            <w:vAlign w:val="center"/>
          </w:tcPr>
          <w:p w14:paraId="4C95D80C" w14:textId="77777777" w:rsidR="00207C19" w:rsidRPr="00B0658A" w:rsidRDefault="00207C19" w:rsidP="00E766E3">
            <w:pPr>
              <w:spacing w:after="0" w:line="240" w:lineRule="auto"/>
              <w:jc w:val="center"/>
              <w:rPr>
                <w:rFonts w:ascii="Times New Roman" w:hAnsi="Times New Roman"/>
                <w:sz w:val="18"/>
                <w:szCs w:val="18"/>
                <w:lang w:val="en-US"/>
              </w:rPr>
            </w:pPr>
            <w:r w:rsidRPr="00B0658A">
              <w:rPr>
                <w:rFonts w:ascii="Times New Roman" w:hAnsi="Times New Roman"/>
                <w:sz w:val="18"/>
                <w:szCs w:val="18"/>
                <w:lang w:val="en-US"/>
              </w:rPr>
              <w:t>100%</w:t>
            </w:r>
          </w:p>
        </w:tc>
        <w:tc>
          <w:tcPr>
            <w:tcW w:w="367" w:type="pct"/>
            <w:shd w:val="clear" w:color="auto" w:fill="auto"/>
            <w:vAlign w:val="center"/>
          </w:tcPr>
          <w:p w14:paraId="2B8E1702"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7" w:type="pct"/>
            <w:shd w:val="clear" w:color="auto" w:fill="auto"/>
            <w:vAlign w:val="center"/>
          </w:tcPr>
          <w:p w14:paraId="0515689E"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4" w:type="pct"/>
            <w:shd w:val="clear" w:color="auto" w:fill="auto"/>
            <w:vAlign w:val="center"/>
          </w:tcPr>
          <w:p w14:paraId="215B346A"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207C19" w:rsidRPr="00B0658A" w14:paraId="6671190F" w14:textId="77777777" w:rsidTr="00FE71B1">
        <w:trPr>
          <w:trHeight w:val="20"/>
        </w:trPr>
        <w:tc>
          <w:tcPr>
            <w:tcW w:w="342" w:type="pct"/>
            <w:shd w:val="clear" w:color="000000" w:fill="FFFFFF"/>
            <w:vAlign w:val="center"/>
          </w:tcPr>
          <w:p w14:paraId="0910B7EA" w14:textId="77777777" w:rsidR="00207C19" w:rsidRPr="00B0658A" w:rsidRDefault="00207C19" w:rsidP="00FE71B1">
            <w:pPr>
              <w:spacing w:after="0" w:line="240" w:lineRule="auto"/>
              <w:jc w:val="center"/>
              <w:rPr>
                <w:rFonts w:ascii="Times New Roman" w:hAnsi="Times New Roman"/>
                <w:sz w:val="18"/>
                <w:szCs w:val="18"/>
              </w:rPr>
            </w:pPr>
            <w:r w:rsidRPr="00B0658A">
              <w:rPr>
                <w:rFonts w:ascii="Times New Roman" w:hAnsi="Times New Roman"/>
                <w:sz w:val="18"/>
                <w:szCs w:val="18"/>
              </w:rPr>
              <w:t>3.13</w:t>
            </w:r>
          </w:p>
        </w:tc>
        <w:tc>
          <w:tcPr>
            <w:tcW w:w="1182" w:type="pct"/>
            <w:shd w:val="clear" w:color="auto" w:fill="auto"/>
            <w:vAlign w:val="center"/>
            <w:hideMark/>
          </w:tcPr>
          <w:p w14:paraId="616C4733" w14:textId="77777777" w:rsidR="00207C19" w:rsidRPr="00B0658A" w:rsidRDefault="00207C19" w:rsidP="00E766E3">
            <w:pPr>
              <w:spacing w:after="0" w:line="240" w:lineRule="auto"/>
              <w:rPr>
                <w:rFonts w:ascii="Times New Roman" w:hAnsi="Times New Roman"/>
                <w:sz w:val="18"/>
                <w:szCs w:val="18"/>
              </w:rPr>
            </w:pPr>
            <w:r w:rsidRPr="00B0658A">
              <w:rPr>
                <w:rFonts w:ascii="Times New Roman" w:hAnsi="Times New Roman"/>
                <w:sz w:val="18"/>
                <w:szCs w:val="18"/>
              </w:rPr>
              <w:t>Средства обеспечения информационной безопасности/ Средства резервного копирования</w:t>
            </w:r>
          </w:p>
        </w:tc>
        <w:tc>
          <w:tcPr>
            <w:tcW w:w="898" w:type="pct"/>
            <w:shd w:val="clear" w:color="000000" w:fill="FFFFFF"/>
            <w:hideMark/>
          </w:tcPr>
          <w:p w14:paraId="11F45C67" w14:textId="77777777" w:rsidR="00207C19" w:rsidRPr="00B0658A" w:rsidRDefault="00207C19" w:rsidP="00E766E3">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7" w:type="pct"/>
            <w:shd w:val="clear" w:color="auto" w:fill="auto"/>
            <w:vAlign w:val="center"/>
          </w:tcPr>
          <w:p w14:paraId="66898BF8"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25%</w:t>
            </w:r>
          </w:p>
        </w:tc>
        <w:tc>
          <w:tcPr>
            <w:tcW w:w="367" w:type="pct"/>
            <w:shd w:val="clear" w:color="auto" w:fill="auto"/>
            <w:vAlign w:val="center"/>
          </w:tcPr>
          <w:p w14:paraId="45CB9DE8"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35%</w:t>
            </w:r>
          </w:p>
        </w:tc>
        <w:tc>
          <w:tcPr>
            <w:tcW w:w="367" w:type="pct"/>
            <w:shd w:val="clear" w:color="auto" w:fill="auto"/>
            <w:vAlign w:val="center"/>
          </w:tcPr>
          <w:p w14:paraId="2F75ADF1"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50%</w:t>
            </w:r>
          </w:p>
        </w:tc>
        <w:tc>
          <w:tcPr>
            <w:tcW w:w="379" w:type="pct"/>
            <w:vAlign w:val="center"/>
          </w:tcPr>
          <w:p w14:paraId="509EB62A" w14:textId="77777777" w:rsidR="00207C19" w:rsidRPr="00B0658A" w:rsidRDefault="00207C19" w:rsidP="00E766E3">
            <w:pPr>
              <w:spacing w:after="0" w:line="240" w:lineRule="auto"/>
              <w:jc w:val="center"/>
              <w:rPr>
                <w:rFonts w:ascii="Times New Roman" w:hAnsi="Times New Roman"/>
                <w:sz w:val="18"/>
                <w:szCs w:val="18"/>
                <w:lang w:val="en-US"/>
              </w:rPr>
            </w:pPr>
            <w:r w:rsidRPr="00B0658A">
              <w:rPr>
                <w:rFonts w:ascii="Times New Roman" w:hAnsi="Times New Roman"/>
                <w:sz w:val="18"/>
                <w:szCs w:val="18"/>
                <w:lang w:val="en-US"/>
              </w:rPr>
              <w:t>100%</w:t>
            </w:r>
          </w:p>
        </w:tc>
        <w:tc>
          <w:tcPr>
            <w:tcW w:w="367" w:type="pct"/>
            <w:shd w:val="clear" w:color="auto" w:fill="auto"/>
            <w:vAlign w:val="center"/>
          </w:tcPr>
          <w:p w14:paraId="73BF4B43"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75%</w:t>
            </w:r>
          </w:p>
        </w:tc>
        <w:tc>
          <w:tcPr>
            <w:tcW w:w="367" w:type="pct"/>
            <w:shd w:val="clear" w:color="auto" w:fill="auto"/>
            <w:vAlign w:val="center"/>
          </w:tcPr>
          <w:p w14:paraId="0CB739A9"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85%</w:t>
            </w:r>
          </w:p>
        </w:tc>
        <w:tc>
          <w:tcPr>
            <w:tcW w:w="364" w:type="pct"/>
            <w:shd w:val="clear" w:color="auto" w:fill="auto"/>
            <w:vAlign w:val="center"/>
          </w:tcPr>
          <w:p w14:paraId="6C2BC6A8"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207C19" w:rsidRPr="00B0658A" w14:paraId="422AB2FC" w14:textId="77777777" w:rsidTr="00FE71B1">
        <w:trPr>
          <w:trHeight w:val="20"/>
        </w:trPr>
        <w:tc>
          <w:tcPr>
            <w:tcW w:w="342" w:type="pct"/>
            <w:shd w:val="clear" w:color="000000" w:fill="FFFFFF"/>
            <w:vAlign w:val="center"/>
          </w:tcPr>
          <w:p w14:paraId="1BDB425F" w14:textId="77777777" w:rsidR="00207C19" w:rsidRPr="00B0658A" w:rsidRDefault="00207C19" w:rsidP="00FE71B1">
            <w:pPr>
              <w:spacing w:after="0" w:line="240" w:lineRule="auto"/>
              <w:jc w:val="center"/>
              <w:rPr>
                <w:rFonts w:ascii="Times New Roman" w:hAnsi="Times New Roman"/>
                <w:sz w:val="18"/>
                <w:szCs w:val="18"/>
              </w:rPr>
            </w:pPr>
            <w:r w:rsidRPr="00B0658A">
              <w:rPr>
                <w:rFonts w:ascii="Times New Roman" w:hAnsi="Times New Roman"/>
                <w:sz w:val="18"/>
                <w:szCs w:val="18"/>
              </w:rPr>
              <w:t>3.14</w:t>
            </w:r>
          </w:p>
        </w:tc>
        <w:tc>
          <w:tcPr>
            <w:tcW w:w="1182" w:type="pct"/>
            <w:shd w:val="clear" w:color="auto" w:fill="auto"/>
            <w:vAlign w:val="center"/>
            <w:hideMark/>
          </w:tcPr>
          <w:p w14:paraId="458DFBE5" w14:textId="77777777" w:rsidR="00207C19" w:rsidRPr="00B0658A" w:rsidRDefault="00207C19" w:rsidP="00E766E3">
            <w:pPr>
              <w:spacing w:after="0" w:line="240" w:lineRule="auto"/>
              <w:rPr>
                <w:rFonts w:ascii="Times New Roman" w:hAnsi="Times New Roman"/>
                <w:sz w:val="18"/>
                <w:szCs w:val="18"/>
              </w:rPr>
            </w:pPr>
            <w:r w:rsidRPr="00B0658A">
              <w:rPr>
                <w:rFonts w:ascii="Times New Roman" w:hAnsi="Times New Roman"/>
                <w:sz w:val="18"/>
                <w:szCs w:val="18"/>
              </w:rPr>
              <w:t>Средства обеспечения информационной безопасности/ Средства обнаружения и/или предотвращения вторжений (атак)</w:t>
            </w:r>
          </w:p>
        </w:tc>
        <w:tc>
          <w:tcPr>
            <w:tcW w:w="898" w:type="pct"/>
            <w:shd w:val="clear" w:color="000000" w:fill="FFFFFF"/>
            <w:hideMark/>
          </w:tcPr>
          <w:p w14:paraId="730561AC" w14:textId="77777777" w:rsidR="00207C19" w:rsidRPr="00B0658A" w:rsidRDefault="00207C19" w:rsidP="00E766E3">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7" w:type="pct"/>
            <w:shd w:val="clear" w:color="auto" w:fill="auto"/>
            <w:vAlign w:val="center"/>
          </w:tcPr>
          <w:p w14:paraId="3080E963" w14:textId="77777777" w:rsidR="00207C19" w:rsidRPr="00B0658A" w:rsidRDefault="00207C19" w:rsidP="00E766E3">
            <w:pPr>
              <w:spacing w:after="0" w:line="240" w:lineRule="auto"/>
              <w:jc w:val="center"/>
              <w:rPr>
                <w:rFonts w:ascii="Times New Roman" w:hAnsi="Times New Roman"/>
                <w:sz w:val="18"/>
                <w:szCs w:val="18"/>
              </w:rPr>
            </w:pPr>
            <w:r>
              <w:rPr>
                <w:rFonts w:ascii="Times New Roman" w:hAnsi="Times New Roman"/>
                <w:sz w:val="18"/>
                <w:szCs w:val="18"/>
              </w:rPr>
              <w:t>60</w:t>
            </w:r>
            <w:r w:rsidRPr="00B0658A">
              <w:rPr>
                <w:rFonts w:ascii="Times New Roman" w:hAnsi="Times New Roman"/>
                <w:sz w:val="18"/>
                <w:szCs w:val="18"/>
                <w:lang w:val="en-US"/>
              </w:rPr>
              <w:t>%</w:t>
            </w:r>
          </w:p>
        </w:tc>
        <w:tc>
          <w:tcPr>
            <w:tcW w:w="367" w:type="pct"/>
            <w:shd w:val="clear" w:color="auto" w:fill="auto"/>
            <w:vAlign w:val="center"/>
          </w:tcPr>
          <w:p w14:paraId="5C865600" w14:textId="77777777" w:rsidR="00207C19" w:rsidRPr="00B0658A" w:rsidRDefault="00207C19" w:rsidP="00E766E3">
            <w:pPr>
              <w:spacing w:after="0" w:line="240" w:lineRule="auto"/>
              <w:jc w:val="center"/>
              <w:rPr>
                <w:rFonts w:ascii="Times New Roman" w:hAnsi="Times New Roman"/>
                <w:sz w:val="18"/>
                <w:szCs w:val="18"/>
              </w:rPr>
            </w:pPr>
            <w:r>
              <w:rPr>
                <w:rFonts w:ascii="Times New Roman" w:hAnsi="Times New Roman"/>
                <w:sz w:val="18"/>
                <w:szCs w:val="18"/>
              </w:rPr>
              <w:t>8</w:t>
            </w:r>
            <w:r w:rsidRPr="00B0658A">
              <w:rPr>
                <w:rFonts w:ascii="Times New Roman" w:hAnsi="Times New Roman"/>
                <w:sz w:val="18"/>
                <w:szCs w:val="18"/>
                <w:lang w:val="en-US"/>
              </w:rPr>
              <w:t>0%</w:t>
            </w:r>
          </w:p>
        </w:tc>
        <w:tc>
          <w:tcPr>
            <w:tcW w:w="367" w:type="pct"/>
            <w:shd w:val="clear" w:color="auto" w:fill="auto"/>
            <w:vAlign w:val="center"/>
          </w:tcPr>
          <w:p w14:paraId="289E3271"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79" w:type="pct"/>
            <w:vAlign w:val="center"/>
          </w:tcPr>
          <w:p w14:paraId="5801D6DE" w14:textId="77777777" w:rsidR="00207C19" w:rsidRPr="00B0658A" w:rsidRDefault="00207C19" w:rsidP="00E766E3">
            <w:pPr>
              <w:spacing w:after="0" w:line="240" w:lineRule="auto"/>
              <w:jc w:val="center"/>
              <w:rPr>
                <w:rFonts w:ascii="Times New Roman" w:hAnsi="Times New Roman"/>
                <w:sz w:val="18"/>
                <w:szCs w:val="18"/>
                <w:lang w:val="en-US"/>
              </w:rPr>
            </w:pPr>
            <w:r w:rsidRPr="00B0658A">
              <w:rPr>
                <w:rFonts w:ascii="Times New Roman" w:hAnsi="Times New Roman"/>
                <w:sz w:val="18"/>
                <w:szCs w:val="18"/>
                <w:lang w:val="en-US"/>
              </w:rPr>
              <w:t>100%</w:t>
            </w:r>
          </w:p>
        </w:tc>
        <w:tc>
          <w:tcPr>
            <w:tcW w:w="367" w:type="pct"/>
            <w:shd w:val="clear" w:color="auto" w:fill="auto"/>
            <w:vAlign w:val="center"/>
          </w:tcPr>
          <w:p w14:paraId="599CD6DE"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7" w:type="pct"/>
            <w:shd w:val="clear" w:color="auto" w:fill="auto"/>
            <w:vAlign w:val="center"/>
          </w:tcPr>
          <w:p w14:paraId="70EBE2C7"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4" w:type="pct"/>
            <w:shd w:val="clear" w:color="auto" w:fill="auto"/>
            <w:vAlign w:val="center"/>
          </w:tcPr>
          <w:p w14:paraId="2467EE38"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207C19" w:rsidRPr="00B0658A" w14:paraId="255B7ED9" w14:textId="77777777" w:rsidTr="00FE71B1">
        <w:trPr>
          <w:trHeight w:val="20"/>
        </w:trPr>
        <w:tc>
          <w:tcPr>
            <w:tcW w:w="342" w:type="pct"/>
            <w:shd w:val="clear" w:color="000000" w:fill="FFFFFF"/>
            <w:vAlign w:val="center"/>
          </w:tcPr>
          <w:p w14:paraId="7B2142D0" w14:textId="77777777" w:rsidR="00207C19" w:rsidRPr="00B0658A" w:rsidRDefault="00207C19" w:rsidP="00FE71B1">
            <w:pPr>
              <w:spacing w:after="0" w:line="240" w:lineRule="auto"/>
              <w:jc w:val="center"/>
              <w:rPr>
                <w:rFonts w:ascii="Times New Roman" w:hAnsi="Times New Roman"/>
                <w:sz w:val="18"/>
                <w:szCs w:val="18"/>
              </w:rPr>
            </w:pPr>
            <w:r w:rsidRPr="00B0658A">
              <w:rPr>
                <w:rFonts w:ascii="Times New Roman" w:hAnsi="Times New Roman"/>
                <w:sz w:val="18"/>
                <w:szCs w:val="18"/>
              </w:rPr>
              <w:t>3.15</w:t>
            </w:r>
          </w:p>
        </w:tc>
        <w:tc>
          <w:tcPr>
            <w:tcW w:w="1182" w:type="pct"/>
            <w:shd w:val="clear" w:color="auto" w:fill="auto"/>
            <w:vAlign w:val="center"/>
            <w:hideMark/>
          </w:tcPr>
          <w:p w14:paraId="460D1A87" w14:textId="77777777" w:rsidR="00207C19" w:rsidRPr="00B0658A" w:rsidRDefault="00207C19" w:rsidP="00E766E3">
            <w:pPr>
              <w:spacing w:after="0" w:line="240" w:lineRule="auto"/>
              <w:rPr>
                <w:rFonts w:ascii="Times New Roman" w:hAnsi="Times New Roman"/>
                <w:sz w:val="18"/>
                <w:szCs w:val="18"/>
              </w:rPr>
            </w:pPr>
            <w:r w:rsidRPr="00B0658A">
              <w:rPr>
                <w:rFonts w:ascii="Times New Roman" w:hAnsi="Times New Roman"/>
                <w:sz w:val="18"/>
                <w:szCs w:val="18"/>
              </w:rPr>
              <w:t>Средства обеспечения информационной безопасности/ Средства обнаружения угроз и расследования сетевых инцидентов</w:t>
            </w:r>
          </w:p>
        </w:tc>
        <w:tc>
          <w:tcPr>
            <w:tcW w:w="898" w:type="pct"/>
            <w:shd w:val="clear" w:color="000000" w:fill="FFFFFF"/>
            <w:hideMark/>
          </w:tcPr>
          <w:p w14:paraId="7FBF7558" w14:textId="77777777" w:rsidR="00207C19" w:rsidRPr="00B0658A" w:rsidRDefault="00207C19" w:rsidP="00E766E3">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7" w:type="pct"/>
            <w:shd w:val="clear" w:color="auto" w:fill="auto"/>
            <w:vAlign w:val="center"/>
          </w:tcPr>
          <w:p w14:paraId="6F05BC08" w14:textId="77777777" w:rsidR="00207C19" w:rsidRPr="00B0658A" w:rsidRDefault="00207C19" w:rsidP="00E766E3">
            <w:pPr>
              <w:spacing w:after="0" w:line="240" w:lineRule="auto"/>
              <w:jc w:val="center"/>
              <w:rPr>
                <w:rFonts w:ascii="Times New Roman" w:hAnsi="Times New Roman"/>
                <w:sz w:val="18"/>
                <w:szCs w:val="18"/>
              </w:rPr>
            </w:pPr>
            <w:r>
              <w:rPr>
                <w:rFonts w:ascii="Times New Roman" w:hAnsi="Times New Roman"/>
                <w:sz w:val="18"/>
                <w:szCs w:val="18"/>
              </w:rPr>
              <w:t>60</w:t>
            </w:r>
            <w:r w:rsidRPr="00B0658A">
              <w:rPr>
                <w:rFonts w:ascii="Times New Roman" w:hAnsi="Times New Roman"/>
                <w:sz w:val="18"/>
                <w:szCs w:val="18"/>
                <w:lang w:val="en-US"/>
              </w:rPr>
              <w:t>%</w:t>
            </w:r>
          </w:p>
        </w:tc>
        <w:tc>
          <w:tcPr>
            <w:tcW w:w="367" w:type="pct"/>
            <w:shd w:val="clear" w:color="auto" w:fill="auto"/>
            <w:vAlign w:val="center"/>
          </w:tcPr>
          <w:p w14:paraId="4A0B83E7" w14:textId="77777777" w:rsidR="00207C19" w:rsidRPr="00B0658A" w:rsidRDefault="00207C19" w:rsidP="00E766E3">
            <w:pPr>
              <w:spacing w:after="0" w:line="240" w:lineRule="auto"/>
              <w:jc w:val="center"/>
              <w:rPr>
                <w:rFonts w:ascii="Times New Roman" w:hAnsi="Times New Roman"/>
                <w:sz w:val="18"/>
                <w:szCs w:val="18"/>
              </w:rPr>
            </w:pPr>
            <w:r>
              <w:rPr>
                <w:rFonts w:ascii="Times New Roman" w:hAnsi="Times New Roman"/>
                <w:sz w:val="18"/>
                <w:szCs w:val="18"/>
              </w:rPr>
              <w:t>8</w:t>
            </w:r>
            <w:r w:rsidRPr="00B0658A">
              <w:rPr>
                <w:rFonts w:ascii="Times New Roman" w:hAnsi="Times New Roman"/>
                <w:sz w:val="18"/>
                <w:szCs w:val="18"/>
                <w:lang w:val="en-US"/>
              </w:rPr>
              <w:t>0%</w:t>
            </w:r>
          </w:p>
        </w:tc>
        <w:tc>
          <w:tcPr>
            <w:tcW w:w="367" w:type="pct"/>
            <w:shd w:val="clear" w:color="auto" w:fill="auto"/>
            <w:vAlign w:val="center"/>
          </w:tcPr>
          <w:p w14:paraId="36D01EA5"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79" w:type="pct"/>
            <w:vAlign w:val="center"/>
          </w:tcPr>
          <w:p w14:paraId="69345EBB" w14:textId="77777777" w:rsidR="00207C19" w:rsidRPr="00B0658A" w:rsidRDefault="00207C19" w:rsidP="00E766E3">
            <w:pPr>
              <w:spacing w:after="0" w:line="240" w:lineRule="auto"/>
              <w:jc w:val="center"/>
              <w:rPr>
                <w:rFonts w:ascii="Times New Roman" w:hAnsi="Times New Roman"/>
                <w:sz w:val="18"/>
                <w:szCs w:val="18"/>
                <w:lang w:val="en-US"/>
              </w:rPr>
            </w:pPr>
            <w:r w:rsidRPr="00B0658A">
              <w:rPr>
                <w:rFonts w:ascii="Times New Roman" w:hAnsi="Times New Roman"/>
                <w:sz w:val="18"/>
                <w:szCs w:val="18"/>
                <w:lang w:val="en-US"/>
              </w:rPr>
              <w:t>100%</w:t>
            </w:r>
          </w:p>
        </w:tc>
        <w:tc>
          <w:tcPr>
            <w:tcW w:w="367" w:type="pct"/>
            <w:shd w:val="clear" w:color="auto" w:fill="auto"/>
            <w:vAlign w:val="center"/>
          </w:tcPr>
          <w:p w14:paraId="19230E04"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7" w:type="pct"/>
            <w:shd w:val="clear" w:color="auto" w:fill="auto"/>
            <w:vAlign w:val="center"/>
          </w:tcPr>
          <w:p w14:paraId="70DD805F"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4" w:type="pct"/>
            <w:shd w:val="clear" w:color="auto" w:fill="auto"/>
            <w:vAlign w:val="center"/>
          </w:tcPr>
          <w:p w14:paraId="7C92C34E"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207C19" w:rsidRPr="00B0658A" w14:paraId="47356FAB" w14:textId="77777777" w:rsidTr="00FE71B1">
        <w:trPr>
          <w:trHeight w:val="20"/>
        </w:trPr>
        <w:tc>
          <w:tcPr>
            <w:tcW w:w="342" w:type="pct"/>
            <w:shd w:val="clear" w:color="000000" w:fill="FFFFFF"/>
            <w:vAlign w:val="center"/>
          </w:tcPr>
          <w:p w14:paraId="421E19E2" w14:textId="77777777" w:rsidR="00207C19" w:rsidRPr="00B0658A" w:rsidRDefault="00207C19" w:rsidP="00FE71B1">
            <w:pPr>
              <w:spacing w:after="0" w:line="240" w:lineRule="auto"/>
              <w:jc w:val="center"/>
              <w:rPr>
                <w:rFonts w:ascii="Times New Roman" w:hAnsi="Times New Roman"/>
                <w:sz w:val="18"/>
                <w:szCs w:val="18"/>
              </w:rPr>
            </w:pPr>
            <w:r w:rsidRPr="00B0658A">
              <w:rPr>
                <w:rFonts w:ascii="Times New Roman" w:hAnsi="Times New Roman"/>
                <w:sz w:val="18"/>
                <w:szCs w:val="18"/>
              </w:rPr>
              <w:t>3.16</w:t>
            </w:r>
          </w:p>
        </w:tc>
        <w:tc>
          <w:tcPr>
            <w:tcW w:w="1182" w:type="pct"/>
            <w:shd w:val="clear" w:color="auto" w:fill="auto"/>
            <w:vAlign w:val="center"/>
            <w:hideMark/>
          </w:tcPr>
          <w:p w14:paraId="17D3BEC8" w14:textId="77777777" w:rsidR="00207C19" w:rsidRPr="00B0658A" w:rsidRDefault="00207C19" w:rsidP="00E766E3">
            <w:pPr>
              <w:spacing w:after="0" w:line="240" w:lineRule="auto"/>
              <w:rPr>
                <w:rFonts w:ascii="Times New Roman" w:hAnsi="Times New Roman"/>
                <w:sz w:val="18"/>
                <w:szCs w:val="18"/>
              </w:rPr>
            </w:pPr>
            <w:r w:rsidRPr="00B0658A">
              <w:rPr>
                <w:rFonts w:ascii="Times New Roman" w:hAnsi="Times New Roman"/>
                <w:sz w:val="18"/>
                <w:szCs w:val="18"/>
              </w:rPr>
              <w:t>Средства обеспечения информационной безопасности/ Средства администрирования и управления жизненным циклом ключевых носителей</w:t>
            </w:r>
          </w:p>
        </w:tc>
        <w:tc>
          <w:tcPr>
            <w:tcW w:w="898" w:type="pct"/>
            <w:shd w:val="clear" w:color="000000" w:fill="FFFFFF"/>
            <w:hideMark/>
          </w:tcPr>
          <w:p w14:paraId="314AC3AB" w14:textId="77777777" w:rsidR="00207C19" w:rsidRPr="00B0658A" w:rsidRDefault="00207C19" w:rsidP="00E766E3">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7" w:type="pct"/>
            <w:shd w:val="clear" w:color="auto" w:fill="auto"/>
            <w:vAlign w:val="center"/>
          </w:tcPr>
          <w:p w14:paraId="1C4135C3" w14:textId="77777777" w:rsidR="00207C19" w:rsidRPr="00B0658A" w:rsidRDefault="00207C19" w:rsidP="00E766E3">
            <w:pPr>
              <w:spacing w:after="0" w:line="240" w:lineRule="auto"/>
              <w:jc w:val="center"/>
              <w:rPr>
                <w:rFonts w:ascii="Times New Roman" w:hAnsi="Times New Roman"/>
                <w:sz w:val="18"/>
                <w:szCs w:val="18"/>
              </w:rPr>
            </w:pPr>
            <w:r>
              <w:rPr>
                <w:rFonts w:ascii="Times New Roman" w:hAnsi="Times New Roman"/>
                <w:sz w:val="18"/>
                <w:szCs w:val="18"/>
              </w:rPr>
              <w:t>60</w:t>
            </w:r>
            <w:r w:rsidRPr="00B0658A">
              <w:rPr>
                <w:rFonts w:ascii="Times New Roman" w:hAnsi="Times New Roman"/>
                <w:sz w:val="18"/>
                <w:szCs w:val="18"/>
                <w:lang w:val="en-US"/>
              </w:rPr>
              <w:t>%</w:t>
            </w:r>
          </w:p>
        </w:tc>
        <w:tc>
          <w:tcPr>
            <w:tcW w:w="367" w:type="pct"/>
            <w:shd w:val="clear" w:color="auto" w:fill="auto"/>
            <w:vAlign w:val="center"/>
          </w:tcPr>
          <w:p w14:paraId="0CB84DFD" w14:textId="77777777" w:rsidR="00207C19" w:rsidRPr="00B0658A" w:rsidRDefault="00207C19" w:rsidP="00E766E3">
            <w:pPr>
              <w:spacing w:after="0" w:line="240" w:lineRule="auto"/>
              <w:jc w:val="center"/>
              <w:rPr>
                <w:rFonts w:ascii="Times New Roman" w:hAnsi="Times New Roman"/>
                <w:sz w:val="18"/>
                <w:szCs w:val="18"/>
              </w:rPr>
            </w:pPr>
            <w:r>
              <w:rPr>
                <w:rFonts w:ascii="Times New Roman" w:hAnsi="Times New Roman"/>
                <w:sz w:val="18"/>
                <w:szCs w:val="18"/>
              </w:rPr>
              <w:t>8</w:t>
            </w:r>
            <w:r w:rsidRPr="00B0658A">
              <w:rPr>
                <w:rFonts w:ascii="Times New Roman" w:hAnsi="Times New Roman"/>
                <w:sz w:val="18"/>
                <w:szCs w:val="18"/>
                <w:lang w:val="en-US"/>
              </w:rPr>
              <w:t>0%</w:t>
            </w:r>
          </w:p>
        </w:tc>
        <w:tc>
          <w:tcPr>
            <w:tcW w:w="367" w:type="pct"/>
            <w:shd w:val="clear" w:color="auto" w:fill="auto"/>
            <w:vAlign w:val="center"/>
          </w:tcPr>
          <w:p w14:paraId="159495B7"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79" w:type="pct"/>
            <w:vAlign w:val="center"/>
          </w:tcPr>
          <w:p w14:paraId="004046CE" w14:textId="77777777" w:rsidR="00207C19" w:rsidRPr="00B0658A" w:rsidRDefault="00207C19" w:rsidP="00E766E3">
            <w:pPr>
              <w:spacing w:after="0" w:line="240" w:lineRule="auto"/>
              <w:jc w:val="center"/>
              <w:rPr>
                <w:rFonts w:ascii="Times New Roman" w:hAnsi="Times New Roman"/>
                <w:sz w:val="18"/>
                <w:szCs w:val="18"/>
                <w:lang w:val="en-US"/>
              </w:rPr>
            </w:pPr>
            <w:r w:rsidRPr="00B0658A">
              <w:rPr>
                <w:rFonts w:ascii="Times New Roman" w:hAnsi="Times New Roman"/>
                <w:sz w:val="18"/>
                <w:szCs w:val="18"/>
                <w:lang w:val="en-US"/>
              </w:rPr>
              <w:t>100%</w:t>
            </w:r>
          </w:p>
        </w:tc>
        <w:tc>
          <w:tcPr>
            <w:tcW w:w="367" w:type="pct"/>
            <w:shd w:val="clear" w:color="auto" w:fill="auto"/>
            <w:vAlign w:val="center"/>
          </w:tcPr>
          <w:p w14:paraId="3CE8FE97"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7" w:type="pct"/>
            <w:shd w:val="clear" w:color="auto" w:fill="auto"/>
            <w:vAlign w:val="center"/>
          </w:tcPr>
          <w:p w14:paraId="517BB1B6"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4" w:type="pct"/>
            <w:shd w:val="clear" w:color="auto" w:fill="auto"/>
            <w:vAlign w:val="center"/>
          </w:tcPr>
          <w:p w14:paraId="115D6697"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207C19" w:rsidRPr="00B0658A" w14:paraId="3982132F" w14:textId="77777777" w:rsidTr="00FE71B1">
        <w:trPr>
          <w:trHeight w:val="20"/>
        </w:trPr>
        <w:tc>
          <w:tcPr>
            <w:tcW w:w="342" w:type="pct"/>
            <w:shd w:val="clear" w:color="000000" w:fill="FFFFFF"/>
            <w:vAlign w:val="center"/>
          </w:tcPr>
          <w:p w14:paraId="6809D187" w14:textId="77777777" w:rsidR="00207C19" w:rsidRPr="00B0658A" w:rsidRDefault="00207C19" w:rsidP="00FE71B1">
            <w:pPr>
              <w:spacing w:after="0" w:line="240" w:lineRule="auto"/>
              <w:jc w:val="center"/>
              <w:rPr>
                <w:rFonts w:ascii="Times New Roman" w:hAnsi="Times New Roman"/>
                <w:sz w:val="18"/>
                <w:szCs w:val="18"/>
              </w:rPr>
            </w:pPr>
            <w:r w:rsidRPr="00B0658A">
              <w:rPr>
                <w:rFonts w:ascii="Times New Roman" w:hAnsi="Times New Roman"/>
                <w:sz w:val="18"/>
                <w:szCs w:val="18"/>
              </w:rPr>
              <w:t>3.17</w:t>
            </w:r>
          </w:p>
        </w:tc>
        <w:tc>
          <w:tcPr>
            <w:tcW w:w="1182" w:type="pct"/>
            <w:shd w:val="clear" w:color="auto" w:fill="auto"/>
            <w:vAlign w:val="center"/>
            <w:hideMark/>
          </w:tcPr>
          <w:p w14:paraId="5BB82326" w14:textId="77777777" w:rsidR="00207C19" w:rsidRPr="00B0658A" w:rsidRDefault="00207C19" w:rsidP="00E766E3">
            <w:pPr>
              <w:spacing w:after="0" w:line="240" w:lineRule="auto"/>
              <w:rPr>
                <w:rFonts w:ascii="Times New Roman" w:hAnsi="Times New Roman"/>
                <w:sz w:val="18"/>
                <w:szCs w:val="18"/>
              </w:rPr>
            </w:pPr>
            <w:r w:rsidRPr="00B0658A">
              <w:rPr>
                <w:rFonts w:ascii="Times New Roman" w:hAnsi="Times New Roman"/>
                <w:sz w:val="18"/>
                <w:szCs w:val="18"/>
              </w:rPr>
              <w:t>Средства обеспечения информационной безопасности/ Средства автоматизации процессов информационной безопасности</w:t>
            </w:r>
          </w:p>
        </w:tc>
        <w:tc>
          <w:tcPr>
            <w:tcW w:w="898" w:type="pct"/>
            <w:shd w:val="clear" w:color="000000" w:fill="FFFFFF"/>
            <w:hideMark/>
          </w:tcPr>
          <w:p w14:paraId="4229535A" w14:textId="77777777" w:rsidR="00207C19" w:rsidRPr="00B0658A" w:rsidRDefault="00207C19" w:rsidP="00E766E3">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7" w:type="pct"/>
            <w:shd w:val="clear" w:color="auto" w:fill="auto"/>
            <w:vAlign w:val="center"/>
          </w:tcPr>
          <w:p w14:paraId="466F88C6" w14:textId="77777777" w:rsidR="00207C19" w:rsidRPr="00B0658A" w:rsidRDefault="00207C19" w:rsidP="00E766E3">
            <w:pPr>
              <w:spacing w:after="0" w:line="240" w:lineRule="auto"/>
              <w:jc w:val="center"/>
              <w:rPr>
                <w:rFonts w:ascii="Times New Roman" w:hAnsi="Times New Roman"/>
                <w:sz w:val="18"/>
                <w:szCs w:val="18"/>
              </w:rPr>
            </w:pPr>
            <w:r>
              <w:rPr>
                <w:rFonts w:ascii="Times New Roman" w:hAnsi="Times New Roman"/>
                <w:sz w:val="18"/>
                <w:szCs w:val="18"/>
              </w:rPr>
              <w:t>60</w:t>
            </w:r>
            <w:r w:rsidRPr="00B0658A">
              <w:rPr>
                <w:rFonts w:ascii="Times New Roman" w:hAnsi="Times New Roman"/>
                <w:sz w:val="18"/>
                <w:szCs w:val="18"/>
                <w:lang w:val="en-US"/>
              </w:rPr>
              <w:t>%</w:t>
            </w:r>
          </w:p>
        </w:tc>
        <w:tc>
          <w:tcPr>
            <w:tcW w:w="367" w:type="pct"/>
            <w:shd w:val="clear" w:color="auto" w:fill="auto"/>
            <w:vAlign w:val="center"/>
          </w:tcPr>
          <w:p w14:paraId="3FDEEF0B" w14:textId="77777777" w:rsidR="00207C19" w:rsidRPr="00B0658A" w:rsidRDefault="00207C19" w:rsidP="00E766E3">
            <w:pPr>
              <w:spacing w:after="0" w:line="240" w:lineRule="auto"/>
              <w:jc w:val="center"/>
              <w:rPr>
                <w:rFonts w:ascii="Times New Roman" w:hAnsi="Times New Roman"/>
                <w:sz w:val="18"/>
                <w:szCs w:val="18"/>
              </w:rPr>
            </w:pPr>
            <w:r>
              <w:rPr>
                <w:rFonts w:ascii="Times New Roman" w:hAnsi="Times New Roman"/>
                <w:sz w:val="18"/>
                <w:szCs w:val="18"/>
              </w:rPr>
              <w:t>8</w:t>
            </w:r>
            <w:r w:rsidRPr="00B0658A">
              <w:rPr>
                <w:rFonts w:ascii="Times New Roman" w:hAnsi="Times New Roman"/>
                <w:sz w:val="18"/>
                <w:szCs w:val="18"/>
                <w:lang w:val="en-US"/>
              </w:rPr>
              <w:t>0%</w:t>
            </w:r>
          </w:p>
        </w:tc>
        <w:tc>
          <w:tcPr>
            <w:tcW w:w="367" w:type="pct"/>
            <w:shd w:val="clear" w:color="auto" w:fill="auto"/>
            <w:vAlign w:val="center"/>
          </w:tcPr>
          <w:p w14:paraId="66854E0A"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79" w:type="pct"/>
            <w:vAlign w:val="center"/>
          </w:tcPr>
          <w:p w14:paraId="230FB5B1" w14:textId="77777777" w:rsidR="00207C19" w:rsidRPr="00B0658A" w:rsidRDefault="00207C19" w:rsidP="00E766E3">
            <w:pPr>
              <w:spacing w:after="0" w:line="240" w:lineRule="auto"/>
              <w:jc w:val="center"/>
              <w:rPr>
                <w:rFonts w:ascii="Times New Roman" w:hAnsi="Times New Roman"/>
                <w:sz w:val="18"/>
                <w:szCs w:val="18"/>
                <w:lang w:val="en-US"/>
              </w:rPr>
            </w:pPr>
            <w:r w:rsidRPr="00B0658A">
              <w:rPr>
                <w:rFonts w:ascii="Times New Roman" w:hAnsi="Times New Roman"/>
                <w:sz w:val="18"/>
                <w:szCs w:val="18"/>
                <w:lang w:val="en-US"/>
              </w:rPr>
              <w:t>100%</w:t>
            </w:r>
          </w:p>
        </w:tc>
        <w:tc>
          <w:tcPr>
            <w:tcW w:w="367" w:type="pct"/>
            <w:shd w:val="clear" w:color="auto" w:fill="auto"/>
            <w:vAlign w:val="center"/>
          </w:tcPr>
          <w:p w14:paraId="2CBA1BE5"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7" w:type="pct"/>
            <w:shd w:val="clear" w:color="auto" w:fill="auto"/>
            <w:vAlign w:val="center"/>
          </w:tcPr>
          <w:p w14:paraId="7ACCFCCD"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4" w:type="pct"/>
            <w:shd w:val="clear" w:color="auto" w:fill="auto"/>
            <w:vAlign w:val="center"/>
          </w:tcPr>
          <w:p w14:paraId="250B31CC"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207C19" w:rsidRPr="00B0658A" w14:paraId="54CD18D7" w14:textId="77777777" w:rsidTr="00FE71B1">
        <w:trPr>
          <w:trHeight w:val="20"/>
        </w:trPr>
        <w:tc>
          <w:tcPr>
            <w:tcW w:w="342" w:type="pct"/>
            <w:shd w:val="clear" w:color="000000" w:fill="FFFFFF"/>
            <w:vAlign w:val="center"/>
          </w:tcPr>
          <w:p w14:paraId="4E26D521" w14:textId="77777777" w:rsidR="00207C19" w:rsidRPr="00B0658A" w:rsidRDefault="00207C19" w:rsidP="00FE71B1">
            <w:pPr>
              <w:spacing w:after="0" w:line="240" w:lineRule="auto"/>
              <w:jc w:val="center"/>
              <w:rPr>
                <w:rFonts w:ascii="Times New Roman" w:hAnsi="Times New Roman"/>
                <w:sz w:val="18"/>
                <w:szCs w:val="18"/>
              </w:rPr>
            </w:pPr>
            <w:r w:rsidRPr="00B0658A">
              <w:rPr>
                <w:rFonts w:ascii="Times New Roman" w:hAnsi="Times New Roman"/>
                <w:sz w:val="18"/>
                <w:szCs w:val="18"/>
              </w:rPr>
              <w:t>4.1</w:t>
            </w:r>
          </w:p>
        </w:tc>
        <w:tc>
          <w:tcPr>
            <w:tcW w:w="1182" w:type="pct"/>
            <w:shd w:val="clear" w:color="auto" w:fill="auto"/>
            <w:vAlign w:val="center"/>
            <w:hideMark/>
          </w:tcPr>
          <w:p w14:paraId="42CB31C6" w14:textId="77777777" w:rsidR="00207C19" w:rsidRPr="00B0658A" w:rsidRDefault="00207C19" w:rsidP="00E766E3">
            <w:pPr>
              <w:spacing w:after="0" w:line="240" w:lineRule="auto"/>
              <w:rPr>
                <w:rFonts w:ascii="Times New Roman" w:hAnsi="Times New Roman"/>
                <w:sz w:val="18"/>
                <w:szCs w:val="18"/>
              </w:rPr>
            </w:pPr>
            <w:r w:rsidRPr="00B0658A">
              <w:rPr>
                <w:rFonts w:ascii="Times New Roman" w:hAnsi="Times New Roman"/>
                <w:sz w:val="18"/>
                <w:szCs w:val="18"/>
              </w:rPr>
              <w:t>Средства разработки программного обеспечения/ Средства подготовки исполнимого кода</w:t>
            </w:r>
          </w:p>
        </w:tc>
        <w:tc>
          <w:tcPr>
            <w:tcW w:w="898" w:type="pct"/>
            <w:shd w:val="clear" w:color="000000" w:fill="FFFFFF"/>
            <w:hideMark/>
          </w:tcPr>
          <w:p w14:paraId="08414A28" w14:textId="77777777" w:rsidR="00207C19" w:rsidRPr="00B0658A" w:rsidRDefault="00207C19" w:rsidP="00E766E3">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7" w:type="pct"/>
            <w:shd w:val="clear" w:color="auto" w:fill="auto"/>
            <w:vAlign w:val="center"/>
          </w:tcPr>
          <w:p w14:paraId="4BC6901C"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35%</w:t>
            </w:r>
          </w:p>
        </w:tc>
        <w:tc>
          <w:tcPr>
            <w:tcW w:w="367" w:type="pct"/>
            <w:shd w:val="clear" w:color="auto" w:fill="auto"/>
            <w:vAlign w:val="center"/>
          </w:tcPr>
          <w:p w14:paraId="1B936920"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45%</w:t>
            </w:r>
          </w:p>
        </w:tc>
        <w:tc>
          <w:tcPr>
            <w:tcW w:w="367" w:type="pct"/>
            <w:shd w:val="clear" w:color="auto" w:fill="auto"/>
            <w:vAlign w:val="center"/>
          </w:tcPr>
          <w:p w14:paraId="0134BA22"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55%</w:t>
            </w:r>
          </w:p>
        </w:tc>
        <w:tc>
          <w:tcPr>
            <w:tcW w:w="379" w:type="pct"/>
            <w:vAlign w:val="center"/>
          </w:tcPr>
          <w:p w14:paraId="5ED56518"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7" w:type="pct"/>
            <w:shd w:val="clear" w:color="auto" w:fill="auto"/>
            <w:vAlign w:val="center"/>
          </w:tcPr>
          <w:p w14:paraId="3B943325"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70%</w:t>
            </w:r>
          </w:p>
        </w:tc>
        <w:tc>
          <w:tcPr>
            <w:tcW w:w="367" w:type="pct"/>
            <w:shd w:val="clear" w:color="auto" w:fill="auto"/>
            <w:vAlign w:val="center"/>
          </w:tcPr>
          <w:p w14:paraId="3F7AE730"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90%</w:t>
            </w:r>
          </w:p>
        </w:tc>
        <w:tc>
          <w:tcPr>
            <w:tcW w:w="364" w:type="pct"/>
            <w:shd w:val="clear" w:color="auto" w:fill="auto"/>
            <w:vAlign w:val="center"/>
          </w:tcPr>
          <w:p w14:paraId="6903E09F"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207C19" w:rsidRPr="00B0658A" w14:paraId="69CC1E6B" w14:textId="77777777" w:rsidTr="00FE71B1">
        <w:trPr>
          <w:trHeight w:val="20"/>
        </w:trPr>
        <w:tc>
          <w:tcPr>
            <w:tcW w:w="342" w:type="pct"/>
            <w:shd w:val="clear" w:color="000000" w:fill="FFFFFF"/>
            <w:vAlign w:val="center"/>
          </w:tcPr>
          <w:p w14:paraId="5B3ECB38" w14:textId="77777777" w:rsidR="00207C19" w:rsidRPr="00B0658A" w:rsidRDefault="00207C19" w:rsidP="00FE71B1">
            <w:pPr>
              <w:spacing w:after="0" w:line="240" w:lineRule="auto"/>
              <w:jc w:val="center"/>
              <w:rPr>
                <w:rFonts w:ascii="Times New Roman" w:hAnsi="Times New Roman"/>
                <w:sz w:val="18"/>
                <w:szCs w:val="18"/>
              </w:rPr>
            </w:pPr>
            <w:r w:rsidRPr="00B0658A">
              <w:rPr>
                <w:rFonts w:ascii="Times New Roman" w:hAnsi="Times New Roman"/>
                <w:sz w:val="18"/>
                <w:szCs w:val="18"/>
              </w:rPr>
              <w:t>4.2</w:t>
            </w:r>
          </w:p>
        </w:tc>
        <w:tc>
          <w:tcPr>
            <w:tcW w:w="1182" w:type="pct"/>
            <w:shd w:val="clear" w:color="auto" w:fill="auto"/>
            <w:vAlign w:val="center"/>
            <w:hideMark/>
          </w:tcPr>
          <w:p w14:paraId="1306F864" w14:textId="77777777" w:rsidR="00207C19" w:rsidRPr="00B0658A" w:rsidRDefault="00207C19" w:rsidP="00E766E3">
            <w:pPr>
              <w:spacing w:after="0" w:line="240" w:lineRule="auto"/>
              <w:rPr>
                <w:rFonts w:ascii="Times New Roman" w:hAnsi="Times New Roman"/>
                <w:sz w:val="18"/>
                <w:szCs w:val="18"/>
              </w:rPr>
            </w:pPr>
            <w:r w:rsidRPr="00B0658A">
              <w:rPr>
                <w:rFonts w:ascii="Times New Roman" w:hAnsi="Times New Roman"/>
                <w:sz w:val="18"/>
                <w:szCs w:val="18"/>
              </w:rPr>
              <w:t>Средства разработки программного обеспечения/ Средства версионного контроля исходного кода</w:t>
            </w:r>
          </w:p>
        </w:tc>
        <w:tc>
          <w:tcPr>
            <w:tcW w:w="898" w:type="pct"/>
            <w:shd w:val="clear" w:color="000000" w:fill="FFFFFF"/>
            <w:hideMark/>
          </w:tcPr>
          <w:p w14:paraId="0D73CE07" w14:textId="77777777" w:rsidR="00207C19" w:rsidRPr="00B0658A" w:rsidRDefault="00207C19" w:rsidP="00E766E3">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7" w:type="pct"/>
            <w:shd w:val="clear" w:color="auto" w:fill="auto"/>
            <w:vAlign w:val="center"/>
          </w:tcPr>
          <w:p w14:paraId="2EB390C6"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35%</w:t>
            </w:r>
          </w:p>
        </w:tc>
        <w:tc>
          <w:tcPr>
            <w:tcW w:w="367" w:type="pct"/>
            <w:shd w:val="clear" w:color="auto" w:fill="auto"/>
            <w:vAlign w:val="center"/>
          </w:tcPr>
          <w:p w14:paraId="39C5D88B"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45%</w:t>
            </w:r>
          </w:p>
        </w:tc>
        <w:tc>
          <w:tcPr>
            <w:tcW w:w="367" w:type="pct"/>
            <w:shd w:val="clear" w:color="auto" w:fill="auto"/>
            <w:vAlign w:val="center"/>
          </w:tcPr>
          <w:p w14:paraId="76111373"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55%</w:t>
            </w:r>
          </w:p>
        </w:tc>
        <w:tc>
          <w:tcPr>
            <w:tcW w:w="379" w:type="pct"/>
            <w:vAlign w:val="center"/>
          </w:tcPr>
          <w:p w14:paraId="08242382"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7" w:type="pct"/>
            <w:shd w:val="clear" w:color="auto" w:fill="auto"/>
            <w:vAlign w:val="center"/>
          </w:tcPr>
          <w:p w14:paraId="6D72E819"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70%</w:t>
            </w:r>
          </w:p>
        </w:tc>
        <w:tc>
          <w:tcPr>
            <w:tcW w:w="367" w:type="pct"/>
            <w:shd w:val="clear" w:color="auto" w:fill="auto"/>
            <w:vAlign w:val="center"/>
          </w:tcPr>
          <w:p w14:paraId="6C3EF7EC"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90%</w:t>
            </w:r>
          </w:p>
        </w:tc>
        <w:tc>
          <w:tcPr>
            <w:tcW w:w="364" w:type="pct"/>
            <w:shd w:val="clear" w:color="auto" w:fill="auto"/>
            <w:vAlign w:val="center"/>
          </w:tcPr>
          <w:p w14:paraId="46BA07DA"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rPr>
              <w:t>100</w:t>
            </w:r>
            <w:r w:rsidRPr="00B0658A">
              <w:rPr>
                <w:rFonts w:ascii="Times New Roman" w:hAnsi="Times New Roman"/>
                <w:sz w:val="18"/>
                <w:szCs w:val="18"/>
                <w:lang w:val="en-US"/>
              </w:rPr>
              <w:t>%</w:t>
            </w:r>
          </w:p>
        </w:tc>
      </w:tr>
      <w:tr w:rsidR="00207C19" w:rsidRPr="00B0658A" w14:paraId="54133FA1" w14:textId="77777777" w:rsidTr="00FE71B1">
        <w:trPr>
          <w:trHeight w:val="20"/>
        </w:trPr>
        <w:tc>
          <w:tcPr>
            <w:tcW w:w="342" w:type="pct"/>
            <w:shd w:val="clear" w:color="000000" w:fill="FFFFFF"/>
            <w:vAlign w:val="center"/>
          </w:tcPr>
          <w:p w14:paraId="56B7E21C" w14:textId="77777777" w:rsidR="00207C19" w:rsidRPr="00B0658A" w:rsidRDefault="00207C19" w:rsidP="00FE71B1">
            <w:pPr>
              <w:spacing w:after="0" w:line="240" w:lineRule="auto"/>
              <w:jc w:val="center"/>
              <w:rPr>
                <w:rFonts w:ascii="Times New Roman" w:hAnsi="Times New Roman"/>
                <w:sz w:val="18"/>
                <w:szCs w:val="18"/>
              </w:rPr>
            </w:pPr>
            <w:r w:rsidRPr="00B0658A">
              <w:rPr>
                <w:rFonts w:ascii="Times New Roman" w:hAnsi="Times New Roman"/>
                <w:sz w:val="18"/>
                <w:szCs w:val="18"/>
              </w:rPr>
              <w:t>4.3</w:t>
            </w:r>
          </w:p>
        </w:tc>
        <w:tc>
          <w:tcPr>
            <w:tcW w:w="1182" w:type="pct"/>
            <w:shd w:val="clear" w:color="auto" w:fill="auto"/>
            <w:vAlign w:val="center"/>
            <w:hideMark/>
          </w:tcPr>
          <w:p w14:paraId="676A33F2" w14:textId="77777777" w:rsidR="00207C19" w:rsidRPr="00B0658A" w:rsidRDefault="00207C19" w:rsidP="00E766E3">
            <w:pPr>
              <w:spacing w:after="0" w:line="240" w:lineRule="auto"/>
              <w:rPr>
                <w:rFonts w:ascii="Times New Roman" w:hAnsi="Times New Roman"/>
                <w:sz w:val="18"/>
                <w:szCs w:val="18"/>
              </w:rPr>
            </w:pPr>
            <w:r w:rsidRPr="00B0658A">
              <w:rPr>
                <w:rFonts w:ascii="Times New Roman" w:hAnsi="Times New Roman"/>
                <w:sz w:val="18"/>
                <w:szCs w:val="18"/>
              </w:rPr>
              <w:t>Средства разработки программного обеспечения/ Библиотеки подпрограмм (SDK)</w:t>
            </w:r>
          </w:p>
        </w:tc>
        <w:tc>
          <w:tcPr>
            <w:tcW w:w="898" w:type="pct"/>
            <w:shd w:val="clear" w:color="000000" w:fill="FFFFFF"/>
            <w:hideMark/>
          </w:tcPr>
          <w:p w14:paraId="7057BAB4" w14:textId="77777777" w:rsidR="00207C19" w:rsidRPr="00B0658A" w:rsidRDefault="00207C19" w:rsidP="00E766E3">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7" w:type="pct"/>
            <w:shd w:val="clear" w:color="auto" w:fill="auto"/>
            <w:vAlign w:val="center"/>
          </w:tcPr>
          <w:p w14:paraId="70A28BE4"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35%</w:t>
            </w:r>
          </w:p>
        </w:tc>
        <w:tc>
          <w:tcPr>
            <w:tcW w:w="367" w:type="pct"/>
            <w:shd w:val="clear" w:color="auto" w:fill="auto"/>
            <w:vAlign w:val="center"/>
          </w:tcPr>
          <w:p w14:paraId="26DD9773"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45%</w:t>
            </w:r>
          </w:p>
        </w:tc>
        <w:tc>
          <w:tcPr>
            <w:tcW w:w="367" w:type="pct"/>
            <w:shd w:val="clear" w:color="auto" w:fill="auto"/>
            <w:vAlign w:val="center"/>
          </w:tcPr>
          <w:p w14:paraId="1E07E6BA"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55%</w:t>
            </w:r>
          </w:p>
        </w:tc>
        <w:tc>
          <w:tcPr>
            <w:tcW w:w="379" w:type="pct"/>
            <w:vAlign w:val="center"/>
          </w:tcPr>
          <w:p w14:paraId="302B4025"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7" w:type="pct"/>
            <w:shd w:val="clear" w:color="auto" w:fill="auto"/>
            <w:vAlign w:val="center"/>
          </w:tcPr>
          <w:p w14:paraId="0648855D"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70%</w:t>
            </w:r>
          </w:p>
        </w:tc>
        <w:tc>
          <w:tcPr>
            <w:tcW w:w="367" w:type="pct"/>
            <w:shd w:val="clear" w:color="auto" w:fill="auto"/>
            <w:vAlign w:val="center"/>
          </w:tcPr>
          <w:p w14:paraId="273103EC"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90%</w:t>
            </w:r>
          </w:p>
        </w:tc>
        <w:tc>
          <w:tcPr>
            <w:tcW w:w="364" w:type="pct"/>
            <w:shd w:val="clear" w:color="auto" w:fill="auto"/>
            <w:vAlign w:val="center"/>
          </w:tcPr>
          <w:p w14:paraId="1E7044FC"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207C19" w:rsidRPr="00B0658A" w14:paraId="7AE4A790" w14:textId="77777777" w:rsidTr="00FE71B1">
        <w:trPr>
          <w:trHeight w:val="20"/>
        </w:trPr>
        <w:tc>
          <w:tcPr>
            <w:tcW w:w="342" w:type="pct"/>
            <w:shd w:val="clear" w:color="000000" w:fill="FFFFFF"/>
            <w:vAlign w:val="center"/>
          </w:tcPr>
          <w:p w14:paraId="017CD34B" w14:textId="77777777" w:rsidR="00207C19" w:rsidRPr="00B0658A" w:rsidRDefault="00207C19" w:rsidP="00FE71B1">
            <w:pPr>
              <w:spacing w:after="0" w:line="240" w:lineRule="auto"/>
              <w:jc w:val="center"/>
              <w:rPr>
                <w:rFonts w:ascii="Times New Roman" w:hAnsi="Times New Roman"/>
                <w:sz w:val="18"/>
                <w:szCs w:val="18"/>
              </w:rPr>
            </w:pPr>
            <w:r w:rsidRPr="00B0658A">
              <w:rPr>
                <w:rFonts w:ascii="Times New Roman" w:hAnsi="Times New Roman"/>
                <w:sz w:val="18"/>
                <w:szCs w:val="18"/>
              </w:rPr>
              <w:t>4.4</w:t>
            </w:r>
          </w:p>
        </w:tc>
        <w:tc>
          <w:tcPr>
            <w:tcW w:w="1182" w:type="pct"/>
            <w:shd w:val="clear" w:color="auto" w:fill="auto"/>
            <w:vAlign w:val="center"/>
            <w:hideMark/>
          </w:tcPr>
          <w:p w14:paraId="2CC28285" w14:textId="77777777" w:rsidR="00207C19" w:rsidRPr="00B0658A" w:rsidRDefault="00207C19" w:rsidP="00E766E3">
            <w:pPr>
              <w:spacing w:after="0" w:line="240" w:lineRule="auto"/>
              <w:rPr>
                <w:rFonts w:ascii="Times New Roman" w:hAnsi="Times New Roman"/>
                <w:sz w:val="18"/>
                <w:szCs w:val="18"/>
              </w:rPr>
            </w:pPr>
            <w:r w:rsidRPr="00B0658A">
              <w:rPr>
                <w:rFonts w:ascii="Times New Roman" w:hAnsi="Times New Roman"/>
                <w:sz w:val="18"/>
                <w:szCs w:val="18"/>
              </w:rPr>
              <w:t>Средства разработки программного обеспечения/ Среды разработки, тестирования и отладки</w:t>
            </w:r>
          </w:p>
        </w:tc>
        <w:tc>
          <w:tcPr>
            <w:tcW w:w="898" w:type="pct"/>
            <w:shd w:val="clear" w:color="000000" w:fill="FFFFFF"/>
            <w:hideMark/>
          </w:tcPr>
          <w:p w14:paraId="3D15EA7B" w14:textId="77777777" w:rsidR="00207C19" w:rsidRPr="00B0658A" w:rsidRDefault="00207C19" w:rsidP="00E766E3">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7" w:type="pct"/>
            <w:shd w:val="clear" w:color="auto" w:fill="auto"/>
            <w:vAlign w:val="center"/>
          </w:tcPr>
          <w:p w14:paraId="0CD13E93"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35%</w:t>
            </w:r>
          </w:p>
        </w:tc>
        <w:tc>
          <w:tcPr>
            <w:tcW w:w="367" w:type="pct"/>
            <w:shd w:val="clear" w:color="auto" w:fill="auto"/>
            <w:vAlign w:val="center"/>
          </w:tcPr>
          <w:p w14:paraId="525A4CF1"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45%</w:t>
            </w:r>
          </w:p>
        </w:tc>
        <w:tc>
          <w:tcPr>
            <w:tcW w:w="367" w:type="pct"/>
            <w:shd w:val="clear" w:color="auto" w:fill="auto"/>
            <w:vAlign w:val="center"/>
          </w:tcPr>
          <w:p w14:paraId="6D469496"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55%</w:t>
            </w:r>
          </w:p>
        </w:tc>
        <w:tc>
          <w:tcPr>
            <w:tcW w:w="379" w:type="pct"/>
            <w:vAlign w:val="center"/>
          </w:tcPr>
          <w:p w14:paraId="47BF32EE"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7" w:type="pct"/>
            <w:shd w:val="clear" w:color="auto" w:fill="auto"/>
            <w:vAlign w:val="center"/>
          </w:tcPr>
          <w:p w14:paraId="0D11B8CB"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70%</w:t>
            </w:r>
          </w:p>
        </w:tc>
        <w:tc>
          <w:tcPr>
            <w:tcW w:w="367" w:type="pct"/>
            <w:shd w:val="clear" w:color="auto" w:fill="auto"/>
            <w:vAlign w:val="center"/>
          </w:tcPr>
          <w:p w14:paraId="7BEAFF89"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90%</w:t>
            </w:r>
          </w:p>
        </w:tc>
        <w:tc>
          <w:tcPr>
            <w:tcW w:w="364" w:type="pct"/>
            <w:shd w:val="clear" w:color="auto" w:fill="auto"/>
            <w:vAlign w:val="center"/>
          </w:tcPr>
          <w:p w14:paraId="015A2907"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207C19" w:rsidRPr="00B0658A" w14:paraId="13960A14" w14:textId="77777777" w:rsidTr="00FE71B1">
        <w:trPr>
          <w:trHeight w:val="20"/>
        </w:trPr>
        <w:tc>
          <w:tcPr>
            <w:tcW w:w="342" w:type="pct"/>
            <w:shd w:val="clear" w:color="000000" w:fill="FFFFFF"/>
            <w:vAlign w:val="center"/>
          </w:tcPr>
          <w:p w14:paraId="30FD3E18" w14:textId="77777777" w:rsidR="00207C19" w:rsidRPr="00B0658A" w:rsidRDefault="00207C19" w:rsidP="00FE71B1">
            <w:pPr>
              <w:spacing w:after="0" w:line="240" w:lineRule="auto"/>
              <w:jc w:val="center"/>
              <w:rPr>
                <w:rFonts w:ascii="Times New Roman" w:hAnsi="Times New Roman"/>
                <w:sz w:val="18"/>
                <w:szCs w:val="18"/>
              </w:rPr>
            </w:pPr>
            <w:r w:rsidRPr="00B0658A">
              <w:rPr>
                <w:rFonts w:ascii="Times New Roman" w:hAnsi="Times New Roman"/>
                <w:sz w:val="18"/>
                <w:szCs w:val="18"/>
              </w:rPr>
              <w:t>4.5</w:t>
            </w:r>
          </w:p>
        </w:tc>
        <w:tc>
          <w:tcPr>
            <w:tcW w:w="1182" w:type="pct"/>
            <w:shd w:val="clear" w:color="auto" w:fill="auto"/>
            <w:vAlign w:val="center"/>
            <w:hideMark/>
          </w:tcPr>
          <w:p w14:paraId="7E43EA9E" w14:textId="77777777" w:rsidR="00207C19" w:rsidRPr="00B0658A" w:rsidRDefault="00207C19" w:rsidP="00E766E3">
            <w:pPr>
              <w:spacing w:after="0" w:line="240" w:lineRule="auto"/>
              <w:rPr>
                <w:rFonts w:ascii="Times New Roman" w:hAnsi="Times New Roman"/>
                <w:sz w:val="18"/>
                <w:szCs w:val="18"/>
              </w:rPr>
            </w:pPr>
            <w:r w:rsidRPr="00B0658A">
              <w:rPr>
                <w:rFonts w:ascii="Times New Roman" w:hAnsi="Times New Roman"/>
                <w:sz w:val="18"/>
                <w:szCs w:val="18"/>
              </w:rPr>
              <w:t>Средства разработки программного обеспечения/ Средства анализа исходного кода на закладки и уязвимости</w:t>
            </w:r>
          </w:p>
        </w:tc>
        <w:tc>
          <w:tcPr>
            <w:tcW w:w="898" w:type="pct"/>
            <w:shd w:val="clear" w:color="000000" w:fill="FFFFFF"/>
            <w:hideMark/>
          </w:tcPr>
          <w:p w14:paraId="0E8CAFAE" w14:textId="77777777" w:rsidR="00207C19" w:rsidRPr="00B0658A" w:rsidRDefault="00207C19" w:rsidP="00E766E3">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7" w:type="pct"/>
            <w:shd w:val="clear" w:color="auto" w:fill="auto"/>
            <w:vAlign w:val="center"/>
          </w:tcPr>
          <w:p w14:paraId="463C587D"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35%</w:t>
            </w:r>
          </w:p>
        </w:tc>
        <w:tc>
          <w:tcPr>
            <w:tcW w:w="367" w:type="pct"/>
            <w:shd w:val="clear" w:color="auto" w:fill="auto"/>
            <w:vAlign w:val="center"/>
          </w:tcPr>
          <w:p w14:paraId="141B88AE"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45%</w:t>
            </w:r>
          </w:p>
        </w:tc>
        <w:tc>
          <w:tcPr>
            <w:tcW w:w="367" w:type="pct"/>
            <w:shd w:val="clear" w:color="auto" w:fill="auto"/>
            <w:vAlign w:val="center"/>
          </w:tcPr>
          <w:p w14:paraId="7F5749CF"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55%</w:t>
            </w:r>
          </w:p>
        </w:tc>
        <w:tc>
          <w:tcPr>
            <w:tcW w:w="379" w:type="pct"/>
            <w:vAlign w:val="center"/>
          </w:tcPr>
          <w:p w14:paraId="52B778CB"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7" w:type="pct"/>
            <w:shd w:val="clear" w:color="auto" w:fill="auto"/>
            <w:vAlign w:val="center"/>
          </w:tcPr>
          <w:p w14:paraId="63A1E17B"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70%</w:t>
            </w:r>
          </w:p>
        </w:tc>
        <w:tc>
          <w:tcPr>
            <w:tcW w:w="367" w:type="pct"/>
            <w:shd w:val="clear" w:color="auto" w:fill="auto"/>
            <w:vAlign w:val="center"/>
          </w:tcPr>
          <w:p w14:paraId="54540E70"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90%</w:t>
            </w:r>
          </w:p>
        </w:tc>
        <w:tc>
          <w:tcPr>
            <w:tcW w:w="364" w:type="pct"/>
            <w:shd w:val="clear" w:color="auto" w:fill="auto"/>
            <w:vAlign w:val="center"/>
          </w:tcPr>
          <w:p w14:paraId="37BAC7F6"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207C19" w:rsidRPr="00B0658A" w14:paraId="04A429EC" w14:textId="77777777" w:rsidTr="00FE71B1">
        <w:trPr>
          <w:trHeight w:val="20"/>
        </w:trPr>
        <w:tc>
          <w:tcPr>
            <w:tcW w:w="342" w:type="pct"/>
            <w:shd w:val="clear" w:color="000000" w:fill="FFFFFF"/>
            <w:vAlign w:val="center"/>
          </w:tcPr>
          <w:p w14:paraId="7E0D4F58" w14:textId="77777777" w:rsidR="00207C19" w:rsidRPr="00B0658A" w:rsidRDefault="00207C19" w:rsidP="00FE71B1">
            <w:pPr>
              <w:spacing w:after="0" w:line="240" w:lineRule="auto"/>
              <w:jc w:val="center"/>
              <w:rPr>
                <w:rFonts w:ascii="Times New Roman" w:hAnsi="Times New Roman"/>
                <w:sz w:val="18"/>
                <w:szCs w:val="18"/>
              </w:rPr>
            </w:pPr>
            <w:r w:rsidRPr="00B0658A">
              <w:rPr>
                <w:rFonts w:ascii="Times New Roman" w:hAnsi="Times New Roman"/>
                <w:sz w:val="18"/>
                <w:szCs w:val="18"/>
              </w:rPr>
              <w:t>4.6</w:t>
            </w:r>
          </w:p>
        </w:tc>
        <w:tc>
          <w:tcPr>
            <w:tcW w:w="1182" w:type="pct"/>
            <w:shd w:val="clear" w:color="auto" w:fill="auto"/>
            <w:vAlign w:val="center"/>
            <w:hideMark/>
          </w:tcPr>
          <w:p w14:paraId="5FA9D801" w14:textId="77777777" w:rsidR="00207C19" w:rsidRPr="00B0658A" w:rsidRDefault="00207C19" w:rsidP="00E766E3">
            <w:pPr>
              <w:spacing w:after="0" w:line="240" w:lineRule="auto"/>
              <w:rPr>
                <w:rFonts w:ascii="Times New Roman" w:hAnsi="Times New Roman"/>
                <w:sz w:val="18"/>
                <w:szCs w:val="18"/>
              </w:rPr>
            </w:pPr>
            <w:r w:rsidRPr="00B0658A">
              <w:rPr>
                <w:rFonts w:ascii="Times New Roman" w:hAnsi="Times New Roman"/>
                <w:sz w:val="18"/>
                <w:szCs w:val="18"/>
              </w:rPr>
              <w:t>Средства разработки программного обеспечения/ Средства разработки программного обеспечения на основе нейротехнологий и искусственного интеллекта</w:t>
            </w:r>
          </w:p>
        </w:tc>
        <w:tc>
          <w:tcPr>
            <w:tcW w:w="898" w:type="pct"/>
            <w:shd w:val="clear" w:color="000000" w:fill="FFFFFF"/>
            <w:hideMark/>
          </w:tcPr>
          <w:p w14:paraId="11D09414" w14:textId="77777777" w:rsidR="00207C19" w:rsidRPr="00B0658A" w:rsidRDefault="00207C19" w:rsidP="00E766E3">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7" w:type="pct"/>
            <w:shd w:val="clear" w:color="000000" w:fill="FFFFFF"/>
            <w:vAlign w:val="center"/>
          </w:tcPr>
          <w:p w14:paraId="09CD8475"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35%</w:t>
            </w:r>
          </w:p>
        </w:tc>
        <w:tc>
          <w:tcPr>
            <w:tcW w:w="367" w:type="pct"/>
            <w:shd w:val="clear" w:color="000000" w:fill="FFFFFF"/>
            <w:vAlign w:val="center"/>
          </w:tcPr>
          <w:p w14:paraId="2C5F3108"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45%</w:t>
            </w:r>
          </w:p>
        </w:tc>
        <w:tc>
          <w:tcPr>
            <w:tcW w:w="367" w:type="pct"/>
            <w:shd w:val="clear" w:color="000000" w:fill="FFFFFF"/>
            <w:vAlign w:val="center"/>
          </w:tcPr>
          <w:p w14:paraId="5AE8C00B"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55%</w:t>
            </w:r>
          </w:p>
        </w:tc>
        <w:tc>
          <w:tcPr>
            <w:tcW w:w="379" w:type="pct"/>
            <w:shd w:val="clear" w:color="000000" w:fill="FFFFFF"/>
            <w:vAlign w:val="center"/>
          </w:tcPr>
          <w:p w14:paraId="2E1C526B"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7" w:type="pct"/>
            <w:shd w:val="clear" w:color="000000" w:fill="FFFFFF"/>
            <w:vAlign w:val="center"/>
          </w:tcPr>
          <w:p w14:paraId="0F92A658"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70%</w:t>
            </w:r>
          </w:p>
        </w:tc>
        <w:tc>
          <w:tcPr>
            <w:tcW w:w="367" w:type="pct"/>
            <w:shd w:val="clear" w:color="000000" w:fill="FFFFFF"/>
            <w:vAlign w:val="center"/>
          </w:tcPr>
          <w:p w14:paraId="08043EC9"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90%</w:t>
            </w:r>
          </w:p>
        </w:tc>
        <w:tc>
          <w:tcPr>
            <w:tcW w:w="364" w:type="pct"/>
            <w:shd w:val="clear" w:color="000000" w:fill="FFFFFF"/>
            <w:vAlign w:val="center"/>
          </w:tcPr>
          <w:p w14:paraId="25E95D11"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207C19" w:rsidRPr="00B0658A" w14:paraId="5069BEBD" w14:textId="77777777" w:rsidTr="00FE71B1">
        <w:trPr>
          <w:trHeight w:val="20"/>
        </w:trPr>
        <w:tc>
          <w:tcPr>
            <w:tcW w:w="342" w:type="pct"/>
            <w:shd w:val="clear" w:color="000000" w:fill="FFFFFF"/>
            <w:vAlign w:val="center"/>
          </w:tcPr>
          <w:p w14:paraId="28E906EC" w14:textId="77777777" w:rsidR="00207C19" w:rsidRPr="00B0658A" w:rsidRDefault="00207C19" w:rsidP="00FE71B1">
            <w:pPr>
              <w:spacing w:after="0" w:line="240" w:lineRule="auto"/>
              <w:jc w:val="center"/>
              <w:rPr>
                <w:rFonts w:ascii="Times New Roman" w:hAnsi="Times New Roman"/>
                <w:sz w:val="18"/>
                <w:szCs w:val="18"/>
              </w:rPr>
            </w:pPr>
            <w:r w:rsidRPr="00B0658A">
              <w:rPr>
                <w:rFonts w:ascii="Times New Roman" w:hAnsi="Times New Roman"/>
                <w:sz w:val="18"/>
                <w:szCs w:val="18"/>
              </w:rPr>
              <w:t>4.7.</w:t>
            </w:r>
          </w:p>
        </w:tc>
        <w:tc>
          <w:tcPr>
            <w:tcW w:w="1182" w:type="pct"/>
            <w:shd w:val="clear" w:color="auto" w:fill="auto"/>
            <w:vAlign w:val="center"/>
          </w:tcPr>
          <w:p w14:paraId="0EBB4A74" w14:textId="77777777" w:rsidR="00207C19" w:rsidRPr="00B0658A" w:rsidRDefault="00207C19" w:rsidP="00E766E3">
            <w:pPr>
              <w:spacing w:after="0" w:line="240" w:lineRule="auto"/>
              <w:rPr>
                <w:rFonts w:ascii="Times New Roman" w:hAnsi="Times New Roman"/>
                <w:sz w:val="18"/>
                <w:szCs w:val="18"/>
              </w:rPr>
            </w:pPr>
            <w:r w:rsidRPr="00B0658A">
              <w:rPr>
                <w:rFonts w:ascii="Times New Roman" w:hAnsi="Times New Roman"/>
                <w:sz w:val="18"/>
                <w:szCs w:val="18"/>
              </w:rPr>
              <w:t>Средства разработки программного обеспечения/ Средства разработки программного обеспечения на основе квантовых технологий</w:t>
            </w:r>
          </w:p>
        </w:tc>
        <w:tc>
          <w:tcPr>
            <w:tcW w:w="898" w:type="pct"/>
            <w:shd w:val="clear" w:color="000000" w:fill="FFFFFF"/>
          </w:tcPr>
          <w:p w14:paraId="4223F8E4" w14:textId="77777777" w:rsidR="00207C19" w:rsidRPr="00B0658A" w:rsidRDefault="00207C19" w:rsidP="00E766E3">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7" w:type="pct"/>
            <w:shd w:val="clear" w:color="000000" w:fill="FFFFFF"/>
            <w:vAlign w:val="center"/>
          </w:tcPr>
          <w:p w14:paraId="791017DE"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35%</w:t>
            </w:r>
          </w:p>
        </w:tc>
        <w:tc>
          <w:tcPr>
            <w:tcW w:w="367" w:type="pct"/>
            <w:shd w:val="clear" w:color="000000" w:fill="FFFFFF"/>
            <w:vAlign w:val="center"/>
          </w:tcPr>
          <w:p w14:paraId="7970A611"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45%</w:t>
            </w:r>
          </w:p>
        </w:tc>
        <w:tc>
          <w:tcPr>
            <w:tcW w:w="367" w:type="pct"/>
            <w:shd w:val="clear" w:color="000000" w:fill="FFFFFF"/>
            <w:vAlign w:val="center"/>
          </w:tcPr>
          <w:p w14:paraId="719FD548"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55%</w:t>
            </w:r>
          </w:p>
        </w:tc>
        <w:tc>
          <w:tcPr>
            <w:tcW w:w="379" w:type="pct"/>
            <w:shd w:val="clear" w:color="000000" w:fill="FFFFFF"/>
            <w:vAlign w:val="center"/>
          </w:tcPr>
          <w:p w14:paraId="1BC615C8"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7" w:type="pct"/>
            <w:shd w:val="clear" w:color="000000" w:fill="FFFFFF"/>
            <w:vAlign w:val="center"/>
          </w:tcPr>
          <w:p w14:paraId="193E5F6B"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70%</w:t>
            </w:r>
          </w:p>
        </w:tc>
        <w:tc>
          <w:tcPr>
            <w:tcW w:w="367" w:type="pct"/>
            <w:shd w:val="clear" w:color="000000" w:fill="FFFFFF"/>
            <w:vAlign w:val="center"/>
          </w:tcPr>
          <w:p w14:paraId="08DF4379" w14:textId="77777777" w:rsidR="00207C19" w:rsidRPr="00B0658A" w:rsidRDefault="00207C19" w:rsidP="00E766E3">
            <w:pPr>
              <w:spacing w:after="0" w:line="240" w:lineRule="auto"/>
              <w:jc w:val="center"/>
              <w:rPr>
                <w:rFonts w:ascii="Times New Roman" w:hAnsi="Times New Roman"/>
                <w:sz w:val="18"/>
                <w:szCs w:val="18"/>
                <w:lang w:val="en-US"/>
              </w:rPr>
            </w:pPr>
            <w:r w:rsidRPr="00B0658A">
              <w:rPr>
                <w:rFonts w:ascii="Times New Roman" w:hAnsi="Times New Roman"/>
                <w:sz w:val="18"/>
                <w:szCs w:val="18"/>
                <w:lang w:val="en-US"/>
              </w:rPr>
              <w:t>90%</w:t>
            </w:r>
          </w:p>
        </w:tc>
        <w:tc>
          <w:tcPr>
            <w:tcW w:w="364" w:type="pct"/>
            <w:shd w:val="clear" w:color="000000" w:fill="FFFFFF"/>
            <w:vAlign w:val="center"/>
          </w:tcPr>
          <w:p w14:paraId="782C23E3"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207C19" w:rsidRPr="00B0658A" w14:paraId="5A583A12" w14:textId="77777777" w:rsidTr="00FE71B1">
        <w:trPr>
          <w:trHeight w:val="20"/>
        </w:trPr>
        <w:tc>
          <w:tcPr>
            <w:tcW w:w="342" w:type="pct"/>
            <w:shd w:val="clear" w:color="000000" w:fill="FFFFFF"/>
            <w:vAlign w:val="center"/>
          </w:tcPr>
          <w:p w14:paraId="03C73B7F" w14:textId="77777777" w:rsidR="00207C19" w:rsidRPr="00B0658A" w:rsidRDefault="00207C19" w:rsidP="00FE71B1">
            <w:pPr>
              <w:spacing w:after="0" w:line="240" w:lineRule="auto"/>
              <w:jc w:val="center"/>
              <w:rPr>
                <w:rFonts w:ascii="Times New Roman" w:hAnsi="Times New Roman"/>
                <w:sz w:val="18"/>
                <w:szCs w:val="18"/>
              </w:rPr>
            </w:pPr>
            <w:r w:rsidRPr="00B0658A">
              <w:rPr>
                <w:rFonts w:ascii="Times New Roman" w:hAnsi="Times New Roman"/>
                <w:sz w:val="18"/>
                <w:szCs w:val="18"/>
              </w:rPr>
              <w:t>4.8.</w:t>
            </w:r>
          </w:p>
        </w:tc>
        <w:tc>
          <w:tcPr>
            <w:tcW w:w="1182" w:type="pct"/>
            <w:shd w:val="clear" w:color="auto" w:fill="auto"/>
            <w:vAlign w:val="center"/>
          </w:tcPr>
          <w:p w14:paraId="0D421AA8" w14:textId="77777777" w:rsidR="00207C19" w:rsidRPr="00B0658A" w:rsidRDefault="00207C19" w:rsidP="00E766E3">
            <w:pPr>
              <w:spacing w:after="0" w:line="240" w:lineRule="auto"/>
              <w:rPr>
                <w:rFonts w:ascii="Times New Roman" w:hAnsi="Times New Roman"/>
                <w:sz w:val="18"/>
                <w:szCs w:val="18"/>
              </w:rPr>
            </w:pPr>
            <w:r w:rsidRPr="00B0658A">
              <w:rPr>
                <w:rFonts w:ascii="Times New Roman" w:hAnsi="Times New Roman"/>
                <w:sz w:val="18"/>
                <w:szCs w:val="18"/>
              </w:rPr>
              <w:t>Средства разработки программного обеспечения/ Интегрированные платформы для создания приложений</w:t>
            </w:r>
          </w:p>
        </w:tc>
        <w:tc>
          <w:tcPr>
            <w:tcW w:w="898" w:type="pct"/>
            <w:shd w:val="clear" w:color="000000" w:fill="FFFFFF"/>
          </w:tcPr>
          <w:p w14:paraId="3C055641" w14:textId="77777777" w:rsidR="00207C19" w:rsidRPr="00B0658A" w:rsidRDefault="00207C19" w:rsidP="00E766E3">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7" w:type="pct"/>
            <w:shd w:val="clear" w:color="000000" w:fill="FFFFFF"/>
            <w:vAlign w:val="center"/>
          </w:tcPr>
          <w:p w14:paraId="33CAD06F"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35%</w:t>
            </w:r>
          </w:p>
        </w:tc>
        <w:tc>
          <w:tcPr>
            <w:tcW w:w="367" w:type="pct"/>
            <w:shd w:val="clear" w:color="000000" w:fill="FFFFFF"/>
            <w:vAlign w:val="center"/>
          </w:tcPr>
          <w:p w14:paraId="06AAFD7B"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45%</w:t>
            </w:r>
          </w:p>
        </w:tc>
        <w:tc>
          <w:tcPr>
            <w:tcW w:w="367" w:type="pct"/>
            <w:shd w:val="clear" w:color="000000" w:fill="FFFFFF"/>
            <w:vAlign w:val="center"/>
          </w:tcPr>
          <w:p w14:paraId="68CB1246"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55%</w:t>
            </w:r>
          </w:p>
        </w:tc>
        <w:tc>
          <w:tcPr>
            <w:tcW w:w="379" w:type="pct"/>
            <w:shd w:val="clear" w:color="000000" w:fill="FFFFFF"/>
            <w:vAlign w:val="center"/>
          </w:tcPr>
          <w:p w14:paraId="51890948"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7" w:type="pct"/>
            <w:shd w:val="clear" w:color="000000" w:fill="FFFFFF"/>
            <w:vAlign w:val="center"/>
          </w:tcPr>
          <w:p w14:paraId="1135E0AE"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70%</w:t>
            </w:r>
          </w:p>
        </w:tc>
        <w:tc>
          <w:tcPr>
            <w:tcW w:w="367" w:type="pct"/>
            <w:shd w:val="clear" w:color="000000" w:fill="FFFFFF"/>
            <w:vAlign w:val="center"/>
          </w:tcPr>
          <w:p w14:paraId="5AF93EAA" w14:textId="77777777" w:rsidR="00207C19" w:rsidRPr="00B0658A" w:rsidRDefault="00207C19" w:rsidP="00E766E3">
            <w:pPr>
              <w:spacing w:after="0" w:line="240" w:lineRule="auto"/>
              <w:jc w:val="center"/>
              <w:rPr>
                <w:rFonts w:ascii="Times New Roman" w:hAnsi="Times New Roman"/>
                <w:sz w:val="18"/>
                <w:szCs w:val="18"/>
                <w:lang w:val="en-US"/>
              </w:rPr>
            </w:pPr>
            <w:r w:rsidRPr="00B0658A">
              <w:rPr>
                <w:rFonts w:ascii="Times New Roman" w:hAnsi="Times New Roman"/>
                <w:sz w:val="18"/>
                <w:szCs w:val="18"/>
                <w:lang w:val="en-US"/>
              </w:rPr>
              <w:t>90%</w:t>
            </w:r>
          </w:p>
        </w:tc>
        <w:tc>
          <w:tcPr>
            <w:tcW w:w="364" w:type="pct"/>
            <w:shd w:val="clear" w:color="000000" w:fill="FFFFFF"/>
            <w:vAlign w:val="center"/>
          </w:tcPr>
          <w:p w14:paraId="26E5D63A"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207C19" w:rsidRPr="00B0658A" w14:paraId="4BBBB335" w14:textId="77777777" w:rsidTr="00FE71B1">
        <w:trPr>
          <w:trHeight w:val="20"/>
        </w:trPr>
        <w:tc>
          <w:tcPr>
            <w:tcW w:w="342" w:type="pct"/>
            <w:shd w:val="clear" w:color="000000" w:fill="FFFFFF"/>
            <w:vAlign w:val="center"/>
          </w:tcPr>
          <w:p w14:paraId="05B8BDED" w14:textId="77777777" w:rsidR="00207C19" w:rsidRPr="00B0658A" w:rsidRDefault="00207C19" w:rsidP="00FE71B1">
            <w:pPr>
              <w:spacing w:after="0" w:line="240" w:lineRule="auto"/>
              <w:jc w:val="center"/>
              <w:rPr>
                <w:rFonts w:ascii="Times New Roman" w:hAnsi="Times New Roman"/>
                <w:sz w:val="18"/>
                <w:szCs w:val="18"/>
              </w:rPr>
            </w:pPr>
            <w:r w:rsidRPr="00B0658A">
              <w:rPr>
                <w:rFonts w:ascii="Times New Roman" w:hAnsi="Times New Roman"/>
                <w:sz w:val="18"/>
                <w:szCs w:val="18"/>
              </w:rPr>
              <w:t>4.9.</w:t>
            </w:r>
          </w:p>
        </w:tc>
        <w:tc>
          <w:tcPr>
            <w:tcW w:w="1182" w:type="pct"/>
            <w:shd w:val="clear" w:color="auto" w:fill="auto"/>
            <w:vAlign w:val="center"/>
          </w:tcPr>
          <w:p w14:paraId="1B5AEA77" w14:textId="77777777" w:rsidR="00207C19" w:rsidRPr="00B0658A" w:rsidRDefault="00207C19" w:rsidP="00E766E3">
            <w:pPr>
              <w:spacing w:after="0" w:line="240" w:lineRule="auto"/>
              <w:rPr>
                <w:rFonts w:ascii="Times New Roman" w:hAnsi="Times New Roman"/>
                <w:sz w:val="18"/>
                <w:szCs w:val="18"/>
              </w:rPr>
            </w:pPr>
            <w:r w:rsidRPr="00B0658A">
              <w:rPr>
                <w:rFonts w:ascii="Times New Roman" w:hAnsi="Times New Roman"/>
                <w:sz w:val="18"/>
                <w:szCs w:val="18"/>
              </w:rPr>
              <w:t xml:space="preserve">Средства разработки программного обеспечения/ Системы предотвращения анализа </w:t>
            </w:r>
            <w:r w:rsidRPr="00B0658A">
              <w:rPr>
                <w:rFonts w:ascii="Times New Roman" w:hAnsi="Times New Roman"/>
                <w:sz w:val="18"/>
                <w:szCs w:val="18"/>
              </w:rPr>
              <w:br/>
              <w:t>и восстановления исполняемого кода программ</w:t>
            </w:r>
          </w:p>
        </w:tc>
        <w:tc>
          <w:tcPr>
            <w:tcW w:w="898" w:type="pct"/>
            <w:shd w:val="clear" w:color="000000" w:fill="FFFFFF"/>
          </w:tcPr>
          <w:p w14:paraId="09E1A802" w14:textId="77777777" w:rsidR="00207C19" w:rsidRPr="00B0658A" w:rsidRDefault="00207C19" w:rsidP="00E766E3">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7" w:type="pct"/>
            <w:shd w:val="clear" w:color="000000" w:fill="FFFFFF"/>
            <w:vAlign w:val="center"/>
          </w:tcPr>
          <w:p w14:paraId="30F700DC"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35%</w:t>
            </w:r>
          </w:p>
        </w:tc>
        <w:tc>
          <w:tcPr>
            <w:tcW w:w="367" w:type="pct"/>
            <w:shd w:val="clear" w:color="000000" w:fill="FFFFFF"/>
            <w:vAlign w:val="center"/>
          </w:tcPr>
          <w:p w14:paraId="0EE8D13D"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45%</w:t>
            </w:r>
          </w:p>
        </w:tc>
        <w:tc>
          <w:tcPr>
            <w:tcW w:w="367" w:type="pct"/>
            <w:shd w:val="clear" w:color="000000" w:fill="FFFFFF"/>
            <w:vAlign w:val="center"/>
          </w:tcPr>
          <w:p w14:paraId="14AFD86C"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55%</w:t>
            </w:r>
          </w:p>
        </w:tc>
        <w:tc>
          <w:tcPr>
            <w:tcW w:w="379" w:type="pct"/>
            <w:shd w:val="clear" w:color="000000" w:fill="FFFFFF"/>
            <w:vAlign w:val="center"/>
          </w:tcPr>
          <w:p w14:paraId="390E50BF"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7" w:type="pct"/>
            <w:shd w:val="clear" w:color="000000" w:fill="FFFFFF"/>
            <w:vAlign w:val="center"/>
          </w:tcPr>
          <w:p w14:paraId="753C7AFD"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70%</w:t>
            </w:r>
          </w:p>
        </w:tc>
        <w:tc>
          <w:tcPr>
            <w:tcW w:w="367" w:type="pct"/>
            <w:shd w:val="clear" w:color="000000" w:fill="FFFFFF"/>
            <w:vAlign w:val="center"/>
          </w:tcPr>
          <w:p w14:paraId="2C472051" w14:textId="77777777" w:rsidR="00207C19" w:rsidRPr="00B0658A" w:rsidRDefault="00207C19" w:rsidP="00E766E3">
            <w:pPr>
              <w:spacing w:after="0" w:line="240" w:lineRule="auto"/>
              <w:jc w:val="center"/>
              <w:rPr>
                <w:rFonts w:ascii="Times New Roman" w:hAnsi="Times New Roman"/>
                <w:sz w:val="18"/>
                <w:szCs w:val="18"/>
                <w:lang w:val="en-US"/>
              </w:rPr>
            </w:pPr>
            <w:r w:rsidRPr="00B0658A">
              <w:rPr>
                <w:rFonts w:ascii="Times New Roman" w:hAnsi="Times New Roman"/>
                <w:sz w:val="18"/>
                <w:szCs w:val="18"/>
                <w:lang w:val="en-US"/>
              </w:rPr>
              <w:t>90%</w:t>
            </w:r>
          </w:p>
        </w:tc>
        <w:tc>
          <w:tcPr>
            <w:tcW w:w="364" w:type="pct"/>
            <w:shd w:val="clear" w:color="000000" w:fill="FFFFFF"/>
            <w:vAlign w:val="center"/>
          </w:tcPr>
          <w:p w14:paraId="3FAF8630"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207C19" w:rsidRPr="00B0658A" w14:paraId="5981456D" w14:textId="77777777" w:rsidTr="00FE71B1">
        <w:trPr>
          <w:trHeight w:val="20"/>
        </w:trPr>
        <w:tc>
          <w:tcPr>
            <w:tcW w:w="342" w:type="pct"/>
            <w:shd w:val="clear" w:color="000000" w:fill="FFFFFF"/>
            <w:vAlign w:val="center"/>
          </w:tcPr>
          <w:p w14:paraId="7AD6D4F0" w14:textId="77777777" w:rsidR="00207C19" w:rsidRPr="00B0658A" w:rsidRDefault="00207C19" w:rsidP="00FE71B1">
            <w:pPr>
              <w:spacing w:after="0" w:line="240" w:lineRule="auto"/>
              <w:jc w:val="center"/>
              <w:rPr>
                <w:rFonts w:ascii="Times New Roman" w:hAnsi="Times New Roman"/>
                <w:sz w:val="18"/>
                <w:szCs w:val="18"/>
              </w:rPr>
            </w:pPr>
            <w:r w:rsidRPr="00B0658A">
              <w:rPr>
                <w:rFonts w:ascii="Times New Roman" w:hAnsi="Times New Roman"/>
                <w:sz w:val="18"/>
                <w:szCs w:val="18"/>
              </w:rPr>
              <w:t>5.1</w:t>
            </w:r>
          </w:p>
        </w:tc>
        <w:tc>
          <w:tcPr>
            <w:tcW w:w="1182" w:type="pct"/>
            <w:shd w:val="clear" w:color="auto" w:fill="auto"/>
            <w:vAlign w:val="center"/>
          </w:tcPr>
          <w:p w14:paraId="1EB3EF7B" w14:textId="77777777" w:rsidR="00207C19" w:rsidRPr="00B0658A" w:rsidRDefault="00207C19" w:rsidP="00E766E3">
            <w:pPr>
              <w:spacing w:after="0" w:line="240" w:lineRule="auto"/>
              <w:rPr>
                <w:rFonts w:ascii="Times New Roman" w:hAnsi="Times New Roman"/>
                <w:sz w:val="18"/>
                <w:szCs w:val="18"/>
              </w:rPr>
            </w:pPr>
            <w:r w:rsidRPr="00B0658A">
              <w:rPr>
                <w:rFonts w:ascii="Times New Roman" w:hAnsi="Times New Roman"/>
                <w:sz w:val="18"/>
                <w:szCs w:val="18"/>
              </w:rPr>
              <w:t>Прикладное программное обеспечение/ Мультимедийное программное обеспечение</w:t>
            </w:r>
          </w:p>
        </w:tc>
        <w:tc>
          <w:tcPr>
            <w:tcW w:w="898" w:type="pct"/>
            <w:shd w:val="clear" w:color="000000" w:fill="FFFFFF"/>
          </w:tcPr>
          <w:p w14:paraId="77F6F18F" w14:textId="77777777" w:rsidR="00207C19" w:rsidRPr="00B0658A" w:rsidRDefault="00207C19" w:rsidP="00E766E3">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7" w:type="pct"/>
            <w:shd w:val="clear" w:color="000000" w:fill="FFFFFF"/>
            <w:vAlign w:val="center"/>
          </w:tcPr>
          <w:p w14:paraId="579DFDC6"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20%</w:t>
            </w:r>
          </w:p>
        </w:tc>
        <w:tc>
          <w:tcPr>
            <w:tcW w:w="367" w:type="pct"/>
            <w:shd w:val="clear" w:color="000000" w:fill="FFFFFF"/>
            <w:vAlign w:val="center"/>
          </w:tcPr>
          <w:p w14:paraId="631D7476"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30%</w:t>
            </w:r>
          </w:p>
        </w:tc>
        <w:tc>
          <w:tcPr>
            <w:tcW w:w="367" w:type="pct"/>
            <w:shd w:val="clear" w:color="000000" w:fill="FFFFFF"/>
            <w:vAlign w:val="center"/>
          </w:tcPr>
          <w:p w14:paraId="7C09C368"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40%</w:t>
            </w:r>
          </w:p>
        </w:tc>
        <w:tc>
          <w:tcPr>
            <w:tcW w:w="379" w:type="pct"/>
            <w:shd w:val="clear" w:color="000000" w:fill="FFFFFF"/>
            <w:vAlign w:val="center"/>
          </w:tcPr>
          <w:p w14:paraId="1D9A663E"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7" w:type="pct"/>
            <w:shd w:val="clear" w:color="000000" w:fill="FFFFFF"/>
            <w:vAlign w:val="center"/>
          </w:tcPr>
          <w:p w14:paraId="47511CEF"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60%</w:t>
            </w:r>
          </w:p>
        </w:tc>
        <w:tc>
          <w:tcPr>
            <w:tcW w:w="367" w:type="pct"/>
            <w:shd w:val="clear" w:color="000000" w:fill="FFFFFF"/>
            <w:vAlign w:val="center"/>
          </w:tcPr>
          <w:p w14:paraId="0DCFD073"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80%</w:t>
            </w:r>
          </w:p>
        </w:tc>
        <w:tc>
          <w:tcPr>
            <w:tcW w:w="364" w:type="pct"/>
            <w:shd w:val="clear" w:color="000000" w:fill="FFFFFF"/>
            <w:vAlign w:val="center"/>
          </w:tcPr>
          <w:p w14:paraId="787C7429"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207C19" w:rsidRPr="00B0658A" w14:paraId="0595F4D0" w14:textId="77777777" w:rsidTr="00FE71B1">
        <w:trPr>
          <w:trHeight w:val="20"/>
        </w:trPr>
        <w:tc>
          <w:tcPr>
            <w:tcW w:w="342" w:type="pct"/>
            <w:shd w:val="clear" w:color="000000" w:fill="FFFFFF"/>
            <w:vAlign w:val="center"/>
          </w:tcPr>
          <w:p w14:paraId="4F513C3D" w14:textId="77777777" w:rsidR="00207C19" w:rsidRPr="00B0658A" w:rsidRDefault="00207C19" w:rsidP="00FE71B1">
            <w:pPr>
              <w:spacing w:after="0" w:line="240" w:lineRule="auto"/>
              <w:jc w:val="center"/>
              <w:rPr>
                <w:rFonts w:ascii="Times New Roman" w:hAnsi="Times New Roman"/>
                <w:sz w:val="18"/>
                <w:szCs w:val="18"/>
              </w:rPr>
            </w:pPr>
            <w:r w:rsidRPr="00B0658A">
              <w:rPr>
                <w:rFonts w:ascii="Times New Roman" w:hAnsi="Times New Roman"/>
                <w:sz w:val="18"/>
                <w:szCs w:val="18"/>
              </w:rPr>
              <w:t>5.2</w:t>
            </w:r>
          </w:p>
        </w:tc>
        <w:tc>
          <w:tcPr>
            <w:tcW w:w="1182" w:type="pct"/>
            <w:shd w:val="clear" w:color="auto" w:fill="auto"/>
            <w:vAlign w:val="center"/>
          </w:tcPr>
          <w:p w14:paraId="7A80E199" w14:textId="77777777" w:rsidR="00207C19" w:rsidRPr="00B0658A" w:rsidRDefault="00207C19" w:rsidP="00E766E3">
            <w:pPr>
              <w:spacing w:after="0" w:line="240" w:lineRule="auto"/>
              <w:rPr>
                <w:rFonts w:ascii="Times New Roman" w:hAnsi="Times New Roman"/>
                <w:sz w:val="18"/>
                <w:szCs w:val="18"/>
              </w:rPr>
            </w:pPr>
            <w:r w:rsidRPr="00B0658A">
              <w:rPr>
                <w:rFonts w:ascii="Times New Roman" w:hAnsi="Times New Roman"/>
                <w:sz w:val="18"/>
                <w:szCs w:val="18"/>
              </w:rPr>
              <w:t>Прикладное программное обеспечение/ Дополнительные программные модули (плагины)</w:t>
            </w:r>
          </w:p>
        </w:tc>
        <w:tc>
          <w:tcPr>
            <w:tcW w:w="898" w:type="pct"/>
            <w:shd w:val="clear" w:color="000000" w:fill="FFFFFF"/>
          </w:tcPr>
          <w:p w14:paraId="3D5BAAEF" w14:textId="77777777" w:rsidR="00207C19" w:rsidRPr="00B0658A" w:rsidRDefault="00207C19" w:rsidP="00E766E3">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7" w:type="pct"/>
            <w:shd w:val="clear" w:color="000000" w:fill="FFFFFF"/>
            <w:vAlign w:val="center"/>
          </w:tcPr>
          <w:p w14:paraId="00B97283"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20%</w:t>
            </w:r>
          </w:p>
        </w:tc>
        <w:tc>
          <w:tcPr>
            <w:tcW w:w="367" w:type="pct"/>
            <w:shd w:val="clear" w:color="000000" w:fill="FFFFFF"/>
            <w:vAlign w:val="center"/>
          </w:tcPr>
          <w:p w14:paraId="656ABD57"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30%</w:t>
            </w:r>
          </w:p>
        </w:tc>
        <w:tc>
          <w:tcPr>
            <w:tcW w:w="367" w:type="pct"/>
            <w:shd w:val="clear" w:color="000000" w:fill="FFFFFF"/>
            <w:vAlign w:val="center"/>
          </w:tcPr>
          <w:p w14:paraId="4AEEA3D3"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40%</w:t>
            </w:r>
          </w:p>
        </w:tc>
        <w:tc>
          <w:tcPr>
            <w:tcW w:w="379" w:type="pct"/>
            <w:shd w:val="clear" w:color="000000" w:fill="FFFFFF"/>
            <w:vAlign w:val="center"/>
          </w:tcPr>
          <w:p w14:paraId="400FA633"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7" w:type="pct"/>
            <w:shd w:val="clear" w:color="000000" w:fill="FFFFFF"/>
            <w:vAlign w:val="center"/>
          </w:tcPr>
          <w:p w14:paraId="3367D67C"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60%</w:t>
            </w:r>
          </w:p>
        </w:tc>
        <w:tc>
          <w:tcPr>
            <w:tcW w:w="367" w:type="pct"/>
            <w:shd w:val="clear" w:color="000000" w:fill="FFFFFF"/>
            <w:vAlign w:val="center"/>
          </w:tcPr>
          <w:p w14:paraId="319C125D"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80%</w:t>
            </w:r>
          </w:p>
        </w:tc>
        <w:tc>
          <w:tcPr>
            <w:tcW w:w="364" w:type="pct"/>
            <w:shd w:val="clear" w:color="000000" w:fill="FFFFFF"/>
            <w:vAlign w:val="center"/>
          </w:tcPr>
          <w:p w14:paraId="4B793FEB"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207C19" w:rsidRPr="00B0658A" w14:paraId="5948D181" w14:textId="77777777" w:rsidTr="00FE71B1">
        <w:trPr>
          <w:trHeight w:val="20"/>
        </w:trPr>
        <w:tc>
          <w:tcPr>
            <w:tcW w:w="342" w:type="pct"/>
            <w:shd w:val="clear" w:color="000000" w:fill="FFFFFF"/>
            <w:vAlign w:val="center"/>
          </w:tcPr>
          <w:p w14:paraId="64DD8C41" w14:textId="77777777" w:rsidR="00207C19" w:rsidRPr="00B0658A" w:rsidRDefault="00207C19" w:rsidP="00FE71B1">
            <w:pPr>
              <w:spacing w:after="0" w:line="240" w:lineRule="auto"/>
              <w:jc w:val="center"/>
              <w:rPr>
                <w:rFonts w:ascii="Times New Roman" w:hAnsi="Times New Roman"/>
                <w:sz w:val="18"/>
                <w:szCs w:val="18"/>
              </w:rPr>
            </w:pPr>
            <w:r w:rsidRPr="00B0658A">
              <w:rPr>
                <w:rFonts w:ascii="Times New Roman" w:hAnsi="Times New Roman"/>
                <w:sz w:val="18"/>
                <w:szCs w:val="18"/>
              </w:rPr>
              <w:t>5.3</w:t>
            </w:r>
          </w:p>
        </w:tc>
        <w:tc>
          <w:tcPr>
            <w:tcW w:w="1182" w:type="pct"/>
            <w:shd w:val="clear" w:color="auto" w:fill="auto"/>
            <w:vAlign w:val="center"/>
          </w:tcPr>
          <w:p w14:paraId="225A7866" w14:textId="77777777" w:rsidR="00207C19" w:rsidRPr="00B0658A" w:rsidRDefault="00207C19" w:rsidP="00E766E3">
            <w:pPr>
              <w:spacing w:after="0" w:line="240" w:lineRule="auto"/>
              <w:rPr>
                <w:rFonts w:ascii="Times New Roman" w:hAnsi="Times New Roman"/>
                <w:sz w:val="18"/>
                <w:szCs w:val="18"/>
              </w:rPr>
            </w:pPr>
            <w:r w:rsidRPr="00B0658A">
              <w:rPr>
                <w:rFonts w:ascii="Times New Roman" w:hAnsi="Times New Roman"/>
                <w:sz w:val="18"/>
                <w:szCs w:val="18"/>
              </w:rPr>
              <w:t>Прикладное программное обеспечение/ Игры и развлечения</w:t>
            </w:r>
          </w:p>
        </w:tc>
        <w:tc>
          <w:tcPr>
            <w:tcW w:w="898" w:type="pct"/>
            <w:shd w:val="clear" w:color="000000" w:fill="FFFFFF"/>
          </w:tcPr>
          <w:p w14:paraId="03C9B248" w14:textId="77777777" w:rsidR="00207C19" w:rsidRPr="00B0658A" w:rsidRDefault="00207C19" w:rsidP="00E766E3">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7" w:type="pct"/>
            <w:shd w:val="clear" w:color="000000" w:fill="FFFFFF"/>
            <w:vAlign w:val="center"/>
          </w:tcPr>
          <w:p w14:paraId="6BC923BC"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50%</w:t>
            </w:r>
          </w:p>
        </w:tc>
        <w:tc>
          <w:tcPr>
            <w:tcW w:w="367" w:type="pct"/>
            <w:shd w:val="clear" w:color="000000" w:fill="FFFFFF"/>
            <w:vAlign w:val="center"/>
          </w:tcPr>
          <w:p w14:paraId="1E6CCA40"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60%</w:t>
            </w:r>
          </w:p>
        </w:tc>
        <w:tc>
          <w:tcPr>
            <w:tcW w:w="367" w:type="pct"/>
            <w:shd w:val="clear" w:color="000000" w:fill="FFFFFF"/>
            <w:vAlign w:val="center"/>
          </w:tcPr>
          <w:p w14:paraId="4E97C2E7"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70%</w:t>
            </w:r>
          </w:p>
        </w:tc>
        <w:tc>
          <w:tcPr>
            <w:tcW w:w="379" w:type="pct"/>
            <w:shd w:val="clear" w:color="000000" w:fill="FFFFFF"/>
            <w:vAlign w:val="center"/>
          </w:tcPr>
          <w:p w14:paraId="2F1D06F7"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7" w:type="pct"/>
            <w:shd w:val="clear" w:color="000000" w:fill="FFFFFF"/>
            <w:vAlign w:val="center"/>
          </w:tcPr>
          <w:p w14:paraId="07A0EC8E"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80%</w:t>
            </w:r>
          </w:p>
        </w:tc>
        <w:tc>
          <w:tcPr>
            <w:tcW w:w="367" w:type="pct"/>
            <w:shd w:val="clear" w:color="000000" w:fill="FFFFFF"/>
            <w:vAlign w:val="center"/>
          </w:tcPr>
          <w:p w14:paraId="439FA740"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90%</w:t>
            </w:r>
          </w:p>
        </w:tc>
        <w:tc>
          <w:tcPr>
            <w:tcW w:w="364" w:type="pct"/>
            <w:shd w:val="clear" w:color="000000" w:fill="FFFFFF"/>
            <w:vAlign w:val="center"/>
          </w:tcPr>
          <w:p w14:paraId="5EE02DC5"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207C19" w:rsidRPr="00B0658A" w14:paraId="37D3DE51" w14:textId="77777777" w:rsidTr="00FE71B1">
        <w:trPr>
          <w:trHeight w:val="20"/>
        </w:trPr>
        <w:tc>
          <w:tcPr>
            <w:tcW w:w="342" w:type="pct"/>
            <w:shd w:val="clear" w:color="000000" w:fill="FFFFFF"/>
            <w:vAlign w:val="center"/>
          </w:tcPr>
          <w:p w14:paraId="599A3421" w14:textId="77777777" w:rsidR="00207C19" w:rsidRPr="00B0658A" w:rsidRDefault="00207C19" w:rsidP="00FE71B1">
            <w:pPr>
              <w:spacing w:after="0" w:line="240" w:lineRule="auto"/>
              <w:jc w:val="center"/>
              <w:rPr>
                <w:rFonts w:ascii="Times New Roman" w:hAnsi="Times New Roman"/>
                <w:sz w:val="18"/>
                <w:szCs w:val="18"/>
              </w:rPr>
            </w:pPr>
            <w:r w:rsidRPr="00B0658A">
              <w:rPr>
                <w:rFonts w:ascii="Times New Roman" w:hAnsi="Times New Roman"/>
                <w:sz w:val="18"/>
                <w:szCs w:val="18"/>
              </w:rPr>
              <w:t>5.4</w:t>
            </w:r>
          </w:p>
        </w:tc>
        <w:tc>
          <w:tcPr>
            <w:tcW w:w="1182" w:type="pct"/>
            <w:shd w:val="clear" w:color="auto" w:fill="auto"/>
            <w:vAlign w:val="center"/>
          </w:tcPr>
          <w:p w14:paraId="0BCEAFE8" w14:textId="77777777" w:rsidR="00207C19" w:rsidRPr="00B0658A" w:rsidRDefault="00207C19" w:rsidP="00E766E3">
            <w:pPr>
              <w:spacing w:after="0" w:line="240" w:lineRule="auto"/>
              <w:rPr>
                <w:rFonts w:ascii="Times New Roman" w:hAnsi="Times New Roman"/>
                <w:sz w:val="18"/>
                <w:szCs w:val="18"/>
              </w:rPr>
            </w:pPr>
            <w:r w:rsidRPr="00B0658A">
              <w:rPr>
                <w:rFonts w:ascii="Times New Roman" w:hAnsi="Times New Roman"/>
                <w:sz w:val="18"/>
                <w:szCs w:val="18"/>
              </w:rPr>
              <w:t>Прикладное программное обеспечение/ Поисковые средства</w:t>
            </w:r>
          </w:p>
        </w:tc>
        <w:tc>
          <w:tcPr>
            <w:tcW w:w="898" w:type="pct"/>
            <w:shd w:val="clear" w:color="000000" w:fill="FFFFFF"/>
          </w:tcPr>
          <w:p w14:paraId="133F0990" w14:textId="77777777" w:rsidR="00207C19" w:rsidRPr="00B0658A" w:rsidRDefault="00207C19" w:rsidP="00E766E3">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7" w:type="pct"/>
            <w:shd w:val="clear" w:color="000000" w:fill="FFFFFF"/>
            <w:vAlign w:val="center"/>
          </w:tcPr>
          <w:p w14:paraId="745E8837"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50%</w:t>
            </w:r>
          </w:p>
        </w:tc>
        <w:tc>
          <w:tcPr>
            <w:tcW w:w="367" w:type="pct"/>
            <w:shd w:val="clear" w:color="000000" w:fill="FFFFFF"/>
            <w:vAlign w:val="center"/>
          </w:tcPr>
          <w:p w14:paraId="699C9AF1"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60%</w:t>
            </w:r>
          </w:p>
        </w:tc>
        <w:tc>
          <w:tcPr>
            <w:tcW w:w="367" w:type="pct"/>
            <w:shd w:val="clear" w:color="000000" w:fill="FFFFFF"/>
            <w:vAlign w:val="center"/>
          </w:tcPr>
          <w:p w14:paraId="37F0FE38"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80%</w:t>
            </w:r>
          </w:p>
        </w:tc>
        <w:tc>
          <w:tcPr>
            <w:tcW w:w="379" w:type="pct"/>
            <w:shd w:val="clear" w:color="000000" w:fill="FFFFFF"/>
            <w:vAlign w:val="center"/>
          </w:tcPr>
          <w:p w14:paraId="33558F0C"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7" w:type="pct"/>
            <w:shd w:val="clear" w:color="000000" w:fill="FFFFFF"/>
            <w:vAlign w:val="center"/>
          </w:tcPr>
          <w:p w14:paraId="745D9DFE"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7" w:type="pct"/>
            <w:shd w:val="clear" w:color="000000" w:fill="FFFFFF"/>
            <w:vAlign w:val="center"/>
          </w:tcPr>
          <w:p w14:paraId="468302EC"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4" w:type="pct"/>
            <w:shd w:val="clear" w:color="000000" w:fill="FFFFFF"/>
            <w:vAlign w:val="center"/>
          </w:tcPr>
          <w:p w14:paraId="2B13F612"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207C19" w:rsidRPr="00B0658A" w14:paraId="4640C27E" w14:textId="77777777" w:rsidTr="00FE71B1">
        <w:trPr>
          <w:trHeight w:val="20"/>
        </w:trPr>
        <w:tc>
          <w:tcPr>
            <w:tcW w:w="342" w:type="pct"/>
            <w:shd w:val="clear" w:color="000000" w:fill="FFFFFF"/>
            <w:vAlign w:val="center"/>
          </w:tcPr>
          <w:p w14:paraId="560491BB" w14:textId="77777777" w:rsidR="00207C19" w:rsidRPr="00B0658A" w:rsidRDefault="00207C19" w:rsidP="00FE71B1">
            <w:pPr>
              <w:spacing w:after="0" w:line="240" w:lineRule="auto"/>
              <w:jc w:val="center"/>
              <w:rPr>
                <w:rFonts w:ascii="Times New Roman" w:hAnsi="Times New Roman"/>
                <w:sz w:val="18"/>
                <w:szCs w:val="18"/>
              </w:rPr>
            </w:pPr>
            <w:r w:rsidRPr="00B0658A">
              <w:rPr>
                <w:rFonts w:ascii="Times New Roman" w:hAnsi="Times New Roman"/>
                <w:sz w:val="18"/>
                <w:szCs w:val="18"/>
              </w:rPr>
              <w:t>5.5</w:t>
            </w:r>
          </w:p>
        </w:tc>
        <w:tc>
          <w:tcPr>
            <w:tcW w:w="1182" w:type="pct"/>
            <w:shd w:val="clear" w:color="auto" w:fill="auto"/>
            <w:vAlign w:val="center"/>
          </w:tcPr>
          <w:p w14:paraId="085797A4" w14:textId="77777777" w:rsidR="00207C19" w:rsidRPr="00B0658A" w:rsidRDefault="00207C19" w:rsidP="00E766E3">
            <w:pPr>
              <w:spacing w:after="0" w:line="240" w:lineRule="auto"/>
              <w:rPr>
                <w:rFonts w:ascii="Times New Roman" w:hAnsi="Times New Roman"/>
                <w:sz w:val="18"/>
                <w:szCs w:val="18"/>
              </w:rPr>
            </w:pPr>
            <w:r w:rsidRPr="00B0658A">
              <w:rPr>
                <w:rFonts w:ascii="Times New Roman" w:hAnsi="Times New Roman"/>
                <w:sz w:val="18"/>
                <w:szCs w:val="18"/>
              </w:rPr>
              <w:t>Прикладное программное обеспечение/ Средства управления проектами</w:t>
            </w:r>
          </w:p>
        </w:tc>
        <w:tc>
          <w:tcPr>
            <w:tcW w:w="898" w:type="pct"/>
            <w:shd w:val="clear" w:color="000000" w:fill="FFFFFF"/>
          </w:tcPr>
          <w:p w14:paraId="236126DA" w14:textId="77777777" w:rsidR="00207C19" w:rsidRPr="00B0658A" w:rsidRDefault="00207C19" w:rsidP="00E766E3">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7" w:type="pct"/>
            <w:shd w:val="clear" w:color="000000" w:fill="FFFFFF"/>
            <w:vAlign w:val="center"/>
          </w:tcPr>
          <w:p w14:paraId="611C3C7B"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35%</w:t>
            </w:r>
          </w:p>
        </w:tc>
        <w:tc>
          <w:tcPr>
            <w:tcW w:w="367" w:type="pct"/>
            <w:shd w:val="clear" w:color="000000" w:fill="FFFFFF"/>
            <w:vAlign w:val="center"/>
          </w:tcPr>
          <w:p w14:paraId="134918DF"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55%</w:t>
            </w:r>
          </w:p>
        </w:tc>
        <w:tc>
          <w:tcPr>
            <w:tcW w:w="367" w:type="pct"/>
            <w:shd w:val="clear" w:color="000000" w:fill="FFFFFF"/>
            <w:vAlign w:val="center"/>
          </w:tcPr>
          <w:p w14:paraId="764BE2D9"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75%</w:t>
            </w:r>
          </w:p>
        </w:tc>
        <w:tc>
          <w:tcPr>
            <w:tcW w:w="379" w:type="pct"/>
            <w:shd w:val="clear" w:color="000000" w:fill="FFFFFF"/>
            <w:vAlign w:val="center"/>
          </w:tcPr>
          <w:p w14:paraId="584A95BE"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7" w:type="pct"/>
            <w:shd w:val="clear" w:color="000000" w:fill="FFFFFF"/>
            <w:vAlign w:val="center"/>
          </w:tcPr>
          <w:p w14:paraId="405F7E0E"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90%</w:t>
            </w:r>
          </w:p>
        </w:tc>
        <w:tc>
          <w:tcPr>
            <w:tcW w:w="367" w:type="pct"/>
            <w:shd w:val="clear" w:color="000000" w:fill="FFFFFF"/>
            <w:vAlign w:val="center"/>
          </w:tcPr>
          <w:p w14:paraId="2A73A55F"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4" w:type="pct"/>
            <w:shd w:val="clear" w:color="000000" w:fill="FFFFFF"/>
            <w:vAlign w:val="center"/>
          </w:tcPr>
          <w:p w14:paraId="319BEF86"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207C19" w:rsidRPr="00B0658A" w14:paraId="2BAA2488" w14:textId="77777777" w:rsidTr="00FE71B1">
        <w:trPr>
          <w:trHeight w:val="20"/>
        </w:trPr>
        <w:tc>
          <w:tcPr>
            <w:tcW w:w="342" w:type="pct"/>
            <w:shd w:val="clear" w:color="000000" w:fill="FFFFFF"/>
            <w:vAlign w:val="center"/>
          </w:tcPr>
          <w:p w14:paraId="3D723B4F" w14:textId="77777777" w:rsidR="00207C19" w:rsidRPr="00B0658A" w:rsidRDefault="00207C19" w:rsidP="00FE71B1">
            <w:pPr>
              <w:spacing w:after="0" w:line="240" w:lineRule="auto"/>
              <w:jc w:val="center"/>
              <w:rPr>
                <w:rFonts w:ascii="Times New Roman" w:hAnsi="Times New Roman"/>
                <w:sz w:val="18"/>
                <w:szCs w:val="18"/>
              </w:rPr>
            </w:pPr>
            <w:r w:rsidRPr="00B0658A">
              <w:rPr>
                <w:rFonts w:ascii="Times New Roman" w:hAnsi="Times New Roman"/>
                <w:sz w:val="18"/>
                <w:szCs w:val="18"/>
              </w:rPr>
              <w:t>5.6</w:t>
            </w:r>
          </w:p>
        </w:tc>
        <w:tc>
          <w:tcPr>
            <w:tcW w:w="1182" w:type="pct"/>
            <w:shd w:val="clear" w:color="auto" w:fill="auto"/>
            <w:vAlign w:val="center"/>
          </w:tcPr>
          <w:p w14:paraId="625A0FE0" w14:textId="77777777" w:rsidR="00207C19" w:rsidRPr="00B0658A" w:rsidRDefault="00207C19" w:rsidP="00E766E3">
            <w:pPr>
              <w:spacing w:after="0" w:line="240" w:lineRule="auto"/>
              <w:rPr>
                <w:rFonts w:ascii="Times New Roman" w:hAnsi="Times New Roman"/>
                <w:sz w:val="18"/>
                <w:szCs w:val="18"/>
              </w:rPr>
            </w:pPr>
            <w:r w:rsidRPr="00B0658A">
              <w:rPr>
                <w:rFonts w:ascii="Times New Roman" w:hAnsi="Times New Roman"/>
                <w:sz w:val="18"/>
                <w:szCs w:val="18"/>
              </w:rPr>
              <w:t>Прикладное программное обеспечение/ Геоинформационные и навигационные средства (GIS)</w:t>
            </w:r>
          </w:p>
        </w:tc>
        <w:tc>
          <w:tcPr>
            <w:tcW w:w="898" w:type="pct"/>
            <w:shd w:val="clear" w:color="000000" w:fill="FFFFFF"/>
          </w:tcPr>
          <w:p w14:paraId="341FFDD6" w14:textId="77777777" w:rsidR="00207C19" w:rsidRPr="00B0658A" w:rsidRDefault="00207C19" w:rsidP="00E766E3">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7" w:type="pct"/>
            <w:shd w:val="clear" w:color="000000" w:fill="FFFFFF"/>
            <w:vAlign w:val="center"/>
          </w:tcPr>
          <w:p w14:paraId="4A59BF14"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35%</w:t>
            </w:r>
          </w:p>
        </w:tc>
        <w:tc>
          <w:tcPr>
            <w:tcW w:w="367" w:type="pct"/>
            <w:shd w:val="clear" w:color="000000" w:fill="FFFFFF"/>
            <w:vAlign w:val="center"/>
          </w:tcPr>
          <w:p w14:paraId="70042EEA"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45%</w:t>
            </w:r>
          </w:p>
        </w:tc>
        <w:tc>
          <w:tcPr>
            <w:tcW w:w="367" w:type="pct"/>
            <w:shd w:val="clear" w:color="000000" w:fill="FFFFFF"/>
            <w:vAlign w:val="center"/>
          </w:tcPr>
          <w:p w14:paraId="6B88C03D"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55%</w:t>
            </w:r>
          </w:p>
        </w:tc>
        <w:tc>
          <w:tcPr>
            <w:tcW w:w="379" w:type="pct"/>
            <w:shd w:val="clear" w:color="000000" w:fill="FFFFFF"/>
            <w:vAlign w:val="center"/>
          </w:tcPr>
          <w:p w14:paraId="7843E077"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7" w:type="pct"/>
            <w:shd w:val="clear" w:color="000000" w:fill="FFFFFF"/>
            <w:vAlign w:val="center"/>
          </w:tcPr>
          <w:p w14:paraId="5F071C41"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70%</w:t>
            </w:r>
          </w:p>
        </w:tc>
        <w:tc>
          <w:tcPr>
            <w:tcW w:w="367" w:type="pct"/>
            <w:shd w:val="clear" w:color="000000" w:fill="FFFFFF"/>
            <w:vAlign w:val="center"/>
          </w:tcPr>
          <w:p w14:paraId="2ED3E087"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90%</w:t>
            </w:r>
          </w:p>
        </w:tc>
        <w:tc>
          <w:tcPr>
            <w:tcW w:w="364" w:type="pct"/>
            <w:shd w:val="clear" w:color="000000" w:fill="FFFFFF"/>
            <w:vAlign w:val="center"/>
          </w:tcPr>
          <w:p w14:paraId="115958A3"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207C19" w:rsidRPr="00B0658A" w14:paraId="440E123A" w14:textId="77777777" w:rsidTr="00FE71B1">
        <w:trPr>
          <w:trHeight w:val="20"/>
        </w:trPr>
        <w:tc>
          <w:tcPr>
            <w:tcW w:w="342" w:type="pct"/>
            <w:shd w:val="clear" w:color="000000" w:fill="FFFFFF"/>
            <w:vAlign w:val="center"/>
          </w:tcPr>
          <w:p w14:paraId="39483B8A" w14:textId="77777777" w:rsidR="00207C19" w:rsidRPr="00B0658A" w:rsidRDefault="00207C19" w:rsidP="00FE71B1">
            <w:pPr>
              <w:spacing w:after="0" w:line="240" w:lineRule="auto"/>
              <w:jc w:val="center"/>
              <w:rPr>
                <w:rFonts w:ascii="Times New Roman" w:hAnsi="Times New Roman"/>
                <w:sz w:val="18"/>
                <w:szCs w:val="18"/>
              </w:rPr>
            </w:pPr>
            <w:r w:rsidRPr="00B0658A">
              <w:rPr>
                <w:rFonts w:ascii="Times New Roman" w:hAnsi="Times New Roman"/>
                <w:sz w:val="18"/>
                <w:szCs w:val="18"/>
              </w:rPr>
              <w:t>5.7</w:t>
            </w:r>
          </w:p>
        </w:tc>
        <w:tc>
          <w:tcPr>
            <w:tcW w:w="1182" w:type="pct"/>
            <w:shd w:val="clear" w:color="auto" w:fill="auto"/>
            <w:vAlign w:val="center"/>
          </w:tcPr>
          <w:p w14:paraId="2320F793" w14:textId="77777777" w:rsidR="00207C19" w:rsidRPr="00B0658A" w:rsidRDefault="00207C19" w:rsidP="00E766E3">
            <w:pPr>
              <w:spacing w:after="0" w:line="240" w:lineRule="auto"/>
              <w:rPr>
                <w:rFonts w:ascii="Times New Roman" w:hAnsi="Times New Roman"/>
                <w:sz w:val="18"/>
                <w:szCs w:val="18"/>
              </w:rPr>
            </w:pPr>
            <w:r w:rsidRPr="00B0658A">
              <w:rPr>
                <w:rFonts w:ascii="Times New Roman" w:hAnsi="Times New Roman"/>
                <w:sz w:val="18"/>
                <w:szCs w:val="18"/>
              </w:rPr>
              <w:t>Прикладное программное обеспечение/ Специализированное ПО органов исполнительной власти Российской Федерации, государственных корпораций, компаний и юридических лиц с преимущественным участием Российской Федерации для внутреннего использования</w:t>
            </w:r>
          </w:p>
        </w:tc>
        <w:tc>
          <w:tcPr>
            <w:tcW w:w="898" w:type="pct"/>
            <w:shd w:val="clear" w:color="000000" w:fill="FFFFFF"/>
          </w:tcPr>
          <w:p w14:paraId="42C67F18" w14:textId="77777777" w:rsidR="00207C19" w:rsidRPr="00B0658A" w:rsidRDefault="00207C19" w:rsidP="00E766E3">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7" w:type="pct"/>
            <w:shd w:val="clear" w:color="000000" w:fill="FFFFFF"/>
            <w:vAlign w:val="center"/>
          </w:tcPr>
          <w:p w14:paraId="54069A81"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50%</w:t>
            </w:r>
          </w:p>
        </w:tc>
        <w:tc>
          <w:tcPr>
            <w:tcW w:w="367" w:type="pct"/>
            <w:shd w:val="clear" w:color="000000" w:fill="FFFFFF"/>
            <w:vAlign w:val="center"/>
          </w:tcPr>
          <w:p w14:paraId="1C621817"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60%</w:t>
            </w:r>
          </w:p>
        </w:tc>
        <w:tc>
          <w:tcPr>
            <w:tcW w:w="367" w:type="pct"/>
            <w:shd w:val="clear" w:color="000000" w:fill="FFFFFF"/>
            <w:vAlign w:val="center"/>
          </w:tcPr>
          <w:p w14:paraId="7A42D9EF"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80%</w:t>
            </w:r>
          </w:p>
        </w:tc>
        <w:tc>
          <w:tcPr>
            <w:tcW w:w="379" w:type="pct"/>
            <w:shd w:val="clear" w:color="000000" w:fill="FFFFFF"/>
            <w:vAlign w:val="center"/>
          </w:tcPr>
          <w:p w14:paraId="71AF8CC6"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7" w:type="pct"/>
            <w:shd w:val="clear" w:color="000000" w:fill="FFFFFF"/>
            <w:vAlign w:val="center"/>
          </w:tcPr>
          <w:p w14:paraId="76B877F2"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7" w:type="pct"/>
            <w:shd w:val="clear" w:color="000000" w:fill="FFFFFF"/>
            <w:vAlign w:val="center"/>
          </w:tcPr>
          <w:p w14:paraId="1DDE6E09"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4" w:type="pct"/>
            <w:shd w:val="clear" w:color="000000" w:fill="FFFFFF"/>
            <w:vAlign w:val="center"/>
          </w:tcPr>
          <w:p w14:paraId="79301121"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207C19" w:rsidRPr="00B0658A" w14:paraId="697AE99B" w14:textId="77777777" w:rsidTr="00FE71B1">
        <w:trPr>
          <w:trHeight w:val="20"/>
        </w:trPr>
        <w:tc>
          <w:tcPr>
            <w:tcW w:w="342" w:type="pct"/>
            <w:shd w:val="clear" w:color="000000" w:fill="FFFFFF"/>
            <w:vAlign w:val="center"/>
          </w:tcPr>
          <w:p w14:paraId="6ADE22FE" w14:textId="77777777" w:rsidR="00207C19" w:rsidRPr="00B0658A" w:rsidRDefault="00207C19" w:rsidP="00FE71B1">
            <w:pPr>
              <w:spacing w:after="0" w:line="240" w:lineRule="auto"/>
              <w:jc w:val="center"/>
              <w:rPr>
                <w:rFonts w:ascii="Times New Roman" w:hAnsi="Times New Roman"/>
                <w:sz w:val="18"/>
                <w:szCs w:val="18"/>
              </w:rPr>
            </w:pPr>
            <w:r w:rsidRPr="00B0658A">
              <w:rPr>
                <w:rFonts w:ascii="Times New Roman" w:hAnsi="Times New Roman"/>
                <w:sz w:val="18"/>
                <w:szCs w:val="18"/>
              </w:rPr>
              <w:t>5.8</w:t>
            </w:r>
          </w:p>
        </w:tc>
        <w:tc>
          <w:tcPr>
            <w:tcW w:w="1182" w:type="pct"/>
            <w:shd w:val="clear" w:color="auto" w:fill="auto"/>
            <w:vAlign w:val="center"/>
          </w:tcPr>
          <w:p w14:paraId="66F16800" w14:textId="77777777" w:rsidR="00207C19" w:rsidRPr="00B0658A" w:rsidRDefault="00207C19" w:rsidP="00E766E3">
            <w:pPr>
              <w:spacing w:after="0" w:line="240" w:lineRule="auto"/>
              <w:rPr>
                <w:rFonts w:ascii="Times New Roman" w:hAnsi="Times New Roman"/>
                <w:sz w:val="18"/>
                <w:szCs w:val="18"/>
              </w:rPr>
            </w:pPr>
            <w:r w:rsidRPr="00B0658A">
              <w:rPr>
                <w:rFonts w:ascii="Times New Roman" w:hAnsi="Times New Roman"/>
                <w:sz w:val="18"/>
                <w:szCs w:val="18"/>
              </w:rPr>
              <w:t>Прикладное программное обеспечение/ Средства управления контактными центрами</w:t>
            </w:r>
          </w:p>
        </w:tc>
        <w:tc>
          <w:tcPr>
            <w:tcW w:w="898" w:type="pct"/>
            <w:shd w:val="clear" w:color="000000" w:fill="FFFFFF"/>
          </w:tcPr>
          <w:p w14:paraId="562FC069" w14:textId="77777777" w:rsidR="00207C19" w:rsidRPr="00B0658A" w:rsidRDefault="00207C19" w:rsidP="00E766E3">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7" w:type="pct"/>
            <w:shd w:val="clear" w:color="000000" w:fill="FFFFFF"/>
            <w:vAlign w:val="center"/>
          </w:tcPr>
          <w:p w14:paraId="00F55204"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35%</w:t>
            </w:r>
          </w:p>
        </w:tc>
        <w:tc>
          <w:tcPr>
            <w:tcW w:w="367" w:type="pct"/>
            <w:shd w:val="clear" w:color="000000" w:fill="FFFFFF"/>
            <w:vAlign w:val="center"/>
          </w:tcPr>
          <w:p w14:paraId="5E581D12"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45%</w:t>
            </w:r>
          </w:p>
        </w:tc>
        <w:tc>
          <w:tcPr>
            <w:tcW w:w="367" w:type="pct"/>
            <w:shd w:val="clear" w:color="000000" w:fill="FFFFFF"/>
            <w:vAlign w:val="center"/>
          </w:tcPr>
          <w:p w14:paraId="75602F87"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55%</w:t>
            </w:r>
          </w:p>
        </w:tc>
        <w:tc>
          <w:tcPr>
            <w:tcW w:w="379" w:type="pct"/>
            <w:shd w:val="clear" w:color="000000" w:fill="FFFFFF"/>
            <w:vAlign w:val="center"/>
          </w:tcPr>
          <w:p w14:paraId="060C3A3E"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7" w:type="pct"/>
            <w:shd w:val="clear" w:color="000000" w:fill="FFFFFF"/>
            <w:vAlign w:val="center"/>
          </w:tcPr>
          <w:p w14:paraId="1E231B17"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70%</w:t>
            </w:r>
          </w:p>
        </w:tc>
        <w:tc>
          <w:tcPr>
            <w:tcW w:w="367" w:type="pct"/>
            <w:shd w:val="clear" w:color="000000" w:fill="FFFFFF"/>
            <w:vAlign w:val="center"/>
          </w:tcPr>
          <w:p w14:paraId="43D30E88"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90%</w:t>
            </w:r>
          </w:p>
        </w:tc>
        <w:tc>
          <w:tcPr>
            <w:tcW w:w="364" w:type="pct"/>
            <w:shd w:val="clear" w:color="000000" w:fill="FFFFFF"/>
            <w:vAlign w:val="center"/>
          </w:tcPr>
          <w:p w14:paraId="12E154B2"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207C19" w:rsidRPr="00B0658A" w14:paraId="2320A8B7" w14:textId="77777777" w:rsidTr="00FE71B1">
        <w:trPr>
          <w:trHeight w:val="20"/>
        </w:trPr>
        <w:tc>
          <w:tcPr>
            <w:tcW w:w="342" w:type="pct"/>
            <w:shd w:val="clear" w:color="000000" w:fill="FFFFFF"/>
            <w:vAlign w:val="center"/>
          </w:tcPr>
          <w:p w14:paraId="2B60E150" w14:textId="77777777" w:rsidR="00207C19" w:rsidRPr="00B0658A" w:rsidRDefault="00207C19" w:rsidP="00FE71B1">
            <w:pPr>
              <w:spacing w:after="0" w:line="240" w:lineRule="auto"/>
              <w:jc w:val="center"/>
              <w:rPr>
                <w:rFonts w:ascii="Times New Roman" w:hAnsi="Times New Roman"/>
                <w:sz w:val="18"/>
                <w:szCs w:val="18"/>
              </w:rPr>
            </w:pPr>
            <w:r w:rsidRPr="00B0658A">
              <w:rPr>
                <w:rFonts w:ascii="Times New Roman" w:hAnsi="Times New Roman"/>
                <w:sz w:val="18"/>
                <w:szCs w:val="18"/>
              </w:rPr>
              <w:t>5.9</w:t>
            </w:r>
          </w:p>
        </w:tc>
        <w:tc>
          <w:tcPr>
            <w:tcW w:w="1182" w:type="pct"/>
            <w:shd w:val="clear" w:color="auto" w:fill="auto"/>
            <w:vAlign w:val="center"/>
          </w:tcPr>
          <w:p w14:paraId="3EB07329" w14:textId="77777777" w:rsidR="00207C19" w:rsidRPr="00B0658A" w:rsidRDefault="00207C19" w:rsidP="00E766E3">
            <w:pPr>
              <w:spacing w:after="0" w:line="240" w:lineRule="auto"/>
              <w:rPr>
                <w:rFonts w:ascii="Times New Roman" w:hAnsi="Times New Roman"/>
                <w:sz w:val="18"/>
                <w:szCs w:val="18"/>
              </w:rPr>
            </w:pPr>
            <w:r w:rsidRPr="00B0658A">
              <w:rPr>
                <w:rFonts w:ascii="Times New Roman" w:hAnsi="Times New Roman"/>
                <w:sz w:val="18"/>
                <w:szCs w:val="18"/>
              </w:rPr>
              <w:t>Прикладное программное обеспечение/ Средства управления диалоговыми роботами (чат-боты и голосовые роботы)</w:t>
            </w:r>
          </w:p>
        </w:tc>
        <w:tc>
          <w:tcPr>
            <w:tcW w:w="898" w:type="pct"/>
            <w:shd w:val="clear" w:color="000000" w:fill="FFFFFF"/>
          </w:tcPr>
          <w:p w14:paraId="123EAF1C" w14:textId="77777777" w:rsidR="00207C19" w:rsidRPr="00B0658A" w:rsidRDefault="00207C19" w:rsidP="00E766E3">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7" w:type="pct"/>
            <w:shd w:val="clear" w:color="000000" w:fill="FFFFFF"/>
            <w:vAlign w:val="center"/>
          </w:tcPr>
          <w:p w14:paraId="09D07607"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50%</w:t>
            </w:r>
          </w:p>
        </w:tc>
        <w:tc>
          <w:tcPr>
            <w:tcW w:w="367" w:type="pct"/>
            <w:shd w:val="clear" w:color="000000" w:fill="FFFFFF"/>
            <w:vAlign w:val="center"/>
          </w:tcPr>
          <w:p w14:paraId="1D4CAE81"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60%</w:t>
            </w:r>
          </w:p>
        </w:tc>
        <w:tc>
          <w:tcPr>
            <w:tcW w:w="367" w:type="pct"/>
            <w:shd w:val="clear" w:color="000000" w:fill="FFFFFF"/>
            <w:vAlign w:val="center"/>
          </w:tcPr>
          <w:p w14:paraId="21CF5B0A"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70%</w:t>
            </w:r>
          </w:p>
        </w:tc>
        <w:tc>
          <w:tcPr>
            <w:tcW w:w="379" w:type="pct"/>
            <w:shd w:val="clear" w:color="000000" w:fill="FFFFFF"/>
            <w:vAlign w:val="center"/>
          </w:tcPr>
          <w:p w14:paraId="2AE44FBF" w14:textId="77777777" w:rsidR="00207C19" w:rsidRPr="00B0658A" w:rsidRDefault="00207C19" w:rsidP="00E766E3">
            <w:pPr>
              <w:spacing w:after="0" w:line="240" w:lineRule="auto"/>
              <w:jc w:val="center"/>
              <w:rPr>
                <w:rFonts w:ascii="Times New Roman" w:hAnsi="Times New Roman"/>
                <w:sz w:val="18"/>
                <w:szCs w:val="18"/>
                <w:lang w:val="en-US"/>
              </w:rPr>
            </w:pPr>
            <w:r w:rsidRPr="00B0658A">
              <w:rPr>
                <w:rFonts w:ascii="Times New Roman" w:hAnsi="Times New Roman"/>
                <w:sz w:val="18"/>
                <w:szCs w:val="18"/>
                <w:lang w:val="en-US"/>
              </w:rPr>
              <w:t>100%</w:t>
            </w:r>
          </w:p>
        </w:tc>
        <w:tc>
          <w:tcPr>
            <w:tcW w:w="367" w:type="pct"/>
            <w:shd w:val="clear" w:color="000000" w:fill="FFFFFF"/>
            <w:vAlign w:val="center"/>
          </w:tcPr>
          <w:p w14:paraId="13D4264F"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80%</w:t>
            </w:r>
          </w:p>
        </w:tc>
        <w:tc>
          <w:tcPr>
            <w:tcW w:w="367" w:type="pct"/>
            <w:shd w:val="clear" w:color="000000" w:fill="FFFFFF"/>
            <w:vAlign w:val="center"/>
          </w:tcPr>
          <w:p w14:paraId="4CCE68F5"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90%</w:t>
            </w:r>
          </w:p>
        </w:tc>
        <w:tc>
          <w:tcPr>
            <w:tcW w:w="364" w:type="pct"/>
            <w:shd w:val="clear" w:color="000000" w:fill="FFFFFF"/>
            <w:vAlign w:val="center"/>
          </w:tcPr>
          <w:p w14:paraId="259D6B0D"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207C19" w:rsidRPr="00B0658A" w14:paraId="6C9216F3" w14:textId="77777777" w:rsidTr="00FE71B1">
        <w:trPr>
          <w:trHeight w:val="20"/>
        </w:trPr>
        <w:tc>
          <w:tcPr>
            <w:tcW w:w="342" w:type="pct"/>
            <w:shd w:val="clear" w:color="000000" w:fill="FFFFFF"/>
            <w:vAlign w:val="center"/>
          </w:tcPr>
          <w:p w14:paraId="36F549E6" w14:textId="77777777" w:rsidR="00207C19" w:rsidRPr="00B0658A" w:rsidRDefault="00207C19" w:rsidP="00FE71B1">
            <w:pPr>
              <w:spacing w:after="0" w:line="240" w:lineRule="auto"/>
              <w:jc w:val="center"/>
              <w:rPr>
                <w:rFonts w:ascii="Times New Roman" w:hAnsi="Times New Roman"/>
                <w:sz w:val="18"/>
                <w:szCs w:val="18"/>
              </w:rPr>
            </w:pPr>
            <w:r w:rsidRPr="00B0658A">
              <w:rPr>
                <w:rFonts w:ascii="Times New Roman" w:hAnsi="Times New Roman"/>
                <w:sz w:val="18"/>
                <w:szCs w:val="18"/>
              </w:rPr>
              <w:t>5.10</w:t>
            </w:r>
          </w:p>
        </w:tc>
        <w:tc>
          <w:tcPr>
            <w:tcW w:w="1182" w:type="pct"/>
            <w:shd w:val="clear" w:color="auto" w:fill="auto"/>
            <w:vAlign w:val="center"/>
          </w:tcPr>
          <w:p w14:paraId="7B20D916" w14:textId="77777777" w:rsidR="00207C19" w:rsidRPr="00B0658A" w:rsidRDefault="00207C19" w:rsidP="00E766E3">
            <w:pPr>
              <w:spacing w:after="0" w:line="240" w:lineRule="auto"/>
              <w:rPr>
                <w:rFonts w:ascii="Times New Roman" w:hAnsi="Times New Roman"/>
                <w:sz w:val="18"/>
                <w:szCs w:val="18"/>
              </w:rPr>
            </w:pPr>
            <w:r w:rsidRPr="00B0658A">
              <w:rPr>
                <w:rFonts w:ascii="Times New Roman" w:hAnsi="Times New Roman"/>
                <w:sz w:val="18"/>
                <w:szCs w:val="18"/>
              </w:rPr>
              <w:t>Прикладное программное обеспечение/ Базы знаний</w:t>
            </w:r>
          </w:p>
        </w:tc>
        <w:tc>
          <w:tcPr>
            <w:tcW w:w="898" w:type="pct"/>
            <w:shd w:val="clear" w:color="000000" w:fill="FFFFFF"/>
          </w:tcPr>
          <w:p w14:paraId="36352DB5" w14:textId="77777777" w:rsidR="00207C19" w:rsidRPr="00B0658A" w:rsidRDefault="00207C19" w:rsidP="00E766E3">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7" w:type="pct"/>
            <w:shd w:val="clear" w:color="000000" w:fill="FFFFFF"/>
            <w:vAlign w:val="center"/>
          </w:tcPr>
          <w:p w14:paraId="31275764"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50%</w:t>
            </w:r>
          </w:p>
        </w:tc>
        <w:tc>
          <w:tcPr>
            <w:tcW w:w="367" w:type="pct"/>
            <w:shd w:val="clear" w:color="000000" w:fill="FFFFFF"/>
            <w:vAlign w:val="center"/>
          </w:tcPr>
          <w:p w14:paraId="4D505A9D"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60%</w:t>
            </w:r>
          </w:p>
        </w:tc>
        <w:tc>
          <w:tcPr>
            <w:tcW w:w="367" w:type="pct"/>
            <w:shd w:val="clear" w:color="000000" w:fill="FFFFFF"/>
            <w:vAlign w:val="center"/>
          </w:tcPr>
          <w:p w14:paraId="1EB11739"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70%</w:t>
            </w:r>
          </w:p>
        </w:tc>
        <w:tc>
          <w:tcPr>
            <w:tcW w:w="379" w:type="pct"/>
            <w:shd w:val="clear" w:color="000000" w:fill="FFFFFF"/>
            <w:vAlign w:val="center"/>
          </w:tcPr>
          <w:p w14:paraId="0AD4A58D" w14:textId="77777777" w:rsidR="00207C19" w:rsidRPr="00B0658A" w:rsidRDefault="00207C19" w:rsidP="00E766E3">
            <w:pPr>
              <w:spacing w:after="0" w:line="240" w:lineRule="auto"/>
              <w:jc w:val="center"/>
              <w:rPr>
                <w:rFonts w:ascii="Times New Roman" w:hAnsi="Times New Roman"/>
                <w:sz w:val="18"/>
                <w:szCs w:val="18"/>
                <w:lang w:val="en-US"/>
              </w:rPr>
            </w:pPr>
            <w:r w:rsidRPr="00B0658A">
              <w:rPr>
                <w:rFonts w:ascii="Times New Roman" w:hAnsi="Times New Roman"/>
                <w:sz w:val="18"/>
                <w:szCs w:val="18"/>
                <w:lang w:val="en-US"/>
              </w:rPr>
              <w:t>100%</w:t>
            </w:r>
          </w:p>
        </w:tc>
        <w:tc>
          <w:tcPr>
            <w:tcW w:w="367" w:type="pct"/>
            <w:shd w:val="clear" w:color="000000" w:fill="FFFFFF"/>
            <w:vAlign w:val="center"/>
          </w:tcPr>
          <w:p w14:paraId="1ADFBC69"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80%</w:t>
            </w:r>
          </w:p>
        </w:tc>
        <w:tc>
          <w:tcPr>
            <w:tcW w:w="367" w:type="pct"/>
            <w:shd w:val="clear" w:color="000000" w:fill="FFFFFF"/>
            <w:vAlign w:val="center"/>
          </w:tcPr>
          <w:p w14:paraId="144BC5BD"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90%</w:t>
            </w:r>
          </w:p>
        </w:tc>
        <w:tc>
          <w:tcPr>
            <w:tcW w:w="364" w:type="pct"/>
            <w:shd w:val="clear" w:color="000000" w:fill="FFFFFF"/>
            <w:vAlign w:val="center"/>
          </w:tcPr>
          <w:p w14:paraId="39EDA2FA"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207C19" w:rsidRPr="00B0658A" w14:paraId="17B7851C" w14:textId="77777777" w:rsidTr="00FE71B1">
        <w:trPr>
          <w:trHeight w:val="20"/>
        </w:trPr>
        <w:tc>
          <w:tcPr>
            <w:tcW w:w="342" w:type="pct"/>
            <w:shd w:val="clear" w:color="000000" w:fill="FFFFFF"/>
            <w:vAlign w:val="center"/>
          </w:tcPr>
          <w:p w14:paraId="3B876914" w14:textId="77777777" w:rsidR="00207C19" w:rsidRPr="00B0658A" w:rsidRDefault="00207C19" w:rsidP="00FE71B1">
            <w:pPr>
              <w:spacing w:after="0" w:line="240" w:lineRule="auto"/>
              <w:jc w:val="center"/>
              <w:rPr>
                <w:rFonts w:ascii="Times New Roman" w:hAnsi="Times New Roman"/>
                <w:sz w:val="18"/>
                <w:szCs w:val="18"/>
              </w:rPr>
            </w:pPr>
            <w:r w:rsidRPr="00B0658A">
              <w:rPr>
                <w:rFonts w:ascii="Times New Roman" w:hAnsi="Times New Roman"/>
                <w:sz w:val="18"/>
                <w:szCs w:val="18"/>
              </w:rPr>
              <w:t>5.11</w:t>
            </w:r>
          </w:p>
        </w:tc>
        <w:tc>
          <w:tcPr>
            <w:tcW w:w="1182" w:type="pct"/>
            <w:shd w:val="clear" w:color="auto" w:fill="auto"/>
            <w:vAlign w:val="center"/>
          </w:tcPr>
          <w:p w14:paraId="54D70765" w14:textId="77777777" w:rsidR="00207C19" w:rsidRPr="00B0658A" w:rsidRDefault="00207C19" w:rsidP="00E766E3">
            <w:pPr>
              <w:spacing w:after="0" w:line="240" w:lineRule="auto"/>
              <w:rPr>
                <w:rFonts w:ascii="Times New Roman" w:hAnsi="Times New Roman"/>
                <w:sz w:val="18"/>
                <w:szCs w:val="18"/>
              </w:rPr>
            </w:pPr>
            <w:r w:rsidRPr="00B0658A">
              <w:rPr>
                <w:rFonts w:ascii="Times New Roman" w:hAnsi="Times New Roman"/>
                <w:sz w:val="18"/>
                <w:szCs w:val="18"/>
              </w:rPr>
              <w:t>Прикладное программное обеспечение/ Интеллектуальные средства управления экспертной деятельностью</w:t>
            </w:r>
          </w:p>
        </w:tc>
        <w:tc>
          <w:tcPr>
            <w:tcW w:w="898" w:type="pct"/>
            <w:shd w:val="clear" w:color="000000" w:fill="FFFFFF"/>
          </w:tcPr>
          <w:p w14:paraId="58439371" w14:textId="77777777" w:rsidR="00207C19" w:rsidRPr="00B0658A" w:rsidRDefault="00207C19" w:rsidP="00E766E3">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7" w:type="pct"/>
            <w:shd w:val="clear" w:color="000000" w:fill="FFFFFF"/>
            <w:vAlign w:val="center"/>
          </w:tcPr>
          <w:p w14:paraId="337C4984"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50%</w:t>
            </w:r>
          </w:p>
        </w:tc>
        <w:tc>
          <w:tcPr>
            <w:tcW w:w="367" w:type="pct"/>
            <w:shd w:val="clear" w:color="000000" w:fill="FFFFFF"/>
            <w:vAlign w:val="center"/>
          </w:tcPr>
          <w:p w14:paraId="421D2345"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60%</w:t>
            </w:r>
          </w:p>
        </w:tc>
        <w:tc>
          <w:tcPr>
            <w:tcW w:w="367" w:type="pct"/>
            <w:shd w:val="clear" w:color="000000" w:fill="FFFFFF"/>
            <w:vAlign w:val="center"/>
          </w:tcPr>
          <w:p w14:paraId="72DEF17E"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70%</w:t>
            </w:r>
          </w:p>
        </w:tc>
        <w:tc>
          <w:tcPr>
            <w:tcW w:w="379" w:type="pct"/>
            <w:shd w:val="clear" w:color="000000" w:fill="FFFFFF"/>
            <w:vAlign w:val="center"/>
          </w:tcPr>
          <w:p w14:paraId="6DE37066" w14:textId="77777777" w:rsidR="00207C19" w:rsidRPr="00B0658A" w:rsidRDefault="00207C19" w:rsidP="00E766E3">
            <w:pPr>
              <w:spacing w:after="0" w:line="240" w:lineRule="auto"/>
              <w:jc w:val="center"/>
              <w:rPr>
                <w:rFonts w:ascii="Times New Roman" w:hAnsi="Times New Roman"/>
                <w:sz w:val="18"/>
                <w:szCs w:val="18"/>
                <w:lang w:val="en-US"/>
              </w:rPr>
            </w:pPr>
            <w:r w:rsidRPr="00B0658A">
              <w:rPr>
                <w:rFonts w:ascii="Times New Roman" w:hAnsi="Times New Roman"/>
                <w:sz w:val="18"/>
                <w:szCs w:val="18"/>
                <w:lang w:val="en-US"/>
              </w:rPr>
              <w:t>100%</w:t>
            </w:r>
          </w:p>
        </w:tc>
        <w:tc>
          <w:tcPr>
            <w:tcW w:w="367" w:type="pct"/>
            <w:shd w:val="clear" w:color="000000" w:fill="FFFFFF"/>
            <w:vAlign w:val="center"/>
          </w:tcPr>
          <w:p w14:paraId="495BDC2F"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80%</w:t>
            </w:r>
          </w:p>
        </w:tc>
        <w:tc>
          <w:tcPr>
            <w:tcW w:w="367" w:type="pct"/>
            <w:shd w:val="clear" w:color="000000" w:fill="FFFFFF"/>
            <w:vAlign w:val="center"/>
          </w:tcPr>
          <w:p w14:paraId="641ADCE6"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90%</w:t>
            </w:r>
          </w:p>
        </w:tc>
        <w:tc>
          <w:tcPr>
            <w:tcW w:w="364" w:type="pct"/>
            <w:shd w:val="clear" w:color="000000" w:fill="FFFFFF"/>
            <w:vAlign w:val="center"/>
          </w:tcPr>
          <w:p w14:paraId="75995DFC"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207C19" w:rsidRPr="00B0658A" w14:paraId="1B65EDB1" w14:textId="77777777" w:rsidTr="00FE71B1">
        <w:trPr>
          <w:trHeight w:val="20"/>
        </w:trPr>
        <w:tc>
          <w:tcPr>
            <w:tcW w:w="342" w:type="pct"/>
            <w:shd w:val="clear" w:color="000000" w:fill="FFFFFF"/>
            <w:vAlign w:val="center"/>
          </w:tcPr>
          <w:p w14:paraId="767A40AF" w14:textId="77777777" w:rsidR="00207C19" w:rsidRPr="00B0658A" w:rsidRDefault="00207C19" w:rsidP="00FE71B1">
            <w:pPr>
              <w:spacing w:after="0" w:line="240" w:lineRule="auto"/>
              <w:jc w:val="center"/>
              <w:rPr>
                <w:rFonts w:ascii="Times New Roman" w:hAnsi="Times New Roman"/>
                <w:sz w:val="18"/>
                <w:szCs w:val="18"/>
              </w:rPr>
            </w:pPr>
            <w:r w:rsidRPr="00B0658A">
              <w:rPr>
                <w:rFonts w:ascii="Times New Roman" w:hAnsi="Times New Roman"/>
                <w:sz w:val="18"/>
                <w:szCs w:val="18"/>
              </w:rPr>
              <w:t>5.12</w:t>
            </w:r>
          </w:p>
        </w:tc>
        <w:tc>
          <w:tcPr>
            <w:tcW w:w="1182" w:type="pct"/>
            <w:shd w:val="clear" w:color="auto" w:fill="auto"/>
            <w:vAlign w:val="center"/>
          </w:tcPr>
          <w:p w14:paraId="4B107EA6" w14:textId="77777777" w:rsidR="00207C19" w:rsidRPr="00B0658A" w:rsidRDefault="00207C19" w:rsidP="00E766E3">
            <w:pPr>
              <w:spacing w:after="0" w:line="240" w:lineRule="auto"/>
              <w:rPr>
                <w:rFonts w:ascii="Times New Roman" w:hAnsi="Times New Roman"/>
                <w:sz w:val="18"/>
                <w:szCs w:val="18"/>
              </w:rPr>
            </w:pPr>
            <w:r w:rsidRPr="00B0658A">
              <w:rPr>
                <w:rFonts w:ascii="Times New Roman" w:hAnsi="Times New Roman"/>
                <w:sz w:val="18"/>
                <w:szCs w:val="18"/>
              </w:rPr>
              <w:t xml:space="preserve">Прикладное программное обеспечение/ Интеллектуальные средства разработки </w:t>
            </w:r>
            <w:r w:rsidRPr="00B0658A">
              <w:rPr>
                <w:rFonts w:ascii="Times New Roman" w:hAnsi="Times New Roman"/>
                <w:sz w:val="18"/>
                <w:szCs w:val="18"/>
              </w:rPr>
              <w:br/>
              <w:t xml:space="preserve">и управления стандартами </w:t>
            </w:r>
            <w:r w:rsidRPr="00B0658A">
              <w:rPr>
                <w:rFonts w:ascii="Times New Roman" w:hAnsi="Times New Roman"/>
                <w:sz w:val="18"/>
                <w:szCs w:val="18"/>
              </w:rPr>
              <w:br/>
              <w:t>и нормативами</w:t>
            </w:r>
          </w:p>
        </w:tc>
        <w:tc>
          <w:tcPr>
            <w:tcW w:w="898" w:type="pct"/>
            <w:shd w:val="clear" w:color="000000" w:fill="FFFFFF"/>
          </w:tcPr>
          <w:p w14:paraId="52D7708F" w14:textId="77777777" w:rsidR="00207C19" w:rsidRPr="00B0658A" w:rsidRDefault="00207C19" w:rsidP="00E766E3">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7" w:type="pct"/>
            <w:shd w:val="clear" w:color="000000" w:fill="FFFFFF"/>
            <w:vAlign w:val="center"/>
          </w:tcPr>
          <w:p w14:paraId="2E05F804"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50%</w:t>
            </w:r>
          </w:p>
        </w:tc>
        <w:tc>
          <w:tcPr>
            <w:tcW w:w="367" w:type="pct"/>
            <w:shd w:val="clear" w:color="000000" w:fill="FFFFFF"/>
            <w:vAlign w:val="center"/>
          </w:tcPr>
          <w:p w14:paraId="360871AB"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60%</w:t>
            </w:r>
          </w:p>
        </w:tc>
        <w:tc>
          <w:tcPr>
            <w:tcW w:w="367" w:type="pct"/>
            <w:shd w:val="clear" w:color="000000" w:fill="FFFFFF"/>
            <w:vAlign w:val="center"/>
          </w:tcPr>
          <w:p w14:paraId="7CFD7A25"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70%</w:t>
            </w:r>
          </w:p>
        </w:tc>
        <w:tc>
          <w:tcPr>
            <w:tcW w:w="379" w:type="pct"/>
            <w:shd w:val="clear" w:color="000000" w:fill="FFFFFF"/>
            <w:vAlign w:val="center"/>
          </w:tcPr>
          <w:p w14:paraId="2343D328" w14:textId="77777777" w:rsidR="00207C19" w:rsidRPr="00B0658A" w:rsidRDefault="00207C19" w:rsidP="00E766E3">
            <w:pPr>
              <w:spacing w:after="0" w:line="240" w:lineRule="auto"/>
              <w:jc w:val="center"/>
              <w:rPr>
                <w:rFonts w:ascii="Times New Roman" w:hAnsi="Times New Roman"/>
                <w:sz w:val="18"/>
                <w:szCs w:val="18"/>
                <w:lang w:val="en-US"/>
              </w:rPr>
            </w:pPr>
            <w:r w:rsidRPr="00B0658A">
              <w:rPr>
                <w:rFonts w:ascii="Times New Roman" w:hAnsi="Times New Roman"/>
                <w:sz w:val="18"/>
                <w:szCs w:val="18"/>
                <w:lang w:val="en-US"/>
              </w:rPr>
              <w:t>100%</w:t>
            </w:r>
          </w:p>
        </w:tc>
        <w:tc>
          <w:tcPr>
            <w:tcW w:w="367" w:type="pct"/>
            <w:shd w:val="clear" w:color="000000" w:fill="FFFFFF"/>
            <w:vAlign w:val="center"/>
          </w:tcPr>
          <w:p w14:paraId="7C0866CA"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80%</w:t>
            </w:r>
          </w:p>
        </w:tc>
        <w:tc>
          <w:tcPr>
            <w:tcW w:w="367" w:type="pct"/>
            <w:shd w:val="clear" w:color="000000" w:fill="FFFFFF"/>
            <w:vAlign w:val="center"/>
          </w:tcPr>
          <w:p w14:paraId="695C5B9A"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90%</w:t>
            </w:r>
          </w:p>
        </w:tc>
        <w:tc>
          <w:tcPr>
            <w:tcW w:w="364" w:type="pct"/>
            <w:shd w:val="clear" w:color="000000" w:fill="FFFFFF"/>
            <w:vAlign w:val="center"/>
          </w:tcPr>
          <w:p w14:paraId="1733057B"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207C19" w:rsidRPr="00B0658A" w14:paraId="52F3C655" w14:textId="77777777" w:rsidTr="00FE71B1">
        <w:trPr>
          <w:trHeight w:val="20"/>
        </w:trPr>
        <w:tc>
          <w:tcPr>
            <w:tcW w:w="342" w:type="pct"/>
            <w:shd w:val="clear" w:color="000000" w:fill="FFFFFF"/>
            <w:vAlign w:val="center"/>
          </w:tcPr>
          <w:p w14:paraId="305C6702" w14:textId="77777777" w:rsidR="00207C19" w:rsidRPr="00B0658A" w:rsidRDefault="00207C19" w:rsidP="00FE71B1">
            <w:pPr>
              <w:spacing w:after="0" w:line="240" w:lineRule="auto"/>
              <w:jc w:val="center"/>
              <w:rPr>
                <w:rFonts w:ascii="Times New Roman" w:hAnsi="Times New Roman"/>
                <w:sz w:val="18"/>
                <w:szCs w:val="18"/>
              </w:rPr>
            </w:pPr>
            <w:r w:rsidRPr="00B0658A">
              <w:rPr>
                <w:rFonts w:ascii="Times New Roman" w:hAnsi="Times New Roman"/>
                <w:sz w:val="18"/>
                <w:szCs w:val="18"/>
              </w:rPr>
              <w:t>5.13</w:t>
            </w:r>
          </w:p>
        </w:tc>
        <w:tc>
          <w:tcPr>
            <w:tcW w:w="1182" w:type="pct"/>
            <w:shd w:val="clear" w:color="auto" w:fill="auto"/>
            <w:vAlign w:val="center"/>
          </w:tcPr>
          <w:p w14:paraId="63E88B0C" w14:textId="77777777" w:rsidR="00207C19" w:rsidRPr="00B0658A" w:rsidRDefault="00207C19" w:rsidP="00E766E3">
            <w:pPr>
              <w:spacing w:after="0" w:line="240" w:lineRule="auto"/>
              <w:rPr>
                <w:rFonts w:ascii="Times New Roman" w:hAnsi="Times New Roman"/>
                <w:sz w:val="18"/>
                <w:szCs w:val="18"/>
              </w:rPr>
            </w:pPr>
            <w:r w:rsidRPr="00B0658A">
              <w:rPr>
                <w:rFonts w:ascii="Times New Roman" w:hAnsi="Times New Roman"/>
                <w:sz w:val="18"/>
                <w:szCs w:val="18"/>
              </w:rPr>
              <w:t>Прикладное программное обеспечение/ Средства интеллектуальной обработки информации и интеллектуального анализа бизнес-процессов</w:t>
            </w:r>
          </w:p>
        </w:tc>
        <w:tc>
          <w:tcPr>
            <w:tcW w:w="898" w:type="pct"/>
            <w:shd w:val="clear" w:color="000000" w:fill="FFFFFF"/>
          </w:tcPr>
          <w:p w14:paraId="6B2B2499" w14:textId="77777777" w:rsidR="00207C19" w:rsidRPr="00B0658A" w:rsidRDefault="00207C19" w:rsidP="00E766E3">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7" w:type="pct"/>
            <w:shd w:val="clear" w:color="000000" w:fill="FFFFFF"/>
            <w:vAlign w:val="center"/>
          </w:tcPr>
          <w:p w14:paraId="7127E83B"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50%</w:t>
            </w:r>
          </w:p>
        </w:tc>
        <w:tc>
          <w:tcPr>
            <w:tcW w:w="367" w:type="pct"/>
            <w:shd w:val="clear" w:color="000000" w:fill="FFFFFF"/>
            <w:vAlign w:val="center"/>
          </w:tcPr>
          <w:p w14:paraId="230519F2"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60%</w:t>
            </w:r>
          </w:p>
        </w:tc>
        <w:tc>
          <w:tcPr>
            <w:tcW w:w="367" w:type="pct"/>
            <w:shd w:val="clear" w:color="000000" w:fill="FFFFFF"/>
            <w:vAlign w:val="center"/>
          </w:tcPr>
          <w:p w14:paraId="15C10BCB"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70%</w:t>
            </w:r>
          </w:p>
        </w:tc>
        <w:tc>
          <w:tcPr>
            <w:tcW w:w="379" w:type="pct"/>
            <w:shd w:val="clear" w:color="000000" w:fill="FFFFFF"/>
            <w:vAlign w:val="center"/>
          </w:tcPr>
          <w:p w14:paraId="29EE2B09" w14:textId="77777777" w:rsidR="00207C19" w:rsidRPr="00B0658A" w:rsidRDefault="00207C19" w:rsidP="00E766E3">
            <w:pPr>
              <w:spacing w:after="0" w:line="240" w:lineRule="auto"/>
              <w:jc w:val="center"/>
              <w:rPr>
                <w:rFonts w:ascii="Times New Roman" w:hAnsi="Times New Roman"/>
                <w:sz w:val="18"/>
                <w:szCs w:val="18"/>
                <w:lang w:val="en-US"/>
              </w:rPr>
            </w:pPr>
            <w:r w:rsidRPr="00B0658A">
              <w:rPr>
                <w:rFonts w:ascii="Times New Roman" w:hAnsi="Times New Roman"/>
                <w:sz w:val="18"/>
                <w:szCs w:val="18"/>
                <w:lang w:val="en-US"/>
              </w:rPr>
              <w:t>100%</w:t>
            </w:r>
          </w:p>
        </w:tc>
        <w:tc>
          <w:tcPr>
            <w:tcW w:w="367" w:type="pct"/>
            <w:shd w:val="clear" w:color="000000" w:fill="FFFFFF"/>
            <w:vAlign w:val="center"/>
          </w:tcPr>
          <w:p w14:paraId="30F5CC44"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80%</w:t>
            </w:r>
          </w:p>
        </w:tc>
        <w:tc>
          <w:tcPr>
            <w:tcW w:w="367" w:type="pct"/>
            <w:shd w:val="clear" w:color="000000" w:fill="FFFFFF"/>
            <w:vAlign w:val="center"/>
          </w:tcPr>
          <w:p w14:paraId="60AA17EE"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90%</w:t>
            </w:r>
          </w:p>
        </w:tc>
        <w:tc>
          <w:tcPr>
            <w:tcW w:w="364" w:type="pct"/>
            <w:shd w:val="clear" w:color="000000" w:fill="FFFFFF"/>
            <w:vAlign w:val="center"/>
          </w:tcPr>
          <w:p w14:paraId="7864ED62"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207C19" w:rsidRPr="00B0658A" w14:paraId="6480418A" w14:textId="77777777" w:rsidTr="00FE71B1">
        <w:trPr>
          <w:trHeight w:val="20"/>
        </w:trPr>
        <w:tc>
          <w:tcPr>
            <w:tcW w:w="342" w:type="pct"/>
            <w:shd w:val="clear" w:color="000000" w:fill="FFFFFF"/>
            <w:vAlign w:val="center"/>
          </w:tcPr>
          <w:p w14:paraId="6D0C7CEC" w14:textId="77777777" w:rsidR="00207C19" w:rsidRPr="00B0658A" w:rsidRDefault="00207C19" w:rsidP="00FE71B1">
            <w:pPr>
              <w:spacing w:after="0" w:line="240" w:lineRule="auto"/>
              <w:jc w:val="center"/>
              <w:rPr>
                <w:rFonts w:ascii="Times New Roman" w:hAnsi="Times New Roman"/>
                <w:sz w:val="18"/>
                <w:szCs w:val="18"/>
              </w:rPr>
            </w:pPr>
            <w:r w:rsidRPr="00B0658A">
              <w:rPr>
                <w:rFonts w:ascii="Times New Roman" w:hAnsi="Times New Roman"/>
                <w:sz w:val="18"/>
                <w:szCs w:val="18"/>
              </w:rPr>
              <w:t>5.14</w:t>
            </w:r>
          </w:p>
        </w:tc>
        <w:tc>
          <w:tcPr>
            <w:tcW w:w="1182" w:type="pct"/>
            <w:shd w:val="clear" w:color="auto" w:fill="auto"/>
            <w:vAlign w:val="center"/>
          </w:tcPr>
          <w:p w14:paraId="132165F8" w14:textId="77777777" w:rsidR="00207C19" w:rsidRPr="00B0658A" w:rsidRDefault="00207C19" w:rsidP="00E766E3">
            <w:pPr>
              <w:spacing w:after="0" w:line="240" w:lineRule="auto"/>
              <w:rPr>
                <w:rFonts w:ascii="Times New Roman" w:hAnsi="Times New Roman"/>
                <w:sz w:val="18"/>
                <w:szCs w:val="18"/>
              </w:rPr>
            </w:pPr>
            <w:r w:rsidRPr="00B0658A">
              <w:rPr>
                <w:rFonts w:ascii="Times New Roman" w:hAnsi="Times New Roman"/>
                <w:sz w:val="18"/>
                <w:szCs w:val="18"/>
              </w:rPr>
              <w:t>Прикладное программное обеспечение/ Справочно-правовые системы</w:t>
            </w:r>
          </w:p>
        </w:tc>
        <w:tc>
          <w:tcPr>
            <w:tcW w:w="898" w:type="pct"/>
            <w:shd w:val="clear" w:color="000000" w:fill="FFFFFF"/>
          </w:tcPr>
          <w:p w14:paraId="035194DE" w14:textId="77777777" w:rsidR="00207C19" w:rsidRPr="00B0658A" w:rsidRDefault="00207C19" w:rsidP="00E766E3">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7" w:type="pct"/>
            <w:shd w:val="clear" w:color="000000" w:fill="FFFFFF"/>
            <w:vAlign w:val="center"/>
          </w:tcPr>
          <w:p w14:paraId="6BC8BDD8"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7" w:type="pct"/>
            <w:shd w:val="clear" w:color="000000" w:fill="FFFFFF"/>
            <w:vAlign w:val="center"/>
          </w:tcPr>
          <w:p w14:paraId="0F280654"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7" w:type="pct"/>
            <w:shd w:val="clear" w:color="000000" w:fill="FFFFFF"/>
            <w:vAlign w:val="center"/>
          </w:tcPr>
          <w:p w14:paraId="0D877C7E"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79" w:type="pct"/>
            <w:shd w:val="clear" w:color="000000" w:fill="FFFFFF"/>
            <w:vAlign w:val="center"/>
          </w:tcPr>
          <w:p w14:paraId="21BF9530" w14:textId="77777777" w:rsidR="00207C19" w:rsidRPr="00B0658A" w:rsidRDefault="00207C19" w:rsidP="00E766E3">
            <w:pPr>
              <w:spacing w:after="0" w:line="240" w:lineRule="auto"/>
              <w:jc w:val="center"/>
              <w:rPr>
                <w:rFonts w:ascii="Times New Roman" w:hAnsi="Times New Roman"/>
                <w:sz w:val="18"/>
                <w:szCs w:val="18"/>
                <w:lang w:val="en-US"/>
              </w:rPr>
            </w:pPr>
            <w:r w:rsidRPr="00B0658A">
              <w:rPr>
                <w:rFonts w:ascii="Times New Roman" w:hAnsi="Times New Roman"/>
                <w:sz w:val="18"/>
                <w:szCs w:val="18"/>
                <w:lang w:val="en-US"/>
              </w:rPr>
              <w:t>100%</w:t>
            </w:r>
          </w:p>
        </w:tc>
        <w:tc>
          <w:tcPr>
            <w:tcW w:w="367" w:type="pct"/>
            <w:shd w:val="clear" w:color="000000" w:fill="FFFFFF"/>
            <w:vAlign w:val="center"/>
          </w:tcPr>
          <w:p w14:paraId="4DCB1ABE"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7" w:type="pct"/>
            <w:shd w:val="clear" w:color="000000" w:fill="FFFFFF"/>
            <w:vAlign w:val="center"/>
          </w:tcPr>
          <w:p w14:paraId="03CDCFBB"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4" w:type="pct"/>
            <w:shd w:val="clear" w:color="000000" w:fill="FFFFFF"/>
            <w:vAlign w:val="center"/>
          </w:tcPr>
          <w:p w14:paraId="09A6F135"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207C19" w:rsidRPr="00B0658A" w14:paraId="1C9A0A10" w14:textId="77777777" w:rsidTr="00FE71B1">
        <w:trPr>
          <w:trHeight w:val="20"/>
        </w:trPr>
        <w:tc>
          <w:tcPr>
            <w:tcW w:w="342" w:type="pct"/>
            <w:shd w:val="clear" w:color="000000" w:fill="FFFFFF"/>
            <w:vAlign w:val="center"/>
          </w:tcPr>
          <w:p w14:paraId="275F2952" w14:textId="77777777" w:rsidR="00207C19" w:rsidRPr="00B0658A" w:rsidRDefault="00207C19" w:rsidP="00FE71B1">
            <w:pPr>
              <w:spacing w:after="0" w:line="240" w:lineRule="auto"/>
              <w:jc w:val="center"/>
              <w:rPr>
                <w:rFonts w:ascii="Times New Roman" w:hAnsi="Times New Roman"/>
                <w:sz w:val="18"/>
                <w:szCs w:val="18"/>
              </w:rPr>
            </w:pPr>
            <w:r w:rsidRPr="00B0658A">
              <w:rPr>
                <w:rFonts w:ascii="Times New Roman" w:hAnsi="Times New Roman"/>
                <w:sz w:val="18"/>
                <w:szCs w:val="18"/>
              </w:rPr>
              <w:t>5.15</w:t>
            </w:r>
          </w:p>
        </w:tc>
        <w:tc>
          <w:tcPr>
            <w:tcW w:w="1182" w:type="pct"/>
            <w:shd w:val="clear" w:color="auto" w:fill="auto"/>
            <w:vAlign w:val="center"/>
          </w:tcPr>
          <w:p w14:paraId="08C0EEA2" w14:textId="77777777" w:rsidR="00207C19" w:rsidRPr="00B0658A" w:rsidRDefault="00207C19" w:rsidP="00E766E3">
            <w:pPr>
              <w:spacing w:after="0" w:line="240" w:lineRule="auto"/>
              <w:rPr>
                <w:rFonts w:ascii="Times New Roman" w:hAnsi="Times New Roman"/>
                <w:sz w:val="18"/>
                <w:szCs w:val="18"/>
              </w:rPr>
            </w:pPr>
            <w:r w:rsidRPr="00B0658A">
              <w:rPr>
                <w:rFonts w:ascii="Times New Roman" w:hAnsi="Times New Roman"/>
                <w:sz w:val="18"/>
                <w:szCs w:val="18"/>
              </w:rPr>
              <w:t>Прикладное программное обеспечение/ Информационные системы для решения специфических отраслевых задач</w:t>
            </w:r>
          </w:p>
        </w:tc>
        <w:tc>
          <w:tcPr>
            <w:tcW w:w="898" w:type="pct"/>
            <w:shd w:val="clear" w:color="000000" w:fill="FFFFFF"/>
          </w:tcPr>
          <w:p w14:paraId="6C8F6709" w14:textId="77777777" w:rsidR="00207C19" w:rsidRPr="00B0658A" w:rsidRDefault="00207C19" w:rsidP="00E766E3">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7" w:type="pct"/>
            <w:shd w:val="clear" w:color="000000" w:fill="FFFFFF"/>
            <w:vAlign w:val="center"/>
          </w:tcPr>
          <w:p w14:paraId="5470A839"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20%</w:t>
            </w:r>
          </w:p>
        </w:tc>
        <w:tc>
          <w:tcPr>
            <w:tcW w:w="367" w:type="pct"/>
            <w:shd w:val="clear" w:color="000000" w:fill="FFFFFF"/>
            <w:vAlign w:val="center"/>
          </w:tcPr>
          <w:p w14:paraId="00F2788A"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40%</w:t>
            </w:r>
          </w:p>
        </w:tc>
        <w:tc>
          <w:tcPr>
            <w:tcW w:w="367" w:type="pct"/>
            <w:shd w:val="clear" w:color="000000" w:fill="FFFFFF"/>
            <w:vAlign w:val="center"/>
          </w:tcPr>
          <w:p w14:paraId="7106F3D6"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60%</w:t>
            </w:r>
          </w:p>
        </w:tc>
        <w:tc>
          <w:tcPr>
            <w:tcW w:w="379" w:type="pct"/>
            <w:shd w:val="clear" w:color="000000" w:fill="FFFFFF"/>
            <w:vAlign w:val="center"/>
          </w:tcPr>
          <w:p w14:paraId="32C5514E"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7" w:type="pct"/>
            <w:shd w:val="clear" w:color="000000" w:fill="FFFFFF"/>
            <w:vAlign w:val="center"/>
          </w:tcPr>
          <w:p w14:paraId="56CCE664"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80%</w:t>
            </w:r>
          </w:p>
        </w:tc>
        <w:tc>
          <w:tcPr>
            <w:tcW w:w="367" w:type="pct"/>
            <w:shd w:val="clear" w:color="000000" w:fill="FFFFFF"/>
            <w:vAlign w:val="center"/>
          </w:tcPr>
          <w:p w14:paraId="0DAF67FE"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4" w:type="pct"/>
            <w:shd w:val="clear" w:color="000000" w:fill="FFFFFF"/>
            <w:vAlign w:val="center"/>
          </w:tcPr>
          <w:p w14:paraId="1D3530B3"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207C19" w:rsidRPr="00B0658A" w14:paraId="6938FEAC" w14:textId="77777777" w:rsidTr="00FE71B1">
        <w:trPr>
          <w:trHeight w:val="20"/>
        </w:trPr>
        <w:tc>
          <w:tcPr>
            <w:tcW w:w="342" w:type="pct"/>
            <w:shd w:val="clear" w:color="000000" w:fill="FFFFFF"/>
            <w:vAlign w:val="center"/>
          </w:tcPr>
          <w:p w14:paraId="5C80C2C8" w14:textId="77777777" w:rsidR="00207C19" w:rsidRPr="00B0658A" w:rsidRDefault="00207C19" w:rsidP="00FE71B1">
            <w:pPr>
              <w:spacing w:after="0" w:line="240" w:lineRule="auto"/>
              <w:jc w:val="center"/>
              <w:rPr>
                <w:rFonts w:ascii="Times New Roman" w:hAnsi="Times New Roman"/>
                <w:sz w:val="18"/>
                <w:szCs w:val="18"/>
              </w:rPr>
            </w:pPr>
            <w:r w:rsidRPr="00B0658A">
              <w:rPr>
                <w:rFonts w:ascii="Times New Roman" w:hAnsi="Times New Roman"/>
                <w:sz w:val="18"/>
                <w:szCs w:val="18"/>
              </w:rPr>
              <w:t>5.16</w:t>
            </w:r>
          </w:p>
        </w:tc>
        <w:tc>
          <w:tcPr>
            <w:tcW w:w="1182" w:type="pct"/>
            <w:shd w:val="clear" w:color="auto" w:fill="auto"/>
            <w:vAlign w:val="center"/>
          </w:tcPr>
          <w:p w14:paraId="52BD4A9F" w14:textId="77777777" w:rsidR="00207C19" w:rsidRPr="00B0658A" w:rsidRDefault="00207C19" w:rsidP="00E766E3">
            <w:pPr>
              <w:spacing w:after="0" w:line="240" w:lineRule="auto"/>
              <w:rPr>
                <w:rFonts w:ascii="Times New Roman" w:hAnsi="Times New Roman"/>
                <w:sz w:val="18"/>
                <w:szCs w:val="18"/>
              </w:rPr>
            </w:pPr>
            <w:r w:rsidRPr="00B0658A">
              <w:rPr>
                <w:rFonts w:ascii="Times New Roman" w:hAnsi="Times New Roman"/>
                <w:sz w:val="18"/>
                <w:szCs w:val="18"/>
              </w:rPr>
              <w:t>Прикладное программное обеспечение/ Автоматизированные информационные системы оформления воздушных перевозок</w:t>
            </w:r>
          </w:p>
        </w:tc>
        <w:tc>
          <w:tcPr>
            <w:tcW w:w="898" w:type="pct"/>
            <w:shd w:val="clear" w:color="000000" w:fill="FFFFFF"/>
          </w:tcPr>
          <w:p w14:paraId="42E4990B" w14:textId="77777777" w:rsidR="00207C19" w:rsidRPr="00B0658A" w:rsidRDefault="00207C19" w:rsidP="00E766E3">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7" w:type="pct"/>
            <w:shd w:val="clear" w:color="000000" w:fill="FFFFFF"/>
            <w:vAlign w:val="center"/>
          </w:tcPr>
          <w:p w14:paraId="56D00852"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20%</w:t>
            </w:r>
          </w:p>
        </w:tc>
        <w:tc>
          <w:tcPr>
            <w:tcW w:w="367" w:type="pct"/>
            <w:shd w:val="clear" w:color="000000" w:fill="FFFFFF"/>
            <w:vAlign w:val="center"/>
          </w:tcPr>
          <w:p w14:paraId="05DC1D04"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30%</w:t>
            </w:r>
          </w:p>
        </w:tc>
        <w:tc>
          <w:tcPr>
            <w:tcW w:w="367" w:type="pct"/>
            <w:shd w:val="clear" w:color="000000" w:fill="FFFFFF"/>
            <w:vAlign w:val="center"/>
          </w:tcPr>
          <w:p w14:paraId="6851D328"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45%</w:t>
            </w:r>
          </w:p>
        </w:tc>
        <w:tc>
          <w:tcPr>
            <w:tcW w:w="379" w:type="pct"/>
            <w:shd w:val="clear" w:color="000000" w:fill="FFFFFF"/>
            <w:vAlign w:val="center"/>
          </w:tcPr>
          <w:p w14:paraId="261E81EB"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7" w:type="pct"/>
            <w:shd w:val="clear" w:color="000000" w:fill="FFFFFF"/>
            <w:vAlign w:val="center"/>
          </w:tcPr>
          <w:p w14:paraId="7B6AECC8"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70%</w:t>
            </w:r>
          </w:p>
        </w:tc>
        <w:tc>
          <w:tcPr>
            <w:tcW w:w="367" w:type="pct"/>
            <w:shd w:val="clear" w:color="000000" w:fill="FFFFFF"/>
            <w:vAlign w:val="center"/>
          </w:tcPr>
          <w:p w14:paraId="500AC1BF"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90%</w:t>
            </w:r>
          </w:p>
        </w:tc>
        <w:tc>
          <w:tcPr>
            <w:tcW w:w="364" w:type="pct"/>
            <w:shd w:val="clear" w:color="000000" w:fill="FFFFFF"/>
            <w:vAlign w:val="center"/>
          </w:tcPr>
          <w:p w14:paraId="47B7976D"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207C19" w:rsidRPr="00B0658A" w14:paraId="163CC9A3" w14:textId="77777777" w:rsidTr="00FE71B1">
        <w:trPr>
          <w:trHeight w:val="20"/>
        </w:trPr>
        <w:tc>
          <w:tcPr>
            <w:tcW w:w="342" w:type="pct"/>
            <w:shd w:val="clear" w:color="000000" w:fill="FFFFFF"/>
            <w:vAlign w:val="center"/>
          </w:tcPr>
          <w:p w14:paraId="4A8EF0AA" w14:textId="77777777" w:rsidR="00207C19" w:rsidRPr="00B0658A" w:rsidRDefault="00207C19" w:rsidP="00FE71B1">
            <w:pPr>
              <w:spacing w:after="0" w:line="240" w:lineRule="auto"/>
              <w:jc w:val="center"/>
              <w:rPr>
                <w:rFonts w:ascii="Times New Roman" w:hAnsi="Times New Roman"/>
                <w:sz w:val="18"/>
                <w:szCs w:val="18"/>
              </w:rPr>
            </w:pPr>
            <w:r w:rsidRPr="00B0658A">
              <w:rPr>
                <w:rFonts w:ascii="Times New Roman" w:hAnsi="Times New Roman"/>
                <w:sz w:val="18"/>
                <w:szCs w:val="18"/>
              </w:rPr>
              <w:t>6.1</w:t>
            </w:r>
          </w:p>
        </w:tc>
        <w:tc>
          <w:tcPr>
            <w:tcW w:w="1182" w:type="pct"/>
            <w:shd w:val="clear" w:color="auto" w:fill="auto"/>
            <w:vAlign w:val="center"/>
          </w:tcPr>
          <w:p w14:paraId="68B37DFA" w14:textId="77777777" w:rsidR="00207C19" w:rsidRPr="00B0658A" w:rsidRDefault="00207C19" w:rsidP="00E766E3">
            <w:pPr>
              <w:spacing w:after="0" w:line="240" w:lineRule="auto"/>
              <w:rPr>
                <w:rFonts w:ascii="Times New Roman" w:hAnsi="Times New Roman"/>
                <w:sz w:val="18"/>
                <w:szCs w:val="18"/>
              </w:rPr>
            </w:pPr>
            <w:r w:rsidRPr="00B0658A">
              <w:rPr>
                <w:rFonts w:ascii="Times New Roman" w:hAnsi="Times New Roman"/>
                <w:sz w:val="18"/>
                <w:szCs w:val="18"/>
              </w:rPr>
              <w:t>Офисные приложения/ Файловые менеджеры</w:t>
            </w:r>
          </w:p>
        </w:tc>
        <w:tc>
          <w:tcPr>
            <w:tcW w:w="898" w:type="pct"/>
            <w:shd w:val="clear" w:color="000000" w:fill="FFFFFF"/>
          </w:tcPr>
          <w:p w14:paraId="48F4BFF4" w14:textId="77777777" w:rsidR="00207C19" w:rsidRPr="00B0658A" w:rsidRDefault="00207C19" w:rsidP="00E766E3">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7" w:type="pct"/>
            <w:shd w:val="clear" w:color="000000" w:fill="FFFFFF"/>
            <w:vAlign w:val="center"/>
          </w:tcPr>
          <w:p w14:paraId="7074CF33" w14:textId="39CFE69E" w:rsidR="00207C19" w:rsidRPr="003E5305"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rPr>
              <w:t>60</w:t>
            </w:r>
            <w:r w:rsidRPr="00B0658A">
              <w:rPr>
                <w:rFonts w:ascii="Times New Roman" w:hAnsi="Times New Roman"/>
                <w:sz w:val="18"/>
                <w:szCs w:val="18"/>
                <w:lang w:val="en-US"/>
              </w:rPr>
              <w:t>%</w:t>
            </w:r>
          </w:p>
        </w:tc>
        <w:tc>
          <w:tcPr>
            <w:tcW w:w="367" w:type="pct"/>
            <w:shd w:val="clear" w:color="000000" w:fill="FFFFFF"/>
            <w:vAlign w:val="center"/>
          </w:tcPr>
          <w:p w14:paraId="4C3DD661" w14:textId="5BCDF518" w:rsidR="00207C19" w:rsidRPr="003E5305"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rPr>
              <w:t>70</w:t>
            </w:r>
            <w:r w:rsidRPr="00B0658A">
              <w:rPr>
                <w:rFonts w:ascii="Times New Roman" w:hAnsi="Times New Roman"/>
                <w:sz w:val="18"/>
                <w:szCs w:val="18"/>
                <w:lang w:val="en-US"/>
              </w:rPr>
              <w:t>%</w:t>
            </w:r>
          </w:p>
        </w:tc>
        <w:tc>
          <w:tcPr>
            <w:tcW w:w="367" w:type="pct"/>
            <w:shd w:val="clear" w:color="000000" w:fill="FFFFFF"/>
            <w:vAlign w:val="center"/>
          </w:tcPr>
          <w:p w14:paraId="7B563501" w14:textId="4F55FE58" w:rsidR="00207C19" w:rsidRPr="003E5305"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rPr>
              <w:t>8</w:t>
            </w:r>
            <w:r w:rsidRPr="00B0658A">
              <w:rPr>
                <w:rFonts w:ascii="Times New Roman" w:hAnsi="Times New Roman"/>
                <w:sz w:val="18"/>
                <w:szCs w:val="18"/>
                <w:lang w:val="en-US"/>
              </w:rPr>
              <w:t>0%</w:t>
            </w:r>
          </w:p>
        </w:tc>
        <w:tc>
          <w:tcPr>
            <w:tcW w:w="379" w:type="pct"/>
            <w:shd w:val="clear" w:color="000000" w:fill="FFFFFF"/>
            <w:vAlign w:val="center"/>
          </w:tcPr>
          <w:p w14:paraId="353C6B8A"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7" w:type="pct"/>
            <w:shd w:val="clear" w:color="000000" w:fill="FFFFFF"/>
            <w:vAlign w:val="center"/>
          </w:tcPr>
          <w:p w14:paraId="69F6507E"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rPr>
              <w:t>100</w:t>
            </w:r>
            <w:r w:rsidRPr="00B0658A">
              <w:rPr>
                <w:rFonts w:ascii="Times New Roman" w:hAnsi="Times New Roman"/>
                <w:sz w:val="18"/>
                <w:szCs w:val="18"/>
                <w:lang w:val="en-US"/>
              </w:rPr>
              <w:t>%</w:t>
            </w:r>
          </w:p>
        </w:tc>
        <w:tc>
          <w:tcPr>
            <w:tcW w:w="367" w:type="pct"/>
            <w:shd w:val="clear" w:color="000000" w:fill="FFFFFF"/>
            <w:vAlign w:val="center"/>
          </w:tcPr>
          <w:p w14:paraId="297AD6EE"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rPr>
              <w:t>100</w:t>
            </w:r>
            <w:r w:rsidRPr="00B0658A">
              <w:rPr>
                <w:rFonts w:ascii="Times New Roman" w:hAnsi="Times New Roman"/>
                <w:sz w:val="18"/>
                <w:szCs w:val="18"/>
                <w:lang w:val="en-US"/>
              </w:rPr>
              <w:t>%</w:t>
            </w:r>
          </w:p>
        </w:tc>
        <w:tc>
          <w:tcPr>
            <w:tcW w:w="364" w:type="pct"/>
            <w:shd w:val="clear" w:color="000000" w:fill="FFFFFF"/>
            <w:vAlign w:val="center"/>
          </w:tcPr>
          <w:p w14:paraId="6894242D"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207C19" w:rsidRPr="00B0658A" w14:paraId="1E2E9EE2" w14:textId="77777777" w:rsidTr="00FE71B1">
        <w:trPr>
          <w:trHeight w:val="20"/>
        </w:trPr>
        <w:tc>
          <w:tcPr>
            <w:tcW w:w="342" w:type="pct"/>
            <w:shd w:val="clear" w:color="000000" w:fill="FFFFFF"/>
            <w:vAlign w:val="center"/>
          </w:tcPr>
          <w:p w14:paraId="35102C49" w14:textId="77777777" w:rsidR="00207C19" w:rsidRPr="00B0658A" w:rsidRDefault="00207C19" w:rsidP="00FE71B1">
            <w:pPr>
              <w:spacing w:after="0" w:line="240" w:lineRule="auto"/>
              <w:jc w:val="center"/>
              <w:rPr>
                <w:rFonts w:ascii="Times New Roman" w:hAnsi="Times New Roman"/>
                <w:sz w:val="18"/>
                <w:szCs w:val="18"/>
              </w:rPr>
            </w:pPr>
            <w:r w:rsidRPr="00B0658A">
              <w:rPr>
                <w:rFonts w:ascii="Times New Roman" w:hAnsi="Times New Roman"/>
                <w:sz w:val="18"/>
                <w:szCs w:val="18"/>
              </w:rPr>
              <w:t>6.2</w:t>
            </w:r>
          </w:p>
        </w:tc>
        <w:tc>
          <w:tcPr>
            <w:tcW w:w="1182" w:type="pct"/>
            <w:shd w:val="clear" w:color="auto" w:fill="auto"/>
            <w:vAlign w:val="center"/>
          </w:tcPr>
          <w:p w14:paraId="487FBD97" w14:textId="77777777" w:rsidR="00207C19" w:rsidRPr="00B0658A" w:rsidRDefault="00207C19" w:rsidP="00E766E3">
            <w:pPr>
              <w:spacing w:after="0" w:line="240" w:lineRule="auto"/>
              <w:rPr>
                <w:rFonts w:ascii="Times New Roman" w:hAnsi="Times New Roman"/>
                <w:sz w:val="18"/>
                <w:szCs w:val="18"/>
              </w:rPr>
            </w:pPr>
            <w:r w:rsidRPr="00B0658A">
              <w:rPr>
                <w:rFonts w:ascii="Times New Roman" w:hAnsi="Times New Roman"/>
                <w:sz w:val="18"/>
                <w:szCs w:val="18"/>
              </w:rPr>
              <w:t>Офисные приложения/ Коммуникационное программное обеспечение</w:t>
            </w:r>
          </w:p>
        </w:tc>
        <w:tc>
          <w:tcPr>
            <w:tcW w:w="898" w:type="pct"/>
            <w:shd w:val="clear" w:color="000000" w:fill="FFFFFF"/>
          </w:tcPr>
          <w:p w14:paraId="67993839" w14:textId="77777777" w:rsidR="00207C19" w:rsidRPr="00B0658A" w:rsidRDefault="00207C19" w:rsidP="00E766E3">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7" w:type="pct"/>
            <w:shd w:val="clear" w:color="000000" w:fill="FFFFFF"/>
            <w:vAlign w:val="center"/>
          </w:tcPr>
          <w:p w14:paraId="7C0ED1E6" w14:textId="77CF03B3" w:rsidR="00207C19" w:rsidRPr="00E44B76"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50%</w:t>
            </w:r>
          </w:p>
        </w:tc>
        <w:tc>
          <w:tcPr>
            <w:tcW w:w="367" w:type="pct"/>
            <w:shd w:val="clear" w:color="000000" w:fill="FFFFFF"/>
            <w:vAlign w:val="center"/>
          </w:tcPr>
          <w:p w14:paraId="5F9753AC" w14:textId="0740785B" w:rsidR="00207C19" w:rsidRPr="00E44B76"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60%</w:t>
            </w:r>
          </w:p>
        </w:tc>
        <w:tc>
          <w:tcPr>
            <w:tcW w:w="367" w:type="pct"/>
            <w:shd w:val="clear" w:color="000000" w:fill="FFFFFF"/>
            <w:vAlign w:val="center"/>
          </w:tcPr>
          <w:p w14:paraId="4B71D5B6" w14:textId="310B5428" w:rsidR="00207C19" w:rsidRPr="00E44B76"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80%</w:t>
            </w:r>
          </w:p>
        </w:tc>
        <w:tc>
          <w:tcPr>
            <w:tcW w:w="379" w:type="pct"/>
            <w:shd w:val="clear" w:color="000000" w:fill="FFFFFF"/>
            <w:vAlign w:val="center"/>
          </w:tcPr>
          <w:p w14:paraId="692073FE"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7" w:type="pct"/>
            <w:shd w:val="clear" w:color="000000" w:fill="FFFFFF"/>
            <w:vAlign w:val="center"/>
          </w:tcPr>
          <w:p w14:paraId="1D0EBF0D"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7" w:type="pct"/>
            <w:shd w:val="clear" w:color="000000" w:fill="FFFFFF"/>
            <w:vAlign w:val="center"/>
          </w:tcPr>
          <w:p w14:paraId="59C41F27"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4" w:type="pct"/>
            <w:shd w:val="clear" w:color="000000" w:fill="FFFFFF"/>
            <w:vAlign w:val="center"/>
          </w:tcPr>
          <w:p w14:paraId="53EBF54E"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207C19" w:rsidRPr="00B0658A" w14:paraId="5A12F2C7" w14:textId="77777777" w:rsidTr="00FE71B1">
        <w:trPr>
          <w:trHeight w:val="20"/>
        </w:trPr>
        <w:tc>
          <w:tcPr>
            <w:tcW w:w="342" w:type="pct"/>
            <w:shd w:val="clear" w:color="000000" w:fill="FFFFFF"/>
            <w:vAlign w:val="center"/>
          </w:tcPr>
          <w:p w14:paraId="7D920D01" w14:textId="77777777" w:rsidR="00207C19" w:rsidRPr="00B0658A" w:rsidRDefault="00207C19" w:rsidP="00FE71B1">
            <w:pPr>
              <w:spacing w:after="0" w:line="240" w:lineRule="auto"/>
              <w:jc w:val="center"/>
              <w:rPr>
                <w:rFonts w:ascii="Times New Roman" w:hAnsi="Times New Roman"/>
                <w:sz w:val="18"/>
                <w:szCs w:val="18"/>
              </w:rPr>
            </w:pPr>
            <w:r w:rsidRPr="00B0658A">
              <w:rPr>
                <w:rFonts w:ascii="Times New Roman" w:hAnsi="Times New Roman"/>
                <w:sz w:val="18"/>
                <w:szCs w:val="18"/>
              </w:rPr>
              <w:t>6.3</w:t>
            </w:r>
          </w:p>
        </w:tc>
        <w:tc>
          <w:tcPr>
            <w:tcW w:w="1182" w:type="pct"/>
            <w:shd w:val="clear" w:color="auto" w:fill="auto"/>
            <w:vAlign w:val="center"/>
          </w:tcPr>
          <w:p w14:paraId="6709D573" w14:textId="77777777" w:rsidR="00207C19" w:rsidRPr="00B0658A" w:rsidRDefault="00207C19" w:rsidP="00E766E3">
            <w:pPr>
              <w:spacing w:after="0" w:line="240" w:lineRule="auto"/>
              <w:rPr>
                <w:rFonts w:ascii="Times New Roman" w:hAnsi="Times New Roman"/>
                <w:sz w:val="18"/>
                <w:szCs w:val="18"/>
              </w:rPr>
            </w:pPr>
            <w:r w:rsidRPr="00B0658A">
              <w:rPr>
                <w:rFonts w:ascii="Times New Roman" w:hAnsi="Times New Roman"/>
                <w:sz w:val="18"/>
                <w:szCs w:val="18"/>
              </w:rPr>
              <w:t>Офисные приложения/ Офисные пакеты</w:t>
            </w:r>
          </w:p>
        </w:tc>
        <w:tc>
          <w:tcPr>
            <w:tcW w:w="898" w:type="pct"/>
            <w:shd w:val="clear" w:color="000000" w:fill="FFFFFF"/>
          </w:tcPr>
          <w:p w14:paraId="7F4E80CE" w14:textId="77777777" w:rsidR="00207C19" w:rsidRPr="00B0658A" w:rsidRDefault="00207C19" w:rsidP="00E766E3">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7" w:type="pct"/>
            <w:shd w:val="clear" w:color="000000" w:fill="FFFFFF"/>
            <w:vAlign w:val="center"/>
          </w:tcPr>
          <w:p w14:paraId="01B04B7C" w14:textId="21E12739" w:rsidR="00207C19" w:rsidRPr="00E44B76"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rPr>
              <w:t>60</w:t>
            </w:r>
            <w:r w:rsidRPr="00B0658A">
              <w:rPr>
                <w:rFonts w:ascii="Times New Roman" w:hAnsi="Times New Roman"/>
                <w:sz w:val="18"/>
                <w:szCs w:val="18"/>
                <w:lang w:val="en-US"/>
              </w:rPr>
              <w:t>%</w:t>
            </w:r>
          </w:p>
        </w:tc>
        <w:tc>
          <w:tcPr>
            <w:tcW w:w="367" w:type="pct"/>
            <w:shd w:val="clear" w:color="000000" w:fill="FFFFFF"/>
            <w:vAlign w:val="center"/>
          </w:tcPr>
          <w:p w14:paraId="634C9635" w14:textId="5B77E6E1" w:rsidR="00207C19" w:rsidRPr="00E44B76"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rPr>
              <w:t>70</w:t>
            </w:r>
            <w:r w:rsidRPr="00B0658A">
              <w:rPr>
                <w:rFonts w:ascii="Times New Roman" w:hAnsi="Times New Roman"/>
                <w:sz w:val="18"/>
                <w:szCs w:val="18"/>
                <w:lang w:val="en-US"/>
              </w:rPr>
              <w:t>%</w:t>
            </w:r>
          </w:p>
        </w:tc>
        <w:tc>
          <w:tcPr>
            <w:tcW w:w="367" w:type="pct"/>
            <w:shd w:val="clear" w:color="000000" w:fill="FFFFFF"/>
            <w:vAlign w:val="center"/>
          </w:tcPr>
          <w:p w14:paraId="0C2B5802" w14:textId="1AA8425F" w:rsidR="00207C19" w:rsidRPr="00E44B76"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rPr>
              <w:t>8</w:t>
            </w:r>
            <w:r w:rsidRPr="00B0658A">
              <w:rPr>
                <w:rFonts w:ascii="Times New Roman" w:hAnsi="Times New Roman"/>
                <w:sz w:val="18"/>
                <w:szCs w:val="18"/>
                <w:lang w:val="en-US"/>
              </w:rPr>
              <w:t>0%</w:t>
            </w:r>
          </w:p>
        </w:tc>
        <w:tc>
          <w:tcPr>
            <w:tcW w:w="379" w:type="pct"/>
            <w:shd w:val="clear" w:color="000000" w:fill="FFFFFF"/>
            <w:vAlign w:val="center"/>
          </w:tcPr>
          <w:p w14:paraId="75DC0CA8"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7" w:type="pct"/>
            <w:shd w:val="clear" w:color="000000" w:fill="FFFFFF"/>
            <w:vAlign w:val="center"/>
          </w:tcPr>
          <w:p w14:paraId="15DE7142"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7" w:type="pct"/>
            <w:shd w:val="clear" w:color="000000" w:fill="FFFFFF"/>
            <w:vAlign w:val="center"/>
          </w:tcPr>
          <w:p w14:paraId="11ABBDEE"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rPr>
              <w:t>100</w:t>
            </w:r>
            <w:r w:rsidRPr="00B0658A">
              <w:rPr>
                <w:rFonts w:ascii="Times New Roman" w:hAnsi="Times New Roman"/>
                <w:sz w:val="18"/>
                <w:szCs w:val="18"/>
                <w:lang w:val="en-US"/>
              </w:rPr>
              <w:t>%</w:t>
            </w:r>
          </w:p>
        </w:tc>
        <w:tc>
          <w:tcPr>
            <w:tcW w:w="364" w:type="pct"/>
            <w:shd w:val="clear" w:color="000000" w:fill="FFFFFF"/>
            <w:vAlign w:val="center"/>
          </w:tcPr>
          <w:p w14:paraId="04A21BD8"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207C19" w:rsidRPr="00B0658A" w14:paraId="6DB1E651" w14:textId="77777777" w:rsidTr="00FE71B1">
        <w:trPr>
          <w:trHeight w:val="20"/>
        </w:trPr>
        <w:tc>
          <w:tcPr>
            <w:tcW w:w="342" w:type="pct"/>
            <w:shd w:val="clear" w:color="000000" w:fill="FFFFFF"/>
            <w:vAlign w:val="center"/>
          </w:tcPr>
          <w:p w14:paraId="23F896CF" w14:textId="77777777" w:rsidR="00207C19" w:rsidRPr="00B0658A" w:rsidRDefault="00207C19" w:rsidP="00FE71B1">
            <w:pPr>
              <w:spacing w:after="0" w:line="240" w:lineRule="auto"/>
              <w:jc w:val="center"/>
              <w:rPr>
                <w:rFonts w:ascii="Times New Roman" w:hAnsi="Times New Roman"/>
                <w:sz w:val="18"/>
                <w:szCs w:val="18"/>
              </w:rPr>
            </w:pPr>
            <w:r w:rsidRPr="00B0658A">
              <w:rPr>
                <w:rFonts w:ascii="Times New Roman" w:hAnsi="Times New Roman"/>
                <w:sz w:val="18"/>
                <w:szCs w:val="18"/>
              </w:rPr>
              <w:t>6.4</w:t>
            </w:r>
          </w:p>
        </w:tc>
        <w:tc>
          <w:tcPr>
            <w:tcW w:w="1182" w:type="pct"/>
            <w:shd w:val="clear" w:color="auto" w:fill="auto"/>
            <w:vAlign w:val="center"/>
          </w:tcPr>
          <w:p w14:paraId="12BE46DD" w14:textId="77777777" w:rsidR="00207C19" w:rsidRPr="00B0658A" w:rsidRDefault="00207C19" w:rsidP="00E766E3">
            <w:pPr>
              <w:spacing w:after="0" w:line="240" w:lineRule="auto"/>
              <w:rPr>
                <w:rFonts w:ascii="Times New Roman" w:hAnsi="Times New Roman"/>
                <w:sz w:val="18"/>
                <w:szCs w:val="18"/>
              </w:rPr>
            </w:pPr>
            <w:r w:rsidRPr="00B0658A">
              <w:rPr>
                <w:rFonts w:ascii="Times New Roman" w:hAnsi="Times New Roman"/>
                <w:sz w:val="18"/>
                <w:szCs w:val="18"/>
              </w:rPr>
              <w:t>Офисные приложения/ Почтовые приложения</w:t>
            </w:r>
          </w:p>
        </w:tc>
        <w:tc>
          <w:tcPr>
            <w:tcW w:w="898" w:type="pct"/>
            <w:shd w:val="clear" w:color="000000" w:fill="FFFFFF"/>
          </w:tcPr>
          <w:p w14:paraId="28B14096" w14:textId="77777777" w:rsidR="00207C19" w:rsidRPr="00B0658A" w:rsidRDefault="00207C19" w:rsidP="00E766E3">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7" w:type="pct"/>
            <w:shd w:val="clear" w:color="000000" w:fill="FFFFFF"/>
            <w:vAlign w:val="center"/>
          </w:tcPr>
          <w:p w14:paraId="33078C17" w14:textId="55AA753F" w:rsidR="00207C19" w:rsidRPr="00E44B76"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rPr>
              <w:t>6</w:t>
            </w:r>
            <w:r w:rsidRPr="00B0658A">
              <w:rPr>
                <w:rFonts w:ascii="Times New Roman" w:hAnsi="Times New Roman"/>
                <w:sz w:val="18"/>
                <w:szCs w:val="18"/>
                <w:lang w:val="en-US"/>
              </w:rPr>
              <w:t>0%</w:t>
            </w:r>
          </w:p>
        </w:tc>
        <w:tc>
          <w:tcPr>
            <w:tcW w:w="367" w:type="pct"/>
            <w:shd w:val="clear" w:color="000000" w:fill="FFFFFF"/>
            <w:vAlign w:val="center"/>
          </w:tcPr>
          <w:p w14:paraId="439620C7" w14:textId="4010B18B" w:rsidR="00207C19" w:rsidRPr="00E44B76"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75%</w:t>
            </w:r>
          </w:p>
        </w:tc>
        <w:tc>
          <w:tcPr>
            <w:tcW w:w="367" w:type="pct"/>
            <w:shd w:val="clear" w:color="000000" w:fill="FFFFFF"/>
            <w:vAlign w:val="center"/>
          </w:tcPr>
          <w:p w14:paraId="717444A3" w14:textId="4407070F"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rPr>
              <w:t>90%</w:t>
            </w:r>
          </w:p>
        </w:tc>
        <w:tc>
          <w:tcPr>
            <w:tcW w:w="379" w:type="pct"/>
            <w:shd w:val="clear" w:color="000000" w:fill="FFFFFF"/>
            <w:vAlign w:val="center"/>
          </w:tcPr>
          <w:p w14:paraId="147A12F6"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7" w:type="pct"/>
            <w:shd w:val="clear" w:color="000000" w:fill="FFFFFF"/>
            <w:vAlign w:val="center"/>
          </w:tcPr>
          <w:p w14:paraId="2A3610A8"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7" w:type="pct"/>
            <w:shd w:val="clear" w:color="000000" w:fill="FFFFFF"/>
            <w:vAlign w:val="center"/>
          </w:tcPr>
          <w:p w14:paraId="7729B3BA"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4" w:type="pct"/>
            <w:shd w:val="clear" w:color="000000" w:fill="FFFFFF"/>
            <w:vAlign w:val="center"/>
          </w:tcPr>
          <w:p w14:paraId="15E0D757"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207C19" w:rsidRPr="00B0658A" w14:paraId="73D7E7D2" w14:textId="77777777" w:rsidTr="00FE71B1">
        <w:trPr>
          <w:trHeight w:val="20"/>
        </w:trPr>
        <w:tc>
          <w:tcPr>
            <w:tcW w:w="342" w:type="pct"/>
            <w:shd w:val="clear" w:color="000000" w:fill="FFFFFF"/>
            <w:vAlign w:val="center"/>
          </w:tcPr>
          <w:p w14:paraId="5CDD96BA" w14:textId="77777777" w:rsidR="00207C19" w:rsidRPr="00B0658A" w:rsidRDefault="00207C19" w:rsidP="00FE71B1">
            <w:pPr>
              <w:spacing w:after="0" w:line="240" w:lineRule="auto"/>
              <w:jc w:val="center"/>
              <w:rPr>
                <w:rFonts w:ascii="Times New Roman" w:hAnsi="Times New Roman"/>
                <w:sz w:val="18"/>
                <w:szCs w:val="18"/>
              </w:rPr>
            </w:pPr>
            <w:r w:rsidRPr="00B0658A">
              <w:rPr>
                <w:rFonts w:ascii="Times New Roman" w:hAnsi="Times New Roman"/>
                <w:sz w:val="18"/>
                <w:szCs w:val="18"/>
              </w:rPr>
              <w:t>6.5</w:t>
            </w:r>
          </w:p>
        </w:tc>
        <w:tc>
          <w:tcPr>
            <w:tcW w:w="1182" w:type="pct"/>
            <w:shd w:val="clear" w:color="auto" w:fill="auto"/>
            <w:vAlign w:val="center"/>
          </w:tcPr>
          <w:p w14:paraId="3BEC4D97" w14:textId="77777777" w:rsidR="00207C19" w:rsidRPr="00B0658A" w:rsidRDefault="00207C19" w:rsidP="00E766E3">
            <w:pPr>
              <w:spacing w:after="0" w:line="240" w:lineRule="auto"/>
              <w:rPr>
                <w:rFonts w:ascii="Times New Roman" w:hAnsi="Times New Roman"/>
                <w:sz w:val="18"/>
                <w:szCs w:val="18"/>
              </w:rPr>
            </w:pPr>
            <w:r w:rsidRPr="00B0658A">
              <w:rPr>
                <w:rFonts w:ascii="Times New Roman" w:hAnsi="Times New Roman"/>
                <w:sz w:val="18"/>
                <w:szCs w:val="18"/>
              </w:rPr>
              <w:t>Офисные приложения/ Органайзеры</w:t>
            </w:r>
          </w:p>
        </w:tc>
        <w:tc>
          <w:tcPr>
            <w:tcW w:w="898" w:type="pct"/>
            <w:shd w:val="clear" w:color="000000" w:fill="FFFFFF"/>
          </w:tcPr>
          <w:p w14:paraId="73696288" w14:textId="77777777" w:rsidR="00207C19" w:rsidRPr="00B0658A" w:rsidRDefault="00207C19" w:rsidP="00E766E3">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7" w:type="pct"/>
            <w:shd w:val="clear" w:color="000000" w:fill="FFFFFF"/>
            <w:vAlign w:val="center"/>
          </w:tcPr>
          <w:p w14:paraId="2CF602F4" w14:textId="0760CCEE"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rPr>
              <w:t>60</w:t>
            </w:r>
            <w:r w:rsidRPr="00B0658A">
              <w:rPr>
                <w:rFonts w:ascii="Times New Roman" w:hAnsi="Times New Roman"/>
                <w:sz w:val="18"/>
                <w:szCs w:val="18"/>
                <w:lang w:val="en-US"/>
              </w:rPr>
              <w:t>%</w:t>
            </w:r>
          </w:p>
        </w:tc>
        <w:tc>
          <w:tcPr>
            <w:tcW w:w="367" w:type="pct"/>
            <w:shd w:val="clear" w:color="000000" w:fill="FFFFFF"/>
            <w:vAlign w:val="center"/>
          </w:tcPr>
          <w:p w14:paraId="74DC14BE" w14:textId="28397A2C"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rPr>
              <w:t>70</w:t>
            </w:r>
            <w:r w:rsidRPr="00B0658A">
              <w:rPr>
                <w:rFonts w:ascii="Times New Roman" w:hAnsi="Times New Roman"/>
                <w:sz w:val="18"/>
                <w:szCs w:val="18"/>
                <w:lang w:val="en-US"/>
              </w:rPr>
              <w:t>%</w:t>
            </w:r>
          </w:p>
        </w:tc>
        <w:tc>
          <w:tcPr>
            <w:tcW w:w="367" w:type="pct"/>
            <w:shd w:val="clear" w:color="000000" w:fill="FFFFFF"/>
            <w:vAlign w:val="center"/>
          </w:tcPr>
          <w:p w14:paraId="3A14AF84" w14:textId="5CA6AE6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rPr>
              <w:t>8</w:t>
            </w:r>
            <w:r w:rsidRPr="00B0658A">
              <w:rPr>
                <w:rFonts w:ascii="Times New Roman" w:hAnsi="Times New Roman"/>
                <w:sz w:val="18"/>
                <w:szCs w:val="18"/>
                <w:lang w:val="en-US"/>
              </w:rPr>
              <w:t>0%</w:t>
            </w:r>
          </w:p>
        </w:tc>
        <w:tc>
          <w:tcPr>
            <w:tcW w:w="379" w:type="pct"/>
            <w:shd w:val="clear" w:color="000000" w:fill="FFFFFF"/>
            <w:vAlign w:val="center"/>
          </w:tcPr>
          <w:p w14:paraId="469E2369"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7" w:type="pct"/>
            <w:shd w:val="clear" w:color="000000" w:fill="FFFFFF"/>
            <w:vAlign w:val="center"/>
          </w:tcPr>
          <w:p w14:paraId="3BC13F6C" w14:textId="77777777" w:rsidR="00207C19" w:rsidRPr="00B0658A" w:rsidRDefault="00207C19" w:rsidP="00E766E3">
            <w:pPr>
              <w:spacing w:after="0" w:line="240" w:lineRule="auto"/>
              <w:jc w:val="center"/>
              <w:rPr>
                <w:rFonts w:ascii="Times New Roman" w:hAnsi="Times New Roman"/>
                <w:sz w:val="18"/>
                <w:szCs w:val="18"/>
              </w:rPr>
            </w:pPr>
            <w:r w:rsidRPr="00D73B93">
              <w:rPr>
                <w:rFonts w:ascii="Times New Roman" w:hAnsi="Times New Roman"/>
                <w:sz w:val="18"/>
                <w:szCs w:val="18"/>
                <w:lang w:val="en-US"/>
              </w:rPr>
              <w:t>100%</w:t>
            </w:r>
          </w:p>
        </w:tc>
        <w:tc>
          <w:tcPr>
            <w:tcW w:w="367" w:type="pct"/>
            <w:shd w:val="clear" w:color="000000" w:fill="FFFFFF"/>
            <w:vAlign w:val="center"/>
          </w:tcPr>
          <w:p w14:paraId="7FAAE8A0"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rPr>
              <w:t>100</w:t>
            </w:r>
            <w:r w:rsidRPr="00B0658A">
              <w:rPr>
                <w:rFonts w:ascii="Times New Roman" w:hAnsi="Times New Roman"/>
                <w:sz w:val="18"/>
                <w:szCs w:val="18"/>
                <w:lang w:val="en-US"/>
              </w:rPr>
              <w:t>%</w:t>
            </w:r>
          </w:p>
        </w:tc>
        <w:tc>
          <w:tcPr>
            <w:tcW w:w="364" w:type="pct"/>
            <w:shd w:val="clear" w:color="000000" w:fill="FFFFFF"/>
            <w:vAlign w:val="center"/>
          </w:tcPr>
          <w:p w14:paraId="5AAB2C86"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207C19" w:rsidRPr="00B0658A" w14:paraId="13111183" w14:textId="77777777" w:rsidTr="00FE71B1">
        <w:trPr>
          <w:trHeight w:val="20"/>
        </w:trPr>
        <w:tc>
          <w:tcPr>
            <w:tcW w:w="342" w:type="pct"/>
            <w:shd w:val="clear" w:color="000000" w:fill="FFFFFF"/>
            <w:vAlign w:val="center"/>
          </w:tcPr>
          <w:p w14:paraId="3CE546A5" w14:textId="77777777" w:rsidR="00207C19" w:rsidRPr="00B0658A" w:rsidRDefault="00207C19" w:rsidP="00FE71B1">
            <w:pPr>
              <w:spacing w:after="0" w:line="240" w:lineRule="auto"/>
              <w:jc w:val="center"/>
              <w:rPr>
                <w:rFonts w:ascii="Times New Roman" w:hAnsi="Times New Roman"/>
                <w:sz w:val="18"/>
                <w:szCs w:val="18"/>
              </w:rPr>
            </w:pPr>
            <w:r w:rsidRPr="00B0658A">
              <w:rPr>
                <w:rFonts w:ascii="Times New Roman" w:hAnsi="Times New Roman"/>
                <w:sz w:val="18"/>
                <w:szCs w:val="18"/>
              </w:rPr>
              <w:t>6.6</w:t>
            </w:r>
          </w:p>
        </w:tc>
        <w:tc>
          <w:tcPr>
            <w:tcW w:w="1182" w:type="pct"/>
            <w:shd w:val="clear" w:color="auto" w:fill="auto"/>
            <w:vAlign w:val="center"/>
          </w:tcPr>
          <w:p w14:paraId="42D3FC63" w14:textId="77777777" w:rsidR="00207C19" w:rsidRPr="00B0658A" w:rsidRDefault="00207C19" w:rsidP="00E766E3">
            <w:pPr>
              <w:spacing w:after="0" w:line="240" w:lineRule="auto"/>
              <w:rPr>
                <w:rFonts w:ascii="Times New Roman" w:hAnsi="Times New Roman"/>
                <w:sz w:val="18"/>
                <w:szCs w:val="18"/>
              </w:rPr>
            </w:pPr>
            <w:r w:rsidRPr="00B0658A">
              <w:rPr>
                <w:rFonts w:ascii="Times New Roman" w:hAnsi="Times New Roman"/>
                <w:sz w:val="18"/>
                <w:szCs w:val="18"/>
              </w:rPr>
              <w:t>Офисные приложения/ Средства просмотра</w:t>
            </w:r>
          </w:p>
        </w:tc>
        <w:tc>
          <w:tcPr>
            <w:tcW w:w="898" w:type="pct"/>
            <w:shd w:val="clear" w:color="000000" w:fill="FFFFFF"/>
          </w:tcPr>
          <w:p w14:paraId="598630A3" w14:textId="77777777" w:rsidR="00207C19" w:rsidRPr="00B0658A" w:rsidRDefault="00207C19" w:rsidP="00E766E3">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7" w:type="pct"/>
            <w:shd w:val="clear" w:color="000000" w:fill="FFFFFF"/>
            <w:vAlign w:val="center"/>
          </w:tcPr>
          <w:p w14:paraId="0C04D2C8" w14:textId="27A26E2D" w:rsidR="00207C19" w:rsidRPr="00E44B76"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rPr>
              <w:t>60</w:t>
            </w:r>
            <w:r w:rsidRPr="00B0658A">
              <w:rPr>
                <w:rFonts w:ascii="Times New Roman" w:hAnsi="Times New Roman"/>
                <w:sz w:val="18"/>
                <w:szCs w:val="18"/>
                <w:lang w:val="en-US"/>
              </w:rPr>
              <w:t>%</w:t>
            </w:r>
          </w:p>
        </w:tc>
        <w:tc>
          <w:tcPr>
            <w:tcW w:w="367" w:type="pct"/>
            <w:shd w:val="clear" w:color="000000" w:fill="FFFFFF"/>
            <w:vAlign w:val="center"/>
          </w:tcPr>
          <w:p w14:paraId="3016F5E9" w14:textId="6D8BD363" w:rsidR="00207C19" w:rsidRPr="00E44B76"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rPr>
              <w:t>70</w:t>
            </w:r>
            <w:r w:rsidRPr="00B0658A">
              <w:rPr>
                <w:rFonts w:ascii="Times New Roman" w:hAnsi="Times New Roman"/>
                <w:sz w:val="18"/>
                <w:szCs w:val="18"/>
                <w:lang w:val="en-US"/>
              </w:rPr>
              <w:t>%</w:t>
            </w:r>
          </w:p>
        </w:tc>
        <w:tc>
          <w:tcPr>
            <w:tcW w:w="367" w:type="pct"/>
            <w:shd w:val="clear" w:color="000000" w:fill="FFFFFF"/>
            <w:vAlign w:val="center"/>
          </w:tcPr>
          <w:p w14:paraId="7BE4A868" w14:textId="017D8B1A" w:rsidR="00207C19" w:rsidRPr="00E44B76"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rPr>
              <w:t>8</w:t>
            </w:r>
            <w:r w:rsidRPr="00B0658A">
              <w:rPr>
                <w:rFonts w:ascii="Times New Roman" w:hAnsi="Times New Roman"/>
                <w:sz w:val="18"/>
                <w:szCs w:val="18"/>
                <w:lang w:val="en-US"/>
              </w:rPr>
              <w:t>0%</w:t>
            </w:r>
          </w:p>
        </w:tc>
        <w:tc>
          <w:tcPr>
            <w:tcW w:w="379" w:type="pct"/>
            <w:shd w:val="clear" w:color="000000" w:fill="FFFFFF"/>
            <w:vAlign w:val="center"/>
          </w:tcPr>
          <w:p w14:paraId="0E1DA9E7"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7" w:type="pct"/>
            <w:shd w:val="clear" w:color="000000" w:fill="FFFFFF"/>
            <w:vAlign w:val="center"/>
          </w:tcPr>
          <w:p w14:paraId="230BA9CF" w14:textId="77777777" w:rsidR="00207C19" w:rsidRPr="00B0658A" w:rsidRDefault="00207C19" w:rsidP="00E766E3">
            <w:pPr>
              <w:spacing w:after="0" w:line="240" w:lineRule="auto"/>
              <w:jc w:val="center"/>
              <w:rPr>
                <w:rFonts w:ascii="Times New Roman" w:hAnsi="Times New Roman"/>
                <w:sz w:val="18"/>
                <w:szCs w:val="18"/>
              </w:rPr>
            </w:pPr>
            <w:r w:rsidRPr="00D73B93">
              <w:rPr>
                <w:rFonts w:ascii="Times New Roman" w:hAnsi="Times New Roman"/>
                <w:sz w:val="18"/>
                <w:szCs w:val="18"/>
                <w:lang w:val="en-US"/>
              </w:rPr>
              <w:t>100%</w:t>
            </w:r>
          </w:p>
        </w:tc>
        <w:tc>
          <w:tcPr>
            <w:tcW w:w="367" w:type="pct"/>
            <w:shd w:val="clear" w:color="000000" w:fill="FFFFFF"/>
            <w:vAlign w:val="center"/>
          </w:tcPr>
          <w:p w14:paraId="117E2818"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rPr>
              <w:t>100</w:t>
            </w:r>
            <w:r w:rsidRPr="00B0658A">
              <w:rPr>
                <w:rFonts w:ascii="Times New Roman" w:hAnsi="Times New Roman"/>
                <w:sz w:val="18"/>
                <w:szCs w:val="18"/>
                <w:lang w:val="en-US"/>
              </w:rPr>
              <w:t>%</w:t>
            </w:r>
          </w:p>
        </w:tc>
        <w:tc>
          <w:tcPr>
            <w:tcW w:w="364" w:type="pct"/>
            <w:shd w:val="clear" w:color="000000" w:fill="FFFFFF"/>
            <w:vAlign w:val="center"/>
          </w:tcPr>
          <w:p w14:paraId="2FD4D58B"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207C19" w:rsidRPr="00B0658A" w14:paraId="2807B4EA" w14:textId="77777777" w:rsidTr="00FE71B1">
        <w:trPr>
          <w:trHeight w:val="20"/>
        </w:trPr>
        <w:tc>
          <w:tcPr>
            <w:tcW w:w="342" w:type="pct"/>
            <w:shd w:val="clear" w:color="000000" w:fill="FFFFFF"/>
            <w:vAlign w:val="center"/>
          </w:tcPr>
          <w:p w14:paraId="10D9842B" w14:textId="77777777" w:rsidR="00207C19" w:rsidRPr="00B0658A" w:rsidRDefault="00207C19" w:rsidP="00FE71B1">
            <w:pPr>
              <w:spacing w:after="0" w:line="240" w:lineRule="auto"/>
              <w:jc w:val="center"/>
              <w:rPr>
                <w:rFonts w:ascii="Times New Roman" w:hAnsi="Times New Roman"/>
                <w:sz w:val="18"/>
                <w:szCs w:val="18"/>
              </w:rPr>
            </w:pPr>
            <w:r w:rsidRPr="00B0658A">
              <w:rPr>
                <w:rFonts w:ascii="Times New Roman" w:hAnsi="Times New Roman"/>
                <w:sz w:val="18"/>
                <w:szCs w:val="18"/>
              </w:rPr>
              <w:t>6.7</w:t>
            </w:r>
          </w:p>
        </w:tc>
        <w:tc>
          <w:tcPr>
            <w:tcW w:w="1182" w:type="pct"/>
            <w:shd w:val="clear" w:color="auto" w:fill="auto"/>
            <w:vAlign w:val="center"/>
          </w:tcPr>
          <w:p w14:paraId="03B0143B" w14:textId="77777777" w:rsidR="00207C19" w:rsidRPr="00B0658A" w:rsidRDefault="00207C19" w:rsidP="00E766E3">
            <w:pPr>
              <w:spacing w:after="0" w:line="240" w:lineRule="auto"/>
              <w:rPr>
                <w:rFonts w:ascii="Times New Roman" w:hAnsi="Times New Roman"/>
                <w:sz w:val="18"/>
                <w:szCs w:val="18"/>
              </w:rPr>
            </w:pPr>
            <w:r w:rsidRPr="00B0658A">
              <w:rPr>
                <w:rFonts w:ascii="Times New Roman" w:hAnsi="Times New Roman"/>
                <w:sz w:val="18"/>
                <w:szCs w:val="18"/>
              </w:rPr>
              <w:t>Офисные приложения/ Браузеры</w:t>
            </w:r>
          </w:p>
        </w:tc>
        <w:tc>
          <w:tcPr>
            <w:tcW w:w="898" w:type="pct"/>
            <w:shd w:val="clear" w:color="000000" w:fill="FFFFFF"/>
          </w:tcPr>
          <w:p w14:paraId="1504CE2A" w14:textId="77777777" w:rsidR="00207C19" w:rsidRPr="00B0658A" w:rsidRDefault="00207C19" w:rsidP="00E766E3">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7" w:type="pct"/>
            <w:shd w:val="clear" w:color="000000" w:fill="FFFFFF"/>
            <w:vAlign w:val="center"/>
          </w:tcPr>
          <w:p w14:paraId="7465D39B" w14:textId="1D69722A"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rPr>
              <w:t>50%</w:t>
            </w:r>
          </w:p>
        </w:tc>
        <w:tc>
          <w:tcPr>
            <w:tcW w:w="367" w:type="pct"/>
            <w:shd w:val="clear" w:color="000000" w:fill="FFFFFF"/>
            <w:vAlign w:val="center"/>
          </w:tcPr>
          <w:p w14:paraId="0173E3EA" w14:textId="74048C6B" w:rsidR="00207C19" w:rsidRPr="00E44B76"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rPr>
              <w:t>65</w:t>
            </w:r>
            <w:r w:rsidRPr="00B0658A">
              <w:rPr>
                <w:rFonts w:ascii="Times New Roman" w:hAnsi="Times New Roman"/>
                <w:sz w:val="18"/>
                <w:szCs w:val="18"/>
                <w:lang w:val="en-US"/>
              </w:rPr>
              <w:t>%</w:t>
            </w:r>
          </w:p>
        </w:tc>
        <w:tc>
          <w:tcPr>
            <w:tcW w:w="367" w:type="pct"/>
            <w:shd w:val="clear" w:color="000000" w:fill="FFFFFF"/>
            <w:vAlign w:val="center"/>
          </w:tcPr>
          <w:p w14:paraId="55FB2C32" w14:textId="484E0437" w:rsidR="00207C19" w:rsidRPr="00E44B76"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rPr>
              <w:t>80</w:t>
            </w:r>
            <w:r w:rsidRPr="00B0658A">
              <w:rPr>
                <w:rFonts w:ascii="Times New Roman" w:hAnsi="Times New Roman"/>
                <w:sz w:val="18"/>
                <w:szCs w:val="18"/>
                <w:lang w:val="en-US"/>
              </w:rPr>
              <w:t>%</w:t>
            </w:r>
          </w:p>
        </w:tc>
        <w:tc>
          <w:tcPr>
            <w:tcW w:w="379" w:type="pct"/>
            <w:shd w:val="clear" w:color="000000" w:fill="FFFFFF"/>
            <w:vAlign w:val="center"/>
          </w:tcPr>
          <w:p w14:paraId="1FDB701B"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7" w:type="pct"/>
            <w:shd w:val="clear" w:color="000000" w:fill="FFFFFF"/>
            <w:vAlign w:val="center"/>
          </w:tcPr>
          <w:p w14:paraId="40687701" w14:textId="77777777" w:rsidR="00207C19" w:rsidRPr="00B0658A" w:rsidRDefault="00207C19" w:rsidP="00E766E3">
            <w:pPr>
              <w:spacing w:after="0" w:line="240" w:lineRule="auto"/>
              <w:jc w:val="center"/>
              <w:rPr>
                <w:rFonts w:ascii="Times New Roman" w:hAnsi="Times New Roman"/>
                <w:sz w:val="18"/>
                <w:szCs w:val="18"/>
              </w:rPr>
            </w:pPr>
            <w:r w:rsidRPr="00D73B93">
              <w:rPr>
                <w:rFonts w:ascii="Times New Roman" w:hAnsi="Times New Roman"/>
                <w:sz w:val="18"/>
                <w:szCs w:val="18"/>
                <w:lang w:val="en-US"/>
              </w:rPr>
              <w:t>100%</w:t>
            </w:r>
          </w:p>
        </w:tc>
        <w:tc>
          <w:tcPr>
            <w:tcW w:w="367" w:type="pct"/>
            <w:shd w:val="clear" w:color="000000" w:fill="FFFFFF"/>
            <w:vAlign w:val="center"/>
          </w:tcPr>
          <w:p w14:paraId="02AA27E0"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rPr>
              <w:t>100</w:t>
            </w:r>
            <w:r w:rsidRPr="00B0658A">
              <w:rPr>
                <w:rFonts w:ascii="Times New Roman" w:hAnsi="Times New Roman"/>
                <w:sz w:val="18"/>
                <w:szCs w:val="18"/>
                <w:lang w:val="en-US"/>
              </w:rPr>
              <w:t>%</w:t>
            </w:r>
          </w:p>
        </w:tc>
        <w:tc>
          <w:tcPr>
            <w:tcW w:w="364" w:type="pct"/>
            <w:shd w:val="clear" w:color="000000" w:fill="FFFFFF"/>
            <w:vAlign w:val="center"/>
          </w:tcPr>
          <w:p w14:paraId="54C86CED"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rPr>
              <w:t>100</w:t>
            </w:r>
            <w:r w:rsidRPr="00B0658A">
              <w:rPr>
                <w:rFonts w:ascii="Times New Roman" w:hAnsi="Times New Roman"/>
                <w:sz w:val="18"/>
                <w:szCs w:val="18"/>
                <w:lang w:val="en-US"/>
              </w:rPr>
              <w:t>%</w:t>
            </w:r>
          </w:p>
        </w:tc>
      </w:tr>
      <w:tr w:rsidR="00207C19" w:rsidRPr="00B0658A" w14:paraId="138E534E" w14:textId="77777777" w:rsidTr="00FE71B1">
        <w:trPr>
          <w:trHeight w:val="20"/>
        </w:trPr>
        <w:tc>
          <w:tcPr>
            <w:tcW w:w="342" w:type="pct"/>
            <w:shd w:val="clear" w:color="000000" w:fill="FFFFFF"/>
            <w:vAlign w:val="center"/>
          </w:tcPr>
          <w:p w14:paraId="4AB4464E" w14:textId="77777777" w:rsidR="00207C19" w:rsidRPr="00B0658A" w:rsidRDefault="00207C19" w:rsidP="00FE71B1">
            <w:pPr>
              <w:spacing w:after="0" w:line="240" w:lineRule="auto"/>
              <w:jc w:val="center"/>
              <w:rPr>
                <w:rFonts w:ascii="Times New Roman" w:hAnsi="Times New Roman"/>
                <w:sz w:val="18"/>
                <w:szCs w:val="18"/>
              </w:rPr>
            </w:pPr>
            <w:r w:rsidRPr="00B0658A">
              <w:rPr>
                <w:rFonts w:ascii="Times New Roman" w:hAnsi="Times New Roman"/>
                <w:sz w:val="18"/>
                <w:szCs w:val="18"/>
              </w:rPr>
              <w:t>6.8</w:t>
            </w:r>
          </w:p>
        </w:tc>
        <w:tc>
          <w:tcPr>
            <w:tcW w:w="1182" w:type="pct"/>
            <w:shd w:val="clear" w:color="auto" w:fill="auto"/>
            <w:vAlign w:val="center"/>
          </w:tcPr>
          <w:p w14:paraId="00F9FB40" w14:textId="77777777" w:rsidR="00207C19" w:rsidRPr="00B0658A" w:rsidRDefault="00207C19" w:rsidP="00E766E3">
            <w:pPr>
              <w:spacing w:after="0" w:line="240" w:lineRule="auto"/>
              <w:rPr>
                <w:rFonts w:ascii="Times New Roman" w:hAnsi="Times New Roman"/>
                <w:sz w:val="18"/>
                <w:szCs w:val="18"/>
              </w:rPr>
            </w:pPr>
            <w:r w:rsidRPr="00B0658A">
              <w:rPr>
                <w:rFonts w:ascii="Times New Roman" w:hAnsi="Times New Roman"/>
                <w:sz w:val="18"/>
                <w:szCs w:val="18"/>
              </w:rPr>
              <w:t>Офисные приложения/ Редакторы мультимедиа</w:t>
            </w:r>
          </w:p>
        </w:tc>
        <w:tc>
          <w:tcPr>
            <w:tcW w:w="898" w:type="pct"/>
            <w:shd w:val="clear" w:color="000000" w:fill="FFFFFF"/>
          </w:tcPr>
          <w:p w14:paraId="112882B8" w14:textId="77777777" w:rsidR="00207C19" w:rsidRPr="00B0658A" w:rsidRDefault="00207C19" w:rsidP="00E766E3">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7" w:type="pct"/>
            <w:shd w:val="clear" w:color="000000" w:fill="FFFFFF"/>
            <w:vAlign w:val="center"/>
          </w:tcPr>
          <w:p w14:paraId="5A2B96B9" w14:textId="006556C8" w:rsidR="00207C19" w:rsidRPr="00E44B76"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rPr>
              <w:t>60</w:t>
            </w:r>
            <w:r w:rsidRPr="00B0658A">
              <w:rPr>
                <w:rFonts w:ascii="Times New Roman" w:hAnsi="Times New Roman"/>
                <w:sz w:val="18"/>
                <w:szCs w:val="18"/>
                <w:lang w:val="en-US"/>
              </w:rPr>
              <w:t>%</w:t>
            </w:r>
          </w:p>
        </w:tc>
        <w:tc>
          <w:tcPr>
            <w:tcW w:w="367" w:type="pct"/>
            <w:shd w:val="clear" w:color="000000" w:fill="FFFFFF"/>
            <w:vAlign w:val="center"/>
          </w:tcPr>
          <w:p w14:paraId="5542204B" w14:textId="469FED74" w:rsidR="00207C19" w:rsidRPr="00E44B76"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rPr>
              <w:t>70</w:t>
            </w:r>
            <w:r w:rsidRPr="00B0658A">
              <w:rPr>
                <w:rFonts w:ascii="Times New Roman" w:hAnsi="Times New Roman"/>
                <w:sz w:val="18"/>
                <w:szCs w:val="18"/>
                <w:lang w:val="en-US"/>
              </w:rPr>
              <w:t>%</w:t>
            </w:r>
          </w:p>
        </w:tc>
        <w:tc>
          <w:tcPr>
            <w:tcW w:w="367" w:type="pct"/>
            <w:shd w:val="clear" w:color="000000" w:fill="FFFFFF"/>
            <w:vAlign w:val="center"/>
          </w:tcPr>
          <w:p w14:paraId="64DDC0C0" w14:textId="714D8979" w:rsidR="00207C19" w:rsidRPr="00E44B76"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rPr>
              <w:t>8</w:t>
            </w:r>
            <w:r w:rsidRPr="00B0658A">
              <w:rPr>
                <w:rFonts w:ascii="Times New Roman" w:hAnsi="Times New Roman"/>
                <w:sz w:val="18"/>
                <w:szCs w:val="18"/>
                <w:lang w:val="en-US"/>
              </w:rPr>
              <w:t>0%</w:t>
            </w:r>
          </w:p>
        </w:tc>
        <w:tc>
          <w:tcPr>
            <w:tcW w:w="379" w:type="pct"/>
            <w:shd w:val="clear" w:color="000000" w:fill="FFFFFF"/>
            <w:vAlign w:val="center"/>
          </w:tcPr>
          <w:p w14:paraId="2A3867FC"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7" w:type="pct"/>
            <w:shd w:val="clear" w:color="000000" w:fill="FFFFFF"/>
            <w:vAlign w:val="center"/>
          </w:tcPr>
          <w:p w14:paraId="50F9E70B" w14:textId="77777777" w:rsidR="00207C19" w:rsidRPr="00B0658A" w:rsidRDefault="00207C19" w:rsidP="00E766E3">
            <w:pPr>
              <w:spacing w:after="0" w:line="240" w:lineRule="auto"/>
              <w:jc w:val="center"/>
              <w:rPr>
                <w:rFonts w:ascii="Times New Roman" w:hAnsi="Times New Roman"/>
                <w:sz w:val="18"/>
                <w:szCs w:val="18"/>
              </w:rPr>
            </w:pPr>
            <w:r w:rsidRPr="00D73B93">
              <w:rPr>
                <w:rFonts w:ascii="Times New Roman" w:hAnsi="Times New Roman"/>
                <w:sz w:val="18"/>
                <w:szCs w:val="18"/>
                <w:lang w:val="en-US"/>
              </w:rPr>
              <w:t>100%</w:t>
            </w:r>
          </w:p>
        </w:tc>
        <w:tc>
          <w:tcPr>
            <w:tcW w:w="367" w:type="pct"/>
            <w:shd w:val="clear" w:color="000000" w:fill="FFFFFF"/>
            <w:vAlign w:val="center"/>
          </w:tcPr>
          <w:p w14:paraId="1E216930"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rPr>
              <w:t>100</w:t>
            </w:r>
            <w:r w:rsidRPr="00B0658A">
              <w:rPr>
                <w:rFonts w:ascii="Times New Roman" w:hAnsi="Times New Roman"/>
                <w:sz w:val="18"/>
                <w:szCs w:val="18"/>
                <w:lang w:val="en-US"/>
              </w:rPr>
              <w:t>%</w:t>
            </w:r>
          </w:p>
        </w:tc>
        <w:tc>
          <w:tcPr>
            <w:tcW w:w="364" w:type="pct"/>
            <w:shd w:val="clear" w:color="000000" w:fill="FFFFFF"/>
            <w:vAlign w:val="center"/>
          </w:tcPr>
          <w:p w14:paraId="02CD2843"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207C19" w:rsidRPr="00B0658A" w14:paraId="7E09537F" w14:textId="77777777" w:rsidTr="00FE71B1">
        <w:trPr>
          <w:trHeight w:val="20"/>
        </w:trPr>
        <w:tc>
          <w:tcPr>
            <w:tcW w:w="342" w:type="pct"/>
            <w:shd w:val="clear" w:color="000000" w:fill="FFFFFF"/>
            <w:vAlign w:val="center"/>
          </w:tcPr>
          <w:p w14:paraId="561E9D52" w14:textId="77777777" w:rsidR="00207C19" w:rsidRPr="00B0658A" w:rsidRDefault="00207C19" w:rsidP="00FE71B1">
            <w:pPr>
              <w:spacing w:after="0" w:line="240" w:lineRule="auto"/>
              <w:jc w:val="center"/>
              <w:rPr>
                <w:rFonts w:ascii="Times New Roman" w:hAnsi="Times New Roman"/>
                <w:sz w:val="18"/>
                <w:szCs w:val="18"/>
              </w:rPr>
            </w:pPr>
            <w:r w:rsidRPr="00B0658A">
              <w:rPr>
                <w:rFonts w:ascii="Times New Roman" w:hAnsi="Times New Roman"/>
                <w:sz w:val="18"/>
                <w:szCs w:val="18"/>
              </w:rPr>
              <w:t>6.9</w:t>
            </w:r>
          </w:p>
        </w:tc>
        <w:tc>
          <w:tcPr>
            <w:tcW w:w="1182" w:type="pct"/>
            <w:shd w:val="clear" w:color="auto" w:fill="auto"/>
            <w:vAlign w:val="center"/>
          </w:tcPr>
          <w:p w14:paraId="6F86364B" w14:textId="77777777" w:rsidR="00207C19" w:rsidRPr="00B0658A" w:rsidRDefault="00207C19" w:rsidP="00E766E3">
            <w:pPr>
              <w:spacing w:after="0" w:line="240" w:lineRule="auto"/>
              <w:rPr>
                <w:rFonts w:ascii="Times New Roman" w:hAnsi="Times New Roman"/>
                <w:sz w:val="18"/>
                <w:szCs w:val="18"/>
              </w:rPr>
            </w:pPr>
            <w:r w:rsidRPr="00B0658A">
              <w:rPr>
                <w:rFonts w:ascii="Times New Roman" w:hAnsi="Times New Roman"/>
                <w:sz w:val="18"/>
                <w:szCs w:val="18"/>
              </w:rPr>
              <w:t>Офисные приложения/ Редакторы презентаций</w:t>
            </w:r>
          </w:p>
        </w:tc>
        <w:tc>
          <w:tcPr>
            <w:tcW w:w="898" w:type="pct"/>
            <w:shd w:val="clear" w:color="000000" w:fill="FFFFFF"/>
          </w:tcPr>
          <w:p w14:paraId="0ADDBD7B" w14:textId="77777777" w:rsidR="00207C19" w:rsidRPr="00B0658A" w:rsidRDefault="00207C19" w:rsidP="00E766E3">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7" w:type="pct"/>
            <w:shd w:val="clear" w:color="000000" w:fill="FFFFFF"/>
            <w:vAlign w:val="center"/>
          </w:tcPr>
          <w:p w14:paraId="77BAD040" w14:textId="4ABEEFC0"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rPr>
              <w:t>60</w:t>
            </w:r>
            <w:r w:rsidRPr="00B0658A">
              <w:rPr>
                <w:rFonts w:ascii="Times New Roman" w:hAnsi="Times New Roman"/>
                <w:sz w:val="18"/>
                <w:szCs w:val="18"/>
                <w:lang w:val="en-US"/>
              </w:rPr>
              <w:t>%</w:t>
            </w:r>
          </w:p>
        </w:tc>
        <w:tc>
          <w:tcPr>
            <w:tcW w:w="367" w:type="pct"/>
            <w:shd w:val="clear" w:color="000000" w:fill="FFFFFF"/>
            <w:vAlign w:val="center"/>
          </w:tcPr>
          <w:p w14:paraId="54D42CC5" w14:textId="1A008254"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rPr>
              <w:t>70</w:t>
            </w:r>
            <w:r w:rsidRPr="00B0658A">
              <w:rPr>
                <w:rFonts w:ascii="Times New Roman" w:hAnsi="Times New Roman"/>
                <w:sz w:val="18"/>
                <w:szCs w:val="18"/>
                <w:lang w:val="en-US"/>
              </w:rPr>
              <w:t>%</w:t>
            </w:r>
          </w:p>
        </w:tc>
        <w:tc>
          <w:tcPr>
            <w:tcW w:w="367" w:type="pct"/>
            <w:shd w:val="clear" w:color="000000" w:fill="FFFFFF"/>
            <w:vAlign w:val="center"/>
          </w:tcPr>
          <w:p w14:paraId="6AC675C7" w14:textId="20948FC2"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rPr>
              <w:t>8</w:t>
            </w:r>
            <w:r w:rsidRPr="00B0658A">
              <w:rPr>
                <w:rFonts w:ascii="Times New Roman" w:hAnsi="Times New Roman"/>
                <w:sz w:val="18"/>
                <w:szCs w:val="18"/>
                <w:lang w:val="en-US"/>
              </w:rPr>
              <w:t>0%</w:t>
            </w:r>
          </w:p>
        </w:tc>
        <w:tc>
          <w:tcPr>
            <w:tcW w:w="379" w:type="pct"/>
            <w:shd w:val="clear" w:color="000000" w:fill="FFFFFF"/>
            <w:vAlign w:val="center"/>
          </w:tcPr>
          <w:p w14:paraId="5AA148EE"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7" w:type="pct"/>
            <w:shd w:val="clear" w:color="000000" w:fill="FFFFFF"/>
            <w:vAlign w:val="center"/>
          </w:tcPr>
          <w:p w14:paraId="7877B331" w14:textId="77777777" w:rsidR="00207C19" w:rsidRPr="00B0658A" w:rsidRDefault="00207C19" w:rsidP="00E766E3">
            <w:pPr>
              <w:spacing w:after="0" w:line="240" w:lineRule="auto"/>
              <w:jc w:val="center"/>
              <w:rPr>
                <w:rFonts w:ascii="Times New Roman" w:hAnsi="Times New Roman"/>
                <w:sz w:val="18"/>
                <w:szCs w:val="18"/>
              </w:rPr>
            </w:pPr>
            <w:r w:rsidRPr="00D73B93">
              <w:rPr>
                <w:rFonts w:ascii="Times New Roman" w:hAnsi="Times New Roman"/>
                <w:sz w:val="18"/>
                <w:szCs w:val="18"/>
                <w:lang w:val="en-US"/>
              </w:rPr>
              <w:t>100%</w:t>
            </w:r>
          </w:p>
        </w:tc>
        <w:tc>
          <w:tcPr>
            <w:tcW w:w="367" w:type="pct"/>
            <w:shd w:val="clear" w:color="000000" w:fill="FFFFFF"/>
            <w:vAlign w:val="center"/>
          </w:tcPr>
          <w:p w14:paraId="23224BC0"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rPr>
              <w:t>100</w:t>
            </w:r>
            <w:r w:rsidRPr="00B0658A">
              <w:rPr>
                <w:rFonts w:ascii="Times New Roman" w:hAnsi="Times New Roman"/>
                <w:sz w:val="18"/>
                <w:szCs w:val="18"/>
                <w:lang w:val="en-US"/>
              </w:rPr>
              <w:t>%</w:t>
            </w:r>
          </w:p>
        </w:tc>
        <w:tc>
          <w:tcPr>
            <w:tcW w:w="364" w:type="pct"/>
            <w:shd w:val="clear" w:color="000000" w:fill="FFFFFF"/>
            <w:vAlign w:val="center"/>
          </w:tcPr>
          <w:p w14:paraId="75C0BC6B"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207C19" w:rsidRPr="00B0658A" w14:paraId="763E44C4" w14:textId="77777777" w:rsidTr="00FE71B1">
        <w:trPr>
          <w:trHeight w:val="20"/>
        </w:trPr>
        <w:tc>
          <w:tcPr>
            <w:tcW w:w="342" w:type="pct"/>
            <w:shd w:val="clear" w:color="000000" w:fill="FFFFFF"/>
            <w:vAlign w:val="center"/>
          </w:tcPr>
          <w:p w14:paraId="46D52E71" w14:textId="77777777" w:rsidR="00207C19" w:rsidRPr="00B0658A" w:rsidRDefault="00207C19" w:rsidP="00FE71B1">
            <w:pPr>
              <w:spacing w:after="0" w:line="240" w:lineRule="auto"/>
              <w:jc w:val="center"/>
              <w:rPr>
                <w:rFonts w:ascii="Times New Roman" w:hAnsi="Times New Roman"/>
                <w:sz w:val="18"/>
                <w:szCs w:val="18"/>
              </w:rPr>
            </w:pPr>
            <w:r w:rsidRPr="00B0658A">
              <w:rPr>
                <w:rFonts w:ascii="Times New Roman" w:hAnsi="Times New Roman"/>
                <w:sz w:val="18"/>
                <w:szCs w:val="18"/>
              </w:rPr>
              <w:t>6.10</w:t>
            </w:r>
          </w:p>
        </w:tc>
        <w:tc>
          <w:tcPr>
            <w:tcW w:w="1182" w:type="pct"/>
            <w:shd w:val="clear" w:color="auto" w:fill="auto"/>
            <w:vAlign w:val="center"/>
          </w:tcPr>
          <w:p w14:paraId="7B636FE7" w14:textId="77777777" w:rsidR="00207C19" w:rsidRPr="00B0658A" w:rsidRDefault="00207C19" w:rsidP="00E766E3">
            <w:pPr>
              <w:spacing w:after="0" w:line="240" w:lineRule="auto"/>
              <w:rPr>
                <w:rFonts w:ascii="Times New Roman" w:hAnsi="Times New Roman"/>
                <w:sz w:val="18"/>
                <w:szCs w:val="18"/>
              </w:rPr>
            </w:pPr>
            <w:r w:rsidRPr="00B0658A">
              <w:rPr>
                <w:rFonts w:ascii="Times New Roman" w:hAnsi="Times New Roman"/>
                <w:sz w:val="18"/>
                <w:szCs w:val="18"/>
              </w:rPr>
              <w:t>Офисные приложения/ Табличные редакторы</w:t>
            </w:r>
          </w:p>
        </w:tc>
        <w:tc>
          <w:tcPr>
            <w:tcW w:w="898" w:type="pct"/>
            <w:shd w:val="clear" w:color="000000" w:fill="FFFFFF"/>
          </w:tcPr>
          <w:p w14:paraId="30C8DC5E" w14:textId="77777777" w:rsidR="00207C19" w:rsidRPr="00B0658A" w:rsidRDefault="00207C19" w:rsidP="00E766E3">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7" w:type="pct"/>
            <w:shd w:val="clear" w:color="000000" w:fill="FFFFFF"/>
            <w:vAlign w:val="center"/>
          </w:tcPr>
          <w:p w14:paraId="24BAC7E9" w14:textId="38596F8C"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rPr>
              <w:t>60</w:t>
            </w:r>
            <w:r w:rsidRPr="00B0658A">
              <w:rPr>
                <w:rFonts w:ascii="Times New Roman" w:hAnsi="Times New Roman"/>
                <w:sz w:val="18"/>
                <w:szCs w:val="18"/>
                <w:lang w:val="en-US"/>
              </w:rPr>
              <w:t>%</w:t>
            </w:r>
          </w:p>
        </w:tc>
        <w:tc>
          <w:tcPr>
            <w:tcW w:w="367" w:type="pct"/>
            <w:shd w:val="clear" w:color="000000" w:fill="FFFFFF"/>
            <w:vAlign w:val="center"/>
          </w:tcPr>
          <w:p w14:paraId="2C93ED3E" w14:textId="2193A624"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rPr>
              <w:t>70</w:t>
            </w:r>
            <w:r w:rsidRPr="00B0658A">
              <w:rPr>
                <w:rFonts w:ascii="Times New Roman" w:hAnsi="Times New Roman"/>
                <w:sz w:val="18"/>
                <w:szCs w:val="18"/>
                <w:lang w:val="en-US"/>
              </w:rPr>
              <w:t>%</w:t>
            </w:r>
          </w:p>
        </w:tc>
        <w:tc>
          <w:tcPr>
            <w:tcW w:w="367" w:type="pct"/>
            <w:shd w:val="clear" w:color="000000" w:fill="FFFFFF"/>
            <w:vAlign w:val="center"/>
          </w:tcPr>
          <w:p w14:paraId="420134D2" w14:textId="7E5BC4A3"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rPr>
              <w:t>8</w:t>
            </w:r>
            <w:r w:rsidRPr="00B0658A">
              <w:rPr>
                <w:rFonts w:ascii="Times New Roman" w:hAnsi="Times New Roman"/>
                <w:sz w:val="18"/>
                <w:szCs w:val="18"/>
                <w:lang w:val="en-US"/>
              </w:rPr>
              <w:t>0%</w:t>
            </w:r>
          </w:p>
        </w:tc>
        <w:tc>
          <w:tcPr>
            <w:tcW w:w="379" w:type="pct"/>
            <w:shd w:val="clear" w:color="000000" w:fill="FFFFFF"/>
            <w:vAlign w:val="center"/>
          </w:tcPr>
          <w:p w14:paraId="43543933"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7" w:type="pct"/>
            <w:shd w:val="clear" w:color="000000" w:fill="FFFFFF"/>
            <w:vAlign w:val="center"/>
          </w:tcPr>
          <w:p w14:paraId="11233C5C" w14:textId="77777777" w:rsidR="00207C19" w:rsidRPr="00B0658A" w:rsidRDefault="00207C19" w:rsidP="00E766E3">
            <w:pPr>
              <w:spacing w:after="0" w:line="240" w:lineRule="auto"/>
              <w:jc w:val="center"/>
              <w:rPr>
                <w:rFonts w:ascii="Times New Roman" w:hAnsi="Times New Roman"/>
                <w:sz w:val="18"/>
                <w:szCs w:val="18"/>
              </w:rPr>
            </w:pPr>
            <w:r w:rsidRPr="00D73B93">
              <w:rPr>
                <w:rFonts w:ascii="Times New Roman" w:hAnsi="Times New Roman"/>
                <w:sz w:val="18"/>
                <w:szCs w:val="18"/>
                <w:lang w:val="en-US"/>
              </w:rPr>
              <w:t>100%</w:t>
            </w:r>
          </w:p>
        </w:tc>
        <w:tc>
          <w:tcPr>
            <w:tcW w:w="367" w:type="pct"/>
            <w:shd w:val="clear" w:color="000000" w:fill="FFFFFF"/>
            <w:vAlign w:val="center"/>
          </w:tcPr>
          <w:p w14:paraId="0FCF5F4E"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rPr>
              <w:t>100</w:t>
            </w:r>
            <w:r w:rsidRPr="00B0658A">
              <w:rPr>
                <w:rFonts w:ascii="Times New Roman" w:hAnsi="Times New Roman"/>
                <w:sz w:val="18"/>
                <w:szCs w:val="18"/>
                <w:lang w:val="en-US"/>
              </w:rPr>
              <w:t>%</w:t>
            </w:r>
          </w:p>
        </w:tc>
        <w:tc>
          <w:tcPr>
            <w:tcW w:w="364" w:type="pct"/>
            <w:shd w:val="clear" w:color="000000" w:fill="FFFFFF"/>
            <w:vAlign w:val="center"/>
          </w:tcPr>
          <w:p w14:paraId="2187EA8F"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207C19" w:rsidRPr="00B0658A" w14:paraId="7844402B" w14:textId="77777777" w:rsidTr="00FE71B1">
        <w:trPr>
          <w:trHeight w:val="20"/>
        </w:trPr>
        <w:tc>
          <w:tcPr>
            <w:tcW w:w="342" w:type="pct"/>
            <w:shd w:val="clear" w:color="000000" w:fill="FFFFFF"/>
            <w:vAlign w:val="center"/>
          </w:tcPr>
          <w:p w14:paraId="4DE104B8" w14:textId="77777777" w:rsidR="00207C19" w:rsidRPr="00B0658A" w:rsidRDefault="00207C19" w:rsidP="00FE71B1">
            <w:pPr>
              <w:spacing w:after="0" w:line="240" w:lineRule="auto"/>
              <w:jc w:val="center"/>
              <w:rPr>
                <w:rFonts w:ascii="Times New Roman" w:hAnsi="Times New Roman"/>
                <w:sz w:val="18"/>
                <w:szCs w:val="18"/>
              </w:rPr>
            </w:pPr>
            <w:r w:rsidRPr="00B0658A">
              <w:rPr>
                <w:rFonts w:ascii="Times New Roman" w:hAnsi="Times New Roman"/>
                <w:sz w:val="18"/>
                <w:szCs w:val="18"/>
              </w:rPr>
              <w:t>6.11</w:t>
            </w:r>
          </w:p>
        </w:tc>
        <w:tc>
          <w:tcPr>
            <w:tcW w:w="1182" w:type="pct"/>
            <w:shd w:val="clear" w:color="auto" w:fill="auto"/>
            <w:vAlign w:val="center"/>
          </w:tcPr>
          <w:p w14:paraId="4C7EE7E0" w14:textId="77777777" w:rsidR="00207C19" w:rsidRPr="00B0658A" w:rsidRDefault="00207C19" w:rsidP="00E766E3">
            <w:pPr>
              <w:spacing w:after="0" w:line="240" w:lineRule="auto"/>
              <w:rPr>
                <w:rFonts w:ascii="Times New Roman" w:hAnsi="Times New Roman"/>
                <w:sz w:val="18"/>
                <w:szCs w:val="18"/>
              </w:rPr>
            </w:pPr>
            <w:r w:rsidRPr="00B0658A">
              <w:rPr>
                <w:rFonts w:ascii="Times New Roman" w:hAnsi="Times New Roman"/>
                <w:sz w:val="18"/>
                <w:szCs w:val="18"/>
              </w:rPr>
              <w:t>Офисные приложения/ Текстовые редакторы</w:t>
            </w:r>
          </w:p>
        </w:tc>
        <w:tc>
          <w:tcPr>
            <w:tcW w:w="898" w:type="pct"/>
            <w:shd w:val="clear" w:color="000000" w:fill="FFFFFF"/>
          </w:tcPr>
          <w:p w14:paraId="3B925ED5" w14:textId="77777777" w:rsidR="00207C19" w:rsidRPr="00B0658A" w:rsidRDefault="00207C19" w:rsidP="00E766E3">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7" w:type="pct"/>
            <w:shd w:val="clear" w:color="000000" w:fill="FFFFFF"/>
            <w:vAlign w:val="center"/>
          </w:tcPr>
          <w:p w14:paraId="794CDEC7" w14:textId="5A1917BD"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rPr>
              <w:t>60</w:t>
            </w:r>
            <w:r w:rsidRPr="00B0658A">
              <w:rPr>
                <w:rFonts w:ascii="Times New Roman" w:hAnsi="Times New Roman"/>
                <w:sz w:val="18"/>
                <w:szCs w:val="18"/>
                <w:lang w:val="en-US"/>
              </w:rPr>
              <w:t>%</w:t>
            </w:r>
          </w:p>
        </w:tc>
        <w:tc>
          <w:tcPr>
            <w:tcW w:w="367" w:type="pct"/>
            <w:shd w:val="clear" w:color="000000" w:fill="FFFFFF"/>
            <w:vAlign w:val="center"/>
          </w:tcPr>
          <w:p w14:paraId="150B6A7D" w14:textId="0FB08B40"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rPr>
              <w:t>70</w:t>
            </w:r>
            <w:r w:rsidRPr="00B0658A">
              <w:rPr>
                <w:rFonts w:ascii="Times New Roman" w:hAnsi="Times New Roman"/>
                <w:sz w:val="18"/>
                <w:szCs w:val="18"/>
                <w:lang w:val="en-US"/>
              </w:rPr>
              <w:t>%</w:t>
            </w:r>
          </w:p>
        </w:tc>
        <w:tc>
          <w:tcPr>
            <w:tcW w:w="367" w:type="pct"/>
            <w:shd w:val="clear" w:color="000000" w:fill="FFFFFF"/>
            <w:vAlign w:val="center"/>
          </w:tcPr>
          <w:p w14:paraId="7200E9FD" w14:textId="02DAC4B6"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rPr>
              <w:t>8</w:t>
            </w:r>
            <w:r w:rsidRPr="00B0658A">
              <w:rPr>
                <w:rFonts w:ascii="Times New Roman" w:hAnsi="Times New Roman"/>
                <w:sz w:val="18"/>
                <w:szCs w:val="18"/>
                <w:lang w:val="en-US"/>
              </w:rPr>
              <w:t>0%</w:t>
            </w:r>
          </w:p>
        </w:tc>
        <w:tc>
          <w:tcPr>
            <w:tcW w:w="379" w:type="pct"/>
            <w:shd w:val="clear" w:color="000000" w:fill="FFFFFF"/>
            <w:vAlign w:val="center"/>
          </w:tcPr>
          <w:p w14:paraId="281D9209"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7" w:type="pct"/>
            <w:shd w:val="clear" w:color="000000" w:fill="FFFFFF"/>
            <w:vAlign w:val="center"/>
          </w:tcPr>
          <w:p w14:paraId="11783851" w14:textId="77777777" w:rsidR="00207C19" w:rsidRPr="00B0658A" w:rsidRDefault="00207C19" w:rsidP="00E766E3">
            <w:pPr>
              <w:spacing w:after="0" w:line="240" w:lineRule="auto"/>
              <w:jc w:val="center"/>
              <w:rPr>
                <w:rFonts w:ascii="Times New Roman" w:hAnsi="Times New Roman"/>
                <w:sz w:val="18"/>
                <w:szCs w:val="18"/>
              </w:rPr>
            </w:pPr>
            <w:r w:rsidRPr="00D73B93">
              <w:rPr>
                <w:rFonts w:ascii="Times New Roman" w:hAnsi="Times New Roman"/>
                <w:sz w:val="18"/>
                <w:szCs w:val="18"/>
                <w:lang w:val="en-US"/>
              </w:rPr>
              <w:t>100%</w:t>
            </w:r>
          </w:p>
        </w:tc>
        <w:tc>
          <w:tcPr>
            <w:tcW w:w="367" w:type="pct"/>
            <w:shd w:val="clear" w:color="000000" w:fill="FFFFFF"/>
            <w:vAlign w:val="center"/>
          </w:tcPr>
          <w:p w14:paraId="4C15351F"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rPr>
              <w:t>100</w:t>
            </w:r>
            <w:r w:rsidRPr="00B0658A">
              <w:rPr>
                <w:rFonts w:ascii="Times New Roman" w:hAnsi="Times New Roman"/>
                <w:sz w:val="18"/>
                <w:szCs w:val="18"/>
                <w:lang w:val="en-US"/>
              </w:rPr>
              <w:t>%</w:t>
            </w:r>
          </w:p>
        </w:tc>
        <w:tc>
          <w:tcPr>
            <w:tcW w:w="364" w:type="pct"/>
            <w:shd w:val="clear" w:color="000000" w:fill="FFFFFF"/>
            <w:vAlign w:val="center"/>
          </w:tcPr>
          <w:p w14:paraId="64A3BADB"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207C19" w:rsidRPr="00B0658A" w14:paraId="07C76BE4" w14:textId="77777777" w:rsidTr="00FE71B1">
        <w:trPr>
          <w:trHeight w:val="20"/>
        </w:trPr>
        <w:tc>
          <w:tcPr>
            <w:tcW w:w="342" w:type="pct"/>
            <w:shd w:val="clear" w:color="000000" w:fill="FFFFFF"/>
            <w:vAlign w:val="center"/>
          </w:tcPr>
          <w:p w14:paraId="6D5E9EF0" w14:textId="77777777" w:rsidR="00207C19" w:rsidRPr="00B0658A" w:rsidRDefault="00207C19" w:rsidP="00FE71B1">
            <w:pPr>
              <w:spacing w:after="0" w:line="240" w:lineRule="auto"/>
              <w:jc w:val="center"/>
              <w:rPr>
                <w:rFonts w:ascii="Times New Roman" w:hAnsi="Times New Roman"/>
                <w:sz w:val="18"/>
                <w:szCs w:val="18"/>
              </w:rPr>
            </w:pPr>
            <w:r w:rsidRPr="00B0658A">
              <w:rPr>
                <w:rFonts w:ascii="Times New Roman" w:hAnsi="Times New Roman"/>
                <w:sz w:val="18"/>
                <w:szCs w:val="18"/>
              </w:rPr>
              <w:t>6.12</w:t>
            </w:r>
          </w:p>
        </w:tc>
        <w:tc>
          <w:tcPr>
            <w:tcW w:w="1182" w:type="pct"/>
            <w:shd w:val="clear" w:color="auto" w:fill="auto"/>
            <w:vAlign w:val="center"/>
          </w:tcPr>
          <w:p w14:paraId="62045DFD" w14:textId="77777777" w:rsidR="00207C19" w:rsidRPr="00B0658A" w:rsidRDefault="00207C19" w:rsidP="00E766E3">
            <w:pPr>
              <w:spacing w:after="0" w:line="240" w:lineRule="auto"/>
              <w:rPr>
                <w:rFonts w:ascii="Times New Roman" w:hAnsi="Times New Roman"/>
                <w:sz w:val="18"/>
                <w:szCs w:val="18"/>
              </w:rPr>
            </w:pPr>
            <w:r w:rsidRPr="00B0658A">
              <w:rPr>
                <w:rFonts w:ascii="Times New Roman" w:hAnsi="Times New Roman"/>
                <w:sz w:val="18"/>
                <w:szCs w:val="18"/>
              </w:rPr>
              <w:t>Офисные приложения/ Программное обеспечение средств электронного документооборота</w:t>
            </w:r>
          </w:p>
        </w:tc>
        <w:tc>
          <w:tcPr>
            <w:tcW w:w="898" w:type="pct"/>
            <w:shd w:val="clear" w:color="000000" w:fill="FFFFFF"/>
          </w:tcPr>
          <w:p w14:paraId="5C96960A" w14:textId="77777777" w:rsidR="00207C19" w:rsidRPr="00B0658A" w:rsidRDefault="00207C19" w:rsidP="00E766E3">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7" w:type="pct"/>
            <w:shd w:val="clear" w:color="000000" w:fill="FFFFFF"/>
            <w:vAlign w:val="center"/>
          </w:tcPr>
          <w:p w14:paraId="1806E363" w14:textId="477940F3"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7" w:type="pct"/>
            <w:shd w:val="clear" w:color="000000" w:fill="FFFFFF"/>
            <w:vAlign w:val="center"/>
          </w:tcPr>
          <w:p w14:paraId="5B4E1A11" w14:textId="11BD7FEC"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7" w:type="pct"/>
            <w:shd w:val="clear" w:color="000000" w:fill="FFFFFF"/>
            <w:vAlign w:val="center"/>
          </w:tcPr>
          <w:p w14:paraId="5E4AD47E" w14:textId="2DE14BD0"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79" w:type="pct"/>
            <w:shd w:val="clear" w:color="000000" w:fill="FFFFFF"/>
            <w:vAlign w:val="center"/>
          </w:tcPr>
          <w:p w14:paraId="77C6C933"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7" w:type="pct"/>
            <w:shd w:val="clear" w:color="000000" w:fill="FFFFFF"/>
            <w:vAlign w:val="center"/>
          </w:tcPr>
          <w:p w14:paraId="2021AB28"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7" w:type="pct"/>
            <w:shd w:val="clear" w:color="000000" w:fill="FFFFFF"/>
            <w:vAlign w:val="center"/>
          </w:tcPr>
          <w:p w14:paraId="46AFDA4C"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4" w:type="pct"/>
            <w:shd w:val="clear" w:color="000000" w:fill="FFFFFF"/>
            <w:vAlign w:val="center"/>
          </w:tcPr>
          <w:p w14:paraId="63567B5C"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207C19" w:rsidRPr="00B0658A" w14:paraId="706F42F1" w14:textId="77777777" w:rsidTr="00FE71B1">
        <w:trPr>
          <w:trHeight w:val="20"/>
        </w:trPr>
        <w:tc>
          <w:tcPr>
            <w:tcW w:w="342" w:type="pct"/>
            <w:shd w:val="clear" w:color="000000" w:fill="FFFFFF"/>
            <w:vAlign w:val="center"/>
          </w:tcPr>
          <w:p w14:paraId="0882B9C9" w14:textId="77777777" w:rsidR="00207C19" w:rsidRPr="00B0658A" w:rsidRDefault="00207C19" w:rsidP="00FE71B1">
            <w:pPr>
              <w:spacing w:after="0" w:line="240" w:lineRule="auto"/>
              <w:jc w:val="center"/>
              <w:rPr>
                <w:rFonts w:ascii="Times New Roman" w:hAnsi="Times New Roman"/>
                <w:sz w:val="18"/>
                <w:szCs w:val="18"/>
              </w:rPr>
            </w:pPr>
            <w:r w:rsidRPr="00B0658A">
              <w:rPr>
                <w:rFonts w:ascii="Times New Roman" w:hAnsi="Times New Roman"/>
                <w:sz w:val="18"/>
                <w:szCs w:val="18"/>
              </w:rPr>
              <w:t>7.1</w:t>
            </w:r>
          </w:p>
        </w:tc>
        <w:tc>
          <w:tcPr>
            <w:tcW w:w="1182" w:type="pct"/>
            <w:shd w:val="clear" w:color="auto" w:fill="auto"/>
            <w:vAlign w:val="center"/>
          </w:tcPr>
          <w:p w14:paraId="1A1E1117" w14:textId="77777777" w:rsidR="00207C19" w:rsidRPr="00B0658A" w:rsidRDefault="00207C19" w:rsidP="00E766E3">
            <w:pPr>
              <w:spacing w:after="0" w:line="240" w:lineRule="auto"/>
              <w:rPr>
                <w:rFonts w:ascii="Times New Roman" w:hAnsi="Times New Roman"/>
                <w:sz w:val="18"/>
                <w:szCs w:val="18"/>
              </w:rPr>
            </w:pPr>
            <w:r w:rsidRPr="00B0658A">
              <w:rPr>
                <w:rFonts w:ascii="Times New Roman" w:hAnsi="Times New Roman"/>
                <w:sz w:val="18"/>
                <w:szCs w:val="18"/>
              </w:rPr>
              <w:t xml:space="preserve">Лингвистическое программное обеспечение/ Парсеры </w:t>
            </w:r>
            <w:r w:rsidRPr="00B0658A">
              <w:rPr>
                <w:rFonts w:ascii="Times New Roman" w:hAnsi="Times New Roman"/>
                <w:sz w:val="18"/>
                <w:szCs w:val="18"/>
              </w:rPr>
              <w:br/>
              <w:t>и семантические анализаторы</w:t>
            </w:r>
          </w:p>
        </w:tc>
        <w:tc>
          <w:tcPr>
            <w:tcW w:w="898" w:type="pct"/>
            <w:shd w:val="clear" w:color="000000" w:fill="FFFFFF"/>
          </w:tcPr>
          <w:p w14:paraId="0E825442" w14:textId="77777777" w:rsidR="00207C19" w:rsidRPr="00B0658A" w:rsidRDefault="00207C19" w:rsidP="00E766E3">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7" w:type="pct"/>
            <w:shd w:val="clear" w:color="000000" w:fill="FFFFFF"/>
            <w:vAlign w:val="center"/>
          </w:tcPr>
          <w:p w14:paraId="38E72498"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50%</w:t>
            </w:r>
          </w:p>
        </w:tc>
        <w:tc>
          <w:tcPr>
            <w:tcW w:w="367" w:type="pct"/>
            <w:shd w:val="clear" w:color="000000" w:fill="FFFFFF"/>
            <w:vAlign w:val="center"/>
          </w:tcPr>
          <w:p w14:paraId="1673B30A"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60%</w:t>
            </w:r>
          </w:p>
        </w:tc>
        <w:tc>
          <w:tcPr>
            <w:tcW w:w="367" w:type="pct"/>
            <w:shd w:val="clear" w:color="000000" w:fill="FFFFFF"/>
            <w:vAlign w:val="center"/>
          </w:tcPr>
          <w:p w14:paraId="6FA8359C"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70%</w:t>
            </w:r>
          </w:p>
        </w:tc>
        <w:tc>
          <w:tcPr>
            <w:tcW w:w="379" w:type="pct"/>
            <w:shd w:val="clear" w:color="000000" w:fill="FFFFFF"/>
            <w:vAlign w:val="center"/>
          </w:tcPr>
          <w:p w14:paraId="231D9D9B"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7" w:type="pct"/>
            <w:shd w:val="clear" w:color="000000" w:fill="FFFFFF"/>
            <w:vAlign w:val="center"/>
          </w:tcPr>
          <w:p w14:paraId="42340792"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80%</w:t>
            </w:r>
          </w:p>
        </w:tc>
        <w:tc>
          <w:tcPr>
            <w:tcW w:w="367" w:type="pct"/>
            <w:shd w:val="clear" w:color="000000" w:fill="FFFFFF"/>
            <w:vAlign w:val="center"/>
          </w:tcPr>
          <w:p w14:paraId="611331B8"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90%</w:t>
            </w:r>
          </w:p>
        </w:tc>
        <w:tc>
          <w:tcPr>
            <w:tcW w:w="364" w:type="pct"/>
            <w:shd w:val="clear" w:color="000000" w:fill="FFFFFF"/>
            <w:vAlign w:val="center"/>
          </w:tcPr>
          <w:p w14:paraId="38675D33"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207C19" w:rsidRPr="00B0658A" w14:paraId="2EF6E598" w14:textId="77777777" w:rsidTr="00FE71B1">
        <w:trPr>
          <w:trHeight w:val="20"/>
        </w:trPr>
        <w:tc>
          <w:tcPr>
            <w:tcW w:w="342" w:type="pct"/>
            <w:shd w:val="clear" w:color="000000" w:fill="FFFFFF"/>
            <w:vAlign w:val="center"/>
          </w:tcPr>
          <w:p w14:paraId="77681A73" w14:textId="77777777" w:rsidR="00207C19" w:rsidRPr="00B0658A" w:rsidRDefault="00207C19" w:rsidP="00FE71B1">
            <w:pPr>
              <w:spacing w:after="0" w:line="240" w:lineRule="auto"/>
              <w:jc w:val="center"/>
              <w:rPr>
                <w:rFonts w:ascii="Times New Roman" w:hAnsi="Times New Roman"/>
                <w:sz w:val="18"/>
                <w:szCs w:val="18"/>
              </w:rPr>
            </w:pPr>
            <w:r w:rsidRPr="00B0658A">
              <w:rPr>
                <w:rFonts w:ascii="Times New Roman" w:hAnsi="Times New Roman"/>
                <w:sz w:val="18"/>
                <w:szCs w:val="18"/>
              </w:rPr>
              <w:t>7.2</w:t>
            </w:r>
          </w:p>
        </w:tc>
        <w:tc>
          <w:tcPr>
            <w:tcW w:w="1182" w:type="pct"/>
            <w:shd w:val="clear" w:color="auto" w:fill="auto"/>
            <w:vAlign w:val="center"/>
          </w:tcPr>
          <w:p w14:paraId="6FCB9434" w14:textId="77777777" w:rsidR="00207C19" w:rsidRPr="00B0658A" w:rsidRDefault="00207C19" w:rsidP="00E766E3">
            <w:pPr>
              <w:spacing w:after="0" w:line="240" w:lineRule="auto"/>
              <w:rPr>
                <w:rFonts w:ascii="Times New Roman" w:hAnsi="Times New Roman"/>
                <w:sz w:val="18"/>
                <w:szCs w:val="18"/>
              </w:rPr>
            </w:pPr>
            <w:r w:rsidRPr="00B0658A">
              <w:rPr>
                <w:rFonts w:ascii="Times New Roman" w:hAnsi="Times New Roman"/>
                <w:sz w:val="18"/>
                <w:szCs w:val="18"/>
              </w:rPr>
              <w:t>Лингвистическое программное обеспечение/ Средства речевого перевода</w:t>
            </w:r>
          </w:p>
        </w:tc>
        <w:tc>
          <w:tcPr>
            <w:tcW w:w="898" w:type="pct"/>
            <w:shd w:val="clear" w:color="000000" w:fill="FFFFFF"/>
          </w:tcPr>
          <w:p w14:paraId="7001746A" w14:textId="77777777" w:rsidR="00207C19" w:rsidRPr="00B0658A" w:rsidRDefault="00207C19" w:rsidP="00E766E3">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7" w:type="pct"/>
            <w:shd w:val="clear" w:color="000000" w:fill="FFFFFF"/>
            <w:vAlign w:val="center"/>
          </w:tcPr>
          <w:p w14:paraId="02DC0B82"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50%</w:t>
            </w:r>
          </w:p>
        </w:tc>
        <w:tc>
          <w:tcPr>
            <w:tcW w:w="367" w:type="pct"/>
            <w:shd w:val="clear" w:color="000000" w:fill="FFFFFF"/>
            <w:vAlign w:val="center"/>
          </w:tcPr>
          <w:p w14:paraId="4EB23D96"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60%</w:t>
            </w:r>
          </w:p>
        </w:tc>
        <w:tc>
          <w:tcPr>
            <w:tcW w:w="367" w:type="pct"/>
            <w:shd w:val="clear" w:color="000000" w:fill="FFFFFF"/>
            <w:vAlign w:val="center"/>
          </w:tcPr>
          <w:p w14:paraId="26F188A6"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70%</w:t>
            </w:r>
          </w:p>
        </w:tc>
        <w:tc>
          <w:tcPr>
            <w:tcW w:w="379" w:type="pct"/>
            <w:shd w:val="clear" w:color="000000" w:fill="FFFFFF"/>
            <w:vAlign w:val="center"/>
          </w:tcPr>
          <w:p w14:paraId="1B141B07"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7" w:type="pct"/>
            <w:shd w:val="clear" w:color="000000" w:fill="FFFFFF"/>
            <w:vAlign w:val="center"/>
          </w:tcPr>
          <w:p w14:paraId="6D5DA366"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80%</w:t>
            </w:r>
          </w:p>
        </w:tc>
        <w:tc>
          <w:tcPr>
            <w:tcW w:w="367" w:type="pct"/>
            <w:shd w:val="clear" w:color="000000" w:fill="FFFFFF"/>
            <w:vAlign w:val="center"/>
          </w:tcPr>
          <w:p w14:paraId="3C526150"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90%</w:t>
            </w:r>
          </w:p>
        </w:tc>
        <w:tc>
          <w:tcPr>
            <w:tcW w:w="364" w:type="pct"/>
            <w:shd w:val="clear" w:color="000000" w:fill="FFFFFF"/>
            <w:vAlign w:val="center"/>
          </w:tcPr>
          <w:p w14:paraId="3F6C0B36"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207C19" w:rsidRPr="00B0658A" w14:paraId="5A012491" w14:textId="77777777" w:rsidTr="00FE71B1">
        <w:trPr>
          <w:trHeight w:val="20"/>
        </w:trPr>
        <w:tc>
          <w:tcPr>
            <w:tcW w:w="342" w:type="pct"/>
            <w:shd w:val="clear" w:color="000000" w:fill="FFFFFF"/>
            <w:vAlign w:val="center"/>
          </w:tcPr>
          <w:p w14:paraId="50D2BCED" w14:textId="77777777" w:rsidR="00207C19" w:rsidRPr="00B0658A" w:rsidRDefault="00207C19" w:rsidP="00FE71B1">
            <w:pPr>
              <w:spacing w:after="0" w:line="240" w:lineRule="auto"/>
              <w:jc w:val="center"/>
              <w:rPr>
                <w:rFonts w:ascii="Times New Roman" w:hAnsi="Times New Roman"/>
                <w:sz w:val="18"/>
                <w:szCs w:val="18"/>
              </w:rPr>
            </w:pPr>
            <w:r w:rsidRPr="00B0658A">
              <w:rPr>
                <w:rFonts w:ascii="Times New Roman" w:hAnsi="Times New Roman"/>
                <w:sz w:val="18"/>
                <w:szCs w:val="18"/>
              </w:rPr>
              <w:t>7.3</w:t>
            </w:r>
          </w:p>
        </w:tc>
        <w:tc>
          <w:tcPr>
            <w:tcW w:w="1182" w:type="pct"/>
            <w:shd w:val="clear" w:color="auto" w:fill="auto"/>
            <w:vAlign w:val="center"/>
          </w:tcPr>
          <w:p w14:paraId="3FA6BF97" w14:textId="77777777" w:rsidR="00207C19" w:rsidRPr="00B0658A" w:rsidRDefault="00207C19" w:rsidP="00E766E3">
            <w:pPr>
              <w:spacing w:after="0" w:line="240" w:lineRule="auto"/>
              <w:rPr>
                <w:rFonts w:ascii="Times New Roman" w:hAnsi="Times New Roman"/>
                <w:sz w:val="18"/>
                <w:szCs w:val="18"/>
              </w:rPr>
            </w:pPr>
            <w:r w:rsidRPr="00B0658A">
              <w:rPr>
                <w:rFonts w:ascii="Times New Roman" w:hAnsi="Times New Roman"/>
                <w:sz w:val="18"/>
                <w:szCs w:val="18"/>
              </w:rPr>
              <w:t>Лингвистическое программное обеспечение/ Средства распознавания символов</w:t>
            </w:r>
          </w:p>
        </w:tc>
        <w:tc>
          <w:tcPr>
            <w:tcW w:w="898" w:type="pct"/>
            <w:shd w:val="clear" w:color="000000" w:fill="FFFFFF"/>
          </w:tcPr>
          <w:p w14:paraId="7B10E87B" w14:textId="77777777" w:rsidR="00207C19" w:rsidRPr="00B0658A" w:rsidRDefault="00207C19" w:rsidP="00E766E3">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7" w:type="pct"/>
            <w:shd w:val="clear" w:color="000000" w:fill="FFFFFF"/>
            <w:vAlign w:val="center"/>
          </w:tcPr>
          <w:p w14:paraId="52B3B4B6"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50%</w:t>
            </w:r>
          </w:p>
        </w:tc>
        <w:tc>
          <w:tcPr>
            <w:tcW w:w="367" w:type="pct"/>
            <w:shd w:val="clear" w:color="000000" w:fill="FFFFFF"/>
            <w:vAlign w:val="center"/>
          </w:tcPr>
          <w:p w14:paraId="53289809"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60%</w:t>
            </w:r>
          </w:p>
        </w:tc>
        <w:tc>
          <w:tcPr>
            <w:tcW w:w="367" w:type="pct"/>
            <w:shd w:val="clear" w:color="000000" w:fill="FFFFFF"/>
            <w:vAlign w:val="center"/>
          </w:tcPr>
          <w:p w14:paraId="575D7D04"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70%</w:t>
            </w:r>
          </w:p>
        </w:tc>
        <w:tc>
          <w:tcPr>
            <w:tcW w:w="379" w:type="pct"/>
            <w:shd w:val="clear" w:color="000000" w:fill="FFFFFF"/>
            <w:vAlign w:val="center"/>
          </w:tcPr>
          <w:p w14:paraId="3891E3F0"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7" w:type="pct"/>
            <w:shd w:val="clear" w:color="000000" w:fill="FFFFFF"/>
            <w:vAlign w:val="center"/>
          </w:tcPr>
          <w:p w14:paraId="4FE22DBA"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80%</w:t>
            </w:r>
          </w:p>
        </w:tc>
        <w:tc>
          <w:tcPr>
            <w:tcW w:w="367" w:type="pct"/>
            <w:shd w:val="clear" w:color="000000" w:fill="FFFFFF"/>
            <w:vAlign w:val="center"/>
          </w:tcPr>
          <w:p w14:paraId="3301139C"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90%</w:t>
            </w:r>
          </w:p>
        </w:tc>
        <w:tc>
          <w:tcPr>
            <w:tcW w:w="364" w:type="pct"/>
            <w:shd w:val="clear" w:color="000000" w:fill="FFFFFF"/>
            <w:vAlign w:val="center"/>
          </w:tcPr>
          <w:p w14:paraId="4B5A15BF"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207C19" w:rsidRPr="00B0658A" w14:paraId="4706A265" w14:textId="77777777" w:rsidTr="00FE71B1">
        <w:trPr>
          <w:trHeight w:val="20"/>
        </w:trPr>
        <w:tc>
          <w:tcPr>
            <w:tcW w:w="342" w:type="pct"/>
            <w:shd w:val="clear" w:color="000000" w:fill="FFFFFF"/>
            <w:vAlign w:val="center"/>
          </w:tcPr>
          <w:p w14:paraId="78E4A2E4" w14:textId="77777777" w:rsidR="00207C19" w:rsidRPr="00B0658A" w:rsidRDefault="00207C19" w:rsidP="00FE71B1">
            <w:pPr>
              <w:spacing w:after="0" w:line="240" w:lineRule="auto"/>
              <w:jc w:val="center"/>
              <w:rPr>
                <w:rFonts w:ascii="Times New Roman" w:hAnsi="Times New Roman"/>
                <w:sz w:val="18"/>
                <w:szCs w:val="18"/>
              </w:rPr>
            </w:pPr>
            <w:r w:rsidRPr="00B0658A">
              <w:rPr>
                <w:rFonts w:ascii="Times New Roman" w:hAnsi="Times New Roman"/>
                <w:sz w:val="18"/>
                <w:szCs w:val="18"/>
              </w:rPr>
              <w:t>7.4</w:t>
            </w:r>
          </w:p>
        </w:tc>
        <w:tc>
          <w:tcPr>
            <w:tcW w:w="1182" w:type="pct"/>
            <w:shd w:val="clear" w:color="auto" w:fill="auto"/>
            <w:vAlign w:val="center"/>
          </w:tcPr>
          <w:p w14:paraId="764A0B52" w14:textId="77777777" w:rsidR="00207C19" w:rsidRPr="00B0658A" w:rsidRDefault="00207C19" w:rsidP="00E766E3">
            <w:pPr>
              <w:spacing w:after="0" w:line="240" w:lineRule="auto"/>
              <w:rPr>
                <w:rFonts w:ascii="Times New Roman" w:hAnsi="Times New Roman"/>
                <w:sz w:val="18"/>
                <w:szCs w:val="18"/>
              </w:rPr>
            </w:pPr>
            <w:r w:rsidRPr="00B0658A">
              <w:rPr>
                <w:rFonts w:ascii="Times New Roman" w:hAnsi="Times New Roman"/>
                <w:sz w:val="18"/>
                <w:szCs w:val="18"/>
              </w:rPr>
              <w:t>Лингвистическое программное обеспечение/ Средства распознавания и синтеза речи</w:t>
            </w:r>
          </w:p>
        </w:tc>
        <w:tc>
          <w:tcPr>
            <w:tcW w:w="898" w:type="pct"/>
            <w:shd w:val="clear" w:color="000000" w:fill="FFFFFF"/>
          </w:tcPr>
          <w:p w14:paraId="11A14ACB" w14:textId="77777777" w:rsidR="00207C19" w:rsidRPr="00B0658A" w:rsidRDefault="00207C19" w:rsidP="00E766E3">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7" w:type="pct"/>
            <w:shd w:val="clear" w:color="000000" w:fill="FFFFFF"/>
            <w:vAlign w:val="center"/>
          </w:tcPr>
          <w:p w14:paraId="73BF06EA"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50%</w:t>
            </w:r>
          </w:p>
        </w:tc>
        <w:tc>
          <w:tcPr>
            <w:tcW w:w="367" w:type="pct"/>
            <w:shd w:val="clear" w:color="000000" w:fill="FFFFFF"/>
            <w:vAlign w:val="center"/>
          </w:tcPr>
          <w:p w14:paraId="02792F8E"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60%</w:t>
            </w:r>
          </w:p>
        </w:tc>
        <w:tc>
          <w:tcPr>
            <w:tcW w:w="367" w:type="pct"/>
            <w:shd w:val="clear" w:color="000000" w:fill="FFFFFF"/>
            <w:vAlign w:val="center"/>
          </w:tcPr>
          <w:p w14:paraId="7E220777"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70%</w:t>
            </w:r>
          </w:p>
        </w:tc>
        <w:tc>
          <w:tcPr>
            <w:tcW w:w="379" w:type="pct"/>
            <w:shd w:val="clear" w:color="000000" w:fill="FFFFFF"/>
            <w:vAlign w:val="center"/>
          </w:tcPr>
          <w:p w14:paraId="7A8558DD"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7" w:type="pct"/>
            <w:shd w:val="clear" w:color="000000" w:fill="FFFFFF"/>
            <w:vAlign w:val="center"/>
          </w:tcPr>
          <w:p w14:paraId="68AF1822"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80%</w:t>
            </w:r>
          </w:p>
        </w:tc>
        <w:tc>
          <w:tcPr>
            <w:tcW w:w="367" w:type="pct"/>
            <w:shd w:val="clear" w:color="000000" w:fill="FFFFFF"/>
            <w:vAlign w:val="center"/>
          </w:tcPr>
          <w:p w14:paraId="203DC850"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90%</w:t>
            </w:r>
          </w:p>
        </w:tc>
        <w:tc>
          <w:tcPr>
            <w:tcW w:w="364" w:type="pct"/>
            <w:shd w:val="clear" w:color="000000" w:fill="FFFFFF"/>
            <w:vAlign w:val="center"/>
          </w:tcPr>
          <w:p w14:paraId="7D3A777B"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207C19" w:rsidRPr="00B0658A" w14:paraId="49EB9F70" w14:textId="77777777" w:rsidTr="00FE71B1">
        <w:trPr>
          <w:trHeight w:val="20"/>
        </w:trPr>
        <w:tc>
          <w:tcPr>
            <w:tcW w:w="342" w:type="pct"/>
            <w:shd w:val="clear" w:color="000000" w:fill="FFFFFF"/>
            <w:vAlign w:val="center"/>
          </w:tcPr>
          <w:p w14:paraId="6490C824" w14:textId="77777777" w:rsidR="00207C19" w:rsidRPr="00B0658A" w:rsidRDefault="00207C19" w:rsidP="00FE71B1">
            <w:pPr>
              <w:spacing w:after="0" w:line="240" w:lineRule="auto"/>
              <w:jc w:val="center"/>
              <w:rPr>
                <w:rFonts w:ascii="Times New Roman" w:hAnsi="Times New Roman"/>
                <w:sz w:val="18"/>
                <w:szCs w:val="18"/>
              </w:rPr>
            </w:pPr>
            <w:r w:rsidRPr="00B0658A">
              <w:rPr>
                <w:rFonts w:ascii="Times New Roman" w:hAnsi="Times New Roman"/>
                <w:sz w:val="18"/>
                <w:szCs w:val="18"/>
              </w:rPr>
              <w:t>7.5</w:t>
            </w:r>
          </w:p>
        </w:tc>
        <w:tc>
          <w:tcPr>
            <w:tcW w:w="1182" w:type="pct"/>
            <w:shd w:val="clear" w:color="auto" w:fill="auto"/>
            <w:vAlign w:val="center"/>
          </w:tcPr>
          <w:p w14:paraId="215B09E9" w14:textId="77777777" w:rsidR="00207C19" w:rsidRPr="00B0658A" w:rsidRDefault="00207C19" w:rsidP="00E766E3">
            <w:pPr>
              <w:spacing w:after="0" w:line="240" w:lineRule="auto"/>
              <w:rPr>
                <w:rFonts w:ascii="Times New Roman" w:hAnsi="Times New Roman"/>
                <w:sz w:val="18"/>
                <w:szCs w:val="18"/>
              </w:rPr>
            </w:pPr>
            <w:r w:rsidRPr="00B0658A">
              <w:rPr>
                <w:rFonts w:ascii="Times New Roman" w:hAnsi="Times New Roman"/>
                <w:sz w:val="18"/>
                <w:szCs w:val="18"/>
              </w:rPr>
              <w:t>Лингвистическое программное обеспечение/ Средства автоматизированного перевода</w:t>
            </w:r>
          </w:p>
        </w:tc>
        <w:tc>
          <w:tcPr>
            <w:tcW w:w="898" w:type="pct"/>
            <w:shd w:val="clear" w:color="000000" w:fill="FFFFFF"/>
          </w:tcPr>
          <w:p w14:paraId="3C97FAA6" w14:textId="77777777" w:rsidR="00207C19" w:rsidRPr="00B0658A" w:rsidRDefault="00207C19" w:rsidP="00E766E3">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7" w:type="pct"/>
            <w:shd w:val="clear" w:color="000000" w:fill="FFFFFF"/>
            <w:vAlign w:val="center"/>
          </w:tcPr>
          <w:p w14:paraId="2D778554"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50%</w:t>
            </w:r>
          </w:p>
        </w:tc>
        <w:tc>
          <w:tcPr>
            <w:tcW w:w="367" w:type="pct"/>
            <w:shd w:val="clear" w:color="000000" w:fill="FFFFFF"/>
            <w:vAlign w:val="center"/>
          </w:tcPr>
          <w:p w14:paraId="5D42A4E1"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60%</w:t>
            </w:r>
          </w:p>
        </w:tc>
        <w:tc>
          <w:tcPr>
            <w:tcW w:w="367" w:type="pct"/>
            <w:shd w:val="clear" w:color="000000" w:fill="FFFFFF"/>
            <w:vAlign w:val="center"/>
          </w:tcPr>
          <w:p w14:paraId="60BC42DF"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70%</w:t>
            </w:r>
          </w:p>
        </w:tc>
        <w:tc>
          <w:tcPr>
            <w:tcW w:w="379" w:type="pct"/>
            <w:shd w:val="clear" w:color="000000" w:fill="FFFFFF"/>
            <w:vAlign w:val="center"/>
          </w:tcPr>
          <w:p w14:paraId="315E5DDF"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7" w:type="pct"/>
            <w:shd w:val="clear" w:color="000000" w:fill="FFFFFF"/>
            <w:vAlign w:val="center"/>
          </w:tcPr>
          <w:p w14:paraId="0C440D54"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80%</w:t>
            </w:r>
          </w:p>
        </w:tc>
        <w:tc>
          <w:tcPr>
            <w:tcW w:w="367" w:type="pct"/>
            <w:shd w:val="clear" w:color="000000" w:fill="FFFFFF"/>
            <w:vAlign w:val="center"/>
          </w:tcPr>
          <w:p w14:paraId="29C016C6"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90%</w:t>
            </w:r>
          </w:p>
        </w:tc>
        <w:tc>
          <w:tcPr>
            <w:tcW w:w="364" w:type="pct"/>
            <w:shd w:val="clear" w:color="000000" w:fill="FFFFFF"/>
            <w:vAlign w:val="center"/>
          </w:tcPr>
          <w:p w14:paraId="493679CE"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207C19" w:rsidRPr="00B0658A" w14:paraId="18D8ACCC" w14:textId="77777777" w:rsidTr="00FE71B1">
        <w:trPr>
          <w:trHeight w:val="20"/>
        </w:trPr>
        <w:tc>
          <w:tcPr>
            <w:tcW w:w="342" w:type="pct"/>
            <w:shd w:val="clear" w:color="000000" w:fill="FFFFFF"/>
            <w:vAlign w:val="center"/>
          </w:tcPr>
          <w:p w14:paraId="6F507017" w14:textId="77777777" w:rsidR="00207C19" w:rsidRPr="00B0658A" w:rsidRDefault="00207C19" w:rsidP="00FE71B1">
            <w:pPr>
              <w:spacing w:after="0" w:line="240" w:lineRule="auto"/>
              <w:jc w:val="center"/>
              <w:rPr>
                <w:rFonts w:ascii="Times New Roman" w:hAnsi="Times New Roman"/>
                <w:sz w:val="18"/>
                <w:szCs w:val="18"/>
              </w:rPr>
            </w:pPr>
            <w:r w:rsidRPr="00B0658A">
              <w:rPr>
                <w:rFonts w:ascii="Times New Roman" w:hAnsi="Times New Roman"/>
                <w:sz w:val="18"/>
                <w:szCs w:val="18"/>
              </w:rPr>
              <w:t>7.6</w:t>
            </w:r>
          </w:p>
        </w:tc>
        <w:tc>
          <w:tcPr>
            <w:tcW w:w="1182" w:type="pct"/>
            <w:shd w:val="clear" w:color="auto" w:fill="auto"/>
            <w:vAlign w:val="center"/>
          </w:tcPr>
          <w:p w14:paraId="7BE90B7A" w14:textId="77777777" w:rsidR="00207C19" w:rsidRPr="00B0658A" w:rsidRDefault="00207C19" w:rsidP="00E766E3">
            <w:pPr>
              <w:spacing w:after="0" w:line="240" w:lineRule="auto"/>
              <w:rPr>
                <w:rFonts w:ascii="Times New Roman" w:hAnsi="Times New Roman"/>
                <w:sz w:val="18"/>
                <w:szCs w:val="18"/>
              </w:rPr>
            </w:pPr>
            <w:r w:rsidRPr="00B0658A">
              <w:rPr>
                <w:rFonts w:ascii="Times New Roman" w:hAnsi="Times New Roman"/>
                <w:sz w:val="18"/>
                <w:szCs w:val="18"/>
              </w:rPr>
              <w:t>Лингвистическое программное обеспечение/ Электронные словари</w:t>
            </w:r>
          </w:p>
        </w:tc>
        <w:tc>
          <w:tcPr>
            <w:tcW w:w="898" w:type="pct"/>
            <w:shd w:val="clear" w:color="000000" w:fill="FFFFFF"/>
          </w:tcPr>
          <w:p w14:paraId="366A4187" w14:textId="77777777" w:rsidR="00207C19" w:rsidRPr="00B0658A" w:rsidRDefault="00207C19" w:rsidP="00E766E3">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7" w:type="pct"/>
            <w:shd w:val="clear" w:color="000000" w:fill="FFFFFF"/>
            <w:vAlign w:val="center"/>
          </w:tcPr>
          <w:p w14:paraId="2560BBC6"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50%</w:t>
            </w:r>
          </w:p>
        </w:tc>
        <w:tc>
          <w:tcPr>
            <w:tcW w:w="367" w:type="pct"/>
            <w:shd w:val="clear" w:color="000000" w:fill="FFFFFF"/>
            <w:vAlign w:val="center"/>
          </w:tcPr>
          <w:p w14:paraId="0B106BB5"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60%</w:t>
            </w:r>
          </w:p>
        </w:tc>
        <w:tc>
          <w:tcPr>
            <w:tcW w:w="367" w:type="pct"/>
            <w:shd w:val="clear" w:color="000000" w:fill="FFFFFF"/>
            <w:vAlign w:val="center"/>
          </w:tcPr>
          <w:p w14:paraId="1000AAE4"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70%</w:t>
            </w:r>
          </w:p>
        </w:tc>
        <w:tc>
          <w:tcPr>
            <w:tcW w:w="379" w:type="pct"/>
            <w:shd w:val="clear" w:color="000000" w:fill="FFFFFF"/>
            <w:vAlign w:val="center"/>
          </w:tcPr>
          <w:p w14:paraId="04A89FC9"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7" w:type="pct"/>
            <w:shd w:val="clear" w:color="000000" w:fill="FFFFFF"/>
            <w:vAlign w:val="center"/>
          </w:tcPr>
          <w:p w14:paraId="540682EA"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80%</w:t>
            </w:r>
          </w:p>
        </w:tc>
        <w:tc>
          <w:tcPr>
            <w:tcW w:w="367" w:type="pct"/>
            <w:shd w:val="clear" w:color="000000" w:fill="FFFFFF"/>
            <w:vAlign w:val="center"/>
          </w:tcPr>
          <w:p w14:paraId="18D91AE2"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90%</w:t>
            </w:r>
          </w:p>
        </w:tc>
        <w:tc>
          <w:tcPr>
            <w:tcW w:w="364" w:type="pct"/>
            <w:shd w:val="clear" w:color="000000" w:fill="FFFFFF"/>
            <w:vAlign w:val="center"/>
          </w:tcPr>
          <w:p w14:paraId="5BE91BB4"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207C19" w:rsidRPr="00B0658A" w14:paraId="15C000C4" w14:textId="77777777" w:rsidTr="00FE71B1">
        <w:trPr>
          <w:trHeight w:val="20"/>
        </w:trPr>
        <w:tc>
          <w:tcPr>
            <w:tcW w:w="342" w:type="pct"/>
            <w:shd w:val="clear" w:color="000000" w:fill="FFFFFF"/>
            <w:vAlign w:val="center"/>
          </w:tcPr>
          <w:p w14:paraId="4B69D0DF" w14:textId="77777777" w:rsidR="00207C19" w:rsidRPr="00B0658A" w:rsidRDefault="00207C19" w:rsidP="00FE71B1">
            <w:pPr>
              <w:spacing w:after="0" w:line="240" w:lineRule="auto"/>
              <w:jc w:val="center"/>
              <w:rPr>
                <w:rFonts w:ascii="Times New Roman" w:hAnsi="Times New Roman"/>
                <w:sz w:val="18"/>
                <w:szCs w:val="18"/>
              </w:rPr>
            </w:pPr>
            <w:r w:rsidRPr="00B0658A">
              <w:rPr>
                <w:rFonts w:ascii="Times New Roman" w:hAnsi="Times New Roman"/>
                <w:sz w:val="18"/>
                <w:szCs w:val="18"/>
              </w:rPr>
              <w:t>7.7</w:t>
            </w:r>
          </w:p>
        </w:tc>
        <w:tc>
          <w:tcPr>
            <w:tcW w:w="1182" w:type="pct"/>
            <w:shd w:val="clear" w:color="auto" w:fill="auto"/>
            <w:vAlign w:val="center"/>
          </w:tcPr>
          <w:p w14:paraId="357ECEC8" w14:textId="77777777" w:rsidR="00207C19" w:rsidRPr="00B0658A" w:rsidRDefault="00207C19" w:rsidP="00E766E3">
            <w:pPr>
              <w:spacing w:after="0" w:line="240" w:lineRule="auto"/>
              <w:rPr>
                <w:rFonts w:ascii="Times New Roman" w:hAnsi="Times New Roman"/>
                <w:sz w:val="18"/>
                <w:szCs w:val="18"/>
              </w:rPr>
            </w:pPr>
            <w:r w:rsidRPr="00B0658A">
              <w:rPr>
                <w:rFonts w:ascii="Times New Roman" w:hAnsi="Times New Roman"/>
                <w:sz w:val="18"/>
                <w:szCs w:val="18"/>
              </w:rPr>
              <w:t>Лингвистическое программное обеспечение/ Средства проверки правописания</w:t>
            </w:r>
          </w:p>
        </w:tc>
        <w:tc>
          <w:tcPr>
            <w:tcW w:w="898" w:type="pct"/>
            <w:shd w:val="clear" w:color="000000" w:fill="FFFFFF"/>
          </w:tcPr>
          <w:p w14:paraId="5CCFAB57" w14:textId="77777777" w:rsidR="00207C19" w:rsidRPr="00B0658A" w:rsidRDefault="00207C19" w:rsidP="00E766E3">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7" w:type="pct"/>
            <w:shd w:val="clear" w:color="000000" w:fill="FFFFFF"/>
            <w:vAlign w:val="center"/>
          </w:tcPr>
          <w:p w14:paraId="25ED1CE5"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50%</w:t>
            </w:r>
          </w:p>
        </w:tc>
        <w:tc>
          <w:tcPr>
            <w:tcW w:w="367" w:type="pct"/>
            <w:shd w:val="clear" w:color="000000" w:fill="FFFFFF"/>
            <w:vAlign w:val="center"/>
          </w:tcPr>
          <w:p w14:paraId="147A5370"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60%</w:t>
            </w:r>
          </w:p>
        </w:tc>
        <w:tc>
          <w:tcPr>
            <w:tcW w:w="367" w:type="pct"/>
            <w:shd w:val="clear" w:color="000000" w:fill="FFFFFF"/>
            <w:vAlign w:val="center"/>
          </w:tcPr>
          <w:p w14:paraId="33DFA5C9"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70%</w:t>
            </w:r>
          </w:p>
        </w:tc>
        <w:tc>
          <w:tcPr>
            <w:tcW w:w="379" w:type="pct"/>
            <w:shd w:val="clear" w:color="000000" w:fill="FFFFFF"/>
            <w:vAlign w:val="center"/>
          </w:tcPr>
          <w:p w14:paraId="25E7EF68"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7" w:type="pct"/>
            <w:shd w:val="clear" w:color="000000" w:fill="FFFFFF"/>
            <w:vAlign w:val="center"/>
          </w:tcPr>
          <w:p w14:paraId="4DD82506"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80%</w:t>
            </w:r>
          </w:p>
        </w:tc>
        <w:tc>
          <w:tcPr>
            <w:tcW w:w="367" w:type="pct"/>
            <w:shd w:val="clear" w:color="000000" w:fill="FFFFFF"/>
            <w:vAlign w:val="center"/>
          </w:tcPr>
          <w:p w14:paraId="78113284"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90%</w:t>
            </w:r>
          </w:p>
        </w:tc>
        <w:tc>
          <w:tcPr>
            <w:tcW w:w="364" w:type="pct"/>
            <w:shd w:val="clear" w:color="000000" w:fill="FFFFFF"/>
            <w:vAlign w:val="center"/>
          </w:tcPr>
          <w:p w14:paraId="46CBDBE7"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207C19" w:rsidRPr="00B0658A" w14:paraId="42A54E60" w14:textId="77777777" w:rsidTr="00FE71B1">
        <w:trPr>
          <w:trHeight w:val="20"/>
        </w:trPr>
        <w:tc>
          <w:tcPr>
            <w:tcW w:w="342" w:type="pct"/>
            <w:shd w:val="clear" w:color="000000" w:fill="FFFFFF"/>
            <w:vAlign w:val="center"/>
          </w:tcPr>
          <w:p w14:paraId="01EA1C80" w14:textId="77777777" w:rsidR="00207C19" w:rsidRPr="00B0658A" w:rsidRDefault="00207C19" w:rsidP="00FE71B1">
            <w:pPr>
              <w:spacing w:after="0" w:line="240" w:lineRule="auto"/>
              <w:jc w:val="center"/>
              <w:rPr>
                <w:rFonts w:ascii="Times New Roman" w:hAnsi="Times New Roman"/>
                <w:sz w:val="18"/>
                <w:szCs w:val="18"/>
              </w:rPr>
            </w:pPr>
            <w:r w:rsidRPr="00B0658A">
              <w:rPr>
                <w:rFonts w:ascii="Times New Roman" w:hAnsi="Times New Roman"/>
                <w:sz w:val="18"/>
                <w:szCs w:val="18"/>
              </w:rPr>
              <w:t>8.1</w:t>
            </w:r>
          </w:p>
        </w:tc>
        <w:tc>
          <w:tcPr>
            <w:tcW w:w="1182" w:type="pct"/>
            <w:shd w:val="clear" w:color="auto" w:fill="auto"/>
            <w:vAlign w:val="center"/>
          </w:tcPr>
          <w:p w14:paraId="0D53FDF2" w14:textId="77777777" w:rsidR="00207C19" w:rsidRPr="00B0658A" w:rsidRDefault="00207C19" w:rsidP="00E766E3">
            <w:pPr>
              <w:spacing w:after="0" w:line="240" w:lineRule="auto"/>
              <w:rPr>
                <w:rFonts w:ascii="Times New Roman" w:hAnsi="Times New Roman"/>
                <w:sz w:val="18"/>
                <w:szCs w:val="18"/>
              </w:rPr>
            </w:pPr>
            <w:r w:rsidRPr="00B0658A">
              <w:rPr>
                <w:rFonts w:ascii="Times New Roman" w:hAnsi="Times New Roman"/>
                <w:sz w:val="18"/>
                <w:szCs w:val="18"/>
              </w:rPr>
              <w:t xml:space="preserve">Промышленное программное обеспечение/ Средства управления жизненным циклом изделия (PLM) </w:t>
            </w:r>
          </w:p>
        </w:tc>
        <w:tc>
          <w:tcPr>
            <w:tcW w:w="898" w:type="pct"/>
            <w:shd w:val="clear" w:color="000000" w:fill="FFFFFF"/>
          </w:tcPr>
          <w:p w14:paraId="6A41DD2B" w14:textId="77777777" w:rsidR="00207C19" w:rsidRPr="00B0658A" w:rsidRDefault="00207C19" w:rsidP="00E766E3">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7" w:type="pct"/>
            <w:shd w:val="clear" w:color="000000" w:fill="FFFFFF"/>
            <w:vAlign w:val="center"/>
          </w:tcPr>
          <w:p w14:paraId="7BCEAA8D"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20%</w:t>
            </w:r>
          </w:p>
        </w:tc>
        <w:tc>
          <w:tcPr>
            <w:tcW w:w="367" w:type="pct"/>
            <w:shd w:val="clear" w:color="000000" w:fill="FFFFFF"/>
            <w:vAlign w:val="center"/>
          </w:tcPr>
          <w:p w14:paraId="4271E260"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35%</w:t>
            </w:r>
          </w:p>
        </w:tc>
        <w:tc>
          <w:tcPr>
            <w:tcW w:w="367" w:type="pct"/>
            <w:shd w:val="clear" w:color="000000" w:fill="FFFFFF"/>
            <w:vAlign w:val="center"/>
          </w:tcPr>
          <w:p w14:paraId="26066028"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55%</w:t>
            </w:r>
          </w:p>
        </w:tc>
        <w:tc>
          <w:tcPr>
            <w:tcW w:w="379" w:type="pct"/>
            <w:shd w:val="clear" w:color="000000" w:fill="FFFFFF"/>
            <w:vAlign w:val="center"/>
          </w:tcPr>
          <w:p w14:paraId="5DA3ABDB"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7" w:type="pct"/>
            <w:shd w:val="clear" w:color="000000" w:fill="FFFFFF"/>
            <w:vAlign w:val="center"/>
          </w:tcPr>
          <w:p w14:paraId="6B04DBC7"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75%</w:t>
            </w:r>
          </w:p>
        </w:tc>
        <w:tc>
          <w:tcPr>
            <w:tcW w:w="367" w:type="pct"/>
            <w:shd w:val="clear" w:color="000000" w:fill="FFFFFF"/>
            <w:vAlign w:val="center"/>
          </w:tcPr>
          <w:p w14:paraId="34705EB9"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90%</w:t>
            </w:r>
          </w:p>
        </w:tc>
        <w:tc>
          <w:tcPr>
            <w:tcW w:w="364" w:type="pct"/>
            <w:shd w:val="clear" w:color="000000" w:fill="FFFFFF"/>
            <w:vAlign w:val="center"/>
          </w:tcPr>
          <w:p w14:paraId="55EEBBBE"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207C19" w:rsidRPr="00B0658A" w14:paraId="7F56BB46" w14:textId="77777777" w:rsidTr="00FE71B1">
        <w:trPr>
          <w:trHeight w:val="20"/>
        </w:trPr>
        <w:tc>
          <w:tcPr>
            <w:tcW w:w="342" w:type="pct"/>
            <w:shd w:val="clear" w:color="000000" w:fill="FFFFFF"/>
            <w:vAlign w:val="center"/>
          </w:tcPr>
          <w:p w14:paraId="5ABC975C" w14:textId="77777777" w:rsidR="00207C19" w:rsidRPr="00B0658A" w:rsidRDefault="00207C19" w:rsidP="00FE71B1">
            <w:pPr>
              <w:spacing w:after="0" w:line="240" w:lineRule="auto"/>
              <w:jc w:val="center"/>
              <w:rPr>
                <w:rFonts w:ascii="Times New Roman" w:hAnsi="Times New Roman"/>
                <w:sz w:val="18"/>
                <w:szCs w:val="18"/>
              </w:rPr>
            </w:pPr>
            <w:r w:rsidRPr="00B0658A">
              <w:rPr>
                <w:rFonts w:ascii="Times New Roman" w:hAnsi="Times New Roman"/>
                <w:sz w:val="18"/>
                <w:szCs w:val="18"/>
              </w:rPr>
              <w:t>8.2</w:t>
            </w:r>
          </w:p>
        </w:tc>
        <w:tc>
          <w:tcPr>
            <w:tcW w:w="1182" w:type="pct"/>
            <w:shd w:val="clear" w:color="auto" w:fill="auto"/>
            <w:vAlign w:val="center"/>
          </w:tcPr>
          <w:p w14:paraId="10078023" w14:textId="77777777" w:rsidR="00207C19" w:rsidRPr="00B0658A" w:rsidRDefault="00207C19" w:rsidP="00E766E3">
            <w:pPr>
              <w:spacing w:after="0" w:line="240" w:lineRule="auto"/>
              <w:rPr>
                <w:rFonts w:ascii="Times New Roman" w:hAnsi="Times New Roman"/>
                <w:sz w:val="18"/>
                <w:szCs w:val="18"/>
              </w:rPr>
            </w:pPr>
            <w:r w:rsidRPr="00B0658A">
              <w:rPr>
                <w:rFonts w:ascii="Times New Roman" w:hAnsi="Times New Roman"/>
                <w:sz w:val="18"/>
                <w:szCs w:val="18"/>
              </w:rPr>
              <w:t>Промышленное программное обеспечение/ Универсальные машиностроительные средства автоматизированного проектирования (MCAD)</w:t>
            </w:r>
          </w:p>
        </w:tc>
        <w:tc>
          <w:tcPr>
            <w:tcW w:w="898" w:type="pct"/>
            <w:shd w:val="clear" w:color="000000" w:fill="FFFFFF"/>
          </w:tcPr>
          <w:p w14:paraId="0ACB7EC8" w14:textId="77777777" w:rsidR="00207C19" w:rsidRPr="00B0658A" w:rsidRDefault="00207C19" w:rsidP="00E766E3">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7" w:type="pct"/>
            <w:shd w:val="clear" w:color="000000" w:fill="FFFFFF"/>
            <w:vAlign w:val="center"/>
          </w:tcPr>
          <w:p w14:paraId="3BCB7DBF"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30%</w:t>
            </w:r>
          </w:p>
        </w:tc>
        <w:tc>
          <w:tcPr>
            <w:tcW w:w="367" w:type="pct"/>
            <w:shd w:val="clear" w:color="000000" w:fill="FFFFFF"/>
            <w:vAlign w:val="center"/>
          </w:tcPr>
          <w:p w14:paraId="08A3DFFB"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40%</w:t>
            </w:r>
          </w:p>
        </w:tc>
        <w:tc>
          <w:tcPr>
            <w:tcW w:w="367" w:type="pct"/>
            <w:shd w:val="clear" w:color="000000" w:fill="FFFFFF"/>
            <w:vAlign w:val="center"/>
          </w:tcPr>
          <w:p w14:paraId="11D460A0"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55%</w:t>
            </w:r>
          </w:p>
        </w:tc>
        <w:tc>
          <w:tcPr>
            <w:tcW w:w="379" w:type="pct"/>
            <w:shd w:val="clear" w:color="000000" w:fill="FFFFFF"/>
            <w:vAlign w:val="center"/>
          </w:tcPr>
          <w:p w14:paraId="1B8B95B2"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7" w:type="pct"/>
            <w:shd w:val="clear" w:color="000000" w:fill="FFFFFF"/>
            <w:vAlign w:val="center"/>
          </w:tcPr>
          <w:p w14:paraId="54FA90A6"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70%</w:t>
            </w:r>
          </w:p>
        </w:tc>
        <w:tc>
          <w:tcPr>
            <w:tcW w:w="367" w:type="pct"/>
            <w:shd w:val="clear" w:color="000000" w:fill="FFFFFF"/>
            <w:vAlign w:val="center"/>
          </w:tcPr>
          <w:p w14:paraId="2B8C18FB"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85%</w:t>
            </w:r>
          </w:p>
        </w:tc>
        <w:tc>
          <w:tcPr>
            <w:tcW w:w="364" w:type="pct"/>
            <w:shd w:val="clear" w:color="000000" w:fill="FFFFFF"/>
            <w:vAlign w:val="center"/>
          </w:tcPr>
          <w:p w14:paraId="38A72582"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207C19" w:rsidRPr="00B0658A" w14:paraId="0A649BAA" w14:textId="77777777" w:rsidTr="00FE71B1">
        <w:trPr>
          <w:trHeight w:val="20"/>
        </w:trPr>
        <w:tc>
          <w:tcPr>
            <w:tcW w:w="342" w:type="pct"/>
            <w:shd w:val="clear" w:color="000000" w:fill="FFFFFF"/>
            <w:vAlign w:val="center"/>
          </w:tcPr>
          <w:p w14:paraId="3D5B5E79" w14:textId="77777777" w:rsidR="00207C19" w:rsidRPr="00B0658A" w:rsidRDefault="00207C19" w:rsidP="00FE71B1">
            <w:pPr>
              <w:spacing w:after="0" w:line="240" w:lineRule="auto"/>
              <w:jc w:val="center"/>
              <w:rPr>
                <w:rFonts w:ascii="Times New Roman" w:hAnsi="Times New Roman"/>
                <w:sz w:val="18"/>
                <w:szCs w:val="18"/>
              </w:rPr>
            </w:pPr>
            <w:r w:rsidRPr="00B0658A">
              <w:rPr>
                <w:rFonts w:ascii="Times New Roman" w:hAnsi="Times New Roman"/>
                <w:sz w:val="18"/>
                <w:szCs w:val="18"/>
              </w:rPr>
              <w:t>8.3</w:t>
            </w:r>
          </w:p>
        </w:tc>
        <w:tc>
          <w:tcPr>
            <w:tcW w:w="1182" w:type="pct"/>
            <w:shd w:val="clear" w:color="auto" w:fill="auto"/>
            <w:vAlign w:val="center"/>
          </w:tcPr>
          <w:p w14:paraId="75440D1D" w14:textId="77777777" w:rsidR="00207C19" w:rsidRPr="00B0658A" w:rsidRDefault="00207C19" w:rsidP="00E766E3">
            <w:pPr>
              <w:spacing w:after="0" w:line="240" w:lineRule="auto"/>
              <w:rPr>
                <w:rFonts w:ascii="Times New Roman" w:hAnsi="Times New Roman"/>
                <w:sz w:val="18"/>
                <w:szCs w:val="18"/>
              </w:rPr>
            </w:pPr>
            <w:r w:rsidRPr="00B0658A">
              <w:rPr>
                <w:rFonts w:ascii="Times New Roman" w:hAnsi="Times New Roman"/>
                <w:sz w:val="18"/>
                <w:szCs w:val="18"/>
              </w:rPr>
              <w:t>Промышленное программное обеспечение/ Средства автоматизированного проектирования (CAD)</w:t>
            </w:r>
          </w:p>
        </w:tc>
        <w:tc>
          <w:tcPr>
            <w:tcW w:w="898" w:type="pct"/>
            <w:shd w:val="clear" w:color="000000" w:fill="FFFFFF"/>
          </w:tcPr>
          <w:p w14:paraId="4EB80479" w14:textId="77777777" w:rsidR="00207C19" w:rsidRPr="00B0658A" w:rsidRDefault="00207C19" w:rsidP="00E766E3">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7" w:type="pct"/>
            <w:shd w:val="clear" w:color="000000" w:fill="FFFFFF"/>
            <w:vAlign w:val="center"/>
          </w:tcPr>
          <w:p w14:paraId="04908860"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30%</w:t>
            </w:r>
          </w:p>
        </w:tc>
        <w:tc>
          <w:tcPr>
            <w:tcW w:w="367" w:type="pct"/>
            <w:shd w:val="clear" w:color="000000" w:fill="FFFFFF"/>
            <w:vAlign w:val="center"/>
          </w:tcPr>
          <w:p w14:paraId="37CC8C5D"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40%</w:t>
            </w:r>
          </w:p>
        </w:tc>
        <w:tc>
          <w:tcPr>
            <w:tcW w:w="367" w:type="pct"/>
            <w:shd w:val="clear" w:color="000000" w:fill="FFFFFF"/>
            <w:vAlign w:val="center"/>
          </w:tcPr>
          <w:p w14:paraId="3D319C2F"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55%</w:t>
            </w:r>
          </w:p>
        </w:tc>
        <w:tc>
          <w:tcPr>
            <w:tcW w:w="379" w:type="pct"/>
            <w:shd w:val="clear" w:color="000000" w:fill="FFFFFF"/>
            <w:vAlign w:val="center"/>
          </w:tcPr>
          <w:p w14:paraId="33418D18"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7" w:type="pct"/>
            <w:shd w:val="clear" w:color="000000" w:fill="FFFFFF"/>
            <w:vAlign w:val="center"/>
          </w:tcPr>
          <w:p w14:paraId="74CE9946"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70%</w:t>
            </w:r>
          </w:p>
        </w:tc>
        <w:tc>
          <w:tcPr>
            <w:tcW w:w="367" w:type="pct"/>
            <w:shd w:val="clear" w:color="000000" w:fill="FFFFFF"/>
            <w:vAlign w:val="center"/>
          </w:tcPr>
          <w:p w14:paraId="34DAFE2D"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85%</w:t>
            </w:r>
          </w:p>
        </w:tc>
        <w:tc>
          <w:tcPr>
            <w:tcW w:w="364" w:type="pct"/>
            <w:shd w:val="clear" w:color="000000" w:fill="FFFFFF"/>
            <w:vAlign w:val="center"/>
          </w:tcPr>
          <w:p w14:paraId="5055E5FB"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207C19" w:rsidRPr="00B0658A" w14:paraId="0B5C84DF" w14:textId="77777777" w:rsidTr="00FE71B1">
        <w:trPr>
          <w:trHeight w:val="20"/>
        </w:trPr>
        <w:tc>
          <w:tcPr>
            <w:tcW w:w="342" w:type="pct"/>
            <w:shd w:val="clear" w:color="000000" w:fill="FFFFFF"/>
            <w:vAlign w:val="center"/>
          </w:tcPr>
          <w:p w14:paraId="50B47531" w14:textId="77777777" w:rsidR="00207C19" w:rsidRPr="00B0658A" w:rsidRDefault="00207C19" w:rsidP="00FE71B1">
            <w:pPr>
              <w:spacing w:after="0" w:line="240" w:lineRule="auto"/>
              <w:jc w:val="center"/>
              <w:rPr>
                <w:rFonts w:ascii="Times New Roman" w:hAnsi="Times New Roman"/>
                <w:sz w:val="18"/>
                <w:szCs w:val="18"/>
              </w:rPr>
            </w:pPr>
            <w:r w:rsidRPr="00B0658A">
              <w:rPr>
                <w:rFonts w:ascii="Times New Roman" w:hAnsi="Times New Roman"/>
                <w:sz w:val="18"/>
                <w:szCs w:val="18"/>
              </w:rPr>
              <w:t>8.4</w:t>
            </w:r>
          </w:p>
        </w:tc>
        <w:tc>
          <w:tcPr>
            <w:tcW w:w="1182" w:type="pct"/>
            <w:shd w:val="clear" w:color="auto" w:fill="auto"/>
            <w:vAlign w:val="center"/>
          </w:tcPr>
          <w:p w14:paraId="3600A7A0" w14:textId="77777777" w:rsidR="00207C19" w:rsidRPr="00B0658A" w:rsidRDefault="00207C19" w:rsidP="00E766E3">
            <w:pPr>
              <w:spacing w:after="0" w:line="240" w:lineRule="auto"/>
              <w:rPr>
                <w:rFonts w:ascii="Times New Roman" w:hAnsi="Times New Roman"/>
                <w:sz w:val="18"/>
                <w:szCs w:val="18"/>
              </w:rPr>
            </w:pPr>
            <w:r w:rsidRPr="00B0658A">
              <w:rPr>
                <w:rFonts w:ascii="Times New Roman" w:hAnsi="Times New Roman"/>
                <w:sz w:val="18"/>
                <w:szCs w:val="18"/>
              </w:rPr>
              <w:t xml:space="preserve">Промышленное программное обеспечение/ Средства автоматизированного проектирования для радиоэлектроники </w:t>
            </w:r>
            <w:r w:rsidRPr="00B0658A">
              <w:rPr>
                <w:rFonts w:ascii="Times New Roman" w:hAnsi="Times New Roman"/>
                <w:sz w:val="18"/>
                <w:szCs w:val="18"/>
              </w:rPr>
              <w:br/>
              <w:t>и электротехники (ECAD, EDA)</w:t>
            </w:r>
          </w:p>
        </w:tc>
        <w:tc>
          <w:tcPr>
            <w:tcW w:w="898" w:type="pct"/>
            <w:shd w:val="clear" w:color="000000" w:fill="FFFFFF"/>
          </w:tcPr>
          <w:p w14:paraId="522B8243" w14:textId="77777777" w:rsidR="00207C19" w:rsidRPr="00B0658A" w:rsidRDefault="00207C19" w:rsidP="00E766E3">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7" w:type="pct"/>
            <w:shd w:val="clear" w:color="000000" w:fill="FFFFFF"/>
            <w:vAlign w:val="center"/>
          </w:tcPr>
          <w:p w14:paraId="6A3115B6"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30%</w:t>
            </w:r>
          </w:p>
        </w:tc>
        <w:tc>
          <w:tcPr>
            <w:tcW w:w="367" w:type="pct"/>
            <w:shd w:val="clear" w:color="000000" w:fill="FFFFFF"/>
            <w:vAlign w:val="center"/>
          </w:tcPr>
          <w:p w14:paraId="781ACAFE"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40%</w:t>
            </w:r>
          </w:p>
        </w:tc>
        <w:tc>
          <w:tcPr>
            <w:tcW w:w="367" w:type="pct"/>
            <w:shd w:val="clear" w:color="000000" w:fill="FFFFFF"/>
            <w:vAlign w:val="center"/>
          </w:tcPr>
          <w:p w14:paraId="36EA7759"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55%</w:t>
            </w:r>
          </w:p>
        </w:tc>
        <w:tc>
          <w:tcPr>
            <w:tcW w:w="379" w:type="pct"/>
            <w:shd w:val="clear" w:color="000000" w:fill="FFFFFF"/>
            <w:vAlign w:val="center"/>
          </w:tcPr>
          <w:p w14:paraId="5BF15B96"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7" w:type="pct"/>
            <w:shd w:val="clear" w:color="000000" w:fill="FFFFFF"/>
            <w:vAlign w:val="center"/>
          </w:tcPr>
          <w:p w14:paraId="5553638E"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70%</w:t>
            </w:r>
          </w:p>
        </w:tc>
        <w:tc>
          <w:tcPr>
            <w:tcW w:w="367" w:type="pct"/>
            <w:shd w:val="clear" w:color="000000" w:fill="FFFFFF"/>
            <w:vAlign w:val="center"/>
          </w:tcPr>
          <w:p w14:paraId="7B1F2529"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85%</w:t>
            </w:r>
          </w:p>
        </w:tc>
        <w:tc>
          <w:tcPr>
            <w:tcW w:w="364" w:type="pct"/>
            <w:shd w:val="clear" w:color="000000" w:fill="FFFFFF"/>
            <w:vAlign w:val="center"/>
          </w:tcPr>
          <w:p w14:paraId="74E18948"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207C19" w:rsidRPr="00B0658A" w14:paraId="21AE7AE2" w14:textId="77777777" w:rsidTr="00FE71B1">
        <w:trPr>
          <w:trHeight w:val="20"/>
        </w:trPr>
        <w:tc>
          <w:tcPr>
            <w:tcW w:w="342" w:type="pct"/>
            <w:shd w:val="clear" w:color="000000" w:fill="FFFFFF"/>
            <w:vAlign w:val="center"/>
          </w:tcPr>
          <w:p w14:paraId="77622045" w14:textId="77777777" w:rsidR="00207C19" w:rsidRPr="00B0658A" w:rsidRDefault="00207C19" w:rsidP="00FE71B1">
            <w:pPr>
              <w:spacing w:after="0" w:line="240" w:lineRule="auto"/>
              <w:jc w:val="center"/>
              <w:rPr>
                <w:rFonts w:ascii="Times New Roman" w:hAnsi="Times New Roman"/>
                <w:sz w:val="18"/>
                <w:szCs w:val="18"/>
              </w:rPr>
            </w:pPr>
            <w:r w:rsidRPr="00B0658A">
              <w:rPr>
                <w:rFonts w:ascii="Times New Roman" w:hAnsi="Times New Roman"/>
                <w:sz w:val="18"/>
                <w:szCs w:val="18"/>
              </w:rPr>
              <w:t>8.5</w:t>
            </w:r>
          </w:p>
        </w:tc>
        <w:tc>
          <w:tcPr>
            <w:tcW w:w="1182" w:type="pct"/>
            <w:shd w:val="clear" w:color="auto" w:fill="auto"/>
            <w:vAlign w:val="center"/>
          </w:tcPr>
          <w:p w14:paraId="0A7CFF4A" w14:textId="77777777" w:rsidR="00207C19" w:rsidRPr="00B0658A" w:rsidRDefault="00207C19" w:rsidP="00E766E3">
            <w:pPr>
              <w:spacing w:after="0" w:line="240" w:lineRule="auto"/>
              <w:rPr>
                <w:rFonts w:ascii="Times New Roman" w:hAnsi="Times New Roman"/>
                <w:sz w:val="18"/>
                <w:szCs w:val="18"/>
              </w:rPr>
            </w:pPr>
            <w:r w:rsidRPr="00B0658A">
              <w:rPr>
                <w:rFonts w:ascii="Times New Roman" w:hAnsi="Times New Roman"/>
                <w:sz w:val="18"/>
                <w:szCs w:val="18"/>
              </w:rPr>
              <w:t>Промышленное программное обеспечение/ Средства инженерного анализа (CAE)</w:t>
            </w:r>
          </w:p>
        </w:tc>
        <w:tc>
          <w:tcPr>
            <w:tcW w:w="898" w:type="pct"/>
            <w:shd w:val="clear" w:color="000000" w:fill="FFFFFF"/>
          </w:tcPr>
          <w:p w14:paraId="785A760C" w14:textId="77777777" w:rsidR="00207C19" w:rsidRPr="00B0658A" w:rsidRDefault="00207C19" w:rsidP="00E766E3">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7" w:type="pct"/>
            <w:shd w:val="clear" w:color="000000" w:fill="FFFFFF"/>
            <w:vAlign w:val="center"/>
          </w:tcPr>
          <w:p w14:paraId="416FA518"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30%</w:t>
            </w:r>
          </w:p>
        </w:tc>
        <w:tc>
          <w:tcPr>
            <w:tcW w:w="367" w:type="pct"/>
            <w:shd w:val="clear" w:color="000000" w:fill="FFFFFF"/>
            <w:vAlign w:val="center"/>
          </w:tcPr>
          <w:p w14:paraId="731D5192"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40%</w:t>
            </w:r>
          </w:p>
        </w:tc>
        <w:tc>
          <w:tcPr>
            <w:tcW w:w="367" w:type="pct"/>
            <w:shd w:val="clear" w:color="000000" w:fill="FFFFFF"/>
            <w:vAlign w:val="center"/>
          </w:tcPr>
          <w:p w14:paraId="46CF55A9"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55%</w:t>
            </w:r>
          </w:p>
        </w:tc>
        <w:tc>
          <w:tcPr>
            <w:tcW w:w="379" w:type="pct"/>
            <w:shd w:val="clear" w:color="000000" w:fill="FFFFFF"/>
            <w:vAlign w:val="center"/>
          </w:tcPr>
          <w:p w14:paraId="1B16058B"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7" w:type="pct"/>
            <w:shd w:val="clear" w:color="000000" w:fill="FFFFFF"/>
            <w:vAlign w:val="center"/>
          </w:tcPr>
          <w:p w14:paraId="36DF7479"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70%</w:t>
            </w:r>
          </w:p>
        </w:tc>
        <w:tc>
          <w:tcPr>
            <w:tcW w:w="367" w:type="pct"/>
            <w:shd w:val="clear" w:color="000000" w:fill="FFFFFF"/>
            <w:vAlign w:val="center"/>
          </w:tcPr>
          <w:p w14:paraId="35840AAB"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85%</w:t>
            </w:r>
          </w:p>
        </w:tc>
        <w:tc>
          <w:tcPr>
            <w:tcW w:w="364" w:type="pct"/>
            <w:shd w:val="clear" w:color="000000" w:fill="FFFFFF"/>
            <w:vAlign w:val="center"/>
          </w:tcPr>
          <w:p w14:paraId="259A0B41"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207C19" w:rsidRPr="00B0658A" w14:paraId="3FA1095D" w14:textId="77777777" w:rsidTr="00FE71B1">
        <w:trPr>
          <w:trHeight w:val="20"/>
        </w:trPr>
        <w:tc>
          <w:tcPr>
            <w:tcW w:w="342" w:type="pct"/>
            <w:shd w:val="clear" w:color="000000" w:fill="FFFFFF"/>
            <w:vAlign w:val="center"/>
          </w:tcPr>
          <w:p w14:paraId="3DACE168" w14:textId="77777777" w:rsidR="00207C19" w:rsidRPr="00B0658A" w:rsidRDefault="00207C19" w:rsidP="00FE71B1">
            <w:pPr>
              <w:spacing w:after="0" w:line="240" w:lineRule="auto"/>
              <w:jc w:val="center"/>
              <w:rPr>
                <w:rFonts w:ascii="Times New Roman" w:hAnsi="Times New Roman"/>
                <w:sz w:val="18"/>
                <w:szCs w:val="18"/>
              </w:rPr>
            </w:pPr>
            <w:r w:rsidRPr="00B0658A">
              <w:rPr>
                <w:rFonts w:ascii="Times New Roman" w:hAnsi="Times New Roman"/>
                <w:sz w:val="18"/>
                <w:szCs w:val="18"/>
              </w:rPr>
              <w:t>8.6</w:t>
            </w:r>
          </w:p>
        </w:tc>
        <w:tc>
          <w:tcPr>
            <w:tcW w:w="1182" w:type="pct"/>
            <w:shd w:val="clear" w:color="auto" w:fill="auto"/>
            <w:vAlign w:val="center"/>
          </w:tcPr>
          <w:p w14:paraId="2C501A30" w14:textId="77777777" w:rsidR="00207C19" w:rsidRPr="00B0658A" w:rsidRDefault="00207C19" w:rsidP="00E766E3">
            <w:pPr>
              <w:spacing w:after="0" w:line="240" w:lineRule="auto"/>
              <w:rPr>
                <w:rFonts w:ascii="Times New Roman" w:hAnsi="Times New Roman"/>
                <w:sz w:val="18"/>
                <w:szCs w:val="18"/>
              </w:rPr>
            </w:pPr>
            <w:r w:rsidRPr="00B0658A">
              <w:rPr>
                <w:rFonts w:ascii="Times New Roman" w:hAnsi="Times New Roman"/>
                <w:sz w:val="18"/>
                <w:szCs w:val="18"/>
              </w:rPr>
              <w:t>Промышленное программное обеспечение/ Средства управления оборудованием с числовым программным управлением (CAM)</w:t>
            </w:r>
          </w:p>
        </w:tc>
        <w:tc>
          <w:tcPr>
            <w:tcW w:w="898" w:type="pct"/>
            <w:shd w:val="clear" w:color="000000" w:fill="FFFFFF"/>
          </w:tcPr>
          <w:p w14:paraId="18098140" w14:textId="77777777" w:rsidR="00207C19" w:rsidRPr="00B0658A" w:rsidRDefault="00207C19" w:rsidP="00E766E3">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7" w:type="pct"/>
            <w:shd w:val="clear" w:color="000000" w:fill="FFFFFF"/>
            <w:vAlign w:val="center"/>
          </w:tcPr>
          <w:p w14:paraId="3FB0379C"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30%</w:t>
            </w:r>
          </w:p>
        </w:tc>
        <w:tc>
          <w:tcPr>
            <w:tcW w:w="367" w:type="pct"/>
            <w:shd w:val="clear" w:color="000000" w:fill="FFFFFF"/>
            <w:vAlign w:val="center"/>
          </w:tcPr>
          <w:p w14:paraId="665240D3"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40%</w:t>
            </w:r>
          </w:p>
        </w:tc>
        <w:tc>
          <w:tcPr>
            <w:tcW w:w="367" w:type="pct"/>
            <w:shd w:val="clear" w:color="000000" w:fill="FFFFFF"/>
            <w:vAlign w:val="center"/>
          </w:tcPr>
          <w:p w14:paraId="7C8DC0BB"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55%</w:t>
            </w:r>
          </w:p>
        </w:tc>
        <w:tc>
          <w:tcPr>
            <w:tcW w:w="379" w:type="pct"/>
            <w:shd w:val="clear" w:color="000000" w:fill="FFFFFF"/>
            <w:vAlign w:val="center"/>
          </w:tcPr>
          <w:p w14:paraId="6527BD38"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7" w:type="pct"/>
            <w:shd w:val="clear" w:color="000000" w:fill="FFFFFF"/>
            <w:vAlign w:val="center"/>
          </w:tcPr>
          <w:p w14:paraId="4092EDC7"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70%</w:t>
            </w:r>
          </w:p>
        </w:tc>
        <w:tc>
          <w:tcPr>
            <w:tcW w:w="367" w:type="pct"/>
            <w:shd w:val="clear" w:color="000000" w:fill="FFFFFF"/>
            <w:vAlign w:val="center"/>
          </w:tcPr>
          <w:p w14:paraId="5FB8BC5D"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85%</w:t>
            </w:r>
          </w:p>
        </w:tc>
        <w:tc>
          <w:tcPr>
            <w:tcW w:w="364" w:type="pct"/>
            <w:shd w:val="clear" w:color="000000" w:fill="FFFFFF"/>
            <w:vAlign w:val="center"/>
          </w:tcPr>
          <w:p w14:paraId="4D1F2A27"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207C19" w:rsidRPr="00B0658A" w14:paraId="41AB794C" w14:textId="77777777" w:rsidTr="00FE71B1">
        <w:trPr>
          <w:trHeight w:val="20"/>
        </w:trPr>
        <w:tc>
          <w:tcPr>
            <w:tcW w:w="342" w:type="pct"/>
            <w:shd w:val="clear" w:color="000000" w:fill="FFFFFF"/>
            <w:vAlign w:val="center"/>
          </w:tcPr>
          <w:p w14:paraId="1FF0FD8B" w14:textId="77777777" w:rsidR="00207C19" w:rsidRPr="00B0658A" w:rsidRDefault="00207C19" w:rsidP="00FE71B1">
            <w:pPr>
              <w:spacing w:after="0" w:line="240" w:lineRule="auto"/>
              <w:jc w:val="center"/>
              <w:rPr>
                <w:rFonts w:ascii="Times New Roman" w:hAnsi="Times New Roman"/>
                <w:sz w:val="18"/>
                <w:szCs w:val="18"/>
              </w:rPr>
            </w:pPr>
            <w:r w:rsidRPr="00B0658A">
              <w:rPr>
                <w:rFonts w:ascii="Times New Roman" w:hAnsi="Times New Roman"/>
                <w:sz w:val="18"/>
                <w:szCs w:val="18"/>
              </w:rPr>
              <w:t>8.7</w:t>
            </w:r>
          </w:p>
        </w:tc>
        <w:tc>
          <w:tcPr>
            <w:tcW w:w="1182" w:type="pct"/>
            <w:shd w:val="clear" w:color="auto" w:fill="auto"/>
            <w:vAlign w:val="center"/>
          </w:tcPr>
          <w:p w14:paraId="7B3B7F48" w14:textId="77777777" w:rsidR="00207C19" w:rsidRPr="00B0658A" w:rsidRDefault="00207C19" w:rsidP="00E766E3">
            <w:pPr>
              <w:spacing w:after="0" w:line="240" w:lineRule="auto"/>
              <w:rPr>
                <w:rFonts w:ascii="Times New Roman" w:hAnsi="Times New Roman"/>
                <w:sz w:val="18"/>
                <w:szCs w:val="18"/>
              </w:rPr>
            </w:pPr>
            <w:r w:rsidRPr="00B0658A">
              <w:rPr>
                <w:rFonts w:ascii="Times New Roman" w:hAnsi="Times New Roman"/>
                <w:sz w:val="18"/>
                <w:szCs w:val="18"/>
              </w:rPr>
              <w:t>Промышленное программное обеспечение/ Средства технологической подготовки производства (CAPP)</w:t>
            </w:r>
          </w:p>
        </w:tc>
        <w:tc>
          <w:tcPr>
            <w:tcW w:w="898" w:type="pct"/>
            <w:shd w:val="clear" w:color="000000" w:fill="FFFFFF"/>
          </w:tcPr>
          <w:p w14:paraId="348ED96E" w14:textId="77777777" w:rsidR="00207C19" w:rsidRPr="00B0658A" w:rsidRDefault="00207C19" w:rsidP="00E766E3">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7" w:type="pct"/>
            <w:shd w:val="clear" w:color="000000" w:fill="FFFFFF"/>
            <w:vAlign w:val="center"/>
          </w:tcPr>
          <w:p w14:paraId="67381691"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30%</w:t>
            </w:r>
          </w:p>
        </w:tc>
        <w:tc>
          <w:tcPr>
            <w:tcW w:w="367" w:type="pct"/>
            <w:shd w:val="clear" w:color="000000" w:fill="FFFFFF"/>
            <w:vAlign w:val="center"/>
          </w:tcPr>
          <w:p w14:paraId="6DC6AF0F"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40%</w:t>
            </w:r>
          </w:p>
        </w:tc>
        <w:tc>
          <w:tcPr>
            <w:tcW w:w="367" w:type="pct"/>
            <w:shd w:val="clear" w:color="000000" w:fill="FFFFFF"/>
            <w:vAlign w:val="center"/>
          </w:tcPr>
          <w:p w14:paraId="7A36D259"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55%</w:t>
            </w:r>
          </w:p>
        </w:tc>
        <w:tc>
          <w:tcPr>
            <w:tcW w:w="379" w:type="pct"/>
            <w:shd w:val="clear" w:color="000000" w:fill="FFFFFF"/>
            <w:vAlign w:val="center"/>
          </w:tcPr>
          <w:p w14:paraId="2430A2EF"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7" w:type="pct"/>
            <w:shd w:val="clear" w:color="000000" w:fill="FFFFFF"/>
            <w:vAlign w:val="center"/>
          </w:tcPr>
          <w:p w14:paraId="78E77560"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70%</w:t>
            </w:r>
          </w:p>
        </w:tc>
        <w:tc>
          <w:tcPr>
            <w:tcW w:w="367" w:type="pct"/>
            <w:shd w:val="clear" w:color="000000" w:fill="FFFFFF"/>
            <w:vAlign w:val="center"/>
          </w:tcPr>
          <w:p w14:paraId="628ED9CF"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85%</w:t>
            </w:r>
          </w:p>
        </w:tc>
        <w:tc>
          <w:tcPr>
            <w:tcW w:w="364" w:type="pct"/>
            <w:shd w:val="clear" w:color="000000" w:fill="FFFFFF"/>
            <w:vAlign w:val="center"/>
          </w:tcPr>
          <w:p w14:paraId="1D46D6CF"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207C19" w:rsidRPr="00B0658A" w14:paraId="6A632C68" w14:textId="77777777" w:rsidTr="00FE71B1">
        <w:trPr>
          <w:trHeight w:val="20"/>
        </w:trPr>
        <w:tc>
          <w:tcPr>
            <w:tcW w:w="342" w:type="pct"/>
            <w:shd w:val="clear" w:color="000000" w:fill="FFFFFF"/>
            <w:vAlign w:val="center"/>
          </w:tcPr>
          <w:p w14:paraId="6A5937FE" w14:textId="77777777" w:rsidR="00207C19" w:rsidRPr="00B0658A" w:rsidRDefault="00207C19" w:rsidP="00FE71B1">
            <w:pPr>
              <w:spacing w:after="0" w:line="240" w:lineRule="auto"/>
              <w:jc w:val="center"/>
              <w:rPr>
                <w:rFonts w:ascii="Times New Roman" w:hAnsi="Times New Roman"/>
                <w:sz w:val="18"/>
                <w:szCs w:val="18"/>
              </w:rPr>
            </w:pPr>
            <w:r w:rsidRPr="00B0658A">
              <w:rPr>
                <w:rFonts w:ascii="Times New Roman" w:hAnsi="Times New Roman"/>
                <w:sz w:val="18"/>
                <w:szCs w:val="18"/>
              </w:rPr>
              <w:t>8.8</w:t>
            </w:r>
          </w:p>
        </w:tc>
        <w:tc>
          <w:tcPr>
            <w:tcW w:w="1182" w:type="pct"/>
            <w:shd w:val="clear" w:color="auto" w:fill="auto"/>
            <w:vAlign w:val="center"/>
          </w:tcPr>
          <w:p w14:paraId="7BC5EDE0" w14:textId="77777777" w:rsidR="00207C19" w:rsidRPr="00B0658A" w:rsidRDefault="00207C19" w:rsidP="00E766E3">
            <w:pPr>
              <w:spacing w:after="0" w:line="240" w:lineRule="auto"/>
              <w:rPr>
                <w:rFonts w:ascii="Times New Roman" w:hAnsi="Times New Roman"/>
                <w:sz w:val="18"/>
                <w:szCs w:val="18"/>
              </w:rPr>
            </w:pPr>
            <w:r w:rsidRPr="00B0658A">
              <w:rPr>
                <w:rFonts w:ascii="Times New Roman" w:hAnsi="Times New Roman"/>
                <w:sz w:val="18"/>
                <w:szCs w:val="18"/>
              </w:rPr>
              <w:t xml:space="preserve">Промышленное программное обеспечение/ Средства управления инженерными данными </w:t>
            </w:r>
            <w:r w:rsidRPr="00B0658A">
              <w:rPr>
                <w:rFonts w:ascii="Times New Roman" w:hAnsi="Times New Roman"/>
                <w:sz w:val="18"/>
                <w:szCs w:val="18"/>
              </w:rPr>
              <w:br/>
              <w:t>об изделии (PDM)</w:t>
            </w:r>
          </w:p>
        </w:tc>
        <w:tc>
          <w:tcPr>
            <w:tcW w:w="898" w:type="pct"/>
            <w:shd w:val="clear" w:color="000000" w:fill="FFFFFF"/>
          </w:tcPr>
          <w:p w14:paraId="7343AC13" w14:textId="77777777" w:rsidR="00207C19" w:rsidRPr="00B0658A" w:rsidRDefault="00207C19" w:rsidP="00E766E3">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7" w:type="pct"/>
            <w:shd w:val="clear" w:color="000000" w:fill="FFFFFF"/>
            <w:vAlign w:val="center"/>
          </w:tcPr>
          <w:p w14:paraId="062D3EEE"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30%</w:t>
            </w:r>
          </w:p>
        </w:tc>
        <w:tc>
          <w:tcPr>
            <w:tcW w:w="367" w:type="pct"/>
            <w:shd w:val="clear" w:color="000000" w:fill="FFFFFF"/>
            <w:vAlign w:val="center"/>
          </w:tcPr>
          <w:p w14:paraId="10D3E4D7"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40%</w:t>
            </w:r>
          </w:p>
        </w:tc>
        <w:tc>
          <w:tcPr>
            <w:tcW w:w="367" w:type="pct"/>
            <w:shd w:val="clear" w:color="000000" w:fill="FFFFFF"/>
            <w:vAlign w:val="center"/>
          </w:tcPr>
          <w:p w14:paraId="2BFEBE4F"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55%</w:t>
            </w:r>
          </w:p>
        </w:tc>
        <w:tc>
          <w:tcPr>
            <w:tcW w:w="379" w:type="pct"/>
            <w:shd w:val="clear" w:color="000000" w:fill="FFFFFF"/>
            <w:vAlign w:val="center"/>
          </w:tcPr>
          <w:p w14:paraId="66D7AAFF"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7" w:type="pct"/>
            <w:shd w:val="clear" w:color="000000" w:fill="FFFFFF"/>
            <w:vAlign w:val="center"/>
          </w:tcPr>
          <w:p w14:paraId="7AC7F1B8"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70%</w:t>
            </w:r>
          </w:p>
        </w:tc>
        <w:tc>
          <w:tcPr>
            <w:tcW w:w="367" w:type="pct"/>
            <w:shd w:val="clear" w:color="000000" w:fill="FFFFFF"/>
            <w:vAlign w:val="center"/>
          </w:tcPr>
          <w:p w14:paraId="63910E10"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85%</w:t>
            </w:r>
          </w:p>
        </w:tc>
        <w:tc>
          <w:tcPr>
            <w:tcW w:w="364" w:type="pct"/>
            <w:shd w:val="clear" w:color="000000" w:fill="FFFFFF"/>
            <w:vAlign w:val="center"/>
          </w:tcPr>
          <w:p w14:paraId="4ED55D25"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207C19" w:rsidRPr="00B0658A" w14:paraId="55CB0AB2" w14:textId="77777777" w:rsidTr="00FE71B1">
        <w:trPr>
          <w:trHeight w:val="20"/>
        </w:trPr>
        <w:tc>
          <w:tcPr>
            <w:tcW w:w="342" w:type="pct"/>
            <w:shd w:val="clear" w:color="000000" w:fill="FFFFFF"/>
            <w:vAlign w:val="center"/>
          </w:tcPr>
          <w:p w14:paraId="79AB750F" w14:textId="77777777" w:rsidR="00207C19" w:rsidRPr="00B0658A" w:rsidRDefault="00207C19" w:rsidP="00FE71B1">
            <w:pPr>
              <w:spacing w:after="0" w:line="240" w:lineRule="auto"/>
              <w:jc w:val="center"/>
              <w:rPr>
                <w:rFonts w:ascii="Times New Roman" w:hAnsi="Times New Roman"/>
                <w:sz w:val="18"/>
                <w:szCs w:val="18"/>
              </w:rPr>
            </w:pPr>
            <w:r w:rsidRPr="00B0658A">
              <w:rPr>
                <w:rFonts w:ascii="Times New Roman" w:hAnsi="Times New Roman"/>
                <w:sz w:val="18"/>
                <w:szCs w:val="18"/>
              </w:rPr>
              <w:t>8.9</w:t>
            </w:r>
          </w:p>
        </w:tc>
        <w:tc>
          <w:tcPr>
            <w:tcW w:w="1182" w:type="pct"/>
            <w:shd w:val="clear" w:color="auto" w:fill="auto"/>
            <w:vAlign w:val="center"/>
          </w:tcPr>
          <w:p w14:paraId="41B6B424" w14:textId="77777777" w:rsidR="00207C19" w:rsidRPr="00B0658A" w:rsidRDefault="00207C19" w:rsidP="00E766E3">
            <w:pPr>
              <w:spacing w:after="0" w:line="240" w:lineRule="auto"/>
              <w:rPr>
                <w:rFonts w:ascii="Times New Roman" w:hAnsi="Times New Roman"/>
                <w:sz w:val="18"/>
                <w:szCs w:val="18"/>
              </w:rPr>
            </w:pPr>
            <w:r w:rsidRPr="00B0658A">
              <w:rPr>
                <w:rFonts w:ascii="Times New Roman" w:hAnsi="Times New Roman"/>
                <w:sz w:val="18"/>
                <w:szCs w:val="18"/>
              </w:rPr>
              <w:t xml:space="preserve">Промышленное программное обеспечение / Средства информационного моделирования зданий </w:t>
            </w:r>
            <w:r w:rsidRPr="00B0658A">
              <w:rPr>
                <w:rFonts w:ascii="Times New Roman" w:hAnsi="Times New Roman"/>
                <w:sz w:val="18"/>
                <w:szCs w:val="18"/>
              </w:rPr>
              <w:br/>
              <w:t>и сооружений, архитектурно-строительного проектирования (BIM, AEC CAD)</w:t>
            </w:r>
          </w:p>
        </w:tc>
        <w:tc>
          <w:tcPr>
            <w:tcW w:w="898" w:type="pct"/>
            <w:shd w:val="clear" w:color="000000" w:fill="FFFFFF"/>
          </w:tcPr>
          <w:p w14:paraId="19298DF1" w14:textId="77777777" w:rsidR="00207C19" w:rsidRPr="00B0658A" w:rsidRDefault="00207C19" w:rsidP="00E766E3">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7" w:type="pct"/>
            <w:shd w:val="clear" w:color="000000" w:fill="FFFFFF"/>
            <w:vAlign w:val="center"/>
          </w:tcPr>
          <w:p w14:paraId="6A370740"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30%</w:t>
            </w:r>
          </w:p>
        </w:tc>
        <w:tc>
          <w:tcPr>
            <w:tcW w:w="367" w:type="pct"/>
            <w:shd w:val="clear" w:color="000000" w:fill="FFFFFF"/>
            <w:vAlign w:val="center"/>
          </w:tcPr>
          <w:p w14:paraId="5C1E2500"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40%</w:t>
            </w:r>
          </w:p>
        </w:tc>
        <w:tc>
          <w:tcPr>
            <w:tcW w:w="367" w:type="pct"/>
            <w:shd w:val="clear" w:color="000000" w:fill="FFFFFF"/>
            <w:vAlign w:val="center"/>
          </w:tcPr>
          <w:p w14:paraId="0B7E496B"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55%</w:t>
            </w:r>
          </w:p>
        </w:tc>
        <w:tc>
          <w:tcPr>
            <w:tcW w:w="379" w:type="pct"/>
            <w:shd w:val="clear" w:color="000000" w:fill="FFFFFF"/>
            <w:vAlign w:val="center"/>
          </w:tcPr>
          <w:p w14:paraId="06D34E3D"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7" w:type="pct"/>
            <w:shd w:val="clear" w:color="000000" w:fill="FFFFFF"/>
            <w:vAlign w:val="center"/>
          </w:tcPr>
          <w:p w14:paraId="736D2EC2"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70%</w:t>
            </w:r>
          </w:p>
        </w:tc>
        <w:tc>
          <w:tcPr>
            <w:tcW w:w="367" w:type="pct"/>
            <w:shd w:val="clear" w:color="000000" w:fill="FFFFFF"/>
            <w:vAlign w:val="center"/>
          </w:tcPr>
          <w:p w14:paraId="3EA7B5F2"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85%</w:t>
            </w:r>
          </w:p>
        </w:tc>
        <w:tc>
          <w:tcPr>
            <w:tcW w:w="364" w:type="pct"/>
            <w:shd w:val="clear" w:color="000000" w:fill="FFFFFF"/>
            <w:vAlign w:val="center"/>
          </w:tcPr>
          <w:p w14:paraId="42FBED4A"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207C19" w:rsidRPr="00B0658A" w14:paraId="76D2C736" w14:textId="77777777" w:rsidTr="00FE71B1">
        <w:trPr>
          <w:trHeight w:val="20"/>
        </w:trPr>
        <w:tc>
          <w:tcPr>
            <w:tcW w:w="342" w:type="pct"/>
            <w:shd w:val="clear" w:color="000000" w:fill="FFFFFF"/>
            <w:vAlign w:val="center"/>
          </w:tcPr>
          <w:p w14:paraId="69662E32" w14:textId="77777777" w:rsidR="00207C19" w:rsidRPr="00B0658A" w:rsidRDefault="00207C19" w:rsidP="00FE71B1">
            <w:pPr>
              <w:spacing w:after="0" w:line="240" w:lineRule="auto"/>
              <w:jc w:val="center"/>
              <w:rPr>
                <w:rFonts w:ascii="Times New Roman" w:hAnsi="Times New Roman"/>
                <w:sz w:val="18"/>
                <w:szCs w:val="18"/>
              </w:rPr>
            </w:pPr>
            <w:r w:rsidRPr="00B0658A">
              <w:rPr>
                <w:rFonts w:ascii="Times New Roman" w:hAnsi="Times New Roman"/>
                <w:sz w:val="18"/>
                <w:szCs w:val="18"/>
              </w:rPr>
              <w:t>8.10</w:t>
            </w:r>
          </w:p>
        </w:tc>
        <w:tc>
          <w:tcPr>
            <w:tcW w:w="1182" w:type="pct"/>
            <w:shd w:val="clear" w:color="auto" w:fill="auto"/>
            <w:vAlign w:val="center"/>
          </w:tcPr>
          <w:p w14:paraId="100724B6" w14:textId="77777777" w:rsidR="00207C19" w:rsidRPr="00B0658A" w:rsidRDefault="00207C19" w:rsidP="00E766E3">
            <w:pPr>
              <w:spacing w:after="0" w:line="240" w:lineRule="auto"/>
              <w:rPr>
                <w:rFonts w:ascii="Times New Roman" w:hAnsi="Times New Roman"/>
                <w:sz w:val="18"/>
                <w:szCs w:val="18"/>
              </w:rPr>
            </w:pPr>
            <w:r w:rsidRPr="00B0658A">
              <w:rPr>
                <w:rFonts w:ascii="Times New Roman" w:hAnsi="Times New Roman"/>
                <w:sz w:val="18"/>
                <w:szCs w:val="18"/>
              </w:rPr>
              <w:t>Промышленное программное обеспечение/ Средства усовершенствованного управления технологическими процессами (APC, RTO)</w:t>
            </w:r>
          </w:p>
        </w:tc>
        <w:tc>
          <w:tcPr>
            <w:tcW w:w="898" w:type="pct"/>
            <w:shd w:val="clear" w:color="000000" w:fill="FFFFFF"/>
          </w:tcPr>
          <w:p w14:paraId="7D1806D9" w14:textId="77777777" w:rsidR="00207C19" w:rsidRPr="00B0658A" w:rsidRDefault="00207C19" w:rsidP="00E766E3">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7" w:type="pct"/>
            <w:shd w:val="clear" w:color="000000" w:fill="FFFFFF"/>
            <w:vAlign w:val="center"/>
          </w:tcPr>
          <w:p w14:paraId="1DCB9D88"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30%</w:t>
            </w:r>
          </w:p>
        </w:tc>
        <w:tc>
          <w:tcPr>
            <w:tcW w:w="367" w:type="pct"/>
            <w:shd w:val="clear" w:color="000000" w:fill="FFFFFF"/>
            <w:vAlign w:val="center"/>
          </w:tcPr>
          <w:p w14:paraId="2767370F"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40%</w:t>
            </w:r>
          </w:p>
        </w:tc>
        <w:tc>
          <w:tcPr>
            <w:tcW w:w="367" w:type="pct"/>
            <w:shd w:val="clear" w:color="000000" w:fill="FFFFFF"/>
            <w:vAlign w:val="center"/>
          </w:tcPr>
          <w:p w14:paraId="3DB80D52"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55%</w:t>
            </w:r>
          </w:p>
        </w:tc>
        <w:tc>
          <w:tcPr>
            <w:tcW w:w="379" w:type="pct"/>
            <w:shd w:val="clear" w:color="000000" w:fill="FFFFFF"/>
            <w:vAlign w:val="center"/>
          </w:tcPr>
          <w:p w14:paraId="58E3D895"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7" w:type="pct"/>
            <w:shd w:val="clear" w:color="000000" w:fill="FFFFFF"/>
            <w:vAlign w:val="center"/>
          </w:tcPr>
          <w:p w14:paraId="37F8A525"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70%</w:t>
            </w:r>
          </w:p>
        </w:tc>
        <w:tc>
          <w:tcPr>
            <w:tcW w:w="367" w:type="pct"/>
            <w:shd w:val="clear" w:color="000000" w:fill="FFFFFF"/>
            <w:vAlign w:val="center"/>
          </w:tcPr>
          <w:p w14:paraId="58E44E30"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85%</w:t>
            </w:r>
          </w:p>
        </w:tc>
        <w:tc>
          <w:tcPr>
            <w:tcW w:w="364" w:type="pct"/>
            <w:shd w:val="clear" w:color="000000" w:fill="FFFFFF"/>
            <w:vAlign w:val="center"/>
          </w:tcPr>
          <w:p w14:paraId="499867CC"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207C19" w:rsidRPr="00B0658A" w14:paraId="573F5AFD" w14:textId="77777777" w:rsidTr="00FE71B1">
        <w:trPr>
          <w:trHeight w:val="20"/>
        </w:trPr>
        <w:tc>
          <w:tcPr>
            <w:tcW w:w="342" w:type="pct"/>
            <w:shd w:val="clear" w:color="000000" w:fill="FFFFFF"/>
            <w:vAlign w:val="center"/>
          </w:tcPr>
          <w:p w14:paraId="0F31551C" w14:textId="77777777" w:rsidR="00207C19" w:rsidRPr="00B0658A" w:rsidRDefault="00207C19" w:rsidP="00FE71B1">
            <w:pPr>
              <w:spacing w:after="0" w:line="240" w:lineRule="auto"/>
              <w:jc w:val="center"/>
              <w:rPr>
                <w:rFonts w:ascii="Times New Roman" w:hAnsi="Times New Roman"/>
                <w:sz w:val="18"/>
                <w:szCs w:val="18"/>
              </w:rPr>
            </w:pPr>
            <w:r w:rsidRPr="00B0658A">
              <w:rPr>
                <w:rFonts w:ascii="Times New Roman" w:hAnsi="Times New Roman"/>
                <w:sz w:val="18"/>
                <w:szCs w:val="18"/>
              </w:rPr>
              <w:t>8.11</w:t>
            </w:r>
          </w:p>
        </w:tc>
        <w:tc>
          <w:tcPr>
            <w:tcW w:w="1182" w:type="pct"/>
            <w:shd w:val="clear" w:color="auto" w:fill="auto"/>
            <w:vAlign w:val="center"/>
          </w:tcPr>
          <w:p w14:paraId="729ADBA0" w14:textId="77777777" w:rsidR="00207C19" w:rsidRPr="00B0658A" w:rsidRDefault="00207C19" w:rsidP="00E766E3">
            <w:pPr>
              <w:spacing w:after="0" w:line="240" w:lineRule="auto"/>
              <w:rPr>
                <w:rFonts w:ascii="Times New Roman" w:hAnsi="Times New Roman"/>
                <w:sz w:val="18"/>
                <w:szCs w:val="18"/>
              </w:rPr>
            </w:pPr>
            <w:r w:rsidRPr="00B0658A">
              <w:rPr>
                <w:rFonts w:ascii="Times New Roman" w:hAnsi="Times New Roman"/>
                <w:sz w:val="18"/>
                <w:szCs w:val="18"/>
              </w:rPr>
              <w:t>Промышленное программное обеспечение / Средства автоматизированного управления техникой</w:t>
            </w:r>
          </w:p>
        </w:tc>
        <w:tc>
          <w:tcPr>
            <w:tcW w:w="898" w:type="pct"/>
            <w:shd w:val="clear" w:color="000000" w:fill="FFFFFF"/>
          </w:tcPr>
          <w:p w14:paraId="39E87BC4" w14:textId="77777777" w:rsidR="00207C19" w:rsidRPr="00B0658A" w:rsidRDefault="00207C19" w:rsidP="00E766E3">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7" w:type="pct"/>
            <w:shd w:val="clear" w:color="000000" w:fill="FFFFFF"/>
            <w:vAlign w:val="center"/>
          </w:tcPr>
          <w:p w14:paraId="26E0E4BF"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20%</w:t>
            </w:r>
          </w:p>
        </w:tc>
        <w:tc>
          <w:tcPr>
            <w:tcW w:w="367" w:type="pct"/>
            <w:shd w:val="clear" w:color="000000" w:fill="FFFFFF"/>
            <w:vAlign w:val="center"/>
          </w:tcPr>
          <w:p w14:paraId="1CB4455C"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30%</w:t>
            </w:r>
          </w:p>
        </w:tc>
        <w:tc>
          <w:tcPr>
            <w:tcW w:w="367" w:type="pct"/>
            <w:shd w:val="clear" w:color="000000" w:fill="FFFFFF"/>
            <w:vAlign w:val="center"/>
          </w:tcPr>
          <w:p w14:paraId="4AD5A952"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45%</w:t>
            </w:r>
          </w:p>
        </w:tc>
        <w:tc>
          <w:tcPr>
            <w:tcW w:w="379" w:type="pct"/>
            <w:shd w:val="clear" w:color="000000" w:fill="FFFFFF"/>
            <w:vAlign w:val="center"/>
          </w:tcPr>
          <w:p w14:paraId="01CD92E6"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7" w:type="pct"/>
            <w:shd w:val="clear" w:color="000000" w:fill="FFFFFF"/>
            <w:vAlign w:val="center"/>
          </w:tcPr>
          <w:p w14:paraId="46892871"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70%</w:t>
            </w:r>
          </w:p>
        </w:tc>
        <w:tc>
          <w:tcPr>
            <w:tcW w:w="367" w:type="pct"/>
            <w:shd w:val="clear" w:color="000000" w:fill="FFFFFF"/>
            <w:vAlign w:val="center"/>
          </w:tcPr>
          <w:p w14:paraId="16E15B4F"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90%</w:t>
            </w:r>
          </w:p>
        </w:tc>
        <w:tc>
          <w:tcPr>
            <w:tcW w:w="364" w:type="pct"/>
            <w:shd w:val="clear" w:color="000000" w:fill="FFFFFF"/>
            <w:vAlign w:val="center"/>
          </w:tcPr>
          <w:p w14:paraId="5E78B186"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207C19" w:rsidRPr="00B0658A" w14:paraId="155325A5" w14:textId="77777777" w:rsidTr="00FE71B1">
        <w:trPr>
          <w:trHeight w:val="20"/>
        </w:trPr>
        <w:tc>
          <w:tcPr>
            <w:tcW w:w="342" w:type="pct"/>
            <w:shd w:val="clear" w:color="000000" w:fill="FFFFFF"/>
            <w:vAlign w:val="center"/>
          </w:tcPr>
          <w:p w14:paraId="349278AC" w14:textId="77777777" w:rsidR="00207C19" w:rsidRPr="00B0658A" w:rsidRDefault="00207C19" w:rsidP="00FE71B1">
            <w:pPr>
              <w:spacing w:after="0" w:line="240" w:lineRule="auto"/>
              <w:jc w:val="center"/>
              <w:rPr>
                <w:rFonts w:ascii="Times New Roman" w:hAnsi="Times New Roman"/>
                <w:sz w:val="18"/>
                <w:szCs w:val="18"/>
              </w:rPr>
            </w:pPr>
            <w:r w:rsidRPr="00B0658A">
              <w:rPr>
                <w:rFonts w:ascii="Times New Roman" w:hAnsi="Times New Roman"/>
                <w:sz w:val="18"/>
                <w:szCs w:val="18"/>
              </w:rPr>
              <w:t>9.1</w:t>
            </w:r>
          </w:p>
        </w:tc>
        <w:tc>
          <w:tcPr>
            <w:tcW w:w="1182" w:type="pct"/>
            <w:shd w:val="clear" w:color="auto" w:fill="auto"/>
            <w:vAlign w:val="center"/>
          </w:tcPr>
          <w:p w14:paraId="722C3360" w14:textId="77777777" w:rsidR="00207C19" w:rsidRPr="00B0658A" w:rsidRDefault="00207C19" w:rsidP="00E766E3">
            <w:pPr>
              <w:spacing w:after="0" w:line="240" w:lineRule="auto"/>
              <w:rPr>
                <w:rFonts w:ascii="Times New Roman" w:hAnsi="Times New Roman"/>
                <w:sz w:val="18"/>
                <w:szCs w:val="18"/>
              </w:rPr>
            </w:pPr>
            <w:r w:rsidRPr="00B0658A">
              <w:rPr>
                <w:rFonts w:ascii="Times New Roman" w:hAnsi="Times New Roman"/>
                <w:sz w:val="18"/>
                <w:szCs w:val="18"/>
              </w:rPr>
              <w:t>Средства управления процессами организации / Средства управления бизнес-процессами (BPM)</w:t>
            </w:r>
          </w:p>
        </w:tc>
        <w:tc>
          <w:tcPr>
            <w:tcW w:w="898" w:type="pct"/>
            <w:shd w:val="clear" w:color="000000" w:fill="FFFFFF"/>
          </w:tcPr>
          <w:p w14:paraId="24BBE25D" w14:textId="77777777" w:rsidR="00207C19" w:rsidRPr="00B0658A" w:rsidRDefault="00207C19" w:rsidP="00E766E3">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7" w:type="pct"/>
            <w:shd w:val="clear" w:color="000000" w:fill="FFFFFF"/>
            <w:vAlign w:val="center"/>
          </w:tcPr>
          <w:p w14:paraId="56E7C042"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25%</w:t>
            </w:r>
          </w:p>
        </w:tc>
        <w:tc>
          <w:tcPr>
            <w:tcW w:w="367" w:type="pct"/>
            <w:shd w:val="clear" w:color="000000" w:fill="FFFFFF"/>
            <w:vAlign w:val="center"/>
          </w:tcPr>
          <w:p w14:paraId="13C77FD7"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35%</w:t>
            </w:r>
          </w:p>
        </w:tc>
        <w:tc>
          <w:tcPr>
            <w:tcW w:w="367" w:type="pct"/>
            <w:shd w:val="clear" w:color="000000" w:fill="FFFFFF"/>
            <w:vAlign w:val="center"/>
          </w:tcPr>
          <w:p w14:paraId="6780291B"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50%</w:t>
            </w:r>
          </w:p>
        </w:tc>
        <w:tc>
          <w:tcPr>
            <w:tcW w:w="379" w:type="pct"/>
            <w:shd w:val="clear" w:color="000000" w:fill="FFFFFF"/>
            <w:vAlign w:val="center"/>
          </w:tcPr>
          <w:p w14:paraId="3AB5CE05"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7" w:type="pct"/>
            <w:shd w:val="clear" w:color="000000" w:fill="FFFFFF"/>
            <w:vAlign w:val="center"/>
          </w:tcPr>
          <w:p w14:paraId="6BAD6E28"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75%</w:t>
            </w:r>
          </w:p>
        </w:tc>
        <w:tc>
          <w:tcPr>
            <w:tcW w:w="367" w:type="pct"/>
            <w:shd w:val="clear" w:color="000000" w:fill="FFFFFF"/>
            <w:vAlign w:val="center"/>
          </w:tcPr>
          <w:p w14:paraId="7767D449"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85%</w:t>
            </w:r>
          </w:p>
        </w:tc>
        <w:tc>
          <w:tcPr>
            <w:tcW w:w="364" w:type="pct"/>
            <w:shd w:val="clear" w:color="000000" w:fill="FFFFFF"/>
            <w:vAlign w:val="center"/>
          </w:tcPr>
          <w:p w14:paraId="6547FA1D"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207C19" w:rsidRPr="00B0658A" w14:paraId="74325D2F" w14:textId="77777777" w:rsidTr="00FE71B1">
        <w:trPr>
          <w:trHeight w:val="20"/>
        </w:trPr>
        <w:tc>
          <w:tcPr>
            <w:tcW w:w="342" w:type="pct"/>
            <w:shd w:val="clear" w:color="000000" w:fill="FFFFFF"/>
            <w:vAlign w:val="center"/>
          </w:tcPr>
          <w:p w14:paraId="31D7EF21" w14:textId="77777777" w:rsidR="00207C19" w:rsidRPr="00B0658A" w:rsidRDefault="00207C19" w:rsidP="00FE71B1">
            <w:pPr>
              <w:spacing w:after="0" w:line="240" w:lineRule="auto"/>
              <w:jc w:val="center"/>
              <w:rPr>
                <w:rFonts w:ascii="Times New Roman" w:hAnsi="Times New Roman"/>
                <w:sz w:val="18"/>
                <w:szCs w:val="18"/>
              </w:rPr>
            </w:pPr>
            <w:r w:rsidRPr="00B0658A">
              <w:rPr>
                <w:rFonts w:ascii="Times New Roman" w:hAnsi="Times New Roman"/>
                <w:sz w:val="18"/>
                <w:szCs w:val="18"/>
              </w:rPr>
              <w:t>9.2</w:t>
            </w:r>
          </w:p>
        </w:tc>
        <w:tc>
          <w:tcPr>
            <w:tcW w:w="1182" w:type="pct"/>
            <w:shd w:val="clear" w:color="auto" w:fill="auto"/>
            <w:vAlign w:val="center"/>
          </w:tcPr>
          <w:p w14:paraId="43FD83B4" w14:textId="77777777" w:rsidR="00207C19" w:rsidRPr="00B0658A" w:rsidRDefault="00207C19" w:rsidP="00E766E3">
            <w:pPr>
              <w:spacing w:after="0" w:line="240" w:lineRule="auto"/>
              <w:rPr>
                <w:rFonts w:ascii="Times New Roman" w:hAnsi="Times New Roman"/>
                <w:sz w:val="18"/>
                <w:szCs w:val="18"/>
              </w:rPr>
            </w:pPr>
            <w:r w:rsidRPr="00B0658A">
              <w:rPr>
                <w:rFonts w:ascii="Times New Roman" w:hAnsi="Times New Roman"/>
                <w:sz w:val="18"/>
                <w:szCs w:val="18"/>
              </w:rPr>
              <w:t>Средства управления процессами организации/ Средства управления производственными процессами (MES)</w:t>
            </w:r>
          </w:p>
        </w:tc>
        <w:tc>
          <w:tcPr>
            <w:tcW w:w="898" w:type="pct"/>
            <w:shd w:val="clear" w:color="000000" w:fill="FFFFFF"/>
          </w:tcPr>
          <w:p w14:paraId="6FB26B80" w14:textId="77777777" w:rsidR="00207C19" w:rsidRPr="00B0658A" w:rsidRDefault="00207C19" w:rsidP="00E766E3">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7" w:type="pct"/>
            <w:shd w:val="clear" w:color="000000" w:fill="FFFFFF"/>
            <w:vAlign w:val="center"/>
          </w:tcPr>
          <w:p w14:paraId="2AD308E9"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25%</w:t>
            </w:r>
          </w:p>
        </w:tc>
        <w:tc>
          <w:tcPr>
            <w:tcW w:w="367" w:type="pct"/>
            <w:shd w:val="clear" w:color="000000" w:fill="FFFFFF"/>
            <w:vAlign w:val="center"/>
          </w:tcPr>
          <w:p w14:paraId="7D098C69"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35%</w:t>
            </w:r>
          </w:p>
        </w:tc>
        <w:tc>
          <w:tcPr>
            <w:tcW w:w="367" w:type="pct"/>
            <w:shd w:val="clear" w:color="000000" w:fill="FFFFFF"/>
            <w:vAlign w:val="center"/>
          </w:tcPr>
          <w:p w14:paraId="725C9A11"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50%</w:t>
            </w:r>
          </w:p>
        </w:tc>
        <w:tc>
          <w:tcPr>
            <w:tcW w:w="379" w:type="pct"/>
            <w:shd w:val="clear" w:color="000000" w:fill="FFFFFF"/>
            <w:vAlign w:val="center"/>
          </w:tcPr>
          <w:p w14:paraId="658F7D2D"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7" w:type="pct"/>
            <w:shd w:val="clear" w:color="000000" w:fill="FFFFFF"/>
            <w:vAlign w:val="center"/>
          </w:tcPr>
          <w:p w14:paraId="4CC2230E"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75%</w:t>
            </w:r>
          </w:p>
        </w:tc>
        <w:tc>
          <w:tcPr>
            <w:tcW w:w="367" w:type="pct"/>
            <w:shd w:val="clear" w:color="000000" w:fill="FFFFFF"/>
            <w:vAlign w:val="center"/>
          </w:tcPr>
          <w:p w14:paraId="4EC7A5A7"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85%</w:t>
            </w:r>
          </w:p>
        </w:tc>
        <w:tc>
          <w:tcPr>
            <w:tcW w:w="364" w:type="pct"/>
            <w:shd w:val="clear" w:color="000000" w:fill="FFFFFF"/>
            <w:vAlign w:val="center"/>
          </w:tcPr>
          <w:p w14:paraId="5C2AE224"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207C19" w:rsidRPr="00B0658A" w14:paraId="000529F7" w14:textId="77777777" w:rsidTr="00FE71B1">
        <w:trPr>
          <w:trHeight w:val="20"/>
        </w:trPr>
        <w:tc>
          <w:tcPr>
            <w:tcW w:w="342" w:type="pct"/>
            <w:shd w:val="clear" w:color="000000" w:fill="FFFFFF"/>
            <w:vAlign w:val="center"/>
          </w:tcPr>
          <w:p w14:paraId="4B2DD9AC" w14:textId="77777777" w:rsidR="00207C19" w:rsidRPr="00B0658A" w:rsidRDefault="00207C19" w:rsidP="00FE71B1">
            <w:pPr>
              <w:spacing w:after="0" w:line="240" w:lineRule="auto"/>
              <w:jc w:val="center"/>
              <w:rPr>
                <w:rFonts w:ascii="Times New Roman" w:hAnsi="Times New Roman"/>
                <w:sz w:val="18"/>
                <w:szCs w:val="18"/>
              </w:rPr>
            </w:pPr>
            <w:r w:rsidRPr="00B0658A">
              <w:rPr>
                <w:rFonts w:ascii="Times New Roman" w:hAnsi="Times New Roman"/>
                <w:sz w:val="18"/>
                <w:szCs w:val="18"/>
              </w:rPr>
              <w:t>9.3</w:t>
            </w:r>
          </w:p>
        </w:tc>
        <w:tc>
          <w:tcPr>
            <w:tcW w:w="1182" w:type="pct"/>
            <w:shd w:val="clear" w:color="auto" w:fill="auto"/>
            <w:vAlign w:val="center"/>
          </w:tcPr>
          <w:p w14:paraId="3904703B" w14:textId="77777777" w:rsidR="00207C19" w:rsidRPr="00B0658A" w:rsidRDefault="00207C19" w:rsidP="00E766E3">
            <w:pPr>
              <w:spacing w:after="0" w:line="240" w:lineRule="auto"/>
              <w:rPr>
                <w:rFonts w:ascii="Times New Roman" w:hAnsi="Times New Roman"/>
                <w:sz w:val="18"/>
                <w:szCs w:val="18"/>
              </w:rPr>
            </w:pPr>
            <w:r w:rsidRPr="00B0658A">
              <w:rPr>
                <w:rFonts w:ascii="Times New Roman" w:hAnsi="Times New Roman"/>
                <w:sz w:val="18"/>
                <w:szCs w:val="18"/>
              </w:rPr>
              <w:t>Средства управления процессами организации / Средства управления лабораторными потоками работ и документов (LIMS)</w:t>
            </w:r>
          </w:p>
        </w:tc>
        <w:tc>
          <w:tcPr>
            <w:tcW w:w="898" w:type="pct"/>
            <w:shd w:val="clear" w:color="000000" w:fill="FFFFFF"/>
          </w:tcPr>
          <w:p w14:paraId="7A524B9D" w14:textId="77777777" w:rsidR="00207C19" w:rsidRPr="00B0658A" w:rsidRDefault="00207C19" w:rsidP="00E766E3">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7" w:type="pct"/>
            <w:shd w:val="clear" w:color="000000" w:fill="FFFFFF"/>
            <w:vAlign w:val="center"/>
          </w:tcPr>
          <w:p w14:paraId="422BD17A"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25%</w:t>
            </w:r>
          </w:p>
        </w:tc>
        <w:tc>
          <w:tcPr>
            <w:tcW w:w="367" w:type="pct"/>
            <w:shd w:val="clear" w:color="000000" w:fill="FFFFFF"/>
            <w:vAlign w:val="center"/>
          </w:tcPr>
          <w:p w14:paraId="26101083"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35%</w:t>
            </w:r>
          </w:p>
        </w:tc>
        <w:tc>
          <w:tcPr>
            <w:tcW w:w="367" w:type="pct"/>
            <w:shd w:val="clear" w:color="000000" w:fill="FFFFFF"/>
            <w:vAlign w:val="center"/>
          </w:tcPr>
          <w:p w14:paraId="5156273D"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50%</w:t>
            </w:r>
          </w:p>
        </w:tc>
        <w:tc>
          <w:tcPr>
            <w:tcW w:w="379" w:type="pct"/>
            <w:shd w:val="clear" w:color="000000" w:fill="FFFFFF"/>
            <w:vAlign w:val="center"/>
          </w:tcPr>
          <w:p w14:paraId="712C2B18"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7" w:type="pct"/>
            <w:shd w:val="clear" w:color="000000" w:fill="FFFFFF"/>
            <w:vAlign w:val="center"/>
          </w:tcPr>
          <w:p w14:paraId="467E330D"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75%</w:t>
            </w:r>
          </w:p>
        </w:tc>
        <w:tc>
          <w:tcPr>
            <w:tcW w:w="367" w:type="pct"/>
            <w:shd w:val="clear" w:color="000000" w:fill="FFFFFF"/>
            <w:vAlign w:val="center"/>
          </w:tcPr>
          <w:p w14:paraId="727952F6"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85%</w:t>
            </w:r>
          </w:p>
        </w:tc>
        <w:tc>
          <w:tcPr>
            <w:tcW w:w="364" w:type="pct"/>
            <w:shd w:val="clear" w:color="000000" w:fill="FFFFFF"/>
            <w:vAlign w:val="center"/>
          </w:tcPr>
          <w:p w14:paraId="33708E05"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207C19" w:rsidRPr="00B0658A" w14:paraId="393649DB" w14:textId="77777777" w:rsidTr="00FE71B1">
        <w:trPr>
          <w:trHeight w:val="20"/>
        </w:trPr>
        <w:tc>
          <w:tcPr>
            <w:tcW w:w="342" w:type="pct"/>
            <w:shd w:val="clear" w:color="000000" w:fill="FFFFFF"/>
            <w:vAlign w:val="center"/>
          </w:tcPr>
          <w:p w14:paraId="61279B88" w14:textId="77777777" w:rsidR="00207C19" w:rsidRPr="00B0658A" w:rsidRDefault="00207C19" w:rsidP="00FE71B1">
            <w:pPr>
              <w:spacing w:after="0" w:line="240" w:lineRule="auto"/>
              <w:jc w:val="center"/>
              <w:rPr>
                <w:rFonts w:ascii="Times New Roman" w:hAnsi="Times New Roman"/>
                <w:sz w:val="18"/>
                <w:szCs w:val="18"/>
              </w:rPr>
            </w:pPr>
            <w:r w:rsidRPr="00B0658A">
              <w:rPr>
                <w:rFonts w:ascii="Times New Roman" w:hAnsi="Times New Roman"/>
                <w:sz w:val="18"/>
                <w:szCs w:val="18"/>
              </w:rPr>
              <w:t>9.4</w:t>
            </w:r>
          </w:p>
        </w:tc>
        <w:tc>
          <w:tcPr>
            <w:tcW w:w="1182" w:type="pct"/>
            <w:shd w:val="clear" w:color="auto" w:fill="auto"/>
            <w:vAlign w:val="center"/>
          </w:tcPr>
          <w:p w14:paraId="47869017" w14:textId="77777777" w:rsidR="00207C19" w:rsidRPr="00B0658A" w:rsidRDefault="00207C19" w:rsidP="00E766E3">
            <w:pPr>
              <w:spacing w:after="0" w:line="240" w:lineRule="auto"/>
              <w:rPr>
                <w:rFonts w:ascii="Times New Roman" w:hAnsi="Times New Roman"/>
                <w:sz w:val="18"/>
                <w:szCs w:val="18"/>
              </w:rPr>
            </w:pPr>
            <w:r w:rsidRPr="00B0658A">
              <w:rPr>
                <w:rFonts w:ascii="Times New Roman" w:hAnsi="Times New Roman"/>
                <w:sz w:val="18"/>
                <w:szCs w:val="18"/>
              </w:rPr>
              <w:t>Средства управления процессами организации/ Средства управления технологическими процессами (АСУ ТП, SCADA)</w:t>
            </w:r>
          </w:p>
        </w:tc>
        <w:tc>
          <w:tcPr>
            <w:tcW w:w="898" w:type="pct"/>
            <w:shd w:val="clear" w:color="000000" w:fill="FFFFFF"/>
          </w:tcPr>
          <w:p w14:paraId="1052A856" w14:textId="77777777" w:rsidR="00207C19" w:rsidRPr="00B0658A" w:rsidRDefault="00207C19" w:rsidP="00E766E3">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7" w:type="pct"/>
            <w:shd w:val="clear" w:color="000000" w:fill="FFFFFF"/>
            <w:vAlign w:val="center"/>
          </w:tcPr>
          <w:p w14:paraId="4E10A6E2"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25%</w:t>
            </w:r>
          </w:p>
        </w:tc>
        <w:tc>
          <w:tcPr>
            <w:tcW w:w="367" w:type="pct"/>
            <w:shd w:val="clear" w:color="000000" w:fill="FFFFFF"/>
            <w:vAlign w:val="center"/>
          </w:tcPr>
          <w:p w14:paraId="6FDF1C6B"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35%</w:t>
            </w:r>
          </w:p>
        </w:tc>
        <w:tc>
          <w:tcPr>
            <w:tcW w:w="367" w:type="pct"/>
            <w:shd w:val="clear" w:color="000000" w:fill="FFFFFF"/>
            <w:vAlign w:val="center"/>
          </w:tcPr>
          <w:p w14:paraId="5D52196C"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50%</w:t>
            </w:r>
          </w:p>
        </w:tc>
        <w:tc>
          <w:tcPr>
            <w:tcW w:w="379" w:type="pct"/>
            <w:shd w:val="clear" w:color="000000" w:fill="FFFFFF"/>
            <w:vAlign w:val="center"/>
          </w:tcPr>
          <w:p w14:paraId="31A63B72"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7" w:type="pct"/>
            <w:shd w:val="clear" w:color="000000" w:fill="FFFFFF"/>
            <w:vAlign w:val="center"/>
          </w:tcPr>
          <w:p w14:paraId="51435DE1"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75%</w:t>
            </w:r>
          </w:p>
        </w:tc>
        <w:tc>
          <w:tcPr>
            <w:tcW w:w="367" w:type="pct"/>
            <w:shd w:val="clear" w:color="000000" w:fill="FFFFFF"/>
            <w:vAlign w:val="center"/>
          </w:tcPr>
          <w:p w14:paraId="207555EF"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85%</w:t>
            </w:r>
          </w:p>
        </w:tc>
        <w:tc>
          <w:tcPr>
            <w:tcW w:w="364" w:type="pct"/>
            <w:shd w:val="clear" w:color="000000" w:fill="FFFFFF"/>
            <w:vAlign w:val="center"/>
          </w:tcPr>
          <w:p w14:paraId="506E7974"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207C19" w:rsidRPr="00B0658A" w14:paraId="0C62C25F" w14:textId="77777777" w:rsidTr="00FE71B1">
        <w:trPr>
          <w:trHeight w:val="20"/>
        </w:trPr>
        <w:tc>
          <w:tcPr>
            <w:tcW w:w="342" w:type="pct"/>
            <w:shd w:val="clear" w:color="000000" w:fill="FFFFFF"/>
            <w:vAlign w:val="center"/>
          </w:tcPr>
          <w:p w14:paraId="72BC33EB" w14:textId="77777777" w:rsidR="00207C19" w:rsidRPr="00B0658A" w:rsidRDefault="00207C19" w:rsidP="00FE71B1">
            <w:pPr>
              <w:spacing w:after="0" w:line="240" w:lineRule="auto"/>
              <w:jc w:val="center"/>
              <w:rPr>
                <w:rFonts w:ascii="Times New Roman" w:hAnsi="Times New Roman"/>
                <w:sz w:val="18"/>
                <w:szCs w:val="18"/>
              </w:rPr>
            </w:pPr>
            <w:r w:rsidRPr="00B0658A">
              <w:rPr>
                <w:rFonts w:ascii="Times New Roman" w:hAnsi="Times New Roman"/>
                <w:sz w:val="18"/>
                <w:szCs w:val="18"/>
              </w:rPr>
              <w:t>9.5</w:t>
            </w:r>
          </w:p>
        </w:tc>
        <w:tc>
          <w:tcPr>
            <w:tcW w:w="1182" w:type="pct"/>
            <w:shd w:val="clear" w:color="auto" w:fill="auto"/>
            <w:vAlign w:val="center"/>
          </w:tcPr>
          <w:p w14:paraId="3920A4A6" w14:textId="77777777" w:rsidR="00207C19" w:rsidRPr="00B0658A" w:rsidRDefault="00207C19" w:rsidP="00E766E3">
            <w:pPr>
              <w:spacing w:after="0" w:line="240" w:lineRule="auto"/>
              <w:rPr>
                <w:rFonts w:ascii="Times New Roman" w:hAnsi="Times New Roman"/>
                <w:sz w:val="18"/>
                <w:szCs w:val="18"/>
              </w:rPr>
            </w:pPr>
            <w:r w:rsidRPr="00B0658A">
              <w:rPr>
                <w:rFonts w:ascii="Times New Roman" w:hAnsi="Times New Roman"/>
                <w:sz w:val="18"/>
                <w:szCs w:val="18"/>
              </w:rPr>
              <w:t>Средства управления процессами организации/ Средства управления эффективностью предприятия (CPM/EPM)</w:t>
            </w:r>
          </w:p>
        </w:tc>
        <w:tc>
          <w:tcPr>
            <w:tcW w:w="898" w:type="pct"/>
            <w:shd w:val="clear" w:color="000000" w:fill="FFFFFF"/>
          </w:tcPr>
          <w:p w14:paraId="34594BE6" w14:textId="77777777" w:rsidR="00207C19" w:rsidRPr="00B0658A" w:rsidRDefault="00207C19" w:rsidP="00E766E3">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7" w:type="pct"/>
            <w:shd w:val="clear" w:color="000000" w:fill="FFFFFF"/>
            <w:vAlign w:val="center"/>
          </w:tcPr>
          <w:p w14:paraId="60C176FE"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35%</w:t>
            </w:r>
          </w:p>
        </w:tc>
        <w:tc>
          <w:tcPr>
            <w:tcW w:w="367" w:type="pct"/>
            <w:shd w:val="clear" w:color="000000" w:fill="FFFFFF"/>
            <w:vAlign w:val="center"/>
          </w:tcPr>
          <w:p w14:paraId="78FED034"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45%</w:t>
            </w:r>
          </w:p>
        </w:tc>
        <w:tc>
          <w:tcPr>
            <w:tcW w:w="367" w:type="pct"/>
            <w:shd w:val="clear" w:color="000000" w:fill="FFFFFF"/>
            <w:vAlign w:val="center"/>
          </w:tcPr>
          <w:p w14:paraId="6286443D"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55%</w:t>
            </w:r>
          </w:p>
        </w:tc>
        <w:tc>
          <w:tcPr>
            <w:tcW w:w="379" w:type="pct"/>
            <w:shd w:val="clear" w:color="000000" w:fill="FFFFFF"/>
            <w:vAlign w:val="center"/>
          </w:tcPr>
          <w:p w14:paraId="53F4C0FC"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7" w:type="pct"/>
            <w:shd w:val="clear" w:color="000000" w:fill="FFFFFF"/>
            <w:vAlign w:val="center"/>
          </w:tcPr>
          <w:p w14:paraId="6F9C61CE"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70%</w:t>
            </w:r>
          </w:p>
        </w:tc>
        <w:tc>
          <w:tcPr>
            <w:tcW w:w="367" w:type="pct"/>
            <w:shd w:val="clear" w:color="000000" w:fill="FFFFFF"/>
            <w:vAlign w:val="center"/>
          </w:tcPr>
          <w:p w14:paraId="5D610901"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90%</w:t>
            </w:r>
          </w:p>
        </w:tc>
        <w:tc>
          <w:tcPr>
            <w:tcW w:w="364" w:type="pct"/>
            <w:shd w:val="clear" w:color="000000" w:fill="FFFFFF"/>
            <w:vAlign w:val="center"/>
          </w:tcPr>
          <w:p w14:paraId="6EA35E3A"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207C19" w:rsidRPr="00B0658A" w14:paraId="4F7C62F3" w14:textId="77777777" w:rsidTr="00FE71B1">
        <w:trPr>
          <w:trHeight w:val="20"/>
        </w:trPr>
        <w:tc>
          <w:tcPr>
            <w:tcW w:w="342" w:type="pct"/>
            <w:shd w:val="clear" w:color="000000" w:fill="FFFFFF"/>
            <w:vAlign w:val="center"/>
          </w:tcPr>
          <w:p w14:paraId="43C76E2F" w14:textId="77777777" w:rsidR="00207C19" w:rsidRPr="00B0658A" w:rsidRDefault="00207C19" w:rsidP="00FE71B1">
            <w:pPr>
              <w:spacing w:after="0" w:line="240" w:lineRule="auto"/>
              <w:jc w:val="center"/>
              <w:rPr>
                <w:rFonts w:ascii="Times New Roman" w:hAnsi="Times New Roman"/>
                <w:sz w:val="18"/>
                <w:szCs w:val="18"/>
              </w:rPr>
            </w:pPr>
            <w:r w:rsidRPr="00B0658A">
              <w:rPr>
                <w:rFonts w:ascii="Times New Roman" w:hAnsi="Times New Roman"/>
                <w:sz w:val="18"/>
                <w:szCs w:val="18"/>
              </w:rPr>
              <w:t>9.6</w:t>
            </w:r>
          </w:p>
        </w:tc>
        <w:tc>
          <w:tcPr>
            <w:tcW w:w="1182" w:type="pct"/>
            <w:shd w:val="clear" w:color="auto" w:fill="auto"/>
            <w:vAlign w:val="center"/>
          </w:tcPr>
          <w:p w14:paraId="54DAD957" w14:textId="77777777" w:rsidR="00207C19" w:rsidRPr="00B0658A" w:rsidRDefault="00207C19" w:rsidP="00E766E3">
            <w:pPr>
              <w:spacing w:after="0" w:line="240" w:lineRule="auto"/>
              <w:rPr>
                <w:rFonts w:ascii="Times New Roman" w:hAnsi="Times New Roman"/>
                <w:sz w:val="18"/>
                <w:szCs w:val="18"/>
              </w:rPr>
            </w:pPr>
            <w:r w:rsidRPr="00B0658A">
              <w:rPr>
                <w:rFonts w:ascii="Times New Roman" w:hAnsi="Times New Roman"/>
                <w:sz w:val="18"/>
                <w:szCs w:val="18"/>
              </w:rPr>
              <w:t>Средства управления процессами организации/ Средства управления основными фондами предприятия (EAM)</w:t>
            </w:r>
          </w:p>
        </w:tc>
        <w:tc>
          <w:tcPr>
            <w:tcW w:w="898" w:type="pct"/>
            <w:shd w:val="clear" w:color="000000" w:fill="FFFFFF"/>
          </w:tcPr>
          <w:p w14:paraId="6AD0B765" w14:textId="77777777" w:rsidR="00207C19" w:rsidRPr="00B0658A" w:rsidRDefault="00207C19" w:rsidP="00E766E3">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7" w:type="pct"/>
            <w:shd w:val="clear" w:color="000000" w:fill="FFFFFF"/>
            <w:vAlign w:val="center"/>
          </w:tcPr>
          <w:p w14:paraId="641880E5"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30%</w:t>
            </w:r>
          </w:p>
        </w:tc>
        <w:tc>
          <w:tcPr>
            <w:tcW w:w="367" w:type="pct"/>
            <w:shd w:val="clear" w:color="000000" w:fill="FFFFFF"/>
            <w:vAlign w:val="center"/>
          </w:tcPr>
          <w:p w14:paraId="1B15BDEA"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45%</w:t>
            </w:r>
          </w:p>
        </w:tc>
        <w:tc>
          <w:tcPr>
            <w:tcW w:w="367" w:type="pct"/>
            <w:shd w:val="clear" w:color="000000" w:fill="FFFFFF"/>
            <w:vAlign w:val="center"/>
          </w:tcPr>
          <w:p w14:paraId="2C2382FD"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55%</w:t>
            </w:r>
          </w:p>
        </w:tc>
        <w:tc>
          <w:tcPr>
            <w:tcW w:w="379" w:type="pct"/>
            <w:shd w:val="clear" w:color="000000" w:fill="FFFFFF"/>
            <w:vAlign w:val="center"/>
          </w:tcPr>
          <w:p w14:paraId="6964FA9A"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7" w:type="pct"/>
            <w:shd w:val="clear" w:color="000000" w:fill="FFFFFF"/>
            <w:vAlign w:val="center"/>
          </w:tcPr>
          <w:p w14:paraId="61EEC5DA"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75%</w:t>
            </w:r>
          </w:p>
        </w:tc>
        <w:tc>
          <w:tcPr>
            <w:tcW w:w="367" w:type="pct"/>
            <w:shd w:val="clear" w:color="000000" w:fill="FFFFFF"/>
            <w:vAlign w:val="center"/>
          </w:tcPr>
          <w:p w14:paraId="20292938"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90%</w:t>
            </w:r>
          </w:p>
        </w:tc>
        <w:tc>
          <w:tcPr>
            <w:tcW w:w="364" w:type="pct"/>
            <w:shd w:val="clear" w:color="000000" w:fill="FFFFFF"/>
            <w:vAlign w:val="center"/>
          </w:tcPr>
          <w:p w14:paraId="661F07D5"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207C19" w:rsidRPr="00B0658A" w14:paraId="4CACE24B" w14:textId="77777777" w:rsidTr="00FE71B1">
        <w:trPr>
          <w:trHeight w:val="20"/>
        </w:trPr>
        <w:tc>
          <w:tcPr>
            <w:tcW w:w="342" w:type="pct"/>
            <w:shd w:val="clear" w:color="000000" w:fill="FFFFFF"/>
            <w:vAlign w:val="center"/>
          </w:tcPr>
          <w:p w14:paraId="71ECE5AE" w14:textId="77777777" w:rsidR="00207C19" w:rsidRPr="00B0658A" w:rsidRDefault="00207C19" w:rsidP="00FE71B1">
            <w:pPr>
              <w:spacing w:after="0" w:line="240" w:lineRule="auto"/>
              <w:jc w:val="center"/>
              <w:rPr>
                <w:rFonts w:ascii="Times New Roman" w:hAnsi="Times New Roman"/>
                <w:sz w:val="18"/>
                <w:szCs w:val="18"/>
              </w:rPr>
            </w:pPr>
            <w:r w:rsidRPr="00B0658A">
              <w:rPr>
                <w:rFonts w:ascii="Times New Roman" w:hAnsi="Times New Roman"/>
                <w:sz w:val="18"/>
                <w:szCs w:val="18"/>
              </w:rPr>
              <w:t>9.7</w:t>
            </w:r>
          </w:p>
        </w:tc>
        <w:tc>
          <w:tcPr>
            <w:tcW w:w="1182" w:type="pct"/>
            <w:shd w:val="clear" w:color="auto" w:fill="auto"/>
            <w:vAlign w:val="center"/>
          </w:tcPr>
          <w:p w14:paraId="28344983" w14:textId="77777777" w:rsidR="00207C19" w:rsidRPr="00B0658A" w:rsidRDefault="00207C19" w:rsidP="00E766E3">
            <w:pPr>
              <w:spacing w:after="0" w:line="240" w:lineRule="auto"/>
              <w:rPr>
                <w:rFonts w:ascii="Times New Roman" w:hAnsi="Times New Roman"/>
                <w:sz w:val="18"/>
                <w:szCs w:val="18"/>
              </w:rPr>
            </w:pPr>
            <w:r w:rsidRPr="00B0658A">
              <w:rPr>
                <w:rFonts w:ascii="Times New Roman" w:hAnsi="Times New Roman"/>
                <w:sz w:val="18"/>
                <w:szCs w:val="18"/>
              </w:rPr>
              <w:t>Средства управления процессами организации/ Средства финансового менеджмента, управления активами и трудовыми ресурсами (ERP)</w:t>
            </w:r>
          </w:p>
        </w:tc>
        <w:tc>
          <w:tcPr>
            <w:tcW w:w="898" w:type="pct"/>
            <w:shd w:val="clear" w:color="000000" w:fill="FFFFFF"/>
          </w:tcPr>
          <w:p w14:paraId="78F4DF75" w14:textId="77777777" w:rsidR="00207C19" w:rsidRPr="00B0658A" w:rsidRDefault="00207C19" w:rsidP="00E766E3">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7" w:type="pct"/>
            <w:shd w:val="clear" w:color="000000" w:fill="FFFFFF"/>
            <w:vAlign w:val="center"/>
          </w:tcPr>
          <w:p w14:paraId="652D8689"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30%</w:t>
            </w:r>
          </w:p>
        </w:tc>
        <w:tc>
          <w:tcPr>
            <w:tcW w:w="367" w:type="pct"/>
            <w:shd w:val="clear" w:color="000000" w:fill="FFFFFF"/>
            <w:vAlign w:val="center"/>
          </w:tcPr>
          <w:p w14:paraId="1E8F1980"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45%</w:t>
            </w:r>
          </w:p>
        </w:tc>
        <w:tc>
          <w:tcPr>
            <w:tcW w:w="367" w:type="pct"/>
            <w:shd w:val="clear" w:color="000000" w:fill="FFFFFF"/>
            <w:vAlign w:val="center"/>
          </w:tcPr>
          <w:p w14:paraId="72D21445"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60%</w:t>
            </w:r>
          </w:p>
        </w:tc>
        <w:tc>
          <w:tcPr>
            <w:tcW w:w="379" w:type="pct"/>
            <w:shd w:val="clear" w:color="000000" w:fill="FFFFFF"/>
            <w:vAlign w:val="center"/>
          </w:tcPr>
          <w:p w14:paraId="006093EE"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7" w:type="pct"/>
            <w:shd w:val="clear" w:color="000000" w:fill="FFFFFF"/>
            <w:vAlign w:val="center"/>
          </w:tcPr>
          <w:p w14:paraId="1417C47D"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75%</w:t>
            </w:r>
          </w:p>
        </w:tc>
        <w:tc>
          <w:tcPr>
            <w:tcW w:w="367" w:type="pct"/>
            <w:shd w:val="clear" w:color="000000" w:fill="FFFFFF"/>
            <w:vAlign w:val="center"/>
          </w:tcPr>
          <w:p w14:paraId="6ED9BDA2"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90%</w:t>
            </w:r>
          </w:p>
        </w:tc>
        <w:tc>
          <w:tcPr>
            <w:tcW w:w="364" w:type="pct"/>
            <w:shd w:val="clear" w:color="000000" w:fill="FFFFFF"/>
            <w:vAlign w:val="center"/>
          </w:tcPr>
          <w:p w14:paraId="324CF056"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207C19" w:rsidRPr="00B0658A" w14:paraId="104D58DB" w14:textId="77777777" w:rsidTr="00FE71B1">
        <w:trPr>
          <w:trHeight w:val="20"/>
        </w:trPr>
        <w:tc>
          <w:tcPr>
            <w:tcW w:w="342" w:type="pct"/>
            <w:shd w:val="clear" w:color="000000" w:fill="FFFFFF"/>
            <w:vAlign w:val="center"/>
          </w:tcPr>
          <w:p w14:paraId="1F7222ED" w14:textId="77777777" w:rsidR="00207C19" w:rsidRPr="00B0658A" w:rsidRDefault="00207C19" w:rsidP="00FE71B1">
            <w:pPr>
              <w:spacing w:after="0" w:line="240" w:lineRule="auto"/>
              <w:jc w:val="center"/>
              <w:rPr>
                <w:rFonts w:ascii="Times New Roman" w:hAnsi="Times New Roman"/>
                <w:sz w:val="18"/>
                <w:szCs w:val="18"/>
              </w:rPr>
            </w:pPr>
            <w:r w:rsidRPr="00B0658A">
              <w:rPr>
                <w:rFonts w:ascii="Times New Roman" w:hAnsi="Times New Roman"/>
                <w:sz w:val="18"/>
                <w:szCs w:val="18"/>
              </w:rPr>
              <w:t>9.9</w:t>
            </w:r>
          </w:p>
        </w:tc>
        <w:tc>
          <w:tcPr>
            <w:tcW w:w="1182" w:type="pct"/>
            <w:shd w:val="clear" w:color="auto" w:fill="auto"/>
            <w:vAlign w:val="center"/>
          </w:tcPr>
          <w:p w14:paraId="78B2A31A" w14:textId="77777777" w:rsidR="00207C19" w:rsidRPr="00B0658A" w:rsidRDefault="00207C19" w:rsidP="00E766E3">
            <w:pPr>
              <w:spacing w:after="0" w:line="240" w:lineRule="auto"/>
              <w:rPr>
                <w:rFonts w:ascii="Times New Roman" w:hAnsi="Times New Roman"/>
                <w:sz w:val="18"/>
                <w:szCs w:val="18"/>
              </w:rPr>
            </w:pPr>
            <w:r w:rsidRPr="00B0658A">
              <w:rPr>
                <w:rFonts w:ascii="Times New Roman" w:hAnsi="Times New Roman"/>
                <w:sz w:val="18"/>
                <w:szCs w:val="18"/>
              </w:rPr>
              <w:t>Средства управления процессами организации/ Средства управления отношениями с клиентами (CRM)</w:t>
            </w:r>
          </w:p>
        </w:tc>
        <w:tc>
          <w:tcPr>
            <w:tcW w:w="898" w:type="pct"/>
            <w:shd w:val="clear" w:color="000000" w:fill="FFFFFF"/>
          </w:tcPr>
          <w:p w14:paraId="782827CF" w14:textId="77777777" w:rsidR="00207C19" w:rsidRPr="00B0658A" w:rsidRDefault="00207C19" w:rsidP="00E766E3">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7" w:type="pct"/>
            <w:shd w:val="clear" w:color="000000" w:fill="FFFFFF"/>
            <w:vAlign w:val="center"/>
          </w:tcPr>
          <w:p w14:paraId="378C2AB5"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30%</w:t>
            </w:r>
          </w:p>
        </w:tc>
        <w:tc>
          <w:tcPr>
            <w:tcW w:w="367" w:type="pct"/>
            <w:shd w:val="clear" w:color="000000" w:fill="FFFFFF"/>
            <w:vAlign w:val="center"/>
          </w:tcPr>
          <w:p w14:paraId="174F3AFF"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45%</w:t>
            </w:r>
          </w:p>
        </w:tc>
        <w:tc>
          <w:tcPr>
            <w:tcW w:w="367" w:type="pct"/>
            <w:shd w:val="clear" w:color="000000" w:fill="FFFFFF"/>
            <w:vAlign w:val="center"/>
          </w:tcPr>
          <w:p w14:paraId="559708ED"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60%</w:t>
            </w:r>
          </w:p>
        </w:tc>
        <w:tc>
          <w:tcPr>
            <w:tcW w:w="379" w:type="pct"/>
            <w:shd w:val="clear" w:color="000000" w:fill="FFFFFF"/>
            <w:vAlign w:val="center"/>
          </w:tcPr>
          <w:p w14:paraId="1E3E4018"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7" w:type="pct"/>
            <w:shd w:val="clear" w:color="000000" w:fill="FFFFFF"/>
            <w:vAlign w:val="center"/>
          </w:tcPr>
          <w:p w14:paraId="552DA3F2"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75%</w:t>
            </w:r>
          </w:p>
        </w:tc>
        <w:tc>
          <w:tcPr>
            <w:tcW w:w="367" w:type="pct"/>
            <w:shd w:val="clear" w:color="000000" w:fill="FFFFFF"/>
            <w:vAlign w:val="center"/>
          </w:tcPr>
          <w:p w14:paraId="52F762D7"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90%</w:t>
            </w:r>
          </w:p>
        </w:tc>
        <w:tc>
          <w:tcPr>
            <w:tcW w:w="364" w:type="pct"/>
            <w:shd w:val="clear" w:color="000000" w:fill="FFFFFF"/>
            <w:vAlign w:val="center"/>
          </w:tcPr>
          <w:p w14:paraId="7797A978"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207C19" w:rsidRPr="00B0658A" w14:paraId="73164C9F" w14:textId="77777777" w:rsidTr="00FE71B1">
        <w:trPr>
          <w:trHeight w:val="20"/>
        </w:trPr>
        <w:tc>
          <w:tcPr>
            <w:tcW w:w="342" w:type="pct"/>
            <w:shd w:val="clear" w:color="000000" w:fill="FFFFFF"/>
            <w:vAlign w:val="center"/>
          </w:tcPr>
          <w:p w14:paraId="02569192" w14:textId="77777777" w:rsidR="00207C19" w:rsidRPr="00B0658A" w:rsidRDefault="00207C19" w:rsidP="00FE71B1">
            <w:pPr>
              <w:spacing w:after="0" w:line="240" w:lineRule="auto"/>
              <w:jc w:val="center"/>
              <w:rPr>
                <w:rFonts w:ascii="Times New Roman" w:hAnsi="Times New Roman"/>
                <w:sz w:val="18"/>
                <w:szCs w:val="18"/>
              </w:rPr>
            </w:pPr>
            <w:r w:rsidRPr="00B0658A">
              <w:rPr>
                <w:rFonts w:ascii="Times New Roman" w:hAnsi="Times New Roman"/>
                <w:sz w:val="18"/>
                <w:szCs w:val="18"/>
              </w:rPr>
              <w:t>9.10</w:t>
            </w:r>
          </w:p>
        </w:tc>
        <w:tc>
          <w:tcPr>
            <w:tcW w:w="1182" w:type="pct"/>
            <w:shd w:val="clear" w:color="auto" w:fill="auto"/>
            <w:vAlign w:val="center"/>
          </w:tcPr>
          <w:p w14:paraId="4E1B3081" w14:textId="77777777" w:rsidR="00207C19" w:rsidRPr="00B0658A" w:rsidRDefault="00207C19" w:rsidP="00E766E3">
            <w:pPr>
              <w:spacing w:after="0" w:line="240" w:lineRule="auto"/>
              <w:rPr>
                <w:rFonts w:ascii="Times New Roman" w:hAnsi="Times New Roman"/>
                <w:sz w:val="18"/>
                <w:szCs w:val="18"/>
              </w:rPr>
            </w:pPr>
            <w:r w:rsidRPr="00B0658A">
              <w:rPr>
                <w:rFonts w:ascii="Times New Roman" w:hAnsi="Times New Roman"/>
                <w:sz w:val="18"/>
                <w:szCs w:val="18"/>
              </w:rPr>
              <w:t>Средства управления процессами организации/ Средства управления ИТ-службой, ИТ-инфраструктурой и ИТ-активами (ITSM-ServiceDesk, SCCM, Asset Management)</w:t>
            </w:r>
          </w:p>
        </w:tc>
        <w:tc>
          <w:tcPr>
            <w:tcW w:w="898" w:type="pct"/>
            <w:shd w:val="clear" w:color="000000" w:fill="FFFFFF"/>
          </w:tcPr>
          <w:p w14:paraId="0420B3FD" w14:textId="77777777" w:rsidR="00207C19" w:rsidRPr="00B0658A" w:rsidRDefault="00207C19" w:rsidP="00E766E3">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7" w:type="pct"/>
            <w:shd w:val="clear" w:color="000000" w:fill="FFFFFF"/>
            <w:vAlign w:val="center"/>
          </w:tcPr>
          <w:p w14:paraId="75A5A355"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30%</w:t>
            </w:r>
          </w:p>
        </w:tc>
        <w:tc>
          <w:tcPr>
            <w:tcW w:w="367" w:type="pct"/>
            <w:shd w:val="clear" w:color="000000" w:fill="FFFFFF"/>
            <w:vAlign w:val="center"/>
          </w:tcPr>
          <w:p w14:paraId="6E77FD72"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45%</w:t>
            </w:r>
          </w:p>
        </w:tc>
        <w:tc>
          <w:tcPr>
            <w:tcW w:w="367" w:type="pct"/>
            <w:shd w:val="clear" w:color="000000" w:fill="FFFFFF"/>
            <w:vAlign w:val="center"/>
          </w:tcPr>
          <w:p w14:paraId="0C42EB23"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60%</w:t>
            </w:r>
          </w:p>
        </w:tc>
        <w:tc>
          <w:tcPr>
            <w:tcW w:w="379" w:type="pct"/>
            <w:shd w:val="clear" w:color="000000" w:fill="FFFFFF"/>
            <w:vAlign w:val="center"/>
          </w:tcPr>
          <w:p w14:paraId="7E4366C4"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7" w:type="pct"/>
            <w:shd w:val="clear" w:color="000000" w:fill="FFFFFF"/>
            <w:vAlign w:val="center"/>
          </w:tcPr>
          <w:p w14:paraId="7ACA7139"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75%</w:t>
            </w:r>
          </w:p>
        </w:tc>
        <w:tc>
          <w:tcPr>
            <w:tcW w:w="367" w:type="pct"/>
            <w:shd w:val="clear" w:color="000000" w:fill="FFFFFF"/>
            <w:vAlign w:val="center"/>
          </w:tcPr>
          <w:p w14:paraId="43669A02"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90%</w:t>
            </w:r>
          </w:p>
        </w:tc>
        <w:tc>
          <w:tcPr>
            <w:tcW w:w="364" w:type="pct"/>
            <w:shd w:val="clear" w:color="000000" w:fill="FFFFFF"/>
            <w:vAlign w:val="center"/>
          </w:tcPr>
          <w:p w14:paraId="522F13C5"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207C19" w:rsidRPr="00B0658A" w14:paraId="34A430D9" w14:textId="77777777" w:rsidTr="00FE71B1">
        <w:trPr>
          <w:trHeight w:val="20"/>
        </w:trPr>
        <w:tc>
          <w:tcPr>
            <w:tcW w:w="342" w:type="pct"/>
            <w:shd w:val="clear" w:color="000000" w:fill="FFFFFF"/>
            <w:vAlign w:val="center"/>
          </w:tcPr>
          <w:p w14:paraId="39866AB8" w14:textId="77777777" w:rsidR="00207C19" w:rsidRPr="00B0658A" w:rsidRDefault="00207C19" w:rsidP="00FE71B1">
            <w:pPr>
              <w:spacing w:after="0" w:line="240" w:lineRule="auto"/>
              <w:jc w:val="center"/>
              <w:rPr>
                <w:rFonts w:ascii="Times New Roman" w:hAnsi="Times New Roman"/>
                <w:sz w:val="18"/>
                <w:szCs w:val="18"/>
              </w:rPr>
            </w:pPr>
            <w:r w:rsidRPr="00B0658A">
              <w:rPr>
                <w:rFonts w:ascii="Times New Roman" w:hAnsi="Times New Roman"/>
                <w:sz w:val="18"/>
                <w:szCs w:val="18"/>
              </w:rPr>
              <w:t>9.11</w:t>
            </w:r>
          </w:p>
        </w:tc>
        <w:tc>
          <w:tcPr>
            <w:tcW w:w="1182" w:type="pct"/>
            <w:shd w:val="clear" w:color="auto" w:fill="auto"/>
            <w:vAlign w:val="center"/>
          </w:tcPr>
          <w:p w14:paraId="74B8F187" w14:textId="77777777" w:rsidR="00207C19" w:rsidRPr="00B0658A" w:rsidRDefault="00207C19" w:rsidP="00E766E3">
            <w:pPr>
              <w:suppressAutoHyphens/>
              <w:spacing w:after="0" w:line="240" w:lineRule="auto"/>
              <w:rPr>
                <w:rFonts w:ascii="Times New Roman" w:hAnsi="Times New Roman"/>
                <w:sz w:val="18"/>
                <w:szCs w:val="18"/>
              </w:rPr>
            </w:pPr>
            <w:r w:rsidRPr="00B0658A">
              <w:rPr>
                <w:rFonts w:ascii="Times New Roman" w:hAnsi="Times New Roman"/>
                <w:sz w:val="18"/>
                <w:szCs w:val="18"/>
              </w:rPr>
              <w:t xml:space="preserve">Средства управления процессами организации/ Средства управления содержимым (CMS), сайты </w:t>
            </w:r>
          </w:p>
          <w:p w14:paraId="7616BC54" w14:textId="77777777" w:rsidR="00207C19" w:rsidRPr="00B0658A" w:rsidRDefault="00207C19" w:rsidP="00E766E3">
            <w:pPr>
              <w:spacing w:after="0" w:line="240" w:lineRule="auto"/>
              <w:rPr>
                <w:rFonts w:ascii="Times New Roman" w:hAnsi="Times New Roman"/>
                <w:sz w:val="18"/>
                <w:szCs w:val="18"/>
              </w:rPr>
            </w:pPr>
            <w:r w:rsidRPr="00B0658A">
              <w:rPr>
                <w:rFonts w:ascii="Times New Roman" w:hAnsi="Times New Roman"/>
                <w:sz w:val="18"/>
                <w:szCs w:val="18"/>
              </w:rPr>
              <w:t>и портальные решения</w:t>
            </w:r>
          </w:p>
        </w:tc>
        <w:tc>
          <w:tcPr>
            <w:tcW w:w="898" w:type="pct"/>
            <w:shd w:val="clear" w:color="000000" w:fill="FFFFFF"/>
          </w:tcPr>
          <w:p w14:paraId="6143DF1F" w14:textId="77777777" w:rsidR="00207C19" w:rsidRPr="00B0658A" w:rsidRDefault="00207C19" w:rsidP="00E766E3">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7" w:type="pct"/>
            <w:shd w:val="clear" w:color="000000" w:fill="FFFFFF"/>
            <w:vAlign w:val="center"/>
          </w:tcPr>
          <w:p w14:paraId="03D384CD"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35%</w:t>
            </w:r>
          </w:p>
        </w:tc>
        <w:tc>
          <w:tcPr>
            <w:tcW w:w="367" w:type="pct"/>
            <w:shd w:val="clear" w:color="000000" w:fill="FFFFFF"/>
            <w:vAlign w:val="center"/>
          </w:tcPr>
          <w:p w14:paraId="649A6C76"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45%</w:t>
            </w:r>
          </w:p>
        </w:tc>
        <w:tc>
          <w:tcPr>
            <w:tcW w:w="367" w:type="pct"/>
            <w:shd w:val="clear" w:color="000000" w:fill="FFFFFF"/>
            <w:vAlign w:val="center"/>
          </w:tcPr>
          <w:p w14:paraId="133FC95B"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55%</w:t>
            </w:r>
          </w:p>
        </w:tc>
        <w:tc>
          <w:tcPr>
            <w:tcW w:w="379" w:type="pct"/>
            <w:shd w:val="clear" w:color="000000" w:fill="FFFFFF"/>
            <w:vAlign w:val="center"/>
          </w:tcPr>
          <w:p w14:paraId="111C5D69"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7" w:type="pct"/>
            <w:shd w:val="clear" w:color="000000" w:fill="FFFFFF"/>
            <w:vAlign w:val="center"/>
          </w:tcPr>
          <w:p w14:paraId="08384536"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70%</w:t>
            </w:r>
          </w:p>
        </w:tc>
        <w:tc>
          <w:tcPr>
            <w:tcW w:w="367" w:type="pct"/>
            <w:shd w:val="clear" w:color="000000" w:fill="FFFFFF"/>
            <w:vAlign w:val="center"/>
          </w:tcPr>
          <w:p w14:paraId="71C3E7B4"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90%</w:t>
            </w:r>
          </w:p>
        </w:tc>
        <w:tc>
          <w:tcPr>
            <w:tcW w:w="364" w:type="pct"/>
            <w:shd w:val="clear" w:color="000000" w:fill="FFFFFF"/>
            <w:vAlign w:val="center"/>
          </w:tcPr>
          <w:p w14:paraId="039CE259"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207C19" w:rsidRPr="00B0658A" w14:paraId="0626327A" w14:textId="77777777" w:rsidTr="00FE71B1">
        <w:trPr>
          <w:trHeight w:val="20"/>
        </w:trPr>
        <w:tc>
          <w:tcPr>
            <w:tcW w:w="342" w:type="pct"/>
            <w:shd w:val="clear" w:color="000000" w:fill="FFFFFF"/>
            <w:vAlign w:val="center"/>
          </w:tcPr>
          <w:p w14:paraId="19F2B75F" w14:textId="77777777" w:rsidR="00207C19" w:rsidRPr="00B0658A" w:rsidRDefault="00207C19" w:rsidP="00FE71B1">
            <w:pPr>
              <w:spacing w:after="0" w:line="240" w:lineRule="auto"/>
              <w:jc w:val="center"/>
              <w:rPr>
                <w:rFonts w:ascii="Times New Roman" w:hAnsi="Times New Roman"/>
                <w:sz w:val="18"/>
                <w:szCs w:val="18"/>
              </w:rPr>
            </w:pPr>
            <w:r w:rsidRPr="00B0658A">
              <w:rPr>
                <w:rFonts w:ascii="Times New Roman" w:hAnsi="Times New Roman"/>
                <w:sz w:val="18"/>
                <w:szCs w:val="18"/>
              </w:rPr>
              <w:t>9.12</w:t>
            </w:r>
          </w:p>
        </w:tc>
        <w:tc>
          <w:tcPr>
            <w:tcW w:w="1182" w:type="pct"/>
            <w:shd w:val="clear" w:color="auto" w:fill="auto"/>
            <w:vAlign w:val="center"/>
          </w:tcPr>
          <w:p w14:paraId="0F717661" w14:textId="77777777" w:rsidR="00207C19" w:rsidRPr="00B0658A" w:rsidRDefault="00207C19" w:rsidP="00E766E3">
            <w:pPr>
              <w:spacing w:after="0" w:line="240" w:lineRule="auto"/>
              <w:rPr>
                <w:rFonts w:ascii="Times New Roman" w:hAnsi="Times New Roman"/>
                <w:sz w:val="18"/>
                <w:szCs w:val="18"/>
              </w:rPr>
            </w:pPr>
            <w:r w:rsidRPr="00B0658A">
              <w:rPr>
                <w:rFonts w:ascii="Times New Roman" w:hAnsi="Times New Roman"/>
                <w:sz w:val="18"/>
                <w:szCs w:val="18"/>
              </w:rPr>
              <w:t>Средства управления процессами организации/ Средства электронной коммерции (e-commerce platform)</w:t>
            </w:r>
          </w:p>
        </w:tc>
        <w:tc>
          <w:tcPr>
            <w:tcW w:w="898" w:type="pct"/>
            <w:shd w:val="clear" w:color="000000" w:fill="FFFFFF"/>
          </w:tcPr>
          <w:p w14:paraId="0ED729EE" w14:textId="77777777" w:rsidR="00207C19" w:rsidRPr="00B0658A" w:rsidRDefault="00207C19" w:rsidP="00E766E3">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7" w:type="pct"/>
            <w:shd w:val="clear" w:color="000000" w:fill="FFFFFF"/>
            <w:vAlign w:val="center"/>
          </w:tcPr>
          <w:p w14:paraId="6F7035E6"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35%</w:t>
            </w:r>
          </w:p>
        </w:tc>
        <w:tc>
          <w:tcPr>
            <w:tcW w:w="367" w:type="pct"/>
            <w:shd w:val="clear" w:color="000000" w:fill="FFFFFF"/>
            <w:vAlign w:val="center"/>
          </w:tcPr>
          <w:p w14:paraId="3ED0995D"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50%</w:t>
            </w:r>
          </w:p>
        </w:tc>
        <w:tc>
          <w:tcPr>
            <w:tcW w:w="367" w:type="pct"/>
            <w:shd w:val="clear" w:color="000000" w:fill="FFFFFF"/>
            <w:vAlign w:val="center"/>
          </w:tcPr>
          <w:p w14:paraId="63985256"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60%</w:t>
            </w:r>
          </w:p>
        </w:tc>
        <w:tc>
          <w:tcPr>
            <w:tcW w:w="379" w:type="pct"/>
            <w:shd w:val="clear" w:color="000000" w:fill="FFFFFF"/>
            <w:vAlign w:val="center"/>
          </w:tcPr>
          <w:p w14:paraId="659B8701"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7" w:type="pct"/>
            <w:shd w:val="clear" w:color="000000" w:fill="FFFFFF"/>
            <w:vAlign w:val="center"/>
          </w:tcPr>
          <w:p w14:paraId="1A97226F"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80%</w:t>
            </w:r>
          </w:p>
        </w:tc>
        <w:tc>
          <w:tcPr>
            <w:tcW w:w="367" w:type="pct"/>
            <w:shd w:val="clear" w:color="000000" w:fill="FFFFFF"/>
            <w:vAlign w:val="center"/>
          </w:tcPr>
          <w:p w14:paraId="3310B379"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4" w:type="pct"/>
            <w:shd w:val="clear" w:color="000000" w:fill="FFFFFF"/>
            <w:vAlign w:val="center"/>
          </w:tcPr>
          <w:p w14:paraId="22C1F6CF"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207C19" w:rsidRPr="00B0658A" w14:paraId="2708B9DC" w14:textId="77777777" w:rsidTr="00FE71B1">
        <w:trPr>
          <w:trHeight w:val="20"/>
        </w:trPr>
        <w:tc>
          <w:tcPr>
            <w:tcW w:w="342" w:type="pct"/>
            <w:shd w:val="clear" w:color="000000" w:fill="FFFFFF"/>
            <w:vAlign w:val="center"/>
          </w:tcPr>
          <w:p w14:paraId="026B2C8B" w14:textId="77777777" w:rsidR="00207C19" w:rsidRPr="00B0658A" w:rsidRDefault="00207C19" w:rsidP="00FE71B1">
            <w:pPr>
              <w:spacing w:after="0" w:line="240" w:lineRule="auto"/>
              <w:jc w:val="center"/>
              <w:rPr>
                <w:rFonts w:ascii="Times New Roman" w:hAnsi="Times New Roman"/>
                <w:sz w:val="18"/>
                <w:szCs w:val="18"/>
              </w:rPr>
            </w:pPr>
            <w:r w:rsidRPr="00B0658A">
              <w:rPr>
                <w:rFonts w:ascii="Times New Roman" w:hAnsi="Times New Roman"/>
                <w:sz w:val="18"/>
                <w:szCs w:val="18"/>
              </w:rPr>
              <w:t>9.13</w:t>
            </w:r>
          </w:p>
        </w:tc>
        <w:tc>
          <w:tcPr>
            <w:tcW w:w="1182" w:type="pct"/>
            <w:shd w:val="clear" w:color="auto" w:fill="auto"/>
            <w:vAlign w:val="center"/>
          </w:tcPr>
          <w:p w14:paraId="64988924" w14:textId="77777777" w:rsidR="00207C19" w:rsidRPr="00B0658A" w:rsidRDefault="00207C19" w:rsidP="00E766E3">
            <w:pPr>
              <w:spacing w:after="0" w:line="240" w:lineRule="auto"/>
              <w:rPr>
                <w:rFonts w:ascii="Times New Roman" w:hAnsi="Times New Roman"/>
                <w:sz w:val="18"/>
                <w:szCs w:val="18"/>
              </w:rPr>
            </w:pPr>
            <w:r w:rsidRPr="00B0658A">
              <w:rPr>
                <w:rFonts w:ascii="Times New Roman" w:hAnsi="Times New Roman"/>
                <w:sz w:val="18"/>
                <w:szCs w:val="18"/>
              </w:rPr>
              <w:t>Средства управления процессами организации/ Средства управления складом и цепочками поставок (WMS, SCM)</w:t>
            </w:r>
          </w:p>
        </w:tc>
        <w:tc>
          <w:tcPr>
            <w:tcW w:w="898" w:type="pct"/>
            <w:shd w:val="clear" w:color="000000" w:fill="FFFFFF"/>
          </w:tcPr>
          <w:p w14:paraId="4AD21035" w14:textId="77777777" w:rsidR="00207C19" w:rsidRPr="00B0658A" w:rsidRDefault="00207C19" w:rsidP="00E766E3">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7" w:type="pct"/>
            <w:shd w:val="clear" w:color="000000" w:fill="FFFFFF"/>
            <w:vAlign w:val="center"/>
          </w:tcPr>
          <w:p w14:paraId="77C4A1D5"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35%</w:t>
            </w:r>
          </w:p>
        </w:tc>
        <w:tc>
          <w:tcPr>
            <w:tcW w:w="367" w:type="pct"/>
            <w:shd w:val="clear" w:color="000000" w:fill="FFFFFF"/>
            <w:vAlign w:val="center"/>
          </w:tcPr>
          <w:p w14:paraId="4D816DC0"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55%</w:t>
            </w:r>
          </w:p>
        </w:tc>
        <w:tc>
          <w:tcPr>
            <w:tcW w:w="367" w:type="pct"/>
            <w:shd w:val="clear" w:color="000000" w:fill="FFFFFF"/>
            <w:vAlign w:val="center"/>
          </w:tcPr>
          <w:p w14:paraId="795C44E0"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75%</w:t>
            </w:r>
          </w:p>
        </w:tc>
        <w:tc>
          <w:tcPr>
            <w:tcW w:w="379" w:type="pct"/>
            <w:shd w:val="clear" w:color="000000" w:fill="FFFFFF"/>
            <w:vAlign w:val="center"/>
          </w:tcPr>
          <w:p w14:paraId="63CB3551"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7" w:type="pct"/>
            <w:shd w:val="clear" w:color="000000" w:fill="FFFFFF"/>
            <w:vAlign w:val="center"/>
          </w:tcPr>
          <w:p w14:paraId="05C94CA8"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90%</w:t>
            </w:r>
          </w:p>
        </w:tc>
        <w:tc>
          <w:tcPr>
            <w:tcW w:w="367" w:type="pct"/>
            <w:shd w:val="clear" w:color="000000" w:fill="FFFFFF"/>
            <w:vAlign w:val="center"/>
          </w:tcPr>
          <w:p w14:paraId="168E6F8C"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4" w:type="pct"/>
            <w:shd w:val="clear" w:color="000000" w:fill="FFFFFF"/>
            <w:vAlign w:val="center"/>
          </w:tcPr>
          <w:p w14:paraId="715A0F45"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207C19" w:rsidRPr="00B0658A" w14:paraId="6E8D8DD7" w14:textId="77777777" w:rsidTr="00FE71B1">
        <w:trPr>
          <w:trHeight w:val="20"/>
        </w:trPr>
        <w:tc>
          <w:tcPr>
            <w:tcW w:w="342" w:type="pct"/>
            <w:shd w:val="clear" w:color="000000" w:fill="FFFFFF"/>
            <w:vAlign w:val="center"/>
          </w:tcPr>
          <w:p w14:paraId="14CF0710" w14:textId="77777777" w:rsidR="00207C19" w:rsidRPr="00B0658A" w:rsidRDefault="00207C19" w:rsidP="00FE71B1">
            <w:pPr>
              <w:spacing w:after="0" w:line="240" w:lineRule="auto"/>
              <w:jc w:val="center"/>
              <w:rPr>
                <w:rFonts w:ascii="Times New Roman" w:hAnsi="Times New Roman"/>
                <w:sz w:val="18"/>
                <w:szCs w:val="18"/>
              </w:rPr>
            </w:pPr>
            <w:r w:rsidRPr="00B0658A">
              <w:rPr>
                <w:rFonts w:ascii="Times New Roman" w:hAnsi="Times New Roman"/>
                <w:sz w:val="18"/>
                <w:szCs w:val="18"/>
              </w:rPr>
              <w:t>9.14</w:t>
            </w:r>
          </w:p>
        </w:tc>
        <w:tc>
          <w:tcPr>
            <w:tcW w:w="1182" w:type="pct"/>
            <w:shd w:val="clear" w:color="auto" w:fill="auto"/>
            <w:vAlign w:val="center"/>
          </w:tcPr>
          <w:p w14:paraId="654EB7FE" w14:textId="77777777" w:rsidR="00207C19" w:rsidRPr="00B0658A" w:rsidRDefault="00207C19" w:rsidP="00E766E3">
            <w:pPr>
              <w:spacing w:after="0" w:line="240" w:lineRule="auto"/>
              <w:rPr>
                <w:rFonts w:ascii="Times New Roman" w:hAnsi="Times New Roman"/>
                <w:sz w:val="18"/>
                <w:szCs w:val="18"/>
              </w:rPr>
            </w:pPr>
            <w:r w:rsidRPr="00B0658A">
              <w:rPr>
                <w:rFonts w:ascii="Times New Roman" w:hAnsi="Times New Roman"/>
                <w:sz w:val="18"/>
                <w:szCs w:val="18"/>
              </w:rPr>
              <w:t>Средства управления процессами организации/ Средства централизованного управления конечными устройствами</w:t>
            </w:r>
          </w:p>
        </w:tc>
        <w:tc>
          <w:tcPr>
            <w:tcW w:w="898" w:type="pct"/>
            <w:shd w:val="clear" w:color="000000" w:fill="FFFFFF"/>
          </w:tcPr>
          <w:p w14:paraId="17F57A8B" w14:textId="77777777" w:rsidR="00207C19" w:rsidRPr="00B0658A" w:rsidRDefault="00207C19" w:rsidP="00E766E3">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7" w:type="pct"/>
            <w:shd w:val="clear" w:color="000000" w:fill="FFFFFF"/>
            <w:vAlign w:val="center"/>
          </w:tcPr>
          <w:p w14:paraId="3F6AF638"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25%</w:t>
            </w:r>
          </w:p>
        </w:tc>
        <w:tc>
          <w:tcPr>
            <w:tcW w:w="367" w:type="pct"/>
            <w:shd w:val="clear" w:color="000000" w:fill="FFFFFF"/>
            <w:vAlign w:val="center"/>
          </w:tcPr>
          <w:p w14:paraId="0574A660"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35%</w:t>
            </w:r>
          </w:p>
        </w:tc>
        <w:tc>
          <w:tcPr>
            <w:tcW w:w="367" w:type="pct"/>
            <w:shd w:val="clear" w:color="000000" w:fill="FFFFFF"/>
            <w:vAlign w:val="center"/>
          </w:tcPr>
          <w:p w14:paraId="671F7728"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50%</w:t>
            </w:r>
          </w:p>
        </w:tc>
        <w:tc>
          <w:tcPr>
            <w:tcW w:w="379" w:type="pct"/>
            <w:shd w:val="clear" w:color="000000" w:fill="FFFFFF"/>
            <w:vAlign w:val="center"/>
          </w:tcPr>
          <w:p w14:paraId="3D2B21E8"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7" w:type="pct"/>
            <w:shd w:val="clear" w:color="000000" w:fill="FFFFFF"/>
            <w:vAlign w:val="center"/>
          </w:tcPr>
          <w:p w14:paraId="3AC09C18"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75%</w:t>
            </w:r>
          </w:p>
        </w:tc>
        <w:tc>
          <w:tcPr>
            <w:tcW w:w="367" w:type="pct"/>
            <w:shd w:val="clear" w:color="000000" w:fill="FFFFFF"/>
            <w:vAlign w:val="center"/>
          </w:tcPr>
          <w:p w14:paraId="0A312442"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85%</w:t>
            </w:r>
          </w:p>
        </w:tc>
        <w:tc>
          <w:tcPr>
            <w:tcW w:w="364" w:type="pct"/>
            <w:shd w:val="clear" w:color="000000" w:fill="FFFFFF"/>
            <w:vAlign w:val="center"/>
          </w:tcPr>
          <w:p w14:paraId="1A489BCB"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207C19" w:rsidRPr="00B0658A" w14:paraId="42D7656E" w14:textId="77777777" w:rsidTr="00FE71B1">
        <w:trPr>
          <w:trHeight w:val="20"/>
        </w:trPr>
        <w:tc>
          <w:tcPr>
            <w:tcW w:w="342" w:type="pct"/>
            <w:shd w:val="clear" w:color="000000" w:fill="FFFFFF"/>
            <w:vAlign w:val="center"/>
          </w:tcPr>
          <w:p w14:paraId="47875BCE" w14:textId="77777777" w:rsidR="00207C19" w:rsidRPr="00B0658A" w:rsidRDefault="00207C19" w:rsidP="00FE71B1">
            <w:pPr>
              <w:spacing w:after="0" w:line="240" w:lineRule="auto"/>
              <w:jc w:val="center"/>
              <w:rPr>
                <w:rFonts w:ascii="Times New Roman" w:hAnsi="Times New Roman"/>
                <w:sz w:val="18"/>
                <w:szCs w:val="18"/>
              </w:rPr>
            </w:pPr>
            <w:r w:rsidRPr="00B0658A">
              <w:rPr>
                <w:rFonts w:ascii="Times New Roman" w:hAnsi="Times New Roman"/>
                <w:sz w:val="18"/>
                <w:szCs w:val="18"/>
              </w:rPr>
              <w:t>10.1</w:t>
            </w:r>
          </w:p>
        </w:tc>
        <w:tc>
          <w:tcPr>
            <w:tcW w:w="1182" w:type="pct"/>
            <w:shd w:val="clear" w:color="auto" w:fill="auto"/>
            <w:vAlign w:val="center"/>
          </w:tcPr>
          <w:p w14:paraId="2ED9BA7D" w14:textId="77777777" w:rsidR="00207C19" w:rsidRPr="00B0658A" w:rsidRDefault="00207C19" w:rsidP="00E766E3">
            <w:pPr>
              <w:spacing w:after="0" w:line="240" w:lineRule="auto"/>
              <w:rPr>
                <w:rFonts w:ascii="Times New Roman" w:hAnsi="Times New Roman"/>
                <w:sz w:val="18"/>
                <w:szCs w:val="18"/>
              </w:rPr>
            </w:pPr>
            <w:r w:rsidRPr="00B0658A">
              <w:rPr>
                <w:rFonts w:ascii="Times New Roman" w:hAnsi="Times New Roman"/>
                <w:sz w:val="18"/>
                <w:szCs w:val="18"/>
              </w:rPr>
              <w:t>Средства обработки и визуализации массивов данных/ Средства обработки Больших Данных (BigData)</w:t>
            </w:r>
          </w:p>
        </w:tc>
        <w:tc>
          <w:tcPr>
            <w:tcW w:w="898" w:type="pct"/>
            <w:shd w:val="clear" w:color="000000" w:fill="FFFFFF"/>
          </w:tcPr>
          <w:p w14:paraId="71D42047" w14:textId="77777777" w:rsidR="00207C19" w:rsidRPr="00B0658A" w:rsidRDefault="00207C19" w:rsidP="00E766E3">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7" w:type="pct"/>
            <w:shd w:val="clear" w:color="000000" w:fill="FFFFFF"/>
            <w:vAlign w:val="center"/>
          </w:tcPr>
          <w:p w14:paraId="71E73FF2"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35%</w:t>
            </w:r>
          </w:p>
        </w:tc>
        <w:tc>
          <w:tcPr>
            <w:tcW w:w="367" w:type="pct"/>
            <w:shd w:val="clear" w:color="000000" w:fill="FFFFFF"/>
            <w:vAlign w:val="center"/>
          </w:tcPr>
          <w:p w14:paraId="4F8D265E"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45%</w:t>
            </w:r>
          </w:p>
        </w:tc>
        <w:tc>
          <w:tcPr>
            <w:tcW w:w="367" w:type="pct"/>
            <w:shd w:val="clear" w:color="000000" w:fill="FFFFFF"/>
            <w:vAlign w:val="center"/>
          </w:tcPr>
          <w:p w14:paraId="7505BCF0"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55%</w:t>
            </w:r>
          </w:p>
        </w:tc>
        <w:tc>
          <w:tcPr>
            <w:tcW w:w="379" w:type="pct"/>
            <w:shd w:val="clear" w:color="000000" w:fill="FFFFFF"/>
            <w:vAlign w:val="center"/>
          </w:tcPr>
          <w:p w14:paraId="782E2664"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7" w:type="pct"/>
            <w:shd w:val="clear" w:color="000000" w:fill="FFFFFF"/>
            <w:vAlign w:val="center"/>
          </w:tcPr>
          <w:p w14:paraId="1D83B70D"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70%</w:t>
            </w:r>
          </w:p>
        </w:tc>
        <w:tc>
          <w:tcPr>
            <w:tcW w:w="367" w:type="pct"/>
            <w:shd w:val="clear" w:color="000000" w:fill="FFFFFF"/>
            <w:vAlign w:val="center"/>
          </w:tcPr>
          <w:p w14:paraId="611236C7"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90%</w:t>
            </w:r>
          </w:p>
        </w:tc>
        <w:tc>
          <w:tcPr>
            <w:tcW w:w="364" w:type="pct"/>
            <w:shd w:val="clear" w:color="000000" w:fill="FFFFFF"/>
            <w:vAlign w:val="center"/>
          </w:tcPr>
          <w:p w14:paraId="12CC4DF5"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207C19" w:rsidRPr="00B0658A" w14:paraId="1D6FA3A8" w14:textId="77777777" w:rsidTr="00FE71B1">
        <w:trPr>
          <w:trHeight w:val="20"/>
        </w:trPr>
        <w:tc>
          <w:tcPr>
            <w:tcW w:w="342" w:type="pct"/>
            <w:shd w:val="clear" w:color="000000" w:fill="FFFFFF"/>
            <w:vAlign w:val="center"/>
          </w:tcPr>
          <w:p w14:paraId="5C5AF3FE" w14:textId="77777777" w:rsidR="00207C19" w:rsidRPr="00B0658A" w:rsidRDefault="00207C19" w:rsidP="00FE71B1">
            <w:pPr>
              <w:spacing w:after="0" w:line="240" w:lineRule="auto"/>
              <w:jc w:val="center"/>
              <w:rPr>
                <w:rFonts w:ascii="Times New Roman" w:hAnsi="Times New Roman"/>
                <w:sz w:val="18"/>
                <w:szCs w:val="18"/>
              </w:rPr>
            </w:pPr>
            <w:r w:rsidRPr="00B0658A">
              <w:rPr>
                <w:rFonts w:ascii="Times New Roman" w:hAnsi="Times New Roman"/>
                <w:sz w:val="18"/>
                <w:szCs w:val="18"/>
              </w:rPr>
              <w:t>10.2</w:t>
            </w:r>
          </w:p>
        </w:tc>
        <w:tc>
          <w:tcPr>
            <w:tcW w:w="1182" w:type="pct"/>
            <w:shd w:val="clear" w:color="auto" w:fill="auto"/>
            <w:vAlign w:val="center"/>
          </w:tcPr>
          <w:p w14:paraId="284F389B" w14:textId="77777777" w:rsidR="00207C19" w:rsidRPr="00B0658A" w:rsidRDefault="00207C19" w:rsidP="00E766E3">
            <w:pPr>
              <w:spacing w:after="0" w:line="240" w:lineRule="auto"/>
              <w:rPr>
                <w:rFonts w:ascii="Times New Roman" w:hAnsi="Times New Roman"/>
                <w:sz w:val="18"/>
                <w:szCs w:val="18"/>
              </w:rPr>
            </w:pPr>
            <w:r w:rsidRPr="00B0658A">
              <w:rPr>
                <w:rFonts w:ascii="Times New Roman" w:hAnsi="Times New Roman"/>
                <w:sz w:val="18"/>
                <w:szCs w:val="18"/>
              </w:rPr>
              <w:t>Средства обработки и визуализации массивов данных/ Средства обработки и анализа геологических и геофизических данных</w:t>
            </w:r>
          </w:p>
        </w:tc>
        <w:tc>
          <w:tcPr>
            <w:tcW w:w="898" w:type="pct"/>
            <w:shd w:val="clear" w:color="000000" w:fill="FFFFFF"/>
          </w:tcPr>
          <w:p w14:paraId="023B6A47" w14:textId="77777777" w:rsidR="00207C19" w:rsidRPr="00B0658A" w:rsidRDefault="00207C19" w:rsidP="00E766E3">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7" w:type="pct"/>
            <w:shd w:val="clear" w:color="000000" w:fill="FFFFFF"/>
            <w:vAlign w:val="center"/>
          </w:tcPr>
          <w:p w14:paraId="3C68E2B6"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25%</w:t>
            </w:r>
          </w:p>
        </w:tc>
        <w:tc>
          <w:tcPr>
            <w:tcW w:w="367" w:type="pct"/>
            <w:shd w:val="clear" w:color="000000" w:fill="FFFFFF"/>
            <w:vAlign w:val="center"/>
          </w:tcPr>
          <w:p w14:paraId="1ECE2D73"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40%</w:t>
            </w:r>
          </w:p>
        </w:tc>
        <w:tc>
          <w:tcPr>
            <w:tcW w:w="367" w:type="pct"/>
            <w:shd w:val="clear" w:color="000000" w:fill="FFFFFF"/>
            <w:vAlign w:val="center"/>
          </w:tcPr>
          <w:p w14:paraId="66B24A46"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60%</w:t>
            </w:r>
          </w:p>
        </w:tc>
        <w:tc>
          <w:tcPr>
            <w:tcW w:w="379" w:type="pct"/>
            <w:shd w:val="clear" w:color="000000" w:fill="FFFFFF"/>
            <w:vAlign w:val="center"/>
          </w:tcPr>
          <w:p w14:paraId="60D853CB"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7" w:type="pct"/>
            <w:shd w:val="clear" w:color="000000" w:fill="FFFFFF"/>
            <w:vAlign w:val="center"/>
          </w:tcPr>
          <w:p w14:paraId="66136FF4"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75%</w:t>
            </w:r>
          </w:p>
        </w:tc>
        <w:tc>
          <w:tcPr>
            <w:tcW w:w="367" w:type="pct"/>
            <w:shd w:val="clear" w:color="000000" w:fill="FFFFFF"/>
            <w:vAlign w:val="center"/>
          </w:tcPr>
          <w:p w14:paraId="12BAE259"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90%</w:t>
            </w:r>
          </w:p>
        </w:tc>
        <w:tc>
          <w:tcPr>
            <w:tcW w:w="364" w:type="pct"/>
            <w:shd w:val="clear" w:color="000000" w:fill="FFFFFF"/>
            <w:vAlign w:val="center"/>
          </w:tcPr>
          <w:p w14:paraId="268A29BB"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207C19" w:rsidRPr="00B0658A" w14:paraId="34308C4B" w14:textId="77777777" w:rsidTr="00FE71B1">
        <w:trPr>
          <w:trHeight w:val="20"/>
        </w:trPr>
        <w:tc>
          <w:tcPr>
            <w:tcW w:w="342" w:type="pct"/>
            <w:shd w:val="clear" w:color="000000" w:fill="FFFFFF"/>
            <w:vAlign w:val="center"/>
          </w:tcPr>
          <w:p w14:paraId="5EE62AC3" w14:textId="77777777" w:rsidR="00207C19" w:rsidRPr="00B0658A" w:rsidRDefault="00207C19" w:rsidP="00FE71B1">
            <w:pPr>
              <w:spacing w:after="0" w:line="240" w:lineRule="auto"/>
              <w:jc w:val="center"/>
              <w:rPr>
                <w:rFonts w:ascii="Times New Roman" w:hAnsi="Times New Roman"/>
                <w:sz w:val="18"/>
                <w:szCs w:val="18"/>
              </w:rPr>
            </w:pPr>
            <w:r w:rsidRPr="00B0658A">
              <w:rPr>
                <w:rFonts w:ascii="Times New Roman" w:hAnsi="Times New Roman"/>
                <w:sz w:val="18"/>
                <w:szCs w:val="18"/>
              </w:rPr>
              <w:t>10.3</w:t>
            </w:r>
          </w:p>
        </w:tc>
        <w:tc>
          <w:tcPr>
            <w:tcW w:w="1182" w:type="pct"/>
            <w:shd w:val="clear" w:color="auto" w:fill="auto"/>
            <w:vAlign w:val="center"/>
          </w:tcPr>
          <w:p w14:paraId="3F0366A9" w14:textId="77777777" w:rsidR="00207C19" w:rsidRPr="00B0658A" w:rsidRDefault="00207C19" w:rsidP="00E766E3">
            <w:pPr>
              <w:spacing w:after="0" w:line="240" w:lineRule="auto"/>
              <w:rPr>
                <w:rFonts w:ascii="Times New Roman" w:hAnsi="Times New Roman"/>
                <w:sz w:val="18"/>
                <w:szCs w:val="18"/>
              </w:rPr>
            </w:pPr>
            <w:r w:rsidRPr="00B0658A">
              <w:rPr>
                <w:rFonts w:ascii="Times New Roman" w:hAnsi="Times New Roman"/>
                <w:sz w:val="18"/>
                <w:szCs w:val="18"/>
              </w:rPr>
              <w:t>Средства обработки и визуализации массивов данных/ Средства математического и имитационного моделирования</w:t>
            </w:r>
          </w:p>
        </w:tc>
        <w:tc>
          <w:tcPr>
            <w:tcW w:w="898" w:type="pct"/>
            <w:shd w:val="clear" w:color="000000" w:fill="FFFFFF"/>
          </w:tcPr>
          <w:p w14:paraId="008649D9" w14:textId="77777777" w:rsidR="00207C19" w:rsidRPr="00B0658A" w:rsidRDefault="00207C19" w:rsidP="00E766E3">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7" w:type="pct"/>
            <w:shd w:val="clear" w:color="000000" w:fill="FFFFFF"/>
            <w:vAlign w:val="center"/>
          </w:tcPr>
          <w:p w14:paraId="3ACBC540"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20%</w:t>
            </w:r>
          </w:p>
        </w:tc>
        <w:tc>
          <w:tcPr>
            <w:tcW w:w="367" w:type="pct"/>
            <w:shd w:val="clear" w:color="000000" w:fill="FFFFFF"/>
            <w:vAlign w:val="center"/>
          </w:tcPr>
          <w:p w14:paraId="365B03AA"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40%</w:t>
            </w:r>
          </w:p>
        </w:tc>
        <w:tc>
          <w:tcPr>
            <w:tcW w:w="367" w:type="pct"/>
            <w:shd w:val="clear" w:color="000000" w:fill="FFFFFF"/>
            <w:vAlign w:val="center"/>
          </w:tcPr>
          <w:p w14:paraId="5CA866C6"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60%</w:t>
            </w:r>
          </w:p>
        </w:tc>
        <w:tc>
          <w:tcPr>
            <w:tcW w:w="379" w:type="pct"/>
            <w:shd w:val="clear" w:color="000000" w:fill="FFFFFF"/>
            <w:vAlign w:val="center"/>
          </w:tcPr>
          <w:p w14:paraId="437BA7D9"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7" w:type="pct"/>
            <w:shd w:val="clear" w:color="000000" w:fill="FFFFFF"/>
            <w:vAlign w:val="center"/>
          </w:tcPr>
          <w:p w14:paraId="79E31B93"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80%</w:t>
            </w:r>
          </w:p>
        </w:tc>
        <w:tc>
          <w:tcPr>
            <w:tcW w:w="367" w:type="pct"/>
            <w:shd w:val="clear" w:color="000000" w:fill="FFFFFF"/>
            <w:vAlign w:val="center"/>
          </w:tcPr>
          <w:p w14:paraId="18A5DE40"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90%</w:t>
            </w:r>
          </w:p>
        </w:tc>
        <w:tc>
          <w:tcPr>
            <w:tcW w:w="364" w:type="pct"/>
            <w:shd w:val="clear" w:color="000000" w:fill="FFFFFF"/>
            <w:vAlign w:val="center"/>
          </w:tcPr>
          <w:p w14:paraId="2E4BFCDE"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207C19" w:rsidRPr="00B0658A" w14:paraId="44A12B8F" w14:textId="77777777" w:rsidTr="00FE71B1">
        <w:trPr>
          <w:trHeight w:val="20"/>
        </w:trPr>
        <w:tc>
          <w:tcPr>
            <w:tcW w:w="342" w:type="pct"/>
            <w:shd w:val="clear" w:color="000000" w:fill="FFFFFF"/>
            <w:vAlign w:val="center"/>
          </w:tcPr>
          <w:p w14:paraId="4582E333" w14:textId="77777777" w:rsidR="00207C19" w:rsidRPr="00B0658A" w:rsidRDefault="00207C19" w:rsidP="00FE71B1">
            <w:pPr>
              <w:spacing w:after="0" w:line="240" w:lineRule="auto"/>
              <w:jc w:val="center"/>
              <w:rPr>
                <w:rFonts w:ascii="Times New Roman" w:hAnsi="Times New Roman"/>
                <w:sz w:val="18"/>
                <w:szCs w:val="18"/>
              </w:rPr>
            </w:pPr>
            <w:r w:rsidRPr="00B0658A">
              <w:rPr>
                <w:rFonts w:ascii="Times New Roman" w:hAnsi="Times New Roman"/>
                <w:sz w:val="18"/>
                <w:szCs w:val="18"/>
              </w:rPr>
              <w:t>10.4</w:t>
            </w:r>
          </w:p>
        </w:tc>
        <w:tc>
          <w:tcPr>
            <w:tcW w:w="1182" w:type="pct"/>
            <w:shd w:val="clear" w:color="auto" w:fill="auto"/>
            <w:vAlign w:val="center"/>
          </w:tcPr>
          <w:p w14:paraId="49530015" w14:textId="77777777" w:rsidR="00207C19" w:rsidRPr="00B0658A" w:rsidRDefault="00207C19" w:rsidP="00E766E3">
            <w:pPr>
              <w:spacing w:after="0" w:line="240" w:lineRule="auto"/>
              <w:rPr>
                <w:rFonts w:ascii="Times New Roman" w:hAnsi="Times New Roman"/>
                <w:sz w:val="18"/>
                <w:szCs w:val="18"/>
              </w:rPr>
            </w:pPr>
            <w:r w:rsidRPr="00B0658A">
              <w:rPr>
                <w:rFonts w:ascii="Times New Roman" w:hAnsi="Times New Roman"/>
                <w:sz w:val="18"/>
                <w:szCs w:val="18"/>
              </w:rPr>
              <w:t>Средства обработки и визуализации массивов данных/ Средства управления информационными ресурсами и средства управления основными данными (ECM, MDM)</w:t>
            </w:r>
          </w:p>
        </w:tc>
        <w:tc>
          <w:tcPr>
            <w:tcW w:w="898" w:type="pct"/>
            <w:shd w:val="clear" w:color="000000" w:fill="FFFFFF"/>
          </w:tcPr>
          <w:p w14:paraId="1036F654" w14:textId="77777777" w:rsidR="00207C19" w:rsidRPr="00B0658A" w:rsidRDefault="00207C19" w:rsidP="00E766E3">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7" w:type="pct"/>
            <w:shd w:val="clear" w:color="000000" w:fill="FFFFFF"/>
            <w:vAlign w:val="center"/>
          </w:tcPr>
          <w:p w14:paraId="2794C00C"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35%</w:t>
            </w:r>
          </w:p>
        </w:tc>
        <w:tc>
          <w:tcPr>
            <w:tcW w:w="367" w:type="pct"/>
            <w:shd w:val="clear" w:color="000000" w:fill="FFFFFF"/>
            <w:vAlign w:val="center"/>
          </w:tcPr>
          <w:p w14:paraId="1098436F"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45%</w:t>
            </w:r>
          </w:p>
        </w:tc>
        <w:tc>
          <w:tcPr>
            <w:tcW w:w="367" w:type="pct"/>
            <w:shd w:val="clear" w:color="000000" w:fill="FFFFFF"/>
            <w:vAlign w:val="center"/>
          </w:tcPr>
          <w:p w14:paraId="3C5FC035"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55%</w:t>
            </w:r>
          </w:p>
        </w:tc>
        <w:tc>
          <w:tcPr>
            <w:tcW w:w="379" w:type="pct"/>
            <w:shd w:val="clear" w:color="000000" w:fill="FFFFFF"/>
            <w:vAlign w:val="center"/>
          </w:tcPr>
          <w:p w14:paraId="405D84A6"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7" w:type="pct"/>
            <w:shd w:val="clear" w:color="000000" w:fill="FFFFFF"/>
            <w:vAlign w:val="center"/>
          </w:tcPr>
          <w:p w14:paraId="5EB6B483"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70%</w:t>
            </w:r>
          </w:p>
        </w:tc>
        <w:tc>
          <w:tcPr>
            <w:tcW w:w="367" w:type="pct"/>
            <w:shd w:val="clear" w:color="000000" w:fill="FFFFFF"/>
            <w:vAlign w:val="center"/>
          </w:tcPr>
          <w:p w14:paraId="2237E81F"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90%</w:t>
            </w:r>
          </w:p>
        </w:tc>
        <w:tc>
          <w:tcPr>
            <w:tcW w:w="364" w:type="pct"/>
            <w:shd w:val="clear" w:color="000000" w:fill="FFFFFF"/>
            <w:vAlign w:val="center"/>
          </w:tcPr>
          <w:p w14:paraId="55D0C1A1"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207C19" w:rsidRPr="00B0658A" w14:paraId="79A1B11C" w14:textId="77777777" w:rsidTr="00FE71B1">
        <w:trPr>
          <w:trHeight w:val="20"/>
        </w:trPr>
        <w:tc>
          <w:tcPr>
            <w:tcW w:w="342" w:type="pct"/>
            <w:shd w:val="clear" w:color="000000" w:fill="FFFFFF"/>
            <w:vAlign w:val="center"/>
          </w:tcPr>
          <w:p w14:paraId="7610E044" w14:textId="77777777" w:rsidR="00207C19" w:rsidRPr="00B0658A" w:rsidRDefault="00207C19" w:rsidP="00FE71B1">
            <w:pPr>
              <w:spacing w:after="0" w:line="240" w:lineRule="auto"/>
              <w:jc w:val="center"/>
              <w:rPr>
                <w:rFonts w:ascii="Times New Roman" w:hAnsi="Times New Roman"/>
                <w:sz w:val="18"/>
                <w:szCs w:val="18"/>
              </w:rPr>
            </w:pPr>
            <w:r w:rsidRPr="00B0658A">
              <w:rPr>
                <w:rFonts w:ascii="Times New Roman" w:hAnsi="Times New Roman"/>
                <w:sz w:val="18"/>
                <w:szCs w:val="18"/>
              </w:rPr>
              <w:t>11.1</w:t>
            </w:r>
          </w:p>
        </w:tc>
        <w:tc>
          <w:tcPr>
            <w:tcW w:w="1182" w:type="pct"/>
            <w:shd w:val="clear" w:color="auto" w:fill="auto"/>
            <w:vAlign w:val="center"/>
          </w:tcPr>
          <w:p w14:paraId="0078904F" w14:textId="77777777" w:rsidR="00207C19" w:rsidRPr="00B0658A" w:rsidRDefault="00207C19" w:rsidP="00E766E3">
            <w:pPr>
              <w:spacing w:after="0" w:line="240" w:lineRule="auto"/>
              <w:rPr>
                <w:rFonts w:ascii="Times New Roman" w:hAnsi="Times New Roman"/>
                <w:sz w:val="18"/>
                <w:szCs w:val="18"/>
              </w:rPr>
            </w:pPr>
            <w:r w:rsidRPr="00B0658A">
              <w:rPr>
                <w:rFonts w:ascii="Times New Roman" w:hAnsi="Times New Roman"/>
                <w:sz w:val="18"/>
                <w:szCs w:val="18"/>
              </w:rPr>
              <w:t>Средства анализа данных/ Инструменты извлечения и трансформации данных (ETL)</w:t>
            </w:r>
          </w:p>
        </w:tc>
        <w:tc>
          <w:tcPr>
            <w:tcW w:w="898" w:type="pct"/>
            <w:shd w:val="clear" w:color="000000" w:fill="FFFFFF"/>
          </w:tcPr>
          <w:p w14:paraId="2C44E710" w14:textId="77777777" w:rsidR="00207C19" w:rsidRPr="00B0658A" w:rsidRDefault="00207C19" w:rsidP="00E766E3">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7" w:type="pct"/>
            <w:shd w:val="clear" w:color="000000" w:fill="FFFFFF"/>
            <w:vAlign w:val="center"/>
          </w:tcPr>
          <w:p w14:paraId="6A612BC6"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25%</w:t>
            </w:r>
          </w:p>
        </w:tc>
        <w:tc>
          <w:tcPr>
            <w:tcW w:w="367" w:type="pct"/>
            <w:shd w:val="clear" w:color="000000" w:fill="FFFFFF"/>
            <w:vAlign w:val="center"/>
          </w:tcPr>
          <w:p w14:paraId="2CD943E7"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35%</w:t>
            </w:r>
          </w:p>
        </w:tc>
        <w:tc>
          <w:tcPr>
            <w:tcW w:w="367" w:type="pct"/>
            <w:shd w:val="clear" w:color="000000" w:fill="FFFFFF"/>
            <w:vAlign w:val="center"/>
          </w:tcPr>
          <w:p w14:paraId="260EC58B"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50%</w:t>
            </w:r>
          </w:p>
        </w:tc>
        <w:tc>
          <w:tcPr>
            <w:tcW w:w="379" w:type="pct"/>
            <w:shd w:val="clear" w:color="000000" w:fill="FFFFFF"/>
            <w:vAlign w:val="center"/>
          </w:tcPr>
          <w:p w14:paraId="1FBD2A0F"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7" w:type="pct"/>
            <w:shd w:val="clear" w:color="000000" w:fill="FFFFFF"/>
            <w:vAlign w:val="center"/>
          </w:tcPr>
          <w:p w14:paraId="37033CA5"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75%</w:t>
            </w:r>
          </w:p>
        </w:tc>
        <w:tc>
          <w:tcPr>
            <w:tcW w:w="367" w:type="pct"/>
            <w:shd w:val="clear" w:color="000000" w:fill="FFFFFF"/>
            <w:vAlign w:val="center"/>
          </w:tcPr>
          <w:p w14:paraId="123A4C74"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85%</w:t>
            </w:r>
          </w:p>
        </w:tc>
        <w:tc>
          <w:tcPr>
            <w:tcW w:w="364" w:type="pct"/>
            <w:shd w:val="clear" w:color="000000" w:fill="FFFFFF"/>
            <w:vAlign w:val="center"/>
          </w:tcPr>
          <w:p w14:paraId="6193AEB1"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207C19" w:rsidRPr="00B0658A" w14:paraId="2B0B3F92" w14:textId="77777777" w:rsidTr="00FE71B1">
        <w:trPr>
          <w:trHeight w:val="20"/>
        </w:trPr>
        <w:tc>
          <w:tcPr>
            <w:tcW w:w="342" w:type="pct"/>
            <w:shd w:val="clear" w:color="000000" w:fill="FFFFFF"/>
            <w:vAlign w:val="center"/>
          </w:tcPr>
          <w:p w14:paraId="4B148631" w14:textId="77777777" w:rsidR="00207C19" w:rsidRPr="00B0658A" w:rsidRDefault="00207C19" w:rsidP="00FE71B1">
            <w:pPr>
              <w:spacing w:after="0" w:line="240" w:lineRule="auto"/>
              <w:jc w:val="center"/>
              <w:rPr>
                <w:rFonts w:ascii="Times New Roman" w:hAnsi="Times New Roman"/>
                <w:sz w:val="18"/>
                <w:szCs w:val="18"/>
              </w:rPr>
            </w:pPr>
            <w:r w:rsidRPr="00B0658A">
              <w:rPr>
                <w:rFonts w:ascii="Times New Roman" w:hAnsi="Times New Roman"/>
                <w:sz w:val="18"/>
                <w:szCs w:val="18"/>
              </w:rPr>
              <w:t>11.2</w:t>
            </w:r>
          </w:p>
        </w:tc>
        <w:tc>
          <w:tcPr>
            <w:tcW w:w="1182" w:type="pct"/>
            <w:shd w:val="clear" w:color="auto" w:fill="auto"/>
            <w:vAlign w:val="center"/>
          </w:tcPr>
          <w:p w14:paraId="6D6CEBED" w14:textId="77777777" w:rsidR="00207C19" w:rsidRPr="00B0658A" w:rsidRDefault="00207C19" w:rsidP="00E766E3">
            <w:pPr>
              <w:spacing w:after="0" w:line="240" w:lineRule="auto"/>
              <w:rPr>
                <w:rFonts w:ascii="Times New Roman" w:hAnsi="Times New Roman"/>
                <w:sz w:val="18"/>
                <w:szCs w:val="18"/>
              </w:rPr>
            </w:pPr>
            <w:r w:rsidRPr="00B0658A">
              <w:rPr>
                <w:rFonts w:ascii="Times New Roman" w:hAnsi="Times New Roman"/>
                <w:sz w:val="18"/>
                <w:szCs w:val="18"/>
              </w:rPr>
              <w:t>Средства анализа данных/ Предметно-ориентированные информационные базы данных (EDW)</w:t>
            </w:r>
          </w:p>
        </w:tc>
        <w:tc>
          <w:tcPr>
            <w:tcW w:w="898" w:type="pct"/>
            <w:shd w:val="clear" w:color="000000" w:fill="FFFFFF"/>
          </w:tcPr>
          <w:p w14:paraId="06A3D30B" w14:textId="77777777" w:rsidR="00207C19" w:rsidRPr="00B0658A" w:rsidRDefault="00207C19" w:rsidP="00E766E3">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7" w:type="pct"/>
            <w:shd w:val="clear" w:color="000000" w:fill="FFFFFF"/>
            <w:vAlign w:val="center"/>
          </w:tcPr>
          <w:p w14:paraId="55E40EDB"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20%</w:t>
            </w:r>
          </w:p>
        </w:tc>
        <w:tc>
          <w:tcPr>
            <w:tcW w:w="367" w:type="pct"/>
            <w:shd w:val="clear" w:color="000000" w:fill="FFFFFF"/>
            <w:vAlign w:val="center"/>
          </w:tcPr>
          <w:p w14:paraId="291ADACD"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30%</w:t>
            </w:r>
          </w:p>
        </w:tc>
        <w:tc>
          <w:tcPr>
            <w:tcW w:w="367" w:type="pct"/>
            <w:shd w:val="clear" w:color="000000" w:fill="FFFFFF"/>
            <w:vAlign w:val="center"/>
          </w:tcPr>
          <w:p w14:paraId="0648ABE4"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45%</w:t>
            </w:r>
          </w:p>
        </w:tc>
        <w:tc>
          <w:tcPr>
            <w:tcW w:w="379" w:type="pct"/>
            <w:shd w:val="clear" w:color="000000" w:fill="FFFFFF"/>
            <w:vAlign w:val="center"/>
          </w:tcPr>
          <w:p w14:paraId="2CF6ECE5"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7" w:type="pct"/>
            <w:shd w:val="clear" w:color="000000" w:fill="FFFFFF"/>
            <w:vAlign w:val="center"/>
          </w:tcPr>
          <w:p w14:paraId="17EAE755"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70%</w:t>
            </w:r>
          </w:p>
        </w:tc>
        <w:tc>
          <w:tcPr>
            <w:tcW w:w="367" w:type="pct"/>
            <w:shd w:val="clear" w:color="000000" w:fill="FFFFFF"/>
            <w:vAlign w:val="center"/>
          </w:tcPr>
          <w:p w14:paraId="29B96F10"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90%</w:t>
            </w:r>
          </w:p>
        </w:tc>
        <w:tc>
          <w:tcPr>
            <w:tcW w:w="364" w:type="pct"/>
            <w:shd w:val="clear" w:color="000000" w:fill="FFFFFF"/>
            <w:vAlign w:val="center"/>
          </w:tcPr>
          <w:p w14:paraId="49E681B8"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207C19" w:rsidRPr="00B0658A" w14:paraId="6ED04277" w14:textId="77777777" w:rsidTr="00FE71B1">
        <w:trPr>
          <w:trHeight w:val="20"/>
        </w:trPr>
        <w:tc>
          <w:tcPr>
            <w:tcW w:w="342" w:type="pct"/>
            <w:shd w:val="clear" w:color="000000" w:fill="FFFFFF"/>
            <w:vAlign w:val="center"/>
          </w:tcPr>
          <w:p w14:paraId="699281B4" w14:textId="77777777" w:rsidR="00207C19" w:rsidRPr="00B0658A" w:rsidRDefault="00207C19" w:rsidP="00FE71B1">
            <w:pPr>
              <w:spacing w:after="0" w:line="240" w:lineRule="auto"/>
              <w:jc w:val="center"/>
              <w:rPr>
                <w:rFonts w:ascii="Times New Roman" w:hAnsi="Times New Roman"/>
                <w:sz w:val="18"/>
                <w:szCs w:val="18"/>
              </w:rPr>
            </w:pPr>
            <w:r w:rsidRPr="00B0658A">
              <w:rPr>
                <w:rFonts w:ascii="Times New Roman" w:hAnsi="Times New Roman"/>
                <w:sz w:val="18"/>
                <w:szCs w:val="18"/>
              </w:rPr>
              <w:t>11.3</w:t>
            </w:r>
          </w:p>
        </w:tc>
        <w:tc>
          <w:tcPr>
            <w:tcW w:w="1182" w:type="pct"/>
            <w:shd w:val="clear" w:color="auto" w:fill="auto"/>
            <w:vAlign w:val="center"/>
          </w:tcPr>
          <w:p w14:paraId="3486C30A" w14:textId="77777777" w:rsidR="00207C19" w:rsidRPr="00B0658A" w:rsidRDefault="00207C19" w:rsidP="00E766E3">
            <w:pPr>
              <w:suppressAutoHyphens/>
              <w:spacing w:after="0" w:line="240" w:lineRule="auto"/>
              <w:rPr>
                <w:rFonts w:ascii="Times New Roman" w:hAnsi="Times New Roman"/>
                <w:sz w:val="18"/>
                <w:szCs w:val="18"/>
              </w:rPr>
            </w:pPr>
            <w:r w:rsidRPr="00B0658A">
              <w:rPr>
                <w:rFonts w:ascii="Times New Roman" w:hAnsi="Times New Roman"/>
                <w:sz w:val="18"/>
                <w:szCs w:val="18"/>
              </w:rPr>
              <w:t>Средства анализа данных/</w:t>
            </w:r>
          </w:p>
          <w:p w14:paraId="30F518A5" w14:textId="77777777" w:rsidR="00207C19" w:rsidRPr="00B0658A" w:rsidRDefault="00207C19" w:rsidP="00E766E3">
            <w:pPr>
              <w:suppressAutoHyphens/>
              <w:spacing w:after="0" w:line="240" w:lineRule="auto"/>
              <w:rPr>
                <w:rFonts w:ascii="Times New Roman" w:hAnsi="Times New Roman"/>
                <w:sz w:val="18"/>
                <w:szCs w:val="18"/>
              </w:rPr>
            </w:pPr>
            <w:r w:rsidRPr="00B0658A">
              <w:rPr>
                <w:rFonts w:ascii="Times New Roman" w:hAnsi="Times New Roman"/>
                <w:sz w:val="18"/>
                <w:szCs w:val="18"/>
              </w:rPr>
              <w:t>Средства аналитической обработки в реальном времени (OLAP)</w:t>
            </w:r>
          </w:p>
        </w:tc>
        <w:tc>
          <w:tcPr>
            <w:tcW w:w="898" w:type="pct"/>
            <w:shd w:val="clear" w:color="000000" w:fill="FFFFFF"/>
          </w:tcPr>
          <w:p w14:paraId="45BF4CC1" w14:textId="77777777" w:rsidR="00207C19" w:rsidRPr="00B0658A" w:rsidRDefault="00207C19" w:rsidP="00E766E3">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7" w:type="pct"/>
            <w:shd w:val="clear" w:color="000000" w:fill="FFFFFF"/>
            <w:vAlign w:val="center"/>
          </w:tcPr>
          <w:p w14:paraId="56F067A5"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35%</w:t>
            </w:r>
          </w:p>
        </w:tc>
        <w:tc>
          <w:tcPr>
            <w:tcW w:w="367" w:type="pct"/>
            <w:shd w:val="clear" w:color="000000" w:fill="FFFFFF"/>
            <w:vAlign w:val="center"/>
          </w:tcPr>
          <w:p w14:paraId="5FC5157B"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45%</w:t>
            </w:r>
          </w:p>
        </w:tc>
        <w:tc>
          <w:tcPr>
            <w:tcW w:w="367" w:type="pct"/>
            <w:shd w:val="clear" w:color="000000" w:fill="FFFFFF"/>
            <w:vAlign w:val="center"/>
          </w:tcPr>
          <w:p w14:paraId="26D60925"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55%</w:t>
            </w:r>
          </w:p>
        </w:tc>
        <w:tc>
          <w:tcPr>
            <w:tcW w:w="379" w:type="pct"/>
            <w:shd w:val="clear" w:color="000000" w:fill="FFFFFF"/>
            <w:vAlign w:val="center"/>
          </w:tcPr>
          <w:p w14:paraId="7C2994C6"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7" w:type="pct"/>
            <w:shd w:val="clear" w:color="000000" w:fill="FFFFFF"/>
            <w:vAlign w:val="center"/>
          </w:tcPr>
          <w:p w14:paraId="623D62F1"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70%</w:t>
            </w:r>
          </w:p>
        </w:tc>
        <w:tc>
          <w:tcPr>
            <w:tcW w:w="367" w:type="pct"/>
            <w:shd w:val="clear" w:color="000000" w:fill="FFFFFF"/>
            <w:vAlign w:val="center"/>
          </w:tcPr>
          <w:p w14:paraId="6809B0DC"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90%</w:t>
            </w:r>
          </w:p>
        </w:tc>
        <w:tc>
          <w:tcPr>
            <w:tcW w:w="364" w:type="pct"/>
            <w:shd w:val="clear" w:color="000000" w:fill="FFFFFF"/>
            <w:vAlign w:val="center"/>
          </w:tcPr>
          <w:p w14:paraId="56D2C4AF"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207C19" w:rsidRPr="00B0658A" w14:paraId="032C8397" w14:textId="77777777" w:rsidTr="00FE71B1">
        <w:trPr>
          <w:trHeight w:val="20"/>
        </w:trPr>
        <w:tc>
          <w:tcPr>
            <w:tcW w:w="342" w:type="pct"/>
            <w:shd w:val="clear" w:color="000000" w:fill="FFFFFF"/>
            <w:vAlign w:val="center"/>
          </w:tcPr>
          <w:p w14:paraId="4692C7B7" w14:textId="77777777" w:rsidR="00207C19" w:rsidRPr="00B0658A" w:rsidRDefault="00207C19" w:rsidP="00FE71B1">
            <w:pPr>
              <w:spacing w:after="0" w:line="240" w:lineRule="auto"/>
              <w:jc w:val="center"/>
              <w:rPr>
                <w:rFonts w:ascii="Times New Roman" w:hAnsi="Times New Roman"/>
                <w:sz w:val="18"/>
                <w:szCs w:val="18"/>
              </w:rPr>
            </w:pPr>
            <w:r w:rsidRPr="00B0658A">
              <w:rPr>
                <w:rFonts w:ascii="Times New Roman" w:hAnsi="Times New Roman"/>
                <w:sz w:val="18"/>
                <w:szCs w:val="18"/>
              </w:rPr>
              <w:t>11.4</w:t>
            </w:r>
          </w:p>
        </w:tc>
        <w:tc>
          <w:tcPr>
            <w:tcW w:w="1182" w:type="pct"/>
            <w:shd w:val="clear" w:color="auto" w:fill="auto"/>
            <w:vAlign w:val="center"/>
          </w:tcPr>
          <w:p w14:paraId="08049452" w14:textId="77777777" w:rsidR="00207C19" w:rsidRPr="00B0658A" w:rsidRDefault="00207C19" w:rsidP="00E766E3">
            <w:pPr>
              <w:suppressAutoHyphens/>
              <w:spacing w:after="0" w:line="240" w:lineRule="auto"/>
              <w:rPr>
                <w:rFonts w:ascii="Times New Roman" w:hAnsi="Times New Roman"/>
                <w:sz w:val="18"/>
                <w:szCs w:val="18"/>
              </w:rPr>
            </w:pPr>
            <w:r w:rsidRPr="00B0658A">
              <w:rPr>
                <w:rFonts w:ascii="Times New Roman" w:hAnsi="Times New Roman"/>
                <w:sz w:val="18"/>
                <w:szCs w:val="18"/>
              </w:rPr>
              <w:t xml:space="preserve">Средства анализа данных/ </w:t>
            </w:r>
          </w:p>
          <w:p w14:paraId="32BAC34A" w14:textId="77777777" w:rsidR="00207C19" w:rsidRPr="00B0658A" w:rsidRDefault="00207C19" w:rsidP="00E766E3">
            <w:pPr>
              <w:suppressAutoHyphens/>
              <w:spacing w:after="0" w:line="240" w:lineRule="auto"/>
              <w:rPr>
                <w:rFonts w:ascii="Times New Roman" w:hAnsi="Times New Roman"/>
                <w:sz w:val="18"/>
                <w:szCs w:val="18"/>
              </w:rPr>
            </w:pPr>
            <w:r w:rsidRPr="00B0658A">
              <w:rPr>
                <w:rFonts w:ascii="Times New Roman" w:hAnsi="Times New Roman"/>
                <w:sz w:val="18"/>
                <w:szCs w:val="18"/>
              </w:rPr>
              <w:t>Средства интеллектуального анализа данных (Data Mining)</w:t>
            </w:r>
          </w:p>
        </w:tc>
        <w:tc>
          <w:tcPr>
            <w:tcW w:w="898" w:type="pct"/>
            <w:shd w:val="clear" w:color="000000" w:fill="FFFFFF"/>
          </w:tcPr>
          <w:p w14:paraId="41E2BBE2" w14:textId="77777777" w:rsidR="00207C19" w:rsidRPr="00B0658A" w:rsidRDefault="00207C19" w:rsidP="00E766E3">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7" w:type="pct"/>
            <w:shd w:val="clear" w:color="000000" w:fill="FFFFFF"/>
            <w:vAlign w:val="center"/>
          </w:tcPr>
          <w:p w14:paraId="324EAA50"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35%</w:t>
            </w:r>
          </w:p>
        </w:tc>
        <w:tc>
          <w:tcPr>
            <w:tcW w:w="367" w:type="pct"/>
            <w:shd w:val="clear" w:color="000000" w:fill="FFFFFF"/>
            <w:vAlign w:val="center"/>
          </w:tcPr>
          <w:p w14:paraId="0EE89768"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45%</w:t>
            </w:r>
          </w:p>
        </w:tc>
        <w:tc>
          <w:tcPr>
            <w:tcW w:w="367" w:type="pct"/>
            <w:shd w:val="clear" w:color="000000" w:fill="FFFFFF"/>
            <w:vAlign w:val="center"/>
          </w:tcPr>
          <w:p w14:paraId="0C052A2E"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55%</w:t>
            </w:r>
          </w:p>
        </w:tc>
        <w:tc>
          <w:tcPr>
            <w:tcW w:w="379" w:type="pct"/>
            <w:shd w:val="clear" w:color="000000" w:fill="FFFFFF"/>
            <w:vAlign w:val="center"/>
          </w:tcPr>
          <w:p w14:paraId="3D2FDF6F"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7" w:type="pct"/>
            <w:shd w:val="clear" w:color="000000" w:fill="FFFFFF"/>
            <w:vAlign w:val="center"/>
          </w:tcPr>
          <w:p w14:paraId="709B6C0E"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70%</w:t>
            </w:r>
          </w:p>
        </w:tc>
        <w:tc>
          <w:tcPr>
            <w:tcW w:w="367" w:type="pct"/>
            <w:shd w:val="clear" w:color="000000" w:fill="FFFFFF"/>
            <w:vAlign w:val="center"/>
          </w:tcPr>
          <w:p w14:paraId="158D40E9"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90%</w:t>
            </w:r>
          </w:p>
        </w:tc>
        <w:tc>
          <w:tcPr>
            <w:tcW w:w="364" w:type="pct"/>
            <w:shd w:val="clear" w:color="000000" w:fill="FFFFFF"/>
            <w:vAlign w:val="center"/>
          </w:tcPr>
          <w:p w14:paraId="66FFECCE"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207C19" w:rsidRPr="00B0658A" w14:paraId="44716BB9" w14:textId="77777777" w:rsidTr="00FE71B1">
        <w:trPr>
          <w:trHeight w:val="20"/>
        </w:trPr>
        <w:tc>
          <w:tcPr>
            <w:tcW w:w="342" w:type="pct"/>
            <w:shd w:val="clear" w:color="000000" w:fill="FFFFFF"/>
            <w:vAlign w:val="center"/>
          </w:tcPr>
          <w:p w14:paraId="5DC0E8C8" w14:textId="77777777" w:rsidR="00207C19" w:rsidRPr="00B0658A" w:rsidRDefault="00207C19" w:rsidP="00FE71B1">
            <w:pPr>
              <w:spacing w:after="0" w:line="240" w:lineRule="auto"/>
              <w:jc w:val="center"/>
              <w:rPr>
                <w:rFonts w:ascii="Times New Roman" w:hAnsi="Times New Roman"/>
                <w:sz w:val="18"/>
                <w:szCs w:val="18"/>
              </w:rPr>
            </w:pPr>
            <w:r w:rsidRPr="00B0658A">
              <w:rPr>
                <w:rFonts w:ascii="Times New Roman" w:hAnsi="Times New Roman"/>
                <w:sz w:val="18"/>
                <w:szCs w:val="18"/>
              </w:rPr>
              <w:t>11.5</w:t>
            </w:r>
          </w:p>
        </w:tc>
        <w:tc>
          <w:tcPr>
            <w:tcW w:w="1182" w:type="pct"/>
            <w:shd w:val="clear" w:color="auto" w:fill="auto"/>
            <w:vAlign w:val="center"/>
          </w:tcPr>
          <w:p w14:paraId="4CAF31F3" w14:textId="77777777" w:rsidR="00207C19" w:rsidRPr="00B0658A" w:rsidRDefault="00207C19" w:rsidP="00E766E3">
            <w:pPr>
              <w:suppressAutoHyphens/>
              <w:spacing w:after="0" w:line="240" w:lineRule="auto"/>
              <w:rPr>
                <w:rFonts w:ascii="Times New Roman" w:hAnsi="Times New Roman"/>
                <w:sz w:val="18"/>
                <w:szCs w:val="18"/>
              </w:rPr>
            </w:pPr>
            <w:r w:rsidRPr="00B0658A">
              <w:rPr>
                <w:rFonts w:ascii="Times New Roman" w:hAnsi="Times New Roman"/>
                <w:sz w:val="18"/>
                <w:szCs w:val="18"/>
              </w:rPr>
              <w:t xml:space="preserve">Средства анализа данных/ </w:t>
            </w:r>
          </w:p>
          <w:p w14:paraId="781C1A54" w14:textId="77777777" w:rsidR="00207C19" w:rsidRPr="00B0658A" w:rsidRDefault="00207C19" w:rsidP="00E766E3">
            <w:pPr>
              <w:suppressAutoHyphens/>
              <w:spacing w:after="0" w:line="240" w:lineRule="auto"/>
              <w:rPr>
                <w:rFonts w:ascii="Times New Roman" w:hAnsi="Times New Roman"/>
                <w:sz w:val="18"/>
                <w:szCs w:val="18"/>
              </w:rPr>
            </w:pPr>
            <w:r w:rsidRPr="00B0658A">
              <w:rPr>
                <w:rFonts w:ascii="Times New Roman" w:hAnsi="Times New Roman"/>
                <w:sz w:val="18"/>
                <w:szCs w:val="18"/>
              </w:rPr>
              <w:t>Средства поддержки принятия решений (DSS)</w:t>
            </w:r>
          </w:p>
        </w:tc>
        <w:tc>
          <w:tcPr>
            <w:tcW w:w="898" w:type="pct"/>
            <w:shd w:val="clear" w:color="000000" w:fill="FFFFFF"/>
          </w:tcPr>
          <w:p w14:paraId="692B0DA9" w14:textId="77777777" w:rsidR="00207C19" w:rsidRPr="00B0658A" w:rsidRDefault="00207C19" w:rsidP="00E766E3">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7" w:type="pct"/>
            <w:shd w:val="clear" w:color="000000" w:fill="FFFFFF"/>
            <w:vAlign w:val="center"/>
          </w:tcPr>
          <w:p w14:paraId="33B8040E"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35%</w:t>
            </w:r>
          </w:p>
        </w:tc>
        <w:tc>
          <w:tcPr>
            <w:tcW w:w="367" w:type="pct"/>
            <w:shd w:val="clear" w:color="000000" w:fill="FFFFFF"/>
            <w:vAlign w:val="center"/>
          </w:tcPr>
          <w:p w14:paraId="358069FF"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45%</w:t>
            </w:r>
          </w:p>
        </w:tc>
        <w:tc>
          <w:tcPr>
            <w:tcW w:w="367" w:type="pct"/>
            <w:shd w:val="clear" w:color="000000" w:fill="FFFFFF"/>
            <w:vAlign w:val="center"/>
          </w:tcPr>
          <w:p w14:paraId="1A6F3E78"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55%</w:t>
            </w:r>
          </w:p>
        </w:tc>
        <w:tc>
          <w:tcPr>
            <w:tcW w:w="379" w:type="pct"/>
            <w:shd w:val="clear" w:color="000000" w:fill="FFFFFF"/>
            <w:vAlign w:val="center"/>
          </w:tcPr>
          <w:p w14:paraId="38BC4B79"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7" w:type="pct"/>
            <w:shd w:val="clear" w:color="000000" w:fill="FFFFFF"/>
            <w:vAlign w:val="center"/>
          </w:tcPr>
          <w:p w14:paraId="2AA83E8B"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70%</w:t>
            </w:r>
          </w:p>
        </w:tc>
        <w:tc>
          <w:tcPr>
            <w:tcW w:w="367" w:type="pct"/>
            <w:shd w:val="clear" w:color="000000" w:fill="FFFFFF"/>
            <w:vAlign w:val="center"/>
          </w:tcPr>
          <w:p w14:paraId="13742F51"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90%</w:t>
            </w:r>
          </w:p>
        </w:tc>
        <w:tc>
          <w:tcPr>
            <w:tcW w:w="364" w:type="pct"/>
            <w:shd w:val="clear" w:color="000000" w:fill="FFFFFF"/>
            <w:vAlign w:val="center"/>
          </w:tcPr>
          <w:p w14:paraId="6B480194"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tr w:rsidR="00207C19" w:rsidRPr="00B0658A" w14:paraId="70E2CA56" w14:textId="77777777" w:rsidTr="00FE71B1">
        <w:trPr>
          <w:trHeight w:val="535"/>
        </w:trPr>
        <w:tc>
          <w:tcPr>
            <w:tcW w:w="342" w:type="pct"/>
            <w:shd w:val="clear" w:color="000000" w:fill="FFFFFF"/>
            <w:vAlign w:val="center"/>
          </w:tcPr>
          <w:p w14:paraId="4E3E73D8" w14:textId="77777777" w:rsidR="00207C19" w:rsidRPr="00B0658A" w:rsidRDefault="00207C19" w:rsidP="00FE71B1">
            <w:pPr>
              <w:spacing w:after="0" w:line="240" w:lineRule="auto"/>
              <w:jc w:val="center"/>
              <w:rPr>
                <w:rFonts w:ascii="Times New Roman" w:hAnsi="Times New Roman"/>
                <w:sz w:val="18"/>
                <w:szCs w:val="18"/>
              </w:rPr>
            </w:pPr>
            <w:r w:rsidRPr="00B0658A">
              <w:rPr>
                <w:rFonts w:ascii="Times New Roman" w:hAnsi="Times New Roman"/>
                <w:sz w:val="18"/>
                <w:szCs w:val="18"/>
              </w:rPr>
              <w:t>11.6</w:t>
            </w:r>
          </w:p>
        </w:tc>
        <w:tc>
          <w:tcPr>
            <w:tcW w:w="1182" w:type="pct"/>
            <w:shd w:val="clear" w:color="auto" w:fill="auto"/>
            <w:vAlign w:val="center"/>
          </w:tcPr>
          <w:p w14:paraId="4CEF04ED" w14:textId="77777777" w:rsidR="00207C19" w:rsidRPr="00B0658A" w:rsidRDefault="00207C19" w:rsidP="00E766E3">
            <w:pPr>
              <w:spacing w:after="0" w:line="240" w:lineRule="auto"/>
              <w:rPr>
                <w:rFonts w:ascii="Times New Roman" w:hAnsi="Times New Roman"/>
                <w:sz w:val="18"/>
                <w:szCs w:val="18"/>
              </w:rPr>
            </w:pPr>
            <w:r w:rsidRPr="00B0658A">
              <w:rPr>
                <w:rFonts w:ascii="Times New Roman" w:hAnsi="Times New Roman"/>
                <w:sz w:val="18"/>
                <w:szCs w:val="18"/>
              </w:rPr>
              <w:t xml:space="preserve">Средства анализа данных/ Инструменты обработки, анализа </w:t>
            </w:r>
            <w:r w:rsidRPr="00B0658A">
              <w:rPr>
                <w:rFonts w:ascii="Times New Roman" w:hAnsi="Times New Roman"/>
                <w:sz w:val="18"/>
                <w:szCs w:val="18"/>
              </w:rPr>
              <w:br/>
              <w:t>и распознавания изображений</w:t>
            </w:r>
          </w:p>
        </w:tc>
        <w:tc>
          <w:tcPr>
            <w:tcW w:w="898" w:type="pct"/>
            <w:shd w:val="clear" w:color="000000" w:fill="FFFFFF"/>
          </w:tcPr>
          <w:p w14:paraId="089CE1AD" w14:textId="77777777" w:rsidR="00207C19" w:rsidRPr="00B0658A" w:rsidRDefault="00207C19" w:rsidP="00E766E3">
            <w:pPr>
              <w:spacing w:after="0" w:line="240" w:lineRule="auto"/>
              <w:rPr>
                <w:rFonts w:ascii="Times New Roman" w:hAnsi="Times New Roman"/>
                <w:sz w:val="18"/>
                <w:szCs w:val="18"/>
              </w:rPr>
            </w:pPr>
            <w:r w:rsidRPr="00B0658A">
              <w:rPr>
                <w:rFonts w:ascii="Times New Roman" w:hAnsi="Times New Roman"/>
                <w:sz w:val="18"/>
                <w:szCs w:val="18"/>
              </w:rPr>
              <w:t>Доля используемого российского ПО в общем объёме, используемого ПО, %</w:t>
            </w:r>
          </w:p>
        </w:tc>
        <w:tc>
          <w:tcPr>
            <w:tcW w:w="367" w:type="pct"/>
            <w:shd w:val="clear" w:color="000000" w:fill="FFFFFF"/>
            <w:vAlign w:val="center"/>
          </w:tcPr>
          <w:p w14:paraId="058A5AB4"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35%</w:t>
            </w:r>
          </w:p>
        </w:tc>
        <w:tc>
          <w:tcPr>
            <w:tcW w:w="367" w:type="pct"/>
            <w:shd w:val="clear" w:color="000000" w:fill="FFFFFF"/>
            <w:vAlign w:val="center"/>
          </w:tcPr>
          <w:p w14:paraId="27C66F5A"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45%</w:t>
            </w:r>
          </w:p>
        </w:tc>
        <w:tc>
          <w:tcPr>
            <w:tcW w:w="367" w:type="pct"/>
            <w:shd w:val="clear" w:color="000000" w:fill="FFFFFF"/>
            <w:vAlign w:val="center"/>
          </w:tcPr>
          <w:p w14:paraId="02AA9FDF"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55%</w:t>
            </w:r>
          </w:p>
        </w:tc>
        <w:tc>
          <w:tcPr>
            <w:tcW w:w="379" w:type="pct"/>
            <w:shd w:val="clear" w:color="000000" w:fill="FFFFFF"/>
            <w:vAlign w:val="center"/>
          </w:tcPr>
          <w:p w14:paraId="66C3EF1F"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100%</w:t>
            </w:r>
          </w:p>
        </w:tc>
        <w:tc>
          <w:tcPr>
            <w:tcW w:w="367" w:type="pct"/>
            <w:shd w:val="clear" w:color="000000" w:fill="FFFFFF"/>
            <w:vAlign w:val="center"/>
          </w:tcPr>
          <w:p w14:paraId="05B9728D"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70%</w:t>
            </w:r>
          </w:p>
        </w:tc>
        <w:tc>
          <w:tcPr>
            <w:tcW w:w="367" w:type="pct"/>
            <w:shd w:val="clear" w:color="000000" w:fill="FFFFFF"/>
            <w:vAlign w:val="center"/>
          </w:tcPr>
          <w:p w14:paraId="366C401F"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lang w:val="en-US"/>
              </w:rPr>
              <w:t>90%</w:t>
            </w:r>
          </w:p>
        </w:tc>
        <w:tc>
          <w:tcPr>
            <w:tcW w:w="364" w:type="pct"/>
            <w:shd w:val="clear" w:color="000000" w:fill="FFFFFF"/>
            <w:vAlign w:val="center"/>
          </w:tcPr>
          <w:p w14:paraId="71E4C83D" w14:textId="77777777" w:rsidR="00207C19" w:rsidRPr="00B0658A" w:rsidRDefault="00207C19" w:rsidP="00E766E3">
            <w:pPr>
              <w:spacing w:after="0" w:line="240" w:lineRule="auto"/>
              <w:jc w:val="center"/>
              <w:rPr>
                <w:rFonts w:ascii="Times New Roman" w:hAnsi="Times New Roman"/>
                <w:sz w:val="18"/>
                <w:szCs w:val="18"/>
              </w:rPr>
            </w:pPr>
            <w:r w:rsidRPr="00B0658A">
              <w:rPr>
                <w:rFonts w:ascii="Times New Roman" w:hAnsi="Times New Roman"/>
                <w:sz w:val="18"/>
                <w:szCs w:val="18"/>
              </w:rPr>
              <w:t>100%</w:t>
            </w:r>
          </w:p>
        </w:tc>
      </w:tr>
      <w:bookmarkEnd w:id="52"/>
    </w:tbl>
    <w:p w14:paraId="4E363692" w14:textId="77777777" w:rsidR="0002298B" w:rsidRPr="00B0658A" w:rsidRDefault="0002298B">
      <w:pPr>
        <w:spacing w:after="0" w:line="240" w:lineRule="auto"/>
        <w:rPr>
          <w:rFonts w:ascii="Times New Roman" w:hAnsi="Times New Roman"/>
          <w:highlight w:val="yellow"/>
        </w:rPr>
      </w:pPr>
      <w:r w:rsidRPr="00B0658A">
        <w:rPr>
          <w:rFonts w:ascii="Times New Roman" w:hAnsi="Times New Roman"/>
        </w:rPr>
        <w:br w:type="page"/>
      </w:r>
    </w:p>
    <w:p w14:paraId="10D86565" w14:textId="3F737D3A" w:rsidR="008319FB" w:rsidRPr="00B0658A" w:rsidRDefault="008319FB" w:rsidP="008319FB">
      <w:pPr>
        <w:pStyle w:val="11"/>
        <w:spacing w:before="120" w:after="0" w:line="240" w:lineRule="auto"/>
        <w:jc w:val="right"/>
        <w:rPr>
          <w:rFonts w:cs="Times New Roman"/>
          <w:szCs w:val="24"/>
        </w:rPr>
      </w:pPr>
      <w:bookmarkStart w:id="53" w:name="_Toc116632281"/>
      <w:r w:rsidRPr="00B0658A">
        <w:rPr>
          <w:rFonts w:cs="Times New Roman"/>
          <w:szCs w:val="28"/>
        </w:rPr>
        <w:t>Приложение № 15</w:t>
      </w:r>
      <w:r w:rsidRPr="00B0658A">
        <w:rPr>
          <w:rFonts w:cs="Times New Roman"/>
          <w:szCs w:val="28"/>
        </w:rPr>
        <w:br/>
      </w:r>
      <w:r w:rsidRPr="00B0658A">
        <w:rPr>
          <w:rFonts w:cs="Times New Roman"/>
          <w:szCs w:val="24"/>
        </w:rPr>
        <w:t xml:space="preserve">Рекомендованные показатели эффективности в отношении закупок ПО и связанных с ним работ и услуг, проводимых </w:t>
      </w:r>
      <w:r w:rsidRPr="00B0658A">
        <w:rPr>
          <w:rFonts w:cs="Times New Roman"/>
          <w:szCs w:val="28"/>
        </w:rPr>
        <w:t>организациями, осуществляющими закупки товаров, работ, услуг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Федеральным законом «О закупках товаров, работ, услуг отдельными видами юридических лиц» (за исключением организаций с муниципальным участием), не являющихся организациями, подведомственными органам государственной власти и государственным внебюджетным фондам, не включенных в специальный перечень №91-р и в отношении которых не приняты решения о разработке стратегии (программы) цифровой трансформации</w:t>
      </w:r>
      <w:bookmarkEnd w:id="53"/>
    </w:p>
    <w:p w14:paraId="58B68BD0" w14:textId="77777777" w:rsidR="008319FB" w:rsidRPr="00B0658A" w:rsidRDefault="008319FB" w:rsidP="008319FB">
      <w:pPr>
        <w:spacing w:line="240" w:lineRule="auto"/>
        <w:jc w:val="both"/>
        <w:rPr>
          <w:rFonts w:ascii="Times New Roman" w:hAnsi="Times New Roman"/>
          <w:sz w:val="28"/>
          <w:szCs w:val="28"/>
          <w:highlight w:val="yellow"/>
        </w:rPr>
      </w:pPr>
    </w:p>
    <w:p w14:paraId="6E1E8646" w14:textId="77777777" w:rsidR="000E6135" w:rsidRPr="00B0658A" w:rsidRDefault="000E6135" w:rsidP="004F1366">
      <w:pPr>
        <w:pStyle w:val="ConsPlusNormal"/>
        <w:spacing w:before="120"/>
        <w:ind w:firstLine="709"/>
        <w:jc w:val="both"/>
      </w:pPr>
      <w:r w:rsidRPr="00B0658A">
        <w:rPr>
          <w:sz w:val="28"/>
        </w:rPr>
        <w:t xml:space="preserve">Ниже представлены рекомендованные показатели эффективности в отношении закупок ПО и связанных с ним работ и услуг, проводимых </w:t>
      </w:r>
      <w:r w:rsidR="0002298B" w:rsidRPr="00B0658A">
        <w:rPr>
          <w:sz w:val="28"/>
        </w:rPr>
        <w:t>заказчиками 44-ФЗ и заказчиками 223-ФЗ</w:t>
      </w:r>
    </w:p>
    <w:tbl>
      <w:tblPr>
        <w:tblW w:w="5000" w:type="pct"/>
        <w:tblCellMar>
          <w:top w:w="102" w:type="dxa"/>
          <w:left w:w="62" w:type="dxa"/>
          <w:bottom w:w="102" w:type="dxa"/>
          <w:right w:w="62" w:type="dxa"/>
        </w:tblCellMar>
        <w:tblLook w:val="0000" w:firstRow="0" w:lastRow="0" w:firstColumn="0" w:lastColumn="0" w:noHBand="0" w:noVBand="0"/>
      </w:tblPr>
      <w:tblGrid>
        <w:gridCol w:w="2257"/>
        <w:gridCol w:w="1950"/>
        <w:gridCol w:w="1949"/>
        <w:gridCol w:w="1949"/>
        <w:gridCol w:w="1949"/>
        <w:gridCol w:w="1949"/>
        <w:gridCol w:w="1941"/>
      </w:tblGrid>
      <w:tr w:rsidR="00F52FED" w:rsidRPr="00B0658A" w14:paraId="4BEC022C" w14:textId="77777777" w:rsidTr="004F1366">
        <w:trPr>
          <w:trHeight w:val="407"/>
        </w:trPr>
        <w:tc>
          <w:tcPr>
            <w:tcW w:w="809"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41211DC" w14:textId="77777777" w:rsidR="000E6135" w:rsidRPr="00B0658A" w:rsidRDefault="000E6135" w:rsidP="000A4114">
            <w:pPr>
              <w:spacing w:after="0" w:line="240" w:lineRule="auto"/>
              <w:jc w:val="center"/>
              <w:rPr>
                <w:rFonts w:ascii="Times New Roman" w:hAnsi="Times New Roman"/>
                <w:sz w:val="18"/>
                <w:szCs w:val="18"/>
              </w:rPr>
            </w:pPr>
            <w:r w:rsidRPr="00B0658A">
              <w:rPr>
                <w:rFonts w:ascii="Times New Roman" w:hAnsi="Times New Roman"/>
                <w:b/>
                <w:bCs/>
                <w:sz w:val="18"/>
                <w:szCs w:val="18"/>
              </w:rPr>
              <w:t>Показатель</w:t>
            </w:r>
          </w:p>
        </w:tc>
        <w:tc>
          <w:tcPr>
            <w:tcW w:w="699"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443E416" w14:textId="77777777" w:rsidR="000E6135" w:rsidRPr="00B0658A" w:rsidRDefault="000E6135" w:rsidP="000A4114">
            <w:pPr>
              <w:spacing w:after="0" w:line="240" w:lineRule="auto"/>
              <w:jc w:val="center"/>
              <w:rPr>
                <w:rFonts w:ascii="Times New Roman" w:hAnsi="Times New Roman"/>
                <w:b/>
                <w:bCs/>
                <w:sz w:val="18"/>
                <w:szCs w:val="18"/>
              </w:rPr>
            </w:pPr>
            <w:r w:rsidRPr="00B0658A">
              <w:rPr>
                <w:rFonts w:ascii="Times New Roman" w:hAnsi="Times New Roman"/>
                <w:b/>
                <w:bCs/>
                <w:sz w:val="18"/>
                <w:szCs w:val="18"/>
              </w:rPr>
              <w:t>2022 г.</w:t>
            </w:r>
          </w:p>
        </w:tc>
        <w:tc>
          <w:tcPr>
            <w:tcW w:w="699"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B91FE8E" w14:textId="77777777" w:rsidR="000E6135" w:rsidRPr="00B0658A" w:rsidRDefault="000E6135" w:rsidP="000A4114">
            <w:pPr>
              <w:spacing w:after="0" w:line="240" w:lineRule="auto"/>
              <w:jc w:val="center"/>
              <w:rPr>
                <w:rFonts w:ascii="Times New Roman" w:hAnsi="Times New Roman"/>
                <w:b/>
                <w:bCs/>
                <w:sz w:val="18"/>
                <w:szCs w:val="18"/>
              </w:rPr>
            </w:pPr>
            <w:r w:rsidRPr="00B0658A">
              <w:rPr>
                <w:rFonts w:ascii="Times New Roman" w:hAnsi="Times New Roman"/>
                <w:b/>
                <w:bCs/>
                <w:sz w:val="18"/>
                <w:szCs w:val="18"/>
              </w:rPr>
              <w:t>2023 г.</w:t>
            </w:r>
          </w:p>
        </w:tc>
        <w:tc>
          <w:tcPr>
            <w:tcW w:w="699"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ADF49E7" w14:textId="77777777" w:rsidR="000E6135" w:rsidRPr="00B0658A" w:rsidRDefault="000E6135" w:rsidP="000A4114">
            <w:pPr>
              <w:spacing w:after="0" w:line="240" w:lineRule="auto"/>
              <w:jc w:val="center"/>
              <w:rPr>
                <w:rFonts w:ascii="Times New Roman" w:hAnsi="Times New Roman"/>
                <w:b/>
                <w:bCs/>
                <w:sz w:val="18"/>
                <w:szCs w:val="18"/>
              </w:rPr>
            </w:pPr>
            <w:r w:rsidRPr="00B0658A">
              <w:rPr>
                <w:rFonts w:ascii="Times New Roman" w:hAnsi="Times New Roman"/>
                <w:b/>
                <w:bCs/>
                <w:sz w:val="18"/>
                <w:szCs w:val="18"/>
              </w:rPr>
              <w:t>2024 г.</w:t>
            </w:r>
          </w:p>
        </w:tc>
        <w:tc>
          <w:tcPr>
            <w:tcW w:w="699"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3230539" w14:textId="77777777" w:rsidR="000E6135" w:rsidRPr="00B0658A" w:rsidRDefault="000E6135" w:rsidP="000A4114">
            <w:pPr>
              <w:spacing w:after="0" w:line="240" w:lineRule="auto"/>
              <w:jc w:val="center"/>
              <w:rPr>
                <w:rFonts w:ascii="Times New Roman" w:hAnsi="Times New Roman"/>
                <w:b/>
                <w:bCs/>
                <w:sz w:val="18"/>
                <w:szCs w:val="18"/>
              </w:rPr>
            </w:pPr>
            <w:r w:rsidRPr="00B0658A">
              <w:rPr>
                <w:rFonts w:ascii="Times New Roman" w:hAnsi="Times New Roman"/>
                <w:b/>
                <w:bCs/>
                <w:sz w:val="18"/>
                <w:szCs w:val="18"/>
              </w:rPr>
              <w:t>2025 г.</w:t>
            </w:r>
          </w:p>
        </w:tc>
        <w:tc>
          <w:tcPr>
            <w:tcW w:w="699"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18C4189" w14:textId="77777777" w:rsidR="000E6135" w:rsidRPr="00B0658A" w:rsidRDefault="000E6135" w:rsidP="000A4114">
            <w:pPr>
              <w:spacing w:after="0" w:line="240" w:lineRule="auto"/>
              <w:jc w:val="center"/>
              <w:rPr>
                <w:rFonts w:ascii="Times New Roman" w:hAnsi="Times New Roman"/>
                <w:b/>
                <w:bCs/>
                <w:sz w:val="18"/>
                <w:szCs w:val="18"/>
              </w:rPr>
            </w:pPr>
            <w:r w:rsidRPr="00B0658A">
              <w:rPr>
                <w:rFonts w:ascii="Times New Roman" w:hAnsi="Times New Roman"/>
                <w:b/>
                <w:bCs/>
                <w:sz w:val="18"/>
                <w:szCs w:val="18"/>
              </w:rPr>
              <w:t>2026 г.</w:t>
            </w:r>
          </w:p>
        </w:tc>
        <w:tc>
          <w:tcPr>
            <w:tcW w:w="696"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CBAF8EB" w14:textId="77777777" w:rsidR="000E6135" w:rsidRPr="00B0658A" w:rsidRDefault="000E6135" w:rsidP="000A4114">
            <w:pPr>
              <w:spacing w:after="0" w:line="240" w:lineRule="auto"/>
              <w:jc w:val="center"/>
              <w:rPr>
                <w:rFonts w:ascii="Times New Roman" w:hAnsi="Times New Roman"/>
                <w:b/>
                <w:bCs/>
                <w:sz w:val="18"/>
                <w:szCs w:val="18"/>
              </w:rPr>
            </w:pPr>
            <w:r w:rsidRPr="00B0658A">
              <w:rPr>
                <w:rFonts w:ascii="Times New Roman" w:hAnsi="Times New Roman"/>
                <w:b/>
                <w:bCs/>
                <w:sz w:val="18"/>
                <w:szCs w:val="18"/>
              </w:rPr>
              <w:t>2027 г.</w:t>
            </w:r>
          </w:p>
        </w:tc>
      </w:tr>
      <w:tr w:rsidR="000E6135" w:rsidRPr="00B0658A" w14:paraId="2755DC8E" w14:textId="77777777" w:rsidTr="004F1366">
        <w:trPr>
          <w:trHeight w:val="407"/>
        </w:trPr>
        <w:tc>
          <w:tcPr>
            <w:tcW w:w="809" w:type="pct"/>
            <w:tcBorders>
              <w:top w:val="single" w:sz="4" w:space="0" w:color="auto"/>
              <w:left w:val="single" w:sz="4" w:space="0" w:color="auto"/>
              <w:bottom w:val="single" w:sz="4" w:space="0" w:color="auto"/>
              <w:right w:val="single" w:sz="4" w:space="0" w:color="auto"/>
            </w:tcBorders>
          </w:tcPr>
          <w:p w14:paraId="381C31AB" w14:textId="77777777" w:rsidR="000E6135" w:rsidRPr="00B0658A" w:rsidRDefault="000E6135" w:rsidP="000A4114">
            <w:pPr>
              <w:pStyle w:val="ConsPlusNormal"/>
              <w:rPr>
                <w:sz w:val="18"/>
                <w:szCs w:val="18"/>
              </w:rPr>
            </w:pPr>
            <w:r w:rsidRPr="00B0658A">
              <w:rPr>
                <w:sz w:val="18"/>
                <w:szCs w:val="18"/>
              </w:rPr>
              <w:t>Доля расходов на закупку российского ПО  и связанных с ним работ (услуг) в общем объеме расходов на закупку ПО и связанных с ним работ (услуг), %</w:t>
            </w:r>
          </w:p>
        </w:tc>
        <w:tc>
          <w:tcPr>
            <w:tcW w:w="699" w:type="pct"/>
            <w:tcBorders>
              <w:top w:val="single" w:sz="4" w:space="0" w:color="auto"/>
              <w:left w:val="single" w:sz="4" w:space="0" w:color="auto"/>
              <w:bottom w:val="single" w:sz="4" w:space="0" w:color="auto"/>
              <w:right w:val="single" w:sz="4" w:space="0" w:color="auto"/>
            </w:tcBorders>
            <w:vAlign w:val="center"/>
          </w:tcPr>
          <w:p w14:paraId="2CAA453D" w14:textId="77777777" w:rsidR="000E6135" w:rsidRPr="00B0658A" w:rsidRDefault="000E6135" w:rsidP="000A4114">
            <w:pPr>
              <w:pStyle w:val="ConsPlusNormal"/>
              <w:jc w:val="center"/>
              <w:rPr>
                <w:sz w:val="18"/>
                <w:szCs w:val="18"/>
              </w:rPr>
            </w:pPr>
            <w:r w:rsidRPr="00B0658A">
              <w:rPr>
                <w:sz w:val="18"/>
                <w:szCs w:val="18"/>
              </w:rPr>
              <w:t xml:space="preserve">Не менее </w:t>
            </w:r>
            <w:r w:rsidR="0002298B" w:rsidRPr="00B0658A">
              <w:rPr>
                <w:sz w:val="18"/>
                <w:szCs w:val="18"/>
              </w:rPr>
              <w:t>80</w:t>
            </w:r>
            <w:r w:rsidRPr="00B0658A">
              <w:rPr>
                <w:sz w:val="18"/>
                <w:szCs w:val="18"/>
              </w:rPr>
              <w:t>%</w:t>
            </w:r>
          </w:p>
        </w:tc>
        <w:tc>
          <w:tcPr>
            <w:tcW w:w="699" w:type="pct"/>
            <w:tcBorders>
              <w:top w:val="single" w:sz="4" w:space="0" w:color="auto"/>
              <w:left w:val="single" w:sz="4" w:space="0" w:color="auto"/>
              <w:bottom w:val="single" w:sz="4" w:space="0" w:color="auto"/>
              <w:right w:val="single" w:sz="4" w:space="0" w:color="auto"/>
            </w:tcBorders>
            <w:vAlign w:val="center"/>
          </w:tcPr>
          <w:p w14:paraId="1B2F0004" w14:textId="77777777" w:rsidR="000E6135" w:rsidRPr="00B0658A" w:rsidRDefault="000E6135" w:rsidP="000A4114">
            <w:pPr>
              <w:pStyle w:val="ConsPlusNormal"/>
              <w:jc w:val="center"/>
              <w:rPr>
                <w:sz w:val="18"/>
                <w:szCs w:val="18"/>
              </w:rPr>
            </w:pPr>
            <w:r w:rsidRPr="00B0658A">
              <w:rPr>
                <w:sz w:val="18"/>
                <w:szCs w:val="18"/>
              </w:rPr>
              <w:t xml:space="preserve">Не менее </w:t>
            </w:r>
            <w:r w:rsidR="0002298B" w:rsidRPr="00B0658A">
              <w:rPr>
                <w:sz w:val="18"/>
                <w:szCs w:val="18"/>
              </w:rPr>
              <w:t>80</w:t>
            </w:r>
            <w:r w:rsidRPr="00B0658A">
              <w:rPr>
                <w:sz w:val="18"/>
                <w:szCs w:val="18"/>
              </w:rPr>
              <w:t>%</w:t>
            </w:r>
          </w:p>
        </w:tc>
        <w:tc>
          <w:tcPr>
            <w:tcW w:w="699" w:type="pct"/>
            <w:tcBorders>
              <w:top w:val="single" w:sz="4" w:space="0" w:color="auto"/>
              <w:left w:val="single" w:sz="4" w:space="0" w:color="auto"/>
              <w:bottom w:val="single" w:sz="4" w:space="0" w:color="auto"/>
              <w:right w:val="single" w:sz="4" w:space="0" w:color="auto"/>
            </w:tcBorders>
            <w:vAlign w:val="center"/>
          </w:tcPr>
          <w:p w14:paraId="75205E89" w14:textId="77777777" w:rsidR="000E6135" w:rsidRPr="00B0658A" w:rsidRDefault="000E6135" w:rsidP="000A4114">
            <w:pPr>
              <w:pStyle w:val="ConsPlusNormal"/>
              <w:jc w:val="center"/>
              <w:rPr>
                <w:sz w:val="18"/>
                <w:szCs w:val="18"/>
              </w:rPr>
            </w:pPr>
            <w:r w:rsidRPr="00B0658A">
              <w:rPr>
                <w:sz w:val="18"/>
                <w:szCs w:val="18"/>
              </w:rPr>
              <w:t>Не менее 80%</w:t>
            </w:r>
          </w:p>
        </w:tc>
        <w:tc>
          <w:tcPr>
            <w:tcW w:w="699" w:type="pct"/>
            <w:tcBorders>
              <w:top w:val="single" w:sz="4" w:space="0" w:color="auto"/>
              <w:left w:val="single" w:sz="4" w:space="0" w:color="auto"/>
              <w:bottom w:val="single" w:sz="4" w:space="0" w:color="auto"/>
              <w:right w:val="single" w:sz="4" w:space="0" w:color="auto"/>
            </w:tcBorders>
            <w:vAlign w:val="center"/>
          </w:tcPr>
          <w:p w14:paraId="75D799BD" w14:textId="77777777" w:rsidR="000E6135" w:rsidRPr="00B0658A" w:rsidRDefault="000E6135" w:rsidP="000A4114">
            <w:pPr>
              <w:pStyle w:val="ConsPlusNormal"/>
              <w:jc w:val="center"/>
              <w:rPr>
                <w:sz w:val="18"/>
                <w:szCs w:val="18"/>
              </w:rPr>
            </w:pPr>
            <w:r w:rsidRPr="00B0658A">
              <w:rPr>
                <w:sz w:val="18"/>
                <w:szCs w:val="18"/>
              </w:rPr>
              <w:t>Не менее 80%</w:t>
            </w:r>
          </w:p>
        </w:tc>
        <w:tc>
          <w:tcPr>
            <w:tcW w:w="699" w:type="pct"/>
            <w:tcBorders>
              <w:top w:val="single" w:sz="4" w:space="0" w:color="auto"/>
              <w:left w:val="single" w:sz="4" w:space="0" w:color="auto"/>
              <w:bottom w:val="single" w:sz="4" w:space="0" w:color="auto"/>
              <w:right w:val="single" w:sz="4" w:space="0" w:color="auto"/>
            </w:tcBorders>
            <w:vAlign w:val="center"/>
          </w:tcPr>
          <w:p w14:paraId="6B31DE1F" w14:textId="72375C81" w:rsidR="000E6135" w:rsidRPr="00B0658A" w:rsidRDefault="000E6135" w:rsidP="000A4114">
            <w:pPr>
              <w:pStyle w:val="ConsPlusNormal"/>
              <w:jc w:val="center"/>
              <w:rPr>
                <w:sz w:val="18"/>
                <w:szCs w:val="18"/>
              </w:rPr>
            </w:pPr>
            <w:r w:rsidRPr="00B0658A">
              <w:rPr>
                <w:sz w:val="18"/>
                <w:szCs w:val="18"/>
              </w:rPr>
              <w:t xml:space="preserve">Не менее </w:t>
            </w:r>
            <w:r w:rsidR="00D7781B">
              <w:rPr>
                <w:sz w:val="18"/>
                <w:szCs w:val="18"/>
              </w:rPr>
              <w:t>9</w:t>
            </w:r>
            <w:r w:rsidRPr="00B0658A">
              <w:rPr>
                <w:sz w:val="18"/>
                <w:szCs w:val="18"/>
              </w:rPr>
              <w:t>0%</w:t>
            </w:r>
          </w:p>
        </w:tc>
        <w:tc>
          <w:tcPr>
            <w:tcW w:w="696" w:type="pct"/>
            <w:tcBorders>
              <w:top w:val="single" w:sz="4" w:space="0" w:color="auto"/>
              <w:left w:val="single" w:sz="4" w:space="0" w:color="auto"/>
              <w:bottom w:val="single" w:sz="4" w:space="0" w:color="auto"/>
              <w:right w:val="single" w:sz="4" w:space="0" w:color="auto"/>
            </w:tcBorders>
            <w:vAlign w:val="center"/>
          </w:tcPr>
          <w:p w14:paraId="73232BD7" w14:textId="7100AFD1" w:rsidR="000E6135" w:rsidRPr="00B0658A" w:rsidRDefault="000E6135" w:rsidP="000A4114">
            <w:pPr>
              <w:pStyle w:val="ConsPlusNormal"/>
              <w:jc w:val="center"/>
              <w:rPr>
                <w:sz w:val="18"/>
                <w:szCs w:val="18"/>
              </w:rPr>
            </w:pPr>
            <w:r w:rsidRPr="00B0658A">
              <w:rPr>
                <w:sz w:val="18"/>
                <w:szCs w:val="18"/>
              </w:rPr>
              <w:t xml:space="preserve">Не менее </w:t>
            </w:r>
            <w:r w:rsidR="00D7781B">
              <w:rPr>
                <w:sz w:val="18"/>
                <w:szCs w:val="18"/>
              </w:rPr>
              <w:t>9</w:t>
            </w:r>
            <w:r w:rsidRPr="00B0658A">
              <w:rPr>
                <w:sz w:val="18"/>
                <w:szCs w:val="18"/>
              </w:rPr>
              <w:t>0%</w:t>
            </w:r>
          </w:p>
        </w:tc>
      </w:tr>
    </w:tbl>
    <w:p w14:paraId="23FAFA65" w14:textId="77777777" w:rsidR="000E6135" w:rsidRPr="00B0658A" w:rsidRDefault="000E6135" w:rsidP="004F1366">
      <w:pPr>
        <w:rPr>
          <w:rFonts w:ascii="Times New Roman" w:hAnsi="Times New Roman"/>
        </w:rPr>
      </w:pPr>
    </w:p>
    <w:p w14:paraId="6E64C11E" w14:textId="77777777" w:rsidR="008319FB" w:rsidRPr="00B0658A" w:rsidRDefault="000E6135" w:rsidP="008319FB">
      <w:pPr>
        <w:spacing w:after="0" w:line="240" w:lineRule="auto"/>
        <w:rPr>
          <w:rFonts w:ascii="Times New Roman" w:hAnsi="Times New Roman"/>
          <w:sz w:val="24"/>
          <w:szCs w:val="24"/>
          <w:highlight w:val="yellow"/>
        </w:rPr>
      </w:pPr>
      <w:r w:rsidRPr="00B0658A">
        <w:rPr>
          <w:rFonts w:ascii="Times New Roman" w:hAnsi="Times New Roman"/>
        </w:rPr>
        <w:br w:type="page"/>
      </w:r>
    </w:p>
    <w:p w14:paraId="2A51803B" w14:textId="7401BCB8" w:rsidR="008319FB" w:rsidRPr="00B0658A" w:rsidRDefault="008319FB" w:rsidP="008319FB">
      <w:pPr>
        <w:pStyle w:val="11"/>
        <w:spacing w:before="120" w:after="0" w:line="240" w:lineRule="auto"/>
        <w:jc w:val="right"/>
        <w:rPr>
          <w:rFonts w:cs="Times New Roman"/>
          <w:szCs w:val="28"/>
        </w:rPr>
      </w:pPr>
      <w:bookmarkStart w:id="54" w:name="_Toc116632282"/>
      <w:r w:rsidRPr="00B0658A">
        <w:rPr>
          <w:rFonts w:cs="Times New Roman"/>
          <w:szCs w:val="28"/>
        </w:rPr>
        <w:t>Приложение № 16</w:t>
      </w:r>
      <w:r w:rsidRPr="00B0658A">
        <w:rPr>
          <w:rFonts w:cs="Times New Roman"/>
          <w:szCs w:val="28"/>
        </w:rPr>
        <w:br/>
      </w:r>
      <w:r w:rsidRPr="00B0658A">
        <w:rPr>
          <w:rFonts w:cs="Times New Roman"/>
          <w:szCs w:val="24"/>
        </w:rPr>
        <w:t xml:space="preserve">Рекомендованные отчетные формы для представления сведений о ходе реализации плана перехода на использование российского ПО и достижении показателей эффективности перехода на использование российского ПО </w:t>
      </w:r>
      <w:r w:rsidRPr="00B0658A">
        <w:rPr>
          <w:rFonts w:cs="Times New Roman"/>
          <w:szCs w:val="28"/>
        </w:rPr>
        <w:t>организаций, осуществляющих закупки товаров, работ, услуг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Федеральным законом «О закупках товаров, работ, услуг отдельными видами юридических лиц» (за исключением организаций с муниципальным участием), не являющихся организациями, подведомственными органам государственной власти и государственным внебюджетным фондам, не включенных в специальный перечень №91-р и в отношении которых не приняты решения о разработке стратегии (программы) цифровой трансформации</w:t>
      </w:r>
      <w:bookmarkEnd w:id="54"/>
    </w:p>
    <w:p w14:paraId="13B1134E" w14:textId="77777777" w:rsidR="0002298B" w:rsidRPr="00B0658A" w:rsidRDefault="0002298B" w:rsidP="0002298B">
      <w:pPr>
        <w:rPr>
          <w:rFonts w:ascii="Times New Roman" w:hAnsi="Times New Roman"/>
          <w:highlight w:val="yellow"/>
        </w:rPr>
      </w:pPr>
    </w:p>
    <w:p w14:paraId="0B3E4FD6" w14:textId="77777777" w:rsidR="0002298B" w:rsidRPr="00B0658A" w:rsidRDefault="0002298B" w:rsidP="00FB2975">
      <w:pPr>
        <w:rPr>
          <w:rFonts w:ascii="Times New Roman" w:hAnsi="Times New Roman"/>
          <w:b/>
          <w:sz w:val="28"/>
          <w:szCs w:val="28"/>
        </w:rPr>
      </w:pPr>
      <w:r w:rsidRPr="00B0658A">
        <w:rPr>
          <w:rFonts w:ascii="Times New Roman" w:hAnsi="Times New Roman"/>
          <w:b/>
          <w:sz w:val="28"/>
          <w:szCs w:val="28"/>
        </w:rPr>
        <w:t>Форма отчетности за квартальный период</w:t>
      </w:r>
    </w:p>
    <w:p w14:paraId="70897691" w14:textId="77777777" w:rsidR="0002298B" w:rsidRPr="00B0658A" w:rsidRDefault="0002298B" w:rsidP="0002298B">
      <w:pPr>
        <w:rPr>
          <w:rFonts w:ascii="Times New Roman" w:hAnsi="Times New Roman"/>
          <w:highlight w:val="yellow"/>
        </w:rPr>
      </w:pPr>
    </w:p>
    <w:p w14:paraId="649690DC" w14:textId="77777777" w:rsidR="0002298B" w:rsidRPr="00B0658A" w:rsidRDefault="0002298B" w:rsidP="0002298B">
      <w:pPr>
        <w:pStyle w:val="ConsPlusNormal"/>
        <w:spacing w:before="120"/>
        <w:jc w:val="center"/>
        <w:rPr>
          <w:sz w:val="32"/>
          <w:szCs w:val="32"/>
        </w:rPr>
      </w:pPr>
      <w:r w:rsidRPr="00B0658A">
        <w:rPr>
          <w:sz w:val="32"/>
          <w:szCs w:val="32"/>
        </w:rPr>
        <w:t>Сведения о реализации плана перехода ______________ (полное наименование заказчик</w:t>
      </w:r>
      <w:r w:rsidR="000717D9" w:rsidRPr="00B0658A">
        <w:rPr>
          <w:sz w:val="32"/>
          <w:szCs w:val="32"/>
        </w:rPr>
        <w:t>а</w:t>
      </w:r>
      <w:r w:rsidRPr="00B0658A">
        <w:rPr>
          <w:sz w:val="32"/>
          <w:szCs w:val="32"/>
        </w:rPr>
        <w:t xml:space="preserve"> 44-ФЗ и</w:t>
      </w:r>
      <w:r w:rsidR="000717D9" w:rsidRPr="00B0658A">
        <w:rPr>
          <w:sz w:val="32"/>
          <w:szCs w:val="32"/>
        </w:rPr>
        <w:t>ли</w:t>
      </w:r>
      <w:r w:rsidRPr="00B0658A">
        <w:rPr>
          <w:sz w:val="32"/>
          <w:szCs w:val="32"/>
        </w:rPr>
        <w:t xml:space="preserve"> заказчик</w:t>
      </w:r>
      <w:r w:rsidR="000717D9" w:rsidRPr="00B0658A">
        <w:rPr>
          <w:sz w:val="32"/>
          <w:szCs w:val="32"/>
        </w:rPr>
        <w:t>а</w:t>
      </w:r>
      <w:r w:rsidRPr="00B0658A">
        <w:rPr>
          <w:sz w:val="32"/>
          <w:szCs w:val="32"/>
        </w:rPr>
        <w:t xml:space="preserve"> 223-ФЗ) на использование российского ПО на период 2022-2027 годы за ____квартал _______ года.</w:t>
      </w:r>
    </w:p>
    <w:p w14:paraId="7F402F3F" w14:textId="77777777" w:rsidR="001A502C" w:rsidRPr="00B0658A" w:rsidRDefault="001A502C" w:rsidP="0002298B">
      <w:pPr>
        <w:spacing w:line="240" w:lineRule="auto"/>
        <w:ind w:firstLine="709"/>
        <w:jc w:val="both"/>
        <w:rPr>
          <w:rFonts w:ascii="Times New Roman" w:hAnsi="Times New Roman"/>
          <w:sz w:val="28"/>
          <w:szCs w:val="28"/>
        </w:rPr>
      </w:pPr>
    </w:p>
    <w:p w14:paraId="5C61703B" w14:textId="77777777" w:rsidR="0002298B" w:rsidRPr="00B0658A" w:rsidRDefault="00A756EF" w:rsidP="0002298B">
      <w:pPr>
        <w:spacing w:line="240" w:lineRule="auto"/>
        <w:ind w:firstLine="709"/>
        <w:jc w:val="both"/>
        <w:rPr>
          <w:rFonts w:ascii="Times New Roman" w:hAnsi="Times New Roman"/>
          <w:sz w:val="28"/>
          <w:szCs w:val="28"/>
        </w:rPr>
      </w:pPr>
      <w:r w:rsidRPr="00B0658A">
        <w:rPr>
          <w:rFonts w:ascii="Times New Roman" w:hAnsi="Times New Roman"/>
          <w:sz w:val="28"/>
          <w:szCs w:val="28"/>
        </w:rPr>
        <w:t xml:space="preserve">1. </w:t>
      </w:r>
      <w:r w:rsidR="0002298B" w:rsidRPr="00B0658A">
        <w:rPr>
          <w:rFonts w:ascii="Times New Roman" w:hAnsi="Times New Roman"/>
          <w:sz w:val="28"/>
          <w:szCs w:val="28"/>
        </w:rPr>
        <w:t>Сведения о достижении показателей эффективности в отношении закупок ПО и финансового обеспечения перехода на использование российского ПО</w:t>
      </w:r>
    </w:p>
    <w:tbl>
      <w:tblPr>
        <w:tblStyle w:val="afc"/>
        <w:tblW w:w="5000" w:type="pct"/>
        <w:tblLook w:val="04A0" w:firstRow="1" w:lastRow="0" w:firstColumn="1" w:lastColumn="0" w:noHBand="0" w:noVBand="1"/>
      </w:tblPr>
      <w:tblGrid>
        <w:gridCol w:w="522"/>
        <w:gridCol w:w="2457"/>
        <w:gridCol w:w="1054"/>
        <w:gridCol w:w="3188"/>
        <w:gridCol w:w="3190"/>
        <w:gridCol w:w="3533"/>
      </w:tblGrid>
      <w:tr w:rsidR="00F52FED" w:rsidRPr="00B0658A" w14:paraId="08F03B61" w14:textId="77777777" w:rsidTr="00F57B1F">
        <w:trPr>
          <w:trHeight w:val="58"/>
          <w:tblHeader/>
        </w:trPr>
        <w:tc>
          <w:tcPr>
            <w:tcW w:w="187" w:type="pct"/>
            <w:vMerge w:val="restart"/>
            <w:vAlign w:val="center"/>
          </w:tcPr>
          <w:p w14:paraId="211B7A73" w14:textId="77777777" w:rsidR="0002298B" w:rsidRPr="00B0658A" w:rsidRDefault="0002298B" w:rsidP="000A4114">
            <w:pPr>
              <w:spacing w:after="0" w:line="240" w:lineRule="auto"/>
              <w:jc w:val="center"/>
              <w:rPr>
                <w:rFonts w:ascii="Times New Roman" w:hAnsi="Times New Roman"/>
                <w:b/>
                <w:bCs/>
                <w:sz w:val="20"/>
                <w:szCs w:val="20"/>
              </w:rPr>
            </w:pPr>
            <w:r w:rsidRPr="00B0658A">
              <w:rPr>
                <w:rFonts w:ascii="Times New Roman" w:hAnsi="Times New Roman"/>
                <w:b/>
                <w:bCs/>
                <w:sz w:val="20"/>
                <w:szCs w:val="20"/>
              </w:rPr>
              <w:t>№</w:t>
            </w:r>
          </w:p>
        </w:tc>
        <w:tc>
          <w:tcPr>
            <w:tcW w:w="881" w:type="pct"/>
            <w:vMerge w:val="restart"/>
            <w:vAlign w:val="center"/>
          </w:tcPr>
          <w:p w14:paraId="363560A6" w14:textId="77777777" w:rsidR="0002298B" w:rsidRPr="00B0658A" w:rsidRDefault="0002298B" w:rsidP="000A4114">
            <w:pPr>
              <w:spacing w:after="0" w:line="240" w:lineRule="auto"/>
              <w:jc w:val="center"/>
              <w:rPr>
                <w:rFonts w:ascii="Times New Roman" w:hAnsi="Times New Roman"/>
                <w:b/>
                <w:bCs/>
                <w:sz w:val="20"/>
                <w:szCs w:val="20"/>
              </w:rPr>
            </w:pPr>
            <w:r w:rsidRPr="00B0658A">
              <w:rPr>
                <w:rFonts w:ascii="Times New Roman" w:hAnsi="Times New Roman"/>
                <w:b/>
                <w:bCs/>
                <w:sz w:val="20"/>
                <w:szCs w:val="20"/>
              </w:rPr>
              <w:t>Наименование показателя</w:t>
            </w:r>
          </w:p>
        </w:tc>
        <w:tc>
          <w:tcPr>
            <w:tcW w:w="378" w:type="pct"/>
            <w:vMerge w:val="restart"/>
            <w:vAlign w:val="center"/>
          </w:tcPr>
          <w:p w14:paraId="38C99619" w14:textId="77777777" w:rsidR="0002298B" w:rsidRPr="00B0658A" w:rsidRDefault="0002298B" w:rsidP="000A4114">
            <w:pPr>
              <w:spacing w:after="0" w:line="240" w:lineRule="auto"/>
              <w:jc w:val="center"/>
              <w:rPr>
                <w:rFonts w:ascii="Times New Roman" w:hAnsi="Times New Roman"/>
                <w:b/>
                <w:bCs/>
                <w:sz w:val="20"/>
                <w:szCs w:val="20"/>
              </w:rPr>
            </w:pPr>
            <w:r w:rsidRPr="00B0658A">
              <w:rPr>
                <w:rFonts w:ascii="Times New Roman" w:hAnsi="Times New Roman"/>
                <w:b/>
                <w:bCs/>
                <w:sz w:val="20"/>
                <w:szCs w:val="20"/>
              </w:rPr>
              <w:t>Ед. изм.</w:t>
            </w:r>
          </w:p>
        </w:tc>
        <w:tc>
          <w:tcPr>
            <w:tcW w:w="2287" w:type="pct"/>
            <w:gridSpan w:val="2"/>
            <w:vAlign w:val="center"/>
          </w:tcPr>
          <w:p w14:paraId="28901619" w14:textId="77777777" w:rsidR="0002298B" w:rsidRPr="00B0658A" w:rsidRDefault="0002298B" w:rsidP="000A4114">
            <w:pPr>
              <w:spacing w:after="0" w:line="240" w:lineRule="auto"/>
              <w:jc w:val="center"/>
              <w:rPr>
                <w:rFonts w:ascii="Times New Roman" w:hAnsi="Times New Roman"/>
                <w:b/>
                <w:bCs/>
                <w:sz w:val="20"/>
                <w:szCs w:val="20"/>
              </w:rPr>
            </w:pPr>
            <w:r w:rsidRPr="00B0658A">
              <w:rPr>
                <w:rFonts w:ascii="Times New Roman" w:hAnsi="Times New Roman"/>
                <w:b/>
                <w:bCs/>
                <w:sz w:val="20"/>
                <w:szCs w:val="20"/>
              </w:rPr>
              <w:t>Сведения о достижении показателей эффективности за ______ квартал _______ г.</w:t>
            </w:r>
          </w:p>
        </w:tc>
        <w:tc>
          <w:tcPr>
            <w:tcW w:w="1267" w:type="pct"/>
            <w:vMerge w:val="restart"/>
            <w:vAlign w:val="center"/>
          </w:tcPr>
          <w:p w14:paraId="3AAC8ED4" w14:textId="77777777" w:rsidR="0002298B" w:rsidRPr="00B0658A" w:rsidRDefault="0002298B" w:rsidP="000A4114">
            <w:pPr>
              <w:spacing w:after="0" w:line="240" w:lineRule="auto"/>
              <w:jc w:val="center"/>
              <w:rPr>
                <w:rFonts w:ascii="Times New Roman" w:hAnsi="Times New Roman"/>
                <w:b/>
                <w:bCs/>
                <w:sz w:val="20"/>
                <w:szCs w:val="20"/>
              </w:rPr>
            </w:pPr>
            <w:r w:rsidRPr="00B0658A">
              <w:rPr>
                <w:rFonts w:ascii="Times New Roman" w:hAnsi="Times New Roman"/>
                <w:b/>
                <w:bCs/>
                <w:sz w:val="20"/>
                <w:szCs w:val="20"/>
              </w:rPr>
              <w:t>Комментарии</w:t>
            </w:r>
          </w:p>
        </w:tc>
      </w:tr>
      <w:tr w:rsidR="00F52FED" w:rsidRPr="00B0658A" w14:paraId="2D4C0AEE" w14:textId="77777777" w:rsidTr="004F1366">
        <w:trPr>
          <w:trHeight w:val="58"/>
        </w:trPr>
        <w:tc>
          <w:tcPr>
            <w:tcW w:w="187" w:type="pct"/>
            <w:vMerge/>
            <w:vAlign w:val="center"/>
          </w:tcPr>
          <w:p w14:paraId="03229BFC" w14:textId="77777777" w:rsidR="0002298B" w:rsidRPr="00B0658A" w:rsidRDefault="0002298B" w:rsidP="000A4114">
            <w:pPr>
              <w:spacing w:after="0" w:line="240" w:lineRule="auto"/>
              <w:jc w:val="center"/>
              <w:rPr>
                <w:rFonts w:ascii="Times New Roman" w:hAnsi="Times New Roman"/>
                <w:b/>
                <w:bCs/>
                <w:sz w:val="20"/>
                <w:szCs w:val="20"/>
              </w:rPr>
            </w:pPr>
          </w:p>
        </w:tc>
        <w:tc>
          <w:tcPr>
            <w:tcW w:w="881" w:type="pct"/>
            <w:vMerge/>
            <w:vAlign w:val="center"/>
          </w:tcPr>
          <w:p w14:paraId="61C6B84F" w14:textId="77777777" w:rsidR="0002298B" w:rsidRPr="00B0658A" w:rsidRDefault="0002298B" w:rsidP="000A4114">
            <w:pPr>
              <w:spacing w:after="0" w:line="240" w:lineRule="auto"/>
              <w:jc w:val="center"/>
              <w:rPr>
                <w:rFonts w:ascii="Times New Roman" w:hAnsi="Times New Roman"/>
                <w:b/>
                <w:bCs/>
                <w:sz w:val="20"/>
                <w:szCs w:val="20"/>
              </w:rPr>
            </w:pPr>
          </w:p>
        </w:tc>
        <w:tc>
          <w:tcPr>
            <w:tcW w:w="378" w:type="pct"/>
            <w:vMerge/>
            <w:vAlign w:val="center"/>
          </w:tcPr>
          <w:p w14:paraId="1F999D86" w14:textId="77777777" w:rsidR="0002298B" w:rsidRPr="00B0658A" w:rsidRDefault="0002298B" w:rsidP="000A4114">
            <w:pPr>
              <w:spacing w:after="0" w:line="240" w:lineRule="auto"/>
              <w:jc w:val="center"/>
              <w:rPr>
                <w:rFonts w:ascii="Times New Roman" w:hAnsi="Times New Roman"/>
                <w:b/>
                <w:bCs/>
                <w:sz w:val="20"/>
                <w:szCs w:val="20"/>
              </w:rPr>
            </w:pPr>
          </w:p>
        </w:tc>
        <w:tc>
          <w:tcPr>
            <w:tcW w:w="1143" w:type="pct"/>
            <w:vAlign w:val="center"/>
          </w:tcPr>
          <w:p w14:paraId="633CDA98" w14:textId="77777777" w:rsidR="0002298B" w:rsidRPr="00B0658A" w:rsidRDefault="0002298B" w:rsidP="000A4114">
            <w:pPr>
              <w:spacing w:after="0" w:line="240" w:lineRule="auto"/>
              <w:jc w:val="center"/>
              <w:rPr>
                <w:rFonts w:ascii="Times New Roman" w:hAnsi="Times New Roman"/>
                <w:b/>
                <w:bCs/>
                <w:sz w:val="20"/>
                <w:szCs w:val="20"/>
              </w:rPr>
            </w:pPr>
            <w:r w:rsidRPr="00B0658A">
              <w:rPr>
                <w:rFonts w:ascii="Times New Roman" w:hAnsi="Times New Roman"/>
                <w:b/>
                <w:bCs/>
                <w:sz w:val="20"/>
                <w:szCs w:val="20"/>
              </w:rPr>
              <w:t>Плановое значение</w:t>
            </w:r>
          </w:p>
        </w:tc>
        <w:tc>
          <w:tcPr>
            <w:tcW w:w="1144" w:type="pct"/>
            <w:vAlign w:val="center"/>
          </w:tcPr>
          <w:p w14:paraId="309AECE9" w14:textId="77777777" w:rsidR="0002298B" w:rsidRPr="00B0658A" w:rsidRDefault="0002298B" w:rsidP="000A4114">
            <w:pPr>
              <w:spacing w:after="0" w:line="240" w:lineRule="auto"/>
              <w:jc w:val="center"/>
              <w:rPr>
                <w:rFonts w:ascii="Times New Roman" w:hAnsi="Times New Roman"/>
                <w:b/>
                <w:bCs/>
                <w:sz w:val="20"/>
                <w:szCs w:val="20"/>
              </w:rPr>
            </w:pPr>
            <w:r w:rsidRPr="00B0658A">
              <w:rPr>
                <w:rFonts w:ascii="Times New Roman" w:hAnsi="Times New Roman"/>
                <w:b/>
                <w:bCs/>
                <w:sz w:val="20"/>
                <w:szCs w:val="20"/>
              </w:rPr>
              <w:t>Фактическое значение</w:t>
            </w:r>
          </w:p>
        </w:tc>
        <w:tc>
          <w:tcPr>
            <w:tcW w:w="1267" w:type="pct"/>
            <w:vMerge/>
            <w:vAlign w:val="center"/>
          </w:tcPr>
          <w:p w14:paraId="427F6B81" w14:textId="77777777" w:rsidR="0002298B" w:rsidRPr="00B0658A" w:rsidRDefault="0002298B" w:rsidP="000A4114">
            <w:pPr>
              <w:spacing w:after="0" w:line="240" w:lineRule="auto"/>
              <w:jc w:val="center"/>
              <w:rPr>
                <w:rFonts w:ascii="Times New Roman" w:hAnsi="Times New Roman"/>
                <w:b/>
                <w:bCs/>
                <w:sz w:val="20"/>
                <w:szCs w:val="20"/>
              </w:rPr>
            </w:pPr>
          </w:p>
        </w:tc>
      </w:tr>
      <w:tr w:rsidR="00F52FED" w:rsidRPr="00B0658A" w14:paraId="59C7E53F" w14:textId="77777777" w:rsidTr="004F1366">
        <w:trPr>
          <w:trHeight w:val="283"/>
        </w:trPr>
        <w:tc>
          <w:tcPr>
            <w:tcW w:w="5000" w:type="pct"/>
            <w:gridSpan w:val="6"/>
          </w:tcPr>
          <w:p w14:paraId="594C28D9" w14:textId="77777777" w:rsidR="0002298B" w:rsidRPr="00B0658A" w:rsidRDefault="0002298B" w:rsidP="000A4114">
            <w:pPr>
              <w:spacing w:after="0" w:line="240" w:lineRule="auto"/>
              <w:jc w:val="both"/>
              <w:rPr>
                <w:rFonts w:ascii="Times New Roman" w:hAnsi="Times New Roman"/>
                <w:b/>
                <w:i/>
                <w:iCs/>
                <w:sz w:val="20"/>
                <w:szCs w:val="20"/>
              </w:rPr>
            </w:pPr>
            <w:r w:rsidRPr="00B0658A">
              <w:rPr>
                <w:rFonts w:ascii="Times New Roman" w:hAnsi="Times New Roman"/>
                <w:b/>
                <w:i/>
                <w:iCs/>
                <w:sz w:val="20"/>
                <w:szCs w:val="20"/>
              </w:rPr>
              <w:t>I. Показатели эффективности в отношении закупок ПО</w:t>
            </w:r>
          </w:p>
        </w:tc>
      </w:tr>
      <w:tr w:rsidR="00F52FED" w:rsidRPr="00B0658A" w14:paraId="42C3E9A1" w14:textId="77777777" w:rsidTr="004F1366">
        <w:trPr>
          <w:trHeight w:val="960"/>
        </w:trPr>
        <w:tc>
          <w:tcPr>
            <w:tcW w:w="187" w:type="pct"/>
          </w:tcPr>
          <w:p w14:paraId="64B2889D" w14:textId="77777777" w:rsidR="0002298B" w:rsidRPr="00B0658A" w:rsidRDefault="0002298B" w:rsidP="000A4114">
            <w:pPr>
              <w:spacing w:after="0" w:line="240" w:lineRule="auto"/>
              <w:jc w:val="both"/>
              <w:rPr>
                <w:rFonts w:ascii="Times New Roman" w:hAnsi="Times New Roman"/>
                <w:sz w:val="20"/>
                <w:szCs w:val="20"/>
              </w:rPr>
            </w:pPr>
            <w:r w:rsidRPr="00B0658A">
              <w:rPr>
                <w:rFonts w:ascii="Times New Roman" w:hAnsi="Times New Roman"/>
                <w:sz w:val="20"/>
                <w:szCs w:val="20"/>
              </w:rPr>
              <w:t>1.</w:t>
            </w:r>
          </w:p>
        </w:tc>
        <w:tc>
          <w:tcPr>
            <w:tcW w:w="881" w:type="pct"/>
          </w:tcPr>
          <w:p w14:paraId="302FCA00" w14:textId="77777777" w:rsidR="0002298B" w:rsidRPr="00B0658A" w:rsidRDefault="0002298B" w:rsidP="000A4114">
            <w:pPr>
              <w:spacing w:after="0" w:line="240" w:lineRule="auto"/>
              <w:jc w:val="both"/>
              <w:rPr>
                <w:rFonts w:ascii="Times New Roman" w:hAnsi="Times New Roman"/>
                <w:sz w:val="20"/>
                <w:szCs w:val="20"/>
              </w:rPr>
            </w:pPr>
            <w:r w:rsidRPr="00B0658A">
              <w:rPr>
                <w:rFonts w:ascii="Times New Roman" w:hAnsi="Times New Roman"/>
                <w:sz w:val="20"/>
                <w:szCs w:val="20"/>
              </w:rPr>
              <w:t>Доля расходов на закупку российского ПО и связанных с ним работ (услуг) в общем объеме расходов на закупку ПО и связанных с ним работ (услуг)</w:t>
            </w:r>
          </w:p>
        </w:tc>
        <w:tc>
          <w:tcPr>
            <w:tcW w:w="378" w:type="pct"/>
          </w:tcPr>
          <w:p w14:paraId="3465291C" w14:textId="77777777" w:rsidR="0002298B" w:rsidRPr="00B0658A" w:rsidRDefault="0002298B" w:rsidP="000A4114">
            <w:pPr>
              <w:spacing w:after="0" w:line="240" w:lineRule="auto"/>
              <w:jc w:val="center"/>
              <w:rPr>
                <w:rFonts w:ascii="Times New Roman" w:hAnsi="Times New Roman"/>
                <w:sz w:val="20"/>
                <w:szCs w:val="20"/>
              </w:rPr>
            </w:pPr>
            <w:r w:rsidRPr="00B0658A">
              <w:rPr>
                <w:rFonts w:ascii="Times New Roman" w:hAnsi="Times New Roman"/>
                <w:sz w:val="20"/>
                <w:szCs w:val="20"/>
              </w:rPr>
              <w:t>%</w:t>
            </w:r>
          </w:p>
        </w:tc>
        <w:tc>
          <w:tcPr>
            <w:tcW w:w="1143" w:type="pct"/>
          </w:tcPr>
          <w:p w14:paraId="27E6D91C" w14:textId="77777777" w:rsidR="0002298B" w:rsidRPr="00B0658A" w:rsidRDefault="0002298B" w:rsidP="000A4114">
            <w:pPr>
              <w:spacing w:after="0" w:line="240" w:lineRule="auto"/>
              <w:jc w:val="both"/>
              <w:rPr>
                <w:rFonts w:ascii="Times New Roman" w:hAnsi="Times New Roman"/>
                <w:sz w:val="20"/>
                <w:szCs w:val="20"/>
              </w:rPr>
            </w:pPr>
            <w:r w:rsidRPr="00B0658A">
              <w:rPr>
                <w:rFonts w:ascii="Times New Roman" w:hAnsi="Times New Roman"/>
                <w:i/>
                <w:iCs/>
                <w:sz w:val="20"/>
                <w:szCs w:val="20"/>
              </w:rPr>
              <w:t xml:space="preserve">Указывается плановое значение на соответствующий год в соответствии с показателями, установленными в плане перехода </w:t>
            </w:r>
            <w:r w:rsidR="000717D9" w:rsidRPr="00B0658A">
              <w:rPr>
                <w:rFonts w:ascii="Times New Roman" w:hAnsi="Times New Roman"/>
                <w:i/>
                <w:iCs/>
                <w:sz w:val="20"/>
                <w:szCs w:val="20"/>
              </w:rPr>
              <w:t xml:space="preserve">заказчика 44-ФЗ или заказчика 223-ФЗ </w:t>
            </w:r>
            <w:r w:rsidRPr="00B0658A">
              <w:rPr>
                <w:rFonts w:ascii="Times New Roman" w:hAnsi="Times New Roman"/>
                <w:i/>
                <w:iCs/>
                <w:sz w:val="20"/>
                <w:szCs w:val="20"/>
              </w:rPr>
              <w:t>на использование российского ПО</w:t>
            </w:r>
          </w:p>
        </w:tc>
        <w:tc>
          <w:tcPr>
            <w:tcW w:w="1144" w:type="pct"/>
          </w:tcPr>
          <w:p w14:paraId="5E23DB04" w14:textId="77777777" w:rsidR="0002298B" w:rsidRPr="00B0658A" w:rsidRDefault="0002298B" w:rsidP="000A4114">
            <w:pPr>
              <w:spacing w:after="0" w:line="240" w:lineRule="auto"/>
              <w:jc w:val="both"/>
              <w:rPr>
                <w:rFonts w:ascii="Times New Roman" w:hAnsi="Times New Roman"/>
                <w:i/>
                <w:iCs/>
                <w:sz w:val="20"/>
                <w:szCs w:val="20"/>
              </w:rPr>
            </w:pPr>
            <w:r w:rsidRPr="00B0658A">
              <w:rPr>
                <w:rFonts w:ascii="Times New Roman" w:hAnsi="Times New Roman"/>
                <w:i/>
                <w:iCs/>
                <w:sz w:val="20"/>
                <w:szCs w:val="20"/>
              </w:rPr>
              <w:t>Указывается фактическая доля расходов на российское ПО и связанные с ним работ (услуги) в общем объеме расходов на закупку ПО и связанные с ним работы (услуги) в соответствующем квартале соответствующего года</w:t>
            </w:r>
          </w:p>
          <w:p w14:paraId="20960C1C" w14:textId="77777777" w:rsidR="0002298B" w:rsidRPr="00B0658A" w:rsidRDefault="0002298B" w:rsidP="000A4114">
            <w:pPr>
              <w:spacing w:after="0" w:line="240" w:lineRule="auto"/>
              <w:jc w:val="both"/>
              <w:rPr>
                <w:rFonts w:ascii="Times New Roman" w:hAnsi="Times New Roman"/>
                <w:sz w:val="20"/>
                <w:szCs w:val="20"/>
              </w:rPr>
            </w:pPr>
            <w:r w:rsidRPr="00B0658A">
              <w:rPr>
                <w:rFonts w:ascii="Times New Roman" w:hAnsi="Times New Roman"/>
                <w:i/>
                <w:iCs/>
                <w:sz w:val="20"/>
                <w:szCs w:val="20"/>
              </w:rPr>
              <w:t xml:space="preserve">Сведения по итогам </w:t>
            </w:r>
            <w:r w:rsidRPr="00B0658A">
              <w:rPr>
                <w:rFonts w:ascii="Times New Roman" w:hAnsi="Times New Roman"/>
                <w:i/>
                <w:iCs/>
                <w:sz w:val="20"/>
                <w:szCs w:val="20"/>
                <w:lang w:val="en-US"/>
              </w:rPr>
              <w:t>I</w:t>
            </w:r>
            <w:r w:rsidRPr="00B0658A">
              <w:rPr>
                <w:rFonts w:ascii="Times New Roman" w:hAnsi="Times New Roman"/>
                <w:i/>
                <w:iCs/>
                <w:sz w:val="20"/>
                <w:szCs w:val="20"/>
              </w:rPr>
              <w:t xml:space="preserve"> квартала для фактических значений предоставляются за соответствующий квартал. Далее сведения, предоставляемые по итогам последующих отчетных периодов, предоставляются накопленным итогом.</w:t>
            </w:r>
          </w:p>
        </w:tc>
        <w:tc>
          <w:tcPr>
            <w:tcW w:w="1267" w:type="pct"/>
          </w:tcPr>
          <w:p w14:paraId="375B57FA" w14:textId="77777777" w:rsidR="0002298B" w:rsidRPr="00B0658A" w:rsidRDefault="0002298B" w:rsidP="000A4114">
            <w:pPr>
              <w:spacing w:after="0" w:line="240" w:lineRule="auto"/>
              <w:jc w:val="both"/>
              <w:rPr>
                <w:rFonts w:ascii="Times New Roman" w:hAnsi="Times New Roman"/>
                <w:i/>
                <w:sz w:val="20"/>
                <w:szCs w:val="20"/>
              </w:rPr>
            </w:pPr>
            <w:r w:rsidRPr="00B0658A">
              <w:rPr>
                <w:rFonts w:ascii="Times New Roman" w:hAnsi="Times New Roman"/>
                <w:i/>
                <w:iCs/>
                <w:sz w:val="20"/>
                <w:szCs w:val="20"/>
              </w:rPr>
              <w:t>Указывается дополнительные комментарии по достижению установленных значений (при необходимости)</w:t>
            </w:r>
          </w:p>
          <w:p w14:paraId="464AE870" w14:textId="77777777" w:rsidR="0002298B" w:rsidRPr="00B0658A" w:rsidRDefault="0002298B" w:rsidP="000A4114">
            <w:pPr>
              <w:spacing w:after="0" w:line="240" w:lineRule="auto"/>
              <w:rPr>
                <w:rFonts w:ascii="Times New Roman" w:hAnsi="Times New Roman"/>
                <w:sz w:val="20"/>
                <w:szCs w:val="20"/>
              </w:rPr>
            </w:pPr>
          </w:p>
        </w:tc>
      </w:tr>
      <w:tr w:rsidR="00F52FED" w:rsidRPr="00B0658A" w14:paraId="5839652E" w14:textId="77777777" w:rsidTr="004F1366">
        <w:trPr>
          <w:trHeight w:val="283"/>
        </w:trPr>
        <w:tc>
          <w:tcPr>
            <w:tcW w:w="5000" w:type="pct"/>
            <w:gridSpan w:val="6"/>
          </w:tcPr>
          <w:p w14:paraId="70E69044" w14:textId="77777777" w:rsidR="0002298B" w:rsidRPr="00B0658A" w:rsidRDefault="0002298B" w:rsidP="000A4114">
            <w:pPr>
              <w:spacing w:after="0" w:line="240" w:lineRule="auto"/>
              <w:rPr>
                <w:rFonts w:ascii="Times New Roman" w:hAnsi="Times New Roman"/>
                <w:i/>
                <w:iCs/>
                <w:sz w:val="20"/>
                <w:szCs w:val="20"/>
              </w:rPr>
            </w:pPr>
            <w:r w:rsidRPr="00B0658A">
              <w:rPr>
                <w:rFonts w:ascii="Times New Roman" w:hAnsi="Times New Roman"/>
                <w:b/>
                <w:i/>
                <w:iCs/>
                <w:sz w:val="20"/>
                <w:szCs w:val="20"/>
                <w:lang w:val="en-US"/>
              </w:rPr>
              <w:t>II</w:t>
            </w:r>
            <w:r w:rsidRPr="00B0658A">
              <w:rPr>
                <w:rFonts w:ascii="Times New Roman" w:hAnsi="Times New Roman"/>
                <w:b/>
                <w:i/>
                <w:iCs/>
                <w:sz w:val="20"/>
                <w:szCs w:val="20"/>
              </w:rPr>
              <w:t xml:space="preserve">. Финансовое обеспечение </w:t>
            </w:r>
            <w:r w:rsidRPr="00B0658A">
              <w:rPr>
                <w:rFonts w:ascii="Times New Roman" w:hAnsi="Times New Roman"/>
                <w:b/>
                <w:bCs/>
                <w:i/>
                <w:iCs/>
                <w:sz w:val="20"/>
                <w:szCs w:val="20"/>
              </w:rPr>
              <w:t>перехода на использование российского ПО</w:t>
            </w:r>
          </w:p>
        </w:tc>
      </w:tr>
      <w:tr w:rsidR="00F52FED" w:rsidRPr="00B0658A" w14:paraId="0B636402" w14:textId="77777777" w:rsidTr="00155F66">
        <w:trPr>
          <w:trHeight w:val="659"/>
        </w:trPr>
        <w:tc>
          <w:tcPr>
            <w:tcW w:w="187" w:type="pct"/>
          </w:tcPr>
          <w:p w14:paraId="2CEB85E1" w14:textId="77777777" w:rsidR="0002298B" w:rsidRPr="00B0658A" w:rsidRDefault="0002298B" w:rsidP="000A4114">
            <w:pPr>
              <w:spacing w:after="0" w:line="240" w:lineRule="auto"/>
              <w:jc w:val="both"/>
              <w:rPr>
                <w:rFonts w:ascii="Times New Roman" w:hAnsi="Times New Roman"/>
                <w:sz w:val="20"/>
                <w:szCs w:val="20"/>
              </w:rPr>
            </w:pPr>
            <w:r w:rsidRPr="00B0658A">
              <w:rPr>
                <w:rFonts w:ascii="Times New Roman" w:hAnsi="Times New Roman"/>
                <w:sz w:val="20"/>
                <w:szCs w:val="20"/>
              </w:rPr>
              <w:t>2.</w:t>
            </w:r>
          </w:p>
        </w:tc>
        <w:tc>
          <w:tcPr>
            <w:tcW w:w="881" w:type="pct"/>
          </w:tcPr>
          <w:p w14:paraId="627BDF5B" w14:textId="77777777" w:rsidR="0002298B" w:rsidRPr="00B0658A" w:rsidRDefault="0002298B" w:rsidP="000A4114">
            <w:pPr>
              <w:spacing w:after="0" w:line="240" w:lineRule="auto"/>
              <w:jc w:val="both"/>
              <w:rPr>
                <w:rFonts w:ascii="Times New Roman" w:hAnsi="Times New Roman"/>
                <w:sz w:val="20"/>
                <w:szCs w:val="20"/>
              </w:rPr>
            </w:pPr>
            <w:r w:rsidRPr="00B0658A">
              <w:rPr>
                <w:rFonts w:ascii="Times New Roman" w:hAnsi="Times New Roman"/>
                <w:sz w:val="20"/>
                <w:szCs w:val="20"/>
              </w:rPr>
              <w:t>Объём финансовых ресурсов, направленных на переход на использование российского ПО</w:t>
            </w:r>
          </w:p>
        </w:tc>
        <w:tc>
          <w:tcPr>
            <w:tcW w:w="378" w:type="pct"/>
          </w:tcPr>
          <w:p w14:paraId="45347F00" w14:textId="77777777" w:rsidR="0002298B" w:rsidRPr="00B0658A" w:rsidRDefault="0002298B" w:rsidP="000A4114">
            <w:pPr>
              <w:spacing w:after="0" w:line="240" w:lineRule="auto"/>
              <w:jc w:val="center"/>
              <w:rPr>
                <w:rFonts w:ascii="Times New Roman" w:hAnsi="Times New Roman"/>
                <w:sz w:val="20"/>
                <w:szCs w:val="20"/>
              </w:rPr>
            </w:pPr>
            <w:r w:rsidRPr="00B0658A">
              <w:rPr>
                <w:rFonts w:ascii="Times New Roman" w:hAnsi="Times New Roman"/>
                <w:sz w:val="20"/>
                <w:szCs w:val="20"/>
              </w:rPr>
              <w:t>тыс. руб.</w:t>
            </w:r>
          </w:p>
        </w:tc>
        <w:tc>
          <w:tcPr>
            <w:tcW w:w="1143" w:type="pct"/>
          </w:tcPr>
          <w:p w14:paraId="09F8EDC8" w14:textId="77777777" w:rsidR="0002298B" w:rsidRPr="00B0658A" w:rsidRDefault="0002298B" w:rsidP="000A4114">
            <w:pPr>
              <w:spacing w:after="0" w:line="240" w:lineRule="auto"/>
              <w:jc w:val="both"/>
              <w:rPr>
                <w:rFonts w:ascii="Times New Roman" w:hAnsi="Times New Roman"/>
                <w:sz w:val="20"/>
                <w:szCs w:val="20"/>
              </w:rPr>
            </w:pPr>
            <w:r w:rsidRPr="00B0658A">
              <w:rPr>
                <w:rFonts w:ascii="Times New Roman" w:hAnsi="Times New Roman"/>
                <w:i/>
                <w:iCs/>
                <w:sz w:val="20"/>
                <w:szCs w:val="20"/>
              </w:rPr>
              <w:t xml:space="preserve">Указывается плановое значение на соответствующий год в соответствии с показателями, установленными в плане перехода </w:t>
            </w:r>
            <w:r w:rsidR="000717D9" w:rsidRPr="00B0658A">
              <w:rPr>
                <w:rFonts w:ascii="Times New Roman" w:hAnsi="Times New Roman"/>
                <w:i/>
                <w:iCs/>
                <w:sz w:val="20"/>
                <w:szCs w:val="20"/>
              </w:rPr>
              <w:t xml:space="preserve">заказчика 44-ФЗ или заказчика 223-ФЗ </w:t>
            </w:r>
            <w:r w:rsidRPr="00B0658A">
              <w:rPr>
                <w:rFonts w:ascii="Times New Roman" w:hAnsi="Times New Roman"/>
                <w:i/>
                <w:iCs/>
                <w:sz w:val="20"/>
                <w:szCs w:val="20"/>
              </w:rPr>
              <w:t>на использование российского ПО</w:t>
            </w:r>
          </w:p>
        </w:tc>
        <w:tc>
          <w:tcPr>
            <w:tcW w:w="1144" w:type="pct"/>
          </w:tcPr>
          <w:p w14:paraId="2DC6CFC6" w14:textId="77777777" w:rsidR="0002298B" w:rsidRPr="00B0658A" w:rsidRDefault="0002298B" w:rsidP="000A4114">
            <w:pPr>
              <w:spacing w:after="0" w:line="240" w:lineRule="auto"/>
              <w:jc w:val="both"/>
              <w:rPr>
                <w:rFonts w:ascii="Times New Roman" w:hAnsi="Times New Roman"/>
                <w:i/>
                <w:iCs/>
                <w:sz w:val="20"/>
                <w:szCs w:val="20"/>
              </w:rPr>
            </w:pPr>
            <w:r w:rsidRPr="00B0658A">
              <w:rPr>
                <w:rFonts w:ascii="Times New Roman" w:hAnsi="Times New Roman"/>
                <w:i/>
                <w:iCs/>
                <w:sz w:val="20"/>
                <w:szCs w:val="20"/>
              </w:rPr>
              <w:t>Указываются фактические объемы расходов, связанных с переходом на  использование российского ПО в соответствующем квартале соответствующего года</w:t>
            </w:r>
          </w:p>
          <w:p w14:paraId="3F1DA8A9" w14:textId="77777777" w:rsidR="0002298B" w:rsidRPr="00B0658A" w:rsidRDefault="0002298B" w:rsidP="000A4114">
            <w:pPr>
              <w:spacing w:after="0" w:line="240" w:lineRule="auto"/>
              <w:jc w:val="both"/>
              <w:rPr>
                <w:rFonts w:ascii="Times New Roman" w:hAnsi="Times New Roman"/>
                <w:sz w:val="20"/>
                <w:szCs w:val="20"/>
              </w:rPr>
            </w:pPr>
            <w:r w:rsidRPr="00B0658A">
              <w:rPr>
                <w:rFonts w:ascii="Times New Roman" w:hAnsi="Times New Roman"/>
                <w:i/>
                <w:iCs/>
                <w:sz w:val="20"/>
                <w:szCs w:val="20"/>
              </w:rPr>
              <w:t xml:space="preserve">Сведения по итогам </w:t>
            </w:r>
            <w:r w:rsidRPr="00B0658A">
              <w:rPr>
                <w:rFonts w:ascii="Times New Roman" w:hAnsi="Times New Roman"/>
                <w:i/>
                <w:iCs/>
                <w:sz w:val="20"/>
                <w:szCs w:val="20"/>
                <w:lang w:val="en-US"/>
              </w:rPr>
              <w:t>I</w:t>
            </w:r>
            <w:r w:rsidRPr="00B0658A">
              <w:rPr>
                <w:rFonts w:ascii="Times New Roman" w:hAnsi="Times New Roman"/>
                <w:i/>
                <w:iCs/>
                <w:sz w:val="20"/>
                <w:szCs w:val="20"/>
              </w:rPr>
              <w:t xml:space="preserve"> квартала для фактических значений предоставляются за соответствующий квартал. Далее сведения, предоставляемые по итогам последующих отчетных периодов, предоставляются накопленным итогом.</w:t>
            </w:r>
          </w:p>
        </w:tc>
        <w:tc>
          <w:tcPr>
            <w:tcW w:w="1267" w:type="pct"/>
          </w:tcPr>
          <w:p w14:paraId="6FDC2B0A" w14:textId="77777777" w:rsidR="0002298B" w:rsidRPr="00B0658A" w:rsidRDefault="0002298B" w:rsidP="000A4114">
            <w:pPr>
              <w:spacing w:after="0" w:line="240" w:lineRule="auto"/>
              <w:jc w:val="both"/>
              <w:rPr>
                <w:rFonts w:ascii="Times New Roman" w:hAnsi="Times New Roman"/>
                <w:i/>
                <w:sz w:val="20"/>
                <w:szCs w:val="20"/>
              </w:rPr>
            </w:pPr>
            <w:r w:rsidRPr="00B0658A">
              <w:rPr>
                <w:rFonts w:ascii="Times New Roman" w:hAnsi="Times New Roman"/>
                <w:i/>
                <w:iCs/>
                <w:sz w:val="20"/>
                <w:szCs w:val="20"/>
              </w:rPr>
              <w:t>Указывается дополнительные комментарии по достижению установленных значений (при необходимости)</w:t>
            </w:r>
          </w:p>
          <w:p w14:paraId="6C6C220E"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i/>
                <w:iCs/>
                <w:sz w:val="20"/>
                <w:szCs w:val="20"/>
              </w:rPr>
              <w:t>.</w:t>
            </w:r>
          </w:p>
        </w:tc>
      </w:tr>
    </w:tbl>
    <w:p w14:paraId="49243227" w14:textId="5283014D" w:rsidR="00CE74F8" w:rsidRDefault="0002298B" w:rsidP="00F57B1F">
      <w:pPr>
        <w:rPr>
          <w:rFonts w:ascii="Times New Roman" w:hAnsi="Times New Roman"/>
        </w:rPr>
      </w:pPr>
      <w:r w:rsidRPr="00B0658A">
        <w:rPr>
          <w:rFonts w:ascii="Times New Roman" w:hAnsi="Times New Roman"/>
        </w:rPr>
        <w:t xml:space="preserve"> </w:t>
      </w:r>
      <w:r w:rsidR="00CE74F8">
        <w:rPr>
          <w:rFonts w:ascii="Times New Roman" w:hAnsi="Times New Roman"/>
        </w:rPr>
        <w:br w:type="page"/>
      </w:r>
    </w:p>
    <w:p w14:paraId="0CA4CCBA" w14:textId="77777777" w:rsidR="00E85413" w:rsidRPr="00B0658A" w:rsidRDefault="00A756EF" w:rsidP="00E85413">
      <w:pPr>
        <w:ind w:firstLine="709"/>
        <w:rPr>
          <w:rFonts w:ascii="Times New Roman" w:hAnsi="Times New Roman"/>
          <w:sz w:val="28"/>
          <w:szCs w:val="28"/>
        </w:rPr>
      </w:pPr>
      <w:r w:rsidRPr="00B0658A">
        <w:rPr>
          <w:rFonts w:ascii="Times New Roman" w:hAnsi="Times New Roman"/>
          <w:sz w:val="28"/>
          <w:szCs w:val="28"/>
        </w:rPr>
        <w:t>2. Сведения об объёмах закупок российского и иностранного ПО и связанных с ним работ (услуг)</w:t>
      </w:r>
      <w:r w:rsidR="00E85413" w:rsidRPr="00E85413">
        <w:rPr>
          <w:rFonts w:ascii="Times New Roman" w:hAnsi="Times New Roman"/>
          <w:sz w:val="28"/>
          <w:szCs w:val="28"/>
        </w:rPr>
        <w:t xml:space="preserve"> </w:t>
      </w:r>
    </w:p>
    <w:tbl>
      <w:tblPr>
        <w:tblStyle w:val="afc"/>
        <w:tblW w:w="5000" w:type="pct"/>
        <w:tblLook w:val="04A0" w:firstRow="1" w:lastRow="0" w:firstColumn="1" w:lastColumn="0" w:noHBand="0" w:noVBand="1"/>
      </w:tblPr>
      <w:tblGrid>
        <w:gridCol w:w="681"/>
        <w:gridCol w:w="2577"/>
        <w:gridCol w:w="1274"/>
        <w:gridCol w:w="9412"/>
      </w:tblGrid>
      <w:tr w:rsidR="00E85413" w:rsidRPr="00B0658A" w14:paraId="7D6BC9F0" w14:textId="77777777" w:rsidTr="003A11B0">
        <w:trPr>
          <w:trHeight w:val="58"/>
        </w:trPr>
        <w:tc>
          <w:tcPr>
            <w:tcW w:w="244" w:type="pct"/>
            <w:vAlign w:val="center"/>
          </w:tcPr>
          <w:p w14:paraId="294EA4C8" w14:textId="77777777" w:rsidR="00E85413" w:rsidRPr="00BA2448" w:rsidRDefault="00E85413" w:rsidP="003A11B0">
            <w:pPr>
              <w:spacing w:after="0" w:line="240" w:lineRule="auto"/>
              <w:jc w:val="center"/>
              <w:rPr>
                <w:rFonts w:ascii="Times New Roman" w:hAnsi="Times New Roman"/>
                <w:b/>
                <w:bCs/>
                <w:sz w:val="20"/>
                <w:szCs w:val="20"/>
              </w:rPr>
            </w:pPr>
            <w:r w:rsidRPr="00BA2448">
              <w:rPr>
                <w:rFonts w:ascii="Times New Roman" w:hAnsi="Times New Roman"/>
                <w:b/>
                <w:bCs/>
                <w:sz w:val="20"/>
                <w:szCs w:val="20"/>
              </w:rPr>
              <w:t>№</w:t>
            </w:r>
          </w:p>
        </w:tc>
        <w:tc>
          <w:tcPr>
            <w:tcW w:w="924" w:type="pct"/>
            <w:vAlign w:val="center"/>
          </w:tcPr>
          <w:p w14:paraId="491462C0" w14:textId="77777777" w:rsidR="00E85413" w:rsidRPr="00BA2448" w:rsidRDefault="00E85413" w:rsidP="003A11B0">
            <w:pPr>
              <w:spacing w:after="0" w:line="240" w:lineRule="auto"/>
              <w:jc w:val="center"/>
              <w:rPr>
                <w:rFonts w:ascii="Times New Roman" w:hAnsi="Times New Roman"/>
                <w:b/>
                <w:bCs/>
                <w:sz w:val="20"/>
                <w:szCs w:val="20"/>
              </w:rPr>
            </w:pPr>
            <w:r w:rsidRPr="00BA2448">
              <w:rPr>
                <w:rFonts w:ascii="Times New Roman" w:hAnsi="Times New Roman"/>
                <w:b/>
                <w:bCs/>
                <w:sz w:val="20"/>
                <w:szCs w:val="20"/>
              </w:rPr>
              <w:t>Наименование показателя</w:t>
            </w:r>
          </w:p>
        </w:tc>
        <w:tc>
          <w:tcPr>
            <w:tcW w:w="457" w:type="pct"/>
            <w:vAlign w:val="center"/>
          </w:tcPr>
          <w:p w14:paraId="2E1D2E47" w14:textId="77777777" w:rsidR="00E85413" w:rsidRPr="00BA2448" w:rsidRDefault="00E85413" w:rsidP="003A11B0">
            <w:pPr>
              <w:spacing w:after="0" w:line="240" w:lineRule="auto"/>
              <w:jc w:val="center"/>
              <w:rPr>
                <w:rFonts w:ascii="Times New Roman" w:hAnsi="Times New Roman"/>
                <w:b/>
                <w:bCs/>
                <w:sz w:val="20"/>
                <w:szCs w:val="20"/>
              </w:rPr>
            </w:pPr>
            <w:r w:rsidRPr="00BA2448">
              <w:rPr>
                <w:rFonts w:ascii="Times New Roman" w:hAnsi="Times New Roman"/>
                <w:b/>
                <w:bCs/>
                <w:sz w:val="20"/>
                <w:szCs w:val="20"/>
              </w:rPr>
              <w:t>Ед. изм.</w:t>
            </w:r>
          </w:p>
        </w:tc>
        <w:tc>
          <w:tcPr>
            <w:tcW w:w="3375" w:type="pct"/>
            <w:vAlign w:val="center"/>
          </w:tcPr>
          <w:p w14:paraId="30851B0F" w14:textId="77777777" w:rsidR="00E85413" w:rsidRPr="00BA2448" w:rsidRDefault="00E85413" w:rsidP="003A11B0">
            <w:pPr>
              <w:spacing w:after="0" w:line="240" w:lineRule="auto"/>
              <w:jc w:val="center"/>
              <w:rPr>
                <w:rFonts w:ascii="Times New Roman" w:hAnsi="Times New Roman"/>
                <w:b/>
                <w:bCs/>
                <w:sz w:val="20"/>
                <w:szCs w:val="20"/>
              </w:rPr>
            </w:pPr>
            <w:r w:rsidRPr="00BA2448">
              <w:rPr>
                <w:rFonts w:ascii="Times New Roman" w:hAnsi="Times New Roman"/>
                <w:b/>
                <w:bCs/>
                <w:sz w:val="20"/>
                <w:szCs w:val="20"/>
              </w:rPr>
              <w:t>Сведения об объёмах закупок российского и иностранного ПО и связанных с ним работ (услуг) за ______ квартал _______ г.</w:t>
            </w:r>
          </w:p>
        </w:tc>
      </w:tr>
      <w:tr w:rsidR="00E85413" w:rsidRPr="00B0658A" w14:paraId="5EA8D09B" w14:textId="77777777" w:rsidTr="003A11B0">
        <w:trPr>
          <w:trHeight w:val="960"/>
        </w:trPr>
        <w:tc>
          <w:tcPr>
            <w:tcW w:w="244" w:type="pct"/>
          </w:tcPr>
          <w:p w14:paraId="2B2F04EF" w14:textId="77777777" w:rsidR="00E85413" w:rsidRPr="00BA2448" w:rsidRDefault="00E85413" w:rsidP="003A11B0">
            <w:pPr>
              <w:spacing w:after="0" w:line="240" w:lineRule="auto"/>
              <w:jc w:val="both"/>
              <w:rPr>
                <w:rFonts w:ascii="Times New Roman" w:hAnsi="Times New Roman"/>
                <w:sz w:val="20"/>
                <w:szCs w:val="20"/>
              </w:rPr>
            </w:pPr>
            <w:r w:rsidRPr="00BA2448">
              <w:rPr>
                <w:rFonts w:ascii="Times New Roman" w:hAnsi="Times New Roman"/>
                <w:sz w:val="20"/>
                <w:szCs w:val="20"/>
              </w:rPr>
              <w:t>1.</w:t>
            </w:r>
          </w:p>
        </w:tc>
        <w:tc>
          <w:tcPr>
            <w:tcW w:w="924" w:type="pct"/>
          </w:tcPr>
          <w:p w14:paraId="45DD0B55" w14:textId="77777777" w:rsidR="00E85413" w:rsidRPr="00BA2448" w:rsidRDefault="00E85413" w:rsidP="003A11B0">
            <w:pPr>
              <w:spacing w:after="0" w:line="240" w:lineRule="auto"/>
              <w:jc w:val="both"/>
              <w:rPr>
                <w:rFonts w:ascii="Times New Roman" w:hAnsi="Times New Roman"/>
                <w:sz w:val="20"/>
                <w:szCs w:val="20"/>
              </w:rPr>
            </w:pPr>
            <w:r w:rsidRPr="00BA2448">
              <w:rPr>
                <w:rFonts w:ascii="Times New Roman" w:hAnsi="Times New Roman"/>
                <w:sz w:val="20"/>
                <w:szCs w:val="20"/>
              </w:rPr>
              <w:t>Объёмы закупок российского ПО и связанных с ним работ (услуг)</w:t>
            </w:r>
          </w:p>
        </w:tc>
        <w:tc>
          <w:tcPr>
            <w:tcW w:w="457" w:type="pct"/>
          </w:tcPr>
          <w:p w14:paraId="4C0892CC" w14:textId="77777777" w:rsidR="00E85413" w:rsidRPr="00BA2448" w:rsidRDefault="00E85413" w:rsidP="003A11B0">
            <w:pPr>
              <w:spacing w:after="0" w:line="240" w:lineRule="auto"/>
              <w:jc w:val="center"/>
              <w:rPr>
                <w:rFonts w:ascii="Times New Roman" w:hAnsi="Times New Roman"/>
                <w:sz w:val="20"/>
                <w:szCs w:val="20"/>
              </w:rPr>
            </w:pPr>
            <w:r w:rsidRPr="00BA2448">
              <w:rPr>
                <w:rFonts w:ascii="Times New Roman" w:hAnsi="Times New Roman"/>
                <w:sz w:val="20"/>
                <w:szCs w:val="20"/>
              </w:rPr>
              <w:t>тыс. руб.</w:t>
            </w:r>
          </w:p>
        </w:tc>
        <w:tc>
          <w:tcPr>
            <w:tcW w:w="3375" w:type="pct"/>
          </w:tcPr>
          <w:p w14:paraId="7FF46A8E" w14:textId="77777777" w:rsidR="00E85413" w:rsidRPr="00BA2448" w:rsidRDefault="00E85413" w:rsidP="003A11B0">
            <w:pPr>
              <w:spacing w:after="0" w:line="240" w:lineRule="auto"/>
              <w:jc w:val="both"/>
              <w:rPr>
                <w:rFonts w:ascii="Times New Roman" w:hAnsi="Times New Roman"/>
                <w:sz w:val="20"/>
                <w:szCs w:val="20"/>
              </w:rPr>
            </w:pPr>
            <w:r w:rsidRPr="00BA2448">
              <w:rPr>
                <w:rFonts w:ascii="Times New Roman" w:hAnsi="Times New Roman"/>
                <w:i/>
                <w:iCs/>
                <w:sz w:val="20"/>
                <w:szCs w:val="20"/>
              </w:rPr>
              <w:t>Указываются фактические объемы расходов, связанных с закупкой российского ПО и связанных с ним работ (услуг) в соответствующем квартале соответствующего года</w:t>
            </w:r>
            <w:r>
              <w:rPr>
                <w:rFonts w:ascii="Times New Roman" w:hAnsi="Times New Roman"/>
                <w:i/>
                <w:iCs/>
                <w:sz w:val="20"/>
                <w:szCs w:val="20"/>
              </w:rPr>
              <w:t xml:space="preserve">. </w:t>
            </w:r>
            <w:r w:rsidRPr="00BA2448">
              <w:rPr>
                <w:rFonts w:ascii="Times New Roman" w:hAnsi="Times New Roman"/>
                <w:i/>
                <w:iCs/>
                <w:sz w:val="20"/>
                <w:szCs w:val="20"/>
              </w:rPr>
              <w:t xml:space="preserve">Сведения по итогам </w:t>
            </w:r>
            <w:r w:rsidRPr="00BA2448">
              <w:rPr>
                <w:rFonts w:ascii="Times New Roman" w:hAnsi="Times New Roman"/>
                <w:i/>
                <w:iCs/>
                <w:sz w:val="20"/>
                <w:szCs w:val="20"/>
                <w:lang w:val="en-US"/>
              </w:rPr>
              <w:t>I</w:t>
            </w:r>
            <w:r w:rsidRPr="00BA2448">
              <w:rPr>
                <w:rFonts w:ascii="Times New Roman" w:hAnsi="Times New Roman"/>
                <w:i/>
                <w:iCs/>
                <w:sz w:val="20"/>
                <w:szCs w:val="20"/>
              </w:rPr>
              <w:t xml:space="preserve"> квартала для фактических значений предоставляются за соответствующий квартал. Далее сведения, предоставляемые по итогам последующих отчетных периодов, предоставляются накопленным итогом.</w:t>
            </w:r>
          </w:p>
        </w:tc>
      </w:tr>
      <w:tr w:rsidR="00E85413" w:rsidRPr="00B0658A" w14:paraId="2EB9741C" w14:textId="77777777" w:rsidTr="003A11B0">
        <w:trPr>
          <w:trHeight w:val="960"/>
        </w:trPr>
        <w:tc>
          <w:tcPr>
            <w:tcW w:w="244" w:type="pct"/>
          </w:tcPr>
          <w:p w14:paraId="0D57B070" w14:textId="77777777" w:rsidR="00E85413" w:rsidRPr="00BA2448" w:rsidRDefault="00E85413" w:rsidP="003A11B0">
            <w:pPr>
              <w:spacing w:after="0" w:line="240" w:lineRule="auto"/>
              <w:jc w:val="both"/>
              <w:rPr>
                <w:rFonts w:ascii="Times New Roman" w:hAnsi="Times New Roman"/>
                <w:sz w:val="20"/>
                <w:szCs w:val="20"/>
              </w:rPr>
            </w:pPr>
            <w:r w:rsidRPr="00BA2448">
              <w:rPr>
                <w:rFonts w:ascii="Times New Roman" w:hAnsi="Times New Roman"/>
                <w:sz w:val="20"/>
                <w:szCs w:val="20"/>
              </w:rPr>
              <w:t>2.</w:t>
            </w:r>
          </w:p>
        </w:tc>
        <w:tc>
          <w:tcPr>
            <w:tcW w:w="924" w:type="pct"/>
          </w:tcPr>
          <w:p w14:paraId="78188244" w14:textId="77777777" w:rsidR="00E85413" w:rsidRPr="00BA2448" w:rsidRDefault="00E85413" w:rsidP="003A11B0">
            <w:pPr>
              <w:spacing w:after="0" w:line="240" w:lineRule="auto"/>
              <w:jc w:val="both"/>
              <w:rPr>
                <w:rFonts w:ascii="Times New Roman" w:hAnsi="Times New Roman"/>
                <w:sz w:val="20"/>
                <w:szCs w:val="20"/>
              </w:rPr>
            </w:pPr>
            <w:r w:rsidRPr="00BA2448">
              <w:rPr>
                <w:rFonts w:ascii="Times New Roman" w:hAnsi="Times New Roman"/>
                <w:sz w:val="20"/>
                <w:szCs w:val="20"/>
              </w:rPr>
              <w:t>Объёмы закупок иностранного ПО и связанных с ним работ (услуг)</w:t>
            </w:r>
          </w:p>
        </w:tc>
        <w:tc>
          <w:tcPr>
            <w:tcW w:w="457" w:type="pct"/>
          </w:tcPr>
          <w:p w14:paraId="5F4A52C7" w14:textId="77777777" w:rsidR="00E85413" w:rsidRPr="00BA2448" w:rsidRDefault="00E85413" w:rsidP="003A11B0">
            <w:pPr>
              <w:spacing w:after="0" w:line="240" w:lineRule="auto"/>
              <w:jc w:val="center"/>
              <w:rPr>
                <w:rFonts w:ascii="Times New Roman" w:hAnsi="Times New Roman"/>
                <w:sz w:val="20"/>
                <w:szCs w:val="20"/>
              </w:rPr>
            </w:pPr>
            <w:r w:rsidRPr="00BA2448">
              <w:rPr>
                <w:rFonts w:ascii="Times New Roman" w:hAnsi="Times New Roman"/>
                <w:sz w:val="20"/>
                <w:szCs w:val="20"/>
              </w:rPr>
              <w:t>тыс. руб.</w:t>
            </w:r>
          </w:p>
        </w:tc>
        <w:tc>
          <w:tcPr>
            <w:tcW w:w="3375" w:type="pct"/>
          </w:tcPr>
          <w:p w14:paraId="415681AC" w14:textId="77777777" w:rsidR="00E85413" w:rsidRPr="00BA2448" w:rsidRDefault="00E85413" w:rsidP="003A11B0">
            <w:pPr>
              <w:spacing w:after="0" w:line="240" w:lineRule="auto"/>
              <w:jc w:val="both"/>
              <w:rPr>
                <w:rFonts w:ascii="Times New Roman" w:hAnsi="Times New Roman"/>
                <w:i/>
                <w:iCs/>
                <w:sz w:val="20"/>
                <w:szCs w:val="20"/>
              </w:rPr>
            </w:pPr>
            <w:r w:rsidRPr="00BA2448">
              <w:rPr>
                <w:rFonts w:ascii="Times New Roman" w:hAnsi="Times New Roman"/>
                <w:i/>
                <w:iCs/>
                <w:sz w:val="20"/>
                <w:szCs w:val="20"/>
              </w:rPr>
              <w:t>Указываются фактические объемы расходов, связанных с закупкой иностранного ПО и связанных с ним работ (услуг) в соответствующем квартале соответствующего года</w:t>
            </w:r>
            <w:r>
              <w:rPr>
                <w:rFonts w:ascii="Times New Roman" w:hAnsi="Times New Roman"/>
                <w:i/>
                <w:iCs/>
                <w:sz w:val="20"/>
                <w:szCs w:val="20"/>
              </w:rPr>
              <w:t>.</w:t>
            </w:r>
            <w:r w:rsidRPr="00BA2448">
              <w:rPr>
                <w:rFonts w:ascii="Times New Roman" w:hAnsi="Times New Roman"/>
                <w:i/>
                <w:iCs/>
                <w:sz w:val="20"/>
                <w:szCs w:val="20"/>
              </w:rPr>
              <w:t xml:space="preserve"> Сведения по итогам </w:t>
            </w:r>
            <w:r w:rsidRPr="00BA2448">
              <w:rPr>
                <w:rFonts w:ascii="Times New Roman" w:hAnsi="Times New Roman"/>
                <w:i/>
                <w:iCs/>
                <w:sz w:val="20"/>
                <w:szCs w:val="20"/>
                <w:lang w:val="en-US"/>
              </w:rPr>
              <w:t>I</w:t>
            </w:r>
            <w:r w:rsidRPr="00BA2448">
              <w:rPr>
                <w:rFonts w:ascii="Times New Roman" w:hAnsi="Times New Roman"/>
                <w:i/>
                <w:iCs/>
                <w:sz w:val="20"/>
                <w:szCs w:val="20"/>
              </w:rPr>
              <w:t xml:space="preserve"> квартала для фактических значений предоставляются за соответствующий квартал. Далее сведения, предоставляемые по итогам последующих отчетных периодов, предоставляются накопленным итогом.</w:t>
            </w:r>
          </w:p>
        </w:tc>
      </w:tr>
    </w:tbl>
    <w:p w14:paraId="1BA81ABC" w14:textId="77777777" w:rsidR="00E85413" w:rsidRDefault="00E85413" w:rsidP="00E85413">
      <w:pPr>
        <w:spacing w:after="0" w:line="240" w:lineRule="auto"/>
        <w:rPr>
          <w:rFonts w:ascii="Times New Roman" w:hAnsi="Times New Roman"/>
        </w:rPr>
      </w:pPr>
      <w:r>
        <w:rPr>
          <w:rFonts w:ascii="Times New Roman" w:hAnsi="Times New Roman"/>
        </w:rPr>
        <w:br w:type="page"/>
      </w:r>
    </w:p>
    <w:p w14:paraId="1B16597E" w14:textId="77777777" w:rsidR="0002298B" w:rsidRPr="00B0658A" w:rsidRDefault="0002298B" w:rsidP="00E85413">
      <w:pPr>
        <w:ind w:firstLine="709"/>
        <w:rPr>
          <w:rFonts w:ascii="Times New Roman" w:hAnsi="Times New Roman"/>
          <w:sz w:val="28"/>
          <w:highlight w:val="yellow"/>
        </w:rPr>
      </w:pPr>
      <w:r w:rsidRPr="00B0658A">
        <w:rPr>
          <w:rFonts w:ascii="Times New Roman" w:hAnsi="Times New Roman"/>
          <w:b/>
          <w:sz w:val="28"/>
          <w:szCs w:val="28"/>
        </w:rPr>
        <w:t>Форма отчетности за полугодовой период</w:t>
      </w:r>
    </w:p>
    <w:p w14:paraId="4373FD48" w14:textId="77777777" w:rsidR="0002298B" w:rsidRPr="00B0658A" w:rsidRDefault="0002298B" w:rsidP="0002298B">
      <w:pPr>
        <w:pStyle w:val="ConsPlusNormal"/>
        <w:spacing w:before="120"/>
        <w:jc w:val="center"/>
        <w:rPr>
          <w:sz w:val="32"/>
          <w:szCs w:val="32"/>
        </w:rPr>
      </w:pPr>
      <w:r w:rsidRPr="00B0658A">
        <w:rPr>
          <w:sz w:val="32"/>
          <w:szCs w:val="32"/>
        </w:rPr>
        <w:t xml:space="preserve">Сведения о реализации плана перехода ______________ (полное наименование </w:t>
      </w:r>
      <w:r w:rsidR="000717D9" w:rsidRPr="00B0658A">
        <w:rPr>
          <w:sz w:val="32"/>
          <w:szCs w:val="32"/>
        </w:rPr>
        <w:t>заказчика 44-ФЗ или заказчика 223-ФЗ</w:t>
      </w:r>
      <w:r w:rsidRPr="00B0658A">
        <w:rPr>
          <w:sz w:val="32"/>
          <w:szCs w:val="32"/>
        </w:rPr>
        <w:t>) на использование российского ПО на период 2022-2027 годы за ____ полугодие _______ года.</w:t>
      </w:r>
    </w:p>
    <w:p w14:paraId="53C88A12" w14:textId="77777777" w:rsidR="0002298B" w:rsidRPr="00B0658A" w:rsidRDefault="0002298B" w:rsidP="0002298B">
      <w:pPr>
        <w:pStyle w:val="afd"/>
        <w:spacing w:line="240" w:lineRule="auto"/>
        <w:ind w:left="1069"/>
        <w:jc w:val="both"/>
        <w:rPr>
          <w:rFonts w:ascii="Times New Roman" w:hAnsi="Times New Roman"/>
          <w:sz w:val="28"/>
          <w:szCs w:val="28"/>
        </w:rPr>
      </w:pPr>
    </w:p>
    <w:p w14:paraId="4F65C95A" w14:textId="77777777" w:rsidR="0002298B" w:rsidRPr="00B0658A" w:rsidRDefault="0002298B" w:rsidP="0002298B">
      <w:pPr>
        <w:spacing w:line="240" w:lineRule="auto"/>
        <w:ind w:firstLine="709"/>
        <w:jc w:val="both"/>
        <w:rPr>
          <w:rFonts w:ascii="Times New Roman" w:hAnsi="Times New Roman"/>
        </w:rPr>
      </w:pPr>
      <w:r w:rsidRPr="00B0658A">
        <w:rPr>
          <w:rFonts w:ascii="Times New Roman" w:hAnsi="Times New Roman"/>
          <w:sz w:val="28"/>
          <w:szCs w:val="28"/>
        </w:rPr>
        <w:t xml:space="preserve">Сведения о достижении </w:t>
      </w:r>
      <w:r w:rsidRPr="00B0658A">
        <w:rPr>
          <w:rFonts w:ascii="Times New Roman" w:hAnsi="Times New Roman"/>
          <w:sz w:val="28"/>
          <w:szCs w:val="24"/>
        </w:rPr>
        <w:t xml:space="preserve">показателей эффективности перехода </w:t>
      </w:r>
      <w:r w:rsidRPr="00B0658A">
        <w:rPr>
          <w:rFonts w:ascii="Times New Roman" w:hAnsi="Times New Roman"/>
          <w:sz w:val="28"/>
          <w:szCs w:val="28"/>
        </w:rPr>
        <w:t>на использование российского ПО</w:t>
      </w:r>
    </w:p>
    <w:tbl>
      <w:tblPr>
        <w:tblStyle w:val="afc"/>
        <w:tblW w:w="0" w:type="auto"/>
        <w:tblLook w:val="0480" w:firstRow="0" w:lastRow="0" w:firstColumn="1" w:lastColumn="0" w:noHBand="0" w:noVBand="1"/>
      </w:tblPr>
      <w:tblGrid>
        <w:gridCol w:w="532"/>
        <w:gridCol w:w="3432"/>
        <w:gridCol w:w="1581"/>
        <w:gridCol w:w="2615"/>
        <w:gridCol w:w="2624"/>
        <w:gridCol w:w="3160"/>
      </w:tblGrid>
      <w:tr w:rsidR="00F52FED" w:rsidRPr="00B0658A" w14:paraId="497B7A25" w14:textId="77777777" w:rsidTr="00F57B1F">
        <w:trPr>
          <w:trHeight w:val="170"/>
          <w:tblHeader/>
        </w:trPr>
        <w:tc>
          <w:tcPr>
            <w:tcW w:w="0" w:type="auto"/>
            <w:vMerge w:val="restart"/>
            <w:shd w:val="clear" w:color="auto" w:fill="auto"/>
            <w:vAlign w:val="center"/>
          </w:tcPr>
          <w:p w14:paraId="0EEA625B" w14:textId="77777777" w:rsidR="0002298B" w:rsidRPr="00B0658A" w:rsidRDefault="0002298B" w:rsidP="000A4114">
            <w:pPr>
              <w:spacing w:after="0" w:line="240" w:lineRule="auto"/>
              <w:jc w:val="center"/>
              <w:rPr>
                <w:rFonts w:ascii="Times New Roman" w:hAnsi="Times New Roman"/>
                <w:b/>
                <w:bCs/>
                <w:sz w:val="20"/>
                <w:szCs w:val="20"/>
              </w:rPr>
            </w:pPr>
            <w:r w:rsidRPr="00B0658A">
              <w:rPr>
                <w:rFonts w:ascii="Times New Roman" w:hAnsi="Times New Roman"/>
                <w:b/>
                <w:bCs/>
                <w:sz w:val="20"/>
                <w:szCs w:val="20"/>
              </w:rPr>
              <w:t>№</w:t>
            </w:r>
          </w:p>
          <w:p w14:paraId="50CBFCAC" w14:textId="77777777" w:rsidR="0002298B" w:rsidRPr="00B0658A" w:rsidRDefault="0002298B" w:rsidP="000A4114">
            <w:pPr>
              <w:spacing w:after="0" w:line="240" w:lineRule="auto"/>
              <w:jc w:val="center"/>
              <w:rPr>
                <w:rFonts w:ascii="Times New Roman" w:hAnsi="Times New Roman"/>
                <w:b/>
                <w:bCs/>
                <w:sz w:val="20"/>
                <w:szCs w:val="20"/>
              </w:rPr>
            </w:pPr>
          </w:p>
        </w:tc>
        <w:tc>
          <w:tcPr>
            <w:tcW w:w="3432" w:type="dxa"/>
            <w:vMerge w:val="restart"/>
            <w:shd w:val="clear" w:color="auto" w:fill="auto"/>
            <w:vAlign w:val="center"/>
          </w:tcPr>
          <w:p w14:paraId="3CA9347E" w14:textId="77777777" w:rsidR="0002298B" w:rsidRPr="00B0658A" w:rsidRDefault="0002298B" w:rsidP="000A4114">
            <w:pPr>
              <w:spacing w:after="0" w:line="240" w:lineRule="auto"/>
              <w:jc w:val="center"/>
              <w:rPr>
                <w:rFonts w:ascii="Times New Roman" w:hAnsi="Times New Roman"/>
                <w:b/>
                <w:bCs/>
                <w:sz w:val="20"/>
                <w:szCs w:val="20"/>
              </w:rPr>
            </w:pPr>
            <w:r w:rsidRPr="00B0658A">
              <w:rPr>
                <w:rFonts w:ascii="Times New Roman" w:hAnsi="Times New Roman"/>
                <w:b/>
                <w:bCs/>
                <w:sz w:val="20"/>
                <w:szCs w:val="20"/>
              </w:rPr>
              <w:t xml:space="preserve">Наименование класса </w:t>
            </w:r>
            <w:r w:rsidRPr="00B0658A">
              <w:rPr>
                <w:rFonts w:ascii="Times New Roman" w:hAnsi="Times New Roman"/>
                <w:b/>
                <w:bCs/>
                <w:sz w:val="20"/>
                <w:szCs w:val="20"/>
                <w:lang w:val="en-US"/>
              </w:rPr>
              <w:t xml:space="preserve">/ </w:t>
            </w:r>
            <w:r w:rsidRPr="00B0658A">
              <w:rPr>
                <w:rFonts w:ascii="Times New Roman" w:hAnsi="Times New Roman"/>
                <w:b/>
                <w:bCs/>
                <w:sz w:val="20"/>
                <w:szCs w:val="20"/>
              </w:rPr>
              <w:t>типа ПО</w:t>
            </w:r>
          </w:p>
        </w:tc>
        <w:tc>
          <w:tcPr>
            <w:tcW w:w="1256" w:type="dxa"/>
            <w:vMerge w:val="restart"/>
            <w:vAlign w:val="center"/>
          </w:tcPr>
          <w:p w14:paraId="424F8FBA" w14:textId="77777777" w:rsidR="0002298B" w:rsidRPr="00B0658A" w:rsidRDefault="0002298B" w:rsidP="000A4114">
            <w:pPr>
              <w:spacing w:after="0" w:line="240" w:lineRule="auto"/>
              <w:jc w:val="center"/>
              <w:rPr>
                <w:rFonts w:ascii="Times New Roman" w:hAnsi="Times New Roman"/>
                <w:b/>
                <w:bCs/>
                <w:sz w:val="20"/>
                <w:szCs w:val="20"/>
              </w:rPr>
            </w:pPr>
            <w:r w:rsidRPr="00B0658A">
              <w:rPr>
                <w:rFonts w:ascii="Times New Roman" w:hAnsi="Times New Roman"/>
                <w:b/>
                <w:bCs/>
                <w:sz w:val="20"/>
                <w:szCs w:val="20"/>
              </w:rPr>
              <w:t>Единицы измерения уровня использования</w:t>
            </w:r>
          </w:p>
        </w:tc>
        <w:tc>
          <w:tcPr>
            <w:tcW w:w="0" w:type="auto"/>
            <w:gridSpan w:val="2"/>
            <w:shd w:val="clear" w:color="auto" w:fill="auto"/>
            <w:vAlign w:val="center"/>
          </w:tcPr>
          <w:p w14:paraId="0149B721" w14:textId="77777777" w:rsidR="0002298B" w:rsidRPr="00B0658A" w:rsidRDefault="0002298B" w:rsidP="000A4114">
            <w:pPr>
              <w:spacing w:after="0" w:line="240" w:lineRule="auto"/>
              <w:jc w:val="center"/>
              <w:rPr>
                <w:rFonts w:ascii="Times New Roman" w:hAnsi="Times New Roman"/>
                <w:b/>
                <w:bCs/>
                <w:sz w:val="20"/>
                <w:szCs w:val="20"/>
              </w:rPr>
            </w:pPr>
            <w:r w:rsidRPr="00B0658A">
              <w:rPr>
                <w:rFonts w:ascii="Times New Roman" w:hAnsi="Times New Roman"/>
                <w:b/>
                <w:bCs/>
                <w:sz w:val="20"/>
                <w:szCs w:val="20"/>
              </w:rPr>
              <w:t>Сведения о достижении показателей эффективности перехода на использование российского ПО</w:t>
            </w:r>
          </w:p>
          <w:p w14:paraId="04031754" w14:textId="77777777" w:rsidR="0002298B" w:rsidRPr="00B0658A" w:rsidRDefault="0002298B" w:rsidP="000A4114">
            <w:pPr>
              <w:spacing w:after="0" w:line="240" w:lineRule="auto"/>
              <w:jc w:val="center"/>
              <w:rPr>
                <w:rFonts w:ascii="Times New Roman" w:hAnsi="Times New Roman"/>
                <w:b/>
                <w:bCs/>
                <w:sz w:val="20"/>
                <w:szCs w:val="20"/>
              </w:rPr>
            </w:pPr>
            <w:r w:rsidRPr="00B0658A">
              <w:rPr>
                <w:rFonts w:ascii="Times New Roman" w:hAnsi="Times New Roman"/>
                <w:b/>
                <w:bCs/>
                <w:sz w:val="20"/>
                <w:szCs w:val="20"/>
              </w:rPr>
              <w:t>за ___ полугодие _____ года</w:t>
            </w:r>
          </w:p>
        </w:tc>
        <w:tc>
          <w:tcPr>
            <w:tcW w:w="0" w:type="auto"/>
            <w:vMerge w:val="restart"/>
            <w:shd w:val="clear" w:color="auto" w:fill="auto"/>
            <w:vAlign w:val="center"/>
          </w:tcPr>
          <w:p w14:paraId="05A296AF" w14:textId="77777777" w:rsidR="0002298B" w:rsidRPr="00B0658A" w:rsidRDefault="0002298B" w:rsidP="000A4114">
            <w:pPr>
              <w:spacing w:after="0" w:line="240" w:lineRule="auto"/>
              <w:jc w:val="center"/>
              <w:rPr>
                <w:rFonts w:ascii="Times New Roman" w:hAnsi="Times New Roman"/>
                <w:b/>
                <w:bCs/>
                <w:sz w:val="20"/>
                <w:szCs w:val="20"/>
              </w:rPr>
            </w:pPr>
            <w:r w:rsidRPr="00B0658A">
              <w:rPr>
                <w:rFonts w:ascii="Times New Roman" w:hAnsi="Times New Roman"/>
                <w:b/>
                <w:bCs/>
                <w:sz w:val="20"/>
                <w:szCs w:val="20"/>
              </w:rPr>
              <w:t>Сведения о российском/евразийском ПО, на использование которого был осуществлен переход</w:t>
            </w:r>
          </w:p>
        </w:tc>
      </w:tr>
      <w:tr w:rsidR="00F52FED" w:rsidRPr="00B0658A" w14:paraId="7F47DDB8" w14:textId="77777777" w:rsidTr="004F1366">
        <w:trPr>
          <w:trHeight w:val="170"/>
        </w:trPr>
        <w:tc>
          <w:tcPr>
            <w:tcW w:w="0" w:type="auto"/>
            <w:vMerge/>
            <w:shd w:val="clear" w:color="auto" w:fill="auto"/>
          </w:tcPr>
          <w:p w14:paraId="2109AB58" w14:textId="77777777" w:rsidR="0002298B" w:rsidRPr="00B0658A" w:rsidRDefault="0002298B" w:rsidP="000A4114">
            <w:pPr>
              <w:spacing w:after="0" w:line="240" w:lineRule="auto"/>
              <w:rPr>
                <w:rFonts w:ascii="Times New Roman" w:hAnsi="Times New Roman"/>
                <w:b/>
                <w:bCs/>
                <w:sz w:val="20"/>
                <w:szCs w:val="20"/>
              </w:rPr>
            </w:pPr>
          </w:p>
        </w:tc>
        <w:tc>
          <w:tcPr>
            <w:tcW w:w="3432" w:type="dxa"/>
            <w:vMerge/>
            <w:shd w:val="clear" w:color="auto" w:fill="auto"/>
          </w:tcPr>
          <w:p w14:paraId="0AFF2571" w14:textId="77777777" w:rsidR="0002298B" w:rsidRPr="00B0658A" w:rsidRDefault="0002298B" w:rsidP="000A4114">
            <w:pPr>
              <w:spacing w:after="0" w:line="240" w:lineRule="auto"/>
              <w:rPr>
                <w:rFonts w:ascii="Times New Roman" w:hAnsi="Times New Roman"/>
                <w:b/>
                <w:bCs/>
                <w:sz w:val="20"/>
                <w:szCs w:val="20"/>
              </w:rPr>
            </w:pPr>
          </w:p>
        </w:tc>
        <w:tc>
          <w:tcPr>
            <w:tcW w:w="1256" w:type="dxa"/>
            <w:vMerge/>
          </w:tcPr>
          <w:p w14:paraId="794C04B0" w14:textId="77777777" w:rsidR="0002298B" w:rsidRPr="00B0658A" w:rsidRDefault="0002298B" w:rsidP="000A4114">
            <w:pPr>
              <w:spacing w:after="0" w:line="240" w:lineRule="auto"/>
              <w:jc w:val="center"/>
              <w:rPr>
                <w:rFonts w:ascii="Times New Roman" w:hAnsi="Times New Roman"/>
                <w:b/>
                <w:bCs/>
                <w:sz w:val="20"/>
                <w:szCs w:val="20"/>
              </w:rPr>
            </w:pPr>
          </w:p>
        </w:tc>
        <w:tc>
          <w:tcPr>
            <w:tcW w:w="0" w:type="auto"/>
            <w:shd w:val="clear" w:color="auto" w:fill="auto"/>
            <w:vAlign w:val="center"/>
          </w:tcPr>
          <w:p w14:paraId="745CCD52" w14:textId="77777777" w:rsidR="0002298B" w:rsidRPr="00B0658A" w:rsidRDefault="0002298B" w:rsidP="000A4114">
            <w:pPr>
              <w:spacing w:after="0" w:line="240" w:lineRule="auto"/>
              <w:jc w:val="center"/>
              <w:rPr>
                <w:rFonts w:ascii="Times New Roman" w:hAnsi="Times New Roman"/>
                <w:b/>
                <w:bCs/>
                <w:sz w:val="20"/>
                <w:szCs w:val="20"/>
              </w:rPr>
            </w:pPr>
            <w:r w:rsidRPr="00B0658A">
              <w:rPr>
                <w:rFonts w:ascii="Times New Roman" w:hAnsi="Times New Roman"/>
                <w:b/>
                <w:bCs/>
                <w:sz w:val="20"/>
                <w:szCs w:val="20"/>
              </w:rPr>
              <w:t>План</w:t>
            </w:r>
          </w:p>
        </w:tc>
        <w:tc>
          <w:tcPr>
            <w:tcW w:w="0" w:type="auto"/>
            <w:shd w:val="clear" w:color="auto" w:fill="auto"/>
          </w:tcPr>
          <w:p w14:paraId="273DA685" w14:textId="77777777" w:rsidR="0002298B" w:rsidRPr="00B0658A" w:rsidRDefault="0002298B" w:rsidP="000A4114">
            <w:pPr>
              <w:spacing w:after="0" w:line="240" w:lineRule="auto"/>
              <w:jc w:val="center"/>
              <w:rPr>
                <w:rFonts w:ascii="Times New Roman" w:hAnsi="Times New Roman"/>
                <w:b/>
                <w:bCs/>
                <w:sz w:val="20"/>
                <w:szCs w:val="20"/>
              </w:rPr>
            </w:pPr>
            <w:r w:rsidRPr="00B0658A">
              <w:rPr>
                <w:rFonts w:ascii="Times New Roman" w:hAnsi="Times New Roman"/>
                <w:b/>
                <w:bCs/>
                <w:sz w:val="20"/>
                <w:szCs w:val="20"/>
              </w:rPr>
              <w:t>Факт</w:t>
            </w:r>
          </w:p>
        </w:tc>
        <w:tc>
          <w:tcPr>
            <w:tcW w:w="0" w:type="auto"/>
            <w:vMerge/>
            <w:shd w:val="clear" w:color="auto" w:fill="auto"/>
          </w:tcPr>
          <w:p w14:paraId="032A0D2B" w14:textId="77777777" w:rsidR="0002298B" w:rsidRPr="00B0658A" w:rsidRDefault="0002298B" w:rsidP="000A4114">
            <w:pPr>
              <w:spacing w:after="0" w:line="240" w:lineRule="auto"/>
              <w:rPr>
                <w:rFonts w:ascii="Times New Roman" w:hAnsi="Times New Roman"/>
                <w:b/>
                <w:bCs/>
                <w:sz w:val="20"/>
                <w:szCs w:val="20"/>
              </w:rPr>
            </w:pPr>
          </w:p>
        </w:tc>
      </w:tr>
      <w:tr w:rsidR="00F52FED" w:rsidRPr="00B0658A" w14:paraId="19944E20" w14:textId="77777777" w:rsidTr="004F1366">
        <w:trPr>
          <w:trHeight w:val="170"/>
        </w:trPr>
        <w:tc>
          <w:tcPr>
            <w:tcW w:w="0" w:type="auto"/>
            <w:shd w:val="clear" w:color="auto" w:fill="auto"/>
            <w:vAlign w:val="center"/>
          </w:tcPr>
          <w:p w14:paraId="0311D768"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18"/>
                <w:szCs w:val="18"/>
              </w:rPr>
              <w:t>1.1</w:t>
            </w:r>
          </w:p>
        </w:tc>
        <w:tc>
          <w:tcPr>
            <w:tcW w:w="3432" w:type="dxa"/>
            <w:shd w:val="clear" w:color="auto" w:fill="auto"/>
            <w:vAlign w:val="center"/>
          </w:tcPr>
          <w:p w14:paraId="5E81690D" w14:textId="77777777" w:rsidR="0002298B" w:rsidRPr="00B0658A" w:rsidRDefault="0002298B" w:rsidP="000A4114">
            <w:pPr>
              <w:spacing w:after="0" w:line="240" w:lineRule="auto"/>
              <w:rPr>
                <w:rFonts w:ascii="Times New Roman" w:hAnsi="Times New Roman"/>
                <w:i/>
                <w:sz w:val="20"/>
                <w:szCs w:val="20"/>
              </w:rPr>
            </w:pPr>
            <w:r w:rsidRPr="00B0658A">
              <w:rPr>
                <w:rFonts w:ascii="Times New Roman" w:hAnsi="Times New Roman"/>
                <w:sz w:val="18"/>
                <w:szCs w:val="18"/>
              </w:rPr>
              <w:t>Встроенное программное обеспечение/ Встроенные системные программы: BIOS, UEFI и иные встроенные системные программы</w:t>
            </w:r>
          </w:p>
        </w:tc>
        <w:tc>
          <w:tcPr>
            <w:tcW w:w="1256" w:type="dxa"/>
          </w:tcPr>
          <w:p w14:paraId="25A80160" w14:textId="77777777" w:rsidR="0002298B" w:rsidRPr="00B0658A" w:rsidRDefault="0002298B" w:rsidP="000A4114">
            <w:pPr>
              <w:spacing w:after="0" w:line="240" w:lineRule="auto"/>
              <w:rPr>
                <w:rFonts w:ascii="Times New Roman" w:hAnsi="Times New Roman"/>
                <w:i/>
                <w:iCs/>
                <w:sz w:val="20"/>
                <w:szCs w:val="20"/>
              </w:rPr>
            </w:pPr>
            <w:r w:rsidRPr="00B0658A">
              <w:rPr>
                <w:rFonts w:ascii="Times New Roman" w:hAnsi="Times New Roman"/>
                <w:i/>
                <w:iCs/>
                <w:sz w:val="20"/>
                <w:szCs w:val="20"/>
              </w:rPr>
              <w:t>Указывается единица измерения уровня использования</w:t>
            </w:r>
          </w:p>
        </w:tc>
        <w:tc>
          <w:tcPr>
            <w:tcW w:w="0" w:type="auto"/>
            <w:shd w:val="clear" w:color="auto" w:fill="auto"/>
          </w:tcPr>
          <w:p w14:paraId="39498EB3" w14:textId="77777777" w:rsidR="0002298B" w:rsidRPr="00B0658A" w:rsidRDefault="0002298B" w:rsidP="000A4114">
            <w:pPr>
              <w:spacing w:after="0" w:line="240" w:lineRule="auto"/>
              <w:rPr>
                <w:rFonts w:ascii="Times New Roman" w:hAnsi="Times New Roman"/>
                <w:i/>
                <w:iCs/>
                <w:sz w:val="20"/>
                <w:szCs w:val="20"/>
              </w:rPr>
            </w:pPr>
            <w:r w:rsidRPr="00B0658A">
              <w:rPr>
                <w:rFonts w:ascii="Times New Roman" w:hAnsi="Times New Roman"/>
                <w:i/>
                <w:iCs/>
                <w:sz w:val="20"/>
                <w:szCs w:val="20"/>
              </w:rPr>
              <w:t xml:space="preserve">Указывается плановое значение показателя эффективности на соответствующий год для соответствующего класса ПО в соответствии с утвержденным планом перехода </w:t>
            </w:r>
            <w:r w:rsidR="000717D9" w:rsidRPr="00B0658A">
              <w:rPr>
                <w:rFonts w:ascii="Times New Roman" w:hAnsi="Times New Roman"/>
                <w:i/>
                <w:iCs/>
                <w:sz w:val="20"/>
                <w:szCs w:val="20"/>
              </w:rPr>
              <w:t xml:space="preserve">заказчика 44-ФЗ или заказчика 223-ФЗ </w:t>
            </w:r>
            <w:r w:rsidRPr="00B0658A">
              <w:rPr>
                <w:rFonts w:ascii="Times New Roman" w:hAnsi="Times New Roman"/>
                <w:i/>
                <w:iCs/>
                <w:sz w:val="20"/>
                <w:szCs w:val="20"/>
              </w:rPr>
              <w:t>на использование российского ПО.</w:t>
            </w:r>
          </w:p>
          <w:p w14:paraId="55F4462A" w14:textId="77777777" w:rsidR="0002298B" w:rsidRPr="00B0658A" w:rsidRDefault="0002298B" w:rsidP="000A4114">
            <w:pPr>
              <w:spacing w:after="0" w:line="240" w:lineRule="auto"/>
              <w:rPr>
                <w:rFonts w:ascii="Times New Roman" w:hAnsi="Times New Roman"/>
                <w:i/>
                <w:iCs/>
                <w:sz w:val="20"/>
                <w:szCs w:val="20"/>
              </w:rPr>
            </w:pPr>
            <w:r w:rsidRPr="00B0658A">
              <w:rPr>
                <w:rFonts w:ascii="Times New Roman" w:hAnsi="Times New Roman"/>
                <w:i/>
                <w:iCs/>
                <w:sz w:val="20"/>
                <w:szCs w:val="20"/>
              </w:rPr>
              <w:t>В случае, если для соответствующего показателя ранее было установлено значение «не используется» указывается «не используется»</w:t>
            </w:r>
          </w:p>
        </w:tc>
        <w:tc>
          <w:tcPr>
            <w:tcW w:w="0" w:type="auto"/>
            <w:shd w:val="clear" w:color="auto" w:fill="auto"/>
          </w:tcPr>
          <w:p w14:paraId="17348AA2" w14:textId="77777777" w:rsidR="0002298B" w:rsidRPr="00B0658A" w:rsidRDefault="0002298B" w:rsidP="000A4114">
            <w:pPr>
              <w:spacing w:after="0" w:line="240" w:lineRule="auto"/>
              <w:rPr>
                <w:rFonts w:ascii="Times New Roman" w:hAnsi="Times New Roman"/>
                <w:i/>
                <w:iCs/>
                <w:sz w:val="20"/>
                <w:szCs w:val="20"/>
              </w:rPr>
            </w:pPr>
            <w:r w:rsidRPr="00B0658A">
              <w:rPr>
                <w:rFonts w:ascii="Times New Roman" w:hAnsi="Times New Roman"/>
                <w:i/>
                <w:iCs/>
                <w:sz w:val="20"/>
                <w:szCs w:val="20"/>
              </w:rPr>
              <w:t>Указывается фактически достигнутое значение показателя использования российского ПО по итогам соответствующего отчетного периода. Данные устанавливаются накопленным итогом с учетом достигнутых результатов в прошлых периодах.</w:t>
            </w:r>
          </w:p>
          <w:p w14:paraId="55B7265E" w14:textId="77777777" w:rsidR="0002298B" w:rsidRPr="00B0658A" w:rsidRDefault="0002298B" w:rsidP="000A4114">
            <w:pPr>
              <w:spacing w:after="0" w:line="240" w:lineRule="auto"/>
              <w:rPr>
                <w:rFonts w:ascii="Times New Roman" w:hAnsi="Times New Roman"/>
                <w:i/>
                <w:iCs/>
                <w:sz w:val="20"/>
                <w:szCs w:val="20"/>
              </w:rPr>
            </w:pPr>
            <w:r w:rsidRPr="00B0658A">
              <w:rPr>
                <w:rFonts w:ascii="Times New Roman" w:hAnsi="Times New Roman"/>
                <w:i/>
                <w:iCs/>
                <w:sz w:val="20"/>
                <w:szCs w:val="20"/>
              </w:rPr>
              <w:t>В случае, если для соответствующего показателя ранее было установлено значение «не используется» указывается «не используется»</w:t>
            </w:r>
          </w:p>
        </w:tc>
        <w:tc>
          <w:tcPr>
            <w:tcW w:w="0" w:type="auto"/>
            <w:shd w:val="clear" w:color="auto" w:fill="auto"/>
          </w:tcPr>
          <w:p w14:paraId="6E47C2DB" w14:textId="77777777" w:rsidR="0002298B" w:rsidRPr="00B0658A" w:rsidRDefault="0002298B" w:rsidP="000A4114">
            <w:pPr>
              <w:spacing w:after="0" w:line="240" w:lineRule="auto"/>
              <w:jc w:val="both"/>
              <w:rPr>
                <w:rFonts w:ascii="Times New Roman" w:hAnsi="Times New Roman"/>
                <w:i/>
                <w:iCs/>
                <w:sz w:val="20"/>
                <w:szCs w:val="20"/>
              </w:rPr>
            </w:pPr>
            <w:r w:rsidRPr="00B0658A">
              <w:rPr>
                <w:rFonts w:ascii="Times New Roman" w:hAnsi="Times New Roman"/>
                <w:i/>
                <w:iCs/>
                <w:sz w:val="20"/>
                <w:szCs w:val="20"/>
              </w:rPr>
              <w:t>Указывается следующая информация:</w:t>
            </w:r>
          </w:p>
          <w:p w14:paraId="520B3C2D" w14:textId="77777777" w:rsidR="0002298B" w:rsidRPr="00B0658A" w:rsidRDefault="0002298B" w:rsidP="000A4114">
            <w:pPr>
              <w:spacing w:after="0" w:line="240" w:lineRule="auto"/>
              <w:jc w:val="both"/>
              <w:rPr>
                <w:rFonts w:ascii="Times New Roman" w:hAnsi="Times New Roman"/>
                <w:i/>
                <w:iCs/>
                <w:sz w:val="20"/>
                <w:szCs w:val="20"/>
              </w:rPr>
            </w:pPr>
            <w:r w:rsidRPr="00B0658A">
              <w:rPr>
                <w:rFonts w:ascii="Times New Roman" w:hAnsi="Times New Roman"/>
                <w:i/>
                <w:iCs/>
                <w:sz w:val="20"/>
                <w:szCs w:val="20"/>
              </w:rPr>
              <w:t>1. Наименование иностранного ПО, которое было замещено;</w:t>
            </w:r>
          </w:p>
          <w:p w14:paraId="1410647D" w14:textId="77777777" w:rsidR="0002298B" w:rsidRPr="00B0658A" w:rsidRDefault="0002298B" w:rsidP="000A4114">
            <w:pPr>
              <w:spacing w:after="0" w:line="240" w:lineRule="auto"/>
              <w:jc w:val="both"/>
              <w:rPr>
                <w:rFonts w:ascii="Times New Roman" w:hAnsi="Times New Roman"/>
                <w:i/>
                <w:iCs/>
                <w:sz w:val="20"/>
                <w:szCs w:val="20"/>
              </w:rPr>
            </w:pPr>
            <w:r w:rsidRPr="00B0658A">
              <w:rPr>
                <w:rFonts w:ascii="Times New Roman" w:hAnsi="Times New Roman"/>
                <w:i/>
                <w:iCs/>
                <w:sz w:val="20"/>
                <w:szCs w:val="20"/>
              </w:rPr>
              <w:t>2. Наименование российского ПО и евразийского ПО (на значимых объектах КИИ), на которое был осуществлен переход, с указанием сведений о номерах записей в едином реестре российского ПО и в едином реестре евразийского ПО соответственно.</w:t>
            </w:r>
          </w:p>
          <w:p w14:paraId="53EBD697" w14:textId="77777777" w:rsidR="0002298B" w:rsidRPr="00B0658A" w:rsidRDefault="0002298B" w:rsidP="000A4114">
            <w:pPr>
              <w:spacing w:after="0" w:line="240" w:lineRule="auto"/>
              <w:jc w:val="both"/>
              <w:rPr>
                <w:rFonts w:ascii="Times New Roman" w:hAnsi="Times New Roman"/>
                <w:i/>
                <w:iCs/>
                <w:sz w:val="20"/>
                <w:szCs w:val="20"/>
              </w:rPr>
            </w:pPr>
          </w:p>
        </w:tc>
      </w:tr>
      <w:tr w:rsidR="00F52FED" w:rsidRPr="00B0658A" w14:paraId="671AF204" w14:textId="77777777" w:rsidTr="004F1366">
        <w:trPr>
          <w:trHeight w:val="170"/>
        </w:trPr>
        <w:tc>
          <w:tcPr>
            <w:tcW w:w="0" w:type="auto"/>
            <w:shd w:val="clear" w:color="auto" w:fill="auto"/>
            <w:vAlign w:val="center"/>
          </w:tcPr>
          <w:p w14:paraId="6985F159"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18"/>
                <w:szCs w:val="18"/>
              </w:rPr>
              <w:t>1.2</w:t>
            </w:r>
          </w:p>
        </w:tc>
        <w:tc>
          <w:tcPr>
            <w:tcW w:w="3432" w:type="dxa"/>
            <w:shd w:val="clear" w:color="auto" w:fill="auto"/>
            <w:vAlign w:val="center"/>
          </w:tcPr>
          <w:p w14:paraId="5288C75C" w14:textId="77777777" w:rsidR="0002298B" w:rsidRPr="00B0658A" w:rsidRDefault="0002298B" w:rsidP="000A4114">
            <w:pPr>
              <w:spacing w:after="0" w:line="240" w:lineRule="auto"/>
              <w:rPr>
                <w:rFonts w:ascii="Times New Roman" w:hAnsi="Times New Roman"/>
                <w:i/>
                <w:iCs/>
                <w:sz w:val="20"/>
                <w:szCs w:val="20"/>
              </w:rPr>
            </w:pPr>
            <w:r w:rsidRPr="00B0658A">
              <w:rPr>
                <w:rFonts w:ascii="Times New Roman" w:hAnsi="Times New Roman"/>
                <w:sz w:val="18"/>
                <w:szCs w:val="18"/>
              </w:rPr>
              <w:t>Встроенное программное обеспечение/ Встроенные системные программы – операционные системы</w:t>
            </w:r>
          </w:p>
        </w:tc>
        <w:tc>
          <w:tcPr>
            <w:tcW w:w="1256" w:type="dxa"/>
          </w:tcPr>
          <w:p w14:paraId="64550111"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2C16D18D"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0271E90A"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6705DDCD" w14:textId="77777777" w:rsidR="0002298B" w:rsidRPr="00B0658A" w:rsidRDefault="0002298B" w:rsidP="000A4114">
            <w:pPr>
              <w:spacing w:after="0" w:line="240" w:lineRule="auto"/>
              <w:jc w:val="both"/>
              <w:rPr>
                <w:rFonts w:ascii="Times New Roman" w:hAnsi="Times New Roman"/>
                <w:i/>
                <w:iCs/>
                <w:sz w:val="20"/>
                <w:szCs w:val="20"/>
              </w:rPr>
            </w:pPr>
          </w:p>
        </w:tc>
      </w:tr>
      <w:tr w:rsidR="00F52FED" w:rsidRPr="00B0658A" w14:paraId="708B3FD8" w14:textId="77777777" w:rsidTr="004F1366">
        <w:trPr>
          <w:trHeight w:val="170"/>
        </w:trPr>
        <w:tc>
          <w:tcPr>
            <w:tcW w:w="0" w:type="auto"/>
            <w:shd w:val="clear" w:color="auto" w:fill="auto"/>
            <w:vAlign w:val="center"/>
          </w:tcPr>
          <w:p w14:paraId="0FC36D8E"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18"/>
                <w:szCs w:val="18"/>
              </w:rPr>
              <w:t>1.3</w:t>
            </w:r>
          </w:p>
        </w:tc>
        <w:tc>
          <w:tcPr>
            <w:tcW w:w="3432" w:type="dxa"/>
            <w:shd w:val="clear" w:color="auto" w:fill="auto"/>
            <w:vAlign w:val="center"/>
          </w:tcPr>
          <w:p w14:paraId="574E9BDA" w14:textId="77777777" w:rsidR="0002298B" w:rsidRPr="00B0658A" w:rsidRDefault="0002298B" w:rsidP="000A4114">
            <w:pPr>
              <w:spacing w:after="0" w:line="240" w:lineRule="auto"/>
              <w:rPr>
                <w:rFonts w:ascii="Times New Roman" w:hAnsi="Times New Roman"/>
                <w:i/>
                <w:iCs/>
                <w:sz w:val="20"/>
                <w:szCs w:val="20"/>
              </w:rPr>
            </w:pPr>
            <w:r w:rsidRPr="00B0658A">
              <w:rPr>
                <w:rFonts w:ascii="Times New Roman" w:hAnsi="Times New Roman"/>
                <w:sz w:val="18"/>
                <w:szCs w:val="18"/>
              </w:rPr>
              <w:t>Встроенное программное обеспечение/ Встроенные прикладные программы</w:t>
            </w:r>
          </w:p>
        </w:tc>
        <w:tc>
          <w:tcPr>
            <w:tcW w:w="1256" w:type="dxa"/>
          </w:tcPr>
          <w:p w14:paraId="7DBDEE08"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7A61A210"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0E933514"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4067FE15" w14:textId="77777777" w:rsidR="0002298B" w:rsidRPr="00B0658A" w:rsidRDefault="0002298B" w:rsidP="000A4114">
            <w:pPr>
              <w:spacing w:after="0" w:line="240" w:lineRule="auto"/>
              <w:jc w:val="both"/>
              <w:rPr>
                <w:rFonts w:ascii="Times New Roman" w:hAnsi="Times New Roman"/>
                <w:i/>
                <w:iCs/>
                <w:sz w:val="20"/>
                <w:szCs w:val="20"/>
              </w:rPr>
            </w:pPr>
          </w:p>
        </w:tc>
      </w:tr>
      <w:tr w:rsidR="00F52FED" w:rsidRPr="00B0658A" w14:paraId="4E9B81EC" w14:textId="77777777" w:rsidTr="004F1366">
        <w:trPr>
          <w:trHeight w:val="170"/>
        </w:trPr>
        <w:tc>
          <w:tcPr>
            <w:tcW w:w="0" w:type="auto"/>
            <w:shd w:val="clear" w:color="auto" w:fill="auto"/>
            <w:vAlign w:val="center"/>
          </w:tcPr>
          <w:p w14:paraId="291D47F7"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18"/>
                <w:szCs w:val="18"/>
              </w:rPr>
              <w:t>1.4</w:t>
            </w:r>
          </w:p>
        </w:tc>
        <w:tc>
          <w:tcPr>
            <w:tcW w:w="3432" w:type="dxa"/>
            <w:shd w:val="clear" w:color="auto" w:fill="auto"/>
            <w:vAlign w:val="center"/>
          </w:tcPr>
          <w:p w14:paraId="635EAA5E" w14:textId="77777777" w:rsidR="0002298B" w:rsidRPr="00B0658A" w:rsidRDefault="0002298B" w:rsidP="000A4114">
            <w:pPr>
              <w:spacing w:after="0" w:line="240" w:lineRule="auto"/>
              <w:rPr>
                <w:rFonts w:ascii="Times New Roman" w:hAnsi="Times New Roman"/>
                <w:i/>
                <w:iCs/>
                <w:sz w:val="20"/>
                <w:szCs w:val="20"/>
              </w:rPr>
            </w:pPr>
            <w:r w:rsidRPr="00B0658A">
              <w:rPr>
                <w:rFonts w:ascii="Times New Roman" w:hAnsi="Times New Roman"/>
                <w:sz w:val="18"/>
                <w:szCs w:val="18"/>
              </w:rPr>
              <w:t>Встроенное программное обеспечение/ Программное обеспечение интернета вещей, робототехники и сенсорики</w:t>
            </w:r>
          </w:p>
        </w:tc>
        <w:tc>
          <w:tcPr>
            <w:tcW w:w="1256" w:type="dxa"/>
          </w:tcPr>
          <w:p w14:paraId="41BAB79B"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33229EE2"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52361B51"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00C2DCC1" w14:textId="77777777" w:rsidR="0002298B" w:rsidRPr="00B0658A" w:rsidRDefault="0002298B" w:rsidP="000A4114">
            <w:pPr>
              <w:spacing w:after="0" w:line="240" w:lineRule="auto"/>
              <w:jc w:val="both"/>
              <w:rPr>
                <w:rFonts w:ascii="Times New Roman" w:hAnsi="Times New Roman"/>
                <w:i/>
                <w:iCs/>
                <w:sz w:val="20"/>
                <w:szCs w:val="20"/>
              </w:rPr>
            </w:pPr>
          </w:p>
        </w:tc>
      </w:tr>
      <w:tr w:rsidR="00F52FED" w:rsidRPr="00B0658A" w14:paraId="397E1366" w14:textId="77777777" w:rsidTr="004F1366">
        <w:trPr>
          <w:trHeight w:val="170"/>
        </w:trPr>
        <w:tc>
          <w:tcPr>
            <w:tcW w:w="0" w:type="auto"/>
            <w:shd w:val="clear" w:color="auto" w:fill="auto"/>
            <w:vAlign w:val="center"/>
          </w:tcPr>
          <w:p w14:paraId="3ED42236"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18"/>
                <w:szCs w:val="18"/>
              </w:rPr>
              <w:t>2.1</w:t>
            </w:r>
          </w:p>
        </w:tc>
        <w:tc>
          <w:tcPr>
            <w:tcW w:w="3432" w:type="dxa"/>
            <w:shd w:val="clear" w:color="auto" w:fill="auto"/>
            <w:vAlign w:val="center"/>
          </w:tcPr>
          <w:p w14:paraId="6B315100" w14:textId="77777777" w:rsidR="0002298B" w:rsidRPr="00B0658A" w:rsidRDefault="0002298B" w:rsidP="000A4114">
            <w:pPr>
              <w:spacing w:after="0" w:line="240" w:lineRule="auto"/>
              <w:rPr>
                <w:rFonts w:ascii="Times New Roman" w:hAnsi="Times New Roman"/>
                <w:i/>
                <w:iCs/>
                <w:sz w:val="20"/>
                <w:szCs w:val="20"/>
              </w:rPr>
            </w:pPr>
            <w:r w:rsidRPr="00B0658A">
              <w:rPr>
                <w:rFonts w:ascii="Times New Roman" w:hAnsi="Times New Roman"/>
                <w:sz w:val="18"/>
                <w:szCs w:val="18"/>
              </w:rPr>
              <w:t>Системное программное обеспечение/ Драйверы</w:t>
            </w:r>
          </w:p>
        </w:tc>
        <w:tc>
          <w:tcPr>
            <w:tcW w:w="1256" w:type="dxa"/>
          </w:tcPr>
          <w:p w14:paraId="5DFD4F9B"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59E3C8A5"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12954BE5"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048D3D87" w14:textId="77777777" w:rsidR="0002298B" w:rsidRPr="00B0658A" w:rsidRDefault="0002298B" w:rsidP="000A4114">
            <w:pPr>
              <w:spacing w:after="0" w:line="240" w:lineRule="auto"/>
              <w:jc w:val="both"/>
              <w:rPr>
                <w:rFonts w:ascii="Times New Roman" w:hAnsi="Times New Roman"/>
                <w:i/>
                <w:iCs/>
                <w:sz w:val="20"/>
                <w:szCs w:val="20"/>
              </w:rPr>
            </w:pPr>
          </w:p>
        </w:tc>
      </w:tr>
      <w:tr w:rsidR="00F52FED" w:rsidRPr="00B0658A" w14:paraId="69ABFF8B" w14:textId="77777777" w:rsidTr="004F1366">
        <w:trPr>
          <w:trHeight w:val="170"/>
        </w:trPr>
        <w:tc>
          <w:tcPr>
            <w:tcW w:w="0" w:type="auto"/>
            <w:shd w:val="clear" w:color="auto" w:fill="auto"/>
            <w:vAlign w:val="center"/>
          </w:tcPr>
          <w:p w14:paraId="34BB021A"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18"/>
                <w:szCs w:val="18"/>
              </w:rPr>
              <w:t>2.2</w:t>
            </w:r>
          </w:p>
        </w:tc>
        <w:tc>
          <w:tcPr>
            <w:tcW w:w="3432" w:type="dxa"/>
            <w:shd w:val="clear" w:color="auto" w:fill="auto"/>
            <w:vAlign w:val="center"/>
          </w:tcPr>
          <w:p w14:paraId="054C7551" w14:textId="77777777" w:rsidR="0002298B" w:rsidRPr="00B0658A" w:rsidRDefault="0002298B" w:rsidP="000A4114">
            <w:pPr>
              <w:spacing w:after="0" w:line="240" w:lineRule="auto"/>
              <w:rPr>
                <w:rFonts w:ascii="Times New Roman" w:hAnsi="Times New Roman"/>
                <w:i/>
                <w:iCs/>
                <w:sz w:val="20"/>
                <w:szCs w:val="20"/>
              </w:rPr>
            </w:pPr>
            <w:r w:rsidRPr="00B0658A">
              <w:rPr>
                <w:rFonts w:ascii="Times New Roman" w:hAnsi="Times New Roman"/>
                <w:sz w:val="18"/>
                <w:szCs w:val="18"/>
              </w:rPr>
              <w:t>Системное программное обеспечение/ Программы обслуживания</w:t>
            </w:r>
          </w:p>
        </w:tc>
        <w:tc>
          <w:tcPr>
            <w:tcW w:w="1256" w:type="dxa"/>
          </w:tcPr>
          <w:p w14:paraId="613D5E0B"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0A4DBFFD"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63CB0747"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7EE31BBC" w14:textId="77777777" w:rsidR="0002298B" w:rsidRPr="00B0658A" w:rsidRDefault="0002298B" w:rsidP="000A4114">
            <w:pPr>
              <w:spacing w:after="0" w:line="240" w:lineRule="auto"/>
              <w:jc w:val="both"/>
              <w:rPr>
                <w:rFonts w:ascii="Times New Roman" w:hAnsi="Times New Roman"/>
                <w:i/>
                <w:iCs/>
                <w:sz w:val="20"/>
                <w:szCs w:val="20"/>
              </w:rPr>
            </w:pPr>
          </w:p>
        </w:tc>
      </w:tr>
      <w:tr w:rsidR="00F52FED" w:rsidRPr="00B0658A" w14:paraId="280B88E9" w14:textId="77777777" w:rsidTr="004F1366">
        <w:trPr>
          <w:trHeight w:val="170"/>
        </w:trPr>
        <w:tc>
          <w:tcPr>
            <w:tcW w:w="0" w:type="auto"/>
            <w:shd w:val="clear" w:color="auto" w:fill="auto"/>
            <w:vAlign w:val="center"/>
          </w:tcPr>
          <w:p w14:paraId="06776844"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18"/>
                <w:szCs w:val="18"/>
                <w:lang w:val="en-US"/>
              </w:rPr>
              <w:t>2.3</w:t>
            </w:r>
          </w:p>
        </w:tc>
        <w:tc>
          <w:tcPr>
            <w:tcW w:w="3432" w:type="dxa"/>
            <w:shd w:val="clear" w:color="auto" w:fill="auto"/>
            <w:vAlign w:val="center"/>
          </w:tcPr>
          <w:p w14:paraId="2DE7BA57" w14:textId="77777777" w:rsidR="0002298B" w:rsidRPr="00B0658A" w:rsidRDefault="0002298B" w:rsidP="000A4114">
            <w:pPr>
              <w:spacing w:after="0" w:line="240" w:lineRule="auto"/>
              <w:rPr>
                <w:rFonts w:ascii="Times New Roman" w:hAnsi="Times New Roman"/>
                <w:i/>
                <w:iCs/>
                <w:sz w:val="20"/>
                <w:szCs w:val="20"/>
              </w:rPr>
            </w:pPr>
            <w:r w:rsidRPr="00B0658A">
              <w:rPr>
                <w:rFonts w:ascii="Times New Roman" w:hAnsi="Times New Roman"/>
                <w:sz w:val="18"/>
                <w:szCs w:val="18"/>
              </w:rPr>
              <w:t>Средства обеспечения облачных и распределенных вычислений</w:t>
            </w:r>
          </w:p>
        </w:tc>
        <w:tc>
          <w:tcPr>
            <w:tcW w:w="1256" w:type="dxa"/>
          </w:tcPr>
          <w:p w14:paraId="2DE479F1"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3126E054"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3B78BED2"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223D62FF" w14:textId="77777777" w:rsidR="0002298B" w:rsidRPr="00B0658A" w:rsidRDefault="0002298B" w:rsidP="000A4114">
            <w:pPr>
              <w:spacing w:after="0" w:line="240" w:lineRule="auto"/>
              <w:jc w:val="both"/>
              <w:rPr>
                <w:rFonts w:ascii="Times New Roman" w:hAnsi="Times New Roman"/>
                <w:i/>
                <w:iCs/>
                <w:sz w:val="20"/>
                <w:szCs w:val="20"/>
              </w:rPr>
            </w:pPr>
          </w:p>
        </w:tc>
      </w:tr>
      <w:tr w:rsidR="00F52FED" w:rsidRPr="00B0658A" w14:paraId="281231DD" w14:textId="77777777" w:rsidTr="004F1366">
        <w:trPr>
          <w:trHeight w:val="170"/>
        </w:trPr>
        <w:tc>
          <w:tcPr>
            <w:tcW w:w="0" w:type="auto"/>
            <w:shd w:val="clear" w:color="auto" w:fill="auto"/>
            <w:vAlign w:val="center"/>
          </w:tcPr>
          <w:p w14:paraId="5D9015EE"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18"/>
                <w:szCs w:val="18"/>
              </w:rPr>
              <w:t>2.4</w:t>
            </w:r>
          </w:p>
        </w:tc>
        <w:tc>
          <w:tcPr>
            <w:tcW w:w="3432" w:type="dxa"/>
            <w:shd w:val="clear" w:color="auto" w:fill="auto"/>
            <w:vAlign w:val="center"/>
          </w:tcPr>
          <w:p w14:paraId="7BA629A4" w14:textId="77777777" w:rsidR="0002298B" w:rsidRPr="00B0658A" w:rsidRDefault="0002298B" w:rsidP="000A4114">
            <w:pPr>
              <w:spacing w:after="0" w:line="240" w:lineRule="auto"/>
              <w:rPr>
                <w:rFonts w:ascii="Times New Roman" w:hAnsi="Times New Roman"/>
                <w:i/>
                <w:iCs/>
                <w:sz w:val="20"/>
                <w:szCs w:val="20"/>
              </w:rPr>
            </w:pPr>
            <w:r w:rsidRPr="00B0658A">
              <w:rPr>
                <w:rFonts w:ascii="Times New Roman" w:hAnsi="Times New Roman"/>
                <w:sz w:val="18"/>
                <w:szCs w:val="18"/>
              </w:rPr>
              <w:t>Системное программное обеспечение / Средства виртуализации</w:t>
            </w:r>
          </w:p>
        </w:tc>
        <w:tc>
          <w:tcPr>
            <w:tcW w:w="1256" w:type="dxa"/>
          </w:tcPr>
          <w:p w14:paraId="30988525"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6638ACFD"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275149DE"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748B88F6" w14:textId="77777777" w:rsidR="0002298B" w:rsidRPr="00B0658A" w:rsidRDefault="0002298B" w:rsidP="000A4114">
            <w:pPr>
              <w:spacing w:after="0" w:line="240" w:lineRule="auto"/>
              <w:jc w:val="both"/>
              <w:rPr>
                <w:rFonts w:ascii="Times New Roman" w:hAnsi="Times New Roman"/>
                <w:i/>
                <w:iCs/>
                <w:sz w:val="20"/>
                <w:szCs w:val="20"/>
              </w:rPr>
            </w:pPr>
          </w:p>
        </w:tc>
      </w:tr>
      <w:tr w:rsidR="00F52FED" w:rsidRPr="00B0658A" w14:paraId="54CD499B" w14:textId="77777777" w:rsidTr="004F1366">
        <w:trPr>
          <w:trHeight w:val="170"/>
        </w:trPr>
        <w:tc>
          <w:tcPr>
            <w:tcW w:w="0" w:type="auto"/>
            <w:shd w:val="clear" w:color="auto" w:fill="auto"/>
            <w:vAlign w:val="center"/>
          </w:tcPr>
          <w:p w14:paraId="5D0FC5B9"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18"/>
                <w:szCs w:val="18"/>
              </w:rPr>
              <w:t>2.5</w:t>
            </w:r>
          </w:p>
        </w:tc>
        <w:tc>
          <w:tcPr>
            <w:tcW w:w="3432" w:type="dxa"/>
            <w:shd w:val="clear" w:color="auto" w:fill="auto"/>
            <w:vAlign w:val="center"/>
          </w:tcPr>
          <w:p w14:paraId="41212D43" w14:textId="77777777" w:rsidR="0002298B" w:rsidRPr="00B0658A" w:rsidRDefault="0002298B" w:rsidP="000A4114">
            <w:pPr>
              <w:spacing w:after="0" w:line="240" w:lineRule="auto"/>
              <w:rPr>
                <w:rFonts w:ascii="Times New Roman" w:hAnsi="Times New Roman"/>
                <w:i/>
                <w:iCs/>
                <w:sz w:val="20"/>
                <w:szCs w:val="20"/>
              </w:rPr>
            </w:pPr>
            <w:r w:rsidRPr="00B0658A">
              <w:rPr>
                <w:rFonts w:ascii="Times New Roman" w:hAnsi="Times New Roman"/>
                <w:sz w:val="18"/>
                <w:szCs w:val="18"/>
              </w:rPr>
              <w:t>Системное программное обеспечение/ Средства хранения данных</w:t>
            </w:r>
          </w:p>
        </w:tc>
        <w:tc>
          <w:tcPr>
            <w:tcW w:w="1256" w:type="dxa"/>
          </w:tcPr>
          <w:p w14:paraId="30D24220"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0D3F96DA"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5B8AD8C6"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78AB0AE1" w14:textId="77777777" w:rsidR="0002298B" w:rsidRPr="00B0658A" w:rsidRDefault="0002298B" w:rsidP="000A4114">
            <w:pPr>
              <w:spacing w:after="0" w:line="240" w:lineRule="auto"/>
              <w:jc w:val="both"/>
              <w:rPr>
                <w:rFonts w:ascii="Times New Roman" w:hAnsi="Times New Roman"/>
                <w:i/>
                <w:iCs/>
                <w:sz w:val="20"/>
                <w:szCs w:val="20"/>
              </w:rPr>
            </w:pPr>
          </w:p>
        </w:tc>
      </w:tr>
      <w:tr w:rsidR="00F52FED" w:rsidRPr="00B0658A" w14:paraId="40582630" w14:textId="77777777" w:rsidTr="004F1366">
        <w:trPr>
          <w:trHeight w:val="170"/>
        </w:trPr>
        <w:tc>
          <w:tcPr>
            <w:tcW w:w="0" w:type="auto"/>
            <w:shd w:val="clear" w:color="auto" w:fill="auto"/>
            <w:vAlign w:val="center"/>
          </w:tcPr>
          <w:p w14:paraId="628DA07D"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18"/>
                <w:szCs w:val="18"/>
              </w:rPr>
              <w:t>2.6</w:t>
            </w:r>
          </w:p>
        </w:tc>
        <w:tc>
          <w:tcPr>
            <w:tcW w:w="3432" w:type="dxa"/>
            <w:shd w:val="clear" w:color="auto" w:fill="auto"/>
            <w:vAlign w:val="center"/>
          </w:tcPr>
          <w:p w14:paraId="6E52CBCD" w14:textId="77777777" w:rsidR="0002298B" w:rsidRPr="00B0658A" w:rsidRDefault="0002298B" w:rsidP="000A4114">
            <w:pPr>
              <w:spacing w:after="0" w:line="240" w:lineRule="auto"/>
              <w:rPr>
                <w:rFonts w:ascii="Times New Roman" w:hAnsi="Times New Roman"/>
                <w:i/>
                <w:iCs/>
                <w:sz w:val="20"/>
                <w:szCs w:val="20"/>
              </w:rPr>
            </w:pPr>
            <w:r w:rsidRPr="00B0658A">
              <w:rPr>
                <w:rFonts w:ascii="Times New Roman" w:hAnsi="Times New Roman"/>
                <w:sz w:val="18"/>
                <w:szCs w:val="18"/>
              </w:rPr>
              <w:t>Системное программное обеспечение / Серверное и связующее программное обеспечение</w:t>
            </w:r>
          </w:p>
        </w:tc>
        <w:tc>
          <w:tcPr>
            <w:tcW w:w="1256" w:type="dxa"/>
          </w:tcPr>
          <w:p w14:paraId="796162FE"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281F9D4A"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5FE1F2D4"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7A2D8BC6" w14:textId="77777777" w:rsidR="0002298B" w:rsidRPr="00B0658A" w:rsidRDefault="0002298B" w:rsidP="000A4114">
            <w:pPr>
              <w:spacing w:after="0" w:line="240" w:lineRule="auto"/>
              <w:jc w:val="both"/>
              <w:rPr>
                <w:rFonts w:ascii="Times New Roman" w:hAnsi="Times New Roman"/>
                <w:i/>
                <w:iCs/>
                <w:sz w:val="20"/>
                <w:szCs w:val="20"/>
              </w:rPr>
            </w:pPr>
          </w:p>
        </w:tc>
      </w:tr>
      <w:tr w:rsidR="00F52FED" w:rsidRPr="00B0658A" w14:paraId="7A85606C" w14:textId="77777777" w:rsidTr="004F1366">
        <w:trPr>
          <w:trHeight w:val="170"/>
        </w:trPr>
        <w:tc>
          <w:tcPr>
            <w:tcW w:w="0" w:type="auto"/>
            <w:shd w:val="clear" w:color="auto" w:fill="auto"/>
            <w:vAlign w:val="center"/>
          </w:tcPr>
          <w:p w14:paraId="10BDD1A3"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18"/>
                <w:szCs w:val="18"/>
              </w:rPr>
              <w:t>2.7</w:t>
            </w:r>
          </w:p>
        </w:tc>
        <w:tc>
          <w:tcPr>
            <w:tcW w:w="3432" w:type="dxa"/>
            <w:shd w:val="clear" w:color="auto" w:fill="auto"/>
            <w:vAlign w:val="center"/>
          </w:tcPr>
          <w:p w14:paraId="5D2017A8" w14:textId="77777777" w:rsidR="0002298B" w:rsidRPr="00B0658A" w:rsidRDefault="0002298B" w:rsidP="000A4114">
            <w:pPr>
              <w:spacing w:after="0" w:line="240" w:lineRule="auto"/>
              <w:rPr>
                <w:rFonts w:ascii="Times New Roman" w:hAnsi="Times New Roman"/>
                <w:i/>
                <w:iCs/>
                <w:sz w:val="20"/>
                <w:szCs w:val="20"/>
              </w:rPr>
            </w:pPr>
            <w:r w:rsidRPr="00B0658A">
              <w:rPr>
                <w:rFonts w:ascii="Times New Roman" w:hAnsi="Times New Roman"/>
                <w:sz w:val="18"/>
                <w:szCs w:val="18"/>
              </w:rPr>
              <w:t>Системное программное обеспечение/ Средства управления базами данных</w:t>
            </w:r>
          </w:p>
        </w:tc>
        <w:tc>
          <w:tcPr>
            <w:tcW w:w="1256" w:type="dxa"/>
          </w:tcPr>
          <w:p w14:paraId="33385FC6"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14BEFD4F"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7E087306"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25319748" w14:textId="77777777" w:rsidR="0002298B" w:rsidRPr="00B0658A" w:rsidRDefault="0002298B" w:rsidP="000A4114">
            <w:pPr>
              <w:spacing w:after="0" w:line="240" w:lineRule="auto"/>
              <w:jc w:val="both"/>
              <w:rPr>
                <w:rFonts w:ascii="Times New Roman" w:hAnsi="Times New Roman"/>
                <w:i/>
                <w:iCs/>
                <w:sz w:val="20"/>
                <w:szCs w:val="20"/>
              </w:rPr>
            </w:pPr>
          </w:p>
        </w:tc>
      </w:tr>
      <w:tr w:rsidR="00F52FED" w:rsidRPr="00B0658A" w14:paraId="5F653682" w14:textId="77777777" w:rsidTr="004F1366">
        <w:trPr>
          <w:trHeight w:val="170"/>
        </w:trPr>
        <w:tc>
          <w:tcPr>
            <w:tcW w:w="0" w:type="auto"/>
            <w:shd w:val="clear" w:color="auto" w:fill="auto"/>
            <w:vAlign w:val="center"/>
          </w:tcPr>
          <w:p w14:paraId="69D10312"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18"/>
                <w:szCs w:val="18"/>
              </w:rPr>
              <w:t>2.8</w:t>
            </w:r>
          </w:p>
        </w:tc>
        <w:tc>
          <w:tcPr>
            <w:tcW w:w="3432" w:type="dxa"/>
            <w:shd w:val="clear" w:color="auto" w:fill="auto"/>
            <w:vAlign w:val="center"/>
          </w:tcPr>
          <w:p w14:paraId="126FC2DA" w14:textId="77777777" w:rsidR="0002298B" w:rsidRPr="00B0658A" w:rsidRDefault="0002298B" w:rsidP="000A4114">
            <w:pPr>
              <w:spacing w:after="0" w:line="240" w:lineRule="auto"/>
              <w:rPr>
                <w:rFonts w:ascii="Times New Roman" w:hAnsi="Times New Roman"/>
                <w:i/>
                <w:iCs/>
                <w:sz w:val="20"/>
                <w:szCs w:val="20"/>
              </w:rPr>
            </w:pPr>
            <w:r w:rsidRPr="00B0658A">
              <w:rPr>
                <w:rFonts w:ascii="Times New Roman" w:hAnsi="Times New Roman"/>
                <w:sz w:val="18"/>
                <w:szCs w:val="18"/>
              </w:rPr>
              <w:t>Системное программное обеспечение/ Средства мониторинга и управления</w:t>
            </w:r>
          </w:p>
        </w:tc>
        <w:tc>
          <w:tcPr>
            <w:tcW w:w="1256" w:type="dxa"/>
          </w:tcPr>
          <w:p w14:paraId="6492DB97"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70FF2B1C"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0825C9A9"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2CB60EDE" w14:textId="77777777" w:rsidR="0002298B" w:rsidRPr="00B0658A" w:rsidRDefault="0002298B" w:rsidP="000A4114">
            <w:pPr>
              <w:spacing w:after="0" w:line="240" w:lineRule="auto"/>
              <w:jc w:val="both"/>
              <w:rPr>
                <w:rFonts w:ascii="Times New Roman" w:hAnsi="Times New Roman"/>
                <w:i/>
                <w:iCs/>
                <w:sz w:val="20"/>
                <w:szCs w:val="20"/>
              </w:rPr>
            </w:pPr>
          </w:p>
        </w:tc>
      </w:tr>
      <w:tr w:rsidR="00F52FED" w:rsidRPr="00B0658A" w14:paraId="169A2B75" w14:textId="77777777" w:rsidTr="004F1366">
        <w:trPr>
          <w:trHeight w:val="170"/>
        </w:trPr>
        <w:tc>
          <w:tcPr>
            <w:tcW w:w="0" w:type="auto"/>
            <w:shd w:val="clear" w:color="auto" w:fill="auto"/>
            <w:vAlign w:val="center"/>
          </w:tcPr>
          <w:p w14:paraId="48E90D97"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18"/>
                <w:szCs w:val="18"/>
              </w:rPr>
              <w:t>2.9</w:t>
            </w:r>
          </w:p>
        </w:tc>
        <w:tc>
          <w:tcPr>
            <w:tcW w:w="3432" w:type="dxa"/>
            <w:shd w:val="clear" w:color="auto" w:fill="auto"/>
            <w:vAlign w:val="center"/>
          </w:tcPr>
          <w:p w14:paraId="2FBB3711" w14:textId="77777777" w:rsidR="0002298B" w:rsidRPr="00B0658A" w:rsidRDefault="0002298B" w:rsidP="000A4114">
            <w:pPr>
              <w:spacing w:after="0" w:line="240" w:lineRule="auto"/>
              <w:rPr>
                <w:rFonts w:ascii="Times New Roman" w:hAnsi="Times New Roman"/>
                <w:i/>
                <w:iCs/>
                <w:sz w:val="20"/>
                <w:szCs w:val="20"/>
              </w:rPr>
            </w:pPr>
            <w:r w:rsidRPr="00B0658A">
              <w:rPr>
                <w:rFonts w:ascii="Times New Roman" w:hAnsi="Times New Roman"/>
                <w:sz w:val="18"/>
                <w:szCs w:val="18"/>
              </w:rPr>
              <w:t>Системное программное обеспечение/ Операционные системы общего назначения</w:t>
            </w:r>
          </w:p>
        </w:tc>
        <w:tc>
          <w:tcPr>
            <w:tcW w:w="1256" w:type="dxa"/>
          </w:tcPr>
          <w:p w14:paraId="3C3C5F84"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73292AB5"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0D586734"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137BFCB3" w14:textId="77777777" w:rsidR="0002298B" w:rsidRPr="00B0658A" w:rsidRDefault="0002298B" w:rsidP="000A4114">
            <w:pPr>
              <w:spacing w:after="0" w:line="240" w:lineRule="auto"/>
              <w:jc w:val="both"/>
              <w:rPr>
                <w:rFonts w:ascii="Times New Roman" w:hAnsi="Times New Roman"/>
                <w:i/>
                <w:iCs/>
                <w:sz w:val="20"/>
                <w:szCs w:val="20"/>
              </w:rPr>
            </w:pPr>
          </w:p>
        </w:tc>
      </w:tr>
      <w:tr w:rsidR="00F52FED" w:rsidRPr="00B0658A" w14:paraId="4D2D7088" w14:textId="77777777" w:rsidTr="004F1366">
        <w:trPr>
          <w:trHeight w:val="170"/>
        </w:trPr>
        <w:tc>
          <w:tcPr>
            <w:tcW w:w="0" w:type="auto"/>
            <w:shd w:val="clear" w:color="auto" w:fill="auto"/>
            <w:vAlign w:val="center"/>
          </w:tcPr>
          <w:p w14:paraId="3381E578"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18"/>
                <w:szCs w:val="18"/>
              </w:rPr>
              <w:t>2.10</w:t>
            </w:r>
          </w:p>
        </w:tc>
        <w:tc>
          <w:tcPr>
            <w:tcW w:w="3432" w:type="dxa"/>
            <w:shd w:val="clear" w:color="auto" w:fill="auto"/>
            <w:vAlign w:val="center"/>
          </w:tcPr>
          <w:p w14:paraId="194D0EC1" w14:textId="77777777" w:rsidR="0002298B" w:rsidRPr="00B0658A" w:rsidRDefault="0002298B" w:rsidP="000A4114">
            <w:pPr>
              <w:spacing w:after="0" w:line="240" w:lineRule="auto"/>
              <w:rPr>
                <w:rFonts w:ascii="Times New Roman" w:hAnsi="Times New Roman"/>
                <w:i/>
                <w:iCs/>
                <w:sz w:val="20"/>
                <w:szCs w:val="20"/>
              </w:rPr>
            </w:pPr>
            <w:r w:rsidRPr="00B0658A">
              <w:rPr>
                <w:rFonts w:ascii="Times New Roman" w:hAnsi="Times New Roman"/>
                <w:sz w:val="18"/>
                <w:szCs w:val="18"/>
              </w:rPr>
              <w:t>Системное программное обеспечение/ Операционные системы реального времени</w:t>
            </w:r>
          </w:p>
        </w:tc>
        <w:tc>
          <w:tcPr>
            <w:tcW w:w="1256" w:type="dxa"/>
          </w:tcPr>
          <w:p w14:paraId="3C3BB3A4"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596776E3"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7148DA46"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12EA9A48" w14:textId="77777777" w:rsidR="0002298B" w:rsidRPr="00B0658A" w:rsidRDefault="0002298B" w:rsidP="000A4114">
            <w:pPr>
              <w:spacing w:after="0" w:line="240" w:lineRule="auto"/>
              <w:jc w:val="both"/>
              <w:rPr>
                <w:rFonts w:ascii="Times New Roman" w:hAnsi="Times New Roman"/>
                <w:i/>
                <w:iCs/>
                <w:sz w:val="20"/>
                <w:szCs w:val="20"/>
              </w:rPr>
            </w:pPr>
          </w:p>
        </w:tc>
      </w:tr>
      <w:tr w:rsidR="00F52FED" w:rsidRPr="00B0658A" w14:paraId="7BD96EC5" w14:textId="77777777" w:rsidTr="004F1366">
        <w:trPr>
          <w:trHeight w:val="170"/>
        </w:trPr>
        <w:tc>
          <w:tcPr>
            <w:tcW w:w="0" w:type="auto"/>
            <w:shd w:val="clear" w:color="auto" w:fill="auto"/>
            <w:vAlign w:val="center"/>
          </w:tcPr>
          <w:p w14:paraId="6342E9F8"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18"/>
                <w:szCs w:val="18"/>
              </w:rPr>
              <w:t>2.11</w:t>
            </w:r>
          </w:p>
        </w:tc>
        <w:tc>
          <w:tcPr>
            <w:tcW w:w="3432" w:type="dxa"/>
            <w:shd w:val="clear" w:color="auto" w:fill="auto"/>
            <w:vAlign w:val="center"/>
          </w:tcPr>
          <w:p w14:paraId="1916C3C3" w14:textId="77777777" w:rsidR="0002298B" w:rsidRPr="00B0658A" w:rsidRDefault="0002298B" w:rsidP="000A4114">
            <w:pPr>
              <w:spacing w:after="0" w:line="240" w:lineRule="auto"/>
              <w:rPr>
                <w:rFonts w:ascii="Times New Roman" w:hAnsi="Times New Roman"/>
                <w:i/>
                <w:iCs/>
                <w:sz w:val="20"/>
                <w:szCs w:val="20"/>
              </w:rPr>
            </w:pPr>
            <w:r w:rsidRPr="00B0658A">
              <w:rPr>
                <w:rFonts w:ascii="Times New Roman" w:hAnsi="Times New Roman"/>
                <w:sz w:val="18"/>
                <w:szCs w:val="18"/>
              </w:rPr>
              <w:t>Системное программное обеспечение/ Мобильная операционная система</w:t>
            </w:r>
          </w:p>
        </w:tc>
        <w:tc>
          <w:tcPr>
            <w:tcW w:w="1256" w:type="dxa"/>
          </w:tcPr>
          <w:p w14:paraId="1960BC33"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2F20B863"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154E68DD"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7C1990EB" w14:textId="77777777" w:rsidR="0002298B" w:rsidRPr="00B0658A" w:rsidRDefault="0002298B" w:rsidP="000A4114">
            <w:pPr>
              <w:spacing w:after="0" w:line="240" w:lineRule="auto"/>
              <w:jc w:val="both"/>
              <w:rPr>
                <w:rFonts w:ascii="Times New Roman" w:hAnsi="Times New Roman"/>
                <w:i/>
                <w:iCs/>
                <w:sz w:val="20"/>
                <w:szCs w:val="20"/>
              </w:rPr>
            </w:pPr>
          </w:p>
        </w:tc>
      </w:tr>
      <w:tr w:rsidR="00F52FED" w:rsidRPr="00B0658A" w14:paraId="334056D3" w14:textId="77777777" w:rsidTr="004F1366">
        <w:trPr>
          <w:trHeight w:val="170"/>
        </w:trPr>
        <w:tc>
          <w:tcPr>
            <w:tcW w:w="0" w:type="auto"/>
            <w:shd w:val="clear" w:color="auto" w:fill="auto"/>
            <w:vAlign w:val="center"/>
          </w:tcPr>
          <w:p w14:paraId="5F7B6EE1"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18"/>
                <w:szCs w:val="18"/>
              </w:rPr>
              <w:t>2.12</w:t>
            </w:r>
          </w:p>
        </w:tc>
        <w:tc>
          <w:tcPr>
            <w:tcW w:w="3432" w:type="dxa"/>
            <w:shd w:val="clear" w:color="auto" w:fill="auto"/>
            <w:vAlign w:val="center"/>
          </w:tcPr>
          <w:p w14:paraId="1D599C8F" w14:textId="77777777" w:rsidR="0002298B" w:rsidRPr="00B0658A" w:rsidRDefault="0002298B" w:rsidP="000A4114">
            <w:pPr>
              <w:spacing w:after="0" w:line="240" w:lineRule="auto"/>
              <w:rPr>
                <w:rFonts w:ascii="Times New Roman" w:hAnsi="Times New Roman"/>
                <w:i/>
                <w:iCs/>
                <w:sz w:val="20"/>
                <w:szCs w:val="20"/>
              </w:rPr>
            </w:pPr>
            <w:r w:rsidRPr="00B0658A">
              <w:rPr>
                <w:rFonts w:ascii="Times New Roman" w:hAnsi="Times New Roman"/>
                <w:sz w:val="18"/>
                <w:szCs w:val="18"/>
              </w:rPr>
              <w:t>Системное программное обеспечение / Системы контейнеризации и контейнеры</w:t>
            </w:r>
          </w:p>
        </w:tc>
        <w:tc>
          <w:tcPr>
            <w:tcW w:w="1256" w:type="dxa"/>
          </w:tcPr>
          <w:p w14:paraId="11D7E63B"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22A81577"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254C3A44"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786419D7" w14:textId="77777777" w:rsidR="0002298B" w:rsidRPr="00B0658A" w:rsidRDefault="0002298B" w:rsidP="000A4114">
            <w:pPr>
              <w:spacing w:after="0" w:line="240" w:lineRule="auto"/>
              <w:jc w:val="both"/>
              <w:rPr>
                <w:rFonts w:ascii="Times New Roman" w:hAnsi="Times New Roman"/>
                <w:i/>
                <w:iCs/>
                <w:sz w:val="20"/>
                <w:szCs w:val="20"/>
              </w:rPr>
            </w:pPr>
          </w:p>
        </w:tc>
      </w:tr>
      <w:tr w:rsidR="00F52FED" w:rsidRPr="00B0658A" w14:paraId="5914E986" w14:textId="77777777" w:rsidTr="004F1366">
        <w:trPr>
          <w:trHeight w:val="170"/>
        </w:trPr>
        <w:tc>
          <w:tcPr>
            <w:tcW w:w="0" w:type="auto"/>
            <w:shd w:val="clear" w:color="auto" w:fill="auto"/>
            <w:vAlign w:val="center"/>
          </w:tcPr>
          <w:p w14:paraId="464FB119"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18"/>
                <w:szCs w:val="18"/>
              </w:rPr>
              <w:t>3.1</w:t>
            </w:r>
          </w:p>
        </w:tc>
        <w:tc>
          <w:tcPr>
            <w:tcW w:w="3432" w:type="dxa"/>
            <w:shd w:val="clear" w:color="auto" w:fill="auto"/>
            <w:vAlign w:val="center"/>
          </w:tcPr>
          <w:p w14:paraId="7A49DAC1"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18"/>
                <w:szCs w:val="18"/>
              </w:rPr>
              <w:t>Средства обеспечения информационной безопасности/ Средства защиты от несанкционированного доступа к информации</w:t>
            </w:r>
          </w:p>
        </w:tc>
        <w:tc>
          <w:tcPr>
            <w:tcW w:w="1256" w:type="dxa"/>
          </w:tcPr>
          <w:p w14:paraId="7E5A13AC"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60B1AD89"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1B5B4AF2"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1856E827" w14:textId="77777777" w:rsidR="0002298B" w:rsidRPr="00B0658A" w:rsidRDefault="0002298B" w:rsidP="000A4114">
            <w:pPr>
              <w:spacing w:after="0" w:line="240" w:lineRule="auto"/>
              <w:jc w:val="both"/>
              <w:rPr>
                <w:rFonts w:ascii="Times New Roman" w:hAnsi="Times New Roman"/>
                <w:i/>
                <w:iCs/>
                <w:sz w:val="20"/>
                <w:szCs w:val="20"/>
              </w:rPr>
            </w:pPr>
          </w:p>
        </w:tc>
      </w:tr>
      <w:tr w:rsidR="00F52FED" w:rsidRPr="00B0658A" w14:paraId="7356B28F" w14:textId="77777777" w:rsidTr="004F1366">
        <w:trPr>
          <w:trHeight w:val="170"/>
        </w:trPr>
        <w:tc>
          <w:tcPr>
            <w:tcW w:w="0" w:type="auto"/>
            <w:shd w:val="clear" w:color="auto" w:fill="auto"/>
            <w:vAlign w:val="center"/>
          </w:tcPr>
          <w:p w14:paraId="124F8CDA"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18"/>
                <w:szCs w:val="18"/>
              </w:rPr>
              <w:t>3.2</w:t>
            </w:r>
          </w:p>
        </w:tc>
        <w:tc>
          <w:tcPr>
            <w:tcW w:w="3432" w:type="dxa"/>
            <w:shd w:val="clear" w:color="auto" w:fill="auto"/>
            <w:vAlign w:val="center"/>
          </w:tcPr>
          <w:p w14:paraId="10DB5280"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18"/>
                <w:szCs w:val="18"/>
              </w:rPr>
              <w:t>Средства обеспечения информационной безопасности/ Средства управления событиями информационной безопасности</w:t>
            </w:r>
          </w:p>
        </w:tc>
        <w:tc>
          <w:tcPr>
            <w:tcW w:w="1256" w:type="dxa"/>
          </w:tcPr>
          <w:p w14:paraId="48F8C108"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0A122328"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74DB6170"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1F35F076" w14:textId="77777777" w:rsidR="0002298B" w:rsidRPr="00B0658A" w:rsidRDefault="0002298B" w:rsidP="000A4114">
            <w:pPr>
              <w:spacing w:after="0" w:line="240" w:lineRule="auto"/>
              <w:jc w:val="both"/>
              <w:rPr>
                <w:rFonts w:ascii="Times New Roman" w:hAnsi="Times New Roman"/>
                <w:i/>
                <w:iCs/>
                <w:sz w:val="20"/>
                <w:szCs w:val="20"/>
              </w:rPr>
            </w:pPr>
          </w:p>
        </w:tc>
      </w:tr>
      <w:tr w:rsidR="00F52FED" w:rsidRPr="00B0658A" w14:paraId="6995C421" w14:textId="77777777" w:rsidTr="004F1366">
        <w:trPr>
          <w:trHeight w:val="170"/>
        </w:trPr>
        <w:tc>
          <w:tcPr>
            <w:tcW w:w="0" w:type="auto"/>
            <w:shd w:val="clear" w:color="auto" w:fill="auto"/>
            <w:vAlign w:val="center"/>
          </w:tcPr>
          <w:p w14:paraId="600D1407"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18"/>
                <w:szCs w:val="18"/>
              </w:rPr>
              <w:t>3.3</w:t>
            </w:r>
          </w:p>
        </w:tc>
        <w:tc>
          <w:tcPr>
            <w:tcW w:w="3432" w:type="dxa"/>
            <w:shd w:val="clear" w:color="auto" w:fill="auto"/>
            <w:vAlign w:val="center"/>
          </w:tcPr>
          <w:p w14:paraId="70C648F3"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18"/>
                <w:szCs w:val="18"/>
              </w:rPr>
              <w:t>Средства обеспечения информационной безопасности/ Межсетевые экраны</w:t>
            </w:r>
          </w:p>
        </w:tc>
        <w:tc>
          <w:tcPr>
            <w:tcW w:w="1256" w:type="dxa"/>
          </w:tcPr>
          <w:p w14:paraId="01E98E83"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780CF15B"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239431FD"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074E801E" w14:textId="77777777" w:rsidR="0002298B" w:rsidRPr="00B0658A" w:rsidRDefault="0002298B" w:rsidP="000A4114">
            <w:pPr>
              <w:spacing w:after="0" w:line="240" w:lineRule="auto"/>
              <w:jc w:val="both"/>
              <w:rPr>
                <w:rFonts w:ascii="Times New Roman" w:hAnsi="Times New Roman"/>
                <w:i/>
                <w:iCs/>
                <w:sz w:val="20"/>
                <w:szCs w:val="20"/>
              </w:rPr>
            </w:pPr>
          </w:p>
        </w:tc>
      </w:tr>
      <w:tr w:rsidR="00F52FED" w:rsidRPr="00B0658A" w14:paraId="42C6860E" w14:textId="77777777" w:rsidTr="004F1366">
        <w:trPr>
          <w:trHeight w:val="170"/>
        </w:trPr>
        <w:tc>
          <w:tcPr>
            <w:tcW w:w="0" w:type="auto"/>
            <w:shd w:val="clear" w:color="auto" w:fill="auto"/>
            <w:vAlign w:val="center"/>
          </w:tcPr>
          <w:p w14:paraId="31921FE6"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18"/>
                <w:szCs w:val="18"/>
              </w:rPr>
              <w:t>3.4</w:t>
            </w:r>
          </w:p>
        </w:tc>
        <w:tc>
          <w:tcPr>
            <w:tcW w:w="3432" w:type="dxa"/>
            <w:shd w:val="clear" w:color="auto" w:fill="auto"/>
            <w:vAlign w:val="center"/>
          </w:tcPr>
          <w:p w14:paraId="4DDE8256"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18"/>
                <w:szCs w:val="18"/>
              </w:rPr>
              <w:t>Средства обеспечения информационной безопасности/ Средства фильтрации негативного контента</w:t>
            </w:r>
          </w:p>
        </w:tc>
        <w:tc>
          <w:tcPr>
            <w:tcW w:w="1256" w:type="dxa"/>
          </w:tcPr>
          <w:p w14:paraId="6C3AF787"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2D36F187"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2FDC88B5"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3A75583A" w14:textId="77777777" w:rsidR="0002298B" w:rsidRPr="00B0658A" w:rsidRDefault="0002298B" w:rsidP="000A4114">
            <w:pPr>
              <w:spacing w:after="0" w:line="240" w:lineRule="auto"/>
              <w:jc w:val="both"/>
              <w:rPr>
                <w:rFonts w:ascii="Times New Roman" w:hAnsi="Times New Roman"/>
                <w:i/>
                <w:iCs/>
                <w:sz w:val="20"/>
                <w:szCs w:val="20"/>
              </w:rPr>
            </w:pPr>
          </w:p>
        </w:tc>
      </w:tr>
      <w:tr w:rsidR="00F52FED" w:rsidRPr="00B0658A" w14:paraId="2CB1305E" w14:textId="77777777" w:rsidTr="004F1366">
        <w:trPr>
          <w:trHeight w:val="170"/>
        </w:trPr>
        <w:tc>
          <w:tcPr>
            <w:tcW w:w="0" w:type="auto"/>
            <w:shd w:val="clear" w:color="auto" w:fill="auto"/>
            <w:vAlign w:val="center"/>
          </w:tcPr>
          <w:p w14:paraId="5511B0E2"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18"/>
                <w:szCs w:val="18"/>
              </w:rPr>
              <w:t>3.5</w:t>
            </w:r>
          </w:p>
        </w:tc>
        <w:tc>
          <w:tcPr>
            <w:tcW w:w="3432" w:type="dxa"/>
            <w:shd w:val="clear" w:color="auto" w:fill="auto"/>
            <w:vAlign w:val="center"/>
          </w:tcPr>
          <w:p w14:paraId="22BBBA3A"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18"/>
                <w:szCs w:val="18"/>
              </w:rPr>
              <w:t>Средства обеспечения информационной безопасности/ Средства защиты сервисов онлайн-платежей и дистанционного банковского обслуживания</w:t>
            </w:r>
          </w:p>
        </w:tc>
        <w:tc>
          <w:tcPr>
            <w:tcW w:w="1256" w:type="dxa"/>
          </w:tcPr>
          <w:p w14:paraId="16E3FAAC"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4314436B"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7B6B3CC7"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5C07A77C" w14:textId="77777777" w:rsidR="0002298B" w:rsidRPr="00B0658A" w:rsidRDefault="0002298B" w:rsidP="000A4114">
            <w:pPr>
              <w:spacing w:after="0" w:line="240" w:lineRule="auto"/>
              <w:jc w:val="both"/>
              <w:rPr>
                <w:rFonts w:ascii="Times New Roman" w:hAnsi="Times New Roman"/>
                <w:i/>
                <w:iCs/>
                <w:sz w:val="20"/>
                <w:szCs w:val="20"/>
              </w:rPr>
            </w:pPr>
          </w:p>
        </w:tc>
      </w:tr>
      <w:tr w:rsidR="00F52FED" w:rsidRPr="00B0658A" w14:paraId="6E52FEF5" w14:textId="77777777" w:rsidTr="004F1366">
        <w:trPr>
          <w:trHeight w:val="170"/>
        </w:trPr>
        <w:tc>
          <w:tcPr>
            <w:tcW w:w="0" w:type="auto"/>
            <w:shd w:val="clear" w:color="auto" w:fill="auto"/>
            <w:vAlign w:val="center"/>
          </w:tcPr>
          <w:p w14:paraId="24994457"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18"/>
                <w:szCs w:val="18"/>
              </w:rPr>
              <w:t>3.6</w:t>
            </w:r>
          </w:p>
        </w:tc>
        <w:tc>
          <w:tcPr>
            <w:tcW w:w="3432" w:type="dxa"/>
            <w:shd w:val="clear" w:color="auto" w:fill="auto"/>
            <w:vAlign w:val="center"/>
          </w:tcPr>
          <w:p w14:paraId="26DF8E4E"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18"/>
                <w:szCs w:val="18"/>
              </w:rPr>
              <w:t>Средства обеспечения информационной безопасности/ Средства антивирусной защиты</w:t>
            </w:r>
          </w:p>
        </w:tc>
        <w:tc>
          <w:tcPr>
            <w:tcW w:w="1256" w:type="dxa"/>
          </w:tcPr>
          <w:p w14:paraId="696311DD"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18B128B9"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5F740816"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01672DC1" w14:textId="77777777" w:rsidR="0002298B" w:rsidRPr="00B0658A" w:rsidRDefault="0002298B" w:rsidP="000A4114">
            <w:pPr>
              <w:spacing w:after="0" w:line="240" w:lineRule="auto"/>
              <w:jc w:val="both"/>
              <w:rPr>
                <w:rFonts w:ascii="Times New Roman" w:hAnsi="Times New Roman"/>
                <w:i/>
                <w:iCs/>
                <w:sz w:val="20"/>
                <w:szCs w:val="20"/>
              </w:rPr>
            </w:pPr>
          </w:p>
        </w:tc>
      </w:tr>
      <w:tr w:rsidR="00F52FED" w:rsidRPr="00B0658A" w14:paraId="36B006C7" w14:textId="77777777" w:rsidTr="004F1366">
        <w:trPr>
          <w:trHeight w:val="170"/>
        </w:trPr>
        <w:tc>
          <w:tcPr>
            <w:tcW w:w="0" w:type="auto"/>
            <w:shd w:val="clear" w:color="auto" w:fill="auto"/>
            <w:vAlign w:val="center"/>
          </w:tcPr>
          <w:p w14:paraId="010BDF8A"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18"/>
                <w:szCs w:val="18"/>
              </w:rPr>
              <w:t>3.7</w:t>
            </w:r>
          </w:p>
        </w:tc>
        <w:tc>
          <w:tcPr>
            <w:tcW w:w="3432" w:type="dxa"/>
            <w:shd w:val="clear" w:color="auto" w:fill="auto"/>
            <w:vAlign w:val="center"/>
          </w:tcPr>
          <w:p w14:paraId="3F8B6AC1"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18"/>
                <w:szCs w:val="18"/>
              </w:rPr>
              <w:t>Средства обеспечения информационной безопасности/ Средства выявления целевых атак</w:t>
            </w:r>
          </w:p>
        </w:tc>
        <w:tc>
          <w:tcPr>
            <w:tcW w:w="1256" w:type="dxa"/>
          </w:tcPr>
          <w:p w14:paraId="628B3BBD"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127FADDC"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473D8F7D"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1FB67B97" w14:textId="77777777" w:rsidR="0002298B" w:rsidRPr="00B0658A" w:rsidRDefault="0002298B" w:rsidP="000A4114">
            <w:pPr>
              <w:spacing w:after="0" w:line="240" w:lineRule="auto"/>
              <w:jc w:val="both"/>
              <w:rPr>
                <w:rFonts w:ascii="Times New Roman" w:hAnsi="Times New Roman"/>
                <w:i/>
                <w:iCs/>
                <w:sz w:val="20"/>
                <w:szCs w:val="20"/>
              </w:rPr>
            </w:pPr>
          </w:p>
        </w:tc>
      </w:tr>
      <w:tr w:rsidR="00F52FED" w:rsidRPr="00B0658A" w14:paraId="6BB8C0D7" w14:textId="77777777" w:rsidTr="004F1366">
        <w:trPr>
          <w:trHeight w:val="170"/>
        </w:trPr>
        <w:tc>
          <w:tcPr>
            <w:tcW w:w="0" w:type="auto"/>
            <w:shd w:val="clear" w:color="auto" w:fill="auto"/>
            <w:vAlign w:val="center"/>
          </w:tcPr>
          <w:p w14:paraId="1A00DF9B"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18"/>
                <w:szCs w:val="18"/>
              </w:rPr>
              <w:t>3.8</w:t>
            </w:r>
          </w:p>
        </w:tc>
        <w:tc>
          <w:tcPr>
            <w:tcW w:w="3432" w:type="dxa"/>
            <w:shd w:val="clear" w:color="auto" w:fill="auto"/>
            <w:vAlign w:val="center"/>
          </w:tcPr>
          <w:p w14:paraId="2E8EF296"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18"/>
                <w:szCs w:val="18"/>
              </w:rPr>
              <w:t>Средства обеспечения информационной безопасности/ Средства гарантированного уничтожения данных</w:t>
            </w:r>
          </w:p>
        </w:tc>
        <w:tc>
          <w:tcPr>
            <w:tcW w:w="1256" w:type="dxa"/>
          </w:tcPr>
          <w:p w14:paraId="3CFD1D97"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5564ED11"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1BE77C65"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1A9BF2A7" w14:textId="77777777" w:rsidR="0002298B" w:rsidRPr="00B0658A" w:rsidRDefault="0002298B" w:rsidP="000A4114">
            <w:pPr>
              <w:spacing w:after="0" w:line="240" w:lineRule="auto"/>
              <w:jc w:val="both"/>
              <w:rPr>
                <w:rFonts w:ascii="Times New Roman" w:hAnsi="Times New Roman"/>
                <w:i/>
                <w:iCs/>
                <w:sz w:val="20"/>
                <w:szCs w:val="20"/>
              </w:rPr>
            </w:pPr>
          </w:p>
        </w:tc>
      </w:tr>
      <w:tr w:rsidR="00F52FED" w:rsidRPr="00B0658A" w14:paraId="3F1707F9" w14:textId="77777777" w:rsidTr="004F1366">
        <w:trPr>
          <w:trHeight w:val="170"/>
        </w:trPr>
        <w:tc>
          <w:tcPr>
            <w:tcW w:w="0" w:type="auto"/>
            <w:shd w:val="clear" w:color="auto" w:fill="auto"/>
            <w:vAlign w:val="center"/>
          </w:tcPr>
          <w:p w14:paraId="29CADF95"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18"/>
                <w:szCs w:val="18"/>
              </w:rPr>
              <w:t>3.9</w:t>
            </w:r>
          </w:p>
        </w:tc>
        <w:tc>
          <w:tcPr>
            <w:tcW w:w="3432" w:type="dxa"/>
            <w:shd w:val="clear" w:color="auto" w:fill="auto"/>
            <w:vAlign w:val="center"/>
          </w:tcPr>
          <w:p w14:paraId="66F02B1F"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18"/>
                <w:szCs w:val="18"/>
              </w:rPr>
              <w:t>Средства обеспечения информационной безопасности/ Средства обнаружения и предотвращения утечек информации</w:t>
            </w:r>
          </w:p>
        </w:tc>
        <w:tc>
          <w:tcPr>
            <w:tcW w:w="1256" w:type="dxa"/>
          </w:tcPr>
          <w:p w14:paraId="26B335DB"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4425D41F"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7A4780A0"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241E7263" w14:textId="77777777" w:rsidR="0002298B" w:rsidRPr="00B0658A" w:rsidRDefault="0002298B" w:rsidP="000A4114">
            <w:pPr>
              <w:spacing w:after="0" w:line="240" w:lineRule="auto"/>
              <w:jc w:val="both"/>
              <w:rPr>
                <w:rFonts w:ascii="Times New Roman" w:hAnsi="Times New Roman"/>
                <w:i/>
                <w:iCs/>
                <w:sz w:val="20"/>
                <w:szCs w:val="20"/>
              </w:rPr>
            </w:pPr>
          </w:p>
        </w:tc>
      </w:tr>
      <w:tr w:rsidR="00F52FED" w:rsidRPr="00B0658A" w14:paraId="2766C4C2" w14:textId="77777777" w:rsidTr="004F1366">
        <w:trPr>
          <w:trHeight w:val="170"/>
        </w:trPr>
        <w:tc>
          <w:tcPr>
            <w:tcW w:w="0" w:type="auto"/>
            <w:shd w:val="clear" w:color="auto" w:fill="auto"/>
            <w:vAlign w:val="center"/>
          </w:tcPr>
          <w:p w14:paraId="7199A449"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18"/>
                <w:szCs w:val="18"/>
              </w:rPr>
              <w:t>3.10</w:t>
            </w:r>
          </w:p>
        </w:tc>
        <w:tc>
          <w:tcPr>
            <w:tcW w:w="3432" w:type="dxa"/>
            <w:shd w:val="clear" w:color="auto" w:fill="auto"/>
            <w:vAlign w:val="center"/>
          </w:tcPr>
          <w:p w14:paraId="2E4073A4"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18"/>
                <w:szCs w:val="18"/>
              </w:rPr>
              <w:t>Средства обеспечения информационной безопасности/ Средства криптографической защиты информации и электронной подписи</w:t>
            </w:r>
          </w:p>
        </w:tc>
        <w:tc>
          <w:tcPr>
            <w:tcW w:w="1256" w:type="dxa"/>
          </w:tcPr>
          <w:p w14:paraId="79A11C70"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34CCE7EE"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33EA5706"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4019588C" w14:textId="77777777" w:rsidR="0002298B" w:rsidRPr="00B0658A" w:rsidRDefault="0002298B" w:rsidP="000A4114">
            <w:pPr>
              <w:spacing w:after="0" w:line="240" w:lineRule="auto"/>
              <w:jc w:val="both"/>
              <w:rPr>
                <w:rFonts w:ascii="Times New Roman" w:hAnsi="Times New Roman"/>
                <w:i/>
                <w:iCs/>
                <w:sz w:val="20"/>
                <w:szCs w:val="20"/>
              </w:rPr>
            </w:pPr>
          </w:p>
        </w:tc>
      </w:tr>
      <w:tr w:rsidR="00F52FED" w:rsidRPr="00B0658A" w14:paraId="3E8C9B51" w14:textId="77777777" w:rsidTr="004F1366">
        <w:trPr>
          <w:trHeight w:val="170"/>
        </w:trPr>
        <w:tc>
          <w:tcPr>
            <w:tcW w:w="0" w:type="auto"/>
            <w:shd w:val="clear" w:color="auto" w:fill="auto"/>
            <w:vAlign w:val="center"/>
          </w:tcPr>
          <w:p w14:paraId="2C970E69"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18"/>
                <w:szCs w:val="18"/>
              </w:rPr>
              <w:t>3.11</w:t>
            </w:r>
          </w:p>
        </w:tc>
        <w:tc>
          <w:tcPr>
            <w:tcW w:w="3432" w:type="dxa"/>
            <w:shd w:val="clear" w:color="auto" w:fill="auto"/>
            <w:vAlign w:val="center"/>
          </w:tcPr>
          <w:p w14:paraId="3A109402"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18"/>
                <w:szCs w:val="18"/>
              </w:rPr>
              <w:t>Средства обеспечения информационной безопасности/ Средства защиты каналов передачи данных, в том числе криптографическими методами</w:t>
            </w:r>
          </w:p>
        </w:tc>
        <w:tc>
          <w:tcPr>
            <w:tcW w:w="1256" w:type="dxa"/>
          </w:tcPr>
          <w:p w14:paraId="290ADD9B"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20E444B9"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702D36A2"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1195E55B" w14:textId="77777777" w:rsidR="0002298B" w:rsidRPr="00B0658A" w:rsidRDefault="0002298B" w:rsidP="000A4114">
            <w:pPr>
              <w:spacing w:after="0" w:line="240" w:lineRule="auto"/>
              <w:jc w:val="both"/>
              <w:rPr>
                <w:rFonts w:ascii="Times New Roman" w:hAnsi="Times New Roman"/>
                <w:i/>
                <w:iCs/>
                <w:sz w:val="20"/>
                <w:szCs w:val="20"/>
              </w:rPr>
            </w:pPr>
          </w:p>
        </w:tc>
      </w:tr>
      <w:tr w:rsidR="00F52FED" w:rsidRPr="00B0658A" w14:paraId="76F4E657" w14:textId="77777777" w:rsidTr="004F1366">
        <w:trPr>
          <w:trHeight w:val="170"/>
        </w:trPr>
        <w:tc>
          <w:tcPr>
            <w:tcW w:w="0" w:type="auto"/>
            <w:shd w:val="clear" w:color="auto" w:fill="auto"/>
            <w:vAlign w:val="center"/>
          </w:tcPr>
          <w:p w14:paraId="332F424D"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18"/>
                <w:szCs w:val="18"/>
              </w:rPr>
              <w:t>3.12</w:t>
            </w:r>
          </w:p>
        </w:tc>
        <w:tc>
          <w:tcPr>
            <w:tcW w:w="3432" w:type="dxa"/>
            <w:shd w:val="clear" w:color="auto" w:fill="auto"/>
            <w:vAlign w:val="center"/>
          </w:tcPr>
          <w:p w14:paraId="370F4F94"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18"/>
                <w:szCs w:val="18"/>
              </w:rPr>
              <w:t>Средства обеспечения информационной безопасности/ Системы управления доступом к информационным ресурсам</w:t>
            </w:r>
          </w:p>
        </w:tc>
        <w:tc>
          <w:tcPr>
            <w:tcW w:w="1256" w:type="dxa"/>
          </w:tcPr>
          <w:p w14:paraId="616C9ECE"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1F152DF6"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0A910A24"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793EBD66" w14:textId="77777777" w:rsidR="0002298B" w:rsidRPr="00B0658A" w:rsidRDefault="0002298B" w:rsidP="000A4114">
            <w:pPr>
              <w:spacing w:after="0" w:line="240" w:lineRule="auto"/>
              <w:jc w:val="both"/>
              <w:rPr>
                <w:rFonts w:ascii="Times New Roman" w:hAnsi="Times New Roman"/>
                <w:i/>
                <w:iCs/>
                <w:sz w:val="20"/>
                <w:szCs w:val="20"/>
              </w:rPr>
            </w:pPr>
          </w:p>
        </w:tc>
      </w:tr>
      <w:tr w:rsidR="00F52FED" w:rsidRPr="00B0658A" w14:paraId="0F7446F5" w14:textId="77777777" w:rsidTr="004F1366">
        <w:trPr>
          <w:trHeight w:val="170"/>
        </w:trPr>
        <w:tc>
          <w:tcPr>
            <w:tcW w:w="0" w:type="auto"/>
            <w:shd w:val="clear" w:color="auto" w:fill="auto"/>
            <w:vAlign w:val="center"/>
          </w:tcPr>
          <w:p w14:paraId="2C359436"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18"/>
                <w:szCs w:val="18"/>
              </w:rPr>
              <w:t>3.13</w:t>
            </w:r>
          </w:p>
        </w:tc>
        <w:tc>
          <w:tcPr>
            <w:tcW w:w="3432" w:type="dxa"/>
            <w:shd w:val="clear" w:color="auto" w:fill="auto"/>
            <w:vAlign w:val="center"/>
          </w:tcPr>
          <w:p w14:paraId="1E83B828"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18"/>
                <w:szCs w:val="18"/>
              </w:rPr>
              <w:t>Средства обеспечения информационной безопасности/ Средства резервного копирования</w:t>
            </w:r>
          </w:p>
        </w:tc>
        <w:tc>
          <w:tcPr>
            <w:tcW w:w="1256" w:type="dxa"/>
          </w:tcPr>
          <w:p w14:paraId="3E3C9685"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35674ACD"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56AD762F"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579BCF80" w14:textId="77777777" w:rsidR="0002298B" w:rsidRPr="00B0658A" w:rsidRDefault="0002298B" w:rsidP="000A4114">
            <w:pPr>
              <w:spacing w:after="0" w:line="240" w:lineRule="auto"/>
              <w:jc w:val="both"/>
              <w:rPr>
                <w:rFonts w:ascii="Times New Roman" w:hAnsi="Times New Roman"/>
                <w:i/>
                <w:iCs/>
                <w:sz w:val="20"/>
                <w:szCs w:val="20"/>
              </w:rPr>
            </w:pPr>
          </w:p>
        </w:tc>
      </w:tr>
      <w:tr w:rsidR="00F52FED" w:rsidRPr="00B0658A" w14:paraId="66536B67" w14:textId="77777777" w:rsidTr="004F1366">
        <w:trPr>
          <w:trHeight w:val="170"/>
        </w:trPr>
        <w:tc>
          <w:tcPr>
            <w:tcW w:w="0" w:type="auto"/>
            <w:shd w:val="clear" w:color="auto" w:fill="auto"/>
            <w:vAlign w:val="center"/>
          </w:tcPr>
          <w:p w14:paraId="7AD2D63B"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18"/>
                <w:szCs w:val="18"/>
              </w:rPr>
              <w:t>3.14</w:t>
            </w:r>
          </w:p>
        </w:tc>
        <w:tc>
          <w:tcPr>
            <w:tcW w:w="3432" w:type="dxa"/>
            <w:shd w:val="clear" w:color="auto" w:fill="auto"/>
            <w:vAlign w:val="center"/>
          </w:tcPr>
          <w:p w14:paraId="05717C3D"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18"/>
                <w:szCs w:val="18"/>
              </w:rPr>
              <w:t>Средства обеспечения информационной безопасности/ Средства обнаружения и/или предотвращения вторжений (атак)</w:t>
            </w:r>
          </w:p>
        </w:tc>
        <w:tc>
          <w:tcPr>
            <w:tcW w:w="1256" w:type="dxa"/>
          </w:tcPr>
          <w:p w14:paraId="6DB7EBBA"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43DB27EB"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49974B32"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4C2C9B6C" w14:textId="77777777" w:rsidR="0002298B" w:rsidRPr="00B0658A" w:rsidRDefault="0002298B" w:rsidP="000A4114">
            <w:pPr>
              <w:spacing w:after="0" w:line="240" w:lineRule="auto"/>
              <w:jc w:val="both"/>
              <w:rPr>
                <w:rFonts w:ascii="Times New Roman" w:hAnsi="Times New Roman"/>
                <w:i/>
                <w:iCs/>
                <w:sz w:val="20"/>
                <w:szCs w:val="20"/>
              </w:rPr>
            </w:pPr>
          </w:p>
        </w:tc>
      </w:tr>
      <w:tr w:rsidR="00F52FED" w:rsidRPr="00B0658A" w14:paraId="37D92A9B" w14:textId="77777777" w:rsidTr="004F1366">
        <w:trPr>
          <w:trHeight w:val="170"/>
        </w:trPr>
        <w:tc>
          <w:tcPr>
            <w:tcW w:w="0" w:type="auto"/>
            <w:shd w:val="clear" w:color="auto" w:fill="auto"/>
            <w:vAlign w:val="center"/>
          </w:tcPr>
          <w:p w14:paraId="294C4136"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18"/>
                <w:szCs w:val="18"/>
              </w:rPr>
              <w:t>3.15</w:t>
            </w:r>
          </w:p>
        </w:tc>
        <w:tc>
          <w:tcPr>
            <w:tcW w:w="3432" w:type="dxa"/>
            <w:shd w:val="clear" w:color="auto" w:fill="auto"/>
            <w:vAlign w:val="center"/>
          </w:tcPr>
          <w:p w14:paraId="6D6E7295"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18"/>
                <w:szCs w:val="18"/>
              </w:rPr>
              <w:t>Средства обеспечения информационной безопасности/ Средства обнаружения угроз и расследования сетевых инцидентов</w:t>
            </w:r>
          </w:p>
        </w:tc>
        <w:tc>
          <w:tcPr>
            <w:tcW w:w="1256" w:type="dxa"/>
          </w:tcPr>
          <w:p w14:paraId="412EA049"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34C7E890"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7431A032"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2EDB8DBC" w14:textId="77777777" w:rsidR="0002298B" w:rsidRPr="00B0658A" w:rsidRDefault="0002298B" w:rsidP="000A4114">
            <w:pPr>
              <w:spacing w:after="0" w:line="240" w:lineRule="auto"/>
              <w:jc w:val="both"/>
              <w:rPr>
                <w:rFonts w:ascii="Times New Roman" w:hAnsi="Times New Roman"/>
                <w:i/>
                <w:iCs/>
                <w:sz w:val="20"/>
                <w:szCs w:val="20"/>
              </w:rPr>
            </w:pPr>
          </w:p>
        </w:tc>
      </w:tr>
      <w:tr w:rsidR="00F52FED" w:rsidRPr="00B0658A" w14:paraId="4EF7136C" w14:textId="77777777" w:rsidTr="004F1366">
        <w:trPr>
          <w:trHeight w:val="170"/>
        </w:trPr>
        <w:tc>
          <w:tcPr>
            <w:tcW w:w="0" w:type="auto"/>
            <w:shd w:val="clear" w:color="auto" w:fill="auto"/>
            <w:vAlign w:val="center"/>
          </w:tcPr>
          <w:p w14:paraId="214456D3"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18"/>
                <w:szCs w:val="18"/>
              </w:rPr>
              <w:t>3.16</w:t>
            </w:r>
          </w:p>
        </w:tc>
        <w:tc>
          <w:tcPr>
            <w:tcW w:w="3432" w:type="dxa"/>
            <w:shd w:val="clear" w:color="auto" w:fill="auto"/>
            <w:vAlign w:val="center"/>
          </w:tcPr>
          <w:p w14:paraId="55C3A050"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18"/>
                <w:szCs w:val="18"/>
              </w:rPr>
              <w:t>Средства обеспечения информационной безопасности/ Средства администрирования и управления жизненным циклом ключевых носителей</w:t>
            </w:r>
          </w:p>
        </w:tc>
        <w:tc>
          <w:tcPr>
            <w:tcW w:w="1256" w:type="dxa"/>
          </w:tcPr>
          <w:p w14:paraId="4CE9F7BA"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46D16C2B"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6B2F800A"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184FF858" w14:textId="77777777" w:rsidR="0002298B" w:rsidRPr="00B0658A" w:rsidRDefault="0002298B" w:rsidP="000A4114">
            <w:pPr>
              <w:spacing w:after="0" w:line="240" w:lineRule="auto"/>
              <w:jc w:val="both"/>
              <w:rPr>
                <w:rFonts w:ascii="Times New Roman" w:hAnsi="Times New Roman"/>
                <w:i/>
                <w:iCs/>
                <w:sz w:val="20"/>
                <w:szCs w:val="20"/>
              </w:rPr>
            </w:pPr>
          </w:p>
        </w:tc>
      </w:tr>
      <w:tr w:rsidR="00F52FED" w:rsidRPr="00B0658A" w14:paraId="6103FA85" w14:textId="77777777" w:rsidTr="004F1366">
        <w:trPr>
          <w:trHeight w:val="170"/>
        </w:trPr>
        <w:tc>
          <w:tcPr>
            <w:tcW w:w="0" w:type="auto"/>
            <w:shd w:val="clear" w:color="auto" w:fill="auto"/>
            <w:vAlign w:val="center"/>
          </w:tcPr>
          <w:p w14:paraId="77B0ECB3"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18"/>
                <w:szCs w:val="18"/>
              </w:rPr>
              <w:t>3.17</w:t>
            </w:r>
          </w:p>
        </w:tc>
        <w:tc>
          <w:tcPr>
            <w:tcW w:w="3432" w:type="dxa"/>
            <w:shd w:val="clear" w:color="auto" w:fill="auto"/>
            <w:vAlign w:val="center"/>
          </w:tcPr>
          <w:p w14:paraId="59758065"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18"/>
                <w:szCs w:val="18"/>
              </w:rPr>
              <w:t>Средства обеспечения информационной безопасности/ Средства автоматизации процессов информационной безопасности</w:t>
            </w:r>
          </w:p>
        </w:tc>
        <w:tc>
          <w:tcPr>
            <w:tcW w:w="1256" w:type="dxa"/>
          </w:tcPr>
          <w:p w14:paraId="0BCB75CA"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17728AB8"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2040817F"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65B4B801" w14:textId="77777777" w:rsidR="0002298B" w:rsidRPr="00B0658A" w:rsidRDefault="0002298B" w:rsidP="000A4114">
            <w:pPr>
              <w:spacing w:after="0" w:line="240" w:lineRule="auto"/>
              <w:jc w:val="both"/>
              <w:rPr>
                <w:rFonts w:ascii="Times New Roman" w:hAnsi="Times New Roman"/>
                <w:i/>
                <w:iCs/>
                <w:sz w:val="20"/>
                <w:szCs w:val="20"/>
              </w:rPr>
            </w:pPr>
          </w:p>
        </w:tc>
      </w:tr>
      <w:tr w:rsidR="00F52FED" w:rsidRPr="00B0658A" w14:paraId="40F17C06" w14:textId="77777777" w:rsidTr="004F1366">
        <w:trPr>
          <w:trHeight w:val="170"/>
        </w:trPr>
        <w:tc>
          <w:tcPr>
            <w:tcW w:w="0" w:type="auto"/>
            <w:shd w:val="clear" w:color="auto" w:fill="auto"/>
            <w:vAlign w:val="center"/>
          </w:tcPr>
          <w:p w14:paraId="70AE9954"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18"/>
                <w:szCs w:val="18"/>
              </w:rPr>
              <w:t>4.1</w:t>
            </w:r>
          </w:p>
        </w:tc>
        <w:tc>
          <w:tcPr>
            <w:tcW w:w="3432" w:type="dxa"/>
            <w:shd w:val="clear" w:color="auto" w:fill="auto"/>
            <w:vAlign w:val="center"/>
          </w:tcPr>
          <w:p w14:paraId="753D239F"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18"/>
                <w:szCs w:val="18"/>
              </w:rPr>
              <w:t>Средства разработки программного обеспечения/ Средства подготовки исполнимого кода</w:t>
            </w:r>
          </w:p>
        </w:tc>
        <w:tc>
          <w:tcPr>
            <w:tcW w:w="1256" w:type="dxa"/>
          </w:tcPr>
          <w:p w14:paraId="458C918F"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3CB8EC19"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1D464A0F"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2C93E629" w14:textId="77777777" w:rsidR="0002298B" w:rsidRPr="00B0658A" w:rsidRDefault="0002298B" w:rsidP="000A4114">
            <w:pPr>
              <w:spacing w:after="0" w:line="240" w:lineRule="auto"/>
              <w:jc w:val="both"/>
              <w:rPr>
                <w:rFonts w:ascii="Times New Roman" w:hAnsi="Times New Roman"/>
                <w:i/>
                <w:iCs/>
                <w:sz w:val="20"/>
                <w:szCs w:val="20"/>
              </w:rPr>
            </w:pPr>
          </w:p>
        </w:tc>
      </w:tr>
      <w:tr w:rsidR="00F52FED" w:rsidRPr="00B0658A" w14:paraId="4F871AFA" w14:textId="77777777" w:rsidTr="004F1366">
        <w:trPr>
          <w:trHeight w:val="170"/>
        </w:trPr>
        <w:tc>
          <w:tcPr>
            <w:tcW w:w="0" w:type="auto"/>
            <w:shd w:val="clear" w:color="auto" w:fill="auto"/>
            <w:vAlign w:val="center"/>
          </w:tcPr>
          <w:p w14:paraId="0B2FD6D0" w14:textId="77777777" w:rsidR="0002298B" w:rsidRPr="00B0658A" w:rsidDel="00EC4B3C" w:rsidRDefault="0002298B" w:rsidP="000A4114">
            <w:pPr>
              <w:spacing w:after="0" w:line="240" w:lineRule="auto"/>
              <w:rPr>
                <w:rFonts w:ascii="Times New Roman" w:hAnsi="Times New Roman"/>
                <w:b/>
                <w:sz w:val="20"/>
                <w:szCs w:val="20"/>
              </w:rPr>
            </w:pPr>
            <w:r w:rsidRPr="00B0658A">
              <w:rPr>
                <w:rFonts w:ascii="Times New Roman" w:hAnsi="Times New Roman"/>
                <w:sz w:val="18"/>
                <w:szCs w:val="18"/>
              </w:rPr>
              <w:t>4.2</w:t>
            </w:r>
          </w:p>
        </w:tc>
        <w:tc>
          <w:tcPr>
            <w:tcW w:w="3432" w:type="dxa"/>
            <w:shd w:val="clear" w:color="auto" w:fill="auto"/>
            <w:vAlign w:val="center"/>
          </w:tcPr>
          <w:p w14:paraId="45509ADE" w14:textId="77777777" w:rsidR="0002298B" w:rsidRPr="00B0658A" w:rsidRDefault="0002298B" w:rsidP="000A4114">
            <w:pPr>
              <w:spacing w:after="0" w:line="240" w:lineRule="auto"/>
              <w:rPr>
                <w:rFonts w:ascii="Times New Roman" w:hAnsi="Times New Roman"/>
                <w:b/>
                <w:sz w:val="20"/>
                <w:szCs w:val="20"/>
              </w:rPr>
            </w:pPr>
            <w:r w:rsidRPr="00B0658A">
              <w:rPr>
                <w:rFonts w:ascii="Times New Roman" w:hAnsi="Times New Roman"/>
                <w:sz w:val="18"/>
                <w:szCs w:val="18"/>
              </w:rPr>
              <w:t>Средства разработки программного обеспечения/ Средства версионного контроля исходного кода</w:t>
            </w:r>
          </w:p>
        </w:tc>
        <w:tc>
          <w:tcPr>
            <w:tcW w:w="1256" w:type="dxa"/>
          </w:tcPr>
          <w:p w14:paraId="4051FE0E"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248C3CE6"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330906EB"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7C5B2428" w14:textId="77777777" w:rsidR="0002298B" w:rsidRPr="00B0658A" w:rsidRDefault="0002298B" w:rsidP="000A4114">
            <w:pPr>
              <w:spacing w:after="0" w:line="240" w:lineRule="auto"/>
              <w:jc w:val="both"/>
              <w:rPr>
                <w:rFonts w:ascii="Times New Roman" w:hAnsi="Times New Roman"/>
                <w:i/>
                <w:iCs/>
                <w:sz w:val="20"/>
                <w:szCs w:val="20"/>
              </w:rPr>
            </w:pPr>
          </w:p>
        </w:tc>
      </w:tr>
      <w:tr w:rsidR="00F52FED" w:rsidRPr="00B0658A" w14:paraId="449DC886" w14:textId="77777777" w:rsidTr="004F1366">
        <w:trPr>
          <w:trHeight w:val="170"/>
        </w:trPr>
        <w:tc>
          <w:tcPr>
            <w:tcW w:w="0" w:type="auto"/>
            <w:shd w:val="clear" w:color="auto" w:fill="auto"/>
            <w:vAlign w:val="center"/>
          </w:tcPr>
          <w:p w14:paraId="0D22B9D2" w14:textId="77777777" w:rsidR="0002298B" w:rsidRPr="00B0658A" w:rsidDel="00EC4B3C" w:rsidRDefault="0002298B" w:rsidP="000A4114">
            <w:pPr>
              <w:spacing w:after="0" w:line="240" w:lineRule="auto"/>
              <w:rPr>
                <w:rFonts w:ascii="Times New Roman" w:hAnsi="Times New Roman"/>
                <w:b/>
                <w:sz w:val="20"/>
                <w:szCs w:val="20"/>
              </w:rPr>
            </w:pPr>
            <w:r w:rsidRPr="00B0658A">
              <w:rPr>
                <w:rFonts w:ascii="Times New Roman" w:hAnsi="Times New Roman"/>
                <w:sz w:val="18"/>
                <w:szCs w:val="18"/>
              </w:rPr>
              <w:t>4.3</w:t>
            </w:r>
          </w:p>
        </w:tc>
        <w:tc>
          <w:tcPr>
            <w:tcW w:w="3432" w:type="dxa"/>
            <w:shd w:val="clear" w:color="auto" w:fill="auto"/>
            <w:vAlign w:val="center"/>
          </w:tcPr>
          <w:p w14:paraId="083F6E55" w14:textId="77777777" w:rsidR="0002298B" w:rsidRPr="00B0658A" w:rsidRDefault="0002298B" w:rsidP="000A4114">
            <w:pPr>
              <w:spacing w:after="0" w:line="240" w:lineRule="auto"/>
              <w:rPr>
                <w:rFonts w:ascii="Times New Roman" w:hAnsi="Times New Roman"/>
                <w:b/>
                <w:sz w:val="20"/>
                <w:szCs w:val="20"/>
              </w:rPr>
            </w:pPr>
            <w:r w:rsidRPr="00B0658A">
              <w:rPr>
                <w:rFonts w:ascii="Times New Roman" w:hAnsi="Times New Roman"/>
                <w:sz w:val="18"/>
                <w:szCs w:val="18"/>
              </w:rPr>
              <w:t>Средства разработки программного обеспечения/ Библиотеки подпрограмм (SDK)</w:t>
            </w:r>
          </w:p>
        </w:tc>
        <w:tc>
          <w:tcPr>
            <w:tcW w:w="1256" w:type="dxa"/>
          </w:tcPr>
          <w:p w14:paraId="04785979"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180D18FA"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4983F421"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66397080" w14:textId="77777777" w:rsidR="0002298B" w:rsidRPr="00B0658A" w:rsidRDefault="0002298B" w:rsidP="000A4114">
            <w:pPr>
              <w:spacing w:after="0" w:line="240" w:lineRule="auto"/>
              <w:jc w:val="both"/>
              <w:rPr>
                <w:rFonts w:ascii="Times New Roman" w:hAnsi="Times New Roman"/>
                <w:i/>
                <w:iCs/>
                <w:sz w:val="20"/>
                <w:szCs w:val="20"/>
              </w:rPr>
            </w:pPr>
          </w:p>
        </w:tc>
      </w:tr>
      <w:tr w:rsidR="00F52FED" w:rsidRPr="00B0658A" w14:paraId="206A3482" w14:textId="77777777" w:rsidTr="004F1366">
        <w:trPr>
          <w:trHeight w:val="170"/>
        </w:trPr>
        <w:tc>
          <w:tcPr>
            <w:tcW w:w="0" w:type="auto"/>
            <w:shd w:val="clear" w:color="auto" w:fill="auto"/>
            <w:vAlign w:val="center"/>
          </w:tcPr>
          <w:p w14:paraId="74229757" w14:textId="77777777" w:rsidR="0002298B" w:rsidRPr="00B0658A" w:rsidDel="00EC4B3C" w:rsidRDefault="0002298B" w:rsidP="000A4114">
            <w:pPr>
              <w:spacing w:after="0" w:line="240" w:lineRule="auto"/>
              <w:rPr>
                <w:rFonts w:ascii="Times New Roman" w:hAnsi="Times New Roman"/>
                <w:b/>
                <w:sz w:val="20"/>
                <w:szCs w:val="20"/>
              </w:rPr>
            </w:pPr>
            <w:r w:rsidRPr="00B0658A">
              <w:rPr>
                <w:rFonts w:ascii="Times New Roman" w:hAnsi="Times New Roman"/>
                <w:sz w:val="18"/>
                <w:szCs w:val="18"/>
              </w:rPr>
              <w:t>4.4</w:t>
            </w:r>
          </w:p>
        </w:tc>
        <w:tc>
          <w:tcPr>
            <w:tcW w:w="3432" w:type="dxa"/>
            <w:shd w:val="clear" w:color="auto" w:fill="auto"/>
            <w:vAlign w:val="center"/>
          </w:tcPr>
          <w:p w14:paraId="6E14DC90" w14:textId="77777777" w:rsidR="0002298B" w:rsidRPr="00B0658A" w:rsidRDefault="0002298B" w:rsidP="000A4114">
            <w:pPr>
              <w:spacing w:after="0" w:line="240" w:lineRule="auto"/>
              <w:rPr>
                <w:rFonts w:ascii="Times New Roman" w:hAnsi="Times New Roman"/>
                <w:b/>
                <w:sz w:val="20"/>
                <w:szCs w:val="20"/>
              </w:rPr>
            </w:pPr>
            <w:r w:rsidRPr="00B0658A">
              <w:rPr>
                <w:rFonts w:ascii="Times New Roman" w:hAnsi="Times New Roman"/>
                <w:sz w:val="18"/>
                <w:szCs w:val="18"/>
              </w:rPr>
              <w:t>Средства разработки программного обеспечения/ Среды разработки, тестирования и отладки</w:t>
            </w:r>
          </w:p>
        </w:tc>
        <w:tc>
          <w:tcPr>
            <w:tcW w:w="1256" w:type="dxa"/>
          </w:tcPr>
          <w:p w14:paraId="315E792C"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105B6661"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1D733F1A"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69489432" w14:textId="77777777" w:rsidR="0002298B" w:rsidRPr="00B0658A" w:rsidRDefault="0002298B" w:rsidP="000A4114">
            <w:pPr>
              <w:spacing w:after="0" w:line="240" w:lineRule="auto"/>
              <w:jc w:val="both"/>
              <w:rPr>
                <w:rFonts w:ascii="Times New Roman" w:hAnsi="Times New Roman"/>
                <w:i/>
                <w:iCs/>
                <w:sz w:val="20"/>
                <w:szCs w:val="20"/>
              </w:rPr>
            </w:pPr>
          </w:p>
        </w:tc>
      </w:tr>
      <w:tr w:rsidR="00F52FED" w:rsidRPr="00B0658A" w14:paraId="4BCEAA58" w14:textId="77777777" w:rsidTr="004F1366">
        <w:trPr>
          <w:trHeight w:val="170"/>
        </w:trPr>
        <w:tc>
          <w:tcPr>
            <w:tcW w:w="0" w:type="auto"/>
            <w:shd w:val="clear" w:color="auto" w:fill="auto"/>
            <w:vAlign w:val="center"/>
          </w:tcPr>
          <w:p w14:paraId="256D19BF" w14:textId="77777777" w:rsidR="0002298B" w:rsidRPr="00B0658A" w:rsidDel="00EC4B3C" w:rsidRDefault="0002298B" w:rsidP="000A4114">
            <w:pPr>
              <w:spacing w:after="0" w:line="240" w:lineRule="auto"/>
              <w:rPr>
                <w:rFonts w:ascii="Times New Roman" w:hAnsi="Times New Roman"/>
                <w:b/>
                <w:sz w:val="20"/>
                <w:szCs w:val="20"/>
              </w:rPr>
            </w:pPr>
            <w:r w:rsidRPr="00B0658A">
              <w:rPr>
                <w:rFonts w:ascii="Times New Roman" w:hAnsi="Times New Roman"/>
                <w:sz w:val="18"/>
                <w:szCs w:val="18"/>
              </w:rPr>
              <w:t>4.5</w:t>
            </w:r>
          </w:p>
        </w:tc>
        <w:tc>
          <w:tcPr>
            <w:tcW w:w="3432" w:type="dxa"/>
            <w:shd w:val="clear" w:color="auto" w:fill="auto"/>
            <w:vAlign w:val="center"/>
          </w:tcPr>
          <w:p w14:paraId="658188E7" w14:textId="77777777" w:rsidR="0002298B" w:rsidRPr="00B0658A" w:rsidRDefault="0002298B" w:rsidP="000A4114">
            <w:pPr>
              <w:spacing w:after="0" w:line="240" w:lineRule="auto"/>
              <w:rPr>
                <w:rFonts w:ascii="Times New Roman" w:hAnsi="Times New Roman"/>
                <w:b/>
                <w:sz w:val="20"/>
                <w:szCs w:val="20"/>
              </w:rPr>
            </w:pPr>
            <w:r w:rsidRPr="00B0658A">
              <w:rPr>
                <w:rFonts w:ascii="Times New Roman" w:hAnsi="Times New Roman"/>
                <w:sz w:val="18"/>
                <w:szCs w:val="18"/>
              </w:rPr>
              <w:t>Средства разработки программного обеспечения/ Средства анализа исходного кода на закладки и уязвимости</w:t>
            </w:r>
          </w:p>
        </w:tc>
        <w:tc>
          <w:tcPr>
            <w:tcW w:w="1256" w:type="dxa"/>
          </w:tcPr>
          <w:p w14:paraId="356E01ED"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584CAC2D"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10761457"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1CF706DA" w14:textId="77777777" w:rsidR="0002298B" w:rsidRPr="00B0658A" w:rsidRDefault="0002298B" w:rsidP="000A4114">
            <w:pPr>
              <w:spacing w:after="0" w:line="240" w:lineRule="auto"/>
              <w:jc w:val="both"/>
              <w:rPr>
                <w:rFonts w:ascii="Times New Roman" w:hAnsi="Times New Roman"/>
                <w:i/>
                <w:iCs/>
                <w:sz w:val="20"/>
                <w:szCs w:val="20"/>
              </w:rPr>
            </w:pPr>
          </w:p>
        </w:tc>
      </w:tr>
      <w:tr w:rsidR="00F52FED" w:rsidRPr="00B0658A" w14:paraId="4D9008CF" w14:textId="77777777" w:rsidTr="004F1366">
        <w:trPr>
          <w:trHeight w:val="170"/>
        </w:trPr>
        <w:tc>
          <w:tcPr>
            <w:tcW w:w="0" w:type="auto"/>
            <w:shd w:val="clear" w:color="auto" w:fill="auto"/>
            <w:vAlign w:val="center"/>
          </w:tcPr>
          <w:p w14:paraId="5269C0F1" w14:textId="77777777" w:rsidR="0002298B" w:rsidRPr="00B0658A" w:rsidDel="00EC4B3C" w:rsidRDefault="0002298B" w:rsidP="000A4114">
            <w:pPr>
              <w:spacing w:after="0" w:line="240" w:lineRule="auto"/>
              <w:rPr>
                <w:rFonts w:ascii="Times New Roman" w:hAnsi="Times New Roman"/>
                <w:b/>
                <w:sz w:val="20"/>
                <w:szCs w:val="20"/>
              </w:rPr>
            </w:pPr>
            <w:r w:rsidRPr="00B0658A">
              <w:rPr>
                <w:rFonts w:ascii="Times New Roman" w:hAnsi="Times New Roman"/>
                <w:sz w:val="18"/>
                <w:szCs w:val="18"/>
              </w:rPr>
              <w:t>4.6</w:t>
            </w:r>
          </w:p>
        </w:tc>
        <w:tc>
          <w:tcPr>
            <w:tcW w:w="3432" w:type="dxa"/>
            <w:shd w:val="clear" w:color="auto" w:fill="auto"/>
            <w:vAlign w:val="center"/>
          </w:tcPr>
          <w:p w14:paraId="3E1BC8A0" w14:textId="77777777" w:rsidR="0002298B" w:rsidRPr="00B0658A" w:rsidRDefault="0002298B" w:rsidP="000A4114">
            <w:pPr>
              <w:spacing w:after="0" w:line="240" w:lineRule="auto"/>
              <w:rPr>
                <w:rFonts w:ascii="Times New Roman" w:hAnsi="Times New Roman"/>
                <w:b/>
                <w:sz w:val="20"/>
                <w:szCs w:val="20"/>
              </w:rPr>
            </w:pPr>
            <w:r w:rsidRPr="00B0658A">
              <w:rPr>
                <w:rFonts w:ascii="Times New Roman" w:hAnsi="Times New Roman"/>
                <w:sz w:val="18"/>
                <w:szCs w:val="18"/>
              </w:rPr>
              <w:t>Средства разработки программного обеспечения/ Средства разработки программного обеспечения на основе нейротехнологий и искусственного интеллекта</w:t>
            </w:r>
          </w:p>
        </w:tc>
        <w:tc>
          <w:tcPr>
            <w:tcW w:w="1256" w:type="dxa"/>
          </w:tcPr>
          <w:p w14:paraId="4AEC6B41"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6ADB813D"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01F9FF32"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6EBFC25B" w14:textId="77777777" w:rsidR="0002298B" w:rsidRPr="00B0658A" w:rsidRDefault="0002298B" w:rsidP="000A4114">
            <w:pPr>
              <w:spacing w:after="0" w:line="240" w:lineRule="auto"/>
              <w:jc w:val="both"/>
              <w:rPr>
                <w:rFonts w:ascii="Times New Roman" w:hAnsi="Times New Roman"/>
                <w:i/>
                <w:iCs/>
                <w:sz w:val="20"/>
                <w:szCs w:val="20"/>
              </w:rPr>
            </w:pPr>
          </w:p>
        </w:tc>
      </w:tr>
      <w:tr w:rsidR="00F52FED" w:rsidRPr="00B0658A" w14:paraId="158A0878" w14:textId="77777777" w:rsidTr="004F1366">
        <w:trPr>
          <w:trHeight w:val="170"/>
        </w:trPr>
        <w:tc>
          <w:tcPr>
            <w:tcW w:w="0" w:type="auto"/>
            <w:shd w:val="clear" w:color="auto" w:fill="auto"/>
            <w:vAlign w:val="center"/>
          </w:tcPr>
          <w:p w14:paraId="29AEBF66" w14:textId="77777777" w:rsidR="0002298B" w:rsidRPr="00B0658A" w:rsidDel="00EC4B3C" w:rsidRDefault="0002298B" w:rsidP="000A4114">
            <w:pPr>
              <w:spacing w:after="0" w:line="240" w:lineRule="auto"/>
              <w:rPr>
                <w:rFonts w:ascii="Times New Roman" w:hAnsi="Times New Roman"/>
                <w:b/>
                <w:sz w:val="20"/>
                <w:szCs w:val="20"/>
              </w:rPr>
            </w:pPr>
            <w:r w:rsidRPr="00B0658A">
              <w:rPr>
                <w:rFonts w:ascii="Times New Roman" w:hAnsi="Times New Roman"/>
                <w:sz w:val="18"/>
                <w:szCs w:val="18"/>
              </w:rPr>
              <w:t>4.7.</w:t>
            </w:r>
          </w:p>
        </w:tc>
        <w:tc>
          <w:tcPr>
            <w:tcW w:w="3432" w:type="dxa"/>
            <w:shd w:val="clear" w:color="auto" w:fill="auto"/>
            <w:vAlign w:val="center"/>
          </w:tcPr>
          <w:p w14:paraId="2FF1697F" w14:textId="77777777" w:rsidR="0002298B" w:rsidRPr="00B0658A" w:rsidRDefault="0002298B" w:rsidP="000A4114">
            <w:pPr>
              <w:spacing w:after="0" w:line="240" w:lineRule="auto"/>
              <w:rPr>
                <w:rFonts w:ascii="Times New Roman" w:hAnsi="Times New Roman"/>
                <w:b/>
                <w:sz w:val="20"/>
                <w:szCs w:val="20"/>
              </w:rPr>
            </w:pPr>
            <w:r w:rsidRPr="00B0658A">
              <w:rPr>
                <w:rFonts w:ascii="Times New Roman" w:hAnsi="Times New Roman"/>
                <w:sz w:val="18"/>
                <w:szCs w:val="18"/>
              </w:rPr>
              <w:t>Средства разработки программного обеспечения/ Средства разработки программного обеспечения на основе квантовых технологий</w:t>
            </w:r>
          </w:p>
        </w:tc>
        <w:tc>
          <w:tcPr>
            <w:tcW w:w="1256" w:type="dxa"/>
          </w:tcPr>
          <w:p w14:paraId="5B6904E0"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66ECFA1C"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2C44043A"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4862E8CE" w14:textId="77777777" w:rsidR="0002298B" w:rsidRPr="00B0658A" w:rsidRDefault="0002298B" w:rsidP="000A4114">
            <w:pPr>
              <w:spacing w:after="0" w:line="240" w:lineRule="auto"/>
              <w:jc w:val="both"/>
              <w:rPr>
                <w:rFonts w:ascii="Times New Roman" w:hAnsi="Times New Roman"/>
                <w:i/>
                <w:iCs/>
                <w:sz w:val="20"/>
                <w:szCs w:val="20"/>
              </w:rPr>
            </w:pPr>
          </w:p>
        </w:tc>
      </w:tr>
      <w:tr w:rsidR="00F52FED" w:rsidRPr="00B0658A" w14:paraId="44F6B5F8" w14:textId="77777777" w:rsidTr="004F1366">
        <w:trPr>
          <w:trHeight w:val="170"/>
        </w:trPr>
        <w:tc>
          <w:tcPr>
            <w:tcW w:w="0" w:type="auto"/>
            <w:shd w:val="clear" w:color="auto" w:fill="auto"/>
            <w:vAlign w:val="center"/>
          </w:tcPr>
          <w:p w14:paraId="6B73B111" w14:textId="77777777" w:rsidR="0002298B" w:rsidRPr="00B0658A" w:rsidDel="00EC4B3C" w:rsidRDefault="0002298B" w:rsidP="000A4114">
            <w:pPr>
              <w:spacing w:after="0" w:line="240" w:lineRule="auto"/>
              <w:rPr>
                <w:rFonts w:ascii="Times New Roman" w:hAnsi="Times New Roman"/>
                <w:b/>
                <w:sz w:val="20"/>
                <w:szCs w:val="20"/>
              </w:rPr>
            </w:pPr>
            <w:r w:rsidRPr="00B0658A">
              <w:rPr>
                <w:rFonts w:ascii="Times New Roman" w:hAnsi="Times New Roman"/>
                <w:sz w:val="18"/>
                <w:szCs w:val="18"/>
              </w:rPr>
              <w:t>4.8.</w:t>
            </w:r>
          </w:p>
        </w:tc>
        <w:tc>
          <w:tcPr>
            <w:tcW w:w="3432" w:type="dxa"/>
            <w:shd w:val="clear" w:color="auto" w:fill="auto"/>
            <w:vAlign w:val="center"/>
          </w:tcPr>
          <w:p w14:paraId="505CD256" w14:textId="77777777" w:rsidR="0002298B" w:rsidRPr="00B0658A" w:rsidRDefault="0002298B" w:rsidP="000A4114">
            <w:pPr>
              <w:spacing w:after="0" w:line="240" w:lineRule="auto"/>
              <w:rPr>
                <w:rFonts w:ascii="Times New Roman" w:hAnsi="Times New Roman"/>
                <w:b/>
                <w:sz w:val="20"/>
                <w:szCs w:val="20"/>
              </w:rPr>
            </w:pPr>
            <w:r w:rsidRPr="00B0658A">
              <w:rPr>
                <w:rFonts w:ascii="Times New Roman" w:hAnsi="Times New Roman"/>
                <w:sz w:val="18"/>
                <w:szCs w:val="18"/>
              </w:rPr>
              <w:t>Средства разработки программного обеспечения/ Интегрированные платформы для создания приложений</w:t>
            </w:r>
          </w:p>
        </w:tc>
        <w:tc>
          <w:tcPr>
            <w:tcW w:w="1256" w:type="dxa"/>
          </w:tcPr>
          <w:p w14:paraId="13FDFC25"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11BED52F"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61053953"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20750969" w14:textId="77777777" w:rsidR="0002298B" w:rsidRPr="00B0658A" w:rsidRDefault="0002298B" w:rsidP="000A4114">
            <w:pPr>
              <w:spacing w:after="0" w:line="240" w:lineRule="auto"/>
              <w:jc w:val="both"/>
              <w:rPr>
                <w:rFonts w:ascii="Times New Roman" w:hAnsi="Times New Roman"/>
                <w:i/>
                <w:iCs/>
                <w:sz w:val="20"/>
                <w:szCs w:val="20"/>
              </w:rPr>
            </w:pPr>
          </w:p>
        </w:tc>
      </w:tr>
      <w:tr w:rsidR="00F52FED" w:rsidRPr="00B0658A" w14:paraId="1FCD81D4" w14:textId="77777777" w:rsidTr="004F1366">
        <w:trPr>
          <w:trHeight w:val="170"/>
        </w:trPr>
        <w:tc>
          <w:tcPr>
            <w:tcW w:w="0" w:type="auto"/>
            <w:shd w:val="clear" w:color="auto" w:fill="auto"/>
            <w:vAlign w:val="center"/>
          </w:tcPr>
          <w:p w14:paraId="47AFC71B" w14:textId="77777777" w:rsidR="0002298B" w:rsidRPr="00B0658A" w:rsidDel="00EC4B3C" w:rsidRDefault="0002298B" w:rsidP="000A4114">
            <w:pPr>
              <w:spacing w:after="0" w:line="240" w:lineRule="auto"/>
              <w:rPr>
                <w:rFonts w:ascii="Times New Roman" w:hAnsi="Times New Roman"/>
                <w:b/>
                <w:sz w:val="20"/>
                <w:szCs w:val="20"/>
              </w:rPr>
            </w:pPr>
            <w:r w:rsidRPr="00B0658A">
              <w:rPr>
                <w:rFonts w:ascii="Times New Roman" w:hAnsi="Times New Roman"/>
                <w:sz w:val="18"/>
                <w:szCs w:val="18"/>
              </w:rPr>
              <w:t>4.9.</w:t>
            </w:r>
          </w:p>
        </w:tc>
        <w:tc>
          <w:tcPr>
            <w:tcW w:w="3432" w:type="dxa"/>
            <w:shd w:val="clear" w:color="auto" w:fill="auto"/>
            <w:vAlign w:val="center"/>
          </w:tcPr>
          <w:p w14:paraId="3D7632BF" w14:textId="77777777" w:rsidR="0002298B" w:rsidRPr="00B0658A" w:rsidRDefault="0002298B" w:rsidP="000A4114">
            <w:pPr>
              <w:spacing w:after="0" w:line="240" w:lineRule="auto"/>
              <w:rPr>
                <w:rFonts w:ascii="Times New Roman" w:hAnsi="Times New Roman"/>
                <w:b/>
                <w:sz w:val="20"/>
                <w:szCs w:val="20"/>
              </w:rPr>
            </w:pPr>
            <w:r w:rsidRPr="00B0658A">
              <w:rPr>
                <w:rFonts w:ascii="Times New Roman" w:hAnsi="Times New Roman"/>
                <w:sz w:val="18"/>
                <w:szCs w:val="18"/>
              </w:rPr>
              <w:t xml:space="preserve">Средства разработки программного обеспечения/ Системы предотвращения анализа </w:t>
            </w:r>
            <w:r w:rsidRPr="00B0658A">
              <w:rPr>
                <w:rFonts w:ascii="Times New Roman" w:hAnsi="Times New Roman"/>
                <w:sz w:val="18"/>
                <w:szCs w:val="18"/>
              </w:rPr>
              <w:br/>
              <w:t>и восстановления исполняемого кода программ</w:t>
            </w:r>
          </w:p>
        </w:tc>
        <w:tc>
          <w:tcPr>
            <w:tcW w:w="1256" w:type="dxa"/>
          </w:tcPr>
          <w:p w14:paraId="7A859E5A"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7318E225"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1CA8A499"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0CBF3E81" w14:textId="77777777" w:rsidR="0002298B" w:rsidRPr="00B0658A" w:rsidRDefault="0002298B" w:rsidP="000A4114">
            <w:pPr>
              <w:spacing w:after="0" w:line="240" w:lineRule="auto"/>
              <w:jc w:val="both"/>
              <w:rPr>
                <w:rFonts w:ascii="Times New Roman" w:hAnsi="Times New Roman"/>
                <w:i/>
                <w:iCs/>
                <w:sz w:val="20"/>
                <w:szCs w:val="20"/>
              </w:rPr>
            </w:pPr>
          </w:p>
        </w:tc>
      </w:tr>
      <w:tr w:rsidR="00F52FED" w:rsidRPr="00B0658A" w14:paraId="07FFE563" w14:textId="77777777" w:rsidTr="004F1366">
        <w:trPr>
          <w:trHeight w:val="170"/>
        </w:trPr>
        <w:tc>
          <w:tcPr>
            <w:tcW w:w="0" w:type="auto"/>
            <w:shd w:val="clear" w:color="auto" w:fill="auto"/>
          </w:tcPr>
          <w:p w14:paraId="29FA66E0" w14:textId="77777777" w:rsidR="0002298B" w:rsidRPr="00B0658A" w:rsidDel="00EC4B3C" w:rsidRDefault="0002298B" w:rsidP="000A4114">
            <w:pPr>
              <w:spacing w:after="0" w:line="240" w:lineRule="auto"/>
              <w:rPr>
                <w:rFonts w:ascii="Times New Roman" w:hAnsi="Times New Roman"/>
                <w:b/>
                <w:sz w:val="20"/>
                <w:szCs w:val="20"/>
              </w:rPr>
            </w:pPr>
            <w:r w:rsidRPr="00B0658A">
              <w:rPr>
                <w:rFonts w:ascii="Times New Roman" w:hAnsi="Times New Roman"/>
                <w:sz w:val="18"/>
                <w:szCs w:val="18"/>
              </w:rPr>
              <w:t>5.1</w:t>
            </w:r>
          </w:p>
        </w:tc>
        <w:tc>
          <w:tcPr>
            <w:tcW w:w="3432" w:type="dxa"/>
            <w:shd w:val="clear" w:color="auto" w:fill="auto"/>
            <w:vAlign w:val="center"/>
          </w:tcPr>
          <w:p w14:paraId="06497672" w14:textId="77777777" w:rsidR="0002298B" w:rsidRPr="00B0658A" w:rsidRDefault="0002298B" w:rsidP="000A4114">
            <w:pPr>
              <w:spacing w:after="0" w:line="240" w:lineRule="auto"/>
              <w:rPr>
                <w:rFonts w:ascii="Times New Roman" w:hAnsi="Times New Roman"/>
                <w:b/>
                <w:sz w:val="20"/>
                <w:szCs w:val="20"/>
              </w:rPr>
            </w:pPr>
            <w:r w:rsidRPr="00B0658A">
              <w:rPr>
                <w:rFonts w:ascii="Times New Roman" w:hAnsi="Times New Roman"/>
                <w:sz w:val="18"/>
                <w:szCs w:val="18"/>
              </w:rPr>
              <w:t>Прикладное программное обеспечение/ Мультимедийное программное обеспечение</w:t>
            </w:r>
          </w:p>
        </w:tc>
        <w:tc>
          <w:tcPr>
            <w:tcW w:w="1256" w:type="dxa"/>
          </w:tcPr>
          <w:p w14:paraId="4B51A970"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16DE061B"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5E9CFA2C"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473644F2" w14:textId="77777777" w:rsidR="0002298B" w:rsidRPr="00B0658A" w:rsidRDefault="0002298B" w:rsidP="000A4114">
            <w:pPr>
              <w:spacing w:after="0" w:line="240" w:lineRule="auto"/>
              <w:jc w:val="both"/>
              <w:rPr>
                <w:rFonts w:ascii="Times New Roman" w:hAnsi="Times New Roman"/>
                <w:i/>
                <w:iCs/>
                <w:sz w:val="20"/>
                <w:szCs w:val="20"/>
              </w:rPr>
            </w:pPr>
          </w:p>
        </w:tc>
      </w:tr>
      <w:tr w:rsidR="00F52FED" w:rsidRPr="00B0658A" w14:paraId="15D2C276" w14:textId="77777777" w:rsidTr="004F1366">
        <w:trPr>
          <w:trHeight w:val="170"/>
        </w:trPr>
        <w:tc>
          <w:tcPr>
            <w:tcW w:w="0" w:type="auto"/>
            <w:shd w:val="clear" w:color="auto" w:fill="auto"/>
          </w:tcPr>
          <w:p w14:paraId="7F0FC8E6" w14:textId="77777777" w:rsidR="0002298B" w:rsidRPr="00B0658A" w:rsidDel="00EC4B3C" w:rsidRDefault="0002298B" w:rsidP="000A4114">
            <w:pPr>
              <w:spacing w:after="0" w:line="240" w:lineRule="auto"/>
              <w:rPr>
                <w:rFonts w:ascii="Times New Roman" w:hAnsi="Times New Roman"/>
                <w:b/>
                <w:sz w:val="20"/>
                <w:szCs w:val="20"/>
              </w:rPr>
            </w:pPr>
            <w:r w:rsidRPr="00B0658A">
              <w:rPr>
                <w:rFonts w:ascii="Times New Roman" w:hAnsi="Times New Roman"/>
                <w:sz w:val="18"/>
                <w:szCs w:val="18"/>
              </w:rPr>
              <w:t>5.2</w:t>
            </w:r>
          </w:p>
        </w:tc>
        <w:tc>
          <w:tcPr>
            <w:tcW w:w="3432" w:type="dxa"/>
            <w:shd w:val="clear" w:color="auto" w:fill="auto"/>
            <w:vAlign w:val="center"/>
          </w:tcPr>
          <w:p w14:paraId="1B9B19C4" w14:textId="77777777" w:rsidR="0002298B" w:rsidRPr="00B0658A" w:rsidRDefault="0002298B" w:rsidP="000A4114">
            <w:pPr>
              <w:spacing w:after="0" w:line="240" w:lineRule="auto"/>
              <w:rPr>
                <w:rFonts w:ascii="Times New Roman" w:hAnsi="Times New Roman"/>
                <w:b/>
                <w:sz w:val="20"/>
                <w:szCs w:val="20"/>
              </w:rPr>
            </w:pPr>
            <w:r w:rsidRPr="00B0658A">
              <w:rPr>
                <w:rFonts w:ascii="Times New Roman" w:hAnsi="Times New Roman"/>
                <w:sz w:val="18"/>
                <w:szCs w:val="18"/>
              </w:rPr>
              <w:t>Прикладное программное обеспечение/ Дополнительные программные модули (плагины)</w:t>
            </w:r>
          </w:p>
        </w:tc>
        <w:tc>
          <w:tcPr>
            <w:tcW w:w="1256" w:type="dxa"/>
          </w:tcPr>
          <w:p w14:paraId="28383192"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0ED27ED1"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3C57C40F"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0E094CC4" w14:textId="77777777" w:rsidR="0002298B" w:rsidRPr="00B0658A" w:rsidRDefault="0002298B" w:rsidP="000A4114">
            <w:pPr>
              <w:spacing w:after="0" w:line="240" w:lineRule="auto"/>
              <w:jc w:val="both"/>
              <w:rPr>
                <w:rFonts w:ascii="Times New Roman" w:hAnsi="Times New Roman"/>
                <w:i/>
                <w:iCs/>
                <w:sz w:val="20"/>
                <w:szCs w:val="20"/>
              </w:rPr>
            </w:pPr>
          </w:p>
        </w:tc>
      </w:tr>
      <w:tr w:rsidR="00F52FED" w:rsidRPr="00B0658A" w14:paraId="454A8761" w14:textId="77777777" w:rsidTr="004F1366">
        <w:trPr>
          <w:trHeight w:val="170"/>
        </w:trPr>
        <w:tc>
          <w:tcPr>
            <w:tcW w:w="0" w:type="auto"/>
            <w:shd w:val="clear" w:color="auto" w:fill="auto"/>
          </w:tcPr>
          <w:p w14:paraId="517AF8BD" w14:textId="77777777" w:rsidR="0002298B" w:rsidRPr="00B0658A" w:rsidDel="00EC4B3C" w:rsidRDefault="0002298B" w:rsidP="000A4114">
            <w:pPr>
              <w:spacing w:after="0" w:line="240" w:lineRule="auto"/>
              <w:rPr>
                <w:rFonts w:ascii="Times New Roman" w:hAnsi="Times New Roman"/>
                <w:b/>
                <w:sz w:val="20"/>
                <w:szCs w:val="20"/>
              </w:rPr>
            </w:pPr>
            <w:r w:rsidRPr="00B0658A">
              <w:rPr>
                <w:rFonts w:ascii="Times New Roman" w:hAnsi="Times New Roman"/>
                <w:sz w:val="18"/>
                <w:szCs w:val="18"/>
              </w:rPr>
              <w:t>5.3</w:t>
            </w:r>
          </w:p>
        </w:tc>
        <w:tc>
          <w:tcPr>
            <w:tcW w:w="3432" w:type="dxa"/>
            <w:shd w:val="clear" w:color="auto" w:fill="auto"/>
            <w:vAlign w:val="center"/>
          </w:tcPr>
          <w:p w14:paraId="75A55CA0" w14:textId="77777777" w:rsidR="0002298B" w:rsidRPr="00B0658A" w:rsidRDefault="0002298B" w:rsidP="000A4114">
            <w:pPr>
              <w:spacing w:after="0" w:line="240" w:lineRule="auto"/>
              <w:rPr>
                <w:rFonts w:ascii="Times New Roman" w:hAnsi="Times New Roman"/>
                <w:b/>
                <w:sz w:val="20"/>
                <w:szCs w:val="20"/>
              </w:rPr>
            </w:pPr>
            <w:r w:rsidRPr="00B0658A">
              <w:rPr>
                <w:rFonts w:ascii="Times New Roman" w:hAnsi="Times New Roman"/>
                <w:sz w:val="18"/>
                <w:szCs w:val="18"/>
              </w:rPr>
              <w:t>Прикладное программное обеспечение/ Игры и развлечения</w:t>
            </w:r>
          </w:p>
        </w:tc>
        <w:tc>
          <w:tcPr>
            <w:tcW w:w="1256" w:type="dxa"/>
          </w:tcPr>
          <w:p w14:paraId="63DF4A87"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083B062C"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5B687364"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511FA004" w14:textId="77777777" w:rsidR="0002298B" w:rsidRPr="00B0658A" w:rsidRDefault="0002298B" w:rsidP="000A4114">
            <w:pPr>
              <w:spacing w:after="0" w:line="240" w:lineRule="auto"/>
              <w:jc w:val="both"/>
              <w:rPr>
                <w:rFonts w:ascii="Times New Roman" w:hAnsi="Times New Roman"/>
                <w:i/>
                <w:iCs/>
                <w:sz w:val="20"/>
                <w:szCs w:val="20"/>
              </w:rPr>
            </w:pPr>
          </w:p>
        </w:tc>
      </w:tr>
      <w:tr w:rsidR="00F52FED" w:rsidRPr="00B0658A" w14:paraId="164600F0" w14:textId="77777777" w:rsidTr="004F1366">
        <w:trPr>
          <w:trHeight w:val="170"/>
        </w:trPr>
        <w:tc>
          <w:tcPr>
            <w:tcW w:w="0" w:type="auto"/>
            <w:shd w:val="clear" w:color="auto" w:fill="auto"/>
          </w:tcPr>
          <w:p w14:paraId="57386A7B" w14:textId="77777777" w:rsidR="0002298B" w:rsidRPr="00B0658A" w:rsidDel="00EC4B3C" w:rsidRDefault="0002298B" w:rsidP="000A4114">
            <w:pPr>
              <w:spacing w:after="0" w:line="240" w:lineRule="auto"/>
              <w:rPr>
                <w:rFonts w:ascii="Times New Roman" w:hAnsi="Times New Roman"/>
                <w:b/>
                <w:sz w:val="20"/>
                <w:szCs w:val="20"/>
              </w:rPr>
            </w:pPr>
            <w:r w:rsidRPr="00B0658A">
              <w:rPr>
                <w:rFonts w:ascii="Times New Roman" w:hAnsi="Times New Roman"/>
                <w:sz w:val="18"/>
                <w:szCs w:val="18"/>
              </w:rPr>
              <w:t>5.4</w:t>
            </w:r>
          </w:p>
        </w:tc>
        <w:tc>
          <w:tcPr>
            <w:tcW w:w="3432" w:type="dxa"/>
            <w:shd w:val="clear" w:color="auto" w:fill="auto"/>
            <w:vAlign w:val="center"/>
          </w:tcPr>
          <w:p w14:paraId="2A59CD26" w14:textId="77777777" w:rsidR="0002298B" w:rsidRPr="00B0658A" w:rsidRDefault="0002298B" w:rsidP="000A4114">
            <w:pPr>
              <w:spacing w:after="0" w:line="240" w:lineRule="auto"/>
              <w:rPr>
                <w:rFonts w:ascii="Times New Roman" w:hAnsi="Times New Roman"/>
                <w:b/>
                <w:sz w:val="20"/>
                <w:szCs w:val="20"/>
              </w:rPr>
            </w:pPr>
            <w:r w:rsidRPr="00B0658A">
              <w:rPr>
                <w:rFonts w:ascii="Times New Roman" w:hAnsi="Times New Roman"/>
                <w:sz w:val="18"/>
                <w:szCs w:val="18"/>
              </w:rPr>
              <w:t>Прикладное программное обеспечение/ Поисковые средства</w:t>
            </w:r>
          </w:p>
        </w:tc>
        <w:tc>
          <w:tcPr>
            <w:tcW w:w="1256" w:type="dxa"/>
          </w:tcPr>
          <w:p w14:paraId="521FE3D3"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2C73F842"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7807D750"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5FDC0202" w14:textId="77777777" w:rsidR="0002298B" w:rsidRPr="00B0658A" w:rsidRDefault="0002298B" w:rsidP="000A4114">
            <w:pPr>
              <w:spacing w:after="0" w:line="240" w:lineRule="auto"/>
              <w:jc w:val="both"/>
              <w:rPr>
                <w:rFonts w:ascii="Times New Roman" w:hAnsi="Times New Roman"/>
                <w:i/>
                <w:iCs/>
                <w:sz w:val="20"/>
                <w:szCs w:val="20"/>
              </w:rPr>
            </w:pPr>
          </w:p>
        </w:tc>
      </w:tr>
      <w:tr w:rsidR="00F52FED" w:rsidRPr="00B0658A" w14:paraId="69EC2727" w14:textId="77777777" w:rsidTr="004F1366">
        <w:trPr>
          <w:trHeight w:val="170"/>
        </w:trPr>
        <w:tc>
          <w:tcPr>
            <w:tcW w:w="0" w:type="auto"/>
            <w:shd w:val="clear" w:color="auto" w:fill="auto"/>
          </w:tcPr>
          <w:p w14:paraId="169EB47B" w14:textId="77777777" w:rsidR="0002298B" w:rsidRPr="00B0658A" w:rsidDel="00EC4B3C" w:rsidRDefault="0002298B" w:rsidP="000A4114">
            <w:pPr>
              <w:spacing w:after="0" w:line="240" w:lineRule="auto"/>
              <w:rPr>
                <w:rFonts w:ascii="Times New Roman" w:hAnsi="Times New Roman"/>
                <w:b/>
                <w:sz w:val="20"/>
                <w:szCs w:val="20"/>
              </w:rPr>
            </w:pPr>
            <w:r w:rsidRPr="00B0658A">
              <w:rPr>
                <w:rFonts w:ascii="Times New Roman" w:hAnsi="Times New Roman"/>
                <w:sz w:val="18"/>
                <w:szCs w:val="18"/>
              </w:rPr>
              <w:t>5.5</w:t>
            </w:r>
          </w:p>
        </w:tc>
        <w:tc>
          <w:tcPr>
            <w:tcW w:w="3432" w:type="dxa"/>
            <w:shd w:val="clear" w:color="auto" w:fill="auto"/>
            <w:vAlign w:val="center"/>
          </w:tcPr>
          <w:p w14:paraId="617E9C7C" w14:textId="77777777" w:rsidR="0002298B" w:rsidRPr="00B0658A" w:rsidRDefault="0002298B" w:rsidP="000A4114">
            <w:pPr>
              <w:spacing w:after="0" w:line="240" w:lineRule="auto"/>
              <w:rPr>
                <w:rFonts w:ascii="Times New Roman" w:hAnsi="Times New Roman"/>
                <w:b/>
                <w:sz w:val="20"/>
                <w:szCs w:val="20"/>
              </w:rPr>
            </w:pPr>
            <w:r w:rsidRPr="00B0658A">
              <w:rPr>
                <w:rFonts w:ascii="Times New Roman" w:hAnsi="Times New Roman"/>
                <w:sz w:val="18"/>
                <w:szCs w:val="18"/>
              </w:rPr>
              <w:t>Прикладное программное обеспечение/ Средства управления проектами</w:t>
            </w:r>
          </w:p>
        </w:tc>
        <w:tc>
          <w:tcPr>
            <w:tcW w:w="1256" w:type="dxa"/>
          </w:tcPr>
          <w:p w14:paraId="51463E07"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0EC66B7C"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6D163ED3"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09750923" w14:textId="77777777" w:rsidR="0002298B" w:rsidRPr="00B0658A" w:rsidRDefault="0002298B" w:rsidP="000A4114">
            <w:pPr>
              <w:spacing w:after="0" w:line="240" w:lineRule="auto"/>
              <w:jc w:val="both"/>
              <w:rPr>
                <w:rFonts w:ascii="Times New Roman" w:hAnsi="Times New Roman"/>
                <w:i/>
                <w:iCs/>
                <w:sz w:val="20"/>
                <w:szCs w:val="20"/>
              </w:rPr>
            </w:pPr>
          </w:p>
        </w:tc>
      </w:tr>
      <w:tr w:rsidR="00F52FED" w:rsidRPr="00B0658A" w14:paraId="1004AFC6" w14:textId="77777777" w:rsidTr="004F1366">
        <w:trPr>
          <w:trHeight w:val="170"/>
        </w:trPr>
        <w:tc>
          <w:tcPr>
            <w:tcW w:w="0" w:type="auto"/>
            <w:shd w:val="clear" w:color="auto" w:fill="auto"/>
          </w:tcPr>
          <w:p w14:paraId="23A70027" w14:textId="77777777" w:rsidR="0002298B" w:rsidRPr="00B0658A" w:rsidDel="00EC4B3C" w:rsidRDefault="0002298B" w:rsidP="000A4114">
            <w:pPr>
              <w:spacing w:after="0" w:line="240" w:lineRule="auto"/>
              <w:rPr>
                <w:rFonts w:ascii="Times New Roman" w:hAnsi="Times New Roman"/>
                <w:b/>
                <w:sz w:val="20"/>
                <w:szCs w:val="20"/>
              </w:rPr>
            </w:pPr>
            <w:r w:rsidRPr="00B0658A">
              <w:rPr>
                <w:rFonts w:ascii="Times New Roman" w:hAnsi="Times New Roman"/>
                <w:sz w:val="18"/>
                <w:szCs w:val="18"/>
              </w:rPr>
              <w:t>5.6</w:t>
            </w:r>
          </w:p>
        </w:tc>
        <w:tc>
          <w:tcPr>
            <w:tcW w:w="3432" w:type="dxa"/>
            <w:shd w:val="clear" w:color="auto" w:fill="auto"/>
            <w:vAlign w:val="center"/>
          </w:tcPr>
          <w:p w14:paraId="58BD8ABE" w14:textId="77777777" w:rsidR="0002298B" w:rsidRPr="00B0658A" w:rsidRDefault="0002298B" w:rsidP="000A4114">
            <w:pPr>
              <w:spacing w:after="0" w:line="240" w:lineRule="auto"/>
              <w:rPr>
                <w:rFonts w:ascii="Times New Roman" w:hAnsi="Times New Roman"/>
                <w:b/>
                <w:sz w:val="20"/>
                <w:szCs w:val="20"/>
              </w:rPr>
            </w:pPr>
            <w:r w:rsidRPr="00B0658A">
              <w:rPr>
                <w:rFonts w:ascii="Times New Roman" w:hAnsi="Times New Roman"/>
                <w:sz w:val="18"/>
                <w:szCs w:val="18"/>
              </w:rPr>
              <w:t>Прикладное программное обеспечение/ Геоинформационные и навигационные средства (GIS)</w:t>
            </w:r>
          </w:p>
        </w:tc>
        <w:tc>
          <w:tcPr>
            <w:tcW w:w="1256" w:type="dxa"/>
          </w:tcPr>
          <w:p w14:paraId="7A808C29"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308E0BBD"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54651B77"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45DB7AD9" w14:textId="77777777" w:rsidR="0002298B" w:rsidRPr="00B0658A" w:rsidRDefault="0002298B" w:rsidP="000A4114">
            <w:pPr>
              <w:spacing w:after="0" w:line="240" w:lineRule="auto"/>
              <w:jc w:val="both"/>
              <w:rPr>
                <w:rFonts w:ascii="Times New Roman" w:hAnsi="Times New Roman"/>
                <w:i/>
                <w:iCs/>
                <w:sz w:val="20"/>
                <w:szCs w:val="20"/>
              </w:rPr>
            </w:pPr>
          </w:p>
        </w:tc>
      </w:tr>
      <w:tr w:rsidR="00F52FED" w:rsidRPr="00B0658A" w14:paraId="7A1BA482" w14:textId="77777777" w:rsidTr="004F1366">
        <w:trPr>
          <w:trHeight w:val="170"/>
        </w:trPr>
        <w:tc>
          <w:tcPr>
            <w:tcW w:w="0" w:type="auto"/>
            <w:shd w:val="clear" w:color="auto" w:fill="auto"/>
          </w:tcPr>
          <w:p w14:paraId="1ED809B6" w14:textId="77777777" w:rsidR="0002298B" w:rsidRPr="00B0658A" w:rsidDel="00EC4B3C" w:rsidRDefault="0002298B" w:rsidP="000A4114">
            <w:pPr>
              <w:spacing w:after="0" w:line="240" w:lineRule="auto"/>
              <w:rPr>
                <w:rFonts w:ascii="Times New Roman" w:hAnsi="Times New Roman"/>
                <w:b/>
                <w:sz w:val="20"/>
                <w:szCs w:val="20"/>
              </w:rPr>
            </w:pPr>
            <w:r w:rsidRPr="00B0658A">
              <w:rPr>
                <w:rFonts w:ascii="Times New Roman" w:hAnsi="Times New Roman"/>
                <w:sz w:val="18"/>
                <w:szCs w:val="18"/>
              </w:rPr>
              <w:t>5.7</w:t>
            </w:r>
          </w:p>
        </w:tc>
        <w:tc>
          <w:tcPr>
            <w:tcW w:w="3432" w:type="dxa"/>
            <w:shd w:val="clear" w:color="auto" w:fill="auto"/>
            <w:vAlign w:val="center"/>
          </w:tcPr>
          <w:p w14:paraId="60F9493B" w14:textId="77777777" w:rsidR="0002298B" w:rsidRPr="00B0658A" w:rsidRDefault="0002298B" w:rsidP="000A4114">
            <w:pPr>
              <w:spacing w:after="0" w:line="240" w:lineRule="auto"/>
              <w:rPr>
                <w:rFonts w:ascii="Times New Roman" w:hAnsi="Times New Roman"/>
                <w:b/>
                <w:sz w:val="20"/>
                <w:szCs w:val="20"/>
              </w:rPr>
            </w:pPr>
            <w:r w:rsidRPr="00B0658A">
              <w:rPr>
                <w:rFonts w:ascii="Times New Roman" w:hAnsi="Times New Roman"/>
                <w:sz w:val="18"/>
                <w:szCs w:val="18"/>
              </w:rPr>
              <w:t>Прикладное программное обеспечение/ Специализированное ПО органов исполнительной власти Российской Федерации, государственных корпораций, компаний и юридических лиц с преимущественным участием Российской Федерации для внутреннего использования</w:t>
            </w:r>
          </w:p>
        </w:tc>
        <w:tc>
          <w:tcPr>
            <w:tcW w:w="1256" w:type="dxa"/>
          </w:tcPr>
          <w:p w14:paraId="567B4C86"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5333A6B1"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7F8EB15C"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20370731" w14:textId="77777777" w:rsidR="0002298B" w:rsidRPr="00B0658A" w:rsidRDefault="0002298B" w:rsidP="000A4114">
            <w:pPr>
              <w:spacing w:after="0" w:line="240" w:lineRule="auto"/>
              <w:jc w:val="both"/>
              <w:rPr>
                <w:rFonts w:ascii="Times New Roman" w:hAnsi="Times New Roman"/>
                <w:i/>
                <w:iCs/>
                <w:sz w:val="20"/>
                <w:szCs w:val="20"/>
              </w:rPr>
            </w:pPr>
          </w:p>
        </w:tc>
      </w:tr>
      <w:tr w:rsidR="00F52FED" w:rsidRPr="00B0658A" w14:paraId="204E6207" w14:textId="77777777" w:rsidTr="004F1366">
        <w:trPr>
          <w:trHeight w:val="170"/>
        </w:trPr>
        <w:tc>
          <w:tcPr>
            <w:tcW w:w="0" w:type="auto"/>
            <w:shd w:val="clear" w:color="auto" w:fill="auto"/>
          </w:tcPr>
          <w:p w14:paraId="11831AE5" w14:textId="77777777" w:rsidR="0002298B" w:rsidRPr="00B0658A" w:rsidDel="00EC4B3C" w:rsidRDefault="0002298B" w:rsidP="000A4114">
            <w:pPr>
              <w:spacing w:after="0" w:line="240" w:lineRule="auto"/>
              <w:rPr>
                <w:rFonts w:ascii="Times New Roman" w:hAnsi="Times New Roman"/>
                <w:b/>
                <w:sz w:val="20"/>
                <w:szCs w:val="20"/>
              </w:rPr>
            </w:pPr>
            <w:r w:rsidRPr="00B0658A">
              <w:rPr>
                <w:rFonts w:ascii="Times New Roman" w:hAnsi="Times New Roman"/>
                <w:sz w:val="18"/>
                <w:szCs w:val="18"/>
              </w:rPr>
              <w:t>5.8</w:t>
            </w:r>
          </w:p>
        </w:tc>
        <w:tc>
          <w:tcPr>
            <w:tcW w:w="3432" w:type="dxa"/>
            <w:shd w:val="clear" w:color="auto" w:fill="auto"/>
            <w:vAlign w:val="center"/>
          </w:tcPr>
          <w:p w14:paraId="6DAB8CD8" w14:textId="77777777" w:rsidR="0002298B" w:rsidRPr="00B0658A" w:rsidRDefault="0002298B" w:rsidP="000A4114">
            <w:pPr>
              <w:spacing w:after="0" w:line="240" w:lineRule="auto"/>
              <w:rPr>
                <w:rFonts w:ascii="Times New Roman" w:hAnsi="Times New Roman"/>
                <w:b/>
                <w:sz w:val="20"/>
                <w:szCs w:val="20"/>
              </w:rPr>
            </w:pPr>
            <w:r w:rsidRPr="00B0658A">
              <w:rPr>
                <w:rFonts w:ascii="Times New Roman" w:hAnsi="Times New Roman"/>
                <w:sz w:val="18"/>
                <w:szCs w:val="18"/>
              </w:rPr>
              <w:t>Прикладное программное обеспечение/ Средства управления контактными центрами</w:t>
            </w:r>
          </w:p>
        </w:tc>
        <w:tc>
          <w:tcPr>
            <w:tcW w:w="1256" w:type="dxa"/>
          </w:tcPr>
          <w:p w14:paraId="69472983"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6A1067EB"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126FA0B4"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5F74D64E" w14:textId="77777777" w:rsidR="0002298B" w:rsidRPr="00B0658A" w:rsidRDefault="0002298B" w:rsidP="000A4114">
            <w:pPr>
              <w:spacing w:after="0" w:line="240" w:lineRule="auto"/>
              <w:jc w:val="both"/>
              <w:rPr>
                <w:rFonts w:ascii="Times New Roman" w:hAnsi="Times New Roman"/>
                <w:i/>
                <w:iCs/>
                <w:sz w:val="20"/>
                <w:szCs w:val="20"/>
              </w:rPr>
            </w:pPr>
          </w:p>
        </w:tc>
      </w:tr>
      <w:tr w:rsidR="00F52FED" w:rsidRPr="00B0658A" w14:paraId="2983B54F" w14:textId="77777777" w:rsidTr="004F1366">
        <w:trPr>
          <w:trHeight w:val="170"/>
        </w:trPr>
        <w:tc>
          <w:tcPr>
            <w:tcW w:w="0" w:type="auto"/>
            <w:shd w:val="clear" w:color="auto" w:fill="auto"/>
          </w:tcPr>
          <w:p w14:paraId="7A136B66" w14:textId="77777777" w:rsidR="0002298B" w:rsidRPr="00B0658A" w:rsidDel="00EC4B3C" w:rsidRDefault="0002298B" w:rsidP="000A4114">
            <w:pPr>
              <w:spacing w:after="0" w:line="240" w:lineRule="auto"/>
              <w:rPr>
                <w:rFonts w:ascii="Times New Roman" w:hAnsi="Times New Roman"/>
                <w:b/>
                <w:sz w:val="20"/>
                <w:szCs w:val="20"/>
              </w:rPr>
            </w:pPr>
            <w:r w:rsidRPr="00B0658A">
              <w:rPr>
                <w:rFonts w:ascii="Times New Roman" w:hAnsi="Times New Roman"/>
                <w:sz w:val="18"/>
                <w:szCs w:val="18"/>
              </w:rPr>
              <w:t>5.9</w:t>
            </w:r>
          </w:p>
        </w:tc>
        <w:tc>
          <w:tcPr>
            <w:tcW w:w="3432" w:type="dxa"/>
            <w:shd w:val="clear" w:color="auto" w:fill="auto"/>
            <w:vAlign w:val="center"/>
          </w:tcPr>
          <w:p w14:paraId="560C257C" w14:textId="77777777" w:rsidR="0002298B" w:rsidRPr="00B0658A" w:rsidRDefault="0002298B" w:rsidP="000A4114">
            <w:pPr>
              <w:spacing w:after="0" w:line="240" w:lineRule="auto"/>
              <w:rPr>
                <w:rFonts w:ascii="Times New Roman" w:hAnsi="Times New Roman"/>
                <w:b/>
                <w:sz w:val="20"/>
                <w:szCs w:val="20"/>
              </w:rPr>
            </w:pPr>
            <w:r w:rsidRPr="00B0658A">
              <w:rPr>
                <w:rFonts w:ascii="Times New Roman" w:hAnsi="Times New Roman"/>
                <w:sz w:val="18"/>
                <w:szCs w:val="18"/>
              </w:rPr>
              <w:t>Прикладное программное обеспечение/ Средства управления диалоговыми роботами (чат-боты и голосовые роботы)</w:t>
            </w:r>
          </w:p>
        </w:tc>
        <w:tc>
          <w:tcPr>
            <w:tcW w:w="1256" w:type="dxa"/>
          </w:tcPr>
          <w:p w14:paraId="2B06E296"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422F547B"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2CC8D12B"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2F0D3A56" w14:textId="77777777" w:rsidR="0002298B" w:rsidRPr="00B0658A" w:rsidRDefault="0002298B" w:rsidP="000A4114">
            <w:pPr>
              <w:spacing w:after="0" w:line="240" w:lineRule="auto"/>
              <w:jc w:val="both"/>
              <w:rPr>
                <w:rFonts w:ascii="Times New Roman" w:hAnsi="Times New Roman"/>
                <w:i/>
                <w:iCs/>
                <w:sz w:val="20"/>
                <w:szCs w:val="20"/>
              </w:rPr>
            </w:pPr>
          </w:p>
        </w:tc>
      </w:tr>
      <w:tr w:rsidR="00F52FED" w:rsidRPr="00B0658A" w14:paraId="79174794" w14:textId="77777777" w:rsidTr="004F1366">
        <w:trPr>
          <w:trHeight w:val="170"/>
        </w:trPr>
        <w:tc>
          <w:tcPr>
            <w:tcW w:w="0" w:type="auto"/>
            <w:shd w:val="clear" w:color="auto" w:fill="auto"/>
          </w:tcPr>
          <w:p w14:paraId="3CCF56CA" w14:textId="77777777" w:rsidR="0002298B" w:rsidRPr="00B0658A" w:rsidDel="00EC4B3C" w:rsidRDefault="0002298B" w:rsidP="000A4114">
            <w:pPr>
              <w:spacing w:after="0" w:line="240" w:lineRule="auto"/>
              <w:rPr>
                <w:rFonts w:ascii="Times New Roman" w:hAnsi="Times New Roman"/>
                <w:b/>
                <w:sz w:val="20"/>
                <w:szCs w:val="20"/>
              </w:rPr>
            </w:pPr>
            <w:r w:rsidRPr="00B0658A">
              <w:rPr>
                <w:rFonts w:ascii="Times New Roman" w:hAnsi="Times New Roman"/>
                <w:sz w:val="18"/>
                <w:szCs w:val="18"/>
              </w:rPr>
              <w:t>5.10</w:t>
            </w:r>
          </w:p>
        </w:tc>
        <w:tc>
          <w:tcPr>
            <w:tcW w:w="3432" w:type="dxa"/>
            <w:shd w:val="clear" w:color="auto" w:fill="auto"/>
            <w:vAlign w:val="center"/>
          </w:tcPr>
          <w:p w14:paraId="79415AF9" w14:textId="77777777" w:rsidR="0002298B" w:rsidRPr="00B0658A" w:rsidRDefault="0002298B" w:rsidP="000A4114">
            <w:pPr>
              <w:spacing w:after="0" w:line="240" w:lineRule="auto"/>
              <w:rPr>
                <w:rFonts w:ascii="Times New Roman" w:hAnsi="Times New Roman"/>
                <w:b/>
                <w:sz w:val="20"/>
                <w:szCs w:val="20"/>
              </w:rPr>
            </w:pPr>
            <w:r w:rsidRPr="00B0658A">
              <w:rPr>
                <w:rFonts w:ascii="Times New Roman" w:hAnsi="Times New Roman"/>
                <w:sz w:val="18"/>
                <w:szCs w:val="18"/>
              </w:rPr>
              <w:t>Прикладное программное обеспечение/ Базы знаний</w:t>
            </w:r>
          </w:p>
        </w:tc>
        <w:tc>
          <w:tcPr>
            <w:tcW w:w="1256" w:type="dxa"/>
          </w:tcPr>
          <w:p w14:paraId="5B4BE942"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0A406AE9"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64522FA1"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3FFA1C2A" w14:textId="77777777" w:rsidR="0002298B" w:rsidRPr="00B0658A" w:rsidRDefault="0002298B" w:rsidP="000A4114">
            <w:pPr>
              <w:spacing w:after="0" w:line="240" w:lineRule="auto"/>
              <w:jc w:val="both"/>
              <w:rPr>
                <w:rFonts w:ascii="Times New Roman" w:hAnsi="Times New Roman"/>
                <w:i/>
                <w:iCs/>
                <w:sz w:val="20"/>
                <w:szCs w:val="20"/>
              </w:rPr>
            </w:pPr>
          </w:p>
        </w:tc>
      </w:tr>
      <w:tr w:rsidR="00F52FED" w:rsidRPr="00B0658A" w14:paraId="14000522" w14:textId="77777777" w:rsidTr="004F1366">
        <w:trPr>
          <w:trHeight w:val="170"/>
        </w:trPr>
        <w:tc>
          <w:tcPr>
            <w:tcW w:w="0" w:type="auto"/>
            <w:shd w:val="clear" w:color="auto" w:fill="auto"/>
          </w:tcPr>
          <w:p w14:paraId="0D21EE2F" w14:textId="77777777" w:rsidR="0002298B" w:rsidRPr="00B0658A" w:rsidDel="00EC4B3C" w:rsidRDefault="0002298B" w:rsidP="000A4114">
            <w:pPr>
              <w:spacing w:after="0" w:line="240" w:lineRule="auto"/>
              <w:rPr>
                <w:rFonts w:ascii="Times New Roman" w:hAnsi="Times New Roman"/>
                <w:b/>
                <w:sz w:val="20"/>
                <w:szCs w:val="20"/>
              </w:rPr>
            </w:pPr>
            <w:r w:rsidRPr="00B0658A">
              <w:rPr>
                <w:rFonts w:ascii="Times New Roman" w:hAnsi="Times New Roman"/>
                <w:sz w:val="18"/>
                <w:szCs w:val="18"/>
              </w:rPr>
              <w:t>5.11</w:t>
            </w:r>
          </w:p>
        </w:tc>
        <w:tc>
          <w:tcPr>
            <w:tcW w:w="3432" w:type="dxa"/>
            <w:shd w:val="clear" w:color="auto" w:fill="auto"/>
            <w:vAlign w:val="center"/>
          </w:tcPr>
          <w:p w14:paraId="69BB2676" w14:textId="77777777" w:rsidR="0002298B" w:rsidRPr="00B0658A" w:rsidRDefault="0002298B" w:rsidP="000A4114">
            <w:pPr>
              <w:spacing w:after="0" w:line="240" w:lineRule="auto"/>
              <w:rPr>
                <w:rFonts w:ascii="Times New Roman" w:hAnsi="Times New Roman"/>
                <w:b/>
                <w:sz w:val="20"/>
                <w:szCs w:val="20"/>
              </w:rPr>
            </w:pPr>
            <w:r w:rsidRPr="00B0658A">
              <w:rPr>
                <w:rFonts w:ascii="Times New Roman" w:hAnsi="Times New Roman"/>
                <w:sz w:val="18"/>
                <w:szCs w:val="18"/>
              </w:rPr>
              <w:t>Прикладное программное обеспечение/ Интеллектуальные средства управления экспертной деятельностью</w:t>
            </w:r>
          </w:p>
        </w:tc>
        <w:tc>
          <w:tcPr>
            <w:tcW w:w="1256" w:type="dxa"/>
          </w:tcPr>
          <w:p w14:paraId="4BBF6F35"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0A1A2524"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280F843C"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7650C770" w14:textId="77777777" w:rsidR="0002298B" w:rsidRPr="00B0658A" w:rsidRDefault="0002298B" w:rsidP="000A4114">
            <w:pPr>
              <w:spacing w:after="0" w:line="240" w:lineRule="auto"/>
              <w:jc w:val="both"/>
              <w:rPr>
                <w:rFonts w:ascii="Times New Roman" w:hAnsi="Times New Roman"/>
                <w:i/>
                <w:iCs/>
                <w:sz w:val="20"/>
                <w:szCs w:val="20"/>
              </w:rPr>
            </w:pPr>
          </w:p>
        </w:tc>
      </w:tr>
      <w:tr w:rsidR="00F52FED" w:rsidRPr="00B0658A" w14:paraId="2D2E9991" w14:textId="77777777" w:rsidTr="004F1366">
        <w:trPr>
          <w:trHeight w:val="170"/>
        </w:trPr>
        <w:tc>
          <w:tcPr>
            <w:tcW w:w="0" w:type="auto"/>
            <w:shd w:val="clear" w:color="auto" w:fill="auto"/>
          </w:tcPr>
          <w:p w14:paraId="5FD19D20" w14:textId="77777777" w:rsidR="0002298B" w:rsidRPr="00B0658A" w:rsidDel="00EC4B3C" w:rsidRDefault="0002298B" w:rsidP="000A4114">
            <w:pPr>
              <w:spacing w:after="0" w:line="240" w:lineRule="auto"/>
              <w:rPr>
                <w:rFonts w:ascii="Times New Roman" w:hAnsi="Times New Roman"/>
                <w:b/>
                <w:sz w:val="20"/>
                <w:szCs w:val="20"/>
              </w:rPr>
            </w:pPr>
            <w:r w:rsidRPr="00B0658A">
              <w:rPr>
                <w:rFonts w:ascii="Times New Roman" w:hAnsi="Times New Roman"/>
                <w:sz w:val="18"/>
                <w:szCs w:val="18"/>
              </w:rPr>
              <w:t>5.12</w:t>
            </w:r>
          </w:p>
        </w:tc>
        <w:tc>
          <w:tcPr>
            <w:tcW w:w="3432" w:type="dxa"/>
            <w:shd w:val="clear" w:color="auto" w:fill="auto"/>
            <w:vAlign w:val="center"/>
          </w:tcPr>
          <w:p w14:paraId="0785C22D" w14:textId="77777777" w:rsidR="0002298B" w:rsidRPr="00B0658A" w:rsidRDefault="0002298B" w:rsidP="000A4114">
            <w:pPr>
              <w:spacing w:after="0" w:line="240" w:lineRule="auto"/>
              <w:rPr>
                <w:rFonts w:ascii="Times New Roman" w:hAnsi="Times New Roman"/>
                <w:b/>
                <w:sz w:val="20"/>
                <w:szCs w:val="20"/>
              </w:rPr>
            </w:pPr>
            <w:r w:rsidRPr="00B0658A">
              <w:rPr>
                <w:rFonts w:ascii="Times New Roman" w:hAnsi="Times New Roman"/>
                <w:sz w:val="18"/>
                <w:szCs w:val="18"/>
              </w:rPr>
              <w:t xml:space="preserve">Прикладное программное обеспечение/ Интеллектуальные средства разработки </w:t>
            </w:r>
            <w:r w:rsidRPr="00B0658A">
              <w:rPr>
                <w:rFonts w:ascii="Times New Roman" w:hAnsi="Times New Roman"/>
                <w:sz w:val="18"/>
                <w:szCs w:val="18"/>
              </w:rPr>
              <w:br/>
              <w:t xml:space="preserve">и управления стандартами </w:t>
            </w:r>
            <w:r w:rsidRPr="00B0658A">
              <w:rPr>
                <w:rFonts w:ascii="Times New Roman" w:hAnsi="Times New Roman"/>
                <w:sz w:val="18"/>
                <w:szCs w:val="18"/>
              </w:rPr>
              <w:br/>
              <w:t>и нормативами</w:t>
            </w:r>
          </w:p>
        </w:tc>
        <w:tc>
          <w:tcPr>
            <w:tcW w:w="1256" w:type="dxa"/>
          </w:tcPr>
          <w:p w14:paraId="3176DAE4"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37B82C8D"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2F920141"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0F46E0E6" w14:textId="77777777" w:rsidR="0002298B" w:rsidRPr="00B0658A" w:rsidRDefault="0002298B" w:rsidP="000A4114">
            <w:pPr>
              <w:spacing w:after="0" w:line="240" w:lineRule="auto"/>
              <w:jc w:val="both"/>
              <w:rPr>
                <w:rFonts w:ascii="Times New Roman" w:hAnsi="Times New Roman"/>
                <w:i/>
                <w:iCs/>
                <w:sz w:val="20"/>
                <w:szCs w:val="20"/>
              </w:rPr>
            </w:pPr>
          </w:p>
        </w:tc>
      </w:tr>
      <w:tr w:rsidR="00F52FED" w:rsidRPr="00B0658A" w14:paraId="202AEF84" w14:textId="77777777" w:rsidTr="004F1366">
        <w:trPr>
          <w:trHeight w:val="170"/>
        </w:trPr>
        <w:tc>
          <w:tcPr>
            <w:tcW w:w="0" w:type="auto"/>
            <w:shd w:val="clear" w:color="auto" w:fill="auto"/>
          </w:tcPr>
          <w:p w14:paraId="6FC62A7C" w14:textId="77777777" w:rsidR="0002298B" w:rsidRPr="00B0658A" w:rsidDel="00EC4B3C" w:rsidRDefault="0002298B" w:rsidP="000A4114">
            <w:pPr>
              <w:spacing w:after="0" w:line="240" w:lineRule="auto"/>
              <w:rPr>
                <w:rFonts w:ascii="Times New Roman" w:hAnsi="Times New Roman"/>
                <w:b/>
                <w:sz w:val="20"/>
                <w:szCs w:val="20"/>
              </w:rPr>
            </w:pPr>
            <w:r w:rsidRPr="00B0658A">
              <w:rPr>
                <w:rFonts w:ascii="Times New Roman" w:hAnsi="Times New Roman"/>
                <w:sz w:val="18"/>
                <w:szCs w:val="18"/>
              </w:rPr>
              <w:t>5.13</w:t>
            </w:r>
          </w:p>
        </w:tc>
        <w:tc>
          <w:tcPr>
            <w:tcW w:w="3432" w:type="dxa"/>
            <w:shd w:val="clear" w:color="auto" w:fill="auto"/>
            <w:vAlign w:val="center"/>
          </w:tcPr>
          <w:p w14:paraId="2058DCF2" w14:textId="77777777" w:rsidR="0002298B" w:rsidRPr="00B0658A" w:rsidRDefault="0002298B" w:rsidP="000A4114">
            <w:pPr>
              <w:spacing w:after="0" w:line="240" w:lineRule="auto"/>
              <w:rPr>
                <w:rFonts w:ascii="Times New Roman" w:hAnsi="Times New Roman"/>
                <w:b/>
                <w:sz w:val="20"/>
                <w:szCs w:val="20"/>
              </w:rPr>
            </w:pPr>
            <w:r w:rsidRPr="00B0658A">
              <w:rPr>
                <w:rFonts w:ascii="Times New Roman" w:hAnsi="Times New Roman"/>
                <w:sz w:val="18"/>
                <w:szCs w:val="18"/>
              </w:rPr>
              <w:t>Прикладное программное обеспечение/ Средства интеллектуальной обработки информации и интеллектуального анализа бизнес-процессов</w:t>
            </w:r>
          </w:p>
        </w:tc>
        <w:tc>
          <w:tcPr>
            <w:tcW w:w="1256" w:type="dxa"/>
          </w:tcPr>
          <w:p w14:paraId="0C20FA2C"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682A1DAF"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32C1A927"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4A830A32" w14:textId="77777777" w:rsidR="0002298B" w:rsidRPr="00B0658A" w:rsidRDefault="0002298B" w:rsidP="000A4114">
            <w:pPr>
              <w:spacing w:after="0" w:line="240" w:lineRule="auto"/>
              <w:jc w:val="both"/>
              <w:rPr>
                <w:rFonts w:ascii="Times New Roman" w:hAnsi="Times New Roman"/>
                <w:i/>
                <w:iCs/>
                <w:sz w:val="20"/>
                <w:szCs w:val="20"/>
              </w:rPr>
            </w:pPr>
          </w:p>
        </w:tc>
      </w:tr>
      <w:tr w:rsidR="00F52FED" w:rsidRPr="00B0658A" w14:paraId="5D8A6D40" w14:textId="77777777" w:rsidTr="004F1366">
        <w:trPr>
          <w:trHeight w:val="170"/>
        </w:trPr>
        <w:tc>
          <w:tcPr>
            <w:tcW w:w="0" w:type="auto"/>
            <w:shd w:val="clear" w:color="auto" w:fill="auto"/>
          </w:tcPr>
          <w:p w14:paraId="2A335C24" w14:textId="77777777" w:rsidR="0002298B" w:rsidRPr="00B0658A" w:rsidDel="00EC4B3C" w:rsidRDefault="0002298B" w:rsidP="000A4114">
            <w:pPr>
              <w:spacing w:after="0" w:line="240" w:lineRule="auto"/>
              <w:rPr>
                <w:rFonts w:ascii="Times New Roman" w:hAnsi="Times New Roman"/>
                <w:b/>
                <w:sz w:val="20"/>
                <w:szCs w:val="20"/>
              </w:rPr>
            </w:pPr>
            <w:r w:rsidRPr="00B0658A">
              <w:rPr>
                <w:rFonts w:ascii="Times New Roman" w:hAnsi="Times New Roman"/>
                <w:sz w:val="18"/>
                <w:szCs w:val="18"/>
              </w:rPr>
              <w:t>5.14</w:t>
            </w:r>
          </w:p>
        </w:tc>
        <w:tc>
          <w:tcPr>
            <w:tcW w:w="3432" w:type="dxa"/>
            <w:shd w:val="clear" w:color="auto" w:fill="auto"/>
            <w:vAlign w:val="center"/>
          </w:tcPr>
          <w:p w14:paraId="0F62ABF8" w14:textId="77777777" w:rsidR="0002298B" w:rsidRPr="00B0658A" w:rsidRDefault="0002298B" w:rsidP="000A4114">
            <w:pPr>
              <w:spacing w:after="0" w:line="240" w:lineRule="auto"/>
              <w:rPr>
                <w:rFonts w:ascii="Times New Roman" w:hAnsi="Times New Roman"/>
                <w:b/>
                <w:sz w:val="20"/>
                <w:szCs w:val="20"/>
              </w:rPr>
            </w:pPr>
            <w:r w:rsidRPr="00B0658A">
              <w:rPr>
                <w:rFonts w:ascii="Times New Roman" w:hAnsi="Times New Roman"/>
                <w:sz w:val="18"/>
                <w:szCs w:val="18"/>
              </w:rPr>
              <w:t>Прикладное программное обеспечение/ Справочно-правовые системы</w:t>
            </w:r>
          </w:p>
        </w:tc>
        <w:tc>
          <w:tcPr>
            <w:tcW w:w="1256" w:type="dxa"/>
          </w:tcPr>
          <w:p w14:paraId="576C093B"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66AB08DA"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4A7F8D07"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1A522CB9" w14:textId="77777777" w:rsidR="0002298B" w:rsidRPr="00B0658A" w:rsidRDefault="0002298B" w:rsidP="000A4114">
            <w:pPr>
              <w:spacing w:after="0" w:line="240" w:lineRule="auto"/>
              <w:jc w:val="both"/>
              <w:rPr>
                <w:rFonts w:ascii="Times New Roman" w:hAnsi="Times New Roman"/>
                <w:i/>
                <w:iCs/>
                <w:sz w:val="20"/>
                <w:szCs w:val="20"/>
              </w:rPr>
            </w:pPr>
          </w:p>
        </w:tc>
      </w:tr>
      <w:tr w:rsidR="00F52FED" w:rsidRPr="00B0658A" w14:paraId="7DD4F938" w14:textId="77777777" w:rsidTr="004F1366">
        <w:trPr>
          <w:trHeight w:val="170"/>
        </w:trPr>
        <w:tc>
          <w:tcPr>
            <w:tcW w:w="0" w:type="auto"/>
            <w:shd w:val="clear" w:color="auto" w:fill="auto"/>
          </w:tcPr>
          <w:p w14:paraId="228E2B5C" w14:textId="77777777" w:rsidR="0002298B" w:rsidRPr="00B0658A" w:rsidDel="00EC4B3C" w:rsidRDefault="0002298B" w:rsidP="000A4114">
            <w:pPr>
              <w:spacing w:after="0" w:line="240" w:lineRule="auto"/>
              <w:rPr>
                <w:rFonts w:ascii="Times New Roman" w:hAnsi="Times New Roman"/>
                <w:b/>
                <w:sz w:val="20"/>
                <w:szCs w:val="20"/>
              </w:rPr>
            </w:pPr>
            <w:r w:rsidRPr="00B0658A">
              <w:rPr>
                <w:rFonts w:ascii="Times New Roman" w:hAnsi="Times New Roman"/>
                <w:sz w:val="18"/>
                <w:szCs w:val="18"/>
              </w:rPr>
              <w:t>5.15</w:t>
            </w:r>
          </w:p>
        </w:tc>
        <w:tc>
          <w:tcPr>
            <w:tcW w:w="3432" w:type="dxa"/>
            <w:shd w:val="clear" w:color="auto" w:fill="auto"/>
            <w:vAlign w:val="center"/>
          </w:tcPr>
          <w:p w14:paraId="43222C9B" w14:textId="77777777" w:rsidR="0002298B" w:rsidRPr="00B0658A" w:rsidRDefault="0002298B" w:rsidP="000A4114">
            <w:pPr>
              <w:spacing w:after="0" w:line="240" w:lineRule="auto"/>
              <w:rPr>
                <w:rFonts w:ascii="Times New Roman" w:hAnsi="Times New Roman"/>
                <w:b/>
                <w:sz w:val="20"/>
                <w:szCs w:val="20"/>
              </w:rPr>
            </w:pPr>
            <w:r w:rsidRPr="00B0658A">
              <w:rPr>
                <w:rFonts w:ascii="Times New Roman" w:hAnsi="Times New Roman"/>
                <w:sz w:val="18"/>
                <w:szCs w:val="18"/>
              </w:rPr>
              <w:t>Прикладное программное обеспечение/ Информационные системы для решения специфических отраслевых задач</w:t>
            </w:r>
          </w:p>
        </w:tc>
        <w:tc>
          <w:tcPr>
            <w:tcW w:w="1256" w:type="dxa"/>
          </w:tcPr>
          <w:p w14:paraId="11161B64"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18258015"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71AF544E"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6E423AC1" w14:textId="77777777" w:rsidR="0002298B" w:rsidRPr="00B0658A" w:rsidRDefault="0002298B" w:rsidP="000A4114">
            <w:pPr>
              <w:spacing w:after="0" w:line="240" w:lineRule="auto"/>
              <w:jc w:val="both"/>
              <w:rPr>
                <w:rFonts w:ascii="Times New Roman" w:hAnsi="Times New Roman"/>
                <w:i/>
                <w:iCs/>
                <w:sz w:val="20"/>
                <w:szCs w:val="20"/>
              </w:rPr>
            </w:pPr>
          </w:p>
        </w:tc>
      </w:tr>
      <w:tr w:rsidR="00F52FED" w:rsidRPr="00B0658A" w14:paraId="6255F4B5" w14:textId="77777777" w:rsidTr="004F1366">
        <w:trPr>
          <w:trHeight w:val="170"/>
        </w:trPr>
        <w:tc>
          <w:tcPr>
            <w:tcW w:w="0" w:type="auto"/>
            <w:shd w:val="clear" w:color="auto" w:fill="auto"/>
          </w:tcPr>
          <w:p w14:paraId="6E69C3F7" w14:textId="77777777" w:rsidR="0002298B" w:rsidRPr="00B0658A" w:rsidDel="00EC4B3C" w:rsidRDefault="0002298B" w:rsidP="000A4114">
            <w:pPr>
              <w:spacing w:after="0" w:line="240" w:lineRule="auto"/>
              <w:rPr>
                <w:rFonts w:ascii="Times New Roman" w:hAnsi="Times New Roman"/>
                <w:b/>
                <w:sz w:val="20"/>
                <w:szCs w:val="20"/>
              </w:rPr>
            </w:pPr>
            <w:r w:rsidRPr="00B0658A">
              <w:rPr>
                <w:rFonts w:ascii="Times New Roman" w:hAnsi="Times New Roman"/>
                <w:sz w:val="18"/>
                <w:szCs w:val="18"/>
              </w:rPr>
              <w:t>5.16</w:t>
            </w:r>
          </w:p>
        </w:tc>
        <w:tc>
          <w:tcPr>
            <w:tcW w:w="3432" w:type="dxa"/>
            <w:shd w:val="clear" w:color="auto" w:fill="auto"/>
            <w:vAlign w:val="center"/>
          </w:tcPr>
          <w:p w14:paraId="6A8FC6DA" w14:textId="77777777" w:rsidR="0002298B" w:rsidRPr="00B0658A" w:rsidRDefault="0002298B" w:rsidP="000A4114">
            <w:pPr>
              <w:spacing w:after="0" w:line="240" w:lineRule="auto"/>
              <w:rPr>
                <w:rFonts w:ascii="Times New Roman" w:hAnsi="Times New Roman"/>
                <w:b/>
                <w:sz w:val="20"/>
                <w:szCs w:val="20"/>
              </w:rPr>
            </w:pPr>
            <w:r w:rsidRPr="00B0658A">
              <w:rPr>
                <w:rFonts w:ascii="Times New Roman" w:hAnsi="Times New Roman"/>
                <w:sz w:val="18"/>
                <w:szCs w:val="18"/>
              </w:rPr>
              <w:t>Прикладное программное обеспечение/ Автоматизированные информационные системы оформления воздушных перевозок</w:t>
            </w:r>
          </w:p>
        </w:tc>
        <w:tc>
          <w:tcPr>
            <w:tcW w:w="1256" w:type="dxa"/>
          </w:tcPr>
          <w:p w14:paraId="28CC773B"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4706EAB3"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6F66ADD1"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51270E21" w14:textId="77777777" w:rsidR="0002298B" w:rsidRPr="00B0658A" w:rsidRDefault="0002298B" w:rsidP="000A4114">
            <w:pPr>
              <w:spacing w:after="0" w:line="240" w:lineRule="auto"/>
              <w:jc w:val="both"/>
              <w:rPr>
                <w:rFonts w:ascii="Times New Roman" w:hAnsi="Times New Roman"/>
                <w:i/>
                <w:iCs/>
                <w:sz w:val="20"/>
                <w:szCs w:val="20"/>
              </w:rPr>
            </w:pPr>
          </w:p>
        </w:tc>
      </w:tr>
      <w:tr w:rsidR="00F52FED" w:rsidRPr="00B0658A" w14:paraId="2D1A63EC" w14:textId="77777777" w:rsidTr="004F1366">
        <w:trPr>
          <w:trHeight w:val="170"/>
        </w:trPr>
        <w:tc>
          <w:tcPr>
            <w:tcW w:w="0" w:type="auto"/>
            <w:shd w:val="clear" w:color="auto" w:fill="auto"/>
          </w:tcPr>
          <w:p w14:paraId="1699B31A"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18"/>
                <w:szCs w:val="18"/>
              </w:rPr>
              <w:t>6.1</w:t>
            </w:r>
          </w:p>
        </w:tc>
        <w:tc>
          <w:tcPr>
            <w:tcW w:w="3432" w:type="dxa"/>
            <w:shd w:val="clear" w:color="auto" w:fill="auto"/>
            <w:vAlign w:val="center"/>
          </w:tcPr>
          <w:p w14:paraId="21789CC7"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18"/>
                <w:szCs w:val="18"/>
              </w:rPr>
              <w:t>Офисные приложения/ Файловые менеджеры</w:t>
            </w:r>
          </w:p>
        </w:tc>
        <w:tc>
          <w:tcPr>
            <w:tcW w:w="1256" w:type="dxa"/>
          </w:tcPr>
          <w:p w14:paraId="2B2337D7"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0121F9C4"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0F7792B2"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79437CDF" w14:textId="77777777" w:rsidR="0002298B" w:rsidRPr="00B0658A" w:rsidRDefault="0002298B" w:rsidP="000A4114">
            <w:pPr>
              <w:spacing w:after="0" w:line="240" w:lineRule="auto"/>
              <w:jc w:val="both"/>
              <w:rPr>
                <w:rFonts w:ascii="Times New Roman" w:hAnsi="Times New Roman"/>
                <w:i/>
                <w:iCs/>
                <w:sz w:val="20"/>
                <w:szCs w:val="20"/>
              </w:rPr>
            </w:pPr>
          </w:p>
        </w:tc>
      </w:tr>
      <w:tr w:rsidR="00F52FED" w:rsidRPr="00B0658A" w14:paraId="1FABDE4C" w14:textId="77777777" w:rsidTr="004F1366">
        <w:trPr>
          <w:trHeight w:val="170"/>
        </w:trPr>
        <w:tc>
          <w:tcPr>
            <w:tcW w:w="0" w:type="auto"/>
            <w:shd w:val="clear" w:color="auto" w:fill="auto"/>
          </w:tcPr>
          <w:p w14:paraId="68781BFD"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18"/>
                <w:szCs w:val="18"/>
              </w:rPr>
              <w:t>6.2</w:t>
            </w:r>
          </w:p>
        </w:tc>
        <w:tc>
          <w:tcPr>
            <w:tcW w:w="3432" w:type="dxa"/>
            <w:shd w:val="clear" w:color="auto" w:fill="auto"/>
            <w:vAlign w:val="center"/>
          </w:tcPr>
          <w:p w14:paraId="62D6AF25"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18"/>
                <w:szCs w:val="18"/>
              </w:rPr>
              <w:t>Офисные приложения/ Коммуникационное программное обеспечение</w:t>
            </w:r>
          </w:p>
        </w:tc>
        <w:tc>
          <w:tcPr>
            <w:tcW w:w="1256" w:type="dxa"/>
          </w:tcPr>
          <w:p w14:paraId="610A1068"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5A244A2F"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3D3ED633"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2EAC364C" w14:textId="77777777" w:rsidR="0002298B" w:rsidRPr="00B0658A" w:rsidRDefault="0002298B" w:rsidP="000A4114">
            <w:pPr>
              <w:spacing w:after="0" w:line="240" w:lineRule="auto"/>
              <w:jc w:val="both"/>
              <w:rPr>
                <w:rFonts w:ascii="Times New Roman" w:hAnsi="Times New Roman"/>
                <w:i/>
                <w:iCs/>
                <w:sz w:val="20"/>
                <w:szCs w:val="20"/>
              </w:rPr>
            </w:pPr>
          </w:p>
        </w:tc>
      </w:tr>
      <w:tr w:rsidR="00F52FED" w:rsidRPr="00B0658A" w14:paraId="3974605D" w14:textId="77777777" w:rsidTr="004F1366">
        <w:trPr>
          <w:trHeight w:val="170"/>
        </w:trPr>
        <w:tc>
          <w:tcPr>
            <w:tcW w:w="0" w:type="auto"/>
            <w:shd w:val="clear" w:color="auto" w:fill="auto"/>
          </w:tcPr>
          <w:p w14:paraId="1F7BD78A"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18"/>
                <w:szCs w:val="18"/>
              </w:rPr>
              <w:t>6.3</w:t>
            </w:r>
          </w:p>
        </w:tc>
        <w:tc>
          <w:tcPr>
            <w:tcW w:w="3432" w:type="dxa"/>
            <w:shd w:val="clear" w:color="auto" w:fill="auto"/>
            <w:vAlign w:val="center"/>
          </w:tcPr>
          <w:p w14:paraId="6D087902"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18"/>
                <w:szCs w:val="18"/>
              </w:rPr>
              <w:t>Офисные приложения/ Офисные пакеты</w:t>
            </w:r>
          </w:p>
        </w:tc>
        <w:tc>
          <w:tcPr>
            <w:tcW w:w="1256" w:type="dxa"/>
          </w:tcPr>
          <w:p w14:paraId="7917448C"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0CADB4C2"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7EFC40BA"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2E4C2000" w14:textId="77777777" w:rsidR="0002298B" w:rsidRPr="00B0658A" w:rsidRDefault="0002298B" w:rsidP="000A4114">
            <w:pPr>
              <w:spacing w:after="0" w:line="240" w:lineRule="auto"/>
              <w:jc w:val="both"/>
              <w:rPr>
                <w:rFonts w:ascii="Times New Roman" w:hAnsi="Times New Roman"/>
                <w:i/>
                <w:iCs/>
                <w:sz w:val="20"/>
                <w:szCs w:val="20"/>
              </w:rPr>
            </w:pPr>
          </w:p>
        </w:tc>
      </w:tr>
      <w:tr w:rsidR="00F52FED" w:rsidRPr="00B0658A" w14:paraId="2BC5DB30" w14:textId="77777777" w:rsidTr="004F1366">
        <w:trPr>
          <w:trHeight w:val="170"/>
        </w:trPr>
        <w:tc>
          <w:tcPr>
            <w:tcW w:w="0" w:type="auto"/>
            <w:shd w:val="clear" w:color="auto" w:fill="auto"/>
          </w:tcPr>
          <w:p w14:paraId="40A1AAC0"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18"/>
                <w:szCs w:val="18"/>
              </w:rPr>
              <w:t>6.4</w:t>
            </w:r>
          </w:p>
        </w:tc>
        <w:tc>
          <w:tcPr>
            <w:tcW w:w="3432" w:type="dxa"/>
            <w:shd w:val="clear" w:color="auto" w:fill="auto"/>
            <w:vAlign w:val="center"/>
          </w:tcPr>
          <w:p w14:paraId="15204EDC"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18"/>
                <w:szCs w:val="18"/>
              </w:rPr>
              <w:t>Офисные приложения/ Почтовые приложения</w:t>
            </w:r>
          </w:p>
        </w:tc>
        <w:tc>
          <w:tcPr>
            <w:tcW w:w="1256" w:type="dxa"/>
          </w:tcPr>
          <w:p w14:paraId="137E0FDD"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66333EC4"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56FBC8DB"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145569BB" w14:textId="77777777" w:rsidR="0002298B" w:rsidRPr="00B0658A" w:rsidRDefault="0002298B" w:rsidP="000A4114">
            <w:pPr>
              <w:spacing w:after="0" w:line="240" w:lineRule="auto"/>
              <w:jc w:val="both"/>
              <w:rPr>
                <w:rFonts w:ascii="Times New Roman" w:hAnsi="Times New Roman"/>
                <w:i/>
                <w:iCs/>
                <w:sz w:val="20"/>
                <w:szCs w:val="20"/>
              </w:rPr>
            </w:pPr>
          </w:p>
        </w:tc>
      </w:tr>
      <w:tr w:rsidR="00F52FED" w:rsidRPr="00B0658A" w14:paraId="6AABC753" w14:textId="77777777" w:rsidTr="004F1366">
        <w:trPr>
          <w:trHeight w:val="170"/>
        </w:trPr>
        <w:tc>
          <w:tcPr>
            <w:tcW w:w="0" w:type="auto"/>
            <w:shd w:val="clear" w:color="auto" w:fill="auto"/>
          </w:tcPr>
          <w:p w14:paraId="60769960"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18"/>
                <w:szCs w:val="18"/>
              </w:rPr>
              <w:t>6.5</w:t>
            </w:r>
          </w:p>
        </w:tc>
        <w:tc>
          <w:tcPr>
            <w:tcW w:w="3432" w:type="dxa"/>
            <w:shd w:val="clear" w:color="auto" w:fill="auto"/>
            <w:vAlign w:val="center"/>
          </w:tcPr>
          <w:p w14:paraId="40E6E904"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18"/>
                <w:szCs w:val="18"/>
              </w:rPr>
              <w:t>Офисные приложения/ Органайзеры</w:t>
            </w:r>
          </w:p>
        </w:tc>
        <w:tc>
          <w:tcPr>
            <w:tcW w:w="1256" w:type="dxa"/>
          </w:tcPr>
          <w:p w14:paraId="758622EE"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35F6F48E"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5E10BB3C"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42EBC9DC" w14:textId="77777777" w:rsidR="0002298B" w:rsidRPr="00B0658A" w:rsidRDefault="0002298B" w:rsidP="000A4114">
            <w:pPr>
              <w:spacing w:after="0" w:line="240" w:lineRule="auto"/>
              <w:jc w:val="both"/>
              <w:rPr>
                <w:rFonts w:ascii="Times New Roman" w:hAnsi="Times New Roman"/>
                <w:i/>
                <w:iCs/>
                <w:sz w:val="20"/>
                <w:szCs w:val="20"/>
              </w:rPr>
            </w:pPr>
          </w:p>
        </w:tc>
      </w:tr>
      <w:tr w:rsidR="00F52FED" w:rsidRPr="00B0658A" w14:paraId="5731D23E" w14:textId="77777777" w:rsidTr="004F1366">
        <w:trPr>
          <w:trHeight w:val="170"/>
        </w:trPr>
        <w:tc>
          <w:tcPr>
            <w:tcW w:w="0" w:type="auto"/>
            <w:shd w:val="clear" w:color="auto" w:fill="auto"/>
          </w:tcPr>
          <w:p w14:paraId="5B0AA327"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18"/>
                <w:szCs w:val="18"/>
              </w:rPr>
              <w:t>6.6</w:t>
            </w:r>
          </w:p>
        </w:tc>
        <w:tc>
          <w:tcPr>
            <w:tcW w:w="3432" w:type="dxa"/>
            <w:shd w:val="clear" w:color="auto" w:fill="auto"/>
            <w:vAlign w:val="center"/>
          </w:tcPr>
          <w:p w14:paraId="4221ED81"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18"/>
                <w:szCs w:val="18"/>
              </w:rPr>
              <w:t>Офисные приложения/ Средства просмотра</w:t>
            </w:r>
          </w:p>
        </w:tc>
        <w:tc>
          <w:tcPr>
            <w:tcW w:w="1256" w:type="dxa"/>
          </w:tcPr>
          <w:p w14:paraId="2AA13BA4"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0679CAE3"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096924CF"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21B5D179" w14:textId="77777777" w:rsidR="0002298B" w:rsidRPr="00B0658A" w:rsidRDefault="0002298B" w:rsidP="000A4114">
            <w:pPr>
              <w:spacing w:after="0" w:line="240" w:lineRule="auto"/>
              <w:jc w:val="both"/>
              <w:rPr>
                <w:rFonts w:ascii="Times New Roman" w:hAnsi="Times New Roman"/>
                <w:i/>
                <w:iCs/>
                <w:sz w:val="20"/>
                <w:szCs w:val="20"/>
              </w:rPr>
            </w:pPr>
          </w:p>
        </w:tc>
      </w:tr>
      <w:tr w:rsidR="00F52FED" w:rsidRPr="00B0658A" w14:paraId="3870E849" w14:textId="77777777" w:rsidTr="004F1366">
        <w:trPr>
          <w:trHeight w:val="170"/>
        </w:trPr>
        <w:tc>
          <w:tcPr>
            <w:tcW w:w="0" w:type="auto"/>
            <w:shd w:val="clear" w:color="auto" w:fill="auto"/>
          </w:tcPr>
          <w:p w14:paraId="2D5B72B6"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18"/>
                <w:szCs w:val="18"/>
              </w:rPr>
              <w:t>6.7</w:t>
            </w:r>
          </w:p>
        </w:tc>
        <w:tc>
          <w:tcPr>
            <w:tcW w:w="3432" w:type="dxa"/>
            <w:shd w:val="clear" w:color="auto" w:fill="auto"/>
            <w:vAlign w:val="center"/>
          </w:tcPr>
          <w:p w14:paraId="284C6FF5"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18"/>
                <w:szCs w:val="18"/>
              </w:rPr>
              <w:t>Офисные приложения/ Браузеры</w:t>
            </w:r>
          </w:p>
        </w:tc>
        <w:tc>
          <w:tcPr>
            <w:tcW w:w="1256" w:type="dxa"/>
          </w:tcPr>
          <w:p w14:paraId="176FDA8E"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3920372E"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23F19F07"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076E95AE" w14:textId="77777777" w:rsidR="0002298B" w:rsidRPr="00B0658A" w:rsidRDefault="0002298B" w:rsidP="000A4114">
            <w:pPr>
              <w:spacing w:after="0" w:line="240" w:lineRule="auto"/>
              <w:jc w:val="both"/>
              <w:rPr>
                <w:rFonts w:ascii="Times New Roman" w:hAnsi="Times New Roman"/>
                <w:i/>
                <w:iCs/>
                <w:sz w:val="20"/>
                <w:szCs w:val="20"/>
              </w:rPr>
            </w:pPr>
          </w:p>
        </w:tc>
      </w:tr>
      <w:tr w:rsidR="00F52FED" w:rsidRPr="00B0658A" w14:paraId="21765045" w14:textId="77777777" w:rsidTr="004F1366">
        <w:trPr>
          <w:trHeight w:val="170"/>
        </w:trPr>
        <w:tc>
          <w:tcPr>
            <w:tcW w:w="0" w:type="auto"/>
            <w:shd w:val="clear" w:color="auto" w:fill="auto"/>
          </w:tcPr>
          <w:p w14:paraId="5E8C1B93"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18"/>
                <w:szCs w:val="18"/>
              </w:rPr>
              <w:t>6.8</w:t>
            </w:r>
          </w:p>
        </w:tc>
        <w:tc>
          <w:tcPr>
            <w:tcW w:w="3432" w:type="dxa"/>
            <w:shd w:val="clear" w:color="auto" w:fill="auto"/>
            <w:vAlign w:val="center"/>
          </w:tcPr>
          <w:p w14:paraId="400AB530"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18"/>
                <w:szCs w:val="18"/>
              </w:rPr>
              <w:t>Офисные приложения/ Редакторы мультимедиа</w:t>
            </w:r>
          </w:p>
        </w:tc>
        <w:tc>
          <w:tcPr>
            <w:tcW w:w="1256" w:type="dxa"/>
          </w:tcPr>
          <w:p w14:paraId="75D5C3A8"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24C00057"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74D9CA44"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6231898A" w14:textId="77777777" w:rsidR="0002298B" w:rsidRPr="00B0658A" w:rsidRDefault="0002298B" w:rsidP="000A4114">
            <w:pPr>
              <w:spacing w:after="0" w:line="240" w:lineRule="auto"/>
              <w:jc w:val="both"/>
              <w:rPr>
                <w:rFonts w:ascii="Times New Roman" w:hAnsi="Times New Roman"/>
                <w:i/>
                <w:iCs/>
                <w:sz w:val="20"/>
                <w:szCs w:val="20"/>
              </w:rPr>
            </w:pPr>
          </w:p>
        </w:tc>
      </w:tr>
      <w:tr w:rsidR="00F52FED" w:rsidRPr="00B0658A" w14:paraId="5E970D72" w14:textId="77777777" w:rsidTr="004F1366">
        <w:trPr>
          <w:trHeight w:val="170"/>
        </w:trPr>
        <w:tc>
          <w:tcPr>
            <w:tcW w:w="0" w:type="auto"/>
            <w:shd w:val="clear" w:color="auto" w:fill="auto"/>
          </w:tcPr>
          <w:p w14:paraId="52F23870"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18"/>
                <w:szCs w:val="18"/>
              </w:rPr>
              <w:t>6.9</w:t>
            </w:r>
          </w:p>
        </w:tc>
        <w:tc>
          <w:tcPr>
            <w:tcW w:w="3432" w:type="dxa"/>
            <w:shd w:val="clear" w:color="auto" w:fill="auto"/>
            <w:vAlign w:val="center"/>
          </w:tcPr>
          <w:p w14:paraId="316C0491"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18"/>
                <w:szCs w:val="18"/>
              </w:rPr>
              <w:t>Офисные приложения/ Редакторы презентаций</w:t>
            </w:r>
          </w:p>
        </w:tc>
        <w:tc>
          <w:tcPr>
            <w:tcW w:w="1256" w:type="dxa"/>
          </w:tcPr>
          <w:p w14:paraId="17F80D63"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22265939"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34399369"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1FD8E35C" w14:textId="77777777" w:rsidR="0002298B" w:rsidRPr="00B0658A" w:rsidRDefault="0002298B" w:rsidP="000A4114">
            <w:pPr>
              <w:spacing w:after="0" w:line="240" w:lineRule="auto"/>
              <w:jc w:val="both"/>
              <w:rPr>
                <w:rFonts w:ascii="Times New Roman" w:hAnsi="Times New Roman"/>
                <w:i/>
                <w:iCs/>
                <w:sz w:val="20"/>
                <w:szCs w:val="20"/>
              </w:rPr>
            </w:pPr>
          </w:p>
        </w:tc>
      </w:tr>
      <w:tr w:rsidR="00F52FED" w:rsidRPr="00B0658A" w14:paraId="7677800C" w14:textId="77777777" w:rsidTr="004F1366">
        <w:trPr>
          <w:trHeight w:val="170"/>
        </w:trPr>
        <w:tc>
          <w:tcPr>
            <w:tcW w:w="0" w:type="auto"/>
            <w:shd w:val="clear" w:color="auto" w:fill="auto"/>
          </w:tcPr>
          <w:p w14:paraId="63EBC420"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18"/>
                <w:szCs w:val="18"/>
              </w:rPr>
              <w:t>6.10</w:t>
            </w:r>
          </w:p>
        </w:tc>
        <w:tc>
          <w:tcPr>
            <w:tcW w:w="3432" w:type="dxa"/>
            <w:shd w:val="clear" w:color="auto" w:fill="auto"/>
            <w:vAlign w:val="center"/>
          </w:tcPr>
          <w:p w14:paraId="66CFE72D"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18"/>
                <w:szCs w:val="18"/>
              </w:rPr>
              <w:t>Офисные приложения/ Табличные редакторы</w:t>
            </w:r>
          </w:p>
        </w:tc>
        <w:tc>
          <w:tcPr>
            <w:tcW w:w="1256" w:type="dxa"/>
          </w:tcPr>
          <w:p w14:paraId="50E4843C"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69B1D84C"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66C3C807"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7FDDAE5F" w14:textId="77777777" w:rsidR="0002298B" w:rsidRPr="00B0658A" w:rsidRDefault="0002298B" w:rsidP="000A4114">
            <w:pPr>
              <w:spacing w:after="0" w:line="240" w:lineRule="auto"/>
              <w:jc w:val="both"/>
              <w:rPr>
                <w:rFonts w:ascii="Times New Roman" w:hAnsi="Times New Roman"/>
                <w:i/>
                <w:iCs/>
                <w:sz w:val="20"/>
                <w:szCs w:val="20"/>
              </w:rPr>
            </w:pPr>
          </w:p>
        </w:tc>
      </w:tr>
      <w:tr w:rsidR="00F52FED" w:rsidRPr="00B0658A" w14:paraId="0D044ECB" w14:textId="77777777" w:rsidTr="004F1366">
        <w:trPr>
          <w:trHeight w:val="170"/>
        </w:trPr>
        <w:tc>
          <w:tcPr>
            <w:tcW w:w="0" w:type="auto"/>
            <w:shd w:val="clear" w:color="auto" w:fill="auto"/>
          </w:tcPr>
          <w:p w14:paraId="61785135"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18"/>
                <w:szCs w:val="18"/>
              </w:rPr>
              <w:t>6.11</w:t>
            </w:r>
          </w:p>
        </w:tc>
        <w:tc>
          <w:tcPr>
            <w:tcW w:w="3432" w:type="dxa"/>
            <w:shd w:val="clear" w:color="auto" w:fill="auto"/>
            <w:vAlign w:val="center"/>
          </w:tcPr>
          <w:p w14:paraId="5FD03A0A"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18"/>
                <w:szCs w:val="18"/>
              </w:rPr>
              <w:t>Офисные приложения/ Текстовые редакторы</w:t>
            </w:r>
          </w:p>
        </w:tc>
        <w:tc>
          <w:tcPr>
            <w:tcW w:w="1256" w:type="dxa"/>
          </w:tcPr>
          <w:p w14:paraId="524F7F07"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4EC910E0"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12993958"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1B39A1E3" w14:textId="77777777" w:rsidR="0002298B" w:rsidRPr="00B0658A" w:rsidRDefault="0002298B" w:rsidP="000A4114">
            <w:pPr>
              <w:spacing w:after="0" w:line="240" w:lineRule="auto"/>
              <w:jc w:val="both"/>
              <w:rPr>
                <w:rFonts w:ascii="Times New Roman" w:hAnsi="Times New Roman"/>
                <w:i/>
                <w:iCs/>
                <w:sz w:val="20"/>
                <w:szCs w:val="20"/>
              </w:rPr>
            </w:pPr>
          </w:p>
        </w:tc>
      </w:tr>
      <w:tr w:rsidR="00F52FED" w:rsidRPr="00B0658A" w14:paraId="01CCED97" w14:textId="77777777" w:rsidTr="004F1366">
        <w:trPr>
          <w:trHeight w:val="170"/>
        </w:trPr>
        <w:tc>
          <w:tcPr>
            <w:tcW w:w="0" w:type="auto"/>
            <w:shd w:val="clear" w:color="auto" w:fill="auto"/>
          </w:tcPr>
          <w:p w14:paraId="794F869A"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18"/>
                <w:szCs w:val="18"/>
              </w:rPr>
              <w:t>6.12</w:t>
            </w:r>
          </w:p>
        </w:tc>
        <w:tc>
          <w:tcPr>
            <w:tcW w:w="3432" w:type="dxa"/>
            <w:shd w:val="clear" w:color="auto" w:fill="auto"/>
            <w:vAlign w:val="center"/>
          </w:tcPr>
          <w:p w14:paraId="7AEBBF5F"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18"/>
                <w:szCs w:val="18"/>
              </w:rPr>
              <w:t>Офисные приложения/ Программное обеспечение средств электронного документооборота</w:t>
            </w:r>
          </w:p>
        </w:tc>
        <w:tc>
          <w:tcPr>
            <w:tcW w:w="1256" w:type="dxa"/>
          </w:tcPr>
          <w:p w14:paraId="4119A269"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0F787C93"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1C4FD27F"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3D4B035D" w14:textId="77777777" w:rsidR="0002298B" w:rsidRPr="00B0658A" w:rsidRDefault="0002298B" w:rsidP="000A4114">
            <w:pPr>
              <w:spacing w:after="0" w:line="240" w:lineRule="auto"/>
              <w:jc w:val="both"/>
              <w:rPr>
                <w:rFonts w:ascii="Times New Roman" w:hAnsi="Times New Roman"/>
                <w:i/>
                <w:iCs/>
                <w:sz w:val="20"/>
                <w:szCs w:val="20"/>
              </w:rPr>
            </w:pPr>
          </w:p>
        </w:tc>
      </w:tr>
      <w:tr w:rsidR="00F52FED" w:rsidRPr="00B0658A" w14:paraId="558A1C95" w14:textId="77777777" w:rsidTr="004F1366">
        <w:trPr>
          <w:trHeight w:val="170"/>
        </w:trPr>
        <w:tc>
          <w:tcPr>
            <w:tcW w:w="0" w:type="auto"/>
            <w:shd w:val="clear" w:color="auto" w:fill="auto"/>
          </w:tcPr>
          <w:p w14:paraId="2DC3756D"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18"/>
                <w:szCs w:val="18"/>
              </w:rPr>
              <w:t>7.1</w:t>
            </w:r>
          </w:p>
        </w:tc>
        <w:tc>
          <w:tcPr>
            <w:tcW w:w="3432" w:type="dxa"/>
            <w:shd w:val="clear" w:color="auto" w:fill="auto"/>
            <w:vAlign w:val="center"/>
          </w:tcPr>
          <w:p w14:paraId="3E7C9996"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18"/>
                <w:szCs w:val="18"/>
              </w:rPr>
              <w:t xml:space="preserve">Лингвистическое программное обеспечение/ Парсеры </w:t>
            </w:r>
            <w:r w:rsidRPr="00B0658A">
              <w:rPr>
                <w:rFonts w:ascii="Times New Roman" w:hAnsi="Times New Roman"/>
                <w:sz w:val="18"/>
                <w:szCs w:val="18"/>
              </w:rPr>
              <w:br/>
              <w:t>и семантические анализаторы</w:t>
            </w:r>
          </w:p>
        </w:tc>
        <w:tc>
          <w:tcPr>
            <w:tcW w:w="1256" w:type="dxa"/>
          </w:tcPr>
          <w:p w14:paraId="4D1CE8CE"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691C1474"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75499C60"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240100D8" w14:textId="77777777" w:rsidR="0002298B" w:rsidRPr="00B0658A" w:rsidRDefault="0002298B" w:rsidP="000A4114">
            <w:pPr>
              <w:spacing w:after="0" w:line="240" w:lineRule="auto"/>
              <w:jc w:val="both"/>
              <w:rPr>
                <w:rFonts w:ascii="Times New Roman" w:hAnsi="Times New Roman"/>
                <w:i/>
                <w:iCs/>
                <w:sz w:val="20"/>
                <w:szCs w:val="20"/>
              </w:rPr>
            </w:pPr>
          </w:p>
        </w:tc>
      </w:tr>
      <w:tr w:rsidR="00F52FED" w:rsidRPr="00B0658A" w14:paraId="577F3F56" w14:textId="77777777" w:rsidTr="004F1366">
        <w:trPr>
          <w:trHeight w:val="170"/>
        </w:trPr>
        <w:tc>
          <w:tcPr>
            <w:tcW w:w="0" w:type="auto"/>
            <w:shd w:val="clear" w:color="auto" w:fill="auto"/>
          </w:tcPr>
          <w:p w14:paraId="2E777039"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18"/>
                <w:szCs w:val="18"/>
              </w:rPr>
              <w:t>7.2</w:t>
            </w:r>
          </w:p>
        </w:tc>
        <w:tc>
          <w:tcPr>
            <w:tcW w:w="3432" w:type="dxa"/>
            <w:shd w:val="clear" w:color="auto" w:fill="auto"/>
            <w:vAlign w:val="center"/>
          </w:tcPr>
          <w:p w14:paraId="37190A5B"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18"/>
                <w:szCs w:val="18"/>
              </w:rPr>
              <w:t>Лингвистическое программное обеспечение/ Средства речевого перевода</w:t>
            </w:r>
          </w:p>
        </w:tc>
        <w:tc>
          <w:tcPr>
            <w:tcW w:w="1256" w:type="dxa"/>
          </w:tcPr>
          <w:p w14:paraId="56AF221E"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17BCC9AB"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409166C2"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251FFED0" w14:textId="77777777" w:rsidR="0002298B" w:rsidRPr="00B0658A" w:rsidRDefault="0002298B" w:rsidP="000A4114">
            <w:pPr>
              <w:spacing w:after="0" w:line="240" w:lineRule="auto"/>
              <w:jc w:val="both"/>
              <w:rPr>
                <w:rFonts w:ascii="Times New Roman" w:hAnsi="Times New Roman"/>
                <w:i/>
                <w:iCs/>
                <w:sz w:val="20"/>
                <w:szCs w:val="20"/>
              </w:rPr>
            </w:pPr>
          </w:p>
        </w:tc>
      </w:tr>
      <w:tr w:rsidR="00F52FED" w:rsidRPr="00B0658A" w14:paraId="5096B570" w14:textId="77777777" w:rsidTr="004F1366">
        <w:trPr>
          <w:trHeight w:val="170"/>
        </w:trPr>
        <w:tc>
          <w:tcPr>
            <w:tcW w:w="0" w:type="auto"/>
            <w:shd w:val="clear" w:color="auto" w:fill="auto"/>
          </w:tcPr>
          <w:p w14:paraId="47ADB4E9"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18"/>
                <w:szCs w:val="18"/>
              </w:rPr>
              <w:t>7.3</w:t>
            </w:r>
          </w:p>
        </w:tc>
        <w:tc>
          <w:tcPr>
            <w:tcW w:w="3432" w:type="dxa"/>
            <w:shd w:val="clear" w:color="auto" w:fill="auto"/>
            <w:vAlign w:val="center"/>
          </w:tcPr>
          <w:p w14:paraId="6E023358"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18"/>
                <w:szCs w:val="18"/>
              </w:rPr>
              <w:t>Лингвистическое программное обеспечение/ Средства распознавания символов</w:t>
            </w:r>
          </w:p>
        </w:tc>
        <w:tc>
          <w:tcPr>
            <w:tcW w:w="1256" w:type="dxa"/>
          </w:tcPr>
          <w:p w14:paraId="6578BBF7"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63CFDC74"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3849334B"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6B41A653" w14:textId="77777777" w:rsidR="0002298B" w:rsidRPr="00B0658A" w:rsidRDefault="0002298B" w:rsidP="000A4114">
            <w:pPr>
              <w:spacing w:after="0" w:line="240" w:lineRule="auto"/>
              <w:jc w:val="both"/>
              <w:rPr>
                <w:rFonts w:ascii="Times New Roman" w:hAnsi="Times New Roman"/>
                <w:i/>
                <w:iCs/>
                <w:sz w:val="20"/>
                <w:szCs w:val="20"/>
              </w:rPr>
            </w:pPr>
          </w:p>
        </w:tc>
      </w:tr>
      <w:tr w:rsidR="00F52FED" w:rsidRPr="00B0658A" w14:paraId="5A8ECE3A" w14:textId="77777777" w:rsidTr="004F1366">
        <w:trPr>
          <w:trHeight w:val="170"/>
        </w:trPr>
        <w:tc>
          <w:tcPr>
            <w:tcW w:w="0" w:type="auto"/>
            <w:shd w:val="clear" w:color="auto" w:fill="auto"/>
          </w:tcPr>
          <w:p w14:paraId="40BB6A1F"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18"/>
                <w:szCs w:val="18"/>
              </w:rPr>
              <w:t>7.4</w:t>
            </w:r>
          </w:p>
        </w:tc>
        <w:tc>
          <w:tcPr>
            <w:tcW w:w="3432" w:type="dxa"/>
            <w:shd w:val="clear" w:color="auto" w:fill="auto"/>
            <w:vAlign w:val="center"/>
          </w:tcPr>
          <w:p w14:paraId="70E2F855"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18"/>
                <w:szCs w:val="18"/>
              </w:rPr>
              <w:t>Лингвистическое программное обеспечение/ Средства распознавания и синтеза речи</w:t>
            </w:r>
          </w:p>
        </w:tc>
        <w:tc>
          <w:tcPr>
            <w:tcW w:w="1256" w:type="dxa"/>
          </w:tcPr>
          <w:p w14:paraId="4E5DC33F"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7E183727"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0208C942"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261DA6A5" w14:textId="77777777" w:rsidR="0002298B" w:rsidRPr="00B0658A" w:rsidRDefault="0002298B" w:rsidP="000A4114">
            <w:pPr>
              <w:spacing w:after="0" w:line="240" w:lineRule="auto"/>
              <w:jc w:val="both"/>
              <w:rPr>
                <w:rFonts w:ascii="Times New Roman" w:hAnsi="Times New Roman"/>
                <w:i/>
                <w:iCs/>
                <w:sz w:val="20"/>
                <w:szCs w:val="20"/>
              </w:rPr>
            </w:pPr>
          </w:p>
        </w:tc>
      </w:tr>
      <w:tr w:rsidR="00F52FED" w:rsidRPr="00B0658A" w14:paraId="5E3C8D4D" w14:textId="77777777" w:rsidTr="004F1366">
        <w:trPr>
          <w:trHeight w:val="170"/>
        </w:trPr>
        <w:tc>
          <w:tcPr>
            <w:tcW w:w="0" w:type="auto"/>
            <w:shd w:val="clear" w:color="auto" w:fill="auto"/>
          </w:tcPr>
          <w:p w14:paraId="338A6016"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18"/>
                <w:szCs w:val="18"/>
              </w:rPr>
              <w:t>7.5</w:t>
            </w:r>
          </w:p>
        </w:tc>
        <w:tc>
          <w:tcPr>
            <w:tcW w:w="3432" w:type="dxa"/>
            <w:shd w:val="clear" w:color="auto" w:fill="auto"/>
            <w:vAlign w:val="center"/>
          </w:tcPr>
          <w:p w14:paraId="5E94FDBD"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18"/>
                <w:szCs w:val="18"/>
              </w:rPr>
              <w:t>Лингвистическое программное обеспечение/ Средства автоматизированного перевода</w:t>
            </w:r>
          </w:p>
        </w:tc>
        <w:tc>
          <w:tcPr>
            <w:tcW w:w="1256" w:type="dxa"/>
          </w:tcPr>
          <w:p w14:paraId="14D71C05"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1B5AB5EC"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0201EADE"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1E9BE8BE" w14:textId="77777777" w:rsidR="0002298B" w:rsidRPr="00B0658A" w:rsidRDefault="0002298B" w:rsidP="000A4114">
            <w:pPr>
              <w:spacing w:after="0" w:line="240" w:lineRule="auto"/>
              <w:jc w:val="both"/>
              <w:rPr>
                <w:rFonts w:ascii="Times New Roman" w:hAnsi="Times New Roman"/>
                <w:i/>
                <w:iCs/>
                <w:sz w:val="20"/>
                <w:szCs w:val="20"/>
              </w:rPr>
            </w:pPr>
          </w:p>
        </w:tc>
      </w:tr>
      <w:tr w:rsidR="00F52FED" w:rsidRPr="00B0658A" w14:paraId="18DF4B2C" w14:textId="77777777" w:rsidTr="004F1366">
        <w:trPr>
          <w:trHeight w:val="170"/>
        </w:trPr>
        <w:tc>
          <w:tcPr>
            <w:tcW w:w="0" w:type="auto"/>
            <w:shd w:val="clear" w:color="auto" w:fill="auto"/>
          </w:tcPr>
          <w:p w14:paraId="5405B05E"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18"/>
                <w:szCs w:val="18"/>
              </w:rPr>
              <w:t>7.6</w:t>
            </w:r>
          </w:p>
        </w:tc>
        <w:tc>
          <w:tcPr>
            <w:tcW w:w="3432" w:type="dxa"/>
            <w:shd w:val="clear" w:color="auto" w:fill="auto"/>
            <w:vAlign w:val="center"/>
          </w:tcPr>
          <w:p w14:paraId="794BE77A"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18"/>
                <w:szCs w:val="18"/>
              </w:rPr>
              <w:t>Лингвистическое программное обеспечение/ Электронные словари</w:t>
            </w:r>
          </w:p>
        </w:tc>
        <w:tc>
          <w:tcPr>
            <w:tcW w:w="1256" w:type="dxa"/>
          </w:tcPr>
          <w:p w14:paraId="6FFC31A6"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390990BC"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3F0257A3"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57E8CBCD" w14:textId="77777777" w:rsidR="0002298B" w:rsidRPr="00B0658A" w:rsidRDefault="0002298B" w:rsidP="000A4114">
            <w:pPr>
              <w:spacing w:after="0" w:line="240" w:lineRule="auto"/>
              <w:jc w:val="both"/>
              <w:rPr>
                <w:rFonts w:ascii="Times New Roman" w:hAnsi="Times New Roman"/>
                <w:i/>
                <w:iCs/>
                <w:sz w:val="20"/>
                <w:szCs w:val="20"/>
              </w:rPr>
            </w:pPr>
          </w:p>
        </w:tc>
      </w:tr>
      <w:tr w:rsidR="00F52FED" w:rsidRPr="00B0658A" w14:paraId="3D0ED15C" w14:textId="77777777" w:rsidTr="004F1366">
        <w:trPr>
          <w:trHeight w:val="170"/>
        </w:trPr>
        <w:tc>
          <w:tcPr>
            <w:tcW w:w="0" w:type="auto"/>
            <w:shd w:val="clear" w:color="auto" w:fill="auto"/>
          </w:tcPr>
          <w:p w14:paraId="49538657"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18"/>
                <w:szCs w:val="18"/>
              </w:rPr>
              <w:t>7.7</w:t>
            </w:r>
          </w:p>
        </w:tc>
        <w:tc>
          <w:tcPr>
            <w:tcW w:w="3432" w:type="dxa"/>
            <w:shd w:val="clear" w:color="auto" w:fill="auto"/>
            <w:vAlign w:val="center"/>
          </w:tcPr>
          <w:p w14:paraId="245589A7"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18"/>
                <w:szCs w:val="18"/>
              </w:rPr>
              <w:t>Лингвистическое программное обеспечение/ Средства проверки правописания</w:t>
            </w:r>
          </w:p>
        </w:tc>
        <w:tc>
          <w:tcPr>
            <w:tcW w:w="1256" w:type="dxa"/>
          </w:tcPr>
          <w:p w14:paraId="008EA18A"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7AD7E4C0"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476F8DBD"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1D9D77EF" w14:textId="77777777" w:rsidR="0002298B" w:rsidRPr="00B0658A" w:rsidRDefault="0002298B" w:rsidP="000A4114">
            <w:pPr>
              <w:spacing w:after="0" w:line="240" w:lineRule="auto"/>
              <w:jc w:val="both"/>
              <w:rPr>
                <w:rFonts w:ascii="Times New Roman" w:hAnsi="Times New Roman"/>
                <w:i/>
                <w:iCs/>
                <w:sz w:val="20"/>
                <w:szCs w:val="20"/>
              </w:rPr>
            </w:pPr>
          </w:p>
        </w:tc>
      </w:tr>
      <w:tr w:rsidR="00F52FED" w:rsidRPr="00B0658A" w14:paraId="7841CE94" w14:textId="77777777" w:rsidTr="004F1366">
        <w:trPr>
          <w:trHeight w:val="170"/>
        </w:trPr>
        <w:tc>
          <w:tcPr>
            <w:tcW w:w="0" w:type="auto"/>
            <w:shd w:val="clear" w:color="auto" w:fill="auto"/>
          </w:tcPr>
          <w:p w14:paraId="7C827F79"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18"/>
                <w:szCs w:val="18"/>
              </w:rPr>
              <w:t>8.1</w:t>
            </w:r>
          </w:p>
        </w:tc>
        <w:tc>
          <w:tcPr>
            <w:tcW w:w="3432" w:type="dxa"/>
            <w:shd w:val="clear" w:color="auto" w:fill="auto"/>
            <w:vAlign w:val="center"/>
          </w:tcPr>
          <w:p w14:paraId="356148FB"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18"/>
                <w:szCs w:val="18"/>
              </w:rPr>
              <w:t xml:space="preserve">Промышленное программное обеспечение/ Средства управления жизненным циклом изделия (PLM) </w:t>
            </w:r>
          </w:p>
        </w:tc>
        <w:tc>
          <w:tcPr>
            <w:tcW w:w="1256" w:type="dxa"/>
          </w:tcPr>
          <w:p w14:paraId="7039A11E"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6DE6F73A"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50A76BAC"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41DA8C36" w14:textId="77777777" w:rsidR="0002298B" w:rsidRPr="00B0658A" w:rsidRDefault="0002298B" w:rsidP="000A4114">
            <w:pPr>
              <w:spacing w:after="0" w:line="240" w:lineRule="auto"/>
              <w:jc w:val="both"/>
              <w:rPr>
                <w:rFonts w:ascii="Times New Roman" w:hAnsi="Times New Roman"/>
                <w:i/>
                <w:iCs/>
                <w:sz w:val="20"/>
                <w:szCs w:val="20"/>
              </w:rPr>
            </w:pPr>
          </w:p>
        </w:tc>
      </w:tr>
      <w:tr w:rsidR="00F52FED" w:rsidRPr="00B0658A" w14:paraId="2B944780" w14:textId="77777777" w:rsidTr="004F1366">
        <w:trPr>
          <w:trHeight w:val="170"/>
        </w:trPr>
        <w:tc>
          <w:tcPr>
            <w:tcW w:w="0" w:type="auto"/>
            <w:shd w:val="clear" w:color="auto" w:fill="auto"/>
          </w:tcPr>
          <w:p w14:paraId="0F9EF13D"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18"/>
                <w:szCs w:val="18"/>
              </w:rPr>
              <w:t>8.2</w:t>
            </w:r>
          </w:p>
        </w:tc>
        <w:tc>
          <w:tcPr>
            <w:tcW w:w="3432" w:type="dxa"/>
            <w:shd w:val="clear" w:color="auto" w:fill="auto"/>
            <w:vAlign w:val="center"/>
          </w:tcPr>
          <w:p w14:paraId="5F99732C"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18"/>
                <w:szCs w:val="18"/>
              </w:rPr>
              <w:t>Промышленное программное обеспечение/ Универсальные машиностроительные средства автоматизированного проектирования (MCAD)</w:t>
            </w:r>
          </w:p>
        </w:tc>
        <w:tc>
          <w:tcPr>
            <w:tcW w:w="1256" w:type="dxa"/>
          </w:tcPr>
          <w:p w14:paraId="1CE439CD"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7A8A26A4"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20F9521F"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17D04283" w14:textId="77777777" w:rsidR="0002298B" w:rsidRPr="00B0658A" w:rsidRDefault="0002298B" w:rsidP="000A4114">
            <w:pPr>
              <w:spacing w:after="0" w:line="240" w:lineRule="auto"/>
              <w:jc w:val="both"/>
              <w:rPr>
                <w:rFonts w:ascii="Times New Roman" w:hAnsi="Times New Roman"/>
                <w:i/>
                <w:iCs/>
                <w:sz w:val="20"/>
                <w:szCs w:val="20"/>
              </w:rPr>
            </w:pPr>
          </w:p>
        </w:tc>
      </w:tr>
      <w:tr w:rsidR="00F52FED" w:rsidRPr="00B0658A" w14:paraId="55D1AF91" w14:textId="77777777" w:rsidTr="004F1366">
        <w:trPr>
          <w:trHeight w:val="170"/>
        </w:trPr>
        <w:tc>
          <w:tcPr>
            <w:tcW w:w="0" w:type="auto"/>
            <w:shd w:val="clear" w:color="auto" w:fill="auto"/>
          </w:tcPr>
          <w:p w14:paraId="7287BDE8"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18"/>
                <w:szCs w:val="18"/>
              </w:rPr>
              <w:t>8.3</w:t>
            </w:r>
          </w:p>
        </w:tc>
        <w:tc>
          <w:tcPr>
            <w:tcW w:w="3432" w:type="dxa"/>
            <w:shd w:val="clear" w:color="auto" w:fill="auto"/>
            <w:vAlign w:val="center"/>
          </w:tcPr>
          <w:p w14:paraId="5C8D6743"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18"/>
                <w:szCs w:val="18"/>
              </w:rPr>
              <w:t>Промышленное программное обеспечение/ Средства автоматизированного проектирования (CAD)</w:t>
            </w:r>
          </w:p>
        </w:tc>
        <w:tc>
          <w:tcPr>
            <w:tcW w:w="1256" w:type="dxa"/>
          </w:tcPr>
          <w:p w14:paraId="37BF6A74"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4563BA4F"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1DEF3E32"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7E31C14D" w14:textId="77777777" w:rsidR="0002298B" w:rsidRPr="00B0658A" w:rsidRDefault="0002298B" w:rsidP="000A4114">
            <w:pPr>
              <w:spacing w:after="0" w:line="240" w:lineRule="auto"/>
              <w:jc w:val="both"/>
              <w:rPr>
                <w:rFonts w:ascii="Times New Roman" w:hAnsi="Times New Roman"/>
                <w:i/>
                <w:iCs/>
                <w:sz w:val="20"/>
                <w:szCs w:val="20"/>
              </w:rPr>
            </w:pPr>
          </w:p>
        </w:tc>
      </w:tr>
      <w:tr w:rsidR="00F52FED" w:rsidRPr="00B0658A" w14:paraId="342A2EA4" w14:textId="77777777" w:rsidTr="004F1366">
        <w:trPr>
          <w:trHeight w:val="170"/>
        </w:trPr>
        <w:tc>
          <w:tcPr>
            <w:tcW w:w="0" w:type="auto"/>
            <w:shd w:val="clear" w:color="auto" w:fill="auto"/>
          </w:tcPr>
          <w:p w14:paraId="68492C9C"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18"/>
                <w:szCs w:val="18"/>
              </w:rPr>
              <w:t>8.4</w:t>
            </w:r>
          </w:p>
        </w:tc>
        <w:tc>
          <w:tcPr>
            <w:tcW w:w="3432" w:type="dxa"/>
            <w:shd w:val="clear" w:color="auto" w:fill="auto"/>
            <w:vAlign w:val="center"/>
          </w:tcPr>
          <w:p w14:paraId="5A413BD4"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18"/>
                <w:szCs w:val="18"/>
              </w:rPr>
              <w:t xml:space="preserve">Промышленное программное обеспечение/ Средства автоматизированного проектирования для радиоэлектроники </w:t>
            </w:r>
            <w:r w:rsidRPr="00B0658A">
              <w:rPr>
                <w:rFonts w:ascii="Times New Roman" w:hAnsi="Times New Roman"/>
                <w:sz w:val="18"/>
                <w:szCs w:val="18"/>
              </w:rPr>
              <w:br/>
              <w:t>и электротехники (ECAD, EDA)</w:t>
            </w:r>
          </w:p>
        </w:tc>
        <w:tc>
          <w:tcPr>
            <w:tcW w:w="1256" w:type="dxa"/>
          </w:tcPr>
          <w:p w14:paraId="13A12815"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288B6EF8"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082CE28F"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3CFC3FD9" w14:textId="77777777" w:rsidR="0002298B" w:rsidRPr="00B0658A" w:rsidRDefault="0002298B" w:rsidP="000A4114">
            <w:pPr>
              <w:spacing w:after="0" w:line="240" w:lineRule="auto"/>
              <w:jc w:val="both"/>
              <w:rPr>
                <w:rFonts w:ascii="Times New Roman" w:hAnsi="Times New Roman"/>
                <w:i/>
                <w:iCs/>
                <w:sz w:val="20"/>
                <w:szCs w:val="20"/>
              </w:rPr>
            </w:pPr>
          </w:p>
        </w:tc>
      </w:tr>
      <w:tr w:rsidR="00F52FED" w:rsidRPr="00B0658A" w14:paraId="1AB6B275" w14:textId="77777777" w:rsidTr="004F1366">
        <w:trPr>
          <w:trHeight w:val="170"/>
        </w:trPr>
        <w:tc>
          <w:tcPr>
            <w:tcW w:w="0" w:type="auto"/>
            <w:shd w:val="clear" w:color="auto" w:fill="auto"/>
          </w:tcPr>
          <w:p w14:paraId="514C1601"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18"/>
                <w:szCs w:val="18"/>
              </w:rPr>
              <w:t>8.5</w:t>
            </w:r>
          </w:p>
        </w:tc>
        <w:tc>
          <w:tcPr>
            <w:tcW w:w="3432" w:type="dxa"/>
            <w:shd w:val="clear" w:color="auto" w:fill="auto"/>
            <w:vAlign w:val="center"/>
          </w:tcPr>
          <w:p w14:paraId="6EF508B1"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18"/>
                <w:szCs w:val="18"/>
              </w:rPr>
              <w:t>Промышленное программное обеспечение/ Средства инженерного анализа (CAE)</w:t>
            </w:r>
          </w:p>
        </w:tc>
        <w:tc>
          <w:tcPr>
            <w:tcW w:w="1256" w:type="dxa"/>
          </w:tcPr>
          <w:p w14:paraId="495B5075"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4F2A708B"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2A2C6EBF"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05A15E98" w14:textId="77777777" w:rsidR="0002298B" w:rsidRPr="00B0658A" w:rsidRDefault="0002298B" w:rsidP="000A4114">
            <w:pPr>
              <w:spacing w:after="0" w:line="240" w:lineRule="auto"/>
              <w:jc w:val="both"/>
              <w:rPr>
                <w:rFonts w:ascii="Times New Roman" w:hAnsi="Times New Roman"/>
                <w:i/>
                <w:iCs/>
                <w:sz w:val="20"/>
                <w:szCs w:val="20"/>
              </w:rPr>
            </w:pPr>
          </w:p>
        </w:tc>
      </w:tr>
      <w:tr w:rsidR="00F52FED" w:rsidRPr="00B0658A" w14:paraId="4C470F85" w14:textId="77777777" w:rsidTr="004F1366">
        <w:trPr>
          <w:trHeight w:val="170"/>
        </w:trPr>
        <w:tc>
          <w:tcPr>
            <w:tcW w:w="0" w:type="auto"/>
            <w:shd w:val="clear" w:color="auto" w:fill="auto"/>
          </w:tcPr>
          <w:p w14:paraId="6DE8DFAF"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18"/>
                <w:szCs w:val="18"/>
              </w:rPr>
              <w:t>8.6</w:t>
            </w:r>
          </w:p>
        </w:tc>
        <w:tc>
          <w:tcPr>
            <w:tcW w:w="3432" w:type="dxa"/>
            <w:shd w:val="clear" w:color="auto" w:fill="auto"/>
            <w:vAlign w:val="center"/>
          </w:tcPr>
          <w:p w14:paraId="19DA2AB9"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18"/>
                <w:szCs w:val="18"/>
              </w:rPr>
              <w:t>Промышленное программное обеспечение/ Средства управления оборудованием с числовым программным управлением (CAM)</w:t>
            </w:r>
          </w:p>
        </w:tc>
        <w:tc>
          <w:tcPr>
            <w:tcW w:w="1256" w:type="dxa"/>
          </w:tcPr>
          <w:p w14:paraId="61A5AF48"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2C424037"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04A63668"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7781DEA3" w14:textId="77777777" w:rsidR="0002298B" w:rsidRPr="00B0658A" w:rsidRDefault="0002298B" w:rsidP="000A4114">
            <w:pPr>
              <w:spacing w:after="0" w:line="240" w:lineRule="auto"/>
              <w:jc w:val="both"/>
              <w:rPr>
                <w:rFonts w:ascii="Times New Roman" w:hAnsi="Times New Roman"/>
                <w:i/>
                <w:iCs/>
                <w:sz w:val="20"/>
                <w:szCs w:val="20"/>
              </w:rPr>
            </w:pPr>
          </w:p>
        </w:tc>
      </w:tr>
      <w:tr w:rsidR="00F52FED" w:rsidRPr="00B0658A" w14:paraId="1F286A57" w14:textId="77777777" w:rsidTr="004F1366">
        <w:trPr>
          <w:trHeight w:val="170"/>
        </w:trPr>
        <w:tc>
          <w:tcPr>
            <w:tcW w:w="0" w:type="auto"/>
            <w:shd w:val="clear" w:color="auto" w:fill="auto"/>
          </w:tcPr>
          <w:p w14:paraId="5D2B4857"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18"/>
                <w:szCs w:val="18"/>
              </w:rPr>
              <w:t>8.7</w:t>
            </w:r>
          </w:p>
        </w:tc>
        <w:tc>
          <w:tcPr>
            <w:tcW w:w="3432" w:type="dxa"/>
            <w:shd w:val="clear" w:color="auto" w:fill="auto"/>
            <w:vAlign w:val="center"/>
          </w:tcPr>
          <w:p w14:paraId="60832871"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18"/>
                <w:szCs w:val="18"/>
              </w:rPr>
              <w:t>Промышленное программное обеспечение/ Средства технологической подготовки производства (CAPP)</w:t>
            </w:r>
          </w:p>
        </w:tc>
        <w:tc>
          <w:tcPr>
            <w:tcW w:w="1256" w:type="dxa"/>
          </w:tcPr>
          <w:p w14:paraId="22B3540A"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54ABC711"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5D00C34C"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01511893" w14:textId="77777777" w:rsidR="0002298B" w:rsidRPr="00B0658A" w:rsidRDefault="0002298B" w:rsidP="000A4114">
            <w:pPr>
              <w:spacing w:after="0" w:line="240" w:lineRule="auto"/>
              <w:jc w:val="both"/>
              <w:rPr>
                <w:rFonts w:ascii="Times New Roman" w:hAnsi="Times New Roman"/>
                <w:i/>
                <w:iCs/>
                <w:sz w:val="20"/>
                <w:szCs w:val="20"/>
              </w:rPr>
            </w:pPr>
          </w:p>
        </w:tc>
      </w:tr>
      <w:tr w:rsidR="00F52FED" w:rsidRPr="00B0658A" w14:paraId="637C68D2" w14:textId="77777777" w:rsidTr="004F1366">
        <w:trPr>
          <w:trHeight w:val="170"/>
        </w:trPr>
        <w:tc>
          <w:tcPr>
            <w:tcW w:w="0" w:type="auto"/>
            <w:shd w:val="clear" w:color="auto" w:fill="auto"/>
          </w:tcPr>
          <w:p w14:paraId="6C844227"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18"/>
                <w:szCs w:val="18"/>
              </w:rPr>
              <w:t>8.8</w:t>
            </w:r>
          </w:p>
        </w:tc>
        <w:tc>
          <w:tcPr>
            <w:tcW w:w="3432" w:type="dxa"/>
            <w:shd w:val="clear" w:color="auto" w:fill="auto"/>
            <w:vAlign w:val="center"/>
          </w:tcPr>
          <w:p w14:paraId="28EAC080"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18"/>
                <w:szCs w:val="18"/>
              </w:rPr>
              <w:t xml:space="preserve">Промышленное программное обеспечение/ Средства управления инженерными данными </w:t>
            </w:r>
            <w:r w:rsidRPr="00B0658A">
              <w:rPr>
                <w:rFonts w:ascii="Times New Roman" w:hAnsi="Times New Roman"/>
                <w:sz w:val="18"/>
                <w:szCs w:val="18"/>
              </w:rPr>
              <w:br/>
              <w:t>об изделии (PDM)</w:t>
            </w:r>
          </w:p>
        </w:tc>
        <w:tc>
          <w:tcPr>
            <w:tcW w:w="1256" w:type="dxa"/>
          </w:tcPr>
          <w:p w14:paraId="50E7C724"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66CF8558"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423B75EF"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7E281A0D" w14:textId="77777777" w:rsidR="0002298B" w:rsidRPr="00B0658A" w:rsidRDefault="0002298B" w:rsidP="000A4114">
            <w:pPr>
              <w:spacing w:after="0" w:line="240" w:lineRule="auto"/>
              <w:jc w:val="both"/>
              <w:rPr>
                <w:rFonts w:ascii="Times New Roman" w:hAnsi="Times New Roman"/>
                <w:i/>
                <w:iCs/>
                <w:sz w:val="20"/>
                <w:szCs w:val="20"/>
              </w:rPr>
            </w:pPr>
          </w:p>
        </w:tc>
      </w:tr>
      <w:tr w:rsidR="00F52FED" w:rsidRPr="00B0658A" w14:paraId="0C0D7802" w14:textId="77777777" w:rsidTr="004F1366">
        <w:trPr>
          <w:trHeight w:val="170"/>
        </w:trPr>
        <w:tc>
          <w:tcPr>
            <w:tcW w:w="0" w:type="auto"/>
            <w:shd w:val="clear" w:color="auto" w:fill="auto"/>
          </w:tcPr>
          <w:p w14:paraId="36CE231F"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18"/>
                <w:szCs w:val="18"/>
              </w:rPr>
              <w:t>8.9</w:t>
            </w:r>
          </w:p>
        </w:tc>
        <w:tc>
          <w:tcPr>
            <w:tcW w:w="3432" w:type="dxa"/>
            <w:shd w:val="clear" w:color="auto" w:fill="auto"/>
            <w:vAlign w:val="center"/>
          </w:tcPr>
          <w:p w14:paraId="1D262625"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18"/>
                <w:szCs w:val="18"/>
              </w:rPr>
              <w:t xml:space="preserve">Промышленное программное обеспечение / Средства информационного моделирования зданий </w:t>
            </w:r>
            <w:r w:rsidRPr="00B0658A">
              <w:rPr>
                <w:rFonts w:ascii="Times New Roman" w:hAnsi="Times New Roman"/>
                <w:sz w:val="18"/>
                <w:szCs w:val="18"/>
              </w:rPr>
              <w:br/>
              <w:t>и сооружений, архитектурно-строительного проектирования (BIM, AEC CAD)</w:t>
            </w:r>
          </w:p>
        </w:tc>
        <w:tc>
          <w:tcPr>
            <w:tcW w:w="1256" w:type="dxa"/>
          </w:tcPr>
          <w:p w14:paraId="5B9210AA"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0D961E94"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531FDEEB"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08B7BE55" w14:textId="77777777" w:rsidR="0002298B" w:rsidRPr="00B0658A" w:rsidRDefault="0002298B" w:rsidP="000A4114">
            <w:pPr>
              <w:spacing w:after="0" w:line="240" w:lineRule="auto"/>
              <w:jc w:val="both"/>
              <w:rPr>
                <w:rFonts w:ascii="Times New Roman" w:hAnsi="Times New Roman"/>
                <w:i/>
                <w:iCs/>
                <w:sz w:val="20"/>
                <w:szCs w:val="20"/>
              </w:rPr>
            </w:pPr>
          </w:p>
        </w:tc>
      </w:tr>
      <w:tr w:rsidR="00F52FED" w:rsidRPr="00B0658A" w14:paraId="390D8B6B" w14:textId="77777777" w:rsidTr="004F1366">
        <w:trPr>
          <w:trHeight w:val="170"/>
        </w:trPr>
        <w:tc>
          <w:tcPr>
            <w:tcW w:w="0" w:type="auto"/>
            <w:shd w:val="clear" w:color="auto" w:fill="auto"/>
          </w:tcPr>
          <w:p w14:paraId="7BC18FE2"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18"/>
                <w:szCs w:val="18"/>
              </w:rPr>
              <w:t>8.10</w:t>
            </w:r>
          </w:p>
        </w:tc>
        <w:tc>
          <w:tcPr>
            <w:tcW w:w="3432" w:type="dxa"/>
            <w:shd w:val="clear" w:color="auto" w:fill="auto"/>
            <w:vAlign w:val="center"/>
          </w:tcPr>
          <w:p w14:paraId="4BB9C2EB"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18"/>
                <w:szCs w:val="18"/>
              </w:rPr>
              <w:t>Промышленное программное обеспечение/ Средства усовершенствованного управления технологическими процессами (APC, RTO)</w:t>
            </w:r>
          </w:p>
        </w:tc>
        <w:tc>
          <w:tcPr>
            <w:tcW w:w="1256" w:type="dxa"/>
          </w:tcPr>
          <w:p w14:paraId="307787EA"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74A5EDFA"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1CA78516"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61A95ACE" w14:textId="77777777" w:rsidR="0002298B" w:rsidRPr="00B0658A" w:rsidRDefault="0002298B" w:rsidP="000A4114">
            <w:pPr>
              <w:spacing w:after="0" w:line="240" w:lineRule="auto"/>
              <w:jc w:val="both"/>
              <w:rPr>
                <w:rFonts w:ascii="Times New Roman" w:hAnsi="Times New Roman"/>
                <w:i/>
                <w:iCs/>
                <w:sz w:val="20"/>
                <w:szCs w:val="20"/>
              </w:rPr>
            </w:pPr>
          </w:p>
        </w:tc>
      </w:tr>
      <w:tr w:rsidR="00F52FED" w:rsidRPr="00B0658A" w14:paraId="59377FFE" w14:textId="77777777" w:rsidTr="004F1366">
        <w:trPr>
          <w:trHeight w:val="170"/>
        </w:trPr>
        <w:tc>
          <w:tcPr>
            <w:tcW w:w="0" w:type="auto"/>
            <w:shd w:val="clear" w:color="auto" w:fill="auto"/>
          </w:tcPr>
          <w:p w14:paraId="57AA6801"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18"/>
                <w:szCs w:val="18"/>
              </w:rPr>
              <w:t>8.11</w:t>
            </w:r>
          </w:p>
        </w:tc>
        <w:tc>
          <w:tcPr>
            <w:tcW w:w="3432" w:type="dxa"/>
            <w:shd w:val="clear" w:color="auto" w:fill="auto"/>
            <w:vAlign w:val="center"/>
          </w:tcPr>
          <w:p w14:paraId="3F64C9ED"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18"/>
                <w:szCs w:val="18"/>
              </w:rPr>
              <w:t>Промышленное программное обеспечение / Средства автоматизированного управления техникой</w:t>
            </w:r>
          </w:p>
        </w:tc>
        <w:tc>
          <w:tcPr>
            <w:tcW w:w="1256" w:type="dxa"/>
          </w:tcPr>
          <w:p w14:paraId="18A36197"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4EE3A530"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0E44F948"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071C06A4" w14:textId="77777777" w:rsidR="0002298B" w:rsidRPr="00B0658A" w:rsidRDefault="0002298B" w:rsidP="000A4114">
            <w:pPr>
              <w:spacing w:after="0" w:line="240" w:lineRule="auto"/>
              <w:jc w:val="both"/>
              <w:rPr>
                <w:rFonts w:ascii="Times New Roman" w:hAnsi="Times New Roman"/>
                <w:i/>
                <w:iCs/>
                <w:sz w:val="20"/>
                <w:szCs w:val="20"/>
              </w:rPr>
            </w:pPr>
          </w:p>
        </w:tc>
      </w:tr>
      <w:tr w:rsidR="00F52FED" w:rsidRPr="00B0658A" w14:paraId="4AD32238" w14:textId="77777777" w:rsidTr="004F1366">
        <w:trPr>
          <w:trHeight w:val="170"/>
        </w:trPr>
        <w:tc>
          <w:tcPr>
            <w:tcW w:w="0" w:type="auto"/>
            <w:shd w:val="clear" w:color="auto" w:fill="auto"/>
          </w:tcPr>
          <w:p w14:paraId="413618E0"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18"/>
                <w:szCs w:val="18"/>
              </w:rPr>
              <w:t>9.1</w:t>
            </w:r>
          </w:p>
        </w:tc>
        <w:tc>
          <w:tcPr>
            <w:tcW w:w="3432" w:type="dxa"/>
            <w:shd w:val="clear" w:color="auto" w:fill="auto"/>
            <w:vAlign w:val="center"/>
          </w:tcPr>
          <w:p w14:paraId="53652EE7"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18"/>
                <w:szCs w:val="18"/>
              </w:rPr>
              <w:t>Средства управления процессами организации / Средства управления бизнес-процессами (BPM)</w:t>
            </w:r>
          </w:p>
        </w:tc>
        <w:tc>
          <w:tcPr>
            <w:tcW w:w="1256" w:type="dxa"/>
          </w:tcPr>
          <w:p w14:paraId="6BC5327A"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072E5501"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177FC362"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1B774D09" w14:textId="77777777" w:rsidR="0002298B" w:rsidRPr="00B0658A" w:rsidRDefault="0002298B" w:rsidP="000A4114">
            <w:pPr>
              <w:spacing w:after="0" w:line="240" w:lineRule="auto"/>
              <w:jc w:val="both"/>
              <w:rPr>
                <w:rFonts w:ascii="Times New Roman" w:hAnsi="Times New Roman"/>
                <w:i/>
                <w:iCs/>
                <w:sz w:val="20"/>
                <w:szCs w:val="20"/>
              </w:rPr>
            </w:pPr>
          </w:p>
        </w:tc>
      </w:tr>
      <w:tr w:rsidR="00F52FED" w:rsidRPr="00B0658A" w14:paraId="7DD005AA" w14:textId="77777777" w:rsidTr="004F1366">
        <w:trPr>
          <w:trHeight w:val="170"/>
        </w:trPr>
        <w:tc>
          <w:tcPr>
            <w:tcW w:w="0" w:type="auto"/>
            <w:shd w:val="clear" w:color="auto" w:fill="auto"/>
          </w:tcPr>
          <w:p w14:paraId="20D490EB"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18"/>
                <w:szCs w:val="18"/>
              </w:rPr>
              <w:t>9.2</w:t>
            </w:r>
          </w:p>
        </w:tc>
        <w:tc>
          <w:tcPr>
            <w:tcW w:w="3432" w:type="dxa"/>
            <w:shd w:val="clear" w:color="auto" w:fill="auto"/>
            <w:vAlign w:val="center"/>
          </w:tcPr>
          <w:p w14:paraId="15C8414B"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18"/>
                <w:szCs w:val="18"/>
              </w:rPr>
              <w:t>Средства управления процессами организации/ Средства управления производственными процессами (MES)</w:t>
            </w:r>
          </w:p>
        </w:tc>
        <w:tc>
          <w:tcPr>
            <w:tcW w:w="1256" w:type="dxa"/>
          </w:tcPr>
          <w:p w14:paraId="3E7D9D62"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740B88D9"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798DDB46"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522202BE" w14:textId="77777777" w:rsidR="0002298B" w:rsidRPr="00B0658A" w:rsidRDefault="0002298B" w:rsidP="000A4114">
            <w:pPr>
              <w:spacing w:after="0" w:line="240" w:lineRule="auto"/>
              <w:jc w:val="both"/>
              <w:rPr>
                <w:rFonts w:ascii="Times New Roman" w:hAnsi="Times New Roman"/>
                <w:i/>
                <w:iCs/>
                <w:sz w:val="20"/>
                <w:szCs w:val="20"/>
              </w:rPr>
            </w:pPr>
          </w:p>
        </w:tc>
      </w:tr>
      <w:tr w:rsidR="00F52FED" w:rsidRPr="00B0658A" w14:paraId="1E651BBB" w14:textId="77777777" w:rsidTr="004F1366">
        <w:trPr>
          <w:trHeight w:val="170"/>
        </w:trPr>
        <w:tc>
          <w:tcPr>
            <w:tcW w:w="0" w:type="auto"/>
            <w:shd w:val="clear" w:color="auto" w:fill="auto"/>
          </w:tcPr>
          <w:p w14:paraId="30765860"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18"/>
                <w:szCs w:val="18"/>
              </w:rPr>
              <w:t>9.3</w:t>
            </w:r>
          </w:p>
        </w:tc>
        <w:tc>
          <w:tcPr>
            <w:tcW w:w="3432" w:type="dxa"/>
            <w:shd w:val="clear" w:color="auto" w:fill="auto"/>
            <w:vAlign w:val="center"/>
          </w:tcPr>
          <w:p w14:paraId="47291A0A"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18"/>
                <w:szCs w:val="18"/>
              </w:rPr>
              <w:t>Средства управления процессами организации / Средства управления лабораторными потоками работ и документов (LIMS)</w:t>
            </w:r>
          </w:p>
        </w:tc>
        <w:tc>
          <w:tcPr>
            <w:tcW w:w="1256" w:type="dxa"/>
          </w:tcPr>
          <w:p w14:paraId="0ED8D032"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2EB7CA7C"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5BDFB2FD"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2FE279BD" w14:textId="77777777" w:rsidR="0002298B" w:rsidRPr="00B0658A" w:rsidRDefault="0002298B" w:rsidP="000A4114">
            <w:pPr>
              <w:spacing w:after="0" w:line="240" w:lineRule="auto"/>
              <w:jc w:val="both"/>
              <w:rPr>
                <w:rFonts w:ascii="Times New Roman" w:hAnsi="Times New Roman"/>
                <w:i/>
                <w:iCs/>
                <w:sz w:val="20"/>
                <w:szCs w:val="20"/>
              </w:rPr>
            </w:pPr>
          </w:p>
        </w:tc>
      </w:tr>
      <w:tr w:rsidR="00F52FED" w:rsidRPr="00B0658A" w14:paraId="39DB69D4" w14:textId="77777777" w:rsidTr="004F1366">
        <w:trPr>
          <w:trHeight w:val="170"/>
        </w:trPr>
        <w:tc>
          <w:tcPr>
            <w:tcW w:w="0" w:type="auto"/>
            <w:shd w:val="clear" w:color="auto" w:fill="auto"/>
          </w:tcPr>
          <w:p w14:paraId="27E5A722"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18"/>
                <w:szCs w:val="18"/>
              </w:rPr>
              <w:t>9.4</w:t>
            </w:r>
          </w:p>
        </w:tc>
        <w:tc>
          <w:tcPr>
            <w:tcW w:w="3432" w:type="dxa"/>
            <w:shd w:val="clear" w:color="auto" w:fill="auto"/>
            <w:vAlign w:val="center"/>
          </w:tcPr>
          <w:p w14:paraId="304980CB"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18"/>
                <w:szCs w:val="18"/>
              </w:rPr>
              <w:t>Средства управления процессами организации/ Средства управления технологическими процессами (АСУ ТП, SCADA)</w:t>
            </w:r>
          </w:p>
        </w:tc>
        <w:tc>
          <w:tcPr>
            <w:tcW w:w="1256" w:type="dxa"/>
          </w:tcPr>
          <w:p w14:paraId="0EDEC37E"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12FE60CA"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43D3D8B5"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312D81DB" w14:textId="77777777" w:rsidR="0002298B" w:rsidRPr="00B0658A" w:rsidRDefault="0002298B" w:rsidP="000A4114">
            <w:pPr>
              <w:spacing w:after="0" w:line="240" w:lineRule="auto"/>
              <w:jc w:val="both"/>
              <w:rPr>
                <w:rFonts w:ascii="Times New Roman" w:hAnsi="Times New Roman"/>
                <w:i/>
                <w:iCs/>
                <w:sz w:val="20"/>
                <w:szCs w:val="20"/>
              </w:rPr>
            </w:pPr>
          </w:p>
        </w:tc>
      </w:tr>
      <w:tr w:rsidR="00F52FED" w:rsidRPr="00B0658A" w14:paraId="2E5788E9" w14:textId="77777777" w:rsidTr="004F1366">
        <w:trPr>
          <w:trHeight w:val="170"/>
        </w:trPr>
        <w:tc>
          <w:tcPr>
            <w:tcW w:w="0" w:type="auto"/>
            <w:shd w:val="clear" w:color="auto" w:fill="auto"/>
          </w:tcPr>
          <w:p w14:paraId="3177B77E"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18"/>
                <w:szCs w:val="18"/>
              </w:rPr>
              <w:t>9.5</w:t>
            </w:r>
          </w:p>
        </w:tc>
        <w:tc>
          <w:tcPr>
            <w:tcW w:w="3432" w:type="dxa"/>
            <w:shd w:val="clear" w:color="auto" w:fill="auto"/>
            <w:vAlign w:val="center"/>
          </w:tcPr>
          <w:p w14:paraId="58C72F91"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18"/>
                <w:szCs w:val="18"/>
              </w:rPr>
              <w:t>Средства управления процессами организации/ Средства управления эффективностью предприятия (CPM/EPM)</w:t>
            </w:r>
          </w:p>
        </w:tc>
        <w:tc>
          <w:tcPr>
            <w:tcW w:w="1256" w:type="dxa"/>
          </w:tcPr>
          <w:p w14:paraId="6C78C2DC"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6FD8756B"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5E1D81AE"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2D04DB23" w14:textId="77777777" w:rsidR="0002298B" w:rsidRPr="00B0658A" w:rsidRDefault="0002298B" w:rsidP="000A4114">
            <w:pPr>
              <w:spacing w:after="0" w:line="240" w:lineRule="auto"/>
              <w:jc w:val="both"/>
              <w:rPr>
                <w:rFonts w:ascii="Times New Roman" w:hAnsi="Times New Roman"/>
                <w:i/>
                <w:iCs/>
                <w:sz w:val="20"/>
                <w:szCs w:val="20"/>
              </w:rPr>
            </w:pPr>
          </w:p>
        </w:tc>
      </w:tr>
      <w:tr w:rsidR="00F52FED" w:rsidRPr="00B0658A" w14:paraId="4CCA7881" w14:textId="77777777" w:rsidTr="004F1366">
        <w:trPr>
          <w:trHeight w:val="170"/>
        </w:trPr>
        <w:tc>
          <w:tcPr>
            <w:tcW w:w="0" w:type="auto"/>
            <w:shd w:val="clear" w:color="auto" w:fill="auto"/>
          </w:tcPr>
          <w:p w14:paraId="6F2C1926"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18"/>
                <w:szCs w:val="18"/>
              </w:rPr>
              <w:t>9.6</w:t>
            </w:r>
          </w:p>
        </w:tc>
        <w:tc>
          <w:tcPr>
            <w:tcW w:w="3432" w:type="dxa"/>
            <w:shd w:val="clear" w:color="auto" w:fill="auto"/>
            <w:vAlign w:val="center"/>
          </w:tcPr>
          <w:p w14:paraId="09CDC417"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18"/>
                <w:szCs w:val="18"/>
              </w:rPr>
              <w:t>Средства управления процессами организации/ Средства управления основными фондами предприятия (EAM)</w:t>
            </w:r>
          </w:p>
        </w:tc>
        <w:tc>
          <w:tcPr>
            <w:tcW w:w="1256" w:type="dxa"/>
          </w:tcPr>
          <w:p w14:paraId="35E84E71"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2C1625B6"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68B176BB"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7B24C5F0" w14:textId="77777777" w:rsidR="0002298B" w:rsidRPr="00B0658A" w:rsidRDefault="0002298B" w:rsidP="000A4114">
            <w:pPr>
              <w:spacing w:after="0" w:line="240" w:lineRule="auto"/>
              <w:jc w:val="both"/>
              <w:rPr>
                <w:rFonts w:ascii="Times New Roman" w:hAnsi="Times New Roman"/>
                <w:i/>
                <w:iCs/>
                <w:sz w:val="20"/>
                <w:szCs w:val="20"/>
              </w:rPr>
            </w:pPr>
          </w:p>
        </w:tc>
      </w:tr>
      <w:tr w:rsidR="00F52FED" w:rsidRPr="00B0658A" w14:paraId="2EC0A5F0" w14:textId="77777777" w:rsidTr="004F1366">
        <w:trPr>
          <w:trHeight w:val="170"/>
        </w:trPr>
        <w:tc>
          <w:tcPr>
            <w:tcW w:w="0" w:type="auto"/>
            <w:shd w:val="clear" w:color="auto" w:fill="auto"/>
          </w:tcPr>
          <w:p w14:paraId="0E7DD17F"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18"/>
                <w:szCs w:val="18"/>
              </w:rPr>
              <w:t>9.7</w:t>
            </w:r>
          </w:p>
        </w:tc>
        <w:tc>
          <w:tcPr>
            <w:tcW w:w="3432" w:type="dxa"/>
            <w:shd w:val="clear" w:color="auto" w:fill="auto"/>
            <w:vAlign w:val="center"/>
          </w:tcPr>
          <w:p w14:paraId="0BDAA671"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18"/>
                <w:szCs w:val="18"/>
              </w:rPr>
              <w:t>Средства управления процессами организации/ Средства финансового менеджмента, управления активами и трудовыми ресурсами (ERP)</w:t>
            </w:r>
          </w:p>
        </w:tc>
        <w:tc>
          <w:tcPr>
            <w:tcW w:w="1256" w:type="dxa"/>
          </w:tcPr>
          <w:p w14:paraId="5E300475"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7327DA50"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5AEF18C9"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2196BC40" w14:textId="77777777" w:rsidR="0002298B" w:rsidRPr="00B0658A" w:rsidRDefault="0002298B" w:rsidP="000A4114">
            <w:pPr>
              <w:spacing w:after="0" w:line="240" w:lineRule="auto"/>
              <w:jc w:val="both"/>
              <w:rPr>
                <w:rFonts w:ascii="Times New Roman" w:hAnsi="Times New Roman"/>
                <w:i/>
                <w:iCs/>
                <w:sz w:val="20"/>
                <w:szCs w:val="20"/>
              </w:rPr>
            </w:pPr>
          </w:p>
        </w:tc>
      </w:tr>
      <w:tr w:rsidR="00F52FED" w:rsidRPr="00B0658A" w14:paraId="4AAE100E" w14:textId="77777777" w:rsidTr="004F1366">
        <w:trPr>
          <w:trHeight w:val="170"/>
        </w:trPr>
        <w:tc>
          <w:tcPr>
            <w:tcW w:w="0" w:type="auto"/>
            <w:shd w:val="clear" w:color="auto" w:fill="auto"/>
          </w:tcPr>
          <w:p w14:paraId="2FAAB4FE"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18"/>
                <w:szCs w:val="18"/>
              </w:rPr>
              <w:t>9.9</w:t>
            </w:r>
          </w:p>
        </w:tc>
        <w:tc>
          <w:tcPr>
            <w:tcW w:w="3432" w:type="dxa"/>
            <w:shd w:val="clear" w:color="auto" w:fill="auto"/>
            <w:vAlign w:val="center"/>
          </w:tcPr>
          <w:p w14:paraId="42EE2EB8"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18"/>
                <w:szCs w:val="18"/>
              </w:rPr>
              <w:t>Средства управления процессами организации/ Средства управления отношениями с клиентами (CRM)</w:t>
            </w:r>
          </w:p>
        </w:tc>
        <w:tc>
          <w:tcPr>
            <w:tcW w:w="1256" w:type="dxa"/>
          </w:tcPr>
          <w:p w14:paraId="46831665"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2DFEFA75"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29DB2536"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572F3FC3" w14:textId="77777777" w:rsidR="0002298B" w:rsidRPr="00B0658A" w:rsidRDefault="0002298B" w:rsidP="000A4114">
            <w:pPr>
              <w:spacing w:after="0" w:line="240" w:lineRule="auto"/>
              <w:jc w:val="both"/>
              <w:rPr>
                <w:rFonts w:ascii="Times New Roman" w:hAnsi="Times New Roman"/>
                <w:i/>
                <w:iCs/>
                <w:sz w:val="20"/>
                <w:szCs w:val="20"/>
              </w:rPr>
            </w:pPr>
          </w:p>
        </w:tc>
      </w:tr>
      <w:tr w:rsidR="00F52FED" w:rsidRPr="00B0658A" w14:paraId="1393CBB1" w14:textId="77777777" w:rsidTr="004F1366">
        <w:trPr>
          <w:trHeight w:val="170"/>
        </w:trPr>
        <w:tc>
          <w:tcPr>
            <w:tcW w:w="0" w:type="auto"/>
            <w:shd w:val="clear" w:color="auto" w:fill="auto"/>
          </w:tcPr>
          <w:p w14:paraId="12AAB85D"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18"/>
                <w:szCs w:val="18"/>
              </w:rPr>
              <w:t>9.10</w:t>
            </w:r>
          </w:p>
        </w:tc>
        <w:tc>
          <w:tcPr>
            <w:tcW w:w="3432" w:type="dxa"/>
            <w:shd w:val="clear" w:color="auto" w:fill="auto"/>
            <w:vAlign w:val="center"/>
          </w:tcPr>
          <w:p w14:paraId="3A6F8201"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18"/>
                <w:szCs w:val="18"/>
              </w:rPr>
              <w:t>Средства управления процессами организации/ Средства управления ИТ-службой, ИТ-инфраструктурой и ИТ-активами (ITSM-ServiceDesk, SCCM, Asset Management)</w:t>
            </w:r>
          </w:p>
        </w:tc>
        <w:tc>
          <w:tcPr>
            <w:tcW w:w="1256" w:type="dxa"/>
          </w:tcPr>
          <w:p w14:paraId="62DB3F5F"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101B05A4"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77B42E28"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565B9C9B" w14:textId="77777777" w:rsidR="0002298B" w:rsidRPr="00B0658A" w:rsidRDefault="0002298B" w:rsidP="000A4114">
            <w:pPr>
              <w:spacing w:after="0" w:line="240" w:lineRule="auto"/>
              <w:jc w:val="both"/>
              <w:rPr>
                <w:rFonts w:ascii="Times New Roman" w:hAnsi="Times New Roman"/>
                <w:i/>
                <w:iCs/>
                <w:sz w:val="20"/>
                <w:szCs w:val="20"/>
              </w:rPr>
            </w:pPr>
          </w:p>
        </w:tc>
      </w:tr>
      <w:tr w:rsidR="00F52FED" w:rsidRPr="00B0658A" w14:paraId="772EE92F" w14:textId="77777777" w:rsidTr="004F1366">
        <w:trPr>
          <w:trHeight w:val="170"/>
        </w:trPr>
        <w:tc>
          <w:tcPr>
            <w:tcW w:w="0" w:type="auto"/>
            <w:shd w:val="clear" w:color="auto" w:fill="auto"/>
          </w:tcPr>
          <w:p w14:paraId="27F9EF90"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18"/>
                <w:szCs w:val="18"/>
              </w:rPr>
              <w:t>9.11</w:t>
            </w:r>
          </w:p>
        </w:tc>
        <w:tc>
          <w:tcPr>
            <w:tcW w:w="3432" w:type="dxa"/>
            <w:shd w:val="clear" w:color="auto" w:fill="auto"/>
            <w:vAlign w:val="center"/>
          </w:tcPr>
          <w:p w14:paraId="3A682BDF" w14:textId="77777777" w:rsidR="0002298B" w:rsidRPr="00B0658A" w:rsidRDefault="0002298B" w:rsidP="000A4114">
            <w:pPr>
              <w:suppressAutoHyphens/>
              <w:spacing w:after="0" w:line="240" w:lineRule="auto"/>
              <w:rPr>
                <w:rFonts w:ascii="Times New Roman" w:hAnsi="Times New Roman"/>
                <w:sz w:val="18"/>
                <w:szCs w:val="18"/>
              </w:rPr>
            </w:pPr>
            <w:r w:rsidRPr="00B0658A">
              <w:rPr>
                <w:rFonts w:ascii="Times New Roman" w:hAnsi="Times New Roman"/>
                <w:sz w:val="18"/>
                <w:szCs w:val="18"/>
              </w:rPr>
              <w:t xml:space="preserve">Средства управления процессами организации/ Средства управления содержимым (CMS), сайты </w:t>
            </w:r>
          </w:p>
          <w:p w14:paraId="4967EB91" w14:textId="77777777" w:rsidR="0002298B" w:rsidRPr="00B0658A" w:rsidRDefault="0002298B" w:rsidP="000A4114">
            <w:pPr>
              <w:suppressAutoHyphens/>
              <w:spacing w:after="0" w:line="240" w:lineRule="auto"/>
              <w:rPr>
                <w:rFonts w:ascii="Times New Roman" w:hAnsi="Times New Roman"/>
                <w:sz w:val="20"/>
                <w:szCs w:val="20"/>
              </w:rPr>
            </w:pPr>
            <w:r w:rsidRPr="00B0658A">
              <w:rPr>
                <w:rFonts w:ascii="Times New Roman" w:hAnsi="Times New Roman"/>
                <w:sz w:val="18"/>
                <w:szCs w:val="18"/>
              </w:rPr>
              <w:t>и портальные решения</w:t>
            </w:r>
          </w:p>
        </w:tc>
        <w:tc>
          <w:tcPr>
            <w:tcW w:w="1256" w:type="dxa"/>
          </w:tcPr>
          <w:p w14:paraId="32C5068C"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4B98FFC7"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479943BE"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5DC8B0AE" w14:textId="77777777" w:rsidR="0002298B" w:rsidRPr="00B0658A" w:rsidRDefault="0002298B" w:rsidP="000A4114">
            <w:pPr>
              <w:spacing w:after="0" w:line="240" w:lineRule="auto"/>
              <w:jc w:val="both"/>
              <w:rPr>
                <w:rFonts w:ascii="Times New Roman" w:hAnsi="Times New Roman"/>
                <w:i/>
                <w:iCs/>
                <w:sz w:val="20"/>
                <w:szCs w:val="20"/>
              </w:rPr>
            </w:pPr>
          </w:p>
        </w:tc>
      </w:tr>
      <w:tr w:rsidR="00F52FED" w:rsidRPr="00B0658A" w14:paraId="3903607F" w14:textId="77777777" w:rsidTr="004F1366">
        <w:trPr>
          <w:trHeight w:val="170"/>
        </w:trPr>
        <w:tc>
          <w:tcPr>
            <w:tcW w:w="0" w:type="auto"/>
            <w:shd w:val="clear" w:color="auto" w:fill="auto"/>
          </w:tcPr>
          <w:p w14:paraId="5DB4B871"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18"/>
                <w:szCs w:val="18"/>
              </w:rPr>
              <w:t>9.12</w:t>
            </w:r>
          </w:p>
        </w:tc>
        <w:tc>
          <w:tcPr>
            <w:tcW w:w="3432" w:type="dxa"/>
            <w:shd w:val="clear" w:color="auto" w:fill="auto"/>
            <w:vAlign w:val="center"/>
          </w:tcPr>
          <w:p w14:paraId="7914B75D"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18"/>
                <w:szCs w:val="18"/>
              </w:rPr>
              <w:t>Средства управления процессами организации/ Средства электронной коммерции (e-commerce platform)</w:t>
            </w:r>
          </w:p>
        </w:tc>
        <w:tc>
          <w:tcPr>
            <w:tcW w:w="1256" w:type="dxa"/>
          </w:tcPr>
          <w:p w14:paraId="2ACB75B4"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5A6F4B3D"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7AA63C9F"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56709B51" w14:textId="77777777" w:rsidR="0002298B" w:rsidRPr="00B0658A" w:rsidRDefault="0002298B" w:rsidP="000A4114">
            <w:pPr>
              <w:spacing w:after="0" w:line="240" w:lineRule="auto"/>
              <w:jc w:val="both"/>
              <w:rPr>
                <w:rFonts w:ascii="Times New Roman" w:hAnsi="Times New Roman"/>
                <w:i/>
                <w:iCs/>
                <w:sz w:val="20"/>
                <w:szCs w:val="20"/>
              </w:rPr>
            </w:pPr>
          </w:p>
        </w:tc>
      </w:tr>
      <w:tr w:rsidR="00F52FED" w:rsidRPr="00B0658A" w14:paraId="3C46CC39" w14:textId="77777777" w:rsidTr="004F1366">
        <w:trPr>
          <w:trHeight w:val="170"/>
        </w:trPr>
        <w:tc>
          <w:tcPr>
            <w:tcW w:w="0" w:type="auto"/>
            <w:shd w:val="clear" w:color="auto" w:fill="auto"/>
          </w:tcPr>
          <w:p w14:paraId="5199BB75"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18"/>
                <w:szCs w:val="18"/>
              </w:rPr>
              <w:t>9.13</w:t>
            </w:r>
          </w:p>
        </w:tc>
        <w:tc>
          <w:tcPr>
            <w:tcW w:w="3432" w:type="dxa"/>
            <w:shd w:val="clear" w:color="auto" w:fill="auto"/>
            <w:vAlign w:val="center"/>
          </w:tcPr>
          <w:p w14:paraId="11B950BF"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18"/>
                <w:szCs w:val="18"/>
              </w:rPr>
              <w:t>Средства управления процессами организации/ Средства управления складом и цепочками поставок (WMS, SCM)</w:t>
            </w:r>
          </w:p>
        </w:tc>
        <w:tc>
          <w:tcPr>
            <w:tcW w:w="1256" w:type="dxa"/>
          </w:tcPr>
          <w:p w14:paraId="0D5B6FAE"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07D813D9"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077E10B3"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0A536498" w14:textId="77777777" w:rsidR="0002298B" w:rsidRPr="00B0658A" w:rsidRDefault="0002298B" w:rsidP="000A4114">
            <w:pPr>
              <w:spacing w:after="0" w:line="240" w:lineRule="auto"/>
              <w:jc w:val="both"/>
              <w:rPr>
                <w:rFonts w:ascii="Times New Roman" w:hAnsi="Times New Roman"/>
                <w:i/>
                <w:iCs/>
                <w:sz w:val="20"/>
                <w:szCs w:val="20"/>
              </w:rPr>
            </w:pPr>
          </w:p>
        </w:tc>
      </w:tr>
      <w:tr w:rsidR="00F52FED" w:rsidRPr="00B0658A" w14:paraId="4806F3CB" w14:textId="77777777" w:rsidTr="004F1366">
        <w:trPr>
          <w:trHeight w:val="170"/>
        </w:trPr>
        <w:tc>
          <w:tcPr>
            <w:tcW w:w="0" w:type="auto"/>
            <w:shd w:val="clear" w:color="auto" w:fill="auto"/>
          </w:tcPr>
          <w:p w14:paraId="0315789C"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18"/>
                <w:szCs w:val="18"/>
              </w:rPr>
              <w:t>9.14</w:t>
            </w:r>
          </w:p>
        </w:tc>
        <w:tc>
          <w:tcPr>
            <w:tcW w:w="3432" w:type="dxa"/>
            <w:shd w:val="clear" w:color="auto" w:fill="auto"/>
            <w:vAlign w:val="center"/>
          </w:tcPr>
          <w:p w14:paraId="69C09A3D"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18"/>
                <w:szCs w:val="18"/>
              </w:rPr>
              <w:t>Средства управления процессами организации/ Средства централизованного управления конечными устройствами</w:t>
            </w:r>
          </w:p>
        </w:tc>
        <w:tc>
          <w:tcPr>
            <w:tcW w:w="1256" w:type="dxa"/>
          </w:tcPr>
          <w:p w14:paraId="1CE9FE64"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57D0FFD8"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07F3E02F"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31EC0EF7" w14:textId="77777777" w:rsidR="0002298B" w:rsidRPr="00B0658A" w:rsidRDefault="0002298B" w:rsidP="000A4114">
            <w:pPr>
              <w:spacing w:after="0" w:line="240" w:lineRule="auto"/>
              <w:jc w:val="both"/>
              <w:rPr>
                <w:rFonts w:ascii="Times New Roman" w:hAnsi="Times New Roman"/>
                <w:i/>
                <w:iCs/>
                <w:sz w:val="20"/>
                <w:szCs w:val="20"/>
              </w:rPr>
            </w:pPr>
          </w:p>
        </w:tc>
      </w:tr>
      <w:tr w:rsidR="00F52FED" w:rsidRPr="00B0658A" w14:paraId="73DB3D26" w14:textId="77777777" w:rsidTr="004F1366">
        <w:trPr>
          <w:trHeight w:val="170"/>
        </w:trPr>
        <w:tc>
          <w:tcPr>
            <w:tcW w:w="0" w:type="auto"/>
            <w:shd w:val="clear" w:color="auto" w:fill="auto"/>
          </w:tcPr>
          <w:p w14:paraId="4DC39953"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18"/>
                <w:szCs w:val="18"/>
              </w:rPr>
              <w:t>10.1</w:t>
            </w:r>
          </w:p>
        </w:tc>
        <w:tc>
          <w:tcPr>
            <w:tcW w:w="3432" w:type="dxa"/>
            <w:shd w:val="clear" w:color="auto" w:fill="auto"/>
            <w:vAlign w:val="center"/>
          </w:tcPr>
          <w:p w14:paraId="63DDD22D"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18"/>
                <w:szCs w:val="18"/>
              </w:rPr>
              <w:t>Средства обработки и визуализации массивов данных/ Средства обработки Больших Данных (BigData)</w:t>
            </w:r>
          </w:p>
        </w:tc>
        <w:tc>
          <w:tcPr>
            <w:tcW w:w="1256" w:type="dxa"/>
          </w:tcPr>
          <w:p w14:paraId="4FD4FE0F"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39236D00"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1F1973E4"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2E7FB1F8" w14:textId="77777777" w:rsidR="0002298B" w:rsidRPr="00B0658A" w:rsidRDefault="0002298B" w:rsidP="000A4114">
            <w:pPr>
              <w:spacing w:after="0" w:line="240" w:lineRule="auto"/>
              <w:jc w:val="both"/>
              <w:rPr>
                <w:rFonts w:ascii="Times New Roman" w:hAnsi="Times New Roman"/>
                <w:i/>
                <w:iCs/>
                <w:sz w:val="20"/>
                <w:szCs w:val="20"/>
              </w:rPr>
            </w:pPr>
          </w:p>
        </w:tc>
      </w:tr>
      <w:tr w:rsidR="00F52FED" w:rsidRPr="00B0658A" w14:paraId="5E530DE2" w14:textId="77777777" w:rsidTr="004F1366">
        <w:trPr>
          <w:trHeight w:val="170"/>
        </w:trPr>
        <w:tc>
          <w:tcPr>
            <w:tcW w:w="0" w:type="auto"/>
            <w:shd w:val="clear" w:color="auto" w:fill="auto"/>
          </w:tcPr>
          <w:p w14:paraId="3CC5D4A3"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18"/>
                <w:szCs w:val="18"/>
              </w:rPr>
              <w:t>10.2</w:t>
            </w:r>
          </w:p>
        </w:tc>
        <w:tc>
          <w:tcPr>
            <w:tcW w:w="3432" w:type="dxa"/>
            <w:shd w:val="clear" w:color="auto" w:fill="auto"/>
            <w:vAlign w:val="center"/>
          </w:tcPr>
          <w:p w14:paraId="0C7B588B"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18"/>
                <w:szCs w:val="18"/>
              </w:rPr>
              <w:t>Средства обработки и визуализации массивов данных/ Средства обработки и анализа геологических и геофизических данных</w:t>
            </w:r>
          </w:p>
        </w:tc>
        <w:tc>
          <w:tcPr>
            <w:tcW w:w="1256" w:type="dxa"/>
          </w:tcPr>
          <w:p w14:paraId="7300927A"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7800452F"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3D6B0772"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4E09857E" w14:textId="77777777" w:rsidR="0002298B" w:rsidRPr="00B0658A" w:rsidRDefault="0002298B" w:rsidP="000A4114">
            <w:pPr>
              <w:spacing w:after="0" w:line="240" w:lineRule="auto"/>
              <w:jc w:val="both"/>
              <w:rPr>
                <w:rFonts w:ascii="Times New Roman" w:hAnsi="Times New Roman"/>
                <w:i/>
                <w:iCs/>
                <w:sz w:val="20"/>
                <w:szCs w:val="20"/>
              </w:rPr>
            </w:pPr>
          </w:p>
        </w:tc>
      </w:tr>
      <w:tr w:rsidR="00F52FED" w:rsidRPr="00B0658A" w14:paraId="57D7B032" w14:textId="77777777" w:rsidTr="004F1366">
        <w:trPr>
          <w:trHeight w:val="170"/>
        </w:trPr>
        <w:tc>
          <w:tcPr>
            <w:tcW w:w="0" w:type="auto"/>
            <w:shd w:val="clear" w:color="auto" w:fill="auto"/>
          </w:tcPr>
          <w:p w14:paraId="33489282"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18"/>
                <w:szCs w:val="18"/>
              </w:rPr>
              <w:t>10.3</w:t>
            </w:r>
          </w:p>
        </w:tc>
        <w:tc>
          <w:tcPr>
            <w:tcW w:w="3432" w:type="dxa"/>
            <w:shd w:val="clear" w:color="auto" w:fill="auto"/>
            <w:vAlign w:val="center"/>
          </w:tcPr>
          <w:p w14:paraId="0229654A"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18"/>
                <w:szCs w:val="18"/>
              </w:rPr>
              <w:t>Средства обработки и визуализации массивов данных/ Средства математического и имитационного моделирования</w:t>
            </w:r>
          </w:p>
        </w:tc>
        <w:tc>
          <w:tcPr>
            <w:tcW w:w="1256" w:type="dxa"/>
          </w:tcPr>
          <w:p w14:paraId="091F761E"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17031327"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6C0276C1"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3592B287" w14:textId="77777777" w:rsidR="0002298B" w:rsidRPr="00B0658A" w:rsidRDefault="0002298B" w:rsidP="000A4114">
            <w:pPr>
              <w:spacing w:after="0" w:line="240" w:lineRule="auto"/>
              <w:jc w:val="both"/>
              <w:rPr>
                <w:rFonts w:ascii="Times New Roman" w:hAnsi="Times New Roman"/>
                <w:i/>
                <w:iCs/>
                <w:sz w:val="20"/>
                <w:szCs w:val="20"/>
              </w:rPr>
            </w:pPr>
          </w:p>
        </w:tc>
      </w:tr>
      <w:tr w:rsidR="00F52FED" w:rsidRPr="00B0658A" w14:paraId="4FB15E3D" w14:textId="77777777" w:rsidTr="004F1366">
        <w:trPr>
          <w:trHeight w:val="170"/>
        </w:trPr>
        <w:tc>
          <w:tcPr>
            <w:tcW w:w="0" w:type="auto"/>
            <w:shd w:val="clear" w:color="auto" w:fill="auto"/>
          </w:tcPr>
          <w:p w14:paraId="088F4F20"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18"/>
                <w:szCs w:val="18"/>
              </w:rPr>
              <w:t>10.4</w:t>
            </w:r>
          </w:p>
        </w:tc>
        <w:tc>
          <w:tcPr>
            <w:tcW w:w="3432" w:type="dxa"/>
            <w:shd w:val="clear" w:color="auto" w:fill="auto"/>
            <w:vAlign w:val="center"/>
          </w:tcPr>
          <w:p w14:paraId="7CDB33BF"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18"/>
                <w:szCs w:val="18"/>
              </w:rPr>
              <w:t>Средства обработки и визуализации массивов данных/ Средства управления информационными ресурсами и средства управления основными данными (ECM, MDM)</w:t>
            </w:r>
          </w:p>
        </w:tc>
        <w:tc>
          <w:tcPr>
            <w:tcW w:w="1256" w:type="dxa"/>
          </w:tcPr>
          <w:p w14:paraId="005D1E47"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0F5F2EE3"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51966A92"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12833C6A" w14:textId="77777777" w:rsidR="0002298B" w:rsidRPr="00B0658A" w:rsidRDefault="0002298B" w:rsidP="000A4114">
            <w:pPr>
              <w:spacing w:after="0" w:line="240" w:lineRule="auto"/>
              <w:jc w:val="both"/>
              <w:rPr>
                <w:rFonts w:ascii="Times New Roman" w:hAnsi="Times New Roman"/>
                <w:i/>
                <w:iCs/>
                <w:sz w:val="20"/>
                <w:szCs w:val="20"/>
              </w:rPr>
            </w:pPr>
          </w:p>
        </w:tc>
      </w:tr>
      <w:tr w:rsidR="00F52FED" w:rsidRPr="00B0658A" w14:paraId="51AA34EC" w14:textId="77777777" w:rsidTr="004F1366">
        <w:trPr>
          <w:trHeight w:val="170"/>
        </w:trPr>
        <w:tc>
          <w:tcPr>
            <w:tcW w:w="0" w:type="auto"/>
            <w:shd w:val="clear" w:color="auto" w:fill="auto"/>
          </w:tcPr>
          <w:p w14:paraId="627918AF"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18"/>
                <w:szCs w:val="18"/>
              </w:rPr>
              <w:t>11.1</w:t>
            </w:r>
          </w:p>
        </w:tc>
        <w:tc>
          <w:tcPr>
            <w:tcW w:w="3432" w:type="dxa"/>
            <w:shd w:val="clear" w:color="auto" w:fill="auto"/>
            <w:vAlign w:val="center"/>
          </w:tcPr>
          <w:p w14:paraId="5AB4D933"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18"/>
                <w:szCs w:val="18"/>
              </w:rPr>
              <w:t>Средства анализа данных/ Инструменты извлечения и трансформации данных (ETL)</w:t>
            </w:r>
          </w:p>
        </w:tc>
        <w:tc>
          <w:tcPr>
            <w:tcW w:w="1256" w:type="dxa"/>
          </w:tcPr>
          <w:p w14:paraId="66FD5B62"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20A7A0FC"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59D7A9FA"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41A0D222" w14:textId="77777777" w:rsidR="0002298B" w:rsidRPr="00B0658A" w:rsidRDefault="0002298B" w:rsidP="000A4114">
            <w:pPr>
              <w:spacing w:after="0" w:line="240" w:lineRule="auto"/>
              <w:jc w:val="both"/>
              <w:rPr>
                <w:rFonts w:ascii="Times New Roman" w:hAnsi="Times New Roman"/>
                <w:i/>
                <w:iCs/>
                <w:sz w:val="20"/>
                <w:szCs w:val="20"/>
              </w:rPr>
            </w:pPr>
          </w:p>
        </w:tc>
      </w:tr>
      <w:tr w:rsidR="00F52FED" w:rsidRPr="00B0658A" w14:paraId="160C96C2" w14:textId="77777777" w:rsidTr="004F1366">
        <w:trPr>
          <w:trHeight w:val="170"/>
        </w:trPr>
        <w:tc>
          <w:tcPr>
            <w:tcW w:w="0" w:type="auto"/>
            <w:shd w:val="clear" w:color="auto" w:fill="auto"/>
          </w:tcPr>
          <w:p w14:paraId="09BD2205"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18"/>
                <w:szCs w:val="18"/>
              </w:rPr>
              <w:t>11.2</w:t>
            </w:r>
          </w:p>
        </w:tc>
        <w:tc>
          <w:tcPr>
            <w:tcW w:w="3432" w:type="dxa"/>
            <w:shd w:val="clear" w:color="auto" w:fill="auto"/>
            <w:vAlign w:val="center"/>
          </w:tcPr>
          <w:p w14:paraId="37CEDCF4"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18"/>
                <w:szCs w:val="18"/>
              </w:rPr>
              <w:t>Средства анализа данных/ Предметно-ориентированные информационные базы данных (EDW)</w:t>
            </w:r>
          </w:p>
        </w:tc>
        <w:tc>
          <w:tcPr>
            <w:tcW w:w="1256" w:type="dxa"/>
          </w:tcPr>
          <w:p w14:paraId="15FF4CE4"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7E358EE8"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67B85071"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24F2EA20" w14:textId="77777777" w:rsidR="0002298B" w:rsidRPr="00B0658A" w:rsidRDefault="0002298B" w:rsidP="000A4114">
            <w:pPr>
              <w:spacing w:after="0" w:line="240" w:lineRule="auto"/>
              <w:jc w:val="both"/>
              <w:rPr>
                <w:rFonts w:ascii="Times New Roman" w:hAnsi="Times New Roman"/>
                <w:i/>
                <w:iCs/>
                <w:sz w:val="20"/>
                <w:szCs w:val="20"/>
              </w:rPr>
            </w:pPr>
          </w:p>
        </w:tc>
      </w:tr>
      <w:tr w:rsidR="00F52FED" w:rsidRPr="00B0658A" w14:paraId="728BD729" w14:textId="77777777" w:rsidTr="004F1366">
        <w:trPr>
          <w:trHeight w:val="170"/>
        </w:trPr>
        <w:tc>
          <w:tcPr>
            <w:tcW w:w="0" w:type="auto"/>
            <w:shd w:val="clear" w:color="auto" w:fill="auto"/>
          </w:tcPr>
          <w:p w14:paraId="7C004EBD"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18"/>
                <w:szCs w:val="18"/>
              </w:rPr>
              <w:t>11.3</w:t>
            </w:r>
          </w:p>
        </w:tc>
        <w:tc>
          <w:tcPr>
            <w:tcW w:w="3432" w:type="dxa"/>
            <w:shd w:val="clear" w:color="auto" w:fill="auto"/>
            <w:vAlign w:val="center"/>
          </w:tcPr>
          <w:p w14:paraId="32D9A6B1" w14:textId="77777777" w:rsidR="0002298B" w:rsidRPr="00B0658A" w:rsidRDefault="0002298B" w:rsidP="000A4114">
            <w:pPr>
              <w:suppressAutoHyphens/>
              <w:spacing w:after="0" w:line="240" w:lineRule="auto"/>
              <w:rPr>
                <w:rFonts w:ascii="Times New Roman" w:hAnsi="Times New Roman"/>
                <w:sz w:val="18"/>
                <w:szCs w:val="18"/>
              </w:rPr>
            </w:pPr>
            <w:r w:rsidRPr="00B0658A">
              <w:rPr>
                <w:rFonts w:ascii="Times New Roman" w:hAnsi="Times New Roman"/>
                <w:sz w:val="18"/>
                <w:szCs w:val="18"/>
              </w:rPr>
              <w:t>Средства анализа данных/</w:t>
            </w:r>
          </w:p>
          <w:p w14:paraId="62DC9BDB"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18"/>
                <w:szCs w:val="18"/>
              </w:rPr>
              <w:t>Средства аналитической обработки в реальном времени (OLAP)</w:t>
            </w:r>
          </w:p>
        </w:tc>
        <w:tc>
          <w:tcPr>
            <w:tcW w:w="1256" w:type="dxa"/>
          </w:tcPr>
          <w:p w14:paraId="44540C4E"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6768EDD1"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3F7850D4"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05C1B00F" w14:textId="77777777" w:rsidR="0002298B" w:rsidRPr="00B0658A" w:rsidRDefault="0002298B" w:rsidP="000A4114">
            <w:pPr>
              <w:spacing w:after="0" w:line="240" w:lineRule="auto"/>
              <w:jc w:val="both"/>
              <w:rPr>
                <w:rFonts w:ascii="Times New Roman" w:hAnsi="Times New Roman"/>
                <w:i/>
                <w:iCs/>
                <w:sz w:val="20"/>
                <w:szCs w:val="20"/>
              </w:rPr>
            </w:pPr>
          </w:p>
        </w:tc>
      </w:tr>
      <w:tr w:rsidR="00F52FED" w:rsidRPr="00B0658A" w14:paraId="69638846" w14:textId="77777777" w:rsidTr="004F1366">
        <w:trPr>
          <w:trHeight w:val="170"/>
        </w:trPr>
        <w:tc>
          <w:tcPr>
            <w:tcW w:w="0" w:type="auto"/>
            <w:shd w:val="clear" w:color="auto" w:fill="auto"/>
          </w:tcPr>
          <w:p w14:paraId="79CA2412"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18"/>
                <w:szCs w:val="18"/>
              </w:rPr>
              <w:t>11.4</w:t>
            </w:r>
          </w:p>
        </w:tc>
        <w:tc>
          <w:tcPr>
            <w:tcW w:w="3432" w:type="dxa"/>
            <w:shd w:val="clear" w:color="auto" w:fill="auto"/>
            <w:vAlign w:val="center"/>
          </w:tcPr>
          <w:p w14:paraId="5AD6C132" w14:textId="77777777" w:rsidR="0002298B" w:rsidRPr="00B0658A" w:rsidRDefault="0002298B" w:rsidP="000A4114">
            <w:pPr>
              <w:suppressAutoHyphens/>
              <w:spacing w:after="0" w:line="240" w:lineRule="auto"/>
              <w:rPr>
                <w:rFonts w:ascii="Times New Roman" w:hAnsi="Times New Roman"/>
                <w:sz w:val="18"/>
                <w:szCs w:val="18"/>
              </w:rPr>
            </w:pPr>
            <w:r w:rsidRPr="00B0658A">
              <w:rPr>
                <w:rFonts w:ascii="Times New Roman" w:hAnsi="Times New Roman"/>
                <w:sz w:val="18"/>
                <w:szCs w:val="18"/>
              </w:rPr>
              <w:t xml:space="preserve">Средства анализа данных/ </w:t>
            </w:r>
          </w:p>
          <w:p w14:paraId="7BBE8256" w14:textId="77777777" w:rsidR="0002298B" w:rsidRPr="00B0658A" w:rsidRDefault="0002298B" w:rsidP="000A4114">
            <w:pPr>
              <w:suppressAutoHyphens/>
              <w:spacing w:after="0" w:line="240" w:lineRule="auto"/>
              <w:rPr>
                <w:rFonts w:ascii="Times New Roman" w:hAnsi="Times New Roman"/>
                <w:sz w:val="20"/>
                <w:szCs w:val="20"/>
              </w:rPr>
            </w:pPr>
            <w:r w:rsidRPr="00B0658A">
              <w:rPr>
                <w:rFonts w:ascii="Times New Roman" w:hAnsi="Times New Roman"/>
                <w:sz w:val="18"/>
                <w:szCs w:val="18"/>
              </w:rPr>
              <w:t>Средства интеллектуального анализа данных (Data Mining)</w:t>
            </w:r>
          </w:p>
        </w:tc>
        <w:tc>
          <w:tcPr>
            <w:tcW w:w="1256" w:type="dxa"/>
          </w:tcPr>
          <w:p w14:paraId="569B2204"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1874C833"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533110B6"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1C5AFB33" w14:textId="77777777" w:rsidR="0002298B" w:rsidRPr="00B0658A" w:rsidRDefault="0002298B" w:rsidP="000A4114">
            <w:pPr>
              <w:spacing w:after="0" w:line="240" w:lineRule="auto"/>
              <w:jc w:val="both"/>
              <w:rPr>
                <w:rFonts w:ascii="Times New Roman" w:hAnsi="Times New Roman"/>
                <w:i/>
                <w:iCs/>
                <w:sz w:val="20"/>
                <w:szCs w:val="20"/>
              </w:rPr>
            </w:pPr>
          </w:p>
        </w:tc>
      </w:tr>
      <w:tr w:rsidR="00F52FED" w:rsidRPr="00B0658A" w14:paraId="5C0FC6B1" w14:textId="77777777" w:rsidTr="004F1366">
        <w:trPr>
          <w:trHeight w:val="170"/>
        </w:trPr>
        <w:tc>
          <w:tcPr>
            <w:tcW w:w="0" w:type="auto"/>
            <w:shd w:val="clear" w:color="auto" w:fill="auto"/>
          </w:tcPr>
          <w:p w14:paraId="2A6FE0D7" w14:textId="77777777" w:rsidR="0002298B" w:rsidRPr="00B0658A" w:rsidRDefault="0002298B" w:rsidP="000A4114">
            <w:pPr>
              <w:spacing w:after="0" w:line="240" w:lineRule="auto"/>
              <w:rPr>
                <w:rFonts w:ascii="Times New Roman" w:hAnsi="Times New Roman"/>
                <w:b/>
                <w:sz w:val="20"/>
                <w:szCs w:val="20"/>
              </w:rPr>
            </w:pPr>
            <w:r w:rsidRPr="00B0658A">
              <w:rPr>
                <w:rFonts w:ascii="Times New Roman" w:hAnsi="Times New Roman"/>
                <w:sz w:val="18"/>
                <w:szCs w:val="18"/>
              </w:rPr>
              <w:t>11.5</w:t>
            </w:r>
          </w:p>
        </w:tc>
        <w:tc>
          <w:tcPr>
            <w:tcW w:w="3432" w:type="dxa"/>
            <w:shd w:val="clear" w:color="auto" w:fill="auto"/>
            <w:vAlign w:val="center"/>
          </w:tcPr>
          <w:p w14:paraId="211151CD" w14:textId="77777777" w:rsidR="0002298B" w:rsidRPr="00B0658A" w:rsidRDefault="0002298B" w:rsidP="000A4114">
            <w:pPr>
              <w:suppressAutoHyphens/>
              <w:spacing w:after="0" w:line="240" w:lineRule="auto"/>
              <w:rPr>
                <w:rFonts w:ascii="Times New Roman" w:hAnsi="Times New Roman"/>
                <w:sz w:val="18"/>
                <w:szCs w:val="18"/>
              </w:rPr>
            </w:pPr>
            <w:r w:rsidRPr="00B0658A">
              <w:rPr>
                <w:rFonts w:ascii="Times New Roman" w:hAnsi="Times New Roman"/>
                <w:sz w:val="18"/>
                <w:szCs w:val="18"/>
              </w:rPr>
              <w:t xml:space="preserve">Средства анализа данных/ </w:t>
            </w:r>
          </w:p>
          <w:p w14:paraId="307BFA11" w14:textId="77777777" w:rsidR="0002298B" w:rsidRPr="00B0658A" w:rsidRDefault="0002298B" w:rsidP="000A4114">
            <w:pPr>
              <w:suppressAutoHyphens/>
              <w:spacing w:after="0" w:line="240" w:lineRule="auto"/>
              <w:rPr>
                <w:rFonts w:ascii="Times New Roman" w:hAnsi="Times New Roman"/>
                <w:b/>
                <w:sz w:val="20"/>
                <w:szCs w:val="20"/>
              </w:rPr>
            </w:pPr>
            <w:r w:rsidRPr="00B0658A">
              <w:rPr>
                <w:rFonts w:ascii="Times New Roman" w:hAnsi="Times New Roman"/>
                <w:sz w:val="18"/>
                <w:szCs w:val="18"/>
              </w:rPr>
              <w:t>Средства поддержки принятия решений (DSS)</w:t>
            </w:r>
          </w:p>
        </w:tc>
        <w:tc>
          <w:tcPr>
            <w:tcW w:w="1256" w:type="dxa"/>
          </w:tcPr>
          <w:p w14:paraId="1F353ACA"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581D1E57"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7021C9F7"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5B4E0B2E" w14:textId="77777777" w:rsidR="0002298B" w:rsidRPr="00B0658A" w:rsidRDefault="0002298B" w:rsidP="000A4114">
            <w:pPr>
              <w:spacing w:after="0" w:line="240" w:lineRule="auto"/>
              <w:jc w:val="both"/>
              <w:rPr>
                <w:rFonts w:ascii="Times New Roman" w:hAnsi="Times New Roman"/>
                <w:i/>
                <w:iCs/>
                <w:sz w:val="20"/>
                <w:szCs w:val="20"/>
              </w:rPr>
            </w:pPr>
          </w:p>
        </w:tc>
      </w:tr>
      <w:tr w:rsidR="0002298B" w:rsidRPr="00B0658A" w14:paraId="6A5005BC" w14:textId="77777777" w:rsidTr="004F1366">
        <w:trPr>
          <w:trHeight w:val="170"/>
        </w:trPr>
        <w:tc>
          <w:tcPr>
            <w:tcW w:w="0" w:type="auto"/>
            <w:shd w:val="clear" w:color="auto" w:fill="auto"/>
          </w:tcPr>
          <w:p w14:paraId="64464C1D" w14:textId="77777777" w:rsidR="0002298B" w:rsidRPr="00B0658A" w:rsidRDefault="0002298B" w:rsidP="000A4114">
            <w:pPr>
              <w:spacing w:after="0" w:line="240" w:lineRule="auto"/>
              <w:rPr>
                <w:rFonts w:ascii="Times New Roman" w:hAnsi="Times New Roman"/>
                <w:b/>
                <w:sz w:val="20"/>
                <w:szCs w:val="20"/>
              </w:rPr>
            </w:pPr>
            <w:r w:rsidRPr="00B0658A">
              <w:rPr>
                <w:rFonts w:ascii="Times New Roman" w:hAnsi="Times New Roman"/>
                <w:sz w:val="18"/>
                <w:szCs w:val="18"/>
              </w:rPr>
              <w:t>11.6</w:t>
            </w:r>
          </w:p>
        </w:tc>
        <w:tc>
          <w:tcPr>
            <w:tcW w:w="3432" w:type="dxa"/>
            <w:shd w:val="clear" w:color="auto" w:fill="auto"/>
            <w:vAlign w:val="center"/>
          </w:tcPr>
          <w:p w14:paraId="77E2F03D" w14:textId="77777777" w:rsidR="0002298B" w:rsidRPr="00B0658A" w:rsidRDefault="0002298B" w:rsidP="000A4114">
            <w:pPr>
              <w:spacing w:after="0" w:line="240" w:lineRule="auto"/>
              <w:rPr>
                <w:rFonts w:ascii="Times New Roman" w:hAnsi="Times New Roman"/>
                <w:b/>
                <w:sz w:val="20"/>
                <w:szCs w:val="20"/>
              </w:rPr>
            </w:pPr>
            <w:r w:rsidRPr="00B0658A">
              <w:rPr>
                <w:rFonts w:ascii="Times New Roman" w:hAnsi="Times New Roman"/>
                <w:sz w:val="18"/>
                <w:szCs w:val="18"/>
              </w:rPr>
              <w:t xml:space="preserve">Средства анализа данных/ Инструменты обработки, анализа </w:t>
            </w:r>
            <w:r w:rsidRPr="00B0658A">
              <w:rPr>
                <w:rFonts w:ascii="Times New Roman" w:hAnsi="Times New Roman"/>
                <w:sz w:val="18"/>
                <w:szCs w:val="18"/>
              </w:rPr>
              <w:br/>
              <w:t>и распознавания изображений</w:t>
            </w:r>
          </w:p>
        </w:tc>
        <w:tc>
          <w:tcPr>
            <w:tcW w:w="1256" w:type="dxa"/>
          </w:tcPr>
          <w:p w14:paraId="58275017"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77386CFA"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4AB99EDE" w14:textId="77777777" w:rsidR="0002298B" w:rsidRPr="00B0658A" w:rsidRDefault="0002298B" w:rsidP="000A4114">
            <w:pPr>
              <w:spacing w:after="0" w:line="240" w:lineRule="auto"/>
              <w:rPr>
                <w:rFonts w:ascii="Times New Roman" w:hAnsi="Times New Roman"/>
                <w:i/>
                <w:iCs/>
                <w:sz w:val="20"/>
                <w:szCs w:val="20"/>
              </w:rPr>
            </w:pPr>
          </w:p>
        </w:tc>
        <w:tc>
          <w:tcPr>
            <w:tcW w:w="0" w:type="auto"/>
            <w:shd w:val="clear" w:color="auto" w:fill="auto"/>
          </w:tcPr>
          <w:p w14:paraId="4E1081CA" w14:textId="77777777" w:rsidR="0002298B" w:rsidRPr="00B0658A" w:rsidRDefault="0002298B" w:rsidP="000A4114">
            <w:pPr>
              <w:spacing w:after="0" w:line="240" w:lineRule="auto"/>
              <w:jc w:val="both"/>
              <w:rPr>
                <w:rFonts w:ascii="Times New Roman" w:hAnsi="Times New Roman"/>
                <w:i/>
                <w:iCs/>
                <w:sz w:val="20"/>
                <w:szCs w:val="20"/>
              </w:rPr>
            </w:pPr>
          </w:p>
        </w:tc>
      </w:tr>
    </w:tbl>
    <w:p w14:paraId="1AF8F7F5" w14:textId="77777777" w:rsidR="009F4B0E" w:rsidRDefault="009F4B0E">
      <w:pPr>
        <w:spacing w:after="0" w:line="240" w:lineRule="auto"/>
        <w:rPr>
          <w:rFonts w:ascii="Times New Roman" w:hAnsi="Times New Roman"/>
          <w:sz w:val="32"/>
          <w:szCs w:val="24"/>
        </w:rPr>
      </w:pPr>
      <w:r>
        <w:rPr>
          <w:sz w:val="32"/>
        </w:rPr>
        <w:br w:type="page"/>
      </w:r>
    </w:p>
    <w:p w14:paraId="5C4D32BE" w14:textId="77777777" w:rsidR="0002298B" w:rsidRPr="00B0658A" w:rsidRDefault="0002298B" w:rsidP="0002298B">
      <w:pPr>
        <w:pStyle w:val="ConsPlusNormal"/>
        <w:spacing w:before="120"/>
        <w:jc w:val="center"/>
        <w:rPr>
          <w:sz w:val="32"/>
        </w:rPr>
      </w:pPr>
      <w:bookmarkStart w:id="55" w:name="_Hlk116558855"/>
      <w:r w:rsidRPr="00B0658A">
        <w:rPr>
          <w:sz w:val="32"/>
        </w:rPr>
        <w:t xml:space="preserve">Сведения о реализации детализированного плана перехода ______________ (полное наименование </w:t>
      </w:r>
      <w:r w:rsidR="000717D9" w:rsidRPr="00B0658A">
        <w:rPr>
          <w:sz w:val="32"/>
          <w:szCs w:val="32"/>
        </w:rPr>
        <w:t>заказчика 44-ФЗ или заказчика 223-ФЗ</w:t>
      </w:r>
      <w:r w:rsidR="000717D9" w:rsidRPr="00B0658A">
        <w:rPr>
          <w:sz w:val="32"/>
          <w:szCs w:val="28"/>
        </w:rPr>
        <w:t xml:space="preserve"> </w:t>
      </w:r>
      <w:r w:rsidRPr="00B0658A">
        <w:rPr>
          <w:sz w:val="32"/>
          <w:szCs w:val="28"/>
        </w:rPr>
        <w:t xml:space="preserve">на использование российского </w:t>
      </w:r>
      <w:r w:rsidRPr="00B0658A">
        <w:rPr>
          <w:sz w:val="32"/>
        </w:rPr>
        <w:t xml:space="preserve">ПО на принадлежащих </w:t>
      </w:r>
      <w:r w:rsidR="004F3263" w:rsidRPr="00B0658A">
        <w:rPr>
          <w:sz w:val="32"/>
          <w:szCs w:val="32"/>
        </w:rPr>
        <w:t>заказчику 44-ФЗ или заказчику 223-ФЗ</w:t>
      </w:r>
      <w:r w:rsidR="004F3263" w:rsidRPr="00B0658A">
        <w:rPr>
          <w:sz w:val="32"/>
        </w:rPr>
        <w:t xml:space="preserve"> </w:t>
      </w:r>
      <w:r w:rsidRPr="00B0658A">
        <w:rPr>
          <w:sz w:val="32"/>
        </w:rPr>
        <w:t>значимых объектах КИИ</w:t>
      </w:r>
      <w:r w:rsidRPr="00B0658A">
        <w:rPr>
          <w:sz w:val="32"/>
          <w:szCs w:val="28"/>
        </w:rPr>
        <w:t xml:space="preserve"> </w:t>
      </w:r>
      <w:r w:rsidRPr="00B0658A">
        <w:rPr>
          <w:sz w:val="32"/>
        </w:rPr>
        <w:t xml:space="preserve">на период 2022-2024 годы за </w:t>
      </w:r>
      <w:r w:rsidRPr="00B0658A">
        <w:rPr>
          <w:sz w:val="32"/>
          <w:szCs w:val="28"/>
        </w:rPr>
        <w:t xml:space="preserve"> ____ полугодие _______ года</w:t>
      </w:r>
    </w:p>
    <w:p w14:paraId="18A07A78" w14:textId="77777777" w:rsidR="0002298B" w:rsidRPr="00B0658A" w:rsidRDefault="0002298B" w:rsidP="0002298B">
      <w:pPr>
        <w:rPr>
          <w:rFonts w:ascii="Times New Roman" w:hAnsi="Times New Roman"/>
        </w:rPr>
      </w:pPr>
    </w:p>
    <w:p w14:paraId="5F870018" w14:textId="77777777" w:rsidR="0002298B" w:rsidRPr="00B0658A" w:rsidRDefault="0002298B" w:rsidP="0002298B">
      <w:pPr>
        <w:spacing w:line="240" w:lineRule="auto"/>
        <w:ind w:firstLine="709"/>
        <w:jc w:val="both"/>
        <w:rPr>
          <w:rFonts w:ascii="Times New Roman" w:hAnsi="Times New Roman"/>
          <w:sz w:val="28"/>
          <w:szCs w:val="28"/>
        </w:rPr>
      </w:pPr>
      <w:r w:rsidRPr="00B0658A">
        <w:rPr>
          <w:rFonts w:ascii="Times New Roman" w:hAnsi="Times New Roman"/>
          <w:sz w:val="28"/>
          <w:szCs w:val="28"/>
        </w:rPr>
        <w:t xml:space="preserve">Сведения о реализации мероприятий по переходу на использование российского ПО на принадлежащих _______ (полное наименование </w:t>
      </w:r>
      <w:r w:rsidR="00C7318F" w:rsidRPr="00B0658A">
        <w:rPr>
          <w:rFonts w:ascii="Times New Roman" w:hAnsi="Times New Roman"/>
          <w:sz w:val="28"/>
          <w:szCs w:val="28"/>
        </w:rPr>
        <w:t>заказчика 44-ФЗ или заказчика 223-ФЗ</w:t>
      </w:r>
      <w:r w:rsidRPr="00B0658A">
        <w:rPr>
          <w:rFonts w:ascii="Times New Roman" w:hAnsi="Times New Roman"/>
          <w:sz w:val="28"/>
          <w:szCs w:val="28"/>
        </w:rPr>
        <w:t>) значимых объектах КИИ</w:t>
      </w:r>
    </w:p>
    <w:tbl>
      <w:tblPr>
        <w:tblStyle w:val="32"/>
        <w:tblW w:w="5000" w:type="pct"/>
        <w:tblLook w:val="04A0" w:firstRow="1" w:lastRow="0" w:firstColumn="1" w:lastColumn="0" w:noHBand="0" w:noVBand="1"/>
      </w:tblPr>
      <w:tblGrid>
        <w:gridCol w:w="513"/>
        <w:gridCol w:w="2853"/>
        <w:gridCol w:w="2471"/>
        <w:gridCol w:w="2496"/>
        <w:gridCol w:w="2435"/>
        <w:gridCol w:w="3176"/>
      </w:tblGrid>
      <w:tr w:rsidR="00F52FED" w:rsidRPr="00B0658A" w14:paraId="748EE9C0" w14:textId="77777777" w:rsidTr="00F57B1F">
        <w:trPr>
          <w:tblHeader/>
        </w:trPr>
        <w:tc>
          <w:tcPr>
            <w:tcW w:w="184" w:type="pct"/>
          </w:tcPr>
          <w:p w14:paraId="591B82E4" w14:textId="77777777" w:rsidR="0002298B" w:rsidRPr="00B0658A" w:rsidRDefault="0002298B" w:rsidP="000A4114">
            <w:pPr>
              <w:spacing w:after="0" w:line="240" w:lineRule="auto"/>
              <w:jc w:val="center"/>
              <w:rPr>
                <w:rFonts w:ascii="Times New Roman"/>
                <w:b/>
                <w:bCs/>
                <w:color w:val="auto"/>
                <w:sz w:val="20"/>
                <w:szCs w:val="20"/>
              </w:rPr>
            </w:pPr>
            <w:r w:rsidRPr="00B0658A">
              <w:rPr>
                <w:rFonts w:ascii="Times New Roman"/>
                <w:b/>
                <w:bCs/>
                <w:color w:val="auto"/>
                <w:sz w:val="20"/>
                <w:szCs w:val="20"/>
              </w:rPr>
              <w:t>№</w:t>
            </w:r>
          </w:p>
        </w:tc>
        <w:tc>
          <w:tcPr>
            <w:tcW w:w="1023" w:type="pct"/>
          </w:tcPr>
          <w:p w14:paraId="0F794D6E" w14:textId="77777777" w:rsidR="0002298B" w:rsidRPr="00B0658A" w:rsidRDefault="0002298B" w:rsidP="000A4114">
            <w:pPr>
              <w:spacing w:after="0" w:line="240" w:lineRule="auto"/>
              <w:jc w:val="center"/>
              <w:rPr>
                <w:rFonts w:ascii="Times New Roman"/>
                <w:b/>
                <w:bCs/>
                <w:color w:val="auto"/>
                <w:sz w:val="20"/>
                <w:szCs w:val="20"/>
              </w:rPr>
            </w:pPr>
            <w:r w:rsidRPr="00B0658A">
              <w:rPr>
                <w:rFonts w:ascii="Times New Roman"/>
                <w:b/>
                <w:bCs/>
                <w:color w:val="auto"/>
                <w:sz w:val="20"/>
                <w:szCs w:val="20"/>
              </w:rPr>
              <w:t xml:space="preserve">Наименование мероприятия в соответствии с утвержденным детализированным планом </w:t>
            </w:r>
          </w:p>
        </w:tc>
        <w:tc>
          <w:tcPr>
            <w:tcW w:w="886" w:type="pct"/>
          </w:tcPr>
          <w:p w14:paraId="3B9C3E51" w14:textId="77777777" w:rsidR="0002298B" w:rsidRPr="00B0658A" w:rsidRDefault="0002298B" w:rsidP="000A4114">
            <w:pPr>
              <w:spacing w:after="0" w:line="240" w:lineRule="auto"/>
              <w:jc w:val="center"/>
              <w:rPr>
                <w:rFonts w:ascii="Times New Roman"/>
                <w:b/>
                <w:bCs/>
                <w:color w:val="auto"/>
                <w:sz w:val="20"/>
                <w:szCs w:val="20"/>
              </w:rPr>
            </w:pPr>
            <w:r w:rsidRPr="00B0658A">
              <w:rPr>
                <w:rFonts w:ascii="Times New Roman"/>
                <w:b/>
                <w:bCs/>
                <w:color w:val="auto"/>
                <w:sz w:val="20"/>
                <w:szCs w:val="20"/>
              </w:rPr>
              <w:t xml:space="preserve">Планируемый результат в соответствии с утвержденным детализированным планом </w:t>
            </w:r>
          </w:p>
        </w:tc>
        <w:tc>
          <w:tcPr>
            <w:tcW w:w="895" w:type="pct"/>
          </w:tcPr>
          <w:p w14:paraId="740F7C98" w14:textId="77777777" w:rsidR="0002298B" w:rsidRPr="00B0658A" w:rsidRDefault="0002298B" w:rsidP="000A4114">
            <w:pPr>
              <w:spacing w:after="0" w:line="240" w:lineRule="auto"/>
              <w:jc w:val="center"/>
              <w:rPr>
                <w:rFonts w:ascii="Times New Roman"/>
                <w:b/>
                <w:bCs/>
                <w:color w:val="auto"/>
                <w:sz w:val="20"/>
                <w:szCs w:val="20"/>
              </w:rPr>
            </w:pPr>
            <w:r w:rsidRPr="00B0658A">
              <w:rPr>
                <w:rFonts w:ascii="Times New Roman"/>
                <w:b/>
                <w:bCs/>
                <w:color w:val="auto"/>
                <w:sz w:val="20"/>
                <w:szCs w:val="20"/>
              </w:rPr>
              <w:t>Сроки реализации запланированного мероприятия в соответствии с детализированным планом</w:t>
            </w:r>
          </w:p>
        </w:tc>
        <w:tc>
          <w:tcPr>
            <w:tcW w:w="873" w:type="pct"/>
          </w:tcPr>
          <w:p w14:paraId="112BC4E3" w14:textId="77777777" w:rsidR="0002298B" w:rsidRPr="00B0658A" w:rsidRDefault="0002298B" w:rsidP="000A4114">
            <w:pPr>
              <w:spacing w:after="0" w:line="240" w:lineRule="auto"/>
              <w:jc w:val="center"/>
              <w:rPr>
                <w:rFonts w:ascii="Times New Roman"/>
                <w:b/>
                <w:bCs/>
                <w:color w:val="auto"/>
                <w:sz w:val="20"/>
                <w:szCs w:val="20"/>
              </w:rPr>
            </w:pPr>
            <w:r w:rsidRPr="00B0658A">
              <w:rPr>
                <w:rFonts w:ascii="Times New Roman"/>
                <w:b/>
                <w:bCs/>
                <w:color w:val="auto"/>
                <w:sz w:val="20"/>
                <w:szCs w:val="20"/>
              </w:rPr>
              <w:t>Статус выполнения мероприятия</w:t>
            </w:r>
          </w:p>
        </w:tc>
        <w:tc>
          <w:tcPr>
            <w:tcW w:w="1139" w:type="pct"/>
          </w:tcPr>
          <w:p w14:paraId="572D0112" w14:textId="77777777" w:rsidR="0002298B" w:rsidRPr="00B0658A" w:rsidRDefault="0002298B" w:rsidP="000A4114">
            <w:pPr>
              <w:spacing w:after="0" w:line="240" w:lineRule="auto"/>
              <w:jc w:val="center"/>
              <w:rPr>
                <w:rFonts w:ascii="Times New Roman"/>
                <w:b/>
                <w:bCs/>
                <w:color w:val="auto"/>
                <w:sz w:val="20"/>
                <w:szCs w:val="20"/>
              </w:rPr>
            </w:pPr>
            <w:r w:rsidRPr="00B0658A">
              <w:rPr>
                <w:rFonts w:ascii="Times New Roman"/>
                <w:b/>
                <w:bCs/>
                <w:color w:val="auto"/>
                <w:sz w:val="20"/>
                <w:szCs w:val="20"/>
              </w:rPr>
              <w:t>Описание достигнутого фактического результата</w:t>
            </w:r>
          </w:p>
        </w:tc>
      </w:tr>
      <w:tr w:rsidR="00F52FED" w:rsidRPr="00B0658A" w14:paraId="08157891" w14:textId="77777777" w:rsidTr="004F1366">
        <w:tc>
          <w:tcPr>
            <w:tcW w:w="5000" w:type="pct"/>
            <w:gridSpan w:val="6"/>
            <w:vAlign w:val="center"/>
          </w:tcPr>
          <w:p w14:paraId="29AA5F44" w14:textId="77777777" w:rsidR="0002298B" w:rsidRPr="00B0658A" w:rsidRDefault="0002298B" w:rsidP="000A4114">
            <w:pPr>
              <w:spacing w:after="0" w:line="240" w:lineRule="auto"/>
              <w:rPr>
                <w:rFonts w:ascii="Times New Roman"/>
                <w:b/>
                <w:i/>
                <w:iCs/>
                <w:color w:val="auto"/>
                <w:sz w:val="20"/>
                <w:szCs w:val="20"/>
              </w:rPr>
            </w:pPr>
            <w:r w:rsidRPr="00B0658A">
              <w:rPr>
                <w:rFonts w:ascii="Times New Roman"/>
                <w:b/>
                <w:color w:val="auto"/>
                <w:sz w:val="20"/>
                <w:szCs w:val="20"/>
              </w:rPr>
              <w:t>1. Мероприятия в отношении ________ (наименование значимого объекта КИИ №1)</w:t>
            </w:r>
          </w:p>
        </w:tc>
      </w:tr>
      <w:tr w:rsidR="00F52FED" w:rsidRPr="00B0658A" w14:paraId="67A76E27" w14:textId="77777777" w:rsidTr="004F1366">
        <w:tc>
          <w:tcPr>
            <w:tcW w:w="184" w:type="pct"/>
          </w:tcPr>
          <w:p w14:paraId="3ABF0361" w14:textId="77777777" w:rsidR="0002298B" w:rsidRPr="00B0658A" w:rsidRDefault="0002298B" w:rsidP="000A4114">
            <w:pPr>
              <w:spacing w:after="0" w:line="240" w:lineRule="auto"/>
              <w:jc w:val="both"/>
              <w:rPr>
                <w:rFonts w:ascii="Times New Roman"/>
                <w:color w:val="auto"/>
                <w:sz w:val="20"/>
                <w:szCs w:val="20"/>
              </w:rPr>
            </w:pPr>
            <w:r w:rsidRPr="00B0658A">
              <w:rPr>
                <w:rFonts w:ascii="Times New Roman"/>
                <w:color w:val="auto"/>
                <w:sz w:val="20"/>
                <w:szCs w:val="20"/>
              </w:rPr>
              <w:t>1.1</w:t>
            </w:r>
          </w:p>
        </w:tc>
        <w:tc>
          <w:tcPr>
            <w:tcW w:w="1023" w:type="pct"/>
          </w:tcPr>
          <w:p w14:paraId="4CF17CA0" w14:textId="77777777" w:rsidR="0002298B" w:rsidRPr="00B0658A" w:rsidRDefault="0002298B" w:rsidP="000A4114">
            <w:pPr>
              <w:spacing w:after="0" w:line="240" w:lineRule="auto"/>
              <w:jc w:val="both"/>
              <w:rPr>
                <w:rFonts w:ascii="Times New Roman"/>
                <w:i/>
                <w:iCs/>
                <w:color w:val="auto"/>
                <w:sz w:val="20"/>
                <w:szCs w:val="20"/>
              </w:rPr>
            </w:pPr>
            <w:r w:rsidRPr="00B0658A">
              <w:rPr>
                <w:rFonts w:ascii="Times New Roman"/>
                <w:i/>
                <w:iCs/>
                <w:color w:val="auto"/>
                <w:sz w:val="20"/>
                <w:szCs w:val="20"/>
              </w:rPr>
              <w:t xml:space="preserve">Указывается наименование мероприятия в соответствии с утвержденным детализированным планом перехода на использование российского ПО на принадлежащих </w:t>
            </w:r>
            <w:r w:rsidR="00C7318F" w:rsidRPr="00B0658A">
              <w:rPr>
                <w:rFonts w:ascii="Times New Roman"/>
                <w:i/>
                <w:iCs/>
                <w:color w:val="auto"/>
                <w:sz w:val="20"/>
                <w:szCs w:val="20"/>
              </w:rPr>
              <w:t xml:space="preserve">заказчику 44-ФЗ или заказчику 223-ФЗ </w:t>
            </w:r>
            <w:r w:rsidRPr="00B0658A">
              <w:rPr>
                <w:rFonts w:ascii="Times New Roman"/>
                <w:i/>
                <w:iCs/>
                <w:color w:val="auto"/>
                <w:sz w:val="20"/>
                <w:szCs w:val="20"/>
              </w:rPr>
              <w:t>значимых объектах КИИ</w:t>
            </w:r>
          </w:p>
          <w:p w14:paraId="6746DE8A" w14:textId="77777777" w:rsidR="0002298B" w:rsidRPr="00B0658A" w:rsidRDefault="0002298B" w:rsidP="000A4114">
            <w:pPr>
              <w:pStyle w:val="ConsPlusNormal"/>
              <w:jc w:val="both"/>
              <w:rPr>
                <w:color w:val="auto"/>
                <w:sz w:val="20"/>
                <w:szCs w:val="20"/>
              </w:rPr>
            </w:pPr>
          </w:p>
          <w:p w14:paraId="24D43ADD" w14:textId="77777777" w:rsidR="0002298B" w:rsidRPr="00B0658A" w:rsidRDefault="0002298B" w:rsidP="000A4114">
            <w:pPr>
              <w:spacing w:after="0" w:line="240" w:lineRule="auto"/>
              <w:jc w:val="both"/>
              <w:rPr>
                <w:rFonts w:ascii="Times New Roman"/>
                <w:i/>
                <w:iCs/>
                <w:color w:val="auto"/>
                <w:sz w:val="20"/>
                <w:szCs w:val="20"/>
              </w:rPr>
            </w:pPr>
          </w:p>
        </w:tc>
        <w:tc>
          <w:tcPr>
            <w:tcW w:w="886" w:type="pct"/>
          </w:tcPr>
          <w:p w14:paraId="7CE2E4E2" w14:textId="77777777" w:rsidR="0002298B" w:rsidRPr="00B0658A" w:rsidRDefault="0002298B" w:rsidP="000A4114">
            <w:pPr>
              <w:spacing w:after="0" w:line="240" w:lineRule="auto"/>
              <w:jc w:val="both"/>
              <w:rPr>
                <w:rFonts w:ascii="Times New Roman"/>
                <w:i/>
                <w:iCs/>
                <w:color w:val="auto"/>
                <w:sz w:val="20"/>
                <w:szCs w:val="20"/>
              </w:rPr>
            </w:pPr>
            <w:r w:rsidRPr="00B0658A">
              <w:rPr>
                <w:rFonts w:ascii="Times New Roman"/>
                <w:i/>
                <w:iCs/>
                <w:color w:val="auto"/>
                <w:sz w:val="20"/>
                <w:szCs w:val="20"/>
              </w:rPr>
              <w:t xml:space="preserve">Указывается запланированный результат в соответствии с утвержденным детализированным планом перехода на использование российского ПО на принадлежащих </w:t>
            </w:r>
            <w:r w:rsidR="00C7318F" w:rsidRPr="00B0658A">
              <w:rPr>
                <w:rFonts w:ascii="Times New Roman"/>
                <w:i/>
                <w:iCs/>
                <w:color w:val="auto"/>
                <w:sz w:val="20"/>
                <w:szCs w:val="20"/>
              </w:rPr>
              <w:t>заказчику 44-ФЗ или заказчику 223-ФЗ</w:t>
            </w:r>
            <w:r w:rsidRPr="00B0658A">
              <w:rPr>
                <w:rFonts w:ascii="Times New Roman"/>
                <w:i/>
                <w:iCs/>
                <w:color w:val="auto"/>
                <w:sz w:val="20"/>
                <w:szCs w:val="20"/>
              </w:rPr>
              <w:t xml:space="preserve"> значимых объектах КИИ</w:t>
            </w:r>
          </w:p>
          <w:p w14:paraId="27739F93" w14:textId="77777777" w:rsidR="0002298B" w:rsidRPr="00B0658A" w:rsidRDefault="0002298B" w:rsidP="000A4114">
            <w:pPr>
              <w:spacing w:after="0" w:line="240" w:lineRule="auto"/>
              <w:jc w:val="both"/>
              <w:rPr>
                <w:rFonts w:ascii="Times New Roman"/>
                <w:color w:val="auto"/>
                <w:sz w:val="20"/>
                <w:szCs w:val="20"/>
              </w:rPr>
            </w:pPr>
          </w:p>
        </w:tc>
        <w:tc>
          <w:tcPr>
            <w:tcW w:w="895" w:type="pct"/>
          </w:tcPr>
          <w:p w14:paraId="19BD8C6B" w14:textId="77777777" w:rsidR="0002298B" w:rsidRPr="00B0658A" w:rsidRDefault="0002298B" w:rsidP="000A4114">
            <w:pPr>
              <w:spacing w:after="0" w:line="240" w:lineRule="auto"/>
              <w:jc w:val="both"/>
              <w:rPr>
                <w:rFonts w:ascii="Times New Roman"/>
                <w:i/>
                <w:iCs/>
                <w:color w:val="auto"/>
                <w:sz w:val="20"/>
                <w:szCs w:val="20"/>
              </w:rPr>
            </w:pPr>
            <w:r w:rsidRPr="00B0658A">
              <w:rPr>
                <w:rFonts w:ascii="Times New Roman"/>
                <w:i/>
                <w:iCs/>
                <w:color w:val="auto"/>
                <w:sz w:val="20"/>
                <w:szCs w:val="20"/>
              </w:rPr>
              <w:t xml:space="preserve">Указывается срок реализации (период выполнения) в соответствии с утвержденным детализированным планом перехода на использование российского ПО на принадлежащих </w:t>
            </w:r>
            <w:r w:rsidR="00C7318F" w:rsidRPr="00B0658A">
              <w:rPr>
                <w:rFonts w:ascii="Times New Roman"/>
                <w:i/>
                <w:iCs/>
                <w:color w:val="auto"/>
                <w:sz w:val="20"/>
                <w:szCs w:val="20"/>
              </w:rPr>
              <w:t xml:space="preserve">заказчику 44-ФЗ или заказчику 223-ФЗ </w:t>
            </w:r>
            <w:r w:rsidRPr="00B0658A">
              <w:rPr>
                <w:rFonts w:ascii="Times New Roman"/>
                <w:i/>
                <w:iCs/>
                <w:color w:val="auto"/>
                <w:sz w:val="20"/>
                <w:szCs w:val="20"/>
              </w:rPr>
              <w:t>значимых объектах КИИ</w:t>
            </w:r>
          </w:p>
          <w:p w14:paraId="17C09953" w14:textId="77777777" w:rsidR="0002298B" w:rsidRPr="00B0658A" w:rsidRDefault="0002298B" w:rsidP="000A4114">
            <w:pPr>
              <w:spacing w:after="0" w:line="240" w:lineRule="auto"/>
              <w:jc w:val="both"/>
              <w:rPr>
                <w:rFonts w:ascii="Times New Roman"/>
                <w:i/>
                <w:iCs/>
                <w:color w:val="auto"/>
                <w:sz w:val="20"/>
                <w:szCs w:val="20"/>
              </w:rPr>
            </w:pPr>
          </w:p>
        </w:tc>
        <w:tc>
          <w:tcPr>
            <w:tcW w:w="873" w:type="pct"/>
          </w:tcPr>
          <w:p w14:paraId="52C6BE52" w14:textId="77777777" w:rsidR="0002298B" w:rsidRPr="00B0658A" w:rsidRDefault="0002298B" w:rsidP="000A4114">
            <w:pPr>
              <w:spacing w:after="0" w:line="240" w:lineRule="auto"/>
              <w:jc w:val="both"/>
              <w:rPr>
                <w:rFonts w:ascii="Times New Roman"/>
                <w:i/>
                <w:iCs/>
                <w:color w:val="auto"/>
                <w:sz w:val="20"/>
                <w:szCs w:val="20"/>
              </w:rPr>
            </w:pPr>
            <w:r w:rsidRPr="00B0658A">
              <w:rPr>
                <w:rFonts w:ascii="Times New Roman"/>
                <w:i/>
                <w:iCs/>
                <w:color w:val="auto"/>
                <w:sz w:val="20"/>
                <w:szCs w:val="20"/>
              </w:rPr>
              <w:t>Указывается статус: «выполнено» / «не выполнено».</w:t>
            </w:r>
          </w:p>
          <w:p w14:paraId="2D804055" w14:textId="77777777" w:rsidR="0002298B" w:rsidRPr="00B0658A" w:rsidRDefault="0002298B" w:rsidP="000A4114">
            <w:pPr>
              <w:spacing w:after="0" w:line="240" w:lineRule="auto"/>
              <w:jc w:val="both"/>
              <w:rPr>
                <w:rFonts w:ascii="Times New Roman"/>
                <w:color w:val="auto"/>
                <w:sz w:val="20"/>
                <w:szCs w:val="20"/>
              </w:rPr>
            </w:pPr>
            <w:r w:rsidRPr="00B0658A">
              <w:rPr>
                <w:rFonts w:ascii="Times New Roman"/>
                <w:i/>
                <w:iCs/>
                <w:color w:val="auto"/>
                <w:sz w:val="20"/>
                <w:szCs w:val="20"/>
              </w:rPr>
              <w:t>Если мероприятие выполнено частично, то указывается статус «не выполнено»</w:t>
            </w:r>
          </w:p>
        </w:tc>
        <w:tc>
          <w:tcPr>
            <w:tcW w:w="1139" w:type="pct"/>
          </w:tcPr>
          <w:p w14:paraId="2C30CFFA" w14:textId="77777777" w:rsidR="0002298B" w:rsidRPr="00B0658A" w:rsidRDefault="0002298B" w:rsidP="000A4114">
            <w:pPr>
              <w:spacing w:after="0" w:line="240" w:lineRule="auto"/>
              <w:jc w:val="both"/>
              <w:rPr>
                <w:rFonts w:ascii="Times New Roman"/>
                <w:i/>
                <w:iCs/>
                <w:color w:val="auto"/>
                <w:sz w:val="20"/>
                <w:szCs w:val="20"/>
              </w:rPr>
            </w:pPr>
            <w:r w:rsidRPr="00B0658A">
              <w:rPr>
                <w:rFonts w:ascii="Times New Roman"/>
                <w:i/>
                <w:iCs/>
                <w:color w:val="auto"/>
                <w:sz w:val="20"/>
                <w:szCs w:val="20"/>
              </w:rPr>
              <w:t>Указывается достигнутый результат. В случае если мероприятие не было выполнено, либо результат выполнения мероприятия был достигнут не полностью, указываются причины невыполнения мероприятия (частичного выполнения мероприятия), а также срок, в который мероприятие будет реализовано и достигнут запланированный результат</w:t>
            </w:r>
          </w:p>
        </w:tc>
      </w:tr>
      <w:tr w:rsidR="00F52FED" w:rsidRPr="00B0658A" w14:paraId="4B3C4457" w14:textId="77777777" w:rsidTr="004F1366">
        <w:tc>
          <w:tcPr>
            <w:tcW w:w="184" w:type="pct"/>
          </w:tcPr>
          <w:p w14:paraId="1D39C12F" w14:textId="77777777" w:rsidR="0002298B" w:rsidRPr="00B0658A" w:rsidRDefault="0002298B" w:rsidP="000A4114">
            <w:pPr>
              <w:spacing w:after="0" w:line="240" w:lineRule="auto"/>
              <w:jc w:val="both"/>
              <w:rPr>
                <w:rFonts w:ascii="Times New Roman"/>
                <w:color w:val="auto"/>
                <w:sz w:val="20"/>
                <w:szCs w:val="20"/>
              </w:rPr>
            </w:pPr>
            <w:r w:rsidRPr="00B0658A">
              <w:rPr>
                <w:rFonts w:ascii="Times New Roman"/>
                <w:color w:val="auto"/>
                <w:sz w:val="20"/>
                <w:szCs w:val="20"/>
              </w:rPr>
              <w:t>1.2</w:t>
            </w:r>
          </w:p>
        </w:tc>
        <w:tc>
          <w:tcPr>
            <w:tcW w:w="1023" w:type="pct"/>
          </w:tcPr>
          <w:p w14:paraId="4BB4FAF2" w14:textId="77777777" w:rsidR="0002298B" w:rsidRPr="00B0658A" w:rsidRDefault="0002298B" w:rsidP="000A4114">
            <w:pPr>
              <w:spacing w:after="0" w:line="240" w:lineRule="auto"/>
              <w:jc w:val="both"/>
              <w:rPr>
                <w:rFonts w:ascii="Times New Roman"/>
                <w:color w:val="auto"/>
                <w:sz w:val="20"/>
                <w:szCs w:val="20"/>
              </w:rPr>
            </w:pPr>
          </w:p>
        </w:tc>
        <w:tc>
          <w:tcPr>
            <w:tcW w:w="886" w:type="pct"/>
          </w:tcPr>
          <w:p w14:paraId="790BEBB4" w14:textId="77777777" w:rsidR="0002298B" w:rsidRPr="00B0658A" w:rsidRDefault="0002298B" w:rsidP="000A4114">
            <w:pPr>
              <w:spacing w:after="0" w:line="240" w:lineRule="auto"/>
              <w:jc w:val="both"/>
              <w:rPr>
                <w:rFonts w:ascii="Times New Roman"/>
                <w:color w:val="auto"/>
                <w:sz w:val="20"/>
                <w:szCs w:val="20"/>
              </w:rPr>
            </w:pPr>
          </w:p>
        </w:tc>
        <w:tc>
          <w:tcPr>
            <w:tcW w:w="895" w:type="pct"/>
          </w:tcPr>
          <w:p w14:paraId="595E57C4" w14:textId="77777777" w:rsidR="0002298B" w:rsidRPr="00B0658A" w:rsidRDefault="0002298B" w:rsidP="000A4114">
            <w:pPr>
              <w:spacing w:after="0" w:line="240" w:lineRule="auto"/>
              <w:jc w:val="both"/>
              <w:rPr>
                <w:rFonts w:ascii="Times New Roman"/>
                <w:color w:val="auto"/>
                <w:sz w:val="20"/>
                <w:szCs w:val="20"/>
              </w:rPr>
            </w:pPr>
          </w:p>
        </w:tc>
        <w:tc>
          <w:tcPr>
            <w:tcW w:w="873" w:type="pct"/>
          </w:tcPr>
          <w:p w14:paraId="1359F251" w14:textId="77777777" w:rsidR="0002298B" w:rsidRPr="00B0658A" w:rsidRDefault="0002298B" w:rsidP="000A4114">
            <w:pPr>
              <w:spacing w:after="0" w:line="240" w:lineRule="auto"/>
              <w:jc w:val="both"/>
              <w:rPr>
                <w:rFonts w:ascii="Times New Roman"/>
                <w:color w:val="auto"/>
                <w:sz w:val="20"/>
                <w:szCs w:val="20"/>
              </w:rPr>
            </w:pPr>
          </w:p>
        </w:tc>
        <w:tc>
          <w:tcPr>
            <w:tcW w:w="1139" w:type="pct"/>
          </w:tcPr>
          <w:p w14:paraId="7CB1C76B" w14:textId="77777777" w:rsidR="0002298B" w:rsidRPr="00B0658A" w:rsidRDefault="0002298B" w:rsidP="000A4114">
            <w:pPr>
              <w:spacing w:after="0" w:line="240" w:lineRule="auto"/>
              <w:jc w:val="both"/>
              <w:rPr>
                <w:rFonts w:ascii="Times New Roman"/>
                <w:color w:val="auto"/>
                <w:sz w:val="20"/>
                <w:szCs w:val="20"/>
              </w:rPr>
            </w:pPr>
          </w:p>
        </w:tc>
      </w:tr>
      <w:tr w:rsidR="00F52FED" w:rsidRPr="00B0658A" w14:paraId="208DD645" w14:textId="77777777" w:rsidTr="004F1366">
        <w:tc>
          <w:tcPr>
            <w:tcW w:w="184" w:type="pct"/>
          </w:tcPr>
          <w:p w14:paraId="621689CE" w14:textId="77777777" w:rsidR="0002298B" w:rsidRPr="00B0658A" w:rsidRDefault="0002298B" w:rsidP="000A4114">
            <w:pPr>
              <w:spacing w:after="0" w:line="240" w:lineRule="auto"/>
              <w:jc w:val="both"/>
              <w:rPr>
                <w:rFonts w:ascii="Times New Roman"/>
                <w:color w:val="auto"/>
                <w:sz w:val="20"/>
                <w:szCs w:val="20"/>
              </w:rPr>
            </w:pPr>
            <w:r w:rsidRPr="00B0658A">
              <w:rPr>
                <w:rFonts w:ascii="Times New Roman"/>
                <w:color w:val="auto"/>
                <w:sz w:val="20"/>
                <w:szCs w:val="20"/>
              </w:rPr>
              <w:t>…</w:t>
            </w:r>
          </w:p>
        </w:tc>
        <w:tc>
          <w:tcPr>
            <w:tcW w:w="1023" w:type="pct"/>
          </w:tcPr>
          <w:p w14:paraId="15B199A0" w14:textId="77777777" w:rsidR="0002298B" w:rsidRPr="00B0658A" w:rsidRDefault="0002298B" w:rsidP="000A4114">
            <w:pPr>
              <w:spacing w:after="0" w:line="240" w:lineRule="auto"/>
              <w:jc w:val="both"/>
              <w:rPr>
                <w:rFonts w:ascii="Times New Roman"/>
                <w:color w:val="auto"/>
                <w:sz w:val="20"/>
                <w:szCs w:val="20"/>
              </w:rPr>
            </w:pPr>
          </w:p>
        </w:tc>
        <w:tc>
          <w:tcPr>
            <w:tcW w:w="886" w:type="pct"/>
          </w:tcPr>
          <w:p w14:paraId="595F5748" w14:textId="77777777" w:rsidR="0002298B" w:rsidRPr="00B0658A" w:rsidRDefault="0002298B" w:rsidP="000A4114">
            <w:pPr>
              <w:spacing w:after="0" w:line="240" w:lineRule="auto"/>
              <w:jc w:val="both"/>
              <w:rPr>
                <w:rFonts w:ascii="Times New Roman"/>
                <w:color w:val="auto"/>
                <w:sz w:val="20"/>
                <w:szCs w:val="20"/>
              </w:rPr>
            </w:pPr>
          </w:p>
        </w:tc>
        <w:tc>
          <w:tcPr>
            <w:tcW w:w="895" w:type="pct"/>
          </w:tcPr>
          <w:p w14:paraId="39A43BED" w14:textId="77777777" w:rsidR="0002298B" w:rsidRPr="00B0658A" w:rsidRDefault="0002298B" w:rsidP="000A4114">
            <w:pPr>
              <w:spacing w:after="0" w:line="240" w:lineRule="auto"/>
              <w:jc w:val="both"/>
              <w:rPr>
                <w:rFonts w:ascii="Times New Roman"/>
                <w:color w:val="auto"/>
                <w:sz w:val="20"/>
                <w:szCs w:val="20"/>
              </w:rPr>
            </w:pPr>
          </w:p>
        </w:tc>
        <w:tc>
          <w:tcPr>
            <w:tcW w:w="873" w:type="pct"/>
          </w:tcPr>
          <w:p w14:paraId="6C9BB39C" w14:textId="77777777" w:rsidR="0002298B" w:rsidRPr="00B0658A" w:rsidRDefault="0002298B" w:rsidP="000A4114">
            <w:pPr>
              <w:spacing w:after="0" w:line="240" w:lineRule="auto"/>
              <w:jc w:val="both"/>
              <w:rPr>
                <w:rFonts w:ascii="Times New Roman"/>
                <w:color w:val="auto"/>
                <w:sz w:val="20"/>
                <w:szCs w:val="20"/>
              </w:rPr>
            </w:pPr>
          </w:p>
        </w:tc>
        <w:tc>
          <w:tcPr>
            <w:tcW w:w="1139" w:type="pct"/>
          </w:tcPr>
          <w:p w14:paraId="2C465093" w14:textId="77777777" w:rsidR="0002298B" w:rsidRPr="00B0658A" w:rsidRDefault="0002298B" w:rsidP="000A4114">
            <w:pPr>
              <w:spacing w:after="0" w:line="240" w:lineRule="auto"/>
              <w:jc w:val="both"/>
              <w:rPr>
                <w:rFonts w:ascii="Times New Roman"/>
                <w:color w:val="auto"/>
                <w:sz w:val="20"/>
                <w:szCs w:val="20"/>
              </w:rPr>
            </w:pPr>
          </w:p>
        </w:tc>
      </w:tr>
      <w:tr w:rsidR="00F52FED" w:rsidRPr="00B0658A" w14:paraId="589CC48B" w14:textId="77777777" w:rsidTr="004F1366">
        <w:tc>
          <w:tcPr>
            <w:tcW w:w="184" w:type="pct"/>
          </w:tcPr>
          <w:p w14:paraId="7C61D7C0" w14:textId="77777777" w:rsidR="0002298B" w:rsidRPr="00B0658A" w:rsidRDefault="0002298B" w:rsidP="000A4114">
            <w:pPr>
              <w:spacing w:after="0" w:line="240" w:lineRule="auto"/>
              <w:jc w:val="both"/>
              <w:rPr>
                <w:rFonts w:ascii="Times New Roman"/>
                <w:color w:val="auto"/>
                <w:sz w:val="20"/>
                <w:szCs w:val="20"/>
              </w:rPr>
            </w:pPr>
            <w:r w:rsidRPr="00B0658A">
              <w:rPr>
                <w:rFonts w:ascii="Times New Roman"/>
                <w:color w:val="auto"/>
                <w:sz w:val="20"/>
                <w:szCs w:val="20"/>
                <w:lang w:val="en-US"/>
              </w:rPr>
              <w:t>1.n</w:t>
            </w:r>
          </w:p>
        </w:tc>
        <w:tc>
          <w:tcPr>
            <w:tcW w:w="1023" w:type="pct"/>
          </w:tcPr>
          <w:p w14:paraId="509ED3EA" w14:textId="77777777" w:rsidR="0002298B" w:rsidRPr="00B0658A" w:rsidRDefault="0002298B" w:rsidP="000A4114">
            <w:pPr>
              <w:spacing w:after="0" w:line="240" w:lineRule="auto"/>
              <w:jc w:val="both"/>
              <w:rPr>
                <w:rFonts w:ascii="Times New Roman"/>
                <w:color w:val="auto"/>
                <w:sz w:val="20"/>
                <w:szCs w:val="20"/>
              </w:rPr>
            </w:pPr>
          </w:p>
        </w:tc>
        <w:tc>
          <w:tcPr>
            <w:tcW w:w="886" w:type="pct"/>
          </w:tcPr>
          <w:p w14:paraId="783498E3" w14:textId="77777777" w:rsidR="0002298B" w:rsidRPr="00B0658A" w:rsidRDefault="0002298B" w:rsidP="000A4114">
            <w:pPr>
              <w:spacing w:after="0" w:line="240" w:lineRule="auto"/>
              <w:jc w:val="both"/>
              <w:rPr>
                <w:rFonts w:ascii="Times New Roman"/>
                <w:color w:val="auto"/>
                <w:sz w:val="20"/>
                <w:szCs w:val="20"/>
              </w:rPr>
            </w:pPr>
          </w:p>
        </w:tc>
        <w:tc>
          <w:tcPr>
            <w:tcW w:w="895" w:type="pct"/>
          </w:tcPr>
          <w:p w14:paraId="14DA375A" w14:textId="77777777" w:rsidR="0002298B" w:rsidRPr="00B0658A" w:rsidRDefault="0002298B" w:rsidP="000A4114">
            <w:pPr>
              <w:spacing w:after="0" w:line="240" w:lineRule="auto"/>
              <w:jc w:val="both"/>
              <w:rPr>
                <w:rFonts w:ascii="Times New Roman"/>
                <w:color w:val="auto"/>
                <w:sz w:val="20"/>
                <w:szCs w:val="20"/>
              </w:rPr>
            </w:pPr>
          </w:p>
        </w:tc>
        <w:tc>
          <w:tcPr>
            <w:tcW w:w="873" w:type="pct"/>
          </w:tcPr>
          <w:p w14:paraId="128A26FA" w14:textId="77777777" w:rsidR="0002298B" w:rsidRPr="00B0658A" w:rsidRDefault="0002298B" w:rsidP="000A4114">
            <w:pPr>
              <w:spacing w:after="0" w:line="240" w:lineRule="auto"/>
              <w:jc w:val="both"/>
              <w:rPr>
                <w:rFonts w:ascii="Times New Roman"/>
                <w:color w:val="auto"/>
                <w:sz w:val="20"/>
                <w:szCs w:val="20"/>
              </w:rPr>
            </w:pPr>
          </w:p>
        </w:tc>
        <w:tc>
          <w:tcPr>
            <w:tcW w:w="1139" w:type="pct"/>
          </w:tcPr>
          <w:p w14:paraId="59060FE6" w14:textId="77777777" w:rsidR="0002298B" w:rsidRPr="00B0658A" w:rsidRDefault="0002298B" w:rsidP="000A4114">
            <w:pPr>
              <w:spacing w:after="0" w:line="240" w:lineRule="auto"/>
              <w:jc w:val="both"/>
              <w:rPr>
                <w:rFonts w:ascii="Times New Roman"/>
                <w:color w:val="auto"/>
                <w:sz w:val="20"/>
                <w:szCs w:val="20"/>
              </w:rPr>
            </w:pPr>
          </w:p>
        </w:tc>
      </w:tr>
      <w:tr w:rsidR="00F52FED" w:rsidRPr="00B0658A" w14:paraId="02D124F6" w14:textId="77777777" w:rsidTr="004F1366">
        <w:tc>
          <w:tcPr>
            <w:tcW w:w="5000" w:type="pct"/>
            <w:gridSpan w:val="6"/>
          </w:tcPr>
          <w:p w14:paraId="112CE81C" w14:textId="77777777" w:rsidR="0002298B" w:rsidRPr="00B0658A" w:rsidRDefault="0002298B" w:rsidP="000A4114">
            <w:pPr>
              <w:spacing w:after="0" w:line="240" w:lineRule="auto"/>
              <w:rPr>
                <w:rFonts w:ascii="Times New Roman"/>
                <w:color w:val="auto"/>
                <w:sz w:val="20"/>
                <w:szCs w:val="20"/>
              </w:rPr>
            </w:pPr>
            <w:r w:rsidRPr="00B0658A">
              <w:rPr>
                <w:rFonts w:ascii="Times New Roman"/>
                <w:b/>
                <w:color w:val="auto"/>
                <w:sz w:val="20"/>
                <w:szCs w:val="20"/>
              </w:rPr>
              <w:t>2. Мероприятия в отношении ________ (наименование значимого объекта КИИ №2)</w:t>
            </w:r>
          </w:p>
        </w:tc>
      </w:tr>
      <w:tr w:rsidR="00F52FED" w:rsidRPr="00B0658A" w14:paraId="7AF71139" w14:textId="77777777" w:rsidTr="004F1366">
        <w:tc>
          <w:tcPr>
            <w:tcW w:w="184" w:type="pct"/>
          </w:tcPr>
          <w:p w14:paraId="2C8399FB" w14:textId="77777777" w:rsidR="0002298B" w:rsidRPr="00B0658A" w:rsidRDefault="0002298B" w:rsidP="000A4114">
            <w:pPr>
              <w:spacing w:after="0" w:line="240" w:lineRule="auto"/>
              <w:jc w:val="both"/>
              <w:rPr>
                <w:rFonts w:ascii="Times New Roman"/>
                <w:color w:val="auto"/>
                <w:sz w:val="20"/>
                <w:szCs w:val="20"/>
                <w:lang w:val="en-US"/>
              </w:rPr>
            </w:pPr>
            <w:r w:rsidRPr="00B0658A">
              <w:rPr>
                <w:rFonts w:ascii="Times New Roman"/>
                <w:color w:val="auto"/>
                <w:sz w:val="20"/>
                <w:szCs w:val="20"/>
                <w:lang w:val="en-US"/>
              </w:rPr>
              <w:t>2.1</w:t>
            </w:r>
          </w:p>
        </w:tc>
        <w:tc>
          <w:tcPr>
            <w:tcW w:w="1023" w:type="pct"/>
          </w:tcPr>
          <w:p w14:paraId="4FB6F6E5" w14:textId="77777777" w:rsidR="0002298B" w:rsidRPr="00B0658A" w:rsidRDefault="0002298B" w:rsidP="000A4114">
            <w:pPr>
              <w:spacing w:after="0" w:line="240" w:lineRule="auto"/>
              <w:jc w:val="both"/>
              <w:rPr>
                <w:rFonts w:ascii="Times New Roman"/>
                <w:color w:val="auto"/>
                <w:sz w:val="20"/>
                <w:szCs w:val="20"/>
              </w:rPr>
            </w:pPr>
          </w:p>
        </w:tc>
        <w:tc>
          <w:tcPr>
            <w:tcW w:w="886" w:type="pct"/>
          </w:tcPr>
          <w:p w14:paraId="392A8F53" w14:textId="77777777" w:rsidR="0002298B" w:rsidRPr="00B0658A" w:rsidRDefault="0002298B" w:rsidP="000A4114">
            <w:pPr>
              <w:spacing w:after="0" w:line="240" w:lineRule="auto"/>
              <w:jc w:val="both"/>
              <w:rPr>
                <w:rFonts w:ascii="Times New Roman"/>
                <w:color w:val="auto"/>
                <w:sz w:val="20"/>
                <w:szCs w:val="20"/>
              </w:rPr>
            </w:pPr>
          </w:p>
        </w:tc>
        <w:tc>
          <w:tcPr>
            <w:tcW w:w="895" w:type="pct"/>
          </w:tcPr>
          <w:p w14:paraId="30C93EB7" w14:textId="77777777" w:rsidR="0002298B" w:rsidRPr="00B0658A" w:rsidRDefault="0002298B" w:rsidP="000A4114">
            <w:pPr>
              <w:spacing w:after="0" w:line="240" w:lineRule="auto"/>
              <w:jc w:val="both"/>
              <w:rPr>
                <w:rFonts w:ascii="Times New Roman"/>
                <w:color w:val="auto"/>
                <w:sz w:val="20"/>
                <w:szCs w:val="20"/>
              </w:rPr>
            </w:pPr>
          </w:p>
        </w:tc>
        <w:tc>
          <w:tcPr>
            <w:tcW w:w="873" w:type="pct"/>
          </w:tcPr>
          <w:p w14:paraId="3377CAF9" w14:textId="77777777" w:rsidR="0002298B" w:rsidRPr="00B0658A" w:rsidRDefault="0002298B" w:rsidP="000A4114">
            <w:pPr>
              <w:spacing w:after="0" w:line="240" w:lineRule="auto"/>
              <w:jc w:val="both"/>
              <w:rPr>
                <w:rFonts w:ascii="Times New Roman"/>
                <w:color w:val="auto"/>
                <w:sz w:val="20"/>
                <w:szCs w:val="20"/>
              </w:rPr>
            </w:pPr>
          </w:p>
        </w:tc>
        <w:tc>
          <w:tcPr>
            <w:tcW w:w="1139" w:type="pct"/>
          </w:tcPr>
          <w:p w14:paraId="15B279CB" w14:textId="77777777" w:rsidR="0002298B" w:rsidRPr="00B0658A" w:rsidRDefault="0002298B" w:rsidP="000A4114">
            <w:pPr>
              <w:spacing w:after="0" w:line="240" w:lineRule="auto"/>
              <w:jc w:val="both"/>
              <w:rPr>
                <w:rFonts w:ascii="Times New Roman"/>
                <w:color w:val="auto"/>
                <w:sz w:val="20"/>
                <w:szCs w:val="20"/>
              </w:rPr>
            </w:pPr>
          </w:p>
        </w:tc>
      </w:tr>
      <w:tr w:rsidR="00F52FED" w:rsidRPr="00B0658A" w14:paraId="49ECC557" w14:textId="77777777" w:rsidTr="004F1366">
        <w:tc>
          <w:tcPr>
            <w:tcW w:w="184" w:type="pct"/>
          </w:tcPr>
          <w:p w14:paraId="735CA58D" w14:textId="77777777" w:rsidR="0002298B" w:rsidRPr="00B0658A" w:rsidRDefault="0002298B" w:rsidP="000A4114">
            <w:pPr>
              <w:spacing w:after="0" w:line="240" w:lineRule="auto"/>
              <w:jc w:val="both"/>
              <w:rPr>
                <w:rFonts w:ascii="Times New Roman"/>
                <w:color w:val="auto"/>
                <w:sz w:val="20"/>
                <w:szCs w:val="20"/>
                <w:lang w:val="en-US"/>
              </w:rPr>
            </w:pPr>
            <w:r w:rsidRPr="00B0658A">
              <w:rPr>
                <w:rFonts w:ascii="Times New Roman"/>
                <w:color w:val="auto"/>
                <w:sz w:val="20"/>
                <w:szCs w:val="20"/>
                <w:lang w:val="en-US"/>
              </w:rPr>
              <w:t>2.2</w:t>
            </w:r>
          </w:p>
        </w:tc>
        <w:tc>
          <w:tcPr>
            <w:tcW w:w="1023" w:type="pct"/>
          </w:tcPr>
          <w:p w14:paraId="4447F727" w14:textId="77777777" w:rsidR="0002298B" w:rsidRPr="00B0658A" w:rsidRDefault="0002298B" w:rsidP="000A4114">
            <w:pPr>
              <w:spacing w:after="0" w:line="240" w:lineRule="auto"/>
              <w:jc w:val="both"/>
              <w:rPr>
                <w:rFonts w:ascii="Times New Roman"/>
                <w:color w:val="auto"/>
                <w:sz w:val="20"/>
                <w:szCs w:val="20"/>
              </w:rPr>
            </w:pPr>
          </w:p>
        </w:tc>
        <w:tc>
          <w:tcPr>
            <w:tcW w:w="886" w:type="pct"/>
          </w:tcPr>
          <w:p w14:paraId="17E1606C" w14:textId="77777777" w:rsidR="0002298B" w:rsidRPr="00B0658A" w:rsidRDefault="0002298B" w:rsidP="000A4114">
            <w:pPr>
              <w:spacing w:after="0" w:line="240" w:lineRule="auto"/>
              <w:jc w:val="both"/>
              <w:rPr>
                <w:rFonts w:ascii="Times New Roman"/>
                <w:color w:val="auto"/>
                <w:sz w:val="20"/>
                <w:szCs w:val="20"/>
              </w:rPr>
            </w:pPr>
          </w:p>
        </w:tc>
        <w:tc>
          <w:tcPr>
            <w:tcW w:w="895" w:type="pct"/>
          </w:tcPr>
          <w:p w14:paraId="3C3CCD20" w14:textId="77777777" w:rsidR="0002298B" w:rsidRPr="00B0658A" w:rsidRDefault="0002298B" w:rsidP="000A4114">
            <w:pPr>
              <w:spacing w:after="0" w:line="240" w:lineRule="auto"/>
              <w:jc w:val="both"/>
              <w:rPr>
                <w:rFonts w:ascii="Times New Roman"/>
                <w:color w:val="auto"/>
                <w:sz w:val="20"/>
                <w:szCs w:val="20"/>
              </w:rPr>
            </w:pPr>
          </w:p>
        </w:tc>
        <w:tc>
          <w:tcPr>
            <w:tcW w:w="873" w:type="pct"/>
          </w:tcPr>
          <w:p w14:paraId="03961FD1" w14:textId="77777777" w:rsidR="0002298B" w:rsidRPr="00B0658A" w:rsidRDefault="0002298B" w:rsidP="000A4114">
            <w:pPr>
              <w:spacing w:after="0" w:line="240" w:lineRule="auto"/>
              <w:jc w:val="both"/>
              <w:rPr>
                <w:rFonts w:ascii="Times New Roman"/>
                <w:color w:val="auto"/>
                <w:sz w:val="20"/>
                <w:szCs w:val="20"/>
              </w:rPr>
            </w:pPr>
          </w:p>
        </w:tc>
        <w:tc>
          <w:tcPr>
            <w:tcW w:w="1139" w:type="pct"/>
          </w:tcPr>
          <w:p w14:paraId="314F4A93" w14:textId="77777777" w:rsidR="0002298B" w:rsidRPr="00B0658A" w:rsidRDefault="0002298B" w:rsidP="000A4114">
            <w:pPr>
              <w:spacing w:after="0" w:line="240" w:lineRule="auto"/>
              <w:jc w:val="both"/>
              <w:rPr>
                <w:rFonts w:ascii="Times New Roman"/>
                <w:color w:val="auto"/>
                <w:sz w:val="20"/>
                <w:szCs w:val="20"/>
              </w:rPr>
            </w:pPr>
          </w:p>
        </w:tc>
      </w:tr>
      <w:tr w:rsidR="00F52FED" w:rsidRPr="00B0658A" w14:paraId="2B99A73B" w14:textId="77777777" w:rsidTr="004F1366">
        <w:tc>
          <w:tcPr>
            <w:tcW w:w="184" w:type="pct"/>
          </w:tcPr>
          <w:p w14:paraId="1B5B6F94" w14:textId="77777777" w:rsidR="0002298B" w:rsidRPr="00B0658A" w:rsidRDefault="0002298B" w:rsidP="000A4114">
            <w:pPr>
              <w:spacing w:after="0" w:line="240" w:lineRule="auto"/>
              <w:jc w:val="both"/>
              <w:rPr>
                <w:rFonts w:ascii="Times New Roman"/>
                <w:color w:val="auto"/>
                <w:sz w:val="20"/>
                <w:szCs w:val="20"/>
                <w:lang w:val="en-US"/>
              </w:rPr>
            </w:pPr>
            <w:r w:rsidRPr="00B0658A">
              <w:rPr>
                <w:rFonts w:ascii="Times New Roman"/>
                <w:color w:val="auto"/>
                <w:sz w:val="20"/>
                <w:szCs w:val="20"/>
                <w:lang w:val="en-US"/>
              </w:rPr>
              <w:t>…</w:t>
            </w:r>
          </w:p>
        </w:tc>
        <w:tc>
          <w:tcPr>
            <w:tcW w:w="1023" w:type="pct"/>
          </w:tcPr>
          <w:p w14:paraId="1DD4337F" w14:textId="77777777" w:rsidR="0002298B" w:rsidRPr="00B0658A" w:rsidRDefault="0002298B" w:rsidP="000A4114">
            <w:pPr>
              <w:spacing w:after="0" w:line="240" w:lineRule="auto"/>
              <w:jc w:val="both"/>
              <w:rPr>
                <w:rFonts w:ascii="Times New Roman"/>
                <w:color w:val="auto"/>
                <w:sz w:val="20"/>
                <w:szCs w:val="20"/>
              </w:rPr>
            </w:pPr>
          </w:p>
        </w:tc>
        <w:tc>
          <w:tcPr>
            <w:tcW w:w="886" w:type="pct"/>
          </w:tcPr>
          <w:p w14:paraId="70C8417C" w14:textId="77777777" w:rsidR="0002298B" w:rsidRPr="00B0658A" w:rsidRDefault="0002298B" w:rsidP="000A4114">
            <w:pPr>
              <w:spacing w:after="0" w:line="240" w:lineRule="auto"/>
              <w:jc w:val="both"/>
              <w:rPr>
                <w:rFonts w:ascii="Times New Roman"/>
                <w:color w:val="auto"/>
                <w:sz w:val="20"/>
                <w:szCs w:val="20"/>
              </w:rPr>
            </w:pPr>
          </w:p>
        </w:tc>
        <w:tc>
          <w:tcPr>
            <w:tcW w:w="895" w:type="pct"/>
          </w:tcPr>
          <w:p w14:paraId="4D8534A5" w14:textId="77777777" w:rsidR="0002298B" w:rsidRPr="00B0658A" w:rsidRDefault="0002298B" w:rsidP="000A4114">
            <w:pPr>
              <w:spacing w:after="0" w:line="240" w:lineRule="auto"/>
              <w:jc w:val="both"/>
              <w:rPr>
                <w:rFonts w:ascii="Times New Roman"/>
                <w:color w:val="auto"/>
                <w:sz w:val="20"/>
                <w:szCs w:val="20"/>
              </w:rPr>
            </w:pPr>
          </w:p>
        </w:tc>
        <w:tc>
          <w:tcPr>
            <w:tcW w:w="873" w:type="pct"/>
          </w:tcPr>
          <w:p w14:paraId="0A418EDD" w14:textId="77777777" w:rsidR="0002298B" w:rsidRPr="00B0658A" w:rsidRDefault="0002298B" w:rsidP="000A4114">
            <w:pPr>
              <w:spacing w:after="0" w:line="240" w:lineRule="auto"/>
              <w:jc w:val="both"/>
              <w:rPr>
                <w:rFonts w:ascii="Times New Roman"/>
                <w:color w:val="auto"/>
                <w:sz w:val="20"/>
                <w:szCs w:val="20"/>
              </w:rPr>
            </w:pPr>
          </w:p>
        </w:tc>
        <w:tc>
          <w:tcPr>
            <w:tcW w:w="1139" w:type="pct"/>
          </w:tcPr>
          <w:p w14:paraId="10125D80" w14:textId="77777777" w:rsidR="0002298B" w:rsidRPr="00B0658A" w:rsidRDefault="0002298B" w:rsidP="000A4114">
            <w:pPr>
              <w:spacing w:after="0" w:line="240" w:lineRule="auto"/>
              <w:jc w:val="both"/>
              <w:rPr>
                <w:rFonts w:ascii="Times New Roman"/>
                <w:color w:val="auto"/>
                <w:sz w:val="20"/>
                <w:szCs w:val="20"/>
              </w:rPr>
            </w:pPr>
          </w:p>
        </w:tc>
      </w:tr>
      <w:tr w:rsidR="00F52FED" w:rsidRPr="00B0658A" w14:paraId="3DD7342A" w14:textId="77777777" w:rsidTr="004F1366">
        <w:tc>
          <w:tcPr>
            <w:tcW w:w="184" w:type="pct"/>
          </w:tcPr>
          <w:p w14:paraId="40B150F5" w14:textId="77777777" w:rsidR="0002298B" w:rsidRPr="00B0658A" w:rsidRDefault="0002298B" w:rsidP="000A4114">
            <w:pPr>
              <w:spacing w:after="0" w:line="240" w:lineRule="auto"/>
              <w:jc w:val="both"/>
              <w:rPr>
                <w:rFonts w:ascii="Times New Roman"/>
                <w:color w:val="auto"/>
                <w:sz w:val="20"/>
                <w:szCs w:val="20"/>
                <w:lang w:val="en-US"/>
              </w:rPr>
            </w:pPr>
            <w:r w:rsidRPr="00B0658A">
              <w:rPr>
                <w:rFonts w:ascii="Times New Roman"/>
                <w:color w:val="auto"/>
                <w:sz w:val="20"/>
                <w:szCs w:val="20"/>
                <w:lang w:val="en-US"/>
              </w:rPr>
              <w:t>2.n</w:t>
            </w:r>
          </w:p>
        </w:tc>
        <w:tc>
          <w:tcPr>
            <w:tcW w:w="1023" w:type="pct"/>
          </w:tcPr>
          <w:p w14:paraId="6D7BAEA1" w14:textId="77777777" w:rsidR="0002298B" w:rsidRPr="00B0658A" w:rsidRDefault="0002298B" w:rsidP="000A4114">
            <w:pPr>
              <w:spacing w:after="0" w:line="240" w:lineRule="auto"/>
              <w:jc w:val="both"/>
              <w:rPr>
                <w:rFonts w:ascii="Times New Roman"/>
                <w:color w:val="auto"/>
                <w:sz w:val="20"/>
                <w:szCs w:val="20"/>
              </w:rPr>
            </w:pPr>
          </w:p>
        </w:tc>
        <w:tc>
          <w:tcPr>
            <w:tcW w:w="886" w:type="pct"/>
          </w:tcPr>
          <w:p w14:paraId="3CE73858" w14:textId="77777777" w:rsidR="0002298B" w:rsidRPr="00B0658A" w:rsidRDefault="0002298B" w:rsidP="000A4114">
            <w:pPr>
              <w:spacing w:after="0" w:line="240" w:lineRule="auto"/>
              <w:jc w:val="both"/>
              <w:rPr>
                <w:rFonts w:ascii="Times New Roman"/>
                <w:color w:val="auto"/>
                <w:sz w:val="20"/>
                <w:szCs w:val="20"/>
              </w:rPr>
            </w:pPr>
          </w:p>
        </w:tc>
        <w:tc>
          <w:tcPr>
            <w:tcW w:w="895" w:type="pct"/>
          </w:tcPr>
          <w:p w14:paraId="0D696A81" w14:textId="77777777" w:rsidR="0002298B" w:rsidRPr="00B0658A" w:rsidRDefault="0002298B" w:rsidP="000A4114">
            <w:pPr>
              <w:spacing w:after="0" w:line="240" w:lineRule="auto"/>
              <w:jc w:val="both"/>
              <w:rPr>
                <w:rFonts w:ascii="Times New Roman"/>
                <w:color w:val="auto"/>
                <w:sz w:val="20"/>
                <w:szCs w:val="20"/>
              </w:rPr>
            </w:pPr>
          </w:p>
        </w:tc>
        <w:tc>
          <w:tcPr>
            <w:tcW w:w="873" w:type="pct"/>
          </w:tcPr>
          <w:p w14:paraId="202784DF" w14:textId="77777777" w:rsidR="0002298B" w:rsidRPr="00B0658A" w:rsidRDefault="0002298B" w:rsidP="000A4114">
            <w:pPr>
              <w:spacing w:after="0" w:line="240" w:lineRule="auto"/>
              <w:jc w:val="both"/>
              <w:rPr>
                <w:rFonts w:ascii="Times New Roman"/>
                <w:color w:val="auto"/>
                <w:sz w:val="20"/>
                <w:szCs w:val="20"/>
              </w:rPr>
            </w:pPr>
          </w:p>
        </w:tc>
        <w:tc>
          <w:tcPr>
            <w:tcW w:w="1139" w:type="pct"/>
          </w:tcPr>
          <w:p w14:paraId="272126B8" w14:textId="77777777" w:rsidR="0002298B" w:rsidRPr="00B0658A" w:rsidRDefault="0002298B" w:rsidP="000A4114">
            <w:pPr>
              <w:spacing w:after="0" w:line="240" w:lineRule="auto"/>
              <w:jc w:val="both"/>
              <w:rPr>
                <w:rFonts w:ascii="Times New Roman"/>
                <w:color w:val="auto"/>
                <w:sz w:val="20"/>
                <w:szCs w:val="20"/>
              </w:rPr>
            </w:pPr>
          </w:p>
        </w:tc>
      </w:tr>
      <w:tr w:rsidR="00F52FED" w:rsidRPr="00B0658A" w14:paraId="33E03A74" w14:textId="77777777" w:rsidTr="004F1366">
        <w:tc>
          <w:tcPr>
            <w:tcW w:w="184" w:type="pct"/>
          </w:tcPr>
          <w:p w14:paraId="03F90880" w14:textId="77777777" w:rsidR="0002298B" w:rsidRPr="00B0658A" w:rsidRDefault="0002298B" w:rsidP="000A4114">
            <w:pPr>
              <w:spacing w:after="0" w:line="240" w:lineRule="auto"/>
              <w:jc w:val="both"/>
              <w:rPr>
                <w:rFonts w:ascii="Times New Roman"/>
                <w:color w:val="auto"/>
                <w:sz w:val="20"/>
                <w:szCs w:val="20"/>
                <w:lang w:val="en-US"/>
              </w:rPr>
            </w:pPr>
          </w:p>
        </w:tc>
        <w:tc>
          <w:tcPr>
            <w:tcW w:w="1023" w:type="pct"/>
          </w:tcPr>
          <w:p w14:paraId="03C7D6CB" w14:textId="77777777" w:rsidR="0002298B" w:rsidRPr="00B0658A" w:rsidRDefault="0002298B" w:rsidP="000A4114">
            <w:pPr>
              <w:spacing w:after="0" w:line="240" w:lineRule="auto"/>
              <w:jc w:val="both"/>
              <w:rPr>
                <w:rFonts w:ascii="Times New Roman"/>
                <w:color w:val="auto"/>
                <w:sz w:val="20"/>
                <w:szCs w:val="20"/>
              </w:rPr>
            </w:pPr>
          </w:p>
        </w:tc>
        <w:tc>
          <w:tcPr>
            <w:tcW w:w="886" w:type="pct"/>
          </w:tcPr>
          <w:p w14:paraId="2487D761" w14:textId="77777777" w:rsidR="0002298B" w:rsidRPr="00B0658A" w:rsidRDefault="0002298B" w:rsidP="000A4114">
            <w:pPr>
              <w:spacing w:after="0" w:line="240" w:lineRule="auto"/>
              <w:jc w:val="both"/>
              <w:rPr>
                <w:rFonts w:ascii="Times New Roman"/>
                <w:color w:val="auto"/>
                <w:sz w:val="20"/>
                <w:szCs w:val="20"/>
              </w:rPr>
            </w:pPr>
          </w:p>
        </w:tc>
        <w:tc>
          <w:tcPr>
            <w:tcW w:w="895" w:type="pct"/>
          </w:tcPr>
          <w:p w14:paraId="0A5E6F78" w14:textId="77777777" w:rsidR="0002298B" w:rsidRPr="00B0658A" w:rsidRDefault="0002298B" w:rsidP="000A4114">
            <w:pPr>
              <w:spacing w:after="0" w:line="240" w:lineRule="auto"/>
              <w:jc w:val="both"/>
              <w:rPr>
                <w:rFonts w:ascii="Times New Roman"/>
                <w:color w:val="auto"/>
                <w:sz w:val="20"/>
                <w:szCs w:val="20"/>
              </w:rPr>
            </w:pPr>
          </w:p>
        </w:tc>
        <w:tc>
          <w:tcPr>
            <w:tcW w:w="873" w:type="pct"/>
          </w:tcPr>
          <w:p w14:paraId="63E71027" w14:textId="77777777" w:rsidR="0002298B" w:rsidRPr="00B0658A" w:rsidRDefault="0002298B" w:rsidP="000A4114">
            <w:pPr>
              <w:spacing w:after="0" w:line="240" w:lineRule="auto"/>
              <w:jc w:val="both"/>
              <w:rPr>
                <w:rFonts w:ascii="Times New Roman"/>
                <w:color w:val="auto"/>
                <w:sz w:val="20"/>
                <w:szCs w:val="20"/>
              </w:rPr>
            </w:pPr>
          </w:p>
        </w:tc>
        <w:tc>
          <w:tcPr>
            <w:tcW w:w="1139" w:type="pct"/>
          </w:tcPr>
          <w:p w14:paraId="3263A5E6" w14:textId="77777777" w:rsidR="0002298B" w:rsidRPr="00B0658A" w:rsidRDefault="0002298B" w:rsidP="000A4114">
            <w:pPr>
              <w:spacing w:after="0" w:line="240" w:lineRule="auto"/>
              <w:jc w:val="both"/>
              <w:rPr>
                <w:rFonts w:ascii="Times New Roman"/>
                <w:color w:val="auto"/>
                <w:sz w:val="20"/>
                <w:szCs w:val="20"/>
              </w:rPr>
            </w:pPr>
          </w:p>
        </w:tc>
      </w:tr>
      <w:tr w:rsidR="00F52FED" w:rsidRPr="00B0658A" w14:paraId="7B2066C3" w14:textId="77777777" w:rsidTr="004F1366">
        <w:tc>
          <w:tcPr>
            <w:tcW w:w="5000" w:type="pct"/>
            <w:gridSpan w:val="6"/>
          </w:tcPr>
          <w:p w14:paraId="3C2F3C13" w14:textId="77777777" w:rsidR="0002298B" w:rsidRPr="00B0658A" w:rsidRDefault="0002298B" w:rsidP="000A4114">
            <w:pPr>
              <w:spacing w:after="0" w:line="240" w:lineRule="auto"/>
              <w:rPr>
                <w:rFonts w:ascii="Times New Roman"/>
                <w:color w:val="auto"/>
                <w:sz w:val="20"/>
                <w:szCs w:val="20"/>
              </w:rPr>
            </w:pPr>
            <w:r w:rsidRPr="00B0658A">
              <w:rPr>
                <w:rFonts w:ascii="Times New Roman"/>
                <w:b/>
                <w:color w:val="auto"/>
                <w:sz w:val="20"/>
                <w:szCs w:val="20"/>
              </w:rPr>
              <w:t>N. Мероприятия в отношении ________ (наименование значимого объекта КИИ №N)</w:t>
            </w:r>
          </w:p>
        </w:tc>
      </w:tr>
      <w:tr w:rsidR="00F52FED" w:rsidRPr="00B0658A" w14:paraId="0B8433D2" w14:textId="77777777" w:rsidTr="004F1366">
        <w:tc>
          <w:tcPr>
            <w:tcW w:w="184" w:type="pct"/>
          </w:tcPr>
          <w:p w14:paraId="25133A15" w14:textId="77777777" w:rsidR="0002298B" w:rsidRPr="00B0658A" w:rsidRDefault="0002298B" w:rsidP="000A4114">
            <w:pPr>
              <w:spacing w:after="0" w:line="240" w:lineRule="auto"/>
              <w:jc w:val="both"/>
              <w:rPr>
                <w:rFonts w:ascii="Times New Roman"/>
                <w:color w:val="auto"/>
                <w:sz w:val="20"/>
                <w:szCs w:val="20"/>
                <w:lang w:val="en-US"/>
              </w:rPr>
            </w:pPr>
            <w:r w:rsidRPr="00B0658A">
              <w:rPr>
                <w:rFonts w:ascii="Times New Roman"/>
                <w:color w:val="auto"/>
                <w:sz w:val="20"/>
                <w:szCs w:val="20"/>
                <w:lang w:val="en-US"/>
              </w:rPr>
              <w:t>N.1</w:t>
            </w:r>
          </w:p>
        </w:tc>
        <w:tc>
          <w:tcPr>
            <w:tcW w:w="1023" w:type="pct"/>
          </w:tcPr>
          <w:p w14:paraId="6DA7F930" w14:textId="77777777" w:rsidR="0002298B" w:rsidRPr="00B0658A" w:rsidRDefault="0002298B" w:rsidP="000A4114">
            <w:pPr>
              <w:spacing w:after="0" w:line="240" w:lineRule="auto"/>
              <w:jc w:val="both"/>
              <w:rPr>
                <w:rFonts w:ascii="Times New Roman"/>
                <w:color w:val="auto"/>
                <w:sz w:val="20"/>
                <w:szCs w:val="20"/>
              </w:rPr>
            </w:pPr>
          </w:p>
        </w:tc>
        <w:tc>
          <w:tcPr>
            <w:tcW w:w="886" w:type="pct"/>
          </w:tcPr>
          <w:p w14:paraId="600FA42A" w14:textId="77777777" w:rsidR="0002298B" w:rsidRPr="00B0658A" w:rsidRDefault="0002298B" w:rsidP="000A4114">
            <w:pPr>
              <w:spacing w:after="0" w:line="240" w:lineRule="auto"/>
              <w:jc w:val="both"/>
              <w:rPr>
                <w:rFonts w:ascii="Times New Roman"/>
                <w:color w:val="auto"/>
                <w:sz w:val="20"/>
                <w:szCs w:val="20"/>
              </w:rPr>
            </w:pPr>
          </w:p>
        </w:tc>
        <w:tc>
          <w:tcPr>
            <w:tcW w:w="895" w:type="pct"/>
          </w:tcPr>
          <w:p w14:paraId="5319D7AB" w14:textId="77777777" w:rsidR="0002298B" w:rsidRPr="00B0658A" w:rsidRDefault="0002298B" w:rsidP="000A4114">
            <w:pPr>
              <w:spacing w:after="0" w:line="240" w:lineRule="auto"/>
              <w:jc w:val="both"/>
              <w:rPr>
                <w:rFonts w:ascii="Times New Roman"/>
                <w:color w:val="auto"/>
                <w:sz w:val="20"/>
                <w:szCs w:val="20"/>
              </w:rPr>
            </w:pPr>
          </w:p>
        </w:tc>
        <w:tc>
          <w:tcPr>
            <w:tcW w:w="873" w:type="pct"/>
          </w:tcPr>
          <w:p w14:paraId="217390FE" w14:textId="77777777" w:rsidR="0002298B" w:rsidRPr="00B0658A" w:rsidRDefault="0002298B" w:rsidP="000A4114">
            <w:pPr>
              <w:spacing w:after="0" w:line="240" w:lineRule="auto"/>
              <w:jc w:val="both"/>
              <w:rPr>
                <w:rFonts w:ascii="Times New Roman"/>
                <w:color w:val="auto"/>
                <w:sz w:val="20"/>
                <w:szCs w:val="20"/>
              </w:rPr>
            </w:pPr>
          </w:p>
        </w:tc>
        <w:tc>
          <w:tcPr>
            <w:tcW w:w="1139" w:type="pct"/>
          </w:tcPr>
          <w:p w14:paraId="698E19E4" w14:textId="77777777" w:rsidR="0002298B" w:rsidRPr="00B0658A" w:rsidRDefault="0002298B" w:rsidP="000A4114">
            <w:pPr>
              <w:spacing w:after="0" w:line="240" w:lineRule="auto"/>
              <w:jc w:val="both"/>
              <w:rPr>
                <w:rFonts w:ascii="Times New Roman"/>
                <w:color w:val="auto"/>
                <w:sz w:val="20"/>
                <w:szCs w:val="20"/>
              </w:rPr>
            </w:pPr>
          </w:p>
        </w:tc>
      </w:tr>
      <w:tr w:rsidR="00F52FED" w:rsidRPr="00B0658A" w14:paraId="1C90CB99" w14:textId="77777777" w:rsidTr="004F1366">
        <w:tc>
          <w:tcPr>
            <w:tcW w:w="184" w:type="pct"/>
          </w:tcPr>
          <w:p w14:paraId="69C4B9A8" w14:textId="77777777" w:rsidR="0002298B" w:rsidRPr="00B0658A" w:rsidRDefault="0002298B" w:rsidP="000A4114">
            <w:pPr>
              <w:spacing w:after="0" w:line="240" w:lineRule="auto"/>
              <w:jc w:val="both"/>
              <w:rPr>
                <w:rFonts w:ascii="Times New Roman"/>
                <w:color w:val="auto"/>
                <w:sz w:val="20"/>
                <w:szCs w:val="20"/>
                <w:lang w:val="en-US"/>
              </w:rPr>
            </w:pPr>
            <w:r w:rsidRPr="00B0658A">
              <w:rPr>
                <w:rFonts w:ascii="Times New Roman"/>
                <w:color w:val="auto"/>
                <w:sz w:val="20"/>
                <w:szCs w:val="20"/>
                <w:lang w:val="en-US"/>
              </w:rPr>
              <w:t>N.2</w:t>
            </w:r>
          </w:p>
        </w:tc>
        <w:tc>
          <w:tcPr>
            <w:tcW w:w="1023" w:type="pct"/>
          </w:tcPr>
          <w:p w14:paraId="3B134EFA" w14:textId="77777777" w:rsidR="0002298B" w:rsidRPr="00B0658A" w:rsidRDefault="0002298B" w:rsidP="000A4114">
            <w:pPr>
              <w:spacing w:after="0" w:line="240" w:lineRule="auto"/>
              <w:jc w:val="both"/>
              <w:rPr>
                <w:rFonts w:ascii="Times New Roman"/>
                <w:color w:val="auto"/>
                <w:sz w:val="20"/>
                <w:szCs w:val="20"/>
              </w:rPr>
            </w:pPr>
          </w:p>
        </w:tc>
        <w:tc>
          <w:tcPr>
            <w:tcW w:w="886" w:type="pct"/>
          </w:tcPr>
          <w:p w14:paraId="6EC9AAB4" w14:textId="77777777" w:rsidR="0002298B" w:rsidRPr="00B0658A" w:rsidRDefault="0002298B" w:rsidP="000A4114">
            <w:pPr>
              <w:spacing w:after="0" w:line="240" w:lineRule="auto"/>
              <w:jc w:val="both"/>
              <w:rPr>
                <w:rFonts w:ascii="Times New Roman"/>
                <w:color w:val="auto"/>
                <w:sz w:val="20"/>
                <w:szCs w:val="20"/>
              </w:rPr>
            </w:pPr>
          </w:p>
        </w:tc>
        <w:tc>
          <w:tcPr>
            <w:tcW w:w="895" w:type="pct"/>
          </w:tcPr>
          <w:p w14:paraId="49A6AC15" w14:textId="77777777" w:rsidR="0002298B" w:rsidRPr="00B0658A" w:rsidRDefault="0002298B" w:rsidP="000A4114">
            <w:pPr>
              <w:spacing w:after="0" w:line="240" w:lineRule="auto"/>
              <w:jc w:val="both"/>
              <w:rPr>
                <w:rFonts w:ascii="Times New Roman"/>
                <w:color w:val="auto"/>
                <w:sz w:val="20"/>
                <w:szCs w:val="20"/>
              </w:rPr>
            </w:pPr>
          </w:p>
        </w:tc>
        <w:tc>
          <w:tcPr>
            <w:tcW w:w="873" w:type="pct"/>
          </w:tcPr>
          <w:p w14:paraId="1A2482AA" w14:textId="77777777" w:rsidR="0002298B" w:rsidRPr="00B0658A" w:rsidRDefault="0002298B" w:rsidP="000A4114">
            <w:pPr>
              <w:spacing w:after="0" w:line="240" w:lineRule="auto"/>
              <w:jc w:val="both"/>
              <w:rPr>
                <w:rFonts w:ascii="Times New Roman"/>
                <w:color w:val="auto"/>
                <w:sz w:val="20"/>
                <w:szCs w:val="20"/>
              </w:rPr>
            </w:pPr>
          </w:p>
        </w:tc>
        <w:tc>
          <w:tcPr>
            <w:tcW w:w="1139" w:type="pct"/>
          </w:tcPr>
          <w:p w14:paraId="05B56FDB" w14:textId="77777777" w:rsidR="0002298B" w:rsidRPr="00B0658A" w:rsidRDefault="0002298B" w:rsidP="000A4114">
            <w:pPr>
              <w:spacing w:after="0" w:line="240" w:lineRule="auto"/>
              <w:jc w:val="both"/>
              <w:rPr>
                <w:rFonts w:ascii="Times New Roman"/>
                <w:color w:val="auto"/>
                <w:sz w:val="20"/>
                <w:szCs w:val="20"/>
              </w:rPr>
            </w:pPr>
          </w:p>
        </w:tc>
      </w:tr>
      <w:tr w:rsidR="00F52FED" w:rsidRPr="00B0658A" w14:paraId="34736347" w14:textId="77777777" w:rsidTr="004F1366">
        <w:tc>
          <w:tcPr>
            <w:tcW w:w="184" w:type="pct"/>
          </w:tcPr>
          <w:p w14:paraId="79DF7868" w14:textId="77777777" w:rsidR="0002298B" w:rsidRPr="00B0658A" w:rsidRDefault="0002298B" w:rsidP="000A4114">
            <w:pPr>
              <w:spacing w:after="0" w:line="240" w:lineRule="auto"/>
              <w:jc w:val="both"/>
              <w:rPr>
                <w:rFonts w:ascii="Times New Roman"/>
                <w:color w:val="auto"/>
                <w:sz w:val="20"/>
                <w:szCs w:val="20"/>
                <w:lang w:val="en-US"/>
              </w:rPr>
            </w:pPr>
            <w:r w:rsidRPr="00B0658A">
              <w:rPr>
                <w:rFonts w:ascii="Times New Roman"/>
                <w:color w:val="auto"/>
                <w:sz w:val="20"/>
                <w:szCs w:val="20"/>
                <w:lang w:val="en-US"/>
              </w:rPr>
              <w:t>…</w:t>
            </w:r>
          </w:p>
        </w:tc>
        <w:tc>
          <w:tcPr>
            <w:tcW w:w="1023" w:type="pct"/>
          </w:tcPr>
          <w:p w14:paraId="0D1B2718" w14:textId="77777777" w:rsidR="0002298B" w:rsidRPr="00B0658A" w:rsidRDefault="0002298B" w:rsidP="000A4114">
            <w:pPr>
              <w:spacing w:after="0" w:line="240" w:lineRule="auto"/>
              <w:jc w:val="both"/>
              <w:rPr>
                <w:rFonts w:ascii="Times New Roman"/>
                <w:color w:val="auto"/>
                <w:sz w:val="20"/>
                <w:szCs w:val="20"/>
              </w:rPr>
            </w:pPr>
          </w:p>
        </w:tc>
        <w:tc>
          <w:tcPr>
            <w:tcW w:w="886" w:type="pct"/>
          </w:tcPr>
          <w:p w14:paraId="65B77A31" w14:textId="77777777" w:rsidR="0002298B" w:rsidRPr="00B0658A" w:rsidRDefault="0002298B" w:rsidP="000A4114">
            <w:pPr>
              <w:spacing w:after="0" w:line="240" w:lineRule="auto"/>
              <w:jc w:val="both"/>
              <w:rPr>
                <w:rFonts w:ascii="Times New Roman"/>
                <w:color w:val="auto"/>
                <w:sz w:val="20"/>
                <w:szCs w:val="20"/>
              </w:rPr>
            </w:pPr>
          </w:p>
        </w:tc>
        <w:tc>
          <w:tcPr>
            <w:tcW w:w="895" w:type="pct"/>
          </w:tcPr>
          <w:p w14:paraId="4AD785AA" w14:textId="77777777" w:rsidR="0002298B" w:rsidRPr="00B0658A" w:rsidRDefault="0002298B" w:rsidP="000A4114">
            <w:pPr>
              <w:spacing w:after="0" w:line="240" w:lineRule="auto"/>
              <w:jc w:val="both"/>
              <w:rPr>
                <w:rFonts w:ascii="Times New Roman"/>
                <w:color w:val="auto"/>
                <w:sz w:val="20"/>
                <w:szCs w:val="20"/>
              </w:rPr>
            </w:pPr>
          </w:p>
        </w:tc>
        <w:tc>
          <w:tcPr>
            <w:tcW w:w="873" w:type="pct"/>
          </w:tcPr>
          <w:p w14:paraId="492F98C2" w14:textId="77777777" w:rsidR="0002298B" w:rsidRPr="00B0658A" w:rsidRDefault="0002298B" w:rsidP="000A4114">
            <w:pPr>
              <w:spacing w:after="0" w:line="240" w:lineRule="auto"/>
              <w:jc w:val="both"/>
              <w:rPr>
                <w:rFonts w:ascii="Times New Roman"/>
                <w:color w:val="auto"/>
                <w:sz w:val="20"/>
                <w:szCs w:val="20"/>
              </w:rPr>
            </w:pPr>
          </w:p>
        </w:tc>
        <w:tc>
          <w:tcPr>
            <w:tcW w:w="1139" w:type="pct"/>
          </w:tcPr>
          <w:p w14:paraId="420427B0" w14:textId="77777777" w:rsidR="0002298B" w:rsidRPr="00B0658A" w:rsidRDefault="0002298B" w:rsidP="000A4114">
            <w:pPr>
              <w:spacing w:after="0" w:line="240" w:lineRule="auto"/>
              <w:jc w:val="both"/>
              <w:rPr>
                <w:rFonts w:ascii="Times New Roman"/>
                <w:color w:val="auto"/>
                <w:sz w:val="20"/>
                <w:szCs w:val="20"/>
              </w:rPr>
            </w:pPr>
          </w:p>
        </w:tc>
      </w:tr>
      <w:tr w:rsidR="0002298B" w:rsidRPr="00B0658A" w14:paraId="28CD1803" w14:textId="77777777" w:rsidTr="004F1366">
        <w:tc>
          <w:tcPr>
            <w:tcW w:w="184" w:type="pct"/>
          </w:tcPr>
          <w:p w14:paraId="49B47A8D" w14:textId="77777777" w:rsidR="0002298B" w:rsidRPr="00B0658A" w:rsidRDefault="0002298B" w:rsidP="000A4114">
            <w:pPr>
              <w:spacing w:after="0" w:line="240" w:lineRule="auto"/>
              <w:jc w:val="both"/>
              <w:rPr>
                <w:rFonts w:ascii="Times New Roman"/>
                <w:color w:val="auto"/>
                <w:sz w:val="20"/>
                <w:szCs w:val="20"/>
                <w:lang w:val="en-US"/>
              </w:rPr>
            </w:pPr>
            <w:r w:rsidRPr="00B0658A">
              <w:rPr>
                <w:rFonts w:ascii="Times New Roman"/>
                <w:color w:val="auto"/>
                <w:sz w:val="20"/>
                <w:szCs w:val="20"/>
                <w:lang w:val="en-US"/>
              </w:rPr>
              <w:t>N.n</w:t>
            </w:r>
          </w:p>
        </w:tc>
        <w:tc>
          <w:tcPr>
            <w:tcW w:w="1023" w:type="pct"/>
          </w:tcPr>
          <w:p w14:paraId="2BCE524F" w14:textId="77777777" w:rsidR="0002298B" w:rsidRPr="00B0658A" w:rsidRDefault="0002298B" w:rsidP="000A4114">
            <w:pPr>
              <w:spacing w:after="0" w:line="240" w:lineRule="auto"/>
              <w:jc w:val="both"/>
              <w:rPr>
                <w:rFonts w:ascii="Times New Roman"/>
                <w:color w:val="auto"/>
                <w:sz w:val="20"/>
                <w:szCs w:val="20"/>
              </w:rPr>
            </w:pPr>
          </w:p>
        </w:tc>
        <w:tc>
          <w:tcPr>
            <w:tcW w:w="886" w:type="pct"/>
          </w:tcPr>
          <w:p w14:paraId="2538676F" w14:textId="77777777" w:rsidR="0002298B" w:rsidRPr="00B0658A" w:rsidRDefault="0002298B" w:rsidP="000A4114">
            <w:pPr>
              <w:spacing w:after="0" w:line="240" w:lineRule="auto"/>
              <w:jc w:val="both"/>
              <w:rPr>
                <w:rFonts w:ascii="Times New Roman"/>
                <w:color w:val="auto"/>
                <w:sz w:val="20"/>
                <w:szCs w:val="20"/>
              </w:rPr>
            </w:pPr>
          </w:p>
        </w:tc>
        <w:tc>
          <w:tcPr>
            <w:tcW w:w="895" w:type="pct"/>
          </w:tcPr>
          <w:p w14:paraId="7FE4D2C7" w14:textId="77777777" w:rsidR="0002298B" w:rsidRPr="00B0658A" w:rsidRDefault="0002298B" w:rsidP="000A4114">
            <w:pPr>
              <w:spacing w:after="0" w:line="240" w:lineRule="auto"/>
              <w:jc w:val="both"/>
              <w:rPr>
                <w:rFonts w:ascii="Times New Roman"/>
                <w:color w:val="auto"/>
                <w:sz w:val="20"/>
                <w:szCs w:val="20"/>
              </w:rPr>
            </w:pPr>
          </w:p>
        </w:tc>
        <w:tc>
          <w:tcPr>
            <w:tcW w:w="873" w:type="pct"/>
          </w:tcPr>
          <w:p w14:paraId="08772B1C" w14:textId="77777777" w:rsidR="0002298B" w:rsidRPr="00B0658A" w:rsidRDefault="0002298B" w:rsidP="000A4114">
            <w:pPr>
              <w:spacing w:after="0" w:line="240" w:lineRule="auto"/>
              <w:jc w:val="both"/>
              <w:rPr>
                <w:rFonts w:ascii="Times New Roman"/>
                <w:color w:val="auto"/>
                <w:sz w:val="20"/>
                <w:szCs w:val="20"/>
              </w:rPr>
            </w:pPr>
          </w:p>
        </w:tc>
        <w:tc>
          <w:tcPr>
            <w:tcW w:w="1139" w:type="pct"/>
          </w:tcPr>
          <w:p w14:paraId="5EBD8CBD" w14:textId="77777777" w:rsidR="0002298B" w:rsidRPr="00B0658A" w:rsidRDefault="0002298B" w:rsidP="000A4114">
            <w:pPr>
              <w:spacing w:after="0" w:line="240" w:lineRule="auto"/>
              <w:jc w:val="both"/>
              <w:rPr>
                <w:rFonts w:ascii="Times New Roman"/>
                <w:color w:val="auto"/>
                <w:sz w:val="20"/>
                <w:szCs w:val="20"/>
              </w:rPr>
            </w:pPr>
          </w:p>
        </w:tc>
      </w:tr>
    </w:tbl>
    <w:p w14:paraId="5F1EED66" w14:textId="77777777" w:rsidR="009F4B0E" w:rsidRDefault="009F4B0E">
      <w:pPr>
        <w:spacing w:after="0" w:line="240" w:lineRule="auto"/>
        <w:rPr>
          <w:rFonts w:ascii="Times New Roman" w:hAnsi="Times New Roman"/>
          <w:sz w:val="28"/>
          <w:szCs w:val="28"/>
        </w:rPr>
      </w:pPr>
      <w:r>
        <w:rPr>
          <w:rFonts w:ascii="Times New Roman" w:hAnsi="Times New Roman"/>
          <w:sz w:val="28"/>
          <w:szCs w:val="28"/>
        </w:rPr>
        <w:br w:type="page"/>
      </w:r>
    </w:p>
    <w:bookmarkEnd w:id="55"/>
    <w:p w14:paraId="408658BE" w14:textId="77777777" w:rsidR="0002298B" w:rsidRPr="00B0658A" w:rsidRDefault="0002298B" w:rsidP="00FB2975">
      <w:pPr>
        <w:rPr>
          <w:rFonts w:ascii="Times New Roman" w:hAnsi="Times New Roman"/>
          <w:b/>
          <w:sz w:val="28"/>
          <w:szCs w:val="28"/>
        </w:rPr>
      </w:pPr>
      <w:r w:rsidRPr="00B0658A">
        <w:rPr>
          <w:rFonts w:ascii="Times New Roman" w:hAnsi="Times New Roman"/>
          <w:b/>
          <w:sz w:val="28"/>
          <w:szCs w:val="28"/>
        </w:rPr>
        <w:t>Форма отчетности за годовой период</w:t>
      </w:r>
    </w:p>
    <w:p w14:paraId="7D074012" w14:textId="77777777" w:rsidR="0002298B" w:rsidRPr="00B0658A" w:rsidRDefault="0002298B" w:rsidP="0002298B">
      <w:pPr>
        <w:pStyle w:val="ConsPlusNormal"/>
        <w:spacing w:before="120"/>
        <w:jc w:val="center"/>
        <w:rPr>
          <w:sz w:val="32"/>
        </w:rPr>
      </w:pPr>
      <w:r w:rsidRPr="00B0658A">
        <w:rPr>
          <w:sz w:val="32"/>
        </w:rPr>
        <w:t xml:space="preserve">Сведения о реализации плана перехода ______________ (полное наименование </w:t>
      </w:r>
      <w:r w:rsidR="00C7318F" w:rsidRPr="00B0658A">
        <w:rPr>
          <w:sz w:val="32"/>
          <w:szCs w:val="28"/>
        </w:rPr>
        <w:t>заказчика 44-ФЗ или заказчика 223-ФЗ</w:t>
      </w:r>
      <w:r w:rsidRPr="00B0658A">
        <w:rPr>
          <w:sz w:val="32"/>
          <w:szCs w:val="28"/>
        </w:rPr>
        <w:t xml:space="preserve">) на использование российского </w:t>
      </w:r>
      <w:r w:rsidRPr="00B0658A">
        <w:rPr>
          <w:sz w:val="32"/>
        </w:rPr>
        <w:t>ПО</w:t>
      </w:r>
      <w:r w:rsidRPr="00B0658A">
        <w:rPr>
          <w:sz w:val="32"/>
          <w:szCs w:val="28"/>
        </w:rPr>
        <w:t xml:space="preserve"> </w:t>
      </w:r>
      <w:r w:rsidRPr="00B0658A">
        <w:rPr>
          <w:sz w:val="32"/>
        </w:rPr>
        <w:t xml:space="preserve">на период 2022-2027 годы </w:t>
      </w:r>
      <w:r w:rsidRPr="00B0658A">
        <w:rPr>
          <w:sz w:val="32"/>
          <w:szCs w:val="28"/>
        </w:rPr>
        <w:t>за _______ год.</w:t>
      </w:r>
    </w:p>
    <w:p w14:paraId="1A31E495" w14:textId="77777777" w:rsidR="0002298B" w:rsidRPr="00B0658A" w:rsidRDefault="0002298B" w:rsidP="0002298B">
      <w:pPr>
        <w:spacing w:line="240" w:lineRule="auto"/>
        <w:ind w:firstLine="709"/>
        <w:jc w:val="both"/>
        <w:rPr>
          <w:rFonts w:ascii="Times New Roman" w:hAnsi="Times New Roman"/>
          <w:sz w:val="28"/>
          <w:szCs w:val="28"/>
        </w:rPr>
      </w:pPr>
    </w:p>
    <w:p w14:paraId="071AED4B" w14:textId="77777777" w:rsidR="0002298B" w:rsidRPr="00B0658A" w:rsidRDefault="0002298B" w:rsidP="0002298B">
      <w:pPr>
        <w:spacing w:line="240" w:lineRule="auto"/>
        <w:ind w:firstLine="709"/>
        <w:jc w:val="both"/>
        <w:rPr>
          <w:rFonts w:ascii="Times New Roman" w:hAnsi="Times New Roman"/>
          <w:sz w:val="28"/>
          <w:szCs w:val="28"/>
        </w:rPr>
      </w:pPr>
      <w:r w:rsidRPr="00B0658A">
        <w:rPr>
          <w:rFonts w:ascii="Times New Roman" w:hAnsi="Times New Roman"/>
          <w:sz w:val="28"/>
          <w:szCs w:val="28"/>
        </w:rPr>
        <w:t>1. Сведения о реализации организационно</w:t>
      </w:r>
      <w:r w:rsidRPr="00B0658A">
        <w:rPr>
          <w:rFonts w:ascii="Times New Roman" w:hAnsi="Times New Roman"/>
          <w:sz w:val="28"/>
        </w:rPr>
        <w:t>-технических мероприятий по переходу на использование российского ПО</w:t>
      </w:r>
    </w:p>
    <w:tbl>
      <w:tblPr>
        <w:tblStyle w:val="32"/>
        <w:tblW w:w="5000" w:type="pct"/>
        <w:tblLook w:val="04A0" w:firstRow="1" w:lastRow="0" w:firstColumn="1" w:lastColumn="0" w:noHBand="0" w:noVBand="1"/>
      </w:tblPr>
      <w:tblGrid>
        <w:gridCol w:w="424"/>
        <w:gridCol w:w="2872"/>
        <w:gridCol w:w="2482"/>
        <w:gridCol w:w="2507"/>
        <w:gridCol w:w="2449"/>
        <w:gridCol w:w="3210"/>
      </w:tblGrid>
      <w:tr w:rsidR="00F52FED" w:rsidRPr="00B0658A" w14:paraId="0BDC6FFA" w14:textId="77777777" w:rsidTr="004F1366">
        <w:tc>
          <w:tcPr>
            <w:tcW w:w="152" w:type="pct"/>
          </w:tcPr>
          <w:p w14:paraId="2F0DFC76" w14:textId="77777777" w:rsidR="0002298B" w:rsidRPr="00B0658A" w:rsidRDefault="0002298B" w:rsidP="000A4114">
            <w:pPr>
              <w:spacing w:after="0" w:line="240" w:lineRule="auto"/>
              <w:jc w:val="center"/>
              <w:rPr>
                <w:rFonts w:ascii="Times New Roman"/>
                <w:b/>
                <w:bCs/>
                <w:color w:val="auto"/>
                <w:sz w:val="20"/>
              </w:rPr>
            </w:pPr>
            <w:r w:rsidRPr="00B0658A">
              <w:rPr>
                <w:rFonts w:ascii="Times New Roman"/>
                <w:b/>
                <w:bCs/>
                <w:color w:val="auto"/>
                <w:sz w:val="20"/>
              </w:rPr>
              <w:t>№</w:t>
            </w:r>
          </w:p>
        </w:tc>
        <w:tc>
          <w:tcPr>
            <w:tcW w:w="1030" w:type="pct"/>
          </w:tcPr>
          <w:p w14:paraId="469B06C5" w14:textId="77777777" w:rsidR="0002298B" w:rsidRPr="00B0658A" w:rsidRDefault="0002298B" w:rsidP="000A4114">
            <w:pPr>
              <w:spacing w:after="0" w:line="240" w:lineRule="auto"/>
              <w:jc w:val="center"/>
              <w:rPr>
                <w:rFonts w:ascii="Times New Roman"/>
                <w:b/>
                <w:bCs/>
                <w:color w:val="auto"/>
                <w:sz w:val="20"/>
              </w:rPr>
            </w:pPr>
            <w:r w:rsidRPr="00B0658A">
              <w:rPr>
                <w:rFonts w:ascii="Times New Roman"/>
                <w:b/>
                <w:bCs/>
                <w:color w:val="auto"/>
                <w:sz w:val="20"/>
              </w:rPr>
              <w:t xml:space="preserve">Наименование мероприятий в соответствии с утвержденным планом </w:t>
            </w:r>
          </w:p>
        </w:tc>
        <w:tc>
          <w:tcPr>
            <w:tcW w:w="890" w:type="pct"/>
          </w:tcPr>
          <w:p w14:paraId="445F8D7B" w14:textId="77777777" w:rsidR="0002298B" w:rsidRPr="00B0658A" w:rsidRDefault="0002298B" w:rsidP="000A4114">
            <w:pPr>
              <w:spacing w:after="0" w:line="240" w:lineRule="auto"/>
              <w:jc w:val="center"/>
              <w:rPr>
                <w:rFonts w:ascii="Times New Roman"/>
                <w:b/>
                <w:bCs/>
                <w:color w:val="auto"/>
                <w:sz w:val="20"/>
              </w:rPr>
            </w:pPr>
            <w:r w:rsidRPr="00B0658A">
              <w:rPr>
                <w:rFonts w:ascii="Times New Roman"/>
                <w:b/>
                <w:bCs/>
                <w:color w:val="auto"/>
                <w:sz w:val="20"/>
              </w:rPr>
              <w:t xml:space="preserve">Планируемый результат в соответствии с утвержденным планом </w:t>
            </w:r>
          </w:p>
        </w:tc>
        <w:tc>
          <w:tcPr>
            <w:tcW w:w="899" w:type="pct"/>
          </w:tcPr>
          <w:p w14:paraId="20C38053" w14:textId="77777777" w:rsidR="0002298B" w:rsidRPr="00B0658A" w:rsidRDefault="0002298B" w:rsidP="000A4114">
            <w:pPr>
              <w:spacing w:after="0" w:line="240" w:lineRule="auto"/>
              <w:jc w:val="center"/>
              <w:rPr>
                <w:rFonts w:ascii="Times New Roman"/>
                <w:b/>
                <w:bCs/>
                <w:color w:val="auto"/>
                <w:sz w:val="20"/>
              </w:rPr>
            </w:pPr>
            <w:r w:rsidRPr="00B0658A">
              <w:rPr>
                <w:rFonts w:ascii="Times New Roman"/>
                <w:b/>
                <w:bCs/>
                <w:color w:val="auto"/>
                <w:sz w:val="20"/>
              </w:rPr>
              <w:t>Сроки реализации запланированного мероприятия в соответствии с планом</w:t>
            </w:r>
          </w:p>
        </w:tc>
        <w:tc>
          <w:tcPr>
            <w:tcW w:w="878" w:type="pct"/>
          </w:tcPr>
          <w:p w14:paraId="071EC56D" w14:textId="77777777" w:rsidR="0002298B" w:rsidRPr="00B0658A" w:rsidRDefault="0002298B" w:rsidP="000A4114">
            <w:pPr>
              <w:spacing w:after="0" w:line="240" w:lineRule="auto"/>
              <w:jc w:val="center"/>
              <w:rPr>
                <w:rFonts w:ascii="Times New Roman"/>
                <w:b/>
                <w:bCs/>
                <w:color w:val="auto"/>
                <w:sz w:val="20"/>
              </w:rPr>
            </w:pPr>
            <w:r w:rsidRPr="00B0658A">
              <w:rPr>
                <w:rFonts w:ascii="Times New Roman"/>
                <w:b/>
                <w:bCs/>
                <w:color w:val="auto"/>
                <w:sz w:val="20"/>
              </w:rPr>
              <w:t>Статус выполнения мероприятия</w:t>
            </w:r>
          </w:p>
        </w:tc>
        <w:tc>
          <w:tcPr>
            <w:tcW w:w="1151" w:type="pct"/>
          </w:tcPr>
          <w:p w14:paraId="42888ED6" w14:textId="77777777" w:rsidR="0002298B" w:rsidRPr="00B0658A" w:rsidRDefault="0002298B" w:rsidP="000A4114">
            <w:pPr>
              <w:spacing w:after="0" w:line="240" w:lineRule="auto"/>
              <w:jc w:val="center"/>
              <w:rPr>
                <w:rFonts w:ascii="Times New Roman"/>
                <w:b/>
                <w:bCs/>
                <w:color w:val="auto"/>
                <w:sz w:val="20"/>
              </w:rPr>
            </w:pPr>
            <w:r w:rsidRPr="00B0658A">
              <w:rPr>
                <w:rFonts w:ascii="Times New Roman"/>
                <w:b/>
                <w:bCs/>
                <w:color w:val="auto"/>
                <w:sz w:val="20"/>
              </w:rPr>
              <w:t>Описание достигнутого фактического результата</w:t>
            </w:r>
          </w:p>
        </w:tc>
      </w:tr>
      <w:tr w:rsidR="00F52FED" w:rsidRPr="00B0658A" w14:paraId="006A2B83" w14:textId="77777777" w:rsidTr="004F1366">
        <w:tc>
          <w:tcPr>
            <w:tcW w:w="152" w:type="pct"/>
          </w:tcPr>
          <w:p w14:paraId="22C08132" w14:textId="77777777" w:rsidR="0002298B" w:rsidRPr="00B0658A" w:rsidRDefault="0002298B" w:rsidP="000A4114">
            <w:pPr>
              <w:spacing w:after="0" w:line="240" w:lineRule="auto"/>
              <w:jc w:val="both"/>
              <w:rPr>
                <w:rFonts w:ascii="Times New Roman"/>
                <w:color w:val="auto"/>
                <w:sz w:val="20"/>
              </w:rPr>
            </w:pPr>
            <w:r w:rsidRPr="00B0658A">
              <w:rPr>
                <w:rFonts w:ascii="Times New Roman"/>
                <w:color w:val="auto"/>
                <w:sz w:val="20"/>
              </w:rPr>
              <w:t>1.</w:t>
            </w:r>
          </w:p>
        </w:tc>
        <w:tc>
          <w:tcPr>
            <w:tcW w:w="1030" w:type="pct"/>
          </w:tcPr>
          <w:p w14:paraId="4E29178E" w14:textId="77777777" w:rsidR="0002298B" w:rsidRPr="00B0658A" w:rsidRDefault="0002298B" w:rsidP="000A4114">
            <w:pPr>
              <w:spacing w:after="0" w:line="240" w:lineRule="auto"/>
              <w:jc w:val="both"/>
              <w:rPr>
                <w:rFonts w:ascii="Times New Roman"/>
                <w:i/>
                <w:iCs/>
                <w:color w:val="auto"/>
                <w:sz w:val="20"/>
              </w:rPr>
            </w:pPr>
            <w:r w:rsidRPr="00B0658A">
              <w:rPr>
                <w:rFonts w:ascii="Times New Roman"/>
                <w:i/>
                <w:iCs/>
                <w:color w:val="auto"/>
                <w:sz w:val="20"/>
              </w:rPr>
              <w:t xml:space="preserve">Указывается наименование мероприятия в соответствии с утвержденным </w:t>
            </w:r>
            <w:r w:rsidRPr="00B0658A">
              <w:rPr>
                <w:rFonts w:ascii="Times New Roman"/>
                <w:i/>
                <w:iCs/>
                <w:color w:val="auto"/>
                <w:sz w:val="20"/>
                <w:szCs w:val="20"/>
              </w:rPr>
              <w:t xml:space="preserve">планом перехода органа </w:t>
            </w:r>
            <w:r w:rsidR="00664709" w:rsidRPr="00B0658A">
              <w:rPr>
                <w:rFonts w:ascii="Times New Roman"/>
                <w:i/>
                <w:iCs/>
                <w:color w:val="auto"/>
                <w:sz w:val="20"/>
                <w:szCs w:val="20"/>
              </w:rPr>
              <w:t xml:space="preserve">заказчика 44-ФЗ или заказчика 223-ФЗ </w:t>
            </w:r>
            <w:r w:rsidRPr="00B0658A">
              <w:rPr>
                <w:rFonts w:ascii="Times New Roman"/>
                <w:i/>
                <w:iCs/>
                <w:color w:val="auto"/>
                <w:sz w:val="20"/>
                <w:szCs w:val="20"/>
              </w:rPr>
              <w:t>на использование российского ПО</w:t>
            </w:r>
          </w:p>
          <w:p w14:paraId="19798BDD" w14:textId="77777777" w:rsidR="0002298B" w:rsidRPr="00B0658A" w:rsidRDefault="0002298B" w:rsidP="000A4114">
            <w:pPr>
              <w:pStyle w:val="ConsPlusNormal"/>
              <w:jc w:val="both"/>
              <w:rPr>
                <w:color w:val="auto"/>
                <w:sz w:val="28"/>
              </w:rPr>
            </w:pPr>
          </w:p>
          <w:p w14:paraId="66F758A0" w14:textId="77777777" w:rsidR="0002298B" w:rsidRPr="00B0658A" w:rsidRDefault="0002298B" w:rsidP="000A4114">
            <w:pPr>
              <w:spacing w:after="0" w:line="240" w:lineRule="auto"/>
              <w:jc w:val="both"/>
              <w:rPr>
                <w:rFonts w:ascii="Times New Roman"/>
                <w:i/>
                <w:iCs/>
                <w:color w:val="auto"/>
                <w:sz w:val="20"/>
              </w:rPr>
            </w:pPr>
          </w:p>
        </w:tc>
        <w:tc>
          <w:tcPr>
            <w:tcW w:w="890" w:type="pct"/>
          </w:tcPr>
          <w:p w14:paraId="3A0FECEF" w14:textId="77777777" w:rsidR="0002298B" w:rsidRPr="00B0658A" w:rsidRDefault="0002298B" w:rsidP="000A4114">
            <w:pPr>
              <w:spacing w:after="0" w:line="240" w:lineRule="auto"/>
              <w:jc w:val="both"/>
              <w:rPr>
                <w:rFonts w:ascii="Times New Roman"/>
                <w:color w:val="auto"/>
                <w:sz w:val="20"/>
              </w:rPr>
            </w:pPr>
            <w:r w:rsidRPr="00B0658A">
              <w:rPr>
                <w:rFonts w:ascii="Times New Roman"/>
                <w:i/>
                <w:iCs/>
                <w:color w:val="auto"/>
                <w:sz w:val="20"/>
              </w:rPr>
              <w:t xml:space="preserve">Указывается запланированный результат в соответствии с утвержденным </w:t>
            </w:r>
            <w:r w:rsidRPr="00B0658A">
              <w:rPr>
                <w:rFonts w:ascii="Times New Roman"/>
                <w:i/>
                <w:iCs/>
                <w:color w:val="auto"/>
                <w:sz w:val="20"/>
                <w:szCs w:val="20"/>
              </w:rPr>
              <w:t xml:space="preserve">планом перехода </w:t>
            </w:r>
            <w:r w:rsidR="00664709" w:rsidRPr="00B0658A">
              <w:rPr>
                <w:rFonts w:ascii="Times New Roman"/>
                <w:i/>
                <w:iCs/>
                <w:color w:val="auto"/>
                <w:sz w:val="20"/>
                <w:szCs w:val="20"/>
              </w:rPr>
              <w:t xml:space="preserve">заказчика 44-ФЗ или заказчика 223-ФЗ </w:t>
            </w:r>
            <w:r w:rsidRPr="00B0658A">
              <w:rPr>
                <w:rFonts w:ascii="Times New Roman"/>
                <w:i/>
                <w:iCs/>
                <w:color w:val="auto"/>
                <w:sz w:val="20"/>
                <w:szCs w:val="20"/>
              </w:rPr>
              <w:t>на использование российского ПО</w:t>
            </w:r>
          </w:p>
        </w:tc>
        <w:tc>
          <w:tcPr>
            <w:tcW w:w="899" w:type="pct"/>
          </w:tcPr>
          <w:p w14:paraId="10015B81" w14:textId="77777777" w:rsidR="0002298B" w:rsidRPr="00B0658A" w:rsidRDefault="0002298B" w:rsidP="000A4114">
            <w:pPr>
              <w:spacing w:after="0" w:line="240" w:lineRule="auto"/>
              <w:jc w:val="both"/>
              <w:rPr>
                <w:rFonts w:ascii="Times New Roman"/>
                <w:i/>
                <w:iCs/>
                <w:color w:val="auto"/>
                <w:sz w:val="20"/>
              </w:rPr>
            </w:pPr>
            <w:r w:rsidRPr="00B0658A">
              <w:rPr>
                <w:rFonts w:ascii="Times New Roman"/>
                <w:i/>
                <w:iCs/>
                <w:color w:val="auto"/>
                <w:sz w:val="20"/>
              </w:rPr>
              <w:t xml:space="preserve">Указывается срок реализации (период выполнения) в соответствии с утвержденным </w:t>
            </w:r>
            <w:r w:rsidRPr="00B0658A">
              <w:rPr>
                <w:rFonts w:ascii="Times New Roman"/>
                <w:i/>
                <w:iCs/>
                <w:color w:val="auto"/>
                <w:sz w:val="20"/>
                <w:szCs w:val="20"/>
              </w:rPr>
              <w:t xml:space="preserve">планом перехода </w:t>
            </w:r>
            <w:r w:rsidR="00664709" w:rsidRPr="00B0658A">
              <w:rPr>
                <w:rFonts w:ascii="Times New Roman"/>
                <w:i/>
                <w:iCs/>
                <w:color w:val="auto"/>
                <w:sz w:val="20"/>
                <w:szCs w:val="20"/>
              </w:rPr>
              <w:t xml:space="preserve">заказчика 44-ФЗ или заказчика 223-ФЗ </w:t>
            </w:r>
            <w:r w:rsidRPr="00B0658A">
              <w:rPr>
                <w:rFonts w:ascii="Times New Roman"/>
                <w:i/>
                <w:iCs/>
                <w:color w:val="auto"/>
                <w:sz w:val="20"/>
                <w:szCs w:val="20"/>
              </w:rPr>
              <w:t>российского ПО</w:t>
            </w:r>
          </w:p>
        </w:tc>
        <w:tc>
          <w:tcPr>
            <w:tcW w:w="878" w:type="pct"/>
          </w:tcPr>
          <w:p w14:paraId="1F200CB4" w14:textId="77777777" w:rsidR="0002298B" w:rsidRPr="00B0658A" w:rsidRDefault="0002298B" w:rsidP="000A4114">
            <w:pPr>
              <w:spacing w:after="0" w:line="240" w:lineRule="auto"/>
              <w:jc w:val="both"/>
              <w:rPr>
                <w:rFonts w:ascii="Times New Roman"/>
                <w:i/>
                <w:iCs/>
                <w:color w:val="auto"/>
                <w:sz w:val="20"/>
              </w:rPr>
            </w:pPr>
            <w:r w:rsidRPr="00B0658A">
              <w:rPr>
                <w:rFonts w:ascii="Times New Roman"/>
                <w:i/>
                <w:iCs/>
                <w:color w:val="auto"/>
                <w:sz w:val="20"/>
              </w:rPr>
              <w:t>Указывается статус: «выполнено» / «не выполнено».</w:t>
            </w:r>
          </w:p>
          <w:p w14:paraId="2B9408A5" w14:textId="77777777" w:rsidR="0002298B" w:rsidRPr="00B0658A" w:rsidRDefault="0002298B" w:rsidP="000A4114">
            <w:pPr>
              <w:spacing w:after="0" w:line="240" w:lineRule="auto"/>
              <w:jc w:val="both"/>
              <w:rPr>
                <w:rFonts w:ascii="Times New Roman"/>
                <w:color w:val="auto"/>
                <w:sz w:val="20"/>
              </w:rPr>
            </w:pPr>
            <w:r w:rsidRPr="00B0658A">
              <w:rPr>
                <w:rFonts w:ascii="Times New Roman"/>
                <w:i/>
                <w:iCs/>
                <w:color w:val="auto"/>
                <w:sz w:val="20"/>
              </w:rPr>
              <w:t>Если мероприятие выполнено частично, то указывается статус «не выполнено»</w:t>
            </w:r>
          </w:p>
        </w:tc>
        <w:tc>
          <w:tcPr>
            <w:tcW w:w="1151" w:type="pct"/>
          </w:tcPr>
          <w:p w14:paraId="691C5EB5" w14:textId="77777777" w:rsidR="0002298B" w:rsidRPr="00B0658A" w:rsidRDefault="0002298B" w:rsidP="000A4114">
            <w:pPr>
              <w:spacing w:after="0" w:line="240" w:lineRule="auto"/>
              <w:jc w:val="both"/>
              <w:rPr>
                <w:rFonts w:ascii="Times New Roman"/>
                <w:i/>
                <w:iCs/>
                <w:color w:val="auto"/>
                <w:sz w:val="20"/>
              </w:rPr>
            </w:pPr>
            <w:r w:rsidRPr="00B0658A">
              <w:rPr>
                <w:rFonts w:ascii="Times New Roman"/>
                <w:i/>
                <w:iCs/>
                <w:color w:val="auto"/>
                <w:sz w:val="20"/>
              </w:rPr>
              <w:t>Указывается достигнутый результат. В случае если мероприятие не было выполнено, либо результат выполнения мероприятия был достигнут не полностью, указываются причины невыполнения мероприятия (частичного выполнения мероприятия), а также срок, в который мероприятие будет реализовано и достигнут запланированный результат</w:t>
            </w:r>
          </w:p>
        </w:tc>
      </w:tr>
      <w:tr w:rsidR="00F52FED" w:rsidRPr="00B0658A" w14:paraId="2034F2B5" w14:textId="77777777" w:rsidTr="004F1366">
        <w:tc>
          <w:tcPr>
            <w:tcW w:w="152" w:type="pct"/>
          </w:tcPr>
          <w:p w14:paraId="0413E755" w14:textId="77777777" w:rsidR="0002298B" w:rsidRPr="00B0658A" w:rsidRDefault="0002298B" w:rsidP="000A4114">
            <w:pPr>
              <w:spacing w:after="0" w:line="240" w:lineRule="auto"/>
              <w:jc w:val="both"/>
              <w:rPr>
                <w:rFonts w:ascii="Times New Roman"/>
                <w:color w:val="auto"/>
                <w:sz w:val="20"/>
              </w:rPr>
            </w:pPr>
            <w:r w:rsidRPr="00B0658A">
              <w:rPr>
                <w:rFonts w:ascii="Times New Roman"/>
                <w:color w:val="auto"/>
                <w:sz w:val="20"/>
              </w:rPr>
              <w:t>2.</w:t>
            </w:r>
          </w:p>
        </w:tc>
        <w:tc>
          <w:tcPr>
            <w:tcW w:w="1030" w:type="pct"/>
          </w:tcPr>
          <w:p w14:paraId="0A9E57D6" w14:textId="77777777" w:rsidR="0002298B" w:rsidRPr="00B0658A" w:rsidRDefault="0002298B" w:rsidP="000A4114">
            <w:pPr>
              <w:spacing w:after="0" w:line="240" w:lineRule="auto"/>
              <w:jc w:val="both"/>
              <w:rPr>
                <w:rFonts w:ascii="Times New Roman"/>
                <w:color w:val="auto"/>
                <w:sz w:val="20"/>
              </w:rPr>
            </w:pPr>
          </w:p>
        </w:tc>
        <w:tc>
          <w:tcPr>
            <w:tcW w:w="890" w:type="pct"/>
          </w:tcPr>
          <w:p w14:paraId="779C754D" w14:textId="77777777" w:rsidR="0002298B" w:rsidRPr="00B0658A" w:rsidRDefault="0002298B" w:rsidP="000A4114">
            <w:pPr>
              <w:spacing w:after="0" w:line="240" w:lineRule="auto"/>
              <w:jc w:val="both"/>
              <w:rPr>
                <w:rFonts w:ascii="Times New Roman"/>
                <w:color w:val="auto"/>
                <w:sz w:val="20"/>
              </w:rPr>
            </w:pPr>
          </w:p>
        </w:tc>
        <w:tc>
          <w:tcPr>
            <w:tcW w:w="899" w:type="pct"/>
          </w:tcPr>
          <w:p w14:paraId="484D139F" w14:textId="77777777" w:rsidR="0002298B" w:rsidRPr="00B0658A" w:rsidRDefault="0002298B" w:rsidP="000A4114">
            <w:pPr>
              <w:spacing w:after="0" w:line="240" w:lineRule="auto"/>
              <w:jc w:val="both"/>
              <w:rPr>
                <w:rFonts w:ascii="Times New Roman"/>
                <w:color w:val="auto"/>
                <w:sz w:val="20"/>
              </w:rPr>
            </w:pPr>
          </w:p>
        </w:tc>
        <w:tc>
          <w:tcPr>
            <w:tcW w:w="878" w:type="pct"/>
          </w:tcPr>
          <w:p w14:paraId="4FF6A888" w14:textId="77777777" w:rsidR="0002298B" w:rsidRPr="00B0658A" w:rsidRDefault="0002298B" w:rsidP="000A4114">
            <w:pPr>
              <w:spacing w:after="0" w:line="240" w:lineRule="auto"/>
              <w:jc w:val="both"/>
              <w:rPr>
                <w:rFonts w:ascii="Times New Roman"/>
                <w:color w:val="auto"/>
                <w:sz w:val="20"/>
              </w:rPr>
            </w:pPr>
          </w:p>
        </w:tc>
        <w:tc>
          <w:tcPr>
            <w:tcW w:w="1151" w:type="pct"/>
          </w:tcPr>
          <w:p w14:paraId="44AC4737" w14:textId="77777777" w:rsidR="0002298B" w:rsidRPr="00B0658A" w:rsidRDefault="0002298B" w:rsidP="000A4114">
            <w:pPr>
              <w:spacing w:after="0" w:line="240" w:lineRule="auto"/>
              <w:jc w:val="both"/>
              <w:rPr>
                <w:rFonts w:ascii="Times New Roman"/>
                <w:color w:val="auto"/>
                <w:sz w:val="20"/>
              </w:rPr>
            </w:pPr>
          </w:p>
        </w:tc>
      </w:tr>
      <w:tr w:rsidR="00F52FED" w:rsidRPr="00B0658A" w14:paraId="0440CA69" w14:textId="77777777" w:rsidTr="004F1366">
        <w:tc>
          <w:tcPr>
            <w:tcW w:w="152" w:type="pct"/>
          </w:tcPr>
          <w:p w14:paraId="2A4FC88C" w14:textId="77777777" w:rsidR="0002298B" w:rsidRPr="00B0658A" w:rsidRDefault="0002298B" w:rsidP="000A4114">
            <w:pPr>
              <w:spacing w:after="0" w:line="240" w:lineRule="auto"/>
              <w:jc w:val="both"/>
              <w:rPr>
                <w:rFonts w:ascii="Times New Roman"/>
                <w:color w:val="auto"/>
                <w:sz w:val="20"/>
              </w:rPr>
            </w:pPr>
            <w:r w:rsidRPr="00B0658A">
              <w:rPr>
                <w:rFonts w:ascii="Times New Roman"/>
                <w:color w:val="auto"/>
                <w:sz w:val="20"/>
              </w:rPr>
              <w:t>…</w:t>
            </w:r>
          </w:p>
        </w:tc>
        <w:tc>
          <w:tcPr>
            <w:tcW w:w="1030" w:type="pct"/>
          </w:tcPr>
          <w:p w14:paraId="51CD5E94" w14:textId="77777777" w:rsidR="0002298B" w:rsidRPr="00B0658A" w:rsidRDefault="0002298B" w:rsidP="000A4114">
            <w:pPr>
              <w:spacing w:after="0" w:line="240" w:lineRule="auto"/>
              <w:jc w:val="both"/>
              <w:rPr>
                <w:rFonts w:ascii="Times New Roman"/>
                <w:color w:val="auto"/>
                <w:sz w:val="20"/>
              </w:rPr>
            </w:pPr>
          </w:p>
        </w:tc>
        <w:tc>
          <w:tcPr>
            <w:tcW w:w="890" w:type="pct"/>
          </w:tcPr>
          <w:p w14:paraId="4EB224B0" w14:textId="77777777" w:rsidR="0002298B" w:rsidRPr="00B0658A" w:rsidRDefault="0002298B" w:rsidP="000A4114">
            <w:pPr>
              <w:spacing w:after="0" w:line="240" w:lineRule="auto"/>
              <w:jc w:val="both"/>
              <w:rPr>
                <w:rFonts w:ascii="Times New Roman"/>
                <w:color w:val="auto"/>
                <w:sz w:val="20"/>
              </w:rPr>
            </w:pPr>
          </w:p>
        </w:tc>
        <w:tc>
          <w:tcPr>
            <w:tcW w:w="899" w:type="pct"/>
          </w:tcPr>
          <w:p w14:paraId="2336545F" w14:textId="77777777" w:rsidR="0002298B" w:rsidRPr="00B0658A" w:rsidRDefault="0002298B" w:rsidP="000A4114">
            <w:pPr>
              <w:spacing w:after="0" w:line="240" w:lineRule="auto"/>
              <w:jc w:val="both"/>
              <w:rPr>
                <w:rFonts w:ascii="Times New Roman"/>
                <w:color w:val="auto"/>
                <w:sz w:val="20"/>
              </w:rPr>
            </w:pPr>
          </w:p>
        </w:tc>
        <w:tc>
          <w:tcPr>
            <w:tcW w:w="878" w:type="pct"/>
          </w:tcPr>
          <w:p w14:paraId="764F9195" w14:textId="77777777" w:rsidR="0002298B" w:rsidRPr="00B0658A" w:rsidRDefault="0002298B" w:rsidP="000A4114">
            <w:pPr>
              <w:spacing w:after="0" w:line="240" w:lineRule="auto"/>
              <w:jc w:val="both"/>
              <w:rPr>
                <w:rFonts w:ascii="Times New Roman"/>
                <w:color w:val="auto"/>
                <w:sz w:val="20"/>
              </w:rPr>
            </w:pPr>
          </w:p>
        </w:tc>
        <w:tc>
          <w:tcPr>
            <w:tcW w:w="1151" w:type="pct"/>
          </w:tcPr>
          <w:p w14:paraId="6590EF7F" w14:textId="77777777" w:rsidR="0002298B" w:rsidRPr="00B0658A" w:rsidRDefault="0002298B" w:rsidP="000A4114">
            <w:pPr>
              <w:spacing w:after="0" w:line="240" w:lineRule="auto"/>
              <w:jc w:val="both"/>
              <w:rPr>
                <w:rFonts w:ascii="Times New Roman"/>
                <w:color w:val="auto"/>
                <w:sz w:val="20"/>
              </w:rPr>
            </w:pPr>
          </w:p>
        </w:tc>
      </w:tr>
      <w:tr w:rsidR="0002298B" w:rsidRPr="00B0658A" w14:paraId="0D9B5BED" w14:textId="77777777" w:rsidTr="004F1366">
        <w:tc>
          <w:tcPr>
            <w:tcW w:w="152" w:type="pct"/>
          </w:tcPr>
          <w:p w14:paraId="44A1C781" w14:textId="77777777" w:rsidR="0002298B" w:rsidRPr="00B0658A" w:rsidRDefault="0002298B" w:rsidP="000A4114">
            <w:pPr>
              <w:spacing w:after="0" w:line="240" w:lineRule="auto"/>
              <w:jc w:val="both"/>
              <w:rPr>
                <w:rFonts w:ascii="Times New Roman"/>
                <w:color w:val="auto"/>
                <w:sz w:val="20"/>
              </w:rPr>
            </w:pPr>
            <w:r w:rsidRPr="00B0658A">
              <w:rPr>
                <w:rFonts w:ascii="Times New Roman"/>
                <w:color w:val="auto"/>
                <w:sz w:val="20"/>
                <w:lang w:val="en-US"/>
              </w:rPr>
              <w:t>N</w:t>
            </w:r>
          </w:p>
        </w:tc>
        <w:tc>
          <w:tcPr>
            <w:tcW w:w="1030" w:type="pct"/>
          </w:tcPr>
          <w:p w14:paraId="0D6F83E5" w14:textId="77777777" w:rsidR="0002298B" w:rsidRPr="00B0658A" w:rsidRDefault="0002298B" w:rsidP="000A4114">
            <w:pPr>
              <w:spacing w:after="0" w:line="240" w:lineRule="auto"/>
              <w:jc w:val="both"/>
              <w:rPr>
                <w:rFonts w:ascii="Times New Roman"/>
                <w:color w:val="auto"/>
                <w:sz w:val="20"/>
              </w:rPr>
            </w:pPr>
          </w:p>
        </w:tc>
        <w:tc>
          <w:tcPr>
            <w:tcW w:w="890" w:type="pct"/>
          </w:tcPr>
          <w:p w14:paraId="0A23AE7A" w14:textId="77777777" w:rsidR="0002298B" w:rsidRPr="00B0658A" w:rsidRDefault="0002298B" w:rsidP="000A4114">
            <w:pPr>
              <w:spacing w:after="0" w:line="240" w:lineRule="auto"/>
              <w:jc w:val="both"/>
              <w:rPr>
                <w:rFonts w:ascii="Times New Roman"/>
                <w:color w:val="auto"/>
                <w:sz w:val="20"/>
              </w:rPr>
            </w:pPr>
          </w:p>
        </w:tc>
        <w:tc>
          <w:tcPr>
            <w:tcW w:w="899" w:type="pct"/>
          </w:tcPr>
          <w:p w14:paraId="15E94056" w14:textId="77777777" w:rsidR="0002298B" w:rsidRPr="00B0658A" w:rsidRDefault="0002298B" w:rsidP="000A4114">
            <w:pPr>
              <w:spacing w:after="0" w:line="240" w:lineRule="auto"/>
              <w:jc w:val="both"/>
              <w:rPr>
                <w:rFonts w:ascii="Times New Roman"/>
                <w:color w:val="auto"/>
                <w:sz w:val="20"/>
              </w:rPr>
            </w:pPr>
          </w:p>
        </w:tc>
        <w:tc>
          <w:tcPr>
            <w:tcW w:w="878" w:type="pct"/>
          </w:tcPr>
          <w:p w14:paraId="3055D7B1" w14:textId="77777777" w:rsidR="0002298B" w:rsidRPr="00B0658A" w:rsidRDefault="0002298B" w:rsidP="000A4114">
            <w:pPr>
              <w:spacing w:after="0" w:line="240" w:lineRule="auto"/>
              <w:jc w:val="both"/>
              <w:rPr>
                <w:rFonts w:ascii="Times New Roman"/>
                <w:color w:val="auto"/>
                <w:sz w:val="20"/>
              </w:rPr>
            </w:pPr>
          </w:p>
        </w:tc>
        <w:tc>
          <w:tcPr>
            <w:tcW w:w="1151" w:type="pct"/>
          </w:tcPr>
          <w:p w14:paraId="684080D5" w14:textId="77777777" w:rsidR="0002298B" w:rsidRPr="00B0658A" w:rsidRDefault="0002298B" w:rsidP="000A4114">
            <w:pPr>
              <w:spacing w:after="0" w:line="240" w:lineRule="auto"/>
              <w:jc w:val="both"/>
              <w:rPr>
                <w:rFonts w:ascii="Times New Roman"/>
                <w:color w:val="auto"/>
                <w:sz w:val="20"/>
              </w:rPr>
            </w:pPr>
          </w:p>
        </w:tc>
      </w:tr>
    </w:tbl>
    <w:p w14:paraId="1C223FD5" w14:textId="77777777" w:rsidR="009F4B0E" w:rsidRDefault="009F4B0E" w:rsidP="0002298B">
      <w:pPr>
        <w:pStyle w:val="afd"/>
        <w:spacing w:line="240" w:lineRule="auto"/>
        <w:ind w:left="709"/>
        <w:jc w:val="both"/>
        <w:rPr>
          <w:rFonts w:ascii="Times New Roman" w:hAnsi="Times New Roman"/>
          <w:sz w:val="28"/>
          <w:szCs w:val="28"/>
        </w:rPr>
      </w:pPr>
    </w:p>
    <w:p w14:paraId="68F792B6" w14:textId="77777777" w:rsidR="009F4B0E" w:rsidRDefault="009F4B0E">
      <w:pPr>
        <w:spacing w:after="0" w:line="240" w:lineRule="auto"/>
        <w:rPr>
          <w:rFonts w:ascii="Times New Roman" w:hAnsi="Times New Roman"/>
          <w:sz w:val="28"/>
          <w:szCs w:val="28"/>
        </w:rPr>
      </w:pPr>
      <w:r>
        <w:rPr>
          <w:rFonts w:ascii="Times New Roman" w:hAnsi="Times New Roman"/>
          <w:sz w:val="28"/>
          <w:szCs w:val="28"/>
        </w:rPr>
        <w:br w:type="page"/>
      </w:r>
    </w:p>
    <w:p w14:paraId="7CC44321" w14:textId="77777777" w:rsidR="0002298B" w:rsidRPr="00B0658A" w:rsidRDefault="0002298B" w:rsidP="0002298B">
      <w:pPr>
        <w:pStyle w:val="afd"/>
        <w:spacing w:line="240" w:lineRule="auto"/>
        <w:ind w:left="0" w:firstLine="709"/>
        <w:jc w:val="both"/>
        <w:rPr>
          <w:rFonts w:ascii="Times New Roman" w:hAnsi="Times New Roman"/>
          <w:sz w:val="28"/>
          <w:szCs w:val="28"/>
        </w:rPr>
      </w:pPr>
      <w:r w:rsidRPr="00B0658A">
        <w:rPr>
          <w:rFonts w:ascii="Times New Roman" w:hAnsi="Times New Roman"/>
          <w:sz w:val="28"/>
          <w:szCs w:val="28"/>
        </w:rPr>
        <w:t>2. Сведения о достижении показателей эффективности в отношении закупок ПО и финансового обеспечения перехода на использование российского ПО</w:t>
      </w:r>
    </w:p>
    <w:tbl>
      <w:tblPr>
        <w:tblStyle w:val="afc"/>
        <w:tblW w:w="13887" w:type="dxa"/>
        <w:tblLayout w:type="fixed"/>
        <w:tblLook w:val="04A0" w:firstRow="1" w:lastRow="0" w:firstColumn="1" w:lastColumn="0" w:noHBand="0" w:noVBand="1"/>
      </w:tblPr>
      <w:tblGrid>
        <w:gridCol w:w="546"/>
        <w:gridCol w:w="2575"/>
        <w:gridCol w:w="1104"/>
        <w:gridCol w:w="3342"/>
        <w:gridCol w:w="3343"/>
        <w:gridCol w:w="2977"/>
      </w:tblGrid>
      <w:tr w:rsidR="00F52FED" w:rsidRPr="00B0658A" w14:paraId="3A68C776" w14:textId="77777777" w:rsidTr="004F1366">
        <w:trPr>
          <w:trHeight w:val="58"/>
        </w:trPr>
        <w:tc>
          <w:tcPr>
            <w:tcW w:w="546" w:type="dxa"/>
            <w:vMerge w:val="restart"/>
            <w:vAlign w:val="center"/>
          </w:tcPr>
          <w:p w14:paraId="1050423A" w14:textId="77777777" w:rsidR="0002298B" w:rsidRPr="00B0658A" w:rsidRDefault="0002298B" w:rsidP="000A4114">
            <w:pPr>
              <w:spacing w:after="0" w:line="240" w:lineRule="auto"/>
              <w:jc w:val="center"/>
              <w:rPr>
                <w:rFonts w:ascii="Times New Roman" w:hAnsi="Times New Roman"/>
                <w:b/>
                <w:bCs/>
                <w:sz w:val="20"/>
                <w:szCs w:val="20"/>
              </w:rPr>
            </w:pPr>
            <w:r w:rsidRPr="00B0658A">
              <w:rPr>
                <w:rFonts w:ascii="Times New Roman" w:hAnsi="Times New Roman"/>
                <w:b/>
                <w:bCs/>
                <w:sz w:val="20"/>
                <w:szCs w:val="20"/>
              </w:rPr>
              <w:t>№</w:t>
            </w:r>
          </w:p>
        </w:tc>
        <w:tc>
          <w:tcPr>
            <w:tcW w:w="2575" w:type="dxa"/>
            <w:vMerge w:val="restart"/>
            <w:vAlign w:val="center"/>
          </w:tcPr>
          <w:p w14:paraId="72095AA6" w14:textId="77777777" w:rsidR="0002298B" w:rsidRPr="00B0658A" w:rsidRDefault="0002298B" w:rsidP="000A4114">
            <w:pPr>
              <w:spacing w:after="0" w:line="240" w:lineRule="auto"/>
              <w:jc w:val="center"/>
              <w:rPr>
                <w:rFonts w:ascii="Times New Roman" w:hAnsi="Times New Roman"/>
                <w:b/>
                <w:bCs/>
                <w:sz w:val="20"/>
                <w:szCs w:val="20"/>
              </w:rPr>
            </w:pPr>
            <w:r w:rsidRPr="00B0658A">
              <w:rPr>
                <w:rFonts w:ascii="Times New Roman" w:hAnsi="Times New Roman"/>
                <w:b/>
                <w:bCs/>
                <w:sz w:val="20"/>
                <w:szCs w:val="20"/>
              </w:rPr>
              <w:t>Наименование показателя</w:t>
            </w:r>
          </w:p>
        </w:tc>
        <w:tc>
          <w:tcPr>
            <w:tcW w:w="1104" w:type="dxa"/>
            <w:vMerge w:val="restart"/>
            <w:vAlign w:val="center"/>
          </w:tcPr>
          <w:p w14:paraId="6BE77941" w14:textId="77777777" w:rsidR="0002298B" w:rsidRPr="00B0658A" w:rsidRDefault="0002298B" w:rsidP="000A4114">
            <w:pPr>
              <w:spacing w:after="0" w:line="240" w:lineRule="auto"/>
              <w:jc w:val="center"/>
              <w:rPr>
                <w:rFonts w:ascii="Times New Roman" w:hAnsi="Times New Roman"/>
                <w:b/>
                <w:bCs/>
                <w:sz w:val="20"/>
                <w:szCs w:val="20"/>
              </w:rPr>
            </w:pPr>
            <w:r w:rsidRPr="00B0658A">
              <w:rPr>
                <w:rFonts w:ascii="Times New Roman" w:hAnsi="Times New Roman"/>
                <w:b/>
                <w:bCs/>
                <w:sz w:val="20"/>
                <w:szCs w:val="20"/>
              </w:rPr>
              <w:t>Ед. изм.</w:t>
            </w:r>
          </w:p>
        </w:tc>
        <w:tc>
          <w:tcPr>
            <w:tcW w:w="6685" w:type="dxa"/>
            <w:gridSpan w:val="2"/>
            <w:vAlign w:val="center"/>
          </w:tcPr>
          <w:p w14:paraId="2A23A2A2" w14:textId="77777777" w:rsidR="0002298B" w:rsidRPr="00B0658A" w:rsidRDefault="0002298B" w:rsidP="000A4114">
            <w:pPr>
              <w:spacing w:after="0" w:line="240" w:lineRule="auto"/>
              <w:jc w:val="center"/>
              <w:rPr>
                <w:rFonts w:ascii="Times New Roman" w:hAnsi="Times New Roman"/>
                <w:b/>
                <w:bCs/>
                <w:sz w:val="20"/>
                <w:szCs w:val="20"/>
              </w:rPr>
            </w:pPr>
            <w:r w:rsidRPr="00B0658A">
              <w:rPr>
                <w:rFonts w:ascii="Times New Roman" w:hAnsi="Times New Roman"/>
                <w:b/>
                <w:bCs/>
                <w:sz w:val="20"/>
                <w:szCs w:val="20"/>
              </w:rPr>
              <w:t>Сведения о достижении показателей эффективности за _______ г.</w:t>
            </w:r>
          </w:p>
        </w:tc>
        <w:tc>
          <w:tcPr>
            <w:tcW w:w="2977" w:type="dxa"/>
            <w:vMerge w:val="restart"/>
            <w:vAlign w:val="center"/>
          </w:tcPr>
          <w:p w14:paraId="3422E99C" w14:textId="77777777" w:rsidR="0002298B" w:rsidRPr="00B0658A" w:rsidRDefault="0002298B" w:rsidP="000A4114">
            <w:pPr>
              <w:spacing w:after="0" w:line="240" w:lineRule="auto"/>
              <w:jc w:val="center"/>
              <w:rPr>
                <w:rFonts w:ascii="Times New Roman" w:hAnsi="Times New Roman"/>
                <w:b/>
                <w:bCs/>
                <w:sz w:val="20"/>
                <w:szCs w:val="20"/>
              </w:rPr>
            </w:pPr>
            <w:r w:rsidRPr="00B0658A">
              <w:rPr>
                <w:rFonts w:ascii="Times New Roman" w:hAnsi="Times New Roman"/>
                <w:b/>
                <w:bCs/>
                <w:sz w:val="20"/>
                <w:szCs w:val="20"/>
              </w:rPr>
              <w:t>Комментарии</w:t>
            </w:r>
          </w:p>
        </w:tc>
      </w:tr>
      <w:tr w:rsidR="00F52FED" w:rsidRPr="00B0658A" w14:paraId="1F5C1BD7" w14:textId="77777777" w:rsidTr="004F1366">
        <w:trPr>
          <w:trHeight w:val="58"/>
        </w:trPr>
        <w:tc>
          <w:tcPr>
            <w:tcW w:w="546" w:type="dxa"/>
            <w:vMerge/>
            <w:vAlign w:val="center"/>
          </w:tcPr>
          <w:p w14:paraId="60B8BFC6" w14:textId="77777777" w:rsidR="0002298B" w:rsidRPr="00B0658A" w:rsidRDefault="0002298B" w:rsidP="000A4114">
            <w:pPr>
              <w:spacing w:after="0" w:line="240" w:lineRule="auto"/>
              <w:jc w:val="center"/>
              <w:rPr>
                <w:rFonts w:ascii="Times New Roman" w:hAnsi="Times New Roman"/>
                <w:b/>
                <w:bCs/>
                <w:sz w:val="20"/>
                <w:szCs w:val="20"/>
              </w:rPr>
            </w:pPr>
          </w:p>
        </w:tc>
        <w:tc>
          <w:tcPr>
            <w:tcW w:w="2575" w:type="dxa"/>
            <w:vMerge/>
            <w:vAlign w:val="center"/>
          </w:tcPr>
          <w:p w14:paraId="2AA1FAD4" w14:textId="77777777" w:rsidR="0002298B" w:rsidRPr="00B0658A" w:rsidRDefault="0002298B" w:rsidP="000A4114">
            <w:pPr>
              <w:spacing w:after="0" w:line="240" w:lineRule="auto"/>
              <w:jc w:val="center"/>
              <w:rPr>
                <w:rFonts w:ascii="Times New Roman" w:hAnsi="Times New Roman"/>
                <w:b/>
                <w:bCs/>
                <w:sz w:val="20"/>
                <w:szCs w:val="20"/>
              </w:rPr>
            </w:pPr>
          </w:p>
        </w:tc>
        <w:tc>
          <w:tcPr>
            <w:tcW w:w="1104" w:type="dxa"/>
            <w:vMerge/>
            <w:vAlign w:val="center"/>
          </w:tcPr>
          <w:p w14:paraId="23206013" w14:textId="77777777" w:rsidR="0002298B" w:rsidRPr="00B0658A" w:rsidRDefault="0002298B" w:rsidP="000A4114">
            <w:pPr>
              <w:spacing w:after="0" w:line="240" w:lineRule="auto"/>
              <w:jc w:val="center"/>
              <w:rPr>
                <w:rFonts w:ascii="Times New Roman" w:hAnsi="Times New Roman"/>
                <w:b/>
                <w:bCs/>
                <w:sz w:val="20"/>
                <w:szCs w:val="20"/>
              </w:rPr>
            </w:pPr>
          </w:p>
        </w:tc>
        <w:tc>
          <w:tcPr>
            <w:tcW w:w="3342" w:type="dxa"/>
            <w:vAlign w:val="center"/>
          </w:tcPr>
          <w:p w14:paraId="2C127033" w14:textId="77777777" w:rsidR="0002298B" w:rsidRPr="00B0658A" w:rsidRDefault="0002298B" w:rsidP="000A4114">
            <w:pPr>
              <w:spacing w:after="0" w:line="240" w:lineRule="auto"/>
              <w:jc w:val="center"/>
              <w:rPr>
                <w:rFonts w:ascii="Times New Roman" w:hAnsi="Times New Roman"/>
                <w:b/>
                <w:bCs/>
                <w:sz w:val="20"/>
                <w:szCs w:val="20"/>
              </w:rPr>
            </w:pPr>
            <w:r w:rsidRPr="00B0658A">
              <w:rPr>
                <w:rFonts w:ascii="Times New Roman" w:hAnsi="Times New Roman"/>
                <w:b/>
                <w:bCs/>
                <w:sz w:val="20"/>
                <w:szCs w:val="20"/>
              </w:rPr>
              <w:t>Плановое значение</w:t>
            </w:r>
          </w:p>
        </w:tc>
        <w:tc>
          <w:tcPr>
            <w:tcW w:w="3343" w:type="dxa"/>
            <w:vAlign w:val="center"/>
          </w:tcPr>
          <w:p w14:paraId="5A673050" w14:textId="77777777" w:rsidR="0002298B" w:rsidRPr="00B0658A" w:rsidRDefault="0002298B" w:rsidP="000A4114">
            <w:pPr>
              <w:spacing w:after="0" w:line="240" w:lineRule="auto"/>
              <w:jc w:val="center"/>
              <w:rPr>
                <w:rFonts w:ascii="Times New Roman" w:hAnsi="Times New Roman"/>
                <w:b/>
                <w:bCs/>
                <w:sz w:val="20"/>
                <w:szCs w:val="20"/>
              </w:rPr>
            </w:pPr>
            <w:r w:rsidRPr="00B0658A">
              <w:rPr>
                <w:rFonts w:ascii="Times New Roman" w:hAnsi="Times New Roman"/>
                <w:b/>
                <w:bCs/>
                <w:sz w:val="20"/>
                <w:szCs w:val="20"/>
              </w:rPr>
              <w:t>Фактическое значение</w:t>
            </w:r>
          </w:p>
        </w:tc>
        <w:tc>
          <w:tcPr>
            <w:tcW w:w="2977" w:type="dxa"/>
            <w:vMerge/>
            <w:vAlign w:val="center"/>
          </w:tcPr>
          <w:p w14:paraId="43B55A75" w14:textId="77777777" w:rsidR="0002298B" w:rsidRPr="00B0658A" w:rsidRDefault="0002298B" w:rsidP="000A4114">
            <w:pPr>
              <w:spacing w:after="0" w:line="240" w:lineRule="auto"/>
              <w:jc w:val="center"/>
              <w:rPr>
                <w:rFonts w:ascii="Times New Roman" w:hAnsi="Times New Roman"/>
                <w:b/>
                <w:bCs/>
                <w:sz w:val="20"/>
                <w:szCs w:val="20"/>
              </w:rPr>
            </w:pPr>
          </w:p>
        </w:tc>
      </w:tr>
      <w:tr w:rsidR="00F52FED" w:rsidRPr="00B0658A" w14:paraId="694EDB08" w14:textId="77777777" w:rsidTr="004F1366">
        <w:trPr>
          <w:trHeight w:val="283"/>
        </w:trPr>
        <w:tc>
          <w:tcPr>
            <w:tcW w:w="13887" w:type="dxa"/>
            <w:gridSpan w:val="6"/>
          </w:tcPr>
          <w:p w14:paraId="2BA4B8B6" w14:textId="77777777" w:rsidR="0002298B" w:rsidRPr="00B0658A" w:rsidRDefault="0002298B" w:rsidP="000A4114">
            <w:pPr>
              <w:spacing w:after="0" w:line="240" w:lineRule="auto"/>
              <w:jc w:val="both"/>
              <w:rPr>
                <w:rFonts w:ascii="Times New Roman" w:hAnsi="Times New Roman"/>
                <w:b/>
                <w:i/>
                <w:iCs/>
                <w:sz w:val="20"/>
                <w:szCs w:val="20"/>
              </w:rPr>
            </w:pPr>
            <w:r w:rsidRPr="00B0658A">
              <w:rPr>
                <w:rFonts w:ascii="Times New Roman" w:hAnsi="Times New Roman"/>
                <w:b/>
                <w:i/>
                <w:iCs/>
                <w:sz w:val="20"/>
                <w:szCs w:val="20"/>
              </w:rPr>
              <w:t>I. Показатели эффективности в отношении закупок ПО</w:t>
            </w:r>
          </w:p>
        </w:tc>
      </w:tr>
      <w:tr w:rsidR="00F52FED" w:rsidRPr="00B0658A" w14:paraId="70523FBF" w14:textId="77777777" w:rsidTr="004F1366">
        <w:trPr>
          <w:trHeight w:val="960"/>
        </w:trPr>
        <w:tc>
          <w:tcPr>
            <w:tcW w:w="546" w:type="dxa"/>
          </w:tcPr>
          <w:p w14:paraId="1135B599" w14:textId="77777777" w:rsidR="0002298B" w:rsidRPr="00B0658A" w:rsidRDefault="0002298B" w:rsidP="000A4114">
            <w:pPr>
              <w:spacing w:after="0" w:line="240" w:lineRule="auto"/>
              <w:jc w:val="both"/>
              <w:rPr>
                <w:rFonts w:ascii="Times New Roman" w:hAnsi="Times New Roman"/>
                <w:sz w:val="20"/>
                <w:szCs w:val="20"/>
              </w:rPr>
            </w:pPr>
            <w:r w:rsidRPr="00B0658A">
              <w:rPr>
                <w:rFonts w:ascii="Times New Roman" w:hAnsi="Times New Roman"/>
                <w:sz w:val="20"/>
                <w:szCs w:val="20"/>
              </w:rPr>
              <w:t>1.</w:t>
            </w:r>
          </w:p>
        </w:tc>
        <w:tc>
          <w:tcPr>
            <w:tcW w:w="2575" w:type="dxa"/>
          </w:tcPr>
          <w:p w14:paraId="54847371" w14:textId="77777777" w:rsidR="0002298B" w:rsidRPr="00B0658A" w:rsidRDefault="0002298B" w:rsidP="000A4114">
            <w:pPr>
              <w:spacing w:after="0" w:line="240" w:lineRule="auto"/>
              <w:jc w:val="both"/>
              <w:rPr>
                <w:rFonts w:ascii="Times New Roman" w:hAnsi="Times New Roman"/>
                <w:sz w:val="20"/>
                <w:szCs w:val="20"/>
              </w:rPr>
            </w:pPr>
            <w:r w:rsidRPr="00B0658A">
              <w:rPr>
                <w:rFonts w:ascii="Times New Roman" w:hAnsi="Times New Roman"/>
                <w:sz w:val="20"/>
                <w:szCs w:val="20"/>
              </w:rPr>
              <w:t>Доля расходов на закупку российского ПО и связанных с ним работ (услуг) в общем объеме расходов на закупку ПО и связанных с ним работ (услуг)</w:t>
            </w:r>
          </w:p>
        </w:tc>
        <w:tc>
          <w:tcPr>
            <w:tcW w:w="1104" w:type="dxa"/>
          </w:tcPr>
          <w:p w14:paraId="784D8D1D" w14:textId="77777777" w:rsidR="0002298B" w:rsidRPr="00B0658A" w:rsidRDefault="0002298B" w:rsidP="000A4114">
            <w:pPr>
              <w:spacing w:after="0" w:line="240" w:lineRule="auto"/>
              <w:jc w:val="center"/>
              <w:rPr>
                <w:rFonts w:ascii="Times New Roman" w:hAnsi="Times New Roman"/>
                <w:sz w:val="20"/>
                <w:szCs w:val="20"/>
              </w:rPr>
            </w:pPr>
            <w:r w:rsidRPr="00B0658A">
              <w:rPr>
                <w:rFonts w:ascii="Times New Roman" w:hAnsi="Times New Roman"/>
                <w:sz w:val="20"/>
                <w:szCs w:val="20"/>
              </w:rPr>
              <w:t>%</w:t>
            </w:r>
          </w:p>
        </w:tc>
        <w:tc>
          <w:tcPr>
            <w:tcW w:w="3342" w:type="dxa"/>
          </w:tcPr>
          <w:p w14:paraId="522B9449" w14:textId="77777777" w:rsidR="0002298B" w:rsidRPr="00B0658A" w:rsidRDefault="0002298B" w:rsidP="000A4114">
            <w:pPr>
              <w:spacing w:after="0" w:line="240" w:lineRule="auto"/>
              <w:jc w:val="both"/>
              <w:rPr>
                <w:rFonts w:ascii="Times New Roman" w:hAnsi="Times New Roman"/>
                <w:sz w:val="20"/>
                <w:szCs w:val="20"/>
              </w:rPr>
            </w:pPr>
            <w:r w:rsidRPr="00B0658A">
              <w:rPr>
                <w:rFonts w:ascii="Times New Roman" w:hAnsi="Times New Roman"/>
                <w:i/>
                <w:iCs/>
                <w:sz w:val="20"/>
                <w:szCs w:val="20"/>
              </w:rPr>
              <w:t xml:space="preserve">Указывается плановое значение на соответствующий год в соответствии с показателями, установленными в плане перехода </w:t>
            </w:r>
            <w:r w:rsidR="00664709" w:rsidRPr="00B0658A">
              <w:rPr>
                <w:rFonts w:ascii="Times New Roman" w:hAnsi="Times New Roman"/>
                <w:i/>
                <w:iCs/>
                <w:sz w:val="20"/>
                <w:szCs w:val="20"/>
              </w:rPr>
              <w:t xml:space="preserve">заказчика 44-ФЗ или заказчика 223-ФЗ </w:t>
            </w:r>
            <w:r w:rsidRPr="00B0658A">
              <w:rPr>
                <w:rFonts w:ascii="Times New Roman" w:hAnsi="Times New Roman"/>
                <w:i/>
                <w:iCs/>
                <w:sz w:val="20"/>
                <w:szCs w:val="20"/>
              </w:rPr>
              <w:t>на использование российского ПО</w:t>
            </w:r>
          </w:p>
        </w:tc>
        <w:tc>
          <w:tcPr>
            <w:tcW w:w="3343" w:type="dxa"/>
          </w:tcPr>
          <w:p w14:paraId="6CE48D02" w14:textId="77777777" w:rsidR="0002298B" w:rsidRPr="00B0658A" w:rsidRDefault="0002298B" w:rsidP="000A4114">
            <w:pPr>
              <w:spacing w:after="0" w:line="240" w:lineRule="auto"/>
              <w:jc w:val="both"/>
              <w:rPr>
                <w:rFonts w:ascii="Times New Roman" w:hAnsi="Times New Roman"/>
                <w:i/>
                <w:iCs/>
                <w:sz w:val="20"/>
                <w:szCs w:val="20"/>
              </w:rPr>
            </w:pPr>
            <w:r w:rsidRPr="00B0658A">
              <w:rPr>
                <w:rFonts w:ascii="Times New Roman" w:hAnsi="Times New Roman"/>
                <w:i/>
                <w:iCs/>
                <w:sz w:val="20"/>
                <w:szCs w:val="20"/>
              </w:rPr>
              <w:t>Указывается фактическая доля расходов на российское ПО и связанные с ним работ (услуги) в общем объеме расходов на закупку ПО и связанные с ним работы (услуги) за соответствующий год.</w:t>
            </w:r>
          </w:p>
        </w:tc>
        <w:tc>
          <w:tcPr>
            <w:tcW w:w="2977" w:type="dxa"/>
          </w:tcPr>
          <w:p w14:paraId="1702736D" w14:textId="77777777" w:rsidR="0002298B" w:rsidRPr="00B0658A" w:rsidRDefault="0002298B" w:rsidP="000A4114">
            <w:pPr>
              <w:spacing w:after="0" w:line="240" w:lineRule="auto"/>
              <w:jc w:val="both"/>
              <w:rPr>
                <w:rFonts w:ascii="Times New Roman" w:hAnsi="Times New Roman"/>
                <w:i/>
                <w:sz w:val="20"/>
                <w:szCs w:val="20"/>
              </w:rPr>
            </w:pPr>
            <w:r w:rsidRPr="00B0658A">
              <w:rPr>
                <w:rFonts w:ascii="Times New Roman" w:hAnsi="Times New Roman"/>
                <w:i/>
                <w:iCs/>
                <w:sz w:val="20"/>
                <w:szCs w:val="20"/>
              </w:rPr>
              <w:t>Указывается дополнительные комментарии по достижению установленных значений (при необходимости)</w:t>
            </w:r>
          </w:p>
          <w:p w14:paraId="5412CD13" w14:textId="77777777" w:rsidR="0002298B" w:rsidRPr="00B0658A" w:rsidRDefault="0002298B" w:rsidP="000A4114">
            <w:pPr>
              <w:spacing w:after="0" w:line="240" w:lineRule="auto"/>
              <w:rPr>
                <w:rFonts w:ascii="Times New Roman" w:hAnsi="Times New Roman"/>
                <w:sz w:val="20"/>
                <w:szCs w:val="20"/>
              </w:rPr>
            </w:pPr>
          </w:p>
        </w:tc>
      </w:tr>
      <w:tr w:rsidR="00F52FED" w:rsidRPr="00B0658A" w14:paraId="0CD69BF0" w14:textId="77777777" w:rsidTr="004F1366">
        <w:trPr>
          <w:trHeight w:val="283"/>
        </w:trPr>
        <w:tc>
          <w:tcPr>
            <w:tcW w:w="13887" w:type="dxa"/>
            <w:gridSpan w:val="6"/>
          </w:tcPr>
          <w:p w14:paraId="1E64672B" w14:textId="77777777" w:rsidR="0002298B" w:rsidRPr="00B0658A" w:rsidRDefault="0002298B" w:rsidP="000A4114">
            <w:pPr>
              <w:spacing w:after="0" w:line="240" w:lineRule="auto"/>
              <w:rPr>
                <w:rFonts w:ascii="Times New Roman" w:hAnsi="Times New Roman"/>
                <w:i/>
                <w:iCs/>
                <w:sz w:val="20"/>
                <w:szCs w:val="20"/>
              </w:rPr>
            </w:pPr>
            <w:r w:rsidRPr="00B0658A">
              <w:rPr>
                <w:rFonts w:ascii="Times New Roman" w:hAnsi="Times New Roman"/>
                <w:b/>
                <w:i/>
                <w:iCs/>
                <w:sz w:val="20"/>
                <w:szCs w:val="20"/>
                <w:lang w:val="en-US"/>
              </w:rPr>
              <w:t>II</w:t>
            </w:r>
            <w:r w:rsidRPr="00B0658A">
              <w:rPr>
                <w:rFonts w:ascii="Times New Roman" w:hAnsi="Times New Roman"/>
                <w:b/>
                <w:i/>
                <w:iCs/>
                <w:sz w:val="20"/>
                <w:szCs w:val="20"/>
              </w:rPr>
              <w:t xml:space="preserve">. Финансовое </w:t>
            </w:r>
            <w:r w:rsidRPr="00B0658A">
              <w:rPr>
                <w:rFonts w:ascii="Times New Roman" w:hAnsi="Times New Roman"/>
                <w:b/>
                <w:bCs/>
                <w:i/>
                <w:iCs/>
                <w:sz w:val="20"/>
                <w:szCs w:val="20"/>
              </w:rPr>
              <w:t>обеспечения перехода на использование российского ПО</w:t>
            </w:r>
          </w:p>
        </w:tc>
      </w:tr>
      <w:tr w:rsidR="00F52FED" w:rsidRPr="00B0658A" w14:paraId="33975035" w14:textId="77777777" w:rsidTr="004F1366">
        <w:trPr>
          <w:trHeight w:val="376"/>
        </w:trPr>
        <w:tc>
          <w:tcPr>
            <w:tcW w:w="546" w:type="dxa"/>
          </w:tcPr>
          <w:p w14:paraId="20290C53" w14:textId="77777777" w:rsidR="0002298B" w:rsidRPr="00B0658A" w:rsidRDefault="0002298B" w:rsidP="000A4114">
            <w:pPr>
              <w:spacing w:after="0" w:line="240" w:lineRule="auto"/>
              <w:jc w:val="both"/>
              <w:rPr>
                <w:rFonts w:ascii="Times New Roman" w:hAnsi="Times New Roman"/>
                <w:sz w:val="20"/>
                <w:szCs w:val="20"/>
              </w:rPr>
            </w:pPr>
            <w:r w:rsidRPr="00B0658A">
              <w:rPr>
                <w:rFonts w:ascii="Times New Roman" w:hAnsi="Times New Roman"/>
                <w:sz w:val="20"/>
                <w:szCs w:val="20"/>
              </w:rPr>
              <w:t>2.</w:t>
            </w:r>
          </w:p>
        </w:tc>
        <w:tc>
          <w:tcPr>
            <w:tcW w:w="2575" w:type="dxa"/>
          </w:tcPr>
          <w:p w14:paraId="61CA803A" w14:textId="77777777" w:rsidR="0002298B" w:rsidRPr="00B0658A" w:rsidRDefault="0002298B" w:rsidP="000A4114">
            <w:pPr>
              <w:spacing w:after="0" w:line="240" w:lineRule="auto"/>
              <w:jc w:val="both"/>
              <w:rPr>
                <w:rFonts w:ascii="Times New Roman" w:hAnsi="Times New Roman"/>
                <w:sz w:val="20"/>
                <w:szCs w:val="20"/>
              </w:rPr>
            </w:pPr>
            <w:r w:rsidRPr="00B0658A">
              <w:rPr>
                <w:rFonts w:ascii="Times New Roman" w:hAnsi="Times New Roman"/>
                <w:sz w:val="20"/>
                <w:szCs w:val="20"/>
              </w:rPr>
              <w:t>Объём финансовых ресурсов, направленных на переход на использование российского ПО</w:t>
            </w:r>
          </w:p>
        </w:tc>
        <w:tc>
          <w:tcPr>
            <w:tcW w:w="1104" w:type="dxa"/>
          </w:tcPr>
          <w:p w14:paraId="30A61420" w14:textId="77777777" w:rsidR="0002298B" w:rsidRPr="00B0658A" w:rsidRDefault="0002298B" w:rsidP="000A4114">
            <w:pPr>
              <w:spacing w:after="0" w:line="240" w:lineRule="auto"/>
              <w:jc w:val="center"/>
              <w:rPr>
                <w:rFonts w:ascii="Times New Roman" w:hAnsi="Times New Roman"/>
                <w:sz w:val="20"/>
                <w:szCs w:val="20"/>
              </w:rPr>
            </w:pPr>
            <w:r w:rsidRPr="00B0658A">
              <w:rPr>
                <w:rFonts w:ascii="Times New Roman" w:hAnsi="Times New Roman"/>
                <w:sz w:val="20"/>
                <w:szCs w:val="20"/>
              </w:rPr>
              <w:t>тыс. руб.</w:t>
            </w:r>
          </w:p>
        </w:tc>
        <w:tc>
          <w:tcPr>
            <w:tcW w:w="3342" w:type="dxa"/>
          </w:tcPr>
          <w:p w14:paraId="6E5EEE68" w14:textId="77777777" w:rsidR="0002298B" w:rsidRPr="00B0658A" w:rsidRDefault="0002298B" w:rsidP="000A4114">
            <w:pPr>
              <w:spacing w:after="0" w:line="240" w:lineRule="auto"/>
              <w:jc w:val="both"/>
              <w:rPr>
                <w:rFonts w:ascii="Times New Roman" w:hAnsi="Times New Roman"/>
                <w:sz w:val="20"/>
                <w:szCs w:val="20"/>
              </w:rPr>
            </w:pPr>
            <w:r w:rsidRPr="00B0658A">
              <w:rPr>
                <w:rFonts w:ascii="Times New Roman" w:hAnsi="Times New Roman"/>
                <w:i/>
                <w:iCs/>
                <w:sz w:val="20"/>
                <w:szCs w:val="20"/>
              </w:rPr>
              <w:t xml:space="preserve">Указывается плановое значение на соответствующий год в соответствии с показателями, установленными в плане перехода </w:t>
            </w:r>
            <w:r w:rsidR="00664709" w:rsidRPr="00B0658A">
              <w:rPr>
                <w:rFonts w:ascii="Times New Roman" w:hAnsi="Times New Roman"/>
                <w:i/>
                <w:iCs/>
                <w:sz w:val="20"/>
                <w:szCs w:val="20"/>
              </w:rPr>
              <w:t xml:space="preserve">заказчика 44-ФЗ или заказчика 223-ФЗ </w:t>
            </w:r>
            <w:r w:rsidRPr="00B0658A">
              <w:rPr>
                <w:rFonts w:ascii="Times New Roman" w:hAnsi="Times New Roman"/>
                <w:i/>
                <w:iCs/>
                <w:sz w:val="20"/>
                <w:szCs w:val="20"/>
              </w:rPr>
              <w:t>на использование российского ПО</w:t>
            </w:r>
          </w:p>
        </w:tc>
        <w:tc>
          <w:tcPr>
            <w:tcW w:w="3343" w:type="dxa"/>
          </w:tcPr>
          <w:p w14:paraId="4AED035E" w14:textId="77777777" w:rsidR="0002298B" w:rsidRPr="00B0658A" w:rsidRDefault="0002298B" w:rsidP="000A4114">
            <w:pPr>
              <w:spacing w:after="0" w:line="240" w:lineRule="auto"/>
              <w:jc w:val="both"/>
              <w:rPr>
                <w:rFonts w:ascii="Times New Roman" w:hAnsi="Times New Roman"/>
                <w:i/>
                <w:iCs/>
                <w:sz w:val="20"/>
                <w:szCs w:val="20"/>
              </w:rPr>
            </w:pPr>
            <w:r w:rsidRPr="00B0658A">
              <w:rPr>
                <w:rFonts w:ascii="Times New Roman" w:hAnsi="Times New Roman"/>
                <w:i/>
                <w:iCs/>
                <w:sz w:val="20"/>
                <w:szCs w:val="20"/>
              </w:rPr>
              <w:t>Указываются фактические объемы расходов, связанных с переходом на  использование российского ПО за соответствующий год.</w:t>
            </w:r>
          </w:p>
        </w:tc>
        <w:tc>
          <w:tcPr>
            <w:tcW w:w="2977" w:type="dxa"/>
          </w:tcPr>
          <w:p w14:paraId="01A70318" w14:textId="77777777" w:rsidR="0002298B" w:rsidRPr="00B0658A" w:rsidRDefault="0002298B" w:rsidP="000A4114">
            <w:pPr>
              <w:spacing w:after="0" w:line="240" w:lineRule="auto"/>
              <w:jc w:val="both"/>
              <w:rPr>
                <w:rFonts w:ascii="Times New Roman" w:hAnsi="Times New Roman"/>
                <w:i/>
                <w:sz w:val="20"/>
                <w:szCs w:val="20"/>
              </w:rPr>
            </w:pPr>
            <w:r w:rsidRPr="00B0658A">
              <w:rPr>
                <w:rFonts w:ascii="Times New Roman" w:hAnsi="Times New Roman"/>
                <w:i/>
                <w:iCs/>
                <w:sz w:val="20"/>
                <w:szCs w:val="20"/>
              </w:rPr>
              <w:t>Указывается дополнительные комментарии по достижению установленных значений (при необходимости)</w:t>
            </w:r>
          </w:p>
          <w:p w14:paraId="7F2E704E"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i/>
                <w:iCs/>
                <w:sz w:val="20"/>
                <w:szCs w:val="20"/>
              </w:rPr>
              <w:t>.</w:t>
            </w:r>
          </w:p>
        </w:tc>
      </w:tr>
    </w:tbl>
    <w:p w14:paraId="4EECC79C" w14:textId="77777777" w:rsidR="009F4B0E" w:rsidRDefault="009F4B0E" w:rsidP="009F4B0E">
      <w:pPr>
        <w:rPr>
          <w:rFonts w:ascii="Times New Roman" w:hAnsi="Times New Roman"/>
          <w:sz w:val="28"/>
          <w:szCs w:val="28"/>
        </w:rPr>
      </w:pPr>
    </w:p>
    <w:p w14:paraId="6CB29B03" w14:textId="77777777" w:rsidR="00E85413" w:rsidRPr="00B0658A" w:rsidRDefault="00A756EF" w:rsidP="00E85413">
      <w:pPr>
        <w:ind w:firstLine="709"/>
        <w:rPr>
          <w:rFonts w:ascii="Times New Roman" w:hAnsi="Times New Roman"/>
          <w:sz w:val="28"/>
          <w:szCs w:val="28"/>
        </w:rPr>
      </w:pPr>
      <w:r w:rsidRPr="00B0658A">
        <w:rPr>
          <w:rFonts w:ascii="Times New Roman" w:hAnsi="Times New Roman"/>
          <w:sz w:val="28"/>
          <w:szCs w:val="28"/>
        </w:rPr>
        <w:t>3. Сведения об объёмах закупок российского и иностранного ПО и связанных с ним работ (услуг)</w:t>
      </w:r>
      <w:r w:rsidR="00E85413" w:rsidRPr="00E85413">
        <w:rPr>
          <w:rFonts w:ascii="Times New Roman" w:hAnsi="Times New Roman"/>
          <w:sz w:val="28"/>
          <w:szCs w:val="28"/>
        </w:rPr>
        <w:t xml:space="preserve"> </w:t>
      </w:r>
    </w:p>
    <w:tbl>
      <w:tblPr>
        <w:tblStyle w:val="afc"/>
        <w:tblW w:w="5000" w:type="pct"/>
        <w:tblLook w:val="04A0" w:firstRow="1" w:lastRow="0" w:firstColumn="1" w:lastColumn="0" w:noHBand="0" w:noVBand="1"/>
      </w:tblPr>
      <w:tblGrid>
        <w:gridCol w:w="680"/>
        <w:gridCol w:w="3567"/>
        <w:gridCol w:w="993"/>
        <w:gridCol w:w="8704"/>
      </w:tblGrid>
      <w:tr w:rsidR="00E85413" w:rsidRPr="00B0658A" w14:paraId="48A915A2" w14:textId="77777777" w:rsidTr="00293D6A">
        <w:trPr>
          <w:trHeight w:val="20"/>
        </w:trPr>
        <w:tc>
          <w:tcPr>
            <w:tcW w:w="244" w:type="pct"/>
            <w:vAlign w:val="center"/>
          </w:tcPr>
          <w:p w14:paraId="1AF1BF26" w14:textId="77777777" w:rsidR="00E85413" w:rsidRPr="00BA2448" w:rsidRDefault="00E85413" w:rsidP="003A11B0">
            <w:pPr>
              <w:spacing w:after="0" w:line="240" w:lineRule="auto"/>
              <w:jc w:val="center"/>
              <w:rPr>
                <w:rFonts w:ascii="Times New Roman" w:hAnsi="Times New Roman"/>
                <w:b/>
                <w:bCs/>
                <w:sz w:val="20"/>
                <w:szCs w:val="20"/>
              </w:rPr>
            </w:pPr>
            <w:r w:rsidRPr="00BA2448">
              <w:rPr>
                <w:rFonts w:ascii="Times New Roman" w:hAnsi="Times New Roman"/>
                <w:b/>
                <w:bCs/>
                <w:sz w:val="20"/>
                <w:szCs w:val="20"/>
              </w:rPr>
              <w:t>№</w:t>
            </w:r>
          </w:p>
        </w:tc>
        <w:tc>
          <w:tcPr>
            <w:tcW w:w="1279" w:type="pct"/>
            <w:vAlign w:val="center"/>
          </w:tcPr>
          <w:p w14:paraId="473ECE6D" w14:textId="77777777" w:rsidR="00E85413" w:rsidRPr="00BA2448" w:rsidRDefault="00E85413" w:rsidP="003A11B0">
            <w:pPr>
              <w:spacing w:after="0" w:line="240" w:lineRule="auto"/>
              <w:jc w:val="center"/>
              <w:rPr>
                <w:rFonts w:ascii="Times New Roman" w:hAnsi="Times New Roman"/>
                <w:b/>
                <w:bCs/>
                <w:sz w:val="20"/>
                <w:szCs w:val="20"/>
              </w:rPr>
            </w:pPr>
            <w:r w:rsidRPr="00BA2448">
              <w:rPr>
                <w:rFonts w:ascii="Times New Roman" w:hAnsi="Times New Roman"/>
                <w:b/>
                <w:bCs/>
                <w:sz w:val="20"/>
                <w:szCs w:val="20"/>
              </w:rPr>
              <w:t>Наименование показателя</w:t>
            </w:r>
          </w:p>
        </w:tc>
        <w:tc>
          <w:tcPr>
            <w:tcW w:w="356" w:type="pct"/>
            <w:vAlign w:val="center"/>
          </w:tcPr>
          <w:p w14:paraId="4F81F939" w14:textId="77777777" w:rsidR="00E85413" w:rsidRPr="00BA2448" w:rsidRDefault="00E85413" w:rsidP="003A11B0">
            <w:pPr>
              <w:spacing w:after="0" w:line="240" w:lineRule="auto"/>
              <w:jc w:val="center"/>
              <w:rPr>
                <w:rFonts w:ascii="Times New Roman" w:hAnsi="Times New Roman"/>
                <w:b/>
                <w:bCs/>
                <w:sz w:val="20"/>
                <w:szCs w:val="20"/>
              </w:rPr>
            </w:pPr>
            <w:r w:rsidRPr="00BA2448">
              <w:rPr>
                <w:rFonts w:ascii="Times New Roman" w:hAnsi="Times New Roman"/>
                <w:b/>
                <w:bCs/>
                <w:sz w:val="20"/>
                <w:szCs w:val="20"/>
              </w:rPr>
              <w:t>Ед. изм.</w:t>
            </w:r>
          </w:p>
        </w:tc>
        <w:tc>
          <w:tcPr>
            <w:tcW w:w="3121" w:type="pct"/>
            <w:vAlign w:val="center"/>
          </w:tcPr>
          <w:p w14:paraId="4842E070" w14:textId="77777777" w:rsidR="00E85413" w:rsidRPr="00BA2448" w:rsidRDefault="00E85413" w:rsidP="003A11B0">
            <w:pPr>
              <w:spacing w:after="0" w:line="240" w:lineRule="auto"/>
              <w:jc w:val="center"/>
              <w:rPr>
                <w:rFonts w:ascii="Times New Roman" w:hAnsi="Times New Roman"/>
                <w:b/>
                <w:bCs/>
                <w:sz w:val="20"/>
                <w:szCs w:val="20"/>
              </w:rPr>
            </w:pPr>
            <w:r w:rsidRPr="00BA2448">
              <w:rPr>
                <w:rFonts w:ascii="Times New Roman" w:hAnsi="Times New Roman"/>
                <w:b/>
                <w:bCs/>
                <w:sz w:val="20"/>
                <w:szCs w:val="20"/>
              </w:rPr>
              <w:t>Сведения об объёмах закупок российского и иностранного ПО и связанных с ним работ (услуг) за _______ г.</w:t>
            </w:r>
          </w:p>
        </w:tc>
      </w:tr>
      <w:tr w:rsidR="00E85413" w:rsidRPr="00B0658A" w14:paraId="5C4D1547" w14:textId="77777777" w:rsidTr="00293D6A">
        <w:trPr>
          <w:trHeight w:val="20"/>
        </w:trPr>
        <w:tc>
          <w:tcPr>
            <w:tcW w:w="244" w:type="pct"/>
          </w:tcPr>
          <w:p w14:paraId="19AFC5BD" w14:textId="77777777" w:rsidR="00E85413" w:rsidRPr="00BA2448" w:rsidRDefault="00E85413" w:rsidP="003A11B0">
            <w:pPr>
              <w:spacing w:after="0" w:line="240" w:lineRule="auto"/>
              <w:jc w:val="both"/>
              <w:rPr>
                <w:rFonts w:ascii="Times New Roman" w:hAnsi="Times New Roman"/>
                <w:sz w:val="20"/>
                <w:szCs w:val="20"/>
              </w:rPr>
            </w:pPr>
            <w:r w:rsidRPr="00BA2448">
              <w:rPr>
                <w:rFonts w:ascii="Times New Roman" w:hAnsi="Times New Roman"/>
                <w:sz w:val="20"/>
                <w:szCs w:val="20"/>
              </w:rPr>
              <w:t>1.</w:t>
            </w:r>
          </w:p>
        </w:tc>
        <w:tc>
          <w:tcPr>
            <w:tcW w:w="1279" w:type="pct"/>
          </w:tcPr>
          <w:p w14:paraId="0741ADFE" w14:textId="77777777" w:rsidR="00E85413" w:rsidRPr="00BA2448" w:rsidRDefault="00E85413" w:rsidP="003A11B0">
            <w:pPr>
              <w:spacing w:after="0" w:line="240" w:lineRule="auto"/>
              <w:jc w:val="both"/>
              <w:rPr>
                <w:rFonts w:ascii="Times New Roman" w:hAnsi="Times New Roman"/>
                <w:sz w:val="20"/>
                <w:szCs w:val="20"/>
              </w:rPr>
            </w:pPr>
            <w:r w:rsidRPr="00BA2448">
              <w:rPr>
                <w:rFonts w:ascii="Times New Roman" w:hAnsi="Times New Roman"/>
                <w:sz w:val="20"/>
                <w:szCs w:val="20"/>
              </w:rPr>
              <w:t>Объёмы закупок российского ПО и связанных с ним работ (услуг)</w:t>
            </w:r>
          </w:p>
        </w:tc>
        <w:tc>
          <w:tcPr>
            <w:tcW w:w="356" w:type="pct"/>
          </w:tcPr>
          <w:p w14:paraId="7DBCA3F0" w14:textId="77777777" w:rsidR="00E85413" w:rsidRPr="00BA2448" w:rsidRDefault="00E85413" w:rsidP="003A11B0">
            <w:pPr>
              <w:spacing w:after="0" w:line="240" w:lineRule="auto"/>
              <w:jc w:val="center"/>
              <w:rPr>
                <w:rFonts w:ascii="Times New Roman" w:hAnsi="Times New Roman"/>
                <w:sz w:val="20"/>
                <w:szCs w:val="20"/>
              </w:rPr>
            </w:pPr>
            <w:r w:rsidRPr="00BA2448">
              <w:rPr>
                <w:rFonts w:ascii="Times New Roman" w:hAnsi="Times New Roman"/>
                <w:sz w:val="20"/>
                <w:szCs w:val="20"/>
              </w:rPr>
              <w:t>тыс. руб.</w:t>
            </w:r>
          </w:p>
        </w:tc>
        <w:tc>
          <w:tcPr>
            <w:tcW w:w="3121" w:type="pct"/>
          </w:tcPr>
          <w:p w14:paraId="48EA3702" w14:textId="77777777" w:rsidR="00E85413" w:rsidRPr="00BA2448" w:rsidRDefault="00E85413" w:rsidP="003A11B0">
            <w:pPr>
              <w:spacing w:after="0" w:line="240" w:lineRule="auto"/>
              <w:jc w:val="both"/>
              <w:rPr>
                <w:rFonts w:ascii="Times New Roman" w:hAnsi="Times New Roman"/>
                <w:sz w:val="20"/>
                <w:szCs w:val="20"/>
              </w:rPr>
            </w:pPr>
            <w:r w:rsidRPr="00BA2448">
              <w:rPr>
                <w:rFonts w:ascii="Times New Roman" w:hAnsi="Times New Roman"/>
                <w:i/>
                <w:iCs/>
                <w:sz w:val="20"/>
                <w:szCs w:val="20"/>
              </w:rPr>
              <w:t xml:space="preserve">Указываются фактические объемы расходов, связанных с закупкой российского ПО и связанных с ним работ (услуг) </w:t>
            </w:r>
            <w:r>
              <w:rPr>
                <w:rFonts w:ascii="Times New Roman" w:hAnsi="Times New Roman"/>
                <w:i/>
                <w:iCs/>
                <w:sz w:val="20"/>
                <w:szCs w:val="20"/>
              </w:rPr>
              <w:t xml:space="preserve">за соответствующий год. </w:t>
            </w:r>
          </w:p>
        </w:tc>
      </w:tr>
      <w:tr w:rsidR="00E85413" w:rsidRPr="00B0658A" w14:paraId="3575A796" w14:textId="77777777" w:rsidTr="00293D6A">
        <w:trPr>
          <w:trHeight w:val="20"/>
        </w:trPr>
        <w:tc>
          <w:tcPr>
            <w:tcW w:w="244" w:type="pct"/>
          </w:tcPr>
          <w:p w14:paraId="14361E8F" w14:textId="77777777" w:rsidR="00E85413" w:rsidRPr="00BA2448" w:rsidRDefault="00E85413" w:rsidP="003A11B0">
            <w:pPr>
              <w:spacing w:after="0" w:line="240" w:lineRule="auto"/>
              <w:jc w:val="both"/>
              <w:rPr>
                <w:rFonts w:ascii="Times New Roman" w:hAnsi="Times New Roman"/>
                <w:sz w:val="20"/>
                <w:szCs w:val="20"/>
              </w:rPr>
            </w:pPr>
            <w:r w:rsidRPr="00BA2448">
              <w:rPr>
                <w:rFonts w:ascii="Times New Roman" w:hAnsi="Times New Roman"/>
                <w:sz w:val="20"/>
                <w:szCs w:val="20"/>
              </w:rPr>
              <w:t>2.</w:t>
            </w:r>
          </w:p>
        </w:tc>
        <w:tc>
          <w:tcPr>
            <w:tcW w:w="1279" w:type="pct"/>
          </w:tcPr>
          <w:p w14:paraId="7B3F1EA6" w14:textId="77777777" w:rsidR="00E85413" w:rsidRPr="00BA2448" w:rsidRDefault="00E85413" w:rsidP="003A11B0">
            <w:pPr>
              <w:spacing w:after="0" w:line="240" w:lineRule="auto"/>
              <w:jc w:val="both"/>
              <w:rPr>
                <w:rFonts w:ascii="Times New Roman" w:hAnsi="Times New Roman"/>
                <w:sz w:val="20"/>
                <w:szCs w:val="20"/>
              </w:rPr>
            </w:pPr>
            <w:r w:rsidRPr="00BA2448">
              <w:rPr>
                <w:rFonts w:ascii="Times New Roman" w:hAnsi="Times New Roman"/>
                <w:sz w:val="20"/>
                <w:szCs w:val="20"/>
              </w:rPr>
              <w:t>Объёмы закупок иностранного ПО и связанных с ним работ (услуг)</w:t>
            </w:r>
          </w:p>
        </w:tc>
        <w:tc>
          <w:tcPr>
            <w:tcW w:w="356" w:type="pct"/>
          </w:tcPr>
          <w:p w14:paraId="3F87CA2E" w14:textId="77777777" w:rsidR="00E85413" w:rsidRPr="00BA2448" w:rsidRDefault="00E85413" w:rsidP="003A11B0">
            <w:pPr>
              <w:spacing w:after="0" w:line="240" w:lineRule="auto"/>
              <w:jc w:val="center"/>
              <w:rPr>
                <w:rFonts w:ascii="Times New Roman" w:hAnsi="Times New Roman"/>
                <w:sz w:val="20"/>
                <w:szCs w:val="20"/>
              </w:rPr>
            </w:pPr>
            <w:r w:rsidRPr="00BA2448">
              <w:rPr>
                <w:rFonts w:ascii="Times New Roman" w:hAnsi="Times New Roman"/>
                <w:sz w:val="20"/>
                <w:szCs w:val="20"/>
              </w:rPr>
              <w:t>тыс. руб.</w:t>
            </w:r>
          </w:p>
        </w:tc>
        <w:tc>
          <w:tcPr>
            <w:tcW w:w="3121" w:type="pct"/>
          </w:tcPr>
          <w:p w14:paraId="5764148F" w14:textId="77777777" w:rsidR="00E85413" w:rsidRPr="00BA2448" w:rsidRDefault="00E85413" w:rsidP="003A11B0">
            <w:pPr>
              <w:spacing w:after="0" w:line="240" w:lineRule="auto"/>
              <w:jc w:val="both"/>
              <w:rPr>
                <w:rFonts w:ascii="Times New Roman" w:hAnsi="Times New Roman"/>
                <w:i/>
                <w:iCs/>
                <w:sz w:val="20"/>
                <w:szCs w:val="20"/>
              </w:rPr>
            </w:pPr>
            <w:r w:rsidRPr="00BA2448">
              <w:rPr>
                <w:rFonts w:ascii="Times New Roman" w:hAnsi="Times New Roman"/>
                <w:i/>
                <w:iCs/>
                <w:sz w:val="20"/>
                <w:szCs w:val="20"/>
              </w:rPr>
              <w:t xml:space="preserve">Указываются фактические объемы расходов, связанных с закупкой иностранного ПО и связанных с ним работ (услуг) </w:t>
            </w:r>
            <w:r>
              <w:rPr>
                <w:rFonts w:ascii="Times New Roman" w:hAnsi="Times New Roman"/>
                <w:i/>
                <w:iCs/>
                <w:sz w:val="20"/>
                <w:szCs w:val="20"/>
              </w:rPr>
              <w:t>за соответствующий год.</w:t>
            </w:r>
          </w:p>
        </w:tc>
      </w:tr>
    </w:tbl>
    <w:p w14:paraId="7DAB0612" w14:textId="77777777" w:rsidR="009F4B0E" w:rsidRDefault="009F4B0E" w:rsidP="00E85413">
      <w:pPr>
        <w:rPr>
          <w:rFonts w:ascii="Times New Roman" w:hAnsi="Times New Roman"/>
        </w:rPr>
      </w:pPr>
      <w:r>
        <w:rPr>
          <w:rFonts w:ascii="Times New Roman" w:hAnsi="Times New Roman"/>
        </w:rPr>
        <w:br w:type="page"/>
      </w:r>
    </w:p>
    <w:p w14:paraId="2514E5EA" w14:textId="77777777" w:rsidR="0002298B" w:rsidRPr="00B0658A" w:rsidRDefault="00A756EF" w:rsidP="0002298B">
      <w:pPr>
        <w:spacing w:line="240" w:lineRule="auto"/>
        <w:ind w:firstLine="709"/>
        <w:jc w:val="both"/>
        <w:rPr>
          <w:rFonts w:ascii="Times New Roman" w:hAnsi="Times New Roman"/>
          <w:sz w:val="28"/>
        </w:rPr>
      </w:pPr>
      <w:r w:rsidRPr="00B0658A">
        <w:rPr>
          <w:rFonts w:ascii="Times New Roman" w:hAnsi="Times New Roman"/>
          <w:sz w:val="28"/>
          <w:szCs w:val="28"/>
        </w:rPr>
        <w:t>4</w:t>
      </w:r>
      <w:r w:rsidR="0002298B" w:rsidRPr="00B0658A">
        <w:rPr>
          <w:rFonts w:ascii="Times New Roman" w:hAnsi="Times New Roman"/>
          <w:sz w:val="28"/>
          <w:szCs w:val="28"/>
        </w:rPr>
        <w:t xml:space="preserve">. </w:t>
      </w:r>
      <w:r w:rsidR="0002298B" w:rsidRPr="00B0658A">
        <w:rPr>
          <w:rFonts w:ascii="Times New Roman" w:hAnsi="Times New Roman"/>
          <w:sz w:val="28"/>
          <w:szCs w:val="24"/>
        </w:rPr>
        <w:t xml:space="preserve">Сведения о достижении показателей эффективности перехода </w:t>
      </w:r>
      <w:r w:rsidR="0002298B" w:rsidRPr="00B0658A">
        <w:rPr>
          <w:rFonts w:ascii="Times New Roman" w:hAnsi="Times New Roman"/>
          <w:sz w:val="28"/>
          <w:szCs w:val="28"/>
        </w:rPr>
        <w:t>на использование российского ПО.</w:t>
      </w:r>
    </w:p>
    <w:tbl>
      <w:tblPr>
        <w:tblStyle w:val="afc"/>
        <w:tblW w:w="5000" w:type="pct"/>
        <w:tblLook w:val="0480" w:firstRow="0" w:lastRow="0" w:firstColumn="1" w:lastColumn="0" w:noHBand="0" w:noVBand="1"/>
      </w:tblPr>
      <w:tblGrid>
        <w:gridCol w:w="567"/>
        <w:gridCol w:w="3215"/>
        <w:gridCol w:w="1740"/>
        <w:gridCol w:w="3040"/>
        <w:gridCol w:w="2889"/>
        <w:gridCol w:w="2493"/>
      </w:tblGrid>
      <w:tr w:rsidR="00F52FED" w:rsidRPr="00B0658A" w14:paraId="19853357" w14:textId="77777777" w:rsidTr="00F57B1F">
        <w:trPr>
          <w:trHeight w:val="170"/>
          <w:tblHeader/>
        </w:trPr>
        <w:tc>
          <w:tcPr>
            <w:tcW w:w="203" w:type="pct"/>
            <w:vMerge w:val="restart"/>
            <w:shd w:val="clear" w:color="auto" w:fill="auto"/>
            <w:vAlign w:val="center"/>
          </w:tcPr>
          <w:p w14:paraId="2DC501C6" w14:textId="77777777" w:rsidR="0002298B" w:rsidRPr="00B0658A" w:rsidRDefault="0002298B" w:rsidP="000A4114">
            <w:pPr>
              <w:spacing w:after="0" w:line="240" w:lineRule="auto"/>
              <w:jc w:val="center"/>
              <w:rPr>
                <w:rFonts w:ascii="Times New Roman" w:hAnsi="Times New Roman"/>
                <w:b/>
                <w:bCs/>
                <w:sz w:val="20"/>
                <w:szCs w:val="20"/>
              </w:rPr>
            </w:pPr>
            <w:r w:rsidRPr="00B0658A">
              <w:rPr>
                <w:rFonts w:ascii="Times New Roman" w:hAnsi="Times New Roman"/>
                <w:b/>
                <w:bCs/>
                <w:sz w:val="20"/>
                <w:szCs w:val="20"/>
              </w:rPr>
              <w:t>№</w:t>
            </w:r>
          </w:p>
          <w:p w14:paraId="79E1D282" w14:textId="77777777" w:rsidR="0002298B" w:rsidRPr="00B0658A" w:rsidRDefault="0002298B" w:rsidP="000A4114">
            <w:pPr>
              <w:spacing w:after="0" w:line="240" w:lineRule="auto"/>
              <w:jc w:val="center"/>
              <w:rPr>
                <w:rFonts w:ascii="Times New Roman" w:hAnsi="Times New Roman"/>
                <w:b/>
                <w:bCs/>
                <w:sz w:val="20"/>
                <w:szCs w:val="20"/>
              </w:rPr>
            </w:pPr>
          </w:p>
        </w:tc>
        <w:tc>
          <w:tcPr>
            <w:tcW w:w="1153" w:type="pct"/>
            <w:vMerge w:val="restart"/>
            <w:shd w:val="clear" w:color="auto" w:fill="auto"/>
            <w:vAlign w:val="center"/>
          </w:tcPr>
          <w:p w14:paraId="6755AD4D" w14:textId="77777777" w:rsidR="0002298B" w:rsidRPr="00B0658A" w:rsidRDefault="0002298B" w:rsidP="000A4114">
            <w:pPr>
              <w:spacing w:after="0" w:line="240" w:lineRule="auto"/>
              <w:jc w:val="center"/>
              <w:rPr>
                <w:rFonts w:ascii="Times New Roman" w:hAnsi="Times New Roman"/>
                <w:b/>
                <w:bCs/>
                <w:sz w:val="20"/>
                <w:szCs w:val="20"/>
              </w:rPr>
            </w:pPr>
            <w:r w:rsidRPr="00B0658A">
              <w:rPr>
                <w:rFonts w:ascii="Times New Roman" w:hAnsi="Times New Roman"/>
                <w:b/>
                <w:bCs/>
                <w:sz w:val="20"/>
                <w:szCs w:val="20"/>
              </w:rPr>
              <w:t xml:space="preserve">Наименование класса </w:t>
            </w:r>
            <w:r w:rsidRPr="00B0658A">
              <w:rPr>
                <w:rFonts w:ascii="Times New Roman" w:hAnsi="Times New Roman"/>
                <w:b/>
                <w:bCs/>
                <w:sz w:val="20"/>
                <w:szCs w:val="20"/>
                <w:lang w:val="en-US"/>
              </w:rPr>
              <w:t xml:space="preserve">/ </w:t>
            </w:r>
            <w:r w:rsidRPr="00B0658A">
              <w:rPr>
                <w:rFonts w:ascii="Times New Roman" w:hAnsi="Times New Roman"/>
                <w:b/>
                <w:bCs/>
                <w:sz w:val="20"/>
                <w:szCs w:val="20"/>
              </w:rPr>
              <w:t>типа ПО</w:t>
            </w:r>
          </w:p>
        </w:tc>
        <w:tc>
          <w:tcPr>
            <w:tcW w:w="624" w:type="pct"/>
            <w:vMerge w:val="restart"/>
          </w:tcPr>
          <w:p w14:paraId="5CE64859" w14:textId="77777777" w:rsidR="0002298B" w:rsidRPr="00B0658A" w:rsidRDefault="0002298B" w:rsidP="000A4114">
            <w:pPr>
              <w:spacing w:after="0" w:line="240" w:lineRule="auto"/>
              <w:jc w:val="center"/>
              <w:rPr>
                <w:rFonts w:ascii="Times New Roman" w:hAnsi="Times New Roman"/>
                <w:b/>
                <w:bCs/>
                <w:sz w:val="20"/>
                <w:szCs w:val="20"/>
              </w:rPr>
            </w:pPr>
            <w:r w:rsidRPr="00B0658A">
              <w:rPr>
                <w:rFonts w:ascii="Times New Roman" w:hAnsi="Times New Roman"/>
                <w:b/>
                <w:bCs/>
                <w:sz w:val="20"/>
                <w:szCs w:val="20"/>
              </w:rPr>
              <w:t>Единицы измерения уровня использования</w:t>
            </w:r>
          </w:p>
        </w:tc>
        <w:tc>
          <w:tcPr>
            <w:tcW w:w="2126" w:type="pct"/>
            <w:gridSpan w:val="2"/>
            <w:shd w:val="clear" w:color="auto" w:fill="auto"/>
            <w:vAlign w:val="center"/>
          </w:tcPr>
          <w:p w14:paraId="09727552" w14:textId="77777777" w:rsidR="0002298B" w:rsidRPr="00B0658A" w:rsidRDefault="0002298B" w:rsidP="000A4114">
            <w:pPr>
              <w:spacing w:after="0" w:line="240" w:lineRule="auto"/>
              <w:jc w:val="center"/>
              <w:rPr>
                <w:rFonts w:ascii="Times New Roman" w:hAnsi="Times New Roman"/>
                <w:b/>
                <w:bCs/>
                <w:sz w:val="20"/>
                <w:szCs w:val="20"/>
              </w:rPr>
            </w:pPr>
            <w:r w:rsidRPr="00B0658A">
              <w:rPr>
                <w:rFonts w:ascii="Times New Roman" w:hAnsi="Times New Roman"/>
                <w:b/>
                <w:bCs/>
                <w:sz w:val="20"/>
                <w:szCs w:val="20"/>
              </w:rPr>
              <w:t>Сведения о достижении показателей эффективности перехода на использование российского ПО</w:t>
            </w:r>
          </w:p>
          <w:p w14:paraId="070B8F5A" w14:textId="77777777" w:rsidR="0002298B" w:rsidRPr="00B0658A" w:rsidRDefault="0002298B" w:rsidP="000A4114">
            <w:pPr>
              <w:spacing w:after="0" w:line="240" w:lineRule="auto"/>
              <w:jc w:val="center"/>
              <w:rPr>
                <w:rFonts w:ascii="Times New Roman" w:hAnsi="Times New Roman"/>
                <w:b/>
                <w:bCs/>
                <w:sz w:val="20"/>
                <w:szCs w:val="20"/>
              </w:rPr>
            </w:pPr>
            <w:r w:rsidRPr="00B0658A">
              <w:rPr>
                <w:rFonts w:ascii="Times New Roman" w:hAnsi="Times New Roman"/>
                <w:b/>
                <w:bCs/>
                <w:sz w:val="20"/>
                <w:szCs w:val="20"/>
              </w:rPr>
              <w:t>за _____ год</w:t>
            </w:r>
          </w:p>
        </w:tc>
        <w:tc>
          <w:tcPr>
            <w:tcW w:w="894" w:type="pct"/>
            <w:vMerge w:val="restart"/>
            <w:shd w:val="clear" w:color="auto" w:fill="auto"/>
            <w:vAlign w:val="center"/>
          </w:tcPr>
          <w:p w14:paraId="61872AE3" w14:textId="77777777" w:rsidR="0002298B" w:rsidRPr="00B0658A" w:rsidRDefault="0002298B" w:rsidP="000A4114">
            <w:pPr>
              <w:spacing w:after="0" w:line="240" w:lineRule="auto"/>
              <w:jc w:val="center"/>
              <w:rPr>
                <w:rFonts w:ascii="Times New Roman" w:hAnsi="Times New Roman"/>
                <w:b/>
                <w:bCs/>
                <w:sz w:val="20"/>
                <w:szCs w:val="20"/>
              </w:rPr>
            </w:pPr>
            <w:r w:rsidRPr="00B0658A">
              <w:rPr>
                <w:rFonts w:ascii="Times New Roman" w:hAnsi="Times New Roman"/>
                <w:b/>
                <w:bCs/>
                <w:sz w:val="20"/>
                <w:szCs w:val="20"/>
              </w:rPr>
              <w:t>Сведения о российском/евразийском ПО, на использование которого был осуществлен переход</w:t>
            </w:r>
          </w:p>
        </w:tc>
      </w:tr>
      <w:tr w:rsidR="00F52FED" w:rsidRPr="00B0658A" w14:paraId="25617846" w14:textId="77777777" w:rsidTr="004F1366">
        <w:trPr>
          <w:trHeight w:val="170"/>
        </w:trPr>
        <w:tc>
          <w:tcPr>
            <w:tcW w:w="203" w:type="pct"/>
            <w:vMerge/>
            <w:shd w:val="clear" w:color="auto" w:fill="auto"/>
          </w:tcPr>
          <w:p w14:paraId="260F4129" w14:textId="77777777" w:rsidR="0002298B" w:rsidRPr="00B0658A" w:rsidRDefault="0002298B" w:rsidP="000A4114">
            <w:pPr>
              <w:spacing w:after="0" w:line="240" w:lineRule="auto"/>
              <w:rPr>
                <w:rFonts w:ascii="Times New Roman" w:hAnsi="Times New Roman"/>
                <w:b/>
                <w:bCs/>
                <w:sz w:val="20"/>
                <w:szCs w:val="20"/>
              </w:rPr>
            </w:pPr>
          </w:p>
        </w:tc>
        <w:tc>
          <w:tcPr>
            <w:tcW w:w="1153" w:type="pct"/>
            <w:vMerge/>
            <w:shd w:val="clear" w:color="auto" w:fill="auto"/>
          </w:tcPr>
          <w:p w14:paraId="32439058" w14:textId="77777777" w:rsidR="0002298B" w:rsidRPr="00B0658A" w:rsidRDefault="0002298B" w:rsidP="000A4114">
            <w:pPr>
              <w:spacing w:after="0" w:line="240" w:lineRule="auto"/>
              <w:rPr>
                <w:rFonts w:ascii="Times New Roman" w:hAnsi="Times New Roman"/>
                <w:b/>
                <w:bCs/>
                <w:sz w:val="20"/>
                <w:szCs w:val="20"/>
              </w:rPr>
            </w:pPr>
          </w:p>
        </w:tc>
        <w:tc>
          <w:tcPr>
            <w:tcW w:w="624" w:type="pct"/>
            <w:vMerge/>
          </w:tcPr>
          <w:p w14:paraId="650560A0" w14:textId="77777777" w:rsidR="0002298B" w:rsidRPr="00B0658A" w:rsidRDefault="0002298B" w:rsidP="000A4114">
            <w:pPr>
              <w:spacing w:after="0" w:line="240" w:lineRule="auto"/>
              <w:jc w:val="center"/>
              <w:rPr>
                <w:rFonts w:ascii="Times New Roman" w:hAnsi="Times New Roman"/>
                <w:b/>
                <w:bCs/>
                <w:sz w:val="20"/>
                <w:szCs w:val="20"/>
              </w:rPr>
            </w:pPr>
          </w:p>
        </w:tc>
        <w:tc>
          <w:tcPr>
            <w:tcW w:w="1090" w:type="pct"/>
            <w:shd w:val="clear" w:color="auto" w:fill="auto"/>
            <w:vAlign w:val="center"/>
          </w:tcPr>
          <w:p w14:paraId="1A58C01B" w14:textId="77777777" w:rsidR="0002298B" w:rsidRPr="00B0658A" w:rsidRDefault="0002298B" w:rsidP="000A4114">
            <w:pPr>
              <w:spacing w:after="0" w:line="240" w:lineRule="auto"/>
              <w:jc w:val="center"/>
              <w:rPr>
                <w:rFonts w:ascii="Times New Roman" w:hAnsi="Times New Roman"/>
                <w:b/>
                <w:bCs/>
                <w:sz w:val="20"/>
                <w:szCs w:val="20"/>
              </w:rPr>
            </w:pPr>
            <w:r w:rsidRPr="00B0658A">
              <w:rPr>
                <w:rFonts w:ascii="Times New Roman" w:hAnsi="Times New Roman"/>
                <w:b/>
                <w:bCs/>
                <w:sz w:val="20"/>
                <w:szCs w:val="20"/>
              </w:rPr>
              <w:t>План</w:t>
            </w:r>
          </w:p>
        </w:tc>
        <w:tc>
          <w:tcPr>
            <w:tcW w:w="1036" w:type="pct"/>
            <w:shd w:val="clear" w:color="auto" w:fill="auto"/>
          </w:tcPr>
          <w:p w14:paraId="59CE8773" w14:textId="77777777" w:rsidR="0002298B" w:rsidRPr="00B0658A" w:rsidRDefault="0002298B" w:rsidP="000A4114">
            <w:pPr>
              <w:spacing w:after="0" w:line="240" w:lineRule="auto"/>
              <w:jc w:val="center"/>
              <w:rPr>
                <w:rFonts w:ascii="Times New Roman" w:hAnsi="Times New Roman"/>
                <w:b/>
                <w:bCs/>
                <w:sz w:val="20"/>
                <w:szCs w:val="20"/>
              </w:rPr>
            </w:pPr>
            <w:r w:rsidRPr="00B0658A">
              <w:rPr>
                <w:rFonts w:ascii="Times New Roman" w:hAnsi="Times New Roman"/>
                <w:b/>
                <w:bCs/>
                <w:sz w:val="20"/>
                <w:szCs w:val="20"/>
              </w:rPr>
              <w:t>Факт</w:t>
            </w:r>
          </w:p>
        </w:tc>
        <w:tc>
          <w:tcPr>
            <w:tcW w:w="894" w:type="pct"/>
            <w:vMerge/>
            <w:shd w:val="clear" w:color="auto" w:fill="auto"/>
          </w:tcPr>
          <w:p w14:paraId="632F3718" w14:textId="77777777" w:rsidR="0002298B" w:rsidRPr="00B0658A" w:rsidRDefault="0002298B" w:rsidP="000A4114">
            <w:pPr>
              <w:spacing w:after="0" w:line="240" w:lineRule="auto"/>
              <w:rPr>
                <w:rFonts w:ascii="Times New Roman" w:hAnsi="Times New Roman"/>
                <w:b/>
                <w:bCs/>
                <w:sz w:val="20"/>
                <w:szCs w:val="20"/>
              </w:rPr>
            </w:pPr>
          </w:p>
        </w:tc>
      </w:tr>
      <w:tr w:rsidR="00F52FED" w:rsidRPr="00B0658A" w14:paraId="5A70C54B" w14:textId="77777777" w:rsidTr="004F1366">
        <w:trPr>
          <w:trHeight w:val="170"/>
        </w:trPr>
        <w:tc>
          <w:tcPr>
            <w:tcW w:w="203" w:type="pct"/>
            <w:shd w:val="clear" w:color="auto" w:fill="auto"/>
            <w:vAlign w:val="center"/>
          </w:tcPr>
          <w:p w14:paraId="274FE621"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20"/>
                <w:szCs w:val="20"/>
              </w:rPr>
              <w:t>1.1</w:t>
            </w:r>
          </w:p>
        </w:tc>
        <w:tc>
          <w:tcPr>
            <w:tcW w:w="1153" w:type="pct"/>
            <w:shd w:val="clear" w:color="auto" w:fill="auto"/>
            <w:vAlign w:val="center"/>
          </w:tcPr>
          <w:p w14:paraId="3F3C4B84" w14:textId="77777777" w:rsidR="0002298B" w:rsidRPr="00B0658A" w:rsidRDefault="0002298B" w:rsidP="000A4114">
            <w:pPr>
              <w:spacing w:after="0" w:line="240" w:lineRule="auto"/>
              <w:rPr>
                <w:rFonts w:ascii="Times New Roman" w:hAnsi="Times New Roman"/>
                <w:i/>
                <w:sz w:val="20"/>
                <w:szCs w:val="20"/>
              </w:rPr>
            </w:pPr>
            <w:r w:rsidRPr="00B0658A">
              <w:rPr>
                <w:rFonts w:ascii="Times New Roman" w:hAnsi="Times New Roman"/>
                <w:sz w:val="20"/>
                <w:szCs w:val="20"/>
              </w:rPr>
              <w:t>Встроенное программное обеспечение/ Встроенные системные программы: BIOS, UEFI и иные встроенные системные программы</w:t>
            </w:r>
          </w:p>
        </w:tc>
        <w:tc>
          <w:tcPr>
            <w:tcW w:w="624" w:type="pct"/>
          </w:tcPr>
          <w:p w14:paraId="0729E464" w14:textId="77777777" w:rsidR="0002298B" w:rsidRPr="00B0658A" w:rsidRDefault="0002298B" w:rsidP="000A4114">
            <w:pPr>
              <w:spacing w:after="0" w:line="240" w:lineRule="auto"/>
              <w:rPr>
                <w:rFonts w:ascii="Times New Roman" w:hAnsi="Times New Roman"/>
                <w:i/>
                <w:iCs/>
                <w:sz w:val="20"/>
                <w:szCs w:val="20"/>
              </w:rPr>
            </w:pPr>
            <w:r w:rsidRPr="00B0658A">
              <w:rPr>
                <w:rFonts w:ascii="Times New Roman" w:hAnsi="Times New Roman"/>
                <w:i/>
                <w:iCs/>
                <w:sz w:val="20"/>
                <w:szCs w:val="20"/>
              </w:rPr>
              <w:t xml:space="preserve">Указывается единица измерения уровня использования </w:t>
            </w:r>
          </w:p>
        </w:tc>
        <w:tc>
          <w:tcPr>
            <w:tcW w:w="1090" w:type="pct"/>
            <w:shd w:val="clear" w:color="auto" w:fill="auto"/>
          </w:tcPr>
          <w:p w14:paraId="6D2B9735" w14:textId="77777777" w:rsidR="0002298B" w:rsidRPr="00B0658A" w:rsidRDefault="0002298B" w:rsidP="000A4114">
            <w:pPr>
              <w:spacing w:after="0" w:line="240" w:lineRule="auto"/>
              <w:rPr>
                <w:rFonts w:ascii="Times New Roman" w:hAnsi="Times New Roman"/>
                <w:i/>
                <w:iCs/>
                <w:sz w:val="20"/>
                <w:szCs w:val="20"/>
              </w:rPr>
            </w:pPr>
            <w:r w:rsidRPr="00B0658A">
              <w:rPr>
                <w:rFonts w:ascii="Times New Roman" w:hAnsi="Times New Roman"/>
                <w:i/>
                <w:iCs/>
                <w:sz w:val="20"/>
                <w:szCs w:val="20"/>
              </w:rPr>
              <w:t xml:space="preserve">Указывается плановое значение показателя эффективности на соответствующий год для соответствующего класса ПО в соответствии с утвержденным планом перехода </w:t>
            </w:r>
            <w:r w:rsidR="00664709" w:rsidRPr="00B0658A">
              <w:rPr>
                <w:rFonts w:ascii="Times New Roman" w:hAnsi="Times New Roman"/>
                <w:i/>
                <w:iCs/>
                <w:sz w:val="20"/>
                <w:szCs w:val="20"/>
              </w:rPr>
              <w:t xml:space="preserve">заказчика 44-ФЗ или заказчика 223-ФЗ </w:t>
            </w:r>
            <w:r w:rsidRPr="00B0658A">
              <w:rPr>
                <w:rFonts w:ascii="Times New Roman" w:hAnsi="Times New Roman"/>
                <w:i/>
                <w:iCs/>
                <w:sz w:val="20"/>
                <w:szCs w:val="20"/>
              </w:rPr>
              <w:t>на использование российского ПО.</w:t>
            </w:r>
          </w:p>
          <w:p w14:paraId="3C54C603" w14:textId="77777777" w:rsidR="0002298B" w:rsidRPr="00B0658A" w:rsidRDefault="0002298B" w:rsidP="000A4114">
            <w:pPr>
              <w:spacing w:after="0" w:line="240" w:lineRule="auto"/>
              <w:rPr>
                <w:rFonts w:ascii="Times New Roman" w:hAnsi="Times New Roman"/>
                <w:i/>
                <w:iCs/>
                <w:sz w:val="20"/>
                <w:szCs w:val="20"/>
              </w:rPr>
            </w:pPr>
            <w:r w:rsidRPr="00B0658A">
              <w:rPr>
                <w:rFonts w:ascii="Times New Roman" w:hAnsi="Times New Roman"/>
                <w:i/>
                <w:iCs/>
                <w:sz w:val="20"/>
                <w:szCs w:val="20"/>
              </w:rPr>
              <w:t>В случае, если для соответствующего показателя ранее было установлено значение «не используется» указывается «не используется»</w:t>
            </w:r>
          </w:p>
        </w:tc>
        <w:tc>
          <w:tcPr>
            <w:tcW w:w="1036" w:type="pct"/>
            <w:shd w:val="clear" w:color="auto" w:fill="auto"/>
          </w:tcPr>
          <w:p w14:paraId="1B3D4160" w14:textId="77777777" w:rsidR="0002298B" w:rsidRPr="00B0658A" w:rsidRDefault="0002298B" w:rsidP="000A4114">
            <w:pPr>
              <w:spacing w:after="0" w:line="240" w:lineRule="auto"/>
              <w:rPr>
                <w:rFonts w:ascii="Times New Roman" w:hAnsi="Times New Roman"/>
                <w:i/>
                <w:iCs/>
                <w:sz w:val="20"/>
                <w:szCs w:val="20"/>
              </w:rPr>
            </w:pPr>
            <w:r w:rsidRPr="00B0658A">
              <w:rPr>
                <w:rFonts w:ascii="Times New Roman" w:hAnsi="Times New Roman"/>
                <w:i/>
                <w:iCs/>
                <w:sz w:val="20"/>
                <w:szCs w:val="20"/>
              </w:rPr>
              <w:t>Указывается фактически достигнутое значение показателя использования российского ПО по итогам соответствующего отчетного периода. Данные устанавливаются накопленным итогом с учетом достигнутых результатов в прошлых периодах.</w:t>
            </w:r>
          </w:p>
          <w:p w14:paraId="1801C303" w14:textId="77777777" w:rsidR="0002298B" w:rsidRPr="00B0658A" w:rsidRDefault="0002298B" w:rsidP="000A4114">
            <w:pPr>
              <w:spacing w:after="0" w:line="240" w:lineRule="auto"/>
              <w:rPr>
                <w:rFonts w:ascii="Times New Roman" w:hAnsi="Times New Roman"/>
                <w:i/>
                <w:iCs/>
                <w:sz w:val="20"/>
                <w:szCs w:val="20"/>
              </w:rPr>
            </w:pPr>
            <w:r w:rsidRPr="00B0658A">
              <w:rPr>
                <w:rFonts w:ascii="Times New Roman" w:hAnsi="Times New Roman"/>
                <w:i/>
                <w:iCs/>
                <w:sz w:val="20"/>
                <w:szCs w:val="20"/>
              </w:rPr>
              <w:t>В случае, если для соответствующего показателя ранее было установлено значение «не используется» указывается «не используется»</w:t>
            </w:r>
          </w:p>
        </w:tc>
        <w:tc>
          <w:tcPr>
            <w:tcW w:w="894" w:type="pct"/>
            <w:shd w:val="clear" w:color="auto" w:fill="auto"/>
          </w:tcPr>
          <w:p w14:paraId="16A31A57" w14:textId="77777777" w:rsidR="0002298B" w:rsidRPr="00B0658A" w:rsidRDefault="0002298B" w:rsidP="000A4114">
            <w:pPr>
              <w:spacing w:after="0" w:line="240" w:lineRule="auto"/>
              <w:jc w:val="both"/>
              <w:rPr>
                <w:rFonts w:ascii="Times New Roman" w:hAnsi="Times New Roman"/>
                <w:i/>
                <w:iCs/>
                <w:sz w:val="20"/>
                <w:szCs w:val="20"/>
              </w:rPr>
            </w:pPr>
            <w:r w:rsidRPr="00B0658A">
              <w:rPr>
                <w:rFonts w:ascii="Times New Roman" w:hAnsi="Times New Roman"/>
                <w:i/>
                <w:iCs/>
                <w:sz w:val="20"/>
                <w:szCs w:val="20"/>
              </w:rPr>
              <w:t>Указывается следующая информация:</w:t>
            </w:r>
          </w:p>
          <w:p w14:paraId="0A3643B1" w14:textId="77777777" w:rsidR="0002298B" w:rsidRPr="00B0658A" w:rsidRDefault="0002298B" w:rsidP="000A4114">
            <w:pPr>
              <w:spacing w:after="0" w:line="240" w:lineRule="auto"/>
              <w:jc w:val="both"/>
              <w:rPr>
                <w:rFonts w:ascii="Times New Roman" w:hAnsi="Times New Roman"/>
                <w:i/>
                <w:iCs/>
                <w:sz w:val="20"/>
                <w:szCs w:val="20"/>
              </w:rPr>
            </w:pPr>
            <w:r w:rsidRPr="00B0658A">
              <w:rPr>
                <w:rFonts w:ascii="Times New Roman" w:hAnsi="Times New Roman"/>
                <w:i/>
                <w:iCs/>
                <w:sz w:val="20"/>
                <w:szCs w:val="20"/>
              </w:rPr>
              <w:t>1. Наименование иностранного ПО, которое было замещено;</w:t>
            </w:r>
          </w:p>
          <w:p w14:paraId="5ECF86BC" w14:textId="77777777" w:rsidR="0002298B" w:rsidRPr="00B0658A" w:rsidRDefault="0002298B" w:rsidP="000A4114">
            <w:pPr>
              <w:spacing w:after="0" w:line="240" w:lineRule="auto"/>
              <w:jc w:val="both"/>
              <w:rPr>
                <w:rFonts w:ascii="Times New Roman" w:hAnsi="Times New Roman"/>
                <w:i/>
                <w:iCs/>
                <w:sz w:val="20"/>
                <w:szCs w:val="20"/>
              </w:rPr>
            </w:pPr>
            <w:r w:rsidRPr="00B0658A">
              <w:rPr>
                <w:rFonts w:ascii="Times New Roman" w:hAnsi="Times New Roman"/>
                <w:i/>
                <w:iCs/>
                <w:sz w:val="20"/>
                <w:szCs w:val="20"/>
              </w:rPr>
              <w:t>2. Наименование российского ПО и евразийского ПО (на значимых объектах КИИ), на которое был осуществлен переход, с указанием сведений о номерах записей в едином реестре российского ПО и в едином реестре евразийского ПО соответственно.</w:t>
            </w:r>
          </w:p>
        </w:tc>
      </w:tr>
      <w:tr w:rsidR="00F52FED" w:rsidRPr="00B0658A" w14:paraId="5E4B70D1" w14:textId="77777777" w:rsidTr="004F1366">
        <w:trPr>
          <w:trHeight w:val="170"/>
        </w:trPr>
        <w:tc>
          <w:tcPr>
            <w:tcW w:w="203" w:type="pct"/>
            <w:shd w:val="clear" w:color="auto" w:fill="auto"/>
            <w:vAlign w:val="center"/>
          </w:tcPr>
          <w:p w14:paraId="334DB6C6"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20"/>
                <w:szCs w:val="20"/>
              </w:rPr>
              <w:t>1.2</w:t>
            </w:r>
          </w:p>
        </w:tc>
        <w:tc>
          <w:tcPr>
            <w:tcW w:w="1153" w:type="pct"/>
            <w:shd w:val="clear" w:color="auto" w:fill="auto"/>
            <w:vAlign w:val="center"/>
          </w:tcPr>
          <w:p w14:paraId="47698C51" w14:textId="77777777" w:rsidR="0002298B" w:rsidRPr="00B0658A" w:rsidRDefault="0002298B" w:rsidP="000A4114">
            <w:pPr>
              <w:spacing w:after="0" w:line="240" w:lineRule="auto"/>
              <w:rPr>
                <w:rFonts w:ascii="Times New Roman" w:hAnsi="Times New Roman"/>
                <w:i/>
                <w:iCs/>
                <w:sz w:val="20"/>
                <w:szCs w:val="20"/>
              </w:rPr>
            </w:pPr>
            <w:r w:rsidRPr="00B0658A">
              <w:rPr>
                <w:rFonts w:ascii="Times New Roman" w:hAnsi="Times New Roman"/>
                <w:sz w:val="20"/>
                <w:szCs w:val="20"/>
              </w:rPr>
              <w:t>Встроенное программное обеспечение/ Встроенные системные программы – операционные системы</w:t>
            </w:r>
          </w:p>
        </w:tc>
        <w:tc>
          <w:tcPr>
            <w:tcW w:w="624" w:type="pct"/>
          </w:tcPr>
          <w:p w14:paraId="3738D6B8" w14:textId="77777777" w:rsidR="0002298B" w:rsidRPr="00B0658A" w:rsidRDefault="0002298B" w:rsidP="000A4114">
            <w:pPr>
              <w:spacing w:after="0" w:line="240" w:lineRule="auto"/>
              <w:rPr>
                <w:rFonts w:ascii="Times New Roman" w:hAnsi="Times New Roman"/>
                <w:i/>
                <w:iCs/>
                <w:sz w:val="20"/>
                <w:szCs w:val="20"/>
              </w:rPr>
            </w:pPr>
          </w:p>
        </w:tc>
        <w:tc>
          <w:tcPr>
            <w:tcW w:w="1090" w:type="pct"/>
            <w:shd w:val="clear" w:color="auto" w:fill="auto"/>
          </w:tcPr>
          <w:p w14:paraId="1A921BC6" w14:textId="77777777" w:rsidR="0002298B" w:rsidRPr="00B0658A" w:rsidRDefault="0002298B" w:rsidP="000A4114">
            <w:pPr>
              <w:spacing w:after="0" w:line="240" w:lineRule="auto"/>
              <w:rPr>
                <w:rFonts w:ascii="Times New Roman" w:hAnsi="Times New Roman"/>
                <w:i/>
                <w:iCs/>
                <w:sz w:val="20"/>
                <w:szCs w:val="20"/>
              </w:rPr>
            </w:pPr>
          </w:p>
        </w:tc>
        <w:tc>
          <w:tcPr>
            <w:tcW w:w="1036" w:type="pct"/>
            <w:shd w:val="clear" w:color="auto" w:fill="auto"/>
          </w:tcPr>
          <w:p w14:paraId="724046FB" w14:textId="77777777" w:rsidR="0002298B" w:rsidRPr="00B0658A" w:rsidRDefault="0002298B" w:rsidP="000A4114">
            <w:pPr>
              <w:spacing w:after="0" w:line="240" w:lineRule="auto"/>
              <w:rPr>
                <w:rFonts w:ascii="Times New Roman" w:hAnsi="Times New Roman"/>
                <w:i/>
                <w:iCs/>
                <w:sz w:val="20"/>
                <w:szCs w:val="20"/>
              </w:rPr>
            </w:pPr>
          </w:p>
        </w:tc>
        <w:tc>
          <w:tcPr>
            <w:tcW w:w="894" w:type="pct"/>
            <w:shd w:val="clear" w:color="auto" w:fill="auto"/>
          </w:tcPr>
          <w:p w14:paraId="26EFF309" w14:textId="77777777" w:rsidR="0002298B" w:rsidRPr="00B0658A" w:rsidRDefault="0002298B" w:rsidP="000A4114">
            <w:pPr>
              <w:spacing w:after="0" w:line="240" w:lineRule="auto"/>
              <w:jc w:val="both"/>
              <w:rPr>
                <w:rFonts w:ascii="Times New Roman" w:hAnsi="Times New Roman"/>
                <w:i/>
                <w:iCs/>
                <w:sz w:val="20"/>
                <w:szCs w:val="20"/>
              </w:rPr>
            </w:pPr>
          </w:p>
        </w:tc>
      </w:tr>
      <w:tr w:rsidR="00F52FED" w:rsidRPr="00B0658A" w14:paraId="10EFDF74" w14:textId="77777777" w:rsidTr="004F1366">
        <w:trPr>
          <w:trHeight w:val="170"/>
        </w:trPr>
        <w:tc>
          <w:tcPr>
            <w:tcW w:w="203" w:type="pct"/>
            <w:shd w:val="clear" w:color="auto" w:fill="auto"/>
            <w:vAlign w:val="center"/>
          </w:tcPr>
          <w:p w14:paraId="0F33E5E2"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20"/>
                <w:szCs w:val="20"/>
              </w:rPr>
              <w:t>1.3</w:t>
            </w:r>
          </w:p>
        </w:tc>
        <w:tc>
          <w:tcPr>
            <w:tcW w:w="1153" w:type="pct"/>
            <w:shd w:val="clear" w:color="auto" w:fill="auto"/>
            <w:vAlign w:val="center"/>
          </w:tcPr>
          <w:p w14:paraId="5506CE6A" w14:textId="77777777" w:rsidR="0002298B" w:rsidRPr="00B0658A" w:rsidRDefault="0002298B" w:rsidP="000A4114">
            <w:pPr>
              <w:spacing w:after="0" w:line="240" w:lineRule="auto"/>
              <w:rPr>
                <w:rFonts w:ascii="Times New Roman" w:hAnsi="Times New Roman"/>
                <w:i/>
                <w:iCs/>
                <w:sz w:val="20"/>
                <w:szCs w:val="20"/>
              </w:rPr>
            </w:pPr>
            <w:r w:rsidRPr="00B0658A">
              <w:rPr>
                <w:rFonts w:ascii="Times New Roman" w:hAnsi="Times New Roman"/>
                <w:sz w:val="20"/>
                <w:szCs w:val="20"/>
              </w:rPr>
              <w:t>Встроенное программное обеспечение/ Встроенные прикладные программы</w:t>
            </w:r>
          </w:p>
        </w:tc>
        <w:tc>
          <w:tcPr>
            <w:tcW w:w="624" w:type="pct"/>
          </w:tcPr>
          <w:p w14:paraId="0129A502" w14:textId="77777777" w:rsidR="0002298B" w:rsidRPr="00B0658A" w:rsidRDefault="0002298B" w:rsidP="000A4114">
            <w:pPr>
              <w:spacing w:after="0" w:line="240" w:lineRule="auto"/>
              <w:rPr>
                <w:rFonts w:ascii="Times New Roman" w:hAnsi="Times New Roman"/>
                <w:i/>
                <w:iCs/>
                <w:sz w:val="20"/>
                <w:szCs w:val="20"/>
              </w:rPr>
            </w:pPr>
          </w:p>
        </w:tc>
        <w:tc>
          <w:tcPr>
            <w:tcW w:w="1090" w:type="pct"/>
            <w:shd w:val="clear" w:color="auto" w:fill="auto"/>
          </w:tcPr>
          <w:p w14:paraId="35ABF1CD" w14:textId="77777777" w:rsidR="0002298B" w:rsidRPr="00B0658A" w:rsidRDefault="0002298B" w:rsidP="000A4114">
            <w:pPr>
              <w:spacing w:after="0" w:line="240" w:lineRule="auto"/>
              <w:rPr>
                <w:rFonts w:ascii="Times New Roman" w:hAnsi="Times New Roman"/>
                <w:i/>
                <w:iCs/>
                <w:sz w:val="20"/>
                <w:szCs w:val="20"/>
              </w:rPr>
            </w:pPr>
          </w:p>
        </w:tc>
        <w:tc>
          <w:tcPr>
            <w:tcW w:w="1036" w:type="pct"/>
            <w:shd w:val="clear" w:color="auto" w:fill="auto"/>
          </w:tcPr>
          <w:p w14:paraId="20682888" w14:textId="77777777" w:rsidR="0002298B" w:rsidRPr="00B0658A" w:rsidRDefault="0002298B" w:rsidP="000A4114">
            <w:pPr>
              <w:spacing w:after="0" w:line="240" w:lineRule="auto"/>
              <w:rPr>
                <w:rFonts w:ascii="Times New Roman" w:hAnsi="Times New Roman"/>
                <w:i/>
                <w:iCs/>
                <w:sz w:val="20"/>
                <w:szCs w:val="20"/>
              </w:rPr>
            </w:pPr>
          </w:p>
        </w:tc>
        <w:tc>
          <w:tcPr>
            <w:tcW w:w="894" w:type="pct"/>
            <w:shd w:val="clear" w:color="auto" w:fill="auto"/>
          </w:tcPr>
          <w:p w14:paraId="56E7AD4A" w14:textId="77777777" w:rsidR="0002298B" w:rsidRPr="00B0658A" w:rsidRDefault="0002298B" w:rsidP="000A4114">
            <w:pPr>
              <w:spacing w:after="0" w:line="240" w:lineRule="auto"/>
              <w:jc w:val="both"/>
              <w:rPr>
                <w:rFonts w:ascii="Times New Roman" w:hAnsi="Times New Roman"/>
                <w:i/>
                <w:iCs/>
                <w:sz w:val="20"/>
                <w:szCs w:val="20"/>
              </w:rPr>
            </w:pPr>
          </w:p>
        </w:tc>
      </w:tr>
      <w:tr w:rsidR="00F52FED" w:rsidRPr="00B0658A" w14:paraId="421DB448" w14:textId="77777777" w:rsidTr="004F1366">
        <w:trPr>
          <w:trHeight w:val="170"/>
        </w:trPr>
        <w:tc>
          <w:tcPr>
            <w:tcW w:w="203" w:type="pct"/>
            <w:shd w:val="clear" w:color="auto" w:fill="auto"/>
            <w:vAlign w:val="center"/>
          </w:tcPr>
          <w:p w14:paraId="5D5C2A5F"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20"/>
                <w:szCs w:val="20"/>
              </w:rPr>
              <w:t>1.4</w:t>
            </w:r>
          </w:p>
        </w:tc>
        <w:tc>
          <w:tcPr>
            <w:tcW w:w="1153" w:type="pct"/>
            <w:shd w:val="clear" w:color="auto" w:fill="auto"/>
            <w:vAlign w:val="center"/>
          </w:tcPr>
          <w:p w14:paraId="33D2786C" w14:textId="77777777" w:rsidR="0002298B" w:rsidRPr="00B0658A" w:rsidRDefault="0002298B" w:rsidP="000A4114">
            <w:pPr>
              <w:spacing w:after="0" w:line="240" w:lineRule="auto"/>
              <w:rPr>
                <w:rFonts w:ascii="Times New Roman" w:hAnsi="Times New Roman"/>
                <w:i/>
                <w:iCs/>
                <w:sz w:val="20"/>
                <w:szCs w:val="20"/>
              </w:rPr>
            </w:pPr>
            <w:r w:rsidRPr="00B0658A">
              <w:rPr>
                <w:rFonts w:ascii="Times New Roman" w:hAnsi="Times New Roman"/>
                <w:sz w:val="20"/>
                <w:szCs w:val="20"/>
              </w:rPr>
              <w:t>Встроенное программное обеспечение/ Программное обеспечение интернета вещей, робототехники и сенсорики</w:t>
            </w:r>
          </w:p>
        </w:tc>
        <w:tc>
          <w:tcPr>
            <w:tcW w:w="624" w:type="pct"/>
          </w:tcPr>
          <w:p w14:paraId="2C628F04" w14:textId="77777777" w:rsidR="0002298B" w:rsidRPr="00B0658A" w:rsidRDefault="0002298B" w:rsidP="000A4114">
            <w:pPr>
              <w:spacing w:after="0" w:line="240" w:lineRule="auto"/>
              <w:rPr>
                <w:rFonts w:ascii="Times New Roman" w:hAnsi="Times New Roman"/>
                <w:i/>
                <w:iCs/>
                <w:sz w:val="20"/>
                <w:szCs w:val="20"/>
              </w:rPr>
            </w:pPr>
          </w:p>
        </w:tc>
        <w:tc>
          <w:tcPr>
            <w:tcW w:w="1090" w:type="pct"/>
            <w:shd w:val="clear" w:color="auto" w:fill="auto"/>
          </w:tcPr>
          <w:p w14:paraId="5C1566BE" w14:textId="77777777" w:rsidR="0002298B" w:rsidRPr="00B0658A" w:rsidRDefault="0002298B" w:rsidP="000A4114">
            <w:pPr>
              <w:spacing w:after="0" w:line="240" w:lineRule="auto"/>
              <w:rPr>
                <w:rFonts w:ascii="Times New Roman" w:hAnsi="Times New Roman"/>
                <w:i/>
                <w:iCs/>
                <w:sz w:val="20"/>
                <w:szCs w:val="20"/>
              </w:rPr>
            </w:pPr>
          </w:p>
        </w:tc>
        <w:tc>
          <w:tcPr>
            <w:tcW w:w="1036" w:type="pct"/>
            <w:shd w:val="clear" w:color="auto" w:fill="auto"/>
          </w:tcPr>
          <w:p w14:paraId="3C135C24" w14:textId="77777777" w:rsidR="0002298B" w:rsidRPr="00B0658A" w:rsidRDefault="0002298B" w:rsidP="000A4114">
            <w:pPr>
              <w:spacing w:after="0" w:line="240" w:lineRule="auto"/>
              <w:rPr>
                <w:rFonts w:ascii="Times New Roman" w:hAnsi="Times New Roman"/>
                <w:i/>
                <w:iCs/>
                <w:sz w:val="20"/>
                <w:szCs w:val="20"/>
              </w:rPr>
            </w:pPr>
          </w:p>
        </w:tc>
        <w:tc>
          <w:tcPr>
            <w:tcW w:w="894" w:type="pct"/>
            <w:shd w:val="clear" w:color="auto" w:fill="auto"/>
          </w:tcPr>
          <w:p w14:paraId="4DC2B81B" w14:textId="77777777" w:rsidR="0002298B" w:rsidRPr="00B0658A" w:rsidRDefault="0002298B" w:rsidP="000A4114">
            <w:pPr>
              <w:spacing w:after="0" w:line="240" w:lineRule="auto"/>
              <w:jc w:val="both"/>
              <w:rPr>
                <w:rFonts w:ascii="Times New Roman" w:hAnsi="Times New Roman"/>
                <w:i/>
                <w:iCs/>
                <w:sz w:val="20"/>
                <w:szCs w:val="20"/>
              </w:rPr>
            </w:pPr>
          </w:p>
        </w:tc>
      </w:tr>
      <w:tr w:rsidR="00F52FED" w:rsidRPr="00B0658A" w14:paraId="36426682" w14:textId="77777777" w:rsidTr="004F1366">
        <w:trPr>
          <w:trHeight w:val="170"/>
        </w:trPr>
        <w:tc>
          <w:tcPr>
            <w:tcW w:w="203" w:type="pct"/>
            <w:shd w:val="clear" w:color="auto" w:fill="auto"/>
            <w:vAlign w:val="center"/>
          </w:tcPr>
          <w:p w14:paraId="089A0B25"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20"/>
                <w:szCs w:val="20"/>
              </w:rPr>
              <w:t>2.1</w:t>
            </w:r>
          </w:p>
        </w:tc>
        <w:tc>
          <w:tcPr>
            <w:tcW w:w="1153" w:type="pct"/>
            <w:shd w:val="clear" w:color="auto" w:fill="auto"/>
            <w:vAlign w:val="center"/>
          </w:tcPr>
          <w:p w14:paraId="18AA4DE1" w14:textId="77777777" w:rsidR="0002298B" w:rsidRPr="00B0658A" w:rsidRDefault="0002298B" w:rsidP="000A4114">
            <w:pPr>
              <w:spacing w:after="0" w:line="240" w:lineRule="auto"/>
              <w:rPr>
                <w:rFonts w:ascii="Times New Roman" w:hAnsi="Times New Roman"/>
                <w:i/>
                <w:iCs/>
                <w:sz w:val="20"/>
                <w:szCs w:val="20"/>
              </w:rPr>
            </w:pPr>
            <w:r w:rsidRPr="00B0658A">
              <w:rPr>
                <w:rFonts w:ascii="Times New Roman" w:hAnsi="Times New Roman"/>
                <w:sz w:val="20"/>
                <w:szCs w:val="20"/>
              </w:rPr>
              <w:t>Системное программное обеспечение/ Драйверы</w:t>
            </w:r>
          </w:p>
        </w:tc>
        <w:tc>
          <w:tcPr>
            <w:tcW w:w="624" w:type="pct"/>
          </w:tcPr>
          <w:p w14:paraId="587A767F" w14:textId="77777777" w:rsidR="0002298B" w:rsidRPr="00B0658A" w:rsidRDefault="0002298B" w:rsidP="000A4114">
            <w:pPr>
              <w:spacing w:after="0" w:line="240" w:lineRule="auto"/>
              <w:rPr>
                <w:rFonts w:ascii="Times New Roman" w:hAnsi="Times New Roman"/>
                <w:i/>
                <w:iCs/>
                <w:sz w:val="20"/>
                <w:szCs w:val="20"/>
              </w:rPr>
            </w:pPr>
          </w:p>
        </w:tc>
        <w:tc>
          <w:tcPr>
            <w:tcW w:w="1090" w:type="pct"/>
            <w:shd w:val="clear" w:color="auto" w:fill="auto"/>
          </w:tcPr>
          <w:p w14:paraId="6D20C418" w14:textId="77777777" w:rsidR="0002298B" w:rsidRPr="00B0658A" w:rsidRDefault="0002298B" w:rsidP="000A4114">
            <w:pPr>
              <w:spacing w:after="0" w:line="240" w:lineRule="auto"/>
              <w:rPr>
                <w:rFonts w:ascii="Times New Roman" w:hAnsi="Times New Roman"/>
                <w:i/>
                <w:iCs/>
                <w:sz w:val="20"/>
                <w:szCs w:val="20"/>
              </w:rPr>
            </w:pPr>
          </w:p>
        </w:tc>
        <w:tc>
          <w:tcPr>
            <w:tcW w:w="1036" w:type="pct"/>
            <w:shd w:val="clear" w:color="auto" w:fill="auto"/>
          </w:tcPr>
          <w:p w14:paraId="1D0FC462" w14:textId="77777777" w:rsidR="0002298B" w:rsidRPr="00B0658A" w:rsidRDefault="0002298B" w:rsidP="000A4114">
            <w:pPr>
              <w:spacing w:after="0" w:line="240" w:lineRule="auto"/>
              <w:rPr>
                <w:rFonts w:ascii="Times New Roman" w:hAnsi="Times New Roman"/>
                <w:i/>
                <w:iCs/>
                <w:sz w:val="20"/>
                <w:szCs w:val="20"/>
              </w:rPr>
            </w:pPr>
          </w:p>
        </w:tc>
        <w:tc>
          <w:tcPr>
            <w:tcW w:w="894" w:type="pct"/>
            <w:shd w:val="clear" w:color="auto" w:fill="auto"/>
          </w:tcPr>
          <w:p w14:paraId="00ED9A3A" w14:textId="77777777" w:rsidR="0002298B" w:rsidRPr="00B0658A" w:rsidRDefault="0002298B" w:rsidP="000A4114">
            <w:pPr>
              <w:spacing w:after="0" w:line="240" w:lineRule="auto"/>
              <w:jc w:val="both"/>
              <w:rPr>
                <w:rFonts w:ascii="Times New Roman" w:hAnsi="Times New Roman"/>
                <w:i/>
                <w:iCs/>
                <w:sz w:val="20"/>
                <w:szCs w:val="20"/>
              </w:rPr>
            </w:pPr>
          </w:p>
        </w:tc>
      </w:tr>
      <w:tr w:rsidR="00F52FED" w:rsidRPr="00B0658A" w14:paraId="37D7F89A" w14:textId="77777777" w:rsidTr="004F1366">
        <w:trPr>
          <w:trHeight w:val="170"/>
        </w:trPr>
        <w:tc>
          <w:tcPr>
            <w:tcW w:w="203" w:type="pct"/>
            <w:shd w:val="clear" w:color="auto" w:fill="auto"/>
            <w:vAlign w:val="center"/>
          </w:tcPr>
          <w:p w14:paraId="2C634EFD"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20"/>
                <w:szCs w:val="20"/>
              </w:rPr>
              <w:t>2.2</w:t>
            </w:r>
          </w:p>
        </w:tc>
        <w:tc>
          <w:tcPr>
            <w:tcW w:w="1153" w:type="pct"/>
            <w:shd w:val="clear" w:color="auto" w:fill="auto"/>
            <w:vAlign w:val="center"/>
          </w:tcPr>
          <w:p w14:paraId="78DA02F8" w14:textId="77777777" w:rsidR="0002298B" w:rsidRPr="00B0658A" w:rsidRDefault="0002298B" w:rsidP="000A4114">
            <w:pPr>
              <w:spacing w:after="0" w:line="240" w:lineRule="auto"/>
              <w:rPr>
                <w:rFonts w:ascii="Times New Roman" w:hAnsi="Times New Roman"/>
                <w:i/>
                <w:iCs/>
                <w:sz w:val="20"/>
                <w:szCs w:val="20"/>
              </w:rPr>
            </w:pPr>
            <w:r w:rsidRPr="00B0658A">
              <w:rPr>
                <w:rFonts w:ascii="Times New Roman" w:hAnsi="Times New Roman"/>
                <w:sz w:val="20"/>
                <w:szCs w:val="20"/>
              </w:rPr>
              <w:t>Системное программное обеспечение/ Программы обслуживания</w:t>
            </w:r>
          </w:p>
        </w:tc>
        <w:tc>
          <w:tcPr>
            <w:tcW w:w="624" w:type="pct"/>
          </w:tcPr>
          <w:p w14:paraId="5EB0D3BC" w14:textId="77777777" w:rsidR="0002298B" w:rsidRPr="00B0658A" w:rsidRDefault="0002298B" w:rsidP="000A4114">
            <w:pPr>
              <w:spacing w:after="0" w:line="240" w:lineRule="auto"/>
              <w:rPr>
                <w:rFonts w:ascii="Times New Roman" w:hAnsi="Times New Roman"/>
                <w:i/>
                <w:iCs/>
                <w:sz w:val="20"/>
                <w:szCs w:val="20"/>
              </w:rPr>
            </w:pPr>
          </w:p>
        </w:tc>
        <w:tc>
          <w:tcPr>
            <w:tcW w:w="1090" w:type="pct"/>
            <w:shd w:val="clear" w:color="auto" w:fill="auto"/>
          </w:tcPr>
          <w:p w14:paraId="40B7C603" w14:textId="77777777" w:rsidR="0002298B" w:rsidRPr="00B0658A" w:rsidRDefault="0002298B" w:rsidP="000A4114">
            <w:pPr>
              <w:spacing w:after="0" w:line="240" w:lineRule="auto"/>
              <w:rPr>
                <w:rFonts w:ascii="Times New Roman" w:hAnsi="Times New Roman"/>
                <w:i/>
                <w:iCs/>
                <w:sz w:val="20"/>
                <w:szCs w:val="20"/>
              </w:rPr>
            </w:pPr>
          </w:p>
        </w:tc>
        <w:tc>
          <w:tcPr>
            <w:tcW w:w="1036" w:type="pct"/>
            <w:shd w:val="clear" w:color="auto" w:fill="auto"/>
          </w:tcPr>
          <w:p w14:paraId="65343E73" w14:textId="77777777" w:rsidR="0002298B" w:rsidRPr="00B0658A" w:rsidRDefault="0002298B" w:rsidP="000A4114">
            <w:pPr>
              <w:spacing w:after="0" w:line="240" w:lineRule="auto"/>
              <w:rPr>
                <w:rFonts w:ascii="Times New Roman" w:hAnsi="Times New Roman"/>
                <w:i/>
                <w:iCs/>
                <w:sz w:val="20"/>
                <w:szCs w:val="20"/>
              </w:rPr>
            </w:pPr>
          </w:p>
        </w:tc>
        <w:tc>
          <w:tcPr>
            <w:tcW w:w="894" w:type="pct"/>
            <w:shd w:val="clear" w:color="auto" w:fill="auto"/>
          </w:tcPr>
          <w:p w14:paraId="204CA80F" w14:textId="77777777" w:rsidR="0002298B" w:rsidRPr="00B0658A" w:rsidRDefault="0002298B" w:rsidP="000A4114">
            <w:pPr>
              <w:spacing w:after="0" w:line="240" w:lineRule="auto"/>
              <w:jc w:val="both"/>
              <w:rPr>
                <w:rFonts w:ascii="Times New Roman" w:hAnsi="Times New Roman"/>
                <w:i/>
                <w:iCs/>
                <w:sz w:val="20"/>
                <w:szCs w:val="20"/>
              </w:rPr>
            </w:pPr>
          </w:p>
        </w:tc>
      </w:tr>
      <w:tr w:rsidR="00F52FED" w:rsidRPr="00B0658A" w14:paraId="76F2A3F7" w14:textId="77777777" w:rsidTr="004F1366">
        <w:trPr>
          <w:trHeight w:val="170"/>
        </w:trPr>
        <w:tc>
          <w:tcPr>
            <w:tcW w:w="203" w:type="pct"/>
            <w:shd w:val="clear" w:color="auto" w:fill="auto"/>
            <w:vAlign w:val="center"/>
          </w:tcPr>
          <w:p w14:paraId="73690BC7"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20"/>
                <w:szCs w:val="20"/>
                <w:lang w:val="en-US"/>
              </w:rPr>
              <w:t>2.3</w:t>
            </w:r>
          </w:p>
        </w:tc>
        <w:tc>
          <w:tcPr>
            <w:tcW w:w="1153" w:type="pct"/>
            <w:shd w:val="clear" w:color="auto" w:fill="auto"/>
            <w:vAlign w:val="center"/>
          </w:tcPr>
          <w:p w14:paraId="1FF5B759" w14:textId="77777777" w:rsidR="0002298B" w:rsidRPr="00B0658A" w:rsidRDefault="0002298B" w:rsidP="000A4114">
            <w:pPr>
              <w:spacing w:after="0" w:line="240" w:lineRule="auto"/>
              <w:rPr>
                <w:rFonts w:ascii="Times New Roman" w:hAnsi="Times New Roman"/>
                <w:i/>
                <w:iCs/>
                <w:sz w:val="20"/>
                <w:szCs w:val="20"/>
              </w:rPr>
            </w:pPr>
            <w:r w:rsidRPr="00B0658A">
              <w:rPr>
                <w:rFonts w:ascii="Times New Roman" w:hAnsi="Times New Roman"/>
                <w:sz w:val="20"/>
                <w:szCs w:val="20"/>
              </w:rPr>
              <w:t>Средства обеспечения облачных и распределенных вычислений</w:t>
            </w:r>
          </w:p>
        </w:tc>
        <w:tc>
          <w:tcPr>
            <w:tcW w:w="624" w:type="pct"/>
          </w:tcPr>
          <w:p w14:paraId="30879418" w14:textId="77777777" w:rsidR="0002298B" w:rsidRPr="00B0658A" w:rsidRDefault="0002298B" w:rsidP="000A4114">
            <w:pPr>
              <w:spacing w:after="0" w:line="240" w:lineRule="auto"/>
              <w:rPr>
                <w:rFonts w:ascii="Times New Roman" w:hAnsi="Times New Roman"/>
                <w:i/>
                <w:iCs/>
                <w:sz w:val="20"/>
                <w:szCs w:val="20"/>
              </w:rPr>
            </w:pPr>
          </w:p>
        </w:tc>
        <w:tc>
          <w:tcPr>
            <w:tcW w:w="1090" w:type="pct"/>
            <w:shd w:val="clear" w:color="auto" w:fill="auto"/>
          </w:tcPr>
          <w:p w14:paraId="5C49307D" w14:textId="77777777" w:rsidR="0002298B" w:rsidRPr="00B0658A" w:rsidRDefault="0002298B" w:rsidP="000A4114">
            <w:pPr>
              <w:spacing w:after="0" w:line="240" w:lineRule="auto"/>
              <w:rPr>
                <w:rFonts w:ascii="Times New Roman" w:hAnsi="Times New Roman"/>
                <w:i/>
                <w:iCs/>
                <w:sz w:val="20"/>
                <w:szCs w:val="20"/>
              </w:rPr>
            </w:pPr>
          </w:p>
        </w:tc>
        <w:tc>
          <w:tcPr>
            <w:tcW w:w="1036" w:type="pct"/>
            <w:shd w:val="clear" w:color="auto" w:fill="auto"/>
          </w:tcPr>
          <w:p w14:paraId="7ED60818" w14:textId="77777777" w:rsidR="0002298B" w:rsidRPr="00B0658A" w:rsidRDefault="0002298B" w:rsidP="000A4114">
            <w:pPr>
              <w:spacing w:after="0" w:line="240" w:lineRule="auto"/>
              <w:rPr>
                <w:rFonts w:ascii="Times New Roman" w:hAnsi="Times New Roman"/>
                <w:i/>
                <w:iCs/>
                <w:sz w:val="20"/>
                <w:szCs w:val="20"/>
              </w:rPr>
            </w:pPr>
          </w:p>
        </w:tc>
        <w:tc>
          <w:tcPr>
            <w:tcW w:w="894" w:type="pct"/>
            <w:shd w:val="clear" w:color="auto" w:fill="auto"/>
          </w:tcPr>
          <w:p w14:paraId="74017501" w14:textId="77777777" w:rsidR="0002298B" w:rsidRPr="00B0658A" w:rsidRDefault="0002298B" w:rsidP="000A4114">
            <w:pPr>
              <w:spacing w:after="0" w:line="240" w:lineRule="auto"/>
              <w:jc w:val="both"/>
              <w:rPr>
                <w:rFonts w:ascii="Times New Roman" w:hAnsi="Times New Roman"/>
                <w:i/>
                <w:iCs/>
                <w:sz w:val="20"/>
                <w:szCs w:val="20"/>
              </w:rPr>
            </w:pPr>
          </w:p>
        </w:tc>
      </w:tr>
      <w:tr w:rsidR="00F52FED" w:rsidRPr="00B0658A" w14:paraId="1DDEABF2" w14:textId="77777777" w:rsidTr="004F1366">
        <w:trPr>
          <w:trHeight w:val="170"/>
        </w:trPr>
        <w:tc>
          <w:tcPr>
            <w:tcW w:w="203" w:type="pct"/>
            <w:shd w:val="clear" w:color="auto" w:fill="auto"/>
            <w:vAlign w:val="center"/>
          </w:tcPr>
          <w:p w14:paraId="55893DA1"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20"/>
                <w:szCs w:val="20"/>
              </w:rPr>
              <w:t>2.4</w:t>
            </w:r>
          </w:p>
        </w:tc>
        <w:tc>
          <w:tcPr>
            <w:tcW w:w="1153" w:type="pct"/>
            <w:shd w:val="clear" w:color="auto" w:fill="auto"/>
            <w:vAlign w:val="center"/>
          </w:tcPr>
          <w:p w14:paraId="0D0E2FEB" w14:textId="77777777" w:rsidR="0002298B" w:rsidRPr="00B0658A" w:rsidRDefault="0002298B" w:rsidP="000A4114">
            <w:pPr>
              <w:spacing w:after="0" w:line="240" w:lineRule="auto"/>
              <w:rPr>
                <w:rFonts w:ascii="Times New Roman" w:hAnsi="Times New Roman"/>
                <w:i/>
                <w:iCs/>
                <w:sz w:val="20"/>
                <w:szCs w:val="20"/>
              </w:rPr>
            </w:pPr>
            <w:r w:rsidRPr="00B0658A">
              <w:rPr>
                <w:rFonts w:ascii="Times New Roman" w:hAnsi="Times New Roman"/>
                <w:sz w:val="20"/>
                <w:szCs w:val="20"/>
              </w:rPr>
              <w:t>Системное программное обеспечение / Средства виртуализации</w:t>
            </w:r>
          </w:p>
        </w:tc>
        <w:tc>
          <w:tcPr>
            <w:tcW w:w="624" w:type="pct"/>
          </w:tcPr>
          <w:p w14:paraId="74510975" w14:textId="77777777" w:rsidR="0002298B" w:rsidRPr="00B0658A" w:rsidRDefault="0002298B" w:rsidP="000A4114">
            <w:pPr>
              <w:spacing w:after="0" w:line="240" w:lineRule="auto"/>
              <w:rPr>
                <w:rFonts w:ascii="Times New Roman" w:hAnsi="Times New Roman"/>
                <w:i/>
                <w:iCs/>
                <w:sz w:val="20"/>
                <w:szCs w:val="20"/>
              </w:rPr>
            </w:pPr>
          </w:p>
        </w:tc>
        <w:tc>
          <w:tcPr>
            <w:tcW w:w="1090" w:type="pct"/>
            <w:shd w:val="clear" w:color="auto" w:fill="auto"/>
          </w:tcPr>
          <w:p w14:paraId="63E4CB75" w14:textId="77777777" w:rsidR="0002298B" w:rsidRPr="00B0658A" w:rsidRDefault="0002298B" w:rsidP="000A4114">
            <w:pPr>
              <w:spacing w:after="0" w:line="240" w:lineRule="auto"/>
              <w:rPr>
                <w:rFonts w:ascii="Times New Roman" w:hAnsi="Times New Roman"/>
                <w:i/>
                <w:iCs/>
                <w:sz w:val="20"/>
                <w:szCs w:val="20"/>
              </w:rPr>
            </w:pPr>
          </w:p>
        </w:tc>
        <w:tc>
          <w:tcPr>
            <w:tcW w:w="1036" w:type="pct"/>
            <w:shd w:val="clear" w:color="auto" w:fill="auto"/>
          </w:tcPr>
          <w:p w14:paraId="5B5E2E61" w14:textId="77777777" w:rsidR="0002298B" w:rsidRPr="00B0658A" w:rsidRDefault="0002298B" w:rsidP="000A4114">
            <w:pPr>
              <w:spacing w:after="0" w:line="240" w:lineRule="auto"/>
              <w:rPr>
                <w:rFonts w:ascii="Times New Roman" w:hAnsi="Times New Roman"/>
                <w:i/>
                <w:iCs/>
                <w:sz w:val="20"/>
                <w:szCs w:val="20"/>
              </w:rPr>
            </w:pPr>
          </w:p>
        </w:tc>
        <w:tc>
          <w:tcPr>
            <w:tcW w:w="894" w:type="pct"/>
            <w:shd w:val="clear" w:color="auto" w:fill="auto"/>
          </w:tcPr>
          <w:p w14:paraId="47262823" w14:textId="77777777" w:rsidR="0002298B" w:rsidRPr="00B0658A" w:rsidRDefault="0002298B" w:rsidP="000A4114">
            <w:pPr>
              <w:spacing w:after="0" w:line="240" w:lineRule="auto"/>
              <w:jc w:val="both"/>
              <w:rPr>
                <w:rFonts w:ascii="Times New Roman" w:hAnsi="Times New Roman"/>
                <w:i/>
                <w:iCs/>
                <w:sz w:val="20"/>
                <w:szCs w:val="20"/>
              </w:rPr>
            </w:pPr>
          </w:p>
        </w:tc>
      </w:tr>
      <w:tr w:rsidR="00F52FED" w:rsidRPr="00B0658A" w14:paraId="0B92059E" w14:textId="77777777" w:rsidTr="004F1366">
        <w:trPr>
          <w:trHeight w:val="170"/>
        </w:trPr>
        <w:tc>
          <w:tcPr>
            <w:tcW w:w="203" w:type="pct"/>
            <w:shd w:val="clear" w:color="auto" w:fill="auto"/>
            <w:vAlign w:val="center"/>
          </w:tcPr>
          <w:p w14:paraId="0277259B"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20"/>
                <w:szCs w:val="20"/>
              </w:rPr>
              <w:t>2.5</w:t>
            </w:r>
          </w:p>
        </w:tc>
        <w:tc>
          <w:tcPr>
            <w:tcW w:w="1153" w:type="pct"/>
            <w:shd w:val="clear" w:color="auto" w:fill="auto"/>
            <w:vAlign w:val="center"/>
          </w:tcPr>
          <w:p w14:paraId="2FEA51C0" w14:textId="77777777" w:rsidR="0002298B" w:rsidRPr="00B0658A" w:rsidRDefault="0002298B" w:rsidP="000A4114">
            <w:pPr>
              <w:spacing w:after="0" w:line="240" w:lineRule="auto"/>
              <w:rPr>
                <w:rFonts w:ascii="Times New Roman" w:hAnsi="Times New Roman"/>
                <w:i/>
                <w:iCs/>
                <w:sz w:val="20"/>
                <w:szCs w:val="20"/>
              </w:rPr>
            </w:pPr>
            <w:r w:rsidRPr="00B0658A">
              <w:rPr>
                <w:rFonts w:ascii="Times New Roman" w:hAnsi="Times New Roman"/>
                <w:sz w:val="20"/>
                <w:szCs w:val="20"/>
              </w:rPr>
              <w:t>Системное программное обеспечение/ Средства хранения данных</w:t>
            </w:r>
          </w:p>
        </w:tc>
        <w:tc>
          <w:tcPr>
            <w:tcW w:w="624" w:type="pct"/>
          </w:tcPr>
          <w:p w14:paraId="4B4EED32" w14:textId="77777777" w:rsidR="0002298B" w:rsidRPr="00B0658A" w:rsidRDefault="0002298B" w:rsidP="000A4114">
            <w:pPr>
              <w:spacing w:after="0" w:line="240" w:lineRule="auto"/>
              <w:rPr>
                <w:rFonts w:ascii="Times New Roman" w:hAnsi="Times New Roman"/>
                <w:i/>
                <w:iCs/>
                <w:sz w:val="20"/>
                <w:szCs w:val="20"/>
              </w:rPr>
            </w:pPr>
          </w:p>
        </w:tc>
        <w:tc>
          <w:tcPr>
            <w:tcW w:w="1090" w:type="pct"/>
            <w:shd w:val="clear" w:color="auto" w:fill="auto"/>
          </w:tcPr>
          <w:p w14:paraId="2DEE7BB8" w14:textId="77777777" w:rsidR="0002298B" w:rsidRPr="00B0658A" w:rsidRDefault="0002298B" w:rsidP="000A4114">
            <w:pPr>
              <w:spacing w:after="0" w:line="240" w:lineRule="auto"/>
              <w:rPr>
                <w:rFonts w:ascii="Times New Roman" w:hAnsi="Times New Roman"/>
                <w:i/>
                <w:iCs/>
                <w:sz w:val="20"/>
                <w:szCs w:val="20"/>
              </w:rPr>
            </w:pPr>
          </w:p>
        </w:tc>
        <w:tc>
          <w:tcPr>
            <w:tcW w:w="1036" w:type="pct"/>
            <w:shd w:val="clear" w:color="auto" w:fill="auto"/>
          </w:tcPr>
          <w:p w14:paraId="310D128B" w14:textId="77777777" w:rsidR="0002298B" w:rsidRPr="00B0658A" w:rsidRDefault="0002298B" w:rsidP="000A4114">
            <w:pPr>
              <w:spacing w:after="0" w:line="240" w:lineRule="auto"/>
              <w:rPr>
                <w:rFonts w:ascii="Times New Roman" w:hAnsi="Times New Roman"/>
                <w:i/>
                <w:iCs/>
                <w:sz w:val="20"/>
                <w:szCs w:val="20"/>
              </w:rPr>
            </w:pPr>
          </w:p>
        </w:tc>
        <w:tc>
          <w:tcPr>
            <w:tcW w:w="894" w:type="pct"/>
            <w:shd w:val="clear" w:color="auto" w:fill="auto"/>
          </w:tcPr>
          <w:p w14:paraId="5D8D2A06" w14:textId="77777777" w:rsidR="0002298B" w:rsidRPr="00B0658A" w:rsidRDefault="0002298B" w:rsidP="000A4114">
            <w:pPr>
              <w:spacing w:after="0" w:line="240" w:lineRule="auto"/>
              <w:jc w:val="both"/>
              <w:rPr>
                <w:rFonts w:ascii="Times New Roman" w:hAnsi="Times New Roman"/>
                <w:i/>
                <w:iCs/>
                <w:sz w:val="20"/>
                <w:szCs w:val="20"/>
              </w:rPr>
            </w:pPr>
          </w:p>
        </w:tc>
      </w:tr>
      <w:tr w:rsidR="00F52FED" w:rsidRPr="00B0658A" w14:paraId="47E776C6" w14:textId="77777777" w:rsidTr="004F1366">
        <w:trPr>
          <w:trHeight w:val="170"/>
        </w:trPr>
        <w:tc>
          <w:tcPr>
            <w:tcW w:w="203" w:type="pct"/>
            <w:shd w:val="clear" w:color="auto" w:fill="auto"/>
            <w:vAlign w:val="center"/>
          </w:tcPr>
          <w:p w14:paraId="7BEE4547"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20"/>
                <w:szCs w:val="20"/>
              </w:rPr>
              <w:t>2.6</w:t>
            </w:r>
          </w:p>
        </w:tc>
        <w:tc>
          <w:tcPr>
            <w:tcW w:w="1153" w:type="pct"/>
            <w:shd w:val="clear" w:color="auto" w:fill="auto"/>
            <w:vAlign w:val="center"/>
          </w:tcPr>
          <w:p w14:paraId="7EE4AE8C" w14:textId="77777777" w:rsidR="0002298B" w:rsidRPr="00B0658A" w:rsidRDefault="0002298B" w:rsidP="000A4114">
            <w:pPr>
              <w:spacing w:after="0" w:line="240" w:lineRule="auto"/>
              <w:rPr>
                <w:rFonts w:ascii="Times New Roman" w:hAnsi="Times New Roman"/>
                <w:i/>
                <w:iCs/>
                <w:sz w:val="20"/>
                <w:szCs w:val="20"/>
              </w:rPr>
            </w:pPr>
            <w:r w:rsidRPr="00B0658A">
              <w:rPr>
                <w:rFonts w:ascii="Times New Roman" w:hAnsi="Times New Roman"/>
                <w:sz w:val="20"/>
                <w:szCs w:val="20"/>
              </w:rPr>
              <w:t>Системное программное обеспечение / Серверное и связующее программное обеспечение</w:t>
            </w:r>
          </w:p>
        </w:tc>
        <w:tc>
          <w:tcPr>
            <w:tcW w:w="624" w:type="pct"/>
          </w:tcPr>
          <w:p w14:paraId="26093782" w14:textId="77777777" w:rsidR="0002298B" w:rsidRPr="00B0658A" w:rsidRDefault="0002298B" w:rsidP="000A4114">
            <w:pPr>
              <w:spacing w:after="0" w:line="240" w:lineRule="auto"/>
              <w:rPr>
                <w:rFonts w:ascii="Times New Roman" w:hAnsi="Times New Roman"/>
                <w:i/>
                <w:iCs/>
                <w:sz w:val="20"/>
                <w:szCs w:val="20"/>
              </w:rPr>
            </w:pPr>
          </w:p>
        </w:tc>
        <w:tc>
          <w:tcPr>
            <w:tcW w:w="1090" w:type="pct"/>
            <w:shd w:val="clear" w:color="auto" w:fill="auto"/>
          </w:tcPr>
          <w:p w14:paraId="4AA33970" w14:textId="77777777" w:rsidR="0002298B" w:rsidRPr="00B0658A" w:rsidRDefault="0002298B" w:rsidP="000A4114">
            <w:pPr>
              <w:spacing w:after="0" w:line="240" w:lineRule="auto"/>
              <w:rPr>
                <w:rFonts w:ascii="Times New Roman" w:hAnsi="Times New Roman"/>
                <w:i/>
                <w:iCs/>
                <w:sz w:val="20"/>
                <w:szCs w:val="20"/>
              </w:rPr>
            </w:pPr>
          </w:p>
        </w:tc>
        <w:tc>
          <w:tcPr>
            <w:tcW w:w="1036" w:type="pct"/>
            <w:shd w:val="clear" w:color="auto" w:fill="auto"/>
          </w:tcPr>
          <w:p w14:paraId="72DF54E7" w14:textId="77777777" w:rsidR="0002298B" w:rsidRPr="00B0658A" w:rsidRDefault="0002298B" w:rsidP="000A4114">
            <w:pPr>
              <w:spacing w:after="0" w:line="240" w:lineRule="auto"/>
              <w:rPr>
                <w:rFonts w:ascii="Times New Roman" w:hAnsi="Times New Roman"/>
                <w:i/>
                <w:iCs/>
                <w:sz w:val="20"/>
                <w:szCs w:val="20"/>
              </w:rPr>
            </w:pPr>
          </w:p>
        </w:tc>
        <w:tc>
          <w:tcPr>
            <w:tcW w:w="894" w:type="pct"/>
            <w:shd w:val="clear" w:color="auto" w:fill="auto"/>
          </w:tcPr>
          <w:p w14:paraId="7CC90C3D" w14:textId="77777777" w:rsidR="0002298B" w:rsidRPr="00B0658A" w:rsidRDefault="0002298B" w:rsidP="000A4114">
            <w:pPr>
              <w:spacing w:after="0" w:line="240" w:lineRule="auto"/>
              <w:jc w:val="both"/>
              <w:rPr>
                <w:rFonts w:ascii="Times New Roman" w:hAnsi="Times New Roman"/>
                <w:i/>
                <w:iCs/>
                <w:sz w:val="20"/>
                <w:szCs w:val="20"/>
              </w:rPr>
            </w:pPr>
          </w:p>
        </w:tc>
      </w:tr>
      <w:tr w:rsidR="00F52FED" w:rsidRPr="00B0658A" w14:paraId="3748B208" w14:textId="77777777" w:rsidTr="004F1366">
        <w:trPr>
          <w:trHeight w:val="170"/>
        </w:trPr>
        <w:tc>
          <w:tcPr>
            <w:tcW w:w="203" w:type="pct"/>
            <w:shd w:val="clear" w:color="auto" w:fill="auto"/>
            <w:vAlign w:val="center"/>
          </w:tcPr>
          <w:p w14:paraId="15C45217"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20"/>
                <w:szCs w:val="20"/>
              </w:rPr>
              <w:t>2.7</w:t>
            </w:r>
          </w:p>
        </w:tc>
        <w:tc>
          <w:tcPr>
            <w:tcW w:w="1153" w:type="pct"/>
            <w:shd w:val="clear" w:color="auto" w:fill="auto"/>
            <w:vAlign w:val="center"/>
          </w:tcPr>
          <w:p w14:paraId="278DECC3" w14:textId="77777777" w:rsidR="0002298B" w:rsidRPr="00B0658A" w:rsidRDefault="0002298B" w:rsidP="000A4114">
            <w:pPr>
              <w:spacing w:after="0" w:line="240" w:lineRule="auto"/>
              <w:rPr>
                <w:rFonts w:ascii="Times New Roman" w:hAnsi="Times New Roman"/>
                <w:i/>
                <w:iCs/>
                <w:sz w:val="20"/>
                <w:szCs w:val="20"/>
              </w:rPr>
            </w:pPr>
            <w:r w:rsidRPr="00B0658A">
              <w:rPr>
                <w:rFonts w:ascii="Times New Roman" w:hAnsi="Times New Roman"/>
                <w:sz w:val="20"/>
                <w:szCs w:val="20"/>
              </w:rPr>
              <w:t>Системное программное обеспечение/ Средства управления базами данных</w:t>
            </w:r>
          </w:p>
        </w:tc>
        <w:tc>
          <w:tcPr>
            <w:tcW w:w="624" w:type="pct"/>
          </w:tcPr>
          <w:p w14:paraId="0AC0B55B" w14:textId="77777777" w:rsidR="0002298B" w:rsidRPr="00B0658A" w:rsidRDefault="0002298B" w:rsidP="000A4114">
            <w:pPr>
              <w:spacing w:after="0" w:line="240" w:lineRule="auto"/>
              <w:rPr>
                <w:rFonts w:ascii="Times New Roman" w:hAnsi="Times New Roman"/>
                <w:i/>
                <w:iCs/>
                <w:sz w:val="20"/>
                <w:szCs w:val="20"/>
              </w:rPr>
            </w:pPr>
          </w:p>
        </w:tc>
        <w:tc>
          <w:tcPr>
            <w:tcW w:w="1090" w:type="pct"/>
            <w:shd w:val="clear" w:color="auto" w:fill="auto"/>
          </w:tcPr>
          <w:p w14:paraId="1DFA2699" w14:textId="77777777" w:rsidR="0002298B" w:rsidRPr="00B0658A" w:rsidRDefault="0002298B" w:rsidP="000A4114">
            <w:pPr>
              <w:spacing w:after="0" w:line="240" w:lineRule="auto"/>
              <w:rPr>
                <w:rFonts w:ascii="Times New Roman" w:hAnsi="Times New Roman"/>
                <w:i/>
                <w:iCs/>
                <w:sz w:val="20"/>
                <w:szCs w:val="20"/>
              </w:rPr>
            </w:pPr>
          </w:p>
        </w:tc>
        <w:tc>
          <w:tcPr>
            <w:tcW w:w="1036" w:type="pct"/>
            <w:shd w:val="clear" w:color="auto" w:fill="auto"/>
          </w:tcPr>
          <w:p w14:paraId="20A77A73" w14:textId="77777777" w:rsidR="0002298B" w:rsidRPr="00B0658A" w:rsidRDefault="0002298B" w:rsidP="000A4114">
            <w:pPr>
              <w:spacing w:after="0" w:line="240" w:lineRule="auto"/>
              <w:rPr>
                <w:rFonts w:ascii="Times New Roman" w:hAnsi="Times New Roman"/>
                <w:i/>
                <w:iCs/>
                <w:sz w:val="20"/>
                <w:szCs w:val="20"/>
              </w:rPr>
            </w:pPr>
          </w:p>
        </w:tc>
        <w:tc>
          <w:tcPr>
            <w:tcW w:w="894" w:type="pct"/>
            <w:shd w:val="clear" w:color="auto" w:fill="auto"/>
          </w:tcPr>
          <w:p w14:paraId="54115076" w14:textId="77777777" w:rsidR="0002298B" w:rsidRPr="00B0658A" w:rsidRDefault="0002298B" w:rsidP="000A4114">
            <w:pPr>
              <w:spacing w:after="0" w:line="240" w:lineRule="auto"/>
              <w:jc w:val="both"/>
              <w:rPr>
                <w:rFonts w:ascii="Times New Roman" w:hAnsi="Times New Roman"/>
                <w:i/>
                <w:iCs/>
                <w:sz w:val="20"/>
                <w:szCs w:val="20"/>
              </w:rPr>
            </w:pPr>
          </w:p>
        </w:tc>
      </w:tr>
      <w:tr w:rsidR="00F52FED" w:rsidRPr="00B0658A" w14:paraId="42D7B6A2" w14:textId="77777777" w:rsidTr="004F1366">
        <w:trPr>
          <w:trHeight w:val="170"/>
        </w:trPr>
        <w:tc>
          <w:tcPr>
            <w:tcW w:w="203" w:type="pct"/>
            <w:shd w:val="clear" w:color="auto" w:fill="auto"/>
            <w:vAlign w:val="center"/>
          </w:tcPr>
          <w:p w14:paraId="7AE2BDB6"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20"/>
                <w:szCs w:val="20"/>
              </w:rPr>
              <w:t>2.8</w:t>
            </w:r>
          </w:p>
        </w:tc>
        <w:tc>
          <w:tcPr>
            <w:tcW w:w="1153" w:type="pct"/>
            <w:shd w:val="clear" w:color="auto" w:fill="auto"/>
            <w:vAlign w:val="center"/>
          </w:tcPr>
          <w:p w14:paraId="6794E307" w14:textId="77777777" w:rsidR="0002298B" w:rsidRPr="00B0658A" w:rsidRDefault="0002298B" w:rsidP="000A4114">
            <w:pPr>
              <w:spacing w:after="0" w:line="240" w:lineRule="auto"/>
              <w:rPr>
                <w:rFonts w:ascii="Times New Roman" w:hAnsi="Times New Roman"/>
                <w:i/>
                <w:iCs/>
                <w:sz w:val="20"/>
                <w:szCs w:val="20"/>
              </w:rPr>
            </w:pPr>
            <w:r w:rsidRPr="00B0658A">
              <w:rPr>
                <w:rFonts w:ascii="Times New Roman" w:hAnsi="Times New Roman"/>
                <w:sz w:val="20"/>
                <w:szCs w:val="20"/>
              </w:rPr>
              <w:t>Системное программное обеспечение/ Средства мониторинга и управления</w:t>
            </w:r>
          </w:p>
        </w:tc>
        <w:tc>
          <w:tcPr>
            <w:tcW w:w="624" w:type="pct"/>
          </w:tcPr>
          <w:p w14:paraId="55D683BF" w14:textId="77777777" w:rsidR="0002298B" w:rsidRPr="00B0658A" w:rsidRDefault="0002298B" w:rsidP="000A4114">
            <w:pPr>
              <w:spacing w:after="0" w:line="240" w:lineRule="auto"/>
              <w:rPr>
                <w:rFonts w:ascii="Times New Roman" w:hAnsi="Times New Roman"/>
                <w:i/>
                <w:iCs/>
                <w:sz w:val="20"/>
                <w:szCs w:val="20"/>
              </w:rPr>
            </w:pPr>
          </w:p>
        </w:tc>
        <w:tc>
          <w:tcPr>
            <w:tcW w:w="1090" w:type="pct"/>
            <w:shd w:val="clear" w:color="auto" w:fill="auto"/>
          </w:tcPr>
          <w:p w14:paraId="21890810" w14:textId="77777777" w:rsidR="0002298B" w:rsidRPr="00B0658A" w:rsidRDefault="0002298B" w:rsidP="000A4114">
            <w:pPr>
              <w:spacing w:after="0" w:line="240" w:lineRule="auto"/>
              <w:rPr>
                <w:rFonts w:ascii="Times New Roman" w:hAnsi="Times New Roman"/>
                <w:i/>
                <w:iCs/>
                <w:sz w:val="20"/>
                <w:szCs w:val="20"/>
              </w:rPr>
            </w:pPr>
          </w:p>
        </w:tc>
        <w:tc>
          <w:tcPr>
            <w:tcW w:w="1036" w:type="pct"/>
            <w:shd w:val="clear" w:color="auto" w:fill="auto"/>
          </w:tcPr>
          <w:p w14:paraId="210700D7" w14:textId="77777777" w:rsidR="0002298B" w:rsidRPr="00B0658A" w:rsidRDefault="0002298B" w:rsidP="000A4114">
            <w:pPr>
              <w:spacing w:after="0" w:line="240" w:lineRule="auto"/>
              <w:rPr>
                <w:rFonts w:ascii="Times New Roman" w:hAnsi="Times New Roman"/>
                <w:i/>
                <w:iCs/>
                <w:sz w:val="20"/>
                <w:szCs w:val="20"/>
              </w:rPr>
            </w:pPr>
          </w:p>
        </w:tc>
        <w:tc>
          <w:tcPr>
            <w:tcW w:w="894" w:type="pct"/>
            <w:shd w:val="clear" w:color="auto" w:fill="auto"/>
          </w:tcPr>
          <w:p w14:paraId="24B80655" w14:textId="77777777" w:rsidR="0002298B" w:rsidRPr="00B0658A" w:rsidRDefault="0002298B" w:rsidP="000A4114">
            <w:pPr>
              <w:spacing w:after="0" w:line="240" w:lineRule="auto"/>
              <w:jc w:val="both"/>
              <w:rPr>
                <w:rFonts w:ascii="Times New Roman" w:hAnsi="Times New Roman"/>
                <w:i/>
                <w:iCs/>
                <w:sz w:val="20"/>
                <w:szCs w:val="20"/>
              </w:rPr>
            </w:pPr>
          </w:p>
        </w:tc>
      </w:tr>
      <w:tr w:rsidR="00F52FED" w:rsidRPr="00B0658A" w14:paraId="1FD51B09" w14:textId="77777777" w:rsidTr="004F1366">
        <w:trPr>
          <w:trHeight w:val="170"/>
        </w:trPr>
        <w:tc>
          <w:tcPr>
            <w:tcW w:w="203" w:type="pct"/>
            <w:shd w:val="clear" w:color="auto" w:fill="auto"/>
            <w:vAlign w:val="center"/>
          </w:tcPr>
          <w:p w14:paraId="688630D4"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20"/>
                <w:szCs w:val="20"/>
              </w:rPr>
              <w:t>2.9</w:t>
            </w:r>
          </w:p>
        </w:tc>
        <w:tc>
          <w:tcPr>
            <w:tcW w:w="1153" w:type="pct"/>
            <w:shd w:val="clear" w:color="auto" w:fill="auto"/>
            <w:vAlign w:val="center"/>
          </w:tcPr>
          <w:p w14:paraId="7F0C15E5" w14:textId="77777777" w:rsidR="0002298B" w:rsidRPr="00B0658A" w:rsidRDefault="0002298B" w:rsidP="000A4114">
            <w:pPr>
              <w:spacing w:after="0" w:line="240" w:lineRule="auto"/>
              <w:rPr>
                <w:rFonts w:ascii="Times New Roman" w:hAnsi="Times New Roman"/>
                <w:i/>
                <w:iCs/>
                <w:sz w:val="20"/>
                <w:szCs w:val="20"/>
              </w:rPr>
            </w:pPr>
            <w:r w:rsidRPr="00B0658A">
              <w:rPr>
                <w:rFonts w:ascii="Times New Roman" w:hAnsi="Times New Roman"/>
                <w:sz w:val="20"/>
                <w:szCs w:val="20"/>
              </w:rPr>
              <w:t>Системное программное обеспечение/ Операционные системы общего назначения</w:t>
            </w:r>
          </w:p>
        </w:tc>
        <w:tc>
          <w:tcPr>
            <w:tcW w:w="624" w:type="pct"/>
          </w:tcPr>
          <w:p w14:paraId="0DB0ED14" w14:textId="77777777" w:rsidR="0002298B" w:rsidRPr="00B0658A" w:rsidRDefault="0002298B" w:rsidP="000A4114">
            <w:pPr>
              <w:spacing w:after="0" w:line="240" w:lineRule="auto"/>
              <w:rPr>
                <w:rFonts w:ascii="Times New Roman" w:hAnsi="Times New Roman"/>
                <w:i/>
                <w:iCs/>
                <w:sz w:val="20"/>
                <w:szCs w:val="20"/>
              </w:rPr>
            </w:pPr>
          </w:p>
        </w:tc>
        <w:tc>
          <w:tcPr>
            <w:tcW w:w="1090" w:type="pct"/>
            <w:shd w:val="clear" w:color="auto" w:fill="auto"/>
          </w:tcPr>
          <w:p w14:paraId="5783C78B" w14:textId="77777777" w:rsidR="0002298B" w:rsidRPr="00B0658A" w:rsidRDefault="0002298B" w:rsidP="000A4114">
            <w:pPr>
              <w:spacing w:after="0" w:line="240" w:lineRule="auto"/>
              <w:rPr>
                <w:rFonts w:ascii="Times New Roman" w:hAnsi="Times New Roman"/>
                <w:i/>
                <w:iCs/>
                <w:sz w:val="20"/>
                <w:szCs w:val="20"/>
              </w:rPr>
            </w:pPr>
          </w:p>
        </w:tc>
        <w:tc>
          <w:tcPr>
            <w:tcW w:w="1036" w:type="pct"/>
            <w:shd w:val="clear" w:color="auto" w:fill="auto"/>
          </w:tcPr>
          <w:p w14:paraId="758B10EF" w14:textId="77777777" w:rsidR="0002298B" w:rsidRPr="00B0658A" w:rsidRDefault="0002298B" w:rsidP="000A4114">
            <w:pPr>
              <w:spacing w:after="0" w:line="240" w:lineRule="auto"/>
              <w:rPr>
                <w:rFonts w:ascii="Times New Roman" w:hAnsi="Times New Roman"/>
                <w:i/>
                <w:iCs/>
                <w:sz w:val="20"/>
                <w:szCs w:val="20"/>
              </w:rPr>
            </w:pPr>
          </w:p>
        </w:tc>
        <w:tc>
          <w:tcPr>
            <w:tcW w:w="894" w:type="pct"/>
            <w:shd w:val="clear" w:color="auto" w:fill="auto"/>
          </w:tcPr>
          <w:p w14:paraId="7315A12C" w14:textId="77777777" w:rsidR="0002298B" w:rsidRPr="00B0658A" w:rsidRDefault="0002298B" w:rsidP="000A4114">
            <w:pPr>
              <w:spacing w:after="0" w:line="240" w:lineRule="auto"/>
              <w:jc w:val="both"/>
              <w:rPr>
                <w:rFonts w:ascii="Times New Roman" w:hAnsi="Times New Roman"/>
                <w:i/>
                <w:iCs/>
                <w:sz w:val="20"/>
                <w:szCs w:val="20"/>
              </w:rPr>
            </w:pPr>
          </w:p>
        </w:tc>
      </w:tr>
      <w:tr w:rsidR="00F52FED" w:rsidRPr="00B0658A" w14:paraId="5D1C7AC7" w14:textId="77777777" w:rsidTr="004F1366">
        <w:trPr>
          <w:trHeight w:val="170"/>
        </w:trPr>
        <w:tc>
          <w:tcPr>
            <w:tcW w:w="203" w:type="pct"/>
            <w:shd w:val="clear" w:color="auto" w:fill="auto"/>
            <w:vAlign w:val="center"/>
          </w:tcPr>
          <w:p w14:paraId="4D7ADA19"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20"/>
                <w:szCs w:val="20"/>
              </w:rPr>
              <w:t>2.10</w:t>
            </w:r>
          </w:p>
        </w:tc>
        <w:tc>
          <w:tcPr>
            <w:tcW w:w="1153" w:type="pct"/>
            <w:shd w:val="clear" w:color="auto" w:fill="auto"/>
            <w:vAlign w:val="center"/>
          </w:tcPr>
          <w:p w14:paraId="7D0DC2E6" w14:textId="77777777" w:rsidR="0002298B" w:rsidRPr="00B0658A" w:rsidRDefault="0002298B" w:rsidP="000A4114">
            <w:pPr>
              <w:spacing w:after="0" w:line="240" w:lineRule="auto"/>
              <w:rPr>
                <w:rFonts w:ascii="Times New Roman" w:hAnsi="Times New Roman"/>
                <w:i/>
                <w:iCs/>
                <w:sz w:val="20"/>
                <w:szCs w:val="20"/>
              </w:rPr>
            </w:pPr>
            <w:r w:rsidRPr="00B0658A">
              <w:rPr>
                <w:rFonts w:ascii="Times New Roman" w:hAnsi="Times New Roman"/>
                <w:sz w:val="20"/>
                <w:szCs w:val="20"/>
              </w:rPr>
              <w:t>Системное программное обеспечение/ Операционные системы реального времени</w:t>
            </w:r>
          </w:p>
        </w:tc>
        <w:tc>
          <w:tcPr>
            <w:tcW w:w="624" w:type="pct"/>
          </w:tcPr>
          <w:p w14:paraId="13FAFF3F" w14:textId="77777777" w:rsidR="0002298B" w:rsidRPr="00B0658A" w:rsidRDefault="0002298B" w:rsidP="000A4114">
            <w:pPr>
              <w:spacing w:after="0" w:line="240" w:lineRule="auto"/>
              <w:rPr>
                <w:rFonts w:ascii="Times New Roman" w:hAnsi="Times New Roman"/>
                <w:i/>
                <w:iCs/>
                <w:sz w:val="20"/>
                <w:szCs w:val="20"/>
              </w:rPr>
            </w:pPr>
          </w:p>
        </w:tc>
        <w:tc>
          <w:tcPr>
            <w:tcW w:w="1090" w:type="pct"/>
            <w:shd w:val="clear" w:color="auto" w:fill="auto"/>
          </w:tcPr>
          <w:p w14:paraId="1F1ED9F2" w14:textId="77777777" w:rsidR="0002298B" w:rsidRPr="00B0658A" w:rsidRDefault="0002298B" w:rsidP="000A4114">
            <w:pPr>
              <w:spacing w:after="0" w:line="240" w:lineRule="auto"/>
              <w:rPr>
                <w:rFonts w:ascii="Times New Roman" w:hAnsi="Times New Roman"/>
                <w:i/>
                <w:iCs/>
                <w:sz w:val="20"/>
                <w:szCs w:val="20"/>
              </w:rPr>
            </w:pPr>
          </w:p>
        </w:tc>
        <w:tc>
          <w:tcPr>
            <w:tcW w:w="1036" w:type="pct"/>
            <w:shd w:val="clear" w:color="auto" w:fill="auto"/>
          </w:tcPr>
          <w:p w14:paraId="7D9BEC61" w14:textId="77777777" w:rsidR="0002298B" w:rsidRPr="00B0658A" w:rsidRDefault="0002298B" w:rsidP="000A4114">
            <w:pPr>
              <w:spacing w:after="0" w:line="240" w:lineRule="auto"/>
              <w:rPr>
                <w:rFonts w:ascii="Times New Roman" w:hAnsi="Times New Roman"/>
                <w:i/>
                <w:iCs/>
                <w:sz w:val="20"/>
                <w:szCs w:val="20"/>
              </w:rPr>
            </w:pPr>
          </w:p>
        </w:tc>
        <w:tc>
          <w:tcPr>
            <w:tcW w:w="894" w:type="pct"/>
            <w:shd w:val="clear" w:color="auto" w:fill="auto"/>
          </w:tcPr>
          <w:p w14:paraId="61C852C7" w14:textId="77777777" w:rsidR="0002298B" w:rsidRPr="00B0658A" w:rsidRDefault="0002298B" w:rsidP="000A4114">
            <w:pPr>
              <w:spacing w:after="0" w:line="240" w:lineRule="auto"/>
              <w:jc w:val="both"/>
              <w:rPr>
                <w:rFonts w:ascii="Times New Roman" w:hAnsi="Times New Roman"/>
                <w:i/>
                <w:iCs/>
                <w:sz w:val="20"/>
                <w:szCs w:val="20"/>
              </w:rPr>
            </w:pPr>
          </w:p>
        </w:tc>
      </w:tr>
      <w:tr w:rsidR="00F52FED" w:rsidRPr="00B0658A" w14:paraId="7D1EDDE8" w14:textId="77777777" w:rsidTr="004F1366">
        <w:trPr>
          <w:trHeight w:val="170"/>
        </w:trPr>
        <w:tc>
          <w:tcPr>
            <w:tcW w:w="203" w:type="pct"/>
            <w:shd w:val="clear" w:color="auto" w:fill="auto"/>
            <w:vAlign w:val="center"/>
          </w:tcPr>
          <w:p w14:paraId="289F0002"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20"/>
                <w:szCs w:val="20"/>
              </w:rPr>
              <w:t>2.11</w:t>
            </w:r>
          </w:p>
        </w:tc>
        <w:tc>
          <w:tcPr>
            <w:tcW w:w="1153" w:type="pct"/>
            <w:shd w:val="clear" w:color="auto" w:fill="auto"/>
            <w:vAlign w:val="center"/>
          </w:tcPr>
          <w:p w14:paraId="76D00CCA" w14:textId="77777777" w:rsidR="0002298B" w:rsidRPr="00B0658A" w:rsidRDefault="0002298B" w:rsidP="000A4114">
            <w:pPr>
              <w:spacing w:after="0" w:line="240" w:lineRule="auto"/>
              <w:rPr>
                <w:rFonts w:ascii="Times New Roman" w:hAnsi="Times New Roman"/>
                <w:i/>
                <w:iCs/>
                <w:sz w:val="20"/>
                <w:szCs w:val="20"/>
              </w:rPr>
            </w:pPr>
            <w:r w:rsidRPr="00B0658A">
              <w:rPr>
                <w:rFonts w:ascii="Times New Roman" w:hAnsi="Times New Roman"/>
                <w:sz w:val="20"/>
                <w:szCs w:val="20"/>
              </w:rPr>
              <w:t>Системное программное обеспечение/ Мобильная операционная система</w:t>
            </w:r>
          </w:p>
        </w:tc>
        <w:tc>
          <w:tcPr>
            <w:tcW w:w="624" w:type="pct"/>
          </w:tcPr>
          <w:p w14:paraId="268786D6" w14:textId="77777777" w:rsidR="0002298B" w:rsidRPr="00B0658A" w:rsidRDefault="0002298B" w:rsidP="000A4114">
            <w:pPr>
              <w:spacing w:after="0" w:line="240" w:lineRule="auto"/>
              <w:rPr>
                <w:rFonts w:ascii="Times New Roman" w:hAnsi="Times New Roman"/>
                <w:i/>
                <w:iCs/>
                <w:sz w:val="20"/>
                <w:szCs w:val="20"/>
              </w:rPr>
            </w:pPr>
          </w:p>
        </w:tc>
        <w:tc>
          <w:tcPr>
            <w:tcW w:w="1090" w:type="pct"/>
            <w:shd w:val="clear" w:color="auto" w:fill="auto"/>
          </w:tcPr>
          <w:p w14:paraId="384C977C" w14:textId="77777777" w:rsidR="0002298B" w:rsidRPr="00B0658A" w:rsidRDefault="0002298B" w:rsidP="000A4114">
            <w:pPr>
              <w:spacing w:after="0" w:line="240" w:lineRule="auto"/>
              <w:rPr>
                <w:rFonts w:ascii="Times New Roman" w:hAnsi="Times New Roman"/>
                <w:i/>
                <w:iCs/>
                <w:sz w:val="20"/>
                <w:szCs w:val="20"/>
              </w:rPr>
            </w:pPr>
          </w:p>
        </w:tc>
        <w:tc>
          <w:tcPr>
            <w:tcW w:w="1036" w:type="pct"/>
            <w:shd w:val="clear" w:color="auto" w:fill="auto"/>
          </w:tcPr>
          <w:p w14:paraId="6D5C3E6B" w14:textId="77777777" w:rsidR="0002298B" w:rsidRPr="00B0658A" w:rsidRDefault="0002298B" w:rsidP="000A4114">
            <w:pPr>
              <w:spacing w:after="0" w:line="240" w:lineRule="auto"/>
              <w:rPr>
                <w:rFonts w:ascii="Times New Roman" w:hAnsi="Times New Roman"/>
                <w:i/>
                <w:iCs/>
                <w:sz w:val="20"/>
                <w:szCs w:val="20"/>
              </w:rPr>
            </w:pPr>
          </w:p>
        </w:tc>
        <w:tc>
          <w:tcPr>
            <w:tcW w:w="894" w:type="pct"/>
            <w:shd w:val="clear" w:color="auto" w:fill="auto"/>
          </w:tcPr>
          <w:p w14:paraId="06D38EED" w14:textId="77777777" w:rsidR="0002298B" w:rsidRPr="00B0658A" w:rsidRDefault="0002298B" w:rsidP="000A4114">
            <w:pPr>
              <w:spacing w:after="0" w:line="240" w:lineRule="auto"/>
              <w:jc w:val="both"/>
              <w:rPr>
                <w:rFonts w:ascii="Times New Roman" w:hAnsi="Times New Roman"/>
                <w:i/>
                <w:iCs/>
                <w:sz w:val="20"/>
                <w:szCs w:val="20"/>
              </w:rPr>
            </w:pPr>
          </w:p>
        </w:tc>
      </w:tr>
      <w:tr w:rsidR="00F52FED" w:rsidRPr="00B0658A" w14:paraId="539FB2FF" w14:textId="77777777" w:rsidTr="004F1366">
        <w:trPr>
          <w:trHeight w:val="170"/>
        </w:trPr>
        <w:tc>
          <w:tcPr>
            <w:tcW w:w="203" w:type="pct"/>
            <w:shd w:val="clear" w:color="auto" w:fill="auto"/>
            <w:vAlign w:val="center"/>
          </w:tcPr>
          <w:p w14:paraId="2433F5E2"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20"/>
                <w:szCs w:val="20"/>
              </w:rPr>
              <w:t>2.12</w:t>
            </w:r>
          </w:p>
        </w:tc>
        <w:tc>
          <w:tcPr>
            <w:tcW w:w="1153" w:type="pct"/>
            <w:shd w:val="clear" w:color="auto" w:fill="auto"/>
            <w:vAlign w:val="center"/>
          </w:tcPr>
          <w:p w14:paraId="786CA874" w14:textId="77777777" w:rsidR="0002298B" w:rsidRPr="00B0658A" w:rsidRDefault="0002298B" w:rsidP="000A4114">
            <w:pPr>
              <w:spacing w:after="0" w:line="240" w:lineRule="auto"/>
              <w:rPr>
                <w:rFonts w:ascii="Times New Roman" w:hAnsi="Times New Roman"/>
                <w:i/>
                <w:iCs/>
                <w:sz w:val="20"/>
                <w:szCs w:val="20"/>
              </w:rPr>
            </w:pPr>
            <w:r w:rsidRPr="00B0658A">
              <w:rPr>
                <w:rFonts w:ascii="Times New Roman" w:hAnsi="Times New Roman"/>
                <w:sz w:val="20"/>
                <w:szCs w:val="20"/>
              </w:rPr>
              <w:t>Системное программное обеспечение / Системы контейнеризации и контейнеры</w:t>
            </w:r>
          </w:p>
        </w:tc>
        <w:tc>
          <w:tcPr>
            <w:tcW w:w="624" w:type="pct"/>
          </w:tcPr>
          <w:p w14:paraId="7B8763AC" w14:textId="77777777" w:rsidR="0002298B" w:rsidRPr="00B0658A" w:rsidRDefault="0002298B" w:rsidP="000A4114">
            <w:pPr>
              <w:spacing w:after="0" w:line="240" w:lineRule="auto"/>
              <w:rPr>
                <w:rFonts w:ascii="Times New Roman" w:hAnsi="Times New Roman"/>
                <w:i/>
                <w:iCs/>
                <w:sz w:val="20"/>
                <w:szCs w:val="20"/>
              </w:rPr>
            </w:pPr>
          </w:p>
        </w:tc>
        <w:tc>
          <w:tcPr>
            <w:tcW w:w="1090" w:type="pct"/>
            <w:shd w:val="clear" w:color="auto" w:fill="auto"/>
          </w:tcPr>
          <w:p w14:paraId="1407AF4E" w14:textId="77777777" w:rsidR="0002298B" w:rsidRPr="00B0658A" w:rsidRDefault="0002298B" w:rsidP="000A4114">
            <w:pPr>
              <w:spacing w:after="0" w:line="240" w:lineRule="auto"/>
              <w:rPr>
                <w:rFonts w:ascii="Times New Roman" w:hAnsi="Times New Roman"/>
                <w:i/>
                <w:iCs/>
                <w:sz w:val="20"/>
                <w:szCs w:val="20"/>
              </w:rPr>
            </w:pPr>
          </w:p>
        </w:tc>
        <w:tc>
          <w:tcPr>
            <w:tcW w:w="1036" w:type="pct"/>
            <w:shd w:val="clear" w:color="auto" w:fill="auto"/>
          </w:tcPr>
          <w:p w14:paraId="05DCF385" w14:textId="77777777" w:rsidR="0002298B" w:rsidRPr="00B0658A" w:rsidRDefault="0002298B" w:rsidP="000A4114">
            <w:pPr>
              <w:spacing w:after="0" w:line="240" w:lineRule="auto"/>
              <w:rPr>
                <w:rFonts w:ascii="Times New Roman" w:hAnsi="Times New Roman"/>
                <w:i/>
                <w:iCs/>
                <w:sz w:val="20"/>
                <w:szCs w:val="20"/>
              </w:rPr>
            </w:pPr>
          </w:p>
        </w:tc>
        <w:tc>
          <w:tcPr>
            <w:tcW w:w="894" w:type="pct"/>
            <w:shd w:val="clear" w:color="auto" w:fill="auto"/>
          </w:tcPr>
          <w:p w14:paraId="0876E0EE" w14:textId="77777777" w:rsidR="0002298B" w:rsidRPr="00B0658A" w:rsidRDefault="0002298B" w:rsidP="000A4114">
            <w:pPr>
              <w:spacing w:after="0" w:line="240" w:lineRule="auto"/>
              <w:jc w:val="both"/>
              <w:rPr>
                <w:rFonts w:ascii="Times New Roman" w:hAnsi="Times New Roman"/>
                <w:i/>
                <w:iCs/>
                <w:sz w:val="20"/>
                <w:szCs w:val="20"/>
              </w:rPr>
            </w:pPr>
          </w:p>
        </w:tc>
      </w:tr>
      <w:tr w:rsidR="00F52FED" w:rsidRPr="00B0658A" w14:paraId="214FD3BA" w14:textId="77777777" w:rsidTr="004F1366">
        <w:trPr>
          <w:trHeight w:val="170"/>
        </w:trPr>
        <w:tc>
          <w:tcPr>
            <w:tcW w:w="203" w:type="pct"/>
            <w:shd w:val="clear" w:color="auto" w:fill="auto"/>
            <w:vAlign w:val="center"/>
          </w:tcPr>
          <w:p w14:paraId="30A2C4BE"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20"/>
                <w:szCs w:val="20"/>
              </w:rPr>
              <w:t>3.1</w:t>
            </w:r>
          </w:p>
        </w:tc>
        <w:tc>
          <w:tcPr>
            <w:tcW w:w="1153" w:type="pct"/>
            <w:shd w:val="clear" w:color="auto" w:fill="auto"/>
            <w:vAlign w:val="center"/>
          </w:tcPr>
          <w:p w14:paraId="6F627A46"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20"/>
                <w:szCs w:val="20"/>
              </w:rPr>
              <w:t>Средства обеспечения информационной безопасности/ Средства защиты от несанкционированного доступа к информации</w:t>
            </w:r>
          </w:p>
        </w:tc>
        <w:tc>
          <w:tcPr>
            <w:tcW w:w="624" w:type="pct"/>
          </w:tcPr>
          <w:p w14:paraId="2FF9B3AF" w14:textId="77777777" w:rsidR="0002298B" w:rsidRPr="00B0658A" w:rsidRDefault="0002298B" w:rsidP="000A4114">
            <w:pPr>
              <w:spacing w:after="0" w:line="240" w:lineRule="auto"/>
              <w:rPr>
                <w:rFonts w:ascii="Times New Roman" w:hAnsi="Times New Roman"/>
                <w:i/>
                <w:iCs/>
                <w:sz w:val="20"/>
                <w:szCs w:val="20"/>
              </w:rPr>
            </w:pPr>
          </w:p>
        </w:tc>
        <w:tc>
          <w:tcPr>
            <w:tcW w:w="1090" w:type="pct"/>
            <w:shd w:val="clear" w:color="auto" w:fill="auto"/>
          </w:tcPr>
          <w:p w14:paraId="196F1BEA" w14:textId="77777777" w:rsidR="0002298B" w:rsidRPr="00B0658A" w:rsidRDefault="0002298B" w:rsidP="000A4114">
            <w:pPr>
              <w:spacing w:after="0" w:line="240" w:lineRule="auto"/>
              <w:rPr>
                <w:rFonts w:ascii="Times New Roman" w:hAnsi="Times New Roman"/>
                <w:i/>
                <w:iCs/>
                <w:sz w:val="20"/>
                <w:szCs w:val="20"/>
              </w:rPr>
            </w:pPr>
          </w:p>
        </w:tc>
        <w:tc>
          <w:tcPr>
            <w:tcW w:w="1036" w:type="pct"/>
            <w:shd w:val="clear" w:color="auto" w:fill="auto"/>
          </w:tcPr>
          <w:p w14:paraId="568EA398" w14:textId="77777777" w:rsidR="0002298B" w:rsidRPr="00B0658A" w:rsidRDefault="0002298B" w:rsidP="000A4114">
            <w:pPr>
              <w:spacing w:after="0" w:line="240" w:lineRule="auto"/>
              <w:rPr>
                <w:rFonts w:ascii="Times New Roman" w:hAnsi="Times New Roman"/>
                <w:i/>
                <w:iCs/>
                <w:sz w:val="20"/>
                <w:szCs w:val="20"/>
              </w:rPr>
            </w:pPr>
          </w:p>
        </w:tc>
        <w:tc>
          <w:tcPr>
            <w:tcW w:w="894" w:type="pct"/>
            <w:shd w:val="clear" w:color="auto" w:fill="auto"/>
          </w:tcPr>
          <w:p w14:paraId="3926D1EA" w14:textId="77777777" w:rsidR="0002298B" w:rsidRPr="00B0658A" w:rsidRDefault="0002298B" w:rsidP="000A4114">
            <w:pPr>
              <w:spacing w:after="0" w:line="240" w:lineRule="auto"/>
              <w:jc w:val="both"/>
              <w:rPr>
                <w:rFonts w:ascii="Times New Roman" w:hAnsi="Times New Roman"/>
                <w:i/>
                <w:iCs/>
                <w:sz w:val="20"/>
                <w:szCs w:val="20"/>
              </w:rPr>
            </w:pPr>
          </w:p>
        </w:tc>
      </w:tr>
      <w:tr w:rsidR="00F52FED" w:rsidRPr="00B0658A" w14:paraId="463AB270" w14:textId="77777777" w:rsidTr="004F1366">
        <w:trPr>
          <w:trHeight w:val="170"/>
        </w:trPr>
        <w:tc>
          <w:tcPr>
            <w:tcW w:w="203" w:type="pct"/>
            <w:shd w:val="clear" w:color="auto" w:fill="auto"/>
            <w:vAlign w:val="center"/>
          </w:tcPr>
          <w:p w14:paraId="0E7A589F"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20"/>
                <w:szCs w:val="20"/>
              </w:rPr>
              <w:t>3.2</w:t>
            </w:r>
          </w:p>
        </w:tc>
        <w:tc>
          <w:tcPr>
            <w:tcW w:w="1153" w:type="pct"/>
            <w:shd w:val="clear" w:color="auto" w:fill="auto"/>
            <w:vAlign w:val="center"/>
          </w:tcPr>
          <w:p w14:paraId="06A67B45"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20"/>
                <w:szCs w:val="20"/>
              </w:rPr>
              <w:t>Средства обеспечения информационной безопасности/ Средства управления событиями информационной безопасности</w:t>
            </w:r>
          </w:p>
        </w:tc>
        <w:tc>
          <w:tcPr>
            <w:tcW w:w="624" w:type="pct"/>
          </w:tcPr>
          <w:p w14:paraId="3BD3BFB0" w14:textId="77777777" w:rsidR="0002298B" w:rsidRPr="00B0658A" w:rsidRDefault="0002298B" w:rsidP="000A4114">
            <w:pPr>
              <w:spacing w:after="0" w:line="240" w:lineRule="auto"/>
              <w:rPr>
                <w:rFonts w:ascii="Times New Roman" w:hAnsi="Times New Roman"/>
                <w:i/>
                <w:iCs/>
                <w:sz w:val="20"/>
                <w:szCs w:val="20"/>
              </w:rPr>
            </w:pPr>
          </w:p>
        </w:tc>
        <w:tc>
          <w:tcPr>
            <w:tcW w:w="1090" w:type="pct"/>
            <w:shd w:val="clear" w:color="auto" w:fill="auto"/>
          </w:tcPr>
          <w:p w14:paraId="456D9090" w14:textId="77777777" w:rsidR="0002298B" w:rsidRPr="00B0658A" w:rsidRDefault="0002298B" w:rsidP="000A4114">
            <w:pPr>
              <w:spacing w:after="0" w:line="240" w:lineRule="auto"/>
              <w:rPr>
                <w:rFonts w:ascii="Times New Roman" w:hAnsi="Times New Roman"/>
                <w:i/>
                <w:iCs/>
                <w:sz w:val="20"/>
                <w:szCs w:val="20"/>
              </w:rPr>
            </w:pPr>
          </w:p>
        </w:tc>
        <w:tc>
          <w:tcPr>
            <w:tcW w:w="1036" w:type="pct"/>
            <w:shd w:val="clear" w:color="auto" w:fill="auto"/>
          </w:tcPr>
          <w:p w14:paraId="174FC50C" w14:textId="77777777" w:rsidR="0002298B" w:rsidRPr="00B0658A" w:rsidRDefault="0002298B" w:rsidP="000A4114">
            <w:pPr>
              <w:spacing w:after="0" w:line="240" w:lineRule="auto"/>
              <w:rPr>
                <w:rFonts w:ascii="Times New Roman" w:hAnsi="Times New Roman"/>
                <w:i/>
                <w:iCs/>
                <w:sz w:val="20"/>
                <w:szCs w:val="20"/>
              </w:rPr>
            </w:pPr>
          </w:p>
        </w:tc>
        <w:tc>
          <w:tcPr>
            <w:tcW w:w="894" w:type="pct"/>
            <w:shd w:val="clear" w:color="auto" w:fill="auto"/>
          </w:tcPr>
          <w:p w14:paraId="6A4723F1" w14:textId="77777777" w:rsidR="0002298B" w:rsidRPr="00B0658A" w:rsidRDefault="0002298B" w:rsidP="000A4114">
            <w:pPr>
              <w:spacing w:after="0" w:line="240" w:lineRule="auto"/>
              <w:jc w:val="both"/>
              <w:rPr>
                <w:rFonts w:ascii="Times New Roman" w:hAnsi="Times New Roman"/>
                <w:i/>
                <w:iCs/>
                <w:sz w:val="20"/>
                <w:szCs w:val="20"/>
              </w:rPr>
            </w:pPr>
          </w:p>
        </w:tc>
      </w:tr>
      <w:tr w:rsidR="00F52FED" w:rsidRPr="00B0658A" w14:paraId="43DFD175" w14:textId="77777777" w:rsidTr="004F1366">
        <w:trPr>
          <w:trHeight w:val="170"/>
        </w:trPr>
        <w:tc>
          <w:tcPr>
            <w:tcW w:w="203" w:type="pct"/>
            <w:shd w:val="clear" w:color="auto" w:fill="auto"/>
            <w:vAlign w:val="center"/>
          </w:tcPr>
          <w:p w14:paraId="54DC3D04"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20"/>
                <w:szCs w:val="20"/>
              </w:rPr>
              <w:t>3.3</w:t>
            </w:r>
          </w:p>
        </w:tc>
        <w:tc>
          <w:tcPr>
            <w:tcW w:w="1153" w:type="pct"/>
            <w:shd w:val="clear" w:color="auto" w:fill="auto"/>
            <w:vAlign w:val="center"/>
          </w:tcPr>
          <w:p w14:paraId="201DA37D"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20"/>
                <w:szCs w:val="20"/>
              </w:rPr>
              <w:t>Средства обеспечения информационной безопасности/ Межсетевые экраны</w:t>
            </w:r>
          </w:p>
        </w:tc>
        <w:tc>
          <w:tcPr>
            <w:tcW w:w="624" w:type="pct"/>
          </w:tcPr>
          <w:p w14:paraId="2C15AE81" w14:textId="77777777" w:rsidR="0002298B" w:rsidRPr="00B0658A" w:rsidRDefault="0002298B" w:rsidP="000A4114">
            <w:pPr>
              <w:spacing w:after="0" w:line="240" w:lineRule="auto"/>
              <w:rPr>
                <w:rFonts w:ascii="Times New Roman" w:hAnsi="Times New Roman"/>
                <w:i/>
                <w:iCs/>
                <w:sz w:val="20"/>
                <w:szCs w:val="20"/>
              </w:rPr>
            </w:pPr>
          </w:p>
        </w:tc>
        <w:tc>
          <w:tcPr>
            <w:tcW w:w="1090" w:type="pct"/>
            <w:shd w:val="clear" w:color="auto" w:fill="auto"/>
          </w:tcPr>
          <w:p w14:paraId="56D45843" w14:textId="77777777" w:rsidR="0002298B" w:rsidRPr="00B0658A" w:rsidRDefault="0002298B" w:rsidP="000A4114">
            <w:pPr>
              <w:spacing w:after="0" w:line="240" w:lineRule="auto"/>
              <w:rPr>
                <w:rFonts w:ascii="Times New Roman" w:hAnsi="Times New Roman"/>
                <w:i/>
                <w:iCs/>
                <w:sz w:val="20"/>
                <w:szCs w:val="20"/>
              </w:rPr>
            </w:pPr>
          </w:p>
        </w:tc>
        <w:tc>
          <w:tcPr>
            <w:tcW w:w="1036" w:type="pct"/>
            <w:shd w:val="clear" w:color="auto" w:fill="auto"/>
          </w:tcPr>
          <w:p w14:paraId="2B4AF488" w14:textId="77777777" w:rsidR="0002298B" w:rsidRPr="00B0658A" w:rsidRDefault="0002298B" w:rsidP="000A4114">
            <w:pPr>
              <w:spacing w:after="0" w:line="240" w:lineRule="auto"/>
              <w:rPr>
                <w:rFonts w:ascii="Times New Roman" w:hAnsi="Times New Roman"/>
                <w:i/>
                <w:iCs/>
                <w:sz w:val="20"/>
                <w:szCs w:val="20"/>
              </w:rPr>
            </w:pPr>
          </w:p>
        </w:tc>
        <w:tc>
          <w:tcPr>
            <w:tcW w:w="894" w:type="pct"/>
            <w:shd w:val="clear" w:color="auto" w:fill="auto"/>
          </w:tcPr>
          <w:p w14:paraId="7593D859" w14:textId="77777777" w:rsidR="0002298B" w:rsidRPr="00B0658A" w:rsidRDefault="0002298B" w:rsidP="000A4114">
            <w:pPr>
              <w:spacing w:after="0" w:line="240" w:lineRule="auto"/>
              <w:jc w:val="both"/>
              <w:rPr>
                <w:rFonts w:ascii="Times New Roman" w:hAnsi="Times New Roman"/>
                <w:i/>
                <w:iCs/>
                <w:sz w:val="20"/>
                <w:szCs w:val="20"/>
              </w:rPr>
            </w:pPr>
          </w:p>
        </w:tc>
      </w:tr>
      <w:tr w:rsidR="00F52FED" w:rsidRPr="00B0658A" w14:paraId="27A33CE6" w14:textId="77777777" w:rsidTr="004F1366">
        <w:trPr>
          <w:trHeight w:val="170"/>
        </w:trPr>
        <w:tc>
          <w:tcPr>
            <w:tcW w:w="203" w:type="pct"/>
            <w:shd w:val="clear" w:color="auto" w:fill="auto"/>
            <w:vAlign w:val="center"/>
          </w:tcPr>
          <w:p w14:paraId="7C734A8B"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20"/>
                <w:szCs w:val="20"/>
              </w:rPr>
              <w:t>3.4</w:t>
            </w:r>
          </w:p>
        </w:tc>
        <w:tc>
          <w:tcPr>
            <w:tcW w:w="1153" w:type="pct"/>
            <w:shd w:val="clear" w:color="auto" w:fill="auto"/>
            <w:vAlign w:val="center"/>
          </w:tcPr>
          <w:p w14:paraId="6DFFBCEA"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20"/>
                <w:szCs w:val="20"/>
              </w:rPr>
              <w:t>Средства обеспечения информационной безопасности/ Средства фильтрации негативного контента</w:t>
            </w:r>
          </w:p>
        </w:tc>
        <w:tc>
          <w:tcPr>
            <w:tcW w:w="624" w:type="pct"/>
          </w:tcPr>
          <w:p w14:paraId="06FF581E" w14:textId="77777777" w:rsidR="0002298B" w:rsidRPr="00B0658A" w:rsidRDefault="0002298B" w:rsidP="000A4114">
            <w:pPr>
              <w:spacing w:after="0" w:line="240" w:lineRule="auto"/>
              <w:rPr>
                <w:rFonts w:ascii="Times New Roman" w:hAnsi="Times New Roman"/>
                <w:i/>
                <w:iCs/>
                <w:sz w:val="20"/>
                <w:szCs w:val="20"/>
              </w:rPr>
            </w:pPr>
          </w:p>
        </w:tc>
        <w:tc>
          <w:tcPr>
            <w:tcW w:w="1090" w:type="pct"/>
            <w:shd w:val="clear" w:color="auto" w:fill="auto"/>
          </w:tcPr>
          <w:p w14:paraId="0CE43B29" w14:textId="77777777" w:rsidR="0002298B" w:rsidRPr="00B0658A" w:rsidRDefault="0002298B" w:rsidP="000A4114">
            <w:pPr>
              <w:spacing w:after="0" w:line="240" w:lineRule="auto"/>
              <w:rPr>
                <w:rFonts w:ascii="Times New Roman" w:hAnsi="Times New Roman"/>
                <w:i/>
                <w:iCs/>
                <w:sz w:val="20"/>
                <w:szCs w:val="20"/>
              </w:rPr>
            </w:pPr>
          </w:p>
        </w:tc>
        <w:tc>
          <w:tcPr>
            <w:tcW w:w="1036" w:type="pct"/>
            <w:shd w:val="clear" w:color="auto" w:fill="auto"/>
          </w:tcPr>
          <w:p w14:paraId="2ABE5994" w14:textId="77777777" w:rsidR="0002298B" w:rsidRPr="00B0658A" w:rsidRDefault="0002298B" w:rsidP="000A4114">
            <w:pPr>
              <w:spacing w:after="0" w:line="240" w:lineRule="auto"/>
              <w:rPr>
                <w:rFonts w:ascii="Times New Roman" w:hAnsi="Times New Roman"/>
                <w:i/>
                <w:iCs/>
                <w:sz w:val="20"/>
                <w:szCs w:val="20"/>
              </w:rPr>
            </w:pPr>
          </w:p>
        </w:tc>
        <w:tc>
          <w:tcPr>
            <w:tcW w:w="894" w:type="pct"/>
            <w:shd w:val="clear" w:color="auto" w:fill="auto"/>
          </w:tcPr>
          <w:p w14:paraId="637F59C1" w14:textId="77777777" w:rsidR="0002298B" w:rsidRPr="00B0658A" w:rsidRDefault="0002298B" w:rsidP="000A4114">
            <w:pPr>
              <w:spacing w:after="0" w:line="240" w:lineRule="auto"/>
              <w:jc w:val="both"/>
              <w:rPr>
                <w:rFonts w:ascii="Times New Roman" w:hAnsi="Times New Roman"/>
                <w:i/>
                <w:iCs/>
                <w:sz w:val="20"/>
                <w:szCs w:val="20"/>
              </w:rPr>
            </w:pPr>
          </w:p>
        </w:tc>
      </w:tr>
      <w:tr w:rsidR="00F52FED" w:rsidRPr="00B0658A" w14:paraId="505FAD96" w14:textId="77777777" w:rsidTr="004F1366">
        <w:trPr>
          <w:trHeight w:val="170"/>
        </w:trPr>
        <w:tc>
          <w:tcPr>
            <w:tcW w:w="203" w:type="pct"/>
            <w:shd w:val="clear" w:color="auto" w:fill="auto"/>
            <w:vAlign w:val="center"/>
          </w:tcPr>
          <w:p w14:paraId="3C63F9BA"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20"/>
                <w:szCs w:val="20"/>
              </w:rPr>
              <w:t>3.5</w:t>
            </w:r>
          </w:p>
        </w:tc>
        <w:tc>
          <w:tcPr>
            <w:tcW w:w="1153" w:type="pct"/>
            <w:shd w:val="clear" w:color="auto" w:fill="auto"/>
            <w:vAlign w:val="center"/>
          </w:tcPr>
          <w:p w14:paraId="62703AEC"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20"/>
                <w:szCs w:val="20"/>
              </w:rPr>
              <w:t>Средства обеспечения информационной безопасности/ Средства защиты сервисов онлайн-платежей и дистанционного банковского обслуживания</w:t>
            </w:r>
          </w:p>
        </w:tc>
        <w:tc>
          <w:tcPr>
            <w:tcW w:w="624" w:type="pct"/>
          </w:tcPr>
          <w:p w14:paraId="06914E39" w14:textId="77777777" w:rsidR="0002298B" w:rsidRPr="00B0658A" w:rsidRDefault="0002298B" w:rsidP="000A4114">
            <w:pPr>
              <w:spacing w:after="0" w:line="240" w:lineRule="auto"/>
              <w:rPr>
                <w:rFonts w:ascii="Times New Roman" w:hAnsi="Times New Roman"/>
                <w:i/>
                <w:iCs/>
                <w:sz w:val="20"/>
                <w:szCs w:val="20"/>
              </w:rPr>
            </w:pPr>
          </w:p>
        </w:tc>
        <w:tc>
          <w:tcPr>
            <w:tcW w:w="1090" w:type="pct"/>
            <w:shd w:val="clear" w:color="auto" w:fill="auto"/>
          </w:tcPr>
          <w:p w14:paraId="0F72960F" w14:textId="77777777" w:rsidR="0002298B" w:rsidRPr="00B0658A" w:rsidRDefault="0002298B" w:rsidP="000A4114">
            <w:pPr>
              <w:spacing w:after="0" w:line="240" w:lineRule="auto"/>
              <w:rPr>
                <w:rFonts w:ascii="Times New Roman" w:hAnsi="Times New Roman"/>
                <w:i/>
                <w:iCs/>
                <w:sz w:val="20"/>
                <w:szCs w:val="20"/>
              </w:rPr>
            </w:pPr>
          </w:p>
        </w:tc>
        <w:tc>
          <w:tcPr>
            <w:tcW w:w="1036" w:type="pct"/>
            <w:shd w:val="clear" w:color="auto" w:fill="auto"/>
          </w:tcPr>
          <w:p w14:paraId="39F37D83" w14:textId="77777777" w:rsidR="0002298B" w:rsidRPr="00B0658A" w:rsidRDefault="0002298B" w:rsidP="000A4114">
            <w:pPr>
              <w:spacing w:after="0" w:line="240" w:lineRule="auto"/>
              <w:rPr>
                <w:rFonts w:ascii="Times New Roman" w:hAnsi="Times New Roman"/>
                <w:i/>
                <w:iCs/>
                <w:sz w:val="20"/>
                <w:szCs w:val="20"/>
              </w:rPr>
            </w:pPr>
          </w:p>
        </w:tc>
        <w:tc>
          <w:tcPr>
            <w:tcW w:w="894" w:type="pct"/>
            <w:shd w:val="clear" w:color="auto" w:fill="auto"/>
          </w:tcPr>
          <w:p w14:paraId="4D22F00B" w14:textId="77777777" w:rsidR="0002298B" w:rsidRPr="00B0658A" w:rsidRDefault="0002298B" w:rsidP="000A4114">
            <w:pPr>
              <w:spacing w:after="0" w:line="240" w:lineRule="auto"/>
              <w:jc w:val="both"/>
              <w:rPr>
                <w:rFonts w:ascii="Times New Roman" w:hAnsi="Times New Roman"/>
                <w:i/>
                <w:iCs/>
                <w:sz w:val="20"/>
                <w:szCs w:val="20"/>
              </w:rPr>
            </w:pPr>
          </w:p>
        </w:tc>
      </w:tr>
      <w:tr w:rsidR="00F52FED" w:rsidRPr="00B0658A" w14:paraId="4F9BAC56" w14:textId="77777777" w:rsidTr="004F1366">
        <w:trPr>
          <w:trHeight w:val="170"/>
        </w:trPr>
        <w:tc>
          <w:tcPr>
            <w:tcW w:w="203" w:type="pct"/>
            <w:shd w:val="clear" w:color="auto" w:fill="auto"/>
            <w:vAlign w:val="center"/>
          </w:tcPr>
          <w:p w14:paraId="01933A4C"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20"/>
                <w:szCs w:val="20"/>
              </w:rPr>
              <w:t>3.6</w:t>
            </w:r>
          </w:p>
        </w:tc>
        <w:tc>
          <w:tcPr>
            <w:tcW w:w="1153" w:type="pct"/>
            <w:shd w:val="clear" w:color="auto" w:fill="auto"/>
            <w:vAlign w:val="center"/>
          </w:tcPr>
          <w:p w14:paraId="0830312E"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20"/>
                <w:szCs w:val="20"/>
              </w:rPr>
              <w:t>Средства обеспечения информационной безопасности/ Средства антивирусной защиты</w:t>
            </w:r>
          </w:p>
        </w:tc>
        <w:tc>
          <w:tcPr>
            <w:tcW w:w="624" w:type="pct"/>
          </w:tcPr>
          <w:p w14:paraId="3BDB74B3" w14:textId="77777777" w:rsidR="0002298B" w:rsidRPr="00B0658A" w:rsidRDefault="0002298B" w:rsidP="000A4114">
            <w:pPr>
              <w:spacing w:after="0" w:line="240" w:lineRule="auto"/>
              <w:rPr>
                <w:rFonts w:ascii="Times New Roman" w:hAnsi="Times New Roman"/>
                <w:i/>
                <w:iCs/>
                <w:sz w:val="20"/>
                <w:szCs w:val="20"/>
              </w:rPr>
            </w:pPr>
          </w:p>
        </w:tc>
        <w:tc>
          <w:tcPr>
            <w:tcW w:w="1090" w:type="pct"/>
            <w:shd w:val="clear" w:color="auto" w:fill="auto"/>
          </w:tcPr>
          <w:p w14:paraId="6D18C4D7" w14:textId="77777777" w:rsidR="0002298B" w:rsidRPr="00B0658A" w:rsidRDefault="0002298B" w:rsidP="000A4114">
            <w:pPr>
              <w:spacing w:after="0" w:line="240" w:lineRule="auto"/>
              <w:rPr>
                <w:rFonts w:ascii="Times New Roman" w:hAnsi="Times New Roman"/>
                <w:i/>
                <w:iCs/>
                <w:sz w:val="20"/>
                <w:szCs w:val="20"/>
              </w:rPr>
            </w:pPr>
          </w:p>
        </w:tc>
        <w:tc>
          <w:tcPr>
            <w:tcW w:w="1036" w:type="pct"/>
            <w:shd w:val="clear" w:color="auto" w:fill="auto"/>
          </w:tcPr>
          <w:p w14:paraId="6A444B1D" w14:textId="77777777" w:rsidR="0002298B" w:rsidRPr="00B0658A" w:rsidRDefault="0002298B" w:rsidP="000A4114">
            <w:pPr>
              <w:spacing w:after="0" w:line="240" w:lineRule="auto"/>
              <w:rPr>
                <w:rFonts w:ascii="Times New Roman" w:hAnsi="Times New Roman"/>
                <w:i/>
                <w:iCs/>
                <w:sz w:val="20"/>
                <w:szCs w:val="20"/>
              </w:rPr>
            </w:pPr>
          </w:p>
        </w:tc>
        <w:tc>
          <w:tcPr>
            <w:tcW w:w="894" w:type="pct"/>
            <w:shd w:val="clear" w:color="auto" w:fill="auto"/>
          </w:tcPr>
          <w:p w14:paraId="59027DA9" w14:textId="77777777" w:rsidR="0002298B" w:rsidRPr="00B0658A" w:rsidRDefault="0002298B" w:rsidP="000A4114">
            <w:pPr>
              <w:spacing w:after="0" w:line="240" w:lineRule="auto"/>
              <w:jc w:val="both"/>
              <w:rPr>
                <w:rFonts w:ascii="Times New Roman" w:hAnsi="Times New Roman"/>
                <w:i/>
                <w:iCs/>
                <w:sz w:val="20"/>
                <w:szCs w:val="20"/>
              </w:rPr>
            </w:pPr>
          </w:p>
        </w:tc>
      </w:tr>
      <w:tr w:rsidR="00F52FED" w:rsidRPr="00B0658A" w14:paraId="1E2048A5" w14:textId="77777777" w:rsidTr="004F1366">
        <w:trPr>
          <w:trHeight w:val="170"/>
        </w:trPr>
        <w:tc>
          <w:tcPr>
            <w:tcW w:w="203" w:type="pct"/>
            <w:shd w:val="clear" w:color="auto" w:fill="auto"/>
            <w:vAlign w:val="center"/>
          </w:tcPr>
          <w:p w14:paraId="222F4752"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20"/>
                <w:szCs w:val="20"/>
              </w:rPr>
              <w:t>3.7</w:t>
            </w:r>
          </w:p>
        </w:tc>
        <w:tc>
          <w:tcPr>
            <w:tcW w:w="1153" w:type="pct"/>
            <w:shd w:val="clear" w:color="auto" w:fill="auto"/>
            <w:vAlign w:val="center"/>
          </w:tcPr>
          <w:p w14:paraId="0ACFD3BB"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20"/>
                <w:szCs w:val="20"/>
              </w:rPr>
              <w:t>Средства обеспечения информационной безопасности/ Средства выявления целевых атак</w:t>
            </w:r>
          </w:p>
        </w:tc>
        <w:tc>
          <w:tcPr>
            <w:tcW w:w="624" w:type="pct"/>
          </w:tcPr>
          <w:p w14:paraId="61FA7696" w14:textId="77777777" w:rsidR="0002298B" w:rsidRPr="00B0658A" w:rsidRDefault="0002298B" w:rsidP="000A4114">
            <w:pPr>
              <w:spacing w:after="0" w:line="240" w:lineRule="auto"/>
              <w:rPr>
                <w:rFonts w:ascii="Times New Roman" w:hAnsi="Times New Roman"/>
                <w:i/>
                <w:iCs/>
                <w:sz w:val="20"/>
                <w:szCs w:val="20"/>
              </w:rPr>
            </w:pPr>
          </w:p>
        </w:tc>
        <w:tc>
          <w:tcPr>
            <w:tcW w:w="1090" w:type="pct"/>
            <w:shd w:val="clear" w:color="auto" w:fill="auto"/>
          </w:tcPr>
          <w:p w14:paraId="60A44789" w14:textId="77777777" w:rsidR="0002298B" w:rsidRPr="00B0658A" w:rsidRDefault="0002298B" w:rsidP="000A4114">
            <w:pPr>
              <w:spacing w:after="0" w:line="240" w:lineRule="auto"/>
              <w:rPr>
                <w:rFonts w:ascii="Times New Roman" w:hAnsi="Times New Roman"/>
                <w:i/>
                <w:iCs/>
                <w:sz w:val="20"/>
                <w:szCs w:val="20"/>
              </w:rPr>
            </w:pPr>
          </w:p>
        </w:tc>
        <w:tc>
          <w:tcPr>
            <w:tcW w:w="1036" w:type="pct"/>
            <w:shd w:val="clear" w:color="auto" w:fill="auto"/>
          </w:tcPr>
          <w:p w14:paraId="195933F4" w14:textId="77777777" w:rsidR="0002298B" w:rsidRPr="00B0658A" w:rsidRDefault="0002298B" w:rsidP="000A4114">
            <w:pPr>
              <w:spacing w:after="0" w:line="240" w:lineRule="auto"/>
              <w:rPr>
                <w:rFonts w:ascii="Times New Roman" w:hAnsi="Times New Roman"/>
                <w:i/>
                <w:iCs/>
                <w:sz w:val="20"/>
                <w:szCs w:val="20"/>
              </w:rPr>
            </w:pPr>
          </w:p>
        </w:tc>
        <w:tc>
          <w:tcPr>
            <w:tcW w:w="894" w:type="pct"/>
            <w:shd w:val="clear" w:color="auto" w:fill="auto"/>
          </w:tcPr>
          <w:p w14:paraId="0E2AE1AC" w14:textId="77777777" w:rsidR="0002298B" w:rsidRPr="00B0658A" w:rsidRDefault="0002298B" w:rsidP="000A4114">
            <w:pPr>
              <w:spacing w:after="0" w:line="240" w:lineRule="auto"/>
              <w:jc w:val="both"/>
              <w:rPr>
                <w:rFonts w:ascii="Times New Roman" w:hAnsi="Times New Roman"/>
                <w:i/>
                <w:iCs/>
                <w:sz w:val="20"/>
                <w:szCs w:val="20"/>
              </w:rPr>
            </w:pPr>
          </w:p>
        </w:tc>
      </w:tr>
      <w:tr w:rsidR="00F52FED" w:rsidRPr="00B0658A" w14:paraId="45446D7A" w14:textId="77777777" w:rsidTr="004F1366">
        <w:trPr>
          <w:trHeight w:val="170"/>
        </w:trPr>
        <w:tc>
          <w:tcPr>
            <w:tcW w:w="203" w:type="pct"/>
            <w:shd w:val="clear" w:color="auto" w:fill="auto"/>
            <w:vAlign w:val="center"/>
          </w:tcPr>
          <w:p w14:paraId="578FAE84"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20"/>
                <w:szCs w:val="20"/>
              </w:rPr>
              <w:t>3.8</w:t>
            </w:r>
          </w:p>
        </w:tc>
        <w:tc>
          <w:tcPr>
            <w:tcW w:w="1153" w:type="pct"/>
            <w:shd w:val="clear" w:color="auto" w:fill="auto"/>
            <w:vAlign w:val="center"/>
          </w:tcPr>
          <w:p w14:paraId="3E26F038"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20"/>
                <w:szCs w:val="20"/>
              </w:rPr>
              <w:t>Средства обеспечения информационной безопасности/ Средства гарантированного уничтожения данных</w:t>
            </w:r>
          </w:p>
        </w:tc>
        <w:tc>
          <w:tcPr>
            <w:tcW w:w="624" w:type="pct"/>
          </w:tcPr>
          <w:p w14:paraId="76DA6E41" w14:textId="77777777" w:rsidR="0002298B" w:rsidRPr="00B0658A" w:rsidRDefault="0002298B" w:rsidP="000A4114">
            <w:pPr>
              <w:spacing w:after="0" w:line="240" w:lineRule="auto"/>
              <w:rPr>
                <w:rFonts w:ascii="Times New Roman" w:hAnsi="Times New Roman"/>
                <w:i/>
                <w:iCs/>
                <w:sz w:val="20"/>
                <w:szCs w:val="20"/>
              </w:rPr>
            </w:pPr>
          </w:p>
        </w:tc>
        <w:tc>
          <w:tcPr>
            <w:tcW w:w="1090" w:type="pct"/>
            <w:shd w:val="clear" w:color="auto" w:fill="auto"/>
          </w:tcPr>
          <w:p w14:paraId="34C4B29E" w14:textId="77777777" w:rsidR="0002298B" w:rsidRPr="00B0658A" w:rsidRDefault="0002298B" w:rsidP="000A4114">
            <w:pPr>
              <w:spacing w:after="0" w:line="240" w:lineRule="auto"/>
              <w:rPr>
                <w:rFonts w:ascii="Times New Roman" w:hAnsi="Times New Roman"/>
                <w:i/>
                <w:iCs/>
                <w:sz w:val="20"/>
                <w:szCs w:val="20"/>
              </w:rPr>
            </w:pPr>
          </w:p>
        </w:tc>
        <w:tc>
          <w:tcPr>
            <w:tcW w:w="1036" w:type="pct"/>
            <w:shd w:val="clear" w:color="auto" w:fill="auto"/>
          </w:tcPr>
          <w:p w14:paraId="79052CBD" w14:textId="77777777" w:rsidR="0002298B" w:rsidRPr="00B0658A" w:rsidRDefault="0002298B" w:rsidP="000A4114">
            <w:pPr>
              <w:spacing w:after="0" w:line="240" w:lineRule="auto"/>
              <w:rPr>
                <w:rFonts w:ascii="Times New Roman" w:hAnsi="Times New Roman"/>
                <w:i/>
                <w:iCs/>
                <w:sz w:val="20"/>
                <w:szCs w:val="20"/>
              </w:rPr>
            </w:pPr>
          </w:p>
        </w:tc>
        <w:tc>
          <w:tcPr>
            <w:tcW w:w="894" w:type="pct"/>
            <w:shd w:val="clear" w:color="auto" w:fill="auto"/>
          </w:tcPr>
          <w:p w14:paraId="56924A97" w14:textId="77777777" w:rsidR="0002298B" w:rsidRPr="00B0658A" w:rsidRDefault="0002298B" w:rsidP="000A4114">
            <w:pPr>
              <w:spacing w:after="0" w:line="240" w:lineRule="auto"/>
              <w:jc w:val="both"/>
              <w:rPr>
                <w:rFonts w:ascii="Times New Roman" w:hAnsi="Times New Roman"/>
                <w:i/>
                <w:iCs/>
                <w:sz w:val="20"/>
                <w:szCs w:val="20"/>
              </w:rPr>
            </w:pPr>
          </w:p>
        </w:tc>
      </w:tr>
      <w:tr w:rsidR="00F52FED" w:rsidRPr="00B0658A" w14:paraId="307EDC27" w14:textId="77777777" w:rsidTr="004F1366">
        <w:trPr>
          <w:trHeight w:val="170"/>
        </w:trPr>
        <w:tc>
          <w:tcPr>
            <w:tcW w:w="203" w:type="pct"/>
            <w:shd w:val="clear" w:color="auto" w:fill="auto"/>
            <w:vAlign w:val="center"/>
          </w:tcPr>
          <w:p w14:paraId="6D28CD5D"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20"/>
                <w:szCs w:val="20"/>
              </w:rPr>
              <w:t>3.9</w:t>
            </w:r>
          </w:p>
        </w:tc>
        <w:tc>
          <w:tcPr>
            <w:tcW w:w="1153" w:type="pct"/>
            <w:shd w:val="clear" w:color="auto" w:fill="auto"/>
            <w:vAlign w:val="center"/>
          </w:tcPr>
          <w:p w14:paraId="515B6624"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20"/>
                <w:szCs w:val="20"/>
              </w:rPr>
              <w:t>Средства обеспечения информационной безопасности/ Средства обнаружения и предотвращения утечек информации</w:t>
            </w:r>
          </w:p>
        </w:tc>
        <w:tc>
          <w:tcPr>
            <w:tcW w:w="624" w:type="pct"/>
          </w:tcPr>
          <w:p w14:paraId="3A6A4892" w14:textId="77777777" w:rsidR="0002298B" w:rsidRPr="00B0658A" w:rsidRDefault="0002298B" w:rsidP="000A4114">
            <w:pPr>
              <w:spacing w:after="0" w:line="240" w:lineRule="auto"/>
              <w:rPr>
                <w:rFonts w:ascii="Times New Roman" w:hAnsi="Times New Roman"/>
                <w:i/>
                <w:iCs/>
                <w:sz w:val="20"/>
                <w:szCs w:val="20"/>
              </w:rPr>
            </w:pPr>
          </w:p>
        </w:tc>
        <w:tc>
          <w:tcPr>
            <w:tcW w:w="1090" w:type="pct"/>
            <w:shd w:val="clear" w:color="auto" w:fill="auto"/>
          </w:tcPr>
          <w:p w14:paraId="1A6EEC8C" w14:textId="77777777" w:rsidR="0002298B" w:rsidRPr="00B0658A" w:rsidRDefault="0002298B" w:rsidP="000A4114">
            <w:pPr>
              <w:spacing w:after="0" w:line="240" w:lineRule="auto"/>
              <w:rPr>
                <w:rFonts w:ascii="Times New Roman" w:hAnsi="Times New Roman"/>
                <w:i/>
                <w:iCs/>
                <w:sz w:val="20"/>
                <w:szCs w:val="20"/>
              </w:rPr>
            </w:pPr>
          </w:p>
        </w:tc>
        <w:tc>
          <w:tcPr>
            <w:tcW w:w="1036" w:type="pct"/>
            <w:shd w:val="clear" w:color="auto" w:fill="auto"/>
          </w:tcPr>
          <w:p w14:paraId="2C7572BB" w14:textId="77777777" w:rsidR="0002298B" w:rsidRPr="00B0658A" w:rsidRDefault="0002298B" w:rsidP="000A4114">
            <w:pPr>
              <w:spacing w:after="0" w:line="240" w:lineRule="auto"/>
              <w:rPr>
                <w:rFonts w:ascii="Times New Roman" w:hAnsi="Times New Roman"/>
                <w:i/>
                <w:iCs/>
                <w:sz w:val="20"/>
                <w:szCs w:val="20"/>
              </w:rPr>
            </w:pPr>
          </w:p>
        </w:tc>
        <w:tc>
          <w:tcPr>
            <w:tcW w:w="894" w:type="pct"/>
            <w:shd w:val="clear" w:color="auto" w:fill="auto"/>
          </w:tcPr>
          <w:p w14:paraId="30BF286E" w14:textId="77777777" w:rsidR="0002298B" w:rsidRPr="00B0658A" w:rsidRDefault="0002298B" w:rsidP="000A4114">
            <w:pPr>
              <w:spacing w:after="0" w:line="240" w:lineRule="auto"/>
              <w:jc w:val="both"/>
              <w:rPr>
                <w:rFonts w:ascii="Times New Roman" w:hAnsi="Times New Roman"/>
                <w:i/>
                <w:iCs/>
                <w:sz w:val="20"/>
                <w:szCs w:val="20"/>
              </w:rPr>
            </w:pPr>
          </w:p>
        </w:tc>
      </w:tr>
      <w:tr w:rsidR="00F52FED" w:rsidRPr="00B0658A" w14:paraId="42F1C5EB" w14:textId="77777777" w:rsidTr="004F1366">
        <w:trPr>
          <w:trHeight w:val="170"/>
        </w:trPr>
        <w:tc>
          <w:tcPr>
            <w:tcW w:w="203" w:type="pct"/>
            <w:shd w:val="clear" w:color="auto" w:fill="auto"/>
            <w:vAlign w:val="center"/>
          </w:tcPr>
          <w:p w14:paraId="0DD095FE"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20"/>
                <w:szCs w:val="20"/>
              </w:rPr>
              <w:t>3.10</w:t>
            </w:r>
          </w:p>
        </w:tc>
        <w:tc>
          <w:tcPr>
            <w:tcW w:w="1153" w:type="pct"/>
            <w:shd w:val="clear" w:color="auto" w:fill="auto"/>
            <w:vAlign w:val="center"/>
          </w:tcPr>
          <w:p w14:paraId="1616F23D"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20"/>
                <w:szCs w:val="20"/>
              </w:rPr>
              <w:t>Средства обеспечения информационной безопасности/ Средства криптографической защиты информации и электронной подписи</w:t>
            </w:r>
          </w:p>
        </w:tc>
        <w:tc>
          <w:tcPr>
            <w:tcW w:w="624" w:type="pct"/>
          </w:tcPr>
          <w:p w14:paraId="0957D426" w14:textId="77777777" w:rsidR="0002298B" w:rsidRPr="00B0658A" w:rsidRDefault="0002298B" w:rsidP="000A4114">
            <w:pPr>
              <w:spacing w:after="0" w:line="240" w:lineRule="auto"/>
              <w:rPr>
                <w:rFonts w:ascii="Times New Roman" w:hAnsi="Times New Roman"/>
                <w:i/>
                <w:iCs/>
                <w:sz w:val="20"/>
                <w:szCs w:val="20"/>
              </w:rPr>
            </w:pPr>
          </w:p>
        </w:tc>
        <w:tc>
          <w:tcPr>
            <w:tcW w:w="1090" w:type="pct"/>
            <w:shd w:val="clear" w:color="auto" w:fill="auto"/>
          </w:tcPr>
          <w:p w14:paraId="09725BF2" w14:textId="77777777" w:rsidR="0002298B" w:rsidRPr="00B0658A" w:rsidRDefault="0002298B" w:rsidP="000A4114">
            <w:pPr>
              <w:spacing w:after="0" w:line="240" w:lineRule="auto"/>
              <w:rPr>
                <w:rFonts w:ascii="Times New Roman" w:hAnsi="Times New Roman"/>
                <w:i/>
                <w:iCs/>
                <w:sz w:val="20"/>
                <w:szCs w:val="20"/>
              </w:rPr>
            </w:pPr>
          </w:p>
        </w:tc>
        <w:tc>
          <w:tcPr>
            <w:tcW w:w="1036" w:type="pct"/>
            <w:shd w:val="clear" w:color="auto" w:fill="auto"/>
          </w:tcPr>
          <w:p w14:paraId="033E17DA" w14:textId="77777777" w:rsidR="0002298B" w:rsidRPr="00B0658A" w:rsidRDefault="0002298B" w:rsidP="000A4114">
            <w:pPr>
              <w:spacing w:after="0" w:line="240" w:lineRule="auto"/>
              <w:rPr>
                <w:rFonts w:ascii="Times New Roman" w:hAnsi="Times New Roman"/>
                <w:i/>
                <w:iCs/>
                <w:sz w:val="20"/>
                <w:szCs w:val="20"/>
              </w:rPr>
            </w:pPr>
          </w:p>
        </w:tc>
        <w:tc>
          <w:tcPr>
            <w:tcW w:w="894" w:type="pct"/>
            <w:shd w:val="clear" w:color="auto" w:fill="auto"/>
          </w:tcPr>
          <w:p w14:paraId="0025BDDF" w14:textId="77777777" w:rsidR="0002298B" w:rsidRPr="00B0658A" w:rsidRDefault="0002298B" w:rsidP="000A4114">
            <w:pPr>
              <w:spacing w:after="0" w:line="240" w:lineRule="auto"/>
              <w:jc w:val="both"/>
              <w:rPr>
                <w:rFonts w:ascii="Times New Roman" w:hAnsi="Times New Roman"/>
                <w:i/>
                <w:iCs/>
                <w:sz w:val="20"/>
                <w:szCs w:val="20"/>
              </w:rPr>
            </w:pPr>
          </w:p>
        </w:tc>
      </w:tr>
      <w:tr w:rsidR="00F52FED" w:rsidRPr="00B0658A" w14:paraId="7E39D6E5" w14:textId="77777777" w:rsidTr="004F1366">
        <w:trPr>
          <w:trHeight w:val="170"/>
        </w:trPr>
        <w:tc>
          <w:tcPr>
            <w:tcW w:w="203" w:type="pct"/>
            <w:shd w:val="clear" w:color="auto" w:fill="auto"/>
            <w:vAlign w:val="center"/>
          </w:tcPr>
          <w:p w14:paraId="504291CB"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20"/>
                <w:szCs w:val="20"/>
              </w:rPr>
              <w:t>3.11</w:t>
            </w:r>
          </w:p>
        </w:tc>
        <w:tc>
          <w:tcPr>
            <w:tcW w:w="1153" w:type="pct"/>
            <w:shd w:val="clear" w:color="auto" w:fill="auto"/>
            <w:vAlign w:val="center"/>
          </w:tcPr>
          <w:p w14:paraId="24E008FE"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20"/>
                <w:szCs w:val="20"/>
              </w:rPr>
              <w:t>Средства обеспечения информационной безопасности/ Средства защиты каналов передачи данных, в том числе криптографическими методами</w:t>
            </w:r>
          </w:p>
        </w:tc>
        <w:tc>
          <w:tcPr>
            <w:tcW w:w="624" w:type="pct"/>
          </w:tcPr>
          <w:p w14:paraId="41C5AF7F" w14:textId="77777777" w:rsidR="0002298B" w:rsidRPr="00B0658A" w:rsidRDefault="0002298B" w:rsidP="000A4114">
            <w:pPr>
              <w:spacing w:after="0" w:line="240" w:lineRule="auto"/>
              <w:rPr>
                <w:rFonts w:ascii="Times New Roman" w:hAnsi="Times New Roman"/>
                <w:i/>
                <w:iCs/>
                <w:sz w:val="20"/>
                <w:szCs w:val="20"/>
              </w:rPr>
            </w:pPr>
          </w:p>
        </w:tc>
        <w:tc>
          <w:tcPr>
            <w:tcW w:w="1090" w:type="pct"/>
            <w:shd w:val="clear" w:color="auto" w:fill="auto"/>
          </w:tcPr>
          <w:p w14:paraId="57EA6FF4" w14:textId="77777777" w:rsidR="0002298B" w:rsidRPr="00B0658A" w:rsidRDefault="0002298B" w:rsidP="000A4114">
            <w:pPr>
              <w:spacing w:after="0" w:line="240" w:lineRule="auto"/>
              <w:rPr>
                <w:rFonts w:ascii="Times New Roman" w:hAnsi="Times New Roman"/>
                <w:i/>
                <w:iCs/>
                <w:sz w:val="20"/>
                <w:szCs w:val="20"/>
              </w:rPr>
            </w:pPr>
          </w:p>
        </w:tc>
        <w:tc>
          <w:tcPr>
            <w:tcW w:w="1036" w:type="pct"/>
            <w:shd w:val="clear" w:color="auto" w:fill="auto"/>
          </w:tcPr>
          <w:p w14:paraId="57D5D528" w14:textId="77777777" w:rsidR="0002298B" w:rsidRPr="00B0658A" w:rsidRDefault="0002298B" w:rsidP="000A4114">
            <w:pPr>
              <w:spacing w:after="0" w:line="240" w:lineRule="auto"/>
              <w:rPr>
                <w:rFonts w:ascii="Times New Roman" w:hAnsi="Times New Roman"/>
                <w:i/>
                <w:iCs/>
                <w:sz w:val="20"/>
                <w:szCs w:val="20"/>
              </w:rPr>
            </w:pPr>
          </w:p>
        </w:tc>
        <w:tc>
          <w:tcPr>
            <w:tcW w:w="894" w:type="pct"/>
            <w:shd w:val="clear" w:color="auto" w:fill="auto"/>
          </w:tcPr>
          <w:p w14:paraId="415F407D" w14:textId="77777777" w:rsidR="0002298B" w:rsidRPr="00B0658A" w:rsidRDefault="0002298B" w:rsidP="000A4114">
            <w:pPr>
              <w:spacing w:after="0" w:line="240" w:lineRule="auto"/>
              <w:jc w:val="both"/>
              <w:rPr>
                <w:rFonts w:ascii="Times New Roman" w:hAnsi="Times New Roman"/>
                <w:i/>
                <w:iCs/>
                <w:sz w:val="20"/>
                <w:szCs w:val="20"/>
              </w:rPr>
            </w:pPr>
          </w:p>
        </w:tc>
      </w:tr>
      <w:tr w:rsidR="00F52FED" w:rsidRPr="00B0658A" w14:paraId="676EE85E" w14:textId="77777777" w:rsidTr="004F1366">
        <w:trPr>
          <w:trHeight w:val="170"/>
        </w:trPr>
        <w:tc>
          <w:tcPr>
            <w:tcW w:w="203" w:type="pct"/>
            <w:shd w:val="clear" w:color="auto" w:fill="auto"/>
            <w:vAlign w:val="center"/>
          </w:tcPr>
          <w:p w14:paraId="0BF60715"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20"/>
                <w:szCs w:val="20"/>
              </w:rPr>
              <w:t>3.12</w:t>
            </w:r>
          </w:p>
        </w:tc>
        <w:tc>
          <w:tcPr>
            <w:tcW w:w="1153" w:type="pct"/>
            <w:shd w:val="clear" w:color="auto" w:fill="auto"/>
            <w:vAlign w:val="center"/>
          </w:tcPr>
          <w:p w14:paraId="787A55B7"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20"/>
                <w:szCs w:val="20"/>
              </w:rPr>
              <w:t>Средства обеспечения информационной безопасности/ Системы управления доступом к информационным ресурсам</w:t>
            </w:r>
          </w:p>
        </w:tc>
        <w:tc>
          <w:tcPr>
            <w:tcW w:w="624" w:type="pct"/>
          </w:tcPr>
          <w:p w14:paraId="08374A51" w14:textId="77777777" w:rsidR="0002298B" w:rsidRPr="00B0658A" w:rsidRDefault="0002298B" w:rsidP="000A4114">
            <w:pPr>
              <w:spacing w:after="0" w:line="240" w:lineRule="auto"/>
              <w:rPr>
                <w:rFonts w:ascii="Times New Roman" w:hAnsi="Times New Roman"/>
                <w:i/>
                <w:iCs/>
                <w:sz w:val="20"/>
                <w:szCs w:val="20"/>
              </w:rPr>
            </w:pPr>
          </w:p>
        </w:tc>
        <w:tc>
          <w:tcPr>
            <w:tcW w:w="1090" w:type="pct"/>
            <w:shd w:val="clear" w:color="auto" w:fill="auto"/>
          </w:tcPr>
          <w:p w14:paraId="4C2AAA37" w14:textId="77777777" w:rsidR="0002298B" w:rsidRPr="00B0658A" w:rsidRDefault="0002298B" w:rsidP="000A4114">
            <w:pPr>
              <w:spacing w:after="0" w:line="240" w:lineRule="auto"/>
              <w:rPr>
                <w:rFonts w:ascii="Times New Roman" w:hAnsi="Times New Roman"/>
                <w:i/>
                <w:iCs/>
                <w:sz w:val="20"/>
                <w:szCs w:val="20"/>
              </w:rPr>
            </w:pPr>
          </w:p>
        </w:tc>
        <w:tc>
          <w:tcPr>
            <w:tcW w:w="1036" w:type="pct"/>
            <w:shd w:val="clear" w:color="auto" w:fill="auto"/>
          </w:tcPr>
          <w:p w14:paraId="1BD0E0F1" w14:textId="77777777" w:rsidR="0002298B" w:rsidRPr="00B0658A" w:rsidRDefault="0002298B" w:rsidP="000A4114">
            <w:pPr>
              <w:spacing w:after="0" w:line="240" w:lineRule="auto"/>
              <w:rPr>
                <w:rFonts w:ascii="Times New Roman" w:hAnsi="Times New Roman"/>
                <w:i/>
                <w:iCs/>
                <w:sz w:val="20"/>
                <w:szCs w:val="20"/>
              </w:rPr>
            </w:pPr>
          </w:p>
        </w:tc>
        <w:tc>
          <w:tcPr>
            <w:tcW w:w="894" w:type="pct"/>
            <w:shd w:val="clear" w:color="auto" w:fill="auto"/>
          </w:tcPr>
          <w:p w14:paraId="375232AD" w14:textId="77777777" w:rsidR="0002298B" w:rsidRPr="00B0658A" w:rsidRDefault="0002298B" w:rsidP="000A4114">
            <w:pPr>
              <w:spacing w:after="0" w:line="240" w:lineRule="auto"/>
              <w:jc w:val="both"/>
              <w:rPr>
                <w:rFonts w:ascii="Times New Roman" w:hAnsi="Times New Roman"/>
                <w:i/>
                <w:iCs/>
                <w:sz w:val="20"/>
                <w:szCs w:val="20"/>
              </w:rPr>
            </w:pPr>
          </w:p>
        </w:tc>
      </w:tr>
      <w:tr w:rsidR="00F52FED" w:rsidRPr="00B0658A" w14:paraId="0E844188" w14:textId="77777777" w:rsidTr="004F1366">
        <w:trPr>
          <w:trHeight w:val="170"/>
        </w:trPr>
        <w:tc>
          <w:tcPr>
            <w:tcW w:w="203" w:type="pct"/>
            <w:shd w:val="clear" w:color="auto" w:fill="auto"/>
            <w:vAlign w:val="center"/>
          </w:tcPr>
          <w:p w14:paraId="24D54FF7"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20"/>
                <w:szCs w:val="20"/>
              </w:rPr>
              <w:t>3.13</w:t>
            </w:r>
          </w:p>
        </w:tc>
        <w:tc>
          <w:tcPr>
            <w:tcW w:w="1153" w:type="pct"/>
            <w:shd w:val="clear" w:color="auto" w:fill="auto"/>
            <w:vAlign w:val="center"/>
          </w:tcPr>
          <w:p w14:paraId="26698D33"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20"/>
                <w:szCs w:val="20"/>
              </w:rPr>
              <w:t>Средства обеспечения информационной безопасности/ Средства резервного копирования</w:t>
            </w:r>
          </w:p>
        </w:tc>
        <w:tc>
          <w:tcPr>
            <w:tcW w:w="624" w:type="pct"/>
          </w:tcPr>
          <w:p w14:paraId="3A5AA888" w14:textId="77777777" w:rsidR="0002298B" w:rsidRPr="00B0658A" w:rsidRDefault="0002298B" w:rsidP="000A4114">
            <w:pPr>
              <w:spacing w:after="0" w:line="240" w:lineRule="auto"/>
              <w:rPr>
                <w:rFonts w:ascii="Times New Roman" w:hAnsi="Times New Roman"/>
                <w:i/>
                <w:iCs/>
                <w:sz w:val="20"/>
                <w:szCs w:val="20"/>
              </w:rPr>
            </w:pPr>
          </w:p>
        </w:tc>
        <w:tc>
          <w:tcPr>
            <w:tcW w:w="1090" w:type="pct"/>
            <w:shd w:val="clear" w:color="auto" w:fill="auto"/>
          </w:tcPr>
          <w:p w14:paraId="43003C6D" w14:textId="77777777" w:rsidR="0002298B" w:rsidRPr="00B0658A" w:rsidRDefault="0002298B" w:rsidP="000A4114">
            <w:pPr>
              <w:spacing w:after="0" w:line="240" w:lineRule="auto"/>
              <w:rPr>
                <w:rFonts w:ascii="Times New Roman" w:hAnsi="Times New Roman"/>
                <w:i/>
                <w:iCs/>
                <w:sz w:val="20"/>
                <w:szCs w:val="20"/>
              </w:rPr>
            </w:pPr>
          </w:p>
        </w:tc>
        <w:tc>
          <w:tcPr>
            <w:tcW w:w="1036" w:type="pct"/>
            <w:shd w:val="clear" w:color="auto" w:fill="auto"/>
          </w:tcPr>
          <w:p w14:paraId="7B1B0553" w14:textId="77777777" w:rsidR="0002298B" w:rsidRPr="00B0658A" w:rsidRDefault="0002298B" w:rsidP="000A4114">
            <w:pPr>
              <w:spacing w:after="0" w:line="240" w:lineRule="auto"/>
              <w:rPr>
                <w:rFonts w:ascii="Times New Roman" w:hAnsi="Times New Roman"/>
                <w:i/>
                <w:iCs/>
                <w:sz w:val="20"/>
                <w:szCs w:val="20"/>
              </w:rPr>
            </w:pPr>
          </w:p>
        </w:tc>
        <w:tc>
          <w:tcPr>
            <w:tcW w:w="894" w:type="pct"/>
            <w:shd w:val="clear" w:color="auto" w:fill="auto"/>
          </w:tcPr>
          <w:p w14:paraId="56A8384A" w14:textId="77777777" w:rsidR="0002298B" w:rsidRPr="00B0658A" w:rsidRDefault="0002298B" w:rsidP="000A4114">
            <w:pPr>
              <w:spacing w:after="0" w:line="240" w:lineRule="auto"/>
              <w:jc w:val="both"/>
              <w:rPr>
                <w:rFonts w:ascii="Times New Roman" w:hAnsi="Times New Roman"/>
                <w:i/>
                <w:iCs/>
                <w:sz w:val="20"/>
                <w:szCs w:val="20"/>
              </w:rPr>
            </w:pPr>
          </w:p>
        </w:tc>
      </w:tr>
      <w:tr w:rsidR="00F52FED" w:rsidRPr="00B0658A" w14:paraId="295EA838" w14:textId="77777777" w:rsidTr="004F1366">
        <w:trPr>
          <w:trHeight w:val="170"/>
        </w:trPr>
        <w:tc>
          <w:tcPr>
            <w:tcW w:w="203" w:type="pct"/>
            <w:shd w:val="clear" w:color="auto" w:fill="auto"/>
            <w:vAlign w:val="center"/>
          </w:tcPr>
          <w:p w14:paraId="02D2BF4C"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20"/>
                <w:szCs w:val="20"/>
              </w:rPr>
              <w:t>3.14</w:t>
            </w:r>
          </w:p>
        </w:tc>
        <w:tc>
          <w:tcPr>
            <w:tcW w:w="1153" w:type="pct"/>
            <w:shd w:val="clear" w:color="auto" w:fill="auto"/>
            <w:vAlign w:val="center"/>
          </w:tcPr>
          <w:p w14:paraId="6A01859F"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20"/>
                <w:szCs w:val="20"/>
              </w:rPr>
              <w:t>Средства обеспечения информационной безопасности/ Средства обнаружения и/или предотвращения вторжений (атак)</w:t>
            </w:r>
          </w:p>
        </w:tc>
        <w:tc>
          <w:tcPr>
            <w:tcW w:w="624" w:type="pct"/>
          </w:tcPr>
          <w:p w14:paraId="57701BC0" w14:textId="77777777" w:rsidR="0002298B" w:rsidRPr="00B0658A" w:rsidRDefault="0002298B" w:rsidP="000A4114">
            <w:pPr>
              <w:spacing w:after="0" w:line="240" w:lineRule="auto"/>
              <w:rPr>
                <w:rFonts w:ascii="Times New Roman" w:hAnsi="Times New Roman"/>
                <w:i/>
                <w:iCs/>
                <w:sz w:val="20"/>
                <w:szCs w:val="20"/>
              </w:rPr>
            </w:pPr>
          </w:p>
        </w:tc>
        <w:tc>
          <w:tcPr>
            <w:tcW w:w="1090" w:type="pct"/>
            <w:shd w:val="clear" w:color="auto" w:fill="auto"/>
          </w:tcPr>
          <w:p w14:paraId="02E57051" w14:textId="77777777" w:rsidR="0002298B" w:rsidRPr="00B0658A" w:rsidRDefault="0002298B" w:rsidP="000A4114">
            <w:pPr>
              <w:spacing w:after="0" w:line="240" w:lineRule="auto"/>
              <w:rPr>
                <w:rFonts w:ascii="Times New Roman" w:hAnsi="Times New Roman"/>
                <w:i/>
                <w:iCs/>
                <w:sz w:val="20"/>
                <w:szCs w:val="20"/>
              </w:rPr>
            </w:pPr>
          </w:p>
        </w:tc>
        <w:tc>
          <w:tcPr>
            <w:tcW w:w="1036" w:type="pct"/>
            <w:shd w:val="clear" w:color="auto" w:fill="auto"/>
          </w:tcPr>
          <w:p w14:paraId="3712858E" w14:textId="77777777" w:rsidR="0002298B" w:rsidRPr="00B0658A" w:rsidRDefault="0002298B" w:rsidP="000A4114">
            <w:pPr>
              <w:spacing w:after="0" w:line="240" w:lineRule="auto"/>
              <w:rPr>
                <w:rFonts w:ascii="Times New Roman" w:hAnsi="Times New Roman"/>
                <w:i/>
                <w:iCs/>
                <w:sz w:val="20"/>
                <w:szCs w:val="20"/>
              </w:rPr>
            </w:pPr>
          </w:p>
        </w:tc>
        <w:tc>
          <w:tcPr>
            <w:tcW w:w="894" w:type="pct"/>
            <w:shd w:val="clear" w:color="auto" w:fill="auto"/>
          </w:tcPr>
          <w:p w14:paraId="5C9A5FEB" w14:textId="77777777" w:rsidR="0002298B" w:rsidRPr="00B0658A" w:rsidRDefault="0002298B" w:rsidP="000A4114">
            <w:pPr>
              <w:spacing w:after="0" w:line="240" w:lineRule="auto"/>
              <w:jc w:val="both"/>
              <w:rPr>
                <w:rFonts w:ascii="Times New Roman" w:hAnsi="Times New Roman"/>
                <w:i/>
                <w:iCs/>
                <w:sz w:val="20"/>
                <w:szCs w:val="20"/>
              </w:rPr>
            </w:pPr>
          </w:p>
        </w:tc>
      </w:tr>
      <w:tr w:rsidR="00F52FED" w:rsidRPr="00B0658A" w14:paraId="78C85A4D" w14:textId="77777777" w:rsidTr="004F1366">
        <w:trPr>
          <w:trHeight w:val="170"/>
        </w:trPr>
        <w:tc>
          <w:tcPr>
            <w:tcW w:w="203" w:type="pct"/>
            <w:shd w:val="clear" w:color="auto" w:fill="auto"/>
            <w:vAlign w:val="center"/>
          </w:tcPr>
          <w:p w14:paraId="2F682AC3"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20"/>
                <w:szCs w:val="20"/>
              </w:rPr>
              <w:t>3.15</w:t>
            </w:r>
          </w:p>
        </w:tc>
        <w:tc>
          <w:tcPr>
            <w:tcW w:w="1153" w:type="pct"/>
            <w:shd w:val="clear" w:color="auto" w:fill="auto"/>
            <w:vAlign w:val="center"/>
          </w:tcPr>
          <w:p w14:paraId="4A3D3A14"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20"/>
                <w:szCs w:val="20"/>
              </w:rPr>
              <w:t>Средства обеспечения информационной безопасности/ Средства обнаружения угроз и расследования сетевых инцидентов</w:t>
            </w:r>
          </w:p>
        </w:tc>
        <w:tc>
          <w:tcPr>
            <w:tcW w:w="624" w:type="pct"/>
          </w:tcPr>
          <w:p w14:paraId="29E9F6CC" w14:textId="77777777" w:rsidR="0002298B" w:rsidRPr="00B0658A" w:rsidRDefault="0002298B" w:rsidP="000A4114">
            <w:pPr>
              <w:spacing w:after="0" w:line="240" w:lineRule="auto"/>
              <w:rPr>
                <w:rFonts w:ascii="Times New Roman" w:hAnsi="Times New Roman"/>
                <w:i/>
                <w:iCs/>
                <w:sz w:val="20"/>
                <w:szCs w:val="20"/>
              </w:rPr>
            </w:pPr>
          </w:p>
        </w:tc>
        <w:tc>
          <w:tcPr>
            <w:tcW w:w="1090" w:type="pct"/>
            <w:shd w:val="clear" w:color="auto" w:fill="auto"/>
          </w:tcPr>
          <w:p w14:paraId="0FADA84F" w14:textId="77777777" w:rsidR="0002298B" w:rsidRPr="00B0658A" w:rsidRDefault="0002298B" w:rsidP="000A4114">
            <w:pPr>
              <w:spacing w:after="0" w:line="240" w:lineRule="auto"/>
              <w:rPr>
                <w:rFonts w:ascii="Times New Roman" w:hAnsi="Times New Roman"/>
                <w:i/>
                <w:iCs/>
                <w:sz w:val="20"/>
                <w:szCs w:val="20"/>
              </w:rPr>
            </w:pPr>
          </w:p>
        </w:tc>
        <w:tc>
          <w:tcPr>
            <w:tcW w:w="1036" w:type="pct"/>
            <w:shd w:val="clear" w:color="auto" w:fill="auto"/>
          </w:tcPr>
          <w:p w14:paraId="141E9B05" w14:textId="77777777" w:rsidR="0002298B" w:rsidRPr="00B0658A" w:rsidRDefault="0002298B" w:rsidP="000A4114">
            <w:pPr>
              <w:spacing w:after="0" w:line="240" w:lineRule="auto"/>
              <w:rPr>
                <w:rFonts w:ascii="Times New Roman" w:hAnsi="Times New Roman"/>
                <w:i/>
                <w:iCs/>
                <w:sz w:val="20"/>
                <w:szCs w:val="20"/>
              </w:rPr>
            </w:pPr>
          </w:p>
        </w:tc>
        <w:tc>
          <w:tcPr>
            <w:tcW w:w="894" w:type="pct"/>
            <w:shd w:val="clear" w:color="auto" w:fill="auto"/>
          </w:tcPr>
          <w:p w14:paraId="752DCAC2" w14:textId="77777777" w:rsidR="0002298B" w:rsidRPr="00B0658A" w:rsidRDefault="0002298B" w:rsidP="000A4114">
            <w:pPr>
              <w:spacing w:after="0" w:line="240" w:lineRule="auto"/>
              <w:jc w:val="both"/>
              <w:rPr>
                <w:rFonts w:ascii="Times New Roman" w:hAnsi="Times New Roman"/>
                <w:i/>
                <w:iCs/>
                <w:sz w:val="20"/>
                <w:szCs w:val="20"/>
              </w:rPr>
            </w:pPr>
          </w:p>
        </w:tc>
      </w:tr>
      <w:tr w:rsidR="00F52FED" w:rsidRPr="00B0658A" w14:paraId="67EF0FF4" w14:textId="77777777" w:rsidTr="004F1366">
        <w:trPr>
          <w:trHeight w:val="170"/>
        </w:trPr>
        <w:tc>
          <w:tcPr>
            <w:tcW w:w="203" w:type="pct"/>
            <w:shd w:val="clear" w:color="auto" w:fill="auto"/>
            <w:vAlign w:val="center"/>
          </w:tcPr>
          <w:p w14:paraId="393D367B"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20"/>
                <w:szCs w:val="20"/>
              </w:rPr>
              <w:t>3.16</w:t>
            </w:r>
          </w:p>
        </w:tc>
        <w:tc>
          <w:tcPr>
            <w:tcW w:w="1153" w:type="pct"/>
            <w:shd w:val="clear" w:color="auto" w:fill="auto"/>
            <w:vAlign w:val="center"/>
          </w:tcPr>
          <w:p w14:paraId="7C5FE5EB"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20"/>
                <w:szCs w:val="20"/>
              </w:rPr>
              <w:t>Средства обеспечения информационной безопасности/ Средства администрирования и управления жизненным циклом ключевых носителей</w:t>
            </w:r>
          </w:p>
        </w:tc>
        <w:tc>
          <w:tcPr>
            <w:tcW w:w="624" w:type="pct"/>
          </w:tcPr>
          <w:p w14:paraId="06047564" w14:textId="77777777" w:rsidR="0002298B" w:rsidRPr="00B0658A" w:rsidRDefault="0002298B" w:rsidP="000A4114">
            <w:pPr>
              <w:spacing w:after="0" w:line="240" w:lineRule="auto"/>
              <w:rPr>
                <w:rFonts w:ascii="Times New Roman" w:hAnsi="Times New Roman"/>
                <w:i/>
                <w:iCs/>
                <w:sz w:val="20"/>
                <w:szCs w:val="20"/>
              </w:rPr>
            </w:pPr>
          </w:p>
        </w:tc>
        <w:tc>
          <w:tcPr>
            <w:tcW w:w="1090" w:type="pct"/>
            <w:shd w:val="clear" w:color="auto" w:fill="auto"/>
          </w:tcPr>
          <w:p w14:paraId="74182B1B" w14:textId="77777777" w:rsidR="0002298B" w:rsidRPr="00B0658A" w:rsidRDefault="0002298B" w:rsidP="000A4114">
            <w:pPr>
              <w:spacing w:after="0" w:line="240" w:lineRule="auto"/>
              <w:rPr>
                <w:rFonts w:ascii="Times New Roman" w:hAnsi="Times New Roman"/>
                <w:i/>
                <w:iCs/>
                <w:sz w:val="20"/>
                <w:szCs w:val="20"/>
              </w:rPr>
            </w:pPr>
          </w:p>
        </w:tc>
        <w:tc>
          <w:tcPr>
            <w:tcW w:w="1036" w:type="pct"/>
            <w:shd w:val="clear" w:color="auto" w:fill="auto"/>
          </w:tcPr>
          <w:p w14:paraId="5E3AAA56" w14:textId="77777777" w:rsidR="0002298B" w:rsidRPr="00B0658A" w:rsidRDefault="0002298B" w:rsidP="000A4114">
            <w:pPr>
              <w:spacing w:after="0" w:line="240" w:lineRule="auto"/>
              <w:rPr>
                <w:rFonts w:ascii="Times New Roman" w:hAnsi="Times New Roman"/>
                <w:i/>
                <w:iCs/>
                <w:sz w:val="20"/>
                <w:szCs w:val="20"/>
              </w:rPr>
            </w:pPr>
          </w:p>
        </w:tc>
        <w:tc>
          <w:tcPr>
            <w:tcW w:w="894" w:type="pct"/>
            <w:shd w:val="clear" w:color="auto" w:fill="auto"/>
          </w:tcPr>
          <w:p w14:paraId="0BA58514" w14:textId="77777777" w:rsidR="0002298B" w:rsidRPr="00B0658A" w:rsidRDefault="0002298B" w:rsidP="000A4114">
            <w:pPr>
              <w:spacing w:after="0" w:line="240" w:lineRule="auto"/>
              <w:jc w:val="both"/>
              <w:rPr>
                <w:rFonts w:ascii="Times New Roman" w:hAnsi="Times New Roman"/>
                <w:i/>
                <w:iCs/>
                <w:sz w:val="20"/>
                <w:szCs w:val="20"/>
              </w:rPr>
            </w:pPr>
          </w:p>
        </w:tc>
      </w:tr>
      <w:tr w:rsidR="00F52FED" w:rsidRPr="00B0658A" w14:paraId="3AAE3875" w14:textId="77777777" w:rsidTr="004F1366">
        <w:trPr>
          <w:trHeight w:val="170"/>
        </w:trPr>
        <w:tc>
          <w:tcPr>
            <w:tcW w:w="203" w:type="pct"/>
            <w:shd w:val="clear" w:color="auto" w:fill="auto"/>
            <w:vAlign w:val="center"/>
          </w:tcPr>
          <w:p w14:paraId="5943EC9D"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20"/>
                <w:szCs w:val="20"/>
              </w:rPr>
              <w:t>3.17</w:t>
            </w:r>
          </w:p>
        </w:tc>
        <w:tc>
          <w:tcPr>
            <w:tcW w:w="1153" w:type="pct"/>
            <w:shd w:val="clear" w:color="auto" w:fill="auto"/>
            <w:vAlign w:val="center"/>
          </w:tcPr>
          <w:p w14:paraId="1DD92F3C"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20"/>
                <w:szCs w:val="20"/>
              </w:rPr>
              <w:t>Средства обеспечения информационной безопасности/ Средства автоматизации процессов информационной безопасности</w:t>
            </w:r>
          </w:p>
        </w:tc>
        <w:tc>
          <w:tcPr>
            <w:tcW w:w="624" w:type="pct"/>
          </w:tcPr>
          <w:p w14:paraId="2FF5CF5D" w14:textId="77777777" w:rsidR="0002298B" w:rsidRPr="00B0658A" w:rsidRDefault="0002298B" w:rsidP="000A4114">
            <w:pPr>
              <w:spacing w:after="0" w:line="240" w:lineRule="auto"/>
              <w:rPr>
                <w:rFonts w:ascii="Times New Roman" w:hAnsi="Times New Roman"/>
                <w:i/>
                <w:iCs/>
                <w:sz w:val="20"/>
                <w:szCs w:val="20"/>
              </w:rPr>
            </w:pPr>
          </w:p>
        </w:tc>
        <w:tc>
          <w:tcPr>
            <w:tcW w:w="1090" w:type="pct"/>
            <w:shd w:val="clear" w:color="auto" w:fill="auto"/>
          </w:tcPr>
          <w:p w14:paraId="0420EFF7" w14:textId="77777777" w:rsidR="0002298B" w:rsidRPr="00B0658A" w:rsidRDefault="0002298B" w:rsidP="000A4114">
            <w:pPr>
              <w:spacing w:after="0" w:line="240" w:lineRule="auto"/>
              <w:rPr>
                <w:rFonts w:ascii="Times New Roman" w:hAnsi="Times New Roman"/>
                <w:i/>
                <w:iCs/>
                <w:sz w:val="20"/>
                <w:szCs w:val="20"/>
              </w:rPr>
            </w:pPr>
          </w:p>
        </w:tc>
        <w:tc>
          <w:tcPr>
            <w:tcW w:w="1036" w:type="pct"/>
            <w:shd w:val="clear" w:color="auto" w:fill="auto"/>
          </w:tcPr>
          <w:p w14:paraId="7EA28DA6" w14:textId="77777777" w:rsidR="0002298B" w:rsidRPr="00B0658A" w:rsidRDefault="0002298B" w:rsidP="000A4114">
            <w:pPr>
              <w:spacing w:after="0" w:line="240" w:lineRule="auto"/>
              <w:rPr>
                <w:rFonts w:ascii="Times New Roman" w:hAnsi="Times New Roman"/>
                <w:i/>
                <w:iCs/>
                <w:sz w:val="20"/>
                <w:szCs w:val="20"/>
              </w:rPr>
            </w:pPr>
          </w:p>
        </w:tc>
        <w:tc>
          <w:tcPr>
            <w:tcW w:w="894" w:type="pct"/>
            <w:shd w:val="clear" w:color="auto" w:fill="auto"/>
          </w:tcPr>
          <w:p w14:paraId="3D211EFA" w14:textId="77777777" w:rsidR="0002298B" w:rsidRPr="00B0658A" w:rsidRDefault="0002298B" w:rsidP="000A4114">
            <w:pPr>
              <w:spacing w:after="0" w:line="240" w:lineRule="auto"/>
              <w:jc w:val="both"/>
              <w:rPr>
                <w:rFonts w:ascii="Times New Roman" w:hAnsi="Times New Roman"/>
                <w:i/>
                <w:iCs/>
                <w:sz w:val="20"/>
                <w:szCs w:val="20"/>
              </w:rPr>
            </w:pPr>
          </w:p>
        </w:tc>
      </w:tr>
      <w:tr w:rsidR="00F52FED" w:rsidRPr="00B0658A" w14:paraId="5C11067F" w14:textId="77777777" w:rsidTr="004F1366">
        <w:trPr>
          <w:trHeight w:val="170"/>
        </w:trPr>
        <w:tc>
          <w:tcPr>
            <w:tcW w:w="203" w:type="pct"/>
            <w:shd w:val="clear" w:color="auto" w:fill="auto"/>
            <w:vAlign w:val="center"/>
          </w:tcPr>
          <w:p w14:paraId="48B8BFF6"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20"/>
                <w:szCs w:val="20"/>
              </w:rPr>
              <w:t>4.1</w:t>
            </w:r>
          </w:p>
        </w:tc>
        <w:tc>
          <w:tcPr>
            <w:tcW w:w="1153" w:type="pct"/>
            <w:shd w:val="clear" w:color="auto" w:fill="auto"/>
            <w:vAlign w:val="center"/>
          </w:tcPr>
          <w:p w14:paraId="72A929F0"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20"/>
                <w:szCs w:val="20"/>
              </w:rPr>
              <w:t>Средства разработки программного обеспечения/ Средства подготовки исполнимого кода</w:t>
            </w:r>
          </w:p>
        </w:tc>
        <w:tc>
          <w:tcPr>
            <w:tcW w:w="624" w:type="pct"/>
          </w:tcPr>
          <w:p w14:paraId="5EBAD9C4" w14:textId="77777777" w:rsidR="0002298B" w:rsidRPr="00B0658A" w:rsidRDefault="0002298B" w:rsidP="000A4114">
            <w:pPr>
              <w:spacing w:after="0" w:line="240" w:lineRule="auto"/>
              <w:rPr>
                <w:rFonts w:ascii="Times New Roman" w:hAnsi="Times New Roman"/>
                <w:i/>
                <w:iCs/>
                <w:sz w:val="20"/>
                <w:szCs w:val="20"/>
              </w:rPr>
            </w:pPr>
          </w:p>
        </w:tc>
        <w:tc>
          <w:tcPr>
            <w:tcW w:w="1090" w:type="pct"/>
            <w:shd w:val="clear" w:color="auto" w:fill="auto"/>
          </w:tcPr>
          <w:p w14:paraId="41411E87" w14:textId="77777777" w:rsidR="0002298B" w:rsidRPr="00B0658A" w:rsidRDefault="0002298B" w:rsidP="000A4114">
            <w:pPr>
              <w:spacing w:after="0" w:line="240" w:lineRule="auto"/>
              <w:rPr>
                <w:rFonts w:ascii="Times New Roman" w:hAnsi="Times New Roman"/>
                <w:i/>
                <w:iCs/>
                <w:sz w:val="20"/>
                <w:szCs w:val="20"/>
              </w:rPr>
            </w:pPr>
          </w:p>
        </w:tc>
        <w:tc>
          <w:tcPr>
            <w:tcW w:w="1036" w:type="pct"/>
            <w:shd w:val="clear" w:color="auto" w:fill="auto"/>
          </w:tcPr>
          <w:p w14:paraId="7A3CF137" w14:textId="77777777" w:rsidR="0002298B" w:rsidRPr="00B0658A" w:rsidRDefault="0002298B" w:rsidP="000A4114">
            <w:pPr>
              <w:spacing w:after="0" w:line="240" w:lineRule="auto"/>
              <w:rPr>
                <w:rFonts w:ascii="Times New Roman" w:hAnsi="Times New Roman"/>
                <w:i/>
                <w:iCs/>
                <w:sz w:val="20"/>
                <w:szCs w:val="20"/>
              </w:rPr>
            </w:pPr>
          </w:p>
        </w:tc>
        <w:tc>
          <w:tcPr>
            <w:tcW w:w="894" w:type="pct"/>
            <w:shd w:val="clear" w:color="auto" w:fill="auto"/>
          </w:tcPr>
          <w:p w14:paraId="0EFEB276" w14:textId="77777777" w:rsidR="0002298B" w:rsidRPr="00B0658A" w:rsidRDefault="0002298B" w:rsidP="000A4114">
            <w:pPr>
              <w:spacing w:after="0" w:line="240" w:lineRule="auto"/>
              <w:jc w:val="both"/>
              <w:rPr>
                <w:rFonts w:ascii="Times New Roman" w:hAnsi="Times New Roman"/>
                <w:i/>
                <w:iCs/>
                <w:sz w:val="20"/>
                <w:szCs w:val="20"/>
              </w:rPr>
            </w:pPr>
          </w:p>
        </w:tc>
      </w:tr>
      <w:tr w:rsidR="00F52FED" w:rsidRPr="00B0658A" w14:paraId="0F5EA8A0" w14:textId="77777777" w:rsidTr="004F1366">
        <w:trPr>
          <w:trHeight w:val="170"/>
        </w:trPr>
        <w:tc>
          <w:tcPr>
            <w:tcW w:w="203" w:type="pct"/>
            <w:shd w:val="clear" w:color="auto" w:fill="auto"/>
            <w:vAlign w:val="center"/>
          </w:tcPr>
          <w:p w14:paraId="143327BB" w14:textId="77777777" w:rsidR="0002298B" w:rsidRPr="00B0658A" w:rsidDel="00EC4B3C" w:rsidRDefault="0002298B" w:rsidP="000A4114">
            <w:pPr>
              <w:spacing w:after="0" w:line="240" w:lineRule="auto"/>
              <w:rPr>
                <w:rFonts w:ascii="Times New Roman" w:hAnsi="Times New Roman"/>
                <w:b/>
                <w:sz w:val="20"/>
                <w:szCs w:val="20"/>
              </w:rPr>
            </w:pPr>
            <w:r w:rsidRPr="00B0658A">
              <w:rPr>
                <w:rFonts w:ascii="Times New Roman" w:hAnsi="Times New Roman"/>
                <w:sz w:val="20"/>
                <w:szCs w:val="20"/>
              </w:rPr>
              <w:t>4.2</w:t>
            </w:r>
          </w:p>
        </w:tc>
        <w:tc>
          <w:tcPr>
            <w:tcW w:w="1153" w:type="pct"/>
            <w:shd w:val="clear" w:color="auto" w:fill="auto"/>
            <w:vAlign w:val="center"/>
          </w:tcPr>
          <w:p w14:paraId="0987F280" w14:textId="77777777" w:rsidR="0002298B" w:rsidRPr="00B0658A" w:rsidRDefault="0002298B" w:rsidP="000A4114">
            <w:pPr>
              <w:spacing w:after="0" w:line="240" w:lineRule="auto"/>
              <w:rPr>
                <w:rFonts w:ascii="Times New Roman" w:hAnsi="Times New Roman"/>
                <w:b/>
                <w:sz w:val="20"/>
                <w:szCs w:val="20"/>
              </w:rPr>
            </w:pPr>
            <w:r w:rsidRPr="00B0658A">
              <w:rPr>
                <w:rFonts w:ascii="Times New Roman" w:hAnsi="Times New Roman"/>
                <w:sz w:val="20"/>
                <w:szCs w:val="20"/>
              </w:rPr>
              <w:t>Средства разработки программного обеспечения/ Средства версионного контроля исходного кода</w:t>
            </w:r>
          </w:p>
        </w:tc>
        <w:tc>
          <w:tcPr>
            <w:tcW w:w="624" w:type="pct"/>
          </w:tcPr>
          <w:p w14:paraId="3F6EC981" w14:textId="77777777" w:rsidR="0002298B" w:rsidRPr="00B0658A" w:rsidRDefault="0002298B" w:rsidP="000A4114">
            <w:pPr>
              <w:spacing w:after="0" w:line="240" w:lineRule="auto"/>
              <w:rPr>
                <w:rFonts w:ascii="Times New Roman" w:hAnsi="Times New Roman"/>
                <w:i/>
                <w:iCs/>
                <w:sz w:val="20"/>
                <w:szCs w:val="20"/>
              </w:rPr>
            </w:pPr>
          </w:p>
        </w:tc>
        <w:tc>
          <w:tcPr>
            <w:tcW w:w="1090" w:type="pct"/>
            <w:shd w:val="clear" w:color="auto" w:fill="auto"/>
          </w:tcPr>
          <w:p w14:paraId="18352BC3" w14:textId="77777777" w:rsidR="0002298B" w:rsidRPr="00B0658A" w:rsidRDefault="0002298B" w:rsidP="000A4114">
            <w:pPr>
              <w:spacing w:after="0" w:line="240" w:lineRule="auto"/>
              <w:rPr>
                <w:rFonts w:ascii="Times New Roman" w:hAnsi="Times New Roman"/>
                <w:i/>
                <w:iCs/>
                <w:sz w:val="20"/>
                <w:szCs w:val="20"/>
              </w:rPr>
            </w:pPr>
          </w:p>
        </w:tc>
        <w:tc>
          <w:tcPr>
            <w:tcW w:w="1036" w:type="pct"/>
            <w:shd w:val="clear" w:color="auto" w:fill="auto"/>
          </w:tcPr>
          <w:p w14:paraId="4ADC9FC5" w14:textId="77777777" w:rsidR="0002298B" w:rsidRPr="00B0658A" w:rsidRDefault="0002298B" w:rsidP="000A4114">
            <w:pPr>
              <w:spacing w:after="0" w:line="240" w:lineRule="auto"/>
              <w:rPr>
                <w:rFonts w:ascii="Times New Roman" w:hAnsi="Times New Roman"/>
                <w:i/>
                <w:iCs/>
                <w:sz w:val="20"/>
                <w:szCs w:val="20"/>
              </w:rPr>
            </w:pPr>
          </w:p>
        </w:tc>
        <w:tc>
          <w:tcPr>
            <w:tcW w:w="894" w:type="pct"/>
            <w:shd w:val="clear" w:color="auto" w:fill="auto"/>
          </w:tcPr>
          <w:p w14:paraId="0CEA30CC" w14:textId="77777777" w:rsidR="0002298B" w:rsidRPr="00B0658A" w:rsidRDefault="0002298B" w:rsidP="000A4114">
            <w:pPr>
              <w:spacing w:after="0" w:line="240" w:lineRule="auto"/>
              <w:jc w:val="both"/>
              <w:rPr>
                <w:rFonts w:ascii="Times New Roman" w:hAnsi="Times New Roman"/>
                <w:i/>
                <w:iCs/>
                <w:sz w:val="20"/>
                <w:szCs w:val="20"/>
              </w:rPr>
            </w:pPr>
          </w:p>
        </w:tc>
      </w:tr>
      <w:tr w:rsidR="00F52FED" w:rsidRPr="00B0658A" w14:paraId="6E268103" w14:textId="77777777" w:rsidTr="004F1366">
        <w:trPr>
          <w:trHeight w:val="170"/>
        </w:trPr>
        <w:tc>
          <w:tcPr>
            <w:tcW w:w="203" w:type="pct"/>
            <w:shd w:val="clear" w:color="auto" w:fill="auto"/>
            <w:vAlign w:val="center"/>
          </w:tcPr>
          <w:p w14:paraId="3D77C38A" w14:textId="77777777" w:rsidR="0002298B" w:rsidRPr="00B0658A" w:rsidDel="00EC4B3C" w:rsidRDefault="0002298B" w:rsidP="000A4114">
            <w:pPr>
              <w:spacing w:after="0" w:line="240" w:lineRule="auto"/>
              <w:rPr>
                <w:rFonts w:ascii="Times New Roman" w:hAnsi="Times New Roman"/>
                <w:b/>
                <w:sz w:val="20"/>
                <w:szCs w:val="20"/>
              </w:rPr>
            </w:pPr>
            <w:r w:rsidRPr="00B0658A">
              <w:rPr>
                <w:rFonts w:ascii="Times New Roman" w:hAnsi="Times New Roman"/>
                <w:sz w:val="20"/>
                <w:szCs w:val="20"/>
              </w:rPr>
              <w:t>4.3</w:t>
            </w:r>
          </w:p>
        </w:tc>
        <w:tc>
          <w:tcPr>
            <w:tcW w:w="1153" w:type="pct"/>
            <w:shd w:val="clear" w:color="auto" w:fill="auto"/>
            <w:vAlign w:val="center"/>
          </w:tcPr>
          <w:p w14:paraId="36954E90" w14:textId="77777777" w:rsidR="0002298B" w:rsidRPr="00B0658A" w:rsidRDefault="0002298B" w:rsidP="000A4114">
            <w:pPr>
              <w:spacing w:after="0" w:line="240" w:lineRule="auto"/>
              <w:rPr>
                <w:rFonts w:ascii="Times New Roman" w:hAnsi="Times New Roman"/>
                <w:b/>
                <w:sz w:val="20"/>
                <w:szCs w:val="20"/>
              </w:rPr>
            </w:pPr>
            <w:r w:rsidRPr="00B0658A">
              <w:rPr>
                <w:rFonts w:ascii="Times New Roman" w:hAnsi="Times New Roman"/>
                <w:sz w:val="20"/>
                <w:szCs w:val="20"/>
              </w:rPr>
              <w:t>Средства разработки программного обеспечения/ Библиотеки подпрограмм (SDK)</w:t>
            </w:r>
          </w:p>
        </w:tc>
        <w:tc>
          <w:tcPr>
            <w:tcW w:w="624" w:type="pct"/>
          </w:tcPr>
          <w:p w14:paraId="18F3C474" w14:textId="77777777" w:rsidR="0002298B" w:rsidRPr="00B0658A" w:rsidRDefault="0002298B" w:rsidP="000A4114">
            <w:pPr>
              <w:spacing w:after="0" w:line="240" w:lineRule="auto"/>
              <w:rPr>
                <w:rFonts w:ascii="Times New Roman" w:hAnsi="Times New Roman"/>
                <w:i/>
                <w:iCs/>
                <w:sz w:val="20"/>
                <w:szCs w:val="20"/>
              </w:rPr>
            </w:pPr>
          </w:p>
        </w:tc>
        <w:tc>
          <w:tcPr>
            <w:tcW w:w="1090" w:type="pct"/>
            <w:shd w:val="clear" w:color="auto" w:fill="auto"/>
          </w:tcPr>
          <w:p w14:paraId="5AC45D52" w14:textId="77777777" w:rsidR="0002298B" w:rsidRPr="00B0658A" w:rsidRDefault="0002298B" w:rsidP="000A4114">
            <w:pPr>
              <w:spacing w:after="0" w:line="240" w:lineRule="auto"/>
              <w:rPr>
                <w:rFonts w:ascii="Times New Roman" w:hAnsi="Times New Roman"/>
                <w:i/>
                <w:iCs/>
                <w:sz w:val="20"/>
                <w:szCs w:val="20"/>
              </w:rPr>
            </w:pPr>
          </w:p>
        </w:tc>
        <w:tc>
          <w:tcPr>
            <w:tcW w:w="1036" w:type="pct"/>
            <w:shd w:val="clear" w:color="auto" w:fill="auto"/>
          </w:tcPr>
          <w:p w14:paraId="3A3D020F" w14:textId="77777777" w:rsidR="0002298B" w:rsidRPr="00B0658A" w:rsidRDefault="0002298B" w:rsidP="000A4114">
            <w:pPr>
              <w:spacing w:after="0" w:line="240" w:lineRule="auto"/>
              <w:rPr>
                <w:rFonts w:ascii="Times New Roman" w:hAnsi="Times New Roman"/>
                <w:i/>
                <w:iCs/>
                <w:sz w:val="20"/>
                <w:szCs w:val="20"/>
              </w:rPr>
            </w:pPr>
          </w:p>
        </w:tc>
        <w:tc>
          <w:tcPr>
            <w:tcW w:w="894" w:type="pct"/>
            <w:shd w:val="clear" w:color="auto" w:fill="auto"/>
          </w:tcPr>
          <w:p w14:paraId="5184C92C" w14:textId="77777777" w:rsidR="0002298B" w:rsidRPr="00B0658A" w:rsidRDefault="0002298B" w:rsidP="000A4114">
            <w:pPr>
              <w:spacing w:after="0" w:line="240" w:lineRule="auto"/>
              <w:jc w:val="both"/>
              <w:rPr>
                <w:rFonts w:ascii="Times New Roman" w:hAnsi="Times New Roman"/>
                <w:i/>
                <w:iCs/>
                <w:sz w:val="20"/>
                <w:szCs w:val="20"/>
              </w:rPr>
            </w:pPr>
          </w:p>
        </w:tc>
      </w:tr>
      <w:tr w:rsidR="00F52FED" w:rsidRPr="00B0658A" w14:paraId="67636D11" w14:textId="77777777" w:rsidTr="004F1366">
        <w:trPr>
          <w:trHeight w:val="170"/>
        </w:trPr>
        <w:tc>
          <w:tcPr>
            <w:tcW w:w="203" w:type="pct"/>
            <w:shd w:val="clear" w:color="auto" w:fill="auto"/>
            <w:vAlign w:val="center"/>
          </w:tcPr>
          <w:p w14:paraId="56303CBC" w14:textId="77777777" w:rsidR="0002298B" w:rsidRPr="00B0658A" w:rsidDel="00EC4B3C" w:rsidRDefault="0002298B" w:rsidP="000A4114">
            <w:pPr>
              <w:spacing w:after="0" w:line="240" w:lineRule="auto"/>
              <w:rPr>
                <w:rFonts w:ascii="Times New Roman" w:hAnsi="Times New Roman"/>
                <w:b/>
                <w:sz w:val="20"/>
                <w:szCs w:val="20"/>
              </w:rPr>
            </w:pPr>
            <w:r w:rsidRPr="00B0658A">
              <w:rPr>
                <w:rFonts w:ascii="Times New Roman" w:hAnsi="Times New Roman"/>
                <w:sz w:val="20"/>
                <w:szCs w:val="20"/>
              </w:rPr>
              <w:t>4.4</w:t>
            </w:r>
          </w:p>
        </w:tc>
        <w:tc>
          <w:tcPr>
            <w:tcW w:w="1153" w:type="pct"/>
            <w:shd w:val="clear" w:color="auto" w:fill="auto"/>
            <w:vAlign w:val="center"/>
          </w:tcPr>
          <w:p w14:paraId="1396E0D3" w14:textId="77777777" w:rsidR="0002298B" w:rsidRPr="00B0658A" w:rsidRDefault="0002298B" w:rsidP="000A4114">
            <w:pPr>
              <w:spacing w:after="0" w:line="240" w:lineRule="auto"/>
              <w:rPr>
                <w:rFonts w:ascii="Times New Roman" w:hAnsi="Times New Roman"/>
                <w:b/>
                <w:sz w:val="20"/>
                <w:szCs w:val="20"/>
              </w:rPr>
            </w:pPr>
            <w:r w:rsidRPr="00B0658A">
              <w:rPr>
                <w:rFonts w:ascii="Times New Roman" w:hAnsi="Times New Roman"/>
                <w:sz w:val="20"/>
                <w:szCs w:val="20"/>
              </w:rPr>
              <w:t>Средства разработки программного обеспечения/ Среды разработки, тестирования и отладки</w:t>
            </w:r>
          </w:p>
        </w:tc>
        <w:tc>
          <w:tcPr>
            <w:tcW w:w="624" w:type="pct"/>
          </w:tcPr>
          <w:p w14:paraId="1E3BC10B" w14:textId="77777777" w:rsidR="0002298B" w:rsidRPr="00B0658A" w:rsidRDefault="0002298B" w:rsidP="000A4114">
            <w:pPr>
              <w:spacing w:after="0" w:line="240" w:lineRule="auto"/>
              <w:rPr>
                <w:rFonts w:ascii="Times New Roman" w:hAnsi="Times New Roman"/>
                <w:i/>
                <w:iCs/>
                <w:sz w:val="20"/>
                <w:szCs w:val="20"/>
              </w:rPr>
            </w:pPr>
          </w:p>
        </w:tc>
        <w:tc>
          <w:tcPr>
            <w:tcW w:w="1090" w:type="pct"/>
            <w:shd w:val="clear" w:color="auto" w:fill="auto"/>
          </w:tcPr>
          <w:p w14:paraId="756973EC" w14:textId="77777777" w:rsidR="0002298B" w:rsidRPr="00B0658A" w:rsidRDefault="0002298B" w:rsidP="000A4114">
            <w:pPr>
              <w:spacing w:after="0" w:line="240" w:lineRule="auto"/>
              <w:rPr>
                <w:rFonts w:ascii="Times New Roman" w:hAnsi="Times New Roman"/>
                <w:i/>
                <w:iCs/>
                <w:sz w:val="20"/>
                <w:szCs w:val="20"/>
              </w:rPr>
            </w:pPr>
          </w:p>
        </w:tc>
        <w:tc>
          <w:tcPr>
            <w:tcW w:w="1036" w:type="pct"/>
            <w:shd w:val="clear" w:color="auto" w:fill="auto"/>
          </w:tcPr>
          <w:p w14:paraId="69911606" w14:textId="77777777" w:rsidR="0002298B" w:rsidRPr="00B0658A" w:rsidRDefault="0002298B" w:rsidP="000A4114">
            <w:pPr>
              <w:spacing w:after="0" w:line="240" w:lineRule="auto"/>
              <w:rPr>
                <w:rFonts w:ascii="Times New Roman" w:hAnsi="Times New Roman"/>
                <w:i/>
                <w:iCs/>
                <w:sz w:val="20"/>
                <w:szCs w:val="20"/>
              </w:rPr>
            </w:pPr>
          </w:p>
        </w:tc>
        <w:tc>
          <w:tcPr>
            <w:tcW w:w="894" w:type="pct"/>
            <w:shd w:val="clear" w:color="auto" w:fill="auto"/>
          </w:tcPr>
          <w:p w14:paraId="7E06D697" w14:textId="77777777" w:rsidR="0002298B" w:rsidRPr="00B0658A" w:rsidRDefault="0002298B" w:rsidP="000A4114">
            <w:pPr>
              <w:spacing w:after="0" w:line="240" w:lineRule="auto"/>
              <w:jc w:val="both"/>
              <w:rPr>
                <w:rFonts w:ascii="Times New Roman" w:hAnsi="Times New Roman"/>
                <w:i/>
                <w:iCs/>
                <w:sz w:val="20"/>
                <w:szCs w:val="20"/>
              </w:rPr>
            </w:pPr>
          </w:p>
        </w:tc>
      </w:tr>
      <w:tr w:rsidR="00F52FED" w:rsidRPr="00B0658A" w14:paraId="45CB1A4E" w14:textId="77777777" w:rsidTr="004F1366">
        <w:trPr>
          <w:trHeight w:val="170"/>
        </w:trPr>
        <w:tc>
          <w:tcPr>
            <w:tcW w:w="203" w:type="pct"/>
            <w:shd w:val="clear" w:color="auto" w:fill="auto"/>
            <w:vAlign w:val="center"/>
          </w:tcPr>
          <w:p w14:paraId="6C5C1C16" w14:textId="77777777" w:rsidR="0002298B" w:rsidRPr="00B0658A" w:rsidDel="00EC4B3C" w:rsidRDefault="0002298B" w:rsidP="000A4114">
            <w:pPr>
              <w:spacing w:after="0" w:line="240" w:lineRule="auto"/>
              <w:rPr>
                <w:rFonts w:ascii="Times New Roman" w:hAnsi="Times New Roman"/>
                <w:b/>
                <w:sz w:val="20"/>
                <w:szCs w:val="20"/>
              </w:rPr>
            </w:pPr>
            <w:r w:rsidRPr="00B0658A">
              <w:rPr>
                <w:rFonts w:ascii="Times New Roman" w:hAnsi="Times New Roman"/>
                <w:sz w:val="20"/>
                <w:szCs w:val="20"/>
              </w:rPr>
              <w:t>4.5</w:t>
            </w:r>
          </w:p>
        </w:tc>
        <w:tc>
          <w:tcPr>
            <w:tcW w:w="1153" w:type="pct"/>
            <w:shd w:val="clear" w:color="auto" w:fill="auto"/>
            <w:vAlign w:val="center"/>
          </w:tcPr>
          <w:p w14:paraId="24AE5BF3" w14:textId="77777777" w:rsidR="0002298B" w:rsidRPr="00B0658A" w:rsidRDefault="0002298B" w:rsidP="000A4114">
            <w:pPr>
              <w:spacing w:after="0" w:line="240" w:lineRule="auto"/>
              <w:rPr>
                <w:rFonts w:ascii="Times New Roman" w:hAnsi="Times New Roman"/>
                <w:b/>
                <w:sz w:val="20"/>
                <w:szCs w:val="20"/>
              </w:rPr>
            </w:pPr>
            <w:r w:rsidRPr="00B0658A">
              <w:rPr>
                <w:rFonts w:ascii="Times New Roman" w:hAnsi="Times New Roman"/>
                <w:sz w:val="20"/>
                <w:szCs w:val="20"/>
              </w:rPr>
              <w:t>Средства разработки программного обеспечения/ Средства анализа исходного кода на закладки и уязвимости</w:t>
            </w:r>
          </w:p>
        </w:tc>
        <w:tc>
          <w:tcPr>
            <w:tcW w:w="624" w:type="pct"/>
          </w:tcPr>
          <w:p w14:paraId="500A38BE" w14:textId="77777777" w:rsidR="0002298B" w:rsidRPr="00B0658A" w:rsidRDefault="0002298B" w:rsidP="000A4114">
            <w:pPr>
              <w:spacing w:after="0" w:line="240" w:lineRule="auto"/>
              <w:rPr>
                <w:rFonts w:ascii="Times New Roman" w:hAnsi="Times New Roman"/>
                <w:i/>
                <w:iCs/>
                <w:sz w:val="20"/>
                <w:szCs w:val="20"/>
              </w:rPr>
            </w:pPr>
          </w:p>
        </w:tc>
        <w:tc>
          <w:tcPr>
            <w:tcW w:w="1090" w:type="pct"/>
            <w:shd w:val="clear" w:color="auto" w:fill="auto"/>
          </w:tcPr>
          <w:p w14:paraId="332FA518" w14:textId="77777777" w:rsidR="0002298B" w:rsidRPr="00B0658A" w:rsidRDefault="0002298B" w:rsidP="000A4114">
            <w:pPr>
              <w:spacing w:after="0" w:line="240" w:lineRule="auto"/>
              <w:rPr>
                <w:rFonts w:ascii="Times New Roman" w:hAnsi="Times New Roman"/>
                <w:i/>
                <w:iCs/>
                <w:sz w:val="20"/>
                <w:szCs w:val="20"/>
              </w:rPr>
            </w:pPr>
          </w:p>
        </w:tc>
        <w:tc>
          <w:tcPr>
            <w:tcW w:w="1036" w:type="pct"/>
            <w:shd w:val="clear" w:color="auto" w:fill="auto"/>
          </w:tcPr>
          <w:p w14:paraId="45DD5BEA" w14:textId="77777777" w:rsidR="0002298B" w:rsidRPr="00B0658A" w:rsidRDefault="0002298B" w:rsidP="000A4114">
            <w:pPr>
              <w:spacing w:after="0" w:line="240" w:lineRule="auto"/>
              <w:rPr>
                <w:rFonts w:ascii="Times New Roman" w:hAnsi="Times New Roman"/>
                <w:i/>
                <w:iCs/>
                <w:sz w:val="20"/>
                <w:szCs w:val="20"/>
              </w:rPr>
            </w:pPr>
          </w:p>
        </w:tc>
        <w:tc>
          <w:tcPr>
            <w:tcW w:w="894" w:type="pct"/>
            <w:shd w:val="clear" w:color="auto" w:fill="auto"/>
          </w:tcPr>
          <w:p w14:paraId="581C03D0" w14:textId="77777777" w:rsidR="0002298B" w:rsidRPr="00B0658A" w:rsidRDefault="0002298B" w:rsidP="000A4114">
            <w:pPr>
              <w:spacing w:after="0" w:line="240" w:lineRule="auto"/>
              <w:jc w:val="both"/>
              <w:rPr>
                <w:rFonts w:ascii="Times New Roman" w:hAnsi="Times New Roman"/>
                <w:i/>
                <w:iCs/>
                <w:sz w:val="20"/>
                <w:szCs w:val="20"/>
              </w:rPr>
            </w:pPr>
          </w:p>
        </w:tc>
      </w:tr>
      <w:tr w:rsidR="00F52FED" w:rsidRPr="00B0658A" w14:paraId="3E267803" w14:textId="77777777" w:rsidTr="004F1366">
        <w:trPr>
          <w:trHeight w:val="170"/>
        </w:trPr>
        <w:tc>
          <w:tcPr>
            <w:tcW w:w="203" w:type="pct"/>
            <w:shd w:val="clear" w:color="auto" w:fill="auto"/>
            <w:vAlign w:val="center"/>
          </w:tcPr>
          <w:p w14:paraId="1BBCF0B7" w14:textId="77777777" w:rsidR="0002298B" w:rsidRPr="00B0658A" w:rsidDel="00EC4B3C" w:rsidRDefault="0002298B" w:rsidP="000A4114">
            <w:pPr>
              <w:spacing w:after="0" w:line="240" w:lineRule="auto"/>
              <w:rPr>
                <w:rFonts w:ascii="Times New Roman" w:hAnsi="Times New Roman"/>
                <w:b/>
                <w:sz w:val="20"/>
                <w:szCs w:val="20"/>
              </w:rPr>
            </w:pPr>
            <w:r w:rsidRPr="00B0658A">
              <w:rPr>
                <w:rFonts w:ascii="Times New Roman" w:hAnsi="Times New Roman"/>
                <w:sz w:val="20"/>
                <w:szCs w:val="20"/>
              </w:rPr>
              <w:t>4.6</w:t>
            </w:r>
          </w:p>
        </w:tc>
        <w:tc>
          <w:tcPr>
            <w:tcW w:w="1153" w:type="pct"/>
            <w:shd w:val="clear" w:color="auto" w:fill="auto"/>
            <w:vAlign w:val="center"/>
          </w:tcPr>
          <w:p w14:paraId="3A6B4FCF" w14:textId="77777777" w:rsidR="0002298B" w:rsidRPr="00B0658A" w:rsidRDefault="0002298B" w:rsidP="000A4114">
            <w:pPr>
              <w:spacing w:after="0" w:line="240" w:lineRule="auto"/>
              <w:rPr>
                <w:rFonts w:ascii="Times New Roman" w:hAnsi="Times New Roman"/>
                <w:b/>
                <w:sz w:val="20"/>
                <w:szCs w:val="20"/>
              </w:rPr>
            </w:pPr>
            <w:r w:rsidRPr="00B0658A">
              <w:rPr>
                <w:rFonts w:ascii="Times New Roman" w:hAnsi="Times New Roman"/>
                <w:sz w:val="20"/>
                <w:szCs w:val="20"/>
              </w:rPr>
              <w:t>Средства разработки программного обеспечения/ Средства разработки программного обеспечения на основе нейротехнологий и искусственного интеллекта</w:t>
            </w:r>
          </w:p>
        </w:tc>
        <w:tc>
          <w:tcPr>
            <w:tcW w:w="624" w:type="pct"/>
          </w:tcPr>
          <w:p w14:paraId="41E17BEF" w14:textId="77777777" w:rsidR="0002298B" w:rsidRPr="00B0658A" w:rsidRDefault="0002298B" w:rsidP="000A4114">
            <w:pPr>
              <w:spacing w:after="0" w:line="240" w:lineRule="auto"/>
              <w:rPr>
                <w:rFonts w:ascii="Times New Roman" w:hAnsi="Times New Roman"/>
                <w:i/>
                <w:iCs/>
                <w:sz w:val="20"/>
                <w:szCs w:val="20"/>
              </w:rPr>
            </w:pPr>
          </w:p>
        </w:tc>
        <w:tc>
          <w:tcPr>
            <w:tcW w:w="1090" w:type="pct"/>
            <w:shd w:val="clear" w:color="auto" w:fill="auto"/>
          </w:tcPr>
          <w:p w14:paraId="025C6176" w14:textId="77777777" w:rsidR="0002298B" w:rsidRPr="00B0658A" w:rsidRDefault="0002298B" w:rsidP="000A4114">
            <w:pPr>
              <w:spacing w:after="0" w:line="240" w:lineRule="auto"/>
              <w:rPr>
                <w:rFonts w:ascii="Times New Roman" w:hAnsi="Times New Roman"/>
                <w:i/>
                <w:iCs/>
                <w:sz w:val="20"/>
                <w:szCs w:val="20"/>
              </w:rPr>
            </w:pPr>
          </w:p>
        </w:tc>
        <w:tc>
          <w:tcPr>
            <w:tcW w:w="1036" w:type="pct"/>
            <w:shd w:val="clear" w:color="auto" w:fill="auto"/>
          </w:tcPr>
          <w:p w14:paraId="2D1392FB" w14:textId="77777777" w:rsidR="0002298B" w:rsidRPr="00B0658A" w:rsidRDefault="0002298B" w:rsidP="000A4114">
            <w:pPr>
              <w:spacing w:after="0" w:line="240" w:lineRule="auto"/>
              <w:rPr>
                <w:rFonts w:ascii="Times New Roman" w:hAnsi="Times New Roman"/>
                <w:i/>
                <w:iCs/>
                <w:sz w:val="20"/>
                <w:szCs w:val="20"/>
              </w:rPr>
            </w:pPr>
          </w:p>
        </w:tc>
        <w:tc>
          <w:tcPr>
            <w:tcW w:w="894" w:type="pct"/>
            <w:shd w:val="clear" w:color="auto" w:fill="auto"/>
          </w:tcPr>
          <w:p w14:paraId="62FA79FB" w14:textId="77777777" w:rsidR="0002298B" w:rsidRPr="00B0658A" w:rsidRDefault="0002298B" w:rsidP="000A4114">
            <w:pPr>
              <w:spacing w:after="0" w:line="240" w:lineRule="auto"/>
              <w:jc w:val="both"/>
              <w:rPr>
                <w:rFonts w:ascii="Times New Roman" w:hAnsi="Times New Roman"/>
                <w:i/>
                <w:iCs/>
                <w:sz w:val="20"/>
                <w:szCs w:val="20"/>
              </w:rPr>
            </w:pPr>
          </w:p>
        </w:tc>
      </w:tr>
      <w:tr w:rsidR="00F52FED" w:rsidRPr="00B0658A" w14:paraId="1F7F617D" w14:textId="77777777" w:rsidTr="004F1366">
        <w:trPr>
          <w:trHeight w:val="170"/>
        </w:trPr>
        <w:tc>
          <w:tcPr>
            <w:tcW w:w="203" w:type="pct"/>
            <w:shd w:val="clear" w:color="auto" w:fill="auto"/>
            <w:vAlign w:val="center"/>
          </w:tcPr>
          <w:p w14:paraId="64D6DF28" w14:textId="77777777" w:rsidR="0002298B" w:rsidRPr="00B0658A" w:rsidDel="00EC4B3C" w:rsidRDefault="0002298B" w:rsidP="000A4114">
            <w:pPr>
              <w:spacing w:after="0" w:line="240" w:lineRule="auto"/>
              <w:rPr>
                <w:rFonts w:ascii="Times New Roman" w:hAnsi="Times New Roman"/>
                <w:b/>
                <w:sz w:val="20"/>
                <w:szCs w:val="20"/>
              </w:rPr>
            </w:pPr>
            <w:r w:rsidRPr="00B0658A">
              <w:rPr>
                <w:rFonts w:ascii="Times New Roman" w:hAnsi="Times New Roman"/>
                <w:sz w:val="20"/>
                <w:szCs w:val="20"/>
              </w:rPr>
              <w:t>4.7.</w:t>
            </w:r>
          </w:p>
        </w:tc>
        <w:tc>
          <w:tcPr>
            <w:tcW w:w="1153" w:type="pct"/>
            <w:shd w:val="clear" w:color="auto" w:fill="auto"/>
            <w:vAlign w:val="center"/>
          </w:tcPr>
          <w:p w14:paraId="223BFA18" w14:textId="77777777" w:rsidR="0002298B" w:rsidRPr="00B0658A" w:rsidRDefault="0002298B" w:rsidP="000A4114">
            <w:pPr>
              <w:spacing w:after="0" w:line="240" w:lineRule="auto"/>
              <w:rPr>
                <w:rFonts w:ascii="Times New Roman" w:hAnsi="Times New Roman"/>
                <w:b/>
                <w:sz w:val="20"/>
                <w:szCs w:val="20"/>
              </w:rPr>
            </w:pPr>
            <w:r w:rsidRPr="00B0658A">
              <w:rPr>
                <w:rFonts w:ascii="Times New Roman" w:hAnsi="Times New Roman"/>
                <w:sz w:val="20"/>
                <w:szCs w:val="20"/>
              </w:rPr>
              <w:t>Средства разработки программного обеспечения/ Средства разработки программного обеспечения на основе квантовых технологий</w:t>
            </w:r>
          </w:p>
        </w:tc>
        <w:tc>
          <w:tcPr>
            <w:tcW w:w="624" w:type="pct"/>
          </w:tcPr>
          <w:p w14:paraId="71F62828" w14:textId="77777777" w:rsidR="0002298B" w:rsidRPr="00B0658A" w:rsidRDefault="0002298B" w:rsidP="000A4114">
            <w:pPr>
              <w:spacing w:after="0" w:line="240" w:lineRule="auto"/>
              <w:rPr>
                <w:rFonts w:ascii="Times New Roman" w:hAnsi="Times New Roman"/>
                <w:i/>
                <w:iCs/>
                <w:sz w:val="20"/>
                <w:szCs w:val="20"/>
              </w:rPr>
            </w:pPr>
          </w:p>
        </w:tc>
        <w:tc>
          <w:tcPr>
            <w:tcW w:w="1090" w:type="pct"/>
            <w:shd w:val="clear" w:color="auto" w:fill="auto"/>
          </w:tcPr>
          <w:p w14:paraId="0B6F84A4" w14:textId="77777777" w:rsidR="0002298B" w:rsidRPr="00B0658A" w:rsidRDefault="0002298B" w:rsidP="000A4114">
            <w:pPr>
              <w:spacing w:after="0" w:line="240" w:lineRule="auto"/>
              <w:rPr>
                <w:rFonts w:ascii="Times New Roman" w:hAnsi="Times New Roman"/>
                <w:i/>
                <w:iCs/>
                <w:sz w:val="20"/>
                <w:szCs w:val="20"/>
              </w:rPr>
            </w:pPr>
          </w:p>
        </w:tc>
        <w:tc>
          <w:tcPr>
            <w:tcW w:w="1036" w:type="pct"/>
            <w:shd w:val="clear" w:color="auto" w:fill="auto"/>
          </w:tcPr>
          <w:p w14:paraId="50402FAA" w14:textId="77777777" w:rsidR="0002298B" w:rsidRPr="00B0658A" w:rsidRDefault="0002298B" w:rsidP="000A4114">
            <w:pPr>
              <w:spacing w:after="0" w:line="240" w:lineRule="auto"/>
              <w:rPr>
                <w:rFonts w:ascii="Times New Roman" w:hAnsi="Times New Roman"/>
                <w:i/>
                <w:iCs/>
                <w:sz w:val="20"/>
                <w:szCs w:val="20"/>
              </w:rPr>
            </w:pPr>
          </w:p>
        </w:tc>
        <w:tc>
          <w:tcPr>
            <w:tcW w:w="894" w:type="pct"/>
            <w:shd w:val="clear" w:color="auto" w:fill="auto"/>
          </w:tcPr>
          <w:p w14:paraId="49716D6A" w14:textId="77777777" w:rsidR="0002298B" w:rsidRPr="00B0658A" w:rsidRDefault="0002298B" w:rsidP="000A4114">
            <w:pPr>
              <w:spacing w:after="0" w:line="240" w:lineRule="auto"/>
              <w:jc w:val="both"/>
              <w:rPr>
                <w:rFonts w:ascii="Times New Roman" w:hAnsi="Times New Roman"/>
                <w:i/>
                <w:iCs/>
                <w:sz w:val="20"/>
                <w:szCs w:val="20"/>
              </w:rPr>
            </w:pPr>
          </w:p>
        </w:tc>
      </w:tr>
      <w:tr w:rsidR="00F52FED" w:rsidRPr="00B0658A" w14:paraId="2EC7C97E" w14:textId="77777777" w:rsidTr="004F1366">
        <w:trPr>
          <w:trHeight w:val="170"/>
        </w:trPr>
        <w:tc>
          <w:tcPr>
            <w:tcW w:w="203" w:type="pct"/>
            <w:shd w:val="clear" w:color="auto" w:fill="auto"/>
            <w:vAlign w:val="center"/>
          </w:tcPr>
          <w:p w14:paraId="74CBB40D" w14:textId="77777777" w:rsidR="0002298B" w:rsidRPr="00B0658A" w:rsidDel="00EC4B3C" w:rsidRDefault="0002298B" w:rsidP="000A4114">
            <w:pPr>
              <w:spacing w:after="0" w:line="240" w:lineRule="auto"/>
              <w:rPr>
                <w:rFonts w:ascii="Times New Roman" w:hAnsi="Times New Roman"/>
                <w:b/>
                <w:sz w:val="20"/>
                <w:szCs w:val="20"/>
              </w:rPr>
            </w:pPr>
            <w:r w:rsidRPr="00B0658A">
              <w:rPr>
                <w:rFonts w:ascii="Times New Roman" w:hAnsi="Times New Roman"/>
                <w:sz w:val="20"/>
                <w:szCs w:val="20"/>
              </w:rPr>
              <w:t>4.8.</w:t>
            </w:r>
          </w:p>
        </w:tc>
        <w:tc>
          <w:tcPr>
            <w:tcW w:w="1153" w:type="pct"/>
            <w:shd w:val="clear" w:color="auto" w:fill="auto"/>
            <w:vAlign w:val="center"/>
          </w:tcPr>
          <w:p w14:paraId="45C7470A" w14:textId="77777777" w:rsidR="0002298B" w:rsidRPr="00B0658A" w:rsidRDefault="0002298B" w:rsidP="000A4114">
            <w:pPr>
              <w:spacing w:after="0" w:line="240" w:lineRule="auto"/>
              <w:rPr>
                <w:rFonts w:ascii="Times New Roman" w:hAnsi="Times New Roman"/>
                <w:b/>
                <w:sz w:val="20"/>
                <w:szCs w:val="20"/>
              </w:rPr>
            </w:pPr>
            <w:r w:rsidRPr="00B0658A">
              <w:rPr>
                <w:rFonts w:ascii="Times New Roman" w:hAnsi="Times New Roman"/>
                <w:sz w:val="20"/>
                <w:szCs w:val="20"/>
              </w:rPr>
              <w:t>Средства разработки программного обеспечения/ Интегрированные платформы для создания приложений</w:t>
            </w:r>
          </w:p>
        </w:tc>
        <w:tc>
          <w:tcPr>
            <w:tcW w:w="624" w:type="pct"/>
          </w:tcPr>
          <w:p w14:paraId="08FD2F44" w14:textId="77777777" w:rsidR="0002298B" w:rsidRPr="00B0658A" w:rsidRDefault="0002298B" w:rsidP="000A4114">
            <w:pPr>
              <w:spacing w:after="0" w:line="240" w:lineRule="auto"/>
              <w:rPr>
                <w:rFonts w:ascii="Times New Roman" w:hAnsi="Times New Roman"/>
                <w:i/>
                <w:iCs/>
                <w:sz w:val="20"/>
                <w:szCs w:val="20"/>
              </w:rPr>
            </w:pPr>
          </w:p>
        </w:tc>
        <w:tc>
          <w:tcPr>
            <w:tcW w:w="1090" w:type="pct"/>
            <w:shd w:val="clear" w:color="auto" w:fill="auto"/>
          </w:tcPr>
          <w:p w14:paraId="740AF501" w14:textId="77777777" w:rsidR="0002298B" w:rsidRPr="00B0658A" w:rsidRDefault="0002298B" w:rsidP="000A4114">
            <w:pPr>
              <w:spacing w:after="0" w:line="240" w:lineRule="auto"/>
              <w:rPr>
                <w:rFonts w:ascii="Times New Roman" w:hAnsi="Times New Roman"/>
                <w:i/>
                <w:iCs/>
                <w:sz w:val="20"/>
                <w:szCs w:val="20"/>
              </w:rPr>
            </w:pPr>
          </w:p>
        </w:tc>
        <w:tc>
          <w:tcPr>
            <w:tcW w:w="1036" w:type="pct"/>
            <w:shd w:val="clear" w:color="auto" w:fill="auto"/>
          </w:tcPr>
          <w:p w14:paraId="63661522" w14:textId="77777777" w:rsidR="0002298B" w:rsidRPr="00B0658A" w:rsidRDefault="0002298B" w:rsidP="000A4114">
            <w:pPr>
              <w:spacing w:after="0" w:line="240" w:lineRule="auto"/>
              <w:rPr>
                <w:rFonts w:ascii="Times New Roman" w:hAnsi="Times New Roman"/>
                <w:i/>
                <w:iCs/>
                <w:sz w:val="20"/>
                <w:szCs w:val="20"/>
              </w:rPr>
            </w:pPr>
          </w:p>
        </w:tc>
        <w:tc>
          <w:tcPr>
            <w:tcW w:w="894" w:type="pct"/>
            <w:shd w:val="clear" w:color="auto" w:fill="auto"/>
          </w:tcPr>
          <w:p w14:paraId="5E45973C" w14:textId="77777777" w:rsidR="0002298B" w:rsidRPr="00B0658A" w:rsidRDefault="0002298B" w:rsidP="000A4114">
            <w:pPr>
              <w:spacing w:after="0" w:line="240" w:lineRule="auto"/>
              <w:jc w:val="both"/>
              <w:rPr>
                <w:rFonts w:ascii="Times New Roman" w:hAnsi="Times New Roman"/>
                <w:i/>
                <w:iCs/>
                <w:sz w:val="20"/>
                <w:szCs w:val="20"/>
              </w:rPr>
            </w:pPr>
          </w:p>
        </w:tc>
      </w:tr>
      <w:tr w:rsidR="00F52FED" w:rsidRPr="00B0658A" w14:paraId="2AA20732" w14:textId="77777777" w:rsidTr="004F1366">
        <w:trPr>
          <w:trHeight w:val="170"/>
        </w:trPr>
        <w:tc>
          <w:tcPr>
            <w:tcW w:w="203" w:type="pct"/>
            <w:shd w:val="clear" w:color="auto" w:fill="auto"/>
            <w:vAlign w:val="center"/>
          </w:tcPr>
          <w:p w14:paraId="4189A171" w14:textId="77777777" w:rsidR="0002298B" w:rsidRPr="00B0658A" w:rsidDel="00EC4B3C" w:rsidRDefault="0002298B" w:rsidP="000A4114">
            <w:pPr>
              <w:spacing w:after="0" w:line="240" w:lineRule="auto"/>
              <w:rPr>
                <w:rFonts w:ascii="Times New Roman" w:hAnsi="Times New Roman"/>
                <w:b/>
                <w:sz w:val="20"/>
                <w:szCs w:val="20"/>
              </w:rPr>
            </w:pPr>
            <w:r w:rsidRPr="00B0658A">
              <w:rPr>
                <w:rFonts w:ascii="Times New Roman" w:hAnsi="Times New Roman"/>
                <w:sz w:val="20"/>
                <w:szCs w:val="20"/>
              </w:rPr>
              <w:t>4.9.</w:t>
            </w:r>
          </w:p>
        </w:tc>
        <w:tc>
          <w:tcPr>
            <w:tcW w:w="1153" w:type="pct"/>
            <w:shd w:val="clear" w:color="auto" w:fill="auto"/>
            <w:vAlign w:val="center"/>
          </w:tcPr>
          <w:p w14:paraId="58034E81" w14:textId="77777777" w:rsidR="0002298B" w:rsidRPr="00B0658A" w:rsidRDefault="0002298B" w:rsidP="000A4114">
            <w:pPr>
              <w:spacing w:after="0" w:line="240" w:lineRule="auto"/>
              <w:rPr>
                <w:rFonts w:ascii="Times New Roman" w:hAnsi="Times New Roman"/>
                <w:b/>
                <w:sz w:val="20"/>
                <w:szCs w:val="20"/>
              </w:rPr>
            </w:pPr>
            <w:r w:rsidRPr="00B0658A">
              <w:rPr>
                <w:rFonts w:ascii="Times New Roman" w:hAnsi="Times New Roman"/>
                <w:sz w:val="20"/>
                <w:szCs w:val="20"/>
              </w:rPr>
              <w:t xml:space="preserve">Средства разработки программного обеспечения/ Системы предотвращения анализа </w:t>
            </w:r>
            <w:r w:rsidRPr="00B0658A">
              <w:rPr>
                <w:rFonts w:ascii="Times New Roman" w:hAnsi="Times New Roman"/>
                <w:sz w:val="20"/>
                <w:szCs w:val="20"/>
              </w:rPr>
              <w:br/>
              <w:t>и восстановления исполняемого кода программ</w:t>
            </w:r>
          </w:p>
        </w:tc>
        <w:tc>
          <w:tcPr>
            <w:tcW w:w="624" w:type="pct"/>
          </w:tcPr>
          <w:p w14:paraId="11E79EA1" w14:textId="77777777" w:rsidR="0002298B" w:rsidRPr="00B0658A" w:rsidRDefault="0002298B" w:rsidP="000A4114">
            <w:pPr>
              <w:spacing w:after="0" w:line="240" w:lineRule="auto"/>
              <w:rPr>
                <w:rFonts w:ascii="Times New Roman" w:hAnsi="Times New Roman"/>
                <w:i/>
                <w:iCs/>
                <w:sz w:val="20"/>
                <w:szCs w:val="20"/>
              </w:rPr>
            </w:pPr>
          </w:p>
        </w:tc>
        <w:tc>
          <w:tcPr>
            <w:tcW w:w="1090" w:type="pct"/>
            <w:shd w:val="clear" w:color="auto" w:fill="auto"/>
          </w:tcPr>
          <w:p w14:paraId="7DBD5250" w14:textId="77777777" w:rsidR="0002298B" w:rsidRPr="00B0658A" w:rsidRDefault="0002298B" w:rsidP="000A4114">
            <w:pPr>
              <w:spacing w:after="0" w:line="240" w:lineRule="auto"/>
              <w:rPr>
                <w:rFonts w:ascii="Times New Roman" w:hAnsi="Times New Roman"/>
                <w:i/>
                <w:iCs/>
                <w:sz w:val="20"/>
                <w:szCs w:val="20"/>
              </w:rPr>
            </w:pPr>
          </w:p>
        </w:tc>
        <w:tc>
          <w:tcPr>
            <w:tcW w:w="1036" w:type="pct"/>
            <w:shd w:val="clear" w:color="auto" w:fill="auto"/>
          </w:tcPr>
          <w:p w14:paraId="630BC05F" w14:textId="77777777" w:rsidR="0002298B" w:rsidRPr="00B0658A" w:rsidRDefault="0002298B" w:rsidP="000A4114">
            <w:pPr>
              <w:spacing w:after="0" w:line="240" w:lineRule="auto"/>
              <w:rPr>
                <w:rFonts w:ascii="Times New Roman" w:hAnsi="Times New Roman"/>
                <w:i/>
                <w:iCs/>
                <w:sz w:val="20"/>
                <w:szCs w:val="20"/>
              </w:rPr>
            </w:pPr>
          </w:p>
        </w:tc>
        <w:tc>
          <w:tcPr>
            <w:tcW w:w="894" w:type="pct"/>
            <w:shd w:val="clear" w:color="auto" w:fill="auto"/>
          </w:tcPr>
          <w:p w14:paraId="54DFD959" w14:textId="77777777" w:rsidR="0002298B" w:rsidRPr="00B0658A" w:rsidRDefault="0002298B" w:rsidP="000A4114">
            <w:pPr>
              <w:spacing w:after="0" w:line="240" w:lineRule="auto"/>
              <w:jc w:val="both"/>
              <w:rPr>
                <w:rFonts w:ascii="Times New Roman" w:hAnsi="Times New Roman"/>
                <w:i/>
                <w:iCs/>
                <w:sz w:val="20"/>
                <w:szCs w:val="20"/>
              </w:rPr>
            </w:pPr>
          </w:p>
        </w:tc>
      </w:tr>
      <w:tr w:rsidR="00F52FED" w:rsidRPr="00B0658A" w14:paraId="42073EB8" w14:textId="77777777" w:rsidTr="004F1366">
        <w:trPr>
          <w:trHeight w:val="170"/>
        </w:trPr>
        <w:tc>
          <w:tcPr>
            <w:tcW w:w="203" w:type="pct"/>
            <w:shd w:val="clear" w:color="auto" w:fill="auto"/>
          </w:tcPr>
          <w:p w14:paraId="24FAD72B" w14:textId="77777777" w:rsidR="0002298B" w:rsidRPr="00B0658A" w:rsidDel="00EC4B3C" w:rsidRDefault="0002298B" w:rsidP="000A4114">
            <w:pPr>
              <w:spacing w:after="0" w:line="240" w:lineRule="auto"/>
              <w:rPr>
                <w:rFonts w:ascii="Times New Roman" w:hAnsi="Times New Roman"/>
                <w:b/>
                <w:sz w:val="20"/>
                <w:szCs w:val="20"/>
              </w:rPr>
            </w:pPr>
            <w:r w:rsidRPr="00B0658A">
              <w:rPr>
                <w:rFonts w:ascii="Times New Roman" w:hAnsi="Times New Roman"/>
                <w:sz w:val="20"/>
                <w:szCs w:val="20"/>
              </w:rPr>
              <w:t>5.1</w:t>
            </w:r>
          </w:p>
        </w:tc>
        <w:tc>
          <w:tcPr>
            <w:tcW w:w="1153" w:type="pct"/>
            <w:shd w:val="clear" w:color="auto" w:fill="auto"/>
            <w:vAlign w:val="center"/>
          </w:tcPr>
          <w:p w14:paraId="461D4378" w14:textId="77777777" w:rsidR="0002298B" w:rsidRPr="00B0658A" w:rsidRDefault="0002298B" w:rsidP="000A4114">
            <w:pPr>
              <w:spacing w:after="0" w:line="240" w:lineRule="auto"/>
              <w:rPr>
                <w:rFonts w:ascii="Times New Roman" w:hAnsi="Times New Roman"/>
                <w:b/>
                <w:sz w:val="20"/>
                <w:szCs w:val="20"/>
              </w:rPr>
            </w:pPr>
            <w:r w:rsidRPr="00B0658A">
              <w:rPr>
                <w:rFonts w:ascii="Times New Roman" w:hAnsi="Times New Roman"/>
                <w:sz w:val="20"/>
                <w:szCs w:val="20"/>
              </w:rPr>
              <w:t>Прикладное программное обеспечение/ Мультимедийное программное обеспечение</w:t>
            </w:r>
          </w:p>
        </w:tc>
        <w:tc>
          <w:tcPr>
            <w:tcW w:w="624" w:type="pct"/>
          </w:tcPr>
          <w:p w14:paraId="6BB22AEF" w14:textId="77777777" w:rsidR="0002298B" w:rsidRPr="00B0658A" w:rsidRDefault="0002298B" w:rsidP="000A4114">
            <w:pPr>
              <w:spacing w:after="0" w:line="240" w:lineRule="auto"/>
              <w:rPr>
                <w:rFonts w:ascii="Times New Roman" w:hAnsi="Times New Roman"/>
                <w:i/>
                <w:iCs/>
                <w:sz w:val="20"/>
                <w:szCs w:val="20"/>
              </w:rPr>
            </w:pPr>
          </w:p>
        </w:tc>
        <w:tc>
          <w:tcPr>
            <w:tcW w:w="1090" w:type="pct"/>
            <w:shd w:val="clear" w:color="auto" w:fill="auto"/>
          </w:tcPr>
          <w:p w14:paraId="2D25F296" w14:textId="77777777" w:rsidR="0002298B" w:rsidRPr="00B0658A" w:rsidRDefault="0002298B" w:rsidP="000A4114">
            <w:pPr>
              <w:spacing w:after="0" w:line="240" w:lineRule="auto"/>
              <w:rPr>
                <w:rFonts w:ascii="Times New Roman" w:hAnsi="Times New Roman"/>
                <w:i/>
                <w:iCs/>
                <w:sz w:val="20"/>
                <w:szCs w:val="20"/>
              </w:rPr>
            </w:pPr>
          </w:p>
        </w:tc>
        <w:tc>
          <w:tcPr>
            <w:tcW w:w="1036" w:type="pct"/>
            <w:shd w:val="clear" w:color="auto" w:fill="auto"/>
          </w:tcPr>
          <w:p w14:paraId="23D81D5D" w14:textId="77777777" w:rsidR="0002298B" w:rsidRPr="00B0658A" w:rsidRDefault="0002298B" w:rsidP="000A4114">
            <w:pPr>
              <w:spacing w:after="0" w:line="240" w:lineRule="auto"/>
              <w:rPr>
                <w:rFonts w:ascii="Times New Roman" w:hAnsi="Times New Roman"/>
                <w:i/>
                <w:iCs/>
                <w:sz w:val="20"/>
                <w:szCs w:val="20"/>
              </w:rPr>
            </w:pPr>
          </w:p>
        </w:tc>
        <w:tc>
          <w:tcPr>
            <w:tcW w:w="894" w:type="pct"/>
            <w:shd w:val="clear" w:color="auto" w:fill="auto"/>
          </w:tcPr>
          <w:p w14:paraId="34EB4D75" w14:textId="77777777" w:rsidR="0002298B" w:rsidRPr="00B0658A" w:rsidRDefault="0002298B" w:rsidP="000A4114">
            <w:pPr>
              <w:spacing w:after="0" w:line="240" w:lineRule="auto"/>
              <w:jc w:val="both"/>
              <w:rPr>
                <w:rFonts w:ascii="Times New Roman" w:hAnsi="Times New Roman"/>
                <w:i/>
                <w:iCs/>
                <w:sz w:val="20"/>
                <w:szCs w:val="20"/>
              </w:rPr>
            </w:pPr>
          </w:p>
        </w:tc>
      </w:tr>
      <w:tr w:rsidR="00F52FED" w:rsidRPr="00B0658A" w14:paraId="52F52B25" w14:textId="77777777" w:rsidTr="004F1366">
        <w:trPr>
          <w:trHeight w:val="170"/>
        </w:trPr>
        <w:tc>
          <w:tcPr>
            <w:tcW w:w="203" w:type="pct"/>
            <w:shd w:val="clear" w:color="auto" w:fill="auto"/>
          </w:tcPr>
          <w:p w14:paraId="2AFE020B" w14:textId="77777777" w:rsidR="0002298B" w:rsidRPr="00B0658A" w:rsidDel="00EC4B3C" w:rsidRDefault="0002298B" w:rsidP="000A4114">
            <w:pPr>
              <w:spacing w:after="0" w:line="240" w:lineRule="auto"/>
              <w:rPr>
                <w:rFonts w:ascii="Times New Roman" w:hAnsi="Times New Roman"/>
                <w:b/>
                <w:sz w:val="20"/>
                <w:szCs w:val="20"/>
              </w:rPr>
            </w:pPr>
            <w:r w:rsidRPr="00B0658A">
              <w:rPr>
                <w:rFonts w:ascii="Times New Roman" w:hAnsi="Times New Roman"/>
                <w:sz w:val="20"/>
                <w:szCs w:val="20"/>
              </w:rPr>
              <w:t>5.2</w:t>
            </w:r>
          </w:p>
        </w:tc>
        <w:tc>
          <w:tcPr>
            <w:tcW w:w="1153" w:type="pct"/>
            <w:shd w:val="clear" w:color="auto" w:fill="auto"/>
            <w:vAlign w:val="center"/>
          </w:tcPr>
          <w:p w14:paraId="6DA13ABB" w14:textId="77777777" w:rsidR="0002298B" w:rsidRPr="00B0658A" w:rsidRDefault="0002298B" w:rsidP="000A4114">
            <w:pPr>
              <w:spacing w:after="0" w:line="240" w:lineRule="auto"/>
              <w:rPr>
                <w:rFonts w:ascii="Times New Roman" w:hAnsi="Times New Roman"/>
                <w:b/>
                <w:sz w:val="20"/>
                <w:szCs w:val="20"/>
              </w:rPr>
            </w:pPr>
            <w:r w:rsidRPr="00B0658A">
              <w:rPr>
                <w:rFonts w:ascii="Times New Roman" w:hAnsi="Times New Roman"/>
                <w:sz w:val="20"/>
                <w:szCs w:val="20"/>
              </w:rPr>
              <w:t>Прикладное программное обеспечение/ Дополнительные программные модули (плагины)</w:t>
            </w:r>
          </w:p>
        </w:tc>
        <w:tc>
          <w:tcPr>
            <w:tcW w:w="624" w:type="pct"/>
          </w:tcPr>
          <w:p w14:paraId="5D5716DC" w14:textId="77777777" w:rsidR="0002298B" w:rsidRPr="00B0658A" w:rsidRDefault="0002298B" w:rsidP="000A4114">
            <w:pPr>
              <w:spacing w:after="0" w:line="240" w:lineRule="auto"/>
              <w:rPr>
                <w:rFonts w:ascii="Times New Roman" w:hAnsi="Times New Roman"/>
                <w:i/>
                <w:iCs/>
                <w:sz w:val="20"/>
                <w:szCs w:val="20"/>
              </w:rPr>
            </w:pPr>
          </w:p>
        </w:tc>
        <w:tc>
          <w:tcPr>
            <w:tcW w:w="1090" w:type="pct"/>
            <w:shd w:val="clear" w:color="auto" w:fill="auto"/>
          </w:tcPr>
          <w:p w14:paraId="7114EABB" w14:textId="77777777" w:rsidR="0002298B" w:rsidRPr="00B0658A" w:rsidRDefault="0002298B" w:rsidP="000A4114">
            <w:pPr>
              <w:spacing w:after="0" w:line="240" w:lineRule="auto"/>
              <w:rPr>
                <w:rFonts w:ascii="Times New Roman" w:hAnsi="Times New Roman"/>
                <w:i/>
                <w:iCs/>
                <w:sz w:val="20"/>
                <w:szCs w:val="20"/>
              </w:rPr>
            </w:pPr>
          </w:p>
        </w:tc>
        <w:tc>
          <w:tcPr>
            <w:tcW w:w="1036" w:type="pct"/>
            <w:shd w:val="clear" w:color="auto" w:fill="auto"/>
          </w:tcPr>
          <w:p w14:paraId="4A7E0EF4" w14:textId="77777777" w:rsidR="0002298B" w:rsidRPr="00B0658A" w:rsidRDefault="0002298B" w:rsidP="000A4114">
            <w:pPr>
              <w:spacing w:after="0" w:line="240" w:lineRule="auto"/>
              <w:rPr>
                <w:rFonts w:ascii="Times New Roman" w:hAnsi="Times New Roman"/>
                <w:i/>
                <w:iCs/>
                <w:sz w:val="20"/>
                <w:szCs w:val="20"/>
              </w:rPr>
            </w:pPr>
          </w:p>
        </w:tc>
        <w:tc>
          <w:tcPr>
            <w:tcW w:w="894" w:type="pct"/>
            <w:shd w:val="clear" w:color="auto" w:fill="auto"/>
          </w:tcPr>
          <w:p w14:paraId="61108CC4" w14:textId="77777777" w:rsidR="0002298B" w:rsidRPr="00B0658A" w:rsidRDefault="0002298B" w:rsidP="000A4114">
            <w:pPr>
              <w:spacing w:after="0" w:line="240" w:lineRule="auto"/>
              <w:jc w:val="both"/>
              <w:rPr>
                <w:rFonts w:ascii="Times New Roman" w:hAnsi="Times New Roman"/>
                <w:i/>
                <w:iCs/>
                <w:sz w:val="20"/>
                <w:szCs w:val="20"/>
              </w:rPr>
            </w:pPr>
          </w:p>
        </w:tc>
      </w:tr>
      <w:tr w:rsidR="00F52FED" w:rsidRPr="00B0658A" w14:paraId="111990A0" w14:textId="77777777" w:rsidTr="004F1366">
        <w:trPr>
          <w:trHeight w:val="170"/>
        </w:trPr>
        <w:tc>
          <w:tcPr>
            <w:tcW w:w="203" w:type="pct"/>
            <w:shd w:val="clear" w:color="auto" w:fill="auto"/>
          </w:tcPr>
          <w:p w14:paraId="22851285" w14:textId="77777777" w:rsidR="0002298B" w:rsidRPr="00B0658A" w:rsidDel="00EC4B3C" w:rsidRDefault="0002298B" w:rsidP="000A4114">
            <w:pPr>
              <w:spacing w:after="0" w:line="240" w:lineRule="auto"/>
              <w:rPr>
                <w:rFonts w:ascii="Times New Roman" w:hAnsi="Times New Roman"/>
                <w:b/>
                <w:sz w:val="20"/>
                <w:szCs w:val="20"/>
              </w:rPr>
            </w:pPr>
            <w:r w:rsidRPr="00B0658A">
              <w:rPr>
                <w:rFonts w:ascii="Times New Roman" w:hAnsi="Times New Roman"/>
                <w:sz w:val="20"/>
                <w:szCs w:val="20"/>
              </w:rPr>
              <w:t>5.3</w:t>
            </w:r>
          </w:p>
        </w:tc>
        <w:tc>
          <w:tcPr>
            <w:tcW w:w="1153" w:type="pct"/>
            <w:shd w:val="clear" w:color="auto" w:fill="auto"/>
            <w:vAlign w:val="center"/>
          </w:tcPr>
          <w:p w14:paraId="66243741" w14:textId="77777777" w:rsidR="0002298B" w:rsidRPr="00B0658A" w:rsidRDefault="0002298B" w:rsidP="000A4114">
            <w:pPr>
              <w:spacing w:after="0" w:line="240" w:lineRule="auto"/>
              <w:rPr>
                <w:rFonts w:ascii="Times New Roman" w:hAnsi="Times New Roman"/>
                <w:b/>
                <w:sz w:val="20"/>
                <w:szCs w:val="20"/>
              </w:rPr>
            </w:pPr>
            <w:r w:rsidRPr="00B0658A">
              <w:rPr>
                <w:rFonts w:ascii="Times New Roman" w:hAnsi="Times New Roman"/>
                <w:sz w:val="20"/>
                <w:szCs w:val="20"/>
              </w:rPr>
              <w:t>Прикладное программное обеспечение/ Игры и развлечения</w:t>
            </w:r>
          </w:p>
        </w:tc>
        <w:tc>
          <w:tcPr>
            <w:tcW w:w="624" w:type="pct"/>
          </w:tcPr>
          <w:p w14:paraId="1668A8A2" w14:textId="77777777" w:rsidR="0002298B" w:rsidRPr="00B0658A" w:rsidRDefault="0002298B" w:rsidP="000A4114">
            <w:pPr>
              <w:spacing w:after="0" w:line="240" w:lineRule="auto"/>
              <w:rPr>
                <w:rFonts w:ascii="Times New Roman" w:hAnsi="Times New Roman"/>
                <w:i/>
                <w:iCs/>
                <w:sz w:val="20"/>
                <w:szCs w:val="20"/>
              </w:rPr>
            </w:pPr>
          </w:p>
        </w:tc>
        <w:tc>
          <w:tcPr>
            <w:tcW w:w="1090" w:type="pct"/>
            <w:shd w:val="clear" w:color="auto" w:fill="auto"/>
          </w:tcPr>
          <w:p w14:paraId="481A1788" w14:textId="77777777" w:rsidR="0002298B" w:rsidRPr="00B0658A" w:rsidRDefault="0002298B" w:rsidP="000A4114">
            <w:pPr>
              <w:spacing w:after="0" w:line="240" w:lineRule="auto"/>
              <w:rPr>
                <w:rFonts w:ascii="Times New Roman" w:hAnsi="Times New Roman"/>
                <w:i/>
                <w:iCs/>
                <w:sz w:val="20"/>
                <w:szCs w:val="20"/>
              </w:rPr>
            </w:pPr>
          </w:p>
        </w:tc>
        <w:tc>
          <w:tcPr>
            <w:tcW w:w="1036" w:type="pct"/>
            <w:shd w:val="clear" w:color="auto" w:fill="auto"/>
          </w:tcPr>
          <w:p w14:paraId="2C059D97" w14:textId="77777777" w:rsidR="0002298B" w:rsidRPr="00B0658A" w:rsidRDefault="0002298B" w:rsidP="000A4114">
            <w:pPr>
              <w:spacing w:after="0" w:line="240" w:lineRule="auto"/>
              <w:rPr>
                <w:rFonts w:ascii="Times New Roman" w:hAnsi="Times New Roman"/>
                <w:i/>
                <w:iCs/>
                <w:sz w:val="20"/>
                <w:szCs w:val="20"/>
              </w:rPr>
            </w:pPr>
          </w:p>
        </w:tc>
        <w:tc>
          <w:tcPr>
            <w:tcW w:w="894" w:type="pct"/>
            <w:shd w:val="clear" w:color="auto" w:fill="auto"/>
          </w:tcPr>
          <w:p w14:paraId="6E7B73E2" w14:textId="77777777" w:rsidR="0002298B" w:rsidRPr="00B0658A" w:rsidRDefault="0002298B" w:rsidP="000A4114">
            <w:pPr>
              <w:spacing w:after="0" w:line="240" w:lineRule="auto"/>
              <w:jc w:val="both"/>
              <w:rPr>
                <w:rFonts w:ascii="Times New Roman" w:hAnsi="Times New Roman"/>
                <w:i/>
                <w:iCs/>
                <w:sz w:val="20"/>
                <w:szCs w:val="20"/>
              </w:rPr>
            </w:pPr>
          </w:p>
        </w:tc>
      </w:tr>
      <w:tr w:rsidR="00F52FED" w:rsidRPr="00B0658A" w14:paraId="5E3C202E" w14:textId="77777777" w:rsidTr="004F1366">
        <w:trPr>
          <w:trHeight w:val="170"/>
        </w:trPr>
        <w:tc>
          <w:tcPr>
            <w:tcW w:w="203" w:type="pct"/>
            <w:shd w:val="clear" w:color="auto" w:fill="auto"/>
          </w:tcPr>
          <w:p w14:paraId="1CCE16C7" w14:textId="77777777" w:rsidR="0002298B" w:rsidRPr="00B0658A" w:rsidDel="00EC4B3C" w:rsidRDefault="0002298B" w:rsidP="000A4114">
            <w:pPr>
              <w:spacing w:after="0" w:line="240" w:lineRule="auto"/>
              <w:rPr>
                <w:rFonts w:ascii="Times New Roman" w:hAnsi="Times New Roman"/>
                <w:b/>
                <w:sz w:val="20"/>
                <w:szCs w:val="20"/>
              </w:rPr>
            </w:pPr>
            <w:r w:rsidRPr="00B0658A">
              <w:rPr>
                <w:rFonts w:ascii="Times New Roman" w:hAnsi="Times New Roman"/>
                <w:sz w:val="20"/>
                <w:szCs w:val="20"/>
              </w:rPr>
              <w:t>5.4</w:t>
            </w:r>
          </w:p>
        </w:tc>
        <w:tc>
          <w:tcPr>
            <w:tcW w:w="1153" w:type="pct"/>
            <w:shd w:val="clear" w:color="auto" w:fill="auto"/>
            <w:vAlign w:val="center"/>
          </w:tcPr>
          <w:p w14:paraId="294CA32A" w14:textId="77777777" w:rsidR="0002298B" w:rsidRPr="00B0658A" w:rsidRDefault="0002298B" w:rsidP="000A4114">
            <w:pPr>
              <w:spacing w:after="0" w:line="240" w:lineRule="auto"/>
              <w:rPr>
                <w:rFonts w:ascii="Times New Roman" w:hAnsi="Times New Roman"/>
                <w:b/>
                <w:sz w:val="20"/>
                <w:szCs w:val="20"/>
              </w:rPr>
            </w:pPr>
            <w:r w:rsidRPr="00B0658A">
              <w:rPr>
                <w:rFonts w:ascii="Times New Roman" w:hAnsi="Times New Roman"/>
                <w:sz w:val="20"/>
                <w:szCs w:val="20"/>
              </w:rPr>
              <w:t>Прикладное программное обеспечение/ Поисковые средства</w:t>
            </w:r>
          </w:p>
        </w:tc>
        <w:tc>
          <w:tcPr>
            <w:tcW w:w="624" w:type="pct"/>
          </w:tcPr>
          <w:p w14:paraId="7C1C580C" w14:textId="77777777" w:rsidR="0002298B" w:rsidRPr="00B0658A" w:rsidRDefault="0002298B" w:rsidP="000A4114">
            <w:pPr>
              <w:spacing w:after="0" w:line="240" w:lineRule="auto"/>
              <w:rPr>
                <w:rFonts w:ascii="Times New Roman" w:hAnsi="Times New Roman"/>
                <w:i/>
                <w:iCs/>
                <w:sz w:val="20"/>
                <w:szCs w:val="20"/>
              </w:rPr>
            </w:pPr>
          </w:p>
        </w:tc>
        <w:tc>
          <w:tcPr>
            <w:tcW w:w="1090" w:type="pct"/>
            <w:shd w:val="clear" w:color="auto" w:fill="auto"/>
          </w:tcPr>
          <w:p w14:paraId="666AC3BC" w14:textId="77777777" w:rsidR="0002298B" w:rsidRPr="00B0658A" w:rsidRDefault="0002298B" w:rsidP="000A4114">
            <w:pPr>
              <w:spacing w:after="0" w:line="240" w:lineRule="auto"/>
              <w:rPr>
                <w:rFonts w:ascii="Times New Roman" w:hAnsi="Times New Roman"/>
                <w:i/>
                <w:iCs/>
                <w:sz w:val="20"/>
                <w:szCs w:val="20"/>
              </w:rPr>
            </w:pPr>
          </w:p>
        </w:tc>
        <w:tc>
          <w:tcPr>
            <w:tcW w:w="1036" w:type="pct"/>
            <w:shd w:val="clear" w:color="auto" w:fill="auto"/>
          </w:tcPr>
          <w:p w14:paraId="28E3FB69" w14:textId="77777777" w:rsidR="0002298B" w:rsidRPr="00B0658A" w:rsidRDefault="0002298B" w:rsidP="000A4114">
            <w:pPr>
              <w:spacing w:after="0" w:line="240" w:lineRule="auto"/>
              <w:rPr>
                <w:rFonts w:ascii="Times New Roman" w:hAnsi="Times New Roman"/>
                <w:i/>
                <w:iCs/>
                <w:sz w:val="20"/>
                <w:szCs w:val="20"/>
              </w:rPr>
            </w:pPr>
          </w:p>
        </w:tc>
        <w:tc>
          <w:tcPr>
            <w:tcW w:w="894" w:type="pct"/>
            <w:shd w:val="clear" w:color="auto" w:fill="auto"/>
          </w:tcPr>
          <w:p w14:paraId="4D30A523" w14:textId="77777777" w:rsidR="0002298B" w:rsidRPr="00B0658A" w:rsidRDefault="0002298B" w:rsidP="000A4114">
            <w:pPr>
              <w:spacing w:after="0" w:line="240" w:lineRule="auto"/>
              <w:jc w:val="both"/>
              <w:rPr>
                <w:rFonts w:ascii="Times New Roman" w:hAnsi="Times New Roman"/>
                <w:i/>
                <w:iCs/>
                <w:sz w:val="20"/>
                <w:szCs w:val="20"/>
              </w:rPr>
            </w:pPr>
          </w:p>
        </w:tc>
      </w:tr>
      <w:tr w:rsidR="00F52FED" w:rsidRPr="00B0658A" w14:paraId="2F05930C" w14:textId="77777777" w:rsidTr="004F1366">
        <w:trPr>
          <w:trHeight w:val="170"/>
        </w:trPr>
        <w:tc>
          <w:tcPr>
            <w:tcW w:w="203" w:type="pct"/>
            <w:shd w:val="clear" w:color="auto" w:fill="auto"/>
          </w:tcPr>
          <w:p w14:paraId="43AB7734" w14:textId="77777777" w:rsidR="0002298B" w:rsidRPr="00B0658A" w:rsidDel="00EC4B3C" w:rsidRDefault="0002298B" w:rsidP="000A4114">
            <w:pPr>
              <w:spacing w:after="0" w:line="240" w:lineRule="auto"/>
              <w:rPr>
                <w:rFonts w:ascii="Times New Roman" w:hAnsi="Times New Roman"/>
                <w:b/>
                <w:sz w:val="20"/>
                <w:szCs w:val="20"/>
              </w:rPr>
            </w:pPr>
            <w:r w:rsidRPr="00B0658A">
              <w:rPr>
                <w:rFonts w:ascii="Times New Roman" w:hAnsi="Times New Roman"/>
                <w:sz w:val="20"/>
                <w:szCs w:val="20"/>
              </w:rPr>
              <w:t>5.5</w:t>
            </w:r>
          </w:p>
        </w:tc>
        <w:tc>
          <w:tcPr>
            <w:tcW w:w="1153" w:type="pct"/>
            <w:shd w:val="clear" w:color="auto" w:fill="auto"/>
            <w:vAlign w:val="center"/>
          </w:tcPr>
          <w:p w14:paraId="2408CE59" w14:textId="77777777" w:rsidR="0002298B" w:rsidRPr="00B0658A" w:rsidRDefault="0002298B" w:rsidP="000A4114">
            <w:pPr>
              <w:spacing w:after="0" w:line="240" w:lineRule="auto"/>
              <w:rPr>
                <w:rFonts w:ascii="Times New Roman" w:hAnsi="Times New Roman"/>
                <w:b/>
                <w:sz w:val="20"/>
                <w:szCs w:val="20"/>
              </w:rPr>
            </w:pPr>
            <w:r w:rsidRPr="00B0658A">
              <w:rPr>
                <w:rFonts w:ascii="Times New Roman" w:hAnsi="Times New Roman"/>
                <w:sz w:val="20"/>
                <w:szCs w:val="20"/>
              </w:rPr>
              <w:t>Прикладное программное обеспечение/ Средства управления проектами</w:t>
            </w:r>
          </w:p>
        </w:tc>
        <w:tc>
          <w:tcPr>
            <w:tcW w:w="624" w:type="pct"/>
          </w:tcPr>
          <w:p w14:paraId="00E0F89D" w14:textId="77777777" w:rsidR="0002298B" w:rsidRPr="00B0658A" w:rsidRDefault="0002298B" w:rsidP="000A4114">
            <w:pPr>
              <w:spacing w:after="0" w:line="240" w:lineRule="auto"/>
              <w:rPr>
                <w:rFonts w:ascii="Times New Roman" w:hAnsi="Times New Roman"/>
                <w:i/>
                <w:iCs/>
                <w:sz w:val="20"/>
                <w:szCs w:val="20"/>
              </w:rPr>
            </w:pPr>
          </w:p>
        </w:tc>
        <w:tc>
          <w:tcPr>
            <w:tcW w:w="1090" w:type="pct"/>
            <w:shd w:val="clear" w:color="auto" w:fill="auto"/>
          </w:tcPr>
          <w:p w14:paraId="51AE4F10" w14:textId="77777777" w:rsidR="0002298B" w:rsidRPr="00B0658A" w:rsidRDefault="0002298B" w:rsidP="000A4114">
            <w:pPr>
              <w:spacing w:after="0" w:line="240" w:lineRule="auto"/>
              <w:rPr>
                <w:rFonts w:ascii="Times New Roman" w:hAnsi="Times New Roman"/>
                <w:i/>
                <w:iCs/>
                <w:sz w:val="20"/>
                <w:szCs w:val="20"/>
              </w:rPr>
            </w:pPr>
          </w:p>
        </w:tc>
        <w:tc>
          <w:tcPr>
            <w:tcW w:w="1036" w:type="pct"/>
            <w:shd w:val="clear" w:color="auto" w:fill="auto"/>
          </w:tcPr>
          <w:p w14:paraId="271C0337" w14:textId="77777777" w:rsidR="0002298B" w:rsidRPr="00B0658A" w:rsidRDefault="0002298B" w:rsidP="000A4114">
            <w:pPr>
              <w:spacing w:after="0" w:line="240" w:lineRule="auto"/>
              <w:rPr>
                <w:rFonts w:ascii="Times New Roman" w:hAnsi="Times New Roman"/>
                <w:i/>
                <w:iCs/>
                <w:sz w:val="20"/>
                <w:szCs w:val="20"/>
              </w:rPr>
            </w:pPr>
          </w:p>
        </w:tc>
        <w:tc>
          <w:tcPr>
            <w:tcW w:w="894" w:type="pct"/>
            <w:shd w:val="clear" w:color="auto" w:fill="auto"/>
          </w:tcPr>
          <w:p w14:paraId="78B41138" w14:textId="77777777" w:rsidR="0002298B" w:rsidRPr="00B0658A" w:rsidRDefault="0002298B" w:rsidP="000A4114">
            <w:pPr>
              <w:spacing w:after="0" w:line="240" w:lineRule="auto"/>
              <w:jc w:val="both"/>
              <w:rPr>
                <w:rFonts w:ascii="Times New Roman" w:hAnsi="Times New Roman"/>
                <w:i/>
                <w:iCs/>
                <w:sz w:val="20"/>
                <w:szCs w:val="20"/>
              </w:rPr>
            </w:pPr>
          </w:p>
        </w:tc>
      </w:tr>
      <w:tr w:rsidR="00F52FED" w:rsidRPr="00B0658A" w14:paraId="779D9481" w14:textId="77777777" w:rsidTr="004F1366">
        <w:trPr>
          <w:trHeight w:val="170"/>
        </w:trPr>
        <w:tc>
          <w:tcPr>
            <w:tcW w:w="203" w:type="pct"/>
            <w:shd w:val="clear" w:color="auto" w:fill="auto"/>
          </w:tcPr>
          <w:p w14:paraId="03E6F706" w14:textId="77777777" w:rsidR="0002298B" w:rsidRPr="00B0658A" w:rsidDel="00EC4B3C" w:rsidRDefault="0002298B" w:rsidP="000A4114">
            <w:pPr>
              <w:spacing w:after="0" w:line="240" w:lineRule="auto"/>
              <w:rPr>
                <w:rFonts w:ascii="Times New Roman" w:hAnsi="Times New Roman"/>
                <w:b/>
                <w:sz w:val="20"/>
                <w:szCs w:val="20"/>
              </w:rPr>
            </w:pPr>
            <w:r w:rsidRPr="00B0658A">
              <w:rPr>
                <w:rFonts w:ascii="Times New Roman" w:hAnsi="Times New Roman"/>
                <w:sz w:val="20"/>
                <w:szCs w:val="20"/>
              </w:rPr>
              <w:t>5.6</w:t>
            </w:r>
          </w:p>
        </w:tc>
        <w:tc>
          <w:tcPr>
            <w:tcW w:w="1153" w:type="pct"/>
            <w:shd w:val="clear" w:color="auto" w:fill="auto"/>
            <w:vAlign w:val="center"/>
          </w:tcPr>
          <w:p w14:paraId="4E9F557B" w14:textId="77777777" w:rsidR="0002298B" w:rsidRPr="00B0658A" w:rsidRDefault="0002298B" w:rsidP="000A4114">
            <w:pPr>
              <w:spacing w:after="0" w:line="240" w:lineRule="auto"/>
              <w:rPr>
                <w:rFonts w:ascii="Times New Roman" w:hAnsi="Times New Roman"/>
                <w:b/>
                <w:sz w:val="20"/>
                <w:szCs w:val="20"/>
              </w:rPr>
            </w:pPr>
            <w:r w:rsidRPr="00B0658A">
              <w:rPr>
                <w:rFonts w:ascii="Times New Roman" w:hAnsi="Times New Roman"/>
                <w:sz w:val="20"/>
                <w:szCs w:val="20"/>
              </w:rPr>
              <w:t>Прикладное программное обеспечение/ Геоинформационные и навигационные средства (GIS)</w:t>
            </w:r>
          </w:p>
        </w:tc>
        <w:tc>
          <w:tcPr>
            <w:tcW w:w="624" w:type="pct"/>
          </w:tcPr>
          <w:p w14:paraId="519F2148" w14:textId="77777777" w:rsidR="0002298B" w:rsidRPr="00B0658A" w:rsidRDefault="0002298B" w:rsidP="000A4114">
            <w:pPr>
              <w:spacing w:after="0" w:line="240" w:lineRule="auto"/>
              <w:rPr>
                <w:rFonts w:ascii="Times New Roman" w:hAnsi="Times New Roman"/>
                <w:i/>
                <w:iCs/>
                <w:sz w:val="20"/>
                <w:szCs w:val="20"/>
              </w:rPr>
            </w:pPr>
          </w:p>
        </w:tc>
        <w:tc>
          <w:tcPr>
            <w:tcW w:w="1090" w:type="pct"/>
            <w:shd w:val="clear" w:color="auto" w:fill="auto"/>
          </w:tcPr>
          <w:p w14:paraId="60CC9993" w14:textId="77777777" w:rsidR="0002298B" w:rsidRPr="00B0658A" w:rsidRDefault="0002298B" w:rsidP="000A4114">
            <w:pPr>
              <w:spacing w:after="0" w:line="240" w:lineRule="auto"/>
              <w:rPr>
                <w:rFonts w:ascii="Times New Roman" w:hAnsi="Times New Roman"/>
                <w:i/>
                <w:iCs/>
                <w:sz w:val="20"/>
                <w:szCs w:val="20"/>
              </w:rPr>
            </w:pPr>
          </w:p>
        </w:tc>
        <w:tc>
          <w:tcPr>
            <w:tcW w:w="1036" w:type="pct"/>
            <w:shd w:val="clear" w:color="auto" w:fill="auto"/>
          </w:tcPr>
          <w:p w14:paraId="242C951D" w14:textId="77777777" w:rsidR="0002298B" w:rsidRPr="00B0658A" w:rsidRDefault="0002298B" w:rsidP="000A4114">
            <w:pPr>
              <w:spacing w:after="0" w:line="240" w:lineRule="auto"/>
              <w:rPr>
                <w:rFonts w:ascii="Times New Roman" w:hAnsi="Times New Roman"/>
                <w:i/>
                <w:iCs/>
                <w:sz w:val="20"/>
                <w:szCs w:val="20"/>
              </w:rPr>
            </w:pPr>
          </w:p>
        </w:tc>
        <w:tc>
          <w:tcPr>
            <w:tcW w:w="894" w:type="pct"/>
            <w:shd w:val="clear" w:color="auto" w:fill="auto"/>
          </w:tcPr>
          <w:p w14:paraId="5D6144E9" w14:textId="77777777" w:rsidR="0002298B" w:rsidRPr="00B0658A" w:rsidRDefault="0002298B" w:rsidP="000A4114">
            <w:pPr>
              <w:spacing w:after="0" w:line="240" w:lineRule="auto"/>
              <w:jc w:val="both"/>
              <w:rPr>
                <w:rFonts w:ascii="Times New Roman" w:hAnsi="Times New Roman"/>
                <w:i/>
                <w:iCs/>
                <w:sz w:val="20"/>
                <w:szCs w:val="20"/>
              </w:rPr>
            </w:pPr>
          </w:p>
        </w:tc>
      </w:tr>
      <w:tr w:rsidR="00F52FED" w:rsidRPr="00B0658A" w14:paraId="0EDD1C65" w14:textId="77777777" w:rsidTr="004F1366">
        <w:trPr>
          <w:trHeight w:val="170"/>
        </w:trPr>
        <w:tc>
          <w:tcPr>
            <w:tcW w:w="203" w:type="pct"/>
            <w:shd w:val="clear" w:color="auto" w:fill="auto"/>
          </w:tcPr>
          <w:p w14:paraId="73570E59" w14:textId="77777777" w:rsidR="0002298B" w:rsidRPr="00B0658A" w:rsidDel="00EC4B3C" w:rsidRDefault="0002298B" w:rsidP="000A4114">
            <w:pPr>
              <w:spacing w:after="0" w:line="240" w:lineRule="auto"/>
              <w:rPr>
                <w:rFonts w:ascii="Times New Roman" w:hAnsi="Times New Roman"/>
                <w:b/>
                <w:sz w:val="20"/>
                <w:szCs w:val="20"/>
              </w:rPr>
            </w:pPr>
            <w:r w:rsidRPr="00B0658A">
              <w:rPr>
                <w:rFonts w:ascii="Times New Roman" w:hAnsi="Times New Roman"/>
                <w:sz w:val="20"/>
                <w:szCs w:val="20"/>
              </w:rPr>
              <w:t>5.7</w:t>
            </w:r>
          </w:p>
        </w:tc>
        <w:tc>
          <w:tcPr>
            <w:tcW w:w="1153" w:type="pct"/>
            <w:shd w:val="clear" w:color="auto" w:fill="auto"/>
            <w:vAlign w:val="center"/>
          </w:tcPr>
          <w:p w14:paraId="6DCE6557" w14:textId="77777777" w:rsidR="0002298B" w:rsidRPr="00B0658A" w:rsidRDefault="0002298B" w:rsidP="000A4114">
            <w:pPr>
              <w:spacing w:after="0" w:line="240" w:lineRule="auto"/>
              <w:rPr>
                <w:rFonts w:ascii="Times New Roman" w:hAnsi="Times New Roman"/>
                <w:b/>
                <w:sz w:val="20"/>
                <w:szCs w:val="20"/>
              </w:rPr>
            </w:pPr>
            <w:r w:rsidRPr="00B0658A">
              <w:rPr>
                <w:rFonts w:ascii="Times New Roman" w:hAnsi="Times New Roman"/>
                <w:sz w:val="20"/>
                <w:szCs w:val="20"/>
              </w:rPr>
              <w:t>Прикладное программное обеспечение/ Специализированное ПО органов исполнительной власти Российской Федерации, государственных корпораций, компаний и юридических лиц с преимущественным участием Российской Федерации для внутреннего использования</w:t>
            </w:r>
          </w:p>
        </w:tc>
        <w:tc>
          <w:tcPr>
            <w:tcW w:w="624" w:type="pct"/>
          </w:tcPr>
          <w:p w14:paraId="2212A1EF" w14:textId="77777777" w:rsidR="0002298B" w:rsidRPr="00B0658A" w:rsidRDefault="0002298B" w:rsidP="000A4114">
            <w:pPr>
              <w:spacing w:after="0" w:line="240" w:lineRule="auto"/>
              <w:rPr>
                <w:rFonts w:ascii="Times New Roman" w:hAnsi="Times New Roman"/>
                <w:i/>
                <w:iCs/>
                <w:sz w:val="20"/>
                <w:szCs w:val="20"/>
              </w:rPr>
            </w:pPr>
          </w:p>
        </w:tc>
        <w:tc>
          <w:tcPr>
            <w:tcW w:w="1090" w:type="pct"/>
            <w:shd w:val="clear" w:color="auto" w:fill="auto"/>
          </w:tcPr>
          <w:p w14:paraId="3FDB13E2" w14:textId="77777777" w:rsidR="0002298B" w:rsidRPr="00B0658A" w:rsidRDefault="0002298B" w:rsidP="000A4114">
            <w:pPr>
              <w:spacing w:after="0" w:line="240" w:lineRule="auto"/>
              <w:rPr>
                <w:rFonts w:ascii="Times New Roman" w:hAnsi="Times New Roman"/>
                <w:i/>
                <w:iCs/>
                <w:sz w:val="20"/>
                <w:szCs w:val="20"/>
              </w:rPr>
            </w:pPr>
          </w:p>
        </w:tc>
        <w:tc>
          <w:tcPr>
            <w:tcW w:w="1036" w:type="pct"/>
            <w:shd w:val="clear" w:color="auto" w:fill="auto"/>
          </w:tcPr>
          <w:p w14:paraId="52969892" w14:textId="77777777" w:rsidR="0002298B" w:rsidRPr="00B0658A" w:rsidRDefault="0002298B" w:rsidP="000A4114">
            <w:pPr>
              <w:spacing w:after="0" w:line="240" w:lineRule="auto"/>
              <w:rPr>
                <w:rFonts w:ascii="Times New Roman" w:hAnsi="Times New Roman"/>
                <w:i/>
                <w:iCs/>
                <w:sz w:val="20"/>
                <w:szCs w:val="20"/>
              </w:rPr>
            </w:pPr>
          </w:p>
        </w:tc>
        <w:tc>
          <w:tcPr>
            <w:tcW w:w="894" w:type="pct"/>
            <w:shd w:val="clear" w:color="auto" w:fill="auto"/>
          </w:tcPr>
          <w:p w14:paraId="76680036" w14:textId="77777777" w:rsidR="0002298B" w:rsidRPr="00B0658A" w:rsidRDefault="0002298B" w:rsidP="000A4114">
            <w:pPr>
              <w:spacing w:after="0" w:line="240" w:lineRule="auto"/>
              <w:jc w:val="both"/>
              <w:rPr>
                <w:rFonts w:ascii="Times New Roman" w:hAnsi="Times New Roman"/>
                <w:i/>
                <w:iCs/>
                <w:sz w:val="20"/>
                <w:szCs w:val="20"/>
              </w:rPr>
            </w:pPr>
          </w:p>
        </w:tc>
      </w:tr>
      <w:tr w:rsidR="00F52FED" w:rsidRPr="00B0658A" w14:paraId="3A2923F1" w14:textId="77777777" w:rsidTr="004F1366">
        <w:trPr>
          <w:trHeight w:val="170"/>
        </w:trPr>
        <w:tc>
          <w:tcPr>
            <w:tcW w:w="203" w:type="pct"/>
            <w:shd w:val="clear" w:color="auto" w:fill="auto"/>
          </w:tcPr>
          <w:p w14:paraId="5396FD12" w14:textId="77777777" w:rsidR="0002298B" w:rsidRPr="00B0658A" w:rsidDel="00EC4B3C" w:rsidRDefault="0002298B" w:rsidP="000A4114">
            <w:pPr>
              <w:spacing w:after="0" w:line="240" w:lineRule="auto"/>
              <w:rPr>
                <w:rFonts w:ascii="Times New Roman" w:hAnsi="Times New Roman"/>
                <w:b/>
                <w:sz w:val="20"/>
                <w:szCs w:val="20"/>
              </w:rPr>
            </w:pPr>
            <w:r w:rsidRPr="00B0658A">
              <w:rPr>
                <w:rFonts w:ascii="Times New Roman" w:hAnsi="Times New Roman"/>
                <w:sz w:val="20"/>
                <w:szCs w:val="20"/>
              </w:rPr>
              <w:t>5.8</w:t>
            </w:r>
          </w:p>
        </w:tc>
        <w:tc>
          <w:tcPr>
            <w:tcW w:w="1153" w:type="pct"/>
            <w:shd w:val="clear" w:color="auto" w:fill="auto"/>
            <w:vAlign w:val="center"/>
          </w:tcPr>
          <w:p w14:paraId="62778616" w14:textId="77777777" w:rsidR="0002298B" w:rsidRPr="00B0658A" w:rsidRDefault="0002298B" w:rsidP="000A4114">
            <w:pPr>
              <w:spacing w:after="0" w:line="240" w:lineRule="auto"/>
              <w:rPr>
                <w:rFonts w:ascii="Times New Roman" w:hAnsi="Times New Roman"/>
                <w:b/>
                <w:sz w:val="20"/>
                <w:szCs w:val="20"/>
              </w:rPr>
            </w:pPr>
            <w:r w:rsidRPr="00B0658A">
              <w:rPr>
                <w:rFonts w:ascii="Times New Roman" w:hAnsi="Times New Roman"/>
                <w:sz w:val="20"/>
                <w:szCs w:val="20"/>
              </w:rPr>
              <w:t>Прикладное программное обеспечение/ Средства управления контактными центрами</w:t>
            </w:r>
          </w:p>
        </w:tc>
        <w:tc>
          <w:tcPr>
            <w:tcW w:w="624" w:type="pct"/>
          </w:tcPr>
          <w:p w14:paraId="1E5FDF13" w14:textId="77777777" w:rsidR="0002298B" w:rsidRPr="00B0658A" w:rsidRDefault="0002298B" w:rsidP="000A4114">
            <w:pPr>
              <w:spacing w:after="0" w:line="240" w:lineRule="auto"/>
              <w:rPr>
                <w:rFonts w:ascii="Times New Roman" w:hAnsi="Times New Roman"/>
                <w:i/>
                <w:iCs/>
                <w:sz w:val="20"/>
                <w:szCs w:val="20"/>
              </w:rPr>
            </w:pPr>
          </w:p>
        </w:tc>
        <w:tc>
          <w:tcPr>
            <w:tcW w:w="1090" w:type="pct"/>
            <w:shd w:val="clear" w:color="auto" w:fill="auto"/>
          </w:tcPr>
          <w:p w14:paraId="5EFD90A6" w14:textId="77777777" w:rsidR="0002298B" w:rsidRPr="00B0658A" w:rsidRDefault="0002298B" w:rsidP="000A4114">
            <w:pPr>
              <w:spacing w:after="0" w:line="240" w:lineRule="auto"/>
              <w:rPr>
                <w:rFonts w:ascii="Times New Roman" w:hAnsi="Times New Roman"/>
                <w:i/>
                <w:iCs/>
                <w:sz w:val="20"/>
                <w:szCs w:val="20"/>
              </w:rPr>
            </w:pPr>
          </w:p>
        </w:tc>
        <w:tc>
          <w:tcPr>
            <w:tcW w:w="1036" w:type="pct"/>
            <w:shd w:val="clear" w:color="auto" w:fill="auto"/>
          </w:tcPr>
          <w:p w14:paraId="40A32BB6" w14:textId="77777777" w:rsidR="0002298B" w:rsidRPr="00B0658A" w:rsidRDefault="0002298B" w:rsidP="000A4114">
            <w:pPr>
              <w:spacing w:after="0" w:line="240" w:lineRule="auto"/>
              <w:rPr>
                <w:rFonts w:ascii="Times New Roman" w:hAnsi="Times New Roman"/>
                <w:i/>
                <w:iCs/>
                <w:sz w:val="20"/>
                <w:szCs w:val="20"/>
              </w:rPr>
            </w:pPr>
          </w:p>
        </w:tc>
        <w:tc>
          <w:tcPr>
            <w:tcW w:w="894" w:type="pct"/>
            <w:shd w:val="clear" w:color="auto" w:fill="auto"/>
          </w:tcPr>
          <w:p w14:paraId="4ED0C52D" w14:textId="77777777" w:rsidR="0002298B" w:rsidRPr="00B0658A" w:rsidRDefault="0002298B" w:rsidP="000A4114">
            <w:pPr>
              <w:spacing w:after="0" w:line="240" w:lineRule="auto"/>
              <w:jc w:val="both"/>
              <w:rPr>
                <w:rFonts w:ascii="Times New Roman" w:hAnsi="Times New Roman"/>
                <w:i/>
                <w:iCs/>
                <w:sz w:val="20"/>
                <w:szCs w:val="20"/>
              </w:rPr>
            </w:pPr>
          </w:p>
        </w:tc>
      </w:tr>
      <w:tr w:rsidR="00F52FED" w:rsidRPr="00B0658A" w14:paraId="03037F9F" w14:textId="77777777" w:rsidTr="004F1366">
        <w:trPr>
          <w:trHeight w:val="170"/>
        </w:trPr>
        <w:tc>
          <w:tcPr>
            <w:tcW w:w="203" w:type="pct"/>
            <w:shd w:val="clear" w:color="auto" w:fill="auto"/>
          </w:tcPr>
          <w:p w14:paraId="5754B129" w14:textId="77777777" w:rsidR="0002298B" w:rsidRPr="00B0658A" w:rsidDel="00EC4B3C" w:rsidRDefault="0002298B" w:rsidP="000A4114">
            <w:pPr>
              <w:spacing w:after="0" w:line="240" w:lineRule="auto"/>
              <w:rPr>
                <w:rFonts w:ascii="Times New Roman" w:hAnsi="Times New Roman"/>
                <w:b/>
                <w:sz w:val="20"/>
                <w:szCs w:val="20"/>
              </w:rPr>
            </w:pPr>
            <w:r w:rsidRPr="00B0658A">
              <w:rPr>
                <w:rFonts w:ascii="Times New Roman" w:hAnsi="Times New Roman"/>
                <w:sz w:val="20"/>
                <w:szCs w:val="20"/>
              </w:rPr>
              <w:t>5.9</w:t>
            </w:r>
          </w:p>
        </w:tc>
        <w:tc>
          <w:tcPr>
            <w:tcW w:w="1153" w:type="pct"/>
            <w:shd w:val="clear" w:color="auto" w:fill="auto"/>
            <w:vAlign w:val="center"/>
          </w:tcPr>
          <w:p w14:paraId="671D5F36" w14:textId="77777777" w:rsidR="0002298B" w:rsidRPr="00B0658A" w:rsidRDefault="0002298B" w:rsidP="000A4114">
            <w:pPr>
              <w:spacing w:after="0" w:line="240" w:lineRule="auto"/>
              <w:rPr>
                <w:rFonts w:ascii="Times New Roman" w:hAnsi="Times New Roman"/>
                <w:b/>
                <w:sz w:val="20"/>
                <w:szCs w:val="20"/>
              </w:rPr>
            </w:pPr>
            <w:r w:rsidRPr="00B0658A">
              <w:rPr>
                <w:rFonts w:ascii="Times New Roman" w:hAnsi="Times New Roman"/>
                <w:sz w:val="20"/>
                <w:szCs w:val="20"/>
              </w:rPr>
              <w:t>Прикладное программное обеспечение/ Средства управления диалоговыми роботами (чат-боты и голосовые роботы)</w:t>
            </w:r>
          </w:p>
        </w:tc>
        <w:tc>
          <w:tcPr>
            <w:tcW w:w="624" w:type="pct"/>
          </w:tcPr>
          <w:p w14:paraId="6CDA9B57" w14:textId="77777777" w:rsidR="0002298B" w:rsidRPr="00B0658A" w:rsidRDefault="0002298B" w:rsidP="000A4114">
            <w:pPr>
              <w:spacing w:after="0" w:line="240" w:lineRule="auto"/>
              <w:rPr>
                <w:rFonts w:ascii="Times New Roman" w:hAnsi="Times New Roman"/>
                <w:i/>
                <w:iCs/>
                <w:sz w:val="20"/>
                <w:szCs w:val="20"/>
              </w:rPr>
            </w:pPr>
          </w:p>
        </w:tc>
        <w:tc>
          <w:tcPr>
            <w:tcW w:w="1090" w:type="pct"/>
            <w:shd w:val="clear" w:color="auto" w:fill="auto"/>
          </w:tcPr>
          <w:p w14:paraId="19865B0F" w14:textId="77777777" w:rsidR="0002298B" w:rsidRPr="00B0658A" w:rsidRDefault="0002298B" w:rsidP="000A4114">
            <w:pPr>
              <w:spacing w:after="0" w:line="240" w:lineRule="auto"/>
              <w:rPr>
                <w:rFonts w:ascii="Times New Roman" w:hAnsi="Times New Roman"/>
                <w:i/>
                <w:iCs/>
                <w:sz w:val="20"/>
                <w:szCs w:val="20"/>
              </w:rPr>
            </w:pPr>
          </w:p>
        </w:tc>
        <w:tc>
          <w:tcPr>
            <w:tcW w:w="1036" w:type="pct"/>
            <w:shd w:val="clear" w:color="auto" w:fill="auto"/>
          </w:tcPr>
          <w:p w14:paraId="52600B11" w14:textId="77777777" w:rsidR="0002298B" w:rsidRPr="00B0658A" w:rsidRDefault="0002298B" w:rsidP="000A4114">
            <w:pPr>
              <w:spacing w:after="0" w:line="240" w:lineRule="auto"/>
              <w:rPr>
                <w:rFonts w:ascii="Times New Roman" w:hAnsi="Times New Roman"/>
                <w:i/>
                <w:iCs/>
                <w:sz w:val="20"/>
                <w:szCs w:val="20"/>
              </w:rPr>
            </w:pPr>
          </w:p>
        </w:tc>
        <w:tc>
          <w:tcPr>
            <w:tcW w:w="894" w:type="pct"/>
            <w:shd w:val="clear" w:color="auto" w:fill="auto"/>
          </w:tcPr>
          <w:p w14:paraId="499562FE" w14:textId="77777777" w:rsidR="0002298B" w:rsidRPr="00B0658A" w:rsidRDefault="0002298B" w:rsidP="000A4114">
            <w:pPr>
              <w:spacing w:after="0" w:line="240" w:lineRule="auto"/>
              <w:jc w:val="both"/>
              <w:rPr>
                <w:rFonts w:ascii="Times New Roman" w:hAnsi="Times New Roman"/>
                <w:i/>
                <w:iCs/>
                <w:sz w:val="20"/>
                <w:szCs w:val="20"/>
              </w:rPr>
            </w:pPr>
          </w:p>
        </w:tc>
      </w:tr>
      <w:tr w:rsidR="00F52FED" w:rsidRPr="00B0658A" w14:paraId="3DB4B5AE" w14:textId="77777777" w:rsidTr="004F1366">
        <w:trPr>
          <w:trHeight w:val="170"/>
        </w:trPr>
        <w:tc>
          <w:tcPr>
            <w:tcW w:w="203" w:type="pct"/>
            <w:shd w:val="clear" w:color="auto" w:fill="auto"/>
          </w:tcPr>
          <w:p w14:paraId="3843A5F8" w14:textId="77777777" w:rsidR="0002298B" w:rsidRPr="00B0658A" w:rsidDel="00EC4B3C" w:rsidRDefault="0002298B" w:rsidP="000A4114">
            <w:pPr>
              <w:spacing w:after="0" w:line="240" w:lineRule="auto"/>
              <w:rPr>
                <w:rFonts w:ascii="Times New Roman" w:hAnsi="Times New Roman"/>
                <w:b/>
                <w:sz w:val="20"/>
                <w:szCs w:val="20"/>
              </w:rPr>
            </w:pPr>
            <w:r w:rsidRPr="00B0658A">
              <w:rPr>
                <w:rFonts w:ascii="Times New Roman" w:hAnsi="Times New Roman"/>
                <w:sz w:val="20"/>
                <w:szCs w:val="20"/>
              </w:rPr>
              <w:t>5.10</w:t>
            </w:r>
          </w:p>
        </w:tc>
        <w:tc>
          <w:tcPr>
            <w:tcW w:w="1153" w:type="pct"/>
            <w:shd w:val="clear" w:color="auto" w:fill="auto"/>
            <w:vAlign w:val="center"/>
          </w:tcPr>
          <w:p w14:paraId="1642DF35" w14:textId="77777777" w:rsidR="0002298B" w:rsidRPr="00B0658A" w:rsidRDefault="0002298B" w:rsidP="000A4114">
            <w:pPr>
              <w:spacing w:after="0" w:line="240" w:lineRule="auto"/>
              <w:rPr>
                <w:rFonts w:ascii="Times New Roman" w:hAnsi="Times New Roman"/>
                <w:b/>
                <w:sz w:val="20"/>
                <w:szCs w:val="20"/>
              </w:rPr>
            </w:pPr>
            <w:r w:rsidRPr="00B0658A">
              <w:rPr>
                <w:rFonts w:ascii="Times New Roman" w:hAnsi="Times New Roman"/>
                <w:sz w:val="20"/>
                <w:szCs w:val="20"/>
              </w:rPr>
              <w:t>Прикладное программное обеспечение/ Базы знаний</w:t>
            </w:r>
          </w:p>
        </w:tc>
        <w:tc>
          <w:tcPr>
            <w:tcW w:w="624" w:type="pct"/>
          </w:tcPr>
          <w:p w14:paraId="1E79C302" w14:textId="77777777" w:rsidR="0002298B" w:rsidRPr="00B0658A" w:rsidRDefault="0002298B" w:rsidP="000A4114">
            <w:pPr>
              <w:spacing w:after="0" w:line="240" w:lineRule="auto"/>
              <w:rPr>
                <w:rFonts w:ascii="Times New Roman" w:hAnsi="Times New Roman"/>
                <w:i/>
                <w:iCs/>
                <w:sz w:val="20"/>
                <w:szCs w:val="20"/>
              </w:rPr>
            </w:pPr>
          </w:p>
        </w:tc>
        <w:tc>
          <w:tcPr>
            <w:tcW w:w="1090" w:type="pct"/>
            <w:shd w:val="clear" w:color="auto" w:fill="auto"/>
          </w:tcPr>
          <w:p w14:paraId="403AD388" w14:textId="77777777" w:rsidR="0002298B" w:rsidRPr="00B0658A" w:rsidRDefault="0002298B" w:rsidP="000A4114">
            <w:pPr>
              <w:spacing w:after="0" w:line="240" w:lineRule="auto"/>
              <w:rPr>
                <w:rFonts w:ascii="Times New Roman" w:hAnsi="Times New Roman"/>
                <w:i/>
                <w:iCs/>
                <w:sz w:val="20"/>
                <w:szCs w:val="20"/>
              </w:rPr>
            </w:pPr>
          </w:p>
        </w:tc>
        <w:tc>
          <w:tcPr>
            <w:tcW w:w="1036" w:type="pct"/>
            <w:shd w:val="clear" w:color="auto" w:fill="auto"/>
          </w:tcPr>
          <w:p w14:paraId="2BD1DDE7" w14:textId="77777777" w:rsidR="0002298B" w:rsidRPr="00B0658A" w:rsidRDefault="0002298B" w:rsidP="000A4114">
            <w:pPr>
              <w:spacing w:after="0" w:line="240" w:lineRule="auto"/>
              <w:rPr>
                <w:rFonts w:ascii="Times New Roman" w:hAnsi="Times New Roman"/>
                <w:i/>
                <w:iCs/>
                <w:sz w:val="20"/>
                <w:szCs w:val="20"/>
              </w:rPr>
            </w:pPr>
          </w:p>
        </w:tc>
        <w:tc>
          <w:tcPr>
            <w:tcW w:w="894" w:type="pct"/>
            <w:shd w:val="clear" w:color="auto" w:fill="auto"/>
          </w:tcPr>
          <w:p w14:paraId="2D3AA410" w14:textId="77777777" w:rsidR="0002298B" w:rsidRPr="00B0658A" w:rsidRDefault="0002298B" w:rsidP="000A4114">
            <w:pPr>
              <w:spacing w:after="0" w:line="240" w:lineRule="auto"/>
              <w:jc w:val="both"/>
              <w:rPr>
                <w:rFonts w:ascii="Times New Roman" w:hAnsi="Times New Roman"/>
                <w:i/>
                <w:iCs/>
                <w:sz w:val="20"/>
                <w:szCs w:val="20"/>
              </w:rPr>
            </w:pPr>
          </w:p>
        </w:tc>
      </w:tr>
      <w:tr w:rsidR="00F52FED" w:rsidRPr="00B0658A" w14:paraId="6F5E4BE7" w14:textId="77777777" w:rsidTr="004F1366">
        <w:trPr>
          <w:trHeight w:val="170"/>
        </w:trPr>
        <w:tc>
          <w:tcPr>
            <w:tcW w:w="203" w:type="pct"/>
            <w:shd w:val="clear" w:color="auto" w:fill="auto"/>
          </w:tcPr>
          <w:p w14:paraId="58AAB312" w14:textId="77777777" w:rsidR="0002298B" w:rsidRPr="00B0658A" w:rsidDel="00EC4B3C" w:rsidRDefault="0002298B" w:rsidP="000A4114">
            <w:pPr>
              <w:spacing w:after="0" w:line="240" w:lineRule="auto"/>
              <w:rPr>
                <w:rFonts w:ascii="Times New Roman" w:hAnsi="Times New Roman"/>
                <w:b/>
                <w:sz w:val="20"/>
                <w:szCs w:val="20"/>
              </w:rPr>
            </w:pPr>
            <w:r w:rsidRPr="00B0658A">
              <w:rPr>
                <w:rFonts w:ascii="Times New Roman" w:hAnsi="Times New Roman"/>
                <w:sz w:val="20"/>
                <w:szCs w:val="20"/>
              </w:rPr>
              <w:t>5.11</w:t>
            </w:r>
          </w:p>
        </w:tc>
        <w:tc>
          <w:tcPr>
            <w:tcW w:w="1153" w:type="pct"/>
            <w:shd w:val="clear" w:color="auto" w:fill="auto"/>
            <w:vAlign w:val="center"/>
          </w:tcPr>
          <w:p w14:paraId="27A491BB" w14:textId="77777777" w:rsidR="0002298B" w:rsidRPr="00B0658A" w:rsidRDefault="0002298B" w:rsidP="000A4114">
            <w:pPr>
              <w:spacing w:after="0" w:line="240" w:lineRule="auto"/>
              <w:rPr>
                <w:rFonts w:ascii="Times New Roman" w:hAnsi="Times New Roman"/>
                <w:b/>
                <w:sz w:val="20"/>
                <w:szCs w:val="20"/>
              </w:rPr>
            </w:pPr>
            <w:r w:rsidRPr="00B0658A">
              <w:rPr>
                <w:rFonts w:ascii="Times New Roman" w:hAnsi="Times New Roman"/>
                <w:sz w:val="20"/>
                <w:szCs w:val="20"/>
              </w:rPr>
              <w:t>Прикладное программное обеспечение/ Интеллектуальные средства управления экспертной деятельностью</w:t>
            </w:r>
          </w:p>
        </w:tc>
        <w:tc>
          <w:tcPr>
            <w:tcW w:w="624" w:type="pct"/>
          </w:tcPr>
          <w:p w14:paraId="6F7784C1" w14:textId="77777777" w:rsidR="0002298B" w:rsidRPr="00B0658A" w:rsidRDefault="0002298B" w:rsidP="000A4114">
            <w:pPr>
              <w:spacing w:after="0" w:line="240" w:lineRule="auto"/>
              <w:rPr>
                <w:rFonts w:ascii="Times New Roman" w:hAnsi="Times New Roman"/>
                <w:i/>
                <w:iCs/>
                <w:sz w:val="20"/>
                <w:szCs w:val="20"/>
              </w:rPr>
            </w:pPr>
          </w:p>
        </w:tc>
        <w:tc>
          <w:tcPr>
            <w:tcW w:w="1090" w:type="pct"/>
            <w:shd w:val="clear" w:color="auto" w:fill="auto"/>
          </w:tcPr>
          <w:p w14:paraId="572CC770" w14:textId="77777777" w:rsidR="0002298B" w:rsidRPr="00B0658A" w:rsidRDefault="0002298B" w:rsidP="000A4114">
            <w:pPr>
              <w:spacing w:after="0" w:line="240" w:lineRule="auto"/>
              <w:rPr>
                <w:rFonts w:ascii="Times New Roman" w:hAnsi="Times New Roman"/>
                <w:i/>
                <w:iCs/>
                <w:sz w:val="20"/>
                <w:szCs w:val="20"/>
              </w:rPr>
            </w:pPr>
          </w:p>
        </w:tc>
        <w:tc>
          <w:tcPr>
            <w:tcW w:w="1036" w:type="pct"/>
            <w:shd w:val="clear" w:color="auto" w:fill="auto"/>
          </w:tcPr>
          <w:p w14:paraId="6BEC001B" w14:textId="77777777" w:rsidR="0002298B" w:rsidRPr="00B0658A" w:rsidRDefault="0002298B" w:rsidP="000A4114">
            <w:pPr>
              <w:spacing w:after="0" w:line="240" w:lineRule="auto"/>
              <w:rPr>
                <w:rFonts w:ascii="Times New Roman" w:hAnsi="Times New Roman"/>
                <w:i/>
                <w:iCs/>
                <w:sz w:val="20"/>
                <w:szCs w:val="20"/>
              </w:rPr>
            </w:pPr>
          </w:p>
        </w:tc>
        <w:tc>
          <w:tcPr>
            <w:tcW w:w="894" w:type="pct"/>
            <w:shd w:val="clear" w:color="auto" w:fill="auto"/>
          </w:tcPr>
          <w:p w14:paraId="57CD05A4" w14:textId="77777777" w:rsidR="0002298B" w:rsidRPr="00B0658A" w:rsidRDefault="0002298B" w:rsidP="000A4114">
            <w:pPr>
              <w:spacing w:after="0" w:line="240" w:lineRule="auto"/>
              <w:jc w:val="both"/>
              <w:rPr>
                <w:rFonts w:ascii="Times New Roman" w:hAnsi="Times New Roman"/>
                <w:i/>
                <w:iCs/>
                <w:sz w:val="20"/>
                <w:szCs w:val="20"/>
              </w:rPr>
            </w:pPr>
          </w:p>
        </w:tc>
      </w:tr>
      <w:tr w:rsidR="00F52FED" w:rsidRPr="00B0658A" w14:paraId="3086D70C" w14:textId="77777777" w:rsidTr="004F1366">
        <w:trPr>
          <w:trHeight w:val="170"/>
        </w:trPr>
        <w:tc>
          <w:tcPr>
            <w:tcW w:w="203" w:type="pct"/>
            <w:shd w:val="clear" w:color="auto" w:fill="auto"/>
          </w:tcPr>
          <w:p w14:paraId="0F92C944" w14:textId="77777777" w:rsidR="0002298B" w:rsidRPr="00B0658A" w:rsidDel="00EC4B3C" w:rsidRDefault="0002298B" w:rsidP="000A4114">
            <w:pPr>
              <w:spacing w:after="0" w:line="240" w:lineRule="auto"/>
              <w:rPr>
                <w:rFonts w:ascii="Times New Roman" w:hAnsi="Times New Roman"/>
                <w:b/>
                <w:sz w:val="20"/>
                <w:szCs w:val="20"/>
              </w:rPr>
            </w:pPr>
            <w:r w:rsidRPr="00B0658A">
              <w:rPr>
                <w:rFonts w:ascii="Times New Roman" w:hAnsi="Times New Roman"/>
                <w:sz w:val="20"/>
                <w:szCs w:val="20"/>
              </w:rPr>
              <w:t>5.12</w:t>
            </w:r>
          </w:p>
        </w:tc>
        <w:tc>
          <w:tcPr>
            <w:tcW w:w="1153" w:type="pct"/>
            <w:shd w:val="clear" w:color="auto" w:fill="auto"/>
            <w:vAlign w:val="center"/>
          </w:tcPr>
          <w:p w14:paraId="0D40025C" w14:textId="77777777" w:rsidR="0002298B" w:rsidRPr="00B0658A" w:rsidRDefault="0002298B" w:rsidP="000A4114">
            <w:pPr>
              <w:spacing w:after="0" w:line="240" w:lineRule="auto"/>
              <w:rPr>
                <w:rFonts w:ascii="Times New Roman" w:hAnsi="Times New Roman"/>
                <w:b/>
                <w:sz w:val="20"/>
                <w:szCs w:val="20"/>
              </w:rPr>
            </w:pPr>
            <w:r w:rsidRPr="00B0658A">
              <w:rPr>
                <w:rFonts w:ascii="Times New Roman" w:hAnsi="Times New Roman"/>
                <w:sz w:val="20"/>
                <w:szCs w:val="20"/>
              </w:rPr>
              <w:t xml:space="preserve">Прикладное программное обеспечение/ Интеллектуальные средства разработки </w:t>
            </w:r>
            <w:r w:rsidRPr="00B0658A">
              <w:rPr>
                <w:rFonts w:ascii="Times New Roman" w:hAnsi="Times New Roman"/>
                <w:sz w:val="20"/>
                <w:szCs w:val="20"/>
              </w:rPr>
              <w:br/>
              <w:t xml:space="preserve">и управления стандартами </w:t>
            </w:r>
            <w:r w:rsidRPr="00B0658A">
              <w:rPr>
                <w:rFonts w:ascii="Times New Roman" w:hAnsi="Times New Roman"/>
                <w:sz w:val="20"/>
                <w:szCs w:val="20"/>
              </w:rPr>
              <w:br/>
              <w:t>и нормативами</w:t>
            </w:r>
          </w:p>
        </w:tc>
        <w:tc>
          <w:tcPr>
            <w:tcW w:w="624" w:type="pct"/>
          </w:tcPr>
          <w:p w14:paraId="6BA72FED" w14:textId="77777777" w:rsidR="0002298B" w:rsidRPr="00B0658A" w:rsidRDefault="0002298B" w:rsidP="000A4114">
            <w:pPr>
              <w:spacing w:after="0" w:line="240" w:lineRule="auto"/>
              <w:rPr>
                <w:rFonts w:ascii="Times New Roman" w:hAnsi="Times New Roman"/>
                <w:i/>
                <w:iCs/>
                <w:sz w:val="20"/>
                <w:szCs w:val="20"/>
              </w:rPr>
            </w:pPr>
          </w:p>
        </w:tc>
        <w:tc>
          <w:tcPr>
            <w:tcW w:w="1090" w:type="pct"/>
            <w:shd w:val="clear" w:color="auto" w:fill="auto"/>
          </w:tcPr>
          <w:p w14:paraId="07E69342" w14:textId="77777777" w:rsidR="0002298B" w:rsidRPr="00B0658A" w:rsidRDefault="0002298B" w:rsidP="000A4114">
            <w:pPr>
              <w:spacing w:after="0" w:line="240" w:lineRule="auto"/>
              <w:rPr>
                <w:rFonts w:ascii="Times New Roman" w:hAnsi="Times New Roman"/>
                <w:i/>
                <w:iCs/>
                <w:sz w:val="20"/>
                <w:szCs w:val="20"/>
              </w:rPr>
            </w:pPr>
          </w:p>
        </w:tc>
        <w:tc>
          <w:tcPr>
            <w:tcW w:w="1036" w:type="pct"/>
            <w:shd w:val="clear" w:color="auto" w:fill="auto"/>
          </w:tcPr>
          <w:p w14:paraId="33ABFDB4" w14:textId="77777777" w:rsidR="0002298B" w:rsidRPr="00B0658A" w:rsidRDefault="0002298B" w:rsidP="000A4114">
            <w:pPr>
              <w:spacing w:after="0" w:line="240" w:lineRule="auto"/>
              <w:rPr>
                <w:rFonts w:ascii="Times New Roman" w:hAnsi="Times New Roman"/>
                <w:i/>
                <w:iCs/>
                <w:sz w:val="20"/>
                <w:szCs w:val="20"/>
              </w:rPr>
            </w:pPr>
          </w:p>
        </w:tc>
        <w:tc>
          <w:tcPr>
            <w:tcW w:w="894" w:type="pct"/>
            <w:shd w:val="clear" w:color="auto" w:fill="auto"/>
          </w:tcPr>
          <w:p w14:paraId="6830BB1B" w14:textId="77777777" w:rsidR="0002298B" w:rsidRPr="00B0658A" w:rsidRDefault="0002298B" w:rsidP="000A4114">
            <w:pPr>
              <w:spacing w:after="0" w:line="240" w:lineRule="auto"/>
              <w:jc w:val="both"/>
              <w:rPr>
                <w:rFonts w:ascii="Times New Roman" w:hAnsi="Times New Roman"/>
                <w:i/>
                <w:iCs/>
                <w:sz w:val="20"/>
                <w:szCs w:val="20"/>
              </w:rPr>
            </w:pPr>
          </w:p>
        </w:tc>
      </w:tr>
      <w:tr w:rsidR="00F52FED" w:rsidRPr="00B0658A" w14:paraId="3B947690" w14:textId="77777777" w:rsidTr="004F1366">
        <w:trPr>
          <w:trHeight w:val="170"/>
        </w:trPr>
        <w:tc>
          <w:tcPr>
            <w:tcW w:w="203" w:type="pct"/>
            <w:shd w:val="clear" w:color="auto" w:fill="auto"/>
          </w:tcPr>
          <w:p w14:paraId="3FF4B1D7" w14:textId="77777777" w:rsidR="0002298B" w:rsidRPr="00B0658A" w:rsidDel="00EC4B3C" w:rsidRDefault="0002298B" w:rsidP="000A4114">
            <w:pPr>
              <w:spacing w:after="0" w:line="240" w:lineRule="auto"/>
              <w:rPr>
                <w:rFonts w:ascii="Times New Roman" w:hAnsi="Times New Roman"/>
                <w:b/>
                <w:sz w:val="20"/>
                <w:szCs w:val="20"/>
              </w:rPr>
            </w:pPr>
            <w:r w:rsidRPr="00B0658A">
              <w:rPr>
                <w:rFonts w:ascii="Times New Roman" w:hAnsi="Times New Roman"/>
                <w:sz w:val="20"/>
                <w:szCs w:val="20"/>
              </w:rPr>
              <w:t>5.13</w:t>
            </w:r>
          </w:p>
        </w:tc>
        <w:tc>
          <w:tcPr>
            <w:tcW w:w="1153" w:type="pct"/>
            <w:shd w:val="clear" w:color="auto" w:fill="auto"/>
            <w:vAlign w:val="center"/>
          </w:tcPr>
          <w:p w14:paraId="29574DB6" w14:textId="77777777" w:rsidR="0002298B" w:rsidRPr="00B0658A" w:rsidRDefault="0002298B" w:rsidP="000A4114">
            <w:pPr>
              <w:spacing w:after="0" w:line="240" w:lineRule="auto"/>
              <w:rPr>
                <w:rFonts w:ascii="Times New Roman" w:hAnsi="Times New Roman"/>
                <w:b/>
                <w:sz w:val="20"/>
                <w:szCs w:val="20"/>
              </w:rPr>
            </w:pPr>
            <w:r w:rsidRPr="00B0658A">
              <w:rPr>
                <w:rFonts w:ascii="Times New Roman" w:hAnsi="Times New Roman"/>
                <w:sz w:val="20"/>
                <w:szCs w:val="20"/>
              </w:rPr>
              <w:t>Прикладное программное обеспечение/ Средства интеллектуальной обработки информации и интеллектуального анализа бизнес-процессов</w:t>
            </w:r>
          </w:p>
        </w:tc>
        <w:tc>
          <w:tcPr>
            <w:tcW w:w="624" w:type="pct"/>
          </w:tcPr>
          <w:p w14:paraId="154D1955" w14:textId="77777777" w:rsidR="0002298B" w:rsidRPr="00B0658A" w:rsidRDefault="0002298B" w:rsidP="000A4114">
            <w:pPr>
              <w:spacing w:after="0" w:line="240" w:lineRule="auto"/>
              <w:rPr>
                <w:rFonts w:ascii="Times New Roman" w:hAnsi="Times New Roman"/>
                <w:i/>
                <w:iCs/>
                <w:sz w:val="20"/>
                <w:szCs w:val="20"/>
              </w:rPr>
            </w:pPr>
          </w:p>
        </w:tc>
        <w:tc>
          <w:tcPr>
            <w:tcW w:w="1090" w:type="pct"/>
            <w:shd w:val="clear" w:color="auto" w:fill="auto"/>
          </w:tcPr>
          <w:p w14:paraId="49D1A007" w14:textId="77777777" w:rsidR="0002298B" w:rsidRPr="00B0658A" w:rsidRDefault="0002298B" w:rsidP="000A4114">
            <w:pPr>
              <w:spacing w:after="0" w:line="240" w:lineRule="auto"/>
              <w:rPr>
                <w:rFonts w:ascii="Times New Roman" w:hAnsi="Times New Roman"/>
                <w:i/>
                <w:iCs/>
                <w:sz w:val="20"/>
                <w:szCs w:val="20"/>
              </w:rPr>
            </w:pPr>
          </w:p>
        </w:tc>
        <w:tc>
          <w:tcPr>
            <w:tcW w:w="1036" w:type="pct"/>
            <w:shd w:val="clear" w:color="auto" w:fill="auto"/>
          </w:tcPr>
          <w:p w14:paraId="09F517B2" w14:textId="77777777" w:rsidR="0002298B" w:rsidRPr="00B0658A" w:rsidRDefault="0002298B" w:rsidP="000A4114">
            <w:pPr>
              <w:spacing w:after="0" w:line="240" w:lineRule="auto"/>
              <w:rPr>
                <w:rFonts w:ascii="Times New Roman" w:hAnsi="Times New Roman"/>
                <w:i/>
                <w:iCs/>
                <w:sz w:val="20"/>
                <w:szCs w:val="20"/>
              </w:rPr>
            </w:pPr>
          </w:p>
        </w:tc>
        <w:tc>
          <w:tcPr>
            <w:tcW w:w="894" w:type="pct"/>
            <w:shd w:val="clear" w:color="auto" w:fill="auto"/>
          </w:tcPr>
          <w:p w14:paraId="1A9AB167" w14:textId="77777777" w:rsidR="0002298B" w:rsidRPr="00B0658A" w:rsidRDefault="0002298B" w:rsidP="000A4114">
            <w:pPr>
              <w:spacing w:after="0" w:line="240" w:lineRule="auto"/>
              <w:jc w:val="both"/>
              <w:rPr>
                <w:rFonts w:ascii="Times New Roman" w:hAnsi="Times New Roman"/>
                <w:i/>
                <w:iCs/>
                <w:sz w:val="20"/>
                <w:szCs w:val="20"/>
              </w:rPr>
            </w:pPr>
          </w:p>
        </w:tc>
      </w:tr>
      <w:tr w:rsidR="00F52FED" w:rsidRPr="00B0658A" w14:paraId="46E4748D" w14:textId="77777777" w:rsidTr="004F1366">
        <w:trPr>
          <w:trHeight w:val="170"/>
        </w:trPr>
        <w:tc>
          <w:tcPr>
            <w:tcW w:w="203" w:type="pct"/>
            <w:shd w:val="clear" w:color="auto" w:fill="auto"/>
          </w:tcPr>
          <w:p w14:paraId="49954A5A" w14:textId="77777777" w:rsidR="0002298B" w:rsidRPr="00B0658A" w:rsidDel="00EC4B3C" w:rsidRDefault="0002298B" w:rsidP="000A4114">
            <w:pPr>
              <w:spacing w:after="0" w:line="240" w:lineRule="auto"/>
              <w:rPr>
                <w:rFonts w:ascii="Times New Roman" w:hAnsi="Times New Roman"/>
                <w:b/>
                <w:sz w:val="20"/>
                <w:szCs w:val="20"/>
              </w:rPr>
            </w:pPr>
            <w:r w:rsidRPr="00B0658A">
              <w:rPr>
                <w:rFonts w:ascii="Times New Roman" w:hAnsi="Times New Roman"/>
                <w:sz w:val="20"/>
                <w:szCs w:val="20"/>
              </w:rPr>
              <w:t>5.14</w:t>
            </w:r>
          </w:p>
        </w:tc>
        <w:tc>
          <w:tcPr>
            <w:tcW w:w="1153" w:type="pct"/>
            <w:shd w:val="clear" w:color="auto" w:fill="auto"/>
            <w:vAlign w:val="center"/>
          </w:tcPr>
          <w:p w14:paraId="7F5248F1" w14:textId="77777777" w:rsidR="0002298B" w:rsidRPr="00B0658A" w:rsidRDefault="0002298B" w:rsidP="000A4114">
            <w:pPr>
              <w:spacing w:after="0" w:line="240" w:lineRule="auto"/>
              <w:rPr>
                <w:rFonts w:ascii="Times New Roman" w:hAnsi="Times New Roman"/>
                <w:b/>
                <w:sz w:val="20"/>
                <w:szCs w:val="20"/>
              </w:rPr>
            </w:pPr>
            <w:r w:rsidRPr="00B0658A">
              <w:rPr>
                <w:rFonts w:ascii="Times New Roman" w:hAnsi="Times New Roman"/>
                <w:sz w:val="20"/>
                <w:szCs w:val="20"/>
              </w:rPr>
              <w:t>Прикладное программное обеспечение/ Справочно-правовые системы</w:t>
            </w:r>
          </w:p>
        </w:tc>
        <w:tc>
          <w:tcPr>
            <w:tcW w:w="624" w:type="pct"/>
          </w:tcPr>
          <w:p w14:paraId="12C5351F" w14:textId="77777777" w:rsidR="0002298B" w:rsidRPr="00B0658A" w:rsidRDefault="0002298B" w:rsidP="000A4114">
            <w:pPr>
              <w:spacing w:after="0" w:line="240" w:lineRule="auto"/>
              <w:rPr>
                <w:rFonts w:ascii="Times New Roman" w:hAnsi="Times New Roman"/>
                <w:i/>
                <w:iCs/>
                <w:sz w:val="20"/>
                <w:szCs w:val="20"/>
              </w:rPr>
            </w:pPr>
          </w:p>
        </w:tc>
        <w:tc>
          <w:tcPr>
            <w:tcW w:w="1090" w:type="pct"/>
            <w:shd w:val="clear" w:color="auto" w:fill="auto"/>
          </w:tcPr>
          <w:p w14:paraId="3293AB92" w14:textId="77777777" w:rsidR="0002298B" w:rsidRPr="00B0658A" w:rsidRDefault="0002298B" w:rsidP="000A4114">
            <w:pPr>
              <w:spacing w:after="0" w:line="240" w:lineRule="auto"/>
              <w:rPr>
                <w:rFonts w:ascii="Times New Roman" w:hAnsi="Times New Roman"/>
                <w:i/>
                <w:iCs/>
                <w:sz w:val="20"/>
                <w:szCs w:val="20"/>
              </w:rPr>
            </w:pPr>
          </w:p>
        </w:tc>
        <w:tc>
          <w:tcPr>
            <w:tcW w:w="1036" w:type="pct"/>
            <w:shd w:val="clear" w:color="auto" w:fill="auto"/>
          </w:tcPr>
          <w:p w14:paraId="6629DA8D" w14:textId="77777777" w:rsidR="0002298B" w:rsidRPr="00B0658A" w:rsidRDefault="0002298B" w:rsidP="000A4114">
            <w:pPr>
              <w:spacing w:after="0" w:line="240" w:lineRule="auto"/>
              <w:rPr>
                <w:rFonts w:ascii="Times New Roman" w:hAnsi="Times New Roman"/>
                <w:i/>
                <w:iCs/>
                <w:sz w:val="20"/>
                <w:szCs w:val="20"/>
              </w:rPr>
            </w:pPr>
          </w:p>
        </w:tc>
        <w:tc>
          <w:tcPr>
            <w:tcW w:w="894" w:type="pct"/>
            <w:shd w:val="clear" w:color="auto" w:fill="auto"/>
          </w:tcPr>
          <w:p w14:paraId="6EB23D3E" w14:textId="77777777" w:rsidR="0002298B" w:rsidRPr="00B0658A" w:rsidRDefault="0002298B" w:rsidP="000A4114">
            <w:pPr>
              <w:spacing w:after="0" w:line="240" w:lineRule="auto"/>
              <w:jc w:val="both"/>
              <w:rPr>
                <w:rFonts w:ascii="Times New Roman" w:hAnsi="Times New Roman"/>
                <w:i/>
                <w:iCs/>
                <w:sz w:val="20"/>
                <w:szCs w:val="20"/>
              </w:rPr>
            </w:pPr>
          </w:p>
        </w:tc>
      </w:tr>
      <w:tr w:rsidR="00F52FED" w:rsidRPr="00B0658A" w14:paraId="013CE000" w14:textId="77777777" w:rsidTr="004F1366">
        <w:trPr>
          <w:trHeight w:val="170"/>
        </w:trPr>
        <w:tc>
          <w:tcPr>
            <w:tcW w:w="203" w:type="pct"/>
            <w:shd w:val="clear" w:color="auto" w:fill="auto"/>
          </w:tcPr>
          <w:p w14:paraId="455816F8" w14:textId="77777777" w:rsidR="0002298B" w:rsidRPr="00B0658A" w:rsidDel="00EC4B3C" w:rsidRDefault="0002298B" w:rsidP="000A4114">
            <w:pPr>
              <w:spacing w:after="0" w:line="240" w:lineRule="auto"/>
              <w:rPr>
                <w:rFonts w:ascii="Times New Roman" w:hAnsi="Times New Roman"/>
                <w:b/>
                <w:sz w:val="20"/>
                <w:szCs w:val="20"/>
              </w:rPr>
            </w:pPr>
            <w:r w:rsidRPr="00B0658A">
              <w:rPr>
                <w:rFonts w:ascii="Times New Roman" w:hAnsi="Times New Roman"/>
                <w:sz w:val="20"/>
                <w:szCs w:val="20"/>
              </w:rPr>
              <w:t>5.15</w:t>
            </w:r>
          </w:p>
        </w:tc>
        <w:tc>
          <w:tcPr>
            <w:tcW w:w="1153" w:type="pct"/>
            <w:shd w:val="clear" w:color="auto" w:fill="auto"/>
            <w:vAlign w:val="center"/>
          </w:tcPr>
          <w:p w14:paraId="5F760873" w14:textId="77777777" w:rsidR="0002298B" w:rsidRPr="00B0658A" w:rsidRDefault="0002298B" w:rsidP="000A4114">
            <w:pPr>
              <w:spacing w:after="0" w:line="240" w:lineRule="auto"/>
              <w:rPr>
                <w:rFonts w:ascii="Times New Roman" w:hAnsi="Times New Roman"/>
                <w:b/>
                <w:sz w:val="20"/>
                <w:szCs w:val="20"/>
              </w:rPr>
            </w:pPr>
            <w:r w:rsidRPr="00B0658A">
              <w:rPr>
                <w:rFonts w:ascii="Times New Roman" w:hAnsi="Times New Roman"/>
                <w:sz w:val="20"/>
                <w:szCs w:val="20"/>
              </w:rPr>
              <w:t>Прикладное программное обеспечение/ Информационные системы для решения специфических отраслевых задач</w:t>
            </w:r>
          </w:p>
        </w:tc>
        <w:tc>
          <w:tcPr>
            <w:tcW w:w="624" w:type="pct"/>
          </w:tcPr>
          <w:p w14:paraId="4E2F143F" w14:textId="77777777" w:rsidR="0002298B" w:rsidRPr="00B0658A" w:rsidRDefault="0002298B" w:rsidP="000A4114">
            <w:pPr>
              <w:spacing w:after="0" w:line="240" w:lineRule="auto"/>
              <w:rPr>
                <w:rFonts w:ascii="Times New Roman" w:hAnsi="Times New Roman"/>
                <w:i/>
                <w:iCs/>
                <w:sz w:val="20"/>
                <w:szCs w:val="20"/>
              </w:rPr>
            </w:pPr>
          </w:p>
        </w:tc>
        <w:tc>
          <w:tcPr>
            <w:tcW w:w="1090" w:type="pct"/>
            <w:shd w:val="clear" w:color="auto" w:fill="auto"/>
          </w:tcPr>
          <w:p w14:paraId="7F288103" w14:textId="77777777" w:rsidR="0002298B" w:rsidRPr="00B0658A" w:rsidRDefault="0002298B" w:rsidP="000A4114">
            <w:pPr>
              <w:spacing w:after="0" w:line="240" w:lineRule="auto"/>
              <w:rPr>
                <w:rFonts w:ascii="Times New Roman" w:hAnsi="Times New Roman"/>
                <w:i/>
                <w:iCs/>
                <w:sz w:val="20"/>
                <w:szCs w:val="20"/>
              </w:rPr>
            </w:pPr>
          </w:p>
        </w:tc>
        <w:tc>
          <w:tcPr>
            <w:tcW w:w="1036" w:type="pct"/>
            <w:shd w:val="clear" w:color="auto" w:fill="auto"/>
          </w:tcPr>
          <w:p w14:paraId="4FEA3EE8" w14:textId="77777777" w:rsidR="0002298B" w:rsidRPr="00B0658A" w:rsidRDefault="0002298B" w:rsidP="000A4114">
            <w:pPr>
              <w:spacing w:after="0" w:line="240" w:lineRule="auto"/>
              <w:rPr>
                <w:rFonts w:ascii="Times New Roman" w:hAnsi="Times New Roman"/>
                <w:i/>
                <w:iCs/>
                <w:sz w:val="20"/>
                <w:szCs w:val="20"/>
              </w:rPr>
            </w:pPr>
          </w:p>
        </w:tc>
        <w:tc>
          <w:tcPr>
            <w:tcW w:w="894" w:type="pct"/>
            <w:shd w:val="clear" w:color="auto" w:fill="auto"/>
          </w:tcPr>
          <w:p w14:paraId="687C3CFF" w14:textId="77777777" w:rsidR="0002298B" w:rsidRPr="00B0658A" w:rsidRDefault="0002298B" w:rsidP="000A4114">
            <w:pPr>
              <w:spacing w:after="0" w:line="240" w:lineRule="auto"/>
              <w:jc w:val="both"/>
              <w:rPr>
                <w:rFonts w:ascii="Times New Roman" w:hAnsi="Times New Roman"/>
                <w:i/>
                <w:iCs/>
                <w:sz w:val="20"/>
                <w:szCs w:val="20"/>
              </w:rPr>
            </w:pPr>
          </w:p>
        </w:tc>
      </w:tr>
      <w:tr w:rsidR="00F52FED" w:rsidRPr="00B0658A" w14:paraId="627CC7F9" w14:textId="77777777" w:rsidTr="004F1366">
        <w:trPr>
          <w:trHeight w:val="170"/>
        </w:trPr>
        <w:tc>
          <w:tcPr>
            <w:tcW w:w="203" w:type="pct"/>
            <w:shd w:val="clear" w:color="auto" w:fill="auto"/>
          </w:tcPr>
          <w:p w14:paraId="176A1FEB" w14:textId="77777777" w:rsidR="0002298B" w:rsidRPr="00B0658A" w:rsidDel="00EC4B3C" w:rsidRDefault="0002298B" w:rsidP="000A4114">
            <w:pPr>
              <w:spacing w:after="0" w:line="240" w:lineRule="auto"/>
              <w:rPr>
                <w:rFonts w:ascii="Times New Roman" w:hAnsi="Times New Roman"/>
                <w:b/>
                <w:sz w:val="20"/>
                <w:szCs w:val="20"/>
              </w:rPr>
            </w:pPr>
            <w:r w:rsidRPr="00B0658A">
              <w:rPr>
                <w:rFonts w:ascii="Times New Roman" w:hAnsi="Times New Roman"/>
                <w:sz w:val="20"/>
                <w:szCs w:val="20"/>
              </w:rPr>
              <w:t>5.16</w:t>
            </w:r>
          </w:p>
        </w:tc>
        <w:tc>
          <w:tcPr>
            <w:tcW w:w="1153" w:type="pct"/>
            <w:shd w:val="clear" w:color="auto" w:fill="auto"/>
            <w:vAlign w:val="center"/>
          </w:tcPr>
          <w:p w14:paraId="5D572B86" w14:textId="77777777" w:rsidR="0002298B" w:rsidRPr="00B0658A" w:rsidRDefault="0002298B" w:rsidP="000A4114">
            <w:pPr>
              <w:spacing w:after="0" w:line="240" w:lineRule="auto"/>
              <w:rPr>
                <w:rFonts w:ascii="Times New Roman" w:hAnsi="Times New Roman"/>
                <w:b/>
                <w:sz w:val="20"/>
                <w:szCs w:val="20"/>
              </w:rPr>
            </w:pPr>
            <w:r w:rsidRPr="00B0658A">
              <w:rPr>
                <w:rFonts w:ascii="Times New Roman" w:hAnsi="Times New Roman"/>
                <w:sz w:val="20"/>
                <w:szCs w:val="20"/>
              </w:rPr>
              <w:t>Прикладное программное обеспечение/ Автоматизированные информационные системы оформления воздушных перевозок</w:t>
            </w:r>
          </w:p>
        </w:tc>
        <w:tc>
          <w:tcPr>
            <w:tcW w:w="624" w:type="pct"/>
          </w:tcPr>
          <w:p w14:paraId="742D9F03" w14:textId="77777777" w:rsidR="0002298B" w:rsidRPr="00B0658A" w:rsidRDefault="0002298B" w:rsidP="000A4114">
            <w:pPr>
              <w:spacing w:after="0" w:line="240" w:lineRule="auto"/>
              <w:rPr>
                <w:rFonts w:ascii="Times New Roman" w:hAnsi="Times New Roman"/>
                <w:i/>
                <w:iCs/>
                <w:sz w:val="20"/>
                <w:szCs w:val="20"/>
              </w:rPr>
            </w:pPr>
          </w:p>
        </w:tc>
        <w:tc>
          <w:tcPr>
            <w:tcW w:w="1090" w:type="pct"/>
            <w:shd w:val="clear" w:color="auto" w:fill="auto"/>
          </w:tcPr>
          <w:p w14:paraId="153A2AD5" w14:textId="77777777" w:rsidR="0002298B" w:rsidRPr="00B0658A" w:rsidRDefault="0002298B" w:rsidP="000A4114">
            <w:pPr>
              <w:spacing w:after="0" w:line="240" w:lineRule="auto"/>
              <w:rPr>
                <w:rFonts w:ascii="Times New Roman" w:hAnsi="Times New Roman"/>
                <w:i/>
                <w:iCs/>
                <w:sz w:val="20"/>
                <w:szCs w:val="20"/>
              </w:rPr>
            </w:pPr>
          </w:p>
        </w:tc>
        <w:tc>
          <w:tcPr>
            <w:tcW w:w="1036" w:type="pct"/>
            <w:shd w:val="clear" w:color="auto" w:fill="auto"/>
          </w:tcPr>
          <w:p w14:paraId="7389E0DA" w14:textId="77777777" w:rsidR="0002298B" w:rsidRPr="00B0658A" w:rsidRDefault="0002298B" w:rsidP="000A4114">
            <w:pPr>
              <w:spacing w:after="0" w:line="240" w:lineRule="auto"/>
              <w:rPr>
                <w:rFonts w:ascii="Times New Roman" w:hAnsi="Times New Roman"/>
                <w:i/>
                <w:iCs/>
                <w:sz w:val="20"/>
                <w:szCs w:val="20"/>
              </w:rPr>
            </w:pPr>
          </w:p>
        </w:tc>
        <w:tc>
          <w:tcPr>
            <w:tcW w:w="894" w:type="pct"/>
            <w:shd w:val="clear" w:color="auto" w:fill="auto"/>
          </w:tcPr>
          <w:p w14:paraId="0B84033C" w14:textId="77777777" w:rsidR="0002298B" w:rsidRPr="00B0658A" w:rsidRDefault="0002298B" w:rsidP="000A4114">
            <w:pPr>
              <w:spacing w:after="0" w:line="240" w:lineRule="auto"/>
              <w:jc w:val="both"/>
              <w:rPr>
                <w:rFonts w:ascii="Times New Roman" w:hAnsi="Times New Roman"/>
                <w:i/>
                <w:iCs/>
                <w:sz w:val="20"/>
                <w:szCs w:val="20"/>
              </w:rPr>
            </w:pPr>
          </w:p>
        </w:tc>
      </w:tr>
      <w:tr w:rsidR="00F52FED" w:rsidRPr="00B0658A" w14:paraId="1CBB8188" w14:textId="77777777" w:rsidTr="004F1366">
        <w:trPr>
          <w:trHeight w:val="170"/>
        </w:trPr>
        <w:tc>
          <w:tcPr>
            <w:tcW w:w="203" w:type="pct"/>
            <w:shd w:val="clear" w:color="auto" w:fill="auto"/>
          </w:tcPr>
          <w:p w14:paraId="6810779E"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20"/>
                <w:szCs w:val="20"/>
              </w:rPr>
              <w:t>6.1</w:t>
            </w:r>
          </w:p>
        </w:tc>
        <w:tc>
          <w:tcPr>
            <w:tcW w:w="1153" w:type="pct"/>
            <w:shd w:val="clear" w:color="auto" w:fill="auto"/>
            <w:vAlign w:val="center"/>
          </w:tcPr>
          <w:p w14:paraId="5AC9D245"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20"/>
                <w:szCs w:val="20"/>
              </w:rPr>
              <w:t>Офисные приложения/ Файловые менеджеры</w:t>
            </w:r>
          </w:p>
        </w:tc>
        <w:tc>
          <w:tcPr>
            <w:tcW w:w="624" w:type="pct"/>
          </w:tcPr>
          <w:p w14:paraId="0B949429" w14:textId="77777777" w:rsidR="0002298B" w:rsidRPr="00B0658A" w:rsidRDefault="0002298B" w:rsidP="000A4114">
            <w:pPr>
              <w:spacing w:after="0" w:line="240" w:lineRule="auto"/>
              <w:rPr>
                <w:rFonts w:ascii="Times New Roman" w:hAnsi="Times New Roman"/>
                <w:i/>
                <w:iCs/>
                <w:sz w:val="20"/>
                <w:szCs w:val="20"/>
              </w:rPr>
            </w:pPr>
          </w:p>
        </w:tc>
        <w:tc>
          <w:tcPr>
            <w:tcW w:w="1090" w:type="pct"/>
            <w:shd w:val="clear" w:color="auto" w:fill="auto"/>
          </w:tcPr>
          <w:p w14:paraId="5E049C5E" w14:textId="77777777" w:rsidR="0002298B" w:rsidRPr="00B0658A" w:rsidRDefault="0002298B" w:rsidP="000A4114">
            <w:pPr>
              <w:spacing w:after="0" w:line="240" w:lineRule="auto"/>
              <w:rPr>
                <w:rFonts w:ascii="Times New Roman" w:hAnsi="Times New Roman"/>
                <w:i/>
                <w:iCs/>
                <w:sz w:val="20"/>
                <w:szCs w:val="20"/>
              </w:rPr>
            </w:pPr>
          </w:p>
        </w:tc>
        <w:tc>
          <w:tcPr>
            <w:tcW w:w="1036" w:type="pct"/>
            <w:shd w:val="clear" w:color="auto" w:fill="auto"/>
          </w:tcPr>
          <w:p w14:paraId="71EFBA2E" w14:textId="77777777" w:rsidR="0002298B" w:rsidRPr="00B0658A" w:rsidRDefault="0002298B" w:rsidP="000A4114">
            <w:pPr>
              <w:spacing w:after="0" w:line="240" w:lineRule="auto"/>
              <w:rPr>
                <w:rFonts w:ascii="Times New Roman" w:hAnsi="Times New Roman"/>
                <w:i/>
                <w:iCs/>
                <w:sz w:val="20"/>
                <w:szCs w:val="20"/>
              </w:rPr>
            </w:pPr>
          </w:p>
        </w:tc>
        <w:tc>
          <w:tcPr>
            <w:tcW w:w="894" w:type="pct"/>
            <w:shd w:val="clear" w:color="auto" w:fill="auto"/>
          </w:tcPr>
          <w:p w14:paraId="14C67677" w14:textId="77777777" w:rsidR="0002298B" w:rsidRPr="00B0658A" w:rsidRDefault="0002298B" w:rsidP="000A4114">
            <w:pPr>
              <w:spacing w:after="0" w:line="240" w:lineRule="auto"/>
              <w:jc w:val="both"/>
              <w:rPr>
                <w:rFonts w:ascii="Times New Roman" w:hAnsi="Times New Roman"/>
                <w:i/>
                <w:iCs/>
                <w:sz w:val="20"/>
                <w:szCs w:val="20"/>
              </w:rPr>
            </w:pPr>
          </w:p>
        </w:tc>
      </w:tr>
      <w:tr w:rsidR="00F52FED" w:rsidRPr="00B0658A" w14:paraId="596D47B9" w14:textId="77777777" w:rsidTr="004F1366">
        <w:trPr>
          <w:trHeight w:val="170"/>
        </w:trPr>
        <w:tc>
          <w:tcPr>
            <w:tcW w:w="203" w:type="pct"/>
            <w:shd w:val="clear" w:color="auto" w:fill="auto"/>
          </w:tcPr>
          <w:p w14:paraId="60651120"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20"/>
                <w:szCs w:val="20"/>
              </w:rPr>
              <w:t>6.2</w:t>
            </w:r>
          </w:p>
        </w:tc>
        <w:tc>
          <w:tcPr>
            <w:tcW w:w="1153" w:type="pct"/>
            <w:shd w:val="clear" w:color="auto" w:fill="auto"/>
            <w:vAlign w:val="center"/>
          </w:tcPr>
          <w:p w14:paraId="204EE6D9"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20"/>
                <w:szCs w:val="20"/>
              </w:rPr>
              <w:t>Офисные приложения/ Коммуникационное программное обеспечение</w:t>
            </w:r>
          </w:p>
        </w:tc>
        <w:tc>
          <w:tcPr>
            <w:tcW w:w="624" w:type="pct"/>
          </w:tcPr>
          <w:p w14:paraId="0DFACDBB" w14:textId="77777777" w:rsidR="0002298B" w:rsidRPr="00B0658A" w:rsidRDefault="0002298B" w:rsidP="000A4114">
            <w:pPr>
              <w:spacing w:after="0" w:line="240" w:lineRule="auto"/>
              <w:rPr>
                <w:rFonts w:ascii="Times New Roman" w:hAnsi="Times New Roman"/>
                <w:i/>
                <w:iCs/>
                <w:sz w:val="20"/>
                <w:szCs w:val="20"/>
              </w:rPr>
            </w:pPr>
          </w:p>
        </w:tc>
        <w:tc>
          <w:tcPr>
            <w:tcW w:w="1090" w:type="pct"/>
            <w:shd w:val="clear" w:color="auto" w:fill="auto"/>
          </w:tcPr>
          <w:p w14:paraId="69B32991" w14:textId="77777777" w:rsidR="0002298B" w:rsidRPr="00B0658A" w:rsidRDefault="0002298B" w:rsidP="000A4114">
            <w:pPr>
              <w:spacing w:after="0" w:line="240" w:lineRule="auto"/>
              <w:rPr>
                <w:rFonts w:ascii="Times New Roman" w:hAnsi="Times New Roman"/>
                <w:i/>
                <w:iCs/>
                <w:sz w:val="20"/>
                <w:szCs w:val="20"/>
              </w:rPr>
            </w:pPr>
          </w:p>
        </w:tc>
        <w:tc>
          <w:tcPr>
            <w:tcW w:w="1036" w:type="pct"/>
            <w:shd w:val="clear" w:color="auto" w:fill="auto"/>
          </w:tcPr>
          <w:p w14:paraId="194E8714" w14:textId="77777777" w:rsidR="0002298B" w:rsidRPr="00B0658A" w:rsidRDefault="0002298B" w:rsidP="000A4114">
            <w:pPr>
              <w:spacing w:after="0" w:line="240" w:lineRule="auto"/>
              <w:rPr>
                <w:rFonts w:ascii="Times New Roman" w:hAnsi="Times New Roman"/>
                <w:i/>
                <w:iCs/>
                <w:sz w:val="20"/>
                <w:szCs w:val="20"/>
              </w:rPr>
            </w:pPr>
          </w:p>
        </w:tc>
        <w:tc>
          <w:tcPr>
            <w:tcW w:w="894" w:type="pct"/>
            <w:shd w:val="clear" w:color="auto" w:fill="auto"/>
          </w:tcPr>
          <w:p w14:paraId="74A0D737" w14:textId="77777777" w:rsidR="0002298B" w:rsidRPr="00B0658A" w:rsidRDefault="0002298B" w:rsidP="000A4114">
            <w:pPr>
              <w:spacing w:after="0" w:line="240" w:lineRule="auto"/>
              <w:jc w:val="both"/>
              <w:rPr>
                <w:rFonts w:ascii="Times New Roman" w:hAnsi="Times New Roman"/>
                <w:i/>
                <w:iCs/>
                <w:sz w:val="20"/>
                <w:szCs w:val="20"/>
              </w:rPr>
            </w:pPr>
          </w:p>
        </w:tc>
      </w:tr>
      <w:tr w:rsidR="00F52FED" w:rsidRPr="00B0658A" w14:paraId="31D31C7D" w14:textId="77777777" w:rsidTr="004F1366">
        <w:trPr>
          <w:trHeight w:val="170"/>
        </w:trPr>
        <w:tc>
          <w:tcPr>
            <w:tcW w:w="203" w:type="pct"/>
            <w:shd w:val="clear" w:color="auto" w:fill="auto"/>
          </w:tcPr>
          <w:p w14:paraId="50657007"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20"/>
                <w:szCs w:val="20"/>
              </w:rPr>
              <w:t>6.3</w:t>
            </w:r>
          </w:p>
        </w:tc>
        <w:tc>
          <w:tcPr>
            <w:tcW w:w="1153" w:type="pct"/>
            <w:shd w:val="clear" w:color="auto" w:fill="auto"/>
            <w:vAlign w:val="center"/>
          </w:tcPr>
          <w:p w14:paraId="5E87A4FE"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20"/>
                <w:szCs w:val="20"/>
              </w:rPr>
              <w:t>Офисные приложения/ Офисные пакеты</w:t>
            </w:r>
          </w:p>
        </w:tc>
        <w:tc>
          <w:tcPr>
            <w:tcW w:w="624" w:type="pct"/>
          </w:tcPr>
          <w:p w14:paraId="14D1860F" w14:textId="77777777" w:rsidR="0002298B" w:rsidRPr="00B0658A" w:rsidRDefault="0002298B" w:rsidP="000A4114">
            <w:pPr>
              <w:spacing w:after="0" w:line="240" w:lineRule="auto"/>
              <w:rPr>
                <w:rFonts w:ascii="Times New Roman" w:hAnsi="Times New Roman"/>
                <w:i/>
                <w:iCs/>
                <w:sz w:val="20"/>
                <w:szCs w:val="20"/>
              </w:rPr>
            </w:pPr>
          </w:p>
        </w:tc>
        <w:tc>
          <w:tcPr>
            <w:tcW w:w="1090" w:type="pct"/>
            <w:shd w:val="clear" w:color="auto" w:fill="auto"/>
          </w:tcPr>
          <w:p w14:paraId="4510A280" w14:textId="77777777" w:rsidR="0002298B" w:rsidRPr="00B0658A" w:rsidRDefault="0002298B" w:rsidP="000A4114">
            <w:pPr>
              <w:spacing w:after="0" w:line="240" w:lineRule="auto"/>
              <w:rPr>
                <w:rFonts w:ascii="Times New Roman" w:hAnsi="Times New Roman"/>
                <w:i/>
                <w:iCs/>
                <w:sz w:val="20"/>
                <w:szCs w:val="20"/>
              </w:rPr>
            </w:pPr>
          </w:p>
        </w:tc>
        <w:tc>
          <w:tcPr>
            <w:tcW w:w="1036" w:type="pct"/>
            <w:shd w:val="clear" w:color="auto" w:fill="auto"/>
          </w:tcPr>
          <w:p w14:paraId="2A36D30E" w14:textId="77777777" w:rsidR="0002298B" w:rsidRPr="00B0658A" w:rsidRDefault="0002298B" w:rsidP="000A4114">
            <w:pPr>
              <w:spacing w:after="0" w:line="240" w:lineRule="auto"/>
              <w:rPr>
                <w:rFonts w:ascii="Times New Roman" w:hAnsi="Times New Roman"/>
                <w:i/>
                <w:iCs/>
                <w:sz w:val="20"/>
                <w:szCs w:val="20"/>
              </w:rPr>
            </w:pPr>
          </w:p>
        </w:tc>
        <w:tc>
          <w:tcPr>
            <w:tcW w:w="894" w:type="pct"/>
            <w:shd w:val="clear" w:color="auto" w:fill="auto"/>
          </w:tcPr>
          <w:p w14:paraId="144B8FAA" w14:textId="77777777" w:rsidR="0002298B" w:rsidRPr="00B0658A" w:rsidRDefault="0002298B" w:rsidP="000A4114">
            <w:pPr>
              <w:spacing w:after="0" w:line="240" w:lineRule="auto"/>
              <w:jc w:val="both"/>
              <w:rPr>
                <w:rFonts w:ascii="Times New Roman" w:hAnsi="Times New Roman"/>
                <w:i/>
                <w:iCs/>
                <w:sz w:val="20"/>
                <w:szCs w:val="20"/>
              </w:rPr>
            </w:pPr>
          </w:p>
        </w:tc>
      </w:tr>
      <w:tr w:rsidR="00F52FED" w:rsidRPr="00B0658A" w14:paraId="66958C9B" w14:textId="77777777" w:rsidTr="004F1366">
        <w:trPr>
          <w:trHeight w:val="170"/>
        </w:trPr>
        <w:tc>
          <w:tcPr>
            <w:tcW w:w="203" w:type="pct"/>
            <w:shd w:val="clear" w:color="auto" w:fill="auto"/>
          </w:tcPr>
          <w:p w14:paraId="0AF8B5F0"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20"/>
                <w:szCs w:val="20"/>
              </w:rPr>
              <w:t>6.4</w:t>
            </w:r>
          </w:p>
        </w:tc>
        <w:tc>
          <w:tcPr>
            <w:tcW w:w="1153" w:type="pct"/>
            <w:shd w:val="clear" w:color="auto" w:fill="auto"/>
            <w:vAlign w:val="center"/>
          </w:tcPr>
          <w:p w14:paraId="02687974"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20"/>
                <w:szCs w:val="20"/>
              </w:rPr>
              <w:t>Офисные приложения/ Почтовые приложения</w:t>
            </w:r>
          </w:p>
        </w:tc>
        <w:tc>
          <w:tcPr>
            <w:tcW w:w="624" w:type="pct"/>
          </w:tcPr>
          <w:p w14:paraId="7D0812A1" w14:textId="77777777" w:rsidR="0002298B" w:rsidRPr="00B0658A" w:rsidRDefault="0002298B" w:rsidP="000A4114">
            <w:pPr>
              <w:spacing w:after="0" w:line="240" w:lineRule="auto"/>
              <w:rPr>
                <w:rFonts w:ascii="Times New Roman" w:hAnsi="Times New Roman"/>
                <w:i/>
                <w:iCs/>
                <w:sz w:val="20"/>
                <w:szCs w:val="20"/>
              </w:rPr>
            </w:pPr>
          </w:p>
        </w:tc>
        <w:tc>
          <w:tcPr>
            <w:tcW w:w="1090" w:type="pct"/>
            <w:shd w:val="clear" w:color="auto" w:fill="auto"/>
          </w:tcPr>
          <w:p w14:paraId="39BFB33C" w14:textId="77777777" w:rsidR="0002298B" w:rsidRPr="00B0658A" w:rsidRDefault="0002298B" w:rsidP="000A4114">
            <w:pPr>
              <w:spacing w:after="0" w:line="240" w:lineRule="auto"/>
              <w:rPr>
                <w:rFonts w:ascii="Times New Roman" w:hAnsi="Times New Roman"/>
                <w:i/>
                <w:iCs/>
                <w:sz w:val="20"/>
                <w:szCs w:val="20"/>
              </w:rPr>
            </w:pPr>
          </w:p>
        </w:tc>
        <w:tc>
          <w:tcPr>
            <w:tcW w:w="1036" w:type="pct"/>
            <w:shd w:val="clear" w:color="auto" w:fill="auto"/>
          </w:tcPr>
          <w:p w14:paraId="0A4BE23C" w14:textId="77777777" w:rsidR="0002298B" w:rsidRPr="00B0658A" w:rsidRDefault="0002298B" w:rsidP="000A4114">
            <w:pPr>
              <w:spacing w:after="0" w:line="240" w:lineRule="auto"/>
              <w:rPr>
                <w:rFonts w:ascii="Times New Roman" w:hAnsi="Times New Roman"/>
                <w:i/>
                <w:iCs/>
                <w:sz w:val="20"/>
                <w:szCs w:val="20"/>
              </w:rPr>
            </w:pPr>
          </w:p>
        </w:tc>
        <w:tc>
          <w:tcPr>
            <w:tcW w:w="894" w:type="pct"/>
            <w:shd w:val="clear" w:color="auto" w:fill="auto"/>
          </w:tcPr>
          <w:p w14:paraId="1C32DEAE" w14:textId="77777777" w:rsidR="0002298B" w:rsidRPr="00B0658A" w:rsidRDefault="0002298B" w:rsidP="000A4114">
            <w:pPr>
              <w:spacing w:after="0" w:line="240" w:lineRule="auto"/>
              <w:jc w:val="both"/>
              <w:rPr>
                <w:rFonts w:ascii="Times New Roman" w:hAnsi="Times New Roman"/>
                <w:i/>
                <w:iCs/>
                <w:sz w:val="20"/>
                <w:szCs w:val="20"/>
              </w:rPr>
            </w:pPr>
          </w:p>
        </w:tc>
      </w:tr>
      <w:tr w:rsidR="00F52FED" w:rsidRPr="00B0658A" w14:paraId="50D22916" w14:textId="77777777" w:rsidTr="004F1366">
        <w:trPr>
          <w:trHeight w:val="170"/>
        </w:trPr>
        <w:tc>
          <w:tcPr>
            <w:tcW w:w="203" w:type="pct"/>
            <w:shd w:val="clear" w:color="auto" w:fill="auto"/>
          </w:tcPr>
          <w:p w14:paraId="123FF685"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20"/>
                <w:szCs w:val="20"/>
              </w:rPr>
              <w:t>6.5</w:t>
            </w:r>
          </w:p>
        </w:tc>
        <w:tc>
          <w:tcPr>
            <w:tcW w:w="1153" w:type="pct"/>
            <w:shd w:val="clear" w:color="auto" w:fill="auto"/>
            <w:vAlign w:val="center"/>
          </w:tcPr>
          <w:p w14:paraId="3AE1087C"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20"/>
                <w:szCs w:val="20"/>
              </w:rPr>
              <w:t>Офисные приложения/ Органайзеры</w:t>
            </w:r>
          </w:p>
        </w:tc>
        <w:tc>
          <w:tcPr>
            <w:tcW w:w="624" w:type="pct"/>
          </w:tcPr>
          <w:p w14:paraId="660F516A" w14:textId="77777777" w:rsidR="0002298B" w:rsidRPr="00B0658A" w:rsidRDefault="0002298B" w:rsidP="000A4114">
            <w:pPr>
              <w:spacing w:after="0" w:line="240" w:lineRule="auto"/>
              <w:rPr>
                <w:rFonts w:ascii="Times New Roman" w:hAnsi="Times New Roman"/>
                <w:i/>
                <w:iCs/>
                <w:sz w:val="20"/>
                <w:szCs w:val="20"/>
              </w:rPr>
            </w:pPr>
          </w:p>
        </w:tc>
        <w:tc>
          <w:tcPr>
            <w:tcW w:w="1090" w:type="pct"/>
            <w:shd w:val="clear" w:color="auto" w:fill="auto"/>
          </w:tcPr>
          <w:p w14:paraId="74B33D93" w14:textId="77777777" w:rsidR="0002298B" w:rsidRPr="00B0658A" w:rsidRDefault="0002298B" w:rsidP="000A4114">
            <w:pPr>
              <w:spacing w:after="0" w:line="240" w:lineRule="auto"/>
              <w:rPr>
                <w:rFonts w:ascii="Times New Roman" w:hAnsi="Times New Roman"/>
                <w:i/>
                <w:iCs/>
                <w:sz w:val="20"/>
                <w:szCs w:val="20"/>
              </w:rPr>
            </w:pPr>
          </w:p>
        </w:tc>
        <w:tc>
          <w:tcPr>
            <w:tcW w:w="1036" w:type="pct"/>
            <w:shd w:val="clear" w:color="auto" w:fill="auto"/>
          </w:tcPr>
          <w:p w14:paraId="1B4E2A17" w14:textId="77777777" w:rsidR="0002298B" w:rsidRPr="00B0658A" w:rsidRDefault="0002298B" w:rsidP="000A4114">
            <w:pPr>
              <w:spacing w:after="0" w:line="240" w:lineRule="auto"/>
              <w:rPr>
                <w:rFonts w:ascii="Times New Roman" w:hAnsi="Times New Roman"/>
                <w:i/>
                <w:iCs/>
                <w:sz w:val="20"/>
                <w:szCs w:val="20"/>
              </w:rPr>
            </w:pPr>
          </w:p>
        </w:tc>
        <w:tc>
          <w:tcPr>
            <w:tcW w:w="894" w:type="pct"/>
            <w:shd w:val="clear" w:color="auto" w:fill="auto"/>
          </w:tcPr>
          <w:p w14:paraId="20B1673C" w14:textId="77777777" w:rsidR="0002298B" w:rsidRPr="00B0658A" w:rsidRDefault="0002298B" w:rsidP="000A4114">
            <w:pPr>
              <w:spacing w:after="0" w:line="240" w:lineRule="auto"/>
              <w:jc w:val="both"/>
              <w:rPr>
                <w:rFonts w:ascii="Times New Roman" w:hAnsi="Times New Roman"/>
                <w:i/>
                <w:iCs/>
                <w:sz w:val="20"/>
                <w:szCs w:val="20"/>
              </w:rPr>
            </w:pPr>
          </w:p>
        </w:tc>
      </w:tr>
      <w:tr w:rsidR="00F52FED" w:rsidRPr="00B0658A" w14:paraId="4E5E9B00" w14:textId="77777777" w:rsidTr="004F1366">
        <w:trPr>
          <w:trHeight w:val="170"/>
        </w:trPr>
        <w:tc>
          <w:tcPr>
            <w:tcW w:w="203" w:type="pct"/>
            <w:shd w:val="clear" w:color="auto" w:fill="auto"/>
          </w:tcPr>
          <w:p w14:paraId="297F04FD"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20"/>
                <w:szCs w:val="20"/>
              </w:rPr>
              <w:t>6.6</w:t>
            </w:r>
          </w:p>
        </w:tc>
        <w:tc>
          <w:tcPr>
            <w:tcW w:w="1153" w:type="pct"/>
            <w:shd w:val="clear" w:color="auto" w:fill="auto"/>
            <w:vAlign w:val="center"/>
          </w:tcPr>
          <w:p w14:paraId="08EF2924"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20"/>
                <w:szCs w:val="20"/>
              </w:rPr>
              <w:t>Офисные приложения/ Средства просмотра</w:t>
            </w:r>
          </w:p>
        </w:tc>
        <w:tc>
          <w:tcPr>
            <w:tcW w:w="624" w:type="pct"/>
          </w:tcPr>
          <w:p w14:paraId="5A0A0BA4" w14:textId="77777777" w:rsidR="0002298B" w:rsidRPr="00B0658A" w:rsidRDefault="0002298B" w:rsidP="000A4114">
            <w:pPr>
              <w:spacing w:after="0" w:line="240" w:lineRule="auto"/>
              <w:rPr>
                <w:rFonts w:ascii="Times New Roman" w:hAnsi="Times New Roman"/>
                <w:i/>
                <w:iCs/>
                <w:sz w:val="20"/>
                <w:szCs w:val="20"/>
              </w:rPr>
            </w:pPr>
          </w:p>
        </w:tc>
        <w:tc>
          <w:tcPr>
            <w:tcW w:w="1090" w:type="pct"/>
            <w:shd w:val="clear" w:color="auto" w:fill="auto"/>
          </w:tcPr>
          <w:p w14:paraId="4E6D69F2" w14:textId="77777777" w:rsidR="0002298B" w:rsidRPr="00B0658A" w:rsidRDefault="0002298B" w:rsidP="000A4114">
            <w:pPr>
              <w:spacing w:after="0" w:line="240" w:lineRule="auto"/>
              <w:rPr>
                <w:rFonts w:ascii="Times New Roman" w:hAnsi="Times New Roman"/>
                <w:i/>
                <w:iCs/>
                <w:sz w:val="20"/>
                <w:szCs w:val="20"/>
              </w:rPr>
            </w:pPr>
          </w:p>
        </w:tc>
        <w:tc>
          <w:tcPr>
            <w:tcW w:w="1036" w:type="pct"/>
            <w:shd w:val="clear" w:color="auto" w:fill="auto"/>
          </w:tcPr>
          <w:p w14:paraId="56863ACF" w14:textId="77777777" w:rsidR="0002298B" w:rsidRPr="00B0658A" w:rsidRDefault="0002298B" w:rsidP="000A4114">
            <w:pPr>
              <w:spacing w:after="0" w:line="240" w:lineRule="auto"/>
              <w:rPr>
                <w:rFonts w:ascii="Times New Roman" w:hAnsi="Times New Roman"/>
                <w:i/>
                <w:iCs/>
                <w:sz w:val="20"/>
                <w:szCs w:val="20"/>
              </w:rPr>
            </w:pPr>
          </w:p>
        </w:tc>
        <w:tc>
          <w:tcPr>
            <w:tcW w:w="894" w:type="pct"/>
            <w:shd w:val="clear" w:color="auto" w:fill="auto"/>
          </w:tcPr>
          <w:p w14:paraId="768B057E" w14:textId="77777777" w:rsidR="0002298B" w:rsidRPr="00B0658A" w:rsidRDefault="0002298B" w:rsidP="000A4114">
            <w:pPr>
              <w:spacing w:after="0" w:line="240" w:lineRule="auto"/>
              <w:jc w:val="both"/>
              <w:rPr>
                <w:rFonts w:ascii="Times New Roman" w:hAnsi="Times New Roman"/>
                <w:i/>
                <w:iCs/>
                <w:sz w:val="20"/>
                <w:szCs w:val="20"/>
              </w:rPr>
            </w:pPr>
          </w:p>
        </w:tc>
      </w:tr>
      <w:tr w:rsidR="00F52FED" w:rsidRPr="00B0658A" w14:paraId="2F6C9AAD" w14:textId="77777777" w:rsidTr="004F1366">
        <w:trPr>
          <w:trHeight w:val="170"/>
        </w:trPr>
        <w:tc>
          <w:tcPr>
            <w:tcW w:w="203" w:type="pct"/>
            <w:shd w:val="clear" w:color="auto" w:fill="auto"/>
          </w:tcPr>
          <w:p w14:paraId="1E6D1BF4"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20"/>
                <w:szCs w:val="20"/>
              </w:rPr>
              <w:t>6.7</w:t>
            </w:r>
          </w:p>
        </w:tc>
        <w:tc>
          <w:tcPr>
            <w:tcW w:w="1153" w:type="pct"/>
            <w:shd w:val="clear" w:color="auto" w:fill="auto"/>
            <w:vAlign w:val="center"/>
          </w:tcPr>
          <w:p w14:paraId="5AD62805"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20"/>
                <w:szCs w:val="20"/>
              </w:rPr>
              <w:t>Офисные приложения/ Браузеры</w:t>
            </w:r>
          </w:p>
        </w:tc>
        <w:tc>
          <w:tcPr>
            <w:tcW w:w="624" w:type="pct"/>
          </w:tcPr>
          <w:p w14:paraId="64CA337D" w14:textId="77777777" w:rsidR="0002298B" w:rsidRPr="00B0658A" w:rsidRDefault="0002298B" w:rsidP="000A4114">
            <w:pPr>
              <w:spacing w:after="0" w:line="240" w:lineRule="auto"/>
              <w:rPr>
                <w:rFonts w:ascii="Times New Roman" w:hAnsi="Times New Roman"/>
                <w:i/>
                <w:iCs/>
                <w:sz w:val="20"/>
                <w:szCs w:val="20"/>
              </w:rPr>
            </w:pPr>
          </w:p>
        </w:tc>
        <w:tc>
          <w:tcPr>
            <w:tcW w:w="1090" w:type="pct"/>
            <w:shd w:val="clear" w:color="auto" w:fill="auto"/>
          </w:tcPr>
          <w:p w14:paraId="3C261CED" w14:textId="77777777" w:rsidR="0002298B" w:rsidRPr="00B0658A" w:rsidRDefault="0002298B" w:rsidP="000A4114">
            <w:pPr>
              <w:spacing w:after="0" w:line="240" w:lineRule="auto"/>
              <w:rPr>
                <w:rFonts w:ascii="Times New Roman" w:hAnsi="Times New Roman"/>
                <w:i/>
                <w:iCs/>
                <w:sz w:val="20"/>
                <w:szCs w:val="20"/>
              </w:rPr>
            </w:pPr>
          </w:p>
        </w:tc>
        <w:tc>
          <w:tcPr>
            <w:tcW w:w="1036" w:type="pct"/>
            <w:shd w:val="clear" w:color="auto" w:fill="auto"/>
          </w:tcPr>
          <w:p w14:paraId="1D3073C3" w14:textId="77777777" w:rsidR="0002298B" w:rsidRPr="00B0658A" w:rsidRDefault="0002298B" w:rsidP="000A4114">
            <w:pPr>
              <w:spacing w:after="0" w:line="240" w:lineRule="auto"/>
              <w:rPr>
                <w:rFonts w:ascii="Times New Roman" w:hAnsi="Times New Roman"/>
                <w:i/>
                <w:iCs/>
                <w:sz w:val="20"/>
                <w:szCs w:val="20"/>
              </w:rPr>
            </w:pPr>
          </w:p>
        </w:tc>
        <w:tc>
          <w:tcPr>
            <w:tcW w:w="894" w:type="pct"/>
            <w:shd w:val="clear" w:color="auto" w:fill="auto"/>
          </w:tcPr>
          <w:p w14:paraId="66D5B423" w14:textId="77777777" w:rsidR="0002298B" w:rsidRPr="00B0658A" w:rsidRDefault="0002298B" w:rsidP="000A4114">
            <w:pPr>
              <w:spacing w:after="0" w:line="240" w:lineRule="auto"/>
              <w:jc w:val="both"/>
              <w:rPr>
                <w:rFonts w:ascii="Times New Roman" w:hAnsi="Times New Roman"/>
                <w:i/>
                <w:iCs/>
                <w:sz w:val="20"/>
                <w:szCs w:val="20"/>
              </w:rPr>
            </w:pPr>
          </w:p>
        </w:tc>
      </w:tr>
      <w:tr w:rsidR="00F52FED" w:rsidRPr="00B0658A" w14:paraId="22849983" w14:textId="77777777" w:rsidTr="004F1366">
        <w:trPr>
          <w:trHeight w:val="170"/>
        </w:trPr>
        <w:tc>
          <w:tcPr>
            <w:tcW w:w="203" w:type="pct"/>
            <w:shd w:val="clear" w:color="auto" w:fill="auto"/>
          </w:tcPr>
          <w:p w14:paraId="7476B144"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20"/>
                <w:szCs w:val="20"/>
              </w:rPr>
              <w:t>6.8</w:t>
            </w:r>
          </w:p>
        </w:tc>
        <w:tc>
          <w:tcPr>
            <w:tcW w:w="1153" w:type="pct"/>
            <w:shd w:val="clear" w:color="auto" w:fill="auto"/>
            <w:vAlign w:val="center"/>
          </w:tcPr>
          <w:p w14:paraId="087B766B"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20"/>
                <w:szCs w:val="20"/>
              </w:rPr>
              <w:t>Офисные приложения/ Редакторы мультимедиа</w:t>
            </w:r>
          </w:p>
        </w:tc>
        <w:tc>
          <w:tcPr>
            <w:tcW w:w="624" w:type="pct"/>
          </w:tcPr>
          <w:p w14:paraId="037A8BF7" w14:textId="77777777" w:rsidR="0002298B" w:rsidRPr="00B0658A" w:rsidRDefault="0002298B" w:rsidP="000A4114">
            <w:pPr>
              <w:spacing w:after="0" w:line="240" w:lineRule="auto"/>
              <w:rPr>
                <w:rFonts w:ascii="Times New Roman" w:hAnsi="Times New Roman"/>
                <w:i/>
                <w:iCs/>
                <w:sz w:val="20"/>
                <w:szCs w:val="20"/>
              </w:rPr>
            </w:pPr>
          </w:p>
        </w:tc>
        <w:tc>
          <w:tcPr>
            <w:tcW w:w="1090" w:type="pct"/>
            <w:shd w:val="clear" w:color="auto" w:fill="auto"/>
          </w:tcPr>
          <w:p w14:paraId="0F5832D6" w14:textId="77777777" w:rsidR="0002298B" w:rsidRPr="00B0658A" w:rsidRDefault="0002298B" w:rsidP="000A4114">
            <w:pPr>
              <w:spacing w:after="0" w:line="240" w:lineRule="auto"/>
              <w:rPr>
                <w:rFonts w:ascii="Times New Roman" w:hAnsi="Times New Roman"/>
                <w:i/>
                <w:iCs/>
                <w:sz w:val="20"/>
                <w:szCs w:val="20"/>
              </w:rPr>
            </w:pPr>
          </w:p>
        </w:tc>
        <w:tc>
          <w:tcPr>
            <w:tcW w:w="1036" w:type="pct"/>
            <w:shd w:val="clear" w:color="auto" w:fill="auto"/>
          </w:tcPr>
          <w:p w14:paraId="45A306BF" w14:textId="77777777" w:rsidR="0002298B" w:rsidRPr="00B0658A" w:rsidRDefault="0002298B" w:rsidP="000A4114">
            <w:pPr>
              <w:spacing w:after="0" w:line="240" w:lineRule="auto"/>
              <w:rPr>
                <w:rFonts w:ascii="Times New Roman" w:hAnsi="Times New Roman"/>
                <w:i/>
                <w:iCs/>
                <w:sz w:val="20"/>
                <w:szCs w:val="20"/>
              </w:rPr>
            </w:pPr>
          </w:p>
        </w:tc>
        <w:tc>
          <w:tcPr>
            <w:tcW w:w="894" w:type="pct"/>
            <w:shd w:val="clear" w:color="auto" w:fill="auto"/>
          </w:tcPr>
          <w:p w14:paraId="1A46A069" w14:textId="77777777" w:rsidR="0002298B" w:rsidRPr="00B0658A" w:rsidRDefault="0002298B" w:rsidP="000A4114">
            <w:pPr>
              <w:spacing w:after="0" w:line="240" w:lineRule="auto"/>
              <w:jc w:val="both"/>
              <w:rPr>
                <w:rFonts w:ascii="Times New Roman" w:hAnsi="Times New Roman"/>
                <w:i/>
                <w:iCs/>
                <w:sz w:val="20"/>
                <w:szCs w:val="20"/>
              </w:rPr>
            </w:pPr>
          </w:p>
        </w:tc>
      </w:tr>
      <w:tr w:rsidR="00F52FED" w:rsidRPr="00B0658A" w14:paraId="11B73060" w14:textId="77777777" w:rsidTr="004F1366">
        <w:trPr>
          <w:trHeight w:val="170"/>
        </w:trPr>
        <w:tc>
          <w:tcPr>
            <w:tcW w:w="203" w:type="pct"/>
            <w:shd w:val="clear" w:color="auto" w:fill="auto"/>
          </w:tcPr>
          <w:p w14:paraId="5402075D"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20"/>
                <w:szCs w:val="20"/>
              </w:rPr>
              <w:t>6.9</w:t>
            </w:r>
          </w:p>
        </w:tc>
        <w:tc>
          <w:tcPr>
            <w:tcW w:w="1153" w:type="pct"/>
            <w:shd w:val="clear" w:color="auto" w:fill="auto"/>
            <w:vAlign w:val="center"/>
          </w:tcPr>
          <w:p w14:paraId="6CE14D47"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20"/>
                <w:szCs w:val="20"/>
              </w:rPr>
              <w:t>Офисные приложения/ Редакторы презентаций</w:t>
            </w:r>
          </w:p>
        </w:tc>
        <w:tc>
          <w:tcPr>
            <w:tcW w:w="624" w:type="pct"/>
          </w:tcPr>
          <w:p w14:paraId="1A5E9C79" w14:textId="77777777" w:rsidR="0002298B" w:rsidRPr="00B0658A" w:rsidRDefault="0002298B" w:rsidP="000A4114">
            <w:pPr>
              <w:spacing w:after="0" w:line="240" w:lineRule="auto"/>
              <w:rPr>
                <w:rFonts w:ascii="Times New Roman" w:hAnsi="Times New Roman"/>
                <w:i/>
                <w:iCs/>
                <w:sz w:val="20"/>
                <w:szCs w:val="20"/>
              </w:rPr>
            </w:pPr>
          </w:p>
        </w:tc>
        <w:tc>
          <w:tcPr>
            <w:tcW w:w="1090" w:type="pct"/>
            <w:shd w:val="clear" w:color="auto" w:fill="auto"/>
          </w:tcPr>
          <w:p w14:paraId="3AA59537" w14:textId="77777777" w:rsidR="0002298B" w:rsidRPr="00B0658A" w:rsidRDefault="0002298B" w:rsidP="000A4114">
            <w:pPr>
              <w:spacing w:after="0" w:line="240" w:lineRule="auto"/>
              <w:rPr>
                <w:rFonts w:ascii="Times New Roman" w:hAnsi="Times New Roman"/>
                <w:i/>
                <w:iCs/>
                <w:sz w:val="20"/>
                <w:szCs w:val="20"/>
              </w:rPr>
            </w:pPr>
          </w:p>
        </w:tc>
        <w:tc>
          <w:tcPr>
            <w:tcW w:w="1036" w:type="pct"/>
            <w:shd w:val="clear" w:color="auto" w:fill="auto"/>
          </w:tcPr>
          <w:p w14:paraId="7D5A2EDA" w14:textId="77777777" w:rsidR="0002298B" w:rsidRPr="00B0658A" w:rsidRDefault="0002298B" w:rsidP="000A4114">
            <w:pPr>
              <w:spacing w:after="0" w:line="240" w:lineRule="auto"/>
              <w:rPr>
                <w:rFonts w:ascii="Times New Roman" w:hAnsi="Times New Roman"/>
                <w:i/>
                <w:iCs/>
                <w:sz w:val="20"/>
                <w:szCs w:val="20"/>
              </w:rPr>
            </w:pPr>
          </w:p>
        </w:tc>
        <w:tc>
          <w:tcPr>
            <w:tcW w:w="894" w:type="pct"/>
            <w:shd w:val="clear" w:color="auto" w:fill="auto"/>
          </w:tcPr>
          <w:p w14:paraId="07C4532A" w14:textId="77777777" w:rsidR="0002298B" w:rsidRPr="00B0658A" w:rsidRDefault="0002298B" w:rsidP="000A4114">
            <w:pPr>
              <w:spacing w:after="0" w:line="240" w:lineRule="auto"/>
              <w:jc w:val="both"/>
              <w:rPr>
                <w:rFonts w:ascii="Times New Roman" w:hAnsi="Times New Roman"/>
                <w:i/>
                <w:iCs/>
                <w:sz w:val="20"/>
                <w:szCs w:val="20"/>
              </w:rPr>
            </w:pPr>
          </w:p>
        </w:tc>
      </w:tr>
      <w:tr w:rsidR="00F52FED" w:rsidRPr="00B0658A" w14:paraId="79584D9C" w14:textId="77777777" w:rsidTr="004F1366">
        <w:trPr>
          <w:trHeight w:val="170"/>
        </w:trPr>
        <w:tc>
          <w:tcPr>
            <w:tcW w:w="203" w:type="pct"/>
            <w:shd w:val="clear" w:color="auto" w:fill="auto"/>
          </w:tcPr>
          <w:p w14:paraId="3BC79C9B"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20"/>
                <w:szCs w:val="20"/>
              </w:rPr>
              <w:t>6.10</w:t>
            </w:r>
          </w:p>
        </w:tc>
        <w:tc>
          <w:tcPr>
            <w:tcW w:w="1153" w:type="pct"/>
            <w:shd w:val="clear" w:color="auto" w:fill="auto"/>
            <w:vAlign w:val="center"/>
          </w:tcPr>
          <w:p w14:paraId="73CFB5F4"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20"/>
                <w:szCs w:val="20"/>
              </w:rPr>
              <w:t>Офисные приложения/ Табличные редакторы</w:t>
            </w:r>
          </w:p>
        </w:tc>
        <w:tc>
          <w:tcPr>
            <w:tcW w:w="624" w:type="pct"/>
          </w:tcPr>
          <w:p w14:paraId="02845512" w14:textId="77777777" w:rsidR="0002298B" w:rsidRPr="00B0658A" w:rsidRDefault="0002298B" w:rsidP="000A4114">
            <w:pPr>
              <w:spacing w:after="0" w:line="240" w:lineRule="auto"/>
              <w:rPr>
                <w:rFonts w:ascii="Times New Roman" w:hAnsi="Times New Roman"/>
                <w:i/>
                <w:iCs/>
                <w:sz w:val="20"/>
                <w:szCs w:val="20"/>
              </w:rPr>
            </w:pPr>
          </w:p>
        </w:tc>
        <w:tc>
          <w:tcPr>
            <w:tcW w:w="1090" w:type="pct"/>
            <w:shd w:val="clear" w:color="auto" w:fill="auto"/>
          </w:tcPr>
          <w:p w14:paraId="29C037BB" w14:textId="77777777" w:rsidR="0002298B" w:rsidRPr="00B0658A" w:rsidRDefault="0002298B" w:rsidP="000A4114">
            <w:pPr>
              <w:spacing w:after="0" w:line="240" w:lineRule="auto"/>
              <w:rPr>
                <w:rFonts w:ascii="Times New Roman" w:hAnsi="Times New Roman"/>
                <w:i/>
                <w:iCs/>
                <w:sz w:val="20"/>
                <w:szCs w:val="20"/>
              </w:rPr>
            </w:pPr>
          </w:p>
        </w:tc>
        <w:tc>
          <w:tcPr>
            <w:tcW w:w="1036" w:type="pct"/>
            <w:shd w:val="clear" w:color="auto" w:fill="auto"/>
          </w:tcPr>
          <w:p w14:paraId="4E26D082" w14:textId="77777777" w:rsidR="0002298B" w:rsidRPr="00B0658A" w:rsidRDefault="0002298B" w:rsidP="000A4114">
            <w:pPr>
              <w:spacing w:after="0" w:line="240" w:lineRule="auto"/>
              <w:rPr>
                <w:rFonts w:ascii="Times New Roman" w:hAnsi="Times New Roman"/>
                <w:i/>
                <w:iCs/>
                <w:sz w:val="20"/>
                <w:szCs w:val="20"/>
              </w:rPr>
            </w:pPr>
          </w:p>
        </w:tc>
        <w:tc>
          <w:tcPr>
            <w:tcW w:w="894" w:type="pct"/>
            <w:shd w:val="clear" w:color="auto" w:fill="auto"/>
          </w:tcPr>
          <w:p w14:paraId="4219F853" w14:textId="77777777" w:rsidR="0002298B" w:rsidRPr="00B0658A" w:rsidRDefault="0002298B" w:rsidP="000A4114">
            <w:pPr>
              <w:spacing w:after="0" w:line="240" w:lineRule="auto"/>
              <w:jc w:val="both"/>
              <w:rPr>
                <w:rFonts w:ascii="Times New Roman" w:hAnsi="Times New Roman"/>
                <w:i/>
                <w:iCs/>
                <w:sz w:val="20"/>
                <w:szCs w:val="20"/>
              </w:rPr>
            </w:pPr>
          </w:p>
        </w:tc>
      </w:tr>
      <w:tr w:rsidR="00F52FED" w:rsidRPr="00B0658A" w14:paraId="7FD8CDDC" w14:textId="77777777" w:rsidTr="004F1366">
        <w:trPr>
          <w:trHeight w:val="170"/>
        </w:trPr>
        <w:tc>
          <w:tcPr>
            <w:tcW w:w="203" w:type="pct"/>
            <w:shd w:val="clear" w:color="auto" w:fill="auto"/>
          </w:tcPr>
          <w:p w14:paraId="4BA6421F"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20"/>
                <w:szCs w:val="20"/>
              </w:rPr>
              <w:t>6.11</w:t>
            </w:r>
          </w:p>
        </w:tc>
        <w:tc>
          <w:tcPr>
            <w:tcW w:w="1153" w:type="pct"/>
            <w:shd w:val="clear" w:color="auto" w:fill="auto"/>
            <w:vAlign w:val="center"/>
          </w:tcPr>
          <w:p w14:paraId="44438131"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20"/>
                <w:szCs w:val="20"/>
              </w:rPr>
              <w:t>Офисные приложения/ Текстовые редакторы</w:t>
            </w:r>
          </w:p>
        </w:tc>
        <w:tc>
          <w:tcPr>
            <w:tcW w:w="624" w:type="pct"/>
          </w:tcPr>
          <w:p w14:paraId="6CC01E26" w14:textId="77777777" w:rsidR="0002298B" w:rsidRPr="00B0658A" w:rsidRDefault="0002298B" w:rsidP="000A4114">
            <w:pPr>
              <w:spacing w:after="0" w:line="240" w:lineRule="auto"/>
              <w:rPr>
                <w:rFonts w:ascii="Times New Roman" w:hAnsi="Times New Roman"/>
                <w:i/>
                <w:iCs/>
                <w:sz w:val="20"/>
                <w:szCs w:val="20"/>
              </w:rPr>
            </w:pPr>
          </w:p>
        </w:tc>
        <w:tc>
          <w:tcPr>
            <w:tcW w:w="1090" w:type="pct"/>
            <w:shd w:val="clear" w:color="auto" w:fill="auto"/>
          </w:tcPr>
          <w:p w14:paraId="2151807B" w14:textId="77777777" w:rsidR="0002298B" w:rsidRPr="00B0658A" w:rsidRDefault="0002298B" w:rsidP="000A4114">
            <w:pPr>
              <w:spacing w:after="0" w:line="240" w:lineRule="auto"/>
              <w:rPr>
                <w:rFonts w:ascii="Times New Roman" w:hAnsi="Times New Roman"/>
                <w:i/>
                <w:iCs/>
                <w:sz w:val="20"/>
                <w:szCs w:val="20"/>
              </w:rPr>
            </w:pPr>
          </w:p>
        </w:tc>
        <w:tc>
          <w:tcPr>
            <w:tcW w:w="1036" w:type="pct"/>
            <w:shd w:val="clear" w:color="auto" w:fill="auto"/>
          </w:tcPr>
          <w:p w14:paraId="4EBABF15" w14:textId="77777777" w:rsidR="0002298B" w:rsidRPr="00B0658A" w:rsidRDefault="0002298B" w:rsidP="000A4114">
            <w:pPr>
              <w:spacing w:after="0" w:line="240" w:lineRule="auto"/>
              <w:rPr>
                <w:rFonts w:ascii="Times New Roman" w:hAnsi="Times New Roman"/>
                <w:i/>
                <w:iCs/>
                <w:sz w:val="20"/>
                <w:szCs w:val="20"/>
              </w:rPr>
            </w:pPr>
          </w:p>
        </w:tc>
        <w:tc>
          <w:tcPr>
            <w:tcW w:w="894" w:type="pct"/>
            <w:shd w:val="clear" w:color="auto" w:fill="auto"/>
          </w:tcPr>
          <w:p w14:paraId="6D415EA5" w14:textId="77777777" w:rsidR="0002298B" w:rsidRPr="00B0658A" w:rsidRDefault="0002298B" w:rsidP="000A4114">
            <w:pPr>
              <w:spacing w:after="0" w:line="240" w:lineRule="auto"/>
              <w:jc w:val="both"/>
              <w:rPr>
                <w:rFonts w:ascii="Times New Roman" w:hAnsi="Times New Roman"/>
                <w:i/>
                <w:iCs/>
                <w:sz w:val="20"/>
                <w:szCs w:val="20"/>
              </w:rPr>
            </w:pPr>
          </w:p>
        </w:tc>
      </w:tr>
      <w:tr w:rsidR="00F52FED" w:rsidRPr="00B0658A" w14:paraId="7BF02D43" w14:textId="77777777" w:rsidTr="004F1366">
        <w:trPr>
          <w:trHeight w:val="170"/>
        </w:trPr>
        <w:tc>
          <w:tcPr>
            <w:tcW w:w="203" w:type="pct"/>
            <w:shd w:val="clear" w:color="auto" w:fill="auto"/>
          </w:tcPr>
          <w:p w14:paraId="3B5E5CBF"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20"/>
                <w:szCs w:val="20"/>
              </w:rPr>
              <w:t>6.12</w:t>
            </w:r>
          </w:p>
        </w:tc>
        <w:tc>
          <w:tcPr>
            <w:tcW w:w="1153" w:type="pct"/>
            <w:shd w:val="clear" w:color="auto" w:fill="auto"/>
            <w:vAlign w:val="center"/>
          </w:tcPr>
          <w:p w14:paraId="2E18CD8D"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20"/>
                <w:szCs w:val="20"/>
              </w:rPr>
              <w:t>Офисные приложения/ Программное обеспечение средств электронного документооборота</w:t>
            </w:r>
          </w:p>
        </w:tc>
        <w:tc>
          <w:tcPr>
            <w:tcW w:w="624" w:type="pct"/>
          </w:tcPr>
          <w:p w14:paraId="08925C9D" w14:textId="77777777" w:rsidR="0002298B" w:rsidRPr="00B0658A" w:rsidRDefault="0002298B" w:rsidP="000A4114">
            <w:pPr>
              <w:spacing w:after="0" w:line="240" w:lineRule="auto"/>
              <w:rPr>
                <w:rFonts w:ascii="Times New Roman" w:hAnsi="Times New Roman"/>
                <w:i/>
                <w:iCs/>
                <w:sz w:val="20"/>
                <w:szCs w:val="20"/>
              </w:rPr>
            </w:pPr>
          </w:p>
        </w:tc>
        <w:tc>
          <w:tcPr>
            <w:tcW w:w="1090" w:type="pct"/>
            <w:shd w:val="clear" w:color="auto" w:fill="auto"/>
          </w:tcPr>
          <w:p w14:paraId="71F7A3F6" w14:textId="77777777" w:rsidR="0002298B" w:rsidRPr="00B0658A" w:rsidRDefault="0002298B" w:rsidP="000A4114">
            <w:pPr>
              <w:spacing w:after="0" w:line="240" w:lineRule="auto"/>
              <w:rPr>
                <w:rFonts w:ascii="Times New Roman" w:hAnsi="Times New Roman"/>
                <w:i/>
                <w:iCs/>
                <w:sz w:val="20"/>
                <w:szCs w:val="20"/>
              </w:rPr>
            </w:pPr>
          </w:p>
        </w:tc>
        <w:tc>
          <w:tcPr>
            <w:tcW w:w="1036" w:type="pct"/>
            <w:shd w:val="clear" w:color="auto" w:fill="auto"/>
          </w:tcPr>
          <w:p w14:paraId="445A05A9" w14:textId="77777777" w:rsidR="0002298B" w:rsidRPr="00B0658A" w:rsidRDefault="0002298B" w:rsidP="000A4114">
            <w:pPr>
              <w:spacing w:after="0" w:line="240" w:lineRule="auto"/>
              <w:rPr>
                <w:rFonts w:ascii="Times New Roman" w:hAnsi="Times New Roman"/>
                <w:i/>
                <w:iCs/>
                <w:sz w:val="20"/>
                <w:szCs w:val="20"/>
              </w:rPr>
            </w:pPr>
          </w:p>
        </w:tc>
        <w:tc>
          <w:tcPr>
            <w:tcW w:w="894" w:type="pct"/>
            <w:shd w:val="clear" w:color="auto" w:fill="auto"/>
          </w:tcPr>
          <w:p w14:paraId="4C97F072" w14:textId="77777777" w:rsidR="0002298B" w:rsidRPr="00B0658A" w:rsidRDefault="0002298B" w:rsidP="000A4114">
            <w:pPr>
              <w:spacing w:after="0" w:line="240" w:lineRule="auto"/>
              <w:jc w:val="both"/>
              <w:rPr>
                <w:rFonts w:ascii="Times New Roman" w:hAnsi="Times New Roman"/>
                <w:i/>
                <w:iCs/>
                <w:sz w:val="20"/>
                <w:szCs w:val="20"/>
              </w:rPr>
            </w:pPr>
          </w:p>
        </w:tc>
      </w:tr>
      <w:tr w:rsidR="00F52FED" w:rsidRPr="00B0658A" w14:paraId="44A16044" w14:textId="77777777" w:rsidTr="004F1366">
        <w:trPr>
          <w:trHeight w:val="170"/>
        </w:trPr>
        <w:tc>
          <w:tcPr>
            <w:tcW w:w="203" w:type="pct"/>
            <w:shd w:val="clear" w:color="auto" w:fill="auto"/>
          </w:tcPr>
          <w:p w14:paraId="48055A1A"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20"/>
                <w:szCs w:val="20"/>
              </w:rPr>
              <w:t>7.1</w:t>
            </w:r>
          </w:p>
        </w:tc>
        <w:tc>
          <w:tcPr>
            <w:tcW w:w="1153" w:type="pct"/>
            <w:shd w:val="clear" w:color="auto" w:fill="auto"/>
            <w:vAlign w:val="center"/>
          </w:tcPr>
          <w:p w14:paraId="105E6D8B"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20"/>
                <w:szCs w:val="20"/>
              </w:rPr>
              <w:t xml:space="preserve">Лингвистическое программное обеспечение/ Парсеры </w:t>
            </w:r>
            <w:r w:rsidRPr="00B0658A">
              <w:rPr>
                <w:rFonts w:ascii="Times New Roman" w:hAnsi="Times New Roman"/>
                <w:sz w:val="20"/>
                <w:szCs w:val="20"/>
              </w:rPr>
              <w:br/>
              <w:t>и семантические анализаторы</w:t>
            </w:r>
          </w:p>
        </w:tc>
        <w:tc>
          <w:tcPr>
            <w:tcW w:w="624" w:type="pct"/>
          </w:tcPr>
          <w:p w14:paraId="119D15A9" w14:textId="77777777" w:rsidR="0002298B" w:rsidRPr="00B0658A" w:rsidRDefault="0002298B" w:rsidP="000A4114">
            <w:pPr>
              <w:spacing w:after="0" w:line="240" w:lineRule="auto"/>
              <w:rPr>
                <w:rFonts w:ascii="Times New Roman" w:hAnsi="Times New Roman"/>
                <w:i/>
                <w:iCs/>
                <w:sz w:val="20"/>
                <w:szCs w:val="20"/>
              </w:rPr>
            </w:pPr>
          </w:p>
        </w:tc>
        <w:tc>
          <w:tcPr>
            <w:tcW w:w="1090" w:type="pct"/>
            <w:shd w:val="clear" w:color="auto" w:fill="auto"/>
          </w:tcPr>
          <w:p w14:paraId="5254B5A8" w14:textId="77777777" w:rsidR="0002298B" w:rsidRPr="00B0658A" w:rsidRDefault="0002298B" w:rsidP="000A4114">
            <w:pPr>
              <w:spacing w:after="0" w:line="240" w:lineRule="auto"/>
              <w:rPr>
                <w:rFonts w:ascii="Times New Roman" w:hAnsi="Times New Roman"/>
                <w:i/>
                <w:iCs/>
                <w:sz w:val="20"/>
                <w:szCs w:val="20"/>
              </w:rPr>
            </w:pPr>
          </w:p>
        </w:tc>
        <w:tc>
          <w:tcPr>
            <w:tcW w:w="1036" w:type="pct"/>
            <w:shd w:val="clear" w:color="auto" w:fill="auto"/>
          </w:tcPr>
          <w:p w14:paraId="16C9CFE4" w14:textId="77777777" w:rsidR="0002298B" w:rsidRPr="00B0658A" w:rsidRDefault="0002298B" w:rsidP="000A4114">
            <w:pPr>
              <w:spacing w:after="0" w:line="240" w:lineRule="auto"/>
              <w:rPr>
                <w:rFonts w:ascii="Times New Roman" w:hAnsi="Times New Roman"/>
                <w:i/>
                <w:iCs/>
                <w:sz w:val="20"/>
                <w:szCs w:val="20"/>
              </w:rPr>
            </w:pPr>
          </w:p>
        </w:tc>
        <w:tc>
          <w:tcPr>
            <w:tcW w:w="894" w:type="pct"/>
            <w:shd w:val="clear" w:color="auto" w:fill="auto"/>
          </w:tcPr>
          <w:p w14:paraId="573919D8" w14:textId="77777777" w:rsidR="0002298B" w:rsidRPr="00B0658A" w:rsidRDefault="0002298B" w:rsidP="000A4114">
            <w:pPr>
              <w:spacing w:after="0" w:line="240" w:lineRule="auto"/>
              <w:jc w:val="both"/>
              <w:rPr>
                <w:rFonts w:ascii="Times New Roman" w:hAnsi="Times New Roman"/>
                <w:i/>
                <w:iCs/>
                <w:sz w:val="20"/>
                <w:szCs w:val="20"/>
              </w:rPr>
            </w:pPr>
          </w:p>
        </w:tc>
      </w:tr>
      <w:tr w:rsidR="00F52FED" w:rsidRPr="00B0658A" w14:paraId="0AB7769B" w14:textId="77777777" w:rsidTr="004F1366">
        <w:trPr>
          <w:trHeight w:val="170"/>
        </w:trPr>
        <w:tc>
          <w:tcPr>
            <w:tcW w:w="203" w:type="pct"/>
            <w:shd w:val="clear" w:color="auto" w:fill="auto"/>
          </w:tcPr>
          <w:p w14:paraId="7DF6E0A6"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20"/>
                <w:szCs w:val="20"/>
              </w:rPr>
              <w:t>7.2</w:t>
            </w:r>
          </w:p>
        </w:tc>
        <w:tc>
          <w:tcPr>
            <w:tcW w:w="1153" w:type="pct"/>
            <w:shd w:val="clear" w:color="auto" w:fill="auto"/>
            <w:vAlign w:val="center"/>
          </w:tcPr>
          <w:p w14:paraId="0315393E"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20"/>
                <w:szCs w:val="20"/>
              </w:rPr>
              <w:t>Лингвистическое программное обеспечение/ Средства речевого перевода</w:t>
            </w:r>
          </w:p>
        </w:tc>
        <w:tc>
          <w:tcPr>
            <w:tcW w:w="624" w:type="pct"/>
          </w:tcPr>
          <w:p w14:paraId="6041B997" w14:textId="77777777" w:rsidR="0002298B" w:rsidRPr="00B0658A" w:rsidRDefault="0002298B" w:rsidP="000A4114">
            <w:pPr>
              <w:spacing w:after="0" w:line="240" w:lineRule="auto"/>
              <w:rPr>
                <w:rFonts w:ascii="Times New Roman" w:hAnsi="Times New Roman"/>
                <w:i/>
                <w:iCs/>
                <w:sz w:val="20"/>
                <w:szCs w:val="20"/>
              </w:rPr>
            </w:pPr>
          </w:p>
        </w:tc>
        <w:tc>
          <w:tcPr>
            <w:tcW w:w="1090" w:type="pct"/>
            <w:shd w:val="clear" w:color="auto" w:fill="auto"/>
          </w:tcPr>
          <w:p w14:paraId="5479CD4B" w14:textId="77777777" w:rsidR="0002298B" w:rsidRPr="00B0658A" w:rsidRDefault="0002298B" w:rsidP="000A4114">
            <w:pPr>
              <w:spacing w:after="0" w:line="240" w:lineRule="auto"/>
              <w:rPr>
                <w:rFonts w:ascii="Times New Roman" w:hAnsi="Times New Roman"/>
                <w:i/>
                <w:iCs/>
                <w:sz w:val="20"/>
                <w:szCs w:val="20"/>
              </w:rPr>
            </w:pPr>
          </w:p>
        </w:tc>
        <w:tc>
          <w:tcPr>
            <w:tcW w:w="1036" w:type="pct"/>
            <w:shd w:val="clear" w:color="auto" w:fill="auto"/>
          </w:tcPr>
          <w:p w14:paraId="5FC59541" w14:textId="77777777" w:rsidR="0002298B" w:rsidRPr="00B0658A" w:rsidRDefault="0002298B" w:rsidP="000A4114">
            <w:pPr>
              <w:spacing w:after="0" w:line="240" w:lineRule="auto"/>
              <w:rPr>
                <w:rFonts w:ascii="Times New Roman" w:hAnsi="Times New Roman"/>
                <w:i/>
                <w:iCs/>
                <w:sz w:val="20"/>
                <w:szCs w:val="20"/>
              </w:rPr>
            </w:pPr>
          </w:p>
        </w:tc>
        <w:tc>
          <w:tcPr>
            <w:tcW w:w="894" w:type="pct"/>
            <w:shd w:val="clear" w:color="auto" w:fill="auto"/>
          </w:tcPr>
          <w:p w14:paraId="39FBC4BE" w14:textId="77777777" w:rsidR="0002298B" w:rsidRPr="00B0658A" w:rsidRDefault="0002298B" w:rsidP="000A4114">
            <w:pPr>
              <w:spacing w:after="0" w:line="240" w:lineRule="auto"/>
              <w:jc w:val="both"/>
              <w:rPr>
                <w:rFonts w:ascii="Times New Roman" w:hAnsi="Times New Roman"/>
                <w:i/>
                <w:iCs/>
                <w:sz w:val="20"/>
                <w:szCs w:val="20"/>
              </w:rPr>
            </w:pPr>
          </w:p>
        </w:tc>
      </w:tr>
      <w:tr w:rsidR="00F52FED" w:rsidRPr="00B0658A" w14:paraId="10D2DC39" w14:textId="77777777" w:rsidTr="004F1366">
        <w:trPr>
          <w:trHeight w:val="170"/>
        </w:trPr>
        <w:tc>
          <w:tcPr>
            <w:tcW w:w="203" w:type="pct"/>
            <w:shd w:val="clear" w:color="auto" w:fill="auto"/>
          </w:tcPr>
          <w:p w14:paraId="3B4DDA05"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20"/>
                <w:szCs w:val="20"/>
              </w:rPr>
              <w:t>7.3</w:t>
            </w:r>
          </w:p>
        </w:tc>
        <w:tc>
          <w:tcPr>
            <w:tcW w:w="1153" w:type="pct"/>
            <w:shd w:val="clear" w:color="auto" w:fill="auto"/>
            <w:vAlign w:val="center"/>
          </w:tcPr>
          <w:p w14:paraId="34B1D71F"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20"/>
                <w:szCs w:val="20"/>
              </w:rPr>
              <w:t>Лингвистическое программное обеспечение/ Средства распознавания символов</w:t>
            </w:r>
          </w:p>
        </w:tc>
        <w:tc>
          <w:tcPr>
            <w:tcW w:w="624" w:type="pct"/>
          </w:tcPr>
          <w:p w14:paraId="259689EB" w14:textId="77777777" w:rsidR="0002298B" w:rsidRPr="00B0658A" w:rsidRDefault="0002298B" w:rsidP="000A4114">
            <w:pPr>
              <w:spacing w:after="0" w:line="240" w:lineRule="auto"/>
              <w:rPr>
                <w:rFonts w:ascii="Times New Roman" w:hAnsi="Times New Roman"/>
                <w:i/>
                <w:iCs/>
                <w:sz w:val="20"/>
                <w:szCs w:val="20"/>
              </w:rPr>
            </w:pPr>
          </w:p>
        </w:tc>
        <w:tc>
          <w:tcPr>
            <w:tcW w:w="1090" w:type="pct"/>
            <w:shd w:val="clear" w:color="auto" w:fill="auto"/>
          </w:tcPr>
          <w:p w14:paraId="1B35C50E" w14:textId="77777777" w:rsidR="0002298B" w:rsidRPr="00B0658A" w:rsidRDefault="0002298B" w:rsidP="000A4114">
            <w:pPr>
              <w:spacing w:after="0" w:line="240" w:lineRule="auto"/>
              <w:rPr>
                <w:rFonts w:ascii="Times New Roman" w:hAnsi="Times New Roman"/>
                <w:i/>
                <w:iCs/>
                <w:sz w:val="20"/>
                <w:szCs w:val="20"/>
              </w:rPr>
            </w:pPr>
          </w:p>
        </w:tc>
        <w:tc>
          <w:tcPr>
            <w:tcW w:w="1036" w:type="pct"/>
            <w:shd w:val="clear" w:color="auto" w:fill="auto"/>
          </w:tcPr>
          <w:p w14:paraId="78D564E7" w14:textId="77777777" w:rsidR="0002298B" w:rsidRPr="00B0658A" w:rsidRDefault="0002298B" w:rsidP="000A4114">
            <w:pPr>
              <w:spacing w:after="0" w:line="240" w:lineRule="auto"/>
              <w:rPr>
                <w:rFonts w:ascii="Times New Roman" w:hAnsi="Times New Roman"/>
                <w:i/>
                <w:iCs/>
                <w:sz w:val="20"/>
                <w:szCs w:val="20"/>
              </w:rPr>
            </w:pPr>
          </w:p>
        </w:tc>
        <w:tc>
          <w:tcPr>
            <w:tcW w:w="894" w:type="pct"/>
            <w:shd w:val="clear" w:color="auto" w:fill="auto"/>
          </w:tcPr>
          <w:p w14:paraId="2D8CE250" w14:textId="77777777" w:rsidR="0002298B" w:rsidRPr="00B0658A" w:rsidRDefault="0002298B" w:rsidP="000A4114">
            <w:pPr>
              <w:spacing w:after="0" w:line="240" w:lineRule="auto"/>
              <w:jc w:val="both"/>
              <w:rPr>
                <w:rFonts w:ascii="Times New Roman" w:hAnsi="Times New Roman"/>
                <w:i/>
                <w:iCs/>
                <w:sz w:val="20"/>
                <w:szCs w:val="20"/>
              </w:rPr>
            </w:pPr>
          </w:p>
        </w:tc>
      </w:tr>
      <w:tr w:rsidR="00F52FED" w:rsidRPr="00B0658A" w14:paraId="592ECA94" w14:textId="77777777" w:rsidTr="004F1366">
        <w:trPr>
          <w:trHeight w:val="170"/>
        </w:trPr>
        <w:tc>
          <w:tcPr>
            <w:tcW w:w="203" w:type="pct"/>
            <w:shd w:val="clear" w:color="auto" w:fill="auto"/>
          </w:tcPr>
          <w:p w14:paraId="0457434A"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20"/>
                <w:szCs w:val="20"/>
              </w:rPr>
              <w:t>7.4</w:t>
            </w:r>
          </w:p>
        </w:tc>
        <w:tc>
          <w:tcPr>
            <w:tcW w:w="1153" w:type="pct"/>
            <w:shd w:val="clear" w:color="auto" w:fill="auto"/>
            <w:vAlign w:val="center"/>
          </w:tcPr>
          <w:p w14:paraId="22BD136D"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20"/>
                <w:szCs w:val="20"/>
              </w:rPr>
              <w:t>Лингвистическое программное обеспечение/ Средства распознавания и синтеза речи</w:t>
            </w:r>
          </w:p>
        </w:tc>
        <w:tc>
          <w:tcPr>
            <w:tcW w:w="624" w:type="pct"/>
          </w:tcPr>
          <w:p w14:paraId="4A9EF026" w14:textId="77777777" w:rsidR="0002298B" w:rsidRPr="00B0658A" w:rsidRDefault="0002298B" w:rsidP="000A4114">
            <w:pPr>
              <w:spacing w:after="0" w:line="240" w:lineRule="auto"/>
              <w:rPr>
                <w:rFonts w:ascii="Times New Roman" w:hAnsi="Times New Roman"/>
                <w:i/>
                <w:iCs/>
                <w:sz w:val="20"/>
                <w:szCs w:val="20"/>
              </w:rPr>
            </w:pPr>
          </w:p>
        </w:tc>
        <w:tc>
          <w:tcPr>
            <w:tcW w:w="1090" w:type="pct"/>
            <w:shd w:val="clear" w:color="auto" w:fill="auto"/>
          </w:tcPr>
          <w:p w14:paraId="4E6FBA72" w14:textId="77777777" w:rsidR="0002298B" w:rsidRPr="00B0658A" w:rsidRDefault="0002298B" w:rsidP="000A4114">
            <w:pPr>
              <w:spacing w:after="0" w:line="240" w:lineRule="auto"/>
              <w:rPr>
                <w:rFonts w:ascii="Times New Roman" w:hAnsi="Times New Roman"/>
                <w:i/>
                <w:iCs/>
                <w:sz w:val="20"/>
                <w:szCs w:val="20"/>
              </w:rPr>
            </w:pPr>
          </w:p>
        </w:tc>
        <w:tc>
          <w:tcPr>
            <w:tcW w:w="1036" w:type="pct"/>
            <w:shd w:val="clear" w:color="auto" w:fill="auto"/>
          </w:tcPr>
          <w:p w14:paraId="2F507CAF" w14:textId="77777777" w:rsidR="0002298B" w:rsidRPr="00B0658A" w:rsidRDefault="0002298B" w:rsidP="000A4114">
            <w:pPr>
              <w:spacing w:after="0" w:line="240" w:lineRule="auto"/>
              <w:rPr>
                <w:rFonts w:ascii="Times New Roman" w:hAnsi="Times New Roman"/>
                <w:i/>
                <w:iCs/>
                <w:sz w:val="20"/>
                <w:szCs w:val="20"/>
              </w:rPr>
            </w:pPr>
          </w:p>
        </w:tc>
        <w:tc>
          <w:tcPr>
            <w:tcW w:w="894" w:type="pct"/>
            <w:shd w:val="clear" w:color="auto" w:fill="auto"/>
          </w:tcPr>
          <w:p w14:paraId="3DCC142D" w14:textId="77777777" w:rsidR="0002298B" w:rsidRPr="00B0658A" w:rsidRDefault="0002298B" w:rsidP="000A4114">
            <w:pPr>
              <w:spacing w:after="0" w:line="240" w:lineRule="auto"/>
              <w:jc w:val="both"/>
              <w:rPr>
                <w:rFonts w:ascii="Times New Roman" w:hAnsi="Times New Roman"/>
                <w:i/>
                <w:iCs/>
                <w:sz w:val="20"/>
                <w:szCs w:val="20"/>
              </w:rPr>
            </w:pPr>
          </w:p>
        </w:tc>
      </w:tr>
      <w:tr w:rsidR="00F52FED" w:rsidRPr="00B0658A" w14:paraId="11E54F5C" w14:textId="77777777" w:rsidTr="004F1366">
        <w:trPr>
          <w:trHeight w:val="170"/>
        </w:trPr>
        <w:tc>
          <w:tcPr>
            <w:tcW w:w="203" w:type="pct"/>
            <w:shd w:val="clear" w:color="auto" w:fill="auto"/>
          </w:tcPr>
          <w:p w14:paraId="731E6D80"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20"/>
                <w:szCs w:val="20"/>
              </w:rPr>
              <w:t>7.5</w:t>
            </w:r>
          </w:p>
        </w:tc>
        <w:tc>
          <w:tcPr>
            <w:tcW w:w="1153" w:type="pct"/>
            <w:shd w:val="clear" w:color="auto" w:fill="auto"/>
            <w:vAlign w:val="center"/>
          </w:tcPr>
          <w:p w14:paraId="715BAA41"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20"/>
                <w:szCs w:val="20"/>
              </w:rPr>
              <w:t>Лингвистическое программное обеспечение/ Средства автоматизированного перевода</w:t>
            </w:r>
          </w:p>
        </w:tc>
        <w:tc>
          <w:tcPr>
            <w:tcW w:w="624" w:type="pct"/>
          </w:tcPr>
          <w:p w14:paraId="649F6909" w14:textId="77777777" w:rsidR="0002298B" w:rsidRPr="00B0658A" w:rsidRDefault="0002298B" w:rsidP="000A4114">
            <w:pPr>
              <w:spacing w:after="0" w:line="240" w:lineRule="auto"/>
              <w:rPr>
                <w:rFonts w:ascii="Times New Roman" w:hAnsi="Times New Roman"/>
                <w:i/>
                <w:iCs/>
                <w:sz w:val="20"/>
                <w:szCs w:val="20"/>
              </w:rPr>
            </w:pPr>
          </w:p>
        </w:tc>
        <w:tc>
          <w:tcPr>
            <w:tcW w:w="1090" w:type="pct"/>
            <w:shd w:val="clear" w:color="auto" w:fill="auto"/>
          </w:tcPr>
          <w:p w14:paraId="528D6DFD" w14:textId="77777777" w:rsidR="0002298B" w:rsidRPr="00B0658A" w:rsidRDefault="0002298B" w:rsidP="000A4114">
            <w:pPr>
              <w:spacing w:after="0" w:line="240" w:lineRule="auto"/>
              <w:rPr>
                <w:rFonts w:ascii="Times New Roman" w:hAnsi="Times New Roman"/>
                <w:i/>
                <w:iCs/>
                <w:sz w:val="20"/>
                <w:szCs w:val="20"/>
              </w:rPr>
            </w:pPr>
          </w:p>
        </w:tc>
        <w:tc>
          <w:tcPr>
            <w:tcW w:w="1036" w:type="pct"/>
            <w:shd w:val="clear" w:color="auto" w:fill="auto"/>
          </w:tcPr>
          <w:p w14:paraId="16C15615" w14:textId="77777777" w:rsidR="0002298B" w:rsidRPr="00B0658A" w:rsidRDefault="0002298B" w:rsidP="000A4114">
            <w:pPr>
              <w:spacing w:after="0" w:line="240" w:lineRule="auto"/>
              <w:rPr>
                <w:rFonts w:ascii="Times New Roman" w:hAnsi="Times New Roman"/>
                <w:i/>
                <w:iCs/>
                <w:sz w:val="20"/>
                <w:szCs w:val="20"/>
              </w:rPr>
            </w:pPr>
          </w:p>
        </w:tc>
        <w:tc>
          <w:tcPr>
            <w:tcW w:w="894" w:type="pct"/>
            <w:shd w:val="clear" w:color="auto" w:fill="auto"/>
          </w:tcPr>
          <w:p w14:paraId="12102EEF" w14:textId="77777777" w:rsidR="0002298B" w:rsidRPr="00B0658A" w:rsidRDefault="0002298B" w:rsidP="000A4114">
            <w:pPr>
              <w:spacing w:after="0" w:line="240" w:lineRule="auto"/>
              <w:jc w:val="both"/>
              <w:rPr>
                <w:rFonts w:ascii="Times New Roman" w:hAnsi="Times New Roman"/>
                <w:i/>
                <w:iCs/>
                <w:sz w:val="20"/>
                <w:szCs w:val="20"/>
              </w:rPr>
            </w:pPr>
          </w:p>
        </w:tc>
      </w:tr>
      <w:tr w:rsidR="00F52FED" w:rsidRPr="00B0658A" w14:paraId="6E708843" w14:textId="77777777" w:rsidTr="004F1366">
        <w:trPr>
          <w:trHeight w:val="170"/>
        </w:trPr>
        <w:tc>
          <w:tcPr>
            <w:tcW w:w="203" w:type="pct"/>
            <w:shd w:val="clear" w:color="auto" w:fill="auto"/>
          </w:tcPr>
          <w:p w14:paraId="2522294E"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20"/>
                <w:szCs w:val="20"/>
              </w:rPr>
              <w:t>7.6</w:t>
            </w:r>
          </w:p>
        </w:tc>
        <w:tc>
          <w:tcPr>
            <w:tcW w:w="1153" w:type="pct"/>
            <w:shd w:val="clear" w:color="auto" w:fill="auto"/>
            <w:vAlign w:val="center"/>
          </w:tcPr>
          <w:p w14:paraId="2A97679C"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20"/>
                <w:szCs w:val="20"/>
              </w:rPr>
              <w:t>Лингвистическое программное обеспечение/ Электронные словари</w:t>
            </w:r>
          </w:p>
        </w:tc>
        <w:tc>
          <w:tcPr>
            <w:tcW w:w="624" w:type="pct"/>
          </w:tcPr>
          <w:p w14:paraId="0D6E9016" w14:textId="77777777" w:rsidR="0002298B" w:rsidRPr="00B0658A" w:rsidRDefault="0002298B" w:rsidP="000A4114">
            <w:pPr>
              <w:spacing w:after="0" w:line="240" w:lineRule="auto"/>
              <w:rPr>
                <w:rFonts w:ascii="Times New Roman" w:hAnsi="Times New Roman"/>
                <w:i/>
                <w:iCs/>
                <w:sz w:val="20"/>
                <w:szCs w:val="20"/>
              </w:rPr>
            </w:pPr>
          </w:p>
        </w:tc>
        <w:tc>
          <w:tcPr>
            <w:tcW w:w="1090" w:type="pct"/>
            <w:shd w:val="clear" w:color="auto" w:fill="auto"/>
          </w:tcPr>
          <w:p w14:paraId="659A493F" w14:textId="77777777" w:rsidR="0002298B" w:rsidRPr="00B0658A" w:rsidRDefault="0002298B" w:rsidP="000A4114">
            <w:pPr>
              <w:spacing w:after="0" w:line="240" w:lineRule="auto"/>
              <w:rPr>
                <w:rFonts w:ascii="Times New Roman" w:hAnsi="Times New Roman"/>
                <w:i/>
                <w:iCs/>
                <w:sz w:val="20"/>
                <w:szCs w:val="20"/>
              </w:rPr>
            </w:pPr>
          </w:p>
        </w:tc>
        <w:tc>
          <w:tcPr>
            <w:tcW w:w="1036" w:type="pct"/>
            <w:shd w:val="clear" w:color="auto" w:fill="auto"/>
          </w:tcPr>
          <w:p w14:paraId="6AF8EAFF" w14:textId="77777777" w:rsidR="0002298B" w:rsidRPr="00B0658A" w:rsidRDefault="0002298B" w:rsidP="000A4114">
            <w:pPr>
              <w:spacing w:after="0" w:line="240" w:lineRule="auto"/>
              <w:rPr>
                <w:rFonts w:ascii="Times New Roman" w:hAnsi="Times New Roman"/>
                <w:i/>
                <w:iCs/>
                <w:sz w:val="20"/>
                <w:szCs w:val="20"/>
              </w:rPr>
            </w:pPr>
          </w:p>
        </w:tc>
        <w:tc>
          <w:tcPr>
            <w:tcW w:w="894" w:type="pct"/>
            <w:shd w:val="clear" w:color="auto" w:fill="auto"/>
          </w:tcPr>
          <w:p w14:paraId="6A5C352A" w14:textId="77777777" w:rsidR="0002298B" w:rsidRPr="00B0658A" w:rsidRDefault="0002298B" w:rsidP="000A4114">
            <w:pPr>
              <w:spacing w:after="0" w:line="240" w:lineRule="auto"/>
              <w:jc w:val="both"/>
              <w:rPr>
                <w:rFonts w:ascii="Times New Roman" w:hAnsi="Times New Roman"/>
                <w:i/>
                <w:iCs/>
                <w:sz w:val="20"/>
                <w:szCs w:val="20"/>
              </w:rPr>
            </w:pPr>
          </w:p>
        </w:tc>
      </w:tr>
      <w:tr w:rsidR="00F52FED" w:rsidRPr="00B0658A" w14:paraId="733B72C9" w14:textId="77777777" w:rsidTr="004F1366">
        <w:trPr>
          <w:trHeight w:val="170"/>
        </w:trPr>
        <w:tc>
          <w:tcPr>
            <w:tcW w:w="203" w:type="pct"/>
            <w:shd w:val="clear" w:color="auto" w:fill="auto"/>
          </w:tcPr>
          <w:p w14:paraId="6E2863C7"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20"/>
                <w:szCs w:val="20"/>
              </w:rPr>
              <w:t>7.7</w:t>
            </w:r>
          </w:p>
        </w:tc>
        <w:tc>
          <w:tcPr>
            <w:tcW w:w="1153" w:type="pct"/>
            <w:shd w:val="clear" w:color="auto" w:fill="auto"/>
            <w:vAlign w:val="center"/>
          </w:tcPr>
          <w:p w14:paraId="1E88C9CC"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20"/>
                <w:szCs w:val="20"/>
              </w:rPr>
              <w:t>Лингвистическое программное обеспечение/ Средства проверки правописания</w:t>
            </w:r>
          </w:p>
        </w:tc>
        <w:tc>
          <w:tcPr>
            <w:tcW w:w="624" w:type="pct"/>
          </w:tcPr>
          <w:p w14:paraId="00B25E5F" w14:textId="77777777" w:rsidR="0002298B" w:rsidRPr="00B0658A" w:rsidRDefault="0002298B" w:rsidP="000A4114">
            <w:pPr>
              <w:spacing w:after="0" w:line="240" w:lineRule="auto"/>
              <w:rPr>
                <w:rFonts w:ascii="Times New Roman" w:hAnsi="Times New Roman"/>
                <w:i/>
                <w:iCs/>
                <w:sz w:val="20"/>
                <w:szCs w:val="20"/>
              </w:rPr>
            </w:pPr>
          </w:p>
        </w:tc>
        <w:tc>
          <w:tcPr>
            <w:tcW w:w="1090" w:type="pct"/>
            <w:shd w:val="clear" w:color="auto" w:fill="auto"/>
          </w:tcPr>
          <w:p w14:paraId="55DB0C05" w14:textId="77777777" w:rsidR="0002298B" w:rsidRPr="00B0658A" w:rsidRDefault="0002298B" w:rsidP="000A4114">
            <w:pPr>
              <w:spacing w:after="0" w:line="240" w:lineRule="auto"/>
              <w:rPr>
                <w:rFonts w:ascii="Times New Roman" w:hAnsi="Times New Roman"/>
                <w:i/>
                <w:iCs/>
                <w:sz w:val="20"/>
                <w:szCs w:val="20"/>
              </w:rPr>
            </w:pPr>
          </w:p>
        </w:tc>
        <w:tc>
          <w:tcPr>
            <w:tcW w:w="1036" w:type="pct"/>
            <w:shd w:val="clear" w:color="auto" w:fill="auto"/>
          </w:tcPr>
          <w:p w14:paraId="4F690DC8" w14:textId="77777777" w:rsidR="0002298B" w:rsidRPr="00B0658A" w:rsidRDefault="0002298B" w:rsidP="000A4114">
            <w:pPr>
              <w:spacing w:after="0" w:line="240" w:lineRule="auto"/>
              <w:rPr>
                <w:rFonts w:ascii="Times New Roman" w:hAnsi="Times New Roman"/>
                <w:i/>
                <w:iCs/>
                <w:sz w:val="20"/>
                <w:szCs w:val="20"/>
              </w:rPr>
            </w:pPr>
          </w:p>
        </w:tc>
        <w:tc>
          <w:tcPr>
            <w:tcW w:w="894" w:type="pct"/>
            <w:shd w:val="clear" w:color="auto" w:fill="auto"/>
          </w:tcPr>
          <w:p w14:paraId="0C42A187" w14:textId="77777777" w:rsidR="0002298B" w:rsidRPr="00B0658A" w:rsidRDefault="0002298B" w:rsidP="000A4114">
            <w:pPr>
              <w:spacing w:after="0" w:line="240" w:lineRule="auto"/>
              <w:jc w:val="both"/>
              <w:rPr>
                <w:rFonts w:ascii="Times New Roman" w:hAnsi="Times New Roman"/>
                <w:i/>
                <w:iCs/>
                <w:sz w:val="20"/>
                <w:szCs w:val="20"/>
              </w:rPr>
            </w:pPr>
          </w:p>
        </w:tc>
      </w:tr>
      <w:tr w:rsidR="00F52FED" w:rsidRPr="00B0658A" w14:paraId="6CD4D2D6" w14:textId="77777777" w:rsidTr="004F1366">
        <w:trPr>
          <w:trHeight w:val="170"/>
        </w:trPr>
        <w:tc>
          <w:tcPr>
            <w:tcW w:w="203" w:type="pct"/>
            <w:shd w:val="clear" w:color="auto" w:fill="auto"/>
          </w:tcPr>
          <w:p w14:paraId="4AAF7271"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20"/>
                <w:szCs w:val="20"/>
              </w:rPr>
              <w:t>8.1</w:t>
            </w:r>
          </w:p>
        </w:tc>
        <w:tc>
          <w:tcPr>
            <w:tcW w:w="1153" w:type="pct"/>
            <w:shd w:val="clear" w:color="auto" w:fill="auto"/>
            <w:vAlign w:val="center"/>
          </w:tcPr>
          <w:p w14:paraId="47C648C5"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20"/>
                <w:szCs w:val="20"/>
              </w:rPr>
              <w:t xml:space="preserve">Промышленное программное обеспечение/ Средства управления жизненным циклом изделия (PLM) </w:t>
            </w:r>
          </w:p>
        </w:tc>
        <w:tc>
          <w:tcPr>
            <w:tcW w:w="624" w:type="pct"/>
          </w:tcPr>
          <w:p w14:paraId="1CE280BD" w14:textId="77777777" w:rsidR="0002298B" w:rsidRPr="00B0658A" w:rsidRDefault="0002298B" w:rsidP="000A4114">
            <w:pPr>
              <w:spacing w:after="0" w:line="240" w:lineRule="auto"/>
              <w:rPr>
                <w:rFonts w:ascii="Times New Roman" w:hAnsi="Times New Roman"/>
                <w:i/>
                <w:iCs/>
                <w:sz w:val="20"/>
                <w:szCs w:val="20"/>
              </w:rPr>
            </w:pPr>
          </w:p>
        </w:tc>
        <w:tc>
          <w:tcPr>
            <w:tcW w:w="1090" w:type="pct"/>
            <w:shd w:val="clear" w:color="auto" w:fill="auto"/>
          </w:tcPr>
          <w:p w14:paraId="38719DF7" w14:textId="77777777" w:rsidR="0002298B" w:rsidRPr="00B0658A" w:rsidRDefault="0002298B" w:rsidP="000A4114">
            <w:pPr>
              <w:spacing w:after="0" w:line="240" w:lineRule="auto"/>
              <w:rPr>
                <w:rFonts w:ascii="Times New Roman" w:hAnsi="Times New Roman"/>
                <w:i/>
                <w:iCs/>
                <w:sz w:val="20"/>
                <w:szCs w:val="20"/>
              </w:rPr>
            </w:pPr>
          </w:p>
        </w:tc>
        <w:tc>
          <w:tcPr>
            <w:tcW w:w="1036" w:type="pct"/>
            <w:shd w:val="clear" w:color="auto" w:fill="auto"/>
          </w:tcPr>
          <w:p w14:paraId="79C5D542" w14:textId="77777777" w:rsidR="0002298B" w:rsidRPr="00B0658A" w:rsidRDefault="0002298B" w:rsidP="000A4114">
            <w:pPr>
              <w:spacing w:after="0" w:line="240" w:lineRule="auto"/>
              <w:rPr>
                <w:rFonts w:ascii="Times New Roman" w:hAnsi="Times New Roman"/>
                <w:i/>
                <w:iCs/>
                <w:sz w:val="20"/>
                <w:szCs w:val="20"/>
              </w:rPr>
            </w:pPr>
          </w:p>
        </w:tc>
        <w:tc>
          <w:tcPr>
            <w:tcW w:w="894" w:type="pct"/>
            <w:shd w:val="clear" w:color="auto" w:fill="auto"/>
          </w:tcPr>
          <w:p w14:paraId="35933E96" w14:textId="77777777" w:rsidR="0002298B" w:rsidRPr="00B0658A" w:rsidRDefault="0002298B" w:rsidP="000A4114">
            <w:pPr>
              <w:spacing w:after="0" w:line="240" w:lineRule="auto"/>
              <w:jc w:val="both"/>
              <w:rPr>
                <w:rFonts w:ascii="Times New Roman" w:hAnsi="Times New Roman"/>
                <w:i/>
                <w:iCs/>
                <w:sz w:val="20"/>
                <w:szCs w:val="20"/>
              </w:rPr>
            </w:pPr>
          </w:p>
        </w:tc>
      </w:tr>
      <w:tr w:rsidR="00F52FED" w:rsidRPr="00B0658A" w14:paraId="7CF34AE1" w14:textId="77777777" w:rsidTr="004F1366">
        <w:trPr>
          <w:trHeight w:val="170"/>
        </w:trPr>
        <w:tc>
          <w:tcPr>
            <w:tcW w:w="203" w:type="pct"/>
            <w:shd w:val="clear" w:color="auto" w:fill="auto"/>
          </w:tcPr>
          <w:p w14:paraId="3BA94D7C"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20"/>
                <w:szCs w:val="20"/>
              </w:rPr>
              <w:t>8.2</w:t>
            </w:r>
          </w:p>
        </w:tc>
        <w:tc>
          <w:tcPr>
            <w:tcW w:w="1153" w:type="pct"/>
            <w:shd w:val="clear" w:color="auto" w:fill="auto"/>
            <w:vAlign w:val="center"/>
          </w:tcPr>
          <w:p w14:paraId="690E5DB2"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20"/>
                <w:szCs w:val="20"/>
              </w:rPr>
              <w:t>Промышленное программное обеспечение/ Универсальные машиностроительные средства автоматизированного проектирования (MCAD)</w:t>
            </w:r>
          </w:p>
        </w:tc>
        <w:tc>
          <w:tcPr>
            <w:tcW w:w="624" w:type="pct"/>
          </w:tcPr>
          <w:p w14:paraId="672D52B9" w14:textId="77777777" w:rsidR="0002298B" w:rsidRPr="00B0658A" w:rsidRDefault="0002298B" w:rsidP="000A4114">
            <w:pPr>
              <w:spacing w:after="0" w:line="240" w:lineRule="auto"/>
              <w:rPr>
                <w:rFonts w:ascii="Times New Roman" w:hAnsi="Times New Roman"/>
                <w:i/>
                <w:iCs/>
                <w:sz w:val="20"/>
                <w:szCs w:val="20"/>
              </w:rPr>
            </w:pPr>
          </w:p>
        </w:tc>
        <w:tc>
          <w:tcPr>
            <w:tcW w:w="1090" w:type="pct"/>
            <w:shd w:val="clear" w:color="auto" w:fill="auto"/>
          </w:tcPr>
          <w:p w14:paraId="50CB73F9" w14:textId="77777777" w:rsidR="0002298B" w:rsidRPr="00B0658A" w:rsidRDefault="0002298B" w:rsidP="000A4114">
            <w:pPr>
              <w:spacing w:after="0" w:line="240" w:lineRule="auto"/>
              <w:rPr>
                <w:rFonts w:ascii="Times New Roman" w:hAnsi="Times New Roman"/>
                <w:i/>
                <w:iCs/>
                <w:sz w:val="20"/>
                <w:szCs w:val="20"/>
              </w:rPr>
            </w:pPr>
          </w:p>
        </w:tc>
        <w:tc>
          <w:tcPr>
            <w:tcW w:w="1036" w:type="pct"/>
            <w:shd w:val="clear" w:color="auto" w:fill="auto"/>
          </w:tcPr>
          <w:p w14:paraId="282CFF76" w14:textId="77777777" w:rsidR="0002298B" w:rsidRPr="00B0658A" w:rsidRDefault="0002298B" w:rsidP="000A4114">
            <w:pPr>
              <w:spacing w:after="0" w:line="240" w:lineRule="auto"/>
              <w:rPr>
                <w:rFonts w:ascii="Times New Roman" w:hAnsi="Times New Roman"/>
                <w:i/>
                <w:iCs/>
                <w:sz w:val="20"/>
                <w:szCs w:val="20"/>
              </w:rPr>
            </w:pPr>
          </w:p>
        </w:tc>
        <w:tc>
          <w:tcPr>
            <w:tcW w:w="894" w:type="pct"/>
            <w:shd w:val="clear" w:color="auto" w:fill="auto"/>
          </w:tcPr>
          <w:p w14:paraId="615109D6" w14:textId="77777777" w:rsidR="0002298B" w:rsidRPr="00B0658A" w:rsidRDefault="0002298B" w:rsidP="000A4114">
            <w:pPr>
              <w:spacing w:after="0" w:line="240" w:lineRule="auto"/>
              <w:jc w:val="both"/>
              <w:rPr>
                <w:rFonts w:ascii="Times New Roman" w:hAnsi="Times New Roman"/>
                <w:i/>
                <w:iCs/>
                <w:sz w:val="20"/>
                <w:szCs w:val="20"/>
              </w:rPr>
            </w:pPr>
          </w:p>
        </w:tc>
      </w:tr>
      <w:tr w:rsidR="00F52FED" w:rsidRPr="00B0658A" w14:paraId="00457F8C" w14:textId="77777777" w:rsidTr="004F1366">
        <w:trPr>
          <w:trHeight w:val="170"/>
        </w:trPr>
        <w:tc>
          <w:tcPr>
            <w:tcW w:w="203" w:type="pct"/>
            <w:shd w:val="clear" w:color="auto" w:fill="auto"/>
          </w:tcPr>
          <w:p w14:paraId="1C8C8869"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20"/>
                <w:szCs w:val="20"/>
              </w:rPr>
              <w:t>8.3</w:t>
            </w:r>
          </w:p>
        </w:tc>
        <w:tc>
          <w:tcPr>
            <w:tcW w:w="1153" w:type="pct"/>
            <w:shd w:val="clear" w:color="auto" w:fill="auto"/>
            <w:vAlign w:val="center"/>
          </w:tcPr>
          <w:p w14:paraId="5659E28F"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20"/>
                <w:szCs w:val="20"/>
              </w:rPr>
              <w:t>Промышленное программное обеспечение/ Средства автоматизированного проектирования (CAD)</w:t>
            </w:r>
          </w:p>
        </w:tc>
        <w:tc>
          <w:tcPr>
            <w:tcW w:w="624" w:type="pct"/>
          </w:tcPr>
          <w:p w14:paraId="51556D8D" w14:textId="77777777" w:rsidR="0002298B" w:rsidRPr="00B0658A" w:rsidRDefault="0002298B" w:rsidP="000A4114">
            <w:pPr>
              <w:spacing w:after="0" w:line="240" w:lineRule="auto"/>
              <w:rPr>
                <w:rFonts w:ascii="Times New Roman" w:hAnsi="Times New Roman"/>
                <w:i/>
                <w:iCs/>
                <w:sz w:val="20"/>
                <w:szCs w:val="20"/>
              </w:rPr>
            </w:pPr>
          </w:p>
        </w:tc>
        <w:tc>
          <w:tcPr>
            <w:tcW w:w="1090" w:type="pct"/>
            <w:shd w:val="clear" w:color="auto" w:fill="auto"/>
          </w:tcPr>
          <w:p w14:paraId="55589FC0" w14:textId="77777777" w:rsidR="0002298B" w:rsidRPr="00B0658A" w:rsidRDefault="0002298B" w:rsidP="000A4114">
            <w:pPr>
              <w:spacing w:after="0" w:line="240" w:lineRule="auto"/>
              <w:rPr>
                <w:rFonts w:ascii="Times New Roman" w:hAnsi="Times New Roman"/>
                <w:i/>
                <w:iCs/>
                <w:sz w:val="20"/>
                <w:szCs w:val="20"/>
              </w:rPr>
            </w:pPr>
          </w:p>
        </w:tc>
        <w:tc>
          <w:tcPr>
            <w:tcW w:w="1036" w:type="pct"/>
            <w:shd w:val="clear" w:color="auto" w:fill="auto"/>
          </w:tcPr>
          <w:p w14:paraId="43F5674F" w14:textId="77777777" w:rsidR="0002298B" w:rsidRPr="00B0658A" w:rsidRDefault="0002298B" w:rsidP="000A4114">
            <w:pPr>
              <w:spacing w:after="0" w:line="240" w:lineRule="auto"/>
              <w:rPr>
                <w:rFonts w:ascii="Times New Roman" w:hAnsi="Times New Roman"/>
                <w:i/>
                <w:iCs/>
                <w:sz w:val="20"/>
                <w:szCs w:val="20"/>
              </w:rPr>
            </w:pPr>
          </w:p>
        </w:tc>
        <w:tc>
          <w:tcPr>
            <w:tcW w:w="894" w:type="pct"/>
            <w:shd w:val="clear" w:color="auto" w:fill="auto"/>
          </w:tcPr>
          <w:p w14:paraId="38892461" w14:textId="77777777" w:rsidR="0002298B" w:rsidRPr="00B0658A" w:rsidRDefault="0002298B" w:rsidP="000A4114">
            <w:pPr>
              <w:spacing w:after="0" w:line="240" w:lineRule="auto"/>
              <w:jc w:val="both"/>
              <w:rPr>
                <w:rFonts w:ascii="Times New Roman" w:hAnsi="Times New Roman"/>
                <w:i/>
                <w:iCs/>
                <w:sz w:val="20"/>
                <w:szCs w:val="20"/>
              </w:rPr>
            </w:pPr>
          </w:p>
        </w:tc>
      </w:tr>
      <w:tr w:rsidR="00F52FED" w:rsidRPr="00B0658A" w14:paraId="702233E9" w14:textId="77777777" w:rsidTr="004F1366">
        <w:trPr>
          <w:trHeight w:val="170"/>
        </w:trPr>
        <w:tc>
          <w:tcPr>
            <w:tcW w:w="203" w:type="pct"/>
            <w:shd w:val="clear" w:color="auto" w:fill="auto"/>
          </w:tcPr>
          <w:p w14:paraId="053ADD54"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20"/>
                <w:szCs w:val="20"/>
              </w:rPr>
              <w:t>8.4</w:t>
            </w:r>
          </w:p>
        </w:tc>
        <w:tc>
          <w:tcPr>
            <w:tcW w:w="1153" w:type="pct"/>
            <w:shd w:val="clear" w:color="auto" w:fill="auto"/>
            <w:vAlign w:val="center"/>
          </w:tcPr>
          <w:p w14:paraId="3E498D39"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20"/>
                <w:szCs w:val="20"/>
              </w:rPr>
              <w:t xml:space="preserve">Промышленное программное обеспечение/ Средства автоматизированного проектирования для радиоэлектроники </w:t>
            </w:r>
            <w:r w:rsidRPr="00B0658A">
              <w:rPr>
                <w:rFonts w:ascii="Times New Roman" w:hAnsi="Times New Roman"/>
                <w:sz w:val="20"/>
                <w:szCs w:val="20"/>
              </w:rPr>
              <w:br/>
              <w:t>и электротехники (ECAD, EDA)</w:t>
            </w:r>
          </w:p>
        </w:tc>
        <w:tc>
          <w:tcPr>
            <w:tcW w:w="624" w:type="pct"/>
          </w:tcPr>
          <w:p w14:paraId="26BBA447" w14:textId="77777777" w:rsidR="0002298B" w:rsidRPr="00B0658A" w:rsidRDefault="0002298B" w:rsidP="000A4114">
            <w:pPr>
              <w:spacing w:after="0" w:line="240" w:lineRule="auto"/>
              <w:rPr>
                <w:rFonts w:ascii="Times New Roman" w:hAnsi="Times New Roman"/>
                <w:i/>
                <w:iCs/>
                <w:sz w:val="20"/>
                <w:szCs w:val="20"/>
              </w:rPr>
            </w:pPr>
          </w:p>
        </w:tc>
        <w:tc>
          <w:tcPr>
            <w:tcW w:w="1090" w:type="pct"/>
            <w:shd w:val="clear" w:color="auto" w:fill="auto"/>
          </w:tcPr>
          <w:p w14:paraId="0799FFF4" w14:textId="77777777" w:rsidR="0002298B" w:rsidRPr="00B0658A" w:rsidRDefault="0002298B" w:rsidP="000A4114">
            <w:pPr>
              <w:spacing w:after="0" w:line="240" w:lineRule="auto"/>
              <w:rPr>
                <w:rFonts w:ascii="Times New Roman" w:hAnsi="Times New Roman"/>
                <w:i/>
                <w:iCs/>
                <w:sz w:val="20"/>
                <w:szCs w:val="20"/>
              </w:rPr>
            </w:pPr>
          </w:p>
        </w:tc>
        <w:tc>
          <w:tcPr>
            <w:tcW w:w="1036" w:type="pct"/>
            <w:shd w:val="clear" w:color="auto" w:fill="auto"/>
          </w:tcPr>
          <w:p w14:paraId="39FCE40C" w14:textId="77777777" w:rsidR="0002298B" w:rsidRPr="00B0658A" w:rsidRDefault="0002298B" w:rsidP="000A4114">
            <w:pPr>
              <w:spacing w:after="0" w:line="240" w:lineRule="auto"/>
              <w:rPr>
                <w:rFonts w:ascii="Times New Roman" w:hAnsi="Times New Roman"/>
                <w:i/>
                <w:iCs/>
                <w:sz w:val="20"/>
                <w:szCs w:val="20"/>
              </w:rPr>
            </w:pPr>
          </w:p>
        </w:tc>
        <w:tc>
          <w:tcPr>
            <w:tcW w:w="894" w:type="pct"/>
            <w:shd w:val="clear" w:color="auto" w:fill="auto"/>
          </w:tcPr>
          <w:p w14:paraId="35C560E0" w14:textId="77777777" w:rsidR="0002298B" w:rsidRPr="00B0658A" w:rsidRDefault="0002298B" w:rsidP="000A4114">
            <w:pPr>
              <w:spacing w:after="0" w:line="240" w:lineRule="auto"/>
              <w:jc w:val="both"/>
              <w:rPr>
                <w:rFonts w:ascii="Times New Roman" w:hAnsi="Times New Roman"/>
                <w:i/>
                <w:iCs/>
                <w:sz w:val="20"/>
                <w:szCs w:val="20"/>
              </w:rPr>
            </w:pPr>
          </w:p>
        </w:tc>
      </w:tr>
      <w:tr w:rsidR="00F52FED" w:rsidRPr="00B0658A" w14:paraId="2EBEA963" w14:textId="77777777" w:rsidTr="004F1366">
        <w:trPr>
          <w:trHeight w:val="170"/>
        </w:trPr>
        <w:tc>
          <w:tcPr>
            <w:tcW w:w="203" w:type="pct"/>
            <w:shd w:val="clear" w:color="auto" w:fill="auto"/>
          </w:tcPr>
          <w:p w14:paraId="6B2E56DF"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20"/>
                <w:szCs w:val="20"/>
              </w:rPr>
              <w:t>8.5</w:t>
            </w:r>
          </w:p>
        </w:tc>
        <w:tc>
          <w:tcPr>
            <w:tcW w:w="1153" w:type="pct"/>
            <w:shd w:val="clear" w:color="auto" w:fill="auto"/>
            <w:vAlign w:val="center"/>
          </w:tcPr>
          <w:p w14:paraId="6BC79222"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20"/>
                <w:szCs w:val="20"/>
              </w:rPr>
              <w:t>Промышленное программное обеспечение/ Средства инженерного анализа (CAE)</w:t>
            </w:r>
          </w:p>
        </w:tc>
        <w:tc>
          <w:tcPr>
            <w:tcW w:w="624" w:type="pct"/>
          </w:tcPr>
          <w:p w14:paraId="623E1C8F" w14:textId="77777777" w:rsidR="0002298B" w:rsidRPr="00B0658A" w:rsidRDefault="0002298B" w:rsidP="000A4114">
            <w:pPr>
              <w:spacing w:after="0" w:line="240" w:lineRule="auto"/>
              <w:rPr>
                <w:rFonts w:ascii="Times New Roman" w:hAnsi="Times New Roman"/>
                <w:i/>
                <w:iCs/>
                <w:sz w:val="20"/>
                <w:szCs w:val="20"/>
              </w:rPr>
            </w:pPr>
          </w:p>
        </w:tc>
        <w:tc>
          <w:tcPr>
            <w:tcW w:w="1090" w:type="pct"/>
            <w:shd w:val="clear" w:color="auto" w:fill="auto"/>
          </w:tcPr>
          <w:p w14:paraId="03DA7DAF" w14:textId="77777777" w:rsidR="0002298B" w:rsidRPr="00B0658A" w:rsidRDefault="0002298B" w:rsidP="000A4114">
            <w:pPr>
              <w:spacing w:after="0" w:line="240" w:lineRule="auto"/>
              <w:rPr>
                <w:rFonts w:ascii="Times New Roman" w:hAnsi="Times New Roman"/>
                <w:i/>
                <w:iCs/>
                <w:sz w:val="20"/>
                <w:szCs w:val="20"/>
              </w:rPr>
            </w:pPr>
          </w:p>
        </w:tc>
        <w:tc>
          <w:tcPr>
            <w:tcW w:w="1036" w:type="pct"/>
            <w:shd w:val="clear" w:color="auto" w:fill="auto"/>
          </w:tcPr>
          <w:p w14:paraId="70144CFB" w14:textId="77777777" w:rsidR="0002298B" w:rsidRPr="00B0658A" w:rsidRDefault="0002298B" w:rsidP="000A4114">
            <w:pPr>
              <w:spacing w:after="0" w:line="240" w:lineRule="auto"/>
              <w:rPr>
                <w:rFonts w:ascii="Times New Roman" w:hAnsi="Times New Roman"/>
                <w:i/>
                <w:iCs/>
                <w:sz w:val="20"/>
                <w:szCs w:val="20"/>
              </w:rPr>
            </w:pPr>
          </w:p>
        </w:tc>
        <w:tc>
          <w:tcPr>
            <w:tcW w:w="894" w:type="pct"/>
            <w:shd w:val="clear" w:color="auto" w:fill="auto"/>
          </w:tcPr>
          <w:p w14:paraId="55DA320B" w14:textId="77777777" w:rsidR="0002298B" w:rsidRPr="00B0658A" w:rsidRDefault="0002298B" w:rsidP="000A4114">
            <w:pPr>
              <w:spacing w:after="0" w:line="240" w:lineRule="auto"/>
              <w:jc w:val="both"/>
              <w:rPr>
                <w:rFonts w:ascii="Times New Roman" w:hAnsi="Times New Roman"/>
                <w:i/>
                <w:iCs/>
                <w:sz w:val="20"/>
                <w:szCs w:val="20"/>
              </w:rPr>
            </w:pPr>
          </w:p>
        </w:tc>
      </w:tr>
      <w:tr w:rsidR="00F52FED" w:rsidRPr="00B0658A" w14:paraId="749F186B" w14:textId="77777777" w:rsidTr="004F1366">
        <w:trPr>
          <w:trHeight w:val="170"/>
        </w:trPr>
        <w:tc>
          <w:tcPr>
            <w:tcW w:w="203" w:type="pct"/>
            <w:shd w:val="clear" w:color="auto" w:fill="auto"/>
          </w:tcPr>
          <w:p w14:paraId="63750930"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20"/>
                <w:szCs w:val="20"/>
              </w:rPr>
              <w:t>8.6</w:t>
            </w:r>
          </w:p>
        </w:tc>
        <w:tc>
          <w:tcPr>
            <w:tcW w:w="1153" w:type="pct"/>
            <w:shd w:val="clear" w:color="auto" w:fill="auto"/>
            <w:vAlign w:val="center"/>
          </w:tcPr>
          <w:p w14:paraId="1BEE688E"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20"/>
                <w:szCs w:val="20"/>
              </w:rPr>
              <w:t>Промышленное программное обеспечение/ Средства управления оборудованием с числовым программным управлением (CAM)</w:t>
            </w:r>
          </w:p>
        </w:tc>
        <w:tc>
          <w:tcPr>
            <w:tcW w:w="624" w:type="pct"/>
          </w:tcPr>
          <w:p w14:paraId="242DDB91" w14:textId="77777777" w:rsidR="0002298B" w:rsidRPr="00B0658A" w:rsidRDefault="0002298B" w:rsidP="000A4114">
            <w:pPr>
              <w:spacing w:after="0" w:line="240" w:lineRule="auto"/>
              <w:rPr>
                <w:rFonts w:ascii="Times New Roman" w:hAnsi="Times New Roman"/>
                <w:i/>
                <w:iCs/>
                <w:sz w:val="20"/>
                <w:szCs w:val="20"/>
              </w:rPr>
            </w:pPr>
          </w:p>
        </w:tc>
        <w:tc>
          <w:tcPr>
            <w:tcW w:w="1090" w:type="pct"/>
            <w:shd w:val="clear" w:color="auto" w:fill="auto"/>
          </w:tcPr>
          <w:p w14:paraId="0E4D0433" w14:textId="77777777" w:rsidR="0002298B" w:rsidRPr="00B0658A" w:rsidRDefault="0002298B" w:rsidP="000A4114">
            <w:pPr>
              <w:spacing w:after="0" w:line="240" w:lineRule="auto"/>
              <w:rPr>
                <w:rFonts w:ascii="Times New Roman" w:hAnsi="Times New Roman"/>
                <w:i/>
                <w:iCs/>
                <w:sz w:val="20"/>
                <w:szCs w:val="20"/>
              </w:rPr>
            </w:pPr>
          </w:p>
        </w:tc>
        <w:tc>
          <w:tcPr>
            <w:tcW w:w="1036" w:type="pct"/>
            <w:shd w:val="clear" w:color="auto" w:fill="auto"/>
          </w:tcPr>
          <w:p w14:paraId="3BA6C6AF" w14:textId="77777777" w:rsidR="0002298B" w:rsidRPr="00B0658A" w:rsidRDefault="0002298B" w:rsidP="000A4114">
            <w:pPr>
              <w:spacing w:after="0" w:line="240" w:lineRule="auto"/>
              <w:rPr>
                <w:rFonts w:ascii="Times New Roman" w:hAnsi="Times New Roman"/>
                <w:i/>
                <w:iCs/>
                <w:sz w:val="20"/>
                <w:szCs w:val="20"/>
              </w:rPr>
            </w:pPr>
          </w:p>
        </w:tc>
        <w:tc>
          <w:tcPr>
            <w:tcW w:w="894" w:type="pct"/>
            <w:shd w:val="clear" w:color="auto" w:fill="auto"/>
          </w:tcPr>
          <w:p w14:paraId="0820FD39" w14:textId="77777777" w:rsidR="0002298B" w:rsidRPr="00B0658A" w:rsidRDefault="0002298B" w:rsidP="000A4114">
            <w:pPr>
              <w:spacing w:after="0" w:line="240" w:lineRule="auto"/>
              <w:jc w:val="both"/>
              <w:rPr>
                <w:rFonts w:ascii="Times New Roman" w:hAnsi="Times New Roman"/>
                <w:i/>
                <w:iCs/>
                <w:sz w:val="20"/>
                <w:szCs w:val="20"/>
              </w:rPr>
            </w:pPr>
          </w:p>
        </w:tc>
      </w:tr>
      <w:tr w:rsidR="00F52FED" w:rsidRPr="00B0658A" w14:paraId="2BEC1651" w14:textId="77777777" w:rsidTr="004F1366">
        <w:trPr>
          <w:trHeight w:val="170"/>
        </w:trPr>
        <w:tc>
          <w:tcPr>
            <w:tcW w:w="203" w:type="pct"/>
            <w:shd w:val="clear" w:color="auto" w:fill="auto"/>
          </w:tcPr>
          <w:p w14:paraId="1678C13A"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20"/>
                <w:szCs w:val="20"/>
              </w:rPr>
              <w:t>8.7</w:t>
            </w:r>
          </w:p>
        </w:tc>
        <w:tc>
          <w:tcPr>
            <w:tcW w:w="1153" w:type="pct"/>
            <w:shd w:val="clear" w:color="auto" w:fill="auto"/>
            <w:vAlign w:val="center"/>
          </w:tcPr>
          <w:p w14:paraId="31998764"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20"/>
                <w:szCs w:val="20"/>
              </w:rPr>
              <w:t>Промышленное программное обеспечение/ Средства технологической подготовки производства (CAPP)</w:t>
            </w:r>
          </w:p>
        </w:tc>
        <w:tc>
          <w:tcPr>
            <w:tcW w:w="624" w:type="pct"/>
          </w:tcPr>
          <w:p w14:paraId="69EBDF71" w14:textId="77777777" w:rsidR="0002298B" w:rsidRPr="00B0658A" w:rsidRDefault="0002298B" w:rsidP="000A4114">
            <w:pPr>
              <w:spacing w:after="0" w:line="240" w:lineRule="auto"/>
              <w:rPr>
                <w:rFonts w:ascii="Times New Roman" w:hAnsi="Times New Roman"/>
                <w:i/>
                <w:iCs/>
                <w:sz w:val="20"/>
                <w:szCs w:val="20"/>
              </w:rPr>
            </w:pPr>
          </w:p>
        </w:tc>
        <w:tc>
          <w:tcPr>
            <w:tcW w:w="1090" w:type="pct"/>
            <w:shd w:val="clear" w:color="auto" w:fill="auto"/>
          </w:tcPr>
          <w:p w14:paraId="18E7E345" w14:textId="77777777" w:rsidR="0002298B" w:rsidRPr="00B0658A" w:rsidRDefault="0002298B" w:rsidP="000A4114">
            <w:pPr>
              <w:spacing w:after="0" w:line="240" w:lineRule="auto"/>
              <w:rPr>
                <w:rFonts w:ascii="Times New Roman" w:hAnsi="Times New Roman"/>
                <w:i/>
                <w:iCs/>
                <w:sz w:val="20"/>
                <w:szCs w:val="20"/>
              </w:rPr>
            </w:pPr>
          </w:p>
        </w:tc>
        <w:tc>
          <w:tcPr>
            <w:tcW w:w="1036" w:type="pct"/>
            <w:shd w:val="clear" w:color="auto" w:fill="auto"/>
          </w:tcPr>
          <w:p w14:paraId="13069327" w14:textId="77777777" w:rsidR="0002298B" w:rsidRPr="00B0658A" w:rsidRDefault="0002298B" w:rsidP="000A4114">
            <w:pPr>
              <w:spacing w:after="0" w:line="240" w:lineRule="auto"/>
              <w:rPr>
                <w:rFonts w:ascii="Times New Roman" w:hAnsi="Times New Roman"/>
                <w:i/>
                <w:iCs/>
                <w:sz w:val="20"/>
                <w:szCs w:val="20"/>
              </w:rPr>
            </w:pPr>
          </w:p>
        </w:tc>
        <w:tc>
          <w:tcPr>
            <w:tcW w:w="894" w:type="pct"/>
            <w:shd w:val="clear" w:color="auto" w:fill="auto"/>
          </w:tcPr>
          <w:p w14:paraId="7E4804C6" w14:textId="77777777" w:rsidR="0002298B" w:rsidRPr="00B0658A" w:rsidRDefault="0002298B" w:rsidP="000A4114">
            <w:pPr>
              <w:spacing w:after="0" w:line="240" w:lineRule="auto"/>
              <w:jc w:val="both"/>
              <w:rPr>
                <w:rFonts w:ascii="Times New Roman" w:hAnsi="Times New Roman"/>
                <w:i/>
                <w:iCs/>
                <w:sz w:val="20"/>
                <w:szCs w:val="20"/>
              </w:rPr>
            </w:pPr>
          </w:p>
        </w:tc>
      </w:tr>
      <w:tr w:rsidR="00F52FED" w:rsidRPr="00B0658A" w14:paraId="6C33D144" w14:textId="77777777" w:rsidTr="004F1366">
        <w:trPr>
          <w:trHeight w:val="170"/>
        </w:trPr>
        <w:tc>
          <w:tcPr>
            <w:tcW w:w="203" w:type="pct"/>
            <w:shd w:val="clear" w:color="auto" w:fill="auto"/>
          </w:tcPr>
          <w:p w14:paraId="1B20FAF8"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20"/>
                <w:szCs w:val="20"/>
              </w:rPr>
              <w:t>8.8</w:t>
            </w:r>
          </w:p>
        </w:tc>
        <w:tc>
          <w:tcPr>
            <w:tcW w:w="1153" w:type="pct"/>
            <w:shd w:val="clear" w:color="auto" w:fill="auto"/>
            <w:vAlign w:val="center"/>
          </w:tcPr>
          <w:p w14:paraId="5B48B1E4"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20"/>
                <w:szCs w:val="20"/>
              </w:rPr>
              <w:t xml:space="preserve">Промышленное программное обеспечение/ Средства управления инженерными данными </w:t>
            </w:r>
            <w:r w:rsidRPr="00B0658A">
              <w:rPr>
                <w:rFonts w:ascii="Times New Roman" w:hAnsi="Times New Roman"/>
                <w:sz w:val="20"/>
                <w:szCs w:val="20"/>
              </w:rPr>
              <w:br/>
              <w:t>об изделии (PDM)</w:t>
            </w:r>
          </w:p>
        </w:tc>
        <w:tc>
          <w:tcPr>
            <w:tcW w:w="624" w:type="pct"/>
          </w:tcPr>
          <w:p w14:paraId="0EDD61B5" w14:textId="77777777" w:rsidR="0002298B" w:rsidRPr="00B0658A" w:rsidRDefault="0002298B" w:rsidP="000A4114">
            <w:pPr>
              <w:spacing w:after="0" w:line="240" w:lineRule="auto"/>
              <w:rPr>
                <w:rFonts w:ascii="Times New Roman" w:hAnsi="Times New Roman"/>
                <w:i/>
                <w:iCs/>
                <w:sz w:val="20"/>
                <w:szCs w:val="20"/>
              </w:rPr>
            </w:pPr>
          </w:p>
        </w:tc>
        <w:tc>
          <w:tcPr>
            <w:tcW w:w="1090" w:type="pct"/>
            <w:shd w:val="clear" w:color="auto" w:fill="auto"/>
          </w:tcPr>
          <w:p w14:paraId="5DFA031E" w14:textId="77777777" w:rsidR="0002298B" w:rsidRPr="00B0658A" w:rsidRDefault="0002298B" w:rsidP="000A4114">
            <w:pPr>
              <w:spacing w:after="0" w:line="240" w:lineRule="auto"/>
              <w:rPr>
                <w:rFonts w:ascii="Times New Roman" w:hAnsi="Times New Roman"/>
                <w:i/>
                <w:iCs/>
                <w:sz w:val="20"/>
                <w:szCs w:val="20"/>
              </w:rPr>
            </w:pPr>
          </w:p>
        </w:tc>
        <w:tc>
          <w:tcPr>
            <w:tcW w:w="1036" w:type="pct"/>
            <w:shd w:val="clear" w:color="auto" w:fill="auto"/>
          </w:tcPr>
          <w:p w14:paraId="5B566FBC" w14:textId="77777777" w:rsidR="0002298B" w:rsidRPr="00B0658A" w:rsidRDefault="0002298B" w:rsidP="000A4114">
            <w:pPr>
              <w:spacing w:after="0" w:line="240" w:lineRule="auto"/>
              <w:rPr>
                <w:rFonts w:ascii="Times New Roman" w:hAnsi="Times New Roman"/>
                <w:i/>
                <w:iCs/>
                <w:sz w:val="20"/>
                <w:szCs w:val="20"/>
              </w:rPr>
            </w:pPr>
          </w:p>
        </w:tc>
        <w:tc>
          <w:tcPr>
            <w:tcW w:w="894" w:type="pct"/>
            <w:shd w:val="clear" w:color="auto" w:fill="auto"/>
          </w:tcPr>
          <w:p w14:paraId="1E097756" w14:textId="77777777" w:rsidR="0002298B" w:rsidRPr="00B0658A" w:rsidRDefault="0002298B" w:rsidP="000A4114">
            <w:pPr>
              <w:spacing w:after="0" w:line="240" w:lineRule="auto"/>
              <w:jc w:val="both"/>
              <w:rPr>
                <w:rFonts w:ascii="Times New Roman" w:hAnsi="Times New Roman"/>
                <w:i/>
                <w:iCs/>
                <w:sz w:val="20"/>
                <w:szCs w:val="20"/>
              </w:rPr>
            </w:pPr>
          </w:p>
        </w:tc>
      </w:tr>
      <w:tr w:rsidR="00F52FED" w:rsidRPr="00B0658A" w14:paraId="498A1BF6" w14:textId="77777777" w:rsidTr="004F1366">
        <w:trPr>
          <w:trHeight w:val="170"/>
        </w:trPr>
        <w:tc>
          <w:tcPr>
            <w:tcW w:w="203" w:type="pct"/>
            <w:shd w:val="clear" w:color="auto" w:fill="auto"/>
          </w:tcPr>
          <w:p w14:paraId="1AF0124B"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20"/>
                <w:szCs w:val="20"/>
              </w:rPr>
              <w:t>8.9</w:t>
            </w:r>
          </w:p>
        </w:tc>
        <w:tc>
          <w:tcPr>
            <w:tcW w:w="1153" w:type="pct"/>
            <w:shd w:val="clear" w:color="auto" w:fill="auto"/>
            <w:vAlign w:val="center"/>
          </w:tcPr>
          <w:p w14:paraId="06FA9301"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20"/>
                <w:szCs w:val="20"/>
              </w:rPr>
              <w:t xml:space="preserve">Промышленное программное обеспечение / Средства информационного моделирования зданий </w:t>
            </w:r>
            <w:r w:rsidRPr="00B0658A">
              <w:rPr>
                <w:rFonts w:ascii="Times New Roman" w:hAnsi="Times New Roman"/>
                <w:sz w:val="20"/>
                <w:szCs w:val="20"/>
              </w:rPr>
              <w:br/>
              <w:t>и сооружений, архитектурно-строительного проектирования (BIM, AEC CAD)</w:t>
            </w:r>
          </w:p>
        </w:tc>
        <w:tc>
          <w:tcPr>
            <w:tcW w:w="624" w:type="pct"/>
          </w:tcPr>
          <w:p w14:paraId="55E632FA" w14:textId="77777777" w:rsidR="0002298B" w:rsidRPr="00B0658A" w:rsidRDefault="0002298B" w:rsidP="000A4114">
            <w:pPr>
              <w:spacing w:after="0" w:line="240" w:lineRule="auto"/>
              <w:rPr>
                <w:rFonts w:ascii="Times New Roman" w:hAnsi="Times New Roman"/>
                <w:i/>
                <w:iCs/>
                <w:sz w:val="20"/>
                <w:szCs w:val="20"/>
              </w:rPr>
            </w:pPr>
          </w:p>
        </w:tc>
        <w:tc>
          <w:tcPr>
            <w:tcW w:w="1090" w:type="pct"/>
            <w:shd w:val="clear" w:color="auto" w:fill="auto"/>
          </w:tcPr>
          <w:p w14:paraId="7B3E81B3" w14:textId="77777777" w:rsidR="0002298B" w:rsidRPr="00B0658A" w:rsidRDefault="0002298B" w:rsidP="000A4114">
            <w:pPr>
              <w:spacing w:after="0" w:line="240" w:lineRule="auto"/>
              <w:rPr>
                <w:rFonts w:ascii="Times New Roman" w:hAnsi="Times New Roman"/>
                <w:i/>
                <w:iCs/>
                <w:sz w:val="20"/>
                <w:szCs w:val="20"/>
              </w:rPr>
            </w:pPr>
          </w:p>
        </w:tc>
        <w:tc>
          <w:tcPr>
            <w:tcW w:w="1036" w:type="pct"/>
            <w:shd w:val="clear" w:color="auto" w:fill="auto"/>
          </w:tcPr>
          <w:p w14:paraId="2802AAE9" w14:textId="77777777" w:rsidR="0002298B" w:rsidRPr="00B0658A" w:rsidRDefault="0002298B" w:rsidP="000A4114">
            <w:pPr>
              <w:spacing w:after="0" w:line="240" w:lineRule="auto"/>
              <w:rPr>
                <w:rFonts w:ascii="Times New Roman" w:hAnsi="Times New Roman"/>
                <w:i/>
                <w:iCs/>
                <w:sz w:val="20"/>
                <w:szCs w:val="20"/>
              </w:rPr>
            </w:pPr>
          </w:p>
        </w:tc>
        <w:tc>
          <w:tcPr>
            <w:tcW w:w="894" w:type="pct"/>
            <w:shd w:val="clear" w:color="auto" w:fill="auto"/>
          </w:tcPr>
          <w:p w14:paraId="0963824B" w14:textId="77777777" w:rsidR="0002298B" w:rsidRPr="00B0658A" w:rsidRDefault="0002298B" w:rsidP="000A4114">
            <w:pPr>
              <w:spacing w:after="0" w:line="240" w:lineRule="auto"/>
              <w:jc w:val="both"/>
              <w:rPr>
                <w:rFonts w:ascii="Times New Roman" w:hAnsi="Times New Roman"/>
                <w:i/>
                <w:iCs/>
                <w:sz w:val="20"/>
                <w:szCs w:val="20"/>
              </w:rPr>
            </w:pPr>
          </w:p>
        </w:tc>
      </w:tr>
      <w:tr w:rsidR="00F52FED" w:rsidRPr="00B0658A" w14:paraId="3FE4B3BB" w14:textId="77777777" w:rsidTr="004F1366">
        <w:trPr>
          <w:trHeight w:val="170"/>
        </w:trPr>
        <w:tc>
          <w:tcPr>
            <w:tcW w:w="203" w:type="pct"/>
            <w:shd w:val="clear" w:color="auto" w:fill="auto"/>
          </w:tcPr>
          <w:p w14:paraId="525F865B"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20"/>
                <w:szCs w:val="20"/>
              </w:rPr>
              <w:t>8.10</w:t>
            </w:r>
          </w:p>
        </w:tc>
        <w:tc>
          <w:tcPr>
            <w:tcW w:w="1153" w:type="pct"/>
            <w:shd w:val="clear" w:color="auto" w:fill="auto"/>
            <w:vAlign w:val="center"/>
          </w:tcPr>
          <w:p w14:paraId="35B230AB"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20"/>
                <w:szCs w:val="20"/>
              </w:rPr>
              <w:t>Промышленное программное обеспечение/ Средства усовершенствованного управления технологическими процессами (APC, RTO)</w:t>
            </w:r>
          </w:p>
        </w:tc>
        <w:tc>
          <w:tcPr>
            <w:tcW w:w="624" w:type="pct"/>
          </w:tcPr>
          <w:p w14:paraId="1001E146" w14:textId="77777777" w:rsidR="0002298B" w:rsidRPr="00B0658A" w:rsidRDefault="0002298B" w:rsidP="000A4114">
            <w:pPr>
              <w:spacing w:after="0" w:line="240" w:lineRule="auto"/>
              <w:rPr>
                <w:rFonts w:ascii="Times New Roman" w:hAnsi="Times New Roman"/>
                <w:i/>
                <w:iCs/>
                <w:sz w:val="20"/>
                <w:szCs w:val="20"/>
              </w:rPr>
            </w:pPr>
          </w:p>
        </w:tc>
        <w:tc>
          <w:tcPr>
            <w:tcW w:w="1090" w:type="pct"/>
            <w:shd w:val="clear" w:color="auto" w:fill="auto"/>
          </w:tcPr>
          <w:p w14:paraId="332BE30B" w14:textId="77777777" w:rsidR="0002298B" w:rsidRPr="00B0658A" w:rsidRDefault="0002298B" w:rsidP="000A4114">
            <w:pPr>
              <w:spacing w:after="0" w:line="240" w:lineRule="auto"/>
              <w:rPr>
                <w:rFonts w:ascii="Times New Roman" w:hAnsi="Times New Roman"/>
                <w:i/>
                <w:iCs/>
                <w:sz w:val="20"/>
                <w:szCs w:val="20"/>
              </w:rPr>
            </w:pPr>
          </w:p>
        </w:tc>
        <w:tc>
          <w:tcPr>
            <w:tcW w:w="1036" w:type="pct"/>
            <w:shd w:val="clear" w:color="auto" w:fill="auto"/>
          </w:tcPr>
          <w:p w14:paraId="35B1E1B5" w14:textId="77777777" w:rsidR="0002298B" w:rsidRPr="00B0658A" w:rsidRDefault="0002298B" w:rsidP="000A4114">
            <w:pPr>
              <w:spacing w:after="0" w:line="240" w:lineRule="auto"/>
              <w:rPr>
                <w:rFonts w:ascii="Times New Roman" w:hAnsi="Times New Roman"/>
                <w:i/>
                <w:iCs/>
                <w:sz w:val="20"/>
                <w:szCs w:val="20"/>
              </w:rPr>
            </w:pPr>
          </w:p>
        </w:tc>
        <w:tc>
          <w:tcPr>
            <w:tcW w:w="894" w:type="pct"/>
            <w:shd w:val="clear" w:color="auto" w:fill="auto"/>
          </w:tcPr>
          <w:p w14:paraId="042CA5E3" w14:textId="77777777" w:rsidR="0002298B" w:rsidRPr="00B0658A" w:rsidRDefault="0002298B" w:rsidP="000A4114">
            <w:pPr>
              <w:spacing w:after="0" w:line="240" w:lineRule="auto"/>
              <w:jc w:val="both"/>
              <w:rPr>
                <w:rFonts w:ascii="Times New Roman" w:hAnsi="Times New Roman"/>
                <w:i/>
                <w:iCs/>
                <w:sz w:val="20"/>
                <w:szCs w:val="20"/>
              </w:rPr>
            </w:pPr>
          </w:p>
        </w:tc>
      </w:tr>
      <w:tr w:rsidR="00F52FED" w:rsidRPr="00B0658A" w14:paraId="7225AD19" w14:textId="77777777" w:rsidTr="004F1366">
        <w:trPr>
          <w:trHeight w:val="170"/>
        </w:trPr>
        <w:tc>
          <w:tcPr>
            <w:tcW w:w="203" w:type="pct"/>
            <w:shd w:val="clear" w:color="auto" w:fill="auto"/>
          </w:tcPr>
          <w:p w14:paraId="43CFE49A"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20"/>
                <w:szCs w:val="20"/>
              </w:rPr>
              <w:t>8.11</w:t>
            </w:r>
          </w:p>
        </w:tc>
        <w:tc>
          <w:tcPr>
            <w:tcW w:w="1153" w:type="pct"/>
            <w:shd w:val="clear" w:color="auto" w:fill="auto"/>
            <w:vAlign w:val="center"/>
          </w:tcPr>
          <w:p w14:paraId="1981AF5B"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20"/>
                <w:szCs w:val="20"/>
              </w:rPr>
              <w:t>Промышленное программное обеспечение / Средства автоматизированного управления техникой</w:t>
            </w:r>
          </w:p>
        </w:tc>
        <w:tc>
          <w:tcPr>
            <w:tcW w:w="624" w:type="pct"/>
          </w:tcPr>
          <w:p w14:paraId="1F30ED82" w14:textId="77777777" w:rsidR="0002298B" w:rsidRPr="00B0658A" w:rsidRDefault="0002298B" w:rsidP="000A4114">
            <w:pPr>
              <w:spacing w:after="0" w:line="240" w:lineRule="auto"/>
              <w:rPr>
                <w:rFonts w:ascii="Times New Roman" w:hAnsi="Times New Roman"/>
                <w:i/>
                <w:iCs/>
                <w:sz w:val="20"/>
                <w:szCs w:val="20"/>
              </w:rPr>
            </w:pPr>
          </w:p>
        </w:tc>
        <w:tc>
          <w:tcPr>
            <w:tcW w:w="1090" w:type="pct"/>
            <w:shd w:val="clear" w:color="auto" w:fill="auto"/>
          </w:tcPr>
          <w:p w14:paraId="33145797" w14:textId="77777777" w:rsidR="0002298B" w:rsidRPr="00B0658A" w:rsidRDefault="0002298B" w:rsidP="000A4114">
            <w:pPr>
              <w:spacing w:after="0" w:line="240" w:lineRule="auto"/>
              <w:rPr>
                <w:rFonts w:ascii="Times New Roman" w:hAnsi="Times New Roman"/>
                <w:i/>
                <w:iCs/>
                <w:sz w:val="20"/>
                <w:szCs w:val="20"/>
              </w:rPr>
            </w:pPr>
          </w:p>
        </w:tc>
        <w:tc>
          <w:tcPr>
            <w:tcW w:w="1036" w:type="pct"/>
            <w:shd w:val="clear" w:color="auto" w:fill="auto"/>
          </w:tcPr>
          <w:p w14:paraId="2E70FAA6" w14:textId="77777777" w:rsidR="0002298B" w:rsidRPr="00B0658A" w:rsidRDefault="0002298B" w:rsidP="000A4114">
            <w:pPr>
              <w:spacing w:after="0" w:line="240" w:lineRule="auto"/>
              <w:rPr>
                <w:rFonts w:ascii="Times New Roman" w:hAnsi="Times New Roman"/>
                <w:i/>
                <w:iCs/>
                <w:sz w:val="20"/>
                <w:szCs w:val="20"/>
              </w:rPr>
            </w:pPr>
          </w:p>
        </w:tc>
        <w:tc>
          <w:tcPr>
            <w:tcW w:w="894" w:type="pct"/>
            <w:shd w:val="clear" w:color="auto" w:fill="auto"/>
          </w:tcPr>
          <w:p w14:paraId="3F4C6E06" w14:textId="77777777" w:rsidR="0002298B" w:rsidRPr="00B0658A" w:rsidRDefault="0002298B" w:rsidP="000A4114">
            <w:pPr>
              <w:spacing w:after="0" w:line="240" w:lineRule="auto"/>
              <w:jc w:val="both"/>
              <w:rPr>
                <w:rFonts w:ascii="Times New Roman" w:hAnsi="Times New Roman"/>
                <w:i/>
                <w:iCs/>
                <w:sz w:val="20"/>
                <w:szCs w:val="20"/>
              </w:rPr>
            </w:pPr>
          </w:p>
        </w:tc>
      </w:tr>
      <w:tr w:rsidR="00F52FED" w:rsidRPr="00B0658A" w14:paraId="14692848" w14:textId="77777777" w:rsidTr="004F1366">
        <w:trPr>
          <w:trHeight w:val="170"/>
        </w:trPr>
        <w:tc>
          <w:tcPr>
            <w:tcW w:w="203" w:type="pct"/>
            <w:shd w:val="clear" w:color="auto" w:fill="auto"/>
          </w:tcPr>
          <w:p w14:paraId="2A6E9EE1"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20"/>
                <w:szCs w:val="20"/>
              </w:rPr>
              <w:t>9.1</w:t>
            </w:r>
          </w:p>
        </w:tc>
        <w:tc>
          <w:tcPr>
            <w:tcW w:w="1153" w:type="pct"/>
            <w:shd w:val="clear" w:color="auto" w:fill="auto"/>
            <w:vAlign w:val="center"/>
          </w:tcPr>
          <w:p w14:paraId="70D1EEE2"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20"/>
                <w:szCs w:val="20"/>
              </w:rPr>
              <w:t>Средства управления процессами организации / Средства управления бизнес-процессами (BPM)</w:t>
            </w:r>
          </w:p>
        </w:tc>
        <w:tc>
          <w:tcPr>
            <w:tcW w:w="624" w:type="pct"/>
          </w:tcPr>
          <w:p w14:paraId="40C64971" w14:textId="77777777" w:rsidR="0002298B" w:rsidRPr="00B0658A" w:rsidRDefault="0002298B" w:rsidP="000A4114">
            <w:pPr>
              <w:spacing w:after="0" w:line="240" w:lineRule="auto"/>
              <w:rPr>
                <w:rFonts w:ascii="Times New Roman" w:hAnsi="Times New Roman"/>
                <w:i/>
                <w:iCs/>
                <w:sz w:val="20"/>
                <w:szCs w:val="20"/>
              </w:rPr>
            </w:pPr>
          </w:p>
        </w:tc>
        <w:tc>
          <w:tcPr>
            <w:tcW w:w="1090" w:type="pct"/>
            <w:shd w:val="clear" w:color="auto" w:fill="auto"/>
          </w:tcPr>
          <w:p w14:paraId="11FC38EA" w14:textId="77777777" w:rsidR="0002298B" w:rsidRPr="00B0658A" w:rsidRDefault="0002298B" w:rsidP="000A4114">
            <w:pPr>
              <w:spacing w:after="0" w:line="240" w:lineRule="auto"/>
              <w:rPr>
                <w:rFonts w:ascii="Times New Roman" w:hAnsi="Times New Roman"/>
                <w:i/>
                <w:iCs/>
                <w:sz w:val="20"/>
                <w:szCs w:val="20"/>
              </w:rPr>
            </w:pPr>
          </w:p>
        </w:tc>
        <w:tc>
          <w:tcPr>
            <w:tcW w:w="1036" w:type="pct"/>
            <w:shd w:val="clear" w:color="auto" w:fill="auto"/>
          </w:tcPr>
          <w:p w14:paraId="142019B7" w14:textId="77777777" w:rsidR="0002298B" w:rsidRPr="00B0658A" w:rsidRDefault="0002298B" w:rsidP="000A4114">
            <w:pPr>
              <w:spacing w:after="0" w:line="240" w:lineRule="auto"/>
              <w:rPr>
                <w:rFonts w:ascii="Times New Roman" w:hAnsi="Times New Roman"/>
                <w:i/>
                <w:iCs/>
                <w:sz w:val="20"/>
                <w:szCs w:val="20"/>
              </w:rPr>
            </w:pPr>
          </w:p>
        </w:tc>
        <w:tc>
          <w:tcPr>
            <w:tcW w:w="894" w:type="pct"/>
            <w:shd w:val="clear" w:color="auto" w:fill="auto"/>
          </w:tcPr>
          <w:p w14:paraId="2E873781" w14:textId="77777777" w:rsidR="0002298B" w:rsidRPr="00B0658A" w:rsidRDefault="0002298B" w:rsidP="000A4114">
            <w:pPr>
              <w:spacing w:after="0" w:line="240" w:lineRule="auto"/>
              <w:jc w:val="both"/>
              <w:rPr>
                <w:rFonts w:ascii="Times New Roman" w:hAnsi="Times New Roman"/>
                <w:i/>
                <w:iCs/>
                <w:sz w:val="20"/>
                <w:szCs w:val="20"/>
              </w:rPr>
            </w:pPr>
          </w:p>
        </w:tc>
      </w:tr>
      <w:tr w:rsidR="00F52FED" w:rsidRPr="00B0658A" w14:paraId="07D809BB" w14:textId="77777777" w:rsidTr="004F1366">
        <w:trPr>
          <w:trHeight w:val="170"/>
        </w:trPr>
        <w:tc>
          <w:tcPr>
            <w:tcW w:w="203" w:type="pct"/>
            <w:shd w:val="clear" w:color="auto" w:fill="auto"/>
          </w:tcPr>
          <w:p w14:paraId="213B1286"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20"/>
                <w:szCs w:val="20"/>
              </w:rPr>
              <w:t>9.2</w:t>
            </w:r>
          </w:p>
        </w:tc>
        <w:tc>
          <w:tcPr>
            <w:tcW w:w="1153" w:type="pct"/>
            <w:shd w:val="clear" w:color="auto" w:fill="auto"/>
            <w:vAlign w:val="center"/>
          </w:tcPr>
          <w:p w14:paraId="72425347"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20"/>
                <w:szCs w:val="20"/>
              </w:rPr>
              <w:t>Средства управления процессами организации/ Средства управления производственными процессами (MES)</w:t>
            </w:r>
          </w:p>
        </w:tc>
        <w:tc>
          <w:tcPr>
            <w:tcW w:w="624" w:type="pct"/>
          </w:tcPr>
          <w:p w14:paraId="7581B843" w14:textId="77777777" w:rsidR="0002298B" w:rsidRPr="00B0658A" w:rsidRDefault="0002298B" w:rsidP="000A4114">
            <w:pPr>
              <w:spacing w:after="0" w:line="240" w:lineRule="auto"/>
              <w:rPr>
                <w:rFonts w:ascii="Times New Roman" w:hAnsi="Times New Roman"/>
                <w:i/>
                <w:iCs/>
                <w:sz w:val="20"/>
                <w:szCs w:val="20"/>
              </w:rPr>
            </w:pPr>
          </w:p>
        </w:tc>
        <w:tc>
          <w:tcPr>
            <w:tcW w:w="1090" w:type="pct"/>
            <w:shd w:val="clear" w:color="auto" w:fill="auto"/>
          </w:tcPr>
          <w:p w14:paraId="0C86CAB8" w14:textId="77777777" w:rsidR="0002298B" w:rsidRPr="00B0658A" w:rsidRDefault="0002298B" w:rsidP="000A4114">
            <w:pPr>
              <w:spacing w:after="0" w:line="240" w:lineRule="auto"/>
              <w:rPr>
                <w:rFonts w:ascii="Times New Roman" w:hAnsi="Times New Roman"/>
                <w:i/>
                <w:iCs/>
                <w:sz w:val="20"/>
                <w:szCs w:val="20"/>
              </w:rPr>
            </w:pPr>
          </w:p>
        </w:tc>
        <w:tc>
          <w:tcPr>
            <w:tcW w:w="1036" w:type="pct"/>
            <w:shd w:val="clear" w:color="auto" w:fill="auto"/>
          </w:tcPr>
          <w:p w14:paraId="2A1BA95F" w14:textId="77777777" w:rsidR="0002298B" w:rsidRPr="00B0658A" w:rsidRDefault="0002298B" w:rsidP="000A4114">
            <w:pPr>
              <w:spacing w:after="0" w:line="240" w:lineRule="auto"/>
              <w:rPr>
                <w:rFonts w:ascii="Times New Roman" w:hAnsi="Times New Roman"/>
                <w:i/>
                <w:iCs/>
                <w:sz w:val="20"/>
                <w:szCs w:val="20"/>
              </w:rPr>
            </w:pPr>
          </w:p>
        </w:tc>
        <w:tc>
          <w:tcPr>
            <w:tcW w:w="894" w:type="pct"/>
            <w:shd w:val="clear" w:color="auto" w:fill="auto"/>
          </w:tcPr>
          <w:p w14:paraId="023D61A8" w14:textId="77777777" w:rsidR="0002298B" w:rsidRPr="00B0658A" w:rsidRDefault="0002298B" w:rsidP="000A4114">
            <w:pPr>
              <w:spacing w:after="0" w:line="240" w:lineRule="auto"/>
              <w:jc w:val="both"/>
              <w:rPr>
                <w:rFonts w:ascii="Times New Roman" w:hAnsi="Times New Roman"/>
                <w:i/>
                <w:iCs/>
                <w:sz w:val="20"/>
                <w:szCs w:val="20"/>
              </w:rPr>
            </w:pPr>
          </w:p>
        </w:tc>
      </w:tr>
      <w:tr w:rsidR="00F52FED" w:rsidRPr="00B0658A" w14:paraId="549A614F" w14:textId="77777777" w:rsidTr="004F1366">
        <w:trPr>
          <w:trHeight w:val="170"/>
        </w:trPr>
        <w:tc>
          <w:tcPr>
            <w:tcW w:w="203" w:type="pct"/>
            <w:shd w:val="clear" w:color="auto" w:fill="auto"/>
          </w:tcPr>
          <w:p w14:paraId="05F9F80C"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20"/>
                <w:szCs w:val="20"/>
              </w:rPr>
              <w:t>9.3</w:t>
            </w:r>
          </w:p>
        </w:tc>
        <w:tc>
          <w:tcPr>
            <w:tcW w:w="1153" w:type="pct"/>
            <w:shd w:val="clear" w:color="auto" w:fill="auto"/>
            <w:vAlign w:val="center"/>
          </w:tcPr>
          <w:p w14:paraId="61AD95CD"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20"/>
                <w:szCs w:val="20"/>
              </w:rPr>
              <w:t>Средства управления процессами организации / Средства управления лабораторными потоками работ и документов (LIMS)</w:t>
            </w:r>
          </w:p>
        </w:tc>
        <w:tc>
          <w:tcPr>
            <w:tcW w:w="624" w:type="pct"/>
          </w:tcPr>
          <w:p w14:paraId="5B58C5EC" w14:textId="77777777" w:rsidR="0002298B" w:rsidRPr="00B0658A" w:rsidRDefault="0002298B" w:rsidP="000A4114">
            <w:pPr>
              <w:spacing w:after="0" w:line="240" w:lineRule="auto"/>
              <w:rPr>
                <w:rFonts w:ascii="Times New Roman" w:hAnsi="Times New Roman"/>
                <w:i/>
                <w:iCs/>
                <w:sz w:val="20"/>
                <w:szCs w:val="20"/>
              </w:rPr>
            </w:pPr>
          </w:p>
        </w:tc>
        <w:tc>
          <w:tcPr>
            <w:tcW w:w="1090" w:type="pct"/>
            <w:shd w:val="clear" w:color="auto" w:fill="auto"/>
          </w:tcPr>
          <w:p w14:paraId="77ADC99F" w14:textId="77777777" w:rsidR="0002298B" w:rsidRPr="00B0658A" w:rsidRDefault="0002298B" w:rsidP="000A4114">
            <w:pPr>
              <w:spacing w:after="0" w:line="240" w:lineRule="auto"/>
              <w:rPr>
                <w:rFonts w:ascii="Times New Roman" w:hAnsi="Times New Roman"/>
                <w:i/>
                <w:iCs/>
                <w:sz w:val="20"/>
                <w:szCs w:val="20"/>
              </w:rPr>
            </w:pPr>
          </w:p>
        </w:tc>
        <w:tc>
          <w:tcPr>
            <w:tcW w:w="1036" w:type="pct"/>
            <w:shd w:val="clear" w:color="auto" w:fill="auto"/>
          </w:tcPr>
          <w:p w14:paraId="611CBF43" w14:textId="77777777" w:rsidR="0002298B" w:rsidRPr="00B0658A" w:rsidRDefault="0002298B" w:rsidP="000A4114">
            <w:pPr>
              <w:spacing w:after="0" w:line="240" w:lineRule="auto"/>
              <w:rPr>
                <w:rFonts w:ascii="Times New Roman" w:hAnsi="Times New Roman"/>
                <w:i/>
                <w:iCs/>
                <w:sz w:val="20"/>
                <w:szCs w:val="20"/>
              </w:rPr>
            </w:pPr>
          </w:p>
        </w:tc>
        <w:tc>
          <w:tcPr>
            <w:tcW w:w="894" w:type="pct"/>
            <w:shd w:val="clear" w:color="auto" w:fill="auto"/>
          </w:tcPr>
          <w:p w14:paraId="26E259C3" w14:textId="77777777" w:rsidR="0002298B" w:rsidRPr="00B0658A" w:rsidRDefault="0002298B" w:rsidP="000A4114">
            <w:pPr>
              <w:spacing w:after="0" w:line="240" w:lineRule="auto"/>
              <w:jc w:val="both"/>
              <w:rPr>
                <w:rFonts w:ascii="Times New Roman" w:hAnsi="Times New Roman"/>
                <w:i/>
                <w:iCs/>
                <w:sz w:val="20"/>
                <w:szCs w:val="20"/>
              </w:rPr>
            </w:pPr>
          </w:p>
        </w:tc>
      </w:tr>
      <w:tr w:rsidR="00F52FED" w:rsidRPr="00B0658A" w14:paraId="3964F637" w14:textId="77777777" w:rsidTr="004F1366">
        <w:trPr>
          <w:trHeight w:val="170"/>
        </w:trPr>
        <w:tc>
          <w:tcPr>
            <w:tcW w:w="203" w:type="pct"/>
            <w:shd w:val="clear" w:color="auto" w:fill="auto"/>
          </w:tcPr>
          <w:p w14:paraId="4193FAE0"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20"/>
                <w:szCs w:val="20"/>
              </w:rPr>
              <w:t>9.4</w:t>
            </w:r>
          </w:p>
        </w:tc>
        <w:tc>
          <w:tcPr>
            <w:tcW w:w="1153" w:type="pct"/>
            <w:shd w:val="clear" w:color="auto" w:fill="auto"/>
            <w:vAlign w:val="center"/>
          </w:tcPr>
          <w:p w14:paraId="650C41C8"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20"/>
                <w:szCs w:val="20"/>
              </w:rPr>
              <w:t>Средства управления процессами организации/ Средства управления технологическими процессами (АСУ ТП, SCADA)</w:t>
            </w:r>
          </w:p>
        </w:tc>
        <w:tc>
          <w:tcPr>
            <w:tcW w:w="624" w:type="pct"/>
          </w:tcPr>
          <w:p w14:paraId="224490C4" w14:textId="77777777" w:rsidR="0002298B" w:rsidRPr="00B0658A" w:rsidRDefault="0002298B" w:rsidP="000A4114">
            <w:pPr>
              <w:spacing w:after="0" w:line="240" w:lineRule="auto"/>
              <w:rPr>
                <w:rFonts w:ascii="Times New Roman" w:hAnsi="Times New Roman"/>
                <w:i/>
                <w:iCs/>
                <w:sz w:val="20"/>
                <w:szCs w:val="20"/>
              </w:rPr>
            </w:pPr>
          </w:p>
        </w:tc>
        <w:tc>
          <w:tcPr>
            <w:tcW w:w="1090" w:type="pct"/>
            <w:shd w:val="clear" w:color="auto" w:fill="auto"/>
          </w:tcPr>
          <w:p w14:paraId="3B727363" w14:textId="77777777" w:rsidR="0002298B" w:rsidRPr="00B0658A" w:rsidRDefault="0002298B" w:rsidP="000A4114">
            <w:pPr>
              <w:spacing w:after="0" w:line="240" w:lineRule="auto"/>
              <w:rPr>
                <w:rFonts w:ascii="Times New Roman" w:hAnsi="Times New Roman"/>
                <w:i/>
                <w:iCs/>
                <w:sz w:val="20"/>
                <w:szCs w:val="20"/>
              </w:rPr>
            </w:pPr>
          </w:p>
        </w:tc>
        <w:tc>
          <w:tcPr>
            <w:tcW w:w="1036" w:type="pct"/>
            <w:shd w:val="clear" w:color="auto" w:fill="auto"/>
          </w:tcPr>
          <w:p w14:paraId="30C1820B" w14:textId="77777777" w:rsidR="0002298B" w:rsidRPr="00B0658A" w:rsidRDefault="0002298B" w:rsidP="000A4114">
            <w:pPr>
              <w:spacing w:after="0" w:line="240" w:lineRule="auto"/>
              <w:rPr>
                <w:rFonts w:ascii="Times New Roman" w:hAnsi="Times New Roman"/>
                <w:i/>
                <w:iCs/>
                <w:sz w:val="20"/>
                <w:szCs w:val="20"/>
              </w:rPr>
            </w:pPr>
          </w:p>
        </w:tc>
        <w:tc>
          <w:tcPr>
            <w:tcW w:w="894" w:type="pct"/>
            <w:shd w:val="clear" w:color="auto" w:fill="auto"/>
          </w:tcPr>
          <w:p w14:paraId="0AA6BB1D" w14:textId="77777777" w:rsidR="0002298B" w:rsidRPr="00B0658A" w:rsidRDefault="0002298B" w:rsidP="000A4114">
            <w:pPr>
              <w:spacing w:after="0" w:line="240" w:lineRule="auto"/>
              <w:jc w:val="both"/>
              <w:rPr>
                <w:rFonts w:ascii="Times New Roman" w:hAnsi="Times New Roman"/>
                <w:i/>
                <w:iCs/>
                <w:sz w:val="20"/>
                <w:szCs w:val="20"/>
              </w:rPr>
            </w:pPr>
          </w:p>
        </w:tc>
      </w:tr>
      <w:tr w:rsidR="00F52FED" w:rsidRPr="00B0658A" w14:paraId="77E44DF0" w14:textId="77777777" w:rsidTr="004F1366">
        <w:trPr>
          <w:trHeight w:val="170"/>
        </w:trPr>
        <w:tc>
          <w:tcPr>
            <w:tcW w:w="203" w:type="pct"/>
            <w:shd w:val="clear" w:color="auto" w:fill="auto"/>
          </w:tcPr>
          <w:p w14:paraId="71467C09"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20"/>
                <w:szCs w:val="20"/>
              </w:rPr>
              <w:t>9.5</w:t>
            </w:r>
          </w:p>
        </w:tc>
        <w:tc>
          <w:tcPr>
            <w:tcW w:w="1153" w:type="pct"/>
            <w:shd w:val="clear" w:color="auto" w:fill="auto"/>
            <w:vAlign w:val="center"/>
          </w:tcPr>
          <w:p w14:paraId="3811603A"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20"/>
                <w:szCs w:val="20"/>
              </w:rPr>
              <w:t>Средства управления процессами организации/ Средства управления эффективностью предприятия (CPM/EPM)</w:t>
            </w:r>
          </w:p>
        </w:tc>
        <w:tc>
          <w:tcPr>
            <w:tcW w:w="624" w:type="pct"/>
          </w:tcPr>
          <w:p w14:paraId="0DA56DC3" w14:textId="77777777" w:rsidR="0002298B" w:rsidRPr="00B0658A" w:rsidRDefault="0002298B" w:rsidP="000A4114">
            <w:pPr>
              <w:spacing w:after="0" w:line="240" w:lineRule="auto"/>
              <w:rPr>
                <w:rFonts w:ascii="Times New Roman" w:hAnsi="Times New Roman"/>
                <w:i/>
                <w:iCs/>
                <w:sz w:val="20"/>
                <w:szCs w:val="20"/>
              </w:rPr>
            </w:pPr>
          </w:p>
        </w:tc>
        <w:tc>
          <w:tcPr>
            <w:tcW w:w="1090" w:type="pct"/>
            <w:shd w:val="clear" w:color="auto" w:fill="auto"/>
          </w:tcPr>
          <w:p w14:paraId="1E707968" w14:textId="77777777" w:rsidR="0002298B" w:rsidRPr="00B0658A" w:rsidRDefault="0002298B" w:rsidP="000A4114">
            <w:pPr>
              <w:spacing w:after="0" w:line="240" w:lineRule="auto"/>
              <w:rPr>
                <w:rFonts w:ascii="Times New Roman" w:hAnsi="Times New Roman"/>
                <w:i/>
                <w:iCs/>
                <w:sz w:val="20"/>
                <w:szCs w:val="20"/>
              </w:rPr>
            </w:pPr>
          </w:p>
        </w:tc>
        <w:tc>
          <w:tcPr>
            <w:tcW w:w="1036" w:type="pct"/>
            <w:shd w:val="clear" w:color="auto" w:fill="auto"/>
          </w:tcPr>
          <w:p w14:paraId="5BEE3AA9" w14:textId="77777777" w:rsidR="0002298B" w:rsidRPr="00B0658A" w:rsidRDefault="0002298B" w:rsidP="000A4114">
            <w:pPr>
              <w:spacing w:after="0" w:line="240" w:lineRule="auto"/>
              <w:rPr>
                <w:rFonts w:ascii="Times New Roman" w:hAnsi="Times New Roman"/>
                <w:i/>
                <w:iCs/>
                <w:sz w:val="20"/>
                <w:szCs w:val="20"/>
              </w:rPr>
            </w:pPr>
          </w:p>
        </w:tc>
        <w:tc>
          <w:tcPr>
            <w:tcW w:w="894" w:type="pct"/>
            <w:shd w:val="clear" w:color="auto" w:fill="auto"/>
          </w:tcPr>
          <w:p w14:paraId="5D4D41DB" w14:textId="77777777" w:rsidR="0002298B" w:rsidRPr="00B0658A" w:rsidRDefault="0002298B" w:rsidP="000A4114">
            <w:pPr>
              <w:spacing w:after="0" w:line="240" w:lineRule="auto"/>
              <w:jc w:val="both"/>
              <w:rPr>
                <w:rFonts w:ascii="Times New Roman" w:hAnsi="Times New Roman"/>
                <w:i/>
                <w:iCs/>
                <w:sz w:val="20"/>
                <w:szCs w:val="20"/>
              </w:rPr>
            </w:pPr>
          </w:p>
        </w:tc>
      </w:tr>
      <w:tr w:rsidR="00F52FED" w:rsidRPr="00B0658A" w14:paraId="4BCFFDF9" w14:textId="77777777" w:rsidTr="004F1366">
        <w:trPr>
          <w:trHeight w:val="170"/>
        </w:trPr>
        <w:tc>
          <w:tcPr>
            <w:tcW w:w="203" w:type="pct"/>
            <w:shd w:val="clear" w:color="auto" w:fill="auto"/>
          </w:tcPr>
          <w:p w14:paraId="0C8EF929"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20"/>
                <w:szCs w:val="20"/>
              </w:rPr>
              <w:t>9.6</w:t>
            </w:r>
          </w:p>
        </w:tc>
        <w:tc>
          <w:tcPr>
            <w:tcW w:w="1153" w:type="pct"/>
            <w:shd w:val="clear" w:color="auto" w:fill="auto"/>
            <w:vAlign w:val="center"/>
          </w:tcPr>
          <w:p w14:paraId="63F94EDE"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20"/>
                <w:szCs w:val="20"/>
              </w:rPr>
              <w:t>Средства управления процессами организации/ Средства управления основными фондами предприятия (EAM)</w:t>
            </w:r>
          </w:p>
        </w:tc>
        <w:tc>
          <w:tcPr>
            <w:tcW w:w="624" w:type="pct"/>
          </w:tcPr>
          <w:p w14:paraId="6E538498" w14:textId="77777777" w:rsidR="0002298B" w:rsidRPr="00B0658A" w:rsidRDefault="0002298B" w:rsidP="000A4114">
            <w:pPr>
              <w:spacing w:after="0" w:line="240" w:lineRule="auto"/>
              <w:rPr>
                <w:rFonts w:ascii="Times New Roman" w:hAnsi="Times New Roman"/>
                <w:i/>
                <w:iCs/>
                <w:sz w:val="20"/>
                <w:szCs w:val="20"/>
              </w:rPr>
            </w:pPr>
          </w:p>
        </w:tc>
        <w:tc>
          <w:tcPr>
            <w:tcW w:w="1090" w:type="pct"/>
            <w:shd w:val="clear" w:color="auto" w:fill="auto"/>
          </w:tcPr>
          <w:p w14:paraId="1512B548" w14:textId="77777777" w:rsidR="0002298B" w:rsidRPr="00B0658A" w:rsidRDefault="0002298B" w:rsidP="000A4114">
            <w:pPr>
              <w:spacing w:after="0" w:line="240" w:lineRule="auto"/>
              <w:rPr>
                <w:rFonts w:ascii="Times New Roman" w:hAnsi="Times New Roman"/>
                <w:i/>
                <w:iCs/>
                <w:sz w:val="20"/>
                <w:szCs w:val="20"/>
              </w:rPr>
            </w:pPr>
          </w:p>
        </w:tc>
        <w:tc>
          <w:tcPr>
            <w:tcW w:w="1036" w:type="pct"/>
            <w:shd w:val="clear" w:color="auto" w:fill="auto"/>
          </w:tcPr>
          <w:p w14:paraId="09C13A97" w14:textId="77777777" w:rsidR="0002298B" w:rsidRPr="00B0658A" w:rsidRDefault="0002298B" w:rsidP="000A4114">
            <w:pPr>
              <w:spacing w:after="0" w:line="240" w:lineRule="auto"/>
              <w:rPr>
                <w:rFonts w:ascii="Times New Roman" w:hAnsi="Times New Roman"/>
                <w:i/>
                <w:iCs/>
                <w:sz w:val="20"/>
                <w:szCs w:val="20"/>
              </w:rPr>
            </w:pPr>
          </w:p>
        </w:tc>
        <w:tc>
          <w:tcPr>
            <w:tcW w:w="894" w:type="pct"/>
            <w:shd w:val="clear" w:color="auto" w:fill="auto"/>
          </w:tcPr>
          <w:p w14:paraId="54F16582" w14:textId="77777777" w:rsidR="0002298B" w:rsidRPr="00B0658A" w:rsidRDefault="0002298B" w:rsidP="000A4114">
            <w:pPr>
              <w:spacing w:after="0" w:line="240" w:lineRule="auto"/>
              <w:jc w:val="both"/>
              <w:rPr>
                <w:rFonts w:ascii="Times New Roman" w:hAnsi="Times New Roman"/>
                <w:i/>
                <w:iCs/>
                <w:sz w:val="20"/>
                <w:szCs w:val="20"/>
              </w:rPr>
            </w:pPr>
          </w:p>
        </w:tc>
      </w:tr>
      <w:tr w:rsidR="00F52FED" w:rsidRPr="00B0658A" w14:paraId="5AC2F81B" w14:textId="77777777" w:rsidTr="004F1366">
        <w:trPr>
          <w:trHeight w:val="170"/>
        </w:trPr>
        <w:tc>
          <w:tcPr>
            <w:tcW w:w="203" w:type="pct"/>
            <w:shd w:val="clear" w:color="auto" w:fill="auto"/>
          </w:tcPr>
          <w:p w14:paraId="054F19D2"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20"/>
                <w:szCs w:val="20"/>
              </w:rPr>
              <w:t>9.7</w:t>
            </w:r>
          </w:p>
        </w:tc>
        <w:tc>
          <w:tcPr>
            <w:tcW w:w="1153" w:type="pct"/>
            <w:shd w:val="clear" w:color="auto" w:fill="auto"/>
            <w:vAlign w:val="center"/>
          </w:tcPr>
          <w:p w14:paraId="469E3108"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20"/>
                <w:szCs w:val="20"/>
              </w:rPr>
              <w:t>Средства управления процессами организации/ Средства финансового менеджмента, управления активами и трудовыми ресурсами (ERP)</w:t>
            </w:r>
          </w:p>
        </w:tc>
        <w:tc>
          <w:tcPr>
            <w:tcW w:w="624" w:type="pct"/>
          </w:tcPr>
          <w:p w14:paraId="3DCBCC09" w14:textId="77777777" w:rsidR="0002298B" w:rsidRPr="00B0658A" w:rsidRDefault="0002298B" w:rsidP="000A4114">
            <w:pPr>
              <w:spacing w:after="0" w:line="240" w:lineRule="auto"/>
              <w:rPr>
                <w:rFonts w:ascii="Times New Roman" w:hAnsi="Times New Roman"/>
                <w:i/>
                <w:iCs/>
                <w:sz w:val="20"/>
                <w:szCs w:val="20"/>
              </w:rPr>
            </w:pPr>
          </w:p>
        </w:tc>
        <w:tc>
          <w:tcPr>
            <w:tcW w:w="1090" w:type="pct"/>
            <w:shd w:val="clear" w:color="auto" w:fill="auto"/>
          </w:tcPr>
          <w:p w14:paraId="4E5F3DBA" w14:textId="77777777" w:rsidR="0002298B" w:rsidRPr="00B0658A" w:rsidRDefault="0002298B" w:rsidP="000A4114">
            <w:pPr>
              <w:spacing w:after="0" w:line="240" w:lineRule="auto"/>
              <w:rPr>
                <w:rFonts w:ascii="Times New Roman" w:hAnsi="Times New Roman"/>
                <w:i/>
                <w:iCs/>
                <w:sz w:val="20"/>
                <w:szCs w:val="20"/>
              </w:rPr>
            </w:pPr>
          </w:p>
        </w:tc>
        <w:tc>
          <w:tcPr>
            <w:tcW w:w="1036" w:type="pct"/>
            <w:shd w:val="clear" w:color="auto" w:fill="auto"/>
          </w:tcPr>
          <w:p w14:paraId="36CFD4D9" w14:textId="77777777" w:rsidR="0002298B" w:rsidRPr="00B0658A" w:rsidRDefault="0002298B" w:rsidP="000A4114">
            <w:pPr>
              <w:spacing w:after="0" w:line="240" w:lineRule="auto"/>
              <w:rPr>
                <w:rFonts w:ascii="Times New Roman" w:hAnsi="Times New Roman"/>
                <w:i/>
                <w:iCs/>
                <w:sz w:val="20"/>
                <w:szCs w:val="20"/>
              </w:rPr>
            </w:pPr>
          </w:p>
        </w:tc>
        <w:tc>
          <w:tcPr>
            <w:tcW w:w="894" w:type="pct"/>
            <w:shd w:val="clear" w:color="auto" w:fill="auto"/>
          </w:tcPr>
          <w:p w14:paraId="5E255F39" w14:textId="77777777" w:rsidR="0002298B" w:rsidRPr="00B0658A" w:rsidRDefault="0002298B" w:rsidP="000A4114">
            <w:pPr>
              <w:spacing w:after="0" w:line="240" w:lineRule="auto"/>
              <w:jc w:val="both"/>
              <w:rPr>
                <w:rFonts w:ascii="Times New Roman" w:hAnsi="Times New Roman"/>
                <w:i/>
                <w:iCs/>
                <w:sz w:val="20"/>
                <w:szCs w:val="20"/>
              </w:rPr>
            </w:pPr>
          </w:p>
        </w:tc>
      </w:tr>
      <w:tr w:rsidR="00F52FED" w:rsidRPr="00B0658A" w14:paraId="6FE9A80B" w14:textId="77777777" w:rsidTr="004F1366">
        <w:trPr>
          <w:trHeight w:val="170"/>
        </w:trPr>
        <w:tc>
          <w:tcPr>
            <w:tcW w:w="203" w:type="pct"/>
            <w:shd w:val="clear" w:color="auto" w:fill="auto"/>
          </w:tcPr>
          <w:p w14:paraId="04B4FAF4"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20"/>
                <w:szCs w:val="20"/>
              </w:rPr>
              <w:t>9.9</w:t>
            </w:r>
          </w:p>
        </w:tc>
        <w:tc>
          <w:tcPr>
            <w:tcW w:w="1153" w:type="pct"/>
            <w:shd w:val="clear" w:color="auto" w:fill="auto"/>
            <w:vAlign w:val="center"/>
          </w:tcPr>
          <w:p w14:paraId="2E0C1FA2"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20"/>
                <w:szCs w:val="20"/>
              </w:rPr>
              <w:t>Средства управления процессами организации/ Средства управления отношениями с клиентами (CRM)</w:t>
            </w:r>
          </w:p>
        </w:tc>
        <w:tc>
          <w:tcPr>
            <w:tcW w:w="624" w:type="pct"/>
          </w:tcPr>
          <w:p w14:paraId="22265E26" w14:textId="77777777" w:rsidR="0002298B" w:rsidRPr="00B0658A" w:rsidRDefault="0002298B" w:rsidP="000A4114">
            <w:pPr>
              <w:spacing w:after="0" w:line="240" w:lineRule="auto"/>
              <w:rPr>
                <w:rFonts w:ascii="Times New Roman" w:hAnsi="Times New Roman"/>
                <w:i/>
                <w:iCs/>
                <w:sz w:val="20"/>
                <w:szCs w:val="20"/>
              </w:rPr>
            </w:pPr>
          </w:p>
        </w:tc>
        <w:tc>
          <w:tcPr>
            <w:tcW w:w="1090" w:type="pct"/>
            <w:shd w:val="clear" w:color="auto" w:fill="auto"/>
          </w:tcPr>
          <w:p w14:paraId="34F6988B" w14:textId="77777777" w:rsidR="0002298B" w:rsidRPr="00B0658A" w:rsidRDefault="0002298B" w:rsidP="000A4114">
            <w:pPr>
              <w:spacing w:after="0" w:line="240" w:lineRule="auto"/>
              <w:rPr>
                <w:rFonts w:ascii="Times New Roman" w:hAnsi="Times New Roman"/>
                <w:i/>
                <w:iCs/>
                <w:sz w:val="20"/>
                <w:szCs w:val="20"/>
              </w:rPr>
            </w:pPr>
          </w:p>
        </w:tc>
        <w:tc>
          <w:tcPr>
            <w:tcW w:w="1036" w:type="pct"/>
            <w:shd w:val="clear" w:color="auto" w:fill="auto"/>
          </w:tcPr>
          <w:p w14:paraId="7346E3EF" w14:textId="77777777" w:rsidR="0002298B" w:rsidRPr="00B0658A" w:rsidRDefault="0002298B" w:rsidP="000A4114">
            <w:pPr>
              <w:spacing w:after="0" w:line="240" w:lineRule="auto"/>
              <w:rPr>
                <w:rFonts w:ascii="Times New Roman" w:hAnsi="Times New Roman"/>
                <w:i/>
                <w:iCs/>
                <w:sz w:val="20"/>
                <w:szCs w:val="20"/>
              </w:rPr>
            </w:pPr>
          </w:p>
        </w:tc>
        <w:tc>
          <w:tcPr>
            <w:tcW w:w="894" w:type="pct"/>
            <w:shd w:val="clear" w:color="auto" w:fill="auto"/>
          </w:tcPr>
          <w:p w14:paraId="01A3470E" w14:textId="77777777" w:rsidR="0002298B" w:rsidRPr="00B0658A" w:rsidRDefault="0002298B" w:rsidP="000A4114">
            <w:pPr>
              <w:spacing w:after="0" w:line="240" w:lineRule="auto"/>
              <w:jc w:val="both"/>
              <w:rPr>
                <w:rFonts w:ascii="Times New Roman" w:hAnsi="Times New Roman"/>
                <w:i/>
                <w:iCs/>
                <w:sz w:val="20"/>
                <w:szCs w:val="20"/>
              </w:rPr>
            </w:pPr>
          </w:p>
        </w:tc>
      </w:tr>
      <w:tr w:rsidR="00F52FED" w:rsidRPr="00B0658A" w14:paraId="0B7CBE44" w14:textId="77777777" w:rsidTr="004F1366">
        <w:trPr>
          <w:trHeight w:val="170"/>
        </w:trPr>
        <w:tc>
          <w:tcPr>
            <w:tcW w:w="203" w:type="pct"/>
            <w:shd w:val="clear" w:color="auto" w:fill="auto"/>
          </w:tcPr>
          <w:p w14:paraId="71E0A488"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20"/>
                <w:szCs w:val="20"/>
              </w:rPr>
              <w:t>9.10</w:t>
            </w:r>
          </w:p>
        </w:tc>
        <w:tc>
          <w:tcPr>
            <w:tcW w:w="1153" w:type="pct"/>
            <w:shd w:val="clear" w:color="auto" w:fill="auto"/>
            <w:vAlign w:val="center"/>
          </w:tcPr>
          <w:p w14:paraId="5214E86C"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20"/>
                <w:szCs w:val="20"/>
              </w:rPr>
              <w:t>Средства управления процессами организации/ Средства управления ИТ-службой, ИТ-инфраструктурой и ИТ-активами (ITSM-ServiceDesk, SCCM, Asset Management)</w:t>
            </w:r>
          </w:p>
        </w:tc>
        <w:tc>
          <w:tcPr>
            <w:tcW w:w="624" w:type="pct"/>
          </w:tcPr>
          <w:p w14:paraId="07254A2F" w14:textId="77777777" w:rsidR="0002298B" w:rsidRPr="00B0658A" w:rsidRDefault="0002298B" w:rsidP="000A4114">
            <w:pPr>
              <w:spacing w:after="0" w:line="240" w:lineRule="auto"/>
              <w:rPr>
                <w:rFonts w:ascii="Times New Roman" w:hAnsi="Times New Roman"/>
                <w:i/>
                <w:iCs/>
                <w:sz w:val="20"/>
                <w:szCs w:val="20"/>
              </w:rPr>
            </w:pPr>
          </w:p>
        </w:tc>
        <w:tc>
          <w:tcPr>
            <w:tcW w:w="1090" w:type="pct"/>
            <w:shd w:val="clear" w:color="auto" w:fill="auto"/>
          </w:tcPr>
          <w:p w14:paraId="3C9BA379" w14:textId="77777777" w:rsidR="0002298B" w:rsidRPr="00B0658A" w:rsidRDefault="0002298B" w:rsidP="000A4114">
            <w:pPr>
              <w:spacing w:after="0" w:line="240" w:lineRule="auto"/>
              <w:rPr>
                <w:rFonts w:ascii="Times New Roman" w:hAnsi="Times New Roman"/>
                <w:i/>
                <w:iCs/>
                <w:sz w:val="20"/>
                <w:szCs w:val="20"/>
              </w:rPr>
            </w:pPr>
          </w:p>
        </w:tc>
        <w:tc>
          <w:tcPr>
            <w:tcW w:w="1036" w:type="pct"/>
            <w:shd w:val="clear" w:color="auto" w:fill="auto"/>
          </w:tcPr>
          <w:p w14:paraId="39DB2DDA" w14:textId="77777777" w:rsidR="0002298B" w:rsidRPr="00B0658A" w:rsidRDefault="0002298B" w:rsidP="000A4114">
            <w:pPr>
              <w:spacing w:after="0" w:line="240" w:lineRule="auto"/>
              <w:rPr>
                <w:rFonts w:ascii="Times New Roman" w:hAnsi="Times New Roman"/>
                <w:i/>
                <w:iCs/>
                <w:sz w:val="20"/>
                <w:szCs w:val="20"/>
              </w:rPr>
            </w:pPr>
          </w:p>
        </w:tc>
        <w:tc>
          <w:tcPr>
            <w:tcW w:w="894" w:type="pct"/>
            <w:shd w:val="clear" w:color="auto" w:fill="auto"/>
          </w:tcPr>
          <w:p w14:paraId="287AD652" w14:textId="77777777" w:rsidR="0002298B" w:rsidRPr="00B0658A" w:rsidRDefault="0002298B" w:rsidP="000A4114">
            <w:pPr>
              <w:spacing w:after="0" w:line="240" w:lineRule="auto"/>
              <w:jc w:val="both"/>
              <w:rPr>
                <w:rFonts w:ascii="Times New Roman" w:hAnsi="Times New Roman"/>
                <w:i/>
                <w:iCs/>
                <w:sz w:val="20"/>
                <w:szCs w:val="20"/>
              </w:rPr>
            </w:pPr>
          </w:p>
        </w:tc>
      </w:tr>
      <w:tr w:rsidR="00F52FED" w:rsidRPr="00B0658A" w14:paraId="0AA8B1FA" w14:textId="77777777" w:rsidTr="004F1366">
        <w:trPr>
          <w:trHeight w:val="170"/>
        </w:trPr>
        <w:tc>
          <w:tcPr>
            <w:tcW w:w="203" w:type="pct"/>
            <w:shd w:val="clear" w:color="auto" w:fill="auto"/>
          </w:tcPr>
          <w:p w14:paraId="4B9BEC34"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20"/>
                <w:szCs w:val="20"/>
              </w:rPr>
              <w:t>9.11</w:t>
            </w:r>
          </w:p>
        </w:tc>
        <w:tc>
          <w:tcPr>
            <w:tcW w:w="1153" w:type="pct"/>
            <w:shd w:val="clear" w:color="auto" w:fill="auto"/>
            <w:vAlign w:val="center"/>
          </w:tcPr>
          <w:p w14:paraId="37C154E4" w14:textId="77777777" w:rsidR="0002298B" w:rsidRPr="00B0658A" w:rsidRDefault="0002298B" w:rsidP="000A4114">
            <w:pPr>
              <w:suppressAutoHyphens/>
              <w:spacing w:after="0" w:line="240" w:lineRule="auto"/>
              <w:rPr>
                <w:rFonts w:ascii="Times New Roman" w:hAnsi="Times New Roman"/>
                <w:sz w:val="20"/>
                <w:szCs w:val="20"/>
              </w:rPr>
            </w:pPr>
            <w:r w:rsidRPr="00B0658A">
              <w:rPr>
                <w:rFonts w:ascii="Times New Roman" w:hAnsi="Times New Roman"/>
                <w:sz w:val="20"/>
                <w:szCs w:val="20"/>
              </w:rPr>
              <w:t xml:space="preserve">Средства управления процессами организации/ Средства управления содержимым (CMS), сайты </w:t>
            </w:r>
          </w:p>
          <w:p w14:paraId="0EE28C0B" w14:textId="77777777" w:rsidR="0002298B" w:rsidRPr="00B0658A" w:rsidRDefault="0002298B" w:rsidP="000A4114">
            <w:pPr>
              <w:suppressAutoHyphens/>
              <w:spacing w:after="0" w:line="240" w:lineRule="auto"/>
              <w:rPr>
                <w:rFonts w:ascii="Times New Roman" w:hAnsi="Times New Roman"/>
                <w:sz w:val="20"/>
                <w:szCs w:val="20"/>
              </w:rPr>
            </w:pPr>
            <w:r w:rsidRPr="00B0658A">
              <w:rPr>
                <w:rFonts w:ascii="Times New Roman" w:hAnsi="Times New Roman"/>
                <w:sz w:val="20"/>
                <w:szCs w:val="20"/>
              </w:rPr>
              <w:t>и портальные решения</w:t>
            </w:r>
          </w:p>
        </w:tc>
        <w:tc>
          <w:tcPr>
            <w:tcW w:w="624" w:type="pct"/>
          </w:tcPr>
          <w:p w14:paraId="242333FA" w14:textId="77777777" w:rsidR="0002298B" w:rsidRPr="00B0658A" w:rsidRDefault="0002298B" w:rsidP="000A4114">
            <w:pPr>
              <w:spacing w:after="0" w:line="240" w:lineRule="auto"/>
              <w:rPr>
                <w:rFonts w:ascii="Times New Roman" w:hAnsi="Times New Roman"/>
                <w:i/>
                <w:iCs/>
                <w:sz w:val="20"/>
                <w:szCs w:val="20"/>
              </w:rPr>
            </w:pPr>
          </w:p>
        </w:tc>
        <w:tc>
          <w:tcPr>
            <w:tcW w:w="1090" w:type="pct"/>
            <w:shd w:val="clear" w:color="auto" w:fill="auto"/>
          </w:tcPr>
          <w:p w14:paraId="758DB736" w14:textId="77777777" w:rsidR="0002298B" w:rsidRPr="00B0658A" w:rsidRDefault="0002298B" w:rsidP="000A4114">
            <w:pPr>
              <w:spacing w:after="0" w:line="240" w:lineRule="auto"/>
              <w:rPr>
                <w:rFonts w:ascii="Times New Roman" w:hAnsi="Times New Roman"/>
                <w:i/>
                <w:iCs/>
                <w:sz w:val="20"/>
                <w:szCs w:val="20"/>
              </w:rPr>
            </w:pPr>
          </w:p>
        </w:tc>
        <w:tc>
          <w:tcPr>
            <w:tcW w:w="1036" w:type="pct"/>
            <w:shd w:val="clear" w:color="auto" w:fill="auto"/>
          </w:tcPr>
          <w:p w14:paraId="58BA9810" w14:textId="77777777" w:rsidR="0002298B" w:rsidRPr="00B0658A" w:rsidRDefault="0002298B" w:rsidP="000A4114">
            <w:pPr>
              <w:spacing w:after="0" w:line="240" w:lineRule="auto"/>
              <w:rPr>
                <w:rFonts w:ascii="Times New Roman" w:hAnsi="Times New Roman"/>
                <w:i/>
                <w:iCs/>
                <w:sz w:val="20"/>
                <w:szCs w:val="20"/>
              </w:rPr>
            </w:pPr>
          </w:p>
        </w:tc>
        <w:tc>
          <w:tcPr>
            <w:tcW w:w="894" w:type="pct"/>
            <w:shd w:val="clear" w:color="auto" w:fill="auto"/>
          </w:tcPr>
          <w:p w14:paraId="09688AFD" w14:textId="77777777" w:rsidR="0002298B" w:rsidRPr="00B0658A" w:rsidRDefault="0002298B" w:rsidP="000A4114">
            <w:pPr>
              <w:spacing w:after="0" w:line="240" w:lineRule="auto"/>
              <w:jc w:val="both"/>
              <w:rPr>
                <w:rFonts w:ascii="Times New Roman" w:hAnsi="Times New Roman"/>
                <w:i/>
                <w:iCs/>
                <w:sz w:val="20"/>
                <w:szCs w:val="20"/>
              </w:rPr>
            </w:pPr>
          </w:p>
        </w:tc>
      </w:tr>
      <w:tr w:rsidR="00F52FED" w:rsidRPr="00B0658A" w14:paraId="5D646429" w14:textId="77777777" w:rsidTr="004F1366">
        <w:trPr>
          <w:trHeight w:val="170"/>
        </w:trPr>
        <w:tc>
          <w:tcPr>
            <w:tcW w:w="203" w:type="pct"/>
            <w:shd w:val="clear" w:color="auto" w:fill="auto"/>
          </w:tcPr>
          <w:p w14:paraId="04C081CA"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20"/>
                <w:szCs w:val="20"/>
              </w:rPr>
              <w:t>9.12</w:t>
            </w:r>
          </w:p>
        </w:tc>
        <w:tc>
          <w:tcPr>
            <w:tcW w:w="1153" w:type="pct"/>
            <w:shd w:val="clear" w:color="auto" w:fill="auto"/>
            <w:vAlign w:val="center"/>
          </w:tcPr>
          <w:p w14:paraId="683FDE2C"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20"/>
                <w:szCs w:val="20"/>
              </w:rPr>
              <w:t>Средства управления процессами организации/ Средства электронной коммерции (e-commerce platform)</w:t>
            </w:r>
          </w:p>
        </w:tc>
        <w:tc>
          <w:tcPr>
            <w:tcW w:w="624" w:type="pct"/>
          </w:tcPr>
          <w:p w14:paraId="753B3C3C" w14:textId="77777777" w:rsidR="0002298B" w:rsidRPr="00B0658A" w:rsidRDefault="0002298B" w:rsidP="000A4114">
            <w:pPr>
              <w:spacing w:after="0" w:line="240" w:lineRule="auto"/>
              <w:rPr>
                <w:rFonts w:ascii="Times New Roman" w:hAnsi="Times New Roman"/>
                <w:i/>
                <w:iCs/>
                <w:sz w:val="20"/>
                <w:szCs w:val="20"/>
              </w:rPr>
            </w:pPr>
          </w:p>
        </w:tc>
        <w:tc>
          <w:tcPr>
            <w:tcW w:w="1090" w:type="pct"/>
            <w:shd w:val="clear" w:color="auto" w:fill="auto"/>
          </w:tcPr>
          <w:p w14:paraId="7C82CC78" w14:textId="77777777" w:rsidR="0002298B" w:rsidRPr="00B0658A" w:rsidRDefault="0002298B" w:rsidP="000A4114">
            <w:pPr>
              <w:spacing w:after="0" w:line="240" w:lineRule="auto"/>
              <w:rPr>
                <w:rFonts w:ascii="Times New Roman" w:hAnsi="Times New Roman"/>
                <w:i/>
                <w:iCs/>
                <w:sz w:val="20"/>
                <w:szCs w:val="20"/>
              </w:rPr>
            </w:pPr>
          </w:p>
        </w:tc>
        <w:tc>
          <w:tcPr>
            <w:tcW w:w="1036" w:type="pct"/>
            <w:shd w:val="clear" w:color="auto" w:fill="auto"/>
          </w:tcPr>
          <w:p w14:paraId="40EB0F68" w14:textId="77777777" w:rsidR="0002298B" w:rsidRPr="00B0658A" w:rsidRDefault="0002298B" w:rsidP="000A4114">
            <w:pPr>
              <w:spacing w:after="0" w:line="240" w:lineRule="auto"/>
              <w:rPr>
                <w:rFonts w:ascii="Times New Roman" w:hAnsi="Times New Roman"/>
                <w:i/>
                <w:iCs/>
                <w:sz w:val="20"/>
                <w:szCs w:val="20"/>
              </w:rPr>
            </w:pPr>
          </w:p>
        </w:tc>
        <w:tc>
          <w:tcPr>
            <w:tcW w:w="894" w:type="pct"/>
            <w:shd w:val="clear" w:color="auto" w:fill="auto"/>
          </w:tcPr>
          <w:p w14:paraId="14BACD58" w14:textId="77777777" w:rsidR="0002298B" w:rsidRPr="00B0658A" w:rsidRDefault="0002298B" w:rsidP="000A4114">
            <w:pPr>
              <w:spacing w:after="0" w:line="240" w:lineRule="auto"/>
              <w:jc w:val="both"/>
              <w:rPr>
                <w:rFonts w:ascii="Times New Roman" w:hAnsi="Times New Roman"/>
                <w:i/>
                <w:iCs/>
                <w:sz w:val="20"/>
                <w:szCs w:val="20"/>
              </w:rPr>
            </w:pPr>
          </w:p>
        </w:tc>
      </w:tr>
      <w:tr w:rsidR="00F52FED" w:rsidRPr="00B0658A" w14:paraId="068E57C6" w14:textId="77777777" w:rsidTr="004F1366">
        <w:trPr>
          <w:trHeight w:val="170"/>
        </w:trPr>
        <w:tc>
          <w:tcPr>
            <w:tcW w:w="203" w:type="pct"/>
            <w:shd w:val="clear" w:color="auto" w:fill="auto"/>
          </w:tcPr>
          <w:p w14:paraId="6F6365C3"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20"/>
                <w:szCs w:val="20"/>
              </w:rPr>
              <w:t>9.13</w:t>
            </w:r>
          </w:p>
        </w:tc>
        <w:tc>
          <w:tcPr>
            <w:tcW w:w="1153" w:type="pct"/>
            <w:shd w:val="clear" w:color="auto" w:fill="auto"/>
            <w:vAlign w:val="center"/>
          </w:tcPr>
          <w:p w14:paraId="5343E71E"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20"/>
                <w:szCs w:val="20"/>
              </w:rPr>
              <w:t>Средства управления процессами организации/ Средства управления складом и цепочками поставок (WMS, SCM)</w:t>
            </w:r>
          </w:p>
        </w:tc>
        <w:tc>
          <w:tcPr>
            <w:tcW w:w="624" w:type="pct"/>
          </w:tcPr>
          <w:p w14:paraId="6F065EB6" w14:textId="77777777" w:rsidR="0002298B" w:rsidRPr="00B0658A" w:rsidRDefault="0002298B" w:rsidP="000A4114">
            <w:pPr>
              <w:spacing w:after="0" w:line="240" w:lineRule="auto"/>
              <w:rPr>
                <w:rFonts w:ascii="Times New Roman" w:hAnsi="Times New Roman"/>
                <w:i/>
                <w:iCs/>
                <w:sz w:val="20"/>
                <w:szCs w:val="20"/>
              </w:rPr>
            </w:pPr>
          </w:p>
        </w:tc>
        <w:tc>
          <w:tcPr>
            <w:tcW w:w="1090" w:type="pct"/>
            <w:shd w:val="clear" w:color="auto" w:fill="auto"/>
          </w:tcPr>
          <w:p w14:paraId="626C4CC6" w14:textId="77777777" w:rsidR="0002298B" w:rsidRPr="00B0658A" w:rsidRDefault="0002298B" w:rsidP="000A4114">
            <w:pPr>
              <w:spacing w:after="0" w:line="240" w:lineRule="auto"/>
              <w:rPr>
                <w:rFonts w:ascii="Times New Roman" w:hAnsi="Times New Roman"/>
                <w:i/>
                <w:iCs/>
                <w:sz w:val="20"/>
                <w:szCs w:val="20"/>
              </w:rPr>
            </w:pPr>
          </w:p>
        </w:tc>
        <w:tc>
          <w:tcPr>
            <w:tcW w:w="1036" w:type="pct"/>
            <w:shd w:val="clear" w:color="auto" w:fill="auto"/>
          </w:tcPr>
          <w:p w14:paraId="6FCA2E0E" w14:textId="77777777" w:rsidR="0002298B" w:rsidRPr="00B0658A" w:rsidRDefault="0002298B" w:rsidP="000A4114">
            <w:pPr>
              <w:spacing w:after="0" w:line="240" w:lineRule="auto"/>
              <w:rPr>
                <w:rFonts w:ascii="Times New Roman" w:hAnsi="Times New Roman"/>
                <w:i/>
                <w:iCs/>
                <w:sz w:val="20"/>
                <w:szCs w:val="20"/>
              </w:rPr>
            </w:pPr>
          </w:p>
        </w:tc>
        <w:tc>
          <w:tcPr>
            <w:tcW w:w="894" w:type="pct"/>
            <w:shd w:val="clear" w:color="auto" w:fill="auto"/>
          </w:tcPr>
          <w:p w14:paraId="3A55BF08" w14:textId="77777777" w:rsidR="0002298B" w:rsidRPr="00B0658A" w:rsidRDefault="0002298B" w:rsidP="000A4114">
            <w:pPr>
              <w:spacing w:after="0" w:line="240" w:lineRule="auto"/>
              <w:jc w:val="both"/>
              <w:rPr>
                <w:rFonts w:ascii="Times New Roman" w:hAnsi="Times New Roman"/>
                <w:i/>
                <w:iCs/>
                <w:sz w:val="20"/>
                <w:szCs w:val="20"/>
              </w:rPr>
            </w:pPr>
          </w:p>
        </w:tc>
      </w:tr>
      <w:tr w:rsidR="00F52FED" w:rsidRPr="00B0658A" w14:paraId="7B0321C1" w14:textId="77777777" w:rsidTr="004F1366">
        <w:trPr>
          <w:trHeight w:val="170"/>
        </w:trPr>
        <w:tc>
          <w:tcPr>
            <w:tcW w:w="203" w:type="pct"/>
            <w:shd w:val="clear" w:color="auto" w:fill="auto"/>
          </w:tcPr>
          <w:p w14:paraId="1DC9ED72"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20"/>
                <w:szCs w:val="20"/>
              </w:rPr>
              <w:t>9.14</w:t>
            </w:r>
          </w:p>
        </w:tc>
        <w:tc>
          <w:tcPr>
            <w:tcW w:w="1153" w:type="pct"/>
            <w:shd w:val="clear" w:color="auto" w:fill="auto"/>
            <w:vAlign w:val="center"/>
          </w:tcPr>
          <w:p w14:paraId="66A6EFD3"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20"/>
                <w:szCs w:val="20"/>
              </w:rPr>
              <w:t>Средства управления процессами организации/ Средства централизованного управления конечными устройствами</w:t>
            </w:r>
          </w:p>
        </w:tc>
        <w:tc>
          <w:tcPr>
            <w:tcW w:w="624" w:type="pct"/>
          </w:tcPr>
          <w:p w14:paraId="2D4B6172" w14:textId="77777777" w:rsidR="0002298B" w:rsidRPr="00B0658A" w:rsidRDefault="0002298B" w:rsidP="000A4114">
            <w:pPr>
              <w:spacing w:after="0" w:line="240" w:lineRule="auto"/>
              <w:rPr>
                <w:rFonts w:ascii="Times New Roman" w:hAnsi="Times New Roman"/>
                <w:i/>
                <w:iCs/>
                <w:sz w:val="20"/>
                <w:szCs w:val="20"/>
              </w:rPr>
            </w:pPr>
          </w:p>
        </w:tc>
        <w:tc>
          <w:tcPr>
            <w:tcW w:w="1090" w:type="pct"/>
            <w:shd w:val="clear" w:color="auto" w:fill="auto"/>
          </w:tcPr>
          <w:p w14:paraId="3FE62C8E" w14:textId="77777777" w:rsidR="0002298B" w:rsidRPr="00B0658A" w:rsidRDefault="0002298B" w:rsidP="000A4114">
            <w:pPr>
              <w:spacing w:after="0" w:line="240" w:lineRule="auto"/>
              <w:rPr>
                <w:rFonts w:ascii="Times New Roman" w:hAnsi="Times New Roman"/>
                <w:i/>
                <w:iCs/>
                <w:sz w:val="20"/>
                <w:szCs w:val="20"/>
              </w:rPr>
            </w:pPr>
          </w:p>
        </w:tc>
        <w:tc>
          <w:tcPr>
            <w:tcW w:w="1036" w:type="pct"/>
            <w:shd w:val="clear" w:color="auto" w:fill="auto"/>
          </w:tcPr>
          <w:p w14:paraId="7C480AC4" w14:textId="77777777" w:rsidR="0002298B" w:rsidRPr="00B0658A" w:rsidRDefault="0002298B" w:rsidP="000A4114">
            <w:pPr>
              <w:spacing w:after="0" w:line="240" w:lineRule="auto"/>
              <w:rPr>
                <w:rFonts w:ascii="Times New Roman" w:hAnsi="Times New Roman"/>
                <w:i/>
                <w:iCs/>
                <w:sz w:val="20"/>
                <w:szCs w:val="20"/>
              </w:rPr>
            </w:pPr>
          </w:p>
        </w:tc>
        <w:tc>
          <w:tcPr>
            <w:tcW w:w="894" w:type="pct"/>
            <w:shd w:val="clear" w:color="auto" w:fill="auto"/>
          </w:tcPr>
          <w:p w14:paraId="72D1F078" w14:textId="77777777" w:rsidR="0002298B" w:rsidRPr="00B0658A" w:rsidRDefault="0002298B" w:rsidP="000A4114">
            <w:pPr>
              <w:spacing w:after="0" w:line="240" w:lineRule="auto"/>
              <w:jc w:val="both"/>
              <w:rPr>
                <w:rFonts w:ascii="Times New Roman" w:hAnsi="Times New Roman"/>
                <w:i/>
                <w:iCs/>
                <w:sz w:val="20"/>
                <w:szCs w:val="20"/>
              </w:rPr>
            </w:pPr>
          </w:p>
        </w:tc>
      </w:tr>
      <w:tr w:rsidR="00F52FED" w:rsidRPr="00B0658A" w14:paraId="76FD3881" w14:textId="77777777" w:rsidTr="004F1366">
        <w:trPr>
          <w:trHeight w:val="170"/>
        </w:trPr>
        <w:tc>
          <w:tcPr>
            <w:tcW w:w="203" w:type="pct"/>
            <w:shd w:val="clear" w:color="auto" w:fill="auto"/>
          </w:tcPr>
          <w:p w14:paraId="4232D430"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20"/>
                <w:szCs w:val="20"/>
              </w:rPr>
              <w:t>10.1</w:t>
            </w:r>
          </w:p>
        </w:tc>
        <w:tc>
          <w:tcPr>
            <w:tcW w:w="1153" w:type="pct"/>
            <w:shd w:val="clear" w:color="auto" w:fill="auto"/>
            <w:vAlign w:val="center"/>
          </w:tcPr>
          <w:p w14:paraId="3302FEA5"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20"/>
                <w:szCs w:val="20"/>
              </w:rPr>
              <w:t>Средства обработки и визуализации массивов данных/ Средства обработки Больших Данных (BigData)</w:t>
            </w:r>
          </w:p>
        </w:tc>
        <w:tc>
          <w:tcPr>
            <w:tcW w:w="624" w:type="pct"/>
          </w:tcPr>
          <w:p w14:paraId="14EFC52E" w14:textId="77777777" w:rsidR="0002298B" w:rsidRPr="00B0658A" w:rsidRDefault="0002298B" w:rsidP="000A4114">
            <w:pPr>
              <w:spacing w:after="0" w:line="240" w:lineRule="auto"/>
              <w:rPr>
                <w:rFonts w:ascii="Times New Roman" w:hAnsi="Times New Roman"/>
                <w:i/>
                <w:iCs/>
                <w:sz w:val="20"/>
                <w:szCs w:val="20"/>
              </w:rPr>
            </w:pPr>
          </w:p>
        </w:tc>
        <w:tc>
          <w:tcPr>
            <w:tcW w:w="1090" w:type="pct"/>
            <w:shd w:val="clear" w:color="auto" w:fill="auto"/>
          </w:tcPr>
          <w:p w14:paraId="4D6C22E4" w14:textId="77777777" w:rsidR="0002298B" w:rsidRPr="00B0658A" w:rsidRDefault="0002298B" w:rsidP="000A4114">
            <w:pPr>
              <w:spacing w:after="0" w:line="240" w:lineRule="auto"/>
              <w:rPr>
                <w:rFonts w:ascii="Times New Roman" w:hAnsi="Times New Roman"/>
                <w:i/>
                <w:iCs/>
                <w:sz w:val="20"/>
                <w:szCs w:val="20"/>
              </w:rPr>
            </w:pPr>
          </w:p>
        </w:tc>
        <w:tc>
          <w:tcPr>
            <w:tcW w:w="1036" w:type="pct"/>
            <w:shd w:val="clear" w:color="auto" w:fill="auto"/>
          </w:tcPr>
          <w:p w14:paraId="488372F9" w14:textId="77777777" w:rsidR="0002298B" w:rsidRPr="00B0658A" w:rsidRDefault="0002298B" w:rsidP="000A4114">
            <w:pPr>
              <w:spacing w:after="0" w:line="240" w:lineRule="auto"/>
              <w:rPr>
                <w:rFonts w:ascii="Times New Roman" w:hAnsi="Times New Roman"/>
                <w:i/>
                <w:iCs/>
                <w:sz w:val="20"/>
                <w:szCs w:val="20"/>
              </w:rPr>
            </w:pPr>
          </w:p>
        </w:tc>
        <w:tc>
          <w:tcPr>
            <w:tcW w:w="894" w:type="pct"/>
            <w:shd w:val="clear" w:color="auto" w:fill="auto"/>
          </w:tcPr>
          <w:p w14:paraId="75DE94BE" w14:textId="77777777" w:rsidR="0002298B" w:rsidRPr="00B0658A" w:rsidRDefault="0002298B" w:rsidP="000A4114">
            <w:pPr>
              <w:spacing w:after="0" w:line="240" w:lineRule="auto"/>
              <w:jc w:val="both"/>
              <w:rPr>
                <w:rFonts w:ascii="Times New Roman" w:hAnsi="Times New Roman"/>
                <w:i/>
                <w:iCs/>
                <w:sz w:val="20"/>
                <w:szCs w:val="20"/>
              </w:rPr>
            </w:pPr>
          </w:p>
        </w:tc>
      </w:tr>
      <w:tr w:rsidR="00F52FED" w:rsidRPr="00B0658A" w14:paraId="7FC6A548" w14:textId="77777777" w:rsidTr="004F1366">
        <w:trPr>
          <w:trHeight w:val="170"/>
        </w:trPr>
        <w:tc>
          <w:tcPr>
            <w:tcW w:w="203" w:type="pct"/>
            <w:shd w:val="clear" w:color="auto" w:fill="auto"/>
          </w:tcPr>
          <w:p w14:paraId="6B6D93E3"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20"/>
                <w:szCs w:val="20"/>
              </w:rPr>
              <w:t>10.2</w:t>
            </w:r>
          </w:p>
        </w:tc>
        <w:tc>
          <w:tcPr>
            <w:tcW w:w="1153" w:type="pct"/>
            <w:shd w:val="clear" w:color="auto" w:fill="auto"/>
            <w:vAlign w:val="center"/>
          </w:tcPr>
          <w:p w14:paraId="65CF6260"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20"/>
                <w:szCs w:val="20"/>
              </w:rPr>
              <w:t>Средства обработки и визуализации массивов данных/ Средства обработки и анализа геологических и геофизических данных</w:t>
            </w:r>
          </w:p>
        </w:tc>
        <w:tc>
          <w:tcPr>
            <w:tcW w:w="624" w:type="pct"/>
          </w:tcPr>
          <w:p w14:paraId="5FFDE0E7" w14:textId="77777777" w:rsidR="0002298B" w:rsidRPr="00B0658A" w:rsidRDefault="0002298B" w:rsidP="000A4114">
            <w:pPr>
              <w:spacing w:after="0" w:line="240" w:lineRule="auto"/>
              <w:rPr>
                <w:rFonts w:ascii="Times New Roman" w:hAnsi="Times New Roman"/>
                <w:i/>
                <w:iCs/>
                <w:sz w:val="20"/>
                <w:szCs w:val="20"/>
              </w:rPr>
            </w:pPr>
          </w:p>
        </w:tc>
        <w:tc>
          <w:tcPr>
            <w:tcW w:w="1090" w:type="pct"/>
            <w:shd w:val="clear" w:color="auto" w:fill="auto"/>
          </w:tcPr>
          <w:p w14:paraId="29A9EA91" w14:textId="77777777" w:rsidR="0002298B" w:rsidRPr="00B0658A" w:rsidRDefault="0002298B" w:rsidP="000A4114">
            <w:pPr>
              <w:spacing w:after="0" w:line="240" w:lineRule="auto"/>
              <w:rPr>
                <w:rFonts w:ascii="Times New Roman" w:hAnsi="Times New Roman"/>
                <w:i/>
                <w:iCs/>
                <w:sz w:val="20"/>
                <w:szCs w:val="20"/>
              </w:rPr>
            </w:pPr>
          </w:p>
        </w:tc>
        <w:tc>
          <w:tcPr>
            <w:tcW w:w="1036" w:type="pct"/>
            <w:shd w:val="clear" w:color="auto" w:fill="auto"/>
          </w:tcPr>
          <w:p w14:paraId="76987EAF" w14:textId="77777777" w:rsidR="0002298B" w:rsidRPr="00B0658A" w:rsidRDefault="0002298B" w:rsidP="000A4114">
            <w:pPr>
              <w:spacing w:after="0" w:line="240" w:lineRule="auto"/>
              <w:rPr>
                <w:rFonts w:ascii="Times New Roman" w:hAnsi="Times New Roman"/>
                <w:i/>
                <w:iCs/>
                <w:sz w:val="20"/>
                <w:szCs w:val="20"/>
              </w:rPr>
            </w:pPr>
          </w:p>
        </w:tc>
        <w:tc>
          <w:tcPr>
            <w:tcW w:w="894" w:type="pct"/>
            <w:shd w:val="clear" w:color="auto" w:fill="auto"/>
          </w:tcPr>
          <w:p w14:paraId="534100C0" w14:textId="77777777" w:rsidR="0002298B" w:rsidRPr="00B0658A" w:rsidRDefault="0002298B" w:rsidP="000A4114">
            <w:pPr>
              <w:spacing w:after="0" w:line="240" w:lineRule="auto"/>
              <w:jc w:val="both"/>
              <w:rPr>
                <w:rFonts w:ascii="Times New Roman" w:hAnsi="Times New Roman"/>
                <w:i/>
                <w:iCs/>
                <w:sz w:val="20"/>
                <w:szCs w:val="20"/>
              </w:rPr>
            </w:pPr>
          </w:p>
        </w:tc>
      </w:tr>
      <w:tr w:rsidR="00F52FED" w:rsidRPr="00B0658A" w14:paraId="68F2E802" w14:textId="77777777" w:rsidTr="004F1366">
        <w:trPr>
          <w:trHeight w:val="170"/>
        </w:trPr>
        <w:tc>
          <w:tcPr>
            <w:tcW w:w="203" w:type="pct"/>
            <w:shd w:val="clear" w:color="auto" w:fill="auto"/>
          </w:tcPr>
          <w:p w14:paraId="02BFABB4"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20"/>
                <w:szCs w:val="20"/>
              </w:rPr>
              <w:t>10.3</w:t>
            </w:r>
          </w:p>
        </w:tc>
        <w:tc>
          <w:tcPr>
            <w:tcW w:w="1153" w:type="pct"/>
            <w:shd w:val="clear" w:color="auto" w:fill="auto"/>
            <w:vAlign w:val="center"/>
          </w:tcPr>
          <w:p w14:paraId="0E2AC547"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20"/>
                <w:szCs w:val="20"/>
              </w:rPr>
              <w:t>Средства обработки и визуализации массивов данных/ Средства математического и имитационного моделирования</w:t>
            </w:r>
          </w:p>
        </w:tc>
        <w:tc>
          <w:tcPr>
            <w:tcW w:w="624" w:type="pct"/>
          </w:tcPr>
          <w:p w14:paraId="19DEE0B5" w14:textId="77777777" w:rsidR="0002298B" w:rsidRPr="00B0658A" w:rsidRDefault="0002298B" w:rsidP="000A4114">
            <w:pPr>
              <w:spacing w:after="0" w:line="240" w:lineRule="auto"/>
              <w:rPr>
                <w:rFonts w:ascii="Times New Roman" w:hAnsi="Times New Roman"/>
                <w:i/>
                <w:iCs/>
                <w:sz w:val="20"/>
                <w:szCs w:val="20"/>
              </w:rPr>
            </w:pPr>
          </w:p>
        </w:tc>
        <w:tc>
          <w:tcPr>
            <w:tcW w:w="1090" w:type="pct"/>
            <w:shd w:val="clear" w:color="auto" w:fill="auto"/>
          </w:tcPr>
          <w:p w14:paraId="165F34CE" w14:textId="77777777" w:rsidR="0002298B" w:rsidRPr="00B0658A" w:rsidRDefault="0002298B" w:rsidP="000A4114">
            <w:pPr>
              <w:spacing w:after="0" w:line="240" w:lineRule="auto"/>
              <w:rPr>
                <w:rFonts w:ascii="Times New Roman" w:hAnsi="Times New Roman"/>
                <w:i/>
                <w:iCs/>
                <w:sz w:val="20"/>
                <w:szCs w:val="20"/>
              </w:rPr>
            </w:pPr>
          </w:p>
        </w:tc>
        <w:tc>
          <w:tcPr>
            <w:tcW w:w="1036" w:type="pct"/>
            <w:shd w:val="clear" w:color="auto" w:fill="auto"/>
          </w:tcPr>
          <w:p w14:paraId="5D798D63" w14:textId="77777777" w:rsidR="0002298B" w:rsidRPr="00B0658A" w:rsidRDefault="0002298B" w:rsidP="000A4114">
            <w:pPr>
              <w:spacing w:after="0" w:line="240" w:lineRule="auto"/>
              <w:rPr>
                <w:rFonts w:ascii="Times New Roman" w:hAnsi="Times New Roman"/>
                <w:i/>
                <w:iCs/>
                <w:sz w:val="20"/>
                <w:szCs w:val="20"/>
              </w:rPr>
            </w:pPr>
          </w:p>
        </w:tc>
        <w:tc>
          <w:tcPr>
            <w:tcW w:w="894" w:type="pct"/>
            <w:shd w:val="clear" w:color="auto" w:fill="auto"/>
          </w:tcPr>
          <w:p w14:paraId="1B3204E8" w14:textId="77777777" w:rsidR="0002298B" w:rsidRPr="00B0658A" w:rsidRDefault="0002298B" w:rsidP="000A4114">
            <w:pPr>
              <w:spacing w:after="0" w:line="240" w:lineRule="auto"/>
              <w:jc w:val="both"/>
              <w:rPr>
                <w:rFonts w:ascii="Times New Roman" w:hAnsi="Times New Roman"/>
                <w:i/>
                <w:iCs/>
                <w:sz w:val="20"/>
                <w:szCs w:val="20"/>
              </w:rPr>
            </w:pPr>
          </w:p>
        </w:tc>
      </w:tr>
      <w:tr w:rsidR="00F52FED" w:rsidRPr="00B0658A" w14:paraId="24D5060F" w14:textId="77777777" w:rsidTr="004F1366">
        <w:trPr>
          <w:trHeight w:val="170"/>
        </w:trPr>
        <w:tc>
          <w:tcPr>
            <w:tcW w:w="203" w:type="pct"/>
            <w:shd w:val="clear" w:color="auto" w:fill="auto"/>
          </w:tcPr>
          <w:p w14:paraId="49BB899D"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20"/>
                <w:szCs w:val="20"/>
              </w:rPr>
              <w:t>10.4</w:t>
            </w:r>
          </w:p>
        </w:tc>
        <w:tc>
          <w:tcPr>
            <w:tcW w:w="1153" w:type="pct"/>
            <w:shd w:val="clear" w:color="auto" w:fill="auto"/>
            <w:vAlign w:val="center"/>
          </w:tcPr>
          <w:p w14:paraId="3A9B33A9"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20"/>
                <w:szCs w:val="20"/>
              </w:rPr>
              <w:t>Средства обработки и визуализации массивов данных/ Средства управления информационными ресурсами и средства управления основными данными (ECM, MDM)</w:t>
            </w:r>
          </w:p>
        </w:tc>
        <w:tc>
          <w:tcPr>
            <w:tcW w:w="624" w:type="pct"/>
          </w:tcPr>
          <w:p w14:paraId="6F19BC40" w14:textId="77777777" w:rsidR="0002298B" w:rsidRPr="00B0658A" w:rsidRDefault="0002298B" w:rsidP="000A4114">
            <w:pPr>
              <w:spacing w:after="0" w:line="240" w:lineRule="auto"/>
              <w:rPr>
                <w:rFonts w:ascii="Times New Roman" w:hAnsi="Times New Roman"/>
                <w:i/>
                <w:iCs/>
                <w:sz w:val="20"/>
                <w:szCs w:val="20"/>
              </w:rPr>
            </w:pPr>
          </w:p>
        </w:tc>
        <w:tc>
          <w:tcPr>
            <w:tcW w:w="1090" w:type="pct"/>
            <w:shd w:val="clear" w:color="auto" w:fill="auto"/>
          </w:tcPr>
          <w:p w14:paraId="4957C5A1" w14:textId="77777777" w:rsidR="0002298B" w:rsidRPr="00B0658A" w:rsidRDefault="0002298B" w:rsidP="000A4114">
            <w:pPr>
              <w:spacing w:after="0" w:line="240" w:lineRule="auto"/>
              <w:rPr>
                <w:rFonts w:ascii="Times New Roman" w:hAnsi="Times New Roman"/>
                <w:i/>
                <w:iCs/>
                <w:sz w:val="20"/>
                <w:szCs w:val="20"/>
              </w:rPr>
            </w:pPr>
          </w:p>
        </w:tc>
        <w:tc>
          <w:tcPr>
            <w:tcW w:w="1036" w:type="pct"/>
            <w:shd w:val="clear" w:color="auto" w:fill="auto"/>
          </w:tcPr>
          <w:p w14:paraId="47459E5C" w14:textId="77777777" w:rsidR="0002298B" w:rsidRPr="00B0658A" w:rsidRDefault="0002298B" w:rsidP="000A4114">
            <w:pPr>
              <w:spacing w:after="0" w:line="240" w:lineRule="auto"/>
              <w:rPr>
                <w:rFonts w:ascii="Times New Roman" w:hAnsi="Times New Roman"/>
                <w:i/>
                <w:iCs/>
                <w:sz w:val="20"/>
                <w:szCs w:val="20"/>
              </w:rPr>
            </w:pPr>
          </w:p>
        </w:tc>
        <w:tc>
          <w:tcPr>
            <w:tcW w:w="894" w:type="pct"/>
            <w:shd w:val="clear" w:color="auto" w:fill="auto"/>
          </w:tcPr>
          <w:p w14:paraId="54D90656" w14:textId="77777777" w:rsidR="0002298B" w:rsidRPr="00B0658A" w:rsidRDefault="0002298B" w:rsidP="000A4114">
            <w:pPr>
              <w:spacing w:after="0" w:line="240" w:lineRule="auto"/>
              <w:jc w:val="both"/>
              <w:rPr>
                <w:rFonts w:ascii="Times New Roman" w:hAnsi="Times New Roman"/>
                <w:i/>
                <w:iCs/>
                <w:sz w:val="20"/>
                <w:szCs w:val="20"/>
              </w:rPr>
            </w:pPr>
          </w:p>
        </w:tc>
      </w:tr>
      <w:tr w:rsidR="00F52FED" w:rsidRPr="00B0658A" w14:paraId="097E1D73" w14:textId="77777777" w:rsidTr="004F1366">
        <w:trPr>
          <w:trHeight w:val="170"/>
        </w:trPr>
        <w:tc>
          <w:tcPr>
            <w:tcW w:w="203" w:type="pct"/>
            <w:shd w:val="clear" w:color="auto" w:fill="auto"/>
          </w:tcPr>
          <w:p w14:paraId="1B5627BF"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20"/>
                <w:szCs w:val="20"/>
              </w:rPr>
              <w:t>11.1</w:t>
            </w:r>
          </w:p>
        </w:tc>
        <w:tc>
          <w:tcPr>
            <w:tcW w:w="1153" w:type="pct"/>
            <w:shd w:val="clear" w:color="auto" w:fill="auto"/>
            <w:vAlign w:val="center"/>
          </w:tcPr>
          <w:p w14:paraId="533F8A00"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20"/>
                <w:szCs w:val="20"/>
              </w:rPr>
              <w:t>Средства анализа данных/ Инструменты извлечения и трансформации данных (ETL)</w:t>
            </w:r>
          </w:p>
        </w:tc>
        <w:tc>
          <w:tcPr>
            <w:tcW w:w="624" w:type="pct"/>
          </w:tcPr>
          <w:p w14:paraId="479E0402" w14:textId="77777777" w:rsidR="0002298B" w:rsidRPr="00B0658A" w:rsidRDefault="0002298B" w:rsidP="000A4114">
            <w:pPr>
              <w:spacing w:after="0" w:line="240" w:lineRule="auto"/>
              <w:rPr>
                <w:rFonts w:ascii="Times New Roman" w:hAnsi="Times New Roman"/>
                <w:i/>
                <w:iCs/>
                <w:sz w:val="20"/>
                <w:szCs w:val="20"/>
              </w:rPr>
            </w:pPr>
          </w:p>
        </w:tc>
        <w:tc>
          <w:tcPr>
            <w:tcW w:w="1090" w:type="pct"/>
            <w:shd w:val="clear" w:color="auto" w:fill="auto"/>
          </w:tcPr>
          <w:p w14:paraId="140C8AAF" w14:textId="77777777" w:rsidR="0002298B" w:rsidRPr="00B0658A" w:rsidRDefault="0002298B" w:rsidP="000A4114">
            <w:pPr>
              <w:spacing w:after="0" w:line="240" w:lineRule="auto"/>
              <w:rPr>
                <w:rFonts w:ascii="Times New Roman" w:hAnsi="Times New Roman"/>
                <w:i/>
                <w:iCs/>
                <w:sz w:val="20"/>
                <w:szCs w:val="20"/>
              </w:rPr>
            </w:pPr>
          </w:p>
        </w:tc>
        <w:tc>
          <w:tcPr>
            <w:tcW w:w="1036" w:type="pct"/>
            <w:shd w:val="clear" w:color="auto" w:fill="auto"/>
          </w:tcPr>
          <w:p w14:paraId="403119C4" w14:textId="77777777" w:rsidR="0002298B" w:rsidRPr="00B0658A" w:rsidRDefault="0002298B" w:rsidP="000A4114">
            <w:pPr>
              <w:spacing w:after="0" w:line="240" w:lineRule="auto"/>
              <w:rPr>
                <w:rFonts w:ascii="Times New Roman" w:hAnsi="Times New Roman"/>
                <w:i/>
                <w:iCs/>
                <w:sz w:val="20"/>
                <w:szCs w:val="20"/>
              </w:rPr>
            </w:pPr>
          </w:p>
        </w:tc>
        <w:tc>
          <w:tcPr>
            <w:tcW w:w="894" w:type="pct"/>
            <w:shd w:val="clear" w:color="auto" w:fill="auto"/>
          </w:tcPr>
          <w:p w14:paraId="36B644E7" w14:textId="77777777" w:rsidR="0002298B" w:rsidRPr="00B0658A" w:rsidRDefault="0002298B" w:rsidP="000A4114">
            <w:pPr>
              <w:spacing w:after="0" w:line="240" w:lineRule="auto"/>
              <w:jc w:val="both"/>
              <w:rPr>
                <w:rFonts w:ascii="Times New Roman" w:hAnsi="Times New Roman"/>
                <w:i/>
                <w:iCs/>
                <w:sz w:val="20"/>
                <w:szCs w:val="20"/>
              </w:rPr>
            </w:pPr>
          </w:p>
        </w:tc>
      </w:tr>
      <w:tr w:rsidR="00F52FED" w:rsidRPr="00B0658A" w14:paraId="03189E03" w14:textId="77777777" w:rsidTr="004F1366">
        <w:trPr>
          <w:trHeight w:val="170"/>
        </w:trPr>
        <w:tc>
          <w:tcPr>
            <w:tcW w:w="203" w:type="pct"/>
            <w:shd w:val="clear" w:color="auto" w:fill="auto"/>
          </w:tcPr>
          <w:p w14:paraId="463C7BD9"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20"/>
                <w:szCs w:val="20"/>
              </w:rPr>
              <w:t>11.2</w:t>
            </w:r>
          </w:p>
        </w:tc>
        <w:tc>
          <w:tcPr>
            <w:tcW w:w="1153" w:type="pct"/>
            <w:shd w:val="clear" w:color="auto" w:fill="auto"/>
            <w:vAlign w:val="center"/>
          </w:tcPr>
          <w:p w14:paraId="19682115"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20"/>
                <w:szCs w:val="20"/>
              </w:rPr>
              <w:t>Средства анализа данных/ Предметно-ориентированные информационные базы данных (EDW)</w:t>
            </w:r>
          </w:p>
        </w:tc>
        <w:tc>
          <w:tcPr>
            <w:tcW w:w="624" w:type="pct"/>
          </w:tcPr>
          <w:p w14:paraId="4AC9CFA9" w14:textId="77777777" w:rsidR="0002298B" w:rsidRPr="00B0658A" w:rsidRDefault="0002298B" w:rsidP="000A4114">
            <w:pPr>
              <w:spacing w:after="0" w:line="240" w:lineRule="auto"/>
              <w:rPr>
                <w:rFonts w:ascii="Times New Roman" w:hAnsi="Times New Roman"/>
                <w:i/>
                <w:iCs/>
                <w:sz w:val="20"/>
                <w:szCs w:val="20"/>
              </w:rPr>
            </w:pPr>
          </w:p>
        </w:tc>
        <w:tc>
          <w:tcPr>
            <w:tcW w:w="1090" w:type="pct"/>
            <w:shd w:val="clear" w:color="auto" w:fill="auto"/>
          </w:tcPr>
          <w:p w14:paraId="3B30669A" w14:textId="77777777" w:rsidR="0002298B" w:rsidRPr="00B0658A" w:rsidRDefault="0002298B" w:rsidP="000A4114">
            <w:pPr>
              <w:spacing w:after="0" w:line="240" w:lineRule="auto"/>
              <w:rPr>
                <w:rFonts w:ascii="Times New Roman" w:hAnsi="Times New Roman"/>
                <w:i/>
                <w:iCs/>
                <w:sz w:val="20"/>
                <w:szCs w:val="20"/>
              </w:rPr>
            </w:pPr>
          </w:p>
        </w:tc>
        <w:tc>
          <w:tcPr>
            <w:tcW w:w="1036" w:type="pct"/>
            <w:shd w:val="clear" w:color="auto" w:fill="auto"/>
          </w:tcPr>
          <w:p w14:paraId="4ADD047A" w14:textId="77777777" w:rsidR="0002298B" w:rsidRPr="00B0658A" w:rsidRDefault="0002298B" w:rsidP="000A4114">
            <w:pPr>
              <w:spacing w:after="0" w:line="240" w:lineRule="auto"/>
              <w:rPr>
                <w:rFonts w:ascii="Times New Roman" w:hAnsi="Times New Roman"/>
                <w:i/>
                <w:iCs/>
                <w:sz w:val="20"/>
                <w:szCs w:val="20"/>
              </w:rPr>
            </w:pPr>
          </w:p>
        </w:tc>
        <w:tc>
          <w:tcPr>
            <w:tcW w:w="894" w:type="pct"/>
            <w:shd w:val="clear" w:color="auto" w:fill="auto"/>
          </w:tcPr>
          <w:p w14:paraId="1C0190B1" w14:textId="77777777" w:rsidR="0002298B" w:rsidRPr="00B0658A" w:rsidRDefault="0002298B" w:rsidP="000A4114">
            <w:pPr>
              <w:spacing w:after="0" w:line="240" w:lineRule="auto"/>
              <w:jc w:val="both"/>
              <w:rPr>
                <w:rFonts w:ascii="Times New Roman" w:hAnsi="Times New Roman"/>
                <w:i/>
                <w:iCs/>
                <w:sz w:val="20"/>
                <w:szCs w:val="20"/>
              </w:rPr>
            </w:pPr>
          </w:p>
        </w:tc>
      </w:tr>
      <w:tr w:rsidR="00F52FED" w:rsidRPr="00B0658A" w14:paraId="1884EC45" w14:textId="77777777" w:rsidTr="004F1366">
        <w:trPr>
          <w:trHeight w:val="170"/>
        </w:trPr>
        <w:tc>
          <w:tcPr>
            <w:tcW w:w="203" w:type="pct"/>
            <w:shd w:val="clear" w:color="auto" w:fill="auto"/>
          </w:tcPr>
          <w:p w14:paraId="6272860C"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20"/>
                <w:szCs w:val="20"/>
              </w:rPr>
              <w:t>11.3</w:t>
            </w:r>
          </w:p>
        </w:tc>
        <w:tc>
          <w:tcPr>
            <w:tcW w:w="1153" w:type="pct"/>
            <w:shd w:val="clear" w:color="auto" w:fill="auto"/>
            <w:vAlign w:val="center"/>
          </w:tcPr>
          <w:p w14:paraId="5E8D539A" w14:textId="77777777" w:rsidR="0002298B" w:rsidRPr="00B0658A" w:rsidRDefault="0002298B" w:rsidP="000A4114">
            <w:pPr>
              <w:suppressAutoHyphens/>
              <w:spacing w:after="0" w:line="240" w:lineRule="auto"/>
              <w:rPr>
                <w:rFonts w:ascii="Times New Roman" w:hAnsi="Times New Roman"/>
                <w:sz w:val="20"/>
                <w:szCs w:val="20"/>
              </w:rPr>
            </w:pPr>
            <w:r w:rsidRPr="00B0658A">
              <w:rPr>
                <w:rFonts w:ascii="Times New Roman" w:hAnsi="Times New Roman"/>
                <w:sz w:val="20"/>
                <w:szCs w:val="20"/>
              </w:rPr>
              <w:t>Средства анализа данных/</w:t>
            </w:r>
          </w:p>
          <w:p w14:paraId="6ECD123C"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20"/>
                <w:szCs w:val="20"/>
              </w:rPr>
              <w:t>Средства аналитической обработки в реальном времени (OLAP)</w:t>
            </w:r>
          </w:p>
        </w:tc>
        <w:tc>
          <w:tcPr>
            <w:tcW w:w="624" w:type="pct"/>
          </w:tcPr>
          <w:p w14:paraId="4C417917" w14:textId="77777777" w:rsidR="0002298B" w:rsidRPr="00B0658A" w:rsidRDefault="0002298B" w:rsidP="000A4114">
            <w:pPr>
              <w:spacing w:after="0" w:line="240" w:lineRule="auto"/>
              <w:rPr>
                <w:rFonts w:ascii="Times New Roman" w:hAnsi="Times New Roman"/>
                <w:i/>
                <w:iCs/>
                <w:sz w:val="20"/>
                <w:szCs w:val="20"/>
              </w:rPr>
            </w:pPr>
          </w:p>
        </w:tc>
        <w:tc>
          <w:tcPr>
            <w:tcW w:w="1090" w:type="pct"/>
            <w:shd w:val="clear" w:color="auto" w:fill="auto"/>
          </w:tcPr>
          <w:p w14:paraId="06CF3369" w14:textId="77777777" w:rsidR="0002298B" w:rsidRPr="00B0658A" w:rsidRDefault="0002298B" w:rsidP="000A4114">
            <w:pPr>
              <w:spacing w:after="0" w:line="240" w:lineRule="auto"/>
              <w:rPr>
                <w:rFonts w:ascii="Times New Roman" w:hAnsi="Times New Roman"/>
                <w:i/>
                <w:iCs/>
                <w:sz w:val="20"/>
                <w:szCs w:val="20"/>
              </w:rPr>
            </w:pPr>
          </w:p>
        </w:tc>
        <w:tc>
          <w:tcPr>
            <w:tcW w:w="1036" w:type="pct"/>
            <w:shd w:val="clear" w:color="auto" w:fill="auto"/>
          </w:tcPr>
          <w:p w14:paraId="55F404A1" w14:textId="77777777" w:rsidR="0002298B" w:rsidRPr="00B0658A" w:rsidRDefault="0002298B" w:rsidP="000A4114">
            <w:pPr>
              <w:spacing w:after="0" w:line="240" w:lineRule="auto"/>
              <w:rPr>
                <w:rFonts w:ascii="Times New Roman" w:hAnsi="Times New Roman"/>
                <w:i/>
                <w:iCs/>
                <w:sz w:val="20"/>
                <w:szCs w:val="20"/>
              </w:rPr>
            </w:pPr>
          </w:p>
        </w:tc>
        <w:tc>
          <w:tcPr>
            <w:tcW w:w="894" w:type="pct"/>
            <w:shd w:val="clear" w:color="auto" w:fill="auto"/>
          </w:tcPr>
          <w:p w14:paraId="0D628B41" w14:textId="77777777" w:rsidR="0002298B" w:rsidRPr="00B0658A" w:rsidRDefault="0002298B" w:rsidP="000A4114">
            <w:pPr>
              <w:spacing w:after="0" w:line="240" w:lineRule="auto"/>
              <w:jc w:val="both"/>
              <w:rPr>
                <w:rFonts w:ascii="Times New Roman" w:hAnsi="Times New Roman"/>
                <w:i/>
                <w:iCs/>
                <w:sz w:val="20"/>
                <w:szCs w:val="20"/>
              </w:rPr>
            </w:pPr>
          </w:p>
        </w:tc>
      </w:tr>
      <w:tr w:rsidR="00F52FED" w:rsidRPr="00B0658A" w14:paraId="6AB66333" w14:textId="77777777" w:rsidTr="004F1366">
        <w:trPr>
          <w:trHeight w:val="170"/>
        </w:trPr>
        <w:tc>
          <w:tcPr>
            <w:tcW w:w="203" w:type="pct"/>
            <w:shd w:val="clear" w:color="auto" w:fill="auto"/>
          </w:tcPr>
          <w:p w14:paraId="3E68DAA0"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20"/>
                <w:szCs w:val="20"/>
              </w:rPr>
              <w:t>11.4</w:t>
            </w:r>
          </w:p>
        </w:tc>
        <w:tc>
          <w:tcPr>
            <w:tcW w:w="1153" w:type="pct"/>
            <w:shd w:val="clear" w:color="auto" w:fill="auto"/>
            <w:vAlign w:val="center"/>
          </w:tcPr>
          <w:p w14:paraId="5797F182" w14:textId="77777777" w:rsidR="0002298B" w:rsidRPr="00B0658A" w:rsidRDefault="0002298B" w:rsidP="000A4114">
            <w:pPr>
              <w:suppressAutoHyphens/>
              <w:spacing w:after="0" w:line="240" w:lineRule="auto"/>
              <w:rPr>
                <w:rFonts w:ascii="Times New Roman" w:hAnsi="Times New Roman"/>
                <w:sz w:val="20"/>
                <w:szCs w:val="20"/>
              </w:rPr>
            </w:pPr>
            <w:r w:rsidRPr="00B0658A">
              <w:rPr>
                <w:rFonts w:ascii="Times New Roman" w:hAnsi="Times New Roman"/>
                <w:sz w:val="20"/>
                <w:szCs w:val="20"/>
              </w:rPr>
              <w:t xml:space="preserve">Средства анализа данных/ </w:t>
            </w:r>
          </w:p>
          <w:p w14:paraId="7B18E9B4" w14:textId="77777777" w:rsidR="0002298B" w:rsidRPr="00B0658A" w:rsidRDefault="0002298B" w:rsidP="000A4114">
            <w:pPr>
              <w:suppressAutoHyphens/>
              <w:spacing w:after="0" w:line="240" w:lineRule="auto"/>
              <w:rPr>
                <w:rFonts w:ascii="Times New Roman" w:hAnsi="Times New Roman"/>
                <w:sz w:val="20"/>
                <w:szCs w:val="20"/>
              </w:rPr>
            </w:pPr>
            <w:r w:rsidRPr="00B0658A">
              <w:rPr>
                <w:rFonts w:ascii="Times New Roman" w:hAnsi="Times New Roman"/>
                <w:sz w:val="20"/>
                <w:szCs w:val="20"/>
              </w:rPr>
              <w:t>Средства интеллектуального анализа данных (Data Mining)</w:t>
            </w:r>
          </w:p>
        </w:tc>
        <w:tc>
          <w:tcPr>
            <w:tcW w:w="624" w:type="pct"/>
          </w:tcPr>
          <w:p w14:paraId="05CAAAA9" w14:textId="77777777" w:rsidR="0002298B" w:rsidRPr="00B0658A" w:rsidRDefault="0002298B" w:rsidP="000A4114">
            <w:pPr>
              <w:spacing w:after="0" w:line="240" w:lineRule="auto"/>
              <w:rPr>
                <w:rFonts w:ascii="Times New Roman" w:hAnsi="Times New Roman"/>
                <w:i/>
                <w:iCs/>
                <w:sz w:val="20"/>
                <w:szCs w:val="20"/>
              </w:rPr>
            </w:pPr>
          </w:p>
        </w:tc>
        <w:tc>
          <w:tcPr>
            <w:tcW w:w="1090" w:type="pct"/>
            <w:shd w:val="clear" w:color="auto" w:fill="auto"/>
          </w:tcPr>
          <w:p w14:paraId="4B01CA12" w14:textId="77777777" w:rsidR="0002298B" w:rsidRPr="00B0658A" w:rsidRDefault="0002298B" w:rsidP="000A4114">
            <w:pPr>
              <w:spacing w:after="0" w:line="240" w:lineRule="auto"/>
              <w:rPr>
                <w:rFonts w:ascii="Times New Roman" w:hAnsi="Times New Roman"/>
                <w:i/>
                <w:iCs/>
                <w:sz w:val="20"/>
                <w:szCs w:val="20"/>
              </w:rPr>
            </w:pPr>
          </w:p>
        </w:tc>
        <w:tc>
          <w:tcPr>
            <w:tcW w:w="1036" w:type="pct"/>
            <w:shd w:val="clear" w:color="auto" w:fill="auto"/>
          </w:tcPr>
          <w:p w14:paraId="1EB1E29E" w14:textId="77777777" w:rsidR="0002298B" w:rsidRPr="00B0658A" w:rsidRDefault="0002298B" w:rsidP="000A4114">
            <w:pPr>
              <w:spacing w:after="0" w:line="240" w:lineRule="auto"/>
              <w:rPr>
                <w:rFonts w:ascii="Times New Roman" w:hAnsi="Times New Roman"/>
                <w:i/>
                <w:iCs/>
                <w:sz w:val="20"/>
                <w:szCs w:val="20"/>
              </w:rPr>
            </w:pPr>
          </w:p>
        </w:tc>
        <w:tc>
          <w:tcPr>
            <w:tcW w:w="894" w:type="pct"/>
            <w:shd w:val="clear" w:color="auto" w:fill="auto"/>
          </w:tcPr>
          <w:p w14:paraId="294F8537" w14:textId="77777777" w:rsidR="0002298B" w:rsidRPr="00B0658A" w:rsidRDefault="0002298B" w:rsidP="000A4114">
            <w:pPr>
              <w:spacing w:after="0" w:line="240" w:lineRule="auto"/>
              <w:jc w:val="both"/>
              <w:rPr>
                <w:rFonts w:ascii="Times New Roman" w:hAnsi="Times New Roman"/>
                <w:i/>
                <w:iCs/>
                <w:sz w:val="20"/>
                <w:szCs w:val="20"/>
              </w:rPr>
            </w:pPr>
          </w:p>
        </w:tc>
      </w:tr>
      <w:tr w:rsidR="00F52FED" w:rsidRPr="00B0658A" w14:paraId="3FCB1378" w14:textId="77777777" w:rsidTr="004F1366">
        <w:trPr>
          <w:trHeight w:val="170"/>
        </w:trPr>
        <w:tc>
          <w:tcPr>
            <w:tcW w:w="203" w:type="pct"/>
            <w:shd w:val="clear" w:color="auto" w:fill="auto"/>
          </w:tcPr>
          <w:p w14:paraId="72087BA8" w14:textId="77777777" w:rsidR="0002298B" w:rsidRPr="00B0658A" w:rsidRDefault="0002298B" w:rsidP="000A4114">
            <w:pPr>
              <w:spacing w:after="0" w:line="240" w:lineRule="auto"/>
              <w:rPr>
                <w:rFonts w:ascii="Times New Roman" w:hAnsi="Times New Roman"/>
                <w:b/>
                <w:sz w:val="20"/>
                <w:szCs w:val="20"/>
              </w:rPr>
            </w:pPr>
            <w:r w:rsidRPr="00B0658A">
              <w:rPr>
                <w:rFonts w:ascii="Times New Roman" w:hAnsi="Times New Roman"/>
                <w:sz w:val="20"/>
                <w:szCs w:val="20"/>
              </w:rPr>
              <w:t>11.5</w:t>
            </w:r>
          </w:p>
        </w:tc>
        <w:tc>
          <w:tcPr>
            <w:tcW w:w="1153" w:type="pct"/>
            <w:shd w:val="clear" w:color="auto" w:fill="auto"/>
            <w:vAlign w:val="center"/>
          </w:tcPr>
          <w:p w14:paraId="4A7CDDF5" w14:textId="77777777" w:rsidR="0002298B" w:rsidRPr="00B0658A" w:rsidRDefault="0002298B" w:rsidP="000A4114">
            <w:pPr>
              <w:suppressAutoHyphens/>
              <w:spacing w:after="0" w:line="240" w:lineRule="auto"/>
              <w:rPr>
                <w:rFonts w:ascii="Times New Roman" w:hAnsi="Times New Roman"/>
                <w:sz w:val="20"/>
                <w:szCs w:val="20"/>
              </w:rPr>
            </w:pPr>
            <w:r w:rsidRPr="00B0658A">
              <w:rPr>
                <w:rFonts w:ascii="Times New Roman" w:hAnsi="Times New Roman"/>
                <w:sz w:val="20"/>
                <w:szCs w:val="20"/>
              </w:rPr>
              <w:t xml:space="preserve">Средства анализа данных/ </w:t>
            </w:r>
          </w:p>
          <w:p w14:paraId="335BD8A5" w14:textId="77777777" w:rsidR="0002298B" w:rsidRPr="00B0658A" w:rsidRDefault="0002298B" w:rsidP="000A4114">
            <w:pPr>
              <w:suppressAutoHyphens/>
              <w:spacing w:after="0" w:line="240" w:lineRule="auto"/>
              <w:rPr>
                <w:rFonts w:ascii="Times New Roman" w:hAnsi="Times New Roman"/>
                <w:b/>
                <w:sz w:val="20"/>
                <w:szCs w:val="20"/>
              </w:rPr>
            </w:pPr>
            <w:r w:rsidRPr="00B0658A">
              <w:rPr>
                <w:rFonts w:ascii="Times New Roman" w:hAnsi="Times New Roman"/>
                <w:sz w:val="20"/>
                <w:szCs w:val="20"/>
              </w:rPr>
              <w:t>Средства поддержки принятия решений (DSS)</w:t>
            </w:r>
          </w:p>
        </w:tc>
        <w:tc>
          <w:tcPr>
            <w:tcW w:w="624" w:type="pct"/>
          </w:tcPr>
          <w:p w14:paraId="65930735" w14:textId="77777777" w:rsidR="0002298B" w:rsidRPr="00B0658A" w:rsidRDefault="0002298B" w:rsidP="000A4114">
            <w:pPr>
              <w:spacing w:after="0" w:line="240" w:lineRule="auto"/>
              <w:rPr>
                <w:rFonts w:ascii="Times New Roman" w:hAnsi="Times New Roman"/>
                <w:i/>
                <w:iCs/>
                <w:sz w:val="20"/>
                <w:szCs w:val="20"/>
              </w:rPr>
            </w:pPr>
          </w:p>
        </w:tc>
        <w:tc>
          <w:tcPr>
            <w:tcW w:w="1090" w:type="pct"/>
            <w:shd w:val="clear" w:color="auto" w:fill="auto"/>
          </w:tcPr>
          <w:p w14:paraId="54887137" w14:textId="77777777" w:rsidR="0002298B" w:rsidRPr="00B0658A" w:rsidRDefault="0002298B" w:rsidP="000A4114">
            <w:pPr>
              <w:spacing w:after="0" w:line="240" w:lineRule="auto"/>
              <w:rPr>
                <w:rFonts w:ascii="Times New Roman" w:hAnsi="Times New Roman"/>
                <w:i/>
                <w:iCs/>
                <w:sz w:val="20"/>
                <w:szCs w:val="20"/>
              </w:rPr>
            </w:pPr>
          </w:p>
        </w:tc>
        <w:tc>
          <w:tcPr>
            <w:tcW w:w="1036" w:type="pct"/>
            <w:shd w:val="clear" w:color="auto" w:fill="auto"/>
          </w:tcPr>
          <w:p w14:paraId="116C3994" w14:textId="77777777" w:rsidR="0002298B" w:rsidRPr="00B0658A" w:rsidRDefault="0002298B" w:rsidP="000A4114">
            <w:pPr>
              <w:spacing w:after="0" w:line="240" w:lineRule="auto"/>
              <w:rPr>
                <w:rFonts w:ascii="Times New Roman" w:hAnsi="Times New Roman"/>
                <w:i/>
                <w:iCs/>
                <w:sz w:val="20"/>
                <w:szCs w:val="20"/>
              </w:rPr>
            </w:pPr>
          </w:p>
        </w:tc>
        <w:tc>
          <w:tcPr>
            <w:tcW w:w="894" w:type="pct"/>
            <w:shd w:val="clear" w:color="auto" w:fill="auto"/>
          </w:tcPr>
          <w:p w14:paraId="7FE99A22" w14:textId="77777777" w:rsidR="0002298B" w:rsidRPr="00B0658A" w:rsidRDefault="0002298B" w:rsidP="000A4114">
            <w:pPr>
              <w:spacing w:after="0" w:line="240" w:lineRule="auto"/>
              <w:jc w:val="both"/>
              <w:rPr>
                <w:rFonts w:ascii="Times New Roman" w:hAnsi="Times New Roman"/>
                <w:i/>
                <w:iCs/>
                <w:sz w:val="20"/>
                <w:szCs w:val="20"/>
              </w:rPr>
            </w:pPr>
          </w:p>
        </w:tc>
      </w:tr>
      <w:tr w:rsidR="0002298B" w:rsidRPr="00B0658A" w14:paraId="071B41BC" w14:textId="77777777" w:rsidTr="004F1366">
        <w:trPr>
          <w:trHeight w:val="170"/>
        </w:trPr>
        <w:tc>
          <w:tcPr>
            <w:tcW w:w="203" w:type="pct"/>
            <w:shd w:val="clear" w:color="auto" w:fill="auto"/>
          </w:tcPr>
          <w:p w14:paraId="6CB6CC04" w14:textId="77777777" w:rsidR="0002298B" w:rsidRPr="00B0658A" w:rsidRDefault="0002298B" w:rsidP="000A4114">
            <w:pPr>
              <w:spacing w:after="0" w:line="240" w:lineRule="auto"/>
              <w:rPr>
                <w:rFonts w:ascii="Times New Roman" w:hAnsi="Times New Roman"/>
                <w:b/>
                <w:sz w:val="20"/>
                <w:szCs w:val="20"/>
              </w:rPr>
            </w:pPr>
            <w:r w:rsidRPr="00B0658A">
              <w:rPr>
                <w:rFonts w:ascii="Times New Roman" w:hAnsi="Times New Roman"/>
                <w:sz w:val="20"/>
                <w:szCs w:val="20"/>
              </w:rPr>
              <w:t>11.6</w:t>
            </w:r>
          </w:p>
        </w:tc>
        <w:tc>
          <w:tcPr>
            <w:tcW w:w="1153" w:type="pct"/>
            <w:shd w:val="clear" w:color="auto" w:fill="auto"/>
            <w:vAlign w:val="center"/>
          </w:tcPr>
          <w:p w14:paraId="3BBDA519" w14:textId="77777777" w:rsidR="0002298B" w:rsidRPr="00B0658A" w:rsidRDefault="0002298B" w:rsidP="000A4114">
            <w:pPr>
              <w:spacing w:after="0" w:line="240" w:lineRule="auto"/>
              <w:rPr>
                <w:rFonts w:ascii="Times New Roman" w:hAnsi="Times New Roman"/>
                <w:b/>
                <w:sz w:val="20"/>
                <w:szCs w:val="20"/>
              </w:rPr>
            </w:pPr>
            <w:r w:rsidRPr="00B0658A">
              <w:rPr>
                <w:rFonts w:ascii="Times New Roman" w:hAnsi="Times New Roman"/>
                <w:sz w:val="20"/>
                <w:szCs w:val="20"/>
              </w:rPr>
              <w:t xml:space="preserve">Средства анализа данных/ Инструменты обработки, анализа </w:t>
            </w:r>
            <w:r w:rsidRPr="00B0658A">
              <w:rPr>
                <w:rFonts w:ascii="Times New Roman" w:hAnsi="Times New Roman"/>
                <w:sz w:val="20"/>
                <w:szCs w:val="20"/>
              </w:rPr>
              <w:br/>
              <w:t>и распознавания изображений</w:t>
            </w:r>
          </w:p>
        </w:tc>
        <w:tc>
          <w:tcPr>
            <w:tcW w:w="624" w:type="pct"/>
          </w:tcPr>
          <w:p w14:paraId="75737C6E" w14:textId="77777777" w:rsidR="0002298B" w:rsidRPr="00B0658A" w:rsidRDefault="0002298B" w:rsidP="000A4114">
            <w:pPr>
              <w:spacing w:after="0" w:line="240" w:lineRule="auto"/>
              <w:rPr>
                <w:rFonts w:ascii="Times New Roman" w:hAnsi="Times New Roman"/>
                <w:i/>
                <w:iCs/>
                <w:sz w:val="20"/>
                <w:szCs w:val="20"/>
              </w:rPr>
            </w:pPr>
          </w:p>
        </w:tc>
        <w:tc>
          <w:tcPr>
            <w:tcW w:w="1090" w:type="pct"/>
            <w:shd w:val="clear" w:color="auto" w:fill="auto"/>
          </w:tcPr>
          <w:p w14:paraId="6A798BAF" w14:textId="77777777" w:rsidR="0002298B" w:rsidRPr="00B0658A" w:rsidRDefault="0002298B" w:rsidP="000A4114">
            <w:pPr>
              <w:spacing w:after="0" w:line="240" w:lineRule="auto"/>
              <w:rPr>
                <w:rFonts w:ascii="Times New Roman" w:hAnsi="Times New Roman"/>
                <w:i/>
                <w:iCs/>
                <w:sz w:val="20"/>
                <w:szCs w:val="20"/>
              </w:rPr>
            </w:pPr>
          </w:p>
        </w:tc>
        <w:tc>
          <w:tcPr>
            <w:tcW w:w="1036" w:type="pct"/>
            <w:shd w:val="clear" w:color="auto" w:fill="auto"/>
          </w:tcPr>
          <w:p w14:paraId="53F09F00" w14:textId="77777777" w:rsidR="0002298B" w:rsidRPr="00B0658A" w:rsidRDefault="0002298B" w:rsidP="000A4114">
            <w:pPr>
              <w:spacing w:after="0" w:line="240" w:lineRule="auto"/>
              <w:rPr>
                <w:rFonts w:ascii="Times New Roman" w:hAnsi="Times New Roman"/>
                <w:i/>
                <w:iCs/>
                <w:sz w:val="20"/>
                <w:szCs w:val="20"/>
              </w:rPr>
            </w:pPr>
          </w:p>
        </w:tc>
        <w:tc>
          <w:tcPr>
            <w:tcW w:w="894" w:type="pct"/>
            <w:shd w:val="clear" w:color="auto" w:fill="auto"/>
          </w:tcPr>
          <w:p w14:paraId="5110A874" w14:textId="77777777" w:rsidR="0002298B" w:rsidRPr="00B0658A" w:rsidRDefault="0002298B" w:rsidP="000A4114">
            <w:pPr>
              <w:spacing w:after="0" w:line="240" w:lineRule="auto"/>
              <w:jc w:val="both"/>
              <w:rPr>
                <w:rFonts w:ascii="Times New Roman" w:hAnsi="Times New Roman"/>
                <w:i/>
                <w:iCs/>
                <w:sz w:val="20"/>
                <w:szCs w:val="20"/>
              </w:rPr>
            </w:pPr>
          </w:p>
        </w:tc>
      </w:tr>
    </w:tbl>
    <w:p w14:paraId="3BB589BC" w14:textId="77777777" w:rsidR="0002298B" w:rsidRPr="00B0658A" w:rsidRDefault="0002298B" w:rsidP="0002298B">
      <w:pPr>
        <w:pStyle w:val="ConsPlusNormal"/>
        <w:spacing w:before="120"/>
        <w:jc w:val="center"/>
        <w:rPr>
          <w:sz w:val="32"/>
        </w:rPr>
      </w:pPr>
    </w:p>
    <w:p w14:paraId="3E71D33B" w14:textId="77777777" w:rsidR="0002298B" w:rsidRPr="00B0658A" w:rsidRDefault="0002298B" w:rsidP="0002298B">
      <w:pPr>
        <w:spacing w:after="0" w:line="240" w:lineRule="auto"/>
        <w:rPr>
          <w:rFonts w:ascii="Times New Roman" w:hAnsi="Times New Roman"/>
          <w:sz w:val="32"/>
          <w:szCs w:val="24"/>
        </w:rPr>
      </w:pPr>
      <w:r w:rsidRPr="00B0658A">
        <w:rPr>
          <w:rFonts w:ascii="Times New Roman" w:hAnsi="Times New Roman"/>
          <w:sz w:val="32"/>
        </w:rPr>
        <w:br w:type="page"/>
      </w:r>
    </w:p>
    <w:p w14:paraId="2FC1416C" w14:textId="77777777" w:rsidR="0002298B" w:rsidRPr="00B0658A" w:rsidRDefault="0002298B" w:rsidP="0002298B">
      <w:pPr>
        <w:pStyle w:val="ConsPlusNormal"/>
        <w:spacing w:before="120"/>
        <w:jc w:val="center"/>
        <w:rPr>
          <w:sz w:val="32"/>
        </w:rPr>
      </w:pPr>
      <w:bookmarkStart w:id="56" w:name="_Hlk116559030"/>
      <w:r w:rsidRPr="00B0658A">
        <w:rPr>
          <w:sz w:val="32"/>
        </w:rPr>
        <w:t xml:space="preserve">Сведения о реализации детализированного плана перехода ______________ (полное наименование </w:t>
      </w:r>
      <w:r w:rsidR="007D4767" w:rsidRPr="00B0658A">
        <w:rPr>
          <w:sz w:val="32"/>
          <w:szCs w:val="28"/>
        </w:rPr>
        <w:t>заказчика 44-ФЗ или заказчика 223-ФЗ</w:t>
      </w:r>
      <w:r w:rsidRPr="00B0658A">
        <w:rPr>
          <w:sz w:val="32"/>
          <w:szCs w:val="28"/>
        </w:rPr>
        <w:t xml:space="preserve">) на использование российского </w:t>
      </w:r>
      <w:r w:rsidRPr="00B0658A">
        <w:rPr>
          <w:sz w:val="32"/>
        </w:rPr>
        <w:t xml:space="preserve">ПО на принадлежащих </w:t>
      </w:r>
      <w:r w:rsidR="007D4767" w:rsidRPr="00B0658A">
        <w:rPr>
          <w:sz w:val="32"/>
        </w:rPr>
        <w:t xml:space="preserve">заказчику 44-ФЗ или заказчику223-ФЗ </w:t>
      </w:r>
      <w:r w:rsidRPr="00B0658A">
        <w:rPr>
          <w:sz w:val="32"/>
        </w:rPr>
        <w:t>значимых объектах КИИ</w:t>
      </w:r>
      <w:r w:rsidRPr="00B0658A">
        <w:rPr>
          <w:sz w:val="32"/>
          <w:szCs w:val="28"/>
        </w:rPr>
        <w:t xml:space="preserve"> </w:t>
      </w:r>
      <w:r w:rsidRPr="00B0658A">
        <w:rPr>
          <w:sz w:val="32"/>
        </w:rPr>
        <w:t xml:space="preserve">на период 2022-2024 годы за </w:t>
      </w:r>
      <w:r w:rsidRPr="00B0658A">
        <w:rPr>
          <w:sz w:val="32"/>
          <w:szCs w:val="28"/>
        </w:rPr>
        <w:t xml:space="preserve"> ______ год</w:t>
      </w:r>
    </w:p>
    <w:p w14:paraId="23F78E8C" w14:textId="77777777" w:rsidR="0002298B" w:rsidRPr="00B0658A" w:rsidRDefault="0002298B" w:rsidP="0002298B">
      <w:pPr>
        <w:spacing w:before="120" w:after="0" w:line="240" w:lineRule="auto"/>
        <w:rPr>
          <w:rFonts w:ascii="Times New Roman" w:hAnsi="Times New Roman"/>
          <w:sz w:val="28"/>
          <w:szCs w:val="24"/>
        </w:rPr>
      </w:pPr>
    </w:p>
    <w:p w14:paraId="6B24612E" w14:textId="77777777" w:rsidR="0002298B" w:rsidRPr="00B0658A" w:rsidRDefault="0002298B" w:rsidP="0002298B">
      <w:pPr>
        <w:pStyle w:val="afd"/>
        <w:spacing w:line="240" w:lineRule="auto"/>
        <w:ind w:left="0" w:firstLine="709"/>
        <w:jc w:val="both"/>
        <w:rPr>
          <w:rFonts w:ascii="Times New Roman" w:hAnsi="Times New Roman"/>
          <w:sz w:val="28"/>
          <w:szCs w:val="28"/>
        </w:rPr>
      </w:pPr>
      <w:r w:rsidRPr="00B0658A">
        <w:rPr>
          <w:rFonts w:ascii="Times New Roman" w:hAnsi="Times New Roman"/>
          <w:sz w:val="28"/>
          <w:szCs w:val="28"/>
        </w:rPr>
        <w:t xml:space="preserve">1. Сведения о реализации мероприятий по переходу на использование российского ПО на принадлежащих _______ (полное наименование </w:t>
      </w:r>
      <w:r w:rsidR="007D4767" w:rsidRPr="00B0658A">
        <w:rPr>
          <w:rFonts w:ascii="Times New Roman" w:hAnsi="Times New Roman"/>
          <w:sz w:val="28"/>
          <w:szCs w:val="28"/>
        </w:rPr>
        <w:t>заказчика 44-ФЗ или заказчика 223-ФЗ</w:t>
      </w:r>
      <w:r w:rsidRPr="00B0658A">
        <w:rPr>
          <w:rFonts w:ascii="Times New Roman" w:hAnsi="Times New Roman"/>
          <w:sz w:val="28"/>
          <w:szCs w:val="28"/>
        </w:rPr>
        <w:t>) значимых объектах КИИ</w:t>
      </w:r>
    </w:p>
    <w:tbl>
      <w:tblPr>
        <w:tblStyle w:val="32"/>
        <w:tblW w:w="5000" w:type="pct"/>
        <w:tblLook w:val="04A0" w:firstRow="1" w:lastRow="0" w:firstColumn="1" w:lastColumn="0" w:noHBand="0" w:noVBand="1"/>
      </w:tblPr>
      <w:tblGrid>
        <w:gridCol w:w="513"/>
        <w:gridCol w:w="2853"/>
        <w:gridCol w:w="2471"/>
        <w:gridCol w:w="2496"/>
        <w:gridCol w:w="2435"/>
        <w:gridCol w:w="3176"/>
      </w:tblGrid>
      <w:tr w:rsidR="00F52FED" w:rsidRPr="00B0658A" w14:paraId="779A7C21" w14:textId="77777777" w:rsidTr="00F57B1F">
        <w:trPr>
          <w:tblHeader/>
        </w:trPr>
        <w:tc>
          <w:tcPr>
            <w:tcW w:w="184" w:type="pct"/>
          </w:tcPr>
          <w:p w14:paraId="6DB1171F" w14:textId="77777777" w:rsidR="0002298B" w:rsidRPr="00B0658A" w:rsidRDefault="0002298B" w:rsidP="000A4114">
            <w:pPr>
              <w:spacing w:after="0" w:line="240" w:lineRule="auto"/>
              <w:jc w:val="center"/>
              <w:rPr>
                <w:rFonts w:ascii="Times New Roman"/>
                <w:b/>
                <w:bCs/>
                <w:color w:val="auto"/>
                <w:sz w:val="20"/>
                <w:szCs w:val="20"/>
              </w:rPr>
            </w:pPr>
            <w:r w:rsidRPr="00B0658A">
              <w:rPr>
                <w:rFonts w:ascii="Times New Roman"/>
                <w:b/>
                <w:bCs/>
                <w:color w:val="auto"/>
                <w:sz w:val="20"/>
                <w:szCs w:val="20"/>
              </w:rPr>
              <w:t>№</w:t>
            </w:r>
          </w:p>
        </w:tc>
        <w:tc>
          <w:tcPr>
            <w:tcW w:w="1023" w:type="pct"/>
          </w:tcPr>
          <w:p w14:paraId="3DD0F261" w14:textId="77777777" w:rsidR="0002298B" w:rsidRPr="00B0658A" w:rsidRDefault="0002298B" w:rsidP="000A4114">
            <w:pPr>
              <w:spacing w:after="0" w:line="240" w:lineRule="auto"/>
              <w:jc w:val="center"/>
              <w:rPr>
                <w:rFonts w:ascii="Times New Roman"/>
                <w:b/>
                <w:bCs/>
                <w:color w:val="auto"/>
                <w:sz w:val="20"/>
                <w:szCs w:val="20"/>
              </w:rPr>
            </w:pPr>
            <w:r w:rsidRPr="00B0658A">
              <w:rPr>
                <w:rFonts w:ascii="Times New Roman"/>
                <w:b/>
                <w:bCs/>
                <w:color w:val="auto"/>
                <w:sz w:val="20"/>
                <w:szCs w:val="20"/>
              </w:rPr>
              <w:t xml:space="preserve">Наименование мероприятия в соответствии с утвержденным детализированным планом </w:t>
            </w:r>
          </w:p>
        </w:tc>
        <w:tc>
          <w:tcPr>
            <w:tcW w:w="886" w:type="pct"/>
          </w:tcPr>
          <w:p w14:paraId="13EF3F4B" w14:textId="77777777" w:rsidR="0002298B" w:rsidRPr="00B0658A" w:rsidRDefault="0002298B" w:rsidP="000A4114">
            <w:pPr>
              <w:spacing w:after="0" w:line="240" w:lineRule="auto"/>
              <w:jc w:val="center"/>
              <w:rPr>
                <w:rFonts w:ascii="Times New Roman"/>
                <w:b/>
                <w:bCs/>
                <w:color w:val="auto"/>
                <w:sz w:val="20"/>
                <w:szCs w:val="20"/>
              </w:rPr>
            </w:pPr>
            <w:r w:rsidRPr="00B0658A">
              <w:rPr>
                <w:rFonts w:ascii="Times New Roman"/>
                <w:b/>
                <w:bCs/>
                <w:color w:val="auto"/>
                <w:sz w:val="20"/>
                <w:szCs w:val="20"/>
              </w:rPr>
              <w:t xml:space="preserve">Планируемый результат в соответствии с утвержденным детализированным планом </w:t>
            </w:r>
          </w:p>
        </w:tc>
        <w:tc>
          <w:tcPr>
            <w:tcW w:w="895" w:type="pct"/>
          </w:tcPr>
          <w:p w14:paraId="5C5BE1BB" w14:textId="77777777" w:rsidR="0002298B" w:rsidRPr="00B0658A" w:rsidRDefault="0002298B" w:rsidP="000A4114">
            <w:pPr>
              <w:spacing w:after="0" w:line="240" w:lineRule="auto"/>
              <w:jc w:val="center"/>
              <w:rPr>
                <w:rFonts w:ascii="Times New Roman"/>
                <w:b/>
                <w:bCs/>
                <w:color w:val="auto"/>
                <w:sz w:val="20"/>
                <w:szCs w:val="20"/>
              </w:rPr>
            </w:pPr>
            <w:r w:rsidRPr="00B0658A">
              <w:rPr>
                <w:rFonts w:ascii="Times New Roman"/>
                <w:b/>
                <w:bCs/>
                <w:color w:val="auto"/>
                <w:sz w:val="20"/>
                <w:szCs w:val="20"/>
              </w:rPr>
              <w:t>Сроки реализации запланированного мероприятия в соответствии с детализированным планом</w:t>
            </w:r>
          </w:p>
        </w:tc>
        <w:tc>
          <w:tcPr>
            <w:tcW w:w="873" w:type="pct"/>
          </w:tcPr>
          <w:p w14:paraId="4BEFB9B2" w14:textId="77777777" w:rsidR="0002298B" w:rsidRPr="00B0658A" w:rsidRDefault="0002298B" w:rsidP="000A4114">
            <w:pPr>
              <w:spacing w:after="0" w:line="240" w:lineRule="auto"/>
              <w:jc w:val="center"/>
              <w:rPr>
                <w:rFonts w:ascii="Times New Roman"/>
                <w:b/>
                <w:bCs/>
                <w:color w:val="auto"/>
                <w:sz w:val="20"/>
                <w:szCs w:val="20"/>
              </w:rPr>
            </w:pPr>
            <w:r w:rsidRPr="00B0658A">
              <w:rPr>
                <w:rFonts w:ascii="Times New Roman"/>
                <w:b/>
                <w:bCs/>
                <w:color w:val="auto"/>
                <w:sz w:val="20"/>
                <w:szCs w:val="20"/>
              </w:rPr>
              <w:t>Статус выполнения мероприятия</w:t>
            </w:r>
          </w:p>
        </w:tc>
        <w:tc>
          <w:tcPr>
            <w:tcW w:w="1139" w:type="pct"/>
          </w:tcPr>
          <w:p w14:paraId="46B3B7AF" w14:textId="77777777" w:rsidR="0002298B" w:rsidRPr="00B0658A" w:rsidRDefault="0002298B" w:rsidP="000A4114">
            <w:pPr>
              <w:spacing w:after="0" w:line="240" w:lineRule="auto"/>
              <w:jc w:val="center"/>
              <w:rPr>
                <w:rFonts w:ascii="Times New Roman"/>
                <w:b/>
                <w:bCs/>
                <w:color w:val="auto"/>
                <w:sz w:val="20"/>
                <w:szCs w:val="20"/>
              </w:rPr>
            </w:pPr>
            <w:r w:rsidRPr="00B0658A">
              <w:rPr>
                <w:rFonts w:ascii="Times New Roman"/>
                <w:b/>
                <w:bCs/>
                <w:color w:val="auto"/>
                <w:sz w:val="20"/>
                <w:szCs w:val="20"/>
              </w:rPr>
              <w:t>Описание достигнутого фактического результата</w:t>
            </w:r>
          </w:p>
        </w:tc>
      </w:tr>
      <w:tr w:rsidR="00F52FED" w:rsidRPr="00B0658A" w14:paraId="114BB2EE" w14:textId="77777777" w:rsidTr="004F1366">
        <w:tc>
          <w:tcPr>
            <w:tcW w:w="5000" w:type="pct"/>
            <w:gridSpan w:val="6"/>
            <w:vAlign w:val="center"/>
          </w:tcPr>
          <w:p w14:paraId="7C98E9BB" w14:textId="77777777" w:rsidR="0002298B" w:rsidRPr="00B0658A" w:rsidRDefault="0002298B" w:rsidP="000A4114">
            <w:pPr>
              <w:spacing w:after="0" w:line="240" w:lineRule="auto"/>
              <w:rPr>
                <w:rFonts w:ascii="Times New Roman"/>
                <w:b/>
                <w:i/>
                <w:iCs/>
                <w:color w:val="auto"/>
                <w:sz w:val="20"/>
                <w:szCs w:val="20"/>
              </w:rPr>
            </w:pPr>
            <w:r w:rsidRPr="00B0658A">
              <w:rPr>
                <w:rFonts w:ascii="Times New Roman"/>
                <w:b/>
                <w:color w:val="auto"/>
                <w:sz w:val="20"/>
                <w:szCs w:val="20"/>
              </w:rPr>
              <w:t>1. Мероприятия в отношении ________ (наименование значимого объекта КИИ №1)</w:t>
            </w:r>
          </w:p>
        </w:tc>
      </w:tr>
      <w:tr w:rsidR="00F52FED" w:rsidRPr="00B0658A" w14:paraId="72111930" w14:textId="77777777" w:rsidTr="004F1366">
        <w:tc>
          <w:tcPr>
            <w:tcW w:w="184" w:type="pct"/>
          </w:tcPr>
          <w:p w14:paraId="201C2204" w14:textId="77777777" w:rsidR="0002298B" w:rsidRPr="00B0658A" w:rsidRDefault="0002298B" w:rsidP="000A4114">
            <w:pPr>
              <w:spacing w:after="0" w:line="240" w:lineRule="auto"/>
              <w:jc w:val="both"/>
              <w:rPr>
                <w:rFonts w:ascii="Times New Roman"/>
                <w:color w:val="auto"/>
                <w:sz w:val="20"/>
                <w:szCs w:val="20"/>
              </w:rPr>
            </w:pPr>
            <w:r w:rsidRPr="00B0658A">
              <w:rPr>
                <w:rFonts w:ascii="Times New Roman"/>
                <w:color w:val="auto"/>
                <w:sz w:val="20"/>
                <w:szCs w:val="20"/>
              </w:rPr>
              <w:t>1.1</w:t>
            </w:r>
          </w:p>
        </w:tc>
        <w:tc>
          <w:tcPr>
            <w:tcW w:w="1023" w:type="pct"/>
          </w:tcPr>
          <w:p w14:paraId="7251A6DA" w14:textId="77777777" w:rsidR="0002298B" w:rsidRPr="00B0658A" w:rsidRDefault="0002298B" w:rsidP="000A4114">
            <w:pPr>
              <w:spacing w:after="0" w:line="240" w:lineRule="auto"/>
              <w:jc w:val="both"/>
              <w:rPr>
                <w:rFonts w:ascii="Times New Roman"/>
                <w:i/>
                <w:iCs/>
                <w:color w:val="auto"/>
                <w:sz w:val="20"/>
                <w:szCs w:val="20"/>
              </w:rPr>
            </w:pPr>
            <w:r w:rsidRPr="00B0658A">
              <w:rPr>
                <w:rFonts w:ascii="Times New Roman"/>
                <w:i/>
                <w:iCs/>
                <w:color w:val="auto"/>
                <w:sz w:val="20"/>
                <w:szCs w:val="20"/>
              </w:rPr>
              <w:t xml:space="preserve">Указывается наименование мероприятия в соответствии с утвержденным детализированным планом перехода на использование российского ПО на принадлежащих </w:t>
            </w:r>
            <w:r w:rsidR="007D4767" w:rsidRPr="00B0658A">
              <w:rPr>
                <w:rFonts w:ascii="Times New Roman"/>
                <w:i/>
                <w:iCs/>
                <w:color w:val="auto"/>
                <w:sz w:val="20"/>
                <w:szCs w:val="20"/>
              </w:rPr>
              <w:t xml:space="preserve">заказчику 44-ФЗ или заказчику 223-ФЗ </w:t>
            </w:r>
            <w:r w:rsidRPr="00B0658A">
              <w:rPr>
                <w:rFonts w:ascii="Times New Roman"/>
                <w:i/>
                <w:iCs/>
                <w:color w:val="auto"/>
                <w:sz w:val="20"/>
                <w:szCs w:val="20"/>
              </w:rPr>
              <w:t>значимых объектах КИИ</w:t>
            </w:r>
          </w:p>
          <w:p w14:paraId="417AEA43" w14:textId="77777777" w:rsidR="0002298B" w:rsidRPr="00B0658A" w:rsidRDefault="0002298B" w:rsidP="000A4114">
            <w:pPr>
              <w:pStyle w:val="ConsPlusNormal"/>
              <w:jc w:val="both"/>
              <w:rPr>
                <w:color w:val="auto"/>
                <w:sz w:val="20"/>
                <w:szCs w:val="20"/>
              </w:rPr>
            </w:pPr>
          </w:p>
          <w:p w14:paraId="2379E9ED" w14:textId="77777777" w:rsidR="0002298B" w:rsidRPr="00B0658A" w:rsidRDefault="0002298B" w:rsidP="000A4114">
            <w:pPr>
              <w:spacing w:after="0" w:line="240" w:lineRule="auto"/>
              <w:jc w:val="both"/>
              <w:rPr>
                <w:rFonts w:ascii="Times New Roman"/>
                <w:i/>
                <w:iCs/>
                <w:color w:val="auto"/>
                <w:sz w:val="20"/>
                <w:szCs w:val="20"/>
              </w:rPr>
            </w:pPr>
          </w:p>
        </w:tc>
        <w:tc>
          <w:tcPr>
            <w:tcW w:w="886" w:type="pct"/>
          </w:tcPr>
          <w:p w14:paraId="170FFDEB" w14:textId="77777777" w:rsidR="0002298B" w:rsidRPr="00B0658A" w:rsidRDefault="0002298B" w:rsidP="000A4114">
            <w:pPr>
              <w:spacing w:after="0" w:line="240" w:lineRule="auto"/>
              <w:jc w:val="both"/>
              <w:rPr>
                <w:rFonts w:ascii="Times New Roman"/>
                <w:i/>
                <w:iCs/>
                <w:color w:val="auto"/>
                <w:sz w:val="20"/>
                <w:szCs w:val="20"/>
              </w:rPr>
            </w:pPr>
            <w:r w:rsidRPr="00B0658A">
              <w:rPr>
                <w:rFonts w:ascii="Times New Roman"/>
                <w:i/>
                <w:iCs/>
                <w:color w:val="auto"/>
                <w:sz w:val="20"/>
                <w:szCs w:val="20"/>
              </w:rPr>
              <w:t xml:space="preserve">Указывается запланированный результат в соответствии с утвержденным детализированным планом перехода на использование российского ПО на принадлежащих </w:t>
            </w:r>
            <w:r w:rsidR="007D4767" w:rsidRPr="00B0658A">
              <w:rPr>
                <w:rFonts w:ascii="Times New Roman"/>
                <w:i/>
                <w:iCs/>
                <w:color w:val="auto"/>
                <w:sz w:val="20"/>
                <w:szCs w:val="20"/>
              </w:rPr>
              <w:t xml:space="preserve">заказчику 44-ФЗ или заказчику 223-ФЗ </w:t>
            </w:r>
            <w:r w:rsidRPr="00B0658A">
              <w:rPr>
                <w:rFonts w:ascii="Times New Roman"/>
                <w:i/>
                <w:iCs/>
                <w:color w:val="auto"/>
                <w:sz w:val="20"/>
                <w:szCs w:val="20"/>
              </w:rPr>
              <w:t>значимых объектах КИИ</w:t>
            </w:r>
          </w:p>
          <w:p w14:paraId="5B8CEB86" w14:textId="77777777" w:rsidR="0002298B" w:rsidRPr="00B0658A" w:rsidRDefault="0002298B" w:rsidP="000A4114">
            <w:pPr>
              <w:spacing w:after="0" w:line="240" w:lineRule="auto"/>
              <w:jc w:val="both"/>
              <w:rPr>
                <w:rFonts w:ascii="Times New Roman"/>
                <w:color w:val="auto"/>
                <w:sz w:val="20"/>
                <w:szCs w:val="20"/>
              </w:rPr>
            </w:pPr>
          </w:p>
        </w:tc>
        <w:tc>
          <w:tcPr>
            <w:tcW w:w="895" w:type="pct"/>
          </w:tcPr>
          <w:p w14:paraId="483454A3" w14:textId="77777777" w:rsidR="0002298B" w:rsidRPr="00B0658A" w:rsidRDefault="0002298B" w:rsidP="000A4114">
            <w:pPr>
              <w:spacing w:after="0" w:line="240" w:lineRule="auto"/>
              <w:jc w:val="both"/>
              <w:rPr>
                <w:rFonts w:ascii="Times New Roman"/>
                <w:i/>
                <w:iCs/>
                <w:color w:val="auto"/>
                <w:sz w:val="20"/>
                <w:szCs w:val="20"/>
              </w:rPr>
            </w:pPr>
            <w:r w:rsidRPr="00B0658A">
              <w:rPr>
                <w:rFonts w:ascii="Times New Roman"/>
                <w:i/>
                <w:iCs/>
                <w:color w:val="auto"/>
                <w:sz w:val="20"/>
                <w:szCs w:val="20"/>
              </w:rPr>
              <w:t xml:space="preserve">Указывается срок реализации (период выполнения) в соответствии с утвержденным детализированным планом перехода на использование российского ПО на принадлежащих </w:t>
            </w:r>
            <w:r w:rsidR="007D4767" w:rsidRPr="00B0658A">
              <w:rPr>
                <w:rFonts w:ascii="Times New Roman"/>
                <w:i/>
                <w:iCs/>
                <w:color w:val="auto"/>
                <w:sz w:val="20"/>
                <w:szCs w:val="20"/>
              </w:rPr>
              <w:t xml:space="preserve">заказчику 44-ФЗ или заказчику 223-ФЗ </w:t>
            </w:r>
            <w:r w:rsidRPr="00B0658A">
              <w:rPr>
                <w:rFonts w:ascii="Times New Roman"/>
                <w:i/>
                <w:iCs/>
                <w:color w:val="auto"/>
                <w:sz w:val="20"/>
                <w:szCs w:val="20"/>
              </w:rPr>
              <w:t>значимых объектах КИИ</w:t>
            </w:r>
          </w:p>
          <w:p w14:paraId="1A9FCCB4" w14:textId="77777777" w:rsidR="0002298B" w:rsidRPr="00B0658A" w:rsidRDefault="0002298B" w:rsidP="000A4114">
            <w:pPr>
              <w:spacing w:after="0" w:line="240" w:lineRule="auto"/>
              <w:jc w:val="both"/>
              <w:rPr>
                <w:rFonts w:ascii="Times New Roman"/>
                <w:i/>
                <w:iCs/>
                <w:color w:val="auto"/>
                <w:sz w:val="20"/>
                <w:szCs w:val="20"/>
              </w:rPr>
            </w:pPr>
          </w:p>
        </w:tc>
        <w:tc>
          <w:tcPr>
            <w:tcW w:w="873" w:type="pct"/>
          </w:tcPr>
          <w:p w14:paraId="7F7CE6E9" w14:textId="77777777" w:rsidR="0002298B" w:rsidRPr="00B0658A" w:rsidRDefault="0002298B" w:rsidP="000A4114">
            <w:pPr>
              <w:spacing w:after="0" w:line="240" w:lineRule="auto"/>
              <w:jc w:val="both"/>
              <w:rPr>
                <w:rFonts w:ascii="Times New Roman"/>
                <w:i/>
                <w:iCs/>
                <w:color w:val="auto"/>
                <w:sz w:val="20"/>
                <w:szCs w:val="20"/>
              </w:rPr>
            </w:pPr>
            <w:r w:rsidRPr="00B0658A">
              <w:rPr>
                <w:rFonts w:ascii="Times New Roman"/>
                <w:i/>
                <w:iCs/>
                <w:color w:val="auto"/>
                <w:sz w:val="20"/>
                <w:szCs w:val="20"/>
              </w:rPr>
              <w:t>Указывается статус: «выполнено» / «не выполнено».</w:t>
            </w:r>
          </w:p>
          <w:p w14:paraId="75B36A75" w14:textId="77777777" w:rsidR="0002298B" w:rsidRPr="00B0658A" w:rsidRDefault="0002298B" w:rsidP="000A4114">
            <w:pPr>
              <w:spacing w:after="0" w:line="240" w:lineRule="auto"/>
              <w:jc w:val="both"/>
              <w:rPr>
                <w:rFonts w:ascii="Times New Roman"/>
                <w:color w:val="auto"/>
                <w:sz w:val="20"/>
                <w:szCs w:val="20"/>
              </w:rPr>
            </w:pPr>
            <w:r w:rsidRPr="00B0658A">
              <w:rPr>
                <w:rFonts w:ascii="Times New Roman"/>
                <w:i/>
                <w:iCs/>
                <w:color w:val="auto"/>
                <w:sz w:val="20"/>
                <w:szCs w:val="20"/>
              </w:rPr>
              <w:t>Если мероприятие выполнено частично, то указывается статус «не выполнено»</w:t>
            </w:r>
          </w:p>
        </w:tc>
        <w:tc>
          <w:tcPr>
            <w:tcW w:w="1139" w:type="pct"/>
          </w:tcPr>
          <w:p w14:paraId="7F080768" w14:textId="77777777" w:rsidR="0002298B" w:rsidRPr="00B0658A" w:rsidRDefault="0002298B" w:rsidP="000A4114">
            <w:pPr>
              <w:spacing w:after="0" w:line="240" w:lineRule="auto"/>
              <w:jc w:val="both"/>
              <w:rPr>
                <w:rFonts w:ascii="Times New Roman"/>
                <w:i/>
                <w:iCs/>
                <w:color w:val="auto"/>
                <w:sz w:val="20"/>
                <w:szCs w:val="20"/>
              </w:rPr>
            </w:pPr>
            <w:r w:rsidRPr="00B0658A">
              <w:rPr>
                <w:rFonts w:ascii="Times New Roman"/>
                <w:i/>
                <w:iCs/>
                <w:color w:val="auto"/>
                <w:sz w:val="20"/>
                <w:szCs w:val="20"/>
              </w:rPr>
              <w:t>Указывается достигнутый результат. В случае если мероприятие не было выполнено, либо результат выполнения мероприятия был достигнут не полностью, указываются причины невыполнения мероприятия (частичного выполнения мероприятия), а также срок, в который мероприятие будет реализовано и достигнут запланированный результат</w:t>
            </w:r>
          </w:p>
        </w:tc>
      </w:tr>
      <w:tr w:rsidR="00F52FED" w:rsidRPr="00B0658A" w14:paraId="1DA26923" w14:textId="77777777" w:rsidTr="004F1366">
        <w:tc>
          <w:tcPr>
            <w:tcW w:w="184" w:type="pct"/>
          </w:tcPr>
          <w:p w14:paraId="150042BF" w14:textId="77777777" w:rsidR="0002298B" w:rsidRPr="00B0658A" w:rsidRDefault="0002298B" w:rsidP="000A4114">
            <w:pPr>
              <w:spacing w:after="0" w:line="240" w:lineRule="auto"/>
              <w:jc w:val="both"/>
              <w:rPr>
                <w:rFonts w:ascii="Times New Roman"/>
                <w:color w:val="auto"/>
                <w:sz w:val="20"/>
                <w:szCs w:val="20"/>
              </w:rPr>
            </w:pPr>
            <w:r w:rsidRPr="00B0658A">
              <w:rPr>
                <w:rFonts w:ascii="Times New Roman"/>
                <w:color w:val="auto"/>
                <w:sz w:val="20"/>
                <w:szCs w:val="20"/>
              </w:rPr>
              <w:t>1.2</w:t>
            </w:r>
          </w:p>
        </w:tc>
        <w:tc>
          <w:tcPr>
            <w:tcW w:w="1023" w:type="pct"/>
          </w:tcPr>
          <w:p w14:paraId="460D5A0D" w14:textId="77777777" w:rsidR="0002298B" w:rsidRPr="00B0658A" w:rsidRDefault="0002298B" w:rsidP="000A4114">
            <w:pPr>
              <w:spacing w:after="0" w:line="240" w:lineRule="auto"/>
              <w:jc w:val="both"/>
              <w:rPr>
                <w:rFonts w:ascii="Times New Roman"/>
                <w:color w:val="auto"/>
                <w:sz w:val="20"/>
                <w:szCs w:val="20"/>
              </w:rPr>
            </w:pPr>
          </w:p>
        </w:tc>
        <w:tc>
          <w:tcPr>
            <w:tcW w:w="886" w:type="pct"/>
          </w:tcPr>
          <w:p w14:paraId="09447533" w14:textId="77777777" w:rsidR="0002298B" w:rsidRPr="00B0658A" w:rsidRDefault="0002298B" w:rsidP="000A4114">
            <w:pPr>
              <w:spacing w:after="0" w:line="240" w:lineRule="auto"/>
              <w:jc w:val="both"/>
              <w:rPr>
                <w:rFonts w:ascii="Times New Roman"/>
                <w:color w:val="auto"/>
                <w:sz w:val="20"/>
                <w:szCs w:val="20"/>
              </w:rPr>
            </w:pPr>
          </w:p>
        </w:tc>
        <w:tc>
          <w:tcPr>
            <w:tcW w:w="895" w:type="pct"/>
          </w:tcPr>
          <w:p w14:paraId="2250DC27" w14:textId="77777777" w:rsidR="0002298B" w:rsidRPr="00B0658A" w:rsidRDefault="0002298B" w:rsidP="000A4114">
            <w:pPr>
              <w:spacing w:after="0" w:line="240" w:lineRule="auto"/>
              <w:jc w:val="both"/>
              <w:rPr>
                <w:rFonts w:ascii="Times New Roman"/>
                <w:color w:val="auto"/>
                <w:sz w:val="20"/>
                <w:szCs w:val="20"/>
              </w:rPr>
            </w:pPr>
          </w:p>
        </w:tc>
        <w:tc>
          <w:tcPr>
            <w:tcW w:w="873" w:type="pct"/>
          </w:tcPr>
          <w:p w14:paraId="131A879B" w14:textId="77777777" w:rsidR="0002298B" w:rsidRPr="00B0658A" w:rsidRDefault="0002298B" w:rsidP="000A4114">
            <w:pPr>
              <w:spacing w:after="0" w:line="240" w:lineRule="auto"/>
              <w:jc w:val="both"/>
              <w:rPr>
                <w:rFonts w:ascii="Times New Roman"/>
                <w:color w:val="auto"/>
                <w:sz w:val="20"/>
                <w:szCs w:val="20"/>
              </w:rPr>
            </w:pPr>
          </w:p>
        </w:tc>
        <w:tc>
          <w:tcPr>
            <w:tcW w:w="1139" w:type="pct"/>
          </w:tcPr>
          <w:p w14:paraId="7BD10B10" w14:textId="77777777" w:rsidR="0002298B" w:rsidRPr="00B0658A" w:rsidRDefault="0002298B" w:rsidP="000A4114">
            <w:pPr>
              <w:spacing w:after="0" w:line="240" w:lineRule="auto"/>
              <w:jc w:val="both"/>
              <w:rPr>
                <w:rFonts w:ascii="Times New Roman"/>
                <w:color w:val="auto"/>
                <w:sz w:val="20"/>
                <w:szCs w:val="20"/>
              </w:rPr>
            </w:pPr>
          </w:p>
        </w:tc>
      </w:tr>
      <w:tr w:rsidR="00F52FED" w:rsidRPr="00B0658A" w14:paraId="2F38088E" w14:textId="77777777" w:rsidTr="004F1366">
        <w:tc>
          <w:tcPr>
            <w:tcW w:w="184" w:type="pct"/>
          </w:tcPr>
          <w:p w14:paraId="7AA83529" w14:textId="77777777" w:rsidR="0002298B" w:rsidRPr="00B0658A" w:rsidRDefault="0002298B" w:rsidP="000A4114">
            <w:pPr>
              <w:spacing w:after="0" w:line="240" w:lineRule="auto"/>
              <w:jc w:val="both"/>
              <w:rPr>
                <w:rFonts w:ascii="Times New Roman"/>
                <w:color w:val="auto"/>
                <w:sz w:val="20"/>
                <w:szCs w:val="20"/>
              </w:rPr>
            </w:pPr>
            <w:r w:rsidRPr="00B0658A">
              <w:rPr>
                <w:rFonts w:ascii="Times New Roman"/>
                <w:color w:val="auto"/>
                <w:sz w:val="20"/>
                <w:szCs w:val="20"/>
              </w:rPr>
              <w:t>…</w:t>
            </w:r>
          </w:p>
        </w:tc>
        <w:tc>
          <w:tcPr>
            <w:tcW w:w="1023" w:type="pct"/>
          </w:tcPr>
          <w:p w14:paraId="220C50BF" w14:textId="77777777" w:rsidR="0002298B" w:rsidRPr="00B0658A" w:rsidRDefault="0002298B" w:rsidP="000A4114">
            <w:pPr>
              <w:spacing w:after="0" w:line="240" w:lineRule="auto"/>
              <w:jc w:val="both"/>
              <w:rPr>
                <w:rFonts w:ascii="Times New Roman"/>
                <w:color w:val="auto"/>
                <w:sz w:val="20"/>
                <w:szCs w:val="20"/>
              </w:rPr>
            </w:pPr>
          </w:p>
        </w:tc>
        <w:tc>
          <w:tcPr>
            <w:tcW w:w="886" w:type="pct"/>
          </w:tcPr>
          <w:p w14:paraId="4D8263C3" w14:textId="77777777" w:rsidR="0002298B" w:rsidRPr="00B0658A" w:rsidRDefault="0002298B" w:rsidP="000A4114">
            <w:pPr>
              <w:spacing w:after="0" w:line="240" w:lineRule="auto"/>
              <w:jc w:val="both"/>
              <w:rPr>
                <w:rFonts w:ascii="Times New Roman"/>
                <w:color w:val="auto"/>
                <w:sz w:val="20"/>
                <w:szCs w:val="20"/>
              </w:rPr>
            </w:pPr>
          </w:p>
        </w:tc>
        <w:tc>
          <w:tcPr>
            <w:tcW w:w="895" w:type="pct"/>
          </w:tcPr>
          <w:p w14:paraId="1E3A0868" w14:textId="77777777" w:rsidR="0002298B" w:rsidRPr="00B0658A" w:rsidRDefault="0002298B" w:rsidP="000A4114">
            <w:pPr>
              <w:spacing w:after="0" w:line="240" w:lineRule="auto"/>
              <w:jc w:val="both"/>
              <w:rPr>
                <w:rFonts w:ascii="Times New Roman"/>
                <w:color w:val="auto"/>
                <w:sz w:val="20"/>
                <w:szCs w:val="20"/>
              </w:rPr>
            </w:pPr>
          </w:p>
        </w:tc>
        <w:tc>
          <w:tcPr>
            <w:tcW w:w="873" w:type="pct"/>
          </w:tcPr>
          <w:p w14:paraId="33614C15" w14:textId="77777777" w:rsidR="0002298B" w:rsidRPr="00B0658A" w:rsidRDefault="0002298B" w:rsidP="000A4114">
            <w:pPr>
              <w:spacing w:after="0" w:line="240" w:lineRule="auto"/>
              <w:jc w:val="both"/>
              <w:rPr>
                <w:rFonts w:ascii="Times New Roman"/>
                <w:color w:val="auto"/>
                <w:sz w:val="20"/>
                <w:szCs w:val="20"/>
              </w:rPr>
            </w:pPr>
          </w:p>
        </w:tc>
        <w:tc>
          <w:tcPr>
            <w:tcW w:w="1139" w:type="pct"/>
          </w:tcPr>
          <w:p w14:paraId="36B0945A" w14:textId="77777777" w:rsidR="0002298B" w:rsidRPr="00B0658A" w:rsidRDefault="0002298B" w:rsidP="000A4114">
            <w:pPr>
              <w:spacing w:after="0" w:line="240" w:lineRule="auto"/>
              <w:jc w:val="both"/>
              <w:rPr>
                <w:rFonts w:ascii="Times New Roman"/>
                <w:color w:val="auto"/>
                <w:sz w:val="20"/>
                <w:szCs w:val="20"/>
              </w:rPr>
            </w:pPr>
          </w:p>
        </w:tc>
      </w:tr>
      <w:tr w:rsidR="00F52FED" w:rsidRPr="00B0658A" w14:paraId="608E43D7" w14:textId="77777777" w:rsidTr="004F1366">
        <w:tc>
          <w:tcPr>
            <w:tcW w:w="184" w:type="pct"/>
          </w:tcPr>
          <w:p w14:paraId="13ACEA7C" w14:textId="77777777" w:rsidR="0002298B" w:rsidRPr="00B0658A" w:rsidRDefault="0002298B" w:rsidP="000A4114">
            <w:pPr>
              <w:spacing w:after="0" w:line="240" w:lineRule="auto"/>
              <w:jc w:val="both"/>
              <w:rPr>
                <w:rFonts w:ascii="Times New Roman"/>
                <w:color w:val="auto"/>
                <w:sz w:val="20"/>
                <w:szCs w:val="20"/>
              </w:rPr>
            </w:pPr>
            <w:r w:rsidRPr="00B0658A">
              <w:rPr>
                <w:rFonts w:ascii="Times New Roman"/>
                <w:color w:val="auto"/>
                <w:sz w:val="20"/>
                <w:szCs w:val="20"/>
                <w:lang w:val="en-US"/>
              </w:rPr>
              <w:t>1.n</w:t>
            </w:r>
          </w:p>
        </w:tc>
        <w:tc>
          <w:tcPr>
            <w:tcW w:w="1023" w:type="pct"/>
          </w:tcPr>
          <w:p w14:paraId="6BAC41AE" w14:textId="77777777" w:rsidR="0002298B" w:rsidRPr="00B0658A" w:rsidRDefault="0002298B" w:rsidP="000A4114">
            <w:pPr>
              <w:spacing w:after="0" w:line="240" w:lineRule="auto"/>
              <w:jc w:val="both"/>
              <w:rPr>
                <w:rFonts w:ascii="Times New Roman"/>
                <w:color w:val="auto"/>
                <w:sz w:val="20"/>
                <w:szCs w:val="20"/>
              </w:rPr>
            </w:pPr>
          </w:p>
        </w:tc>
        <w:tc>
          <w:tcPr>
            <w:tcW w:w="886" w:type="pct"/>
          </w:tcPr>
          <w:p w14:paraId="4A60979D" w14:textId="77777777" w:rsidR="0002298B" w:rsidRPr="00B0658A" w:rsidRDefault="0002298B" w:rsidP="000A4114">
            <w:pPr>
              <w:spacing w:after="0" w:line="240" w:lineRule="auto"/>
              <w:jc w:val="both"/>
              <w:rPr>
                <w:rFonts w:ascii="Times New Roman"/>
                <w:color w:val="auto"/>
                <w:sz w:val="20"/>
                <w:szCs w:val="20"/>
              </w:rPr>
            </w:pPr>
          </w:p>
        </w:tc>
        <w:tc>
          <w:tcPr>
            <w:tcW w:w="895" w:type="pct"/>
          </w:tcPr>
          <w:p w14:paraId="76A52EFC" w14:textId="77777777" w:rsidR="0002298B" w:rsidRPr="00B0658A" w:rsidRDefault="0002298B" w:rsidP="000A4114">
            <w:pPr>
              <w:spacing w:after="0" w:line="240" w:lineRule="auto"/>
              <w:jc w:val="both"/>
              <w:rPr>
                <w:rFonts w:ascii="Times New Roman"/>
                <w:color w:val="auto"/>
                <w:sz w:val="20"/>
                <w:szCs w:val="20"/>
              </w:rPr>
            </w:pPr>
          </w:p>
        </w:tc>
        <w:tc>
          <w:tcPr>
            <w:tcW w:w="873" w:type="pct"/>
          </w:tcPr>
          <w:p w14:paraId="3A08684B" w14:textId="77777777" w:rsidR="0002298B" w:rsidRPr="00B0658A" w:rsidRDefault="0002298B" w:rsidP="000A4114">
            <w:pPr>
              <w:spacing w:after="0" w:line="240" w:lineRule="auto"/>
              <w:jc w:val="both"/>
              <w:rPr>
                <w:rFonts w:ascii="Times New Roman"/>
                <w:color w:val="auto"/>
                <w:sz w:val="20"/>
                <w:szCs w:val="20"/>
              </w:rPr>
            </w:pPr>
          </w:p>
        </w:tc>
        <w:tc>
          <w:tcPr>
            <w:tcW w:w="1139" w:type="pct"/>
          </w:tcPr>
          <w:p w14:paraId="6F95CAB4" w14:textId="77777777" w:rsidR="0002298B" w:rsidRPr="00B0658A" w:rsidRDefault="0002298B" w:rsidP="000A4114">
            <w:pPr>
              <w:spacing w:after="0" w:line="240" w:lineRule="auto"/>
              <w:jc w:val="both"/>
              <w:rPr>
                <w:rFonts w:ascii="Times New Roman"/>
                <w:color w:val="auto"/>
                <w:sz w:val="20"/>
                <w:szCs w:val="20"/>
              </w:rPr>
            </w:pPr>
          </w:p>
        </w:tc>
      </w:tr>
      <w:tr w:rsidR="00F52FED" w:rsidRPr="00B0658A" w14:paraId="00764F9F" w14:textId="77777777" w:rsidTr="004F1366">
        <w:tc>
          <w:tcPr>
            <w:tcW w:w="5000" w:type="pct"/>
            <w:gridSpan w:val="6"/>
          </w:tcPr>
          <w:p w14:paraId="4CCD7109" w14:textId="77777777" w:rsidR="0002298B" w:rsidRPr="00B0658A" w:rsidRDefault="0002298B" w:rsidP="000A4114">
            <w:pPr>
              <w:spacing w:after="0" w:line="240" w:lineRule="auto"/>
              <w:rPr>
                <w:rFonts w:ascii="Times New Roman"/>
                <w:color w:val="auto"/>
                <w:sz w:val="20"/>
                <w:szCs w:val="20"/>
              </w:rPr>
            </w:pPr>
            <w:r w:rsidRPr="00B0658A">
              <w:rPr>
                <w:rFonts w:ascii="Times New Roman"/>
                <w:b/>
                <w:color w:val="auto"/>
                <w:sz w:val="20"/>
                <w:szCs w:val="20"/>
              </w:rPr>
              <w:t>2. Мероприятия в отношении ________ (наименование значимого объекта КИИ №2)</w:t>
            </w:r>
          </w:p>
        </w:tc>
      </w:tr>
      <w:tr w:rsidR="00F52FED" w:rsidRPr="00B0658A" w14:paraId="13399E3F" w14:textId="77777777" w:rsidTr="004F1366">
        <w:tc>
          <w:tcPr>
            <w:tcW w:w="184" w:type="pct"/>
          </w:tcPr>
          <w:p w14:paraId="55D94912" w14:textId="77777777" w:rsidR="0002298B" w:rsidRPr="00B0658A" w:rsidRDefault="0002298B" w:rsidP="000A4114">
            <w:pPr>
              <w:spacing w:after="0" w:line="240" w:lineRule="auto"/>
              <w:jc w:val="both"/>
              <w:rPr>
                <w:rFonts w:ascii="Times New Roman"/>
                <w:color w:val="auto"/>
                <w:sz w:val="20"/>
                <w:szCs w:val="20"/>
                <w:lang w:val="en-US"/>
              </w:rPr>
            </w:pPr>
            <w:r w:rsidRPr="00B0658A">
              <w:rPr>
                <w:rFonts w:ascii="Times New Roman"/>
                <w:color w:val="auto"/>
                <w:sz w:val="20"/>
                <w:szCs w:val="20"/>
                <w:lang w:val="en-US"/>
              </w:rPr>
              <w:t>2.1</w:t>
            </w:r>
          </w:p>
        </w:tc>
        <w:tc>
          <w:tcPr>
            <w:tcW w:w="1023" w:type="pct"/>
          </w:tcPr>
          <w:p w14:paraId="0BD52E3B" w14:textId="77777777" w:rsidR="0002298B" w:rsidRPr="00B0658A" w:rsidRDefault="0002298B" w:rsidP="000A4114">
            <w:pPr>
              <w:spacing w:after="0" w:line="240" w:lineRule="auto"/>
              <w:jc w:val="both"/>
              <w:rPr>
                <w:rFonts w:ascii="Times New Roman"/>
                <w:color w:val="auto"/>
                <w:sz w:val="20"/>
                <w:szCs w:val="20"/>
              </w:rPr>
            </w:pPr>
          </w:p>
        </w:tc>
        <w:tc>
          <w:tcPr>
            <w:tcW w:w="886" w:type="pct"/>
          </w:tcPr>
          <w:p w14:paraId="0C5B4196" w14:textId="77777777" w:rsidR="0002298B" w:rsidRPr="00B0658A" w:rsidRDefault="0002298B" w:rsidP="000A4114">
            <w:pPr>
              <w:spacing w:after="0" w:line="240" w:lineRule="auto"/>
              <w:jc w:val="both"/>
              <w:rPr>
                <w:rFonts w:ascii="Times New Roman"/>
                <w:color w:val="auto"/>
                <w:sz w:val="20"/>
                <w:szCs w:val="20"/>
              </w:rPr>
            </w:pPr>
          </w:p>
        </w:tc>
        <w:tc>
          <w:tcPr>
            <w:tcW w:w="895" w:type="pct"/>
          </w:tcPr>
          <w:p w14:paraId="23EFDB28" w14:textId="77777777" w:rsidR="0002298B" w:rsidRPr="00B0658A" w:rsidRDefault="0002298B" w:rsidP="000A4114">
            <w:pPr>
              <w:spacing w:after="0" w:line="240" w:lineRule="auto"/>
              <w:jc w:val="both"/>
              <w:rPr>
                <w:rFonts w:ascii="Times New Roman"/>
                <w:color w:val="auto"/>
                <w:sz w:val="20"/>
                <w:szCs w:val="20"/>
              </w:rPr>
            </w:pPr>
          </w:p>
        </w:tc>
        <w:tc>
          <w:tcPr>
            <w:tcW w:w="873" w:type="pct"/>
          </w:tcPr>
          <w:p w14:paraId="43B741D5" w14:textId="77777777" w:rsidR="0002298B" w:rsidRPr="00B0658A" w:rsidRDefault="0002298B" w:rsidP="000A4114">
            <w:pPr>
              <w:spacing w:after="0" w:line="240" w:lineRule="auto"/>
              <w:jc w:val="both"/>
              <w:rPr>
                <w:rFonts w:ascii="Times New Roman"/>
                <w:color w:val="auto"/>
                <w:sz w:val="20"/>
                <w:szCs w:val="20"/>
              </w:rPr>
            </w:pPr>
          </w:p>
        </w:tc>
        <w:tc>
          <w:tcPr>
            <w:tcW w:w="1139" w:type="pct"/>
          </w:tcPr>
          <w:p w14:paraId="686559F9" w14:textId="77777777" w:rsidR="0002298B" w:rsidRPr="00B0658A" w:rsidRDefault="0002298B" w:rsidP="000A4114">
            <w:pPr>
              <w:spacing w:after="0" w:line="240" w:lineRule="auto"/>
              <w:jc w:val="both"/>
              <w:rPr>
                <w:rFonts w:ascii="Times New Roman"/>
                <w:color w:val="auto"/>
                <w:sz w:val="20"/>
                <w:szCs w:val="20"/>
              </w:rPr>
            </w:pPr>
          </w:p>
        </w:tc>
      </w:tr>
      <w:tr w:rsidR="00F52FED" w:rsidRPr="00B0658A" w14:paraId="163A0BE3" w14:textId="77777777" w:rsidTr="004F1366">
        <w:tc>
          <w:tcPr>
            <w:tcW w:w="184" w:type="pct"/>
          </w:tcPr>
          <w:p w14:paraId="247882DF" w14:textId="77777777" w:rsidR="0002298B" w:rsidRPr="00B0658A" w:rsidRDefault="0002298B" w:rsidP="000A4114">
            <w:pPr>
              <w:spacing w:after="0" w:line="240" w:lineRule="auto"/>
              <w:jc w:val="both"/>
              <w:rPr>
                <w:rFonts w:ascii="Times New Roman"/>
                <w:color w:val="auto"/>
                <w:sz w:val="20"/>
                <w:szCs w:val="20"/>
                <w:lang w:val="en-US"/>
              </w:rPr>
            </w:pPr>
            <w:r w:rsidRPr="00B0658A">
              <w:rPr>
                <w:rFonts w:ascii="Times New Roman"/>
                <w:color w:val="auto"/>
                <w:sz w:val="20"/>
                <w:szCs w:val="20"/>
                <w:lang w:val="en-US"/>
              </w:rPr>
              <w:t>2.2</w:t>
            </w:r>
          </w:p>
        </w:tc>
        <w:tc>
          <w:tcPr>
            <w:tcW w:w="1023" w:type="pct"/>
          </w:tcPr>
          <w:p w14:paraId="3E417064" w14:textId="77777777" w:rsidR="0002298B" w:rsidRPr="00B0658A" w:rsidRDefault="0002298B" w:rsidP="000A4114">
            <w:pPr>
              <w:spacing w:after="0" w:line="240" w:lineRule="auto"/>
              <w:jc w:val="both"/>
              <w:rPr>
                <w:rFonts w:ascii="Times New Roman"/>
                <w:color w:val="auto"/>
                <w:sz w:val="20"/>
                <w:szCs w:val="20"/>
              </w:rPr>
            </w:pPr>
          </w:p>
        </w:tc>
        <w:tc>
          <w:tcPr>
            <w:tcW w:w="886" w:type="pct"/>
          </w:tcPr>
          <w:p w14:paraId="6F817BD3" w14:textId="77777777" w:rsidR="0002298B" w:rsidRPr="00B0658A" w:rsidRDefault="0002298B" w:rsidP="000A4114">
            <w:pPr>
              <w:spacing w:after="0" w:line="240" w:lineRule="auto"/>
              <w:jc w:val="both"/>
              <w:rPr>
                <w:rFonts w:ascii="Times New Roman"/>
                <w:color w:val="auto"/>
                <w:sz w:val="20"/>
                <w:szCs w:val="20"/>
              </w:rPr>
            </w:pPr>
          </w:p>
        </w:tc>
        <w:tc>
          <w:tcPr>
            <w:tcW w:w="895" w:type="pct"/>
          </w:tcPr>
          <w:p w14:paraId="55784324" w14:textId="77777777" w:rsidR="0002298B" w:rsidRPr="00B0658A" w:rsidRDefault="0002298B" w:rsidP="000A4114">
            <w:pPr>
              <w:spacing w:after="0" w:line="240" w:lineRule="auto"/>
              <w:jc w:val="both"/>
              <w:rPr>
                <w:rFonts w:ascii="Times New Roman"/>
                <w:color w:val="auto"/>
                <w:sz w:val="20"/>
                <w:szCs w:val="20"/>
              </w:rPr>
            </w:pPr>
          </w:p>
        </w:tc>
        <w:tc>
          <w:tcPr>
            <w:tcW w:w="873" w:type="pct"/>
          </w:tcPr>
          <w:p w14:paraId="01B48EBA" w14:textId="77777777" w:rsidR="0002298B" w:rsidRPr="00B0658A" w:rsidRDefault="0002298B" w:rsidP="000A4114">
            <w:pPr>
              <w:spacing w:after="0" w:line="240" w:lineRule="auto"/>
              <w:jc w:val="both"/>
              <w:rPr>
                <w:rFonts w:ascii="Times New Roman"/>
                <w:color w:val="auto"/>
                <w:sz w:val="20"/>
                <w:szCs w:val="20"/>
              </w:rPr>
            </w:pPr>
          </w:p>
        </w:tc>
        <w:tc>
          <w:tcPr>
            <w:tcW w:w="1139" w:type="pct"/>
          </w:tcPr>
          <w:p w14:paraId="06D43676" w14:textId="77777777" w:rsidR="0002298B" w:rsidRPr="00B0658A" w:rsidRDefault="0002298B" w:rsidP="000A4114">
            <w:pPr>
              <w:spacing w:after="0" w:line="240" w:lineRule="auto"/>
              <w:jc w:val="both"/>
              <w:rPr>
                <w:rFonts w:ascii="Times New Roman"/>
                <w:color w:val="auto"/>
                <w:sz w:val="20"/>
                <w:szCs w:val="20"/>
              </w:rPr>
            </w:pPr>
          </w:p>
        </w:tc>
      </w:tr>
      <w:tr w:rsidR="00F52FED" w:rsidRPr="00B0658A" w14:paraId="75186E3A" w14:textId="77777777" w:rsidTr="004F1366">
        <w:tc>
          <w:tcPr>
            <w:tcW w:w="184" w:type="pct"/>
          </w:tcPr>
          <w:p w14:paraId="4BE6C4B8" w14:textId="77777777" w:rsidR="0002298B" w:rsidRPr="00B0658A" w:rsidRDefault="0002298B" w:rsidP="000A4114">
            <w:pPr>
              <w:spacing w:after="0" w:line="240" w:lineRule="auto"/>
              <w:jc w:val="both"/>
              <w:rPr>
                <w:rFonts w:ascii="Times New Roman"/>
                <w:color w:val="auto"/>
                <w:sz w:val="20"/>
                <w:szCs w:val="20"/>
                <w:lang w:val="en-US"/>
              </w:rPr>
            </w:pPr>
            <w:r w:rsidRPr="00B0658A">
              <w:rPr>
                <w:rFonts w:ascii="Times New Roman"/>
                <w:color w:val="auto"/>
                <w:sz w:val="20"/>
                <w:szCs w:val="20"/>
                <w:lang w:val="en-US"/>
              </w:rPr>
              <w:t>…</w:t>
            </w:r>
          </w:p>
        </w:tc>
        <w:tc>
          <w:tcPr>
            <w:tcW w:w="1023" w:type="pct"/>
          </w:tcPr>
          <w:p w14:paraId="6F159973" w14:textId="77777777" w:rsidR="0002298B" w:rsidRPr="00B0658A" w:rsidRDefault="0002298B" w:rsidP="000A4114">
            <w:pPr>
              <w:spacing w:after="0" w:line="240" w:lineRule="auto"/>
              <w:jc w:val="both"/>
              <w:rPr>
                <w:rFonts w:ascii="Times New Roman"/>
                <w:color w:val="auto"/>
                <w:sz w:val="20"/>
                <w:szCs w:val="20"/>
              </w:rPr>
            </w:pPr>
          </w:p>
        </w:tc>
        <w:tc>
          <w:tcPr>
            <w:tcW w:w="886" w:type="pct"/>
          </w:tcPr>
          <w:p w14:paraId="2AACC7C4" w14:textId="77777777" w:rsidR="0002298B" w:rsidRPr="00B0658A" w:rsidRDefault="0002298B" w:rsidP="000A4114">
            <w:pPr>
              <w:spacing w:after="0" w:line="240" w:lineRule="auto"/>
              <w:jc w:val="both"/>
              <w:rPr>
                <w:rFonts w:ascii="Times New Roman"/>
                <w:color w:val="auto"/>
                <w:sz w:val="20"/>
                <w:szCs w:val="20"/>
              </w:rPr>
            </w:pPr>
          </w:p>
        </w:tc>
        <w:tc>
          <w:tcPr>
            <w:tcW w:w="895" w:type="pct"/>
          </w:tcPr>
          <w:p w14:paraId="41786EC3" w14:textId="77777777" w:rsidR="0002298B" w:rsidRPr="00B0658A" w:rsidRDefault="0002298B" w:rsidP="000A4114">
            <w:pPr>
              <w:spacing w:after="0" w:line="240" w:lineRule="auto"/>
              <w:jc w:val="both"/>
              <w:rPr>
                <w:rFonts w:ascii="Times New Roman"/>
                <w:color w:val="auto"/>
                <w:sz w:val="20"/>
                <w:szCs w:val="20"/>
              </w:rPr>
            </w:pPr>
          </w:p>
        </w:tc>
        <w:tc>
          <w:tcPr>
            <w:tcW w:w="873" w:type="pct"/>
          </w:tcPr>
          <w:p w14:paraId="443E1066" w14:textId="77777777" w:rsidR="0002298B" w:rsidRPr="00B0658A" w:rsidRDefault="0002298B" w:rsidP="000A4114">
            <w:pPr>
              <w:spacing w:after="0" w:line="240" w:lineRule="auto"/>
              <w:jc w:val="both"/>
              <w:rPr>
                <w:rFonts w:ascii="Times New Roman"/>
                <w:color w:val="auto"/>
                <w:sz w:val="20"/>
                <w:szCs w:val="20"/>
              </w:rPr>
            </w:pPr>
          </w:p>
        </w:tc>
        <w:tc>
          <w:tcPr>
            <w:tcW w:w="1139" w:type="pct"/>
          </w:tcPr>
          <w:p w14:paraId="1C07DF91" w14:textId="77777777" w:rsidR="0002298B" w:rsidRPr="00B0658A" w:rsidRDefault="0002298B" w:rsidP="000A4114">
            <w:pPr>
              <w:spacing w:after="0" w:line="240" w:lineRule="auto"/>
              <w:jc w:val="both"/>
              <w:rPr>
                <w:rFonts w:ascii="Times New Roman"/>
                <w:color w:val="auto"/>
                <w:sz w:val="20"/>
                <w:szCs w:val="20"/>
              </w:rPr>
            </w:pPr>
          </w:p>
        </w:tc>
      </w:tr>
      <w:tr w:rsidR="00F52FED" w:rsidRPr="00B0658A" w14:paraId="2B5F6984" w14:textId="77777777" w:rsidTr="004F1366">
        <w:tc>
          <w:tcPr>
            <w:tcW w:w="184" w:type="pct"/>
          </w:tcPr>
          <w:p w14:paraId="45499BE2" w14:textId="77777777" w:rsidR="0002298B" w:rsidRPr="00B0658A" w:rsidRDefault="0002298B" w:rsidP="000A4114">
            <w:pPr>
              <w:spacing w:after="0" w:line="240" w:lineRule="auto"/>
              <w:jc w:val="both"/>
              <w:rPr>
                <w:rFonts w:ascii="Times New Roman"/>
                <w:color w:val="auto"/>
                <w:sz w:val="20"/>
                <w:szCs w:val="20"/>
                <w:lang w:val="en-US"/>
              </w:rPr>
            </w:pPr>
            <w:r w:rsidRPr="00B0658A">
              <w:rPr>
                <w:rFonts w:ascii="Times New Roman"/>
                <w:color w:val="auto"/>
                <w:sz w:val="20"/>
                <w:szCs w:val="20"/>
                <w:lang w:val="en-US"/>
              </w:rPr>
              <w:t>2.n</w:t>
            </w:r>
          </w:p>
        </w:tc>
        <w:tc>
          <w:tcPr>
            <w:tcW w:w="1023" w:type="pct"/>
          </w:tcPr>
          <w:p w14:paraId="33EE0DD6" w14:textId="77777777" w:rsidR="0002298B" w:rsidRPr="00B0658A" w:rsidRDefault="0002298B" w:rsidP="000A4114">
            <w:pPr>
              <w:spacing w:after="0" w:line="240" w:lineRule="auto"/>
              <w:jc w:val="both"/>
              <w:rPr>
                <w:rFonts w:ascii="Times New Roman"/>
                <w:color w:val="auto"/>
                <w:sz w:val="20"/>
                <w:szCs w:val="20"/>
              </w:rPr>
            </w:pPr>
          </w:p>
        </w:tc>
        <w:tc>
          <w:tcPr>
            <w:tcW w:w="886" w:type="pct"/>
          </w:tcPr>
          <w:p w14:paraId="4E959153" w14:textId="77777777" w:rsidR="0002298B" w:rsidRPr="00B0658A" w:rsidRDefault="0002298B" w:rsidP="000A4114">
            <w:pPr>
              <w:spacing w:after="0" w:line="240" w:lineRule="auto"/>
              <w:jc w:val="both"/>
              <w:rPr>
                <w:rFonts w:ascii="Times New Roman"/>
                <w:color w:val="auto"/>
                <w:sz w:val="20"/>
                <w:szCs w:val="20"/>
              </w:rPr>
            </w:pPr>
          </w:p>
        </w:tc>
        <w:tc>
          <w:tcPr>
            <w:tcW w:w="895" w:type="pct"/>
          </w:tcPr>
          <w:p w14:paraId="5AF4FB09" w14:textId="77777777" w:rsidR="0002298B" w:rsidRPr="00B0658A" w:rsidRDefault="0002298B" w:rsidP="000A4114">
            <w:pPr>
              <w:spacing w:after="0" w:line="240" w:lineRule="auto"/>
              <w:jc w:val="both"/>
              <w:rPr>
                <w:rFonts w:ascii="Times New Roman"/>
                <w:color w:val="auto"/>
                <w:sz w:val="20"/>
                <w:szCs w:val="20"/>
              </w:rPr>
            </w:pPr>
          </w:p>
        </w:tc>
        <w:tc>
          <w:tcPr>
            <w:tcW w:w="873" w:type="pct"/>
          </w:tcPr>
          <w:p w14:paraId="034F78F7" w14:textId="77777777" w:rsidR="0002298B" w:rsidRPr="00B0658A" w:rsidRDefault="0002298B" w:rsidP="000A4114">
            <w:pPr>
              <w:spacing w:after="0" w:line="240" w:lineRule="auto"/>
              <w:jc w:val="both"/>
              <w:rPr>
                <w:rFonts w:ascii="Times New Roman"/>
                <w:color w:val="auto"/>
                <w:sz w:val="20"/>
                <w:szCs w:val="20"/>
              </w:rPr>
            </w:pPr>
          </w:p>
        </w:tc>
        <w:tc>
          <w:tcPr>
            <w:tcW w:w="1139" w:type="pct"/>
          </w:tcPr>
          <w:p w14:paraId="1AE05667" w14:textId="77777777" w:rsidR="0002298B" w:rsidRPr="00B0658A" w:rsidRDefault="0002298B" w:rsidP="000A4114">
            <w:pPr>
              <w:spacing w:after="0" w:line="240" w:lineRule="auto"/>
              <w:jc w:val="both"/>
              <w:rPr>
                <w:rFonts w:ascii="Times New Roman"/>
                <w:color w:val="auto"/>
                <w:sz w:val="20"/>
                <w:szCs w:val="20"/>
              </w:rPr>
            </w:pPr>
          </w:p>
        </w:tc>
      </w:tr>
      <w:tr w:rsidR="00F52FED" w:rsidRPr="00B0658A" w14:paraId="4916E8C4" w14:textId="77777777" w:rsidTr="004F1366">
        <w:tc>
          <w:tcPr>
            <w:tcW w:w="184" w:type="pct"/>
          </w:tcPr>
          <w:p w14:paraId="065FAAFF" w14:textId="77777777" w:rsidR="0002298B" w:rsidRPr="00B0658A" w:rsidRDefault="0002298B" w:rsidP="000A4114">
            <w:pPr>
              <w:spacing w:after="0" w:line="240" w:lineRule="auto"/>
              <w:jc w:val="both"/>
              <w:rPr>
                <w:rFonts w:ascii="Times New Roman"/>
                <w:color w:val="auto"/>
                <w:sz w:val="20"/>
                <w:szCs w:val="20"/>
                <w:lang w:val="en-US"/>
              </w:rPr>
            </w:pPr>
          </w:p>
        </w:tc>
        <w:tc>
          <w:tcPr>
            <w:tcW w:w="1023" w:type="pct"/>
          </w:tcPr>
          <w:p w14:paraId="1F2FBB66" w14:textId="77777777" w:rsidR="0002298B" w:rsidRPr="00B0658A" w:rsidRDefault="0002298B" w:rsidP="000A4114">
            <w:pPr>
              <w:spacing w:after="0" w:line="240" w:lineRule="auto"/>
              <w:jc w:val="both"/>
              <w:rPr>
                <w:rFonts w:ascii="Times New Roman"/>
                <w:color w:val="auto"/>
                <w:sz w:val="20"/>
                <w:szCs w:val="20"/>
              </w:rPr>
            </w:pPr>
          </w:p>
        </w:tc>
        <w:tc>
          <w:tcPr>
            <w:tcW w:w="886" w:type="pct"/>
          </w:tcPr>
          <w:p w14:paraId="05350BD4" w14:textId="77777777" w:rsidR="0002298B" w:rsidRPr="00B0658A" w:rsidRDefault="0002298B" w:rsidP="000A4114">
            <w:pPr>
              <w:spacing w:after="0" w:line="240" w:lineRule="auto"/>
              <w:jc w:val="both"/>
              <w:rPr>
                <w:rFonts w:ascii="Times New Roman"/>
                <w:color w:val="auto"/>
                <w:sz w:val="20"/>
                <w:szCs w:val="20"/>
              </w:rPr>
            </w:pPr>
          </w:p>
        </w:tc>
        <w:tc>
          <w:tcPr>
            <w:tcW w:w="895" w:type="pct"/>
          </w:tcPr>
          <w:p w14:paraId="5F137A56" w14:textId="77777777" w:rsidR="0002298B" w:rsidRPr="00B0658A" w:rsidRDefault="0002298B" w:rsidP="000A4114">
            <w:pPr>
              <w:spacing w:after="0" w:line="240" w:lineRule="auto"/>
              <w:jc w:val="both"/>
              <w:rPr>
                <w:rFonts w:ascii="Times New Roman"/>
                <w:color w:val="auto"/>
                <w:sz w:val="20"/>
                <w:szCs w:val="20"/>
              </w:rPr>
            </w:pPr>
          </w:p>
        </w:tc>
        <w:tc>
          <w:tcPr>
            <w:tcW w:w="873" w:type="pct"/>
          </w:tcPr>
          <w:p w14:paraId="09492989" w14:textId="77777777" w:rsidR="0002298B" w:rsidRPr="00B0658A" w:rsidRDefault="0002298B" w:rsidP="000A4114">
            <w:pPr>
              <w:spacing w:after="0" w:line="240" w:lineRule="auto"/>
              <w:jc w:val="both"/>
              <w:rPr>
                <w:rFonts w:ascii="Times New Roman"/>
                <w:color w:val="auto"/>
                <w:sz w:val="20"/>
                <w:szCs w:val="20"/>
              </w:rPr>
            </w:pPr>
          </w:p>
        </w:tc>
        <w:tc>
          <w:tcPr>
            <w:tcW w:w="1139" w:type="pct"/>
          </w:tcPr>
          <w:p w14:paraId="56CB1CA6" w14:textId="77777777" w:rsidR="0002298B" w:rsidRPr="00B0658A" w:rsidRDefault="0002298B" w:rsidP="000A4114">
            <w:pPr>
              <w:spacing w:after="0" w:line="240" w:lineRule="auto"/>
              <w:jc w:val="both"/>
              <w:rPr>
                <w:rFonts w:ascii="Times New Roman"/>
                <w:color w:val="auto"/>
                <w:sz w:val="20"/>
                <w:szCs w:val="20"/>
              </w:rPr>
            </w:pPr>
          </w:p>
        </w:tc>
      </w:tr>
      <w:tr w:rsidR="00F52FED" w:rsidRPr="00B0658A" w14:paraId="22F40B1A" w14:textId="77777777" w:rsidTr="004F1366">
        <w:tc>
          <w:tcPr>
            <w:tcW w:w="5000" w:type="pct"/>
            <w:gridSpan w:val="6"/>
          </w:tcPr>
          <w:p w14:paraId="0EEC8697" w14:textId="77777777" w:rsidR="0002298B" w:rsidRPr="00B0658A" w:rsidRDefault="0002298B" w:rsidP="000A4114">
            <w:pPr>
              <w:spacing w:after="0" w:line="240" w:lineRule="auto"/>
              <w:rPr>
                <w:rFonts w:ascii="Times New Roman"/>
                <w:color w:val="auto"/>
                <w:sz w:val="20"/>
                <w:szCs w:val="20"/>
              </w:rPr>
            </w:pPr>
            <w:r w:rsidRPr="00B0658A">
              <w:rPr>
                <w:rFonts w:ascii="Times New Roman"/>
                <w:b/>
                <w:color w:val="auto"/>
                <w:sz w:val="20"/>
                <w:szCs w:val="20"/>
              </w:rPr>
              <w:t>N. Мероприятия в отношении ________ (наименование значимого объекта КИИ №N)</w:t>
            </w:r>
          </w:p>
        </w:tc>
      </w:tr>
      <w:tr w:rsidR="00F52FED" w:rsidRPr="00B0658A" w14:paraId="1A56A162" w14:textId="77777777" w:rsidTr="004F1366">
        <w:tc>
          <w:tcPr>
            <w:tcW w:w="184" w:type="pct"/>
          </w:tcPr>
          <w:p w14:paraId="075A996C" w14:textId="77777777" w:rsidR="0002298B" w:rsidRPr="00B0658A" w:rsidRDefault="0002298B" w:rsidP="000A4114">
            <w:pPr>
              <w:spacing w:after="0" w:line="240" w:lineRule="auto"/>
              <w:jc w:val="both"/>
              <w:rPr>
                <w:rFonts w:ascii="Times New Roman"/>
                <w:color w:val="auto"/>
                <w:sz w:val="20"/>
                <w:szCs w:val="20"/>
                <w:lang w:val="en-US"/>
              </w:rPr>
            </w:pPr>
            <w:r w:rsidRPr="00B0658A">
              <w:rPr>
                <w:rFonts w:ascii="Times New Roman"/>
                <w:color w:val="auto"/>
                <w:sz w:val="20"/>
                <w:szCs w:val="20"/>
                <w:lang w:val="en-US"/>
              </w:rPr>
              <w:t>N.1</w:t>
            </w:r>
          </w:p>
        </w:tc>
        <w:tc>
          <w:tcPr>
            <w:tcW w:w="1023" w:type="pct"/>
          </w:tcPr>
          <w:p w14:paraId="39BC87D2" w14:textId="77777777" w:rsidR="0002298B" w:rsidRPr="00B0658A" w:rsidRDefault="0002298B" w:rsidP="000A4114">
            <w:pPr>
              <w:spacing w:after="0" w:line="240" w:lineRule="auto"/>
              <w:jc w:val="both"/>
              <w:rPr>
                <w:rFonts w:ascii="Times New Roman"/>
                <w:color w:val="auto"/>
                <w:sz w:val="20"/>
                <w:szCs w:val="20"/>
              </w:rPr>
            </w:pPr>
          </w:p>
        </w:tc>
        <w:tc>
          <w:tcPr>
            <w:tcW w:w="886" w:type="pct"/>
          </w:tcPr>
          <w:p w14:paraId="10B356FD" w14:textId="77777777" w:rsidR="0002298B" w:rsidRPr="00B0658A" w:rsidRDefault="0002298B" w:rsidP="000A4114">
            <w:pPr>
              <w:spacing w:after="0" w:line="240" w:lineRule="auto"/>
              <w:jc w:val="both"/>
              <w:rPr>
                <w:rFonts w:ascii="Times New Roman"/>
                <w:color w:val="auto"/>
                <w:sz w:val="20"/>
                <w:szCs w:val="20"/>
              </w:rPr>
            </w:pPr>
          </w:p>
        </w:tc>
        <w:tc>
          <w:tcPr>
            <w:tcW w:w="895" w:type="pct"/>
          </w:tcPr>
          <w:p w14:paraId="4B1CD744" w14:textId="77777777" w:rsidR="0002298B" w:rsidRPr="00B0658A" w:rsidRDefault="0002298B" w:rsidP="000A4114">
            <w:pPr>
              <w:spacing w:after="0" w:line="240" w:lineRule="auto"/>
              <w:jc w:val="both"/>
              <w:rPr>
                <w:rFonts w:ascii="Times New Roman"/>
                <w:color w:val="auto"/>
                <w:sz w:val="20"/>
                <w:szCs w:val="20"/>
              </w:rPr>
            </w:pPr>
          </w:p>
        </w:tc>
        <w:tc>
          <w:tcPr>
            <w:tcW w:w="873" w:type="pct"/>
          </w:tcPr>
          <w:p w14:paraId="2C7B1DC0" w14:textId="77777777" w:rsidR="0002298B" w:rsidRPr="00B0658A" w:rsidRDefault="0002298B" w:rsidP="000A4114">
            <w:pPr>
              <w:spacing w:after="0" w:line="240" w:lineRule="auto"/>
              <w:jc w:val="both"/>
              <w:rPr>
                <w:rFonts w:ascii="Times New Roman"/>
                <w:color w:val="auto"/>
                <w:sz w:val="20"/>
                <w:szCs w:val="20"/>
              </w:rPr>
            </w:pPr>
          </w:p>
        </w:tc>
        <w:tc>
          <w:tcPr>
            <w:tcW w:w="1139" w:type="pct"/>
          </w:tcPr>
          <w:p w14:paraId="0A31249F" w14:textId="77777777" w:rsidR="0002298B" w:rsidRPr="00B0658A" w:rsidRDefault="0002298B" w:rsidP="000A4114">
            <w:pPr>
              <w:spacing w:after="0" w:line="240" w:lineRule="auto"/>
              <w:jc w:val="both"/>
              <w:rPr>
                <w:rFonts w:ascii="Times New Roman"/>
                <w:color w:val="auto"/>
                <w:sz w:val="20"/>
                <w:szCs w:val="20"/>
              </w:rPr>
            </w:pPr>
          </w:p>
        </w:tc>
      </w:tr>
      <w:tr w:rsidR="00F52FED" w:rsidRPr="00B0658A" w14:paraId="2B78201B" w14:textId="77777777" w:rsidTr="004F1366">
        <w:tc>
          <w:tcPr>
            <w:tcW w:w="184" w:type="pct"/>
          </w:tcPr>
          <w:p w14:paraId="0879FA3B" w14:textId="77777777" w:rsidR="0002298B" w:rsidRPr="00B0658A" w:rsidRDefault="0002298B" w:rsidP="000A4114">
            <w:pPr>
              <w:spacing w:after="0" w:line="240" w:lineRule="auto"/>
              <w:jc w:val="both"/>
              <w:rPr>
                <w:rFonts w:ascii="Times New Roman"/>
                <w:color w:val="auto"/>
                <w:sz w:val="20"/>
                <w:szCs w:val="20"/>
                <w:lang w:val="en-US"/>
              </w:rPr>
            </w:pPr>
            <w:r w:rsidRPr="00B0658A">
              <w:rPr>
                <w:rFonts w:ascii="Times New Roman"/>
                <w:color w:val="auto"/>
                <w:sz w:val="20"/>
                <w:szCs w:val="20"/>
                <w:lang w:val="en-US"/>
              </w:rPr>
              <w:t>N.2</w:t>
            </w:r>
          </w:p>
        </w:tc>
        <w:tc>
          <w:tcPr>
            <w:tcW w:w="1023" w:type="pct"/>
          </w:tcPr>
          <w:p w14:paraId="4A8163CD" w14:textId="77777777" w:rsidR="0002298B" w:rsidRPr="00B0658A" w:rsidRDefault="0002298B" w:rsidP="000A4114">
            <w:pPr>
              <w:spacing w:after="0" w:line="240" w:lineRule="auto"/>
              <w:jc w:val="both"/>
              <w:rPr>
                <w:rFonts w:ascii="Times New Roman"/>
                <w:color w:val="auto"/>
                <w:sz w:val="20"/>
                <w:szCs w:val="20"/>
              </w:rPr>
            </w:pPr>
          </w:p>
        </w:tc>
        <w:tc>
          <w:tcPr>
            <w:tcW w:w="886" w:type="pct"/>
          </w:tcPr>
          <w:p w14:paraId="60DE9C6B" w14:textId="77777777" w:rsidR="0002298B" w:rsidRPr="00B0658A" w:rsidRDefault="0002298B" w:rsidP="000A4114">
            <w:pPr>
              <w:spacing w:after="0" w:line="240" w:lineRule="auto"/>
              <w:jc w:val="both"/>
              <w:rPr>
                <w:rFonts w:ascii="Times New Roman"/>
                <w:color w:val="auto"/>
                <w:sz w:val="20"/>
                <w:szCs w:val="20"/>
              </w:rPr>
            </w:pPr>
          </w:p>
        </w:tc>
        <w:tc>
          <w:tcPr>
            <w:tcW w:w="895" w:type="pct"/>
          </w:tcPr>
          <w:p w14:paraId="572392C1" w14:textId="77777777" w:rsidR="0002298B" w:rsidRPr="00B0658A" w:rsidRDefault="0002298B" w:rsidP="000A4114">
            <w:pPr>
              <w:spacing w:after="0" w:line="240" w:lineRule="auto"/>
              <w:jc w:val="both"/>
              <w:rPr>
                <w:rFonts w:ascii="Times New Roman"/>
                <w:color w:val="auto"/>
                <w:sz w:val="20"/>
                <w:szCs w:val="20"/>
              </w:rPr>
            </w:pPr>
          </w:p>
        </w:tc>
        <w:tc>
          <w:tcPr>
            <w:tcW w:w="873" w:type="pct"/>
          </w:tcPr>
          <w:p w14:paraId="0AC1E6CF" w14:textId="77777777" w:rsidR="0002298B" w:rsidRPr="00B0658A" w:rsidRDefault="0002298B" w:rsidP="000A4114">
            <w:pPr>
              <w:spacing w:after="0" w:line="240" w:lineRule="auto"/>
              <w:jc w:val="both"/>
              <w:rPr>
                <w:rFonts w:ascii="Times New Roman"/>
                <w:color w:val="auto"/>
                <w:sz w:val="20"/>
                <w:szCs w:val="20"/>
              </w:rPr>
            </w:pPr>
          </w:p>
        </w:tc>
        <w:tc>
          <w:tcPr>
            <w:tcW w:w="1139" w:type="pct"/>
          </w:tcPr>
          <w:p w14:paraId="4BC04DDE" w14:textId="77777777" w:rsidR="0002298B" w:rsidRPr="00B0658A" w:rsidRDefault="0002298B" w:rsidP="000A4114">
            <w:pPr>
              <w:spacing w:after="0" w:line="240" w:lineRule="auto"/>
              <w:jc w:val="both"/>
              <w:rPr>
                <w:rFonts w:ascii="Times New Roman"/>
                <w:color w:val="auto"/>
                <w:sz w:val="20"/>
                <w:szCs w:val="20"/>
              </w:rPr>
            </w:pPr>
          </w:p>
        </w:tc>
      </w:tr>
      <w:tr w:rsidR="00F52FED" w:rsidRPr="00B0658A" w14:paraId="75945BD0" w14:textId="77777777" w:rsidTr="004F1366">
        <w:tc>
          <w:tcPr>
            <w:tcW w:w="184" w:type="pct"/>
          </w:tcPr>
          <w:p w14:paraId="3A747936" w14:textId="77777777" w:rsidR="0002298B" w:rsidRPr="00B0658A" w:rsidRDefault="0002298B" w:rsidP="000A4114">
            <w:pPr>
              <w:spacing w:after="0" w:line="240" w:lineRule="auto"/>
              <w:jc w:val="both"/>
              <w:rPr>
                <w:rFonts w:ascii="Times New Roman"/>
                <w:color w:val="auto"/>
                <w:sz w:val="20"/>
                <w:szCs w:val="20"/>
                <w:lang w:val="en-US"/>
              </w:rPr>
            </w:pPr>
            <w:r w:rsidRPr="00B0658A">
              <w:rPr>
                <w:rFonts w:ascii="Times New Roman"/>
                <w:color w:val="auto"/>
                <w:sz w:val="20"/>
                <w:szCs w:val="20"/>
                <w:lang w:val="en-US"/>
              </w:rPr>
              <w:t>…</w:t>
            </w:r>
          </w:p>
        </w:tc>
        <w:tc>
          <w:tcPr>
            <w:tcW w:w="1023" w:type="pct"/>
          </w:tcPr>
          <w:p w14:paraId="215AD872" w14:textId="77777777" w:rsidR="0002298B" w:rsidRPr="00B0658A" w:rsidRDefault="0002298B" w:rsidP="000A4114">
            <w:pPr>
              <w:spacing w:after="0" w:line="240" w:lineRule="auto"/>
              <w:jc w:val="both"/>
              <w:rPr>
                <w:rFonts w:ascii="Times New Roman"/>
                <w:color w:val="auto"/>
                <w:sz w:val="20"/>
                <w:szCs w:val="20"/>
              </w:rPr>
            </w:pPr>
          </w:p>
        </w:tc>
        <w:tc>
          <w:tcPr>
            <w:tcW w:w="886" w:type="pct"/>
          </w:tcPr>
          <w:p w14:paraId="352E605C" w14:textId="77777777" w:rsidR="0002298B" w:rsidRPr="00B0658A" w:rsidRDefault="0002298B" w:rsidP="000A4114">
            <w:pPr>
              <w:spacing w:after="0" w:line="240" w:lineRule="auto"/>
              <w:jc w:val="both"/>
              <w:rPr>
                <w:rFonts w:ascii="Times New Roman"/>
                <w:color w:val="auto"/>
                <w:sz w:val="20"/>
                <w:szCs w:val="20"/>
              </w:rPr>
            </w:pPr>
          </w:p>
        </w:tc>
        <w:tc>
          <w:tcPr>
            <w:tcW w:w="895" w:type="pct"/>
          </w:tcPr>
          <w:p w14:paraId="4F33862F" w14:textId="77777777" w:rsidR="0002298B" w:rsidRPr="00B0658A" w:rsidRDefault="0002298B" w:rsidP="000A4114">
            <w:pPr>
              <w:spacing w:after="0" w:line="240" w:lineRule="auto"/>
              <w:jc w:val="both"/>
              <w:rPr>
                <w:rFonts w:ascii="Times New Roman"/>
                <w:color w:val="auto"/>
                <w:sz w:val="20"/>
                <w:szCs w:val="20"/>
              </w:rPr>
            </w:pPr>
          </w:p>
        </w:tc>
        <w:tc>
          <w:tcPr>
            <w:tcW w:w="873" w:type="pct"/>
          </w:tcPr>
          <w:p w14:paraId="06AF8DF9" w14:textId="77777777" w:rsidR="0002298B" w:rsidRPr="00B0658A" w:rsidRDefault="0002298B" w:rsidP="000A4114">
            <w:pPr>
              <w:spacing w:after="0" w:line="240" w:lineRule="auto"/>
              <w:jc w:val="both"/>
              <w:rPr>
                <w:rFonts w:ascii="Times New Roman"/>
                <w:color w:val="auto"/>
                <w:sz w:val="20"/>
                <w:szCs w:val="20"/>
              </w:rPr>
            </w:pPr>
          </w:p>
        </w:tc>
        <w:tc>
          <w:tcPr>
            <w:tcW w:w="1139" w:type="pct"/>
          </w:tcPr>
          <w:p w14:paraId="17E63538" w14:textId="77777777" w:rsidR="0002298B" w:rsidRPr="00B0658A" w:rsidRDefault="0002298B" w:rsidP="000A4114">
            <w:pPr>
              <w:spacing w:after="0" w:line="240" w:lineRule="auto"/>
              <w:jc w:val="both"/>
              <w:rPr>
                <w:rFonts w:ascii="Times New Roman"/>
                <w:color w:val="auto"/>
                <w:sz w:val="20"/>
                <w:szCs w:val="20"/>
              </w:rPr>
            </w:pPr>
          </w:p>
        </w:tc>
      </w:tr>
      <w:tr w:rsidR="0002298B" w:rsidRPr="00B0658A" w14:paraId="1CC3CF5F" w14:textId="77777777" w:rsidTr="004F1366">
        <w:tc>
          <w:tcPr>
            <w:tcW w:w="184" w:type="pct"/>
          </w:tcPr>
          <w:p w14:paraId="57933CC9" w14:textId="77777777" w:rsidR="0002298B" w:rsidRPr="00B0658A" w:rsidRDefault="0002298B" w:rsidP="000A4114">
            <w:pPr>
              <w:spacing w:after="0" w:line="240" w:lineRule="auto"/>
              <w:jc w:val="both"/>
              <w:rPr>
                <w:rFonts w:ascii="Times New Roman"/>
                <w:color w:val="auto"/>
                <w:sz w:val="20"/>
                <w:szCs w:val="20"/>
                <w:lang w:val="en-US"/>
              </w:rPr>
            </w:pPr>
            <w:r w:rsidRPr="00B0658A">
              <w:rPr>
                <w:rFonts w:ascii="Times New Roman"/>
                <w:color w:val="auto"/>
                <w:sz w:val="20"/>
                <w:szCs w:val="20"/>
                <w:lang w:val="en-US"/>
              </w:rPr>
              <w:t>N.n</w:t>
            </w:r>
          </w:p>
        </w:tc>
        <w:tc>
          <w:tcPr>
            <w:tcW w:w="1023" w:type="pct"/>
          </w:tcPr>
          <w:p w14:paraId="468FDF88" w14:textId="77777777" w:rsidR="0002298B" w:rsidRPr="00B0658A" w:rsidRDefault="0002298B" w:rsidP="000A4114">
            <w:pPr>
              <w:spacing w:after="0" w:line="240" w:lineRule="auto"/>
              <w:jc w:val="both"/>
              <w:rPr>
                <w:rFonts w:ascii="Times New Roman"/>
                <w:color w:val="auto"/>
                <w:sz w:val="20"/>
                <w:szCs w:val="20"/>
              </w:rPr>
            </w:pPr>
          </w:p>
        </w:tc>
        <w:tc>
          <w:tcPr>
            <w:tcW w:w="886" w:type="pct"/>
          </w:tcPr>
          <w:p w14:paraId="187F4F8E" w14:textId="77777777" w:rsidR="0002298B" w:rsidRPr="00B0658A" w:rsidRDefault="0002298B" w:rsidP="000A4114">
            <w:pPr>
              <w:spacing w:after="0" w:line="240" w:lineRule="auto"/>
              <w:jc w:val="both"/>
              <w:rPr>
                <w:rFonts w:ascii="Times New Roman"/>
                <w:color w:val="auto"/>
                <w:sz w:val="20"/>
                <w:szCs w:val="20"/>
              </w:rPr>
            </w:pPr>
          </w:p>
        </w:tc>
        <w:tc>
          <w:tcPr>
            <w:tcW w:w="895" w:type="pct"/>
          </w:tcPr>
          <w:p w14:paraId="671BCAAF" w14:textId="77777777" w:rsidR="0002298B" w:rsidRPr="00B0658A" w:rsidRDefault="0002298B" w:rsidP="000A4114">
            <w:pPr>
              <w:spacing w:after="0" w:line="240" w:lineRule="auto"/>
              <w:jc w:val="both"/>
              <w:rPr>
                <w:rFonts w:ascii="Times New Roman"/>
                <w:color w:val="auto"/>
                <w:sz w:val="20"/>
                <w:szCs w:val="20"/>
              </w:rPr>
            </w:pPr>
          </w:p>
        </w:tc>
        <w:tc>
          <w:tcPr>
            <w:tcW w:w="873" w:type="pct"/>
          </w:tcPr>
          <w:p w14:paraId="303B7C15" w14:textId="77777777" w:rsidR="0002298B" w:rsidRPr="00B0658A" w:rsidRDefault="0002298B" w:rsidP="000A4114">
            <w:pPr>
              <w:spacing w:after="0" w:line="240" w:lineRule="auto"/>
              <w:jc w:val="both"/>
              <w:rPr>
                <w:rFonts w:ascii="Times New Roman"/>
                <w:color w:val="auto"/>
                <w:sz w:val="20"/>
                <w:szCs w:val="20"/>
              </w:rPr>
            </w:pPr>
          </w:p>
        </w:tc>
        <w:tc>
          <w:tcPr>
            <w:tcW w:w="1139" w:type="pct"/>
          </w:tcPr>
          <w:p w14:paraId="751409AB" w14:textId="77777777" w:rsidR="0002298B" w:rsidRPr="00B0658A" w:rsidRDefault="0002298B" w:rsidP="000A4114">
            <w:pPr>
              <w:spacing w:after="0" w:line="240" w:lineRule="auto"/>
              <w:jc w:val="both"/>
              <w:rPr>
                <w:rFonts w:ascii="Times New Roman"/>
                <w:color w:val="auto"/>
                <w:sz w:val="20"/>
                <w:szCs w:val="20"/>
              </w:rPr>
            </w:pPr>
          </w:p>
        </w:tc>
      </w:tr>
    </w:tbl>
    <w:p w14:paraId="1EF738DE" w14:textId="77777777" w:rsidR="0002298B" w:rsidRPr="00B0658A" w:rsidRDefault="0002298B" w:rsidP="0002298B">
      <w:pPr>
        <w:spacing w:line="240" w:lineRule="auto"/>
        <w:jc w:val="both"/>
        <w:rPr>
          <w:rFonts w:ascii="Times New Roman" w:hAnsi="Times New Roman"/>
          <w:sz w:val="28"/>
          <w:szCs w:val="28"/>
        </w:rPr>
      </w:pPr>
    </w:p>
    <w:p w14:paraId="0D4D6FD2" w14:textId="77777777" w:rsidR="0002298B" w:rsidRPr="00B0658A" w:rsidRDefault="0002298B" w:rsidP="0002298B">
      <w:pPr>
        <w:spacing w:line="240" w:lineRule="auto"/>
        <w:ind w:firstLine="709"/>
        <w:jc w:val="both"/>
        <w:rPr>
          <w:rFonts w:ascii="Times New Roman" w:hAnsi="Times New Roman"/>
          <w:sz w:val="28"/>
          <w:szCs w:val="28"/>
        </w:rPr>
      </w:pPr>
      <w:r w:rsidRPr="00B0658A">
        <w:rPr>
          <w:rFonts w:ascii="Times New Roman" w:hAnsi="Times New Roman"/>
          <w:sz w:val="28"/>
          <w:szCs w:val="28"/>
        </w:rPr>
        <w:t xml:space="preserve">2. </w:t>
      </w:r>
      <w:r w:rsidRPr="00B0658A">
        <w:rPr>
          <w:rFonts w:ascii="Times New Roman" w:hAnsi="Times New Roman"/>
          <w:sz w:val="28"/>
          <w:szCs w:val="24"/>
        </w:rPr>
        <w:t>Сведения о достижении показателей эффективности перехода на использование российского ПО на значимых объектов КИИ</w:t>
      </w:r>
    </w:p>
    <w:tbl>
      <w:tblPr>
        <w:tblStyle w:val="afc"/>
        <w:tblW w:w="5000" w:type="pct"/>
        <w:tblLook w:val="0480" w:firstRow="0" w:lastRow="0" w:firstColumn="1" w:lastColumn="0" w:noHBand="0" w:noVBand="1"/>
      </w:tblPr>
      <w:tblGrid>
        <w:gridCol w:w="516"/>
        <w:gridCol w:w="3241"/>
        <w:gridCol w:w="1581"/>
        <w:gridCol w:w="3085"/>
        <w:gridCol w:w="2929"/>
        <w:gridCol w:w="2592"/>
      </w:tblGrid>
      <w:tr w:rsidR="00F52FED" w:rsidRPr="00B0658A" w14:paraId="757B1498" w14:textId="77777777" w:rsidTr="00F57B1F">
        <w:trPr>
          <w:trHeight w:val="1309"/>
          <w:tblHeader/>
        </w:trPr>
        <w:tc>
          <w:tcPr>
            <w:tcW w:w="197" w:type="pct"/>
            <w:vMerge w:val="restart"/>
            <w:shd w:val="clear" w:color="auto" w:fill="auto"/>
            <w:vAlign w:val="center"/>
          </w:tcPr>
          <w:p w14:paraId="6EC79697" w14:textId="77777777" w:rsidR="0002298B" w:rsidRPr="00B0658A" w:rsidRDefault="0002298B" w:rsidP="000A4114">
            <w:pPr>
              <w:spacing w:after="0" w:line="240" w:lineRule="auto"/>
              <w:jc w:val="center"/>
              <w:rPr>
                <w:rFonts w:ascii="Times New Roman" w:hAnsi="Times New Roman"/>
                <w:b/>
                <w:bCs/>
                <w:sz w:val="20"/>
                <w:szCs w:val="20"/>
              </w:rPr>
            </w:pPr>
            <w:r w:rsidRPr="00B0658A">
              <w:rPr>
                <w:rFonts w:ascii="Times New Roman" w:hAnsi="Times New Roman"/>
                <w:b/>
                <w:bCs/>
                <w:sz w:val="20"/>
                <w:szCs w:val="20"/>
              </w:rPr>
              <w:t>№</w:t>
            </w:r>
          </w:p>
          <w:p w14:paraId="79E90DBF" w14:textId="77777777" w:rsidR="0002298B" w:rsidRPr="00B0658A" w:rsidRDefault="0002298B" w:rsidP="000A4114">
            <w:pPr>
              <w:spacing w:after="0" w:line="240" w:lineRule="auto"/>
              <w:jc w:val="center"/>
              <w:rPr>
                <w:rFonts w:ascii="Times New Roman" w:hAnsi="Times New Roman"/>
                <w:b/>
                <w:bCs/>
                <w:sz w:val="20"/>
                <w:szCs w:val="20"/>
              </w:rPr>
            </w:pPr>
          </w:p>
        </w:tc>
        <w:tc>
          <w:tcPr>
            <w:tcW w:w="1174" w:type="pct"/>
            <w:vMerge w:val="restart"/>
            <w:shd w:val="clear" w:color="auto" w:fill="auto"/>
            <w:vAlign w:val="center"/>
          </w:tcPr>
          <w:p w14:paraId="7CC151FE" w14:textId="77777777" w:rsidR="0002298B" w:rsidRPr="00B0658A" w:rsidRDefault="0002298B" w:rsidP="000A4114">
            <w:pPr>
              <w:spacing w:after="0" w:line="240" w:lineRule="auto"/>
              <w:jc w:val="center"/>
              <w:rPr>
                <w:rFonts w:ascii="Times New Roman" w:hAnsi="Times New Roman"/>
                <w:b/>
                <w:bCs/>
                <w:sz w:val="20"/>
                <w:szCs w:val="20"/>
              </w:rPr>
            </w:pPr>
            <w:r w:rsidRPr="00B0658A">
              <w:rPr>
                <w:rFonts w:ascii="Times New Roman" w:hAnsi="Times New Roman"/>
                <w:b/>
                <w:bCs/>
                <w:sz w:val="20"/>
                <w:szCs w:val="20"/>
              </w:rPr>
              <w:t xml:space="preserve">Наименование класса </w:t>
            </w:r>
            <w:r w:rsidRPr="00B0658A">
              <w:rPr>
                <w:rFonts w:ascii="Times New Roman" w:hAnsi="Times New Roman"/>
                <w:b/>
                <w:bCs/>
                <w:sz w:val="20"/>
                <w:szCs w:val="20"/>
                <w:lang w:val="en-US"/>
              </w:rPr>
              <w:t xml:space="preserve">/ </w:t>
            </w:r>
            <w:r w:rsidRPr="00B0658A">
              <w:rPr>
                <w:rFonts w:ascii="Times New Roman" w:hAnsi="Times New Roman"/>
                <w:b/>
                <w:bCs/>
                <w:sz w:val="20"/>
                <w:szCs w:val="20"/>
              </w:rPr>
              <w:t>типа ПО</w:t>
            </w:r>
          </w:p>
        </w:tc>
        <w:tc>
          <w:tcPr>
            <w:tcW w:w="508" w:type="pct"/>
            <w:vMerge w:val="restart"/>
            <w:vAlign w:val="center"/>
          </w:tcPr>
          <w:p w14:paraId="1F7375FC" w14:textId="77777777" w:rsidR="0002298B" w:rsidRPr="00B0658A" w:rsidRDefault="0002298B" w:rsidP="000A4114">
            <w:pPr>
              <w:spacing w:after="0" w:line="240" w:lineRule="auto"/>
              <w:jc w:val="center"/>
              <w:rPr>
                <w:rFonts w:ascii="Times New Roman" w:hAnsi="Times New Roman"/>
                <w:b/>
                <w:bCs/>
                <w:sz w:val="20"/>
                <w:szCs w:val="20"/>
              </w:rPr>
            </w:pPr>
            <w:r w:rsidRPr="00B0658A">
              <w:rPr>
                <w:rFonts w:ascii="Times New Roman" w:hAnsi="Times New Roman"/>
                <w:b/>
                <w:bCs/>
                <w:sz w:val="20"/>
                <w:szCs w:val="20"/>
              </w:rPr>
              <w:t>Единицы измерения уровня использования</w:t>
            </w:r>
          </w:p>
        </w:tc>
        <w:tc>
          <w:tcPr>
            <w:tcW w:w="2180" w:type="pct"/>
            <w:gridSpan w:val="2"/>
            <w:shd w:val="clear" w:color="auto" w:fill="auto"/>
            <w:vAlign w:val="center"/>
          </w:tcPr>
          <w:p w14:paraId="2B821000" w14:textId="77777777" w:rsidR="0002298B" w:rsidRPr="00B0658A" w:rsidRDefault="0002298B" w:rsidP="000A4114">
            <w:pPr>
              <w:spacing w:after="0" w:line="240" w:lineRule="auto"/>
              <w:jc w:val="center"/>
              <w:rPr>
                <w:rFonts w:ascii="Times New Roman" w:hAnsi="Times New Roman"/>
                <w:b/>
                <w:bCs/>
                <w:sz w:val="20"/>
                <w:szCs w:val="20"/>
              </w:rPr>
            </w:pPr>
            <w:r w:rsidRPr="00B0658A">
              <w:rPr>
                <w:rFonts w:ascii="Times New Roman" w:hAnsi="Times New Roman"/>
                <w:b/>
                <w:bCs/>
                <w:sz w:val="20"/>
                <w:szCs w:val="20"/>
              </w:rPr>
              <w:t>Сведения о достижении показателей эффективности перехода на использование российского ПО на значимых объектах КИИ</w:t>
            </w:r>
            <w:r w:rsidRPr="00B0658A">
              <w:rPr>
                <w:rFonts w:ascii="Times New Roman" w:hAnsi="Times New Roman"/>
                <w:b/>
                <w:bCs/>
                <w:sz w:val="20"/>
                <w:szCs w:val="20"/>
              </w:rPr>
              <w:br/>
              <w:t>за _____ год</w:t>
            </w:r>
          </w:p>
        </w:tc>
        <w:tc>
          <w:tcPr>
            <w:tcW w:w="941" w:type="pct"/>
            <w:vMerge w:val="restart"/>
            <w:shd w:val="clear" w:color="auto" w:fill="auto"/>
            <w:vAlign w:val="center"/>
          </w:tcPr>
          <w:p w14:paraId="37ACA678" w14:textId="77777777" w:rsidR="0002298B" w:rsidRPr="00B0658A" w:rsidRDefault="0002298B" w:rsidP="000A4114">
            <w:pPr>
              <w:spacing w:after="0" w:line="240" w:lineRule="auto"/>
              <w:jc w:val="center"/>
              <w:rPr>
                <w:rFonts w:ascii="Times New Roman" w:hAnsi="Times New Roman"/>
                <w:b/>
                <w:bCs/>
                <w:sz w:val="20"/>
                <w:szCs w:val="20"/>
              </w:rPr>
            </w:pPr>
            <w:r w:rsidRPr="00B0658A">
              <w:rPr>
                <w:rFonts w:ascii="Times New Roman" w:hAnsi="Times New Roman"/>
                <w:b/>
                <w:bCs/>
                <w:sz w:val="20"/>
                <w:szCs w:val="20"/>
              </w:rPr>
              <w:t xml:space="preserve">Сведения о российском/евразийском ПО, на использование которого был осуществлен переход </w:t>
            </w:r>
          </w:p>
        </w:tc>
      </w:tr>
      <w:tr w:rsidR="00F52FED" w:rsidRPr="00B0658A" w14:paraId="6D59AEBD" w14:textId="77777777" w:rsidTr="004F1366">
        <w:trPr>
          <w:trHeight w:val="170"/>
        </w:trPr>
        <w:tc>
          <w:tcPr>
            <w:tcW w:w="197" w:type="pct"/>
            <w:vMerge/>
            <w:shd w:val="clear" w:color="auto" w:fill="auto"/>
          </w:tcPr>
          <w:p w14:paraId="0DD2049B" w14:textId="77777777" w:rsidR="0002298B" w:rsidRPr="00B0658A" w:rsidRDefault="0002298B" w:rsidP="000A4114">
            <w:pPr>
              <w:spacing w:after="0" w:line="240" w:lineRule="auto"/>
              <w:rPr>
                <w:rFonts w:ascii="Times New Roman" w:hAnsi="Times New Roman"/>
                <w:b/>
                <w:bCs/>
                <w:sz w:val="20"/>
                <w:szCs w:val="20"/>
              </w:rPr>
            </w:pPr>
          </w:p>
        </w:tc>
        <w:tc>
          <w:tcPr>
            <w:tcW w:w="1174" w:type="pct"/>
            <w:vMerge/>
            <w:shd w:val="clear" w:color="auto" w:fill="auto"/>
          </w:tcPr>
          <w:p w14:paraId="4D076BAD" w14:textId="77777777" w:rsidR="0002298B" w:rsidRPr="00B0658A" w:rsidRDefault="0002298B" w:rsidP="000A4114">
            <w:pPr>
              <w:spacing w:after="0" w:line="240" w:lineRule="auto"/>
              <w:rPr>
                <w:rFonts w:ascii="Times New Roman" w:hAnsi="Times New Roman"/>
                <w:b/>
                <w:bCs/>
                <w:sz w:val="20"/>
                <w:szCs w:val="20"/>
              </w:rPr>
            </w:pPr>
          </w:p>
        </w:tc>
        <w:tc>
          <w:tcPr>
            <w:tcW w:w="508" w:type="pct"/>
            <w:vMerge/>
          </w:tcPr>
          <w:p w14:paraId="30BA9C9F" w14:textId="77777777" w:rsidR="0002298B" w:rsidRPr="00B0658A" w:rsidRDefault="0002298B" w:rsidP="000A4114">
            <w:pPr>
              <w:spacing w:after="0" w:line="240" w:lineRule="auto"/>
              <w:jc w:val="center"/>
              <w:rPr>
                <w:rFonts w:ascii="Times New Roman" w:hAnsi="Times New Roman"/>
                <w:b/>
                <w:bCs/>
                <w:sz w:val="20"/>
                <w:szCs w:val="20"/>
              </w:rPr>
            </w:pPr>
          </w:p>
        </w:tc>
        <w:tc>
          <w:tcPr>
            <w:tcW w:w="1118" w:type="pct"/>
            <w:shd w:val="clear" w:color="auto" w:fill="auto"/>
            <w:vAlign w:val="center"/>
          </w:tcPr>
          <w:p w14:paraId="02175243" w14:textId="77777777" w:rsidR="0002298B" w:rsidRPr="00B0658A" w:rsidRDefault="0002298B" w:rsidP="000A4114">
            <w:pPr>
              <w:spacing w:after="0" w:line="240" w:lineRule="auto"/>
              <w:jc w:val="center"/>
              <w:rPr>
                <w:rFonts w:ascii="Times New Roman" w:hAnsi="Times New Roman"/>
                <w:b/>
                <w:bCs/>
                <w:sz w:val="20"/>
                <w:szCs w:val="20"/>
              </w:rPr>
            </w:pPr>
            <w:r w:rsidRPr="00B0658A">
              <w:rPr>
                <w:rFonts w:ascii="Times New Roman" w:hAnsi="Times New Roman"/>
                <w:b/>
                <w:bCs/>
                <w:sz w:val="20"/>
                <w:szCs w:val="20"/>
              </w:rPr>
              <w:t>План</w:t>
            </w:r>
          </w:p>
        </w:tc>
        <w:tc>
          <w:tcPr>
            <w:tcW w:w="1062" w:type="pct"/>
            <w:shd w:val="clear" w:color="auto" w:fill="auto"/>
          </w:tcPr>
          <w:p w14:paraId="53BB874A" w14:textId="77777777" w:rsidR="0002298B" w:rsidRPr="00B0658A" w:rsidRDefault="0002298B" w:rsidP="000A4114">
            <w:pPr>
              <w:spacing w:after="0" w:line="240" w:lineRule="auto"/>
              <w:jc w:val="center"/>
              <w:rPr>
                <w:rFonts w:ascii="Times New Roman" w:hAnsi="Times New Roman"/>
                <w:b/>
                <w:bCs/>
                <w:sz w:val="20"/>
                <w:szCs w:val="20"/>
              </w:rPr>
            </w:pPr>
            <w:r w:rsidRPr="00B0658A">
              <w:rPr>
                <w:rFonts w:ascii="Times New Roman" w:hAnsi="Times New Roman"/>
                <w:b/>
                <w:bCs/>
                <w:sz w:val="20"/>
                <w:szCs w:val="20"/>
              </w:rPr>
              <w:t>Факт</w:t>
            </w:r>
          </w:p>
        </w:tc>
        <w:tc>
          <w:tcPr>
            <w:tcW w:w="941" w:type="pct"/>
            <w:vMerge/>
            <w:shd w:val="clear" w:color="auto" w:fill="auto"/>
          </w:tcPr>
          <w:p w14:paraId="5C420F81" w14:textId="77777777" w:rsidR="0002298B" w:rsidRPr="00B0658A" w:rsidRDefault="0002298B" w:rsidP="000A4114">
            <w:pPr>
              <w:spacing w:after="0" w:line="240" w:lineRule="auto"/>
              <w:rPr>
                <w:rFonts w:ascii="Times New Roman" w:hAnsi="Times New Roman"/>
                <w:b/>
                <w:bCs/>
                <w:sz w:val="20"/>
                <w:szCs w:val="20"/>
              </w:rPr>
            </w:pPr>
          </w:p>
        </w:tc>
      </w:tr>
      <w:tr w:rsidR="00F52FED" w:rsidRPr="00B0658A" w14:paraId="7ABE602D" w14:textId="77777777" w:rsidTr="004F1366">
        <w:trPr>
          <w:trHeight w:val="57"/>
        </w:trPr>
        <w:tc>
          <w:tcPr>
            <w:tcW w:w="5000" w:type="pct"/>
            <w:gridSpan w:val="6"/>
            <w:shd w:val="clear" w:color="auto" w:fill="auto"/>
            <w:vAlign w:val="center"/>
          </w:tcPr>
          <w:p w14:paraId="24917190" w14:textId="77777777" w:rsidR="0002298B" w:rsidRPr="00B0658A" w:rsidRDefault="0002298B" w:rsidP="00CB1F35">
            <w:pPr>
              <w:pStyle w:val="afd"/>
              <w:numPr>
                <w:ilvl w:val="0"/>
                <w:numId w:val="30"/>
              </w:numPr>
              <w:spacing w:after="0" w:line="240" w:lineRule="auto"/>
              <w:ind w:left="315"/>
              <w:jc w:val="both"/>
              <w:rPr>
                <w:rFonts w:ascii="Times New Roman" w:hAnsi="Times New Roman"/>
                <w:i/>
                <w:iCs/>
                <w:sz w:val="20"/>
                <w:szCs w:val="20"/>
              </w:rPr>
            </w:pPr>
            <w:r w:rsidRPr="00B0658A">
              <w:rPr>
                <w:rFonts w:ascii="Times New Roman" w:hAnsi="Times New Roman"/>
                <w:b/>
                <w:sz w:val="20"/>
                <w:szCs w:val="20"/>
              </w:rPr>
              <w:t>Сведения о достижении показателей эффективности перехода в отношении ________ (наименование значимого объекта КИИ №1)</w:t>
            </w:r>
          </w:p>
        </w:tc>
      </w:tr>
      <w:tr w:rsidR="00F52FED" w:rsidRPr="00B0658A" w14:paraId="4DAC8B08" w14:textId="77777777" w:rsidTr="004F1366">
        <w:trPr>
          <w:trHeight w:val="3225"/>
        </w:trPr>
        <w:tc>
          <w:tcPr>
            <w:tcW w:w="197" w:type="pct"/>
            <w:shd w:val="clear" w:color="auto" w:fill="auto"/>
            <w:vAlign w:val="center"/>
          </w:tcPr>
          <w:p w14:paraId="747C8765"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20"/>
                <w:szCs w:val="20"/>
              </w:rPr>
              <w:t>1.1</w:t>
            </w:r>
          </w:p>
        </w:tc>
        <w:tc>
          <w:tcPr>
            <w:tcW w:w="1174" w:type="pct"/>
            <w:shd w:val="clear" w:color="auto" w:fill="auto"/>
          </w:tcPr>
          <w:p w14:paraId="68632101" w14:textId="77777777" w:rsidR="0002298B" w:rsidRPr="00B0658A" w:rsidRDefault="0002298B" w:rsidP="000A4114">
            <w:pPr>
              <w:spacing w:after="0" w:line="240" w:lineRule="auto"/>
              <w:rPr>
                <w:rFonts w:ascii="Times New Roman" w:hAnsi="Times New Roman"/>
                <w:i/>
                <w:sz w:val="20"/>
                <w:szCs w:val="20"/>
              </w:rPr>
            </w:pPr>
            <w:r w:rsidRPr="00B0658A">
              <w:rPr>
                <w:rFonts w:ascii="Times New Roman" w:hAnsi="Times New Roman"/>
                <w:i/>
                <w:sz w:val="20"/>
                <w:szCs w:val="20"/>
              </w:rPr>
              <w:t xml:space="preserve">Указывается класс (тип) №1 ПО, используемого на значимом объекте КИИ №1 в соответствии с утвержденным детализированным планом перехода </w:t>
            </w:r>
            <w:r w:rsidR="007D4767" w:rsidRPr="00B0658A">
              <w:rPr>
                <w:rFonts w:ascii="Times New Roman" w:hAnsi="Times New Roman"/>
                <w:i/>
                <w:iCs/>
                <w:sz w:val="20"/>
                <w:szCs w:val="20"/>
              </w:rPr>
              <w:t xml:space="preserve">заказчика 44-ФЗ или заказчика 223-ФЗ </w:t>
            </w:r>
            <w:r w:rsidRPr="00B0658A">
              <w:rPr>
                <w:rFonts w:ascii="Times New Roman" w:hAnsi="Times New Roman"/>
                <w:i/>
                <w:sz w:val="20"/>
                <w:szCs w:val="20"/>
              </w:rPr>
              <w:t>на использование российского ПО на значимых объектах КИИ</w:t>
            </w:r>
          </w:p>
        </w:tc>
        <w:tc>
          <w:tcPr>
            <w:tcW w:w="508" w:type="pct"/>
          </w:tcPr>
          <w:p w14:paraId="3DF6122F" w14:textId="77777777" w:rsidR="0002298B" w:rsidRPr="00B0658A" w:rsidRDefault="0002298B" w:rsidP="000A4114">
            <w:pPr>
              <w:spacing w:after="0" w:line="240" w:lineRule="auto"/>
              <w:rPr>
                <w:rFonts w:ascii="Times New Roman" w:hAnsi="Times New Roman"/>
                <w:i/>
                <w:iCs/>
                <w:sz w:val="20"/>
                <w:szCs w:val="20"/>
              </w:rPr>
            </w:pPr>
            <w:r w:rsidRPr="00B0658A">
              <w:rPr>
                <w:rFonts w:ascii="Times New Roman" w:hAnsi="Times New Roman"/>
                <w:i/>
                <w:iCs/>
                <w:sz w:val="20"/>
                <w:szCs w:val="20"/>
              </w:rPr>
              <w:t xml:space="preserve">Указывается единица измерения уровня использования </w:t>
            </w:r>
          </w:p>
        </w:tc>
        <w:tc>
          <w:tcPr>
            <w:tcW w:w="1118" w:type="pct"/>
            <w:shd w:val="clear" w:color="auto" w:fill="auto"/>
          </w:tcPr>
          <w:p w14:paraId="2424615A" w14:textId="77777777" w:rsidR="0002298B" w:rsidRPr="00B0658A" w:rsidRDefault="0002298B" w:rsidP="000A4114">
            <w:pPr>
              <w:spacing w:after="0" w:line="240" w:lineRule="auto"/>
              <w:rPr>
                <w:rFonts w:ascii="Times New Roman" w:hAnsi="Times New Roman"/>
                <w:i/>
                <w:iCs/>
                <w:sz w:val="20"/>
                <w:szCs w:val="20"/>
              </w:rPr>
            </w:pPr>
            <w:r w:rsidRPr="00B0658A">
              <w:rPr>
                <w:rFonts w:ascii="Times New Roman" w:hAnsi="Times New Roman"/>
                <w:i/>
                <w:iCs/>
                <w:sz w:val="20"/>
                <w:szCs w:val="20"/>
              </w:rPr>
              <w:t xml:space="preserve">Указывается плановое значение показателя эффективности на соответствующий год для соответствующего класса ПО, используемого на значимом объекте КИИ, в соответствии с утвержденным </w:t>
            </w:r>
            <w:r w:rsidRPr="00B0658A">
              <w:rPr>
                <w:rFonts w:ascii="Times New Roman" w:hAnsi="Times New Roman"/>
                <w:i/>
                <w:sz w:val="20"/>
                <w:szCs w:val="20"/>
              </w:rPr>
              <w:t>детализированным</w:t>
            </w:r>
            <w:r w:rsidRPr="00B0658A">
              <w:rPr>
                <w:rFonts w:ascii="Times New Roman" w:hAnsi="Times New Roman"/>
                <w:i/>
                <w:iCs/>
                <w:sz w:val="20"/>
                <w:szCs w:val="20"/>
              </w:rPr>
              <w:t xml:space="preserve"> планом перехода </w:t>
            </w:r>
            <w:r w:rsidR="007D4767" w:rsidRPr="00B0658A">
              <w:rPr>
                <w:rFonts w:ascii="Times New Roman" w:hAnsi="Times New Roman"/>
                <w:i/>
                <w:iCs/>
                <w:sz w:val="20"/>
                <w:szCs w:val="20"/>
              </w:rPr>
              <w:t xml:space="preserve">заказчика 44-ФЗ или заказчика 223-ФЗ </w:t>
            </w:r>
            <w:r w:rsidRPr="00B0658A">
              <w:rPr>
                <w:rFonts w:ascii="Times New Roman" w:hAnsi="Times New Roman"/>
                <w:i/>
                <w:iCs/>
                <w:sz w:val="20"/>
                <w:szCs w:val="20"/>
              </w:rPr>
              <w:t>на использование российского ПО на значимых объектах КИИ</w:t>
            </w:r>
          </w:p>
        </w:tc>
        <w:tc>
          <w:tcPr>
            <w:tcW w:w="1062" w:type="pct"/>
            <w:shd w:val="clear" w:color="auto" w:fill="auto"/>
          </w:tcPr>
          <w:p w14:paraId="22B79017" w14:textId="77777777" w:rsidR="0002298B" w:rsidRPr="00B0658A" w:rsidRDefault="0002298B" w:rsidP="000A4114">
            <w:pPr>
              <w:spacing w:after="0" w:line="240" w:lineRule="auto"/>
              <w:rPr>
                <w:rFonts w:ascii="Times New Roman" w:hAnsi="Times New Roman"/>
                <w:i/>
                <w:iCs/>
                <w:sz w:val="20"/>
                <w:szCs w:val="20"/>
              </w:rPr>
            </w:pPr>
            <w:r w:rsidRPr="00B0658A">
              <w:rPr>
                <w:rFonts w:ascii="Times New Roman" w:hAnsi="Times New Roman"/>
                <w:i/>
                <w:iCs/>
                <w:sz w:val="20"/>
                <w:szCs w:val="20"/>
              </w:rPr>
              <w:t>Указывается фактически достигнутое значение показателя использования российского и евразийского ПО, используемого на значимом объекте КИИ, по итогам соответствующего отчетного периода.</w:t>
            </w:r>
          </w:p>
          <w:p w14:paraId="771F8663" w14:textId="77777777" w:rsidR="0002298B" w:rsidRPr="00B0658A" w:rsidRDefault="0002298B" w:rsidP="000A4114">
            <w:pPr>
              <w:spacing w:after="0" w:line="240" w:lineRule="auto"/>
              <w:rPr>
                <w:rFonts w:ascii="Times New Roman" w:hAnsi="Times New Roman"/>
                <w:i/>
                <w:iCs/>
                <w:sz w:val="20"/>
                <w:szCs w:val="20"/>
              </w:rPr>
            </w:pPr>
          </w:p>
        </w:tc>
        <w:tc>
          <w:tcPr>
            <w:tcW w:w="941" w:type="pct"/>
            <w:shd w:val="clear" w:color="auto" w:fill="auto"/>
          </w:tcPr>
          <w:p w14:paraId="0F738179" w14:textId="77777777" w:rsidR="0002298B" w:rsidRPr="00B0658A" w:rsidRDefault="0002298B" w:rsidP="000A4114">
            <w:pPr>
              <w:spacing w:after="0" w:line="240" w:lineRule="auto"/>
              <w:jc w:val="both"/>
              <w:rPr>
                <w:rFonts w:ascii="Times New Roman" w:hAnsi="Times New Roman"/>
                <w:i/>
                <w:iCs/>
                <w:sz w:val="20"/>
                <w:szCs w:val="20"/>
              </w:rPr>
            </w:pPr>
            <w:r w:rsidRPr="00B0658A">
              <w:rPr>
                <w:rFonts w:ascii="Times New Roman" w:hAnsi="Times New Roman"/>
                <w:i/>
                <w:iCs/>
                <w:sz w:val="20"/>
                <w:szCs w:val="20"/>
              </w:rPr>
              <w:t>Указывается следующая информация:</w:t>
            </w:r>
          </w:p>
          <w:p w14:paraId="5D3ABC06" w14:textId="77777777" w:rsidR="0002298B" w:rsidRPr="00B0658A" w:rsidRDefault="0002298B" w:rsidP="000A4114">
            <w:pPr>
              <w:spacing w:after="0" w:line="240" w:lineRule="auto"/>
              <w:jc w:val="both"/>
              <w:rPr>
                <w:rFonts w:ascii="Times New Roman" w:hAnsi="Times New Roman"/>
                <w:i/>
                <w:iCs/>
                <w:sz w:val="20"/>
                <w:szCs w:val="20"/>
              </w:rPr>
            </w:pPr>
            <w:r w:rsidRPr="00B0658A">
              <w:rPr>
                <w:rFonts w:ascii="Times New Roman" w:hAnsi="Times New Roman"/>
                <w:i/>
                <w:iCs/>
                <w:sz w:val="20"/>
                <w:szCs w:val="20"/>
              </w:rPr>
              <w:t>1. Наименование иностранного ПО, которое было замещено;</w:t>
            </w:r>
          </w:p>
          <w:p w14:paraId="314C0D72" w14:textId="77777777" w:rsidR="0002298B" w:rsidRPr="00B0658A" w:rsidRDefault="0002298B" w:rsidP="000A4114">
            <w:pPr>
              <w:spacing w:after="0" w:line="240" w:lineRule="auto"/>
              <w:jc w:val="both"/>
              <w:rPr>
                <w:rFonts w:ascii="Times New Roman" w:hAnsi="Times New Roman"/>
                <w:i/>
                <w:iCs/>
                <w:sz w:val="20"/>
                <w:szCs w:val="20"/>
              </w:rPr>
            </w:pPr>
            <w:r w:rsidRPr="00B0658A">
              <w:rPr>
                <w:rFonts w:ascii="Times New Roman" w:hAnsi="Times New Roman"/>
                <w:i/>
                <w:iCs/>
                <w:sz w:val="20"/>
                <w:szCs w:val="20"/>
              </w:rPr>
              <w:t>2. Наименование российского ПО и евразийского ПО, на которое был осуществлен переход, с указанием сведений о номерах записей в едином реестре российского ПО или едином реестре евразийского ПО соответственно.</w:t>
            </w:r>
          </w:p>
        </w:tc>
      </w:tr>
      <w:tr w:rsidR="00F52FED" w:rsidRPr="00B0658A" w14:paraId="13D244E2" w14:textId="77777777" w:rsidTr="004F1366">
        <w:trPr>
          <w:trHeight w:val="170"/>
        </w:trPr>
        <w:tc>
          <w:tcPr>
            <w:tcW w:w="197" w:type="pct"/>
            <w:shd w:val="clear" w:color="auto" w:fill="auto"/>
            <w:vAlign w:val="center"/>
          </w:tcPr>
          <w:p w14:paraId="6F5E89B8"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20"/>
                <w:szCs w:val="20"/>
              </w:rPr>
              <w:t>1.2</w:t>
            </w:r>
          </w:p>
        </w:tc>
        <w:tc>
          <w:tcPr>
            <w:tcW w:w="1174" w:type="pct"/>
            <w:shd w:val="clear" w:color="auto" w:fill="auto"/>
            <w:vAlign w:val="center"/>
          </w:tcPr>
          <w:p w14:paraId="18D6538E" w14:textId="77777777" w:rsidR="0002298B" w:rsidRPr="00B0658A" w:rsidRDefault="0002298B" w:rsidP="000A4114">
            <w:pPr>
              <w:spacing w:after="0" w:line="240" w:lineRule="auto"/>
              <w:rPr>
                <w:rFonts w:ascii="Times New Roman" w:hAnsi="Times New Roman"/>
                <w:i/>
                <w:iCs/>
                <w:sz w:val="20"/>
                <w:szCs w:val="20"/>
              </w:rPr>
            </w:pPr>
            <w:r w:rsidRPr="00B0658A">
              <w:rPr>
                <w:rFonts w:ascii="Times New Roman" w:hAnsi="Times New Roman"/>
                <w:i/>
                <w:sz w:val="20"/>
                <w:szCs w:val="20"/>
              </w:rPr>
              <w:t>Указывается класс (тип) №2 ПО, используемого на значимом объекте КИИ №1 в соответствии с утвержденным детализированным</w:t>
            </w:r>
            <w:r w:rsidRPr="00B0658A">
              <w:rPr>
                <w:rFonts w:ascii="Times New Roman" w:hAnsi="Times New Roman"/>
                <w:i/>
                <w:iCs/>
                <w:sz w:val="20"/>
                <w:szCs w:val="20"/>
              </w:rPr>
              <w:t xml:space="preserve"> планом перехода </w:t>
            </w:r>
            <w:r w:rsidR="007D4767" w:rsidRPr="00B0658A">
              <w:rPr>
                <w:rFonts w:ascii="Times New Roman" w:hAnsi="Times New Roman"/>
                <w:i/>
                <w:iCs/>
                <w:sz w:val="20"/>
                <w:szCs w:val="20"/>
              </w:rPr>
              <w:t xml:space="preserve">заказчика 44-ФЗ или заказчика 223-ФЗ </w:t>
            </w:r>
            <w:r w:rsidRPr="00B0658A">
              <w:rPr>
                <w:rFonts w:ascii="Times New Roman" w:hAnsi="Times New Roman"/>
                <w:i/>
                <w:iCs/>
                <w:sz w:val="20"/>
                <w:szCs w:val="20"/>
              </w:rPr>
              <w:t>на использование российского ПО на значимых объектах КИИ</w:t>
            </w:r>
          </w:p>
        </w:tc>
        <w:tc>
          <w:tcPr>
            <w:tcW w:w="508" w:type="pct"/>
          </w:tcPr>
          <w:p w14:paraId="71501DDD" w14:textId="77777777" w:rsidR="0002298B" w:rsidRPr="00B0658A" w:rsidRDefault="0002298B" w:rsidP="000A4114">
            <w:pPr>
              <w:spacing w:after="0" w:line="240" w:lineRule="auto"/>
              <w:rPr>
                <w:rFonts w:ascii="Times New Roman" w:hAnsi="Times New Roman"/>
                <w:i/>
                <w:iCs/>
                <w:sz w:val="20"/>
                <w:szCs w:val="20"/>
              </w:rPr>
            </w:pPr>
          </w:p>
        </w:tc>
        <w:tc>
          <w:tcPr>
            <w:tcW w:w="1118" w:type="pct"/>
            <w:shd w:val="clear" w:color="auto" w:fill="auto"/>
          </w:tcPr>
          <w:p w14:paraId="299698BA" w14:textId="77777777" w:rsidR="0002298B" w:rsidRPr="00B0658A" w:rsidRDefault="0002298B" w:rsidP="000A4114">
            <w:pPr>
              <w:spacing w:after="0" w:line="240" w:lineRule="auto"/>
              <w:rPr>
                <w:rFonts w:ascii="Times New Roman" w:hAnsi="Times New Roman"/>
                <w:i/>
                <w:iCs/>
                <w:sz w:val="20"/>
                <w:szCs w:val="20"/>
              </w:rPr>
            </w:pPr>
          </w:p>
        </w:tc>
        <w:tc>
          <w:tcPr>
            <w:tcW w:w="1062" w:type="pct"/>
            <w:shd w:val="clear" w:color="auto" w:fill="auto"/>
          </w:tcPr>
          <w:p w14:paraId="116DF1B6" w14:textId="77777777" w:rsidR="0002298B" w:rsidRPr="00B0658A" w:rsidRDefault="0002298B" w:rsidP="000A4114">
            <w:pPr>
              <w:spacing w:after="0" w:line="240" w:lineRule="auto"/>
              <w:rPr>
                <w:rFonts w:ascii="Times New Roman" w:hAnsi="Times New Roman"/>
                <w:i/>
                <w:iCs/>
                <w:sz w:val="20"/>
                <w:szCs w:val="20"/>
              </w:rPr>
            </w:pPr>
          </w:p>
        </w:tc>
        <w:tc>
          <w:tcPr>
            <w:tcW w:w="941" w:type="pct"/>
            <w:shd w:val="clear" w:color="auto" w:fill="auto"/>
          </w:tcPr>
          <w:p w14:paraId="41DE9A4D" w14:textId="77777777" w:rsidR="0002298B" w:rsidRPr="00B0658A" w:rsidRDefault="0002298B" w:rsidP="000A4114">
            <w:pPr>
              <w:spacing w:after="0" w:line="240" w:lineRule="auto"/>
              <w:jc w:val="both"/>
              <w:rPr>
                <w:rFonts w:ascii="Times New Roman" w:hAnsi="Times New Roman"/>
                <w:i/>
                <w:iCs/>
                <w:sz w:val="20"/>
                <w:szCs w:val="20"/>
              </w:rPr>
            </w:pPr>
          </w:p>
        </w:tc>
      </w:tr>
      <w:tr w:rsidR="00F52FED" w:rsidRPr="00B0658A" w14:paraId="5D6E5F40" w14:textId="77777777" w:rsidTr="004F1366">
        <w:trPr>
          <w:trHeight w:val="170"/>
        </w:trPr>
        <w:tc>
          <w:tcPr>
            <w:tcW w:w="197" w:type="pct"/>
            <w:shd w:val="clear" w:color="auto" w:fill="auto"/>
            <w:vAlign w:val="center"/>
          </w:tcPr>
          <w:p w14:paraId="04A93B77" w14:textId="77777777" w:rsidR="0002298B" w:rsidRPr="00B0658A" w:rsidRDefault="0002298B" w:rsidP="000A4114">
            <w:pPr>
              <w:spacing w:after="0" w:line="240" w:lineRule="auto"/>
              <w:rPr>
                <w:rFonts w:ascii="Times New Roman" w:hAnsi="Times New Roman"/>
                <w:sz w:val="20"/>
                <w:szCs w:val="20"/>
                <w:lang w:val="en-US"/>
              </w:rPr>
            </w:pPr>
            <w:r w:rsidRPr="00B0658A">
              <w:rPr>
                <w:rFonts w:ascii="Times New Roman" w:hAnsi="Times New Roman"/>
                <w:sz w:val="20"/>
                <w:szCs w:val="20"/>
                <w:lang w:val="en-US"/>
              </w:rPr>
              <w:t>..</w:t>
            </w:r>
          </w:p>
        </w:tc>
        <w:tc>
          <w:tcPr>
            <w:tcW w:w="1174" w:type="pct"/>
            <w:shd w:val="clear" w:color="auto" w:fill="auto"/>
            <w:vAlign w:val="center"/>
          </w:tcPr>
          <w:p w14:paraId="6B5B01E5" w14:textId="77777777" w:rsidR="0002298B" w:rsidRPr="00B0658A" w:rsidRDefault="0002298B" w:rsidP="000A4114">
            <w:pPr>
              <w:spacing w:after="0" w:line="240" w:lineRule="auto"/>
              <w:rPr>
                <w:rFonts w:ascii="Times New Roman" w:hAnsi="Times New Roman"/>
                <w:i/>
                <w:iCs/>
                <w:sz w:val="20"/>
                <w:szCs w:val="20"/>
                <w:lang w:val="en-US"/>
              </w:rPr>
            </w:pPr>
            <w:r w:rsidRPr="00B0658A">
              <w:rPr>
                <w:rFonts w:ascii="Times New Roman" w:hAnsi="Times New Roman"/>
                <w:i/>
                <w:iCs/>
                <w:sz w:val="20"/>
                <w:szCs w:val="20"/>
                <w:lang w:val="en-US"/>
              </w:rPr>
              <w:t>….</w:t>
            </w:r>
          </w:p>
        </w:tc>
        <w:tc>
          <w:tcPr>
            <w:tcW w:w="508" w:type="pct"/>
          </w:tcPr>
          <w:p w14:paraId="1D649AD7" w14:textId="77777777" w:rsidR="0002298B" w:rsidRPr="00B0658A" w:rsidRDefault="0002298B" w:rsidP="000A4114">
            <w:pPr>
              <w:spacing w:after="0" w:line="240" w:lineRule="auto"/>
              <w:rPr>
                <w:rFonts w:ascii="Times New Roman" w:hAnsi="Times New Roman"/>
                <w:i/>
                <w:iCs/>
                <w:sz w:val="20"/>
                <w:szCs w:val="20"/>
              </w:rPr>
            </w:pPr>
          </w:p>
        </w:tc>
        <w:tc>
          <w:tcPr>
            <w:tcW w:w="1118" w:type="pct"/>
            <w:shd w:val="clear" w:color="auto" w:fill="auto"/>
          </w:tcPr>
          <w:p w14:paraId="3794EC45" w14:textId="77777777" w:rsidR="0002298B" w:rsidRPr="00B0658A" w:rsidRDefault="0002298B" w:rsidP="000A4114">
            <w:pPr>
              <w:spacing w:after="0" w:line="240" w:lineRule="auto"/>
              <w:rPr>
                <w:rFonts w:ascii="Times New Roman" w:hAnsi="Times New Roman"/>
                <w:i/>
                <w:iCs/>
                <w:sz w:val="20"/>
                <w:szCs w:val="20"/>
              </w:rPr>
            </w:pPr>
          </w:p>
        </w:tc>
        <w:tc>
          <w:tcPr>
            <w:tcW w:w="1062" w:type="pct"/>
            <w:shd w:val="clear" w:color="auto" w:fill="auto"/>
          </w:tcPr>
          <w:p w14:paraId="6738D573" w14:textId="77777777" w:rsidR="0002298B" w:rsidRPr="00B0658A" w:rsidRDefault="0002298B" w:rsidP="000A4114">
            <w:pPr>
              <w:spacing w:after="0" w:line="240" w:lineRule="auto"/>
              <w:rPr>
                <w:rFonts w:ascii="Times New Roman" w:hAnsi="Times New Roman"/>
                <w:i/>
                <w:iCs/>
                <w:sz w:val="20"/>
                <w:szCs w:val="20"/>
              </w:rPr>
            </w:pPr>
          </w:p>
        </w:tc>
        <w:tc>
          <w:tcPr>
            <w:tcW w:w="941" w:type="pct"/>
            <w:shd w:val="clear" w:color="auto" w:fill="auto"/>
          </w:tcPr>
          <w:p w14:paraId="0A619A70" w14:textId="77777777" w:rsidR="0002298B" w:rsidRPr="00B0658A" w:rsidRDefault="0002298B" w:rsidP="000A4114">
            <w:pPr>
              <w:spacing w:after="0" w:line="240" w:lineRule="auto"/>
              <w:jc w:val="both"/>
              <w:rPr>
                <w:rFonts w:ascii="Times New Roman" w:hAnsi="Times New Roman"/>
                <w:i/>
                <w:iCs/>
                <w:sz w:val="20"/>
                <w:szCs w:val="20"/>
              </w:rPr>
            </w:pPr>
          </w:p>
        </w:tc>
      </w:tr>
      <w:tr w:rsidR="00F52FED" w:rsidRPr="00B0658A" w14:paraId="1B134FC4" w14:textId="77777777" w:rsidTr="004F1366">
        <w:trPr>
          <w:trHeight w:val="170"/>
        </w:trPr>
        <w:tc>
          <w:tcPr>
            <w:tcW w:w="197" w:type="pct"/>
            <w:shd w:val="clear" w:color="auto" w:fill="auto"/>
            <w:vAlign w:val="center"/>
          </w:tcPr>
          <w:p w14:paraId="6E490CAA" w14:textId="77777777" w:rsidR="0002298B" w:rsidRPr="00B0658A" w:rsidRDefault="0002298B" w:rsidP="000A4114">
            <w:pPr>
              <w:spacing w:after="0" w:line="240" w:lineRule="auto"/>
              <w:rPr>
                <w:rFonts w:ascii="Times New Roman" w:hAnsi="Times New Roman"/>
                <w:sz w:val="20"/>
                <w:szCs w:val="20"/>
                <w:lang w:val="en-US"/>
              </w:rPr>
            </w:pPr>
            <w:r w:rsidRPr="00B0658A">
              <w:rPr>
                <w:rFonts w:ascii="Times New Roman" w:hAnsi="Times New Roman"/>
                <w:sz w:val="20"/>
                <w:szCs w:val="20"/>
                <w:lang w:val="en-US"/>
              </w:rPr>
              <w:t>1</w:t>
            </w:r>
            <w:r w:rsidRPr="00B0658A">
              <w:rPr>
                <w:rFonts w:ascii="Times New Roman" w:hAnsi="Times New Roman"/>
                <w:sz w:val="20"/>
                <w:szCs w:val="20"/>
              </w:rPr>
              <w:t>.</w:t>
            </w:r>
            <w:r w:rsidRPr="00B0658A">
              <w:rPr>
                <w:rFonts w:ascii="Times New Roman" w:hAnsi="Times New Roman"/>
                <w:sz w:val="20"/>
                <w:szCs w:val="20"/>
                <w:lang w:val="en-US"/>
              </w:rPr>
              <w:t>n</w:t>
            </w:r>
          </w:p>
        </w:tc>
        <w:tc>
          <w:tcPr>
            <w:tcW w:w="1174" w:type="pct"/>
            <w:shd w:val="clear" w:color="auto" w:fill="auto"/>
            <w:vAlign w:val="center"/>
          </w:tcPr>
          <w:p w14:paraId="0377BD9D" w14:textId="77777777" w:rsidR="0002298B" w:rsidRPr="00B0658A" w:rsidRDefault="0002298B" w:rsidP="000A4114">
            <w:pPr>
              <w:spacing w:after="0" w:line="240" w:lineRule="auto"/>
              <w:rPr>
                <w:rFonts w:ascii="Times New Roman" w:hAnsi="Times New Roman"/>
                <w:i/>
                <w:iCs/>
                <w:sz w:val="20"/>
                <w:szCs w:val="20"/>
              </w:rPr>
            </w:pPr>
            <w:r w:rsidRPr="00B0658A">
              <w:rPr>
                <w:rFonts w:ascii="Times New Roman" w:hAnsi="Times New Roman"/>
                <w:i/>
                <w:sz w:val="20"/>
                <w:szCs w:val="20"/>
              </w:rPr>
              <w:t>Указывается класс (тип) №</w:t>
            </w:r>
            <w:r w:rsidRPr="00B0658A">
              <w:rPr>
                <w:rFonts w:ascii="Times New Roman" w:hAnsi="Times New Roman"/>
                <w:i/>
                <w:sz w:val="20"/>
                <w:szCs w:val="20"/>
                <w:lang w:val="en-US"/>
              </w:rPr>
              <w:t>n</w:t>
            </w:r>
            <w:r w:rsidRPr="00B0658A">
              <w:rPr>
                <w:rFonts w:ascii="Times New Roman" w:hAnsi="Times New Roman"/>
                <w:i/>
                <w:sz w:val="20"/>
                <w:szCs w:val="20"/>
              </w:rPr>
              <w:t xml:space="preserve"> ПО, используемого на значимом объекте КИИ №1 в соответствии с утвержденным детализированным</w:t>
            </w:r>
            <w:r w:rsidRPr="00B0658A">
              <w:rPr>
                <w:rFonts w:ascii="Times New Roman" w:hAnsi="Times New Roman"/>
                <w:i/>
                <w:iCs/>
                <w:sz w:val="20"/>
                <w:szCs w:val="20"/>
              </w:rPr>
              <w:t xml:space="preserve"> планом перехода </w:t>
            </w:r>
            <w:r w:rsidR="007D4767" w:rsidRPr="00B0658A">
              <w:rPr>
                <w:rFonts w:ascii="Times New Roman" w:hAnsi="Times New Roman"/>
                <w:i/>
                <w:iCs/>
                <w:sz w:val="20"/>
                <w:szCs w:val="20"/>
              </w:rPr>
              <w:t xml:space="preserve">заказчика 44-ФЗ или заказчика 223-ФЗ </w:t>
            </w:r>
            <w:r w:rsidRPr="00B0658A">
              <w:rPr>
                <w:rFonts w:ascii="Times New Roman" w:hAnsi="Times New Roman"/>
                <w:i/>
                <w:iCs/>
                <w:sz w:val="20"/>
                <w:szCs w:val="20"/>
              </w:rPr>
              <w:t>на использование российского ПО на значимых объектах КИИ</w:t>
            </w:r>
          </w:p>
        </w:tc>
        <w:tc>
          <w:tcPr>
            <w:tcW w:w="508" w:type="pct"/>
          </w:tcPr>
          <w:p w14:paraId="23B1DA39" w14:textId="77777777" w:rsidR="0002298B" w:rsidRPr="00B0658A" w:rsidRDefault="0002298B" w:rsidP="000A4114">
            <w:pPr>
              <w:spacing w:after="0" w:line="240" w:lineRule="auto"/>
              <w:rPr>
                <w:rFonts w:ascii="Times New Roman" w:hAnsi="Times New Roman"/>
                <w:i/>
                <w:iCs/>
                <w:sz w:val="20"/>
                <w:szCs w:val="20"/>
              </w:rPr>
            </w:pPr>
          </w:p>
        </w:tc>
        <w:tc>
          <w:tcPr>
            <w:tcW w:w="1118" w:type="pct"/>
            <w:shd w:val="clear" w:color="auto" w:fill="auto"/>
          </w:tcPr>
          <w:p w14:paraId="790D7A4C" w14:textId="77777777" w:rsidR="0002298B" w:rsidRPr="00B0658A" w:rsidRDefault="0002298B" w:rsidP="000A4114">
            <w:pPr>
              <w:spacing w:after="0" w:line="240" w:lineRule="auto"/>
              <w:rPr>
                <w:rFonts w:ascii="Times New Roman" w:hAnsi="Times New Roman"/>
                <w:i/>
                <w:iCs/>
                <w:sz w:val="20"/>
                <w:szCs w:val="20"/>
              </w:rPr>
            </w:pPr>
          </w:p>
        </w:tc>
        <w:tc>
          <w:tcPr>
            <w:tcW w:w="1062" w:type="pct"/>
            <w:shd w:val="clear" w:color="auto" w:fill="auto"/>
          </w:tcPr>
          <w:p w14:paraId="15199B4A" w14:textId="77777777" w:rsidR="0002298B" w:rsidRPr="00B0658A" w:rsidRDefault="0002298B" w:rsidP="000A4114">
            <w:pPr>
              <w:spacing w:after="0" w:line="240" w:lineRule="auto"/>
              <w:rPr>
                <w:rFonts w:ascii="Times New Roman" w:hAnsi="Times New Roman"/>
                <w:i/>
                <w:iCs/>
                <w:sz w:val="20"/>
                <w:szCs w:val="20"/>
              </w:rPr>
            </w:pPr>
          </w:p>
        </w:tc>
        <w:tc>
          <w:tcPr>
            <w:tcW w:w="941" w:type="pct"/>
            <w:shd w:val="clear" w:color="auto" w:fill="auto"/>
          </w:tcPr>
          <w:p w14:paraId="12672C18" w14:textId="77777777" w:rsidR="0002298B" w:rsidRPr="00B0658A" w:rsidRDefault="0002298B" w:rsidP="000A4114">
            <w:pPr>
              <w:spacing w:after="0" w:line="240" w:lineRule="auto"/>
              <w:jc w:val="both"/>
              <w:rPr>
                <w:rFonts w:ascii="Times New Roman" w:hAnsi="Times New Roman"/>
                <w:i/>
                <w:iCs/>
                <w:sz w:val="20"/>
                <w:szCs w:val="20"/>
              </w:rPr>
            </w:pPr>
          </w:p>
        </w:tc>
      </w:tr>
      <w:tr w:rsidR="00F52FED" w:rsidRPr="00B0658A" w14:paraId="2D5AED17" w14:textId="77777777" w:rsidTr="004F1366">
        <w:trPr>
          <w:trHeight w:val="170"/>
        </w:trPr>
        <w:tc>
          <w:tcPr>
            <w:tcW w:w="5000" w:type="pct"/>
            <w:gridSpan w:val="6"/>
            <w:shd w:val="clear" w:color="auto" w:fill="auto"/>
            <w:vAlign w:val="center"/>
          </w:tcPr>
          <w:p w14:paraId="4EE7CAC6" w14:textId="77777777" w:rsidR="0002298B" w:rsidRPr="00B0658A" w:rsidRDefault="0002298B" w:rsidP="00CB1F35">
            <w:pPr>
              <w:pStyle w:val="afd"/>
              <w:numPr>
                <w:ilvl w:val="0"/>
                <w:numId w:val="30"/>
              </w:numPr>
              <w:spacing w:after="0" w:line="240" w:lineRule="auto"/>
              <w:ind w:left="318" w:hanging="284"/>
              <w:rPr>
                <w:rFonts w:ascii="Times New Roman" w:hAnsi="Times New Roman"/>
                <w:i/>
                <w:iCs/>
                <w:sz w:val="20"/>
                <w:szCs w:val="20"/>
              </w:rPr>
            </w:pPr>
            <w:r w:rsidRPr="00B0658A">
              <w:rPr>
                <w:rFonts w:ascii="Times New Roman" w:hAnsi="Times New Roman"/>
                <w:b/>
                <w:sz w:val="20"/>
                <w:szCs w:val="20"/>
              </w:rPr>
              <w:t>Сведения о достижении показателей эффективности перехода в отношении ________ (наименование значимого объекта КИИ №2)</w:t>
            </w:r>
          </w:p>
        </w:tc>
      </w:tr>
      <w:tr w:rsidR="00F52FED" w:rsidRPr="00B0658A" w14:paraId="3D50C4E3" w14:textId="77777777" w:rsidTr="004F1366">
        <w:trPr>
          <w:trHeight w:val="170"/>
        </w:trPr>
        <w:tc>
          <w:tcPr>
            <w:tcW w:w="197" w:type="pct"/>
            <w:shd w:val="clear" w:color="auto" w:fill="auto"/>
            <w:vAlign w:val="center"/>
          </w:tcPr>
          <w:p w14:paraId="1446590F"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20"/>
                <w:szCs w:val="20"/>
                <w:lang w:val="en-US"/>
              </w:rPr>
              <w:t>2</w:t>
            </w:r>
            <w:r w:rsidRPr="00B0658A">
              <w:rPr>
                <w:rFonts w:ascii="Times New Roman" w:hAnsi="Times New Roman"/>
                <w:sz w:val="20"/>
                <w:szCs w:val="20"/>
              </w:rPr>
              <w:t>.1</w:t>
            </w:r>
          </w:p>
        </w:tc>
        <w:tc>
          <w:tcPr>
            <w:tcW w:w="1174" w:type="pct"/>
            <w:shd w:val="clear" w:color="auto" w:fill="auto"/>
            <w:vAlign w:val="center"/>
          </w:tcPr>
          <w:p w14:paraId="69D355C9" w14:textId="77777777" w:rsidR="0002298B" w:rsidRPr="00B0658A" w:rsidRDefault="0002298B" w:rsidP="000A4114">
            <w:pPr>
              <w:spacing w:after="0" w:line="240" w:lineRule="auto"/>
              <w:rPr>
                <w:rFonts w:ascii="Times New Roman" w:hAnsi="Times New Roman"/>
                <w:i/>
                <w:iCs/>
                <w:sz w:val="20"/>
                <w:szCs w:val="20"/>
              </w:rPr>
            </w:pPr>
            <w:r w:rsidRPr="00B0658A">
              <w:rPr>
                <w:rFonts w:ascii="Times New Roman" w:hAnsi="Times New Roman"/>
                <w:i/>
                <w:sz w:val="20"/>
                <w:szCs w:val="20"/>
              </w:rPr>
              <w:t>Указывается класс (тип) №1 ПО, используемого на значимом объекте КИИ №2 в соответствии с утвержденным детализированным</w:t>
            </w:r>
            <w:r w:rsidRPr="00B0658A">
              <w:rPr>
                <w:rFonts w:ascii="Times New Roman" w:hAnsi="Times New Roman"/>
                <w:i/>
                <w:iCs/>
                <w:sz w:val="20"/>
                <w:szCs w:val="20"/>
              </w:rPr>
              <w:t xml:space="preserve"> планом перехода </w:t>
            </w:r>
            <w:r w:rsidR="007D4767" w:rsidRPr="00B0658A">
              <w:rPr>
                <w:rFonts w:ascii="Times New Roman" w:hAnsi="Times New Roman"/>
                <w:i/>
                <w:iCs/>
                <w:sz w:val="20"/>
                <w:szCs w:val="20"/>
              </w:rPr>
              <w:t xml:space="preserve">заказчика 44-ФЗ или заказчика 223-ФЗ </w:t>
            </w:r>
            <w:r w:rsidRPr="00B0658A">
              <w:rPr>
                <w:rFonts w:ascii="Times New Roman" w:hAnsi="Times New Roman"/>
                <w:i/>
                <w:iCs/>
                <w:sz w:val="20"/>
                <w:szCs w:val="20"/>
              </w:rPr>
              <w:t>на использование российского ПО на значимых объектах КИИ</w:t>
            </w:r>
          </w:p>
        </w:tc>
        <w:tc>
          <w:tcPr>
            <w:tcW w:w="508" w:type="pct"/>
          </w:tcPr>
          <w:p w14:paraId="6B8EE8D8" w14:textId="77777777" w:rsidR="0002298B" w:rsidRPr="00B0658A" w:rsidRDefault="0002298B" w:rsidP="000A4114">
            <w:pPr>
              <w:spacing w:after="0" w:line="240" w:lineRule="auto"/>
              <w:rPr>
                <w:rFonts w:ascii="Times New Roman" w:hAnsi="Times New Roman"/>
                <w:i/>
                <w:iCs/>
                <w:sz w:val="20"/>
                <w:szCs w:val="20"/>
              </w:rPr>
            </w:pPr>
          </w:p>
        </w:tc>
        <w:tc>
          <w:tcPr>
            <w:tcW w:w="1118" w:type="pct"/>
            <w:shd w:val="clear" w:color="auto" w:fill="auto"/>
          </w:tcPr>
          <w:p w14:paraId="648784BA" w14:textId="77777777" w:rsidR="0002298B" w:rsidRPr="00B0658A" w:rsidRDefault="0002298B" w:rsidP="000A4114">
            <w:pPr>
              <w:spacing w:after="0" w:line="240" w:lineRule="auto"/>
              <w:rPr>
                <w:rFonts w:ascii="Times New Roman" w:hAnsi="Times New Roman"/>
                <w:i/>
                <w:iCs/>
                <w:sz w:val="20"/>
                <w:szCs w:val="20"/>
              </w:rPr>
            </w:pPr>
          </w:p>
        </w:tc>
        <w:tc>
          <w:tcPr>
            <w:tcW w:w="1062" w:type="pct"/>
            <w:shd w:val="clear" w:color="auto" w:fill="auto"/>
          </w:tcPr>
          <w:p w14:paraId="3DFBC0E4" w14:textId="77777777" w:rsidR="0002298B" w:rsidRPr="00B0658A" w:rsidRDefault="0002298B" w:rsidP="000A4114">
            <w:pPr>
              <w:spacing w:after="0" w:line="240" w:lineRule="auto"/>
              <w:rPr>
                <w:rFonts w:ascii="Times New Roman" w:hAnsi="Times New Roman"/>
                <w:i/>
                <w:iCs/>
                <w:sz w:val="20"/>
                <w:szCs w:val="20"/>
              </w:rPr>
            </w:pPr>
          </w:p>
        </w:tc>
        <w:tc>
          <w:tcPr>
            <w:tcW w:w="941" w:type="pct"/>
            <w:shd w:val="clear" w:color="auto" w:fill="auto"/>
          </w:tcPr>
          <w:p w14:paraId="7E23C530" w14:textId="77777777" w:rsidR="0002298B" w:rsidRPr="00B0658A" w:rsidRDefault="0002298B" w:rsidP="000A4114">
            <w:pPr>
              <w:spacing w:after="0" w:line="240" w:lineRule="auto"/>
              <w:jc w:val="both"/>
              <w:rPr>
                <w:rFonts w:ascii="Times New Roman" w:hAnsi="Times New Roman"/>
                <w:i/>
                <w:iCs/>
                <w:sz w:val="20"/>
                <w:szCs w:val="20"/>
              </w:rPr>
            </w:pPr>
          </w:p>
        </w:tc>
      </w:tr>
      <w:tr w:rsidR="00F52FED" w:rsidRPr="00B0658A" w14:paraId="2DDDD4A7" w14:textId="77777777" w:rsidTr="004F1366">
        <w:trPr>
          <w:trHeight w:val="170"/>
        </w:trPr>
        <w:tc>
          <w:tcPr>
            <w:tcW w:w="197" w:type="pct"/>
            <w:shd w:val="clear" w:color="auto" w:fill="auto"/>
            <w:vAlign w:val="center"/>
          </w:tcPr>
          <w:p w14:paraId="5E9E1B72" w14:textId="77777777" w:rsidR="0002298B" w:rsidRPr="00B0658A" w:rsidRDefault="0002298B" w:rsidP="000A4114">
            <w:pPr>
              <w:spacing w:after="0" w:line="240" w:lineRule="auto"/>
              <w:rPr>
                <w:rFonts w:ascii="Times New Roman" w:hAnsi="Times New Roman"/>
                <w:sz w:val="20"/>
                <w:szCs w:val="20"/>
                <w:lang w:val="en-US"/>
              </w:rPr>
            </w:pPr>
            <w:r w:rsidRPr="00B0658A">
              <w:rPr>
                <w:rFonts w:ascii="Times New Roman" w:hAnsi="Times New Roman"/>
                <w:sz w:val="20"/>
                <w:szCs w:val="20"/>
                <w:lang w:val="en-US"/>
              </w:rPr>
              <w:t>2</w:t>
            </w:r>
            <w:r w:rsidRPr="00B0658A">
              <w:rPr>
                <w:rFonts w:ascii="Times New Roman" w:hAnsi="Times New Roman"/>
                <w:sz w:val="20"/>
                <w:szCs w:val="20"/>
              </w:rPr>
              <w:t>.</w:t>
            </w:r>
            <w:r w:rsidRPr="00B0658A">
              <w:rPr>
                <w:rFonts w:ascii="Times New Roman" w:hAnsi="Times New Roman"/>
                <w:sz w:val="20"/>
                <w:szCs w:val="20"/>
                <w:lang w:val="en-US"/>
              </w:rPr>
              <w:t>2</w:t>
            </w:r>
          </w:p>
        </w:tc>
        <w:tc>
          <w:tcPr>
            <w:tcW w:w="1174" w:type="pct"/>
            <w:shd w:val="clear" w:color="auto" w:fill="auto"/>
            <w:vAlign w:val="center"/>
          </w:tcPr>
          <w:p w14:paraId="728FBC3A" w14:textId="77777777" w:rsidR="0002298B" w:rsidRPr="00B0658A" w:rsidRDefault="0002298B" w:rsidP="000A4114">
            <w:pPr>
              <w:spacing w:after="0" w:line="240" w:lineRule="auto"/>
              <w:rPr>
                <w:rFonts w:ascii="Times New Roman" w:hAnsi="Times New Roman"/>
                <w:i/>
                <w:iCs/>
                <w:sz w:val="20"/>
                <w:szCs w:val="20"/>
              </w:rPr>
            </w:pPr>
            <w:r w:rsidRPr="00B0658A">
              <w:rPr>
                <w:rFonts w:ascii="Times New Roman" w:hAnsi="Times New Roman"/>
                <w:i/>
                <w:sz w:val="20"/>
                <w:szCs w:val="20"/>
              </w:rPr>
              <w:t xml:space="preserve">Указывается класс (тип) №2 ПО, используемого на значимом объекте КИИ №2 в соответствии с утвержденным детализированным </w:t>
            </w:r>
            <w:r w:rsidRPr="00B0658A">
              <w:rPr>
                <w:rFonts w:ascii="Times New Roman" w:hAnsi="Times New Roman"/>
                <w:i/>
                <w:iCs/>
                <w:sz w:val="20"/>
                <w:szCs w:val="20"/>
              </w:rPr>
              <w:t xml:space="preserve">планом перехода </w:t>
            </w:r>
            <w:r w:rsidR="007D4767" w:rsidRPr="00B0658A">
              <w:rPr>
                <w:rFonts w:ascii="Times New Roman" w:hAnsi="Times New Roman"/>
                <w:i/>
                <w:iCs/>
                <w:sz w:val="20"/>
                <w:szCs w:val="20"/>
              </w:rPr>
              <w:t xml:space="preserve">заказчика 44-ФЗ или заказчика 223-ФЗ </w:t>
            </w:r>
            <w:r w:rsidRPr="00B0658A">
              <w:rPr>
                <w:rFonts w:ascii="Times New Roman" w:hAnsi="Times New Roman"/>
                <w:i/>
                <w:iCs/>
                <w:sz w:val="20"/>
                <w:szCs w:val="20"/>
              </w:rPr>
              <w:t>на использование российского ПО на значимых объектах КИИ</w:t>
            </w:r>
          </w:p>
        </w:tc>
        <w:tc>
          <w:tcPr>
            <w:tcW w:w="508" w:type="pct"/>
          </w:tcPr>
          <w:p w14:paraId="0F34F8C8" w14:textId="77777777" w:rsidR="0002298B" w:rsidRPr="00B0658A" w:rsidRDefault="0002298B" w:rsidP="000A4114">
            <w:pPr>
              <w:spacing w:after="0" w:line="240" w:lineRule="auto"/>
              <w:rPr>
                <w:rFonts w:ascii="Times New Roman" w:hAnsi="Times New Roman"/>
                <w:i/>
                <w:iCs/>
                <w:sz w:val="20"/>
                <w:szCs w:val="20"/>
              </w:rPr>
            </w:pPr>
          </w:p>
        </w:tc>
        <w:tc>
          <w:tcPr>
            <w:tcW w:w="1118" w:type="pct"/>
            <w:shd w:val="clear" w:color="auto" w:fill="auto"/>
          </w:tcPr>
          <w:p w14:paraId="7E38BFEF" w14:textId="77777777" w:rsidR="0002298B" w:rsidRPr="00B0658A" w:rsidRDefault="0002298B" w:rsidP="000A4114">
            <w:pPr>
              <w:spacing w:after="0" w:line="240" w:lineRule="auto"/>
              <w:rPr>
                <w:rFonts w:ascii="Times New Roman" w:hAnsi="Times New Roman"/>
                <w:i/>
                <w:iCs/>
                <w:sz w:val="20"/>
                <w:szCs w:val="20"/>
              </w:rPr>
            </w:pPr>
          </w:p>
        </w:tc>
        <w:tc>
          <w:tcPr>
            <w:tcW w:w="1062" w:type="pct"/>
            <w:shd w:val="clear" w:color="auto" w:fill="auto"/>
          </w:tcPr>
          <w:p w14:paraId="62282544" w14:textId="77777777" w:rsidR="0002298B" w:rsidRPr="00B0658A" w:rsidRDefault="0002298B" w:rsidP="000A4114">
            <w:pPr>
              <w:spacing w:after="0" w:line="240" w:lineRule="auto"/>
              <w:rPr>
                <w:rFonts w:ascii="Times New Roman" w:hAnsi="Times New Roman"/>
                <w:i/>
                <w:iCs/>
                <w:sz w:val="20"/>
                <w:szCs w:val="20"/>
              </w:rPr>
            </w:pPr>
          </w:p>
        </w:tc>
        <w:tc>
          <w:tcPr>
            <w:tcW w:w="941" w:type="pct"/>
            <w:shd w:val="clear" w:color="auto" w:fill="auto"/>
          </w:tcPr>
          <w:p w14:paraId="392A7BD8" w14:textId="77777777" w:rsidR="0002298B" w:rsidRPr="00B0658A" w:rsidRDefault="0002298B" w:rsidP="000A4114">
            <w:pPr>
              <w:spacing w:after="0" w:line="240" w:lineRule="auto"/>
              <w:jc w:val="both"/>
              <w:rPr>
                <w:rFonts w:ascii="Times New Roman" w:hAnsi="Times New Roman"/>
                <w:i/>
                <w:iCs/>
                <w:sz w:val="20"/>
                <w:szCs w:val="20"/>
              </w:rPr>
            </w:pPr>
          </w:p>
        </w:tc>
      </w:tr>
      <w:tr w:rsidR="00F52FED" w:rsidRPr="00B0658A" w14:paraId="63C65608" w14:textId="77777777" w:rsidTr="004F1366">
        <w:trPr>
          <w:trHeight w:val="170"/>
        </w:trPr>
        <w:tc>
          <w:tcPr>
            <w:tcW w:w="197" w:type="pct"/>
            <w:shd w:val="clear" w:color="auto" w:fill="auto"/>
            <w:vAlign w:val="center"/>
          </w:tcPr>
          <w:p w14:paraId="3233D393" w14:textId="77777777" w:rsidR="0002298B" w:rsidRPr="00B0658A" w:rsidRDefault="0002298B" w:rsidP="000A4114">
            <w:pPr>
              <w:spacing w:after="0" w:line="240" w:lineRule="auto"/>
              <w:rPr>
                <w:rFonts w:ascii="Times New Roman" w:hAnsi="Times New Roman"/>
                <w:sz w:val="20"/>
                <w:szCs w:val="20"/>
                <w:lang w:val="en-US"/>
              </w:rPr>
            </w:pPr>
            <w:r w:rsidRPr="00B0658A">
              <w:rPr>
                <w:rFonts w:ascii="Times New Roman" w:hAnsi="Times New Roman"/>
                <w:sz w:val="20"/>
                <w:szCs w:val="20"/>
                <w:lang w:val="en-US"/>
              </w:rPr>
              <w:t>..</w:t>
            </w:r>
          </w:p>
        </w:tc>
        <w:tc>
          <w:tcPr>
            <w:tcW w:w="1174" w:type="pct"/>
            <w:shd w:val="clear" w:color="auto" w:fill="auto"/>
            <w:vAlign w:val="center"/>
          </w:tcPr>
          <w:p w14:paraId="09487E21" w14:textId="77777777" w:rsidR="0002298B" w:rsidRPr="00B0658A" w:rsidRDefault="0002298B" w:rsidP="000A4114">
            <w:pPr>
              <w:spacing w:after="0" w:line="240" w:lineRule="auto"/>
              <w:rPr>
                <w:rFonts w:ascii="Times New Roman" w:hAnsi="Times New Roman"/>
                <w:i/>
                <w:iCs/>
                <w:sz w:val="20"/>
                <w:szCs w:val="20"/>
              </w:rPr>
            </w:pPr>
          </w:p>
        </w:tc>
        <w:tc>
          <w:tcPr>
            <w:tcW w:w="508" w:type="pct"/>
          </w:tcPr>
          <w:p w14:paraId="3D1B75A8" w14:textId="77777777" w:rsidR="0002298B" w:rsidRPr="00B0658A" w:rsidRDefault="0002298B" w:rsidP="000A4114">
            <w:pPr>
              <w:spacing w:after="0" w:line="240" w:lineRule="auto"/>
              <w:rPr>
                <w:rFonts w:ascii="Times New Roman" w:hAnsi="Times New Roman"/>
                <w:i/>
                <w:iCs/>
                <w:sz w:val="20"/>
                <w:szCs w:val="20"/>
              </w:rPr>
            </w:pPr>
          </w:p>
        </w:tc>
        <w:tc>
          <w:tcPr>
            <w:tcW w:w="1118" w:type="pct"/>
            <w:shd w:val="clear" w:color="auto" w:fill="auto"/>
          </w:tcPr>
          <w:p w14:paraId="617D7450" w14:textId="77777777" w:rsidR="0002298B" w:rsidRPr="00B0658A" w:rsidRDefault="0002298B" w:rsidP="000A4114">
            <w:pPr>
              <w:spacing w:after="0" w:line="240" w:lineRule="auto"/>
              <w:rPr>
                <w:rFonts w:ascii="Times New Roman" w:hAnsi="Times New Roman"/>
                <w:i/>
                <w:iCs/>
                <w:sz w:val="20"/>
                <w:szCs w:val="20"/>
              </w:rPr>
            </w:pPr>
          </w:p>
        </w:tc>
        <w:tc>
          <w:tcPr>
            <w:tcW w:w="1062" w:type="pct"/>
            <w:shd w:val="clear" w:color="auto" w:fill="auto"/>
          </w:tcPr>
          <w:p w14:paraId="24E40971" w14:textId="77777777" w:rsidR="0002298B" w:rsidRPr="00B0658A" w:rsidRDefault="0002298B" w:rsidP="000A4114">
            <w:pPr>
              <w:spacing w:after="0" w:line="240" w:lineRule="auto"/>
              <w:rPr>
                <w:rFonts w:ascii="Times New Roman" w:hAnsi="Times New Roman"/>
                <w:i/>
                <w:iCs/>
                <w:sz w:val="20"/>
                <w:szCs w:val="20"/>
              </w:rPr>
            </w:pPr>
          </w:p>
        </w:tc>
        <w:tc>
          <w:tcPr>
            <w:tcW w:w="941" w:type="pct"/>
            <w:shd w:val="clear" w:color="auto" w:fill="auto"/>
          </w:tcPr>
          <w:p w14:paraId="5B4AE880" w14:textId="77777777" w:rsidR="0002298B" w:rsidRPr="00B0658A" w:rsidRDefault="0002298B" w:rsidP="000A4114">
            <w:pPr>
              <w:spacing w:after="0" w:line="240" w:lineRule="auto"/>
              <w:jc w:val="both"/>
              <w:rPr>
                <w:rFonts w:ascii="Times New Roman" w:hAnsi="Times New Roman"/>
                <w:i/>
                <w:iCs/>
                <w:sz w:val="20"/>
                <w:szCs w:val="20"/>
              </w:rPr>
            </w:pPr>
          </w:p>
        </w:tc>
      </w:tr>
      <w:tr w:rsidR="00F52FED" w:rsidRPr="00B0658A" w14:paraId="0D6D5D98" w14:textId="77777777" w:rsidTr="004F1366">
        <w:trPr>
          <w:trHeight w:val="170"/>
        </w:trPr>
        <w:tc>
          <w:tcPr>
            <w:tcW w:w="197" w:type="pct"/>
            <w:shd w:val="clear" w:color="auto" w:fill="auto"/>
            <w:vAlign w:val="center"/>
          </w:tcPr>
          <w:p w14:paraId="4ADF6173"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20"/>
                <w:szCs w:val="20"/>
                <w:lang w:val="en-US"/>
              </w:rPr>
              <w:t>2</w:t>
            </w:r>
            <w:r w:rsidRPr="00B0658A">
              <w:rPr>
                <w:rFonts w:ascii="Times New Roman" w:hAnsi="Times New Roman"/>
                <w:sz w:val="20"/>
                <w:szCs w:val="20"/>
              </w:rPr>
              <w:t>.</w:t>
            </w:r>
            <w:r w:rsidRPr="00B0658A">
              <w:rPr>
                <w:rFonts w:ascii="Times New Roman" w:hAnsi="Times New Roman"/>
                <w:sz w:val="20"/>
                <w:szCs w:val="20"/>
                <w:lang w:val="en-US"/>
              </w:rPr>
              <w:t>n</w:t>
            </w:r>
          </w:p>
        </w:tc>
        <w:tc>
          <w:tcPr>
            <w:tcW w:w="1174" w:type="pct"/>
            <w:shd w:val="clear" w:color="auto" w:fill="auto"/>
            <w:vAlign w:val="center"/>
          </w:tcPr>
          <w:p w14:paraId="76AA4BDF" w14:textId="77777777" w:rsidR="0002298B" w:rsidRPr="00B0658A" w:rsidRDefault="0002298B" w:rsidP="000A4114">
            <w:pPr>
              <w:spacing w:after="0" w:line="240" w:lineRule="auto"/>
              <w:rPr>
                <w:rFonts w:ascii="Times New Roman" w:hAnsi="Times New Roman"/>
                <w:i/>
                <w:iCs/>
                <w:sz w:val="20"/>
                <w:szCs w:val="20"/>
              </w:rPr>
            </w:pPr>
            <w:r w:rsidRPr="00B0658A">
              <w:rPr>
                <w:rFonts w:ascii="Times New Roman" w:hAnsi="Times New Roman"/>
                <w:i/>
                <w:sz w:val="20"/>
                <w:szCs w:val="20"/>
              </w:rPr>
              <w:t xml:space="preserve">Указывается класс (тип) № </w:t>
            </w:r>
            <w:r w:rsidRPr="00B0658A">
              <w:rPr>
                <w:rFonts w:ascii="Times New Roman" w:hAnsi="Times New Roman"/>
                <w:i/>
                <w:sz w:val="20"/>
                <w:szCs w:val="20"/>
                <w:lang w:val="en-US"/>
              </w:rPr>
              <w:t>n</w:t>
            </w:r>
            <w:r w:rsidRPr="00B0658A">
              <w:rPr>
                <w:rFonts w:ascii="Times New Roman" w:hAnsi="Times New Roman"/>
                <w:i/>
                <w:sz w:val="20"/>
                <w:szCs w:val="20"/>
              </w:rPr>
              <w:t xml:space="preserve"> ПО, используемого на значимом объекте КИИ №2 в соответствии с утвержденным детализированным </w:t>
            </w:r>
            <w:r w:rsidRPr="00B0658A">
              <w:rPr>
                <w:rFonts w:ascii="Times New Roman" w:hAnsi="Times New Roman"/>
                <w:i/>
                <w:iCs/>
                <w:sz w:val="20"/>
                <w:szCs w:val="20"/>
              </w:rPr>
              <w:t xml:space="preserve">планом перехода </w:t>
            </w:r>
            <w:r w:rsidR="007D4767" w:rsidRPr="00B0658A">
              <w:rPr>
                <w:rFonts w:ascii="Times New Roman" w:hAnsi="Times New Roman"/>
                <w:i/>
                <w:iCs/>
                <w:sz w:val="20"/>
                <w:szCs w:val="20"/>
              </w:rPr>
              <w:t>заказчика 44-ФЗ или заказчика 223-ФЗ</w:t>
            </w:r>
            <w:r w:rsidRPr="00B0658A">
              <w:rPr>
                <w:rFonts w:ascii="Times New Roman" w:hAnsi="Times New Roman"/>
                <w:i/>
                <w:iCs/>
                <w:sz w:val="20"/>
                <w:szCs w:val="20"/>
              </w:rPr>
              <w:t xml:space="preserve"> на использование российского ПО на значимых объектах КИИ</w:t>
            </w:r>
          </w:p>
        </w:tc>
        <w:tc>
          <w:tcPr>
            <w:tcW w:w="508" w:type="pct"/>
          </w:tcPr>
          <w:p w14:paraId="7E2D94B5" w14:textId="77777777" w:rsidR="0002298B" w:rsidRPr="00B0658A" w:rsidRDefault="0002298B" w:rsidP="000A4114">
            <w:pPr>
              <w:spacing w:after="0" w:line="240" w:lineRule="auto"/>
              <w:rPr>
                <w:rFonts w:ascii="Times New Roman" w:hAnsi="Times New Roman"/>
                <w:i/>
                <w:iCs/>
                <w:sz w:val="20"/>
                <w:szCs w:val="20"/>
              </w:rPr>
            </w:pPr>
          </w:p>
        </w:tc>
        <w:tc>
          <w:tcPr>
            <w:tcW w:w="1118" w:type="pct"/>
            <w:shd w:val="clear" w:color="auto" w:fill="auto"/>
          </w:tcPr>
          <w:p w14:paraId="35AED6C5" w14:textId="77777777" w:rsidR="0002298B" w:rsidRPr="00B0658A" w:rsidRDefault="0002298B" w:rsidP="000A4114">
            <w:pPr>
              <w:spacing w:after="0" w:line="240" w:lineRule="auto"/>
              <w:rPr>
                <w:rFonts w:ascii="Times New Roman" w:hAnsi="Times New Roman"/>
                <w:i/>
                <w:iCs/>
                <w:sz w:val="20"/>
                <w:szCs w:val="20"/>
              </w:rPr>
            </w:pPr>
          </w:p>
        </w:tc>
        <w:tc>
          <w:tcPr>
            <w:tcW w:w="1062" w:type="pct"/>
            <w:shd w:val="clear" w:color="auto" w:fill="auto"/>
          </w:tcPr>
          <w:p w14:paraId="0F721684" w14:textId="77777777" w:rsidR="0002298B" w:rsidRPr="00B0658A" w:rsidRDefault="0002298B" w:rsidP="000A4114">
            <w:pPr>
              <w:spacing w:after="0" w:line="240" w:lineRule="auto"/>
              <w:rPr>
                <w:rFonts w:ascii="Times New Roman" w:hAnsi="Times New Roman"/>
                <w:i/>
                <w:iCs/>
                <w:sz w:val="20"/>
                <w:szCs w:val="20"/>
              </w:rPr>
            </w:pPr>
          </w:p>
        </w:tc>
        <w:tc>
          <w:tcPr>
            <w:tcW w:w="941" w:type="pct"/>
            <w:shd w:val="clear" w:color="auto" w:fill="auto"/>
          </w:tcPr>
          <w:p w14:paraId="26D67C5A" w14:textId="77777777" w:rsidR="0002298B" w:rsidRPr="00B0658A" w:rsidRDefault="0002298B" w:rsidP="000A4114">
            <w:pPr>
              <w:spacing w:after="0" w:line="240" w:lineRule="auto"/>
              <w:jc w:val="both"/>
              <w:rPr>
                <w:rFonts w:ascii="Times New Roman" w:hAnsi="Times New Roman"/>
                <w:i/>
                <w:iCs/>
                <w:sz w:val="20"/>
                <w:szCs w:val="20"/>
              </w:rPr>
            </w:pPr>
          </w:p>
        </w:tc>
      </w:tr>
      <w:tr w:rsidR="00F52FED" w:rsidRPr="00B0658A" w14:paraId="10C6F4B9" w14:textId="77777777" w:rsidTr="004F1366">
        <w:trPr>
          <w:trHeight w:val="170"/>
        </w:trPr>
        <w:tc>
          <w:tcPr>
            <w:tcW w:w="197" w:type="pct"/>
            <w:shd w:val="clear" w:color="auto" w:fill="auto"/>
            <w:vAlign w:val="center"/>
          </w:tcPr>
          <w:p w14:paraId="37AC3BFA" w14:textId="77777777" w:rsidR="0002298B" w:rsidRPr="00B0658A" w:rsidRDefault="0002298B" w:rsidP="000A4114">
            <w:pPr>
              <w:spacing w:after="0" w:line="240" w:lineRule="auto"/>
              <w:rPr>
                <w:rFonts w:ascii="Times New Roman" w:hAnsi="Times New Roman"/>
                <w:sz w:val="20"/>
                <w:szCs w:val="20"/>
                <w:lang w:val="en-US"/>
              </w:rPr>
            </w:pPr>
            <w:r w:rsidRPr="00B0658A">
              <w:rPr>
                <w:rFonts w:ascii="Times New Roman" w:hAnsi="Times New Roman"/>
                <w:sz w:val="20"/>
                <w:szCs w:val="20"/>
                <w:lang w:val="en-US"/>
              </w:rPr>
              <w:t>…</w:t>
            </w:r>
          </w:p>
        </w:tc>
        <w:tc>
          <w:tcPr>
            <w:tcW w:w="1174" w:type="pct"/>
            <w:shd w:val="clear" w:color="auto" w:fill="auto"/>
            <w:vAlign w:val="center"/>
          </w:tcPr>
          <w:p w14:paraId="6585C2A8" w14:textId="77777777" w:rsidR="0002298B" w:rsidRPr="00B0658A" w:rsidRDefault="0002298B" w:rsidP="000A4114">
            <w:pPr>
              <w:spacing w:after="0" w:line="240" w:lineRule="auto"/>
              <w:rPr>
                <w:rFonts w:ascii="Times New Roman" w:hAnsi="Times New Roman"/>
                <w:i/>
                <w:iCs/>
                <w:sz w:val="20"/>
                <w:szCs w:val="20"/>
              </w:rPr>
            </w:pPr>
          </w:p>
        </w:tc>
        <w:tc>
          <w:tcPr>
            <w:tcW w:w="508" w:type="pct"/>
          </w:tcPr>
          <w:p w14:paraId="578982E4" w14:textId="77777777" w:rsidR="0002298B" w:rsidRPr="00B0658A" w:rsidRDefault="0002298B" w:rsidP="000A4114">
            <w:pPr>
              <w:spacing w:after="0" w:line="240" w:lineRule="auto"/>
              <w:rPr>
                <w:rFonts w:ascii="Times New Roman" w:hAnsi="Times New Roman"/>
                <w:i/>
                <w:iCs/>
                <w:sz w:val="20"/>
                <w:szCs w:val="20"/>
              </w:rPr>
            </w:pPr>
          </w:p>
        </w:tc>
        <w:tc>
          <w:tcPr>
            <w:tcW w:w="1118" w:type="pct"/>
            <w:shd w:val="clear" w:color="auto" w:fill="auto"/>
          </w:tcPr>
          <w:p w14:paraId="516F5931" w14:textId="77777777" w:rsidR="0002298B" w:rsidRPr="00B0658A" w:rsidRDefault="0002298B" w:rsidP="000A4114">
            <w:pPr>
              <w:spacing w:after="0" w:line="240" w:lineRule="auto"/>
              <w:rPr>
                <w:rFonts w:ascii="Times New Roman" w:hAnsi="Times New Roman"/>
                <w:i/>
                <w:iCs/>
                <w:sz w:val="20"/>
                <w:szCs w:val="20"/>
              </w:rPr>
            </w:pPr>
          </w:p>
        </w:tc>
        <w:tc>
          <w:tcPr>
            <w:tcW w:w="1062" w:type="pct"/>
            <w:shd w:val="clear" w:color="auto" w:fill="auto"/>
          </w:tcPr>
          <w:p w14:paraId="37BD8A03" w14:textId="77777777" w:rsidR="0002298B" w:rsidRPr="00B0658A" w:rsidRDefault="0002298B" w:rsidP="000A4114">
            <w:pPr>
              <w:spacing w:after="0" w:line="240" w:lineRule="auto"/>
              <w:rPr>
                <w:rFonts w:ascii="Times New Roman" w:hAnsi="Times New Roman"/>
                <w:i/>
                <w:iCs/>
                <w:sz w:val="20"/>
                <w:szCs w:val="20"/>
              </w:rPr>
            </w:pPr>
          </w:p>
        </w:tc>
        <w:tc>
          <w:tcPr>
            <w:tcW w:w="941" w:type="pct"/>
            <w:shd w:val="clear" w:color="auto" w:fill="auto"/>
          </w:tcPr>
          <w:p w14:paraId="7D646D6D" w14:textId="77777777" w:rsidR="0002298B" w:rsidRPr="00B0658A" w:rsidRDefault="0002298B" w:rsidP="000A4114">
            <w:pPr>
              <w:spacing w:after="0" w:line="240" w:lineRule="auto"/>
              <w:jc w:val="both"/>
              <w:rPr>
                <w:rFonts w:ascii="Times New Roman" w:hAnsi="Times New Roman"/>
                <w:i/>
                <w:iCs/>
                <w:sz w:val="20"/>
                <w:szCs w:val="20"/>
              </w:rPr>
            </w:pPr>
          </w:p>
        </w:tc>
      </w:tr>
      <w:tr w:rsidR="00F52FED" w:rsidRPr="00B0658A" w14:paraId="1406D1F0" w14:textId="77777777" w:rsidTr="004F1366">
        <w:trPr>
          <w:trHeight w:val="170"/>
        </w:trPr>
        <w:tc>
          <w:tcPr>
            <w:tcW w:w="5000" w:type="pct"/>
            <w:gridSpan w:val="6"/>
            <w:shd w:val="clear" w:color="auto" w:fill="auto"/>
            <w:vAlign w:val="center"/>
          </w:tcPr>
          <w:p w14:paraId="3BA71614" w14:textId="77777777" w:rsidR="0002298B" w:rsidRPr="00B0658A" w:rsidRDefault="0002298B" w:rsidP="000A4114">
            <w:pPr>
              <w:spacing w:after="0" w:line="240" w:lineRule="auto"/>
              <w:rPr>
                <w:rFonts w:ascii="Times New Roman" w:hAnsi="Times New Roman"/>
                <w:i/>
                <w:iCs/>
                <w:sz w:val="20"/>
                <w:szCs w:val="20"/>
              </w:rPr>
            </w:pPr>
            <w:r w:rsidRPr="00B0658A">
              <w:rPr>
                <w:rFonts w:ascii="Times New Roman" w:hAnsi="Times New Roman"/>
                <w:b/>
                <w:sz w:val="20"/>
                <w:szCs w:val="20"/>
                <w:lang w:val="en-US"/>
              </w:rPr>
              <w:t>N</w:t>
            </w:r>
            <w:r w:rsidRPr="00B0658A">
              <w:rPr>
                <w:rFonts w:ascii="Times New Roman" w:hAnsi="Times New Roman"/>
                <w:b/>
                <w:sz w:val="20"/>
                <w:szCs w:val="20"/>
              </w:rPr>
              <w:t>. Сведения о достижении показателей эффективности перехода в отношении ________ (наименование значимого объекта КИИ №</w:t>
            </w:r>
            <w:r w:rsidRPr="00B0658A">
              <w:rPr>
                <w:rFonts w:ascii="Times New Roman" w:hAnsi="Times New Roman"/>
                <w:b/>
                <w:sz w:val="20"/>
                <w:szCs w:val="20"/>
                <w:lang w:val="en-US"/>
              </w:rPr>
              <w:t>N</w:t>
            </w:r>
            <w:r w:rsidRPr="00B0658A">
              <w:rPr>
                <w:rFonts w:ascii="Times New Roman" w:hAnsi="Times New Roman"/>
                <w:b/>
                <w:sz w:val="20"/>
                <w:szCs w:val="20"/>
              </w:rPr>
              <w:t>)</w:t>
            </w:r>
          </w:p>
        </w:tc>
      </w:tr>
      <w:tr w:rsidR="00F52FED" w:rsidRPr="00B0658A" w14:paraId="40278BED" w14:textId="77777777" w:rsidTr="004F1366">
        <w:trPr>
          <w:trHeight w:val="170"/>
        </w:trPr>
        <w:tc>
          <w:tcPr>
            <w:tcW w:w="197" w:type="pct"/>
            <w:shd w:val="clear" w:color="auto" w:fill="auto"/>
            <w:vAlign w:val="center"/>
          </w:tcPr>
          <w:p w14:paraId="64B0A167"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20"/>
                <w:szCs w:val="20"/>
                <w:lang w:val="en-US"/>
              </w:rPr>
              <w:t>N</w:t>
            </w:r>
            <w:r w:rsidRPr="00B0658A">
              <w:rPr>
                <w:rFonts w:ascii="Times New Roman" w:hAnsi="Times New Roman"/>
                <w:sz w:val="20"/>
                <w:szCs w:val="20"/>
              </w:rPr>
              <w:t>.1</w:t>
            </w:r>
          </w:p>
        </w:tc>
        <w:tc>
          <w:tcPr>
            <w:tcW w:w="1174" w:type="pct"/>
            <w:shd w:val="clear" w:color="auto" w:fill="auto"/>
            <w:vAlign w:val="center"/>
          </w:tcPr>
          <w:p w14:paraId="672CD59D" w14:textId="77777777" w:rsidR="0002298B" w:rsidRPr="00B0658A" w:rsidRDefault="0002298B" w:rsidP="000A4114">
            <w:pPr>
              <w:spacing w:after="0" w:line="240" w:lineRule="auto"/>
              <w:rPr>
                <w:rFonts w:ascii="Times New Roman" w:hAnsi="Times New Roman"/>
                <w:i/>
                <w:iCs/>
                <w:sz w:val="20"/>
                <w:szCs w:val="20"/>
              </w:rPr>
            </w:pPr>
            <w:r w:rsidRPr="00B0658A">
              <w:rPr>
                <w:rFonts w:ascii="Times New Roman" w:hAnsi="Times New Roman"/>
                <w:i/>
                <w:sz w:val="20"/>
                <w:szCs w:val="20"/>
              </w:rPr>
              <w:t>Указывается класс (тип) №1 ПО, используемого на значимом объекте КИИ №</w:t>
            </w:r>
            <w:r w:rsidRPr="00B0658A">
              <w:rPr>
                <w:rFonts w:ascii="Times New Roman" w:hAnsi="Times New Roman"/>
                <w:i/>
                <w:sz w:val="20"/>
                <w:szCs w:val="20"/>
                <w:lang w:val="en-US"/>
              </w:rPr>
              <w:t>N</w:t>
            </w:r>
            <w:r w:rsidRPr="00B0658A">
              <w:rPr>
                <w:rFonts w:ascii="Times New Roman" w:hAnsi="Times New Roman"/>
                <w:i/>
                <w:sz w:val="20"/>
                <w:szCs w:val="20"/>
              </w:rPr>
              <w:t xml:space="preserve"> в соответствии с утвержденным</w:t>
            </w:r>
            <w:r w:rsidRPr="00B0658A">
              <w:rPr>
                <w:rFonts w:ascii="Times New Roman" w:hAnsi="Times New Roman"/>
                <w:i/>
                <w:iCs/>
                <w:sz w:val="20"/>
                <w:szCs w:val="20"/>
              </w:rPr>
              <w:t xml:space="preserve"> детализированным планом перехода </w:t>
            </w:r>
            <w:r w:rsidR="007D4767" w:rsidRPr="00B0658A">
              <w:rPr>
                <w:rFonts w:ascii="Times New Roman" w:hAnsi="Times New Roman"/>
                <w:i/>
                <w:iCs/>
                <w:sz w:val="20"/>
                <w:szCs w:val="20"/>
              </w:rPr>
              <w:t xml:space="preserve">заказчика 44-ФЗ или заказчика 223-ФЗ </w:t>
            </w:r>
            <w:r w:rsidRPr="00B0658A">
              <w:rPr>
                <w:rFonts w:ascii="Times New Roman" w:hAnsi="Times New Roman"/>
                <w:i/>
                <w:iCs/>
                <w:sz w:val="20"/>
                <w:szCs w:val="20"/>
              </w:rPr>
              <w:t>на использование российского ПО на значимых объектах КИИ</w:t>
            </w:r>
          </w:p>
        </w:tc>
        <w:tc>
          <w:tcPr>
            <w:tcW w:w="508" w:type="pct"/>
          </w:tcPr>
          <w:p w14:paraId="3E0BE923" w14:textId="77777777" w:rsidR="0002298B" w:rsidRPr="00B0658A" w:rsidRDefault="0002298B" w:rsidP="000A4114">
            <w:pPr>
              <w:spacing w:after="0" w:line="240" w:lineRule="auto"/>
              <w:rPr>
                <w:rFonts w:ascii="Times New Roman" w:hAnsi="Times New Roman"/>
                <w:i/>
                <w:iCs/>
                <w:sz w:val="20"/>
                <w:szCs w:val="20"/>
              </w:rPr>
            </w:pPr>
          </w:p>
        </w:tc>
        <w:tc>
          <w:tcPr>
            <w:tcW w:w="1118" w:type="pct"/>
            <w:shd w:val="clear" w:color="auto" w:fill="auto"/>
          </w:tcPr>
          <w:p w14:paraId="69FBBC47" w14:textId="77777777" w:rsidR="0002298B" w:rsidRPr="00B0658A" w:rsidRDefault="0002298B" w:rsidP="000A4114">
            <w:pPr>
              <w:spacing w:after="0" w:line="240" w:lineRule="auto"/>
              <w:rPr>
                <w:rFonts w:ascii="Times New Roman" w:hAnsi="Times New Roman"/>
                <w:i/>
                <w:iCs/>
                <w:sz w:val="20"/>
                <w:szCs w:val="20"/>
              </w:rPr>
            </w:pPr>
          </w:p>
        </w:tc>
        <w:tc>
          <w:tcPr>
            <w:tcW w:w="1062" w:type="pct"/>
            <w:shd w:val="clear" w:color="auto" w:fill="auto"/>
          </w:tcPr>
          <w:p w14:paraId="7972E474" w14:textId="77777777" w:rsidR="0002298B" w:rsidRPr="00B0658A" w:rsidRDefault="0002298B" w:rsidP="000A4114">
            <w:pPr>
              <w:spacing w:after="0" w:line="240" w:lineRule="auto"/>
              <w:rPr>
                <w:rFonts w:ascii="Times New Roman" w:hAnsi="Times New Roman"/>
                <w:i/>
                <w:iCs/>
                <w:sz w:val="20"/>
                <w:szCs w:val="20"/>
              </w:rPr>
            </w:pPr>
          </w:p>
        </w:tc>
        <w:tc>
          <w:tcPr>
            <w:tcW w:w="941" w:type="pct"/>
            <w:shd w:val="clear" w:color="auto" w:fill="auto"/>
          </w:tcPr>
          <w:p w14:paraId="47B32F39" w14:textId="77777777" w:rsidR="0002298B" w:rsidRPr="00B0658A" w:rsidRDefault="0002298B" w:rsidP="000A4114">
            <w:pPr>
              <w:spacing w:after="0" w:line="240" w:lineRule="auto"/>
              <w:jc w:val="both"/>
              <w:rPr>
                <w:rFonts w:ascii="Times New Roman" w:hAnsi="Times New Roman"/>
                <w:i/>
                <w:iCs/>
                <w:sz w:val="20"/>
                <w:szCs w:val="20"/>
              </w:rPr>
            </w:pPr>
          </w:p>
        </w:tc>
      </w:tr>
      <w:tr w:rsidR="00F52FED" w:rsidRPr="00B0658A" w14:paraId="3DB8EB0D" w14:textId="77777777" w:rsidTr="004F1366">
        <w:trPr>
          <w:trHeight w:val="170"/>
        </w:trPr>
        <w:tc>
          <w:tcPr>
            <w:tcW w:w="197" w:type="pct"/>
            <w:shd w:val="clear" w:color="auto" w:fill="auto"/>
            <w:vAlign w:val="center"/>
          </w:tcPr>
          <w:p w14:paraId="482FE45B"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20"/>
                <w:szCs w:val="20"/>
              </w:rPr>
              <w:t>N.</w:t>
            </w:r>
            <w:r w:rsidRPr="00B0658A">
              <w:rPr>
                <w:rFonts w:ascii="Times New Roman" w:hAnsi="Times New Roman"/>
                <w:sz w:val="20"/>
                <w:szCs w:val="20"/>
                <w:lang w:val="en-US"/>
              </w:rPr>
              <w:t>2</w:t>
            </w:r>
          </w:p>
        </w:tc>
        <w:tc>
          <w:tcPr>
            <w:tcW w:w="1174" w:type="pct"/>
            <w:shd w:val="clear" w:color="auto" w:fill="auto"/>
            <w:vAlign w:val="center"/>
          </w:tcPr>
          <w:p w14:paraId="7058480E" w14:textId="77777777" w:rsidR="0002298B" w:rsidRPr="00B0658A" w:rsidRDefault="0002298B" w:rsidP="000A4114">
            <w:pPr>
              <w:spacing w:after="0" w:line="240" w:lineRule="auto"/>
              <w:rPr>
                <w:rFonts w:ascii="Times New Roman" w:hAnsi="Times New Roman"/>
                <w:i/>
                <w:iCs/>
                <w:sz w:val="20"/>
                <w:szCs w:val="20"/>
              </w:rPr>
            </w:pPr>
            <w:r w:rsidRPr="00B0658A">
              <w:rPr>
                <w:rFonts w:ascii="Times New Roman" w:hAnsi="Times New Roman"/>
                <w:i/>
                <w:sz w:val="20"/>
                <w:szCs w:val="20"/>
              </w:rPr>
              <w:t>Указывается класс (тип) №2 ПО, используемого на значимом объекте КИИ №</w:t>
            </w:r>
            <w:r w:rsidRPr="00B0658A">
              <w:rPr>
                <w:rFonts w:ascii="Times New Roman" w:hAnsi="Times New Roman"/>
                <w:i/>
                <w:sz w:val="20"/>
                <w:szCs w:val="20"/>
                <w:lang w:val="en-US"/>
              </w:rPr>
              <w:t>N</w:t>
            </w:r>
            <w:r w:rsidRPr="00B0658A">
              <w:rPr>
                <w:rFonts w:ascii="Times New Roman" w:hAnsi="Times New Roman"/>
                <w:i/>
                <w:sz w:val="20"/>
                <w:szCs w:val="20"/>
              </w:rPr>
              <w:t xml:space="preserve"> в соответствии с утвержденным детализированным </w:t>
            </w:r>
            <w:r w:rsidRPr="00B0658A">
              <w:rPr>
                <w:rFonts w:ascii="Times New Roman" w:hAnsi="Times New Roman"/>
                <w:i/>
                <w:iCs/>
                <w:sz w:val="20"/>
                <w:szCs w:val="20"/>
              </w:rPr>
              <w:t xml:space="preserve">планом перехода </w:t>
            </w:r>
            <w:r w:rsidR="007D4767" w:rsidRPr="00B0658A">
              <w:rPr>
                <w:rFonts w:ascii="Times New Roman" w:hAnsi="Times New Roman"/>
                <w:i/>
                <w:iCs/>
                <w:sz w:val="20"/>
                <w:szCs w:val="20"/>
              </w:rPr>
              <w:t>заказчика 44-ФЗ или заказчика 223-ФЗ</w:t>
            </w:r>
            <w:r w:rsidRPr="00B0658A">
              <w:rPr>
                <w:rFonts w:ascii="Times New Roman" w:hAnsi="Times New Roman"/>
                <w:i/>
                <w:iCs/>
                <w:sz w:val="20"/>
                <w:szCs w:val="20"/>
              </w:rPr>
              <w:t xml:space="preserve"> на использование российского ПО на значимых объектах КИИ</w:t>
            </w:r>
          </w:p>
        </w:tc>
        <w:tc>
          <w:tcPr>
            <w:tcW w:w="508" w:type="pct"/>
          </w:tcPr>
          <w:p w14:paraId="05D1287E" w14:textId="77777777" w:rsidR="0002298B" w:rsidRPr="00B0658A" w:rsidRDefault="0002298B" w:rsidP="000A4114">
            <w:pPr>
              <w:spacing w:after="0" w:line="240" w:lineRule="auto"/>
              <w:rPr>
                <w:rFonts w:ascii="Times New Roman" w:hAnsi="Times New Roman"/>
                <w:i/>
                <w:iCs/>
                <w:sz w:val="20"/>
                <w:szCs w:val="20"/>
              </w:rPr>
            </w:pPr>
          </w:p>
        </w:tc>
        <w:tc>
          <w:tcPr>
            <w:tcW w:w="1118" w:type="pct"/>
            <w:shd w:val="clear" w:color="auto" w:fill="auto"/>
          </w:tcPr>
          <w:p w14:paraId="440B105D" w14:textId="77777777" w:rsidR="0002298B" w:rsidRPr="00B0658A" w:rsidRDefault="0002298B" w:rsidP="000A4114">
            <w:pPr>
              <w:spacing w:after="0" w:line="240" w:lineRule="auto"/>
              <w:rPr>
                <w:rFonts w:ascii="Times New Roman" w:hAnsi="Times New Roman"/>
                <w:i/>
                <w:iCs/>
                <w:sz w:val="20"/>
                <w:szCs w:val="20"/>
              </w:rPr>
            </w:pPr>
          </w:p>
        </w:tc>
        <w:tc>
          <w:tcPr>
            <w:tcW w:w="1062" w:type="pct"/>
            <w:shd w:val="clear" w:color="auto" w:fill="auto"/>
          </w:tcPr>
          <w:p w14:paraId="777F882A" w14:textId="77777777" w:rsidR="0002298B" w:rsidRPr="00B0658A" w:rsidRDefault="0002298B" w:rsidP="000A4114">
            <w:pPr>
              <w:spacing w:after="0" w:line="240" w:lineRule="auto"/>
              <w:rPr>
                <w:rFonts w:ascii="Times New Roman" w:hAnsi="Times New Roman"/>
                <w:i/>
                <w:iCs/>
                <w:sz w:val="20"/>
                <w:szCs w:val="20"/>
              </w:rPr>
            </w:pPr>
          </w:p>
        </w:tc>
        <w:tc>
          <w:tcPr>
            <w:tcW w:w="941" w:type="pct"/>
            <w:shd w:val="clear" w:color="auto" w:fill="auto"/>
          </w:tcPr>
          <w:p w14:paraId="72979EED" w14:textId="77777777" w:rsidR="0002298B" w:rsidRPr="00B0658A" w:rsidRDefault="0002298B" w:rsidP="000A4114">
            <w:pPr>
              <w:spacing w:after="0" w:line="240" w:lineRule="auto"/>
              <w:jc w:val="both"/>
              <w:rPr>
                <w:rFonts w:ascii="Times New Roman" w:hAnsi="Times New Roman"/>
                <w:i/>
                <w:iCs/>
                <w:sz w:val="20"/>
                <w:szCs w:val="20"/>
              </w:rPr>
            </w:pPr>
          </w:p>
        </w:tc>
      </w:tr>
      <w:tr w:rsidR="00F52FED" w:rsidRPr="00B0658A" w14:paraId="62E6FA62" w14:textId="77777777" w:rsidTr="004F1366">
        <w:trPr>
          <w:trHeight w:val="170"/>
        </w:trPr>
        <w:tc>
          <w:tcPr>
            <w:tcW w:w="197" w:type="pct"/>
            <w:shd w:val="clear" w:color="auto" w:fill="auto"/>
            <w:vAlign w:val="center"/>
          </w:tcPr>
          <w:p w14:paraId="7A1E1C6C"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20"/>
                <w:szCs w:val="20"/>
                <w:lang w:val="en-US"/>
              </w:rPr>
              <w:t>..</w:t>
            </w:r>
          </w:p>
        </w:tc>
        <w:tc>
          <w:tcPr>
            <w:tcW w:w="1174" w:type="pct"/>
            <w:shd w:val="clear" w:color="auto" w:fill="auto"/>
            <w:vAlign w:val="center"/>
          </w:tcPr>
          <w:p w14:paraId="70355F1B" w14:textId="77777777" w:rsidR="0002298B" w:rsidRPr="00B0658A" w:rsidRDefault="0002298B" w:rsidP="000A4114">
            <w:pPr>
              <w:spacing w:after="0" w:line="240" w:lineRule="auto"/>
              <w:rPr>
                <w:rFonts w:ascii="Times New Roman" w:hAnsi="Times New Roman"/>
                <w:i/>
                <w:iCs/>
                <w:sz w:val="20"/>
                <w:szCs w:val="20"/>
              </w:rPr>
            </w:pPr>
          </w:p>
        </w:tc>
        <w:tc>
          <w:tcPr>
            <w:tcW w:w="508" w:type="pct"/>
          </w:tcPr>
          <w:p w14:paraId="4A8E8306" w14:textId="77777777" w:rsidR="0002298B" w:rsidRPr="00B0658A" w:rsidRDefault="0002298B" w:rsidP="000A4114">
            <w:pPr>
              <w:spacing w:after="0" w:line="240" w:lineRule="auto"/>
              <w:rPr>
                <w:rFonts w:ascii="Times New Roman" w:hAnsi="Times New Roman"/>
                <w:i/>
                <w:iCs/>
                <w:sz w:val="20"/>
                <w:szCs w:val="20"/>
              </w:rPr>
            </w:pPr>
          </w:p>
        </w:tc>
        <w:tc>
          <w:tcPr>
            <w:tcW w:w="1118" w:type="pct"/>
            <w:shd w:val="clear" w:color="auto" w:fill="auto"/>
          </w:tcPr>
          <w:p w14:paraId="58454C87" w14:textId="77777777" w:rsidR="0002298B" w:rsidRPr="00B0658A" w:rsidRDefault="0002298B" w:rsidP="000A4114">
            <w:pPr>
              <w:spacing w:after="0" w:line="240" w:lineRule="auto"/>
              <w:rPr>
                <w:rFonts w:ascii="Times New Roman" w:hAnsi="Times New Roman"/>
                <w:i/>
                <w:iCs/>
                <w:sz w:val="20"/>
                <w:szCs w:val="20"/>
              </w:rPr>
            </w:pPr>
          </w:p>
        </w:tc>
        <w:tc>
          <w:tcPr>
            <w:tcW w:w="1062" w:type="pct"/>
            <w:shd w:val="clear" w:color="auto" w:fill="auto"/>
          </w:tcPr>
          <w:p w14:paraId="7595BE97" w14:textId="77777777" w:rsidR="0002298B" w:rsidRPr="00B0658A" w:rsidRDefault="0002298B" w:rsidP="000A4114">
            <w:pPr>
              <w:spacing w:after="0" w:line="240" w:lineRule="auto"/>
              <w:rPr>
                <w:rFonts w:ascii="Times New Roman" w:hAnsi="Times New Roman"/>
                <w:i/>
                <w:iCs/>
                <w:sz w:val="20"/>
                <w:szCs w:val="20"/>
              </w:rPr>
            </w:pPr>
          </w:p>
        </w:tc>
        <w:tc>
          <w:tcPr>
            <w:tcW w:w="941" w:type="pct"/>
            <w:shd w:val="clear" w:color="auto" w:fill="auto"/>
          </w:tcPr>
          <w:p w14:paraId="0CBDA81C" w14:textId="77777777" w:rsidR="0002298B" w:rsidRPr="00B0658A" w:rsidRDefault="0002298B" w:rsidP="000A4114">
            <w:pPr>
              <w:spacing w:after="0" w:line="240" w:lineRule="auto"/>
              <w:jc w:val="both"/>
              <w:rPr>
                <w:rFonts w:ascii="Times New Roman" w:hAnsi="Times New Roman"/>
                <w:i/>
                <w:iCs/>
                <w:sz w:val="20"/>
                <w:szCs w:val="20"/>
              </w:rPr>
            </w:pPr>
          </w:p>
        </w:tc>
      </w:tr>
      <w:tr w:rsidR="0002298B" w:rsidRPr="00B0658A" w14:paraId="7BA0BAF3" w14:textId="77777777" w:rsidTr="004F1366">
        <w:trPr>
          <w:trHeight w:val="170"/>
        </w:trPr>
        <w:tc>
          <w:tcPr>
            <w:tcW w:w="197" w:type="pct"/>
            <w:shd w:val="clear" w:color="auto" w:fill="auto"/>
            <w:vAlign w:val="center"/>
          </w:tcPr>
          <w:p w14:paraId="522074FE" w14:textId="77777777" w:rsidR="0002298B" w:rsidRPr="00B0658A" w:rsidRDefault="0002298B" w:rsidP="000A4114">
            <w:pPr>
              <w:spacing w:after="0" w:line="240" w:lineRule="auto"/>
              <w:rPr>
                <w:rFonts w:ascii="Times New Roman" w:hAnsi="Times New Roman"/>
                <w:sz w:val="20"/>
                <w:szCs w:val="20"/>
              </w:rPr>
            </w:pPr>
            <w:r w:rsidRPr="00B0658A">
              <w:rPr>
                <w:rFonts w:ascii="Times New Roman" w:hAnsi="Times New Roman"/>
                <w:sz w:val="20"/>
                <w:szCs w:val="20"/>
              </w:rPr>
              <w:t>N.</w:t>
            </w:r>
            <w:r w:rsidRPr="00B0658A">
              <w:rPr>
                <w:rFonts w:ascii="Times New Roman" w:hAnsi="Times New Roman"/>
                <w:sz w:val="20"/>
                <w:szCs w:val="20"/>
                <w:lang w:val="en-US"/>
              </w:rPr>
              <w:t>n</w:t>
            </w:r>
          </w:p>
        </w:tc>
        <w:tc>
          <w:tcPr>
            <w:tcW w:w="1174" w:type="pct"/>
            <w:shd w:val="clear" w:color="auto" w:fill="auto"/>
            <w:vAlign w:val="center"/>
          </w:tcPr>
          <w:p w14:paraId="4235039F" w14:textId="77777777" w:rsidR="0002298B" w:rsidRPr="00B0658A" w:rsidRDefault="0002298B" w:rsidP="000A4114">
            <w:pPr>
              <w:spacing w:after="0" w:line="240" w:lineRule="auto"/>
              <w:rPr>
                <w:rFonts w:ascii="Times New Roman" w:hAnsi="Times New Roman"/>
                <w:i/>
                <w:iCs/>
                <w:sz w:val="20"/>
                <w:szCs w:val="20"/>
              </w:rPr>
            </w:pPr>
            <w:r w:rsidRPr="00B0658A">
              <w:rPr>
                <w:rFonts w:ascii="Times New Roman" w:hAnsi="Times New Roman"/>
                <w:i/>
                <w:sz w:val="20"/>
                <w:szCs w:val="20"/>
              </w:rPr>
              <w:t xml:space="preserve">Указывается класс (тип) № </w:t>
            </w:r>
            <w:r w:rsidRPr="00B0658A">
              <w:rPr>
                <w:rFonts w:ascii="Times New Roman" w:hAnsi="Times New Roman"/>
                <w:i/>
                <w:sz w:val="20"/>
                <w:szCs w:val="20"/>
                <w:lang w:val="en-US"/>
              </w:rPr>
              <w:t>n</w:t>
            </w:r>
            <w:r w:rsidRPr="00B0658A">
              <w:rPr>
                <w:rFonts w:ascii="Times New Roman" w:hAnsi="Times New Roman"/>
                <w:i/>
                <w:sz w:val="20"/>
                <w:szCs w:val="20"/>
              </w:rPr>
              <w:t xml:space="preserve"> ПО, используемого на значимом объекте КИИ №</w:t>
            </w:r>
            <w:r w:rsidRPr="00B0658A">
              <w:rPr>
                <w:rFonts w:ascii="Times New Roman" w:hAnsi="Times New Roman"/>
                <w:i/>
                <w:sz w:val="20"/>
                <w:szCs w:val="20"/>
                <w:lang w:val="en-US"/>
              </w:rPr>
              <w:t>N</w:t>
            </w:r>
            <w:r w:rsidRPr="00B0658A">
              <w:rPr>
                <w:rFonts w:ascii="Times New Roman" w:hAnsi="Times New Roman"/>
                <w:i/>
                <w:sz w:val="20"/>
                <w:szCs w:val="20"/>
              </w:rPr>
              <w:t xml:space="preserve"> в соответствии с утвержденным детализированным </w:t>
            </w:r>
            <w:r w:rsidRPr="00B0658A">
              <w:rPr>
                <w:rFonts w:ascii="Times New Roman" w:hAnsi="Times New Roman"/>
                <w:i/>
                <w:iCs/>
                <w:sz w:val="20"/>
                <w:szCs w:val="20"/>
              </w:rPr>
              <w:t xml:space="preserve">планом перехода </w:t>
            </w:r>
            <w:r w:rsidR="007D4767" w:rsidRPr="00B0658A">
              <w:rPr>
                <w:rFonts w:ascii="Times New Roman" w:hAnsi="Times New Roman"/>
                <w:i/>
                <w:iCs/>
                <w:sz w:val="20"/>
                <w:szCs w:val="20"/>
              </w:rPr>
              <w:t xml:space="preserve">заказчика 44-ФЗ или заказчика 223-ФЗ </w:t>
            </w:r>
            <w:r w:rsidRPr="00B0658A">
              <w:rPr>
                <w:rFonts w:ascii="Times New Roman" w:hAnsi="Times New Roman"/>
                <w:i/>
                <w:iCs/>
                <w:sz w:val="20"/>
                <w:szCs w:val="20"/>
              </w:rPr>
              <w:t>на использование российского ПО на значимых объектах КИИ</w:t>
            </w:r>
          </w:p>
        </w:tc>
        <w:tc>
          <w:tcPr>
            <w:tcW w:w="508" w:type="pct"/>
          </w:tcPr>
          <w:p w14:paraId="06D8D251" w14:textId="77777777" w:rsidR="0002298B" w:rsidRPr="00B0658A" w:rsidRDefault="0002298B" w:rsidP="000A4114">
            <w:pPr>
              <w:spacing w:after="0" w:line="240" w:lineRule="auto"/>
              <w:rPr>
                <w:rFonts w:ascii="Times New Roman" w:hAnsi="Times New Roman"/>
                <w:i/>
                <w:iCs/>
                <w:sz w:val="20"/>
                <w:szCs w:val="20"/>
              </w:rPr>
            </w:pPr>
          </w:p>
        </w:tc>
        <w:tc>
          <w:tcPr>
            <w:tcW w:w="1118" w:type="pct"/>
            <w:shd w:val="clear" w:color="auto" w:fill="auto"/>
          </w:tcPr>
          <w:p w14:paraId="470921F3" w14:textId="77777777" w:rsidR="0002298B" w:rsidRPr="00B0658A" w:rsidRDefault="0002298B" w:rsidP="000A4114">
            <w:pPr>
              <w:spacing w:after="0" w:line="240" w:lineRule="auto"/>
              <w:rPr>
                <w:rFonts w:ascii="Times New Roman" w:hAnsi="Times New Roman"/>
                <w:i/>
                <w:iCs/>
                <w:sz w:val="20"/>
                <w:szCs w:val="20"/>
              </w:rPr>
            </w:pPr>
          </w:p>
        </w:tc>
        <w:tc>
          <w:tcPr>
            <w:tcW w:w="1062" w:type="pct"/>
            <w:shd w:val="clear" w:color="auto" w:fill="auto"/>
          </w:tcPr>
          <w:p w14:paraId="44684DC8" w14:textId="77777777" w:rsidR="0002298B" w:rsidRPr="00B0658A" w:rsidRDefault="0002298B" w:rsidP="000A4114">
            <w:pPr>
              <w:spacing w:after="0" w:line="240" w:lineRule="auto"/>
              <w:rPr>
                <w:rFonts w:ascii="Times New Roman" w:hAnsi="Times New Roman"/>
                <w:i/>
                <w:iCs/>
                <w:sz w:val="20"/>
                <w:szCs w:val="20"/>
              </w:rPr>
            </w:pPr>
          </w:p>
        </w:tc>
        <w:tc>
          <w:tcPr>
            <w:tcW w:w="941" w:type="pct"/>
            <w:shd w:val="clear" w:color="auto" w:fill="auto"/>
          </w:tcPr>
          <w:p w14:paraId="707CB7B6" w14:textId="77777777" w:rsidR="0002298B" w:rsidRPr="00B0658A" w:rsidRDefault="0002298B" w:rsidP="000A4114">
            <w:pPr>
              <w:spacing w:after="0" w:line="240" w:lineRule="auto"/>
              <w:jc w:val="both"/>
              <w:rPr>
                <w:rFonts w:ascii="Times New Roman" w:hAnsi="Times New Roman"/>
                <w:i/>
                <w:iCs/>
                <w:sz w:val="20"/>
                <w:szCs w:val="20"/>
              </w:rPr>
            </w:pPr>
          </w:p>
        </w:tc>
      </w:tr>
    </w:tbl>
    <w:p w14:paraId="6030E39A" w14:textId="77777777" w:rsidR="0002298B" w:rsidRPr="00B0658A" w:rsidRDefault="0002298B" w:rsidP="0002298B">
      <w:pPr>
        <w:spacing w:line="240" w:lineRule="auto"/>
        <w:ind w:firstLine="709"/>
        <w:jc w:val="both"/>
        <w:rPr>
          <w:rFonts w:ascii="Times New Roman" w:hAnsi="Times New Roman"/>
        </w:rPr>
      </w:pPr>
    </w:p>
    <w:bookmarkEnd w:id="56"/>
    <w:p w14:paraId="4E98775E" w14:textId="77777777" w:rsidR="00705AA2" w:rsidRPr="00B0658A" w:rsidRDefault="00705AA2">
      <w:pPr>
        <w:spacing w:after="0" w:line="240" w:lineRule="auto"/>
        <w:rPr>
          <w:rFonts w:ascii="Times New Roman" w:hAnsi="Times New Roman"/>
        </w:rPr>
      </w:pPr>
      <w:r w:rsidRPr="00B0658A">
        <w:rPr>
          <w:rFonts w:ascii="Times New Roman" w:hAnsi="Times New Roman"/>
        </w:rPr>
        <w:br w:type="page"/>
      </w:r>
    </w:p>
    <w:p w14:paraId="4A28249E" w14:textId="443D573C" w:rsidR="008319FB" w:rsidRPr="00B0658A" w:rsidRDefault="008319FB" w:rsidP="008319FB">
      <w:pPr>
        <w:pStyle w:val="11"/>
        <w:spacing w:before="120" w:after="0" w:line="240" w:lineRule="auto"/>
        <w:jc w:val="right"/>
        <w:rPr>
          <w:rFonts w:cs="Times New Roman"/>
          <w:szCs w:val="28"/>
        </w:rPr>
      </w:pPr>
      <w:bookmarkStart w:id="57" w:name="_Toc116632283"/>
      <w:r w:rsidRPr="00B0658A">
        <w:rPr>
          <w:rFonts w:cs="Times New Roman"/>
          <w:szCs w:val="28"/>
        </w:rPr>
        <w:t>Приложение № 17</w:t>
      </w:r>
      <w:r w:rsidRPr="00B0658A">
        <w:rPr>
          <w:rFonts w:cs="Times New Roman"/>
          <w:szCs w:val="28"/>
        </w:rPr>
        <w:br/>
        <w:t xml:space="preserve">Рекомендованная форма </w:t>
      </w:r>
      <w:r w:rsidRPr="00B0658A">
        <w:rPr>
          <w:rFonts w:cs="Times New Roman"/>
        </w:rPr>
        <w:t xml:space="preserve">детализированного плана перехода организаций, </w:t>
      </w:r>
      <w:r w:rsidRPr="00B0658A">
        <w:rPr>
          <w:rFonts w:cs="Times New Roman"/>
          <w:szCs w:val="28"/>
        </w:rPr>
        <w:t>являющихся в соответствии с законодательством Российской Федерации субъектами КИИ и которым принадлежат значимые объекты КИИ, не являющихся при этом организациями, подведомственными органам государственной власти и государственным внебюджетным фондам, организациями, включенными в специальный перечень №</w:t>
      </w:r>
      <w:r w:rsidR="00184FA1">
        <w:rPr>
          <w:rFonts w:cs="Times New Roman"/>
          <w:szCs w:val="28"/>
        </w:rPr>
        <w:t xml:space="preserve"> </w:t>
      </w:r>
      <w:r w:rsidRPr="00B0658A">
        <w:rPr>
          <w:rFonts w:cs="Times New Roman"/>
          <w:szCs w:val="28"/>
        </w:rPr>
        <w:t xml:space="preserve">91-р и в отношении которых приняты решения о разработке стратегии (программы) цифровой трансформации (протокол заочного голосования членов президиума Правительственной комиссии по цифровому развитию, использованию информационных технологий для улучшения качества жизни и условий ведения предпринимательской деятельности от 31 августа 2022 г. №34),  а также заказчиками 44-ФЗ и (или) заказчиками 223-ФЗ, </w:t>
      </w:r>
      <w:r w:rsidRPr="00B0658A">
        <w:rPr>
          <w:rFonts w:cs="Times New Roman"/>
        </w:rPr>
        <w:t>на принадлежащих им значимых объектах КИИ</w:t>
      </w:r>
      <w:r w:rsidR="00705AA2" w:rsidRPr="00B0658A">
        <w:rPr>
          <w:rFonts w:cs="Times New Roman"/>
        </w:rPr>
        <w:t xml:space="preserve"> (</w:t>
      </w:r>
      <w:r w:rsidR="00705AA2" w:rsidRPr="00B0658A">
        <w:rPr>
          <w:rFonts w:cs="Times New Roman"/>
          <w:szCs w:val="28"/>
        </w:rPr>
        <w:t>иные организации)</w:t>
      </w:r>
      <w:bookmarkEnd w:id="57"/>
    </w:p>
    <w:p w14:paraId="0111A894" w14:textId="77777777" w:rsidR="008319FB" w:rsidRPr="00B0658A" w:rsidRDefault="008319FB" w:rsidP="008319FB">
      <w:pPr>
        <w:spacing w:before="120" w:after="0" w:line="240" w:lineRule="auto"/>
        <w:rPr>
          <w:rFonts w:ascii="Times New Roman" w:hAnsi="Times New Roman"/>
          <w:sz w:val="28"/>
          <w:szCs w:val="24"/>
          <w:highlight w:val="yellow"/>
        </w:rPr>
      </w:pPr>
    </w:p>
    <w:p w14:paraId="1D7CEDD0" w14:textId="77777777" w:rsidR="00705AA2" w:rsidRPr="00B0658A" w:rsidRDefault="00705AA2" w:rsidP="00705AA2">
      <w:pPr>
        <w:pStyle w:val="ConsPlusNormal"/>
        <w:spacing w:before="120"/>
        <w:jc w:val="center"/>
        <w:rPr>
          <w:sz w:val="32"/>
        </w:rPr>
      </w:pPr>
      <w:r w:rsidRPr="00B0658A">
        <w:rPr>
          <w:sz w:val="32"/>
        </w:rPr>
        <w:t xml:space="preserve">Детализированный план перехода ______________ (полное наименование </w:t>
      </w:r>
      <w:r w:rsidR="00FD6449" w:rsidRPr="00B0658A">
        <w:rPr>
          <w:sz w:val="32"/>
          <w:szCs w:val="28"/>
        </w:rPr>
        <w:t>иной</w:t>
      </w:r>
      <w:r w:rsidRPr="00B0658A">
        <w:rPr>
          <w:sz w:val="32"/>
          <w:szCs w:val="28"/>
        </w:rPr>
        <w:t xml:space="preserve"> организации) на использование российского </w:t>
      </w:r>
      <w:r w:rsidRPr="00B0658A">
        <w:rPr>
          <w:sz w:val="32"/>
        </w:rPr>
        <w:t xml:space="preserve">ПО на принадлежащих </w:t>
      </w:r>
      <w:r w:rsidR="00FD6449" w:rsidRPr="00B0658A">
        <w:rPr>
          <w:sz w:val="32"/>
          <w:szCs w:val="28"/>
        </w:rPr>
        <w:t>иной организации</w:t>
      </w:r>
      <w:r w:rsidR="00FD6449" w:rsidRPr="00B0658A">
        <w:rPr>
          <w:sz w:val="32"/>
        </w:rPr>
        <w:t xml:space="preserve"> </w:t>
      </w:r>
      <w:r w:rsidRPr="00B0658A">
        <w:rPr>
          <w:sz w:val="32"/>
        </w:rPr>
        <w:t>значимых объектах КИИ</w:t>
      </w:r>
      <w:r w:rsidRPr="00B0658A">
        <w:rPr>
          <w:sz w:val="32"/>
          <w:szCs w:val="28"/>
        </w:rPr>
        <w:t xml:space="preserve"> </w:t>
      </w:r>
      <w:r w:rsidRPr="00B0658A">
        <w:rPr>
          <w:sz w:val="32"/>
        </w:rPr>
        <w:t>на период 2022-2024 годы</w:t>
      </w:r>
    </w:p>
    <w:p w14:paraId="5CBC194E" w14:textId="77777777" w:rsidR="00705AA2" w:rsidRPr="00B0658A" w:rsidRDefault="00705AA2" w:rsidP="00705AA2">
      <w:pPr>
        <w:pStyle w:val="ConsPlusNormal"/>
        <w:spacing w:before="120"/>
        <w:jc w:val="center"/>
        <w:rPr>
          <w:sz w:val="32"/>
        </w:rPr>
      </w:pPr>
    </w:p>
    <w:p w14:paraId="3723BB63" w14:textId="77777777" w:rsidR="00705AA2" w:rsidRPr="00B0658A" w:rsidRDefault="00705AA2" w:rsidP="00705AA2">
      <w:pPr>
        <w:pStyle w:val="ConsPlusNormal"/>
        <w:spacing w:before="120"/>
        <w:jc w:val="both"/>
      </w:pPr>
      <w:r w:rsidRPr="00B0658A">
        <w:rPr>
          <w:sz w:val="28"/>
        </w:rPr>
        <w:t xml:space="preserve">Раздел 1. «План-график мероприятий перехода </w:t>
      </w:r>
      <w:r w:rsidRPr="00B0658A">
        <w:rPr>
          <w:sz w:val="28"/>
          <w:szCs w:val="28"/>
        </w:rPr>
        <w:t xml:space="preserve">на использование российского ПО на принадлежащих _______ (полное наименование </w:t>
      </w:r>
      <w:r w:rsidR="00FD6449" w:rsidRPr="00B0658A">
        <w:rPr>
          <w:sz w:val="28"/>
          <w:szCs w:val="28"/>
        </w:rPr>
        <w:t>иной организации</w:t>
      </w:r>
      <w:r w:rsidRPr="00B0658A">
        <w:rPr>
          <w:sz w:val="28"/>
          <w:szCs w:val="28"/>
        </w:rPr>
        <w:t>) значимых объектах КИИ</w:t>
      </w:r>
      <w:r w:rsidRPr="00B0658A">
        <w:rPr>
          <w:sz w:val="28"/>
        </w:rPr>
        <w:t>»</w:t>
      </w:r>
    </w:p>
    <w:tbl>
      <w:tblPr>
        <w:tblW w:w="5000" w:type="pct"/>
        <w:tblCellMar>
          <w:top w:w="28" w:type="dxa"/>
          <w:left w:w="62" w:type="dxa"/>
          <w:bottom w:w="28" w:type="dxa"/>
          <w:right w:w="62" w:type="dxa"/>
        </w:tblCellMar>
        <w:tblLook w:val="0000" w:firstRow="0" w:lastRow="0" w:firstColumn="0" w:lastColumn="0" w:noHBand="0" w:noVBand="0"/>
      </w:tblPr>
      <w:tblGrid>
        <w:gridCol w:w="568"/>
        <w:gridCol w:w="2312"/>
        <w:gridCol w:w="3160"/>
        <w:gridCol w:w="3313"/>
        <w:gridCol w:w="1735"/>
        <w:gridCol w:w="2856"/>
      </w:tblGrid>
      <w:tr w:rsidR="00F52FED" w:rsidRPr="00B0658A" w14:paraId="73AC3BB7" w14:textId="77777777" w:rsidTr="00F57B1F">
        <w:trPr>
          <w:trHeight w:val="20"/>
          <w:tblHeader/>
        </w:trPr>
        <w:tc>
          <w:tcPr>
            <w:tcW w:w="204" w:type="pct"/>
            <w:tcBorders>
              <w:top w:val="single" w:sz="4" w:space="0" w:color="auto"/>
              <w:left w:val="single" w:sz="4" w:space="0" w:color="auto"/>
              <w:bottom w:val="single" w:sz="4" w:space="0" w:color="auto"/>
              <w:right w:val="single" w:sz="4" w:space="0" w:color="auto"/>
            </w:tcBorders>
            <w:shd w:val="clear" w:color="auto" w:fill="E7E6E6" w:themeFill="background2"/>
          </w:tcPr>
          <w:p w14:paraId="70D8924A" w14:textId="77777777" w:rsidR="00705AA2" w:rsidRPr="00B0658A" w:rsidRDefault="00705AA2" w:rsidP="000A4114">
            <w:pPr>
              <w:pStyle w:val="ConsPlusNormal"/>
              <w:jc w:val="center"/>
            </w:pPr>
            <w:r w:rsidRPr="00B0658A">
              <w:t>N п.п.</w:t>
            </w:r>
          </w:p>
        </w:tc>
        <w:tc>
          <w:tcPr>
            <w:tcW w:w="829" w:type="pct"/>
            <w:tcBorders>
              <w:top w:val="single" w:sz="4" w:space="0" w:color="auto"/>
              <w:left w:val="single" w:sz="4" w:space="0" w:color="auto"/>
              <w:bottom w:val="single" w:sz="4" w:space="0" w:color="auto"/>
              <w:right w:val="single" w:sz="4" w:space="0" w:color="auto"/>
            </w:tcBorders>
            <w:shd w:val="clear" w:color="auto" w:fill="E7E6E6" w:themeFill="background2"/>
          </w:tcPr>
          <w:p w14:paraId="3F710C1B" w14:textId="77777777" w:rsidR="00705AA2" w:rsidRPr="00B0658A" w:rsidRDefault="00705AA2" w:rsidP="000A4114">
            <w:pPr>
              <w:pStyle w:val="ConsPlusNormal"/>
              <w:jc w:val="center"/>
            </w:pPr>
            <w:r w:rsidRPr="00B0658A">
              <w:t>Наименование мероприятия</w:t>
            </w:r>
          </w:p>
        </w:tc>
        <w:tc>
          <w:tcPr>
            <w:tcW w:w="1133" w:type="pct"/>
            <w:tcBorders>
              <w:top w:val="single" w:sz="4" w:space="0" w:color="auto"/>
              <w:left w:val="single" w:sz="4" w:space="0" w:color="auto"/>
              <w:bottom w:val="single" w:sz="4" w:space="0" w:color="auto"/>
              <w:right w:val="single" w:sz="4" w:space="0" w:color="auto"/>
            </w:tcBorders>
            <w:shd w:val="clear" w:color="auto" w:fill="E7E6E6" w:themeFill="background2"/>
          </w:tcPr>
          <w:p w14:paraId="6EEA3EF3" w14:textId="77777777" w:rsidR="00705AA2" w:rsidRPr="00B0658A" w:rsidRDefault="00705AA2" w:rsidP="000A4114">
            <w:pPr>
              <w:pStyle w:val="ConsPlusNormal"/>
              <w:jc w:val="center"/>
            </w:pPr>
            <w:r w:rsidRPr="00B0658A">
              <w:t>Краткое описание состава и содержания запланированного мероприятия</w:t>
            </w:r>
          </w:p>
        </w:tc>
        <w:tc>
          <w:tcPr>
            <w:tcW w:w="1188" w:type="pct"/>
            <w:tcBorders>
              <w:top w:val="single" w:sz="4" w:space="0" w:color="auto"/>
              <w:left w:val="single" w:sz="4" w:space="0" w:color="auto"/>
              <w:bottom w:val="single" w:sz="4" w:space="0" w:color="auto"/>
              <w:right w:val="single" w:sz="4" w:space="0" w:color="auto"/>
            </w:tcBorders>
            <w:shd w:val="clear" w:color="auto" w:fill="E7E6E6" w:themeFill="background2"/>
          </w:tcPr>
          <w:p w14:paraId="2B7DD3A2" w14:textId="77777777" w:rsidR="00705AA2" w:rsidRPr="00B0658A" w:rsidRDefault="00705AA2" w:rsidP="000A4114">
            <w:pPr>
              <w:pStyle w:val="ConsPlusNormal"/>
              <w:jc w:val="center"/>
            </w:pPr>
            <w:r w:rsidRPr="00B0658A">
              <w:t>Наименование ответственного исполнителя/ ответственного структурного подразделения</w:t>
            </w:r>
          </w:p>
        </w:tc>
        <w:tc>
          <w:tcPr>
            <w:tcW w:w="622" w:type="pct"/>
            <w:tcBorders>
              <w:top w:val="single" w:sz="4" w:space="0" w:color="auto"/>
              <w:left w:val="single" w:sz="4" w:space="0" w:color="auto"/>
              <w:bottom w:val="single" w:sz="4" w:space="0" w:color="auto"/>
              <w:right w:val="single" w:sz="4" w:space="0" w:color="auto"/>
            </w:tcBorders>
            <w:shd w:val="clear" w:color="auto" w:fill="E7E6E6" w:themeFill="background2"/>
          </w:tcPr>
          <w:p w14:paraId="152CC24C" w14:textId="77777777" w:rsidR="00705AA2" w:rsidRPr="00B0658A" w:rsidRDefault="00705AA2" w:rsidP="000A4114">
            <w:pPr>
              <w:pStyle w:val="ConsPlusNormal"/>
              <w:jc w:val="center"/>
            </w:pPr>
            <w:r w:rsidRPr="00B0658A">
              <w:t>Срок /периодичность выполнения</w:t>
            </w:r>
          </w:p>
        </w:tc>
        <w:tc>
          <w:tcPr>
            <w:tcW w:w="1024" w:type="pct"/>
            <w:tcBorders>
              <w:top w:val="single" w:sz="4" w:space="0" w:color="auto"/>
              <w:left w:val="single" w:sz="4" w:space="0" w:color="auto"/>
              <w:bottom w:val="single" w:sz="4" w:space="0" w:color="auto"/>
              <w:right w:val="single" w:sz="4" w:space="0" w:color="auto"/>
            </w:tcBorders>
            <w:shd w:val="clear" w:color="auto" w:fill="E7E6E6" w:themeFill="background2"/>
          </w:tcPr>
          <w:p w14:paraId="7126AC48" w14:textId="77777777" w:rsidR="00705AA2" w:rsidRPr="00B0658A" w:rsidRDefault="00705AA2" w:rsidP="000A4114">
            <w:pPr>
              <w:pStyle w:val="ConsPlusNormal"/>
              <w:jc w:val="center"/>
            </w:pPr>
            <w:r w:rsidRPr="00B0658A">
              <w:t>Ожидаемый результат</w:t>
            </w:r>
          </w:p>
        </w:tc>
      </w:tr>
      <w:tr w:rsidR="00F52FED" w:rsidRPr="00B0658A" w14:paraId="77A1DA94" w14:textId="77777777" w:rsidTr="004F1366">
        <w:trPr>
          <w:trHeight w:val="20"/>
        </w:trPr>
        <w:tc>
          <w:tcPr>
            <w:tcW w:w="5000" w:type="pct"/>
            <w:gridSpan w:val="6"/>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17BDB89" w14:textId="77777777" w:rsidR="00705AA2" w:rsidRPr="00B0658A" w:rsidRDefault="00705AA2" w:rsidP="000A4114">
            <w:pPr>
              <w:pStyle w:val="ConsPlusNormal"/>
            </w:pPr>
            <w:r w:rsidRPr="00B0658A">
              <w:t>1. Мероприятия в отношении ________ (наименование значимого объекта КИИ №1)</w:t>
            </w:r>
          </w:p>
        </w:tc>
      </w:tr>
      <w:tr w:rsidR="00F52FED" w:rsidRPr="00B0658A" w14:paraId="397876D0" w14:textId="77777777" w:rsidTr="004F1366">
        <w:trPr>
          <w:trHeight w:val="20"/>
        </w:trPr>
        <w:tc>
          <w:tcPr>
            <w:tcW w:w="204" w:type="pct"/>
            <w:tcBorders>
              <w:top w:val="single" w:sz="4" w:space="0" w:color="auto"/>
              <w:left w:val="single" w:sz="4" w:space="0" w:color="auto"/>
              <w:bottom w:val="single" w:sz="4" w:space="0" w:color="auto"/>
              <w:right w:val="single" w:sz="4" w:space="0" w:color="auto"/>
            </w:tcBorders>
          </w:tcPr>
          <w:p w14:paraId="174B485E" w14:textId="77777777" w:rsidR="00705AA2" w:rsidRPr="00B0658A" w:rsidRDefault="00705AA2" w:rsidP="000A4114">
            <w:pPr>
              <w:pStyle w:val="ConsPlusNormal"/>
            </w:pPr>
            <w:r w:rsidRPr="00B0658A">
              <w:t>1.1</w:t>
            </w:r>
          </w:p>
        </w:tc>
        <w:tc>
          <w:tcPr>
            <w:tcW w:w="829" w:type="pct"/>
            <w:tcBorders>
              <w:top w:val="single" w:sz="4" w:space="0" w:color="auto"/>
              <w:left w:val="single" w:sz="4" w:space="0" w:color="auto"/>
              <w:bottom w:val="single" w:sz="4" w:space="0" w:color="auto"/>
              <w:right w:val="single" w:sz="4" w:space="0" w:color="auto"/>
            </w:tcBorders>
          </w:tcPr>
          <w:p w14:paraId="3E240781" w14:textId="77777777" w:rsidR="00705AA2" w:rsidRPr="00B0658A" w:rsidRDefault="00705AA2" w:rsidP="000A4114">
            <w:pPr>
              <w:pStyle w:val="ConsPlusNormal"/>
            </w:pPr>
          </w:p>
        </w:tc>
        <w:tc>
          <w:tcPr>
            <w:tcW w:w="1133" w:type="pct"/>
            <w:tcBorders>
              <w:top w:val="single" w:sz="4" w:space="0" w:color="auto"/>
              <w:left w:val="single" w:sz="4" w:space="0" w:color="auto"/>
              <w:bottom w:val="single" w:sz="4" w:space="0" w:color="auto"/>
              <w:right w:val="single" w:sz="4" w:space="0" w:color="auto"/>
            </w:tcBorders>
          </w:tcPr>
          <w:p w14:paraId="0740B30A" w14:textId="77777777" w:rsidR="00705AA2" w:rsidRPr="00B0658A" w:rsidRDefault="00705AA2" w:rsidP="000A4114">
            <w:pPr>
              <w:pStyle w:val="ConsPlusNormal"/>
            </w:pPr>
          </w:p>
        </w:tc>
        <w:tc>
          <w:tcPr>
            <w:tcW w:w="1188" w:type="pct"/>
            <w:tcBorders>
              <w:top w:val="single" w:sz="4" w:space="0" w:color="auto"/>
              <w:left w:val="single" w:sz="4" w:space="0" w:color="auto"/>
              <w:bottom w:val="single" w:sz="4" w:space="0" w:color="auto"/>
              <w:right w:val="single" w:sz="4" w:space="0" w:color="auto"/>
            </w:tcBorders>
          </w:tcPr>
          <w:p w14:paraId="58212B92" w14:textId="77777777" w:rsidR="00705AA2" w:rsidRPr="00B0658A" w:rsidRDefault="00705AA2" w:rsidP="000A4114">
            <w:pPr>
              <w:pStyle w:val="ConsPlusNormal"/>
            </w:pPr>
          </w:p>
        </w:tc>
        <w:tc>
          <w:tcPr>
            <w:tcW w:w="622" w:type="pct"/>
            <w:tcBorders>
              <w:top w:val="single" w:sz="4" w:space="0" w:color="auto"/>
              <w:left w:val="single" w:sz="4" w:space="0" w:color="auto"/>
              <w:bottom w:val="single" w:sz="4" w:space="0" w:color="auto"/>
              <w:right w:val="single" w:sz="4" w:space="0" w:color="auto"/>
            </w:tcBorders>
          </w:tcPr>
          <w:p w14:paraId="0B916EF0" w14:textId="77777777" w:rsidR="00705AA2" w:rsidRPr="00B0658A" w:rsidRDefault="00705AA2" w:rsidP="000A4114">
            <w:pPr>
              <w:pStyle w:val="ConsPlusNormal"/>
            </w:pPr>
          </w:p>
        </w:tc>
        <w:tc>
          <w:tcPr>
            <w:tcW w:w="1024" w:type="pct"/>
            <w:tcBorders>
              <w:top w:val="single" w:sz="4" w:space="0" w:color="auto"/>
              <w:left w:val="single" w:sz="4" w:space="0" w:color="auto"/>
              <w:bottom w:val="single" w:sz="4" w:space="0" w:color="auto"/>
              <w:right w:val="single" w:sz="4" w:space="0" w:color="auto"/>
            </w:tcBorders>
          </w:tcPr>
          <w:p w14:paraId="65599A11" w14:textId="77777777" w:rsidR="00705AA2" w:rsidRPr="00B0658A" w:rsidRDefault="00705AA2" w:rsidP="000A4114">
            <w:pPr>
              <w:pStyle w:val="ConsPlusNormal"/>
            </w:pPr>
          </w:p>
        </w:tc>
      </w:tr>
      <w:tr w:rsidR="00F52FED" w:rsidRPr="00B0658A" w14:paraId="5DE0CD15" w14:textId="77777777" w:rsidTr="004F1366">
        <w:trPr>
          <w:trHeight w:val="20"/>
        </w:trPr>
        <w:tc>
          <w:tcPr>
            <w:tcW w:w="204" w:type="pct"/>
            <w:tcBorders>
              <w:top w:val="single" w:sz="4" w:space="0" w:color="auto"/>
              <w:left w:val="single" w:sz="4" w:space="0" w:color="auto"/>
              <w:bottom w:val="single" w:sz="4" w:space="0" w:color="auto"/>
              <w:right w:val="single" w:sz="4" w:space="0" w:color="auto"/>
            </w:tcBorders>
          </w:tcPr>
          <w:p w14:paraId="5D72CDF8" w14:textId="77777777" w:rsidR="00705AA2" w:rsidRPr="00B0658A" w:rsidRDefault="00705AA2" w:rsidP="000A4114">
            <w:pPr>
              <w:pStyle w:val="ConsPlusNormal"/>
            </w:pPr>
            <w:r w:rsidRPr="00B0658A">
              <w:t>1.2</w:t>
            </w:r>
          </w:p>
        </w:tc>
        <w:tc>
          <w:tcPr>
            <w:tcW w:w="829" w:type="pct"/>
            <w:tcBorders>
              <w:top w:val="single" w:sz="4" w:space="0" w:color="auto"/>
              <w:left w:val="single" w:sz="4" w:space="0" w:color="auto"/>
              <w:bottom w:val="single" w:sz="4" w:space="0" w:color="auto"/>
              <w:right w:val="single" w:sz="4" w:space="0" w:color="auto"/>
            </w:tcBorders>
          </w:tcPr>
          <w:p w14:paraId="18549D14" w14:textId="77777777" w:rsidR="00705AA2" w:rsidRPr="00B0658A" w:rsidRDefault="00705AA2" w:rsidP="000A4114">
            <w:pPr>
              <w:pStyle w:val="ConsPlusNormal"/>
            </w:pPr>
          </w:p>
        </w:tc>
        <w:tc>
          <w:tcPr>
            <w:tcW w:w="1133" w:type="pct"/>
            <w:tcBorders>
              <w:top w:val="single" w:sz="4" w:space="0" w:color="auto"/>
              <w:left w:val="single" w:sz="4" w:space="0" w:color="auto"/>
              <w:bottom w:val="single" w:sz="4" w:space="0" w:color="auto"/>
              <w:right w:val="single" w:sz="4" w:space="0" w:color="auto"/>
            </w:tcBorders>
          </w:tcPr>
          <w:p w14:paraId="011AD705" w14:textId="77777777" w:rsidR="00705AA2" w:rsidRPr="00B0658A" w:rsidRDefault="00705AA2" w:rsidP="000A4114">
            <w:pPr>
              <w:pStyle w:val="ConsPlusNormal"/>
            </w:pPr>
          </w:p>
        </w:tc>
        <w:tc>
          <w:tcPr>
            <w:tcW w:w="1188" w:type="pct"/>
            <w:tcBorders>
              <w:top w:val="single" w:sz="4" w:space="0" w:color="auto"/>
              <w:left w:val="single" w:sz="4" w:space="0" w:color="auto"/>
              <w:bottom w:val="single" w:sz="4" w:space="0" w:color="auto"/>
              <w:right w:val="single" w:sz="4" w:space="0" w:color="auto"/>
            </w:tcBorders>
          </w:tcPr>
          <w:p w14:paraId="7DB78A9E" w14:textId="77777777" w:rsidR="00705AA2" w:rsidRPr="00B0658A" w:rsidRDefault="00705AA2" w:rsidP="000A4114">
            <w:pPr>
              <w:pStyle w:val="ConsPlusNormal"/>
            </w:pPr>
          </w:p>
        </w:tc>
        <w:tc>
          <w:tcPr>
            <w:tcW w:w="622" w:type="pct"/>
            <w:tcBorders>
              <w:top w:val="single" w:sz="4" w:space="0" w:color="auto"/>
              <w:left w:val="single" w:sz="4" w:space="0" w:color="auto"/>
              <w:bottom w:val="single" w:sz="4" w:space="0" w:color="auto"/>
              <w:right w:val="single" w:sz="4" w:space="0" w:color="auto"/>
            </w:tcBorders>
          </w:tcPr>
          <w:p w14:paraId="054DCB43" w14:textId="77777777" w:rsidR="00705AA2" w:rsidRPr="00B0658A" w:rsidRDefault="00705AA2" w:rsidP="000A4114">
            <w:pPr>
              <w:pStyle w:val="ConsPlusNormal"/>
            </w:pPr>
          </w:p>
        </w:tc>
        <w:tc>
          <w:tcPr>
            <w:tcW w:w="1024" w:type="pct"/>
            <w:tcBorders>
              <w:top w:val="single" w:sz="4" w:space="0" w:color="auto"/>
              <w:left w:val="single" w:sz="4" w:space="0" w:color="auto"/>
              <w:bottom w:val="single" w:sz="4" w:space="0" w:color="auto"/>
              <w:right w:val="single" w:sz="4" w:space="0" w:color="auto"/>
            </w:tcBorders>
          </w:tcPr>
          <w:p w14:paraId="147B6BBC" w14:textId="77777777" w:rsidR="00705AA2" w:rsidRPr="00B0658A" w:rsidRDefault="00705AA2" w:rsidP="000A4114">
            <w:pPr>
              <w:pStyle w:val="ConsPlusNormal"/>
            </w:pPr>
          </w:p>
        </w:tc>
      </w:tr>
      <w:tr w:rsidR="00F52FED" w:rsidRPr="00B0658A" w14:paraId="054301E9" w14:textId="77777777" w:rsidTr="004F1366">
        <w:trPr>
          <w:trHeight w:val="20"/>
        </w:trPr>
        <w:tc>
          <w:tcPr>
            <w:tcW w:w="204" w:type="pct"/>
            <w:tcBorders>
              <w:top w:val="single" w:sz="4" w:space="0" w:color="auto"/>
              <w:left w:val="single" w:sz="4" w:space="0" w:color="auto"/>
              <w:bottom w:val="single" w:sz="4" w:space="0" w:color="auto"/>
              <w:right w:val="single" w:sz="4" w:space="0" w:color="auto"/>
            </w:tcBorders>
          </w:tcPr>
          <w:p w14:paraId="14288AE7" w14:textId="77777777" w:rsidR="00705AA2" w:rsidRPr="00B0658A" w:rsidRDefault="00705AA2" w:rsidP="000A4114">
            <w:pPr>
              <w:pStyle w:val="ConsPlusNormal"/>
            </w:pPr>
            <w:r w:rsidRPr="00B0658A">
              <w:t>…</w:t>
            </w:r>
          </w:p>
        </w:tc>
        <w:tc>
          <w:tcPr>
            <w:tcW w:w="829" w:type="pct"/>
            <w:tcBorders>
              <w:top w:val="single" w:sz="4" w:space="0" w:color="auto"/>
              <w:left w:val="single" w:sz="4" w:space="0" w:color="auto"/>
              <w:bottom w:val="single" w:sz="4" w:space="0" w:color="auto"/>
              <w:right w:val="single" w:sz="4" w:space="0" w:color="auto"/>
            </w:tcBorders>
          </w:tcPr>
          <w:p w14:paraId="72658573" w14:textId="77777777" w:rsidR="00705AA2" w:rsidRPr="00B0658A" w:rsidRDefault="00705AA2" w:rsidP="000A4114">
            <w:pPr>
              <w:pStyle w:val="ConsPlusNormal"/>
            </w:pPr>
          </w:p>
        </w:tc>
        <w:tc>
          <w:tcPr>
            <w:tcW w:w="1133" w:type="pct"/>
            <w:tcBorders>
              <w:top w:val="single" w:sz="4" w:space="0" w:color="auto"/>
              <w:left w:val="single" w:sz="4" w:space="0" w:color="auto"/>
              <w:bottom w:val="single" w:sz="4" w:space="0" w:color="auto"/>
              <w:right w:val="single" w:sz="4" w:space="0" w:color="auto"/>
            </w:tcBorders>
          </w:tcPr>
          <w:p w14:paraId="3BBD7C32" w14:textId="77777777" w:rsidR="00705AA2" w:rsidRPr="00B0658A" w:rsidRDefault="00705AA2" w:rsidP="000A4114">
            <w:pPr>
              <w:pStyle w:val="ConsPlusNormal"/>
            </w:pPr>
          </w:p>
        </w:tc>
        <w:tc>
          <w:tcPr>
            <w:tcW w:w="1188" w:type="pct"/>
            <w:tcBorders>
              <w:top w:val="single" w:sz="4" w:space="0" w:color="auto"/>
              <w:left w:val="single" w:sz="4" w:space="0" w:color="auto"/>
              <w:bottom w:val="single" w:sz="4" w:space="0" w:color="auto"/>
              <w:right w:val="single" w:sz="4" w:space="0" w:color="auto"/>
            </w:tcBorders>
          </w:tcPr>
          <w:p w14:paraId="6F5267E6" w14:textId="77777777" w:rsidR="00705AA2" w:rsidRPr="00B0658A" w:rsidRDefault="00705AA2" w:rsidP="000A4114">
            <w:pPr>
              <w:pStyle w:val="ConsPlusNormal"/>
            </w:pPr>
          </w:p>
        </w:tc>
        <w:tc>
          <w:tcPr>
            <w:tcW w:w="622" w:type="pct"/>
            <w:tcBorders>
              <w:top w:val="single" w:sz="4" w:space="0" w:color="auto"/>
              <w:left w:val="single" w:sz="4" w:space="0" w:color="auto"/>
              <w:bottom w:val="single" w:sz="4" w:space="0" w:color="auto"/>
              <w:right w:val="single" w:sz="4" w:space="0" w:color="auto"/>
            </w:tcBorders>
          </w:tcPr>
          <w:p w14:paraId="4768C54F" w14:textId="77777777" w:rsidR="00705AA2" w:rsidRPr="00B0658A" w:rsidRDefault="00705AA2" w:rsidP="000A4114">
            <w:pPr>
              <w:pStyle w:val="ConsPlusNormal"/>
            </w:pPr>
          </w:p>
        </w:tc>
        <w:tc>
          <w:tcPr>
            <w:tcW w:w="1024" w:type="pct"/>
            <w:tcBorders>
              <w:top w:val="single" w:sz="4" w:space="0" w:color="auto"/>
              <w:left w:val="single" w:sz="4" w:space="0" w:color="auto"/>
              <w:bottom w:val="single" w:sz="4" w:space="0" w:color="auto"/>
              <w:right w:val="single" w:sz="4" w:space="0" w:color="auto"/>
            </w:tcBorders>
          </w:tcPr>
          <w:p w14:paraId="19665120" w14:textId="77777777" w:rsidR="00705AA2" w:rsidRPr="00B0658A" w:rsidRDefault="00705AA2" w:rsidP="000A4114">
            <w:pPr>
              <w:pStyle w:val="ConsPlusNormal"/>
            </w:pPr>
          </w:p>
        </w:tc>
      </w:tr>
      <w:tr w:rsidR="00F52FED" w:rsidRPr="00B0658A" w14:paraId="791B2229" w14:textId="77777777" w:rsidTr="004F1366">
        <w:trPr>
          <w:trHeight w:val="20"/>
        </w:trPr>
        <w:tc>
          <w:tcPr>
            <w:tcW w:w="204" w:type="pct"/>
            <w:tcBorders>
              <w:top w:val="single" w:sz="4" w:space="0" w:color="auto"/>
              <w:left w:val="single" w:sz="4" w:space="0" w:color="auto"/>
              <w:bottom w:val="single" w:sz="4" w:space="0" w:color="auto"/>
              <w:right w:val="single" w:sz="4" w:space="0" w:color="auto"/>
            </w:tcBorders>
          </w:tcPr>
          <w:p w14:paraId="76ACED7B" w14:textId="77777777" w:rsidR="00705AA2" w:rsidRPr="00B0658A" w:rsidRDefault="00705AA2" w:rsidP="000A4114">
            <w:pPr>
              <w:pStyle w:val="ConsPlusNormal"/>
            </w:pPr>
            <w:r w:rsidRPr="00B0658A">
              <w:t>1</w:t>
            </w:r>
            <w:r w:rsidRPr="00B0658A">
              <w:rPr>
                <w:lang w:val="en-US"/>
              </w:rPr>
              <w:t>.n</w:t>
            </w:r>
          </w:p>
        </w:tc>
        <w:tc>
          <w:tcPr>
            <w:tcW w:w="829" w:type="pct"/>
            <w:tcBorders>
              <w:top w:val="single" w:sz="4" w:space="0" w:color="auto"/>
              <w:left w:val="single" w:sz="4" w:space="0" w:color="auto"/>
              <w:bottom w:val="single" w:sz="4" w:space="0" w:color="auto"/>
              <w:right w:val="single" w:sz="4" w:space="0" w:color="auto"/>
            </w:tcBorders>
          </w:tcPr>
          <w:p w14:paraId="631F7D78" w14:textId="77777777" w:rsidR="00705AA2" w:rsidRPr="00B0658A" w:rsidRDefault="00705AA2" w:rsidP="000A4114">
            <w:pPr>
              <w:pStyle w:val="ConsPlusNormal"/>
            </w:pPr>
          </w:p>
        </w:tc>
        <w:tc>
          <w:tcPr>
            <w:tcW w:w="1133" w:type="pct"/>
            <w:tcBorders>
              <w:top w:val="single" w:sz="4" w:space="0" w:color="auto"/>
              <w:left w:val="single" w:sz="4" w:space="0" w:color="auto"/>
              <w:bottom w:val="single" w:sz="4" w:space="0" w:color="auto"/>
              <w:right w:val="single" w:sz="4" w:space="0" w:color="auto"/>
            </w:tcBorders>
          </w:tcPr>
          <w:p w14:paraId="4A1D531D" w14:textId="77777777" w:rsidR="00705AA2" w:rsidRPr="00B0658A" w:rsidRDefault="00705AA2" w:rsidP="000A4114">
            <w:pPr>
              <w:pStyle w:val="ConsPlusNormal"/>
            </w:pPr>
          </w:p>
        </w:tc>
        <w:tc>
          <w:tcPr>
            <w:tcW w:w="1188" w:type="pct"/>
            <w:tcBorders>
              <w:top w:val="single" w:sz="4" w:space="0" w:color="auto"/>
              <w:left w:val="single" w:sz="4" w:space="0" w:color="auto"/>
              <w:bottom w:val="single" w:sz="4" w:space="0" w:color="auto"/>
              <w:right w:val="single" w:sz="4" w:space="0" w:color="auto"/>
            </w:tcBorders>
          </w:tcPr>
          <w:p w14:paraId="620A564D" w14:textId="77777777" w:rsidR="00705AA2" w:rsidRPr="00B0658A" w:rsidRDefault="00705AA2" w:rsidP="000A4114">
            <w:pPr>
              <w:pStyle w:val="ConsPlusNormal"/>
            </w:pPr>
          </w:p>
        </w:tc>
        <w:tc>
          <w:tcPr>
            <w:tcW w:w="622" w:type="pct"/>
            <w:tcBorders>
              <w:top w:val="single" w:sz="4" w:space="0" w:color="auto"/>
              <w:left w:val="single" w:sz="4" w:space="0" w:color="auto"/>
              <w:bottom w:val="single" w:sz="4" w:space="0" w:color="auto"/>
              <w:right w:val="single" w:sz="4" w:space="0" w:color="auto"/>
            </w:tcBorders>
          </w:tcPr>
          <w:p w14:paraId="419DAED9" w14:textId="77777777" w:rsidR="00705AA2" w:rsidRPr="00B0658A" w:rsidRDefault="00705AA2" w:rsidP="000A4114">
            <w:pPr>
              <w:pStyle w:val="ConsPlusNormal"/>
            </w:pPr>
          </w:p>
        </w:tc>
        <w:tc>
          <w:tcPr>
            <w:tcW w:w="1024" w:type="pct"/>
            <w:tcBorders>
              <w:top w:val="single" w:sz="4" w:space="0" w:color="auto"/>
              <w:left w:val="single" w:sz="4" w:space="0" w:color="auto"/>
              <w:bottom w:val="single" w:sz="4" w:space="0" w:color="auto"/>
              <w:right w:val="single" w:sz="4" w:space="0" w:color="auto"/>
            </w:tcBorders>
          </w:tcPr>
          <w:p w14:paraId="5949A3BB" w14:textId="77777777" w:rsidR="00705AA2" w:rsidRPr="00B0658A" w:rsidRDefault="00705AA2" w:rsidP="000A4114">
            <w:pPr>
              <w:pStyle w:val="ConsPlusNormal"/>
            </w:pPr>
          </w:p>
        </w:tc>
      </w:tr>
      <w:tr w:rsidR="00F52FED" w:rsidRPr="00B0658A" w14:paraId="41727BDE" w14:textId="77777777" w:rsidTr="004F1366">
        <w:trPr>
          <w:trHeight w:val="20"/>
        </w:trPr>
        <w:tc>
          <w:tcPr>
            <w:tcW w:w="5000" w:type="pct"/>
            <w:gridSpan w:val="6"/>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0FA67F2" w14:textId="77777777" w:rsidR="00705AA2" w:rsidRPr="00B0658A" w:rsidRDefault="00705AA2" w:rsidP="000A4114">
            <w:pPr>
              <w:pStyle w:val="ConsPlusNormal"/>
            </w:pPr>
            <w:r w:rsidRPr="00B0658A">
              <w:t>2. Мероприятия в отношении ________ (наименование значимого объекта КИИ № 2)</w:t>
            </w:r>
          </w:p>
        </w:tc>
      </w:tr>
      <w:tr w:rsidR="00F52FED" w:rsidRPr="00B0658A" w14:paraId="6B80C576" w14:textId="77777777" w:rsidTr="004F1366">
        <w:trPr>
          <w:trHeight w:val="20"/>
        </w:trPr>
        <w:tc>
          <w:tcPr>
            <w:tcW w:w="204" w:type="pct"/>
            <w:tcBorders>
              <w:top w:val="single" w:sz="4" w:space="0" w:color="auto"/>
              <w:left w:val="single" w:sz="4" w:space="0" w:color="auto"/>
              <w:bottom w:val="single" w:sz="4" w:space="0" w:color="auto"/>
              <w:right w:val="single" w:sz="4" w:space="0" w:color="auto"/>
            </w:tcBorders>
          </w:tcPr>
          <w:p w14:paraId="6006BC07" w14:textId="77777777" w:rsidR="00705AA2" w:rsidRPr="00B0658A" w:rsidRDefault="00705AA2" w:rsidP="000A4114">
            <w:pPr>
              <w:pStyle w:val="ConsPlusNormal"/>
              <w:rPr>
                <w:lang w:val="en-US"/>
              </w:rPr>
            </w:pPr>
            <w:r w:rsidRPr="00B0658A">
              <w:rPr>
                <w:lang w:val="en-US"/>
              </w:rPr>
              <w:t>2.1</w:t>
            </w:r>
          </w:p>
        </w:tc>
        <w:tc>
          <w:tcPr>
            <w:tcW w:w="829" w:type="pct"/>
            <w:tcBorders>
              <w:top w:val="single" w:sz="4" w:space="0" w:color="auto"/>
              <w:left w:val="single" w:sz="4" w:space="0" w:color="auto"/>
              <w:bottom w:val="single" w:sz="4" w:space="0" w:color="auto"/>
              <w:right w:val="single" w:sz="4" w:space="0" w:color="auto"/>
            </w:tcBorders>
          </w:tcPr>
          <w:p w14:paraId="7D684436" w14:textId="77777777" w:rsidR="00705AA2" w:rsidRPr="00B0658A" w:rsidRDefault="00705AA2" w:rsidP="000A4114">
            <w:pPr>
              <w:pStyle w:val="ConsPlusNormal"/>
            </w:pPr>
          </w:p>
        </w:tc>
        <w:tc>
          <w:tcPr>
            <w:tcW w:w="1133" w:type="pct"/>
            <w:tcBorders>
              <w:top w:val="single" w:sz="4" w:space="0" w:color="auto"/>
              <w:left w:val="single" w:sz="4" w:space="0" w:color="auto"/>
              <w:bottom w:val="single" w:sz="4" w:space="0" w:color="auto"/>
              <w:right w:val="single" w:sz="4" w:space="0" w:color="auto"/>
            </w:tcBorders>
          </w:tcPr>
          <w:p w14:paraId="240DCC7F" w14:textId="77777777" w:rsidR="00705AA2" w:rsidRPr="00B0658A" w:rsidRDefault="00705AA2" w:rsidP="000A4114">
            <w:pPr>
              <w:pStyle w:val="ConsPlusNormal"/>
            </w:pPr>
          </w:p>
        </w:tc>
        <w:tc>
          <w:tcPr>
            <w:tcW w:w="1188" w:type="pct"/>
            <w:tcBorders>
              <w:top w:val="single" w:sz="4" w:space="0" w:color="auto"/>
              <w:left w:val="single" w:sz="4" w:space="0" w:color="auto"/>
              <w:bottom w:val="single" w:sz="4" w:space="0" w:color="auto"/>
              <w:right w:val="single" w:sz="4" w:space="0" w:color="auto"/>
            </w:tcBorders>
          </w:tcPr>
          <w:p w14:paraId="406AE7CC" w14:textId="77777777" w:rsidR="00705AA2" w:rsidRPr="00B0658A" w:rsidRDefault="00705AA2" w:rsidP="000A4114">
            <w:pPr>
              <w:pStyle w:val="ConsPlusNormal"/>
            </w:pPr>
          </w:p>
        </w:tc>
        <w:tc>
          <w:tcPr>
            <w:tcW w:w="622" w:type="pct"/>
            <w:tcBorders>
              <w:top w:val="single" w:sz="4" w:space="0" w:color="auto"/>
              <w:left w:val="single" w:sz="4" w:space="0" w:color="auto"/>
              <w:bottom w:val="single" w:sz="4" w:space="0" w:color="auto"/>
              <w:right w:val="single" w:sz="4" w:space="0" w:color="auto"/>
            </w:tcBorders>
          </w:tcPr>
          <w:p w14:paraId="604B57C5" w14:textId="77777777" w:rsidR="00705AA2" w:rsidRPr="00B0658A" w:rsidRDefault="00705AA2" w:rsidP="000A4114">
            <w:pPr>
              <w:pStyle w:val="ConsPlusNormal"/>
            </w:pPr>
          </w:p>
        </w:tc>
        <w:tc>
          <w:tcPr>
            <w:tcW w:w="1024" w:type="pct"/>
            <w:tcBorders>
              <w:top w:val="single" w:sz="4" w:space="0" w:color="auto"/>
              <w:left w:val="single" w:sz="4" w:space="0" w:color="auto"/>
              <w:bottom w:val="single" w:sz="4" w:space="0" w:color="auto"/>
              <w:right w:val="single" w:sz="4" w:space="0" w:color="auto"/>
            </w:tcBorders>
          </w:tcPr>
          <w:p w14:paraId="45731887" w14:textId="77777777" w:rsidR="00705AA2" w:rsidRPr="00B0658A" w:rsidRDefault="00705AA2" w:rsidP="000A4114">
            <w:pPr>
              <w:pStyle w:val="ConsPlusNormal"/>
            </w:pPr>
          </w:p>
        </w:tc>
      </w:tr>
      <w:tr w:rsidR="00F52FED" w:rsidRPr="00B0658A" w14:paraId="55A9BDDE" w14:textId="77777777" w:rsidTr="004F1366">
        <w:trPr>
          <w:trHeight w:val="20"/>
        </w:trPr>
        <w:tc>
          <w:tcPr>
            <w:tcW w:w="204" w:type="pct"/>
            <w:tcBorders>
              <w:top w:val="single" w:sz="4" w:space="0" w:color="auto"/>
              <w:left w:val="single" w:sz="4" w:space="0" w:color="auto"/>
              <w:bottom w:val="single" w:sz="4" w:space="0" w:color="auto"/>
              <w:right w:val="single" w:sz="4" w:space="0" w:color="auto"/>
            </w:tcBorders>
          </w:tcPr>
          <w:p w14:paraId="46243894" w14:textId="77777777" w:rsidR="00705AA2" w:rsidRPr="00B0658A" w:rsidRDefault="00705AA2" w:rsidP="000A4114">
            <w:pPr>
              <w:pStyle w:val="ConsPlusNormal"/>
              <w:rPr>
                <w:lang w:val="en-US"/>
              </w:rPr>
            </w:pPr>
            <w:r w:rsidRPr="00B0658A">
              <w:rPr>
                <w:lang w:val="en-US"/>
              </w:rPr>
              <w:t>2.2</w:t>
            </w:r>
          </w:p>
        </w:tc>
        <w:tc>
          <w:tcPr>
            <w:tcW w:w="829" w:type="pct"/>
            <w:tcBorders>
              <w:top w:val="single" w:sz="4" w:space="0" w:color="auto"/>
              <w:left w:val="single" w:sz="4" w:space="0" w:color="auto"/>
              <w:bottom w:val="single" w:sz="4" w:space="0" w:color="auto"/>
              <w:right w:val="single" w:sz="4" w:space="0" w:color="auto"/>
            </w:tcBorders>
          </w:tcPr>
          <w:p w14:paraId="769B5137" w14:textId="77777777" w:rsidR="00705AA2" w:rsidRPr="00B0658A" w:rsidRDefault="00705AA2" w:rsidP="000A4114">
            <w:pPr>
              <w:pStyle w:val="ConsPlusNormal"/>
            </w:pPr>
          </w:p>
        </w:tc>
        <w:tc>
          <w:tcPr>
            <w:tcW w:w="1133" w:type="pct"/>
            <w:tcBorders>
              <w:top w:val="single" w:sz="4" w:space="0" w:color="auto"/>
              <w:left w:val="single" w:sz="4" w:space="0" w:color="auto"/>
              <w:bottom w:val="single" w:sz="4" w:space="0" w:color="auto"/>
              <w:right w:val="single" w:sz="4" w:space="0" w:color="auto"/>
            </w:tcBorders>
          </w:tcPr>
          <w:p w14:paraId="3F87A7D0" w14:textId="77777777" w:rsidR="00705AA2" w:rsidRPr="00B0658A" w:rsidRDefault="00705AA2" w:rsidP="000A4114">
            <w:pPr>
              <w:pStyle w:val="ConsPlusNormal"/>
            </w:pPr>
          </w:p>
        </w:tc>
        <w:tc>
          <w:tcPr>
            <w:tcW w:w="1188" w:type="pct"/>
            <w:tcBorders>
              <w:top w:val="single" w:sz="4" w:space="0" w:color="auto"/>
              <w:left w:val="single" w:sz="4" w:space="0" w:color="auto"/>
              <w:bottom w:val="single" w:sz="4" w:space="0" w:color="auto"/>
              <w:right w:val="single" w:sz="4" w:space="0" w:color="auto"/>
            </w:tcBorders>
          </w:tcPr>
          <w:p w14:paraId="523DA1B7" w14:textId="77777777" w:rsidR="00705AA2" w:rsidRPr="00B0658A" w:rsidRDefault="00705AA2" w:rsidP="000A4114">
            <w:pPr>
              <w:pStyle w:val="ConsPlusNormal"/>
            </w:pPr>
          </w:p>
        </w:tc>
        <w:tc>
          <w:tcPr>
            <w:tcW w:w="622" w:type="pct"/>
            <w:tcBorders>
              <w:top w:val="single" w:sz="4" w:space="0" w:color="auto"/>
              <w:left w:val="single" w:sz="4" w:space="0" w:color="auto"/>
              <w:bottom w:val="single" w:sz="4" w:space="0" w:color="auto"/>
              <w:right w:val="single" w:sz="4" w:space="0" w:color="auto"/>
            </w:tcBorders>
          </w:tcPr>
          <w:p w14:paraId="2171CA71" w14:textId="77777777" w:rsidR="00705AA2" w:rsidRPr="00B0658A" w:rsidRDefault="00705AA2" w:rsidP="000A4114">
            <w:pPr>
              <w:pStyle w:val="ConsPlusNormal"/>
            </w:pPr>
          </w:p>
        </w:tc>
        <w:tc>
          <w:tcPr>
            <w:tcW w:w="1024" w:type="pct"/>
            <w:tcBorders>
              <w:top w:val="single" w:sz="4" w:space="0" w:color="auto"/>
              <w:left w:val="single" w:sz="4" w:space="0" w:color="auto"/>
              <w:bottom w:val="single" w:sz="4" w:space="0" w:color="auto"/>
              <w:right w:val="single" w:sz="4" w:space="0" w:color="auto"/>
            </w:tcBorders>
          </w:tcPr>
          <w:p w14:paraId="2570062D" w14:textId="77777777" w:rsidR="00705AA2" w:rsidRPr="00B0658A" w:rsidRDefault="00705AA2" w:rsidP="000A4114">
            <w:pPr>
              <w:pStyle w:val="ConsPlusNormal"/>
            </w:pPr>
          </w:p>
        </w:tc>
      </w:tr>
      <w:tr w:rsidR="00F52FED" w:rsidRPr="00B0658A" w14:paraId="11C843D3" w14:textId="77777777" w:rsidTr="004F1366">
        <w:trPr>
          <w:trHeight w:val="20"/>
        </w:trPr>
        <w:tc>
          <w:tcPr>
            <w:tcW w:w="204" w:type="pct"/>
            <w:tcBorders>
              <w:top w:val="single" w:sz="4" w:space="0" w:color="auto"/>
              <w:left w:val="single" w:sz="4" w:space="0" w:color="auto"/>
              <w:bottom w:val="single" w:sz="4" w:space="0" w:color="auto"/>
              <w:right w:val="single" w:sz="4" w:space="0" w:color="auto"/>
            </w:tcBorders>
          </w:tcPr>
          <w:p w14:paraId="6BE5DF76" w14:textId="77777777" w:rsidR="00705AA2" w:rsidRPr="00B0658A" w:rsidRDefault="00705AA2" w:rsidP="000A4114">
            <w:pPr>
              <w:pStyle w:val="ConsPlusNormal"/>
              <w:rPr>
                <w:lang w:val="en-US"/>
              </w:rPr>
            </w:pPr>
            <w:r w:rsidRPr="00B0658A">
              <w:rPr>
                <w:lang w:val="en-US"/>
              </w:rPr>
              <w:t>….</w:t>
            </w:r>
          </w:p>
        </w:tc>
        <w:tc>
          <w:tcPr>
            <w:tcW w:w="829" w:type="pct"/>
            <w:tcBorders>
              <w:top w:val="single" w:sz="4" w:space="0" w:color="auto"/>
              <w:left w:val="single" w:sz="4" w:space="0" w:color="auto"/>
              <w:bottom w:val="single" w:sz="4" w:space="0" w:color="auto"/>
              <w:right w:val="single" w:sz="4" w:space="0" w:color="auto"/>
            </w:tcBorders>
          </w:tcPr>
          <w:p w14:paraId="6CBAAEB2" w14:textId="77777777" w:rsidR="00705AA2" w:rsidRPr="00B0658A" w:rsidRDefault="00705AA2" w:rsidP="000A4114">
            <w:pPr>
              <w:pStyle w:val="ConsPlusNormal"/>
            </w:pPr>
          </w:p>
        </w:tc>
        <w:tc>
          <w:tcPr>
            <w:tcW w:w="1133" w:type="pct"/>
            <w:tcBorders>
              <w:top w:val="single" w:sz="4" w:space="0" w:color="auto"/>
              <w:left w:val="single" w:sz="4" w:space="0" w:color="auto"/>
              <w:bottom w:val="single" w:sz="4" w:space="0" w:color="auto"/>
              <w:right w:val="single" w:sz="4" w:space="0" w:color="auto"/>
            </w:tcBorders>
          </w:tcPr>
          <w:p w14:paraId="50CCD42E" w14:textId="77777777" w:rsidR="00705AA2" w:rsidRPr="00B0658A" w:rsidRDefault="00705AA2" w:rsidP="000A4114">
            <w:pPr>
              <w:pStyle w:val="ConsPlusNormal"/>
            </w:pPr>
          </w:p>
        </w:tc>
        <w:tc>
          <w:tcPr>
            <w:tcW w:w="1188" w:type="pct"/>
            <w:tcBorders>
              <w:top w:val="single" w:sz="4" w:space="0" w:color="auto"/>
              <w:left w:val="single" w:sz="4" w:space="0" w:color="auto"/>
              <w:bottom w:val="single" w:sz="4" w:space="0" w:color="auto"/>
              <w:right w:val="single" w:sz="4" w:space="0" w:color="auto"/>
            </w:tcBorders>
          </w:tcPr>
          <w:p w14:paraId="5CF4C9BE" w14:textId="77777777" w:rsidR="00705AA2" w:rsidRPr="00B0658A" w:rsidRDefault="00705AA2" w:rsidP="000A4114">
            <w:pPr>
              <w:pStyle w:val="ConsPlusNormal"/>
            </w:pPr>
          </w:p>
        </w:tc>
        <w:tc>
          <w:tcPr>
            <w:tcW w:w="622" w:type="pct"/>
            <w:tcBorders>
              <w:top w:val="single" w:sz="4" w:space="0" w:color="auto"/>
              <w:left w:val="single" w:sz="4" w:space="0" w:color="auto"/>
              <w:bottom w:val="single" w:sz="4" w:space="0" w:color="auto"/>
              <w:right w:val="single" w:sz="4" w:space="0" w:color="auto"/>
            </w:tcBorders>
          </w:tcPr>
          <w:p w14:paraId="35EC607B" w14:textId="77777777" w:rsidR="00705AA2" w:rsidRPr="00B0658A" w:rsidRDefault="00705AA2" w:rsidP="000A4114">
            <w:pPr>
              <w:pStyle w:val="ConsPlusNormal"/>
            </w:pPr>
          </w:p>
        </w:tc>
        <w:tc>
          <w:tcPr>
            <w:tcW w:w="1024" w:type="pct"/>
            <w:tcBorders>
              <w:top w:val="single" w:sz="4" w:space="0" w:color="auto"/>
              <w:left w:val="single" w:sz="4" w:space="0" w:color="auto"/>
              <w:bottom w:val="single" w:sz="4" w:space="0" w:color="auto"/>
              <w:right w:val="single" w:sz="4" w:space="0" w:color="auto"/>
            </w:tcBorders>
          </w:tcPr>
          <w:p w14:paraId="483E1C16" w14:textId="77777777" w:rsidR="00705AA2" w:rsidRPr="00B0658A" w:rsidRDefault="00705AA2" w:rsidP="000A4114">
            <w:pPr>
              <w:pStyle w:val="ConsPlusNormal"/>
            </w:pPr>
          </w:p>
        </w:tc>
      </w:tr>
      <w:tr w:rsidR="00F52FED" w:rsidRPr="00B0658A" w14:paraId="53AC4E42" w14:textId="77777777" w:rsidTr="004F1366">
        <w:trPr>
          <w:trHeight w:val="20"/>
        </w:trPr>
        <w:tc>
          <w:tcPr>
            <w:tcW w:w="204" w:type="pct"/>
            <w:tcBorders>
              <w:top w:val="single" w:sz="4" w:space="0" w:color="auto"/>
              <w:left w:val="single" w:sz="4" w:space="0" w:color="auto"/>
              <w:bottom w:val="single" w:sz="4" w:space="0" w:color="auto"/>
              <w:right w:val="single" w:sz="4" w:space="0" w:color="auto"/>
            </w:tcBorders>
          </w:tcPr>
          <w:p w14:paraId="4ADEA23C" w14:textId="77777777" w:rsidR="00705AA2" w:rsidRPr="00B0658A" w:rsidRDefault="00705AA2" w:rsidP="000A4114">
            <w:pPr>
              <w:pStyle w:val="ConsPlusNormal"/>
              <w:rPr>
                <w:lang w:val="en-US"/>
              </w:rPr>
            </w:pPr>
            <w:r w:rsidRPr="00B0658A">
              <w:rPr>
                <w:lang w:val="en-US"/>
              </w:rPr>
              <w:t>2.n</w:t>
            </w:r>
          </w:p>
        </w:tc>
        <w:tc>
          <w:tcPr>
            <w:tcW w:w="829" w:type="pct"/>
            <w:tcBorders>
              <w:top w:val="single" w:sz="4" w:space="0" w:color="auto"/>
              <w:left w:val="single" w:sz="4" w:space="0" w:color="auto"/>
              <w:bottom w:val="single" w:sz="4" w:space="0" w:color="auto"/>
              <w:right w:val="single" w:sz="4" w:space="0" w:color="auto"/>
            </w:tcBorders>
          </w:tcPr>
          <w:p w14:paraId="5A02B48F" w14:textId="77777777" w:rsidR="00705AA2" w:rsidRPr="00B0658A" w:rsidRDefault="00705AA2" w:rsidP="000A4114">
            <w:pPr>
              <w:pStyle w:val="ConsPlusNormal"/>
            </w:pPr>
          </w:p>
        </w:tc>
        <w:tc>
          <w:tcPr>
            <w:tcW w:w="1133" w:type="pct"/>
            <w:tcBorders>
              <w:top w:val="single" w:sz="4" w:space="0" w:color="auto"/>
              <w:left w:val="single" w:sz="4" w:space="0" w:color="auto"/>
              <w:bottom w:val="single" w:sz="4" w:space="0" w:color="auto"/>
              <w:right w:val="single" w:sz="4" w:space="0" w:color="auto"/>
            </w:tcBorders>
          </w:tcPr>
          <w:p w14:paraId="34D5A6D8" w14:textId="77777777" w:rsidR="00705AA2" w:rsidRPr="00B0658A" w:rsidRDefault="00705AA2" w:rsidP="000A4114">
            <w:pPr>
              <w:pStyle w:val="ConsPlusNormal"/>
            </w:pPr>
          </w:p>
        </w:tc>
        <w:tc>
          <w:tcPr>
            <w:tcW w:w="1188" w:type="pct"/>
            <w:tcBorders>
              <w:top w:val="single" w:sz="4" w:space="0" w:color="auto"/>
              <w:left w:val="single" w:sz="4" w:space="0" w:color="auto"/>
              <w:bottom w:val="single" w:sz="4" w:space="0" w:color="auto"/>
              <w:right w:val="single" w:sz="4" w:space="0" w:color="auto"/>
            </w:tcBorders>
          </w:tcPr>
          <w:p w14:paraId="036E7E98" w14:textId="77777777" w:rsidR="00705AA2" w:rsidRPr="00B0658A" w:rsidRDefault="00705AA2" w:rsidP="000A4114">
            <w:pPr>
              <w:pStyle w:val="ConsPlusNormal"/>
            </w:pPr>
          </w:p>
        </w:tc>
        <w:tc>
          <w:tcPr>
            <w:tcW w:w="622" w:type="pct"/>
            <w:tcBorders>
              <w:top w:val="single" w:sz="4" w:space="0" w:color="auto"/>
              <w:left w:val="single" w:sz="4" w:space="0" w:color="auto"/>
              <w:bottom w:val="single" w:sz="4" w:space="0" w:color="auto"/>
              <w:right w:val="single" w:sz="4" w:space="0" w:color="auto"/>
            </w:tcBorders>
          </w:tcPr>
          <w:p w14:paraId="40FB43B1" w14:textId="77777777" w:rsidR="00705AA2" w:rsidRPr="00B0658A" w:rsidRDefault="00705AA2" w:rsidP="000A4114">
            <w:pPr>
              <w:pStyle w:val="ConsPlusNormal"/>
            </w:pPr>
          </w:p>
        </w:tc>
        <w:tc>
          <w:tcPr>
            <w:tcW w:w="1024" w:type="pct"/>
            <w:tcBorders>
              <w:top w:val="single" w:sz="4" w:space="0" w:color="auto"/>
              <w:left w:val="single" w:sz="4" w:space="0" w:color="auto"/>
              <w:bottom w:val="single" w:sz="4" w:space="0" w:color="auto"/>
              <w:right w:val="single" w:sz="4" w:space="0" w:color="auto"/>
            </w:tcBorders>
          </w:tcPr>
          <w:p w14:paraId="0260B92B" w14:textId="77777777" w:rsidR="00705AA2" w:rsidRPr="00B0658A" w:rsidRDefault="00705AA2" w:rsidP="000A4114">
            <w:pPr>
              <w:pStyle w:val="ConsPlusNormal"/>
            </w:pPr>
          </w:p>
        </w:tc>
      </w:tr>
      <w:tr w:rsidR="00F52FED" w:rsidRPr="00B0658A" w14:paraId="6CDD7BC7" w14:textId="77777777" w:rsidTr="004F1366">
        <w:trPr>
          <w:trHeight w:val="20"/>
        </w:trPr>
        <w:tc>
          <w:tcPr>
            <w:tcW w:w="5000" w:type="pct"/>
            <w:gridSpan w:val="6"/>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4431731" w14:textId="57584E45" w:rsidR="00705AA2" w:rsidRPr="00B0658A" w:rsidRDefault="009B1942" w:rsidP="000A4114">
            <w:pPr>
              <w:pStyle w:val="ConsPlusNormal"/>
            </w:pPr>
            <w:r>
              <w:rPr>
                <w:lang w:val="en-US"/>
              </w:rPr>
              <w:t>N</w:t>
            </w:r>
            <w:r w:rsidR="00705AA2" w:rsidRPr="00B0658A">
              <w:t xml:space="preserve">. Мероприятия в отношении ________ (наименование значимого объекта КИИ № </w:t>
            </w:r>
            <w:r w:rsidR="00705AA2" w:rsidRPr="00B0658A">
              <w:rPr>
                <w:lang w:val="en-US"/>
              </w:rPr>
              <w:t>N</w:t>
            </w:r>
            <w:r w:rsidR="00705AA2" w:rsidRPr="00B0658A">
              <w:t>)</w:t>
            </w:r>
          </w:p>
        </w:tc>
      </w:tr>
      <w:tr w:rsidR="00F52FED" w:rsidRPr="00B0658A" w14:paraId="0C229A25" w14:textId="77777777" w:rsidTr="004F1366">
        <w:trPr>
          <w:trHeight w:val="20"/>
        </w:trPr>
        <w:tc>
          <w:tcPr>
            <w:tcW w:w="204" w:type="pct"/>
            <w:tcBorders>
              <w:top w:val="single" w:sz="4" w:space="0" w:color="auto"/>
              <w:left w:val="single" w:sz="4" w:space="0" w:color="auto"/>
              <w:bottom w:val="single" w:sz="4" w:space="0" w:color="auto"/>
              <w:right w:val="single" w:sz="4" w:space="0" w:color="auto"/>
            </w:tcBorders>
          </w:tcPr>
          <w:p w14:paraId="07E27E5A" w14:textId="77777777" w:rsidR="00705AA2" w:rsidRPr="00B0658A" w:rsidRDefault="00705AA2" w:rsidP="000A4114">
            <w:pPr>
              <w:pStyle w:val="ConsPlusNormal"/>
              <w:rPr>
                <w:lang w:val="en-US"/>
              </w:rPr>
            </w:pPr>
            <w:r w:rsidRPr="00B0658A">
              <w:rPr>
                <w:lang w:val="en-US"/>
              </w:rPr>
              <w:t>N.1</w:t>
            </w:r>
          </w:p>
        </w:tc>
        <w:tc>
          <w:tcPr>
            <w:tcW w:w="829" w:type="pct"/>
            <w:tcBorders>
              <w:top w:val="single" w:sz="4" w:space="0" w:color="auto"/>
              <w:left w:val="single" w:sz="4" w:space="0" w:color="auto"/>
              <w:bottom w:val="single" w:sz="4" w:space="0" w:color="auto"/>
              <w:right w:val="single" w:sz="4" w:space="0" w:color="auto"/>
            </w:tcBorders>
          </w:tcPr>
          <w:p w14:paraId="1715FC51" w14:textId="77777777" w:rsidR="00705AA2" w:rsidRPr="00B0658A" w:rsidRDefault="00705AA2" w:rsidP="000A4114">
            <w:pPr>
              <w:pStyle w:val="ConsPlusNormal"/>
            </w:pPr>
          </w:p>
        </w:tc>
        <w:tc>
          <w:tcPr>
            <w:tcW w:w="1133" w:type="pct"/>
            <w:tcBorders>
              <w:top w:val="single" w:sz="4" w:space="0" w:color="auto"/>
              <w:left w:val="single" w:sz="4" w:space="0" w:color="auto"/>
              <w:bottom w:val="single" w:sz="4" w:space="0" w:color="auto"/>
              <w:right w:val="single" w:sz="4" w:space="0" w:color="auto"/>
            </w:tcBorders>
          </w:tcPr>
          <w:p w14:paraId="417D7D0D" w14:textId="77777777" w:rsidR="00705AA2" w:rsidRPr="00B0658A" w:rsidRDefault="00705AA2" w:rsidP="000A4114">
            <w:pPr>
              <w:pStyle w:val="ConsPlusNormal"/>
            </w:pPr>
          </w:p>
        </w:tc>
        <w:tc>
          <w:tcPr>
            <w:tcW w:w="1188" w:type="pct"/>
            <w:tcBorders>
              <w:top w:val="single" w:sz="4" w:space="0" w:color="auto"/>
              <w:left w:val="single" w:sz="4" w:space="0" w:color="auto"/>
              <w:bottom w:val="single" w:sz="4" w:space="0" w:color="auto"/>
              <w:right w:val="single" w:sz="4" w:space="0" w:color="auto"/>
            </w:tcBorders>
          </w:tcPr>
          <w:p w14:paraId="06333C75" w14:textId="77777777" w:rsidR="00705AA2" w:rsidRPr="00B0658A" w:rsidRDefault="00705AA2" w:rsidP="000A4114">
            <w:pPr>
              <w:pStyle w:val="ConsPlusNormal"/>
            </w:pPr>
          </w:p>
        </w:tc>
        <w:tc>
          <w:tcPr>
            <w:tcW w:w="622" w:type="pct"/>
            <w:tcBorders>
              <w:top w:val="single" w:sz="4" w:space="0" w:color="auto"/>
              <w:left w:val="single" w:sz="4" w:space="0" w:color="auto"/>
              <w:bottom w:val="single" w:sz="4" w:space="0" w:color="auto"/>
              <w:right w:val="single" w:sz="4" w:space="0" w:color="auto"/>
            </w:tcBorders>
          </w:tcPr>
          <w:p w14:paraId="76A31B15" w14:textId="77777777" w:rsidR="00705AA2" w:rsidRPr="00B0658A" w:rsidRDefault="00705AA2" w:rsidP="000A4114">
            <w:pPr>
              <w:pStyle w:val="ConsPlusNormal"/>
            </w:pPr>
          </w:p>
        </w:tc>
        <w:tc>
          <w:tcPr>
            <w:tcW w:w="1024" w:type="pct"/>
            <w:tcBorders>
              <w:top w:val="single" w:sz="4" w:space="0" w:color="auto"/>
              <w:left w:val="single" w:sz="4" w:space="0" w:color="auto"/>
              <w:bottom w:val="single" w:sz="4" w:space="0" w:color="auto"/>
              <w:right w:val="single" w:sz="4" w:space="0" w:color="auto"/>
            </w:tcBorders>
          </w:tcPr>
          <w:p w14:paraId="6A52F8E0" w14:textId="77777777" w:rsidR="00705AA2" w:rsidRPr="00B0658A" w:rsidRDefault="00705AA2" w:rsidP="000A4114">
            <w:pPr>
              <w:pStyle w:val="ConsPlusNormal"/>
            </w:pPr>
          </w:p>
        </w:tc>
      </w:tr>
      <w:tr w:rsidR="00F52FED" w:rsidRPr="00B0658A" w14:paraId="227FB364" w14:textId="77777777" w:rsidTr="004F1366">
        <w:trPr>
          <w:trHeight w:val="20"/>
        </w:trPr>
        <w:tc>
          <w:tcPr>
            <w:tcW w:w="204" w:type="pct"/>
            <w:tcBorders>
              <w:top w:val="single" w:sz="4" w:space="0" w:color="auto"/>
              <w:left w:val="single" w:sz="4" w:space="0" w:color="auto"/>
              <w:bottom w:val="single" w:sz="4" w:space="0" w:color="auto"/>
              <w:right w:val="single" w:sz="4" w:space="0" w:color="auto"/>
            </w:tcBorders>
          </w:tcPr>
          <w:p w14:paraId="26803F15" w14:textId="77777777" w:rsidR="00705AA2" w:rsidRPr="00B0658A" w:rsidRDefault="00705AA2" w:rsidP="000A4114">
            <w:pPr>
              <w:pStyle w:val="ConsPlusNormal"/>
              <w:rPr>
                <w:lang w:val="en-US"/>
              </w:rPr>
            </w:pPr>
            <w:r w:rsidRPr="00B0658A">
              <w:rPr>
                <w:lang w:val="en-US"/>
              </w:rPr>
              <w:t>N.2</w:t>
            </w:r>
          </w:p>
        </w:tc>
        <w:tc>
          <w:tcPr>
            <w:tcW w:w="829" w:type="pct"/>
            <w:tcBorders>
              <w:top w:val="single" w:sz="4" w:space="0" w:color="auto"/>
              <w:left w:val="single" w:sz="4" w:space="0" w:color="auto"/>
              <w:bottom w:val="single" w:sz="4" w:space="0" w:color="auto"/>
              <w:right w:val="single" w:sz="4" w:space="0" w:color="auto"/>
            </w:tcBorders>
          </w:tcPr>
          <w:p w14:paraId="2100C09A" w14:textId="77777777" w:rsidR="00705AA2" w:rsidRPr="00B0658A" w:rsidRDefault="00705AA2" w:rsidP="000A4114">
            <w:pPr>
              <w:pStyle w:val="ConsPlusNormal"/>
            </w:pPr>
          </w:p>
        </w:tc>
        <w:tc>
          <w:tcPr>
            <w:tcW w:w="1133" w:type="pct"/>
            <w:tcBorders>
              <w:top w:val="single" w:sz="4" w:space="0" w:color="auto"/>
              <w:left w:val="single" w:sz="4" w:space="0" w:color="auto"/>
              <w:bottom w:val="single" w:sz="4" w:space="0" w:color="auto"/>
              <w:right w:val="single" w:sz="4" w:space="0" w:color="auto"/>
            </w:tcBorders>
          </w:tcPr>
          <w:p w14:paraId="34E9A1B9" w14:textId="77777777" w:rsidR="00705AA2" w:rsidRPr="00B0658A" w:rsidRDefault="00705AA2" w:rsidP="000A4114">
            <w:pPr>
              <w:pStyle w:val="ConsPlusNormal"/>
            </w:pPr>
          </w:p>
        </w:tc>
        <w:tc>
          <w:tcPr>
            <w:tcW w:w="1188" w:type="pct"/>
            <w:tcBorders>
              <w:top w:val="single" w:sz="4" w:space="0" w:color="auto"/>
              <w:left w:val="single" w:sz="4" w:space="0" w:color="auto"/>
              <w:bottom w:val="single" w:sz="4" w:space="0" w:color="auto"/>
              <w:right w:val="single" w:sz="4" w:space="0" w:color="auto"/>
            </w:tcBorders>
          </w:tcPr>
          <w:p w14:paraId="01EDFE84" w14:textId="77777777" w:rsidR="00705AA2" w:rsidRPr="00B0658A" w:rsidRDefault="00705AA2" w:rsidP="000A4114">
            <w:pPr>
              <w:pStyle w:val="ConsPlusNormal"/>
            </w:pPr>
          </w:p>
        </w:tc>
        <w:tc>
          <w:tcPr>
            <w:tcW w:w="622" w:type="pct"/>
            <w:tcBorders>
              <w:top w:val="single" w:sz="4" w:space="0" w:color="auto"/>
              <w:left w:val="single" w:sz="4" w:space="0" w:color="auto"/>
              <w:bottom w:val="single" w:sz="4" w:space="0" w:color="auto"/>
              <w:right w:val="single" w:sz="4" w:space="0" w:color="auto"/>
            </w:tcBorders>
          </w:tcPr>
          <w:p w14:paraId="2249CC4C" w14:textId="77777777" w:rsidR="00705AA2" w:rsidRPr="00B0658A" w:rsidRDefault="00705AA2" w:rsidP="000A4114">
            <w:pPr>
              <w:pStyle w:val="ConsPlusNormal"/>
            </w:pPr>
          </w:p>
        </w:tc>
        <w:tc>
          <w:tcPr>
            <w:tcW w:w="1024" w:type="pct"/>
            <w:tcBorders>
              <w:top w:val="single" w:sz="4" w:space="0" w:color="auto"/>
              <w:left w:val="single" w:sz="4" w:space="0" w:color="auto"/>
              <w:bottom w:val="single" w:sz="4" w:space="0" w:color="auto"/>
              <w:right w:val="single" w:sz="4" w:space="0" w:color="auto"/>
            </w:tcBorders>
          </w:tcPr>
          <w:p w14:paraId="042F37E3" w14:textId="77777777" w:rsidR="00705AA2" w:rsidRPr="00B0658A" w:rsidRDefault="00705AA2" w:rsidP="000A4114">
            <w:pPr>
              <w:pStyle w:val="ConsPlusNormal"/>
            </w:pPr>
          </w:p>
        </w:tc>
      </w:tr>
      <w:tr w:rsidR="00F52FED" w:rsidRPr="00B0658A" w14:paraId="7118E81E" w14:textId="77777777" w:rsidTr="004F1366">
        <w:trPr>
          <w:trHeight w:val="20"/>
        </w:trPr>
        <w:tc>
          <w:tcPr>
            <w:tcW w:w="204" w:type="pct"/>
            <w:tcBorders>
              <w:top w:val="single" w:sz="4" w:space="0" w:color="auto"/>
              <w:left w:val="single" w:sz="4" w:space="0" w:color="auto"/>
              <w:bottom w:val="single" w:sz="4" w:space="0" w:color="auto"/>
              <w:right w:val="single" w:sz="4" w:space="0" w:color="auto"/>
            </w:tcBorders>
          </w:tcPr>
          <w:p w14:paraId="1811D873" w14:textId="77777777" w:rsidR="00705AA2" w:rsidRPr="00B0658A" w:rsidRDefault="00705AA2" w:rsidP="000A4114">
            <w:pPr>
              <w:pStyle w:val="ConsPlusNormal"/>
            </w:pPr>
          </w:p>
        </w:tc>
        <w:tc>
          <w:tcPr>
            <w:tcW w:w="829" w:type="pct"/>
            <w:tcBorders>
              <w:top w:val="single" w:sz="4" w:space="0" w:color="auto"/>
              <w:left w:val="single" w:sz="4" w:space="0" w:color="auto"/>
              <w:bottom w:val="single" w:sz="4" w:space="0" w:color="auto"/>
              <w:right w:val="single" w:sz="4" w:space="0" w:color="auto"/>
            </w:tcBorders>
          </w:tcPr>
          <w:p w14:paraId="7FA97470" w14:textId="77777777" w:rsidR="00705AA2" w:rsidRPr="00B0658A" w:rsidRDefault="00705AA2" w:rsidP="000A4114">
            <w:pPr>
              <w:pStyle w:val="ConsPlusNormal"/>
            </w:pPr>
          </w:p>
        </w:tc>
        <w:tc>
          <w:tcPr>
            <w:tcW w:w="1133" w:type="pct"/>
            <w:tcBorders>
              <w:top w:val="single" w:sz="4" w:space="0" w:color="auto"/>
              <w:left w:val="single" w:sz="4" w:space="0" w:color="auto"/>
              <w:bottom w:val="single" w:sz="4" w:space="0" w:color="auto"/>
              <w:right w:val="single" w:sz="4" w:space="0" w:color="auto"/>
            </w:tcBorders>
          </w:tcPr>
          <w:p w14:paraId="22E4E387" w14:textId="77777777" w:rsidR="00705AA2" w:rsidRPr="00B0658A" w:rsidRDefault="00705AA2" w:rsidP="000A4114">
            <w:pPr>
              <w:pStyle w:val="ConsPlusNormal"/>
            </w:pPr>
          </w:p>
        </w:tc>
        <w:tc>
          <w:tcPr>
            <w:tcW w:w="1188" w:type="pct"/>
            <w:tcBorders>
              <w:top w:val="single" w:sz="4" w:space="0" w:color="auto"/>
              <w:left w:val="single" w:sz="4" w:space="0" w:color="auto"/>
              <w:bottom w:val="single" w:sz="4" w:space="0" w:color="auto"/>
              <w:right w:val="single" w:sz="4" w:space="0" w:color="auto"/>
            </w:tcBorders>
          </w:tcPr>
          <w:p w14:paraId="41F968D1" w14:textId="77777777" w:rsidR="00705AA2" w:rsidRPr="00B0658A" w:rsidRDefault="00705AA2" w:rsidP="000A4114">
            <w:pPr>
              <w:pStyle w:val="ConsPlusNormal"/>
            </w:pPr>
          </w:p>
        </w:tc>
        <w:tc>
          <w:tcPr>
            <w:tcW w:w="622" w:type="pct"/>
            <w:tcBorders>
              <w:top w:val="single" w:sz="4" w:space="0" w:color="auto"/>
              <w:left w:val="single" w:sz="4" w:space="0" w:color="auto"/>
              <w:bottom w:val="single" w:sz="4" w:space="0" w:color="auto"/>
              <w:right w:val="single" w:sz="4" w:space="0" w:color="auto"/>
            </w:tcBorders>
          </w:tcPr>
          <w:p w14:paraId="1836EB4D" w14:textId="77777777" w:rsidR="00705AA2" w:rsidRPr="00B0658A" w:rsidRDefault="00705AA2" w:rsidP="000A4114">
            <w:pPr>
              <w:pStyle w:val="ConsPlusNormal"/>
            </w:pPr>
          </w:p>
        </w:tc>
        <w:tc>
          <w:tcPr>
            <w:tcW w:w="1024" w:type="pct"/>
            <w:tcBorders>
              <w:top w:val="single" w:sz="4" w:space="0" w:color="auto"/>
              <w:left w:val="single" w:sz="4" w:space="0" w:color="auto"/>
              <w:bottom w:val="single" w:sz="4" w:space="0" w:color="auto"/>
              <w:right w:val="single" w:sz="4" w:space="0" w:color="auto"/>
            </w:tcBorders>
          </w:tcPr>
          <w:p w14:paraId="0DEDA67E" w14:textId="77777777" w:rsidR="00705AA2" w:rsidRPr="00B0658A" w:rsidRDefault="00705AA2" w:rsidP="000A4114">
            <w:pPr>
              <w:pStyle w:val="ConsPlusNormal"/>
            </w:pPr>
          </w:p>
        </w:tc>
      </w:tr>
      <w:tr w:rsidR="00705AA2" w:rsidRPr="00B0658A" w14:paraId="067CBCA5" w14:textId="77777777" w:rsidTr="004F1366">
        <w:trPr>
          <w:trHeight w:val="20"/>
        </w:trPr>
        <w:tc>
          <w:tcPr>
            <w:tcW w:w="204" w:type="pct"/>
            <w:tcBorders>
              <w:top w:val="single" w:sz="4" w:space="0" w:color="auto"/>
              <w:left w:val="single" w:sz="4" w:space="0" w:color="auto"/>
              <w:bottom w:val="single" w:sz="4" w:space="0" w:color="auto"/>
              <w:right w:val="single" w:sz="4" w:space="0" w:color="auto"/>
            </w:tcBorders>
          </w:tcPr>
          <w:p w14:paraId="638DB784" w14:textId="77777777" w:rsidR="00705AA2" w:rsidRPr="00B0658A" w:rsidRDefault="00705AA2" w:rsidP="000A4114">
            <w:pPr>
              <w:pStyle w:val="ConsPlusNormal"/>
              <w:rPr>
                <w:lang w:val="en-US"/>
              </w:rPr>
            </w:pPr>
            <w:r w:rsidRPr="00B0658A">
              <w:rPr>
                <w:lang w:val="en-US"/>
              </w:rPr>
              <w:t>N.n</w:t>
            </w:r>
          </w:p>
        </w:tc>
        <w:tc>
          <w:tcPr>
            <w:tcW w:w="829" w:type="pct"/>
            <w:tcBorders>
              <w:top w:val="single" w:sz="4" w:space="0" w:color="auto"/>
              <w:left w:val="single" w:sz="4" w:space="0" w:color="auto"/>
              <w:bottom w:val="single" w:sz="4" w:space="0" w:color="auto"/>
              <w:right w:val="single" w:sz="4" w:space="0" w:color="auto"/>
            </w:tcBorders>
          </w:tcPr>
          <w:p w14:paraId="4EC61D17" w14:textId="77777777" w:rsidR="00705AA2" w:rsidRPr="00B0658A" w:rsidRDefault="00705AA2" w:rsidP="000A4114">
            <w:pPr>
              <w:pStyle w:val="ConsPlusNormal"/>
            </w:pPr>
          </w:p>
        </w:tc>
        <w:tc>
          <w:tcPr>
            <w:tcW w:w="1133" w:type="pct"/>
            <w:tcBorders>
              <w:top w:val="single" w:sz="4" w:space="0" w:color="auto"/>
              <w:left w:val="single" w:sz="4" w:space="0" w:color="auto"/>
              <w:bottom w:val="single" w:sz="4" w:space="0" w:color="auto"/>
              <w:right w:val="single" w:sz="4" w:space="0" w:color="auto"/>
            </w:tcBorders>
          </w:tcPr>
          <w:p w14:paraId="2156E8E7" w14:textId="77777777" w:rsidR="00705AA2" w:rsidRPr="00B0658A" w:rsidRDefault="00705AA2" w:rsidP="000A4114">
            <w:pPr>
              <w:pStyle w:val="ConsPlusNormal"/>
            </w:pPr>
          </w:p>
        </w:tc>
        <w:tc>
          <w:tcPr>
            <w:tcW w:w="1188" w:type="pct"/>
            <w:tcBorders>
              <w:top w:val="single" w:sz="4" w:space="0" w:color="auto"/>
              <w:left w:val="single" w:sz="4" w:space="0" w:color="auto"/>
              <w:bottom w:val="single" w:sz="4" w:space="0" w:color="auto"/>
              <w:right w:val="single" w:sz="4" w:space="0" w:color="auto"/>
            </w:tcBorders>
          </w:tcPr>
          <w:p w14:paraId="1E31AED3" w14:textId="77777777" w:rsidR="00705AA2" w:rsidRPr="00B0658A" w:rsidRDefault="00705AA2" w:rsidP="000A4114">
            <w:pPr>
              <w:pStyle w:val="ConsPlusNormal"/>
            </w:pPr>
          </w:p>
        </w:tc>
        <w:tc>
          <w:tcPr>
            <w:tcW w:w="622" w:type="pct"/>
            <w:tcBorders>
              <w:top w:val="single" w:sz="4" w:space="0" w:color="auto"/>
              <w:left w:val="single" w:sz="4" w:space="0" w:color="auto"/>
              <w:bottom w:val="single" w:sz="4" w:space="0" w:color="auto"/>
              <w:right w:val="single" w:sz="4" w:space="0" w:color="auto"/>
            </w:tcBorders>
          </w:tcPr>
          <w:p w14:paraId="730CA460" w14:textId="77777777" w:rsidR="00705AA2" w:rsidRPr="00B0658A" w:rsidRDefault="00705AA2" w:rsidP="000A4114">
            <w:pPr>
              <w:pStyle w:val="ConsPlusNormal"/>
            </w:pPr>
          </w:p>
        </w:tc>
        <w:tc>
          <w:tcPr>
            <w:tcW w:w="1024" w:type="pct"/>
            <w:tcBorders>
              <w:top w:val="single" w:sz="4" w:space="0" w:color="auto"/>
              <w:left w:val="single" w:sz="4" w:space="0" w:color="auto"/>
              <w:bottom w:val="single" w:sz="4" w:space="0" w:color="auto"/>
              <w:right w:val="single" w:sz="4" w:space="0" w:color="auto"/>
            </w:tcBorders>
          </w:tcPr>
          <w:p w14:paraId="470ADAE7" w14:textId="77777777" w:rsidR="00705AA2" w:rsidRPr="00B0658A" w:rsidRDefault="00705AA2" w:rsidP="000A4114">
            <w:pPr>
              <w:pStyle w:val="ConsPlusNormal"/>
            </w:pPr>
          </w:p>
        </w:tc>
      </w:tr>
    </w:tbl>
    <w:p w14:paraId="7A5DA88E" w14:textId="77777777" w:rsidR="00705AA2" w:rsidRPr="00B0658A" w:rsidRDefault="00705AA2" w:rsidP="00705AA2">
      <w:pPr>
        <w:spacing w:before="120" w:after="0" w:line="240" w:lineRule="auto"/>
        <w:rPr>
          <w:rFonts w:ascii="Times New Roman" w:hAnsi="Times New Roman"/>
          <w:sz w:val="28"/>
          <w:szCs w:val="24"/>
        </w:rPr>
      </w:pPr>
    </w:p>
    <w:p w14:paraId="76184CA3" w14:textId="77777777" w:rsidR="00705AA2" w:rsidRPr="00B0658A" w:rsidRDefault="00705AA2" w:rsidP="00705AA2">
      <w:pPr>
        <w:spacing w:before="120" w:after="0" w:line="240" w:lineRule="auto"/>
        <w:jc w:val="both"/>
        <w:rPr>
          <w:rFonts w:ascii="Times New Roman" w:hAnsi="Times New Roman"/>
          <w:sz w:val="28"/>
          <w:szCs w:val="24"/>
        </w:rPr>
      </w:pPr>
      <w:r w:rsidRPr="00B0658A">
        <w:rPr>
          <w:rFonts w:ascii="Times New Roman" w:hAnsi="Times New Roman"/>
          <w:sz w:val="28"/>
          <w:szCs w:val="24"/>
        </w:rPr>
        <w:t>Раздел 2. «Показатели эффективности перехода на использование российского ПО и соответствующие им значения индикаторов эффективности в отношении значимых объектов КИИ»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7"/>
        <w:gridCol w:w="3432"/>
        <w:gridCol w:w="2337"/>
        <w:gridCol w:w="2337"/>
        <w:gridCol w:w="875"/>
        <w:gridCol w:w="875"/>
        <w:gridCol w:w="875"/>
        <w:gridCol w:w="875"/>
        <w:gridCol w:w="1581"/>
      </w:tblGrid>
      <w:tr w:rsidR="00F52FED" w:rsidRPr="00B0658A" w14:paraId="5513F038" w14:textId="77777777" w:rsidTr="004F1366">
        <w:trPr>
          <w:trHeight w:val="20"/>
          <w:tblHeader/>
        </w:trPr>
        <w:tc>
          <w:tcPr>
            <w:tcW w:w="278" w:type="pct"/>
            <w:shd w:val="clear" w:color="000000" w:fill="E7E6E6"/>
            <w:vAlign w:val="center"/>
            <w:hideMark/>
          </w:tcPr>
          <w:p w14:paraId="1D410F90" w14:textId="77777777" w:rsidR="00705AA2" w:rsidRPr="00B0658A" w:rsidRDefault="00705AA2" w:rsidP="004F1366">
            <w:pPr>
              <w:spacing w:after="0" w:line="240" w:lineRule="auto"/>
              <w:jc w:val="center"/>
              <w:rPr>
                <w:rFonts w:ascii="Times New Roman" w:hAnsi="Times New Roman"/>
                <w:b/>
                <w:bCs/>
                <w:sz w:val="20"/>
                <w:szCs w:val="20"/>
              </w:rPr>
            </w:pPr>
            <w:r w:rsidRPr="00B0658A">
              <w:rPr>
                <w:rFonts w:ascii="Times New Roman" w:hAnsi="Times New Roman"/>
                <w:b/>
                <w:bCs/>
                <w:sz w:val="20"/>
                <w:szCs w:val="20"/>
              </w:rPr>
              <w:t>№ п/п</w:t>
            </w:r>
          </w:p>
        </w:tc>
        <w:tc>
          <w:tcPr>
            <w:tcW w:w="1237" w:type="pct"/>
            <w:shd w:val="clear" w:color="000000" w:fill="E7E6E6"/>
            <w:vAlign w:val="center"/>
            <w:hideMark/>
          </w:tcPr>
          <w:p w14:paraId="63FED503" w14:textId="77777777" w:rsidR="00705AA2" w:rsidRPr="00B0658A" w:rsidRDefault="00705AA2" w:rsidP="004F1366">
            <w:pPr>
              <w:spacing w:after="0" w:line="240" w:lineRule="auto"/>
              <w:jc w:val="center"/>
              <w:rPr>
                <w:rFonts w:ascii="Times New Roman" w:hAnsi="Times New Roman"/>
                <w:b/>
                <w:bCs/>
                <w:sz w:val="20"/>
                <w:szCs w:val="20"/>
              </w:rPr>
            </w:pPr>
            <w:r w:rsidRPr="00B0658A">
              <w:rPr>
                <w:rFonts w:ascii="Times New Roman" w:hAnsi="Times New Roman"/>
                <w:b/>
                <w:bCs/>
                <w:sz w:val="20"/>
                <w:szCs w:val="20"/>
              </w:rPr>
              <w:t>Наименование используемого класса (типа) ПО</w:t>
            </w:r>
          </w:p>
        </w:tc>
        <w:tc>
          <w:tcPr>
            <w:tcW w:w="844" w:type="pct"/>
            <w:shd w:val="clear" w:color="000000" w:fill="E7E6E6"/>
            <w:vAlign w:val="center"/>
          </w:tcPr>
          <w:p w14:paraId="423EBBCA" w14:textId="77777777" w:rsidR="00705AA2" w:rsidRPr="00B0658A" w:rsidRDefault="00705AA2" w:rsidP="004F1366">
            <w:pPr>
              <w:spacing w:after="0" w:line="240" w:lineRule="auto"/>
              <w:jc w:val="center"/>
              <w:rPr>
                <w:rFonts w:ascii="Times New Roman" w:hAnsi="Times New Roman"/>
                <w:b/>
                <w:bCs/>
                <w:sz w:val="20"/>
                <w:szCs w:val="20"/>
              </w:rPr>
            </w:pPr>
            <w:r w:rsidRPr="00B0658A">
              <w:rPr>
                <w:rFonts w:ascii="Times New Roman" w:hAnsi="Times New Roman"/>
                <w:b/>
                <w:bCs/>
                <w:sz w:val="20"/>
                <w:szCs w:val="20"/>
              </w:rPr>
              <w:t>Перечень иностранного ПО, подлежащего замещению</w:t>
            </w:r>
          </w:p>
        </w:tc>
        <w:tc>
          <w:tcPr>
            <w:tcW w:w="844" w:type="pct"/>
            <w:shd w:val="clear" w:color="000000" w:fill="E7E6E6"/>
            <w:vAlign w:val="center"/>
            <w:hideMark/>
          </w:tcPr>
          <w:p w14:paraId="7BB71D34" w14:textId="77777777" w:rsidR="00705AA2" w:rsidRPr="00B0658A" w:rsidRDefault="00705AA2" w:rsidP="004F1366">
            <w:pPr>
              <w:spacing w:after="0" w:line="240" w:lineRule="auto"/>
              <w:jc w:val="center"/>
              <w:rPr>
                <w:rFonts w:ascii="Times New Roman" w:hAnsi="Times New Roman"/>
                <w:b/>
                <w:bCs/>
                <w:sz w:val="20"/>
                <w:szCs w:val="20"/>
              </w:rPr>
            </w:pPr>
            <w:r w:rsidRPr="00B0658A">
              <w:rPr>
                <w:rFonts w:ascii="Times New Roman" w:hAnsi="Times New Roman"/>
                <w:b/>
                <w:bCs/>
                <w:sz w:val="20"/>
                <w:szCs w:val="20"/>
              </w:rPr>
              <w:t>Наименование целевого показателя</w:t>
            </w:r>
          </w:p>
        </w:tc>
        <w:tc>
          <w:tcPr>
            <w:tcW w:w="320" w:type="pct"/>
            <w:shd w:val="clear" w:color="000000" w:fill="E7E6E6"/>
            <w:vAlign w:val="center"/>
          </w:tcPr>
          <w:p w14:paraId="3AE85884" w14:textId="77777777" w:rsidR="00705AA2" w:rsidRPr="00B0658A" w:rsidRDefault="00705AA2" w:rsidP="004F1366">
            <w:pPr>
              <w:spacing w:after="0" w:line="240" w:lineRule="auto"/>
              <w:jc w:val="center"/>
              <w:rPr>
                <w:rFonts w:ascii="Times New Roman" w:hAnsi="Times New Roman"/>
                <w:b/>
                <w:bCs/>
                <w:sz w:val="20"/>
                <w:szCs w:val="20"/>
              </w:rPr>
            </w:pPr>
            <w:r w:rsidRPr="00B0658A">
              <w:rPr>
                <w:rFonts w:ascii="Times New Roman" w:hAnsi="Times New Roman"/>
                <w:b/>
                <w:bCs/>
                <w:sz w:val="20"/>
                <w:szCs w:val="20"/>
              </w:rPr>
              <w:t>2021 г.</w:t>
            </w:r>
          </w:p>
          <w:p w14:paraId="7E9886E8" w14:textId="77777777" w:rsidR="00705AA2" w:rsidRPr="00B0658A" w:rsidRDefault="00705AA2" w:rsidP="004F1366">
            <w:pPr>
              <w:spacing w:after="0" w:line="240" w:lineRule="auto"/>
              <w:jc w:val="center"/>
              <w:rPr>
                <w:rFonts w:ascii="Times New Roman" w:hAnsi="Times New Roman"/>
                <w:b/>
                <w:bCs/>
                <w:sz w:val="20"/>
                <w:szCs w:val="20"/>
              </w:rPr>
            </w:pPr>
            <w:r w:rsidRPr="00B0658A">
              <w:rPr>
                <w:rFonts w:ascii="Times New Roman" w:hAnsi="Times New Roman"/>
                <w:b/>
                <w:bCs/>
                <w:sz w:val="20"/>
                <w:szCs w:val="20"/>
              </w:rPr>
              <w:t>(факт)</w:t>
            </w:r>
          </w:p>
        </w:tc>
        <w:tc>
          <w:tcPr>
            <w:tcW w:w="320" w:type="pct"/>
            <w:shd w:val="clear" w:color="000000" w:fill="E7E6E6"/>
            <w:noWrap/>
            <w:vAlign w:val="center"/>
            <w:hideMark/>
          </w:tcPr>
          <w:p w14:paraId="3C7C7302" w14:textId="77777777" w:rsidR="00705AA2" w:rsidRPr="00B0658A" w:rsidRDefault="00705AA2" w:rsidP="004F1366">
            <w:pPr>
              <w:spacing w:after="0" w:line="240" w:lineRule="auto"/>
              <w:jc w:val="center"/>
              <w:rPr>
                <w:rFonts w:ascii="Times New Roman" w:hAnsi="Times New Roman"/>
                <w:b/>
                <w:bCs/>
                <w:sz w:val="20"/>
                <w:szCs w:val="20"/>
              </w:rPr>
            </w:pPr>
            <w:r w:rsidRPr="00B0658A">
              <w:rPr>
                <w:rFonts w:ascii="Times New Roman" w:hAnsi="Times New Roman"/>
                <w:b/>
                <w:bCs/>
                <w:sz w:val="20"/>
                <w:szCs w:val="20"/>
              </w:rPr>
              <w:t>2022 г.</w:t>
            </w:r>
          </w:p>
          <w:p w14:paraId="0D54EFF7" w14:textId="77777777" w:rsidR="00705AA2" w:rsidRPr="00B0658A" w:rsidRDefault="00705AA2" w:rsidP="004F1366">
            <w:pPr>
              <w:spacing w:after="0" w:line="240" w:lineRule="auto"/>
              <w:jc w:val="center"/>
              <w:rPr>
                <w:rFonts w:ascii="Times New Roman" w:hAnsi="Times New Roman"/>
                <w:b/>
                <w:bCs/>
                <w:sz w:val="20"/>
                <w:szCs w:val="20"/>
              </w:rPr>
            </w:pPr>
            <w:r w:rsidRPr="00B0658A">
              <w:rPr>
                <w:rFonts w:ascii="Times New Roman" w:hAnsi="Times New Roman"/>
                <w:b/>
                <w:bCs/>
                <w:sz w:val="20"/>
                <w:szCs w:val="20"/>
              </w:rPr>
              <w:t>(план)</w:t>
            </w:r>
          </w:p>
        </w:tc>
        <w:tc>
          <w:tcPr>
            <w:tcW w:w="320" w:type="pct"/>
            <w:shd w:val="clear" w:color="000000" w:fill="E7E6E6"/>
            <w:vAlign w:val="center"/>
            <w:hideMark/>
          </w:tcPr>
          <w:p w14:paraId="0E86A136" w14:textId="77777777" w:rsidR="00705AA2" w:rsidRPr="00B0658A" w:rsidRDefault="00705AA2" w:rsidP="004F1366">
            <w:pPr>
              <w:spacing w:after="0" w:line="240" w:lineRule="auto"/>
              <w:jc w:val="center"/>
              <w:rPr>
                <w:rFonts w:ascii="Times New Roman" w:hAnsi="Times New Roman"/>
                <w:b/>
                <w:bCs/>
                <w:sz w:val="20"/>
                <w:szCs w:val="20"/>
              </w:rPr>
            </w:pPr>
            <w:r w:rsidRPr="00B0658A">
              <w:rPr>
                <w:rFonts w:ascii="Times New Roman" w:hAnsi="Times New Roman"/>
                <w:b/>
                <w:bCs/>
                <w:sz w:val="20"/>
                <w:szCs w:val="20"/>
              </w:rPr>
              <w:t>2023 г.</w:t>
            </w:r>
          </w:p>
          <w:p w14:paraId="5DE35D39" w14:textId="77777777" w:rsidR="00705AA2" w:rsidRPr="00B0658A" w:rsidRDefault="00705AA2" w:rsidP="004F1366">
            <w:pPr>
              <w:spacing w:after="0" w:line="240" w:lineRule="auto"/>
              <w:jc w:val="center"/>
              <w:rPr>
                <w:rFonts w:ascii="Times New Roman" w:hAnsi="Times New Roman"/>
                <w:b/>
                <w:bCs/>
                <w:sz w:val="20"/>
                <w:szCs w:val="20"/>
              </w:rPr>
            </w:pPr>
            <w:r w:rsidRPr="00B0658A">
              <w:rPr>
                <w:rFonts w:ascii="Times New Roman" w:hAnsi="Times New Roman"/>
                <w:b/>
                <w:bCs/>
                <w:sz w:val="20"/>
                <w:szCs w:val="20"/>
              </w:rPr>
              <w:t>(план)</w:t>
            </w:r>
          </w:p>
        </w:tc>
        <w:tc>
          <w:tcPr>
            <w:tcW w:w="320" w:type="pct"/>
            <w:shd w:val="clear" w:color="000000" w:fill="E7E6E6"/>
            <w:noWrap/>
            <w:vAlign w:val="center"/>
            <w:hideMark/>
          </w:tcPr>
          <w:p w14:paraId="767C2DEB" w14:textId="77777777" w:rsidR="00705AA2" w:rsidRPr="00B0658A" w:rsidRDefault="00705AA2" w:rsidP="004F1366">
            <w:pPr>
              <w:spacing w:after="0" w:line="240" w:lineRule="auto"/>
              <w:jc w:val="center"/>
              <w:rPr>
                <w:rFonts w:ascii="Times New Roman" w:hAnsi="Times New Roman"/>
                <w:b/>
                <w:bCs/>
                <w:sz w:val="20"/>
                <w:szCs w:val="20"/>
              </w:rPr>
            </w:pPr>
            <w:r w:rsidRPr="00B0658A">
              <w:rPr>
                <w:rFonts w:ascii="Times New Roman" w:hAnsi="Times New Roman"/>
                <w:b/>
                <w:bCs/>
                <w:sz w:val="20"/>
                <w:szCs w:val="20"/>
              </w:rPr>
              <w:t>2024 г.</w:t>
            </w:r>
          </w:p>
          <w:p w14:paraId="14FA84E3" w14:textId="77777777" w:rsidR="00705AA2" w:rsidRPr="00B0658A" w:rsidRDefault="00705AA2" w:rsidP="004F1366">
            <w:pPr>
              <w:spacing w:after="0" w:line="240" w:lineRule="auto"/>
              <w:jc w:val="center"/>
              <w:rPr>
                <w:rFonts w:ascii="Times New Roman" w:hAnsi="Times New Roman"/>
                <w:b/>
                <w:bCs/>
                <w:sz w:val="20"/>
                <w:szCs w:val="20"/>
              </w:rPr>
            </w:pPr>
            <w:r w:rsidRPr="00B0658A">
              <w:rPr>
                <w:rFonts w:ascii="Times New Roman" w:hAnsi="Times New Roman"/>
                <w:b/>
                <w:bCs/>
                <w:sz w:val="20"/>
                <w:szCs w:val="20"/>
              </w:rPr>
              <w:t>(план)</w:t>
            </w:r>
          </w:p>
        </w:tc>
        <w:tc>
          <w:tcPr>
            <w:tcW w:w="518" w:type="pct"/>
            <w:shd w:val="clear" w:color="000000" w:fill="E7E6E6"/>
            <w:vAlign w:val="center"/>
            <w:hideMark/>
          </w:tcPr>
          <w:p w14:paraId="69C8BD52" w14:textId="77777777" w:rsidR="00705AA2" w:rsidRPr="00B0658A" w:rsidRDefault="00705AA2" w:rsidP="004F1366">
            <w:pPr>
              <w:spacing w:after="0" w:line="240" w:lineRule="auto"/>
              <w:jc w:val="center"/>
              <w:rPr>
                <w:rFonts w:ascii="Times New Roman" w:hAnsi="Times New Roman"/>
                <w:b/>
                <w:bCs/>
                <w:sz w:val="20"/>
                <w:szCs w:val="20"/>
              </w:rPr>
            </w:pPr>
            <w:r w:rsidRPr="00B0658A">
              <w:rPr>
                <w:rFonts w:ascii="Times New Roman" w:hAnsi="Times New Roman"/>
                <w:b/>
                <w:bCs/>
                <w:sz w:val="20"/>
                <w:szCs w:val="20"/>
              </w:rPr>
              <w:t>Единицы измерения уровня использования</w:t>
            </w:r>
          </w:p>
        </w:tc>
      </w:tr>
      <w:tr w:rsidR="00F52FED" w:rsidRPr="00B0658A" w14:paraId="2E388E5A" w14:textId="77777777" w:rsidTr="004F1366">
        <w:trPr>
          <w:trHeight w:val="20"/>
        </w:trPr>
        <w:tc>
          <w:tcPr>
            <w:tcW w:w="5000" w:type="pct"/>
            <w:gridSpan w:val="9"/>
            <w:shd w:val="clear" w:color="auto" w:fill="DEEAF6" w:themeFill="accent5" w:themeFillTint="33"/>
          </w:tcPr>
          <w:p w14:paraId="78F370BA" w14:textId="77777777" w:rsidR="00705AA2" w:rsidRPr="00B0658A" w:rsidRDefault="00705AA2" w:rsidP="004F1366">
            <w:pPr>
              <w:spacing w:after="0" w:line="240" w:lineRule="auto"/>
              <w:rPr>
                <w:rFonts w:ascii="Times New Roman" w:hAnsi="Times New Roman"/>
                <w:b/>
                <w:sz w:val="20"/>
                <w:szCs w:val="20"/>
              </w:rPr>
            </w:pPr>
            <w:r w:rsidRPr="00B0658A">
              <w:rPr>
                <w:rFonts w:ascii="Times New Roman" w:hAnsi="Times New Roman"/>
                <w:b/>
                <w:sz w:val="20"/>
                <w:szCs w:val="20"/>
              </w:rPr>
              <w:t>1. Показатели эффективности перехода в отношении________ (наименование значимого объекта КИИ №1)</w:t>
            </w:r>
          </w:p>
        </w:tc>
      </w:tr>
      <w:tr w:rsidR="00F52FED" w:rsidRPr="00B0658A" w14:paraId="6F5603D2" w14:textId="77777777" w:rsidTr="004F1366">
        <w:trPr>
          <w:trHeight w:val="20"/>
        </w:trPr>
        <w:tc>
          <w:tcPr>
            <w:tcW w:w="278" w:type="pct"/>
            <w:shd w:val="clear" w:color="000000" w:fill="FFFFFF"/>
            <w:vAlign w:val="center"/>
          </w:tcPr>
          <w:p w14:paraId="4AB9D30F" w14:textId="77777777" w:rsidR="00705AA2" w:rsidRPr="00B0658A" w:rsidRDefault="00705AA2" w:rsidP="004F1366">
            <w:pPr>
              <w:spacing w:after="0" w:line="240" w:lineRule="auto"/>
              <w:jc w:val="center"/>
              <w:rPr>
                <w:rFonts w:ascii="Times New Roman" w:hAnsi="Times New Roman"/>
                <w:sz w:val="20"/>
                <w:szCs w:val="20"/>
              </w:rPr>
            </w:pPr>
            <w:r w:rsidRPr="00B0658A">
              <w:rPr>
                <w:rFonts w:ascii="Times New Roman" w:hAnsi="Times New Roman"/>
                <w:sz w:val="20"/>
                <w:szCs w:val="20"/>
              </w:rPr>
              <w:t>1.1</w:t>
            </w:r>
          </w:p>
        </w:tc>
        <w:tc>
          <w:tcPr>
            <w:tcW w:w="1237" w:type="pct"/>
            <w:shd w:val="clear" w:color="auto" w:fill="auto"/>
            <w:vAlign w:val="center"/>
            <w:hideMark/>
          </w:tcPr>
          <w:p w14:paraId="55E2C169" w14:textId="77777777" w:rsidR="00705AA2" w:rsidRPr="00B0658A" w:rsidRDefault="00705AA2" w:rsidP="004F1366">
            <w:pPr>
              <w:spacing w:after="0" w:line="240" w:lineRule="auto"/>
              <w:rPr>
                <w:rFonts w:ascii="Times New Roman" w:hAnsi="Times New Roman"/>
                <w:i/>
                <w:sz w:val="20"/>
                <w:szCs w:val="20"/>
              </w:rPr>
            </w:pPr>
            <w:r w:rsidRPr="00B0658A">
              <w:rPr>
                <w:rFonts w:ascii="Times New Roman" w:hAnsi="Times New Roman"/>
                <w:i/>
                <w:sz w:val="20"/>
                <w:szCs w:val="20"/>
              </w:rPr>
              <w:t>Указывается класс (тип) №1 ПО, используемого на значимом объекте КИИ №1 в соответствии с приказом Минцифры России от 22 сентября 2020 г. № 486)</w:t>
            </w:r>
          </w:p>
        </w:tc>
        <w:tc>
          <w:tcPr>
            <w:tcW w:w="844" w:type="pct"/>
          </w:tcPr>
          <w:p w14:paraId="7722C69D" w14:textId="77777777" w:rsidR="00705AA2" w:rsidRPr="00B0658A" w:rsidRDefault="00705AA2" w:rsidP="004F1366">
            <w:pPr>
              <w:spacing w:after="0" w:line="240" w:lineRule="auto"/>
              <w:rPr>
                <w:rFonts w:ascii="Times New Roman" w:hAnsi="Times New Roman"/>
                <w:sz w:val="20"/>
                <w:szCs w:val="20"/>
              </w:rPr>
            </w:pPr>
            <w:r w:rsidRPr="00B0658A">
              <w:rPr>
                <w:rFonts w:ascii="Times New Roman" w:hAnsi="Times New Roman"/>
                <w:i/>
                <w:sz w:val="20"/>
                <w:szCs w:val="20"/>
              </w:rPr>
              <w:t>Указывается перечень используемого иностранного ПО на значимом объекте КИИ</w:t>
            </w:r>
          </w:p>
        </w:tc>
        <w:tc>
          <w:tcPr>
            <w:tcW w:w="844" w:type="pct"/>
            <w:shd w:val="clear" w:color="000000" w:fill="FFFFFF"/>
            <w:hideMark/>
          </w:tcPr>
          <w:p w14:paraId="0C2A5D57" w14:textId="77777777" w:rsidR="00705AA2" w:rsidRPr="00B0658A" w:rsidRDefault="00705AA2" w:rsidP="004F1366">
            <w:pPr>
              <w:spacing w:after="0" w:line="240" w:lineRule="auto"/>
              <w:rPr>
                <w:rFonts w:ascii="Times New Roman" w:hAnsi="Times New Roman"/>
                <w:sz w:val="20"/>
                <w:szCs w:val="20"/>
              </w:rPr>
            </w:pPr>
            <w:r w:rsidRPr="00B0658A">
              <w:rPr>
                <w:rFonts w:ascii="Times New Roman" w:hAnsi="Times New Roman"/>
                <w:sz w:val="20"/>
                <w:szCs w:val="20"/>
              </w:rPr>
              <w:t>Доля используемого российского ПО и евразийского ПО, используемого на значимом объекте КИИ, в общем объёме используемого ПО на таком объекте, %</w:t>
            </w:r>
          </w:p>
        </w:tc>
        <w:tc>
          <w:tcPr>
            <w:tcW w:w="320" w:type="pct"/>
            <w:shd w:val="clear" w:color="000000" w:fill="FFFFFF"/>
            <w:vAlign w:val="center"/>
          </w:tcPr>
          <w:p w14:paraId="504B8016" w14:textId="77777777" w:rsidR="00705AA2" w:rsidRPr="00B0658A" w:rsidRDefault="00705AA2" w:rsidP="004F1366">
            <w:pPr>
              <w:spacing w:after="0" w:line="240" w:lineRule="auto"/>
              <w:jc w:val="center"/>
              <w:rPr>
                <w:rFonts w:ascii="Times New Roman" w:hAnsi="Times New Roman"/>
                <w:sz w:val="20"/>
                <w:szCs w:val="20"/>
              </w:rPr>
            </w:pPr>
          </w:p>
        </w:tc>
        <w:tc>
          <w:tcPr>
            <w:tcW w:w="320" w:type="pct"/>
            <w:shd w:val="clear" w:color="000000" w:fill="FFFFFF"/>
            <w:vAlign w:val="center"/>
            <w:hideMark/>
          </w:tcPr>
          <w:p w14:paraId="7B7DAFA5" w14:textId="77777777" w:rsidR="00705AA2" w:rsidRPr="00B0658A" w:rsidRDefault="00705AA2" w:rsidP="004F1366">
            <w:pPr>
              <w:spacing w:after="0" w:line="240" w:lineRule="auto"/>
              <w:jc w:val="center"/>
              <w:rPr>
                <w:rFonts w:ascii="Times New Roman" w:hAnsi="Times New Roman"/>
                <w:sz w:val="20"/>
                <w:szCs w:val="20"/>
              </w:rPr>
            </w:pPr>
          </w:p>
        </w:tc>
        <w:tc>
          <w:tcPr>
            <w:tcW w:w="320" w:type="pct"/>
            <w:shd w:val="clear" w:color="000000" w:fill="FFFFFF"/>
            <w:vAlign w:val="center"/>
            <w:hideMark/>
          </w:tcPr>
          <w:p w14:paraId="1FC83D1D" w14:textId="77777777" w:rsidR="00705AA2" w:rsidRPr="00B0658A" w:rsidRDefault="00705AA2" w:rsidP="004F1366">
            <w:pPr>
              <w:spacing w:after="0" w:line="240" w:lineRule="auto"/>
              <w:jc w:val="center"/>
              <w:rPr>
                <w:rFonts w:ascii="Times New Roman" w:hAnsi="Times New Roman"/>
                <w:sz w:val="20"/>
                <w:szCs w:val="20"/>
              </w:rPr>
            </w:pPr>
          </w:p>
        </w:tc>
        <w:tc>
          <w:tcPr>
            <w:tcW w:w="320" w:type="pct"/>
            <w:shd w:val="clear" w:color="000000" w:fill="FFFFFF"/>
            <w:vAlign w:val="center"/>
            <w:hideMark/>
          </w:tcPr>
          <w:p w14:paraId="5FDD31DD" w14:textId="77777777" w:rsidR="00705AA2" w:rsidRPr="00B0658A" w:rsidRDefault="00705AA2" w:rsidP="004F1366">
            <w:pPr>
              <w:spacing w:after="0" w:line="240" w:lineRule="auto"/>
              <w:jc w:val="center"/>
              <w:rPr>
                <w:rFonts w:ascii="Times New Roman" w:hAnsi="Times New Roman"/>
                <w:sz w:val="20"/>
                <w:szCs w:val="20"/>
              </w:rPr>
            </w:pPr>
          </w:p>
        </w:tc>
        <w:tc>
          <w:tcPr>
            <w:tcW w:w="518" w:type="pct"/>
            <w:shd w:val="clear" w:color="000000" w:fill="FFFFFF"/>
            <w:vAlign w:val="center"/>
            <w:hideMark/>
          </w:tcPr>
          <w:p w14:paraId="43CECB32" w14:textId="77777777" w:rsidR="00705AA2" w:rsidRPr="00B0658A" w:rsidRDefault="00705AA2" w:rsidP="004F1366">
            <w:pPr>
              <w:spacing w:after="0" w:line="240" w:lineRule="auto"/>
              <w:jc w:val="center"/>
              <w:rPr>
                <w:rFonts w:ascii="Times New Roman" w:hAnsi="Times New Roman"/>
                <w:sz w:val="20"/>
                <w:szCs w:val="20"/>
              </w:rPr>
            </w:pPr>
            <w:r w:rsidRPr="00B0658A">
              <w:rPr>
                <w:rFonts w:ascii="Times New Roman" w:hAnsi="Times New Roman"/>
                <w:i/>
                <w:sz w:val="20"/>
                <w:szCs w:val="20"/>
              </w:rPr>
              <w:t>Указывается единица измерения уровня использования</w:t>
            </w:r>
          </w:p>
        </w:tc>
      </w:tr>
      <w:tr w:rsidR="00F52FED" w:rsidRPr="00B0658A" w14:paraId="6427BA2D" w14:textId="77777777" w:rsidTr="004F1366">
        <w:trPr>
          <w:trHeight w:val="20"/>
        </w:trPr>
        <w:tc>
          <w:tcPr>
            <w:tcW w:w="278" w:type="pct"/>
            <w:shd w:val="clear" w:color="000000" w:fill="FFFFFF"/>
            <w:vAlign w:val="center"/>
          </w:tcPr>
          <w:p w14:paraId="51DD7424" w14:textId="77777777" w:rsidR="00705AA2" w:rsidRPr="00B0658A" w:rsidRDefault="00705AA2" w:rsidP="004F1366">
            <w:pPr>
              <w:spacing w:after="0" w:line="240" w:lineRule="auto"/>
              <w:jc w:val="center"/>
              <w:rPr>
                <w:rFonts w:ascii="Times New Roman" w:hAnsi="Times New Roman"/>
                <w:sz w:val="20"/>
                <w:szCs w:val="20"/>
              </w:rPr>
            </w:pPr>
            <w:r w:rsidRPr="00B0658A">
              <w:rPr>
                <w:rFonts w:ascii="Times New Roman" w:hAnsi="Times New Roman"/>
                <w:sz w:val="20"/>
                <w:szCs w:val="20"/>
              </w:rPr>
              <w:t>1.2</w:t>
            </w:r>
          </w:p>
        </w:tc>
        <w:tc>
          <w:tcPr>
            <w:tcW w:w="1237" w:type="pct"/>
            <w:shd w:val="clear" w:color="auto" w:fill="auto"/>
            <w:vAlign w:val="center"/>
            <w:hideMark/>
          </w:tcPr>
          <w:p w14:paraId="37BD75CD" w14:textId="77777777" w:rsidR="00705AA2" w:rsidRPr="00B0658A" w:rsidRDefault="00705AA2" w:rsidP="004F1366">
            <w:pPr>
              <w:spacing w:after="0" w:line="240" w:lineRule="auto"/>
              <w:rPr>
                <w:rFonts w:ascii="Times New Roman" w:hAnsi="Times New Roman"/>
                <w:i/>
                <w:sz w:val="20"/>
                <w:szCs w:val="20"/>
              </w:rPr>
            </w:pPr>
            <w:r w:rsidRPr="00B0658A">
              <w:rPr>
                <w:rFonts w:ascii="Times New Roman" w:hAnsi="Times New Roman"/>
                <w:i/>
                <w:sz w:val="20"/>
                <w:szCs w:val="20"/>
              </w:rPr>
              <w:t>Указывается класс (тип) №2 ПО, используемого на значимом объекте КИИ №1 в соответствии с приказом Минцифры России от 22 сентября 2020 г. № 486)</w:t>
            </w:r>
          </w:p>
        </w:tc>
        <w:tc>
          <w:tcPr>
            <w:tcW w:w="844" w:type="pct"/>
          </w:tcPr>
          <w:p w14:paraId="7A5D0273" w14:textId="77777777" w:rsidR="00705AA2" w:rsidRPr="00B0658A" w:rsidRDefault="00705AA2" w:rsidP="004F1366">
            <w:pPr>
              <w:spacing w:after="0" w:line="240" w:lineRule="auto"/>
              <w:rPr>
                <w:rFonts w:ascii="Times New Roman" w:hAnsi="Times New Roman"/>
                <w:sz w:val="20"/>
                <w:szCs w:val="20"/>
              </w:rPr>
            </w:pPr>
          </w:p>
        </w:tc>
        <w:tc>
          <w:tcPr>
            <w:tcW w:w="844" w:type="pct"/>
            <w:shd w:val="clear" w:color="000000" w:fill="FFFFFF"/>
            <w:hideMark/>
          </w:tcPr>
          <w:p w14:paraId="5D33F2D5" w14:textId="77777777" w:rsidR="00705AA2" w:rsidRPr="00B0658A" w:rsidRDefault="00705AA2" w:rsidP="004F1366">
            <w:pPr>
              <w:spacing w:after="0" w:line="240" w:lineRule="auto"/>
              <w:rPr>
                <w:rFonts w:ascii="Times New Roman" w:hAnsi="Times New Roman"/>
                <w:sz w:val="20"/>
                <w:szCs w:val="20"/>
              </w:rPr>
            </w:pPr>
            <w:r w:rsidRPr="00B0658A">
              <w:rPr>
                <w:rFonts w:ascii="Times New Roman" w:hAnsi="Times New Roman"/>
                <w:sz w:val="20"/>
                <w:szCs w:val="20"/>
              </w:rPr>
              <w:t>Доля используемого российского ПО и евразийского ПО, используемого на значимом объекте КИИ, в общем объёме используемого ПО на таком объекте, %</w:t>
            </w:r>
          </w:p>
        </w:tc>
        <w:tc>
          <w:tcPr>
            <w:tcW w:w="320" w:type="pct"/>
            <w:shd w:val="clear" w:color="000000" w:fill="FFFFFF"/>
            <w:vAlign w:val="center"/>
          </w:tcPr>
          <w:p w14:paraId="2CF7B55D" w14:textId="77777777" w:rsidR="00705AA2" w:rsidRPr="00B0658A" w:rsidRDefault="00705AA2" w:rsidP="004F1366">
            <w:pPr>
              <w:spacing w:after="0" w:line="240" w:lineRule="auto"/>
              <w:jc w:val="center"/>
              <w:rPr>
                <w:rFonts w:ascii="Times New Roman" w:hAnsi="Times New Roman"/>
                <w:sz w:val="20"/>
                <w:szCs w:val="20"/>
              </w:rPr>
            </w:pPr>
          </w:p>
        </w:tc>
        <w:tc>
          <w:tcPr>
            <w:tcW w:w="320" w:type="pct"/>
            <w:shd w:val="clear" w:color="000000" w:fill="FFFFFF"/>
            <w:vAlign w:val="center"/>
            <w:hideMark/>
          </w:tcPr>
          <w:p w14:paraId="35F57E69" w14:textId="77777777" w:rsidR="00705AA2" w:rsidRPr="00B0658A" w:rsidRDefault="00705AA2" w:rsidP="004F1366">
            <w:pPr>
              <w:spacing w:after="0" w:line="240" w:lineRule="auto"/>
              <w:jc w:val="center"/>
              <w:rPr>
                <w:rFonts w:ascii="Times New Roman" w:hAnsi="Times New Roman"/>
                <w:sz w:val="20"/>
                <w:szCs w:val="20"/>
              </w:rPr>
            </w:pPr>
          </w:p>
        </w:tc>
        <w:tc>
          <w:tcPr>
            <w:tcW w:w="320" w:type="pct"/>
            <w:shd w:val="clear" w:color="000000" w:fill="FFFFFF"/>
            <w:vAlign w:val="center"/>
            <w:hideMark/>
          </w:tcPr>
          <w:p w14:paraId="25FF62E1" w14:textId="77777777" w:rsidR="00705AA2" w:rsidRPr="00B0658A" w:rsidRDefault="00705AA2" w:rsidP="004F1366">
            <w:pPr>
              <w:spacing w:after="0" w:line="240" w:lineRule="auto"/>
              <w:jc w:val="center"/>
              <w:rPr>
                <w:rFonts w:ascii="Times New Roman" w:hAnsi="Times New Roman"/>
                <w:sz w:val="20"/>
                <w:szCs w:val="20"/>
              </w:rPr>
            </w:pPr>
          </w:p>
        </w:tc>
        <w:tc>
          <w:tcPr>
            <w:tcW w:w="320" w:type="pct"/>
            <w:shd w:val="clear" w:color="000000" w:fill="FFFFFF"/>
            <w:vAlign w:val="center"/>
            <w:hideMark/>
          </w:tcPr>
          <w:p w14:paraId="51811852" w14:textId="77777777" w:rsidR="00705AA2" w:rsidRPr="00B0658A" w:rsidRDefault="00705AA2" w:rsidP="004F1366">
            <w:pPr>
              <w:spacing w:after="0" w:line="240" w:lineRule="auto"/>
              <w:jc w:val="center"/>
              <w:rPr>
                <w:rFonts w:ascii="Times New Roman" w:hAnsi="Times New Roman"/>
                <w:sz w:val="20"/>
                <w:szCs w:val="20"/>
              </w:rPr>
            </w:pPr>
          </w:p>
        </w:tc>
        <w:tc>
          <w:tcPr>
            <w:tcW w:w="518" w:type="pct"/>
            <w:shd w:val="clear" w:color="000000" w:fill="FFFFFF"/>
            <w:vAlign w:val="center"/>
            <w:hideMark/>
          </w:tcPr>
          <w:p w14:paraId="608EDFAC" w14:textId="77777777" w:rsidR="00705AA2" w:rsidRPr="00B0658A" w:rsidRDefault="00705AA2" w:rsidP="004F1366">
            <w:pPr>
              <w:spacing w:after="0" w:line="240" w:lineRule="auto"/>
              <w:jc w:val="center"/>
              <w:rPr>
                <w:rFonts w:ascii="Times New Roman" w:hAnsi="Times New Roman"/>
                <w:sz w:val="20"/>
                <w:szCs w:val="20"/>
              </w:rPr>
            </w:pPr>
          </w:p>
        </w:tc>
      </w:tr>
      <w:tr w:rsidR="00F52FED" w:rsidRPr="00B0658A" w14:paraId="13621BC1" w14:textId="77777777" w:rsidTr="004F1366">
        <w:trPr>
          <w:trHeight w:val="20"/>
        </w:trPr>
        <w:tc>
          <w:tcPr>
            <w:tcW w:w="278" w:type="pct"/>
            <w:shd w:val="clear" w:color="000000" w:fill="FFFFFF"/>
            <w:vAlign w:val="center"/>
          </w:tcPr>
          <w:p w14:paraId="631E3161" w14:textId="77777777" w:rsidR="00705AA2" w:rsidRPr="00B0658A" w:rsidRDefault="00705AA2" w:rsidP="004F1366">
            <w:pPr>
              <w:spacing w:after="0" w:line="240" w:lineRule="auto"/>
              <w:jc w:val="center"/>
              <w:rPr>
                <w:rFonts w:ascii="Times New Roman" w:hAnsi="Times New Roman"/>
                <w:sz w:val="20"/>
                <w:szCs w:val="20"/>
              </w:rPr>
            </w:pPr>
            <w:r w:rsidRPr="00B0658A">
              <w:rPr>
                <w:rFonts w:ascii="Times New Roman" w:hAnsi="Times New Roman"/>
                <w:sz w:val="20"/>
                <w:szCs w:val="20"/>
              </w:rPr>
              <w:t>…</w:t>
            </w:r>
          </w:p>
        </w:tc>
        <w:tc>
          <w:tcPr>
            <w:tcW w:w="1237" w:type="pct"/>
            <w:shd w:val="clear" w:color="auto" w:fill="auto"/>
            <w:vAlign w:val="center"/>
            <w:hideMark/>
          </w:tcPr>
          <w:p w14:paraId="185938B2" w14:textId="77777777" w:rsidR="00705AA2" w:rsidRPr="00B0658A" w:rsidRDefault="00705AA2" w:rsidP="004F1366">
            <w:pPr>
              <w:spacing w:after="0" w:line="240" w:lineRule="auto"/>
              <w:rPr>
                <w:rFonts w:ascii="Times New Roman" w:hAnsi="Times New Roman"/>
                <w:i/>
                <w:sz w:val="20"/>
                <w:szCs w:val="20"/>
              </w:rPr>
            </w:pPr>
            <w:r w:rsidRPr="00B0658A">
              <w:rPr>
                <w:rFonts w:ascii="Times New Roman" w:hAnsi="Times New Roman"/>
                <w:i/>
                <w:sz w:val="20"/>
                <w:szCs w:val="20"/>
              </w:rPr>
              <w:t>…</w:t>
            </w:r>
          </w:p>
        </w:tc>
        <w:tc>
          <w:tcPr>
            <w:tcW w:w="844" w:type="pct"/>
          </w:tcPr>
          <w:p w14:paraId="31E0D211" w14:textId="77777777" w:rsidR="00705AA2" w:rsidRPr="00B0658A" w:rsidRDefault="00705AA2" w:rsidP="004F1366">
            <w:pPr>
              <w:spacing w:after="0" w:line="240" w:lineRule="auto"/>
              <w:rPr>
                <w:rFonts w:ascii="Times New Roman" w:hAnsi="Times New Roman"/>
                <w:sz w:val="20"/>
                <w:szCs w:val="20"/>
              </w:rPr>
            </w:pPr>
          </w:p>
        </w:tc>
        <w:tc>
          <w:tcPr>
            <w:tcW w:w="844" w:type="pct"/>
            <w:shd w:val="clear" w:color="000000" w:fill="FFFFFF"/>
            <w:hideMark/>
          </w:tcPr>
          <w:p w14:paraId="18E7A202" w14:textId="77777777" w:rsidR="00705AA2" w:rsidRPr="00B0658A" w:rsidRDefault="00705AA2" w:rsidP="004F1366">
            <w:pPr>
              <w:spacing w:after="0" w:line="240" w:lineRule="auto"/>
              <w:rPr>
                <w:rFonts w:ascii="Times New Roman" w:hAnsi="Times New Roman"/>
                <w:sz w:val="20"/>
                <w:szCs w:val="20"/>
              </w:rPr>
            </w:pPr>
            <w:r w:rsidRPr="00B0658A">
              <w:rPr>
                <w:rFonts w:ascii="Times New Roman" w:hAnsi="Times New Roman"/>
                <w:sz w:val="20"/>
                <w:szCs w:val="20"/>
              </w:rPr>
              <w:t>…...</w:t>
            </w:r>
          </w:p>
        </w:tc>
        <w:tc>
          <w:tcPr>
            <w:tcW w:w="320" w:type="pct"/>
            <w:shd w:val="clear" w:color="000000" w:fill="FFFFFF"/>
            <w:vAlign w:val="center"/>
          </w:tcPr>
          <w:p w14:paraId="093ED350" w14:textId="77777777" w:rsidR="00705AA2" w:rsidRPr="00B0658A" w:rsidRDefault="00705AA2" w:rsidP="004F1366">
            <w:pPr>
              <w:spacing w:after="0" w:line="240" w:lineRule="auto"/>
              <w:jc w:val="center"/>
              <w:rPr>
                <w:rFonts w:ascii="Times New Roman" w:hAnsi="Times New Roman"/>
                <w:sz w:val="20"/>
                <w:szCs w:val="20"/>
              </w:rPr>
            </w:pPr>
          </w:p>
        </w:tc>
        <w:tc>
          <w:tcPr>
            <w:tcW w:w="320" w:type="pct"/>
            <w:shd w:val="clear" w:color="000000" w:fill="FFFFFF"/>
            <w:vAlign w:val="center"/>
            <w:hideMark/>
          </w:tcPr>
          <w:p w14:paraId="4A3D5A76" w14:textId="77777777" w:rsidR="00705AA2" w:rsidRPr="00B0658A" w:rsidRDefault="00705AA2" w:rsidP="004F1366">
            <w:pPr>
              <w:spacing w:after="0" w:line="240" w:lineRule="auto"/>
              <w:jc w:val="center"/>
              <w:rPr>
                <w:rFonts w:ascii="Times New Roman" w:hAnsi="Times New Roman"/>
                <w:sz w:val="20"/>
                <w:szCs w:val="20"/>
              </w:rPr>
            </w:pPr>
          </w:p>
        </w:tc>
        <w:tc>
          <w:tcPr>
            <w:tcW w:w="320" w:type="pct"/>
            <w:shd w:val="clear" w:color="000000" w:fill="FFFFFF"/>
            <w:vAlign w:val="center"/>
            <w:hideMark/>
          </w:tcPr>
          <w:p w14:paraId="2EC435C3" w14:textId="77777777" w:rsidR="00705AA2" w:rsidRPr="00B0658A" w:rsidRDefault="00705AA2" w:rsidP="004F1366">
            <w:pPr>
              <w:spacing w:after="0" w:line="240" w:lineRule="auto"/>
              <w:jc w:val="center"/>
              <w:rPr>
                <w:rFonts w:ascii="Times New Roman" w:hAnsi="Times New Roman"/>
                <w:sz w:val="20"/>
                <w:szCs w:val="20"/>
              </w:rPr>
            </w:pPr>
          </w:p>
        </w:tc>
        <w:tc>
          <w:tcPr>
            <w:tcW w:w="320" w:type="pct"/>
            <w:shd w:val="clear" w:color="000000" w:fill="FFFFFF"/>
            <w:vAlign w:val="center"/>
            <w:hideMark/>
          </w:tcPr>
          <w:p w14:paraId="384F4BF6" w14:textId="77777777" w:rsidR="00705AA2" w:rsidRPr="00B0658A" w:rsidRDefault="00705AA2" w:rsidP="004F1366">
            <w:pPr>
              <w:spacing w:after="0" w:line="240" w:lineRule="auto"/>
              <w:jc w:val="center"/>
              <w:rPr>
                <w:rFonts w:ascii="Times New Roman" w:hAnsi="Times New Roman"/>
                <w:sz w:val="20"/>
                <w:szCs w:val="20"/>
              </w:rPr>
            </w:pPr>
          </w:p>
        </w:tc>
        <w:tc>
          <w:tcPr>
            <w:tcW w:w="518" w:type="pct"/>
            <w:shd w:val="clear" w:color="000000" w:fill="FFFFFF"/>
            <w:vAlign w:val="center"/>
            <w:hideMark/>
          </w:tcPr>
          <w:p w14:paraId="5521F934" w14:textId="77777777" w:rsidR="00705AA2" w:rsidRPr="00B0658A" w:rsidRDefault="00705AA2" w:rsidP="004F1366">
            <w:pPr>
              <w:spacing w:after="0" w:line="240" w:lineRule="auto"/>
              <w:jc w:val="center"/>
              <w:rPr>
                <w:rFonts w:ascii="Times New Roman" w:hAnsi="Times New Roman"/>
                <w:sz w:val="20"/>
                <w:szCs w:val="20"/>
              </w:rPr>
            </w:pPr>
          </w:p>
        </w:tc>
      </w:tr>
      <w:tr w:rsidR="00F52FED" w:rsidRPr="00B0658A" w14:paraId="031FCD10" w14:textId="77777777" w:rsidTr="004F1366">
        <w:trPr>
          <w:trHeight w:val="20"/>
        </w:trPr>
        <w:tc>
          <w:tcPr>
            <w:tcW w:w="278" w:type="pct"/>
            <w:shd w:val="clear" w:color="000000" w:fill="FFFFFF"/>
            <w:vAlign w:val="center"/>
          </w:tcPr>
          <w:p w14:paraId="35CF891D" w14:textId="77777777" w:rsidR="00705AA2" w:rsidRPr="00B0658A" w:rsidRDefault="00705AA2" w:rsidP="004F1366">
            <w:pPr>
              <w:spacing w:after="0" w:line="240" w:lineRule="auto"/>
              <w:jc w:val="center"/>
              <w:rPr>
                <w:rFonts w:ascii="Times New Roman" w:hAnsi="Times New Roman"/>
                <w:sz w:val="20"/>
                <w:szCs w:val="20"/>
                <w:lang w:val="en-US"/>
              </w:rPr>
            </w:pPr>
            <w:r w:rsidRPr="00B0658A">
              <w:rPr>
                <w:rFonts w:ascii="Times New Roman" w:hAnsi="Times New Roman"/>
                <w:sz w:val="20"/>
                <w:szCs w:val="20"/>
              </w:rPr>
              <w:t>1.</w:t>
            </w:r>
            <w:r w:rsidRPr="00B0658A">
              <w:rPr>
                <w:rFonts w:ascii="Times New Roman" w:hAnsi="Times New Roman"/>
                <w:sz w:val="20"/>
                <w:szCs w:val="20"/>
                <w:lang w:val="en-US"/>
              </w:rPr>
              <w:t>n</w:t>
            </w:r>
          </w:p>
        </w:tc>
        <w:tc>
          <w:tcPr>
            <w:tcW w:w="1237" w:type="pct"/>
            <w:shd w:val="clear" w:color="auto" w:fill="auto"/>
            <w:vAlign w:val="center"/>
            <w:hideMark/>
          </w:tcPr>
          <w:p w14:paraId="75CBFABE" w14:textId="77777777" w:rsidR="00705AA2" w:rsidRPr="00B0658A" w:rsidRDefault="00705AA2" w:rsidP="004F1366">
            <w:pPr>
              <w:spacing w:after="0" w:line="240" w:lineRule="auto"/>
              <w:rPr>
                <w:rFonts w:ascii="Times New Roman" w:hAnsi="Times New Roman"/>
                <w:i/>
                <w:sz w:val="20"/>
                <w:szCs w:val="20"/>
              </w:rPr>
            </w:pPr>
            <w:r w:rsidRPr="00B0658A">
              <w:rPr>
                <w:rFonts w:ascii="Times New Roman" w:hAnsi="Times New Roman"/>
                <w:i/>
                <w:sz w:val="20"/>
                <w:szCs w:val="20"/>
              </w:rPr>
              <w:t>Указывается класс (тип) №</w:t>
            </w:r>
            <w:r w:rsidRPr="00B0658A">
              <w:rPr>
                <w:rFonts w:ascii="Times New Roman" w:hAnsi="Times New Roman"/>
                <w:i/>
                <w:sz w:val="20"/>
                <w:szCs w:val="20"/>
                <w:lang w:val="en-US"/>
              </w:rPr>
              <w:t>n</w:t>
            </w:r>
            <w:r w:rsidRPr="00B0658A">
              <w:rPr>
                <w:rFonts w:ascii="Times New Roman" w:hAnsi="Times New Roman"/>
                <w:i/>
                <w:sz w:val="20"/>
                <w:szCs w:val="20"/>
              </w:rPr>
              <w:t xml:space="preserve"> ПО, используемого на значимом объекте КИИ №1 в соответствии с приказом Минцифры России от 22 сентября 2020 г. № 486)</w:t>
            </w:r>
          </w:p>
        </w:tc>
        <w:tc>
          <w:tcPr>
            <w:tcW w:w="844" w:type="pct"/>
          </w:tcPr>
          <w:p w14:paraId="2D5F49BB" w14:textId="77777777" w:rsidR="00705AA2" w:rsidRPr="00B0658A" w:rsidRDefault="00705AA2" w:rsidP="004F1366">
            <w:pPr>
              <w:spacing w:after="0" w:line="240" w:lineRule="auto"/>
              <w:rPr>
                <w:rFonts w:ascii="Times New Roman" w:hAnsi="Times New Roman"/>
                <w:sz w:val="20"/>
                <w:szCs w:val="20"/>
              </w:rPr>
            </w:pPr>
          </w:p>
        </w:tc>
        <w:tc>
          <w:tcPr>
            <w:tcW w:w="844" w:type="pct"/>
            <w:shd w:val="clear" w:color="000000" w:fill="FFFFFF"/>
            <w:hideMark/>
          </w:tcPr>
          <w:p w14:paraId="3B9C4467" w14:textId="77777777" w:rsidR="00705AA2" w:rsidRPr="00B0658A" w:rsidRDefault="00705AA2" w:rsidP="004F1366">
            <w:pPr>
              <w:spacing w:after="0" w:line="240" w:lineRule="auto"/>
              <w:rPr>
                <w:rFonts w:ascii="Times New Roman" w:hAnsi="Times New Roman"/>
                <w:sz w:val="20"/>
                <w:szCs w:val="20"/>
              </w:rPr>
            </w:pPr>
            <w:r w:rsidRPr="00B0658A">
              <w:rPr>
                <w:rFonts w:ascii="Times New Roman" w:hAnsi="Times New Roman"/>
                <w:sz w:val="20"/>
                <w:szCs w:val="20"/>
              </w:rPr>
              <w:t>Доля используемого российского ПО и евразийского ПО, используемого на значимом объекте КИИ, в общем объёме используемого ПО на таком объекте, %</w:t>
            </w:r>
          </w:p>
        </w:tc>
        <w:tc>
          <w:tcPr>
            <w:tcW w:w="320" w:type="pct"/>
            <w:shd w:val="clear" w:color="000000" w:fill="FFFFFF"/>
            <w:vAlign w:val="center"/>
          </w:tcPr>
          <w:p w14:paraId="74F90978" w14:textId="77777777" w:rsidR="00705AA2" w:rsidRPr="00B0658A" w:rsidRDefault="00705AA2" w:rsidP="004F1366">
            <w:pPr>
              <w:spacing w:after="0" w:line="240" w:lineRule="auto"/>
              <w:jc w:val="center"/>
              <w:rPr>
                <w:rFonts w:ascii="Times New Roman" w:hAnsi="Times New Roman"/>
                <w:sz w:val="20"/>
                <w:szCs w:val="20"/>
              </w:rPr>
            </w:pPr>
          </w:p>
        </w:tc>
        <w:tc>
          <w:tcPr>
            <w:tcW w:w="320" w:type="pct"/>
            <w:shd w:val="clear" w:color="000000" w:fill="FFFFFF"/>
            <w:vAlign w:val="center"/>
            <w:hideMark/>
          </w:tcPr>
          <w:p w14:paraId="10ED2992" w14:textId="77777777" w:rsidR="00705AA2" w:rsidRPr="00B0658A" w:rsidRDefault="00705AA2" w:rsidP="004F1366">
            <w:pPr>
              <w:spacing w:after="0" w:line="240" w:lineRule="auto"/>
              <w:jc w:val="center"/>
              <w:rPr>
                <w:rFonts w:ascii="Times New Roman" w:hAnsi="Times New Roman"/>
                <w:sz w:val="20"/>
                <w:szCs w:val="20"/>
              </w:rPr>
            </w:pPr>
          </w:p>
        </w:tc>
        <w:tc>
          <w:tcPr>
            <w:tcW w:w="320" w:type="pct"/>
            <w:shd w:val="clear" w:color="000000" w:fill="FFFFFF"/>
            <w:vAlign w:val="center"/>
            <w:hideMark/>
          </w:tcPr>
          <w:p w14:paraId="75608BF2" w14:textId="77777777" w:rsidR="00705AA2" w:rsidRPr="00B0658A" w:rsidRDefault="00705AA2" w:rsidP="004F1366">
            <w:pPr>
              <w:spacing w:after="0" w:line="240" w:lineRule="auto"/>
              <w:jc w:val="center"/>
              <w:rPr>
                <w:rFonts w:ascii="Times New Roman" w:hAnsi="Times New Roman"/>
                <w:sz w:val="20"/>
                <w:szCs w:val="20"/>
              </w:rPr>
            </w:pPr>
          </w:p>
        </w:tc>
        <w:tc>
          <w:tcPr>
            <w:tcW w:w="320" w:type="pct"/>
            <w:shd w:val="clear" w:color="000000" w:fill="FFFFFF"/>
            <w:vAlign w:val="center"/>
            <w:hideMark/>
          </w:tcPr>
          <w:p w14:paraId="13E5AED0" w14:textId="77777777" w:rsidR="00705AA2" w:rsidRPr="00B0658A" w:rsidRDefault="00705AA2" w:rsidP="004F1366">
            <w:pPr>
              <w:spacing w:after="0" w:line="240" w:lineRule="auto"/>
              <w:jc w:val="center"/>
              <w:rPr>
                <w:rFonts w:ascii="Times New Roman" w:hAnsi="Times New Roman"/>
                <w:sz w:val="20"/>
                <w:szCs w:val="20"/>
              </w:rPr>
            </w:pPr>
          </w:p>
        </w:tc>
        <w:tc>
          <w:tcPr>
            <w:tcW w:w="518" w:type="pct"/>
            <w:shd w:val="clear" w:color="000000" w:fill="FFFFFF"/>
            <w:vAlign w:val="center"/>
            <w:hideMark/>
          </w:tcPr>
          <w:p w14:paraId="6D702A9D" w14:textId="77777777" w:rsidR="00705AA2" w:rsidRPr="00B0658A" w:rsidRDefault="00705AA2" w:rsidP="004F1366">
            <w:pPr>
              <w:spacing w:after="0" w:line="240" w:lineRule="auto"/>
              <w:jc w:val="center"/>
              <w:rPr>
                <w:rFonts w:ascii="Times New Roman" w:hAnsi="Times New Roman"/>
                <w:sz w:val="20"/>
                <w:szCs w:val="20"/>
              </w:rPr>
            </w:pPr>
          </w:p>
        </w:tc>
      </w:tr>
      <w:tr w:rsidR="00F52FED" w:rsidRPr="00B0658A" w14:paraId="0EEB6EF0" w14:textId="77777777" w:rsidTr="004F1366">
        <w:trPr>
          <w:trHeight w:val="20"/>
        </w:trPr>
        <w:tc>
          <w:tcPr>
            <w:tcW w:w="5000" w:type="pct"/>
            <w:gridSpan w:val="9"/>
            <w:shd w:val="clear" w:color="auto" w:fill="DEEAF6" w:themeFill="accent5" w:themeFillTint="33"/>
          </w:tcPr>
          <w:p w14:paraId="760A9462" w14:textId="77777777" w:rsidR="00705AA2" w:rsidRPr="00B0658A" w:rsidRDefault="00705AA2" w:rsidP="004F1366">
            <w:pPr>
              <w:spacing w:after="0" w:line="240" w:lineRule="auto"/>
              <w:rPr>
                <w:rFonts w:ascii="Times New Roman" w:hAnsi="Times New Roman"/>
                <w:b/>
                <w:sz w:val="20"/>
                <w:szCs w:val="20"/>
              </w:rPr>
            </w:pPr>
            <w:r w:rsidRPr="00B0658A">
              <w:rPr>
                <w:rFonts w:ascii="Times New Roman" w:hAnsi="Times New Roman"/>
                <w:b/>
                <w:sz w:val="20"/>
                <w:szCs w:val="20"/>
              </w:rPr>
              <w:t>2. Показатели эффективности перехода в отношении ________ (наименование значимого объекта КИИ № 2)</w:t>
            </w:r>
          </w:p>
        </w:tc>
      </w:tr>
      <w:tr w:rsidR="00F52FED" w:rsidRPr="00B0658A" w14:paraId="2EDABD5B" w14:textId="77777777" w:rsidTr="004F1366">
        <w:trPr>
          <w:trHeight w:val="20"/>
        </w:trPr>
        <w:tc>
          <w:tcPr>
            <w:tcW w:w="278" w:type="pct"/>
            <w:shd w:val="clear" w:color="auto" w:fill="auto"/>
            <w:vAlign w:val="center"/>
          </w:tcPr>
          <w:p w14:paraId="790BB6FD" w14:textId="77777777" w:rsidR="00705AA2" w:rsidRPr="00B0658A" w:rsidRDefault="00705AA2" w:rsidP="004F1366">
            <w:pPr>
              <w:spacing w:after="0" w:line="240" w:lineRule="auto"/>
              <w:jc w:val="center"/>
              <w:rPr>
                <w:rFonts w:ascii="Times New Roman" w:hAnsi="Times New Roman"/>
                <w:sz w:val="20"/>
                <w:szCs w:val="20"/>
              </w:rPr>
            </w:pPr>
            <w:r w:rsidRPr="00B0658A">
              <w:rPr>
                <w:rFonts w:ascii="Times New Roman" w:hAnsi="Times New Roman"/>
                <w:sz w:val="20"/>
                <w:szCs w:val="20"/>
                <w:lang w:val="en-US"/>
              </w:rPr>
              <w:t>2</w:t>
            </w:r>
            <w:r w:rsidRPr="00B0658A">
              <w:rPr>
                <w:rFonts w:ascii="Times New Roman" w:hAnsi="Times New Roman"/>
                <w:sz w:val="20"/>
                <w:szCs w:val="20"/>
              </w:rPr>
              <w:t>.1</w:t>
            </w:r>
          </w:p>
        </w:tc>
        <w:tc>
          <w:tcPr>
            <w:tcW w:w="1237" w:type="pct"/>
            <w:shd w:val="clear" w:color="auto" w:fill="auto"/>
            <w:vAlign w:val="center"/>
          </w:tcPr>
          <w:p w14:paraId="517804E4" w14:textId="77777777" w:rsidR="00705AA2" w:rsidRPr="00B0658A" w:rsidRDefault="00705AA2" w:rsidP="004F1366">
            <w:pPr>
              <w:spacing w:after="0" w:line="240" w:lineRule="auto"/>
              <w:rPr>
                <w:rFonts w:ascii="Times New Roman" w:hAnsi="Times New Roman"/>
                <w:i/>
                <w:sz w:val="20"/>
                <w:szCs w:val="20"/>
              </w:rPr>
            </w:pPr>
            <w:r w:rsidRPr="00B0658A">
              <w:rPr>
                <w:rFonts w:ascii="Times New Roman" w:hAnsi="Times New Roman"/>
                <w:i/>
                <w:sz w:val="20"/>
                <w:szCs w:val="20"/>
              </w:rPr>
              <w:t>Указывается класс (тип) №1 ПО, используемого на значимом объекте КИИ №2 в соответствии с приказом Минцифры России от 22 сентября 2020 г. № 486)</w:t>
            </w:r>
          </w:p>
        </w:tc>
        <w:tc>
          <w:tcPr>
            <w:tcW w:w="844" w:type="pct"/>
          </w:tcPr>
          <w:p w14:paraId="046077C6" w14:textId="77777777" w:rsidR="00705AA2" w:rsidRPr="00B0658A" w:rsidRDefault="00705AA2" w:rsidP="004F1366">
            <w:pPr>
              <w:spacing w:after="0" w:line="240" w:lineRule="auto"/>
              <w:rPr>
                <w:rFonts w:ascii="Times New Roman" w:hAnsi="Times New Roman"/>
                <w:sz w:val="20"/>
                <w:szCs w:val="20"/>
              </w:rPr>
            </w:pPr>
          </w:p>
        </w:tc>
        <w:tc>
          <w:tcPr>
            <w:tcW w:w="844" w:type="pct"/>
            <w:shd w:val="clear" w:color="000000" w:fill="FFFFFF"/>
          </w:tcPr>
          <w:p w14:paraId="03DF8B59" w14:textId="77777777" w:rsidR="00705AA2" w:rsidRPr="00B0658A" w:rsidRDefault="00705AA2" w:rsidP="004F1366">
            <w:pPr>
              <w:spacing w:after="0" w:line="240" w:lineRule="auto"/>
              <w:rPr>
                <w:rFonts w:ascii="Times New Roman" w:hAnsi="Times New Roman"/>
                <w:sz w:val="20"/>
                <w:szCs w:val="20"/>
              </w:rPr>
            </w:pPr>
            <w:r w:rsidRPr="00B0658A">
              <w:rPr>
                <w:rFonts w:ascii="Times New Roman" w:hAnsi="Times New Roman"/>
                <w:sz w:val="20"/>
                <w:szCs w:val="20"/>
              </w:rPr>
              <w:t>Доля используемого российского ПО и евразийского ПО, используемого на значимом объекте КИИ, в общем объёме используемого ПО на таком объекте, %</w:t>
            </w:r>
          </w:p>
        </w:tc>
        <w:tc>
          <w:tcPr>
            <w:tcW w:w="320" w:type="pct"/>
            <w:shd w:val="clear" w:color="000000" w:fill="FFFFFF"/>
            <w:vAlign w:val="center"/>
          </w:tcPr>
          <w:p w14:paraId="31F19373" w14:textId="77777777" w:rsidR="00705AA2" w:rsidRPr="00B0658A" w:rsidRDefault="00705AA2" w:rsidP="004F1366">
            <w:pPr>
              <w:spacing w:after="0" w:line="240" w:lineRule="auto"/>
              <w:jc w:val="center"/>
              <w:rPr>
                <w:rFonts w:ascii="Times New Roman" w:hAnsi="Times New Roman"/>
                <w:sz w:val="20"/>
                <w:szCs w:val="20"/>
              </w:rPr>
            </w:pPr>
          </w:p>
        </w:tc>
        <w:tc>
          <w:tcPr>
            <w:tcW w:w="320" w:type="pct"/>
            <w:shd w:val="clear" w:color="000000" w:fill="FFFFFF"/>
            <w:vAlign w:val="center"/>
          </w:tcPr>
          <w:p w14:paraId="1BB26C82" w14:textId="77777777" w:rsidR="00705AA2" w:rsidRPr="00B0658A" w:rsidRDefault="00705AA2" w:rsidP="004F1366">
            <w:pPr>
              <w:spacing w:after="0" w:line="240" w:lineRule="auto"/>
              <w:jc w:val="center"/>
              <w:rPr>
                <w:rFonts w:ascii="Times New Roman" w:hAnsi="Times New Roman"/>
                <w:sz w:val="20"/>
                <w:szCs w:val="20"/>
              </w:rPr>
            </w:pPr>
          </w:p>
        </w:tc>
        <w:tc>
          <w:tcPr>
            <w:tcW w:w="320" w:type="pct"/>
            <w:shd w:val="clear" w:color="000000" w:fill="FFFFFF"/>
            <w:vAlign w:val="center"/>
          </w:tcPr>
          <w:p w14:paraId="26F986E1" w14:textId="77777777" w:rsidR="00705AA2" w:rsidRPr="00B0658A" w:rsidRDefault="00705AA2" w:rsidP="004F1366">
            <w:pPr>
              <w:spacing w:after="0" w:line="240" w:lineRule="auto"/>
              <w:jc w:val="center"/>
              <w:rPr>
                <w:rFonts w:ascii="Times New Roman" w:hAnsi="Times New Roman"/>
                <w:sz w:val="20"/>
                <w:szCs w:val="20"/>
              </w:rPr>
            </w:pPr>
          </w:p>
        </w:tc>
        <w:tc>
          <w:tcPr>
            <w:tcW w:w="320" w:type="pct"/>
            <w:shd w:val="clear" w:color="000000" w:fill="FFFFFF"/>
            <w:vAlign w:val="center"/>
          </w:tcPr>
          <w:p w14:paraId="4DB81C6F" w14:textId="77777777" w:rsidR="00705AA2" w:rsidRPr="00B0658A" w:rsidRDefault="00705AA2" w:rsidP="004F1366">
            <w:pPr>
              <w:spacing w:after="0" w:line="240" w:lineRule="auto"/>
              <w:jc w:val="center"/>
              <w:rPr>
                <w:rFonts w:ascii="Times New Roman" w:hAnsi="Times New Roman"/>
                <w:sz w:val="20"/>
                <w:szCs w:val="20"/>
              </w:rPr>
            </w:pPr>
          </w:p>
        </w:tc>
        <w:tc>
          <w:tcPr>
            <w:tcW w:w="518" w:type="pct"/>
            <w:shd w:val="clear" w:color="000000" w:fill="FFFFFF"/>
            <w:vAlign w:val="center"/>
          </w:tcPr>
          <w:p w14:paraId="2B27BF18" w14:textId="77777777" w:rsidR="00705AA2" w:rsidRPr="00B0658A" w:rsidRDefault="00705AA2" w:rsidP="004F1366">
            <w:pPr>
              <w:spacing w:after="0" w:line="240" w:lineRule="auto"/>
              <w:jc w:val="center"/>
              <w:rPr>
                <w:rFonts w:ascii="Times New Roman" w:hAnsi="Times New Roman"/>
                <w:sz w:val="20"/>
                <w:szCs w:val="20"/>
              </w:rPr>
            </w:pPr>
          </w:p>
        </w:tc>
      </w:tr>
      <w:tr w:rsidR="00F52FED" w:rsidRPr="00B0658A" w14:paraId="63DB29DF" w14:textId="77777777" w:rsidTr="004F1366">
        <w:trPr>
          <w:trHeight w:val="20"/>
        </w:trPr>
        <w:tc>
          <w:tcPr>
            <w:tcW w:w="278" w:type="pct"/>
            <w:shd w:val="clear" w:color="000000" w:fill="FFFFFF"/>
            <w:vAlign w:val="center"/>
          </w:tcPr>
          <w:p w14:paraId="189F2A65" w14:textId="77777777" w:rsidR="00705AA2" w:rsidRPr="00B0658A" w:rsidRDefault="00705AA2" w:rsidP="004F1366">
            <w:pPr>
              <w:spacing w:after="0" w:line="240" w:lineRule="auto"/>
              <w:jc w:val="center"/>
              <w:rPr>
                <w:rFonts w:ascii="Times New Roman" w:hAnsi="Times New Roman"/>
                <w:sz w:val="20"/>
                <w:szCs w:val="20"/>
              </w:rPr>
            </w:pPr>
            <w:r w:rsidRPr="00B0658A">
              <w:rPr>
                <w:rFonts w:ascii="Times New Roman" w:hAnsi="Times New Roman"/>
                <w:sz w:val="20"/>
                <w:szCs w:val="20"/>
                <w:lang w:val="en-US"/>
              </w:rPr>
              <w:t>2</w:t>
            </w:r>
            <w:r w:rsidRPr="00B0658A">
              <w:rPr>
                <w:rFonts w:ascii="Times New Roman" w:hAnsi="Times New Roman"/>
                <w:sz w:val="20"/>
                <w:szCs w:val="20"/>
              </w:rPr>
              <w:t>.2</w:t>
            </w:r>
          </w:p>
        </w:tc>
        <w:tc>
          <w:tcPr>
            <w:tcW w:w="1237" w:type="pct"/>
            <w:shd w:val="clear" w:color="auto" w:fill="auto"/>
            <w:vAlign w:val="center"/>
          </w:tcPr>
          <w:p w14:paraId="2D2A3278" w14:textId="77777777" w:rsidR="00705AA2" w:rsidRPr="00B0658A" w:rsidRDefault="00705AA2" w:rsidP="004F1366">
            <w:pPr>
              <w:spacing w:after="0" w:line="240" w:lineRule="auto"/>
              <w:rPr>
                <w:rFonts w:ascii="Times New Roman" w:hAnsi="Times New Roman"/>
                <w:i/>
                <w:sz w:val="20"/>
                <w:szCs w:val="20"/>
              </w:rPr>
            </w:pPr>
            <w:r w:rsidRPr="00B0658A">
              <w:rPr>
                <w:rFonts w:ascii="Times New Roman" w:hAnsi="Times New Roman"/>
                <w:i/>
                <w:sz w:val="20"/>
                <w:szCs w:val="20"/>
              </w:rPr>
              <w:t>Указывается класс (тип) №2 ПО, используемого на значимом объекте КИИ №2 в соответствии с приказом Минцифры России от 22 сентября 2020 г. № 486)</w:t>
            </w:r>
          </w:p>
        </w:tc>
        <w:tc>
          <w:tcPr>
            <w:tcW w:w="844" w:type="pct"/>
          </w:tcPr>
          <w:p w14:paraId="46DEEDE6" w14:textId="77777777" w:rsidR="00705AA2" w:rsidRPr="00B0658A" w:rsidRDefault="00705AA2" w:rsidP="004F1366">
            <w:pPr>
              <w:spacing w:after="0" w:line="240" w:lineRule="auto"/>
              <w:rPr>
                <w:rFonts w:ascii="Times New Roman" w:hAnsi="Times New Roman"/>
                <w:sz w:val="20"/>
                <w:szCs w:val="20"/>
              </w:rPr>
            </w:pPr>
          </w:p>
        </w:tc>
        <w:tc>
          <w:tcPr>
            <w:tcW w:w="844" w:type="pct"/>
            <w:shd w:val="clear" w:color="000000" w:fill="FFFFFF"/>
          </w:tcPr>
          <w:p w14:paraId="71597541" w14:textId="77777777" w:rsidR="00705AA2" w:rsidRPr="00B0658A" w:rsidRDefault="00705AA2" w:rsidP="004F1366">
            <w:pPr>
              <w:spacing w:after="0" w:line="240" w:lineRule="auto"/>
              <w:rPr>
                <w:rFonts w:ascii="Times New Roman" w:hAnsi="Times New Roman"/>
                <w:sz w:val="20"/>
                <w:szCs w:val="20"/>
              </w:rPr>
            </w:pPr>
            <w:r w:rsidRPr="00B0658A">
              <w:rPr>
                <w:rFonts w:ascii="Times New Roman" w:hAnsi="Times New Roman"/>
                <w:sz w:val="20"/>
                <w:szCs w:val="20"/>
              </w:rPr>
              <w:t>Доля используемого российского ПО и евразийского ПО, используемого на значимом объекте КИИ, в общем объёме используемого ПО на таком объекте, %</w:t>
            </w:r>
          </w:p>
        </w:tc>
        <w:tc>
          <w:tcPr>
            <w:tcW w:w="320" w:type="pct"/>
            <w:shd w:val="clear" w:color="000000" w:fill="FFFFFF"/>
            <w:vAlign w:val="center"/>
          </w:tcPr>
          <w:p w14:paraId="0FF4439D" w14:textId="77777777" w:rsidR="00705AA2" w:rsidRPr="00B0658A" w:rsidRDefault="00705AA2" w:rsidP="004F1366">
            <w:pPr>
              <w:spacing w:after="0" w:line="240" w:lineRule="auto"/>
              <w:jc w:val="center"/>
              <w:rPr>
                <w:rFonts w:ascii="Times New Roman" w:hAnsi="Times New Roman"/>
                <w:sz w:val="20"/>
                <w:szCs w:val="20"/>
              </w:rPr>
            </w:pPr>
          </w:p>
        </w:tc>
        <w:tc>
          <w:tcPr>
            <w:tcW w:w="320" w:type="pct"/>
            <w:shd w:val="clear" w:color="000000" w:fill="FFFFFF"/>
            <w:vAlign w:val="center"/>
          </w:tcPr>
          <w:p w14:paraId="28D2A166" w14:textId="77777777" w:rsidR="00705AA2" w:rsidRPr="00B0658A" w:rsidRDefault="00705AA2" w:rsidP="004F1366">
            <w:pPr>
              <w:spacing w:after="0" w:line="240" w:lineRule="auto"/>
              <w:jc w:val="center"/>
              <w:rPr>
                <w:rFonts w:ascii="Times New Roman" w:hAnsi="Times New Roman"/>
                <w:sz w:val="20"/>
                <w:szCs w:val="20"/>
              </w:rPr>
            </w:pPr>
          </w:p>
        </w:tc>
        <w:tc>
          <w:tcPr>
            <w:tcW w:w="320" w:type="pct"/>
            <w:shd w:val="clear" w:color="000000" w:fill="FFFFFF"/>
            <w:vAlign w:val="center"/>
          </w:tcPr>
          <w:p w14:paraId="338684D8" w14:textId="77777777" w:rsidR="00705AA2" w:rsidRPr="00B0658A" w:rsidRDefault="00705AA2" w:rsidP="004F1366">
            <w:pPr>
              <w:spacing w:after="0" w:line="240" w:lineRule="auto"/>
              <w:jc w:val="center"/>
              <w:rPr>
                <w:rFonts w:ascii="Times New Roman" w:hAnsi="Times New Roman"/>
                <w:sz w:val="20"/>
                <w:szCs w:val="20"/>
              </w:rPr>
            </w:pPr>
          </w:p>
        </w:tc>
        <w:tc>
          <w:tcPr>
            <w:tcW w:w="320" w:type="pct"/>
            <w:shd w:val="clear" w:color="000000" w:fill="FFFFFF"/>
            <w:vAlign w:val="center"/>
          </w:tcPr>
          <w:p w14:paraId="4AA3348D" w14:textId="77777777" w:rsidR="00705AA2" w:rsidRPr="00B0658A" w:rsidRDefault="00705AA2" w:rsidP="004F1366">
            <w:pPr>
              <w:spacing w:after="0" w:line="240" w:lineRule="auto"/>
              <w:jc w:val="center"/>
              <w:rPr>
                <w:rFonts w:ascii="Times New Roman" w:hAnsi="Times New Roman"/>
                <w:sz w:val="20"/>
                <w:szCs w:val="20"/>
              </w:rPr>
            </w:pPr>
          </w:p>
        </w:tc>
        <w:tc>
          <w:tcPr>
            <w:tcW w:w="518" w:type="pct"/>
            <w:shd w:val="clear" w:color="000000" w:fill="FFFFFF"/>
            <w:vAlign w:val="center"/>
          </w:tcPr>
          <w:p w14:paraId="7223D624" w14:textId="77777777" w:rsidR="00705AA2" w:rsidRPr="00B0658A" w:rsidRDefault="00705AA2" w:rsidP="004F1366">
            <w:pPr>
              <w:spacing w:after="0" w:line="240" w:lineRule="auto"/>
              <w:jc w:val="center"/>
              <w:rPr>
                <w:rFonts w:ascii="Times New Roman" w:hAnsi="Times New Roman"/>
                <w:sz w:val="20"/>
                <w:szCs w:val="20"/>
              </w:rPr>
            </w:pPr>
          </w:p>
        </w:tc>
      </w:tr>
      <w:tr w:rsidR="00F52FED" w:rsidRPr="00B0658A" w14:paraId="4F26C6AA" w14:textId="77777777" w:rsidTr="004F1366">
        <w:trPr>
          <w:trHeight w:val="20"/>
        </w:trPr>
        <w:tc>
          <w:tcPr>
            <w:tcW w:w="278" w:type="pct"/>
            <w:shd w:val="clear" w:color="000000" w:fill="FFFFFF"/>
            <w:vAlign w:val="center"/>
          </w:tcPr>
          <w:p w14:paraId="69E24785" w14:textId="77777777" w:rsidR="00705AA2" w:rsidRPr="00B0658A" w:rsidRDefault="00705AA2" w:rsidP="004F1366">
            <w:pPr>
              <w:spacing w:after="0" w:line="240" w:lineRule="auto"/>
              <w:jc w:val="center"/>
              <w:rPr>
                <w:rFonts w:ascii="Times New Roman" w:hAnsi="Times New Roman"/>
                <w:sz w:val="20"/>
                <w:szCs w:val="20"/>
              </w:rPr>
            </w:pPr>
            <w:r w:rsidRPr="00B0658A">
              <w:rPr>
                <w:rFonts w:ascii="Times New Roman" w:hAnsi="Times New Roman"/>
                <w:sz w:val="20"/>
                <w:szCs w:val="20"/>
              </w:rPr>
              <w:t>…</w:t>
            </w:r>
          </w:p>
        </w:tc>
        <w:tc>
          <w:tcPr>
            <w:tcW w:w="1237" w:type="pct"/>
            <w:shd w:val="clear" w:color="auto" w:fill="auto"/>
            <w:vAlign w:val="center"/>
          </w:tcPr>
          <w:p w14:paraId="28DEAEA8" w14:textId="77777777" w:rsidR="00705AA2" w:rsidRPr="00B0658A" w:rsidRDefault="00705AA2" w:rsidP="004F1366">
            <w:pPr>
              <w:spacing w:after="0" w:line="240" w:lineRule="auto"/>
              <w:rPr>
                <w:rFonts w:ascii="Times New Roman" w:hAnsi="Times New Roman"/>
                <w:i/>
                <w:sz w:val="20"/>
                <w:szCs w:val="20"/>
              </w:rPr>
            </w:pPr>
            <w:r w:rsidRPr="00B0658A">
              <w:rPr>
                <w:rFonts w:ascii="Times New Roman" w:hAnsi="Times New Roman"/>
                <w:i/>
                <w:sz w:val="20"/>
                <w:szCs w:val="20"/>
              </w:rPr>
              <w:t>…</w:t>
            </w:r>
          </w:p>
        </w:tc>
        <w:tc>
          <w:tcPr>
            <w:tcW w:w="844" w:type="pct"/>
          </w:tcPr>
          <w:p w14:paraId="01DF27BF" w14:textId="77777777" w:rsidR="00705AA2" w:rsidRPr="00B0658A" w:rsidRDefault="00705AA2" w:rsidP="004F1366">
            <w:pPr>
              <w:spacing w:after="0" w:line="240" w:lineRule="auto"/>
              <w:rPr>
                <w:rFonts w:ascii="Times New Roman" w:hAnsi="Times New Roman"/>
                <w:sz w:val="20"/>
                <w:szCs w:val="20"/>
              </w:rPr>
            </w:pPr>
          </w:p>
        </w:tc>
        <w:tc>
          <w:tcPr>
            <w:tcW w:w="844" w:type="pct"/>
            <w:shd w:val="clear" w:color="000000" w:fill="FFFFFF"/>
          </w:tcPr>
          <w:p w14:paraId="69046D27" w14:textId="77777777" w:rsidR="00705AA2" w:rsidRPr="00B0658A" w:rsidRDefault="00705AA2" w:rsidP="004F1366">
            <w:pPr>
              <w:spacing w:after="0" w:line="240" w:lineRule="auto"/>
              <w:rPr>
                <w:rFonts w:ascii="Times New Roman" w:hAnsi="Times New Roman"/>
                <w:sz w:val="20"/>
                <w:szCs w:val="20"/>
              </w:rPr>
            </w:pPr>
            <w:r w:rsidRPr="00B0658A">
              <w:rPr>
                <w:rFonts w:ascii="Times New Roman" w:hAnsi="Times New Roman"/>
                <w:sz w:val="20"/>
                <w:szCs w:val="20"/>
              </w:rPr>
              <w:t>…...</w:t>
            </w:r>
          </w:p>
        </w:tc>
        <w:tc>
          <w:tcPr>
            <w:tcW w:w="320" w:type="pct"/>
            <w:shd w:val="clear" w:color="000000" w:fill="FFFFFF"/>
            <w:vAlign w:val="center"/>
          </w:tcPr>
          <w:p w14:paraId="69DC55CC" w14:textId="77777777" w:rsidR="00705AA2" w:rsidRPr="00B0658A" w:rsidRDefault="00705AA2" w:rsidP="004F1366">
            <w:pPr>
              <w:spacing w:after="0" w:line="240" w:lineRule="auto"/>
              <w:jc w:val="center"/>
              <w:rPr>
                <w:rFonts w:ascii="Times New Roman" w:hAnsi="Times New Roman"/>
                <w:sz w:val="20"/>
                <w:szCs w:val="20"/>
              </w:rPr>
            </w:pPr>
          </w:p>
        </w:tc>
        <w:tc>
          <w:tcPr>
            <w:tcW w:w="320" w:type="pct"/>
            <w:shd w:val="clear" w:color="000000" w:fill="FFFFFF"/>
            <w:vAlign w:val="center"/>
          </w:tcPr>
          <w:p w14:paraId="44D461C7" w14:textId="77777777" w:rsidR="00705AA2" w:rsidRPr="00B0658A" w:rsidRDefault="00705AA2" w:rsidP="004F1366">
            <w:pPr>
              <w:spacing w:after="0" w:line="240" w:lineRule="auto"/>
              <w:jc w:val="center"/>
              <w:rPr>
                <w:rFonts w:ascii="Times New Roman" w:hAnsi="Times New Roman"/>
                <w:sz w:val="20"/>
                <w:szCs w:val="20"/>
              </w:rPr>
            </w:pPr>
          </w:p>
        </w:tc>
        <w:tc>
          <w:tcPr>
            <w:tcW w:w="320" w:type="pct"/>
            <w:shd w:val="clear" w:color="000000" w:fill="FFFFFF"/>
            <w:vAlign w:val="center"/>
          </w:tcPr>
          <w:p w14:paraId="22B7F400" w14:textId="77777777" w:rsidR="00705AA2" w:rsidRPr="00B0658A" w:rsidRDefault="00705AA2" w:rsidP="004F1366">
            <w:pPr>
              <w:spacing w:after="0" w:line="240" w:lineRule="auto"/>
              <w:jc w:val="center"/>
              <w:rPr>
                <w:rFonts w:ascii="Times New Roman" w:hAnsi="Times New Roman"/>
                <w:sz w:val="20"/>
                <w:szCs w:val="20"/>
              </w:rPr>
            </w:pPr>
          </w:p>
        </w:tc>
        <w:tc>
          <w:tcPr>
            <w:tcW w:w="320" w:type="pct"/>
            <w:shd w:val="clear" w:color="000000" w:fill="FFFFFF"/>
            <w:vAlign w:val="center"/>
          </w:tcPr>
          <w:p w14:paraId="06185C46" w14:textId="77777777" w:rsidR="00705AA2" w:rsidRPr="00B0658A" w:rsidRDefault="00705AA2" w:rsidP="004F1366">
            <w:pPr>
              <w:spacing w:after="0" w:line="240" w:lineRule="auto"/>
              <w:jc w:val="center"/>
              <w:rPr>
                <w:rFonts w:ascii="Times New Roman" w:hAnsi="Times New Roman"/>
                <w:sz w:val="20"/>
                <w:szCs w:val="20"/>
              </w:rPr>
            </w:pPr>
          </w:p>
        </w:tc>
        <w:tc>
          <w:tcPr>
            <w:tcW w:w="518" w:type="pct"/>
            <w:shd w:val="clear" w:color="000000" w:fill="FFFFFF"/>
            <w:vAlign w:val="center"/>
          </w:tcPr>
          <w:p w14:paraId="6F98ACB6" w14:textId="77777777" w:rsidR="00705AA2" w:rsidRPr="00B0658A" w:rsidRDefault="00705AA2" w:rsidP="004F1366">
            <w:pPr>
              <w:spacing w:after="0" w:line="240" w:lineRule="auto"/>
              <w:jc w:val="center"/>
              <w:rPr>
                <w:rFonts w:ascii="Times New Roman" w:hAnsi="Times New Roman"/>
                <w:sz w:val="20"/>
                <w:szCs w:val="20"/>
              </w:rPr>
            </w:pPr>
          </w:p>
        </w:tc>
      </w:tr>
      <w:tr w:rsidR="00F52FED" w:rsidRPr="00B0658A" w14:paraId="2C17F2E0" w14:textId="77777777" w:rsidTr="004F1366">
        <w:trPr>
          <w:trHeight w:val="20"/>
        </w:trPr>
        <w:tc>
          <w:tcPr>
            <w:tcW w:w="278" w:type="pct"/>
            <w:shd w:val="clear" w:color="000000" w:fill="FFFFFF"/>
            <w:vAlign w:val="center"/>
          </w:tcPr>
          <w:p w14:paraId="1DA04E0A" w14:textId="77777777" w:rsidR="00705AA2" w:rsidRPr="00B0658A" w:rsidRDefault="00705AA2" w:rsidP="004F1366">
            <w:pPr>
              <w:spacing w:after="0" w:line="240" w:lineRule="auto"/>
              <w:jc w:val="center"/>
              <w:rPr>
                <w:rFonts w:ascii="Times New Roman" w:hAnsi="Times New Roman"/>
                <w:sz w:val="20"/>
                <w:szCs w:val="20"/>
              </w:rPr>
            </w:pPr>
            <w:r w:rsidRPr="00B0658A">
              <w:rPr>
                <w:rFonts w:ascii="Times New Roman" w:hAnsi="Times New Roman"/>
                <w:sz w:val="20"/>
                <w:szCs w:val="20"/>
                <w:lang w:val="en-US"/>
              </w:rPr>
              <w:t>2</w:t>
            </w:r>
            <w:r w:rsidRPr="00B0658A">
              <w:rPr>
                <w:rFonts w:ascii="Times New Roman" w:hAnsi="Times New Roman"/>
                <w:sz w:val="20"/>
                <w:szCs w:val="20"/>
              </w:rPr>
              <w:t>.</w:t>
            </w:r>
            <w:r w:rsidRPr="00B0658A">
              <w:rPr>
                <w:rFonts w:ascii="Times New Roman" w:hAnsi="Times New Roman"/>
                <w:sz w:val="20"/>
                <w:szCs w:val="20"/>
                <w:lang w:val="en-US"/>
              </w:rPr>
              <w:t>n</w:t>
            </w:r>
          </w:p>
        </w:tc>
        <w:tc>
          <w:tcPr>
            <w:tcW w:w="1237" w:type="pct"/>
            <w:shd w:val="clear" w:color="auto" w:fill="auto"/>
            <w:vAlign w:val="center"/>
          </w:tcPr>
          <w:p w14:paraId="29DE86CA" w14:textId="77777777" w:rsidR="00705AA2" w:rsidRPr="00B0658A" w:rsidRDefault="00705AA2" w:rsidP="004F1366">
            <w:pPr>
              <w:spacing w:after="0" w:line="240" w:lineRule="auto"/>
              <w:rPr>
                <w:rFonts w:ascii="Times New Roman" w:hAnsi="Times New Roman"/>
                <w:i/>
                <w:sz w:val="20"/>
                <w:szCs w:val="20"/>
              </w:rPr>
            </w:pPr>
            <w:r w:rsidRPr="00B0658A">
              <w:rPr>
                <w:rFonts w:ascii="Times New Roman" w:hAnsi="Times New Roman"/>
                <w:i/>
                <w:sz w:val="20"/>
                <w:szCs w:val="20"/>
              </w:rPr>
              <w:t>Указывается класс (тип) №</w:t>
            </w:r>
            <w:r w:rsidRPr="00B0658A">
              <w:rPr>
                <w:rFonts w:ascii="Times New Roman" w:hAnsi="Times New Roman"/>
                <w:i/>
                <w:sz w:val="20"/>
                <w:szCs w:val="20"/>
                <w:lang w:val="en-US"/>
              </w:rPr>
              <w:t>n</w:t>
            </w:r>
            <w:r w:rsidRPr="00B0658A">
              <w:rPr>
                <w:rFonts w:ascii="Times New Roman" w:hAnsi="Times New Roman"/>
                <w:i/>
                <w:sz w:val="20"/>
                <w:szCs w:val="20"/>
              </w:rPr>
              <w:t xml:space="preserve"> ПО, используемого на значимом объекте КИИ №2 в соответствии с приказом Минцифры России от 22 сентября 2020 г. № 486)</w:t>
            </w:r>
          </w:p>
        </w:tc>
        <w:tc>
          <w:tcPr>
            <w:tcW w:w="844" w:type="pct"/>
          </w:tcPr>
          <w:p w14:paraId="58E5ACDA" w14:textId="77777777" w:rsidR="00705AA2" w:rsidRPr="00B0658A" w:rsidRDefault="00705AA2" w:rsidP="004F1366">
            <w:pPr>
              <w:spacing w:after="0" w:line="240" w:lineRule="auto"/>
              <w:rPr>
                <w:rFonts w:ascii="Times New Roman" w:hAnsi="Times New Roman"/>
                <w:sz w:val="20"/>
                <w:szCs w:val="20"/>
              </w:rPr>
            </w:pPr>
          </w:p>
        </w:tc>
        <w:tc>
          <w:tcPr>
            <w:tcW w:w="844" w:type="pct"/>
            <w:shd w:val="clear" w:color="000000" w:fill="FFFFFF"/>
          </w:tcPr>
          <w:p w14:paraId="7E250D3F" w14:textId="77777777" w:rsidR="00705AA2" w:rsidRPr="00B0658A" w:rsidRDefault="00705AA2" w:rsidP="004F1366">
            <w:pPr>
              <w:spacing w:after="0" w:line="240" w:lineRule="auto"/>
              <w:rPr>
                <w:rFonts w:ascii="Times New Roman" w:hAnsi="Times New Roman"/>
                <w:sz w:val="20"/>
                <w:szCs w:val="20"/>
              </w:rPr>
            </w:pPr>
            <w:r w:rsidRPr="00B0658A">
              <w:rPr>
                <w:rFonts w:ascii="Times New Roman" w:hAnsi="Times New Roman"/>
                <w:sz w:val="20"/>
                <w:szCs w:val="20"/>
              </w:rPr>
              <w:t>Доля используемого российского ПО и евразийского ПО, используемого на значимом объекте КИИ, в общем объёме используемого ПО на таком объекте, %</w:t>
            </w:r>
          </w:p>
        </w:tc>
        <w:tc>
          <w:tcPr>
            <w:tcW w:w="320" w:type="pct"/>
            <w:shd w:val="clear" w:color="000000" w:fill="FFFFFF"/>
            <w:vAlign w:val="center"/>
          </w:tcPr>
          <w:p w14:paraId="6E7A12DC" w14:textId="77777777" w:rsidR="00705AA2" w:rsidRPr="00B0658A" w:rsidRDefault="00705AA2" w:rsidP="004F1366">
            <w:pPr>
              <w:spacing w:after="0" w:line="240" w:lineRule="auto"/>
              <w:jc w:val="center"/>
              <w:rPr>
                <w:rFonts w:ascii="Times New Roman" w:hAnsi="Times New Roman"/>
                <w:sz w:val="20"/>
                <w:szCs w:val="20"/>
              </w:rPr>
            </w:pPr>
          </w:p>
        </w:tc>
        <w:tc>
          <w:tcPr>
            <w:tcW w:w="320" w:type="pct"/>
            <w:shd w:val="clear" w:color="000000" w:fill="FFFFFF"/>
            <w:vAlign w:val="center"/>
          </w:tcPr>
          <w:p w14:paraId="5C326E31" w14:textId="77777777" w:rsidR="00705AA2" w:rsidRPr="00B0658A" w:rsidRDefault="00705AA2" w:rsidP="004F1366">
            <w:pPr>
              <w:spacing w:after="0" w:line="240" w:lineRule="auto"/>
              <w:jc w:val="center"/>
              <w:rPr>
                <w:rFonts w:ascii="Times New Roman" w:hAnsi="Times New Roman"/>
                <w:sz w:val="20"/>
                <w:szCs w:val="20"/>
              </w:rPr>
            </w:pPr>
          </w:p>
        </w:tc>
        <w:tc>
          <w:tcPr>
            <w:tcW w:w="320" w:type="pct"/>
            <w:shd w:val="clear" w:color="000000" w:fill="FFFFFF"/>
            <w:vAlign w:val="center"/>
          </w:tcPr>
          <w:p w14:paraId="15BA39C6" w14:textId="77777777" w:rsidR="00705AA2" w:rsidRPr="00B0658A" w:rsidRDefault="00705AA2" w:rsidP="004F1366">
            <w:pPr>
              <w:spacing w:after="0" w:line="240" w:lineRule="auto"/>
              <w:jc w:val="center"/>
              <w:rPr>
                <w:rFonts w:ascii="Times New Roman" w:hAnsi="Times New Roman"/>
                <w:sz w:val="20"/>
                <w:szCs w:val="20"/>
              </w:rPr>
            </w:pPr>
          </w:p>
        </w:tc>
        <w:tc>
          <w:tcPr>
            <w:tcW w:w="320" w:type="pct"/>
            <w:shd w:val="clear" w:color="000000" w:fill="FFFFFF"/>
            <w:vAlign w:val="center"/>
          </w:tcPr>
          <w:p w14:paraId="244730F5" w14:textId="77777777" w:rsidR="00705AA2" w:rsidRPr="00B0658A" w:rsidRDefault="00705AA2" w:rsidP="004F1366">
            <w:pPr>
              <w:spacing w:after="0" w:line="240" w:lineRule="auto"/>
              <w:jc w:val="center"/>
              <w:rPr>
                <w:rFonts w:ascii="Times New Roman" w:hAnsi="Times New Roman"/>
                <w:sz w:val="20"/>
                <w:szCs w:val="20"/>
              </w:rPr>
            </w:pPr>
          </w:p>
        </w:tc>
        <w:tc>
          <w:tcPr>
            <w:tcW w:w="518" w:type="pct"/>
            <w:shd w:val="clear" w:color="000000" w:fill="FFFFFF"/>
            <w:vAlign w:val="center"/>
          </w:tcPr>
          <w:p w14:paraId="5A2DDA2E" w14:textId="77777777" w:rsidR="00705AA2" w:rsidRPr="00B0658A" w:rsidRDefault="00705AA2" w:rsidP="004F1366">
            <w:pPr>
              <w:spacing w:after="0" w:line="240" w:lineRule="auto"/>
              <w:jc w:val="center"/>
              <w:rPr>
                <w:rFonts w:ascii="Times New Roman" w:hAnsi="Times New Roman"/>
                <w:sz w:val="20"/>
                <w:szCs w:val="20"/>
              </w:rPr>
            </w:pPr>
          </w:p>
        </w:tc>
      </w:tr>
      <w:tr w:rsidR="00F52FED" w:rsidRPr="00B0658A" w14:paraId="35F25731" w14:textId="77777777" w:rsidTr="004F1366">
        <w:trPr>
          <w:trHeight w:val="20"/>
        </w:trPr>
        <w:tc>
          <w:tcPr>
            <w:tcW w:w="5000" w:type="pct"/>
            <w:gridSpan w:val="9"/>
            <w:shd w:val="clear" w:color="auto" w:fill="DEEAF6" w:themeFill="accent5" w:themeFillTint="33"/>
          </w:tcPr>
          <w:p w14:paraId="2DCD3EE3" w14:textId="77777777" w:rsidR="00705AA2" w:rsidRPr="00B0658A" w:rsidRDefault="00705AA2" w:rsidP="004F1366">
            <w:pPr>
              <w:spacing w:after="0" w:line="240" w:lineRule="auto"/>
              <w:rPr>
                <w:rFonts w:ascii="Times New Roman" w:hAnsi="Times New Roman"/>
                <w:b/>
                <w:sz w:val="20"/>
                <w:szCs w:val="20"/>
              </w:rPr>
            </w:pPr>
            <w:r w:rsidRPr="00B0658A">
              <w:rPr>
                <w:rFonts w:ascii="Times New Roman" w:hAnsi="Times New Roman"/>
                <w:b/>
                <w:sz w:val="20"/>
                <w:szCs w:val="20"/>
                <w:lang w:val="en-US"/>
              </w:rPr>
              <w:t>N</w:t>
            </w:r>
            <w:r w:rsidRPr="00B0658A">
              <w:rPr>
                <w:rFonts w:ascii="Times New Roman" w:hAnsi="Times New Roman"/>
                <w:b/>
                <w:sz w:val="20"/>
                <w:szCs w:val="20"/>
              </w:rPr>
              <w:t xml:space="preserve">. Показатели эффективности перехода в отношении ________ (наименование значимого объекта КИИ № </w:t>
            </w:r>
            <w:r w:rsidRPr="00B0658A">
              <w:rPr>
                <w:rFonts w:ascii="Times New Roman" w:hAnsi="Times New Roman"/>
                <w:b/>
                <w:sz w:val="20"/>
                <w:szCs w:val="20"/>
                <w:lang w:val="en-US"/>
              </w:rPr>
              <w:t>N</w:t>
            </w:r>
            <w:r w:rsidRPr="00B0658A">
              <w:rPr>
                <w:rFonts w:ascii="Times New Roman" w:hAnsi="Times New Roman"/>
                <w:b/>
                <w:sz w:val="20"/>
                <w:szCs w:val="20"/>
              </w:rPr>
              <w:t>)</w:t>
            </w:r>
          </w:p>
        </w:tc>
      </w:tr>
      <w:tr w:rsidR="00F52FED" w:rsidRPr="00B0658A" w14:paraId="19ED190E" w14:textId="77777777" w:rsidTr="004F1366">
        <w:trPr>
          <w:trHeight w:val="20"/>
        </w:trPr>
        <w:tc>
          <w:tcPr>
            <w:tcW w:w="278" w:type="pct"/>
            <w:shd w:val="clear" w:color="000000" w:fill="FFFFFF"/>
            <w:vAlign w:val="center"/>
          </w:tcPr>
          <w:p w14:paraId="2D07CCA4" w14:textId="77777777" w:rsidR="00705AA2" w:rsidRPr="00B0658A" w:rsidRDefault="00705AA2" w:rsidP="004F1366">
            <w:pPr>
              <w:spacing w:after="0" w:line="240" w:lineRule="auto"/>
              <w:jc w:val="center"/>
              <w:rPr>
                <w:rFonts w:ascii="Times New Roman" w:hAnsi="Times New Roman"/>
                <w:sz w:val="20"/>
                <w:szCs w:val="20"/>
              </w:rPr>
            </w:pPr>
            <w:r w:rsidRPr="00B0658A">
              <w:rPr>
                <w:rFonts w:ascii="Times New Roman" w:hAnsi="Times New Roman"/>
                <w:sz w:val="20"/>
                <w:szCs w:val="20"/>
                <w:lang w:val="en-US"/>
              </w:rPr>
              <w:t>N</w:t>
            </w:r>
            <w:r w:rsidRPr="00B0658A">
              <w:rPr>
                <w:rFonts w:ascii="Times New Roman" w:hAnsi="Times New Roman"/>
                <w:sz w:val="20"/>
                <w:szCs w:val="20"/>
              </w:rPr>
              <w:t>.1</w:t>
            </w:r>
          </w:p>
        </w:tc>
        <w:tc>
          <w:tcPr>
            <w:tcW w:w="1237" w:type="pct"/>
            <w:shd w:val="clear" w:color="auto" w:fill="auto"/>
            <w:vAlign w:val="center"/>
          </w:tcPr>
          <w:p w14:paraId="1F428141" w14:textId="77777777" w:rsidR="00705AA2" w:rsidRPr="00B0658A" w:rsidRDefault="00705AA2" w:rsidP="004F1366">
            <w:pPr>
              <w:spacing w:after="0" w:line="240" w:lineRule="auto"/>
              <w:rPr>
                <w:rFonts w:ascii="Times New Roman" w:hAnsi="Times New Roman"/>
                <w:i/>
                <w:sz w:val="20"/>
                <w:szCs w:val="20"/>
              </w:rPr>
            </w:pPr>
            <w:r w:rsidRPr="00B0658A">
              <w:rPr>
                <w:rFonts w:ascii="Times New Roman" w:hAnsi="Times New Roman"/>
                <w:i/>
                <w:sz w:val="20"/>
                <w:szCs w:val="20"/>
              </w:rPr>
              <w:t xml:space="preserve">Указывается класс (тип) №1 ПО, используемого на значимом объекте КИИ № </w:t>
            </w:r>
            <w:r w:rsidRPr="00B0658A">
              <w:rPr>
                <w:rFonts w:ascii="Times New Roman" w:hAnsi="Times New Roman"/>
                <w:i/>
                <w:sz w:val="20"/>
                <w:szCs w:val="20"/>
                <w:lang w:val="en-US"/>
              </w:rPr>
              <w:t>N</w:t>
            </w:r>
            <w:r w:rsidRPr="00B0658A">
              <w:rPr>
                <w:rFonts w:ascii="Times New Roman" w:hAnsi="Times New Roman"/>
                <w:i/>
                <w:sz w:val="20"/>
                <w:szCs w:val="20"/>
              </w:rPr>
              <w:t xml:space="preserve"> в соответствии с приказом Минцифры России от 22 сентября 2020 г. № 486)</w:t>
            </w:r>
          </w:p>
        </w:tc>
        <w:tc>
          <w:tcPr>
            <w:tcW w:w="844" w:type="pct"/>
          </w:tcPr>
          <w:p w14:paraId="55654DA3" w14:textId="77777777" w:rsidR="00705AA2" w:rsidRPr="00B0658A" w:rsidRDefault="00705AA2" w:rsidP="004F1366">
            <w:pPr>
              <w:spacing w:after="0" w:line="240" w:lineRule="auto"/>
              <w:rPr>
                <w:rFonts w:ascii="Times New Roman" w:hAnsi="Times New Roman"/>
                <w:sz w:val="20"/>
                <w:szCs w:val="20"/>
              </w:rPr>
            </w:pPr>
          </w:p>
        </w:tc>
        <w:tc>
          <w:tcPr>
            <w:tcW w:w="844" w:type="pct"/>
            <w:shd w:val="clear" w:color="000000" w:fill="FFFFFF"/>
          </w:tcPr>
          <w:p w14:paraId="2A605ACE" w14:textId="77777777" w:rsidR="00705AA2" w:rsidRPr="00B0658A" w:rsidRDefault="00705AA2" w:rsidP="004F1366">
            <w:pPr>
              <w:spacing w:after="0" w:line="240" w:lineRule="auto"/>
              <w:rPr>
                <w:rFonts w:ascii="Times New Roman" w:hAnsi="Times New Roman"/>
                <w:sz w:val="20"/>
                <w:szCs w:val="20"/>
              </w:rPr>
            </w:pPr>
            <w:r w:rsidRPr="00B0658A">
              <w:rPr>
                <w:rFonts w:ascii="Times New Roman" w:hAnsi="Times New Roman"/>
                <w:sz w:val="20"/>
                <w:szCs w:val="20"/>
              </w:rPr>
              <w:t>Доля используемого российского ПО и евразийского ПО, используемого на значимом объекте КИИ, в общем объёме используемого ПО на таком объекте, %</w:t>
            </w:r>
          </w:p>
        </w:tc>
        <w:tc>
          <w:tcPr>
            <w:tcW w:w="320" w:type="pct"/>
            <w:shd w:val="clear" w:color="000000" w:fill="FFFFFF"/>
            <w:vAlign w:val="center"/>
          </w:tcPr>
          <w:p w14:paraId="4D885C97" w14:textId="77777777" w:rsidR="00705AA2" w:rsidRPr="00B0658A" w:rsidRDefault="00705AA2" w:rsidP="004F1366">
            <w:pPr>
              <w:spacing w:after="0" w:line="240" w:lineRule="auto"/>
              <w:jc w:val="center"/>
              <w:rPr>
                <w:rFonts w:ascii="Times New Roman" w:hAnsi="Times New Roman"/>
                <w:sz w:val="20"/>
                <w:szCs w:val="20"/>
              </w:rPr>
            </w:pPr>
          </w:p>
        </w:tc>
        <w:tc>
          <w:tcPr>
            <w:tcW w:w="320" w:type="pct"/>
            <w:shd w:val="clear" w:color="000000" w:fill="FFFFFF"/>
            <w:vAlign w:val="center"/>
          </w:tcPr>
          <w:p w14:paraId="0354D8D6" w14:textId="77777777" w:rsidR="00705AA2" w:rsidRPr="00B0658A" w:rsidRDefault="00705AA2" w:rsidP="004F1366">
            <w:pPr>
              <w:spacing w:after="0" w:line="240" w:lineRule="auto"/>
              <w:jc w:val="center"/>
              <w:rPr>
                <w:rFonts w:ascii="Times New Roman" w:hAnsi="Times New Roman"/>
                <w:sz w:val="20"/>
                <w:szCs w:val="20"/>
              </w:rPr>
            </w:pPr>
          </w:p>
        </w:tc>
        <w:tc>
          <w:tcPr>
            <w:tcW w:w="320" w:type="pct"/>
            <w:shd w:val="clear" w:color="000000" w:fill="FFFFFF"/>
            <w:vAlign w:val="center"/>
          </w:tcPr>
          <w:p w14:paraId="690F4442" w14:textId="77777777" w:rsidR="00705AA2" w:rsidRPr="00B0658A" w:rsidRDefault="00705AA2" w:rsidP="004F1366">
            <w:pPr>
              <w:spacing w:after="0" w:line="240" w:lineRule="auto"/>
              <w:jc w:val="center"/>
              <w:rPr>
                <w:rFonts w:ascii="Times New Roman" w:hAnsi="Times New Roman"/>
                <w:sz w:val="20"/>
                <w:szCs w:val="20"/>
              </w:rPr>
            </w:pPr>
          </w:p>
        </w:tc>
        <w:tc>
          <w:tcPr>
            <w:tcW w:w="320" w:type="pct"/>
            <w:shd w:val="clear" w:color="000000" w:fill="FFFFFF"/>
            <w:vAlign w:val="center"/>
          </w:tcPr>
          <w:p w14:paraId="09BA92DD" w14:textId="77777777" w:rsidR="00705AA2" w:rsidRPr="00B0658A" w:rsidRDefault="00705AA2" w:rsidP="004F1366">
            <w:pPr>
              <w:spacing w:after="0" w:line="240" w:lineRule="auto"/>
              <w:jc w:val="center"/>
              <w:rPr>
                <w:rFonts w:ascii="Times New Roman" w:hAnsi="Times New Roman"/>
                <w:sz w:val="20"/>
                <w:szCs w:val="20"/>
              </w:rPr>
            </w:pPr>
          </w:p>
        </w:tc>
        <w:tc>
          <w:tcPr>
            <w:tcW w:w="518" w:type="pct"/>
            <w:shd w:val="clear" w:color="000000" w:fill="FFFFFF"/>
            <w:vAlign w:val="center"/>
          </w:tcPr>
          <w:p w14:paraId="55A0EE91" w14:textId="77777777" w:rsidR="00705AA2" w:rsidRPr="00B0658A" w:rsidRDefault="00705AA2" w:rsidP="004F1366">
            <w:pPr>
              <w:spacing w:after="0" w:line="240" w:lineRule="auto"/>
              <w:jc w:val="center"/>
              <w:rPr>
                <w:rFonts w:ascii="Times New Roman" w:hAnsi="Times New Roman"/>
                <w:sz w:val="20"/>
                <w:szCs w:val="20"/>
              </w:rPr>
            </w:pPr>
          </w:p>
        </w:tc>
      </w:tr>
      <w:tr w:rsidR="00F52FED" w:rsidRPr="00B0658A" w14:paraId="526DAA5F" w14:textId="77777777" w:rsidTr="004F1366">
        <w:trPr>
          <w:trHeight w:val="20"/>
        </w:trPr>
        <w:tc>
          <w:tcPr>
            <w:tcW w:w="278" w:type="pct"/>
            <w:shd w:val="clear" w:color="000000" w:fill="FFFFFF"/>
            <w:vAlign w:val="center"/>
          </w:tcPr>
          <w:p w14:paraId="37E6E289" w14:textId="77777777" w:rsidR="00705AA2" w:rsidRPr="00B0658A" w:rsidRDefault="00705AA2" w:rsidP="004F1366">
            <w:pPr>
              <w:spacing w:after="0" w:line="240" w:lineRule="auto"/>
              <w:jc w:val="center"/>
              <w:rPr>
                <w:rFonts w:ascii="Times New Roman" w:hAnsi="Times New Roman"/>
                <w:sz w:val="20"/>
                <w:szCs w:val="20"/>
              </w:rPr>
            </w:pPr>
            <w:r w:rsidRPr="00B0658A">
              <w:rPr>
                <w:rFonts w:ascii="Times New Roman" w:hAnsi="Times New Roman"/>
                <w:sz w:val="20"/>
                <w:szCs w:val="20"/>
                <w:lang w:val="en-US"/>
              </w:rPr>
              <w:t>N</w:t>
            </w:r>
            <w:r w:rsidRPr="00B0658A">
              <w:rPr>
                <w:rFonts w:ascii="Times New Roman" w:hAnsi="Times New Roman"/>
                <w:sz w:val="20"/>
                <w:szCs w:val="20"/>
              </w:rPr>
              <w:t>.2</w:t>
            </w:r>
          </w:p>
        </w:tc>
        <w:tc>
          <w:tcPr>
            <w:tcW w:w="1237" w:type="pct"/>
            <w:shd w:val="clear" w:color="auto" w:fill="auto"/>
            <w:vAlign w:val="center"/>
          </w:tcPr>
          <w:p w14:paraId="2F8D814E" w14:textId="77777777" w:rsidR="00705AA2" w:rsidRPr="00B0658A" w:rsidRDefault="00705AA2" w:rsidP="004F1366">
            <w:pPr>
              <w:spacing w:after="0" w:line="240" w:lineRule="auto"/>
              <w:rPr>
                <w:rFonts w:ascii="Times New Roman" w:hAnsi="Times New Roman"/>
                <w:i/>
                <w:sz w:val="20"/>
                <w:szCs w:val="20"/>
              </w:rPr>
            </w:pPr>
            <w:r w:rsidRPr="00B0658A">
              <w:rPr>
                <w:rFonts w:ascii="Times New Roman" w:hAnsi="Times New Roman"/>
                <w:i/>
                <w:sz w:val="20"/>
                <w:szCs w:val="20"/>
              </w:rPr>
              <w:t xml:space="preserve">Указывается класс (тип) №2 ПО, используемого на значимом объекте КИИ № </w:t>
            </w:r>
            <w:r w:rsidRPr="00B0658A">
              <w:rPr>
                <w:rFonts w:ascii="Times New Roman" w:hAnsi="Times New Roman"/>
                <w:i/>
                <w:sz w:val="20"/>
                <w:szCs w:val="20"/>
                <w:lang w:val="en-US"/>
              </w:rPr>
              <w:t>N</w:t>
            </w:r>
            <w:r w:rsidRPr="00B0658A">
              <w:rPr>
                <w:rFonts w:ascii="Times New Roman" w:hAnsi="Times New Roman"/>
                <w:i/>
                <w:sz w:val="20"/>
                <w:szCs w:val="20"/>
              </w:rPr>
              <w:t xml:space="preserve"> в соответствии с приказом Минцифры России от 22 сентября 2020 г. № 486)</w:t>
            </w:r>
          </w:p>
        </w:tc>
        <w:tc>
          <w:tcPr>
            <w:tcW w:w="844" w:type="pct"/>
          </w:tcPr>
          <w:p w14:paraId="62A65783" w14:textId="77777777" w:rsidR="00705AA2" w:rsidRPr="00B0658A" w:rsidRDefault="00705AA2" w:rsidP="004F1366">
            <w:pPr>
              <w:spacing w:after="0" w:line="240" w:lineRule="auto"/>
              <w:rPr>
                <w:rFonts w:ascii="Times New Roman" w:hAnsi="Times New Roman"/>
                <w:sz w:val="20"/>
                <w:szCs w:val="20"/>
              </w:rPr>
            </w:pPr>
          </w:p>
        </w:tc>
        <w:tc>
          <w:tcPr>
            <w:tcW w:w="844" w:type="pct"/>
            <w:shd w:val="clear" w:color="000000" w:fill="FFFFFF"/>
          </w:tcPr>
          <w:p w14:paraId="2278360D" w14:textId="77777777" w:rsidR="00705AA2" w:rsidRPr="00B0658A" w:rsidRDefault="00705AA2" w:rsidP="004F1366">
            <w:pPr>
              <w:spacing w:after="0" w:line="240" w:lineRule="auto"/>
              <w:rPr>
                <w:rFonts w:ascii="Times New Roman" w:hAnsi="Times New Roman"/>
                <w:sz w:val="20"/>
                <w:szCs w:val="20"/>
              </w:rPr>
            </w:pPr>
            <w:r w:rsidRPr="00B0658A">
              <w:rPr>
                <w:rFonts w:ascii="Times New Roman" w:hAnsi="Times New Roman"/>
                <w:sz w:val="20"/>
                <w:szCs w:val="20"/>
              </w:rPr>
              <w:t>Доля используемого российского ПО и евразийского ПО, используемого на значимом объекте КИИ, в общем объёме используемого ПО на таком объекте, %</w:t>
            </w:r>
          </w:p>
        </w:tc>
        <w:tc>
          <w:tcPr>
            <w:tcW w:w="320" w:type="pct"/>
            <w:shd w:val="clear" w:color="000000" w:fill="FFFFFF"/>
            <w:vAlign w:val="center"/>
          </w:tcPr>
          <w:p w14:paraId="78BE550E" w14:textId="77777777" w:rsidR="00705AA2" w:rsidRPr="00B0658A" w:rsidRDefault="00705AA2" w:rsidP="004F1366">
            <w:pPr>
              <w:spacing w:after="0" w:line="240" w:lineRule="auto"/>
              <w:jc w:val="center"/>
              <w:rPr>
                <w:rFonts w:ascii="Times New Roman" w:hAnsi="Times New Roman"/>
                <w:sz w:val="20"/>
                <w:szCs w:val="20"/>
              </w:rPr>
            </w:pPr>
          </w:p>
        </w:tc>
        <w:tc>
          <w:tcPr>
            <w:tcW w:w="320" w:type="pct"/>
            <w:shd w:val="clear" w:color="000000" w:fill="FFFFFF"/>
            <w:vAlign w:val="center"/>
          </w:tcPr>
          <w:p w14:paraId="38D1ED1A" w14:textId="77777777" w:rsidR="00705AA2" w:rsidRPr="00B0658A" w:rsidRDefault="00705AA2" w:rsidP="004F1366">
            <w:pPr>
              <w:spacing w:after="0" w:line="240" w:lineRule="auto"/>
              <w:jc w:val="center"/>
              <w:rPr>
                <w:rFonts w:ascii="Times New Roman" w:hAnsi="Times New Roman"/>
                <w:sz w:val="20"/>
                <w:szCs w:val="20"/>
              </w:rPr>
            </w:pPr>
          </w:p>
        </w:tc>
        <w:tc>
          <w:tcPr>
            <w:tcW w:w="320" w:type="pct"/>
            <w:shd w:val="clear" w:color="000000" w:fill="FFFFFF"/>
            <w:vAlign w:val="center"/>
          </w:tcPr>
          <w:p w14:paraId="6881D164" w14:textId="77777777" w:rsidR="00705AA2" w:rsidRPr="00B0658A" w:rsidRDefault="00705AA2" w:rsidP="004F1366">
            <w:pPr>
              <w:spacing w:after="0" w:line="240" w:lineRule="auto"/>
              <w:jc w:val="center"/>
              <w:rPr>
                <w:rFonts w:ascii="Times New Roman" w:hAnsi="Times New Roman"/>
                <w:sz w:val="20"/>
                <w:szCs w:val="20"/>
              </w:rPr>
            </w:pPr>
          </w:p>
        </w:tc>
        <w:tc>
          <w:tcPr>
            <w:tcW w:w="320" w:type="pct"/>
            <w:shd w:val="clear" w:color="000000" w:fill="FFFFFF"/>
            <w:vAlign w:val="center"/>
          </w:tcPr>
          <w:p w14:paraId="574AC617" w14:textId="77777777" w:rsidR="00705AA2" w:rsidRPr="00B0658A" w:rsidRDefault="00705AA2" w:rsidP="004F1366">
            <w:pPr>
              <w:spacing w:after="0" w:line="240" w:lineRule="auto"/>
              <w:jc w:val="center"/>
              <w:rPr>
                <w:rFonts w:ascii="Times New Roman" w:hAnsi="Times New Roman"/>
                <w:sz w:val="20"/>
                <w:szCs w:val="20"/>
              </w:rPr>
            </w:pPr>
          </w:p>
        </w:tc>
        <w:tc>
          <w:tcPr>
            <w:tcW w:w="518" w:type="pct"/>
            <w:shd w:val="clear" w:color="000000" w:fill="FFFFFF"/>
            <w:vAlign w:val="center"/>
          </w:tcPr>
          <w:p w14:paraId="6A9E353F" w14:textId="77777777" w:rsidR="00705AA2" w:rsidRPr="00B0658A" w:rsidRDefault="00705AA2" w:rsidP="004F1366">
            <w:pPr>
              <w:spacing w:after="0" w:line="240" w:lineRule="auto"/>
              <w:jc w:val="center"/>
              <w:rPr>
                <w:rFonts w:ascii="Times New Roman" w:hAnsi="Times New Roman"/>
                <w:sz w:val="20"/>
                <w:szCs w:val="20"/>
              </w:rPr>
            </w:pPr>
          </w:p>
        </w:tc>
      </w:tr>
      <w:tr w:rsidR="00F52FED" w:rsidRPr="00B0658A" w14:paraId="330D7776" w14:textId="77777777" w:rsidTr="004F1366">
        <w:trPr>
          <w:trHeight w:val="20"/>
        </w:trPr>
        <w:tc>
          <w:tcPr>
            <w:tcW w:w="278" w:type="pct"/>
            <w:shd w:val="clear" w:color="000000" w:fill="FFFFFF"/>
            <w:vAlign w:val="center"/>
          </w:tcPr>
          <w:p w14:paraId="542DDB59" w14:textId="77777777" w:rsidR="00705AA2" w:rsidRPr="00B0658A" w:rsidRDefault="00705AA2" w:rsidP="004F1366">
            <w:pPr>
              <w:spacing w:after="0" w:line="240" w:lineRule="auto"/>
              <w:jc w:val="center"/>
              <w:rPr>
                <w:rFonts w:ascii="Times New Roman" w:hAnsi="Times New Roman"/>
                <w:sz w:val="20"/>
                <w:szCs w:val="20"/>
              </w:rPr>
            </w:pPr>
            <w:r w:rsidRPr="00B0658A">
              <w:rPr>
                <w:rFonts w:ascii="Times New Roman" w:hAnsi="Times New Roman"/>
                <w:sz w:val="20"/>
                <w:szCs w:val="20"/>
              </w:rPr>
              <w:t>…</w:t>
            </w:r>
          </w:p>
        </w:tc>
        <w:tc>
          <w:tcPr>
            <w:tcW w:w="1237" w:type="pct"/>
            <w:shd w:val="clear" w:color="auto" w:fill="auto"/>
            <w:vAlign w:val="center"/>
          </w:tcPr>
          <w:p w14:paraId="7E44C131" w14:textId="77777777" w:rsidR="00705AA2" w:rsidRPr="00B0658A" w:rsidRDefault="00705AA2" w:rsidP="004F1366">
            <w:pPr>
              <w:spacing w:after="0" w:line="240" w:lineRule="auto"/>
              <w:rPr>
                <w:rFonts w:ascii="Times New Roman" w:hAnsi="Times New Roman"/>
                <w:i/>
                <w:sz w:val="20"/>
                <w:szCs w:val="20"/>
              </w:rPr>
            </w:pPr>
            <w:r w:rsidRPr="00B0658A">
              <w:rPr>
                <w:rFonts w:ascii="Times New Roman" w:hAnsi="Times New Roman"/>
                <w:i/>
                <w:sz w:val="20"/>
                <w:szCs w:val="20"/>
              </w:rPr>
              <w:t>…</w:t>
            </w:r>
          </w:p>
        </w:tc>
        <w:tc>
          <w:tcPr>
            <w:tcW w:w="844" w:type="pct"/>
          </w:tcPr>
          <w:p w14:paraId="2EB4692A" w14:textId="77777777" w:rsidR="00705AA2" w:rsidRPr="00B0658A" w:rsidRDefault="00705AA2" w:rsidP="004F1366">
            <w:pPr>
              <w:spacing w:after="0" w:line="240" w:lineRule="auto"/>
              <w:rPr>
                <w:rFonts w:ascii="Times New Roman" w:hAnsi="Times New Roman"/>
                <w:sz w:val="20"/>
                <w:szCs w:val="20"/>
              </w:rPr>
            </w:pPr>
          </w:p>
        </w:tc>
        <w:tc>
          <w:tcPr>
            <w:tcW w:w="844" w:type="pct"/>
            <w:shd w:val="clear" w:color="000000" w:fill="FFFFFF"/>
          </w:tcPr>
          <w:p w14:paraId="5A334D8B" w14:textId="77777777" w:rsidR="00705AA2" w:rsidRPr="00B0658A" w:rsidRDefault="00705AA2" w:rsidP="004F1366">
            <w:pPr>
              <w:spacing w:after="0" w:line="240" w:lineRule="auto"/>
              <w:rPr>
                <w:rFonts w:ascii="Times New Roman" w:hAnsi="Times New Roman"/>
                <w:sz w:val="20"/>
                <w:szCs w:val="20"/>
              </w:rPr>
            </w:pPr>
            <w:r w:rsidRPr="00B0658A">
              <w:rPr>
                <w:rFonts w:ascii="Times New Roman" w:hAnsi="Times New Roman"/>
                <w:sz w:val="20"/>
                <w:szCs w:val="20"/>
              </w:rPr>
              <w:t>…...</w:t>
            </w:r>
          </w:p>
        </w:tc>
        <w:tc>
          <w:tcPr>
            <w:tcW w:w="320" w:type="pct"/>
            <w:shd w:val="clear" w:color="000000" w:fill="FFFFFF"/>
            <w:vAlign w:val="center"/>
          </w:tcPr>
          <w:p w14:paraId="7D32ACCD" w14:textId="77777777" w:rsidR="00705AA2" w:rsidRPr="00B0658A" w:rsidRDefault="00705AA2" w:rsidP="004F1366">
            <w:pPr>
              <w:spacing w:after="0" w:line="240" w:lineRule="auto"/>
              <w:jc w:val="center"/>
              <w:rPr>
                <w:rFonts w:ascii="Times New Roman" w:hAnsi="Times New Roman"/>
                <w:sz w:val="20"/>
                <w:szCs w:val="20"/>
              </w:rPr>
            </w:pPr>
          </w:p>
        </w:tc>
        <w:tc>
          <w:tcPr>
            <w:tcW w:w="320" w:type="pct"/>
            <w:shd w:val="clear" w:color="000000" w:fill="FFFFFF"/>
            <w:vAlign w:val="center"/>
          </w:tcPr>
          <w:p w14:paraId="1C1C367A" w14:textId="77777777" w:rsidR="00705AA2" w:rsidRPr="00B0658A" w:rsidRDefault="00705AA2" w:rsidP="004F1366">
            <w:pPr>
              <w:spacing w:after="0" w:line="240" w:lineRule="auto"/>
              <w:jc w:val="center"/>
              <w:rPr>
                <w:rFonts w:ascii="Times New Roman" w:hAnsi="Times New Roman"/>
                <w:sz w:val="20"/>
                <w:szCs w:val="20"/>
              </w:rPr>
            </w:pPr>
          </w:p>
        </w:tc>
        <w:tc>
          <w:tcPr>
            <w:tcW w:w="320" w:type="pct"/>
            <w:shd w:val="clear" w:color="000000" w:fill="FFFFFF"/>
            <w:vAlign w:val="center"/>
          </w:tcPr>
          <w:p w14:paraId="01629F7F" w14:textId="77777777" w:rsidR="00705AA2" w:rsidRPr="00B0658A" w:rsidRDefault="00705AA2" w:rsidP="004F1366">
            <w:pPr>
              <w:spacing w:after="0" w:line="240" w:lineRule="auto"/>
              <w:jc w:val="center"/>
              <w:rPr>
                <w:rFonts w:ascii="Times New Roman" w:hAnsi="Times New Roman"/>
                <w:sz w:val="20"/>
                <w:szCs w:val="20"/>
              </w:rPr>
            </w:pPr>
          </w:p>
        </w:tc>
        <w:tc>
          <w:tcPr>
            <w:tcW w:w="320" w:type="pct"/>
            <w:shd w:val="clear" w:color="000000" w:fill="FFFFFF"/>
            <w:vAlign w:val="center"/>
          </w:tcPr>
          <w:p w14:paraId="3F8D6EF4" w14:textId="77777777" w:rsidR="00705AA2" w:rsidRPr="00B0658A" w:rsidRDefault="00705AA2" w:rsidP="004F1366">
            <w:pPr>
              <w:spacing w:after="0" w:line="240" w:lineRule="auto"/>
              <w:jc w:val="center"/>
              <w:rPr>
                <w:rFonts w:ascii="Times New Roman" w:hAnsi="Times New Roman"/>
                <w:sz w:val="20"/>
                <w:szCs w:val="20"/>
              </w:rPr>
            </w:pPr>
          </w:p>
        </w:tc>
        <w:tc>
          <w:tcPr>
            <w:tcW w:w="518" w:type="pct"/>
            <w:shd w:val="clear" w:color="000000" w:fill="FFFFFF"/>
            <w:vAlign w:val="center"/>
          </w:tcPr>
          <w:p w14:paraId="2FE659BD" w14:textId="77777777" w:rsidR="00705AA2" w:rsidRPr="00B0658A" w:rsidRDefault="00705AA2" w:rsidP="004F1366">
            <w:pPr>
              <w:spacing w:after="0" w:line="240" w:lineRule="auto"/>
              <w:jc w:val="center"/>
              <w:rPr>
                <w:rFonts w:ascii="Times New Roman" w:hAnsi="Times New Roman"/>
                <w:sz w:val="20"/>
                <w:szCs w:val="20"/>
              </w:rPr>
            </w:pPr>
          </w:p>
        </w:tc>
      </w:tr>
      <w:tr w:rsidR="00705AA2" w:rsidRPr="00B0658A" w14:paraId="5AC6254B" w14:textId="77777777" w:rsidTr="004F1366">
        <w:trPr>
          <w:trHeight w:val="20"/>
        </w:trPr>
        <w:tc>
          <w:tcPr>
            <w:tcW w:w="278" w:type="pct"/>
            <w:shd w:val="clear" w:color="000000" w:fill="FFFFFF"/>
            <w:vAlign w:val="center"/>
          </w:tcPr>
          <w:p w14:paraId="26ACAE81" w14:textId="77777777" w:rsidR="00705AA2" w:rsidRPr="00B0658A" w:rsidRDefault="00705AA2" w:rsidP="004F1366">
            <w:pPr>
              <w:spacing w:after="0" w:line="240" w:lineRule="auto"/>
              <w:jc w:val="center"/>
              <w:rPr>
                <w:rFonts w:ascii="Times New Roman" w:hAnsi="Times New Roman"/>
                <w:sz w:val="20"/>
                <w:szCs w:val="20"/>
              </w:rPr>
            </w:pPr>
            <w:r w:rsidRPr="00B0658A">
              <w:rPr>
                <w:rFonts w:ascii="Times New Roman" w:hAnsi="Times New Roman"/>
                <w:sz w:val="20"/>
                <w:szCs w:val="20"/>
                <w:lang w:val="en-US"/>
              </w:rPr>
              <w:t>N</w:t>
            </w:r>
            <w:r w:rsidRPr="00B0658A">
              <w:rPr>
                <w:rFonts w:ascii="Times New Roman" w:hAnsi="Times New Roman"/>
                <w:sz w:val="20"/>
                <w:szCs w:val="20"/>
              </w:rPr>
              <w:t>.</w:t>
            </w:r>
            <w:r w:rsidRPr="00B0658A">
              <w:rPr>
                <w:rFonts w:ascii="Times New Roman" w:hAnsi="Times New Roman"/>
                <w:sz w:val="20"/>
                <w:szCs w:val="20"/>
                <w:lang w:val="en-US"/>
              </w:rPr>
              <w:t>n</w:t>
            </w:r>
          </w:p>
        </w:tc>
        <w:tc>
          <w:tcPr>
            <w:tcW w:w="1237" w:type="pct"/>
            <w:shd w:val="clear" w:color="auto" w:fill="auto"/>
            <w:vAlign w:val="center"/>
          </w:tcPr>
          <w:p w14:paraId="49AF4D06" w14:textId="77777777" w:rsidR="00705AA2" w:rsidRPr="00B0658A" w:rsidRDefault="00705AA2" w:rsidP="004F1366">
            <w:pPr>
              <w:spacing w:after="0" w:line="240" w:lineRule="auto"/>
              <w:rPr>
                <w:rFonts w:ascii="Times New Roman" w:hAnsi="Times New Roman"/>
                <w:i/>
                <w:sz w:val="20"/>
                <w:szCs w:val="20"/>
              </w:rPr>
            </w:pPr>
            <w:r w:rsidRPr="00B0658A">
              <w:rPr>
                <w:rFonts w:ascii="Times New Roman" w:hAnsi="Times New Roman"/>
                <w:i/>
                <w:sz w:val="20"/>
                <w:szCs w:val="20"/>
              </w:rPr>
              <w:t>Указывается класс (тип) №</w:t>
            </w:r>
            <w:r w:rsidRPr="00B0658A">
              <w:rPr>
                <w:rFonts w:ascii="Times New Roman" w:hAnsi="Times New Roman"/>
                <w:i/>
                <w:sz w:val="20"/>
                <w:szCs w:val="20"/>
                <w:lang w:val="en-US"/>
              </w:rPr>
              <w:t>n</w:t>
            </w:r>
            <w:r w:rsidRPr="00B0658A">
              <w:rPr>
                <w:rFonts w:ascii="Times New Roman" w:hAnsi="Times New Roman"/>
                <w:i/>
                <w:sz w:val="20"/>
                <w:szCs w:val="20"/>
              </w:rPr>
              <w:t xml:space="preserve"> ПО, используемого на значимом объекте КИИ № </w:t>
            </w:r>
            <w:r w:rsidRPr="00B0658A">
              <w:rPr>
                <w:rFonts w:ascii="Times New Roman" w:hAnsi="Times New Roman"/>
                <w:i/>
                <w:sz w:val="20"/>
                <w:szCs w:val="20"/>
                <w:lang w:val="en-US"/>
              </w:rPr>
              <w:t>N</w:t>
            </w:r>
            <w:r w:rsidRPr="00B0658A">
              <w:rPr>
                <w:rFonts w:ascii="Times New Roman" w:hAnsi="Times New Roman"/>
                <w:i/>
                <w:sz w:val="20"/>
                <w:szCs w:val="20"/>
              </w:rPr>
              <w:t xml:space="preserve"> в соответствии с приказом Минцифры России от 22 сентября 2020 г. № 486)</w:t>
            </w:r>
          </w:p>
        </w:tc>
        <w:tc>
          <w:tcPr>
            <w:tcW w:w="844" w:type="pct"/>
          </w:tcPr>
          <w:p w14:paraId="652AC7ED" w14:textId="77777777" w:rsidR="00705AA2" w:rsidRPr="00B0658A" w:rsidRDefault="00705AA2" w:rsidP="004F1366">
            <w:pPr>
              <w:spacing w:after="0" w:line="240" w:lineRule="auto"/>
              <w:rPr>
                <w:rFonts w:ascii="Times New Roman" w:hAnsi="Times New Roman"/>
                <w:sz w:val="20"/>
                <w:szCs w:val="20"/>
              </w:rPr>
            </w:pPr>
          </w:p>
        </w:tc>
        <w:tc>
          <w:tcPr>
            <w:tcW w:w="844" w:type="pct"/>
            <w:shd w:val="clear" w:color="000000" w:fill="FFFFFF"/>
          </w:tcPr>
          <w:p w14:paraId="3544CCC1" w14:textId="77777777" w:rsidR="00705AA2" w:rsidRPr="00B0658A" w:rsidRDefault="00705AA2" w:rsidP="004F1366">
            <w:pPr>
              <w:spacing w:after="0" w:line="240" w:lineRule="auto"/>
              <w:rPr>
                <w:rFonts w:ascii="Times New Roman" w:hAnsi="Times New Roman"/>
                <w:sz w:val="20"/>
                <w:szCs w:val="20"/>
              </w:rPr>
            </w:pPr>
            <w:r w:rsidRPr="00B0658A">
              <w:rPr>
                <w:rFonts w:ascii="Times New Roman" w:hAnsi="Times New Roman"/>
                <w:sz w:val="20"/>
                <w:szCs w:val="20"/>
              </w:rPr>
              <w:t>Доля используемого российского ПО и евразийского ПО, используемого на значимом объекте КИИ, в общем объёме используемого ПО на таком объекте, %</w:t>
            </w:r>
          </w:p>
        </w:tc>
        <w:tc>
          <w:tcPr>
            <w:tcW w:w="320" w:type="pct"/>
            <w:shd w:val="clear" w:color="000000" w:fill="FFFFFF"/>
            <w:vAlign w:val="center"/>
          </w:tcPr>
          <w:p w14:paraId="2B6FD30B" w14:textId="77777777" w:rsidR="00705AA2" w:rsidRPr="00B0658A" w:rsidRDefault="00705AA2" w:rsidP="004F1366">
            <w:pPr>
              <w:spacing w:after="0" w:line="240" w:lineRule="auto"/>
              <w:jc w:val="center"/>
              <w:rPr>
                <w:rFonts w:ascii="Times New Roman" w:hAnsi="Times New Roman"/>
                <w:sz w:val="20"/>
                <w:szCs w:val="20"/>
              </w:rPr>
            </w:pPr>
          </w:p>
        </w:tc>
        <w:tc>
          <w:tcPr>
            <w:tcW w:w="320" w:type="pct"/>
            <w:shd w:val="clear" w:color="000000" w:fill="FFFFFF"/>
            <w:vAlign w:val="center"/>
          </w:tcPr>
          <w:p w14:paraId="7C00190C" w14:textId="77777777" w:rsidR="00705AA2" w:rsidRPr="00B0658A" w:rsidRDefault="00705AA2" w:rsidP="004F1366">
            <w:pPr>
              <w:spacing w:after="0" w:line="240" w:lineRule="auto"/>
              <w:jc w:val="center"/>
              <w:rPr>
                <w:rFonts w:ascii="Times New Roman" w:hAnsi="Times New Roman"/>
                <w:sz w:val="20"/>
                <w:szCs w:val="20"/>
              </w:rPr>
            </w:pPr>
          </w:p>
        </w:tc>
        <w:tc>
          <w:tcPr>
            <w:tcW w:w="320" w:type="pct"/>
            <w:shd w:val="clear" w:color="000000" w:fill="FFFFFF"/>
            <w:vAlign w:val="center"/>
          </w:tcPr>
          <w:p w14:paraId="2ACDC936" w14:textId="77777777" w:rsidR="00705AA2" w:rsidRPr="00B0658A" w:rsidRDefault="00705AA2" w:rsidP="004F1366">
            <w:pPr>
              <w:spacing w:after="0" w:line="240" w:lineRule="auto"/>
              <w:jc w:val="center"/>
              <w:rPr>
                <w:rFonts w:ascii="Times New Roman" w:hAnsi="Times New Roman"/>
                <w:sz w:val="20"/>
                <w:szCs w:val="20"/>
              </w:rPr>
            </w:pPr>
          </w:p>
        </w:tc>
        <w:tc>
          <w:tcPr>
            <w:tcW w:w="320" w:type="pct"/>
            <w:shd w:val="clear" w:color="000000" w:fill="FFFFFF"/>
            <w:vAlign w:val="center"/>
          </w:tcPr>
          <w:p w14:paraId="33ACED2B" w14:textId="77777777" w:rsidR="00705AA2" w:rsidRPr="00B0658A" w:rsidRDefault="00705AA2" w:rsidP="004F1366">
            <w:pPr>
              <w:spacing w:after="0" w:line="240" w:lineRule="auto"/>
              <w:jc w:val="center"/>
              <w:rPr>
                <w:rFonts w:ascii="Times New Roman" w:hAnsi="Times New Roman"/>
                <w:sz w:val="20"/>
                <w:szCs w:val="20"/>
              </w:rPr>
            </w:pPr>
          </w:p>
        </w:tc>
        <w:tc>
          <w:tcPr>
            <w:tcW w:w="518" w:type="pct"/>
            <w:shd w:val="clear" w:color="000000" w:fill="FFFFFF"/>
            <w:vAlign w:val="center"/>
          </w:tcPr>
          <w:p w14:paraId="0C134837" w14:textId="77777777" w:rsidR="00705AA2" w:rsidRPr="00B0658A" w:rsidRDefault="00705AA2" w:rsidP="004F1366">
            <w:pPr>
              <w:spacing w:after="0" w:line="240" w:lineRule="auto"/>
              <w:jc w:val="center"/>
              <w:rPr>
                <w:rFonts w:ascii="Times New Roman" w:hAnsi="Times New Roman"/>
                <w:sz w:val="20"/>
                <w:szCs w:val="20"/>
              </w:rPr>
            </w:pPr>
          </w:p>
        </w:tc>
      </w:tr>
    </w:tbl>
    <w:p w14:paraId="7E919ABD" w14:textId="77777777" w:rsidR="008319FB" w:rsidRPr="00B0658A" w:rsidRDefault="008319FB" w:rsidP="008319FB">
      <w:pPr>
        <w:spacing w:before="120" w:after="0" w:line="240" w:lineRule="auto"/>
        <w:rPr>
          <w:rFonts w:ascii="Times New Roman" w:hAnsi="Times New Roman"/>
          <w:sz w:val="28"/>
          <w:szCs w:val="24"/>
          <w:highlight w:val="yellow"/>
        </w:rPr>
      </w:pPr>
    </w:p>
    <w:p w14:paraId="32EA4577" w14:textId="77777777" w:rsidR="0077778E" w:rsidRPr="00B0658A" w:rsidRDefault="0077778E" w:rsidP="0077778E">
      <w:pPr>
        <w:pStyle w:val="ConsPlusNormal"/>
        <w:spacing w:before="120"/>
        <w:jc w:val="both"/>
        <w:rPr>
          <w:sz w:val="28"/>
        </w:rPr>
      </w:pPr>
      <w:r w:rsidRPr="00B0658A">
        <w:rPr>
          <w:sz w:val="28"/>
        </w:rPr>
        <w:t>Раздел 3. «Сведения об объемах и источниках финансового обеспечения</w:t>
      </w:r>
      <w:r w:rsidR="00513053" w:rsidRPr="00B0658A">
        <w:rPr>
          <w:sz w:val="28"/>
        </w:rPr>
        <w:t xml:space="preserve"> перехода</w:t>
      </w:r>
      <w:r w:rsidRPr="00B0658A">
        <w:rPr>
          <w:sz w:val="28"/>
        </w:rPr>
        <w:t xml:space="preserve"> </w:t>
      </w:r>
      <w:r w:rsidR="00513053" w:rsidRPr="00B0658A">
        <w:rPr>
          <w:sz w:val="28"/>
          <w:szCs w:val="28"/>
        </w:rPr>
        <w:t>на использование российского ПО на принадлежащих _______ (полное наименование иной организации) значимых объектах КИИ</w:t>
      </w:r>
      <w:r w:rsidRPr="00B0658A">
        <w:rPr>
          <w:sz w:val="28"/>
        </w:rPr>
        <w:t>»</w:t>
      </w:r>
    </w:p>
    <w:tbl>
      <w:tblPr>
        <w:tblW w:w="5000" w:type="pct"/>
        <w:tblCellMar>
          <w:top w:w="102" w:type="dxa"/>
          <w:left w:w="62" w:type="dxa"/>
          <w:bottom w:w="102" w:type="dxa"/>
          <w:right w:w="62" w:type="dxa"/>
        </w:tblCellMar>
        <w:tblLook w:val="0000" w:firstRow="0" w:lastRow="0" w:firstColumn="0" w:lastColumn="0" w:noHBand="0" w:noVBand="0"/>
      </w:tblPr>
      <w:tblGrid>
        <w:gridCol w:w="743"/>
        <w:gridCol w:w="4515"/>
        <w:gridCol w:w="2214"/>
        <w:gridCol w:w="2214"/>
        <w:gridCol w:w="2217"/>
        <w:gridCol w:w="2041"/>
      </w:tblGrid>
      <w:tr w:rsidR="00F52FED" w:rsidRPr="00B0658A" w14:paraId="3FD8F039" w14:textId="77777777" w:rsidTr="004973E1">
        <w:trPr>
          <w:trHeight w:val="20"/>
        </w:trPr>
        <w:tc>
          <w:tcPr>
            <w:tcW w:w="266" w:type="pct"/>
            <w:vMerge w:val="restart"/>
            <w:tcBorders>
              <w:top w:val="single" w:sz="4" w:space="0" w:color="auto"/>
              <w:left w:val="single" w:sz="4" w:space="0" w:color="auto"/>
              <w:right w:val="single" w:sz="4" w:space="0" w:color="auto"/>
            </w:tcBorders>
            <w:shd w:val="clear" w:color="auto" w:fill="E7E6E6" w:themeFill="background2"/>
          </w:tcPr>
          <w:p w14:paraId="6077A2FF" w14:textId="77777777" w:rsidR="007721E8" w:rsidRPr="00B0658A" w:rsidRDefault="007721E8" w:rsidP="000A4114">
            <w:pPr>
              <w:spacing w:after="0" w:line="240" w:lineRule="auto"/>
              <w:jc w:val="center"/>
              <w:rPr>
                <w:rFonts w:ascii="Times New Roman" w:hAnsi="Times New Roman"/>
                <w:b/>
                <w:bCs/>
                <w:sz w:val="24"/>
                <w:szCs w:val="24"/>
              </w:rPr>
            </w:pPr>
            <w:r w:rsidRPr="00B0658A">
              <w:rPr>
                <w:rFonts w:ascii="Times New Roman" w:hAnsi="Times New Roman"/>
                <w:b/>
                <w:bCs/>
                <w:sz w:val="24"/>
                <w:szCs w:val="24"/>
              </w:rPr>
              <w:t>№ п/п</w:t>
            </w:r>
          </w:p>
        </w:tc>
        <w:tc>
          <w:tcPr>
            <w:tcW w:w="1619" w:type="pct"/>
            <w:vMerge w:val="restart"/>
            <w:tcBorders>
              <w:top w:val="single" w:sz="4" w:space="0" w:color="auto"/>
              <w:left w:val="single" w:sz="4" w:space="0" w:color="auto"/>
              <w:right w:val="single" w:sz="4" w:space="0" w:color="auto"/>
            </w:tcBorders>
            <w:shd w:val="clear" w:color="auto" w:fill="E7E6E6" w:themeFill="background2"/>
            <w:vAlign w:val="center"/>
          </w:tcPr>
          <w:p w14:paraId="68B4F663" w14:textId="77777777" w:rsidR="007721E8" w:rsidRPr="00B0658A" w:rsidRDefault="007721E8" w:rsidP="000A4114">
            <w:pPr>
              <w:spacing w:after="0" w:line="240" w:lineRule="auto"/>
              <w:jc w:val="center"/>
              <w:rPr>
                <w:rFonts w:ascii="Times New Roman" w:hAnsi="Times New Roman"/>
                <w:b/>
                <w:bCs/>
                <w:sz w:val="24"/>
                <w:szCs w:val="24"/>
              </w:rPr>
            </w:pPr>
            <w:r w:rsidRPr="00B0658A">
              <w:rPr>
                <w:rFonts w:ascii="Times New Roman" w:hAnsi="Times New Roman"/>
                <w:b/>
                <w:bCs/>
                <w:sz w:val="24"/>
                <w:szCs w:val="24"/>
              </w:rPr>
              <w:t xml:space="preserve">Наименование </w:t>
            </w:r>
            <w:r w:rsidR="0049104B" w:rsidRPr="00B0658A">
              <w:rPr>
                <w:rFonts w:ascii="Times New Roman" w:hAnsi="Times New Roman"/>
                <w:b/>
                <w:bCs/>
                <w:sz w:val="24"/>
                <w:szCs w:val="24"/>
              </w:rPr>
              <w:t>значимого объекта КИИ</w:t>
            </w:r>
          </w:p>
        </w:tc>
        <w:tc>
          <w:tcPr>
            <w:tcW w:w="2383" w:type="pct"/>
            <w:gridSpan w:val="3"/>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15D276F" w14:textId="77777777" w:rsidR="007721E8" w:rsidRPr="00B0658A" w:rsidRDefault="007721E8" w:rsidP="000A4114">
            <w:pPr>
              <w:spacing w:after="0" w:line="240" w:lineRule="auto"/>
              <w:jc w:val="center"/>
              <w:rPr>
                <w:rFonts w:ascii="Times New Roman" w:hAnsi="Times New Roman"/>
                <w:b/>
                <w:bCs/>
                <w:sz w:val="24"/>
                <w:szCs w:val="24"/>
              </w:rPr>
            </w:pPr>
            <w:r w:rsidRPr="00B0658A">
              <w:rPr>
                <w:rFonts w:ascii="Times New Roman" w:hAnsi="Times New Roman"/>
                <w:b/>
                <w:bCs/>
                <w:sz w:val="24"/>
                <w:szCs w:val="24"/>
              </w:rPr>
              <w:t>Объём финансовых ресурсов, необходимых для обеспечения перехода на использование российского ПО на значимых объектах КИИ, тыс. руб.</w:t>
            </w:r>
          </w:p>
        </w:tc>
        <w:tc>
          <w:tcPr>
            <w:tcW w:w="732" w:type="pct"/>
            <w:tcBorders>
              <w:top w:val="single" w:sz="4" w:space="0" w:color="auto"/>
              <w:left w:val="single" w:sz="4" w:space="0" w:color="auto"/>
              <w:right w:val="single" w:sz="4" w:space="0" w:color="auto"/>
            </w:tcBorders>
            <w:shd w:val="clear" w:color="auto" w:fill="E7E6E6" w:themeFill="background2"/>
            <w:vAlign w:val="center"/>
          </w:tcPr>
          <w:p w14:paraId="6DBE7D47" w14:textId="77777777" w:rsidR="007721E8" w:rsidRPr="00B0658A" w:rsidRDefault="007721E8" w:rsidP="000A4114">
            <w:pPr>
              <w:spacing w:after="0" w:line="240" w:lineRule="auto"/>
              <w:jc w:val="center"/>
              <w:rPr>
                <w:rFonts w:ascii="Times New Roman" w:hAnsi="Times New Roman"/>
                <w:b/>
                <w:bCs/>
                <w:sz w:val="24"/>
                <w:szCs w:val="24"/>
              </w:rPr>
            </w:pPr>
            <w:r w:rsidRPr="00B0658A">
              <w:rPr>
                <w:rFonts w:ascii="Times New Roman" w:hAnsi="Times New Roman"/>
                <w:b/>
                <w:bCs/>
                <w:sz w:val="24"/>
                <w:szCs w:val="24"/>
              </w:rPr>
              <w:t>Источник</w:t>
            </w:r>
          </w:p>
        </w:tc>
      </w:tr>
      <w:tr w:rsidR="00F52FED" w:rsidRPr="00B0658A" w14:paraId="55827439" w14:textId="77777777" w:rsidTr="004973E1">
        <w:trPr>
          <w:trHeight w:val="20"/>
        </w:trPr>
        <w:tc>
          <w:tcPr>
            <w:tcW w:w="266" w:type="pct"/>
            <w:vMerge/>
            <w:tcBorders>
              <w:left w:val="single" w:sz="4" w:space="0" w:color="auto"/>
              <w:bottom w:val="single" w:sz="4" w:space="0" w:color="auto"/>
              <w:right w:val="single" w:sz="4" w:space="0" w:color="auto"/>
            </w:tcBorders>
            <w:shd w:val="clear" w:color="auto" w:fill="E7E6E6" w:themeFill="background2"/>
          </w:tcPr>
          <w:p w14:paraId="0084A196" w14:textId="77777777" w:rsidR="007721E8" w:rsidRPr="00B0658A" w:rsidRDefault="007721E8" w:rsidP="000A4114">
            <w:pPr>
              <w:spacing w:after="0" w:line="240" w:lineRule="auto"/>
              <w:jc w:val="center"/>
              <w:rPr>
                <w:rFonts w:ascii="Times New Roman" w:hAnsi="Times New Roman"/>
                <w:b/>
                <w:bCs/>
                <w:sz w:val="24"/>
                <w:szCs w:val="24"/>
              </w:rPr>
            </w:pPr>
          </w:p>
        </w:tc>
        <w:tc>
          <w:tcPr>
            <w:tcW w:w="1619" w:type="pct"/>
            <w:vMerge/>
            <w:tcBorders>
              <w:left w:val="single" w:sz="4" w:space="0" w:color="auto"/>
              <w:bottom w:val="single" w:sz="4" w:space="0" w:color="auto"/>
              <w:right w:val="single" w:sz="4" w:space="0" w:color="auto"/>
            </w:tcBorders>
            <w:shd w:val="clear" w:color="auto" w:fill="E7E6E6" w:themeFill="background2"/>
            <w:vAlign w:val="center"/>
          </w:tcPr>
          <w:p w14:paraId="7B37BA06" w14:textId="77777777" w:rsidR="007721E8" w:rsidRPr="00B0658A" w:rsidRDefault="007721E8" w:rsidP="000A4114">
            <w:pPr>
              <w:spacing w:after="0" w:line="240" w:lineRule="auto"/>
              <w:jc w:val="center"/>
              <w:rPr>
                <w:rFonts w:ascii="Times New Roman" w:hAnsi="Times New Roman"/>
                <w:b/>
                <w:bCs/>
                <w:sz w:val="24"/>
                <w:szCs w:val="24"/>
              </w:rPr>
            </w:pPr>
          </w:p>
        </w:tc>
        <w:tc>
          <w:tcPr>
            <w:tcW w:w="794"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3E883C6" w14:textId="77777777" w:rsidR="007721E8" w:rsidRPr="00B0658A" w:rsidRDefault="007721E8" w:rsidP="000A4114">
            <w:pPr>
              <w:spacing w:after="0" w:line="240" w:lineRule="auto"/>
              <w:jc w:val="center"/>
              <w:rPr>
                <w:rFonts w:ascii="Times New Roman" w:hAnsi="Times New Roman"/>
                <w:b/>
                <w:bCs/>
                <w:sz w:val="24"/>
                <w:szCs w:val="24"/>
              </w:rPr>
            </w:pPr>
            <w:r w:rsidRPr="00B0658A">
              <w:rPr>
                <w:rFonts w:ascii="Times New Roman" w:hAnsi="Times New Roman"/>
                <w:b/>
                <w:bCs/>
                <w:sz w:val="24"/>
                <w:szCs w:val="24"/>
              </w:rPr>
              <w:t>2022 г.</w:t>
            </w:r>
          </w:p>
        </w:tc>
        <w:tc>
          <w:tcPr>
            <w:tcW w:w="794"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A14113B" w14:textId="77777777" w:rsidR="007721E8" w:rsidRPr="00B0658A" w:rsidRDefault="007721E8" w:rsidP="000A4114">
            <w:pPr>
              <w:spacing w:after="0" w:line="240" w:lineRule="auto"/>
              <w:jc w:val="center"/>
              <w:rPr>
                <w:rFonts w:ascii="Times New Roman" w:hAnsi="Times New Roman"/>
                <w:b/>
                <w:bCs/>
                <w:sz w:val="24"/>
                <w:szCs w:val="24"/>
              </w:rPr>
            </w:pPr>
            <w:r w:rsidRPr="00B0658A">
              <w:rPr>
                <w:rFonts w:ascii="Times New Roman" w:hAnsi="Times New Roman"/>
                <w:b/>
                <w:bCs/>
                <w:sz w:val="24"/>
                <w:szCs w:val="24"/>
              </w:rPr>
              <w:t>2023 г.</w:t>
            </w:r>
          </w:p>
        </w:tc>
        <w:tc>
          <w:tcPr>
            <w:tcW w:w="794"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EE5D727" w14:textId="77777777" w:rsidR="007721E8" w:rsidRPr="00B0658A" w:rsidRDefault="007721E8" w:rsidP="000A4114">
            <w:pPr>
              <w:spacing w:after="0" w:line="240" w:lineRule="auto"/>
              <w:jc w:val="center"/>
              <w:rPr>
                <w:rFonts w:ascii="Times New Roman" w:hAnsi="Times New Roman"/>
                <w:b/>
                <w:bCs/>
                <w:sz w:val="24"/>
                <w:szCs w:val="24"/>
              </w:rPr>
            </w:pPr>
            <w:r w:rsidRPr="00B0658A">
              <w:rPr>
                <w:rFonts w:ascii="Times New Roman" w:hAnsi="Times New Roman"/>
                <w:b/>
                <w:bCs/>
                <w:sz w:val="24"/>
                <w:szCs w:val="24"/>
              </w:rPr>
              <w:t>2024 г.</w:t>
            </w:r>
          </w:p>
        </w:tc>
        <w:tc>
          <w:tcPr>
            <w:tcW w:w="732" w:type="pct"/>
            <w:tcBorders>
              <w:left w:val="single" w:sz="4" w:space="0" w:color="auto"/>
              <w:bottom w:val="single" w:sz="4" w:space="0" w:color="auto"/>
              <w:right w:val="single" w:sz="4" w:space="0" w:color="auto"/>
            </w:tcBorders>
            <w:shd w:val="clear" w:color="auto" w:fill="E7E6E6" w:themeFill="background2"/>
          </w:tcPr>
          <w:p w14:paraId="327BE163" w14:textId="77777777" w:rsidR="007721E8" w:rsidRPr="00B0658A" w:rsidRDefault="007721E8" w:rsidP="000A4114">
            <w:pPr>
              <w:spacing w:after="0" w:line="240" w:lineRule="auto"/>
              <w:jc w:val="center"/>
              <w:rPr>
                <w:rFonts w:ascii="Times New Roman" w:hAnsi="Times New Roman"/>
                <w:b/>
                <w:bCs/>
                <w:sz w:val="24"/>
                <w:szCs w:val="24"/>
              </w:rPr>
            </w:pPr>
          </w:p>
        </w:tc>
      </w:tr>
      <w:tr w:rsidR="00F52FED" w:rsidRPr="00B0658A" w14:paraId="0CB903FE" w14:textId="77777777" w:rsidTr="004973E1">
        <w:trPr>
          <w:trHeight w:val="20"/>
        </w:trPr>
        <w:tc>
          <w:tcPr>
            <w:tcW w:w="266" w:type="pct"/>
            <w:tcBorders>
              <w:top w:val="single" w:sz="4" w:space="0" w:color="auto"/>
              <w:left w:val="single" w:sz="4" w:space="0" w:color="auto"/>
              <w:bottom w:val="single" w:sz="4" w:space="0" w:color="auto"/>
              <w:right w:val="single" w:sz="4" w:space="0" w:color="auto"/>
            </w:tcBorders>
          </w:tcPr>
          <w:p w14:paraId="08B17FB5" w14:textId="77777777" w:rsidR="007721E8" w:rsidRPr="00B0658A" w:rsidRDefault="007721E8" w:rsidP="000A4114">
            <w:pPr>
              <w:pStyle w:val="ConsPlusNormal"/>
            </w:pPr>
            <w:r w:rsidRPr="00B0658A">
              <w:t xml:space="preserve">1. </w:t>
            </w:r>
          </w:p>
        </w:tc>
        <w:tc>
          <w:tcPr>
            <w:tcW w:w="1619" w:type="pct"/>
            <w:tcBorders>
              <w:top w:val="single" w:sz="4" w:space="0" w:color="auto"/>
              <w:left w:val="single" w:sz="4" w:space="0" w:color="auto"/>
              <w:bottom w:val="single" w:sz="4" w:space="0" w:color="auto"/>
              <w:right w:val="single" w:sz="4" w:space="0" w:color="auto"/>
            </w:tcBorders>
          </w:tcPr>
          <w:p w14:paraId="1C7D03CB" w14:textId="77777777" w:rsidR="007721E8" w:rsidRPr="00B0658A" w:rsidRDefault="007721E8" w:rsidP="000A4114">
            <w:pPr>
              <w:pStyle w:val="ConsPlusNormal"/>
              <w:rPr>
                <w:i/>
              </w:rPr>
            </w:pPr>
            <w:r w:rsidRPr="00B0658A">
              <w:rPr>
                <w:i/>
              </w:rPr>
              <w:t>Указывается</w:t>
            </w:r>
            <w:r w:rsidR="004973E1" w:rsidRPr="00B0658A">
              <w:rPr>
                <w:i/>
              </w:rPr>
              <w:t xml:space="preserve"> </w:t>
            </w:r>
            <w:r w:rsidRPr="00B0658A">
              <w:rPr>
                <w:i/>
              </w:rPr>
              <w:t xml:space="preserve">наименование значимого объекта КИИ № </w:t>
            </w:r>
            <w:r w:rsidR="004973E1" w:rsidRPr="00B0658A">
              <w:rPr>
                <w:i/>
              </w:rPr>
              <w:t>1</w:t>
            </w:r>
          </w:p>
        </w:tc>
        <w:tc>
          <w:tcPr>
            <w:tcW w:w="794" w:type="pct"/>
            <w:tcBorders>
              <w:top w:val="single" w:sz="4" w:space="0" w:color="auto"/>
              <w:left w:val="single" w:sz="4" w:space="0" w:color="auto"/>
              <w:bottom w:val="single" w:sz="4" w:space="0" w:color="auto"/>
              <w:right w:val="single" w:sz="4" w:space="0" w:color="auto"/>
            </w:tcBorders>
            <w:vAlign w:val="center"/>
          </w:tcPr>
          <w:p w14:paraId="03074FB4" w14:textId="77777777" w:rsidR="007721E8" w:rsidRPr="00B0658A" w:rsidRDefault="007721E8" w:rsidP="000A4114">
            <w:pPr>
              <w:pStyle w:val="ConsPlusNormal"/>
              <w:jc w:val="center"/>
            </w:pPr>
          </w:p>
        </w:tc>
        <w:tc>
          <w:tcPr>
            <w:tcW w:w="794" w:type="pct"/>
            <w:tcBorders>
              <w:top w:val="single" w:sz="4" w:space="0" w:color="auto"/>
              <w:left w:val="single" w:sz="4" w:space="0" w:color="auto"/>
              <w:bottom w:val="single" w:sz="4" w:space="0" w:color="auto"/>
              <w:right w:val="single" w:sz="4" w:space="0" w:color="auto"/>
            </w:tcBorders>
            <w:vAlign w:val="center"/>
          </w:tcPr>
          <w:p w14:paraId="4A894E68" w14:textId="77777777" w:rsidR="007721E8" w:rsidRPr="00B0658A" w:rsidRDefault="007721E8" w:rsidP="000A4114">
            <w:pPr>
              <w:pStyle w:val="ConsPlusNormal"/>
              <w:jc w:val="center"/>
            </w:pPr>
          </w:p>
        </w:tc>
        <w:tc>
          <w:tcPr>
            <w:tcW w:w="794" w:type="pct"/>
            <w:tcBorders>
              <w:top w:val="single" w:sz="4" w:space="0" w:color="auto"/>
              <w:left w:val="single" w:sz="4" w:space="0" w:color="auto"/>
              <w:bottom w:val="single" w:sz="4" w:space="0" w:color="auto"/>
              <w:right w:val="single" w:sz="4" w:space="0" w:color="auto"/>
            </w:tcBorders>
            <w:vAlign w:val="center"/>
          </w:tcPr>
          <w:p w14:paraId="1091D775" w14:textId="77777777" w:rsidR="007721E8" w:rsidRPr="00B0658A" w:rsidRDefault="007721E8" w:rsidP="000A4114">
            <w:pPr>
              <w:pStyle w:val="ConsPlusNormal"/>
              <w:jc w:val="center"/>
            </w:pPr>
          </w:p>
        </w:tc>
        <w:tc>
          <w:tcPr>
            <w:tcW w:w="732" w:type="pct"/>
            <w:tcBorders>
              <w:top w:val="single" w:sz="4" w:space="0" w:color="auto"/>
              <w:left w:val="single" w:sz="4" w:space="0" w:color="auto"/>
              <w:bottom w:val="single" w:sz="4" w:space="0" w:color="auto"/>
              <w:right w:val="single" w:sz="4" w:space="0" w:color="auto"/>
            </w:tcBorders>
          </w:tcPr>
          <w:p w14:paraId="46036EA8" w14:textId="77777777" w:rsidR="007721E8" w:rsidRPr="00B0658A" w:rsidRDefault="007721E8" w:rsidP="000A4114">
            <w:pPr>
              <w:pStyle w:val="ConsPlusNormal"/>
              <w:jc w:val="center"/>
            </w:pPr>
          </w:p>
        </w:tc>
      </w:tr>
      <w:tr w:rsidR="00F52FED" w:rsidRPr="00B0658A" w14:paraId="7C76E864" w14:textId="77777777" w:rsidTr="004973E1">
        <w:trPr>
          <w:trHeight w:val="20"/>
        </w:trPr>
        <w:tc>
          <w:tcPr>
            <w:tcW w:w="266" w:type="pct"/>
            <w:tcBorders>
              <w:top w:val="single" w:sz="4" w:space="0" w:color="auto"/>
              <w:left w:val="single" w:sz="4" w:space="0" w:color="auto"/>
              <w:bottom w:val="single" w:sz="4" w:space="0" w:color="auto"/>
              <w:right w:val="single" w:sz="4" w:space="0" w:color="auto"/>
            </w:tcBorders>
          </w:tcPr>
          <w:p w14:paraId="30DADC66" w14:textId="77777777" w:rsidR="007721E8" w:rsidRPr="00B0658A" w:rsidRDefault="007721E8" w:rsidP="000A4114">
            <w:pPr>
              <w:pStyle w:val="ConsPlusNormal"/>
            </w:pPr>
            <w:r w:rsidRPr="00B0658A">
              <w:t>2.</w:t>
            </w:r>
          </w:p>
        </w:tc>
        <w:tc>
          <w:tcPr>
            <w:tcW w:w="1619" w:type="pct"/>
            <w:tcBorders>
              <w:top w:val="single" w:sz="4" w:space="0" w:color="auto"/>
              <w:left w:val="single" w:sz="4" w:space="0" w:color="auto"/>
              <w:bottom w:val="single" w:sz="4" w:space="0" w:color="auto"/>
              <w:right w:val="single" w:sz="4" w:space="0" w:color="auto"/>
            </w:tcBorders>
          </w:tcPr>
          <w:p w14:paraId="57460693" w14:textId="77777777" w:rsidR="007721E8" w:rsidRPr="00B0658A" w:rsidRDefault="004973E1" w:rsidP="000A4114">
            <w:pPr>
              <w:pStyle w:val="ConsPlusNormal"/>
              <w:rPr>
                <w:i/>
              </w:rPr>
            </w:pPr>
            <w:r w:rsidRPr="00B0658A">
              <w:rPr>
                <w:i/>
              </w:rPr>
              <w:t>Указывается наименование значимого объекта КИИ № 2</w:t>
            </w:r>
          </w:p>
        </w:tc>
        <w:tc>
          <w:tcPr>
            <w:tcW w:w="794" w:type="pct"/>
            <w:tcBorders>
              <w:top w:val="single" w:sz="4" w:space="0" w:color="auto"/>
              <w:left w:val="single" w:sz="4" w:space="0" w:color="auto"/>
              <w:bottom w:val="single" w:sz="4" w:space="0" w:color="auto"/>
              <w:right w:val="single" w:sz="4" w:space="0" w:color="auto"/>
            </w:tcBorders>
            <w:vAlign w:val="center"/>
          </w:tcPr>
          <w:p w14:paraId="34772738" w14:textId="77777777" w:rsidR="007721E8" w:rsidRPr="00B0658A" w:rsidRDefault="007721E8" w:rsidP="000A4114">
            <w:pPr>
              <w:pStyle w:val="ConsPlusNormal"/>
              <w:jc w:val="center"/>
            </w:pPr>
          </w:p>
        </w:tc>
        <w:tc>
          <w:tcPr>
            <w:tcW w:w="794" w:type="pct"/>
            <w:tcBorders>
              <w:top w:val="single" w:sz="4" w:space="0" w:color="auto"/>
              <w:left w:val="single" w:sz="4" w:space="0" w:color="auto"/>
              <w:bottom w:val="single" w:sz="4" w:space="0" w:color="auto"/>
              <w:right w:val="single" w:sz="4" w:space="0" w:color="auto"/>
            </w:tcBorders>
            <w:vAlign w:val="center"/>
          </w:tcPr>
          <w:p w14:paraId="5A2865CF" w14:textId="77777777" w:rsidR="007721E8" w:rsidRPr="00B0658A" w:rsidRDefault="007721E8" w:rsidP="000A4114">
            <w:pPr>
              <w:pStyle w:val="ConsPlusNormal"/>
              <w:jc w:val="center"/>
            </w:pPr>
          </w:p>
        </w:tc>
        <w:tc>
          <w:tcPr>
            <w:tcW w:w="794" w:type="pct"/>
            <w:tcBorders>
              <w:top w:val="single" w:sz="4" w:space="0" w:color="auto"/>
              <w:left w:val="single" w:sz="4" w:space="0" w:color="auto"/>
              <w:bottom w:val="single" w:sz="4" w:space="0" w:color="auto"/>
              <w:right w:val="single" w:sz="4" w:space="0" w:color="auto"/>
            </w:tcBorders>
            <w:vAlign w:val="center"/>
          </w:tcPr>
          <w:p w14:paraId="5AD6A790" w14:textId="77777777" w:rsidR="007721E8" w:rsidRPr="00B0658A" w:rsidRDefault="007721E8" w:rsidP="000A4114">
            <w:pPr>
              <w:pStyle w:val="ConsPlusNormal"/>
              <w:jc w:val="center"/>
            </w:pPr>
          </w:p>
        </w:tc>
        <w:tc>
          <w:tcPr>
            <w:tcW w:w="732" w:type="pct"/>
            <w:tcBorders>
              <w:top w:val="single" w:sz="4" w:space="0" w:color="auto"/>
              <w:left w:val="single" w:sz="4" w:space="0" w:color="auto"/>
              <w:bottom w:val="single" w:sz="4" w:space="0" w:color="auto"/>
              <w:right w:val="single" w:sz="4" w:space="0" w:color="auto"/>
            </w:tcBorders>
          </w:tcPr>
          <w:p w14:paraId="77E738B1" w14:textId="77777777" w:rsidR="007721E8" w:rsidRPr="00B0658A" w:rsidRDefault="007721E8" w:rsidP="000A4114">
            <w:pPr>
              <w:pStyle w:val="ConsPlusNormal"/>
              <w:jc w:val="center"/>
            </w:pPr>
          </w:p>
        </w:tc>
      </w:tr>
      <w:tr w:rsidR="00F52FED" w:rsidRPr="00B0658A" w14:paraId="260B4145" w14:textId="77777777" w:rsidTr="004973E1">
        <w:trPr>
          <w:trHeight w:val="20"/>
        </w:trPr>
        <w:tc>
          <w:tcPr>
            <w:tcW w:w="266" w:type="pct"/>
            <w:tcBorders>
              <w:top w:val="single" w:sz="4" w:space="0" w:color="auto"/>
              <w:left w:val="single" w:sz="4" w:space="0" w:color="auto"/>
              <w:bottom w:val="single" w:sz="4" w:space="0" w:color="auto"/>
              <w:right w:val="single" w:sz="4" w:space="0" w:color="auto"/>
            </w:tcBorders>
          </w:tcPr>
          <w:p w14:paraId="78BE3B89" w14:textId="77777777" w:rsidR="007721E8" w:rsidRPr="00B0658A" w:rsidRDefault="007721E8" w:rsidP="000A4114">
            <w:pPr>
              <w:pStyle w:val="ConsPlusNormal"/>
              <w:rPr>
                <w:lang w:val="en-US"/>
              </w:rPr>
            </w:pPr>
            <w:r w:rsidRPr="00B0658A">
              <w:rPr>
                <w:lang w:val="en-US"/>
              </w:rPr>
              <w:t>…</w:t>
            </w:r>
          </w:p>
        </w:tc>
        <w:tc>
          <w:tcPr>
            <w:tcW w:w="1619" w:type="pct"/>
            <w:tcBorders>
              <w:top w:val="single" w:sz="4" w:space="0" w:color="auto"/>
              <w:left w:val="single" w:sz="4" w:space="0" w:color="auto"/>
              <w:bottom w:val="single" w:sz="4" w:space="0" w:color="auto"/>
              <w:right w:val="single" w:sz="4" w:space="0" w:color="auto"/>
            </w:tcBorders>
          </w:tcPr>
          <w:p w14:paraId="34FEF6AC" w14:textId="77777777" w:rsidR="007721E8" w:rsidRPr="00B0658A" w:rsidRDefault="007721E8" w:rsidP="000A4114">
            <w:pPr>
              <w:pStyle w:val="ConsPlusNormal"/>
              <w:rPr>
                <w:lang w:val="en-US"/>
              </w:rPr>
            </w:pPr>
            <w:r w:rsidRPr="00B0658A">
              <w:rPr>
                <w:lang w:val="en-US"/>
              </w:rPr>
              <w:t>….</w:t>
            </w:r>
          </w:p>
        </w:tc>
        <w:tc>
          <w:tcPr>
            <w:tcW w:w="794" w:type="pct"/>
            <w:tcBorders>
              <w:top w:val="single" w:sz="4" w:space="0" w:color="auto"/>
              <w:left w:val="single" w:sz="4" w:space="0" w:color="auto"/>
              <w:bottom w:val="single" w:sz="4" w:space="0" w:color="auto"/>
              <w:right w:val="single" w:sz="4" w:space="0" w:color="auto"/>
            </w:tcBorders>
            <w:vAlign w:val="center"/>
          </w:tcPr>
          <w:p w14:paraId="344A00B9" w14:textId="77777777" w:rsidR="007721E8" w:rsidRPr="00B0658A" w:rsidRDefault="007721E8" w:rsidP="000A4114">
            <w:pPr>
              <w:pStyle w:val="ConsPlusNormal"/>
              <w:jc w:val="center"/>
            </w:pPr>
          </w:p>
        </w:tc>
        <w:tc>
          <w:tcPr>
            <w:tcW w:w="794" w:type="pct"/>
            <w:tcBorders>
              <w:top w:val="single" w:sz="4" w:space="0" w:color="auto"/>
              <w:left w:val="single" w:sz="4" w:space="0" w:color="auto"/>
              <w:bottom w:val="single" w:sz="4" w:space="0" w:color="auto"/>
              <w:right w:val="single" w:sz="4" w:space="0" w:color="auto"/>
            </w:tcBorders>
            <w:vAlign w:val="center"/>
          </w:tcPr>
          <w:p w14:paraId="160A83B0" w14:textId="77777777" w:rsidR="007721E8" w:rsidRPr="00B0658A" w:rsidRDefault="007721E8" w:rsidP="000A4114">
            <w:pPr>
              <w:pStyle w:val="ConsPlusNormal"/>
              <w:jc w:val="center"/>
            </w:pPr>
          </w:p>
        </w:tc>
        <w:tc>
          <w:tcPr>
            <w:tcW w:w="794" w:type="pct"/>
            <w:tcBorders>
              <w:top w:val="single" w:sz="4" w:space="0" w:color="auto"/>
              <w:left w:val="single" w:sz="4" w:space="0" w:color="auto"/>
              <w:bottom w:val="single" w:sz="4" w:space="0" w:color="auto"/>
              <w:right w:val="single" w:sz="4" w:space="0" w:color="auto"/>
            </w:tcBorders>
            <w:vAlign w:val="center"/>
          </w:tcPr>
          <w:p w14:paraId="2C6ABF8B" w14:textId="77777777" w:rsidR="007721E8" w:rsidRPr="00B0658A" w:rsidRDefault="007721E8" w:rsidP="000A4114">
            <w:pPr>
              <w:pStyle w:val="ConsPlusNormal"/>
              <w:jc w:val="center"/>
            </w:pPr>
          </w:p>
        </w:tc>
        <w:tc>
          <w:tcPr>
            <w:tcW w:w="732" w:type="pct"/>
            <w:tcBorders>
              <w:top w:val="single" w:sz="4" w:space="0" w:color="auto"/>
              <w:left w:val="single" w:sz="4" w:space="0" w:color="auto"/>
              <w:bottom w:val="single" w:sz="4" w:space="0" w:color="auto"/>
              <w:right w:val="single" w:sz="4" w:space="0" w:color="auto"/>
            </w:tcBorders>
          </w:tcPr>
          <w:p w14:paraId="164311B6" w14:textId="77777777" w:rsidR="007721E8" w:rsidRPr="00B0658A" w:rsidRDefault="007721E8" w:rsidP="000A4114">
            <w:pPr>
              <w:pStyle w:val="ConsPlusNormal"/>
              <w:jc w:val="center"/>
            </w:pPr>
          </w:p>
        </w:tc>
      </w:tr>
      <w:tr w:rsidR="00F52FED" w:rsidRPr="00B0658A" w14:paraId="6F8FB87F" w14:textId="77777777" w:rsidTr="004973E1">
        <w:trPr>
          <w:trHeight w:val="20"/>
        </w:trPr>
        <w:tc>
          <w:tcPr>
            <w:tcW w:w="266" w:type="pct"/>
            <w:tcBorders>
              <w:top w:val="single" w:sz="4" w:space="0" w:color="auto"/>
              <w:left w:val="single" w:sz="4" w:space="0" w:color="auto"/>
              <w:bottom w:val="single" w:sz="4" w:space="0" w:color="auto"/>
              <w:right w:val="single" w:sz="4" w:space="0" w:color="auto"/>
            </w:tcBorders>
          </w:tcPr>
          <w:p w14:paraId="18D3B8DA" w14:textId="77777777" w:rsidR="007721E8" w:rsidRPr="00B0658A" w:rsidRDefault="004973E1" w:rsidP="000A4114">
            <w:pPr>
              <w:pStyle w:val="ConsPlusNormal"/>
            </w:pPr>
            <w:r w:rsidRPr="00B0658A">
              <w:rPr>
                <w:lang w:val="en-US"/>
              </w:rPr>
              <w:t>N</w:t>
            </w:r>
            <w:r w:rsidR="007721E8" w:rsidRPr="00B0658A">
              <w:t>. </w:t>
            </w:r>
          </w:p>
        </w:tc>
        <w:tc>
          <w:tcPr>
            <w:tcW w:w="1619" w:type="pct"/>
            <w:tcBorders>
              <w:top w:val="single" w:sz="4" w:space="0" w:color="auto"/>
              <w:left w:val="single" w:sz="4" w:space="0" w:color="auto"/>
              <w:bottom w:val="single" w:sz="4" w:space="0" w:color="auto"/>
              <w:right w:val="single" w:sz="4" w:space="0" w:color="auto"/>
            </w:tcBorders>
          </w:tcPr>
          <w:p w14:paraId="0D67534C" w14:textId="77777777" w:rsidR="007721E8" w:rsidRPr="00B0658A" w:rsidRDefault="004973E1" w:rsidP="000A4114">
            <w:pPr>
              <w:pStyle w:val="ConsPlusNormal"/>
            </w:pPr>
            <w:r w:rsidRPr="00B0658A">
              <w:rPr>
                <w:i/>
              </w:rPr>
              <w:t xml:space="preserve">Указывается наименование значимого объекта КИИ № </w:t>
            </w:r>
            <w:r w:rsidRPr="00B0658A">
              <w:rPr>
                <w:i/>
                <w:lang w:val="en-US"/>
              </w:rPr>
              <w:t>N</w:t>
            </w:r>
          </w:p>
        </w:tc>
        <w:tc>
          <w:tcPr>
            <w:tcW w:w="794" w:type="pct"/>
            <w:tcBorders>
              <w:top w:val="single" w:sz="4" w:space="0" w:color="auto"/>
              <w:left w:val="single" w:sz="4" w:space="0" w:color="auto"/>
              <w:bottom w:val="single" w:sz="4" w:space="0" w:color="auto"/>
              <w:right w:val="single" w:sz="4" w:space="0" w:color="auto"/>
            </w:tcBorders>
            <w:vAlign w:val="center"/>
          </w:tcPr>
          <w:p w14:paraId="4FF344C1" w14:textId="77777777" w:rsidR="007721E8" w:rsidRPr="00B0658A" w:rsidRDefault="007721E8" w:rsidP="000A4114">
            <w:pPr>
              <w:pStyle w:val="ConsPlusNormal"/>
              <w:jc w:val="center"/>
            </w:pPr>
          </w:p>
        </w:tc>
        <w:tc>
          <w:tcPr>
            <w:tcW w:w="794" w:type="pct"/>
            <w:tcBorders>
              <w:top w:val="single" w:sz="4" w:space="0" w:color="auto"/>
              <w:left w:val="single" w:sz="4" w:space="0" w:color="auto"/>
              <w:bottom w:val="single" w:sz="4" w:space="0" w:color="auto"/>
              <w:right w:val="single" w:sz="4" w:space="0" w:color="auto"/>
            </w:tcBorders>
            <w:vAlign w:val="center"/>
          </w:tcPr>
          <w:p w14:paraId="42A17827" w14:textId="77777777" w:rsidR="007721E8" w:rsidRPr="00B0658A" w:rsidRDefault="007721E8" w:rsidP="000A4114">
            <w:pPr>
              <w:pStyle w:val="ConsPlusNormal"/>
              <w:jc w:val="center"/>
            </w:pPr>
          </w:p>
        </w:tc>
        <w:tc>
          <w:tcPr>
            <w:tcW w:w="794" w:type="pct"/>
            <w:tcBorders>
              <w:top w:val="single" w:sz="4" w:space="0" w:color="auto"/>
              <w:left w:val="single" w:sz="4" w:space="0" w:color="auto"/>
              <w:bottom w:val="single" w:sz="4" w:space="0" w:color="auto"/>
              <w:right w:val="single" w:sz="4" w:space="0" w:color="auto"/>
            </w:tcBorders>
            <w:vAlign w:val="center"/>
          </w:tcPr>
          <w:p w14:paraId="478B5A6B" w14:textId="77777777" w:rsidR="007721E8" w:rsidRPr="00B0658A" w:rsidRDefault="007721E8" w:rsidP="000A4114">
            <w:pPr>
              <w:pStyle w:val="ConsPlusNormal"/>
              <w:jc w:val="center"/>
            </w:pPr>
          </w:p>
        </w:tc>
        <w:tc>
          <w:tcPr>
            <w:tcW w:w="732" w:type="pct"/>
            <w:tcBorders>
              <w:top w:val="single" w:sz="4" w:space="0" w:color="auto"/>
              <w:left w:val="single" w:sz="4" w:space="0" w:color="auto"/>
              <w:bottom w:val="single" w:sz="4" w:space="0" w:color="auto"/>
              <w:right w:val="single" w:sz="4" w:space="0" w:color="auto"/>
            </w:tcBorders>
          </w:tcPr>
          <w:p w14:paraId="48188413" w14:textId="77777777" w:rsidR="007721E8" w:rsidRPr="00B0658A" w:rsidRDefault="007721E8" w:rsidP="000A4114">
            <w:pPr>
              <w:pStyle w:val="ConsPlusNormal"/>
              <w:jc w:val="center"/>
            </w:pPr>
          </w:p>
        </w:tc>
      </w:tr>
    </w:tbl>
    <w:p w14:paraId="77A5DA0B" w14:textId="77777777" w:rsidR="00921285" w:rsidRDefault="00921285">
      <w:pPr>
        <w:spacing w:after="0" w:line="240" w:lineRule="auto"/>
        <w:rPr>
          <w:rFonts w:ascii="Times New Roman" w:hAnsi="Times New Roman"/>
          <w:b/>
          <w:sz w:val="28"/>
          <w:szCs w:val="28"/>
        </w:rPr>
      </w:pPr>
      <w:r>
        <w:rPr>
          <w:szCs w:val="28"/>
        </w:rPr>
        <w:br w:type="page"/>
      </w:r>
    </w:p>
    <w:p w14:paraId="30AAC638" w14:textId="765E2BD9" w:rsidR="008319FB" w:rsidRPr="00B0658A" w:rsidRDefault="008319FB" w:rsidP="009812C3">
      <w:pPr>
        <w:pStyle w:val="11"/>
        <w:spacing w:before="120" w:after="0" w:line="240" w:lineRule="auto"/>
        <w:jc w:val="right"/>
        <w:rPr>
          <w:rFonts w:cs="Times New Roman"/>
          <w:highlight w:val="yellow"/>
        </w:rPr>
      </w:pPr>
      <w:bookmarkStart w:id="58" w:name="_Toc116632284"/>
      <w:r w:rsidRPr="00B0658A">
        <w:rPr>
          <w:rFonts w:cs="Times New Roman"/>
          <w:szCs w:val="28"/>
        </w:rPr>
        <w:t>Приложение № 18</w:t>
      </w:r>
      <w:r w:rsidRPr="00B0658A">
        <w:rPr>
          <w:rFonts w:cs="Times New Roman"/>
          <w:szCs w:val="28"/>
        </w:rPr>
        <w:br/>
      </w:r>
      <w:r w:rsidRPr="00B0658A">
        <w:rPr>
          <w:rFonts w:cs="Times New Roman"/>
          <w:szCs w:val="24"/>
        </w:rPr>
        <w:t xml:space="preserve">Рекомендованные отчетные формы для представления сведений о ходе реализации </w:t>
      </w:r>
      <w:r w:rsidRPr="00B0658A">
        <w:rPr>
          <w:rFonts w:cs="Times New Roman"/>
        </w:rPr>
        <w:t xml:space="preserve">плана перехода организаций, </w:t>
      </w:r>
      <w:r w:rsidRPr="00B0658A">
        <w:rPr>
          <w:rFonts w:cs="Times New Roman"/>
          <w:szCs w:val="28"/>
        </w:rPr>
        <w:t>являющихся в соответствии с законодательством Российской Федерации субъектами КИИ и которым принадлежат значимые объекты КИИ, не являющихся при этом организациями, подведомственными органам государственной власти и государственным внебюджетным фондам, организациями, включенными в специальный перечень №</w:t>
      </w:r>
      <w:r w:rsidR="00184FA1">
        <w:rPr>
          <w:rFonts w:cs="Times New Roman"/>
          <w:szCs w:val="28"/>
        </w:rPr>
        <w:t xml:space="preserve"> </w:t>
      </w:r>
      <w:r w:rsidRPr="00B0658A">
        <w:rPr>
          <w:rFonts w:cs="Times New Roman"/>
          <w:szCs w:val="28"/>
        </w:rPr>
        <w:t xml:space="preserve">91-р и в отношении которых приняты решения о разработке стратегии (программы) цифровой трансформации (протокол заочного голосования членов президиума Правительственной комиссии по цифровому развитию, использованию информационных технологий для улучшения качества жизни и условий ведения предпринимательской деятельности от 31 августа 2022 г. №34),  а также заказчиками 44-ФЗ и (или) заказчиками 223-ФЗ </w:t>
      </w:r>
      <w:r w:rsidR="009812C3" w:rsidRPr="00B0658A">
        <w:rPr>
          <w:rFonts w:cs="Times New Roman"/>
        </w:rPr>
        <w:t>(</w:t>
      </w:r>
      <w:r w:rsidR="009812C3" w:rsidRPr="00B0658A">
        <w:rPr>
          <w:rFonts w:cs="Times New Roman"/>
          <w:szCs w:val="28"/>
        </w:rPr>
        <w:t>иные организации)</w:t>
      </w:r>
      <w:bookmarkEnd w:id="58"/>
    </w:p>
    <w:p w14:paraId="22830D50" w14:textId="77777777" w:rsidR="008319FB" w:rsidRPr="00B0658A" w:rsidRDefault="008319FB" w:rsidP="008319FB">
      <w:pPr>
        <w:rPr>
          <w:rFonts w:ascii="Times New Roman" w:hAnsi="Times New Roman"/>
          <w:highlight w:val="yellow"/>
        </w:rPr>
      </w:pPr>
    </w:p>
    <w:p w14:paraId="18A28E08" w14:textId="77777777" w:rsidR="008319FB" w:rsidRPr="00B0658A" w:rsidRDefault="008319FB" w:rsidP="00FB2975">
      <w:pPr>
        <w:rPr>
          <w:rFonts w:ascii="Times New Roman" w:hAnsi="Times New Roman"/>
          <w:b/>
          <w:sz w:val="28"/>
          <w:szCs w:val="28"/>
        </w:rPr>
      </w:pPr>
      <w:r w:rsidRPr="00B0658A">
        <w:rPr>
          <w:rFonts w:ascii="Times New Roman" w:hAnsi="Times New Roman"/>
          <w:b/>
          <w:sz w:val="28"/>
          <w:szCs w:val="28"/>
        </w:rPr>
        <w:t>Форма отчетности за полугодовой период</w:t>
      </w:r>
    </w:p>
    <w:p w14:paraId="2F2F85D3" w14:textId="77777777" w:rsidR="002F4B12" w:rsidRPr="00B0658A" w:rsidRDefault="002F4B12" w:rsidP="002F4B12">
      <w:pPr>
        <w:pStyle w:val="ConsPlusNormal"/>
        <w:spacing w:before="120"/>
        <w:jc w:val="center"/>
        <w:rPr>
          <w:sz w:val="32"/>
        </w:rPr>
      </w:pPr>
      <w:r w:rsidRPr="00B0658A">
        <w:rPr>
          <w:sz w:val="32"/>
        </w:rPr>
        <w:t xml:space="preserve">Сведения о реализации детализированного плана перехода ______________ (полное наименование </w:t>
      </w:r>
      <w:r w:rsidRPr="00B0658A">
        <w:rPr>
          <w:sz w:val="32"/>
          <w:szCs w:val="28"/>
        </w:rPr>
        <w:t>иной организации</w:t>
      </w:r>
      <w:r w:rsidR="0049104B" w:rsidRPr="00B0658A">
        <w:rPr>
          <w:sz w:val="32"/>
          <w:szCs w:val="28"/>
        </w:rPr>
        <w:t>)</w:t>
      </w:r>
      <w:r w:rsidRPr="00B0658A">
        <w:rPr>
          <w:sz w:val="32"/>
          <w:szCs w:val="28"/>
        </w:rPr>
        <w:t xml:space="preserve"> на использование российского </w:t>
      </w:r>
      <w:r w:rsidRPr="00B0658A">
        <w:rPr>
          <w:sz w:val="32"/>
        </w:rPr>
        <w:t xml:space="preserve">ПО на принадлежащих </w:t>
      </w:r>
      <w:r w:rsidRPr="00B0658A">
        <w:rPr>
          <w:sz w:val="32"/>
          <w:szCs w:val="28"/>
        </w:rPr>
        <w:t>иной организации</w:t>
      </w:r>
      <w:r w:rsidRPr="00B0658A">
        <w:rPr>
          <w:sz w:val="32"/>
        </w:rPr>
        <w:t xml:space="preserve"> значимых объектах КИИ</w:t>
      </w:r>
      <w:r w:rsidRPr="00B0658A">
        <w:rPr>
          <w:sz w:val="32"/>
          <w:szCs w:val="28"/>
        </w:rPr>
        <w:t xml:space="preserve"> </w:t>
      </w:r>
      <w:r w:rsidRPr="00B0658A">
        <w:rPr>
          <w:sz w:val="32"/>
        </w:rPr>
        <w:t xml:space="preserve">на период 2022-2024 годы за </w:t>
      </w:r>
      <w:r w:rsidRPr="00B0658A">
        <w:rPr>
          <w:sz w:val="32"/>
          <w:szCs w:val="28"/>
        </w:rPr>
        <w:t xml:space="preserve"> ____ полугодие _______ года</w:t>
      </w:r>
    </w:p>
    <w:p w14:paraId="4D2DBCFA" w14:textId="77777777" w:rsidR="002F4B12" w:rsidRPr="00B0658A" w:rsidRDefault="002F4B12" w:rsidP="002F4B12">
      <w:pPr>
        <w:rPr>
          <w:rFonts w:ascii="Times New Roman" w:hAnsi="Times New Roman"/>
        </w:rPr>
      </w:pPr>
    </w:p>
    <w:p w14:paraId="6EB7AE0A" w14:textId="77777777" w:rsidR="002F4B12" w:rsidRPr="00B0658A" w:rsidRDefault="002F4B12" w:rsidP="002F4B12">
      <w:pPr>
        <w:spacing w:line="240" w:lineRule="auto"/>
        <w:ind w:firstLine="709"/>
        <w:jc w:val="both"/>
        <w:rPr>
          <w:rFonts w:ascii="Times New Roman" w:hAnsi="Times New Roman"/>
          <w:sz w:val="28"/>
          <w:szCs w:val="28"/>
        </w:rPr>
      </w:pPr>
      <w:r w:rsidRPr="00B0658A">
        <w:rPr>
          <w:rFonts w:ascii="Times New Roman" w:hAnsi="Times New Roman"/>
          <w:sz w:val="28"/>
          <w:szCs w:val="28"/>
        </w:rPr>
        <w:t>Сведения о реализации мероприятий по переходу на использование российского ПО на принадлежащих _______ (полное наименование иной организации) значимых объектах КИИ</w:t>
      </w:r>
    </w:p>
    <w:tbl>
      <w:tblPr>
        <w:tblStyle w:val="32"/>
        <w:tblW w:w="5000" w:type="pct"/>
        <w:tblLook w:val="04A0" w:firstRow="1" w:lastRow="0" w:firstColumn="1" w:lastColumn="0" w:noHBand="0" w:noVBand="1"/>
      </w:tblPr>
      <w:tblGrid>
        <w:gridCol w:w="513"/>
        <w:gridCol w:w="2853"/>
        <w:gridCol w:w="2471"/>
        <w:gridCol w:w="2496"/>
        <w:gridCol w:w="2435"/>
        <w:gridCol w:w="3176"/>
      </w:tblGrid>
      <w:tr w:rsidR="00F52FED" w:rsidRPr="00B0658A" w14:paraId="09B8748B" w14:textId="77777777" w:rsidTr="00F57B1F">
        <w:trPr>
          <w:tblHeader/>
        </w:trPr>
        <w:tc>
          <w:tcPr>
            <w:tcW w:w="184" w:type="pct"/>
          </w:tcPr>
          <w:p w14:paraId="179CB311" w14:textId="77777777" w:rsidR="002F4B12" w:rsidRPr="00B0658A" w:rsidRDefault="002F4B12" w:rsidP="000A4114">
            <w:pPr>
              <w:spacing w:after="0" w:line="240" w:lineRule="auto"/>
              <w:jc w:val="center"/>
              <w:rPr>
                <w:rFonts w:ascii="Times New Roman"/>
                <w:b/>
                <w:bCs/>
                <w:color w:val="auto"/>
                <w:sz w:val="20"/>
                <w:szCs w:val="20"/>
              </w:rPr>
            </w:pPr>
            <w:r w:rsidRPr="00B0658A">
              <w:rPr>
                <w:rFonts w:ascii="Times New Roman"/>
                <w:b/>
                <w:bCs/>
                <w:color w:val="auto"/>
                <w:sz w:val="20"/>
                <w:szCs w:val="20"/>
              </w:rPr>
              <w:t>№</w:t>
            </w:r>
          </w:p>
        </w:tc>
        <w:tc>
          <w:tcPr>
            <w:tcW w:w="1023" w:type="pct"/>
          </w:tcPr>
          <w:p w14:paraId="718E4959" w14:textId="77777777" w:rsidR="002F4B12" w:rsidRPr="00B0658A" w:rsidRDefault="002F4B12" w:rsidP="000A4114">
            <w:pPr>
              <w:spacing w:after="0" w:line="240" w:lineRule="auto"/>
              <w:jc w:val="center"/>
              <w:rPr>
                <w:rFonts w:ascii="Times New Roman"/>
                <w:b/>
                <w:bCs/>
                <w:color w:val="auto"/>
                <w:sz w:val="20"/>
                <w:szCs w:val="20"/>
              </w:rPr>
            </w:pPr>
            <w:r w:rsidRPr="00B0658A">
              <w:rPr>
                <w:rFonts w:ascii="Times New Roman"/>
                <w:b/>
                <w:bCs/>
                <w:color w:val="auto"/>
                <w:sz w:val="20"/>
                <w:szCs w:val="20"/>
              </w:rPr>
              <w:t xml:space="preserve">Наименование мероприятия в соответствии с утвержденным детализированным планом </w:t>
            </w:r>
          </w:p>
        </w:tc>
        <w:tc>
          <w:tcPr>
            <w:tcW w:w="886" w:type="pct"/>
          </w:tcPr>
          <w:p w14:paraId="7AA0C1AE" w14:textId="77777777" w:rsidR="002F4B12" w:rsidRPr="00B0658A" w:rsidRDefault="002F4B12" w:rsidP="000A4114">
            <w:pPr>
              <w:spacing w:after="0" w:line="240" w:lineRule="auto"/>
              <w:jc w:val="center"/>
              <w:rPr>
                <w:rFonts w:ascii="Times New Roman"/>
                <w:b/>
                <w:bCs/>
                <w:color w:val="auto"/>
                <w:sz w:val="20"/>
                <w:szCs w:val="20"/>
              </w:rPr>
            </w:pPr>
            <w:r w:rsidRPr="00B0658A">
              <w:rPr>
                <w:rFonts w:ascii="Times New Roman"/>
                <w:b/>
                <w:bCs/>
                <w:color w:val="auto"/>
                <w:sz w:val="20"/>
                <w:szCs w:val="20"/>
              </w:rPr>
              <w:t xml:space="preserve">Планируемый результат в соответствии с утвержденным детализированным планом </w:t>
            </w:r>
          </w:p>
        </w:tc>
        <w:tc>
          <w:tcPr>
            <w:tcW w:w="895" w:type="pct"/>
          </w:tcPr>
          <w:p w14:paraId="04333536" w14:textId="77777777" w:rsidR="002F4B12" w:rsidRPr="00B0658A" w:rsidRDefault="002F4B12" w:rsidP="000A4114">
            <w:pPr>
              <w:spacing w:after="0" w:line="240" w:lineRule="auto"/>
              <w:jc w:val="center"/>
              <w:rPr>
                <w:rFonts w:ascii="Times New Roman"/>
                <w:b/>
                <w:bCs/>
                <w:color w:val="auto"/>
                <w:sz w:val="20"/>
                <w:szCs w:val="20"/>
              </w:rPr>
            </w:pPr>
            <w:r w:rsidRPr="00B0658A">
              <w:rPr>
                <w:rFonts w:ascii="Times New Roman"/>
                <w:b/>
                <w:bCs/>
                <w:color w:val="auto"/>
                <w:sz w:val="20"/>
                <w:szCs w:val="20"/>
              </w:rPr>
              <w:t>Сроки реализации запланированного мероприятия в соответствии с детализированным планом</w:t>
            </w:r>
          </w:p>
        </w:tc>
        <w:tc>
          <w:tcPr>
            <w:tcW w:w="873" w:type="pct"/>
          </w:tcPr>
          <w:p w14:paraId="3B8D1BFA" w14:textId="77777777" w:rsidR="002F4B12" w:rsidRPr="00B0658A" w:rsidRDefault="002F4B12" w:rsidP="000A4114">
            <w:pPr>
              <w:spacing w:after="0" w:line="240" w:lineRule="auto"/>
              <w:jc w:val="center"/>
              <w:rPr>
                <w:rFonts w:ascii="Times New Roman"/>
                <w:b/>
                <w:bCs/>
                <w:color w:val="auto"/>
                <w:sz w:val="20"/>
                <w:szCs w:val="20"/>
              </w:rPr>
            </w:pPr>
            <w:r w:rsidRPr="00B0658A">
              <w:rPr>
                <w:rFonts w:ascii="Times New Roman"/>
                <w:b/>
                <w:bCs/>
                <w:color w:val="auto"/>
                <w:sz w:val="20"/>
                <w:szCs w:val="20"/>
              </w:rPr>
              <w:t>Статус выполнения мероприятия</w:t>
            </w:r>
          </w:p>
        </w:tc>
        <w:tc>
          <w:tcPr>
            <w:tcW w:w="1139" w:type="pct"/>
          </w:tcPr>
          <w:p w14:paraId="2F772AFA" w14:textId="77777777" w:rsidR="002F4B12" w:rsidRPr="00B0658A" w:rsidRDefault="002F4B12" w:rsidP="000A4114">
            <w:pPr>
              <w:spacing w:after="0" w:line="240" w:lineRule="auto"/>
              <w:jc w:val="center"/>
              <w:rPr>
                <w:rFonts w:ascii="Times New Roman"/>
                <w:b/>
                <w:bCs/>
                <w:color w:val="auto"/>
                <w:sz w:val="20"/>
                <w:szCs w:val="20"/>
              </w:rPr>
            </w:pPr>
            <w:r w:rsidRPr="00B0658A">
              <w:rPr>
                <w:rFonts w:ascii="Times New Roman"/>
                <w:b/>
                <w:bCs/>
                <w:color w:val="auto"/>
                <w:sz w:val="20"/>
                <w:szCs w:val="20"/>
              </w:rPr>
              <w:t>Описание достигнутого фактического результата</w:t>
            </w:r>
          </w:p>
        </w:tc>
      </w:tr>
      <w:tr w:rsidR="00F52FED" w:rsidRPr="00B0658A" w14:paraId="4A8B3085" w14:textId="77777777" w:rsidTr="004F1366">
        <w:tc>
          <w:tcPr>
            <w:tcW w:w="5000" w:type="pct"/>
            <w:gridSpan w:val="6"/>
            <w:vAlign w:val="center"/>
          </w:tcPr>
          <w:p w14:paraId="045BA30F" w14:textId="77777777" w:rsidR="002F4B12" w:rsidRPr="00B0658A" w:rsidRDefault="002F4B12" w:rsidP="000A4114">
            <w:pPr>
              <w:spacing w:after="0" w:line="240" w:lineRule="auto"/>
              <w:rPr>
                <w:rFonts w:ascii="Times New Roman"/>
                <w:b/>
                <w:i/>
                <w:iCs/>
                <w:color w:val="auto"/>
                <w:sz w:val="20"/>
                <w:szCs w:val="20"/>
              </w:rPr>
            </w:pPr>
            <w:r w:rsidRPr="00B0658A">
              <w:rPr>
                <w:rFonts w:ascii="Times New Roman"/>
                <w:b/>
                <w:color w:val="auto"/>
                <w:sz w:val="20"/>
                <w:szCs w:val="20"/>
              </w:rPr>
              <w:t>1. Мероприятия в отношении ________ (наименование значимого объекта КИИ №1)</w:t>
            </w:r>
          </w:p>
        </w:tc>
      </w:tr>
      <w:tr w:rsidR="00F52FED" w:rsidRPr="00B0658A" w14:paraId="53ECFF03" w14:textId="77777777" w:rsidTr="004F1366">
        <w:tc>
          <w:tcPr>
            <w:tcW w:w="184" w:type="pct"/>
          </w:tcPr>
          <w:p w14:paraId="58D12F63" w14:textId="77777777" w:rsidR="002F4B12" w:rsidRPr="00B0658A" w:rsidRDefault="002F4B12" w:rsidP="000A4114">
            <w:pPr>
              <w:spacing w:after="0" w:line="240" w:lineRule="auto"/>
              <w:jc w:val="both"/>
              <w:rPr>
                <w:rFonts w:ascii="Times New Roman"/>
                <w:color w:val="auto"/>
                <w:sz w:val="20"/>
                <w:szCs w:val="20"/>
              </w:rPr>
            </w:pPr>
            <w:r w:rsidRPr="00B0658A">
              <w:rPr>
                <w:rFonts w:ascii="Times New Roman"/>
                <w:color w:val="auto"/>
                <w:sz w:val="20"/>
                <w:szCs w:val="20"/>
              </w:rPr>
              <w:t>1.1</w:t>
            </w:r>
          </w:p>
        </w:tc>
        <w:tc>
          <w:tcPr>
            <w:tcW w:w="1023" w:type="pct"/>
          </w:tcPr>
          <w:p w14:paraId="6C13D755" w14:textId="77777777" w:rsidR="002F4B12" w:rsidRPr="00B0658A" w:rsidRDefault="002F4B12" w:rsidP="000A4114">
            <w:pPr>
              <w:spacing w:after="0" w:line="240" w:lineRule="auto"/>
              <w:jc w:val="both"/>
              <w:rPr>
                <w:rFonts w:ascii="Times New Roman"/>
                <w:i/>
                <w:iCs/>
                <w:color w:val="auto"/>
                <w:sz w:val="20"/>
                <w:szCs w:val="20"/>
              </w:rPr>
            </w:pPr>
            <w:r w:rsidRPr="00B0658A">
              <w:rPr>
                <w:rFonts w:ascii="Times New Roman"/>
                <w:i/>
                <w:iCs/>
                <w:color w:val="auto"/>
                <w:sz w:val="20"/>
                <w:szCs w:val="20"/>
              </w:rPr>
              <w:t>Указывается наименование мероприятия в соответствии с утвержденным детализированным планом перехода на использование российского ПО на принадлежащих иной организации значимых объектах КИИ</w:t>
            </w:r>
          </w:p>
          <w:p w14:paraId="5038C712" w14:textId="77777777" w:rsidR="002F4B12" w:rsidRPr="00B0658A" w:rsidRDefault="002F4B12" w:rsidP="000A4114">
            <w:pPr>
              <w:pStyle w:val="ConsPlusNormal"/>
              <w:jc w:val="both"/>
              <w:rPr>
                <w:color w:val="auto"/>
                <w:sz w:val="20"/>
                <w:szCs w:val="20"/>
              </w:rPr>
            </w:pPr>
          </w:p>
          <w:p w14:paraId="2D39ECA9" w14:textId="77777777" w:rsidR="002F4B12" w:rsidRPr="00B0658A" w:rsidRDefault="002F4B12" w:rsidP="000A4114">
            <w:pPr>
              <w:spacing w:after="0" w:line="240" w:lineRule="auto"/>
              <w:jc w:val="both"/>
              <w:rPr>
                <w:rFonts w:ascii="Times New Roman"/>
                <w:i/>
                <w:iCs/>
                <w:color w:val="auto"/>
                <w:sz w:val="20"/>
                <w:szCs w:val="20"/>
              </w:rPr>
            </w:pPr>
          </w:p>
        </w:tc>
        <w:tc>
          <w:tcPr>
            <w:tcW w:w="886" w:type="pct"/>
          </w:tcPr>
          <w:p w14:paraId="2238D12F" w14:textId="77777777" w:rsidR="002F4B12" w:rsidRPr="00B0658A" w:rsidRDefault="002F4B12" w:rsidP="000A4114">
            <w:pPr>
              <w:spacing w:after="0" w:line="240" w:lineRule="auto"/>
              <w:jc w:val="both"/>
              <w:rPr>
                <w:rFonts w:ascii="Times New Roman"/>
                <w:i/>
                <w:iCs/>
                <w:color w:val="auto"/>
                <w:sz w:val="20"/>
                <w:szCs w:val="20"/>
              </w:rPr>
            </w:pPr>
            <w:r w:rsidRPr="00B0658A">
              <w:rPr>
                <w:rFonts w:ascii="Times New Roman"/>
                <w:i/>
                <w:iCs/>
                <w:color w:val="auto"/>
                <w:sz w:val="20"/>
                <w:szCs w:val="20"/>
              </w:rPr>
              <w:t>Указывается запланированный результат в соответствии с утвержденным детализированным планом перехода на использование российского ПО на принадлежащих иной организации значимых объектах КИИ</w:t>
            </w:r>
          </w:p>
          <w:p w14:paraId="78BDBDFB" w14:textId="77777777" w:rsidR="002F4B12" w:rsidRPr="00B0658A" w:rsidRDefault="002F4B12" w:rsidP="000A4114">
            <w:pPr>
              <w:spacing w:after="0" w:line="240" w:lineRule="auto"/>
              <w:jc w:val="both"/>
              <w:rPr>
                <w:rFonts w:ascii="Times New Roman"/>
                <w:color w:val="auto"/>
                <w:sz w:val="20"/>
                <w:szCs w:val="20"/>
              </w:rPr>
            </w:pPr>
          </w:p>
        </w:tc>
        <w:tc>
          <w:tcPr>
            <w:tcW w:w="895" w:type="pct"/>
          </w:tcPr>
          <w:p w14:paraId="222E3215" w14:textId="77777777" w:rsidR="002F4B12" w:rsidRPr="00B0658A" w:rsidRDefault="002F4B12" w:rsidP="000A4114">
            <w:pPr>
              <w:spacing w:after="0" w:line="240" w:lineRule="auto"/>
              <w:jc w:val="both"/>
              <w:rPr>
                <w:rFonts w:ascii="Times New Roman"/>
                <w:i/>
                <w:iCs/>
                <w:color w:val="auto"/>
                <w:sz w:val="20"/>
                <w:szCs w:val="20"/>
              </w:rPr>
            </w:pPr>
            <w:r w:rsidRPr="00B0658A">
              <w:rPr>
                <w:rFonts w:ascii="Times New Roman"/>
                <w:i/>
                <w:iCs/>
                <w:color w:val="auto"/>
                <w:sz w:val="20"/>
                <w:szCs w:val="20"/>
              </w:rPr>
              <w:t>Указывается срок реализации (период выполнения) в соответствии с утвержденным детализированным планом перехода на использование российского ПО на принадлежащих иной организации значимых объектах КИИ</w:t>
            </w:r>
          </w:p>
          <w:p w14:paraId="614418AF" w14:textId="77777777" w:rsidR="002F4B12" w:rsidRPr="00B0658A" w:rsidRDefault="002F4B12" w:rsidP="000A4114">
            <w:pPr>
              <w:spacing w:after="0" w:line="240" w:lineRule="auto"/>
              <w:jc w:val="both"/>
              <w:rPr>
                <w:rFonts w:ascii="Times New Roman"/>
                <w:i/>
                <w:iCs/>
                <w:color w:val="auto"/>
                <w:sz w:val="20"/>
                <w:szCs w:val="20"/>
              </w:rPr>
            </w:pPr>
          </w:p>
        </w:tc>
        <w:tc>
          <w:tcPr>
            <w:tcW w:w="873" w:type="pct"/>
          </w:tcPr>
          <w:p w14:paraId="0C73CF3D" w14:textId="77777777" w:rsidR="002F4B12" w:rsidRPr="00B0658A" w:rsidRDefault="002F4B12" w:rsidP="000A4114">
            <w:pPr>
              <w:spacing w:after="0" w:line="240" w:lineRule="auto"/>
              <w:jc w:val="both"/>
              <w:rPr>
                <w:rFonts w:ascii="Times New Roman"/>
                <w:i/>
                <w:iCs/>
                <w:color w:val="auto"/>
                <w:sz w:val="20"/>
                <w:szCs w:val="20"/>
              </w:rPr>
            </w:pPr>
            <w:r w:rsidRPr="00B0658A">
              <w:rPr>
                <w:rFonts w:ascii="Times New Roman"/>
                <w:i/>
                <w:iCs/>
                <w:color w:val="auto"/>
                <w:sz w:val="20"/>
                <w:szCs w:val="20"/>
              </w:rPr>
              <w:t>Указывается статус: «выполнено» / «не выполнено».</w:t>
            </w:r>
          </w:p>
          <w:p w14:paraId="51E20C95" w14:textId="77777777" w:rsidR="002F4B12" w:rsidRPr="00B0658A" w:rsidRDefault="002F4B12" w:rsidP="000A4114">
            <w:pPr>
              <w:spacing w:after="0" w:line="240" w:lineRule="auto"/>
              <w:jc w:val="both"/>
              <w:rPr>
                <w:rFonts w:ascii="Times New Roman"/>
                <w:color w:val="auto"/>
                <w:sz w:val="20"/>
                <w:szCs w:val="20"/>
              </w:rPr>
            </w:pPr>
            <w:r w:rsidRPr="00B0658A">
              <w:rPr>
                <w:rFonts w:ascii="Times New Roman"/>
                <w:i/>
                <w:iCs/>
                <w:color w:val="auto"/>
                <w:sz w:val="20"/>
                <w:szCs w:val="20"/>
              </w:rPr>
              <w:t>Если мероприятие выполнено частично, то указывается статус «не выполнено»</w:t>
            </w:r>
          </w:p>
        </w:tc>
        <w:tc>
          <w:tcPr>
            <w:tcW w:w="1139" w:type="pct"/>
          </w:tcPr>
          <w:p w14:paraId="68099D86" w14:textId="77777777" w:rsidR="002F4B12" w:rsidRPr="00B0658A" w:rsidRDefault="002F4B12" w:rsidP="000A4114">
            <w:pPr>
              <w:spacing w:after="0" w:line="240" w:lineRule="auto"/>
              <w:jc w:val="both"/>
              <w:rPr>
                <w:rFonts w:ascii="Times New Roman"/>
                <w:i/>
                <w:iCs/>
                <w:color w:val="auto"/>
                <w:sz w:val="20"/>
                <w:szCs w:val="20"/>
              </w:rPr>
            </w:pPr>
            <w:r w:rsidRPr="00B0658A">
              <w:rPr>
                <w:rFonts w:ascii="Times New Roman"/>
                <w:i/>
                <w:iCs/>
                <w:color w:val="auto"/>
                <w:sz w:val="20"/>
                <w:szCs w:val="20"/>
              </w:rPr>
              <w:t>Указывается достигнутый результат. В случае если мероприятие не было выполнено, либо результат выполнения мероприятия был достигнут не полностью, указываются причины невыполнения мероприятия (частичного выполнения мероприятия), а также срок, в который мероприятие будет реализовано и достигнут запланированный результат</w:t>
            </w:r>
          </w:p>
        </w:tc>
      </w:tr>
      <w:tr w:rsidR="00F52FED" w:rsidRPr="00B0658A" w14:paraId="3E6212A0" w14:textId="77777777" w:rsidTr="004F1366">
        <w:tc>
          <w:tcPr>
            <w:tcW w:w="184" w:type="pct"/>
          </w:tcPr>
          <w:p w14:paraId="45FFEE0E" w14:textId="77777777" w:rsidR="002F4B12" w:rsidRPr="00B0658A" w:rsidRDefault="002F4B12" w:rsidP="000A4114">
            <w:pPr>
              <w:spacing w:after="0" w:line="240" w:lineRule="auto"/>
              <w:jc w:val="both"/>
              <w:rPr>
                <w:rFonts w:ascii="Times New Roman"/>
                <w:color w:val="auto"/>
                <w:sz w:val="20"/>
                <w:szCs w:val="20"/>
              </w:rPr>
            </w:pPr>
            <w:r w:rsidRPr="00B0658A">
              <w:rPr>
                <w:rFonts w:ascii="Times New Roman"/>
                <w:color w:val="auto"/>
                <w:sz w:val="20"/>
                <w:szCs w:val="20"/>
              </w:rPr>
              <w:t>1.2</w:t>
            </w:r>
          </w:p>
        </w:tc>
        <w:tc>
          <w:tcPr>
            <w:tcW w:w="1023" w:type="pct"/>
          </w:tcPr>
          <w:p w14:paraId="065C725F" w14:textId="77777777" w:rsidR="002F4B12" w:rsidRPr="00B0658A" w:rsidRDefault="002F4B12" w:rsidP="000A4114">
            <w:pPr>
              <w:spacing w:after="0" w:line="240" w:lineRule="auto"/>
              <w:jc w:val="both"/>
              <w:rPr>
                <w:rFonts w:ascii="Times New Roman"/>
                <w:color w:val="auto"/>
                <w:sz w:val="20"/>
                <w:szCs w:val="20"/>
              </w:rPr>
            </w:pPr>
          </w:p>
        </w:tc>
        <w:tc>
          <w:tcPr>
            <w:tcW w:w="886" w:type="pct"/>
          </w:tcPr>
          <w:p w14:paraId="239C4D7A" w14:textId="77777777" w:rsidR="002F4B12" w:rsidRPr="00B0658A" w:rsidRDefault="002F4B12" w:rsidP="000A4114">
            <w:pPr>
              <w:spacing w:after="0" w:line="240" w:lineRule="auto"/>
              <w:jc w:val="both"/>
              <w:rPr>
                <w:rFonts w:ascii="Times New Roman"/>
                <w:color w:val="auto"/>
                <w:sz w:val="20"/>
                <w:szCs w:val="20"/>
              </w:rPr>
            </w:pPr>
          </w:p>
        </w:tc>
        <w:tc>
          <w:tcPr>
            <w:tcW w:w="895" w:type="pct"/>
          </w:tcPr>
          <w:p w14:paraId="3E55062E" w14:textId="77777777" w:rsidR="002F4B12" w:rsidRPr="00B0658A" w:rsidRDefault="002F4B12" w:rsidP="000A4114">
            <w:pPr>
              <w:spacing w:after="0" w:line="240" w:lineRule="auto"/>
              <w:jc w:val="both"/>
              <w:rPr>
                <w:rFonts w:ascii="Times New Roman"/>
                <w:color w:val="auto"/>
                <w:sz w:val="20"/>
                <w:szCs w:val="20"/>
              </w:rPr>
            </w:pPr>
          </w:p>
        </w:tc>
        <w:tc>
          <w:tcPr>
            <w:tcW w:w="873" w:type="pct"/>
          </w:tcPr>
          <w:p w14:paraId="5EDAE9C7" w14:textId="77777777" w:rsidR="002F4B12" w:rsidRPr="00B0658A" w:rsidRDefault="002F4B12" w:rsidP="000A4114">
            <w:pPr>
              <w:spacing w:after="0" w:line="240" w:lineRule="auto"/>
              <w:jc w:val="both"/>
              <w:rPr>
                <w:rFonts w:ascii="Times New Roman"/>
                <w:color w:val="auto"/>
                <w:sz w:val="20"/>
                <w:szCs w:val="20"/>
              </w:rPr>
            </w:pPr>
          </w:p>
        </w:tc>
        <w:tc>
          <w:tcPr>
            <w:tcW w:w="1139" w:type="pct"/>
          </w:tcPr>
          <w:p w14:paraId="0F4753AF" w14:textId="77777777" w:rsidR="002F4B12" w:rsidRPr="00B0658A" w:rsidRDefault="002F4B12" w:rsidP="000A4114">
            <w:pPr>
              <w:spacing w:after="0" w:line="240" w:lineRule="auto"/>
              <w:jc w:val="both"/>
              <w:rPr>
                <w:rFonts w:ascii="Times New Roman"/>
                <w:color w:val="auto"/>
                <w:sz w:val="20"/>
                <w:szCs w:val="20"/>
              </w:rPr>
            </w:pPr>
          </w:p>
        </w:tc>
      </w:tr>
      <w:tr w:rsidR="00F52FED" w:rsidRPr="00B0658A" w14:paraId="4581FFEF" w14:textId="77777777" w:rsidTr="004F1366">
        <w:tc>
          <w:tcPr>
            <w:tcW w:w="184" w:type="pct"/>
          </w:tcPr>
          <w:p w14:paraId="53716ADA" w14:textId="77777777" w:rsidR="002F4B12" w:rsidRPr="00B0658A" w:rsidRDefault="002F4B12" w:rsidP="000A4114">
            <w:pPr>
              <w:spacing w:after="0" w:line="240" w:lineRule="auto"/>
              <w:jc w:val="both"/>
              <w:rPr>
                <w:rFonts w:ascii="Times New Roman"/>
                <w:color w:val="auto"/>
                <w:sz w:val="20"/>
                <w:szCs w:val="20"/>
              </w:rPr>
            </w:pPr>
            <w:r w:rsidRPr="00B0658A">
              <w:rPr>
                <w:rFonts w:ascii="Times New Roman"/>
                <w:color w:val="auto"/>
                <w:sz w:val="20"/>
                <w:szCs w:val="20"/>
              </w:rPr>
              <w:t>…</w:t>
            </w:r>
          </w:p>
        </w:tc>
        <w:tc>
          <w:tcPr>
            <w:tcW w:w="1023" w:type="pct"/>
          </w:tcPr>
          <w:p w14:paraId="411D0829" w14:textId="77777777" w:rsidR="002F4B12" w:rsidRPr="00B0658A" w:rsidRDefault="002F4B12" w:rsidP="000A4114">
            <w:pPr>
              <w:spacing w:after="0" w:line="240" w:lineRule="auto"/>
              <w:jc w:val="both"/>
              <w:rPr>
                <w:rFonts w:ascii="Times New Roman"/>
                <w:color w:val="auto"/>
                <w:sz w:val="20"/>
                <w:szCs w:val="20"/>
              </w:rPr>
            </w:pPr>
          </w:p>
        </w:tc>
        <w:tc>
          <w:tcPr>
            <w:tcW w:w="886" w:type="pct"/>
          </w:tcPr>
          <w:p w14:paraId="11CED401" w14:textId="77777777" w:rsidR="002F4B12" w:rsidRPr="00B0658A" w:rsidRDefault="002F4B12" w:rsidP="000A4114">
            <w:pPr>
              <w:spacing w:after="0" w:line="240" w:lineRule="auto"/>
              <w:jc w:val="both"/>
              <w:rPr>
                <w:rFonts w:ascii="Times New Roman"/>
                <w:color w:val="auto"/>
                <w:sz w:val="20"/>
                <w:szCs w:val="20"/>
              </w:rPr>
            </w:pPr>
          </w:p>
        </w:tc>
        <w:tc>
          <w:tcPr>
            <w:tcW w:w="895" w:type="pct"/>
          </w:tcPr>
          <w:p w14:paraId="46A7EC4D" w14:textId="77777777" w:rsidR="002F4B12" w:rsidRPr="00B0658A" w:rsidRDefault="002F4B12" w:rsidP="000A4114">
            <w:pPr>
              <w:spacing w:after="0" w:line="240" w:lineRule="auto"/>
              <w:jc w:val="both"/>
              <w:rPr>
                <w:rFonts w:ascii="Times New Roman"/>
                <w:color w:val="auto"/>
                <w:sz w:val="20"/>
                <w:szCs w:val="20"/>
              </w:rPr>
            </w:pPr>
          </w:p>
        </w:tc>
        <w:tc>
          <w:tcPr>
            <w:tcW w:w="873" w:type="pct"/>
          </w:tcPr>
          <w:p w14:paraId="332119D2" w14:textId="77777777" w:rsidR="002F4B12" w:rsidRPr="00B0658A" w:rsidRDefault="002F4B12" w:rsidP="000A4114">
            <w:pPr>
              <w:spacing w:after="0" w:line="240" w:lineRule="auto"/>
              <w:jc w:val="both"/>
              <w:rPr>
                <w:rFonts w:ascii="Times New Roman"/>
                <w:color w:val="auto"/>
                <w:sz w:val="20"/>
                <w:szCs w:val="20"/>
              </w:rPr>
            </w:pPr>
          </w:p>
        </w:tc>
        <w:tc>
          <w:tcPr>
            <w:tcW w:w="1139" w:type="pct"/>
          </w:tcPr>
          <w:p w14:paraId="17E84A95" w14:textId="77777777" w:rsidR="002F4B12" w:rsidRPr="00B0658A" w:rsidRDefault="002F4B12" w:rsidP="000A4114">
            <w:pPr>
              <w:spacing w:after="0" w:line="240" w:lineRule="auto"/>
              <w:jc w:val="both"/>
              <w:rPr>
                <w:rFonts w:ascii="Times New Roman"/>
                <w:color w:val="auto"/>
                <w:sz w:val="20"/>
                <w:szCs w:val="20"/>
              </w:rPr>
            </w:pPr>
          </w:p>
        </w:tc>
      </w:tr>
      <w:tr w:rsidR="00F52FED" w:rsidRPr="00B0658A" w14:paraId="63DF73A3" w14:textId="77777777" w:rsidTr="004F1366">
        <w:tc>
          <w:tcPr>
            <w:tcW w:w="184" w:type="pct"/>
          </w:tcPr>
          <w:p w14:paraId="27444A71" w14:textId="77777777" w:rsidR="002F4B12" w:rsidRPr="00B0658A" w:rsidRDefault="002F4B12" w:rsidP="000A4114">
            <w:pPr>
              <w:spacing w:after="0" w:line="240" w:lineRule="auto"/>
              <w:jc w:val="both"/>
              <w:rPr>
                <w:rFonts w:ascii="Times New Roman"/>
                <w:color w:val="auto"/>
                <w:sz w:val="20"/>
                <w:szCs w:val="20"/>
              </w:rPr>
            </w:pPr>
            <w:r w:rsidRPr="00B0658A">
              <w:rPr>
                <w:rFonts w:ascii="Times New Roman"/>
                <w:color w:val="auto"/>
                <w:sz w:val="20"/>
                <w:szCs w:val="20"/>
                <w:lang w:val="en-US"/>
              </w:rPr>
              <w:t>1.n</w:t>
            </w:r>
          </w:p>
        </w:tc>
        <w:tc>
          <w:tcPr>
            <w:tcW w:w="1023" w:type="pct"/>
          </w:tcPr>
          <w:p w14:paraId="01E8A9FF" w14:textId="77777777" w:rsidR="002F4B12" w:rsidRPr="00B0658A" w:rsidRDefault="002F4B12" w:rsidP="000A4114">
            <w:pPr>
              <w:spacing w:after="0" w:line="240" w:lineRule="auto"/>
              <w:jc w:val="both"/>
              <w:rPr>
                <w:rFonts w:ascii="Times New Roman"/>
                <w:color w:val="auto"/>
                <w:sz w:val="20"/>
                <w:szCs w:val="20"/>
              </w:rPr>
            </w:pPr>
          </w:p>
        </w:tc>
        <w:tc>
          <w:tcPr>
            <w:tcW w:w="886" w:type="pct"/>
          </w:tcPr>
          <w:p w14:paraId="55CE400D" w14:textId="77777777" w:rsidR="002F4B12" w:rsidRPr="00B0658A" w:rsidRDefault="002F4B12" w:rsidP="000A4114">
            <w:pPr>
              <w:spacing w:after="0" w:line="240" w:lineRule="auto"/>
              <w:jc w:val="both"/>
              <w:rPr>
                <w:rFonts w:ascii="Times New Roman"/>
                <w:color w:val="auto"/>
                <w:sz w:val="20"/>
                <w:szCs w:val="20"/>
              </w:rPr>
            </w:pPr>
          </w:p>
        </w:tc>
        <w:tc>
          <w:tcPr>
            <w:tcW w:w="895" w:type="pct"/>
          </w:tcPr>
          <w:p w14:paraId="647C1734" w14:textId="77777777" w:rsidR="002F4B12" w:rsidRPr="00B0658A" w:rsidRDefault="002F4B12" w:rsidP="000A4114">
            <w:pPr>
              <w:spacing w:after="0" w:line="240" w:lineRule="auto"/>
              <w:jc w:val="both"/>
              <w:rPr>
                <w:rFonts w:ascii="Times New Roman"/>
                <w:color w:val="auto"/>
                <w:sz w:val="20"/>
                <w:szCs w:val="20"/>
              </w:rPr>
            </w:pPr>
          </w:p>
        </w:tc>
        <w:tc>
          <w:tcPr>
            <w:tcW w:w="873" w:type="pct"/>
          </w:tcPr>
          <w:p w14:paraId="079306A0" w14:textId="77777777" w:rsidR="002F4B12" w:rsidRPr="00B0658A" w:rsidRDefault="002F4B12" w:rsidP="000A4114">
            <w:pPr>
              <w:spacing w:after="0" w:line="240" w:lineRule="auto"/>
              <w:jc w:val="both"/>
              <w:rPr>
                <w:rFonts w:ascii="Times New Roman"/>
                <w:color w:val="auto"/>
                <w:sz w:val="20"/>
                <w:szCs w:val="20"/>
              </w:rPr>
            </w:pPr>
          </w:p>
        </w:tc>
        <w:tc>
          <w:tcPr>
            <w:tcW w:w="1139" w:type="pct"/>
          </w:tcPr>
          <w:p w14:paraId="2E71EEB5" w14:textId="77777777" w:rsidR="002F4B12" w:rsidRPr="00B0658A" w:rsidRDefault="002F4B12" w:rsidP="000A4114">
            <w:pPr>
              <w:spacing w:after="0" w:line="240" w:lineRule="auto"/>
              <w:jc w:val="both"/>
              <w:rPr>
                <w:rFonts w:ascii="Times New Roman"/>
                <w:color w:val="auto"/>
                <w:sz w:val="20"/>
                <w:szCs w:val="20"/>
              </w:rPr>
            </w:pPr>
          </w:p>
        </w:tc>
      </w:tr>
      <w:tr w:rsidR="00F52FED" w:rsidRPr="00B0658A" w14:paraId="32E8B951" w14:textId="77777777" w:rsidTr="004F1366">
        <w:tc>
          <w:tcPr>
            <w:tcW w:w="5000" w:type="pct"/>
            <w:gridSpan w:val="6"/>
          </w:tcPr>
          <w:p w14:paraId="0E6424E9" w14:textId="77777777" w:rsidR="002F4B12" w:rsidRPr="00B0658A" w:rsidRDefault="002F4B12" w:rsidP="000A4114">
            <w:pPr>
              <w:spacing w:after="0" w:line="240" w:lineRule="auto"/>
              <w:rPr>
                <w:rFonts w:ascii="Times New Roman"/>
                <w:color w:val="auto"/>
                <w:sz w:val="20"/>
                <w:szCs w:val="20"/>
              </w:rPr>
            </w:pPr>
            <w:r w:rsidRPr="00B0658A">
              <w:rPr>
                <w:rFonts w:ascii="Times New Roman"/>
                <w:b/>
                <w:color w:val="auto"/>
                <w:sz w:val="20"/>
                <w:szCs w:val="20"/>
              </w:rPr>
              <w:t>2. Мероприятия в отношении ________ (наименование значимого объекта КИИ №2)</w:t>
            </w:r>
          </w:p>
        </w:tc>
      </w:tr>
      <w:tr w:rsidR="00F52FED" w:rsidRPr="00B0658A" w14:paraId="025F33A5" w14:textId="77777777" w:rsidTr="004F1366">
        <w:tc>
          <w:tcPr>
            <w:tcW w:w="184" w:type="pct"/>
          </w:tcPr>
          <w:p w14:paraId="251A1485" w14:textId="77777777" w:rsidR="002F4B12" w:rsidRPr="00B0658A" w:rsidRDefault="002F4B12" w:rsidP="000A4114">
            <w:pPr>
              <w:spacing w:after="0" w:line="240" w:lineRule="auto"/>
              <w:jc w:val="both"/>
              <w:rPr>
                <w:rFonts w:ascii="Times New Roman"/>
                <w:color w:val="auto"/>
                <w:sz w:val="20"/>
                <w:szCs w:val="20"/>
                <w:lang w:val="en-US"/>
              </w:rPr>
            </w:pPr>
            <w:r w:rsidRPr="00B0658A">
              <w:rPr>
                <w:rFonts w:ascii="Times New Roman"/>
                <w:color w:val="auto"/>
                <w:sz w:val="20"/>
                <w:szCs w:val="20"/>
                <w:lang w:val="en-US"/>
              </w:rPr>
              <w:t>2.1</w:t>
            </w:r>
          </w:p>
        </w:tc>
        <w:tc>
          <w:tcPr>
            <w:tcW w:w="1023" w:type="pct"/>
          </w:tcPr>
          <w:p w14:paraId="7491FFB7" w14:textId="77777777" w:rsidR="002F4B12" w:rsidRPr="00B0658A" w:rsidRDefault="002F4B12" w:rsidP="000A4114">
            <w:pPr>
              <w:spacing w:after="0" w:line="240" w:lineRule="auto"/>
              <w:jc w:val="both"/>
              <w:rPr>
                <w:rFonts w:ascii="Times New Roman"/>
                <w:color w:val="auto"/>
                <w:sz w:val="20"/>
                <w:szCs w:val="20"/>
              </w:rPr>
            </w:pPr>
          </w:p>
        </w:tc>
        <w:tc>
          <w:tcPr>
            <w:tcW w:w="886" w:type="pct"/>
          </w:tcPr>
          <w:p w14:paraId="200C01AC" w14:textId="77777777" w:rsidR="002F4B12" w:rsidRPr="00B0658A" w:rsidRDefault="002F4B12" w:rsidP="000A4114">
            <w:pPr>
              <w:spacing w:after="0" w:line="240" w:lineRule="auto"/>
              <w:jc w:val="both"/>
              <w:rPr>
                <w:rFonts w:ascii="Times New Roman"/>
                <w:color w:val="auto"/>
                <w:sz w:val="20"/>
                <w:szCs w:val="20"/>
              </w:rPr>
            </w:pPr>
          </w:p>
        </w:tc>
        <w:tc>
          <w:tcPr>
            <w:tcW w:w="895" w:type="pct"/>
          </w:tcPr>
          <w:p w14:paraId="07A8F66F" w14:textId="77777777" w:rsidR="002F4B12" w:rsidRPr="00B0658A" w:rsidRDefault="002F4B12" w:rsidP="000A4114">
            <w:pPr>
              <w:spacing w:after="0" w:line="240" w:lineRule="auto"/>
              <w:jc w:val="both"/>
              <w:rPr>
                <w:rFonts w:ascii="Times New Roman"/>
                <w:color w:val="auto"/>
                <w:sz w:val="20"/>
                <w:szCs w:val="20"/>
              </w:rPr>
            </w:pPr>
          </w:p>
        </w:tc>
        <w:tc>
          <w:tcPr>
            <w:tcW w:w="873" w:type="pct"/>
          </w:tcPr>
          <w:p w14:paraId="7802B6B8" w14:textId="77777777" w:rsidR="002F4B12" w:rsidRPr="00B0658A" w:rsidRDefault="002F4B12" w:rsidP="000A4114">
            <w:pPr>
              <w:spacing w:after="0" w:line="240" w:lineRule="auto"/>
              <w:jc w:val="both"/>
              <w:rPr>
                <w:rFonts w:ascii="Times New Roman"/>
                <w:color w:val="auto"/>
                <w:sz w:val="20"/>
                <w:szCs w:val="20"/>
              </w:rPr>
            </w:pPr>
          </w:p>
        </w:tc>
        <w:tc>
          <w:tcPr>
            <w:tcW w:w="1139" w:type="pct"/>
          </w:tcPr>
          <w:p w14:paraId="1B28AC1A" w14:textId="77777777" w:rsidR="002F4B12" w:rsidRPr="00B0658A" w:rsidRDefault="002F4B12" w:rsidP="000A4114">
            <w:pPr>
              <w:spacing w:after="0" w:line="240" w:lineRule="auto"/>
              <w:jc w:val="both"/>
              <w:rPr>
                <w:rFonts w:ascii="Times New Roman"/>
                <w:color w:val="auto"/>
                <w:sz w:val="20"/>
                <w:szCs w:val="20"/>
              </w:rPr>
            </w:pPr>
          </w:p>
        </w:tc>
      </w:tr>
      <w:tr w:rsidR="00F52FED" w:rsidRPr="00B0658A" w14:paraId="4F2EF185" w14:textId="77777777" w:rsidTr="004F1366">
        <w:tc>
          <w:tcPr>
            <w:tcW w:w="184" w:type="pct"/>
          </w:tcPr>
          <w:p w14:paraId="194CFE63" w14:textId="77777777" w:rsidR="002F4B12" w:rsidRPr="00B0658A" w:rsidRDefault="002F4B12" w:rsidP="000A4114">
            <w:pPr>
              <w:spacing w:after="0" w:line="240" w:lineRule="auto"/>
              <w:jc w:val="both"/>
              <w:rPr>
                <w:rFonts w:ascii="Times New Roman"/>
                <w:color w:val="auto"/>
                <w:sz w:val="20"/>
                <w:szCs w:val="20"/>
                <w:lang w:val="en-US"/>
              </w:rPr>
            </w:pPr>
            <w:r w:rsidRPr="00B0658A">
              <w:rPr>
                <w:rFonts w:ascii="Times New Roman"/>
                <w:color w:val="auto"/>
                <w:sz w:val="20"/>
                <w:szCs w:val="20"/>
                <w:lang w:val="en-US"/>
              </w:rPr>
              <w:t>2.2</w:t>
            </w:r>
          </w:p>
        </w:tc>
        <w:tc>
          <w:tcPr>
            <w:tcW w:w="1023" w:type="pct"/>
          </w:tcPr>
          <w:p w14:paraId="39C7CD58" w14:textId="77777777" w:rsidR="002F4B12" w:rsidRPr="00B0658A" w:rsidRDefault="002F4B12" w:rsidP="000A4114">
            <w:pPr>
              <w:spacing w:after="0" w:line="240" w:lineRule="auto"/>
              <w:jc w:val="both"/>
              <w:rPr>
                <w:rFonts w:ascii="Times New Roman"/>
                <w:color w:val="auto"/>
                <w:sz w:val="20"/>
                <w:szCs w:val="20"/>
              </w:rPr>
            </w:pPr>
          </w:p>
        </w:tc>
        <w:tc>
          <w:tcPr>
            <w:tcW w:w="886" w:type="pct"/>
          </w:tcPr>
          <w:p w14:paraId="411D8E59" w14:textId="77777777" w:rsidR="002F4B12" w:rsidRPr="00B0658A" w:rsidRDefault="002F4B12" w:rsidP="000A4114">
            <w:pPr>
              <w:spacing w:after="0" w:line="240" w:lineRule="auto"/>
              <w:jc w:val="both"/>
              <w:rPr>
                <w:rFonts w:ascii="Times New Roman"/>
                <w:color w:val="auto"/>
                <w:sz w:val="20"/>
                <w:szCs w:val="20"/>
              </w:rPr>
            </w:pPr>
          </w:p>
        </w:tc>
        <w:tc>
          <w:tcPr>
            <w:tcW w:w="895" w:type="pct"/>
          </w:tcPr>
          <w:p w14:paraId="25EABCF5" w14:textId="77777777" w:rsidR="002F4B12" w:rsidRPr="00B0658A" w:rsidRDefault="002F4B12" w:rsidP="000A4114">
            <w:pPr>
              <w:spacing w:after="0" w:line="240" w:lineRule="auto"/>
              <w:jc w:val="both"/>
              <w:rPr>
                <w:rFonts w:ascii="Times New Roman"/>
                <w:color w:val="auto"/>
                <w:sz w:val="20"/>
                <w:szCs w:val="20"/>
              </w:rPr>
            </w:pPr>
          </w:p>
        </w:tc>
        <w:tc>
          <w:tcPr>
            <w:tcW w:w="873" w:type="pct"/>
          </w:tcPr>
          <w:p w14:paraId="395FC790" w14:textId="77777777" w:rsidR="002F4B12" w:rsidRPr="00B0658A" w:rsidRDefault="002F4B12" w:rsidP="000A4114">
            <w:pPr>
              <w:spacing w:after="0" w:line="240" w:lineRule="auto"/>
              <w:jc w:val="both"/>
              <w:rPr>
                <w:rFonts w:ascii="Times New Roman"/>
                <w:color w:val="auto"/>
                <w:sz w:val="20"/>
                <w:szCs w:val="20"/>
              </w:rPr>
            </w:pPr>
          </w:p>
        </w:tc>
        <w:tc>
          <w:tcPr>
            <w:tcW w:w="1139" w:type="pct"/>
          </w:tcPr>
          <w:p w14:paraId="2A77C0DF" w14:textId="77777777" w:rsidR="002F4B12" w:rsidRPr="00B0658A" w:rsidRDefault="002F4B12" w:rsidP="000A4114">
            <w:pPr>
              <w:spacing w:after="0" w:line="240" w:lineRule="auto"/>
              <w:jc w:val="both"/>
              <w:rPr>
                <w:rFonts w:ascii="Times New Roman"/>
                <w:color w:val="auto"/>
                <w:sz w:val="20"/>
                <w:szCs w:val="20"/>
              </w:rPr>
            </w:pPr>
          </w:p>
        </w:tc>
      </w:tr>
      <w:tr w:rsidR="00F52FED" w:rsidRPr="00B0658A" w14:paraId="168C8BB4" w14:textId="77777777" w:rsidTr="004F1366">
        <w:tc>
          <w:tcPr>
            <w:tcW w:w="184" w:type="pct"/>
          </w:tcPr>
          <w:p w14:paraId="56F4523B" w14:textId="77777777" w:rsidR="002F4B12" w:rsidRPr="00B0658A" w:rsidRDefault="002F4B12" w:rsidP="000A4114">
            <w:pPr>
              <w:spacing w:after="0" w:line="240" w:lineRule="auto"/>
              <w:jc w:val="both"/>
              <w:rPr>
                <w:rFonts w:ascii="Times New Roman"/>
                <w:color w:val="auto"/>
                <w:sz w:val="20"/>
                <w:szCs w:val="20"/>
                <w:lang w:val="en-US"/>
              </w:rPr>
            </w:pPr>
            <w:r w:rsidRPr="00B0658A">
              <w:rPr>
                <w:rFonts w:ascii="Times New Roman"/>
                <w:color w:val="auto"/>
                <w:sz w:val="20"/>
                <w:szCs w:val="20"/>
                <w:lang w:val="en-US"/>
              </w:rPr>
              <w:t>…</w:t>
            </w:r>
          </w:p>
        </w:tc>
        <w:tc>
          <w:tcPr>
            <w:tcW w:w="1023" w:type="pct"/>
          </w:tcPr>
          <w:p w14:paraId="7603963E" w14:textId="77777777" w:rsidR="002F4B12" w:rsidRPr="00B0658A" w:rsidRDefault="002F4B12" w:rsidP="000A4114">
            <w:pPr>
              <w:spacing w:after="0" w:line="240" w:lineRule="auto"/>
              <w:jc w:val="both"/>
              <w:rPr>
                <w:rFonts w:ascii="Times New Roman"/>
                <w:color w:val="auto"/>
                <w:sz w:val="20"/>
                <w:szCs w:val="20"/>
              </w:rPr>
            </w:pPr>
          </w:p>
        </w:tc>
        <w:tc>
          <w:tcPr>
            <w:tcW w:w="886" w:type="pct"/>
          </w:tcPr>
          <w:p w14:paraId="02A7CF8C" w14:textId="77777777" w:rsidR="002F4B12" w:rsidRPr="00B0658A" w:rsidRDefault="002F4B12" w:rsidP="000A4114">
            <w:pPr>
              <w:spacing w:after="0" w:line="240" w:lineRule="auto"/>
              <w:jc w:val="both"/>
              <w:rPr>
                <w:rFonts w:ascii="Times New Roman"/>
                <w:color w:val="auto"/>
                <w:sz w:val="20"/>
                <w:szCs w:val="20"/>
              </w:rPr>
            </w:pPr>
          </w:p>
        </w:tc>
        <w:tc>
          <w:tcPr>
            <w:tcW w:w="895" w:type="pct"/>
          </w:tcPr>
          <w:p w14:paraId="7AD1ED9F" w14:textId="77777777" w:rsidR="002F4B12" w:rsidRPr="00B0658A" w:rsidRDefault="002F4B12" w:rsidP="000A4114">
            <w:pPr>
              <w:spacing w:after="0" w:line="240" w:lineRule="auto"/>
              <w:jc w:val="both"/>
              <w:rPr>
                <w:rFonts w:ascii="Times New Roman"/>
                <w:color w:val="auto"/>
                <w:sz w:val="20"/>
                <w:szCs w:val="20"/>
              </w:rPr>
            </w:pPr>
          </w:p>
        </w:tc>
        <w:tc>
          <w:tcPr>
            <w:tcW w:w="873" w:type="pct"/>
          </w:tcPr>
          <w:p w14:paraId="6295DCB5" w14:textId="77777777" w:rsidR="002F4B12" w:rsidRPr="00B0658A" w:rsidRDefault="002F4B12" w:rsidP="000A4114">
            <w:pPr>
              <w:spacing w:after="0" w:line="240" w:lineRule="auto"/>
              <w:jc w:val="both"/>
              <w:rPr>
                <w:rFonts w:ascii="Times New Roman"/>
                <w:color w:val="auto"/>
                <w:sz w:val="20"/>
                <w:szCs w:val="20"/>
              </w:rPr>
            </w:pPr>
          </w:p>
        </w:tc>
        <w:tc>
          <w:tcPr>
            <w:tcW w:w="1139" w:type="pct"/>
          </w:tcPr>
          <w:p w14:paraId="2A40E48C" w14:textId="77777777" w:rsidR="002F4B12" w:rsidRPr="00B0658A" w:rsidRDefault="002F4B12" w:rsidP="000A4114">
            <w:pPr>
              <w:spacing w:after="0" w:line="240" w:lineRule="auto"/>
              <w:jc w:val="both"/>
              <w:rPr>
                <w:rFonts w:ascii="Times New Roman"/>
                <w:color w:val="auto"/>
                <w:sz w:val="20"/>
                <w:szCs w:val="20"/>
              </w:rPr>
            </w:pPr>
          </w:p>
        </w:tc>
      </w:tr>
      <w:tr w:rsidR="00F52FED" w:rsidRPr="00B0658A" w14:paraId="2756D7DA" w14:textId="77777777" w:rsidTr="004F1366">
        <w:tc>
          <w:tcPr>
            <w:tcW w:w="184" w:type="pct"/>
          </w:tcPr>
          <w:p w14:paraId="28D83EC0" w14:textId="77777777" w:rsidR="002F4B12" w:rsidRPr="00B0658A" w:rsidRDefault="002F4B12" w:rsidP="000A4114">
            <w:pPr>
              <w:spacing w:after="0" w:line="240" w:lineRule="auto"/>
              <w:jc w:val="both"/>
              <w:rPr>
                <w:rFonts w:ascii="Times New Roman"/>
                <w:color w:val="auto"/>
                <w:sz w:val="20"/>
                <w:szCs w:val="20"/>
                <w:lang w:val="en-US"/>
              </w:rPr>
            </w:pPr>
            <w:r w:rsidRPr="00B0658A">
              <w:rPr>
                <w:rFonts w:ascii="Times New Roman"/>
                <w:color w:val="auto"/>
                <w:sz w:val="20"/>
                <w:szCs w:val="20"/>
                <w:lang w:val="en-US"/>
              </w:rPr>
              <w:t>2.n</w:t>
            </w:r>
          </w:p>
        </w:tc>
        <w:tc>
          <w:tcPr>
            <w:tcW w:w="1023" w:type="pct"/>
          </w:tcPr>
          <w:p w14:paraId="0AEC14BC" w14:textId="77777777" w:rsidR="002F4B12" w:rsidRPr="00B0658A" w:rsidRDefault="002F4B12" w:rsidP="000A4114">
            <w:pPr>
              <w:spacing w:after="0" w:line="240" w:lineRule="auto"/>
              <w:jc w:val="both"/>
              <w:rPr>
                <w:rFonts w:ascii="Times New Roman"/>
                <w:color w:val="auto"/>
                <w:sz w:val="20"/>
                <w:szCs w:val="20"/>
              </w:rPr>
            </w:pPr>
          </w:p>
        </w:tc>
        <w:tc>
          <w:tcPr>
            <w:tcW w:w="886" w:type="pct"/>
          </w:tcPr>
          <w:p w14:paraId="1DE420A1" w14:textId="77777777" w:rsidR="002F4B12" w:rsidRPr="00B0658A" w:rsidRDefault="002F4B12" w:rsidP="000A4114">
            <w:pPr>
              <w:spacing w:after="0" w:line="240" w:lineRule="auto"/>
              <w:jc w:val="both"/>
              <w:rPr>
                <w:rFonts w:ascii="Times New Roman"/>
                <w:color w:val="auto"/>
                <w:sz w:val="20"/>
                <w:szCs w:val="20"/>
              </w:rPr>
            </w:pPr>
          </w:p>
        </w:tc>
        <w:tc>
          <w:tcPr>
            <w:tcW w:w="895" w:type="pct"/>
          </w:tcPr>
          <w:p w14:paraId="53C47A08" w14:textId="77777777" w:rsidR="002F4B12" w:rsidRPr="00B0658A" w:rsidRDefault="002F4B12" w:rsidP="000A4114">
            <w:pPr>
              <w:spacing w:after="0" w:line="240" w:lineRule="auto"/>
              <w:jc w:val="both"/>
              <w:rPr>
                <w:rFonts w:ascii="Times New Roman"/>
                <w:color w:val="auto"/>
                <w:sz w:val="20"/>
                <w:szCs w:val="20"/>
              </w:rPr>
            </w:pPr>
          </w:p>
        </w:tc>
        <w:tc>
          <w:tcPr>
            <w:tcW w:w="873" w:type="pct"/>
          </w:tcPr>
          <w:p w14:paraId="338A71EE" w14:textId="77777777" w:rsidR="002F4B12" w:rsidRPr="00B0658A" w:rsidRDefault="002F4B12" w:rsidP="000A4114">
            <w:pPr>
              <w:spacing w:after="0" w:line="240" w:lineRule="auto"/>
              <w:jc w:val="both"/>
              <w:rPr>
                <w:rFonts w:ascii="Times New Roman"/>
                <w:color w:val="auto"/>
                <w:sz w:val="20"/>
                <w:szCs w:val="20"/>
              </w:rPr>
            </w:pPr>
          </w:p>
        </w:tc>
        <w:tc>
          <w:tcPr>
            <w:tcW w:w="1139" w:type="pct"/>
          </w:tcPr>
          <w:p w14:paraId="614175F3" w14:textId="77777777" w:rsidR="002F4B12" w:rsidRPr="00B0658A" w:rsidRDefault="002F4B12" w:rsidP="000A4114">
            <w:pPr>
              <w:spacing w:after="0" w:line="240" w:lineRule="auto"/>
              <w:jc w:val="both"/>
              <w:rPr>
                <w:rFonts w:ascii="Times New Roman"/>
                <w:color w:val="auto"/>
                <w:sz w:val="20"/>
                <w:szCs w:val="20"/>
              </w:rPr>
            </w:pPr>
          </w:p>
        </w:tc>
      </w:tr>
      <w:tr w:rsidR="00F52FED" w:rsidRPr="00B0658A" w14:paraId="7377E388" w14:textId="77777777" w:rsidTr="004F1366">
        <w:tc>
          <w:tcPr>
            <w:tcW w:w="184" w:type="pct"/>
          </w:tcPr>
          <w:p w14:paraId="49A3813D" w14:textId="77777777" w:rsidR="002F4B12" w:rsidRPr="00B0658A" w:rsidRDefault="002F4B12" w:rsidP="000A4114">
            <w:pPr>
              <w:spacing w:after="0" w:line="240" w:lineRule="auto"/>
              <w:jc w:val="both"/>
              <w:rPr>
                <w:rFonts w:ascii="Times New Roman"/>
                <w:color w:val="auto"/>
                <w:sz w:val="20"/>
                <w:szCs w:val="20"/>
                <w:lang w:val="en-US"/>
              </w:rPr>
            </w:pPr>
          </w:p>
        </w:tc>
        <w:tc>
          <w:tcPr>
            <w:tcW w:w="1023" w:type="pct"/>
          </w:tcPr>
          <w:p w14:paraId="20A1E019" w14:textId="77777777" w:rsidR="002F4B12" w:rsidRPr="00B0658A" w:rsidRDefault="002F4B12" w:rsidP="000A4114">
            <w:pPr>
              <w:spacing w:after="0" w:line="240" w:lineRule="auto"/>
              <w:jc w:val="both"/>
              <w:rPr>
                <w:rFonts w:ascii="Times New Roman"/>
                <w:color w:val="auto"/>
                <w:sz w:val="20"/>
                <w:szCs w:val="20"/>
              </w:rPr>
            </w:pPr>
          </w:p>
        </w:tc>
        <w:tc>
          <w:tcPr>
            <w:tcW w:w="886" w:type="pct"/>
          </w:tcPr>
          <w:p w14:paraId="7D1ED7E0" w14:textId="77777777" w:rsidR="002F4B12" w:rsidRPr="00B0658A" w:rsidRDefault="002F4B12" w:rsidP="000A4114">
            <w:pPr>
              <w:spacing w:after="0" w:line="240" w:lineRule="auto"/>
              <w:jc w:val="both"/>
              <w:rPr>
                <w:rFonts w:ascii="Times New Roman"/>
                <w:color w:val="auto"/>
                <w:sz w:val="20"/>
                <w:szCs w:val="20"/>
              </w:rPr>
            </w:pPr>
          </w:p>
        </w:tc>
        <w:tc>
          <w:tcPr>
            <w:tcW w:w="895" w:type="pct"/>
          </w:tcPr>
          <w:p w14:paraId="234CA071" w14:textId="77777777" w:rsidR="002F4B12" w:rsidRPr="00B0658A" w:rsidRDefault="002F4B12" w:rsidP="000A4114">
            <w:pPr>
              <w:spacing w:after="0" w:line="240" w:lineRule="auto"/>
              <w:jc w:val="both"/>
              <w:rPr>
                <w:rFonts w:ascii="Times New Roman"/>
                <w:color w:val="auto"/>
                <w:sz w:val="20"/>
                <w:szCs w:val="20"/>
              </w:rPr>
            </w:pPr>
          </w:p>
        </w:tc>
        <w:tc>
          <w:tcPr>
            <w:tcW w:w="873" w:type="pct"/>
          </w:tcPr>
          <w:p w14:paraId="4DB3D076" w14:textId="77777777" w:rsidR="002F4B12" w:rsidRPr="00B0658A" w:rsidRDefault="002F4B12" w:rsidP="000A4114">
            <w:pPr>
              <w:spacing w:after="0" w:line="240" w:lineRule="auto"/>
              <w:jc w:val="both"/>
              <w:rPr>
                <w:rFonts w:ascii="Times New Roman"/>
                <w:color w:val="auto"/>
                <w:sz w:val="20"/>
                <w:szCs w:val="20"/>
              </w:rPr>
            </w:pPr>
          </w:p>
        </w:tc>
        <w:tc>
          <w:tcPr>
            <w:tcW w:w="1139" w:type="pct"/>
          </w:tcPr>
          <w:p w14:paraId="06512EAA" w14:textId="77777777" w:rsidR="002F4B12" w:rsidRPr="00B0658A" w:rsidRDefault="002F4B12" w:rsidP="000A4114">
            <w:pPr>
              <w:spacing w:after="0" w:line="240" w:lineRule="auto"/>
              <w:jc w:val="both"/>
              <w:rPr>
                <w:rFonts w:ascii="Times New Roman"/>
                <w:color w:val="auto"/>
                <w:sz w:val="20"/>
                <w:szCs w:val="20"/>
              </w:rPr>
            </w:pPr>
          </w:p>
        </w:tc>
      </w:tr>
      <w:tr w:rsidR="00F52FED" w:rsidRPr="00B0658A" w14:paraId="7096EAB1" w14:textId="77777777" w:rsidTr="004F1366">
        <w:tc>
          <w:tcPr>
            <w:tcW w:w="5000" w:type="pct"/>
            <w:gridSpan w:val="6"/>
          </w:tcPr>
          <w:p w14:paraId="5960C5F3" w14:textId="77777777" w:rsidR="002F4B12" w:rsidRPr="00B0658A" w:rsidRDefault="002F4B12" w:rsidP="000A4114">
            <w:pPr>
              <w:spacing w:after="0" w:line="240" w:lineRule="auto"/>
              <w:rPr>
                <w:rFonts w:ascii="Times New Roman"/>
                <w:color w:val="auto"/>
                <w:sz w:val="20"/>
                <w:szCs w:val="20"/>
              </w:rPr>
            </w:pPr>
            <w:r w:rsidRPr="00B0658A">
              <w:rPr>
                <w:rFonts w:ascii="Times New Roman"/>
                <w:b/>
                <w:color w:val="auto"/>
                <w:sz w:val="20"/>
                <w:szCs w:val="20"/>
              </w:rPr>
              <w:t>N. Мероприятия в отношении ________ (наименование значимого объекта КИИ №N)</w:t>
            </w:r>
          </w:p>
        </w:tc>
      </w:tr>
      <w:tr w:rsidR="00F52FED" w:rsidRPr="00B0658A" w14:paraId="0182FA8A" w14:textId="77777777" w:rsidTr="004F1366">
        <w:tc>
          <w:tcPr>
            <w:tcW w:w="184" w:type="pct"/>
          </w:tcPr>
          <w:p w14:paraId="68B68C53" w14:textId="77777777" w:rsidR="002F4B12" w:rsidRPr="00B0658A" w:rsidRDefault="002F4B12" w:rsidP="000A4114">
            <w:pPr>
              <w:spacing w:after="0" w:line="240" w:lineRule="auto"/>
              <w:jc w:val="both"/>
              <w:rPr>
                <w:rFonts w:ascii="Times New Roman"/>
                <w:color w:val="auto"/>
                <w:sz w:val="20"/>
                <w:szCs w:val="20"/>
                <w:lang w:val="en-US"/>
              </w:rPr>
            </w:pPr>
            <w:r w:rsidRPr="00B0658A">
              <w:rPr>
                <w:rFonts w:ascii="Times New Roman"/>
                <w:color w:val="auto"/>
                <w:sz w:val="20"/>
                <w:szCs w:val="20"/>
                <w:lang w:val="en-US"/>
              </w:rPr>
              <w:t>N.1</w:t>
            </w:r>
          </w:p>
        </w:tc>
        <w:tc>
          <w:tcPr>
            <w:tcW w:w="1023" w:type="pct"/>
          </w:tcPr>
          <w:p w14:paraId="3E322817" w14:textId="77777777" w:rsidR="002F4B12" w:rsidRPr="00B0658A" w:rsidRDefault="002F4B12" w:rsidP="000A4114">
            <w:pPr>
              <w:spacing w:after="0" w:line="240" w:lineRule="auto"/>
              <w:jc w:val="both"/>
              <w:rPr>
                <w:rFonts w:ascii="Times New Roman"/>
                <w:color w:val="auto"/>
                <w:sz w:val="20"/>
                <w:szCs w:val="20"/>
              </w:rPr>
            </w:pPr>
          </w:p>
        </w:tc>
        <w:tc>
          <w:tcPr>
            <w:tcW w:w="886" w:type="pct"/>
          </w:tcPr>
          <w:p w14:paraId="2538CF53" w14:textId="77777777" w:rsidR="002F4B12" w:rsidRPr="00B0658A" w:rsidRDefault="002F4B12" w:rsidP="000A4114">
            <w:pPr>
              <w:spacing w:after="0" w:line="240" w:lineRule="auto"/>
              <w:jc w:val="both"/>
              <w:rPr>
                <w:rFonts w:ascii="Times New Roman"/>
                <w:color w:val="auto"/>
                <w:sz w:val="20"/>
                <w:szCs w:val="20"/>
              </w:rPr>
            </w:pPr>
          </w:p>
        </w:tc>
        <w:tc>
          <w:tcPr>
            <w:tcW w:w="895" w:type="pct"/>
          </w:tcPr>
          <w:p w14:paraId="0F767C3F" w14:textId="77777777" w:rsidR="002F4B12" w:rsidRPr="00B0658A" w:rsidRDefault="002F4B12" w:rsidP="000A4114">
            <w:pPr>
              <w:spacing w:after="0" w:line="240" w:lineRule="auto"/>
              <w:jc w:val="both"/>
              <w:rPr>
                <w:rFonts w:ascii="Times New Roman"/>
                <w:color w:val="auto"/>
                <w:sz w:val="20"/>
                <w:szCs w:val="20"/>
              </w:rPr>
            </w:pPr>
          </w:p>
        </w:tc>
        <w:tc>
          <w:tcPr>
            <w:tcW w:w="873" w:type="pct"/>
          </w:tcPr>
          <w:p w14:paraId="4F892F3D" w14:textId="77777777" w:rsidR="002F4B12" w:rsidRPr="00B0658A" w:rsidRDefault="002F4B12" w:rsidP="000A4114">
            <w:pPr>
              <w:spacing w:after="0" w:line="240" w:lineRule="auto"/>
              <w:jc w:val="both"/>
              <w:rPr>
                <w:rFonts w:ascii="Times New Roman"/>
                <w:color w:val="auto"/>
                <w:sz w:val="20"/>
                <w:szCs w:val="20"/>
              </w:rPr>
            </w:pPr>
          </w:p>
        </w:tc>
        <w:tc>
          <w:tcPr>
            <w:tcW w:w="1139" w:type="pct"/>
          </w:tcPr>
          <w:p w14:paraId="5CE61365" w14:textId="77777777" w:rsidR="002F4B12" w:rsidRPr="00B0658A" w:rsidRDefault="002F4B12" w:rsidP="000A4114">
            <w:pPr>
              <w:spacing w:after="0" w:line="240" w:lineRule="auto"/>
              <w:jc w:val="both"/>
              <w:rPr>
                <w:rFonts w:ascii="Times New Roman"/>
                <w:color w:val="auto"/>
                <w:sz w:val="20"/>
                <w:szCs w:val="20"/>
              </w:rPr>
            </w:pPr>
          </w:p>
        </w:tc>
      </w:tr>
      <w:tr w:rsidR="00F52FED" w:rsidRPr="00B0658A" w14:paraId="05572DDB" w14:textId="77777777" w:rsidTr="004F1366">
        <w:tc>
          <w:tcPr>
            <w:tcW w:w="184" w:type="pct"/>
          </w:tcPr>
          <w:p w14:paraId="18D22261" w14:textId="77777777" w:rsidR="002F4B12" w:rsidRPr="00B0658A" w:rsidRDefault="002F4B12" w:rsidP="000A4114">
            <w:pPr>
              <w:spacing w:after="0" w:line="240" w:lineRule="auto"/>
              <w:jc w:val="both"/>
              <w:rPr>
                <w:rFonts w:ascii="Times New Roman"/>
                <w:color w:val="auto"/>
                <w:sz w:val="20"/>
                <w:szCs w:val="20"/>
                <w:lang w:val="en-US"/>
              </w:rPr>
            </w:pPr>
            <w:r w:rsidRPr="00B0658A">
              <w:rPr>
                <w:rFonts w:ascii="Times New Roman"/>
                <w:color w:val="auto"/>
                <w:sz w:val="20"/>
                <w:szCs w:val="20"/>
                <w:lang w:val="en-US"/>
              </w:rPr>
              <w:t>N.2</w:t>
            </w:r>
          </w:p>
        </w:tc>
        <w:tc>
          <w:tcPr>
            <w:tcW w:w="1023" w:type="pct"/>
          </w:tcPr>
          <w:p w14:paraId="507D9717" w14:textId="77777777" w:rsidR="002F4B12" w:rsidRPr="00B0658A" w:rsidRDefault="002F4B12" w:rsidP="000A4114">
            <w:pPr>
              <w:spacing w:after="0" w:line="240" w:lineRule="auto"/>
              <w:jc w:val="both"/>
              <w:rPr>
                <w:rFonts w:ascii="Times New Roman"/>
                <w:color w:val="auto"/>
                <w:sz w:val="20"/>
                <w:szCs w:val="20"/>
              </w:rPr>
            </w:pPr>
          </w:p>
        </w:tc>
        <w:tc>
          <w:tcPr>
            <w:tcW w:w="886" w:type="pct"/>
          </w:tcPr>
          <w:p w14:paraId="7D1A2701" w14:textId="77777777" w:rsidR="002F4B12" w:rsidRPr="00B0658A" w:rsidRDefault="002F4B12" w:rsidP="000A4114">
            <w:pPr>
              <w:spacing w:after="0" w:line="240" w:lineRule="auto"/>
              <w:jc w:val="both"/>
              <w:rPr>
                <w:rFonts w:ascii="Times New Roman"/>
                <w:color w:val="auto"/>
                <w:sz w:val="20"/>
                <w:szCs w:val="20"/>
              </w:rPr>
            </w:pPr>
          </w:p>
        </w:tc>
        <w:tc>
          <w:tcPr>
            <w:tcW w:w="895" w:type="pct"/>
          </w:tcPr>
          <w:p w14:paraId="6F574B32" w14:textId="77777777" w:rsidR="002F4B12" w:rsidRPr="00B0658A" w:rsidRDefault="002F4B12" w:rsidP="000A4114">
            <w:pPr>
              <w:spacing w:after="0" w:line="240" w:lineRule="auto"/>
              <w:jc w:val="both"/>
              <w:rPr>
                <w:rFonts w:ascii="Times New Roman"/>
                <w:color w:val="auto"/>
                <w:sz w:val="20"/>
                <w:szCs w:val="20"/>
              </w:rPr>
            </w:pPr>
          </w:p>
        </w:tc>
        <w:tc>
          <w:tcPr>
            <w:tcW w:w="873" w:type="pct"/>
          </w:tcPr>
          <w:p w14:paraId="02ECA47F" w14:textId="77777777" w:rsidR="002F4B12" w:rsidRPr="00B0658A" w:rsidRDefault="002F4B12" w:rsidP="000A4114">
            <w:pPr>
              <w:spacing w:after="0" w:line="240" w:lineRule="auto"/>
              <w:jc w:val="both"/>
              <w:rPr>
                <w:rFonts w:ascii="Times New Roman"/>
                <w:color w:val="auto"/>
                <w:sz w:val="20"/>
                <w:szCs w:val="20"/>
              </w:rPr>
            </w:pPr>
          </w:p>
        </w:tc>
        <w:tc>
          <w:tcPr>
            <w:tcW w:w="1139" w:type="pct"/>
          </w:tcPr>
          <w:p w14:paraId="4B6F3BD5" w14:textId="77777777" w:rsidR="002F4B12" w:rsidRPr="00B0658A" w:rsidRDefault="002F4B12" w:rsidP="000A4114">
            <w:pPr>
              <w:spacing w:after="0" w:line="240" w:lineRule="auto"/>
              <w:jc w:val="both"/>
              <w:rPr>
                <w:rFonts w:ascii="Times New Roman"/>
                <w:color w:val="auto"/>
                <w:sz w:val="20"/>
                <w:szCs w:val="20"/>
              </w:rPr>
            </w:pPr>
          </w:p>
        </w:tc>
      </w:tr>
      <w:tr w:rsidR="00F52FED" w:rsidRPr="00B0658A" w14:paraId="7B839A52" w14:textId="77777777" w:rsidTr="004F1366">
        <w:tc>
          <w:tcPr>
            <w:tcW w:w="184" w:type="pct"/>
          </w:tcPr>
          <w:p w14:paraId="7C86DC02" w14:textId="77777777" w:rsidR="002F4B12" w:rsidRPr="00B0658A" w:rsidRDefault="002F4B12" w:rsidP="000A4114">
            <w:pPr>
              <w:spacing w:after="0" w:line="240" w:lineRule="auto"/>
              <w:jc w:val="both"/>
              <w:rPr>
                <w:rFonts w:ascii="Times New Roman"/>
                <w:color w:val="auto"/>
                <w:sz w:val="20"/>
                <w:szCs w:val="20"/>
                <w:lang w:val="en-US"/>
              </w:rPr>
            </w:pPr>
            <w:r w:rsidRPr="00B0658A">
              <w:rPr>
                <w:rFonts w:ascii="Times New Roman"/>
                <w:color w:val="auto"/>
                <w:sz w:val="20"/>
                <w:szCs w:val="20"/>
                <w:lang w:val="en-US"/>
              </w:rPr>
              <w:t>…</w:t>
            </w:r>
          </w:p>
        </w:tc>
        <w:tc>
          <w:tcPr>
            <w:tcW w:w="1023" w:type="pct"/>
          </w:tcPr>
          <w:p w14:paraId="5CB3346F" w14:textId="77777777" w:rsidR="002F4B12" w:rsidRPr="00B0658A" w:rsidRDefault="002F4B12" w:rsidP="000A4114">
            <w:pPr>
              <w:spacing w:after="0" w:line="240" w:lineRule="auto"/>
              <w:jc w:val="both"/>
              <w:rPr>
                <w:rFonts w:ascii="Times New Roman"/>
                <w:color w:val="auto"/>
                <w:sz w:val="20"/>
                <w:szCs w:val="20"/>
              </w:rPr>
            </w:pPr>
          </w:p>
        </w:tc>
        <w:tc>
          <w:tcPr>
            <w:tcW w:w="886" w:type="pct"/>
          </w:tcPr>
          <w:p w14:paraId="61EF5BF7" w14:textId="77777777" w:rsidR="002F4B12" w:rsidRPr="00B0658A" w:rsidRDefault="002F4B12" w:rsidP="000A4114">
            <w:pPr>
              <w:spacing w:after="0" w:line="240" w:lineRule="auto"/>
              <w:jc w:val="both"/>
              <w:rPr>
                <w:rFonts w:ascii="Times New Roman"/>
                <w:color w:val="auto"/>
                <w:sz w:val="20"/>
                <w:szCs w:val="20"/>
              </w:rPr>
            </w:pPr>
          </w:p>
        </w:tc>
        <w:tc>
          <w:tcPr>
            <w:tcW w:w="895" w:type="pct"/>
          </w:tcPr>
          <w:p w14:paraId="36A8042C" w14:textId="77777777" w:rsidR="002F4B12" w:rsidRPr="00B0658A" w:rsidRDefault="002F4B12" w:rsidP="000A4114">
            <w:pPr>
              <w:spacing w:after="0" w:line="240" w:lineRule="auto"/>
              <w:jc w:val="both"/>
              <w:rPr>
                <w:rFonts w:ascii="Times New Roman"/>
                <w:color w:val="auto"/>
                <w:sz w:val="20"/>
                <w:szCs w:val="20"/>
              </w:rPr>
            </w:pPr>
          </w:p>
        </w:tc>
        <w:tc>
          <w:tcPr>
            <w:tcW w:w="873" w:type="pct"/>
          </w:tcPr>
          <w:p w14:paraId="66B4E5F9" w14:textId="77777777" w:rsidR="002F4B12" w:rsidRPr="00B0658A" w:rsidRDefault="002F4B12" w:rsidP="000A4114">
            <w:pPr>
              <w:spacing w:after="0" w:line="240" w:lineRule="auto"/>
              <w:jc w:val="both"/>
              <w:rPr>
                <w:rFonts w:ascii="Times New Roman"/>
                <w:color w:val="auto"/>
                <w:sz w:val="20"/>
                <w:szCs w:val="20"/>
              </w:rPr>
            </w:pPr>
          </w:p>
        </w:tc>
        <w:tc>
          <w:tcPr>
            <w:tcW w:w="1139" w:type="pct"/>
          </w:tcPr>
          <w:p w14:paraId="44E76111" w14:textId="77777777" w:rsidR="002F4B12" w:rsidRPr="00B0658A" w:rsidRDefault="002F4B12" w:rsidP="000A4114">
            <w:pPr>
              <w:spacing w:after="0" w:line="240" w:lineRule="auto"/>
              <w:jc w:val="both"/>
              <w:rPr>
                <w:rFonts w:ascii="Times New Roman"/>
                <w:color w:val="auto"/>
                <w:sz w:val="20"/>
                <w:szCs w:val="20"/>
              </w:rPr>
            </w:pPr>
          </w:p>
        </w:tc>
      </w:tr>
      <w:tr w:rsidR="002F4B12" w:rsidRPr="00B0658A" w14:paraId="434121DE" w14:textId="77777777" w:rsidTr="004F1366">
        <w:tc>
          <w:tcPr>
            <w:tcW w:w="184" w:type="pct"/>
          </w:tcPr>
          <w:p w14:paraId="02C43121" w14:textId="77777777" w:rsidR="002F4B12" w:rsidRPr="00B0658A" w:rsidRDefault="002F4B12" w:rsidP="000A4114">
            <w:pPr>
              <w:spacing w:after="0" w:line="240" w:lineRule="auto"/>
              <w:jc w:val="both"/>
              <w:rPr>
                <w:rFonts w:ascii="Times New Roman"/>
                <w:color w:val="auto"/>
                <w:sz w:val="20"/>
                <w:szCs w:val="20"/>
                <w:lang w:val="en-US"/>
              </w:rPr>
            </w:pPr>
            <w:r w:rsidRPr="00B0658A">
              <w:rPr>
                <w:rFonts w:ascii="Times New Roman"/>
                <w:color w:val="auto"/>
                <w:sz w:val="20"/>
                <w:szCs w:val="20"/>
                <w:lang w:val="en-US"/>
              </w:rPr>
              <w:t>N.n</w:t>
            </w:r>
          </w:p>
        </w:tc>
        <w:tc>
          <w:tcPr>
            <w:tcW w:w="1023" w:type="pct"/>
          </w:tcPr>
          <w:p w14:paraId="3B9D83D9" w14:textId="77777777" w:rsidR="002F4B12" w:rsidRPr="00B0658A" w:rsidRDefault="002F4B12" w:rsidP="000A4114">
            <w:pPr>
              <w:spacing w:after="0" w:line="240" w:lineRule="auto"/>
              <w:jc w:val="both"/>
              <w:rPr>
                <w:rFonts w:ascii="Times New Roman"/>
                <w:color w:val="auto"/>
                <w:sz w:val="20"/>
                <w:szCs w:val="20"/>
              </w:rPr>
            </w:pPr>
          </w:p>
        </w:tc>
        <w:tc>
          <w:tcPr>
            <w:tcW w:w="886" w:type="pct"/>
          </w:tcPr>
          <w:p w14:paraId="24D7F2E7" w14:textId="77777777" w:rsidR="002F4B12" w:rsidRPr="00B0658A" w:rsidRDefault="002F4B12" w:rsidP="000A4114">
            <w:pPr>
              <w:spacing w:after="0" w:line="240" w:lineRule="auto"/>
              <w:jc w:val="both"/>
              <w:rPr>
                <w:rFonts w:ascii="Times New Roman"/>
                <w:color w:val="auto"/>
                <w:sz w:val="20"/>
                <w:szCs w:val="20"/>
              </w:rPr>
            </w:pPr>
          </w:p>
        </w:tc>
        <w:tc>
          <w:tcPr>
            <w:tcW w:w="895" w:type="pct"/>
          </w:tcPr>
          <w:p w14:paraId="0B8E54F3" w14:textId="77777777" w:rsidR="002F4B12" w:rsidRPr="00B0658A" w:rsidRDefault="002F4B12" w:rsidP="000A4114">
            <w:pPr>
              <w:spacing w:after="0" w:line="240" w:lineRule="auto"/>
              <w:jc w:val="both"/>
              <w:rPr>
                <w:rFonts w:ascii="Times New Roman"/>
                <w:color w:val="auto"/>
                <w:sz w:val="20"/>
                <w:szCs w:val="20"/>
              </w:rPr>
            </w:pPr>
          </w:p>
        </w:tc>
        <w:tc>
          <w:tcPr>
            <w:tcW w:w="873" w:type="pct"/>
          </w:tcPr>
          <w:p w14:paraId="6E5D9743" w14:textId="77777777" w:rsidR="002F4B12" w:rsidRPr="00B0658A" w:rsidRDefault="002F4B12" w:rsidP="000A4114">
            <w:pPr>
              <w:spacing w:after="0" w:line="240" w:lineRule="auto"/>
              <w:jc w:val="both"/>
              <w:rPr>
                <w:rFonts w:ascii="Times New Roman"/>
                <w:color w:val="auto"/>
                <w:sz w:val="20"/>
                <w:szCs w:val="20"/>
              </w:rPr>
            </w:pPr>
          </w:p>
        </w:tc>
        <w:tc>
          <w:tcPr>
            <w:tcW w:w="1139" w:type="pct"/>
          </w:tcPr>
          <w:p w14:paraId="1780CCE5" w14:textId="77777777" w:rsidR="002F4B12" w:rsidRPr="00B0658A" w:rsidRDefault="002F4B12" w:rsidP="000A4114">
            <w:pPr>
              <w:spacing w:after="0" w:line="240" w:lineRule="auto"/>
              <w:jc w:val="both"/>
              <w:rPr>
                <w:rFonts w:ascii="Times New Roman"/>
                <w:color w:val="auto"/>
                <w:sz w:val="20"/>
                <w:szCs w:val="20"/>
              </w:rPr>
            </w:pPr>
          </w:p>
        </w:tc>
      </w:tr>
    </w:tbl>
    <w:p w14:paraId="34BD0FBA" w14:textId="77777777" w:rsidR="008319FB" w:rsidRPr="00B0658A" w:rsidRDefault="008319FB" w:rsidP="008319FB">
      <w:pPr>
        <w:spacing w:line="240" w:lineRule="auto"/>
        <w:ind w:firstLine="709"/>
        <w:jc w:val="both"/>
        <w:rPr>
          <w:rFonts w:ascii="Times New Roman" w:hAnsi="Times New Roman"/>
          <w:highlight w:val="yellow"/>
        </w:rPr>
      </w:pPr>
    </w:p>
    <w:p w14:paraId="54111063" w14:textId="77777777" w:rsidR="00921285" w:rsidRDefault="00921285">
      <w:pPr>
        <w:spacing w:after="0" w:line="240" w:lineRule="auto"/>
        <w:rPr>
          <w:rFonts w:ascii="Times New Roman" w:hAnsi="Times New Roman"/>
          <w:b/>
          <w:sz w:val="28"/>
          <w:szCs w:val="28"/>
        </w:rPr>
      </w:pPr>
      <w:r>
        <w:rPr>
          <w:rFonts w:ascii="Times New Roman" w:hAnsi="Times New Roman"/>
          <w:b/>
          <w:sz w:val="28"/>
          <w:szCs w:val="28"/>
        </w:rPr>
        <w:br w:type="page"/>
      </w:r>
    </w:p>
    <w:p w14:paraId="2DAE7A30" w14:textId="77777777" w:rsidR="008319FB" w:rsidRPr="00B0658A" w:rsidRDefault="008319FB" w:rsidP="00FB2975">
      <w:pPr>
        <w:rPr>
          <w:rFonts w:ascii="Times New Roman" w:hAnsi="Times New Roman"/>
          <w:b/>
          <w:sz w:val="28"/>
          <w:szCs w:val="28"/>
        </w:rPr>
      </w:pPr>
      <w:r w:rsidRPr="00B0658A">
        <w:rPr>
          <w:rFonts w:ascii="Times New Roman" w:hAnsi="Times New Roman"/>
          <w:b/>
          <w:sz w:val="28"/>
          <w:szCs w:val="28"/>
        </w:rPr>
        <w:t>Форма отчетности за годовой период</w:t>
      </w:r>
    </w:p>
    <w:p w14:paraId="19923D36" w14:textId="77777777" w:rsidR="004559C7" w:rsidRPr="00B0658A" w:rsidRDefault="004559C7" w:rsidP="004559C7">
      <w:pPr>
        <w:pStyle w:val="ConsPlusNormal"/>
        <w:spacing w:before="120"/>
        <w:jc w:val="center"/>
        <w:rPr>
          <w:sz w:val="32"/>
        </w:rPr>
      </w:pPr>
      <w:r w:rsidRPr="00B0658A">
        <w:rPr>
          <w:sz w:val="32"/>
        </w:rPr>
        <w:t xml:space="preserve">Сведения о реализации детализированного плана перехода ______________ (полное наименование </w:t>
      </w:r>
      <w:r w:rsidRPr="00B0658A">
        <w:rPr>
          <w:sz w:val="32"/>
          <w:szCs w:val="28"/>
        </w:rPr>
        <w:t xml:space="preserve">иной организации) на использование российского </w:t>
      </w:r>
      <w:r w:rsidRPr="00B0658A">
        <w:rPr>
          <w:sz w:val="32"/>
        </w:rPr>
        <w:t xml:space="preserve">ПО на принадлежащих </w:t>
      </w:r>
      <w:r w:rsidRPr="00B0658A">
        <w:rPr>
          <w:sz w:val="32"/>
          <w:szCs w:val="28"/>
        </w:rPr>
        <w:t>иной организации</w:t>
      </w:r>
      <w:r w:rsidRPr="00B0658A">
        <w:rPr>
          <w:sz w:val="32"/>
        </w:rPr>
        <w:t xml:space="preserve"> значимых объектах КИИ</w:t>
      </w:r>
      <w:r w:rsidRPr="00B0658A">
        <w:rPr>
          <w:sz w:val="32"/>
          <w:szCs w:val="28"/>
        </w:rPr>
        <w:t xml:space="preserve"> </w:t>
      </w:r>
      <w:r w:rsidRPr="00B0658A">
        <w:rPr>
          <w:sz w:val="32"/>
        </w:rPr>
        <w:t xml:space="preserve">на период 2022-2024 годы за </w:t>
      </w:r>
      <w:r w:rsidRPr="00B0658A">
        <w:rPr>
          <w:sz w:val="32"/>
          <w:szCs w:val="28"/>
        </w:rPr>
        <w:t xml:space="preserve"> ______ год</w:t>
      </w:r>
    </w:p>
    <w:p w14:paraId="1A42F5D2" w14:textId="77777777" w:rsidR="004559C7" w:rsidRPr="00B0658A" w:rsidRDefault="004559C7" w:rsidP="004559C7">
      <w:pPr>
        <w:rPr>
          <w:rFonts w:ascii="Times New Roman" w:hAnsi="Times New Roman"/>
        </w:rPr>
      </w:pPr>
    </w:p>
    <w:p w14:paraId="15DD2B6B" w14:textId="77777777" w:rsidR="004F1366" w:rsidRPr="00B0658A" w:rsidRDefault="004F1366" w:rsidP="004F1366">
      <w:pPr>
        <w:pStyle w:val="afd"/>
        <w:spacing w:line="240" w:lineRule="auto"/>
        <w:ind w:left="0" w:firstLine="709"/>
        <w:jc w:val="both"/>
        <w:rPr>
          <w:rFonts w:ascii="Times New Roman" w:hAnsi="Times New Roman"/>
          <w:sz w:val="28"/>
          <w:szCs w:val="28"/>
        </w:rPr>
      </w:pPr>
      <w:r w:rsidRPr="00B0658A">
        <w:rPr>
          <w:rFonts w:ascii="Times New Roman" w:hAnsi="Times New Roman"/>
          <w:sz w:val="28"/>
          <w:szCs w:val="28"/>
        </w:rPr>
        <w:t xml:space="preserve">1. Сведения о реализации мероприятий по переходу на использование российского ПО на принадлежащих _______ (полное наименование </w:t>
      </w:r>
      <w:r w:rsidR="004559C7" w:rsidRPr="00B0658A">
        <w:rPr>
          <w:rFonts w:ascii="Times New Roman" w:hAnsi="Times New Roman"/>
          <w:sz w:val="28"/>
          <w:szCs w:val="28"/>
        </w:rPr>
        <w:t>иной организации</w:t>
      </w:r>
      <w:r w:rsidRPr="00B0658A">
        <w:rPr>
          <w:rFonts w:ascii="Times New Roman" w:hAnsi="Times New Roman"/>
          <w:sz w:val="28"/>
          <w:szCs w:val="28"/>
        </w:rPr>
        <w:t>) значимых объектах КИИ</w:t>
      </w:r>
    </w:p>
    <w:tbl>
      <w:tblPr>
        <w:tblStyle w:val="32"/>
        <w:tblW w:w="5000" w:type="pct"/>
        <w:tblLook w:val="04A0" w:firstRow="1" w:lastRow="0" w:firstColumn="1" w:lastColumn="0" w:noHBand="0" w:noVBand="1"/>
      </w:tblPr>
      <w:tblGrid>
        <w:gridCol w:w="513"/>
        <w:gridCol w:w="2853"/>
        <w:gridCol w:w="2471"/>
        <w:gridCol w:w="2496"/>
        <w:gridCol w:w="2435"/>
        <w:gridCol w:w="3176"/>
      </w:tblGrid>
      <w:tr w:rsidR="00F52FED" w:rsidRPr="00B0658A" w14:paraId="64CB2CDE" w14:textId="77777777" w:rsidTr="00F57B1F">
        <w:trPr>
          <w:tblHeader/>
        </w:trPr>
        <w:tc>
          <w:tcPr>
            <w:tcW w:w="184" w:type="pct"/>
          </w:tcPr>
          <w:p w14:paraId="60D76F33" w14:textId="77777777" w:rsidR="004F1366" w:rsidRPr="00B0658A" w:rsidRDefault="004F1366" w:rsidP="000A4114">
            <w:pPr>
              <w:spacing w:after="0" w:line="240" w:lineRule="auto"/>
              <w:jc w:val="center"/>
              <w:rPr>
                <w:rFonts w:ascii="Times New Roman"/>
                <w:b/>
                <w:bCs/>
                <w:color w:val="auto"/>
                <w:sz w:val="20"/>
                <w:szCs w:val="20"/>
              </w:rPr>
            </w:pPr>
            <w:r w:rsidRPr="00B0658A">
              <w:rPr>
                <w:rFonts w:ascii="Times New Roman"/>
                <w:b/>
                <w:bCs/>
                <w:color w:val="auto"/>
                <w:sz w:val="20"/>
                <w:szCs w:val="20"/>
              </w:rPr>
              <w:t>№</w:t>
            </w:r>
          </w:p>
        </w:tc>
        <w:tc>
          <w:tcPr>
            <w:tcW w:w="1023" w:type="pct"/>
          </w:tcPr>
          <w:p w14:paraId="43D1F4BC" w14:textId="77777777" w:rsidR="004F1366" w:rsidRPr="00B0658A" w:rsidRDefault="004F1366" w:rsidP="000A4114">
            <w:pPr>
              <w:spacing w:after="0" w:line="240" w:lineRule="auto"/>
              <w:jc w:val="center"/>
              <w:rPr>
                <w:rFonts w:ascii="Times New Roman"/>
                <w:b/>
                <w:bCs/>
                <w:color w:val="auto"/>
                <w:sz w:val="20"/>
                <w:szCs w:val="20"/>
              </w:rPr>
            </w:pPr>
            <w:r w:rsidRPr="00B0658A">
              <w:rPr>
                <w:rFonts w:ascii="Times New Roman"/>
                <w:b/>
                <w:bCs/>
                <w:color w:val="auto"/>
                <w:sz w:val="20"/>
                <w:szCs w:val="20"/>
              </w:rPr>
              <w:t xml:space="preserve">Наименование мероприятия в соответствии с утвержденным детализированным планом </w:t>
            </w:r>
          </w:p>
        </w:tc>
        <w:tc>
          <w:tcPr>
            <w:tcW w:w="886" w:type="pct"/>
          </w:tcPr>
          <w:p w14:paraId="68A697C7" w14:textId="77777777" w:rsidR="004F1366" w:rsidRPr="00B0658A" w:rsidRDefault="004F1366" w:rsidP="000A4114">
            <w:pPr>
              <w:spacing w:after="0" w:line="240" w:lineRule="auto"/>
              <w:jc w:val="center"/>
              <w:rPr>
                <w:rFonts w:ascii="Times New Roman"/>
                <w:b/>
                <w:bCs/>
                <w:color w:val="auto"/>
                <w:sz w:val="20"/>
                <w:szCs w:val="20"/>
              </w:rPr>
            </w:pPr>
            <w:r w:rsidRPr="00B0658A">
              <w:rPr>
                <w:rFonts w:ascii="Times New Roman"/>
                <w:b/>
                <w:bCs/>
                <w:color w:val="auto"/>
                <w:sz w:val="20"/>
                <w:szCs w:val="20"/>
              </w:rPr>
              <w:t xml:space="preserve">Планируемый результат в соответствии с утвержденным детализированным планом </w:t>
            </w:r>
          </w:p>
        </w:tc>
        <w:tc>
          <w:tcPr>
            <w:tcW w:w="895" w:type="pct"/>
          </w:tcPr>
          <w:p w14:paraId="5A199212" w14:textId="77777777" w:rsidR="004F1366" w:rsidRPr="00B0658A" w:rsidRDefault="004F1366" w:rsidP="000A4114">
            <w:pPr>
              <w:spacing w:after="0" w:line="240" w:lineRule="auto"/>
              <w:jc w:val="center"/>
              <w:rPr>
                <w:rFonts w:ascii="Times New Roman"/>
                <w:b/>
                <w:bCs/>
                <w:color w:val="auto"/>
                <w:sz w:val="20"/>
                <w:szCs w:val="20"/>
              </w:rPr>
            </w:pPr>
            <w:r w:rsidRPr="00B0658A">
              <w:rPr>
                <w:rFonts w:ascii="Times New Roman"/>
                <w:b/>
                <w:bCs/>
                <w:color w:val="auto"/>
                <w:sz w:val="20"/>
                <w:szCs w:val="20"/>
              </w:rPr>
              <w:t>Сроки реализации запланированного мероприятия в соответствии с детализированным планом</w:t>
            </w:r>
          </w:p>
        </w:tc>
        <w:tc>
          <w:tcPr>
            <w:tcW w:w="873" w:type="pct"/>
          </w:tcPr>
          <w:p w14:paraId="2205A225" w14:textId="77777777" w:rsidR="004F1366" w:rsidRPr="00B0658A" w:rsidRDefault="004F1366" w:rsidP="000A4114">
            <w:pPr>
              <w:spacing w:after="0" w:line="240" w:lineRule="auto"/>
              <w:jc w:val="center"/>
              <w:rPr>
                <w:rFonts w:ascii="Times New Roman"/>
                <w:b/>
                <w:bCs/>
                <w:color w:val="auto"/>
                <w:sz w:val="20"/>
                <w:szCs w:val="20"/>
              </w:rPr>
            </w:pPr>
            <w:r w:rsidRPr="00B0658A">
              <w:rPr>
                <w:rFonts w:ascii="Times New Roman"/>
                <w:b/>
                <w:bCs/>
                <w:color w:val="auto"/>
                <w:sz w:val="20"/>
                <w:szCs w:val="20"/>
              </w:rPr>
              <w:t>Статус выполнения мероприятия</w:t>
            </w:r>
          </w:p>
        </w:tc>
        <w:tc>
          <w:tcPr>
            <w:tcW w:w="1139" w:type="pct"/>
          </w:tcPr>
          <w:p w14:paraId="4D2A249B" w14:textId="77777777" w:rsidR="004F1366" w:rsidRPr="00B0658A" w:rsidRDefault="004F1366" w:rsidP="000A4114">
            <w:pPr>
              <w:spacing w:after="0" w:line="240" w:lineRule="auto"/>
              <w:jc w:val="center"/>
              <w:rPr>
                <w:rFonts w:ascii="Times New Roman"/>
                <w:b/>
                <w:bCs/>
                <w:color w:val="auto"/>
                <w:sz w:val="20"/>
                <w:szCs w:val="20"/>
              </w:rPr>
            </w:pPr>
            <w:r w:rsidRPr="00B0658A">
              <w:rPr>
                <w:rFonts w:ascii="Times New Roman"/>
                <w:b/>
                <w:bCs/>
                <w:color w:val="auto"/>
                <w:sz w:val="20"/>
                <w:szCs w:val="20"/>
              </w:rPr>
              <w:t>Описание достигнутого фактического результата</w:t>
            </w:r>
          </w:p>
        </w:tc>
      </w:tr>
      <w:tr w:rsidR="00F52FED" w:rsidRPr="00B0658A" w14:paraId="4BA92FD2" w14:textId="77777777" w:rsidTr="004F1366">
        <w:tc>
          <w:tcPr>
            <w:tcW w:w="5000" w:type="pct"/>
            <w:gridSpan w:val="6"/>
            <w:vAlign w:val="center"/>
          </w:tcPr>
          <w:p w14:paraId="61852354" w14:textId="77777777" w:rsidR="004F1366" w:rsidRPr="00B0658A" w:rsidRDefault="004F1366" w:rsidP="000A4114">
            <w:pPr>
              <w:spacing w:after="0" w:line="240" w:lineRule="auto"/>
              <w:rPr>
                <w:rFonts w:ascii="Times New Roman"/>
                <w:b/>
                <w:i/>
                <w:iCs/>
                <w:color w:val="auto"/>
                <w:sz w:val="20"/>
                <w:szCs w:val="20"/>
              </w:rPr>
            </w:pPr>
            <w:r w:rsidRPr="00B0658A">
              <w:rPr>
                <w:rFonts w:ascii="Times New Roman"/>
                <w:b/>
                <w:color w:val="auto"/>
                <w:sz w:val="20"/>
                <w:szCs w:val="20"/>
              </w:rPr>
              <w:t>1. Мероприятия в отношении ________ (наименование значимого объекта КИИ №1)</w:t>
            </w:r>
          </w:p>
        </w:tc>
      </w:tr>
      <w:tr w:rsidR="00F52FED" w:rsidRPr="00B0658A" w14:paraId="5BB0C8F5" w14:textId="77777777" w:rsidTr="004F1366">
        <w:tc>
          <w:tcPr>
            <w:tcW w:w="184" w:type="pct"/>
          </w:tcPr>
          <w:p w14:paraId="349C711E" w14:textId="77777777" w:rsidR="004F1366" w:rsidRPr="00B0658A" w:rsidRDefault="004F1366" w:rsidP="000A4114">
            <w:pPr>
              <w:spacing w:after="0" w:line="240" w:lineRule="auto"/>
              <w:jc w:val="both"/>
              <w:rPr>
                <w:rFonts w:ascii="Times New Roman"/>
                <w:color w:val="auto"/>
                <w:sz w:val="20"/>
                <w:szCs w:val="20"/>
              </w:rPr>
            </w:pPr>
            <w:r w:rsidRPr="00B0658A">
              <w:rPr>
                <w:rFonts w:ascii="Times New Roman"/>
                <w:color w:val="auto"/>
                <w:sz w:val="20"/>
                <w:szCs w:val="20"/>
              </w:rPr>
              <w:t>1.1</w:t>
            </w:r>
          </w:p>
        </w:tc>
        <w:tc>
          <w:tcPr>
            <w:tcW w:w="1023" w:type="pct"/>
          </w:tcPr>
          <w:p w14:paraId="70AC5FF7" w14:textId="77777777" w:rsidR="004F1366" w:rsidRPr="00B0658A" w:rsidRDefault="004F1366" w:rsidP="000A4114">
            <w:pPr>
              <w:spacing w:after="0" w:line="240" w:lineRule="auto"/>
              <w:jc w:val="both"/>
              <w:rPr>
                <w:rFonts w:ascii="Times New Roman"/>
                <w:i/>
                <w:iCs/>
                <w:color w:val="auto"/>
                <w:sz w:val="20"/>
                <w:szCs w:val="20"/>
              </w:rPr>
            </w:pPr>
            <w:r w:rsidRPr="00B0658A">
              <w:rPr>
                <w:rFonts w:ascii="Times New Roman"/>
                <w:i/>
                <w:iCs/>
                <w:color w:val="auto"/>
                <w:sz w:val="20"/>
                <w:szCs w:val="20"/>
              </w:rPr>
              <w:t xml:space="preserve">Указывается наименование мероприятия в соответствии с утвержденным детализированным планом перехода на использование российского ПО на принадлежащих </w:t>
            </w:r>
            <w:r w:rsidR="004559C7" w:rsidRPr="00B0658A">
              <w:rPr>
                <w:rFonts w:ascii="Times New Roman"/>
                <w:i/>
                <w:iCs/>
                <w:color w:val="auto"/>
                <w:sz w:val="20"/>
                <w:szCs w:val="20"/>
              </w:rPr>
              <w:t xml:space="preserve">иной организации </w:t>
            </w:r>
            <w:r w:rsidRPr="00B0658A">
              <w:rPr>
                <w:rFonts w:ascii="Times New Roman"/>
                <w:i/>
                <w:iCs/>
                <w:color w:val="auto"/>
                <w:sz w:val="20"/>
                <w:szCs w:val="20"/>
              </w:rPr>
              <w:t>значимых объектах КИИ</w:t>
            </w:r>
          </w:p>
          <w:p w14:paraId="1FEA7F4B" w14:textId="77777777" w:rsidR="004F1366" w:rsidRPr="00B0658A" w:rsidRDefault="004F1366" w:rsidP="000A4114">
            <w:pPr>
              <w:pStyle w:val="ConsPlusNormal"/>
              <w:jc w:val="both"/>
              <w:rPr>
                <w:color w:val="auto"/>
                <w:sz w:val="20"/>
                <w:szCs w:val="20"/>
              </w:rPr>
            </w:pPr>
          </w:p>
          <w:p w14:paraId="02221DC4" w14:textId="77777777" w:rsidR="004F1366" w:rsidRPr="00B0658A" w:rsidRDefault="004F1366" w:rsidP="000A4114">
            <w:pPr>
              <w:spacing w:after="0" w:line="240" w:lineRule="auto"/>
              <w:jc w:val="both"/>
              <w:rPr>
                <w:rFonts w:ascii="Times New Roman"/>
                <w:i/>
                <w:iCs/>
                <w:color w:val="auto"/>
                <w:sz w:val="20"/>
                <w:szCs w:val="20"/>
              </w:rPr>
            </w:pPr>
          </w:p>
        </w:tc>
        <w:tc>
          <w:tcPr>
            <w:tcW w:w="886" w:type="pct"/>
          </w:tcPr>
          <w:p w14:paraId="71DCA08C" w14:textId="77777777" w:rsidR="004F1366" w:rsidRPr="00B0658A" w:rsidRDefault="004F1366" w:rsidP="000A4114">
            <w:pPr>
              <w:spacing w:after="0" w:line="240" w:lineRule="auto"/>
              <w:jc w:val="both"/>
              <w:rPr>
                <w:rFonts w:ascii="Times New Roman"/>
                <w:i/>
                <w:iCs/>
                <w:color w:val="auto"/>
                <w:sz w:val="20"/>
                <w:szCs w:val="20"/>
              </w:rPr>
            </w:pPr>
            <w:r w:rsidRPr="00B0658A">
              <w:rPr>
                <w:rFonts w:ascii="Times New Roman"/>
                <w:i/>
                <w:iCs/>
                <w:color w:val="auto"/>
                <w:sz w:val="20"/>
                <w:szCs w:val="20"/>
              </w:rPr>
              <w:t xml:space="preserve">Указывается запланированный результат в соответствии с утвержденным детализированным планом перехода на использование российского ПО на принадлежащих </w:t>
            </w:r>
            <w:r w:rsidR="004559C7" w:rsidRPr="00B0658A">
              <w:rPr>
                <w:rFonts w:ascii="Times New Roman"/>
                <w:i/>
                <w:iCs/>
                <w:color w:val="auto"/>
                <w:sz w:val="20"/>
                <w:szCs w:val="20"/>
              </w:rPr>
              <w:t xml:space="preserve">иной организации </w:t>
            </w:r>
            <w:r w:rsidRPr="00B0658A">
              <w:rPr>
                <w:rFonts w:ascii="Times New Roman"/>
                <w:i/>
                <w:iCs/>
                <w:color w:val="auto"/>
                <w:sz w:val="20"/>
                <w:szCs w:val="20"/>
              </w:rPr>
              <w:t>значимых объектах КИИ</w:t>
            </w:r>
          </w:p>
          <w:p w14:paraId="38080B7B" w14:textId="77777777" w:rsidR="004F1366" w:rsidRPr="00B0658A" w:rsidRDefault="004F1366" w:rsidP="000A4114">
            <w:pPr>
              <w:spacing w:after="0" w:line="240" w:lineRule="auto"/>
              <w:jc w:val="both"/>
              <w:rPr>
                <w:rFonts w:ascii="Times New Roman"/>
                <w:color w:val="auto"/>
                <w:sz w:val="20"/>
                <w:szCs w:val="20"/>
              </w:rPr>
            </w:pPr>
          </w:p>
        </w:tc>
        <w:tc>
          <w:tcPr>
            <w:tcW w:w="895" w:type="pct"/>
          </w:tcPr>
          <w:p w14:paraId="27AD3864" w14:textId="77777777" w:rsidR="004F1366" w:rsidRPr="00B0658A" w:rsidRDefault="004F1366" w:rsidP="000A4114">
            <w:pPr>
              <w:spacing w:after="0" w:line="240" w:lineRule="auto"/>
              <w:jc w:val="both"/>
              <w:rPr>
                <w:rFonts w:ascii="Times New Roman"/>
                <w:i/>
                <w:iCs/>
                <w:color w:val="auto"/>
                <w:sz w:val="20"/>
                <w:szCs w:val="20"/>
              </w:rPr>
            </w:pPr>
            <w:r w:rsidRPr="00B0658A">
              <w:rPr>
                <w:rFonts w:ascii="Times New Roman"/>
                <w:i/>
                <w:iCs/>
                <w:color w:val="auto"/>
                <w:sz w:val="20"/>
                <w:szCs w:val="20"/>
              </w:rPr>
              <w:t xml:space="preserve">Указывается срок реализации (период выполнения) в соответствии с утвержденным детализированным планом перехода на использование российского ПО на принадлежащих </w:t>
            </w:r>
            <w:r w:rsidR="004559C7" w:rsidRPr="00B0658A">
              <w:rPr>
                <w:rFonts w:ascii="Times New Roman"/>
                <w:i/>
                <w:iCs/>
                <w:color w:val="auto"/>
                <w:sz w:val="20"/>
                <w:szCs w:val="20"/>
              </w:rPr>
              <w:t xml:space="preserve">иной организации </w:t>
            </w:r>
            <w:r w:rsidRPr="00B0658A">
              <w:rPr>
                <w:rFonts w:ascii="Times New Roman"/>
                <w:i/>
                <w:iCs/>
                <w:color w:val="auto"/>
                <w:sz w:val="20"/>
                <w:szCs w:val="20"/>
              </w:rPr>
              <w:t>значимых объектах КИИ</w:t>
            </w:r>
          </w:p>
          <w:p w14:paraId="3B590B7A" w14:textId="77777777" w:rsidR="004F1366" w:rsidRPr="00B0658A" w:rsidRDefault="004F1366" w:rsidP="000A4114">
            <w:pPr>
              <w:spacing w:after="0" w:line="240" w:lineRule="auto"/>
              <w:jc w:val="both"/>
              <w:rPr>
                <w:rFonts w:ascii="Times New Roman"/>
                <w:i/>
                <w:iCs/>
                <w:color w:val="auto"/>
                <w:sz w:val="20"/>
                <w:szCs w:val="20"/>
              </w:rPr>
            </w:pPr>
          </w:p>
        </w:tc>
        <w:tc>
          <w:tcPr>
            <w:tcW w:w="873" w:type="pct"/>
          </w:tcPr>
          <w:p w14:paraId="621A152B" w14:textId="77777777" w:rsidR="004F1366" w:rsidRPr="00B0658A" w:rsidRDefault="004F1366" w:rsidP="000A4114">
            <w:pPr>
              <w:spacing w:after="0" w:line="240" w:lineRule="auto"/>
              <w:jc w:val="both"/>
              <w:rPr>
                <w:rFonts w:ascii="Times New Roman"/>
                <w:i/>
                <w:iCs/>
                <w:color w:val="auto"/>
                <w:sz w:val="20"/>
                <w:szCs w:val="20"/>
              </w:rPr>
            </w:pPr>
            <w:r w:rsidRPr="00B0658A">
              <w:rPr>
                <w:rFonts w:ascii="Times New Roman"/>
                <w:i/>
                <w:iCs/>
                <w:color w:val="auto"/>
                <w:sz w:val="20"/>
                <w:szCs w:val="20"/>
              </w:rPr>
              <w:t>Указывается статус: «выполнено» / «не выполнено».</w:t>
            </w:r>
          </w:p>
          <w:p w14:paraId="1DAB0843" w14:textId="77777777" w:rsidR="004F1366" w:rsidRPr="00B0658A" w:rsidRDefault="004F1366" w:rsidP="000A4114">
            <w:pPr>
              <w:spacing w:after="0" w:line="240" w:lineRule="auto"/>
              <w:jc w:val="both"/>
              <w:rPr>
                <w:rFonts w:ascii="Times New Roman"/>
                <w:color w:val="auto"/>
                <w:sz w:val="20"/>
                <w:szCs w:val="20"/>
              </w:rPr>
            </w:pPr>
            <w:r w:rsidRPr="00B0658A">
              <w:rPr>
                <w:rFonts w:ascii="Times New Roman"/>
                <w:i/>
                <w:iCs/>
                <w:color w:val="auto"/>
                <w:sz w:val="20"/>
                <w:szCs w:val="20"/>
              </w:rPr>
              <w:t>Если мероприятие выполнено частично, то указывается статус «не выполнено»</w:t>
            </w:r>
          </w:p>
        </w:tc>
        <w:tc>
          <w:tcPr>
            <w:tcW w:w="1139" w:type="pct"/>
          </w:tcPr>
          <w:p w14:paraId="4568AC8F" w14:textId="77777777" w:rsidR="004F1366" w:rsidRPr="00B0658A" w:rsidRDefault="004F1366" w:rsidP="000A4114">
            <w:pPr>
              <w:spacing w:after="0" w:line="240" w:lineRule="auto"/>
              <w:jc w:val="both"/>
              <w:rPr>
                <w:rFonts w:ascii="Times New Roman"/>
                <w:i/>
                <w:iCs/>
                <w:color w:val="auto"/>
                <w:sz w:val="20"/>
                <w:szCs w:val="20"/>
              </w:rPr>
            </w:pPr>
            <w:r w:rsidRPr="00B0658A">
              <w:rPr>
                <w:rFonts w:ascii="Times New Roman"/>
                <w:i/>
                <w:iCs/>
                <w:color w:val="auto"/>
                <w:sz w:val="20"/>
                <w:szCs w:val="20"/>
              </w:rPr>
              <w:t>Указывается достигнутый результат. В случае если мероприятие не было выполнено, либо результат выполнения мероприятия был достигнут не полностью, указываются причины невыполнения мероприятия (частичного выполнения мероприятия), а также срок, в который мероприятие будет реализовано и достигнут запланированный результат</w:t>
            </w:r>
          </w:p>
        </w:tc>
      </w:tr>
      <w:tr w:rsidR="00F52FED" w:rsidRPr="00B0658A" w14:paraId="66152ED1" w14:textId="77777777" w:rsidTr="004F1366">
        <w:tc>
          <w:tcPr>
            <w:tcW w:w="184" w:type="pct"/>
          </w:tcPr>
          <w:p w14:paraId="281A4522" w14:textId="77777777" w:rsidR="004F1366" w:rsidRPr="00B0658A" w:rsidRDefault="004F1366" w:rsidP="000A4114">
            <w:pPr>
              <w:spacing w:after="0" w:line="240" w:lineRule="auto"/>
              <w:jc w:val="both"/>
              <w:rPr>
                <w:rFonts w:ascii="Times New Roman"/>
                <w:color w:val="auto"/>
                <w:sz w:val="20"/>
                <w:szCs w:val="20"/>
              </w:rPr>
            </w:pPr>
            <w:r w:rsidRPr="00B0658A">
              <w:rPr>
                <w:rFonts w:ascii="Times New Roman"/>
                <w:color w:val="auto"/>
                <w:sz w:val="20"/>
                <w:szCs w:val="20"/>
              </w:rPr>
              <w:t>1.2</w:t>
            </w:r>
          </w:p>
        </w:tc>
        <w:tc>
          <w:tcPr>
            <w:tcW w:w="1023" w:type="pct"/>
          </w:tcPr>
          <w:p w14:paraId="12DAF2EF" w14:textId="77777777" w:rsidR="004F1366" w:rsidRPr="00B0658A" w:rsidRDefault="004F1366" w:rsidP="000A4114">
            <w:pPr>
              <w:spacing w:after="0" w:line="240" w:lineRule="auto"/>
              <w:jc w:val="both"/>
              <w:rPr>
                <w:rFonts w:ascii="Times New Roman"/>
                <w:color w:val="auto"/>
                <w:sz w:val="20"/>
                <w:szCs w:val="20"/>
              </w:rPr>
            </w:pPr>
          </w:p>
        </w:tc>
        <w:tc>
          <w:tcPr>
            <w:tcW w:w="886" w:type="pct"/>
          </w:tcPr>
          <w:p w14:paraId="74A67C89" w14:textId="77777777" w:rsidR="004F1366" w:rsidRPr="00B0658A" w:rsidRDefault="004F1366" w:rsidP="000A4114">
            <w:pPr>
              <w:spacing w:after="0" w:line="240" w:lineRule="auto"/>
              <w:jc w:val="both"/>
              <w:rPr>
                <w:rFonts w:ascii="Times New Roman"/>
                <w:color w:val="auto"/>
                <w:sz w:val="20"/>
                <w:szCs w:val="20"/>
              </w:rPr>
            </w:pPr>
          </w:p>
        </w:tc>
        <w:tc>
          <w:tcPr>
            <w:tcW w:w="895" w:type="pct"/>
          </w:tcPr>
          <w:p w14:paraId="32047913" w14:textId="77777777" w:rsidR="004F1366" w:rsidRPr="00B0658A" w:rsidRDefault="004F1366" w:rsidP="000A4114">
            <w:pPr>
              <w:spacing w:after="0" w:line="240" w:lineRule="auto"/>
              <w:jc w:val="both"/>
              <w:rPr>
                <w:rFonts w:ascii="Times New Roman"/>
                <w:color w:val="auto"/>
                <w:sz w:val="20"/>
                <w:szCs w:val="20"/>
              </w:rPr>
            </w:pPr>
          </w:p>
        </w:tc>
        <w:tc>
          <w:tcPr>
            <w:tcW w:w="873" w:type="pct"/>
          </w:tcPr>
          <w:p w14:paraId="70A5978E" w14:textId="77777777" w:rsidR="004F1366" w:rsidRPr="00B0658A" w:rsidRDefault="004F1366" w:rsidP="000A4114">
            <w:pPr>
              <w:spacing w:after="0" w:line="240" w:lineRule="auto"/>
              <w:jc w:val="both"/>
              <w:rPr>
                <w:rFonts w:ascii="Times New Roman"/>
                <w:color w:val="auto"/>
                <w:sz w:val="20"/>
                <w:szCs w:val="20"/>
              </w:rPr>
            </w:pPr>
          </w:p>
        </w:tc>
        <w:tc>
          <w:tcPr>
            <w:tcW w:w="1139" w:type="pct"/>
          </w:tcPr>
          <w:p w14:paraId="1BB411A2" w14:textId="77777777" w:rsidR="004F1366" w:rsidRPr="00B0658A" w:rsidRDefault="004F1366" w:rsidP="000A4114">
            <w:pPr>
              <w:spacing w:after="0" w:line="240" w:lineRule="auto"/>
              <w:jc w:val="both"/>
              <w:rPr>
                <w:rFonts w:ascii="Times New Roman"/>
                <w:color w:val="auto"/>
                <w:sz w:val="20"/>
                <w:szCs w:val="20"/>
              </w:rPr>
            </w:pPr>
          </w:p>
        </w:tc>
      </w:tr>
      <w:tr w:rsidR="00F52FED" w:rsidRPr="00B0658A" w14:paraId="1F354980" w14:textId="77777777" w:rsidTr="004F1366">
        <w:tc>
          <w:tcPr>
            <w:tcW w:w="184" w:type="pct"/>
          </w:tcPr>
          <w:p w14:paraId="55B20641" w14:textId="77777777" w:rsidR="004F1366" w:rsidRPr="00B0658A" w:rsidRDefault="004F1366" w:rsidP="000A4114">
            <w:pPr>
              <w:spacing w:after="0" w:line="240" w:lineRule="auto"/>
              <w:jc w:val="both"/>
              <w:rPr>
                <w:rFonts w:ascii="Times New Roman"/>
                <w:color w:val="auto"/>
                <w:sz w:val="20"/>
                <w:szCs w:val="20"/>
              </w:rPr>
            </w:pPr>
            <w:r w:rsidRPr="00B0658A">
              <w:rPr>
                <w:rFonts w:ascii="Times New Roman"/>
                <w:color w:val="auto"/>
                <w:sz w:val="20"/>
                <w:szCs w:val="20"/>
              </w:rPr>
              <w:t>…</w:t>
            </w:r>
          </w:p>
        </w:tc>
        <w:tc>
          <w:tcPr>
            <w:tcW w:w="1023" w:type="pct"/>
          </w:tcPr>
          <w:p w14:paraId="29A6CEE5" w14:textId="77777777" w:rsidR="004F1366" w:rsidRPr="00B0658A" w:rsidRDefault="004F1366" w:rsidP="000A4114">
            <w:pPr>
              <w:spacing w:after="0" w:line="240" w:lineRule="auto"/>
              <w:jc w:val="both"/>
              <w:rPr>
                <w:rFonts w:ascii="Times New Roman"/>
                <w:color w:val="auto"/>
                <w:sz w:val="20"/>
                <w:szCs w:val="20"/>
              </w:rPr>
            </w:pPr>
          </w:p>
        </w:tc>
        <w:tc>
          <w:tcPr>
            <w:tcW w:w="886" w:type="pct"/>
          </w:tcPr>
          <w:p w14:paraId="7F5BF484" w14:textId="77777777" w:rsidR="004F1366" w:rsidRPr="00B0658A" w:rsidRDefault="004F1366" w:rsidP="000A4114">
            <w:pPr>
              <w:spacing w:after="0" w:line="240" w:lineRule="auto"/>
              <w:jc w:val="both"/>
              <w:rPr>
                <w:rFonts w:ascii="Times New Roman"/>
                <w:color w:val="auto"/>
                <w:sz w:val="20"/>
                <w:szCs w:val="20"/>
              </w:rPr>
            </w:pPr>
          </w:p>
        </w:tc>
        <w:tc>
          <w:tcPr>
            <w:tcW w:w="895" w:type="pct"/>
          </w:tcPr>
          <w:p w14:paraId="05C0572E" w14:textId="77777777" w:rsidR="004F1366" w:rsidRPr="00B0658A" w:rsidRDefault="004F1366" w:rsidP="000A4114">
            <w:pPr>
              <w:spacing w:after="0" w:line="240" w:lineRule="auto"/>
              <w:jc w:val="both"/>
              <w:rPr>
                <w:rFonts w:ascii="Times New Roman"/>
                <w:color w:val="auto"/>
                <w:sz w:val="20"/>
                <w:szCs w:val="20"/>
              </w:rPr>
            </w:pPr>
          </w:p>
        </w:tc>
        <w:tc>
          <w:tcPr>
            <w:tcW w:w="873" w:type="pct"/>
          </w:tcPr>
          <w:p w14:paraId="3EDD307D" w14:textId="77777777" w:rsidR="004F1366" w:rsidRPr="00B0658A" w:rsidRDefault="004F1366" w:rsidP="000A4114">
            <w:pPr>
              <w:spacing w:after="0" w:line="240" w:lineRule="auto"/>
              <w:jc w:val="both"/>
              <w:rPr>
                <w:rFonts w:ascii="Times New Roman"/>
                <w:color w:val="auto"/>
                <w:sz w:val="20"/>
                <w:szCs w:val="20"/>
              </w:rPr>
            </w:pPr>
          </w:p>
        </w:tc>
        <w:tc>
          <w:tcPr>
            <w:tcW w:w="1139" w:type="pct"/>
          </w:tcPr>
          <w:p w14:paraId="469A0EC4" w14:textId="77777777" w:rsidR="004F1366" w:rsidRPr="00B0658A" w:rsidRDefault="004F1366" w:rsidP="000A4114">
            <w:pPr>
              <w:spacing w:after="0" w:line="240" w:lineRule="auto"/>
              <w:jc w:val="both"/>
              <w:rPr>
                <w:rFonts w:ascii="Times New Roman"/>
                <w:color w:val="auto"/>
                <w:sz w:val="20"/>
                <w:szCs w:val="20"/>
              </w:rPr>
            </w:pPr>
          </w:p>
        </w:tc>
      </w:tr>
      <w:tr w:rsidR="00F52FED" w:rsidRPr="00B0658A" w14:paraId="311D0E95" w14:textId="77777777" w:rsidTr="004F1366">
        <w:tc>
          <w:tcPr>
            <w:tcW w:w="184" w:type="pct"/>
          </w:tcPr>
          <w:p w14:paraId="5A51743D" w14:textId="77777777" w:rsidR="004F1366" w:rsidRPr="00B0658A" w:rsidRDefault="004F1366" w:rsidP="000A4114">
            <w:pPr>
              <w:spacing w:after="0" w:line="240" w:lineRule="auto"/>
              <w:jc w:val="both"/>
              <w:rPr>
                <w:rFonts w:ascii="Times New Roman"/>
                <w:color w:val="auto"/>
                <w:sz w:val="20"/>
                <w:szCs w:val="20"/>
              </w:rPr>
            </w:pPr>
            <w:r w:rsidRPr="00B0658A">
              <w:rPr>
                <w:rFonts w:ascii="Times New Roman"/>
                <w:color w:val="auto"/>
                <w:sz w:val="20"/>
                <w:szCs w:val="20"/>
                <w:lang w:val="en-US"/>
              </w:rPr>
              <w:t>1.n</w:t>
            </w:r>
          </w:p>
        </w:tc>
        <w:tc>
          <w:tcPr>
            <w:tcW w:w="1023" w:type="pct"/>
          </w:tcPr>
          <w:p w14:paraId="01E51F9B" w14:textId="77777777" w:rsidR="004F1366" w:rsidRPr="00B0658A" w:rsidRDefault="004F1366" w:rsidP="000A4114">
            <w:pPr>
              <w:spacing w:after="0" w:line="240" w:lineRule="auto"/>
              <w:jc w:val="both"/>
              <w:rPr>
                <w:rFonts w:ascii="Times New Roman"/>
                <w:color w:val="auto"/>
                <w:sz w:val="20"/>
                <w:szCs w:val="20"/>
              </w:rPr>
            </w:pPr>
          </w:p>
        </w:tc>
        <w:tc>
          <w:tcPr>
            <w:tcW w:w="886" w:type="pct"/>
          </w:tcPr>
          <w:p w14:paraId="4DFA2FCF" w14:textId="77777777" w:rsidR="004F1366" w:rsidRPr="00B0658A" w:rsidRDefault="004F1366" w:rsidP="000A4114">
            <w:pPr>
              <w:spacing w:after="0" w:line="240" w:lineRule="auto"/>
              <w:jc w:val="both"/>
              <w:rPr>
                <w:rFonts w:ascii="Times New Roman"/>
                <w:color w:val="auto"/>
                <w:sz w:val="20"/>
                <w:szCs w:val="20"/>
              </w:rPr>
            </w:pPr>
          </w:p>
        </w:tc>
        <w:tc>
          <w:tcPr>
            <w:tcW w:w="895" w:type="pct"/>
          </w:tcPr>
          <w:p w14:paraId="12090261" w14:textId="77777777" w:rsidR="004F1366" w:rsidRPr="00B0658A" w:rsidRDefault="004F1366" w:rsidP="000A4114">
            <w:pPr>
              <w:spacing w:after="0" w:line="240" w:lineRule="auto"/>
              <w:jc w:val="both"/>
              <w:rPr>
                <w:rFonts w:ascii="Times New Roman"/>
                <w:color w:val="auto"/>
                <w:sz w:val="20"/>
                <w:szCs w:val="20"/>
              </w:rPr>
            </w:pPr>
          </w:p>
        </w:tc>
        <w:tc>
          <w:tcPr>
            <w:tcW w:w="873" w:type="pct"/>
          </w:tcPr>
          <w:p w14:paraId="7EACF61C" w14:textId="77777777" w:rsidR="004F1366" w:rsidRPr="00B0658A" w:rsidRDefault="004F1366" w:rsidP="000A4114">
            <w:pPr>
              <w:spacing w:after="0" w:line="240" w:lineRule="auto"/>
              <w:jc w:val="both"/>
              <w:rPr>
                <w:rFonts w:ascii="Times New Roman"/>
                <w:color w:val="auto"/>
                <w:sz w:val="20"/>
                <w:szCs w:val="20"/>
              </w:rPr>
            </w:pPr>
          </w:p>
        </w:tc>
        <w:tc>
          <w:tcPr>
            <w:tcW w:w="1139" w:type="pct"/>
          </w:tcPr>
          <w:p w14:paraId="4C6A9D30" w14:textId="77777777" w:rsidR="004F1366" w:rsidRPr="00B0658A" w:rsidRDefault="004F1366" w:rsidP="000A4114">
            <w:pPr>
              <w:spacing w:after="0" w:line="240" w:lineRule="auto"/>
              <w:jc w:val="both"/>
              <w:rPr>
                <w:rFonts w:ascii="Times New Roman"/>
                <w:color w:val="auto"/>
                <w:sz w:val="20"/>
                <w:szCs w:val="20"/>
              </w:rPr>
            </w:pPr>
          </w:p>
        </w:tc>
      </w:tr>
      <w:tr w:rsidR="00F52FED" w:rsidRPr="00B0658A" w14:paraId="24B373EE" w14:textId="77777777" w:rsidTr="004F1366">
        <w:tc>
          <w:tcPr>
            <w:tcW w:w="5000" w:type="pct"/>
            <w:gridSpan w:val="6"/>
          </w:tcPr>
          <w:p w14:paraId="42C5434B" w14:textId="77777777" w:rsidR="004F1366" w:rsidRPr="00B0658A" w:rsidRDefault="004F1366" w:rsidP="000A4114">
            <w:pPr>
              <w:spacing w:after="0" w:line="240" w:lineRule="auto"/>
              <w:rPr>
                <w:rFonts w:ascii="Times New Roman"/>
                <w:color w:val="auto"/>
                <w:sz w:val="20"/>
                <w:szCs w:val="20"/>
              </w:rPr>
            </w:pPr>
            <w:r w:rsidRPr="00B0658A">
              <w:rPr>
                <w:rFonts w:ascii="Times New Roman"/>
                <w:b/>
                <w:color w:val="auto"/>
                <w:sz w:val="20"/>
                <w:szCs w:val="20"/>
              </w:rPr>
              <w:t>2. Мероприятия в отношении ________ (наименование значимого объекта КИИ №2)</w:t>
            </w:r>
          </w:p>
        </w:tc>
      </w:tr>
      <w:tr w:rsidR="00F52FED" w:rsidRPr="00B0658A" w14:paraId="2D20EB5D" w14:textId="77777777" w:rsidTr="004F1366">
        <w:tc>
          <w:tcPr>
            <w:tcW w:w="184" w:type="pct"/>
          </w:tcPr>
          <w:p w14:paraId="13734994" w14:textId="77777777" w:rsidR="004F1366" w:rsidRPr="00B0658A" w:rsidRDefault="004F1366" w:rsidP="000A4114">
            <w:pPr>
              <w:spacing w:after="0" w:line="240" w:lineRule="auto"/>
              <w:jc w:val="both"/>
              <w:rPr>
                <w:rFonts w:ascii="Times New Roman"/>
                <w:color w:val="auto"/>
                <w:sz w:val="20"/>
                <w:szCs w:val="20"/>
                <w:lang w:val="en-US"/>
              </w:rPr>
            </w:pPr>
            <w:r w:rsidRPr="00B0658A">
              <w:rPr>
                <w:rFonts w:ascii="Times New Roman"/>
                <w:color w:val="auto"/>
                <w:sz w:val="20"/>
                <w:szCs w:val="20"/>
                <w:lang w:val="en-US"/>
              </w:rPr>
              <w:t>2.1</w:t>
            </w:r>
          </w:p>
        </w:tc>
        <w:tc>
          <w:tcPr>
            <w:tcW w:w="1023" w:type="pct"/>
          </w:tcPr>
          <w:p w14:paraId="48DA7D9E" w14:textId="77777777" w:rsidR="004F1366" w:rsidRPr="00B0658A" w:rsidRDefault="004F1366" w:rsidP="000A4114">
            <w:pPr>
              <w:spacing w:after="0" w:line="240" w:lineRule="auto"/>
              <w:jc w:val="both"/>
              <w:rPr>
                <w:rFonts w:ascii="Times New Roman"/>
                <w:color w:val="auto"/>
                <w:sz w:val="20"/>
                <w:szCs w:val="20"/>
              </w:rPr>
            </w:pPr>
          </w:p>
        </w:tc>
        <w:tc>
          <w:tcPr>
            <w:tcW w:w="886" w:type="pct"/>
          </w:tcPr>
          <w:p w14:paraId="011201DA" w14:textId="77777777" w:rsidR="004F1366" w:rsidRPr="00B0658A" w:rsidRDefault="004F1366" w:rsidP="000A4114">
            <w:pPr>
              <w:spacing w:after="0" w:line="240" w:lineRule="auto"/>
              <w:jc w:val="both"/>
              <w:rPr>
                <w:rFonts w:ascii="Times New Roman"/>
                <w:color w:val="auto"/>
                <w:sz w:val="20"/>
                <w:szCs w:val="20"/>
              </w:rPr>
            </w:pPr>
          </w:p>
        </w:tc>
        <w:tc>
          <w:tcPr>
            <w:tcW w:w="895" w:type="pct"/>
          </w:tcPr>
          <w:p w14:paraId="2ADDA771" w14:textId="77777777" w:rsidR="004F1366" w:rsidRPr="00B0658A" w:rsidRDefault="004F1366" w:rsidP="000A4114">
            <w:pPr>
              <w:spacing w:after="0" w:line="240" w:lineRule="auto"/>
              <w:jc w:val="both"/>
              <w:rPr>
                <w:rFonts w:ascii="Times New Roman"/>
                <w:color w:val="auto"/>
                <w:sz w:val="20"/>
                <w:szCs w:val="20"/>
              </w:rPr>
            </w:pPr>
          </w:p>
        </w:tc>
        <w:tc>
          <w:tcPr>
            <w:tcW w:w="873" w:type="pct"/>
          </w:tcPr>
          <w:p w14:paraId="146D6A14" w14:textId="77777777" w:rsidR="004F1366" w:rsidRPr="00B0658A" w:rsidRDefault="004F1366" w:rsidP="000A4114">
            <w:pPr>
              <w:spacing w:after="0" w:line="240" w:lineRule="auto"/>
              <w:jc w:val="both"/>
              <w:rPr>
                <w:rFonts w:ascii="Times New Roman"/>
                <w:color w:val="auto"/>
                <w:sz w:val="20"/>
                <w:szCs w:val="20"/>
              </w:rPr>
            </w:pPr>
          </w:p>
        </w:tc>
        <w:tc>
          <w:tcPr>
            <w:tcW w:w="1139" w:type="pct"/>
          </w:tcPr>
          <w:p w14:paraId="448B3FF1" w14:textId="77777777" w:rsidR="004F1366" w:rsidRPr="00B0658A" w:rsidRDefault="004F1366" w:rsidP="000A4114">
            <w:pPr>
              <w:spacing w:after="0" w:line="240" w:lineRule="auto"/>
              <w:jc w:val="both"/>
              <w:rPr>
                <w:rFonts w:ascii="Times New Roman"/>
                <w:color w:val="auto"/>
                <w:sz w:val="20"/>
                <w:szCs w:val="20"/>
              </w:rPr>
            </w:pPr>
          </w:p>
        </w:tc>
      </w:tr>
      <w:tr w:rsidR="00F52FED" w:rsidRPr="00B0658A" w14:paraId="52DB129D" w14:textId="77777777" w:rsidTr="004F1366">
        <w:tc>
          <w:tcPr>
            <w:tcW w:w="184" w:type="pct"/>
          </w:tcPr>
          <w:p w14:paraId="62F212AB" w14:textId="77777777" w:rsidR="004F1366" w:rsidRPr="00B0658A" w:rsidRDefault="004F1366" w:rsidP="000A4114">
            <w:pPr>
              <w:spacing w:after="0" w:line="240" w:lineRule="auto"/>
              <w:jc w:val="both"/>
              <w:rPr>
                <w:rFonts w:ascii="Times New Roman"/>
                <w:color w:val="auto"/>
                <w:sz w:val="20"/>
                <w:szCs w:val="20"/>
                <w:lang w:val="en-US"/>
              </w:rPr>
            </w:pPr>
            <w:r w:rsidRPr="00B0658A">
              <w:rPr>
                <w:rFonts w:ascii="Times New Roman"/>
                <w:color w:val="auto"/>
                <w:sz w:val="20"/>
                <w:szCs w:val="20"/>
                <w:lang w:val="en-US"/>
              </w:rPr>
              <w:t>2.2</w:t>
            </w:r>
          </w:p>
        </w:tc>
        <w:tc>
          <w:tcPr>
            <w:tcW w:w="1023" w:type="pct"/>
          </w:tcPr>
          <w:p w14:paraId="7BC319B0" w14:textId="77777777" w:rsidR="004F1366" w:rsidRPr="00B0658A" w:rsidRDefault="004F1366" w:rsidP="000A4114">
            <w:pPr>
              <w:spacing w:after="0" w:line="240" w:lineRule="auto"/>
              <w:jc w:val="both"/>
              <w:rPr>
                <w:rFonts w:ascii="Times New Roman"/>
                <w:color w:val="auto"/>
                <w:sz w:val="20"/>
                <w:szCs w:val="20"/>
              </w:rPr>
            </w:pPr>
          </w:p>
        </w:tc>
        <w:tc>
          <w:tcPr>
            <w:tcW w:w="886" w:type="pct"/>
          </w:tcPr>
          <w:p w14:paraId="06BD608A" w14:textId="77777777" w:rsidR="004F1366" w:rsidRPr="00B0658A" w:rsidRDefault="004F1366" w:rsidP="000A4114">
            <w:pPr>
              <w:spacing w:after="0" w:line="240" w:lineRule="auto"/>
              <w:jc w:val="both"/>
              <w:rPr>
                <w:rFonts w:ascii="Times New Roman"/>
                <w:color w:val="auto"/>
                <w:sz w:val="20"/>
                <w:szCs w:val="20"/>
              </w:rPr>
            </w:pPr>
          </w:p>
        </w:tc>
        <w:tc>
          <w:tcPr>
            <w:tcW w:w="895" w:type="pct"/>
          </w:tcPr>
          <w:p w14:paraId="2A2D3B51" w14:textId="77777777" w:rsidR="004F1366" w:rsidRPr="00B0658A" w:rsidRDefault="004F1366" w:rsidP="000A4114">
            <w:pPr>
              <w:spacing w:after="0" w:line="240" w:lineRule="auto"/>
              <w:jc w:val="both"/>
              <w:rPr>
                <w:rFonts w:ascii="Times New Roman"/>
                <w:color w:val="auto"/>
                <w:sz w:val="20"/>
                <w:szCs w:val="20"/>
              </w:rPr>
            </w:pPr>
          </w:p>
        </w:tc>
        <w:tc>
          <w:tcPr>
            <w:tcW w:w="873" w:type="pct"/>
          </w:tcPr>
          <w:p w14:paraId="24495A36" w14:textId="77777777" w:rsidR="004F1366" w:rsidRPr="00B0658A" w:rsidRDefault="004F1366" w:rsidP="000A4114">
            <w:pPr>
              <w:spacing w:after="0" w:line="240" w:lineRule="auto"/>
              <w:jc w:val="both"/>
              <w:rPr>
                <w:rFonts w:ascii="Times New Roman"/>
                <w:color w:val="auto"/>
                <w:sz w:val="20"/>
                <w:szCs w:val="20"/>
              </w:rPr>
            </w:pPr>
          </w:p>
        </w:tc>
        <w:tc>
          <w:tcPr>
            <w:tcW w:w="1139" w:type="pct"/>
          </w:tcPr>
          <w:p w14:paraId="2D167D8B" w14:textId="77777777" w:rsidR="004F1366" w:rsidRPr="00B0658A" w:rsidRDefault="004F1366" w:rsidP="000A4114">
            <w:pPr>
              <w:spacing w:after="0" w:line="240" w:lineRule="auto"/>
              <w:jc w:val="both"/>
              <w:rPr>
                <w:rFonts w:ascii="Times New Roman"/>
                <w:color w:val="auto"/>
                <w:sz w:val="20"/>
                <w:szCs w:val="20"/>
              </w:rPr>
            </w:pPr>
          </w:p>
        </w:tc>
      </w:tr>
      <w:tr w:rsidR="00F52FED" w:rsidRPr="00B0658A" w14:paraId="3A43F32D" w14:textId="77777777" w:rsidTr="004F1366">
        <w:tc>
          <w:tcPr>
            <w:tcW w:w="184" w:type="pct"/>
          </w:tcPr>
          <w:p w14:paraId="3965F810" w14:textId="77777777" w:rsidR="004F1366" w:rsidRPr="00B0658A" w:rsidRDefault="004F1366" w:rsidP="000A4114">
            <w:pPr>
              <w:spacing w:after="0" w:line="240" w:lineRule="auto"/>
              <w:jc w:val="both"/>
              <w:rPr>
                <w:rFonts w:ascii="Times New Roman"/>
                <w:color w:val="auto"/>
                <w:sz w:val="20"/>
                <w:szCs w:val="20"/>
                <w:lang w:val="en-US"/>
              </w:rPr>
            </w:pPr>
            <w:r w:rsidRPr="00B0658A">
              <w:rPr>
                <w:rFonts w:ascii="Times New Roman"/>
                <w:color w:val="auto"/>
                <w:sz w:val="20"/>
                <w:szCs w:val="20"/>
                <w:lang w:val="en-US"/>
              </w:rPr>
              <w:t>…</w:t>
            </w:r>
          </w:p>
        </w:tc>
        <w:tc>
          <w:tcPr>
            <w:tcW w:w="1023" w:type="pct"/>
          </w:tcPr>
          <w:p w14:paraId="17EA4E4A" w14:textId="77777777" w:rsidR="004F1366" w:rsidRPr="00B0658A" w:rsidRDefault="004F1366" w:rsidP="000A4114">
            <w:pPr>
              <w:spacing w:after="0" w:line="240" w:lineRule="auto"/>
              <w:jc w:val="both"/>
              <w:rPr>
                <w:rFonts w:ascii="Times New Roman"/>
                <w:color w:val="auto"/>
                <w:sz w:val="20"/>
                <w:szCs w:val="20"/>
              </w:rPr>
            </w:pPr>
          </w:p>
        </w:tc>
        <w:tc>
          <w:tcPr>
            <w:tcW w:w="886" w:type="pct"/>
          </w:tcPr>
          <w:p w14:paraId="12CA2382" w14:textId="77777777" w:rsidR="004F1366" w:rsidRPr="00B0658A" w:rsidRDefault="004F1366" w:rsidP="000A4114">
            <w:pPr>
              <w:spacing w:after="0" w:line="240" w:lineRule="auto"/>
              <w:jc w:val="both"/>
              <w:rPr>
                <w:rFonts w:ascii="Times New Roman"/>
                <w:color w:val="auto"/>
                <w:sz w:val="20"/>
                <w:szCs w:val="20"/>
              </w:rPr>
            </w:pPr>
          </w:p>
        </w:tc>
        <w:tc>
          <w:tcPr>
            <w:tcW w:w="895" w:type="pct"/>
          </w:tcPr>
          <w:p w14:paraId="6FC0F5A9" w14:textId="77777777" w:rsidR="004F1366" w:rsidRPr="00B0658A" w:rsidRDefault="004F1366" w:rsidP="000A4114">
            <w:pPr>
              <w:spacing w:after="0" w:line="240" w:lineRule="auto"/>
              <w:jc w:val="both"/>
              <w:rPr>
                <w:rFonts w:ascii="Times New Roman"/>
                <w:color w:val="auto"/>
                <w:sz w:val="20"/>
                <w:szCs w:val="20"/>
              </w:rPr>
            </w:pPr>
          </w:p>
        </w:tc>
        <w:tc>
          <w:tcPr>
            <w:tcW w:w="873" w:type="pct"/>
          </w:tcPr>
          <w:p w14:paraId="589D4084" w14:textId="77777777" w:rsidR="004F1366" w:rsidRPr="00B0658A" w:rsidRDefault="004F1366" w:rsidP="000A4114">
            <w:pPr>
              <w:spacing w:after="0" w:line="240" w:lineRule="auto"/>
              <w:jc w:val="both"/>
              <w:rPr>
                <w:rFonts w:ascii="Times New Roman"/>
                <w:color w:val="auto"/>
                <w:sz w:val="20"/>
                <w:szCs w:val="20"/>
              </w:rPr>
            </w:pPr>
          </w:p>
        </w:tc>
        <w:tc>
          <w:tcPr>
            <w:tcW w:w="1139" w:type="pct"/>
          </w:tcPr>
          <w:p w14:paraId="23C0E5FD" w14:textId="77777777" w:rsidR="004F1366" w:rsidRPr="00B0658A" w:rsidRDefault="004F1366" w:rsidP="000A4114">
            <w:pPr>
              <w:spacing w:after="0" w:line="240" w:lineRule="auto"/>
              <w:jc w:val="both"/>
              <w:rPr>
                <w:rFonts w:ascii="Times New Roman"/>
                <w:color w:val="auto"/>
                <w:sz w:val="20"/>
                <w:szCs w:val="20"/>
              </w:rPr>
            </w:pPr>
          </w:p>
        </w:tc>
      </w:tr>
      <w:tr w:rsidR="00F52FED" w:rsidRPr="00B0658A" w14:paraId="11C431A5" w14:textId="77777777" w:rsidTr="004F1366">
        <w:tc>
          <w:tcPr>
            <w:tcW w:w="184" w:type="pct"/>
          </w:tcPr>
          <w:p w14:paraId="5BD4DE23" w14:textId="77777777" w:rsidR="004F1366" w:rsidRPr="00B0658A" w:rsidRDefault="004F1366" w:rsidP="000A4114">
            <w:pPr>
              <w:spacing w:after="0" w:line="240" w:lineRule="auto"/>
              <w:jc w:val="both"/>
              <w:rPr>
                <w:rFonts w:ascii="Times New Roman"/>
                <w:color w:val="auto"/>
                <w:sz w:val="20"/>
                <w:szCs w:val="20"/>
                <w:lang w:val="en-US"/>
              </w:rPr>
            </w:pPr>
            <w:r w:rsidRPr="00B0658A">
              <w:rPr>
                <w:rFonts w:ascii="Times New Roman"/>
                <w:color w:val="auto"/>
                <w:sz w:val="20"/>
                <w:szCs w:val="20"/>
                <w:lang w:val="en-US"/>
              </w:rPr>
              <w:t>2.n</w:t>
            </w:r>
          </w:p>
        </w:tc>
        <w:tc>
          <w:tcPr>
            <w:tcW w:w="1023" w:type="pct"/>
          </w:tcPr>
          <w:p w14:paraId="105AC7EC" w14:textId="77777777" w:rsidR="004F1366" w:rsidRPr="00B0658A" w:rsidRDefault="004F1366" w:rsidP="000A4114">
            <w:pPr>
              <w:spacing w:after="0" w:line="240" w:lineRule="auto"/>
              <w:jc w:val="both"/>
              <w:rPr>
                <w:rFonts w:ascii="Times New Roman"/>
                <w:color w:val="auto"/>
                <w:sz w:val="20"/>
                <w:szCs w:val="20"/>
              </w:rPr>
            </w:pPr>
          </w:p>
        </w:tc>
        <w:tc>
          <w:tcPr>
            <w:tcW w:w="886" w:type="pct"/>
          </w:tcPr>
          <w:p w14:paraId="05B46F19" w14:textId="77777777" w:rsidR="004F1366" w:rsidRPr="00B0658A" w:rsidRDefault="004F1366" w:rsidP="000A4114">
            <w:pPr>
              <w:spacing w:after="0" w:line="240" w:lineRule="auto"/>
              <w:jc w:val="both"/>
              <w:rPr>
                <w:rFonts w:ascii="Times New Roman"/>
                <w:color w:val="auto"/>
                <w:sz w:val="20"/>
                <w:szCs w:val="20"/>
              </w:rPr>
            </w:pPr>
          </w:p>
        </w:tc>
        <w:tc>
          <w:tcPr>
            <w:tcW w:w="895" w:type="pct"/>
          </w:tcPr>
          <w:p w14:paraId="7616B4B2" w14:textId="77777777" w:rsidR="004F1366" w:rsidRPr="00B0658A" w:rsidRDefault="004F1366" w:rsidP="000A4114">
            <w:pPr>
              <w:spacing w:after="0" w:line="240" w:lineRule="auto"/>
              <w:jc w:val="both"/>
              <w:rPr>
                <w:rFonts w:ascii="Times New Roman"/>
                <w:color w:val="auto"/>
                <w:sz w:val="20"/>
                <w:szCs w:val="20"/>
              </w:rPr>
            </w:pPr>
          </w:p>
        </w:tc>
        <w:tc>
          <w:tcPr>
            <w:tcW w:w="873" w:type="pct"/>
          </w:tcPr>
          <w:p w14:paraId="601F0DB8" w14:textId="77777777" w:rsidR="004F1366" w:rsidRPr="00B0658A" w:rsidRDefault="004F1366" w:rsidP="000A4114">
            <w:pPr>
              <w:spacing w:after="0" w:line="240" w:lineRule="auto"/>
              <w:jc w:val="both"/>
              <w:rPr>
                <w:rFonts w:ascii="Times New Roman"/>
                <w:color w:val="auto"/>
                <w:sz w:val="20"/>
                <w:szCs w:val="20"/>
              </w:rPr>
            </w:pPr>
          </w:p>
        </w:tc>
        <w:tc>
          <w:tcPr>
            <w:tcW w:w="1139" w:type="pct"/>
          </w:tcPr>
          <w:p w14:paraId="225E2BD4" w14:textId="77777777" w:rsidR="004F1366" w:rsidRPr="00B0658A" w:rsidRDefault="004F1366" w:rsidP="000A4114">
            <w:pPr>
              <w:spacing w:after="0" w:line="240" w:lineRule="auto"/>
              <w:jc w:val="both"/>
              <w:rPr>
                <w:rFonts w:ascii="Times New Roman"/>
                <w:color w:val="auto"/>
                <w:sz w:val="20"/>
                <w:szCs w:val="20"/>
              </w:rPr>
            </w:pPr>
          </w:p>
        </w:tc>
      </w:tr>
      <w:tr w:rsidR="00F52FED" w:rsidRPr="00B0658A" w14:paraId="13A4BB0F" w14:textId="77777777" w:rsidTr="004F1366">
        <w:tc>
          <w:tcPr>
            <w:tcW w:w="184" w:type="pct"/>
          </w:tcPr>
          <w:p w14:paraId="2EB14150" w14:textId="77777777" w:rsidR="004F1366" w:rsidRPr="00B0658A" w:rsidRDefault="004F1366" w:rsidP="000A4114">
            <w:pPr>
              <w:spacing w:after="0" w:line="240" w:lineRule="auto"/>
              <w:jc w:val="both"/>
              <w:rPr>
                <w:rFonts w:ascii="Times New Roman"/>
                <w:color w:val="auto"/>
                <w:sz w:val="20"/>
                <w:szCs w:val="20"/>
                <w:lang w:val="en-US"/>
              </w:rPr>
            </w:pPr>
          </w:p>
        </w:tc>
        <w:tc>
          <w:tcPr>
            <w:tcW w:w="1023" w:type="pct"/>
          </w:tcPr>
          <w:p w14:paraId="612360A5" w14:textId="77777777" w:rsidR="004F1366" w:rsidRPr="00B0658A" w:rsidRDefault="004F1366" w:rsidP="000A4114">
            <w:pPr>
              <w:spacing w:after="0" w:line="240" w:lineRule="auto"/>
              <w:jc w:val="both"/>
              <w:rPr>
                <w:rFonts w:ascii="Times New Roman"/>
                <w:color w:val="auto"/>
                <w:sz w:val="20"/>
                <w:szCs w:val="20"/>
              </w:rPr>
            </w:pPr>
          </w:p>
        </w:tc>
        <w:tc>
          <w:tcPr>
            <w:tcW w:w="886" w:type="pct"/>
          </w:tcPr>
          <w:p w14:paraId="253F77D4" w14:textId="77777777" w:rsidR="004F1366" w:rsidRPr="00B0658A" w:rsidRDefault="004F1366" w:rsidP="000A4114">
            <w:pPr>
              <w:spacing w:after="0" w:line="240" w:lineRule="auto"/>
              <w:jc w:val="both"/>
              <w:rPr>
                <w:rFonts w:ascii="Times New Roman"/>
                <w:color w:val="auto"/>
                <w:sz w:val="20"/>
                <w:szCs w:val="20"/>
              </w:rPr>
            </w:pPr>
          </w:p>
        </w:tc>
        <w:tc>
          <w:tcPr>
            <w:tcW w:w="895" w:type="pct"/>
          </w:tcPr>
          <w:p w14:paraId="0EE4CA59" w14:textId="77777777" w:rsidR="004F1366" w:rsidRPr="00B0658A" w:rsidRDefault="004F1366" w:rsidP="000A4114">
            <w:pPr>
              <w:spacing w:after="0" w:line="240" w:lineRule="auto"/>
              <w:jc w:val="both"/>
              <w:rPr>
                <w:rFonts w:ascii="Times New Roman"/>
                <w:color w:val="auto"/>
                <w:sz w:val="20"/>
                <w:szCs w:val="20"/>
              </w:rPr>
            </w:pPr>
          </w:p>
        </w:tc>
        <w:tc>
          <w:tcPr>
            <w:tcW w:w="873" w:type="pct"/>
          </w:tcPr>
          <w:p w14:paraId="7A3372FF" w14:textId="77777777" w:rsidR="004F1366" w:rsidRPr="00B0658A" w:rsidRDefault="004F1366" w:rsidP="000A4114">
            <w:pPr>
              <w:spacing w:after="0" w:line="240" w:lineRule="auto"/>
              <w:jc w:val="both"/>
              <w:rPr>
                <w:rFonts w:ascii="Times New Roman"/>
                <w:color w:val="auto"/>
                <w:sz w:val="20"/>
                <w:szCs w:val="20"/>
              </w:rPr>
            </w:pPr>
          </w:p>
        </w:tc>
        <w:tc>
          <w:tcPr>
            <w:tcW w:w="1139" w:type="pct"/>
          </w:tcPr>
          <w:p w14:paraId="22CFA975" w14:textId="77777777" w:rsidR="004F1366" w:rsidRPr="00B0658A" w:rsidRDefault="004F1366" w:rsidP="000A4114">
            <w:pPr>
              <w:spacing w:after="0" w:line="240" w:lineRule="auto"/>
              <w:jc w:val="both"/>
              <w:rPr>
                <w:rFonts w:ascii="Times New Roman"/>
                <w:color w:val="auto"/>
                <w:sz w:val="20"/>
                <w:szCs w:val="20"/>
              </w:rPr>
            </w:pPr>
          </w:p>
        </w:tc>
      </w:tr>
      <w:tr w:rsidR="00F52FED" w:rsidRPr="00B0658A" w14:paraId="36ED32E6" w14:textId="77777777" w:rsidTr="004F1366">
        <w:tc>
          <w:tcPr>
            <w:tcW w:w="5000" w:type="pct"/>
            <w:gridSpan w:val="6"/>
          </w:tcPr>
          <w:p w14:paraId="31A8E1DA" w14:textId="77777777" w:rsidR="004F1366" w:rsidRPr="00B0658A" w:rsidRDefault="004F1366" w:rsidP="000A4114">
            <w:pPr>
              <w:spacing w:after="0" w:line="240" w:lineRule="auto"/>
              <w:rPr>
                <w:rFonts w:ascii="Times New Roman"/>
                <w:color w:val="auto"/>
                <w:sz w:val="20"/>
                <w:szCs w:val="20"/>
              </w:rPr>
            </w:pPr>
            <w:r w:rsidRPr="00B0658A">
              <w:rPr>
                <w:rFonts w:ascii="Times New Roman"/>
                <w:b/>
                <w:color w:val="auto"/>
                <w:sz w:val="20"/>
                <w:szCs w:val="20"/>
              </w:rPr>
              <w:t>N. Мероприятия в отношении ________ (наименование значимого объекта КИИ №N)</w:t>
            </w:r>
          </w:p>
        </w:tc>
      </w:tr>
      <w:tr w:rsidR="00F52FED" w:rsidRPr="00B0658A" w14:paraId="4DE8ECC0" w14:textId="77777777" w:rsidTr="004F1366">
        <w:tc>
          <w:tcPr>
            <w:tcW w:w="184" w:type="pct"/>
          </w:tcPr>
          <w:p w14:paraId="44C67F11" w14:textId="77777777" w:rsidR="004F1366" w:rsidRPr="00B0658A" w:rsidRDefault="004F1366" w:rsidP="000A4114">
            <w:pPr>
              <w:spacing w:after="0" w:line="240" w:lineRule="auto"/>
              <w:jc w:val="both"/>
              <w:rPr>
                <w:rFonts w:ascii="Times New Roman"/>
                <w:color w:val="auto"/>
                <w:sz w:val="20"/>
                <w:szCs w:val="20"/>
                <w:lang w:val="en-US"/>
              </w:rPr>
            </w:pPr>
            <w:r w:rsidRPr="00B0658A">
              <w:rPr>
                <w:rFonts w:ascii="Times New Roman"/>
                <w:color w:val="auto"/>
                <w:sz w:val="20"/>
                <w:szCs w:val="20"/>
                <w:lang w:val="en-US"/>
              </w:rPr>
              <w:t>N.1</w:t>
            </w:r>
          </w:p>
        </w:tc>
        <w:tc>
          <w:tcPr>
            <w:tcW w:w="1023" w:type="pct"/>
          </w:tcPr>
          <w:p w14:paraId="0E057D08" w14:textId="77777777" w:rsidR="004F1366" w:rsidRPr="00B0658A" w:rsidRDefault="004F1366" w:rsidP="000A4114">
            <w:pPr>
              <w:spacing w:after="0" w:line="240" w:lineRule="auto"/>
              <w:jc w:val="both"/>
              <w:rPr>
                <w:rFonts w:ascii="Times New Roman"/>
                <w:color w:val="auto"/>
                <w:sz w:val="20"/>
                <w:szCs w:val="20"/>
              </w:rPr>
            </w:pPr>
          </w:p>
        </w:tc>
        <w:tc>
          <w:tcPr>
            <w:tcW w:w="886" w:type="pct"/>
          </w:tcPr>
          <w:p w14:paraId="039A44D2" w14:textId="77777777" w:rsidR="004F1366" w:rsidRPr="00B0658A" w:rsidRDefault="004F1366" w:rsidP="000A4114">
            <w:pPr>
              <w:spacing w:after="0" w:line="240" w:lineRule="auto"/>
              <w:jc w:val="both"/>
              <w:rPr>
                <w:rFonts w:ascii="Times New Roman"/>
                <w:color w:val="auto"/>
                <w:sz w:val="20"/>
                <w:szCs w:val="20"/>
              </w:rPr>
            </w:pPr>
          </w:p>
        </w:tc>
        <w:tc>
          <w:tcPr>
            <w:tcW w:w="895" w:type="pct"/>
          </w:tcPr>
          <w:p w14:paraId="504EE682" w14:textId="77777777" w:rsidR="004F1366" w:rsidRPr="00B0658A" w:rsidRDefault="004F1366" w:rsidP="000A4114">
            <w:pPr>
              <w:spacing w:after="0" w:line="240" w:lineRule="auto"/>
              <w:jc w:val="both"/>
              <w:rPr>
                <w:rFonts w:ascii="Times New Roman"/>
                <w:color w:val="auto"/>
                <w:sz w:val="20"/>
                <w:szCs w:val="20"/>
              </w:rPr>
            </w:pPr>
          </w:p>
        </w:tc>
        <w:tc>
          <w:tcPr>
            <w:tcW w:w="873" w:type="pct"/>
          </w:tcPr>
          <w:p w14:paraId="7DEDE83B" w14:textId="77777777" w:rsidR="004F1366" w:rsidRPr="00B0658A" w:rsidRDefault="004F1366" w:rsidP="000A4114">
            <w:pPr>
              <w:spacing w:after="0" w:line="240" w:lineRule="auto"/>
              <w:jc w:val="both"/>
              <w:rPr>
                <w:rFonts w:ascii="Times New Roman"/>
                <w:color w:val="auto"/>
                <w:sz w:val="20"/>
                <w:szCs w:val="20"/>
              </w:rPr>
            </w:pPr>
          </w:p>
        </w:tc>
        <w:tc>
          <w:tcPr>
            <w:tcW w:w="1139" w:type="pct"/>
          </w:tcPr>
          <w:p w14:paraId="2AF32BED" w14:textId="77777777" w:rsidR="004F1366" w:rsidRPr="00B0658A" w:rsidRDefault="004F1366" w:rsidP="000A4114">
            <w:pPr>
              <w:spacing w:after="0" w:line="240" w:lineRule="auto"/>
              <w:jc w:val="both"/>
              <w:rPr>
                <w:rFonts w:ascii="Times New Roman"/>
                <w:color w:val="auto"/>
                <w:sz w:val="20"/>
                <w:szCs w:val="20"/>
              </w:rPr>
            </w:pPr>
          </w:p>
        </w:tc>
      </w:tr>
      <w:tr w:rsidR="00F52FED" w:rsidRPr="00B0658A" w14:paraId="3D84CCF1" w14:textId="77777777" w:rsidTr="004F1366">
        <w:tc>
          <w:tcPr>
            <w:tcW w:w="184" w:type="pct"/>
          </w:tcPr>
          <w:p w14:paraId="7BCF70CA" w14:textId="77777777" w:rsidR="004F1366" w:rsidRPr="00B0658A" w:rsidRDefault="004F1366" w:rsidP="000A4114">
            <w:pPr>
              <w:spacing w:after="0" w:line="240" w:lineRule="auto"/>
              <w:jc w:val="both"/>
              <w:rPr>
                <w:rFonts w:ascii="Times New Roman"/>
                <w:color w:val="auto"/>
                <w:sz w:val="20"/>
                <w:szCs w:val="20"/>
                <w:lang w:val="en-US"/>
              </w:rPr>
            </w:pPr>
            <w:r w:rsidRPr="00B0658A">
              <w:rPr>
                <w:rFonts w:ascii="Times New Roman"/>
                <w:color w:val="auto"/>
                <w:sz w:val="20"/>
                <w:szCs w:val="20"/>
                <w:lang w:val="en-US"/>
              </w:rPr>
              <w:t>N.2</w:t>
            </w:r>
          </w:p>
        </w:tc>
        <w:tc>
          <w:tcPr>
            <w:tcW w:w="1023" w:type="pct"/>
          </w:tcPr>
          <w:p w14:paraId="6026FCED" w14:textId="77777777" w:rsidR="004F1366" w:rsidRPr="00B0658A" w:rsidRDefault="004F1366" w:rsidP="000A4114">
            <w:pPr>
              <w:spacing w:after="0" w:line="240" w:lineRule="auto"/>
              <w:jc w:val="both"/>
              <w:rPr>
                <w:rFonts w:ascii="Times New Roman"/>
                <w:color w:val="auto"/>
                <w:sz w:val="20"/>
                <w:szCs w:val="20"/>
              </w:rPr>
            </w:pPr>
          </w:p>
        </w:tc>
        <w:tc>
          <w:tcPr>
            <w:tcW w:w="886" w:type="pct"/>
          </w:tcPr>
          <w:p w14:paraId="52C20090" w14:textId="77777777" w:rsidR="004F1366" w:rsidRPr="00B0658A" w:rsidRDefault="004F1366" w:rsidP="000A4114">
            <w:pPr>
              <w:spacing w:after="0" w:line="240" w:lineRule="auto"/>
              <w:jc w:val="both"/>
              <w:rPr>
                <w:rFonts w:ascii="Times New Roman"/>
                <w:color w:val="auto"/>
                <w:sz w:val="20"/>
                <w:szCs w:val="20"/>
              </w:rPr>
            </w:pPr>
          </w:p>
        </w:tc>
        <w:tc>
          <w:tcPr>
            <w:tcW w:w="895" w:type="pct"/>
          </w:tcPr>
          <w:p w14:paraId="779C86CD" w14:textId="77777777" w:rsidR="004F1366" w:rsidRPr="00B0658A" w:rsidRDefault="004F1366" w:rsidP="000A4114">
            <w:pPr>
              <w:spacing w:after="0" w:line="240" w:lineRule="auto"/>
              <w:jc w:val="both"/>
              <w:rPr>
                <w:rFonts w:ascii="Times New Roman"/>
                <w:color w:val="auto"/>
                <w:sz w:val="20"/>
                <w:szCs w:val="20"/>
              </w:rPr>
            </w:pPr>
          </w:p>
        </w:tc>
        <w:tc>
          <w:tcPr>
            <w:tcW w:w="873" w:type="pct"/>
          </w:tcPr>
          <w:p w14:paraId="4AEC554B" w14:textId="77777777" w:rsidR="004F1366" w:rsidRPr="00B0658A" w:rsidRDefault="004F1366" w:rsidP="000A4114">
            <w:pPr>
              <w:spacing w:after="0" w:line="240" w:lineRule="auto"/>
              <w:jc w:val="both"/>
              <w:rPr>
                <w:rFonts w:ascii="Times New Roman"/>
                <w:color w:val="auto"/>
                <w:sz w:val="20"/>
                <w:szCs w:val="20"/>
              </w:rPr>
            </w:pPr>
          </w:p>
        </w:tc>
        <w:tc>
          <w:tcPr>
            <w:tcW w:w="1139" w:type="pct"/>
          </w:tcPr>
          <w:p w14:paraId="6790EA99" w14:textId="77777777" w:rsidR="004F1366" w:rsidRPr="00B0658A" w:rsidRDefault="004F1366" w:rsidP="000A4114">
            <w:pPr>
              <w:spacing w:after="0" w:line="240" w:lineRule="auto"/>
              <w:jc w:val="both"/>
              <w:rPr>
                <w:rFonts w:ascii="Times New Roman"/>
                <w:color w:val="auto"/>
                <w:sz w:val="20"/>
                <w:szCs w:val="20"/>
              </w:rPr>
            </w:pPr>
          </w:p>
        </w:tc>
      </w:tr>
      <w:tr w:rsidR="00F52FED" w:rsidRPr="00B0658A" w14:paraId="066AB184" w14:textId="77777777" w:rsidTr="004F1366">
        <w:tc>
          <w:tcPr>
            <w:tcW w:w="184" w:type="pct"/>
          </w:tcPr>
          <w:p w14:paraId="2AB71FD4" w14:textId="77777777" w:rsidR="004F1366" w:rsidRPr="00B0658A" w:rsidRDefault="004F1366" w:rsidP="000A4114">
            <w:pPr>
              <w:spacing w:after="0" w:line="240" w:lineRule="auto"/>
              <w:jc w:val="both"/>
              <w:rPr>
                <w:rFonts w:ascii="Times New Roman"/>
                <w:color w:val="auto"/>
                <w:sz w:val="20"/>
                <w:szCs w:val="20"/>
                <w:lang w:val="en-US"/>
              </w:rPr>
            </w:pPr>
            <w:r w:rsidRPr="00B0658A">
              <w:rPr>
                <w:rFonts w:ascii="Times New Roman"/>
                <w:color w:val="auto"/>
                <w:sz w:val="20"/>
                <w:szCs w:val="20"/>
                <w:lang w:val="en-US"/>
              </w:rPr>
              <w:t>…</w:t>
            </w:r>
          </w:p>
        </w:tc>
        <w:tc>
          <w:tcPr>
            <w:tcW w:w="1023" w:type="pct"/>
          </w:tcPr>
          <w:p w14:paraId="4E4CDF88" w14:textId="77777777" w:rsidR="004F1366" w:rsidRPr="00B0658A" w:rsidRDefault="004F1366" w:rsidP="000A4114">
            <w:pPr>
              <w:spacing w:after="0" w:line="240" w:lineRule="auto"/>
              <w:jc w:val="both"/>
              <w:rPr>
                <w:rFonts w:ascii="Times New Roman"/>
                <w:color w:val="auto"/>
                <w:sz w:val="20"/>
                <w:szCs w:val="20"/>
              </w:rPr>
            </w:pPr>
          </w:p>
        </w:tc>
        <w:tc>
          <w:tcPr>
            <w:tcW w:w="886" w:type="pct"/>
          </w:tcPr>
          <w:p w14:paraId="7628443D" w14:textId="77777777" w:rsidR="004F1366" w:rsidRPr="00B0658A" w:rsidRDefault="004F1366" w:rsidP="000A4114">
            <w:pPr>
              <w:spacing w:after="0" w:line="240" w:lineRule="auto"/>
              <w:jc w:val="both"/>
              <w:rPr>
                <w:rFonts w:ascii="Times New Roman"/>
                <w:color w:val="auto"/>
                <w:sz w:val="20"/>
                <w:szCs w:val="20"/>
              </w:rPr>
            </w:pPr>
          </w:p>
        </w:tc>
        <w:tc>
          <w:tcPr>
            <w:tcW w:w="895" w:type="pct"/>
          </w:tcPr>
          <w:p w14:paraId="01CEBE37" w14:textId="77777777" w:rsidR="004F1366" w:rsidRPr="00B0658A" w:rsidRDefault="004F1366" w:rsidP="000A4114">
            <w:pPr>
              <w:spacing w:after="0" w:line="240" w:lineRule="auto"/>
              <w:jc w:val="both"/>
              <w:rPr>
                <w:rFonts w:ascii="Times New Roman"/>
                <w:color w:val="auto"/>
                <w:sz w:val="20"/>
                <w:szCs w:val="20"/>
              </w:rPr>
            </w:pPr>
          </w:p>
        </w:tc>
        <w:tc>
          <w:tcPr>
            <w:tcW w:w="873" w:type="pct"/>
          </w:tcPr>
          <w:p w14:paraId="736406BD" w14:textId="77777777" w:rsidR="004F1366" w:rsidRPr="00B0658A" w:rsidRDefault="004F1366" w:rsidP="000A4114">
            <w:pPr>
              <w:spacing w:after="0" w:line="240" w:lineRule="auto"/>
              <w:jc w:val="both"/>
              <w:rPr>
                <w:rFonts w:ascii="Times New Roman"/>
                <w:color w:val="auto"/>
                <w:sz w:val="20"/>
                <w:szCs w:val="20"/>
              </w:rPr>
            </w:pPr>
          </w:p>
        </w:tc>
        <w:tc>
          <w:tcPr>
            <w:tcW w:w="1139" w:type="pct"/>
          </w:tcPr>
          <w:p w14:paraId="5F637ACB" w14:textId="77777777" w:rsidR="004F1366" w:rsidRPr="00B0658A" w:rsidRDefault="004F1366" w:rsidP="000A4114">
            <w:pPr>
              <w:spacing w:after="0" w:line="240" w:lineRule="auto"/>
              <w:jc w:val="both"/>
              <w:rPr>
                <w:rFonts w:ascii="Times New Roman"/>
                <w:color w:val="auto"/>
                <w:sz w:val="20"/>
                <w:szCs w:val="20"/>
              </w:rPr>
            </w:pPr>
          </w:p>
        </w:tc>
      </w:tr>
      <w:tr w:rsidR="004F1366" w:rsidRPr="00B0658A" w14:paraId="09A59E1C" w14:textId="77777777" w:rsidTr="004F1366">
        <w:tc>
          <w:tcPr>
            <w:tcW w:w="184" w:type="pct"/>
          </w:tcPr>
          <w:p w14:paraId="4628BA6B" w14:textId="77777777" w:rsidR="004F1366" w:rsidRPr="00B0658A" w:rsidRDefault="004F1366" w:rsidP="000A4114">
            <w:pPr>
              <w:spacing w:after="0" w:line="240" w:lineRule="auto"/>
              <w:jc w:val="both"/>
              <w:rPr>
                <w:rFonts w:ascii="Times New Roman"/>
                <w:color w:val="auto"/>
                <w:sz w:val="20"/>
                <w:szCs w:val="20"/>
                <w:lang w:val="en-US"/>
              </w:rPr>
            </w:pPr>
            <w:r w:rsidRPr="00B0658A">
              <w:rPr>
                <w:rFonts w:ascii="Times New Roman"/>
                <w:color w:val="auto"/>
                <w:sz w:val="20"/>
                <w:szCs w:val="20"/>
                <w:lang w:val="en-US"/>
              </w:rPr>
              <w:t>N.n</w:t>
            </w:r>
          </w:p>
        </w:tc>
        <w:tc>
          <w:tcPr>
            <w:tcW w:w="1023" w:type="pct"/>
          </w:tcPr>
          <w:p w14:paraId="23846DD2" w14:textId="77777777" w:rsidR="004F1366" w:rsidRPr="00B0658A" w:rsidRDefault="004F1366" w:rsidP="000A4114">
            <w:pPr>
              <w:spacing w:after="0" w:line="240" w:lineRule="auto"/>
              <w:jc w:val="both"/>
              <w:rPr>
                <w:rFonts w:ascii="Times New Roman"/>
                <w:color w:val="auto"/>
                <w:sz w:val="20"/>
                <w:szCs w:val="20"/>
              </w:rPr>
            </w:pPr>
          </w:p>
        </w:tc>
        <w:tc>
          <w:tcPr>
            <w:tcW w:w="886" w:type="pct"/>
          </w:tcPr>
          <w:p w14:paraId="2A75C7B0" w14:textId="77777777" w:rsidR="004F1366" w:rsidRPr="00B0658A" w:rsidRDefault="004F1366" w:rsidP="000A4114">
            <w:pPr>
              <w:spacing w:after="0" w:line="240" w:lineRule="auto"/>
              <w:jc w:val="both"/>
              <w:rPr>
                <w:rFonts w:ascii="Times New Roman"/>
                <w:color w:val="auto"/>
                <w:sz w:val="20"/>
                <w:szCs w:val="20"/>
              </w:rPr>
            </w:pPr>
          </w:p>
        </w:tc>
        <w:tc>
          <w:tcPr>
            <w:tcW w:w="895" w:type="pct"/>
          </w:tcPr>
          <w:p w14:paraId="037A7FD6" w14:textId="77777777" w:rsidR="004F1366" w:rsidRPr="00B0658A" w:rsidRDefault="004F1366" w:rsidP="000A4114">
            <w:pPr>
              <w:spacing w:after="0" w:line="240" w:lineRule="auto"/>
              <w:jc w:val="both"/>
              <w:rPr>
                <w:rFonts w:ascii="Times New Roman"/>
                <w:color w:val="auto"/>
                <w:sz w:val="20"/>
                <w:szCs w:val="20"/>
              </w:rPr>
            </w:pPr>
          </w:p>
        </w:tc>
        <w:tc>
          <w:tcPr>
            <w:tcW w:w="873" w:type="pct"/>
          </w:tcPr>
          <w:p w14:paraId="0D86E081" w14:textId="77777777" w:rsidR="004F1366" w:rsidRPr="00B0658A" w:rsidRDefault="004F1366" w:rsidP="000A4114">
            <w:pPr>
              <w:spacing w:after="0" w:line="240" w:lineRule="auto"/>
              <w:jc w:val="both"/>
              <w:rPr>
                <w:rFonts w:ascii="Times New Roman"/>
                <w:color w:val="auto"/>
                <w:sz w:val="20"/>
                <w:szCs w:val="20"/>
              </w:rPr>
            </w:pPr>
          </w:p>
        </w:tc>
        <w:tc>
          <w:tcPr>
            <w:tcW w:w="1139" w:type="pct"/>
          </w:tcPr>
          <w:p w14:paraId="0A5F6B57" w14:textId="77777777" w:rsidR="004F1366" w:rsidRPr="00B0658A" w:rsidRDefault="004F1366" w:rsidP="000A4114">
            <w:pPr>
              <w:spacing w:after="0" w:line="240" w:lineRule="auto"/>
              <w:jc w:val="both"/>
              <w:rPr>
                <w:rFonts w:ascii="Times New Roman"/>
                <w:color w:val="auto"/>
                <w:sz w:val="20"/>
                <w:szCs w:val="20"/>
              </w:rPr>
            </w:pPr>
          </w:p>
        </w:tc>
      </w:tr>
    </w:tbl>
    <w:p w14:paraId="31AF3FCF" w14:textId="77777777" w:rsidR="004F1366" w:rsidRPr="00B0658A" w:rsidRDefault="004F1366" w:rsidP="004F1366">
      <w:pPr>
        <w:spacing w:line="240" w:lineRule="auto"/>
        <w:jc w:val="both"/>
        <w:rPr>
          <w:rFonts w:ascii="Times New Roman" w:hAnsi="Times New Roman"/>
          <w:sz w:val="28"/>
          <w:szCs w:val="28"/>
        </w:rPr>
      </w:pPr>
    </w:p>
    <w:p w14:paraId="2B2FC569" w14:textId="77777777" w:rsidR="004F1366" w:rsidRPr="00B0658A" w:rsidRDefault="004F1366" w:rsidP="004F1366">
      <w:pPr>
        <w:spacing w:line="240" w:lineRule="auto"/>
        <w:ind w:firstLine="709"/>
        <w:jc w:val="both"/>
        <w:rPr>
          <w:rFonts w:ascii="Times New Roman" w:hAnsi="Times New Roman"/>
          <w:sz w:val="28"/>
          <w:szCs w:val="28"/>
        </w:rPr>
      </w:pPr>
      <w:r w:rsidRPr="00B0658A">
        <w:rPr>
          <w:rFonts w:ascii="Times New Roman" w:hAnsi="Times New Roman"/>
          <w:sz w:val="28"/>
          <w:szCs w:val="28"/>
        </w:rPr>
        <w:t xml:space="preserve">2. </w:t>
      </w:r>
      <w:r w:rsidRPr="00B0658A">
        <w:rPr>
          <w:rFonts w:ascii="Times New Roman" w:hAnsi="Times New Roman"/>
          <w:sz w:val="28"/>
          <w:szCs w:val="24"/>
        </w:rPr>
        <w:t>Сведения о достижении показателей эффективности перехода на использование российского ПО на значимых объект</w:t>
      </w:r>
      <w:r w:rsidR="0049104B" w:rsidRPr="00B0658A">
        <w:rPr>
          <w:rFonts w:ascii="Times New Roman" w:hAnsi="Times New Roman"/>
          <w:sz w:val="28"/>
          <w:szCs w:val="24"/>
        </w:rPr>
        <w:t>ах</w:t>
      </w:r>
      <w:r w:rsidRPr="00B0658A">
        <w:rPr>
          <w:rFonts w:ascii="Times New Roman" w:hAnsi="Times New Roman"/>
          <w:sz w:val="28"/>
          <w:szCs w:val="24"/>
        </w:rPr>
        <w:t xml:space="preserve"> КИИ</w:t>
      </w:r>
    </w:p>
    <w:tbl>
      <w:tblPr>
        <w:tblStyle w:val="afc"/>
        <w:tblW w:w="5000" w:type="pct"/>
        <w:tblLook w:val="0480" w:firstRow="0" w:lastRow="0" w:firstColumn="1" w:lastColumn="0" w:noHBand="0" w:noVBand="1"/>
      </w:tblPr>
      <w:tblGrid>
        <w:gridCol w:w="516"/>
        <w:gridCol w:w="3241"/>
        <w:gridCol w:w="1581"/>
        <w:gridCol w:w="3085"/>
        <w:gridCol w:w="2929"/>
        <w:gridCol w:w="2592"/>
      </w:tblGrid>
      <w:tr w:rsidR="00F52FED" w:rsidRPr="00B0658A" w14:paraId="728073A2" w14:textId="77777777" w:rsidTr="00F57B1F">
        <w:trPr>
          <w:trHeight w:val="1309"/>
          <w:tblHeader/>
        </w:trPr>
        <w:tc>
          <w:tcPr>
            <w:tcW w:w="197" w:type="pct"/>
            <w:vMerge w:val="restart"/>
            <w:shd w:val="clear" w:color="auto" w:fill="auto"/>
            <w:vAlign w:val="center"/>
          </w:tcPr>
          <w:p w14:paraId="62B5257C" w14:textId="77777777" w:rsidR="004F1366" w:rsidRPr="00B0658A" w:rsidRDefault="004F1366" w:rsidP="000A4114">
            <w:pPr>
              <w:spacing w:after="0" w:line="240" w:lineRule="auto"/>
              <w:jc w:val="center"/>
              <w:rPr>
                <w:rFonts w:ascii="Times New Roman" w:hAnsi="Times New Roman"/>
                <w:b/>
                <w:bCs/>
                <w:sz w:val="20"/>
                <w:szCs w:val="20"/>
              </w:rPr>
            </w:pPr>
            <w:r w:rsidRPr="00B0658A">
              <w:rPr>
                <w:rFonts w:ascii="Times New Roman" w:hAnsi="Times New Roman"/>
                <w:b/>
                <w:bCs/>
                <w:sz w:val="20"/>
                <w:szCs w:val="20"/>
              </w:rPr>
              <w:t>№</w:t>
            </w:r>
          </w:p>
          <w:p w14:paraId="5A6BE5CE" w14:textId="77777777" w:rsidR="004F1366" w:rsidRPr="00B0658A" w:rsidRDefault="004F1366" w:rsidP="000A4114">
            <w:pPr>
              <w:spacing w:after="0" w:line="240" w:lineRule="auto"/>
              <w:jc w:val="center"/>
              <w:rPr>
                <w:rFonts w:ascii="Times New Roman" w:hAnsi="Times New Roman"/>
                <w:b/>
                <w:bCs/>
                <w:sz w:val="20"/>
                <w:szCs w:val="20"/>
              </w:rPr>
            </w:pPr>
          </w:p>
        </w:tc>
        <w:tc>
          <w:tcPr>
            <w:tcW w:w="1174" w:type="pct"/>
            <w:vMerge w:val="restart"/>
            <w:shd w:val="clear" w:color="auto" w:fill="auto"/>
            <w:vAlign w:val="center"/>
          </w:tcPr>
          <w:p w14:paraId="785BEEEB" w14:textId="77777777" w:rsidR="004F1366" w:rsidRPr="00B0658A" w:rsidRDefault="004F1366" w:rsidP="000A4114">
            <w:pPr>
              <w:spacing w:after="0" w:line="240" w:lineRule="auto"/>
              <w:jc w:val="center"/>
              <w:rPr>
                <w:rFonts w:ascii="Times New Roman" w:hAnsi="Times New Roman"/>
                <w:b/>
                <w:bCs/>
                <w:sz w:val="20"/>
                <w:szCs w:val="20"/>
              </w:rPr>
            </w:pPr>
            <w:r w:rsidRPr="00B0658A">
              <w:rPr>
                <w:rFonts w:ascii="Times New Roman" w:hAnsi="Times New Roman"/>
                <w:b/>
                <w:bCs/>
                <w:sz w:val="20"/>
                <w:szCs w:val="20"/>
              </w:rPr>
              <w:t xml:space="preserve">Наименование класса </w:t>
            </w:r>
            <w:r w:rsidRPr="00B0658A">
              <w:rPr>
                <w:rFonts w:ascii="Times New Roman" w:hAnsi="Times New Roman"/>
                <w:b/>
                <w:bCs/>
                <w:sz w:val="20"/>
                <w:szCs w:val="20"/>
                <w:lang w:val="en-US"/>
              </w:rPr>
              <w:t xml:space="preserve">/ </w:t>
            </w:r>
            <w:r w:rsidRPr="00B0658A">
              <w:rPr>
                <w:rFonts w:ascii="Times New Roman" w:hAnsi="Times New Roman"/>
                <w:b/>
                <w:bCs/>
                <w:sz w:val="20"/>
                <w:szCs w:val="20"/>
              </w:rPr>
              <w:t>типа ПО</w:t>
            </w:r>
          </w:p>
        </w:tc>
        <w:tc>
          <w:tcPr>
            <w:tcW w:w="508" w:type="pct"/>
            <w:vMerge w:val="restart"/>
            <w:vAlign w:val="center"/>
          </w:tcPr>
          <w:p w14:paraId="79E99A77" w14:textId="77777777" w:rsidR="004F1366" w:rsidRPr="00B0658A" w:rsidRDefault="004F1366" w:rsidP="000A4114">
            <w:pPr>
              <w:spacing w:after="0" w:line="240" w:lineRule="auto"/>
              <w:jc w:val="center"/>
              <w:rPr>
                <w:rFonts w:ascii="Times New Roman" w:hAnsi="Times New Roman"/>
                <w:b/>
                <w:bCs/>
                <w:sz w:val="20"/>
                <w:szCs w:val="20"/>
              </w:rPr>
            </w:pPr>
            <w:r w:rsidRPr="00B0658A">
              <w:rPr>
                <w:rFonts w:ascii="Times New Roman" w:hAnsi="Times New Roman"/>
                <w:b/>
                <w:bCs/>
                <w:sz w:val="20"/>
                <w:szCs w:val="20"/>
              </w:rPr>
              <w:t>Единицы измерения уровня использования</w:t>
            </w:r>
          </w:p>
        </w:tc>
        <w:tc>
          <w:tcPr>
            <w:tcW w:w="2180" w:type="pct"/>
            <w:gridSpan w:val="2"/>
            <w:shd w:val="clear" w:color="auto" w:fill="auto"/>
            <w:vAlign w:val="center"/>
          </w:tcPr>
          <w:p w14:paraId="11D7B30E" w14:textId="77777777" w:rsidR="004F1366" w:rsidRPr="00B0658A" w:rsidRDefault="004F1366" w:rsidP="000A4114">
            <w:pPr>
              <w:spacing w:after="0" w:line="240" w:lineRule="auto"/>
              <w:jc w:val="center"/>
              <w:rPr>
                <w:rFonts w:ascii="Times New Roman" w:hAnsi="Times New Roman"/>
                <w:b/>
                <w:bCs/>
                <w:sz w:val="20"/>
                <w:szCs w:val="20"/>
              </w:rPr>
            </w:pPr>
            <w:r w:rsidRPr="00B0658A">
              <w:rPr>
                <w:rFonts w:ascii="Times New Roman" w:hAnsi="Times New Roman"/>
                <w:b/>
                <w:bCs/>
                <w:sz w:val="20"/>
                <w:szCs w:val="20"/>
              </w:rPr>
              <w:t>Сведения о достижении показателей эффективности перехода на использование российского ПО на значимых объектах КИИ</w:t>
            </w:r>
            <w:r w:rsidRPr="00B0658A">
              <w:rPr>
                <w:rFonts w:ascii="Times New Roman" w:hAnsi="Times New Roman"/>
                <w:b/>
                <w:bCs/>
                <w:sz w:val="20"/>
                <w:szCs w:val="20"/>
              </w:rPr>
              <w:br/>
              <w:t>за _____ год</w:t>
            </w:r>
          </w:p>
        </w:tc>
        <w:tc>
          <w:tcPr>
            <w:tcW w:w="941" w:type="pct"/>
            <w:vMerge w:val="restart"/>
            <w:shd w:val="clear" w:color="auto" w:fill="auto"/>
            <w:vAlign w:val="center"/>
          </w:tcPr>
          <w:p w14:paraId="1AFCE240" w14:textId="77777777" w:rsidR="004F1366" w:rsidRPr="00B0658A" w:rsidRDefault="004F1366" w:rsidP="000A4114">
            <w:pPr>
              <w:spacing w:after="0" w:line="240" w:lineRule="auto"/>
              <w:jc w:val="center"/>
              <w:rPr>
                <w:rFonts w:ascii="Times New Roman" w:hAnsi="Times New Roman"/>
                <w:b/>
                <w:bCs/>
                <w:sz w:val="20"/>
                <w:szCs w:val="20"/>
              </w:rPr>
            </w:pPr>
            <w:r w:rsidRPr="00B0658A">
              <w:rPr>
                <w:rFonts w:ascii="Times New Roman" w:hAnsi="Times New Roman"/>
                <w:b/>
                <w:bCs/>
                <w:sz w:val="20"/>
                <w:szCs w:val="20"/>
              </w:rPr>
              <w:t xml:space="preserve">Сведения о российском/евразийском ПО, на использование которого был осуществлен переход </w:t>
            </w:r>
          </w:p>
        </w:tc>
      </w:tr>
      <w:tr w:rsidR="00F52FED" w:rsidRPr="00B0658A" w14:paraId="26238545" w14:textId="77777777" w:rsidTr="004F1366">
        <w:trPr>
          <w:trHeight w:val="170"/>
        </w:trPr>
        <w:tc>
          <w:tcPr>
            <w:tcW w:w="197" w:type="pct"/>
            <w:vMerge/>
            <w:shd w:val="clear" w:color="auto" w:fill="auto"/>
          </w:tcPr>
          <w:p w14:paraId="44E10B82" w14:textId="77777777" w:rsidR="004F1366" w:rsidRPr="00B0658A" w:rsidRDefault="004F1366" w:rsidP="000A4114">
            <w:pPr>
              <w:spacing w:after="0" w:line="240" w:lineRule="auto"/>
              <w:rPr>
                <w:rFonts w:ascii="Times New Roman" w:hAnsi="Times New Roman"/>
                <w:b/>
                <w:bCs/>
                <w:sz w:val="20"/>
                <w:szCs w:val="20"/>
              </w:rPr>
            </w:pPr>
          </w:p>
        </w:tc>
        <w:tc>
          <w:tcPr>
            <w:tcW w:w="1174" w:type="pct"/>
            <w:vMerge/>
            <w:shd w:val="clear" w:color="auto" w:fill="auto"/>
          </w:tcPr>
          <w:p w14:paraId="0883453C" w14:textId="77777777" w:rsidR="004F1366" w:rsidRPr="00B0658A" w:rsidRDefault="004F1366" w:rsidP="000A4114">
            <w:pPr>
              <w:spacing w:after="0" w:line="240" w:lineRule="auto"/>
              <w:rPr>
                <w:rFonts w:ascii="Times New Roman" w:hAnsi="Times New Roman"/>
                <w:b/>
                <w:bCs/>
                <w:sz w:val="20"/>
                <w:szCs w:val="20"/>
              </w:rPr>
            </w:pPr>
          </w:p>
        </w:tc>
        <w:tc>
          <w:tcPr>
            <w:tcW w:w="508" w:type="pct"/>
            <w:vMerge/>
          </w:tcPr>
          <w:p w14:paraId="2F03BB75" w14:textId="77777777" w:rsidR="004F1366" w:rsidRPr="00B0658A" w:rsidRDefault="004F1366" w:rsidP="000A4114">
            <w:pPr>
              <w:spacing w:after="0" w:line="240" w:lineRule="auto"/>
              <w:jc w:val="center"/>
              <w:rPr>
                <w:rFonts w:ascii="Times New Roman" w:hAnsi="Times New Roman"/>
                <w:b/>
                <w:bCs/>
                <w:sz w:val="20"/>
                <w:szCs w:val="20"/>
              </w:rPr>
            </w:pPr>
          </w:p>
        </w:tc>
        <w:tc>
          <w:tcPr>
            <w:tcW w:w="1118" w:type="pct"/>
            <w:shd w:val="clear" w:color="auto" w:fill="auto"/>
            <w:vAlign w:val="center"/>
          </w:tcPr>
          <w:p w14:paraId="3D3B34DF" w14:textId="77777777" w:rsidR="004F1366" w:rsidRPr="00B0658A" w:rsidRDefault="004F1366" w:rsidP="000A4114">
            <w:pPr>
              <w:spacing w:after="0" w:line="240" w:lineRule="auto"/>
              <w:jc w:val="center"/>
              <w:rPr>
                <w:rFonts w:ascii="Times New Roman" w:hAnsi="Times New Roman"/>
                <w:b/>
                <w:bCs/>
                <w:sz w:val="20"/>
                <w:szCs w:val="20"/>
              </w:rPr>
            </w:pPr>
            <w:r w:rsidRPr="00B0658A">
              <w:rPr>
                <w:rFonts w:ascii="Times New Roman" w:hAnsi="Times New Roman"/>
                <w:b/>
                <w:bCs/>
                <w:sz w:val="20"/>
                <w:szCs w:val="20"/>
              </w:rPr>
              <w:t>План</w:t>
            </w:r>
          </w:p>
        </w:tc>
        <w:tc>
          <w:tcPr>
            <w:tcW w:w="1062" w:type="pct"/>
            <w:shd w:val="clear" w:color="auto" w:fill="auto"/>
          </w:tcPr>
          <w:p w14:paraId="23681FC9" w14:textId="77777777" w:rsidR="004F1366" w:rsidRPr="00B0658A" w:rsidRDefault="004F1366" w:rsidP="000A4114">
            <w:pPr>
              <w:spacing w:after="0" w:line="240" w:lineRule="auto"/>
              <w:jc w:val="center"/>
              <w:rPr>
                <w:rFonts w:ascii="Times New Roman" w:hAnsi="Times New Roman"/>
                <w:b/>
                <w:bCs/>
                <w:sz w:val="20"/>
                <w:szCs w:val="20"/>
              </w:rPr>
            </w:pPr>
            <w:r w:rsidRPr="00B0658A">
              <w:rPr>
                <w:rFonts w:ascii="Times New Roman" w:hAnsi="Times New Roman"/>
                <w:b/>
                <w:bCs/>
                <w:sz w:val="20"/>
                <w:szCs w:val="20"/>
              </w:rPr>
              <w:t>Факт</w:t>
            </w:r>
          </w:p>
        </w:tc>
        <w:tc>
          <w:tcPr>
            <w:tcW w:w="941" w:type="pct"/>
            <w:vMerge/>
            <w:shd w:val="clear" w:color="auto" w:fill="auto"/>
          </w:tcPr>
          <w:p w14:paraId="6C983483" w14:textId="77777777" w:rsidR="004F1366" w:rsidRPr="00B0658A" w:rsidRDefault="004F1366" w:rsidP="000A4114">
            <w:pPr>
              <w:spacing w:after="0" w:line="240" w:lineRule="auto"/>
              <w:rPr>
                <w:rFonts w:ascii="Times New Roman" w:hAnsi="Times New Roman"/>
                <w:b/>
                <w:bCs/>
                <w:sz w:val="20"/>
                <w:szCs w:val="20"/>
              </w:rPr>
            </w:pPr>
          </w:p>
        </w:tc>
      </w:tr>
      <w:tr w:rsidR="00F52FED" w:rsidRPr="00B0658A" w14:paraId="47079307" w14:textId="77777777" w:rsidTr="004F1366">
        <w:trPr>
          <w:trHeight w:val="57"/>
        </w:trPr>
        <w:tc>
          <w:tcPr>
            <w:tcW w:w="5000" w:type="pct"/>
            <w:gridSpan w:val="6"/>
            <w:shd w:val="clear" w:color="auto" w:fill="auto"/>
            <w:vAlign w:val="center"/>
          </w:tcPr>
          <w:p w14:paraId="3BBC6F53" w14:textId="77777777" w:rsidR="004F1366" w:rsidRPr="00B0658A" w:rsidRDefault="004F1366" w:rsidP="00CB1F35">
            <w:pPr>
              <w:pStyle w:val="afd"/>
              <w:numPr>
                <w:ilvl w:val="0"/>
                <w:numId w:val="31"/>
              </w:numPr>
              <w:spacing w:after="0" w:line="240" w:lineRule="auto"/>
              <w:ind w:left="315"/>
              <w:jc w:val="both"/>
              <w:rPr>
                <w:rFonts w:ascii="Times New Roman" w:hAnsi="Times New Roman"/>
                <w:i/>
                <w:iCs/>
                <w:sz w:val="20"/>
                <w:szCs w:val="20"/>
              </w:rPr>
            </w:pPr>
            <w:r w:rsidRPr="00B0658A">
              <w:rPr>
                <w:rFonts w:ascii="Times New Roman" w:hAnsi="Times New Roman"/>
                <w:b/>
                <w:sz w:val="20"/>
                <w:szCs w:val="20"/>
              </w:rPr>
              <w:t>Сведения о достижении показателей эффективности перехода в отношении ________ (наименование значимого объекта КИИ №1)</w:t>
            </w:r>
          </w:p>
        </w:tc>
      </w:tr>
      <w:tr w:rsidR="00F52FED" w:rsidRPr="00B0658A" w14:paraId="23EA8B34" w14:textId="77777777" w:rsidTr="004F1366">
        <w:trPr>
          <w:trHeight w:val="3225"/>
        </w:trPr>
        <w:tc>
          <w:tcPr>
            <w:tcW w:w="197" w:type="pct"/>
            <w:shd w:val="clear" w:color="auto" w:fill="auto"/>
            <w:vAlign w:val="center"/>
          </w:tcPr>
          <w:p w14:paraId="08A03F26" w14:textId="77777777" w:rsidR="004F1366" w:rsidRPr="00B0658A" w:rsidRDefault="004F1366" w:rsidP="000A4114">
            <w:pPr>
              <w:spacing w:after="0" w:line="240" w:lineRule="auto"/>
              <w:rPr>
                <w:rFonts w:ascii="Times New Roman" w:hAnsi="Times New Roman"/>
                <w:sz w:val="20"/>
                <w:szCs w:val="20"/>
              </w:rPr>
            </w:pPr>
            <w:r w:rsidRPr="00B0658A">
              <w:rPr>
                <w:rFonts w:ascii="Times New Roman" w:hAnsi="Times New Roman"/>
                <w:sz w:val="20"/>
                <w:szCs w:val="20"/>
              </w:rPr>
              <w:t>1.1</w:t>
            </w:r>
          </w:p>
        </w:tc>
        <w:tc>
          <w:tcPr>
            <w:tcW w:w="1174" w:type="pct"/>
            <w:shd w:val="clear" w:color="auto" w:fill="auto"/>
          </w:tcPr>
          <w:p w14:paraId="06A352D9" w14:textId="77777777" w:rsidR="004F1366" w:rsidRPr="00B0658A" w:rsidRDefault="004F1366" w:rsidP="000A4114">
            <w:pPr>
              <w:spacing w:after="0" w:line="240" w:lineRule="auto"/>
              <w:rPr>
                <w:rFonts w:ascii="Times New Roman" w:hAnsi="Times New Roman"/>
                <w:i/>
                <w:sz w:val="20"/>
                <w:szCs w:val="20"/>
              </w:rPr>
            </w:pPr>
            <w:r w:rsidRPr="00B0658A">
              <w:rPr>
                <w:rFonts w:ascii="Times New Roman" w:hAnsi="Times New Roman"/>
                <w:i/>
                <w:sz w:val="20"/>
                <w:szCs w:val="20"/>
              </w:rPr>
              <w:t xml:space="preserve">Указывается класс (тип) №1 ПО, используемого на значимом объекте КИИ №1 в соответствии с утвержденным детализированным планом перехода </w:t>
            </w:r>
            <w:r w:rsidR="004559C7" w:rsidRPr="00B0658A">
              <w:rPr>
                <w:rFonts w:ascii="Times New Roman" w:hAnsi="Times New Roman"/>
                <w:i/>
                <w:sz w:val="20"/>
                <w:szCs w:val="20"/>
              </w:rPr>
              <w:t xml:space="preserve">иной организации </w:t>
            </w:r>
            <w:r w:rsidRPr="00B0658A">
              <w:rPr>
                <w:rFonts w:ascii="Times New Roman" w:hAnsi="Times New Roman"/>
                <w:i/>
                <w:sz w:val="20"/>
                <w:szCs w:val="20"/>
              </w:rPr>
              <w:t>на использование российского ПО на значимых объектах КИИ</w:t>
            </w:r>
          </w:p>
        </w:tc>
        <w:tc>
          <w:tcPr>
            <w:tcW w:w="508" w:type="pct"/>
          </w:tcPr>
          <w:p w14:paraId="42AE1198" w14:textId="77777777" w:rsidR="004F1366" w:rsidRPr="00B0658A" w:rsidRDefault="004F1366" w:rsidP="000A4114">
            <w:pPr>
              <w:spacing w:after="0" w:line="240" w:lineRule="auto"/>
              <w:rPr>
                <w:rFonts w:ascii="Times New Roman" w:hAnsi="Times New Roman"/>
                <w:i/>
                <w:iCs/>
                <w:sz w:val="20"/>
                <w:szCs w:val="20"/>
              </w:rPr>
            </w:pPr>
            <w:r w:rsidRPr="00B0658A">
              <w:rPr>
                <w:rFonts w:ascii="Times New Roman" w:hAnsi="Times New Roman"/>
                <w:i/>
                <w:iCs/>
                <w:sz w:val="20"/>
                <w:szCs w:val="20"/>
              </w:rPr>
              <w:t xml:space="preserve">Указывается единица измерения уровня использования </w:t>
            </w:r>
          </w:p>
        </w:tc>
        <w:tc>
          <w:tcPr>
            <w:tcW w:w="1118" w:type="pct"/>
            <w:shd w:val="clear" w:color="auto" w:fill="auto"/>
          </w:tcPr>
          <w:p w14:paraId="2AE5C7FD" w14:textId="77777777" w:rsidR="004F1366" w:rsidRPr="00B0658A" w:rsidRDefault="004F1366" w:rsidP="000A4114">
            <w:pPr>
              <w:spacing w:after="0" w:line="240" w:lineRule="auto"/>
              <w:rPr>
                <w:rFonts w:ascii="Times New Roman" w:hAnsi="Times New Roman"/>
                <w:i/>
                <w:iCs/>
                <w:sz w:val="20"/>
                <w:szCs w:val="20"/>
              </w:rPr>
            </w:pPr>
            <w:r w:rsidRPr="00B0658A">
              <w:rPr>
                <w:rFonts w:ascii="Times New Roman" w:hAnsi="Times New Roman"/>
                <w:i/>
                <w:iCs/>
                <w:sz w:val="20"/>
                <w:szCs w:val="20"/>
              </w:rPr>
              <w:t xml:space="preserve">Указывается плановое значение показателя эффективности на соответствующий год для соответствующего класса ПО, используемого на значимом объекте КИИ, в соответствии с утвержденным </w:t>
            </w:r>
            <w:r w:rsidRPr="00B0658A">
              <w:rPr>
                <w:rFonts w:ascii="Times New Roman" w:hAnsi="Times New Roman"/>
                <w:i/>
                <w:sz w:val="20"/>
                <w:szCs w:val="20"/>
              </w:rPr>
              <w:t>детализированным</w:t>
            </w:r>
            <w:r w:rsidRPr="00B0658A">
              <w:rPr>
                <w:rFonts w:ascii="Times New Roman" w:hAnsi="Times New Roman"/>
                <w:i/>
                <w:iCs/>
                <w:sz w:val="20"/>
                <w:szCs w:val="20"/>
              </w:rPr>
              <w:t xml:space="preserve"> планом перехода </w:t>
            </w:r>
            <w:r w:rsidR="004559C7" w:rsidRPr="00B0658A">
              <w:rPr>
                <w:rFonts w:ascii="Times New Roman" w:hAnsi="Times New Roman"/>
                <w:i/>
                <w:sz w:val="20"/>
                <w:szCs w:val="20"/>
              </w:rPr>
              <w:t xml:space="preserve">иной организации </w:t>
            </w:r>
            <w:r w:rsidRPr="00B0658A">
              <w:rPr>
                <w:rFonts w:ascii="Times New Roman" w:hAnsi="Times New Roman"/>
                <w:i/>
                <w:iCs/>
                <w:sz w:val="20"/>
                <w:szCs w:val="20"/>
              </w:rPr>
              <w:t>на использование российского ПО на значимых объектах КИИ</w:t>
            </w:r>
          </w:p>
        </w:tc>
        <w:tc>
          <w:tcPr>
            <w:tcW w:w="1062" w:type="pct"/>
            <w:shd w:val="clear" w:color="auto" w:fill="auto"/>
          </w:tcPr>
          <w:p w14:paraId="4C361199" w14:textId="77777777" w:rsidR="004F1366" w:rsidRPr="00B0658A" w:rsidRDefault="004F1366" w:rsidP="000A4114">
            <w:pPr>
              <w:spacing w:after="0" w:line="240" w:lineRule="auto"/>
              <w:rPr>
                <w:rFonts w:ascii="Times New Roman" w:hAnsi="Times New Roman"/>
                <w:i/>
                <w:iCs/>
                <w:sz w:val="20"/>
                <w:szCs w:val="20"/>
              </w:rPr>
            </w:pPr>
            <w:r w:rsidRPr="00B0658A">
              <w:rPr>
                <w:rFonts w:ascii="Times New Roman" w:hAnsi="Times New Roman"/>
                <w:i/>
                <w:iCs/>
                <w:sz w:val="20"/>
                <w:szCs w:val="20"/>
              </w:rPr>
              <w:t>Указывается фактически достигнутое значение показателя использования российского и евразийского ПО, используемого на значимом объекте КИИ, по итогам соответствующего отчетного периода.</w:t>
            </w:r>
          </w:p>
          <w:p w14:paraId="514DE882" w14:textId="77777777" w:rsidR="004F1366" w:rsidRPr="00B0658A" w:rsidRDefault="004F1366" w:rsidP="000A4114">
            <w:pPr>
              <w:spacing w:after="0" w:line="240" w:lineRule="auto"/>
              <w:rPr>
                <w:rFonts w:ascii="Times New Roman" w:hAnsi="Times New Roman"/>
                <w:i/>
                <w:iCs/>
                <w:sz w:val="20"/>
                <w:szCs w:val="20"/>
              </w:rPr>
            </w:pPr>
          </w:p>
        </w:tc>
        <w:tc>
          <w:tcPr>
            <w:tcW w:w="941" w:type="pct"/>
            <w:shd w:val="clear" w:color="auto" w:fill="auto"/>
          </w:tcPr>
          <w:p w14:paraId="34DD9978" w14:textId="77777777" w:rsidR="004F1366" w:rsidRPr="00B0658A" w:rsidRDefault="004F1366" w:rsidP="000A4114">
            <w:pPr>
              <w:spacing w:after="0" w:line="240" w:lineRule="auto"/>
              <w:jc w:val="both"/>
              <w:rPr>
                <w:rFonts w:ascii="Times New Roman" w:hAnsi="Times New Roman"/>
                <w:i/>
                <w:iCs/>
                <w:sz w:val="20"/>
                <w:szCs w:val="20"/>
              </w:rPr>
            </w:pPr>
            <w:r w:rsidRPr="00B0658A">
              <w:rPr>
                <w:rFonts w:ascii="Times New Roman" w:hAnsi="Times New Roman"/>
                <w:i/>
                <w:iCs/>
                <w:sz w:val="20"/>
                <w:szCs w:val="20"/>
              </w:rPr>
              <w:t>Указывается следующая информация:</w:t>
            </w:r>
          </w:p>
          <w:p w14:paraId="34556D0E" w14:textId="77777777" w:rsidR="004F1366" w:rsidRPr="00B0658A" w:rsidRDefault="004F1366" w:rsidP="000A4114">
            <w:pPr>
              <w:spacing w:after="0" w:line="240" w:lineRule="auto"/>
              <w:jc w:val="both"/>
              <w:rPr>
                <w:rFonts w:ascii="Times New Roman" w:hAnsi="Times New Roman"/>
                <w:i/>
                <w:iCs/>
                <w:sz w:val="20"/>
                <w:szCs w:val="20"/>
              </w:rPr>
            </w:pPr>
            <w:r w:rsidRPr="00B0658A">
              <w:rPr>
                <w:rFonts w:ascii="Times New Roman" w:hAnsi="Times New Roman"/>
                <w:i/>
                <w:iCs/>
                <w:sz w:val="20"/>
                <w:szCs w:val="20"/>
              </w:rPr>
              <w:t>1. Наименование иностранного ПО, которое было замещено;</w:t>
            </w:r>
          </w:p>
          <w:p w14:paraId="4C459178" w14:textId="77777777" w:rsidR="004F1366" w:rsidRPr="00B0658A" w:rsidRDefault="004F1366" w:rsidP="000A4114">
            <w:pPr>
              <w:spacing w:after="0" w:line="240" w:lineRule="auto"/>
              <w:jc w:val="both"/>
              <w:rPr>
                <w:rFonts w:ascii="Times New Roman" w:hAnsi="Times New Roman"/>
                <w:i/>
                <w:iCs/>
                <w:sz w:val="20"/>
                <w:szCs w:val="20"/>
              </w:rPr>
            </w:pPr>
            <w:r w:rsidRPr="00B0658A">
              <w:rPr>
                <w:rFonts w:ascii="Times New Roman" w:hAnsi="Times New Roman"/>
                <w:i/>
                <w:iCs/>
                <w:sz w:val="20"/>
                <w:szCs w:val="20"/>
              </w:rPr>
              <w:t>2. Наименование российского ПО и евразийского ПО, на которое был осуществлен переход, с указанием сведений о номерах записей в едином реестре российского ПО или едином реестре евразийского ПО соответственно.</w:t>
            </w:r>
          </w:p>
        </w:tc>
      </w:tr>
      <w:tr w:rsidR="00F52FED" w:rsidRPr="00B0658A" w14:paraId="60E5AC08" w14:textId="77777777" w:rsidTr="004F1366">
        <w:trPr>
          <w:trHeight w:val="170"/>
        </w:trPr>
        <w:tc>
          <w:tcPr>
            <w:tcW w:w="197" w:type="pct"/>
            <w:shd w:val="clear" w:color="auto" w:fill="auto"/>
            <w:vAlign w:val="center"/>
          </w:tcPr>
          <w:p w14:paraId="77EAFEDD" w14:textId="77777777" w:rsidR="004F1366" w:rsidRPr="00B0658A" w:rsidRDefault="004F1366" w:rsidP="000A4114">
            <w:pPr>
              <w:spacing w:after="0" w:line="240" w:lineRule="auto"/>
              <w:rPr>
                <w:rFonts w:ascii="Times New Roman" w:hAnsi="Times New Roman"/>
                <w:sz w:val="20"/>
                <w:szCs w:val="20"/>
              </w:rPr>
            </w:pPr>
            <w:r w:rsidRPr="00B0658A">
              <w:rPr>
                <w:rFonts w:ascii="Times New Roman" w:hAnsi="Times New Roman"/>
                <w:sz w:val="20"/>
                <w:szCs w:val="20"/>
              </w:rPr>
              <w:t>1.2</w:t>
            </w:r>
          </w:p>
        </w:tc>
        <w:tc>
          <w:tcPr>
            <w:tcW w:w="1174" w:type="pct"/>
            <w:shd w:val="clear" w:color="auto" w:fill="auto"/>
            <w:vAlign w:val="center"/>
          </w:tcPr>
          <w:p w14:paraId="0D404E3D" w14:textId="77777777" w:rsidR="004F1366" w:rsidRPr="00B0658A" w:rsidRDefault="004F1366" w:rsidP="000A4114">
            <w:pPr>
              <w:spacing w:after="0" w:line="240" w:lineRule="auto"/>
              <w:rPr>
                <w:rFonts w:ascii="Times New Roman" w:hAnsi="Times New Roman"/>
                <w:i/>
                <w:iCs/>
                <w:sz w:val="20"/>
                <w:szCs w:val="20"/>
              </w:rPr>
            </w:pPr>
            <w:r w:rsidRPr="00B0658A">
              <w:rPr>
                <w:rFonts w:ascii="Times New Roman" w:hAnsi="Times New Roman"/>
                <w:i/>
                <w:sz w:val="20"/>
                <w:szCs w:val="20"/>
              </w:rPr>
              <w:t>Указывается класс (тип) №2 ПО, используемого на значимом объекте КИИ №1 в соответствии с утвержденным детализированным</w:t>
            </w:r>
            <w:r w:rsidRPr="00B0658A">
              <w:rPr>
                <w:rFonts w:ascii="Times New Roman" w:hAnsi="Times New Roman"/>
                <w:i/>
                <w:iCs/>
                <w:sz w:val="20"/>
                <w:szCs w:val="20"/>
              </w:rPr>
              <w:t xml:space="preserve"> планом перехода </w:t>
            </w:r>
            <w:r w:rsidR="004559C7" w:rsidRPr="00B0658A">
              <w:rPr>
                <w:rFonts w:ascii="Times New Roman" w:hAnsi="Times New Roman"/>
                <w:i/>
                <w:sz w:val="20"/>
                <w:szCs w:val="20"/>
              </w:rPr>
              <w:t xml:space="preserve">иной организации </w:t>
            </w:r>
            <w:r w:rsidRPr="00B0658A">
              <w:rPr>
                <w:rFonts w:ascii="Times New Roman" w:hAnsi="Times New Roman"/>
                <w:i/>
                <w:iCs/>
                <w:sz w:val="20"/>
                <w:szCs w:val="20"/>
              </w:rPr>
              <w:t>на использование российского ПО на значимых объектах КИИ</w:t>
            </w:r>
          </w:p>
        </w:tc>
        <w:tc>
          <w:tcPr>
            <w:tcW w:w="508" w:type="pct"/>
          </w:tcPr>
          <w:p w14:paraId="770627A3" w14:textId="77777777" w:rsidR="004F1366" w:rsidRPr="00B0658A" w:rsidRDefault="004F1366" w:rsidP="000A4114">
            <w:pPr>
              <w:spacing w:after="0" w:line="240" w:lineRule="auto"/>
              <w:rPr>
                <w:rFonts w:ascii="Times New Roman" w:hAnsi="Times New Roman"/>
                <w:i/>
                <w:iCs/>
                <w:sz w:val="20"/>
                <w:szCs w:val="20"/>
              </w:rPr>
            </w:pPr>
          </w:p>
        </w:tc>
        <w:tc>
          <w:tcPr>
            <w:tcW w:w="1118" w:type="pct"/>
            <w:shd w:val="clear" w:color="auto" w:fill="auto"/>
          </w:tcPr>
          <w:p w14:paraId="422BA23C" w14:textId="77777777" w:rsidR="004F1366" w:rsidRPr="00B0658A" w:rsidRDefault="004F1366" w:rsidP="000A4114">
            <w:pPr>
              <w:spacing w:after="0" w:line="240" w:lineRule="auto"/>
              <w:rPr>
                <w:rFonts w:ascii="Times New Roman" w:hAnsi="Times New Roman"/>
                <w:i/>
                <w:iCs/>
                <w:sz w:val="20"/>
                <w:szCs w:val="20"/>
              </w:rPr>
            </w:pPr>
          </w:p>
        </w:tc>
        <w:tc>
          <w:tcPr>
            <w:tcW w:w="1062" w:type="pct"/>
            <w:shd w:val="clear" w:color="auto" w:fill="auto"/>
          </w:tcPr>
          <w:p w14:paraId="1EFBA1C1" w14:textId="77777777" w:rsidR="004F1366" w:rsidRPr="00B0658A" w:rsidRDefault="004F1366" w:rsidP="000A4114">
            <w:pPr>
              <w:spacing w:after="0" w:line="240" w:lineRule="auto"/>
              <w:rPr>
                <w:rFonts w:ascii="Times New Roman" w:hAnsi="Times New Roman"/>
                <w:i/>
                <w:iCs/>
                <w:sz w:val="20"/>
                <w:szCs w:val="20"/>
              </w:rPr>
            </w:pPr>
          </w:p>
        </w:tc>
        <w:tc>
          <w:tcPr>
            <w:tcW w:w="941" w:type="pct"/>
            <w:shd w:val="clear" w:color="auto" w:fill="auto"/>
          </w:tcPr>
          <w:p w14:paraId="3679274E" w14:textId="77777777" w:rsidR="004F1366" w:rsidRPr="00B0658A" w:rsidRDefault="004F1366" w:rsidP="000A4114">
            <w:pPr>
              <w:spacing w:after="0" w:line="240" w:lineRule="auto"/>
              <w:jc w:val="both"/>
              <w:rPr>
                <w:rFonts w:ascii="Times New Roman" w:hAnsi="Times New Roman"/>
                <w:i/>
                <w:iCs/>
                <w:sz w:val="20"/>
                <w:szCs w:val="20"/>
              </w:rPr>
            </w:pPr>
          </w:p>
        </w:tc>
      </w:tr>
      <w:tr w:rsidR="00F52FED" w:rsidRPr="00B0658A" w14:paraId="54F272A1" w14:textId="77777777" w:rsidTr="004F1366">
        <w:trPr>
          <w:trHeight w:val="170"/>
        </w:trPr>
        <w:tc>
          <w:tcPr>
            <w:tcW w:w="197" w:type="pct"/>
            <w:shd w:val="clear" w:color="auto" w:fill="auto"/>
            <w:vAlign w:val="center"/>
          </w:tcPr>
          <w:p w14:paraId="6605A0CC" w14:textId="77777777" w:rsidR="004F1366" w:rsidRPr="00B0658A" w:rsidRDefault="004F1366" w:rsidP="000A4114">
            <w:pPr>
              <w:spacing w:after="0" w:line="240" w:lineRule="auto"/>
              <w:rPr>
                <w:rFonts w:ascii="Times New Roman" w:hAnsi="Times New Roman"/>
                <w:sz w:val="20"/>
                <w:szCs w:val="20"/>
                <w:lang w:val="en-US"/>
              </w:rPr>
            </w:pPr>
            <w:r w:rsidRPr="00B0658A">
              <w:rPr>
                <w:rFonts w:ascii="Times New Roman" w:hAnsi="Times New Roman"/>
                <w:sz w:val="20"/>
                <w:szCs w:val="20"/>
                <w:lang w:val="en-US"/>
              </w:rPr>
              <w:t>..</w:t>
            </w:r>
          </w:p>
        </w:tc>
        <w:tc>
          <w:tcPr>
            <w:tcW w:w="1174" w:type="pct"/>
            <w:shd w:val="clear" w:color="auto" w:fill="auto"/>
            <w:vAlign w:val="center"/>
          </w:tcPr>
          <w:p w14:paraId="00F68F8D" w14:textId="77777777" w:rsidR="004F1366" w:rsidRPr="00B0658A" w:rsidRDefault="004F1366" w:rsidP="000A4114">
            <w:pPr>
              <w:spacing w:after="0" w:line="240" w:lineRule="auto"/>
              <w:rPr>
                <w:rFonts w:ascii="Times New Roman" w:hAnsi="Times New Roman"/>
                <w:i/>
                <w:iCs/>
                <w:sz w:val="20"/>
                <w:szCs w:val="20"/>
                <w:lang w:val="en-US"/>
              </w:rPr>
            </w:pPr>
            <w:r w:rsidRPr="00B0658A">
              <w:rPr>
                <w:rFonts w:ascii="Times New Roman" w:hAnsi="Times New Roman"/>
                <w:i/>
                <w:iCs/>
                <w:sz w:val="20"/>
                <w:szCs w:val="20"/>
                <w:lang w:val="en-US"/>
              </w:rPr>
              <w:t>….</w:t>
            </w:r>
          </w:p>
        </w:tc>
        <w:tc>
          <w:tcPr>
            <w:tcW w:w="508" w:type="pct"/>
          </w:tcPr>
          <w:p w14:paraId="0DEDB4BF" w14:textId="77777777" w:rsidR="004F1366" w:rsidRPr="00B0658A" w:rsidRDefault="004F1366" w:rsidP="000A4114">
            <w:pPr>
              <w:spacing w:after="0" w:line="240" w:lineRule="auto"/>
              <w:rPr>
                <w:rFonts w:ascii="Times New Roman" w:hAnsi="Times New Roman"/>
                <w:i/>
                <w:iCs/>
                <w:sz w:val="20"/>
                <w:szCs w:val="20"/>
              </w:rPr>
            </w:pPr>
          </w:p>
        </w:tc>
        <w:tc>
          <w:tcPr>
            <w:tcW w:w="1118" w:type="pct"/>
            <w:shd w:val="clear" w:color="auto" w:fill="auto"/>
          </w:tcPr>
          <w:p w14:paraId="733BB06B" w14:textId="77777777" w:rsidR="004F1366" w:rsidRPr="00B0658A" w:rsidRDefault="004F1366" w:rsidP="000A4114">
            <w:pPr>
              <w:spacing w:after="0" w:line="240" w:lineRule="auto"/>
              <w:rPr>
                <w:rFonts w:ascii="Times New Roman" w:hAnsi="Times New Roman"/>
                <w:i/>
                <w:iCs/>
                <w:sz w:val="20"/>
                <w:szCs w:val="20"/>
              </w:rPr>
            </w:pPr>
          </w:p>
        </w:tc>
        <w:tc>
          <w:tcPr>
            <w:tcW w:w="1062" w:type="pct"/>
            <w:shd w:val="clear" w:color="auto" w:fill="auto"/>
          </w:tcPr>
          <w:p w14:paraId="53EBE494" w14:textId="77777777" w:rsidR="004F1366" w:rsidRPr="00B0658A" w:rsidRDefault="004F1366" w:rsidP="000A4114">
            <w:pPr>
              <w:spacing w:after="0" w:line="240" w:lineRule="auto"/>
              <w:rPr>
                <w:rFonts w:ascii="Times New Roman" w:hAnsi="Times New Roman"/>
                <w:i/>
                <w:iCs/>
                <w:sz w:val="20"/>
                <w:szCs w:val="20"/>
              </w:rPr>
            </w:pPr>
          </w:p>
        </w:tc>
        <w:tc>
          <w:tcPr>
            <w:tcW w:w="941" w:type="pct"/>
            <w:shd w:val="clear" w:color="auto" w:fill="auto"/>
          </w:tcPr>
          <w:p w14:paraId="1BACF2FC" w14:textId="77777777" w:rsidR="004F1366" w:rsidRPr="00B0658A" w:rsidRDefault="004F1366" w:rsidP="000A4114">
            <w:pPr>
              <w:spacing w:after="0" w:line="240" w:lineRule="auto"/>
              <w:jc w:val="both"/>
              <w:rPr>
                <w:rFonts w:ascii="Times New Roman" w:hAnsi="Times New Roman"/>
                <w:i/>
                <w:iCs/>
                <w:sz w:val="20"/>
                <w:szCs w:val="20"/>
              </w:rPr>
            </w:pPr>
          </w:p>
        </w:tc>
      </w:tr>
      <w:tr w:rsidR="00F52FED" w:rsidRPr="00B0658A" w14:paraId="7E26B9D3" w14:textId="77777777" w:rsidTr="004F1366">
        <w:trPr>
          <w:trHeight w:val="170"/>
        </w:trPr>
        <w:tc>
          <w:tcPr>
            <w:tcW w:w="197" w:type="pct"/>
            <w:shd w:val="clear" w:color="auto" w:fill="auto"/>
            <w:vAlign w:val="center"/>
          </w:tcPr>
          <w:p w14:paraId="74247675" w14:textId="77777777" w:rsidR="004F1366" w:rsidRPr="00B0658A" w:rsidRDefault="004F1366" w:rsidP="000A4114">
            <w:pPr>
              <w:spacing w:after="0" w:line="240" w:lineRule="auto"/>
              <w:rPr>
                <w:rFonts w:ascii="Times New Roman" w:hAnsi="Times New Roman"/>
                <w:sz w:val="20"/>
                <w:szCs w:val="20"/>
                <w:lang w:val="en-US"/>
              </w:rPr>
            </w:pPr>
            <w:r w:rsidRPr="00B0658A">
              <w:rPr>
                <w:rFonts w:ascii="Times New Roman" w:hAnsi="Times New Roman"/>
                <w:sz w:val="20"/>
                <w:szCs w:val="20"/>
                <w:lang w:val="en-US"/>
              </w:rPr>
              <w:t>1</w:t>
            </w:r>
            <w:r w:rsidRPr="00B0658A">
              <w:rPr>
                <w:rFonts w:ascii="Times New Roman" w:hAnsi="Times New Roman"/>
                <w:sz w:val="20"/>
                <w:szCs w:val="20"/>
              </w:rPr>
              <w:t>.</w:t>
            </w:r>
            <w:r w:rsidRPr="00B0658A">
              <w:rPr>
                <w:rFonts w:ascii="Times New Roman" w:hAnsi="Times New Roman"/>
                <w:sz w:val="20"/>
                <w:szCs w:val="20"/>
                <w:lang w:val="en-US"/>
              </w:rPr>
              <w:t>n</w:t>
            </w:r>
          </w:p>
        </w:tc>
        <w:tc>
          <w:tcPr>
            <w:tcW w:w="1174" w:type="pct"/>
            <w:shd w:val="clear" w:color="auto" w:fill="auto"/>
            <w:vAlign w:val="center"/>
          </w:tcPr>
          <w:p w14:paraId="35E15CE4" w14:textId="77777777" w:rsidR="004F1366" w:rsidRPr="00B0658A" w:rsidRDefault="004F1366" w:rsidP="000A4114">
            <w:pPr>
              <w:spacing w:after="0" w:line="240" w:lineRule="auto"/>
              <w:rPr>
                <w:rFonts w:ascii="Times New Roman" w:hAnsi="Times New Roman"/>
                <w:i/>
                <w:iCs/>
                <w:sz w:val="20"/>
                <w:szCs w:val="20"/>
              </w:rPr>
            </w:pPr>
            <w:r w:rsidRPr="00B0658A">
              <w:rPr>
                <w:rFonts w:ascii="Times New Roman" w:hAnsi="Times New Roman"/>
                <w:i/>
                <w:sz w:val="20"/>
                <w:szCs w:val="20"/>
              </w:rPr>
              <w:t>Указывается класс (тип) №</w:t>
            </w:r>
            <w:r w:rsidRPr="00B0658A">
              <w:rPr>
                <w:rFonts w:ascii="Times New Roman" w:hAnsi="Times New Roman"/>
                <w:i/>
                <w:sz w:val="20"/>
                <w:szCs w:val="20"/>
                <w:lang w:val="en-US"/>
              </w:rPr>
              <w:t>n</w:t>
            </w:r>
            <w:r w:rsidRPr="00B0658A">
              <w:rPr>
                <w:rFonts w:ascii="Times New Roman" w:hAnsi="Times New Roman"/>
                <w:i/>
                <w:sz w:val="20"/>
                <w:szCs w:val="20"/>
              </w:rPr>
              <w:t xml:space="preserve"> ПО, используемого на значимом объекте КИИ №1 в соответствии с утвержденным детализированным</w:t>
            </w:r>
            <w:r w:rsidRPr="00B0658A">
              <w:rPr>
                <w:rFonts w:ascii="Times New Roman" w:hAnsi="Times New Roman"/>
                <w:i/>
                <w:iCs/>
                <w:sz w:val="20"/>
                <w:szCs w:val="20"/>
              </w:rPr>
              <w:t xml:space="preserve"> планом перехода </w:t>
            </w:r>
            <w:r w:rsidR="004559C7" w:rsidRPr="00B0658A">
              <w:rPr>
                <w:rFonts w:ascii="Times New Roman" w:hAnsi="Times New Roman"/>
                <w:i/>
                <w:sz w:val="20"/>
                <w:szCs w:val="20"/>
              </w:rPr>
              <w:t xml:space="preserve">иной организации </w:t>
            </w:r>
            <w:r w:rsidRPr="00B0658A">
              <w:rPr>
                <w:rFonts w:ascii="Times New Roman" w:hAnsi="Times New Roman"/>
                <w:i/>
                <w:iCs/>
                <w:sz w:val="20"/>
                <w:szCs w:val="20"/>
              </w:rPr>
              <w:t>на использование российского ПО на значимых объектах КИИ</w:t>
            </w:r>
          </w:p>
        </w:tc>
        <w:tc>
          <w:tcPr>
            <w:tcW w:w="508" w:type="pct"/>
          </w:tcPr>
          <w:p w14:paraId="21B5705F" w14:textId="77777777" w:rsidR="004F1366" w:rsidRPr="00B0658A" w:rsidRDefault="004F1366" w:rsidP="000A4114">
            <w:pPr>
              <w:spacing w:after="0" w:line="240" w:lineRule="auto"/>
              <w:rPr>
                <w:rFonts w:ascii="Times New Roman" w:hAnsi="Times New Roman"/>
                <w:i/>
                <w:iCs/>
                <w:sz w:val="20"/>
                <w:szCs w:val="20"/>
              </w:rPr>
            </w:pPr>
          </w:p>
        </w:tc>
        <w:tc>
          <w:tcPr>
            <w:tcW w:w="1118" w:type="pct"/>
            <w:shd w:val="clear" w:color="auto" w:fill="auto"/>
          </w:tcPr>
          <w:p w14:paraId="48A4A24F" w14:textId="77777777" w:rsidR="004F1366" w:rsidRPr="00B0658A" w:rsidRDefault="004F1366" w:rsidP="000A4114">
            <w:pPr>
              <w:spacing w:after="0" w:line="240" w:lineRule="auto"/>
              <w:rPr>
                <w:rFonts w:ascii="Times New Roman" w:hAnsi="Times New Roman"/>
                <w:i/>
                <w:iCs/>
                <w:sz w:val="20"/>
                <w:szCs w:val="20"/>
              </w:rPr>
            </w:pPr>
          </w:p>
        </w:tc>
        <w:tc>
          <w:tcPr>
            <w:tcW w:w="1062" w:type="pct"/>
            <w:shd w:val="clear" w:color="auto" w:fill="auto"/>
          </w:tcPr>
          <w:p w14:paraId="6EF39A92" w14:textId="77777777" w:rsidR="004F1366" w:rsidRPr="00B0658A" w:rsidRDefault="004F1366" w:rsidP="000A4114">
            <w:pPr>
              <w:spacing w:after="0" w:line="240" w:lineRule="auto"/>
              <w:rPr>
                <w:rFonts w:ascii="Times New Roman" w:hAnsi="Times New Roman"/>
                <w:i/>
                <w:iCs/>
                <w:sz w:val="20"/>
                <w:szCs w:val="20"/>
              </w:rPr>
            </w:pPr>
          </w:p>
        </w:tc>
        <w:tc>
          <w:tcPr>
            <w:tcW w:w="941" w:type="pct"/>
            <w:shd w:val="clear" w:color="auto" w:fill="auto"/>
          </w:tcPr>
          <w:p w14:paraId="127DC622" w14:textId="77777777" w:rsidR="004F1366" w:rsidRPr="00B0658A" w:rsidRDefault="004F1366" w:rsidP="000A4114">
            <w:pPr>
              <w:spacing w:after="0" w:line="240" w:lineRule="auto"/>
              <w:jc w:val="both"/>
              <w:rPr>
                <w:rFonts w:ascii="Times New Roman" w:hAnsi="Times New Roman"/>
                <w:i/>
                <w:iCs/>
                <w:sz w:val="20"/>
                <w:szCs w:val="20"/>
              </w:rPr>
            </w:pPr>
          </w:p>
        </w:tc>
      </w:tr>
      <w:tr w:rsidR="00F52FED" w:rsidRPr="00B0658A" w14:paraId="4299F87A" w14:textId="77777777" w:rsidTr="004F1366">
        <w:trPr>
          <w:trHeight w:val="170"/>
        </w:trPr>
        <w:tc>
          <w:tcPr>
            <w:tcW w:w="5000" w:type="pct"/>
            <w:gridSpan w:val="6"/>
            <w:shd w:val="clear" w:color="auto" w:fill="auto"/>
            <w:vAlign w:val="center"/>
          </w:tcPr>
          <w:p w14:paraId="2EB3CBB0" w14:textId="77777777" w:rsidR="004F1366" w:rsidRPr="00B0658A" w:rsidRDefault="004F1366" w:rsidP="00CB1F35">
            <w:pPr>
              <w:pStyle w:val="afd"/>
              <w:numPr>
                <w:ilvl w:val="0"/>
                <w:numId w:val="31"/>
              </w:numPr>
              <w:spacing w:after="0" w:line="240" w:lineRule="auto"/>
              <w:ind w:left="318" w:hanging="284"/>
              <w:rPr>
                <w:rFonts w:ascii="Times New Roman" w:hAnsi="Times New Roman"/>
                <w:i/>
                <w:iCs/>
                <w:sz w:val="20"/>
                <w:szCs w:val="20"/>
              </w:rPr>
            </w:pPr>
            <w:r w:rsidRPr="00B0658A">
              <w:rPr>
                <w:rFonts w:ascii="Times New Roman" w:hAnsi="Times New Roman"/>
                <w:b/>
                <w:sz w:val="20"/>
                <w:szCs w:val="20"/>
              </w:rPr>
              <w:t>Сведения о достижении показателей эффективности перехода в отношении ________ (наименование значимого объекта КИИ №2)</w:t>
            </w:r>
          </w:p>
        </w:tc>
      </w:tr>
      <w:tr w:rsidR="00F52FED" w:rsidRPr="00B0658A" w14:paraId="6A9E0AC7" w14:textId="77777777" w:rsidTr="004F1366">
        <w:trPr>
          <w:trHeight w:val="170"/>
        </w:trPr>
        <w:tc>
          <w:tcPr>
            <w:tcW w:w="197" w:type="pct"/>
            <w:shd w:val="clear" w:color="auto" w:fill="auto"/>
            <w:vAlign w:val="center"/>
          </w:tcPr>
          <w:p w14:paraId="27DE3C7C" w14:textId="77777777" w:rsidR="004F1366" w:rsidRPr="00B0658A" w:rsidRDefault="004F1366" w:rsidP="000A4114">
            <w:pPr>
              <w:spacing w:after="0" w:line="240" w:lineRule="auto"/>
              <w:rPr>
                <w:rFonts w:ascii="Times New Roman" w:hAnsi="Times New Roman"/>
                <w:sz w:val="20"/>
                <w:szCs w:val="20"/>
              </w:rPr>
            </w:pPr>
            <w:r w:rsidRPr="00B0658A">
              <w:rPr>
                <w:rFonts w:ascii="Times New Roman" w:hAnsi="Times New Roman"/>
                <w:sz w:val="20"/>
                <w:szCs w:val="20"/>
                <w:lang w:val="en-US"/>
              </w:rPr>
              <w:t>2</w:t>
            </w:r>
            <w:r w:rsidRPr="00B0658A">
              <w:rPr>
                <w:rFonts w:ascii="Times New Roman" w:hAnsi="Times New Roman"/>
                <w:sz w:val="20"/>
                <w:szCs w:val="20"/>
              </w:rPr>
              <w:t>.1</w:t>
            </w:r>
          </w:p>
        </w:tc>
        <w:tc>
          <w:tcPr>
            <w:tcW w:w="1174" w:type="pct"/>
            <w:shd w:val="clear" w:color="auto" w:fill="auto"/>
            <w:vAlign w:val="center"/>
          </w:tcPr>
          <w:p w14:paraId="13C3248F" w14:textId="77777777" w:rsidR="004F1366" w:rsidRPr="00B0658A" w:rsidRDefault="004F1366" w:rsidP="000A4114">
            <w:pPr>
              <w:spacing w:after="0" w:line="240" w:lineRule="auto"/>
              <w:rPr>
                <w:rFonts w:ascii="Times New Roman" w:hAnsi="Times New Roman"/>
                <w:i/>
                <w:iCs/>
                <w:sz w:val="20"/>
                <w:szCs w:val="20"/>
              </w:rPr>
            </w:pPr>
            <w:r w:rsidRPr="00B0658A">
              <w:rPr>
                <w:rFonts w:ascii="Times New Roman" w:hAnsi="Times New Roman"/>
                <w:i/>
                <w:sz w:val="20"/>
                <w:szCs w:val="20"/>
              </w:rPr>
              <w:t>Указывается класс (тип) №1 ПО, используемого на значимом объекте КИИ №2 в соответствии с утвержденным детализированным</w:t>
            </w:r>
            <w:r w:rsidRPr="00B0658A">
              <w:rPr>
                <w:rFonts w:ascii="Times New Roman" w:hAnsi="Times New Roman"/>
                <w:i/>
                <w:iCs/>
                <w:sz w:val="20"/>
                <w:szCs w:val="20"/>
              </w:rPr>
              <w:t xml:space="preserve"> планом перехода </w:t>
            </w:r>
            <w:r w:rsidR="004559C7" w:rsidRPr="00B0658A">
              <w:rPr>
                <w:rFonts w:ascii="Times New Roman" w:hAnsi="Times New Roman"/>
                <w:i/>
                <w:sz w:val="20"/>
                <w:szCs w:val="20"/>
              </w:rPr>
              <w:t xml:space="preserve">иной организации </w:t>
            </w:r>
            <w:r w:rsidRPr="00B0658A">
              <w:rPr>
                <w:rFonts w:ascii="Times New Roman" w:hAnsi="Times New Roman"/>
                <w:i/>
                <w:iCs/>
                <w:sz w:val="20"/>
                <w:szCs w:val="20"/>
              </w:rPr>
              <w:t>на использование российского ПО на значимых объектах КИИ</w:t>
            </w:r>
          </w:p>
        </w:tc>
        <w:tc>
          <w:tcPr>
            <w:tcW w:w="508" w:type="pct"/>
          </w:tcPr>
          <w:p w14:paraId="405E4EAD" w14:textId="77777777" w:rsidR="004F1366" w:rsidRPr="00B0658A" w:rsidRDefault="004F1366" w:rsidP="000A4114">
            <w:pPr>
              <w:spacing w:after="0" w:line="240" w:lineRule="auto"/>
              <w:rPr>
                <w:rFonts w:ascii="Times New Roman" w:hAnsi="Times New Roman"/>
                <w:i/>
                <w:iCs/>
                <w:sz w:val="20"/>
                <w:szCs w:val="20"/>
              </w:rPr>
            </w:pPr>
          </w:p>
        </w:tc>
        <w:tc>
          <w:tcPr>
            <w:tcW w:w="1118" w:type="pct"/>
            <w:shd w:val="clear" w:color="auto" w:fill="auto"/>
          </w:tcPr>
          <w:p w14:paraId="7CFD1CAF" w14:textId="77777777" w:rsidR="004F1366" w:rsidRPr="00B0658A" w:rsidRDefault="004F1366" w:rsidP="000A4114">
            <w:pPr>
              <w:spacing w:after="0" w:line="240" w:lineRule="auto"/>
              <w:rPr>
                <w:rFonts w:ascii="Times New Roman" w:hAnsi="Times New Roman"/>
                <w:i/>
                <w:iCs/>
                <w:sz w:val="20"/>
                <w:szCs w:val="20"/>
              </w:rPr>
            </w:pPr>
          </w:p>
        </w:tc>
        <w:tc>
          <w:tcPr>
            <w:tcW w:w="1062" w:type="pct"/>
            <w:shd w:val="clear" w:color="auto" w:fill="auto"/>
          </w:tcPr>
          <w:p w14:paraId="15425D9D" w14:textId="77777777" w:rsidR="004F1366" w:rsidRPr="00B0658A" w:rsidRDefault="004F1366" w:rsidP="000A4114">
            <w:pPr>
              <w:spacing w:after="0" w:line="240" w:lineRule="auto"/>
              <w:rPr>
                <w:rFonts w:ascii="Times New Roman" w:hAnsi="Times New Roman"/>
                <w:i/>
                <w:iCs/>
                <w:sz w:val="20"/>
                <w:szCs w:val="20"/>
              </w:rPr>
            </w:pPr>
          </w:p>
        </w:tc>
        <w:tc>
          <w:tcPr>
            <w:tcW w:w="941" w:type="pct"/>
            <w:shd w:val="clear" w:color="auto" w:fill="auto"/>
          </w:tcPr>
          <w:p w14:paraId="2E0E0336" w14:textId="77777777" w:rsidR="004F1366" w:rsidRPr="00B0658A" w:rsidRDefault="004F1366" w:rsidP="000A4114">
            <w:pPr>
              <w:spacing w:after="0" w:line="240" w:lineRule="auto"/>
              <w:jc w:val="both"/>
              <w:rPr>
                <w:rFonts w:ascii="Times New Roman" w:hAnsi="Times New Roman"/>
                <w:i/>
                <w:iCs/>
                <w:sz w:val="20"/>
                <w:szCs w:val="20"/>
              </w:rPr>
            </w:pPr>
          </w:p>
        </w:tc>
      </w:tr>
      <w:tr w:rsidR="00F52FED" w:rsidRPr="00B0658A" w14:paraId="6BE8EA9E" w14:textId="77777777" w:rsidTr="004F1366">
        <w:trPr>
          <w:trHeight w:val="170"/>
        </w:trPr>
        <w:tc>
          <w:tcPr>
            <w:tcW w:w="197" w:type="pct"/>
            <w:shd w:val="clear" w:color="auto" w:fill="auto"/>
            <w:vAlign w:val="center"/>
          </w:tcPr>
          <w:p w14:paraId="4C105E2B" w14:textId="77777777" w:rsidR="004F1366" w:rsidRPr="00B0658A" w:rsidRDefault="004F1366" w:rsidP="000A4114">
            <w:pPr>
              <w:spacing w:after="0" w:line="240" w:lineRule="auto"/>
              <w:rPr>
                <w:rFonts w:ascii="Times New Roman" w:hAnsi="Times New Roman"/>
                <w:sz w:val="20"/>
                <w:szCs w:val="20"/>
                <w:lang w:val="en-US"/>
              </w:rPr>
            </w:pPr>
            <w:r w:rsidRPr="00B0658A">
              <w:rPr>
                <w:rFonts w:ascii="Times New Roman" w:hAnsi="Times New Roman"/>
                <w:sz w:val="20"/>
                <w:szCs w:val="20"/>
                <w:lang w:val="en-US"/>
              </w:rPr>
              <w:t>2</w:t>
            </w:r>
            <w:r w:rsidRPr="00B0658A">
              <w:rPr>
                <w:rFonts w:ascii="Times New Roman" w:hAnsi="Times New Roman"/>
                <w:sz w:val="20"/>
                <w:szCs w:val="20"/>
              </w:rPr>
              <w:t>.</w:t>
            </w:r>
            <w:r w:rsidRPr="00B0658A">
              <w:rPr>
                <w:rFonts w:ascii="Times New Roman" w:hAnsi="Times New Roman"/>
                <w:sz w:val="20"/>
                <w:szCs w:val="20"/>
                <w:lang w:val="en-US"/>
              </w:rPr>
              <w:t>2</w:t>
            </w:r>
          </w:p>
        </w:tc>
        <w:tc>
          <w:tcPr>
            <w:tcW w:w="1174" w:type="pct"/>
            <w:shd w:val="clear" w:color="auto" w:fill="auto"/>
            <w:vAlign w:val="center"/>
          </w:tcPr>
          <w:p w14:paraId="2AF96459" w14:textId="77777777" w:rsidR="004F1366" w:rsidRPr="00B0658A" w:rsidRDefault="004F1366" w:rsidP="000A4114">
            <w:pPr>
              <w:spacing w:after="0" w:line="240" w:lineRule="auto"/>
              <w:rPr>
                <w:rFonts w:ascii="Times New Roman" w:hAnsi="Times New Roman"/>
                <w:i/>
                <w:iCs/>
                <w:sz w:val="20"/>
                <w:szCs w:val="20"/>
              </w:rPr>
            </w:pPr>
            <w:r w:rsidRPr="00B0658A">
              <w:rPr>
                <w:rFonts w:ascii="Times New Roman" w:hAnsi="Times New Roman"/>
                <w:i/>
                <w:sz w:val="20"/>
                <w:szCs w:val="20"/>
              </w:rPr>
              <w:t xml:space="preserve">Указывается класс (тип) №2 ПО, используемого на значимом объекте КИИ №2 в соответствии с утвержденным детализированным </w:t>
            </w:r>
            <w:r w:rsidRPr="00B0658A">
              <w:rPr>
                <w:rFonts w:ascii="Times New Roman" w:hAnsi="Times New Roman"/>
                <w:i/>
                <w:iCs/>
                <w:sz w:val="20"/>
                <w:szCs w:val="20"/>
              </w:rPr>
              <w:t xml:space="preserve">планом перехода </w:t>
            </w:r>
            <w:r w:rsidR="004559C7" w:rsidRPr="00B0658A">
              <w:rPr>
                <w:rFonts w:ascii="Times New Roman" w:hAnsi="Times New Roman"/>
                <w:i/>
                <w:sz w:val="20"/>
                <w:szCs w:val="20"/>
              </w:rPr>
              <w:t xml:space="preserve">иной организации </w:t>
            </w:r>
            <w:r w:rsidRPr="00B0658A">
              <w:rPr>
                <w:rFonts w:ascii="Times New Roman" w:hAnsi="Times New Roman"/>
                <w:i/>
                <w:iCs/>
                <w:sz w:val="20"/>
                <w:szCs w:val="20"/>
              </w:rPr>
              <w:t>на использование российского ПО на значимых объектах КИИ</w:t>
            </w:r>
          </w:p>
        </w:tc>
        <w:tc>
          <w:tcPr>
            <w:tcW w:w="508" w:type="pct"/>
          </w:tcPr>
          <w:p w14:paraId="3C8B842C" w14:textId="77777777" w:rsidR="004F1366" w:rsidRPr="00B0658A" w:rsidRDefault="004F1366" w:rsidP="000A4114">
            <w:pPr>
              <w:spacing w:after="0" w:line="240" w:lineRule="auto"/>
              <w:rPr>
                <w:rFonts w:ascii="Times New Roman" w:hAnsi="Times New Roman"/>
                <w:i/>
                <w:iCs/>
                <w:sz w:val="20"/>
                <w:szCs w:val="20"/>
              </w:rPr>
            </w:pPr>
          </w:p>
        </w:tc>
        <w:tc>
          <w:tcPr>
            <w:tcW w:w="1118" w:type="pct"/>
            <w:shd w:val="clear" w:color="auto" w:fill="auto"/>
          </w:tcPr>
          <w:p w14:paraId="4F5A5DA8" w14:textId="77777777" w:rsidR="004F1366" w:rsidRPr="00B0658A" w:rsidRDefault="004F1366" w:rsidP="000A4114">
            <w:pPr>
              <w:spacing w:after="0" w:line="240" w:lineRule="auto"/>
              <w:rPr>
                <w:rFonts w:ascii="Times New Roman" w:hAnsi="Times New Roman"/>
                <w:i/>
                <w:iCs/>
                <w:sz w:val="20"/>
                <w:szCs w:val="20"/>
              </w:rPr>
            </w:pPr>
          </w:p>
        </w:tc>
        <w:tc>
          <w:tcPr>
            <w:tcW w:w="1062" w:type="pct"/>
            <w:shd w:val="clear" w:color="auto" w:fill="auto"/>
          </w:tcPr>
          <w:p w14:paraId="58C7CF6B" w14:textId="77777777" w:rsidR="004F1366" w:rsidRPr="00B0658A" w:rsidRDefault="004F1366" w:rsidP="000A4114">
            <w:pPr>
              <w:spacing w:after="0" w:line="240" w:lineRule="auto"/>
              <w:rPr>
                <w:rFonts w:ascii="Times New Roman" w:hAnsi="Times New Roman"/>
                <w:i/>
                <w:iCs/>
                <w:sz w:val="20"/>
                <w:szCs w:val="20"/>
              </w:rPr>
            </w:pPr>
          </w:p>
        </w:tc>
        <w:tc>
          <w:tcPr>
            <w:tcW w:w="941" w:type="pct"/>
            <w:shd w:val="clear" w:color="auto" w:fill="auto"/>
          </w:tcPr>
          <w:p w14:paraId="046D3077" w14:textId="77777777" w:rsidR="004F1366" w:rsidRPr="00B0658A" w:rsidRDefault="004F1366" w:rsidP="000A4114">
            <w:pPr>
              <w:spacing w:after="0" w:line="240" w:lineRule="auto"/>
              <w:jc w:val="both"/>
              <w:rPr>
                <w:rFonts w:ascii="Times New Roman" w:hAnsi="Times New Roman"/>
                <w:i/>
                <w:iCs/>
                <w:sz w:val="20"/>
                <w:szCs w:val="20"/>
              </w:rPr>
            </w:pPr>
          </w:p>
        </w:tc>
      </w:tr>
      <w:tr w:rsidR="00F52FED" w:rsidRPr="00B0658A" w14:paraId="634DC3BC" w14:textId="77777777" w:rsidTr="004F1366">
        <w:trPr>
          <w:trHeight w:val="170"/>
        </w:trPr>
        <w:tc>
          <w:tcPr>
            <w:tcW w:w="197" w:type="pct"/>
            <w:shd w:val="clear" w:color="auto" w:fill="auto"/>
            <w:vAlign w:val="center"/>
          </w:tcPr>
          <w:p w14:paraId="617DA1BD" w14:textId="77777777" w:rsidR="004F1366" w:rsidRPr="00B0658A" w:rsidRDefault="004F1366" w:rsidP="000A4114">
            <w:pPr>
              <w:spacing w:after="0" w:line="240" w:lineRule="auto"/>
              <w:rPr>
                <w:rFonts w:ascii="Times New Roman" w:hAnsi="Times New Roman"/>
                <w:sz w:val="20"/>
                <w:szCs w:val="20"/>
                <w:lang w:val="en-US"/>
              </w:rPr>
            </w:pPr>
            <w:r w:rsidRPr="00B0658A">
              <w:rPr>
                <w:rFonts w:ascii="Times New Roman" w:hAnsi="Times New Roman"/>
                <w:sz w:val="20"/>
                <w:szCs w:val="20"/>
                <w:lang w:val="en-US"/>
              </w:rPr>
              <w:t>..</w:t>
            </w:r>
          </w:p>
        </w:tc>
        <w:tc>
          <w:tcPr>
            <w:tcW w:w="1174" w:type="pct"/>
            <w:shd w:val="clear" w:color="auto" w:fill="auto"/>
            <w:vAlign w:val="center"/>
          </w:tcPr>
          <w:p w14:paraId="2BB2B0B2" w14:textId="77777777" w:rsidR="004F1366" w:rsidRPr="00B0658A" w:rsidRDefault="004F1366" w:rsidP="000A4114">
            <w:pPr>
              <w:spacing w:after="0" w:line="240" w:lineRule="auto"/>
              <w:rPr>
                <w:rFonts w:ascii="Times New Roman" w:hAnsi="Times New Roman"/>
                <w:i/>
                <w:iCs/>
                <w:sz w:val="20"/>
                <w:szCs w:val="20"/>
              </w:rPr>
            </w:pPr>
          </w:p>
        </w:tc>
        <w:tc>
          <w:tcPr>
            <w:tcW w:w="508" w:type="pct"/>
          </w:tcPr>
          <w:p w14:paraId="013158C3" w14:textId="77777777" w:rsidR="004F1366" w:rsidRPr="00B0658A" w:rsidRDefault="004F1366" w:rsidP="000A4114">
            <w:pPr>
              <w:spacing w:after="0" w:line="240" w:lineRule="auto"/>
              <w:rPr>
                <w:rFonts w:ascii="Times New Roman" w:hAnsi="Times New Roman"/>
                <w:i/>
                <w:iCs/>
                <w:sz w:val="20"/>
                <w:szCs w:val="20"/>
              </w:rPr>
            </w:pPr>
          </w:p>
        </w:tc>
        <w:tc>
          <w:tcPr>
            <w:tcW w:w="1118" w:type="pct"/>
            <w:shd w:val="clear" w:color="auto" w:fill="auto"/>
          </w:tcPr>
          <w:p w14:paraId="5D26D7E0" w14:textId="77777777" w:rsidR="004F1366" w:rsidRPr="00B0658A" w:rsidRDefault="004F1366" w:rsidP="000A4114">
            <w:pPr>
              <w:spacing w:after="0" w:line="240" w:lineRule="auto"/>
              <w:rPr>
                <w:rFonts w:ascii="Times New Roman" w:hAnsi="Times New Roman"/>
                <w:i/>
                <w:iCs/>
                <w:sz w:val="20"/>
                <w:szCs w:val="20"/>
              </w:rPr>
            </w:pPr>
          </w:p>
        </w:tc>
        <w:tc>
          <w:tcPr>
            <w:tcW w:w="1062" w:type="pct"/>
            <w:shd w:val="clear" w:color="auto" w:fill="auto"/>
          </w:tcPr>
          <w:p w14:paraId="36349E91" w14:textId="77777777" w:rsidR="004F1366" w:rsidRPr="00B0658A" w:rsidRDefault="004F1366" w:rsidP="000A4114">
            <w:pPr>
              <w:spacing w:after="0" w:line="240" w:lineRule="auto"/>
              <w:rPr>
                <w:rFonts w:ascii="Times New Roman" w:hAnsi="Times New Roman"/>
                <w:i/>
                <w:iCs/>
                <w:sz w:val="20"/>
                <w:szCs w:val="20"/>
              </w:rPr>
            </w:pPr>
          </w:p>
        </w:tc>
        <w:tc>
          <w:tcPr>
            <w:tcW w:w="941" w:type="pct"/>
            <w:shd w:val="clear" w:color="auto" w:fill="auto"/>
          </w:tcPr>
          <w:p w14:paraId="1BB3FF17" w14:textId="77777777" w:rsidR="004F1366" w:rsidRPr="00B0658A" w:rsidRDefault="004F1366" w:rsidP="000A4114">
            <w:pPr>
              <w:spacing w:after="0" w:line="240" w:lineRule="auto"/>
              <w:jc w:val="both"/>
              <w:rPr>
                <w:rFonts w:ascii="Times New Roman" w:hAnsi="Times New Roman"/>
                <w:i/>
                <w:iCs/>
                <w:sz w:val="20"/>
                <w:szCs w:val="20"/>
              </w:rPr>
            </w:pPr>
          </w:p>
        </w:tc>
      </w:tr>
      <w:tr w:rsidR="00F52FED" w:rsidRPr="00B0658A" w14:paraId="17A1731C" w14:textId="77777777" w:rsidTr="004F1366">
        <w:trPr>
          <w:trHeight w:val="170"/>
        </w:trPr>
        <w:tc>
          <w:tcPr>
            <w:tcW w:w="197" w:type="pct"/>
            <w:shd w:val="clear" w:color="auto" w:fill="auto"/>
            <w:vAlign w:val="center"/>
          </w:tcPr>
          <w:p w14:paraId="395AEDD8" w14:textId="77777777" w:rsidR="004F1366" w:rsidRPr="00B0658A" w:rsidRDefault="004F1366" w:rsidP="000A4114">
            <w:pPr>
              <w:spacing w:after="0" w:line="240" w:lineRule="auto"/>
              <w:rPr>
                <w:rFonts w:ascii="Times New Roman" w:hAnsi="Times New Roman"/>
                <w:sz w:val="20"/>
                <w:szCs w:val="20"/>
              </w:rPr>
            </w:pPr>
            <w:r w:rsidRPr="00B0658A">
              <w:rPr>
                <w:rFonts w:ascii="Times New Roman" w:hAnsi="Times New Roman"/>
                <w:sz w:val="20"/>
                <w:szCs w:val="20"/>
                <w:lang w:val="en-US"/>
              </w:rPr>
              <w:t>2</w:t>
            </w:r>
            <w:r w:rsidRPr="00B0658A">
              <w:rPr>
                <w:rFonts w:ascii="Times New Roman" w:hAnsi="Times New Roman"/>
                <w:sz w:val="20"/>
                <w:szCs w:val="20"/>
              </w:rPr>
              <w:t>.</w:t>
            </w:r>
            <w:r w:rsidRPr="00B0658A">
              <w:rPr>
                <w:rFonts w:ascii="Times New Roman" w:hAnsi="Times New Roman"/>
                <w:sz w:val="20"/>
                <w:szCs w:val="20"/>
                <w:lang w:val="en-US"/>
              </w:rPr>
              <w:t>n</w:t>
            </w:r>
          </w:p>
        </w:tc>
        <w:tc>
          <w:tcPr>
            <w:tcW w:w="1174" w:type="pct"/>
            <w:shd w:val="clear" w:color="auto" w:fill="auto"/>
            <w:vAlign w:val="center"/>
          </w:tcPr>
          <w:p w14:paraId="70635C8B" w14:textId="77777777" w:rsidR="004F1366" w:rsidRPr="00B0658A" w:rsidRDefault="004F1366" w:rsidP="000A4114">
            <w:pPr>
              <w:spacing w:after="0" w:line="240" w:lineRule="auto"/>
              <w:rPr>
                <w:rFonts w:ascii="Times New Roman" w:hAnsi="Times New Roman"/>
                <w:i/>
                <w:iCs/>
                <w:sz w:val="20"/>
                <w:szCs w:val="20"/>
              </w:rPr>
            </w:pPr>
            <w:r w:rsidRPr="00B0658A">
              <w:rPr>
                <w:rFonts w:ascii="Times New Roman" w:hAnsi="Times New Roman"/>
                <w:i/>
                <w:sz w:val="20"/>
                <w:szCs w:val="20"/>
              </w:rPr>
              <w:t xml:space="preserve">Указывается класс (тип) № </w:t>
            </w:r>
            <w:r w:rsidRPr="00B0658A">
              <w:rPr>
                <w:rFonts w:ascii="Times New Roman" w:hAnsi="Times New Roman"/>
                <w:i/>
                <w:sz w:val="20"/>
                <w:szCs w:val="20"/>
                <w:lang w:val="en-US"/>
              </w:rPr>
              <w:t>n</w:t>
            </w:r>
            <w:r w:rsidRPr="00B0658A">
              <w:rPr>
                <w:rFonts w:ascii="Times New Roman" w:hAnsi="Times New Roman"/>
                <w:i/>
                <w:sz w:val="20"/>
                <w:szCs w:val="20"/>
              </w:rPr>
              <w:t xml:space="preserve"> ПО, используемого на значимом объекте КИИ №2 в соответствии с утвержденным детализированным </w:t>
            </w:r>
            <w:r w:rsidRPr="00B0658A">
              <w:rPr>
                <w:rFonts w:ascii="Times New Roman" w:hAnsi="Times New Roman"/>
                <w:i/>
                <w:iCs/>
                <w:sz w:val="20"/>
                <w:szCs w:val="20"/>
              </w:rPr>
              <w:t xml:space="preserve">планом перехода </w:t>
            </w:r>
            <w:r w:rsidR="004559C7" w:rsidRPr="00B0658A">
              <w:rPr>
                <w:rFonts w:ascii="Times New Roman" w:hAnsi="Times New Roman"/>
                <w:i/>
                <w:sz w:val="20"/>
                <w:szCs w:val="20"/>
              </w:rPr>
              <w:t xml:space="preserve">иной организации </w:t>
            </w:r>
            <w:r w:rsidRPr="00B0658A">
              <w:rPr>
                <w:rFonts w:ascii="Times New Roman" w:hAnsi="Times New Roman"/>
                <w:i/>
                <w:iCs/>
                <w:sz w:val="20"/>
                <w:szCs w:val="20"/>
              </w:rPr>
              <w:t>на использование российского ПО на значимых объектах КИИ</w:t>
            </w:r>
          </w:p>
        </w:tc>
        <w:tc>
          <w:tcPr>
            <w:tcW w:w="508" w:type="pct"/>
          </w:tcPr>
          <w:p w14:paraId="2EE241F9" w14:textId="77777777" w:rsidR="004F1366" w:rsidRPr="00B0658A" w:rsidRDefault="004F1366" w:rsidP="000A4114">
            <w:pPr>
              <w:spacing w:after="0" w:line="240" w:lineRule="auto"/>
              <w:rPr>
                <w:rFonts w:ascii="Times New Roman" w:hAnsi="Times New Roman"/>
                <w:i/>
                <w:iCs/>
                <w:sz w:val="20"/>
                <w:szCs w:val="20"/>
              </w:rPr>
            </w:pPr>
          </w:p>
        </w:tc>
        <w:tc>
          <w:tcPr>
            <w:tcW w:w="1118" w:type="pct"/>
            <w:shd w:val="clear" w:color="auto" w:fill="auto"/>
          </w:tcPr>
          <w:p w14:paraId="3909C280" w14:textId="77777777" w:rsidR="004F1366" w:rsidRPr="00B0658A" w:rsidRDefault="004F1366" w:rsidP="000A4114">
            <w:pPr>
              <w:spacing w:after="0" w:line="240" w:lineRule="auto"/>
              <w:rPr>
                <w:rFonts w:ascii="Times New Roman" w:hAnsi="Times New Roman"/>
                <w:i/>
                <w:iCs/>
                <w:sz w:val="20"/>
                <w:szCs w:val="20"/>
              </w:rPr>
            </w:pPr>
          </w:p>
        </w:tc>
        <w:tc>
          <w:tcPr>
            <w:tcW w:w="1062" w:type="pct"/>
            <w:shd w:val="clear" w:color="auto" w:fill="auto"/>
          </w:tcPr>
          <w:p w14:paraId="4677888F" w14:textId="77777777" w:rsidR="004F1366" w:rsidRPr="00B0658A" w:rsidRDefault="004F1366" w:rsidP="000A4114">
            <w:pPr>
              <w:spacing w:after="0" w:line="240" w:lineRule="auto"/>
              <w:rPr>
                <w:rFonts w:ascii="Times New Roman" w:hAnsi="Times New Roman"/>
                <w:i/>
                <w:iCs/>
                <w:sz w:val="20"/>
                <w:szCs w:val="20"/>
              </w:rPr>
            </w:pPr>
          </w:p>
        </w:tc>
        <w:tc>
          <w:tcPr>
            <w:tcW w:w="941" w:type="pct"/>
            <w:shd w:val="clear" w:color="auto" w:fill="auto"/>
          </w:tcPr>
          <w:p w14:paraId="72BEAA8A" w14:textId="77777777" w:rsidR="004F1366" w:rsidRPr="00B0658A" w:rsidRDefault="004F1366" w:rsidP="000A4114">
            <w:pPr>
              <w:spacing w:after="0" w:line="240" w:lineRule="auto"/>
              <w:jc w:val="both"/>
              <w:rPr>
                <w:rFonts w:ascii="Times New Roman" w:hAnsi="Times New Roman"/>
                <w:i/>
                <w:iCs/>
                <w:sz w:val="20"/>
                <w:szCs w:val="20"/>
              </w:rPr>
            </w:pPr>
          </w:p>
        </w:tc>
      </w:tr>
      <w:tr w:rsidR="00F52FED" w:rsidRPr="00B0658A" w14:paraId="16C577D6" w14:textId="77777777" w:rsidTr="004F1366">
        <w:trPr>
          <w:trHeight w:val="170"/>
        </w:trPr>
        <w:tc>
          <w:tcPr>
            <w:tcW w:w="197" w:type="pct"/>
            <w:shd w:val="clear" w:color="auto" w:fill="auto"/>
            <w:vAlign w:val="center"/>
          </w:tcPr>
          <w:p w14:paraId="27C9C021" w14:textId="77777777" w:rsidR="004F1366" w:rsidRPr="00B0658A" w:rsidRDefault="004F1366" w:rsidP="000A4114">
            <w:pPr>
              <w:spacing w:after="0" w:line="240" w:lineRule="auto"/>
              <w:rPr>
                <w:rFonts w:ascii="Times New Roman" w:hAnsi="Times New Roman"/>
                <w:sz w:val="20"/>
                <w:szCs w:val="20"/>
                <w:lang w:val="en-US"/>
              </w:rPr>
            </w:pPr>
            <w:r w:rsidRPr="00B0658A">
              <w:rPr>
                <w:rFonts w:ascii="Times New Roman" w:hAnsi="Times New Roman"/>
                <w:sz w:val="20"/>
                <w:szCs w:val="20"/>
                <w:lang w:val="en-US"/>
              </w:rPr>
              <w:t>…</w:t>
            </w:r>
          </w:p>
        </w:tc>
        <w:tc>
          <w:tcPr>
            <w:tcW w:w="1174" w:type="pct"/>
            <w:shd w:val="clear" w:color="auto" w:fill="auto"/>
            <w:vAlign w:val="center"/>
          </w:tcPr>
          <w:p w14:paraId="01DC8C5B" w14:textId="77777777" w:rsidR="004F1366" w:rsidRPr="00B0658A" w:rsidRDefault="004F1366" w:rsidP="000A4114">
            <w:pPr>
              <w:spacing w:after="0" w:line="240" w:lineRule="auto"/>
              <w:rPr>
                <w:rFonts w:ascii="Times New Roman" w:hAnsi="Times New Roman"/>
                <w:i/>
                <w:iCs/>
                <w:sz w:val="20"/>
                <w:szCs w:val="20"/>
              </w:rPr>
            </w:pPr>
          </w:p>
        </w:tc>
        <w:tc>
          <w:tcPr>
            <w:tcW w:w="508" w:type="pct"/>
          </w:tcPr>
          <w:p w14:paraId="050134C9" w14:textId="77777777" w:rsidR="004F1366" w:rsidRPr="00B0658A" w:rsidRDefault="004F1366" w:rsidP="000A4114">
            <w:pPr>
              <w:spacing w:after="0" w:line="240" w:lineRule="auto"/>
              <w:rPr>
                <w:rFonts w:ascii="Times New Roman" w:hAnsi="Times New Roman"/>
                <w:i/>
                <w:iCs/>
                <w:sz w:val="20"/>
                <w:szCs w:val="20"/>
              </w:rPr>
            </w:pPr>
          </w:p>
        </w:tc>
        <w:tc>
          <w:tcPr>
            <w:tcW w:w="1118" w:type="pct"/>
            <w:shd w:val="clear" w:color="auto" w:fill="auto"/>
          </w:tcPr>
          <w:p w14:paraId="1A52BF91" w14:textId="77777777" w:rsidR="004F1366" w:rsidRPr="00B0658A" w:rsidRDefault="004F1366" w:rsidP="000A4114">
            <w:pPr>
              <w:spacing w:after="0" w:line="240" w:lineRule="auto"/>
              <w:rPr>
                <w:rFonts w:ascii="Times New Roman" w:hAnsi="Times New Roman"/>
                <w:i/>
                <w:iCs/>
                <w:sz w:val="20"/>
                <w:szCs w:val="20"/>
              </w:rPr>
            </w:pPr>
          </w:p>
        </w:tc>
        <w:tc>
          <w:tcPr>
            <w:tcW w:w="1062" w:type="pct"/>
            <w:shd w:val="clear" w:color="auto" w:fill="auto"/>
          </w:tcPr>
          <w:p w14:paraId="738BDF27" w14:textId="77777777" w:rsidR="004F1366" w:rsidRPr="00B0658A" w:rsidRDefault="004F1366" w:rsidP="000A4114">
            <w:pPr>
              <w:spacing w:after="0" w:line="240" w:lineRule="auto"/>
              <w:rPr>
                <w:rFonts w:ascii="Times New Roman" w:hAnsi="Times New Roman"/>
                <w:i/>
                <w:iCs/>
                <w:sz w:val="20"/>
                <w:szCs w:val="20"/>
              </w:rPr>
            </w:pPr>
          </w:p>
        </w:tc>
        <w:tc>
          <w:tcPr>
            <w:tcW w:w="941" w:type="pct"/>
            <w:shd w:val="clear" w:color="auto" w:fill="auto"/>
          </w:tcPr>
          <w:p w14:paraId="57FCC2AE" w14:textId="77777777" w:rsidR="004F1366" w:rsidRPr="00B0658A" w:rsidRDefault="004F1366" w:rsidP="000A4114">
            <w:pPr>
              <w:spacing w:after="0" w:line="240" w:lineRule="auto"/>
              <w:jc w:val="both"/>
              <w:rPr>
                <w:rFonts w:ascii="Times New Roman" w:hAnsi="Times New Roman"/>
                <w:i/>
                <w:iCs/>
                <w:sz w:val="20"/>
                <w:szCs w:val="20"/>
              </w:rPr>
            </w:pPr>
          </w:p>
        </w:tc>
      </w:tr>
      <w:tr w:rsidR="00F52FED" w:rsidRPr="00B0658A" w14:paraId="1536B698" w14:textId="77777777" w:rsidTr="004F1366">
        <w:trPr>
          <w:trHeight w:val="170"/>
        </w:trPr>
        <w:tc>
          <w:tcPr>
            <w:tcW w:w="5000" w:type="pct"/>
            <w:gridSpan w:val="6"/>
            <w:shd w:val="clear" w:color="auto" w:fill="auto"/>
            <w:vAlign w:val="center"/>
          </w:tcPr>
          <w:p w14:paraId="3093126D" w14:textId="77777777" w:rsidR="004F1366" w:rsidRPr="00B0658A" w:rsidRDefault="004F1366" w:rsidP="000A4114">
            <w:pPr>
              <w:spacing w:after="0" w:line="240" w:lineRule="auto"/>
              <w:rPr>
                <w:rFonts w:ascii="Times New Roman" w:hAnsi="Times New Roman"/>
                <w:i/>
                <w:iCs/>
                <w:sz w:val="20"/>
                <w:szCs w:val="20"/>
              </w:rPr>
            </w:pPr>
            <w:r w:rsidRPr="00B0658A">
              <w:rPr>
                <w:rFonts w:ascii="Times New Roman" w:hAnsi="Times New Roman"/>
                <w:b/>
                <w:sz w:val="20"/>
                <w:szCs w:val="20"/>
                <w:lang w:val="en-US"/>
              </w:rPr>
              <w:t>N</w:t>
            </w:r>
            <w:r w:rsidRPr="00B0658A">
              <w:rPr>
                <w:rFonts w:ascii="Times New Roman" w:hAnsi="Times New Roman"/>
                <w:b/>
                <w:sz w:val="20"/>
                <w:szCs w:val="20"/>
              </w:rPr>
              <w:t>. Сведения о достижении показателей эффективности перехода в отношении ________ (наименование значимого объекта КИИ №</w:t>
            </w:r>
            <w:r w:rsidRPr="00B0658A">
              <w:rPr>
                <w:rFonts w:ascii="Times New Roman" w:hAnsi="Times New Roman"/>
                <w:b/>
                <w:sz w:val="20"/>
                <w:szCs w:val="20"/>
                <w:lang w:val="en-US"/>
              </w:rPr>
              <w:t>N</w:t>
            </w:r>
            <w:r w:rsidRPr="00B0658A">
              <w:rPr>
                <w:rFonts w:ascii="Times New Roman" w:hAnsi="Times New Roman"/>
                <w:b/>
                <w:sz w:val="20"/>
                <w:szCs w:val="20"/>
              </w:rPr>
              <w:t>)</w:t>
            </w:r>
          </w:p>
        </w:tc>
      </w:tr>
      <w:tr w:rsidR="00F52FED" w:rsidRPr="00B0658A" w14:paraId="04F41FE3" w14:textId="77777777" w:rsidTr="004F1366">
        <w:trPr>
          <w:trHeight w:val="170"/>
        </w:trPr>
        <w:tc>
          <w:tcPr>
            <w:tcW w:w="197" w:type="pct"/>
            <w:shd w:val="clear" w:color="auto" w:fill="auto"/>
            <w:vAlign w:val="center"/>
          </w:tcPr>
          <w:p w14:paraId="6F079445" w14:textId="77777777" w:rsidR="004F1366" w:rsidRPr="00B0658A" w:rsidRDefault="004F1366" w:rsidP="000A4114">
            <w:pPr>
              <w:spacing w:after="0" w:line="240" w:lineRule="auto"/>
              <w:rPr>
                <w:rFonts w:ascii="Times New Roman" w:hAnsi="Times New Roman"/>
                <w:sz w:val="20"/>
                <w:szCs w:val="20"/>
              </w:rPr>
            </w:pPr>
            <w:r w:rsidRPr="00B0658A">
              <w:rPr>
                <w:rFonts w:ascii="Times New Roman" w:hAnsi="Times New Roman"/>
                <w:sz w:val="20"/>
                <w:szCs w:val="20"/>
                <w:lang w:val="en-US"/>
              </w:rPr>
              <w:t>N</w:t>
            </w:r>
            <w:r w:rsidRPr="00B0658A">
              <w:rPr>
                <w:rFonts w:ascii="Times New Roman" w:hAnsi="Times New Roman"/>
                <w:sz w:val="20"/>
                <w:szCs w:val="20"/>
              </w:rPr>
              <w:t>.1</w:t>
            </w:r>
          </w:p>
        </w:tc>
        <w:tc>
          <w:tcPr>
            <w:tcW w:w="1174" w:type="pct"/>
            <w:shd w:val="clear" w:color="auto" w:fill="auto"/>
            <w:vAlign w:val="center"/>
          </w:tcPr>
          <w:p w14:paraId="10D01DF8" w14:textId="77777777" w:rsidR="004F1366" w:rsidRPr="00B0658A" w:rsidRDefault="004F1366" w:rsidP="000A4114">
            <w:pPr>
              <w:spacing w:after="0" w:line="240" w:lineRule="auto"/>
              <w:rPr>
                <w:rFonts w:ascii="Times New Roman" w:hAnsi="Times New Roman"/>
                <w:i/>
                <w:iCs/>
                <w:sz w:val="20"/>
                <w:szCs w:val="20"/>
              </w:rPr>
            </w:pPr>
            <w:r w:rsidRPr="00B0658A">
              <w:rPr>
                <w:rFonts w:ascii="Times New Roman" w:hAnsi="Times New Roman"/>
                <w:i/>
                <w:sz w:val="20"/>
                <w:szCs w:val="20"/>
              </w:rPr>
              <w:t>Указывается класс (тип) №1 ПО, используемого на значимом объекте КИИ №</w:t>
            </w:r>
            <w:r w:rsidRPr="00B0658A">
              <w:rPr>
                <w:rFonts w:ascii="Times New Roman" w:hAnsi="Times New Roman"/>
                <w:i/>
                <w:sz w:val="20"/>
                <w:szCs w:val="20"/>
                <w:lang w:val="en-US"/>
              </w:rPr>
              <w:t>N</w:t>
            </w:r>
            <w:r w:rsidRPr="00B0658A">
              <w:rPr>
                <w:rFonts w:ascii="Times New Roman" w:hAnsi="Times New Roman"/>
                <w:i/>
                <w:sz w:val="20"/>
                <w:szCs w:val="20"/>
              </w:rPr>
              <w:t xml:space="preserve"> в соответствии с утвержденным</w:t>
            </w:r>
            <w:r w:rsidRPr="00B0658A">
              <w:rPr>
                <w:rFonts w:ascii="Times New Roman" w:hAnsi="Times New Roman"/>
                <w:i/>
                <w:iCs/>
                <w:sz w:val="20"/>
                <w:szCs w:val="20"/>
              </w:rPr>
              <w:t xml:space="preserve"> детализированным планом перехода </w:t>
            </w:r>
            <w:r w:rsidR="004559C7" w:rsidRPr="00B0658A">
              <w:rPr>
                <w:rFonts w:ascii="Times New Roman" w:hAnsi="Times New Roman"/>
                <w:i/>
                <w:sz w:val="20"/>
                <w:szCs w:val="20"/>
              </w:rPr>
              <w:t xml:space="preserve">иной организации </w:t>
            </w:r>
            <w:r w:rsidRPr="00B0658A">
              <w:rPr>
                <w:rFonts w:ascii="Times New Roman" w:hAnsi="Times New Roman"/>
                <w:i/>
                <w:iCs/>
                <w:sz w:val="20"/>
                <w:szCs w:val="20"/>
              </w:rPr>
              <w:t>на использование российского ПО на значимых объектах КИИ</w:t>
            </w:r>
          </w:p>
        </w:tc>
        <w:tc>
          <w:tcPr>
            <w:tcW w:w="508" w:type="pct"/>
          </w:tcPr>
          <w:p w14:paraId="1B1A7329" w14:textId="77777777" w:rsidR="004F1366" w:rsidRPr="00B0658A" w:rsidRDefault="004F1366" w:rsidP="000A4114">
            <w:pPr>
              <w:spacing w:after="0" w:line="240" w:lineRule="auto"/>
              <w:rPr>
                <w:rFonts w:ascii="Times New Roman" w:hAnsi="Times New Roman"/>
                <w:i/>
                <w:iCs/>
                <w:sz w:val="20"/>
                <w:szCs w:val="20"/>
              </w:rPr>
            </w:pPr>
          </w:p>
        </w:tc>
        <w:tc>
          <w:tcPr>
            <w:tcW w:w="1118" w:type="pct"/>
            <w:shd w:val="clear" w:color="auto" w:fill="auto"/>
          </w:tcPr>
          <w:p w14:paraId="60C0AAFC" w14:textId="77777777" w:rsidR="004F1366" w:rsidRPr="00B0658A" w:rsidRDefault="004F1366" w:rsidP="000A4114">
            <w:pPr>
              <w:spacing w:after="0" w:line="240" w:lineRule="auto"/>
              <w:rPr>
                <w:rFonts w:ascii="Times New Roman" w:hAnsi="Times New Roman"/>
                <w:i/>
                <w:iCs/>
                <w:sz w:val="20"/>
                <w:szCs w:val="20"/>
              </w:rPr>
            </w:pPr>
          </w:p>
        </w:tc>
        <w:tc>
          <w:tcPr>
            <w:tcW w:w="1062" w:type="pct"/>
            <w:shd w:val="clear" w:color="auto" w:fill="auto"/>
          </w:tcPr>
          <w:p w14:paraId="5A6C5D23" w14:textId="77777777" w:rsidR="004F1366" w:rsidRPr="00B0658A" w:rsidRDefault="004F1366" w:rsidP="000A4114">
            <w:pPr>
              <w:spacing w:after="0" w:line="240" w:lineRule="auto"/>
              <w:rPr>
                <w:rFonts w:ascii="Times New Roman" w:hAnsi="Times New Roman"/>
                <w:i/>
                <w:iCs/>
                <w:sz w:val="20"/>
                <w:szCs w:val="20"/>
              </w:rPr>
            </w:pPr>
          </w:p>
        </w:tc>
        <w:tc>
          <w:tcPr>
            <w:tcW w:w="941" w:type="pct"/>
            <w:shd w:val="clear" w:color="auto" w:fill="auto"/>
          </w:tcPr>
          <w:p w14:paraId="0A3DEE85" w14:textId="77777777" w:rsidR="004F1366" w:rsidRPr="00B0658A" w:rsidRDefault="004F1366" w:rsidP="000A4114">
            <w:pPr>
              <w:spacing w:after="0" w:line="240" w:lineRule="auto"/>
              <w:jc w:val="both"/>
              <w:rPr>
                <w:rFonts w:ascii="Times New Roman" w:hAnsi="Times New Roman"/>
                <w:i/>
                <w:iCs/>
                <w:sz w:val="20"/>
                <w:szCs w:val="20"/>
              </w:rPr>
            </w:pPr>
          </w:p>
        </w:tc>
      </w:tr>
      <w:tr w:rsidR="00F52FED" w:rsidRPr="00B0658A" w14:paraId="286AB9D4" w14:textId="77777777" w:rsidTr="004F1366">
        <w:trPr>
          <w:trHeight w:val="170"/>
        </w:trPr>
        <w:tc>
          <w:tcPr>
            <w:tcW w:w="197" w:type="pct"/>
            <w:shd w:val="clear" w:color="auto" w:fill="auto"/>
            <w:vAlign w:val="center"/>
          </w:tcPr>
          <w:p w14:paraId="24780A74" w14:textId="77777777" w:rsidR="004F1366" w:rsidRPr="00B0658A" w:rsidRDefault="004F1366" w:rsidP="000A4114">
            <w:pPr>
              <w:spacing w:after="0" w:line="240" w:lineRule="auto"/>
              <w:rPr>
                <w:rFonts w:ascii="Times New Roman" w:hAnsi="Times New Roman"/>
                <w:sz w:val="20"/>
                <w:szCs w:val="20"/>
              </w:rPr>
            </w:pPr>
            <w:r w:rsidRPr="00B0658A">
              <w:rPr>
                <w:rFonts w:ascii="Times New Roman" w:hAnsi="Times New Roman"/>
                <w:sz w:val="20"/>
                <w:szCs w:val="20"/>
              </w:rPr>
              <w:t>N.</w:t>
            </w:r>
            <w:r w:rsidRPr="00B0658A">
              <w:rPr>
                <w:rFonts w:ascii="Times New Roman" w:hAnsi="Times New Roman"/>
                <w:sz w:val="20"/>
                <w:szCs w:val="20"/>
                <w:lang w:val="en-US"/>
              </w:rPr>
              <w:t>2</w:t>
            </w:r>
          </w:p>
        </w:tc>
        <w:tc>
          <w:tcPr>
            <w:tcW w:w="1174" w:type="pct"/>
            <w:shd w:val="clear" w:color="auto" w:fill="auto"/>
            <w:vAlign w:val="center"/>
          </w:tcPr>
          <w:p w14:paraId="2C35C674" w14:textId="77777777" w:rsidR="004F1366" w:rsidRPr="00B0658A" w:rsidRDefault="004F1366" w:rsidP="000A4114">
            <w:pPr>
              <w:spacing w:after="0" w:line="240" w:lineRule="auto"/>
              <w:rPr>
                <w:rFonts w:ascii="Times New Roman" w:hAnsi="Times New Roman"/>
                <w:i/>
                <w:iCs/>
                <w:sz w:val="20"/>
                <w:szCs w:val="20"/>
              </w:rPr>
            </w:pPr>
            <w:r w:rsidRPr="00B0658A">
              <w:rPr>
                <w:rFonts w:ascii="Times New Roman" w:hAnsi="Times New Roman"/>
                <w:i/>
                <w:sz w:val="20"/>
                <w:szCs w:val="20"/>
              </w:rPr>
              <w:t>Указывается класс (тип) №2 ПО, используемого на значимом объекте КИИ №</w:t>
            </w:r>
            <w:r w:rsidRPr="00B0658A">
              <w:rPr>
                <w:rFonts w:ascii="Times New Roman" w:hAnsi="Times New Roman"/>
                <w:i/>
                <w:sz w:val="20"/>
                <w:szCs w:val="20"/>
                <w:lang w:val="en-US"/>
              </w:rPr>
              <w:t>N</w:t>
            </w:r>
            <w:r w:rsidRPr="00B0658A">
              <w:rPr>
                <w:rFonts w:ascii="Times New Roman" w:hAnsi="Times New Roman"/>
                <w:i/>
                <w:sz w:val="20"/>
                <w:szCs w:val="20"/>
              </w:rPr>
              <w:t xml:space="preserve"> в соответствии с утвержденным детализированным </w:t>
            </w:r>
            <w:r w:rsidRPr="00B0658A">
              <w:rPr>
                <w:rFonts w:ascii="Times New Roman" w:hAnsi="Times New Roman"/>
                <w:i/>
                <w:iCs/>
                <w:sz w:val="20"/>
                <w:szCs w:val="20"/>
              </w:rPr>
              <w:t xml:space="preserve">планом перехода </w:t>
            </w:r>
            <w:r w:rsidR="004559C7" w:rsidRPr="00B0658A">
              <w:rPr>
                <w:rFonts w:ascii="Times New Roman" w:hAnsi="Times New Roman"/>
                <w:i/>
                <w:sz w:val="20"/>
                <w:szCs w:val="20"/>
              </w:rPr>
              <w:t xml:space="preserve">иной организации </w:t>
            </w:r>
            <w:r w:rsidRPr="00B0658A">
              <w:rPr>
                <w:rFonts w:ascii="Times New Roman" w:hAnsi="Times New Roman"/>
                <w:i/>
                <w:iCs/>
                <w:sz w:val="20"/>
                <w:szCs w:val="20"/>
              </w:rPr>
              <w:t>на использование российского ПО на значимых объектах КИИ</w:t>
            </w:r>
          </w:p>
        </w:tc>
        <w:tc>
          <w:tcPr>
            <w:tcW w:w="508" w:type="pct"/>
          </w:tcPr>
          <w:p w14:paraId="260B2077" w14:textId="77777777" w:rsidR="004F1366" w:rsidRPr="00B0658A" w:rsidRDefault="004F1366" w:rsidP="000A4114">
            <w:pPr>
              <w:spacing w:after="0" w:line="240" w:lineRule="auto"/>
              <w:rPr>
                <w:rFonts w:ascii="Times New Roman" w:hAnsi="Times New Roman"/>
                <w:i/>
                <w:iCs/>
                <w:sz w:val="20"/>
                <w:szCs w:val="20"/>
              </w:rPr>
            </w:pPr>
          </w:p>
        </w:tc>
        <w:tc>
          <w:tcPr>
            <w:tcW w:w="1118" w:type="pct"/>
            <w:shd w:val="clear" w:color="auto" w:fill="auto"/>
          </w:tcPr>
          <w:p w14:paraId="13E94448" w14:textId="77777777" w:rsidR="004F1366" w:rsidRPr="00B0658A" w:rsidRDefault="004F1366" w:rsidP="000A4114">
            <w:pPr>
              <w:spacing w:after="0" w:line="240" w:lineRule="auto"/>
              <w:rPr>
                <w:rFonts w:ascii="Times New Roman" w:hAnsi="Times New Roman"/>
                <w:i/>
                <w:iCs/>
                <w:sz w:val="20"/>
                <w:szCs w:val="20"/>
              </w:rPr>
            </w:pPr>
          </w:p>
        </w:tc>
        <w:tc>
          <w:tcPr>
            <w:tcW w:w="1062" w:type="pct"/>
            <w:shd w:val="clear" w:color="auto" w:fill="auto"/>
          </w:tcPr>
          <w:p w14:paraId="76ED49D5" w14:textId="77777777" w:rsidR="004F1366" w:rsidRPr="00B0658A" w:rsidRDefault="004F1366" w:rsidP="000A4114">
            <w:pPr>
              <w:spacing w:after="0" w:line="240" w:lineRule="auto"/>
              <w:rPr>
                <w:rFonts w:ascii="Times New Roman" w:hAnsi="Times New Roman"/>
                <w:i/>
                <w:iCs/>
                <w:sz w:val="20"/>
                <w:szCs w:val="20"/>
              </w:rPr>
            </w:pPr>
          </w:p>
        </w:tc>
        <w:tc>
          <w:tcPr>
            <w:tcW w:w="941" w:type="pct"/>
            <w:shd w:val="clear" w:color="auto" w:fill="auto"/>
          </w:tcPr>
          <w:p w14:paraId="08365BC1" w14:textId="77777777" w:rsidR="004F1366" w:rsidRPr="00B0658A" w:rsidRDefault="004F1366" w:rsidP="000A4114">
            <w:pPr>
              <w:spacing w:after="0" w:line="240" w:lineRule="auto"/>
              <w:jc w:val="both"/>
              <w:rPr>
                <w:rFonts w:ascii="Times New Roman" w:hAnsi="Times New Roman"/>
                <w:i/>
                <w:iCs/>
                <w:sz w:val="20"/>
                <w:szCs w:val="20"/>
              </w:rPr>
            </w:pPr>
          </w:p>
        </w:tc>
      </w:tr>
      <w:tr w:rsidR="00F52FED" w:rsidRPr="00B0658A" w14:paraId="0C406B43" w14:textId="77777777" w:rsidTr="004F1366">
        <w:trPr>
          <w:trHeight w:val="170"/>
        </w:trPr>
        <w:tc>
          <w:tcPr>
            <w:tcW w:w="197" w:type="pct"/>
            <w:shd w:val="clear" w:color="auto" w:fill="auto"/>
            <w:vAlign w:val="center"/>
          </w:tcPr>
          <w:p w14:paraId="2167D521" w14:textId="77777777" w:rsidR="004F1366" w:rsidRPr="00B0658A" w:rsidRDefault="004F1366" w:rsidP="000A4114">
            <w:pPr>
              <w:spacing w:after="0" w:line="240" w:lineRule="auto"/>
              <w:rPr>
                <w:rFonts w:ascii="Times New Roman" w:hAnsi="Times New Roman"/>
                <w:sz w:val="20"/>
                <w:szCs w:val="20"/>
              </w:rPr>
            </w:pPr>
            <w:r w:rsidRPr="00B0658A">
              <w:rPr>
                <w:rFonts w:ascii="Times New Roman" w:hAnsi="Times New Roman"/>
                <w:sz w:val="20"/>
                <w:szCs w:val="20"/>
                <w:lang w:val="en-US"/>
              </w:rPr>
              <w:t>..</w:t>
            </w:r>
          </w:p>
        </w:tc>
        <w:tc>
          <w:tcPr>
            <w:tcW w:w="1174" w:type="pct"/>
            <w:shd w:val="clear" w:color="auto" w:fill="auto"/>
            <w:vAlign w:val="center"/>
          </w:tcPr>
          <w:p w14:paraId="27682809" w14:textId="77777777" w:rsidR="004F1366" w:rsidRPr="00B0658A" w:rsidRDefault="004F1366" w:rsidP="000A4114">
            <w:pPr>
              <w:spacing w:after="0" w:line="240" w:lineRule="auto"/>
              <w:rPr>
                <w:rFonts w:ascii="Times New Roman" w:hAnsi="Times New Roman"/>
                <w:i/>
                <w:iCs/>
                <w:sz w:val="20"/>
                <w:szCs w:val="20"/>
              </w:rPr>
            </w:pPr>
          </w:p>
        </w:tc>
        <w:tc>
          <w:tcPr>
            <w:tcW w:w="508" w:type="pct"/>
          </w:tcPr>
          <w:p w14:paraId="61D49AF6" w14:textId="77777777" w:rsidR="004F1366" w:rsidRPr="00B0658A" w:rsidRDefault="004F1366" w:rsidP="000A4114">
            <w:pPr>
              <w:spacing w:after="0" w:line="240" w:lineRule="auto"/>
              <w:rPr>
                <w:rFonts w:ascii="Times New Roman" w:hAnsi="Times New Roman"/>
                <w:i/>
                <w:iCs/>
                <w:sz w:val="20"/>
                <w:szCs w:val="20"/>
              </w:rPr>
            </w:pPr>
          </w:p>
        </w:tc>
        <w:tc>
          <w:tcPr>
            <w:tcW w:w="1118" w:type="pct"/>
            <w:shd w:val="clear" w:color="auto" w:fill="auto"/>
          </w:tcPr>
          <w:p w14:paraId="3449CA53" w14:textId="77777777" w:rsidR="004F1366" w:rsidRPr="00B0658A" w:rsidRDefault="004F1366" w:rsidP="000A4114">
            <w:pPr>
              <w:spacing w:after="0" w:line="240" w:lineRule="auto"/>
              <w:rPr>
                <w:rFonts w:ascii="Times New Roman" w:hAnsi="Times New Roman"/>
                <w:i/>
                <w:iCs/>
                <w:sz w:val="20"/>
                <w:szCs w:val="20"/>
              </w:rPr>
            </w:pPr>
          </w:p>
        </w:tc>
        <w:tc>
          <w:tcPr>
            <w:tcW w:w="1062" w:type="pct"/>
            <w:shd w:val="clear" w:color="auto" w:fill="auto"/>
          </w:tcPr>
          <w:p w14:paraId="0DE3AEC4" w14:textId="77777777" w:rsidR="004F1366" w:rsidRPr="00B0658A" w:rsidRDefault="004F1366" w:rsidP="000A4114">
            <w:pPr>
              <w:spacing w:after="0" w:line="240" w:lineRule="auto"/>
              <w:rPr>
                <w:rFonts w:ascii="Times New Roman" w:hAnsi="Times New Roman"/>
                <w:i/>
                <w:iCs/>
                <w:sz w:val="20"/>
                <w:szCs w:val="20"/>
              </w:rPr>
            </w:pPr>
          </w:p>
        </w:tc>
        <w:tc>
          <w:tcPr>
            <w:tcW w:w="941" w:type="pct"/>
            <w:shd w:val="clear" w:color="auto" w:fill="auto"/>
          </w:tcPr>
          <w:p w14:paraId="72B45C28" w14:textId="77777777" w:rsidR="004F1366" w:rsidRPr="00B0658A" w:rsidRDefault="004F1366" w:rsidP="000A4114">
            <w:pPr>
              <w:spacing w:after="0" w:line="240" w:lineRule="auto"/>
              <w:jc w:val="both"/>
              <w:rPr>
                <w:rFonts w:ascii="Times New Roman" w:hAnsi="Times New Roman"/>
                <w:i/>
                <w:iCs/>
                <w:sz w:val="20"/>
                <w:szCs w:val="20"/>
              </w:rPr>
            </w:pPr>
          </w:p>
        </w:tc>
      </w:tr>
      <w:tr w:rsidR="004F1366" w:rsidRPr="00B0658A" w14:paraId="39C02D99" w14:textId="77777777" w:rsidTr="004F1366">
        <w:trPr>
          <w:trHeight w:val="170"/>
        </w:trPr>
        <w:tc>
          <w:tcPr>
            <w:tcW w:w="197" w:type="pct"/>
            <w:shd w:val="clear" w:color="auto" w:fill="auto"/>
            <w:vAlign w:val="center"/>
          </w:tcPr>
          <w:p w14:paraId="1E5F9F37" w14:textId="77777777" w:rsidR="004F1366" w:rsidRPr="00B0658A" w:rsidRDefault="004F1366" w:rsidP="000A4114">
            <w:pPr>
              <w:spacing w:after="0" w:line="240" w:lineRule="auto"/>
              <w:rPr>
                <w:rFonts w:ascii="Times New Roman" w:hAnsi="Times New Roman"/>
                <w:sz w:val="20"/>
                <w:szCs w:val="20"/>
              </w:rPr>
            </w:pPr>
            <w:r w:rsidRPr="00B0658A">
              <w:rPr>
                <w:rFonts w:ascii="Times New Roman" w:hAnsi="Times New Roman"/>
                <w:sz w:val="20"/>
                <w:szCs w:val="20"/>
              </w:rPr>
              <w:t>N.</w:t>
            </w:r>
            <w:r w:rsidRPr="00B0658A">
              <w:rPr>
                <w:rFonts w:ascii="Times New Roman" w:hAnsi="Times New Roman"/>
                <w:sz w:val="20"/>
                <w:szCs w:val="20"/>
                <w:lang w:val="en-US"/>
              </w:rPr>
              <w:t>n</w:t>
            </w:r>
          </w:p>
        </w:tc>
        <w:tc>
          <w:tcPr>
            <w:tcW w:w="1174" w:type="pct"/>
            <w:shd w:val="clear" w:color="auto" w:fill="auto"/>
            <w:vAlign w:val="center"/>
          </w:tcPr>
          <w:p w14:paraId="556BCB75" w14:textId="77777777" w:rsidR="004F1366" w:rsidRPr="00B0658A" w:rsidRDefault="004F1366" w:rsidP="000A4114">
            <w:pPr>
              <w:spacing w:after="0" w:line="240" w:lineRule="auto"/>
              <w:rPr>
                <w:rFonts w:ascii="Times New Roman" w:hAnsi="Times New Roman"/>
                <w:i/>
                <w:iCs/>
                <w:sz w:val="20"/>
                <w:szCs w:val="20"/>
              </w:rPr>
            </w:pPr>
            <w:r w:rsidRPr="00B0658A">
              <w:rPr>
                <w:rFonts w:ascii="Times New Roman" w:hAnsi="Times New Roman"/>
                <w:i/>
                <w:sz w:val="20"/>
                <w:szCs w:val="20"/>
              </w:rPr>
              <w:t xml:space="preserve">Указывается класс (тип) № </w:t>
            </w:r>
            <w:r w:rsidRPr="00B0658A">
              <w:rPr>
                <w:rFonts w:ascii="Times New Roman" w:hAnsi="Times New Roman"/>
                <w:i/>
                <w:sz w:val="20"/>
                <w:szCs w:val="20"/>
                <w:lang w:val="en-US"/>
              </w:rPr>
              <w:t>n</w:t>
            </w:r>
            <w:r w:rsidRPr="00B0658A">
              <w:rPr>
                <w:rFonts w:ascii="Times New Roman" w:hAnsi="Times New Roman"/>
                <w:i/>
                <w:sz w:val="20"/>
                <w:szCs w:val="20"/>
              </w:rPr>
              <w:t xml:space="preserve"> ПО, используемого на значимом объекте КИИ №</w:t>
            </w:r>
            <w:r w:rsidRPr="00B0658A">
              <w:rPr>
                <w:rFonts w:ascii="Times New Roman" w:hAnsi="Times New Roman"/>
                <w:i/>
                <w:sz w:val="20"/>
                <w:szCs w:val="20"/>
                <w:lang w:val="en-US"/>
              </w:rPr>
              <w:t>N</w:t>
            </w:r>
            <w:r w:rsidRPr="00B0658A">
              <w:rPr>
                <w:rFonts w:ascii="Times New Roman" w:hAnsi="Times New Roman"/>
                <w:i/>
                <w:sz w:val="20"/>
                <w:szCs w:val="20"/>
              </w:rPr>
              <w:t xml:space="preserve"> в соответствии с утвержденным детализированным </w:t>
            </w:r>
            <w:r w:rsidRPr="00B0658A">
              <w:rPr>
                <w:rFonts w:ascii="Times New Roman" w:hAnsi="Times New Roman"/>
                <w:i/>
                <w:iCs/>
                <w:sz w:val="20"/>
                <w:szCs w:val="20"/>
              </w:rPr>
              <w:t xml:space="preserve">планом перехода </w:t>
            </w:r>
            <w:r w:rsidR="004559C7" w:rsidRPr="00B0658A">
              <w:rPr>
                <w:rFonts w:ascii="Times New Roman" w:hAnsi="Times New Roman"/>
                <w:i/>
                <w:sz w:val="20"/>
                <w:szCs w:val="20"/>
              </w:rPr>
              <w:t xml:space="preserve">иной организации </w:t>
            </w:r>
            <w:r w:rsidRPr="00B0658A">
              <w:rPr>
                <w:rFonts w:ascii="Times New Roman" w:hAnsi="Times New Roman"/>
                <w:i/>
                <w:iCs/>
                <w:sz w:val="20"/>
                <w:szCs w:val="20"/>
              </w:rPr>
              <w:t>на использование российского ПО на значимых объектах КИИ</w:t>
            </w:r>
          </w:p>
        </w:tc>
        <w:tc>
          <w:tcPr>
            <w:tcW w:w="508" w:type="pct"/>
          </w:tcPr>
          <w:p w14:paraId="2369367A" w14:textId="77777777" w:rsidR="004F1366" w:rsidRPr="00B0658A" w:rsidRDefault="004F1366" w:rsidP="000A4114">
            <w:pPr>
              <w:spacing w:after="0" w:line="240" w:lineRule="auto"/>
              <w:rPr>
                <w:rFonts w:ascii="Times New Roman" w:hAnsi="Times New Roman"/>
                <w:i/>
                <w:iCs/>
                <w:sz w:val="20"/>
                <w:szCs w:val="20"/>
              </w:rPr>
            </w:pPr>
          </w:p>
        </w:tc>
        <w:tc>
          <w:tcPr>
            <w:tcW w:w="1118" w:type="pct"/>
            <w:shd w:val="clear" w:color="auto" w:fill="auto"/>
          </w:tcPr>
          <w:p w14:paraId="165B9A2C" w14:textId="77777777" w:rsidR="004F1366" w:rsidRPr="00B0658A" w:rsidRDefault="004F1366" w:rsidP="000A4114">
            <w:pPr>
              <w:spacing w:after="0" w:line="240" w:lineRule="auto"/>
              <w:rPr>
                <w:rFonts w:ascii="Times New Roman" w:hAnsi="Times New Roman"/>
                <w:i/>
                <w:iCs/>
                <w:sz w:val="20"/>
                <w:szCs w:val="20"/>
              </w:rPr>
            </w:pPr>
          </w:p>
        </w:tc>
        <w:tc>
          <w:tcPr>
            <w:tcW w:w="1062" w:type="pct"/>
            <w:shd w:val="clear" w:color="auto" w:fill="auto"/>
          </w:tcPr>
          <w:p w14:paraId="53365822" w14:textId="77777777" w:rsidR="004F1366" w:rsidRPr="00B0658A" w:rsidRDefault="004F1366" w:rsidP="000A4114">
            <w:pPr>
              <w:spacing w:after="0" w:line="240" w:lineRule="auto"/>
              <w:rPr>
                <w:rFonts w:ascii="Times New Roman" w:hAnsi="Times New Roman"/>
                <w:i/>
                <w:iCs/>
                <w:sz w:val="20"/>
                <w:szCs w:val="20"/>
              </w:rPr>
            </w:pPr>
          </w:p>
        </w:tc>
        <w:tc>
          <w:tcPr>
            <w:tcW w:w="941" w:type="pct"/>
            <w:shd w:val="clear" w:color="auto" w:fill="auto"/>
          </w:tcPr>
          <w:p w14:paraId="66DFFB7F" w14:textId="77777777" w:rsidR="004F1366" w:rsidRPr="00B0658A" w:rsidRDefault="004F1366" w:rsidP="000A4114">
            <w:pPr>
              <w:spacing w:after="0" w:line="240" w:lineRule="auto"/>
              <w:jc w:val="both"/>
              <w:rPr>
                <w:rFonts w:ascii="Times New Roman" w:hAnsi="Times New Roman"/>
                <w:i/>
                <w:iCs/>
                <w:sz w:val="20"/>
                <w:szCs w:val="20"/>
              </w:rPr>
            </w:pPr>
          </w:p>
        </w:tc>
      </w:tr>
    </w:tbl>
    <w:p w14:paraId="1CA22718" w14:textId="77777777" w:rsidR="00921285" w:rsidRDefault="00921285" w:rsidP="004F1366">
      <w:pPr>
        <w:spacing w:line="240" w:lineRule="auto"/>
        <w:ind w:firstLine="709"/>
        <w:jc w:val="both"/>
        <w:rPr>
          <w:rFonts w:ascii="Times New Roman" w:hAnsi="Times New Roman"/>
        </w:rPr>
      </w:pPr>
    </w:p>
    <w:p w14:paraId="13C27566" w14:textId="77777777" w:rsidR="00921285" w:rsidRDefault="00921285">
      <w:pPr>
        <w:spacing w:after="0" w:line="240" w:lineRule="auto"/>
        <w:rPr>
          <w:rFonts w:ascii="Times New Roman" w:hAnsi="Times New Roman"/>
        </w:rPr>
      </w:pPr>
      <w:r>
        <w:rPr>
          <w:rFonts w:ascii="Times New Roman" w:hAnsi="Times New Roman"/>
        </w:rPr>
        <w:br w:type="page"/>
      </w:r>
    </w:p>
    <w:p w14:paraId="261E8DF1" w14:textId="77777777" w:rsidR="004559C7" w:rsidRPr="00B0658A" w:rsidRDefault="0049104B" w:rsidP="004559C7">
      <w:pPr>
        <w:spacing w:line="240" w:lineRule="auto"/>
        <w:ind w:firstLine="709"/>
        <w:jc w:val="both"/>
        <w:rPr>
          <w:rFonts w:ascii="Times New Roman" w:hAnsi="Times New Roman"/>
          <w:sz w:val="28"/>
          <w:szCs w:val="28"/>
        </w:rPr>
      </w:pPr>
      <w:r w:rsidRPr="00B0658A">
        <w:rPr>
          <w:rFonts w:ascii="Times New Roman" w:hAnsi="Times New Roman"/>
          <w:sz w:val="28"/>
          <w:szCs w:val="28"/>
        </w:rPr>
        <w:t>3</w:t>
      </w:r>
      <w:r w:rsidR="004559C7" w:rsidRPr="00B0658A">
        <w:rPr>
          <w:rFonts w:ascii="Times New Roman" w:hAnsi="Times New Roman"/>
          <w:sz w:val="28"/>
          <w:szCs w:val="28"/>
        </w:rPr>
        <w:t xml:space="preserve">. Сведения об объемах финансовых ресурсов, направленных на обеспечение </w:t>
      </w:r>
      <w:r w:rsidR="001A3DE5" w:rsidRPr="00B0658A">
        <w:rPr>
          <w:rFonts w:ascii="Times New Roman" w:hAnsi="Times New Roman"/>
          <w:sz w:val="28"/>
          <w:szCs w:val="24"/>
        </w:rPr>
        <w:t>перехода на использование российского ПО на значимых объект</w:t>
      </w:r>
      <w:r w:rsidRPr="00B0658A">
        <w:rPr>
          <w:rFonts w:ascii="Times New Roman" w:hAnsi="Times New Roman"/>
          <w:sz w:val="28"/>
          <w:szCs w:val="24"/>
        </w:rPr>
        <w:t>ах</w:t>
      </w:r>
      <w:r w:rsidR="001A3DE5" w:rsidRPr="00B0658A">
        <w:rPr>
          <w:rFonts w:ascii="Times New Roman" w:hAnsi="Times New Roman"/>
          <w:sz w:val="28"/>
          <w:szCs w:val="24"/>
        </w:rPr>
        <w:t xml:space="preserve"> КИИ</w:t>
      </w:r>
    </w:p>
    <w:tbl>
      <w:tblPr>
        <w:tblStyle w:val="afc"/>
        <w:tblW w:w="5000" w:type="pct"/>
        <w:tblLook w:val="04A0" w:firstRow="1" w:lastRow="0" w:firstColumn="1" w:lastColumn="0" w:noHBand="0" w:noVBand="1"/>
      </w:tblPr>
      <w:tblGrid>
        <w:gridCol w:w="563"/>
        <w:gridCol w:w="4111"/>
        <w:gridCol w:w="3684"/>
        <w:gridCol w:w="3829"/>
        <w:gridCol w:w="1757"/>
      </w:tblGrid>
      <w:tr w:rsidR="00F52FED" w:rsidRPr="00B0658A" w14:paraId="55B4284B" w14:textId="77777777" w:rsidTr="00F52FED">
        <w:trPr>
          <w:trHeight w:val="20"/>
        </w:trPr>
        <w:tc>
          <w:tcPr>
            <w:tcW w:w="202" w:type="pct"/>
            <w:vMerge w:val="restart"/>
            <w:vAlign w:val="center"/>
          </w:tcPr>
          <w:p w14:paraId="7D381FC1" w14:textId="77777777" w:rsidR="004559C7" w:rsidRPr="00B0658A" w:rsidRDefault="004559C7" w:rsidP="000A4114">
            <w:pPr>
              <w:spacing w:after="0" w:line="240" w:lineRule="auto"/>
              <w:jc w:val="center"/>
              <w:rPr>
                <w:rFonts w:ascii="Times New Roman" w:hAnsi="Times New Roman"/>
                <w:b/>
                <w:bCs/>
                <w:sz w:val="20"/>
                <w:szCs w:val="20"/>
              </w:rPr>
            </w:pPr>
            <w:r w:rsidRPr="00B0658A">
              <w:rPr>
                <w:rFonts w:ascii="Times New Roman" w:hAnsi="Times New Roman"/>
                <w:b/>
                <w:bCs/>
                <w:sz w:val="20"/>
                <w:szCs w:val="20"/>
              </w:rPr>
              <w:t>№</w:t>
            </w:r>
          </w:p>
        </w:tc>
        <w:tc>
          <w:tcPr>
            <w:tcW w:w="1474" w:type="pct"/>
            <w:vMerge w:val="restart"/>
            <w:vAlign w:val="center"/>
          </w:tcPr>
          <w:p w14:paraId="6D271AB5" w14:textId="77777777" w:rsidR="004559C7" w:rsidRPr="00B0658A" w:rsidRDefault="004559C7" w:rsidP="000A4114">
            <w:pPr>
              <w:spacing w:after="0" w:line="240" w:lineRule="auto"/>
              <w:jc w:val="center"/>
              <w:rPr>
                <w:rFonts w:ascii="Times New Roman" w:hAnsi="Times New Roman"/>
                <w:b/>
                <w:bCs/>
                <w:sz w:val="20"/>
                <w:szCs w:val="20"/>
              </w:rPr>
            </w:pPr>
            <w:r w:rsidRPr="00B0658A">
              <w:rPr>
                <w:rFonts w:ascii="Times New Roman" w:hAnsi="Times New Roman"/>
                <w:b/>
                <w:bCs/>
                <w:sz w:val="20"/>
                <w:szCs w:val="20"/>
              </w:rPr>
              <w:t xml:space="preserve">Наименование </w:t>
            </w:r>
            <w:r w:rsidR="0049104B" w:rsidRPr="00B0658A">
              <w:rPr>
                <w:rFonts w:ascii="Times New Roman" w:hAnsi="Times New Roman"/>
                <w:b/>
                <w:bCs/>
                <w:sz w:val="20"/>
                <w:szCs w:val="20"/>
              </w:rPr>
              <w:t>значимого объекта КИИ</w:t>
            </w:r>
          </w:p>
        </w:tc>
        <w:tc>
          <w:tcPr>
            <w:tcW w:w="2694" w:type="pct"/>
            <w:gridSpan w:val="2"/>
            <w:vAlign w:val="center"/>
          </w:tcPr>
          <w:p w14:paraId="10388BAA" w14:textId="77777777" w:rsidR="004559C7" w:rsidRPr="00B0658A" w:rsidRDefault="004559C7" w:rsidP="000A4114">
            <w:pPr>
              <w:spacing w:after="0" w:line="240" w:lineRule="auto"/>
              <w:jc w:val="center"/>
              <w:rPr>
                <w:rFonts w:ascii="Times New Roman" w:hAnsi="Times New Roman"/>
                <w:b/>
                <w:bCs/>
                <w:sz w:val="20"/>
                <w:szCs w:val="20"/>
              </w:rPr>
            </w:pPr>
            <w:r w:rsidRPr="00B0658A">
              <w:rPr>
                <w:rFonts w:ascii="Times New Roman" w:hAnsi="Times New Roman"/>
                <w:b/>
                <w:bCs/>
                <w:sz w:val="20"/>
                <w:szCs w:val="20"/>
              </w:rPr>
              <w:t xml:space="preserve">Сведения об объёмах финансовых ресурсов, направленных на обеспечение </w:t>
            </w:r>
            <w:r w:rsidR="001A3DE5" w:rsidRPr="00B0658A">
              <w:rPr>
                <w:rFonts w:ascii="Times New Roman" w:hAnsi="Times New Roman"/>
                <w:b/>
                <w:bCs/>
                <w:sz w:val="20"/>
                <w:szCs w:val="20"/>
              </w:rPr>
              <w:t xml:space="preserve">перехода на использование российского ПО на значимых </w:t>
            </w:r>
            <w:r w:rsidR="006E263D" w:rsidRPr="00B0658A">
              <w:rPr>
                <w:rFonts w:ascii="Times New Roman" w:hAnsi="Times New Roman"/>
                <w:b/>
                <w:bCs/>
                <w:sz w:val="20"/>
                <w:szCs w:val="20"/>
              </w:rPr>
              <w:t>объект</w:t>
            </w:r>
            <w:r w:rsidR="006E263D">
              <w:rPr>
                <w:rFonts w:ascii="Times New Roman" w:hAnsi="Times New Roman"/>
                <w:b/>
                <w:bCs/>
                <w:sz w:val="20"/>
                <w:szCs w:val="20"/>
              </w:rPr>
              <w:t>ах</w:t>
            </w:r>
            <w:r w:rsidR="006E263D" w:rsidRPr="00B0658A">
              <w:rPr>
                <w:rFonts w:ascii="Times New Roman" w:hAnsi="Times New Roman"/>
                <w:b/>
                <w:bCs/>
                <w:sz w:val="20"/>
                <w:szCs w:val="20"/>
              </w:rPr>
              <w:t xml:space="preserve"> </w:t>
            </w:r>
            <w:r w:rsidR="001A3DE5" w:rsidRPr="00B0658A">
              <w:rPr>
                <w:rFonts w:ascii="Times New Roman" w:hAnsi="Times New Roman"/>
                <w:b/>
                <w:bCs/>
                <w:sz w:val="20"/>
                <w:szCs w:val="20"/>
              </w:rPr>
              <w:t>КИИ</w:t>
            </w:r>
            <w:r w:rsidR="001A3DE5" w:rsidRPr="00B0658A">
              <w:rPr>
                <w:rFonts w:ascii="Times New Roman" w:hAnsi="Times New Roman"/>
                <w:b/>
                <w:bCs/>
                <w:sz w:val="20"/>
                <w:szCs w:val="20"/>
              </w:rPr>
              <w:br/>
            </w:r>
            <w:r w:rsidRPr="00B0658A">
              <w:rPr>
                <w:rFonts w:ascii="Times New Roman" w:hAnsi="Times New Roman"/>
                <w:b/>
                <w:bCs/>
                <w:sz w:val="20"/>
                <w:szCs w:val="20"/>
              </w:rPr>
              <w:t>за _______ г.</w:t>
            </w:r>
          </w:p>
        </w:tc>
        <w:tc>
          <w:tcPr>
            <w:tcW w:w="630" w:type="pct"/>
            <w:vMerge w:val="restart"/>
            <w:vAlign w:val="center"/>
          </w:tcPr>
          <w:p w14:paraId="6452C09D" w14:textId="77777777" w:rsidR="004559C7" w:rsidRPr="00B0658A" w:rsidRDefault="004559C7" w:rsidP="000A4114">
            <w:pPr>
              <w:spacing w:after="0" w:line="240" w:lineRule="auto"/>
              <w:jc w:val="center"/>
              <w:rPr>
                <w:rFonts w:ascii="Times New Roman" w:hAnsi="Times New Roman"/>
                <w:b/>
                <w:bCs/>
                <w:sz w:val="20"/>
                <w:szCs w:val="20"/>
              </w:rPr>
            </w:pPr>
            <w:r w:rsidRPr="00B0658A">
              <w:rPr>
                <w:rFonts w:ascii="Times New Roman" w:hAnsi="Times New Roman"/>
                <w:b/>
                <w:bCs/>
                <w:sz w:val="20"/>
                <w:szCs w:val="20"/>
              </w:rPr>
              <w:t>Комментарии</w:t>
            </w:r>
          </w:p>
        </w:tc>
      </w:tr>
      <w:tr w:rsidR="00F52FED" w:rsidRPr="00B0658A" w14:paraId="12868D6A" w14:textId="77777777" w:rsidTr="00F52FED">
        <w:trPr>
          <w:trHeight w:val="20"/>
        </w:trPr>
        <w:tc>
          <w:tcPr>
            <w:tcW w:w="202" w:type="pct"/>
            <w:vMerge/>
            <w:vAlign w:val="center"/>
          </w:tcPr>
          <w:p w14:paraId="7B7A963E" w14:textId="77777777" w:rsidR="004559C7" w:rsidRPr="00B0658A" w:rsidRDefault="004559C7" w:rsidP="000A4114">
            <w:pPr>
              <w:spacing w:after="0" w:line="240" w:lineRule="auto"/>
              <w:jc w:val="center"/>
              <w:rPr>
                <w:rFonts w:ascii="Times New Roman" w:hAnsi="Times New Roman"/>
                <w:b/>
                <w:bCs/>
                <w:sz w:val="20"/>
                <w:szCs w:val="20"/>
              </w:rPr>
            </w:pPr>
          </w:p>
        </w:tc>
        <w:tc>
          <w:tcPr>
            <w:tcW w:w="1474" w:type="pct"/>
            <w:vMerge/>
            <w:vAlign w:val="center"/>
          </w:tcPr>
          <w:p w14:paraId="28E2AFED" w14:textId="77777777" w:rsidR="004559C7" w:rsidRPr="00B0658A" w:rsidRDefault="004559C7" w:rsidP="000A4114">
            <w:pPr>
              <w:spacing w:after="0" w:line="240" w:lineRule="auto"/>
              <w:jc w:val="center"/>
              <w:rPr>
                <w:rFonts w:ascii="Times New Roman" w:hAnsi="Times New Roman"/>
                <w:b/>
                <w:bCs/>
                <w:sz w:val="20"/>
                <w:szCs w:val="20"/>
              </w:rPr>
            </w:pPr>
          </w:p>
        </w:tc>
        <w:tc>
          <w:tcPr>
            <w:tcW w:w="1321" w:type="pct"/>
            <w:vAlign w:val="center"/>
          </w:tcPr>
          <w:p w14:paraId="1B83E40D" w14:textId="77777777" w:rsidR="004559C7" w:rsidRPr="00B0658A" w:rsidRDefault="004559C7" w:rsidP="000A4114">
            <w:pPr>
              <w:spacing w:after="0" w:line="240" w:lineRule="auto"/>
              <w:jc w:val="center"/>
              <w:rPr>
                <w:rFonts w:ascii="Times New Roman" w:hAnsi="Times New Roman"/>
                <w:b/>
                <w:bCs/>
                <w:sz w:val="20"/>
                <w:szCs w:val="20"/>
              </w:rPr>
            </w:pPr>
            <w:r w:rsidRPr="00B0658A">
              <w:rPr>
                <w:rFonts w:ascii="Times New Roman" w:hAnsi="Times New Roman"/>
                <w:b/>
                <w:bCs/>
                <w:sz w:val="20"/>
                <w:szCs w:val="20"/>
              </w:rPr>
              <w:t>Плановое значение, тыс. руб.</w:t>
            </w:r>
          </w:p>
        </w:tc>
        <w:tc>
          <w:tcPr>
            <w:tcW w:w="1373" w:type="pct"/>
            <w:vAlign w:val="center"/>
          </w:tcPr>
          <w:p w14:paraId="2DD08F1B" w14:textId="77777777" w:rsidR="004559C7" w:rsidRPr="00B0658A" w:rsidRDefault="004559C7" w:rsidP="000A4114">
            <w:pPr>
              <w:spacing w:after="0" w:line="240" w:lineRule="auto"/>
              <w:jc w:val="center"/>
              <w:rPr>
                <w:rFonts w:ascii="Times New Roman" w:hAnsi="Times New Roman"/>
                <w:b/>
                <w:bCs/>
                <w:sz w:val="20"/>
                <w:szCs w:val="20"/>
              </w:rPr>
            </w:pPr>
            <w:r w:rsidRPr="00B0658A">
              <w:rPr>
                <w:rFonts w:ascii="Times New Roman" w:hAnsi="Times New Roman"/>
                <w:b/>
                <w:bCs/>
                <w:sz w:val="20"/>
                <w:szCs w:val="20"/>
              </w:rPr>
              <w:t>Фактическое значение, тыс. руб.</w:t>
            </w:r>
          </w:p>
        </w:tc>
        <w:tc>
          <w:tcPr>
            <w:tcW w:w="630" w:type="pct"/>
            <w:vMerge/>
            <w:vAlign w:val="center"/>
          </w:tcPr>
          <w:p w14:paraId="350EC41E" w14:textId="77777777" w:rsidR="004559C7" w:rsidRPr="00B0658A" w:rsidRDefault="004559C7" w:rsidP="000A4114">
            <w:pPr>
              <w:spacing w:after="0" w:line="240" w:lineRule="auto"/>
              <w:jc w:val="center"/>
              <w:rPr>
                <w:rFonts w:ascii="Times New Roman" w:hAnsi="Times New Roman"/>
                <w:b/>
                <w:bCs/>
                <w:sz w:val="20"/>
                <w:szCs w:val="20"/>
              </w:rPr>
            </w:pPr>
          </w:p>
        </w:tc>
      </w:tr>
      <w:tr w:rsidR="00F52FED" w:rsidRPr="00B0658A" w14:paraId="2B752038" w14:textId="77777777" w:rsidTr="00F52FED">
        <w:trPr>
          <w:trHeight w:val="20"/>
        </w:trPr>
        <w:tc>
          <w:tcPr>
            <w:tcW w:w="202" w:type="pct"/>
          </w:tcPr>
          <w:p w14:paraId="4EEBDF2B" w14:textId="77777777" w:rsidR="003573C7" w:rsidRPr="00B0658A" w:rsidRDefault="003573C7" w:rsidP="000A4114">
            <w:pPr>
              <w:spacing w:after="0" w:line="240" w:lineRule="auto"/>
              <w:jc w:val="both"/>
              <w:rPr>
                <w:rFonts w:ascii="Times New Roman" w:hAnsi="Times New Roman"/>
                <w:i/>
                <w:iCs/>
                <w:sz w:val="20"/>
                <w:szCs w:val="20"/>
              </w:rPr>
            </w:pPr>
            <w:r w:rsidRPr="00B0658A">
              <w:rPr>
                <w:rFonts w:ascii="Times New Roman" w:hAnsi="Times New Roman"/>
                <w:i/>
                <w:iCs/>
                <w:sz w:val="20"/>
                <w:szCs w:val="20"/>
              </w:rPr>
              <w:t xml:space="preserve">1. </w:t>
            </w:r>
          </w:p>
        </w:tc>
        <w:tc>
          <w:tcPr>
            <w:tcW w:w="1474" w:type="pct"/>
          </w:tcPr>
          <w:p w14:paraId="49DD4F49" w14:textId="77777777" w:rsidR="003573C7" w:rsidRPr="00B0658A" w:rsidRDefault="003573C7" w:rsidP="000A4114">
            <w:pPr>
              <w:spacing w:after="0" w:line="240" w:lineRule="auto"/>
              <w:jc w:val="both"/>
              <w:rPr>
                <w:rFonts w:ascii="Times New Roman" w:hAnsi="Times New Roman"/>
                <w:i/>
                <w:iCs/>
                <w:sz w:val="20"/>
                <w:szCs w:val="20"/>
              </w:rPr>
            </w:pPr>
            <w:r w:rsidRPr="00B0658A">
              <w:rPr>
                <w:rFonts w:ascii="Times New Roman" w:hAnsi="Times New Roman"/>
                <w:i/>
                <w:iCs/>
                <w:sz w:val="20"/>
                <w:szCs w:val="20"/>
              </w:rPr>
              <w:t>Указывается наименование значимого объекта КИИ № 1</w:t>
            </w:r>
          </w:p>
        </w:tc>
        <w:tc>
          <w:tcPr>
            <w:tcW w:w="1321" w:type="pct"/>
          </w:tcPr>
          <w:p w14:paraId="4A37751E" w14:textId="77777777" w:rsidR="003573C7" w:rsidRPr="00B0658A" w:rsidRDefault="003573C7" w:rsidP="000A4114">
            <w:pPr>
              <w:spacing w:after="0" w:line="240" w:lineRule="auto"/>
              <w:jc w:val="both"/>
              <w:rPr>
                <w:rFonts w:ascii="Times New Roman" w:hAnsi="Times New Roman"/>
                <w:sz w:val="20"/>
                <w:szCs w:val="20"/>
              </w:rPr>
            </w:pPr>
            <w:r w:rsidRPr="00B0658A">
              <w:rPr>
                <w:rFonts w:ascii="Times New Roman" w:hAnsi="Times New Roman"/>
                <w:i/>
                <w:iCs/>
                <w:sz w:val="20"/>
                <w:szCs w:val="20"/>
              </w:rPr>
              <w:t xml:space="preserve">Указывается плановое значение на соответствующий год в соответствии с показателями, установленными в </w:t>
            </w:r>
            <w:r w:rsidR="00BF2603" w:rsidRPr="00B0658A">
              <w:rPr>
                <w:rFonts w:ascii="Times New Roman" w:hAnsi="Times New Roman"/>
                <w:i/>
                <w:sz w:val="20"/>
                <w:szCs w:val="20"/>
              </w:rPr>
              <w:t xml:space="preserve">детализированном </w:t>
            </w:r>
            <w:r w:rsidR="00BF2603" w:rsidRPr="00B0658A">
              <w:rPr>
                <w:rFonts w:ascii="Times New Roman" w:hAnsi="Times New Roman"/>
                <w:i/>
                <w:iCs/>
                <w:sz w:val="20"/>
                <w:szCs w:val="20"/>
              </w:rPr>
              <w:t xml:space="preserve">плане перехода </w:t>
            </w:r>
            <w:r w:rsidR="00BF2603" w:rsidRPr="00B0658A">
              <w:rPr>
                <w:rFonts w:ascii="Times New Roman" w:hAnsi="Times New Roman"/>
                <w:i/>
                <w:sz w:val="20"/>
                <w:szCs w:val="20"/>
              </w:rPr>
              <w:t xml:space="preserve">иной организации </w:t>
            </w:r>
            <w:r w:rsidR="00BF2603" w:rsidRPr="00B0658A">
              <w:rPr>
                <w:rFonts w:ascii="Times New Roman" w:hAnsi="Times New Roman"/>
                <w:i/>
                <w:iCs/>
                <w:sz w:val="20"/>
                <w:szCs w:val="20"/>
              </w:rPr>
              <w:t>на использование российского ПО на значимых объектах КИИ</w:t>
            </w:r>
          </w:p>
        </w:tc>
        <w:tc>
          <w:tcPr>
            <w:tcW w:w="1373" w:type="pct"/>
          </w:tcPr>
          <w:p w14:paraId="4C94D252" w14:textId="77777777" w:rsidR="003573C7" w:rsidRPr="00B0658A" w:rsidRDefault="003573C7" w:rsidP="000A4114">
            <w:pPr>
              <w:spacing w:after="0" w:line="240" w:lineRule="auto"/>
              <w:jc w:val="both"/>
              <w:rPr>
                <w:rFonts w:ascii="Times New Roman" w:hAnsi="Times New Roman"/>
                <w:i/>
                <w:iCs/>
                <w:sz w:val="20"/>
                <w:szCs w:val="20"/>
              </w:rPr>
            </w:pPr>
            <w:r w:rsidRPr="00B0658A">
              <w:rPr>
                <w:rFonts w:ascii="Times New Roman" w:hAnsi="Times New Roman"/>
                <w:i/>
                <w:iCs/>
                <w:sz w:val="20"/>
                <w:szCs w:val="20"/>
              </w:rPr>
              <w:t xml:space="preserve">Указываются фактические объемы финансовых ресурсов, направленных на </w:t>
            </w:r>
            <w:r w:rsidR="00BF2603" w:rsidRPr="00B0658A">
              <w:rPr>
                <w:rFonts w:ascii="Times New Roman" w:hAnsi="Times New Roman"/>
                <w:i/>
                <w:iCs/>
                <w:sz w:val="20"/>
                <w:szCs w:val="20"/>
              </w:rPr>
              <w:t xml:space="preserve">переход </w:t>
            </w:r>
            <w:r w:rsidR="00BF2603" w:rsidRPr="00B0658A">
              <w:rPr>
                <w:rFonts w:ascii="Times New Roman" w:hAnsi="Times New Roman"/>
                <w:i/>
                <w:sz w:val="20"/>
                <w:szCs w:val="20"/>
              </w:rPr>
              <w:t xml:space="preserve">иной организации </w:t>
            </w:r>
            <w:r w:rsidR="00BF2603" w:rsidRPr="00B0658A">
              <w:rPr>
                <w:rFonts w:ascii="Times New Roman" w:hAnsi="Times New Roman"/>
                <w:i/>
                <w:iCs/>
                <w:sz w:val="20"/>
                <w:szCs w:val="20"/>
              </w:rPr>
              <w:t xml:space="preserve">на использование российского ПО на значимых объектах КИИ </w:t>
            </w:r>
            <w:r w:rsidRPr="00B0658A">
              <w:rPr>
                <w:rFonts w:ascii="Times New Roman" w:hAnsi="Times New Roman"/>
                <w:i/>
                <w:iCs/>
                <w:sz w:val="20"/>
                <w:szCs w:val="20"/>
              </w:rPr>
              <w:t>за соответствующий отчетный период.</w:t>
            </w:r>
          </w:p>
        </w:tc>
        <w:tc>
          <w:tcPr>
            <w:tcW w:w="630" w:type="pct"/>
          </w:tcPr>
          <w:p w14:paraId="04556624" w14:textId="77777777" w:rsidR="003573C7" w:rsidRPr="00B0658A" w:rsidRDefault="003573C7" w:rsidP="000A4114">
            <w:pPr>
              <w:spacing w:after="0" w:line="240" w:lineRule="auto"/>
              <w:jc w:val="both"/>
              <w:rPr>
                <w:rFonts w:ascii="Times New Roman" w:hAnsi="Times New Roman"/>
                <w:i/>
                <w:sz w:val="20"/>
                <w:szCs w:val="20"/>
              </w:rPr>
            </w:pPr>
            <w:r w:rsidRPr="00B0658A">
              <w:rPr>
                <w:rFonts w:ascii="Times New Roman" w:hAnsi="Times New Roman"/>
                <w:i/>
                <w:iCs/>
                <w:sz w:val="20"/>
                <w:szCs w:val="20"/>
              </w:rPr>
              <w:t>Указывается дополнительные комментарии (при необходимости)</w:t>
            </w:r>
          </w:p>
          <w:p w14:paraId="5B3C1817" w14:textId="77777777" w:rsidR="003573C7" w:rsidRPr="00B0658A" w:rsidRDefault="003573C7" w:rsidP="000A4114">
            <w:pPr>
              <w:spacing w:after="0" w:line="240" w:lineRule="auto"/>
              <w:rPr>
                <w:rFonts w:ascii="Times New Roman" w:hAnsi="Times New Roman"/>
                <w:sz w:val="20"/>
                <w:szCs w:val="20"/>
              </w:rPr>
            </w:pPr>
            <w:r w:rsidRPr="00B0658A">
              <w:rPr>
                <w:rFonts w:ascii="Times New Roman" w:hAnsi="Times New Roman"/>
                <w:i/>
                <w:iCs/>
                <w:sz w:val="20"/>
                <w:szCs w:val="20"/>
              </w:rPr>
              <w:t>.</w:t>
            </w:r>
          </w:p>
        </w:tc>
      </w:tr>
      <w:tr w:rsidR="00F52FED" w:rsidRPr="00B0658A" w14:paraId="53F3CAE5" w14:textId="77777777" w:rsidTr="00F52FED">
        <w:trPr>
          <w:trHeight w:val="20"/>
        </w:trPr>
        <w:tc>
          <w:tcPr>
            <w:tcW w:w="202" w:type="pct"/>
          </w:tcPr>
          <w:p w14:paraId="4761D378" w14:textId="77777777" w:rsidR="003573C7" w:rsidRPr="00B0658A" w:rsidRDefault="003573C7" w:rsidP="000A4114">
            <w:pPr>
              <w:spacing w:after="0" w:line="240" w:lineRule="auto"/>
              <w:jc w:val="both"/>
              <w:rPr>
                <w:rFonts w:ascii="Times New Roman" w:hAnsi="Times New Roman"/>
                <w:i/>
                <w:iCs/>
                <w:sz w:val="20"/>
                <w:szCs w:val="20"/>
              </w:rPr>
            </w:pPr>
            <w:r w:rsidRPr="00B0658A">
              <w:rPr>
                <w:rFonts w:ascii="Times New Roman" w:hAnsi="Times New Roman"/>
                <w:i/>
                <w:iCs/>
                <w:sz w:val="20"/>
                <w:szCs w:val="20"/>
              </w:rPr>
              <w:t>2.</w:t>
            </w:r>
          </w:p>
        </w:tc>
        <w:tc>
          <w:tcPr>
            <w:tcW w:w="1474" w:type="pct"/>
          </w:tcPr>
          <w:p w14:paraId="0EFA753E" w14:textId="77777777" w:rsidR="003573C7" w:rsidRPr="00B0658A" w:rsidRDefault="003573C7" w:rsidP="000A4114">
            <w:pPr>
              <w:spacing w:after="0" w:line="240" w:lineRule="auto"/>
              <w:jc w:val="both"/>
              <w:rPr>
                <w:rFonts w:ascii="Times New Roman" w:hAnsi="Times New Roman"/>
                <w:i/>
                <w:iCs/>
                <w:sz w:val="20"/>
                <w:szCs w:val="20"/>
              </w:rPr>
            </w:pPr>
            <w:r w:rsidRPr="00B0658A">
              <w:rPr>
                <w:rFonts w:ascii="Times New Roman" w:hAnsi="Times New Roman"/>
                <w:i/>
                <w:iCs/>
                <w:sz w:val="20"/>
                <w:szCs w:val="20"/>
              </w:rPr>
              <w:t>Указывается наименование значимого объекта КИИ № 2</w:t>
            </w:r>
          </w:p>
        </w:tc>
        <w:tc>
          <w:tcPr>
            <w:tcW w:w="1321" w:type="pct"/>
          </w:tcPr>
          <w:p w14:paraId="39708C69" w14:textId="77777777" w:rsidR="003573C7" w:rsidRPr="00B0658A" w:rsidRDefault="003573C7" w:rsidP="000A4114">
            <w:pPr>
              <w:spacing w:after="0" w:line="240" w:lineRule="auto"/>
              <w:jc w:val="both"/>
              <w:rPr>
                <w:rFonts w:ascii="Times New Roman" w:hAnsi="Times New Roman"/>
                <w:i/>
                <w:iCs/>
                <w:sz w:val="20"/>
                <w:szCs w:val="20"/>
              </w:rPr>
            </w:pPr>
          </w:p>
        </w:tc>
        <w:tc>
          <w:tcPr>
            <w:tcW w:w="1373" w:type="pct"/>
          </w:tcPr>
          <w:p w14:paraId="2DC77D86" w14:textId="77777777" w:rsidR="003573C7" w:rsidRPr="00B0658A" w:rsidRDefault="003573C7" w:rsidP="000A4114">
            <w:pPr>
              <w:spacing w:after="0" w:line="240" w:lineRule="auto"/>
              <w:jc w:val="both"/>
              <w:rPr>
                <w:rFonts w:ascii="Times New Roman" w:hAnsi="Times New Roman"/>
                <w:i/>
                <w:iCs/>
                <w:sz w:val="20"/>
                <w:szCs w:val="20"/>
              </w:rPr>
            </w:pPr>
          </w:p>
        </w:tc>
        <w:tc>
          <w:tcPr>
            <w:tcW w:w="630" w:type="pct"/>
          </w:tcPr>
          <w:p w14:paraId="59274E4D" w14:textId="77777777" w:rsidR="003573C7" w:rsidRPr="00B0658A" w:rsidRDefault="003573C7" w:rsidP="000A4114">
            <w:pPr>
              <w:spacing w:after="0" w:line="240" w:lineRule="auto"/>
              <w:jc w:val="both"/>
              <w:rPr>
                <w:rFonts w:ascii="Times New Roman" w:hAnsi="Times New Roman"/>
                <w:i/>
                <w:iCs/>
                <w:sz w:val="20"/>
                <w:szCs w:val="20"/>
              </w:rPr>
            </w:pPr>
          </w:p>
        </w:tc>
      </w:tr>
      <w:tr w:rsidR="00F52FED" w:rsidRPr="00B0658A" w14:paraId="4D2450C6" w14:textId="77777777" w:rsidTr="00F52FED">
        <w:trPr>
          <w:trHeight w:val="20"/>
        </w:trPr>
        <w:tc>
          <w:tcPr>
            <w:tcW w:w="202" w:type="pct"/>
          </w:tcPr>
          <w:p w14:paraId="4ABB94BF" w14:textId="77777777" w:rsidR="003573C7" w:rsidRPr="00B0658A" w:rsidRDefault="003573C7" w:rsidP="000A4114">
            <w:pPr>
              <w:spacing w:after="0" w:line="240" w:lineRule="auto"/>
              <w:jc w:val="both"/>
              <w:rPr>
                <w:rFonts w:ascii="Times New Roman" w:hAnsi="Times New Roman"/>
                <w:i/>
                <w:iCs/>
                <w:sz w:val="20"/>
                <w:szCs w:val="20"/>
              </w:rPr>
            </w:pPr>
            <w:r w:rsidRPr="00B0658A">
              <w:rPr>
                <w:rFonts w:ascii="Times New Roman" w:hAnsi="Times New Roman"/>
                <w:i/>
                <w:iCs/>
                <w:sz w:val="20"/>
                <w:szCs w:val="20"/>
              </w:rPr>
              <w:t>…</w:t>
            </w:r>
          </w:p>
        </w:tc>
        <w:tc>
          <w:tcPr>
            <w:tcW w:w="1474" w:type="pct"/>
          </w:tcPr>
          <w:p w14:paraId="19465043" w14:textId="77777777" w:rsidR="003573C7" w:rsidRPr="00B0658A" w:rsidRDefault="003573C7" w:rsidP="000A4114">
            <w:pPr>
              <w:spacing w:after="0" w:line="240" w:lineRule="auto"/>
              <w:jc w:val="both"/>
              <w:rPr>
                <w:rFonts w:ascii="Times New Roman" w:hAnsi="Times New Roman"/>
                <w:i/>
                <w:iCs/>
                <w:sz w:val="20"/>
                <w:szCs w:val="20"/>
              </w:rPr>
            </w:pPr>
            <w:r w:rsidRPr="00B0658A">
              <w:rPr>
                <w:rFonts w:ascii="Times New Roman" w:hAnsi="Times New Roman"/>
                <w:i/>
                <w:iCs/>
                <w:sz w:val="20"/>
                <w:szCs w:val="20"/>
              </w:rPr>
              <w:t>….</w:t>
            </w:r>
          </w:p>
        </w:tc>
        <w:tc>
          <w:tcPr>
            <w:tcW w:w="1321" w:type="pct"/>
          </w:tcPr>
          <w:p w14:paraId="3981CAE5" w14:textId="77777777" w:rsidR="003573C7" w:rsidRPr="00B0658A" w:rsidRDefault="003573C7" w:rsidP="000A4114">
            <w:pPr>
              <w:spacing w:after="0" w:line="240" w:lineRule="auto"/>
              <w:jc w:val="both"/>
              <w:rPr>
                <w:rFonts w:ascii="Times New Roman" w:hAnsi="Times New Roman"/>
                <w:i/>
                <w:iCs/>
                <w:sz w:val="20"/>
                <w:szCs w:val="20"/>
              </w:rPr>
            </w:pPr>
          </w:p>
        </w:tc>
        <w:tc>
          <w:tcPr>
            <w:tcW w:w="1373" w:type="pct"/>
          </w:tcPr>
          <w:p w14:paraId="435181A4" w14:textId="77777777" w:rsidR="003573C7" w:rsidRPr="00B0658A" w:rsidRDefault="003573C7" w:rsidP="000A4114">
            <w:pPr>
              <w:spacing w:after="0" w:line="240" w:lineRule="auto"/>
              <w:jc w:val="both"/>
              <w:rPr>
                <w:rFonts w:ascii="Times New Roman" w:hAnsi="Times New Roman"/>
                <w:i/>
                <w:iCs/>
                <w:sz w:val="20"/>
                <w:szCs w:val="20"/>
              </w:rPr>
            </w:pPr>
          </w:p>
        </w:tc>
        <w:tc>
          <w:tcPr>
            <w:tcW w:w="630" w:type="pct"/>
          </w:tcPr>
          <w:p w14:paraId="28E7513D" w14:textId="77777777" w:rsidR="003573C7" w:rsidRPr="00B0658A" w:rsidRDefault="003573C7" w:rsidP="000A4114">
            <w:pPr>
              <w:spacing w:after="0" w:line="240" w:lineRule="auto"/>
              <w:jc w:val="both"/>
              <w:rPr>
                <w:rFonts w:ascii="Times New Roman" w:hAnsi="Times New Roman"/>
                <w:i/>
                <w:iCs/>
                <w:sz w:val="20"/>
                <w:szCs w:val="20"/>
              </w:rPr>
            </w:pPr>
          </w:p>
        </w:tc>
      </w:tr>
      <w:tr w:rsidR="00F52FED" w:rsidRPr="00B0658A" w14:paraId="1BF5A50F" w14:textId="77777777" w:rsidTr="00F52FED">
        <w:trPr>
          <w:trHeight w:val="20"/>
        </w:trPr>
        <w:tc>
          <w:tcPr>
            <w:tcW w:w="202" w:type="pct"/>
          </w:tcPr>
          <w:p w14:paraId="053B9DF1" w14:textId="77777777" w:rsidR="003573C7" w:rsidRPr="00B0658A" w:rsidRDefault="003573C7" w:rsidP="000A4114">
            <w:pPr>
              <w:spacing w:after="0" w:line="240" w:lineRule="auto"/>
              <w:jc w:val="both"/>
              <w:rPr>
                <w:rFonts w:ascii="Times New Roman" w:hAnsi="Times New Roman"/>
                <w:i/>
                <w:iCs/>
                <w:sz w:val="20"/>
                <w:szCs w:val="20"/>
              </w:rPr>
            </w:pPr>
            <w:r w:rsidRPr="00B0658A">
              <w:rPr>
                <w:rFonts w:ascii="Times New Roman" w:hAnsi="Times New Roman"/>
                <w:i/>
                <w:iCs/>
                <w:sz w:val="20"/>
                <w:szCs w:val="20"/>
              </w:rPr>
              <w:t>N. </w:t>
            </w:r>
          </w:p>
        </w:tc>
        <w:tc>
          <w:tcPr>
            <w:tcW w:w="1474" w:type="pct"/>
          </w:tcPr>
          <w:p w14:paraId="5B26CA24" w14:textId="77777777" w:rsidR="003573C7" w:rsidRPr="00B0658A" w:rsidRDefault="003573C7" w:rsidP="000A4114">
            <w:pPr>
              <w:spacing w:after="0" w:line="240" w:lineRule="auto"/>
              <w:jc w:val="both"/>
              <w:rPr>
                <w:rFonts w:ascii="Times New Roman" w:hAnsi="Times New Roman"/>
                <w:i/>
                <w:iCs/>
                <w:sz w:val="20"/>
                <w:szCs w:val="20"/>
              </w:rPr>
            </w:pPr>
            <w:r w:rsidRPr="00B0658A">
              <w:rPr>
                <w:rFonts w:ascii="Times New Roman" w:hAnsi="Times New Roman"/>
                <w:i/>
                <w:iCs/>
                <w:sz w:val="20"/>
                <w:szCs w:val="20"/>
              </w:rPr>
              <w:t>Указывается наименование значимого объекта КИИ № N</w:t>
            </w:r>
          </w:p>
        </w:tc>
        <w:tc>
          <w:tcPr>
            <w:tcW w:w="1321" w:type="pct"/>
          </w:tcPr>
          <w:p w14:paraId="7A25ABA1" w14:textId="77777777" w:rsidR="003573C7" w:rsidRPr="00B0658A" w:rsidRDefault="003573C7" w:rsidP="000A4114">
            <w:pPr>
              <w:spacing w:after="0" w:line="240" w:lineRule="auto"/>
              <w:jc w:val="both"/>
              <w:rPr>
                <w:rFonts w:ascii="Times New Roman" w:hAnsi="Times New Roman"/>
                <w:i/>
                <w:iCs/>
                <w:sz w:val="20"/>
                <w:szCs w:val="20"/>
              </w:rPr>
            </w:pPr>
          </w:p>
        </w:tc>
        <w:tc>
          <w:tcPr>
            <w:tcW w:w="1373" w:type="pct"/>
          </w:tcPr>
          <w:p w14:paraId="1236368D" w14:textId="77777777" w:rsidR="003573C7" w:rsidRPr="00B0658A" w:rsidRDefault="003573C7" w:rsidP="000A4114">
            <w:pPr>
              <w:spacing w:after="0" w:line="240" w:lineRule="auto"/>
              <w:jc w:val="both"/>
              <w:rPr>
                <w:rFonts w:ascii="Times New Roman" w:hAnsi="Times New Roman"/>
                <w:i/>
                <w:iCs/>
                <w:sz w:val="20"/>
                <w:szCs w:val="20"/>
              </w:rPr>
            </w:pPr>
          </w:p>
        </w:tc>
        <w:tc>
          <w:tcPr>
            <w:tcW w:w="630" w:type="pct"/>
          </w:tcPr>
          <w:p w14:paraId="44D78AD3" w14:textId="77777777" w:rsidR="003573C7" w:rsidRPr="00B0658A" w:rsidRDefault="003573C7" w:rsidP="000A4114">
            <w:pPr>
              <w:spacing w:after="0" w:line="240" w:lineRule="auto"/>
              <w:jc w:val="both"/>
              <w:rPr>
                <w:rFonts w:ascii="Times New Roman" w:hAnsi="Times New Roman"/>
                <w:i/>
                <w:iCs/>
                <w:sz w:val="20"/>
                <w:szCs w:val="20"/>
              </w:rPr>
            </w:pPr>
          </w:p>
        </w:tc>
      </w:tr>
    </w:tbl>
    <w:p w14:paraId="39C9F336" w14:textId="77777777" w:rsidR="008319FB" w:rsidRPr="00B0658A" w:rsidRDefault="004559C7" w:rsidP="0049104B">
      <w:pPr>
        <w:rPr>
          <w:rFonts w:ascii="Times New Roman" w:hAnsi="Times New Roman"/>
          <w:sz w:val="28"/>
          <w:highlight w:val="yellow"/>
        </w:rPr>
      </w:pPr>
      <w:r w:rsidRPr="00B0658A">
        <w:rPr>
          <w:rFonts w:ascii="Times New Roman" w:hAnsi="Times New Roman"/>
        </w:rPr>
        <w:t xml:space="preserve"> </w:t>
      </w:r>
    </w:p>
    <w:sectPr w:rsidR="008319FB" w:rsidRPr="00B0658A" w:rsidSect="00642E31">
      <w:pgSz w:w="16834" w:h="11909" w:orient="landscape"/>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59653E" w16cex:dateUtc="2022-12-30T10:25:00Z"/>
  <w16cex:commentExtensible w16cex:durableId="27596B03" w16cex:dateUtc="2022-12-30T10: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18F55DE" w16cid:durableId="2759653E"/>
  <w16cid:commentId w16cid:paraId="413237A6" w16cid:durableId="27596B0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385398" w14:textId="77777777" w:rsidR="00381069" w:rsidRDefault="00381069">
      <w:pPr>
        <w:spacing w:after="0" w:line="240" w:lineRule="auto"/>
      </w:pPr>
      <w:r>
        <w:separator/>
      </w:r>
    </w:p>
  </w:endnote>
  <w:endnote w:type="continuationSeparator" w:id="0">
    <w:p w14:paraId="4E7A55C3" w14:textId="77777777" w:rsidR="00381069" w:rsidRDefault="00381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48DE1E" w14:textId="77777777" w:rsidR="00381069" w:rsidRDefault="00381069">
      <w:pPr>
        <w:spacing w:after="0" w:line="240" w:lineRule="auto"/>
      </w:pPr>
      <w:r>
        <w:separator/>
      </w:r>
    </w:p>
  </w:footnote>
  <w:footnote w:type="continuationSeparator" w:id="0">
    <w:p w14:paraId="35DE9C1B" w14:textId="77777777" w:rsidR="00381069" w:rsidRDefault="00381069">
      <w:pPr>
        <w:spacing w:after="0" w:line="240" w:lineRule="auto"/>
      </w:pPr>
      <w:r>
        <w:continuationSeparator/>
      </w:r>
    </w:p>
  </w:footnote>
  <w:footnote w:id="1">
    <w:p w14:paraId="56C7A407" w14:textId="77777777" w:rsidR="00700390" w:rsidRDefault="00700390" w:rsidP="00257225">
      <w:pPr>
        <w:pStyle w:val="aff0"/>
      </w:pPr>
      <w:r>
        <w:rPr>
          <w:rStyle w:val="aff2"/>
        </w:rPr>
        <w:footnoteRef/>
      </w:r>
      <w:r>
        <w:t xml:space="preserve"> </w:t>
      </w:r>
      <w:r w:rsidRPr="00257225">
        <w:rPr>
          <w:rFonts w:ascii="Times New Roman" w:hAnsi="Times New Roman"/>
        </w:rPr>
        <w:t xml:space="preserve">Пункт 2 постановления Правительства Российской Федерации от 16 ноября 2015 года </w:t>
      </w:r>
      <w:r>
        <w:rPr>
          <w:rFonts w:ascii="Times New Roman" w:hAnsi="Times New Roman"/>
        </w:rPr>
        <w:t>№  </w:t>
      </w:r>
      <w:r w:rsidRPr="00257225">
        <w:rPr>
          <w:rFonts w:ascii="Times New Roman" w:hAnsi="Times New Roman"/>
        </w:rPr>
        <w:t xml:space="preserve">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(Собрание законодательства РФ, 23.11.2015, </w:t>
      </w:r>
      <w:r>
        <w:rPr>
          <w:rFonts w:ascii="Times New Roman" w:hAnsi="Times New Roman"/>
        </w:rPr>
        <w:br/>
        <w:t>№ </w:t>
      </w:r>
      <w:r w:rsidRPr="00257225">
        <w:rPr>
          <w:rFonts w:ascii="Times New Roman" w:hAnsi="Times New Roman"/>
        </w:rPr>
        <w:t xml:space="preserve"> 47, ст. 6600)</w:t>
      </w:r>
    </w:p>
  </w:footnote>
  <w:footnote w:id="2">
    <w:p w14:paraId="43EC724A" w14:textId="77777777" w:rsidR="00700390" w:rsidRPr="00257225" w:rsidRDefault="00700390" w:rsidP="00257225">
      <w:pPr>
        <w:pStyle w:val="aff0"/>
        <w:rPr>
          <w:rFonts w:ascii="Times New Roman" w:hAnsi="Times New Roman"/>
        </w:rPr>
      </w:pPr>
      <w:r>
        <w:rPr>
          <w:rStyle w:val="aff2"/>
        </w:rPr>
        <w:footnoteRef/>
      </w:r>
      <w:r>
        <w:t xml:space="preserve"> </w:t>
      </w:r>
      <w:r w:rsidRPr="00257225">
        <w:rPr>
          <w:rFonts w:ascii="Times New Roman" w:hAnsi="Times New Roman"/>
        </w:rPr>
        <w:t xml:space="preserve">Пункт 2 постановления Правительства Российской Федерации от 16 ноября 2015 года </w:t>
      </w:r>
      <w:r>
        <w:rPr>
          <w:rFonts w:ascii="Times New Roman" w:hAnsi="Times New Roman"/>
        </w:rPr>
        <w:t>№  </w:t>
      </w:r>
      <w:r w:rsidRPr="00257225">
        <w:rPr>
          <w:rFonts w:ascii="Times New Roman" w:hAnsi="Times New Roman"/>
        </w:rPr>
        <w:t xml:space="preserve">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(Собрание законодательства РФ, 23.11.2015, </w:t>
      </w:r>
      <w:r>
        <w:rPr>
          <w:rFonts w:ascii="Times New Roman" w:hAnsi="Times New Roman"/>
        </w:rPr>
        <w:br/>
        <w:t>№ </w:t>
      </w:r>
      <w:r w:rsidRPr="00257225">
        <w:rPr>
          <w:rFonts w:ascii="Times New Roman" w:hAnsi="Times New Roman"/>
        </w:rPr>
        <w:t xml:space="preserve"> 47, ст. 6600)</w:t>
      </w:r>
    </w:p>
  </w:footnote>
  <w:footnote w:id="3">
    <w:p w14:paraId="60E9613D" w14:textId="53B57876" w:rsidR="00700390" w:rsidRDefault="00700390" w:rsidP="00F57B1F">
      <w:pPr>
        <w:pStyle w:val="aff0"/>
        <w:jc w:val="both"/>
      </w:pPr>
      <w:r>
        <w:rPr>
          <w:rStyle w:val="aff2"/>
        </w:rPr>
        <w:footnoteRef/>
      </w:r>
      <w:r>
        <w:t xml:space="preserve"> </w:t>
      </w:r>
      <w:r w:rsidRPr="00EA22F5">
        <w:rPr>
          <w:rFonts w:ascii="Times New Roman" w:hAnsi="Times New Roman"/>
        </w:rPr>
        <w:t xml:space="preserve">Данный пункт методических рекомендаций распространяется на органы государственной власти, государственные внебюджетные фонды Российской Федерации, организации, подведомственные органам государственной власти и государственным внебюджетным фондам Российской Федерации, государственные корпорации и компании с государственным участием, в том числе организации, в уставных капиталах которых суммарная доля прямого и (или) косвенного участия государственных корпораций и компаний с государственным участием превышает 50 процентов, иные организации, осуществляющие закупки товаров, работ, услуг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w:t>
      </w:r>
      <w:r>
        <w:rPr>
          <w:rFonts w:ascii="Times New Roman" w:hAnsi="Times New Roman"/>
        </w:rPr>
        <w:t xml:space="preserve">(или) </w:t>
      </w:r>
      <w:r w:rsidRPr="00EA22F5">
        <w:rPr>
          <w:rFonts w:ascii="Times New Roman" w:hAnsi="Times New Roman"/>
        </w:rPr>
        <w:t>Федеральным законом «О закупках товаров, работ, услуг отдельными видами юридических лиц» (за исключением организаций с муниципальным участием)</w:t>
      </w:r>
      <w:r w:rsidR="00566386">
        <w:rPr>
          <w:rFonts w:ascii="Times New Roman" w:hAnsi="Times New Roman"/>
        </w:rPr>
        <w:t>.</w:t>
      </w:r>
    </w:p>
  </w:footnote>
  <w:footnote w:id="4">
    <w:p w14:paraId="744451A0" w14:textId="61CA8D92" w:rsidR="00700390" w:rsidRPr="00715FFB" w:rsidRDefault="00700390" w:rsidP="00F57B1F">
      <w:pPr>
        <w:pStyle w:val="aff0"/>
        <w:jc w:val="both"/>
        <w:rPr>
          <w:rFonts w:ascii="Times New Roman" w:hAnsi="Times New Roman"/>
        </w:rPr>
      </w:pPr>
      <w:r w:rsidRPr="00715FFB">
        <w:rPr>
          <w:rStyle w:val="aff2"/>
          <w:rFonts w:ascii="Times New Roman" w:hAnsi="Times New Roman"/>
        </w:rPr>
        <w:footnoteRef/>
      </w:r>
      <w:r w:rsidRPr="00715FFB">
        <w:rPr>
          <w:rFonts w:ascii="Times New Roman" w:hAnsi="Times New Roman"/>
        </w:rPr>
        <w:t xml:space="preserve"> За исключением организаций, являющихся заказчиками 44-ФЗ и не осуществляющих закупки в соответствии с Федеральным законом </w:t>
      </w:r>
      <w:r>
        <w:rPr>
          <w:rFonts w:ascii="Times New Roman" w:hAnsi="Times New Roman"/>
        </w:rPr>
        <w:t>«О закупках товаров, работ, услуг отдельными видами юридических лиц»</w:t>
      </w:r>
      <w:r w:rsidR="00643168">
        <w:rPr>
          <w:rFonts w:ascii="Times New Roman" w:hAnsi="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5E8C9" w14:textId="77777777" w:rsidR="00700390" w:rsidRDefault="00700390">
    <w:pPr>
      <w:pStyle w:val="a5"/>
      <w:jc w:val="center"/>
    </w:pPr>
  </w:p>
  <w:p w14:paraId="3DB05A09" w14:textId="40A33309" w:rsidR="00700390" w:rsidRPr="00C417B2" w:rsidRDefault="00700390" w:rsidP="007E4CF3">
    <w:pPr>
      <w:pStyle w:val="a5"/>
      <w:jc w:val="center"/>
    </w:pPr>
    <w:r>
      <w:fldChar w:fldCharType="begin"/>
    </w:r>
    <w:r>
      <w:instrText>PAGE   \* MERGEFORMAT</w:instrText>
    </w:r>
    <w:r>
      <w:fldChar w:fldCharType="separate"/>
    </w:r>
    <w:r w:rsidR="008864F3">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C2E79"/>
    <w:multiLevelType w:val="hybridMultilevel"/>
    <w:tmpl w:val="DEEA6D62"/>
    <w:lvl w:ilvl="0" w:tplc="834448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28265B7"/>
    <w:multiLevelType w:val="hybridMultilevel"/>
    <w:tmpl w:val="9DB01686"/>
    <w:lvl w:ilvl="0" w:tplc="FFFFFFFF">
      <w:start w:val="1"/>
      <w:numFmt w:val="decimal"/>
      <w:lvlText w:val="%1."/>
      <w:lvlJc w:val="left"/>
      <w:pPr>
        <w:ind w:left="720" w:hanging="360"/>
      </w:pPr>
      <w:rPr>
        <w:rFonts w:hint="default"/>
        <w:b/>
        <w:i w:val="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A3B276F"/>
    <w:multiLevelType w:val="hybridMultilevel"/>
    <w:tmpl w:val="7ADA87F6"/>
    <w:lvl w:ilvl="0" w:tplc="6A50E4C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15:restartNumberingAfterBreak="0">
    <w:nsid w:val="0CEB4588"/>
    <w:multiLevelType w:val="hybridMultilevel"/>
    <w:tmpl w:val="1D2C6AFE"/>
    <w:lvl w:ilvl="0" w:tplc="8264C8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D1A50CB"/>
    <w:multiLevelType w:val="hybridMultilevel"/>
    <w:tmpl w:val="81CCD5A2"/>
    <w:lvl w:ilvl="0" w:tplc="D3A8688E">
      <w:start w:val="1"/>
      <w:numFmt w:val="decimal"/>
      <w:lvlText w:val="%1."/>
      <w:lvlJc w:val="left"/>
      <w:pPr>
        <w:ind w:left="720" w:hanging="360"/>
      </w:pPr>
      <w:rPr>
        <w:rFonts w:hint="default"/>
        <w:b w:val="0"/>
        <w:i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F0612A0"/>
    <w:multiLevelType w:val="hybridMultilevel"/>
    <w:tmpl w:val="ECF03EC6"/>
    <w:lvl w:ilvl="0" w:tplc="834448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5656C90"/>
    <w:multiLevelType w:val="hybridMultilevel"/>
    <w:tmpl w:val="3114462C"/>
    <w:styleLink w:val="1"/>
    <w:lvl w:ilvl="0" w:tplc="851E30B2">
      <w:start w:val="1"/>
      <w:numFmt w:val="decimal"/>
      <w:lvlText w:val="%1."/>
      <w:lvlJc w:val="left"/>
      <w:pPr>
        <w:ind w:left="1420" w:hanging="360"/>
      </w:pPr>
    </w:lvl>
    <w:lvl w:ilvl="1" w:tplc="ACC22650">
      <w:start w:val="1"/>
      <w:numFmt w:val="lowerLetter"/>
      <w:lvlText w:val="%2."/>
      <w:lvlJc w:val="left"/>
      <w:pPr>
        <w:ind w:left="2140" w:hanging="360"/>
      </w:pPr>
    </w:lvl>
    <w:lvl w:ilvl="2" w:tplc="2B4C5C46">
      <w:start w:val="1"/>
      <w:numFmt w:val="lowerRoman"/>
      <w:lvlText w:val="%3."/>
      <w:lvlJc w:val="right"/>
      <w:pPr>
        <w:ind w:left="2860" w:hanging="180"/>
      </w:pPr>
    </w:lvl>
    <w:lvl w:ilvl="3" w:tplc="7760064E">
      <w:start w:val="1"/>
      <w:numFmt w:val="decimal"/>
      <w:lvlText w:val="%4."/>
      <w:lvlJc w:val="left"/>
      <w:pPr>
        <w:ind w:left="3580" w:hanging="360"/>
      </w:pPr>
    </w:lvl>
    <w:lvl w:ilvl="4" w:tplc="4F12E322">
      <w:start w:val="1"/>
      <w:numFmt w:val="lowerLetter"/>
      <w:lvlText w:val="%5."/>
      <w:lvlJc w:val="left"/>
      <w:pPr>
        <w:ind w:left="4300" w:hanging="360"/>
      </w:pPr>
    </w:lvl>
    <w:lvl w:ilvl="5" w:tplc="3B300DDC">
      <w:start w:val="1"/>
      <w:numFmt w:val="lowerRoman"/>
      <w:lvlText w:val="%6."/>
      <w:lvlJc w:val="right"/>
      <w:pPr>
        <w:ind w:left="5020" w:hanging="180"/>
      </w:pPr>
    </w:lvl>
    <w:lvl w:ilvl="6" w:tplc="F02A2EBC">
      <w:start w:val="1"/>
      <w:numFmt w:val="decimal"/>
      <w:lvlText w:val="%7."/>
      <w:lvlJc w:val="left"/>
      <w:pPr>
        <w:ind w:left="5740" w:hanging="360"/>
      </w:pPr>
    </w:lvl>
    <w:lvl w:ilvl="7" w:tplc="65560C48">
      <w:start w:val="1"/>
      <w:numFmt w:val="lowerLetter"/>
      <w:lvlText w:val="%8."/>
      <w:lvlJc w:val="left"/>
      <w:pPr>
        <w:ind w:left="6460" w:hanging="360"/>
      </w:pPr>
    </w:lvl>
    <w:lvl w:ilvl="8" w:tplc="97EA5B4A">
      <w:start w:val="1"/>
      <w:numFmt w:val="lowerRoman"/>
      <w:lvlText w:val="%9."/>
      <w:lvlJc w:val="right"/>
      <w:pPr>
        <w:ind w:left="7180" w:hanging="180"/>
      </w:pPr>
    </w:lvl>
  </w:abstractNum>
  <w:abstractNum w:abstractNumId="7" w15:restartNumberingAfterBreak="0">
    <w:nsid w:val="1869348F"/>
    <w:multiLevelType w:val="hybridMultilevel"/>
    <w:tmpl w:val="45DA51EA"/>
    <w:lvl w:ilvl="0" w:tplc="D2E4F4DA">
      <w:start w:val="1"/>
      <w:numFmt w:val="decimal"/>
      <w:pStyle w:val="10"/>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8" w15:restartNumberingAfterBreak="0">
    <w:nsid w:val="1A3942C8"/>
    <w:multiLevelType w:val="hybridMultilevel"/>
    <w:tmpl w:val="CEBCA7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F90028B"/>
    <w:multiLevelType w:val="hybridMultilevel"/>
    <w:tmpl w:val="1D2C6AFE"/>
    <w:lvl w:ilvl="0" w:tplc="8264C8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9780E76"/>
    <w:multiLevelType w:val="hybridMultilevel"/>
    <w:tmpl w:val="9DB01686"/>
    <w:lvl w:ilvl="0" w:tplc="FFFFFFFF">
      <w:start w:val="1"/>
      <w:numFmt w:val="decimal"/>
      <w:lvlText w:val="%1."/>
      <w:lvlJc w:val="left"/>
      <w:pPr>
        <w:ind w:left="720" w:hanging="360"/>
      </w:pPr>
      <w:rPr>
        <w:rFonts w:hint="default"/>
        <w:b/>
        <w:i w:val="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2337BD9"/>
    <w:multiLevelType w:val="hybridMultilevel"/>
    <w:tmpl w:val="1D2C6AFE"/>
    <w:lvl w:ilvl="0" w:tplc="8264C884">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338D7498"/>
    <w:multiLevelType w:val="hybridMultilevel"/>
    <w:tmpl w:val="86F6084A"/>
    <w:lvl w:ilvl="0" w:tplc="834448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39441DDF"/>
    <w:multiLevelType w:val="hybridMultilevel"/>
    <w:tmpl w:val="9DB01686"/>
    <w:lvl w:ilvl="0" w:tplc="FFFFFFFF">
      <w:start w:val="1"/>
      <w:numFmt w:val="decimal"/>
      <w:lvlText w:val="%1."/>
      <w:lvlJc w:val="left"/>
      <w:pPr>
        <w:ind w:left="720" w:hanging="360"/>
      </w:pPr>
      <w:rPr>
        <w:rFonts w:hint="default"/>
        <w:b/>
        <w:i w:val="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AF46083"/>
    <w:multiLevelType w:val="hybridMultilevel"/>
    <w:tmpl w:val="1D2C6AFE"/>
    <w:lvl w:ilvl="0" w:tplc="8264C8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420278DB"/>
    <w:multiLevelType w:val="hybridMultilevel"/>
    <w:tmpl w:val="CEBCA7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20B624E"/>
    <w:multiLevelType w:val="hybridMultilevel"/>
    <w:tmpl w:val="9DB01686"/>
    <w:lvl w:ilvl="0" w:tplc="E95638C0">
      <w:start w:val="1"/>
      <w:numFmt w:val="decimal"/>
      <w:lvlText w:val="%1."/>
      <w:lvlJc w:val="left"/>
      <w:pPr>
        <w:ind w:left="720" w:hanging="360"/>
      </w:pPr>
      <w:rPr>
        <w:rFonts w:hint="default"/>
        <w:b/>
        <w:i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21D19B2"/>
    <w:multiLevelType w:val="hybridMultilevel"/>
    <w:tmpl w:val="86F6084A"/>
    <w:lvl w:ilvl="0" w:tplc="834448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442C03C6"/>
    <w:multiLevelType w:val="multilevel"/>
    <w:tmpl w:val="6A7A2D7A"/>
    <w:styleLink w:val="a"/>
    <w:lvl w:ilvl="0">
      <w:start w:val="1"/>
      <w:numFmt w:val="decimal"/>
      <w:lvlText w:val="%1."/>
      <w:lvlJc w:val="left"/>
      <w:pPr>
        <w:ind w:left="2771" w:hanging="360"/>
      </w:pPr>
      <w:rPr>
        <w:rFonts w:ascii="Times New Roman" w:hAnsi="Times New Roman" w:cs="Times New Roman"/>
        <w:sz w:val="28"/>
      </w:rPr>
    </w:lvl>
    <w:lvl w:ilvl="1">
      <w:start w:val="1"/>
      <w:numFmt w:val="russianLower"/>
      <w:lvlText w:val="%2."/>
      <w:lvlJc w:val="left"/>
      <w:pPr>
        <w:ind w:left="2007" w:hanging="360"/>
      </w:pPr>
      <w:rPr>
        <w:rFonts w:cs="Times New Roman" w:hint="default"/>
      </w:rPr>
    </w:lvl>
    <w:lvl w:ilvl="2">
      <w:start w:val="1"/>
      <w:numFmt w:val="bullet"/>
      <w:lvlText w:val=""/>
      <w:lvlJc w:val="left"/>
      <w:pPr>
        <w:ind w:left="2727" w:hanging="180"/>
      </w:pPr>
      <w:rPr>
        <w:rFonts w:ascii="Symbol" w:hAnsi="Symbol" w:hint="default"/>
        <w:color w:val="auto"/>
      </w:rPr>
    </w:lvl>
    <w:lvl w:ilvl="3">
      <w:start w:val="1"/>
      <w:numFmt w:val="decimal"/>
      <w:lvlText w:val="%4."/>
      <w:lvlJc w:val="left"/>
      <w:pPr>
        <w:ind w:left="3447" w:hanging="360"/>
      </w:pPr>
      <w:rPr>
        <w:rFonts w:cs="Times New Roman"/>
      </w:rPr>
    </w:lvl>
    <w:lvl w:ilvl="4">
      <w:start w:val="1"/>
      <w:numFmt w:val="lowerLetter"/>
      <w:lvlText w:val="%5."/>
      <w:lvlJc w:val="left"/>
      <w:pPr>
        <w:ind w:left="4167" w:hanging="360"/>
      </w:pPr>
      <w:rPr>
        <w:rFonts w:cs="Times New Roman"/>
      </w:rPr>
    </w:lvl>
    <w:lvl w:ilvl="5">
      <w:start w:val="1"/>
      <w:numFmt w:val="lowerRoman"/>
      <w:lvlText w:val="%6."/>
      <w:lvlJc w:val="right"/>
      <w:pPr>
        <w:ind w:left="4887" w:hanging="180"/>
      </w:pPr>
      <w:rPr>
        <w:rFonts w:cs="Times New Roman"/>
      </w:rPr>
    </w:lvl>
    <w:lvl w:ilvl="6">
      <w:start w:val="1"/>
      <w:numFmt w:val="decimal"/>
      <w:lvlText w:val="%7."/>
      <w:lvlJc w:val="left"/>
      <w:pPr>
        <w:ind w:left="5607" w:hanging="360"/>
      </w:pPr>
      <w:rPr>
        <w:rFonts w:cs="Times New Roman"/>
      </w:rPr>
    </w:lvl>
    <w:lvl w:ilvl="7">
      <w:start w:val="1"/>
      <w:numFmt w:val="lowerLetter"/>
      <w:lvlText w:val="%8."/>
      <w:lvlJc w:val="left"/>
      <w:pPr>
        <w:ind w:left="6327" w:hanging="360"/>
      </w:pPr>
      <w:rPr>
        <w:rFonts w:cs="Times New Roman"/>
      </w:rPr>
    </w:lvl>
    <w:lvl w:ilvl="8">
      <w:start w:val="1"/>
      <w:numFmt w:val="lowerRoman"/>
      <w:lvlText w:val="%9."/>
      <w:lvlJc w:val="right"/>
      <w:pPr>
        <w:ind w:left="7047" w:hanging="180"/>
      </w:pPr>
      <w:rPr>
        <w:rFonts w:cs="Times New Roman"/>
      </w:rPr>
    </w:lvl>
  </w:abstractNum>
  <w:abstractNum w:abstractNumId="19" w15:restartNumberingAfterBreak="0">
    <w:nsid w:val="48146513"/>
    <w:multiLevelType w:val="hybridMultilevel"/>
    <w:tmpl w:val="CEBCA7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D76695A"/>
    <w:multiLevelType w:val="hybridMultilevel"/>
    <w:tmpl w:val="6FD6D9A2"/>
    <w:lvl w:ilvl="0" w:tplc="AB764FD4">
      <w:start w:val="1"/>
      <w:numFmt w:val="bullet"/>
      <w:lvlText w:val=""/>
      <w:lvlJc w:val="left"/>
      <w:pPr>
        <w:ind w:left="2059" w:hanging="360"/>
      </w:pPr>
      <w:rPr>
        <w:rFonts w:ascii="Symbol" w:hAnsi="Symbol" w:hint="default"/>
      </w:rPr>
    </w:lvl>
    <w:lvl w:ilvl="1" w:tplc="D0A87E3A">
      <w:start w:val="1"/>
      <w:numFmt w:val="bullet"/>
      <w:pStyle w:val="2"/>
      <w:lvlText w:val="o"/>
      <w:lvlJc w:val="left"/>
      <w:pPr>
        <w:ind w:left="2005" w:hanging="360"/>
      </w:pPr>
      <w:rPr>
        <w:rFonts w:ascii="Courier New" w:hAnsi="Courier New" w:hint="default"/>
      </w:rPr>
    </w:lvl>
    <w:lvl w:ilvl="2" w:tplc="04190005">
      <w:start w:val="1"/>
      <w:numFmt w:val="bullet"/>
      <w:lvlText w:val=""/>
      <w:lvlJc w:val="left"/>
      <w:pPr>
        <w:ind w:left="2725" w:hanging="360"/>
      </w:pPr>
      <w:rPr>
        <w:rFonts w:ascii="Wingdings" w:hAnsi="Wingdings" w:hint="default"/>
      </w:rPr>
    </w:lvl>
    <w:lvl w:ilvl="3" w:tplc="04190001" w:tentative="1">
      <w:start w:val="1"/>
      <w:numFmt w:val="bullet"/>
      <w:lvlText w:val=""/>
      <w:lvlJc w:val="left"/>
      <w:pPr>
        <w:ind w:left="3445" w:hanging="360"/>
      </w:pPr>
      <w:rPr>
        <w:rFonts w:ascii="Symbol" w:hAnsi="Symbol" w:hint="default"/>
      </w:rPr>
    </w:lvl>
    <w:lvl w:ilvl="4" w:tplc="04190003" w:tentative="1">
      <w:start w:val="1"/>
      <w:numFmt w:val="bullet"/>
      <w:lvlText w:val="o"/>
      <w:lvlJc w:val="left"/>
      <w:pPr>
        <w:ind w:left="4165" w:hanging="360"/>
      </w:pPr>
      <w:rPr>
        <w:rFonts w:ascii="Courier New" w:hAnsi="Courier New" w:hint="default"/>
      </w:rPr>
    </w:lvl>
    <w:lvl w:ilvl="5" w:tplc="04190005" w:tentative="1">
      <w:start w:val="1"/>
      <w:numFmt w:val="bullet"/>
      <w:lvlText w:val=""/>
      <w:lvlJc w:val="left"/>
      <w:pPr>
        <w:ind w:left="4885" w:hanging="360"/>
      </w:pPr>
      <w:rPr>
        <w:rFonts w:ascii="Wingdings" w:hAnsi="Wingdings" w:hint="default"/>
      </w:rPr>
    </w:lvl>
    <w:lvl w:ilvl="6" w:tplc="04190001" w:tentative="1">
      <w:start w:val="1"/>
      <w:numFmt w:val="bullet"/>
      <w:lvlText w:val=""/>
      <w:lvlJc w:val="left"/>
      <w:pPr>
        <w:ind w:left="5605" w:hanging="360"/>
      </w:pPr>
      <w:rPr>
        <w:rFonts w:ascii="Symbol" w:hAnsi="Symbol" w:hint="default"/>
      </w:rPr>
    </w:lvl>
    <w:lvl w:ilvl="7" w:tplc="04190003" w:tentative="1">
      <w:start w:val="1"/>
      <w:numFmt w:val="bullet"/>
      <w:lvlText w:val="o"/>
      <w:lvlJc w:val="left"/>
      <w:pPr>
        <w:ind w:left="6325" w:hanging="360"/>
      </w:pPr>
      <w:rPr>
        <w:rFonts w:ascii="Courier New" w:hAnsi="Courier New" w:hint="default"/>
      </w:rPr>
    </w:lvl>
    <w:lvl w:ilvl="8" w:tplc="04190005" w:tentative="1">
      <w:start w:val="1"/>
      <w:numFmt w:val="bullet"/>
      <w:lvlText w:val=""/>
      <w:lvlJc w:val="left"/>
      <w:pPr>
        <w:ind w:left="7045" w:hanging="360"/>
      </w:pPr>
      <w:rPr>
        <w:rFonts w:ascii="Wingdings" w:hAnsi="Wingdings" w:hint="default"/>
      </w:rPr>
    </w:lvl>
  </w:abstractNum>
  <w:abstractNum w:abstractNumId="21" w15:restartNumberingAfterBreak="0">
    <w:nsid w:val="53285C87"/>
    <w:multiLevelType w:val="hybridMultilevel"/>
    <w:tmpl w:val="CEBCA7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6757DA3"/>
    <w:multiLevelType w:val="hybridMultilevel"/>
    <w:tmpl w:val="7FE4C322"/>
    <w:lvl w:ilvl="0" w:tplc="98660B8A">
      <w:start w:val="1"/>
      <w:numFmt w:val="bullet"/>
      <w:pStyle w:val="a0"/>
      <w:lvlText w:val=""/>
      <w:lvlJc w:val="left"/>
      <w:pPr>
        <w:ind w:left="360" w:hanging="360"/>
      </w:pPr>
      <w:rPr>
        <w:rFonts w:ascii="Symbol" w:hAnsi="Symbol" w:hint="default"/>
      </w:rPr>
    </w:lvl>
    <w:lvl w:ilvl="1" w:tplc="04190003">
      <w:start w:val="1"/>
      <w:numFmt w:val="bullet"/>
      <w:lvlText w:val="o"/>
      <w:lvlJc w:val="left"/>
      <w:pPr>
        <w:ind w:left="371" w:hanging="360"/>
      </w:pPr>
      <w:rPr>
        <w:rFonts w:ascii="Courier New" w:hAnsi="Courier New" w:hint="default"/>
      </w:rPr>
    </w:lvl>
    <w:lvl w:ilvl="2" w:tplc="04190005">
      <w:start w:val="1"/>
      <w:numFmt w:val="bullet"/>
      <w:lvlText w:val=""/>
      <w:lvlJc w:val="left"/>
      <w:pPr>
        <w:ind w:left="1091" w:hanging="360"/>
      </w:pPr>
      <w:rPr>
        <w:rFonts w:ascii="Wingdings" w:hAnsi="Wingdings" w:hint="default"/>
      </w:rPr>
    </w:lvl>
    <w:lvl w:ilvl="3" w:tplc="04190001">
      <w:start w:val="1"/>
      <w:numFmt w:val="bullet"/>
      <w:lvlText w:val=""/>
      <w:lvlJc w:val="left"/>
      <w:pPr>
        <w:ind w:left="1811" w:hanging="360"/>
      </w:pPr>
      <w:rPr>
        <w:rFonts w:ascii="Symbol" w:hAnsi="Symbol" w:hint="default"/>
      </w:rPr>
    </w:lvl>
    <w:lvl w:ilvl="4" w:tplc="04190003">
      <w:start w:val="1"/>
      <w:numFmt w:val="bullet"/>
      <w:lvlText w:val="o"/>
      <w:lvlJc w:val="left"/>
      <w:pPr>
        <w:ind w:left="2531" w:hanging="360"/>
      </w:pPr>
      <w:rPr>
        <w:rFonts w:ascii="Courier New" w:hAnsi="Courier New" w:hint="default"/>
      </w:rPr>
    </w:lvl>
    <w:lvl w:ilvl="5" w:tplc="04190005">
      <w:start w:val="1"/>
      <w:numFmt w:val="bullet"/>
      <w:lvlText w:val=""/>
      <w:lvlJc w:val="left"/>
      <w:pPr>
        <w:ind w:left="3251" w:hanging="360"/>
      </w:pPr>
      <w:rPr>
        <w:rFonts w:ascii="Wingdings" w:hAnsi="Wingdings" w:hint="default"/>
      </w:rPr>
    </w:lvl>
    <w:lvl w:ilvl="6" w:tplc="04190001">
      <w:start w:val="1"/>
      <w:numFmt w:val="bullet"/>
      <w:lvlText w:val=""/>
      <w:lvlJc w:val="left"/>
      <w:pPr>
        <w:ind w:left="3971" w:hanging="360"/>
      </w:pPr>
      <w:rPr>
        <w:rFonts w:ascii="Symbol" w:hAnsi="Symbol" w:hint="default"/>
      </w:rPr>
    </w:lvl>
    <w:lvl w:ilvl="7" w:tplc="04190003">
      <w:start w:val="1"/>
      <w:numFmt w:val="bullet"/>
      <w:lvlText w:val="o"/>
      <w:lvlJc w:val="left"/>
      <w:pPr>
        <w:ind w:left="4691" w:hanging="360"/>
      </w:pPr>
      <w:rPr>
        <w:rFonts w:ascii="Courier New" w:hAnsi="Courier New" w:hint="default"/>
      </w:rPr>
    </w:lvl>
    <w:lvl w:ilvl="8" w:tplc="04190005">
      <w:start w:val="1"/>
      <w:numFmt w:val="bullet"/>
      <w:lvlText w:val=""/>
      <w:lvlJc w:val="left"/>
      <w:pPr>
        <w:ind w:left="5411" w:hanging="360"/>
      </w:pPr>
      <w:rPr>
        <w:rFonts w:ascii="Wingdings" w:hAnsi="Wingdings" w:hint="default"/>
      </w:rPr>
    </w:lvl>
  </w:abstractNum>
  <w:abstractNum w:abstractNumId="23" w15:restartNumberingAfterBreak="0">
    <w:nsid w:val="62CE4E64"/>
    <w:multiLevelType w:val="hybridMultilevel"/>
    <w:tmpl w:val="930CAC64"/>
    <w:lvl w:ilvl="0" w:tplc="08223F82">
      <w:start w:val="1"/>
      <w:numFmt w:val="decimal"/>
      <w:lvlText w:val="%1."/>
      <w:lvlJc w:val="left"/>
      <w:pPr>
        <w:ind w:left="1069" w:hanging="360"/>
      </w:pPr>
      <w:rPr>
        <w:rFonts w:ascii="Times New Roman" w:hAnsi="Times New Roman"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6365725F"/>
    <w:multiLevelType w:val="hybridMultilevel"/>
    <w:tmpl w:val="9DB01686"/>
    <w:lvl w:ilvl="0" w:tplc="FFFFFFFF">
      <w:start w:val="1"/>
      <w:numFmt w:val="decimal"/>
      <w:lvlText w:val="%1."/>
      <w:lvlJc w:val="left"/>
      <w:pPr>
        <w:ind w:left="720" w:hanging="360"/>
      </w:pPr>
      <w:rPr>
        <w:rFonts w:hint="default"/>
        <w:b/>
        <w:i w:val="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56A6679"/>
    <w:multiLevelType w:val="hybridMultilevel"/>
    <w:tmpl w:val="DEEA6D62"/>
    <w:lvl w:ilvl="0" w:tplc="834448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65857C55"/>
    <w:multiLevelType w:val="hybridMultilevel"/>
    <w:tmpl w:val="913C1440"/>
    <w:lvl w:ilvl="0" w:tplc="DCCAD00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674C260B"/>
    <w:multiLevelType w:val="hybridMultilevel"/>
    <w:tmpl w:val="2DD0034A"/>
    <w:lvl w:ilvl="0" w:tplc="871E1402">
      <w:start w:val="1"/>
      <w:numFmt w:val="decimal"/>
      <w:lvlText w:val="%1."/>
      <w:lvlJc w:val="left"/>
      <w:pPr>
        <w:ind w:left="1069" w:hanging="360"/>
      </w:pPr>
      <w:rPr>
        <w:rFonts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71A228C9"/>
    <w:multiLevelType w:val="hybridMultilevel"/>
    <w:tmpl w:val="1D2C6AFE"/>
    <w:lvl w:ilvl="0" w:tplc="8264C8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73AE1802"/>
    <w:multiLevelType w:val="hybridMultilevel"/>
    <w:tmpl w:val="930CAC64"/>
    <w:lvl w:ilvl="0" w:tplc="08223F82">
      <w:start w:val="1"/>
      <w:numFmt w:val="decimal"/>
      <w:lvlText w:val="%1."/>
      <w:lvlJc w:val="left"/>
      <w:pPr>
        <w:ind w:left="1069" w:hanging="360"/>
      </w:pPr>
      <w:rPr>
        <w:rFonts w:ascii="Times New Roman" w:hAnsi="Times New Roman"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75366C97"/>
    <w:multiLevelType w:val="hybridMultilevel"/>
    <w:tmpl w:val="607CF8FA"/>
    <w:lvl w:ilvl="0" w:tplc="8B828C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0"/>
  </w:num>
  <w:num w:numId="2">
    <w:abstractNumId w:val="22"/>
  </w:num>
  <w:num w:numId="3">
    <w:abstractNumId w:val="7"/>
  </w:num>
  <w:num w:numId="4">
    <w:abstractNumId w:val="18"/>
  </w:num>
  <w:num w:numId="5">
    <w:abstractNumId w:val="6"/>
  </w:num>
  <w:num w:numId="6">
    <w:abstractNumId w:val="23"/>
  </w:num>
  <w:num w:numId="7">
    <w:abstractNumId w:val="15"/>
  </w:num>
  <w:num w:numId="8">
    <w:abstractNumId w:val="3"/>
  </w:num>
  <w:num w:numId="9">
    <w:abstractNumId w:val="21"/>
  </w:num>
  <w:num w:numId="10">
    <w:abstractNumId w:val="9"/>
  </w:num>
  <w:num w:numId="11">
    <w:abstractNumId w:val="14"/>
  </w:num>
  <w:num w:numId="12">
    <w:abstractNumId w:val="28"/>
  </w:num>
  <w:num w:numId="13">
    <w:abstractNumId w:val="27"/>
  </w:num>
  <w:num w:numId="14">
    <w:abstractNumId w:val="11"/>
  </w:num>
  <w:num w:numId="15">
    <w:abstractNumId w:val="2"/>
  </w:num>
  <w:num w:numId="16">
    <w:abstractNumId w:val="4"/>
  </w:num>
  <w:num w:numId="17">
    <w:abstractNumId w:val="16"/>
  </w:num>
  <w:num w:numId="18">
    <w:abstractNumId w:val="25"/>
  </w:num>
  <w:num w:numId="19">
    <w:abstractNumId w:val="30"/>
  </w:num>
  <w:num w:numId="20">
    <w:abstractNumId w:val="29"/>
  </w:num>
  <w:num w:numId="21">
    <w:abstractNumId w:val="0"/>
  </w:num>
  <w:num w:numId="22">
    <w:abstractNumId w:val="26"/>
  </w:num>
  <w:num w:numId="23">
    <w:abstractNumId w:val="5"/>
  </w:num>
  <w:num w:numId="24">
    <w:abstractNumId w:val="12"/>
  </w:num>
  <w:num w:numId="25">
    <w:abstractNumId w:val="17"/>
  </w:num>
  <w:num w:numId="26">
    <w:abstractNumId w:val="8"/>
  </w:num>
  <w:num w:numId="27">
    <w:abstractNumId w:val="19"/>
  </w:num>
  <w:num w:numId="28">
    <w:abstractNumId w:val="13"/>
  </w:num>
  <w:num w:numId="29">
    <w:abstractNumId w:val="24"/>
  </w:num>
  <w:num w:numId="30">
    <w:abstractNumId w:val="10"/>
  </w:num>
  <w:num w:numId="31">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4916"/>
    <w:rsid w:val="0000298A"/>
    <w:rsid w:val="00002DBA"/>
    <w:rsid w:val="000031A6"/>
    <w:rsid w:val="00004A41"/>
    <w:rsid w:val="00005331"/>
    <w:rsid w:val="00005417"/>
    <w:rsid w:val="000056D6"/>
    <w:rsid w:val="00005F75"/>
    <w:rsid w:val="00006702"/>
    <w:rsid w:val="00006D84"/>
    <w:rsid w:val="00006EE6"/>
    <w:rsid w:val="00007663"/>
    <w:rsid w:val="0001028D"/>
    <w:rsid w:val="000103BB"/>
    <w:rsid w:val="00011053"/>
    <w:rsid w:val="00011831"/>
    <w:rsid w:val="00011D95"/>
    <w:rsid w:val="00013CB6"/>
    <w:rsid w:val="00014FE0"/>
    <w:rsid w:val="0001535F"/>
    <w:rsid w:val="000159D9"/>
    <w:rsid w:val="00015E38"/>
    <w:rsid w:val="000161DD"/>
    <w:rsid w:val="00017267"/>
    <w:rsid w:val="00020950"/>
    <w:rsid w:val="000216B3"/>
    <w:rsid w:val="0002298B"/>
    <w:rsid w:val="00023107"/>
    <w:rsid w:val="00025BE0"/>
    <w:rsid w:val="00026189"/>
    <w:rsid w:val="0002625E"/>
    <w:rsid w:val="00026793"/>
    <w:rsid w:val="000269E0"/>
    <w:rsid w:val="00027932"/>
    <w:rsid w:val="00030245"/>
    <w:rsid w:val="000335BC"/>
    <w:rsid w:val="000366C0"/>
    <w:rsid w:val="00037BFA"/>
    <w:rsid w:val="00040ADF"/>
    <w:rsid w:val="000413B0"/>
    <w:rsid w:val="00041627"/>
    <w:rsid w:val="00041F69"/>
    <w:rsid w:val="00042406"/>
    <w:rsid w:val="00050415"/>
    <w:rsid w:val="0005186B"/>
    <w:rsid w:val="000544FB"/>
    <w:rsid w:val="00054A4F"/>
    <w:rsid w:val="00055E02"/>
    <w:rsid w:val="00057BE4"/>
    <w:rsid w:val="000602BC"/>
    <w:rsid w:val="00060E4E"/>
    <w:rsid w:val="00061049"/>
    <w:rsid w:val="0006133E"/>
    <w:rsid w:val="0006155F"/>
    <w:rsid w:val="000616F9"/>
    <w:rsid w:val="00064107"/>
    <w:rsid w:val="00064A03"/>
    <w:rsid w:val="00064C6A"/>
    <w:rsid w:val="00064E36"/>
    <w:rsid w:val="0006590B"/>
    <w:rsid w:val="00067758"/>
    <w:rsid w:val="00067F30"/>
    <w:rsid w:val="00070567"/>
    <w:rsid w:val="00070DC3"/>
    <w:rsid w:val="000717D9"/>
    <w:rsid w:val="000721B6"/>
    <w:rsid w:val="000731CD"/>
    <w:rsid w:val="0007372C"/>
    <w:rsid w:val="0007378B"/>
    <w:rsid w:val="0007413D"/>
    <w:rsid w:val="0007422B"/>
    <w:rsid w:val="00075077"/>
    <w:rsid w:val="0007549F"/>
    <w:rsid w:val="000758E0"/>
    <w:rsid w:val="00076628"/>
    <w:rsid w:val="000803DD"/>
    <w:rsid w:val="00080626"/>
    <w:rsid w:val="000815BE"/>
    <w:rsid w:val="00081A28"/>
    <w:rsid w:val="0008219B"/>
    <w:rsid w:val="00082BDE"/>
    <w:rsid w:val="00082CD0"/>
    <w:rsid w:val="00082E3E"/>
    <w:rsid w:val="000850F6"/>
    <w:rsid w:val="0008622E"/>
    <w:rsid w:val="0009028F"/>
    <w:rsid w:val="000926DD"/>
    <w:rsid w:val="00092E68"/>
    <w:rsid w:val="00093551"/>
    <w:rsid w:val="00094A1C"/>
    <w:rsid w:val="00094ADB"/>
    <w:rsid w:val="00094FD3"/>
    <w:rsid w:val="0009588F"/>
    <w:rsid w:val="00095E0B"/>
    <w:rsid w:val="00096E00"/>
    <w:rsid w:val="000977B3"/>
    <w:rsid w:val="00097B5D"/>
    <w:rsid w:val="00097FE5"/>
    <w:rsid w:val="000A048B"/>
    <w:rsid w:val="000A0F5A"/>
    <w:rsid w:val="000A142B"/>
    <w:rsid w:val="000A274A"/>
    <w:rsid w:val="000A2A7D"/>
    <w:rsid w:val="000A3254"/>
    <w:rsid w:val="000A3C8A"/>
    <w:rsid w:val="000A3FBE"/>
    <w:rsid w:val="000A4114"/>
    <w:rsid w:val="000A4709"/>
    <w:rsid w:val="000A5C30"/>
    <w:rsid w:val="000A61C1"/>
    <w:rsid w:val="000A71BB"/>
    <w:rsid w:val="000A71C0"/>
    <w:rsid w:val="000A73CF"/>
    <w:rsid w:val="000B045F"/>
    <w:rsid w:val="000B05BB"/>
    <w:rsid w:val="000B1A8E"/>
    <w:rsid w:val="000B2287"/>
    <w:rsid w:val="000B2730"/>
    <w:rsid w:val="000B2F65"/>
    <w:rsid w:val="000B3978"/>
    <w:rsid w:val="000B3E4A"/>
    <w:rsid w:val="000B3FBB"/>
    <w:rsid w:val="000B5654"/>
    <w:rsid w:val="000B6213"/>
    <w:rsid w:val="000B675A"/>
    <w:rsid w:val="000B6A57"/>
    <w:rsid w:val="000B6B70"/>
    <w:rsid w:val="000B713A"/>
    <w:rsid w:val="000C0F41"/>
    <w:rsid w:val="000C14E6"/>
    <w:rsid w:val="000C201C"/>
    <w:rsid w:val="000C404E"/>
    <w:rsid w:val="000C4F63"/>
    <w:rsid w:val="000C7267"/>
    <w:rsid w:val="000D033A"/>
    <w:rsid w:val="000D15D4"/>
    <w:rsid w:val="000D1A3A"/>
    <w:rsid w:val="000D27AA"/>
    <w:rsid w:val="000D3859"/>
    <w:rsid w:val="000D3A3F"/>
    <w:rsid w:val="000D56E5"/>
    <w:rsid w:val="000D65D8"/>
    <w:rsid w:val="000D72A1"/>
    <w:rsid w:val="000E1B29"/>
    <w:rsid w:val="000E2CFD"/>
    <w:rsid w:val="000E3A24"/>
    <w:rsid w:val="000E45FD"/>
    <w:rsid w:val="000E4B62"/>
    <w:rsid w:val="000E4F57"/>
    <w:rsid w:val="000E5DD2"/>
    <w:rsid w:val="000E6135"/>
    <w:rsid w:val="000E6B4C"/>
    <w:rsid w:val="000E768C"/>
    <w:rsid w:val="000E7AE7"/>
    <w:rsid w:val="000E7CFE"/>
    <w:rsid w:val="000F055C"/>
    <w:rsid w:val="000F1518"/>
    <w:rsid w:val="000F19BF"/>
    <w:rsid w:val="000F27D6"/>
    <w:rsid w:val="000F280B"/>
    <w:rsid w:val="000F2A15"/>
    <w:rsid w:val="000F7493"/>
    <w:rsid w:val="000F7B37"/>
    <w:rsid w:val="0010002A"/>
    <w:rsid w:val="00100452"/>
    <w:rsid w:val="00100657"/>
    <w:rsid w:val="00100A00"/>
    <w:rsid w:val="00101570"/>
    <w:rsid w:val="00101607"/>
    <w:rsid w:val="00103562"/>
    <w:rsid w:val="00103CE1"/>
    <w:rsid w:val="00104D30"/>
    <w:rsid w:val="00105126"/>
    <w:rsid w:val="001053E7"/>
    <w:rsid w:val="001062B7"/>
    <w:rsid w:val="00107FE7"/>
    <w:rsid w:val="00110BC7"/>
    <w:rsid w:val="0011175F"/>
    <w:rsid w:val="00111CBC"/>
    <w:rsid w:val="001120C8"/>
    <w:rsid w:val="00112B0D"/>
    <w:rsid w:val="00115996"/>
    <w:rsid w:val="0012011E"/>
    <w:rsid w:val="00122639"/>
    <w:rsid w:val="00124FF5"/>
    <w:rsid w:val="00127E1E"/>
    <w:rsid w:val="001314CB"/>
    <w:rsid w:val="001326EC"/>
    <w:rsid w:val="00132807"/>
    <w:rsid w:val="00134B7D"/>
    <w:rsid w:val="00135024"/>
    <w:rsid w:val="001350A8"/>
    <w:rsid w:val="001368B5"/>
    <w:rsid w:val="00136929"/>
    <w:rsid w:val="001369D6"/>
    <w:rsid w:val="00136EFF"/>
    <w:rsid w:val="001370B7"/>
    <w:rsid w:val="001378CD"/>
    <w:rsid w:val="00137AA5"/>
    <w:rsid w:val="00137ECB"/>
    <w:rsid w:val="0014014D"/>
    <w:rsid w:val="001419AB"/>
    <w:rsid w:val="001421B8"/>
    <w:rsid w:val="0014226A"/>
    <w:rsid w:val="00142BBE"/>
    <w:rsid w:val="00143329"/>
    <w:rsid w:val="00143680"/>
    <w:rsid w:val="0014439B"/>
    <w:rsid w:val="00144D04"/>
    <w:rsid w:val="00145C9B"/>
    <w:rsid w:val="001463D1"/>
    <w:rsid w:val="001465F8"/>
    <w:rsid w:val="001469F9"/>
    <w:rsid w:val="001469FC"/>
    <w:rsid w:val="001471F6"/>
    <w:rsid w:val="001505FE"/>
    <w:rsid w:val="00151BF5"/>
    <w:rsid w:val="001524AB"/>
    <w:rsid w:val="0015314B"/>
    <w:rsid w:val="00153502"/>
    <w:rsid w:val="001545EF"/>
    <w:rsid w:val="00154987"/>
    <w:rsid w:val="00154EEF"/>
    <w:rsid w:val="00155F66"/>
    <w:rsid w:val="00155FB4"/>
    <w:rsid w:val="0015771B"/>
    <w:rsid w:val="0016071D"/>
    <w:rsid w:val="00161131"/>
    <w:rsid w:val="001626F8"/>
    <w:rsid w:val="0016409B"/>
    <w:rsid w:val="00164C64"/>
    <w:rsid w:val="001652A4"/>
    <w:rsid w:val="001727B3"/>
    <w:rsid w:val="001735A2"/>
    <w:rsid w:val="00174C84"/>
    <w:rsid w:val="00175090"/>
    <w:rsid w:val="0017697C"/>
    <w:rsid w:val="00176F1F"/>
    <w:rsid w:val="001801C4"/>
    <w:rsid w:val="001810F7"/>
    <w:rsid w:val="00183025"/>
    <w:rsid w:val="001836B8"/>
    <w:rsid w:val="00184796"/>
    <w:rsid w:val="00184FA1"/>
    <w:rsid w:val="00185251"/>
    <w:rsid w:val="0018575F"/>
    <w:rsid w:val="00186508"/>
    <w:rsid w:val="00191016"/>
    <w:rsid w:val="0019104D"/>
    <w:rsid w:val="0019140C"/>
    <w:rsid w:val="00192736"/>
    <w:rsid w:val="001944AB"/>
    <w:rsid w:val="001947CB"/>
    <w:rsid w:val="00194907"/>
    <w:rsid w:val="00196272"/>
    <w:rsid w:val="001978F8"/>
    <w:rsid w:val="00197DBD"/>
    <w:rsid w:val="00197FC3"/>
    <w:rsid w:val="001A0C36"/>
    <w:rsid w:val="001A0CD2"/>
    <w:rsid w:val="001A1624"/>
    <w:rsid w:val="001A1836"/>
    <w:rsid w:val="001A1882"/>
    <w:rsid w:val="001A2336"/>
    <w:rsid w:val="001A2749"/>
    <w:rsid w:val="001A2D5C"/>
    <w:rsid w:val="001A3DE5"/>
    <w:rsid w:val="001A404D"/>
    <w:rsid w:val="001A4D13"/>
    <w:rsid w:val="001A4F2A"/>
    <w:rsid w:val="001A502C"/>
    <w:rsid w:val="001A5FBD"/>
    <w:rsid w:val="001A6448"/>
    <w:rsid w:val="001B1753"/>
    <w:rsid w:val="001B2025"/>
    <w:rsid w:val="001B52F4"/>
    <w:rsid w:val="001B605E"/>
    <w:rsid w:val="001B7164"/>
    <w:rsid w:val="001C039E"/>
    <w:rsid w:val="001C0701"/>
    <w:rsid w:val="001C07C8"/>
    <w:rsid w:val="001C15B9"/>
    <w:rsid w:val="001C2421"/>
    <w:rsid w:val="001C32C8"/>
    <w:rsid w:val="001C3DA1"/>
    <w:rsid w:val="001C47C2"/>
    <w:rsid w:val="001C47DF"/>
    <w:rsid w:val="001C505C"/>
    <w:rsid w:val="001C5432"/>
    <w:rsid w:val="001C562D"/>
    <w:rsid w:val="001C6473"/>
    <w:rsid w:val="001C6972"/>
    <w:rsid w:val="001C7930"/>
    <w:rsid w:val="001D0258"/>
    <w:rsid w:val="001D0652"/>
    <w:rsid w:val="001D27C9"/>
    <w:rsid w:val="001D2EF2"/>
    <w:rsid w:val="001D30F4"/>
    <w:rsid w:val="001D3F6C"/>
    <w:rsid w:val="001D54F6"/>
    <w:rsid w:val="001D616C"/>
    <w:rsid w:val="001E0E29"/>
    <w:rsid w:val="001E13BC"/>
    <w:rsid w:val="001E17D2"/>
    <w:rsid w:val="001E23A4"/>
    <w:rsid w:val="001E2C21"/>
    <w:rsid w:val="001E5E80"/>
    <w:rsid w:val="001F01C5"/>
    <w:rsid w:val="001F0563"/>
    <w:rsid w:val="001F05BF"/>
    <w:rsid w:val="001F10DB"/>
    <w:rsid w:val="001F16C1"/>
    <w:rsid w:val="001F18AF"/>
    <w:rsid w:val="001F2AEF"/>
    <w:rsid w:val="001F4B70"/>
    <w:rsid w:val="001F54EF"/>
    <w:rsid w:val="001F6CBE"/>
    <w:rsid w:val="001F7342"/>
    <w:rsid w:val="001F74DA"/>
    <w:rsid w:val="00200B6D"/>
    <w:rsid w:val="00201C03"/>
    <w:rsid w:val="0020281A"/>
    <w:rsid w:val="00202F40"/>
    <w:rsid w:val="0020326C"/>
    <w:rsid w:val="002034A5"/>
    <w:rsid w:val="00203DE6"/>
    <w:rsid w:val="0020453A"/>
    <w:rsid w:val="00204EFD"/>
    <w:rsid w:val="00204FD7"/>
    <w:rsid w:val="002057D7"/>
    <w:rsid w:val="00205BC1"/>
    <w:rsid w:val="00205C3D"/>
    <w:rsid w:val="00205D5B"/>
    <w:rsid w:val="002060CF"/>
    <w:rsid w:val="00207C19"/>
    <w:rsid w:val="002100C9"/>
    <w:rsid w:val="0021114A"/>
    <w:rsid w:val="00211325"/>
    <w:rsid w:val="002127BB"/>
    <w:rsid w:val="0021413E"/>
    <w:rsid w:val="002141CB"/>
    <w:rsid w:val="00214E59"/>
    <w:rsid w:val="00215216"/>
    <w:rsid w:val="00215338"/>
    <w:rsid w:val="00215984"/>
    <w:rsid w:val="00216A64"/>
    <w:rsid w:val="00216F73"/>
    <w:rsid w:val="00217222"/>
    <w:rsid w:val="00221E5E"/>
    <w:rsid w:val="00223594"/>
    <w:rsid w:val="002250E3"/>
    <w:rsid w:val="002254F6"/>
    <w:rsid w:val="00225946"/>
    <w:rsid w:val="00227774"/>
    <w:rsid w:val="0022781A"/>
    <w:rsid w:val="0023051F"/>
    <w:rsid w:val="002307B6"/>
    <w:rsid w:val="002317F9"/>
    <w:rsid w:val="002322DF"/>
    <w:rsid w:val="00232775"/>
    <w:rsid w:val="0023351E"/>
    <w:rsid w:val="002345CB"/>
    <w:rsid w:val="002346AB"/>
    <w:rsid w:val="0023514B"/>
    <w:rsid w:val="00235795"/>
    <w:rsid w:val="00236581"/>
    <w:rsid w:val="00240D1B"/>
    <w:rsid w:val="00241510"/>
    <w:rsid w:val="00242C6F"/>
    <w:rsid w:val="002436F7"/>
    <w:rsid w:val="0024464B"/>
    <w:rsid w:val="00244F08"/>
    <w:rsid w:val="00247A68"/>
    <w:rsid w:val="00255A1B"/>
    <w:rsid w:val="00255EFD"/>
    <w:rsid w:val="00256F69"/>
    <w:rsid w:val="00257225"/>
    <w:rsid w:val="00261674"/>
    <w:rsid w:val="00262BA7"/>
    <w:rsid w:val="0026377F"/>
    <w:rsid w:val="00264923"/>
    <w:rsid w:val="0026492B"/>
    <w:rsid w:val="00264D29"/>
    <w:rsid w:val="002654EA"/>
    <w:rsid w:val="00266F3C"/>
    <w:rsid w:val="00267AD1"/>
    <w:rsid w:val="00270E6E"/>
    <w:rsid w:val="002711F0"/>
    <w:rsid w:val="0027194A"/>
    <w:rsid w:val="0027268C"/>
    <w:rsid w:val="00272A1B"/>
    <w:rsid w:val="002748B5"/>
    <w:rsid w:val="00274EEB"/>
    <w:rsid w:val="0027600A"/>
    <w:rsid w:val="00276311"/>
    <w:rsid w:val="0027795F"/>
    <w:rsid w:val="00280C77"/>
    <w:rsid w:val="00280E49"/>
    <w:rsid w:val="002811E3"/>
    <w:rsid w:val="00281435"/>
    <w:rsid w:val="00281A38"/>
    <w:rsid w:val="00281BD5"/>
    <w:rsid w:val="00282CC3"/>
    <w:rsid w:val="00284723"/>
    <w:rsid w:val="00285519"/>
    <w:rsid w:val="00285754"/>
    <w:rsid w:val="00286C91"/>
    <w:rsid w:val="00286E0A"/>
    <w:rsid w:val="00287991"/>
    <w:rsid w:val="00290BAE"/>
    <w:rsid w:val="0029177B"/>
    <w:rsid w:val="00291F67"/>
    <w:rsid w:val="0029262D"/>
    <w:rsid w:val="00292828"/>
    <w:rsid w:val="00293D6A"/>
    <w:rsid w:val="00293EF3"/>
    <w:rsid w:val="00294234"/>
    <w:rsid w:val="00294611"/>
    <w:rsid w:val="00295578"/>
    <w:rsid w:val="002962AC"/>
    <w:rsid w:val="00297034"/>
    <w:rsid w:val="002970F5"/>
    <w:rsid w:val="002A04C3"/>
    <w:rsid w:val="002A0C57"/>
    <w:rsid w:val="002A1813"/>
    <w:rsid w:val="002A2A07"/>
    <w:rsid w:val="002A3B5E"/>
    <w:rsid w:val="002A497D"/>
    <w:rsid w:val="002A548B"/>
    <w:rsid w:val="002A573C"/>
    <w:rsid w:val="002A6054"/>
    <w:rsid w:val="002A70DF"/>
    <w:rsid w:val="002A73FC"/>
    <w:rsid w:val="002B056F"/>
    <w:rsid w:val="002B0EA6"/>
    <w:rsid w:val="002B1B82"/>
    <w:rsid w:val="002B2CDC"/>
    <w:rsid w:val="002B3C3D"/>
    <w:rsid w:val="002B4556"/>
    <w:rsid w:val="002B4C74"/>
    <w:rsid w:val="002B59E3"/>
    <w:rsid w:val="002C0338"/>
    <w:rsid w:val="002C05BF"/>
    <w:rsid w:val="002C1435"/>
    <w:rsid w:val="002C4F00"/>
    <w:rsid w:val="002C5801"/>
    <w:rsid w:val="002D0B4D"/>
    <w:rsid w:val="002D17DB"/>
    <w:rsid w:val="002D217F"/>
    <w:rsid w:val="002D2DF2"/>
    <w:rsid w:val="002D2FFF"/>
    <w:rsid w:val="002D30BD"/>
    <w:rsid w:val="002D42E3"/>
    <w:rsid w:val="002D46C6"/>
    <w:rsid w:val="002D4A24"/>
    <w:rsid w:val="002D6841"/>
    <w:rsid w:val="002D7502"/>
    <w:rsid w:val="002D7AE4"/>
    <w:rsid w:val="002D7B8F"/>
    <w:rsid w:val="002E43E6"/>
    <w:rsid w:val="002E4650"/>
    <w:rsid w:val="002E50CB"/>
    <w:rsid w:val="002E5764"/>
    <w:rsid w:val="002E5940"/>
    <w:rsid w:val="002E7540"/>
    <w:rsid w:val="002E7C25"/>
    <w:rsid w:val="002F2B07"/>
    <w:rsid w:val="002F2DFD"/>
    <w:rsid w:val="002F3B7F"/>
    <w:rsid w:val="002F4B12"/>
    <w:rsid w:val="002F4C79"/>
    <w:rsid w:val="002F5E2C"/>
    <w:rsid w:val="002F73FC"/>
    <w:rsid w:val="00305512"/>
    <w:rsid w:val="00306A0B"/>
    <w:rsid w:val="00310168"/>
    <w:rsid w:val="00310533"/>
    <w:rsid w:val="003107FF"/>
    <w:rsid w:val="00310C49"/>
    <w:rsid w:val="00310E84"/>
    <w:rsid w:val="0031148E"/>
    <w:rsid w:val="0031219A"/>
    <w:rsid w:val="00313BF5"/>
    <w:rsid w:val="003142A4"/>
    <w:rsid w:val="003145CA"/>
    <w:rsid w:val="00314644"/>
    <w:rsid w:val="003158A0"/>
    <w:rsid w:val="00317452"/>
    <w:rsid w:val="00321665"/>
    <w:rsid w:val="00322FE4"/>
    <w:rsid w:val="003245CA"/>
    <w:rsid w:val="0032741A"/>
    <w:rsid w:val="003279CD"/>
    <w:rsid w:val="00330D11"/>
    <w:rsid w:val="0033357F"/>
    <w:rsid w:val="0033360E"/>
    <w:rsid w:val="00334232"/>
    <w:rsid w:val="003346C9"/>
    <w:rsid w:val="0033502C"/>
    <w:rsid w:val="0033670D"/>
    <w:rsid w:val="00336D72"/>
    <w:rsid w:val="003370D4"/>
    <w:rsid w:val="003378A3"/>
    <w:rsid w:val="00340A34"/>
    <w:rsid w:val="003411F9"/>
    <w:rsid w:val="00342154"/>
    <w:rsid w:val="00342457"/>
    <w:rsid w:val="00343A63"/>
    <w:rsid w:val="00343CB6"/>
    <w:rsid w:val="00343D53"/>
    <w:rsid w:val="0034466B"/>
    <w:rsid w:val="00344BF5"/>
    <w:rsid w:val="00345D8D"/>
    <w:rsid w:val="00345FC0"/>
    <w:rsid w:val="003465F5"/>
    <w:rsid w:val="003473B9"/>
    <w:rsid w:val="00351208"/>
    <w:rsid w:val="0035147F"/>
    <w:rsid w:val="003519F4"/>
    <w:rsid w:val="00351A73"/>
    <w:rsid w:val="0035252F"/>
    <w:rsid w:val="0035373F"/>
    <w:rsid w:val="003556BE"/>
    <w:rsid w:val="003558EA"/>
    <w:rsid w:val="00356976"/>
    <w:rsid w:val="003573C7"/>
    <w:rsid w:val="00357CEE"/>
    <w:rsid w:val="003605C0"/>
    <w:rsid w:val="00360D98"/>
    <w:rsid w:val="003612CC"/>
    <w:rsid w:val="00361341"/>
    <w:rsid w:val="00361B90"/>
    <w:rsid w:val="00362F1E"/>
    <w:rsid w:val="00363B1A"/>
    <w:rsid w:val="003648B5"/>
    <w:rsid w:val="00364B01"/>
    <w:rsid w:val="003658C3"/>
    <w:rsid w:val="00365B94"/>
    <w:rsid w:val="00365BEC"/>
    <w:rsid w:val="003661BC"/>
    <w:rsid w:val="003673F8"/>
    <w:rsid w:val="00367EB1"/>
    <w:rsid w:val="00370181"/>
    <w:rsid w:val="0037193E"/>
    <w:rsid w:val="003727FF"/>
    <w:rsid w:val="0037343D"/>
    <w:rsid w:val="00373A00"/>
    <w:rsid w:val="003747A8"/>
    <w:rsid w:val="00375474"/>
    <w:rsid w:val="00375789"/>
    <w:rsid w:val="00375CEF"/>
    <w:rsid w:val="0037647B"/>
    <w:rsid w:val="00376E4C"/>
    <w:rsid w:val="003779D3"/>
    <w:rsid w:val="003803C7"/>
    <w:rsid w:val="0038092E"/>
    <w:rsid w:val="00381069"/>
    <w:rsid w:val="003810E9"/>
    <w:rsid w:val="00381481"/>
    <w:rsid w:val="00381EAD"/>
    <w:rsid w:val="00382E27"/>
    <w:rsid w:val="00382F5E"/>
    <w:rsid w:val="0038479F"/>
    <w:rsid w:val="00385271"/>
    <w:rsid w:val="00386593"/>
    <w:rsid w:val="00386FFC"/>
    <w:rsid w:val="00387935"/>
    <w:rsid w:val="00391857"/>
    <w:rsid w:val="0039274F"/>
    <w:rsid w:val="0039321C"/>
    <w:rsid w:val="003939B7"/>
    <w:rsid w:val="00393EDF"/>
    <w:rsid w:val="00394916"/>
    <w:rsid w:val="00394E49"/>
    <w:rsid w:val="0039552B"/>
    <w:rsid w:val="00395A0E"/>
    <w:rsid w:val="0039688F"/>
    <w:rsid w:val="00397200"/>
    <w:rsid w:val="00397665"/>
    <w:rsid w:val="00397D74"/>
    <w:rsid w:val="003A0228"/>
    <w:rsid w:val="003A107F"/>
    <w:rsid w:val="003A11B0"/>
    <w:rsid w:val="003A13A5"/>
    <w:rsid w:val="003A1775"/>
    <w:rsid w:val="003A1D18"/>
    <w:rsid w:val="003A2A1F"/>
    <w:rsid w:val="003A2EFC"/>
    <w:rsid w:val="003A353A"/>
    <w:rsid w:val="003A427D"/>
    <w:rsid w:val="003A4432"/>
    <w:rsid w:val="003A4E82"/>
    <w:rsid w:val="003A526A"/>
    <w:rsid w:val="003A59B0"/>
    <w:rsid w:val="003A6FCD"/>
    <w:rsid w:val="003A7B42"/>
    <w:rsid w:val="003B0F1F"/>
    <w:rsid w:val="003B14A2"/>
    <w:rsid w:val="003B1A03"/>
    <w:rsid w:val="003B2588"/>
    <w:rsid w:val="003B269F"/>
    <w:rsid w:val="003B4C2C"/>
    <w:rsid w:val="003B5C9B"/>
    <w:rsid w:val="003C0D52"/>
    <w:rsid w:val="003C24BA"/>
    <w:rsid w:val="003C4A01"/>
    <w:rsid w:val="003C4F60"/>
    <w:rsid w:val="003C4FAC"/>
    <w:rsid w:val="003C63D9"/>
    <w:rsid w:val="003C6D6C"/>
    <w:rsid w:val="003C7297"/>
    <w:rsid w:val="003C795B"/>
    <w:rsid w:val="003C7969"/>
    <w:rsid w:val="003C7D76"/>
    <w:rsid w:val="003D0BC3"/>
    <w:rsid w:val="003D0C6F"/>
    <w:rsid w:val="003D19CF"/>
    <w:rsid w:val="003D312E"/>
    <w:rsid w:val="003D4971"/>
    <w:rsid w:val="003D4DF0"/>
    <w:rsid w:val="003D5FF0"/>
    <w:rsid w:val="003D62F7"/>
    <w:rsid w:val="003D6F9E"/>
    <w:rsid w:val="003D78FB"/>
    <w:rsid w:val="003D7FA9"/>
    <w:rsid w:val="003D7FC0"/>
    <w:rsid w:val="003E0BCC"/>
    <w:rsid w:val="003E25B0"/>
    <w:rsid w:val="003E40B4"/>
    <w:rsid w:val="003E5043"/>
    <w:rsid w:val="003E5305"/>
    <w:rsid w:val="003E53F2"/>
    <w:rsid w:val="003E59C7"/>
    <w:rsid w:val="003E5DB6"/>
    <w:rsid w:val="003E5F5B"/>
    <w:rsid w:val="003E6A49"/>
    <w:rsid w:val="003E6CEE"/>
    <w:rsid w:val="003E6E61"/>
    <w:rsid w:val="003F2227"/>
    <w:rsid w:val="003F2C99"/>
    <w:rsid w:val="003F3324"/>
    <w:rsid w:val="003F42EB"/>
    <w:rsid w:val="003F4706"/>
    <w:rsid w:val="003F4F87"/>
    <w:rsid w:val="003F54FB"/>
    <w:rsid w:val="003F620A"/>
    <w:rsid w:val="003F6AB0"/>
    <w:rsid w:val="003F7ADE"/>
    <w:rsid w:val="004018FD"/>
    <w:rsid w:val="0040308D"/>
    <w:rsid w:val="00406A38"/>
    <w:rsid w:val="00407DC1"/>
    <w:rsid w:val="00410A00"/>
    <w:rsid w:val="00410CA7"/>
    <w:rsid w:val="004111D4"/>
    <w:rsid w:val="004116E7"/>
    <w:rsid w:val="00411A8B"/>
    <w:rsid w:val="00411D4D"/>
    <w:rsid w:val="00413582"/>
    <w:rsid w:val="00413C60"/>
    <w:rsid w:val="0041459A"/>
    <w:rsid w:val="00414E8E"/>
    <w:rsid w:val="00414F3F"/>
    <w:rsid w:val="00417399"/>
    <w:rsid w:val="00417C67"/>
    <w:rsid w:val="00420304"/>
    <w:rsid w:val="004214A2"/>
    <w:rsid w:val="00423593"/>
    <w:rsid w:val="004236A6"/>
    <w:rsid w:val="004237AF"/>
    <w:rsid w:val="00424164"/>
    <w:rsid w:val="00424C04"/>
    <w:rsid w:val="004250CC"/>
    <w:rsid w:val="00425314"/>
    <w:rsid w:val="00425D8D"/>
    <w:rsid w:val="0042732D"/>
    <w:rsid w:val="0042780D"/>
    <w:rsid w:val="00431FF5"/>
    <w:rsid w:val="00433A88"/>
    <w:rsid w:val="0043411E"/>
    <w:rsid w:val="00434472"/>
    <w:rsid w:val="00434A7E"/>
    <w:rsid w:val="0043546F"/>
    <w:rsid w:val="0043582B"/>
    <w:rsid w:val="00436014"/>
    <w:rsid w:val="00436FEC"/>
    <w:rsid w:val="004409E9"/>
    <w:rsid w:val="00442A9D"/>
    <w:rsid w:val="00442CF1"/>
    <w:rsid w:val="00443BAF"/>
    <w:rsid w:val="00443BE3"/>
    <w:rsid w:val="004450F5"/>
    <w:rsid w:val="00446672"/>
    <w:rsid w:val="00446FC8"/>
    <w:rsid w:val="0044742B"/>
    <w:rsid w:val="0045046F"/>
    <w:rsid w:val="0045103E"/>
    <w:rsid w:val="00451087"/>
    <w:rsid w:val="004521DC"/>
    <w:rsid w:val="0045248C"/>
    <w:rsid w:val="00453F69"/>
    <w:rsid w:val="00454331"/>
    <w:rsid w:val="0045572F"/>
    <w:rsid w:val="004559C7"/>
    <w:rsid w:val="004560F4"/>
    <w:rsid w:val="004605FA"/>
    <w:rsid w:val="00460DD4"/>
    <w:rsid w:val="00461DCA"/>
    <w:rsid w:val="00461DD5"/>
    <w:rsid w:val="004621AA"/>
    <w:rsid w:val="00462783"/>
    <w:rsid w:val="00463BD4"/>
    <w:rsid w:val="00465C24"/>
    <w:rsid w:val="00466876"/>
    <w:rsid w:val="004705A3"/>
    <w:rsid w:val="00470F6F"/>
    <w:rsid w:val="004716DC"/>
    <w:rsid w:val="0047202E"/>
    <w:rsid w:val="00473142"/>
    <w:rsid w:val="00473D42"/>
    <w:rsid w:val="0047605B"/>
    <w:rsid w:val="004774E5"/>
    <w:rsid w:val="00477BAA"/>
    <w:rsid w:val="0048155D"/>
    <w:rsid w:val="004818D5"/>
    <w:rsid w:val="0048294E"/>
    <w:rsid w:val="00486C1B"/>
    <w:rsid w:val="00487133"/>
    <w:rsid w:val="0049028A"/>
    <w:rsid w:val="00490B47"/>
    <w:rsid w:val="0049104B"/>
    <w:rsid w:val="004943AB"/>
    <w:rsid w:val="00494CBE"/>
    <w:rsid w:val="00495266"/>
    <w:rsid w:val="00495513"/>
    <w:rsid w:val="004973E1"/>
    <w:rsid w:val="00497531"/>
    <w:rsid w:val="00497661"/>
    <w:rsid w:val="0049799D"/>
    <w:rsid w:val="00497AF8"/>
    <w:rsid w:val="00497C9E"/>
    <w:rsid w:val="00497E50"/>
    <w:rsid w:val="004A0C45"/>
    <w:rsid w:val="004A1CA0"/>
    <w:rsid w:val="004A217A"/>
    <w:rsid w:val="004A3466"/>
    <w:rsid w:val="004A3E38"/>
    <w:rsid w:val="004A4785"/>
    <w:rsid w:val="004A4BC5"/>
    <w:rsid w:val="004A5924"/>
    <w:rsid w:val="004A635E"/>
    <w:rsid w:val="004A767D"/>
    <w:rsid w:val="004A7CC9"/>
    <w:rsid w:val="004A7D76"/>
    <w:rsid w:val="004B3D51"/>
    <w:rsid w:val="004B4418"/>
    <w:rsid w:val="004B50E9"/>
    <w:rsid w:val="004B5268"/>
    <w:rsid w:val="004B6133"/>
    <w:rsid w:val="004B74F6"/>
    <w:rsid w:val="004C08CD"/>
    <w:rsid w:val="004C23A3"/>
    <w:rsid w:val="004C25F5"/>
    <w:rsid w:val="004C2655"/>
    <w:rsid w:val="004C40C9"/>
    <w:rsid w:val="004C4BC2"/>
    <w:rsid w:val="004C4E37"/>
    <w:rsid w:val="004C4E40"/>
    <w:rsid w:val="004C7567"/>
    <w:rsid w:val="004C7B59"/>
    <w:rsid w:val="004C7EA8"/>
    <w:rsid w:val="004D0300"/>
    <w:rsid w:val="004D0563"/>
    <w:rsid w:val="004D260F"/>
    <w:rsid w:val="004D3F34"/>
    <w:rsid w:val="004D641C"/>
    <w:rsid w:val="004E1170"/>
    <w:rsid w:val="004E2C86"/>
    <w:rsid w:val="004E5AEB"/>
    <w:rsid w:val="004E5E5D"/>
    <w:rsid w:val="004E63D9"/>
    <w:rsid w:val="004E694C"/>
    <w:rsid w:val="004F0F52"/>
    <w:rsid w:val="004F1366"/>
    <w:rsid w:val="004F3263"/>
    <w:rsid w:val="004F3ACA"/>
    <w:rsid w:val="004F3FC4"/>
    <w:rsid w:val="004F552E"/>
    <w:rsid w:val="004F5DF5"/>
    <w:rsid w:val="0050040D"/>
    <w:rsid w:val="00500CFF"/>
    <w:rsid w:val="00500FE2"/>
    <w:rsid w:val="00501AB2"/>
    <w:rsid w:val="00502A57"/>
    <w:rsid w:val="00503223"/>
    <w:rsid w:val="00503B76"/>
    <w:rsid w:val="00503DF4"/>
    <w:rsid w:val="005067D8"/>
    <w:rsid w:val="00506FEF"/>
    <w:rsid w:val="005070E9"/>
    <w:rsid w:val="005076FA"/>
    <w:rsid w:val="0051081B"/>
    <w:rsid w:val="00511FA9"/>
    <w:rsid w:val="00513053"/>
    <w:rsid w:val="00513311"/>
    <w:rsid w:val="0051342F"/>
    <w:rsid w:val="00514402"/>
    <w:rsid w:val="00514D94"/>
    <w:rsid w:val="0051508D"/>
    <w:rsid w:val="005155D1"/>
    <w:rsid w:val="0051651E"/>
    <w:rsid w:val="00520A40"/>
    <w:rsid w:val="00521E02"/>
    <w:rsid w:val="00521F12"/>
    <w:rsid w:val="0052229A"/>
    <w:rsid w:val="00522465"/>
    <w:rsid w:val="005233FF"/>
    <w:rsid w:val="00523627"/>
    <w:rsid w:val="00525F45"/>
    <w:rsid w:val="00525FD6"/>
    <w:rsid w:val="0052649A"/>
    <w:rsid w:val="00527929"/>
    <w:rsid w:val="005313D1"/>
    <w:rsid w:val="005322F5"/>
    <w:rsid w:val="00532467"/>
    <w:rsid w:val="00533526"/>
    <w:rsid w:val="00533736"/>
    <w:rsid w:val="005341D2"/>
    <w:rsid w:val="00534242"/>
    <w:rsid w:val="00535825"/>
    <w:rsid w:val="00540950"/>
    <w:rsid w:val="00540957"/>
    <w:rsid w:val="00542614"/>
    <w:rsid w:val="00543C77"/>
    <w:rsid w:val="00544323"/>
    <w:rsid w:val="00544C2B"/>
    <w:rsid w:val="00544E2B"/>
    <w:rsid w:val="00545150"/>
    <w:rsid w:val="005458B1"/>
    <w:rsid w:val="0054614B"/>
    <w:rsid w:val="005500CB"/>
    <w:rsid w:val="00553B85"/>
    <w:rsid w:val="00555341"/>
    <w:rsid w:val="005558FF"/>
    <w:rsid w:val="00557DCA"/>
    <w:rsid w:val="00561C82"/>
    <w:rsid w:val="00562FC3"/>
    <w:rsid w:val="0056428B"/>
    <w:rsid w:val="00564EC0"/>
    <w:rsid w:val="00565381"/>
    <w:rsid w:val="00566386"/>
    <w:rsid w:val="00566DF8"/>
    <w:rsid w:val="0056742F"/>
    <w:rsid w:val="005678EE"/>
    <w:rsid w:val="00570021"/>
    <w:rsid w:val="0057110B"/>
    <w:rsid w:val="00572197"/>
    <w:rsid w:val="005737D2"/>
    <w:rsid w:val="00573B09"/>
    <w:rsid w:val="005744AA"/>
    <w:rsid w:val="00574995"/>
    <w:rsid w:val="005750C0"/>
    <w:rsid w:val="005752E0"/>
    <w:rsid w:val="0057559E"/>
    <w:rsid w:val="005756B7"/>
    <w:rsid w:val="00575CDD"/>
    <w:rsid w:val="005764B1"/>
    <w:rsid w:val="005765B0"/>
    <w:rsid w:val="00576FAE"/>
    <w:rsid w:val="0057759C"/>
    <w:rsid w:val="00577787"/>
    <w:rsid w:val="00577B50"/>
    <w:rsid w:val="00577C0E"/>
    <w:rsid w:val="00577C1E"/>
    <w:rsid w:val="005804B7"/>
    <w:rsid w:val="0058059D"/>
    <w:rsid w:val="005818D3"/>
    <w:rsid w:val="005835FD"/>
    <w:rsid w:val="00583EE8"/>
    <w:rsid w:val="00584065"/>
    <w:rsid w:val="0058423D"/>
    <w:rsid w:val="005868F7"/>
    <w:rsid w:val="0058753F"/>
    <w:rsid w:val="00587D24"/>
    <w:rsid w:val="00587D69"/>
    <w:rsid w:val="00591877"/>
    <w:rsid w:val="005919FA"/>
    <w:rsid w:val="00592B14"/>
    <w:rsid w:val="0059381B"/>
    <w:rsid w:val="005938EC"/>
    <w:rsid w:val="00593AB4"/>
    <w:rsid w:val="005961B2"/>
    <w:rsid w:val="005A0027"/>
    <w:rsid w:val="005A0844"/>
    <w:rsid w:val="005A0C11"/>
    <w:rsid w:val="005A34AD"/>
    <w:rsid w:val="005A506A"/>
    <w:rsid w:val="005A5586"/>
    <w:rsid w:val="005A5F36"/>
    <w:rsid w:val="005B1F97"/>
    <w:rsid w:val="005B250D"/>
    <w:rsid w:val="005B26A9"/>
    <w:rsid w:val="005B3B60"/>
    <w:rsid w:val="005B5160"/>
    <w:rsid w:val="005B6BAB"/>
    <w:rsid w:val="005B719C"/>
    <w:rsid w:val="005B7E3E"/>
    <w:rsid w:val="005C3AFA"/>
    <w:rsid w:val="005C4991"/>
    <w:rsid w:val="005C4C58"/>
    <w:rsid w:val="005C631B"/>
    <w:rsid w:val="005C6EF2"/>
    <w:rsid w:val="005C74BD"/>
    <w:rsid w:val="005D0309"/>
    <w:rsid w:val="005D33FA"/>
    <w:rsid w:val="005D3DC6"/>
    <w:rsid w:val="005D4C4E"/>
    <w:rsid w:val="005D599E"/>
    <w:rsid w:val="005D6577"/>
    <w:rsid w:val="005D6E04"/>
    <w:rsid w:val="005D7263"/>
    <w:rsid w:val="005D7A66"/>
    <w:rsid w:val="005E0FC3"/>
    <w:rsid w:val="005E1858"/>
    <w:rsid w:val="005E20DB"/>
    <w:rsid w:val="005E49A9"/>
    <w:rsid w:val="005E723C"/>
    <w:rsid w:val="005F055F"/>
    <w:rsid w:val="005F0821"/>
    <w:rsid w:val="005F0E50"/>
    <w:rsid w:val="005F31E8"/>
    <w:rsid w:val="005F406A"/>
    <w:rsid w:val="005F426B"/>
    <w:rsid w:val="005F60DE"/>
    <w:rsid w:val="005F6AD9"/>
    <w:rsid w:val="005F7AEC"/>
    <w:rsid w:val="00600FFF"/>
    <w:rsid w:val="006010FB"/>
    <w:rsid w:val="00602202"/>
    <w:rsid w:val="00602422"/>
    <w:rsid w:val="00602D51"/>
    <w:rsid w:val="00603EF7"/>
    <w:rsid w:val="00604845"/>
    <w:rsid w:val="006054A2"/>
    <w:rsid w:val="00606E41"/>
    <w:rsid w:val="006108D4"/>
    <w:rsid w:val="00613373"/>
    <w:rsid w:val="006145FE"/>
    <w:rsid w:val="0061571A"/>
    <w:rsid w:val="00616835"/>
    <w:rsid w:val="00616CEC"/>
    <w:rsid w:val="00616D65"/>
    <w:rsid w:val="00616EA3"/>
    <w:rsid w:val="006174EC"/>
    <w:rsid w:val="00617DB9"/>
    <w:rsid w:val="00617F25"/>
    <w:rsid w:val="0062026B"/>
    <w:rsid w:val="006204A7"/>
    <w:rsid w:val="00622569"/>
    <w:rsid w:val="00622CA8"/>
    <w:rsid w:val="00622F5E"/>
    <w:rsid w:val="006232D9"/>
    <w:rsid w:val="00623FCE"/>
    <w:rsid w:val="006247E8"/>
    <w:rsid w:val="00626001"/>
    <w:rsid w:val="006274D9"/>
    <w:rsid w:val="00630FBC"/>
    <w:rsid w:val="0063144C"/>
    <w:rsid w:val="00632441"/>
    <w:rsid w:val="006324DF"/>
    <w:rsid w:val="00633299"/>
    <w:rsid w:val="00633CBF"/>
    <w:rsid w:val="006359C3"/>
    <w:rsid w:val="00635C3B"/>
    <w:rsid w:val="00637866"/>
    <w:rsid w:val="00640741"/>
    <w:rsid w:val="00641A81"/>
    <w:rsid w:val="00641C33"/>
    <w:rsid w:val="006420CD"/>
    <w:rsid w:val="006429C7"/>
    <w:rsid w:val="006429FE"/>
    <w:rsid w:val="00642E31"/>
    <w:rsid w:val="00643168"/>
    <w:rsid w:val="00645993"/>
    <w:rsid w:val="00646919"/>
    <w:rsid w:val="00646962"/>
    <w:rsid w:val="00646C10"/>
    <w:rsid w:val="006475D4"/>
    <w:rsid w:val="00647896"/>
    <w:rsid w:val="00650077"/>
    <w:rsid w:val="006503A4"/>
    <w:rsid w:val="006510EC"/>
    <w:rsid w:val="00651855"/>
    <w:rsid w:val="006530D0"/>
    <w:rsid w:val="00653FB7"/>
    <w:rsid w:val="00654811"/>
    <w:rsid w:val="00654870"/>
    <w:rsid w:val="00654959"/>
    <w:rsid w:val="0065532D"/>
    <w:rsid w:val="006561A7"/>
    <w:rsid w:val="0065637E"/>
    <w:rsid w:val="006565E6"/>
    <w:rsid w:val="00657373"/>
    <w:rsid w:val="006601EB"/>
    <w:rsid w:val="0066058F"/>
    <w:rsid w:val="0066132E"/>
    <w:rsid w:val="0066160C"/>
    <w:rsid w:val="006616F7"/>
    <w:rsid w:val="006640E0"/>
    <w:rsid w:val="00664709"/>
    <w:rsid w:val="00664CD0"/>
    <w:rsid w:val="006653CE"/>
    <w:rsid w:val="0066588E"/>
    <w:rsid w:val="00665F26"/>
    <w:rsid w:val="006668F9"/>
    <w:rsid w:val="00666F0E"/>
    <w:rsid w:val="00666F94"/>
    <w:rsid w:val="00666FB0"/>
    <w:rsid w:val="006726C7"/>
    <w:rsid w:val="00674819"/>
    <w:rsid w:val="00676C55"/>
    <w:rsid w:val="0067757F"/>
    <w:rsid w:val="00677DA9"/>
    <w:rsid w:val="00680EF0"/>
    <w:rsid w:val="00680FD0"/>
    <w:rsid w:val="006812C5"/>
    <w:rsid w:val="00681BDF"/>
    <w:rsid w:val="0068390E"/>
    <w:rsid w:val="00683E72"/>
    <w:rsid w:val="00684791"/>
    <w:rsid w:val="00684BDF"/>
    <w:rsid w:val="00685845"/>
    <w:rsid w:val="00685B9A"/>
    <w:rsid w:val="00685D30"/>
    <w:rsid w:val="00686AFF"/>
    <w:rsid w:val="0068744D"/>
    <w:rsid w:val="00690E3B"/>
    <w:rsid w:val="0069168F"/>
    <w:rsid w:val="006933BD"/>
    <w:rsid w:val="006933EA"/>
    <w:rsid w:val="0069613F"/>
    <w:rsid w:val="00697D05"/>
    <w:rsid w:val="006A0622"/>
    <w:rsid w:val="006A068B"/>
    <w:rsid w:val="006A0F57"/>
    <w:rsid w:val="006A1E55"/>
    <w:rsid w:val="006A25A5"/>
    <w:rsid w:val="006A39D3"/>
    <w:rsid w:val="006A3C93"/>
    <w:rsid w:val="006A6CAD"/>
    <w:rsid w:val="006A79D3"/>
    <w:rsid w:val="006B04A9"/>
    <w:rsid w:val="006B1ABB"/>
    <w:rsid w:val="006B1E3C"/>
    <w:rsid w:val="006B2A6E"/>
    <w:rsid w:val="006B371E"/>
    <w:rsid w:val="006B3B4A"/>
    <w:rsid w:val="006B44FC"/>
    <w:rsid w:val="006B48F0"/>
    <w:rsid w:val="006B4F6A"/>
    <w:rsid w:val="006B5478"/>
    <w:rsid w:val="006B7D57"/>
    <w:rsid w:val="006C0981"/>
    <w:rsid w:val="006C1037"/>
    <w:rsid w:val="006C3462"/>
    <w:rsid w:val="006C45FC"/>
    <w:rsid w:val="006C7040"/>
    <w:rsid w:val="006D2797"/>
    <w:rsid w:val="006D3227"/>
    <w:rsid w:val="006D337E"/>
    <w:rsid w:val="006D3ADF"/>
    <w:rsid w:val="006D3F83"/>
    <w:rsid w:val="006D4952"/>
    <w:rsid w:val="006D6E5D"/>
    <w:rsid w:val="006E08C2"/>
    <w:rsid w:val="006E08F6"/>
    <w:rsid w:val="006E214B"/>
    <w:rsid w:val="006E25C7"/>
    <w:rsid w:val="006E263D"/>
    <w:rsid w:val="006E3DBB"/>
    <w:rsid w:val="006E3EBA"/>
    <w:rsid w:val="006E3F69"/>
    <w:rsid w:val="006E41CE"/>
    <w:rsid w:val="006E45FF"/>
    <w:rsid w:val="006E47BE"/>
    <w:rsid w:val="006E58FE"/>
    <w:rsid w:val="006E5E8D"/>
    <w:rsid w:val="006E6C8F"/>
    <w:rsid w:val="006E6ED4"/>
    <w:rsid w:val="006E70F2"/>
    <w:rsid w:val="006E7EE2"/>
    <w:rsid w:val="006F0559"/>
    <w:rsid w:val="006F0B16"/>
    <w:rsid w:val="006F0C98"/>
    <w:rsid w:val="006F0D7B"/>
    <w:rsid w:val="006F0EC1"/>
    <w:rsid w:val="006F2AD6"/>
    <w:rsid w:val="006F2B00"/>
    <w:rsid w:val="006F2D26"/>
    <w:rsid w:val="006F3719"/>
    <w:rsid w:val="006F3B63"/>
    <w:rsid w:val="006F49A4"/>
    <w:rsid w:val="006F5730"/>
    <w:rsid w:val="006F70F1"/>
    <w:rsid w:val="006F7BFB"/>
    <w:rsid w:val="00700390"/>
    <w:rsid w:val="007005DD"/>
    <w:rsid w:val="0070070D"/>
    <w:rsid w:val="007034B2"/>
    <w:rsid w:val="00703EC3"/>
    <w:rsid w:val="00705794"/>
    <w:rsid w:val="00705AA2"/>
    <w:rsid w:val="00705AF8"/>
    <w:rsid w:val="007067ED"/>
    <w:rsid w:val="00711DF5"/>
    <w:rsid w:val="00714035"/>
    <w:rsid w:val="007148FE"/>
    <w:rsid w:val="0071522F"/>
    <w:rsid w:val="007154ED"/>
    <w:rsid w:val="00715FFB"/>
    <w:rsid w:val="0071616B"/>
    <w:rsid w:val="007167B6"/>
    <w:rsid w:val="00716E13"/>
    <w:rsid w:val="00717190"/>
    <w:rsid w:val="00720519"/>
    <w:rsid w:val="00720C08"/>
    <w:rsid w:val="00722B50"/>
    <w:rsid w:val="00723CB9"/>
    <w:rsid w:val="00724D81"/>
    <w:rsid w:val="00727AFC"/>
    <w:rsid w:val="00727D95"/>
    <w:rsid w:val="007300AC"/>
    <w:rsid w:val="00730EB6"/>
    <w:rsid w:val="00731DA2"/>
    <w:rsid w:val="00733449"/>
    <w:rsid w:val="007358C5"/>
    <w:rsid w:val="007358F3"/>
    <w:rsid w:val="00741AA5"/>
    <w:rsid w:val="00742AC1"/>
    <w:rsid w:val="007448BD"/>
    <w:rsid w:val="0074587E"/>
    <w:rsid w:val="00746D73"/>
    <w:rsid w:val="00746E48"/>
    <w:rsid w:val="00747966"/>
    <w:rsid w:val="00751DD3"/>
    <w:rsid w:val="00752AB9"/>
    <w:rsid w:val="007539C3"/>
    <w:rsid w:val="00753D99"/>
    <w:rsid w:val="00754276"/>
    <w:rsid w:val="00754473"/>
    <w:rsid w:val="00755340"/>
    <w:rsid w:val="007555F4"/>
    <w:rsid w:val="007562C3"/>
    <w:rsid w:val="0075764B"/>
    <w:rsid w:val="007579B4"/>
    <w:rsid w:val="00760293"/>
    <w:rsid w:val="00760F24"/>
    <w:rsid w:val="0076331F"/>
    <w:rsid w:val="007638FE"/>
    <w:rsid w:val="00763C78"/>
    <w:rsid w:val="00766151"/>
    <w:rsid w:val="007661F6"/>
    <w:rsid w:val="00766796"/>
    <w:rsid w:val="00766F9E"/>
    <w:rsid w:val="00767EDA"/>
    <w:rsid w:val="007721E8"/>
    <w:rsid w:val="007736E0"/>
    <w:rsid w:val="00774CC5"/>
    <w:rsid w:val="00774E46"/>
    <w:rsid w:val="007754C1"/>
    <w:rsid w:val="00775A43"/>
    <w:rsid w:val="007776C9"/>
    <w:rsid w:val="0077778E"/>
    <w:rsid w:val="00780071"/>
    <w:rsid w:val="00780AD8"/>
    <w:rsid w:val="0078137E"/>
    <w:rsid w:val="00781575"/>
    <w:rsid w:val="00781A6A"/>
    <w:rsid w:val="00782875"/>
    <w:rsid w:val="00783870"/>
    <w:rsid w:val="00783969"/>
    <w:rsid w:val="007839BD"/>
    <w:rsid w:val="00784727"/>
    <w:rsid w:val="00784B5B"/>
    <w:rsid w:val="00786233"/>
    <w:rsid w:val="00787E83"/>
    <w:rsid w:val="007902DD"/>
    <w:rsid w:val="00790532"/>
    <w:rsid w:val="00790A8E"/>
    <w:rsid w:val="00791394"/>
    <w:rsid w:val="00791634"/>
    <w:rsid w:val="00792FAC"/>
    <w:rsid w:val="007931AD"/>
    <w:rsid w:val="0079330E"/>
    <w:rsid w:val="00793884"/>
    <w:rsid w:val="00795816"/>
    <w:rsid w:val="007958A2"/>
    <w:rsid w:val="007959C0"/>
    <w:rsid w:val="00796E8B"/>
    <w:rsid w:val="0079717E"/>
    <w:rsid w:val="00797C1E"/>
    <w:rsid w:val="007A0C7E"/>
    <w:rsid w:val="007A1F7F"/>
    <w:rsid w:val="007A3FEE"/>
    <w:rsid w:val="007A614D"/>
    <w:rsid w:val="007A6FA8"/>
    <w:rsid w:val="007A7153"/>
    <w:rsid w:val="007A725C"/>
    <w:rsid w:val="007B0140"/>
    <w:rsid w:val="007B0219"/>
    <w:rsid w:val="007B1A0D"/>
    <w:rsid w:val="007B1C55"/>
    <w:rsid w:val="007B3F4E"/>
    <w:rsid w:val="007B459F"/>
    <w:rsid w:val="007B5E0E"/>
    <w:rsid w:val="007B6F4B"/>
    <w:rsid w:val="007B7F8B"/>
    <w:rsid w:val="007C0184"/>
    <w:rsid w:val="007C0807"/>
    <w:rsid w:val="007C1B4D"/>
    <w:rsid w:val="007C2A6F"/>
    <w:rsid w:val="007C3BB1"/>
    <w:rsid w:val="007C3E22"/>
    <w:rsid w:val="007C3E4E"/>
    <w:rsid w:val="007C4A43"/>
    <w:rsid w:val="007C4F27"/>
    <w:rsid w:val="007C6828"/>
    <w:rsid w:val="007D0256"/>
    <w:rsid w:val="007D084F"/>
    <w:rsid w:val="007D0898"/>
    <w:rsid w:val="007D0E7B"/>
    <w:rsid w:val="007D1571"/>
    <w:rsid w:val="007D3495"/>
    <w:rsid w:val="007D4767"/>
    <w:rsid w:val="007D4E19"/>
    <w:rsid w:val="007E1B46"/>
    <w:rsid w:val="007E2BE1"/>
    <w:rsid w:val="007E36A7"/>
    <w:rsid w:val="007E40D4"/>
    <w:rsid w:val="007E414C"/>
    <w:rsid w:val="007E4CF3"/>
    <w:rsid w:val="007E680B"/>
    <w:rsid w:val="007E6BC6"/>
    <w:rsid w:val="007E783C"/>
    <w:rsid w:val="007F05C2"/>
    <w:rsid w:val="007F0E16"/>
    <w:rsid w:val="007F229B"/>
    <w:rsid w:val="007F2A67"/>
    <w:rsid w:val="007F4358"/>
    <w:rsid w:val="007F4380"/>
    <w:rsid w:val="007F4F82"/>
    <w:rsid w:val="007F57B6"/>
    <w:rsid w:val="007F6280"/>
    <w:rsid w:val="007F6D66"/>
    <w:rsid w:val="00800BF9"/>
    <w:rsid w:val="008021AC"/>
    <w:rsid w:val="00802B2C"/>
    <w:rsid w:val="00803C22"/>
    <w:rsid w:val="00803CF1"/>
    <w:rsid w:val="00804A25"/>
    <w:rsid w:val="008061FD"/>
    <w:rsid w:val="008066BE"/>
    <w:rsid w:val="0080675C"/>
    <w:rsid w:val="0081147C"/>
    <w:rsid w:val="00811A79"/>
    <w:rsid w:val="008126AF"/>
    <w:rsid w:val="008128F8"/>
    <w:rsid w:val="008136D3"/>
    <w:rsid w:val="0081450D"/>
    <w:rsid w:val="00814A6D"/>
    <w:rsid w:val="00814DB6"/>
    <w:rsid w:val="008154B1"/>
    <w:rsid w:val="00815605"/>
    <w:rsid w:val="00816421"/>
    <w:rsid w:val="008171DC"/>
    <w:rsid w:val="008179B3"/>
    <w:rsid w:val="008210E1"/>
    <w:rsid w:val="00821765"/>
    <w:rsid w:val="00823FE1"/>
    <w:rsid w:val="00825BF8"/>
    <w:rsid w:val="008270EB"/>
    <w:rsid w:val="008279FA"/>
    <w:rsid w:val="00827E8F"/>
    <w:rsid w:val="00830872"/>
    <w:rsid w:val="00830ABF"/>
    <w:rsid w:val="00830E3D"/>
    <w:rsid w:val="008319FB"/>
    <w:rsid w:val="008324AB"/>
    <w:rsid w:val="008329AD"/>
    <w:rsid w:val="00834598"/>
    <w:rsid w:val="008362E1"/>
    <w:rsid w:val="0083688A"/>
    <w:rsid w:val="008373D7"/>
    <w:rsid w:val="00837894"/>
    <w:rsid w:val="00837A4E"/>
    <w:rsid w:val="00840F52"/>
    <w:rsid w:val="008415EC"/>
    <w:rsid w:val="008432DB"/>
    <w:rsid w:val="00843362"/>
    <w:rsid w:val="0084352D"/>
    <w:rsid w:val="00843DD4"/>
    <w:rsid w:val="008451A0"/>
    <w:rsid w:val="0084588C"/>
    <w:rsid w:val="00845B0F"/>
    <w:rsid w:val="0084617D"/>
    <w:rsid w:val="00846735"/>
    <w:rsid w:val="00846E01"/>
    <w:rsid w:val="00847E53"/>
    <w:rsid w:val="00850A4C"/>
    <w:rsid w:val="0085147A"/>
    <w:rsid w:val="0085148E"/>
    <w:rsid w:val="008514C3"/>
    <w:rsid w:val="00851B72"/>
    <w:rsid w:val="00851C9A"/>
    <w:rsid w:val="00852E31"/>
    <w:rsid w:val="008539B5"/>
    <w:rsid w:val="00855B60"/>
    <w:rsid w:val="008563F6"/>
    <w:rsid w:val="0085770D"/>
    <w:rsid w:val="00861739"/>
    <w:rsid w:val="00862F26"/>
    <w:rsid w:val="00864F56"/>
    <w:rsid w:val="00867C7F"/>
    <w:rsid w:val="00870ABE"/>
    <w:rsid w:val="0087207E"/>
    <w:rsid w:val="00872877"/>
    <w:rsid w:val="00872B64"/>
    <w:rsid w:val="00872FDA"/>
    <w:rsid w:val="00874571"/>
    <w:rsid w:val="00875C37"/>
    <w:rsid w:val="00875D46"/>
    <w:rsid w:val="008761ED"/>
    <w:rsid w:val="0087678C"/>
    <w:rsid w:val="008767FD"/>
    <w:rsid w:val="008800B3"/>
    <w:rsid w:val="00880446"/>
    <w:rsid w:val="00880BFD"/>
    <w:rsid w:val="00880F47"/>
    <w:rsid w:val="0088109E"/>
    <w:rsid w:val="008812A5"/>
    <w:rsid w:val="008815DA"/>
    <w:rsid w:val="008822CA"/>
    <w:rsid w:val="00885975"/>
    <w:rsid w:val="008864F3"/>
    <w:rsid w:val="00887027"/>
    <w:rsid w:val="00887CCF"/>
    <w:rsid w:val="008902C2"/>
    <w:rsid w:val="00890AD8"/>
    <w:rsid w:val="008911C5"/>
    <w:rsid w:val="00891891"/>
    <w:rsid w:val="00893171"/>
    <w:rsid w:val="0089554B"/>
    <w:rsid w:val="00896456"/>
    <w:rsid w:val="008967F9"/>
    <w:rsid w:val="008A0015"/>
    <w:rsid w:val="008A05BE"/>
    <w:rsid w:val="008A162E"/>
    <w:rsid w:val="008A1BCE"/>
    <w:rsid w:val="008A4198"/>
    <w:rsid w:val="008A5045"/>
    <w:rsid w:val="008A5EB7"/>
    <w:rsid w:val="008A735E"/>
    <w:rsid w:val="008B120A"/>
    <w:rsid w:val="008B1269"/>
    <w:rsid w:val="008B3D6B"/>
    <w:rsid w:val="008B450C"/>
    <w:rsid w:val="008B4EB2"/>
    <w:rsid w:val="008B5398"/>
    <w:rsid w:val="008B79EA"/>
    <w:rsid w:val="008C021C"/>
    <w:rsid w:val="008C0892"/>
    <w:rsid w:val="008C119A"/>
    <w:rsid w:val="008C127A"/>
    <w:rsid w:val="008C16D9"/>
    <w:rsid w:val="008C19F1"/>
    <w:rsid w:val="008C1E9B"/>
    <w:rsid w:val="008C34FB"/>
    <w:rsid w:val="008C3EF7"/>
    <w:rsid w:val="008C425C"/>
    <w:rsid w:val="008C4ACB"/>
    <w:rsid w:val="008C6ECB"/>
    <w:rsid w:val="008D0490"/>
    <w:rsid w:val="008D0B34"/>
    <w:rsid w:val="008D1A48"/>
    <w:rsid w:val="008D34CA"/>
    <w:rsid w:val="008D387C"/>
    <w:rsid w:val="008D3EA2"/>
    <w:rsid w:val="008D547F"/>
    <w:rsid w:val="008D657F"/>
    <w:rsid w:val="008E3E8E"/>
    <w:rsid w:val="008E43DC"/>
    <w:rsid w:val="008E4C43"/>
    <w:rsid w:val="008E5766"/>
    <w:rsid w:val="008E5DDE"/>
    <w:rsid w:val="008E5ED9"/>
    <w:rsid w:val="008E6AC9"/>
    <w:rsid w:val="008F0325"/>
    <w:rsid w:val="008F167B"/>
    <w:rsid w:val="008F1FED"/>
    <w:rsid w:val="008F2483"/>
    <w:rsid w:val="008F30BC"/>
    <w:rsid w:val="008F31E8"/>
    <w:rsid w:val="008F3F7B"/>
    <w:rsid w:val="008F42F9"/>
    <w:rsid w:val="008F4C48"/>
    <w:rsid w:val="008F57B1"/>
    <w:rsid w:val="008F57CB"/>
    <w:rsid w:val="008F69B8"/>
    <w:rsid w:val="008F6BAE"/>
    <w:rsid w:val="008F6FBA"/>
    <w:rsid w:val="008F774F"/>
    <w:rsid w:val="009007D9"/>
    <w:rsid w:val="00902AE0"/>
    <w:rsid w:val="00904B87"/>
    <w:rsid w:val="00905D19"/>
    <w:rsid w:val="0090671D"/>
    <w:rsid w:val="0090714A"/>
    <w:rsid w:val="009079AA"/>
    <w:rsid w:val="009100B4"/>
    <w:rsid w:val="00910674"/>
    <w:rsid w:val="00910CDC"/>
    <w:rsid w:val="00912A19"/>
    <w:rsid w:val="00912D02"/>
    <w:rsid w:val="00913B86"/>
    <w:rsid w:val="00916D9F"/>
    <w:rsid w:val="00917622"/>
    <w:rsid w:val="009179BF"/>
    <w:rsid w:val="00920CA0"/>
    <w:rsid w:val="00921285"/>
    <w:rsid w:val="00921B9F"/>
    <w:rsid w:val="0092219B"/>
    <w:rsid w:val="009222D3"/>
    <w:rsid w:val="00923DC4"/>
    <w:rsid w:val="0092416F"/>
    <w:rsid w:val="009249E1"/>
    <w:rsid w:val="00924B8A"/>
    <w:rsid w:val="00924DBD"/>
    <w:rsid w:val="009254AC"/>
    <w:rsid w:val="00927560"/>
    <w:rsid w:val="00930021"/>
    <w:rsid w:val="00931E8C"/>
    <w:rsid w:val="00933CFE"/>
    <w:rsid w:val="00934868"/>
    <w:rsid w:val="00934927"/>
    <w:rsid w:val="009365A0"/>
    <w:rsid w:val="00940067"/>
    <w:rsid w:val="00940BF0"/>
    <w:rsid w:val="00940C12"/>
    <w:rsid w:val="00940E5B"/>
    <w:rsid w:val="0094262D"/>
    <w:rsid w:val="0094423E"/>
    <w:rsid w:val="00944AED"/>
    <w:rsid w:val="00945CCE"/>
    <w:rsid w:val="00946303"/>
    <w:rsid w:val="009469A9"/>
    <w:rsid w:val="00947732"/>
    <w:rsid w:val="00947DD4"/>
    <w:rsid w:val="00950440"/>
    <w:rsid w:val="0095129A"/>
    <w:rsid w:val="00951885"/>
    <w:rsid w:val="0095250D"/>
    <w:rsid w:val="009527EA"/>
    <w:rsid w:val="00952B74"/>
    <w:rsid w:val="00953EC2"/>
    <w:rsid w:val="0095686C"/>
    <w:rsid w:val="00957CEF"/>
    <w:rsid w:val="00957E1A"/>
    <w:rsid w:val="0096019E"/>
    <w:rsid w:val="00962205"/>
    <w:rsid w:val="00964DE6"/>
    <w:rsid w:val="00965385"/>
    <w:rsid w:val="00965F38"/>
    <w:rsid w:val="00967C97"/>
    <w:rsid w:val="00967D91"/>
    <w:rsid w:val="00967F9B"/>
    <w:rsid w:val="009703AF"/>
    <w:rsid w:val="009713DC"/>
    <w:rsid w:val="00971B7B"/>
    <w:rsid w:val="00971C43"/>
    <w:rsid w:val="009724C1"/>
    <w:rsid w:val="00972E2D"/>
    <w:rsid w:val="00973299"/>
    <w:rsid w:val="0097366F"/>
    <w:rsid w:val="00976549"/>
    <w:rsid w:val="00977016"/>
    <w:rsid w:val="00977704"/>
    <w:rsid w:val="009812C3"/>
    <w:rsid w:val="009822DD"/>
    <w:rsid w:val="00982E10"/>
    <w:rsid w:val="00983179"/>
    <w:rsid w:val="009833DD"/>
    <w:rsid w:val="00985179"/>
    <w:rsid w:val="009906B5"/>
    <w:rsid w:val="0099089A"/>
    <w:rsid w:val="0099132E"/>
    <w:rsid w:val="009919F7"/>
    <w:rsid w:val="00991F90"/>
    <w:rsid w:val="00992E4C"/>
    <w:rsid w:val="00994AD4"/>
    <w:rsid w:val="00995A12"/>
    <w:rsid w:val="009966BA"/>
    <w:rsid w:val="009A0453"/>
    <w:rsid w:val="009A2FCA"/>
    <w:rsid w:val="009A334D"/>
    <w:rsid w:val="009A3908"/>
    <w:rsid w:val="009A3B0A"/>
    <w:rsid w:val="009A67C0"/>
    <w:rsid w:val="009A6C88"/>
    <w:rsid w:val="009B1942"/>
    <w:rsid w:val="009B23C2"/>
    <w:rsid w:val="009B2481"/>
    <w:rsid w:val="009B39E0"/>
    <w:rsid w:val="009B3F4B"/>
    <w:rsid w:val="009B431E"/>
    <w:rsid w:val="009B4588"/>
    <w:rsid w:val="009B626C"/>
    <w:rsid w:val="009B65F7"/>
    <w:rsid w:val="009B67CE"/>
    <w:rsid w:val="009B6903"/>
    <w:rsid w:val="009B693E"/>
    <w:rsid w:val="009B6DE3"/>
    <w:rsid w:val="009C1446"/>
    <w:rsid w:val="009C1AB7"/>
    <w:rsid w:val="009C366B"/>
    <w:rsid w:val="009C47BA"/>
    <w:rsid w:val="009C4D70"/>
    <w:rsid w:val="009C5EB6"/>
    <w:rsid w:val="009C6022"/>
    <w:rsid w:val="009C642B"/>
    <w:rsid w:val="009C64AE"/>
    <w:rsid w:val="009C75B5"/>
    <w:rsid w:val="009D0F9E"/>
    <w:rsid w:val="009D31A8"/>
    <w:rsid w:val="009D43CD"/>
    <w:rsid w:val="009D471A"/>
    <w:rsid w:val="009D59CE"/>
    <w:rsid w:val="009D60A0"/>
    <w:rsid w:val="009D73DA"/>
    <w:rsid w:val="009E1D35"/>
    <w:rsid w:val="009E3218"/>
    <w:rsid w:val="009E38F9"/>
    <w:rsid w:val="009E4065"/>
    <w:rsid w:val="009E4158"/>
    <w:rsid w:val="009E5A15"/>
    <w:rsid w:val="009E6890"/>
    <w:rsid w:val="009E7059"/>
    <w:rsid w:val="009E7194"/>
    <w:rsid w:val="009F2F7B"/>
    <w:rsid w:val="009F36F8"/>
    <w:rsid w:val="009F4894"/>
    <w:rsid w:val="009F4B0E"/>
    <w:rsid w:val="009F5065"/>
    <w:rsid w:val="009F52F1"/>
    <w:rsid w:val="009F53ED"/>
    <w:rsid w:val="009F61A3"/>
    <w:rsid w:val="009F6CD0"/>
    <w:rsid w:val="00A003CF"/>
    <w:rsid w:val="00A0103E"/>
    <w:rsid w:val="00A014AC"/>
    <w:rsid w:val="00A02D25"/>
    <w:rsid w:val="00A033F7"/>
    <w:rsid w:val="00A03407"/>
    <w:rsid w:val="00A04A62"/>
    <w:rsid w:val="00A04AFF"/>
    <w:rsid w:val="00A0514D"/>
    <w:rsid w:val="00A0785D"/>
    <w:rsid w:val="00A07BD3"/>
    <w:rsid w:val="00A117B5"/>
    <w:rsid w:val="00A123F5"/>
    <w:rsid w:val="00A13153"/>
    <w:rsid w:val="00A13F29"/>
    <w:rsid w:val="00A152F6"/>
    <w:rsid w:val="00A17839"/>
    <w:rsid w:val="00A17AD0"/>
    <w:rsid w:val="00A20FE6"/>
    <w:rsid w:val="00A21194"/>
    <w:rsid w:val="00A22834"/>
    <w:rsid w:val="00A230D9"/>
    <w:rsid w:val="00A23ED7"/>
    <w:rsid w:val="00A24EF1"/>
    <w:rsid w:val="00A251C3"/>
    <w:rsid w:val="00A25357"/>
    <w:rsid w:val="00A2546D"/>
    <w:rsid w:val="00A26ECA"/>
    <w:rsid w:val="00A274A2"/>
    <w:rsid w:val="00A27FEB"/>
    <w:rsid w:val="00A31C1E"/>
    <w:rsid w:val="00A321AA"/>
    <w:rsid w:val="00A33D37"/>
    <w:rsid w:val="00A34CCD"/>
    <w:rsid w:val="00A36CDA"/>
    <w:rsid w:val="00A373A9"/>
    <w:rsid w:val="00A402A0"/>
    <w:rsid w:val="00A4143C"/>
    <w:rsid w:val="00A41E5E"/>
    <w:rsid w:val="00A425B4"/>
    <w:rsid w:val="00A427D1"/>
    <w:rsid w:val="00A42AD4"/>
    <w:rsid w:val="00A42F52"/>
    <w:rsid w:val="00A45219"/>
    <w:rsid w:val="00A467AB"/>
    <w:rsid w:val="00A47B5B"/>
    <w:rsid w:val="00A52A31"/>
    <w:rsid w:val="00A55C4A"/>
    <w:rsid w:val="00A5655D"/>
    <w:rsid w:val="00A57162"/>
    <w:rsid w:val="00A619EE"/>
    <w:rsid w:val="00A62D37"/>
    <w:rsid w:val="00A63243"/>
    <w:rsid w:val="00A63926"/>
    <w:rsid w:val="00A63FDE"/>
    <w:rsid w:val="00A64681"/>
    <w:rsid w:val="00A64D3D"/>
    <w:rsid w:val="00A6534F"/>
    <w:rsid w:val="00A65643"/>
    <w:rsid w:val="00A65A0A"/>
    <w:rsid w:val="00A65BA3"/>
    <w:rsid w:val="00A665B6"/>
    <w:rsid w:val="00A673CD"/>
    <w:rsid w:val="00A67894"/>
    <w:rsid w:val="00A67C55"/>
    <w:rsid w:val="00A70117"/>
    <w:rsid w:val="00A70357"/>
    <w:rsid w:val="00A70A02"/>
    <w:rsid w:val="00A71B58"/>
    <w:rsid w:val="00A722C4"/>
    <w:rsid w:val="00A73743"/>
    <w:rsid w:val="00A73B98"/>
    <w:rsid w:val="00A7436B"/>
    <w:rsid w:val="00A75689"/>
    <w:rsid w:val="00A756EF"/>
    <w:rsid w:val="00A7592C"/>
    <w:rsid w:val="00A764BB"/>
    <w:rsid w:val="00A77393"/>
    <w:rsid w:val="00A775DB"/>
    <w:rsid w:val="00A776E3"/>
    <w:rsid w:val="00A80111"/>
    <w:rsid w:val="00A80CAD"/>
    <w:rsid w:val="00A812B2"/>
    <w:rsid w:val="00A815A2"/>
    <w:rsid w:val="00A819E4"/>
    <w:rsid w:val="00A82392"/>
    <w:rsid w:val="00A828A8"/>
    <w:rsid w:val="00A82CA8"/>
    <w:rsid w:val="00A864A9"/>
    <w:rsid w:val="00A86A23"/>
    <w:rsid w:val="00A86B38"/>
    <w:rsid w:val="00A90B34"/>
    <w:rsid w:val="00A912BA"/>
    <w:rsid w:val="00A91FC9"/>
    <w:rsid w:val="00A928C4"/>
    <w:rsid w:val="00A92B76"/>
    <w:rsid w:val="00A93067"/>
    <w:rsid w:val="00A936BC"/>
    <w:rsid w:val="00A93AA7"/>
    <w:rsid w:val="00A93CAF"/>
    <w:rsid w:val="00A94257"/>
    <w:rsid w:val="00A94A68"/>
    <w:rsid w:val="00A950C8"/>
    <w:rsid w:val="00A9556C"/>
    <w:rsid w:val="00A97430"/>
    <w:rsid w:val="00A97B77"/>
    <w:rsid w:val="00AA0FDE"/>
    <w:rsid w:val="00AA11F5"/>
    <w:rsid w:val="00AA23A8"/>
    <w:rsid w:val="00AA306A"/>
    <w:rsid w:val="00AA3FCB"/>
    <w:rsid w:val="00AA7FDF"/>
    <w:rsid w:val="00AB0C2F"/>
    <w:rsid w:val="00AB1101"/>
    <w:rsid w:val="00AB17F8"/>
    <w:rsid w:val="00AB654B"/>
    <w:rsid w:val="00AB67F7"/>
    <w:rsid w:val="00AB7233"/>
    <w:rsid w:val="00AC0FF4"/>
    <w:rsid w:val="00AC1D15"/>
    <w:rsid w:val="00AC2A04"/>
    <w:rsid w:val="00AC3EB4"/>
    <w:rsid w:val="00AC5AE5"/>
    <w:rsid w:val="00AC71AF"/>
    <w:rsid w:val="00AC7683"/>
    <w:rsid w:val="00AC79B5"/>
    <w:rsid w:val="00AD0809"/>
    <w:rsid w:val="00AD0B0A"/>
    <w:rsid w:val="00AD0E01"/>
    <w:rsid w:val="00AD11A2"/>
    <w:rsid w:val="00AD1DB1"/>
    <w:rsid w:val="00AD282D"/>
    <w:rsid w:val="00AD33FA"/>
    <w:rsid w:val="00AD39DE"/>
    <w:rsid w:val="00AD4F7C"/>
    <w:rsid w:val="00AD7947"/>
    <w:rsid w:val="00AD7954"/>
    <w:rsid w:val="00AE0E7D"/>
    <w:rsid w:val="00AE19E2"/>
    <w:rsid w:val="00AE26D3"/>
    <w:rsid w:val="00AE30B9"/>
    <w:rsid w:val="00AE41E9"/>
    <w:rsid w:val="00AE4522"/>
    <w:rsid w:val="00AE49D3"/>
    <w:rsid w:val="00AE4B07"/>
    <w:rsid w:val="00AE5CC9"/>
    <w:rsid w:val="00AE6DBA"/>
    <w:rsid w:val="00AE786C"/>
    <w:rsid w:val="00AF1211"/>
    <w:rsid w:val="00AF19D0"/>
    <w:rsid w:val="00AF2ADE"/>
    <w:rsid w:val="00AF2E3E"/>
    <w:rsid w:val="00AF35BB"/>
    <w:rsid w:val="00AF3834"/>
    <w:rsid w:val="00B01A7E"/>
    <w:rsid w:val="00B01DCE"/>
    <w:rsid w:val="00B01EF7"/>
    <w:rsid w:val="00B02A5C"/>
    <w:rsid w:val="00B052D0"/>
    <w:rsid w:val="00B0658A"/>
    <w:rsid w:val="00B06681"/>
    <w:rsid w:val="00B0705A"/>
    <w:rsid w:val="00B07220"/>
    <w:rsid w:val="00B073B6"/>
    <w:rsid w:val="00B10FDE"/>
    <w:rsid w:val="00B110DC"/>
    <w:rsid w:val="00B122BC"/>
    <w:rsid w:val="00B13C2B"/>
    <w:rsid w:val="00B1416C"/>
    <w:rsid w:val="00B14713"/>
    <w:rsid w:val="00B15C85"/>
    <w:rsid w:val="00B16592"/>
    <w:rsid w:val="00B20470"/>
    <w:rsid w:val="00B206FE"/>
    <w:rsid w:val="00B2140B"/>
    <w:rsid w:val="00B26404"/>
    <w:rsid w:val="00B27068"/>
    <w:rsid w:val="00B272E3"/>
    <w:rsid w:val="00B30ACA"/>
    <w:rsid w:val="00B31BA1"/>
    <w:rsid w:val="00B32C45"/>
    <w:rsid w:val="00B343B3"/>
    <w:rsid w:val="00B344BE"/>
    <w:rsid w:val="00B357C8"/>
    <w:rsid w:val="00B36462"/>
    <w:rsid w:val="00B36CAF"/>
    <w:rsid w:val="00B37544"/>
    <w:rsid w:val="00B40E71"/>
    <w:rsid w:val="00B413A4"/>
    <w:rsid w:val="00B4144A"/>
    <w:rsid w:val="00B425B4"/>
    <w:rsid w:val="00B42609"/>
    <w:rsid w:val="00B439D4"/>
    <w:rsid w:val="00B45083"/>
    <w:rsid w:val="00B46823"/>
    <w:rsid w:val="00B502C2"/>
    <w:rsid w:val="00B50E6A"/>
    <w:rsid w:val="00B50EE6"/>
    <w:rsid w:val="00B513E6"/>
    <w:rsid w:val="00B54257"/>
    <w:rsid w:val="00B54B3B"/>
    <w:rsid w:val="00B56AB1"/>
    <w:rsid w:val="00B56BE1"/>
    <w:rsid w:val="00B56CB8"/>
    <w:rsid w:val="00B60728"/>
    <w:rsid w:val="00B61950"/>
    <w:rsid w:val="00B61A69"/>
    <w:rsid w:val="00B62216"/>
    <w:rsid w:val="00B63574"/>
    <w:rsid w:val="00B63C16"/>
    <w:rsid w:val="00B64613"/>
    <w:rsid w:val="00B65706"/>
    <w:rsid w:val="00B658ED"/>
    <w:rsid w:val="00B65953"/>
    <w:rsid w:val="00B66837"/>
    <w:rsid w:val="00B71D96"/>
    <w:rsid w:val="00B71F3F"/>
    <w:rsid w:val="00B72535"/>
    <w:rsid w:val="00B7340C"/>
    <w:rsid w:val="00B74E2C"/>
    <w:rsid w:val="00B76A61"/>
    <w:rsid w:val="00B806D8"/>
    <w:rsid w:val="00B81390"/>
    <w:rsid w:val="00B81A62"/>
    <w:rsid w:val="00B8389C"/>
    <w:rsid w:val="00B8693A"/>
    <w:rsid w:val="00B86D79"/>
    <w:rsid w:val="00B86F27"/>
    <w:rsid w:val="00B87C0C"/>
    <w:rsid w:val="00B91226"/>
    <w:rsid w:val="00B91A44"/>
    <w:rsid w:val="00B9290E"/>
    <w:rsid w:val="00B92D01"/>
    <w:rsid w:val="00B92D81"/>
    <w:rsid w:val="00B92EB9"/>
    <w:rsid w:val="00B92EE7"/>
    <w:rsid w:val="00B9343D"/>
    <w:rsid w:val="00B9403E"/>
    <w:rsid w:val="00B97D16"/>
    <w:rsid w:val="00BA042F"/>
    <w:rsid w:val="00BA1901"/>
    <w:rsid w:val="00BA2448"/>
    <w:rsid w:val="00BA28B2"/>
    <w:rsid w:val="00BA3452"/>
    <w:rsid w:val="00BA39C8"/>
    <w:rsid w:val="00BB04A7"/>
    <w:rsid w:val="00BB1375"/>
    <w:rsid w:val="00BB1953"/>
    <w:rsid w:val="00BB29B3"/>
    <w:rsid w:val="00BB41F3"/>
    <w:rsid w:val="00BB6839"/>
    <w:rsid w:val="00BC0D42"/>
    <w:rsid w:val="00BC161A"/>
    <w:rsid w:val="00BC1D26"/>
    <w:rsid w:val="00BC2025"/>
    <w:rsid w:val="00BC4387"/>
    <w:rsid w:val="00BC4A05"/>
    <w:rsid w:val="00BC557D"/>
    <w:rsid w:val="00BC5B0A"/>
    <w:rsid w:val="00BC6E5D"/>
    <w:rsid w:val="00BC703C"/>
    <w:rsid w:val="00BC75E0"/>
    <w:rsid w:val="00BD0CC0"/>
    <w:rsid w:val="00BD279D"/>
    <w:rsid w:val="00BD2F38"/>
    <w:rsid w:val="00BD34B0"/>
    <w:rsid w:val="00BD5242"/>
    <w:rsid w:val="00BD610B"/>
    <w:rsid w:val="00BE077C"/>
    <w:rsid w:val="00BE1FC3"/>
    <w:rsid w:val="00BE3943"/>
    <w:rsid w:val="00BE40DF"/>
    <w:rsid w:val="00BE4912"/>
    <w:rsid w:val="00BE69B8"/>
    <w:rsid w:val="00BF0905"/>
    <w:rsid w:val="00BF1E23"/>
    <w:rsid w:val="00BF2603"/>
    <w:rsid w:val="00BF3F6D"/>
    <w:rsid w:val="00BF6365"/>
    <w:rsid w:val="00BF715E"/>
    <w:rsid w:val="00BF73E1"/>
    <w:rsid w:val="00BF798D"/>
    <w:rsid w:val="00C01118"/>
    <w:rsid w:val="00C0376C"/>
    <w:rsid w:val="00C05734"/>
    <w:rsid w:val="00C05965"/>
    <w:rsid w:val="00C066DC"/>
    <w:rsid w:val="00C0757B"/>
    <w:rsid w:val="00C079B9"/>
    <w:rsid w:val="00C10711"/>
    <w:rsid w:val="00C1433D"/>
    <w:rsid w:val="00C14816"/>
    <w:rsid w:val="00C1562F"/>
    <w:rsid w:val="00C15C47"/>
    <w:rsid w:val="00C15D8D"/>
    <w:rsid w:val="00C16280"/>
    <w:rsid w:val="00C17DC4"/>
    <w:rsid w:val="00C20C87"/>
    <w:rsid w:val="00C2259E"/>
    <w:rsid w:val="00C23B92"/>
    <w:rsid w:val="00C252B2"/>
    <w:rsid w:val="00C25574"/>
    <w:rsid w:val="00C265B0"/>
    <w:rsid w:val="00C300A4"/>
    <w:rsid w:val="00C31996"/>
    <w:rsid w:val="00C36BB3"/>
    <w:rsid w:val="00C37E19"/>
    <w:rsid w:val="00C417B2"/>
    <w:rsid w:val="00C42BCA"/>
    <w:rsid w:val="00C42E40"/>
    <w:rsid w:val="00C4312B"/>
    <w:rsid w:val="00C46D7A"/>
    <w:rsid w:val="00C527A6"/>
    <w:rsid w:val="00C53745"/>
    <w:rsid w:val="00C54871"/>
    <w:rsid w:val="00C559A9"/>
    <w:rsid w:val="00C56667"/>
    <w:rsid w:val="00C56F1C"/>
    <w:rsid w:val="00C57355"/>
    <w:rsid w:val="00C6050A"/>
    <w:rsid w:val="00C6230E"/>
    <w:rsid w:val="00C629D3"/>
    <w:rsid w:val="00C633D9"/>
    <w:rsid w:val="00C64130"/>
    <w:rsid w:val="00C65A53"/>
    <w:rsid w:val="00C66718"/>
    <w:rsid w:val="00C6686F"/>
    <w:rsid w:val="00C7318F"/>
    <w:rsid w:val="00C73C7D"/>
    <w:rsid w:val="00C74E40"/>
    <w:rsid w:val="00C75641"/>
    <w:rsid w:val="00C762B3"/>
    <w:rsid w:val="00C7751E"/>
    <w:rsid w:val="00C77961"/>
    <w:rsid w:val="00C77FEC"/>
    <w:rsid w:val="00C800F6"/>
    <w:rsid w:val="00C818D4"/>
    <w:rsid w:val="00C81FB5"/>
    <w:rsid w:val="00C829CC"/>
    <w:rsid w:val="00C82A0C"/>
    <w:rsid w:val="00C83AF0"/>
    <w:rsid w:val="00C83E46"/>
    <w:rsid w:val="00C85E2F"/>
    <w:rsid w:val="00C90626"/>
    <w:rsid w:val="00C9174B"/>
    <w:rsid w:val="00C92E76"/>
    <w:rsid w:val="00C94BC4"/>
    <w:rsid w:val="00C96B01"/>
    <w:rsid w:val="00C973F4"/>
    <w:rsid w:val="00CA1AE2"/>
    <w:rsid w:val="00CA2698"/>
    <w:rsid w:val="00CA5558"/>
    <w:rsid w:val="00CA5CD9"/>
    <w:rsid w:val="00CA622D"/>
    <w:rsid w:val="00CA6D2D"/>
    <w:rsid w:val="00CB0763"/>
    <w:rsid w:val="00CB1F35"/>
    <w:rsid w:val="00CB27B4"/>
    <w:rsid w:val="00CB2845"/>
    <w:rsid w:val="00CB2857"/>
    <w:rsid w:val="00CB3DBF"/>
    <w:rsid w:val="00CB43CC"/>
    <w:rsid w:val="00CB5093"/>
    <w:rsid w:val="00CC12DB"/>
    <w:rsid w:val="00CC2577"/>
    <w:rsid w:val="00CC4426"/>
    <w:rsid w:val="00CD2214"/>
    <w:rsid w:val="00CD4080"/>
    <w:rsid w:val="00CD4F8A"/>
    <w:rsid w:val="00CD51CE"/>
    <w:rsid w:val="00CD58B0"/>
    <w:rsid w:val="00CD616B"/>
    <w:rsid w:val="00CD793D"/>
    <w:rsid w:val="00CD7D77"/>
    <w:rsid w:val="00CE087A"/>
    <w:rsid w:val="00CE198C"/>
    <w:rsid w:val="00CE1A2F"/>
    <w:rsid w:val="00CE74F8"/>
    <w:rsid w:val="00CE77C3"/>
    <w:rsid w:val="00CE7BB0"/>
    <w:rsid w:val="00CE7CB5"/>
    <w:rsid w:val="00CF1694"/>
    <w:rsid w:val="00CF2044"/>
    <w:rsid w:val="00CF357E"/>
    <w:rsid w:val="00CF422C"/>
    <w:rsid w:val="00CF46F1"/>
    <w:rsid w:val="00CF6699"/>
    <w:rsid w:val="00CF779C"/>
    <w:rsid w:val="00D00432"/>
    <w:rsid w:val="00D0069D"/>
    <w:rsid w:val="00D00D86"/>
    <w:rsid w:val="00D0142D"/>
    <w:rsid w:val="00D01EDB"/>
    <w:rsid w:val="00D020A6"/>
    <w:rsid w:val="00D022C5"/>
    <w:rsid w:val="00D0257B"/>
    <w:rsid w:val="00D0261A"/>
    <w:rsid w:val="00D02BC2"/>
    <w:rsid w:val="00D042EB"/>
    <w:rsid w:val="00D04454"/>
    <w:rsid w:val="00D052EA"/>
    <w:rsid w:val="00D0748B"/>
    <w:rsid w:val="00D11B51"/>
    <w:rsid w:val="00D123E9"/>
    <w:rsid w:val="00D12D06"/>
    <w:rsid w:val="00D15574"/>
    <w:rsid w:val="00D155A1"/>
    <w:rsid w:val="00D15C4F"/>
    <w:rsid w:val="00D16A16"/>
    <w:rsid w:val="00D20E8E"/>
    <w:rsid w:val="00D22013"/>
    <w:rsid w:val="00D22B34"/>
    <w:rsid w:val="00D236DD"/>
    <w:rsid w:val="00D246DB"/>
    <w:rsid w:val="00D25EA2"/>
    <w:rsid w:val="00D25F38"/>
    <w:rsid w:val="00D27D7F"/>
    <w:rsid w:val="00D3006A"/>
    <w:rsid w:val="00D30B75"/>
    <w:rsid w:val="00D30DA7"/>
    <w:rsid w:val="00D30E79"/>
    <w:rsid w:val="00D31163"/>
    <w:rsid w:val="00D344EB"/>
    <w:rsid w:val="00D351E0"/>
    <w:rsid w:val="00D36B00"/>
    <w:rsid w:val="00D37882"/>
    <w:rsid w:val="00D37F0E"/>
    <w:rsid w:val="00D427C8"/>
    <w:rsid w:val="00D43326"/>
    <w:rsid w:val="00D445CD"/>
    <w:rsid w:val="00D447F5"/>
    <w:rsid w:val="00D44B44"/>
    <w:rsid w:val="00D459BC"/>
    <w:rsid w:val="00D518C6"/>
    <w:rsid w:val="00D51ECD"/>
    <w:rsid w:val="00D53E46"/>
    <w:rsid w:val="00D55DB4"/>
    <w:rsid w:val="00D56A34"/>
    <w:rsid w:val="00D56C1C"/>
    <w:rsid w:val="00D57060"/>
    <w:rsid w:val="00D57C0F"/>
    <w:rsid w:val="00D617EA"/>
    <w:rsid w:val="00D62762"/>
    <w:rsid w:val="00D63917"/>
    <w:rsid w:val="00D63C1D"/>
    <w:rsid w:val="00D64049"/>
    <w:rsid w:val="00D6602E"/>
    <w:rsid w:val="00D66F92"/>
    <w:rsid w:val="00D67601"/>
    <w:rsid w:val="00D67A41"/>
    <w:rsid w:val="00D67A78"/>
    <w:rsid w:val="00D67CE1"/>
    <w:rsid w:val="00D70489"/>
    <w:rsid w:val="00D7231B"/>
    <w:rsid w:val="00D73F09"/>
    <w:rsid w:val="00D74760"/>
    <w:rsid w:val="00D76768"/>
    <w:rsid w:val="00D7781B"/>
    <w:rsid w:val="00D77843"/>
    <w:rsid w:val="00D8207D"/>
    <w:rsid w:val="00D821DC"/>
    <w:rsid w:val="00D83C58"/>
    <w:rsid w:val="00D85CB7"/>
    <w:rsid w:val="00D87684"/>
    <w:rsid w:val="00D91992"/>
    <w:rsid w:val="00D92508"/>
    <w:rsid w:val="00D9276C"/>
    <w:rsid w:val="00D94065"/>
    <w:rsid w:val="00D944FF"/>
    <w:rsid w:val="00D953AF"/>
    <w:rsid w:val="00D9574A"/>
    <w:rsid w:val="00D96340"/>
    <w:rsid w:val="00D97D4B"/>
    <w:rsid w:val="00D97E0D"/>
    <w:rsid w:val="00DA06D3"/>
    <w:rsid w:val="00DA0747"/>
    <w:rsid w:val="00DA0FBA"/>
    <w:rsid w:val="00DA2962"/>
    <w:rsid w:val="00DA312F"/>
    <w:rsid w:val="00DA5C0E"/>
    <w:rsid w:val="00DA5F05"/>
    <w:rsid w:val="00DA686F"/>
    <w:rsid w:val="00DA7A99"/>
    <w:rsid w:val="00DA7E8A"/>
    <w:rsid w:val="00DB312B"/>
    <w:rsid w:val="00DB7B56"/>
    <w:rsid w:val="00DC04A7"/>
    <w:rsid w:val="00DC0656"/>
    <w:rsid w:val="00DC0A41"/>
    <w:rsid w:val="00DC12C1"/>
    <w:rsid w:val="00DC21CA"/>
    <w:rsid w:val="00DC3F6D"/>
    <w:rsid w:val="00DC6F66"/>
    <w:rsid w:val="00DD23BB"/>
    <w:rsid w:val="00DD3CC9"/>
    <w:rsid w:val="00DD3D18"/>
    <w:rsid w:val="00DD4A91"/>
    <w:rsid w:val="00DD4ABC"/>
    <w:rsid w:val="00DD5AB9"/>
    <w:rsid w:val="00DE05E8"/>
    <w:rsid w:val="00DE0727"/>
    <w:rsid w:val="00DE0B6E"/>
    <w:rsid w:val="00DE1F16"/>
    <w:rsid w:val="00DE2A80"/>
    <w:rsid w:val="00DE32C4"/>
    <w:rsid w:val="00DE5861"/>
    <w:rsid w:val="00DE5D73"/>
    <w:rsid w:val="00DE673C"/>
    <w:rsid w:val="00DE6919"/>
    <w:rsid w:val="00DE71D4"/>
    <w:rsid w:val="00DE7B02"/>
    <w:rsid w:val="00DF03F7"/>
    <w:rsid w:val="00DF132D"/>
    <w:rsid w:val="00DF16BB"/>
    <w:rsid w:val="00DF20D2"/>
    <w:rsid w:val="00DF3D0C"/>
    <w:rsid w:val="00DF4968"/>
    <w:rsid w:val="00DF4D72"/>
    <w:rsid w:val="00DF5AA5"/>
    <w:rsid w:val="00DF62D2"/>
    <w:rsid w:val="00DF6807"/>
    <w:rsid w:val="00DF7FFE"/>
    <w:rsid w:val="00E00E9A"/>
    <w:rsid w:val="00E01CBA"/>
    <w:rsid w:val="00E040F4"/>
    <w:rsid w:val="00E0487D"/>
    <w:rsid w:val="00E05280"/>
    <w:rsid w:val="00E05297"/>
    <w:rsid w:val="00E06740"/>
    <w:rsid w:val="00E06C55"/>
    <w:rsid w:val="00E101C5"/>
    <w:rsid w:val="00E13018"/>
    <w:rsid w:val="00E135D4"/>
    <w:rsid w:val="00E14CBB"/>
    <w:rsid w:val="00E14CEC"/>
    <w:rsid w:val="00E16F8C"/>
    <w:rsid w:val="00E202A6"/>
    <w:rsid w:val="00E22B67"/>
    <w:rsid w:val="00E249AD"/>
    <w:rsid w:val="00E31727"/>
    <w:rsid w:val="00E31A58"/>
    <w:rsid w:val="00E32EA7"/>
    <w:rsid w:val="00E33CE8"/>
    <w:rsid w:val="00E34045"/>
    <w:rsid w:val="00E35C99"/>
    <w:rsid w:val="00E367B6"/>
    <w:rsid w:val="00E36CEE"/>
    <w:rsid w:val="00E40937"/>
    <w:rsid w:val="00E40B75"/>
    <w:rsid w:val="00E41662"/>
    <w:rsid w:val="00E41C1B"/>
    <w:rsid w:val="00E42859"/>
    <w:rsid w:val="00E42881"/>
    <w:rsid w:val="00E42908"/>
    <w:rsid w:val="00E42EF5"/>
    <w:rsid w:val="00E43EA9"/>
    <w:rsid w:val="00E44B76"/>
    <w:rsid w:val="00E45363"/>
    <w:rsid w:val="00E45D98"/>
    <w:rsid w:val="00E47E6F"/>
    <w:rsid w:val="00E521B3"/>
    <w:rsid w:val="00E5244D"/>
    <w:rsid w:val="00E527EC"/>
    <w:rsid w:val="00E52A33"/>
    <w:rsid w:val="00E55B9A"/>
    <w:rsid w:val="00E56741"/>
    <w:rsid w:val="00E57F1F"/>
    <w:rsid w:val="00E60049"/>
    <w:rsid w:val="00E60F08"/>
    <w:rsid w:val="00E617D9"/>
    <w:rsid w:val="00E627ED"/>
    <w:rsid w:val="00E64730"/>
    <w:rsid w:val="00E6527D"/>
    <w:rsid w:val="00E66BA4"/>
    <w:rsid w:val="00E73A0A"/>
    <w:rsid w:val="00E73BE6"/>
    <w:rsid w:val="00E7414F"/>
    <w:rsid w:val="00E75831"/>
    <w:rsid w:val="00E75B46"/>
    <w:rsid w:val="00E766E3"/>
    <w:rsid w:val="00E8100F"/>
    <w:rsid w:val="00E83082"/>
    <w:rsid w:val="00E83433"/>
    <w:rsid w:val="00E83BDF"/>
    <w:rsid w:val="00E84D1C"/>
    <w:rsid w:val="00E85413"/>
    <w:rsid w:val="00E8582F"/>
    <w:rsid w:val="00E85B44"/>
    <w:rsid w:val="00E85C43"/>
    <w:rsid w:val="00E91BEF"/>
    <w:rsid w:val="00E9320C"/>
    <w:rsid w:val="00E94278"/>
    <w:rsid w:val="00E94824"/>
    <w:rsid w:val="00E9560F"/>
    <w:rsid w:val="00E95C48"/>
    <w:rsid w:val="00E95F93"/>
    <w:rsid w:val="00E9632B"/>
    <w:rsid w:val="00E963A4"/>
    <w:rsid w:val="00EA0768"/>
    <w:rsid w:val="00EA0D88"/>
    <w:rsid w:val="00EA15E3"/>
    <w:rsid w:val="00EA1F86"/>
    <w:rsid w:val="00EA2264"/>
    <w:rsid w:val="00EA22F5"/>
    <w:rsid w:val="00EA2477"/>
    <w:rsid w:val="00EA3478"/>
    <w:rsid w:val="00EA4C10"/>
    <w:rsid w:val="00EA4E17"/>
    <w:rsid w:val="00EA5D3E"/>
    <w:rsid w:val="00EA620B"/>
    <w:rsid w:val="00EA6260"/>
    <w:rsid w:val="00EA6704"/>
    <w:rsid w:val="00EA6D98"/>
    <w:rsid w:val="00EA6E40"/>
    <w:rsid w:val="00EB036F"/>
    <w:rsid w:val="00EB1424"/>
    <w:rsid w:val="00EB2235"/>
    <w:rsid w:val="00EB2BDC"/>
    <w:rsid w:val="00EB4D25"/>
    <w:rsid w:val="00EB4DF4"/>
    <w:rsid w:val="00EB5739"/>
    <w:rsid w:val="00EB5F7D"/>
    <w:rsid w:val="00EB7D67"/>
    <w:rsid w:val="00EC1F8B"/>
    <w:rsid w:val="00EC2F85"/>
    <w:rsid w:val="00EC4A92"/>
    <w:rsid w:val="00EC56FA"/>
    <w:rsid w:val="00EC6134"/>
    <w:rsid w:val="00EC6221"/>
    <w:rsid w:val="00EC63A7"/>
    <w:rsid w:val="00EC65A7"/>
    <w:rsid w:val="00EC74A7"/>
    <w:rsid w:val="00ED0937"/>
    <w:rsid w:val="00ED0BE2"/>
    <w:rsid w:val="00ED0BF6"/>
    <w:rsid w:val="00ED1AC7"/>
    <w:rsid w:val="00ED1B4A"/>
    <w:rsid w:val="00ED3C06"/>
    <w:rsid w:val="00ED3DF6"/>
    <w:rsid w:val="00ED5609"/>
    <w:rsid w:val="00ED6E81"/>
    <w:rsid w:val="00ED7381"/>
    <w:rsid w:val="00EE29E3"/>
    <w:rsid w:val="00EE44ED"/>
    <w:rsid w:val="00EE52A3"/>
    <w:rsid w:val="00EE5490"/>
    <w:rsid w:val="00EE5A9B"/>
    <w:rsid w:val="00EE6A82"/>
    <w:rsid w:val="00EE77EE"/>
    <w:rsid w:val="00EF0AF4"/>
    <w:rsid w:val="00EF1574"/>
    <w:rsid w:val="00EF2A65"/>
    <w:rsid w:val="00EF35CC"/>
    <w:rsid w:val="00EF4CFC"/>
    <w:rsid w:val="00EF4D87"/>
    <w:rsid w:val="00EF5299"/>
    <w:rsid w:val="00EF5942"/>
    <w:rsid w:val="00EF6A0E"/>
    <w:rsid w:val="00EF79E1"/>
    <w:rsid w:val="00F00BBC"/>
    <w:rsid w:val="00F0197E"/>
    <w:rsid w:val="00F01A3D"/>
    <w:rsid w:val="00F02BE4"/>
    <w:rsid w:val="00F02CE7"/>
    <w:rsid w:val="00F031DC"/>
    <w:rsid w:val="00F04A7E"/>
    <w:rsid w:val="00F0509D"/>
    <w:rsid w:val="00F078FE"/>
    <w:rsid w:val="00F07AB3"/>
    <w:rsid w:val="00F10082"/>
    <w:rsid w:val="00F10869"/>
    <w:rsid w:val="00F10D6B"/>
    <w:rsid w:val="00F124B9"/>
    <w:rsid w:val="00F12D88"/>
    <w:rsid w:val="00F130FF"/>
    <w:rsid w:val="00F13502"/>
    <w:rsid w:val="00F14485"/>
    <w:rsid w:val="00F14A9D"/>
    <w:rsid w:val="00F153BC"/>
    <w:rsid w:val="00F15780"/>
    <w:rsid w:val="00F15CA2"/>
    <w:rsid w:val="00F1640E"/>
    <w:rsid w:val="00F17A31"/>
    <w:rsid w:val="00F222CE"/>
    <w:rsid w:val="00F228B1"/>
    <w:rsid w:val="00F228DC"/>
    <w:rsid w:val="00F2295F"/>
    <w:rsid w:val="00F22E56"/>
    <w:rsid w:val="00F22F8D"/>
    <w:rsid w:val="00F240E5"/>
    <w:rsid w:val="00F24467"/>
    <w:rsid w:val="00F24A86"/>
    <w:rsid w:val="00F26144"/>
    <w:rsid w:val="00F265D0"/>
    <w:rsid w:val="00F27298"/>
    <w:rsid w:val="00F27EAF"/>
    <w:rsid w:val="00F304E3"/>
    <w:rsid w:val="00F31A09"/>
    <w:rsid w:val="00F31B2B"/>
    <w:rsid w:val="00F34109"/>
    <w:rsid w:val="00F34E83"/>
    <w:rsid w:val="00F41F70"/>
    <w:rsid w:val="00F421EB"/>
    <w:rsid w:val="00F42400"/>
    <w:rsid w:val="00F42AE8"/>
    <w:rsid w:val="00F440EA"/>
    <w:rsid w:val="00F442B4"/>
    <w:rsid w:val="00F448DF"/>
    <w:rsid w:val="00F44914"/>
    <w:rsid w:val="00F4537C"/>
    <w:rsid w:val="00F46610"/>
    <w:rsid w:val="00F468EA"/>
    <w:rsid w:val="00F46ED0"/>
    <w:rsid w:val="00F47E6C"/>
    <w:rsid w:val="00F51725"/>
    <w:rsid w:val="00F52011"/>
    <w:rsid w:val="00F52FED"/>
    <w:rsid w:val="00F5350C"/>
    <w:rsid w:val="00F53BC6"/>
    <w:rsid w:val="00F53E8A"/>
    <w:rsid w:val="00F55FAD"/>
    <w:rsid w:val="00F5622A"/>
    <w:rsid w:val="00F57B1F"/>
    <w:rsid w:val="00F60A86"/>
    <w:rsid w:val="00F62A44"/>
    <w:rsid w:val="00F63108"/>
    <w:rsid w:val="00F639B5"/>
    <w:rsid w:val="00F65B80"/>
    <w:rsid w:val="00F66034"/>
    <w:rsid w:val="00F66420"/>
    <w:rsid w:val="00F67187"/>
    <w:rsid w:val="00F70907"/>
    <w:rsid w:val="00F71274"/>
    <w:rsid w:val="00F71761"/>
    <w:rsid w:val="00F71820"/>
    <w:rsid w:val="00F728F5"/>
    <w:rsid w:val="00F73303"/>
    <w:rsid w:val="00F74AE8"/>
    <w:rsid w:val="00F769FC"/>
    <w:rsid w:val="00F76BF1"/>
    <w:rsid w:val="00F80D0D"/>
    <w:rsid w:val="00F81606"/>
    <w:rsid w:val="00F818FA"/>
    <w:rsid w:val="00F81B44"/>
    <w:rsid w:val="00F823B1"/>
    <w:rsid w:val="00F826CB"/>
    <w:rsid w:val="00F82D79"/>
    <w:rsid w:val="00F850ED"/>
    <w:rsid w:val="00F916C4"/>
    <w:rsid w:val="00F93A9E"/>
    <w:rsid w:val="00F93C6A"/>
    <w:rsid w:val="00F9473A"/>
    <w:rsid w:val="00F9504D"/>
    <w:rsid w:val="00F95C52"/>
    <w:rsid w:val="00F96526"/>
    <w:rsid w:val="00F96E94"/>
    <w:rsid w:val="00FA0F0F"/>
    <w:rsid w:val="00FA1310"/>
    <w:rsid w:val="00FA7454"/>
    <w:rsid w:val="00FA7C54"/>
    <w:rsid w:val="00FB0EA4"/>
    <w:rsid w:val="00FB0FF7"/>
    <w:rsid w:val="00FB2172"/>
    <w:rsid w:val="00FB22E4"/>
    <w:rsid w:val="00FB28D8"/>
    <w:rsid w:val="00FB2975"/>
    <w:rsid w:val="00FB4015"/>
    <w:rsid w:val="00FB55BA"/>
    <w:rsid w:val="00FB5CA0"/>
    <w:rsid w:val="00FC00B2"/>
    <w:rsid w:val="00FC06C0"/>
    <w:rsid w:val="00FC1F5C"/>
    <w:rsid w:val="00FC49D6"/>
    <w:rsid w:val="00FC4C86"/>
    <w:rsid w:val="00FC6D17"/>
    <w:rsid w:val="00FD00B1"/>
    <w:rsid w:val="00FD014B"/>
    <w:rsid w:val="00FD032F"/>
    <w:rsid w:val="00FD03B4"/>
    <w:rsid w:val="00FD0CD6"/>
    <w:rsid w:val="00FD0F99"/>
    <w:rsid w:val="00FD14E5"/>
    <w:rsid w:val="00FD16E4"/>
    <w:rsid w:val="00FD1778"/>
    <w:rsid w:val="00FD218B"/>
    <w:rsid w:val="00FD2C0C"/>
    <w:rsid w:val="00FD38D0"/>
    <w:rsid w:val="00FD47C0"/>
    <w:rsid w:val="00FD5AB3"/>
    <w:rsid w:val="00FD600B"/>
    <w:rsid w:val="00FD63CA"/>
    <w:rsid w:val="00FD6449"/>
    <w:rsid w:val="00FD6604"/>
    <w:rsid w:val="00FD6865"/>
    <w:rsid w:val="00FD736B"/>
    <w:rsid w:val="00FE0BB3"/>
    <w:rsid w:val="00FE1AEC"/>
    <w:rsid w:val="00FE1B4B"/>
    <w:rsid w:val="00FE2730"/>
    <w:rsid w:val="00FE292D"/>
    <w:rsid w:val="00FE2EE8"/>
    <w:rsid w:val="00FE32AC"/>
    <w:rsid w:val="00FE5F37"/>
    <w:rsid w:val="00FE7138"/>
    <w:rsid w:val="00FE71B1"/>
    <w:rsid w:val="00FF002C"/>
    <w:rsid w:val="00FF0693"/>
    <w:rsid w:val="00FF1289"/>
    <w:rsid w:val="00FF31F8"/>
    <w:rsid w:val="00FF459D"/>
    <w:rsid w:val="00FF6101"/>
    <w:rsid w:val="00FF6C7E"/>
    <w:rsid w:val="00FF711E"/>
    <w:rsid w:val="00FF743F"/>
    <w:rsid w:val="00FF7F79"/>
    <w:rsid w:val="00FF7F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EA0FFE8"/>
  <w14:defaultImageDpi w14:val="0"/>
  <w15:docId w15:val="{0D5C7D50-72B4-4AFF-92CE-255B8A18A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spacing w:after="160" w:line="259" w:lineRule="auto"/>
    </w:pPr>
    <w:rPr>
      <w:rFonts w:cs="Times New Roman"/>
      <w:sz w:val="22"/>
      <w:szCs w:val="22"/>
    </w:rPr>
  </w:style>
  <w:style w:type="paragraph" w:styleId="11">
    <w:name w:val="heading 1"/>
    <w:basedOn w:val="a1"/>
    <w:next w:val="a1"/>
    <w:link w:val="12"/>
    <w:uiPriority w:val="9"/>
    <w:qFormat/>
    <w:rsid w:val="00AE19E2"/>
    <w:pPr>
      <w:keepNext/>
      <w:keepLines/>
      <w:spacing w:before="400" w:after="120" w:line="276" w:lineRule="auto"/>
      <w:jc w:val="center"/>
      <w:outlineLvl w:val="0"/>
    </w:pPr>
    <w:rPr>
      <w:rFonts w:ascii="Times New Roman" w:hAnsi="Times New Roman" w:cs="Arial"/>
      <w:b/>
      <w:sz w:val="28"/>
      <w:szCs w:val="40"/>
    </w:rPr>
  </w:style>
  <w:style w:type="paragraph" w:styleId="20">
    <w:name w:val="heading 2"/>
    <w:aliases w:val="Заголовок 2 отчет"/>
    <w:basedOn w:val="a1"/>
    <w:next w:val="a1"/>
    <w:link w:val="21"/>
    <w:uiPriority w:val="9"/>
    <w:qFormat/>
    <w:rsid w:val="00AE19E2"/>
    <w:pPr>
      <w:keepNext/>
      <w:keepLines/>
      <w:spacing w:before="360" w:after="120" w:line="276" w:lineRule="auto"/>
      <w:outlineLvl w:val="1"/>
    </w:pPr>
    <w:rPr>
      <w:rFonts w:ascii="Arial" w:hAnsi="Arial" w:cs="Arial"/>
      <w:sz w:val="32"/>
      <w:szCs w:val="32"/>
    </w:rPr>
  </w:style>
  <w:style w:type="paragraph" w:styleId="3">
    <w:name w:val="heading 3"/>
    <w:basedOn w:val="a1"/>
    <w:next w:val="a1"/>
    <w:link w:val="30"/>
    <w:uiPriority w:val="9"/>
    <w:qFormat/>
    <w:rsid w:val="00AE19E2"/>
    <w:pPr>
      <w:keepNext/>
      <w:keepLines/>
      <w:spacing w:before="320" w:after="80" w:line="276" w:lineRule="auto"/>
      <w:outlineLvl w:val="2"/>
    </w:pPr>
    <w:rPr>
      <w:rFonts w:ascii="Arial" w:hAnsi="Arial" w:cs="Arial"/>
      <w:color w:val="434343"/>
      <w:sz w:val="28"/>
      <w:szCs w:val="28"/>
    </w:rPr>
  </w:style>
  <w:style w:type="paragraph" w:styleId="4">
    <w:name w:val="heading 4"/>
    <w:basedOn w:val="a1"/>
    <w:next w:val="a1"/>
    <w:link w:val="40"/>
    <w:uiPriority w:val="9"/>
    <w:qFormat/>
    <w:rsid w:val="00AE19E2"/>
    <w:pPr>
      <w:keepNext/>
      <w:keepLines/>
      <w:spacing w:before="280" w:after="80" w:line="276" w:lineRule="auto"/>
      <w:outlineLvl w:val="3"/>
    </w:pPr>
    <w:rPr>
      <w:rFonts w:ascii="Arial" w:hAnsi="Arial" w:cs="Arial"/>
      <w:color w:val="666666"/>
      <w:sz w:val="24"/>
      <w:szCs w:val="24"/>
    </w:rPr>
  </w:style>
  <w:style w:type="paragraph" w:styleId="5">
    <w:name w:val="heading 5"/>
    <w:basedOn w:val="a1"/>
    <w:next w:val="a1"/>
    <w:link w:val="50"/>
    <w:uiPriority w:val="99"/>
    <w:qFormat/>
    <w:rsid w:val="00AE19E2"/>
    <w:pPr>
      <w:keepNext/>
      <w:keepLines/>
      <w:spacing w:before="240" w:after="80" w:line="276" w:lineRule="auto"/>
      <w:outlineLvl w:val="4"/>
    </w:pPr>
    <w:rPr>
      <w:rFonts w:ascii="Arial" w:hAnsi="Arial" w:cs="Arial"/>
      <w:color w:val="666666"/>
    </w:rPr>
  </w:style>
  <w:style w:type="paragraph" w:styleId="6">
    <w:name w:val="heading 6"/>
    <w:basedOn w:val="a1"/>
    <w:next w:val="a1"/>
    <w:link w:val="60"/>
    <w:uiPriority w:val="99"/>
    <w:qFormat/>
    <w:rsid w:val="00AE19E2"/>
    <w:pPr>
      <w:keepNext/>
      <w:keepLines/>
      <w:spacing w:before="240" w:after="80" w:line="276" w:lineRule="auto"/>
      <w:outlineLvl w:val="5"/>
    </w:pPr>
    <w:rPr>
      <w:rFonts w:ascii="Arial" w:hAnsi="Arial" w:cs="Arial"/>
      <w:i/>
      <w:color w:val="666666"/>
    </w:rPr>
  </w:style>
  <w:style w:type="paragraph" w:styleId="7">
    <w:name w:val="heading 7"/>
    <w:basedOn w:val="a1"/>
    <w:next w:val="a1"/>
    <w:link w:val="70"/>
    <w:uiPriority w:val="99"/>
    <w:unhideWhenUsed/>
    <w:qFormat/>
    <w:rsid w:val="00AE19E2"/>
    <w:pPr>
      <w:spacing w:after="0" w:line="276" w:lineRule="auto"/>
      <w:jc w:val="center"/>
      <w:outlineLvl w:val="6"/>
    </w:pPr>
    <w:rPr>
      <w:rFonts w:ascii="Times New Roman" w:hAnsi="Times New Roman"/>
      <w:b/>
      <w:sz w:val="28"/>
      <w:szCs w:val="28"/>
    </w:rPr>
  </w:style>
  <w:style w:type="paragraph" w:styleId="8">
    <w:name w:val="heading 8"/>
    <w:basedOn w:val="a1"/>
    <w:next w:val="a1"/>
    <w:link w:val="80"/>
    <w:uiPriority w:val="99"/>
    <w:unhideWhenUsed/>
    <w:qFormat/>
    <w:rsid w:val="00AE19E2"/>
    <w:pPr>
      <w:keepNext/>
      <w:keepLines/>
      <w:spacing w:before="320" w:after="200" w:line="276" w:lineRule="auto"/>
      <w:outlineLvl w:val="7"/>
    </w:pPr>
    <w:rPr>
      <w:rFonts w:ascii="Arial" w:hAnsi="Arial" w:cs="Arial"/>
      <w:i/>
      <w:iCs/>
    </w:rPr>
  </w:style>
  <w:style w:type="paragraph" w:styleId="9">
    <w:name w:val="heading 9"/>
    <w:basedOn w:val="a1"/>
    <w:next w:val="a1"/>
    <w:link w:val="90"/>
    <w:uiPriority w:val="99"/>
    <w:unhideWhenUsed/>
    <w:qFormat/>
    <w:rsid w:val="00AE19E2"/>
    <w:pPr>
      <w:keepNext/>
      <w:keepLines/>
      <w:spacing w:before="320" w:after="200" w:line="276" w:lineRule="auto"/>
      <w:outlineLvl w:val="8"/>
    </w:pPr>
    <w:rPr>
      <w:rFonts w:ascii="Arial" w:hAnsi="Arial" w:cs="Arial"/>
      <w:i/>
      <w:iCs/>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2">
    <w:name w:val="Заголовок 1 Знак"/>
    <w:basedOn w:val="a2"/>
    <w:link w:val="11"/>
    <w:uiPriority w:val="9"/>
    <w:locked/>
    <w:rsid w:val="00AE19E2"/>
    <w:rPr>
      <w:rFonts w:ascii="Times New Roman" w:hAnsi="Times New Roman" w:cs="Times New Roman"/>
      <w:b/>
      <w:sz w:val="40"/>
    </w:rPr>
  </w:style>
  <w:style w:type="character" w:customStyle="1" w:styleId="21">
    <w:name w:val="Заголовок 2 Знак"/>
    <w:aliases w:val="Заголовок 2 отчет Знак"/>
    <w:basedOn w:val="a2"/>
    <w:link w:val="20"/>
    <w:uiPriority w:val="9"/>
    <w:locked/>
    <w:rsid w:val="00AE19E2"/>
    <w:rPr>
      <w:rFonts w:ascii="Arial" w:hAnsi="Arial" w:cs="Times New Roman"/>
      <w:sz w:val="32"/>
    </w:rPr>
  </w:style>
  <w:style w:type="character" w:customStyle="1" w:styleId="30">
    <w:name w:val="Заголовок 3 Знак"/>
    <w:basedOn w:val="a2"/>
    <w:link w:val="3"/>
    <w:uiPriority w:val="9"/>
    <w:locked/>
    <w:rsid w:val="00AE19E2"/>
    <w:rPr>
      <w:rFonts w:ascii="Arial" w:hAnsi="Arial" w:cs="Times New Roman"/>
      <w:color w:val="434343"/>
      <w:sz w:val="28"/>
    </w:rPr>
  </w:style>
  <w:style w:type="character" w:customStyle="1" w:styleId="40">
    <w:name w:val="Заголовок 4 Знак"/>
    <w:basedOn w:val="a2"/>
    <w:link w:val="4"/>
    <w:uiPriority w:val="9"/>
    <w:locked/>
    <w:rsid w:val="00AE19E2"/>
    <w:rPr>
      <w:rFonts w:ascii="Arial" w:hAnsi="Arial" w:cs="Times New Roman"/>
      <w:color w:val="666666"/>
      <w:sz w:val="24"/>
    </w:rPr>
  </w:style>
  <w:style w:type="character" w:customStyle="1" w:styleId="50">
    <w:name w:val="Заголовок 5 Знак"/>
    <w:basedOn w:val="a2"/>
    <w:link w:val="5"/>
    <w:uiPriority w:val="99"/>
    <w:locked/>
    <w:rsid w:val="00AE19E2"/>
    <w:rPr>
      <w:rFonts w:ascii="Arial" w:hAnsi="Arial" w:cs="Times New Roman"/>
      <w:color w:val="666666"/>
    </w:rPr>
  </w:style>
  <w:style w:type="character" w:customStyle="1" w:styleId="60">
    <w:name w:val="Заголовок 6 Знак"/>
    <w:basedOn w:val="a2"/>
    <w:link w:val="6"/>
    <w:uiPriority w:val="99"/>
    <w:locked/>
    <w:rsid w:val="00AE19E2"/>
    <w:rPr>
      <w:rFonts w:ascii="Arial" w:hAnsi="Arial" w:cs="Times New Roman"/>
      <w:i/>
      <w:color w:val="666666"/>
    </w:rPr>
  </w:style>
  <w:style w:type="character" w:customStyle="1" w:styleId="70">
    <w:name w:val="Заголовок 7 Знак"/>
    <w:basedOn w:val="a2"/>
    <w:link w:val="7"/>
    <w:uiPriority w:val="99"/>
    <w:locked/>
    <w:rsid w:val="00AE19E2"/>
    <w:rPr>
      <w:rFonts w:ascii="Times New Roman" w:hAnsi="Times New Roman" w:cs="Times New Roman"/>
      <w:b/>
      <w:sz w:val="28"/>
    </w:rPr>
  </w:style>
  <w:style w:type="character" w:customStyle="1" w:styleId="80">
    <w:name w:val="Заголовок 8 Знак"/>
    <w:basedOn w:val="a2"/>
    <w:link w:val="8"/>
    <w:uiPriority w:val="99"/>
    <w:locked/>
    <w:rsid w:val="00AE19E2"/>
    <w:rPr>
      <w:rFonts w:ascii="Arial" w:hAnsi="Arial" w:cs="Times New Roman"/>
      <w:i/>
    </w:rPr>
  </w:style>
  <w:style w:type="character" w:customStyle="1" w:styleId="90">
    <w:name w:val="Заголовок 9 Знак"/>
    <w:basedOn w:val="a2"/>
    <w:link w:val="9"/>
    <w:uiPriority w:val="99"/>
    <w:locked/>
    <w:rsid w:val="00AE19E2"/>
    <w:rPr>
      <w:rFonts w:ascii="Arial" w:hAnsi="Arial" w:cs="Times New Roman"/>
      <w:i/>
      <w:sz w:val="21"/>
    </w:rPr>
  </w:style>
  <w:style w:type="paragraph" w:customStyle="1" w:styleId="ConsPlusNormal">
    <w:name w:val="ConsPlusNormal"/>
    <w:pPr>
      <w:widowControl w:val="0"/>
      <w:autoSpaceDE w:val="0"/>
      <w:autoSpaceDN w:val="0"/>
      <w:adjustRightInd w:val="0"/>
    </w:pPr>
    <w:rPr>
      <w:rFonts w:ascii="Times New Roman" w:hAnsi="Times New Roman" w:cs="Times New Roman"/>
      <w:sz w:val="24"/>
      <w:szCs w:val="24"/>
    </w:rPr>
  </w:style>
  <w:style w:type="paragraph" w:customStyle="1" w:styleId="ConsPlusNonformat">
    <w:name w:val="ConsPlusNonformat"/>
    <w:uiPriority w:val="99"/>
    <w:pPr>
      <w:widowControl w:val="0"/>
      <w:autoSpaceDE w:val="0"/>
      <w:autoSpaceDN w:val="0"/>
      <w:adjustRightInd w:val="0"/>
    </w:pPr>
    <w:rPr>
      <w:rFonts w:ascii="Courier New" w:hAnsi="Courier New" w:cs="Courier New"/>
    </w:rPr>
  </w:style>
  <w:style w:type="paragraph" w:customStyle="1" w:styleId="ConsPlusTitle">
    <w:name w:val="ConsPlusTitle"/>
    <w:uiPriority w:val="99"/>
    <w:pPr>
      <w:widowControl w:val="0"/>
      <w:autoSpaceDE w:val="0"/>
      <w:autoSpaceDN w:val="0"/>
      <w:adjustRightInd w:val="0"/>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pPr>
    <w:rPr>
      <w:rFonts w:ascii="Courier New" w:hAnsi="Courier New" w:cs="Courier New"/>
    </w:rPr>
  </w:style>
  <w:style w:type="paragraph" w:customStyle="1" w:styleId="ConsPlusDocList">
    <w:name w:val="ConsPlusDocList"/>
    <w:uiPriority w:val="99"/>
    <w:pPr>
      <w:widowControl w:val="0"/>
      <w:autoSpaceDE w:val="0"/>
      <w:autoSpaceDN w:val="0"/>
      <w:adjustRightInd w:val="0"/>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pPr>
    <w:rPr>
      <w:rFonts w:ascii="Times New Roman" w:hAnsi="Times New Roman" w:cs="Times New Roman"/>
      <w:sz w:val="24"/>
      <w:szCs w:val="24"/>
    </w:rPr>
  </w:style>
  <w:style w:type="paragraph" w:customStyle="1" w:styleId="ConsPlusTextList">
    <w:name w:val="ConsPlusTextList"/>
    <w:uiPriority w:val="99"/>
    <w:pPr>
      <w:widowControl w:val="0"/>
      <w:autoSpaceDE w:val="0"/>
      <w:autoSpaceDN w:val="0"/>
      <w:adjustRightInd w:val="0"/>
    </w:pPr>
    <w:rPr>
      <w:rFonts w:ascii="Times New Roman" w:hAnsi="Times New Roman" w:cs="Times New Roman"/>
      <w:sz w:val="24"/>
      <w:szCs w:val="24"/>
    </w:rPr>
  </w:style>
  <w:style w:type="paragraph" w:customStyle="1" w:styleId="ConsPlusTextList1">
    <w:name w:val="ConsPlusTextList1"/>
    <w:uiPriority w:val="99"/>
    <w:pPr>
      <w:widowControl w:val="0"/>
      <w:autoSpaceDE w:val="0"/>
      <w:autoSpaceDN w:val="0"/>
      <w:adjustRightInd w:val="0"/>
    </w:pPr>
    <w:rPr>
      <w:rFonts w:ascii="Times New Roman" w:hAnsi="Times New Roman" w:cs="Times New Roman"/>
      <w:sz w:val="24"/>
      <w:szCs w:val="24"/>
    </w:rPr>
  </w:style>
  <w:style w:type="paragraph" w:styleId="a5">
    <w:name w:val="header"/>
    <w:basedOn w:val="a1"/>
    <w:link w:val="a6"/>
    <w:uiPriority w:val="99"/>
    <w:unhideWhenUsed/>
    <w:rsid w:val="00370181"/>
    <w:pPr>
      <w:tabs>
        <w:tab w:val="center" w:pos="4677"/>
        <w:tab w:val="right" w:pos="9355"/>
      </w:tabs>
    </w:pPr>
  </w:style>
  <w:style w:type="character" w:customStyle="1" w:styleId="a6">
    <w:name w:val="Верхний колонтитул Знак"/>
    <w:basedOn w:val="a2"/>
    <w:link w:val="a5"/>
    <w:uiPriority w:val="99"/>
    <w:locked/>
    <w:rsid w:val="00370181"/>
    <w:rPr>
      <w:rFonts w:cs="Times New Roman"/>
    </w:rPr>
  </w:style>
  <w:style w:type="paragraph" w:styleId="a7">
    <w:name w:val="footer"/>
    <w:aliases w:val="Знак Знак"/>
    <w:basedOn w:val="a1"/>
    <w:link w:val="a8"/>
    <w:uiPriority w:val="99"/>
    <w:unhideWhenUsed/>
    <w:rsid w:val="00370181"/>
    <w:pPr>
      <w:tabs>
        <w:tab w:val="center" w:pos="4677"/>
        <w:tab w:val="right" w:pos="9355"/>
      </w:tabs>
    </w:pPr>
  </w:style>
  <w:style w:type="character" w:customStyle="1" w:styleId="a8">
    <w:name w:val="Нижний колонтитул Знак"/>
    <w:aliases w:val="Знак Знак Знак"/>
    <w:basedOn w:val="a2"/>
    <w:link w:val="a7"/>
    <w:uiPriority w:val="99"/>
    <w:locked/>
    <w:rsid w:val="00370181"/>
    <w:rPr>
      <w:rFonts w:cs="Times New Roman"/>
    </w:rPr>
  </w:style>
  <w:style w:type="character" w:customStyle="1" w:styleId="Heading7Char">
    <w:name w:val="Heading 7 Char"/>
    <w:uiPriority w:val="9"/>
    <w:rsid w:val="00AE19E2"/>
    <w:rPr>
      <w:rFonts w:ascii="Arial" w:hAnsi="Arial"/>
      <w:b/>
      <w:i/>
      <w:sz w:val="22"/>
    </w:rPr>
  </w:style>
  <w:style w:type="paragraph" w:styleId="a9">
    <w:name w:val="No Spacing"/>
    <w:link w:val="aa"/>
    <w:uiPriority w:val="1"/>
    <w:qFormat/>
    <w:rsid w:val="00AE19E2"/>
    <w:rPr>
      <w:rFonts w:ascii="Arial" w:hAnsi="Arial" w:cs="Arial"/>
      <w:sz w:val="22"/>
      <w:szCs w:val="22"/>
    </w:rPr>
  </w:style>
  <w:style w:type="character" w:customStyle="1" w:styleId="ab">
    <w:name w:val="Заголовок Знак"/>
    <w:link w:val="ac"/>
    <w:uiPriority w:val="10"/>
    <w:locked/>
    <w:rsid w:val="00AE19E2"/>
    <w:rPr>
      <w:sz w:val="48"/>
    </w:rPr>
  </w:style>
  <w:style w:type="character" w:customStyle="1" w:styleId="ad">
    <w:name w:val="Подзаголовок Знак"/>
    <w:link w:val="ae"/>
    <w:uiPriority w:val="11"/>
    <w:locked/>
    <w:rsid w:val="00AE19E2"/>
    <w:rPr>
      <w:sz w:val="24"/>
    </w:rPr>
  </w:style>
  <w:style w:type="paragraph" w:styleId="22">
    <w:name w:val="Quote"/>
    <w:basedOn w:val="a1"/>
    <w:next w:val="a1"/>
    <w:link w:val="23"/>
    <w:uiPriority w:val="29"/>
    <w:qFormat/>
    <w:rsid w:val="00AE19E2"/>
    <w:pPr>
      <w:spacing w:after="0" w:line="276" w:lineRule="auto"/>
      <w:ind w:left="720" w:right="720"/>
    </w:pPr>
    <w:rPr>
      <w:rFonts w:ascii="Arial" w:hAnsi="Arial" w:cs="Arial"/>
      <w:i/>
    </w:rPr>
  </w:style>
  <w:style w:type="character" w:customStyle="1" w:styleId="23">
    <w:name w:val="Цитата 2 Знак"/>
    <w:basedOn w:val="a2"/>
    <w:link w:val="22"/>
    <w:uiPriority w:val="29"/>
    <w:locked/>
    <w:rsid w:val="00AE19E2"/>
    <w:rPr>
      <w:rFonts w:ascii="Arial" w:hAnsi="Arial" w:cs="Times New Roman"/>
      <w:i/>
    </w:rPr>
  </w:style>
  <w:style w:type="paragraph" w:styleId="af">
    <w:name w:val="Intense Quote"/>
    <w:basedOn w:val="a1"/>
    <w:next w:val="a1"/>
    <w:link w:val="af0"/>
    <w:uiPriority w:val="30"/>
    <w:qFormat/>
    <w:rsid w:val="00AE19E2"/>
    <w:pPr>
      <w:pBdr>
        <w:top w:val="single" w:sz="4" w:space="5" w:color="FFFFFF"/>
        <w:left w:val="single" w:sz="4" w:space="10" w:color="FFFFFF"/>
        <w:bottom w:val="single" w:sz="4" w:space="5" w:color="FFFFFF"/>
        <w:right w:val="single" w:sz="4" w:space="10" w:color="FFFFFF"/>
      </w:pBdr>
      <w:shd w:val="clear" w:color="auto" w:fill="F2F2F2"/>
      <w:spacing w:after="0" w:line="276" w:lineRule="auto"/>
      <w:ind w:left="720" w:right="720"/>
    </w:pPr>
    <w:rPr>
      <w:rFonts w:ascii="Arial" w:hAnsi="Arial" w:cs="Arial"/>
      <w:i/>
    </w:rPr>
  </w:style>
  <w:style w:type="character" w:customStyle="1" w:styleId="af0">
    <w:name w:val="Выделенная цитата Знак"/>
    <w:basedOn w:val="a2"/>
    <w:link w:val="af"/>
    <w:uiPriority w:val="30"/>
    <w:locked/>
    <w:rsid w:val="00AE19E2"/>
    <w:rPr>
      <w:rFonts w:ascii="Arial" w:hAnsi="Arial" w:cs="Times New Roman"/>
      <w:i/>
      <w:shd w:val="clear" w:color="auto" w:fill="F2F2F2"/>
    </w:rPr>
  </w:style>
  <w:style w:type="character" w:customStyle="1" w:styleId="HeaderChar">
    <w:name w:val="Header Char"/>
    <w:uiPriority w:val="99"/>
    <w:rsid w:val="00AE19E2"/>
  </w:style>
  <w:style w:type="character" w:customStyle="1" w:styleId="FooterChar">
    <w:name w:val="Footer Char"/>
    <w:uiPriority w:val="99"/>
    <w:rsid w:val="00AE19E2"/>
  </w:style>
  <w:style w:type="paragraph" w:customStyle="1" w:styleId="CaptionPic1">
    <w:name w:val="CaptionPic1"/>
    <w:basedOn w:val="a1"/>
    <w:next w:val="a1"/>
    <w:uiPriority w:val="35"/>
    <w:unhideWhenUsed/>
    <w:qFormat/>
    <w:rsid w:val="00AE19E2"/>
    <w:pPr>
      <w:spacing w:after="0" w:line="276" w:lineRule="auto"/>
    </w:pPr>
    <w:rPr>
      <w:rFonts w:ascii="Arial" w:hAnsi="Arial" w:cs="Arial"/>
      <w:b/>
      <w:bCs/>
      <w:color w:val="4F81BD"/>
      <w:sz w:val="18"/>
      <w:szCs w:val="18"/>
    </w:rPr>
  </w:style>
  <w:style w:type="character" w:customStyle="1" w:styleId="CaptionChar">
    <w:name w:val="Caption Char"/>
    <w:uiPriority w:val="99"/>
    <w:rsid w:val="00AE19E2"/>
  </w:style>
  <w:style w:type="table" w:customStyle="1" w:styleId="TableGridLight">
    <w:name w:val="Table Grid Light"/>
    <w:basedOn w:val="a3"/>
    <w:uiPriority w:val="59"/>
    <w:rsid w:val="00AE19E2"/>
    <w:rPr>
      <w:rFonts w:ascii="Arial" w:hAnsi="Arial" w:cs="Arial"/>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0">
    <w:name w:val="Таблица простая 11"/>
    <w:basedOn w:val="a3"/>
    <w:uiPriority w:val="59"/>
    <w:rsid w:val="00AE19E2"/>
    <w:rPr>
      <w:rFonts w:ascii="Arial" w:hAnsi="Arial" w:cs="Arial"/>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cs="Arial"/>
        <w:b/>
        <w:color w:val="404040"/>
        <w:sz w:val="22"/>
      </w:rPr>
    </w:tblStylePr>
    <w:tblStylePr w:type="lastRow">
      <w:rPr>
        <w:rFonts w:ascii="Arial" w:hAnsi="Arial" w:cs="Arial"/>
        <w:b/>
        <w:color w:val="404040"/>
        <w:sz w:val="22"/>
      </w:rPr>
    </w:tblStylePr>
    <w:tblStylePr w:type="firstCol">
      <w:rPr>
        <w:rFonts w:ascii="Arial" w:hAnsi="Arial" w:cs="Arial"/>
        <w:b/>
        <w:color w:val="404040"/>
        <w:sz w:val="22"/>
      </w:rPr>
    </w:tblStylePr>
    <w:tblStylePr w:type="lastCol">
      <w:rPr>
        <w:rFonts w:ascii="Arial" w:hAnsi="Arial" w:cs="Arial"/>
        <w:b/>
        <w:color w:val="404040"/>
        <w:sz w:val="22"/>
      </w:rPr>
    </w:tblStylePr>
    <w:tblStylePr w:type="band1Vert">
      <w:rPr>
        <w:rFonts w:cs="Arial"/>
      </w:rPr>
      <w:tblPr/>
      <w:tcPr>
        <w:shd w:val="clear" w:color="F2F2F2" w:fill="auto"/>
      </w:tcPr>
    </w:tblStylePr>
    <w:tblStylePr w:type="band1Horz">
      <w:rPr>
        <w:rFonts w:cs="Arial"/>
      </w:rPr>
      <w:tblPr/>
      <w:tcPr>
        <w:shd w:val="clear" w:color="F2F2F2" w:fill="auto"/>
      </w:tcPr>
    </w:tblStylePr>
  </w:style>
  <w:style w:type="table" w:customStyle="1" w:styleId="210">
    <w:name w:val="Таблица простая 21"/>
    <w:basedOn w:val="a3"/>
    <w:uiPriority w:val="59"/>
    <w:rsid w:val="00AE19E2"/>
    <w:rPr>
      <w:rFonts w:ascii="Arial" w:hAnsi="Arial" w:cs="Arial"/>
    </w:rPr>
    <w:tblPr>
      <w:tblBorders>
        <w:top w:val="single" w:sz="4" w:space="0" w:color="000000"/>
        <w:left w:val="none" w:sz="4" w:space="0" w:color="000000"/>
        <w:bottom w:val="single" w:sz="4" w:space="0" w:color="000000"/>
        <w:right w:val="none" w:sz="4" w:space="0" w:color="000000"/>
      </w:tblBorders>
    </w:tblPr>
    <w:tblStylePr w:type="firstRow">
      <w:rPr>
        <w:rFonts w:ascii="Arial" w:hAnsi="Arial" w:cs="Arial"/>
        <w:b/>
        <w:color w:val="404040"/>
        <w:sz w:val="22"/>
      </w:rPr>
      <w:tblPr/>
      <w:tcPr>
        <w:tcBorders>
          <w:top w:val="single" w:sz="4" w:space="0" w:color="000000"/>
          <w:bottom w:val="single" w:sz="4" w:space="0" w:color="000000"/>
        </w:tcBorders>
      </w:tcPr>
    </w:tblStylePr>
    <w:tblStylePr w:type="lastRow">
      <w:rPr>
        <w:rFonts w:ascii="Arial" w:hAnsi="Arial" w:cs="Arial"/>
        <w:b/>
        <w:color w:val="404040"/>
        <w:sz w:val="22"/>
      </w:rPr>
    </w:tblStylePr>
    <w:tblStylePr w:type="firstCol">
      <w:rPr>
        <w:rFonts w:ascii="Arial" w:hAnsi="Arial" w:cs="Arial"/>
        <w:b/>
        <w:color w:val="404040"/>
        <w:sz w:val="22"/>
      </w:rPr>
    </w:tblStylePr>
    <w:tblStylePr w:type="lastCol">
      <w:rPr>
        <w:rFonts w:ascii="Arial" w:hAnsi="Arial" w:cs="Arial"/>
        <w:b/>
        <w:color w:val="404040"/>
        <w:sz w:val="22"/>
      </w:rPr>
    </w:tblStylePr>
    <w:tblStylePr w:type="band1Vert">
      <w:rPr>
        <w:rFonts w:cs="Arial"/>
      </w:rPr>
      <w:tblPr/>
      <w:tcPr>
        <w:tcBorders>
          <w:left w:val="single" w:sz="4" w:space="0" w:color="000000"/>
          <w:right w:val="single" w:sz="4" w:space="0" w:color="000000"/>
        </w:tcBorders>
      </w:tcPr>
    </w:tblStylePr>
    <w:tblStylePr w:type="band2Vert">
      <w:rPr>
        <w:rFonts w:cs="Arial"/>
      </w:rPr>
      <w:tblPr/>
      <w:tcPr>
        <w:tcBorders>
          <w:left w:val="single" w:sz="4" w:space="0" w:color="000000"/>
          <w:right w:val="single" w:sz="4" w:space="0" w:color="000000"/>
        </w:tcBorders>
      </w:tcPr>
    </w:tblStylePr>
    <w:tblStylePr w:type="band1Horz">
      <w:rPr>
        <w:rFonts w:cs="Arial"/>
      </w:rPr>
      <w:tblPr/>
      <w:tcPr>
        <w:tcBorders>
          <w:top w:val="single" w:sz="4" w:space="0" w:color="000000"/>
          <w:bottom w:val="single" w:sz="4" w:space="0" w:color="000000"/>
        </w:tcBorders>
      </w:tcPr>
    </w:tblStylePr>
  </w:style>
  <w:style w:type="table" w:customStyle="1" w:styleId="31">
    <w:name w:val="Таблица простая 31"/>
    <w:basedOn w:val="a3"/>
    <w:uiPriority w:val="99"/>
    <w:rsid w:val="00AE19E2"/>
    <w:rPr>
      <w:rFonts w:ascii="Arial" w:hAnsi="Arial" w:cs="Arial"/>
    </w:rPr>
    <w:tblPr>
      <w:tblStyleRowBandSize w:val="1"/>
      <w:tblStyleColBandSize w:val="1"/>
    </w:tblPr>
    <w:tblStylePr w:type="firstRow">
      <w:rPr>
        <w:rFonts w:cs="Arial"/>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rFonts w:cs="Arial"/>
        <w:b/>
        <w:caps/>
        <w:color w:val="404040"/>
      </w:rPr>
    </w:tblStylePr>
    <w:tblStylePr w:type="firstCol">
      <w:rPr>
        <w:rFonts w:cs="Arial"/>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rFonts w:cs="Arial"/>
        <w:b/>
        <w:caps/>
        <w:color w:val="404040"/>
      </w:rPr>
    </w:tblStylePr>
    <w:tblStylePr w:type="band1Vert">
      <w:rPr>
        <w:rFonts w:ascii="Arial" w:hAnsi="Arial" w:cs="Arial"/>
        <w:color w:val="404040"/>
        <w:sz w:val="22"/>
      </w:rPr>
      <w:tblPr/>
      <w:tcPr>
        <w:shd w:val="clear" w:color="F2F2F2" w:fill="auto"/>
      </w:tcPr>
    </w:tblStylePr>
    <w:tblStylePr w:type="band1Horz">
      <w:rPr>
        <w:rFonts w:ascii="Arial" w:hAnsi="Arial" w:cs="Arial"/>
        <w:color w:val="404040"/>
        <w:sz w:val="22"/>
      </w:rPr>
      <w:tblPr/>
      <w:tcPr>
        <w:shd w:val="clear" w:color="F2F2F2" w:fill="auto"/>
      </w:tcPr>
    </w:tblStylePr>
  </w:style>
  <w:style w:type="table" w:customStyle="1" w:styleId="41">
    <w:name w:val="Таблица простая 41"/>
    <w:basedOn w:val="a3"/>
    <w:uiPriority w:val="99"/>
    <w:rsid w:val="00AE19E2"/>
    <w:rPr>
      <w:rFonts w:ascii="Arial" w:hAnsi="Arial" w:cs="Arial"/>
    </w:rPr>
    <w:tblPr>
      <w:tblStyleRowBandSize w:val="1"/>
      <w:tblStyleColBandSize w:val="1"/>
    </w:tblPr>
    <w:tblStylePr w:type="firstRow">
      <w:rPr>
        <w:rFonts w:cs="Arial"/>
        <w:b/>
        <w:color w:val="404040"/>
      </w:rPr>
    </w:tblStylePr>
    <w:tblStylePr w:type="lastRow">
      <w:rPr>
        <w:rFonts w:cs="Arial"/>
        <w:b/>
        <w:color w:val="404040"/>
      </w:rPr>
    </w:tblStylePr>
    <w:tblStylePr w:type="firstCol">
      <w:rPr>
        <w:rFonts w:cs="Arial"/>
        <w:b/>
        <w:color w:val="404040"/>
      </w:rPr>
    </w:tblStylePr>
    <w:tblStylePr w:type="lastCol">
      <w:rPr>
        <w:rFonts w:cs="Arial"/>
        <w:b/>
        <w:color w:val="404040"/>
      </w:rPr>
    </w:tblStylePr>
    <w:tblStylePr w:type="band1Vert">
      <w:rPr>
        <w:rFonts w:ascii="Arial" w:hAnsi="Arial" w:cs="Arial"/>
        <w:color w:val="404040"/>
        <w:sz w:val="22"/>
      </w:rPr>
      <w:tblPr/>
      <w:tcPr>
        <w:shd w:val="clear" w:color="F2F2F2" w:fill="auto"/>
      </w:tcPr>
    </w:tblStylePr>
    <w:tblStylePr w:type="band1Horz">
      <w:rPr>
        <w:rFonts w:ascii="Arial" w:hAnsi="Arial" w:cs="Arial"/>
        <w:color w:val="404040"/>
        <w:sz w:val="22"/>
      </w:rPr>
      <w:tblPr/>
      <w:tcPr>
        <w:shd w:val="clear" w:color="F2F2F2" w:fill="auto"/>
      </w:tcPr>
    </w:tblStylePr>
  </w:style>
  <w:style w:type="table" w:customStyle="1" w:styleId="51">
    <w:name w:val="Таблица простая 51"/>
    <w:basedOn w:val="a3"/>
    <w:uiPriority w:val="99"/>
    <w:rsid w:val="00AE19E2"/>
    <w:rPr>
      <w:rFonts w:ascii="Arial" w:hAnsi="Arial" w:cs="Arial"/>
    </w:rPr>
    <w:tblPr>
      <w:tblStyleRowBandSize w:val="1"/>
      <w:tblStyleColBandSize w:val="1"/>
    </w:tblPr>
    <w:tblStylePr w:type="firstRow">
      <w:rPr>
        <w:rFonts w:cs="Arial"/>
        <w:i/>
        <w:color w:val="404040"/>
      </w:rPr>
      <w:tblPr/>
      <w:tcPr>
        <w:tcBorders>
          <w:left w:val="none" w:sz="4" w:space="0" w:color="000000"/>
          <w:bottom w:val="single" w:sz="4" w:space="0" w:color="404040"/>
          <w:right w:val="none" w:sz="4" w:space="0" w:color="000000"/>
        </w:tcBorders>
        <w:shd w:val="clear" w:color="FFFFFF" w:fill="auto"/>
      </w:tcPr>
    </w:tblStylePr>
    <w:tblStylePr w:type="lastRow">
      <w:rPr>
        <w:rFonts w:cs="Arial"/>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rFonts w:cs="Arial"/>
        <w:i/>
        <w:color w:val="404040"/>
      </w:rPr>
      <w:tblPr/>
      <w:tcPr>
        <w:tcBorders>
          <w:right w:val="single" w:sz="4" w:space="0" w:color="404040"/>
        </w:tcBorders>
        <w:shd w:val="clear" w:color="FFFFFF" w:fill="auto"/>
      </w:tcPr>
    </w:tblStylePr>
    <w:tblStylePr w:type="lastCol">
      <w:rPr>
        <w:rFonts w:cs="Arial"/>
        <w:i/>
        <w:color w:val="404040"/>
      </w:rPr>
      <w:tblPr/>
      <w:tcPr>
        <w:tcBorders>
          <w:left w:val="single" w:sz="4" w:space="0" w:color="404040"/>
        </w:tcBorders>
        <w:shd w:val="clear" w:color="FFFFFF" w:fill="auto"/>
      </w:tcPr>
    </w:tblStylePr>
    <w:tblStylePr w:type="band1Vert">
      <w:rPr>
        <w:rFonts w:ascii="Arial" w:hAnsi="Arial" w:cs="Arial"/>
        <w:color w:val="404040"/>
        <w:sz w:val="22"/>
      </w:rPr>
      <w:tblPr/>
      <w:tcPr>
        <w:shd w:val="clear" w:color="F2F2F2" w:fill="auto"/>
      </w:tcPr>
    </w:tblStylePr>
    <w:tblStylePr w:type="band1Horz">
      <w:rPr>
        <w:rFonts w:ascii="Arial" w:hAnsi="Arial" w:cs="Arial"/>
        <w:color w:val="404040"/>
        <w:sz w:val="22"/>
      </w:rPr>
      <w:tblPr/>
      <w:tcPr>
        <w:shd w:val="clear" w:color="F2F2F2" w:fill="auto"/>
      </w:tcPr>
    </w:tblStylePr>
  </w:style>
  <w:style w:type="table" w:customStyle="1" w:styleId="-11">
    <w:name w:val="Таблица-сетка 1 светлая1"/>
    <w:basedOn w:val="a3"/>
    <w:uiPriority w:val="99"/>
    <w:rsid w:val="00AE19E2"/>
    <w:rPr>
      <w:rFonts w:ascii="Arial" w:hAnsi="Arial" w:cs="Arial"/>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rFonts w:cs="Arial"/>
        <w:b/>
        <w:color w:val="404040"/>
      </w:rPr>
      <w:tblPr/>
      <w:tcPr>
        <w:tcBorders>
          <w:bottom w:val="single" w:sz="12" w:space="0" w:color="6A6A6A"/>
        </w:tcBorders>
      </w:tcPr>
    </w:tblStylePr>
    <w:tblStylePr w:type="lastRow">
      <w:rPr>
        <w:rFonts w:cs="Arial"/>
        <w:b/>
        <w:color w:val="404040"/>
      </w:rPr>
    </w:tblStylePr>
    <w:tblStylePr w:type="firstCol">
      <w:rPr>
        <w:rFonts w:cs="Arial"/>
        <w:b/>
        <w:color w:val="404040"/>
      </w:rPr>
    </w:tblStylePr>
    <w:tblStylePr w:type="lastCol">
      <w:rPr>
        <w:rFonts w:cs="Arial"/>
        <w:b/>
        <w:color w:val="404040"/>
      </w:rPr>
    </w:tblStylePr>
    <w:tblStylePr w:type="band1Horz">
      <w:rPr>
        <w:rFonts w:ascii="Arial" w:hAnsi="Arial" w:cs="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3"/>
    <w:uiPriority w:val="99"/>
    <w:rsid w:val="00AE19E2"/>
    <w:rPr>
      <w:rFonts w:ascii="Arial" w:hAnsi="Arial" w:cs="Arial"/>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cs="Arial"/>
        <w:b/>
        <w:color w:val="404040"/>
      </w:rPr>
      <w:tblPr/>
      <w:tcPr>
        <w:tcBorders>
          <w:bottom w:val="single" w:sz="12" w:space="0" w:color="97B4D8"/>
        </w:tcBorders>
      </w:tcPr>
    </w:tblStylePr>
    <w:tblStylePr w:type="lastRow">
      <w:rPr>
        <w:rFonts w:cs="Arial"/>
        <w:b/>
        <w:color w:val="404040"/>
      </w:rPr>
    </w:tblStylePr>
    <w:tblStylePr w:type="firstCol">
      <w:rPr>
        <w:rFonts w:cs="Arial"/>
        <w:b/>
        <w:color w:val="404040"/>
      </w:rPr>
    </w:tblStylePr>
    <w:tblStylePr w:type="lastCol">
      <w:rPr>
        <w:rFonts w:cs="Arial"/>
        <w:b/>
        <w:color w:val="404040"/>
      </w:rPr>
    </w:tblStylePr>
    <w:tblStylePr w:type="band1Horz">
      <w:rPr>
        <w:rFonts w:ascii="Arial" w:hAnsi="Arial" w:cs="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a3"/>
    <w:uiPriority w:val="99"/>
    <w:rsid w:val="00AE19E2"/>
    <w:rPr>
      <w:rFonts w:ascii="Arial" w:hAnsi="Arial" w:cs="Arial"/>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cs="Arial"/>
        <w:b/>
        <w:color w:val="404040"/>
      </w:rPr>
      <w:tblPr/>
      <w:tcPr>
        <w:tcBorders>
          <w:bottom w:val="single" w:sz="12" w:space="0" w:color="DA9896"/>
        </w:tcBorders>
      </w:tcPr>
    </w:tblStylePr>
    <w:tblStylePr w:type="lastRow">
      <w:rPr>
        <w:rFonts w:cs="Arial"/>
        <w:b/>
        <w:color w:val="404040"/>
      </w:rPr>
    </w:tblStylePr>
    <w:tblStylePr w:type="firstCol">
      <w:rPr>
        <w:rFonts w:cs="Arial"/>
        <w:b/>
        <w:color w:val="404040"/>
      </w:rPr>
    </w:tblStylePr>
    <w:tblStylePr w:type="lastCol">
      <w:rPr>
        <w:rFonts w:cs="Arial"/>
        <w:b/>
        <w:color w:val="404040"/>
      </w:rPr>
    </w:tblStylePr>
    <w:tblStylePr w:type="band1Horz">
      <w:rPr>
        <w:rFonts w:ascii="Arial" w:hAnsi="Arial" w:cs="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a3"/>
    <w:uiPriority w:val="99"/>
    <w:rsid w:val="00AE19E2"/>
    <w:rPr>
      <w:rFonts w:ascii="Arial" w:hAnsi="Arial" w:cs="Arial"/>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cs="Arial"/>
        <w:b/>
        <w:color w:val="404040"/>
      </w:rPr>
      <w:tblPr/>
      <w:tcPr>
        <w:tcBorders>
          <w:bottom w:val="single" w:sz="12" w:space="0" w:color="C4D79D"/>
        </w:tcBorders>
      </w:tcPr>
    </w:tblStylePr>
    <w:tblStylePr w:type="lastRow">
      <w:rPr>
        <w:rFonts w:cs="Arial"/>
        <w:b/>
        <w:color w:val="404040"/>
      </w:rPr>
    </w:tblStylePr>
    <w:tblStylePr w:type="firstCol">
      <w:rPr>
        <w:rFonts w:cs="Arial"/>
        <w:b/>
        <w:color w:val="404040"/>
      </w:rPr>
    </w:tblStylePr>
    <w:tblStylePr w:type="lastCol">
      <w:rPr>
        <w:rFonts w:cs="Arial"/>
        <w:b/>
        <w:color w:val="404040"/>
      </w:rPr>
    </w:tblStylePr>
    <w:tblStylePr w:type="band1Horz">
      <w:rPr>
        <w:rFonts w:ascii="Arial" w:hAnsi="Arial" w:cs="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a3"/>
    <w:uiPriority w:val="99"/>
    <w:rsid w:val="00AE19E2"/>
    <w:rPr>
      <w:rFonts w:ascii="Arial" w:hAnsi="Arial" w:cs="Arial"/>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cs="Arial"/>
        <w:b/>
        <w:color w:val="404040"/>
      </w:rPr>
      <w:tblPr/>
      <w:tcPr>
        <w:tcBorders>
          <w:bottom w:val="single" w:sz="12" w:space="0" w:color="B4A4C8"/>
        </w:tcBorders>
      </w:tcPr>
    </w:tblStylePr>
    <w:tblStylePr w:type="lastRow">
      <w:rPr>
        <w:rFonts w:cs="Arial"/>
        <w:b/>
        <w:color w:val="404040"/>
      </w:rPr>
    </w:tblStylePr>
    <w:tblStylePr w:type="firstCol">
      <w:rPr>
        <w:rFonts w:cs="Arial"/>
        <w:b/>
        <w:color w:val="404040"/>
      </w:rPr>
    </w:tblStylePr>
    <w:tblStylePr w:type="lastCol">
      <w:rPr>
        <w:rFonts w:cs="Arial"/>
        <w:b/>
        <w:color w:val="404040"/>
      </w:rPr>
    </w:tblStylePr>
    <w:tblStylePr w:type="band1Horz">
      <w:rPr>
        <w:rFonts w:ascii="Arial" w:hAnsi="Arial" w:cs="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a3"/>
    <w:uiPriority w:val="99"/>
    <w:rsid w:val="00AE19E2"/>
    <w:rPr>
      <w:rFonts w:ascii="Arial" w:hAnsi="Arial" w:cs="Arial"/>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cs="Arial"/>
        <w:b/>
        <w:color w:val="404040"/>
      </w:rPr>
      <w:tblPr/>
      <w:tcPr>
        <w:tcBorders>
          <w:bottom w:val="single" w:sz="12" w:space="0" w:color="95CEDD"/>
        </w:tcBorders>
      </w:tcPr>
    </w:tblStylePr>
    <w:tblStylePr w:type="lastRow">
      <w:rPr>
        <w:rFonts w:cs="Arial"/>
        <w:b/>
        <w:color w:val="404040"/>
      </w:rPr>
    </w:tblStylePr>
    <w:tblStylePr w:type="firstCol">
      <w:rPr>
        <w:rFonts w:cs="Arial"/>
        <w:b/>
        <w:color w:val="404040"/>
      </w:rPr>
    </w:tblStylePr>
    <w:tblStylePr w:type="lastCol">
      <w:rPr>
        <w:rFonts w:cs="Arial"/>
        <w:b/>
        <w:color w:val="404040"/>
      </w:rPr>
    </w:tblStylePr>
    <w:tblStylePr w:type="band1Horz">
      <w:rPr>
        <w:rFonts w:ascii="Arial" w:hAnsi="Arial" w:cs="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a3"/>
    <w:uiPriority w:val="99"/>
    <w:rsid w:val="00AE19E2"/>
    <w:rPr>
      <w:rFonts w:ascii="Arial" w:hAnsi="Arial" w:cs="Arial"/>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cs="Arial"/>
        <w:b/>
        <w:color w:val="404040"/>
      </w:rPr>
      <w:tblPr/>
      <w:tcPr>
        <w:tcBorders>
          <w:bottom w:val="single" w:sz="12" w:space="0" w:color="FAC192"/>
        </w:tcBorders>
      </w:tcPr>
    </w:tblStylePr>
    <w:tblStylePr w:type="lastRow">
      <w:rPr>
        <w:rFonts w:cs="Arial"/>
        <w:b/>
        <w:color w:val="404040"/>
      </w:rPr>
    </w:tblStylePr>
    <w:tblStylePr w:type="firstCol">
      <w:rPr>
        <w:rFonts w:cs="Arial"/>
        <w:b/>
        <w:color w:val="404040"/>
      </w:rPr>
    </w:tblStylePr>
    <w:tblStylePr w:type="lastCol">
      <w:rPr>
        <w:rFonts w:cs="Arial"/>
        <w:b/>
        <w:color w:val="404040"/>
      </w:rPr>
    </w:tblStylePr>
    <w:tblStylePr w:type="band1Horz">
      <w:rPr>
        <w:rFonts w:ascii="Arial" w:hAnsi="Arial" w:cs="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
    <w:name w:val="Таблица-сетка 21"/>
    <w:basedOn w:val="a3"/>
    <w:uiPriority w:val="99"/>
    <w:rsid w:val="00AE19E2"/>
    <w:rPr>
      <w:rFonts w:ascii="Arial" w:hAnsi="Arial" w:cs="Arial"/>
    </w:rPr>
    <w:tblPr>
      <w:tblStyleRowBandSize w:val="1"/>
      <w:tblStyleColBandSize w:val="1"/>
      <w:tblBorders>
        <w:bottom w:val="single" w:sz="4" w:space="0" w:color="6A6A6A"/>
        <w:insideH w:val="single" w:sz="4" w:space="0" w:color="6A6A6A"/>
        <w:insideV w:val="single" w:sz="4" w:space="0" w:color="6A6A6A"/>
      </w:tblBorders>
    </w:tblPr>
    <w:tblStylePr w:type="firstRow">
      <w:rPr>
        <w:rFonts w:cs="Arial"/>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rFonts w:cs="Arial"/>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rFonts w:cs="Arial"/>
        <w:b/>
        <w:color w:val="404040"/>
      </w:rPr>
    </w:tblStylePr>
    <w:tblStylePr w:type="lastCol">
      <w:rPr>
        <w:rFonts w:cs="Arial"/>
        <w:b/>
        <w:color w:val="404040"/>
      </w:rPr>
    </w:tblStylePr>
    <w:tblStylePr w:type="band1Vert">
      <w:rPr>
        <w:rFonts w:ascii="Arial" w:hAnsi="Arial" w:cs="Arial"/>
        <w:color w:val="404040"/>
        <w:sz w:val="22"/>
      </w:rPr>
      <w:tblPr/>
      <w:tcPr>
        <w:shd w:val="clear" w:color="CBCBCB" w:fill="auto"/>
      </w:tcPr>
    </w:tblStylePr>
    <w:tblStylePr w:type="band1Horz">
      <w:rPr>
        <w:rFonts w:ascii="Arial" w:hAnsi="Arial" w:cs="Arial"/>
        <w:color w:val="404040"/>
        <w:sz w:val="22"/>
      </w:rPr>
      <w:tblPr/>
      <w:tcPr>
        <w:shd w:val="clear" w:color="CBCBCB" w:fill="auto"/>
      </w:tcPr>
    </w:tblStylePr>
  </w:style>
  <w:style w:type="table" w:customStyle="1" w:styleId="GridTable2-Accent1">
    <w:name w:val="Grid Table 2 - Accent 1"/>
    <w:basedOn w:val="a3"/>
    <w:uiPriority w:val="99"/>
    <w:rsid w:val="00AE19E2"/>
    <w:rPr>
      <w:rFonts w:ascii="Arial" w:hAnsi="Arial" w:cs="Arial"/>
    </w:rPr>
    <w:tblPr>
      <w:tblStyleRowBandSize w:val="1"/>
      <w:tblStyleColBandSize w:val="1"/>
      <w:tblBorders>
        <w:bottom w:val="single" w:sz="4" w:space="0" w:color="5D8AC2"/>
        <w:insideH w:val="single" w:sz="4" w:space="0" w:color="5D8AC2"/>
        <w:insideV w:val="single" w:sz="4" w:space="0" w:color="5D8AC2"/>
      </w:tblBorders>
    </w:tblPr>
    <w:tblStylePr w:type="firstRow">
      <w:rPr>
        <w:rFonts w:cs="Arial"/>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rFonts w:cs="Arial"/>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rFonts w:cs="Arial"/>
        <w:b/>
        <w:color w:val="404040"/>
      </w:rPr>
    </w:tblStylePr>
    <w:tblStylePr w:type="lastCol">
      <w:rPr>
        <w:rFonts w:cs="Arial"/>
        <w:b/>
        <w:color w:val="404040"/>
      </w:rPr>
    </w:tblStylePr>
    <w:tblStylePr w:type="band1Vert">
      <w:rPr>
        <w:rFonts w:ascii="Arial" w:hAnsi="Arial" w:cs="Arial"/>
        <w:color w:val="404040"/>
        <w:sz w:val="22"/>
      </w:rPr>
      <w:tblPr/>
      <w:tcPr>
        <w:shd w:val="clear" w:color="DAE5F1" w:fill="auto"/>
      </w:tcPr>
    </w:tblStylePr>
    <w:tblStylePr w:type="band1Horz">
      <w:rPr>
        <w:rFonts w:ascii="Arial" w:hAnsi="Arial" w:cs="Arial"/>
        <w:color w:val="404040"/>
        <w:sz w:val="22"/>
      </w:rPr>
      <w:tblPr/>
      <w:tcPr>
        <w:shd w:val="clear" w:color="DAE5F1" w:fill="auto"/>
      </w:tcPr>
    </w:tblStylePr>
  </w:style>
  <w:style w:type="table" w:customStyle="1" w:styleId="GridTable2-Accent2">
    <w:name w:val="Grid Table 2 - Accent 2"/>
    <w:basedOn w:val="a3"/>
    <w:uiPriority w:val="99"/>
    <w:rsid w:val="00AE19E2"/>
    <w:rPr>
      <w:rFonts w:ascii="Arial" w:hAnsi="Arial" w:cs="Arial"/>
    </w:rPr>
    <w:tblPr>
      <w:tblStyleRowBandSize w:val="1"/>
      <w:tblStyleColBandSize w:val="1"/>
      <w:tblBorders>
        <w:bottom w:val="single" w:sz="4" w:space="0" w:color="D99695"/>
        <w:insideH w:val="single" w:sz="4" w:space="0" w:color="D99695"/>
        <w:insideV w:val="single" w:sz="4" w:space="0" w:color="D99695"/>
      </w:tblBorders>
    </w:tblPr>
    <w:tblStylePr w:type="firstRow">
      <w:rPr>
        <w:rFonts w:cs="Arial"/>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rFonts w:cs="Arial"/>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rFonts w:cs="Arial"/>
        <w:b/>
        <w:color w:val="404040"/>
      </w:rPr>
    </w:tblStylePr>
    <w:tblStylePr w:type="lastCol">
      <w:rPr>
        <w:rFonts w:cs="Arial"/>
        <w:b/>
        <w:color w:val="404040"/>
      </w:rPr>
    </w:tblStylePr>
    <w:tblStylePr w:type="band1Vert">
      <w:rPr>
        <w:rFonts w:ascii="Arial" w:hAnsi="Arial" w:cs="Arial"/>
        <w:color w:val="404040"/>
        <w:sz w:val="22"/>
      </w:rPr>
      <w:tblPr/>
      <w:tcPr>
        <w:shd w:val="clear" w:color="F2DCDC" w:fill="auto"/>
      </w:tcPr>
    </w:tblStylePr>
    <w:tblStylePr w:type="band1Horz">
      <w:rPr>
        <w:rFonts w:ascii="Arial" w:hAnsi="Arial" w:cs="Arial"/>
        <w:color w:val="404040"/>
        <w:sz w:val="22"/>
      </w:rPr>
      <w:tblPr/>
      <w:tcPr>
        <w:shd w:val="clear" w:color="F2DCDC" w:fill="auto"/>
      </w:tcPr>
    </w:tblStylePr>
  </w:style>
  <w:style w:type="table" w:customStyle="1" w:styleId="GridTable2-Accent3">
    <w:name w:val="Grid Table 2 - Accent 3"/>
    <w:basedOn w:val="a3"/>
    <w:uiPriority w:val="99"/>
    <w:rsid w:val="00AE19E2"/>
    <w:rPr>
      <w:rFonts w:ascii="Arial" w:hAnsi="Arial" w:cs="Arial"/>
    </w:rPr>
    <w:tblPr>
      <w:tblStyleRowBandSize w:val="1"/>
      <w:tblStyleColBandSize w:val="1"/>
      <w:tblBorders>
        <w:bottom w:val="single" w:sz="4" w:space="0" w:color="9ABB59"/>
        <w:insideH w:val="single" w:sz="4" w:space="0" w:color="9ABB59"/>
        <w:insideV w:val="single" w:sz="4" w:space="0" w:color="9ABB59"/>
      </w:tblBorders>
    </w:tblPr>
    <w:tblStylePr w:type="firstRow">
      <w:rPr>
        <w:rFonts w:cs="Arial"/>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rFonts w:cs="Arial"/>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rFonts w:cs="Arial"/>
        <w:b/>
        <w:color w:val="404040"/>
      </w:rPr>
    </w:tblStylePr>
    <w:tblStylePr w:type="lastCol">
      <w:rPr>
        <w:rFonts w:cs="Arial"/>
        <w:b/>
        <w:color w:val="404040"/>
      </w:rPr>
    </w:tblStylePr>
    <w:tblStylePr w:type="band1Vert">
      <w:rPr>
        <w:rFonts w:ascii="Arial" w:hAnsi="Arial" w:cs="Arial"/>
        <w:color w:val="404040"/>
        <w:sz w:val="22"/>
      </w:rPr>
      <w:tblPr/>
      <w:tcPr>
        <w:shd w:val="clear" w:color="EAF1DC" w:fill="auto"/>
      </w:tcPr>
    </w:tblStylePr>
    <w:tblStylePr w:type="band1Horz">
      <w:rPr>
        <w:rFonts w:ascii="Arial" w:hAnsi="Arial" w:cs="Arial"/>
        <w:color w:val="404040"/>
        <w:sz w:val="22"/>
      </w:rPr>
      <w:tblPr/>
      <w:tcPr>
        <w:shd w:val="clear" w:color="EAF1DC" w:fill="auto"/>
      </w:tcPr>
    </w:tblStylePr>
  </w:style>
  <w:style w:type="table" w:customStyle="1" w:styleId="GridTable2-Accent4">
    <w:name w:val="Grid Table 2 - Accent 4"/>
    <w:basedOn w:val="a3"/>
    <w:uiPriority w:val="99"/>
    <w:rsid w:val="00AE19E2"/>
    <w:rPr>
      <w:rFonts w:ascii="Arial" w:hAnsi="Arial" w:cs="Arial"/>
    </w:rPr>
    <w:tblPr>
      <w:tblStyleRowBandSize w:val="1"/>
      <w:tblStyleColBandSize w:val="1"/>
      <w:tblBorders>
        <w:bottom w:val="single" w:sz="4" w:space="0" w:color="B2A1C6"/>
        <w:insideH w:val="single" w:sz="4" w:space="0" w:color="B2A1C6"/>
        <w:insideV w:val="single" w:sz="4" w:space="0" w:color="B2A1C6"/>
      </w:tblBorders>
    </w:tblPr>
    <w:tblStylePr w:type="firstRow">
      <w:rPr>
        <w:rFonts w:cs="Arial"/>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rFonts w:cs="Arial"/>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rFonts w:cs="Arial"/>
        <w:b/>
        <w:color w:val="404040"/>
      </w:rPr>
    </w:tblStylePr>
    <w:tblStylePr w:type="lastCol">
      <w:rPr>
        <w:rFonts w:cs="Arial"/>
        <w:b/>
        <w:color w:val="404040"/>
      </w:rPr>
    </w:tblStylePr>
    <w:tblStylePr w:type="band1Vert">
      <w:rPr>
        <w:rFonts w:ascii="Arial" w:hAnsi="Arial" w:cs="Arial"/>
        <w:color w:val="404040"/>
        <w:sz w:val="22"/>
      </w:rPr>
      <w:tblPr/>
      <w:tcPr>
        <w:shd w:val="clear" w:color="E5DFEC" w:fill="auto"/>
      </w:tcPr>
    </w:tblStylePr>
    <w:tblStylePr w:type="band1Horz">
      <w:rPr>
        <w:rFonts w:ascii="Arial" w:hAnsi="Arial" w:cs="Arial"/>
        <w:color w:val="404040"/>
        <w:sz w:val="22"/>
      </w:rPr>
      <w:tblPr/>
      <w:tcPr>
        <w:shd w:val="clear" w:color="E5DFEC" w:fill="auto"/>
      </w:tcPr>
    </w:tblStylePr>
  </w:style>
  <w:style w:type="table" w:customStyle="1" w:styleId="GridTable2-Accent5">
    <w:name w:val="Grid Table 2 - Accent 5"/>
    <w:basedOn w:val="a3"/>
    <w:uiPriority w:val="99"/>
    <w:rsid w:val="00AE19E2"/>
    <w:rPr>
      <w:rFonts w:ascii="Arial" w:hAnsi="Arial" w:cs="Arial"/>
    </w:rPr>
    <w:tblPr>
      <w:tblStyleRowBandSize w:val="1"/>
      <w:tblStyleColBandSize w:val="1"/>
      <w:tblBorders>
        <w:bottom w:val="single" w:sz="4" w:space="0" w:color="4BACC6"/>
        <w:insideH w:val="single" w:sz="4" w:space="0" w:color="4BACC6"/>
        <w:insideV w:val="single" w:sz="4" w:space="0" w:color="4BACC6"/>
      </w:tblBorders>
    </w:tblPr>
    <w:tblStylePr w:type="firstRow">
      <w:rPr>
        <w:rFonts w:cs="Arial"/>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rFonts w:cs="Arial"/>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rFonts w:cs="Arial"/>
        <w:b/>
        <w:color w:val="404040"/>
      </w:rPr>
    </w:tblStylePr>
    <w:tblStylePr w:type="lastCol">
      <w:rPr>
        <w:rFonts w:cs="Arial"/>
        <w:b/>
        <w:color w:val="404040"/>
      </w:rPr>
    </w:tblStylePr>
    <w:tblStylePr w:type="band1Vert">
      <w:rPr>
        <w:rFonts w:ascii="Arial" w:hAnsi="Arial" w:cs="Arial"/>
        <w:color w:val="404040"/>
        <w:sz w:val="22"/>
      </w:rPr>
      <w:tblPr/>
      <w:tcPr>
        <w:shd w:val="clear" w:color="DAEEF3" w:fill="auto"/>
      </w:tcPr>
    </w:tblStylePr>
    <w:tblStylePr w:type="band1Horz">
      <w:rPr>
        <w:rFonts w:ascii="Arial" w:hAnsi="Arial" w:cs="Arial"/>
        <w:color w:val="404040"/>
        <w:sz w:val="22"/>
      </w:rPr>
      <w:tblPr/>
      <w:tcPr>
        <w:shd w:val="clear" w:color="DAEEF3" w:fill="auto"/>
      </w:tcPr>
    </w:tblStylePr>
  </w:style>
  <w:style w:type="table" w:customStyle="1" w:styleId="GridTable2-Accent6">
    <w:name w:val="Grid Table 2 - Accent 6"/>
    <w:basedOn w:val="a3"/>
    <w:uiPriority w:val="99"/>
    <w:rsid w:val="00AE19E2"/>
    <w:rPr>
      <w:rFonts w:ascii="Arial" w:hAnsi="Arial" w:cs="Arial"/>
    </w:rPr>
    <w:tblPr>
      <w:tblStyleRowBandSize w:val="1"/>
      <w:tblStyleColBandSize w:val="1"/>
      <w:tblBorders>
        <w:bottom w:val="single" w:sz="4" w:space="0" w:color="F79646"/>
        <w:insideH w:val="single" w:sz="4" w:space="0" w:color="F79646"/>
        <w:insideV w:val="single" w:sz="4" w:space="0" w:color="F79646"/>
      </w:tblBorders>
    </w:tblPr>
    <w:tblStylePr w:type="firstRow">
      <w:rPr>
        <w:rFonts w:cs="Arial"/>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rFonts w:cs="Arial"/>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rFonts w:cs="Arial"/>
        <w:b/>
        <w:color w:val="404040"/>
      </w:rPr>
    </w:tblStylePr>
    <w:tblStylePr w:type="lastCol">
      <w:rPr>
        <w:rFonts w:cs="Arial"/>
        <w:b/>
        <w:color w:val="404040"/>
      </w:rPr>
    </w:tblStylePr>
    <w:tblStylePr w:type="band1Vert">
      <w:rPr>
        <w:rFonts w:ascii="Arial" w:hAnsi="Arial" w:cs="Arial"/>
        <w:color w:val="404040"/>
        <w:sz w:val="22"/>
      </w:rPr>
      <w:tblPr/>
      <w:tcPr>
        <w:shd w:val="clear" w:color="FDE9D8" w:fill="auto"/>
      </w:tcPr>
    </w:tblStylePr>
    <w:tblStylePr w:type="band1Horz">
      <w:rPr>
        <w:rFonts w:ascii="Arial" w:hAnsi="Arial" w:cs="Arial"/>
        <w:color w:val="404040"/>
        <w:sz w:val="22"/>
      </w:rPr>
      <w:tblPr/>
      <w:tcPr>
        <w:shd w:val="clear" w:color="FDE9D8" w:fill="auto"/>
      </w:tcPr>
    </w:tblStylePr>
  </w:style>
  <w:style w:type="table" w:customStyle="1" w:styleId="-31">
    <w:name w:val="Таблица-сетка 31"/>
    <w:basedOn w:val="a3"/>
    <w:uiPriority w:val="99"/>
    <w:rsid w:val="00AE19E2"/>
    <w:rPr>
      <w:rFonts w:ascii="Arial" w:hAnsi="Arial" w:cs="Arial"/>
    </w:rPr>
    <w:tblPr>
      <w:tblStyleRowBandSize w:val="1"/>
      <w:tblStyleColBandSize w:val="1"/>
      <w:tblBorders>
        <w:bottom w:val="single" w:sz="4" w:space="0" w:color="6A6A6A"/>
        <w:insideH w:val="single" w:sz="4" w:space="0" w:color="6A6A6A"/>
        <w:insideV w:val="single" w:sz="4" w:space="0" w:color="6A6A6A"/>
      </w:tblBorders>
    </w:tblPr>
    <w:tblStylePr w:type="firstRow">
      <w:rPr>
        <w:rFonts w:cs="Arial"/>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Arial"/>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Arial"/>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Arial"/>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Arial"/>
        <w:color w:val="404040"/>
        <w:sz w:val="22"/>
      </w:rPr>
      <w:tblPr/>
      <w:tcPr>
        <w:shd w:val="clear" w:color="CBCBCB" w:fill="auto"/>
      </w:tcPr>
    </w:tblStylePr>
    <w:tblStylePr w:type="band1Horz">
      <w:rPr>
        <w:rFonts w:ascii="Arial" w:hAnsi="Arial" w:cs="Arial"/>
        <w:color w:val="404040"/>
        <w:sz w:val="22"/>
      </w:rPr>
      <w:tblPr/>
      <w:tcPr>
        <w:shd w:val="clear" w:color="CBCBCB" w:fill="auto"/>
      </w:tcPr>
    </w:tblStylePr>
  </w:style>
  <w:style w:type="table" w:customStyle="1" w:styleId="GridTable3-Accent1">
    <w:name w:val="Grid Table 3 - Accent 1"/>
    <w:basedOn w:val="a3"/>
    <w:uiPriority w:val="99"/>
    <w:rsid w:val="00AE19E2"/>
    <w:rPr>
      <w:rFonts w:ascii="Arial" w:hAnsi="Arial" w:cs="Arial"/>
    </w:rPr>
    <w:tblPr>
      <w:tblStyleRowBandSize w:val="1"/>
      <w:tblStyleColBandSize w:val="1"/>
      <w:tblBorders>
        <w:bottom w:val="single" w:sz="4" w:space="0" w:color="5D8AC2"/>
        <w:insideH w:val="single" w:sz="4" w:space="0" w:color="5D8AC2"/>
        <w:insideV w:val="single" w:sz="4" w:space="0" w:color="5D8AC2"/>
      </w:tblBorders>
    </w:tblPr>
    <w:tblStylePr w:type="firstRow">
      <w:rPr>
        <w:rFonts w:cs="Arial"/>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Arial"/>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Arial"/>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Arial"/>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Arial"/>
        <w:color w:val="404040"/>
        <w:sz w:val="22"/>
      </w:rPr>
      <w:tblPr/>
      <w:tcPr>
        <w:shd w:val="clear" w:color="DAE5F1" w:fill="auto"/>
      </w:tcPr>
    </w:tblStylePr>
    <w:tblStylePr w:type="band1Horz">
      <w:rPr>
        <w:rFonts w:ascii="Arial" w:hAnsi="Arial" w:cs="Arial"/>
        <w:color w:val="404040"/>
        <w:sz w:val="22"/>
      </w:rPr>
      <w:tblPr/>
      <w:tcPr>
        <w:shd w:val="clear" w:color="DAE5F1" w:fill="auto"/>
      </w:tcPr>
    </w:tblStylePr>
  </w:style>
  <w:style w:type="table" w:customStyle="1" w:styleId="GridTable3-Accent2">
    <w:name w:val="Grid Table 3 - Accent 2"/>
    <w:basedOn w:val="a3"/>
    <w:uiPriority w:val="99"/>
    <w:rsid w:val="00AE19E2"/>
    <w:rPr>
      <w:rFonts w:ascii="Arial" w:hAnsi="Arial" w:cs="Arial"/>
    </w:rPr>
    <w:tblPr>
      <w:tblStyleRowBandSize w:val="1"/>
      <w:tblStyleColBandSize w:val="1"/>
      <w:tblBorders>
        <w:bottom w:val="single" w:sz="4" w:space="0" w:color="D99695"/>
        <w:insideH w:val="single" w:sz="4" w:space="0" w:color="D99695"/>
        <w:insideV w:val="single" w:sz="4" w:space="0" w:color="D99695"/>
      </w:tblBorders>
    </w:tblPr>
    <w:tblStylePr w:type="firstRow">
      <w:rPr>
        <w:rFonts w:cs="Arial"/>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Arial"/>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Arial"/>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Arial"/>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Arial"/>
        <w:color w:val="404040"/>
        <w:sz w:val="22"/>
      </w:rPr>
      <w:tblPr/>
      <w:tcPr>
        <w:shd w:val="clear" w:color="F2DCDC" w:fill="auto"/>
      </w:tcPr>
    </w:tblStylePr>
    <w:tblStylePr w:type="band1Horz">
      <w:rPr>
        <w:rFonts w:ascii="Arial" w:hAnsi="Arial" w:cs="Arial"/>
        <w:color w:val="404040"/>
        <w:sz w:val="22"/>
      </w:rPr>
      <w:tblPr/>
      <w:tcPr>
        <w:shd w:val="clear" w:color="F2DCDC" w:fill="auto"/>
      </w:tcPr>
    </w:tblStylePr>
  </w:style>
  <w:style w:type="table" w:customStyle="1" w:styleId="GridTable3-Accent3">
    <w:name w:val="Grid Table 3 - Accent 3"/>
    <w:basedOn w:val="a3"/>
    <w:uiPriority w:val="99"/>
    <w:rsid w:val="00AE19E2"/>
    <w:rPr>
      <w:rFonts w:ascii="Arial" w:hAnsi="Arial" w:cs="Arial"/>
    </w:rPr>
    <w:tblPr>
      <w:tblStyleRowBandSize w:val="1"/>
      <w:tblStyleColBandSize w:val="1"/>
      <w:tblBorders>
        <w:bottom w:val="single" w:sz="4" w:space="0" w:color="9ABB59"/>
        <w:insideH w:val="single" w:sz="4" w:space="0" w:color="9ABB59"/>
        <w:insideV w:val="single" w:sz="4" w:space="0" w:color="9ABB59"/>
      </w:tblBorders>
    </w:tblPr>
    <w:tblStylePr w:type="firstRow">
      <w:rPr>
        <w:rFonts w:cs="Arial"/>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Arial"/>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Arial"/>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Arial"/>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Arial"/>
        <w:color w:val="404040"/>
        <w:sz w:val="22"/>
      </w:rPr>
      <w:tblPr/>
      <w:tcPr>
        <w:shd w:val="clear" w:color="EAF1DC" w:fill="auto"/>
      </w:tcPr>
    </w:tblStylePr>
    <w:tblStylePr w:type="band1Horz">
      <w:rPr>
        <w:rFonts w:ascii="Arial" w:hAnsi="Arial" w:cs="Arial"/>
        <w:color w:val="404040"/>
        <w:sz w:val="22"/>
      </w:rPr>
      <w:tblPr/>
      <w:tcPr>
        <w:shd w:val="clear" w:color="EAF1DC" w:fill="auto"/>
      </w:tcPr>
    </w:tblStylePr>
  </w:style>
  <w:style w:type="table" w:customStyle="1" w:styleId="GridTable3-Accent4">
    <w:name w:val="Grid Table 3 - Accent 4"/>
    <w:basedOn w:val="a3"/>
    <w:uiPriority w:val="99"/>
    <w:rsid w:val="00AE19E2"/>
    <w:rPr>
      <w:rFonts w:ascii="Arial" w:hAnsi="Arial" w:cs="Arial"/>
    </w:rPr>
    <w:tblPr>
      <w:tblStyleRowBandSize w:val="1"/>
      <w:tblStyleColBandSize w:val="1"/>
      <w:tblBorders>
        <w:bottom w:val="single" w:sz="4" w:space="0" w:color="B2A1C6"/>
        <w:insideH w:val="single" w:sz="4" w:space="0" w:color="B2A1C6"/>
        <w:insideV w:val="single" w:sz="4" w:space="0" w:color="B2A1C6"/>
      </w:tblBorders>
    </w:tblPr>
    <w:tblStylePr w:type="firstRow">
      <w:rPr>
        <w:rFonts w:cs="Arial"/>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Arial"/>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Arial"/>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Arial"/>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Arial"/>
        <w:color w:val="404040"/>
        <w:sz w:val="22"/>
      </w:rPr>
      <w:tblPr/>
      <w:tcPr>
        <w:shd w:val="clear" w:color="E5DFEC" w:fill="auto"/>
      </w:tcPr>
    </w:tblStylePr>
    <w:tblStylePr w:type="band1Horz">
      <w:rPr>
        <w:rFonts w:ascii="Arial" w:hAnsi="Arial" w:cs="Arial"/>
        <w:color w:val="404040"/>
        <w:sz w:val="22"/>
      </w:rPr>
      <w:tblPr/>
      <w:tcPr>
        <w:shd w:val="clear" w:color="E5DFEC" w:fill="auto"/>
      </w:tcPr>
    </w:tblStylePr>
  </w:style>
  <w:style w:type="table" w:customStyle="1" w:styleId="GridTable3-Accent5">
    <w:name w:val="Grid Table 3 - Accent 5"/>
    <w:basedOn w:val="a3"/>
    <w:uiPriority w:val="99"/>
    <w:rsid w:val="00AE19E2"/>
    <w:rPr>
      <w:rFonts w:ascii="Arial" w:hAnsi="Arial" w:cs="Arial"/>
    </w:rPr>
    <w:tblPr>
      <w:tblStyleRowBandSize w:val="1"/>
      <w:tblStyleColBandSize w:val="1"/>
      <w:tblBorders>
        <w:bottom w:val="single" w:sz="4" w:space="0" w:color="4BACC6"/>
        <w:insideH w:val="single" w:sz="4" w:space="0" w:color="4BACC6"/>
        <w:insideV w:val="single" w:sz="4" w:space="0" w:color="4BACC6"/>
      </w:tblBorders>
    </w:tblPr>
    <w:tblStylePr w:type="firstRow">
      <w:rPr>
        <w:rFonts w:cs="Arial"/>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Arial"/>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Arial"/>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Arial"/>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Arial"/>
        <w:color w:val="404040"/>
        <w:sz w:val="22"/>
      </w:rPr>
      <w:tblPr/>
      <w:tcPr>
        <w:shd w:val="clear" w:color="DAEEF3" w:fill="auto"/>
      </w:tcPr>
    </w:tblStylePr>
    <w:tblStylePr w:type="band1Horz">
      <w:rPr>
        <w:rFonts w:ascii="Arial" w:hAnsi="Arial" w:cs="Arial"/>
        <w:color w:val="404040"/>
        <w:sz w:val="22"/>
      </w:rPr>
      <w:tblPr/>
      <w:tcPr>
        <w:shd w:val="clear" w:color="DAEEF3" w:fill="auto"/>
      </w:tcPr>
    </w:tblStylePr>
  </w:style>
  <w:style w:type="table" w:customStyle="1" w:styleId="GridTable3-Accent6">
    <w:name w:val="Grid Table 3 - Accent 6"/>
    <w:basedOn w:val="a3"/>
    <w:uiPriority w:val="99"/>
    <w:rsid w:val="00AE19E2"/>
    <w:rPr>
      <w:rFonts w:ascii="Arial" w:hAnsi="Arial" w:cs="Arial"/>
    </w:rPr>
    <w:tblPr>
      <w:tblStyleRowBandSize w:val="1"/>
      <w:tblStyleColBandSize w:val="1"/>
      <w:tblBorders>
        <w:bottom w:val="single" w:sz="4" w:space="0" w:color="F79646"/>
        <w:insideH w:val="single" w:sz="4" w:space="0" w:color="F79646"/>
        <w:insideV w:val="single" w:sz="4" w:space="0" w:color="F79646"/>
      </w:tblBorders>
    </w:tblPr>
    <w:tblStylePr w:type="firstRow">
      <w:rPr>
        <w:rFonts w:cs="Arial"/>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Arial"/>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Arial"/>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Arial"/>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Arial"/>
        <w:color w:val="404040"/>
        <w:sz w:val="22"/>
      </w:rPr>
      <w:tblPr/>
      <w:tcPr>
        <w:shd w:val="clear" w:color="FDE9D8" w:fill="auto"/>
      </w:tcPr>
    </w:tblStylePr>
    <w:tblStylePr w:type="band1Horz">
      <w:rPr>
        <w:rFonts w:ascii="Arial" w:hAnsi="Arial" w:cs="Arial"/>
        <w:color w:val="404040"/>
        <w:sz w:val="22"/>
      </w:rPr>
      <w:tblPr/>
      <w:tcPr>
        <w:shd w:val="clear" w:color="FDE9D8" w:fill="auto"/>
      </w:tcPr>
    </w:tblStylePr>
  </w:style>
  <w:style w:type="table" w:customStyle="1" w:styleId="-41">
    <w:name w:val="Таблица-сетка 41"/>
    <w:basedOn w:val="a3"/>
    <w:uiPriority w:val="59"/>
    <w:rsid w:val="00AE19E2"/>
    <w:rPr>
      <w:rFonts w:ascii="Arial" w:hAnsi="Arial" w:cs="Arial"/>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cs="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auto"/>
      </w:tcPr>
    </w:tblStylePr>
    <w:tblStylePr w:type="lastRow">
      <w:rPr>
        <w:rFonts w:cs="Arial"/>
        <w:b/>
        <w:color w:val="404040"/>
      </w:rPr>
      <w:tblPr/>
      <w:tcPr>
        <w:tcBorders>
          <w:top w:val="single" w:sz="4" w:space="0" w:color="000000"/>
        </w:tcBorders>
      </w:tcPr>
    </w:tblStylePr>
    <w:tblStylePr w:type="firstCol">
      <w:rPr>
        <w:rFonts w:cs="Arial"/>
        <w:b/>
        <w:color w:val="404040"/>
      </w:rPr>
    </w:tblStylePr>
    <w:tblStylePr w:type="lastCol">
      <w:rPr>
        <w:rFonts w:cs="Arial"/>
        <w:b/>
        <w:color w:val="404040"/>
      </w:rPr>
    </w:tblStylePr>
    <w:tblStylePr w:type="band1Vert">
      <w:rPr>
        <w:rFonts w:ascii="Arial" w:hAnsi="Arial" w:cs="Arial"/>
        <w:color w:val="404040"/>
        <w:sz w:val="22"/>
      </w:rPr>
      <w:tblPr/>
      <w:tcPr>
        <w:shd w:val="clear" w:color="CBCBCB" w:fill="auto"/>
      </w:tcPr>
    </w:tblStylePr>
    <w:tblStylePr w:type="band1Horz">
      <w:rPr>
        <w:rFonts w:ascii="Arial" w:hAnsi="Arial" w:cs="Arial"/>
        <w:color w:val="404040"/>
        <w:sz w:val="22"/>
      </w:rPr>
      <w:tblPr/>
      <w:tcPr>
        <w:shd w:val="clear" w:color="CBCBCB" w:fill="auto"/>
      </w:tcPr>
    </w:tblStylePr>
  </w:style>
  <w:style w:type="table" w:customStyle="1" w:styleId="GridTable4-Accent1">
    <w:name w:val="Grid Table 4 - Accent 1"/>
    <w:basedOn w:val="a3"/>
    <w:uiPriority w:val="59"/>
    <w:rsid w:val="00AE19E2"/>
    <w:rPr>
      <w:rFonts w:ascii="Arial" w:hAnsi="Arial" w:cs="Arial"/>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cs="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auto"/>
      </w:tcPr>
    </w:tblStylePr>
    <w:tblStylePr w:type="lastRow">
      <w:rPr>
        <w:rFonts w:cs="Arial"/>
        <w:b/>
        <w:color w:val="404040"/>
      </w:rPr>
      <w:tblPr/>
      <w:tcPr>
        <w:tcBorders>
          <w:top w:val="single" w:sz="4" w:space="0" w:color="5D8AC2"/>
        </w:tcBorders>
      </w:tcPr>
    </w:tblStylePr>
    <w:tblStylePr w:type="firstCol">
      <w:rPr>
        <w:rFonts w:cs="Arial"/>
        <w:b/>
        <w:color w:val="404040"/>
      </w:rPr>
    </w:tblStylePr>
    <w:tblStylePr w:type="lastCol">
      <w:rPr>
        <w:rFonts w:cs="Arial"/>
        <w:b/>
        <w:color w:val="404040"/>
      </w:rPr>
    </w:tblStylePr>
    <w:tblStylePr w:type="band1Vert">
      <w:rPr>
        <w:rFonts w:ascii="Arial" w:hAnsi="Arial" w:cs="Arial"/>
        <w:color w:val="404040"/>
        <w:sz w:val="22"/>
      </w:rPr>
      <w:tblPr/>
      <w:tcPr>
        <w:shd w:val="clear" w:color="DCE6F2" w:fill="auto"/>
      </w:tcPr>
    </w:tblStylePr>
    <w:tblStylePr w:type="band1Horz">
      <w:rPr>
        <w:rFonts w:ascii="Arial" w:hAnsi="Arial" w:cs="Arial"/>
        <w:color w:val="404040"/>
        <w:sz w:val="22"/>
      </w:rPr>
      <w:tblPr/>
      <w:tcPr>
        <w:shd w:val="clear" w:color="DCE6F2" w:fill="auto"/>
      </w:tcPr>
    </w:tblStylePr>
  </w:style>
  <w:style w:type="table" w:customStyle="1" w:styleId="GridTable4-Accent2">
    <w:name w:val="Grid Table 4 - Accent 2"/>
    <w:basedOn w:val="a3"/>
    <w:uiPriority w:val="59"/>
    <w:rsid w:val="00AE19E2"/>
    <w:rPr>
      <w:rFonts w:ascii="Arial" w:hAnsi="Arial" w:cs="Arial"/>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cs="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auto"/>
      </w:tcPr>
    </w:tblStylePr>
    <w:tblStylePr w:type="lastRow">
      <w:rPr>
        <w:rFonts w:cs="Arial"/>
        <w:b/>
        <w:color w:val="404040"/>
      </w:rPr>
      <w:tblPr/>
      <w:tcPr>
        <w:tcBorders>
          <w:top w:val="single" w:sz="4" w:space="0" w:color="D99695"/>
        </w:tcBorders>
      </w:tcPr>
    </w:tblStylePr>
    <w:tblStylePr w:type="firstCol">
      <w:rPr>
        <w:rFonts w:cs="Arial"/>
        <w:b/>
        <w:color w:val="404040"/>
      </w:rPr>
    </w:tblStylePr>
    <w:tblStylePr w:type="lastCol">
      <w:rPr>
        <w:rFonts w:cs="Arial"/>
        <w:b/>
        <w:color w:val="404040"/>
      </w:rPr>
    </w:tblStylePr>
    <w:tblStylePr w:type="band1Vert">
      <w:rPr>
        <w:rFonts w:ascii="Arial" w:hAnsi="Arial" w:cs="Arial"/>
        <w:color w:val="404040"/>
        <w:sz w:val="22"/>
      </w:rPr>
      <w:tblPr/>
      <w:tcPr>
        <w:shd w:val="clear" w:color="F2DCDC" w:fill="auto"/>
      </w:tcPr>
    </w:tblStylePr>
    <w:tblStylePr w:type="band1Horz">
      <w:rPr>
        <w:rFonts w:ascii="Arial" w:hAnsi="Arial" w:cs="Arial"/>
        <w:color w:val="404040"/>
        <w:sz w:val="22"/>
      </w:rPr>
      <w:tblPr/>
      <w:tcPr>
        <w:shd w:val="clear" w:color="F2DCDC" w:fill="auto"/>
      </w:tcPr>
    </w:tblStylePr>
  </w:style>
  <w:style w:type="table" w:customStyle="1" w:styleId="GridTable4-Accent3">
    <w:name w:val="Grid Table 4 - Accent 3"/>
    <w:basedOn w:val="a3"/>
    <w:uiPriority w:val="59"/>
    <w:rsid w:val="00AE19E2"/>
    <w:rPr>
      <w:rFonts w:ascii="Arial" w:hAnsi="Arial" w:cs="Arial"/>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cs="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auto"/>
      </w:tcPr>
    </w:tblStylePr>
    <w:tblStylePr w:type="lastRow">
      <w:rPr>
        <w:rFonts w:cs="Arial"/>
        <w:b/>
        <w:color w:val="404040"/>
      </w:rPr>
      <w:tblPr/>
      <w:tcPr>
        <w:tcBorders>
          <w:top w:val="single" w:sz="4" w:space="0" w:color="9ABB59"/>
        </w:tcBorders>
      </w:tcPr>
    </w:tblStylePr>
    <w:tblStylePr w:type="firstCol">
      <w:rPr>
        <w:rFonts w:cs="Arial"/>
        <w:b/>
        <w:color w:val="404040"/>
      </w:rPr>
    </w:tblStylePr>
    <w:tblStylePr w:type="lastCol">
      <w:rPr>
        <w:rFonts w:cs="Arial"/>
        <w:b/>
        <w:color w:val="404040"/>
      </w:rPr>
    </w:tblStylePr>
    <w:tblStylePr w:type="band1Vert">
      <w:rPr>
        <w:rFonts w:ascii="Arial" w:hAnsi="Arial" w:cs="Arial"/>
        <w:color w:val="404040"/>
        <w:sz w:val="22"/>
      </w:rPr>
      <w:tblPr/>
      <w:tcPr>
        <w:shd w:val="clear" w:color="EAF1DC" w:fill="auto"/>
      </w:tcPr>
    </w:tblStylePr>
    <w:tblStylePr w:type="band1Horz">
      <w:rPr>
        <w:rFonts w:ascii="Arial" w:hAnsi="Arial" w:cs="Arial"/>
        <w:color w:val="404040"/>
        <w:sz w:val="22"/>
      </w:rPr>
      <w:tblPr/>
      <w:tcPr>
        <w:shd w:val="clear" w:color="EAF1DC" w:fill="auto"/>
      </w:tcPr>
    </w:tblStylePr>
  </w:style>
  <w:style w:type="table" w:customStyle="1" w:styleId="GridTable4-Accent4">
    <w:name w:val="Grid Table 4 - Accent 4"/>
    <w:basedOn w:val="a3"/>
    <w:uiPriority w:val="59"/>
    <w:rsid w:val="00AE19E2"/>
    <w:rPr>
      <w:rFonts w:ascii="Arial" w:hAnsi="Arial" w:cs="Arial"/>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cs="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auto"/>
      </w:tcPr>
    </w:tblStylePr>
    <w:tblStylePr w:type="lastRow">
      <w:rPr>
        <w:rFonts w:cs="Arial"/>
        <w:b/>
        <w:color w:val="404040"/>
      </w:rPr>
      <w:tblPr/>
      <w:tcPr>
        <w:tcBorders>
          <w:top w:val="single" w:sz="4" w:space="0" w:color="B2A1C6"/>
        </w:tcBorders>
      </w:tcPr>
    </w:tblStylePr>
    <w:tblStylePr w:type="firstCol">
      <w:rPr>
        <w:rFonts w:cs="Arial"/>
        <w:b/>
        <w:color w:val="404040"/>
      </w:rPr>
    </w:tblStylePr>
    <w:tblStylePr w:type="lastCol">
      <w:rPr>
        <w:rFonts w:cs="Arial"/>
        <w:b/>
        <w:color w:val="404040"/>
      </w:rPr>
    </w:tblStylePr>
    <w:tblStylePr w:type="band1Vert">
      <w:rPr>
        <w:rFonts w:ascii="Arial" w:hAnsi="Arial" w:cs="Arial"/>
        <w:color w:val="404040"/>
        <w:sz w:val="22"/>
      </w:rPr>
      <w:tblPr/>
      <w:tcPr>
        <w:shd w:val="clear" w:color="E5DFEC" w:fill="auto"/>
      </w:tcPr>
    </w:tblStylePr>
    <w:tblStylePr w:type="band1Horz">
      <w:rPr>
        <w:rFonts w:ascii="Arial" w:hAnsi="Arial" w:cs="Arial"/>
        <w:color w:val="404040"/>
        <w:sz w:val="22"/>
      </w:rPr>
      <w:tblPr/>
      <w:tcPr>
        <w:shd w:val="clear" w:color="E5DFEC" w:fill="auto"/>
      </w:tcPr>
    </w:tblStylePr>
  </w:style>
  <w:style w:type="table" w:customStyle="1" w:styleId="GridTable4-Accent5">
    <w:name w:val="Grid Table 4 - Accent 5"/>
    <w:basedOn w:val="a3"/>
    <w:uiPriority w:val="59"/>
    <w:rsid w:val="00AE19E2"/>
    <w:rPr>
      <w:rFonts w:ascii="Arial" w:hAnsi="Arial" w:cs="Arial"/>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cs="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auto"/>
      </w:tcPr>
    </w:tblStylePr>
    <w:tblStylePr w:type="lastRow">
      <w:rPr>
        <w:rFonts w:cs="Arial"/>
        <w:b/>
        <w:color w:val="404040"/>
      </w:rPr>
      <w:tblPr/>
      <w:tcPr>
        <w:tcBorders>
          <w:top w:val="single" w:sz="4" w:space="0" w:color="4BACC6"/>
        </w:tcBorders>
      </w:tcPr>
    </w:tblStylePr>
    <w:tblStylePr w:type="firstCol">
      <w:rPr>
        <w:rFonts w:cs="Arial"/>
        <w:b/>
        <w:color w:val="404040"/>
      </w:rPr>
    </w:tblStylePr>
    <w:tblStylePr w:type="lastCol">
      <w:rPr>
        <w:rFonts w:cs="Arial"/>
        <w:b/>
        <w:color w:val="404040"/>
      </w:rPr>
    </w:tblStylePr>
    <w:tblStylePr w:type="band1Vert">
      <w:rPr>
        <w:rFonts w:ascii="Arial" w:hAnsi="Arial" w:cs="Arial"/>
        <w:color w:val="404040"/>
        <w:sz w:val="22"/>
      </w:rPr>
      <w:tblPr/>
      <w:tcPr>
        <w:shd w:val="clear" w:color="DAEEF3" w:fill="auto"/>
      </w:tcPr>
    </w:tblStylePr>
    <w:tblStylePr w:type="band1Horz">
      <w:rPr>
        <w:rFonts w:ascii="Arial" w:hAnsi="Arial" w:cs="Arial"/>
        <w:color w:val="404040"/>
        <w:sz w:val="22"/>
      </w:rPr>
      <w:tblPr/>
      <w:tcPr>
        <w:shd w:val="clear" w:color="DAEEF3" w:fill="auto"/>
      </w:tcPr>
    </w:tblStylePr>
  </w:style>
  <w:style w:type="table" w:customStyle="1" w:styleId="GridTable4-Accent6">
    <w:name w:val="Grid Table 4 - Accent 6"/>
    <w:basedOn w:val="a3"/>
    <w:uiPriority w:val="59"/>
    <w:rsid w:val="00AE19E2"/>
    <w:rPr>
      <w:rFonts w:ascii="Arial" w:hAnsi="Arial" w:cs="Arial"/>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cs="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auto"/>
      </w:tcPr>
    </w:tblStylePr>
    <w:tblStylePr w:type="lastRow">
      <w:rPr>
        <w:rFonts w:cs="Arial"/>
        <w:b/>
        <w:color w:val="404040"/>
      </w:rPr>
      <w:tblPr/>
      <w:tcPr>
        <w:tcBorders>
          <w:top w:val="single" w:sz="4" w:space="0" w:color="F79646"/>
        </w:tcBorders>
      </w:tcPr>
    </w:tblStylePr>
    <w:tblStylePr w:type="firstCol">
      <w:rPr>
        <w:rFonts w:cs="Arial"/>
        <w:b/>
        <w:color w:val="404040"/>
      </w:rPr>
    </w:tblStylePr>
    <w:tblStylePr w:type="lastCol">
      <w:rPr>
        <w:rFonts w:cs="Arial"/>
        <w:b/>
        <w:color w:val="404040"/>
      </w:rPr>
    </w:tblStylePr>
    <w:tblStylePr w:type="band1Vert">
      <w:rPr>
        <w:rFonts w:ascii="Arial" w:hAnsi="Arial" w:cs="Arial"/>
        <w:color w:val="404040"/>
        <w:sz w:val="22"/>
      </w:rPr>
      <w:tblPr/>
      <w:tcPr>
        <w:shd w:val="clear" w:color="FDE9D8" w:fill="auto"/>
      </w:tcPr>
    </w:tblStylePr>
    <w:tblStylePr w:type="band1Horz">
      <w:rPr>
        <w:rFonts w:ascii="Arial" w:hAnsi="Arial" w:cs="Arial"/>
        <w:color w:val="404040"/>
        <w:sz w:val="22"/>
      </w:rPr>
      <w:tblPr/>
      <w:tcPr>
        <w:shd w:val="clear" w:color="FDE9D8" w:fill="auto"/>
      </w:tcPr>
    </w:tblStylePr>
  </w:style>
  <w:style w:type="table" w:customStyle="1" w:styleId="-51">
    <w:name w:val="Таблица-сетка 5 темная1"/>
    <w:basedOn w:val="a3"/>
    <w:uiPriority w:val="99"/>
    <w:rsid w:val="00AE19E2"/>
    <w:rPr>
      <w:rFonts w:ascii="Arial" w:hAnsi="Arial" w:cs="Arial"/>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cs="Arial"/>
        <w:b/>
        <w:color w:val="FFFFFF"/>
        <w:sz w:val="22"/>
      </w:rPr>
      <w:tblPr/>
      <w:tcPr>
        <w:shd w:val="clear" w:color="000000" w:fill="auto"/>
      </w:tcPr>
    </w:tblStylePr>
    <w:tblStylePr w:type="lastRow">
      <w:rPr>
        <w:rFonts w:ascii="Arial" w:hAnsi="Arial" w:cs="Arial"/>
        <w:b/>
        <w:color w:val="FFFFFF"/>
        <w:sz w:val="22"/>
      </w:rPr>
      <w:tblPr/>
      <w:tcPr>
        <w:tcBorders>
          <w:top w:val="single" w:sz="4" w:space="0" w:color="FFFFFF"/>
        </w:tcBorders>
        <w:shd w:val="clear" w:color="000000" w:fill="auto"/>
      </w:tcPr>
    </w:tblStylePr>
    <w:tblStylePr w:type="firstCol">
      <w:rPr>
        <w:rFonts w:ascii="Arial" w:hAnsi="Arial" w:cs="Arial"/>
        <w:b/>
        <w:color w:val="FFFFFF"/>
        <w:sz w:val="22"/>
      </w:rPr>
      <w:tblPr/>
      <w:tcPr>
        <w:shd w:val="clear" w:color="000000" w:fill="auto"/>
      </w:tcPr>
    </w:tblStylePr>
    <w:tblStylePr w:type="lastCol">
      <w:rPr>
        <w:rFonts w:ascii="Arial" w:hAnsi="Arial" w:cs="Arial"/>
        <w:b/>
        <w:color w:val="FFFFFF"/>
        <w:sz w:val="22"/>
      </w:rPr>
      <w:tblPr/>
      <w:tcPr>
        <w:shd w:val="clear" w:color="000000" w:fill="auto"/>
      </w:tcPr>
    </w:tblStylePr>
    <w:tblStylePr w:type="band1Vert">
      <w:rPr>
        <w:rFonts w:cs="Arial"/>
      </w:rPr>
      <w:tblPr/>
      <w:tcPr>
        <w:shd w:val="clear" w:color="8A8A8A" w:fill="auto"/>
      </w:tcPr>
    </w:tblStylePr>
    <w:tblStylePr w:type="band1Horz">
      <w:rPr>
        <w:rFonts w:cs="Arial"/>
      </w:rPr>
      <w:tblPr/>
      <w:tcPr>
        <w:shd w:val="clear" w:color="8A8A8A" w:fill="auto"/>
      </w:tcPr>
    </w:tblStylePr>
  </w:style>
  <w:style w:type="table" w:customStyle="1" w:styleId="GridTable5Dark-Accent1">
    <w:name w:val="Grid Table 5 Dark- Accent 1"/>
    <w:basedOn w:val="a3"/>
    <w:uiPriority w:val="99"/>
    <w:rsid w:val="00AE19E2"/>
    <w:rPr>
      <w:rFonts w:ascii="Arial" w:hAnsi="Arial" w:cs="Arial"/>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cs="Arial"/>
        <w:b/>
        <w:color w:val="FFFFFF"/>
        <w:sz w:val="22"/>
      </w:rPr>
      <w:tblPr/>
      <w:tcPr>
        <w:shd w:val="clear" w:color="4F81BD" w:fill="auto"/>
      </w:tcPr>
    </w:tblStylePr>
    <w:tblStylePr w:type="lastRow">
      <w:rPr>
        <w:rFonts w:ascii="Arial" w:hAnsi="Arial" w:cs="Arial"/>
        <w:b/>
        <w:color w:val="FFFFFF"/>
        <w:sz w:val="22"/>
      </w:rPr>
      <w:tblPr/>
      <w:tcPr>
        <w:tcBorders>
          <w:top w:val="single" w:sz="4" w:space="0" w:color="FFFFFF"/>
        </w:tcBorders>
        <w:shd w:val="clear" w:color="4F81BD" w:fill="auto"/>
      </w:tcPr>
    </w:tblStylePr>
    <w:tblStylePr w:type="firstCol">
      <w:rPr>
        <w:rFonts w:ascii="Arial" w:hAnsi="Arial" w:cs="Arial"/>
        <w:b/>
        <w:color w:val="FFFFFF"/>
        <w:sz w:val="22"/>
      </w:rPr>
      <w:tblPr/>
      <w:tcPr>
        <w:shd w:val="clear" w:color="4F81BD" w:fill="auto"/>
      </w:tcPr>
    </w:tblStylePr>
    <w:tblStylePr w:type="lastCol">
      <w:rPr>
        <w:rFonts w:ascii="Arial" w:hAnsi="Arial" w:cs="Arial"/>
        <w:b/>
        <w:color w:val="FFFFFF"/>
        <w:sz w:val="22"/>
      </w:rPr>
      <w:tblPr/>
      <w:tcPr>
        <w:shd w:val="clear" w:color="4F81BD" w:fill="auto"/>
      </w:tcPr>
    </w:tblStylePr>
    <w:tblStylePr w:type="band1Vert">
      <w:rPr>
        <w:rFonts w:cs="Arial"/>
      </w:rPr>
      <w:tblPr/>
      <w:tcPr>
        <w:shd w:val="clear" w:color="AEC4E0" w:fill="auto"/>
      </w:tcPr>
    </w:tblStylePr>
    <w:tblStylePr w:type="band1Horz">
      <w:rPr>
        <w:rFonts w:cs="Arial"/>
      </w:rPr>
      <w:tblPr/>
      <w:tcPr>
        <w:shd w:val="clear" w:color="AEC4E0" w:fill="auto"/>
      </w:tcPr>
    </w:tblStylePr>
  </w:style>
  <w:style w:type="table" w:customStyle="1" w:styleId="GridTable5Dark-Accent2">
    <w:name w:val="Grid Table 5 Dark - Accent 2"/>
    <w:basedOn w:val="a3"/>
    <w:uiPriority w:val="99"/>
    <w:rsid w:val="00AE19E2"/>
    <w:rPr>
      <w:rFonts w:ascii="Arial" w:hAnsi="Arial" w:cs="Arial"/>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cs="Arial"/>
        <w:b/>
        <w:color w:val="FFFFFF"/>
        <w:sz w:val="22"/>
      </w:rPr>
      <w:tblPr/>
      <w:tcPr>
        <w:shd w:val="clear" w:color="C0504D" w:fill="auto"/>
      </w:tcPr>
    </w:tblStylePr>
    <w:tblStylePr w:type="lastRow">
      <w:rPr>
        <w:rFonts w:ascii="Arial" w:hAnsi="Arial" w:cs="Arial"/>
        <w:b/>
        <w:color w:val="FFFFFF"/>
        <w:sz w:val="22"/>
      </w:rPr>
      <w:tblPr/>
      <w:tcPr>
        <w:tcBorders>
          <w:top w:val="single" w:sz="4" w:space="0" w:color="FFFFFF"/>
        </w:tcBorders>
        <w:shd w:val="clear" w:color="C0504D" w:fill="auto"/>
      </w:tcPr>
    </w:tblStylePr>
    <w:tblStylePr w:type="firstCol">
      <w:rPr>
        <w:rFonts w:ascii="Arial" w:hAnsi="Arial" w:cs="Arial"/>
        <w:b/>
        <w:color w:val="FFFFFF"/>
        <w:sz w:val="22"/>
      </w:rPr>
      <w:tblPr/>
      <w:tcPr>
        <w:shd w:val="clear" w:color="C0504D" w:fill="auto"/>
      </w:tcPr>
    </w:tblStylePr>
    <w:tblStylePr w:type="lastCol">
      <w:rPr>
        <w:rFonts w:ascii="Arial" w:hAnsi="Arial" w:cs="Arial"/>
        <w:b/>
        <w:color w:val="FFFFFF"/>
        <w:sz w:val="22"/>
      </w:rPr>
      <w:tblPr/>
      <w:tcPr>
        <w:shd w:val="clear" w:color="C0504D" w:fill="auto"/>
      </w:tcPr>
    </w:tblStylePr>
    <w:tblStylePr w:type="band1Vert">
      <w:rPr>
        <w:rFonts w:cs="Arial"/>
      </w:rPr>
      <w:tblPr/>
      <w:tcPr>
        <w:shd w:val="clear" w:color="E2AEAD" w:fill="auto"/>
      </w:tcPr>
    </w:tblStylePr>
    <w:tblStylePr w:type="band1Horz">
      <w:rPr>
        <w:rFonts w:cs="Arial"/>
      </w:rPr>
      <w:tblPr/>
      <w:tcPr>
        <w:shd w:val="clear" w:color="E2AEAD" w:fill="auto"/>
      </w:tcPr>
    </w:tblStylePr>
  </w:style>
  <w:style w:type="table" w:customStyle="1" w:styleId="GridTable5Dark-Accent3">
    <w:name w:val="Grid Table 5 Dark - Accent 3"/>
    <w:basedOn w:val="a3"/>
    <w:uiPriority w:val="99"/>
    <w:rsid w:val="00AE19E2"/>
    <w:rPr>
      <w:rFonts w:ascii="Arial" w:hAnsi="Arial" w:cs="Arial"/>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cs="Arial"/>
        <w:b/>
        <w:color w:val="FFFFFF"/>
        <w:sz w:val="22"/>
      </w:rPr>
      <w:tblPr/>
      <w:tcPr>
        <w:shd w:val="clear" w:color="9BBB59" w:fill="auto"/>
      </w:tcPr>
    </w:tblStylePr>
    <w:tblStylePr w:type="lastRow">
      <w:rPr>
        <w:rFonts w:ascii="Arial" w:hAnsi="Arial" w:cs="Arial"/>
        <w:b/>
        <w:color w:val="FFFFFF"/>
        <w:sz w:val="22"/>
      </w:rPr>
      <w:tblPr/>
      <w:tcPr>
        <w:tcBorders>
          <w:top w:val="single" w:sz="4" w:space="0" w:color="FFFFFF"/>
        </w:tcBorders>
        <w:shd w:val="clear" w:color="9BBB59" w:fill="auto"/>
      </w:tcPr>
    </w:tblStylePr>
    <w:tblStylePr w:type="firstCol">
      <w:rPr>
        <w:rFonts w:ascii="Arial" w:hAnsi="Arial" w:cs="Arial"/>
        <w:b/>
        <w:color w:val="FFFFFF"/>
        <w:sz w:val="22"/>
      </w:rPr>
      <w:tblPr/>
      <w:tcPr>
        <w:shd w:val="clear" w:color="9BBB59" w:fill="auto"/>
      </w:tcPr>
    </w:tblStylePr>
    <w:tblStylePr w:type="lastCol">
      <w:rPr>
        <w:rFonts w:ascii="Arial" w:hAnsi="Arial" w:cs="Arial"/>
        <w:b/>
        <w:color w:val="FFFFFF"/>
        <w:sz w:val="22"/>
      </w:rPr>
      <w:tblPr/>
      <w:tcPr>
        <w:shd w:val="clear" w:color="9BBB59" w:fill="auto"/>
      </w:tcPr>
    </w:tblStylePr>
    <w:tblStylePr w:type="band1Vert">
      <w:rPr>
        <w:rFonts w:cs="Arial"/>
      </w:rPr>
      <w:tblPr/>
      <w:tcPr>
        <w:shd w:val="clear" w:color="D0DFB2" w:fill="auto"/>
      </w:tcPr>
    </w:tblStylePr>
    <w:tblStylePr w:type="band1Horz">
      <w:rPr>
        <w:rFonts w:cs="Arial"/>
      </w:rPr>
      <w:tblPr/>
      <w:tcPr>
        <w:shd w:val="clear" w:color="D0DFB2" w:fill="auto"/>
      </w:tcPr>
    </w:tblStylePr>
  </w:style>
  <w:style w:type="table" w:customStyle="1" w:styleId="GridTable5Dark-Accent4">
    <w:name w:val="Grid Table 5 Dark- Accent 4"/>
    <w:basedOn w:val="a3"/>
    <w:uiPriority w:val="99"/>
    <w:rsid w:val="00AE19E2"/>
    <w:rPr>
      <w:rFonts w:ascii="Arial" w:hAnsi="Arial" w:cs="Arial"/>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cs="Arial"/>
        <w:b/>
        <w:color w:val="FFFFFF"/>
        <w:sz w:val="22"/>
      </w:rPr>
      <w:tblPr/>
      <w:tcPr>
        <w:shd w:val="clear" w:color="8064A2" w:fill="auto"/>
      </w:tcPr>
    </w:tblStylePr>
    <w:tblStylePr w:type="lastRow">
      <w:rPr>
        <w:rFonts w:ascii="Arial" w:hAnsi="Arial" w:cs="Arial"/>
        <w:b/>
        <w:color w:val="FFFFFF"/>
        <w:sz w:val="22"/>
      </w:rPr>
      <w:tblPr/>
      <w:tcPr>
        <w:tcBorders>
          <w:top w:val="single" w:sz="4" w:space="0" w:color="FFFFFF"/>
        </w:tcBorders>
        <w:shd w:val="clear" w:color="8064A2" w:fill="auto"/>
      </w:tcPr>
    </w:tblStylePr>
    <w:tblStylePr w:type="firstCol">
      <w:rPr>
        <w:rFonts w:ascii="Arial" w:hAnsi="Arial" w:cs="Arial"/>
        <w:b/>
        <w:color w:val="FFFFFF"/>
        <w:sz w:val="22"/>
      </w:rPr>
      <w:tblPr/>
      <w:tcPr>
        <w:shd w:val="clear" w:color="8064A2" w:fill="auto"/>
      </w:tcPr>
    </w:tblStylePr>
    <w:tblStylePr w:type="lastCol">
      <w:rPr>
        <w:rFonts w:ascii="Arial" w:hAnsi="Arial" w:cs="Arial"/>
        <w:b/>
        <w:color w:val="FFFFFF"/>
        <w:sz w:val="22"/>
      </w:rPr>
      <w:tblPr/>
      <w:tcPr>
        <w:shd w:val="clear" w:color="8064A2" w:fill="auto"/>
      </w:tcPr>
    </w:tblStylePr>
    <w:tblStylePr w:type="band1Vert">
      <w:rPr>
        <w:rFonts w:cs="Arial"/>
      </w:rPr>
      <w:tblPr/>
      <w:tcPr>
        <w:shd w:val="clear" w:color="C4B7D4" w:fill="auto"/>
      </w:tcPr>
    </w:tblStylePr>
    <w:tblStylePr w:type="band1Horz">
      <w:rPr>
        <w:rFonts w:cs="Arial"/>
      </w:rPr>
      <w:tblPr/>
      <w:tcPr>
        <w:shd w:val="clear" w:color="C4B7D4" w:fill="auto"/>
      </w:tcPr>
    </w:tblStylePr>
  </w:style>
  <w:style w:type="table" w:customStyle="1" w:styleId="GridTable5Dark-Accent5">
    <w:name w:val="Grid Table 5 Dark - Accent 5"/>
    <w:basedOn w:val="a3"/>
    <w:uiPriority w:val="99"/>
    <w:rsid w:val="00AE19E2"/>
    <w:rPr>
      <w:rFonts w:ascii="Arial" w:hAnsi="Arial" w:cs="Arial"/>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cs="Arial"/>
        <w:b/>
        <w:color w:val="FFFFFF"/>
        <w:sz w:val="22"/>
      </w:rPr>
      <w:tblPr/>
      <w:tcPr>
        <w:shd w:val="clear" w:color="4BACC6" w:fill="auto"/>
      </w:tcPr>
    </w:tblStylePr>
    <w:tblStylePr w:type="lastRow">
      <w:rPr>
        <w:rFonts w:ascii="Arial" w:hAnsi="Arial" w:cs="Arial"/>
        <w:b/>
        <w:color w:val="FFFFFF"/>
        <w:sz w:val="22"/>
      </w:rPr>
      <w:tblPr/>
      <w:tcPr>
        <w:tcBorders>
          <w:top w:val="single" w:sz="4" w:space="0" w:color="FFFFFF"/>
        </w:tcBorders>
        <w:shd w:val="clear" w:color="4BACC6" w:fill="auto"/>
      </w:tcPr>
    </w:tblStylePr>
    <w:tblStylePr w:type="firstCol">
      <w:rPr>
        <w:rFonts w:ascii="Arial" w:hAnsi="Arial" w:cs="Arial"/>
        <w:b/>
        <w:color w:val="FFFFFF"/>
        <w:sz w:val="22"/>
      </w:rPr>
      <w:tblPr/>
      <w:tcPr>
        <w:shd w:val="clear" w:color="4BACC6" w:fill="auto"/>
      </w:tcPr>
    </w:tblStylePr>
    <w:tblStylePr w:type="lastCol">
      <w:rPr>
        <w:rFonts w:ascii="Arial" w:hAnsi="Arial" w:cs="Arial"/>
        <w:b/>
        <w:color w:val="FFFFFF"/>
        <w:sz w:val="22"/>
      </w:rPr>
      <w:tblPr/>
      <w:tcPr>
        <w:shd w:val="clear" w:color="4BACC6" w:fill="auto"/>
      </w:tcPr>
    </w:tblStylePr>
    <w:tblStylePr w:type="band1Vert">
      <w:rPr>
        <w:rFonts w:cs="Arial"/>
      </w:rPr>
      <w:tblPr/>
      <w:tcPr>
        <w:shd w:val="clear" w:color="ACD8E4" w:fill="auto"/>
      </w:tcPr>
    </w:tblStylePr>
    <w:tblStylePr w:type="band1Horz">
      <w:rPr>
        <w:rFonts w:cs="Arial"/>
      </w:rPr>
      <w:tblPr/>
      <w:tcPr>
        <w:shd w:val="clear" w:color="ACD8E4" w:fill="auto"/>
      </w:tcPr>
    </w:tblStylePr>
  </w:style>
  <w:style w:type="table" w:customStyle="1" w:styleId="GridTable5Dark-Accent6">
    <w:name w:val="Grid Table 5 Dark - Accent 6"/>
    <w:basedOn w:val="a3"/>
    <w:uiPriority w:val="99"/>
    <w:rsid w:val="00AE19E2"/>
    <w:rPr>
      <w:rFonts w:ascii="Arial" w:hAnsi="Arial" w:cs="Arial"/>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cs="Arial"/>
        <w:b/>
        <w:color w:val="FFFFFF"/>
        <w:sz w:val="22"/>
      </w:rPr>
      <w:tblPr/>
      <w:tcPr>
        <w:shd w:val="clear" w:color="F79646" w:fill="auto"/>
      </w:tcPr>
    </w:tblStylePr>
    <w:tblStylePr w:type="lastRow">
      <w:rPr>
        <w:rFonts w:ascii="Arial" w:hAnsi="Arial" w:cs="Arial"/>
        <w:b/>
        <w:color w:val="FFFFFF"/>
        <w:sz w:val="22"/>
      </w:rPr>
      <w:tblPr/>
      <w:tcPr>
        <w:tcBorders>
          <w:top w:val="single" w:sz="4" w:space="0" w:color="FFFFFF"/>
        </w:tcBorders>
        <w:shd w:val="clear" w:color="F79646" w:fill="auto"/>
      </w:tcPr>
    </w:tblStylePr>
    <w:tblStylePr w:type="firstCol">
      <w:rPr>
        <w:rFonts w:ascii="Arial" w:hAnsi="Arial" w:cs="Arial"/>
        <w:b/>
        <w:color w:val="FFFFFF"/>
        <w:sz w:val="22"/>
      </w:rPr>
      <w:tblPr/>
      <w:tcPr>
        <w:shd w:val="clear" w:color="F79646" w:fill="auto"/>
      </w:tcPr>
    </w:tblStylePr>
    <w:tblStylePr w:type="lastCol">
      <w:rPr>
        <w:rFonts w:ascii="Arial" w:hAnsi="Arial" w:cs="Arial"/>
        <w:b/>
        <w:color w:val="FFFFFF"/>
        <w:sz w:val="22"/>
      </w:rPr>
      <w:tblPr/>
      <w:tcPr>
        <w:shd w:val="clear" w:color="F79646" w:fill="auto"/>
      </w:tcPr>
    </w:tblStylePr>
    <w:tblStylePr w:type="band1Vert">
      <w:rPr>
        <w:rFonts w:cs="Arial"/>
      </w:rPr>
      <w:tblPr/>
      <w:tcPr>
        <w:shd w:val="clear" w:color="FBCEAA" w:fill="auto"/>
      </w:tcPr>
    </w:tblStylePr>
    <w:tblStylePr w:type="band1Horz">
      <w:rPr>
        <w:rFonts w:cs="Arial"/>
      </w:rPr>
      <w:tblPr/>
      <w:tcPr>
        <w:shd w:val="clear" w:color="FBCEAA" w:fill="auto"/>
      </w:tcPr>
    </w:tblStylePr>
  </w:style>
  <w:style w:type="table" w:customStyle="1" w:styleId="-61">
    <w:name w:val="Таблица-сетка 6 цветная1"/>
    <w:basedOn w:val="a3"/>
    <w:uiPriority w:val="99"/>
    <w:rsid w:val="00AE19E2"/>
    <w:rPr>
      <w:rFonts w:ascii="Arial" w:hAnsi="Arial" w:cs="Arial"/>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rFonts w:cs="Arial"/>
        <w:b/>
        <w:color w:val="7F7F7F"/>
      </w:rPr>
      <w:tblPr/>
      <w:tcPr>
        <w:tcBorders>
          <w:bottom w:val="single" w:sz="12" w:space="0" w:color="7F7F7F"/>
        </w:tcBorders>
      </w:tcPr>
    </w:tblStylePr>
    <w:tblStylePr w:type="lastRow">
      <w:rPr>
        <w:rFonts w:cs="Arial"/>
        <w:b/>
        <w:color w:val="7F7F7F"/>
      </w:rPr>
    </w:tblStylePr>
    <w:tblStylePr w:type="firstCol">
      <w:rPr>
        <w:rFonts w:cs="Arial"/>
        <w:b/>
        <w:color w:val="7F7F7F"/>
      </w:rPr>
    </w:tblStylePr>
    <w:tblStylePr w:type="lastCol">
      <w:rPr>
        <w:rFonts w:cs="Arial"/>
        <w:b/>
        <w:color w:val="7F7F7F"/>
      </w:rPr>
    </w:tblStylePr>
    <w:tblStylePr w:type="band1Vert">
      <w:rPr>
        <w:rFonts w:cs="Arial"/>
      </w:rPr>
      <w:tblPr/>
      <w:tcPr>
        <w:shd w:val="clear" w:color="CBCBCB" w:fill="auto"/>
      </w:tcPr>
    </w:tblStylePr>
    <w:tblStylePr w:type="band1Horz">
      <w:rPr>
        <w:rFonts w:ascii="Arial" w:hAnsi="Arial" w:cs="Arial"/>
        <w:color w:val="7F7F7F"/>
        <w:sz w:val="22"/>
      </w:rPr>
      <w:tblPr/>
      <w:tcPr>
        <w:shd w:val="clear" w:color="CBCBCB" w:fill="auto"/>
      </w:tcPr>
    </w:tblStylePr>
    <w:tblStylePr w:type="band2Horz">
      <w:rPr>
        <w:rFonts w:ascii="Arial" w:hAnsi="Arial" w:cs="Arial"/>
        <w:color w:val="7F7F7F"/>
        <w:sz w:val="22"/>
      </w:rPr>
    </w:tblStylePr>
  </w:style>
  <w:style w:type="table" w:customStyle="1" w:styleId="GridTable6Colorful-Accent1">
    <w:name w:val="Grid Table 6 Colorful - Accent 1"/>
    <w:basedOn w:val="a3"/>
    <w:uiPriority w:val="99"/>
    <w:rsid w:val="00AE19E2"/>
    <w:rPr>
      <w:rFonts w:ascii="Arial" w:hAnsi="Arial" w:cs="Arial"/>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rFonts w:cs="Arial"/>
        <w:b/>
        <w:color w:val="A6BFDD"/>
      </w:rPr>
      <w:tblPr/>
      <w:tcPr>
        <w:tcBorders>
          <w:bottom w:val="single" w:sz="12" w:space="0" w:color="A6BFDD"/>
        </w:tcBorders>
      </w:tcPr>
    </w:tblStylePr>
    <w:tblStylePr w:type="lastRow">
      <w:rPr>
        <w:rFonts w:cs="Arial"/>
        <w:b/>
        <w:color w:val="A6BFDD"/>
      </w:rPr>
    </w:tblStylePr>
    <w:tblStylePr w:type="firstCol">
      <w:rPr>
        <w:rFonts w:cs="Arial"/>
        <w:b/>
        <w:color w:val="A6BFDD"/>
      </w:rPr>
    </w:tblStylePr>
    <w:tblStylePr w:type="lastCol">
      <w:rPr>
        <w:rFonts w:cs="Arial"/>
        <w:b/>
        <w:color w:val="A6BFDD"/>
      </w:rPr>
    </w:tblStylePr>
    <w:tblStylePr w:type="band1Vert">
      <w:rPr>
        <w:rFonts w:cs="Arial"/>
      </w:rPr>
      <w:tblPr/>
      <w:tcPr>
        <w:shd w:val="clear" w:color="DAE5F1" w:fill="auto"/>
      </w:tcPr>
    </w:tblStylePr>
    <w:tblStylePr w:type="band1Horz">
      <w:rPr>
        <w:rFonts w:ascii="Arial" w:hAnsi="Arial" w:cs="Arial"/>
        <w:color w:val="A6BFDD"/>
        <w:sz w:val="22"/>
      </w:rPr>
      <w:tblPr/>
      <w:tcPr>
        <w:shd w:val="clear" w:color="DAE5F1" w:fill="auto"/>
      </w:tcPr>
    </w:tblStylePr>
    <w:tblStylePr w:type="band2Horz">
      <w:rPr>
        <w:rFonts w:ascii="Arial" w:hAnsi="Arial" w:cs="Arial"/>
        <w:color w:val="A6BFDD"/>
        <w:sz w:val="22"/>
      </w:rPr>
    </w:tblStylePr>
  </w:style>
  <w:style w:type="table" w:customStyle="1" w:styleId="GridTable6Colorful-Accent2">
    <w:name w:val="Grid Table 6 Colorful - Accent 2"/>
    <w:basedOn w:val="a3"/>
    <w:uiPriority w:val="99"/>
    <w:rsid w:val="00AE19E2"/>
    <w:rPr>
      <w:rFonts w:ascii="Arial" w:hAnsi="Arial" w:cs="Arial"/>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rFonts w:cs="Arial"/>
        <w:b/>
        <w:color w:val="D99695"/>
      </w:rPr>
      <w:tblPr/>
      <w:tcPr>
        <w:tcBorders>
          <w:bottom w:val="single" w:sz="12" w:space="0" w:color="D99695"/>
        </w:tcBorders>
      </w:tcPr>
    </w:tblStylePr>
    <w:tblStylePr w:type="lastRow">
      <w:rPr>
        <w:rFonts w:cs="Arial"/>
        <w:b/>
        <w:color w:val="D99695"/>
      </w:rPr>
    </w:tblStylePr>
    <w:tblStylePr w:type="firstCol">
      <w:rPr>
        <w:rFonts w:cs="Arial"/>
        <w:b/>
        <w:color w:val="D99695"/>
      </w:rPr>
    </w:tblStylePr>
    <w:tblStylePr w:type="lastCol">
      <w:rPr>
        <w:rFonts w:cs="Arial"/>
        <w:b/>
        <w:color w:val="D99695"/>
      </w:rPr>
    </w:tblStylePr>
    <w:tblStylePr w:type="band1Vert">
      <w:rPr>
        <w:rFonts w:cs="Arial"/>
      </w:rPr>
      <w:tblPr/>
      <w:tcPr>
        <w:shd w:val="clear" w:color="F2DCDC" w:fill="auto"/>
      </w:tcPr>
    </w:tblStylePr>
    <w:tblStylePr w:type="band1Horz">
      <w:rPr>
        <w:rFonts w:ascii="Arial" w:hAnsi="Arial" w:cs="Arial"/>
        <w:color w:val="D99695"/>
        <w:sz w:val="22"/>
      </w:rPr>
      <w:tblPr/>
      <w:tcPr>
        <w:shd w:val="clear" w:color="F2DCDC" w:fill="auto"/>
      </w:tcPr>
    </w:tblStylePr>
    <w:tblStylePr w:type="band2Horz">
      <w:rPr>
        <w:rFonts w:ascii="Arial" w:hAnsi="Arial" w:cs="Arial"/>
        <w:color w:val="D99695"/>
        <w:sz w:val="22"/>
      </w:rPr>
    </w:tblStylePr>
  </w:style>
  <w:style w:type="table" w:customStyle="1" w:styleId="GridTable6Colorful-Accent3">
    <w:name w:val="Grid Table 6 Colorful - Accent 3"/>
    <w:basedOn w:val="a3"/>
    <w:uiPriority w:val="99"/>
    <w:rsid w:val="00AE19E2"/>
    <w:rPr>
      <w:rFonts w:ascii="Arial" w:hAnsi="Arial" w:cs="Arial"/>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rFonts w:cs="Arial"/>
        <w:b/>
        <w:color w:val="9ABB59"/>
      </w:rPr>
      <w:tblPr/>
      <w:tcPr>
        <w:tcBorders>
          <w:bottom w:val="single" w:sz="12" w:space="0" w:color="9ABB59"/>
        </w:tcBorders>
      </w:tcPr>
    </w:tblStylePr>
    <w:tblStylePr w:type="lastRow">
      <w:rPr>
        <w:rFonts w:cs="Arial"/>
        <w:b/>
        <w:color w:val="9ABB59"/>
      </w:rPr>
    </w:tblStylePr>
    <w:tblStylePr w:type="firstCol">
      <w:rPr>
        <w:rFonts w:cs="Arial"/>
        <w:b/>
        <w:color w:val="9ABB59"/>
      </w:rPr>
    </w:tblStylePr>
    <w:tblStylePr w:type="lastCol">
      <w:rPr>
        <w:rFonts w:cs="Arial"/>
        <w:b/>
        <w:color w:val="9ABB59"/>
      </w:rPr>
    </w:tblStylePr>
    <w:tblStylePr w:type="band1Vert">
      <w:rPr>
        <w:rFonts w:cs="Arial"/>
      </w:rPr>
      <w:tblPr/>
      <w:tcPr>
        <w:shd w:val="clear" w:color="EAF1DC" w:fill="auto"/>
      </w:tcPr>
    </w:tblStylePr>
    <w:tblStylePr w:type="band1Horz">
      <w:rPr>
        <w:rFonts w:ascii="Arial" w:hAnsi="Arial" w:cs="Arial"/>
        <w:color w:val="9ABB59"/>
        <w:sz w:val="22"/>
      </w:rPr>
      <w:tblPr/>
      <w:tcPr>
        <w:shd w:val="clear" w:color="EAF1DC" w:fill="auto"/>
      </w:tcPr>
    </w:tblStylePr>
    <w:tblStylePr w:type="band2Horz">
      <w:rPr>
        <w:rFonts w:ascii="Arial" w:hAnsi="Arial" w:cs="Arial"/>
        <w:color w:val="9ABB59"/>
        <w:sz w:val="22"/>
      </w:rPr>
    </w:tblStylePr>
  </w:style>
  <w:style w:type="table" w:customStyle="1" w:styleId="GridTable6Colorful-Accent4">
    <w:name w:val="Grid Table 6 Colorful - Accent 4"/>
    <w:basedOn w:val="a3"/>
    <w:uiPriority w:val="99"/>
    <w:rsid w:val="00AE19E2"/>
    <w:rPr>
      <w:rFonts w:ascii="Arial" w:hAnsi="Arial" w:cs="Arial"/>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rFonts w:cs="Arial"/>
        <w:b/>
        <w:color w:val="B2A1C6"/>
      </w:rPr>
      <w:tblPr/>
      <w:tcPr>
        <w:tcBorders>
          <w:bottom w:val="single" w:sz="12" w:space="0" w:color="B2A1C6"/>
        </w:tcBorders>
      </w:tcPr>
    </w:tblStylePr>
    <w:tblStylePr w:type="lastRow">
      <w:rPr>
        <w:rFonts w:cs="Arial"/>
        <w:b/>
        <w:color w:val="B2A1C6"/>
      </w:rPr>
    </w:tblStylePr>
    <w:tblStylePr w:type="firstCol">
      <w:rPr>
        <w:rFonts w:cs="Arial"/>
        <w:b/>
        <w:color w:val="B2A1C6"/>
      </w:rPr>
    </w:tblStylePr>
    <w:tblStylePr w:type="lastCol">
      <w:rPr>
        <w:rFonts w:cs="Arial"/>
        <w:b/>
        <w:color w:val="B2A1C6"/>
      </w:rPr>
    </w:tblStylePr>
    <w:tblStylePr w:type="band1Vert">
      <w:rPr>
        <w:rFonts w:cs="Arial"/>
      </w:rPr>
      <w:tblPr/>
      <w:tcPr>
        <w:shd w:val="clear" w:color="E5DFEC" w:fill="auto"/>
      </w:tcPr>
    </w:tblStylePr>
    <w:tblStylePr w:type="band1Horz">
      <w:rPr>
        <w:rFonts w:ascii="Arial" w:hAnsi="Arial" w:cs="Arial"/>
        <w:color w:val="B2A1C6"/>
        <w:sz w:val="22"/>
      </w:rPr>
      <w:tblPr/>
      <w:tcPr>
        <w:shd w:val="clear" w:color="E5DFEC" w:fill="auto"/>
      </w:tcPr>
    </w:tblStylePr>
    <w:tblStylePr w:type="band2Horz">
      <w:rPr>
        <w:rFonts w:ascii="Arial" w:hAnsi="Arial" w:cs="Arial"/>
        <w:color w:val="B2A1C6"/>
        <w:sz w:val="22"/>
      </w:rPr>
    </w:tblStylePr>
  </w:style>
  <w:style w:type="table" w:customStyle="1" w:styleId="GridTable6Colorful-Accent5">
    <w:name w:val="Grid Table 6 Colorful - Accent 5"/>
    <w:basedOn w:val="a3"/>
    <w:uiPriority w:val="99"/>
    <w:rsid w:val="00AE19E2"/>
    <w:rPr>
      <w:rFonts w:ascii="Arial" w:hAnsi="Arial" w:cs="Arial"/>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rFonts w:cs="Arial"/>
        <w:b/>
        <w:color w:val="266779"/>
      </w:rPr>
      <w:tblPr/>
      <w:tcPr>
        <w:tcBorders>
          <w:bottom w:val="single" w:sz="12" w:space="0" w:color="4BACC6"/>
        </w:tcBorders>
      </w:tcPr>
    </w:tblStylePr>
    <w:tblStylePr w:type="lastRow">
      <w:rPr>
        <w:rFonts w:cs="Arial"/>
        <w:b/>
        <w:color w:val="266779"/>
      </w:rPr>
    </w:tblStylePr>
    <w:tblStylePr w:type="firstCol">
      <w:rPr>
        <w:rFonts w:cs="Arial"/>
        <w:b/>
        <w:color w:val="266779"/>
      </w:rPr>
    </w:tblStylePr>
    <w:tblStylePr w:type="lastCol">
      <w:rPr>
        <w:rFonts w:cs="Arial"/>
        <w:b/>
        <w:color w:val="266779"/>
      </w:rPr>
    </w:tblStylePr>
    <w:tblStylePr w:type="band1Vert">
      <w:rPr>
        <w:rFonts w:cs="Arial"/>
      </w:rPr>
      <w:tblPr/>
      <w:tcPr>
        <w:shd w:val="clear" w:color="DAEEF3" w:fill="auto"/>
      </w:tcPr>
    </w:tblStylePr>
    <w:tblStylePr w:type="band1Horz">
      <w:rPr>
        <w:rFonts w:ascii="Arial" w:hAnsi="Arial" w:cs="Arial"/>
        <w:color w:val="266779"/>
        <w:sz w:val="22"/>
      </w:rPr>
      <w:tblPr/>
      <w:tcPr>
        <w:shd w:val="clear" w:color="DAEEF3" w:fill="auto"/>
      </w:tcPr>
    </w:tblStylePr>
    <w:tblStylePr w:type="band2Horz">
      <w:rPr>
        <w:rFonts w:ascii="Arial" w:hAnsi="Arial" w:cs="Arial"/>
        <w:color w:val="266779"/>
        <w:sz w:val="22"/>
      </w:rPr>
    </w:tblStylePr>
  </w:style>
  <w:style w:type="table" w:customStyle="1" w:styleId="GridTable6Colorful-Accent6">
    <w:name w:val="Grid Table 6 Colorful - Accent 6"/>
    <w:basedOn w:val="a3"/>
    <w:uiPriority w:val="99"/>
    <w:rsid w:val="00AE19E2"/>
    <w:rPr>
      <w:rFonts w:ascii="Arial" w:hAnsi="Arial" w:cs="Arial"/>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rFonts w:cs="Arial"/>
        <w:b/>
        <w:color w:val="266779"/>
      </w:rPr>
      <w:tblPr/>
      <w:tcPr>
        <w:tcBorders>
          <w:bottom w:val="single" w:sz="12" w:space="0" w:color="F79646"/>
        </w:tcBorders>
      </w:tcPr>
    </w:tblStylePr>
    <w:tblStylePr w:type="lastRow">
      <w:rPr>
        <w:rFonts w:cs="Arial"/>
        <w:b/>
        <w:color w:val="266779"/>
      </w:rPr>
    </w:tblStylePr>
    <w:tblStylePr w:type="firstCol">
      <w:rPr>
        <w:rFonts w:cs="Arial"/>
        <w:b/>
        <w:color w:val="266779"/>
      </w:rPr>
    </w:tblStylePr>
    <w:tblStylePr w:type="lastCol">
      <w:rPr>
        <w:rFonts w:cs="Arial"/>
        <w:b/>
        <w:color w:val="266779"/>
      </w:rPr>
    </w:tblStylePr>
    <w:tblStylePr w:type="band1Vert">
      <w:rPr>
        <w:rFonts w:cs="Arial"/>
      </w:rPr>
      <w:tblPr/>
      <w:tcPr>
        <w:shd w:val="clear" w:color="FDE9D8" w:fill="auto"/>
      </w:tcPr>
    </w:tblStylePr>
    <w:tblStylePr w:type="band1Horz">
      <w:rPr>
        <w:rFonts w:ascii="Arial" w:hAnsi="Arial" w:cs="Arial"/>
        <w:color w:val="266779"/>
        <w:sz w:val="22"/>
      </w:rPr>
      <w:tblPr/>
      <w:tcPr>
        <w:shd w:val="clear" w:color="FDE9D8" w:fill="auto"/>
      </w:tcPr>
    </w:tblStylePr>
    <w:tblStylePr w:type="band2Horz">
      <w:rPr>
        <w:rFonts w:ascii="Arial" w:hAnsi="Arial" w:cs="Arial"/>
        <w:color w:val="266779"/>
        <w:sz w:val="22"/>
      </w:rPr>
    </w:tblStylePr>
  </w:style>
  <w:style w:type="table" w:customStyle="1" w:styleId="-71">
    <w:name w:val="Таблица-сетка 7 цветная1"/>
    <w:basedOn w:val="a3"/>
    <w:uiPriority w:val="99"/>
    <w:rsid w:val="00AE19E2"/>
    <w:rPr>
      <w:rFonts w:ascii="Arial" w:hAnsi="Arial" w:cs="Arial"/>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cs="Arial"/>
        <w:b/>
        <w:color w:val="7F7F7F"/>
        <w:sz w:val="22"/>
      </w:rPr>
      <w:tblPr/>
      <w:tcPr>
        <w:tcBorders>
          <w:top w:val="none" w:sz="0" w:space="0" w:color="auto"/>
          <w:left w:val="none" w:sz="0" w:space="0" w:color="auto"/>
          <w:bottom w:val="single" w:sz="4" w:space="0" w:color="7F7F7F"/>
          <w:right w:val="none" w:sz="0" w:space="0" w:color="auto"/>
        </w:tcBorders>
        <w:shd w:val="clear" w:color="FFFFFF" w:fill="auto"/>
      </w:tcPr>
    </w:tblStylePr>
    <w:tblStylePr w:type="lastRow">
      <w:rPr>
        <w:rFonts w:ascii="Arial" w:hAnsi="Arial" w:cs="Arial"/>
        <w:b/>
        <w:color w:val="7F7F7F"/>
        <w:sz w:val="22"/>
      </w:rPr>
      <w:tblPr/>
      <w:tcPr>
        <w:tcBorders>
          <w:top w:val="single" w:sz="4" w:space="0" w:color="7F7F7F"/>
          <w:left w:val="none" w:sz="0" w:space="0" w:color="auto"/>
          <w:bottom w:val="none" w:sz="0" w:space="0" w:color="auto"/>
          <w:right w:val="none" w:sz="0" w:space="0" w:color="auto"/>
        </w:tcBorders>
        <w:shd w:val="clear" w:color="FFFFFF" w:fill="auto"/>
      </w:tcPr>
    </w:tblStylePr>
    <w:tblStylePr w:type="firstCol">
      <w:pPr>
        <w:jc w:val="right"/>
      </w:pPr>
      <w:rPr>
        <w:rFonts w:ascii="Arial" w:hAnsi="Arial" w:cs="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cs="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rPr>
        <w:rFonts w:cs="Arial"/>
      </w:rPr>
      <w:tblPr/>
      <w:tcPr>
        <w:shd w:val="clear" w:color="F2F2F2" w:fill="auto"/>
      </w:tcPr>
    </w:tblStylePr>
    <w:tblStylePr w:type="band1Horz">
      <w:rPr>
        <w:rFonts w:ascii="Arial" w:hAnsi="Arial" w:cs="Arial"/>
        <w:color w:val="7F7F7F"/>
        <w:sz w:val="22"/>
      </w:rPr>
      <w:tblPr/>
      <w:tcPr>
        <w:shd w:val="clear" w:color="F2F2F2" w:fill="auto"/>
      </w:tcPr>
    </w:tblStylePr>
    <w:tblStylePr w:type="band2Horz">
      <w:rPr>
        <w:rFonts w:ascii="Arial" w:hAnsi="Arial" w:cs="Arial"/>
        <w:color w:val="7F7F7F"/>
        <w:sz w:val="22"/>
      </w:rPr>
    </w:tblStylePr>
  </w:style>
  <w:style w:type="table" w:customStyle="1" w:styleId="GridTable7Colorful-Accent1">
    <w:name w:val="Grid Table 7 Colorful - Accent 1"/>
    <w:basedOn w:val="a3"/>
    <w:uiPriority w:val="99"/>
    <w:rsid w:val="00AE19E2"/>
    <w:rPr>
      <w:rFonts w:ascii="Arial" w:hAnsi="Arial" w:cs="Arial"/>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cs="Arial"/>
        <w:b/>
        <w:color w:val="A6BFDD"/>
        <w:sz w:val="22"/>
      </w:rPr>
      <w:tblPr/>
      <w:tcPr>
        <w:tcBorders>
          <w:top w:val="none" w:sz="0" w:space="0" w:color="auto"/>
          <w:left w:val="none" w:sz="0" w:space="0" w:color="auto"/>
          <w:bottom w:val="single" w:sz="4" w:space="0" w:color="A6BFDD"/>
          <w:right w:val="none" w:sz="0" w:space="0" w:color="auto"/>
        </w:tcBorders>
        <w:shd w:val="clear" w:color="FFFFFF" w:fill="auto"/>
      </w:tcPr>
    </w:tblStylePr>
    <w:tblStylePr w:type="lastRow">
      <w:rPr>
        <w:rFonts w:ascii="Arial" w:hAnsi="Arial" w:cs="Arial"/>
        <w:b/>
        <w:color w:val="A6BFDD"/>
        <w:sz w:val="22"/>
      </w:rPr>
      <w:tblPr/>
      <w:tcPr>
        <w:tcBorders>
          <w:top w:val="single" w:sz="4" w:space="0" w:color="A6BFDD"/>
          <w:left w:val="none" w:sz="0" w:space="0" w:color="auto"/>
          <w:bottom w:val="none" w:sz="0" w:space="0" w:color="auto"/>
          <w:right w:val="none" w:sz="0" w:space="0" w:color="auto"/>
        </w:tcBorders>
        <w:shd w:val="clear" w:color="FFFFFF" w:fill="auto"/>
      </w:tcPr>
    </w:tblStylePr>
    <w:tblStylePr w:type="firstCol">
      <w:pPr>
        <w:jc w:val="right"/>
      </w:pPr>
      <w:rPr>
        <w:rFonts w:ascii="Arial" w:hAnsi="Arial" w:cs="Arial"/>
        <w:i/>
        <w:color w:val="A6BFDD"/>
        <w:sz w:val="22"/>
      </w:rPr>
      <w:tblPr/>
      <w:tcPr>
        <w:tcBorders>
          <w:top w:val="none" w:sz="0" w:space="0" w:color="auto"/>
          <w:left w:val="none" w:sz="0" w:space="0" w:color="auto"/>
          <w:bottom w:val="none" w:sz="0" w:space="0" w:color="auto"/>
          <w:right w:val="single" w:sz="4" w:space="0" w:color="A6BFDD"/>
        </w:tcBorders>
        <w:shd w:val="clear" w:color="FFFFFF" w:fill="auto"/>
      </w:tcPr>
    </w:tblStylePr>
    <w:tblStylePr w:type="lastCol">
      <w:rPr>
        <w:rFonts w:ascii="Arial" w:hAnsi="Arial" w:cs="Arial"/>
        <w:i/>
        <w:color w:val="A6BFDD"/>
        <w:sz w:val="22"/>
      </w:rPr>
      <w:tblPr/>
      <w:tcPr>
        <w:tcBorders>
          <w:top w:val="none" w:sz="0" w:space="0" w:color="auto"/>
          <w:left w:val="single" w:sz="4" w:space="0" w:color="A6BFDD"/>
          <w:bottom w:val="none" w:sz="0" w:space="0" w:color="auto"/>
          <w:right w:val="none" w:sz="0" w:space="0" w:color="auto"/>
        </w:tcBorders>
        <w:shd w:val="clear" w:color="FFFFFF" w:fill="auto"/>
      </w:tcPr>
    </w:tblStylePr>
    <w:tblStylePr w:type="band1Vert">
      <w:rPr>
        <w:rFonts w:cs="Arial"/>
      </w:rPr>
      <w:tblPr/>
      <w:tcPr>
        <w:shd w:val="clear" w:color="DAE5F1" w:fill="auto"/>
      </w:tcPr>
    </w:tblStylePr>
    <w:tblStylePr w:type="band1Horz">
      <w:rPr>
        <w:rFonts w:ascii="Arial" w:hAnsi="Arial" w:cs="Arial"/>
        <w:color w:val="A6BFDD"/>
        <w:sz w:val="22"/>
      </w:rPr>
      <w:tblPr/>
      <w:tcPr>
        <w:shd w:val="clear" w:color="DAE5F1" w:fill="auto"/>
      </w:tcPr>
    </w:tblStylePr>
    <w:tblStylePr w:type="band2Horz">
      <w:rPr>
        <w:rFonts w:ascii="Arial" w:hAnsi="Arial" w:cs="Arial"/>
        <w:color w:val="A6BFDD"/>
        <w:sz w:val="22"/>
      </w:rPr>
    </w:tblStylePr>
  </w:style>
  <w:style w:type="table" w:customStyle="1" w:styleId="GridTable7Colorful-Accent2">
    <w:name w:val="Grid Table 7 Colorful - Accent 2"/>
    <w:basedOn w:val="a3"/>
    <w:uiPriority w:val="99"/>
    <w:rsid w:val="00AE19E2"/>
    <w:rPr>
      <w:rFonts w:ascii="Arial" w:hAnsi="Arial" w:cs="Arial"/>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cs="Arial"/>
        <w:b/>
        <w:color w:val="D99695"/>
        <w:sz w:val="22"/>
      </w:rPr>
      <w:tblPr/>
      <w:tcPr>
        <w:tcBorders>
          <w:top w:val="none" w:sz="0" w:space="0" w:color="auto"/>
          <w:left w:val="none" w:sz="0" w:space="0" w:color="auto"/>
          <w:bottom w:val="single" w:sz="4" w:space="0" w:color="D99695"/>
          <w:right w:val="none" w:sz="0" w:space="0" w:color="auto"/>
        </w:tcBorders>
        <w:shd w:val="clear" w:color="FFFFFF" w:fill="auto"/>
      </w:tcPr>
    </w:tblStylePr>
    <w:tblStylePr w:type="lastRow">
      <w:rPr>
        <w:rFonts w:ascii="Arial" w:hAnsi="Arial" w:cs="Arial"/>
        <w:b/>
        <w:color w:val="D99695"/>
        <w:sz w:val="22"/>
      </w:rPr>
      <w:tblPr/>
      <w:tcPr>
        <w:tcBorders>
          <w:top w:val="single" w:sz="4" w:space="0" w:color="D99695"/>
          <w:left w:val="none" w:sz="0" w:space="0" w:color="auto"/>
          <w:bottom w:val="none" w:sz="0" w:space="0" w:color="auto"/>
          <w:right w:val="none" w:sz="0" w:space="0" w:color="auto"/>
        </w:tcBorders>
        <w:shd w:val="clear" w:color="FFFFFF" w:fill="auto"/>
      </w:tcPr>
    </w:tblStylePr>
    <w:tblStylePr w:type="firstCol">
      <w:pPr>
        <w:jc w:val="right"/>
      </w:pPr>
      <w:rPr>
        <w:rFonts w:ascii="Arial" w:hAnsi="Arial" w:cs="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cs="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rPr>
        <w:rFonts w:cs="Arial"/>
      </w:rPr>
      <w:tblPr/>
      <w:tcPr>
        <w:shd w:val="clear" w:color="F2DCDC" w:fill="auto"/>
      </w:tcPr>
    </w:tblStylePr>
    <w:tblStylePr w:type="band1Horz">
      <w:rPr>
        <w:rFonts w:ascii="Arial" w:hAnsi="Arial" w:cs="Arial"/>
        <w:color w:val="D99695"/>
        <w:sz w:val="22"/>
      </w:rPr>
      <w:tblPr/>
      <w:tcPr>
        <w:shd w:val="clear" w:color="F2DCDC" w:fill="auto"/>
      </w:tcPr>
    </w:tblStylePr>
    <w:tblStylePr w:type="band2Horz">
      <w:rPr>
        <w:rFonts w:ascii="Arial" w:hAnsi="Arial" w:cs="Arial"/>
        <w:color w:val="D99695"/>
        <w:sz w:val="22"/>
      </w:rPr>
    </w:tblStylePr>
  </w:style>
  <w:style w:type="table" w:customStyle="1" w:styleId="GridTable7Colorful-Accent3">
    <w:name w:val="Grid Table 7 Colorful - Accent 3"/>
    <w:basedOn w:val="a3"/>
    <w:uiPriority w:val="99"/>
    <w:rsid w:val="00AE19E2"/>
    <w:rPr>
      <w:rFonts w:ascii="Arial" w:hAnsi="Arial" w:cs="Arial"/>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cs="Arial"/>
        <w:b/>
        <w:color w:val="9ABB59"/>
        <w:sz w:val="22"/>
      </w:rPr>
      <w:tblPr/>
      <w:tcPr>
        <w:tcBorders>
          <w:top w:val="none" w:sz="0" w:space="0" w:color="auto"/>
          <w:left w:val="none" w:sz="0" w:space="0" w:color="auto"/>
          <w:bottom w:val="single" w:sz="4" w:space="0" w:color="9ABB59"/>
          <w:right w:val="none" w:sz="0" w:space="0" w:color="auto"/>
        </w:tcBorders>
        <w:shd w:val="clear" w:color="FFFFFF" w:fill="auto"/>
      </w:tcPr>
    </w:tblStylePr>
    <w:tblStylePr w:type="lastRow">
      <w:rPr>
        <w:rFonts w:ascii="Arial" w:hAnsi="Arial" w:cs="Arial"/>
        <w:b/>
        <w:color w:val="9ABB59"/>
        <w:sz w:val="22"/>
      </w:rPr>
      <w:tblPr/>
      <w:tcPr>
        <w:tcBorders>
          <w:top w:val="single" w:sz="4" w:space="0" w:color="9ABB59"/>
          <w:left w:val="none" w:sz="0" w:space="0" w:color="auto"/>
          <w:bottom w:val="none" w:sz="0" w:space="0" w:color="auto"/>
          <w:right w:val="none" w:sz="0" w:space="0" w:color="auto"/>
        </w:tcBorders>
        <w:shd w:val="clear" w:color="FFFFFF" w:fill="auto"/>
      </w:tcPr>
    </w:tblStylePr>
    <w:tblStylePr w:type="firstCol">
      <w:pPr>
        <w:jc w:val="right"/>
      </w:pPr>
      <w:rPr>
        <w:rFonts w:ascii="Arial" w:hAnsi="Arial" w:cs="Arial"/>
        <w:i/>
        <w:color w:val="9ABB59"/>
        <w:sz w:val="22"/>
      </w:rPr>
      <w:tblPr/>
      <w:tcPr>
        <w:tcBorders>
          <w:top w:val="none" w:sz="0" w:space="0" w:color="auto"/>
          <w:left w:val="none" w:sz="0" w:space="0" w:color="auto"/>
          <w:bottom w:val="none" w:sz="0" w:space="0" w:color="auto"/>
          <w:right w:val="single" w:sz="4" w:space="0" w:color="9ABB59"/>
        </w:tcBorders>
        <w:shd w:val="clear" w:color="FFFFFF" w:fill="auto"/>
      </w:tcPr>
    </w:tblStylePr>
    <w:tblStylePr w:type="lastCol">
      <w:rPr>
        <w:rFonts w:ascii="Arial" w:hAnsi="Arial" w:cs="Arial"/>
        <w:i/>
        <w:color w:val="9ABB59"/>
        <w:sz w:val="22"/>
      </w:rPr>
      <w:tblPr/>
      <w:tcPr>
        <w:tcBorders>
          <w:top w:val="none" w:sz="0" w:space="0" w:color="auto"/>
          <w:left w:val="single" w:sz="4" w:space="0" w:color="9ABB59"/>
          <w:bottom w:val="none" w:sz="0" w:space="0" w:color="auto"/>
          <w:right w:val="none" w:sz="0" w:space="0" w:color="auto"/>
        </w:tcBorders>
        <w:shd w:val="clear" w:color="FFFFFF" w:fill="auto"/>
      </w:tcPr>
    </w:tblStylePr>
    <w:tblStylePr w:type="band1Vert">
      <w:rPr>
        <w:rFonts w:cs="Arial"/>
      </w:rPr>
      <w:tblPr/>
      <w:tcPr>
        <w:shd w:val="clear" w:color="EAF1DC" w:fill="auto"/>
      </w:tcPr>
    </w:tblStylePr>
    <w:tblStylePr w:type="band1Horz">
      <w:rPr>
        <w:rFonts w:ascii="Arial" w:hAnsi="Arial" w:cs="Arial"/>
        <w:color w:val="9ABB59"/>
        <w:sz w:val="22"/>
      </w:rPr>
      <w:tblPr/>
      <w:tcPr>
        <w:shd w:val="clear" w:color="EAF1DC" w:fill="auto"/>
      </w:tcPr>
    </w:tblStylePr>
    <w:tblStylePr w:type="band2Horz">
      <w:rPr>
        <w:rFonts w:ascii="Arial" w:hAnsi="Arial" w:cs="Arial"/>
        <w:color w:val="9ABB59"/>
        <w:sz w:val="22"/>
      </w:rPr>
    </w:tblStylePr>
  </w:style>
  <w:style w:type="table" w:customStyle="1" w:styleId="GridTable7Colorful-Accent4">
    <w:name w:val="Grid Table 7 Colorful - Accent 4"/>
    <w:basedOn w:val="a3"/>
    <w:uiPriority w:val="99"/>
    <w:rsid w:val="00AE19E2"/>
    <w:rPr>
      <w:rFonts w:ascii="Arial" w:hAnsi="Arial" w:cs="Arial"/>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cs="Arial"/>
        <w:b/>
        <w:color w:val="B2A1C6"/>
        <w:sz w:val="22"/>
      </w:rPr>
      <w:tblPr/>
      <w:tcPr>
        <w:tcBorders>
          <w:top w:val="none" w:sz="0" w:space="0" w:color="auto"/>
          <w:left w:val="none" w:sz="0" w:space="0" w:color="auto"/>
          <w:bottom w:val="single" w:sz="4" w:space="0" w:color="B2A1C6"/>
          <w:right w:val="none" w:sz="0" w:space="0" w:color="auto"/>
        </w:tcBorders>
        <w:shd w:val="clear" w:color="FFFFFF" w:fill="auto"/>
      </w:tcPr>
    </w:tblStylePr>
    <w:tblStylePr w:type="lastRow">
      <w:rPr>
        <w:rFonts w:ascii="Arial" w:hAnsi="Arial" w:cs="Arial"/>
        <w:b/>
        <w:color w:val="B2A1C6"/>
        <w:sz w:val="22"/>
      </w:rPr>
      <w:tblPr/>
      <w:tcPr>
        <w:tcBorders>
          <w:top w:val="single" w:sz="4" w:space="0" w:color="B2A1C6"/>
          <w:left w:val="none" w:sz="0" w:space="0" w:color="auto"/>
          <w:bottom w:val="none" w:sz="0" w:space="0" w:color="auto"/>
          <w:right w:val="none" w:sz="0" w:space="0" w:color="auto"/>
        </w:tcBorders>
        <w:shd w:val="clear" w:color="FFFFFF" w:fill="auto"/>
      </w:tcPr>
    </w:tblStylePr>
    <w:tblStylePr w:type="firstCol">
      <w:pPr>
        <w:jc w:val="right"/>
      </w:pPr>
      <w:rPr>
        <w:rFonts w:ascii="Arial" w:hAnsi="Arial" w:cs="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cs="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rPr>
        <w:rFonts w:cs="Arial"/>
      </w:rPr>
      <w:tblPr/>
      <w:tcPr>
        <w:shd w:val="clear" w:color="E5DFEC" w:fill="auto"/>
      </w:tcPr>
    </w:tblStylePr>
    <w:tblStylePr w:type="band1Horz">
      <w:rPr>
        <w:rFonts w:ascii="Arial" w:hAnsi="Arial" w:cs="Arial"/>
        <w:color w:val="B2A1C6"/>
        <w:sz w:val="22"/>
      </w:rPr>
      <w:tblPr/>
      <w:tcPr>
        <w:shd w:val="clear" w:color="E5DFEC" w:fill="auto"/>
      </w:tcPr>
    </w:tblStylePr>
    <w:tblStylePr w:type="band2Horz">
      <w:rPr>
        <w:rFonts w:ascii="Arial" w:hAnsi="Arial" w:cs="Arial"/>
        <w:color w:val="B2A1C6"/>
        <w:sz w:val="22"/>
      </w:rPr>
    </w:tblStylePr>
  </w:style>
  <w:style w:type="table" w:customStyle="1" w:styleId="GridTable7Colorful-Accent5">
    <w:name w:val="Grid Table 7 Colorful - Accent 5"/>
    <w:basedOn w:val="a3"/>
    <w:uiPriority w:val="99"/>
    <w:rsid w:val="00AE19E2"/>
    <w:rPr>
      <w:rFonts w:ascii="Arial" w:hAnsi="Arial" w:cs="Arial"/>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cs="Arial"/>
        <w:b/>
        <w:color w:val="266779"/>
        <w:sz w:val="22"/>
      </w:rPr>
      <w:tblPr/>
      <w:tcPr>
        <w:tcBorders>
          <w:top w:val="none" w:sz="0" w:space="0" w:color="auto"/>
          <w:left w:val="none" w:sz="0" w:space="0" w:color="auto"/>
          <w:bottom w:val="single" w:sz="4" w:space="0" w:color="99D0DE"/>
          <w:right w:val="none" w:sz="0" w:space="0" w:color="auto"/>
        </w:tcBorders>
        <w:shd w:val="clear" w:color="FFFFFF" w:fill="auto"/>
      </w:tcPr>
    </w:tblStylePr>
    <w:tblStylePr w:type="lastRow">
      <w:rPr>
        <w:rFonts w:ascii="Arial" w:hAnsi="Arial" w:cs="Arial"/>
        <w:b/>
        <w:color w:val="266779"/>
        <w:sz w:val="22"/>
      </w:rPr>
      <w:tblPr/>
      <w:tcPr>
        <w:tcBorders>
          <w:top w:val="single" w:sz="4" w:space="0" w:color="99D0DE"/>
          <w:left w:val="none" w:sz="0" w:space="0" w:color="auto"/>
          <w:bottom w:val="none" w:sz="0" w:space="0" w:color="auto"/>
          <w:right w:val="none" w:sz="0" w:space="0" w:color="auto"/>
        </w:tcBorders>
        <w:shd w:val="clear" w:color="FFFFFF" w:fill="auto"/>
      </w:tcPr>
    </w:tblStylePr>
    <w:tblStylePr w:type="firstCol">
      <w:pPr>
        <w:jc w:val="right"/>
      </w:pPr>
      <w:rPr>
        <w:rFonts w:ascii="Arial" w:hAnsi="Arial" w:cs="Arial"/>
        <w:i/>
        <w:color w:val="266779"/>
        <w:sz w:val="22"/>
      </w:rPr>
      <w:tblPr/>
      <w:tcPr>
        <w:tcBorders>
          <w:top w:val="none" w:sz="0" w:space="0" w:color="auto"/>
          <w:left w:val="none" w:sz="0" w:space="0" w:color="auto"/>
          <w:bottom w:val="none" w:sz="0" w:space="0" w:color="auto"/>
          <w:right w:val="single" w:sz="4" w:space="0" w:color="99D0DE"/>
        </w:tcBorders>
        <w:shd w:val="clear" w:color="FFFFFF" w:fill="auto"/>
      </w:tcPr>
    </w:tblStylePr>
    <w:tblStylePr w:type="lastCol">
      <w:rPr>
        <w:rFonts w:ascii="Arial" w:hAnsi="Arial" w:cs="Arial"/>
        <w:i/>
        <w:color w:val="266779"/>
        <w:sz w:val="22"/>
      </w:rPr>
      <w:tblPr/>
      <w:tcPr>
        <w:tcBorders>
          <w:top w:val="none" w:sz="0" w:space="0" w:color="auto"/>
          <w:left w:val="single" w:sz="4" w:space="0" w:color="99D0DE"/>
          <w:bottom w:val="none" w:sz="0" w:space="0" w:color="auto"/>
          <w:right w:val="none" w:sz="0" w:space="0" w:color="auto"/>
        </w:tcBorders>
        <w:shd w:val="clear" w:color="FFFFFF" w:fill="auto"/>
      </w:tcPr>
    </w:tblStylePr>
    <w:tblStylePr w:type="band1Vert">
      <w:rPr>
        <w:rFonts w:cs="Arial"/>
      </w:rPr>
      <w:tblPr/>
      <w:tcPr>
        <w:shd w:val="clear" w:color="DAEEF3" w:fill="auto"/>
      </w:tcPr>
    </w:tblStylePr>
    <w:tblStylePr w:type="band1Horz">
      <w:rPr>
        <w:rFonts w:ascii="Arial" w:hAnsi="Arial" w:cs="Arial"/>
        <w:color w:val="266779"/>
        <w:sz w:val="22"/>
      </w:rPr>
      <w:tblPr/>
      <w:tcPr>
        <w:shd w:val="clear" w:color="DAEEF3" w:fill="auto"/>
      </w:tcPr>
    </w:tblStylePr>
    <w:tblStylePr w:type="band2Horz">
      <w:rPr>
        <w:rFonts w:ascii="Arial" w:hAnsi="Arial" w:cs="Arial"/>
        <w:color w:val="266779"/>
        <w:sz w:val="22"/>
      </w:rPr>
    </w:tblStylePr>
  </w:style>
  <w:style w:type="table" w:customStyle="1" w:styleId="GridTable7Colorful-Accent6">
    <w:name w:val="Grid Table 7 Colorful - Accent 6"/>
    <w:basedOn w:val="a3"/>
    <w:uiPriority w:val="99"/>
    <w:rsid w:val="00AE19E2"/>
    <w:rPr>
      <w:rFonts w:ascii="Arial" w:hAnsi="Arial" w:cs="Arial"/>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cs="Arial"/>
        <w:b/>
        <w:color w:val="B15407"/>
        <w:sz w:val="22"/>
      </w:rPr>
      <w:tblPr/>
      <w:tcPr>
        <w:tcBorders>
          <w:top w:val="none" w:sz="0" w:space="0" w:color="auto"/>
          <w:left w:val="none" w:sz="0" w:space="0" w:color="auto"/>
          <w:bottom w:val="single" w:sz="4" w:space="0" w:color="FAC396"/>
          <w:right w:val="none" w:sz="0" w:space="0" w:color="auto"/>
        </w:tcBorders>
        <w:shd w:val="clear" w:color="FFFFFF" w:fill="auto"/>
      </w:tcPr>
    </w:tblStylePr>
    <w:tblStylePr w:type="lastRow">
      <w:rPr>
        <w:rFonts w:ascii="Arial" w:hAnsi="Arial" w:cs="Arial"/>
        <w:b/>
        <w:color w:val="B15407"/>
        <w:sz w:val="22"/>
      </w:rPr>
      <w:tblPr/>
      <w:tcPr>
        <w:tcBorders>
          <w:top w:val="single" w:sz="4" w:space="0" w:color="FAC396"/>
          <w:left w:val="none" w:sz="0" w:space="0" w:color="auto"/>
          <w:bottom w:val="none" w:sz="0" w:space="0" w:color="auto"/>
          <w:right w:val="none" w:sz="0" w:space="0" w:color="auto"/>
        </w:tcBorders>
        <w:shd w:val="clear" w:color="FFFFFF" w:fill="auto"/>
      </w:tcPr>
    </w:tblStylePr>
    <w:tblStylePr w:type="firstCol">
      <w:pPr>
        <w:jc w:val="right"/>
      </w:pPr>
      <w:rPr>
        <w:rFonts w:ascii="Arial" w:hAnsi="Arial" w:cs="Arial"/>
        <w:i/>
        <w:color w:val="B15407"/>
        <w:sz w:val="22"/>
      </w:rPr>
      <w:tblPr/>
      <w:tcPr>
        <w:tcBorders>
          <w:top w:val="none" w:sz="0" w:space="0" w:color="auto"/>
          <w:left w:val="none" w:sz="0" w:space="0" w:color="auto"/>
          <w:bottom w:val="none" w:sz="0" w:space="0" w:color="auto"/>
          <w:right w:val="single" w:sz="4" w:space="0" w:color="FAC396"/>
        </w:tcBorders>
        <w:shd w:val="clear" w:color="FFFFFF" w:fill="auto"/>
      </w:tcPr>
    </w:tblStylePr>
    <w:tblStylePr w:type="lastCol">
      <w:rPr>
        <w:rFonts w:ascii="Arial" w:hAnsi="Arial" w:cs="Arial"/>
        <w:i/>
        <w:color w:val="B15407"/>
        <w:sz w:val="22"/>
      </w:rPr>
      <w:tblPr/>
      <w:tcPr>
        <w:tcBorders>
          <w:top w:val="none" w:sz="0" w:space="0" w:color="auto"/>
          <w:left w:val="single" w:sz="4" w:space="0" w:color="FAC396"/>
          <w:bottom w:val="none" w:sz="0" w:space="0" w:color="auto"/>
          <w:right w:val="none" w:sz="0" w:space="0" w:color="auto"/>
        </w:tcBorders>
        <w:shd w:val="clear" w:color="FFFFFF" w:fill="auto"/>
      </w:tcPr>
    </w:tblStylePr>
    <w:tblStylePr w:type="band1Vert">
      <w:rPr>
        <w:rFonts w:cs="Arial"/>
      </w:rPr>
      <w:tblPr/>
      <w:tcPr>
        <w:shd w:val="clear" w:color="FDE9D8" w:fill="auto"/>
      </w:tcPr>
    </w:tblStylePr>
    <w:tblStylePr w:type="band1Horz">
      <w:rPr>
        <w:rFonts w:ascii="Arial" w:hAnsi="Arial" w:cs="Arial"/>
        <w:color w:val="B15407"/>
        <w:sz w:val="22"/>
      </w:rPr>
      <w:tblPr/>
      <w:tcPr>
        <w:shd w:val="clear" w:color="FDE9D8" w:fill="auto"/>
      </w:tcPr>
    </w:tblStylePr>
    <w:tblStylePr w:type="band2Horz">
      <w:rPr>
        <w:rFonts w:ascii="Arial" w:hAnsi="Arial" w:cs="Arial"/>
        <w:color w:val="B15407"/>
        <w:sz w:val="22"/>
      </w:rPr>
    </w:tblStylePr>
  </w:style>
  <w:style w:type="table" w:customStyle="1" w:styleId="-110">
    <w:name w:val="Список-таблица 1 светлая1"/>
    <w:basedOn w:val="a3"/>
    <w:uiPriority w:val="99"/>
    <w:rsid w:val="00AE19E2"/>
    <w:rPr>
      <w:rFonts w:ascii="Arial" w:hAnsi="Arial" w:cs="Arial"/>
    </w:rPr>
    <w:tblPr>
      <w:tblStyleRowBandSize w:val="1"/>
      <w:tblStyleColBandSize w:val="1"/>
    </w:tblPr>
    <w:tblStylePr w:type="firstRow">
      <w:rPr>
        <w:rFonts w:cs="Arial"/>
        <w:b/>
        <w:color w:val="404040"/>
      </w:rPr>
      <w:tblPr/>
      <w:tcPr>
        <w:tcBorders>
          <w:top w:val="none" w:sz="4" w:space="0" w:color="000000"/>
          <w:left w:val="none" w:sz="4" w:space="0" w:color="000000"/>
          <w:bottom w:val="single" w:sz="4" w:space="0" w:color="000000"/>
          <w:right w:val="none" w:sz="4" w:space="0" w:color="000000"/>
        </w:tcBorders>
      </w:tcPr>
    </w:tblStylePr>
    <w:tblStylePr w:type="lastRow">
      <w:rPr>
        <w:rFonts w:cs="Arial"/>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rFonts w:cs="Arial"/>
        <w:b/>
        <w:color w:val="404040"/>
      </w:rPr>
    </w:tblStylePr>
    <w:tblStylePr w:type="lastCol">
      <w:rPr>
        <w:rFonts w:cs="Arial"/>
        <w:b/>
        <w:color w:val="404040"/>
      </w:rPr>
    </w:tblStylePr>
    <w:tblStylePr w:type="band1Vert">
      <w:rPr>
        <w:rFonts w:cs="Arial"/>
      </w:rPr>
      <w:tblPr/>
      <w:tcPr>
        <w:shd w:val="clear" w:color="BFBFBF" w:fill="auto"/>
      </w:tcPr>
    </w:tblStylePr>
    <w:tblStylePr w:type="band1Horz">
      <w:rPr>
        <w:rFonts w:cs="Arial"/>
      </w:rPr>
      <w:tblPr/>
      <w:tcPr>
        <w:shd w:val="clear" w:color="BFBFBF" w:fill="auto"/>
      </w:tcPr>
    </w:tblStylePr>
  </w:style>
  <w:style w:type="table" w:customStyle="1" w:styleId="ListTable1Light-Accent1">
    <w:name w:val="List Table 1 Light - Accent 1"/>
    <w:basedOn w:val="a3"/>
    <w:uiPriority w:val="99"/>
    <w:rsid w:val="00AE19E2"/>
    <w:rPr>
      <w:rFonts w:ascii="Arial" w:hAnsi="Arial" w:cs="Arial"/>
    </w:rPr>
    <w:tblPr>
      <w:tblStyleRowBandSize w:val="1"/>
      <w:tblStyleColBandSize w:val="1"/>
    </w:tblPr>
    <w:tblStylePr w:type="firstRow">
      <w:rPr>
        <w:rFonts w:cs="Arial"/>
        <w:b/>
        <w:color w:val="404040"/>
      </w:rPr>
      <w:tblPr/>
      <w:tcPr>
        <w:tcBorders>
          <w:top w:val="none" w:sz="4" w:space="0" w:color="000000"/>
          <w:left w:val="none" w:sz="4" w:space="0" w:color="000000"/>
          <w:bottom w:val="single" w:sz="4" w:space="0" w:color="4F81BD"/>
          <w:right w:val="none" w:sz="4" w:space="0" w:color="000000"/>
        </w:tcBorders>
      </w:tcPr>
    </w:tblStylePr>
    <w:tblStylePr w:type="lastRow">
      <w:rPr>
        <w:rFonts w:cs="Arial"/>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rFonts w:cs="Arial"/>
        <w:b/>
        <w:color w:val="404040"/>
      </w:rPr>
    </w:tblStylePr>
    <w:tblStylePr w:type="lastCol">
      <w:rPr>
        <w:rFonts w:cs="Arial"/>
        <w:b/>
        <w:color w:val="404040"/>
      </w:rPr>
    </w:tblStylePr>
    <w:tblStylePr w:type="band1Vert">
      <w:rPr>
        <w:rFonts w:cs="Arial"/>
      </w:rPr>
      <w:tblPr/>
      <w:tcPr>
        <w:shd w:val="clear" w:color="D2DFEE" w:fill="auto"/>
      </w:tcPr>
    </w:tblStylePr>
    <w:tblStylePr w:type="band1Horz">
      <w:rPr>
        <w:rFonts w:cs="Arial"/>
      </w:rPr>
      <w:tblPr/>
      <w:tcPr>
        <w:shd w:val="clear" w:color="D2DFEE" w:fill="auto"/>
      </w:tcPr>
    </w:tblStylePr>
  </w:style>
  <w:style w:type="table" w:customStyle="1" w:styleId="ListTable1Light-Accent2">
    <w:name w:val="List Table 1 Light - Accent 2"/>
    <w:basedOn w:val="a3"/>
    <w:uiPriority w:val="99"/>
    <w:rsid w:val="00AE19E2"/>
    <w:rPr>
      <w:rFonts w:ascii="Arial" w:hAnsi="Arial" w:cs="Arial"/>
    </w:rPr>
    <w:tblPr>
      <w:tblStyleRowBandSize w:val="1"/>
      <w:tblStyleColBandSize w:val="1"/>
    </w:tblPr>
    <w:tblStylePr w:type="firstRow">
      <w:rPr>
        <w:rFonts w:cs="Arial"/>
        <w:b/>
        <w:color w:val="404040"/>
      </w:rPr>
      <w:tblPr/>
      <w:tcPr>
        <w:tcBorders>
          <w:top w:val="none" w:sz="4" w:space="0" w:color="000000"/>
          <w:left w:val="none" w:sz="4" w:space="0" w:color="000000"/>
          <w:bottom w:val="single" w:sz="4" w:space="0" w:color="C0504D"/>
          <w:right w:val="none" w:sz="4" w:space="0" w:color="000000"/>
        </w:tcBorders>
      </w:tcPr>
    </w:tblStylePr>
    <w:tblStylePr w:type="lastRow">
      <w:rPr>
        <w:rFonts w:cs="Arial"/>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rFonts w:cs="Arial"/>
        <w:b/>
        <w:color w:val="404040"/>
      </w:rPr>
    </w:tblStylePr>
    <w:tblStylePr w:type="lastCol">
      <w:rPr>
        <w:rFonts w:cs="Arial"/>
        <w:b/>
        <w:color w:val="404040"/>
      </w:rPr>
    </w:tblStylePr>
    <w:tblStylePr w:type="band1Vert">
      <w:rPr>
        <w:rFonts w:cs="Arial"/>
      </w:rPr>
      <w:tblPr/>
      <w:tcPr>
        <w:shd w:val="clear" w:color="EFD2D2" w:fill="auto"/>
      </w:tcPr>
    </w:tblStylePr>
    <w:tblStylePr w:type="band1Horz">
      <w:rPr>
        <w:rFonts w:cs="Arial"/>
      </w:rPr>
      <w:tblPr/>
      <w:tcPr>
        <w:shd w:val="clear" w:color="EFD2D2" w:fill="auto"/>
      </w:tcPr>
    </w:tblStylePr>
  </w:style>
  <w:style w:type="table" w:customStyle="1" w:styleId="ListTable1Light-Accent3">
    <w:name w:val="List Table 1 Light - Accent 3"/>
    <w:basedOn w:val="a3"/>
    <w:uiPriority w:val="99"/>
    <w:rsid w:val="00AE19E2"/>
    <w:rPr>
      <w:rFonts w:ascii="Arial" w:hAnsi="Arial" w:cs="Arial"/>
    </w:rPr>
    <w:tblPr>
      <w:tblStyleRowBandSize w:val="1"/>
      <w:tblStyleColBandSize w:val="1"/>
    </w:tblPr>
    <w:tblStylePr w:type="firstRow">
      <w:rPr>
        <w:rFonts w:cs="Arial"/>
        <w:b/>
        <w:color w:val="404040"/>
      </w:rPr>
      <w:tblPr/>
      <w:tcPr>
        <w:tcBorders>
          <w:top w:val="none" w:sz="4" w:space="0" w:color="000000"/>
          <w:left w:val="none" w:sz="4" w:space="0" w:color="000000"/>
          <w:bottom w:val="single" w:sz="4" w:space="0" w:color="9BBB59"/>
          <w:right w:val="none" w:sz="4" w:space="0" w:color="000000"/>
        </w:tcBorders>
      </w:tcPr>
    </w:tblStylePr>
    <w:tblStylePr w:type="lastRow">
      <w:rPr>
        <w:rFonts w:cs="Arial"/>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rFonts w:cs="Arial"/>
        <w:b/>
        <w:color w:val="404040"/>
      </w:rPr>
    </w:tblStylePr>
    <w:tblStylePr w:type="lastCol">
      <w:rPr>
        <w:rFonts w:cs="Arial"/>
        <w:b/>
        <w:color w:val="404040"/>
      </w:rPr>
    </w:tblStylePr>
    <w:tblStylePr w:type="band1Vert">
      <w:rPr>
        <w:rFonts w:cs="Arial"/>
      </w:rPr>
      <w:tblPr/>
      <w:tcPr>
        <w:shd w:val="clear" w:color="E5EED5" w:fill="auto"/>
      </w:tcPr>
    </w:tblStylePr>
    <w:tblStylePr w:type="band1Horz">
      <w:rPr>
        <w:rFonts w:cs="Arial"/>
      </w:rPr>
      <w:tblPr/>
      <w:tcPr>
        <w:shd w:val="clear" w:color="E5EED5" w:fill="auto"/>
      </w:tcPr>
    </w:tblStylePr>
  </w:style>
  <w:style w:type="table" w:customStyle="1" w:styleId="ListTable1Light-Accent4">
    <w:name w:val="List Table 1 Light - Accent 4"/>
    <w:basedOn w:val="a3"/>
    <w:uiPriority w:val="99"/>
    <w:rsid w:val="00AE19E2"/>
    <w:rPr>
      <w:rFonts w:ascii="Arial" w:hAnsi="Arial" w:cs="Arial"/>
    </w:rPr>
    <w:tblPr>
      <w:tblStyleRowBandSize w:val="1"/>
      <w:tblStyleColBandSize w:val="1"/>
    </w:tblPr>
    <w:tblStylePr w:type="firstRow">
      <w:rPr>
        <w:rFonts w:cs="Arial"/>
        <w:b/>
        <w:color w:val="404040"/>
      </w:rPr>
      <w:tblPr/>
      <w:tcPr>
        <w:tcBorders>
          <w:top w:val="none" w:sz="4" w:space="0" w:color="000000"/>
          <w:left w:val="none" w:sz="4" w:space="0" w:color="000000"/>
          <w:bottom w:val="single" w:sz="4" w:space="0" w:color="8064A2"/>
          <w:right w:val="none" w:sz="4" w:space="0" w:color="000000"/>
        </w:tcBorders>
      </w:tcPr>
    </w:tblStylePr>
    <w:tblStylePr w:type="lastRow">
      <w:rPr>
        <w:rFonts w:cs="Arial"/>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rFonts w:cs="Arial"/>
        <w:b/>
        <w:color w:val="404040"/>
      </w:rPr>
    </w:tblStylePr>
    <w:tblStylePr w:type="lastCol">
      <w:rPr>
        <w:rFonts w:cs="Arial"/>
        <w:b/>
        <w:color w:val="404040"/>
      </w:rPr>
    </w:tblStylePr>
    <w:tblStylePr w:type="band1Vert">
      <w:rPr>
        <w:rFonts w:cs="Arial"/>
      </w:rPr>
      <w:tblPr/>
      <w:tcPr>
        <w:shd w:val="clear" w:color="DFD8E7" w:fill="auto"/>
      </w:tcPr>
    </w:tblStylePr>
    <w:tblStylePr w:type="band1Horz">
      <w:rPr>
        <w:rFonts w:cs="Arial"/>
      </w:rPr>
      <w:tblPr/>
      <w:tcPr>
        <w:shd w:val="clear" w:color="DFD8E7" w:fill="auto"/>
      </w:tcPr>
    </w:tblStylePr>
  </w:style>
  <w:style w:type="table" w:customStyle="1" w:styleId="ListTable1Light-Accent5">
    <w:name w:val="List Table 1 Light - Accent 5"/>
    <w:basedOn w:val="a3"/>
    <w:uiPriority w:val="99"/>
    <w:rsid w:val="00AE19E2"/>
    <w:rPr>
      <w:rFonts w:ascii="Arial" w:hAnsi="Arial" w:cs="Arial"/>
    </w:rPr>
    <w:tblPr>
      <w:tblStyleRowBandSize w:val="1"/>
      <w:tblStyleColBandSize w:val="1"/>
    </w:tblPr>
    <w:tblStylePr w:type="firstRow">
      <w:rPr>
        <w:rFonts w:cs="Arial"/>
        <w:b/>
        <w:color w:val="404040"/>
      </w:rPr>
      <w:tblPr/>
      <w:tcPr>
        <w:tcBorders>
          <w:top w:val="none" w:sz="4" w:space="0" w:color="000000"/>
          <w:left w:val="none" w:sz="4" w:space="0" w:color="000000"/>
          <w:bottom w:val="single" w:sz="4" w:space="0" w:color="4BACC6"/>
          <w:right w:val="none" w:sz="4" w:space="0" w:color="000000"/>
        </w:tcBorders>
      </w:tcPr>
    </w:tblStylePr>
    <w:tblStylePr w:type="lastRow">
      <w:rPr>
        <w:rFonts w:cs="Arial"/>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rFonts w:cs="Arial"/>
        <w:b/>
        <w:color w:val="404040"/>
      </w:rPr>
    </w:tblStylePr>
    <w:tblStylePr w:type="lastCol">
      <w:rPr>
        <w:rFonts w:cs="Arial"/>
        <w:b/>
        <w:color w:val="404040"/>
      </w:rPr>
    </w:tblStylePr>
    <w:tblStylePr w:type="band1Vert">
      <w:rPr>
        <w:rFonts w:cs="Arial"/>
      </w:rPr>
      <w:tblPr/>
      <w:tcPr>
        <w:shd w:val="clear" w:color="D1EAF0" w:fill="auto"/>
      </w:tcPr>
    </w:tblStylePr>
    <w:tblStylePr w:type="band1Horz">
      <w:rPr>
        <w:rFonts w:cs="Arial"/>
      </w:rPr>
      <w:tblPr/>
      <w:tcPr>
        <w:shd w:val="clear" w:color="D1EAF0" w:fill="auto"/>
      </w:tcPr>
    </w:tblStylePr>
  </w:style>
  <w:style w:type="table" w:customStyle="1" w:styleId="ListTable1Light-Accent6">
    <w:name w:val="List Table 1 Light - Accent 6"/>
    <w:basedOn w:val="a3"/>
    <w:uiPriority w:val="99"/>
    <w:rsid w:val="00AE19E2"/>
    <w:rPr>
      <w:rFonts w:ascii="Arial" w:hAnsi="Arial" w:cs="Arial"/>
    </w:rPr>
    <w:tblPr>
      <w:tblStyleRowBandSize w:val="1"/>
      <w:tblStyleColBandSize w:val="1"/>
    </w:tblPr>
    <w:tblStylePr w:type="firstRow">
      <w:rPr>
        <w:rFonts w:cs="Arial"/>
        <w:b/>
        <w:color w:val="404040"/>
      </w:rPr>
      <w:tblPr/>
      <w:tcPr>
        <w:tcBorders>
          <w:top w:val="none" w:sz="4" w:space="0" w:color="000000"/>
          <w:left w:val="none" w:sz="4" w:space="0" w:color="000000"/>
          <w:bottom w:val="single" w:sz="4" w:space="0" w:color="F79646"/>
          <w:right w:val="none" w:sz="4" w:space="0" w:color="000000"/>
        </w:tcBorders>
      </w:tcPr>
    </w:tblStylePr>
    <w:tblStylePr w:type="lastRow">
      <w:rPr>
        <w:rFonts w:cs="Arial"/>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rFonts w:cs="Arial"/>
        <w:b/>
        <w:color w:val="404040"/>
      </w:rPr>
    </w:tblStylePr>
    <w:tblStylePr w:type="lastCol">
      <w:rPr>
        <w:rFonts w:cs="Arial"/>
        <w:b/>
        <w:color w:val="404040"/>
      </w:rPr>
    </w:tblStylePr>
    <w:tblStylePr w:type="band1Vert">
      <w:rPr>
        <w:rFonts w:cs="Arial"/>
      </w:rPr>
      <w:tblPr/>
      <w:tcPr>
        <w:shd w:val="clear" w:color="FDE4D0" w:fill="auto"/>
      </w:tcPr>
    </w:tblStylePr>
    <w:tblStylePr w:type="band1Horz">
      <w:rPr>
        <w:rFonts w:cs="Arial"/>
      </w:rPr>
      <w:tblPr/>
      <w:tcPr>
        <w:shd w:val="clear" w:color="FDE4D0" w:fill="auto"/>
      </w:tcPr>
    </w:tblStylePr>
  </w:style>
  <w:style w:type="table" w:customStyle="1" w:styleId="-210">
    <w:name w:val="Список-таблица 21"/>
    <w:basedOn w:val="a3"/>
    <w:uiPriority w:val="99"/>
    <w:rsid w:val="00AE19E2"/>
    <w:rPr>
      <w:rFonts w:ascii="Arial" w:hAnsi="Arial" w:cs="Arial"/>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cs="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cs="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cs="Arial"/>
        <w:b/>
        <w:color w:val="404040"/>
        <w:sz w:val="22"/>
      </w:rPr>
    </w:tblStylePr>
    <w:tblStylePr w:type="lastCol">
      <w:rPr>
        <w:rFonts w:ascii="Arial" w:hAnsi="Arial" w:cs="Arial"/>
        <w:b/>
        <w:color w:val="404040"/>
        <w:sz w:val="22"/>
      </w:rPr>
    </w:tblStylePr>
    <w:tblStylePr w:type="band1Vert">
      <w:rPr>
        <w:rFonts w:ascii="Arial" w:hAnsi="Arial" w:cs="Arial"/>
        <w:color w:val="404040"/>
        <w:sz w:val="22"/>
      </w:rPr>
      <w:tblPr/>
      <w:tcPr>
        <w:shd w:val="clear" w:color="BFBFBF" w:fill="auto"/>
      </w:tcPr>
    </w:tblStylePr>
    <w:tblStylePr w:type="band1Horz">
      <w:rPr>
        <w:rFonts w:ascii="Arial" w:hAnsi="Arial" w:cs="Arial"/>
        <w:color w:val="404040"/>
        <w:sz w:val="22"/>
      </w:rPr>
      <w:tblPr/>
      <w:tcPr>
        <w:shd w:val="clear" w:color="BFBFBF" w:fill="auto"/>
      </w:tcPr>
    </w:tblStylePr>
  </w:style>
  <w:style w:type="table" w:customStyle="1" w:styleId="ListTable2-Accent1">
    <w:name w:val="List Table 2 - Accent 1"/>
    <w:basedOn w:val="a3"/>
    <w:uiPriority w:val="99"/>
    <w:rsid w:val="00AE19E2"/>
    <w:rPr>
      <w:rFonts w:ascii="Arial" w:hAnsi="Arial" w:cs="Arial"/>
    </w:rPr>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cs="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cs="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cs="Arial"/>
        <w:b/>
        <w:color w:val="404040"/>
        <w:sz w:val="22"/>
      </w:rPr>
    </w:tblStylePr>
    <w:tblStylePr w:type="lastCol">
      <w:rPr>
        <w:rFonts w:ascii="Arial" w:hAnsi="Arial" w:cs="Arial"/>
        <w:b/>
        <w:color w:val="404040"/>
        <w:sz w:val="22"/>
      </w:rPr>
    </w:tblStylePr>
    <w:tblStylePr w:type="band1Vert">
      <w:rPr>
        <w:rFonts w:ascii="Arial" w:hAnsi="Arial" w:cs="Arial"/>
        <w:color w:val="404040"/>
        <w:sz w:val="22"/>
      </w:rPr>
      <w:tblPr/>
      <w:tcPr>
        <w:shd w:val="clear" w:color="D2DFEE" w:fill="auto"/>
      </w:tcPr>
    </w:tblStylePr>
    <w:tblStylePr w:type="band1Horz">
      <w:rPr>
        <w:rFonts w:ascii="Arial" w:hAnsi="Arial" w:cs="Arial"/>
        <w:color w:val="404040"/>
        <w:sz w:val="22"/>
      </w:rPr>
      <w:tblPr/>
      <w:tcPr>
        <w:shd w:val="clear" w:color="D2DFEE" w:fill="auto"/>
      </w:tcPr>
    </w:tblStylePr>
  </w:style>
  <w:style w:type="table" w:customStyle="1" w:styleId="ListTable2-Accent2">
    <w:name w:val="List Table 2 - Accent 2"/>
    <w:basedOn w:val="a3"/>
    <w:uiPriority w:val="99"/>
    <w:rsid w:val="00AE19E2"/>
    <w:rPr>
      <w:rFonts w:ascii="Arial" w:hAnsi="Arial" w:cs="Arial"/>
    </w:rPr>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cs="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cs="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cs="Arial"/>
        <w:b/>
        <w:color w:val="404040"/>
        <w:sz w:val="22"/>
      </w:rPr>
    </w:tblStylePr>
    <w:tblStylePr w:type="lastCol">
      <w:rPr>
        <w:rFonts w:ascii="Arial" w:hAnsi="Arial" w:cs="Arial"/>
        <w:b/>
        <w:color w:val="404040"/>
        <w:sz w:val="22"/>
      </w:rPr>
    </w:tblStylePr>
    <w:tblStylePr w:type="band1Vert">
      <w:rPr>
        <w:rFonts w:ascii="Arial" w:hAnsi="Arial" w:cs="Arial"/>
        <w:color w:val="404040"/>
        <w:sz w:val="22"/>
      </w:rPr>
      <w:tblPr/>
      <w:tcPr>
        <w:shd w:val="clear" w:color="EFD2D2" w:fill="auto"/>
      </w:tcPr>
    </w:tblStylePr>
    <w:tblStylePr w:type="band1Horz">
      <w:rPr>
        <w:rFonts w:ascii="Arial" w:hAnsi="Arial" w:cs="Arial"/>
        <w:color w:val="404040"/>
        <w:sz w:val="22"/>
      </w:rPr>
      <w:tblPr/>
      <w:tcPr>
        <w:shd w:val="clear" w:color="EFD2D2" w:fill="auto"/>
      </w:tcPr>
    </w:tblStylePr>
  </w:style>
  <w:style w:type="table" w:customStyle="1" w:styleId="ListTable2-Accent3">
    <w:name w:val="List Table 2 - Accent 3"/>
    <w:basedOn w:val="a3"/>
    <w:uiPriority w:val="99"/>
    <w:rsid w:val="00AE19E2"/>
    <w:rPr>
      <w:rFonts w:ascii="Arial" w:hAnsi="Arial" w:cs="Arial"/>
    </w:rPr>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cs="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cs="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cs="Arial"/>
        <w:b/>
        <w:color w:val="404040"/>
        <w:sz w:val="22"/>
      </w:rPr>
    </w:tblStylePr>
    <w:tblStylePr w:type="lastCol">
      <w:rPr>
        <w:rFonts w:ascii="Arial" w:hAnsi="Arial" w:cs="Arial"/>
        <w:b/>
        <w:color w:val="404040"/>
        <w:sz w:val="22"/>
      </w:rPr>
    </w:tblStylePr>
    <w:tblStylePr w:type="band1Vert">
      <w:rPr>
        <w:rFonts w:ascii="Arial" w:hAnsi="Arial" w:cs="Arial"/>
        <w:color w:val="404040"/>
        <w:sz w:val="22"/>
      </w:rPr>
      <w:tblPr/>
      <w:tcPr>
        <w:shd w:val="clear" w:color="E5EED5" w:fill="auto"/>
      </w:tcPr>
    </w:tblStylePr>
    <w:tblStylePr w:type="band1Horz">
      <w:rPr>
        <w:rFonts w:ascii="Arial" w:hAnsi="Arial" w:cs="Arial"/>
        <w:color w:val="404040"/>
        <w:sz w:val="22"/>
      </w:rPr>
      <w:tblPr/>
      <w:tcPr>
        <w:shd w:val="clear" w:color="E5EED5" w:fill="auto"/>
      </w:tcPr>
    </w:tblStylePr>
  </w:style>
  <w:style w:type="table" w:customStyle="1" w:styleId="ListTable2-Accent4">
    <w:name w:val="List Table 2 - Accent 4"/>
    <w:basedOn w:val="a3"/>
    <w:uiPriority w:val="99"/>
    <w:rsid w:val="00AE19E2"/>
    <w:rPr>
      <w:rFonts w:ascii="Arial" w:hAnsi="Arial" w:cs="Arial"/>
    </w:rPr>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cs="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cs="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cs="Arial"/>
        <w:b/>
        <w:color w:val="404040"/>
        <w:sz w:val="22"/>
      </w:rPr>
    </w:tblStylePr>
    <w:tblStylePr w:type="lastCol">
      <w:rPr>
        <w:rFonts w:ascii="Arial" w:hAnsi="Arial" w:cs="Arial"/>
        <w:b/>
        <w:color w:val="404040"/>
        <w:sz w:val="22"/>
      </w:rPr>
    </w:tblStylePr>
    <w:tblStylePr w:type="band1Vert">
      <w:rPr>
        <w:rFonts w:ascii="Arial" w:hAnsi="Arial" w:cs="Arial"/>
        <w:color w:val="404040"/>
        <w:sz w:val="22"/>
      </w:rPr>
      <w:tblPr/>
      <w:tcPr>
        <w:shd w:val="clear" w:color="DFD8E7" w:fill="auto"/>
      </w:tcPr>
    </w:tblStylePr>
    <w:tblStylePr w:type="band1Horz">
      <w:rPr>
        <w:rFonts w:ascii="Arial" w:hAnsi="Arial" w:cs="Arial"/>
        <w:color w:val="404040"/>
        <w:sz w:val="22"/>
      </w:rPr>
      <w:tblPr/>
      <w:tcPr>
        <w:shd w:val="clear" w:color="DFD8E7" w:fill="auto"/>
      </w:tcPr>
    </w:tblStylePr>
  </w:style>
  <w:style w:type="table" w:customStyle="1" w:styleId="ListTable2-Accent5">
    <w:name w:val="List Table 2 - Accent 5"/>
    <w:basedOn w:val="a3"/>
    <w:uiPriority w:val="99"/>
    <w:rsid w:val="00AE19E2"/>
    <w:rPr>
      <w:rFonts w:ascii="Arial" w:hAnsi="Arial" w:cs="Arial"/>
    </w:rPr>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cs="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cs="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cs="Arial"/>
        <w:b/>
        <w:color w:val="404040"/>
        <w:sz w:val="22"/>
      </w:rPr>
    </w:tblStylePr>
    <w:tblStylePr w:type="lastCol">
      <w:rPr>
        <w:rFonts w:ascii="Arial" w:hAnsi="Arial" w:cs="Arial"/>
        <w:b/>
        <w:color w:val="404040"/>
        <w:sz w:val="22"/>
      </w:rPr>
    </w:tblStylePr>
    <w:tblStylePr w:type="band1Vert">
      <w:rPr>
        <w:rFonts w:ascii="Arial" w:hAnsi="Arial" w:cs="Arial"/>
        <w:color w:val="404040"/>
        <w:sz w:val="22"/>
      </w:rPr>
      <w:tblPr/>
      <w:tcPr>
        <w:shd w:val="clear" w:color="D1EAF0" w:fill="auto"/>
      </w:tcPr>
    </w:tblStylePr>
    <w:tblStylePr w:type="band1Horz">
      <w:rPr>
        <w:rFonts w:ascii="Arial" w:hAnsi="Arial" w:cs="Arial"/>
        <w:color w:val="404040"/>
        <w:sz w:val="22"/>
      </w:rPr>
      <w:tblPr/>
      <w:tcPr>
        <w:shd w:val="clear" w:color="D1EAF0" w:fill="auto"/>
      </w:tcPr>
    </w:tblStylePr>
  </w:style>
  <w:style w:type="table" w:customStyle="1" w:styleId="ListTable2-Accent6">
    <w:name w:val="List Table 2 - Accent 6"/>
    <w:basedOn w:val="a3"/>
    <w:uiPriority w:val="99"/>
    <w:rsid w:val="00AE19E2"/>
    <w:rPr>
      <w:rFonts w:ascii="Arial" w:hAnsi="Arial" w:cs="Arial"/>
    </w:rPr>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cs="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cs="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cs="Arial"/>
        <w:b/>
        <w:color w:val="404040"/>
        <w:sz w:val="22"/>
      </w:rPr>
    </w:tblStylePr>
    <w:tblStylePr w:type="lastCol">
      <w:rPr>
        <w:rFonts w:ascii="Arial" w:hAnsi="Arial" w:cs="Arial"/>
        <w:b/>
        <w:color w:val="404040"/>
        <w:sz w:val="22"/>
      </w:rPr>
    </w:tblStylePr>
    <w:tblStylePr w:type="band1Vert">
      <w:rPr>
        <w:rFonts w:ascii="Arial" w:hAnsi="Arial" w:cs="Arial"/>
        <w:color w:val="404040"/>
        <w:sz w:val="22"/>
      </w:rPr>
      <w:tblPr/>
      <w:tcPr>
        <w:shd w:val="clear" w:color="FDE4D0" w:fill="auto"/>
      </w:tcPr>
    </w:tblStylePr>
    <w:tblStylePr w:type="band1Horz">
      <w:rPr>
        <w:rFonts w:ascii="Arial" w:hAnsi="Arial" w:cs="Arial"/>
        <w:color w:val="404040"/>
        <w:sz w:val="22"/>
      </w:rPr>
      <w:tblPr/>
      <w:tcPr>
        <w:shd w:val="clear" w:color="FDE4D0" w:fill="auto"/>
      </w:tcPr>
    </w:tblStylePr>
  </w:style>
  <w:style w:type="table" w:customStyle="1" w:styleId="-310">
    <w:name w:val="Список-таблица 31"/>
    <w:basedOn w:val="a3"/>
    <w:uiPriority w:val="99"/>
    <w:rsid w:val="00AE19E2"/>
    <w:rPr>
      <w:rFonts w:ascii="Arial" w:hAnsi="Arial" w:cs="Arial"/>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cs="Arial"/>
        <w:b/>
        <w:color w:val="FFFFFF"/>
        <w:sz w:val="22"/>
      </w:rPr>
      <w:tblPr/>
      <w:tcPr>
        <w:shd w:val="clear" w:color="000000" w:fill="auto"/>
      </w:tcPr>
    </w:tblStylePr>
    <w:tblStylePr w:type="lastRow">
      <w:rPr>
        <w:rFonts w:cs="Arial"/>
        <w:b/>
        <w:color w:val="404040"/>
      </w:rPr>
    </w:tblStylePr>
    <w:tblStylePr w:type="firstCol">
      <w:rPr>
        <w:rFonts w:cs="Arial"/>
        <w:b/>
        <w:color w:val="404040"/>
      </w:rPr>
    </w:tblStylePr>
    <w:tblStylePr w:type="lastCol">
      <w:rPr>
        <w:rFonts w:cs="Arial"/>
        <w:b/>
        <w:color w:val="404040"/>
      </w:rPr>
    </w:tblStylePr>
    <w:tblStylePr w:type="band1Vert">
      <w:rPr>
        <w:rFonts w:ascii="Arial" w:hAnsi="Arial" w:cs="Arial"/>
        <w:color w:val="404040"/>
        <w:sz w:val="22"/>
      </w:rPr>
      <w:tblPr/>
      <w:tcPr>
        <w:tcBorders>
          <w:left w:val="single" w:sz="4" w:space="0" w:color="000000"/>
          <w:right w:val="single" w:sz="4" w:space="0" w:color="000000"/>
        </w:tcBorders>
      </w:tcPr>
    </w:tblStylePr>
    <w:tblStylePr w:type="band1Horz">
      <w:rPr>
        <w:rFonts w:ascii="Arial" w:hAnsi="Arial" w:cs="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3"/>
    <w:uiPriority w:val="99"/>
    <w:rsid w:val="00AE19E2"/>
    <w:rPr>
      <w:rFonts w:ascii="Arial" w:hAnsi="Arial" w:cs="Arial"/>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cs="Arial"/>
        <w:b/>
        <w:color w:val="FFFFFF"/>
        <w:sz w:val="22"/>
      </w:rPr>
      <w:tblPr/>
      <w:tcPr>
        <w:shd w:val="clear" w:color="4F81BD" w:fill="auto"/>
      </w:tcPr>
    </w:tblStylePr>
    <w:tblStylePr w:type="lastRow">
      <w:rPr>
        <w:rFonts w:cs="Arial"/>
        <w:b/>
        <w:color w:val="404040"/>
      </w:rPr>
    </w:tblStylePr>
    <w:tblStylePr w:type="firstCol">
      <w:rPr>
        <w:rFonts w:cs="Arial"/>
        <w:b/>
        <w:color w:val="404040"/>
      </w:rPr>
    </w:tblStylePr>
    <w:tblStylePr w:type="lastCol">
      <w:rPr>
        <w:rFonts w:cs="Arial"/>
        <w:b/>
        <w:color w:val="404040"/>
      </w:rPr>
    </w:tblStylePr>
    <w:tblStylePr w:type="band1Vert">
      <w:rPr>
        <w:rFonts w:ascii="Arial" w:hAnsi="Arial" w:cs="Arial"/>
        <w:color w:val="404040"/>
        <w:sz w:val="22"/>
      </w:rPr>
      <w:tblPr/>
      <w:tcPr>
        <w:tcBorders>
          <w:left w:val="single" w:sz="4" w:space="0" w:color="4F81BD"/>
          <w:right w:val="single" w:sz="4" w:space="0" w:color="4F81BD"/>
        </w:tcBorders>
      </w:tcPr>
    </w:tblStylePr>
    <w:tblStylePr w:type="band1Horz">
      <w:rPr>
        <w:rFonts w:ascii="Arial" w:hAnsi="Arial" w:cs="Arial"/>
        <w:color w:val="404040"/>
        <w:sz w:val="22"/>
      </w:rPr>
      <w:tblPr/>
      <w:tcPr>
        <w:tcBorders>
          <w:top w:val="single" w:sz="4" w:space="0" w:color="4F81BD"/>
          <w:bottom w:val="single" w:sz="4" w:space="0" w:color="4F81BD"/>
        </w:tcBorders>
      </w:tcPr>
    </w:tblStylePr>
  </w:style>
  <w:style w:type="table" w:customStyle="1" w:styleId="ListTable3-Accent2">
    <w:name w:val="List Table 3 - Accent 2"/>
    <w:basedOn w:val="a3"/>
    <w:uiPriority w:val="99"/>
    <w:rsid w:val="00AE19E2"/>
    <w:rPr>
      <w:rFonts w:ascii="Arial" w:hAnsi="Arial" w:cs="Arial"/>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cs="Arial"/>
        <w:b/>
        <w:color w:val="FFFFFF"/>
        <w:sz w:val="22"/>
      </w:rPr>
      <w:tblPr/>
      <w:tcPr>
        <w:shd w:val="clear" w:color="D99695" w:fill="auto"/>
      </w:tcPr>
    </w:tblStylePr>
    <w:tblStylePr w:type="lastRow">
      <w:rPr>
        <w:rFonts w:cs="Arial"/>
        <w:b/>
        <w:color w:val="404040"/>
      </w:rPr>
    </w:tblStylePr>
    <w:tblStylePr w:type="firstCol">
      <w:rPr>
        <w:rFonts w:cs="Arial"/>
        <w:b/>
        <w:color w:val="404040"/>
      </w:rPr>
    </w:tblStylePr>
    <w:tblStylePr w:type="lastCol">
      <w:rPr>
        <w:rFonts w:cs="Arial"/>
        <w:b/>
        <w:color w:val="404040"/>
      </w:rPr>
    </w:tblStylePr>
    <w:tblStylePr w:type="band1Vert">
      <w:rPr>
        <w:rFonts w:ascii="Arial" w:hAnsi="Arial" w:cs="Arial"/>
        <w:color w:val="404040"/>
        <w:sz w:val="22"/>
      </w:rPr>
      <w:tblPr/>
      <w:tcPr>
        <w:tcBorders>
          <w:left w:val="single" w:sz="4" w:space="0" w:color="D99695"/>
          <w:right w:val="single" w:sz="4" w:space="0" w:color="D99695"/>
        </w:tcBorders>
      </w:tcPr>
    </w:tblStylePr>
    <w:tblStylePr w:type="band1Horz">
      <w:rPr>
        <w:rFonts w:ascii="Arial" w:hAnsi="Arial" w:cs="Arial"/>
        <w:color w:val="404040"/>
        <w:sz w:val="22"/>
      </w:rPr>
      <w:tblPr/>
      <w:tcPr>
        <w:tcBorders>
          <w:top w:val="single" w:sz="4" w:space="0" w:color="D99695"/>
          <w:bottom w:val="single" w:sz="4" w:space="0" w:color="D99695"/>
        </w:tcBorders>
      </w:tcPr>
    </w:tblStylePr>
  </w:style>
  <w:style w:type="table" w:customStyle="1" w:styleId="ListTable3-Accent3">
    <w:name w:val="List Table 3 - Accent 3"/>
    <w:basedOn w:val="a3"/>
    <w:uiPriority w:val="99"/>
    <w:rsid w:val="00AE19E2"/>
    <w:rPr>
      <w:rFonts w:ascii="Arial" w:hAnsi="Arial" w:cs="Arial"/>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cs="Arial"/>
        <w:b/>
        <w:color w:val="FFFFFF"/>
        <w:sz w:val="22"/>
      </w:rPr>
      <w:tblPr/>
      <w:tcPr>
        <w:shd w:val="clear" w:color="C3D69B" w:fill="auto"/>
      </w:tcPr>
    </w:tblStylePr>
    <w:tblStylePr w:type="lastRow">
      <w:rPr>
        <w:rFonts w:cs="Arial"/>
        <w:b/>
        <w:color w:val="404040"/>
      </w:rPr>
    </w:tblStylePr>
    <w:tblStylePr w:type="firstCol">
      <w:rPr>
        <w:rFonts w:cs="Arial"/>
        <w:b/>
        <w:color w:val="404040"/>
      </w:rPr>
    </w:tblStylePr>
    <w:tblStylePr w:type="lastCol">
      <w:rPr>
        <w:rFonts w:cs="Arial"/>
        <w:b/>
        <w:color w:val="404040"/>
      </w:rPr>
    </w:tblStylePr>
    <w:tblStylePr w:type="band1Vert">
      <w:rPr>
        <w:rFonts w:ascii="Arial" w:hAnsi="Arial" w:cs="Arial"/>
        <w:color w:val="404040"/>
        <w:sz w:val="22"/>
      </w:rPr>
      <w:tblPr/>
      <w:tcPr>
        <w:tcBorders>
          <w:left w:val="single" w:sz="4" w:space="0" w:color="C3D69B"/>
          <w:right w:val="single" w:sz="4" w:space="0" w:color="C3D69B"/>
        </w:tcBorders>
      </w:tcPr>
    </w:tblStylePr>
    <w:tblStylePr w:type="band1Horz">
      <w:rPr>
        <w:rFonts w:ascii="Arial" w:hAnsi="Arial" w:cs="Arial"/>
        <w:color w:val="404040"/>
        <w:sz w:val="22"/>
      </w:rPr>
      <w:tblPr/>
      <w:tcPr>
        <w:tcBorders>
          <w:top w:val="single" w:sz="4" w:space="0" w:color="C3D69B"/>
          <w:bottom w:val="single" w:sz="4" w:space="0" w:color="C3D69B"/>
        </w:tcBorders>
      </w:tcPr>
    </w:tblStylePr>
  </w:style>
  <w:style w:type="table" w:customStyle="1" w:styleId="ListTable3-Accent4">
    <w:name w:val="List Table 3 - Accent 4"/>
    <w:basedOn w:val="a3"/>
    <w:uiPriority w:val="99"/>
    <w:rsid w:val="00AE19E2"/>
    <w:rPr>
      <w:rFonts w:ascii="Arial" w:hAnsi="Arial" w:cs="Arial"/>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cs="Arial"/>
        <w:b/>
        <w:color w:val="FFFFFF"/>
        <w:sz w:val="22"/>
      </w:rPr>
      <w:tblPr/>
      <w:tcPr>
        <w:shd w:val="clear" w:color="B2A1C6" w:fill="auto"/>
      </w:tcPr>
    </w:tblStylePr>
    <w:tblStylePr w:type="lastRow">
      <w:rPr>
        <w:rFonts w:cs="Arial"/>
        <w:b/>
        <w:color w:val="404040"/>
      </w:rPr>
    </w:tblStylePr>
    <w:tblStylePr w:type="firstCol">
      <w:rPr>
        <w:rFonts w:cs="Arial"/>
        <w:b/>
        <w:color w:val="404040"/>
      </w:rPr>
    </w:tblStylePr>
    <w:tblStylePr w:type="lastCol">
      <w:rPr>
        <w:rFonts w:cs="Arial"/>
        <w:b/>
        <w:color w:val="404040"/>
      </w:rPr>
    </w:tblStylePr>
    <w:tblStylePr w:type="band1Vert">
      <w:rPr>
        <w:rFonts w:ascii="Arial" w:hAnsi="Arial" w:cs="Arial"/>
        <w:color w:val="404040"/>
        <w:sz w:val="22"/>
      </w:rPr>
      <w:tblPr/>
      <w:tcPr>
        <w:tcBorders>
          <w:left w:val="single" w:sz="4" w:space="0" w:color="B2A1C6"/>
          <w:right w:val="single" w:sz="4" w:space="0" w:color="B2A1C6"/>
        </w:tcBorders>
      </w:tcPr>
    </w:tblStylePr>
    <w:tblStylePr w:type="band1Horz">
      <w:rPr>
        <w:rFonts w:ascii="Arial" w:hAnsi="Arial" w:cs="Arial"/>
        <w:color w:val="404040"/>
        <w:sz w:val="22"/>
      </w:rPr>
      <w:tblPr/>
      <w:tcPr>
        <w:tcBorders>
          <w:top w:val="single" w:sz="4" w:space="0" w:color="B2A1C6"/>
          <w:bottom w:val="single" w:sz="4" w:space="0" w:color="B2A1C6"/>
        </w:tcBorders>
      </w:tcPr>
    </w:tblStylePr>
  </w:style>
  <w:style w:type="table" w:customStyle="1" w:styleId="ListTable3-Accent5">
    <w:name w:val="List Table 3 - Accent 5"/>
    <w:basedOn w:val="a3"/>
    <w:uiPriority w:val="99"/>
    <w:rsid w:val="00AE19E2"/>
    <w:rPr>
      <w:rFonts w:ascii="Arial" w:hAnsi="Arial" w:cs="Arial"/>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cs="Arial"/>
        <w:b/>
        <w:color w:val="FFFFFF"/>
        <w:sz w:val="22"/>
      </w:rPr>
      <w:tblPr/>
      <w:tcPr>
        <w:shd w:val="clear" w:color="92CCDC" w:fill="auto"/>
      </w:tcPr>
    </w:tblStylePr>
    <w:tblStylePr w:type="lastRow">
      <w:rPr>
        <w:rFonts w:cs="Arial"/>
        <w:b/>
        <w:color w:val="404040"/>
      </w:rPr>
    </w:tblStylePr>
    <w:tblStylePr w:type="firstCol">
      <w:rPr>
        <w:rFonts w:cs="Arial"/>
        <w:b/>
        <w:color w:val="404040"/>
      </w:rPr>
    </w:tblStylePr>
    <w:tblStylePr w:type="lastCol">
      <w:rPr>
        <w:rFonts w:cs="Arial"/>
        <w:b/>
        <w:color w:val="404040"/>
      </w:rPr>
    </w:tblStylePr>
    <w:tblStylePr w:type="band1Vert">
      <w:rPr>
        <w:rFonts w:ascii="Arial" w:hAnsi="Arial" w:cs="Arial"/>
        <w:color w:val="404040"/>
        <w:sz w:val="22"/>
      </w:rPr>
      <w:tblPr/>
      <w:tcPr>
        <w:tcBorders>
          <w:left w:val="single" w:sz="4" w:space="0" w:color="92CCDC"/>
          <w:right w:val="single" w:sz="4" w:space="0" w:color="92CCDC"/>
        </w:tcBorders>
      </w:tcPr>
    </w:tblStylePr>
    <w:tblStylePr w:type="band1Horz">
      <w:rPr>
        <w:rFonts w:ascii="Arial" w:hAnsi="Arial" w:cs="Arial"/>
        <w:color w:val="404040"/>
        <w:sz w:val="22"/>
      </w:rPr>
      <w:tblPr/>
      <w:tcPr>
        <w:tcBorders>
          <w:top w:val="single" w:sz="4" w:space="0" w:color="92CCDC"/>
          <w:bottom w:val="single" w:sz="4" w:space="0" w:color="92CCDC"/>
        </w:tcBorders>
      </w:tcPr>
    </w:tblStylePr>
  </w:style>
  <w:style w:type="table" w:customStyle="1" w:styleId="ListTable3-Accent6">
    <w:name w:val="List Table 3 - Accent 6"/>
    <w:basedOn w:val="a3"/>
    <w:uiPriority w:val="99"/>
    <w:rsid w:val="00AE19E2"/>
    <w:rPr>
      <w:rFonts w:ascii="Arial" w:hAnsi="Arial" w:cs="Arial"/>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cs="Arial"/>
        <w:b/>
        <w:color w:val="FFFFFF"/>
        <w:sz w:val="22"/>
      </w:rPr>
      <w:tblPr/>
      <w:tcPr>
        <w:shd w:val="clear" w:color="FAC090" w:fill="auto"/>
      </w:tcPr>
    </w:tblStylePr>
    <w:tblStylePr w:type="lastRow">
      <w:rPr>
        <w:rFonts w:cs="Arial"/>
        <w:b/>
        <w:color w:val="404040"/>
      </w:rPr>
    </w:tblStylePr>
    <w:tblStylePr w:type="firstCol">
      <w:rPr>
        <w:rFonts w:cs="Arial"/>
        <w:b/>
        <w:color w:val="404040"/>
      </w:rPr>
    </w:tblStylePr>
    <w:tblStylePr w:type="lastCol">
      <w:rPr>
        <w:rFonts w:cs="Arial"/>
        <w:b/>
        <w:color w:val="404040"/>
      </w:rPr>
    </w:tblStylePr>
    <w:tblStylePr w:type="band1Vert">
      <w:rPr>
        <w:rFonts w:ascii="Arial" w:hAnsi="Arial" w:cs="Arial"/>
        <w:color w:val="404040"/>
        <w:sz w:val="22"/>
      </w:rPr>
      <w:tblPr/>
      <w:tcPr>
        <w:tcBorders>
          <w:left w:val="single" w:sz="4" w:space="0" w:color="FAC090"/>
          <w:right w:val="single" w:sz="4" w:space="0" w:color="FAC090"/>
        </w:tcBorders>
      </w:tcPr>
    </w:tblStylePr>
    <w:tblStylePr w:type="band1Horz">
      <w:rPr>
        <w:rFonts w:ascii="Arial" w:hAnsi="Arial" w:cs="Arial"/>
        <w:color w:val="404040"/>
        <w:sz w:val="22"/>
      </w:rPr>
      <w:tblPr/>
      <w:tcPr>
        <w:tcBorders>
          <w:top w:val="single" w:sz="4" w:space="0" w:color="FAC090"/>
          <w:bottom w:val="single" w:sz="4" w:space="0" w:color="FAC090"/>
        </w:tcBorders>
      </w:tcPr>
    </w:tblStylePr>
  </w:style>
  <w:style w:type="table" w:customStyle="1" w:styleId="-410">
    <w:name w:val="Список-таблица 41"/>
    <w:basedOn w:val="a3"/>
    <w:uiPriority w:val="99"/>
    <w:rsid w:val="00AE19E2"/>
    <w:rPr>
      <w:rFonts w:ascii="Arial" w:hAnsi="Arial" w:cs="Arial"/>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cs="Arial"/>
        <w:b/>
        <w:color w:val="FFFFFF"/>
        <w:sz w:val="22"/>
      </w:rPr>
      <w:tblPr/>
      <w:tcPr>
        <w:shd w:val="clear" w:color="000000" w:fill="auto"/>
      </w:tcPr>
    </w:tblStylePr>
    <w:tblStylePr w:type="lastRow">
      <w:rPr>
        <w:rFonts w:cs="Arial"/>
        <w:b/>
        <w:color w:val="404040"/>
      </w:rPr>
    </w:tblStylePr>
    <w:tblStylePr w:type="firstCol">
      <w:rPr>
        <w:rFonts w:cs="Arial"/>
        <w:b/>
        <w:color w:val="404040"/>
      </w:rPr>
    </w:tblStylePr>
    <w:tblStylePr w:type="lastCol">
      <w:rPr>
        <w:rFonts w:cs="Arial"/>
        <w:b/>
        <w:color w:val="404040"/>
      </w:rPr>
    </w:tblStylePr>
    <w:tblStylePr w:type="band1Vert">
      <w:rPr>
        <w:rFonts w:ascii="Arial" w:hAnsi="Arial" w:cs="Arial"/>
        <w:color w:val="404040"/>
        <w:sz w:val="22"/>
      </w:rPr>
      <w:tblPr/>
      <w:tcPr>
        <w:shd w:val="clear" w:color="BFBFBF" w:fill="auto"/>
      </w:tcPr>
    </w:tblStylePr>
    <w:tblStylePr w:type="band1Horz">
      <w:rPr>
        <w:rFonts w:ascii="Arial" w:hAnsi="Arial" w:cs="Arial"/>
        <w:color w:val="404040"/>
        <w:sz w:val="22"/>
      </w:rPr>
      <w:tblPr/>
      <w:tcPr>
        <w:shd w:val="clear" w:color="BFBFBF" w:fill="auto"/>
      </w:tcPr>
    </w:tblStylePr>
  </w:style>
  <w:style w:type="table" w:customStyle="1" w:styleId="ListTable4-Accent1">
    <w:name w:val="List Table 4 - Accent 1"/>
    <w:basedOn w:val="a3"/>
    <w:uiPriority w:val="99"/>
    <w:rsid w:val="00AE19E2"/>
    <w:rPr>
      <w:rFonts w:ascii="Arial" w:hAnsi="Arial" w:cs="Arial"/>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cs="Arial"/>
        <w:b/>
        <w:color w:val="FFFFFF"/>
        <w:sz w:val="22"/>
      </w:rPr>
      <w:tblPr/>
      <w:tcPr>
        <w:shd w:val="clear" w:color="4F81BD" w:fill="auto"/>
      </w:tcPr>
    </w:tblStylePr>
    <w:tblStylePr w:type="lastRow">
      <w:rPr>
        <w:rFonts w:cs="Arial"/>
        <w:b/>
        <w:color w:val="404040"/>
      </w:rPr>
    </w:tblStylePr>
    <w:tblStylePr w:type="firstCol">
      <w:rPr>
        <w:rFonts w:cs="Arial"/>
        <w:b/>
        <w:color w:val="404040"/>
      </w:rPr>
    </w:tblStylePr>
    <w:tblStylePr w:type="lastCol">
      <w:rPr>
        <w:rFonts w:cs="Arial"/>
        <w:b/>
        <w:color w:val="404040"/>
      </w:rPr>
    </w:tblStylePr>
    <w:tblStylePr w:type="band1Vert">
      <w:rPr>
        <w:rFonts w:ascii="Arial" w:hAnsi="Arial" w:cs="Arial"/>
        <w:color w:val="404040"/>
        <w:sz w:val="22"/>
      </w:rPr>
      <w:tblPr/>
      <w:tcPr>
        <w:shd w:val="clear" w:color="D2DFEE" w:fill="auto"/>
      </w:tcPr>
    </w:tblStylePr>
    <w:tblStylePr w:type="band1Horz">
      <w:rPr>
        <w:rFonts w:ascii="Arial" w:hAnsi="Arial" w:cs="Arial"/>
        <w:color w:val="404040"/>
        <w:sz w:val="22"/>
      </w:rPr>
      <w:tblPr/>
      <w:tcPr>
        <w:shd w:val="clear" w:color="D2DFEE" w:fill="auto"/>
      </w:tcPr>
    </w:tblStylePr>
  </w:style>
  <w:style w:type="table" w:customStyle="1" w:styleId="ListTable4-Accent2">
    <w:name w:val="List Table 4 - Accent 2"/>
    <w:basedOn w:val="a3"/>
    <w:uiPriority w:val="99"/>
    <w:rsid w:val="00AE19E2"/>
    <w:rPr>
      <w:rFonts w:ascii="Arial" w:hAnsi="Arial" w:cs="Arial"/>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cs="Arial"/>
        <w:b/>
        <w:color w:val="FFFFFF"/>
        <w:sz w:val="22"/>
      </w:rPr>
      <w:tblPr/>
      <w:tcPr>
        <w:shd w:val="clear" w:color="C0504D" w:fill="auto"/>
      </w:tcPr>
    </w:tblStylePr>
    <w:tblStylePr w:type="lastRow">
      <w:rPr>
        <w:rFonts w:cs="Arial"/>
        <w:b/>
        <w:color w:val="404040"/>
      </w:rPr>
    </w:tblStylePr>
    <w:tblStylePr w:type="firstCol">
      <w:rPr>
        <w:rFonts w:cs="Arial"/>
        <w:b/>
        <w:color w:val="404040"/>
      </w:rPr>
    </w:tblStylePr>
    <w:tblStylePr w:type="lastCol">
      <w:rPr>
        <w:rFonts w:cs="Arial"/>
        <w:b/>
        <w:color w:val="404040"/>
      </w:rPr>
    </w:tblStylePr>
    <w:tblStylePr w:type="band1Vert">
      <w:rPr>
        <w:rFonts w:ascii="Arial" w:hAnsi="Arial" w:cs="Arial"/>
        <w:color w:val="404040"/>
        <w:sz w:val="22"/>
      </w:rPr>
      <w:tblPr/>
      <w:tcPr>
        <w:shd w:val="clear" w:color="EFD2D2" w:fill="auto"/>
      </w:tcPr>
    </w:tblStylePr>
    <w:tblStylePr w:type="band1Horz">
      <w:rPr>
        <w:rFonts w:ascii="Arial" w:hAnsi="Arial" w:cs="Arial"/>
        <w:color w:val="404040"/>
        <w:sz w:val="22"/>
      </w:rPr>
      <w:tblPr/>
      <w:tcPr>
        <w:shd w:val="clear" w:color="EFD2D2" w:fill="auto"/>
      </w:tcPr>
    </w:tblStylePr>
  </w:style>
  <w:style w:type="table" w:customStyle="1" w:styleId="ListTable4-Accent3">
    <w:name w:val="List Table 4 - Accent 3"/>
    <w:basedOn w:val="a3"/>
    <w:uiPriority w:val="99"/>
    <w:rsid w:val="00AE19E2"/>
    <w:rPr>
      <w:rFonts w:ascii="Arial" w:hAnsi="Arial" w:cs="Arial"/>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cs="Arial"/>
        <w:b/>
        <w:color w:val="FFFFFF"/>
        <w:sz w:val="22"/>
      </w:rPr>
      <w:tblPr/>
      <w:tcPr>
        <w:shd w:val="clear" w:color="9BBB59" w:fill="auto"/>
      </w:tcPr>
    </w:tblStylePr>
    <w:tblStylePr w:type="lastRow">
      <w:rPr>
        <w:rFonts w:cs="Arial"/>
        <w:b/>
        <w:color w:val="404040"/>
      </w:rPr>
    </w:tblStylePr>
    <w:tblStylePr w:type="firstCol">
      <w:rPr>
        <w:rFonts w:cs="Arial"/>
        <w:b/>
        <w:color w:val="404040"/>
      </w:rPr>
    </w:tblStylePr>
    <w:tblStylePr w:type="lastCol">
      <w:rPr>
        <w:rFonts w:cs="Arial"/>
        <w:b/>
        <w:color w:val="404040"/>
      </w:rPr>
    </w:tblStylePr>
    <w:tblStylePr w:type="band1Vert">
      <w:rPr>
        <w:rFonts w:ascii="Arial" w:hAnsi="Arial" w:cs="Arial"/>
        <w:color w:val="404040"/>
        <w:sz w:val="22"/>
      </w:rPr>
      <w:tblPr/>
      <w:tcPr>
        <w:shd w:val="clear" w:color="E5EED5" w:fill="auto"/>
      </w:tcPr>
    </w:tblStylePr>
    <w:tblStylePr w:type="band1Horz">
      <w:rPr>
        <w:rFonts w:ascii="Arial" w:hAnsi="Arial" w:cs="Arial"/>
        <w:color w:val="404040"/>
        <w:sz w:val="22"/>
      </w:rPr>
      <w:tblPr/>
      <w:tcPr>
        <w:shd w:val="clear" w:color="E5EED5" w:fill="auto"/>
      </w:tcPr>
    </w:tblStylePr>
  </w:style>
  <w:style w:type="table" w:customStyle="1" w:styleId="ListTable4-Accent4">
    <w:name w:val="List Table 4 - Accent 4"/>
    <w:basedOn w:val="a3"/>
    <w:uiPriority w:val="99"/>
    <w:rsid w:val="00AE19E2"/>
    <w:rPr>
      <w:rFonts w:ascii="Arial" w:hAnsi="Arial" w:cs="Arial"/>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cs="Arial"/>
        <w:b/>
        <w:color w:val="FFFFFF"/>
        <w:sz w:val="22"/>
      </w:rPr>
      <w:tblPr/>
      <w:tcPr>
        <w:shd w:val="clear" w:color="8064A2" w:fill="auto"/>
      </w:tcPr>
    </w:tblStylePr>
    <w:tblStylePr w:type="lastRow">
      <w:rPr>
        <w:rFonts w:cs="Arial"/>
        <w:b/>
        <w:color w:val="404040"/>
      </w:rPr>
    </w:tblStylePr>
    <w:tblStylePr w:type="firstCol">
      <w:rPr>
        <w:rFonts w:cs="Arial"/>
        <w:b/>
        <w:color w:val="404040"/>
      </w:rPr>
    </w:tblStylePr>
    <w:tblStylePr w:type="lastCol">
      <w:rPr>
        <w:rFonts w:cs="Arial"/>
        <w:b/>
        <w:color w:val="404040"/>
      </w:rPr>
    </w:tblStylePr>
    <w:tblStylePr w:type="band1Vert">
      <w:rPr>
        <w:rFonts w:ascii="Arial" w:hAnsi="Arial" w:cs="Arial"/>
        <w:color w:val="404040"/>
        <w:sz w:val="22"/>
      </w:rPr>
      <w:tblPr/>
      <w:tcPr>
        <w:shd w:val="clear" w:color="DFD8E7" w:fill="auto"/>
      </w:tcPr>
    </w:tblStylePr>
    <w:tblStylePr w:type="band1Horz">
      <w:rPr>
        <w:rFonts w:ascii="Arial" w:hAnsi="Arial" w:cs="Arial"/>
        <w:color w:val="404040"/>
        <w:sz w:val="22"/>
      </w:rPr>
      <w:tblPr/>
      <w:tcPr>
        <w:shd w:val="clear" w:color="DFD8E7" w:fill="auto"/>
      </w:tcPr>
    </w:tblStylePr>
  </w:style>
  <w:style w:type="table" w:customStyle="1" w:styleId="ListTable4-Accent5">
    <w:name w:val="List Table 4 - Accent 5"/>
    <w:basedOn w:val="a3"/>
    <w:uiPriority w:val="99"/>
    <w:rsid w:val="00AE19E2"/>
    <w:rPr>
      <w:rFonts w:ascii="Arial" w:hAnsi="Arial" w:cs="Arial"/>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cs="Arial"/>
        <w:b/>
        <w:color w:val="FFFFFF"/>
        <w:sz w:val="22"/>
      </w:rPr>
      <w:tblPr/>
      <w:tcPr>
        <w:shd w:val="clear" w:color="4BACC6" w:fill="auto"/>
      </w:tcPr>
    </w:tblStylePr>
    <w:tblStylePr w:type="lastRow">
      <w:rPr>
        <w:rFonts w:cs="Arial"/>
        <w:b/>
        <w:color w:val="404040"/>
      </w:rPr>
    </w:tblStylePr>
    <w:tblStylePr w:type="firstCol">
      <w:rPr>
        <w:rFonts w:cs="Arial"/>
        <w:b/>
        <w:color w:val="404040"/>
      </w:rPr>
    </w:tblStylePr>
    <w:tblStylePr w:type="lastCol">
      <w:rPr>
        <w:rFonts w:cs="Arial"/>
        <w:b/>
        <w:color w:val="404040"/>
      </w:rPr>
    </w:tblStylePr>
    <w:tblStylePr w:type="band1Vert">
      <w:rPr>
        <w:rFonts w:ascii="Arial" w:hAnsi="Arial" w:cs="Arial"/>
        <w:color w:val="404040"/>
        <w:sz w:val="22"/>
      </w:rPr>
      <w:tblPr/>
      <w:tcPr>
        <w:shd w:val="clear" w:color="D1EAF0" w:fill="auto"/>
      </w:tcPr>
    </w:tblStylePr>
    <w:tblStylePr w:type="band1Horz">
      <w:rPr>
        <w:rFonts w:ascii="Arial" w:hAnsi="Arial" w:cs="Arial"/>
        <w:color w:val="404040"/>
        <w:sz w:val="22"/>
      </w:rPr>
      <w:tblPr/>
      <w:tcPr>
        <w:shd w:val="clear" w:color="D1EAF0" w:fill="auto"/>
      </w:tcPr>
    </w:tblStylePr>
  </w:style>
  <w:style w:type="table" w:customStyle="1" w:styleId="ListTable4-Accent6">
    <w:name w:val="List Table 4 - Accent 6"/>
    <w:basedOn w:val="a3"/>
    <w:uiPriority w:val="99"/>
    <w:rsid w:val="00AE19E2"/>
    <w:rPr>
      <w:rFonts w:ascii="Arial" w:hAnsi="Arial" w:cs="Arial"/>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cs="Arial"/>
        <w:b/>
        <w:color w:val="FFFFFF"/>
        <w:sz w:val="22"/>
      </w:rPr>
      <w:tblPr/>
      <w:tcPr>
        <w:shd w:val="clear" w:color="F79646" w:fill="auto"/>
      </w:tcPr>
    </w:tblStylePr>
    <w:tblStylePr w:type="lastRow">
      <w:rPr>
        <w:rFonts w:cs="Arial"/>
        <w:b/>
        <w:color w:val="404040"/>
      </w:rPr>
    </w:tblStylePr>
    <w:tblStylePr w:type="firstCol">
      <w:rPr>
        <w:rFonts w:cs="Arial"/>
        <w:b/>
        <w:color w:val="404040"/>
      </w:rPr>
    </w:tblStylePr>
    <w:tblStylePr w:type="lastCol">
      <w:rPr>
        <w:rFonts w:cs="Arial"/>
        <w:b/>
        <w:color w:val="404040"/>
      </w:rPr>
    </w:tblStylePr>
    <w:tblStylePr w:type="band1Vert">
      <w:rPr>
        <w:rFonts w:ascii="Arial" w:hAnsi="Arial" w:cs="Arial"/>
        <w:color w:val="404040"/>
        <w:sz w:val="22"/>
      </w:rPr>
      <w:tblPr/>
      <w:tcPr>
        <w:shd w:val="clear" w:color="FDE4D0" w:fill="auto"/>
      </w:tcPr>
    </w:tblStylePr>
    <w:tblStylePr w:type="band1Horz">
      <w:rPr>
        <w:rFonts w:ascii="Arial" w:hAnsi="Arial" w:cs="Arial"/>
        <w:color w:val="404040"/>
        <w:sz w:val="22"/>
      </w:rPr>
      <w:tblPr/>
      <w:tcPr>
        <w:shd w:val="clear" w:color="FDE4D0" w:fill="auto"/>
      </w:tcPr>
    </w:tblStylePr>
  </w:style>
  <w:style w:type="table" w:customStyle="1" w:styleId="-510">
    <w:name w:val="Список-таблица 5 темная1"/>
    <w:basedOn w:val="a3"/>
    <w:uiPriority w:val="99"/>
    <w:rsid w:val="00AE19E2"/>
    <w:rPr>
      <w:rFonts w:ascii="Arial" w:hAnsi="Arial" w:cs="Arial"/>
    </w:rPr>
    <w:tblPr>
      <w:tblStyleRowBandSize w:val="1"/>
      <w:tblStyleColBandSize w:val="1"/>
      <w:tblBorders>
        <w:top w:val="single" w:sz="32" w:space="0" w:color="7F7F7F"/>
        <w:left w:val="single" w:sz="32" w:space="0" w:color="7F7F7F"/>
        <w:bottom w:val="single" w:sz="32" w:space="0" w:color="7F7F7F"/>
        <w:right w:val="single" w:sz="32" w:space="0" w:color="7F7F7F"/>
      </w:tblBorders>
    </w:tblPr>
    <w:tblStylePr w:type="firstRow">
      <w:rPr>
        <w:rFonts w:ascii="Arial" w:hAnsi="Arial" w:cs="Arial"/>
        <w:b/>
        <w:color w:val="FFFFFF"/>
        <w:sz w:val="22"/>
      </w:rPr>
      <w:tblPr/>
      <w:tcPr>
        <w:tcBorders>
          <w:top w:val="single" w:sz="32" w:space="0" w:color="7F7F7F"/>
          <w:bottom w:val="single" w:sz="12" w:space="0" w:color="FFFFFF"/>
        </w:tcBorders>
        <w:shd w:val="clear" w:color="7F7F7F" w:fill="auto"/>
      </w:tcPr>
    </w:tblStylePr>
    <w:tblStylePr w:type="lastRow">
      <w:rPr>
        <w:rFonts w:ascii="Arial" w:hAnsi="Arial" w:cs="Arial"/>
        <w:b/>
        <w:color w:val="FFFFFF"/>
        <w:sz w:val="22"/>
      </w:rPr>
    </w:tblStylePr>
    <w:tblStylePr w:type="firstCol">
      <w:rPr>
        <w:rFonts w:ascii="Arial" w:hAnsi="Arial" w:cs="Arial"/>
        <w:b/>
        <w:color w:val="FFFFFF"/>
        <w:sz w:val="22"/>
      </w:rPr>
      <w:tblPr/>
      <w:tcPr>
        <w:tcBorders>
          <w:left w:val="single" w:sz="32" w:space="0" w:color="7F7F7F"/>
          <w:right w:val="single" w:sz="4" w:space="0" w:color="FFFFFF"/>
        </w:tcBorders>
      </w:tcPr>
    </w:tblStylePr>
    <w:tblStylePr w:type="lastCol">
      <w:rPr>
        <w:rFonts w:cs="Arial"/>
      </w:rPr>
      <w:tblPr/>
      <w:tcPr>
        <w:tcBorders>
          <w:left w:val="single" w:sz="4" w:space="0" w:color="FFFFFF"/>
          <w:right w:val="single" w:sz="32" w:space="0" w:color="7F7F7F"/>
        </w:tcBorders>
      </w:tcPr>
    </w:tblStylePr>
    <w:tblStylePr w:type="band1Vert">
      <w:rPr>
        <w:rFonts w:cs="Arial"/>
      </w:rPr>
      <w:tblPr/>
      <w:tcPr>
        <w:tcBorders>
          <w:left w:val="single" w:sz="4" w:space="0" w:color="FFFFFF"/>
          <w:right w:val="single" w:sz="4" w:space="0" w:color="FFFFFF"/>
        </w:tcBorders>
        <w:shd w:val="clear" w:color="7F7F7F" w:fill="auto"/>
      </w:tcPr>
    </w:tblStylePr>
    <w:tblStylePr w:type="band2Vert">
      <w:rPr>
        <w:rFonts w:cs="Arial"/>
      </w:rPr>
      <w:tblPr/>
      <w:tcPr>
        <w:tcBorders>
          <w:left w:val="single" w:sz="4" w:space="0" w:color="FFFFFF"/>
          <w:right w:val="single" w:sz="4" w:space="0" w:color="FFFFFF"/>
        </w:tcBorders>
      </w:tcPr>
    </w:tblStylePr>
    <w:tblStylePr w:type="band1Horz">
      <w:rPr>
        <w:rFonts w:cs="Arial"/>
      </w:rPr>
      <w:tblPr/>
      <w:tcPr>
        <w:tcBorders>
          <w:top w:val="single" w:sz="4" w:space="0" w:color="FFFFFF"/>
          <w:bottom w:val="single" w:sz="4" w:space="0" w:color="FFFFFF"/>
        </w:tcBorders>
        <w:shd w:val="clear" w:color="7F7F7F" w:fill="auto"/>
      </w:tcPr>
    </w:tblStylePr>
    <w:tblStylePr w:type="band2Horz">
      <w:rPr>
        <w:rFonts w:cs="Arial"/>
      </w:rPr>
      <w:tblPr/>
      <w:tcPr>
        <w:tcBorders>
          <w:top w:val="single" w:sz="4" w:space="0" w:color="FFFFFF"/>
          <w:bottom w:val="single" w:sz="4" w:space="0" w:color="FFFFFF"/>
        </w:tcBorders>
        <w:shd w:val="clear" w:color="7F7F7F" w:fill="auto"/>
      </w:tcPr>
    </w:tblStylePr>
  </w:style>
  <w:style w:type="table" w:customStyle="1" w:styleId="ListTable5Dark-Accent1">
    <w:name w:val="List Table 5 Dark - Accent 1"/>
    <w:basedOn w:val="a3"/>
    <w:uiPriority w:val="99"/>
    <w:rsid w:val="00AE19E2"/>
    <w:rPr>
      <w:rFonts w:ascii="Arial" w:hAnsi="Arial" w:cs="Arial"/>
    </w:rPr>
    <w:tblPr>
      <w:tblStyleRowBandSize w:val="1"/>
      <w:tblStyleColBandSize w:val="1"/>
      <w:tblBorders>
        <w:top w:val="single" w:sz="32" w:space="0" w:color="4F81BD"/>
        <w:left w:val="single" w:sz="32" w:space="0" w:color="4F81BD"/>
        <w:bottom w:val="single" w:sz="32" w:space="0" w:color="4F81BD"/>
        <w:right w:val="single" w:sz="32" w:space="0" w:color="4F81BD"/>
      </w:tblBorders>
    </w:tblPr>
    <w:tblStylePr w:type="firstRow">
      <w:rPr>
        <w:rFonts w:ascii="Arial" w:hAnsi="Arial" w:cs="Arial"/>
        <w:b/>
        <w:color w:val="FFFFFF"/>
        <w:sz w:val="22"/>
      </w:rPr>
      <w:tblPr/>
      <w:tcPr>
        <w:tcBorders>
          <w:top w:val="single" w:sz="32" w:space="0" w:color="4F81BD"/>
          <w:bottom w:val="single" w:sz="12" w:space="0" w:color="FFFFFF"/>
        </w:tcBorders>
        <w:shd w:val="clear" w:color="4F81BD" w:fill="auto"/>
      </w:tcPr>
    </w:tblStylePr>
    <w:tblStylePr w:type="lastRow">
      <w:rPr>
        <w:rFonts w:ascii="Arial" w:hAnsi="Arial" w:cs="Arial"/>
        <w:b/>
        <w:color w:val="FFFFFF"/>
        <w:sz w:val="22"/>
      </w:rPr>
    </w:tblStylePr>
    <w:tblStylePr w:type="firstCol">
      <w:rPr>
        <w:rFonts w:ascii="Arial" w:hAnsi="Arial" w:cs="Arial"/>
        <w:b/>
        <w:color w:val="FFFFFF"/>
        <w:sz w:val="22"/>
      </w:rPr>
      <w:tblPr/>
      <w:tcPr>
        <w:tcBorders>
          <w:left w:val="single" w:sz="32" w:space="0" w:color="4F81BD"/>
          <w:right w:val="single" w:sz="4" w:space="0" w:color="FFFFFF"/>
        </w:tcBorders>
      </w:tcPr>
    </w:tblStylePr>
    <w:tblStylePr w:type="lastCol">
      <w:rPr>
        <w:rFonts w:cs="Arial"/>
      </w:rPr>
      <w:tblPr/>
      <w:tcPr>
        <w:tcBorders>
          <w:left w:val="single" w:sz="4" w:space="0" w:color="FFFFFF"/>
          <w:right w:val="single" w:sz="32" w:space="0" w:color="4F81BD"/>
        </w:tcBorders>
      </w:tcPr>
    </w:tblStylePr>
    <w:tblStylePr w:type="band1Vert">
      <w:rPr>
        <w:rFonts w:cs="Arial"/>
      </w:rPr>
      <w:tblPr/>
      <w:tcPr>
        <w:tcBorders>
          <w:left w:val="single" w:sz="4" w:space="0" w:color="FFFFFF"/>
          <w:right w:val="single" w:sz="4" w:space="0" w:color="FFFFFF"/>
        </w:tcBorders>
        <w:shd w:val="clear" w:color="4F81BD" w:fill="auto"/>
      </w:tcPr>
    </w:tblStylePr>
    <w:tblStylePr w:type="band2Vert">
      <w:rPr>
        <w:rFonts w:cs="Arial"/>
      </w:rPr>
      <w:tblPr/>
      <w:tcPr>
        <w:tcBorders>
          <w:left w:val="single" w:sz="4" w:space="0" w:color="FFFFFF"/>
          <w:right w:val="single" w:sz="4" w:space="0" w:color="FFFFFF"/>
        </w:tcBorders>
      </w:tcPr>
    </w:tblStylePr>
    <w:tblStylePr w:type="band1Horz">
      <w:rPr>
        <w:rFonts w:cs="Arial"/>
      </w:rPr>
      <w:tblPr/>
      <w:tcPr>
        <w:tcBorders>
          <w:top w:val="single" w:sz="4" w:space="0" w:color="FFFFFF"/>
          <w:bottom w:val="single" w:sz="4" w:space="0" w:color="FFFFFF"/>
        </w:tcBorders>
        <w:shd w:val="clear" w:color="4F81BD" w:fill="auto"/>
      </w:tcPr>
    </w:tblStylePr>
    <w:tblStylePr w:type="band2Horz">
      <w:rPr>
        <w:rFonts w:cs="Arial"/>
      </w:rPr>
      <w:tblPr/>
      <w:tcPr>
        <w:tcBorders>
          <w:top w:val="single" w:sz="4" w:space="0" w:color="FFFFFF"/>
          <w:bottom w:val="single" w:sz="4" w:space="0" w:color="FFFFFF"/>
        </w:tcBorders>
        <w:shd w:val="clear" w:color="4F81BD" w:fill="auto"/>
      </w:tcPr>
    </w:tblStylePr>
  </w:style>
  <w:style w:type="table" w:customStyle="1" w:styleId="ListTable5Dark-Accent2">
    <w:name w:val="List Table 5 Dark - Accent 2"/>
    <w:basedOn w:val="a3"/>
    <w:uiPriority w:val="99"/>
    <w:rsid w:val="00AE19E2"/>
    <w:rPr>
      <w:rFonts w:ascii="Arial" w:hAnsi="Arial" w:cs="Arial"/>
    </w:rPr>
    <w:tblPr>
      <w:tblStyleRowBandSize w:val="1"/>
      <w:tblStyleColBandSize w:val="1"/>
      <w:tblBorders>
        <w:top w:val="single" w:sz="32" w:space="0" w:color="D99695"/>
        <w:left w:val="single" w:sz="32" w:space="0" w:color="D99695"/>
        <w:bottom w:val="single" w:sz="32" w:space="0" w:color="D99695"/>
        <w:right w:val="single" w:sz="32" w:space="0" w:color="D99695"/>
      </w:tblBorders>
    </w:tblPr>
    <w:tblStylePr w:type="firstRow">
      <w:rPr>
        <w:rFonts w:ascii="Arial" w:hAnsi="Arial" w:cs="Arial"/>
        <w:b/>
        <w:color w:val="FFFFFF"/>
        <w:sz w:val="22"/>
      </w:rPr>
      <w:tblPr/>
      <w:tcPr>
        <w:tcBorders>
          <w:top w:val="single" w:sz="32" w:space="0" w:color="D99695"/>
          <w:bottom w:val="single" w:sz="12" w:space="0" w:color="FFFFFF"/>
        </w:tcBorders>
        <w:shd w:val="clear" w:color="D99695" w:fill="auto"/>
      </w:tcPr>
    </w:tblStylePr>
    <w:tblStylePr w:type="lastRow">
      <w:rPr>
        <w:rFonts w:ascii="Arial" w:hAnsi="Arial" w:cs="Arial"/>
        <w:b/>
        <w:color w:val="FFFFFF"/>
        <w:sz w:val="22"/>
      </w:rPr>
    </w:tblStylePr>
    <w:tblStylePr w:type="firstCol">
      <w:rPr>
        <w:rFonts w:ascii="Arial" w:hAnsi="Arial" w:cs="Arial"/>
        <w:b/>
        <w:color w:val="FFFFFF"/>
        <w:sz w:val="22"/>
      </w:rPr>
      <w:tblPr/>
      <w:tcPr>
        <w:tcBorders>
          <w:left w:val="single" w:sz="32" w:space="0" w:color="D99695"/>
          <w:right w:val="single" w:sz="4" w:space="0" w:color="FFFFFF"/>
        </w:tcBorders>
      </w:tcPr>
    </w:tblStylePr>
    <w:tblStylePr w:type="lastCol">
      <w:rPr>
        <w:rFonts w:cs="Arial"/>
      </w:rPr>
      <w:tblPr/>
      <w:tcPr>
        <w:tcBorders>
          <w:left w:val="single" w:sz="4" w:space="0" w:color="FFFFFF"/>
          <w:right w:val="single" w:sz="32" w:space="0" w:color="D99695"/>
        </w:tcBorders>
      </w:tcPr>
    </w:tblStylePr>
    <w:tblStylePr w:type="band1Vert">
      <w:rPr>
        <w:rFonts w:cs="Arial"/>
      </w:rPr>
      <w:tblPr/>
      <w:tcPr>
        <w:tcBorders>
          <w:left w:val="single" w:sz="4" w:space="0" w:color="FFFFFF"/>
          <w:right w:val="single" w:sz="4" w:space="0" w:color="FFFFFF"/>
        </w:tcBorders>
        <w:shd w:val="clear" w:color="D99695" w:fill="auto"/>
      </w:tcPr>
    </w:tblStylePr>
    <w:tblStylePr w:type="band2Vert">
      <w:rPr>
        <w:rFonts w:cs="Arial"/>
      </w:rPr>
      <w:tblPr/>
      <w:tcPr>
        <w:tcBorders>
          <w:left w:val="single" w:sz="4" w:space="0" w:color="FFFFFF"/>
          <w:right w:val="single" w:sz="4" w:space="0" w:color="FFFFFF"/>
        </w:tcBorders>
      </w:tcPr>
    </w:tblStylePr>
    <w:tblStylePr w:type="band1Horz">
      <w:rPr>
        <w:rFonts w:cs="Arial"/>
      </w:rPr>
      <w:tblPr/>
      <w:tcPr>
        <w:tcBorders>
          <w:top w:val="single" w:sz="4" w:space="0" w:color="FFFFFF"/>
          <w:bottom w:val="single" w:sz="4" w:space="0" w:color="FFFFFF"/>
        </w:tcBorders>
        <w:shd w:val="clear" w:color="D99695" w:fill="auto"/>
      </w:tcPr>
    </w:tblStylePr>
    <w:tblStylePr w:type="band2Horz">
      <w:rPr>
        <w:rFonts w:cs="Arial"/>
      </w:rPr>
      <w:tblPr/>
      <w:tcPr>
        <w:tcBorders>
          <w:top w:val="single" w:sz="4" w:space="0" w:color="FFFFFF"/>
          <w:bottom w:val="single" w:sz="4" w:space="0" w:color="FFFFFF"/>
        </w:tcBorders>
        <w:shd w:val="clear" w:color="D99695" w:fill="auto"/>
      </w:tcPr>
    </w:tblStylePr>
  </w:style>
  <w:style w:type="table" w:customStyle="1" w:styleId="ListTable5Dark-Accent3">
    <w:name w:val="List Table 5 Dark - Accent 3"/>
    <w:basedOn w:val="a3"/>
    <w:uiPriority w:val="99"/>
    <w:rsid w:val="00AE19E2"/>
    <w:rPr>
      <w:rFonts w:ascii="Arial" w:hAnsi="Arial" w:cs="Arial"/>
    </w:rPr>
    <w:tblPr>
      <w:tblStyleRowBandSize w:val="1"/>
      <w:tblStyleColBandSize w:val="1"/>
      <w:tblBorders>
        <w:top w:val="single" w:sz="32" w:space="0" w:color="C3D69B"/>
        <w:left w:val="single" w:sz="32" w:space="0" w:color="C3D69B"/>
        <w:bottom w:val="single" w:sz="32" w:space="0" w:color="C3D69B"/>
        <w:right w:val="single" w:sz="32" w:space="0" w:color="C3D69B"/>
      </w:tblBorders>
    </w:tblPr>
    <w:tblStylePr w:type="firstRow">
      <w:rPr>
        <w:rFonts w:ascii="Arial" w:hAnsi="Arial" w:cs="Arial"/>
        <w:b/>
        <w:color w:val="FFFFFF"/>
        <w:sz w:val="22"/>
      </w:rPr>
      <w:tblPr/>
      <w:tcPr>
        <w:tcBorders>
          <w:top w:val="single" w:sz="32" w:space="0" w:color="C3D69B"/>
          <w:bottom w:val="single" w:sz="12" w:space="0" w:color="FFFFFF"/>
        </w:tcBorders>
        <w:shd w:val="clear" w:color="C3D69B" w:fill="auto"/>
      </w:tcPr>
    </w:tblStylePr>
    <w:tblStylePr w:type="lastRow">
      <w:rPr>
        <w:rFonts w:ascii="Arial" w:hAnsi="Arial" w:cs="Arial"/>
        <w:b/>
        <w:color w:val="FFFFFF"/>
        <w:sz w:val="22"/>
      </w:rPr>
    </w:tblStylePr>
    <w:tblStylePr w:type="firstCol">
      <w:rPr>
        <w:rFonts w:ascii="Arial" w:hAnsi="Arial" w:cs="Arial"/>
        <w:b/>
        <w:color w:val="FFFFFF"/>
        <w:sz w:val="22"/>
      </w:rPr>
      <w:tblPr/>
      <w:tcPr>
        <w:tcBorders>
          <w:left w:val="single" w:sz="32" w:space="0" w:color="C3D69B"/>
          <w:right w:val="single" w:sz="4" w:space="0" w:color="FFFFFF"/>
        </w:tcBorders>
      </w:tcPr>
    </w:tblStylePr>
    <w:tblStylePr w:type="lastCol">
      <w:rPr>
        <w:rFonts w:cs="Arial"/>
      </w:rPr>
      <w:tblPr/>
      <w:tcPr>
        <w:tcBorders>
          <w:left w:val="single" w:sz="4" w:space="0" w:color="FFFFFF"/>
          <w:right w:val="single" w:sz="32" w:space="0" w:color="C3D69B"/>
        </w:tcBorders>
      </w:tcPr>
    </w:tblStylePr>
    <w:tblStylePr w:type="band1Vert">
      <w:rPr>
        <w:rFonts w:cs="Arial"/>
      </w:rPr>
      <w:tblPr/>
      <w:tcPr>
        <w:tcBorders>
          <w:left w:val="single" w:sz="4" w:space="0" w:color="FFFFFF"/>
          <w:right w:val="single" w:sz="4" w:space="0" w:color="FFFFFF"/>
        </w:tcBorders>
        <w:shd w:val="clear" w:color="C3D69B" w:fill="auto"/>
      </w:tcPr>
    </w:tblStylePr>
    <w:tblStylePr w:type="band2Vert">
      <w:rPr>
        <w:rFonts w:cs="Arial"/>
      </w:rPr>
      <w:tblPr/>
      <w:tcPr>
        <w:tcBorders>
          <w:left w:val="single" w:sz="4" w:space="0" w:color="FFFFFF"/>
          <w:right w:val="single" w:sz="4" w:space="0" w:color="FFFFFF"/>
        </w:tcBorders>
      </w:tcPr>
    </w:tblStylePr>
    <w:tblStylePr w:type="band1Horz">
      <w:rPr>
        <w:rFonts w:cs="Arial"/>
      </w:rPr>
      <w:tblPr/>
      <w:tcPr>
        <w:tcBorders>
          <w:top w:val="single" w:sz="4" w:space="0" w:color="FFFFFF"/>
          <w:bottom w:val="single" w:sz="4" w:space="0" w:color="FFFFFF"/>
        </w:tcBorders>
        <w:shd w:val="clear" w:color="C3D69B" w:fill="auto"/>
      </w:tcPr>
    </w:tblStylePr>
    <w:tblStylePr w:type="band2Horz">
      <w:rPr>
        <w:rFonts w:cs="Arial"/>
      </w:rPr>
      <w:tblPr/>
      <w:tcPr>
        <w:tcBorders>
          <w:top w:val="single" w:sz="4" w:space="0" w:color="FFFFFF"/>
          <w:bottom w:val="single" w:sz="4" w:space="0" w:color="FFFFFF"/>
        </w:tcBorders>
        <w:shd w:val="clear" w:color="C3D69B" w:fill="auto"/>
      </w:tcPr>
    </w:tblStylePr>
  </w:style>
  <w:style w:type="table" w:customStyle="1" w:styleId="ListTable5Dark-Accent4">
    <w:name w:val="List Table 5 Dark - Accent 4"/>
    <w:basedOn w:val="a3"/>
    <w:uiPriority w:val="99"/>
    <w:rsid w:val="00AE19E2"/>
    <w:rPr>
      <w:rFonts w:ascii="Arial" w:hAnsi="Arial" w:cs="Arial"/>
    </w:rPr>
    <w:tblPr>
      <w:tblStyleRowBandSize w:val="1"/>
      <w:tblStyleColBandSize w:val="1"/>
      <w:tblBorders>
        <w:top w:val="single" w:sz="32" w:space="0" w:color="B2A1C6"/>
        <w:left w:val="single" w:sz="32" w:space="0" w:color="B2A1C6"/>
        <w:bottom w:val="single" w:sz="32" w:space="0" w:color="B2A1C6"/>
        <w:right w:val="single" w:sz="32" w:space="0" w:color="B2A1C6"/>
      </w:tblBorders>
    </w:tblPr>
    <w:tblStylePr w:type="firstRow">
      <w:rPr>
        <w:rFonts w:ascii="Arial" w:hAnsi="Arial" w:cs="Arial"/>
        <w:b/>
        <w:color w:val="FFFFFF"/>
        <w:sz w:val="22"/>
      </w:rPr>
      <w:tblPr/>
      <w:tcPr>
        <w:tcBorders>
          <w:top w:val="single" w:sz="32" w:space="0" w:color="B2A1C6"/>
          <w:bottom w:val="single" w:sz="12" w:space="0" w:color="FFFFFF"/>
        </w:tcBorders>
        <w:shd w:val="clear" w:color="B2A1C6" w:fill="auto"/>
      </w:tcPr>
    </w:tblStylePr>
    <w:tblStylePr w:type="lastRow">
      <w:rPr>
        <w:rFonts w:ascii="Arial" w:hAnsi="Arial" w:cs="Arial"/>
        <w:b/>
        <w:color w:val="FFFFFF"/>
        <w:sz w:val="22"/>
      </w:rPr>
    </w:tblStylePr>
    <w:tblStylePr w:type="firstCol">
      <w:rPr>
        <w:rFonts w:ascii="Arial" w:hAnsi="Arial" w:cs="Arial"/>
        <w:b/>
        <w:color w:val="FFFFFF"/>
        <w:sz w:val="22"/>
      </w:rPr>
      <w:tblPr/>
      <w:tcPr>
        <w:tcBorders>
          <w:left w:val="single" w:sz="32" w:space="0" w:color="B2A1C6"/>
          <w:right w:val="single" w:sz="4" w:space="0" w:color="FFFFFF"/>
        </w:tcBorders>
      </w:tcPr>
    </w:tblStylePr>
    <w:tblStylePr w:type="lastCol">
      <w:rPr>
        <w:rFonts w:cs="Arial"/>
      </w:rPr>
      <w:tblPr/>
      <w:tcPr>
        <w:tcBorders>
          <w:left w:val="single" w:sz="4" w:space="0" w:color="FFFFFF"/>
          <w:right w:val="single" w:sz="32" w:space="0" w:color="B2A1C6"/>
        </w:tcBorders>
      </w:tcPr>
    </w:tblStylePr>
    <w:tblStylePr w:type="band1Vert">
      <w:rPr>
        <w:rFonts w:cs="Arial"/>
      </w:rPr>
      <w:tblPr/>
      <w:tcPr>
        <w:tcBorders>
          <w:left w:val="single" w:sz="4" w:space="0" w:color="FFFFFF"/>
          <w:right w:val="single" w:sz="4" w:space="0" w:color="FFFFFF"/>
        </w:tcBorders>
        <w:shd w:val="clear" w:color="B2A1C6" w:fill="auto"/>
      </w:tcPr>
    </w:tblStylePr>
    <w:tblStylePr w:type="band2Vert">
      <w:rPr>
        <w:rFonts w:cs="Arial"/>
      </w:rPr>
      <w:tblPr/>
      <w:tcPr>
        <w:tcBorders>
          <w:left w:val="single" w:sz="4" w:space="0" w:color="FFFFFF"/>
          <w:right w:val="single" w:sz="4" w:space="0" w:color="FFFFFF"/>
        </w:tcBorders>
      </w:tcPr>
    </w:tblStylePr>
    <w:tblStylePr w:type="band1Horz">
      <w:rPr>
        <w:rFonts w:cs="Arial"/>
      </w:rPr>
      <w:tblPr/>
      <w:tcPr>
        <w:tcBorders>
          <w:top w:val="single" w:sz="4" w:space="0" w:color="FFFFFF"/>
          <w:bottom w:val="single" w:sz="4" w:space="0" w:color="FFFFFF"/>
        </w:tcBorders>
        <w:shd w:val="clear" w:color="B2A1C6" w:fill="auto"/>
      </w:tcPr>
    </w:tblStylePr>
    <w:tblStylePr w:type="band2Horz">
      <w:rPr>
        <w:rFonts w:cs="Arial"/>
      </w:rPr>
      <w:tblPr/>
      <w:tcPr>
        <w:tcBorders>
          <w:top w:val="single" w:sz="4" w:space="0" w:color="FFFFFF"/>
          <w:bottom w:val="single" w:sz="4" w:space="0" w:color="FFFFFF"/>
        </w:tcBorders>
        <w:shd w:val="clear" w:color="B2A1C6" w:fill="auto"/>
      </w:tcPr>
    </w:tblStylePr>
  </w:style>
  <w:style w:type="table" w:customStyle="1" w:styleId="ListTable5Dark-Accent5">
    <w:name w:val="List Table 5 Dark - Accent 5"/>
    <w:basedOn w:val="a3"/>
    <w:uiPriority w:val="99"/>
    <w:rsid w:val="00AE19E2"/>
    <w:rPr>
      <w:rFonts w:ascii="Arial" w:hAnsi="Arial" w:cs="Arial"/>
    </w:rPr>
    <w:tblPr>
      <w:tblStyleRowBandSize w:val="1"/>
      <w:tblStyleColBandSize w:val="1"/>
      <w:tblBorders>
        <w:top w:val="single" w:sz="32" w:space="0" w:color="92CCDC"/>
        <w:left w:val="single" w:sz="32" w:space="0" w:color="92CCDC"/>
        <w:bottom w:val="single" w:sz="32" w:space="0" w:color="92CCDC"/>
        <w:right w:val="single" w:sz="32" w:space="0" w:color="92CCDC"/>
      </w:tblBorders>
    </w:tblPr>
    <w:tblStylePr w:type="firstRow">
      <w:rPr>
        <w:rFonts w:ascii="Arial" w:hAnsi="Arial" w:cs="Arial"/>
        <w:b/>
        <w:color w:val="FFFFFF"/>
        <w:sz w:val="22"/>
      </w:rPr>
      <w:tblPr/>
      <w:tcPr>
        <w:tcBorders>
          <w:top w:val="single" w:sz="32" w:space="0" w:color="92CCDC"/>
          <w:bottom w:val="single" w:sz="12" w:space="0" w:color="FFFFFF"/>
        </w:tcBorders>
        <w:shd w:val="clear" w:color="92CCDC" w:fill="auto"/>
      </w:tcPr>
    </w:tblStylePr>
    <w:tblStylePr w:type="lastRow">
      <w:rPr>
        <w:rFonts w:ascii="Arial" w:hAnsi="Arial" w:cs="Arial"/>
        <w:b/>
        <w:color w:val="FFFFFF"/>
        <w:sz w:val="22"/>
      </w:rPr>
    </w:tblStylePr>
    <w:tblStylePr w:type="firstCol">
      <w:rPr>
        <w:rFonts w:ascii="Arial" w:hAnsi="Arial" w:cs="Arial"/>
        <w:b/>
        <w:color w:val="FFFFFF"/>
        <w:sz w:val="22"/>
      </w:rPr>
      <w:tblPr/>
      <w:tcPr>
        <w:tcBorders>
          <w:left w:val="single" w:sz="32" w:space="0" w:color="92CCDC"/>
          <w:right w:val="single" w:sz="4" w:space="0" w:color="FFFFFF"/>
        </w:tcBorders>
      </w:tcPr>
    </w:tblStylePr>
    <w:tblStylePr w:type="lastCol">
      <w:rPr>
        <w:rFonts w:cs="Arial"/>
      </w:rPr>
      <w:tblPr/>
      <w:tcPr>
        <w:tcBorders>
          <w:left w:val="single" w:sz="4" w:space="0" w:color="FFFFFF"/>
          <w:right w:val="single" w:sz="32" w:space="0" w:color="92CCDC"/>
        </w:tcBorders>
      </w:tcPr>
    </w:tblStylePr>
    <w:tblStylePr w:type="band1Vert">
      <w:rPr>
        <w:rFonts w:cs="Arial"/>
      </w:rPr>
      <w:tblPr/>
      <w:tcPr>
        <w:tcBorders>
          <w:left w:val="single" w:sz="4" w:space="0" w:color="FFFFFF"/>
          <w:right w:val="single" w:sz="4" w:space="0" w:color="FFFFFF"/>
        </w:tcBorders>
        <w:shd w:val="clear" w:color="92CCDC" w:fill="auto"/>
      </w:tcPr>
    </w:tblStylePr>
    <w:tblStylePr w:type="band2Vert">
      <w:rPr>
        <w:rFonts w:cs="Arial"/>
      </w:rPr>
      <w:tblPr/>
      <w:tcPr>
        <w:tcBorders>
          <w:left w:val="single" w:sz="4" w:space="0" w:color="FFFFFF"/>
          <w:right w:val="single" w:sz="4" w:space="0" w:color="FFFFFF"/>
        </w:tcBorders>
      </w:tcPr>
    </w:tblStylePr>
    <w:tblStylePr w:type="band1Horz">
      <w:rPr>
        <w:rFonts w:cs="Arial"/>
      </w:rPr>
      <w:tblPr/>
      <w:tcPr>
        <w:tcBorders>
          <w:top w:val="single" w:sz="4" w:space="0" w:color="FFFFFF"/>
          <w:bottom w:val="single" w:sz="4" w:space="0" w:color="FFFFFF"/>
        </w:tcBorders>
        <w:shd w:val="clear" w:color="92CCDC" w:fill="auto"/>
      </w:tcPr>
    </w:tblStylePr>
    <w:tblStylePr w:type="band2Horz">
      <w:rPr>
        <w:rFonts w:cs="Arial"/>
      </w:rPr>
      <w:tblPr/>
      <w:tcPr>
        <w:tcBorders>
          <w:top w:val="single" w:sz="4" w:space="0" w:color="FFFFFF"/>
          <w:bottom w:val="single" w:sz="4" w:space="0" w:color="FFFFFF"/>
        </w:tcBorders>
        <w:shd w:val="clear" w:color="92CCDC" w:fill="auto"/>
      </w:tcPr>
    </w:tblStylePr>
  </w:style>
  <w:style w:type="table" w:customStyle="1" w:styleId="ListTable5Dark-Accent6">
    <w:name w:val="List Table 5 Dark - Accent 6"/>
    <w:basedOn w:val="a3"/>
    <w:uiPriority w:val="99"/>
    <w:rsid w:val="00AE19E2"/>
    <w:rPr>
      <w:rFonts w:ascii="Arial" w:hAnsi="Arial" w:cs="Arial"/>
    </w:rPr>
    <w:tblPr>
      <w:tblStyleRowBandSize w:val="1"/>
      <w:tblStyleColBandSize w:val="1"/>
      <w:tblBorders>
        <w:top w:val="single" w:sz="32" w:space="0" w:color="FAC090"/>
        <w:left w:val="single" w:sz="32" w:space="0" w:color="FAC090"/>
        <w:bottom w:val="single" w:sz="32" w:space="0" w:color="FAC090"/>
        <w:right w:val="single" w:sz="32" w:space="0" w:color="FAC090"/>
      </w:tblBorders>
    </w:tblPr>
    <w:tblStylePr w:type="firstRow">
      <w:rPr>
        <w:rFonts w:ascii="Arial" w:hAnsi="Arial" w:cs="Arial"/>
        <w:b/>
        <w:color w:val="FFFFFF"/>
        <w:sz w:val="22"/>
      </w:rPr>
      <w:tblPr/>
      <w:tcPr>
        <w:tcBorders>
          <w:top w:val="single" w:sz="32" w:space="0" w:color="FAC090"/>
          <w:bottom w:val="single" w:sz="12" w:space="0" w:color="FFFFFF"/>
        </w:tcBorders>
        <w:shd w:val="clear" w:color="FAC090" w:fill="auto"/>
      </w:tcPr>
    </w:tblStylePr>
    <w:tblStylePr w:type="lastRow">
      <w:rPr>
        <w:rFonts w:ascii="Arial" w:hAnsi="Arial" w:cs="Arial"/>
        <w:b/>
        <w:color w:val="FFFFFF"/>
        <w:sz w:val="22"/>
      </w:rPr>
    </w:tblStylePr>
    <w:tblStylePr w:type="firstCol">
      <w:rPr>
        <w:rFonts w:ascii="Arial" w:hAnsi="Arial" w:cs="Arial"/>
        <w:b/>
        <w:color w:val="FFFFFF"/>
        <w:sz w:val="22"/>
      </w:rPr>
      <w:tblPr/>
      <w:tcPr>
        <w:tcBorders>
          <w:left w:val="single" w:sz="32" w:space="0" w:color="FAC090"/>
          <w:right w:val="single" w:sz="4" w:space="0" w:color="FFFFFF"/>
        </w:tcBorders>
      </w:tcPr>
    </w:tblStylePr>
    <w:tblStylePr w:type="lastCol">
      <w:rPr>
        <w:rFonts w:cs="Arial"/>
      </w:rPr>
      <w:tblPr/>
      <w:tcPr>
        <w:tcBorders>
          <w:left w:val="single" w:sz="4" w:space="0" w:color="FFFFFF"/>
          <w:right w:val="single" w:sz="32" w:space="0" w:color="FAC090"/>
        </w:tcBorders>
      </w:tcPr>
    </w:tblStylePr>
    <w:tblStylePr w:type="band1Vert">
      <w:rPr>
        <w:rFonts w:cs="Arial"/>
      </w:rPr>
      <w:tblPr/>
      <w:tcPr>
        <w:tcBorders>
          <w:left w:val="single" w:sz="4" w:space="0" w:color="FFFFFF"/>
          <w:right w:val="single" w:sz="4" w:space="0" w:color="FFFFFF"/>
        </w:tcBorders>
        <w:shd w:val="clear" w:color="FAC090" w:fill="auto"/>
      </w:tcPr>
    </w:tblStylePr>
    <w:tblStylePr w:type="band2Vert">
      <w:rPr>
        <w:rFonts w:cs="Arial"/>
      </w:rPr>
      <w:tblPr/>
      <w:tcPr>
        <w:tcBorders>
          <w:left w:val="single" w:sz="4" w:space="0" w:color="FFFFFF"/>
          <w:right w:val="single" w:sz="4" w:space="0" w:color="FFFFFF"/>
        </w:tcBorders>
      </w:tcPr>
    </w:tblStylePr>
    <w:tblStylePr w:type="band1Horz">
      <w:rPr>
        <w:rFonts w:cs="Arial"/>
      </w:rPr>
      <w:tblPr/>
      <w:tcPr>
        <w:tcBorders>
          <w:top w:val="single" w:sz="4" w:space="0" w:color="FFFFFF"/>
          <w:bottom w:val="single" w:sz="4" w:space="0" w:color="FFFFFF"/>
        </w:tcBorders>
        <w:shd w:val="clear" w:color="FAC090" w:fill="auto"/>
      </w:tcPr>
    </w:tblStylePr>
    <w:tblStylePr w:type="band2Horz">
      <w:rPr>
        <w:rFonts w:cs="Arial"/>
      </w:rPr>
      <w:tblPr/>
      <w:tcPr>
        <w:tcBorders>
          <w:top w:val="single" w:sz="4" w:space="0" w:color="FFFFFF"/>
          <w:bottom w:val="single" w:sz="4" w:space="0" w:color="FFFFFF"/>
        </w:tcBorders>
        <w:shd w:val="clear" w:color="FAC090" w:fill="auto"/>
      </w:tcPr>
    </w:tblStylePr>
  </w:style>
  <w:style w:type="table" w:customStyle="1" w:styleId="-610">
    <w:name w:val="Список-таблица 6 цветная1"/>
    <w:basedOn w:val="a3"/>
    <w:uiPriority w:val="99"/>
    <w:rsid w:val="00AE19E2"/>
    <w:rPr>
      <w:rFonts w:ascii="Arial" w:hAnsi="Arial" w:cs="Arial"/>
    </w:rPr>
    <w:tblPr>
      <w:tblStyleRowBandSize w:val="1"/>
      <w:tblStyleColBandSize w:val="1"/>
      <w:tblBorders>
        <w:top w:val="single" w:sz="4" w:space="0" w:color="7F7F7F"/>
        <w:bottom w:val="single" w:sz="4" w:space="0" w:color="7F7F7F"/>
      </w:tblBorders>
    </w:tblPr>
    <w:tblStylePr w:type="firstRow">
      <w:rPr>
        <w:rFonts w:cs="Arial"/>
        <w:b/>
        <w:color w:val="000000"/>
      </w:rPr>
      <w:tblPr/>
      <w:tcPr>
        <w:tcBorders>
          <w:bottom w:val="single" w:sz="4" w:space="0" w:color="7F7F7F"/>
        </w:tcBorders>
      </w:tcPr>
    </w:tblStylePr>
    <w:tblStylePr w:type="lastRow">
      <w:rPr>
        <w:rFonts w:cs="Arial"/>
        <w:b/>
        <w:color w:val="000000"/>
      </w:rPr>
      <w:tblPr/>
      <w:tcPr>
        <w:tcBorders>
          <w:top w:val="single" w:sz="4" w:space="0" w:color="7F7F7F"/>
        </w:tcBorders>
      </w:tcPr>
    </w:tblStylePr>
    <w:tblStylePr w:type="firstCol">
      <w:rPr>
        <w:rFonts w:cs="Arial"/>
        <w:b/>
        <w:color w:val="000000"/>
      </w:rPr>
    </w:tblStylePr>
    <w:tblStylePr w:type="lastCol">
      <w:rPr>
        <w:rFonts w:cs="Arial"/>
        <w:b/>
        <w:color w:val="000000"/>
      </w:rPr>
    </w:tblStylePr>
    <w:tblStylePr w:type="band1Vert">
      <w:rPr>
        <w:rFonts w:cs="Arial"/>
      </w:rPr>
      <w:tblPr/>
      <w:tcPr>
        <w:shd w:val="clear" w:color="BFBFBF" w:fill="auto"/>
      </w:tcPr>
    </w:tblStylePr>
    <w:tblStylePr w:type="band1Horz">
      <w:rPr>
        <w:rFonts w:ascii="Arial" w:hAnsi="Arial" w:cs="Arial"/>
        <w:color w:val="000000"/>
        <w:sz w:val="22"/>
      </w:rPr>
      <w:tblPr/>
      <w:tcPr>
        <w:shd w:val="clear" w:color="BFBFBF" w:fill="auto"/>
      </w:tcPr>
    </w:tblStylePr>
    <w:tblStylePr w:type="band2Horz">
      <w:rPr>
        <w:rFonts w:ascii="Arial" w:hAnsi="Arial" w:cs="Arial"/>
        <w:color w:val="000000"/>
        <w:sz w:val="22"/>
      </w:rPr>
    </w:tblStylePr>
  </w:style>
  <w:style w:type="table" w:customStyle="1" w:styleId="ListTable6Colorful-Accent1">
    <w:name w:val="List Table 6 Colorful - Accent 1"/>
    <w:basedOn w:val="a3"/>
    <w:uiPriority w:val="99"/>
    <w:rsid w:val="00AE19E2"/>
    <w:rPr>
      <w:rFonts w:ascii="Arial" w:hAnsi="Arial" w:cs="Arial"/>
    </w:rPr>
    <w:tblPr>
      <w:tblStyleRowBandSize w:val="1"/>
      <w:tblStyleColBandSize w:val="1"/>
      <w:tblBorders>
        <w:top w:val="single" w:sz="4" w:space="0" w:color="4F81BD"/>
        <w:bottom w:val="single" w:sz="4" w:space="0" w:color="4F81BD"/>
      </w:tblBorders>
    </w:tblPr>
    <w:tblStylePr w:type="firstRow">
      <w:rPr>
        <w:rFonts w:cs="Arial"/>
        <w:b/>
        <w:color w:val="2A4A71"/>
      </w:rPr>
      <w:tblPr/>
      <w:tcPr>
        <w:tcBorders>
          <w:bottom w:val="single" w:sz="4" w:space="0" w:color="4F81BD"/>
        </w:tcBorders>
      </w:tcPr>
    </w:tblStylePr>
    <w:tblStylePr w:type="lastRow">
      <w:rPr>
        <w:rFonts w:cs="Arial"/>
        <w:b/>
        <w:color w:val="2A4A71"/>
      </w:rPr>
      <w:tblPr/>
      <w:tcPr>
        <w:tcBorders>
          <w:top w:val="single" w:sz="4" w:space="0" w:color="4F81BD"/>
        </w:tcBorders>
      </w:tcPr>
    </w:tblStylePr>
    <w:tblStylePr w:type="firstCol">
      <w:rPr>
        <w:rFonts w:cs="Arial"/>
        <w:b/>
        <w:color w:val="2A4A71"/>
      </w:rPr>
    </w:tblStylePr>
    <w:tblStylePr w:type="lastCol">
      <w:rPr>
        <w:rFonts w:cs="Arial"/>
        <w:b/>
        <w:color w:val="2A4A71"/>
      </w:rPr>
    </w:tblStylePr>
    <w:tblStylePr w:type="band1Vert">
      <w:rPr>
        <w:rFonts w:cs="Arial"/>
      </w:rPr>
      <w:tblPr/>
      <w:tcPr>
        <w:shd w:val="clear" w:color="D2DFEE" w:fill="auto"/>
      </w:tcPr>
    </w:tblStylePr>
    <w:tblStylePr w:type="band1Horz">
      <w:rPr>
        <w:rFonts w:ascii="Arial" w:hAnsi="Arial" w:cs="Arial"/>
        <w:color w:val="2A4A71"/>
        <w:sz w:val="22"/>
      </w:rPr>
      <w:tblPr/>
      <w:tcPr>
        <w:shd w:val="clear" w:color="D2DFEE" w:fill="auto"/>
      </w:tcPr>
    </w:tblStylePr>
    <w:tblStylePr w:type="band2Horz">
      <w:rPr>
        <w:rFonts w:ascii="Arial" w:hAnsi="Arial" w:cs="Arial"/>
        <w:color w:val="2A4A71"/>
        <w:sz w:val="22"/>
      </w:rPr>
    </w:tblStylePr>
  </w:style>
  <w:style w:type="table" w:customStyle="1" w:styleId="ListTable6Colorful-Accent2">
    <w:name w:val="List Table 6 Colorful - Accent 2"/>
    <w:basedOn w:val="a3"/>
    <w:uiPriority w:val="99"/>
    <w:rsid w:val="00AE19E2"/>
    <w:rPr>
      <w:rFonts w:ascii="Arial" w:hAnsi="Arial" w:cs="Arial"/>
    </w:rPr>
    <w:tblPr>
      <w:tblStyleRowBandSize w:val="1"/>
      <w:tblStyleColBandSize w:val="1"/>
      <w:tblBorders>
        <w:top w:val="single" w:sz="4" w:space="0" w:color="D99695"/>
        <w:bottom w:val="single" w:sz="4" w:space="0" w:color="D99695"/>
      </w:tblBorders>
    </w:tblPr>
    <w:tblStylePr w:type="firstRow">
      <w:rPr>
        <w:rFonts w:cs="Arial"/>
        <w:b/>
        <w:color w:val="D99695"/>
      </w:rPr>
      <w:tblPr/>
      <w:tcPr>
        <w:tcBorders>
          <w:bottom w:val="single" w:sz="4" w:space="0" w:color="D99695"/>
        </w:tcBorders>
      </w:tcPr>
    </w:tblStylePr>
    <w:tblStylePr w:type="lastRow">
      <w:rPr>
        <w:rFonts w:cs="Arial"/>
        <w:b/>
        <w:color w:val="D99695"/>
      </w:rPr>
      <w:tblPr/>
      <w:tcPr>
        <w:tcBorders>
          <w:top w:val="single" w:sz="4" w:space="0" w:color="D99695"/>
        </w:tcBorders>
      </w:tcPr>
    </w:tblStylePr>
    <w:tblStylePr w:type="firstCol">
      <w:rPr>
        <w:rFonts w:cs="Arial"/>
        <w:b/>
        <w:color w:val="D99695"/>
      </w:rPr>
    </w:tblStylePr>
    <w:tblStylePr w:type="lastCol">
      <w:rPr>
        <w:rFonts w:cs="Arial"/>
        <w:b/>
        <w:color w:val="D99695"/>
      </w:rPr>
    </w:tblStylePr>
    <w:tblStylePr w:type="band1Vert">
      <w:rPr>
        <w:rFonts w:cs="Arial"/>
      </w:rPr>
      <w:tblPr/>
      <w:tcPr>
        <w:shd w:val="clear" w:color="EFD2D2" w:fill="auto"/>
      </w:tcPr>
    </w:tblStylePr>
    <w:tblStylePr w:type="band1Horz">
      <w:rPr>
        <w:rFonts w:ascii="Arial" w:hAnsi="Arial" w:cs="Arial"/>
        <w:color w:val="D99695"/>
        <w:sz w:val="22"/>
      </w:rPr>
      <w:tblPr/>
      <w:tcPr>
        <w:shd w:val="clear" w:color="EFD2D2" w:fill="auto"/>
      </w:tcPr>
    </w:tblStylePr>
    <w:tblStylePr w:type="band2Horz">
      <w:rPr>
        <w:rFonts w:ascii="Arial" w:hAnsi="Arial" w:cs="Arial"/>
        <w:color w:val="D99695"/>
        <w:sz w:val="22"/>
      </w:rPr>
    </w:tblStylePr>
  </w:style>
  <w:style w:type="table" w:customStyle="1" w:styleId="ListTable6Colorful-Accent3">
    <w:name w:val="List Table 6 Colorful - Accent 3"/>
    <w:basedOn w:val="a3"/>
    <w:uiPriority w:val="99"/>
    <w:rsid w:val="00AE19E2"/>
    <w:rPr>
      <w:rFonts w:ascii="Arial" w:hAnsi="Arial" w:cs="Arial"/>
    </w:rPr>
    <w:tblPr>
      <w:tblStyleRowBandSize w:val="1"/>
      <w:tblStyleColBandSize w:val="1"/>
      <w:tblBorders>
        <w:top w:val="single" w:sz="4" w:space="0" w:color="C3D69B"/>
        <w:bottom w:val="single" w:sz="4" w:space="0" w:color="C3D69B"/>
      </w:tblBorders>
    </w:tblPr>
    <w:tblStylePr w:type="firstRow">
      <w:rPr>
        <w:rFonts w:cs="Arial"/>
        <w:b/>
        <w:color w:val="C3D69B"/>
      </w:rPr>
      <w:tblPr/>
      <w:tcPr>
        <w:tcBorders>
          <w:bottom w:val="single" w:sz="4" w:space="0" w:color="C3D69B"/>
        </w:tcBorders>
      </w:tcPr>
    </w:tblStylePr>
    <w:tblStylePr w:type="lastRow">
      <w:rPr>
        <w:rFonts w:cs="Arial"/>
        <w:b/>
        <w:color w:val="C3D69B"/>
      </w:rPr>
      <w:tblPr/>
      <w:tcPr>
        <w:tcBorders>
          <w:top w:val="single" w:sz="4" w:space="0" w:color="C3D69B"/>
        </w:tcBorders>
      </w:tcPr>
    </w:tblStylePr>
    <w:tblStylePr w:type="firstCol">
      <w:rPr>
        <w:rFonts w:cs="Arial"/>
        <w:b/>
        <w:color w:val="C3D69B"/>
      </w:rPr>
    </w:tblStylePr>
    <w:tblStylePr w:type="lastCol">
      <w:rPr>
        <w:rFonts w:cs="Arial"/>
        <w:b/>
        <w:color w:val="C3D69B"/>
      </w:rPr>
    </w:tblStylePr>
    <w:tblStylePr w:type="band1Vert">
      <w:rPr>
        <w:rFonts w:cs="Arial"/>
      </w:rPr>
      <w:tblPr/>
      <w:tcPr>
        <w:shd w:val="clear" w:color="E5EED5" w:fill="auto"/>
      </w:tcPr>
    </w:tblStylePr>
    <w:tblStylePr w:type="band1Horz">
      <w:rPr>
        <w:rFonts w:ascii="Arial" w:hAnsi="Arial" w:cs="Arial"/>
        <w:color w:val="C3D69B"/>
        <w:sz w:val="22"/>
      </w:rPr>
      <w:tblPr/>
      <w:tcPr>
        <w:shd w:val="clear" w:color="E5EED5" w:fill="auto"/>
      </w:tcPr>
    </w:tblStylePr>
    <w:tblStylePr w:type="band2Horz">
      <w:rPr>
        <w:rFonts w:ascii="Arial" w:hAnsi="Arial" w:cs="Arial"/>
        <w:color w:val="C3D69B"/>
        <w:sz w:val="22"/>
      </w:rPr>
    </w:tblStylePr>
  </w:style>
  <w:style w:type="table" w:customStyle="1" w:styleId="ListTable6Colorful-Accent4">
    <w:name w:val="List Table 6 Colorful - Accent 4"/>
    <w:basedOn w:val="a3"/>
    <w:uiPriority w:val="99"/>
    <w:rsid w:val="00AE19E2"/>
    <w:rPr>
      <w:rFonts w:ascii="Arial" w:hAnsi="Arial" w:cs="Arial"/>
    </w:rPr>
    <w:tblPr>
      <w:tblStyleRowBandSize w:val="1"/>
      <w:tblStyleColBandSize w:val="1"/>
      <w:tblBorders>
        <w:top w:val="single" w:sz="4" w:space="0" w:color="B2A1C6"/>
        <w:bottom w:val="single" w:sz="4" w:space="0" w:color="B2A1C6"/>
      </w:tblBorders>
    </w:tblPr>
    <w:tblStylePr w:type="firstRow">
      <w:rPr>
        <w:rFonts w:cs="Arial"/>
        <w:b/>
        <w:color w:val="B2A1C6"/>
      </w:rPr>
      <w:tblPr/>
      <w:tcPr>
        <w:tcBorders>
          <w:bottom w:val="single" w:sz="4" w:space="0" w:color="B2A1C6"/>
        </w:tcBorders>
      </w:tcPr>
    </w:tblStylePr>
    <w:tblStylePr w:type="lastRow">
      <w:rPr>
        <w:rFonts w:cs="Arial"/>
        <w:b/>
        <w:color w:val="B2A1C6"/>
      </w:rPr>
      <w:tblPr/>
      <w:tcPr>
        <w:tcBorders>
          <w:top w:val="single" w:sz="4" w:space="0" w:color="B2A1C6"/>
        </w:tcBorders>
      </w:tcPr>
    </w:tblStylePr>
    <w:tblStylePr w:type="firstCol">
      <w:rPr>
        <w:rFonts w:cs="Arial"/>
        <w:b/>
        <w:color w:val="B2A1C6"/>
      </w:rPr>
    </w:tblStylePr>
    <w:tblStylePr w:type="lastCol">
      <w:rPr>
        <w:rFonts w:cs="Arial"/>
        <w:b/>
        <w:color w:val="B2A1C6"/>
      </w:rPr>
    </w:tblStylePr>
    <w:tblStylePr w:type="band1Vert">
      <w:rPr>
        <w:rFonts w:cs="Arial"/>
      </w:rPr>
      <w:tblPr/>
      <w:tcPr>
        <w:shd w:val="clear" w:color="DFD8E7" w:fill="auto"/>
      </w:tcPr>
    </w:tblStylePr>
    <w:tblStylePr w:type="band1Horz">
      <w:rPr>
        <w:rFonts w:ascii="Arial" w:hAnsi="Arial" w:cs="Arial"/>
        <w:color w:val="B2A1C6"/>
        <w:sz w:val="22"/>
      </w:rPr>
      <w:tblPr/>
      <w:tcPr>
        <w:shd w:val="clear" w:color="DFD8E7" w:fill="auto"/>
      </w:tcPr>
    </w:tblStylePr>
    <w:tblStylePr w:type="band2Horz">
      <w:rPr>
        <w:rFonts w:ascii="Arial" w:hAnsi="Arial" w:cs="Arial"/>
        <w:color w:val="B2A1C6"/>
        <w:sz w:val="22"/>
      </w:rPr>
    </w:tblStylePr>
  </w:style>
  <w:style w:type="table" w:customStyle="1" w:styleId="ListTable6Colorful-Accent5">
    <w:name w:val="List Table 6 Colorful - Accent 5"/>
    <w:basedOn w:val="a3"/>
    <w:uiPriority w:val="99"/>
    <w:rsid w:val="00AE19E2"/>
    <w:rPr>
      <w:rFonts w:ascii="Arial" w:hAnsi="Arial" w:cs="Arial"/>
    </w:rPr>
    <w:tblPr>
      <w:tblStyleRowBandSize w:val="1"/>
      <w:tblStyleColBandSize w:val="1"/>
      <w:tblBorders>
        <w:top w:val="single" w:sz="4" w:space="0" w:color="92CCDC"/>
        <w:bottom w:val="single" w:sz="4" w:space="0" w:color="92CCDC"/>
      </w:tblBorders>
    </w:tblPr>
    <w:tblStylePr w:type="firstRow">
      <w:rPr>
        <w:rFonts w:cs="Arial"/>
        <w:b/>
        <w:color w:val="92CCDC"/>
      </w:rPr>
      <w:tblPr/>
      <w:tcPr>
        <w:tcBorders>
          <w:bottom w:val="single" w:sz="4" w:space="0" w:color="92CCDC"/>
        </w:tcBorders>
      </w:tcPr>
    </w:tblStylePr>
    <w:tblStylePr w:type="lastRow">
      <w:rPr>
        <w:rFonts w:cs="Arial"/>
        <w:b/>
        <w:color w:val="92CCDC"/>
      </w:rPr>
      <w:tblPr/>
      <w:tcPr>
        <w:tcBorders>
          <w:top w:val="single" w:sz="4" w:space="0" w:color="92CCDC"/>
        </w:tcBorders>
      </w:tcPr>
    </w:tblStylePr>
    <w:tblStylePr w:type="firstCol">
      <w:rPr>
        <w:rFonts w:cs="Arial"/>
        <w:b/>
        <w:color w:val="92CCDC"/>
      </w:rPr>
    </w:tblStylePr>
    <w:tblStylePr w:type="lastCol">
      <w:rPr>
        <w:rFonts w:cs="Arial"/>
        <w:b/>
        <w:color w:val="92CCDC"/>
      </w:rPr>
    </w:tblStylePr>
    <w:tblStylePr w:type="band1Vert">
      <w:rPr>
        <w:rFonts w:cs="Arial"/>
      </w:rPr>
      <w:tblPr/>
      <w:tcPr>
        <w:shd w:val="clear" w:color="D1EAF0" w:fill="auto"/>
      </w:tcPr>
    </w:tblStylePr>
    <w:tblStylePr w:type="band1Horz">
      <w:rPr>
        <w:rFonts w:ascii="Arial" w:hAnsi="Arial" w:cs="Arial"/>
        <w:color w:val="92CCDC"/>
        <w:sz w:val="22"/>
      </w:rPr>
      <w:tblPr/>
      <w:tcPr>
        <w:shd w:val="clear" w:color="D1EAF0" w:fill="auto"/>
      </w:tcPr>
    </w:tblStylePr>
    <w:tblStylePr w:type="band2Horz">
      <w:rPr>
        <w:rFonts w:ascii="Arial" w:hAnsi="Arial" w:cs="Arial"/>
        <w:color w:val="92CCDC"/>
        <w:sz w:val="22"/>
      </w:rPr>
    </w:tblStylePr>
  </w:style>
  <w:style w:type="table" w:customStyle="1" w:styleId="ListTable6Colorful-Accent6">
    <w:name w:val="List Table 6 Colorful - Accent 6"/>
    <w:basedOn w:val="a3"/>
    <w:uiPriority w:val="99"/>
    <w:rsid w:val="00AE19E2"/>
    <w:rPr>
      <w:rFonts w:ascii="Arial" w:hAnsi="Arial" w:cs="Arial"/>
    </w:rPr>
    <w:tblPr>
      <w:tblStyleRowBandSize w:val="1"/>
      <w:tblStyleColBandSize w:val="1"/>
      <w:tblBorders>
        <w:top w:val="single" w:sz="4" w:space="0" w:color="FAC090"/>
        <w:bottom w:val="single" w:sz="4" w:space="0" w:color="FAC090"/>
      </w:tblBorders>
    </w:tblPr>
    <w:tblStylePr w:type="firstRow">
      <w:rPr>
        <w:rFonts w:cs="Arial"/>
        <w:b/>
        <w:color w:val="FAC090"/>
      </w:rPr>
      <w:tblPr/>
      <w:tcPr>
        <w:tcBorders>
          <w:bottom w:val="single" w:sz="4" w:space="0" w:color="FAC090"/>
        </w:tcBorders>
      </w:tcPr>
    </w:tblStylePr>
    <w:tblStylePr w:type="lastRow">
      <w:rPr>
        <w:rFonts w:cs="Arial"/>
        <w:b/>
        <w:color w:val="FAC090"/>
      </w:rPr>
      <w:tblPr/>
      <w:tcPr>
        <w:tcBorders>
          <w:top w:val="single" w:sz="4" w:space="0" w:color="FAC090"/>
        </w:tcBorders>
      </w:tcPr>
    </w:tblStylePr>
    <w:tblStylePr w:type="firstCol">
      <w:rPr>
        <w:rFonts w:cs="Arial"/>
        <w:b/>
        <w:color w:val="FAC090"/>
      </w:rPr>
    </w:tblStylePr>
    <w:tblStylePr w:type="lastCol">
      <w:rPr>
        <w:rFonts w:cs="Arial"/>
        <w:b/>
        <w:color w:val="FAC090"/>
      </w:rPr>
    </w:tblStylePr>
    <w:tblStylePr w:type="band1Vert">
      <w:rPr>
        <w:rFonts w:cs="Arial"/>
      </w:rPr>
      <w:tblPr/>
      <w:tcPr>
        <w:shd w:val="clear" w:color="FDE4D0" w:fill="auto"/>
      </w:tcPr>
    </w:tblStylePr>
    <w:tblStylePr w:type="band1Horz">
      <w:rPr>
        <w:rFonts w:ascii="Arial" w:hAnsi="Arial" w:cs="Arial"/>
        <w:color w:val="FAC090"/>
        <w:sz w:val="22"/>
      </w:rPr>
      <w:tblPr/>
      <w:tcPr>
        <w:shd w:val="clear" w:color="FDE4D0" w:fill="auto"/>
      </w:tcPr>
    </w:tblStylePr>
    <w:tblStylePr w:type="band2Horz">
      <w:rPr>
        <w:rFonts w:ascii="Arial" w:hAnsi="Arial" w:cs="Arial"/>
        <w:color w:val="FAC090"/>
        <w:sz w:val="22"/>
      </w:rPr>
    </w:tblStylePr>
  </w:style>
  <w:style w:type="table" w:customStyle="1" w:styleId="-710">
    <w:name w:val="Список-таблица 7 цветная1"/>
    <w:basedOn w:val="a3"/>
    <w:uiPriority w:val="99"/>
    <w:rsid w:val="00AE19E2"/>
    <w:rPr>
      <w:rFonts w:ascii="Arial" w:hAnsi="Arial" w:cs="Arial"/>
    </w:rPr>
    <w:tblPr>
      <w:tblStyleRowBandSize w:val="1"/>
      <w:tblStyleColBandSize w:val="1"/>
      <w:tblBorders>
        <w:right w:val="single" w:sz="4" w:space="0" w:color="7F7F7F"/>
      </w:tblBorders>
    </w:tblPr>
    <w:tblStylePr w:type="firstRow">
      <w:rPr>
        <w:rFonts w:ascii="Arial" w:hAnsi="Arial" w:cs="Arial"/>
        <w:i/>
        <w:color w:val="7F7F7F"/>
        <w:sz w:val="22"/>
      </w:rPr>
      <w:tblPr/>
      <w:tcPr>
        <w:tcBorders>
          <w:top w:val="none" w:sz="0" w:space="0" w:color="auto"/>
          <w:left w:val="none" w:sz="0" w:space="0" w:color="auto"/>
          <w:bottom w:val="single" w:sz="4" w:space="0" w:color="7F7F7F"/>
          <w:right w:val="none" w:sz="0" w:space="0" w:color="auto"/>
        </w:tcBorders>
        <w:shd w:val="clear" w:color="FFFFFF" w:fill="auto"/>
      </w:tcPr>
    </w:tblStylePr>
    <w:tblStylePr w:type="lastRow">
      <w:rPr>
        <w:rFonts w:ascii="Arial" w:hAnsi="Arial" w:cs="Arial"/>
        <w:i/>
        <w:color w:val="7F7F7F"/>
        <w:sz w:val="22"/>
      </w:rPr>
      <w:tblPr/>
      <w:tcPr>
        <w:tcBorders>
          <w:top w:val="single" w:sz="4" w:space="0" w:color="7F7F7F"/>
          <w:left w:val="none" w:sz="0" w:space="0" w:color="auto"/>
          <w:bottom w:val="none" w:sz="0" w:space="0" w:color="auto"/>
          <w:right w:val="none" w:sz="0" w:space="0" w:color="auto"/>
        </w:tcBorders>
        <w:shd w:val="clear" w:color="FFFFFF" w:fill="auto"/>
      </w:tcPr>
    </w:tblStylePr>
    <w:tblStylePr w:type="firstCol">
      <w:pPr>
        <w:jc w:val="right"/>
      </w:pPr>
      <w:rPr>
        <w:rFonts w:ascii="Arial" w:hAnsi="Arial" w:cs="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cs="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rPr>
        <w:rFonts w:cs="Arial"/>
      </w:rPr>
      <w:tblPr/>
      <w:tcPr>
        <w:shd w:val="clear" w:color="BFBFBF" w:fill="auto"/>
      </w:tcPr>
    </w:tblStylePr>
    <w:tblStylePr w:type="band1Horz">
      <w:rPr>
        <w:rFonts w:ascii="Arial" w:hAnsi="Arial" w:cs="Arial"/>
        <w:color w:val="7F7F7F"/>
        <w:sz w:val="22"/>
      </w:rPr>
      <w:tblPr/>
      <w:tcPr>
        <w:shd w:val="clear" w:color="BFBFBF" w:fill="auto"/>
      </w:tcPr>
    </w:tblStylePr>
    <w:tblStylePr w:type="band2Horz">
      <w:rPr>
        <w:rFonts w:ascii="Arial" w:hAnsi="Arial" w:cs="Arial"/>
        <w:color w:val="7F7F7F"/>
        <w:sz w:val="22"/>
      </w:rPr>
    </w:tblStylePr>
  </w:style>
  <w:style w:type="table" w:customStyle="1" w:styleId="ListTable7Colorful-Accent1">
    <w:name w:val="List Table 7 Colorful - Accent 1"/>
    <w:basedOn w:val="a3"/>
    <w:uiPriority w:val="99"/>
    <w:rsid w:val="00AE19E2"/>
    <w:rPr>
      <w:rFonts w:ascii="Arial" w:hAnsi="Arial" w:cs="Arial"/>
    </w:rPr>
    <w:tblPr>
      <w:tblStyleRowBandSize w:val="1"/>
      <w:tblStyleColBandSize w:val="1"/>
      <w:tblBorders>
        <w:right w:val="single" w:sz="4" w:space="0" w:color="4F81BD"/>
      </w:tblBorders>
    </w:tblPr>
    <w:tblStylePr w:type="firstRow">
      <w:rPr>
        <w:rFonts w:ascii="Arial" w:hAnsi="Arial" w:cs="Arial"/>
        <w:i/>
        <w:color w:val="2A4A71"/>
        <w:sz w:val="22"/>
      </w:rPr>
      <w:tblPr/>
      <w:tcPr>
        <w:tcBorders>
          <w:top w:val="none" w:sz="0" w:space="0" w:color="auto"/>
          <w:left w:val="none" w:sz="0" w:space="0" w:color="auto"/>
          <w:bottom w:val="single" w:sz="4" w:space="0" w:color="4F81BD"/>
          <w:right w:val="none" w:sz="0" w:space="0" w:color="auto"/>
        </w:tcBorders>
        <w:shd w:val="clear" w:color="FFFFFF" w:fill="auto"/>
      </w:tcPr>
    </w:tblStylePr>
    <w:tblStylePr w:type="lastRow">
      <w:rPr>
        <w:rFonts w:ascii="Arial" w:hAnsi="Arial" w:cs="Arial"/>
        <w:i/>
        <w:color w:val="2A4A71"/>
        <w:sz w:val="22"/>
      </w:rPr>
      <w:tblPr/>
      <w:tcPr>
        <w:tcBorders>
          <w:top w:val="single" w:sz="4" w:space="0" w:color="4F81BD"/>
          <w:left w:val="none" w:sz="0" w:space="0" w:color="auto"/>
          <w:bottom w:val="none" w:sz="0" w:space="0" w:color="auto"/>
          <w:right w:val="none" w:sz="0" w:space="0" w:color="auto"/>
        </w:tcBorders>
        <w:shd w:val="clear" w:color="FFFFFF" w:fill="auto"/>
      </w:tcPr>
    </w:tblStylePr>
    <w:tblStylePr w:type="firstCol">
      <w:pPr>
        <w:jc w:val="right"/>
      </w:pPr>
      <w:rPr>
        <w:rFonts w:ascii="Arial" w:hAnsi="Arial" w:cs="Arial"/>
        <w:i/>
        <w:color w:val="2A4A71"/>
        <w:sz w:val="22"/>
      </w:rPr>
      <w:tblPr/>
      <w:tcPr>
        <w:tcBorders>
          <w:top w:val="none" w:sz="0" w:space="0" w:color="auto"/>
          <w:left w:val="none" w:sz="0" w:space="0" w:color="auto"/>
          <w:bottom w:val="none" w:sz="0" w:space="0" w:color="auto"/>
          <w:right w:val="single" w:sz="4" w:space="0" w:color="4F81BD"/>
        </w:tcBorders>
        <w:shd w:val="clear" w:color="FFFFFF" w:fill="auto"/>
      </w:tcPr>
    </w:tblStylePr>
    <w:tblStylePr w:type="lastCol">
      <w:rPr>
        <w:rFonts w:ascii="Arial" w:hAnsi="Arial" w:cs="Arial"/>
        <w:i/>
        <w:color w:val="2A4A71"/>
        <w:sz w:val="22"/>
      </w:rPr>
      <w:tblPr/>
      <w:tcPr>
        <w:tcBorders>
          <w:top w:val="none" w:sz="0" w:space="0" w:color="auto"/>
          <w:left w:val="single" w:sz="4" w:space="0" w:color="4F81BD"/>
          <w:bottom w:val="none" w:sz="0" w:space="0" w:color="auto"/>
          <w:right w:val="none" w:sz="0" w:space="0" w:color="auto"/>
        </w:tcBorders>
        <w:shd w:val="clear" w:color="FFFFFF" w:fill="auto"/>
      </w:tcPr>
    </w:tblStylePr>
    <w:tblStylePr w:type="band1Vert">
      <w:rPr>
        <w:rFonts w:cs="Arial"/>
      </w:rPr>
      <w:tblPr/>
      <w:tcPr>
        <w:shd w:val="clear" w:color="D2DFEE" w:fill="auto"/>
      </w:tcPr>
    </w:tblStylePr>
    <w:tblStylePr w:type="band1Horz">
      <w:rPr>
        <w:rFonts w:ascii="Arial" w:hAnsi="Arial" w:cs="Arial"/>
        <w:color w:val="2A4A71"/>
        <w:sz w:val="22"/>
      </w:rPr>
      <w:tblPr/>
      <w:tcPr>
        <w:shd w:val="clear" w:color="D2DFEE" w:fill="auto"/>
      </w:tcPr>
    </w:tblStylePr>
    <w:tblStylePr w:type="band2Horz">
      <w:rPr>
        <w:rFonts w:ascii="Arial" w:hAnsi="Arial" w:cs="Arial"/>
        <w:color w:val="2A4A71"/>
        <w:sz w:val="22"/>
      </w:rPr>
    </w:tblStylePr>
  </w:style>
  <w:style w:type="table" w:customStyle="1" w:styleId="ListTable7Colorful-Accent2">
    <w:name w:val="List Table 7 Colorful - Accent 2"/>
    <w:basedOn w:val="a3"/>
    <w:uiPriority w:val="99"/>
    <w:rsid w:val="00AE19E2"/>
    <w:rPr>
      <w:rFonts w:ascii="Arial" w:hAnsi="Arial" w:cs="Arial"/>
    </w:rPr>
    <w:tblPr>
      <w:tblStyleRowBandSize w:val="1"/>
      <w:tblStyleColBandSize w:val="1"/>
      <w:tblBorders>
        <w:right w:val="single" w:sz="4" w:space="0" w:color="D99695"/>
      </w:tblBorders>
    </w:tblPr>
    <w:tblStylePr w:type="firstRow">
      <w:rPr>
        <w:rFonts w:ascii="Arial" w:hAnsi="Arial" w:cs="Arial"/>
        <w:i/>
        <w:color w:val="D99695"/>
        <w:sz w:val="22"/>
      </w:rPr>
      <w:tblPr/>
      <w:tcPr>
        <w:tcBorders>
          <w:top w:val="none" w:sz="0" w:space="0" w:color="auto"/>
          <w:left w:val="none" w:sz="0" w:space="0" w:color="auto"/>
          <w:bottom w:val="single" w:sz="4" w:space="0" w:color="D99695"/>
          <w:right w:val="none" w:sz="0" w:space="0" w:color="auto"/>
        </w:tcBorders>
        <w:shd w:val="clear" w:color="FFFFFF" w:fill="auto"/>
      </w:tcPr>
    </w:tblStylePr>
    <w:tblStylePr w:type="lastRow">
      <w:rPr>
        <w:rFonts w:ascii="Arial" w:hAnsi="Arial" w:cs="Arial"/>
        <w:i/>
        <w:color w:val="D99695"/>
        <w:sz w:val="22"/>
      </w:rPr>
      <w:tblPr/>
      <w:tcPr>
        <w:tcBorders>
          <w:top w:val="single" w:sz="4" w:space="0" w:color="D99695"/>
          <w:left w:val="none" w:sz="0" w:space="0" w:color="auto"/>
          <w:bottom w:val="none" w:sz="0" w:space="0" w:color="auto"/>
          <w:right w:val="none" w:sz="0" w:space="0" w:color="auto"/>
        </w:tcBorders>
        <w:shd w:val="clear" w:color="FFFFFF" w:fill="auto"/>
      </w:tcPr>
    </w:tblStylePr>
    <w:tblStylePr w:type="firstCol">
      <w:pPr>
        <w:jc w:val="right"/>
      </w:pPr>
      <w:rPr>
        <w:rFonts w:ascii="Arial" w:hAnsi="Arial" w:cs="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cs="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rPr>
        <w:rFonts w:cs="Arial"/>
      </w:rPr>
      <w:tblPr/>
      <w:tcPr>
        <w:shd w:val="clear" w:color="EFD2D2" w:fill="auto"/>
      </w:tcPr>
    </w:tblStylePr>
    <w:tblStylePr w:type="band1Horz">
      <w:rPr>
        <w:rFonts w:ascii="Arial" w:hAnsi="Arial" w:cs="Arial"/>
        <w:color w:val="D99695"/>
        <w:sz w:val="22"/>
      </w:rPr>
      <w:tblPr/>
      <w:tcPr>
        <w:shd w:val="clear" w:color="EFD2D2" w:fill="auto"/>
      </w:tcPr>
    </w:tblStylePr>
    <w:tblStylePr w:type="band2Horz">
      <w:rPr>
        <w:rFonts w:ascii="Arial" w:hAnsi="Arial" w:cs="Arial"/>
        <w:color w:val="D99695"/>
        <w:sz w:val="22"/>
      </w:rPr>
    </w:tblStylePr>
  </w:style>
  <w:style w:type="table" w:customStyle="1" w:styleId="ListTable7Colorful-Accent3">
    <w:name w:val="List Table 7 Colorful - Accent 3"/>
    <w:basedOn w:val="a3"/>
    <w:uiPriority w:val="99"/>
    <w:rsid w:val="00AE19E2"/>
    <w:rPr>
      <w:rFonts w:ascii="Arial" w:hAnsi="Arial" w:cs="Arial"/>
    </w:rPr>
    <w:tblPr>
      <w:tblStyleRowBandSize w:val="1"/>
      <w:tblStyleColBandSize w:val="1"/>
      <w:tblBorders>
        <w:right w:val="single" w:sz="4" w:space="0" w:color="C3D69B"/>
      </w:tblBorders>
    </w:tblPr>
    <w:tblStylePr w:type="firstRow">
      <w:rPr>
        <w:rFonts w:ascii="Arial" w:hAnsi="Arial" w:cs="Arial"/>
        <w:i/>
        <w:color w:val="C3D69B"/>
        <w:sz w:val="22"/>
      </w:rPr>
      <w:tblPr/>
      <w:tcPr>
        <w:tcBorders>
          <w:top w:val="none" w:sz="0" w:space="0" w:color="auto"/>
          <w:left w:val="none" w:sz="0" w:space="0" w:color="auto"/>
          <w:bottom w:val="single" w:sz="4" w:space="0" w:color="C3D69B"/>
          <w:right w:val="none" w:sz="0" w:space="0" w:color="auto"/>
        </w:tcBorders>
        <w:shd w:val="clear" w:color="FFFFFF" w:fill="auto"/>
      </w:tcPr>
    </w:tblStylePr>
    <w:tblStylePr w:type="lastRow">
      <w:rPr>
        <w:rFonts w:ascii="Arial" w:hAnsi="Arial" w:cs="Arial"/>
        <w:i/>
        <w:color w:val="C3D69B"/>
        <w:sz w:val="22"/>
      </w:rPr>
      <w:tblPr/>
      <w:tcPr>
        <w:tcBorders>
          <w:top w:val="single" w:sz="4" w:space="0" w:color="C3D69B"/>
          <w:left w:val="none" w:sz="0" w:space="0" w:color="auto"/>
          <w:bottom w:val="none" w:sz="0" w:space="0" w:color="auto"/>
          <w:right w:val="none" w:sz="0" w:space="0" w:color="auto"/>
        </w:tcBorders>
        <w:shd w:val="clear" w:color="FFFFFF" w:fill="auto"/>
      </w:tcPr>
    </w:tblStylePr>
    <w:tblStylePr w:type="firstCol">
      <w:pPr>
        <w:jc w:val="right"/>
      </w:pPr>
      <w:rPr>
        <w:rFonts w:ascii="Arial" w:hAnsi="Arial" w:cs="Arial"/>
        <w:i/>
        <w:color w:val="C3D69B"/>
        <w:sz w:val="22"/>
      </w:rPr>
      <w:tblPr/>
      <w:tcPr>
        <w:tcBorders>
          <w:top w:val="none" w:sz="0" w:space="0" w:color="auto"/>
          <w:left w:val="none" w:sz="0" w:space="0" w:color="auto"/>
          <w:bottom w:val="none" w:sz="0" w:space="0" w:color="auto"/>
          <w:right w:val="single" w:sz="4" w:space="0" w:color="C3D69B"/>
        </w:tcBorders>
        <w:shd w:val="clear" w:color="FFFFFF" w:fill="auto"/>
      </w:tcPr>
    </w:tblStylePr>
    <w:tblStylePr w:type="lastCol">
      <w:rPr>
        <w:rFonts w:ascii="Arial" w:hAnsi="Arial" w:cs="Arial"/>
        <w:i/>
        <w:color w:val="C3D69B"/>
        <w:sz w:val="22"/>
      </w:rPr>
      <w:tblPr/>
      <w:tcPr>
        <w:tcBorders>
          <w:top w:val="none" w:sz="0" w:space="0" w:color="auto"/>
          <w:left w:val="single" w:sz="4" w:space="0" w:color="C3D69B"/>
          <w:bottom w:val="none" w:sz="0" w:space="0" w:color="auto"/>
          <w:right w:val="none" w:sz="0" w:space="0" w:color="auto"/>
        </w:tcBorders>
        <w:shd w:val="clear" w:color="FFFFFF" w:fill="auto"/>
      </w:tcPr>
    </w:tblStylePr>
    <w:tblStylePr w:type="band1Vert">
      <w:rPr>
        <w:rFonts w:cs="Arial"/>
      </w:rPr>
      <w:tblPr/>
      <w:tcPr>
        <w:shd w:val="clear" w:color="E5EED5" w:fill="auto"/>
      </w:tcPr>
    </w:tblStylePr>
    <w:tblStylePr w:type="band1Horz">
      <w:rPr>
        <w:rFonts w:ascii="Arial" w:hAnsi="Arial" w:cs="Arial"/>
        <w:color w:val="C3D69B"/>
        <w:sz w:val="22"/>
      </w:rPr>
      <w:tblPr/>
      <w:tcPr>
        <w:shd w:val="clear" w:color="E5EED5" w:fill="auto"/>
      </w:tcPr>
    </w:tblStylePr>
    <w:tblStylePr w:type="band2Horz">
      <w:rPr>
        <w:rFonts w:ascii="Arial" w:hAnsi="Arial" w:cs="Arial"/>
        <w:color w:val="C3D69B"/>
        <w:sz w:val="22"/>
      </w:rPr>
    </w:tblStylePr>
  </w:style>
  <w:style w:type="table" w:customStyle="1" w:styleId="ListTable7Colorful-Accent4">
    <w:name w:val="List Table 7 Colorful - Accent 4"/>
    <w:basedOn w:val="a3"/>
    <w:uiPriority w:val="99"/>
    <w:rsid w:val="00AE19E2"/>
    <w:rPr>
      <w:rFonts w:ascii="Arial" w:hAnsi="Arial" w:cs="Arial"/>
    </w:rPr>
    <w:tblPr>
      <w:tblStyleRowBandSize w:val="1"/>
      <w:tblStyleColBandSize w:val="1"/>
      <w:tblBorders>
        <w:right w:val="single" w:sz="4" w:space="0" w:color="B2A1C6"/>
      </w:tblBorders>
    </w:tblPr>
    <w:tblStylePr w:type="firstRow">
      <w:rPr>
        <w:rFonts w:ascii="Arial" w:hAnsi="Arial" w:cs="Arial"/>
        <w:i/>
        <w:color w:val="B2A1C6"/>
        <w:sz w:val="22"/>
      </w:rPr>
      <w:tblPr/>
      <w:tcPr>
        <w:tcBorders>
          <w:top w:val="none" w:sz="0" w:space="0" w:color="auto"/>
          <w:left w:val="none" w:sz="0" w:space="0" w:color="auto"/>
          <w:bottom w:val="single" w:sz="4" w:space="0" w:color="B2A1C6"/>
          <w:right w:val="none" w:sz="0" w:space="0" w:color="auto"/>
        </w:tcBorders>
        <w:shd w:val="clear" w:color="FFFFFF" w:fill="auto"/>
      </w:tcPr>
    </w:tblStylePr>
    <w:tblStylePr w:type="lastRow">
      <w:rPr>
        <w:rFonts w:ascii="Arial" w:hAnsi="Arial" w:cs="Arial"/>
        <w:i/>
        <w:color w:val="B2A1C6"/>
        <w:sz w:val="22"/>
      </w:rPr>
      <w:tblPr/>
      <w:tcPr>
        <w:tcBorders>
          <w:top w:val="single" w:sz="4" w:space="0" w:color="B2A1C6"/>
          <w:left w:val="none" w:sz="0" w:space="0" w:color="auto"/>
          <w:bottom w:val="none" w:sz="0" w:space="0" w:color="auto"/>
          <w:right w:val="none" w:sz="0" w:space="0" w:color="auto"/>
        </w:tcBorders>
        <w:shd w:val="clear" w:color="FFFFFF" w:fill="auto"/>
      </w:tcPr>
    </w:tblStylePr>
    <w:tblStylePr w:type="firstCol">
      <w:pPr>
        <w:jc w:val="right"/>
      </w:pPr>
      <w:rPr>
        <w:rFonts w:ascii="Arial" w:hAnsi="Arial" w:cs="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cs="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rPr>
        <w:rFonts w:cs="Arial"/>
      </w:rPr>
      <w:tblPr/>
      <w:tcPr>
        <w:shd w:val="clear" w:color="DFD8E7" w:fill="auto"/>
      </w:tcPr>
    </w:tblStylePr>
    <w:tblStylePr w:type="band1Horz">
      <w:rPr>
        <w:rFonts w:ascii="Arial" w:hAnsi="Arial" w:cs="Arial"/>
        <w:color w:val="B2A1C6"/>
        <w:sz w:val="22"/>
      </w:rPr>
      <w:tblPr/>
      <w:tcPr>
        <w:shd w:val="clear" w:color="DFD8E7" w:fill="auto"/>
      </w:tcPr>
    </w:tblStylePr>
    <w:tblStylePr w:type="band2Horz">
      <w:rPr>
        <w:rFonts w:ascii="Arial" w:hAnsi="Arial" w:cs="Arial"/>
        <w:color w:val="B2A1C6"/>
        <w:sz w:val="22"/>
      </w:rPr>
    </w:tblStylePr>
  </w:style>
  <w:style w:type="table" w:customStyle="1" w:styleId="ListTable7Colorful-Accent5">
    <w:name w:val="List Table 7 Colorful - Accent 5"/>
    <w:basedOn w:val="a3"/>
    <w:uiPriority w:val="99"/>
    <w:rsid w:val="00AE19E2"/>
    <w:rPr>
      <w:rFonts w:ascii="Arial" w:hAnsi="Arial" w:cs="Arial"/>
    </w:rPr>
    <w:tblPr>
      <w:tblStyleRowBandSize w:val="1"/>
      <w:tblStyleColBandSize w:val="1"/>
      <w:tblBorders>
        <w:right w:val="single" w:sz="4" w:space="0" w:color="92CCDC"/>
      </w:tblBorders>
    </w:tblPr>
    <w:tblStylePr w:type="firstRow">
      <w:rPr>
        <w:rFonts w:ascii="Arial" w:hAnsi="Arial" w:cs="Arial"/>
        <w:i/>
        <w:color w:val="92CCDC"/>
        <w:sz w:val="22"/>
      </w:rPr>
      <w:tblPr/>
      <w:tcPr>
        <w:tcBorders>
          <w:top w:val="none" w:sz="0" w:space="0" w:color="auto"/>
          <w:left w:val="none" w:sz="0" w:space="0" w:color="auto"/>
          <w:bottom w:val="single" w:sz="4" w:space="0" w:color="92CCDC"/>
          <w:right w:val="none" w:sz="0" w:space="0" w:color="auto"/>
        </w:tcBorders>
        <w:shd w:val="clear" w:color="FFFFFF" w:fill="auto"/>
      </w:tcPr>
    </w:tblStylePr>
    <w:tblStylePr w:type="lastRow">
      <w:rPr>
        <w:rFonts w:ascii="Arial" w:hAnsi="Arial" w:cs="Arial"/>
        <w:i/>
        <w:color w:val="92CCDC"/>
        <w:sz w:val="22"/>
      </w:rPr>
      <w:tblPr/>
      <w:tcPr>
        <w:tcBorders>
          <w:top w:val="single" w:sz="4" w:space="0" w:color="92CCDC"/>
          <w:left w:val="none" w:sz="0" w:space="0" w:color="auto"/>
          <w:bottom w:val="none" w:sz="0" w:space="0" w:color="auto"/>
          <w:right w:val="none" w:sz="0" w:space="0" w:color="auto"/>
        </w:tcBorders>
        <w:shd w:val="clear" w:color="FFFFFF" w:fill="auto"/>
      </w:tcPr>
    </w:tblStylePr>
    <w:tblStylePr w:type="firstCol">
      <w:pPr>
        <w:jc w:val="right"/>
      </w:pPr>
      <w:rPr>
        <w:rFonts w:ascii="Arial" w:hAnsi="Arial" w:cs="Arial"/>
        <w:i/>
        <w:color w:val="92CCDC"/>
        <w:sz w:val="22"/>
      </w:rPr>
      <w:tblPr/>
      <w:tcPr>
        <w:tcBorders>
          <w:top w:val="none" w:sz="0" w:space="0" w:color="auto"/>
          <w:left w:val="none" w:sz="0" w:space="0" w:color="auto"/>
          <w:bottom w:val="none" w:sz="0" w:space="0" w:color="auto"/>
          <w:right w:val="single" w:sz="4" w:space="0" w:color="92CCDC"/>
        </w:tcBorders>
        <w:shd w:val="clear" w:color="FFFFFF" w:fill="auto"/>
      </w:tcPr>
    </w:tblStylePr>
    <w:tblStylePr w:type="lastCol">
      <w:rPr>
        <w:rFonts w:ascii="Arial" w:hAnsi="Arial" w:cs="Arial"/>
        <w:i/>
        <w:color w:val="92CCDC"/>
        <w:sz w:val="22"/>
      </w:rPr>
      <w:tblPr/>
      <w:tcPr>
        <w:tcBorders>
          <w:top w:val="none" w:sz="0" w:space="0" w:color="auto"/>
          <w:left w:val="single" w:sz="4" w:space="0" w:color="92CCDC"/>
          <w:bottom w:val="none" w:sz="0" w:space="0" w:color="auto"/>
          <w:right w:val="none" w:sz="0" w:space="0" w:color="auto"/>
        </w:tcBorders>
        <w:shd w:val="clear" w:color="FFFFFF" w:fill="auto"/>
      </w:tcPr>
    </w:tblStylePr>
    <w:tblStylePr w:type="band1Vert">
      <w:rPr>
        <w:rFonts w:cs="Arial"/>
      </w:rPr>
      <w:tblPr/>
      <w:tcPr>
        <w:shd w:val="clear" w:color="D1EAF0" w:fill="auto"/>
      </w:tcPr>
    </w:tblStylePr>
    <w:tblStylePr w:type="band1Horz">
      <w:rPr>
        <w:rFonts w:ascii="Arial" w:hAnsi="Arial" w:cs="Arial"/>
        <w:color w:val="92CCDC"/>
        <w:sz w:val="22"/>
      </w:rPr>
      <w:tblPr/>
      <w:tcPr>
        <w:shd w:val="clear" w:color="D1EAF0" w:fill="auto"/>
      </w:tcPr>
    </w:tblStylePr>
    <w:tblStylePr w:type="band2Horz">
      <w:rPr>
        <w:rFonts w:ascii="Arial" w:hAnsi="Arial" w:cs="Arial"/>
        <w:color w:val="92CCDC"/>
        <w:sz w:val="22"/>
      </w:rPr>
    </w:tblStylePr>
  </w:style>
  <w:style w:type="table" w:customStyle="1" w:styleId="ListTable7Colorful-Accent6">
    <w:name w:val="List Table 7 Colorful - Accent 6"/>
    <w:basedOn w:val="a3"/>
    <w:uiPriority w:val="99"/>
    <w:rsid w:val="00AE19E2"/>
    <w:rPr>
      <w:rFonts w:ascii="Arial" w:hAnsi="Arial" w:cs="Arial"/>
    </w:rPr>
    <w:tblPr>
      <w:tblStyleRowBandSize w:val="1"/>
      <w:tblStyleColBandSize w:val="1"/>
      <w:tblBorders>
        <w:right w:val="single" w:sz="4" w:space="0" w:color="FAC090"/>
      </w:tblBorders>
    </w:tblPr>
    <w:tblStylePr w:type="firstRow">
      <w:rPr>
        <w:rFonts w:ascii="Arial" w:hAnsi="Arial" w:cs="Arial"/>
        <w:i/>
        <w:color w:val="FAC090"/>
        <w:sz w:val="22"/>
      </w:rPr>
      <w:tblPr/>
      <w:tcPr>
        <w:tcBorders>
          <w:top w:val="none" w:sz="0" w:space="0" w:color="auto"/>
          <w:left w:val="none" w:sz="0" w:space="0" w:color="auto"/>
          <w:bottom w:val="single" w:sz="4" w:space="0" w:color="FAC090"/>
          <w:right w:val="none" w:sz="0" w:space="0" w:color="auto"/>
        </w:tcBorders>
        <w:shd w:val="clear" w:color="FFFFFF" w:fill="auto"/>
      </w:tcPr>
    </w:tblStylePr>
    <w:tblStylePr w:type="lastRow">
      <w:rPr>
        <w:rFonts w:ascii="Arial" w:hAnsi="Arial" w:cs="Arial"/>
        <w:i/>
        <w:color w:val="FAC090"/>
        <w:sz w:val="22"/>
      </w:rPr>
      <w:tblPr/>
      <w:tcPr>
        <w:tcBorders>
          <w:top w:val="single" w:sz="4" w:space="0" w:color="FAC090"/>
          <w:left w:val="none" w:sz="0" w:space="0" w:color="auto"/>
          <w:bottom w:val="none" w:sz="0" w:space="0" w:color="auto"/>
          <w:right w:val="none" w:sz="0" w:space="0" w:color="auto"/>
        </w:tcBorders>
        <w:shd w:val="clear" w:color="FFFFFF" w:fill="auto"/>
      </w:tcPr>
    </w:tblStylePr>
    <w:tblStylePr w:type="firstCol">
      <w:pPr>
        <w:jc w:val="right"/>
      </w:pPr>
      <w:rPr>
        <w:rFonts w:ascii="Arial" w:hAnsi="Arial" w:cs="Arial"/>
        <w:i/>
        <w:color w:val="FAC090"/>
        <w:sz w:val="22"/>
      </w:rPr>
      <w:tblPr/>
      <w:tcPr>
        <w:tcBorders>
          <w:top w:val="none" w:sz="0" w:space="0" w:color="auto"/>
          <w:left w:val="none" w:sz="0" w:space="0" w:color="auto"/>
          <w:bottom w:val="none" w:sz="0" w:space="0" w:color="auto"/>
          <w:right w:val="single" w:sz="4" w:space="0" w:color="FAC090"/>
        </w:tcBorders>
        <w:shd w:val="clear" w:color="FFFFFF" w:fill="auto"/>
      </w:tcPr>
    </w:tblStylePr>
    <w:tblStylePr w:type="lastCol">
      <w:rPr>
        <w:rFonts w:ascii="Arial" w:hAnsi="Arial" w:cs="Arial"/>
        <w:i/>
        <w:color w:val="FAC090"/>
        <w:sz w:val="22"/>
      </w:rPr>
      <w:tblPr/>
      <w:tcPr>
        <w:tcBorders>
          <w:top w:val="none" w:sz="0" w:space="0" w:color="auto"/>
          <w:left w:val="single" w:sz="4" w:space="0" w:color="FAC090"/>
          <w:bottom w:val="none" w:sz="0" w:space="0" w:color="auto"/>
          <w:right w:val="none" w:sz="0" w:space="0" w:color="auto"/>
        </w:tcBorders>
        <w:shd w:val="clear" w:color="FFFFFF" w:fill="auto"/>
      </w:tcPr>
    </w:tblStylePr>
    <w:tblStylePr w:type="band1Vert">
      <w:rPr>
        <w:rFonts w:cs="Arial"/>
      </w:rPr>
      <w:tblPr/>
      <w:tcPr>
        <w:shd w:val="clear" w:color="FDE4D0" w:fill="auto"/>
      </w:tcPr>
    </w:tblStylePr>
    <w:tblStylePr w:type="band1Horz">
      <w:rPr>
        <w:rFonts w:ascii="Arial" w:hAnsi="Arial" w:cs="Arial"/>
        <w:color w:val="FAC090"/>
        <w:sz w:val="22"/>
      </w:rPr>
      <w:tblPr/>
      <w:tcPr>
        <w:shd w:val="clear" w:color="FDE4D0" w:fill="auto"/>
      </w:tcPr>
    </w:tblStylePr>
    <w:tblStylePr w:type="band2Horz">
      <w:rPr>
        <w:rFonts w:ascii="Arial" w:hAnsi="Arial" w:cs="Arial"/>
        <w:color w:val="FAC090"/>
        <w:sz w:val="22"/>
      </w:rPr>
    </w:tblStylePr>
  </w:style>
  <w:style w:type="table" w:customStyle="1" w:styleId="Lined-Accent">
    <w:name w:val="Lined - Accent"/>
    <w:basedOn w:val="a3"/>
    <w:uiPriority w:val="99"/>
    <w:rsid w:val="00AE19E2"/>
    <w:rPr>
      <w:rFonts w:ascii="Arial" w:hAnsi="Arial" w:cs="Arial"/>
      <w:color w:val="404040"/>
    </w:rPr>
    <w:tblPr>
      <w:tblStyleRowBandSize w:val="1"/>
      <w:tblStyleColBandSize w:val="1"/>
    </w:tblPr>
    <w:tblStylePr w:type="firstRow">
      <w:rPr>
        <w:rFonts w:ascii="Arial" w:hAnsi="Arial" w:cs="Arial"/>
        <w:color w:val="F2F2F2"/>
        <w:sz w:val="22"/>
      </w:rPr>
      <w:tblPr/>
      <w:tcPr>
        <w:shd w:val="clear" w:color="7F7F7F" w:fill="auto"/>
      </w:tcPr>
    </w:tblStylePr>
    <w:tblStylePr w:type="lastRow">
      <w:rPr>
        <w:rFonts w:ascii="Arial" w:hAnsi="Arial" w:cs="Arial"/>
        <w:color w:val="F2F2F2"/>
        <w:sz w:val="22"/>
      </w:rPr>
      <w:tblPr/>
      <w:tcPr>
        <w:shd w:val="clear" w:color="7F7F7F" w:fill="auto"/>
      </w:tcPr>
    </w:tblStylePr>
    <w:tblStylePr w:type="firstCol">
      <w:rPr>
        <w:rFonts w:ascii="Arial" w:hAnsi="Arial" w:cs="Arial"/>
        <w:color w:val="F2F2F2"/>
        <w:sz w:val="22"/>
      </w:rPr>
      <w:tblPr/>
      <w:tcPr>
        <w:shd w:val="clear" w:color="7F7F7F" w:fill="auto"/>
      </w:tcPr>
    </w:tblStylePr>
    <w:tblStylePr w:type="lastCol">
      <w:rPr>
        <w:rFonts w:ascii="Arial" w:hAnsi="Arial" w:cs="Arial"/>
        <w:color w:val="F2F2F2"/>
        <w:sz w:val="22"/>
      </w:rPr>
      <w:tblPr/>
      <w:tcPr>
        <w:shd w:val="clear" w:color="7F7F7F" w:fill="auto"/>
      </w:tcPr>
    </w:tblStylePr>
    <w:tblStylePr w:type="band1Vert">
      <w:rPr>
        <w:rFonts w:ascii="Arial" w:hAnsi="Arial" w:cs="Arial"/>
        <w:color w:val="404040"/>
        <w:sz w:val="22"/>
      </w:rPr>
    </w:tblStylePr>
    <w:tblStylePr w:type="band2Vert">
      <w:rPr>
        <w:rFonts w:ascii="Arial" w:hAnsi="Arial" w:cs="Arial"/>
        <w:color w:val="404040"/>
        <w:sz w:val="22"/>
      </w:rPr>
      <w:tblPr/>
      <w:tcPr>
        <w:shd w:val="clear" w:color="F2F2F2" w:fill="auto"/>
      </w:tcPr>
    </w:tblStylePr>
    <w:tblStylePr w:type="band1Horz">
      <w:rPr>
        <w:rFonts w:ascii="Arial" w:hAnsi="Arial" w:cs="Arial"/>
        <w:color w:val="404040"/>
        <w:sz w:val="22"/>
      </w:rPr>
    </w:tblStylePr>
    <w:tblStylePr w:type="band2Horz">
      <w:rPr>
        <w:rFonts w:ascii="Arial" w:hAnsi="Arial" w:cs="Arial"/>
        <w:color w:val="404040"/>
        <w:sz w:val="22"/>
      </w:rPr>
      <w:tblPr/>
      <w:tcPr>
        <w:shd w:val="clear" w:color="F2F2F2" w:fill="auto"/>
      </w:tcPr>
    </w:tblStylePr>
  </w:style>
  <w:style w:type="table" w:customStyle="1" w:styleId="Lined-Accent1">
    <w:name w:val="Lined - Accent 1"/>
    <w:basedOn w:val="a3"/>
    <w:uiPriority w:val="99"/>
    <w:rsid w:val="00AE19E2"/>
    <w:rPr>
      <w:rFonts w:ascii="Arial" w:hAnsi="Arial" w:cs="Arial"/>
      <w:color w:val="404040"/>
    </w:rPr>
    <w:tblPr>
      <w:tblStyleRowBandSize w:val="1"/>
      <w:tblStyleColBandSize w:val="1"/>
    </w:tblPr>
    <w:tblStylePr w:type="firstRow">
      <w:rPr>
        <w:rFonts w:ascii="Arial" w:hAnsi="Arial" w:cs="Arial"/>
        <w:color w:val="F2F2F2"/>
        <w:sz w:val="22"/>
      </w:rPr>
      <w:tblPr/>
      <w:tcPr>
        <w:shd w:val="clear" w:color="5D8AC2" w:fill="auto"/>
      </w:tcPr>
    </w:tblStylePr>
    <w:tblStylePr w:type="lastRow">
      <w:rPr>
        <w:rFonts w:ascii="Arial" w:hAnsi="Arial" w:cs="Arial"/>
        <w:color w:val="F2F2F2"/>
        <w:sz w:val="22"/>
      </w:rPr>
      <w:tblPr/>
      <w:tcPr>
        <w:shd w:val="clear" w:color="5D8AC2" w:fill="auto"/>
      </w:tcPr>
    </w:tblStylePr>
    <w:tblStylePr w:type="firstCol">
      <w:rPr>
        <w:rFonts w:ascii="Arial" w:hAnsi="Arial" w:cs="Arial"/>
        <w:color w:val="F2F2F2"/>
        <w:sz w:val="22"/>
      </w:rPr>
      <w:tblPr/>
      <w:tcPr>
        <w:shd w:val="clear" w:color="5D8AC2" w:fill="auto"/>
      </w:tcPr>
    </w:tblStylePr>
    <w:tblStylePr w:type="lastCol">
      <w:rPr>
        <w:rFonts w:ascii="Arial" w:hAnsi="Arial" w:cs="Arial"/>
        <w:color w:val="F2F2F2"/>
        <w:sz w:val="22"/>
      </w:rPr>
      <w:tblPr/>
      <w:tcPr>
        <w:shd w:val="clear" w:color="5D8AC2" w:fill="auto"/>
      </w:tcPr>
    </w:tblStylePr>
    <w:tblStylePr w:type="band1Vert">
      <w:rPr>
        <w:rFonts w:ascii="Arial" w:hAnsi="Arial" w:cs="Arial"/>
        <w:color w:val="404040"/>
        <w:sz w:val="22"/>
      </w:rPr>
    </w:tblStylePr>
    <w:tblStylePr w:type="band2Vert">
      <w:rPr>
        <w:rFonts w:ascii="Arial" w:hAnsi="Arial" w:cs="Arial"/>
        <w:color w:val="404040"/>
        <w:sz w:val="22"/>
      </w:rPr>
      <w:tblPr/>
      <w:tcPr>
        <w:shd w:val="clear" w:color="C7D7EA" w:fill="auto"/>
      </w:tcPr>
    </w:tblStylePr>
    <w:tblStylePr w:type="band1Horz">
      <w:rPr>
        <w:rFonts w:ascii="Arial" w:hAnsi="Arial" w:cs="Arial"/>
        <w:color w:val="404040"/>
        <w:sz w:val="22"/>
      </w:rPr>
    </w:tblStylePr>
    <w:tblStylePr w:type="band2Horz">
      <w:rPr>
        <w:rFonts w:ascii="Arial" w:hAnsi="Arial" w:cs="Arial"/>
        <w:color w:val="404040"/>
        <w:sz w:val="22"/>
      </w:rPr>
      <w:tblPr/>
      <w:tcPr>
        <w:shd w:val="clear" w:color="C7D7EA" w:fill="auto"/>
      </w:tcPr>
    </w:tblStylePr>
  </w:style>
  <w:style w:type="table" w:customStyle="1" w:styleId="Lined-Accent2">
    <w:name w:val="Lined - Accent 2"/>
    <w:basedOn w:val="a3"/>
    <w:uiPriority w:val="99"/>
    <w:rsid w:val="00AE19E2"/>
    <w:rPr>
      <w:rFonts w:ascii="Arial" w:hAnsi="Arial" w:cs="Arial"/>
      <w:color w:val="404040"/>
    </w:rPr>
    <w:tblPr>
      <w:tblStyleRowBandSize w:val="1"/>
      <w:tblStyleColBandSize w:val="1"/>
    </w:tblPr>
    <w:tblStylePr w:type="firstRow">
      <w:rPr>
        <w:rFonts w:ascii="Arial" w:hAnsi="Arial" w:cs="Arial"/>
        <w:color w:val="F2F2F2"/>
        <w:sz w:val="22"/>
      </w:rPr>
      <w:tblPr/>
      <w:tcPr>
        <w:shd w:val="clear" w:color="D99695" w:fill="auto"/>
      </w:tcPr>
    </w:tblStylePr>
    <w:tblStylePr w:type="lastRow">
      <w:rPr>
        <w:rFonts w:ascii="Arial" w:hAnsi="Arial" w:cs="Arial"/>
        <w:color w:val="F2F2F2"/>
        <w:sz w:val="22"/>
      </w:rPr>
      <w:tblPr/>
      <w:tcPr>
        <w:shd w:val="clear" w:color="D99695" w:fill="auto"/>
      </w:tcPr>
    </w:tblStylePr>
    <w:tblStylePr w:type="firstCol">
      <w:rPr>
        <w:rFonts w:ascii="Arial" w:hAnsi="Arial" w:cs="Arial"/>
        <w:color w:val="F2F2F2"/>
        <w:sz w:val="22"/>
      </w:rPr>
      <w:tblPr/>
      <w:tcPr>
        <w:shd w:val="clear" w:color="D99695" w:fill="auto"/>
      </w:tcPr>
    </w:tblStylePr>
    <w:tblStylePr w:type="lastCol">
      <w:rPr>
        <w:rFonts w:ascii="Arial" w:hAnsi="Arial" w:cs="Arial"/>
        <w:color w:val="F2F2F2"/>
        <w:sz w:val="22"/>
      </w:rPr>
      <w:tblPr/>
      <w:tcPr>
        <w:shd w:val="clear" w:color="D99695" w:fill="auto"/>
      </w:tcPr>
    </w:tblStylePr>
    <w:tblStylePr w:type="band1Vert">
      <w:rPr>
        <w:rFonts w:ascii="Arial" w:hAnsi="Arial" w:cs="Arial"/>
        <w:color w:val="404040"/>
        <w:sz w:val="22"/>
      </w:rPr>
    </w:tblStylePr>
    <w:tblStylePr w:type="band2Vert">
      <w:rPr>
        <w:rFonts w:ascii="Arial" w:hAnsi="Arial" w:cs="Arial"/>
        <w:color w:val="404040"/>
        <w:sz w:val="22"/>
      </w:rPr>
      <w:tblPr/>
      <w:tcPr>
        <w:shd w:val="clear" w:color="F2DCDC" w:fill="auto"/>
      </w:tcPr>
    </w:tblStylePr>
    <w:tblStylePr w:type="band1Horz">
      <w:rPr>
        <w:rFonts w:ascii="Arial" w:hAnsi="Arial" w:cs="Arial"/>
        <w:color w:val="404040"/>
        <w:sz w:val="22"/>
      </w:rPr>
    </w:tblStylePr>
    <w:tblStylePr w:type="band2Horz">
      <w:rPr>
        <w:rFonts w:ascii="Arial" w:hAnsi="Arial" w:cs="Arial"/>
        <w:color w:val="404040"/>
        <w:sz w:val="22"/>
      </w:rPr>
      <w:tblPr/>
      <w:tcPr>
        <w:shd w:val="clear" w:color="F2DCDC" w:fill="auto"/>
      </w:tcPr>
    </w:tblStylePr>
  </w:style>
  <w:style w:type="table" w:customStyle="1" w:styleId="Lined-Accent3">
    <w:name w:val="Lined - Accent 3"/>
    <w:basedOn w:val="a3"/>
    <w:uiPriority w:val="99"/>
    <w:rsid w:val="00AE19E2"/>
    <w:rPr>
      <w:rFonts w:ascii="Arial" w:hAnsi="Arial" w:cs="Arial"/>
      <w:color w:val="404040"/>
    </w:rPr>
    <w:tblPr>
      <w:tblStyleRowBandSize w:val="1"/>
      <w:tblStyleColBandSize w:val="1"/>
    </w:tblPr>
    <w:tblStylePr w:type="firstRow">
      <w:rPr>
        <w:rFonts w:ascii="Arial" w:hAnsi="Arial" w:cs="Arial"/>
        <w:color w:val="F2F2F2"/>
        <w:sz w:val="22"/>
      </w:rPr>
      <w:tblPr/>
      <w:tcPr>
        <w:shd w:val="clear" w:color="9ABB59" w:fill="auto"/>
      </w:tcPr>
    </w:tblStylePr>
    <w:tblStylePr w:type="lastRow">
      <w:rPr>
        <w:rFonts w:ascii="Arial" w:hAnsi="Arial" w:cs="Arial"/>
        <w:color w:val="F2F2F2"/>
        <w:sz w:val="22"/>
      </w:rPr>
      <w:tblPr/>
      <w:tcPr>
        <w:shd w:val="clear" w:color="9ABB59" w:fill="auto"/>
      </w:tcPr>
    </w:tblStylePr>
    <w:tblStylePr w:type="firstCol">
      <w:rPr>
        <w:rFonts w:ascii="Arial" w:hAnsi="Arial" w:cs="Arial"/>
        <w:color w:val="F2F2F2"/>
        <w:sz w:val="22"/>
      </w:rPr>
      <w:tblPr/>
      <w:tcPr>
        <w:shd w:val="clear" w:color="9ABB59" w:fill="auto"/>
      </w:tcPr>
    </w:tblStylePr>
    <w:tblStylePr w:type="lastCol">
      <w:rPr>
        <w:rFonts w:ascii="Arial" w:hAnsi="Arial" w:cs="Arial"/>
        <w:color w:val="F2F2F2"/>
        <w:sz w:val="22"/>
      </w:rPr>
      <w:tblPr/>
      <w:tcPr>
        <w:shd w:val="clear" w:color="9ABB59" w:fill="auto"/>
      </w:tcPr>
    </w:tblStylePr>
    <w:tblStylePr w:type="band1Vert">
      <w:rPr>
        <w:rFonts w:ascii="Arial" w:hAnsi="Arial" w:cs="Arial"/>
        <w:color w:val="404040"/>
        <w:sz w:val="22"/>
      </w:rPr>
    </w:tblStylePr>
    <w:tblStylePr w:type="band2Vert">
      <w:rPr>
        <w:rFonts w:ascii="Arial" w:hAnsi="Arial" w:cs="Arial"/>
        <w:color w:val="404040"/>
        <w:sz w:val="22"/>
      </w:rPr>
      <w:tblPr/>
      <w:tcPr>
        <w:shd w:val="clear" w:color="EAF1DC" w:fill="auto"/>
      </w:tcPr>
    </w:tblStylePr>
    <w:tblStylePr w:type="band1Horz">
      <w:rPr>
        <w:rFonts w:ascii="Arial" w:hAnsi="Arial" w:cs="Arial"/>
        <w:color w:val="404040"/>
        <w:sz w:val="22"/>
      </w:rPr>
    </w:tblStylePr>
    <w:tblStylePr w:type="band2Horz">
      <w:rPr>
        <w:rFonts w:ascii="Arial" w:hAnsi="Arial" w:cs="Arial"/>
        <w:color w:val="404040"/>
        <w:sz w:val="22"/>
      </w:rPr>
      <w:tblPr/>
      <w:tcPr>
        <w:shd w:val="clear" w:color="EAF1DC" w:fill="auto"/>
      </w:tcPr>
    </w:tblStylePr>
  </w:style>
  <w:style w:type="table" w:customStyle="1" w:styleId="Lined-Accent4">
    <w:name w:val="Lined - Accent 4"/>
    <w:basedOn w:val="a3"/>
    <w:uiPriority w:val="99"/>
    <w:rsid w:val="00AE19E2"/>
    <w:rPr>
      <w:rFonts w:ascii="Arial" w:hAnsi="Arial" w:cs="Arial"/>
      <w:color w:val="404040"/>
    </w:rPr>
    <w:tblPr>
      <w:tblStyleRowBandSize w:val="1"/>
      <w:tblStyleColBandSize w:val="1"/>
    </w:tblPr>
    <w:tblStylePr w:type="firstRow">
      <w:rPr>
        <w:rFonts w:ascii="Arial" w:hAnsi="Arial" w:cs="Arial"/>
        <w:color w:val="F2F2F2"/>
        <w:sz w:val="22"/>
      </w:rPr>
      <w:tblPr/>
      <w:tcPr>
        <w:shd w:val="clear" w:color="B2A1C6" w:fill="auto"/>
      </w:tcPr>
    </w:tblStylePr>
    <w:tblStylePr w:type="lastRow">
      <w:rPr>
        <w:rFonts w:ascii="Arial" w:hAnsi="Arial" w:cs="Arial"/>
        <w:color w:val="F2F2F2"/>
        <w:sz w:val="22"/>
      </w:rPr>
      <w:tblPr/>
      <w:tcPr>
        <w:shd w:val="clear" w:color="B2A1C6" w:fill="auto"/>
      </w:tcPr>
    </w:tblStylePr>
    <w:tblStylePr w:type="firstCol">
      <w:rPr>
        <w:rFonts w:ascii="Arial" w:hAnsi="Arial" w:cs="Arial"/>
        <w:color w:val="F2F2F2"/>
        <w:sz w:val="22"/>
      </w:rPr>
      <w:tblPr/>
      <w:tcPr>
        <w:shd w:val="clear" w:color="B2A1C6" w:fill="auto"/>
      </w:tcPr>
    </w:tblStylePr>
    <w:tblStylePr w:type="lastCol">
      <w:rPr>
        <w:rFonts w:ascii="Arial" w:hAnsi="Arial" w:cs="Arial"/>
        <w:color w:val="F2F2F2"/>
        <w:sz w:val="22"/>
      </w:rPr>
      <w:tblPr/>
      <w:tcPr>
        <w:shd w:val="clear" w:color="B2A1C6" w:fill="auto"/>
      </w:tcPr>
    </w:tblStylePr>
    <w:tblStylePr w:type="band1Vert">
      <w:rPr>
        <w:rFonts w:ascii="Arial" w:hAnsi="Arial" w:cs="Arial"/>
        <w:color w:val="404040"/>
        <w:sz w:val="22"/>
      </w:rPr>
    </w:tblStylePr>
    <w:tblStylePr w:type="band2Vert">
      <w:rPr>
        <w:rFonts w:ascii="Arial" w:hAnsi="Arial" w:cs="Arial"/>
        <w:color w:val="404040"/>
        <w:sz w:val="22"/>
      </w:rPr>
      <w:tblPr/>
      <w:tcPr>
        <w:shd w:val="clear" w:color="E5DFEC" w:fill="auto"/>
      </w:tcPr>
    </w:tblStylePr>
    <w:tblStylePr w:type="band1Horz">
      <w:rPr>
        <w:rFonts w:ascii="Arial" w:hAnsi="Arial" w:cs="Arial"/>
        <w:color w:val="404040"/>
        <w:sz w:val="22"/>
      </w:rPr>
    </w:tblStylePr>
    <w:tblStylePr w:type="band2Horz">
      <w:rPr>
        <w:rFonts w:ascii="Arial" w:hAnsi="Arial" w:cs="Arial"/>
        <w:color w:val="404040"/>
        <w:sz w:val="22"/>
      </w:rPr>
      <w:tblPr/>
      <w:tcPr>
        <w:shd w:val="clear" w:color="E5DFEC" w:fill="auto"/>
      </w:tcPr>
    </w:tblStylePr>
  </w:style>
  <w:style w:type="table" w:customStyle="1" w:styleId="Lined-Accent5">
    <w:name w:val="Lined - Accent 5"/>
    <w:basedOn w:val="a3"/>
    <w:uiPriority w:val="99"/>
    <w:rsid w:val="00AE19E2"/>
    <w:rPr>
      <w:rFonts w:ascii="Arial" w:hAnsi="Arial" w:cs="Arial"/>
      <w:color w:val="404040"/>
    </w:rPr>
    <w:tblPr>
      <w:tblStyleRowBandSize w:val="1"/>
      <w:tblStyleColBandSize w:val="1"/>
    </w:tblPr>
    <w:tblStylePr w:type="firstRow">
      <w:rPr>
        <w:rFonts w:ascii="Arial" w:hAnsi="Arial" w:cs="Arial"/>
        <w:color w:val="F2F2F2"/>
        <w:sz w:val="22"/>
      </w:rPr>
      <w:tblPr/>
      <w:tcPr>
        <w:shd w:val="clear" w:color="4BACC6" w:fill="auto"/>
      </w:tcPr>
    </w:tblStylePr>
    <w:tblStylePr w:type="lastRow">
      <w:rPr>
        <w:rFonts w:ascii="Arial" w:hAnsi="Arial" w:cs="Arial"/>
        <w:color w:val="F2F2F2"/>
        <w:sz w:val="22"/>
      </w:rPr>
      <w:tblPr/>
      <w:tcPr>
        <w:shd w:val="clear" w:color="4BACC6" w:fill="auto"/>
      </w:tcPr>
    </w:tblStylePr>
    <w:tblStylePr w:type="firstCol">
      <w:rPr>
        <w:rFonts w:ascii="Arial" w:hAnsi="Arial" w:cs="Arial"/>
        <w:color w:val="F2F2F2"/>
        <w:sz w:val="22"/>
      </w:rPr>
      <w:tblPr/>
      <w:tcPr>
        <w:shd w:val="clear" w:color="4BACC6" w:fill="auto"/>
      </w:tcPr>
    </w:tblStylePr>
    <w:tblStylePr w:type="lastCol">
      <w:rPr>
        <w:rFonts w:ascii="Arial" w:hAnsi="Arial" w:cs="Arial"/>
        <w:color w:val="F2F2F2"/>
        <w:sz w:val="22"/>
      </w:rPr>
      <w:tblPr/>
      <w:tcPr>
        <w:shd w:val="clear" w:color="4BACC6" w:fill="auto"/>
      </w:tcPr>
    </w:tblStylePr>
    <w:tblStylePr w:type="band1Vert">
      <w:rPr>
        <w:rFonts w:ascii="Arial" w:hAnsi="Arial" w:cs="Arial"/>
        <w:color w:val="404040"/>
        <w:sz w:val="22"/>
      </w:rPr>
    </w:tblStylePr>
    <w:tblStylePr w:type="band2Vert">
      <w:rPr>
        <w:rFonts w:ascii="Arial" w:hAnsi="Arial" w:cs="Arial"/>
        <w:color w:val="404040"/>
        <w:sz w:val="22"/>
      </w:rPr>
      <w:tblPr/>
      <w:tcPr>
        <w:shd w:val="clear" w:color="DAEEF3" w:fill="auto"/>
      </w:tcPr>
    </w:tblStylePr>
    <w:tblStylePr w:type="band1Horz">
      <w:rPr>
        <w:rFonts w:ascii="Arial" w:hAnsi="Arial" w:cs="Arial"/>
        <w:color w:val="404040"/>
        <w:sz w:val="22"/>
      </w:rPr>
    </w:tblStylePr>
    <w:tblStylePr w:type="band2Horz">
      <w:rPr>
        <w:rFonts w:ascii="Arial" w:hAnsi="Arial" w:cs="Arial"/>
        <w:color w:val="404040"/>
        <w:sz w:val="22"/>
      </w:rPr>
      <w:tblPr/>
      <w:tcPr>
        <w:shd w:val="clear" w:color="DAEEF3" w:fill="auto"/>
      </w:tcPr>
    </w:tblStylePr>
  </w:style>
  <w:style w:type="table" w:customStyle="1" w:styleId="Lined-Accent6">
    <w:name w:val="Lined - Accent 6"/>
    <w:basedOn w:val="a3"/>
    <w:uiPriority w:val="99"/>
    <w:rsid w:val="00AE19E2"/>
    <w:rPr>
      <w:rFonts w:ascii="Arial" w:hAnsi="Arial" w:cs="Arial"/>
      <w:color w:val="404040"/>
    </w:rPr>
    <w:tblPr>
      <w:tblStyleRowBandSize w:val="1"/>
      <w:tblStyleColBandSize w:val="1"/>
    </w:tblPr>
    <w:tblStylePr w:type="firstRow">
      <w:rPr>
        <w:rFonts w:ascii="Arial" w:hAnsi="Arial" w:cs="Arial"/>
        <w:color w:val="F2F2F2"/>
        <w:sz w:val="22"/>
      </w:rPr>
      <w:tblPr/>
      <w:tcPr>
        <w:shd w:val="clear" w:color="F79646" w:fill="auto"/>
      </w:tcPr>
    </w:tblStylePr>
    <w:tblStylePr w:type="lastRow">
      <w:rPr>
        <w:rFonts w:ascii="Arial" w:hAnsi="Arial" w:cs="Arial"/>
        <w:color w:val="F2F2F2"/>
        <w:sz w:val="22"/>
      </w:rPr>
      <w:tblPr/>
      <w:tcPr>
        <w:shd w:val="clear" w:color="F79646" w:fill="auto"/>
      </w:tcPr>
    </w:tblStylePr>
    <w:tblStylePr w:type="firstCol">
      <w:rPr>
        <w:rFonts w:ascii="Arial" w:hAnsi="Arial" w:cs="Arial"/>
        <w:color w:val="F2F2F2"/>
        <w:sz w:val="22"/>
      </w:rPr>
      <w:tblPr/>
      <w:tcPr>
        <w:shd w:val="clear" w:color="F79646" w:fill="auto"/>
      </w:tcPr>
    </w:tblStylePr>
    <w:tblStylePr w:type="lastCol">
      <w:rPr>
        <w:rFonts w:ascii="Arial" w:hAnsi="Arial" w:cs="Arial"/>
        <w:color w:val="F2F2F2"/>
        <w:sz w:val="22"/>
      </w:rPr>
      <w:tblPr/>
      <w:tcPr>
        <w:shd w:val="clear" w:color="F79646" w:fill="auto"/>
      </w:tcPr>
    </w:tblStylePr>
    <w:tblStylePr w:type="band1Vert">
      <w:rPr>
        <w:rFonts w:ascii="Arial" w:hAnsi="Arial" w:cs="Arial"/>
        <w:color w:val="404040"/>
        <w:sz w:val="22"/>
      </w:rPr>
    </w:tblStylePr>
    <w:tblStylePr w:type="band2Vert">
      <w:rPr>
        <w:rFonts w:ascii="Arial" w:hAnsi="Arial" w:cs="Arial"/>
        <w:color w:val="404040"/>
        <w:sz w:val="22"/>
      </w:rPr>
      <w:tblPr/>
      <w:tcPr>
        <w:shd w:val="clear" w:color="FDE9D8" w:fill="auto"/>
      </w:tcPr>
    </w:tblStylePr>
    <w:tblStylePr w:type="band1Horz">
      <w:rPr>
        <w:rFonts w:ascii="Arial" w:hAnsi="Arial" w:cs="Arial"/>
        <w:color w:val="404040"/>
        <w:sz w:val="22"/>
      </w:rPr>
    </w:tblStylePr>
    <w:tblStylePr w:type="band2Horz">
      <w:rPr>
        <w:rFonts w:ascii="Arial" w:hAnsi="Arial" w:cs="Arial"/>
        <w:color w:val="404040"/>
        <w:sz w:val="22"/>
      </w:rPr>
      <w:tblPr/>
      <w:tcPr>
        <w:shd w:val="clear" w:color="FDE9D8" w:fill="auto"/>
      </w:tcPr>
    </w:tblStylePr>
  </w:style>
  <w:style w:type="table" w:customStyle="1" w:styleId="BorderedLined-Accent">
    <w:name w:val="Bordered &amp; Lined - Accent"/>
    <w:basedOn w:val="a3"/>
    <w:uiPriority w:val="99"/>
    <w:rsid w:val="00AE19E2"/>
    <w:rPr>
      <w:rFonts w:ascii="Arial" w:hAnsi="Arial" w:cs="Arial"/>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s="Arial"/>
        <w:color w:val="F2F2F2"/>
        <w:sz w:val="22"/>
      </w:rPr>
      <w:tblPr/>
      <w:tcPr>
        <w:shd w:val="clear" w:color="7F7F7F" w:fill="auto"/>
      </w:tcPr>
    </w:tblStylePr>
    <w:tblStylePr w:type="lastRow">
      <w:rPr>
        <w:rFonts w:ascii="Arial" w:hAnsi="Arial" w:cs="Arial"/>
        <w:color w:val="F2F2F2"/>
        <w:sz w:val="22"/>
      </w:rPr>
      <w:tblPr/>
      <w:tcPr>
        <w:shd w:val="clear" w:color="7F7F7F" w:fill="auto"/>
      </w:tcPr>
    </w:tblStylePr>
    <w:tblStylePr w:type="firstCol">
      <w:rPr>
        <w:rFonts w:ascii="Arial" w:hAnsi="Arial" w:cs="Arial"/>
        <w:color w:val="F2F2F2"/>
        <w:sz w:val="22"/>
      </w:rPr>
      <w:tblPr/>
      <w:tcPr>
        <w:shd w:val="clear" w:color="7F7F7F" w:fill="auto"/>
      </w:tcPr>
    </w:tblStylePr>
    <w:tblStylePr w:type="lastCol">
      <w:rPr>
        <w:rFonts w:ascii="Arial" w:hAnsi="Arial" w:cs="Arial"/>
        <w:color w:val="F2F2F2"/>
        <w:sz w:val="22"/>
      </w:rPr>
      <w:tblPr/>
      <w:tcPr>
        <w:shd w:val="clear" w:color="7F7F7F" w:fill="auto"/>
      </w:tcPr>
    </w:tblStylePr>
    <w:tblStylePr w:type="band1Vert">
      <w:rPr>
        <w:rFonts w:ascii="Arial" w:hAnsi="Arial" w:cs="Arial"/>
        <w:color w:val="404040"/>
        <w:sz w:val="22"/>
      </w:rPr>
    </w:tblStylePr>
    <w:tblStylePr w:type="band2Vert">
      <w:rPr>
        <w:rFonts w:ascii="Arial" w:hAnsi="Arial" w:cs="Arial"/>
        <w:color w:val="404040"/>
        <w:sz w:val="22"/>
      </w:rPr>
      <w:tblPr/>
      <w:tcPr>
        <w:shd w:val="clear" w:color="F2F2F2" w:fill="auto"/>
      </w:tcPr>
    </w:tblStylePr>
    <w:tblStylePr w:type="band1Horz">
      <w:rPr>
        <w:rFonts w:ascii="Arial" w:hAnsi="Arial" w:cs="Arial"/>
        <w:color w:val="404040"/>
        <w:sz w:val="22"/>
      </w:rPr>
    </w:tblStylePr>
    <w:tblStylePr w:type="band2Horz">
      <w:rPr>
        <w:rFonts w:ascii="Arial" w:hAnsi="Arial" w:cs="Arial"/>
        <w:color w:val="404040"/>
        <w:sz w:val="22"/>
      </w:rPr>
      <w:tblPr/>
      <w:tcPr>
        <w:shd w:val="clear" w:color="F2F2F2" w:fill="auto"/>
      </w:tcPr>
    </w:tblStylePr>
  </w:style>
  <w:style w:type="table" w:customStyle="1" w:styleId="BorderedLined-Accent1">
    <w:name w:val="Bordered &amp; Lined - Accent 1"/>
    <w:basedOn w:val="a3"/>
    <w:uiPriority w:val="99"/>
    <w:rsid w:val="00AE19E2"/>
    <w:rPr>
      <w:rFonts w:ascii="Arial" w:hAnsi="Arial" w:cs="Arial"/>
      <w:color w:val="404040"/>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s="Arial"/>
        <w:color w:val="F2F2F2"/>
        <w:sz w:val="22"/>
      </w:rPr>
      <w:tblPr/>
      <w:tcPr>
        <w:shd w:val="clear" w:color="5D8AC2" w:fill="auto"/>
      </w:tcPr>
    </w:tblStylePr>
    <w:tblStylePr w:type="lastRow">
      <w:rPr>
        <w:rFonts w:ascii="Arial" w:hAnsi="Arial" w:cs="Arial"/>
        <w:color w:val="F2F2F2"/>
        <w:sz w:val="22"/>
      </w:rPr>
      <w:tblPr/>
      <w:tcPr>
        <w:shd w:val="clear" w:color="5D8AC2" w:fill="auto"/>
      </w:tcPr>
    </w:tblStylePr>
    <w:tblStylePr w:type="firstCol">
      <w:rPr>
        <w:rFonts w:ascii="Arial" w:hAnsi="Arial" w:cs="Arial"/>
        <w:color w:val="F2F2F2"/>
        <w:sz w:val="22"/>
      </w:rPr>
      <w:tblPr/>
      <w:tcPr>
        <w:shd w:val="clear" w:color="5D8AC2" w:fill="auto"/>
      </w:tcPr>
    </w:tblStylePr>
    <w:tblStylePr w:type="lastCol">
      <w:rPr>
        <w:rFonts w:ascii="Arial" w:hAnsi="Arial" w:cs="Arial"/>
        <w:color w:val="F2F2F2"/>
        <w:sz w:val="22"/>
      </w:rPr>
      <w:tblPr/>
      <w:tcPr>
        <w:shd w:val="clear" w:color="5D8AC2" w:fill="auto"/>
      </w:tcPr>
    </w:tblStylePr>
    <w:tblStylePr w:type="band1Vert">
      <w:rPr>
        <w:rFonts w:ascii="Arial" w:hAnsi="Arial" w:cs="Arial"/>
        <w:color w:val="404040"/>
        <w:sz w:val="22"/>
      </w:rPr>
    </w:tblStylePr>
    <w:tblStylePr w:type="band2Vert">
      <w:rPr>
        <w:rFonts w:ascii="Arial" w:hAnsi="Arial" w:cs="Arial"/>
        <w:color w:val="404040"/>
        <w:sz w:val="22"/>
      </w:rPr>
      <w:tblPr/>
      <w:tcPr>
        <w:shd w:val="clear" w:color="C7D7EA" w:fill="auto"/>
      </w:tcPr>
    </w:tblStylePr>
    <w:tblStylePr w:type="band1Horz">
      <w:rPr>
        <w:rFonts w:ascii="Arial" w:hAnsi="Arial" w:cs="Arial"/>
        <w:color w:val="404040"/>
        <w:sz w:val="22"/>
      </w:rPr>
    </w:tblStylePr>
    <w:tblStylePr w:type="band2Horz">
      <w:rPr>
        <w:rFonts w:ascii="Arial" w:hAnsi="Arial" w:cs="Arial"/>
        <w:color w:val="404040"/>
        <w:sz w:val="22"/>
      </w:rPr>
      <w:tblPr/>
      <w:tcPr>
        <w:shd w:val="clear" w:color="C7D7EA" w:fill="auto"/>
      </w:tcPr>
    </w:tblStylePr>
  </w:style>
  <w:style w:type="table" w:customStyle="1" w:styleId="BorderedLined-Accent2">
    <w:name w:val="Bordered &amp; Lined - Accent 2"/>
    <w:basedOn w:val="a3"/>
    <w:uiPriority w:val="99"/>
    <w:rsid w:val="00AE19E2"/>
    <w:rPr>
      <w:rFonts w:ascii="Arial" w:hAnsi="Arial" w:cs="Arial"/>
      <w:color w:val="404040"/>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s="Arial"/>
        <w:color w:val="F2F2F2"/>
        <w:sz w:val="22"/>
      </w:rPr>
      <w:tblPr/>
      <w:tcPr>
        <w:shd w:val="clear" w:color="D99695" w:fill="auto"/>
      </w:tcPr>
    </w:tblStylePr>
    <w:tblStylePr w:type="lastRow">
      <w:rPr>
        <w:rFonts w:ascii="Arial" w:hAnsi="Arial" w:cs="Arial"/>
        <w:color w:val="F2F2F2"/>
        <w:sz w:val="22"/>
      </w:rPr>
      <w:tblPr/>
      <w:tcPr>
        <w:shd w:val="clear" w:color="D99695" w:fill="auto"/>
      </w:tcPr>
    </w:tblStylePr>
    <w:tblStylePr w:type="firstCol">
      <w:rPr>
        <w:rFonts w:ascii="Arial" w:hAnsi="Arial" w:cs="Arial"/>
        <w:color w:val="F2F2F2"/>
        <w:sz w:val="22"/>
      </w:rPr>
      <w:tblPr/>
      <w:tcPr>
        <w:shd w:val="clear" w:color="D99695" w:fill="auto"/>
      </w:tcPr>
    </w:tblStylePr>
    <w:tblStylePr w:type="lastCol">
      <w:rPr>
        <w:rFonts w:ascii="Arial" w:hAnsi="Arial" w:cs="Arial"/>
        <w:color w:val="F2F2F2"/>
        <w:sz w:val="22"/>
      </w:rPr>
      <w:tblPr/>
      <w:tcPr>
        <w:shd w:val="clear" w:color="D99695" w:fill="auto"/>
      </w:tcPr>
    </w:tblStylePr>
    <w:tblStylePr w:type="band1Vert">
      <w:rPr>
        <w:rFonts w:ascii="Arial" w:hAnsi="Arial" w:cs="Arial"/>
        <w:color w:val="404040"/>
        <w:sz w:val="22"/>
      </w:rPr>
    </w:tblStylePr>
    <w:tblStylePr w:type="band2Vert">
      <w:rPr>
        <w:rFonts w:ascii="Arial" w:hAnsi="Arial" w:cs="Arial"/>
        <w:color w:val="404040"/>
        <w:sz w:val="22"/>
      </w:rPr>
      <w:tblPr/>
      <w:tcPr>
        <w:shd w:val="clear" w:color="F2DCDC" w:fill="auto"/>
      </w:tcPr>
    </w:tblStylePr>
    <w:tblStylePr w:type="band1Horz">
      <w:rPr>
        <w:rFonts w:ascii="Arial" w:hAnsi="Arial" w:cs="Arial"/>
        <w:color w:val="404040"/>
        <w:sz w:val="22"/>
      </w:rPr>
    </w:tblStylePr>
    <w:tblStylePr w:type="band2Horz">
      <w:rPr>
        <w:rFonts w:ascii="Arial" w:hAnsi="Arial" w:cs="Arial"/>
        <w:color w:val="404040"/>
        <w:sz w:val="22"/>
      </w:rPr>
      <w:tblPr/>
      <w:tcPr>
        <w:shd w:val="clear" w:color="F2DCDC" w:fill="auto"/>
      </w:tcPr>
    </w:tblStylePr>
  </w:style>
  <w:style w:type="table" w:customStyle="1" w:styleId="BorderedLined-Accent3">
    <w:name w:val="Bordered &amp; Lined - Accent 3"/>
    <w:basedOn w:val="a3"/>
    <w:uiPriority w:val="99"/>
    <w:rsid w:val="00AE19E2"/>
    <w:rPr>
      <w:rFonts w:ascii="Arial" w:hAnsi="Arial" w:cs="Arial"/>
      <w:color w:val="404040"/>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s="Arial"/>
        <w:color w:val="F2F2F2"/>
        <w:sz w:val="22"/>
      </w:rPr>
      <w:tblPr/>
      <w:tcPr>
        <w:shd w:val="clear" w:color="9ABB59" w:fill="auto"/>
      </w:tcPr>
    </w:tblStylePr>
    <w:tblStylePr w:type="lastRow">
      <w:rPr>
        <w:rFonts w:ascii="Arial" w:hAnsi="Arial" w:cs="Arial"/>
        <w:color w:val="F2F2F2"/>
        <w:sz w:val="22"/>
      </w:rPr>
      <w:tblPr/>
      <w:tcPr>
        <w:shd w:val="clear" w:color="9ABB59" w:fill="auto"/>
      </w:tcPr>
    </w:tblStylePr>
    <w:tblStylePr w:type="firstCol">
      <w:rPr>
        <w:rFonts w:ascii="Arial" w:hAnsi="Arial" w:cs="Arial"/>
        <w:color w:val="F2F2F2"/>
        <w:sz w:val="22"/>
      </w:rPr>
      <w:tblPr/>
      <w:tcPr>
        <w:shd w:val="clear" w:color="9ABB59" w:fill="auto"/>
      </w:tcPr>
    </w:tblStylePr>
    <w:tblStylePr w:type="lastCol">
      <w:rPr>
        <w:rFonts w:ascii="Arial" w:hAnsi="Arial" w:cs="Arial"/>
        <w:color w:val="F2F2F2"/>
        <w:sz w:val="22"/>
      </w:rPr>
      <w:tblPr/>
      <w:tcPr>
        <w:shd w:val="clear" w:color="9ABB59" w:fill="auto"/>
      </w:tcPr>
    </w:tblStylePr>
    <w:tblStylePr w:type="band1Vert">
      <w:rPr>
        <w:rFonts w:ascii="Arial" w:hAnsi="Arial" w:cs="Arial"/>
        <w:color w:val="404040"/>
        <w:sz w:val="22"/>
      </w:rPr>
    </w:tblStylePr>
    <w:tblStylePr w:type="band2Vert">
      <w:rPr>
        <w:rFonts w:ascii="Arial" w:hAnsi="Arial" w:cs="Arial"/>
        <w:color w:val="404040"/>
        <w:sz w:val="22"/>
      </w:rPr>
      <w:tblPr/>
      <w:tcPr>
        <w:shd w:val="clear" w:color="EAF1DC" w:fill="auto"/>
      </w:tcPr>
    </w:tblStylePr>
    <w:tblStylePr w:type="band1Horz">
      <w:rPr>
        <w:rFonts w:ascii="Arial" w:hAnsi="Arial" w:cs="Arial"/>
        <w:color w:val="404040"/>
        <w:sz w:val="22"/>
      </w:rPr>
    </w:tblStylePr>
    <w:tblStylePr w:type="band2Horz">
      <w:rPr>
        <w:rFonts w:ascii="Arial" w:hAnsi="Arial" w:cs="Arial"/>
        <w:color w:val="404040"/>
        <w:sz w:val="22"/>
      </w:rPr>
      <w:tblPr/>
      <w:tcPr>
        <w:shd w:val="clear" w:color="EAF1DC" w:fill="auto"/>
      </w:tcPr>
    </w:tblStylePr>
  </w:style>
  <w:style w:type="table" w:customStyle="1" w:styleId="BorderedLined-Accent4">
    <w:name w:val="Bordered &amp; Lined - Accent 4"/>
    <w:basedOn w:val="a3"/>
    <w:uiPriority w:val="99"/>
    <w:rsid w:val="00AE19E2"/>
    <w:rPr>
      <w:rFonts w:ascii="Arial" w:hAnsi="Arial" w:cs="Arial"/>
      <w:color w:val="404040"/>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s="Arial"/>
        <w:color w:val="F2F2F2"/>
        <w:sz w:val="22"/>
      </w:rPr>
      <w:tblPr/>
      <w:tcPr>
        <w:shd w:val="clear" w:color="B2A1C6" w:fill="auto"/>
      </w:tcPr>
    </w:tblStylePr>
    <w:tblStylePr w:type="lastRow">
      <w:rPr>
        <w:rFonts w:ascii="Arial" w:hAnsi="Arial" w:cs="Arial"/>
        <w:color w:val="F2F2F2"/>
        <w:sz w:val="22"/>
      </w:rPr>
      <w:tblPr/>
      <w:tcPr>
        <w:shd w:val="clear" w:color="B2A1C6" w:fill="auto"/>
      </w:tcPr>
    </w:tblStylePr>
    <w:tblStylePr w:type="firstCol">
      <w:rPr>
        <w:rFonts w:ascii="Arial" w:hAnsi="Arial" w:cs="Arial"/>
        <w:color w:val="F2F2F2"/>
        <w:sz w:val="22"/>
      </w:rPr>
      <w:tblPr/>
      <w:tcPr>
        <w:shd w:val="clear" w:color="B2A1C6" w:fill="auto"/>
      </w:tcPr>
    </w:tblStylePr>
    <w:tblStylePr w:type="lastCol">
      <w:rPr>
        <w:rFonts w:ascii="Arial" w:hAnsi="Arial" w:cs="Arial"/>
        <w:color w:val="F2F2F2"/>
        <w:sz w:val="22"/>
      </w:rPr>
      <w:tblPr/>
      <w:tcPr>
        <w:shd w:val="clear" w:color="B2A1C6" w:fill="auto"/>
      </w:tcPr>
    </w:tblStylePr>
    <w:tblStylePr w:type="band1Vert">
      <w:rPr>
        <w:rFonts w:ascii="Arial" w:hAnsi="Arial" w:cs="Arial"/>
        <w:color w:val="404040"/>
        <w:sz w:val="22"/>
      </w:rPr>
    </w:tblStylePr>
    <w:tblStylePr w:type="band2Vert">
      <w:rPr>
        <w:rFonts w:ascii="Arial" w:hAnsi="Arial" w:cs="Arial"/>
        <w:color w:val="404040"/>
        <w:sz w:val="22"/>
      </w:rPr>
      <w:tblPr/>
      <w:tcPr>
        <w:shd w:val="clear" w:color="E5DFEC" w:fill="auto"/>
      </w:tcPr>
    </w:tblStylePr>
    <w:tblStylePr w:type="band1Horz">
      <w:rPr>
        <w:rFonts w:ascii="Arial" w:hAnsi="Arial" w:cs="Arial"/>
        <w:color w:val="404040"/>
        <w:sz w:val="22"/>
      </w:rPr>
    </w:tblStylePr>
    <w:tblStylePr w:type="band2Horz">
      <w:rPr>
        <w:rFonts w:ascii="Arial" w:hAnsi="Arial" w:cs="Arial"/>
        <w:color w:val="404040"/>
        <w:sz w:val="22"/>
      </w:rPr>
      <w:tblPr/>
      <w:tcPr>
        <w:shd w:val="clear" w:color="E5DFEC" w:fill="auto"/>
      </w:tcPr>
    </w:tblStylePr>
  </w:style>
  <w:style w:type="table" w:customStyle="1" w:styleId="BorderedLined-Accent5">
    <w:name w:val="Bordered &amp; Lined - Accent 5"/>
    <w:basedOn w:val="a3"/>
    <w:uiPriority w:val="99"/>
    <w:rsid w:val="00AE19E2"/>
    <w:rPr>
      <w:rFonts w:ascii="Arial" w:hAnsi="Arial" w:cs="Arial"/>
      <w:color w:val="404040"/>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s="Arial"/>
        <w:color w:val="F2F2F2"/>
        <w:sz w:val="22"/>
      </w:rPr>
      <w:tblPr/>
      <w:tcPr>
        <w:shd w:val="clear" w:color="4BACC6" w:fill="auto"/>
      </w:tcPr>
    </w:tblStylePr>
    <w:tblStylePr w:type="lastRow">
      <w:rPr>
        <w:rFonts w:ascii="Arial" w:hAnsi="Arial" w:cs="Arial"/>
        <w:color w:val="F2F2F2"/>
        <w:sz w:val="22"/>
      </w:rPr>
      <w:tblPr/>
      <w:tcPr>
        <w:shd w:val="clear" w:color="4BACC6" w:fill="auto"/>
      </w:tcPr>
    </w:tblStylePr>
    <w:tblStylePr w:type="firstCol">
      <w:rPr>
        <w:rFonts w:ascii="Arial" w:hAnsi="Arial" w:cs="Arial"/>
        <w:color w:val="F2F2F2"/>
        <w:sz w:val="22"/>
      </w:rPr>
      <w:tblPr/>
      <w:tcPr>
        <w:shd w:val="clear" w:color="4BACC6" w:fill="auto"/>
      </w:tcPr>
    </w:tblStylePr>
    <w:tblStylePr w:type="lastCol">
      <w:rPr>
        <w:rFonts w:ascii="Arial" w:hAnsi="Arial" w:cs="Arial"/>
        <w:color w:val="F2F2F2"/>
        <w:sz w:val="22"/>
      </w:rPr>
      <w:tblPr/>
      <w:tcPr>
        <w:shd w:val="clear" w:color="4BACC6" w:fill="auto"/>
      </w:tcPr>
    </w:tblStylePr>
    <w:tblStylePr w:type="band1Vert">
      <w:rPr>
        <w:rFonts w:ascii="Arial" w:hAnsi="Arial" w:cs="Arial"/>
        <w:color w:val="404040"/>
        <w:sz w:val="22"/>
      </w:rPr>
    </w:tblStylePr>
    <w:tblStylePr w:type="band2Vert">
      <w:rPr>
        <w:rFonts w:ascii="Arial" w:hAnsi="Arial" w:cs="Arial"/>
        <w:color w:val="404040"/>
        <w:sz w:val="22"/>
      </w:rPr>
      <w:tblPr/>
      <w:tcPr>
        <w:shd w:val="clear" w:color="DAEEF3" w:fill="auto"/>
      </w:tcPr>
    </w:tblStylePr>
    <w:tblStylePr w:type="band1Horz">
      <w:rPr>
        <w:rFonts w:ascii="Arial" w:hAnsi="Arial" w:cs="Arial"/>
        <w:color w:val="404040"/>
        <w:sz w:val="22"/>
      </w:rPr>
    </w:tblStylePr>
    <w:tblStylePr w:type="band2Horz">
      <w:rPr>
        <w:rFonts w:ascii="Arial" w:hAnsi="Arial" w:cs="Arial"/>
        <w:color w:val="404040"/>
        <w:sz w:val="22"/>
      </w:rPr>
      <w:tblPr/>
      <w:tcPr>
        <w:shd w:val="clear" w:color="DAEEF3" w:fill="auto"/>
      </w:tcPr>
    </w:tblStylePr>
  </w:style>
  <w:style w:type="table" w:customStyle="1" w:styleId="BorderedLined-Accent6">
    <w:name w:val="Bordered &amp; Lined - Accent 6"/>
    <w:basedOn w:val="a3"/>
    <w:uiPriority w:val="99"/>
    <w:rsid w:val="00AE19E2"/>
    <w:rPr>
      <w:rFonts w:ascii="Arial" w:hAnsi="Arial" w:cs="Arial"/>
      <w:color w:val="404040"/>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s="Arial"/>
        <w:color w:val="F2F2F2"/>
        <w:sz w:val="22"/>
      </w:rPr>
      <w:tblPr/>
      <w:tcPr>
        <w:shd w:val="clear" w:color="F79646" w:fill="auto"/>
      </w:tcPr>
    </w:tblStylePr>
    <w:tblStylePr w:type="lastRow">
      <w:rPr>
        <w:rFonts w:ascii="Arial" w:hAnsi="Arial" w:cs="Arial"/>
        <w:color w:val="F2F2F2"/>
        <w:sz w:val="22"/>
      </w:rPr>
      <w:tblPr/>
      <w:tcPr>
        <w:shd w:val="clear" w:color="F79646" w:fill="auto"/>
      </w:tcPr>
    </w:tblStylePr>
    <w:tblStylePr w:type="firstCol">
      <w:rPr>
        <w:rFonts w:ascii="Arial" w:hAnsi="Arial" w:cs="Arial"/>
        <w:color w:val="F2F2F2"/>
        <w:sz w:val="22"/>
      </w:rPr>
      <w:tblPr/>
      <w:tcPr>
        <w:shd w:val="clear" w:color="F79646" w:fill="auto"/>
      </w:tcPr>
    </w:tblStylePr>
    <w:tblStylePr w:type="lastCol">
      <w:rPr>
        <w:rFonts w:ascii="Arial" w:hAnsi="Arial" w:cs="Arial"/>
        <w:color w:val="F2F2F2"/>
        <w:sz w:val="22"/>
      </w:rPr>
      <w:tblPr/>
      <w:tcPr>
        <w:shd w:val="clear" w:color="F79646" w:fill="auto"/>
      </w:tcPr>
    </w:tblStylePr>
    <w:tblStylePr w:type="band1Vert">
      <w:rPr>
        <w:rFonts w:ascii="Arial" w:hAnsi="Arial" w:cs="Arial"/>
        <w:color w:val="404040"/>
        <w:sz w:val="22"/>
      </w:rPr>
    </w:tblStylePr>
    <w:tblStylePr w:type="band2Vert">
      <w:rPr>
        <w:rFonts w:ascii="Arial" w:hAnsi="Arial" w:cs="Arial"/>
        <w:color w:val="404040"/>
        <w:sz w:val="22"/>
      </w:rPr>
      <w:tblPr/>
      <w:tcPr>
        <w:shd w:val="clear" w:color="FDE9D8" w:fill="auto"/>
      </w:tcPr>
    </w:tblStylePr>
    <w:tblStylePr w:type="band1Horz">
      <w:rPr>
        <w:rFonts w:ascii="Arial" w:hAnsi="Arial" w:cs="Arial"/>
        <w:color w:val="404040"/>
        <w:sz w:val="22"/>
      </w:rPr>
    </w:tblStylePr>
    <w:tblStylePr w:type="band2Horz">
      <w:rPr>
        <w:rFonts w:ascii="Arial" w:hAnsi="Arial" w:cs="Arial"/>
        <w:color w:val="404040"/>
        <w:sz w:val="22"/>
      </w:rPr>
      <w:tblPr/>
      <w:tcPr>
        <w:shd w:val="clear" w:color="FDE9D8" w:fill="auto"/>
      </w:tcPr>
    </w:tblStylePr>
  </w:style>
  <w:style w:type="table" w:customStyle="1" w:styleId="Bordered">
    <w:name w:val="Bordered"/>
    <w:basedOn w:val="a3"/>
    <w:uiPriority w:val="99"/>
    <w:rsid w:val="00AE19E2"/>
    <w:rPr>
      <w:rFonts w:ascii="Arial" w:hAnsi="Arial" w:cs="Arial"/>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s="Arial"/>
        <w:color w:val="404040"/>
        <w:sz w:val="22"/>
      </w:rPr>
      <w:tblPr/>
      <w:tcPr>
        <w:tcBorders>
          <w:bottom w:val="single" w:sz="12" w:space="0" w:color="7F7F7F"/>
        </w:tcBorders>
      </w:tcPr>
    </w:tblStylePr>
    <w:tblStylePr w:type="lastRow">
      <w:rPr>
        <w:rFonts w:ascii="Arial" w:hAnsi="Arial" w:cs="Arial"/>
        <w:color w:val="404040"/>
        <w:sz w:val="22"/>
      </w:rPr>
      <w:tblPr/>
      <w:tcPr>
        <w:tcBorders>
          <w:top w:val="single" w:sz="12" w:space="0" w:color="7F7F7F"/>
        </w:tcBorders>
      </w:tcPr>
    </w:tblStylePr>
    <w:tblStylePr w:type="firstCol">
      <w:rPr>
        <w:rFonts w:ascii="Arial" w:hAnsi="Arial" w:cs="Arial"/>
        <w:color w:val="404040"/>
        <w:sz w:val="22"/>
      </w:rPr>
    </w:tblStylePr>
    <w:tblStylePr w:type="lastCol">
      <w:rPr>
        <w:rFonts w:ascii="Arial" w:hAnsi="Arial" w:cs="Arial"/>
        <w:color w:val="404040"/>
        <w:sz w:val="22"/>
      </w:rPr>
      <w:tblPr/>
      <w:tcPr>
        <w:tcBorders>
          <w:left w:val="single" w:sz="12" w:space="0" w:color="7F7F7F"/>
        </w:tcBorders>
      </w:tcPr>
    </w:tblStylePr>
    <w:tblStylePr w:type="band1Horz">
      <w:rPr>
        <w:rFonts w:ascii="Arial" w:hAnsi="Arial" w:cs="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3"/>
    <w:uiPriority w:val="99"/>
    <w:rsid w:val="00AE19E2"/>
    <w:rPr>
      <w:rFonts w:ascii="Arial" w:hAnsi="Arial" w:cs="Arial"/>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s="Arial"/>
        <w:color w:val="404040"/>
        <w:sz w:val="22"/>
      </w:rPr>
      <w:tblPr/>
      <w:tcPr>
        <w:tcBorders>
          <w:bottom w:val="single" w:sz="12" w:space="0" w:color="4F81BD"/>
        </w:tcBorders>
      </w:tcPr>
    </w:tblStylePr>
    <w:tblStylePr w:type="lastRow">
      <w:rPr>
        <w:rFonts w:ascii="Arial" w:hAnsi="Arial" w:cs="Arial"/>
        <w:color w:val="404040"/>
        <w:sz w:val="22"/>
      </w:rPr>
      <w:tblPr/>
      <w:tcPr>
        <w:tcBorders>
          <w:top w:val="single" w:sz="12" w:space="0" w:color="4F81BD"/>
        </w:tcBorders>
      </w:tcPr>
    </w:tblStylePr>
    <w:tblStylePr w:type="firstCol">
      <w:rPr>
        <w:rFonts w:ascii="Arial" w:hAnsi="Arial" w:cs="Arial"/>
        <w:color w:val="404040"/>
        <w:sz w:val="22"/>
      </w:rPr>
    </w:tblStylePr>
    <w:tblStylePr w:type="lastCol">
      <w:rPr>
        <w:rFonts w:ascii="Arial" w:hAnsi="Arial" w:cs="Arial"/>
        <w:color w:val="404040"/>
        <w:sz w:val="22"/>
      </w:rPr>
      <w:tblPr/>
      <w:tcPr>
        <w:tcBorders>
          <w:left w:val="single" w:sz="12" w:space="0" w:color="4F81BD"/>
        </w:tcBorders>
      </w:tcPr>
    </w:tblStylePr>
    <w:tblStylePr w:type="band1Horz">
      <w:rPr>
        <w:rFonts w:ascii="Arial" w:hAnsi="Arial" w:cs="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a3"/>
    <w:uiPriority w:val="99"/>
    <w:rsid w:val="00AE19E2"/>
    <w:rPr>
      <w:rFonts w:ascii="Arial" w:hAnsi="Arial" w:cs="Arial"/>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s="Arial"/>
        <w:color w:val="404040"/>
        <w:sz w:val="22"/>
      </w:rPr>
      <w:tblPr/>
      <w:tcPr>
        <w:tcBorders>
          <w:bottom w:val="single" w:sz="12" w:space="0" w:color="D99695"/>
        </w:tcBorders>
      </w:tcPr>
    </w:tblStylePr>
    <w:tblStylePr w:type="lastRow">
      <w:rPr>
        <w:rFonts w:ascii="Arial" w:hAnsi="Arial" w:cs="Arial"/>
        <w:color w:val="404040"/>
        <w:sz w:val="22"/>
      </w:rPr>
      <w:tblPr/>
      <w:tcPr>
        <w:tcBorders>
          <w:top w:val="single" w:sz="12" w:space="0" w:color="D99695"/>
        </w:tcBorders>
      </w:tcPr>
    </w:tblStylePr>
    <w:tblStylePr w:type="firstCol">
      <w:rPr>
        <w:rFonts w:ascii="Arial" w:hAnsi="Arial" w:cs="Arial"/>
        <w:color w:val="404040"/>
        <w:sz w:val="22"/>
      </w:rPr>
    </w:tblStylePr>
    <w:tblStylePr w:type="lastCol">
      <w:rPr>
        <w:rFonts w:ascii="Arial" w:hAnsi="Arial" w:cs="Arial"/>
        <w:color w:val="404040"/>
        <w:sz w:val="22"/>
      </w:rPr>
      <w:tblPr/>
      <w:tcPr>
        <w:tcBorders>
          <w:left w:val="single" w:sz="12" w:space="0" w:color="D99695"/>
        </w:tcBorders>
      </w:tcPr>
    </w:tblStylePr>
    <w:tblStylePr w:type="band1Horz">
      <w:rPr>
        <w:rFonts w:ascii="Arial" w:hAnsi="Arial" w:cs="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a3"/>
    <w:uiPriority w:val="99"/>
    <w:rsid w:val="00AE19E2"/>
    <w:rPr>
      <w:rFonts w:ascii="Arial" w:hAnsi="Arial" w:cs="Arial"/>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s="Arial"/>
        <w:color w:val="404040"/>
        <w:sz w:val="22"/>
      </w:rPr>
      <w:tblPr/>
      <w:tcPr>
        <w:tcBorders>
          <w:bottom w:val="single" w:sz="12" w:space="0" w:color="C3D69B"/>
        </w:tcBorders>
      </w:tcPr>
    </w:tblStylePr>
    <w:tblStylePr w:type="lastRow">
      <w:rPr>
        <w:rFonts w:ascii="Arial" w:hAnsi="Arial" w:cs="Arial"/>
        <w:color w:val="404040"/>
        <w:sz w:val="22"/>
      </w:rPr>
      <w:tblPr/>
      <w:tcPr>
        <w:tcBorders>
          <w:top w:val="single" w:sz="12" w:space="0" w:color="C3D69B"/>
        </w:tcBorders>
      </w:tcPr>
    </w:tblStylePr>
    <w:tblStylePr w:type="firstCol">
      <w:rPr>
        <w:rFonts w:ascii="Arial" w:hAnsi="Arial" w:cs="Arial"/>
        <w:color w:val="404040"/>
        <w:sz w:val="22"/>
      </w:rPr>
    </w:tblStylePr>
    <w:tblStylePr w:type="lastCol">
      <w:rPr>
        <w:rFonts w:ascii="Arial" w:hAnsi="Arial" w:cs="Arial"/>
        <w:color w:val="404040"/>
        <w:sz w:val="22"/>
      </w:rPr>
      <w:tblPr/>
      <w:tcPr>
        <w:tcBorders>
          <w:left w:val="single" w:sz="12" w:space="0" w:color="C3D69B"/>
        </w:tcBorders>
      </w:tcPr>
    </w:tblStylePr>
    <w:tblStylePr w:type="band1Horz">
      <w:rPr>
        <w:rFonts w:ascii="Arial" w:hAnsi="Arial" w:cs="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a3"/>
    <w:uiPriority w:val="99"/>
    <w:rsid w:val="00AE19E2"/>
    <w:rPr>
      <w:rFonts w:ascii="Arial" w:hAnsi="Arial" w:cs="Arial"/>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s="Arial"/>
        <w:color w:val="404040"/>
        <w:sz w:val="22"/>
      </w:rPr>
      <w:tblPr/>
      <w:tcPr>
        <w:tcBorders>
          <w:bottom w:val="single" w:sz="12" w:space="0" w:color="B2A1C6"/>
        </w:tcBorders>
      </w:tcPr>
    </w:tblStylePr>
    <w:tblStylePr w:type="lastRow">
      <w:rPr>
        <w:rFonts w:ascii="Arial" w:hAnsi="Arial" w:cs="Arial"/>
        <w:color w:val="404040"/>
        <w:sz w:val="22"/>
      </w:rPr>
      <w:tblPr/>
      <w:tcPr>
        <w:tcBorders>
          <w:top w:val="single" w:sz="12" w:space="0" w:color="B2A1C6"/>
        </w:tcBorders>
      </w:tcPr>
    </w:tblStylePr>
    <w:tblStylePr w:type="firstCol">
      <w:rPr>
        <w:rFonts w:ascii="Arial" w:hAnsi="Arial" w:cs="Arial"/>
        <w:color w:val="404040"/>
        <w:sz w:val="22"/>
      </w:rPr>
    </w:tblStylePr>
    <w:tblStylePr w:type="lastCol">
      <w:rPr>
        <w:rFonts w:ascii="Arial" w:hAnsi="Arial" w:cs="Arial"/>
        <w:color w:val="404040"/>
        <w:sz w:val="22"/>
      </w:rPr>
      <w:tblPr/>
      <w:tcPr>
        <w:tcBorders>
          <w:left w:val="single" w:sz="12" w:space="0" w:color="B2A1C6"/>
        </w:tcBorders>
      </w:tcPr>
    </w:tblStylePr>
    <w:tblStylePr w:type="band1Horz">
      <w:rPr>
        <w:rFonts w:ascii="Arial" w:hAnsi="Arial" w:cs="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a3"/>
    <w:uiPriority w:val="99"/>
    <w:rsid w:val="00AE19E2"/>
    <w:rPr>
      <w:rFonts w:ascii="Arial" w:hAnsi="Arial" w:cs="Arial"/>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s="Arial"/>
        <w:color w:val="404040"/>
        <w:sz w:val="22"/>
      </w:rPr>
      <w:tblPr/>
      <w:tcPr>
        <w:tcBorders>
          <w:bottom w:val="single" w:sz="12" w:space="0" w:color="92CCDC"/>
        </w:tcBorders>
      </w:tcPr>
    </w:tblStylePr>
    <w:tblStylePr w:type="lastRow">
      <w:rPr>
        <w:rFonts w:ascii="Arial" w:hAnsi="Arial" w:cs="Arial"/>
        <w:color w:val="404040"/>
        <w:sz w:val="22"/>
      </w:rPr>
      <w:tblPr/>
      <w:tcPr>
        <w:tcBorders>
          <w:top w:val="single" w:sz="12" w:space="0" w:color="92CCDC"/>
        </w:tcBorders>
      </w:tcPr>
    </w:tblStylePr>
    <w:tblStylePr w:type="firstCol">
      <w:rPr>
        <w:rFonts w:ascii="Arial" w:hAnsi="Arial" w:cs="Arial"/>
        <w:color w:val="404040"/>
        <w:sz w:val="22"/>
      </w:rPr>
    </w:tblStylePr>
    <w:tblStylePr w:type="lastCol">
      <w:rPr>
        <w:rFonts w:ascii="Arial" w:hAnsi="Arial" w:cs="Arial"/>
        <w:color w:val="404040"/>
        <w:sz w:val="22"/>
      </w:rPr>
      <w:tblPr/>
      <w:tcPr>
        <w:tcBorders>
          <w:left w:val="single" w:sz="12" w:space="0" w:color="92CCDC"/>
        </w:tcBorders>
      </w:tcPr>
    </w:tblStylePr>
    <w:tblStylePr w:type="band1Horz">
      <w:rPr>
        <w:rFonts w:ascii="Arial" w:hAnsi="Arial" w:cs="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3"/>
    <w:uiPriority w:val="99"/>
    <w:rsid w:val="00AE19E2"/>
    <w:rPr>
      <w:rFonts w:ascii="Arial" w:hAnsi="Arial" w:cs="Arial"/>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s="Arial"/>
        <w:color w:val="404040"/>
        <w:sz w:val="22"/>
      </w:rPr>
      <w:tblPr/>
      <w:tcPr>
        <w:tcBorders>
          <w:bottom w:val="single" w:sz="12" w:space="0" w:color="FAC090"/>
        </w:tcBorders>
      </w:tcPr>
    </w:tblStylePr>
    <w:tblStylePr w:type="lastRow">
      <w:rPr>
        <w:rFonts w:ascii="Arial" w:hAnsi="Arial" w:cs="Arial"/>
        <w:color w:val="404040"/>
        <w:sz w:val="22"/>
      </w:rPr>
      <w:tblPr/>
      <w:tcPr>
        <w:tcBorders>
          <w:top w:val="single" w:sz="12" w:space="0" w:color="FAC090"/>
        </w:tcBorders>
      </w:tcPr>
    </w:tblStylePr>
    <w:tblStylePr w:type="firstCol">
      <w:rPr>
        <w:rFonts w:ascii="Arial" w:hAnsi="Arial" w:cs="Arial"/>
        <w:color w:val="404040"/>
        <w:sz w:val="22"/>
      </w:rPr>
    </w:tblStylePr>
    <w:tblStylePr w:type="lastCol">
      <w:rPr>
        <w:rFonts w:ascii="Arial" w:hAnsi="Arial" w:cs="Arial"/>
        <w:color w:val="404040"/>
        <w:sz w:val="22"/>
      </w:rPr>
      <w:tblPr/>
      <w:tcPr>
        <w:tcBorders>
          <w:left w:val="single" w:sz="12" w:space="0" w:color="FAC090"/>
        </w:tcBorders>
      </w:tcPr>
    </w:tblStylePr>
    <w:tblStylePr w:type="band1Horz">
      <w:rPr>
        <w:rFonts w:ascii="Arial" w:hAnsi="Arial" w:cs="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FootnoteTextChar">
    <w:name w:val="Footnote Text Char"/>
    <w:uiPriority w:val="99"/>
    <w:rsid w:val="00AE19E2"/>
    <w:rPr>
      <w:sz w:val="18"/>
    </w:rPr>
  </w:style>
  <w:style w:type="paragraph" w:styleId="af1">
    <w:name w:val="endnote text"/>
    <w:basedOn w:val="a1"/>
    <w:link w:val="af2"/>
    <w:uiPriority w:val="99"/>
    <w:semiHidden/>
    <w:unhideWhenUsed/>
    <w:rsid w:val="00AE19E2"/>
    <w:pPr>
      <w:spacing w:after="0" w:line="240" w:lineRule="auto"/>
    </w:pPr>
    <w:rPr>
      <w:rFonts w:ascii="Arial" w:hAnsi="Arial" w:cs="Arial"/>
      <w:sz w:val="20"/>
    </w:rPr>
  </w:style>
  <w:style w:type="character" w:customStyle="1" w:styleId="af2">
    <w:name w:val="Текст концевой сноски Знак"/>
    <w:basedOn w:val="a2"/>
    <w:link w:val="af1"/>
    <w:uiPriority w:val="99"/>
    <w:semiHidden/>
    <w:locked/>
    <w:rsid w:val="00AE19E2"/>
    <w:rPr>
      <w:rFonts w:ascii="Arial" w:hAnsi="Arial" w:cs="Times New Roman"/>
      <w:sz w:val="20"/>
    </w:rPr>
  </w:style>
  <w:style w:type="character" w:styleId="af3">
    <w:name w:val="endnote reference"/>
    <w:basedOn w:val="a2"/>
    <w:semiHidden/>
    <w:unhideWhenUsed/>
    <w:rsid w:val="00AE19E2"/>
    <w:rPr>
      <w:rFonts w:cs="Times New Roman"/>
      <w:vertAlign w:val="superscript"/>
    </w:rPr>
  </w:style>
  <w:style w:type="paragraph" w:styleId="42">
    <w:name w:val="toc 4"/>
    <w:basedOn w:val="a1"/>
    <w:next w:val="a1"/>
    <w:uiPriority w:val="39"/>
    <w:unhideWhenUsed/>
    <w:rsid w:val="00122639"/>
    <w:pPr>
      <w:spacing w:after="57" w:line="276" w:lineRule="auto"/>
      <w:ind w:left="850"/>
    </w:pPr>
    <w:rPr>
      <w:rFonts w:ascii="Times New Roman" w:hAnsi="Times New Roman" w:cs="Arial"/>
      <w:i/>
      <w:sz w:val="24"/>
    </w:rPr>
  </w:style>
  <w:style w:type="paragraph" w:styleId="52">
    <w:name w:val="toc 5"/>
    <w:basedOn w:val="a1"/>
    <w:next w:val="a1"/>
    <w:uiPriority w:val="39"/>
    <w:unhideWhenUsed/>
    <w:rsid w:val="00AE19E2"/>
    <w:pPr>
      <w:spacing w:after="57" w:line="276" w:lineRule="auto"/>
      <w:ind w:left="1134"/>
    </w:pPr>
    <w:rPr>
      <w:rFonts w:ascii="Arial" w:hAnsi="Arial" w:cs="Arial"/>
    </w:rPr>
  </w:style>
  <w:style w:type="paragraph" w:styleId="61">
    <w:name w:val="toc 6"/>
    <w:basedOn w:val="a1"/>
    <w:next w:val="a1"/>
    <w:uiPriority w:val="39"/>
    <w:unhideWhenUsed/>
    <w:rsid w:val="00AE19E2"/>
    <w:pPr>
      <w:spacing w:after="57" w:line="276" w:lineRule="auto"/>
      <w:ind w:left="1417"/>
    </w:pPr>
    <w:rPr>
      <w:rFonts w:ascii="Arial" w:hAnsi="Arial" w:cs="Arial"/>
    </w:rPr>
  </w:style>
  <w:style w:type="paragraph" w:styleId="71">
    <w:name w:val="toc 7"/>
    <w:basedOn w:val="a1"/>
    <w:next w:val="a1"/>
    <w:uiPriority w:val="39"/>
    <w:unhideWhenUsed/>
    <w:rsid w:val="00AE19E2"/>
    <w:pPr>
      <w:spacing w:after="57" w:line="276" w:lineRule="auto"/>
      <w:ind w:left="1701"/>
    </w:pPr>
    <w:rPr>
      <w:rFonts w:ascii="Arial" w:hAnsi="Arial" w:cs="Arial"/>
    </w:rPr>
  </w:style>
  <w:style w:type="paragraph" w:styleId="81">
    <w:name w:val="toc 8"/>
    <w:basedOn w:val="a1"/>
    <w:next w:val="a1"/>
    <w:uiPriority w:val="39"/>
    <w:unhideWhenUsed/>
    <w:rsid w:val="00AE19E2"/>
    <w:pPr>
      <w:spacing w:after="57" w:line="276" w:lineRule="auto"/>
      <w:ind w:left="1984"/>
    </w:pPr>
    <w:rPr>
      <w:rFonts w:ascii="Arial" w:hAnsi="Arial" w:cs="Arial"/>
    </w:rPr>
  </w:style>
  <w:style w:type="paragraph" w:styleId="91">
    <w:name w:val="toc 9"/>
    <w:basedOn w:val="a1"/>
    <w:next w:val="a1"/>
    <w:uiPriority w:val="39"/>
    <w:unhideWhenUsed/>
    <w:rsid w:val="00AE19E2"/>
    <w:pPr>
      <w:spacing w:after="57" w:line="276" w:lineRule="auto"/>
      <w:ind w:left="2268"/>
    </w:pPr>
    <w:rPr>
      <w:rFonts w:ascii="Arial" w:hAnsi="Arial" w:cs="Arial"/>
    </w:rPr>
  </w:style>
  <w:style w:type="paragraph" w:styleId="af4">
    <w:name w:val="table of figures"/>
    <w:basedOn w:val="a1"/>
    <w:next w:val="a1"/>
    <w:uiPriority w:val="99"/>
    <w:unhideWhenUsed/>
    <w:rsid w:val="00AE19E2"/>
    <w:pPr>
      <w:spacing w:after="0" w:line="276" w:lineRule="auto"/>
    </w:pPr>
    <w:rPr>
      <w:rFonts w:ascii="Arial" w:hAnsi="Arial" w:cs="Arial"/>
    </w:rPr>
  </w:style>
  <w:style w:type="table" w:customStyle="1" w:styleId="TableNormal1">
    <w:name w:val="Table Normal1"/>
    <w:rsid w:val="00AE19E2"/>
    <w:pPr>
      <w:spacing w:line="276" w:lineRule="auto"/>
    </w:pPr>
    <w:rPr>
      <w:rFonts w:ascii="Arial" w:hAnsi="Arial" w:cs="Arial"/>
      <w:sz w:val="22"/>
      <w:szCs w:val="22"/>
    </w:rPr>
    <w:tblPr>
      <w:tblCellMar>
        <w:top w:w="0" w:type="dxa"/>
        <w:left w:w="0" w:type="dxa"/>
        <w:bottom w:w="0" w:type="dxa"/>
        <w:right w:w="0" w:type="dxa"/>
      </w:tblCellMar>
    </w:tblPr>
  </w:style>
  <w:style w:type="paragraph" w:styleId="ac">
    <w:name w:val="Title"/>
    <w:basedOn w:val="a1"/>
    <w:next w:val="a1"/>
    <w:link w:val="ab"/>
    <w:uiPriority w:val="10"/>
    <w:qFormat/>
    <w:rsid w:val="00AE19E2"/>
    <w:pPr>
      <w:keepNext/>
      <w:keepLines/>
      <w:spacing w:after="60" w:line="276" w:lineRule="auto"/>
    </w:pPr>
    <w:rPr>
      <w:sz w:val="48"/>
      <w:szCs w:val="48"/>
    </w:rPr>
  </w:style>
  <w:style w:type="character" w:customStyle="1" w:styleId="13">
    <w:name w:val="Заголовок Знак1"/>
    <w:basedOn w:val="a2"/>
    <w:uiPriority w:val="10"/>
    <w:rPr>
      <w:rFonts w:asciiTheme="majorHAnsi" w:eastAsiaTheme="majorEastAsia" w:hAnsiTheme="majorHAnsi" w:cstheme="majorBidi"/>
      <w:b/>
      <w:bCs/>
      <w:kern w:val="28"/>
      <w:sz w:val="32"/>
      <w:szCs w:val="32"/>
    </w:rPr>
  </w:style>
  <w:style w:type="character" w:customStyle="1" w:styleId="120">
    <w:name w:val="Заголовок Знак12"/>
    <w:basedOn w:val="a2"/>
    <w:uiPriority w:val="10"/>
    <w:rPr>
      <w:rFonts w:asciiTheme="majorHAnsi" w:eastAsiaTheme="majorEastAsia" w:hAnsiTheme="majorHAnsi" w:cs="Times New Roman"/>
      <w:b/>
      <w:bCs/>
      <w:kern w:val="28"/>
      <w:sz w:val="32"/>
      <w:szCs w:val="32"/>
    </w:rPr>
  </w:style>
  <w:style w:type="character" w:customStyle="1" w:styleId="111">
    <w:name w:val="Заголовок Знак11"/>
    <w:uiPriority w:val="10"/>
    <w:rsid w:val="00AE19E2"/>
    <w:rPr>
      <w:rFonts w:ascii="Calibri Light" w:hAnsi="Calibri Light"/>
      <w:b/>
      <w:kern w:val="28"/>
      <w:sz w:val="32"/>
    </w:rPr>
  </w:style>
  <w:style w:type="paragraph" w:styleId="ae">
    <w:name w:val="Subtitle"/>
    <w:basedOn w:val="a1"/>
    <w:next w:val="a1"/>
    <w:link w:val="ad"/>
    <w:uiPriority w:val="11"/>
    <w:qFormat/>
    <w:rsid w:val="00AE19E2"/>
    <w:pPr>
      <w:keepNext/>
      <w:keepLines/>
      <w:spacing w:after="320" w:line="276" w:lineRule="auto"/>
    </w:pPr>
    <w:rPr>
      <w:sz w:val="24"/>
      <w:szCs w:val="24"/>
    </w:rPr>
  </w:style>
  <w:style w:type="character" w:customStyle="1" w:styleId="14">
    <w:name w:val="Подзаголовок Знак1"/>
    <w:basedOn w:val="a2"/>
    <w:uiPriority w:val="11"/>
    <w:rPr>
      <w:rFonts w:asciiTheme="majorHAnsi" w:eastAsiaTheme="majorEastAsia" w:hAnsiTheme="majorHAnsi" w:cstheme="majorBidi"/>
      <w:sz w:val="24"/>
      <w:szCs w:val="24"/>
    </w:rPr>
  </w:style>
  <w:style w:type="character" w:customStyle="1" w:styleId="121">
    <w:name w:val="Подзаголовок Знак12"/>
    <w:basedOn w:val="a2"/>
    <w:uiPriority w:val="11"/>
    <w:rPr>
      <w:rFonts w:asciiTheme="majorHAnsi" w:eastAsiaTheme="majorEastAsia" w:hAnsiTheme="majorHAnsi" w:cs="Times New Roman"/>
      <w:sz w:val="24"/>
      <w:szCs w:val="24"/>
    </w:rPr>
  </w:style>
  <w:style w:type="character" w:customStyle="1" w:styleId="112">
    <w:name w:val="Подзаголовок Знак11"/>
    <w:uiPriority w:val="11"/>
    <w:rsid w:val="00AE19E2"/>
    <w:rPr>
      <w:rFonts w:ascii="Calibri Light" w:hAnsi="Calibri Light"/>
      <w:sz w:val="24"/>
    </w:rPr>
  </w:style>
  <w:style w:type="table" w:customStyle="1" w:styleId="24">
    <w:name w:val="2"/>
    <w:basedOn w:val="TableNormal1"/>
    <w:rsid w:val="00AE19E2"/>
    <w:tblPr>
      <w:tblStyleRowBandSize w:val="1"/>
      <w:tblStyleColBandSize w:val="1"/>
      <w:tblCellMar>
        <w:top w:w="100" w:type="dxa"/>
        <w:left w:w="100" w:type="dxa"/>
        <w:bottom w:w="100" w:type="dxa"/>
        <w:right w:w="100" w:type="dxa"/>
      </w:tblCellMar>
    </w:tblPr>
  </w:style>
  <w:style w:type="table" w:customStyle="1" w:styleId="15">
    <w:name w:val="1"/>
    <w:basedOn w:val="TableNormal1"/>
    <w:rsid w:val="00AE19E2"/>
    <w:tblPr>
      <w:tblStyleRowBandSize w:val="1"/>
      <w:tblStyleColBandSize w:val="1"/>
      <w:tblCellMar>
        <w:top w:w="100" w:type="dxa"/>
        <w:left w:w="100" w:type="dxa"/>
        <w:bottom w:w="100" w:type="dxa"/>
        <w:right w:w="100" w:type="dxa"/>
      </w:tblCellMar>
    </w:tblPr>
  </w:style>
  <w:style w:type="paragraph" w:styleId="af5">
    <w:name w:val="annotation text"/>
    <w:basedOn w:val="a1"/>
    <w:link w:val="af6"/>
    <w:uiPriority w:val="99"/>
    <w:unhideWhenUsed/>
    <w:rsid w:val="00AE19E2"/>
    <w:pPr>
      <w:spacing w:after="0" w:line="240" w:lineRule="auto"/>
    </w:pPr>
    <w:rPr>
      <w:rFonts w:ascii="Arial" w:hAnsi="Arial" w:cs="Arial"/>
      <w:sz w:val="20"/>
      <w:szCs w:val="20"/>
    </w:rPr>
  </w:style>
  <w:style w:type="character" w:customStyle="1" w:styleId="af6">
    <w:name w:val="Текст примечания Знак"/>
    <w:basedOn w:val="a2"/>
    <w:link w:val="af5"/>
    <w:uiPriority w:val="99"/>
    <w:locked/>
    <w:rsid w:val="00AE19E2"/>
    <w:rPr>
      <w:rFonts w:ascii="Arial" w:hAnsi="Arial" w:cs="Times New Roman"/>
      <w:sz w:val="20"/>
    </w:rPr>
  </w:style>
  <w:style w:type="character" w:styleId="af7">
    <w:name w:val="annotation reference"/>
    <w:basedOn w:val="a2"/>
    <w:uiPriority w:val="99"/>
    <w:unhideWhenUsed/>
    <w:rsid w:val="00AE19E2"/>
    <w:rPr>
      <w:rFonts w:cs="Times New Roman"/>
      <w:sz w:val="16"/>
    </w:rPr>
  </w:style>
  <w:style w:type="paragraph" w:styleId="af8">
    <w:name w:val="annotation subject"/>
    <w:basedOn w:val="af5"/>
    <w:next w:val="af5"/>
    <w:link w:val="af9"/>
    <w:uiPriority w:val="99"/>
    <w:unhideWhenUsed/>
    <w:rsid w:val="00AE19E2"/>
    <w:rPr>
      <w:b/>
      <w:bCs/>
    </w:rPr>
  </w:style>
  <w:style w:type="character" w:customStyle="1" w:styleId="af9">
    <w:name w:val="Тема примечания Знак"/>
    <w:basedOn w:val="af6"/>
    <w:link w:val="af8"/>
    <w:uiPriority w:val="99"/>
    <w:locked/>
    <w:rsid w:val="00AE19E2"/>
    <w:rPr>
      <w:rFonts w:ascii="Arial" w:hAnsi="Arial" w:cs="Times New Roman"/>
      <w:b/>
      <w:sz w:val="20"/>
    </w:rPr>
  </w:style>
  <w:style w:type="paragraph" w:styleId="afa">
    <w:name w:val="Balloon Text"/>
    <w:basedOn w:val="a1"/>
    <w:link w:val="afb"/>
    <w:uiPriority w:val="99"/>
    <w:semiHidden/>
    <w:unhideWhenUsed/>
    <w:rsid w:val="00AE19E2"/>
    <w:pPr>
      <w:spacing w:after="0" w:line="240" w:lineRule="auto"/>
    </w:pPr>
    <w:rPr>
      <w:rFonts w:ascii="Segoe UI" w:hAnsi="Segoe UI" w:cs="Segoe UI"/>
      <w:sz w:val="18"/>
      <w:szCs w:val="18"/>
    </w:rPr>
  </w:style>
  <w:style w:type="character" w:customStyle="1" w:styleId="afb">
    <w:name w:val="Текст выноски Знак"/>
    <w:basedOn w:val="a2"/>
    <w:link w:val="afa"/>
    <w:uiPriority w:val="99"/>
    <w:semiHidden/>
    <w:locked/>
    <w:rsid w:val="00AE19E2"/>
    <w:rPr>
      <w:rFonts w:ascii="Segoe UI" w:hAnsi="Segoe UI" w:cs="Times New Roman"/>
      <w:sz w:val="18"/>
    </w:rPr>
  </w:style>
  <w:style w:type="table" w:customStyle="1" w:styleId="16">
    <w:name w:val="Сетка таблицы1"/>
    <w:basedOn w:val="a3"/>
    <w:next w:val="afc"/>
    <w:uiPriority w:val="39"/>
    <w:rsid w:val="00AE19E2"/>
    <w:rPr>
      <w:rFonts w:cs="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10">
    <w:name w:val="ЗГ 1.11"/>
    <w:basedOn w:val="a1"/>
    <w:next w:val="afd"/>
    <w:link w:val="afe"/>
    <w:uiPriority w:val="34"/>
    <w:qFormat/>
    <w:rsid w:val="00AE19E2"/>
    <w:pPr>
      <w:ind w:left="720"/>
      <w:contextualSpacing/>
    </w:pPr>
    <w:rPr>
      <w:lang w:eastAsia="en-US"/>
    </w:rPr>
  </w:style>
  <w:style w:type="paragraph" w:styleId="aff">
    <w:name w:val="Normal (Web)"/>
    <w:basedOn w:val="a1"/>
    <w:uiPriority w:val="99"/>
    <w:unhideWhenUsed/>
    <w:rsid w:val="00AE19E2"/>
    <w:pPr>
      <w:spacing w:before="100" w:beforeAutospacing="1" w:after="100" w:afterAutospacing="1" w:line="240" w:lineRule="auto"/>
    </w:pPr>
    <w:rPr>
      <w:rFonts w:ascii="Times New Roman" w:hAnsi="Times New Roman"/>
      <w:sz w:val="24"/>
      <w:szCs w:val="24"/>
    </w:rPr>
  </w:style>
  <w:style w:type="paragraph" w:customStyle="1" w:styleId="f1">
    <w:name w:val="f1"/>
    <w:basedOn w:val="a1"/>
    <w:next w:val="aff0"/>
    <w:link w:val="aff1"/>
    <w:uiPriority w:val="99"/>
    <w:unhideWhenUsed/>
    <w:qFormat/>
    <w:rsid w:val="00AE19E2"/>
    <w:pPr>
      <w:spacing w:after="0" w:line="240" w:lineRule="auto"/>
    </w:pPr>
    <w:rPr>
      <w:rFonts w:ascii="Cambria" w:hAnsi="Cambria"/>
      <w:sz w:val="20"/>
      <w:szCs w:val="20"/>
      <w:lang w:eastAsia="en-US"/>
    </w:rPr>
  </w:style>
  <w:style w:type="character" w:customStyle="1" w:styleId="aff1">
    <w:name w:val="Текст сноски Знак"/>
    <w:aliases w:val="Сноска ТЕКСТ Знак,single space Знак,footnote text Знак,Текст сноски-FN Знак,Footnote text Знак,Schriftart: 9 pt Знак,Schriftart: 10 pt Знак,Schriftart: 8 pt Знак,Podrozdział Знак,Footnote Знак,o Знак,Footnote Text Char Знак Знак Знак"/>
    <w:link w:val="f1"/>
    <w:uiPriority w:val="99"/>
    <w:locked/>
    <w:rsid w:val="00AE19E2"/>
    <w:rPr>
      <w:rFonts w:ascii="Cambria" w:hAnsi="Cambria"/>
      <w:sz w:val="20"/>
      <w:lang w:val="x-none" w:eastAsia="en-US"/>
    </w:rPr>
  </w:style>
  <w:style w:type="character" w:styleId="aff2">
    <w:name w:val="footnote reference"/>
    <w:aliases w:val="Сноска ЗНАК,Знак сноски-FN,Ciae niinee-FN,Знак сноски 1,fr,Used by Word for Help footnote symbols,Referencia nota al pie,Ссылка на сноску 45,Footnote Reference Number,анкета сноска,Ciae niinee 1,SUPERS,Appel note de bas de page,ОР,Re,Ref,зс"/>
    <w:basedOn w:val="a2"/>
    <w:uiPriority w:val="99"/>
    <w:unhideWhenUsed/>
    <w:rsid w:val="00AE19E2"/>
    <w:rPr>
      <w:rFonts w:cs="Times New Roman"/>
      <w:vertAlign w:val="superscript"/>
    </w:rPr>
  </w:style>
  <w:style w:type="paragraph" w:styleId="aff3">
    <w:name w:val="Revision"/>
    <w:hidden/>
    <w:uiPriority w:val="99"/>
    <w:semiHidden/>
    <w:rsid w:val="00AE19E2"/>
    <w:rPr>
      <w:rFonts w:ascii="Arial" w:hAnsi="Arial" w:cs="Arial"/>
      <w:sz w:val="22"/>
      <w:szCs w:val="22"/>
    </w:rPr>
  </w:style>
  <w:style w:type="paragraph" w:customStyle="1" w:styleId="17">
    <w:name w:val="Заголовок оглавления1"/>
    <w:basedOn w:val="11"/>
    <w:next w:val="a1"/>
    <w:uiPriority w:val="39"/>
    <w:unhideWhenUsed/>
    <w:qFormat/>
    <w:rsid w:val="00AE19E2"/>
    <w:pPr>
      <w:spacing w:before="240" w:after="0" w:line="259" w:lineRule="auto"/>
      <w:outlineLvl w:val="9"/>
    </w:pPr>
    <w:rPr>
      <w:rFonts w:ascii="Calibri" w:hAnsi="Calibri" w:cs="Times New Roman"/>
      <w:color w:val="365F91"/>
      <w:sz w:val="32"/>
      <w:szCs w:val="32"/>
      <w:lang w:val="en-US" w:eastAsia="en-US"/>
    </w:rPr>
  </w:style>
  <w:style w:type="paragraph" w:customStyle="1" w:styleId="113">
    <w:name w:val="Оглавление 11"/>
    <w:basedOn w:val="a1"/>
    <w:next w:val="a1"/>
    <w:uiPriority w:val="39"/>
    <w:unhideWhenUsed/>
    <w:qFormat/>
    <w:rsid w:val="00AE19E2"/>
    <w:pPr>
      <w:tabs>
        <w:tab w:val="right" w:leader="dot" w:pos="9019"/>
        <w:tab w:val="right" w:leader="dot" w:pos="9072"/>
        <w:tab w:val="right" w:leader="dot" w:pos="11340"/>
      </w:tabs>
      <w:spacing w:after="100" w:line="276" w:lineRule="auto"/>
      <w:ind w:left="216"/>
    </w:pPr>
    <w:rPr>
      <w:rFonts w:ascii="Times New Roman" w:hAnsi="Times New Roman"/>
      <w:bCs/>
      <w:color w:val="000000"/>
      <w:sz w:val="28"/>
      <w:szCs w:val="28"/>
    </w:rPr>
  </w:style>
  <w:style w:type="character" w:customStyle="1" w:styleId="18">
    <w:name w:val="Гиперссылка1"/>
    <w:uiPriority w:val="99"/>
    <w:unhideWhenUsed/>
    <w:rsid w:val="00AE19E2"/>
    <w:rPr>
      <w:color w:val="0000FF"/>
      <w:u w:val="single"/>
    </w:rPr>
  </w:style>
  <w:style w:type="paragraph" w:customStyle="1" w:styleId="211">
    <w:name w:val="Оглавление 21"/>
    <w:basedOn w:val="a1"/>
    <w:next w:val="a1"/>
    <w:uiPriority w:val="39"/>
    <w:unhideWhenUsed/>
    <w:qFormat/>
    <w:rsid w:val="00AE19E2"/>
    <w:pPr>
      <w:spacing w:after="100"/>
      <w:ind w:left="220"/>
    </w:pPr>
    <w:rPr>
      <w:lang w:val="en-US" w:eastAsia="en-US"/>
    </w:rPr>
  </w:style>
  <w:style w:type="paragraph" w:customStyle="1" w:styleId="310">
    <w:name w:val="Оглавление 31"/>
    <w:basedOn w:val="a1"/>
    <w:next w:val="a1"/>
    <w:uiPriority w:val="39"/>
    <w:unhideWhenUsed/>
    <w:qFormat/>
    <w:rsid w:val="00AE19E2"/>
    <w:pPr>
      <w:spacing w:after="100"/>
      <w:ind w:left="216"/>
    </w:pPr>
    <w:rPr>
      <w:lang w:val="en-US" w:eastAsia="en-US"/>
    </w:rPr>
  </w:style>
  <w:style w:type="character" w:customStyle="1" w:styleId="s10">
    <w:name w:val="s_10"/>
    <w:rsid w:val="00AE19E2"/>
  </w:style>
  <w:style w:type="table" w:customStyle="1" w:styleId="114">
    <w:name w:val="Сетка таблицы11"/>
    <w:basedOn w:val="a3"/>
    <w:next w:val="afc"/>
    <w:uiPriority w:val="39"/>
    <w:rsid w:val="00AE19E2"/>
    <w:rPr>
      <w:rFonts w:hAnsi="Times New Roman" w:cs="Times New Roman"/>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
    <w:name w:val="Сетка таблицы2"/>
    <w:basedOn w:val="a3"/>
    <w:next w:val="afc"/>
    <w:uiPriority w:val="39"/>
    <w:rsid w:val="00AE19E2"/>
    <w:rPr>
      <w:rFonts w:hAnsi="Times New Roman" w:cs="Times New Roman"/>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
    <w:name w:val="Сетка таблицы3"/>
    <w:basedOn w:val="a3"/>
    <w:next w:val="afc"/>
    <w:uiPriority w:val="39"/>
    <w:rsid w:val="00AE19E2"/>
    <w:rPr>
      <w:rFonts w:hAnsi="Times New Roman" w:cs="Times New Roman"/>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
    <w:name w:val="_Заголовок 1-отчет1"/>
    <w:next w:val="a1"/>
    <w:uiPriority w:val="9"/>
    <w:qFormat/>
    <w:rsid w:val="00AE19E2"/>
    <w:pPr>
      <w:keepNext/>
      <w:spacing w:before="240" w:after="360" w:line="360" w:lineRule="auto"/>
      <w:ind w:left="360" w:hanging="360"/>
      <w:outlineLvl w:val="0"/>
    </w:pPr>
    <w:rPr>
      <w:rFonts w:ascii="Times New Roman" w:hAnsi="Times New Roman" w:cs="Times New Roman"/>
      <w:b/>
      <w:color w:val="FFFFFF"/>
      <w:sz w:val="16"/>
      <w:szCs w:val="52"/>
      <w:lang w:eastAsia="ar-SA"/>
    </w:rPr>
  </w:style>
  <w:style w:type="paragraph" w:styleId="aff4">
    <w:name w:val="Body Text"/>
    <w:basedOn w:val="a1"/>
    <w:link w:val="aff5"/>
    <w:uiPriority w:val="99"/>
    <w:rsid w:val="00AE19E2"/>
    <w:pPr>
      <w:suppressAutoHyphens/>
      <w:spacing w:before="120" w:after="120" w:line="264" w:lineRule="auto"/>
      <w:ind w:firstLine="709"/>
      <w:jc w:val="both"/>
    </w:pPr>
    <w:rPr>
      <w:rFonts w:ascii="Times New Roman" w:hAnsi="Times New Roman"/>
      <w:sz w:val="28"/>
      <w:lang w:eastAsia="en-US"/>
    </w:rPr>
  </w:style>
  <w:style w:type="character" w:customStyle="1" w:styleId="aff5">
    <w:name w:val="Основной текст Знак"/>
    <w:basedOn w:val="a2"/>
    <w:link w:val="aff4"/>
    <w:uiPriority w:val="99"/>
    <w:locked/>
    <w:rsid w:val="00AE19E2"/>
    <w:rPr>
      <w:rFonts w:ascii="Times New Roman" w:hAnsi="Times New Roman" w:cs="Times New Roman"/>
      <w:sz w:val="28"/>
      <w:lang w:val="x-none" w:eastAsia="en-US"/>
    </w:rPr>
  </w:style>
  <w:style w:type="table" w:customStyle="1" w:styleId="43">
    <w:name w:val="Сетка таблицы4"/>
    <w:basedOn w:val="a3"/>
    <w:next w:val="afc"/>
    <w:uiPriority w:val="39"/>
    <w:rsid w:val="00AE19E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6">
    <w:name w:val="page number"/>
    <w:basedOn w:val="a2"/>
    <w:uiPriority w:val="99"/>
    <w:rsid w:val="00AE19E2"/>
    <w:rPr>
      <w:rFonts w:cs="Times New Roman"/>
    </w:rPr>
  </w:style>
  <w:style w:type="paragraph" w:styleId="19">
    <w:name w:val="index 1"/>
    <w:basedOn w:val="a1"/>
    <w:next w:val="a1"/>
    <w:autoRedefine/>
    <w:uiPriority w:val="99"/>
    <w:semiHidden/>
    <w:unhideWhenUsed/>
    <w:rsid w:val="00AE19E2"/>
    <w:pPr>
      <w:suppressAutoHyphens/>
      <w:spacing w:after="120" w:line="240" w:lineRule="auto"/>
      <w:ind w:left="240" w:hanging="240"/>
      <w:jc w:val="both"/>
    </w:pPr>
    <w:rPr>
      <w:rFonts w:ascii="Times New Roman" w:hAnsi="Times New Roman"/>
      <w:sz w:val="28"/>
    </w:rPr>
  </w:style>
  <w:style w:type="character" w:styleId="aff7">
    <w:name w:val="FollowedHyperlink"/>
    <w:basedOn w:val="a2"/>
    <w:uiPriority w:val="99"/>
    <w:rsid w:val="00AE19E2"/>
    <w:rPr>
      <w:rFonts w:cs="Times New Roman"/>
      <w:color w:val="800080"/>
      <w:u w:val="single"/>
    </w:rPr>
  </w:style>
  <w:style w:type="paragraph" w:styleId="2">
    <w:name w:val="List Bullet 2"/>
    <w:basedOn w:val="a1"/>
    <w:uiPriority w:val="99"/>
    <w:rsid w:val="00AE19E2"/>
    <w:pPr>
      <w:numPr>
        <w:ilvl w:val="1"/>
        <w:numId w:val="1"/>
      </w:numPr>
      <w:suppressAutoHyphens/>
      <w:spacing w:before="120" w:after="120" w:line="264" w:lineRule="auto"/>
      <w:contextualSpacing/>
      <w:jc w:val="both"/>
    </w:pPr>
    <w:rPr>
      <w:rFonts w:ascii="Times New Roman" w:hAnsi="Times New Roman"/>
      <w:sz w:val="28"/>
      <w:szCs w:val="28"/>
      <w:lang w:eastAsia="en-US"/>
    </w:rPr>
  </w:style>
  <w:style w:type="paragraph" w:styleId="aff8">
    <w:name w:val="Document Map"/>
    <w:basedOn w:val="a1"/>
    <w:link w:val="aff9"/>
    <w:uiPriority w:val="99"/>
    <w:semiHidden/>
    <w:unhideWhenUsed/>
    <w:rsid w:val="00AE19E2"/>
    <w:pPr>
      <w:suppressAutoHyphens/>
      <w:spacing w:after="120" w:line="240" w:lineRule="auto"/>
    </w:pPr>
    <w:rPr>
      <w:rFonts w:ascii="Tahoma" w:hAnsi="Tahoma" w:cs="Tahoma"/>
      <w:sz w:val="16"/>
      <w:szCs w:val="16"/>
    </w:rPr>
  </w:style>
  <w:style w:type="character" w:customStyle="1" w:styleId="aff9">
    <w:name w:val="Схема документа Знак"/>
    <w:basedOn w:val="a2"/>
    <w:link w:val="aff8"/>
    <w:uiPriority w:val="99"/>
    <w:semiHidden/>
    <w:locked/>
    <w:rsid w:val="00AE19E2"/>
    <w:rPr>
      <w:rFonts w:ascii="Tahoma" w:hAnsi="Tahoma" w:cs="Times New Roman"/>
      <w:sz w:val="16"/>
    </w:rPr>
  </w:style>
  <w:style w:type="character" w:styleId="affa">
    <w:name w:val="Placeholder Text"/>
    <w:basedOn w:val="a2"/>
    <w:uiPriority w:val="99"/>
    <w:semiHidden/>
    <w:rsid w:val="00AE19E2"/>
    <w:rPr>
      <w:rFonts w:cs="Times New Roman"/>
      <w:color w:val="808080"/>
    </w:rPr>
  </w:style>
  <w:style w:type="character" w:customStyle="1" w:styleId="affb">
    <w:name w:val="Название объекта Знак"/>
    <w:aliases w:val="CaptionPic Знак"/>
    <w:link w:val="affc"/>
    <w:uiPriority w:val="35"/>
    <w:locked/>
    <w:rsid w:val="00AE19E2"/>
    <w:rPr>
      <w:b/>
      <w:color w:val="4F81BD"/>
      <w:sz w:val="18"/>
    </w:rPr>
  </w:style>
  <w:style w:type="character" w:customStyle="1" w:styleId="aa">
    <w:name w:val="Без интервала Знак"/>
    <w:link w:val="a9"/>
    <w:uiPriority w:val="1"/>
    <w:locked/>
    <w:rsid w:val="00AE19E2"/>
    <w:rPr>
      <w:rFonts w:ascii="Arial" w:hAnsi="Arial"/>
    </w:rPr>
  </w:style>
  <w:style w:type="paragraph" w:customStyle="1" w:styleId="510">
    <w:name w:val="Знак5 Знак1"/>
    <w:basedOn w:val="af5"/>
    <w:next w:val="af5"/>
    <w:uiPriority w:val="99"/>
    <w:unhideWhenUsed/>
    <w:rsid w:val="00AE19E2"/>
    <w:pPr>
      <w:suppressAutoHyphens/>
      <w:spacing w:before="40" w:after="200"/>
      <w:ind w:left="709"/>
      <w:jc w:val="both"/>
    </w:pPr>
    <w:rPr>
      <w:rFonts w:ascii="Times New Roman" w:hAnsi="Times New Roman" w:cs="Times New Roman"/>
      <w:b/>
      <w:sz w:val="24"/>
      <w:szCs w:val="27"/>
    </w:rPr>
  </w:style>
  <w:style w:type="paragraph" w:customStyle="1" w:styleId="1a">
    <w:name w:val="Рецензия1"/>
    <w:next w:val="aff3"/>
    <w:hidden/>
    <w:uiPriority w:val="99"/>
    <w:semiHidden/>
    <w:rsid w:val="00AE19E2"/>
    <w:rPr>
      <w:rFonts w:cs="Times New Roman"/>
      <w:sz w:val="22"/>
      <w:szCs w:val="22"/>
    </w:rPr>
  </w:style>
  <w:style w:type="paragraph" w:styleId="a0">
    <w:name w:val="List Bullet"/>
    <w:basedOn w:val="aff4"/>
    <w:link w:val="affd"/>
    <w:uiPriority w:val="99"/>
    <w:rsid w:val="00AE19E2"/>
    <w:pPr>
      <w:numPr>
        <w:numId w:val="2"/>
      </w:numPr>
      <w:contextualSpacing/>
    </w:pPr>
  </w:style>
  <w:style w:type="paragraph" w:customStyle="1" w:styleId="affe">
    <w:name w:val="Нижний колонтитул ТИТУЛА"/>
    <w:basedOn w:val="a7"/>
    <w:uiPriority w:val="99"/>
    <w:qFormat/>
    <w:rsid w:val="00AE19E2"/>
    <w:pPr>
      <w:suppressAutoHyphens/>
      <w:spacing w:after="120" w:line="240" w:lineRule="auto"/>
      <w:jc w:val="center"/>
    </w:pPr>
    <w:rPr>
      <w:rFonts w:ascii="Times New Roman" w:hAnsi="Times New Roman"/>
      <w:color w:val="000000"/>
      <w:sz w:val="28"/>
      <w:szCs w:val="20"/>
    </w:rPr>
  </w:style>
  <w:style w:type="paragraph" w:styleId="44">
    <w:name w:val="List Number 4"/>
    <w:basedOn w:val="a1"/>
    <w:uiPriority w:val="99"/>
    <w:semiHidden/>
    <w:rsid w:val="00AE19E2"/>
    <w:pPr>
      <w:tabs>
        <w:tab w:val="num" w:pos="1209"/>
      </w:tabs>
      <w:suppressAutoHyphens/>
      <w:spacing w:after="120" w:line="240" w:lineRule="auto"/>
      <w:ind w:left="1209" w:hanging="360"/>
      <w:jc w:val="both"/>
    </w:pPr>
    <w:rPr>
      <w:rFonts w:cs="Calibri"/>
      <w:sz w:val="28"/>
    </w:rPr>
  </w:style>
  <w:style w:type="character" w:customStyle="1" w:styleId="affd">
    <w:name w:val="Маркированный список Знак"/>
    <w:link w:val="a0"/>
    <w:uiPriority w:val="99"/>
    <w:locked/>
    <w:rsid w:val="00AE19E2"/>
    <w:rPr>
      <w:rFonts w:ascii="Times New Roman" w:hAnsi="Times New Roman" w:cs="Times New Roman"/>
      <w:sz w:val="28"/>
      <w:szCs w:val="22"/>
      <w:lang w:eastAsia="en-US"/>
    </w:rPr>
  </w:style>
  <w:style w:type="paragraph" w:customStyle="1" w:styleId="afff">
    <w:name w:val="Структурный элемент"/>
    <w:basedOn w:val="afff0"/>
    <w:next w:val="aff4"/>
    <w:qFormat/>
    <w:rsid w:val="00AE19E2"/>
  </w:style>
  <w:style w:type="paragraph" w:customStyle="1" w:styleId="afff0">
    <w:name w:val="Заголовок вне содержания"/>
    <w:basedOn w:val="a1"/>
    <w:next w:val="a1"/>
    <w:uiPriority w:val="99"/>
    <w:qFormat/>
    <w:rsid w:val="00AE19E2"/>
    <w:pPr>
      <w:suppressAutoHyphens/>
      <w:spacing w:before="240" w:after="240" w:line="240" w:lineRule="auto"/>
      <w:jc w:val="center"/>
      <w:outlineLvl w:val="1"/>
    </w:pPr>
    <w:rPr>
      <w:rFonts w:ascii="Times New Roman" w:hAnsi="Times New Roman"/>
      <w:b/>
      <w:color w:val="0064A0"/>
      <w:sz w:val="36"/>
      <w:szCs w:val="28"/>
    </w:rPr>
  </w:style>
  <w:style w:type="paragraph" w:customStyle="1" w:styleId="1b">
    <w:name w:val="СЦТ 1УР"/>
    <w:basedOn w:val="a1"/>
    <w:next w:val="aff4"/>
    <w:link w:val="1c"/>
    <w:qFormat/>
    <w:rsid w:val="00AE19E2"/>
    <w:pPr>
      <w:keepNext/>
      <w:suppressAutoHyphens/>
      <w:spacing w:before="360" w:after="360" w:line="240" w:lineRule="auto"/>
      <w:ind w:left="1134"/>
      <w:outlineLvl w:val="0"/>
    </w:pPr>
    <w:rPr>
      <w:rFonts w:ascii="Times New Roman" w:hAnsi="Times New Roman"/>
      <w:b/>
      <w:caps/>
      <w:color w:val="FFFFFF"/>
      <w:sz w:val="40"/>
      <w:szCs w:val="40"/>
      <w:lang w:eastAsia="ar-SA"/>
    </w:rPr>
  </w:style>
  <w:style w:type="character" w:customStyle="1" w:styleId="1c">
    <w:name w:val="СЦТ 1УР Знак"/>
    <w:link w:val="1b"/>
    <w:locked/>
    <w:rsid w:val="00AE19E2"/>
    <w:rPr>
      <w:rFonts w:ascii="Times New Roman" w:hAnsi="Times New Roman"/>
      <w:b/>
      <w:caps/>
      <w:color w:val="FFFFFF"/>
      <w:sz w:val="40"/>
      <w:lang w:val="x-none" w:eastAsia="ar-SA" w:bidi="ar-SA"/>
    </w:rPr>
  </w:style>
  <w:style w:type="paragraph" w:customStyle="1" w:styleId="afff1">
    <w:name w:val="Заголовок приложения"/>
    <w:basedOn w:val="a1"/>
    <w:next w:val="aff4"/>
    <w:uiPriority w:val="99"/>
    <w:rsid w:val="00AE19E2"/>
    <w:pPr>
      <w:pageBreakBefore/>
      <w:suppressAutoHyphens/>
      <w:spacing w:before="240" w:after="240" w:line="240" w:lineRule="auto"/>
      <w:outlineLvl w:val="1"/>
    </w:pPr>
    <w:rPr>
      <w:rFonts w:ascii="Times New Roman" w:hAnsi="Times New Roman"/>
      <w:b/>
      <w:color w:val="0064A0"/>
      <w:kern w:val="24"/>
      <w:sz w:val="32"/>
      <w:szCs w:val="28"/>
      <w:lang w:eastAsia="ar-SA"/>
    </w:rPr>
  </w:style>
  <w:style w:type="paragraph" w:customStyle="1" w:styleId="410">
    <w:name w:val="Оглавление 41"/>
    <w:basedOn w:val="a1"/>
    <w:next w:val="a1"/>
    <w:autoRedefine/>
    <w:uiPriority w:val="39"/>
    <w:unhideWhenUsed/>
    <w:rsid w:val="00AE19E2"/>
    <w:pPr>
      <w:suppressAutoHyphens/>
      <w:spacing w:after="100"/>
      <w:ind w:left="660"/>
    </w:pPr>
  </w:style>
  <w:style w:type="paragraph" w:customStyle="1" w:styleId="511">
    <w:name w:val="Оглавление 51"/>
    <w:basedOn w:val="a1"/>
    <w:next w:val="a1"/>
    <w:autoRedefine/>
    <w:uiPriority w:val="39"/>
    <w:unhideWhenUsed/>
    <w:rsid w:val="00AE19E2"/>
    <w:pPr>
      <w:suppressAutoHyphens/>
      <w:spacing w:after="100"/>
      <w:ind w:left="880"/>
    </w:pPr>
  </w:style>
  <w:style w:type="paragraph" w:customStyle="1" w:styleId="610">
    <w:name w:val="Оглавление 61"/>
    <w:basedOn w:val="a1"/>
    <w:next w:val="a1"/>
    <w:autoRedefine/>
    <w:uiPriority w:val="39"/>
    <w:unhideWhenUsed/>
    <w:rsid w:val="00AE19E2"/>
    <w:pPr>
      <w:suppressAutoHyphens/>
      <w:spacing w:after="100"/>
      <w:ind w:left="1100"/>
    </w:pPr>
  </w:style>
  <w:style w:type="paragraph" w:customStyle="1" w:styleId="710">
    <w:name w:val="Оглавление 71"/>
    <w:basedOn w:val="a1"/>
    <w:next w:val="a1"/>
    <w:autoRedefine/>
    <w:uiPriority w:val="39"/>
    <w:unhideWhenUsed/>
    <w:rsid w:val="00AE19E2"/>
    <w:pPr>
      <w:suppressAutoHyphens/>
      <w:spacing w:after="100"/>
      <w:ind w:left="1320"/>
    </w:pPr>
  </w:style>
  <w:style w:type="paragraph" w:customStyle="1" w:styleId="810">
    <w:name w:val="Оглавление 81"/>
    <w:basedOn w:val="a1"/>
    <w:next w:val="a1"/>
    <w:autoRedefine/>
    <w:uiPriority w:val="39"/>
    <w:unhideWhenUsed/>
    <w:rsid w:val="00AE19E2"/>
    <w:pPr>
      <w:suppressAutoHyphens/>
      <w:spacing w:after="100"/>
      <w:ind w:left="1540"/>
    </w:pPr>
  </w:style>
  <w:style w:type="paragraph" w:customStyle="1" w:styleId="910">
    <w:name w:val="Оглавление 91"/>
    <w:basedOn w:val="a1"/>
    <w:next w:val="a1"/>
    <w:autoRedefine/>
    <w:uiPriority w:val="39"/>
    <w:unhideWhenUsed/>
    <w:rsid w:val="00AE19E2"/>
    <w:pPr>
      <w:suppressAutoHyphens/>
      <w:spacing w:after="100"/>
      <w:ind w:left="1760"/>
    </w:pPr>
  </w:style>
  <w:style w:type="paragraph" w:customStyle="1" w:styleId="afff2">
    <w:name w:val="Таблица НАЗВАНИЕ"/>
    <w:basedOn w:val="affc"/>
    <w:uiPriority w:val="99"/>
    <w:qFormat/>
    <w:rsid w:val="00AE19E2"/>
    <w:pPr>
      <w:suppressAutoHyphens/>
      <w:spacing w:before="120" w:after="120" w:line="240" w:lineRule="auto"/>
      <w:jc w:val="right"/>
    </w:pPr>
    <w:rPr>
      <w:rFonts w:ascii="Times New Roman" w:hAnsi="Times New Roman"/>
      <w:b w:val="0"/>
      <w:bCs w:val="0"/>
      <w:i/>
      <w:color w:val="auto"/>
      <w:sz w:val="24"/>
      <w:szCs w:val="28"/>
      <w:lang w:eastAsia="en-US"/>
    </w:rPr>
  </w:style>
  <w:style w:type="paragraph" w:customStyle="1" w:styleId="afff3">
    <w:name w:val="Таблица ТЕКСТ"/>
    <w:basedOn w:val="a1"/>
    <w:uiPriority w:val="99"/>
    <w:qFormat/>
    <w:rsid w:val="00AE19E2"/>
    <w:pPr>
      <w:suppressAutoHyphens/>
      <w:spacing w:before="40" w:after="40" w:line="240" w:lineRule="auto"/>
    </w:pPr>
    <w:rPr>
      <w:rFonts w:ascii="Times New Roman" w:hAnsi="Times New Roman"/>
      <w:bCs/>
      <w:sz w:val="24"/>
      <w:szCs w:val="27"/>
    </w:rPr>
  </w:style>
  <w:style w:type="paragraph" w:customStyle="1" w:styleId="afff4">
    <w:name w:val="Таблица ШАПКА"/>
    <w:basedOn w:val="a1"/>
    <w:next w:val="a1"/>
    <w:uiPriority w:val="99"/>
    <w:qFormat/>
    <w:rsid w:val="00AE19E2"/>
    <w:pPr>
      <w:suppressAutoHyphens/>
      <w:spacing w:before="120" w:after="120" w:line="240" w:lineRule="auto"/>
      <w:jc w:val="center"/>
    </w:pPr>
    <w:rPr>
      <w:rFonts w:ascii="Times New Roman" w:hAnsi="Times New Roman"/>
      <w:b/>
      <w:bCs/>
      <w:color w:val="000000"/>
      <w:kern w:val="24"/>
      <w:sz w:val="24"/>
    </w:rPr>
  </w:style>
  <w:style w:type="paragraph" w:customStyle="1" w:styleId="afff5">
    <w:name w:val="Название документа"/>
    <w:basedOn w:val="a1"/>
    <w:next w:val="a1"/>
    <w:uiPriority w:val="99"/>
    <w:qFormat/>
    <w:rsid w:val="00AE19E2"/>
    <w:pPr>
      <w:suppressAutoHyphens/>
      <w:spacing w:before="3000" w:after="120" w:line="240" w:lineRule="auto"/>
      <w:jc w:val="center"/>
    </w:pPr>
    <w:rPr>
      <w:rFonts w:ascii="Times New Roman" w:hAnsi="Times New Roman"/>
      <w:b/>
      <w:kern w:val="24"/>
      <w:sz w:val="60"/>
      <w:szCs w:val="60"/>
      <w:lang w:eastAsia="ar-SA"/>
    </w:rPr>
  </w:style>
  <w:style w:type="paragraph" w:customStyle="1" w:styleId="afff6">
    <w:name w:val="Основной текст с выделением"/>
    <w:basedOn w:val="aff4"/>
    <w:next w:val="a1"/>
    <w:link w:val="afff7"/>
    <w:rsid w:val="00AE19E2"/>
    <w:rPr>
      <w:b/>
      <w:i/>
    </w:rPr>
  </w:style>
  <w:style w:type="character" w:customStyle="1" w:styleId="afff7">
    <w:name w:val="Основной текст с выделением Знак"/>
    <w:link w:val="afff6"/>
    <w:locked/>
    <w:rsid w:val="00AE19E2"/>
    <w:rPr>
      <w:rFonts w:ascii="Times New Roman" w:hAnsi="Times New Roman"/>
      <w:b/>
      <w:i/>
      <w:sz w:val="28"/>
      <w:lang w:val="x-none" w:eastAsia="en-US"/>
    </w:rPr>
  </w:style>
  <w:style w:type="paragraph" w:customStyle="1" w:styleId="1d">
    <w:name w:val="Шапка1"/>
    <w:basedOn w:val="a1"/>
    <w:next w:val="afff8"/>
    <w:link w:val="afff9"/>
    <w:uiPriority w:val="99"/>
    <w:semiHidden/>
    <w:unhideWhenUsed/>
    <w:rsid w:val="00AE19E2"/>
    <w:pPr>
      <w:pBdr>
        <w:top w:val="single" w:sz="6" w:space="1" w:color="auto"/>
        <w:left w:val="single" w:sz="6" w:space="1" w:color="auto"/>
        <w:bottom w:val="single" w:sz="6" w:space="1" w:color="auto"/>
        <w:right w:val="single" w:sz="6" w:space="1" w:color="auto"/>
      </w:pBdr>
      <w:shd w:val="pct20" w:color="auto" w:fill="auto"/>
      <w:suppressAutoHyphens/>
      <w:spacing w:after="0" w:line="240" w:lineRule="auto"/>
      <w:ind w:left="1134" w:hanging="1134"/>
      <w:jc w:val="both"/>
    </w:pPr>
    <w:rPr>
      <w:rFonts w:ascii="Cambria" w:hAnsi="Cambria"/>
      <w:sz w:val="24"/>
      <w:szCs w:val="24"/>
      <w:lang w:eastAsia="en-US"/>
    </w:rPr>
  </w:style>
  <w:style w:type="paragraph" w:styleId="afffa">
    <w:name w:val="List Continue"/>
    <w:basedOn w:val="a1"/>
    <w:uiPriority w:val="99"/>
    <w:semiHidden/>
    <w:unhideWhenUsed/>
    <w:rsid w:val="00AE19E2"/>
    <w:pPr>
      <w:suppressAutoHyphens/>
      <w:spacing w:after="120" w:line="240" w:lineRule="auto"/>
      <w:ind w:left="283" w:firstLine="709"/>
      <w:contextualSpacing/>
      <w:jc w:val="both"/>
    </w:pPr>
    <w:rPr>
      <w:rFonts w:ascii="Times New Roman" w:hAnsi="Times New Roman"/>
      <w:sz w:val="28"/>
    </w:rPr>
  </w:style>
  <w:style w:type="character" w:customStyle="1" w:styleId="afff9">
    <w:name w:val="Шапка Знак"/>
    <w:link w:val="1d"/>
    <w:uiPriority w:val="99"/>
    <w:semiHidden/>
    <w:locked/>
    <w:rsid w:val="00AE19E2"/>
    <w:rPr>
      <w:rFonts w:ascii="Cambria" w:hAnsi="Cambria"/>
      <w:sz w:val="24"/>
      <w:shd w:val="pct20" w:color="auto" w:fill="auto"/>
      <w:lang w:val="x-none" w:eastAsia="en-US"/>
    </w:rPr>
  </w:style>
  <w:style w:type="paragraph" w:customStyle="1" w:styleId="afffb">
    <w:name w:val="Разделитель таблицы"/>
    <w:basedOn w:val="a1"/>
    <w:uiPriority w:val="99"/>
    <w:qFormat/>
    <w:rsid w:val="00AE19E2"/>
    <w:pPr>
      <w:suppressAutoHyphens/>
      <w:spacing w:after="0" w:line="240" w:lineRule="auto"/>
      <w:ind w:left="1134"/>
    </w:pPr>
    <w:rPr>
      <w:rFonts w:ascii="Times New Roman" w:hAnsi="Times New Roman"/>
      <w:sz w:val="16"/>
      <w:szCs w:val="24"/>
      <w:lang w:eastAsia="en-US"/>
    </w:rPr>
  </w:style>
  <w:style w:type="paragraph" w:customStyle="1" w:styleId="-">
    <w:name w:val="- колонтитул"/>
    <w:link w:val="-0"/>
    <w:qFormat/>
    <w:rsid w:val="00AE19E2"/>
    <w:rPr>
      <w:rFonts w:ascii="Times New Roman" w:hAnsi="Times New Roman" w:cs="Times New Roman"/>
      <w:b/>
      <w:kern w:val="24"/>
      <w:sz w:val="24"/>
      <w:lang w:eastAsia="ar-SA"/>
    </w:rPr>
  </w:style>
  <w:style w:type="character" w:customStyle="1" w:styleId="-0">
    <w:name w:val="- колонтитул Знак"/>
    <w:link w:val="-"/>
    <w:locked/>
    <w:rsid w:val="00AE19E2"/>
    <w:rPr>
      <w:rFonts w:ascii="Times New Roman" w:hAnsi="Times New Roman"/>
      <w:b/>
      <w:kern w:val="24"/>
      <w:sz w:val="20"/>
      <w:lang w:val="x-none" w:eastAsia="ar-SA" w:bidi="ar-SA"/>
    </w:rPr>
  </w:style>
  <w:style w:type="paragraph" w:customStyle="1" w:styleId="afffc">
    <w:name w:val="Таблица ЧИСЛА"/>
    <w:basedOn w:val="afff3"/>
    <w:uiPriority w:val="99"/>
    <w:qFormat/>
    <w:rsid w:val="00AE19E2"/>
    <w:pPr>
      <w:jc w:val="center"/>
    </w:pPr>
  </w:style>
  <w:style w:type="paragraph" w:customStyle="1" w:styleId="10">
    <w:name w:val="Нумерованный список1"/>
    <w:basedOn w:val="aff4"/>
    <w:next w:val="aff4"/>
    <w:uiPriority w:val="99"/>
    <w:rsid w:val="00AE19E2"/>
    <w:pPr>
      <w:numPr>
        <w:numId w:val="3"/>
      </w:numPr>
      <w:tabs>
        <w:tab w:val="left" w:pos="1560"/>
      </w:tabs>
      <w:contextualSpacing/>
    </w:pPr>
  </w:style>
  <w:style w:type="character" w:customStyle="1" w:styleId="afe">
    <w:name w:val="Абзац списка Знак"/>
    <w:aliases w:val="ПАРАГРАФ Знак,Абзац списка2 Знак,Абзац списка основной Знак,Абзац списка new Знак,ЗГ 1.1 Знак"/>
    <w:link w:val="1110"/>
    <w:uiPriority w:val="34"/>
    <w:locked/>
    <w:rsid w:val="00AE19E2"/>
    <w:rPr>
      <w:rFonts w:ascii="Cambria" w:hAnsi="Cambria"/>
      <w:lang w:val="x-none" w:eastAsia="en-US"/>
    </w:rPr>
  </w:style>
  <w:style w:type="paragraph" w:customStyle="1" w:styleId="100">
    <w:name w:val="Таблица ТЕКСТ 10"/>
    <w:basedOn w:val="afff3"/>
    <w:uiPriority w:val="99"/>
    <w:qFormat/>
    <w:rsid w:val="00AE19E2"/>
    <w:rPr>
      <w:sz w:val="20"/>
      <w:szCs w:val="20"/>
    </w:rPr>
  </w:style>
  <w:style w:type="paragraph" w:customStyle="1" w:styleId="26">
    <w:name w:val="Заголовок2"/>
    <w:aliases w:val="3,Заголовок5"/>
    <w:link w:val="27"/>
    <w:qFormat/>
    <w:rsid w:val="00AE19E2"/>
    <w:pPr>
      <w:spacing w:before="240" w:after="480"/>
      <w:outlineLvl w:val="1"/>
    </w:pPr>
    <w:rPr>
      <w:rFonts w:ascii="Arial" w:hAnsi="Arial" w:cs="Times New Roman"/>
      <w:b/>
      <w:smallCaps/>
      <w:color w:val="0064A0"/>
      <w:sz w:val="44"/>
      <w:szCs w:val="48"/>
      <w:lang w:eastAsia="ar-SA"/>
    </w:rPr>
  </w:style>
  <w:style w:type="character" w:customStyle="1" w:styleId="27">
    <w:name w:val="Заголовок2 Знак"/>
    <w:link w:val="26"/>
    <w:locked/>
    <w:rsid w:val="00AE19E2"/>
    <w:rPr>
      <w:rFonts w:ascii="Arial" w:hAnsi="Arial"/>
      <w:b/>
      <w:smallCaps/>
      <w:color w:val="0064A0"/>
      <w:sz w:val="48"/>
      <w:lang w:val="x-none" w:eastAsia="ar-SA" w:bidi="ar-SA"/>
    </w:rPr>
  </w:style>
  <w:style w:type="paragraph" w:customStyle="1" w:styleId="28">
    <w:name w:val="Обычный2"/>
    <w:basedOn w:val="a1"/>
    <w:uiPriority w:val="99"/>
    <w:rsid w:val="00AE19E2"/>
    <w:pPr>
      <w:suppressAutoHyphens/>
      <w:spacing w:after="0" w:line="240" w:lineRule="auto"/>
    </w:pPr>
    <w:rPr>
      <w:rFonts w:ascii="Times New Roman" w:hAnsi="Times New Roman"/>
      <w:sz w:val="24"/>
      <w:szCs w:val="24"/>
    </w:rPr>
  </w:style>
  <w:style w:type="paragraph" w:customStyle="1" w:styleId="101">
    <w:name w:val="Таблица ШАПКА 10"/>
    <w:basedOn w:val="afff4"/>
    <w:next w:val="100"/>
    <w:uiPriority w:val="99"/>
    <w:qFormat/>
    <w:rsid w:val="00AE19E2"/>
    <w:rPr>
      <w:sz w:val="20"/>
    </w:rPr>
  </w:style>
  <w:style w:type="paragraph" w:customStyle="1" w:styleId="102">
    <w:name w:val="Таблица Числа 10"/>
    <w:basedOn w:val="afffc"/>
    <w:uiPriority w:val="99"/>
    <w:qFormat/>
    <w:rsid w:val="00AE19E2"/>
    <w:rPr>
      <w:sz w:val="20"/>
    </w:rPr>
  </w:style>
  <w:style w:type="paragraph" w:customStyle="1" w:styleId="xl65">
    <w:name w:val="xl65"/>
    <w:basedOn w:val="a1"/>
    <w:rsid w:val="00AE19E2"/>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textAlignment w:val="top"/>
    </w:pPr>
    <w:rPr>
      <w:rFonts w:ascii="Arial Narrow" w:hAnsi="Arial Narrow"/>
      <w:sz w:val="20"/>
      <w:szCs w:val="20"/>
    </w:rPr>
  </w:style>
  <w:style w:type="paragraph" w:customStyle="1" w:styleId="xl66">
    <w:name w:val="xl66"/>
    <w:basedOn w:val="a1"/>
    <w:rsid w:val="00AE19E2"/>
    <w:pPr>
      <w:suppressAutoHyphens/>
      <w:spacing w:before="100" w:beforeAutospacing="1" w:after="100" w:afterAutospacing="1" w:line="240" w:lineRule="auto"/>
      <w:textAlignment w:val="top"/>
    </w:pPr>
    <w:rPr>
      <w:rFonts w:ascii="Arial Narrow" w:hAnsi="Arial Narrow"/>
      <w:sz w:val="20"/>
      <w:szCs w:val="20"/>
    </w:rPr>
  </w:style>
  <w:style w:type="paragraph" w:customStyle="1" w:styleId="xl67">
    <w:name w:val="xl67"/>
    <w:basedOn w:val="a1"/>
    <w:rsid w:val="00AE19E2"/>
    <w:pPr>
      <w:suppressAutoHyphens/>
      <w:spacing w:before="100" w:beforeAutospacing="1" w:after="100" w:afterAutospacing="1" w:line="240" w:lineRule="auto"/>
      <w:textAlignment w:val="top"/>
    </w:pPr>
    <w:rPr>
      <w:rFonts w:ascii="Arial Narrow" w:hAnsi="Arial Narrow"/>
      <w:sz w:val="20"/>
      <w:szCs w:val="20"/>
    </w:rPr>
  </w:style>
  <w:style w:type="paragraph" w:customStyle="1" w:styleId="xl68">
    <w:name w:val="xl68"/>
    <w:basedOn w:val="a1"/>
    <w:rsid w:val="00AE19E2"/>
    <w:pPr>
      <w:pBdr>
        <w:top w:val="single" w:sz="4" w:space="0" w:color="auto"/>
        <w:left w:val="single" w:sz="4" w:space="0" w:color="auto"/>
        <w:bottom w:val="single" w:sz="4" w:space="0" w:color="auto"/>
        <w:right w:val="single" w:sz="4" w:space="0" w:color="auto"/>
      </w:pBdr>
      <w:shd w:val="clear" w:color="000000" w:fill="4472C4"/>
      <w:suppressAutoHyphens/>
      <w:spacing w:before="100" w:beforeAutospacing="1" w:after="100" w:afterAutospacing="1" w:line="240" w:lineRule="auto"/>
      <w:jc w:val="center"/>
      <w:textAlignment w:val="center"/>
    </w:pPr>
    <w:rPr>
      <w:rFonts w:ascii="Arial Narrow" w:hAnsi="Arial Narrow"/>
      <w:b/>
      <w:bCs/>
      <w:color w:val="FFFFFF"/>
      <w:sz w:val="20"/>
      <w:szCs w:val="20"/>
    </w:rPr>
  </w:style>
  <w:style w:type="paragraph" w:customStyle="1" w:styleId="xl69">
    <w:name w:val="xl69"/>
    <w:basedOn w:val="a1"/>
    <w:rsid w:val="00AE19E2"/>
    <w:pPr>
      <w:pBdr>
        <w:top w:val="single" w:sz="4" w:space="0" w:color="auto"/>
        <w:left w:val="single" w:sz="4" w:space="0" w:color="auto"/>
        <w:bottom w:val="single" w:sz="4" w:space="0" w:color="auto"/>
        <w:right w:val="single" w:sz="4" w:space="0" w:color="auto"/>
      </w:pBdr>
      <w:shd w:val="clear" w:color="000000" w:fill="4472C4"/>
      <w:suppressAutoHyphens/>
      <w:spacing w:before="100" w:beforeAutospacing="1" w:after="100" w:afterAutospacing="1" w:line="240" w:lineRule="auto"/>
      <w:jc w:val="center"/>
      <w:textAlignment w:val="center"/>
    </w:pPr>
    <w:rPr>
      <w:rFonts w:ascii="Arial Narrow" w:hAnsi="Arial Narrow"/>
      <w:b/>
      <w:bCs/>
      <w:color w:val="FFFFFF"/>
      <w:sz w:val="20"/>
      <w:szCs w:val="20"/>
    </w:rPr>
  </w:style>
  <w:style w:type="paragraph" w:customStyle="1" w:styleId="xl70">
    <w:name w:val="xl70"/>
    <w:basedOn w:val="a1"/>
    <w:rsid w:val="00AE19E2"/>
    <w:pPr>
      <w:pBdr>
        <w:top w:val="single" w:sz="4" w:space="0" w:color="auto"/>
        <w:left w:val="single" w:sz="4" w:space="0" w:color="auto"/>
        <w:bottom w:val="single" w:sz="4" w:space="0" w:color="auto"/>
        <w:right w:val="single" w:sz="4" w:space="0" w:color="auto"/>
      </w:pBdr>
      <w:shd w:val="clear" w:color="000000" w:fill="DDEBF7"/>
      <w:suppressAutoHyphens/>
      <w:spacing w:before="100" w:beforeAutospacing="1" w:after="100" w:afterAutospacing="1" w:line="240" w:lineRule="auto"/>
      <w:textAlignment w:val="top"/>
    </w:pPr>
    <w:rPr>
      <w:rFonts w:ascii="Arial Narrow" w:hAnsi="Arial Narrow"/>
      <w:b/>
      <w:bCs/>
      <w:sz w:val="20"/>
      <w:szCs w:val="20"/>
    </w:rPr>
  </w:style>
  <w:style w:type="paragraph" w:customStyle="1" w:styleId="xl71">
    <w:name w:val="xl71"/>
    <w:basedOn w:val="a1"/>
    <w:rsid w:val="00AE19E2"/>
    <w:pPr>
      <w:pBdr>
        <w:top w:val="single" w:sz="4" w:space="0" w:color="auto"/>
        <w:left w:val="single" w:sz="4" w:space="0" w:color="auto"/>
        <w:bottom w:val="single" w:sz="4" w:space="0" w:color="auto"/>
        <w:right w:val="single" w:sz="4" w:space="0" w:color="auto"/>
      </w:pBdr>
      <w:shd w:val="clear" w:color="000000" w:fill="DDEBF7"/>
      <w:suppressAutoHyphens/>
      <w:spacing w:before="100" w:beforeAutospacing="1" w:after="100" w:afterAutospacing="1" w:line="240" w:lineRule="auto"/>
      <w:textAlignment w:val="top"/>
    </w:pPr>
    <w:rPr>
      <w:rFonts w:ascii="Arial Narrow" w:hAnsi="Arial Narrow"/>
      <w:b/>
      <w:bCs/>
      <w:sz w:val="20"/>
      <w:szCs w:val="20"/>
    </w:rPr>
  </w:style>
  <w:style w:type="paragraph" w:customStyle="1" w:styleId="Default">
    <w:name w:val="Default"/>
    <w:rsid w:val="00AE19E2"/>
    <w:pPr>
      <w:autoSpaceDE w:val="0"/>
      <w:autoSpaceDN w:val="0"/>
      <w:adjustRightInd w:val="0"/>
    </w:pPr>
    <w:rPr>
      <w:rFonts w:ascii="Times New Roman" w:hAnsi="Times New Roman" w:cs="Times New Roman"/>
      <w:color w:val="000000"/>
      <w:sz w:val="24"/>
      <w:szCs w:val="24"/>
    </w:rPr>
  </w:style>
  <w:style w:type="paragraph" w:customStyle="1" w:styleId="xl63">
    <w:name w:val="xl63"/>
    <w:basedOn w:val="a1"/>
    <w:rsid w:val="00AE19E2"/>
    <w:pPr>
      <w:suppressAutoHyphens/>
      <w:spacing w:before="100" w:beforeAutospacing="1" w:after="100" w:afterAutospacing="1" w:line="240" w:lineRule="auto"/>
      <w:textAlignment w:val="center"/>
    </w:pPr>
    <w:rPr>
      <w:rFonts w:ascii="Times New Roman" w:hAnsi="Times New Roman"/>
      <w:sz w:val="24"/>
      <w:szCs w:val="24"/>
    </w:rPr>
  </w:style>
  <w:style w:type="paragraph" w:customStyle="1" w:styleId="xl64">
    <w:name w:val="xl64"/>
    <w:basedOn w:val="a1"/>
    <w:rsid w:val="00AE19E2"/>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textAlignment w:val="center"/>
    </w:pPr>
    <w:rPr>
      <w:rFonts w:ascii="Times New Roman" w:hAnsi="Times New Roman"/>
      <w:b/>
      <w:bCs/>
      <w:sz w:val="28"/>
      <w:szCs w:val="28"/>
    </w:rPr>
  </w:style>
  <w:style w:type="paragraph" w:customStyle="1" w:styleId="xl73">
    <w:name w:val="xl73"/>
    <w:basedOn w:val="a1"/>
    <w:rsid w:val="00AE19E2"/>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line="240" w:lineRule="auto"/>
      <w:jc w:val="center"/>
      <w:textAlignment w:val="center"/>
    </w:pPr>
    <w:rPr>
      <w:rFonts w:ascii="Times New Roman" w:hAnsi="Times New Roman"/>
      <w:color w:val="000000"/>
      <w:sz w:val="24"/>
      <w:szCs w:val="24"/>
    </w:rPr>
  </w:style>
  <w:style w:type="paragraph" w:customStyle="1" w:styleId="xl74">
    <w:name w:val="xl74"/>
    <w:basedOn w:val="a1"/>
    <w:rsid w:val="00AE19E2"/>
    <w:pPr>
      <w:suppressAutoHyphens/>
      <w:spacing w:before="100" w:beforeAutospacing="1" w:after="100" w:afterAutospacing="1" w:line="240" w:lineRule="auto"/>
    </w:pPr>
    <w:rPr>
      <w:rFonts w:ascii="Times New Roman" w:hAnsi="Times New Roman"/>
      <w:sz w:val="24"/>
      <w:szCs w:val="24"/>
    </w:rPr>
  </w:style>
  <w:style w:type="paragraph" w:customStyle="1" w:styleId="xl75">
    <w:name w:val="xl75"/>
    <w:basedOn w:val="a1"/>
    <w:rsid w:val="00AE19E2"/>
    <w:pPr>
      <w:suppressAutoHyphens/>
      <w:spacing w:before="100" w:beforeAutospacing="1" w:after="100" w:afterAutospacing="1" w:line="240" w:lineRule="auto"/>
    </w:pPr>
    <w:rPr>
      <w:rFonts w:ascii="Times New Roman" w:hAnsi="Times New Roman"/>
      <w:sz w:val="24"/>
      <w:szCs w:val="24"/>
    </w:rPr>
  </w:style>
  <w:style w:type="paragraph" w:customStyle="1" w:styleId="xl76">
    <w:name w:val="xl76"/>
    <w:basedOn w:val="a1"/>
    <w:rsid w:val="00AE19E2"/>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line="240" w:lineRule="auto"/>
      <w:jc w:val="center"/>
      <w:textAlignment w:val="center"/>
    </w:pPr>
    <w:rPr>
      <w:rFonts w:ascii="Times New Roman" w:hAnsi="Times New Roman"/>
      <w:color w:val="000000"/>
      <w:sz w:val="24"/>
      <w:szCs w:val="24"/>
    </w:rPr>
  </w:style>
  <w:style w:type="paragraph" w:customStyle="1" w:styleId="xl77">
    <w:name w:val="xl77"/>
    <w:basedOn w:val="a1"/>
    <w:rsid w:val="00AE19E2"/>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line="240" w:lineRule="auto"/>
      <w:jc w:val="center"/>
      <w:textAlignment w:val="center"/>
    </w:pPr>
    <w:rPr>
      <w:rFonts w:ascii="Times New Roman" w:hAnsi="Times New Roman"/>
      <w:b/>
      <w:bCs/>
      <w:color w:val="000000"/>
      <w:sz w:val="24"/>
      <w:szCs w:val="24"/>
    </w:rPr>
  </w:style>
  <w:style w:type="paragraph" w:customStyle="1" w:styleId="xl78">
    <w:name w:val="xl78"/>
    <w:basedOn w:val="a1"/>
    <w:rsid w:val="00AE19E2"/>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jc w:val="center"/>
      <w:textAlignment w:val="center"/>
    </w:pPr>
    <w:rPr>
      <w:rFonts w:ascii="Times New Roman" w:hAnsi="Times New Roman"/>
      <w:b/>
      <w:bCs/>
      <w:color w:val="000000"/>
      <w:sz w:val="24"/>
      <w:szCs w:val="24"/>
    </w:rPr>
  </w:style>
  <w:style w:type="paragraph" w:customStyle="1" w:styleId="xl79">
    <w:name w:val="xl79"/>
    <w:basedOn w:val="a1"/>
    <w:rsid w:val="00AE19E2"/>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80">
    <w:name w:val="xl80"/>
    <w:basedOn w:val="a1"/>
    <w:rsid w:val="00AE19E2"/>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81">
    <w:name w:val="xl81"/>
    <w:basedOn w:val="a1"/>
    <w:rsid w:val="00AE19E2"/>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textAlignment w:val="center"/>
    </w:pPr>
    <w:rPr>
      <w:rFonts w:ascii="Times New Roman" w:hAnsi="Times New Roman"/>
      <w:sz w:val="24"/>
      <w:szCs w:val="24"/>
    </w:rPr>
  </w:style>
  <w:style w:type="paragraph" w:customStyle="1" w:styleId="xl82">
    <w:name w:val="xl82"/>
    <w:basedOn w:val="a1"/>
    <w:rsid w:val="00AE19E2"/>
    <w:pPr>
      <w:suppressAutoHyphens/>
      <w:spacing w:before="100" w:beforeAutospacing="1" w:after="100" w:afterAutospacing="1" w:line="240" w:lineRule="auto"/>
      <w:textAlignment w:val="center"/>
    </w:pPr>
    <w:rPr>
      <w:rFonts w:ascii="Times New Roman" w:hAnsi="Times New Roman"/>
      <w:sz w:val="24"/>
      <w:szCs w:val="24"/>
    </w:rPr>
  </w:style>
  <w:style w:type="paragraph" w:customStyle="1" w:styleId="xl83">
    <w:name w:val="xl83"/>
    <w:basedOn w:val="a1"/>
    <w:rsid w:val="00AE19E2"/>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jc w:val="center"/>
      <w:textAlignment w:val="center"/>
    </w:pPr>
    <w:rPr>
      <w:rFonts w:ascii="Times New Roman" w:hAnsi="Times New Roman"/>
      <w:color w:val="000000"/>
      <w:sz w:val="24"/>
      <w:szCs w:val="24"/>
    </w:rPr>
  </w:style>
  <w:style w:type="paragraph" w:customStyle="1" w:styleId="xl84">
    <w:name w:val="xl84"/>
    <w:basedOn w:val="a1"/>
    <w:rsid w:val="00AE19E2"/>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line="240" w:lineRule="auto"/>
      <w:jc w:val="center"/>
      <w:textAlignment w:val="center"/>
    </w:pPr>
    <w:rPr>
      <w:rFonts w:ascii="Times New Roman" w:hAnsi="Times New Roman"/>
      <w:color w:val="000000"/>
      <w:sz w:val="24"/>
      <w:szCs w:val="24"/>
    </w:rPr>
  </w:style>
  <w:style w:type="paragraph" w:customStyle="1" w:styleId="xl85">
    <w:name w:val="xl85"/>
    <w:basedOn w:val="a1"/>
    <w:rsid w:val="00AE19E2"/>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line="240" w:lineRule="auto"/>
      <w:textAlignment w:val="center"/>
    </w:pPr>
    <w:rPr>
      <w:rFonts w:ascii="Times New Roman" w:hAnsi="Times New Roman"/>
      <w:color w:val="000000"/>
      <w:sz w:val="24"/>
      <w:szCs w:val="24"/>
    </w:rPr>
  </w:style>
  <w:style w:type="paragraph" w:customStyle="1" w:styleId="xl86">
    <w:name w:val="xl86"/>
    <w:basedOn w:val="a1"/>
    <w:rsid w:val="00AE19E2"/>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textAlignment w:val="center"/>
    </w:pPr>
    <w:rPr>
      <w:rFonts w:ascii="Times New Roman" w:hAnsi="Times New Roman"/>
      <w:b/>
      <w:bCs/>
      <w:sz w:val="24"/>
      <w:szCs w:val="24"/>
    </w:rPr>
  </w:style>
  <w:style w:type="paragraph" w:customStyle="1" w:styleId="xl87">
    <w:name w:val="xl87"/>
    <w:basedOn w:val="a1"/>
    <w:rsid w:val="00AE19E2"/>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jc w:val="center"/>
      <w:textAlignment w:val="center"/>
    </w:pPr>
    <w:rPr>
      <w:rFonts w:ascii="Times New Roman" w:hAnsi="Times New Roman"/>
      <w:color w:val="000000"/>
      <w:sz w:val="24"/>
      <w:szCs w:val="24"/>
    </w:rPr>
  </w:style>
  <w:style w:type="paragraph" w:customStyle="1" w:styleId="xl88">
    <w:name w:val="xl88"/>
    <w:basedOn w:val="a1"/>
    <w:rsid w:val="00AE19E2"/>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textAlignment w:val="center"/>
    </w:pPr>
    <w:rPr>
      <w:rFonts w:ascii="Times New Roman" w:hAnsi="Times New Roman"/>
      <w:color w:val="000000"/>
      <w:sz w:val="24"/>
      <w:szCs w:val="24"/>
    </w:rPr>
  </w:style>
  <w:style w:type="paragraph" w:customStyle="1" w:styleId="xl89">
    <w:name w:val="xl89"/>
    <w:basedOn w:val="a1"/>
    <w:rsid w:val="00AE19E2"/>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textAlignment w:val="center"/>
    </w:pPr>
    <w:rPr>
      <w:rFonts w:ascii="Times New Roman" w:hAnsi="Times New Roman"/>
      <w:sz w:val="24"/>
      <w:szCs w:val="24"/>
    </w:rPr>
  </w:style>
  <w:style w:type="paragraph" w:customStyle="1" w:styleId="xl90">
    <w:name w:val="xl90"/>
    <w:basedOn w:val="a1"/>
    <w:rsid w:val="00AE19E2"/>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line="240" w:lineRule="auto"/>
      <w:textAlignment w:val="center"/>
    </w:pPr>
    <w:rPr>
      <w:rFonts w:ascii="Times New Roman" w:hAnsi="Times New Roman"/>
      <w:color w:val="000000"/>
      <w:sz w:val="24"/>
      <w:szCs w:val="24"/>
    </w:rPr>
  </w:style>
  <w:style w:type="paragraph" w:customStyle="1" w:styleId="xl91">
    <w:name w:val="xl91"/>
    <w:basedOn w:val="a1"/>
    <w:rsid w:val="00AE19E2"/>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jc w:val="center"/>
      <w:textAlignment w:val="center"/>
    </w:pPr>
    <w:rPr>
      <w:rFonts w:ascii="Times New Roman" w:hAnsi="Times New Roman"/>
      <w:b/>
      <w:bCs/>
      <w:color w:val="000000"/>
      <w:sz w:val="24"/>
      <w:szCs w:val="24"/>
    </w:rPr>
  </w:style>
  <w:style w:type="paragraph" w:customStyle="1" w:styleId="xl92">
    <w:name w:val="xl92"/>
    <w:basedOn w:val="a1"/>
    <w:rsid w:val="00AE19E2"/>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jc w:val="center"/>
      <w:textAlignment w:val="center"/>
    </w:pPr>
    <w:rPr>
      <w:rFonts w:ascii="Times New Roman" w:hAnsi="Times New Roman"/>
      <w:b/>
      <w:bCs/>
      <w:sz w:val="24"/>
      <w:szCs w:val="24"/>
    </w:rPr>
  </w:style>
  <w:style w:type="table" w:customStyle="1" w:styleId="1111">
    <w:name w:val="Сетка таблицы111"/>
    <w:basedOn w:val="a3"/>
    <w:next w:val="afc"/>
    <w:uiPriority w:val="59"/>
    <w:rsid w:val="00AE19E2"/>
    <w:pPr>
      <w:ind w:firstLine="709"/>
      <w:jc w:val="both"/>
    </w:pPr>
    <w:rPr>
      <w:rFonts w:ascii="Times New Roman" w:hAnsi="Times New Roman" w:cs="Times New Roman"/>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3"/>
    <w:next w:val="afc"/>
    <w:uiPriority w:val="59"/>
    <w:rsid w:val="00AE19E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72">
    <w:name w:val="xl72"/>
    <w:basedOn w:val="a1"/>
    <w:rsid w:val="00AE19E2"/>
    <w:pPr>
      <w:suppressAutoHyphens/>
      <w:spacing w:before="100" w:beforeAutospacing="1" w:after="100" w:afterAutospacing="1" w:line="240" w:lineRule="auto"/>
      <w:textAlignment w:val="top"/>
    </w:pPr>
    <w:rPr>
      <w:rFonts w:ascii="Times New Roman" w:hAnsi="Times New Roman"/>
      <w:sz w:val="24"/>
      <w:szCs w:val="24"/>
    </w:rPr>
  </w:style>
  <w:style w:type="character" w:customStyle="1" w:styleId="115">
    <w:name w:val="Заголовок 1 Знак1"/>
    <w:uiPriority w:val="9"/>
    <w:rsid w:val="00AE19E2"/>
    <w:rPr>
      <w:rFonts w:ascii="Calibri Light" w:hAnsi="Calibri Light"/>
      <w:color w:val="2F5496"/>
      <w:sz w:val="32"/>
    </w:rPr>
  </w:style>
  <w:style w:type="character" w:customStyle="1" w:styleId="1e">
    <w:name w:val="Тема примечания Знак1"/>
    <w:uiPriority w:val="99"/>
    <w:semiHidden/>
    <w:rsid w:val="00AE19E2"/>
    <w:rPr>
      <w:rFonts w:ascii="Times New Roman" w:hAnsi="Times New Roman"/>
      <w:b/>
      <w:sz w:val="27"/>
      <w:lang w:val="x-none" w:eastAsia="ru-RU"/>
    </w:rPr>
  </w:style>
  <w:style w:type="paragraph" w:customStyle="1" w:styleId="29">
    <w:name w:val="Шапка2"/>
    <w:basedOn w:val="a1"/>
    <w:next w:val="afff8"/>
    <w:link w:val="1f"/>
    <w:uiPriority w:val="99"/>
    <w:semiHidden/>
    <w:unhideWhenUsed/>
    <w:rsid w:val="00AE19E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libri Light" w:hAnsi="Calibri Light"/>
      <w:sz w:val="24"/>
      <w:szCs w:val="24"/>
    </w:rPr>
  </w:style>
  <w:style w:type="character" w:customStyle="1" w:styleId="1f">
    <w:name w:val="Шапка Знак1"/>
    <w:link w:val="29"/>
    <w:uiPriority w:val="99"/>
    <w:semiHidden/>
    <w:locked/>
    <w:rsid w:val="00AE19E2"/>
    <w:rPr>
      <w:rFonts w:ascii="Calibri Light" w:hAnsi="Calibri Light"/>
      <w:sz w:val="24"/>
      <w:shd w:val="pct20" w:color="auto" w:fill="auto"/>
    </w:rPr>
  </w:style>
  <w:style w:type="paragraph" w:customStyle="1" w:styleId="33">
    <w:name w:val="Шапка3"/>
    <w:basedOn w:val="a1"/>
    <w:next w:val="afff8"/>
    <w:link w:val="2a"/>
    <w:uiPriority w:val="99"/>
    <w:semiHidden/>
    <w:unhideWhenUsed/>
    <w:rsid w:val="00AE19E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sz w:val="24"/>
      <w:szCs w:val="24"/>
    </w:rPr>
  </w:style>
  <w:style w:type="character" w:customStyle="1" w:styleId="2a">
    <w:name w:val="Шапка Знак2"/>
    <w:link w:val="33"/>
    <w:uiPriority w:val="99"/>
    <w:semiHidden/>
    <w:locked/>
    <w:rsid w:val="00AE19E2"/>
    <w:rPr>
      <w:rFonts w:ascii="Calibri" w:hAnsi="Calibri"/>
      <w:sz w:val="24"/>
      <w:shd w:val="pct20" w:color="auto" w:fill="auto"/>
    </w:rPr>
  </w:style>
  <w:style w:type="table" w:styleId="afc">
    <w:name w:val="Table Grid"/>
    <w:basedOn w:val="a3"/>
    <w:uiPriority w:val="39"/>
    <w:rsid w:val="00AE19E2"/>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List Paragraph"/>
    <w:aliases w:val="ПАРАГРАФ,Абзац списка2,Абзац списка основной,Абзац списка new,ЗГ 1.1"/>
    <w:basedOn w:val="a1"/>
    <w:uiPriority w:val="34"/>
    <w:qFormat/>
    <w:rsid w:val="00AE19E2"/>
    <w:pPr>
      <w:ind w:left="708"/>
    </w:pPr>
  </w:style>
  <w:style w:type="paragraph" w:styleId="aff0">
    <w:name w:val="footnote text"/>
    <w:aliases w:val="Сноска ТЕКСТ,single space,footnote text,Текст сноски-FN,Footnote text,Schriftart: 9 pt,Schriftart: 10 pt,Schriftart: 8 pt,Podrozdział,Footnote,o,Footnote Text Char Знак Знак,Footnote Text Char Знак,Table_Footnote_last,Oaeno niinee-FN,f"/>
    <w:basedOn w:val="a1"/>
    <w:link w:val="1f0"/>
    <w:uiPriority w:val="99"/>
    <w:unhideWhenUsed/>
    <w:qFormat/>
    <w:rsid w:val="00AE19E2"/>
    <w:rPr>
      <w:sz w:val="20"/>
      <w:szCs w:val="20"/>
    </w:rPr>
  </w:style>
  <w:style w:type="character" w:customStyle="1" w:styleId="1f0">
    <w:name w:val="Текст сноски Знак1"/>
    <w:aliases w:val="Сноска ТЕКСТ Знак1,single space Знак1,footnote text Знак1,Текст сноски-FN Знак1,Footnote text Знак1,Schriftart: 9 pt Знак1,Schriftart: 10 pt Знак1,Schriftart: 8 pt Знак1,Podrozdział Знак1,Footnote Знак1,o Знак1,Oaeno niinee-FN Знак"/>
    <w:basedOn w:val="a2"/>
    <w:link w:val="aff0"/>
    <w:uiPriority w:val="99"/>
    <w:semiHidden/>
    <w:locked/>
    <w:rsid w:val="00AE19E2"/>
    <w:rPr>
      <w:rFonts w:cs="Times New Roman"/>
      <w:sz w:val="20"/>
    </w:rPr>
  </w:style>
  <w:style w:type="character" w:styleId="afffd">
    <w:name w:val="Hyperlink"/>
    <w:basedOn w:val="a2"/>
    <w:uiPriority w:val="99"/>
    <w:unhideWhenUsed/>
    <w:rsid w:val="00AE19E2"/>
    <w:rPr>
      <w:rFonts w:cs="Times New Roman"/>
      <w:color w:val="0563C1"/>
      <w:u w:val="single"/>
    </w:rPr>
  </w:style>
  <w:style w:type="paragraph" w:styleId="affc">
    <w:name w:val="caption"/>
    <w:aliases w:val="CaptionPic"/>
    <w:basedOn w:val="a1"/>
    <w:next w:val="a1"/>
    <w:link w:val="affb"/>
    <w:uiPriority w:val="35"/>
    <w:unhideWhenUsed/>
    <w:qFormat/>
    <w:rsid w:val="00AE19E2"/>
    <w:rPr>
      <w:b/>
      <w:bCs/>
      <w:color w:val="4F81BD"/>
      <w:sz w:val="18"/>
      <w:szCs w:val="18"/>
    </w:rPr>
  </w:style>
  <w:style w:type="paragraph" w:styleId="afff8">
    <w:name w:val="Message Header"/>
    <w:basedOn w:val="a1"/>
    <w:link w:val="34"/>
    <w:uiPriority w:val="99"/>
    <w:semiHidden/>
    <w:unhideWhenUsed/>
    <w:rsid w:val="00AE19E2"/>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34">
    <w:name w:val="Шапка Знак3"/>
    <w:basedOn w:val="a2"/>
    <w:link w:val="afff8"/>
    <w:uiPriority w:val="99"/>
    <w:semiHidden/>
    <w:locked/>
    <w:rsid w:val="00AE19E2"/>
    <w:rPr>
      <w:rFonts w:ascii="Calibri Light" w:hAnsi="Calibri Light" w:cs="Times New Roman"/>
      <w:sz w:val="24"/>
      <w:shd w:val="pct20" w:color="auto" w:fill="auto"/>
    </w:rPr>
  </w:style>
  <w:style w:type="numbering" w:customStyle="1" w:styleId="a">
    <w:name w:val="Многоуровненвй нумерованый список"/>
    <w:pPr>
      <w:numPr>
        <w:numId w:val="4"/>
      </w:numPr>
    </w:pPr>
  </w:style>
  <w:style w:type="table" w:customStyle="1" w:styleId="TableGridLight1">
    <w:name w:val="Table Grid Light1"/>
    <w:basedOn w:val="a3"/>
    <w:uiPriority w:val="59"/>
    <w:rsid w:val="00B1416C"/>
    <w:rPr>
      <w:rFonts w:ascii="Arial" w:eastAsia="Arial" w:hAnsi="Arial" w:cs="Arial"/>
      <w:sz w:val="22"/>
      <w:szCs w:val="22"/>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12">
    <w:name w:val="Таблица простая 111"/>
    <w:basedOn w:val="a3"/>
    <w:uiPriority w:val="59"/>
    <w:rsid w:val="00B1416C"/>
    <w:rPr>
      <w:rFonts w:ascii="Arial" w:eastAsia="Arial" w:hAnsi="Arial" w:cs="Arial"/>
      <w:sz w:val="22"/>
      <w:szCs w:val="22"/>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auto"/>
      </w:tcPr>
    </w:tblStylePr>
    <w:tblStylePr w:type="band1Horz">
      <w:tblPr/>
      <w:tcPr>
        <w:shd w:val="clear" w:color="F2F2F2" w:fill="auto"/>
      </w:tcPr>
    </w:tblStylePr>
  </w:style>
  <w:style w:type="table" w:customStyle="1" w:styleId="2110">
    <w:name w:val="Таблица простая 211"/>
    <w:basedOn w:val="a3"/>
    <w:uiPriority w:val="59"/>
    <w:rsid w:val="00B1416C"/>
    <w:rPr>
      <w:rFonts w:ascii="Arial" w:eastAsia="Arial" w:hAnsi="Arial" w:cs="Arial"/>
      <w:sz w:val="22"/>
      <w:szCs w:val="22"/>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1">
    <w:name w:val="Таблица простая 311"/>
    <w:basedOn w:val="a3"/>
    <w:uiPriority w:val="99"/>
    <w:rsid w:val="00B1416C"/>
    <w:rPr>
      <w:rFonts w:ascii="Arial" w:eastAsia="Arial" w:hAnsi="Arial" w:cs="Arial"/>
      <w:sz w:val="22"/>
      <w:szCs w:val="22"/>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auto"/>
      </w:tcPr>
    </w:tblStylePr>
    <w:tblStylePr w:type="band1Horz">
      <w:rPr>
        <w:rFonts w:ascii="Arial" w:hAnsi="Arial"/>
        <w:color w:val="404040"/>
        <w:sz w:val="22"/>
      </w:rPr>
      <w:tblPr/>
      <w:tcPr>
        <w:shd w:val="clear" w:color="F2F2F2" w:fill="auto"/>
      </w:tcPr>
    </w:tblStylePr>
  </w:style>
  <w:style w:type="table" w:customStyle="1" w:styleId="411">
    <w:name w:val="Таблица простая 411"/>
    <w:basedOn w:val="a3"/>
    <w:uiPriority w:val="99"/>
    <w:rsid w:val="00B1416C"/>
    <w:rPr>
      <w:rFonts w:ascii="Arial" w:eastAsia="Arial" w:hAnsi="Arial" w:cs="Arial"/>
      <w:sz w:val="22"/>
      <w:szCs w:val="22"/>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auto"/>
      </w:tcPr>
    </w:tblStylePr>
    <w:tblStylePr w:type="band1Horz">
      <w:rPr>
        <w:rFonts w:ascii="Arial" w:hAnsi="Arial"/>
        <w:color w:val="404040"/>
        <w:sz w:val="22"/>
      </w:rPr>
      <w:tblPr/>
      <w:tcPr>
        <w:shd w:val="clear" w:color="F2F2F2" w:fill="auto"/>
      </w:tcPr>
    </w:tblStylePr>
  </w:style>
  <w:style w:type="table" w:customStyle="1" w:styleId="5110">
    <w:name w:val="Таблица простая 511"/>
    <w:basedOn w:val="a3"/>
    <w:uiPriority w:val="99"/>
    <w:rsid w:val="00B1416C"/>
    <w:rPr>
      <w:rFonts w:ascii="Arial" w:eastAsia="Arial" w:hAnsi="Arial" w:cs="Arial"/>
      <w:sz w:val="22"/>
      <w:szCs w:val="22"/>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auto"/>
      </w:tcPr>
    </w:tblStylePr>
    <w:tblStylePr w:type="band1Horz">
      <w:rPr>
        <w:rFonts w:ascii="Arial" w:hAnsi="Arial"/>
        <w:color w:val="404040"/>
        <w:sz w:val="22"/>
      </w:rPr>
      <w:tblPr/>
      <w:tcPr>
        <w:shd w:val="clear" w:color="F2F2F2" w:fill="auto"/>
      </w:tcPr>
    </w:tblStylePr>
  </w:style>
  <w:style w:type="table" w:customStyle="1" w:styleId="-111">
    <w:name w:val="Таблица-сетка 1 светлая11"/>
    <w:basedOn w:val="a3"/>
    <w:uiPriority w:val="99"/>
    <w:rsid w:val="00B1416C"/>
    <w:rPr>
      <w:rFonts w:ascii="Arial" w:eastAsia="Arial" w:hAnsi="Arial" w:cs="Arial"/>
      <w:sz w:val="22"/>
      <w:szCs w:val="22"/>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
    <w:name w:val="Grid Table 1 Light - Accent 11"/>
    <w:basedOn w:val="a3"/>
    <w:uiPriority w:val="99"/>
    <w:rsid w:val="00B1416C"/>
    <w:rPr>
      <w:rFonts w:ascii="Arial" w:eastAsia="Arial" w:hAnsi="Arial" w:cs="Arial"/>
      <w:sz w:val="22"/>
      <w:szCs w:val="22"/>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
    <w:name w:val="Grid Table 1 Light - Accent 21"/>
    <w:basedOn w:val="a3"/>
    <w:uiPriority w:val="99"/>
    <w:rsid w:val="00B1416C"/>
    <w:rPr>
      <w:rFonts w:ascii="Arial" w:eastAsia="Arial" w:hAnsi="Arial" w:cs="Arial"/>
      <w:sz w:val="22"/>
      <w:szCs w:val="22"/>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
    <w:name w:val="Grid Table 1 Light - Accent 31"/>
    <w:basedOn w:val="a3"/>
    <w:uiPriority w:val="99"/>
    <w:rsid w:val="00B1416C"/>
    <w:rPr>
      <w:rFonts w:ascii="Arial" w:eastAsia="Arial" w:hAnsi="Arial" w:cs="Arial"/>
      <w:sz w:val="22"/>
      <w:szCs w:val="22"/>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
    <w:name w:val="Grid Table 1 Light - Accent 41"/>
    <w:basedOn w:val="a3"/>
    <w:uiPriority w:val="99"/>
    <w:rsid w:val="00B1416C"/>
    <w:rPr>
      <w:rFonts w:ascii="Arial" w:eastAsia="Arial" w:hAnsi="Arial" w:cs="Arial"/>
      <w:sz w:val="22"/>
      <w:szCs w:val="22"/>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
    <w:name w:val="Grid Table 1 Light - Accent 51"/>
    <w:basedOn w:val="a3"/>
    <w:uiPriority w:val="99"/>
    <w:rsid w:val="00B1416C"/>
    <w:rPr>
      <w:rFonts w:ascii="Arial" w:eastAsia="Arial" w:hAnsi="Arial" w:cs="Arial"/>
      <w:sz w:val="22"/>
      <w:szCs w:val="22"/>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
    <w:name w:val="Grid Table 1 Light - Accent 61"/>
    <w:basedOn w:val="a3"/>
    <w:uiPriority w:val="99"/>
    <w:rsid w:val="00B1416C"/>
    <w:rPr>
      <w:rFonts w:ascii="Arial" w:eastAsia="Arial" w:hAnsi="Arial" w:cs="Arial"/>
      <w:sz w:val="22"/>
      <w:szCs w:val="22"/>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
    <w:name w:val="Таблица-сетка 211"/>
    <w:basedOn w:val="a3"/>
    <w:uiPriority w:val="99"/>
    <w:rsid w:val="00B1416C"/>
    <w:rPr>
      <w:rFonts w:ascii="Arial" w:eastAsia="Arial" w:hAnsi="Arial" w:cs="Arial"/>
      <w:sz w:val="22"/>
      <w:szCs w:val="22"/>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auto"/>
      </w:tcPr>
    </w:tblStylePr>
    <w:tblStylePr w:type="band1Horz">
      <w:rPr>
        <w:rFonts w:ascii="Arial" w:hAnsi="Arial"/>
        <w:color w:val="404040"/>
        <w:sz w:val="22"/>
      </w:rPr>
      <w:tblPr/>
      <w:tcPr>
        <w:shd w:val="clear" w:color="CBCBCB" w:fill="auto"/>
      </w:tcPr>
    </w:tblStylePr>
  </w:style>
  <w:style w:type="table" w:customStyle="1" w:styleId="GridTable2-Accent11">
    <w:name w:val="Grid Table 2 - Accent 11"/>
    <w:basedOn w:val="a3"/>
    <w:uiPriority w:val="99"/>
    <w:rsid w:val="00B1416C"/>
    <w:rPr>
      <w:rFonts w:ascii="Arial" w:eastAsia="Arial" w:hAnsi="Arial" w:cs="Arial"/>
      <w:sz w:val="22"/>
      <w:szCs w:val="22"/>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auto"/>
      </w:tcPr>
    </w:tblStylePr>
    <w:tblStylePr w:type="band1Horz">
      <w:rPr>
        <w:rFonts w:ascii="Arial" w:hAnsi="Arial"/>
        <w:color w:val="404040"/>
        <w:sz w:val="22"/>
      </w:rPr>
      <w:tblPr/>
      <w:tcPr>
        <w:shd w:val="clear" w:color="DAE5F1" w:fill="auto"/>
      </w:tcPr>
    </w:tblStylePr>
  </w:style>
  <w:style w:type="table" w:customStyle="1" w:styleId="GridTable2-Accent21">
    <w:name w:val="Grid Table 2 - Accent 21"/>
    <w:basedOn w:val="a3"/>
    <w:uiPriority w:val="99"/>
    <w:rsid w:val="00B1416C"/>
    <w:rPr>
      <w:rFonts w:ascii="Arial" w:eastAsia="Arial" w:hAnsi="Arial" w:cs="Arial"/>
      <w:sz w:val="22"/>
      <w:szCs w:val="22"/>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auto"/>
      </w:tcPr>
    </w:tblStylePr>
    <w:tblStylePr w:type="band1Horz">
      <w:rPr>
        <w:rFonts w:ascii="Arial" w:hAnsi="Arial"/>
        <w:color w:val="404040"/>
        <w:sz w:val="22"/>
      </w:rPr>
      <w:tblPr/>
      <w:tcPr>
        <w:shd w:val="clear" w:color="F2DCDC" w:fill="auto"/>
      </w:tcPr>
    </w:tblStylePr>
  </w:style>
  <w:style w:type="table" w:customStyle="1" w:styleId="GridTable2-Accent31">
    <w:name w:val="Grid Table 2 - Accent 31"/>
    <w:basedOn w:val="a3"/>
    <w:uiPriority w:val="99"/>
    <w:rsid w:val="00B1416C"/>
    <w:rPr>
      <w:rFonts w:ascii="Arial" w:eastAsia="Arial" w:hAnsi="Arial" w:cs="Arial"/>
      <w:sz w:val="22"/>
      <w:szCs w:val="22"/>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auto"/>
      </w:tcPr>
    </w:tblStylePr>
    <w:tblStylePr w:type="band1Horz">
      <w:rPr>
        <w:rFonts w:ascii="Arial" w:hAnsi="Arial"/>
        <w:color w:val="404040"/>
        <w:sz w:val="22"/>
      </w:rPr>
      <w:tblPr/>
      <w:tcPr>
        <w:shd w:val="clear" w:color="EAF1DC" w:fill="auto"/>
      </w:tcPr>
    </w:tblStylePr>
  </w:style>
  <w:style w:type="table" w:customStyle="1" w:styleId="GridTable2-Accent41">
    <w:name w:val="Grid Table 2 - Accent 41"/>
    <w:basedOn w:val="a3"/>
    <w:uiPriority w:val="99"/>
    <w:rsid w:val="00B1416C"/>
    <w:rPr>
      <w:rFonts w:ascii="Arial" w:eastAsia="Arial" w:hAnsi="Arial" w:cs="Arial"/>
      <w:sz w:val="22"/>
      <w:szCs w:val="22"/>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auto"/>
      </w:tcPr>
    </w:tblStylePr>
    <w:tblStylePr w:type="band1Horz">
      <w:rPr>
        <w:rFonts w:ascii="Arial" w:hAnsi="Arial"/>
        <w:color w:val="404040"/>
        <w:sz w:val="22"/>
      </w:rPr>
      <w:tblPr/>
      <w:tcPr>
        <w:shd w:val="clear" w:color="E5DFEC" w:fill="auto"/>
      </w:tcPr>
    </w:tblStylePr>
  </w:style>
  <w:style w:type="table" w:customStyle="1" w:styleId="GridTable2-Accent51">
    <w:name w:val="Grid Table 2 - Accent 51"/>
    <w:basedOn w:val="a3"/>
    <w:uiPriority w:val="99"/>
    <w:rsid w:val="00B1416C"/>
    <w:rPr>
      <w:rFonts w:ascii="Arial" w:eastAsia="Arial" w:hAnsi="Arial" w:cs="Arial"/>
      <w:sz w:val="22"/>
      <w:szCs w:val="22"/>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auto"/>
      </w:tcPr>
    </w:tblStylePr>
    <w:tblStylePr w:type="band1Horz">
      <w:rPr>
        <w:rFonts w:ascii="Arial" w:hAnsi="Arial"/>
        <w:color w:val="404040"/>
        <w:sz w:val="22"/>
      </w:rPr>
      <w:tblPr/>
      <w:tcPr>
        <w:shd w:val="clear" w:color="DAEEF3" w:fill="auto"/>
      </w:tcPr>
    </w:tblStylePr>
  </w:style>
  <w:style w:type="table" w:customStyle="1" w:styleId="GridTable2-Accent61">
    <w:name w:val="Grid Table 2 - Accent 61"/>
    <w:basedOn w:val="a3"/>
    <w:uiPriority w:val="99"/>
    <w:rsid w:val="00B1416C"/>
    <w:rPr>
      <w:rFonts w:ascii="Arial" w:eastAsia="Arial" w:hAnsi="Arial" w:cs="Arial"/>
      <w:sz w:val="22"/>
      <w:szCs w:val="22"/>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auto"/>
      </w:tcPr>
    </w:tblStylePr>
    <w:tblStylePr w:type="band1Horz">
      <w:rPr>
        <w:rFonts w:ascii="Arial" w:hAnsi="Arial"/>
        <w:color w:val="404040"/>
        <w:sz w:val="22"/>
      </w:rPr>
      <w:tblPr/>
      <w:tcPr>
        <w:shd w:val="clear" w:color="FDE9D8" w:fill="auto"/>
      </w:tcPr>
    </w:tblStylePr>
  </w:style>
  <w:style w:type="table" w:customStyle="1" w:styleId="-311">
    <w:name w:val="Таблица-сетка 311"/>
    <w:basedOn w:val="a3"/>
    <w:uiPriority w:val="99"/>
    <w:rsid w:val="00B1416C"/>
    <w:rPr>
      <w:rFonts w:ascii="Arial" w:eastAsia="Arial" w:hAnsi="Arial" w:cs="Arial"/>
      <w:sz w:val="22"/>
      <w:szCs w:val="22"/>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auto"/>
      </w:tcPr>
    </w:tblStylePr>
    <w:tblStylePr w:type="band1Horz">
      <w:rPr>
        <w:rFonts w:ascii="Arial" w:hAnsi="Arial"/>
        <w:color w:val="404040"/>
        <w:sz w:val="22"/>
      </w:rPr>
      <w:tblPr/>
      <w:tcPr>
        <w:shd w:val="clear" w:color="CBCBCB" w:fill="auto"/>
      </w:tcPr>
    </w:tblStylePr>
  </w:style>
  <w:style w:type="table" w:customStyle="1" w:styleId="GridTable3-Accent11">
    <w:name w:val="Grid Table 3 - Accent 11"/>
    <w:basedOn w:val="a3"/>
    <w:uiPriority w:val="99"/>
    <w:rsid w:val="00B1416C"/>
    <w:rPr>
      <w:rFonts w:ascii="Arial" w:eastAsia="Arial" w:hAnsi="Arial" w:cs="Arial"/>
      <w:sz w:val="22"/>
      <w:szCs w:val="22"/>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auto"/>
      </w:tcPr>
    </w:tblStylePr>
    <w:tblStylePr w:type="band1Horz">
      <w:rPr>
        <w:rFonts w:ascii="Arial" w:hAnsi="Arial"/>
        <w:color w:val="404040"/>
        <w:sz w:val="22"/>
      </w:rPr>
      <w:tblPr/>
      <w:tcPr>
        <w:shd w:val="clear" w:color="DAE5F1" w:fill="auto"/>
      </w:tcPr>
    </w:tblStylePr>
  </w:style>
  <w:style w:type="table" w:customStyle="1" w:styleId="GridTable3-Accent21">
    <w:name w:val="Grid Table 3 - Accent 21"/>
    <w:basedOn w:val="a3"/>
    <w:uiPriority w:val="99"/>
    <w:rsid w:val="00B1416C"/>
    <w:rPr>
      <w:rFonts w:ascii="Arial" w:eastAsia="Arial" w:hAnsi="Arial" w:cs="Arial"/>
      <w:sz w:val="22"/>
      <w:szCs w:val="22"/>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auto"/>
      </w:tcPr>
    </w:tblStylePr>
    <w:tblStylePr w:type="band1Horz">
      <w:rPr>
        <w:rFonts w:ascii="Arial" w:hAnsi="Arial"/>
        <w:color w:val="404040"/>
        <w:sz w:val="22"/>
      </w:rPr>
      <w:tblPr/>
      <w:tcPr>
        <w:shd w:val="clear" w:color="F2DCDC" w:fill="auto"/>
      </w:tcPr>
    </w:tblStylePr>
  </w:style>
  <w:style w:type="table" w:customStyle="1" w:styleId="GridTable3-Accent31">
    <w:name w:val="Grid Table 3 - Accent 31"/>
    <w:basedOn w:val="a3"/>
    <w:uiPriority w:val="99"/>
    <w:rsid w:val="00B1416C"/>
    <w:rPr>
      <w:rFonts w:ascii="Arial" w:eastAsia="Arial" w:hAnsi="Arial" w:cs="Arial"/>
      <w:sz w:val="22"/>
      <w:szCs w:val="22"/>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auto"/>
      </w:tcPr>
    </w:tblStylePr>
    <w:tblStylePr w:type="band1Horz">
      <w:rPr>
        <w:rFonts w:ascii="Arial" w:hAnsi="Arial"/>
        <w:color w:val="404040"/>
        <w:sz w:val="22"/>
      </w:rPr>
      <w:tblPr/>
      <w:tcPr>
        <w:shd w:val="clear" w:color="EAF1DC" w:fill="auto"/>
      </w:tcPr>
    </w:tblStylePr>
  </w:style>
  <w:style w:type="table" w:customStyle="1" w:styleId="GridTable3-Accent41">
    <w:name w:val="Grid Table 3 - Accent 41"/>
    <w:basedOn w:val="a3"/>
    <w:uiPriority w:val="99"/>
    <w:rsid w:val="00B1416C"/>
    <w:rPr>
      <w:rFonts w:ascii="Arial" w:eastAsia="Arial" w:hAnsi="Arial" w:cs="Arial"/>
      <w:sz w:val="22"/>
      <w:szCs w:val="22"/>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auto"/>
      </w:tcPr>
    </w:tblStylePr>
    <w:tblStylePr w:type="band1Horz">
      <w:rPr>
        <w:rFonts w:ascii="Arial" w:hAnsi="Arial"/>
        <w:color w:val="404040"/>
        <w:sz w:val="22"/>
      </w:rPr>
      <w:tblPr/>
      <w:tcPr>
        <w:shd w:val="clear" w:color="E5DFEC" w:fill="auto"/>
      </w:tcPr>
    </w:tblStylePr>
  </w:style>
  <w:style w:type="table" w:customStyle="1" w:styleId="GridTable3-Accent51">
    <w:name w:val="Grid Table 3 - Accent 51"/>
    <w:basedOn w:val="a3"/>
    <w:uiPriority w:val="99"/>
    <w:rsid w:val="00B1416C"/>
    <w:rPr>
      <w:rFonts w:ascii="Arial" w:eastAsia="Arial" w:hAnsi="Arial" w:cs="Arial"/>
      <w:sz w:val="22"/>
      <w:szCs w:val="22"/>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auto"/>
      </w:tcPr>
    </w:tblStylePr>
    <w:tblStylePr w:type="band1Horz">
      <w:rPr>
        <w:rFonts w:ascii="Arial" w:hAnsi="Arial"/>
        <w:color w:val="404040"/>
        <w:sz w:val="22"/>
      </w:rPr>
      <w:tblPr/>
      <w:tcPr>
        <w:shd w:val="clear" w:color="DAEEF3" w:fill="auto"/>
      </w:tcPr>
    </w:tblStylePr>
  </w:style>
  <w:style w:type="table" w:customStyle="1" w:styleId="GridTable3-Accent61">
    <w:name w:val="Grid Table 3 - Accent 61"/>
    <w:basedOn w:val="a3"/>
    <w:uiPriority w:val="99"/>
    <w:rsid w:val="00B1416C"/>
    <w:rPr>
      <w:rFonts w:ascii="Arial" w:eastAsia="Arial" w:hAnsi="Arial" w:cs="Arial"/>
      <w:sz w:val="22"/>
      <w:szCs w:val="22"/>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auto"/>
      </w:tcPr>
    </w:tblStylePr>
    <w:tblStylePr w:type="band1Horz">
      <w:rPr>
        <w:rFonts w:ascii="Arial" w:hAnsi="Arial"/>
        <w:color w:val="404040"/>
        <w:sz w:val="22"/>
      </w:rPr>
      <w:tblPr/>
      <w:tcPr>
        <w:shd w:val="clear" w:color="FDE9D8" w:fill="auto"/>
      </w:tcPr>
    </w:tblStylePr>
  </w:style>
  <w:style w:type="table" w:customStyle="1" w:styleId="-411">
    <w:name w:val="Таблица-сетка 411"/>
    <w:basedOn w:val="a3"/>
    <w:uiPriority w:val="59"/>
    <w:rsid w:val="00B1416C"/>
    <w:rPr>
      <w:rFonts w:ascii="Arial" w:eastAsia="Arial" w:hAnsi="Arial" w:cs="Arial"/>
      <w:sz w:val="22"/>
      <w:szCs w:val="22"/>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auto"/>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auto"/>
      </w:tcPr>
    </w:tblStylePr>
    <w:tblStylePr w:type="band1Horz">
      <w:rPr>
        <w:rFonts w:ascii="Arial" w:hAnsi="Arial"/>
        <w:color w:val="404040"/>
        <w:sz w:val="22"/>
      </w:rPr>
      <w:tblPr/>
      <w:tcPr>
        <w:shd w:val="clear" w:color="CBCBCB" w:fill="auto"/>
      </w:tcPr>
    </w:tblStylePr>
  </w:style>
  <w:style w:type="table" w:customStyle="1" w:styleId="GridTable4-Accent11">
    <w:name w:val="Grid Table 4 - Accent 11"/>
    <w:basedOn w:val="a3"/>
    <w:uiPriority w:val="59"/>
    <w:rsid w:val="00B1416C"/>
    <w:rPr>
      <w:rFonts w:ascii="Arial" w:eastAsia="Arial" w:hAnsi="Arial" w:cs="Arial"/>
      <w:sz w:val="22"/>
      <w:szCs w:val="22"/>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auto"/>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auto"/>
      </w:tcPr>
    </w:tblStylePr>
    <w:tblStylePr w:type="band1Horz">
      <w:rPr>
        <w:rFonts w:ascii="Arial" w:hAnsi="Arial"/>
        <w:color w:val="404040"/>
        <w:sz w:val="22"/>
      </w:rPr>
      <w:tblPr/>
      <w:tcPr>
        <w:shd w:val="clear" w:color="DCE6F2" w:fill="auto"/>
      </w:tcPr>
    </w:tblStylePr>
  </w:style>
  <w:style w:type="table" w:customStyle="1" w:styleId="GridTable4-Accent21">
    <w:name w:val="Grid Table 4 - Accent 21"/>
    <w:basedOn w:val="a3"/>
    <w:uiPriority w:val="59"/>
    <w:rsid w:val="00B1416C"/>
    <w:rPr>
      <w:rFonts w:ascii="Arial" w:eastAsia="Arial" w:hAnsi="Arial" w:cs="Arial"/>
      <w:sz w:val="22"/>
      <w:szCs w:val="22"/>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auto"/>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auto"/>
      </w:tcPr>
    </w:tblStylePr>
    <w:tblStylePr w:type="band1Horz">
      <w:rPr>
        <w:rFonts w:ascii="Arial" w:hAnsi="Arial"/>
        <w:color w:val="404040"/>
        <w:sz w:val="22"/>
      </w:rPr>
      <w:tblPr/>
      <w:tcPr>
        <w:shd w:val="clear" w:color="F2DCDC" w:fill="auto"/>
      </w:tcPr>
    </w:tblStylePr>
  </w:style>
  <w:style w:type="table" w:customStyle="1" w:styleId="GridTable4-Accent31">
    <w:name w:val="Grid Table 4 - Accent 31"/>
    <w:basedOn w:val="a3"/>
    <w:uiPriority w:val="59"/>
    <w:rsid w:val="00B1416C"/>
    <w:rPr>
      <w:rFonts w:ascii="Arial" w:eastAsia="Arial" w:hAnsi="Arial" w:cs="Arial"/>
      <w:sz w:val="22"/>
      <w:szCs w:val="22"/>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auto"/>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auto"/>
      </w:tcPr>
    </w:tblStylePr>
    <w:tblStylePr w:type="band1Horz">
      <w:rPr>
        <w:rFonts w:ascii="Arial" w:hAnsi="Arial"/>
        <w:color w:val="404040"/>
        <w:sz w:val="22"/>
      </w:rPr>
      <w:tblPr/>
      <w:tcPr>
        <w:shd w:val="clear" w:color="EAF1DC" w:fill="auto"/>
      </w:tcPr>
    </w:tblStylePr>
  </w:style>
  <w:style w:type="table" w:customStyle="1" w:styleId="GridTable4-Accent41">
    <w:name w:val="Grid Table 4 - Accent 41"/>
    <w:basedOn w:val="a3"/>
    <w:uiPriority w:val="59"/>
    <w:rsid w:val="00B1416C"/>
    <w:rPr>
      <w:rFonts w:ascii="Arial" w:eastAsia="Arial" w:hAnsi="Arial" w:cs="Arial"/>
      <w:sz w:val="22"/>
      <w:szCs w:val="22"/>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auto"/>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auto"/>
      </w:tcPr>
    </w:tblStylePr>
    <w:tblStylePr w:type="band1Horz">
      <w:rPr>
        <w:rFonts w:ascii="Arial" w:hAnsi="Arial"/>
        <w:color w:val="404040"/>
        <w:sz w:val="22"/>
      </w:rPr>
      <w:tblPr/>
      <w:tcPr>
        <w:shd w:val="clear" w:color="E5DFEC" w:fill="auto"/>
      </w:tcPr>
    </w:tblStylePr>
  </w:style>
  <w:style w:type="table" w:customStyle="1" w:styleId="GridTable4-Accent51">
    <w:name w:val="Grid Table 4 - Accent 51"/>
    <w:basedOn w:val="a3"/>
    <w:uiPriority w:val="59"/>
    <w:rsid w:val="00B1416C"/>
    <w:rPr>
      <w:rFonts w:ascii="Arial" w:eastAsia="Arial" w:hAnsi="Arial" w:cs="Arial"/>
      <w:sz w:val="22"/>
      <w:szCs w:val="22"/>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auto"/>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auto"/>
      </w:tcPr>
    </w:tblStylePr>
    <w:tblStylePr w:type="band1Horz">
      <w:rPr>
        <w:rFonts w:ascii="Arial" w:hAnsi="Arial"/>
        <w:color w:val="404040"/>
        <w:sz w:val="22"/>
      </w:rPr>
      <w:tblPr/>
      <w:tcPr>
        <w:shd w:val="clear" w:color="DAEEF3" w:fill="auto"/>
      </w:tcPr>
    </w:tblStylePr>
  </w:style>
  <w:style w:type="table" w:customStyle="1" w:styleId="GridTable4-Accent61">
    <w:name w:val="Grid Table 4 - Accent 61"/>
    <w:basedOn w:val="a3"/>
    <w:uiPriority w:val="59"/>
    <w:rsid w:val="00B1416C"/>
    <w:rPr>
      <w:rFonts w:ascii="Arial" w:eastAsia="Arial" w:hAnsi="Arial" w:cs="Arial"/>
      <w:sz w:val="22"/>
      <w:szCs w:val="22"/>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auto"/>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auto"/>
      </w:tcPr>
    </w:tblStylePr>
    <w:tblStylePr w:type="band1Horz">
      <w:rPr>
        <w:rFonts w:ascii="Arial" w:hAnsi="Arial"/>
        <w:color w:val="404040"/>
        <w:sz w:val="22"/>
      </w:rPr>
      <w:tblPr/>
      <w:tcPr>
        <w:shd w:val="clear" w:color="FDE9D8" w:fill="auto"/>
      </w:tcPr>
    </w:tblStylePr>
  </w:style>
  <w:style w:type="table" w:customStyle="1" w:styleId="-511">
    <w:name w:val="Таблица-сетка 5 темная11"/>
    <w:basedOn w:val="a3"/>
    <w:uiPriority w:val="99"/>
    <w:rsid w:val="00B1416C"/>
    <w:rPr>
      <w:rFonts w:ascii="Arial" w:eastAsia="Arial" w:hAnsi="Arial"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auto"/>
    </w:tblPr>
    <w:tblStylePr w:type="firstRow">
      <w:rPr>
        <w:rFonts w:ascii="Arial" w:hAnsi="Arial"/>
        <w:b/>
        <w:color w:val="FFFFFF"/>
        <w:sz w:val="22"/>
      </w:rPr>
      <w:tblPr/>
      <w:tcPr>
        <w:shd w:val="clear" w:color="000000" w:fill="auto"/>
      </w:tcPr>
    </w:tblStylePr>
    <w:tblStylePr w:type="lastRow">
      <w:rPr>
        <w:rFonts w:ascii="Arial" w:hAnsi="Arial"/>
        <w:b/>
        <w:color w:val="FFFFFF"/>
        <w:sz w:val="22"/>
      </w:rPr>
      <w:tblPr/>
      <w:tcPr>
        <w:tcBorders>
          <w:top w:val="single" w:sz="4" w:space="0" w:color="FFFFFF"/>
        </w:tcBorders>
        <w:shd w:val="clear" w:color="000000" w:fill="auto"/>
      </w:tcPr>
    </w:tblStylePr>
    <w:tblStylePr w:type="firstCol">
      <w:rPr>
        <w:rFonts w:ascii="Arial" w:hAnsi="Arial"/>
        <w:b/>
        <w:color w:val="FFFFFF"/>
        <w:sz w:val="22"/>
      </w:rPr>
      <w:tblPr/>
      <w:tcPr>
        <w:shd w:val="clear" w:color="000000" w:fill="auto"/>
      </w:tcPr>
    </w:tblStylePr>
    <w:tblStylePr w:type="lastCol">
      <w:rPr>
        <w:rFonts w:ascii="Arial" w:hAnsi="Arial"/>
        <w:b/>
        <w:color w:val="FFFFFF"/>
        <w:sz w:val="22"/>
      </w:rPr>
      <w:tblPr/>
      <w:tcPr>
        <w:shd w:val="clear" w:color="000000" w:fill="auto"/>
      </w:tcPr>
    </w:tblStylePr>
    <w:tblStylePr w:type="band1Vert">
      <w:tblPr/>
      <w:tcPr>
        <w:shd w:val="clear" w:color="8A8A8A" w:fill="auto"/>
      </w:tcPr>
    </w:tblStylePr>
    <w:tblStylePr w:type="band1Horz">
      <w:tblPr/>
      <w:tcPr>
        <w:shd w:val="clear" w:color="8A8A8A" w:fill="auto"/>
      </w:tcPr>
    </w:tblStylePr>
  </w:style>
  <w:style w:type="table" w:customStyle="1" w:styleId="GridTable5Dark-Accent11">
    <w:name w:val="Grid Table 5 Dark- Accent 11"/>
    <w:basedOn w:val="a3"/>
    <w:uiPriority w:val="99"/>
    <w:rsid w:val="00B1416C"/>
    <w:rPr>
      <w:rFonts w:ascii="Arial" w:eastAsia="Arial" w:hAnsi="Arial"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auto"/>
    </w:tblPr>
    <w:tblStylePr w:type="firstRow">
      <w:rPr>
        <w:rFonts w:ascii="Arial" w:hAnsi="Arial"/>
        <w:b/>
        <w:color w:val="FFFFFF"/>
        <w:sz w:val="22"/>
      </w:rPr>
      <w:tblPr/>
      <w:tcPr>
        <w:shd w:val="clear" w:color="4F81BD" w:fill="auto"/>
      </w:tcPr>
    </w:tblStylePr>
    <w:tblStylePr w:type="lastRow">
      <w:rPr>
        <w:rFonts w:ascii="Arial" w:hAnsi="Arial"/>
        <w:b/>
        <w:color w:val="FFFFFF"/>
        <w:sz w:val="22"/>
      </w:rPr>
      <w:tblPr/>
      <w:tcPr>
        <w:tcBorders>
          <w:top w:val="single" w:sz="4" w:space="0" w:color="FFFFFF"/>
        </w:tcBorders>
        <w:shd w:val="clear" w:color="4F81BD" w:fill="auto"/>
      </w:tcPr>
    </w:tblStylePr>
    <w:tblStylePr w:type="firstCol">
      <w:rPr>
        <w:rFonts w:ascii="Arial" w:hAnsi="Arial"/>
        <w:b/>
        <w:color w:val="FFFFFF"/>
        <w:sz w:val="22"/>
      </w:rPr>
      <w:tblPr/>
      <w:tcPr>
        <w:shd w:val="clear" w:color="4F81BD" w:fill="auto"/>
      </w:tcPr>
    </w:tblStylePr>
    <w:tblStylePr w:type="lastCol">
      <w:rPr>
        <w:rFonts w:ascii="Arial" w:hAnsi="Arial"/>
        <w:b/>
        <w:color w:val="FFFFFF"/>
        <w:sz w:val="22"/>
      </w:rPr>
      <w:tblPr/>
      <w:tcPr>
        <w:shd w:val="clear" w:color="4F81BD" w:fill="auto"/>
      </w:tcPr>
    </w:tblStylePr>
    <w:tblStylePr w:type="band1Vert">
      <w:tblPr/>
      <w:tcPr>
        <w:shd w:val="clear" w:color="AEC4E0" w:fill="auto"/>
      </w:tcPr>
    </w:tblStylePr>
    <w:tblStylePr w:type="band1Horz">
      <w:tblPr/>
      <w:tcPr>
        <w:shd w:val="clear" w:color="AEC4E0" w:fill="auto"/>
      </w:tcPr>
    </w:tblStylePr>
  </w:style>
  <w:style w:type="table" w:customStyle="1" w:styleId="GridTable5Dark-Accent21">
    <w:name w:val="Grid Table 5 Dark - Accent 21"/>
    <w:basedOn w:val="a3"/>
    <w:uiPriority w:val="99"/>
    <w:rsid w:val="00B1416C"/>
    <w:rPr>
      <w:rFonts w:ascii="Arial" w:eastAsia="Arial" w:hAnsi="Arial"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auto"/>
    </w:tblPr>
    <w:tblStylePr w:type="firstRow">
      <w:rPr>
        <w:rFonts w:ascii="Arial" w:hAnsi="Arial"/>
        <w:b/>
        <w:color w:val="FFFFFF"/>
        <w:sz w:val="22"/>
      </w:rPr>
      <w:tblPr/>
      <w:tcPr>
        <w:shd w:val="clear" w:color="C0504D" w:fill="auto"/>
      </w:tcPr>
    </w:tblStylePr>
    <w:tblStylePr w:type="lastRow">
      <w:rPr>
        <w:rFonts w:ascii="Arial" w:hAnsi="Arial"/>
        <w:b/>
        <w:color w:val="FFFFFF"/>
        <w:sz w:val="22"/>
      </w:rPr>
      <w:tblPr/>
      <w:tcPr>
        <w:tcBorders>
          <w:top w:val="single" w:sz="4" w:space="0" w:color="FFFFFF"/>
        </w:tcBorders>
        <w:shd w:val="clear" w:color="C0504D" w:fill="auto"/>
      </w:tcPr>
    </w:tblStylePr>
    <w:tblStylePr w:type="firstCol">
      <w:rPr>
        <w:rFonts w:ascii="Arial" w:hAnsi="Arial"/>
        <w:b/>
        <w:color w:val="FFFFFF"/>
        <w:sz w:val="22"/>
      </w:rPr>
      <w:tblPr/>
      <w:tcPr>
        <w:shd w:val="clear" w:color="C0504D" w:fill="auto"/>
      </w:tcPr>
    </w:tblStylePr>
    <w:tblStylePr w:type="lastCol">
      <w:rPr>
        <w:rFonts w:ascii="Arial" w:hAnsi="Arial"/>
        <w:b/>
        <w:color w:val="FFFFFF"/>
        <w:sz w:val="22"/>
      </w:rPr>
      <w:tblPr/>
      <w:tcPr>
        <w:shd w:val="clear" w:color="C0504D" w:fill="auto"/>
      </w:tcPr>
    </w:tblStylePr>
    <w:tblStylePr w:type="band1Vert">
      <w:tblPr/>
      <w:tcPr>
        <w:shd w:val="clear" w:color="E2AEAD" w:fill="auto"/>
      </w:tcPr>
    </w:tblStylePr>
    <w:tblStylePr w:type="band1Horz">
      <w:tblPr/>
      <w:tcPr>
        <w:shd w:val="clear" w:color="E2AEAD" w:fill="auto"/>
      </w:tcPr>
    </w:tblStylePr>
  </w:style>
  <w:style w:type="table" w:customStyle="1" w:styleId="GridTable5Dark-Accent31">
    <w:name w:val="Grid Table 5 Dark - Accent 31"/>
    <w:basedOn w:val="a3"/>
    <w:uiPriority w:val="99"/>
    <w:rsid w:val="00B1416C"/>
    <w:rPr>
      <w:rFonts w:ascii="Arial" w:eastAsia="Arial" w:hAnsi="Arial"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auto"/>
    </w:tblPr>
    <w:tblStylePr w:type="firstRow">
      <w:rPr>
        <w:rFonts w:ascii="Arial" w:hAnsi="Arial"/>
        <w:b/>
        <w:color w:val="FFFFFF"/>
        <w:sz w:val="22"/>
      </w:rPr>
      <w:tblPr/>
      <w:tcPr>
        <w:shd w:val="clear" w:color="9BBB59" w:fill="auto"/>
      </w:tcPr>
    </w:tblStylePr>
    <w:tblStylePr w:type="lastRow">
      <w:rPr>
        <w:rFonts w:ascii="Arial" w:hAnsi="Arial"/>
        <w:b/>
        <w:color w:val="FFFFFF"/>
        <w:sz w:val="22"/>
      </w:rPr>
      <w:tblPr/>
      <w:tcPr>
        <w:tcBorders>
          <w:top w:val="single" w:sz="4" w:space="0" w:color="FFFFFF"/>
        </w:tcBorders>
        <w:shd w:val="clear" w:color="9BBB59" w:fill="auto"/>
      </w:tcPr>
    </w:tblStylePr>
    <w:tblStylePr w:type="firstCol">
      <w:rPr>
        <w:rFonts w:ascii="Arial" w:hAnsi="Arial"/>
        <w:b/>
        <w:color w:val="FFFFFF"/>
        <w:sz w:val="22"/>
      </w:rPr>
      <w:tblPr/>
      <w:tcPr>
        <w:shd w:val="clear" w:color="9BBB59" w:fill="auto"/>
      </w:tcPr>
    </w:tblStylePr>
    <w:tblStylePr w:type="lastCol">
      <w:rPr>
        <w:rFonts w:ascii="Arial" w:hAnsi="Arial"/>
        <w:b/>
        <w:color w:val="FFFFFF"/>
        <w:sz w:val="22"/>
      </w:rPr>
      <w:tblPr/>
      <w:tcPr>
        <w:shd w:val="clear" w:color="9BBB59" w:fill="auto"/>
      </w:tcPr>
    </w:tblStylePr>
    <w:tblStylePr w:type="band1Vert">
      <w:tblPr/>
      <w:tcPr>
        <w:shd w:val="clear" w:color="D0DFB2" w:fill="auto"/>
      </w:tcPr>
    </w:tblStylePr>
    <w:tblStylePr w:type="band1Horz">
      <w:tblPr/>
      <w:tcPr>
        <w:shd w:val="clear" w:color="D0DFB2" w:fill="auto"/>
      </w:tcPr>
    </w:tblStylePr>
  </w:style>
  <w:style w:type="table" w:customStyle="1" w:styleId="GridTable5Dark-Accent41">
    <w:name w:val="Grid Table 5 Dark- Accent 41"/>
    <w:basedOn w:val="a3"/>
    <w:uiPriority w:val="99"/>
    <w:rsid w:val="00B1416C"/>
    <w:rPr>
      <w:rFonts w:ascii="Arial" w:eastAsia="Arial" w:hAnsi="Arial"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auto"/>
    </w:tblPr>
    <w:tblStylePr w:type="firstRow">
      <w:rPr>
        <w:rFonts w:ascii="Arial" w:hAnsi="Arial"/>
        <w:b/>
        <w:color w:val="FFFFFF"/>
        <w:sz w:val="22"/>
      </w:rPr>
      <w:tblPr/>
      <w:tcPr>
        <w:shd w:val="clear" w:color="8064A2" w:fill="auto"/>
      </w:tcPr>
    </w:tblStylePr>
    <w:tblStylePr w:type="lastRow">
      <w:rPr>
        <w:rFonts w:ascii="Arial" w:hAnsi="Arial"/>
        <w:b/>
        <w:color w:val="FFFFFF"/>
        <w:sz w:val="22"/>
      </w:rPr>
      <w:tblPr/>
      <w:tcPr>
        <w:tcBorders>
          <w:top w:val="single" w:sz="4" w:space="0" w:color="FFFFFF"/>
        </w:tcBorders>
        <w:shd w:val="clear" w:color="8064A2" w:fill="auto"/>
      </w:tcPr>
    </w:tblStylePr>
    <w:tblStylePr w:type="firstCol">
      <w:rPr>
        <w:rFonts w:ascii="Arial" w:hAnsi="Arial"/>
        <w:b/>
        <w:color w:val="FFFFFF"/>
        <w:sz w:val="22"/>
      </w:rPr>
      <w:tblPr/>
      <w:tcPr>
        <w:shd w:val="clear" w:color="8064A2" w:fill="auto"/>
      </w:tcPr>
    </w:tblStylePr>
    <w:tblStylePr w:type="lastCol">
      <w:rPr>
        <w:rFonts w:ascii="Arial" w:hAnsi="Arial"/>
        <w:b/>
        <w:color w:val="FFFFFF"/>
        <w:sz w:val="22"/>
      </w:rPr>
      <w:tblPr/>
      <w:tcPr>
        <w:shd w:val="clear" w:color="8064A2" w:fill="auto"/>
      </w:tcPr>
    </w:tblStylePr>
    <w:tblStylePr w:type="band1Vert">
      <w:tblPr/>
      <w:tcPr>
        <w:shd w:val="clear" w:color="C4B7D4" w:fill="auto"/>
      </w:tcPr>
    </w:tblStylePr>
    <w:tblStylePr w:type="band1Horz">
      <w:tblPr/>
      <w:tcPr>
        <w:shd w:val="clear" w:color="C4B7D4" w:fill="auto"/>
      </w:tcPr>
    </w:tblStylePr>
  </w:style>
  <w:style w:type="table" w:customStyle="1" w:styleId="GridTable5Dark-Accent51">
    <w:name w:val="Grid Table 5 Dark - Accent 51"/>
    <w:basedOn w:val="a3"/>
    <w:uiPriority w:val="99"/>
    <w:rsid w:val="00B1416C"/>
    <w:rPr>
      <w:rFonts w:ascii="Arial" w:eastAsia="Arial" w:hAnsi="Arial"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auto"/>
    </w:tblPr>
    <w:tblStylePr w:type="firstRow">
      <w:rPr>
        <w:rFonts w:ascii="Arial" w:hAnsi="Arial"/>
        <w:b/>
        <w:color w:val="FFFFFF"/>
        <w:sz w:val="22"/>
      </w:rPr>
      <w:tblPr/>
      <w:tcPr>
        <w:shd w:val="clear" w:color="4BACC6" w:fill="auto"/>
      </w:tcPr>
    </w:tblStylePr>
    <w:tblStylePr w:type="lastRow">
      <w:rPr>
        <w:rFonts w:ascii="Arial" w:hAnsi="Arial"/>
        <w:b/>
        <w:color w:val="FFFFFF"/>
        <w:sz w:val="22"/>
      </w:rPr>
      <w:tblPr/>
      <w:tcPr>
        <w:tcBorders>
          <w:top w:val="single" w:sz="4" w:space="0" w:color="FFFFFF"/>
        </w:tcBorders>
        <w:shd w:val="clear" w:color="4BACC6" w:fill="auto"/>
      </w:tcPr>
    </w:tblStylePr>
    <w:tblStylePr w:type="firstCol">
      <w:rPr>
        <w:rFonts w:ascii="Arial" w:hAnsi="Arial"/>
        <w:b/>
        <w:color w:val="FFFFFF"/>
        <w:sz w:val="22"/>
      </w:rPr>
      <w:tblPr/>
      <w:tcPr>
        <w:shd w:val="clear" w:color="4BACC6" w:fill="auto"/>
      </w:tcPr>
    </w:tblStylePr>
    <w:tblStylePr w:type="lastCol">
      <w:rPr>
        <w:rFonts w:ascii="Arial" w:hAnsi="Arial"/>
        <w:b/>
        <w:color w:val="FFFFFF"/>
        <w:sz w:val="22"/>
      </w:rPr>
      <w:tblPr/>
      <w:tcPr>
        <w:shd w:val="clear" w:color="4BACC6" w:fill="auto"/>
      </w:tcPr>
    </w:tblStylePr>
    <w:tblStylePr w:type="band1Vert">
      <w:tblPr/>
      <w:tcPr>
        <w:shd w:val="clear" w:color="ACD8E4" w:fill="auto"/>
      </w:tcPr>
    </w:tblStylePr>
    <w:tblStylePr w:type="band1Horz">
      <w:tblPr/>
      <w:tcPr>
        <w:shd w:val="clear" w:color="ACD8E4" w:fill="auto"/>
      </w:tcPr>
    </w:tblStylePr>
  </w:style>
  <w:style w:type="table" w:customStyle="1" w:styleId="GridTable5Dark-Accent61">
    <w:name w:val="Grid Table 5 Dark - Accent 61"/>
    <w:basedOn w:val="a3"/>
    <w:uiPriority w:val="99"/>
    <w:rsid w:val="00B1416C"/>
    <w:rPr>
      <w:rFonts w:ascii="Arial" w:eastAsia="Arial" w:hAnsi="Arial"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auto"/>
    </w:tblPr>
    <w:tblStylePr w:type="firstRow">
      <w:rPr>
        <w:rFonts w:ascii="Arial" w:hAnsi="Arial"/>
        <w:b/>
        <w:color w:val="FFFFFF"/>
        <w:sz w:val="22"/>
      </w:rPr>
      <w:tblPr/>
      <w:tcPr>
        <w:shd w:val="clear" w:color="F79646" w:fill="auto"/>
      </w:tcPr>
    </w:tblStylePr>
    <w:tblStylePr w:type="lastRow">
      <w:rPr>
        <w:rFonts w:ascii="Arial" w:hAnsi="Arial"/>
        <w:b/>
        <w:color w:val="FFFFFF"/>
        <w:sz w:val="22"/>
      </w:rPr>
      <w:tblPr/>
      <w:tcPr>
        <w:tcBorders>
          <w:top w:val="single" w:sz="4" w:space="0" w:color="FFFFFF"/>
        </w:tcBorders>
        <w:shd w:val="clear" w:color="F79646" w:fill="auto"/>
      </w:tcPr>
    </w:tblStylePr>
    <w:tblStylePr w:type="firstCol">
      <w:rPr>
        <w:rFonts w:ascii="Arial" w:hAnsi="Arial"/>
        <w:b/>
        <w:color w:val="FFFFFF"/>
        <w:sz w:val="22"/>
      </w:rPr>
      <w:tblPr/>
      <w:tcPr>
        <w:shd w:val="clear" w:color="F79646" w:fill="auto"/>
      </w:tcPr>
    </w:tblStylePr>
    <w:tblStylePr w:type="lastCol">
      <w:rPr>
        <w:rFonts w:ascii="Arial" w:hAnsi="Arial"/>
        <w:b/>
        <w:color w:val="FFFFFF"/>
        <w:sz w:val="22"/>
      </w:rPr>
      <w:tblPr/>
      <w:tcPr>
        <w:shd w:val="clear" w:color="F79646" w:fill="auto"/>
      </w:tcPr>
    </w:tblStylePr>
    <w:tblStylePr w:type="band1Vert">
      <w:tblPr/>
      <w:tcPr>
        <w:shd w:val="clear" w:color="FBCEAA" w:fill="auto"/>
      </w:tcPr>
    </w:tblStylePr>
    <w:tblStylePr w:type="band1Horz">
      <w:tblPr/>
      <w:tcPr>
        <w:shd w:val="clear" w:color="FBCEAA" w:fill="auto"/>
      </w:tcPr>
    </w:tblStylePr>
  </w:style>
  <w:style w:type="table" w:customStyle="1" w:styleId="-611">
    <w:name w:val="Таблица-сетка 6 цветная11"/>
    <w:basedOn w:val="a3"/>
    <w:uiPriority w:val="99"/>
    <w:rsid w:val="00B1416C"/>
    <w:rPr>
      <w:rFonts w:ascii="Arial" w:eastAsia="Arial" w:hAnsi="Arial" w:cs="Arial"/>
      <w:sz w:val="22"/>
      <w:szCs w:val="22"/>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auto"/>
      </w:tcPr>
    </w:tblStylePr>
    <w:tblStylePr w:type="band1Horz">
      <w:rPr>
        <w:rFonts w:ascii="Arial" w:hAnsi="Arial"/>
        <w:color w:val="7F7F7F"/>
        <w:sz w:val="22"/>
      </w:rPr>
      <w:tblPr/>
      <w:tcPr>
        <w:shd w:val="clear" w:color="CBCBCB" w:fill="auto"/>
      </w:tcPr>
    </w:tblStylePr>
    <w:tblStylePr w:type="band2Horz">
      <w:rPr>
        <w:rFonts w:ascii="Arial" w:hAnsi="Arial"/>
        <w:color w:val="7F7F7F"/>
        <w:sz w:val="22"/>
      </w:rPr>
    </w:tblStylePr>
  </w:style>
  <w:style w:type="table" w:customStyle="1" w:styleId="GridTable6Colorful-Accent11">
    <w:name w:val="Grid Table 6 Colorful - Accent 11"/>
    <w:basedOn w:val="a3"/>
    <w:uiPriority w:val="99"/>
    <w:rsid w:val="00B1416C"/>
    <w:rPr>
      <w:rFonts w:ascii="Arial" w:eastAsia="Arial" w:hAnsi="Arial" w:cs="Arial"/>
      <w:sz w:val="22"/>
      <w:szCs w:val="22"/>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auto"/>
      </w:tcPr>
    </w:tblStylePr>
    <w:tblStylePr w:type="band1Horz">
      <w:rPr>
        <w:rFonts w:ascii="Arial" w:hAnsi="Arial"/>
        <w:color w:val="A6BFDD"/>
        <w:sz w:val="22"/>
      </w:rPr>
      <w:tblPr/>
      <w:tcPr>
        <w:shd w:val="clear" w:color="DAE5F1" w:fill="auto"/>
      </w:tcPr>
    </w:tblStylePr>
    <w:tblStylePr w:type="band2Horz">
      <w:rPr>
        <w:rFonts w:ascii="Arial" w:hAnsi="Arial"/>
        <w:color w:val="A6BFDD"/>
        <w:sz w:val="22"/>
      </w:rPr>
    </w:tblStylePr>
  </w:style>
  <w:style w:type="table" w:customStyle="1" w:styleId="GridTable6Colorful-Accent21">
    <w:name w:val="Grid Table 6 Colorful - Accent 21"/>
    <w:basedOn w:val="a3"/>
    <w:uiPriority w:val="99"/>
    <w:rsid w:val="00B1416C"/>
    <w:rPr>
      <w:rFonts w:ascii="Arial" w:eastAsia="Arial" w:hAnsi="Arial" w:cs="Arial"/>
      <w:sz w:val="22"/>
      <w:szCs w:val="22"/>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auto"/>
      </w:tcPr>
    </w:tblStylePr>
    <w:tblStylePr w:type="band1Horz">
      <w:rPr>
        <w:rFonts w:ascii="Arial" w:hAnsi="Arial"/>
        <w:color w:val="D99695"/>
        <w:sz w:val="22"/>
      </w:rPr>
      <w:tblPr/>
      <w:tcPr>
        <w:shd w:val="clear" w:color="F2DCDC" w:fill="auto"/>
      </w:tcPr>
    </w:tblStylePr>
    <w:tblStylePr w:type="band2Horz">
      <w:rPr>
        <w:rFonts w:ascii="Arial" w:hAnsi="Arial"/>
        <w:color w:val="D99695"/>
        <w:sz w:val="22"/>
      </w:rPr>
    </w:tblStylePr>
  </w:style>
  <w:style w:type="table" w:customStyle="1" w:styleId="GridTable6Colorful-Accent31">
    <w:name w:val="Grid Table 6 Colorful - Accent 31"/>
    <w:basedOn w:val="a3"/>
    <w:uiPriority w:val="99"/>
    <w:rsid w:val="00B1416C"/>
    <w:rPr>
      <w:rFonts w:ascii="Arial" w:eastAsia="Arial" w:hAnsi="Arial" w:cs="Arial"/>
      <w:sz w:val="22"/>
      <w:szCs w:val="22"/>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auto"/>
      </w:tcPr>
    </w:tblStylePr>
    <w:tblStylePr w:type="band1Horz">
      <w:rPr>
        <w:rFonts w:ascii="Arial" w:hAnsi="Arial"/>
        <w:color w:val="9ABB59"/>
        <w:sz w:val="22"/>
      </w:rPr>
      <w:tblPr/>
      <w:tcPr>
        <w:shd w:val="clear" w:color="EAF1DC" w:fill="auto"/>
      </w:tcPr>
    </w:tblStylePr>
    <w:tblStylePr w:type="band2Horz">
      <w:rPr>
        <w:rFonts w:ascii="Arial" w:hAnsi="Arial"/>
        <w:color w:val="9ABB59"/>
        <w:sz w:val="22"/>
      </w:rPr>
    </w:tblStylePr>
  </w:style>
  <w:style w:type="table" w:customStyle="1" w:styleId="GridTable6Colorful-Accent41">
    <w:name w:val="Grid Table 6 Colorful - Accent 41"/>
    <w:basedOn w:val="a3"/>
    <w:uiPriority w:val="99"/>
    <w:rsid w:val="00B1416C"/>
    <w:rPr>
      <w:rFonts w:ascii="Arial" w:eastAsia="Arial" w:hAnsi="Arial" w:cs="Arial"/>
      <w:sz w:val="22"/>
      <w:szCs w:val="22"/>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auto"/>
      </w:tcPr>
    </w:tblStylePr>
    <w:tblStylePr w:type="band1Horz">
      <w:rPr>
        <w:rFonts w:ascii="Arial" w:hAnsi="Arial"/>
        <w:color w:val="B2A1C6"/>
        <w:sz w:val="22"/>
      </w:rPr>
      <w:tblPr/>
      <w:tcPr>
        <w:shd w:val="clear" w:color="E5DFEC" w:fill="auto"/>
      </w:tcPr>
    </w:tblStylePr>
    <w:tblStylePr w:type="band2Horz">
      <w:rPr>
        <w:rFonts w:ascii="Arial" w:hAnsi="Arial"/>
        <w:color w:val="B2A1C6"/>
        <w:sz w:val="22"/>
      </w:rPr>
    </w:tblStylePr>
  </w:style>
  <w:style w:type="table" w:customStyle="1" w:styleId="GridTable6Colorful-Accent51">
    <w:name w:val="Grid Table 6 Colorful - Accent 51"/>
    <w:basedOn w:val="a3"/>
    <w:uiPriority w:val="99"/>
    <w:rsid w:val="00B1416C"/>
    <w:rPr>
      <w:rFonts w:ascii="Arial" w:eastAsia="Arial" w:hAnsi="Arial" w:cs="Arial"/>
      <w:sz w:val="22"/>
      <w:szCs w:val="22"/>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auto"/>
      </w:tcPr>
    </w:tblStylePr>
    <w:tblStylePr w:type="band1Horz">
      <w:rPr>
        <w:rFonts w:ascii="Arial" w:hAnsi="Arial"/>
        <w:color w:val="266779"/>
        <w:sz w:val="22"/>
      </w:rPr>
      <w:tblPr/>
      <w:tcPr>
        <w:shd w:val="clear" w:color="DAEEF3" w:fill="auto"/>
      </w:tcPr>
    </w:tblStylePr>
    <w:tblStylePr w:type="band2Horz">
      <w:rPr>
        <w:rFonts w:ascii="Arial" w:hAnsi="Arial"/>
        <w:color w:val="266779"/>
        <w:sz w:val="22"/>
      </w:rPr>
    </w:tblStylePr>
  </w:style>
  <w:style w:type="table" w:customStyle="1" w:styleId="GridTable6Colorful-Accent61">
    <w:name w:val="Grid Table 6 Colorful - Accent 61"/>
    <w:basedOn w:val="a3"/>
    <w:uiPriority w:val="99"/>
    <w:rsid w:val="00B1416C"/>
    <w:rPr>
      <w:rFonts w:ascii="Arial" w:eastAsia="Arial" w:hAnsi="Arial" w:cs="Arial"/>
      <w:sz w:val="22"/>
      <w:szCs w:val="22"/>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auto"/>
      </w:tcPr>
    </w:tblStylePr>
    <w:tblStylePr w:type="band1Horz">
      <w:rPr>
        <w:rFonts w:ascii="Arial" w:hAnsi="Arial"/>
        <w:color w:val="266779"/>
        <w:sz w:val="22"/>
      </w:rPr>
      <w:tblPr/>
      <w:tcPr>
        <w:shd w:val="clear" w:color="FDE9D8" w:fill="auto"/>
      </w:tcPr>
    </w:tblStylePr>
    <w:tblStylePr w:type="band2Horz">
      <w:rPr>
        <w:rFonts w:ascii="Arial" w:hAnsi="Arial"/>
        <w:color w:val="266779"/>
        <w:sz w:val="22"/>
      </w:rPr>
    </w:tblStylePr>
  </w:style>
  <w:style w:type="table" w:customStyle="1" w:styleId="-711">
    <w:name w:val="Таблица-сетка 7 цветная11"/>
    <w:basedOn w:val="a3"/>
    <w:uiPriority w:val="99"/>
    <w:rsid w:val="00B1416C"/>
    <w:rPr>
      <w:rFonts w:ascii="Arial" w:eastAsia="Arial" w:hAnsi="Arial" w:cs="Arial"/>
      <w:sz w:val="22"/>
      <w:szCs w:val="22"/>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auto"/>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auto"/>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auto"/>
      </w:tcPr>
    </w:tblStylePr>
    <w:tblStylePr w:type="band1Horz">
      <w:rPr>
        <w:rFonts w:ascii="Arial" w:hAnsi="Arial"/>
        <w:color w:val="7F7F7F"/>
        <w:sz w:val="22"/>
      </w:rPr>
      <w:tblPr/>
      <w:tcPr>
        <w:shd w:val="clear" w:color="F2F2F2" w:fill="auto"/>
      </w:tcPr>
    </w:tblStylePr>
    <w:tblStylePr w:type="band2Horz">
      <w:rPr>
        <w:rFonts w:ascii="Arial" w:hAnsi="Arial"/>
        <w:color w:val="7F7F7F"/>
        <w:sz w:val="22"/>
      </w:rPr>
    </w:tblStylePr>
  </w:style>
  <w:style w:type="table" w:customStyle="1" w:styleId="GridTable7Colorful-Accent11">
    <w:name w:val="Grid Table 7 Colorful - Accent 11"/>
    <w:basedOn w:val="a3"/>
    <w:uiPriority w:val="99"/>
    <w:rsid w:val="00B1416C"/>
    <w:rPr>
      <w:rFonts w:ascii="Arial" w:eastAsia="Arial" w:hAnsi="Arial" w:cs="Arial"/>
      <w:sz w:val="22"/>
      <w:szCs w:val="22"/>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0" w:space="0" w:color="auto"/>
          <w:left w:val="none" w:sz="0" w:space="0" w:color="auto"/>
          <w:bottom w:val="single" w:sz="4" w:space="0" w:color="A6BFDD"/>
          <w:right w:val="none" w:sz="0" w:space="0" w:color="auto"/>
        </w:tcBorders>
        <w:shd w:val="clear" w:color="FFFFFF" w:fill="auto"/>
      </w:tcPr>
    </w:tblStylePr>
    <w:tblStylePr w:type="lastRow">
      <w:rPr>
        <w:rFonts w:ascii="Arial" w:hAnsi="Arial"/>
        <w:b/>
        <w:color w:val="A6BFDD"/>
        <w:sz w:val="22"/>
      </w:rPr>
      <w:tblPr/>
      <w:tcPr>
        <w:tcBorders>
          <w:top w:val="single" w:sz="4" w:space="0" w:color="A6BFDD"/>
          <w:left w:val="none" w:sz="0" w:space="0" w:color="auto"/>
          <w:bottom w:val="none" w:sz="0" w:space="0" w:color="auto"/>
          <w:right w:val="none" w:sz="0" w:space="0" w:color="auto"/>
        </w:tcBorders>
        <w:shd w:val="clear" w:color="FFFFFF" w:fill="auto"/>
      </w:tcPr>
    </w:tblStylePr>
    <w:tblStylePr w:type="firstCol">
      <w:pPr>
        <w:jc w:val="right"/>
      </w:pPr>
      <w:rPr>
        <w:rFonts w:ascii="Arial" w:hAnsi="Arial"/>
        <w:i/>
        <w:color w:val="A6BFDD"/>
        <w:sz w:val="22"/>
      </w:rPr>
      <w:tblPr/>
      <w:tcPr>
        <w:tcBorders>
          <w:top w:val="none" w:sz="0" w:space="0" w:color="auto"/>
          <w:left w:val="none" w:sz="0" w:space="0" w:color="auto"/>
          <w:bottom w:val="none" w:sz="0" w:space="0" w:color="auto"/>
          <w:right w:val="single" w:sz="4" w:space="0" w:color="A6BFDD"/>
        </w:tcBorders>
        <w:shd w:val="clear" w:color="FFFFFF" w:fill="auto"/>
      </w:tcPr>
    </w:tblStylePr>
    <w:tblStylePr w:type="lastCol">
      <w:rPr>
        <w:rFonts w:ascii="Arial" w:hAnsi="Arial"/>
        <w:i/>
        <w:color w:val="A6BFDD"/>
        <w:sz w:val="22"/>
      </w:rPr>
      <w:tblPr/>
      <w:tcPr>
        <w:tcBorders>
          <w:top w:val="none" w:sz="0" w:space="0" w:color="auto"/>
          <w:left w:val="single" w:sz="4" w:space="0" w:color="A6BFDD"/>
          <w:bottom w:val="none" w:sz="0" w:space="0" w:color="auto"/>
          <w:right w:val="none" w:sz="0" w:space="0" w:color="auto"/>
        </w:tcBorders>
        <w:shd w:val="clear" w:color="FFFFFF" w:fill="auto"/>
      </w:tcPr>
    </w:tblStylePr>
    <w:tblStylePr w:type="band1Vert">
      <w:tblPr/>
      <w:tcPr>
        <w:shd w:val="clear" w:color="DAE5F1" w:fill="auto"/>
      </w:tcPr>
    </w:tblStylePr>
    <w:tblStylePr w:type="band1Horz">
      <w:rPr>
        <w:rFonts w:ascii="Arial" w:hAnsi="Arial"/>
        <w:color w:val="A6BFDD"/>
        <w:sz w:val="22"/>
      </w:rPr>
      <w:tblPr/>
      <w:tcPr>
        <w:shd w:val="clear" w:color="DAE5F1" w:fill="auto"/>
      </w:tcPr>
    </w:tblStylePr>
    <w:tblStylePr w:type="band2Horz">
      <w:rPr>
        <w:rFonts w:ascii="Arial" w:hAnsi="Arial"/>
        <w:color w:val="A6BFDD"/>
        <w:sz w:val="22"/>
      </w:rPr>
    </w:tblStylePr>
  </w:style>
  <w:style w:type="table" w:customStyle="1" w:styleId="GridTable7Colorful-Accent21">
    <w:name w:val="Grid Table 7 Colorful - Accent 21"/>
    <w:basedOn w:val="a3"/>
    <w:uiPriority w:val="99"/>
    <w:rsid w:val="00B1416C"/>
    <w:rPr>
      <w:rFonts w:ascii="Arial" w:eastAsia="Arial" w:hAnsi="Arial" w:cs="Arial"/>
      <w:sz w:val="22"/>
      <w:szCs w:val="22"/>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0" w:space="0" w:color="auto"/>
          <w:left w:val="none" w:sz="0" w:space="0" w:color="auto"/>
          <w:bottom w:val="single" w:sz="4" w:space="0" w:color="D99695"/>
          <w:right w:val="none" w:sz="0" w:space="0" w:color="auto"/>
        </w:tcBorders>
        <w:shd w:val="clear" w:color="FFFFFF" w:fill="auto"/>
      </w:tcPr>
    </w:tblStylePr>
    <w:tblStylePr w:type="lastRow">
      <w:rPr>
        <w:rFonts w:ascii="Arial" w:hAnsi="Arial"/>
        <w:b/>
        <w:color w:val="D99695"/>
        <w:sz w:val="22"/>
      </w:rPr>
      <w:tblPr/>
      <w:tcPr>
        <w:tcBorders>
          <w:top w:val="single" w:sz="4" w:space="0" w:color="D99695"/>
          <w:left w:val="none" w:sz="0" w:space="0" w:color="auto"/>
          <w:bottom w:val="none" w:sz="0" w:space="0" w:color="auto"/>
          <w:right w:val="none" w:sz="0" w:space="0" w:color="auto"/>
        </w:tcBorders>
        <w:shd w:val="clear" w:color="FFFFFF" w:fill="auto"/>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F2DCDC" w:fill="auto"/>
      </w:tcPr>
    </w:tblStylePr>
    <w:tblStylePr w:type="band1Horz">
      <w:rPr>
        <w:rFonts w:ascii="Arial" w:hAnsi="Arial"/>
        <w:color w:val="D99695"/>
        <w:sz w:val="22"/>
      </w:rPr>
      <w:tblPr/>
      <w:tcPr>
        <w:shd w:val="clear" w:color="F2DCDC" w:fill="auto"/>
      </w:tcPr>
    </w:tblStylePr>
    <w:tblStylePr w:type="band2Horz">
      <w:rPr>
        <w:rFonts w:ascii="Arial" w:hAnsi="Arial"/>
        <w:color w:val="D99695"/>
        <w:sz w:val="22"/>
      </w:rPr>
    </w:tblStylePr>
  </w:style>
  <w:style w:type="table" w:customStyle="1" w:styleId="GridTable7Colorful-Accent31">
    <w:name w:val="Grid Table 7 Colorful - Accent 31"/>
    <w:basedOn w:val="a3"/>
    <w:uiPriority w:val="99"/>
    <w:rsid w:val="00B1416C"/>
    <w:rPr>
      <w:rFonts w:ascii="Arial" w:eastAsia="Arial" w:hAnsi="Arial" w:cs="Arial"/>
      <w:sz w:val="22"/>
      <w:szCs w:val="22"/>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0" w:space="0" w:color="auto"/>
          <w:left w:val="none" w:sz="0" w:space="0" w:color="auto"/>
          <w:bottom w:val="single" w:sz="4" w:space="0" w:color="9ABB59"/>
          <w:right w:val="none" w:sz="0" w:space="0" w:color="auto"/>
        </w:tcBorders>
        <w:shd w:val="clear" w:color="FFFFFF" w:fill="auto"/>
      </w:tcPr>
    </w:tblStylePr>
    <w:tblStylePr w:type="lastRow">
      <w:rPr>
        <w:rFonts w:ascii="Arial" w:hAnsi="Arial"/>
        <w:b/>
        <w:color w:val="9ABB59"/>
        <w:sz w:val="22"/>
      </w:rPr>
      <w:tblPr/>
      <w:tcPr>
        <w:tcBorders>
          <w:top w:val="single" w:sz="4" w:space="0" w:color="9ABB59"/>
          <w:left w:val="none" w:sz="0" w:space="0" w:color="auto"/>
          <w:bottom w:val="none" w:sz="0" w:space="0" w:color="auto"/>
          <w:right w:val="none" w:sz="0" w:space="0" w:color="auto"/>
        </w:tcBorders>
        <w:shd w:val="clear" w:color="FFFFFF" w:fill="auto"/>
      </w:tcPr>
    </w:tblStylePr>
    <w:tblStylePr w:type="firstCol">
      <w:pPr>
        <w:jc w:val="right"/>
      </w:pPr>
      <w:rPr>
        <w:rFonts w:ascii="Arial" w:hAnsi="Arial"/>
        <w:i/>
        <w:color w:val="9ABB59"/>
        <w:sz w:val="22"/>
      </w:rPr>
      <w:tblPr/>
      <w:tcPr>
        <w:tcBorders>
          <w:top w:val="none" w:sz="0" w:space="0" w:color="auto"/>
          <w:left w:val="none" w:sz="0" w:space="0" w:color="auto"/>
          <w:bottom w:val="none" w:sz="0" w:space="0" w:color="auto"/>
          <w:right w:val="single" w:sz="4" w:space="0" w:color="9ABB59"/>
        </w:tcBorders>
        <w:shd w:val="clear" w:color="FFFFFF" w:fill="auto"/>
      </w:tcPr>
    </w:tblStylePr>
    <w:tblStylePr w:type="lastCol">
      <w:rPr>
        <w:rFonts w:ascii="Arial" w:hAnsi="Arial"/>
        <w:i/>
        <w:color w:val="9ABB59"/>
        <w:sz w:val="22"/>
      </w:rPr>
      <w:tblPr/>
      <w:tcPr>
        <w:tcBorders>
          <w:top w:val="none" w:sz="0" w:space="0" w:color="auto"/>
          <w:left w:val="single" w:sz="4" w:space="0" w:color="9ABB59"/>
          <w:bottom w:val="none" w:sz="0" w:space="0" w:color="auto"/>
          <w:right w:val="none" w:sz="0" w:space="0" w:color="auto"/>
        </w:tcBorders>
        <w:shd w:val="clear" w:color="FFFFFF" w:fill="auto"/>
      </w:tcPr>
    </w:tblStylePr>
    <w:tblStylePr w:type="band1Vert">
      <w:tblPr/>
      <w:tcPr>
        <w:shd w:val="clear" w:color="EAF1DC" w:fill="auto"/>
      </w:tcPr>
    </w:tblStylePr>
    <w:tblStylePr w:type="band1Horz">
      <w:rPr>
        <w:rFonts w:ascii="Arial" w:hAnsi="Arial"/>
        <w:color w:val="9ABB59"/>
        <w:sz w:val="22"/>
      </w:rPr>
      <w:tblPr/>
      <w:tcPr>
        <w:shd w:val="clear" w:color="EAF1DC" w:fill="auto"/>
      </w:tcPr>
    </w:tblStylePr>
    <w:tblStylePr w:type="band2Horz">
      <w:rPr>
        <w:rFonts w:ascii="Arial" w:hAnsi="Arial"/>
        <w:color w:val="9ABB59"/>
        <w:sz w:val="22"/>
      </w:rPr>
    </w:tblStylePr>
  </w:style>
  <w:style w:type="table" w:customStyle="1" w:styleId="GridTable7Colorful-Accent41">
    <w:name w:val="Grid Table 7 Colorful - Accent 41"/>
    <w:basedOn w:val="a3"/>
    <w:uiPriority w:val="99"/>
    <w:rsid w:val="00B1416C"/>
    <w:rPr>
      <w:rFonts w:ascii="Arial" w:eastAsia="Arial" w:hAnsi="Arial" w:cs="Arial"/>
      <w:sz w:val="22"/>
      <w:szCs w:val="22"/>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0" w:space="0" w:color="auto"/>
          <w:left w:val="none" w:sz="0" w:space="0" w:color="auto"/>
          <w:bottom w:val="single" w:sz="4" w:space="0" w:color="B2A1C6"/>
          <w:right w:val="none" w:sz="0" w:space="0" w:color="auto"/>
        </w:tcBorders>
        <w:shd w:val="clear" w:color="FFFFFF" w:fill="auto"/>
      </w:tcPr>
    </w:tblStylePr>
    <w:tblStylePr w:type="lastRow">
      <w:rPr>
        <w:rFonts w:ascii="Arial" w:hAnsi="Arial"/>
        <w:b/>
        <w:color w:val="B2A1C6"/>
        <w:sz w:val="22"/>
      </w:rPr>
      <w:tblPr/>
      <w:tcPr>
        <w:tcBorders>
          <w:top w:val="single" w:sz="4" w:space="0" w:color="B2A1C6"/>
          <w:left w:val="none" w:sz="0" w:space="0" w:color="auto"/>
          <w:bottom w:val="none" w:sz="0" w:space="0" w:color="auto"/>
          <w:right w:val="none" w:sz="0" w:space="0" w:color="auto"/>
        </w:tcBorders>
        <w:shd w:val="clear" w:color="FFFFFF" w:fill="auto"/>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E5DFEC" w:fill="auto"/>
      </w:tcPr>
    </w:tblStylePr>
    <w:tblStylePr w:type="band1Horz">
      <w:rPr>
        <w:rFonts w:ascii="Arial" w:hAnsi="Arial"/>
        <w:color w:val="B2A1C6"/>
        <w:sz w:val="22"/>
      </w:rPr>
      <w:tblPr/>
      <w:tcPr>
        <w:shd w:val="clear" w:color="E5DFEC" w:fill="auto"/>
      </w:tcPr>
    </w:tblStylePr>
    <w:tblStylePr w:type="band2Horz">
      <w:rPr>
        <w:rFonts w:ascii="Arial" w:hAnsi="Arial"/>
        <w:color w:val="B2A1C6"/>
        <w:sz w:val="22"/>
      </w:rPr>
    </w:tblStylePr>
  </w:style>
  <w:style w:type="table" w:customStyle="1" w:styleId="GridTable7Colorful-Accent51">
    <w:name w:val="Grid Table 7 Colorful - Accent 51"/>
    <w:basedOn w:val="a3"/>
    <w:uiPriority w:val="99"/>
    <w:rsid w:val="00B1416C"/>
    <w:rPr>
      <w:rFonts w:ascii="Arial" w:eastAsia="Arial" w:hAnsi="Arial" w:cs="Arial"/>
      <w:sz w:val="22"/>
      <w:szCs w:val="22"/>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0" w:space="0" w:color="auto"/>
          <w:left w:val="none" w:sz="0" w:space="0" w:color="auto"/>
          <w:bottom w:val="single" w:sz="4" w:space="0" w:color="99D0DE"/>
          <w:right w:val="none" w:sz="0" w:space="0" w:color="auto"/>
        </w:tcBorders>
        <w:shd w:val="clear" w:color="FFFFFF" w:fill="auto"/>
      </w:tcPr>
    </w:tblStylePr>
    <w:tblStylePr w:type="lastRow">
      <w:rPr>
        <w:rFonts w:ascii="Arial" w:hAnsi="Arial"/>
        <w:b/>
        <w:color w:val="266779"/>
        <w:sz w:val="22"/>
      </w:rPr>
      <w:tblPr/>
      <w:tcPr>
        <w:tcBorders>
          <w:top w:val="single" w:sz="4" w:space="0" w:color="99D0DE"/>
          <w:left w:val="none" w:sz="0" w:space="0" w:color="auto"/>
          <w:bottom w:val="none" w:sz="0" w:space="0" w:color="auto"/>
          <w:right w:val="none" w:sz="0" w:space="0" w:color="auto"/>
        </w:tcBorders>
        <w:shd w:val="clear" w:color="FFFFFF" w:fill="auto"/>
      </w:tcPr>
    </w:tblStylePr>
    <w:tblStylePr w:type="firstCol">
      <w:pPr>
        <w:jc w:val="right"/>
      </w:pPr>
      <w:rPr>
        <w:rFonts w:ascii="Arial" w:hAnsi="Arial"/>
        <w:i/>
        <w:color w:val="266779"/>
        <w:sz w:val="22"/>
      </w:rPr>
      <w:tblPr/>
      <w:tcPr>
        <w:tcBorders>
          <w:top w:val="none" w:sz="0" w:space="0" w:color="auto"/>
          <w:left w:val="none" w:sz="0" w:space="0" w:color="auto"/>
          <w:bottom w:val="none" w:sz="0" w:space="0" w:color="auto"/>
          <w:right w:val="single" w:sz="4" w:space="0" w:color="99D0DE"/>
        </w:tcBorders>
        <w:shd w:val="clear" w:color="FFFFFF" w:fill="auto"/>
      </w:tcPr>
    </w:tblStylePr>
    <w:tblStylePr w:type="lastCol">
      <w:rPr>
        <w:rFonts w:ascii="Arial" w:hAnsi="Arial"/>
        <w:i/>
        <w:color w:val="266779"/>
        <w:sz w:val="22"/>
      </w:rPr>
      <w:tblPr/>
      <w:tcPr>
        <w:tcBorders>
          <w:top w:val="none" w:sz="0" w:space="0" w:color="auto"/>
          <w:left w:val="single" w:sz="4" w:space="0" w:color="99D0DE"/>
          <w:bottom w:val="none" w:sz="0" w:space="0" w:color="auto"/>
          <w:right w:val="none" w:sz="0" w:space="0" w:color="auto"/>
        </w:tcBorders>
        <w:shd w:val="clear" w:color="FFFFFF" w:fill="auto"/>
      </w:tcPr>
    </w:tblStylePr>
    <w:tblStylePr w:type="band1Vert">
      <w:tblPr/>
      <w:tcPr>
        <w:shd w:val="clear" w:color="DAEEF3" w:fill="auto"/>
      </w:tcPr>
    </w:tblStylePr>
    <w:tblStylePr w:type="band1Horz">
      <w:rPr>
        <w:rFonts w:ascii="Arial" w:hAnsi="Arial"/>
        <w:color w:val="266779"/>
        <w:sz w:val="22"/>
      </w:rPr>
      <w:tblPr/>
      <w:tcPr>
        <w:shd w:val="clear" w:color="DAEEF3" w:fill="auto"/>
      </w:tcPr>
    </w:tblStylePr>
    <w:tblStylePr w:type="band2Horz">
      <w:rPr>
        <w:rFonts w:ascii="Arial" w:hAnsi="Arial"/>
        <w:color w:val="266779"/>
        <w:sz w:val="22"/>
      </w:rPr>
    </w:tblStylePr>
  </w:style>
  <w:style w:type="table" w:customStyle="1" w:styleId="GridTable7Colorful-Accent61">
    <w:name w:val="Grid Table 7 Colorful - Accent 61"/>
    <w:basedOn w:val="a3"/>
    <w:uiPriority w:val="99"/>
    <w:rsid w:val="00B1416C"/>
    <w:rPr>
      <w:rFonts w:ascii="Arial" w:eastAsia="Arial" w:hAnsi="Arial" w:cs="Arial"/>
      <w:sz w:val="22"/>
      <w:szCs w:val="22"/>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0" w:space="0" w:color="auto"/>
          <w:left w:val="none" w:sz="0" w:space="0" w:color="auto"/>
          <w:bottom w:val="single" w:sz="4" w:space="0" w:color="FAC396"/>
          <w:right w:val="none" w:sz="0" w:space="0" w:color="auto"/>
        </w:tcBorders>
        <w:shd w:val="clear" w:color="FFFFFF" w:fill="auto"/>
      </w:tcPr>
    </w:tblStylePr>
    <w:tblStylePr w:type="lastRow">
      <w:rPr>
        <w:rFonts w:ascii="Arial" w:hAnsi="Arial"/>
        <w:b/>
        <w:color w:val="B15407"/>
        <w:sz w:val="22"/>
      </w:rPr>
      <w:tblPr/>
      <w:tcPr>
        <w:tcBorders>
          <w:top w:val="single" w:sz="4" w:space="0" w:color="FAC396"/>
          <w:left w:val="none" w:sz="0" w:space="0" w:color="auto"/>
          <w:bottom w:val="none" w:sz="0" w:space="0" w:color="auto"/>
          <w:right w:val="none" w:sz="0" w:space="0" w:color="auto"/>
        </w:tcBorders>
        <w:shd w:val="clear" w:color="FFFFFF" w:fill="auto"/>
      </w:tcPr>
    </w:tblStylePr>
    <w:tblStylePr w:type="firstCol">
      <w:pPr>
        <w:jc w:val="right"/>
      </w:pPr>
      <w:rPr>
        <w:rFonts w:ascii="Arial" w:hAnsi="Arial"/>
        <w:i/>
        <w:color w:val="B15407"/>
        <w:sz w:val="22"/>
      </w:rPr>
      <w:tblPr/>
      <w:tcPr>
        <w:tcBorders>
          <w:top w:val="none" w:sz="0" w:space="0" w:color="auto"/>
          <w:left w:val="none" w:sz="0" w:space="0" w:color="auto"/>
          <w:bottom w:val="none" w:sz="0" w:space="0" w:color="auto"/>
          <w:right w:val="single" w:sz="4" w:space="0" w:color="FAC396"/>
        </w:tcBorders>
        <w:shd w:val="clear" w:color="FFFFFF" w:fill="auto"/>
      </w:tcPr>
    </w:tblStylePr>
    <w:tblStylePr w:type="lastCol">
      <w:rPr>
        <w:rFonts w:ascii="Arial" w:hAnsi="Arial"/>
        <w:i/>
        <w:color w:val="B15407"/>
        <w:sz w:val="22"/>
      </w:rPr>
      <w:tblPr/>
      <w:tcPr>
        <w:tcBorders>
          <w:top w:val="none" w:sz="0" w:space="0" w:color="auto"/>
          <w:left w:val="single" w:sz="4" w:space="0" w:color="FAC396"/>
          <w:bottom w:val="none" w:sz="0" w:space="0" w:color="auto"/>
          <w:right w:val="none" w:sz="0" w:space="0" w:color="auto"/>
        </w:tcBorders>
        <w:shd w:val="clear" w:color="FFFFFF" w:fill="auto"/>
      </w:tcPr>
    </w:tblStylePr>
    <w:tblStylePr w:type="band1Vert">
      <w:tblPr/>
      <w:tcPr>
        <w:shd w:val="clear" w:color="FDE9D8" w:fill="auto"/>
      </w:tcPr>
    </w:tblStylePr>
    <w:tblStylePr w:type="band1Horz">
      <w:rPr>
        <w:rFonts w:ascii="Arial" w:hAnsi="Arial"/>
        <w:color w:val="B15407"/>
        <w:sz w:val="22"/>
      </w:rPr>
      <w:tblPr/>
      <w:tcPr>
        <w:shd w:val="clear" w:color="FDE9D8" w:fill="auto"/>
      </w:tcPr>
    </w:tblStylePr>
    <w:tblStylePr w:type="band2Horz">
      <w:rPr>
        <w:rFonts w:ascii="Arial" w:hAnsi="Arial"/>
        <w:color w:val="B15407"/>
        <w:sz w:val="22"/>
      </w:rPr>
    </w:tblStylePr>
  </w:style>
  <w:style w:type="table" w:customStyle="1" w:styleId="-1110">
    <w:name w:val="Список-таблица 1 светлая11"/>
    <w:basedOn w:val="a3"/>
    <w:uiPriority w:val="99"/>
    <w:rsid w:val="00B1416C"/>
    <w:rPr>
      <w:rFonts w:ascii="Arial" w:eastAsia="Arial" w:hAnsi="Arial" w:cs="Arial"/>
      <w:sz w:val="22"/>
      <w:szCs w:val="22"/>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auto"/>
      </w:tcPr>
    </w:tblStylePr>
    <w:tblStylePr w:type="band1Horz">
      <w:tblPr/>
      <w:tcPr>
        <w:shd w:val="clear" w:color="BFBFBF" w:fill="auto"/>
      </w:tcPr>
    </w:tblStylePr>
  </w:style>
  <w:style w:type="table" w:customStyle="1" w:styleId="ListTable1Light-Accent11">
    <w:name w:val="List Table 1 Light - Accent 11"/>
    <w:basedOn w:val="a3"/>
    <w:uiPriority w:val="99"/>
    <w:rsid w:val="00B1416C"/>
    <w:rPr>
      <w:rFonts w:ascii="Arial" w:eastAsia="Arial" w:hAnsi="Arial" w:cs="Arial"/>
      <w:sz w:val="22"/>
      <w:szCs w:val="22"/>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auto"/>
      </w:tcPr>
    </w:tblStylePr>
    <w:tblStylePr w:type="band1Horz">
      <w:tblPr/>
      <w:tcPr>
        <w:shd w:val="clear" w:color="D2DFEE" w:fill="auto"/>
      </w:tcPr>
    </w:tblStylePr>
  </w:style>
  <w:style w:type="table" w:customStyle="1" w:styleId="ListTable1Light-Accent21">
    <w:name w:val="List Table 1 Light - Accent 21"/>
    <w:basedOn w:val="a3"/>
    <w:uiPriority w:val="99"/>
    <w:rsid w:val="00B1416C"/>
    <w:rPr>
      <w:rFonts w:ascii="Arial" w:eastAsia="Arial" w:hAnsi="Arial" w:cs="Arial"/>
      <w:sz w:val="22"/>
      <w:szCs w:val="22"/>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auto"/>
      </w:tcPr>
    </w:tblStylePr>
    <w:tblStylePr w:type="band1Horz">
      <w:tblPr/>
      <w:tcPr>
        <w:shd w:val="clear" w:color="EFD2D2" w:fill="auto"/>
      </w:tcPr>
    </w:tblStylePr>
  </w:style>
  <w:style w:type="table" w:customStyle="1" w:styleId="ListTable1Light-Accent31">
    <w:name w:val="List Table 1 Light - Accent 31"/>
    <w:basedOn w:val="a3"/>
    <w:uiPriority w:val="99"/>
    <w:rsid w:val="00B1416C"/>
    <w:rPr>
      <w:rFonts w:ascii="Arial" w:eastAsia="Arial" w:hAnsi="Arial" w:cs="Arial"/>
      <w:sz w:val="22"/>
      <w:szCs w:val="22"/>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auto"/>
      </w:tcPr>
    </w:tblStylePr>
    <w:tblStylePr w:type="band1Horz">
      <w:tblPr/>
      <w:tcPr>
        <w:shd w:val="clear" w:color="E5EED5" w:fill="auto"/>
      </w:tcPr>
    </w:tblStylePr>
  </w:style>
  <w:style w:type="table" w:customStyle="1" w:styleId="ListTable1Light-Accent41">
    <w:name w:val="List Table 1 Light - Accent 41"/>
    <w:basedOn w:val="a3"/>
    <w:uiPriority w:val="99"/>
    <w:rsid w:val="00B1416C"/>
    <w:rPr>
      <w:rFonts w:ascii="Arial" w:eastAsia="Arial" w:hAnsi="Arial" w:cs="Arial"/>
      <w:sz w:val="22"/>
      <w:szCs w:val="22"/>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auto"/>
      </w:tcPr>
    </w:tblStylePr>
    <w:tblStylePr w:type="band1Horz">
      <w:tblPr/>
      <w:tcPr>
        <w:shd w:val="clear" w:color="DFD8E7" w:fill="auto"/>
      </w:tcPr>
    </w:tblStylePr>
  </w:style>
  <w:style w:type="table" w:customStyle="1" w:styleId="ListTable1Light-Accent51">
    <w:name w:val="List Table 1 Light - Accent 51"/>
    <w:basedOn w:val="a3"/>
    <w:uiPriority w:val="99"/>
    <w:rsid w:val="00B1416C"/>
    <w:rPr>
      <w:rFonts w:ascii="Arial" w:eastAsia="Arial" w:hAnsi="Arial" w:cs="Arial"/>
      <w:sz w:val="22"/>
      <w:szCs w:val="22"/>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auto"/>
      </w:tcPr>
    </w:tblStylePr>
    <w:tblStylePr w:type="band1Horz">
      <w:tblPr/>
      <w:tcPr>
        <w:shd w:val="clear" w:color="D1EAF0" w:fill="auto"/>
      </w:tcPr>
    </w:tblStylePr>
  </w:style>
  <w:style w:type="table" w:customStyle="1" w:styleId="ListTable1Light-Accent61">
    <w:name w:val="List Table 1 Light - Accent 61"/>
    <w:basedOn w:val="a3"/>
    <w:uiPriority w:val="99"/>
    <w:rsid w:val="00B1416C"/>
    <w:rPr>
      <w:rFonts w:ascii="Arial" w:eastAsia="Arial" w:hAnsi="Arial" w:cs="Arial"/>
      <w:sz w:val="22"/>
      <w:szCs w:val="22"/>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auto"/>
      </w:tcPr>
    </w:tblStylePr>
    <w:tblStylePr w:type="band1Horz">
      <w:tblPr/>
      <w:tcPr>
        <w:shd w:val="clear" w:color="FDE4D0" w:fill="auto"/>
      </w:tcPr>
    </w:tblStylePr>
  </w:style>
  <w:style w:type="table" w:customStyle="1" w:styleId="-2110">
    <w:name w:val="Список-таблица 211"/>
    <w:basedOn w:val="a3"/>
    <w:uiPriority w:val="99"/>
    <w:rsid w:val="00B1416C"/>
    <w:rPr>
      <w:rFonts w:ascii="Arial" w:eastAsia="Arial" w:hAnsi="Arial" w:cs="Arial"/>
      <w:sz w:val="22"/>
      <w:szCs w:val="22"/>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auto"/>
      </w:tcPr>
    </w:tblStylePr>
    <w:tblStylePr w:type="band1Horz">
      <w:rPr>
        <w:rFonts w:ascii="Arial" w:hAnsi="Arial"/>
        <w:color w:val="404040"/>
        <w:sz w:val="22"/>
      </w:rPr>
      <w:tblPr/>
      <w:tcPr>
        <w:shd w:val="clear" w:color="BFBFBF" w:fill="auto"/>
      </w:tcPr>
    </w:tblStylePr>
  </w:style>
  <w:style w:type="table" w:customStyle="1" w:styleId="ListTable2-Accent11">
    <w:name w:val="List Table 2 - Accent 11"/>
    <w:basedOn w:val="a3"/>
    <w:uiPriority w:val="99"/>
    <w:rsid w:val="00B1416C"/>
    <w:rPr>
      <w:rFonts w:ascii="Arial" w:eastAsia="Arial" w:hAnsi="Arial" w:cs="Arial"/>
      <w:sz w:val="22"/>
      <w:szCs w:val="22"/>
    </w:rPr>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auto"/>
      </w:tcPr>
    </w:tblStylePr>
    <w:tblStylePr w:type="band1Horz">
      <w:rPr>
        <w:rFonts w:ascii="Arial" w:hAnsi="Arial"/>
        <w:color w:val="404040"/>
        <w:sz w:val="22"/>
      </w:rPr>
      <w:tblPr/>
      <w:tcPr>
        <w:shd w:val="clear" w:color="D2DFEE" w:fill="auto"/>
      </w:tcPr>
    </w:tblStylePr>
  </w:style>
  <w:style w:type="table" w:customStyle="1" w:styleId="ListTable2-Accent21">
    <w:name w:val="List Table 2 - Accent 21"/>
    <w:basedOn w:val="a3"/>
    <w:uiPriority w:val="99"/>
    <w:rsid w:val="00B1416C"/>
    <w:rPr>
      <w:rFonts w:ascii="Arial" w:eastAsia="Arial" w:hAnsi="Arial" w:cs="Arial"/>
      <w:sz w:val="22"/>
      <w:szCs w:val="22"/>
    </w:rPr>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auto"/>
      </w:tcPr>
    </w:tblStylePr>
    <w:tblStylePr w:type="band1Horz">
      <w:rPr>
        <w:rFonts w:ascii="Arial" w:hAnsi="Arial"/>
        <w:color w:val="404040"/>
        <w:sz w:val="22"/>
      </w:rPr>
      <w:tblPr/>
      <w:tcPr>
        <w:shd w:val="clear" w:color="EFD2D2" w:fill="auto"/>
      </w:tcPr>
    </w:tblStylePr>
  </w:style>
  <w:style w:type="table" w:customStyle="1" w:styleId="ListTable2-Accent31">
    <w:name w:val="List Table 2 - Accent 31"/>
    <w:basedOn w:val="a3"/>
    <w:uiPriority w:val="99"/>
    <w:rsid w:val="00B1416C"/>
    <w:rPr>
      <w:rFonts w:ascii="Arial" w:eastAsia="Arial" w:hAnsi="Arial" w:cs="Arial"/>
      <w:sz w:val="22"/>
      <w:szCs w:val="22"/>
    </w:rPr>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auto"/>
      </w:tcPr>
    </w:tblStylePr>
    <w:tblStylePr w:type="band1Horz">
      <w:rPr>
        <w:rFonts w:ascii="Arial" w:hAnsi="Arial"/>
        <w:color w:val="404040"/>
        <w:sz w:val="22"/>
      </w:rPr>
      <w:tblPr/>
      <w:tcPr>
        <w:shd w:val="clear" w:color="E5EED5" w:fill="auto"/>
      </w:tcPr>
    </w:tblStylePr>
  </w:style>
  <w:style w:type="table" w:customStyle="1" w:styleId="ListTable2-Accent41">
    <w:name w:val="List Table 2 - Accent 41"/>
    <w:basedOn w:val="a3"/>
    <w:uiPriority w:val="99"/>
    <w:rsid w:val="00B1416C"/>
    <w:rPr>
      <w:rFonts w:ascii="Arial" w:eastAsia="Arial" w:hAnsi="Arial" w:cs="Arial"/>
      <w:sz w:val="22"/>
      <w:szCs w:val="22"/>
    </w:rPr>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auto"/>
      </w:tcPr>
    </w:tblStylePr>
    <w:tblStylePr w:type="band1Horz">
      <w:rPr>
        <w:rFonts w:ascii="Arial" w:hAnsi="Arial"/>
        <w:color w:val="404040"/>
        <w:sz w:val="22"/>
      </w:rPr>
      <w:tblPr/>
      <w:tcPr>
        <w:shd w:val="clear" w:color="DFD8E7" w:fill="auto"/>
      </w:tcPr>
    </w:tblStylePr>
  </w:style>
  <w:style w:type="table" w:customStyle="1" w:styleId="ListTable2-Accent51">
    <w:name w:val="List Table 2 - Accent 51"/>
    <w:basedOn w:val="a3"/>
    <w:uiPriority w:val="99"/>
    <w:rsid w:val="00B1416C"/>
    <w:rPr>
      <w:rFonts w:ascii="Arial" w:eastAsia="Arial" w:hAnsi="Arial" w:cs="Arial"/>
      <w:sz w:val="22"/>
      <w:szCs w:val="22"/>
    </w:rPr>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auto"/>
      </w:tcPr>
    </w:tblStylePr>
    <w:tblStylePr w:type="band1Horz">
      <w:rPr>
        <w:rFonts w:ascii="Arial" w:hAnsi="Arial"/>
        <w:color w:val="404040"/>
        <w:sz w:val="22"/>
      </w:rPr>
      <w:tblPr/>
      <w:tcPr>
        <w:shd w:val="clear" w:color="D1EAF0" w:fill="auto"/>
      </w:tcPr>
    </w:tblStylePr>
  </w:style>
  <w:style w:type="table" w:customStyle="1" w:styleId="ListTable2-Accent61">
    <w:name w:val="List Table 2 - Accent 61"/>
    <w:basedOn w:val="a3"/>
    <w:uiPriority w:val="99"/>
    <w:rsid w:val="00B1416C"/>
    <w:rPr>
      <w:rFonts w:ascii="Arial" w:eastAsia="Arial" w:hAnsi="Arial" w:cs="Arial"/>
      <w:sz w:val="22"/>
      <w:szCs w:val="22"/>
    </w:rPr>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auto"/>
      </w:tcPr>
    </w:tblStylePr>
    <w:tblStylePr w:type="band1Horz">
      <w:rPr>
        <w:rFonts w:ascii="Arial" w:hAnsi="Arial"/>
        <w:color w:val="404040"/>
        <w:sz w:val="22"/>
      </w:rPr>
      <w:tblPr/>
      <w:tcPr>
        <w:shd w:val="clear" w:color="FDE4D0" w:fill="auto"/>
      </w:tcPr>
    </w:tblStylePr>
  </w:style>
  <w:style w:type="table" w:customStyle="1" w:styleId="-3110">
    <w:name w:val="Список-таблица 311"/>
    <w:basedOn w:val="a3"/>
    <w:uiPriority w:val="99"/>
    <w:rsid w:val="00B1416C"/>
    <w:rPr>
      <w:rFonts w:ascii="Arial" w:eastAsia="Arial" w:hAnsi="Arial" w:cs="Arial"/>
      <w:sz w:val="22"/>
      <w:szCs w:val="22"/>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1">
    <w:name w:val="List Table 3 - Accent 11"/>
    <w:basedOn w:val="a3"/>
    <w:uiPriority w:val="99"/>
    <w:rsid w:val="00B1416C"/>
    <w:rPr>
      <w:rFonts w:ascii="Arial" w:eastAsia="Arial" w:hAnsi="Arial" w:cs="Arial"/>
      <w:sz w:val="22"/>
      <w:szCs w:val="22"/>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1">
    <w:name w:val="List Table 3 - Accent 21"/>
    <w:basedOn w:val="a3"/>
    <w:uiPriority w:val="99"/>
    <w:rsid w:val="00B1416C"/>
    <w:rPr>
      <w:rFonts w:ascii="Arial" w:eastAsia="Arial" w:hAnsi="Arial" w:cs="Arial"/>
      <w:sz w:val="22"/>
      <w:szCs w:val="22"/>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1">
    <w:name w:val="List Table 3 - Accent 31"/>
    <w:basedOn w:val="a3"/>
    <w:uiPriority w:val="99"/>
    <w:rsid w:val="00B1416C"/>
    <w:rPr>
      <w:rFonts w:ascii="Arial" w:eastAsia="Arial" w:hAnsi="Arial" w:cs="Arial"/>
      <w:sz w:val="22"/>
      <w:szCs w:val="22"/>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1">
    <w:name w:val="List Table 3 - Accent 41"/>
    <w:basedOn w:val="a3"/>
    <w:uiPriority w:val="99"/>
    <w:rsid w:val="00B1416C"/>
    <w:rPr>
      <w:rFonts w:ascii="Arial" w:eastAsia="Arial" w:hAnsi="Arial" w:cs="Arial"/>
      <w:sz w:val="22"/>
      <w:szCs w:val="22"/>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1">
    <w:name w:val="List Table 3 - Accent 51"/>
    <w:basedOn w:val="a3"/>
    <w:uiPriority w:val="99"/>
    <w:rsid w:val="00B1416C"/>
    <w:rPr>
      <w:rFonts w:ascii="Arial" w:eastAsia="Arial" w:hAnsi="Arial" w:cs="Arial"/>
      <w:sz w:val="22"/>
      <w:szCs w:val="22"/>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1">
    <w:name w:val="List Table 3 - Accent 61"/>
    <w:basedOn w:val="a3"/>
    <w:uiPriority w:val="99"/>
    <w:rsid w:val="00B1416C"/>
    <w:rPr>
      <w:rFonts w:ascii="Arial" w:eastAsia="Arial" w:hAnsi="Arial" w:cs="Arial"/>
      <w:sz w:val="22"/>
      <w:szCs w:val="22"/>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10">
    <w:name w:val="Список-таблица 411"/>
    <w:basedOn w:val="a3"/>
    <w:uiPriority w:val="99"/>
    <w:rsid w:val="00B1416C"/>
    <w:rPr>
      <w:rFonts w:ascii="Arial" w:eastAsia="Arial" w:hAnsi="Arial" w:cs="Arial"/>
      <w:sz w:val="22"/>
      <w:szCs w:val="22"/>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auto"/>
      </w:tcPr>
    </w:tblStylePr>
    <w:tblStylePr w:type="band1Horz">
      <w:rPr>
        <w:rFonts w:ascii="Arial" w:hAnsi="Arial"/>
        <w:color w:val="404040"/>
        <w:sz w:val="22"/>
      </w:rPr>
      <w:tblPr/>
      <w:tcPr>
        <w:shd w:val="clear" w:color="BFBFBF" w:fill="auto"/>
      </w:tcPr>
    </w:tblStylePr>
  </w:style>
  <w:style w:type="table" w:customStyle="1" w:styleId="ListTable4-Accent11">
    <w:name w:val="List Table 4 - Accent 11"/>
    <w:basedOn w:val="a3"/>
    <w:uiPriority w:val="99"/>
    <w:rsid w:val="00B1416C"/>
    <w:rPr>
      <w:rFonts w:ascii="Arial" w:eastAsia="Arial" w:hAnsi="Arial" w:cs="Arial"/>
      <w:sz w:val="22"/>
      <w:szCs w:val="22"/>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auto"/>
      </w:tcPr>
    </w:tblStylePr>
    <w:tblStylePr w:type="band1Horz">
      <w:rPr>
        <w:rFonts w:ascii="Arial" w:hAnsi="Arial"/>
        <w:color w:val="404040"/>
        <w:sz w:val="22"/>
      </w:rPr>
      <w:tblPr/>
      <w:tcPr>
        <w:shd w:val="clear" w:color="D2DFEE" w:fill="auto"/>
      </w:tcPr>
    </w:tblStylePr>
  </w:style>
  <w:style w:type="table" w:customStyle="1" w:styleId="ListTable4-Accent21">
    <w:name w:val="List Table 4 - Accent 21"/>
    <w:basedOn w:val="a3"/>
    <w:uiPriority w:val="99"/>
    <w:rsid w:val="00B1416C"/>
    <w:rPr>
      <w:rFonts w:ascii="Arial" w:eastAsia="Arial" w:hAnsi="Arial" w:cs="Arial"/>
      <w:sz w:val="22"/>
      <w:szCs w:val="22"/>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auto"/>
      </w:tcPr>
    </w:tblStylePr>
    <w:tblStylePr w:type="band1Horz">
      <w:rPr>
        <w:rFonts w:ascii="Arial" w:hAnsi="Arial"/>
        <w:color w:val="404040"/>
        <w:sz w:val="22"/>
      </w:rPr>
      <w:tblPr/>
      <w:tcPr>
        <w:shd w:val="clear" w:color="EFD2D2" w:fill="auto"/>
      </w:tcPr>
    </w:tblStylePr>
  </w:style>
  <w:style w:type="table" w:customStyle="1" w:styleId="ListTable4-Accent31">
    <w:name w:val="List Table 4 - Accent 31"/>
    <w:basedOn w:val="a3"/>
    <w:uiPriority w:val="99"/>
    <w:rsid w:val="00B1416C"/>
    <w:rPr>
      <w:rFonts w:ascii="Arial" w:eastAsia="Arial" w:hAnsi="Arial" w:cs="Arial"/>
      <w:sz w:val="22"/>
      <w:szCs w:val="22"/>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auto"/>
      </w:tcPr>
    </w:tblStylePr>
    <w:tblStylePr w:type="band1Horz">
      <w:rPr>
        <w:rFonts w:ascii="Arial" w:hAnsi="Arial"/>
        <w:color w:val="404040"/>
        <w:sz w:val="22"/>
      </w:rPr>
      <w:tblPr/>
      <w:tcPr>
        <w:shd w:val="clear" w:color="E5EED5" w:fill="auto"/>
      </w:tcPr>
    </w:tblStylePr>
  </w:style>
  <w:style w:type="table" w:customStyle="1" w:styleId="ListTable4-Accent41">
    <w:name w:val="List Table 4 - Accent 41"/>
    <w:basedOn w:val="a3"/>
    <w:uiPriority w:val="99"/>
    <w:rsid w:val="00B1416C"/>
    <w:rPr>
      <w:rFonts w:ascii="Arial" w:eastAsia="Arial" w:hAnsi="Arial" w:cs="Arial"/>
      <w:sz w:val="22"/>
      <w:szCs w:val="22"/>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auto"/>
      </w:tcPr>
    </w:tblStylePr>
    <w:tblStylePr w:type="band1Horz">
      <w:rPr>
        <w:rFonts w:ascii="Arial" w:hAnsi="Arial"/>
        <w:color w:val="404040"/>
        <w:sz w:val="22"/>
      </w:rPr>
      <w:tblPr/>
      <w:tcPr>
        <w:shd w:val="clear" w:color="DFD8E7" w:fill="auto"/>
      </w:tcPr>
    </w:tblStylePr>
  </w:style>
  <w:style w:type="table" w:customStyle="1" w:styleId="ListTable4-Accent51">
    <w:name w:val="List Table 4 - Accent 51"/>
    <w:basedOn w:val="a3"/>
    <w:uiPriority w:val="99"/>
    <w:rsid w:val="00B1416C"/>
    <w:rPr>
      <w:rFonts w:ascii="Arial" w:eastAsia="Arial" w:hAnsi="Arial" w:cs="Arial"/>
      <w:sz w:val="22"/>
      <w:szCs w:val="22"/>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auto"/>
      </w:tcPr>
    </w:tblStylePr>
    <w:tblStylePr w:type="band1Horz">
      <w:rPr>
        <w:rFonts w:ascii="Arial" w:hAnsi="Arial"/>
        <w:color w:val="404040"/>
        <w:sz w:val="22"/>
      </w:rPr>
      <w:tblPr/>
      <w:tcPr>
        <w:shd w:val="clear" w:color="D1EAF0" w:fill="auto"/>
      </w:tcPr>
    </w:tblStylePr>
  </w:style>
  <w:style w:type="table" w:customStyle="1" w:styleId="ListTable4-Accent61">
    <w:name w:val="List Table 4 - Accent 61"/>
    <w:basedOn w:val="a3"/>
    <w:uiPriority w:val="99"/>
    <w:rsid w:val="00B1416C"/>
    <w:rPr>
      <w:rFonts w:ascii="Arial" w:eastAsia="Arial" w:hAnsi="Arial" w:cs="Arial"/>
      <w:sz w:val="22"/>
      <w:szCs w:val="22"/>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auto"/>
      </w:tcPr>
    </w:tblStylePr>
    <w:tblStylePr w:type="band1Horz">
      <w:rPr>
        <w:rFonts w:ascii="Arial" w:hAnsi="Arial"/>
        <w:color w:val="404040"/>
        <w:sz w:val="22"/>
      </w:rPr>
      <w:tblPr/>
      <w:tcPr>
        <w:shd w:val="clear" w:color="FDE4D0" w:fill="auto"/>
      </w:tcPr>
    </w:tblStylePr>
  </w:style>
  <w:style w:type="table" w:customStyle="1" w:styleId="-5110">
    <w:name w:val="Список-таблица 5 темная11"/>
    <w:basedOn w:val="a3"/>
    <w:uiPriority w:val="99"/>
    <w:rsid w:val="00B1416C"/>
    <w:rPr>
      <w:rFonts w:ascii="Arial" w:eastAsia="Arial" w:hAnsi="Arial" w:cs="Arial"/>
      <w:sz w:val="22"/>
      <w:szCs w:val="22"/>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auto"/>
    </w:tblPr>
    <w:tblStylePr w:type="firstRow">
      <w:rPr>
        <w:rFonts w:ascii="Arial" w:hAnsi="Arial"/>
        <w:b/>
        <w:color w:val="FFFFFF"/>
        <w:sz w:val="22"/>
      </w:rPr>
      <w:tblPr/>
      <w:tcPr>
        <w:tcBorders>
          <w:top w:val="single" w:sz="32" w:space="0" w:color="7F7F7F"/>
          <w:bottom w:val="single" w:sz="12" w:space="0" w:color="FFFFFF"/>
        </w:tcBorders>
        <w:shd w:val="clear" w:color="7F7F7F" w:fill="auto"/>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auto"/>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auto"/>
      </w:tcPr>
    </w:tblStylePr>
    <w:tblStylePr w:type="band2Horz">
      <w:tblPr/>
      <w:tcPr>
        <w:tcBorders>
          <w:top w:val="single" w:sz="4" w:space="0" w:color="FFFFFF"/>
          <w:bottom w:val="single" w:sz="4" w:space="0" w:color="FFFFFF"/>
        </w:tcBorders>
        <w:shd w:val="clear" w:color="7F7F7F" w:fill="auto"/>
      </w:tcPr>
    </w:tblStylePr>
  </w:style>
  <w:style w:type="table" w:customStyle="1" w:styleId="ListTable5Dark-Accent11">
    <w:name w:val="List Table 5 Dark - Accent 11"/>
    <w:basedOn w:val="a3"/>
    <w:uiPriority w:val="99"/>
    <w:rsid w:val="00B1416C"/>
    <w:rPr>
      <w:rFonts w:ascii="Arial" w:eastAsia="Arial" w:hAnsi="Arial" w:cs="Arial"/>
      <w:sz w:val="22"/>
      <w:szCs w:val="22"/>
    </w:rPr>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auto"/>
    </w:tblPr>
    <w:tblStylePr w:type="firstRow">
      <w:rPr>
        <w:rFonts w:ascii="Arial" w:hAnsi="Arial"/>
        <w:b/>
        <w:color w:val="FFFFFF"/>
        <w:sz w:val="22"/>
      </w:rPr>
      <w:tblPr/>
      <w:tcPr>
        <w:tcBorders>
          <w:top w:val="single" w:sz="32" w:space="0" w:color="4F81BD"/>
          <w:bottom w:val="single" w:sz="12" w:space="0" w:color="FFFFFF"/>
        </w:tcBorders>
        <w:shd w:val="clear" w:color="4F81BD" w:fill="auto"/>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auto"/>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auto"/>
      </w:tcPr>
    </w:tblStylePr>
    <w:tblStylePr w:type="band2Horz">
      <w:tblPr/>
      <w:tcPr>
        <w:tcBorders>
          <w:top w:val="single" w:sz="4" w:space="0" w:color="FFFFFF"/>
          <w:bottom w:val="single" w:sz="4" w:space="0" w:color="FFFFFF"/>
        </w:tcBorders>
        <w:shd w:val="clear" w:color="4F81BD" w:fill="auto"/>
      </w:tcPr>
    </w:tblStylePr>
  </w:style>
  <w:style w:type="table" w:customStyle="1" w:styleId="ListTable5Dark-Accent21">
    <w:name w:val="List Table 5 Dark - Accent 21"/>
    <w:basedOn w:val="a3"/>
    <w:uiPriority w:val="99"/>
    <w:rsid w:val="00B1416C"/>
    <w:rPr>
      <w:rFonts w:ascii="Arial" w:eastAsia="Arial" w:hAnsi="Arial" w:cs="Arial"/>
      <w:sz w:val="22"/>
      <w:szCs w:val="22"/>
    </w:rPr>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auto"/>
    </w:tblPr>
    <w:tblStylePr w:type="firstRow">
      <w:rPr>
        <w:rFonts w:ascii="Arial" w:hAnsi="Arial"/>
        <w:b/>
        <w:color w:val="FFFFFF"/>
        <w:sz w:val="22"/>
      </w:rPr>
      <w:tblPr/>
      <w:tcPr>
        <w:tcBorders>
          <w:top w:val="single" w:sz="32" w:space="0" w:color="D99695"/>
          <w:bottom w:val="single" w:sz="12" w:space="0" w:color="FFFFFF"/>
        </w:tcBorders>
        <w:shd w:val="clear" w:color="D99695" w:fill="auto"/>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auto"/>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auto"/>
      </w:tcPr>
    </w:tblStylePr>
    <w:tblStylePr w:type="band2Horz">
      <w:tblPr/>
      <w:tcPr>
        <w:tcBorders>
          <w:top w:val="single" w:sz="4" w:space="0" w:color="FFFFFF"/>
          <w:bottom w:val="single" w:sz="4" w:space="0" w:color="FFFFFF"/>
        </w:tcBorders>
        <w:shd w:val="clear" w:color="D99695" w:fill="auto"/>
      </w:tcPr>
    </w:tblStylePr>
  </w:style>
  <w:style w:type="table" w:customStyle="1" w:styleId="ListTable5Dark-Accent31">
    <w:name w:val="List Table 5 Dark - Accent 31"/>
    <w:basedOn w:val="a3"/>
    <w:uiPriority w:val="99"/>
    <w:rsid w:val="00B1416C"/>
    <w:rPr>
      <w:rFonts w:ascii="Arial" w:eastAsia="Arial" w:hAnsi="Arial" w:cs="Arial"/>
      <w:sz w:val="22"/>
      <w:szCs w:val="22"/>
    </w:rPr>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auto"/>
    </w:tblPr>
    <w:tblStylePr w:type="firstRow">
      <w:rPr>
        <w:rFonts w:ascii="Arial" w:hAnsi="Arial"/>
        <w:b/>
        <w:color w:val="FFFFFF"/>
        <w:sz w:val="22"/>
      </w:rPr>
      <w:tblPr/>
      <w:tcPr>
        <w:tcBorders>
          <w:top w:val="single" w:sz="32" w:space="0" w:color="C3D69B"/>
          <w:bottom w:val="single" w:sz="12" w:space="0" w:color="FFFFFF"/>
        </w:tcBorders>
        <w:shd w:val="clear" w:color="C3D69B" w:fill="auto"/>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auto"/>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auto"/>
      </w:tcPr>
    </w:tblStylePr>
    <w:tblStylePr w:type="band2Horz">
      <w:tblPr/>
      <w:tcPr>
        <w:tcBorders>
          <w:top w:val="single" w:sz="4" w:space="0" w:color="FFFFFF"/>
          <w:bottom w:val="single" w:sz="4" w:space="0" w:color="FFFFFF"/>
        </w:tcBorders>
        <w:shd w:val="clear" w:color="C3D69B" w:fill="auto"/>
      </w:tcPr>
    </w:tblStylePr>
  </w:style>
  <w:style w:type="table" w:customStyle="1" w:styleId="ListTable5Dark-Accent41">
    <w:name w:val="List Table 5 Dark - Accent 41"/>
    <w:basedOn w:val="a3"/>
    <w:uiPriority w:val="99"/>
    <w:rsid w:val="00B1416C"/>
    <w:rPr>
      <w:rFonts w:ascii="Arial" w:eastAsia="Arial" w:hAnsi="Arial" w:cs="Arial"/>
      <w:sz w:val="22"/>
      <w:szCs w:val="22"/>
    </w:rPr>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auto"/>
    </w:tblPr>
    <w:tblStylePr w:type="firstRow">
      <w:rPr>
        <w:rFonts w:ascii="Arial" w:hAnsi="Arial"/>
        <w:b/>
        <w:color w:val="FFFFFF"/>
        <w:sz w:val="22"/>
      </w:rPr>
      <w:tblPr/>
      <w:tcPr>
        <w:tcBorders>
          <w:top w:val="single" w:sz="32" w:space="0" w:color="B2A1C6"/>
          <w:bottom w:val="single" w:sz="12" w:space="0" w:color="FFFFFF"/>
        </w:tcBorders>
        <w:shd w:val="clear" w:color="B2A1C6" w:fill="auto"/>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auto"/>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auto"/>
      </w:tcPr>
    </w:tblStylePr>
    <w:tblStylePr w:type="band2Horz">
      <w:tblPr/>
      <w:tcPr>
        <w:tcBorders>
          <w:top w:val="single" w:sz="4" w:space="0" w:color="FFFFFF"/>
          <w:bottom w:val="single" w:sz="4" w:space="0" w:color="FFFFFF"/>
        </w:tcBorders>
        <w:shd w:val="clear" w:color="B2A1C6" w:fill="auto"/>
      </w:tcPr>
    </w:tblStylePr>
  </w:style>
  <w:style w:type="table" w:customStyle="1" w:styleId="ListTable5Dark-Accent51">
    <w:name w:val="List Table 5 Dark - Accent 51"/>
    <w:basedOn w:val="a3"/>
    <w:uiPriority w:val="99"/>
    <w:rsid w:val="00B1416C"/>
    <w:rPr>
      <w:rFonts w:ascii="Arial" w:eastAsia="Arial" w:hAnsi="Arial" w:cs="Arial"/>
      <w:sz w:val="22"/>
      <w:szCs w:val="22"/>
    </w:rPr>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auto"/>
    </w:tblPr>
    <w:tblStylePr w:type="firstRow">
      <w:rPr>
        <w:rFonts w:ascii="Arial" w:hAnsi="Arial"/>
        <w:b/>
        <w:color w:val="FFFFFF"/>
        <w:sz w:val="22"/>
      </w:rPr>
      <w:tblPr/>
      <w:tcPr>
        <w:tcBorders>
          <w:top w:val="single" w:sz="32" w:space="0" w:color="92CCDC"/>
          <w:bottom w:val="single" w:sz="12" w:space="0" w:color="FFFFFF"/>
        </w:tcBorders>
        <w:shd w:val="clear" w:color="92CCDC" w:fill="auto"/>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auto"/>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auto"/>
      </w:tcPr>
    </w:tblStylePr>
    <w:tblStylePr w:type="band2Horz">
      <w:tblPr/>
      <w:tcPr>
        <w:tcBorders>
          <w:top w:val="single" w:sz="4" w:space="0" w:color="FFFFFF"/>
          <w:bottom w:val="single" w:sz="4" w:space="0" w:color="FFFFFF"/>
        </w:tcBorders>
        <w:shd w:val="clear" w:color="92CCDC" w:fill="auto"/>
      </w:tcPr>
    </w:tblStylePr>
  </w:style>
  <w:style w:type="table" w:customStyle="1" w:styleId="ListTable5Dark-Accent61">
    <w:name w:val="List Table 5 Dark - Accent 61"/>
    <w:basedOn w:val="a3"/>
    <w:uiPriority w:val="99"/>
    <w:rsid w:val="00B1416C"/>
    <w:rPr>
      <w:rFonts w:ascii="Arial" w:eastAsia="Arial" w:hAnsi="Arial" w:cs="Arial"/>
      <w:sz w:val="22"/>
      <w:szCs w:val="22"/>
    </w:rPr>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auto"/>
    </w:tblPr>
    <w:tblStylePr w:type="firstRow">
      <w:rPr>
        <w:rFonts w:ascii="Arial" w:hAnsi="Arial"/>
        <w:b/>
        <w:color w:val="FFFFFF"/>
        <w:sz w:val="22"/>
      </w:rPr>
      <w:tblPr/>
      <w:tcPr>
        <w:tcBorders>
          <w:top w:val="single" w:sz="32" w:space="0" w:color="FAC090"/>
          <w:bottom w:val="single" w:sz="12" w:space="0" w:color="FFFFFF"/>
        </w:tcBorders>
        <w:shd w:val="clear" w:color="FAC090" w:fill="auto"/>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auto"/>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auto"/>
      </w:tcPr>
    </w:tblStylePr>
    <w:tblStylePr w:type="band2Horz">
      <w:tblPr/>
      <w:tcPr>
        <w:tcBorders>
          <w:top w:val="single" w:sz="4" w:space="0" w:color="FFFFFF"/>
          <w:bottom w:val="single" w:sz="4" w:space="0" w:color="FFFFFF"/>
        </w:tcBorders>
        <w:shd w:val="clear" w:color="FAC090" w:fill="auto"/>
      </w:tcPr>
    </w:tblStylePr>
  </w:style>
  <w:style w:type="table" w:customStyle="1" w:styleId="-6110">
    <w:name w:val="Список-таблица 6 цветная11"/>
    <w:basedOn w:val="a3"/>
    <w:uiPriority w:val="99"/>
    <w:rsid w:val="00B1416C"/>
    <w:rPr>
      <w:rFonts w:ascii="Arial" w:eastAsia="Arial" w:hAnsi="Arial" w:cs="Arial"/>
      <w:sz w:val="22"/>
      <w:szCs w:val="22"/>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auto"/>
      </w:tcPr>
    </w:tblStylePr>
    <w:tblStylePr w:type="band1Horz">
      <w:rPr>
        <w:rFonts w:ascii="Arial" w:hAnsi="Arial"/>
        <w:color w:val="000000"/>
        <w:sz w:val="22"/>
      </w:rPr>
      <w:tblPr/>
      <w:tcPr>
        <w:shd w:val="clear" w:color="BFBFBF" w:fill="auto"/>
      </w:tcPr>
    </w:tblStylePr>
    <w:tblStylePr w:type="band2Horz">
      <w:rPr>
        <w:rFonts w:ascii="Arial" w:hAnsi="Arial"/>
        <w:color w:val="000000"/>
        <w:sz w:val="22"/>
      </w:rPr>
    </w:tblStylePr>
  </w:style>
  <w:style w:type="table" w:customStyle="1" w:styleId="ListTable6Colorful-Accent11">
    <w:name w:val="List Table 6 Colorful - Accent 11"/>
    <w:basedOn w:val="a3"/>
    <w:uiPriority w:val="99"/>
    <w:rsid w:val="00B1416C"/>
    <w:rPr>
      <w:rFonts w:ascii="Arial" w:eastAsia="Arial" w:hAnsi="Arial" w:cs="Arial"/>
      <w:sz w:val="22"/>
      <w:szCs w:val="22"/>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auto"/>
      </w:tcPr>
    </w:tblStylePr>
    <w:tblStylePr w:type="band1Horz">
      <w:rPr>
        <w:rFonts w:ascii="Arial" w:hAnsi="Arial"/>
        <w:color w:val="2A4A71"/>
        <w:sz w:val="22"/>
      </w:rPr>
      <w:tblPr/>
      <w:tcPr>
        <w:shd w:val="clear" w:color="D2DFEE" w:fill="auto"/>
      </w:tcPr>
    </w:tblStylePr>
    <w:tblStylePr w:type="band2Horz">
      <w:rPr>
        <w:rFonts w:ascii="Arial" w:hAnsi="Arial"/>
        <w:color w:val="2A4A71"/>
        <w:sz w:val="22"/>
      </w:rPr>
    </w:tblStylePr>
  </w:style>
  <w:style w:type="table" w:customStyle="1" w:styleId="ListTable6Colorful-Accent21">
    <w:name w:val="List Table 6 Colorful - Accent 21"/>
    <w:basedOn w:val="a3"/>
    <w:uiPriority w:val="99"/>
    <w:rsid w:val="00B1416C"/>
    <w:rPr>
      <w:rFonts w:ascii="Arial" w:eastAsia="Arial" w:hAnsi="Arial" w:cs="Arial"/>
      <w:sz w:val="22"/>
      <w:szCs w:val="22"/>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auto"/>
      </w:tcPr>
    </w:tblStylePr>
    <w:tblStylePr w:type="band1Horz">
      <w:rPr>
        <w:rFonts w:ascii="Arial" w:hAnsi="Arial"/>
        <w:color w:val="D99695"/>
        <w:sz w:val="22"/>
      </w:rPr>
      <w:tblPr/>
      <w:tcPr>
        <w:shd w:val="clear" w:color="EFD2D2" w:fill="auto"/>
      </w:tcPr>
    </w:tblStylePr>
    <w:tblStylePr w:type="band2Horz">
      <w:rPr>
        <w:rFonts w:ascii="Arial" w:hAnsi="Arial"/>
        <w:color w:val="D99695"/>
        <w:sz w:val="22"/>
      </w:rPr>
    </w:tblStylePr>
  </w:style>
  <w:style w:type="table" w:customStyle="1" w:styleId="ListTable6Colorful-Accent31">
    <w:name w:val="List Table 6 Colorful - Accent 31"/>
    <w:basedOn w:val="a3"/>
    <w:uiPriority w:val="99"/>
    <w:rsid w:val="00B1416C"/>
    <w:rPr>
      <w:rFonts w:ascii="Arial" w:eastAsia="Arial" w:hAnsi="Arial" w:cs="Arial"/>
      <w:sz w:val="22"/>
      <w:szCs w:val="22"/>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auto"/>
      </w:tcPr>
    </w:tblStylePr>
    <w:tblStylePr w:type="band1Horz">
      <w:rPr>
        <w:rFonts w:ascii="Arial" w:hAnsi="Arial"/>
        <w:color w:val="C3D69B"/>
        <w:sz w:val="22"/>
      </w:rPr>
      <w:tblPr/>
      <w:tcPr>
        <w:shd w:val="clear" w:color="E5EED5" w:fill="auto"/>
      </w:tcPr>
    </w:tblStylePr>
    <w:tblStylePr w:type="band2Horz">
      <w:rPr>
        <w:rFonts w:ascii="Arial" w:hAnsi="Arial"/>
        <w:color w:val="C3D69B"/>
        <w:sz w:val="22"/>
      </w:rPr>
    </w:tblStylePr>
  </w:style>
  <w:style w:type="table" w:customStyle="1" w:styleId="ListTable6Colorful-Accent41">
    <w:name w:val="List Table 6 Colorful - Accent 41"/>
    <w:basedOn w:val="a3"/>
    <w:uiPriority w:val="99"/>
    <w:rsid w:val="00B1416C"/>
    <w:rPr>
      <w:rFonts w:ascii="Arial" w:eastAsia="Arial" w:hAnsi="Arial" w:cs="Arial"/>
      <w:sz w:val="22"/>
      <w:szCs w:val="22"/>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auto"/>
      </w:tcPr>
    </w:tblStylePr>
    <w:tblStylePr w:type="band1Horz">
      <w:rPr>
        <w:rFonts w:ascii="Arial" w:hAnsi="Arial"/>
        <w:color w:val="B2A1C6"/>
        <w:sz w:val="22"/>
      </w:rPr>
      <w:tblPr/>
      <w:tcPr>
        <w:shd w:val="clear" w:color="DFD8E7" w:fill="auto"/>
      </w:tcPr>
    </w:tblStylePr>
    <w:tblStylePr w:type="band2Horz">
      <w:rPr>
        <w:rFonts w:ascii="Arial" w:hAnsi="Arial"/>
        <w:color w:val="B2A1C6"/>
        <w:sz w:val="22"/>
      </w:rPr>
    </w:tblStylePr>
  </w:style>
  <w:style w:type="table" w:customStyle="1" w:styleId="ListTable6Colorful-Accent51">
    <w:name w:val="List Table 6 Colorful - Accent 51"/>
    <w:basedOn w:val="a3"/>
    <w:uiPriority w:val="99"/>
    <w:rsid w:val="00B1416C"/>
    <w:rPr>
      <w:rFonts w:ascii="Arial" w:eastAsia="Arial" w:hAnsi="Arial" w:cs="Arial"/>
      <w:sz w:val="22"/>
      <w:szCs w:val="22"/>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auto"/>
      </w:tcPr>
    </w:tblStylePr>
    <w:tblStylePr w:type="band1Horz">
      <w:rPr>
        <w:rFonts w:ascii="Arial" w:hAnsi="Arial"/>
        <w:color w:val="92CCDC"/>
        <w:sz w:val="22"/>
      </w:rPr>
      <w:tblPr/>
      <w:tcPr>
        <w:shd w:val="clear" w:color="D1EAF0" w:fill="auto"/>
      </w:tcPr>
    </w:tblStylePr>
    <w:tblStylePr w:type="band2Horz">
      <w:rPr>
        <w:rFonts w:ascii="Arial" w:hAnsi="Arial"/>
        <w:color w:val="92CCDC"/>
        <w:sz w:val="22"/>
      </w:rPr>
    </w:tblStylePr>
  </w:style>
  <w:style w:type="table" w:customStyle="1" w:styleId="ListTable6Colorful-Accent61">
    <w:name w:val="List Table 6 Colorful - Accent 61"/>
    <w:basedOn w:val="a3"/>
    <w:uiPriority w:val="99"/>
    <w:rsid w:val="00B1416C"/>
    <w:rPr>
      <w:rFonts w:ascii="Arial" w:eastAsia="Arial" w:hAnsi="Arial" w:cs="Arial"/>
      <w:sz w:val="22"/>
      <w:szCs w:val="22"/>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auto"/>
      </w:tcPr>
    </w:tblStylePr>
    <w:tblStylePr w:type="band1Horz">
      <w:rPr>
        <w:rFonts w:ascii="Arial" w:hAnsi="Arial"/>
        <w:color w:val="FAC090"/>
        <w:sz w:val="22"/>
      </w:rPr>
      <w:tblPr/>
      <w:tcPr>
        <w:shd w:val="clear" w:color="FDE4D0" w:fill="auto"/>
      </w:tcPr>
    </w:tblStylePr>
    <w:tblStylePr w:type="band2Horz">
      <w:rPr>
        <w:rFonts w:ascii="Arial" w:hAnsi="Arial"/>
        <w:color w:val="FAC090"/>
        <w:sz w:val="22"/>
      </w:rPr>
    </w:tblStylePr>
  </w:style>
  <w:style w:type="table" w:customStyle="1" w:styleId="-7110">
    <w:name w:val="Список-таблица 7 цветная11"/>
    <w:basedOn w:val="a3"/>
    <w:uiPriority w:val="99"/>
    <w:rsid w:val="00B1416C"/>
    <w:rPr>
      <w:rFonts w:ascii="Arial" w:eastAsia="Arial" w:hAnsi="Arial" w:cs="Arial"/>
      <w:sz w:val="22"/>
      <w:szCs w:val="22"/>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auto"/>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auto"/>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auto"/>
      </w:tcPr>
    </w:tblStylePr>
    <w:tblStylePr w:type="band1Horz">
      <w:rPr>
        <w:rFonts w:ascii="Arial" w:hAnsi="Arial"/>
        <w:color w:val="7F7F7F"/>
        <w:sz w:val="22"/>
      </w:rPr>
      <w:tblPr/>
      <w:tcPr>
        <w:shd w:val="clear" w:color="BFBFBF" w:fill="auto"/>
      </w:tcPr>
    </w:tblStylePr>
    <w:tblStylePr w:type="band2Horz">
      <w:rPr>
        <w:rFonts w:ascii="Arial" w:hAnsi="Arial"/>
        <w:color w:val="7F7F7F"/>
        <w:sz w:val="22"/>
      </w:rPr>
    </w:tblStylePr>
  </w:style>
  <w:style w:type="table" w:customStyle="1" w:styleId="ListTable7Colorful-Accent11">
    <w:name w:val="List Table 7 Colorful - Accent 11"/>
    <w:basedOn w:val="a3"/>
    <w:uiPriority w:val="99"/>
    <w:rsid w:val="00B1416C"/>
    <w:rPr>
      <w:rFonts w:ascii="Arial" w:eastAsia="Arial" w:hAnsi="Arial" w:cs="Arial"/>
      <w:sz w:val="22"/>
      <w:szCs w:val="22"/>
    </w:rPr>
    <w:tblPr>
      <w:tblStyleRowBandSize w:val="1"/>
      <w:tblStyleColBandSize w:val="1"/>
      <w:tblBorders>
        <w:right w:val="single" w:sz="4" w:space="0" w:color="4F81BD"/>
      </w:tblBorders>
    </w:tblPr>
    <w:tblStylePr w:type="firstRow">
      <w:rPr>
        <w:rFonts w:ascii="Arial" w:hAnsi="Arial"/>
        <w:i/>
        <w:color w:val="2A4A71"/>
        <w:sz w:val="22"/>
      </w:rPr>
      <w:tblPr/>
      <w:tcPr>
        <w:tcBorders>
          <w:top w:val="none" w:sz="0" w:space="0" w:color="auto"/>
          <w:left w:val="none" w:sz="0" w:space="0" w:color="auto"/>
          <w:bottom w:val="single" w:sz="4" w:space="0" w:color="4F81BD"/>
          <w:right w:val="none" w:sz="0" w:space="0" w:color="auto"/>
        </w:tcBorders>
        <w:shd w:val="clear" w:color="FFFFFF" w:fill="auto"/>
      </w:tcPr>
    </w:tblStylePr>
    <w:tblStylePr w:type="lastRow">
      <w:rPr>
        <w:rFonts w:ascii="Arial" w:hAnsi="Arial"/>
        <w:i/>
        <w:color w:val="2A4A71"/>
        <w:sz w:val="22"/>
      </w:rPr>
      <w:tblPr/>
      <w:tcPr>
        <w:tcBorders>
          <w:top w:val="single" w:sz="4" w:space="0" w:color="4F81BD"/>
          <w:left w:val="none" w:sz="0" w:space="0" w:color="auto"/>
          <w:bottom w:val="none" w:sz="0" w:space="0" w:color="auto"/>
          <w:right w:val="none" w:sz="0" w:space="0" w:color="auto"/>
        </w:tcBorders>
        <w:shd w:val="clear" w:color="FFFFFF" w:fill="auto"/>
      </w:tcPr>
    </w:tblStylePr>
    <w:tblStylePr w:type="firstCol">
      <w:pPr>
        <w:jc w:val="right"/>
      </w:pPr>
      <w:rPr>
        <w:rFonts w:ascii="Arial" w:hAnsi="Arial"/>
        <w:i/>
        <w:color w:val="2A4A71"/>
        <w:sz w:val="22"/>
      </w:rPr>
      <w:tblPr/>
      <w:tcPr>
        <w:tcBorders>
          <w:top w:val="none" w:sz="0" w:space="0" w:color="auto"/>
          <w:left w:val="none" w:sz="0" w:space="0" w:color="auto"/>
          <w:bottom w:val="none" w:sz="0" w:space="0" w:color="auto"/>
          <w:right w:val="single" w:sz="4" w:space="0" w:color="4F81BD"/>
        </w:tcBorders>
        <w:shd w:val="clear" w:color="FFFFFF" w:fill="auto"/>
      </w:tcPr>
    </w:tblStylePr>
    <w:tblStylePr w:type="lastCol">
      <w:rPr>
        <w:rFonts w:ascii="Arial" w:hAnsi="Arial"/>
        <w:i/>
        <w:color w:val="2A4A71"/>
        <w:sz w:val="22"/>
      </w:rPr>
      <w:tblPr/>
      <w:tcPr>
        <w:tcBorders>
          <w:top w:val="none" w:sz="0" w:space="0" w:color="auto"/>
          <w:left w:val="single" w:sz="4" w:space="0" w:color="4F81BD"/>
          <w:bottom w:val="none" w:sz="0" w:space="0" w:color="auto"/>
          <w:right w:val="none" w:sz="0" w:space="0" w:color="auto"/>
        </w:tcBorders>
        <w:shd w:val="clear" w:color="FFFFFF" w:fill="auto"/>
      </w:tcPr>
    </w:tblStylePr>
    <w:tblStylePr w:type="band1Vert">
      <w:tblPr/>
      <w:tcPr>
        <w:shd w:val="clear" w:color="D2DFEE" w:fill="auto"/>
      </w:tcPr>
    </w:tblStylePr>
    <w:tblStylePr w:type="band1Horz">
      <w:rPr>
        <w:rFonts w:ascii="Arial" w:hAnsi="Arial"/>
        <w:color w:val="2A4A71"/>
        <w:sz w:val="22"/>
      </w:rPr>
      <w:tblPr/>
      <w:tcPr>
        <w:shd w:val="clear" w:color="D2DFEE" w:fill="auto"/>
      </w:tcPr>
    </w:tblStylePr>
    <w:tblStylePr w:type="band2Horz">
      <w:rPr>
        <w:rFonts w:ascii="Arial" w:hAnsi="Arial"/>
        <w:color w:val="2A4A71"/>
        <w:sz w:val="22"/>
      </w:rPr>
    </w:tblStylePr>
  </w:style>
  <w:style w:type="table" w:customStyle="1" w:styleId="ListTable7Colorful-Accent21">
    <w:name w:val="List Table 7 Colorful - Accent 21"/>
    <w:basedOn w:val="a3"/>
    <w:uiPriority w:val="99"/>
    <w:rsid w:val="00B1416C"/>
    <w:rPr>
      <w:rFonts w:ascii="Arial" w:eastAsia="Arial" w:hAnsi="Arial" w:cs="Arial"/>
      <w:sz w:val="22"/>
      <w:szCs w:val="22"/>
    </w:rPr>
    <w:tblPr>
      <w:tblStyleRowBandSize w:val="1"/>
      <w:tblStyleColBandSize w:val="1"/>
      <w:tblBorders>
        <w:right w:val="single" w:sz="4" w:space="0" w:color="D99695"/>
      </w:tblBorders>
    </w:tblPr>
    <w:tblStylePr w:type="firstRow">
      <w:rPr>
        <w:rFonts w:ascii="Arial" w:hAnsi="Arial"/>
        <w:i/>
        <w:color w:val="D99695"/>
        <w:sz w:val="22"/>
      </w:rPr>
      <w:tblPr/>
      <w:tcPr>
        <w:tcBorders>
          <w:top w:val="none" w:sz="0" w:space="0" w:color="auto"/>
          <w:left w:val="none" w:sz="0" w:space="0" w:color="auto"/>
          <w:bottom w:val="single" w:sz="4" w:space="0" w:color="D99695"/>
          <w:right w:val="none" w:sz="0" w:space="0" w:color="auto"/>
        </w:tcBorders>
        <w:shd w:val="clear" w:color="FFFFFF" w:fill="auto"/>
      </w:tcPr>
    </w:tblStylePr>
    <w:tblStylePr w:type="lastRow">
      <w:rPr>
        <w:rFonts w:ascii="Arial" w:hAnsi="Arial"/>
        <w:i/>
        <w:color w:val="D99695"/>
        <w:sz w:val="22"/>
      </w:rPr>
      <w:tblPr/>
      <w:tcPr>
        <w:tcBorders>
          <w:top w:val="single" w:sz="4" w:space="0" w:color="D99695"/>
          <w:left w:val="none" w:sz="0" w:space="0" w:color="auto"/>
          <w:bottom w:val="none" w:sz="0" w:space="0" w:color="auto"/>
          <w:right w:val="none" w:sz="0" w:space="0" w:color="auto"/>
        </w:tcBorders>
        <w:shd w:val="clear" w:color="FFFFFF" w:fill="auto"/>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EFD2D2" w:fill="auto"/>
      </w:tcPr>
    </w:tblStylePr>
    <w:tblStylePr w:type="band1Horz">
      <w:rPr>
        <w:rFonts w:ascii="Arial" w:hAnsi="Arial"/>
        <w:color w:val="D99695"/>
        <w:sz w:val="22"/>
      </w:rPr>
      <w:tblPr/>
      <w:tcPr>
        <w:shd w:val="clear" w:color="EFD2D2" w:fill="auto"/>
      </w:tcPr>
    </w:tblStylePr>
    <w:tblStylePr w:type="band2Horz">
      <w:rPr>
        <w:rFonts w:ascii="Arial" w:hAnsi="Arial"/>
        <w:color w:val="D99695"/>
        <w:sz w:val="22"/>
      </w:rPr>
    </w:tblStylePr>
  </w:style>
  <w:style w:type="table" w:customStyle="1" w:styleId="ListTable7Colorful-Accent31">
    <w:name w:val="List Table 7 Colorful - Accent 31"/>
    <w:basedOn w:val="a3"/>
    <w:uiPriority w:val="99"/>
    <w:rsid w:val="00B1416C"/>
    <w:rPr>
      <w:rFonts w:ascii="Arial" w:eastAsia="Arial" w:hAnsi="Arial" w:cs="Arial"/>
      <w:sz w:val="22"/>
      <w:szCs w:val="22"/>
    </w:rPr>
    <w:tblPr>
      <w:tblStyleRowBandSize w:val="1"/>
      <w:tblStyleColBandSize w:val="1"/>
      <w:tblBorders>
        <w:right w:val="single" w:sz="4" w:space="0" w:color="C3D69B"/>
      </w:tblBorders>
    </w:tblPr>
    <w:tblStylePr w:type="firstRow">
      <w:rPr>
        <w:rFonts w:ascii="Arial" w:hAnsi="Arial"/>
        <w:i/>
        <w:color w:val="C3D69B"/>
        <w:sz w:val="22"/>
      </w:rPr>
      <w:tblPr/>
      <w:tcPr>
        <w:tcBorders>
          <w:top w:val="none" w:sz="0" w:space="0" w:color="auto"/>
          <w:left w:val="none" w:sz="0" w:space="0" w:color="auto"/>
          <w:bottom w:val="single" w:sz="4" w:space="0" w:color="C3D69B"/>
          <w:right w:val="none" w:sz="0" w:space="0" w:color="auto"/>
        </w:tcBorders>
        <w:shd w:val="clear" w:color="FFFFFF" w:fill="auto"/>
      </w:tcPr>
    </w:tblStylePr>
    <w:tblStylePr w:type="lastRow">
      <w:rPr>
        <w:rFonts w:ascii="Arial" w:hAnsi="Arial"/>
        <w:i/>
        <w:color w:val="C3D69B"/>
        <w:sz w:val="22"/>
      </w:rPr>
      <w:tblPr/>
      <w:tcPr>
        <w:tcBorders>
          <w:top w:val="single" w:sz="4" w:space="0" w:color="C3D69B"/>
          <w:left w:val="none" w:sz="0" w:space="0" w:color="auto"/>
          <w:bottom w:val="none" w:sz="0" w:space="0" w:color="auto"/>
          <w:right w:val="none" w:sz="0" w:space="0" w:color="auto"/>
        </w:tcBorders>
        <w:shd w:val="clear" w:color="FFFFFF" w:fill="auto"/>
      </w:tcPr>
    </w:tblStylePr>
    <w:tblStylePr w:type="firstCol">
      <w:pPr>
        <w:jc w:val="right"/>
      </w:pPr>
      <w:rPr>
        <w:rFonts w:ascii="Arial" w:hAnsi="Arial"/>
        <w:i/>
        <w:color w:val="C3D69B"/>
        <w:sz w:val="22"/>
      </w:rPr>
      <w:tblPr/>
      <w:tcPr>
        <w:tcBorders>
          <w:top w:val="none" w:sz="0" w:space="0" w:color="auto"/>
          <w:left w:val="none" w:sz="0" w:space="0" w:color="auto"/>
          <w:bottom w:val="none" w:sz="0" w:space="0" w:color="auto"/>
          <w:right w:val="single" w:sz="4" w:space="0" w:color="C3D69B"/>
        </w:tcBorders>
        <w:shd w:val="clear" w:color="FFFFFF" w:fill="auto"/>
      </w:tcPr>
    </w:tblStylePr>
    <w:tblStylePr w:type="lastCol">
      <w:rPr>
        <w:rFonts w:ascii="Arial" w:hAnsi="Arial"/>
        <w:i/>
        <w:color w:val="C3D69B"/>
        <w:sz w:val="22"/>
      </w:rPr>
      <w:tblPr/>
      <w:tcPr>
        <w:tcBorders>
          <w:top w:val="none" w:sz="0" w:space="0" w:color="auto"/>
          <w:left w:val="single" w:sz="4" w:space="0" w:color="C3D69B"/>
          <w:bottom w:val="none" w:sz="0" w:space="0" w:color="auto"/>
          <w:right w:val="none" w:sz="0" w:space="0" w:color="auto"/>
        </w:tcBorders>
        <w:shd w:val="clear" w:color="FFFFFF" w:fill="auto"/>
      </w:tcPr>
    </w:tblStylePr>
    <w:tblStylePr w:type="band1Vert">
      <w:tblPr/>
      <w:tcPr>
        <w:shd w:val="clear" w:color="E5EED5" w:fill="auto"/>
      </w:tcPr>
    </w:tblStylePr>
    <w:tblStylePr w:type="band1Horz">
      <w:rPr>
        <w:rFonts w:ascii="Arial" w:hAnsi="Arial"/>
        <w:color w:val="C3D69B"/>
        <w:sz w:val="22"/>
      </w:rPr>
      <w:tblPr/>
      <w:tcPr>
        <w:shd w:val="clear" w:color="E5EED5" w:fill="auto"/>
      </w:tcPr>
    </w:tblStylePr>
    <w:tblStylePr w:type="band2Horz">
      <w:rPr>
        <w:rFonts w:ascii="Arial" w:hAnsi="Arial"/>
        <w:color w:val="C3D69B"/>
        <w:sz w:val="22"/>
      </w:rPr>
    </w:tblStylePr>
  </w:style>
  <w:style w:type="table" w:customStyle="1" w:styleId="ListTable7Colorful-Accent41">
    <w:name w:val="List Table 7 Colorful - Accent 41"/>
    <w:basedOn w:val="a3"/>
    <w:uiPriority w:val="99"/>
    <w:rsid w:val="00B1416C"/>
    <w:rPr>
      <w:rFonts w:ascii="Arial" w:eastAsia="Arial" w:hAnsi="Arial" w:cs="Arial"/>
      <w:sz w:val="22"/>
      <w:szCs w:val="22"/>
    </w:rPr>
    <w:tblPr>
      <w:tblStyleRowBandSize w:val="1"/>
      <w:tblStyleColBandSize w:val="1"/>
      <w:tblBorders>
        <w:right w:val="single" w:sz="4" w:space="0" w:color="B2A1C6"/>
      </w:tblBorders>
    </w:tblPr>
    <w:tblStylePr w:type="firstRow">
      <w:rPr>
        <w:rFonts w:ascii="Arial" w:hAnsi="Arial"/>
        <w:i/>
        <w:color w:val="B2A1C6"/>
        <w:sz w:val="22"/>
      </w:rPr>
      <w:tblPr/>
      <w:tcPr>
        <w:tcBorders>
          <w:top w:val="none" w:sz="0" w:space="0" w:color="auto"/>
          <w:left w:val="none" w:sz="0" w:space="0" w:color="auto"/>
          <w:bottom w:val="single" w:sz="4" w:space="0" w:color="B2A1C6"/>
          <w:right w:val="none" w:sz="0" w:space="0" w:color="auto"/>
        </w:tcBorders>
        <w:shd w:val="clear" w:color="FFFFFF" w:fill="auto"/>
      </w:tcPr>
    </w:tblStylePr>
    <w:tblStylePr w:type="lastRow">
      <w:rPr>
        <w:rFonts w:ascii="Arial" w:hAnsi="Arial"/>
        <w:i/>
        <w:color w:val="B2A1C6"/>
        <w:sz w:val="22"/>
      </w:rPr>
      <w:tblPr/>
      <w:tcPr>
        <w:tcBorders>
          <w:top w:val="single" w:sz="4" w:space="0" w:color="B2A1C6"/>
          <w:left w:val="none" w:sz="0" w:space="0" w:color="auto"/>
          <w:bottom w:val="none" w:sz="0" w:space="0" w:color="auto"/>
          <w:right w:val="none" w:sz="0" w:space="0" w:color="auto"/>
        </w:tcBorders>
        <w:shd w:val="clear" w:color="FFFFFF" w:fill="auto"/>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DFD8E7" w:fill="auto"/>
      </w:tcPr>
    </w:tblStylePr>
    <w:tblStylePr w:type="band1Horz">
      <w:rPr>
        <w:rFonts w:ascii="Arial" w:hAnsi="Arial"/>
        <w:color w:val="B2A1C6"/>
        <w:sz w:val="22"/>
      </w:rPr>
      <w:tblPr/>
      <w:tcPr>
        <w:shd w:val="clear" w:color="DFD8E7" w:fill="auto"/>
      </w:tcPr>
    </w:tblStylePr>
    <w:tblStylePr w:type="band2Horz">
      <w:rPr>
        <w:rFonts w:ascii="Arial" w:hAnsi="Arial"/>
        <w:color w:val="B2A1C6"/>
        <w:sz w:val="22"/>
      </w:rPr>
    </w:tblStylePr>
  </w:style>
  <w:style w:type="table" w:customStyle="1" w:styleId="ListTable7Colorful-Accent51">
    <w:name w:val="List Table 7 Colorful - Accent 51"/>
    <w:basedOn w:val="a3"/>
    <w:uiPriority w:val="99"/>
    <w:rsid w:val="00B1416C"/>
    <w:rPr>
      <w:rFonts w:ascii="Arial" w:eastAsia="Arial" w:hAnsi="Arial" w:cs="Arial"/>
      <w:sz w:val="22"/>
      <w:szCs w:val="22"/>
    </w:rPr>
    <w:tblPr>
      <w:tblStyleRowBandSize w:val="1"/>
      <w:tblStyleColBandSize w:val="1"/>
      <w:tblBorders>
        <w:right w:val="single" w:sz="4" w:space="0" w:color="92CCDC"/>
      </w:tblBorders>
    </w:tblPr>
    <w:tblStylePr w:type="firstRow">
      <w:rPr>
        <w:rFonts w:ascii="Arial" w:hAnsi="Arial"/>
        <w:i/>
        <w:color w:val="92CCDC"/>
        <w:sz w:val="22"/>
      </w:rPr>
      <w:tblPr/>
      <w:tcPr>
        <w:tcBorders>
          <w:top w:val="none" w:sz="0" w:space="0" w:color="auto"/>
          <w:left w:val="none" w:sz="0" w:space="0" w:color="auto"/>
          <w:bottom w:val="single" w:sz="4" w:space="0" w:color="92CCDC"/>
          <w:right w:val="none" w:sz="0" w:space="0" w:color="auto"/>
        </w:tcBorders>
        <w:shd w:val="clear" w:color="FFFFFF" w:fill="auto"/>
      </w:tcPr>
    </w:tblStylePr>
    <w:tblStylePr w:type="lastRow">
      <w:rPr>
        <w:rFonts w:ascii="Arial" w:hAnsi="Arial"/>
        <w:i/>
        <w:color w:val="92CCDC"/>
        <w:sz w:val="22"/>
      </w:rPr>
      <w:tblPr/>
      <w:tcPr>
        <w:tcBorders>
          <w:top w:val="single" w:sz="4" w:space="0" w:color="92CCDC"/>
          <w:left w:val="none" w:sz="0" w:space="0" w:color="auto"/>
          <w:bottom w:val="none" w:sz="0" w:space="0" w:color="auto"/>
          <w:right w:val="none" w:sz="0" w:space="0" w:color="auto"/>
        </w:tcBorders>
        <w:shd w:val="clear" w:color="FFFFFF" w:fill="auto"/>
      </w:tcPr>
    </w:tblStylePr>
    <w:tblStylePr w:type="firstCol">
      <w:pPr>
        <w:jc w:val="right"/>
      </w:pPr>
      <w:rPr>
        <w:rFonts w:ascii="Arial" w:hAnsi="Arial"/>
        <w:i/>
        <w:color w:val="92CCDC"/>
        <w:sz w:val="22"/>
      </w:rPr>
      <w:tblPr/>
      <w:tcPr>
        <w:tcBorders>
          <w:top w:val="none" w:sz="0" w:space="0" w:color="auto"/>
          <w:left w:val="none" w:sz="0" w:space="0" w:color="auto"/>
          <w:bottom w:val="none" w:sz="0" w:space="0" w:color="auto"/>
          <w:right w:val="single" w:sz="4" w:space="0" w:color="92CCDC"/>
        </w:tcBorders>
        <w:shd w:val="clear" w:color="FFFFFF" w:fill="auto"/>
      </w:tcPr>
    </w:tblStylePr>
    <w:tblStylePr w:type="lastCol">
      <w:rPr>
        <w:rFonts w:ascii="Arial" w:hAnsi="Arial"/>
        <w:i/>
        <w:color w:val="92CCDC"/>
        <w:sz w:val="22"/>
      </w:rPr>
      <w:tblPr/>
      <w:tcPr>
        <w:tcBorders>
          <w:top w:val="none" w:sz="0" w:space="0" w:color="auto"/>
          <w:left w:val="single" w:sz="4" w:space="0" w:color="92CCDC"/>
          <w:bottom w:val="none" w:sz="0" w:space="0" w:color="auto"/>
          <w:right w:val="none" w:sz="0" w:space="0" w:color="auto"/>
        </w:tcBorders>
        <w:shd w:val="clear" w:color="FFFFFF" w:fill="auto"/>
      </w:tcPr>
    </w:tblStylePr>
    <w:tblStylePr w:type="band1Vert">
      <w:tblPr/>
      <w:tcPr>
        <w:shd w:val="clear" w:color="D1EAF0" w:fill="auto"/>
      </w:tcPr>
    </w:tblStylePr>
    <w:tblStylePr w:type="band1Horz">
      <w:rPr>
        <w:rFonts w:ascii="Arial" w:hAnsi="Arial"/>
        <w:color w:val="92CCDC"/>
        <w:sz w:val="22"/>
      </w:rPr>
      <w:tblPr/>
      <w:tcPr>
        <w:shd w:val="clear" w:color="D1EAF0" w:fill="auto"/>
      </w:tcPr>
    </w:tblStylePr>
    <w:tblStylePr w:type="band2Horz">
      <w:rPr>
        <w:rFonts w:ascii="Arial" w:hAnsi="Arial"/>
        <w:color w:val="92CCDC"/>
        <w:sz w:val="22"/>
      </w:rPr>
    </w:tblStylePr>
  </w:style>
  <w:style w:type="table" w:customStyle="1" w:styleId="ListTable7Colorful-Accent61">
    <w:name w:val="List Table 7 Colorful - Accent 61"/>
    <w:basedOn w:val="a3"/>
    <w:uiPriority w:val="99"/>
    <w:rsid w:val="00B1416C"/>
    <w:rPr>
      <w:rFonts w:ascii="Arial" w:eastAsia="Arial" w:hAnsi="Arial" w:cs="Arial"/>
      <w:sz w:val="22"/>
      <w:szCs w:val="22"/>
    </w:rPr>
    <w:tblPr>
      <w:tblStyleRowBandSize w:val="1"/>
      <w:tblStyleColBandSize w:val="1"/>
      <w:tblBorders>
        <w:right w:val="single" w:sz="4" w:space="0" w:color="FAC090"/>
      </w:tblBorders>
    </w:tblPr>
    <w:tblStylePr w:type="firstRow">
      <w:rPr>
        <w:rFonts w:ascii="Arial" w:hAnsi="Arial"/>
        <w:i/>
        <w:color w:val="FAC090"/>
        <w:sz w:val="22"/>
      </w:rPr>
      <w:tblPr/>
      <w:tcPr>
        <w:tcBorders>
          <w:top w:val="none" w:sz="0" w:space="0" w:color="auto"/>
          <w:left w:val="none" w:sz="0" w:space="0" w:color="auto"/>
          <w:bottom w:val="single" w:sz="4" w:space="0" w:color="FAC090"/>
          <w:right w:val="none" w:sz="0" w:space="0" w:color="auto"/>
        </w:tcBorders>
        <w:shd w:val="clear" w:color="FFFFFF" w:fill="auto"/>
      </w:tcPr>
    </w:tblStylePr>
    <w:tblStylePr w:type="lastRow">
      <w:rPr>
        <w:rFonts w:ascii="Arial" w:hAnsi="Arial"/>
        <w:i/>
        <w:color w:val="FAC090"/>
        <w:sz w:val="22"/>
      </w:rPr>
      <w:tblPr/>
      <w:tcPr>
        <w:tcBorders>
          <w:top w:val="single" w:sz="4" w:space="0" w:color="FAC090"/>
          <w:left w:val="none" w:sz="0" w:space="0" w:color="auto"/>
          <w:bottom w:val="none" w:sz="0" w:space="0" w:color="auto"/>
          <w:right w:val="none" w:sz="0" w:space="0" w:color="auto"/>
        </w:tcBorders>
        <w:shd w:val="clear" w:color="FFFFFF" w:fill="auto"/>
      </w:tcPr>
    </w:tblStylePr>
    <w:tblStylePr w:type="firstCol">
      <w:pPr>
        <w:jc w:val="right"/>
      </w:pPr>
      <w:rPr>
        <w:rFonts w:ascii="Arial" w:hAnsi="Arial"/>
        <w:i/>
        <w:color w:val="FAC090"/>
        <w:sz w:val="22"/>
      </w:rPr>
      <w:tblPr/>
      <w:tcPr>
        <w:tcBorders>
          <w:top w:val="none" w:sz="0" w:space="0" w:color="auto"/>
          <w:left w:val="none" w:sz="0" w:space="0" w:color="auto"/>
          <w:bottom w:val="none" w:sz="0" w:space="0" w:color="auto"/>
          <w:right w:val="single" w:sz="4" w:space="0" w:color="FAC090"/>
        </w:tcBorders>
        <w:shd w:val="clear" w:color="FFFFFF" w:fill="auto"/>
      </w:tcPr>
    </w:tblStylePr>
    <w:tblStylePr w:type="lastCol">
      <w:rPr>
        <w:rFonts w:ascii="Arial" w:hAnsi="Arial"/>
        <w:i/>
        <w:color w:val="FAC090"/>
        <w:sz w:val="22"/>
      </w:rPr>
      <w:tblPr/>
      <w:tcPr>
        <w:tcBorders>
          <w:top w:val="none" w:sz="0" w:space="0" w:color="auto"/>
          <w:left w:val="single" w:sz="4" w:space="0" w:color="FAC090"/>
          <w:bottom w:val="none" w:sz="0" w:space="0" w:color="auto"/>
          <w:right w:val="none" w:sz="0" w:space="0" w:color="auto"/>
        </w:tcBorders>
        <w:shd w:val="clear" w:color="FFFFFF" w:fill="auto"/>
      </w:tcPr>
    </w:tblStylePr>
    <w:tblStylePr w:type="band1Vert">
      <w:tblPr/>
      <w:tcPr>
        <w:shd w:val="clear" w:color="FDE4D0" w:fill="auto"/>
      </w:tcPr>
    </w:tblStylePr>
    <w:tblStylePr w:type="band1Horz">
      <w:rPr>
        <w:rFonts w:ascii="Arial" w:hAnsi="Arial"/>
        <w:color w:val="FAC090"/>
        <w:sz w:val="22"/>
      </w:rPr>
      <w:tblPr/>
      <w:tcPr>
        <w:shd w:val="clear" w:color="FDE4D0" w:fill="auto"/>
      </w:tcPr>
    </w:tblStylePr>
    <w:tblStylePr w:type="band2Horz">
      <w:rPr>
        <w:rFonts w:ascii="Arial" w:hAnsi="Arial"/>
        <w:color w:val="FAC090"/>
        <w:sz w:val="22"/>
      </w:rPr>
    </w:tblStylePr>
  </w:style>
  <w:style w:type="table" w:customStyle="1" w:styleId="Lined-Accent10">
    <w:name w:val="Lined - Accent1"/>
    <w:basedOn w:val="a3"/>
    <w:uiPriority w:val="99"/>
    <w:rsid w:val="00B1416C"/>
    <w:rPr>
      <w:rFonts w:ascii="Arial" w:eastAsia="Arial" w:hAnsi="Arial" w:cs="Arial"/>
      <w:color w:val="404040"/>
    </w:rPr>
    <w:tblPr>
      <w:tblStyleRowBandSize w:val="1"/>
      <w:tblStyleColBandSize w:val="1"/>
    </w:tblPr>
    <w:tblStylePr w:type="firstRow">
      <w:rPr>
        <w:rFonts w:ascii="Arial" w:hAnsi="Arial"/>
        <w:color w:val="F2F2F2"/>
        <w:sz w:val="22"/>
      </w:rPr>
      <w:tblPr/>
      <w:tcPr>
        <w:shd w:val="clear" w:color="7F7F7F" w:fill="auto"/>
      </w:tcPr>
    </w:tblStylePr>
    <w:tblStylePr w:type="lastRow">
      <w:rPr>
        <w:rFonts w:ascii="Arial" w:hAnsi="Arial"/>
        <w:color w:val="F2F2F2"/>
        <w:sz w:val="22"/>
      </w:rPr>
      <w:tblPr/>
      <w:tcPr>
        <w:shd w:val="clear" w:color="7F7F7F" w:fill="auto"/>
      </w:tcPr>
    </w:tblStylePr>
    <w:tblStylePr w:type="firstCol">
      <w:rPr>
        <w:rFonts w:ascii="Arial" w:hAnsi="Arial"/>
        <w:color w:val="F2F2F2"/>
        <w:sz w:val="22"/>
      </w:rPr>
      <w:tblPr/>
      <w:tcPr>
        <w:shd w:val="clear" w:color="7F7F7F" w:fill="auto"/>
      </w:tcPr>
    </w:tblStylePr>
    <w:tblStylePr w:type="lastCol">
      <w:rPr>
        <w:rFonts w:ascii="Arial" w:hAnsi="Arial"/>
        <w:color w:val="F2F2F2"/>
        <w:sz w:val="22"/>
      </w:rPr>
      <w:tblPr/>
      <w:tcPr>
        <w:shd w:val="clear" w:color="7F7F7F" w:fill="auto"/>
      </w:tcPr>
    </w:tblStylePr>
    <w:tblStylePr w:type="band1Vert">
      <w:rPr>
        <w:rFonts w:ascii="Arial" w:hAnsi="Arial"/>
        <w:color w:val="404040"/>
        <w:sz w:val="22"/>
      </w:rPr>
    </w:tblStylePr>
    <w:tblStylePr w:type="band2Vert">
      <w:rPr>
        <w:rFonts w:ascii="Arial" w:hAnsi="Arial"/>
        <w:color w:val="404040"/>
        <w:sz w:val="22"/>
      </w:rPr>
      <w:tblPr/>
      <w:tcPr>
        <w:shd w:val="clear" w:color="F2F2F2" w:fill="auto"/>
      </w:tcPr>
    </w:tblStylePr>
    <w:tblStylePr w:type="band1Horz">
      <w:rPr>
        <w:rFonts w:ascii="Arial" w:hAnsi="Arial"/>
        <w:color w:val="404040"/>
        <w:sz w:val="22"/>
      </w:rPr>
    </w:tblStylePr>
    <w:tblStylePr w:type="band2Horz">
      <w:rPr>
        <w:rFonts w:ascii="Arial" w:hAnsi="Arial"/>
        <w:color w:val="404040"/>
        <w:sz w:val="22"/>
      </w:rPr>
      <w:tblPr/>
      <w:tcPr>
        <w:shd w:val="clear" w:color="F2F2F2" w:fill="auto"/>
      </w:tcPr>
    </w:tblStylePr>
  </w:style>
  <w:style w:type="table" w:customStyle="1" w:styleId="Lined-Accent11">
    <w:name w:val="Lined - Accent 11"/>
    <w:basedOn w:val="a3"/>
    <w:uiPriority w:val="99"/>
    <w:rsid w:val="00B1416C"/>
    <w:rPr>
      <w:rFonts w:ascii="Arial" w:eastAsia="Arial" w:hAnsi="Arial" w:cs="Arial"/>
      <w:color w:val="404040"/>
    </w:rPr>
    <w:tblPr>
      <w:tblStyleRowBandSize w:val="1"/>
      <w:tblStyleColBandSize w:val="1"/>
    </w:tblPr>
    <w:tblStylePr w:type="firstRow">
      <w:rPr>
        <w:rFonts w:ascii="Arial" w:hAnsi="Arial"/>
        <w:color w:val="F2F2F2"/>
        <w:sz w:val="22"/>
      </w:rPr>
      <w:tblPr/>
      <w:tcPr>
        <w:shd w:val="clear" w:color="5D8AC2" w:fill="auto"/>
      </w:tcPr>
    </w:tblStylePr>
    <w:tblStylePr w:type="lastRow">
      <w:rPr>
        <w:rFonts w:ascii="Arial" w:hAnsi="Arial"/>
        <w:color w:val="F2F2F2"/>
        <w:sz w:val="22"/>
      </w:rPr>
      <w:tblPr/>
      <w:tcPr>
        <w:shd w:val="clear" w:color="5D8AC2" w:fill="auto"/>
      </w:tcPr>
    </w:tblStylePr>
    <w:tblStylePr w:type="firstCol">
      <w:rPr>
        <w:rFonts w:ascii="Arial" w:hAnsi="Arial"/>
        <w:color w:val="F2F2F2"/>
        <w:sz w:val="22"/>
      </w:rPr>
      <w:tblPr/>
      <w:tcPr>
        <w:shd w:val="clear" w:color="5D8AC2" w:fill="auto"/>
      </w:tcPr>
    </w:tblStylePr>
    <w:tblStylePr w:type="lastCol">
      <w:rPr>
        <w:rFonts w:ascii="Arial" w:hAnsi="Arial"/>
        <w:color w:val="F2F2F2"/>
        <w:sz w:val="22"/>
      </w:rPr>
      <w:tblPr/>
      <w:tcPr>
        <w:shd w:val="clear" w:color="5D8AC2" w:fill="auto"/>
      </w:tcPr>
    </w:tblStylePr>
    <w:tblStylePr w:type="band1Vert">
      <w:rPr>
        <w:rFonts w:ascii="Arial" w:hAnsi="Arial"/>
        <w:color w:val="404040"/>
        <w:sz w:val="22"/>
      </w:rPr>
    </w:tblStylePr>
    <w:tblStylePr w:type="band2Vert">
      <w:rPr>
        <w:rFonts w:ascii="Arial" w:hAnsi="Arial"/>
        <w:color w:val="404040"/>
        <w:sz w:val="22"/>
      </w:rPr>
      <w:tblPr/>
      <w:tcPr>
        <w:shd w:val="clear" w:color="C7D7EA" w:fill="auto"/>
      </w:tcPr>
    </w:tblStylePr>
    <w:tblStylePr w:type="band1Horz">
      <w:rPr>
        <w:rFonts w:ascii="Arial" w:hAnsi="Arial"/>
        <w:color w:val="404040"/>
        <w:sz w:val="22"/>
      </w:rPr>
    </w:tblStylePr>
    <w:tblStylePr w:type="band2Horz">
      <w:rPr>
        <w:rFonts w:ascii="Arial" w:hAnsi="Arial"/>
        <w:color w:val="404040"/>
        <w:sz w:val="22"/>
      </w:rPr>
      <w:tblPr/>
      <w:tcPr>
        <w:shd w:val="clear" w:color="C7D7EA" w:fill="auto"/>
      </w:tcPr>
    </w:tblStylePr>
  </w:style>
  <w:style w:type="table" w:customStyle="1" w:styleId="Lined-Accent21">
    <w:name w:val="Lined - Accent 21"/>
    <w:basedOn w:val="a3"/>
    <w:uiPriority w:val="99"/>
    <w:rsid w:val="00B1416C"/>
    <w:rPr>
      <w:rFonts w:ascii="Arial" w:eastAsia="Arial" w:hAnsi="Arial" w:cs="Arial"/>
      <w:color w:val="404040"/>
    </w:rPr>
    <w:tblPr>
      <w:tblStyleRowBandSize w:val="1"/>
      <w:tblStyleColBandSize w:val="1"/>
    </w:tblPr>
    <w:tblStylePr w:type="firstRow">
      <w:rPr>
        <w:rFonts w:ascii="Arial" w:hAnsi="Arial"/>
        <w:color w:val="F2F2F2"/>
        <w:sz w:val="22"/>
      </w:rPr>
      <w:tblPr/>
      <w:tcPr>
        <w:shd w:val="clear" w:color="D99695" w:fill="auto"/>
      </w:tcPr>
    </w:tblStylePr>
    <w:tblStylePr w:type="lastRow">
      <w:rPr>
        <w:rFonts w:ascii="Arial" w:hAnsi="Arial"/>
        <w:color w:val="F2F2F2"/>
        <w:sz w:val="22"/>
      </w:rPr>
      <w:tblPr/>
      <w:tcPr>
        <w:shd w:val="clear" w:color="D99695" w:fill="auto"/>
      </w:tcPr>
    </w:tblStylePr>
    <w:tblStylePr w:type="firstCol">
      <w:rPr>
        <w:rFonts w:ascii="Arial" w:hAnsi="Arial"/>
        <w:color w:val="F2F2F2"/>
        <w:sz w:val="22"/>
      </w:rPr>
      <w:tblPr/>
      <w:tcPr>
        <w:shd w:val="clear" w:color="D99695" w:fill="auto"/>
      </w:tcPr>
    </w:tblStylePr>
    <w:tblStylePr w:type="lastCol">
      <w:rPr>
        <w:rFonts w:ascii="Arial" w:hAnsi="Arial"/>
        <w:color w:val="F2F2F2"/>
        <w:sz w:val="22"/>
      </w:rPr>
      <w:tblPr/>
      <w:tcPr>
        <w:shd w:val="clear" w:color="D99695" w:fill="auto"/>
      </w:tcPr>
    </w:tblStylePr>
    <w:tblStylePr w:type="band1Vert">
      <w:rPr>
        <w:rFonts w:ascii="Arial" w:hAnsi="Arial"/>
        <w:color w:val="404040"/>
        <w:sz w:val="22"/>
      </w:rPr>
    </w:tblStylePr>
    <w:tblStylePr w:type="band2Vert">
      <w:rPr>
        <w:rFonts w:ascii="Arial" w:hAnsi="Arial"/>
        <w:color w:val="404040"/>
        <w:sz w:val="22"/>
      </w:rPr>
      <w:tblPr/>
      <w:tcPr>
        <w:shd w:val="clear" w:color="F2DCDC" w:fill="auto"/>
      </w:tcPr>
    </w:tblStylePr>
    <w:tblStylePr w:type="band1Horz">
      <w:rPr>
        <w:rFonts w:ascii="Arial" w:hAnsi="Arial"/>
        <w:color w:val="404040"/>
        <w:sz w:val="22"/>
      </w:rPr>
    </w:tblStylePr>
    <w:tblStylePr w:type="band2Horz">
      <w:rPr>
        <w:rFonts w:ascii="Arial" w:hAnsi="Arial"/>
        <w:color w:val="404040"/>
        <w:sz w:val="22"/>
      </w:rPr>
      <w:tblPr/>
      <w:tcPr>
        <w:shd w:val="clear" w:color="F2DCDC" w:fill="auto"/>
      </w:tcPr>
    </w:tblStylePr>
  </w:style>
  <w:style w:type="table" w:customStyle="1" w:styleId="Lined-Accent31">
    <w:name w:val="Lined - Accent 31"/>
    <w:basedOn w:val="a3"/>
    <w:uiPriority w:val="99"/>
    <w:rsid w:val="00B1416C"/>
    <w:rPr>
      <w:rFonts w:ascii="Arial" w:eastAsia="Arial" w:hAnsi="Arial" w:cs="Arial"/>
      <w:color w:val="404040"/>
    </w:rPr>
    <w:tblPr>
      <w:tblStyleRowBandSize w:val="1"/>
      <w:tblStyleColBandSize w:val="1"/>
    </w:tblPr>
    <w:tblStylePr w:type="firstRow">
      <w:rPr>
        <w:rFonts w:ascii="Arial" w:hAnsi="Arial"/>
        <w:color w:val="F2F2F2"/>
        <w:sz w:val="22"/>
      </w:rPr>
      <w:tblPr/>
      <w:tcPr>
        <w:shd w:val="clear" w:color="9ABB59" w:fill="auto"/>
      </w:tcPr>
    </w:tblStylePr>
    <w:tblStylePr w:type="lastRow">
      <w:rPr>
        <w:rFonts w:ascii="Arial" w:hAnsi="Arial"/>
        <w:color w:val="F2F2F2"/>
        <w:sz w:val="22"/>
      </w:rPr>
      <w:tblPr/>
      <w:tcPr>
        <w:shd w:val="clear" w:color="9ABB59" w:fill="auto"/>
      </w:tcPr>
    </w:tblStylePr>
    <w:tblStylePr w:type="firstCol">
      <w:rPr>
        <w:rFonts w:ascii="Arial" w:hAnsi="Arial"/>
        <w:color w:val="F2F2F2"/>
        <w:sz w:val="22"/>
      </w:rPr>
      <w:tblPr/>
      <w:tcPr>
        <w:shd w:val="clear" w:color="9ABB59" w:fill="auto"/>
      </w:tcPr>
    </w:tblStylePr>
    <w:tblStylePr w:type="lastCol">
      <w:rPr>
        <w:rFonts w:ascii="Arial" w:hAnsi="Arial"/>
        <w:color w:val="F2F2F2"/>
        <w:sz w:val="22"/>
      </w:rPr>
      <w:tblPr/>
      <w:tcPr>
        <w:shd w:val="clear" w:color="9ABB59" w:fill="auto"/>
      </w:tcPr>
    </w:tblStylePr>
    <w:tblStylePr w:type="band1Vert">
      <w:rPr>
        <w:rFonts w:ascii="Arial" w:hAnsi="Arial"/>
        <w:color w:val="404040"/>
        <w:sz w:val="22"/>
      </w:rPr>
    </w:tblStylePr>
    <w:tblStylePr w:type="band2Vert">
      <w:rPr>
        <w:rFonts w:ascii="Arial" w:hAnsi="Arial"/>
        <w:color w:val="404040"/>
        <w:sz w:val="22"/>
      </w:rPr>
      <w:tblPr/>
      <w:tcPr>
        <w:shd w:val="clear" w:color="EAF1DC" w:fill="auto"/>
      </w:tcPr>
    </w:tblStylePr>
    <w:tblStylePr w:type="band1Horz">
      <w:rPr>
        <w:rFonts w:ascii="Arial" w:hAnsi="Arial"/>
        <w:color w:val="404040"/>
        <w:sz w:val="22"/>
      </w:rPr>
    </w:tblStylePr>
    <w:tblStylePr w:type="band2Horz">
      <w:rPr>
        <w:rFonts w:ascii="Arial" w:hAnsi="Arial"/>
        <w:color w:val="404040"/>
        <w:sz w:val="22"/>
      </w:rPr>
      <w:tblPr/>
      <w:tcPr>
        <w:shd w:val="clear" w:color="EAF1DC" w:fill="auto"/>
      </w:tcPr>
    </w:tblStylePr>
  </w:style>
  <w:style w:type="table" w:customStyle="1" w:styleId="Lined-Accent41">
    <w:name w:val="Lined - Accent 41"/>
    <w:basedOn w:val="a3"/>
    <w:uiPriority w:val="99"/>
    <w:rsid w:val="00B1416C"/>
    <w:rPr>
      <w:rFonts w:ascii="Arial" w:eastAsia="Arial" w:hAnsi="Arial" w:cs="Arial"/>
      <w:color w:val="404040"/>
    </w:rPr>
    <w:tblPr>
      <w:tblStyleRowBandSize w:val="1"/>
      <w:tblStyleColBandSize w:val="1"/>
    </w:tblPr>
    <w:tblStylePr w:type="firstRow">
      <w:rPr>
        <w:rFonts w:ascii="Arial" w:hAnsi="Arial"/>
        <w:color w:val="F2F2F2"/>
        <w:sz w:val="22"/>
      </w:rPr>
      <w:tblPr/>
      <w:tcPr>
        <w:shd w:val="clear" w:color="B2A1C6" w:fill="auto"/>
      </w:tcPr>
    </w:tblStylePr>
    <w:tblStylePr w:type="lastRow">
      <w:rPr>
        <w:rFonts w:ascii="Arial" w:hAnsi="Arial"/>
        <w:color w:val="F2F2F2"/>
        <w:sz w:val="22"/>
      </w:rPr>
      <w:tblPr/>
      <w:tcPr>
        <w:shd w:val="clear" w:color="B2A1C6" w:fill="auto"/>
      </w:tcPr>
    </w:tblStylePr>
    <w:tblStylePr w:type="firstCol">
      <w:rPr>
        <w:rFonts w:ascii="Arial" w:hAnsi="Arial"/>
        <w:color w:val="F2F2F2"/>
        <w:sz w:val="22"/>
      </w:rPr>
      <w:tblPr/>
      <w:tcPr>
        <w:shd w:val="clear" w:color="B2A1C6" w:fill="auto"/>
      </w:tcPr>
    </w:tblStylePr>
    <w:tblStylePr w:type="lastCol">
      <w:rPr>
        <w:rFonts w:ascii="Arial" w:hAnsi="Arial"/>
        <w:color w:val="F2F2F2"/>
        <w:sz w:val="22"/>
      </w:rPr>
      <w:tblPr/>
      <w:tcPr>
        <w:shd w:val="clear" w:color="B2A1C6" w:fill="auto"/>
      </w:tcPr>
    </w:tblStylePr>
    <w:tblStylePr w:type="band1Vert">
      <w:rPr>
        <w:rFonts w:ascii="Arial" w:hAnsi="Arial"/>
        <w:color w:val="404040"/>
        <w:sz w:val="22"/>
      </w:rPr>
    </w:tblStylePr>
    <w:tblStylePr w:type="band2Vert">
      <w:rPr>
        <w:rFonts w:ascii="Arial" w:hAnsi="Arial"/>
        <w:color w:val="404040"/>
        <w:sz w:val="22"/>
      </w:rPr>
      <w:tblPr/>
      <w:tcPr>
        <w:shd w:val="clear" w:color="E5DFEC" w:fill="auto"/>
      </w:tcPr>
    </w:tblStylePr>
    <w:tblStylePr w:type="band1Horz">
      <w:rPr>
        <w:rFonts w:ascii="Arial" w:hAnsi="Arial"/>
        <w:color w:val="404040"/>
        <w:sz w:val="22"/>
      </w:rPr>
    </w:tblStylePr>
    <w:tblStylePr w:type="band2Horz">
      <w:rPr>
        <w:rFonts w:ascii="Arial" w:hAnsi="Arial"/>
        <w:color w:val="404040"/>
        <w:sz w:val="22"/>
      </w:rPr>
      <w:tblPr/>
      <w:tcPr>
        <w:shd w:val="clear" w:color="E5DFEC" w:fill="auto"/>
      </w:tcPr>
    </w:tblStylePr>
  </w:style>
  <w:style w:type="table" w:customStyle="1" w:styleId="Lined-Accent51">
    <w:name w:val="Lined - Accent 51"/>
    <w:basedOn w:val="a3"/>
    <w:uiPriority w:val="99"/>
    <w:rsid w:val="00B1416C"/>
    <w:rPr>
      <w:rFonts w:ascii="Arial" w:eastAsia="Arial" w:hAnsi="Arial" w:cs="Arial"/>
      <w:color w:val="404040"/>
    </w:rPr>
    <w:tblPr>
      <w:tblStyleRowBandSize w:val="1"/>
      <w:tblStyleColBandSize w:val="1"/>
    </w:tblPr>
    <w:tblStylePr w:type="firstRow">
      <w:rPr>
        <w:rFonts w:ascii="Arial" w:hAnsi="Arial"/>
        <w:color w:val="F2F2F2"/>
        <w:sz w:val="22"/>
      </w:rPr>
      <w:tblPr/>
      <w:tcPr>
        <w:shd w:val="clear" w:color="4BACC6" w:fill="auto"/>
      </w:tcPr>
    </w:tblStylePr>
    <w:tblStylePr w:type="lastRow">
      <w:rPr>
        <w:rFonts w:ascii="Arial" w:hAnsi="Arial"/>
        <w:color w:val="F2F2F2"/>
        <w:sz w:val="22"/>
      </w:rPr>
      <w:tblPr/>
      <w:tcPr>
        <w:shd w:val="clear" w:color="4BACC6" w:fill="auto"/>
      </w:tcPr>
    </w:tblStylePr>
    <w:tblStylePr w:type="firstCol">
      <w:rPr>
        <w:rFonts w:ascii="Arial" w:hAnsi="Arial"/>
        <w:color w:val="F2F2F2"/>
        <w:sz w:val="22"/>
      </w:rPr>
      <w:tblPr/>
      <w:tcPr>
        <w:shd w:val="clear" w:color="4BACC6" w:fill="auto"/>
      </w:tcPr>
    </w:tblStylePr>
    <w:tblStylePr w:type="lastCol">
      <w:rPr>
        <w:rFonts w:ascii="Arial" w:hAnsi="Arial"/>
        <w:color w:val="F2F2F2"/>
        <w:sz w:val="22"/>
      </w:rPr>
      <w:tblPr/>
      <w:tcPr>
        <w:shd w:val="clear" w:color="4BACC6" w:fill="auto"/>
      </w:tcPr>
    </w:tblStylePr>
    <w:tblStylePr w:type="band1Vert">
      <w:rPr>
        <w:rFonts w:ascii="Arial" w:hAnsi="Arial"/>
        <w:color w:val="404040"/>
        <w:sz w:val="22"/>
      </w:rPr>
    </w:tblStylePr>
    <w:tblStylePr w:type="band2Vert">
      <w:rPr>
        <w:rFonts w:ascii="Arial" w:hAnsi="Arial"/>
        <w:color w:val="404040"/>
        <w:sz w:val="22"/>
      </w:rPr>
      <w:tblPr/>
      <w:tcPr>
        <w:shd w:val="clear" w:color="DAEEF3" w:fill="auto"/>
      </w:tcPr>
    </w:tblStylePr>
    <w:tblStylePr w:type="band1Horz">
      <w:rPr>
        <w:rFonts w:ascii="Arial" w:hAnsi="Arial"/>
        <w:color w:val="404040"/>
        <w:sz w:val="22"/>
      </w:rPr>
    </w:tblStylePr>
    <w:tblStylePr w:type="band2Horz">
      <w:rPr>
        <w:rFonts w:ascii="Arial" w:hAnsi="Arial"/>
        <w:color w:val="404040"/>
        <w:sz w:val="22"/>
      </w:rPr>
      <w:tblPr/>
      <w:tcPr>
        <w:shd w:val="clear" w:color="DAEEF3" w:fill="auto"/>
      </w:tcPr>
    </w:tblStylePr>
  </w:style>
  <w:style w:type="table" w:customStyle="1" w:styleId="Lined-Accent61">
    <w:name w:val="Lined - Accent 61"/>
    <w:basedOn w:val="a3"/>
    <w:uiPriority w:val="99"/>
    <w:rsid w:val="00B1416C"/>
    <w:rPr>
      <w:rFonts w:ascii="Arial" w:eastAsia="Arial" w:hAnsi="Arial" w:cs="Arial"/>
      <w:color w:val="404040"/>
    </w:rPr>
    <w:tblPr>
      <w:tblStyleRowBandSize w:val="1"/>
      <w:tblStyleColBandSize w:val="1"/>
    </w:tblPr>
    <w:tblStylePr w:type="firstRow">
      <w:rPr>
        <w:rFonts w:ascii="Arial" w:hAnsi="Arial"/>
        <w:color w:val="F2F2F2"/>
        <w:sz w:val="22"/>
      </w:rPr>
      <w:tblPr/>
      <w:tcPr>
        <w:shd w:val="clear" w:color="F79646" w:fill="auto"/>
      </w:tcPr>
    </w:tblStylePr>
    <w:tblStylePr w:type="lastRow">
      <w:rPr>
        <w:rFonts w:ascii="Arial" w:hAnsi="Arial"/>
        <w:color w:val="F2F2F2"/>
        <w:sz w:val="22"/>
      </w:rPr>
      <w:tblPr/>
      <w:tcPr>
        <w:shd w:val="clear" w:color="F79646" w:fill="auto"/>
      </w:tcPr>
    </w:tblStylePr>
    <w:tblStylePr w:type="firstCol">
      <w:rPr>
        <w:rFonts w:ascii="Arial" w:hAnsi="Arial"/>
        <w:color w:val="F2F2F2"/>
        <w:sz w:val="22"/>
      </w:rPr>
      <w:tblPr/>
      <w:tcPr>
        <w:shd w:val="clear" w:color="F79646" w:fill="auto"/>
      </w:tcPr>
    </w:tblStylePr>
    <w:tblStylePr w:type="lastCol">
      <w:rPr>
        <w:rFonts w:ascii="Arial" w:hAnsi="Arial"/>
        <w:color w:val="F2F2F2"/>
        <w:sz w:val="22"/>
      </w:rPr>
      <w:tblPr/>
      <w:tcPr>
        <w:shd w:val="clear" w:color="F79646" w:fill="auto"/>
      </w:tcPr>
    </w:tblStylePr>
    <w:tblStylePr w:type="band1Vert">
      <w:rPr>
        <w:rFonts w:ascii="Arial" w:hAnsi="Arial"/>
        <w:color w:val="404040"/>
        <w:sz w:val="22"/>
      </w:rPr>
    </w:tblStylePr>
    <w:tblStylePr w:type="band2Vert">
      <w:rPr>
        <w:rFonts w:ascii="Arial" w:hAnsi="Arial"/>
        <w:color w:val="404040"/>
        <w:sz w:val="22"/>
      </w:rPr>
      <w:tblPr/>
      <w:tcPr>
        <w:shd w:val="clear" w:color="FDE9D8" w:fill="auto"/>
      </w:tcPr>
    </w:tblStylePr>
    <w:tblStylePr w:type="band1Horz">
      <w:rPr>
        <w:rFonts w:ascii="Arial" w:hAnsi="Arial"/>
        <w:color w:val="404040"/>
        <w:sz w:val="22"/>
      </w:rPr>
    </w:tblStylePr>
    <w:tblStylePr w:type="band2Horz">
      <w:rPr>
        <w:rFonts w:ascii="Arial" w:hAnsi="Arial"/>
        <w:color w:val="404040"/>
        <w:sz w:val="22"/>
      </w:rPr>
      <w:tblPr/>
      <w:tcPr>
        <w:shd w:val="clear" w:color="FDE9D8" w:fill="auto"/>
      </w:tcPr>
    </w:tblStylePr>
  </w:style>
  <w:style w:type="table" w:customStyle="1" w:styleId="BorderedLined-Accent10">
    <w:name w:val="Bordered &amp; Lined - Accent1"/>
    <w:basedOn w:val="a3"/>
    <w:uiPriority w:val="99"/>
    <w:rsid w:val="00B1416C"/>
    <w:rPr>
      <w:rFonts w:ascii="Arial" w:eastAsia="Arial" w:hAnsi="Arial" w:cs="Arial"/>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auto"/>
      </w:tcPr>
    </w:tblStylePr>
    <w:tblStylePr w:type="lastRow">
      <w:rPr>
        <w:rFonts w:ascii="Arial" w:hAnsi="Arial"/>
        <w:color w:val="F2F2F2"/>
        <w:sz w:val="22"/>
      </w:rPr>
      <w:tblPr/>
      <w:tcPr>
        <w:shd w:val="clear" w:color="7F7F7F" w:fill="auto"/>
      </w:tcPr>
    </w:tblStylePr>
    <w:tblStylePr w:type="firstCol">
      <w:rPr>
        <w:rFonts w:ascii="Arial" w:hAnsi="Arial"/>
        <w:color w:val="F2F2F2"/>
        <w:sz w:val="22"/>
      </w:rPr>
      <w:tblPr/>
      <w:tcPr>
        <w:shd w:val="clear" w:color="7F7F7F" w:fill="auto"/>
      </w:tcPr>
    </w:tblStylePr>
    <w:tblStylePr w:type="lastCol">
      <w:rPr>
        <w:rFonts w:ascii="Arial" w:hAnsi="Arial"/>
        <w:color w:val="F2F2F2"/>
        <w:sz w:val="22"/>
      </w:rPr>
      <w:tblPr/>
      <w:tcPr>
        <w:shd w:val="clear" w:color="7F7F7F" w:fill="auto"/>
      </w:tcPr>
    </w:tblStylePr>
    <w:tblStylePr w:type="band1Vert">
      <w:rPr>
        <w:rFonts w:ascii="Arial" w:hAnsi="Arial"/>
        <w:color w:val="404040"/>
        <w:sz w:val="22"/>
      </w:rPr>
    </w:tblStylePr>
    <w:tblStylePr w:type="band2Vert">
      <w:rPr>
        <w:rFonts w:ascii="Arial" w:hAnsi="Arial"/>
        <w:color w:val="404040"/>
        <w:sz w:val="22"/>
      </w:rPr>
      <w:tblPr/>
      <w:tcPr>
        <w:shd w:val="clear" w:color="F2F2F2" w:fill="auto"/>
      </w:tcPr>
    </w:tblStylePr>
    <w:tblStylePr w:type="band1Horz">
      <w:rPr>
        <w:rFonts w:ascii="Arial" w:hAnsi="Arial"/>
        <w:color w:val="404040"/>
        <w:sz w:val="22"/>
      </w:rPr>
    </w:tblStylePr>
    <w:tblStylePr w:type="band2Horz">
      <w:rPr>
        <w:rFonts w:ascii="Arial" w:hAnsi="Arial"/>
        <w:color w:val="404040"/>
        <w:sz w:val="22"/>
      </w:rPr>
      <w:tblPr/>
      <w:tcPr>
        <w:shd w:val="clear" w:color="F2F2F2" w:fill="auto"/>
      </w:tcPr>
    </w:tblStylePr>
  </w:style>
  <w:style w:type="table" w:customStyle="1" w:styleId="BorderedLined-Accent11">
    <w:name w:val="Bordered &amp; Lined - Accent 11"/>
    <w:basedOn w:val="a3"/>
    <w:uiPriority w:val="99"/>
    <w:rsid w:val="00B1416C"/>
    <w:rPr>
      <w:rFonts w:ascii="Arial" w:eastAsia="Arial" w:hAnsi="Arial" w:cs="Arial"/>
      <w:color w:val="404040"/>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auto"/>
      </w:tcPr>
    </w:tblStylePr>
    <w:tblStylePr w:type="lastRow">
      <w:rPr>
        <w:rFonts w:ascii="Arial" w:hAnsi="Arial"/>
        <w:color w:val="F2F2F2"/>
        <w:sz w:val="22"/>
      </w:rPr>
      <w:tblPr/>
      <w:tcPr>
        <w:shd w:val="clear" w:color="5D8AC2" w:fill="auto"/>
      </w:tcPr>
    </w:tblStylePr>
    <w:tblStylePr w:type="firstCol">
      <w:rPr>
        <w:rFonts w:ascii="Arial" w:hAnsi="Arial"/>
        <w:color w:val="F2F2F2"/>
        <w:sz w:val="22"/>
      </w:rPr>
      <w:tblPr/>
      <w:tcPr>
        <w:shd w:val="clear" w:color="5D8AC2" w:fill="auto"/>
      </w:tcPr>
    </w:tblStylePr>
    <w:tblStylePr w:type="lastCol">
      <w:rPr>
        <w:rFonts w:ascii="Arial" w:hAnsi="Arial"/>
        <w:color w:val="F2F2F2"/>
        <w:sz w:val="22"/>
      </w:rPr>
      <w:tblPr/>
      <w:tcPr>
        <w:shd w:val="clear" w:color="5D8AC2" w:fill="auto"/>
      </w:tcPr>
    </w:tblStylePr>
    <w:tblStylePr w:type="band1Vert">
      <w:rPr>
        <w:rFonts w:ascii="Arial" w:hAnsi="Arial"/>
        <w:color w:val="404040"/>
        <w:sz w:val="22"/>
      </w:rPr>
    </w:tblStylePr>
    <w:tblStylePr w:type="band2Vert">
      <w:rPr>
        <w:rFonts w:ascii="Arial" w:hAnsi="Arial"/>
        <w:color w:val="404040"/>
        <w:sz w:val="22"/>
      </w:rPr>
      <w:tblPr/>
      <w:tcPr>
        <w:shd w:val="clear" w:color="C7D7EA" w:fill="auto"/>
      </w:tcPr>
    </w:tblStylePr>
    <w:tblStylePr w:type="band1Horz">
      <w:rPr>
        <w:rFonts w:ascii="Arial" w:hAnsi="Arial"/>
        <w:color w:val="404040"/>
        <w:sz w:val="22"/>
      </w:rPr>
    </w:tblStylePr>
    <w:tblStylePr w:type="band2Horz">
      <w:rPr>
        <w:rFonts w:ascii="Arial" w:hAnsi="Arial"/>
        <w:color w:val="404040"/>
        <w:sz w:val="22"/>
      </w:rPr>
      <w:tblPr/>
      <w:tcPr>
        <w:shd w:val="clear" w:color="C7D7EA" w:fill="auto"/>
      </w:tcPr>
    </w:tblStylePr>
  </w:style>
  <w:style w:type="table" w:customStyle="1" w:styleId="BorderedLined-Accent21">
    <w:name w:val="Bordered &amp; Lined - Accent 21"/>
    <w:basedOn w:val="a3"/>
    <w:uiPriority w:val="99"/>
    <w:rsid w:val="00B1416C"/>
    <w:rPr>
      <w:rFonts w:ascii="Arial" w:eastAsia="Arial" w:hAnsi="Arial" w:cs="Arial"/>
      <w:color w:val="404040"/>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auto"/>
      </w:tcPr>
    </w:tblStylePr>
    <w:tblStylePr w:type="lastRow">
      <w:rPr>
        <w:rFonts w:ascii="Arial" w:hAnsi="Arial"/>
        <w:color w:val="F2F2F2"/>
        <w:sz w:val="22"/>
      </w:rPr>
      <w:tblPr/>
      <w:tcPr>
        <w:shd w:val="clear" w:color="D99695" w:fill="auto"/>
      </w:tcPr>
    </w:tblStylePr>
    <w:tblStylePr w:type="firstCol">
      <w:rPr>
        <w:rFonts w:ascii="Arial" w:hAnsi="Arial"/>
        <w:color w:val="F2F2F2"/>
        <w:sz w:val="22"/>
      </w:rPr>
      <w:tblPr/>
      <w:tcPr>
        <w:shd w:val="clear" w:color="D99695" w:fill="auto"/>
      </w:tcPr>
    </w:tblStylePr>
    <w:tblStylePr w:type="lastCol">
      <w:rPr>
        <w:rFonts w:ascii="Arial" w:hAnsi="Arial"/>
        <w:color w:val="F2F2F2"/>
        <w:sz w:val="22"/>
      </w:rPr>
      <w:tblPr/>
      <w:tcPr>
        <w:shd w:val="clear" w:color="D99695" w:fill="auto"/>
      </w:tcPr>
    </w:tblStylePr>
    <w:tblStylePr w:type="band1Vert">
      <w:rPr>
        <w:rFonts w:ascii="Arial" w:hAnsi="Arial"/>
        <w:color w:val="404040"/>
        <w:sz w:val="22"/>
      </w:rPr>
    </w:tblStylePr>
    <w:tblStylePr w:type="band2Vert">
      <w:rPr>
        <w:rFonts w:ascii="Arial" w:hAnsi="Arial"/>
        <w:color w:val="404040"/>
        <w:sz w:val="22"/>
      </w:rPr>
      <w:tblPr/>
      <w:tcPr>
        <w:shd w:val="clear" w:color="F2DCDC" w:fill="auto"/>
      </w:tcPr>
    </w:tblStylePr>
    <w:tblStylePr w:type="band1Horz">
      <w:rPr>
        <w:rFonts w:ascii="Arial" w:hAnsi="Arial"/>
        <w:color w:val="404040"/>
        <w:sz w:val="22"/>
      </w:rPr>
    </w:tblStylePr>
    <w:tblStylePr w:type="band2Horz">
      <w:rPr>
        <w:rFonts w:ascii="Arial" w:hAnsi="Arial"/>
        <w:color w:val="404040"/>
        <w:sz w:val="22"/>
      </w:rPr>
      <w:tblPr/>
      <w:tcPr>
        <w:shd w:val="clear" w:color="F2DCDC" w:fill="auto"/>
      </w:tcPr>
    </w:tblStylePr>
  </w:style>
  <w:style w:type="table" w:customStyle="1" w:styleId="BorderedLined-Accent31">
    <w:name w:val="Bordered &amp; Lined - Accent 31"/>
    <w:basedOn w:val="a3"/>
    <w:uiPriority w:val="99"/>
    <w:rsid w:val="00B1416C"/>
    <w:rPr>
      <w:rFonts w:ascii="Arial" w:eastAsia="Arial" w:hAnsi="Arial" w:cs="Arial"/>
      <w:color w:val="404040"/>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auto"/>
      </w:tcPr>
    </w:tblStylePr>
    <w:tblStylePr w:type="lastRow">
      <w:rPr>
        <w:rFonts w:ascii="Arial" w:hAnsi="Arial"/>
        <w:color w:val="F2F2F2"/>
        <w:sz w:val="22"/>
      </w:rPr>
      <w:tblPr/>
      <w:tcPr>
        <w:shd w:val="clear" w:color="9ABB59" w:fill="auto"/>
      </w:tcPr>
    </w:tblStylePr>
    <w:tblStylePr w:type="firstCol">
      <w:rPr>
        <w:rFonts w:ascii="Arial" w:hAnsi="Arial"/>
        <w:color w:val="F2F2F2"/>
        <w:sz w:val="22"/>
      </w:rPr>
      <w:tblPr/>
      <w:tcPr>
        <w:shd w:val="clear" w:color="9ABB59" w:fill="auto"/>
      </w:tcPr>
    </w:tblStylePr>
    <w:tblStylePr w:type="lastCol">
      <w:rPr>
        <w:rFonts w:ascii="Arial" w:hAnsi="Arial"/>
        <w:color w:val="F2F2F2"/>
        <w:sz w:val="22"/>
      </w:rPr>
      <w:tblPr/>
      <w:tcPr>
        <w:shd w:val="clear" w:color="9ABB59" w:fill="auto"/>
      </w:tcPr>
    </w:tblStylePr>
    <w:tblStylePr w:type="band1Vert">
      <w:rPr>
        <w:rFonts w:ascii="Arial" w:hAnsi="Arial"/>
        <w:color w:val="404040"/>
        <w:sz w:val="22"/>
      </w:rPr>
    </w:tblStylePr>
    <w:tblStylePr w:type="band2Vert">
      <w:rPr>
        <w:rFonts w:ascii="Arial" w:hAnsi="Arial"/>
        <w:color w:val="404040"/>
        <w:sz w:val="22"/>
      </w:rPr>
      <w:tblPr/>
      <w:tcPr>
        <w:shd w:val="clear" w:color="EAF1DC" w:fill="auto"/>
      </w:tcPr>
    </w:tblStylePr>
    <w:tblStylePr w:type="band1Horz">
      <w:rPr>
        <w:rFonts w:ascii="Arial" w:hAnsi="Arial"/>
        <w:color w:val="404040"/>
        <w:sz w:val="22"/>
      </w:rPr>
    </w:tblStylePr>
    <w:tblStylePr w:type="band2Horz">
      <w:rPr>
        <w:rFonts w:ascii="Arial" w:hAnsi="Arial"/>
        <w:color w:val="404040"/>
        <w:sz w:val="22"/>
      </w:rPr>
      <w:tblPr/>
      <w:tcPr>
        <w:shd w:val="clear" w:color="EAF1DC" w:fill="auto"/>
      </w:tcPr>
    </w:tblStylePr>
  </w:style>
  <w:style w:type="table" w:customStyle="1" w:styleId="BorderedLined-Accent41">
    <w:name w:val="Bordered &amp; Lined - Accent 41"/>
    <w:basedOn w:val="a3"/>
    <w:uiPriority w:val="99"/>
    <w:rsid w:val="00B1416C"/>
    <w:rPr>
      <w:rFonts w:ascii="Arial" w:eastAsia="Arial" w:hAnsi="Arial" w:cs="Arial"/>
      <w:color w:val="404040"/>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auto"/>
      </w:tcPr>
    </w:tblStylePr>
    <w:tblStylePr w:type="lastRow">
      <w:rPr>
        <w:rFonts w:ascii="Arial" w:hAnsi="Arial"/>
        <w:color w:val="F2F2F2"/>
        <w:sz w:val="22"/>
      </w:rPr>
      <w:tblPr/>
      <w:tcPr>
        <w:shd w:val="clear" w:color="B2A1C6" w:fill="auto"/>
      </w:tcPr>
    </w:tblStylePr>
    <w:tblStylePr w:type="firstCol">
      <w:rPr>
        <w:rFonts w:ascii="Arial" w:hAnsi="Arial"/>
        <w:color w:val="F2F2F2"/>
        <w:sz w:val="22"/>
      </w:rPr>
      <w:tblPr/>
      <w:tcPr>
        <w:shd w:val="clear" w:color="B2A1C6" w:fill="auto"/>
      </w:tcPr>
    </w:tblStylePr>
    <w:tblStylePr w:type="lastCol">
      <w:rPr>
        <w:rFonts w:ascii="Arial" w:hAnsi="Arial"/>
        <w:color w:val="F2F2F2"/>
        <w:sz w:val="22"/>
      </w:rPr>
      <w:tblPr/>
      <w:tcPr>
        <w:shd w:val="clear" w:color="B2A1C6" w:fill="auto"/>
      </w:tcPr>
    </w:tblStylePr>
    <w:tblStylePr w:type="band1Vert">
      <w:rPr>
        <w:rFonts w:ascii="Arial" w:hAnsi="Arial"/>
        <w:color w:val="404040"/>
        <w:sz w:val="22"/>
      </w:rPr>
    </w:tblStylePr>
    <w:tblStylePr w:type="band2Vert">
      <w:rPr>
        <w:rFonts w:ascii="Arial" w:hAnsi="Arial"/>
        <w:color w:val="404040"/>
        <w:sz w:val="22"/>
      </w:rPr>
      <w:tblPr/>
      <w:tcPr>
        <w:shd w:val="clear" w:color="E5DFEC" w:fill="auto"/>
      </w:tcPr>
    </w:tblStylePr>
    <w:tblStylePr w:type="band1Horz">
      <w:rPr>
        <w:rFonts w:ascii="Arial" w:hAnsi="Arial"/>
        <w:color w:val="404040"/>
        <w:sz w:val="22"/>
      </w:rPr>
    </w:tblStylePr>
    <w:tblStylePr w:type="band2Horz">
      <w:rPr>
        <w:rFonts w:ascii="Arial" w:hAnsi="Arial"/>
        <w:color w:val="404040"/>
        <w:sz w:val="22"/>
      </w:rPr>
      <w:tblPr/>
      <w:tcPr>
        <w:shd w:val="clear" w:color="E5DFEC" w:fill="auto"/>
      </w:tcPr>
    </w:tblStylePr>
  </w:style>
  <w:style w:type="table" w:customStyle="1" w:styleId="BorderedLined-Accent51">
    <w:name w:val="Bordered &amp; Lined - Accent 51"/>
    <w:basedOn w:val="a3"/>
    <w:uiPriority w:val="99"/>
    <w:rsid w:val="00B1416C"/>
    <w:rPr>
      <w:rFonts w:ascii="Arial" w:eastAsia="Arial" w:hAnsi="Arial" w:cs="Arial"/>
      <w:color w:val="404040"/>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auto"/>
      </w:tcPr>
    </w:tblStylePr>
    <w:tblStylePr w:type="lastRow">
      <w:rPr>
        <w:rFonts w:ascii="Arial" w:hAnsi="Arial"/>
        <w:color w:val="F2F2F2"/>
        <w:sz w:val="22"/>
      </w:rPr>
      <w:tblPr/>
      <w:tcPr>
        <w:shd w:val="clear" w:color="4BACC6" w:fill="auto"/>
      </w:tcPr>
    </w:tblStylePr>
    <w:tblStylePr w:type="firstCol">
      <w:rPr>
        <w:rFonts w:ascii="Arial" w:hAnsi="Arial"/>
        <w:color w:val="F2F2F2"/>
        <w:sz w:val="22"/>
      </w:rPr>
      <w:tblPr/>
      <w:tcPr>
        <w:shd w:val="clear" w:color="4BACC6" w:fill="auto"/>
      </w:tcPr>
    </w:tblStylePr>
    <w:tblStylePr w:type="lastCol">
      <w:rPr>
        <w:rFonts w:ascii="Arial" w:hAnsi="Arial"/>
        <w:color w:val="F2F2F2"/>
        <w:sz w:val="22"/>
      </w:rPr>
      <w:tblPr/>
      <w:tcPr>
        <w:shd w:val="clear" w:color="4BACC6" w:fill="auto"/>
      </w:tcPr>
    </w:tblStylePr>
    <w:tblStylePr w:type="band1Vert">
      <w:rPr>
        <w:rFonts w:ascii="Arial" w:hAnsi="Arial"/>
        <w:color w:val="404040"/>
        <w:sz w:val="22"/>
      </w:rPr>
    </w:tblStylePr>
    <w:tblStylePr w:type="band2Vert">
      <w:rPr>
        <w:rFonts w:ascii="Arial" w:hAnsi="Arial"/>
        <w:color w:val="404040"/>
        <w:sz w:val="22"/>
      </w:rPr>
      <w:tblPr/>
      <w:tcPr>
        <w:shd w:val="clear" w:color="DAEEF3" w:fill="auto"/>
      </w:tcPr>
    </w:tblStylePr>
    <w:tblStylePr w:type="band1Horz">
      <w:rPr>
        <w:rFonts w:ascii="Arial" w:hAnsi="Arial"/>
        <w:color w:val="404040"/>
        <w:sz w:val="22"/>
      </w:rPr>
    </w:tblStylePr>
    <w:tblStylePr w:type="band2Horz">
      <w:rPr>
        <w:rFonts w:ascii="Arial" w:hAnsi="Arial"/>
        <w:color w:val="404040"/>
        <w:sz w:val="22"/>
      </w:rPr>
      <w:tblPr/>
      <w:tcPr>
        <w:shd w:val="clear" w:color="DAEEF3" w:fill="auto"/>
      </w:tcPr>
    </w:tblStylePr>
  </w:style>
  <w:style w:type="table" w:customStyle="1" w:styleId="BorderedLined-Accent61">
    <w:name w:val="Bordered &amp; Lined - Accent 61"/>
    <w:basedOn w:val="a3"/>
    <w:uiPriority w:val="99"/>
    <w:rsid w:val="00B1416C"/>
    <w:rPr>
      <w:rFonts w:ascii="Arial" w:eastAsia="Arial" w:hAnsi="Arial" w:cs="Arial"/>
      <w:color w:val="404040"/>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auto"/>
      </w:tcPr>
    </w:tblStylePr>
    <w:tblStylePr w:type="lastRow">
      <w:rPr>
        <w:rFonts w:ascii="Arial" w:hAnsi="Arial"/>
        <w:color w:val="F2F2F2"/>
        <w:sz w:val="22"/>
      </w:rPr>
      <w:tblPr/>
      <w:tcPr>
        <w:shd w:val="clear" w:color="F79646" w:fill="auto"/>
      </w:tcPr>
    </w:tblStylePr>
    <w:tblStylePr w:type="firstCol">
      <w:rPr>
        <w:rFonts w:ascii="Arial" w:hAnsi="Arial"/>
        <w:color w:val="F2F2F2"/>
        <w:sz w:val="22"/>
      </w:rPr>
      <w:tblPr/>
      <w:tcPr>
        <w:shd w:val="clear" w:color="F79646" w:fill="auto"/>
      </w:tcPr>
    </w:tblStylePr>
    <w:tblStylePr w:type="lastCol">
      <w:rPr>
        <w:rFonts w:ascii="Arial" w:hAnsi="Arial"/>
        <w:color w:val="F2F2F2"/>
        <w:sz w:val="22"/>
      </w:rPr>
      <w:tblPr/>
      <w:tcPr>
        <w:shd w:val="clear" w:color="F79646" w:fill="auto"/>
      </w:tcPr>
    </w:tblStylePr>
    <w:tblStylePr w:type="band1Vert">
      <w:rPr>
        <w:rFonts w:ascii="Arial" w:hAnsi="Arial"/>
        <w:color w:val="404040"/>
        <w:sz w:val="22"/>
      </w:rPr>
    </w:tblStylePr>
    <w:tblStylePr w:type="band2Vert">
      <w:rPr>
        <w:rFonts w:ascii="Arial" w:hAnsi="Arial"/>
        <w:color w:val="404040"/>
        <w:sz w:val="22"/>
      </w:rPr>
      <w:tblPr/>
      <w:tcPr>
        <w:shd w:val="clear" w:color="FDE9D8" w:fill="auto"/>
      </w:tcPr>
    </w:tblStylePr>
    <w:tblStylePr w:type="band1Horz">
      <w:rPr>
        <w:rFonts w:ascii="Arial" w:hAnsi="Arial"/>
        <w:color w:val="404040"/>
        <w:sz w:val="22"/>
      </w:rPr>
    </w:tblStylePr>
    <w:tblStylePr w:type="band2Horz">
      <w:rPr>
        <w:rFonts w:ascii="Arial" w:hAnsi="Arial"/>
        <w:color w:val="404040"/>
        <w:sz w:val="22"/>
      </w:rPr>
      <w:tblPr/>
      <w:tcPr>
        <w:shd w:val="clear" w:color="FDE9D8" w:fill="auto"/>
      </w:tcPr>
    </w:tblStylePr>
  </w:style>
  <w:style w:type="table" w:customStyle="1" w:styleId="Bordered1">
    <w:name w:val="Bordered1"/>
    <w:basedOn w:val="a3"/>
    <w:uiPriority w:val="99"/>
    <w:rsid w:val="00B1416C"/>
    <w:rPr>
      <w:rFonts w:ascii="Arial" w:eastAsia="Arial" w:hAnsi="Arial" w:cs="Arial"/>
      <w:sz w:val="22"/>
      <w:szCs w:val="22"/>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1">
    <w:name w:val="Bordered - Accent 11"/>
    <w:basedOn w:val="a3"/>
    <w:uiPriority w:val="99"/>
    <w:rsid w:val="00B1416C"/>
    <w:rPr>
      <w:rFonts w:ascii="Arial" w:eastAsia="Arial" w:hAnsi="Arial" w:cs="Arial"/>
      <w:sz w:val="22"/>
      <w:szCs w:val="22"/>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1">
    <w:name w:val="Bordered - Accent 21"/>
    <w:basedOn w:val="a3"/>
    <w:uiPriority w:val="99"/>
    <w:rsid w:val="00B1416C"/>
    <w:rPr>
      <w:rFonts w:ascii="Arial" w:eastAsia="Arial" w:hAnsi="Arial" w:cs="Arial"/>
      <w:sz w:val="22"/>
      <w:szCs w:val="22"/>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1">
    <w:name w:val="Bordered - Accent 31"/>
    <w:basedOn w:val="a3"/>
    <w:uiPriority w:val="99"/>
    <w:rsid w:val="00B1416C"/>
    <w:rPr>
      <w:rFonts w:ascii="Arial" w:eastAsia="Arial" w:hAnsi="Arial" w:cs="Arial"/>
      <w:sz w:val="22"/>
      <w:szCs w:val="22"/>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1">
    <w:name w:val="Bordered - Accent 41"/>
    <w:basedOn w:val="a3"/>
    <w:uiPriority w:val="99"/>
    <w:rsid w:val="00B1416C"/>
    <w:rPr>
      <w:rFonts w:ascii="Arial" w:eastAsia="Arial" w:hAnsi="Arial" w:cs="Arial"/>
      <w:sz w:val="22"/>
      <w:szCs w:val="22"/>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1">
    <w:name w:val="Bordered - Accent 51"/>
    <w:basedOn w:val="a3"/>
    <w:uiPriority w:val="99"/>
    <w:rsid w:val="00B1416C"/>
    <w:rPr>
      <w:rFonts w:ascii="Arial" w:eastAsia="Arial" w:hAnsi="Arial" w:cs="Arial"/>
      <w:sz w:val="22"/>
      <w:szCs w:val="22"/>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1">
    <w:name w:val="Bordered - Accent 61"/>
    <w:basedOn w:val="a3"/>
    <w:uiPriority w:val="99"/>
    <w:rsid w:val="00B1416C"/>
    <w:rPr>
      <w:rFonts w:ascii="Arial" w:eastAsia="Arial" w:hAnsi="Arial" w:cs="Arial"/>
      <w:sz w:val="22"/>
      <w:szCs w:val="22"/>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TableNormal11">
    <w:name w:val="Table Normal11"/>
    <w:rsid w:val="00B1416C"/>
    <w:pPr>
      <w:spacing w:line="276" w:lineRule="auto"/>
    </w:pPr>
    <w:rPr>
      <w:rFonts w:ascii="Arial" w:eastAsia="Arial" w:hAnsi="Arial" w:cs="Arial"/>
      <w:sz w:val="22"/>
      <w:szCs w:val="22"/>
    </w:rPr>
    <w:tblPr>
      <w:tblCellMar>
        <w:top w:w="0" w:type="dxa"/>
        <w:left w:w="0" w:type="dxa"/>
        <w:bottom w:w="0" w:type="dxa"/>
        <w:right w:w="0" w:type="dxa"/>
      </w:tblCellMar>
    </w:tblPr>
  </w:style>
  <w:style w:type="table" w:customStyle="1" w:styleId="212">
    <w:name w:val="21"/>
    <w:basedOn w:val="TableNormal1"/>
    <w:rsid w:val="00B1416C"/>
    <w:rPr>
      <w:rFonts w:eastAsia="Arial"/>
    </w:rPr>
    <w:tblPr>
      <w:tblStyleRowBandSize w:val="1"/>
      <w:tblStyleColBandSize w:val="1"/>
      <w:tblCellMar>
        <w:top w:w="100" w:type="dxa"/>
        <w:left w:w="100" w:type="dxa"/>
        <w:bottom w:w="100" w:type="dxa"/>
        <w:right w:w="100" w:type="dxa"/>
      </w:tblCellMar>
    </w:tblPr>
  </w:style>
  <w:style w:type="table" w:customStyle="1" w:styleId="116">
    <w:name w:val="11"/>
    <w:basedOn w:val="TableNormal1"/>
    <w:rsid w:val="00B1416C"/>
    <w:rPr>
      <w:rFonts w:eastAsia="Arial"/>
    </w:rPr>
    <w:tblPr>
      <w:tblStyleRowBandSize w:val="1"/>
      <w:tblStyleColBandSize w:val="1"/>
      <w:tblCellMar>
        <w:top w:w="100" w:type="dxa"/>
        <w:left w:w="100" w:type="dxa"/>
        <w:bottom w:w="100" w:type="dxa"/>
        <w:right w:w="100" w:type="dxa"/>
      </w:tblCellMar>
    </w:tblPr>
  </w:style>
  <w:style w:type="table" w:customStyle="1" w:styleId="53">
    <w:name w:val="Сетка таблицы5"/>
    <w:basedOn w:val="a3"/>
    <w:next w:val="afc"/>
    <w:uiPriority w:val="39"/>
    <w:rsid w:val="00B1416C"/>
    <w:rPr>
      <w:rFonts w:ascii="Cambria" w:eastAsia="Cambria" w:hAnsi="Cambria" w:cs="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b">
    <w:name w:val="Заголовок оглавления2"/>
    <w:basedOn w:val="11"/>
    <w:next w:val="a1"/>
    <w:uiPriority w:val="39"/>
    <w:unhideWhenUsed/>
    <w:qFormat/>
    <w:rsid w:val="00B1416C"/>
    <w:pPr>
      <w:spacing w:before="240" w:after="0" w:line="259" w:lineRule="auto"/>
      <w:outlineLvl w:val="9"/>
    </w:pPr>
    <w:rPr>
      <w:rFonts w:ascii="Calibri" w:eastAsia="Arial" w:hAnsi="Calibri" w:cs="Times New Roman"/>
      <w:color w:val="365F91"/>
      <w:sz w:val="32"/>
      <w:szCs w:val="32"/>
      <w:lang w:val="en-US" w:eastAsia="en-US"/>
    </w:rPr>
  </w:style>
  <w:style w:type="paragraph" w:customStyle="1" w:styleId="122">
    <w:name w:val="Оглавление 12"/>
    <w:basedOn w:val="a1"/>
    <w:next w:val="a1"/>
    <w:uiPriority w:val="39"/>
    <w:unhideWhenUsed/>
    <w:qFormat/>
    <w:rsid w:val="00B1416C"/>
    <w:pPr>
      <w:tabs>
        <w:tab w:val="right" w:leader="dot" w:pos="9019"/>
        <w:tab w:val="right" w:leader="dot" w:pos="9072"/>
        <w:tab w:val="right" w:leader="dot" w:pos="11340"/>
      </w:tabs>
      <w:spacing w:after="100" w:line="276" w:lineRule="auto"/>
      <w:ind w:left="216"/>
    </w:pPr>
    <w:rPr>
      <w:rFonts w:ascii="Times New Roman" w:eastAsia="Arial" w:hAnsi="Times New Roman"/>
      <w:bCs/>
      <w:color w:val="000000"/>
      <w:sz w:val="28"/>
      <w:szCs w:val="28"/>
    </w:rPr>
  </w:style>
  <w:style w:type="paragraph" w:customStyle="1" w:styleId="220">
    <w:name w:val="Оглавление 22"/>
    <w:basedOn w:val="a1"/>
    <w:next w:val="a1"/>
    <w:uiPriority w:val="39"/>
    <w:unhideWhenUsed/>
    <w:qFormat/>
    <w:rsid w:val="00B1416C"/>
    <w:pPr>
      <w:spacing w:after="100"/>
      <w:ind w:left="220"/>
    </w:pPr>
    <w:rPr>
      <w:rFonts w:ascii="Cambria" w:eastAsia="Arial" w:hAnsi="Cambria"/>
      <w:lang w:val="en-US" w:eastAsia="en-US"/>
    </w:rPr>
  </w:style>
  <w:style w:type="paragraph" w:customStyle="1" w:styleId="320">
    <w:name w:val="Оглавление 32"/>
    <w:basedOn w:val="a1"/>
    <w:next w:val="a1"/>
    <w:uiPriority w:val="39"/>
    <w:unhideWhenUsed/>
    <w:qFormat/>
    <w:rsid w:val="00B1416C"/>
    <w:pPr>
      <w:spacing w:after="100"/>
      <w:ind w:left="216"/>
    </w:pPr>
    <w:rPr>
      <w:rFonts w:ascii="Cambria" w:eastAsia="Arial" w:hAnsi="Cambria"/>
      <w:lang w:val="en-US" w:eastAsia="en-US"/>
    </w:rPr>
  </w:style>
  <w:style w:type="table" w:customStyle="1" w:styleId="123">
    <w:name w:val="Сетка таблицы12"/>
    <w:basedOn w:val="a3"/>
    <w:next w:val="afc"/>
    <w:uiPriority w:val="39"/>
    <w:rsid w:val="00B1416C"/>
    <w:rPr>
      <w:rFonts w:hAnsi="Times New Roman" w:cs="Times New Roman"/>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
    <w:name w:val="Сетка таблицы21"/>
    <w:basedOn w:val="a3"/>
    <w:next w:val="afc"/>
    <w:uiPriority w:val="39"/>
    <w:rsid w:val="00B1416C"/>
    <w:rPr>
      <w:rFonts w:hAnsi="Times New Roman" w:cs="Times New Roman"/>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
    <w:name w:val="Сетка таблицы31"/>
    <w:basedOn w:val="a3"/>
    <w:next w:val="afc"/>
    <w:uiPriority w:val="39"/>
    <w:rsid w:val="00B1416C"/>
    <w:rPr>
      <w:rFonts w:hAnsi="Times New Roman" w:cs="Times New Roman"/>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
    <w:name w:val="Сетка таблицы41"/>
    <w:basedOn w:val="a3"/>
    <w:next w:val="afc"/>
    <w:uiPriority w:val="39"/>
    <w:rsid w:val="00B1416C"/>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Многоуровненвй нумерованый список1"/>
    <w:uiPriority w:val="99"/>
    <w:rsid w:val="00B1416C"/>
    <w:pPr>
      <w:numPr>
        <w:numId w:val="5"/>
      </w:numPr>
    </w:pPr>
  </w:style>
  <w:style w:type="table" w:customStyle="1" w:styleId="1120">
    <w:name w:val="Сетка таблицы112"/>
    <w:basedOn w:val="a3"/>
    <w:next w:val="afc"/>
    <w:uiPriority w:val="59"/>
    <w:rsid w:val="00B1416C"/>
    <w:pPr>
      <w:ind w:firstLine="709"/>
      <w:jc w:val="both"/>
    </w:pPr>
    <w:rPr>
      <w:rFonts w:ascii="Times New Roman" w:eastAsia="Calibri" w:hAnsi="Times New Roman" w:cs="Times New Roman"/>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етка таблицы1112"/>
    <w:basedOn w:val="a3"/>
    <w:next w:val="afc"/>
    <w:uiPriority w:val="59"/>
    <w:rsid w:val="00B1416C"/>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4">
    <w:name w:val="Заголовок 2 Знак1"/>
    <w:aliases w:val="Заголовок 2 отчет Знак1"/>
    <w:basedOn w:val="a2"/>
    <w:uiPriority w:val="9"/>
    <w:semiHidden/>
    <w:rsid w:val="000E7AE7"/>
    <w:rPr>
      <w:rFonts w:asciiTheme="majorHAnsi" w:eastAsiaTheme="majorEastAsia" w:hAnsiTheme="majorHAnsi" w:cstheme="majorBidi"/>
      <w:color w:val="2F5496" w:themeColor="accent1" w:themeShade="BF"/>
      <w:sz w:val="26"/>
      <w:szCs w:val="26"/>
    </w:rPr>
  </w:style>
  <w:style w:type="paragraph" w:customStyle="1" w:styleId="msonormal0">
    <w:name w:val="msonormal"/>
    <w:basedOn w:val="a1"/>
    <w:rsid w:val="000E7AE7"/>
    <w:pPr>
      <w:spacing w:before="100" w:beforeAutospacing="1" w:after="100" w:afterAutospacing="1" w:line="240" w:lineRule="auto"/>
    </w:pPr>
    <w:rPr>
      <w:rFonts w:ascii="Times New Roman" w:hAnsi="Times New Roman"/>
      <w:sz w:val="24"/>
      <w:szCs w:val="24"/>
    </w:rPr>
  </w:style>
  <w:style w:type="character" w:customStyle="1" w:styleId="1f1">
    <w:name w:val="Нижний колонтитул Знак1"/>
    <w:aliases w:val="Знак Знак Знак1"/>
    <w:basedOn w:val="a2"/>
    <w:uiPriority w:val="99"/>
    <w:semiHidden/>
    <w:rsid w:val="000E7AE7"/>
    <w:rPr>
      <w:rFonts w:cs="Times New Roman"/>
      <w:sz w:val="22"/>
      <w:szCs w:val="22"/>
    </w:rPr>
  </w:style>
  <w:style w:type="character" w:customStyle="1" w:styleId="FontStyle39">
    <w:name w:val="Font Style39"/>
    <w:rsid w:val="00276311"/>
    <w:rPr>
      <w:rFonts w:ascii="Times New Roman" w:hAnsi="Times New Roman" w:cs="Times New Roman"/>
      <w:sz w:val="24"/>
      <w:szCs w:val="24"/>
    </w:rPr>
  </w:style>
  <w:style w:type="paragraph" w:customStyle="1" w:styleId="font5">
    <w:name w:val="font5"/>
    <w:basedOn w:val="a1"/>
    <w:rsid w:val="00DC04A7"/>
    <w:pPr>
      <w:spacing w:before="100" w:beforeAutospacing="1" w:after="100" w:afterAutospacing="1" w:line="240" w:lineRule="auto"/>
    </w:pPr>
    <w:rPr>
      <w:rFonts w:ascii="Times New Roman" w:hAnsi="Times New Roman"/>
      <w:color w:val="000000"/>
      <w:sz w:val="18"/>
      <w:szCs w:val="18"/>
    </w:rPr>
  </w:style>
  <w:style w:type="paragraph" w:customStyle="1" w:styleId="font6">
    <w:name w:val="font6"/>
    <w:basedOn w:val="a1"/>
    <w:rsid w:val="00DC04A7"/>
    <w:pPr>
      <w:spacing w:before="100" w:beforeAutospacing="1" w:after="100" w:afterAutospacing="1" w:line="240" w:lineRule="auto"/>
    </w:pPr>
    <w:rPr>
      <w:rFonts w:ascii="Times New Roman" w:hAnsi="Times New Roman"/>
      <w:color w:val="000000"/>
      <w:sz w:val="14"/>
      <w:szCs w:val="14"/>
    </w:rPr>
  </w:style>
  <w:style w:type="paragraph" w:customStyle="1" w:styleId="xl93">
    <w:name w:val="xl93"/>
    <w:basedOn w:val="a1"/>
    <w:rsid w:val="00D00D86"/>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18"/>
      <w:szCs w:val="18"/>
    </w:rPr>
  </w:style>
  <w:style w:type="paragraph" w:customStyle="1" w:styleId="xl94">
    <w:name w:val="xl94"/>
    <w:basedOn w:val="a1"/>
    <w:rsid w:val="00D00D86"/>
    <w:pPr>
      <w:pBdr>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18"/>
      <w:szCs w:val="18"/>
    </w:rPr>
  </w:style>
  <w:style w:type="paragraph" w:customStyle="1" w:styleId="xl95">
    <w:name w:val="xl95"/>
    <w:basedOn w:val="a1"/>
    <w:rsid w:val="00D00D86"/>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color w:val="000000"/>
      <w:sz w:val="18"/>
      <w:szCs w:val="18"/>
    </w:rPr>
  </w:style>
  <w:style w:type="paragraph" w:customStyle="1" w:styleId="xl96">
    <w:name w:val="xl96"/>
    <w:basedOn w:val="a1"/>
    <w:rsid w:val="00D00D86"/>
    <w:pPr>
      <w:pBdr>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color w:val="000000"/>
      <w:sz w:val="18"/>
      <w:szCs w:val="18"/>
    </w:rPr>
  </w:style>
  <w:style w:type="paragraph" w:customStyle="1" w:styleId="xl97">
    <w:name w:val="xl97"/>
    <w:basedOn w:val="a1"/>
    <w:rsid w:val="00D00D86"/>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18"/>
      <w:szCs w:val="18"/>
    </w:rPr>
  </w:style>
  <w:style w:type="paragraph" w:customStyle="1" w:styleId="xl98">
    <w:name w:val="xl98"/>
    <w:basedOn w:val="a1"/>
    <w:rsid w:val="00D00D86"/>
    <w:pPr>
      <w:pBdr>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18"/>
      <w:szCs w:val="18"/>
    </w:rPr>
  </w:style>
  <w:style w:type="paragraph" w:customStyle="1" w:styleId="xl99">
    <w:name w:val="xl99"/>
    <w:basedOn w:val="a1"/>
    <w:rsid w:val="00D00D86"/>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color w:val="000000"/>
      <w:sz w:val="18"/>
      <w:szCs w:val="18"/>
    </w:rPr>
  </w:style>
  <w:style w:type="paragraph" w:customStyle="1" w:styleId="xl100">
    <w:name w:val="xl100"/>
    <w:basedOn w:val="a1"/>
    <w:rsid w:val="00D00D86"/>
    <w:pPr>
      <w:pBdr>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color w:val="000000"/>
      <w:sz w:val="18"/>
      <w:szCs w:val="18"/>
    </w:rPr>
  </w:style>
  <w:style w:type="paragraph" w:customStyle="1" w:styleId="xl101">
    <w:name w:val="xl101"/>
    <w:basedOn w:val="a1"/>
    <w:rsid w:val="00D00D86"/>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18"/>
      <w:szCs w:val="18"/>
    </w:rPr>
  </w:style>
  <w:style w:type="paragraph" w:styleId="afffe">
    <w:name w:val="TOC Heading"/>
    <w:basedOn w:val="11"/>
    <w:next w:val="a1"/>
    <w:uiPriority w:val="39"/>
    <w:unhideWhenUsed/>
    <w:qFormat/>
    <w:rsid w:val="00784B5B"/>
    <w:pPr>
      <w:spacing w:before="240" w:after="0" w:line="259" w:lineRule="auto"/>
      <w:jc w:val="left"/>
      <w:outlineLvl w:val="9"/>
    </w:pPr>
    <w:rPr>
      <w:rFonts w:asciiTheme="majorHAnsi" w:eastAsiaTheme="majorEastAsia" w:hAnsiTheme="majorHAnsi" w:cstheme="majorBidi"/>
      <w:b w:val="0"/>
      <w:color w:val="2F5496" w:themeColor="accent1" w:themeShade="BF"/>
      <w:sz w:val="32"/>
      <w:szCs w:val="32"/>
    </w:rPr>
  </w:style>
  <w:style w:type="paragraph" w:styleId="1f2">
    <w:name w:val="toc 1"/>
    <w:basedOn w:val="a1"/>
    <w:next w:val="a1"/>
    <w:autoRedefine/>
    <w:uiPriority w:val="39"/>
    <w:unhideWhenUsed/>
    <w:rsid w:val="00851B72"/>
    <w:pPr>
      <w:spacing w:after="100"/>
    </w:pPr>
    <w:rPr>
      <w:rFonts w:ascii="Times New Roman" w:hAnsi="Times New Roman"/>
      <w:sz w:val="24"/>
    </w:rPr>
  </w:style>
  <w:style w:type="paragraph" w:styleId="2c">
    <w:name w:val="toc 2"/>
    <w:basedOn w:val="a1"/>
    <w:next w:val="a1"/>
    <w:autoRedefine/>
    <w:uiPriority w:val="39"/>
    <w:unhideWhenUsed/>
    <w:rsid w:val="00851B72"/>
    <w:pPr>
      <w:spacing w:after="100"/>
      <w:ind w:left="220"/>
    </w:pPr>
    <w:rPr>
      <w:rFonts w:ascii="Times New Roman" w:hAnsi="Times New Roman"/>
      <w:sz w:val="24"/>
    </w:rPr>
  </w:style>
  <w:style w:type="paragraph" w:styleId="35">
    <w:name w:val="toc 3"/>
    <w:basedOn w:val="a1"/>
    <w:next w:val="a1"/>
    <w:autoRedefine/>
    <w:uiPriority w:val="39"/>
    <w:unhideWhenUsed/>
    <w:rsid w:val="00851B72"/>
    <w:pPr>
      <w:spacing w:after="100"/>
      <w:ind w:left="440"/>
    </w:pPr>
    <w:rPr>
      <w:rFonts w:ascii="Times New Roman" w:eastAsiaTheme="minorEastAsia" w:hAnsi="Times New Roman"/>
      <w:sz w:val="24"/>
    </w:rPr>
  </w:style>
  <w:style w:type="character" w:styleId="affff">
    <w:name w:val="Strong"/>
    <w:basedOn w:val="a2"/>
    <w:uiPriority w:val="22"/>
    <w:qFormat/>
    <w:rsid w:val="00041F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646631">
      <w:bodyDiv w:val="1"/>
      <w:marLeft w:val="0"/>
      <w:marRight w:val="0"/>
      <w:marTop w:val="0"/>
      <w:marBottom w:val="0"/>
      <w:divBdr>
        <w:top w:val="none" w:sz="0" w:space="0" w:color="auto"/>
        <w:left w:val="none" w:sz="0" w:space="0" w:color="auto"/>
        <w:bottom w:val="none" w:sz="0" w:space="0" w:color="auto"/>
        <w:right w:val="none" w:sz="0" w:space="0" w:color="auto"/>
      </w:divBdr>
    </w:div>
    <w:div w:id="339044864">
      <w:bodyDiv w:val="1"/>
      <w:marLeft w:val="0"/>
      <w:marRight w:val="0"/>
      <w:marTop w:val="0"/>
      <w:marBottom w:val="0"/>
      <w:divBdr>
        <w:top w:val="none" w:sz="0" w:space="0" w:color="auto"/>
        <w:left w:val="none" w:sz="0" w:space="0" w:color="auto"/>
        <w:bottom w:val="none" w:sz="0" w:space="0" w:color="auto"/>
        <w:right w:val="none" w:sz="0" w:space="0" w:color="auto"/>
      </w:divBdr>
    </w:div>
    <w:div w:id="373044654">
      <w:bodyDiv w:val="1"/>
      <w:marLeft w:val="0"/>
      <w:marRight w:val="0"/>
      <w:marTop w:val="0"/>
      <w:marBottom w:val="0"/>
      <w:divBdr>
        <w:top w:val="none" w:sz="0" w:space="0" w:color="auto"/>
        <w:left w:val="none" w:sz="0" w:space="0" w:color="auto"/>
        <w:bottom w:val="none" w:sz="0" w:space="0" w:color="auto"/>
        <w:right w:val="none" w:sz="0" w:space="0" w:color="auto"/>
      </w:divBdr>
    </w:div>
    <w:div w:id="486635387">
      <w:bodyDiv w:val="1"/>
      <w:marLeft w:val="0"/>
      <w:marRight w:val="0"/>
      <w:marTop w:val="0"/>
      <w:marBottom w:val="0"/>
      <w:divBdr>
        <w:top w:val="none" w:sz="0" w:space="0" w:color="auto"/>
        <w:left w:val="none" w:sz="0" w:space="0" w:color="auto"/>
        <w:bottom w:val="none" w:sz="0" w:space="0" w:color="auto"/>
        <w:right w:val="none" w:sz="0" w:space="0" w:color="auto"/>
      </w:divBdr>
    </w:div>
    <w:div w:id="547766028">
      <w:bodyDiv w:val="1"/>
      <w:marLeft w:val="0"/>
      <w:marRight w:val="0"/>
      <w:marTop w:val="0"/>
      <w:marBottom w:val="0"/>
      <w:divBdr>
        <w:top w:val="none" w:sz="0" w:space="0" w:color="auto"/>
        <w:left w:val="none" w:sz="0" w:space="0" w:color="auto"/>
        <w:bottom w:val="none" w:sz="0" w:space="0" w:color="auto"/>
        <w:right w:val="none" w:sz="0" w:space="0" w:color="auto"/>
      </w:divBdr>
    </w:div>
    <w:div w:id="586310686">
      <w:bodyDiv w:val="1"/>
      <w:marLeft w:val="0"/>
      <w:marRight w:val="0"/>
      <w:marTop w:val="0"/>
      <w:marBottom w:val="0"/>
      <w:divBdr>
        <w:top w:val="none" w:sz="0" w:space="0" w:color="auto"/>
        <w:left w:val="none" w:sz="0" w:space="0" w:color="auto"/>
        <w:bottom w:val="none" w:sz="0" w:space="0" w:color="auto"/>
        <w:right w:val="none" w:sz="0" w:space="0" w:color="auto"/>
      </w:divBdr>
    </w:div>
    <w:div w:id="740904121">
      <w:bodyDiv w:val="1"/>
      <w:marLeft w:val="0"/>
      <w:marRight w:val="0"/>
      <w:marTop w:val="0"/>
      <w:marBottom w:val="0"/>
      <w:divBdr>
        <w:top w:val="none" w:sz="0" w:space="0" w:color="auto"/>
        <w:left w:val="none" w:sz="0" w:space="0" w:color="auto"/>
        <w:bottom w:val="none" w:sz="0" w:space="0" w:color="auto"/>
        <w:right w:val="none" w:sz="0" w:space="0" w:color="auto"/>
      </w:divBdr>
    </w:div>
    <w:div w:id="784235728">
      <w:bodyDiv w:val="1"/>
      <w:marLeft w:val="0"/>
      <w:marRight w:val="0"/>
      <w:marTop w:val="0"/>
      <w:marBottom w:val="0"/>
      <w:divBdr>
        <w:top w:val="none" w:sz="0" w:space="0" w:color="auto"/>
        <w:left w:val="none" w:sz="0" w:space="0" w:color="auto"/>
        <w:bottom w:val="none" w:sz="0" w:space="0" w:color="auto"/>
        <w:right w:val="none" w:sz="0" w:space="0" w:color="auto"/>
      </w:divBdr>
    </w:div>
    <w:div w:id="911231037">
      <w:bodyDiv w:val="1"/>
      <w:marLeft w:val="0"/>
      <w:marRight w:val="0"/>
      <w:marTop w:val="0"/>
      <w:marBottom w:val="0"/>
      <w:divBdr>
        <w:top w:val="none" w:sz="0" w:space="0" w:color="auto"/>
        <w:left w:val="none" w:sz="0" w:space="0" w:color="auto"/>
        <w:bottom w:val="none" w:sz="0" w:space="0" w:color="auto"/>
        <w:right w:val="none" w:sz="0" w:space="0" w:color="auto"/>
      </w:divBdr>
    </w:div>
    <w:div w:id="962274711">
      <w:bodyDiv w:val="1"/>
      <w:marLeft w:val="0"/>
      <w:marRight w:val="0"/>
      <w:marTop w:val="0"/>
      <w:marBottom w:val="0"/>
      <w:divBdr>
        <w:top w:val="none" w:sz="0" w:space="0" w:color="auto"/>
        <w:left w:val="none" w:sz="0" w:space="0" w:color="auto"/>
        <w:bottom w:val="none" w:sz="0" w:space="0" w:color="auto"/>
        <w:right w:val="none" w:sz="0" w:space="0" w:color="auto"/>
      </w:divBdr>
    </w:div>
    <w:div w:id="1286235100">
      <w:bodyDiv w:val="1"/>
      <w:marLeft w:val="0"/>
      <w:marRight w:val="0"/>
      <w:marTop w:val="0"/>
      <w:marBottom w:val="0"/>
      <w:divBdr>
        <w:top w:val="none" w:sz="0" w:space="0" w:color="auto"/>
        <w:left w:val="none" w:sz="0" w:space="0" w:color="auto"/>
        <w:bottom w:val="none" w:sz="0" w:space="0" w:color="auto"/>
        <w:right w:val="none" w:sz="0" w:space="0" w:color="auto"/>
      </w:divBdr>
    </w:div>
    <w:div w:id="1308823029">
      <w:bodyDiv w:val="1"/>
      <w:marLeft w:val="0"/>
      <w:marRight w:val="0"/>
      <w:marTop w:val="0"/>
      <w:marBottom w:val="0"/>
      <w:divBdr>
        <w:top w:val="none" w:sz="0" w:space="0" w:color="auto"/>
        <w:left w:val="none" w:sz="0" w:space="0" w:color="auto"/>
        <w:bottom w:val="none" w:sz="0" w:space="0" w:color="auto"/>
        <w:right w:val="none" w:sz="0" w:space="0" w:color="auto"/>
      </w:divBdr>
    </w:div>
    <w:div w:id="1441221308">
      <w:bodyDiv w:val="1"/>
      <w:marLeft w:val="0"/>
      <w:marRight w:val="0"/>
      <w:marTop w:val="0"/>
      <w:marBottom w:val="0"/>
      <w:divBdr>
        <w:top w:val="none" w:sz="0" w:space="0" w:color="auto"/>
        <w:left w:val="none" w:sz="0" w:space="0" w:color="auto"/>
        <w:bottom w:val="none" w:sz="0" w:space="0" w:color="auto"/>
        <w:right w:val="none" w:sz="0" w:space="0" w:color="auto"/>
      </w:divBdr>
    </w:div>
    <w:div w:id="1584416674">
      <w:bodyDiv w:val="1"/>
      <w:marLeft w:val="0"/>
      <w:marRight w:val="0"/>
      <w:marTop w:val="0"/>
      <w:marBottom w:val="0"/>
      <w:divBdr>
        <w:top w:val="none" w:sz="0" w:space="0" w:color="auto"/>
        <w:left w:val="none" w:sz="0" w:space="0" w:color="auto"/>
        <w:bottom w:val="none" w:sz="0" w:space="0" w:color="auto"/>
        <w:right w:val="none" w:sz="0" w:space="0" w:color="auto"/>
      </w:divBdr>
    </w:div>
    <w:div w:id="2040399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C46B7B-9302-43BB-BB70-DF798A436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163</Pages>
  <Words>81962</Words>
  <Characters>467190</Characters>
  <Application>Microsoft Office Word</Application>
  <DocSecurity>0</DocSecurity>
  <Lines>3893</Lines>
  <Paragraphs>1096</Paragraphs>
  <ScaleCrop>false</ScaleCrop>
  <HeadingPairs>
    <vt:vector size="2" baseType="variant">
      <vt:variant>
        <vt:lpstr>Название</vt:lpstr>
      </vt:variant>
      <vt:variant>
        <vt:i4>1</vt:i4>
      </vt:variant>
    </vt:vector>
  </HeadingPairs>
  <TitlesOfParts>
    <vt:vector size="1" baseType="lpstr">
      <vt:lpstr>Приказ Минкомсвязи России от 20.09.2018 N 486(ред. от 10.09.2021)"Об утверждении методических рекомендаций по переходу государственных компаний на преимущественное использование отечественного программного обеспечения, в том числе отечественного офисного</vt:lpstr>
    </vt:vector>
  </TitlesOfParts>
  <Company>КонсультантПлюс Версия 4021.00.50</Company>
  <LinksUpToDate>false</LinksUpToDate>
  <CharactersWithSpaces>548056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Минкомсвязи России от 20.09.2018 N 486(ред. от 10.09.2021)"Об утверждении методических рекомендаций по переходу государственных компаний на преимущественное использование отечественного программного обеспечения, в том числе отечественного офисного</dc:title>
  <dc:subject/>
  <dc:creator>Пушкин Никита</dc:creator>
  <cp:keywords/>
  <dc:description/>
  <cp:lastModifiedBy>Некрасова Ксения Олеговна</cp:lastModifiedBy>
  <cp:revision>17</cp:revision>
  <cp:lastPrinted>2022-10-14T09:15:00Z</cp:lastPrinted>
  <dcterms:created xsi:type="dcterms:W3CDTF">2022-10-14T09:26:00Z</dcterms:created>
  <dcterms:modified xsi:type="dcterms:W3CDTF">2023-01-18T10:46:00Z</dcterms:modified>
</cp:coreProperties>
</file>